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ECC36F" w14:textId="39D88305" w:rsidR="00B13AF6" w:rsidRPr="00A77AF6" w:rsidRDefault="00A248AF" w:rsidP="003D7CC6">
      <w:r w:rsidRPr="00A77AF6">
        <w:t xml:space="preserve">      </w:t>
      </w:r>
      <w:r w:rsidR="005B7064" w:rsidRPr="00A77AF6">
        <w:rPr>
          <w:noProof/>
        </w:rPr>
        <w:drawing>
          <wp:inline distT="0" distB="0" distL="0" distR="0" wp14:anchorId="03BBE8AB" wp14:editId="5AD98B69">
            <wp:extent cx="2162175" cy="2162175"/>
            <wp:effectExtent l="0" t="0" r="9525" b="9525"/>
            <wp:docPr id="11" name="Picture 11" descr="Image result for lsbu logo"/>
            <wp:cNvGraphicFramePr/>
            <a:graphic xmlns:a="http://schemas.openxmlformats.org/drawingml/2006/main">
              <a:graphicData uri="http://schemas.openxmlformats.org/drawingml/2006/picture">
                <pic:pic xmlns:pic="http://schemas.openxmlformats.org/drawingml/2006/picture">
                  <pic:nvPicPr>
                    <pic:cNvPr id="12391" name="Picture 12391" descr="Image result for lsbu logo"/>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p>
    <w:p w14:paraId="1AC4FF68" w14:textId="77777777" w:rsidR="00B13AF6" w:rsidRPr="00A77AF6" w:rsidRDefault="00B13AF6" w:rsidP="0000325C">
      <w:pPr>
        <w:spacing w:line="480" w:lineRule="auto"/>
        <w:jc w:val="center"/>
        <w:rPr>
          <w:sz w:val="32"/>
        </w:rPr>
      </w:pPr>
    </w:p>
    <w:p w14:paraId="18036DB6" w14:textId="4634E9B6" w:rsidR="001B27EA" w:rsidRPr="00A77AF6" w:rsidRDefault="001B27EA" w:rsidP="001B27EA">
      <w:pPr>
        <w:jc w:val="center"/>
        <w:rPr>
          <w:rFonts w:ascii="Calibri" w:hAnsi="Calibri" w:cs="Calibri"/>
          <w:sz w:val="48"/>
          <w:szCs w:val="48"/>
        </w:rPr>
      </w:pPr>
      <w:r w:rsidRPr="00A77AF6">
        <w:rPr>
          <w:rFonts w:ascii="Calibri" w:eastAsia="Times New Roman" w:hAnsi="Calibri" w:cs="Calibri"/>
          <w:spacing w:val="-2"/>
          <w:sz w:val="48"/>
          <w:szCs w:val="48"/>
        </w:rPr>
        <w:t>Are</w:t>
      </w:r>
      <w:r w:rsidRPr="00A77AF6">
        <w:rPr>
          <w:rFonts w:ascii="Calibri" w:hAnsi="Calibri" w:cs="Calibri"/>
          <w:sz w:val="48"/>
          <w:szCs w:val="48"/>
        </w:rPr>
        <w:t xml:space="preserve"> ethical predisposition and governance critical for success in </w:t>
      </w:r>
      <w:r w:rsidR="00C92674" w:rsidRPr="00A77AF6">
        <w:rPr>
          <w:rFonts w:ascii="Calibri" w:hAnsi="Calibri" w:cs="Calibri"/>
          <w:sz w:val="48"/>
          <w:szCs w:val="48"/>
        </w:rPr>
        <w:t xml:space="preserve">National Health Service </w:t>
      </w:r>
      <w:r w:rsidRPr="00A77AF6">
        <w:rPr>
          <w:rFonts w:ascii="Calibri" w:hAnsi="Calibri" w:cs="Calibri"/>
          <w:sz w:val="48"/>
          <w:szCs w:val="48"/>
        </w:rPr>
        <w:t>construction projects</w:t>
      </w:r>
      <w:r w:rsidR="00D81490" w:rsidRPr="00A77AF6">
        <w:rPr>
          <w:rFonts w:ascii="Calibri" w:hAnsi="Calibri" w:cs="Calibri"/>
          <w:sz w:val="48"/>
          <w:szCs w:val="48"/>
        </w:rPr>
        <w:t xml:space="preserve"> in Engl</w:t>
      </w:r>
      <w:r w:rsidR="00C92674">
        <w:rPr>
          <w:rFonts w:ascii="Calibri" w:hAnsi="Calibri" w:cs="Calibri"/>
          <w:sz w:val="48"/>
          <w:szCs w:val="48"/>
        </w:rPr>
        <w:t>and</w:t>
      </w:r>
      <w:r w:rsidRPr="00A77AF6">
        <w:rPr>
          <w:rFonts w:ascii="Calibri" w:hAnsi="Calibri" w:cs="Calibri"/>
          <w:sz w:val="48"/>
          <w:szCs w:val="48"/>
        </w:rPr>
        <w:t>?</w:t>
      </w:r>
    </w:p>
    <w:p w14:paraId="1BBC61B2" w14:textId="2E965427" w:rsidR="00592DE8" w:rsidRPr="00A77AF6" w:rsidRDefault="00592DE8" w:rsidP="006C06B4">
      <w:pPr>
        <w:spacing w:line="480" w:lineRule="auto"/>
        <w:jc w:val="center"/>
        <w:rPr>
          <w:sz w:val="32"/>
        </w:rPr>
      </w:pPr>
    </w:p>
    <w:p w14:paraId="58271D34" w14:textId="0CBE0C5A" w:rsidR="00592DE8" w:rsidRPr="00A77AF6" w:rsidRDefault="005625B2" w:rsidP="0022600C">
      <w:pPr>
        <w:spacing w:after="360" w:line="240" w:lineRule="auto"/>
        <w:jc w:val="center"/>
        <w:rPr>
          <w:sz w:val="48"/>
          <w:szCs w:val="48"/>
        </w:rPr>
      </w:pPr>
      <w:r w:rsidRPr="00A77AF6">
        <w:rPr>
          <w:sz w:val="48"/>
          <w:szCs w:val="48"/>
        </w:rPr>
        <w:t xml:space="preserve">Elizabeth </w:t>
      </w:r>
      <w:r w:rsidR="006C06B4" w:rsidRPr="00A77AF6">
        <w:rPr>
          <w:sz w:val="48"/>
          <w:szCs w:val="48"/>
        </w:rPr>
        <w:t xml:space="preserve">Mary Ivo </w:t>
      </w:r>
      <w:r w:rsidRPr="00A77AF6">
        <w:rPr>
          <w:sz w:val="48"/>
          <w:szCs w:val="48"/>
        </w:rPr>
        <w:t>Whelan</w:t>
      </w:r>
    </w:p>
    <w:p w14:paraId="71ECA173" w14:textId="29C99CFE" w:rsidR="006C06B4" w:rsidRPr="00A77AF6" w:rsidRDefault="006C06B4" w:rsidP="006C06B4">
      <w:pPr>
        <w:spacing w:line="480" w:lineRule="auto"/>
        <w:jc w:val="center"/>
        <w:rPr>
          <w:color w:val="000000" w:themeColor="text1"/>
          <w:sz w:val="96"/>
          <w:szCs w:val="96"/>
        </w:rPr>
      </w:pPr>
      <w:r w:rsidRPr="00A77AF6">
        <w:rPr>
          <w:rFonts w:ascii="Arial" w:hAnsi="Arial" w:cs="Arial"/>
          <w:color w:val="000000" w:themeColor="text1"/>
          <w:sz w:val="28"/>
          <w:szCs w:val="28"/>
          <w:shd w:val="clear" w:color="auto" w:fill="FFFFFF"/>
        </w:rPr>
        <w:t>https://orcid.org/0000-0003-4832-2618</w:t>
      </w:r>
    </w:p>
    <w:p w14:paraId="001E11A2" w14:textId="77777777" w:rsidR="0022600C" w:rsidRPr="00A77AF6" w:rsidRDefault="005625B2" w:rsidP="0022600C">
      <w:pPr>
        <w:spacing w:after="0" w:line="240" w:lineRule="auto"/>
        <w:jc w:val="center"/>
        <w:rPr>
          <w:sz w:val="24"/>
        </w:rPr>
      </w:pPr>
      <w:r w:rsidRPr="00A77AF6">
        <w:rPr>
          <w:sz w:val="24"/>
        </w:rPr>
        <w:t>A thesis submitted in partial fulfilment of the</w:t>
      </w:r>
    </w:p>
    <w:p w14:paraId="6B964CAA" w14:textId="77777777" w:rsidR="0022600C" w:rsidRPr="00A77AF6" w:rsidRDefault="005625B2" w:rsidP="0022600C">
      <w:pPr>
        <w:spacing w:after="0" w:line="240" w:lineRule="auto"/>
        <w:jc w:val="center"/>
        <w:rPr>
          <w:sz w:val="24"/>
        </w:rPr>
      </w:pPr>
      <w:r w:rsidRPr="00A77AF6">
        <w:rPr>
          <w:sz w:val="24"/>
        </w:rPr>
        <w:t xml:space="preserve"> requirements of London South Bank University</w:t>
      </w:r>
    </w:p>
    <w:p w14:paraId="58C1D2C9" w14:textId="1C971892" w:rsidR="00592DE8" w:rsidRPr="00A77AF6" w:rsidRDefault="005625B2" w:rsidP="0022600C">
      <w:pPr>
        <w:spacing w:after="0" w:line="240" w:lineRule="auto"/>
        <w:jc w:val="center"/>
        <w:rPr>
          <w:sz w:val="28"/>
          <w:szCs w:val="24"/>
        </w:rPr>
      </w:pPr>
      <w:r w:rsidRPr="00A77AF6">
        <w:rPr>
          <w:sz w:val="24"/>
        </w:rPr>
        <w:t xml:space="preserve"> for the degree of Doctor of Philosophy</w:t>
      </w:r>
    </w:p>
    <w:p w14:paraId="49A91C7E" w14:textId="77777777" w:rsidR="00592DE8" w:rsidRPr="00A77AF6" w:rsidRDefault="00592DE8" w:rsidP="006C06B4">
      <w:pPr>
        <w:spacing w:line="480" w:lineRule="auto"/>
        <w:jc w:val="center"/>
        <w:rPr>
          <w:sz w:val="32"/>
        </w:rPr>
      </w:pPr>
    </w:p>
    <w:p w14:paraId="34E5CF01" w14:textId="5AD3FDEE" w:rsidR="00592DE8" w:rsidRPr="00A77AF6" w:rsidRDefault="00BE7C0A" w:rsidP="0022600C">
      <w:pPr>
        <w:spacing w:line="480" w:lineRule="auto"/>
        <w:ind w:left="3600"/>
        <w:rPr>
          <w:sz w:val="24"/>
        </w:rPr>
      </w:pPr>
      <w:r>
        <w:rPr>
          <w:sz w:val="24"/>
        </w:rPr>
        <w:t>April</w:t>
      </w:r>
      <w:r w:rsidR="00C85B81">
        <w:rPr>
          <w:sz w:val="24"/>
        </w:rPr>
        <w:t xml:space="preserve"> 2020</w:t>
      </w:r>
    </w:p>
    <w:p w14:paraId="20CCB8A1" w14:textId="77777777" w:rsidR="00592DE8" w:rsidRPr="00A77AF6" w:rsidRDefault="00592DE8" w:rsidP="00592DE8">
      <w:pPr>
        <w:spacing w:line="480" w:lineRule="auto"/>
        <w:rPr>
          <w:sz w:val="32"/>
        </w:rPr>
      </w:pPr>
    </w:p>
    <w:p w14:paraId="2E047F40" w14:textId="77777777" w:rsidR="00823880" w:rsidRPr="00A77AF6" w:rsidRDefault="00823880">
      <w:pPr>
        <w:sectPr w:rsidR="00823880" w:rsidRPr="00A77AF6" w:rsidSect="006327FF">
          <w:footerReference w:type="default" r:id="rId9"/>
          <w:type w:val="continuous"/>
          <w:pgSz w:w="11906" w:h="16838"/>
          <w:pgMar w:top="1440" w:right="851" w:bottom="1440" w:left="2268" w:header="709" w:footer="709" w:gutter="0"/>
          <w:cols w:space="708"/>
          <w:docGrid w:linePitch="360"/>
        </w:sectPr>
      </w:pPr>
    </w:p>
    <w:p w14:paraId="0D2024BD" w14:textId="77777777" w:rsidR="00492549" w:rsidRPr="00A77AF6" w:rsidRDefault="00492549" w:rsidP="00E90F0F">
      <w:pPr>
        <w:pStyle w:val="Heading1"/>
        <w:numPr>
          <w:ilvl w:val="0"/>
          <w:numId w:val="0"/>
        </w:numPr>
        <w:spacing w:after="120"/>
        <w:rPr>
          <w:lang w:val="en-GB"/>
        </w:rPr>
      </w:pPr>
      <w:bookmarkStart w:id="0" w:name="_Toc36275022"/>
      <w:r w:rsidRPr="00A77AF6">
        <w:rPr>
          <w:lang w:val="en-GB"/>
        </w:rPr>
        <w:lastRenderedPageBreak/>
        <w:t>Abstract</w:t>
      </w:r>
      <w:bookmarkEnd w:id="0"/>
    </w:p>
    <w:p w14:paraId="649F6E89" w14:textId="203ACF52" w:rsidR="009F658D" w:rsidRPr="00A77AF6" w:rsidRDefault="003C2838" w:rsidP="008B4CCE">
      <w:pPr>
        <w:spacing w:line="360" w:lineRule="auto"/>
        <w:ind w:right="709"/>
        <w:rPr>
          <w:color w:val="000000"/>
          <w:lang w:eastAsia="en-GB"/>
        </w:rPr>
      </w:pPr>
      <w:r w:rsidRPr="00A77AF6">
        <w:rPr>
          <w:color w:val="000000"/>
          <w:lang w:eastAsia="en-GB"/>
        </w:rPr>
        <w:t>Critical success factors (CSF) for project success have been studied</w:t>
      </w:r>
      <w:r w:rsidR="00516CAF" w:rsidRPr="00A77AF6">
        <w:rPr>
          <w:color w:val="000000"/>
          <w:lang w:eastAsia="en-GB"/>
        </w:rPr>
        <w:t xml:space="preserve"> for </w:t>
      </w:r>
      <w:r w:rsidR="00A0140C" w:rsidRPr="00A77AF6">
        <w:rPr>
          <w:color w:val="000000"/>
          <w:lang w:eastAsia="en-GB"/>
        </w:rPr>
        <w:t>nearly half a century</w:t>
      </w:r>
      <w:r w:rsidR="00D81D65" w:rsidRPr="00A77AF6">
        <w:rPr>
          <w:color w:val="000000"/>
          <w:lang w:eastAsia="en-GB"/>
        </w:rPr>
        <w:t>, but</w:t>
      </w:r>
      <w:r w:rsidR="00516CAF" w:rsidRPr="00A77AF6">
        <w:rPr>
          <w:color w:val="000000"/>
          <w:lang w:eastAsia="en-GB"/>
        </w:rPr>
        <w:t xml:space="preserve"> t</w:t>
      </w:r>
      <w:r w:rsidRPr="00A77AF6">
        <w:rPr>
          <w:color w:val="000000"/>
          <w:lang w:eastAsia="en-GB"/>
        </w:rPr>
        <w:t xml:space="preserve">here are few studies on governance </w:t>
      </w:r>
      <w:r w:rsidR="00A0140C" w:rsidRPr="00A77AF6">
        <w:rPr>
          <w:color w:val="000000"/>
          <w:lang w:eastAsia="en-GB"/>
        </w:rPr>
        <w:t xml:space="preserve">and </w:t>
      </w:r>
      <w:r w:rsidR="00001AD9" w:rsidRPr="00A77AF6">
        <w:rPr>
          <w:color w:val="000000"/>
          <w:lang w:eastAsia="en-GB"/>
        </w:rPr>
        <w:t xml:space="preserve">none on </w:t>
      </w:r>
      <w:r w:rsidR="00A0140C" w:rsidRPr="00A77AF6">
        <w:rPr>
          <w:color w:val="000000"/>
          <w:lang w:eastAsia="en-GB"/>
        </w:rPr>
        <w:t>e</w:t>
      </w:r>
      <w:r w:rsidR="00DC728E" w:rsidRPr="00A77AF6">
        <w:rPr>
          <w:color w:val="000000"/>
          <w:lang w:eastAsia="en-GB"/>
        </w:rPr>
        <w:t xml:space="preserve">thical predisposition </w:t>
      </w:r>
      <w:r w:rsidR="00FC756C" w:rsidRPr="00A77AF6">
        <w:rPr>
          <w:color w:val="000000"/>
          <w:lang w:eastAsia="en-GB"/>
        </w:rPr>
        <w:t>as a CSF</w:t>
      </w:r>
      <w:r w:rsidR="00001AD9" w:rsidRPr="00A77AF6">
        <w:rPr>
          <w:color w:val="000000"/>
          <w:lang w:eastAsia="en-GB"/>
        </w:rPr>
        <w:t xml:space="preserve"> for project success</w:t>
      </w:r>
      <w:r w:rsidR="00FC756C" w:rsidRPr="00A77AF6">
        <w:rPr>
          <w:color w:val="000000"/>
          <w:lang w:eastAsia="en-GB"/>
        </w:rPr>
        <w:t xml:space="preserve">.  </w:t>
      </w:r>
      <w:r w:rsidR="00001AD9" w:rsidRPr="00A77AF6">
        <w:rPr>
          <w:color w:val="000000"/>
          <w:lang w:eastAsia="en-GB"/>
        </w:rPr>
        <w:t>Although g</w:t>
      </w:r>
      <w:r w:rsidR="009F0686" w:rsidRPr="00A77AF6">
        <w:rPr>
          <w:color w:val="000000"/>
          <w:lang w:eastAsia="en-GB"/>
        </w:rPr>
        <w:t xml:space="preserve">overnance and ethical predisposition </w:t>
      </w:r>
      <w:r w:rsidR="00001AD9" w:rsidRPr="00A77AF6">
        <w:rPr>
          <w:color w:val="000000"/>
          <w:lang w:eastAsia="en-GB"/>
        </w:rPr>
        <w:t xml:space="preserve">may appear to be unconnected, they are not. </w:t>
      </w:r>
      <w:r w:rsidR="00463EAE" w:rsidRPr="00A77AF6">
        <w:rPr>
          <w:color w:val="000000"/>
          <w:lang w:eastAsia="en-GB"/>
        </w:rPr>
        <w:t xml:space="preserve"> Governance is an organisation’s codified expression of </w:t>
      </w:r>
      <w:r w:rsidR="00D7380A" w:rsidRPr="00A77AF6">
        <w:rPr>
          <w:color w:val="000000"/>
          <w:lang w:eastAsia="en-GB"/>
        </w:rPr>
        <w:t>moral</w:t>
      </w:r>
      <w:r w:rsidR="00463EAE" w:rsidRPr="00A77AF6">
        <w:rPr>
          <w:color w:val="000000"/>
          <w:lang w:eastAsia="en-GB"/>
        </w:rPr>
        <w:t xml:space="preserve"> behaviour, a set of rules that require compliance.  </w:t>
      </w:r>
      <w:r w:rsidR="00936B2A" w:rsidRPr="00A77AF6">
        <w:rPr>
          <w:color w:val="000000"/>
          <w:lang w:eastAsia="en-GB"/>
        </w:rPr>
        <w:t>E</w:t>
      </w:r>
      <w:r w:rsidR="00084950" w:rsidRPr="00A77AF6">
        <w:rPr>
          <w:color w:val="000000"/>
          <w:lang w:eastAsia="en-GB"/>
        </w:rPr>
        <w:t xml:space="preserve">thical predisposition </w:t>
      </w:r>
      <w:r w:rsidR="00936B2A" w:rsidRPr="00A77AF6">
        <w:rPr>
          <w:color w:val="000000"/>
          <w:lang w:eastAsia="en-GB"/>
        </w:rPr>
        <w:t>is an individual’s preference for judging whether an act is moral based on</w:t>
      </w:r>
      <w:r w:rsidR="00001AD9" w:rsidRPr="00A77AF6">
        <w:rPr>
          <w:color w:val="000000"/>
          <w:lang w:eastAsia="en-GB"/>
        </w:rPr>
        <w:t xml:space="preserve"> following the rules or the outcome of one’s actions. </w:t>
      </w:r>
      <w:r w:rsidR="00D81D65" w:rsidRPr="00A77AF6">
        <w:rPr>
          <w:color w:val="000000"/>
          <w:lang w:eastAsia="en-GB"/>
        </w:rPr>
        <w:t>As e</w:t>
      </w:r>
      <w:r w:rsidR="00936B2A" w:rsidRPr="00A77AF6">
        <w:rPr>
          <w:color w:val="000000"/>
          <w:lang w:eastAsia="en-GB"/>
        </w:rPr>
        <w:t>thical predisposition a</w:t>
      </w:r>
      <w:r w:rsidR="00084950" w:rsidRPr="00A77AF6">
        <w:rPr>
          <w:color w:val="000000"/>
          <w:lang w:eastAsia="en-GB"/>
        </w:rPr>
        <w:t>ffect</w:t>
      </w:r>
      <w:r w:rsidR="00001AD9" w:rsidRPr="00A77AF6">
        <w:rPr>
          <w:color w:val="000000"/>
          <w:lang w:eastAsia="en-GB"/>
        </w:rPr>
        <w:t>s decisions about the value of</w:t>
      </w:r>
      <w:r w:rsidR="00084950" w:rsidRPr="00A77AF6">
        <w:rPr>
          <w:color w:val="000000"/>
          <w:lang w:eastAsia="en-GB"/>
        </w:rPr>
        <w:t xml:space="preserve"> </w:t>
      </w:r>
      <w:r w:rsidR="00910033" w:rsidRPr="00A77AF6">
        <w:rPr>
          <w:color w:val="000000"/>
          <w:lang w:eastAsia="en-GB"/>
        </w:rPr>
        <w:t>rules</w:t>
      </w:r>
      <w:r w:rsidR="00D81D65" w:rsidRPr="00A77AF6">
        <w:rPr>
          <w:color w:val="000000"/>
          <w:lang w:eastAsia="en-GB"/>
        </w:rPr>
        <w:t xml:space="preserve"> compliance</w:t>
      </w:r>
      <w:r w:rsidR="004E7DB7">
        <w:rPr>
          <w:color w:val="000000"/>
          <w:lang w:eastAsia="en-GB"/>
        </w:rPr>
        <w:t xml:space="preserve">, </w:t>
      </w:r>
      <w:r w:rsidR="00D81D65" w:rsidRPr="00A77AF6">
        <w:rPr>
          <w:color w:val="000000"/>
          <w:lang w:eastAsia="en-GB"/>
        </w:rPr>
        <w:t xml:space="preserve"> </w:t>
      </w:r>
      <w:r w:rsidR="00D7380A" w:rsidRPr="00A77AF6">
        <w:rPr>
          <w:color w:val="000000"/>
          <w:lang w:eastAsia="en-GB"/>
        </w:rPr>
        <w:t xml:space="preserve">an understanding </w:t>
      </w:r>
      <w:r w:rsidR="00936B2A" w:rsidRPr="00A77AF6">
        <w:rPr>
          <w:color w:val="000000"/>
          <w:lang w:eastAsia="en-GB"/>
        </w:rPr>
        <w:t>of</w:t>
      </w:r>
      <w:r w:rsidR="00910033" w:rsidRPr="00A77AF6">
        <w:rPr>
          <w:color w:val="000000"/>
          <w:lang w:eastAsia="en-GB"/>
        </w:rPr>
        <w:t xml:space="preserve"> </w:t>
      </w:r>
      <w:r w:rsidR="00D7380A" w:rsidRPr="00A77AF6">
        <w:rPr>
          <w:color w:val="000000"/>
          <w:lang w:eastAsia="en-GB"/>
        </w:rPr>
        <w:t xml:space="preserve">ethical pre-disposition </w:t>
      </w:r>
      <w:r w:rsidR="00910033" w:rsidRPr="00A77AF6">
        <w:rPr>
          <w:color w:val="000000"/>
          <w:lang w:eastAsia="en-GB"/>
        </w:rPr>
        <w:t>is helpful in the study of governance</w:t>
      </w:r>
      <w:r w:rsidR="00001AD9" w:rsidRPr="00A77AF6">
        <w:rPr>
          <w:color w:val="000000"/>
          <w:lang w:eastAsia="en-GB"/>
        </w:rPr>
        <w:t xml:space="preserve">. </w:t>
      </w:r>
    </w:p>
    <w:p w14:paraId="7ECF6668" w14:textId="637C511D" w:rsidR="003C2838" w:rsidRPr="00A77AF6" w:rsidRDefault="008B4CCE" w:rsidP="00516CAF">
      <w:pPr>
        <w:spacing w:line="360" w:lineRule="auto"/>
        <w:ind w:right="709"/>
        <w:rPr>
          <w:color w:val="000000"/>
          <w:lang w:eastAsia="en-GB"/>
        </w:rPr>
      </w:pPr>
      <w:r w:rsidRPr="00A77AF6">
        <w:rPr>
          <w:b/>
          <w:bCs/>
          <w:color w:val="000000"/>
          <w:lang w:eastAsia="en-GB"/>
        </w:rPr>
        <w:t xml:space="preserve">Rationale: </w:t>
      </w:r>
      <w:r w:rsidR="00D87C0F" w:rsidRPr="00A77AF6">
        <w:rPr>
          <w:color w:val="000000"/>
          <w:lang w:eastAsia="en-GB"/>
        </w:rPr>
        <w:t xml:space="preserve">The NHS is a large user of construction services and the UK Government’s 2019 investment plan for investment healthcare infrastructure suggests that </w:t>
      </w:r>
      <w:r w:rsidR="00D81D65" w:rsidRPr="00A77AF6">
        <w:rPr>
          <w:color w:val="000000"/>
          <w:lang w:eastAsia="en-GB"/>
        </w:rPr>
        <w:t xml:space="preserve">it will continue to be so. </w:t>
      </w:r>
      <w:r w:rsidR="003C2838" w:rsidRPr="00A77AF6">
        <w:rPr>
          <w:color w:val="000000"/>
          <w:lang w:eastAsia="en-GB"/>
        </w:rPr>
        <w:t xml:space="preserve">Successful project outcome is </w:t>
      </w:r>
      <w:r w:rsidR="00516CAF" w:rsidRPr="00A77AF6">
        <w:rPr>
          <w:color w:val="000000"/>
          <w:lang w:eastAsia="en-GB"/>
        </w:rPr>
        <w:t>vital</w:t>
      </w:r>
      <w:r w:rsidR="003C2838" w:rsidRPr="00A77AF6">
        <w:rPr>
          <w:color w:val="000000"/>
          <w:lang w:eastAsia="en-GB"/>
        </w:rPr>
        <w:t xml:space="preserve"> because of the negative impact that late, over budget and poor-quality </w:t>
      </w:r>
      <w:r w:rsidR="00EF44BE" w:rsidRPr="00A77AF6">
        <w:rPr>
          <w:color w:val="000000"/>
          <w:lang w:eastAsia="en-GB"/>
        </w:rPr>
        <w:t xml:space="preserve">NHS </w:t>
      </w:r>
      <w:r w:rsidR="003C2838" w:rsidRPr="00A77AF6">
        <w:rPr>
          <w:color w:val="000000"/>
          <w:lang w:eastAsia="en-GB"/>
        </w:rPr>
        <w:t xml:space="preserve">projects have on service provision and public finances.  </w:t>
      </w:r>
    </w:p>
    <w:p w14:paraId="16B7AE5F" w14:textId="6D050693" w:rsidR="00516CAF" w:rsidRPr="00A77AF6" w:rsidRDefault="003C2838" w:rsidP="00516CAF">
      <w:pPr>
        <w:spacing w:line="360" w:lineRule="auto"/>
        <w:ind w:right="709"/>
        <w:rPr>
          <w:color w:val="000000"/>
          <w:lang w:eastAsia="en-GB"/>
        </w:rPr>
      </w:pPr>
      <w:r w:rsidRPr="00A77AF6">
        <w:rPr>
          <w:b/>
          <w:bCs/>
          <w:color w:val="000000"/>
          <w:lang w:eastAsia="en-GB"/>
        </w:rPr>
        <w:t>Aim:</w:t>
      </w:r>
      <w:r w:rsidRPr="00A77AF6">
        <w:rPr>
          <w:color w:val="000000"/>
          <w:lang w:eastAsia="en-GB"/>
        </w:rPr>
        <w:t xml:space="preserve"> </w:t>
      </w:r>
      <w:r w:rsidR="00BC0238" w:rsidRPr="00A77AF6">
        <w:rPr>
          <w:color w:val="000000"/>
          <w:lang w:eastAsia="en-GB"/>
        </w:rPr>
        <w:t>T</w:t>
      </w:r>
      <w:r w:rsidR="006C3224" w:rsidRPr="00A77AF6">
        <w:rPr>
          <w:color w:val="000000"/>
          <w:lang w:eastAsia="en-GB"/>
        </w:rPr>
        <w:t xml:space="preserve">o investigate whether ethical predisposition and governance </w:t>
      </w:r>
      <w:r w:rsidRPr="00A77AF6">
        <w:rPr>
          <w:color w:val="000000"/>
          <w:lang w:eastAsia="en-GB"/>
        </w:rPr>
        <w:t xml:space="preserve">are </w:t>
      </w:r>
      <w:r w:rsidR="006C3224" w:rsidRPr="00A77AF6">
        <w:rPr>
          <w:color w:val="000000"/>
          <w:lang w:eastAsia="en-GB"/>
        </w:rPr>
        <w:t>CSF</w:t>
      </w:r>
      <w:r w:rsidRPr="00A77AF6">
        <w:rPr>
          <w:color w:val="000000"/>
          <w:lang w:eastAsia="en-GB"/>
        </w:rPr>
        <w:t>s</w:t>
      </w:r>
      <w:r w:rsidR="006C3224" w:rsidRPr="00A77AF6">
        <w:rPr>
          <w:color w:val="000000"/>
          <w:lang w:eastAsia="en-GB"/>
        </w:rPr>
        <w:t xml:space="preserve"> for construction projects</w:t>
      </w:r>
      <w:r w:rsidR="00FA703E" w:rsidRPr="00A77AF6">
        <w:rPr>
          <w:color w:val="000000"/>
          <w:lang w:eastAsia="en-GB"/>
        </w:rPr>
        <w:t xml:space="preserve"> in the English NHS. </w:t>
      </w:r>
      <w:r w:rsidR="006C3224" w:rsidRPr="00A77AF6">
        <w:rPr>
          <w:color w:val="000000"/>
          <w:lang w:eastAsia="en-GB"/>
        </w:rPr>
        <w:t xml:space="preserve"> </w:t>
      </w:r>
    </w:p>
    <w:p w14:paraId="5DEA3248" w14:textId="77777777" w:rsidR="005275A4" w:rsidRPr="00A77AF6" w:rsidRDefault="00BC0238" w:rsidP="005275A4">
      <w:pPr>
        <w:spacing w:after="120" w:line="360" w:lineRule="auto"/>
        <w:ind w:right="709"/>
        <w:rPr>
          <w:b/>
          <w:bCs/>
          <w:color w:val="000000"/>
          <w:lang w:eastAsia="en-GB"/>
        </w:rPr>
      </w:pPr>
      <w:r w:rsidRPr="00A77AF6">
        <w:rPr>
          <w:b/>
          <w:bCs/>
          <w:color w:val="000000"/>
          <w:lang w:eastAsia="en-GB"/>
        </w:rPr>
        <w:t xml:space="preserve">Research Questions: </w:t>
      </w:r>
    </w:p>
    <w:p w14:paraId="610D7A8D" w14:textId="77777777" w:rsidR="00F5009E" w:rsidRPr="00A77AF6" w:rsidRDefault="00F5009E" w:rsidP="00F5009E">
      <w:pPr>
        <w:spacing w:after="0" w:line="360" w:lineRule="auto"/>
        <w:rPr>
          <w:b/>
          <w:bCs/>
        </w:rPr>
      </w:pPr>
      <w:r w:rsidRPr="00A77AF6">
        <w:rPr>
          <w:b/>
          <w:bCs/>
        </w:rPr>
        <w:t xml:space="preserve">Question 1  </w:t>
      </w:r>
    </w:p>
    <w:p w14:paraId="5D236A22" w14:textId="77777777" w:rsidR="00F5009E" w:rsidRPr="00A77AF6" w:rsidRDefault="00F5009E" w:rsidP="004A79C9">
      <w:pPr>
        <w:pStyle w:val="ListParagraph"/>
        <w:numPr>
          <w:ilvl w:val="0"/>
          <w:numId w:val="21"/>
        </w:numPr>
        <w:spacing w:after="0" w:line="360" w:lineRule="auto"/>
      </w:pPr>
      <w:r w:rsidRPr="00A77AF6">
        <w:t>What is the ethical predisposition of project personnel in English NHS construction projects?</w:t>
      </w:r>
    </w:p>
    <w:p w14:paraId="32AB7E4F" w14:textId="77777777" w:rsidR="00F5009E" w:rsidRPr="00A77AF6" w:rsidRDefault="00F5009E" w:rsidP="004A79C9">
      <w:pPr>
        <w:pStyle w:val="ListParagraph"/>
        <w:numPr>
          <w:ilvl w:val="0"/>
          <w:numId w:val="21"/>
        </w:numPr>
        <w:spacing w:after="0" w:line="360" w:lineRule="auto"/>
      </w:pPr>
      <w:r w:rsidRPr="00A77AF6">
        <w:t xml:space="preserve">What impact does ethical predisposition have on project success English NHS construction projects?  </w:t>
      </w:r>
    </w:p>
    <w:p w14:paraId="78195C03" w14:textId="77777777" w:rsidR="00F5009E" w:rsidRPr="00A77AF6" w:rsidRDefault="00F5009E" w:rsidP="00F5009E">
      <w:pPr>
        <w:spacing w:after="0" w:line="360" w:lineRule="auto"/>
      </w:pPr>
      <w:r w:rsidRPr="00A77AF6">
        <w:rPr>
          <w:b/>
          <w:bCs/>
        </w:rPr>
        <w:t xml:space="preserve">Question 2: </w:t>
      </w:r>
      <w:r w:rsidRPr="00A77AF6">
        <w:t xml:space="preserve">What impact do corporate and project governance have </w:t>
      </w:r>
      <w:r>
        <w:t>o</w:t>
      </w:r>
      <w:r w:rsidRPr="00A77AF6">
        <w:t xml:space="preserve">n English NHS construction projects? </w:t>
      </w:r>
    </w:p>
    <w:p w14:paraId="74EC553F" w14:textId="7C83D927" w:rsidR="00F5009E" w:rsidRPr="00A77AF6" w:rsidRDefault="00F5009E" w:rsidP="00A14652">
      <w:pPr>
        <w:spacing w:after="120" w:line="360" w:lineRule="auto"/>
      </w:pPr>
      <w:r>
        <w:rPr>
          <w:b/>
        </w:rPr>
        <w:t xml:space="preserve">Objectives: </w:t>
      </w:r>
      <w:r w:rsidRPr="00A14652">
        <w:rPr>
          <w:bCs/>
        </w:rPr>
        <w:t>to explore</w:t>
      </w:r>
      <w:r w:rsidRPr="00A77AF6">
        <w:t xml:space="preserve"> the ethical predisposition of client-side personnel in the delivery of construction projects</w:t>
      </w:r>
      <w:r w:rsidR="00A14652">
        <w:t>; e</w:t>
      </w:r>
      <w:r w:rsidRPr="00A77AF6">
        <w:t>xamine the relationship between ethical predisposition and project success</w:t>
      </w:r>
      <w:r w:rsidR="00A14652">
        <w:t>; e</w:t>
      </w:r>
      <w:r w:rsidRPr="00A77AF6">
        <w:t>xamine the relationship between project governance and project success</w:t>
      </w:r>
      <w:r w:rsidR="00A14652">
        <w:t>; e</w:t>
      </w:r>
      <w:r w:rsidRPr="00A77AF6">
        <w:t>xplain how success is measured</w:t>
      </w:r>
      <w:r w:rsidR="00A14652">
        <w:t xml:space="preserve"> and d</w:t>
      </w:r>
      <w:r w:rsidRPr="00A77AF6">
        <w:t xml:space="preserve">evelop a project assurance model to guide project sponsors in the establishment of good governance in projects  </w:t>
      </w:r>
    </w:p>
    <w:p w14:paraId="6EBC83CE" w14:textId="4ADB1624" w:rsidR="00B128AA" w:rsidRPr="00A77AF6" w:rsidRDefault="00770763" w:rsidP="00516CAF">
      <w:pPr>
        <w:spacing w:line="360" w:lineRule="auto"/>
        <w:ind w:right="709"/>
        <w:rPr>
          <w:color w:val="000000"/>
          <w:lang w:eastAsia="en-GB"/>
        </w:rPr>
      </w:pPr>
      <w:r w:rsidRPr="00A77AF6">
        <w:rPr>
          <w:color w:val="000000"/>
          <w:lang w:eastAsia="en-GB"/>
        </w:rPr>
        <w:t xml:space="preserve">A mixed methods explanatory approach was </w:t>
      </w:r>
      <w:r w:rsidR="00EF44BE" w:rsidRPr="00A77AF6">
        <w:rPr>
          <w:color w:val="000000"/>
          <w:lang w:eastAsia="en-GB"/>
        </w:rPr>
        <w:t>employed</w:t>
      </w:r>
      <w:r w:rsidR="0021189F" w:rsidRPr="00A77AF6">
        <w:rPr>
          <w:color w:val="000000"/>
          <w:lang w:eastAsia="en-GB"/>
        </w:rPr>
        <w:t xml:space="preserve"> using a </w:t>
      </w:r>
      <w:r w:rsidR="00910033" w:rsidRPr="00A77AF6">
        <w:rPr>
          <w:color w:val="000000"/>
          <w:lang w:eastAsia="en-GB"/>
        </w:rPr>
        <w:t xml:space="preserve">survey </w:t>
      </w:r>
      <w:r w:rsidR="0021189F" w:rsidRPr="00A77AF6">
        <w:rPr>
          <w:color w:val="000000"/>
          <w:lang w:eastAsia="en-GB"/>
        </w:rPr>
        <w:t xml:space="preserve">and </w:t>
      </w:r>
      <w:r w:rsidR="00910033" w:rsidRPr="00A77AF6">
        <w:rPr>
          <w:color w:val="000000"/>
          <w:lang w:eastAsia="en-GB"/>
        </w:rPr>
        <w:t xml:space="preserve">six </w:t>
      </w:r>
      <w:r w:rsidR="0021189F" w:rsidRPr="00A77AF6">
        <w:rPr>
          <w:color w:val="000000"/>
          <w:lang w:eastAsia="en-GB"/>
        </w:rPr>
        <w:t xml:space="preserve">follow-up </w:t>
      </w:r>
      <w:r w:rsidR="00EF44BE" w:rsidRPr="00A77AF6">
        <w:rPr>
          <w:color w:val="000000"/>
          <w:lang w:eastAsia="en-GB"/>
        </w:rPr>
        <w:t xml:space="preserve">face-to-face </w:t>
      </w:r>
      <w:r w:rsidR="00910033" w:rsidRPr="00A77AF6">
        <w:rPr>
          <w:color w:val="000000"/>
          <w:lang w:eastAsia="en-GB"/>
        </w:rPr>
        <w:t>interviews</w:t>
      </w:r>
      <w:r w:rsidRPr="00A77AF6">
        <w:rPr>
          <w:color w:val="000000"/>
          <w:lang w:eastAsia="en-GB"/>
        </w:rPr>
        <w:t xml:space="preserve">.  </w:t>
      </w:r>
      <w:r w:rsidR="00D81D65" w:rsidRPr="00A77AF6">
        <w:rPr>
          <w:color w:val="000000"/>
          <w:lang w:eastAsia="en-GB"/>
        </w:rPr>
        <w:t xml:space="preserve">The survey revealed the predominance of rules-following, low effectiveness of corporate governance and evidence that time, cost and quality are not </w:t>
      </w:r>
      <w:r w:rsidR="00D81D65" w:rsidRPr="00A77AF6">
        <w:rPr>
          <w:color w:val="000000"/>
          <w:lang w:eastAsia="en-GB"/>
        </w:rPr>
        <w:lastRenderedPageBreak/>
        <w:t xml:space="preserve">the main measures of project success.  </w:t>
      </w:r>
      <w:r w:rsidR="008A7E57" w:rsidRPr="00A77AF6">
        <w:rPr>
          <w:color w:val="000000"/>
          <w:lang w:eastAsia="en-GB"/>
        </w:rPr>
        <w:t>Statistical a</w:t>
      </w:r>
      <w:r w:rsidR="00910033" w:rsidRPr="00A77AF6">
        <w:rPr>
          <w:color w:val="000000"/>
          <w:lang w:eastAsia="en-GB"/>
        </w:rPr>
        <w:t xml:space="preserve">nalysis </w:t>
      </w:r>
      <w:r w:rsidR="00D81D65" w:rsidRPr="00A77AF6">
        <w:rPr>
          <w:color w:val="000000"/>
          <w:lang w:eastAsia="en-GB"/>
        </w:rPr>
        <w:t>showed</w:t>
      </w:r>
      <w:r w:rsidR="00910033" w:rsidRPr="00A77AF6">
        <w:rPr>
          <w:color w:val="000000"/>
          <w:lang w:eastAsia="en-GB"/>
        </w:rPr>
        <w:t xml:space="preserve"> weak correlation between ethical predisposition</w:t>
      </w:r>
      <w:r w:rsidR="00D81D65" w:rsidRPr="00A77AF6">
        <w:rPr>
          <w:color w:val="000000"/>
          <w:lang w:eastAsia="en-GB"/>
        </w:rPr>
        <w:t xml:space="preserve"> and </w:t>
      </w:r>
      <w:r w:rsidR="00910033" w:rsidRPr="00A77AF6">
        <w:rPr>
          <w:color w:val="000000"/>
          <w:lang w:eastAsia="en-GB"/>
        </w:rPr>
        <w:t xml:space="preserve">governance and project success. </w:t>
      </w:r>
      <w:r w:rsidR="00EF44BE" w:rsidRPr="00A77AF6">
        <w:rPr>
          <w:color w:val="000000"/>
          <w:lang w:eastAsia="en-GB"/>
        </w:rPr>
        <w:t>In</w:t>
      </w:r>
      <w:r w:rsidR="00B128AA" w:rsidRPr="00A77AF6">
        <w:rPr>
          <w:color w:val="000000"/>
          <w:lang w:eastAsia="en-GB"/>
        </w:rPr>
        <w:t xml:space="preserve">terviews </w:t>
      </w:r>
      <w:r w:rsidR="00C27ABE" w:rsidRPr="00A77AF6">
        <w:rPr>
          <w:color w:val="000000"/>
          <w:lang w:eastAsia="en-GB"/>
        </w:rPr>
        <w:t>suggested that</w:t>
      </w:r>
      <w:r w:rsidR="00D7380A" w:rsidRPr="00A77AF6">
        <w:rPr>
          <w:color w:val="000000"/>
          <w:lang w:eastAsia="en-GB"/>
        </w:rPr>
        <w:t xml:space="preserve"> </w:t>
      </w:r>
      <w:r w:rsidR="00C27ABE" w:rsidRPr="00A77AF6">
        <w:rPr>
          <w:color w:val="000000"/>
          <w:lang w:eastAsia="en-GB"/>
        </w:rPr>
        <w:t>culture,</w:t>
      </w:r>
      <w:r w:rsidR="00EF44BE" w:rsidRPr="00A77AF6">
        <w:rPr>
          <w:color w:val="000000"/>
          <w:lang w:eastAsia="en-GB"/>
        </w:rPr>
        <w:t xml:space="preserve"> the trust board’s project oversight</w:t>
      </w:r>
      <w:r w:rsidR="00232C71" w:rsidRPr="00A77AF6">
        <w:rPr>
          <w:color w:val="000000"/>
          <w:lang w:eastAsia="en-GB"/>
        </w:rPr>
        <w:t xml:space="preserve">, </w:t>
      </w:r>
      <w:r w:rsidR="00910033" w:rsidRPr="00A77AF6">
        <w:rPr>
          <w:color w:val="000000"/>
          <w:lang w:eastAsia="en-GB"/>
        </w:rPr>
        <w:t xml:space="preserve">and </w:t>
      </w:r>
      <w:r w:rsidR="00232C71" w:rsidRPr="00A77AF6">
        <w:rPr>
          <w:color w:val="000000"/>
          <w:lang w:eastAsia="en-GB"/>
        </w:rPr>
        <w:t xml:space="preserve">the </w:t>
      </w:r>
      <w:r w:rsidR="00EF44BE" w:rsidRPr="00A77AF6">
        <w:rPr>
          <w:color w:val="000000"/>
          <w:lang w:eastAsia="en-GB"/>
        </w:rPr>
        <w:t xml:space="preserve">lack of knowledge about project performance in the operational phase </w:t>
      </w:r>
      <w:r w:rsidR="00C27ABE" w:rsidRPr="00A77AF6">
        <w:rPr>
          <w:color w:val="000000"/>
          <w:lang w:eastAsia="en-GB"/>
        </w:rPr>
        <w:t xml:space="preserve">need to be </w:t>
      </w:r>
      <w:r w:rsidR="00463EAE" w:rsidRPr="00A77AF6">
        <w:rPr>
          <w:color w:val="000000"/>
          <w:lang w:eastAsia="en-GB"/>
        </w:rPr>
        <w:t xml:space="preserve">addressed. </w:t>
      </w:r>
      <w:r w:rsidR="0021189F" w:rsidRPr="00A77AF6">
        <w:rPr>
          <w:color w:val="000000"/>
          <w:lang w:eastAsia="en-GB"/>
        </w:rPr>
        <w:t xml:space="preserve">It was concluded that </w:t>
      </w:r>
      <w:r w:rsidR="00D81D65" w:rsidRPr="00A77AF6">
        <w:rPr>
          <w:color w:val="000000"/>
          <w:lang w:eastAsia="en-GB"/>
        </w:rPr>
        <w:t>ethica</w:t>
      </w:r>
      <w:r w:rsidR="00154D50" w:rsidRPr="00A77AF6">
        <w:rPr>
          <w:color w:val="000000"/>
          <w:lang w:eastAsia="en-GB"/>
        </w:rPr>
        <w:t>l predisposition and g</w:t>
      </w:r>
      <w:r w:rsidR="00463EAE" w:rsidRPr="00A77AF6">
        <w:rPr>
          <w:color w:val="000000"/>
          <w:lang w:eastAsia="en-GB"/>
        </w:rPr>
        <w:t xml:space="preserve">overnance </w:t>
      </w:r>
      <w:r w:rsidR="00D81D65" w:rsidRPr="00A77AF6">
        <w:rPr>
          <w:color w:val="000000"/>
          <w:lang w:eastAsia="en-GB"/>
        </w:rPr>
        <w:t>are not</w:t>
      </w:r>
      <w:r w:rsidR="00EF44BE" w:rsidRPr="00A77AF6">
        <w:rPr>
          <w:color w:val="000000"/>
          <w:lang w:eastAsia="en-GB"/>
        </w:rPr>
        <w:t xml:space="preserve"> levers for success</w:t>
      </w:r>
      <w:r w:rsidR="00232C71" w:rsidRPr="00A77AF6">
        <w:rPr>
          <w:color w:val="000000"/>
          <w:lang w:eastAsia="en-GB"/>
        </w:rPr>
        <w:t>,</w:t>
      </w:r>
      <w:r w:rsidR="00154D50" w:rsidRPr="00A77AF6">
        <w:rPr>
          <w:color w:val="000000"/>
          <w:lang w:eastAsia="en-GB"/>
        </w:rPr>
        <w:t xml:space="preserve"> but </w:t>
      </w:r>
      <w:r w:rsidR="0021189F" w:rsidRPr="00A77AF6">
        <w:rPr>
          <w:color w:val="000000"/>
          <w:lang w:eastAsia="en-GB"/>
        </w:rPr>
        <w:t xml:space="preserve">rather should be adopted as measures of success </w:t>
      </w:r>
      <w:r w:rsidR="00D81D65" w:rsidRPr="00A77AF6">
        <w:rPr>
          <w:color w:val="000000"/>
          <w:lang w:eastAsia="en-GB"/>
        </w:rPr>
        <w:t>because the</w:t>
      </w:r>
      <w:r w:rsidR="0021189F" w:rsidRPr="00A77AF6">
        <w:rPr>
          <w:color w:val="000000"/>
          <w:lang w:eastAsia="en-GB"/>
        </w:rPr>
        <w:t xml:space="preserve">y are associated with </w:t>
      </w:r>
      <w:r w:rsidR="00232C71" w:rsidRPr="00A77AF6">
        <w:rPr>
          <w:color w:val="000000"/>
          <w:lang w:eastAsia="en-GB"/>
        </w:rPr>
        <w:t>openness</w:t>
      </w:r>
      <w:r w:rsidR="0021189F" w:rsidRPr="00A77AF6">
        <w:rPr>
          <w:color w:val="000000"/>
          <w:lang w:eastAsia="en-GB"/>
        </w:rPr>
        <w:t xml:space="preserve">, </w:t>
      </w:r>
      <w:r w:rsidR="00D81D65" w:rsidRPr="00A77AF6">
        <w:rPr>
          <w:color w:val="000000"/>
          <w:lang w:eastAsia="en-GB"/>
        </w:rPr>
        <w:t>transparency</w:t>
      </w:r>
      <w:r w:rsidR="0021189F" w:rsidRPr="00A77AF6">
        <w:rPr>
          <w:color w:val="000000"/>
          <w:lang w:eastAsia="en-GB"/>
        </w:rPr>
        <w:t xml:space="preserve"> and public confidence</w:t>
      </w:r>
      <w:r w:rsidR="00463EAE" w:rsidRPr="00A77AF6">
        <w:rPr>
          <w:color w:val="000000"/>
          <w:lang w:eastAsia="en-GB"/>
        </w:rPr>
        <w:t xml:space="preserve">.  </w:t>
      </w:r>
      <w:r w:rsidR="008A7E57" w:rsidRPr="00A77AF6">
        <w:rPr>
          <w:color w:val="000000"/>
          <w:lang w:eastAsia="en-GB"/>
        </w:rPr>
        <w:t xml:space="preserve">Measurement of project success should be carried out at the end of the project management phase and during the operational phase.  </w:t>
      </w:r>
      <w:r w:rsidR="00232C71" w:rsidRPr="00A77AF6">
        <w:rPr>
          <w:color w:val="000000"/>
          <w:lang w:eastAsia="en-GB"/>
        </w:rPr>
        <w:t>A</w:t>
      </w:r>
      <w:r w:rsidR="00C27ABE" w:rsidRPr="00A77AF6">
        <w:rPr>
          <w:color w:val="000000"/>
          <w:lang w:eastAsia="en-GB"/>
        </w:rPr>
        <w:t xml:space="preserve"> Project Assurance Model (PAM) </w:t>
      </w:r>
      <w:r w:rsidR="00154D50" w:rsidRPr="00A77AF6">
        <w:rPr>
          <w:color w:val="000000"/>
          <w:lang w:eastAsia="en-GB"/>
        </w:rPr>
        <w:t xml:space="preserve">was developed </w:t>
      </w:r>
      <w:r w:rsidR="00C27ABE" w:rsidRPr="00A77AF6">
        <w:rPr>
          <w:color w:val="000000"/>
          <w:lang w:eastAsia="en-GB"/>
        </w:rPr>
        <w:t>to guide corporate boards in their stewardship of projects</w:t>
      </w:r>
      <w:r w:rsidR="00E46516" w:rsidRPr="00A77AF6">
        <w:rPr>
          <w:color w:val="000000"/>
          <w:lang w:eastAsia="en-GB"/>
        </w:rPr>
        <w:t xml:space="preserve"> in the </w:t>
      </w:r>
      <w:r w:rsidR="00220650" w:rsidRPr="00A77AF6">
        <w:rPr>
          <w:color w:val="000000"/>
          <w:lang w:eastAsia="en-GB"/>
        </w:rPr>
        <w:t>project</w:t>
      </w:r>
      <w:r w:rsidR="00E46516" w:rsidRPr="00A77AF6">
        <w:rPr>
          <w:color w:val="000000"/>
          <w:lang w:eastAsia="en-GB"/>
        </w:rPr>
        <w:t xml:space="preserve"> management </w:t>
      </w:r>
      <w:r w:rsidR="00220650" w:rsidRPr="00A77AF6">
        <w:rPr>
          <w:color w:val="000000"/>
          <w:lang w:eastAsia="en-GB"/>
        </w:rPr>
        <w:t xml:space="preserve">and operational </w:t>
      </w:r>
      <w:r w:rsidR="00E46516" w:rsidRPr="00A77AF6">
        <w:rPr>
          <w:color w:val="000000"/>
          <w:lang w:eastAsia="en-GB"/>
        </w:rPr>
        <w:t>phase</w:t>
      </w:r>
      <w:r w:rsidR="00220650" w:rsidRPr="00A77AF6">
        <w:rPr>
          <w:color w:val="000000"/>
          <w:lang w:eastAsia="en-GB"/>
        </w:rPr>
        <w:t>s.</w:t>
      </w:r>
    </w:p>
    <w:p w14:paraId="70045CD7" w14:textId="5119748A" w:rsidR="00B128AA" w:rsidRPr="00A77AF6" w:rsidRDefault="00B128AA" w:rsidP="00770763">
      <w:pPr>
        <w:spacing w:line="480" w:lineRule="auto"/>
        <w:ind w:right="709"/>
        <w:rPr>
          <w:color w:val="000000"/>
          <w:lang w:eastAsia="en-GB"/>
        </w:rPr>
      </w:pPr>
    </w:p>
    <w:p w14:paraId="7D14E023" w14:textId="77777777" w:rsidR="00B128AA" w:rsidRPr="00A77AF6" w:rsidRDefault="00B128AA" w:rsidP="00770763">
      <w:pPr>
        <w:spacing w:line="480" w:lineRule="auto"/>
        <w:ind w:right="709"/>
        <w:rPr>
          <w:color w:val="000000"/>
          <w:lang w:eastAsia="en-GB"/>
        </w:rPr>
      </w:pPr>
    </w:p>
    <w:p w14:paraId="63BFFB04" w14:textId="77777777" w:rsidR="00B128AA" w:rsidRPr="00A77AF6" w:rsidRDefault="00B128AA" w:rsidP="00770763">
      <w:pPr>
        <w:spacing w:line="480" w:lineRule="auto"/>
        <w:ind w:right="709"/>
        <w:rPr>
          <w:color w:val="000000"/>
          <w:lang w:eastAsia="en-GB"/>
        </w:rPr>
      </w:pPr>
    </w:p>
    <w:p w14:paraId="665EA129" w14:textId="57598FD0" w:rsidR="00770763" w:rsidRPr="00A77AF6" w:rsidRDefault="00770763" w:rsidP="00492549">
      <w:pPr>
        <w:spacing w:line="480" w:lineRule="auto"/>
        <w:ind w:right="709"/>
        <w:rPr>
          <w:color w:val="000000"/>
          <w:sz w:val="24"/>
          <w:szCs w:val="24"/>
          <w:lang w:eastAsia="en-GB"/>
        </w:rPr>
      </w:pPr>
    </w:p>
    <w:p w14:paraId="21EF0A50" w14:textId="77777777" w:rsidR="00770763" w:rsidRPr="00A77AF6" w:rsidRDefault="00770763" w:rsidP="00492549">
      <w:pPr>
        <w:spacing w:line="480" w:lineRule="auto"/>
        <w:ind w:right="709"/>
        <w:rPr>
          <w:color w:val="000000"/>
          <w:sz w:val="24"/>
          <w:szCs w:val="24"/>
          <w:lang w:eastAsia="en-GB"/>
        </w:rPr>
      </w:pPr>
    </w:p>
    <w:p w14:paraId="6A53DE30" w14:textId="1EDCCC7D" w:rsidR="00770763" w:rsidRPr="00A77AF6" w:rsidRDefault="009F658D" w:rsidP="00220650">
      <w:pPr>
        <w:spacing w:after="0" w:line="480" w:lineRule="auto"/>
      </w:pPr>
      <w:r w:rsidRPr="00A77AF6">
        <w:rPr>
          <w:color w:val="000000"/>
          <w:sz w:val="24"/>
          <w:szCs w:val="24"/>
          <w:lang w:eastAsia="en-GB"/>
        </w:rPr>
        <w:t xml:space="preserve"> </w:t>
      </w:r>
    </w:p>
    <w:p w14:paraId="2C70CC47" w14:textId="2E7FCDD3" w:rsidR="00BF39D2" w:rsidRPr="00A77AF6" w:rsidRDefault="00BF39D2" w:rsidP="00492549">
      <w:pPr>
        <w:spacing w:line="480" w:lineRule="auto"/>
        <w:ind w:right="709"/>
        <w:rPr>
          <w:color w:val="000000"/>
          <w:sz w:val="24"/>
          <w:szCs w:val="24"/>
          <w:lang w:eastAsia="en-GB"/>
        </w:rPr>
      </w:pPr>
    </w:p>
    <w:p w14:paraId="4EEBE793" w14:textId="77777777" w:rsidR="00BF39D2" w:rsidRPr="00A77AF6" w:rsidRDefault="00BF39D2" w:rsidP="00492549">
      <w:pPr>
        <w:spacing w:line="480" w:lineRule="auto"/>
        <w:ind w:right="709"/>
        <w:rPr>
          <w:color w:val="000000"/>
          <w:sz w:val="24"/>
          <w:szCs w:val="24"/>
          <w:lang w:eastAsia="en-GB"/>
        </w:rPr>
      </w:pPr>
    </w:p>
    <w:p w14:paraId="250C6C83" w14:textId="77777777" w:rsidR="00836806" w:rsidRPr="00A77AF6" w:rsidRDefault="00836806" w:rsidP="00492549">
      <w:pPr>
        <w:spacing w:line="480" w:lineRule="auto"/>
        <w:ind w:right="709"/>
        <w:rPr>
          <w:color w:val="000000"/>
          <w:lang w:eastAsia="en-GB"/>
        </w:rPr>
      </w:pPr>
    </w:p>
    <w:p w14:paraId="1AE5D3F6" w14:textId="77777777" w:rsidR="00836806" w:rsidRPr="00A77AF6" w:rsidRDefault="00836806" w:rsidP="00492549">
      <w:pPr>
        <w:spacing w:line="480" w:lineRule="auto"/>
        <w:ind w:right="709"/>
        <w:rPr>
          <w:color w:val="000000"/>
          <w:lang w:eastAsia="en-GB"/>
        </w:rPr>
      </w:pPr>
    </w:p>
    <w:p w14:paraId="0FA2CCD3" w14:textId="77777777" w:rsidR="00836806" w:rsidRPr="00A77AF6" w:rsidRDefault="00836806" w:rsidP="00492549">
      <w:pPr>
        <w:spacing w:line="480" w:lineRule="auto"/>
        <w:ind w:right="709"/>
        <w:rPr>
          <w:color w:val="000000"/>
          <w:lang w:eastAsia="en-GB"/>
        </w:rPr>
      </w:pPr>
    </w:p>
    <w:p w14:paraId="139A8851" w14:textId="77777777" w:rsidR="004E7DB7" w:rsidRDefault="00492549" w:rsidP="00DD3022">
      <w:pPr>
        <w:jc w:val="center"/>
        <w:rPr>
          <w:b/>
        </w:rPr>
      </w:pPr>
      <w:r w:rsidRPr="00A77AF6">
        <w:rPr>
          <w:b/>
        </w:rPr>
        <w:br w:type="page"/>
      </w:r>
    </w:p>
    <w:p w14:paraId="15AD55FB" w14:textId="77777777" w:rsidR="004E7DB7" w:rsidRDefault="004E7DB7" w:rsidP="00DD3022">
      <w:pPr>
        <w:jc w:val="center"/>
        <w:rPr>
          <w:b/>
        </w:rPr>
      </w:pPr>
    </w:p>
    <w:p w14:paraId="5DEEFD81" w14:textId="77777777" w:rsidR="004E7DB7" w:rsidRDefault="004E7DB7" w:rsidP="00DD3022">
      <w:pPr>
        <w:jc w:val="center"/>
        <w:rPr>
          <w:b/>
        </w:rPr>
      </w:pPr>
    </w:p>
    <w:p w14:paraId="30930C24" w14:textId="77777777" w:rsidR="004E7DB7" w:rsidRDefault="004E7DB7" w:rsidP="00DD3022">
      <w:pPr>
        <w:jc w:val="center"/>
        <w:rPr>
          <w:b/>
        </w:rPr>
      </w:pPr>
    </w:p>
    <w:p w14:paraId="4D8B9896" w14:textId="77777777" w:rsidR="004E7DB7" w:rsidRDefault="004E7DB7" w:rsidP="00DD3022">
      <w:pPr>
        <w:jc w:val="center"/>
        <w:rPr>
          <w:b/>
        </w:rPr>
      </w:pPr>
    </w:p>
    <w:p w14:paraId="0EEBCE0C" w14:textId="77777777" w:rsidR="004E7DB7" w:rsidRDefault="004E7DB7" w:rsidP="00DD3022">
      <w:pPr>
        <w:jc w:val="center"/>
        <w:rPr>
          <w:b/>
        </w:rPr>
      </w:pPr>
    </w:p>
    <w:p w14:paraId="15E4CBA9" w14:textId="77777777" w:rsidR="004E7DB7" w:rsidRDefault="004E7DB7" w:rsidP="00DD3022">
      <w:pPr>
        <w:jc w:val="center"/>
        <w:rPr>
          <w:b/>
        </w:rPr>
      </w:pPr>
    </w:p>
    <w:p w14:paraId="2C6A8D6D" w14:textId="77777777" w:rsidR="004E7DB7" w:rsidRDefault="004E7DB7" w:rsidP="00DD3022">
      <w:pPr>
        <w:jc w:val="center"/>
        <w:rPr>
          <w:b/>
        </w:rPr>
      </w:pPr>
    </w:p>
    <w:p w14:paraId="68A5D6FA" w14:textId="0565C606" w:rsidR="00DD3022" w:rsidRPr="004E7DB7" w:rsidRDefault="00DD3022" w:rsidP="00DD3022">
      <w:pPr>
        <w:jc w:val="center"/>
        <w:rPr>
          <w:b/>
          <w:sz w:val="32"/>
          <w:szCs w:val="32"/>
        </w:rPr>
      </w:pPr>
      <w:r w:rsidRPr="004E7DB7">
        <w:rPr>
          <w:b/>
          <w:sz w:val="32"/>
          <w:szCs w:val="32"/>
        </w:rPr>
        <w:t xml:space="preserve">Dedicated to </w:t>
      </w:r>
      <w:r w:rsidR="00492549" w:rsidRPr="004E7DB7">
        <w:rPr>
          <w:b/>
          <w:sz w:val="32"/>
          <w:szCs w:val="32"/>
        </w:rPr>
        <w:t>my mother</w:t>
      </w:r>
    </w:p>
    <w:p w14:paraId="1629BEB5" w14:textId="2332A30C" w:rsidR="00492549" w:rsidRPr="004E7DB7" w:rsidRDefault="00492549" w:rsidP="00DD3022">
      <w:pPr>
        <w:jc w:val="center"/>
        <w:rPr>
          <w:bCs/>
          <w:sz w:val="28"/>
          <w:szCs w:val="28"/>
        </w:rPr>
      </w:pPr>
      <w:r w:rsidRPr="004E7DB7">
        <w:rPr>
          <w:bCs/>
          <w:sz w:val="32"/>
          <w:szCs w:val="32"/>
        </w:rPr>
        <w:t>Amelia G I Whelan</w:t>
      </w:r>
    </w:p>
    <w:p w14:paraId="198564C5" w14:textId="77777777" w:rsidR="00DD3022" w:rsidRPr="00A77AF6" w:rsidRDefault="00DD3022" w:rsidP="00492549">
      <w:pPr>
        <w:rPr>
          <w:b/>
          <w:bCs/>
        </w:rPr>
      </w:pPr>
    </w:p>
    <w:p w14:paraId="16B8EB77" w14:textId="77777777" w:rsidR="00C201E9" w:rsidRPr="00A77AF6" w:rsidRDefault="00C201E9">
      <w:pPr>
        <w:rPr>
          <w:b/>
          <w:bCs/>
        </w:rPr>
      </w:pPr>
      <w:r w:rsidRPr="00A77AF6">
        <w:rPr>
          <w:b/>
          <w:bCs/>
        </w:rPr>
        <w:br w:type="page"/>
      </w:r>
    </w:p>
    <w:p w14:paraId="6046CBED" w14:textId="4797698C" w:rsidR="00492549" w:rsidRPr="00A77AF6" w:rsidRDefault="0040376D" w:rsidP="00C201E9">
      <w:pPr>
        <w:spacing w:after="120"/>
        <w:rPr>
          <w:b/>
          <w:bCs/>
        </w:rPr>
      </w:pPr>
      <w:r w:rsidRPr="00A77AF6">
        <w:rPr>
          <w:b/>
          <w:bCs/>
        </w:rPr>
        <w:lastRenderedPageBreak/>
        <w:t>I</w:t>
      </w:r>
      <w:r w:rsidR="00492549" w:rsidRPr="00A77AF6">
        <w:rPr>
          <w:b/>
          <w:bCs/>
        </w:rPr>
        <w:t>n memory of</w:t>
      </w:r>
    </w:p>
    <w:p w14:paraId="170A28C7" w14:textId="0BF7BB63" w:rsidR="00492549" w:rsidRPr="00A77AF6" w:rsidRDefault="00EA6202" w:rsidP="0022600C">
      <w:pPr>
        <w:spacing w:after="0" w:line="240" w:lineRule="auto"/>
        <w:ind w:right="282"/>
      </w:pPr>
      <w:r w:rsidRPr="00A77AF6">
        <w:t xml:space="preserve">Robert Patrick Condon, George Anthony Hazard, </w:t>
      </w:r>
      <w:r w:rsidR="00492549" w:rsidRPr="00A77AF6">
        <w:t xml:space="preserve">Sarah </w:t>
      </w:r>
      <w:r w:rsidRPr="00A77AF6">
        <w:t xml:space="preserve">Elizabeth </w:t>
      </w:r>
      <w:r w:rsidR="00492549" w:rsidRPr="00A77AF6">
        <w:t>Wheeler</w:t>
      </w:r>
      <w:r w:rsidRPr="00A77AF6">
        <w:t>, J</w:t>
      </w:r>
      <w:r w:rsidR="00492549" w:rsidRPr="00A77AF6">
        <w:t>anette Brittin and Denise Gladys Richardson</w:t>
      </w:r>
      <w:r w:rsidRPr="00A77AF6">
        <w:t xml:space="preserve">. </w:t>
      </w:r>
      <w:r w:rsidR="00264826" w:rsidRPr="00A77AF6">
        <w:t>All of you were</w:t>
      </w:r>
      <w:r w:rsidR="001C5BFA" w:rsidRPr="00A77AF6">
        <w:t xml:space="preserve"> brilliant people</w:t>
      </w:r>
      <w:r w:rsidRPr="00A77AF6">
        <w:t xml:space="preserve"> and you are </w:t>
      </w:r>
      <w:r w:rsidR="00EA3136" w:rsidRPr="00A77AF6">
        <w:t xml:space="preserve">still </w:t>
      </w:r>
      <w:r w:rsidRPr="00A77AF6">
        <w:t xml:space="preserve">loved </w:t>
      </w:r>
      <w:r w:rsidR="001245CA" w:rsidRPr="00A77AF6">
        <w:t>and</w:t>
      </w:r>
      <w:r w:rsidR="00264826" w:rsidRPr="00A77AF6">
        <w:t xml:space="preserve"> deeply</w:t>
      </w:r>
      <w:r w:rsidR="001245CA" w:rsidRPr="00A77AF6">
        <w:t xml:space="preserve"> missed </w:t>
      </w:r>
      <w:r w:rsidRPr="00A77AF6">
        <w:t>by all who knew you</w:t>
      </w:r>
      <w:r w:rsidR="001C5BFA" w:rsidRPr="00A77AF6">
        <w:t xml:space="preserve">. </w:t>
      </w:r>
    </w:p>
    <w:p w14:paraId="7BCB206C" w14:textId="77777777" w:rsidR="00492549" w:rsidRPr="00A77AF6" w:rsidRDefault="00492549" w:rsidP="00492549">
      <w:pPr>
        <w:spacing w:after="0" w:line="240" w:lineRule="auto"/>
      </w:pPr>
    </w:p>
    <w:p w14:paraId="3AA7D009" w14:textId="5981C6C0" w:rsidR="00492549" w:rsidRPr="00A77AF6" w:rsidRDefault="00492549" w:rsidP="00492549">
      <w:pPr>
        <w:spacing w:after="0" w:line="240" w:lineRule="auto"/>
      </w:pPr>
      <w:r w:rsidRPr="00A77AF6">
        <w:t xml:space="preserve">Harold Whelan, my father, his brother John Whelan and their cousin Walter Tonge. All fought </w:t>
      </w:r>
      <w:r w:rsidR="004E40D6" w:rsidRPr="00A77AF6">
        <w:t xml:space="preserve">for freedom against </w:t>
      </w:r>
      <w:r w:rsidR="00264826" w:rsidRPr="00A77AF6">
        <w:t xml:space="preserve">bigotry </w:t>
      </w:r>
      <w:r w:rsidRPr="00A77AF6">
        <w:t>in WW2</w:t>
      </w:r>
      <w:r w:rsidR="004E40D6" w:rsidRPr="00A77AF6">
        <w:t xml:space="preserve">, </w:t>
      </w:r>
      <w:r w:rsidRPr="00A77AF6">
        <w:t xml:space="preserve">only Dad returned.  You all gave selfless service to your country. </w:t>
      </w:r>
      <w:r w:rsidR="00EA3136" w:rsidRPr="00A77AF6">
        <w:t>I hope we choose to hold on to the freedoms you fought for.</w:t>
      </w:r>
    </w:p>
    <w:p w14:paraId="52E4CC66" w14:textId="77777777" w:rsidR="00492549" w:rsidRPr="00A77AF6" w:rsidRDefault="00492549" w:rsidP="00492549">
      <w:pPr>
        <w:spacing w:after="0" w:line="240" w:lineRule="auto"/>
      </w:pPr>
    </w:p>
    <w:p w14:paraId="2E824ACF" w14:textId="77777777" w:rsidR="00492549" w:rsidRPr="00A77AF6" w:rsidRDefault="00492549" w:rsidP="00C201E9">
      <w:pPr>
        <w:spacing w:after="120"/>
        <w:rPr>
          <w:b/>
          <w:bCs/>
        </w:rPr>
      </w:pPr>
      <w:r w:rsidRPr="00A77AF6">
        <w:rPr>
          <w:b/>
          <w:bCs/>
        </w:rPr>
        <w:t>Acknowledgements</w:t>
      </w:r>
    </w:p>
    <w:p w14:paraId="577CB44D" w14:textId="62B28F16" w:rsidR="00492549" w:rsidRPr="00A77AF6" w:rsidRDefault="00EA3136" w:rsidP="00492549">
      <w:pPr>
        <w:spacing w:after="0"/>
      </w:pPr>
      <w:r w:rsidRPr="00A77AF6">
        <w:t xml:space="preserve">My thanks go to </w:t>
      </w:r>
      <w:r w:rsidR="00492549" w:rsidRPr="00A77AF6">
        <w:t>my superv</w:t>
      </w:r>
      <w:r w:rsidRPr="00A77AF6">
        <w:t>isors</w:t>
      </w:r>
      <w:r w:rsidR="00492549" w:rsidRPr="00A77AF6">
        <w:t>, Professor Herbert Robinson and Professor Andrew Chambers</w:t>
      </w:r>
      <w:r w:rsidR="00264826" w:rsidRPr="00A77AF6">
        <w:t xml:space="preserve"> who was</w:t>
      </w:r>
      <w:r w:rsidR="00EA6202" w:rsidRPr="00A77AF6">
        <w:t xml:space="preserve"> an inspiration.  </w:t>
      </w:r>
      <w:r w:rsidR="00492549" w:rsidRPr="00A77AF6">
        <w:t xml:space="preserve">Thank you </w:t>
      </w:r>
      <w:r w:rsidRPr="00A77AF6">
        <w:t xml:space="preserve">also </w:t>
      </w:r>
      <w:r w:rsidR="00492549" w:rsidRPr="00A77AF6">
        <w:t>to Dr</w:t>
      </w:r>
      <w:r w:rsidRPr="00A77AF6">
        <w:t>s</w:t>
      </w:r>
      <w:r w:rsidR="00492549" w:rsidRPr="00A77AF6">
        <w:t xml:space="preserve"> Yamuna Kaluarachchi and Issa Chaer</w:t>
      </w:r>
      <w:r w:rsidRPr="00A77AF6">
        <w:t xml:space="preserve">. </w:t>
      </w:r>
      <w:r w:rsidR="00492549" w:rsidRPr="00A77AF6">
        <w:t xml:space="preserve"> </w:t>
      </w:r>
    </w:p>
    <w:p w14:paraId="661DC44A" w14:textId="77777777" w:rsidR="00492549" w:rsidRPr="00A77AF6" w:rsidRDefault="00492549" w:rsidP="00492549">
      <w:pPr>
        <w:spacing w:after="0"/>
      </w:pPr>
    </w:p>
    <w:p w14:paraId="1F002E51" w14:textId="77B2B230" w:rsidR="00492549" w:rsidRPr="00A77AF6" w:rsidRDefault="00EA3136" w:rsidP="00492549">
      <w:pPr>
        <w:spacing w:after="0"/>
      </w:pPr>
      <w:r w:rsidRPr="00A77AF6">
        <w:t xml:space="preserve">I am truly grateful </w:t>
      </w:r>
      <w:r w:rsidR="00492549" w:rsidRPr="00A77AF6">
        <w:t>to everyone who participated in this study, without you it would</w:t>
      </w:r>
      <w:r w:rsidR="004E40D6" w:rsidRPr="00A77AF6">
        <w:t xml:space="preserve"> </w:t>
      </w:r>
      <w:r w:rsidR="00492549" w:rsidRPr="00A77AF6">
        <w:t>n</w:t>
      </w:r>
      <w:r w:rsidR="004E40D6" w:rsidRPr="00A77AF6">
        <w:t>o</w:t>
      </w:r>
      <w:r w:rsidR="00492549" w:rsidRPr="00A77AF6">
        <w:t xml:space="preserve">t have happened. I wish to acknowledge the contribution to the public good that colleagues and friends make every day </w:t>
      </w:r>
      <w:r w:rsidR="004E40D6" w:rsidRPr="00A77AF6">
        <w:t xml:space="preserve">in their work on NHS projects </w:t>
      </w:r>
      <w:r w:rsidR="00C201E9" w:rsidRPr="00A77AF6">
        <w:t>in creating</w:t>
      </w:r>
      <w:r w:rsidR="00492549" w:rsidRPr="00A77AF6">
        <w:t xml:space="preserve"> better environments for patients, relatives and staff.  You do a fantastic job, often under very difficult circumstances. </w:t>
      </w:r>
      <w:r w:rsidR="00EA6202" w:rsidRPr="00A77AF6">
        <w:t xml:space="preserve">A special thanks to Duane Passman who encouraged me to return to academic study.  </w:t>
      </w:r>
    </w:p>
    <w:p w14:paraId="64FD8E53" w14:textId="77777777" w:rsidR="00492549" w:rsidRPr="00A77AF6" w:rsidRDefault="00492549" w:rsidP="00492549">
      <w:pPr>
        <w:spacing w:after="0"/>
      </w:pPr>
    </w:p>
    <w:p w14:paraId="6332FD0A" w14:textId="48B96480" w:rsidR="00492549" w:rsidRPr="00A77AF6" w:rsidRDefault="00492549" w:rsidP="00492549">
      <w:pPr>
        <w:spacing w:after="0"/>
      </w:pPr>
      <w:r w:rsidRPr="00A77AF6">
        <w:t>I have been blessed by the support of many people</w:t>
      </w:r>
      <w:r w:rsidR="00C00FC1" w:rsidRPr="00A77AF6">
        <w:t xml:space="preserve"> and I thank them </w:t>
      </w:r>
      <w:r w:rsidRPr="00A77AF6">
        <w:t xml:space="preserve">for the love, care and patience </w:t>
      </w:r>
      <w:r w:rsidR="004E40D6" w:rsidRPr="00A77AF6">
        <w:t xml:space="preserve">they have shown me. </w:t>
      </w:r>
      <w:r w:rsidRPr="00A77AF6">
        <w:t>I thank my mother, Amelia Whelan</w:t>
      </w:r>
      <w:r w:rsidR="009C44B3" w:rsidRPr="00A77AF6">
        <w:t>;</w:t>
      </w:r>
      <w:r w:rsidRPr="00A77AF6">
        <w:t xml:space="preserve"> brother, Joh</w:t>
      </w:r>
      <w:r w:rsidR="00FE79FE" w:rsidRPr="00A77AF6">
        <w:t>n</w:t>
      </w:r>
      <w:r w:rsidR="00C00FC1" w:rsidRPr="00A77AF6">
        <w:t xml:space="preserve"> Whelan</w:t>
      </w:r>
      <w:r w:rsidR="009C44B3" w:rsidRPr="00A77AF6">
        <w:t>;</w:t>
      </w:r>
      <w:r w:rsidR="00FE79FE" w:rsidRPr="00A77AF6">
        <w:t xml:space="preserve"> s</w:t>
      </w:r>
      <w:r w:rsidRPr="00A77AF6">
        <w:t xml:space="preserve">ister-in-law Carrie </w:t>
      </w:r>
      <w:r w:rsidR="00C00FC1" w:rsidRPr="00A77AF6">
        <w:t xml:space="preserve">Whelan </w:t>
      </w:r>
      <w:r w:rsidRPr="00A77AF6">
        <w:t>and my aunt, Elizabeth Condon for their unswerving belief in me. Thank you to Jo Osborne for proof reading. To all my friends, I am lucky to have you. I am</w:t>
      </w:r>
      <w:r w:rsidR="00EA3136" w:rsidRPr="00A77AF6">
        <w:t xml:space="preserve"> eternally</w:t>
      </w:r>
      <w:r w:rsidRPr="00A77AF6">
        <w:t xml:space="preserve"> grateful to Jackie Bishop for her wisdom which has sustained me</w:t>
      </w:r>
      <w:r w:rsidR="00C201E9" w:rsidRPr="00A77AF6">
        <w:t xml:space="preserve">. </w:t>
      </w:r>
      <w:r w:rsidRPr="00A77AF6">
        <w:t>Finally, I would like to thank Kate Brown whose constancy has been vital and who has stoically borne the ups and downs of this study</w:t>
      </w:r>
      <w:r w:rsidR="00C00FC1" w:rsidRPr="00A77AF6">
        <w:t>,</w:t>
      </w:r>
      <w:r w:rsidRPr="00A77AF6">
        <w:t xml:space="preserve"> spending literally hours talking about ethical predisposition, governance and project success. No-one should have to put up with that, but you did.  Thank you. </w:t>
      </w:r>
    </w:p>
    <w:p w14:paraId="42D02C85" w14:textId="77777777" w:rsidR="00C201E9" w:rsidRPr="00A77AF6" w:rsidRDefault="00C201E9" w:rsidP="00492549"/>
    <w:p w14:paraId="5D15565F" w14:textId="77777777" w:rsidR="00492549" w:rsidRPr="00A77AF6" w:rsidRDefault="00492549">
      <w:r w:rsidRPr="00A77AF6">
        <w:br w:type="page"/>
      </w:r>
    </w:p>
    <w:p w14:paraId="65E1DAE4" w14:textId="77777777" w:rsidR="005625B2" w:rsidRPr="00A77AF6" w:rsidRDefault="005625B2" w:rsidP="00492549">
      <w:pPr>
        <w:sectPr w:rsidR="005625B2" w:rsidRPr="00A77AF6" w:rsidSect="00823880">
          <w:pgSz w:w="11906" w:h="16838"/>
          <w:pgMar w:top="1440" w:right="851" w:bottom="1440" w:left="2268" w:header="709" w:footer="709" w:gutter="0"/>
          <w:cols w:space="708"/>
          <w:docGrid w:linePitch="360"/>
        </w:sectPr>
      </w:pPr>
    </w:p>
    <w:p w14:paraId="5C2405DF" w14:textId="1C664B04" w:rsidR="008E3BE3" w:rsidRPr="00A77AF6" w:rsidRDefault="008E3BE3" w:rsidP="0022600C">
      <w:pPr>
        <w:ind w:right="282"/>
        <w:rPr>
          <w:b/>
          <w:sz w:val="24"/>
        </w:rPr>
      </w:pPr>
      <w:r w:rsidRPr="00A77AF6">
        <w:rPr>
          <w:b/>
          <w:sz w:val="24"/>
        </w:rPr>
        <w:lastRenderedPageBreak/>
        <w:t>Glossary of Terms</w:t>
      </w:r>
    </w:p>
    <w:tbl>
      <w:tblPr>
        <w:tblW w:w="0" w:type="auto"/>
        <w:tblLook w:val="04A0" w:firstRow="1" w:lastRow="0" w:firstColumn="1" w:lastColumn="0" w:noHBand="0" w:noVBand="1"/>
      </w:tblPr>
      <w:tblGrid>
        <w:gridCol w:w="2405"/>
        <w:gridCol w:w="6372"/>
      </w:tblGrid>
      <w:tr w:rsidR="003E3145" w:rsidRPr="00A77AF6" w14:paraId="39880E54" w14:textId="77777777" w:rsidTr="00C437B3">
        <w:tc>
          <w:tcPr>
            <w:tcW w:w="2405" w:type="dxa"/>
            <w:tcBorders>
              <w:top w:val="single" w:sz="4" w:space="0" w:color="auto"/>
              <w:left w:val="single" w:sz="4" w:space="0" w:color="auto"/>
              <w:bottom w:val="single" w:sz="4" w:space="0" w:color="auto"/>
              <w:right w:val="single" w:sz="4" w:space="0" w:color="auto"/>
            </w:tcBorders>
          </w:tcPr>
          <w:p w14:paraId="06051817" w14:textId="77777777" w:rsidR="003E3145" w:rsidRPr="00A77AF6" w:rsidRDefault="003E3145" w:rsidP="005625B2">
            <w:pPr>
              <w:spacing w:line="240" w:lineRule="auto"/>
              <w:rPr>
                <w:rFonts w:cstheme="minorHAnsi"/>
                <w:sz w:val="20"/>
                <w:szCs w:val="20"/>
              </w:rPr>
            </w:pPr>
            <w:r w:rsidRPr="00A77AF6">
              <w:rPr>
                <w:rFonts w:cstheme="minorHAnsi"/>
                <w:sz w:val="20"/>
                <w:szCs w:val="20"/>
              </w:rPr>
              <w:t>A&amp;E</w:t>
            </w:r>
          </w:p>
        </w:tc>
        <w:tc>
          <w:tcPr>
            <w:tcW w:w="6372" w:type="dxa"/>
            <w:tcBorders>
              <w:top w:val="single" w:sz="4" w:space="0" w:color="auto"/>
              <w:left w:val="single" w:sz="4" w:space="0" w:color="auto"/>
              <w:bottom w:val="single" w:sz="4" w:space="0" w:color="auto"/>
              <w:right w:val="single" w:sz="4" w:space="0" w:color="auto"/>
            </w:tcBorders>
          </w:tcPr>
          <w:p w14:paraId="0C79D90A" w14:textId="77777777" w:rsidR="003E3145" w:rsidRPr="00A77AF6" w:rsidRDefault="003E3145" w:rsidP="005625B2">
            <w:pPr>
              <w:spacing w:line="240" w:lineRule="auto"/>
              <w:rPr>
                <w:rFonts w:cstheme="minorHAnsi"/>
                <w:sz w:val="20"/>
                <w:szCs w:val="20"/>
              </w:rPr>
            </w:pPr>
            <w:r w:rsidRPr="00A77AF6">
              <w:rPr>
                <w:rFonts w:cstheme="minorHAnsi"/>
                <w:sz w:val="20"/>
                <w:szCs w:val="20"/>
              </w:rPr>
              <w:t>Accident and emergency department.  A direct route into hospital care which removes the need to visit a General Practitioner</w:t>
            </w:r>
          </w:p>
        </w:tc>
      </w:tr>
      <w:tr w:rsidR="003E3145" w:rsidRPr="00A77AF6" w14:paraId="4CFD44FA" w14:textId="77777777" w:rsidTr="00C437B3">
        <w:tc>
          <w:tcPr>
            <w:tcW w:w="2405" w:type="dxa"/>
            <w:tcBorders>
              <w:top w:val="single" w:sz="4" w:space="0" w:color="auto"/>
              <w:left w:val="single" w:sz="4" w:space="0" w:color="auto"/>
              <w:bottom w:val="single" w:sz="4" w:space="0" w:color="auto"/>
              <w:right w:val="single" w:sz="4" w:space="0" w:color="auto"/>
            </w:tcBorders>
          </w:tcPr>
          <w:p w14:paraId="339A811C" w14:textId="77777777" w:rsidR="003E3145" w:rsidRPr="00A77AF6" w:rsidRDefault="003E3145" w:rsidP="00C437B3">
            <w:pPr>
              <w:spacing w:line="240" w:lineRule="auto"/>
              <w:rPr>
                <w:sz w:val="20"/>
                <w:szCs w:val="20"/>
              </w:rPr>
            </w:pPr>
            <w:r w:rsidRPr="00A77AF6">
              <w:rPr>
                <w:sz w:val="20"/>
                <w:szCs w:val="20"/>
              </w:rPr>
              <w:t xml:space="preserve">ABC </w:t>
            </w:r>
          </w:p>
        </w:tc>
        <w:tc>
          <w:tcPr>
            <w:tcW w:w="6372" w:type="dxa"/>
            <w:tcBorders>
              <w:top w:val="single" w:sz="4" w:space="0" w:color="auto"/>
              <w:left w:val="single" w:sz="4" w:space="0" w:color="auto"/>
              <w:bottom w:val="single" w:sz="4" w:space="0" w:color="auto"/>
              <w:right w:val="single" w:sz="4" w:space="0" w:color="auto"/>
            </w:tcBorders>
          </w:tcPr>
          <w:p w14:paraId="4957EBC8" w14:textId="16686A0A" w:rsidR="003E3145" w:rsidRPr="00A77AF6" w:rsidRDefault="003E3145" w:rsidP="00C437B3">
            <w:pPr>
              <w:spacing w:line="240" w:lineRule="auto"/>
              <w:rPr>
                <w:rFonts w:cstheme="minorHAnsi"/>
                <w:sz w:val="20"/>
                <w:szCs w:val="20"/>
              </w:rPr>
            </w:pPr>
            <w:r w:rsidRPr="00A77AF6">
              <w:rPr>
                <w:rFonts w:cstheme="minorHAnsi"/>
                <w:sz w:val="20"/>
                <w:szCs w:val="20"/>
              </w:rPr>
              <w:t xml:space="preserve">Appointment Business Case is written at the time a contractor is appointed </w:t>
            </w:r>
          </w:p>
        </w:tc>
      </w:tr>
      <w:tr w:rsidR="003E3145" w:rsidRPr="00A77AF6" w14:paraId="3EF8DFCD" w14:textId="77777777" w:rsidTr="00C437B3">
        <w:tc>
          <w:tcPr>
            <w:tcW w:w="2405" w:type="dxa"/>
            <w:tcBorders>
              <w:top w:val="single" w:sz="4" w:space="0" w:color="auto"/>
              <w:left w:val="single" w:sz="4" w:space="0" w:color="auto"/>
              <w:bottom w:val="single" w:sz="4" w:space="0" w:color="auto"/>
              <w:right w:val="single" w:sz="4" w:space="0" w:color="auto"/>
            </w:tcBorders>
          </w:tcPr>
          <w:p w14:paraId="2B4C052F" w14:textId="77777777" w:rsidR="003E3145" w:rsidRPr="00A77AF6" w:rsidRDefault="003E3145" w:rsidP="005625B2">
            <w:pPr>
              <w:spacing w:line="240" w:lineRule="auto"/>
              <w:rPr>
                <w:rFonts w:cstheme="minorHAnsi"/>
                <w:sz w:val="20"/>
                <w:szCs w:val="20"/>
              </w:rPr>
            </w:pPr>
            <w:r w:rsidRPr="00A77AF6">
              <w:rPr>
                <w:rFonts w:cstheme="minorHAnsi"/>
                <w:sz w:val="20"/>
                <w:szCs w:val="20"/>
              </w:rPr>
              <w:t>Agency theory</w:t>
            </w:r>
          </w:p>
        </w:tc>
        <w:tc>
          <w:tcPr>
            <w:tcW w:w="6372" w:type="dxa"/>
            <w:tcBorders>
              <w:top w:val="single" w:sz="4" w:space="0" w:color="auto"/>
              <w:left w:val="single" w:sz="4" w:space="0" w:color="auto"/>
              <w:bottom w:val="single" w:sz="4" w:space="0" w:color="auto"/>
              <w:right w:val="single" w:sz="4" w:space="0" w:color="auto"/>
            </w:tcBorders>
          </w:tcPr>
          <w:p w14:paraId="1E6FB82A" w14:textId="0348AED9" w:rsidR="003E3145" w:rsidRPr="00A77AF6" w:rsidRDefault="003E3145" w:rsidP="005625B2">
            <w:pPr>
              <w:spacing w:line="240" w:lineRule="auto"/>
              <w:rPr>
                <w:rFonts w:cstheme="minorHAnsi"/>
                <w:sz w:val="20"/>
                <w:szCs w:val="20"/>
              </w:rPr>
            </w:pPr>
            <w:r w:rsidRPr="00A77AF6">
              <w:rPr>
                <w:rFonts w:cstheme="minorHAnsi"/>
                <w:sz w:val="20"/>
                <w:szCs w:val="20"/>
              </w:rPr>
              <w:t xml:space="preserve">An organisational theory that suggests that the interests of an agent are misaligned to those of the principal and that the principal will act to control the agent’s behaviour  </w:t>
            </w:r>
          </w:p>
        </w:tc>
      </w:tr>
      <w:tr w:rsidR="003E3145" w:rsidRPr="00A77AF6" w14:paraId="54D235F5" w14:textId="77777777" w:rsidTr="00C437B3">
        <w:tc>
          <w:tcPr>
            <w:tcW w:w="2405" w:type="dxa"/>
            <w:tcBorders>
              <w:top w:val="single" w:sz="4" w:space="0" w:color="auto"/>
              <w:left w:val="single" w:sz="4" w:space="0" w:color="auto"/>
              <w:bottom w:val="single" w:sz="4" w:space="0" w:color="auto"/>
              <w:right w:val="single" w:sz="4" w:space="0" w:color="auto"/>
            </w:tcBorders>
          </w:tcPr>
          <w:p w14:paraId="6CAE8C51" w14:textId="77777777" w:rsidR="003E3145" w:rsidRPr="00A77AF6" w:rsidRDefault="003E3145" w:rsidP="00C437B3">
            <w:pPr>
              <w:spacing w:line="240" w:lineRule="auto"/>
              <w:rPr>
                <w:rFonts w:cstheme="minorHAnsi"/>
                <w:sz w:val="20"/>
                <w:szCs w:val="20"/>
              </w:rPr>
            </w:pPr>
            <w:r w:rsidRPr="00A77AF6">
              <w:rPr>
                <w:rFonts w:cstheme="minorHAnsi"/>
                <w:sz w:val="20"/>
                <w:szCs w:val="20"/>
              </w:rPr>
              <w:t>APM</w:t>
            </w:r>
          </w:p>
        </w:tc>
        <w:tc>
          <w:tcPr>
            <w:tcW w:w="6372" w:type="dxa"/>
            <w:tcBorders>
              <w:top w:val="single" w:sz="4" w:space="0" w:color="auto"/>
              <w:left w:val="single" w:sz="4" w:space="0" w:color="auto"/>
              <w:bottom w:val="single" w:sz="4" w:space="0" w:color="auto"/>
              <w:right w:val="single" w:sz="4" w:space="0" w:color="auto"/>
            </w:tcBorders>
          </w:tcPr>
          <w:p w14:paraId="7F49FF40" w14:textId="0BC5AB6B" w:rsidR="003E3145" w:rsidRPr="00A77AF6" w:rsidRDefault="00E06CBC" w:rsidP="00C437B3">
            <w:pPr>
              <w:spacing w:line="240" w:lineRule="auto"/>
              <w:rPr>
                <w:rFonts w:cstheme="minorHAnsi"/>
                <w:sz w:val="20"/>
                <w:szCs w:val="20"/>
              </w:rPr>
            </w:pPr>
            <w:r w:rsidRPr="00A77AF6">
              <w:rPr>
                <w:rFonts w:cstheme="minorHAnsi"/>
                <w:sz w:val="20"/>
                <w:szCs w:val="20"/>
              </w:rPr>
              <w:t>Ass</w:t>
            </w:r>
            <w:r w:rsidR="008369BD" w:rsidRPr="00A77AF6">
              <w:rPr>
                <w:rFonts w:cstheme="minorHAnsi"/>
                <w:sz w:val="20"/>
                <w:szCs w:val="20"/>
              </w:rPr>
              <w:t xml:space="preserve">ociation for Project Management. A chartered body for project management professionals.  It accredits university degrees, provides vocational training and awards. It upholds ethical standards for its members </w:t>
            </w:r>
          </w:p>
        </w:tc>
      </w:tr>
      <w:tr w:rsidR="00EB635F" w:rsidRPr="00A77AF6" w14:paraId="20DD9AB4" w14:textId="77777777" w:rsidTr="00C437B3">
        <w:tc>
          <w:tcPr>
            <w:tcW w:w="2405" w:type="dxa"/>
            <w:tcBorders>
              <w:top w:val="single" w:sz="4" w:space="0" w:color="auto"/>
              <w:left w:val="single" w:sz="4" w:space="0" w:color="auto"/>
              <w:bottom w:val="single" w:sz="4" w:space="0" w:color="auto"/>
              <w:right w:val="single" w:sz="4" w:space="0" w:color="auto"/>
            </w:tcBorders>
          </w:tcPr>
          <w:p w14:paraId="1CC78C29" w14:textId="150B9E7E" w:rsidR="00EB635F" w:rsidRPr="00A77AF6" w:rsidRDefault="00EB635F" w:rsidP="00C437B3">
            <w:pPr>
              <w:spacing w:line="240" w:lineRule="auto"/>
              <w:rPr>
                <w:rFonts w:cstheme="minorHAnsi"/>
                <w:sz w:val="20"/>
                <w:szCs w:val="20"/>
              </w:rPr>
            </w:pPr>
            <w:r w:rsidRPr="00A77AF6">
              <w:rPr>
                <w:rFonts w:cstheme="minorHAnsi"/>
                <w:sz w:val="20"/>
                <w:szCs w:val="20"/>
              </w:rPr>
              <w:t>Beveridge Committee</w:t>
            </w:r>
          </w:p>
        </w:tc>
        <w:tc>
          <w:tcPr>
            <w:tcW w:w="6372" w:type="dxa"/>
            <w:tcBorders>
              <w:top w:val="single" w:sz="4" w:space="0" w:color="auto"/>
              <w:left w:val="single" w:sz="4" w:space="0" w:color="auto"/>
              <w:bottom w:val="single" w:sz="4" w:space="0" w:color="auto"/>
              <w:right w:val="single" w:sz="4" w:space="0" w:color="auto"/>
            </w:tcBorders>
          </w:tcPr>
          <w:p w14:paraId="2E58D484" w14:textId="325AEDCE" w:rsidR="00EB635F" w:rsidRPr="00A77AF6" w:rsidRDefault="00EB635F" w:rsidP="00C437B3">
            <w:pPr>
              <w:spacing w:line="240" w:lineRule="auto"/>
              <w:rPr>
                <w:rFonts w:cstheme="minorHAnsi"/>
                <w:sz w:val="20"/>
                <w:szCs w:val="20"/>
              </w:rPr>
            </w:pPr>
            <w:r w:rsidRPr="00A77AF6">
              <w:rPr>
                <w:rFonts w:cstheme="minorHAnsi"/>
                <w:color w:val="222222"/>
                <w:sz w:val="20"/>
                <w:szCs w:val="20"/>
                <w:shd w:val="clear" w:color="auto" w:fill="FFFFFF"/>
              </w:rPr>
              <w:t xml:space="preserve">A cross-department government committee that </w:t>
            </w:r>
            <w:r w:rsidR="00A7760B" w:rsidRPr="00A77AF6">
              <w:rPr>
                <w:rFonts w:cstheme="minorHAnsi"/>
                <w:color w:val="222222"/>
                <w:sz w:val="20"/>
                <w:szCs w:val="20"/>
                <w:shd w:val="clear" w:color="auto" w:fill="FFFFFF"/>
              </w:rPr>
              <w:t xml:space="preserve">undertook a review of the UK’s </w:t>
            </w:r>
            <w:r w:rsidRPr="00A77AF6">
              <w:rPr>
                <w:rFonts w:cstheme="minorHAnsi"/>
                <w:color w:val="222222"/>
                <w:sz w:val="20"/>
                <w:szCs w:val="20"/>
                <w:shd w:val="clear" w:color="auto" w:fill="FFFFFF"/>
              </w:rPr>
              <w:t>social insurance and allied services</w:t>
            </w:r>
            <w:r w:rsidR="00A7760B" w:rsidRPr="00A77AF6">
              <w:rPr>
                <w:rFonts w:cstheme="minorHAnsi"/>
                <w:color w:val="222222"/>
                <w:sz w:val="20"/>
                <w:szCs w:val="20"/>
                <w:shd w:val="clear" w:color="auto" w:fill="FFFFFF"/>
              </w:rPr>
              <w:t xml:space="preserve"> provision. </w:t>
            </w:r>
            <w:r w:rsidR="00F91B86" w:rsidRPr="00A77AF6">
              <w:rPr>
                <w:rFonts w:cstheme="minorHAnsi"/>
                <w:color w:val="222222"/>
                <w:sz w:val="20"/>
                <w:szCs w:val="20"/>
                <w:shd w:val="clear" w:color="auto" w:fill="FFFFFF"/>
              </w:rPr>
              <w:t>Its</w:t>
            </w:r>
            <w:r w:rsidR="00A7760B" w:rsidRPr="00A77AF6">
              <w:rPr>
                <w:rFonts w:cstheme="minorHAnsi"/>
                <w:color w:val="222222"/>
                <w:sz w:val="20"/>
                <w:szCs w:val="20"/>
                <w:shd w:val="clear" w:color="auto" w:fill="FFFFFF"/>
              </w:rPr>
              <w:t xml:space="preserve"> recommendations formed the basis for the establishment of the NHS, paid for through general taxation and free at the point of delivery </w:t>
            </w:r>
          </w:p>
        </w:tc>
      </w:tr>
      <w:tr w:rsidR="003E3145" w:rsidRPr="00A77AF6" w14:paraId="01F29D98" w14:textId="77777777" w:rsidTr="00C437B3">
        <w:tc>
          <w:tcPr>
            <w:tcW w:w="2405" w:type="dxa"/>
            <w:tcBorders>
              <w:top w:val="single" w:sz="4" w:space="0" w:color="auto"/>
              <w:left w:val="single" w:sz="4" w:space="0" w:color="auto"/>
              <w:bottom w:val="single" w:sz="4" w:space="0" w:color="auto"/>
              <w:right w:val="single" w:sz="4" w:space="0" w:color="auto"/>
            </w:tcBorders>
          </w:tcPr>
          <w:p w14:paraId="1F6CCDA6" w14:textId="77777777" w:rsidR="003E3145" w:rsidRPr="00A77AF6" w:rsidRDefault="003E3145" w:rsidP="00C437B3">
            <w:pPr>
              <w:spacing w:line="240" w:lineRule="auto"/>
              <w:rPr>
                <w:sz w:val="20"/>
                <w:szCs w:val="20"/>
              </w:rPr>
            </w:pPr>
            <w:r w:rsidRPr="00A77AF6">
              <w:rPr>
                <w:sz w:val="20"/>
                <w:szCs w:val="20"/>
              </w:rPr>
              <w:t>CBC</w:t>
            </w:r>
          </w:p>
        </w:tc>
        <w:tc>
          <w:tcPr>
            <w:tcW w:w="6372" w:type="dxa"/>
            <w:tcBorders>
              <w:top w:val="single" w:sz="4" w:space="0" w:color="auto"/>
              <w:left w:val="single" w:sz="4" w:space="0" w:color="auto"/>
              <w:bottom w:val="single" w:sz="4" w:space="0" w:color="auto"/>
              <w:right w:val="single" w:sz="4" w:space="0" w:color="auto"/>
            </w:tcBorders>
          </w:tcPr>
          <w:p w14:paraId="2C1A2462" w14:textId="77777777" w:rsidR="003E3145" w:rsidRPr="00A77AF6" w:rsidRDefault="003E3145" w:rsidP="00C437B3">
            <w:pPr>
              <w:spacing w:line="240" w:lineRule="auto"/>
              <w:rPr>
                <w:rFonts w:cstheme="minorHAnsi"/>
                <w:sz w:val="20"/>
                <w:szCs w:val="20"/>
              </w:rPr>
            </w:pPr>
            <w:r w:rsidRPr="00A77AF6">
              <w:rPr>
                <w:rFonts w:cstheme="minorHAnsi"/>
                <w:sz w:val="20"/>
                <w:szCs w:val="20"/>
              </w:rPr>
              <w:t>Confirming Business Case written at just before the contract is signed to confirm that the project is still viable</w:t>
            </w:r>
          </w:p>
        </w:tc>
      </w:tr>
      <w:tr w:rsidR="003E3145" w:rsidRPr="00A77AF6" w14:paraId="01A64E38" w14:textId="77777777" w:rsidTr="00C437B3">
        <w:tc>
          <w:tcPr>
            <w:tcW w:w="2405" w:type="dxa"/>
            <w:tcBorders>
              <w:top w:val="single" w:sz="4" w:space="0" w:color="auto"/>
              <w:left w:val="single" w:sz="4" w:space="0" w:color="auto"/>
              <w:bottom w:val="single" w:sz="4" w:space="0" w:color="auto"/>
              <w:right w:val="single" w:sz="4" w:space="0" w:color="auto"/>
            </w:tcBorders>
          </w:tcPr>
          <w:p w14:paraId="53948977" w14:textId="77777777" w:rsidR="003E3145" w:rsidRPr="00A77AF6" w:rsidRDefault="003E3145" w:rsidP="00C437B3">
            <w:pPr>
              <w:spacing w:line="240" w:lineRule="auto"/>
              <w:rPr>
                <w:rFonts w:cstheme="minorHAnsi"/>
                <w:sz w:val="20"/>
                <w:szCs w:val="20"/>
              </w:rPr>
            </w:pPr>
            <w:r w:rsidRPr="00A77AF6">
              <w:rPr>
                <w:rFonts w:cstheme="minorHAnsi"/>
                <w:sz w:val="20"/>
                <w:szCs w:val="20"/>
              </w:rPr>
              <w:t>CIOB</w:t>
            </w:r>
          </w:p>
        </w:tc>
        <w:tc>
          <w:tcPr>
            <w:tcW w:w="6372" w:type="dxa"/>
            <w:tcBorders>
              <w:top w:val="single" w:sz="4" w:space="0" w:color="auto"/>
              <w:left w:val="single" w:sz="4" w:space="0" w:color="auto"/>
              <w:bottom w:val="single" w:sz="4" w:space="0" w:color="auto"/>
              <w:right w:val="single" w:sz="4" w:space="0" w:color="auto"/>
            </w:tcBorders>
          </w:tcPr>
          <w:p w14:paraId="046A6B62" w14:textId="190DB2AB" w:rsidR="003E3145" w:rsidRPr="00A77AF6" w:rsidRDefault="003E3145" w:rsidP="008369BD">
            <w:pPr>
              <w:spacing w:line="240" w:lineRule="auto"/>
              <w:rPr>
                <w:rFonts w:cstheme="minorHAnsi"/>
                <w:sz w:val="20"/>
                <w:szCs w:val="20"/>
              </w:rPr>
            </w:pPr>
            <w:r w:rsidRPr="00A77AF6">
              <w:rPr>
                <w:rFonts w:cstheme="minorHAnsi"/>
                <w:sz w:val="20"/>
                <w:szCs w:val="20"/>
              </w:rPr>
              <w:t>Chartered Institute of Building</w:t>
            </w:r>
            <w:r w:rsidR="008369BD" w:rsidRPr="00A77AF6">
              <w:rPr>
                <w:rFonts w:cstheme="minorHAnsi"/>
                <w:sz w:val="20"/>
                <w:szCs w:val="20"/>
              </w:rPr>
              <w:t>. A body for construction professionals, which accredits university degrees, provides qualifications and provides information and training.  It upholds ethical standards for its members</w:t>
            </w:r>
          </w:p>
        </w:tc>
      </w:tr>
      <w:tr w:rsidR="003E3145" w:rsidRPr="00A77AF6" w14:paraId="3ED2F24E" w14:textId="77777777" w:rsidTr="00C437B3">
        <w:tc>
          <w:tcPr>
            <w:tcW w:w="2405" w:type="dxa"/>
            <w:tcBorders>
              <w:top w:val="single" w:sz="4" w:space="0" w:color="auto"/>
              <w:left w:val="single" w:sz="4" w:space="0" w:color="auto"/>
              <w:bottom w:val="single" w:sz="4" w:space="0" w:color="auto"/>
              <w:right w:val="single" w:sz="4" w:space="0" w:color="auto"/>
            </w:tcBorders>
            <w:hideMark/>
          </w:tcPr>
          <w:p w14:paraId="641375FC" w14:textId="77777777" w:rsidR="003E3145" w:rsidRPr="00A77AF6" w:rsidRDefault="003E3145" w:rsidP="005625B2">
            <w:pPr>
              <w:spacing w:line="240" w:lineRule="auto"/>
              <w:rPr>
                <w:rFonts w:cstheme="minorHAnsi"/>
                <w:sz w:val="20"/>
                <w:szCs w:val="20"/>
              </w:rPr>
            </w:pPr>
            <w:r w:rsidRPr="00A77AF6">
              <w:rPr>
                <w:rFonts w:cstheme="minorHAnsi"/>
                <w:sz w:val="20"/>
                <w:szCs w:val="20"/>
              </w:rPr>
              <w:t xml:space="preserve">Consequentialism </w:t>
            </w:r>
          </w:p>
        </w:tc>
        <w:tc>
          <w:tcPr>
            <w:tcW w:w="6372" w:type="dxa"/>
            <w:tcBorders>
              <w:top w:val="single" w:sz="4" w:space="0" w:color="auto"/>
              <w:left w:val="single" w:sz="4" w:space="0" w:color="auto"/>
              <w:bottom w:val="single" w:sz="4" w:space="0" w:color="auto"/>
              <w:right w:val="single" w:sz="4" w:space="0" w:color="auto"/>
            </w:tcBorders>
          </w:tcPr>
          <w:p w14:paraId="59A234DD" w14:textId="77777777" w:rsidR="003E3145" w:rsidRPr="00A77AF6" w:rsidRDefault="003E3145" w:rsidP="005625B2">
            <w:pPr>
              <w:spacing w:line="240" w:lineRule="auto"/>
              <w:rPr>
                <w:rFonts w:cstheme="minorHAnsi"/>
                <w:sz w:val="20"/>
                <w:szCs w:val="20"/>
              </w:rPr>
            </w:pPr>
            <w:r w:rsidRPr="00A77AF6">
              <w:rPr>
                <w:rFonts w:cstheme="minorHAnsi"/>
                <w:sz w:val="20"/>
                <w:szCs w:val="20"/>
              </w:rPr>
              <w:t xml:space="preserve">See utilitarianism </w:t>
            </w:r>
          </w:p>
        </w:tc>
      </w:tr>
      <w:tr w:rsidR="003E3145" w:rsidRPr="00A77AF6" w14:paraId="0AE1443F" w14:textId="77777777" w:rsidTr="00C437B3">
        <w:tc>
          <w:tcPr>
            <w:tcW w:w="2405" w:type="dxa"/>
            <w:tcBorders>
              <w:top w:val="single" w:sz="4" w:space="0" w:color="auto"/>
              <w:left w:val="single" w:sz="4" w:space="0" w:color="auto"/>
              <w:bottom w:val="single" w:sz="4" w:space="0" w:color="auto"/>
              <w:right w:val="single" w:sz="4" w:space="0" w:color="auto"/>
            </w:tcBorders>
          </w:tcPr>
          <w:p w14:paraId="3DA66304" w14:textId="77777777" w:rsidR="003E3145" w:rsidRPr="00A77AF6" w:rsidRDefault="003E3145" w:rsidP="005625B2">
            <w:pPr>
              <w:spacing w:line="240" w:lineRule="auto"/>
              <w:rPr>
                <w:rFonts w:cstheme="minorHAnsi"/>
                <w:sz w:val="20"/>
                <w:szCs w:val="20"/>
              </w:rPr>
            </w:pPr>
            <w:r w:rsidRPr="00A77AF6">
              <w:rPr>
                <w:rFonts w:cstheme="minorHAnsi"/>
                <w:sz w:val="20"/>
                <w:szCs w:val="20"/>
              </w:rPr>
              <w:t>Corporate governance</w:t>
            </w:r>
          </w:p>
        </w:tc>
        <w:tc>
          <w:tcPr>
            <w:tcW w:w="6372" w:type="dxa"/>
            <w:tcBorders>
              <w:top w:val="single" w:sz="4" w:space="0" w:color="auto"/>
              <w:left w:val="single" w:sz="4" w:space="0" w:color="auto"/>
              <w:bottom w:val="single" w:sz="4" w:space="0" w:color="auto"/>
              <w:right w:val="single" w:sz="4" w:space="0" w:color="auto"/>
            </w:tcBorders>
          </w:tcPr>
          <w:p w14:paraId="333171A3" w14:textId="77777777" w:rsidR="003E3145" w:rsidRPr="00A77AF6" w:rsidRDefault="003E3145" w:rsidP="005625B2">
            <w:pPr>
              <w:spacing w:line="240" w:lineRule="auto"/>
              <w:rPr>
                <w:rFonts w:cstheme="minorHAnsi"/>
                <w:sz w:val="20"/>
                <w:szCs w:val="20"/>
              </w:rPr>
            </w:pPr>
            <w:r w:rsidRPr="00A77AF6">
              <w:rPr>
                <w:rFonts w:cstheme="minorHAnsi"/>
                <w:sz w:val="20"/>
                <w:szCs w:val="20"/>
              </w:rPr>
              <w:t>The structures, rules and process by which companies or organisations are managed and controlled</w:t>
            </w:r>
          </w:p>
        </w:tc>
      </w:tr>
      <w:tr w:rsidR="003E3145" w:rsidRPr="00A77AF6" w14:paraId="4DE2B53D" w14:textId="77777777" w:rsidTr="00C437B3">
        <w:tc>
          <w:tcPr>
            <w:tcW w:w="2405" w:type="dxa"/>
            <w:tcBorders>
              <w:top w:val="single" w:sz="4" w:space="0" w:color="auto"/>
              <w:left w:val="single" w:sz="4" w:space="0" w:color="auto"/>
              <w:bottom w:val="single" w:sz="4" w:space="0" w:color="auto"/>
              <w:right w:val="single" w:sz="4" w:space="0" w:color="auto"/>
            </w:tcBorders>
          </w:tcPr>
          <w:p w14:paraId="7F03EA0B" w14:textId="77777777" w:rsidR="003E3145" w:rsidRPr="00A77AF6" w:rsidRDefault="003E3145" w:rsidP="00C437B3">
            <w:pPr>
              <w:spacing w:line="240" w:lineRule="auto"/>
              <w:rPr>
                <w:rFonts w:cstheme="minorHAnsi"/>
                <w:sz w:val="20"/>
                <w:szCs w:val="20"/>
              </w:rPr>
            </w:pPr>
            <w:r w:rsidRPr="00A77AF6">
              <w:rPr>
                <w:rFonts w:cstheme="minorHAnsi"/>
                <w:sz w:val="20"/>
                <w:szCs w:val="20"/>
              </w:rPr>
              <w:t>Critical success factors CSF</w:t>
            </w:r>
          </w:p>
        </w:tc>
        <w:tc>
          <w:tcPr>
            <w:tcW w:w="6372" w:type="dxa"/>
            <w:tcBorders>
              <w:top w:val="single" w:sz="4" w:space="0" w:color="auto"/>
              <w:left w:val="single" w:sz="4" w:space="0" w:color="auto"/>
              <w:bottom w:val="single" w:sz="4" w:space="0" w:color="auto"/>
              <w:right w:val="single" w:sz="4" w:space="0" w:color="auto"/>
            </w:tcBorders>
          </w:tcPr>
          <w:p w14:paraId="54369AEF" w14:textId="77777777" w:rsidR="003E3145" w:rsidRPr="00A77AF6" w:rsidRDefault="003E3145" w:rsidP="00C437B3">
            <w:pPr>
              <w:spacing w:line="240" w:lineRule="auto"/>
              <w:rPr>
                <w:rFonts w:cstheme="minorHAnsi"/>
                <w:sz w:val="20"/>
                <w:szCs w:val="20"/>
              </w:rPr>
            </w:pPr>
            <w:r w:rsidRPr="00A77AF6">
              <w:rPr>
                <w:rFonts w:cstheme="minorHAnsi"/>
                <w:sz w:val="20"/>
                <w:szCs w:val="20"/>
              </w:rPr>
              <w:t>Factors, which if present contribute towards project success</w:t>
            </w:r>
          </w:p>
        </w:tc>
      </w:tr>
      <w:tr w:rsidR="003E3145" w:rsidRPr="00A77AF6" w14:paraId="37E3DD6E" w14:textId="77777777" w:rsidTr="00C437B3">
        <w:tc>
          <w:tcPr>
            <w:tcW w:w="2405" w:type="dxa"/>
            <w:tcBorders>
              <w:top w:val="single" w:sz="4" w:space="0" w:color="auto"/>
              <w:left w:val="single" w:sz="4" w:space="0" w:color="auto"/>
              <w:bottom w:val="single" w:sz="4" w:space="0" w:color="auto"/>
              <w:right w:val="single" w:sz="4" w:space="0" w:color="auto"/>
            </w:tcBorders>
          </w:tcPr>
          <w:p w14:paraId="0D4FCD04" w14:textId="77777777" w:rsidR="003E3145" w:rsidRPr="00A77AF6" w:rsidRDefault="003E3145" w:rsidP="00C437B3">
            <w:pPr>
              <w:spacing w:line="240" w:lineRule="auto"/>
              <w:rPr>
                <w:rFonts w:cstheme="minorHAnsi"/>
                <w:sz w:val="20"/>
                <w:szCs w:val="20"/>
              </w:rPr>
            </w:pPr>
            <w:r w:rsidRPr="00A77AF6">
              <w:rPr>
                <w:rFonts w:cstheme="minorHAnsi"/>
                <w:sz w:val="20"/>
                <w:szCs w:val="20"/>
              </w:rPr>
              <w:t>Deontology</w:t>
            </w:r>
          </w:p>
        </w:tc>
        <w:tc>
          <w:tcPr>
            <w:tcW w:w="6372" w:type="dxa"/>
            <w:tcBorders>
              <w:top w:val="single" w:sz="4" w:space="0" w:color="auto"/>
              <w:left w:val="single" w:sz="4" w:space="0" w:color="auto"/>
              <w:bottom w:val="single" w:sz="4" w:space="0" w:color="auto"/>
              <w:right w:val="single" w:sz="4" w:space="0" w:color="auto"/>
            </w:tcBorders>
          </w:tcPr>
          <w:p w14:paraId="4978BC7D" w14:textId="77777777" w:rsidR="003E3145" w:rsidRPr="00A77AF6" w:rsidRDefault="003E3145" w:rsidP="00C437B3">
            <w:pPr>
              <w:spacing w:line="240" w:lineRule="auto"/>
              <w:rPr>
                <w:rFonts w:cstheme="minorHAnsi"/>
                <w:sz w:val="20"/>
                <w:szCs w:val="20"/>
              </w:rPr>
            </w:pPr>
            <w:r w:rsidRPr="00A77AF6">
              <w:rPr>
                <w:rFonts w:cstheme="minorHAnsi"/>
                <w:sz w:val="20"/>
                <w:szCs w:val="20"/>
              </w:rPr>
              <w:t>See formalism</w:t>
            </w:r>
          </w:p>
        </w:tc>
      </w:tr>
      <w:tr w:rsidR="003E3145" w:rsidRPr="00A77AF6" w14:paraId="7526A782" w14:textId="77777777" w:rsidTr="00C437B3">
        <w:tc>
          <w:tcPr>
            <w:tcW w:w="2405" w:type="dxa"/>
            <w:tcBorders>
              <w:top w:val="single" w:sz="4" w:space="0" w:color="auto"/>
              <w:left w:val="single" w:sz="4" w:space="0" w:color="auto"/>
              <w:bottom w:val="single" w:sz="4" w:space="0" w:color="auto"/>
              <w:right w:val="single" w:sz="4" w:space="0" w:color="auto"/>
            </w:tcBorders>
          </w:tcPr>
          <w:p w14:paraId="3BB28C85" w14:textId="77777777" w:rsidR="003E3145" w:rsidRPr="00A77AF6" w:rsidRDefault="003E3145" w:rsidP="005625B2">
            <w:pPr>
              <w:spacing w:line="240" w:lineRule="auto"/>
              <w:rPr>
                <w:rFonts w:cstheme="minorHAnsi"/>
                <w:sz w:val="20"/>
                <w:szCs w:val="20"/>
              </w:rPr>
            </w:pPr>
            <w:r w:rsidRPr="00A77AF6">
              <w:rPr>
                <w:rFonts w:cstheme="minorHAnsi"/>
                <w:sz w:val="20"/>
                <w:szCs w:val="20"/>
              </w:rPr>
              <w:t xml:space="preserve">Department of Health (DH) </w:t>
            </w:r>
          </w:p>
        </w:tc>
        <w:tc>
          <w:tcPr>
            <w:tcW w:w="6372" w:type="dxa"/>
            <w:tcBorders>
              <w:top w:val="single" w:sz="4" w:space="0" w:color="auto"/>
              <w:left w:val="single" w:sz="4" w:space="0" w:color="auto"/>
              <w:bottom w:val="single" w:sz="4" w:space="0" w:color="auto"/>
              <w:right w:val="single" w:sz="4" w:space="0" w:color="auto"/>
            </w:tcBorders>
          </w:tcPr>
          <w:p w14:paraId="4BC58FB3" w14:textId="77777777" w:rsidR="003E3145" w:rsidRPr="00A77AF6" w:rsidRDefault="003E3145" w:rsidP="005625B2">
            <w:pPr>
              <w:spacing w:line="240" w:lineRule="auto"/>
              <w:rPr>
                <w:rFonts w:cstheme="minorHAnsi"/>
                <w:sz w:val="20"/>
                <w:szCs w:val="20"/>
              </w:rPr>
            </w:pPr>
            <w:r w:rsidRPr="00A77AF6">
              <w:rPr>
                <w:rFonts w:cstheme="minorHAnsi"/>
                <w:sz w:val="20"/>
                <w:szCs w:val="20"/>
              </w:rPr>
              <w:t xml:space="preserve">The UK Government’s ministerial department which oversees health policy and the distribution of funds throughout the healthcare system </w:t>
            </w:r>
          </w:p>
        </w:tc>
      </w:tr>
      <w:tr w:rsidR="003E3145" w:rsidRPr="00A77AF6" w14:paraId="4935BF9E" w14:textId="77777777" w:rsidTr="00C437B3">
        <w:tc>
          <w:tcPr>
            <w:tcW w:w="2405" w:type="dxa"/>
            <w:tcBorders>
              <w:top w:val="single" w:sz="4" w:space="0" w:color="auto"/>
              <w:left w:val="single" w:sz="4" w:space="0" w:color="auto"/>
              <w:bottom w:val="single" w:sz="4" w:space="0" w:color="auto"/>
              <w:right w:val="single" w:sz="4" w:space="0" w:color="auto"/>
            </w:tcBorders>
          </w:tcPr>
          <w:p w14:paraId="66F50C21" w14:textId="77777777" w:rsidR="003E3145" w:rsidRPr="00A77AF6" w:rsidRDefault="003E3145" w:rsidP="00C437B3">
            <w:pPr>
              <w:spacing w:line="240" w:lineRule="auto"/>
              <w:rPr>
                <w:rFonts w:cstheme="minorHAnsi"/>
                <w:sz w:val="20"/>
                <w:szCs w:val="20"/>
              </w:rPr>
            </w:pPr>
            <w:r w:rsidRPr="00A77AF6">
              <w:rPr>
                <w:rFonts w:cstheme="minorHAnsi"/>
                <w:sz w:val="20"/>
                <w:szCs w:val="20"/>
              </w:rPr>
              <w:t>District General Hospital DGH</w:t>
            </w:r>
          </w:p>
        </w:tc>
        <w:tc>
          <w:tcPr>
            <w:tcW w:w="6372" w:type="dxa"/>
            <w:tcBorders>
              <w:top w:val="single" w:sz="4" w:space="0" w:color="auto"/>
              <w:left w:val="single" w:sz="4" w:space="0" w:color="auto"/>
              <w:bottom w:val="single" w:sz="4" w:space="0" w:color="auto"/>
              <w:right w:val="single" w:sz="4" w:space="0" w:color="auto"/>
            </w:tcBorders>
          </w:tcPr>
          <w:p w14:paraId="61DF2906" w14:textId="7FC79445" w:rsidR="003E3145" w:rsidRPr="00A77AF6" w:rsidRDefault="003E3145" w:rsidP="00C437B3">
            <w:pPr>
              <w:spacing w:line="240" w:lineRule="auto"/>
              <w:rPr>
                <w:rFonts w:cstheme="minorHAnsi"/>
                <w:sz w:val="20"/>
                <w:szCs w:val="20"/>
              </w:rPr>
            </w:pPr>
            <w:r w:rsidRPr="00A77AF6">
              <w:rPr>
                <w:rFonts w:cstheme="minorHAnsi"/>
                <w:sz w:val="20"/>
                <w:szCs w:val="20"/>
              </w:rPr>
              <w:t xml:space="preserve">A </w:t>
            </w:r>
            <w:r w:rsidR="00247F16" w:rsidRPr="00A77AF6">
              <w:rPr>
                <w:rFonts w:cstheme="minorHAnsi"/>
                <w:sz w:val="20"/>
                <w:szCs w:val="20"/>
              </w:rPr>
              <w:t>hospital, which</w:t>
            </w:r>
            <w:r w:rsidRPr="00A77AF6">
              <w:rPr>
                <w:rFonts w:cstheme="minorHAnsi"/>
                <w:sz w:val="20"/>
                <w:szCs w:val="20"/>
              </w:rPr>
              <w:t xml:space="preserve"> serves a pop</w:t>
            </w:r>
            <w:r w:rsidR="008369BD" w:rsidRPr="00A77AF6">
              <w:rPr>
                <w:rFonts w:cstheme="minorHAnsi"/>
                <w:sz w:val="20"/>
                <w:szCs w:val="20"/>
              </w:rPr>
              <w:t xml:space="preserve">ulation of approximately 250,000 </w:t>
            </w:r>
            <w:r w:rsidRPr="00A77AF6">
              <w:rPr>
                <w:rFonts w:cstheme="minorHAnsi"/>
                <w:sz w:val="20"/>
                <w:szCs w:val="20"/>
              </w:rPr>
              <w:t xml:space="preserve">people. </w:t>
            </w:r>
          </w:p>
        </w:tc>
      </w:tr>
      <w:tr w:rsidR="003E3145" w:rsidRPr="00A77AF6" w14:paraId="7F1794AD" w14:textId="77777777" w:rsidTr="00C437B3">
        <w:tc>
          <w:tcPr>
            <w:tcW w:w="2405" w:type="dxa"/>
            <w:tcBorders>
              <w:top w:val="single" w:sz="4" w:space="0" w:color="auto"/>
              <w:left w:val="single" w:sz="4" w:space="0" w:color="auto"/>
              <w:bottom w:val="single" w:sz="4" w:space="0" w:color="auto"/>
              <w:right w:val="single" w:sz="4" w:space="0" w:color="auto"/>
            </w:tcBorders>
          </w:tcPr>
          <w:p w14:paraId="2E04F494" w14:textId="77777777" w:rsidR="003E3145" w:rsidRPr="00A77AF6" w:rsidRDefault="003E3145" w:rsidP="005625B2">
            <w:pPr>
              <w:spacing w:line="240" w:lineRule="auto"/>
              <w:rPr>
                <w:rFonts w:cstheme="minorHAnsi"/>
                <w:sz w:val="20"/>
                <w:szCs w:val="20"/>
              </w:rPr>
            </w:pPr>
            <w:r w:rsidRPr="00A77AF6">
              <w:rPr>
                <w:rFonts w:cstheme="minorHAnsi"/>
                <w:sz w:val="20"/>
                <w:szCs w:val="20"/>
              </w:rPr>
              <w:t>Epistemology</w:t>
            </w:r>
          </w:p>
        </w:tc>
        <w:tc>
          <w:tcPr>
            <w:tcW w:w="6372" w:type="dxa"/>
            <w:tcBorders>
              <w:top w:val="single" w:sz="4" w:space="0" w:color="auto"/>
              <w:left w:val="single" w:sz="4" w:space="0" w:color="auto"/>
              <w:bottom w:val="single" w:sz="4" w:space="0" w:color="auto"/>
              <w:right w:val="single" w:sz="4" w:space="0" w:color="auto"/>
            </w:tcBorders>
          </w:tcPr>
          <w:p w14:paraId="0F27A5FD" w14:textId="77777777" w:rsidR="003E3145" w:rsidRPr="00A77AF6" w:rsidRDefault="003E3145" w:rsidP="005625B2">
            <w:pPr>
              <w:spacing w:line="240" w:lineRule="auto"/>
              <w:rPr>
                <w:rFonts w:cstheme="minorHAnsi"/>
                <w:sz w:val="20"/>
                <w:szCs w:val="20"/>
              </w:rPr>
            </w:pPr>
            <w:r w:rsidRPr="00A77AF6">
              <w:rPr>
                <w:rFonts w:cstheme="minorHAnsi"/>
                <w:sz w:val="20"/>
                <w:szCs w:val="20"/>
              </w:rPr>
              <w:t xml:space="preserve">The theory of knowledge especially regarding its methods, validity and scope </w:t>
            </w:r>
          </w:p>
        </w:tc>
      </w:tr>
      <w:tr w:rsidR="008369BD" w:rsidRPr="00A77AF6" w14:paraId="494240A2" w14:textId="77777777" w:rsidTr="00C437B3">
        <w:tc>
          <w:tcPr>
            <w:tcW w:w="2405" w:type="dxa"/>
            <w:tcBorders>
              <w:top w:val="single" w:sz="4" w:space="0" w:color="auto"/>
              <w:left w:val="single" w:sz="4" w:space="0" w:color="auto"/>
              <w:bottom w:val="single" w:sz="4" w:space="0" w:color="auto"/>
              <w:right w:val="single" w:sz="4" w:space="0" w:color="auto"/>
            </w:tcBorders>
          </w:tcPr>
          <w:p w14:paraId="6DFDCDD3" w14:textId="3574496F" w:rsidR="008369BD" w:rsidRPr="00A77AF6" w:rsidRDefault="008369BD" w:rsidP="005625B2">
            <w:pPr>
              <w:spacing w:line="240" w:lineRule="auto"/>
              <w:rPr>
                <w:rFonts w:cstheme="minorHAnsi"/>
                <w:sz w:val="20"/>
                <w:szCs w:val="20"/>
              </w:rPr>
            </w:pPr>
            <w:r w:rsidRPr="00A77AF6">
              <w:rPr>
                <w:rFonts w:cstheme="minorHAnsi"/>
                <w:sz w:val="20"/>
                <w:szCs w:val="20"/>
              </w:rPr>
              <w:t>Ethics</w:t>
            </w:r>
          </w:p>
        </w:tc>
        <w:tc>
          <w:tcPr>
            <w:tcW w:w="6372" w:type="dxa"/>
            <w:tcBorders>
              <w:top w:val="single" w:sz="4" w:space="0" w:color="auto"/>
              <w:left w:val="single" w:sz="4" w:space="0" w:color="auto"/>
              <w:bottom w:val="single" w:sz="4" w:space="0" w:color="auto"/>
              <w:right w:val="single" w:sz="4" w:space="0" w:color="auto"/>
            </w:tcBorders>
          </w:tcPr>
          <w:p w14:paraId="3CCE1682" w14:textId="0E671315" w:rsidR="008369BD" w:rsidRPr="00A77AF6" w:rsidRDefault="008369BD" w:rsidP="005625B2">
            <w:pPr>
              <w:spacing w:line="240" w:lineRule="auto"/>
              <w:rPr>
                <w:rFonts w:cstheme="minorHAnsi"/>
                <w:sz w:val="20"/>
                <w:szCs w:val="20"/>
              </w:rPr>
            </w:pPr>
            <w:r w:rsidRPr="00A77AF6">
              <w:rPr>
                <w:rFonts w:cstheme="minorHAnsi"/>
                <w:sz w:val="20"/>
                <w:szCs w:val="20"/>
              </w:rPr>
              <w:t xml:space="preserve">A branch of philosophical </w:t>
            </w:r>
            <w:r w:rsidR="00247F16" w:rsidRPr="00A77AF6">
              <w:rPr>
                <w:rFonts w:cstheme="minorHAnsi"/>
                <w:sz w:val="20"/>
                <w:szCs w:val="20"/>
              </w:rPr>
              <w:t>thought that discusses what is good for society and individuals.  It comprises to broad strands: ethics of virtue and ethics of conduct</w:t>
            </w:r>
          </w:p>
        </w:tc>
      </w:tr>
      <w:tr w:rsidR="003E3145" w:rsidRPr="00A77AF6" w14:paraId="4D896C4F" w14:textId="77777777" w:rsidTr="00C437B3">
        <w:tc>
          <w:tcPr>
            <w:tcW w:w="2405" w:type="dxa"/>
            <w:tcBorders>
              <w:top w:val="single" w:sz="4" w:space="0" w:color="auto"/>
              <w:left w:val="single" w:sz="4" w:space="0" w:color="auto"/>
              <w:bottom w:val="single" w:sz="4" w:space="0" w:color="auto"/>
              <w:right w:val="single" w:sz="4" w:space="0" w:color="auto"/>
            </w:tcBorders>
          </w:tcPr>
          <w:p w14:paraId="46AFB2C6" w14:textId="77777777" w:rsidR="003E3145" w:rsidRPr="00A77AF6" w:rsidRDefault="003E3145" w:rsidP="00C437B3">
            <w:pPr>
              <w:spacing w:line="240" w:lineRule="auto"/>
              <w:rPr>
                <w:sz w:val="20"/>
                <w:szCs w:val="20"/>
              </w:rPr>
            </w:pPr>
            <w:r w:rsidRPr="00A77AF6">
              <w:rPr>
                <w:sz w:val="20"/>
                <w:szCs w:val="20"/>
              </w:rPr>
              <w:t>FBC</w:t>
            </w:r>
          </w:p>
        </w:tc>
        <w:tc>
          <w:tcPr>
            <w:tcW w:w="6372" w:type="dxa"/>
            <w:tcBorders>
              <w:top w:val="single" w:sz="4" w:space="0" w:color="auto"/>
              <w:left w:val="single" w:sz="4" w:space="0" w:color="auto"/>
              <w:bottom w:val="single" w:sz="4" w:space="0" w:color="auto"/>
              <w:right w:val="single" w:sz="4" w:space="0" w:color="auto"/>
            </w:tcBorders>
          </w:tcPr>
          <w:p w14:paraId="5D6A2E92" w14:textId="77777777" w:rsidR="003E3145" w:rsidRPr="00A77AF6" w:rsidRDefault="003E3145" w:rsidP="00C437B3">
            <w:pPr>
              <w:spacing w:line="240" w:lineRule="auto"/>
              <w:rPr>
                <w:rFonts w:cstheme="minorHAnsi"/>
                <w:sz w:val="20"/>
                <w:szCs w:val="20"/>
              </w:rPr>
            </w:pPr>
            <w:r w:rsidRPr="00A77AF6">
              <w:rPr>
                <w:rFonts w:cstheme="minorHAnsi"/>
                <w:sz w:val="20"/>
                <w:szCs w:val="20"/>
              </w:rPr>
              <w:t xml:space="preserve">Full Business Case is a business case written towards the end of the project procurement phase to justify the investment mainly on strategic, economic, financial and commercial grounds and to show that the project can be managed effectively </w:t>
            </w:r>
          </w:p>
        </w:tc>
      </w:tr>
      <w:tr w:rsidR="003E3145" w:rsidRPr="00A77AF6" w14:paraId="06E914CD" w14:textId="77777777" w:rsidTr="00C437B3">
        <w:tc>
          <w:tcPr>
            <w:tcW w:w="2405" w:type="dxa"/>
            <w:tcBorders>
              <w:top w:val="single" w:sz="4" w:space="0" w:color="auto"/>
              <w:left w:val="single" w:sz="4" w:space="0" w:color="auto"/>
              <w:bottom w:val="single" w:sz="4" w:space="0" w:color="auto"/>
              <w:right w:val="single" w:sz="4" w:space="0" w:color="auto"/>
            </w:tcBorders>
          </w:tcPr>
          <w:p w14:paraId="4A40ABE1" w14:textId="77777777" w:rsidR="003E3145" w:rsidRPr="00A77AF6" w:rsidRDefault="003E3145" w:rsidP="005625B2">
            <w:pPr>
              <w:spacing w:line="240" w:lineRule="auto"/>
              <w:rPr>
                <w:rFonts w:cstheme="minorHAnsi"/>
                <w:sz w:val="20"/>
                <w:szCs w:val="20"/>
              </w:rPr>
            </w:pPr>
            <w:r w:rsidRPr="00A77AF6">
              <w:rPr>
                <w:rFonts w:cstheme="minorHAnsi"/>
                <w:sz w:val="20"/>
                <w:szCs w:val="20"/>
              </w:rPr>
              <w:t xml:space="preserve">Formalism </w:t>
            </w:r>
          </w:p>
        </w:tc>
        <w:tc>
          <w:tcPr>
            <w:tcW w:w="6372" w:type="dxa"/>
            <w:tcBorders>
              <w:top w:val="single" w:sz="4" w:space="0" w:color="auto"/>
              <w:left w:val="single" w:sz="4" w:space="0" w:color="auto"/>
              <w:bottom w:val="single" w:sz="4" w:space="0" w:color="auto"/>
              <w:right w:val="single" w:sz="4" w:space="0" w:color="auto"/>
            </w:tcBorders>
          </w:tcPr>
          <w:p w14:paraId="2E0EC004" w14:textId="5D9CEBC0" w:rsidR="003E3145" w:rsidRPr="00A77AF6" w:rsidRDefault="003E3145" w:rsidP="00C437B3">
            <w:pPr>
              <w:spacing w:line="240" w:lineRule="auto"/>
              <w:rPr>
                <w:rFonts w:cstheme="minorHAnsi"/>
                <w:sz w:val="20"/>
                <w:szCs w:val="20"/>
              </w:rPr>
            </w:pPr>
            <w:r w:rsidRPr="00A77AF6">
              <w:rPr>
                <w:rFonts w:cstheme="minorHAnsi"/>
                <w:sz w:val="20"/>
                <w:szCs w:val="20"/>
              </w:rPr>
              <w:t xml:space="preserve">In ethics of </w:t>
            </w:r>
            <w:r w:rsidR="00215CFD" w:rsidRPr="00A77AF6">
              <w:rPr>
                <w:rFonts w:cstheme="minorHAnsi"/>
                <w:sz w:val="20"/>
                <w:szCs w:val="20"/>
              </w:rPr>
              <w:t>conduct,</w:t>
            </w:r>
            <w:r w:rsidRPr="00A77AF6">
              <w:rPr>
                <w:rFonts w:cstheme="minorHAnsi"/>
                <w:sz w:val="20"/>
                <w:szCs w:val="20"/>
              </w:rPr>
              <w:t xml:space="preserve"> a term that describes ethical behaviour that someone has a moral obligation or duty to perform.  It is against the use of outcome as a way of judging what </w:t>
            </w:r>
            <w:r w:rsidR="008369BD" w:rsidRPr="00A77AF6">
              <w:rPr>
                <w:rFonts w:cstheme="minorHAnsi"/>
                <w:sz w:val="20"/>
                <w:szCs w:val="20"/>
              </w:rPr>
              <w:t>moral behaviour is</w:t>
            </w:r>
            <w:r w:rsidRPr="00A77AF6">
              <w:rPr>
                <w:rFonts w:cstheme="minorHAnsi"/>
                <w:sz w:val="20"/>
                <w:szCs w:val="20"/>
              </w:rPr>
              <w:t xml:space="preserve">.  This can be summarised as rules following. </w:t>
            </w:r>
          </w:p>
        </w:tc>
      </w:tr>
      <w:tr w:rsidR="003E3145" w:rsidRPr="00A77AF6" w14:paraId="354B518A" w14:textId="77777777" w:rsidTr="00C437B3">
        <w:tc>
          <w:tcPr>
            <w:tcW w:w="2405" w:type="dxa"/>
            <w:tcBorders>
              <w:top w:val="single" w:sz="4" w:space="0" w:color="auto"/>
              <w:left w:val="single" w:sz="4" w:space="0" w:color="auto"/>
              <w:bottom w:val="single" w:sz="4" w:space="0" w:color="auto"/>
              <w:right w:val="single" w:sz="4" w:space="0" w:color="auto"/>
            </w:tcBorders>
          </w:tcPr>
          <w:p w14:paraId="36CFAA8E" w14:textId="77777777" w:rsidR="003E3145" w:rsidRPr="00A77AF6" w:rsidRDefault="003E3145" w:rsidP="005625B2">
            <w:pPr>
              <w:spacing w:line="240" w:lineRule="auto"/>
              <w:rPr>
                <w:rFonts w:cstheme="minorHAnsi"/>
                <w:sz w:val="20"/>
                <w:szCs w:val="20"/>
              </w:rPr>
            </w:pPr>
            <w:r w:rsidRPr="00A77AF6">
              <w:rPr>
                <w:rFonts w:cstheme="minorHAnsi"/>
                <w:sz w:val="20"/>
                <w:szCs w:val="20"/>
              </w:rPr>
              <w:lastRenderedPageBreak/>
              <w:t>Gender</w:t>
            </w:r>
          </w:p>
        </w:tc>
        <w:tc>
          <w:tcPr>
            <w:tcW w:w="6372" w:type="dxa"/>
            <w:tcBorders>
              <w:top w:val="single" w:sz="4" w:space="0" w:color="auto"/>
              <w:left w:val="single" w:sz="4" w:space="0" w:color="auto"/>
              <w:bottom w:val="single" w:sz="4" w:space="0" w:color="auto"/>
              <w:right w:val="single" w:sz="4" w:space="0" w:color="auto"/>
            </w:tcBorders>
          </w:tcPr>
          <w:p w14:paraId="57CED842" w14:textId="77777777" w:rsidR="003E3145" w:rsidRPr="00A77AF6" w:rsidRDefault="003E3145" w:rsidP="005625B2">
            <w:pPr>
              <w:spacing w:line="240" w:lineRule="auto"/>
              <w:rPr>
                <w:rFonts w:cstheme="minorHAnsi"/>
                <w:sz w:val="20"/>
                <w:szCs w:val="20"/>
              </w:rPr>
            </w:pPr>
            <w:r w:rsidRPr="00A77AF6">
              <w:rPr>
                <w:rFonts w:cstheme="minorHAnsi"/>
                <w:sz w:val="20"/>
                <w:szCs w:val="20"/>
              </w:rPr>
              <w:t>State of being male or female, sometimes considered more fluid and less binary</w:t>
            </w:r>
          </w:p>
        </w:tc>
      </w:tr>
      <w:tr w:rsidR="003E3145" w:rsidRPr="00A77AF6" w14:paraId="0E3F7BB6" w14:textId="77777777" w:rsidTr="00C437B3">
        <w:tc>
          <w:tcPr>
            <w:tcW w:w="2405" w:type="dxa"/>
            <w:tcBorders>
              <w:top w:val="single" w:sz="4" w:space="0" w:color="auto"/>
              <w:left w:val="single" w:sz="4" w:space="0" w:color="auto"/>
              <w:bottom w:val="single" w:sz="4" w:space="0" w:color="auto"/>
              <w:right w:val="single" w:sz="4" w:space="0" w:color="auto"/>
            </w:tcBorders>
          </w:tcPr>
          <w:p w14:paraId="2583F4C0" w14:textId="77777777" w:rsidR="003E3145" w:rsidRPr="00A77AF6" w:rsidRDefault="003E3145" w:rsidP="005625B2">
            <w:pPr>
              <w:spacing w:line="240" w:lineRule="auto"/>
              <w:rPr>
                <w:rFonts w:cstheme="minorHAnsi"/>
                <w:sz w:val="20"/>
                <w:szCs w:val="20"/>
              </w:rPr>
            </w:pPr>
            <w:r w:rsidRPr="00A77AF6">
              <w:rPr>
                <w:rFonts w:cstheme="minorHAnsi"/>
                <w:sz w:val="20"/>
                <w:szCs w:val="20"/>
              </w:rPr>
              <w:t>General Practitioner (GP)</w:t>
            </w:r>
          </w:p>
        </w:tc>
        <w:tc>
          <w:tcPr>
            <w:tcW w:w="6372" w:type="dxa"/>
            <w:tcBorders>
              <w:top w:val="single" w:sz="4" w:space="0" w:color="auto"/>
              <w:left w:val="single" w:sz="4" w:space="0" w:color="auto"/>
              <w:bottom w:val="single" w:sz="4" w:space="0" w:color="auto"/>
              <w:right w:val="single" w:sz="4" w:space="0" w:color="auto"/>
            </w:tcBorders>
          </w:tcPr>
          <w:p w14:paraId="52512684" w14:textId="77777777" w:rsidR="003E3145" w:rsidRPr="00A77AF6" w:rsidRDefault="003E3145" w:rsidP="005625B2">
            <w:pPr>
              <w:spacing w:line="240" w:lineRule="auto"/>
              <w:rPr>
                <w:rFonts w:cstheme="minorHAnsi"/>
                <w:sz w:val="20"/>
                <w:szCs w:val="20"/>
              </w:rPr>
            </w:pPr>
            <w:r w:rsidRPr="00A77AF6">
              <w:rPr>
                <w:rFonts w:cstheme="minorHAnsi"/>
                <w:sz w:val="20"/>
                <w:szCs w:val="20"/>
              </w:rPr>
              <w:t>A specially trained doctor who works in the community to treat patients with generally minor conditions, although not always.  They are responsible for referring patients to hospital</w:t>
            </w:r>
          </w:p>
        </w:tc>
      </w:tr>
      <w:tr w:rsidR="00E06CBC" w:rsidRPr="00A77AF6" w14:paraId="7B4E8D71" w14:textId="77777777" w:rsidTr="00C437B3">
        <w:tc>
          <w:tcPr>
            <w:tcW w:w="2405" w:type="dxa"/>
            <w:tcBorders>
              <w:top w:val="single" w:sz="4" w:space="0" w:color="auto"/>
              <w:left w:val="single" w:sz="4" w:space="0" w:color="auto"/>
              <w:bottom w:val="single" w:sz="4" w:space="0" w:color="auto"/>
              <w:right w:val="single" w:sz="4" w:space="0" w:color="auto"/>
            </w:tcBorders>
          </w:tcPr>
          <w:p w14:paraId="1DBDAD8E" w14:textId="581033B0" w:rsidR="00E06CBC" w:rsidRPr="00A77AF6" w:rsidRDefault="00E06CBC" w:rsidP="005625B2">
            <w:pPr>
              <w:spacing w:line="240" w:lineRule="auto"/>
              <w:rPr>
                <w:rFonts w:cstheme="minorHAnsi"/>
                <w:sz w:val="20"/>
                <w:szCs w:val="20"/>
              </w:rPr>
            </w:pPr>
            <w:r w:rsidRPr="00A77AF6">
              <w:rPr>
                <w:rFonts w:cstheme="minorHAnsi"/>
                <w:sz w:val="20"/>
                <w:szCs w:val="20"/>
              </w:rPr>
              <w:t>Governance</w:t>
            </w:r>
          </w:p>
        </w:tc>
        <w:tc>
          <w:tcPr>
            <w:tcW w:w="6372" w:type="dxa"/>
            <w:tcBorders>
              <w:top w:val="single" w:sz="4" w:space="0" w:color="auto"/>
              <w:left w:val="single" w:sz="4" w:space="0" w:color="auto"/>
              <w:bottom w:val="single" w:sz="4" w:space="0" w:color="auto"/>
              <w:right w:val="single" w:sz="4" w:space="0" w:color="auto"/>
            </w:tcBorders>
          </w:tcPr>
          <w:p w14:paraId="10B7EEBD" w14:textId="2101DB16" w:rsidR="00E06CBC" w:rsidRPr="00A77AF6" w:rsidRDefault="00E06CBC" w:rsidP="005625B2">
            <w:pPr>
              <w:spacing w:line="240" w:lineRule="auto"/>
              <w:rPr>
                <w:rFonts w:cstheme="minorHAnsi"/>
                <w:sz w:val="20"/>
                <w:szCs w:val="20"/>
              </w:rPr>
            </w:pPr>
            <w:r w:rsidRPr="00A77AF6">
              <w:rPr>
                <w:rFonts w:cstheme="minorHAnsi"/>
                <w:sz w:val="20"/>
                <w:szCs w:val="20"/>
              </w:rPr>
              <w:t xml:space="preserve">The structures, policies and roles by which organisations or projects are controlled or governed. </w:t>
            </w:r>
          </w:p>
        </w:tc>
      </w:tr>
      <w:tr w:rsidR="003E3145" w:rsidRPr="00A77AF6" w14:paraId="6177D2CE" w14:textId="77777777" w:rsidTr="00C437B3">
        <w:tc>
          <w:tcPr>
            <w:tcW w:w="2405" w:type="dxa"/>
            <w:tcBorders>
              <w:top w:val="single" w:sz="4" w:space="0" w:color="auto"/>
              <w:left w:val="single" w:sz="4" w:space="0" w:color="auto"/>
              <w:bottom w:val="single" w:sz="4" w:space="0" w:color="auto"/>
              <w:right w:val="single" w:sz="4" w:space="0" w:color="auto"/>
            </w:tcBorders>
          </w:tcPr>
          <w:p w14:paraId="34799BDB" w14:textId="77777777" w:rsidR="003E3145" w:rsidRPr="00A77AF6" w:rsidRDefault="003E3145" w:rsidP="005625B2">
            <w:pPr>
              <w:spacing w:line="240" w:lineRule="auto"/>
              <w:rPr>
                <w:rFonts w:cstheme="minorHAnsi"/>
                <w:sz w:val="20"/>
                <w:szCs w:val="20"/>
              </w:rPr>
            </w:pPr>
            <w:r w:rsidRPr="00A77AF6">
              <w:rPr>
                <w:rFonts w:cstheme="minorHAnsi"/>
                <w:sz w:val="20"/>
                <w:szCs w:val="20"/>
              </w:rPr>
              <w:t>IT</w:t>
            </w:r>
          </w:p>
        </w:tc>
        <w:tc>
          <w:tcPr>
            <w:tcW w:w="6372" w:type="dxa"/>
            <w:tcBorders>
              <w:top w:val="single" w:sz="4" w:space="0" w:color="auto"/>
              <w:left w:val="single" w:sz="4" w:space="0" w:color="auto"/>
              <w:bottom w:val="single" w:sz="4" w:space="0" w:color="auto"/>
              <w:right w:val="single" w:sz="4" w:space="0" w:color="auto"/>
            </w:tcBorders>
          </w:tcPr>
          <w:p w14:paraId="385CF6E0" w14:textId="77777777" w:rsidR="003E3145" w:rsidRPr="00A77AF6" w:rsidRDefault="003E3145" w:rsidP="005625B2">
            <w:pPr>
              <w:spacing w:line="240" w:lineRule="auto"/>
              <w:rPr>
                <w:rFonts w:cstheme="minorHAnsi"/>
                <w:sz w:val="20"/>
                <w:szCs w:val="20"/>
              </w:rPr>
            </w:pPr>
            <w:r w:rsidRPr="00A77AF6">
              <w:rPr>
                <w:rFonts w:cstheme="minorHAnsi"/>
                <w:sz w:val="20"/>
                <w:szCs w:val="20"/>
              </w:rPr>
              <w:t>Information technology</w:t>
            </w:r>
          </w:p>
        </w:tc>
      </w:tr>
      <w:tr w:rsidR="003951F1" w:rsidRPr="00A77AF6" w14:paraId="13284A49" w14:textId="77777777" w:rsidTr="00C437B3">
        <w:tc>
          <w:tcPr>
            <w:tcW w:w="2405" w:type="dxa"/>
            <w:tcBorders>
              <w:top w:val="single" w:sz="4" w:space="0" w:color="auto"/>
              <w:left w:val="single" w:sz="4" w:space="0" w:color="auto"/>
              <w:bottom w:val="single" w:sz="4" w:space="0" w:color="auto"/>
              <w:right w:val="single" w:sz="4" w:space="0" w:color="auto"/>
            </w:tcBorders>
          </w:tcPr>
          <w:p w14:paraId="4C2318A2" w14:textId="52BA4638" w:rsidR="003951F1" w:rsidRPr="00A77AF6" w:rsidRDefault="003951F1" w:rsidP="005625B2">
            <w:pPr>
              <w:spacing w:line="240" w:lineRule="auto"/>
              <w:rPr>
                <w:rFonts w:cstheme="minorHAnsi"/>
                <w:sz w:val="20"/>
                <w:szCs w:val="20"/>
              </w:rPr>
            </w:pPr>
            <w:r w:rsidRPr="00A77AF6">
              <w:rPr>
                <w:rFonts w:cstheme="minorHAnsi"/>
                <w:sz w:val="20"/>
                <w:szCs w:val="20"/>
              </w:rPr>
              <w:t>MEV</w:t>
            </w:r>
          </w:p>
        </w:tc>
        <w:tc>
          <w:tcPr>
            <w:tcW w:w="6372" w:type="dxa"/>
            <w:tcBorders>
              <w:top w:val="single" w:sz="4" w:space="0" w:color="auto"/>
              <w:left w:val="single" w:sz="4" w:space="0" w:color="auto"/>
              <w:bottom w:val="single" w:sz="4" w:space="0" w:color="auto"/>
              <w:right w:val="single" w:sz="4" w:space="0" w:color="auto"/>
            </w:tcBorders>
          </w:tcPr>
          <w:p w14:paraId="7974DBFC" w14:textId="287D2BAF" w:rsidR="003951F1" w:rsidRPr="00A77AF6" w:rsidRDefault="003951F1" w:rsidP="005625B2">
            <w:pPr>
              <w:spacing w:line="240" w:lineRule="auto"/>
              <w:rPr>
                <w:rFonts w:cstheme="minorHAnsi"/>
                <w:sz w:val="20"/>
                <w:szCs w:val="20"/>
              </w:rPr>
            </w:pPr>
            <w:r w:rsidRPr="00A77AF6">
              <w:rPr>
                <w:rFonts w:cstheme="minorHAnsi"/>
                <w:sz w:val="20"/>
                <w:szCs w:val="20"/>
              </w:rPr>
              <w:t>Measure of Ethical Values (Brady and Wheeler, 1996). A way of determining the ethical predisposition of someone through the grading of preference statements.</w:t>
            </w:r>
          </w:p>
        </w:tc>
      </w:tr>
      <w:tr w:rsidR="003E3145" w:rsidRPr="00A77AF6" w14:paraId="65343BA0" w14:textId="77777777" w:rsidTr="00C437B3">
        <w:tc>
          <w:tcPr>
            <w:tcW w:w="2405" w:type="dxa"/>
            <w:tcBorders>
              <w:top w:val="single" w:sz="4" w:space="0" w:color="auto"/>
              <w:left w:val="single" w:sz="4" w:space="0" w:color="auto"/>
              <w:bottom w:val="single" w:sz="4" w:space="0" w:color="auto"/>
              <w:right w:val="single" w:sz="4" w:space="0" w:color="auto"/>
            </w:tcBorders>
          </w:tcPr>
          <w:p w14:paraId="4CDF0419" w14:textId="77777777" w:rsidR="003E3145" w:rsidRPr="00A77AF6" w:rsidRDefault="003E3145" w:rsidP="00C437B3">
            <w:pPr>
              <w:spacing w:line="240" w:lineRule="auto"/>
              <w:rPr>
                <w:rFonts w:cstheme="minorHAnsi"/>
                <w:sz w:val="20"/>
                <w:szCs w:val="20"/>
              </w:rPr>
            </w:pPr>
            <w:r w:rsidRPr="00A77AF6">
              <w:rPr>
                <w:rFonts w:cstheme="minorHAnsi"/>
                <w:sz w:val="20"/>
                <w:szCs w:val="20"/>
              </w:rPr>
              <w:t>n</w:t>
            </w:r>
          </w:p>
        </w:tc>
        <w:tc>
          <w:tcPr>
            <w:tcW w:w="6372" w:type="dxa"/>
            <w:tcBorders>
              <w:top w:val="single" w:sz="4" w:space="0" w:color="auto"/>
              <w:left w:val="single" w:sz="4" w:space="0" w:color="auto"/>
              <w:bottom w:val="single" w:sz="4" w:space="0" w:color="auto"/>
              <w:right w:val="single" w:sz="4" w:space="0" w:color="auto"/>
            </w:tcBorders>
          </w:tcPr>
          <w:p w14:paraId="22AD1610" w14:textId="6F316861" w:rsidR="003E3145" w:rsidRPr="00A77AF6" w:rsidRDefault="00E06CBC" w:rsidP="00C437B3">
            <w:pPr>
              <w:spacing w:line="240" w:lineRule="auto"/>
              <w:rPr>
                <w:rFonts w:cstheme="minorHAnsi"/>
                <w:sz w:val="20"/>
                <w:szCs w:val="20"/>
              </w:rPr>
            </w:pPr>
            <w:r w:rsidRPr="00A77AF6">
              <w:rPr>
                <w:rFonts w:cstheme="minorHAnsi"/>
                <w:sz w:val="20"/>
                <w:szCs w:val="20"/>
              </w:rPr>
              <w:t>Sample number</w:t>
            </w:r>
          </w:p>
        </w:tc>
      </w:tr>
      <w:tr w:rsidR="003E3145" w:rsidRPr="00A77AF6" w14:paraId="6BF57263" w14:textId="77777777" w:rsidTr="00C437B3">
        <w:tc>
          <w:tcPr>
            <w:tcW w:w="2405" w:type="dxa"/>
            <w:tcBorders>
              <w:top w:val="single" w:sz="4" w:space="0" w:color="auto"/>
              <w:left w:val="single" w:sz="4" w:space="0" w:color="auto"/>
              <w:bottom w:val="single" w:sz="4" w:space="0" w:color="auto"/>
              <w:right w:val="single" w:sz="4" w:space="0" w:color="auto"/>
            </w:tcBorders>
          </w:tcPr>
          <w:p w14:paraId="1FE064D5" w14:textId="77777777" w:rsidR="003E3145" w:rsidRPr="00A77AF6" w:rsidRDefault="003E3145" w:rsidP="005625B2">
            <w:pPr>
              <w:spacing w:line="240" w:lineRule="auto"/>
              <w:rPr>
                <w:rFonts w:cstheme="minorHAnsi"/>
                <w:sz w:val="20"/>
                <w:szCs w:val="20"/>
              </w:rPr>
            </w:pPr>
            <w:r w:rsidRPr="00A77AF6">
              <w:rPr>
                <w:rFonts w:cstheme="minorHAnsi"/>
                <w:sz w:val="20"/>
                <w:szCs w:val="20"/>
              </w:rPr>
              <w:t>NHS</w:t>
            </w:r>
          </w:p>
        </w:tc>
        <w:tc>
          <w:tcPr>
            <w:tcW w:w="6372" w:type="dxa"/>
            <w:tcBorders>
              <w:top w:val="single" w:sz="4" w:space="0" w:color="auto"/>
              <w:left w:val="single" w:sz="4" w:space="0" w:color="auto"/>
              <w:bottom w:val="single" w:sz="4" w:space="0" w:color="auto"/>
              <w:right w:val="single" w:sz="4" w:space="0" w:color="auto"/>
            </w:tcBorders>
          </w:tcPr>
          <w:p w14:paraId="7E8914F2" w14:textId="77777777" w:rsidR="003E3145" w:rsidRPr="00A77AF6" w:rsidRDefault="003E3145" w:rsidP="005625B2">
            <w:pPr>
              <w:spacing w:line="240" w:lineRule="auto"/>
              <w:rPr>
                <w:rFonts w:cstheme="minorHAnsi"/>
                <w:sz w:val="20"/>
                <w:szCs w:val="20"/>
              </w:rPr>
            </w:pPr>
            <w:r w:rsidRPr="00A77AF6">
              <w:rPr>
                <w:rFonts w:cstheme="minorHAnsi"/>
                <w:sz w:val="20"/>
                <w:szCs w:val="20"/>
              </w:rPr>
              <w:t>The UK’s publicly funded health service</w:t>
            </w:r>
          </w:p>
        </w:tc>
      </w:tr>
      <w:tr w:rsidR="003E3145" w:rsidRPr="00A77AF6" w14:paraId="0EE0C326" w14:textId="77777777" w:rsidTr="00C437B3">
        <w:tc>
          <w:tcPr>
            <w:tcW w:w="2405" w:type="dxa"/>
            <w:tcBorders>
              <w:top w:val="single" w:sz="4" w:space="0" w:color="auto"/>
              <w:left w:val="single" w:sz="4" w:space="0" w:color="auto"/>
              <w:bottom w:val="single" w:sz="4" w:space="0" w:color="auto"/>
              <w:right w:val="single" w:sz="4" w:space="0" w:color="auto"/>
            </w:tcBorders>
          </w:tcPr>
          <w:p w14:paraId="42321E26" w14:textId="77777777" w:rsidR="003E3145" w:rsidRPr="00A77AF6" w:rsidRDefault="003E3145" w:rsidP="00C437B3">
            <w:pPr>
              <w:spacing w:line="240" w:lineRule="auto"/>
              <w:rPr>
                <w:rFonts w:cstheme="minorHAnsi"/>
                <w:sz w:val="20"/>
                <w:szCs w:val="20"/>
              </w:rPr>
            </w:pPr>
            <w:r w:rsidRPr="00A77AF6">
              <w:rPr>
                <w:rFonts w:cstheme="minorHAnsi"/>
                <w:sz w:val="20"/>
                <w:szCs w:val="20"/>
              </w:rPr>
              <w:t xml:space="preserve">NHS commissioning </w:t>
            </w:r>
          </w:p>
        </w:tc>
        <w:tc>
          <w:tcPr>
            <w:tcW w:w="6372" w:type="dxa"/>
            <w:tcBorders>
              <w:top w:val="single" w:sz="4" w:space="0" w:color="auto"/>
              <w:left w:val="single" w:sz="4" w:space="0" w:color="auto"/>
              <w:bottom w:val="single" w:sz="4" w:space="0" w:color="auto"/>
              <w:right w:val="single" w:sz="4" w:space="0" w:color="auto"/>
            </w:tcBorders>
          </w:tcPr>
          <w:p w14:paraId="17BB7E16" w14:textId="51F23EDF" w:rsidR="003E3145" w:rsidRPr="00A77AF6" w:rsidRDefault="00215CFD" w:rsidP="00C437B3">
            <w:pPr>
              <w:spacing w:line="240" w:lineRule="auto"/>
              <w:rPr>
                <w:rFonts w:cstheme="minorHAnsi"/>
                <w:sz w:val="20"/>
                <w:szCs w:val="20"/>
              </w:rPr>
            </w:pPr>
            <w:r w:rsidRPr="00A77AF6">
              <w:rPr>
                <w:rFonts w:cstheme="minorHAnsi"/>
                <w:sz w:val="20"/>
                <w:szCs w:val="20"/>
              </w:rPr>
              <w:t xml:space="preserve">Actions to carry out health assessment needs of a </w:t>
            </w:r>
            <w:r w:rsidR="00434810" w:rsidRPr="00A77AF6">
              <w:rPr>
                <w:rFonts w:cstheme="minorHAnsi"/>
                <w:sz w:val="20"/>
                <w:szCs w:val="20"/>
              </w:rPr>
              <w:t>population</w:t>
            </w:r>
            <w:r w:rsidRPr="00A77AF6">
              <w:rPr>
                <w:rFonts w:cstheme="minorHAnsi"/>
                <w:sz w:val="20"/>
                <w:szCs w:val="20"/>
              </w:rPr>
              <w:t xml:space="preserve"> and to procure services on their behalf. </w:t>
            </w:r>
          </w:p>
        </w:tc>
      </w:tr>
      <w:tr w:rsidR="003E3145" w:rsidRPr="00A77AF6" w14:paraId="368120A9" w14:textId="77777777" w:rsidTr="00C437B3">
        <w:tc>
          <w:tcPr>
            <w:tcW w:w="2405" w:type="dxa"/>
            <w:tcBorders>
              <w:top w:val="single" w:sz="4" w:space="0" w:color="auto"/>
              <w:left w:val="single" w:sz="4" w:space="0" w:color="auto"/>
              <w:bottom w:val="single" w:sz="4" w:space="0" w:color="auto"/>
              <w:right w:val="single" w:sz="4" w:space="0" w:color="auto"/>
            </w:tcBorders>
          </w:tcPr>
          <w:p w14:paraId="5FAB4246" w14:textId="77777777" w:rsidR="003E3145" w:rsidRPr="00A77AF6" w:rsidRDefault="003E3145" w:rsidP="005625B2">
            <w:pPr>
              <w:spacing w:line="240" w:lineRule="auto"/>
              <w:rPr>
                <w:rFonts w:cstheme="minorHAnsi"/>
                <w:sz w:val="20"/>
                <w:szCs w:val="20"/>
              </w:rPr>
            </w:pPr>
            <w:r w:rsidRPr="00A77AF6">
              <w:rPr>
                <w:rFonts w:cstheme="minorHAnsi"/>
                <w:sz w:val="20"/>
                <w:szCs w:val="20"/>
              </w:rPr>
              <w:t>NHS England</w:t>
            </w:r>
          </w:p>
        </w:tc>
        <w:tc>
          <w:tcPr>
            <w:tcW w:w="6372" w:type="dxa"/>
            <w:tcBorders>
              <w:top w:val="single" w:sz="4" w:space="0" w:color="auto"/>
              <w:left w:val="single" w:sz="4" w:space="0" w:color="auto"/>
              <w:bottom w:val="single" w:sz="4" w:space="0" w:color="auto"/>
              <w:right w:val="single" w:sz="4" w:space="0" w:color="auto"/>
            </w:tcBorders>
          </w:tcPr>
          <w:p w14:paraId="481A5D7B" w14:textId="5D9B076E" w:rsidR="003E3145" w:rsidRPr="00A77AF6" w:rsidRDefault="003E3145" w:rsidP="005625B2">
            <w:pPr>
              <w:spacing w:line="240" w:lineRule="auto"/>
              <w:rPr>
                <w:rFonts w:cstheme="minorHAnsi"/>
                <w:sz w:val="20"/>
                <w:szCs w:val="20"/>
              </w:rPr>
            </w:pPr>
            <w:r w:rsidRPr="00A77AF6">
              <w:rPr>
                <w:rFonts w:cstheme="minorHAnsi"/>
                <w:sz w:val="20"/>
                <w:szCs w:val="20"/>
              </w:rPr>
              <w:t>Body that manages the NHS</w:t>
            </w:r>
            <w:r w:rsidR="005331AA" w:rsidRPr="00A77AF6">
              <w:rPr>
                <w:rFonts w:cstheme="minorHAnsi"/>
                <w:sz w:val="20"/>
                <w:szCs w:val="20"/>
              </w:rPr>
              <w:t xml:space="preserve"> in </w:t>
            </w:r>
            <w:r w:rsidR="00796042" w:rsidRPr="00A77AF6">
              <w:rPr>
                <w:rFonts w:cstheme="minorHAnsi"/>
                <w:sz w:val="20"/>
                <w:szCs w:val="20"/>
              </w:rPr>
              <w:t>England</w:t>
            </w:r>
          </w:p>
        </w:tc>
      </w:tr>
      <w:tr w:rsidR="003E3145" w:rsidRPr="00A77AF6" w14:paraId="100C8C2E" w14:textId="77777777" w:rsidTr="00C437B3">
        <w:tc>
          <w:tcPr>
            <w:tcW w:w="2405" w:type="dxa"/>
            <w:tcBorders>
              <w:top w:val="single" w:sz="4" w:space="0" w:color="auto"/>
              <w:left w:val="single" w:sz="4" w:space="0" w:color="auto"/>
              <w:bottom w:val="single" w:sz="4" w:space="0" w:color="auto"/>
              <w:right w:val="single" w:sz="4" w:space="0" w:color="auto"/>
            </w:tcBorders>
          </w:tcPr>
          <w:p w14:paraId="12CEB93B" w14:textId="77777777" w:rsidR="003E3145" w:rsidRPr="00A77AF6" w:rsidRDefault="003E3145" w:rsidP="005625B2">
            <w:pPr>
              <w:spacing w:line="240" w:lineRule="auto"/>
              <w:rPr>
                <w:rFonts w:cstheme="minorHAnsi"/>
                <w:sz w:val="20"/>
                <w:szCs w:val="20"/>
              </w:rPr>
            </w:pPr>
            <w:r w:rsidRPr="00A77AF6">
              <w:rPr>
                <w:rFonts w:cstheme="minorHAnsi"/>
                <w:sz w:val="20"/>
                <w:szCs w:val="20"/>
              </w:rPr>
              <w:t>NHS Foundation Trust</w:t>
            </w:r>
          </w:p>
        </w:tc>
        <w:tc>
          <w:tcPr>
            <w:tcW w:w="6372" w:type="dxa"/>
            <w:tcBorders>
              <w:top w:val="single" w:sz="4" w:space="0" w:color="auto"/>
              <w:left w:val="single" w:sz="4" w:space="0" w:color="auto"/>
              <w:bottom w:val="single" w:sz="4" w:space="0" w:color="auto"/>
              <w:right w:val="single" w:sz="4" w:space="0" w:color="auto"/>
            </w:tcBorders>
          </w:tcPr>
          <w:p w14:paraId="1FA4CB00" w14:textId="77777777" w:rsidR="003E3145" w:rsidRPr="00A77AF6" w:rsidRDefault="003E3145" w:rsidP="005625B2">
            <w:pPr>
              <w:spacing w:line="240" w:lineRule="auto"/>
              <w:rPr>
                <w:rFonts w:cstheme="minorHAnsi"/>
                <w:sz w:val="20"/>
                <w:szCs w:val="20"/>
              </w:rPr>
            </w:pPr>
            <w:r w:rsidRPr="00A77AF6">
              <w:rPr>
                <w:rFonts w:cstheme="minorHAnsi"/>
                <w:sz w:val="20"/>
                <w:szCs w:val="20"/>
              </w:rPr>
              <w:t>An NHS entity which has been granted some autonomy based on performance</w:t>
            </w:r>
          </w:p>
        </w:tc>
      </w:tr>
      <w:tr w:rsidR="003E3145" w:rsidRPr="00A77AF6" w14:paraId="5DA83D88" w14:textId="77777777" w:rsidTr="00C437B3">
        <w:tc>
          <w:tcPr>
            <w:tcW w:w="2405" w:type="dxa"/>
            <w:tcBorders>
              <w:top w:val="single" w:sz="4" w:space="0" w:color="auto"/>
              <w:left w:val="single" w:sz="4" w:space="0" w:color="auto"/>
              <w:bottom w:val="single" w:sz="4" w:space="0" w:color="auto"/>
              <w:right w:val="single" w:sz="4" w:space="0" w:color="auto"/>
            </w:tcBorders>
          </w:tcPr>
          <w:p w14:paraId="4C6A77A2" w14:textId="77777777" w:rsidR="003E3145" w:rsidRPr="00A77AF6" w:rsidRDefault="003E3145" w:rsidP="005625B2">
            <w:pPr>
              <w:spacing w:line="240" w:lineRule="auto"/>
              <w:rPr>
                <w:rFonts w:cstheme="minorHAnsi"/>
                <w:sz w:val="20"/>
                <w:szCs w:val="20"/>
              </w:rPr>
            </w:pPr>
            <w:r w:rsidRPr="00A77AF6">
              <w:rPr>
                <w:rFonts w:cstheme="minorHAnsi"/>
                <w:sz w:val="20"/>
                <w:szCs w:val="20"/>
              </w:rPr>
              <w:t>NHS Trust</w:t>
            </w:r>
          </w:p>
        </w:tc>
        <w:tc>
          <w:tcPr>
            <w:tcW w:w="6372" w:type="dxa"/>
            <w:tcBorders>
              <w:top w:val="single" w:sz="4" w:space="0" w:color="auto"/>
              <w:left w:val="single" w:sz="4" w:space="0" w:color="auto"/>
              <w:bottom w:val="single" w:sz="4" w:space="0" w:color="auto"/>
              <w:right w:val="single" w:sz="4" w:space="0" w:color="auto"/>
            </w:tcBorders>
          </w:tcPr>
          <w:p w14:paraId="2B7C6129" w14:textId="77777777" w:rsidR="003E3145" w:rsidRPr="00A77AF6" w:rsidRDefault="003E3145" w:rsidP="005625B2">
            <w:pPr>
              <w:spacing w:line="240" w:lineRule="auto"/>
              <w:rPr>
                <w:rFonts w:cstheme="minorHAnsi"/>
                <w:sz w:val="20"/>
                <w:szCs w:val="20"/>
              </w:rPr>
            </w:pPr>
            <w:r w:rsidRPr="00A77AF6">
              <w:rPr>
                <w:rFonts w:cstheme="minorHAnsi"/>
                <w:sz w:val="20"/>
                <w:szCs w:val="20"/>
              </w:rPr>
              <w:t>Organisational entity of the NHS which can comprise one or more hospitals or clinics</w:t>
            </w:r>
          </w:p>
        </w:tc>
      </w:tr>
      <w:tr w:rsidR="003E3145" w:rsidRPr="00A77AF6" w14:paraId="743CCB23" w14:textId="77777777" w:rsidTr="00C437B3">
        <w:tc>
          <w:tcPr>
            <w:tcW w:w="2405" w:type="dxa"/>
            <w:tcBorders>
              <w:top w:val="single" w:sz="4" w:space="0" w:color="auto"/>
              <w:left w:val="single" w:sz="4" w:space="0" w:color="auto"/>
              <w:bottom w:val="single" w:sz="4" w:space="0" w:color="auto"/>
              <w:right w:val="single" w:sz="4" w:space="0" w:color="auto"/>
            </w:tcBorders>
            <w:hideMark/>
          </w:tcPr>
          <w:p w14:paraId="1A4D69DE" w14:textId="77777777" w:rsidR="003E3145" w:rsidRPr="00A77AF6" w:rsidRDefault="003E3145" w:rsidP="00C437B3">
            <w:pPr>
              <w:spacing w:line="240" w:lineRule="auto"/>
              <w:rPr>
                <w:rFonts w:cstheme="minorHAnsi"/>
                <w:sz w:val="20"/>
                <w:szCs w:val="20"/>
              </w:rPr>
            </w:pPr>
            <w:r w:rsidRPr="00A77AF6">
              <w:rPr>
                <w:rFonts w:cstheme="minorHAnsi"/>
                <w:sz w:val="20"/>
                <w:szCs w:val="20"/>
              </w:rPr>
              <w:t xml:space="preserve">Non-consequentialism </w:t>
            </w:r>
          </w:p>
        </w:tc>
        <w:tc>
          <w:tcPr>
            <w:tcW w:w="6372" w:type="dxa"/>
            <w:tcBorders>
              <w:top w:val="single" w:sz="4" w:space="0" w:color="auto"/>
              <w:left w:val="single" w:sz="4" w:space="0" w:color="auto"/>
              <w:bottom w:val="single" w:sz="4" w:space="0" w:color="auto"/>
              <w:right w:val="single" w:sz="4" w:space="0" w:color="auto"/>
            </w:tcBorders>
          </w:tcPr>
          <w:p w14:paraId="26E32CDC" w14:textId="77777777" w:rsidR="003E3145" w:rsidRPr="00A77AF6" w:rsidRDefault="003E3145" w:rsidP="00C437B3">
            <w:pPr>
              <w:spacing w:line="240" w:lineRule="auto"/>
              <w:rPr>
                <w:rFonts w:cstheme="minorHAnsi"/>
                <w:sz w:val="20"/>
                <w:szCs w:val="20"/>
              </w:rPr>
            </w:pPr>
            <w:r w:rsidRPr="00A77AF6">
              <w:rPr>
                <w:rFonts w:cstheme="minorHAnsi"/>
                <w:sz w:val="20"/>
                <w:szCs w:val="20"/>
              </w:rPr>
              <w:t>See formalism</w:t>
            </w:r>
          </w:p>
        </w:tc>
      </w:tr>
      <w:tr w:rsidR="003E3145" w:rsidRPr="00A77AF6" w14:paraId="646A812E" w14:textId="77777777" w:rsidTr="00C437B3">
        <w:tc>
          <w:tcPr>
            <w:tcW w:w="2405" w:type="dxa"/>
            <w:tcBorders>
              <w:top w:val="single" w:sz="4" w:space="0" w:color="auto"/>
              <w:left w:val="single" w:sz="4" w:space="0" w:color="auto"/>
              <w:bottom w:val="single" w:sz="4" w:space="0" w:color="auto"/>
              <w:right w:val="single" w:sz="4" w:space="0" w:color="auto"/>
            </w:tcBorders>
          </w:tcPr>
          <w:p w14:paraId="5B49E809" w14:textId="77777777" w:rsidR="003E3145" w:rsidRPr="00A77AF6" w:rsidRDefault="003E3145" w:rsidP="00C437B3">
            <w:pPr>
              <w:spacing w:line="240" w:lineRule="auto"/>
              <w:rPr>
                <w:sz w:val="20"/>
                <w:szCs w:val="20"/>
              </w:rPr>
            </w:pPr>
            <w:r w:rsidRPr="00A77AF6">
              <w:rPr>
                <w:sz w:val="20"/>
                <w:szCs w:val="20"/>
              </w:rPr>
              <w:t>OBC</w:t>
            </w:r>
          </w:p>
        </w:tc>
        <w:tc>
          <w:tcPr>
            <w:tcW w:w="6372" w:type="dxa"/>
            <w:tcBorders>
              <w:top w:val="single" w:sz="4" w:space="0" w:color="auto"/>
              <w:left w:val="single" w:sz="4" w:space="0" w:color="auto"/>
              <w:bottom w:val="single" w:sz="4" w:space="0" w:color="auto"/>
              <w:right w:val="single" w:sz="4" w:space="0" w:color="auto"/>
            </w:tcBorders>
          </w:tcPr>
          <w:p w14:paraId="3D5797E2" w14:textId="77777777" w:rsidR="003E3145" w:rsidRPr="00A77AF6" w:rsidRDefault="003E3145" w:rsidP="00C437B3">
            <w:pPr>
              <w:spacing w:line="240" w:lineRule="auto"/>
              <w:rPr>
                <w:rFonts w:cstheme="minorHAnsi"/>
                <w:sz w:val="20"/>
                <w:szCs w:val="20"/>
              </w:rPr>
            </w:pPr>
            <w:r w:rsidRPr="00A77AF6">
              <w:rPr>
                <w:sz w:val="20"/>
                <w:szCs w:val="20"/>
              </w:rPr>
              <w:t>Outline Business Case is a business case written at about stage 2 of RIBA plan of works justifying the preferred option on economic grounds</w:t>
            </w:r>
          </w:p>
        </w:tc>
      </w:tr>
      <w:tr w:rsidR="003E3145" w:rsidRPr="00A77AF6" w14:paraId="6A0B2240" w14:textId="77777777" w:rsidTr="00C437B3">
        <w:tc>
          <w:tcPr>
            <w:tcW w:w="2405" w:type="dxa"/>
            <w:tcBorders>
              <w:top w:val="single" w:sz="4" w:space="0" w:color="auto"/>
              <w:left w:val="single" w:sz="4" w:space="0" w:color="auto"/>
              <w:bottom w:val="single" w:sz="4" w:space="0" w:color="auto"/>
              <w:right w:val="single" w:sz="4" w:space="0" w:color="auto"/>
            </w:tcBorders>
          </w:tcPr>
          <w:p w14:paraId="64EAB7DF" w14:textId="77777777" w:rsidR="003E3145" w:rsidRPr="00A77AF6" w:rsidRDefault="003E3145" w:rsidP="00C437B3">
            <w:pPr>
              <w:spacing w:line="240" w:lineRule="auto"/>
              <w:rPr>
                <w:rFonts w:cstheme="minorHAnsi"/>
                <w:sz w:val="20"/>
                <w:szCs w:val="20"/>
              </w:rPr>
            </w:pPr>
            <w:r w:rsidRPr="00A77AF6">
              <w:rPr>
                <w:rFonts w:cstheme="minorHAnsi"/>
                <w:sz w:val="20"/>
                <w:szCs w:val="20"/>
              </w:rPr>
              <w:t>PFI</w:t>
            </w:r>
          </w:p>
        </w:tc>
        <w:tc>
          <w:tcPr>
            <w:tcW w:w="6372" w:type="dxa"/>
            <w:tcBorders>
              <w:top w:val="single" w:sz="4" w:space="0" w:color="auto"/>
              <w:left w:val="single" w:sz="4" w:space="0" w:color="auto"/>
              <w:bottom w:val="single" w:sz="4" w:space="0" w:color="auto"/>
              <w:right w:val="single" w:sz="4" w:space="0" w:color="auto"/>
            </w:tcBorders>
          </w:tcPr>
          <w:p w14:paraId="1B9CD103" w14:textId="77777777" w:rsidR="003E3145" w:rsidRPr="00A77AF6" w:rsidRDefault="003E3145" w:rsidP="00C437B3">
            <w:pPr>
              <w:spacing w:line="240" w:lineRule="auto"/>
              <w:rPr>
                <w:rFonts w:cstheme="minorHAnsi"/>
                <w:sz w:val="20"/>
                <w:szCs w:val="20"/>
              </w:rPr>
            </w:pPr>
            <w:r w:rsidRPr="00A77AF6">
              <w:rPr>
                <w:rFonts w:cstheme="minorHAnsi"/>
                <w:sz w:val="20"/>
                <w:szCs w:val="20"/>
              </w:rPr>
              <w:t xml:space="preserve">Private Finance Initiative.  A type of public/ private partnership whereby a private consortium often, but not always consisting of a constructor and facilities management company design, build, finance and operate a public sector facility in return for a management fee (unitary charge) for a concession, typically 30 years in healthcare. </w:t>
            </w:r>
          </w:p>
        </w:tc>
      </w:tr>
      <w:tr w:rsidR="003E3145" w:rsidRPr="00A77AF6" w14:paraId="029E4D2E" w14:textId="77777777" w:rsidTr="00C437B3">
        <w:tc>
          <w:tcPr>
            <w:tcW w:w="2405" w:type="dxa"/>
            <w:tcBorders>
              <w:top w:val="single" w:sz="4" w:space="0" w:color="auto"/>
              <w:left w:val="single" w:sz="4" w:space="0" w:color="auto"/>
              <w:bottom w:val="single" w:sz="4" w:space="0" w:color="auto"/>
              <w:right w:val="single" w:sz="4" w:space="0" w:color="auto"/>
            </w:tcBorders>
          </w:tcPr>
          <w:p w14:paraId="482DDA00" w14:textId="77777777" w:rsidR="003E3145" w:rsidRPr="00A77AF6" w:rsidRDefault="003E3145" w:rsidP="00C437B3">
            <w:pPr>
              <w:spacing w:line="240" w:lineRule="auto"/>
              <w:rPr>
                <w:rFonts w:cstheme="minorHAnsi"/>
                <w:sz w:val="20"/>
                <w:szCs w:val="20"/>
              </w:rPr>
            </w:pPr>
            <w:r w:rsidRPr="00A77AF6">
              <w:rPr>
                <w:rFonts w:cstheme="minorHAnsi"/>
                <w:sz w:val="20"/>
                <w:szCs w:val="20"/>
              </w:rPr>
              <w:t>PMI</w:t>
            </w:r>
          </w:p>
        </w:tc>
        <w:tc>
          <w:tcPr>
            <w:tcW w:w="6372" w:type="dxa"/>
            <w:tcBorders>
              <w:top w:val="single" w:sz="4" w:space="0" w:color="auto"/>
              <w:left w:val="single" w:sz="4" w:space="0" w:color="auto"/>
              <w:bottom w:val="single" w:sz="4" w:space="0" w:color="auto"/>
              <w:right w:val="single" w:sz="4" w:space="0" w:color="auto"/>
            </w:tcBorders>
          </w:tcPr>
          <w:p w14:paraId="2211094B" w14:textId="58A5733B" w:rsidR="003E3145" w:rsidRPr="00A77AF6" w:rsidRDefault="00215CFD" w:rsidP="00215CFD">
            <w:pPr>
              <w:spacing w:line="240" w:lineRule="auto"/>
              <w:rPr>
                <w:rFonts w:cstheme="minorHAnsi"/>
                <w:sz w:val="20"/>
                <w:szCs w:val="20"/>
              </w:rPr>
            </w:pPr>
            <w:r w:rsidRPr="00A77AF6">
              <w:rPr>
                <w:rFonts w:cstheme="minorHAnsi"/>
                <w:sz w:val="20"/>
                <w:szCs w:val="20"/>
              </w:rPr>
              <w:t>Project M</w:t>
            </w:r>
            <w:r w:rsidR="003E3145" w:rsidRPr="00A77AF6">
              <w:rPr>
                <w:rFonts w:cstheme="minorHAnsi"/>
                <w:sz w:val="20"/>
                <w:szCs w:val="20"/>
              </w:rPr>
              <w:t>anagement Institute</w:t>
            </w:r>
            <w:r w:rsidRPr="00A77AF6">
              <w:rPr>
                <w:rFonts w:cstheme="minorHAnsi"/>
                <w:sz w:val="20"/>
                <w:szCs w:val="20"/>
              </w:rPr>
              <w:t xml:space="preserve">. A body which provides knowledge, training and education for its members and others.  Produced the PMBOK (Project Management Body of Knowledge) book. It has a code of ethics for members. </w:t>
            </w:r>
          </w:p>
        </w:tc>
      </w:tr>
      <w:tr w:rsidR="00FC5F45" w:rsidRPr="00A77AF6" w14:paraId="44FECF6D" w14:textId="77777777" w:rsidTr="00C437B3">
        <w:tc>
          <w:tcPr>
            <w:tcW w:w="2405" w:type="dxa"/>
            <w:tcBorders>
              <w:top w:val="single" w:sz="4" w:space="0" w:color="auto"/>
              <w:left w:val="single" w:sz="4" w:space="0" w:color="auto"/>
              <w:bottom w:val="single" w:sz="4" w:space="0" w:color="auto"/>
              <w:right w:val="single" w:sz="4" w:space="0" w:color="auto"/>
            </w:tcBorders>
          </w:tcPr>
          <w:p w14:paraId="4132E6E1" w14:textId="3F977558" w:rsidR="00FC5F45" w:rsidRPr="00A77AF6" w:rsidRDefault="00FC5F45" w:rsidP="00C437B3">
            <w:pPr>
              <w:spacing w:line="240" w:lineRule="auto"/>
              <w:rPr>
                <w:rFonts w:cstheme="minorHAnsi"/>
                <w:sz w:val="20"/>
                <w:szCs w:val="20"/>
              </w:rPr>
            </w:pPr>
            <w:r w:rsidRPr="00A77AF6">
              <w:rPr>
                <w:rFonts w:cstheme="minorHAnsi"/>
                <w:sz w:val="20"/>
                <w:szCs w:val="20"/>
              </w:rPr>
              <w:t>POE</w:t>
            </w:r>
          </w:p>
        </w:tc>
        <w:tc>
          <w:tcPr>
            <w:tcW w:w="6372" w:type="dxa"/>
            <w:tcBorders>
              <w:top w:val="single" w:sz="4" w:space="0" w:color="auto"/>
              <w:left w:val="single" w:sz="4" w:space="0" w:color="auto"/>
              <w:bottom w:val="single" w:sz="4" w:space="0" w:color="auto"/>
              <w:right w:val="single" w:sz="4" w:space="0" w:color="auto"/>
            </w:tcBorders>
          </w:tcPr>
          <w:p w14:paraId="58D02A97" w14:textId="0000B459" w:rsidR="00FC5F45" w:rsidRPr="00A77AF6" w:rsidRDefault="00FC5F45" w:rsidP="00C437B3">
            <w:pPr>
              <w:spacing w:line="240" w:lineRule="auto"/>
              <w:rPr>
                <w:rFonts w:cstheme="minorHAnsi"/>
                <w:sz w:val="20"/>
                <w:szCs w:val="20"/>
              </w:rPr>
            </w:pPr>
            <w:r w:rsidRPr="00A77AF6">
              <w:rPr>
                <w:rFonts w:cstheme="minorHAnsi"/>
                <w:sz w:val="20"/>
                <w:szCs w:val="20"/>
              </w:rPr>
              <w:t>Post occupancy evaluation.  A systematic review of a building</w:t>
            </w:r>
            <w:r w:rsidR="00395669" w:rsidRPr="00A77AF6">
              <w:rPr>
                <w:rFonts w:cstheme="minorHAnsi"/>
                <w:sz w:val="20"/>
                <w:szCs w:val="20"/>
              </w:rPr>
              <w:t xml:space="preserve"> </w:t>
            </w:r>
            <w:r w:rsidRPr="00A77AF6">
              <w:rPr>
                <w:rFonts w:cstheme="minorHAnsi"/>
                <w:sz w:val="20"/>
                <w:szCs w:val="20"/>
              </w:rPr>
              <w:t>in</w:t>
            </w:r>
            <w:r w:rsidR="00796042" w:rsidRPr="00A77AF6">
              <w:rPr>
                <w:rFonts w:cstheme="minorHAnsi"/>
                <w:sz w:val="20"/>
                <w:szCs w:val="20"/>
              </w:rPr>
              <w:t>-</w:t>
            </w:r>
            <w:r w:rsidRPr="00A77AF6">
              <w:rPr>
                <w:rFonts w:cstheme="minorHAnsi"/>
                <w:sz w:val="20"/>
                <w:szCs w:val="20"/>
              </w:rPr>
              <w:t>use</w:t>
            </w:r>
          </w:p>
        </w:tc>
      </w:tr>
      <w:tr w:rsidR="003E3145" w:rsidRPr="00A77AF6" w14:paraId="7905F6AE" w14:textId="77777777" w:rsidTr="00C437B3">
        <w:tc>
          <w:tcPr>
            <w:tcW w:w="2405" w:type="dxa"/>
            <w:tcBorders>
              <w:top w:val="single" w:sz="4" w:space="0" w:color="auto"/>
              <w:left w:val="single" w:sz="4" w:space="0" w:color="auto"/>
              <w:bottom w:val="single" w:sz="4" w:space="0" w:color="auto"/>
              <w:right w:val="single" w:sz="4" w:space="0" w:color="auto"/>
            </w:tcBorders>
          </w:tcPr>
          <w:p w14:paraId="0E038367" w14:textId="77777777" w:rsidR="003E3145" w:rsidRPr="00A77AF6" w:rsidRDefault="003E3145" w:rsidP="00C437B3">
            <w:pPr>
              <w:spacing w:line="240" w:lineRule="auto"/>
              <w:rPr>
                <w:rFonts w:cstheme="minorHAnsi"/>
                <w:sz w:val="20"/>
                <w:szCs w:val="20"/>
              </w:rPr>
            </w:pPr>
            <w:r w:rsidRPr="00A77AF6">
              <w:rPr>
                <w:rFonts w:cstheme="minorHAnsi"/>
                <w:sz w:val="20"/>
                <w:szCs w:val="20"/>
              </w:rPr>
              <w:t>PPP</w:t>
            </w:r>
          </w:p>
        </w:tc>
        <w:tc>
          <w:tcPr>
            <w:tcW w:w="6372" w:type="dxa"/>
            <w:tcBorders>
              <w:top w:val="single" w:sz="4" w:space="0" w:color="auto"/>
              <w:left w:val="single" w:sz="4" w:space="0" w:color="auto"/>
              <w:bottom w:val="single" w:sz="4" w:space="0" w:color="auto"/>
              <w:right w:val="single" w:sz="4" w:space="0" w:color="auto"/>
            </w:tcBorders>
          </w:tcPr>
          <w:p w14:paraId="37D4C7E9" w14:textId="3EB8C5BF" w:rsidR="003E3145" w:rsidRPr="00A77AF6" w:rsidRDefault="00FC5F45" w:rsidP="00FC5F45">
            <w:pPr>
              <w:spacing w:line="240" w:lineRule="auto"/>
              <w:rPr>
                <w:rFonts w:cstheme="minorHAnsi"/>
                <w:sz w:val="20"/>
                <w:szCs w:val="20"/>
              </w:rPr>
            </w:pPr>
            <w:r w:rsidRPr="00A77AF6">
              <w:rPr>
                <w:rFonts w:cstheme="minorHAnsi"/>
                <w:sz w:val="20"/>
                <w:szCs w:val="20"/>
              </w:rPr>
              <w:t xml:space="preserve">Public/ private partnership. A contractual relationship between the public and private sectors which aims to align the interests of both parties and to </w:t>
            </w:r>
            <w:r w:rsidR="00E06CBC" w:rsidRPr="00A77AF6">
              <w:rPr>
                <w:rFonts w:cstheme="minorHAnsi"/>
                <w:sz w:val="20"/>
                <w:szCs w:val="20"/>
              </w:rPr>
              <w:t xml:space="preserve">remove the adversarial nature of the relationship and the need to competitive tendering </w:t>
            </w:r>
          </w:p>
        </w:tc>
      </w:tr>
      <w:tr w:rsidR="003E3145" w:rsidRPr="00A77AF6" w14:paraId="3EEF95DA" w14:textId="77777777" w:rsidTr="00C437B3">
        <w:tc>
          <w:tcPr>
            <w:tcW w:w="2405" w:type="dxa"/>
            <w:tcBorders>
              <w:top w:val="single" w:sz="4" w:space="0" w:color="auto"/>
              <w:left w:val="single" w:sz="4" w:space="0" w:color="auto"/>
              <w:bottom w:val="single" w:sz="4" w:space="0" w:color="auto"/>
              <w:right w:val="single" w:sz="4" w:space="0" w:color="auto"/>
            </w:tcBorders>
          </w:tcPr>
          <w:p w14:paraId="74D56486" w14:textId="77777777" w:rsidR="003E3145" w:rsidRPr="00A77AF6" w:rsidRDefault="003E3145" w:rsidP="00C437B3">
            <w:pPr>
              <w:spacing w:line="240" w:lineRule="auto"/>
              <w:rPr>
                <w:rFonts w:cstheme="minorHAnsi"/>
                <w:sz w:val="20"/>
                <w:szCs w:val="20"/>
              </w:rPr>
            </w:pPr>
            <w:r w:rsidRPr="00A77AF6">
              <w:rPr>
                <w:rFonts w:cstheme="minorHAnsi"/>
                <w:sz w:val="20"/>
                <w:szCs w:val="20"/>
              </w:rPr>
              <w:t>Project</w:t>
            </w:r>
          </w:p>
        </w:tc>
        <w:tc>
          <w:tcPr>
            <w:tcW w:w="6372" w:type="dxa"/>
            <w:tcBorders>
              <w:top w:val="single" w:sz="4" w:space="0" w:color="auto"/>
              <w:left w:val="single" w:sz="4" w:space="0" w:color="auto"/>
              <w:bottom w:val="single" w:sz="4" w:space="0" w:color="auto"/>
              <w:right w:val="single" w:sz="4" w:space="0" w:color="auto"/>
            </w:tcBorders>
          </w:tcPr>
          <w:p w14:paraId="397E5780" w14:textId="40387D26" w:rsidR="003E3145" w:rsidRPr="00A77AF6" w:rsidRDefault="005440F4" w:rsidP="00C437B3">
            <w:pPr>
              <w:spacing w:line="240" w:lineRule="auto"/>
              <w:rPr>
                <w:rFonts w:cstheme="minorHAnsi"/>
                <w:sz w:val="20"/>
                <w:szCs w:val="20"/>
              </w:rPr>
            </w:pPr>
            <w:r w:rsidRPr="00A77AF6">
              <w:rPr>
                <w:rFonts w:cstheme="minorHAnsi"/>
                <w:sz w:val="20"/>
                <w:szCs w:val="20"/>
              </w:rPr>
              <w:t xml:space="preserve">PRINCE2® defines a project as ‘a temporary organization that is created for the purpose of delivering one or more business products according to an agreed Business Case’ </w:t>
            </w:r>
            <w:sdt>
              <w:sdtPr>
                <w:rPr>
                  <w:rFonts w:cstheme="minorHAnsi"/>
                  <w:sz w:val="20"/>
                  <w:szCs w:val="20"/>
                </w:rPr>
                <w:id w:val="-1487923995"/>
                <w:citation/>
              </w:sdtPr>
              <w:sdtEndPr/>
              <w:sdtContent>
                <w:r w:rsidRPr="00A77AF6">
                  <w:rPr>
                    <w:rFonts w:cstheme="minorHAnsi"/>
                    <w:sz w:val="20"/>
                    <w:szCs w:val="20"/>
                  </w:rPr>
                  <w:fldChar w:fldCharType="begin"/>
                </w:r>
                <w:r w:rsidR="004436D3" w:rsidRPr="00A77AF6">
                  <w:rPr>
                    <w:rFonts w:cstheme="minorHAnsi"/>
                    <w:sz w:val="20"/>
                    <w:szCs w:val="20"/>
                  </w:rPr>
                  <w:instrText xml:space="preserve">CITATION Axe09 \p 3 \l 2057 </w:instrText>
                </w:r>
                <w:r w:rsidRPr="00A77AF6">
                  <w:rPr>
                    <w:rFonts w:cstheme="minorHAnsi"/>
                    <w:sz w:val="20"/>
                    <w:szCs w:val="20"/>
                  </w:rPr>
                  <w:fldChar w:fldCharType="separate"/>
                </w:r>
                <w:r w:rsidR="008E653F" w:rsidRPr="00A77AF6">
                  <w:rPr>
                    <w:rFonts w:cstheme="minorHAnsi"/>
                    <w:sz w:val="20"/>
                    <w:szCs w:val="20"/>
                  </w:rPr>
                  <w:t>(Axelos, 2009, p. 3)</w:t>
                </w:r>
                <w:r w:rsidRPr="00A77AF6">
                  <w:rPr>
                    <w:rFonts w:cstheme="minorHAnsi"/>
                    <w:sz w:val="20"/>
                    <w:szCs w:val="20"/>
                  </w:rPr>
                  <w:fldChar w:fldCharType="end"/>
                </w:r>
              </w:sdtContent>
            </w:sdt>
          </w:p>
        </w:tc>
      </w:tr>
      <w:tr w:rsidR="0059442C" w:rsidRPr="00A77AF6" w14:paraId="3231E0FA" w14:textId="77777777" w:rsidTr="00C437B3">
        <w:tc>
          <w:tcPr>
            <w:tcW w:w="2405" w:type="dxa"/>
            <w:tcBorders>
              <w:top w:val="single" w:sz="4" w:space="0" w:color="auto"/>
              <w:left w:val="single" w:sz="4" w:space="0" w:color="auto"/>
              <w:bottom w:val="single" w:sz="4" w:space="0" w:color="auto"/>
              <w:right w:val="single" w:sz="4" w:space="0" w:color="auto"/>
            </w:tcBorders>
          </w:tcPr>
          <w:p w14:paraId="4E48818B" w14:textId="0C3A0E53" w:rsidR="0059442C" w:rsidRPr="00A77AF6" w:rsidRDefault="0059442C" w:rsidP="00C437B3">
            <w:pPr>
              <w:spacing w:line="240" w:lineRule="auto"/>
              <w:rPr>
                <w:rFonts w:cstheme="minorHAnsi"/>
                <w:sz w:val="20"/>
                <w:szCs w:val="20"/>
              </w:rPr>
            </w:pPr>
            <w:r w:rsidRPr="00A77AF6">
              <w:rPr>
                <w:rFonts w:cstheme="minorHAnsi"/>
                <w:sz w:val="20"/>
                <w:szCs w:val="20"/>
              </w:rPr>
              <w:t>Project Implementation Profile (PIP)</w:t>
            </w:r>
          </w:p>
        </w:tc>
        <w:tc>
          <w:tcPr>
            <w:tcW w:w="6372" w:type="dxa"/>
            <w:tcBorders>
              <w:top w:val="single" w:sz="4" w:space="0" w:color="auto"/>
              <w:left w:val="single" w:sz="4" w:space="0" w:color="auto"/>
              <w:bottom w:val="single" w:sz="4" w:space="0" w:color="auto"/>
              <w:right w:val="single" w:sz="4" w:space="0" w:color="auto"/>
            </w:tcBorders>
          </w:tcPr>
          <w:p w14:paraId="4E9E83C4" w14:textId="652EE450" w:rsidR="0059442C" w:rsidRPr="00A77AF6" w:rsidRDefault="0059442C" w:rsidP="0059442C">
            <w:pPr>
              <w:spacing w:line="240" w:lineRule="auto"/>
              <w:rPr>
                <w:rFonts w:cstheme="minorHAnsi"/>
                <w:iCs/>
                <w:sz w:val="20"/>
                <w:szCs w:val="20"/>
              </w:rPr>
            </w:pPr>
            <w:r w:rsidRPr="00A77AF6">
              <w:rPr>
                <w:iCs/>
                <w:sz w:val="20"/>
                <w:szCs w:val="20"/>
              </w:rPr>
              <w:t xml:space="preserve">A monitoring and tracking system devised by Pinto &amp; Slevin (1989) to track Critical Success Factors in projects. </w:t>
            </w:r>
          </w:p>
        </w:tc>
      </w:tr>
      <w:tr w:rsidR="003E3145" w:rsidRPr="00A77AF6" w14:paraId="2B83FFCE" w14:textId="77777777" w:rsidTr="00C437B3">
        <w:tc>
          <w:tcPr>
            <w:tcW w:w="2405" w:type="dxa"/>
            <w:tcBorders>
              <w:top w:val="single" w:sz="4" w:space="0" w:color="auto"/>
              <w:left w:val="single" w:sz="4" w:space="0" w:color="auto"/>
              <w:bottom w:val="single" w:sz="4" w:space="0" w:color="auto"/>
              <w:right w:val="single" w:sz="4" w:space="0" w:color="auto"/>
            </w:tcBorders>
          </w:tcPr>
          <w:p w14:paraId="0854A98F" w14:textId="77777777" w:rsidR="003E3145" w:rsidRPr="00A77AF6" w:rsidRDefault="003E3145" w:rsidP="00C437B3">
            <w:pPr>
              <w:spacing w:line="240" w:lineRule="auto"/>
              <w:rPr>
                <w:rFonts w:cstheme="minorHAnsi"/>
                <w:sz w:val="20"/>
                <w:szCs w:val="20"/>
              </w:rPr>
            </w:pPr>
            <w:r w:rsidRPr="00A77AF6">
              <w:rPr>
                <w:rFonts w:cstheme="minorHAnsi"/>
                <w:sz w:val="20"/>
                <w:szCs w:val="20"/>
              </w:rPr>
              <w:lastRenderedPageBreak/>
              <w:t>Project Governance</w:t>
            </w:r>
          </w:p>
        </w:tc>
        <w:tc>
          <w:tcPr>
            <w:tcW w:w="6372" w:type="dxa"/>
            <w:tcBorders>
              <w:top w:val="single" w:sz="4" w:space="0" w:color="auto"/>
              <w:left w:val="single" w:sz="4" w:space="0" w:color="auto"/>
              <w:bottom w:val="single" w:sz="4" w:space="0" w:color="auto"/>
              <w:right w:val="single" w:sz="4" w:space="0" w:color="auto"/>
            </w:tcBorders>
          </w:tcPr>
          <w:p w14:paraId="32F992DD" w14:textId="77777777" w:rsidR="003E3145" w:rsidRPr="00A77AF6" w:rsidRDefault="003E3145" w:rsidP="00C437B3">
            <w:pPr>
              <w:spacing w:line="240" w:lineRule="auto"/>
              <w:rPr>
                <w:rFonts w:cstheme="minorHAnsi"/>
                <w:iCs/>
                <w:sz w:val="20"/>
                <w:szCs w:val="20"/>
              </w:rPr>
            </w:pPr>
            <w:r w:rsidRPr="00A77AF6">
              <w:rPr>
                <w:rFonts w:cstheme="minorHAnsi"/>
                <w:iCs/>
                <w:sz w:val="20"/>
                <w:szCs w:val="20"/>
              </w:rPr>
              <w:t xml:space="preserve">A formal set of principles, structures and processes for the undertaking and management of projects. </w:t>
            </w:r>
          </w:p>
        </w:tc>
      </w:tr>
      <w:tr w:rsidR="003E3145" w:rsidRPr="00A77AF6" w14:paraId="2B8C8FF1" w14:textId="77777777" w:rsidTr="00C437B3">
        <w:tc>
          <w:tcPr>
            <w:tcW w:w="2405" w:type="dxa"/>
            <w:tcBorders>
              <w:top w:val="single" w:sz="4" w:space="0" w:color="auto"/>
              <w:left w:val="single" w:sz="4" w:space="0" w:color="auto"/>
              <w:bottom w:val="single" w:sz="4" w:space="0" w:color="auto"/>
              <w:right w:val="single" w:sz="4" w:space="0" w:color="auto"/>
            </w:tcBorders>
          </w:tcPr>
          <w:p w14:paraId="01F93B4F" w14:textId="77777777" w:rsidR="003E3145" w:rsidRPr="00A77AF6" w:rsidRDefault="003E3145" w:rsidP="00C437B3">
            <w:pPr>
              <w:spacing w:line="240" w:lineRule="auto"/>
              <w:rPr>
                <w:rFonts w:cstheme="minorHAnsi"/>
                <w:sz w:val="20"/>
                <w:szCs w:val="20"/>
              </w:rPr>
            </w:pPr>
            <w:r w:rsidRPr="00A77AF6">
              <w:rPr>
                <w:rFonts w:cstheme="minorHAnsi"/>
                <w:sz w:val="20"/>
                <w:szCs w:val="20"/>
              </w:rPr>
              <w:t>Project manager</w:t>
            </w:r>
          </w:p>
        </w:tc>
        <w:tc>
          <w:tcPr>
            <w:tcW w:w="6372" w:type="dxa"/>
            <w:tcBorders>
              <w:top w:val="single" w:sz="4" w:space="0" w:color="auto"/>
              <w:left w:val="single" w:sz="4" w:space="0" w:color="auto"/>
              <w:bottom w:val="single" w:sz="4" w:space="0" w:color="auto"/>
              <w:right w:val="single" w:sz="4" w:space="0" w:color="auto"/>
            </w:tcBorders>
          </w:tcPr>
          <w:p w14:paraId="51650563" w14:textId="77777777" w:rsidR="003E3145" w:rsidRPr="00A77AF6" w:rsidRDefault="003E3145" w:rsidP="00C437B3">
            <w:pPr>
              <w:spacing w:line="240" w:lineRule="auto"/>
              <w:rPr>
                <w:rFonts w:cstheme="minorHAnsi"/>
                <w:sz w:val="20"/>
                <w:szCs w:val="20"/>
              </w:rPr>
            </w:pPr>
            <w:r w:rsidRPr="00A77AF6">
              <w:rPr>
                <w:rFonts w:cstheme="minorHAnsi"/>
                <w:sz w:val="20"/>
                <w:szCs w:val="20"/>
              </w:rPr>
              <w:t>The person who runs the project on a day-to-day basis within the limits of delegation set out by the project board</w:t>
            </w:r>
          </w:p>
        </w:tc>
      </w:tr>
      <w:tr w:rsidR="003E3145" w:rsidRPr="00A77AF6" w14:paraId="1EFEF505" w14:textId="77777777" w:rsidTr="00C437B3">
        <w:tc>
          <w:tcPr>
            <w:tcW w:w="2405" w:type="dxa"/>
            <w:tcBorders>
              <w:top w:val="single" w:sz="4" w:space="0" w:color="auto"/>
              <w:left w:val="single" w:sz="4" w:space="0" w:color="auto"/>
              <w:bottom w:val="single" w:sz="4" w:space="0" w:color="auto"/>
              <w:right w:val="single" w:sz="4" w:space="0" w:color="auto"/>
            </w:tcBorders>
          </w:tcPr>
          <w:p w14:paraId="4A7AED63" w14:textId="77777777" w:rsidR="003E3145" w:rsidRPr="00A77AF6" w:rsidRDefault="003E3145" w:rsidP="00C437B3">
            <w:pPr>
              <w:spacing w:line="240" w:lineRule="auto"/>
              <w:rPr>
                <w:rFonts w:cstheme="minorHAnsi"/>
                <w:sz w:val="20"/>
                <w:szCs w:val="20"/>
              </w:rPr>
            </w:pPr>
            <w:r w:rsidRPr="00A77AF6">
              <w:rPr>
                <w:rFonts w:cstheme="minorHAnsi"/>
                <w:sz w:val="20"/>
                <w:szCs w:val="20"/>
              </w:rPr>
              <w:t>Project personnel</w:t>
            </w:r>
          </w:p>
        </w:tc>
        <w:tc>
          <w:tcPr>
            <w:tcW w:w="6372" w:type="dxa"/>
            <w:tcBorders>
              <w:top w:val="single" w:sz="4" w:space="0" w:color="auto"/>
              <w:left w:val="single" w:sz="4" w:space="0" w:color="auto"/>
              <w:bottom w:val="single" w:sz="4" w:space="0" w:color="auto"/>
              <w:right w:val="single" w:sz="4" w:space="0" w:color="auto"/>
            </w:tcBorders>
          </w:tcPr>
          <w:p w14:paraId="68F1CAD3" w14:textId="77777777" w:rsidR="003E3145" w:rsidRPr="00A77AF6" w:rsidRDefault="003E3145" w:rsidP="00C437B3">
            <w:pPr>
              <w:spacing w:line="240" w:lineRule="auto"/>
              <w:rPr>
                <w:rFonts w:cstheme="minorHAnsi"/>
                <w:sz w:val="20"/>
                <w:szCs w:val="20"/>
              </w:rPr>
            </w:pPr>
            <w:r w:rsidRPr="00A77AF6">
              <w:rPr>
                <w:rFonts w:cstheme="minorHAnsi"/>
                <w:sz w:val="20"/>
                <w:szCs w:val="20"/>
              </w:rPr>
              <w:t>General term for person working on a project</w:t>
            </w:r>
          </w:p>
        </w:tc>
      </w:tr>
      <w:tr w:rsidR="003E3145" w:rsidRPr="00A77AF6" w14:paraId="193AD7D8" w14:textId="77777777" w:rsidTr="00C437B3">
        <w:tc>
          <w:tcPr>
            <w:tcW w:w="2405" w:type="dxa"/>
            <w:tcBorders>
              <w:top w:val="single" w:sz="4" w:space="0" w:color="auto"/>
              <w:left w:val="single" w:sz="4" w:space="0" w:color="auto"/>
              <w:bottom w:val="single" w:sz="4" w:space="0" w:color="auto"/>
              <w:right w:val="single" w:sz="4" w:space="0" w:color="auto"/>
            </w:tcBorders>
          </w:tcPr>
          <w:p w14:paraId="360A77AA" w14:textId="77777777" w:rsidR="003E3145" w:rsidRPr="00A77AF6" w:rsidRDefault="003E3145" w:rsidP="00C437B3">
            <w:pPr>
              <w:spacing w:line="240" w:lineRule="auto"/>
              <w:rPr>
                <w:rFonts w:cstheme="minorHAnsi"/>
                <w:sz w:val="20"/>
                <w:szCs w:val="20"/>
              </w:rPr>
            </w:pPr>
            <w:r w:rsidRPr="00A77AF6">
              <w:rPr>
                <w:rFonts w:cstheme="minorHAnsi"/>
                <w:sz w:val="20"/>
                <w:szCs w:val="20"/>
              </w:rPr>
              <w:t>r</w:t>
            </w:r>
          </w:p>
        </w:tc>
        <w:tc>
          <w:tcPr>
            <w:tcW w:w="6372" w:type="dxa"/>
            <w:tcBorders>
              <w:top w:val="single" w:sz="4" w:space="0" w:color="auto"/>
              <w:left w:val="single" w:sz="4" w:space="0" w:color="auto"/>
              <w:bottom w:val="single" w:sz="4" w:space="0" w:color="auto"/>
              <w:right w:val="single" w:sz="4" w:space="0" w:color="auto"/>
            </w:tcBorders>
          </w:tcPr>
          <w:p w14:paraId="4A9D8D19" w14:textId="2FF0BA80" w:rsidR="003E3145" w:rsidRPr="00A77AF6" w:rsidRDefault="00215CFD" w:rsidP="00C437B3">
            <w:pPr>
              <w:spacing w:line="240" w:lineRule="auto"/>
              <w:rPr>
                <w:rFonts w:cstheme="minorHAnsi"/>
                <w:sz w:val="20"/>
                <w:szCs w:val="20"/>
              </w:rPr>
            </w:pPr>
            <w:r w:rsidRPr="00A77AF6">
              <w:rPr>
                <w:rFonts w:cstheme="minorHAnsi"/>
                <w:sz w:val="20"/>
                <w:szCs w:val="20"/>
              </w:rPr>
              <w:t>A measure of the strength of a relationship between two variables</w:t>
            </w:r>
          </w:p>
        </w:tc>
      </w:tr>
      <w:tr w:rsidR="003E3145" w:rsidRPr="00A77AF6" w14:paraId="6264753A" w14:textId="77777777" w:rsidTr="00C437B3">
        <w:tc>
          <w:tcPr>
            <w:tcW w:w="2405" w:type="dxa"/>
            <w:tcBorders>
              <w:top w:val="single" w:sz="4" w:space="0" w:color="auto"/>
              <w:left w:val="single" w:sz="4" w:space="0" w:color="auto"/>
              <w:bottom w:val="single" w:sz="4" w:space="0" w:color="auto"/>
              <w:right w:val="single" w:sz="4" w:space="0" w:color="auto"/>
            </w:tcBorders>
          </w:tcPr>
          <w:p w14:paraId="01773232" w14:textId="77777777" w:rsidR="003E3145" w:rsidRPr="00A77AF6" w:rsidRDefault="003E3145" w:rsidP="00C437B3">
            <w:pPr>
              <w:spacing w:line="240" w:lineRule="auto"/>
              <w:rPr>
                <w:rFonts w:cstheme="minorHAnsi"/>
                <w:sz w:val="20"/>
                <w:szCs w:val="20"/>
              </w:rPr>
            </w:pPr>
            <w:r w:rsidRPr="00A77AF6">
              <w:rPr>
                <w:rFonts w:cstheme="minorHAnsi"/>
                <w:sz w:val="20"/>
                <w:szCs w:val="20"/>
              </w:rPr>
              <w:t>r</w:t>
            </w:r>
            <w:r w:rsidRPr="00A77AF6">
              <w:rPr>
                <w:rFonts w:cstheme="minorHAnsi"/>
                <w:sz w:val="20"/>
                <w:szCs w:val="20"/>
                <w:vertAlign w:val="superscript"/>
              </w:rPr>
              <w:t>2</w:t>
            </w:r>
          </w:p>
        </w:tc>
        <w:tc>
          <w:tcPr>
            <w:tcW w:w="6372" w:type="dxa"/>
            <w:tcBorders>
              <w:top w:val="single" w:sz="4" w:space="0" w:color="auto"/>
              <w:left w:val="single" w:sz="4" w:space="0" w:color="auto"/>
              <w:bottom w:val="single" w:sz="4" w:space="0" w:color="auto"/>
              <w:right w:val="single" w:sz="4" w:space="0" w:color="auto"/>
            </w:tcBorders>
          </w:tcPr>
          <w:p w14:paraId="54CD4888" w14:textId="4CD2D6E3" w:rsidR="003E3145" w:rsidRPr="00A77AF6" w:rsidRDefault="008369BD" w:rsidP="008369BD">
            <w:pPr>
              <w:spacing w:line="240" w:lineRule="auto"/>
              <w:rPr>
                <w:rFonts w:cstheme="minorHAnsi"/>
                <w:sz w:val="20"/>
                <w:szCs w:val="20"/>
              </w:rPr>
            </w:pPr>
            <w:r w:rsidRPr="00A77AF6">
              <w:rPr>
                <w:rFonts w:cstheme="minorHAnsi"/>
                <w:color w:val="222222"/>
                <w:sz w:val="20"/>
                <w:szCs w:val="20"/>
                <w:shd w:val="clear" w:color="auto" w:fill="FFFFFF"/>
              </w:rPr>
              <w:t xml:space="preserve">A measure of the </w:t>
            </w:r>
            <w:r w:rsidR="00215CFD" w:rsidRPr="00A77AF6">
              <w:rPr>
                <w:rFonts w:cstheme="minorHAnsi"/>
                <w:color w:val="222222"/>
                <w:sz w:val="20"/>
                <w:szCs w:val="20"/>
                <w:shd w:val="clear" w:color="auto" w:fill="FFFFFF"/>
              </w:rPr>
              <w:t>proportion of the variance in the dependent variable that is predictable from the independent variable</w:t>
            </w:r>
          </w:p>
        </w:tc>
      </w:tr>
      <w:tr w:rsidR="003E3145" w:rsidRPr="00A77AF6" w14:paraId="7039DDC3" w14:textId="77777777" w:rsidTr="00C437B3">
        <w:tc>
          <w:tcPr>
            <w:tcW w:w="2405" w:type="dxa"/>
            <w:tcBorders>
              <w:top w:val="single" w:sz="4" w:space="0" w:color="auto"/>
              <w:left w:val="single" w:sz="4" w:space="0" w:color="auto"/>
              <w:bottom w:val="single" w:sz="4" w:space="0" w:color="auto"/>
              <w:right w:val="single" w:sz="4" w:space="0" w:color="auto"/>
            </w:tcBorders>
          </w:tcPr>
          <w:p w14:paraId="42F225FC" w14:textId="77777777" w:rsidR="003E3145" w:rsidRPr="00A77AF6" w:rsidRDefault="003E3145" w:rsidP="00C437B3">
            <w:pPr>
              <w:spacing w:line="240" w:lineRule="auto"/>
              <w:rPr>
                <w:rFonts w:cstheme="minorHAnsi"/>
                <w:sz w:val="20"/>
                <w:szCs w:val="20"/>
              </w:rPr>
            </w:pPr>
            <w:r w:rsidRPr="00A77AF6">
              <w:rPr>
                <w:rFonts w:cstheme="minorHAnsi"/>
                <w:sz w:val="20"/>
                <w:szCs w:val="20"/>
              </w:rPr>
              <w:t>RICS</w:t>
            </w:r>
          </w:p>
        </w:tc>
        <w:tc>
          <w:tcPr>
            <w:tcW w:w="6372" w:type="dxa"/>
            <w:tcBorders>
              <w:top w:val="single" w:sz="4" w:space="0" w:color="auto"/>
              <w:left w:val="single" w:sz="4" w:space="0" w:color="auto"/>
              <w:bottom w:val="single" w:sz="4" w:space="0" w:color="auto"/>
              <w:right w:val="single" w:sz="4" w:space="0" w:color="auto"/>
            </w:tcBorders>
          </w:tcPr>
          <w:p w14:paraId="5EA80E4F" w14:textId="789104F7" w:rsidR="003E3145" w:rsidRPr="00A77AF6" w:rsidRDefault="003E3145" w:rsidP="00C437B3">
            <w:pPr>
              <w:spacing w:line="240" w:lineRule="auto"/>
              <w:rPr>
                <w:rFonts w:cstheme="minorHAnsi"/>
                <w:sz w:val="20"/>
                <w:szCs w:val="20"/>
              </w:rPr>
            </w:pPr>
            <w:r w:rsidRPr="00A77AF6">
              <w:rPr>
                <w:rFonts w:cstheme="minorHAnsi"/>
                <w:sz w:val="20"/>
                <w:szCs w:val="20"/>
              </w:rPr>
              <w:t>Royal Institute of Chartered Surveyors</w:t>
            </w:r>
            <w:r w:rsidR="008369BD" w:rsidRPr="00A77AF6">
              <w:rPr>
                <w:rFonts w:cstheme="minorHAnsi"/>
                <w:sz w:val="20"/>
                <w:szCs w:val="20"/>
              </w:rPr>
              <w:t>. A professional body for charted surveyors.  It accredits university degrees and provides vocational training for surveyors. It upholds ethical standards for surveyors.</w:t>
            </w:r>
          </w:p>
        </w:tc>
      </w:tr>
      <w:tr w:rsidR="003E3145" w:rsidRPr="00A77AF6" w14:paraId="44910B3A" w14:textId="77777777" w:rsidTr="00C437B3">
        <w:tc>
          <w:tcPr>
            <w:tcW w:w="2405" w:type="dxa"/>
            <w:tcBorders>
              <w:top w:val="single" w:sz="4" w:space="0" w:color="auto"/>
              <w:left w:val="single" w:sz="4" w:space="0" w:color="auto"/>
              <w:bottom w:val="single" w:sz="4" w:space="0" w:color="auto"/>
              <w:right w:val="single" w:sz="4" w:space="0" w:color="auto"/>
            </w:tcBorders>
          </w:tcPr>
          <w:p w14:paraId="76FD85B6" w14:textId="501AA0FC" w:rsidR="003E3145" w:rsidRPr="00A77AF6" w:rsidRDefault="0059442C" w:rsidP="00C437B3">
            <w:pPr>
              <w:spacing w:line="240" w:lineRule="auto"/>
              <w:rPr>
                <w:rFonts w:cstheme="minorHAnsi"/>
                <w:sz w:val="20"/>
                <w:szCs w:val="20"/>
              </w:rPr>
            </w:pPr>
            <w:r w:rsidRPr="00A77AF6">
              <w:rPr>
                <w:rFonts w:cstheme="minorHAnsi"/>
                <w:sz w:val="20"/>
                <w:szCs w:val="20"/>
              </w:rPr>
              <w:t>Risk Potential Assessment (</w:t>
            </w:r>
            <w:r w:rsidR="003E3145" w:rsidRPr="00A77AF6">
              <w:rPr>
                <w:rFonts w:cstheme="minorHAnsi"/>
                <w:sz w:val="20"/>
                <w:szCs w:val="20"/>
              </w:rPr>
              <w:t>RPA</w:t>
            </w:r>
            <w:r w:rsidRPr="00A77AF6">
              <w:rPr>
                <w:rFonts w:cstheme="minorHAnsi"/>
                <w:sz w:val="20"/>
                <w:szCs w:val="20"/>
              </w:rPr>
              <w:t>)</w:t>
            </w:r>
          </w:p>
        </w:tc>
        <w:tc>
          <w:tcPr>
            <w:tcW w:w="6372" w:type="dxa"/>
            <w:tcBorders>
              <w:top w:val="single" w:sz="4" w:space="0" w:color="auto"/>
              <w:left w:val="single" w:sz="4" w:space="0" w:color="auto"/>
              <w:bottom w:val="single" w:sz="4" w:space="0" w:color="auto"/>
              <w:right w:val="single" w:sz="4" w:space="0" w:color="auto"/>
            </w:tcBorders>
          </w:tcPr>
          <w:p w14:paraId="76FF8B54" w14:textId="1A1B6B85" w:rsidR="003E3145" w:rsidRPr="00A77AF6" w:rsidRDefault="0059442C" w:rsidP="00C437B3">
            <w:pPr>
              <w:spacing w:line="240" w:lineRule="auto"/>
              <w:rPr>
                <w:rFonts w:cstheme="minorHAnsi"/>
                <w:sz w:val="20"/>
                <w:szCs w:val="20"/>
              </w:rPr>
            </w:pPr>
            <w:r w:rsidRPr="00A77AF6">
              <w:rPr>
                <w:rFonts w:cstheme="minorHAnsi"/>
                <w:sz w:val="20"/>
                <w:szCs w:val="20"/>
              </w:rPr>
              <w:t xml:space="preserve">A mechanism containing a set of measures devised to determine the level of risk in public sector projects. </w:t>
            </w:r>
          </w:p>
        </w:tc>
      </w:tr>
      <w:tr w:rsidR="003E3145" w:rsidRPr="00A77AF6" w14:paraId="2D2CF5B3" w14:textId="77777777" w:rsidTr="00C437B3">
        <w:tc>
          <w:tcPr>
            <w:tcW w:w="2405" w:type="dxa"/>
            <w:tcBorders>
              <w:top w:val="single" w:sz="4" w:space="0" w:color="auto"/>
              <w:left w:val="single" w:sz="4" w:space="0" w:color="auto"/>
              <w:bottom w:val="single" w:sz="4" w:space="0" w:color="auto"/>
              <w:right w:val="single" w:sz="4" w:space="0" w:color="auto"/>
            </w:tcBorders>
          </w:tcPr>
          <w:p w14:paraId="0B6897B3" w14:textId="77777777" w:rsidR="003E3145" w:rsidRPr="00A77AF6" w:rsidRDefault="003E3145" w:rsidP="00C437B3">
            <w:pPr>
              <w:spacing w:line="240" w:lineRule="auto"/>
              <w:rPr>
                <w:rFonts w:cstheme="minorHAnsi"/>
                <w:sz w:val="20"/>
                <w:szCs w:val="20"/>
              </w:rPr>
            </w:pPr>
            <w:r w:rsidRPr="00A77AF6">
              <w:rPr>
                <w:sz w:val="20"/>
                <w:szCs w:val="20"/>
              </w:rPr>
              <w:t xml:space="preserve">SOC </w:t>
            </w:r>
          </w:p>
        </w:tc>
        <w:tc>
          <w:tcPr>
            <w:tcW w:w="6372" w:type="dxa"/>
            <w:tcBorders>
              <w:top w:val="single" w:sz="4" w:space="0" w:color="auto"/>
              <w:left w:val="single" w:sz="4" w:space="0" w:color="auto"/>
              <w:bottom w:val="single" w:sz="4" w:space="0" w:color="auto"/>
              <w:right w:val="single" w:sz="4" w:space="0" w:color="auto"/>
            </w:tcBorders>
          </w:tcPr>
          <w:p w14:paraId="46906985" w14:textId="77777777" w:rsidR="003E3145" w:rsidRPr="00A77AF6" w:rsidRDefault="003E3145" w:rsidP="00C437B3">
            <w:pPr>
              <w:spacing w:line="240" w:lineRule="auto"/>
              <w:rPr>
                <w:rFonts w:cstheme="minorHAnsi"/>
                <w:sz w:val="20"/>
                <w:szCs w:val="20"/>
              </w:rPr>
            </w:pPr>
            <w:r w:rsidRPr="00A77AF6">
              <w:rPr>
                <w:sz w:val="20"/>
                <w:szCs w:val="20"/>
              </w:rPr>
              <w:t xml:space="preserve">Strategic Outline Case is a business case written at the beginning of a project to justify an investment. </w:t>
            </w:r>
          </w:p>
        </w:tc>
      </w:tr>
      <w:tr w:rsidR="003E3145" w:rsidRPr="00A77AF6" w14:paraId="2148D480" w14:textId="77777777" w:rsidTr="00C437B3">
        <w:tc>
          <w:tcPr>
            <w:tcW w:w="2405" w:type="dxa"/>
            <w:tcBorders>
              <w:top w:val="single" w:sz="4" w:space="0" w:color="auto"/>
              <w:left w:val="single" w:sz="4" w:space="0" w:color="auto"/>
              <w:bottom w:val="single" w:sz="4" w:space="0" w:color="auto"/>
              <w:right w:val="single" w:sz="4" w:space="0" w:color="auto"/>
            </w:tcBorders>
          </w:tcPr>
          <w:p w14:paraId="30DA9A76" w14:textId="77777777" w:rsidR="003E3145" w:rsidRPr="00A77AF6" w:rsidRDefault="003E3145" w:rsidP="00C437B3">
            <w:pPr>
              <w:spacing w:line="240" w:lineRule="auto"/>
              <w:rPr>
                <w:rFonts w:cstheme="minorHAnsi"/>
                <w:sz w:val="20"/>
                <w:szCs w:val="20"/>
              </w:rPr>
            </w:pPr>
            <w:r w:rsidRPr="00A77AF6">
              <w:rPr>
                <w:rFonts w:cstheme="minorHAnsi"/>
                <w:sz w:val="20"/>
                <w:szCs w:val="20"/>
              </w:rPr>
              <w:t>Stakeholder theory</w:t>
            </w:r>
          </w:p>
        </w:tc>
        <w:tc>
          <w:tcPr>
            <w:tcW w:w="6372" w:type="dxa"/>
            <w:tcBorders>
              <w:top w:val="single" w:sz="4" w:space="0" w:color="auto"/>
              <w:left w:val="single" w:sz="4" w:space="0" w:color="auto"/>
              <w:bottom w:val="single" w:sz="4" w:space="0" w:color="auto"/>
              <w:right w:val="single" w:sz="4" w:space="0" w:color="auto"/>
            </w:tcBorders>
          </w:tcPr>
          <w:p w14:paraId="4D6470D1" w14:textId="77777777" w:rsidR="003E3145" w:rsidRPr="00A77AF6" w:rsidRDefault="003E3145" w:rsidP="00C437B3">
            <w:pPr>
              <w:spacing w:line="240" w:lineRule="auto"/>
              <w:rPr>
                <w:rFonts w:cstheme="minorHAnsi"/>
                <w:sz w:val="20"/>
                <w:szCs w:val="20"/>
              </w:rPr>
            </w:pPr>
            <w:r w:rsidRPr="00A77AF6">
              <w:rPr>
                <w:rFonts w:cstheme="minorHAnsi"/>
                <w:sz w:val="20"/>
                <w:szCs w:val="20"/>
              </w:rPr>
              <w:t>Organisational theory that explains who stakeholders are and their role</w:t>
            </w:r>
          </w:p>
        </w:tc>
      </w:tr>
      <w:tr w:rsidR="003E3145" w:rsidRPr="00A77AF6" w14:paraId="7AEC42C2" w14:textId="77777777" w:rsidTr="00C437B3">
        <w:tc>
          <w:tcPr>
            <w:tcW w:w="2405" w:type="dxa"/>
            <w:tcBorders>
              <w:top w:val="single" w:sz="4" w:space="0" w:color="auto"/>
              <w:left w:val="single" w:sz="4" w:space="0" w:color="auto"/>
              <w:bottom w:val="single" w:sz="4" w:space="0" w:color="auto"/>
              <w:right w:val="single" w:sz="4" w:space="0" w:color="auto"/>
            </w:tcBorders>
          </w:tcPr>
          <w:p w14:paraId="020CEC6C" w14:textId="77777777" w:rsidR="003E3145" w:rsidRPr="00A77AF6" w:rsidRDefault="003E3145" w:rsidP="00C437B3">
            <w:pPr>
              <w:spacing w:line="240" w:lineRule="auto"/>
              <w:rPr>
                <w:rFonts w:cstheme="minorHAnsi"/>
                <w:sz w:val="20"/>
                <w:szCs w:val="20"/>
              </w:rPr>
            </w:pPr>
            <w:r w:rsidRPr="00A77AF6">
              <w:rPr>
                <w:rFonts w:cstheme="minorHAnsi"/>
                <w:sz w:val="20"/>
                <w:szCs w:val="20"/>
              </w:rPr>
              <w:t>Stewardship theory</w:t>
            </w:r>
          </w:p>
        </w:tc>
        <w:tc>
          <w:tcPr>
            <w:tcW w:w="6372" w:type="dxa"/>
            <w:tcBorders>
              <w:top w:val="single" w:sz="4" w:space="0" w:color="auto"/>
              <w:left w:val="single" w:sz="4" w:space="0" w:color="auto"/>
              <w:bottom w:val="single" w:sz="4" w:space="0" w:color="auto"/>
              <w:right w:val="single" w:sz="4" w:space="0" w:color="auto"/>
            </w:tcBorders>
          </w:tcPr>
          <w:p w14:paraId="44D6AE5F" w14:textId="77777777" w:rsidR="003E3145" w:rsidRPr="00A77AF6" w:rsidRDefault="003E3145" w:rsidP="00C437B3">
            <w:pPr>
              <w:spacing w:line="240" w:lineRule="auto"/>
              <w:rPr>
                <w:rFonts w:cstheme="minorHAnsi"/>
                <w:sz w:val="20"/>
                <w:szCs w:val="20"/>
              </w:rPr>
            </w:pPr>
            <w:r w:rsidRPr="00A77AF6">
              <w:rPr>
                <w:rFonts w:cstheme="minorHAnsi"/>
                <w:sz w:val="20"/>
                <w:szCs w:val="20"/>
              </w:rPr>
              <w:t>An organisational theory that suggests that the interests of an agent can be aligned to those of the principal</w:t>
            </w:r>
          </w:p>
        </w:tc>
      </w:tr>
      <w:tr w:rsidR="003E3145" w:rsidRPr="00A77AF6" w14:paraId="16EACBB6" w14:textId="77777777" w:rsidTr="00C437B3">
        <w:tc>
          <w:tcPr>
            <w:tcW w:w="2405" w:type="dxa"/>
            <w:tcBorders>
              <w:top w:val="single" w:sz="4" w:space="0" w:color="auto"/>
              <w:left w:val="single" w:sz="4" w:space="0" w:color="auto"/>
              <w:bottom w:val="single" w:sz="4" w:space="0" w:color="auto"/>
              <w:right w:val="single" w:sz="4" w:space="0" w:color="auto"/>
            </w:tcBorders>
          </w:tcPr>
          <w:p w14:paraId="54CA11EC" w14:textId="77777777" w:rsidR="003E3145" w:rsidRPr="00A77AF6" w:rsidRDefault="003E3145" w:rsidP="00C437B3">
            <w:pPr>
              <w:spacing w:line="240" w:lineRule="auto"/>
              <w:rPr>
                <w:rFonts w:cstheme="minorHAnsi"/>
                <w:sz w:val="20"/>
                <w:szCs w:val="20"/>
              </w:rPr>
            </w:pPr>
            <w:r w:rsidRPr="00A77AF6">
              <w:rPr>
                <w:rFonts w:cstheme="minorHAnsi"/>
                <w:sz w:val="20"/>
                <w:szCs w:val="20"/>
              </w:rPr>
              <w:t>Teleology</w:t>
            </w:r>
          </w:p>
        </w:tc>
        <w:tc>
          <w:tcPr>
            <w:tcW w:w="6372" w:type="dxa"/>
            <w:tcBorders>
              <w:top w:val="single" w:sz="4" w:space="0" w:color="auto"/>
              <w:left w:val="single" w:sz="4" w:space="0" w:color="auto"/>
              <w:bottom w:val="single" w:sz="4" w:space="0" w:color="auto"/>
              <w:right w:val="single" w:sz="4" w:space="0" w:color="auto"/>
            </w:tcBorders>
          </w:tcPr>
          <w:p w14:paraId="671E77E7" w14:textId="4EDD3E62" w:rsidR="003E3145" w:rsidRPr="00A77AF6" w:rsidRDefault="003E3145" w:rsidP="00C437B3">
            <w:pPr>
              <w:spacing w:line="240" w:lineRule="auto"/>
              <w:rPr>
                <w:rFonts w:cstheme="minorHAnsi"/>
                <w:sz w:val="20"/>
                <w:szCs w:val="20"/>
              </w:rPr>
            </w:pPr>
            <w:r w:rsidRPr="00A77AF6">
              <w:rPr>
                <w:rFonts w:cstheme="minorHAnsi"/>
                <w:sz w:val="20"/>
                <w:szCs w:val="20"/>
              </w:rPr>
              <w:t>See utilitarianism</w:t>
            </w:r>
          </w:p>
        </w:tc>
      </w:tr>
      <w:tr w:rsidR="003E3145" w:rsidRPr="00A77AF6" w14:paraId="5C949CE9" w14:textId="77777777" w:rsidTr="00C437B3">
        <w:tc>
          <w:tcPr>
            <w:tcW w:w="2405" w:type="dxa"/>
            <w:tcBorders>
              <w:top w:val="single" w:sz="4" w:space="0" w:color="auto"/>
              <w:left w:val="single" w:sz="4" w:space="0" w:color="auto"/>
              <w:bottom w:val="single" w:sz="4" w:space="0" w:color="auto"/>
              <w:right w:val="single" w:sz="4" w:space="0" w:color="auto"/>
            </w:tcBorders>
          </w:tcPr>
          <w:p w14:paraId="4895C315" w14:textId="77777777" w:rsidR="003E3145" w:rsidRPr="00A77AF6" w:rsidRDefault="003E3145" w:rsidP="00C437B3">
            <w:pPr>
              <w:spacing w:line="240" w:lineRule="auto"/>
              <w:rPr>
                <w:rFonts w:cstheme="minorHAnsi"/>
                <w:sz w:val="20"/>
                <w:szCs w:val="20"/>
              </w:rPr>
            </w:pPr>
            <w:r w:rsidRPr="00A77AF6">
              <w:rPr>
                <w:rFonts w:cstheme="minorHAnsi"/>
                <w:sz w:val="20"/>
                <w:szCs w:val="20"/>
              </w:rPr>
              <w:t>Utilitarianism</w:t>
            </w:r>
          </w:p>
        </w:tc>
        <w:tc>
          <w:tcPr>
            <w:tcW w:w="6372" w:type="dxa"/>
            <w:tcBorders>
              <w:top w:val="single" w:sz="4" w:space="0" w:color="auto"/>
              <w:left w:val="single" w:sz="4" w:space="0" w:color="auto"/>
              <w:bottom w:val="single" w:sz="4" w:space="0" w:color="auto"/>
              <w:right w:val="single" w:sz="4" w:space="0" w:color="auto"/>
            </w:tcBorders>
          </w:tcPr>
          <w:p w14:paraId="3469DEC9" w14:textId="77777777" w:rsidR="003E3145" w:rsidRPr="00A77AF6" w:rsidRDefault="003E3145" w:rsidP="00C437B3">
            <w:pPr>
              <w:spacing w:line="240" w:lineRule="auto"/>
              <w:rPr>
                <w:rFonts w:cstheme="minorHAnsi"/>
                <w:sz w:val="20"/>
                <w:szCs w:val="20"/>
              </w:rPr>
            </w:pPr>
            <w:r w:rsidRPr="00A77AF6">
              <w:rPr>
                <w:rFonts w:cstheme="minorHAnsi"/>
                <w:sz w:val="20"/>
                <w:szCs w:val="20"/>
              </w:rPr>
              <w:t>An ethical viewpoint that judges the ‘rightness’ of actions by their outcome</w:t>
            </w:r>
          </w:p>
        </w:tc>
      </w:tr>
    </w:tbl>
    <w:p w14:paraId="75AAA3D0" w14:textId="77777777" w:rsidR="00627F39" w:rsidRPr="00A77AF6" w:rsidRDefault="00627F39"/>
    <w:p w14:paraId="012B3EED" w14:textId="77777777" w:rsidR="00627F39" w:rsidRPr="00A77AF6" w:rsidRDefault="00627F39"/>
    <w:p w14:paraId="3B76BA00" w14:textId="77777777" w:rsidR="00627F39" w:rsidRPr="00A77AF6" w:rsidRDefault="00627F39"/>
    <w:p w14:paraId="75895DE9" w14:textId="77777777" w:rsidR="00627F39" w:rsidRPr="00A77AF6" w:rsidRDefault="00627F39"/>
    <w:p w14:paraId="2DA09FE8" w14:textId="77777777" w:rsidR="00627F39" w:rsidRPr="00A77AF6" w:rsidRDefault="00627F39"/>
    <w:p w14:paraId="4A68DEFE" w14:textId="31E4B280" w:rsidR="008E3BE3" w:rsidRPr="00A77AF6" w:rsidRDefault="008E3BE3">
      <w:r w:rsidRPr="00A77AF6">
        <w:br w:type="page"/>
      </w:r>
    </w:p>
    <w:sdt>
      <w:sdtPr>
        <w:rPr>
          <w:rFonts w:asciiTheme="minorHAnsi" w:eastAsiaTheme="minorHAnsi" w:hAnsiTheme="minorHAnsi" w:cstheme="minorBidi"/>
          <w:b w:val="0"/>
          <w:sz w:val="22"/>
          <w:szCs w:val="22"/>
          <w:lang w:val="en-GB"/>
        </w:rPr>
        <w:id w:val="-1521778526"/>
        <w:docPartObj>
          <w:docPartGallery w:val="Table of Contents"/>
          <w:docPartUnique/>
        </w:docPartObj>
      </w:sdtPr>
      <w:sdtEndPr>
        <w:rPr>
          <w:bCs/>
        </w:rPr>
      </w:sdtEndPr>
      <w:sdtContent>
        <w:p w14:paraId="5D78FF5E" w14:textId="354C7EB6" w:rsidR="003E3145" w:rsidRPr="00A77AF6" w:rsidRDefault="003E3145">
          <w:pPr>
            <w:pStyle w:val="TOCHeading"/>
            <w:rPr>
              <w:lang w:val="en-GB"/>
            </w:rPr>
          </w:pPr>
          <w:r w:rsidRPr="00A77AF6">
            <w:rPr>
              <w:lang w:val="en-GB"/>
            </w:rPr>
            <w:t>Contents</w:t>
          </w:r>
        </w:p>
        <w:p w14:paraId="6991F5B0" w14:textId="484FF4EB" w:rsidR="009C0325" w:rsidRDefault="003E3145">
          <w:pPr>
            <w:pStyle w:val="TOC1"/>
            <w:rPr>
              <w:rFonts w:eastAsiaTheme="minorEastAsia"/>
              <w:noProof/>
              <w:lang w:eastAsia="en-GB"/>
            </w:rPr>
          </w:pPr>
          <w:r w:rsidRPr="00A77AF6">
            <w:fldChar w:fldCharType="begin"/>
          </w:r>
          <w:r w:rsidRPr="00A77AF6">
            <w:instrText xml:space="preserve"> TOC \o "1-3" \h \z \u </w:instrText>
          </w:r>
          <w:r w:rsidRPr="00A77AF6">
            <w:fldChar w:fldCharType="separate"/>
          </w:r>
          <w:hyperlink w:anchor="_Toc36275022" w:history="1">
            <w:r w:rsidR="009C0325" w:rsidRPr="00190B99">
              <w:rPr>
                <w:rStyle w:val="Hyperlink"/>
                <w:noProof/>
              </w:rPr>
              <w:t>Abstract</w:t>
            </w:r>
            <w:r w:rsidR="009C0325">
              <w:rPr>
                <w:noProof/>
                <w:webHidden/>
              </w:rPr>
              <w:tab/>
            </w:r>
            <w:r w:rsidR="009C0325">
              <w:rPr>
                <w:noProof/>
                <w:webHidden/>
              </w:rPr>
              <w:fldChar w:fldCharType="begin"/>
            </w:r>
            <w:r w:rsidR="009C0325">
              <w:rPr>
                <w:noProof/>
                <w:webHidden/>
              </w:rPr>
              <w:instrText xml:space="preserve"> PAGEREF _Toc36275022 \h </w:instrText>
            </w:r>
            <w:r w:rsidR="009C0325">
              <w:rPr>
                <w:noProof/>
                <w:webHidden/>
              </w:rPr>
            </w:r>
            <w:r w:rsidR="009C0325">
              <w:rPr>
                <w:noProof/>
                <w:webHidden/>
              </w:rPr>
              <w:fldChar w:fldCharType="separate"/>
            </w:r>
            <w:r w:rsidR="009C0325">
              <w:rPr>
                <w:noProof/>
                <w:webHidden/>
              </w:rPr>
              <w:t>2</w:t>
            </w:r>
            <w:r w:rsidR="009C0325">
              <w:rPr>
                <w:noProof/>
                <w:webHidden/>
              </w:rPr>
              <w:fldChar w:fldCharType="end"/>
            </w:r>
          </w:hyperlink>
        </w:p>
        <w:p w14:paraId="1F8B4FAF" w14:textId="16FA3722" w:rsidR="009C0325" w:rsidRDefault="0076636A">
          <w:pPr>
            <w:pStyle w:val="TOC1"/>
            <w:rPr>
              <w:rFonts w:eastAsiaTheme="minorEastAsia"/>
              <w:noProof/>
              <w:lang w:eastAsia="en-GB"/>
            </w:rPr>
          </w:pPr>
          <w:hyperlink w:anchor="_Toc36275023" w:history="1">
            <w:r w:rsidR="009C0325" w:rsidRPr="00190B99">
              <w:rPr>
                <w:rStyle w:val="Hyperlink"/>
                <w:noProof/>
              </w:rPr>
              <w:t>List of Figures</w:t>
            </w:r>
            <w:r w:rsidR="009C0325">
              <w:rPr>
                <w:noProof/>
                <w:webHidden/>
              </w:rPr>
              <w:tab/>
            </w:r>
            <w:r w:rsidR="009C0325">
              <w:rPr>
                <w:noProof/>
                <w:webHidden/>
              </w:rPr>
              <w:fldChar w:fldCharType="begin"/>
            </w:r>
            <w:r w:rsidR="009C0325">
              <w:rPr>
                <w:noProof/>
                <w:webHidden/>
              </w:rPr>
              <w:instrText xml:space="preserve"> PAGEREF _Toc36275023 \h </w:instrText>
            </w:r>
            <w:r w:rsidR="009C0325">
              <w:rPr>
                <w:noProof/>
                <w:webHidden/>
              </w:rPr>
            </w:r>
            <w:r w:rsidR="009C0325">
              <w:rPr>
                <w:noProof/>
                <w:webHidden/>
              </w:rPr>
              <w:fldChar w:fldCharType="separate"/>
            </w:r>
            <w:r w:rsidR="009C0325">
              <w:rPr>
                <w:noProof/>
                <w:webHidden/>
              </w:rPr>
              <w:t>14</w:t>
            </w:r>
            <w:r w:rsidR="009C0325">
              <w:rPr>
                <w:noProof/>
                <w:webHidden/>
              </w:rPr>
              <w:fldChar w:fldCharType="end"/>
            </w:r>
          </w:hyperlink>
        </w:p>
        <w:p w14:paraId="3E7CB1E2" w14:textId="228BD21A" w:rsidR="009C0325" w:rsidRDefault="0076636A">
          <w:pPr>
            <w:pStyle w:val="TOC1"/>
            <w:rPr>
              <w:rFonts w:eastAsiaTheme="minorEastAsia"/>
              <w:noProof/>
              <w:lang w:eastAsia="en-GB"/>
            </w:rPr>
          </w:pPr>
          <w:hyperlink w:anchor="_Toc36275024" w:history="1">
            <w:r w:rsidR="009C0325" w:rsidRPr="00190B99">
              <w:rPr>
                <w:rStyle w:val="Hyperlink"/>
                <w:noProof/>
              </w:rPr>
              <w:t>1</w:t>
            </w:r>
            <w:r w:rsidR="009C0325">
              <w:rPr>
                <w:rFonts w:eastAsiaTheme="minorEastAsia"/>
                <w:noProof/>
                <w:lang w:eastAsia="en-GB"/>
              </w:rPr>
              <w:tab/>
            </w:r>
            <w:r w:rsidR="009C0325" w:rsidRPr="00190B99">
              <w:rPr>
                <w:rStyle w:val="Hyperlink"/>
                <w:noProof/>
              </w:rPr>
              <w:t>Ethics and Governance in NHS project delivery</w:t>
            </w:r>
            <w:r w:rsidR="009C0325">
              <w:rPr>
                <w:noProof/>
                <w:webHidden/>
              </w:rPr>
              <w:tab/>
            </w:r>
            <w:r w:rsidR="009C0325">
              <w:rPr>
                <w:noProof/>
                <w:webHidden/>
              </w:rPr>
              <w:fldChar w:fldCharType="begin"/>
            </w:r>
            <w:r w:rsidR="009C0325">
              <w:rPr>
                <w:noProof/>
                <w:webHidden/>
              </w:rPr>
              <w:instrText xml:space="preserve"> PAGEREF _Toc36275024 \h </w:instrText>
            </w:r>
            <w:r w:rsidR="009C0325">
              <w:rPr>
                <w:noProof/>
                <w:webHidden/>
              </w:rPr>
            </w:r>
            <w:r w:rsidR="009C0325">
              <w:rPr>
                <w:noProof/>
                <w:webHidden/>
              </w:rPr>
              <w:fldChar w:fldCharType="separate"/>
            </w:r>
            <w:r w:rsidR="009C0325">
              <w:rPr>
                <w:noProof/>
                <w:webHidden/>
              </w:rPr>
              <w:t>15</w:t>
            </w:r>
            <w:r w:rsidR="009C0325">
              <w:rPr>
                <w:noProof/>
                <w:webHidden/>
              </w:rPr>
              <w:fldChar w:fldCharType="end"/>
            </w:r>
          </w:hyperlink>
        </w:p>
        <w:p w14:paraId="50C1059D" w14:textId="570ED75F" w:rsidR="009C0325" w:rsidRDefault="0076636A">
          <w:pPr>
            <w:pStyle w:val="TOC2"/>
            <w:tabs>
              <w:tab w:val="left" w:pos="880"/>
              <w:tab w:val="right" w:leader="dot" w:pos="8777"/>
            </w:tabs>
            <w:rPr>
              <w:rFonts w:eastAsiaTheme="minorEastAsia"/>
              <w:noProof/>
              <w:lang w:eastAsia="en-GB"/>
            </w:rPr>
          </w:pPr>
          <w:hyperlink w:anchor="_Toc36275025" w:history="1">
            <w:r w:rsidR="009C0325" w:rsidRPr="00190B99">
              <w:rPr>
                <w:rStyle w:val="Hyperlink"/>
                <w:bCs/>
                <w:noProof/>
              </w:rPr>
              <w:t>1.1</w:t>
            </w:r>
            <w:r w:rsidR="009C0325">
              <w:rPr>
                <w:rFonts w:eastAsiaTheme="minorEastAsia"/>
                <w:noProof/>
                <w:lang w:eastAsia="en-GB"/>
              </w:rPr>
              <w:tab/>
            </w:r>
            <w:r w:rsidR="009C0325" w:rsidRPr="00190B99">
              <w:rPr>
                <w:rStyle w:val="Hyperlink"/>
                <w:noProof/>
              </w:rPr>
              <w:t>Gap in Knowledge and need for the study</w:t>
            </w:r>
            <w:r w:rsidR="009C0325">
              <w:rPr>
                <w:noProof/>
                <w:webHidden/>
              </w:rPr>
              <w:tab/>
            </w:r>
            <w:r w:rsidR="009C0325">
              <w:rPr>
                <w:noProof/>
                <w:webHidden/>
              </w:rPr>
              <w:fldChar w:fldCharType="begin"/>
            </w:r>
            <w:r w:rsidR="009C0325">
              <w:rPr>
                <w:noProof/>
                <w:webHidden/>
              </w:rPr>
              <w:instrText xml:space="preserve"> PAGEREF _Toc36275025 \h </w:instrText>
            </w:r>
            <w:r w:rsidR="009C0325">
              <w:rPr>
                <w:noProof/>
                <w:webHidden/>
              </w:rPr>
            </w:r>
            <w:r w:rsidR="009C0325">
              <w:rPr>
                <w:noProof/>
                <w:webHidden/>
              </w:rPr>
              <w:fldChar w:fldCharType="separate"/>
            </w:r>
            <w:r w:rsidR="009C0325">
              <w:rPr>
                <w:noProof/>
                <w:webHidden/>
              </w:rPr>
              <w:t>15</w:t>
            </w:r>
            <w:r w:rsidR="009C0325">
              <w:rPr>
                <w:noProof/>
                <w:webHidden/>
              </w:rPr>
              <w:fldChar w:fldCharType="end"/>
            </w:r>
          </w:hyperlink>
        </w:p>
        <w:p w14:paraId="18014210" w14:textId="54669EF6" w:rsidR="009C0325" w:rsidRDefault="0076636A">
          <w:pPr>
            <w:pStyle w:val="TOC2"/>
            <w:tabs>
              <w:tab w:val="left" w:pos="880"/>
              <w:tab w:val="right" w:leader="dot" w:pos="8777"/>
            </w:tabs>
            <w:rPr>
              <w:rFonts w:eastAsiaTheme="minorEastAsia"/>
              <w:noProof/>
              <w:lang w:eastAsia="en-GB"/>
            </w:rPr>
          </w:pPr>
          <w:hyperlink w:anchor="_Toc36275026" w:history="1">
            <w:r w:rsidR="009C0325" w:rsidRPr="00190B99">
              <w:rPr>
                <w:rStyle w:val="Hyperlink"/>
                <w:bCs/>
                <w:noProof/>
              </w:rPr>
              <w:t>1.2</w:t>
            </w:r>
            <w:r w:rsidR="009C0325">
              <w:rPr>
                <w:rFonts w:eastAsiaTheme="minorEastAsia"/>
                <w:noProof/>
                <w:lang w:eastAsia="en-GB"/>
              </w:rPr>
              <w:tab/>
            </w:r>
            <w:r w:rsidR="009C0325" w:rsidRPr="00190B99">
              <w:rPr>
                <w:rStyle w:val="Hyperlink"/>
                <w:noProof/>
              </w:rPr>
              <w:t>Rationale</w:t>
            </w:r>
            <w:r w:rsidR="009C0325">
              <w:rPr>
                <w:noProof/>
                <w:webHidden/>
              </w:rPr>
              <w:tab/>
            </w:r>
            <w:r w:rsidR="009C0325">
              <w:rPr>
                <w:noProof/>
                <w:webHidden/>
              </w:rPr>
              <w:fldChar w:fldCharType="begin"/>
            </w:r>
            <w:r w:rsidR="009C0325">
              <w:rPr>
                <w:noProof/>
                <w:webHidden/>
              </w:rPr>
              <w:instrText xml:space="preserve"> PAGEREF _Toc36275026 \h </w:instrText>
            </w:r>
            <w:r w:rsidR="009C0325">
              <w:rPr>
                <w:noProof/>
                <w:webHidden/>
              </w:rPr>
            </w:r>
            <w:r w:rsidR="009C0325">
              <w:rPr>
                <w:noProof/>
                <w:webHidden/>
              </w:rPr>
              <w:fldChar w:fldCharType="separate"/>
            </w:r>
            <w:r w:rsidR="009C0325">
              <w:rPr>
                <w:noProof/>
                <w:webHidden/>
              </w:rPr>
              <w:t>16</w:t>
            </w:r>
            <w:r w:rsidR="009C0325">
              <w:rPr>
                <w:noProof/>
                <w:webHidden/>
              </w:rPr>
              <w:fldChar w:fldCharType="end"/>
            </w:r>
          </w:hyperlink>
        </w:p>
        <w:p w14:paraId="0350141E" w14:textId="7ECD45D0" w:rsidR="009C0325" w:rsidRDefault="0076636A">
          <w:pPr>
            <w:pStyle w:val="TOC3"/>
            <w:tabs>
              <w:tab w:val="left" w:pos="1320"/>
              <w:tab w:val="right" w:leader="dot" w:pos="8777"/>
            </w:tabs>
            <w:rPr>
              <w:rFonts w:eastAsiaTheme="minorEastAsia"/>
              <w:noProof/>
              <w:lang w:eastAsia="en-GB"/>
            </w:rPr>
          </w:pPr>
          <w:hyperlink w:anchor="_Toc36275027" w:history="1">
            <w:r w:rsidR="009C0325" w:rsidRPr="00190B99">
              <w:rPr>
                <w:rStyle w:val="Hyperlink"/>
                <w:rFonts w:cstheme="minorHAnsi"/>
                <w:noProof/>
              </w:rPr>
              <w:t>1.2.1</w:t>
            </w:r>
            <w:r w:rsidR="009C0325">
              <w:rPr>
                <w:rFonts w:eastAsiaTheme="minorEastAsia"/>
                <w:noProof/>
                <w:lang w:eastAsia="en-GB"/>
              </w:rPr>
              <w:tab/>
            </w:r>
            <w:r w:rsidR="009C0325" w:rsidRPr="00190B99">
              <w:rPr>
                <w:rStyle w:val="Hyperlink"/>
                <w:noProof/>
              </w:rPr>
              <w:t>Significant expenditure on NHS construction projects</w:t>
            </w:r>
            <w:r w:rsidR="009C0325">
              <w:rPr>
                <w:noProof/>
                <w:webHidden/>
              </w:rPr>
              <w:tab/>
            </w:r>
            <w:r w:rsidR="009C0325">
              <w:rPr>
                <w:noProof/>
                <w:webHidden/>
              </w:rPr>
              <w:fldChar w:fldCharType="begin"/>
            </w:r>
            <w:r w:rsidR="009C0325">
              <w:rPr>
                <w:noProof/>
                <w:webHidden/>
              </w:rPr>
              <w:instrText xml:space="preserve"> PAGEREF _Toc36275027 \h </w:instrText>
            </w:r>
            <w:r w:rsidR="009C0325">
              <w:rPr>
                <w:noProof/>
                <w:webHidden/>
              </w:rPr>
            </w:r>
            <w:r w:rsidR="009C0325">
              <w:rPr>
                <w:noProof/>
                <w:webHidden/>
              </w:rPr>
              <w:fldChar w:fldCharType="separate"/>
            </w:r>
            <w:r w:rsidR="009C0325">
              <w:rPr>
                <w:noProof/>
                <w:webHidden/>
              </w:rPr>
              <w:t>16</w:t>
            </w:r>
            <w:r w:rsidR="009C0325">
              <w:rPr>
                <w:noProof/>
                <w:webHidden/>
              </w:rPr>
              <w:fldChar w:fldCharType="end"/>
            </w:r>
          </w:hyperlink>
        </w:p>
        <w:p w14:paraId="32206E22" w14:textId="423A05BB" w:rsidR="009C0325" w:rsidRDefault="0076636A">
          <w:pPr>
            <w:pStyle w:val="TOC3"/>
            <w:tabs>
              <w:tab w:val="left" w:pos="1320"/>
              <w:tab w:val="right" w:leader="dot" w:pos="8777"/>
            </w:tabs>
            <w:rPr>
              <w:rFonts w:eastAsiaTheme="minorEastAsia"/>
              <w:noProof/>
              <w:lang w:eastAsia="en-GB"/>
            </w:rPr>
          </w:pPr>
          <w:hyperlink w:anchor="_Toc36275028" w:history="1">
            <w:r w:rsidR="009C0325" w:rsidRPr="00190B99">
              <w:rPr>
                <w:rStyle w:val="Hyperlink"/>
                <w:rFonts w:cstheme="minorHAnsi"/>
                <w:noProof/>
              </w:rPr>
              <w:t>1.2.2</w:t>
            </w:r>
            <w:r w:rsidR="009C0325">
              <w:rPr>
                <w:rFonts w:eastAsiaTheme="minorEastAsia"/>
                <w:noProof/>
                <w:lang w:eastAsia="en-GB"/>
              </w:rPr>
              <w:tab/>
            </w:r>
            <w:r w:rsidR="009C0325" w:rsidRPr="00190B99">
              <w:rPr>
                <w:rStyle w:val="Hyperlink"/>
                <w:rFonts w:cstheme="minorHAnsi"/>
                <w:noProof/>
              </w:rPr>
              <w:t xml:space="preserve">Implications for </w:t>
            </w:r>
            <w:r w:rsidR="009C0325" w:rsidRPr="00190B99">
              <w:rPr>
                <w:rStyle w:val="Hyperlink"/>
                <w:noProof/>
              </w:rPr>
              <w:t>the NHS</w:t>
            </w:r>
            <w:r w:rsidR="009C0325" w:rsidRPr="00190B99">
              <w:rPr>
                <w:rStyle w:val="Hyperlink"/>
                <w:rFonts w:cstheme="minorHAnsi"/>
                <w:noProof/>
              </w:rPr>
              <w:t xml:space="preserve"> of p</w:t>
            </w:r>
            <w:r w:rsidR="009C0325" w:rsidRPr="00190B99">
              <w:rPr>
                <w:rStyle w:val="Hyperlink"/>
                <w:noProof/>
              </w:rPr>
              <w:t>oor project management and governance.</w:t>
            </w:r>
            <w:r w:rsidR="009C0325">
              <w:rPr>
                <w:noProof/>
                <w:webHidden/>
              </w:rPr>
              <w:tab/>
            </w:r>
            <w:r w:rsidR="009C0325">
              <w:rPr>
                <w:noProof/>
                <w:webHidden/>
              </w:rPr>
              <w:fldChar w:fldCharType="begin"/>
            </w:r>
            <w:r w:rsidR="009C0325">
              <w:rPr>
                <w:noProof/>
                <w:webHidden/>
              </w:rPr>
              <w:instrText xml:space="preserve"> PAGEREF _Toc36275028 \h </w:instrText>
            </w:r>
            <w:r w:rsidR="009C0325">
              <w:rPr>
                <w:noProof/>
                <w:webHidden/>
              </w:rPr>
            </w:r>
            <w:r w:rsidR="009C0325">
              <w:rPr>
                <w:noProof/>
                <w:webHidden/>
              </w:rPr>
              <w:fldChar w:fldCharType="separate"/>
            </w:r>
            <w:r w:rsidR="009C0325">
              <w:rPr>
                <w:noProof/>
                <w:webHidden/>
              </w:rPr>
              <w:t>17</w:t>
            </w:r>
            <w:r w:rsidR="009C0325">
              <w:rPr>
                <w:noProof/>
                <w:webHidden/>
              </w:rPr>
              <w:fldChar w:fldCharType="end"/>
            </w:r>
          </w:hyperlink>
        </w:p>
        <w:p w14:paraId="212DE0C7" w14:textId="716A4161" w:rsidR="009C0325" w:rsidRDefault="0076636A">
          <w:pPr>
            <w:pStyle w:val="TOC3"/>
            <w:tabs>
              <w:tab w:val="left" w:pos="1320"/>
              <w:tab w:val="right" w:leader="dot" w:pos="8777"/>
            </w:tabs>
            <w:rPr>
              <w:rFonts w:eastAsiaTheme="minorEastAsia"/>
              <w:noProof/>
              <w:lang w:eastAsia="en-GB"/>
            </w:rPr>
          </w:pPr>
          <w:hyperlink w:anchor="_Toc36275029" w:history="1">
            <w:r w:rsidR="009C0325" w:rsidRPr="00190B99">
              <w:rPr>
                <w:rStyle w:val="Hyperlink"/>
                <w:rFonts w:cstheme="minorHAnsi"/>
                <w:noProof/>
              </w:rPr>
              <w:t>1.2.3</w:t>
            </w:r>
            <w:r w:rsidR="009C0325">
              <w:rPr>
                <w:rFonts w:eastAsiaTheme="minorEastAsia"/>
                <w:noProof/>
                <w:lang w:eastAsia="en-GB"/>
              </w:rPr>
              <w:tab/>
            </w:r>
            <w:r w:rsidR="009C0325" w:rsidRPr="00190B99">
              <w:rPr>
                <w:rStyle w:val="Hyperlink"/>
                <w:noProof/>
              </w:rPr>
              <w:t>Need for better understanding of “project success” in NHS projects.</w:t>
            </w:r>
            <w:r w:rsidR="009C0325">
              <w:rPr>
                <w:noProof/>
                <w:webHidden/>
              </w:rPr>
              <w:tab/>
            </w:r>
            <w:r w:rsidR="009C0325">
              <w:rPr>
                <w:noProof/>
                <w:webHidden/>
              </w:rPr>
              <w:fldChar w:fldCharType="begin"/>
            </w:r>
            <w:r w:rsidR="009C0325">
              <w:rPr>
                <w:noProof/>
                <w:webHidden/>
              </w:rPr>
              <w:instrText xml:space="preserve"> PAGEREF _Toc36275029 \h </w:instrText>
            </w:r>
            <w:r w:rsidR="009C0325">
              <w:rPr>
                <w:noProof/>
                <w:webHidden/>
              </w:rPr>
            </w:r>
            <w:r w:rsidR="009C0325">
              <w:rPr>
                <w:noProof/>
                <w:webHidden/>
              </w:rPr>
              <w:fldChar w:fldCharType="separate"/>
            </w:r>
            <w:r w:rsidR="009C0325">
              <w:rPr>
                <w:noProof/>
                <w:webHidden/>
              </w:rPr>
              <w:t>18</w:t>
            </w:r>
            <w:r w:rsidR="009C0325">
              <w:rPr>
                <w:noProof/>
                <w:webHidden/>
              </w:rPr>
              <w:fldChar w:fldCharType="end"/>
            </w:r>
          </w:hyperlink>
        </w:p>
        <w:p w14:paraId="7814F547" w14:textId="78C1479D" w:rsidR="009C0325" w:rsidRDefault="0076636A">
          <w:pPr>
            <w:pStyle w:val="TOC3"/>
            <w:tabs>
              <w:tab w:val="left" w:pos="1320"/>
              <w:tab w:val="right" w:leader="dot" w:pos="8777"/>
            </w:tabs>
            <w:rPr>
              <w:rFonts w:eastAsiaTheme="minorEastAsia"/>
              <w:noProof/>
              <w:lang w:eastAsia="en-GB"/>
            </w:rPr>
          </w:pPr>
          <w:hyperlink w:anchor="_Toc36275030" w:history="1">
            <w:r w:rsidR="009C0325" w:rsidRPr="00190B99">
              <w:rPr>
                <w:rStyle w:val="Hyperlink"/>
                <w:rFonts w:cstheme="minorHAnsi"/>
                <w:noProof/>
              </w:rPr>
              <w:t>1.2.4</w:t>
            </w:r>
            <w:r w:rsidR="009C0325">
              <w:rPr>
                <w:rFonts w:eastAsiaTheme="minorEastAsia"/>
                <w:noProof/>
                <w:lang w:eastAsia="en-GB"/>
              </w:rPr>
              <w:tab/>
            </w:r>
            <w:r w:rsidR="009C0325" w:rsidRPr="00190B99">
              <w:rPr>
                <w:rStyle w:val="Hyperlink"/>
                <w:noProof/>
              </w:rPr>
              <w:t>Need to understand the role of ethics and governance in NHS construction</w:t>
            </w:r>
            <w:r w:rsidR="009C0325">
              <w:rPr>
                <w:noProof/>
                <w:webHidden/>
              </w:rPr>
              <w:tab/>
            </w:r>
            <w:r w:rsidR="009C0325">
              <w:rPr>
                <w:noProof/>
                <w:webHidden/>
              </w:rPr>
              <w:fldChar w:fldCharType="begin"/>
            </w:r>
            <w:r w:rsidR="009C0325">
              <w:rPr>
                <w:noProof/>
                <w:webHidden/>
              </w:rPr>
              <w:instrText xml:space="preserve"> PAGEREF _Toc36275030 \h </w:instrText>
            </w:r>
            <w:r w:rsidR="009C0325">
              <w:rPr>
                <w:noProof/>
                <w:webHidden/>
              </w:rPr>
            </w:r>
            <w:r w:rsidR="009C0325">
              <w:rPr>
                <w:noProof/>
                <w:webHidden/>
              </w:rPr>
              <w:fldChar w:fldCharType="separate"/>
            </w:r>
            <w:r w:rsidR="009C0325">
              <w:rPr>
                <w:noProof/>
                <w:webHidden/>
              </w:rPr>
              <w:t>18</w:t>
            </w:r>
            <w:r w:rsidR="009C0325">
              <w:rPr>
                <w:noProof/>
                <w:webHidden/>
              </w:rPr>
              <w:fldChar w:fldCharType="end"/>
            </w:r>
          </w:hyperlink>
        </w:p>
        <w:p w14:paraId="57128D77" w14:textId="47C1C7EA" w:rsidR="009C0325" w:rsidRDefault="0076636A">
          <w:pPr>
            <w:pStyle w:val="TOC2"/>
            <w:tabs>
              <w:tab w:val="left" w:pos="880"/>
              <w:tab w:val="right" w:leader="dot" w:pos="8777"/>
            </w:tabs>
            <w:rPr>
              <w:rFonts w:eastAsiaTheme="minorEastAsia"/>
              <w:noProof/>
              <w:lang w:eastAsia="en-GB"/>
            </w:rPr>
          </w:pPr>
          <w:hyperlink w:anchor="_Toc36275031" w:history="1">
            <w:r w:rsidR="009C0325" w:rsidRPr="00190B99">
              <w:rPr>
                <w:rStyle w:val="Hyperlink"/>
                <w:bCs/>
                <w:noProof/>
              </w:rPr>
              <w:t>1.3</w:t>
            </w:r>
            <w:r w:rsidR="009C0325">
              <w:rPr>
                <w:rFonts w:eastAsiaTheme="minorEastAsia"/>
                <w:noProof/>
                <w:lang w:eastAsia="en-GB"/>
              </w:rPr>
              <w:tab/>
            </w:r>
            <w:r w:rsidR="009C0325" w:rsidRPr="00190B99">
              <w:rPr>
                <w:rStyle w:val="Hyperlink"/>
                <w:noProof/>
              </w:rPr>
              <w:t>Aim, research questions and objectives</w:t>
            </w:r>
            <w:r w:rsidR="009C0325">
              <w:rPr>
                <w:noProof/>
                <w:webHidden/>
              </w:rPr>
              <w:tab/>
            </w:r>
            <w:r w:rsidR="009C0325">
              <w:rPr>
                <w:noProof/>
                <w:webHidden/>
              </w:rPr>
              <w:fldChar w:fldCharType="begin"/>
            </w:r>
            <w:r w:rsidR="009C0325">
              <w:rPr>
                <w:noProof/>
                <w:webHidden/>
              </w:rPr>
              <w:instrText xml:space="preserve"> PAGEREF _Toc36275031 \h </w:instrText>
            </w:r>
            <w:r w:rsidR="009C0325">
              <w:rPr>
                <w:noProof/>
                <w:webHidden/>
              </w:rPr>
            </w:r>
            <w:r w:rsidR="009C0325">
              <w:rPr>
                <w:noProof/>
                <w:webHidden/>
              </w:rPr>
              <w:fldChar w:fldCharType="separate"/>
            </w:r>
            <w:r w:rsidR="009C0325">
              <w:rPr>
                <w:noProof/>
                <w:webHidden/>
              </w:rPr>
              <w:t>19</w:t>
            </w:r>
            <w:r w:rsidR="009C0325">
              <w:rPr>
                <w:noProof/>
                <w:webHidden/>
              </w:rPr>
              <w:fldChar w:fldCharType="end"/>
            </w:r>
          </w:hyperlink>
        </w:p>
        <w:p w14:paraId="7DCA04FD" w14:textId="4DDB1373" w:rsidR="009C0325" w:rsidRDefault="0076636A">
          <w:pPr>
            <w:pStyle w:val="TOC2"/>
            <w:tabs>
              <w:tab w:val="left" w:pos="880"/>
              <w:tab w:val="right" w:leader="dot" w:pos="8777"/>
            </w:tabs>
            <w:rPr>
              <w:rFonts w:eastAsiaTheme="minorEastAsia"/>
              <w:noProof/>
              <w:lang w:eastAsia="en-GB"/>
            </w:rPr>
          </w:pPr>
          <w:hyperlink w:anchor="_Toc36275032" w:history="1">
            <w:r w:rsidR="009C0325" w:rsidRPr="00190B99">
              <w:rPr>
                <w:rStyle w:val="Hyperlink"/>
                <w:bCs/>
                <w:noProof/>
              </w:rPr>
              <w:t>1.4</w:t>
            </w:r>
            <w:r w:rsidR="009C0325">
              <w:rPr>
                <w:rFonts w:eastAsiaTheme="minorEastAsia"/>
                <w:noProof/>
                <w:lang w:eastAsia="en-GB"/>
              </w:rPr>
              <w:tab/>
            </w:r>
            <w:r w:rsidR="009C0325" w:rsidRPr="00190B99">
              <w:rPr>
                <w:rStyle w:val="Hyperlink"/>
                <w:noProof/>
              </w:rPr>
              <w:t>Research methodology outline</w:t>
            </w:r>
            <w:r w:rsidR="009C0325">
              <w:rPr>
                <w:noProof/>
                <w:webHidden/>
              </w:rPr>
              <w:tab/>
            </w:r>
            <w:r w:rsidR="009C0325">
              <w:rPr>
                <w:noProof/>
                <w:webHidden/>
              </w:rPr>
              <w:fldChar w:fldCharType="begin"/>
            </w:r>
            <w:r w:rsidR="009C0325">
              <w:rPr>
                <w:noProof/>
                <w:webHidden/>
              </w:rPr>
              <w:instrText xml:space="preserve"> PAGEREF _Toc36275032 \h </w:instrText>
            </w:r>
            <w:r w:rsidR="009C0325">
              <w:rPr>
                <w:noProof/>
                <w:webHidden/>
              </w:rPr>
            </w:r>
            <w:r w:rsidR="009C0325">
              <w:rPr>
                <w:noProof/>
                <w:webHidden/>
              </w:rPr>
              <w:fldChar w:fldCharType="separate"/>
            </w:r>
            <w:r w:rsidR="009C0325">
              <w:rPr>
                <w:noProof/>
                <w:webHidden/>
              </w:rPr>
              <w:t>19</w:t>
            </w:r>
            <w:r w:rsidR="009C0325">
              <w:rPr>
                <w:noProof/>
                <w:webHidden/>
              </w:rPr>
              <w:fldChar w:fldCharType="end"/>
            </w:r>
          </w:hyperlink>
        </w:p>
        <w:p w14:paraId="4A2E5A4A" w14:textId="3F370AC3" w:rsidR="009C0325" w:rsidRDefault="0076636A">
          <w:pPr>
            <w:pStyle w:val="TOC2"/>
            <w:tabs>
              <w:tab w:val="left" w:pos="880"/>
              <w:tab w:val="right" w:leader="dot" w:pos="8777"/>
            </w:tabs>
            <w:rPr>
              <w:rFonts w:eastAsiaTheme="minorEastAsia"/>
              <w:noProof/>
              <w:lang w:eastAsia="en-GB"/>
            </w:rPr>
          </w:pPr>
          <w:hyperlink w:anchor="_Toc36275033" w:history="1">
            <w:r w:rsidR="009C0325" w:rsidRPr="00190B99">
              <w:rPr>
                <w:rStyle w:val="Hyperlink"/>
                <w:bCs/>
                <w:noProof/>
              </w:rPr>
              <w:t>1.5</w:t>
            </w:r>
            <w:r w:rsidR="009C0325">
              <w:rPr>
                <w:rFonts w:eastAsiaTheme="minorEastAsia"/>
                <w:noProof/>
                <w:lang w:eastAsia="en-GB"/>
              </w:rPr>
              <w:tab/>
            </w:r>
            <w:r w:rsidR="009C0325" w:rsidRPr="00190B99">
              <w:rPr>
                <w:rStyle w:val="Hyperlink"/>
                <w:noProof/>
              </w:rPr>
              <w:t>Scope of the study</w:t>
            </w:r>
            <w:r w:rsidR="009C0325">
              <w:rPr>
                <w:noProof/>
                <w:webHidden/>
              </w:rPr>
              <w:tab/>
            </w:r>
            <w:r w:rsidR="009C0325">
              <w:rPr>
                <w:noProof/>
                <w:webHidden/>
              </w:rPr>
              <w:fldChar w:fldCharType="begin"/>
            </w:r>
            <w:r w:rsidR="009C0325">
              <w:rPr>
                <w:noProof/>
                <w:webHidden/>
              </w:rPr>
              <w:instrText xml:space="preserve"> PAGEREF _Toc36275033 \h </w:instrText>
            </w:r>
            <w:r w:rsidR="009C0325">
              <w:rPr>
                <w:noProof/>
                <w:webHidden/>
              </w:rPr>
            </w:r>
            <w:r w:rsidR="009C0325">
              <w:rPr>
                <w:noProof/>
                <w:webHidden/>
              </w:rPr>
              <w:fldChar w:fldCharType="separate"/>
            </w:r>
            <w:r w:rsidR="009C0325">
              <w:rPr>
                <w:noProof/>
                <w:webHidden/>
              </w:rPr>
              <w:t>20</w:t>
            </w:r>
            <w:r w:rsidR="009C0325">
              <w:rPr>
                <w:noProof/>
                <w:webHidden/>
              </w:rPr>
              <w:fldChar w:fldCharType="end"/>
            </w:r>
          </w:hyperlink>
        </w:p>
        <w:p w14:paraId="6F4AB6CD" w14:textId="70AFDF51" w:rsidR="009C0325" w:rsidRDefault="0076636A">
          <w:pPr>
            <w:pStyle w:val="TOC2"/>
            <w:tabs>
              <w:tab w:val="left" w:pos="880"/>
              <w:tab w:val="right" w:leader="dot" w:pos="8777"/>
            </w:tabs>
            <w:rPr>
              <w:rFonts w:eastAsiaTheme="minorEastAsia"/>
              <w:noProof/>
              <w:lang w:eastAsia="en-GB"/>
            </w:rPr>
          </w:pPr>
          <w:hyperlink w:anchor="_Toc36275034" w:history="1">
            <w:r w:rsidR="009C0325" w:rsidRPr="00190B99">
              <w:rPr>
                <w:rStyle w:val="Hyperlink"/>
                <w:bCs/>
                <w:noProof/>
              </w:rPr>
              <w:t>1.6</w:t>
            </w:r>
            <w:r w:rsidR="009C0325">
              <w:rPr>
                <w:rFonts w:eastAsiaTheme="minorEastAsia"/>
                <w:noProof/>
                <w:lang w:eastAsia="en-GB"/>
              </w:rPr>
              <w:tab/>
            </w:r>
            <w:r w:rsidR="009C0325" w:rsidRPr="00190B99">
              <w:rPr>
                <w:rStyle w:val="Hyperlink"/>
                <w:noProof/>
              </w:rPr>
              <w:t>Organisation of the thesis</w:t>
            </w:r>
            <w:r w:rsidR="009C0325">
              <w:rPr>
                <w:noProof/>
                <w:webHidden/>
              </w:rPr>
              <w:tab/>
            </w:r>
            <w:r w:rsidR="009C0325">
              <w:rPr>
                <w:noProof/>
                <w:webHidden/>
              </w:rPr>
              <w:fldChar w:fldCharType="begin"/>
            </w:r>
            <w:r w:rsidR="009C0325">
              <w:rPr>
                <w:noProof/>
                <w:webHidden/>
              </w:rPr>
              <w:instrText xml:space="preserve"> PAGEREF _Toc36275034 \h </w:instrText>
            </w:r>
            <w:r w:rsidR="009C0325">
              <w:rPr>
                <w:noProof/>
                <w:webHidden/>
              </w:rPr>
            </w:r>
            <w:r w:rsidR="009C0325">
              <w:rPr>
                <w:noProof/>
                <w:webHidden/>
              </w:rPr>
              <w:fldChar w:fldCharType="separate"/>
            </w:r>
            <w:r w:rsidR="009C0325">
              <w:rPr>
                <w:noProof/>
                <w:webHidden/>
              </w:rPr>
              <w:t>20</w:t>
            </w:r>
            <w:r w:rsidR="009C0325">
              <w:rPr>
                <w:noProof/>
                <w:webHidden/>
              </w:rPr>
              <w:fldChar w:fldCharType="end"/>
            </w:r>
          </w:hyperlink>
        </w:p>
        <w:p w14:paraId="2053C239" w14:textId="0D1AE731" w:rsidR="009C0325" w:rsidRDefault="0076636A">
          <w:pPr>
            <w:pStyle w:val="TOC1"/>
            <w:rPr>
              <w:rFonts w:eastAsiaTheme="minorEastAsia"/>
              <w:noProof/>
              <w:lang w:eastAsia="en-GB"/>
            </w:rPr>
          </w:pPr>
          <w:hyperlink w:anchor="_Toc36275035" w:history="1">
            <w:r w:rsidR="009C0325" w:rsidRPr="00190B99">
              <w:rPr>
                <w:rStyle w:val="Hyperlink"/>
                <w:noProof/>
              </w:rPr>
              <w:t>2</w:t>
            </w:r>
            <w:r w:rsidR="009C0325">
              <w:rPr>
                <w:rFonts w:eastAsiaTheme="minorEastAsia"/>
                <w:noProof/>
                <w:lang w:eastAsia="en-GB"/>
              </w:rPr>
              <w:tab/>
            </w:r>
            <w:r w:rsidR="009C0325" w:rsidRPr="00190B99">
              <w:rPr>
                <w:rStyle w:val="Hyperlink"/>
                <w:noProof/>
              </w:rPr>
              <w:t>Context: The National Health Service of England</w:t>
            </w:r>
            <w:r w:rsidR="009C0325">
              <w:rPr>
                <w:noProof/>
                <w:webHidden/>
              </w:rPr>
              <w:tab/>
            </w:r>
            <w:r w:rsidR="009C0325">
              <w:rPr>
                <w:noProof/>
                <w:webHidden/>
              </w:rPr>
              <w:fldChar w:fldCharType="begin"/>
            </w:r>
            <w:r w:rsidR="009C0325">
              <w:rPr>
                <w:noProof/>
                <w:webHidden/>
              </w:rPr>
              <w:instrText xml:space="preserve"> PAGEREF _Toc36275035 \h </w:instrText>
            </w:r>
            <w:r w:rsidR="009C0325">
              <w:rPr>
                <w:noProof/>
                <w:webHidden/>
              </w:rPr>
            </w:r>
            <w:r w:rsidR="009C0325">
              <w:rPr>
                <w:noProof/>
                <w:webHidden/>
              </w:rPr>
              <w:fldChar w:fldCharType="separate"/>
            </w:r>
            <w:r w:rsidR="009C0325">
              <w:rPr>
                <w:noProof/>
                <w:webHidden/>
              </w:rPr>
              <w:t>22</w:t>
            </w:r>
            <w:r w:rsidR="009C0325">
              <w:rPr>
                <w:noProof/>
                <w:webHidden/>
              </w:rPr>
              <w:fldChar w:fldCharType="end"/>
            </w:r>
          </w:hyperlink>
        </w:p>
        <w:p w14:paraId="484EBFFA" w14:textId="6C7DD085" w:rsidR="009C0325" w:rsidRDefault="0076636A">
          <w:pPr>
            <w:pStyle w:val="TOC2"/>
            <w:tabs>
              <w:tab w:val="left" w:pos="880"/>
              <w:tab w:val="right" w:leader="dot" w:pos="8777"/>
            </w:tabs>
            <w:rPr>
              <w:rFonts w:eastAsiaTheme="minorEastAsia"/>
              <w:noProof/>
              <w:lang w:eastAsia="en-GB"/>
            </w:rPr>
          </w:pPr>
          <w:hyperlink w:anchor="_Toc36275036" w:history="1">
            <w:r w:rsidR="009C0325" w:rsidRPr="00190B99">
              <w:rPr>
                <w:rStyle w:val="Hyperlink"/>
                <w:bCs/>
                <w:noProof/>
              </w:rPr>
              <w:t>2.1</w:t>
            </w:r>
            <w:r w:rsidR="009C0325">
              <w:rPr>
                <w:rFonts w:eastAsiaTheme="minorEastAsia"/>
                <w:noProof/>
                <w:lang w:eastAsia="en-GB"/>
              </w:rPr>
              <w:tab/>
            </w:r>
            <w:r w:rsidR="009C0325" w:rsidRPr="00190B99">
              <w:rPr>
                <w:rStyle w:val="Hyperlink"/>
                <w:noProof/>
              </w:rPr>
              <w:t>Introduction</w:t>
            </w:r>
            <w:r w:rsidR="009C0325">
              <w:rPr>
                <w:noProof/>
                <w:webHidden/>
              </w:rPr>
              <w:tab/>
            </w:r>
            <w:r w:rsidR="009C0325">
              <w:rPr>
                <w:noProof/>
                <w:webHidden/>
              </w:rPr>
              <w:fldChar w:fldCharType="begin"/>
            </w:r>
            <w:r w:rsidR="009C0325">
              <w:rPr>
                <w:noProof/>
                <w:webHidden/>
              </w:rPr>
              <w:instrText xml:space="preserve"> PAGEREF _Toc36275036 \h </w:instrText>
            </w:r>
            <w:r w:rsidR="009C0325">
              <w:rPr>
                <w:noProof/>
                <w:webHidden/>
              </w:rPr>
            </w:r>
            <w:r w:rsidR="009C0325">
              <w:rPr>
                <w:noProof/>
                <w:webHidden/>
              </w:rPr>
              <w:fldChar w:fldCharType="separate"/>
            </w:r>
            <w:r w:rsidR="009C0325">
              <w:rPr>
                <w:noProof/>
                <w:webHidden/>
              </w:rPr>
              <w:t>22</w:t>
            </w:r>
            <w:r w:rsidR="009C0325">
              <w:rPr>
                <w:noProof/>
                <w:webHidden/>
              </w:rPr>
              <w:fldChar w:fldCharType="end"/>
            </w:r>
          </w:hyperlink>
        </w:p>
        <w:p w14:paraId="1027A74D" w14:textId="69F31594" w:rsidR="009C0325" w:rsidRDefault="0076636A">
          <w:pPr>
            <w:pStyle w:val="TOC2"/>
            <w:tabs>
              <w:tab w:val="left" w:pos="880"/>
              <w:tab w:val="right" w:leader="dot" w:pos="8777"/>
            </w:tabs>
            <w:rPr>
              <w:rFonts w:eastAsiaTheme="minorEastAsia"/>
              <w:noProof/>
              <w:lang w:eastAsia="en-GB"/>
            </w:rPr>
          </w:pPr>
          <w:hyperlink w:anchor="_Toc36275037" w:history="1">
            <w:r w:rsidR="009C0325" w:rsidRPr="00190B99">
              <w:rPr>
                <w:rStyle w:val="Hyperlink"/>
                <w:bCs/>
                <w:noProof/>
              </w:rPr>
              <w:t>2.2</w:t>
            </w:r>
            <w:r w:rsidR="009C0325">
              <w:rPr>
                <w:rFonts w:eastAsiaTheme="minorEastAsia"/>
                <w:noProof/>
                <w:lang w:eastAsia="en-GB"/>
              </w:rPr>
              <w:tab/>
            </w:r>
            <w:r w:rsidR="009C0325" w:rsidRPr="00190B99">
              <w:rPr>
                <w:rStyle w:val="Hyperlink"/>
                <w:bCs/>
                <w:noProof/>
              </w:rPr>
              <w:t>T</w:t>
            </w:r>
            <w:r w:rsidR="009C0325" w:rsidRPr="00190B99">
              <w:rPr>
                <w:rStyle w:val="Hyperlink"/>
                <w:noProof/>
              </w:rPr>
              <w:t>he National Health Service (NHS)</w:t>
            </w:r>
            <w:r w:rsidR="009C0325">
              <w:rPr>
                <w:noProof/>
                <w:webHidden/>
              </w:rPr>
              <w:tab/>
            </w:r>
            <w:r w:rsidR="009C0325">
              <w:rPr>
                <w:noProof/>
                <w:webHidden/>
              </w:rPr>
              <w:fldChar w:fldCharType="begin"/>
            </w:r>
            <w:r w:rsidR="009C0325">
              <w:rPr>
                <w:noProof/>
                <w:webHidden/>
              </w:rPr>
              <w:instrText xml:space="preserve"> PAGEREF _Toc36275037 \h </w:instrText>
            </w:r>
            <w:r w:rsidR="009C0325">
              <w:rPr>
                <w:noProof/>
                <w:webHidden/>
              </w:rPr>
            </w:r>
            <w:r w:rsidR="009C0325">
              <w:rPr>
                <w:noProof/>
                <w:webHidden/>
              </w:rPr>
              <w:fldChar w:fldCharType="separate"/>
            </w:r>
            <w:r w:rsidR="009C0325">
              <w:rPr>
                <w:noProof/>
                <w:webHidden/>
              </w:rPr>
              <w:t>22</w:t>
            </w:r>
            <w:r w:rsidR="009C0325">
              <w:rPr>
                <w:noProof/>
                <w:webHidden/>
              </w:rPr>
              <w:fldChar w:fldCharType="end"/>
            </w:r>
          </w:hyperlink>
        </w:p>
        <w:p w14:paraId="5C49E167" w14:textId="33808464" w:rsidR="009C0325" w:rsidRDefault="0076636A">
          <w:pPr>
            <w:pStyle w:val="TOC3"/>
            <w:tabs>
              <w:tab w:val="left" w:pos="1320"/>
              <w:tab w:val="right" w:leader="dot" w:pos="8777"/>
            </w:tabs>
            <w:rPr>
              <w:rFonts w:eastAsiaTheme="minorEastAsia"/>
              <w:noProof/>
              <w:lang w:eastAsia="en-GB"/>
            </w:rPr>
          </w:pPr>
          <w:hyperlink w:anchor="_Toc36275038" w:history="1">
            <w:r w:rsidR="009C0325" w:rsidRPr="00190B99">
              <w:rPr>
                <w:rStyle w:val="Hyperlink"/>
                <w:rFonts w:cstheme="minorHAnsi"/>
                <w:noProof/>
              </w:rPr>
              <w:t>2.2.1</w:t>
            </w:r>
            <w:r w:rsidR="009C0325">
              <w:rPr>
                <w:rFonts w:eastAsiaTheme="minorEastAsia"/>
                <w:noProof/>
                <w:lang w:eastAsia="en-GB"/>
              </w:rPr>
              <w:tab/>
            </w:r>
            <w:r w:rsidR="009C0325" w:rsidRPr="00190B99">
              <w:rPr>
                <w:rStyle w:val="Hyperlink"/>
                <w:noProof/>
              </w:rPr>
              <w:t>The structure of the NHS</w:t>
            </w:r>
            <w:r w:rsidR="009C0325">
              <w:rPr>
                <w:noProof/>
                <w:webHidden/>
              </w:rPr>
              <w:tab/>
            </w:r>
            <w:r w:rsidR="009C0325">
              <w:rPr>
                <w:noProof/>
                <w:webHidden/>
              </w:rPr>
              <w:fldChar w:fldCharType="begin"/>
            </w:r>
            <w:r w:rsidR="009C0325">
              <w:rPr>
                <w:noProof/>
                <w:webHidden/>
              </w:rPr>
              <w:instrText xml:space="preserve"> PAGEREF _Toc36275038 \h </w:instrText>
            </w:r>
            <w:r w:rsidR="009C0325">
              <w:rPr>
                <w:noProof/>
                <w:webHidden/>
              </w:rPr>
            </w:r>
            <w:r w:rsidR="009C0325">
              <w:rPr>
                <w:noProof/>
                <w:webHidden/>
              </w:rPr>
              <w:fldChar w:fldCharType="separate"/>
            </w:r>
            <w:r w:rsidR="009C0325">
              <w:rPr>
                <w:noProof/>
                <w:webHidden/>
              </w:rPr>
              <w:t>25</w:t>
            </w:r>
            <w:r w:rsidR="009C0325">
              <w:rPr>
                <w:noProof/>
                <w:webHidden/>
              </w:rPr>
              <w:fldChar w:fldCharType="end"/>
            </w:r>
          </w:hyperlink>
        </w:p>
        <w:p w14:paraId="1959219C" w14:textId="72ADC935" w:rsidR="009C0325" w:rsidRDefault="0076636A">
          <w:pPr>
            <w:pStyle w:val="TOC3"/>
            <w:tabs>
              <w:tab w:val="left" w:pos="1320"/>
              <w:tab w:val="right" w:leader="dot" w:pos="8777"/>
            </w:tabs>
            <w:rPr>
              <w:rFonts w:eastAsiaTheme="minorEastAsia"/>
              <w:noProof/>
              <w:lang w:eastAsia="en-GB"/>
            </w:rPr>
          </w:pPr>
          <w:hyperlink w:anchor="_Toc36275039" w:history="1">
            <w:r w:rsidR="009C0325" w:rsidRPr="00190B99">
              <w:rPr>
                <w:rStyle w:val="Hyperlink"/>
                <w:rFonts w:cstheme="minorHAnsi"/>
                <w:noProof/>
              </w:rPr>
              <w:t>2.2.2</w:t>
            </w:r>
            <w:r w:rsidR="009C0325">
              <w:rPr>
                <w:rFonts w:eastAsiaTheme="minorEastAsia"/>
                <w:noProof/>
                <w:lang w:eastAsia="en-GB"/>
              </w:rPr>
              <w:tab/>
            </w:r>
            <w:r w:rsidR="009C0325" w:rsidRPr="00190B99">
              <w:rPr>
                <w:rStyle w:val="Hyperlink"/>
                <w:noProof/>
              </w:rPr>
              <w:t>The Healthcare Estate</w:t>
            </w:r>
            <w:r w:rsidR="009C0325">
              <w:rPr>
                <w:noProof/>
                <w:webHidden/>
              </w:rPr>
              <w:tab/>
            </w:r>
            <w:r w:rsidR="009C0325">
              <w:rPr>
                <w:noProof/>
                <w:webHidden/>
              </w:rPr>
              <w:fldChar w:fldCharType="begin"/>
            </w:r>
            <w:r w:rsidR="009C0325">
              <w:rPr>
                <w:noProof/>
                <w:webHidden/>
              </w:rPr>
              <w:instrText xml:space="preserve"> PAGEREF _Toc36275039 \h </w:instrText>
            </w:r>
            <w:r w:rsidR="009C0325">
              <w:rPr>
                <w:noProof/>
                <w:webHidden/>
              </w:rPr>
            </w:r>
            <w:r w:rsidR="009C0325">
              <w:rPr>
                <w:noProof/>
                <w:webHidden/>
              </w:rPr>
              <w:fldChar w:fldCharType="separate"/>
            </w:r>
            <w:r w:rsidR="009C0325">
              <w:rPr>
                <w:noProof/>
                <w:webHidden/>
              </w:rPr>
              <w:t>29</w:t>
            </w:r>
            <w:r w:rsidR="009C0325">
              <w:rPr>
                <w:noProof/>
                <w:webHidden/>
              </w:rPr>
              <w:fldChar w:fldCharType="end"/>
            </w:r>
          </w:hyperlink>
        </w:p>
        <w:p w14:paraId="0B6B1473" w14:textId="31A7CF50" w:rsidR="009C0325" w:rsidRDefault="0076636A">
          <w:pPr>
            <w:pStyle w:val="TOC3"/>
            <w:tabs>
              <w:tab w:val="left" w:pos="1320"/>
              <w:tab w:val="right" w:leader="dot" w:pos="8777"/>
            </w:tabs>
            <w:rPr>
              <w:rFonts w:eastAsiaTheme="minorEastAsia"/>
              <w:noProof/>
              <w:lang w:eastAsia="en-GB"/>
            </w:rPr>
          </w:pPr>
          <w:hyperlink w:anchor="_Toc36275040" w:history="1">
            <w:r w:rsidR="009C0325" w:rsidRPr="00190B99">
              <w:rPr>
                <w:rStyle w:val="Hyperlink"/>
                <w:rFonts w:cstheme="minorHAnsi"/>
                <w:noProof/>
              </w:rPr>
              <w:t>2.2.3</w:t>
            </w:r>
            <w:r w:rsidR="009C0325">
              <w:rPr>
                <w:rFonts w:eastAsiaTheme="minorEastAsia"/>
                <w:noProof/>
                <w:lang w:eastAsia="en-GB"/>
              </w:rPr>
              <w:tab/>
            </w:r>
            <w:r w:rsidR="009C0325" w:rsidRPr="00190B99">
              <w:rPr>
                <w:rStyle w:val="Hyperlink"/>
                <w:noProof/>
              </w:rPr>
              <w:t>Governance of capital investment for NHS infrastructure</w:t>
            </w:r>
            <w:r w:rsidR="009C0325">
              <w:rPr>
                <w:noProof/>
                <w:webHidden/>
              </w:rPr>
              <w:tab/>
            </w:r>
            <w:r w:rsidR="009C0325">
              <w:rPr>
                <w:noProof/>
                <w:webHidden/>
              </w:rPr>
              <w:fldChar w:fldCharType="begin"/>
            </w:r>
            <w:r w:rsidR="009C0325">
              <w:rPr>
                <w:noProof/>
                <w:webHidden/>
              </w:rPr>
              <w:instrText xml:space="preserve"> PAGEREF _Toc36275040 \h </w:instrText>
            </w:r>
            <w:r w:rsidR="009C0325">
              <w:rPr>
                <w:noProof/>
                <w:webHidden/>
              </w:rPr>
            </w:r>
            <w:r w:rsidR="009C0325">
              <w:rPr>
                <w:noProof/>
                <w:webHidden/>
              </w:rPr>
              <w:fldChar w:fldCharType="separate"/>
            </w:r>
            <w:r w:rsidR="009C0325">
              <w:rPr>
                <w:noProof/>
                <w:webHidden/>
              </w:rPr>
              <w:t>32</w:t>
            </w:r>
            <w:r w:rsidR="009C0325">
              <w:rPr>
                <w:noProof/>
                <w:webHidden/>
              </w:rPr>
              <w:fldChar w:fldCharType="end"/>
            </w:r>
          </w:hyperlink>
        </w:p>
        <w:p w14:paraId="25FC2ACA" w14:textId="4346DF2B" w:rsidR="009C0325" w:rsidRDefault="0076636A">
          <w:pPr>
            <w:pStyle w:val="TOC3"/>
            <w:tabs>
              <w:tab w:val="left" w:pos="1320"/>
              <w:tab w:val="right" w:leader="dot" w:pos="8777"/>
            </w:tabs>
            <w:rPr>
              <w:rFonts w:eastAsiaTheme="minorEastAsia"/>
              <w:noProof/>
              <w:lang w:eastAsia="en-GB"/>
            </w:rPr>
          </w:pPr>
          <w:hyperlink w:anchor="_Toc36275041" w:history="1">
            <w:r w:rsidR="009C0325" w:rsidRPr="00190B99">
              <w:rPr>
                <w:rStyle w:val="Hyperlink"/>
                <w:rFonts w:cstheme="minorHAnsi"/>
                <w:noProof/>
              </w:rPr>
              <w:t>2.2.4</w:t>
            </w:r>
            <w:r w:rsidR="009C0325">
              <w:rPr>
                <w:rFonts w:eastAsiaTheme="minorEastAsia"/>
                <w:noProof/>
                <w:lang w:eastAsia="en-GB"/>
              </w:rPr>
              <w:tab/>
            </w:r>
            <w:r w:rsidR="009C0325" w:rsidRPr="00190B99">
              <w:rPr>
                <w:rStyle w:val="Hyperlink"/>
                <w:noProof/>
              </w:rPr>
              <w:t>Governance of the design and planning process.</w:t>
            </w:r>
            <w:r w:rsidR="009C0325">
              <w:rPr>
                <w:noProof/>
                <w:webHidden/>
              </w:rPr>
              <w:tab/>
            </w:r>
            <w:r w:rsidR="009C0325">
              <w:rPr>
                <w:noProof/>
                <w:webHidden/>
              </w:rPr>
              <w:fldChar w:fldCharType="begin"/>
            </w:r>
            <w:r w:rsidR="009C0325">
              <w:rPr>
                <w:noProof/>
                <w:webHidden/>
              </w:rPr>
              <w:instrText xml:space="preserve"> PAGEREF _Toc36275041 \h </w:instrText>
            </w:r>
            <w:r w:rsidR="009C0325">
              <w:rPr>
                <w:noProof/>
                <w:webHidden/>
              </w:rPr>
            </w:r>
            <w:r w:rsidR="009C0325">
              <w:rPr>
                <w:noProof/>
                <w:webHidden/>
              </w:rPr>
              <w:fldChar w:fldCharType="separate"/>
            </w:r>
            <w:r w:rsidR="009C0325">
              <w:rPr>
                <w:noProof/>
                <w:webHidden/>
              </w:rPr>
              <w:t>38</w:t>
            </w:r>
            <w:r w:rsidR="009C0325">
              <w:rPr>
                <w:noProof/>
                <w:webHidden/>
              </w:rPr>
              <w:fldChar w:fldCharType="end"/>
            </w:r>
          </w:hyperlink>
        </w:p>
        <w:p w14:paraId="560244E6" w14:textId="032CE2C2" w:rsidR="009C0325" w:rsidRDefault="0076636A">
          <w:pPr>
            <w:pStyle w:val="TOC2"/>
            <w:tabs>
              <w:tab w:val="left" w:pos="880"/>
              <w:tab w:val="right" w:leader="dot" w:pos="8777"/>
            </w:tabs>
            <w:rPr>
              <w:rFonts w:eastAsiaTheme="minorEastAsia"/>
              <w:noProof/>
              <w:lang w:eastAsia="en-GB"/>
            </w:rPr>
          </w:pPr>
          <w:hyperlink w:anchor="_Toc36275042" w:history="1">
            <w:r w:rsidR="009C0325" w:rsidRPr="00190B99">
              <w:rPr>
                <w:rStyle w:val="Hyperlink"/>
                <w:bCs/>
                <w:noProof/>
              </w:rPr>
              <w:t>2.3</w:t>
            </w:r>
            <w:r w:rsidR="009C0325">
              <w:rPr>
                <w:rFonts w:eastAsiaTheme="minorEastAsia"/>
                <w:noProof/>
                <w:lang w:eastAsia="en-GB"/>
              </w:rPr>
              <w:tab/>
            </w:r>
            <w:r w:rsidR="009C0325" w:rsidRPr="00190B99">
              <w:rPr>
                <w:rStyle w:val="Hyperlink"/>
                <w:noProof/>
              </w:rPr>
              <w:t>Concluding remarks</w:t>
            </w:r>
            <w:r w:rsidR="009C0325">
              <w:rPr>
                <w:noProof/>
                <w:webHidden/>
              </w:rPr>
              <w:tab/>
            </w:r>
            <w:r w:rsidR="009C0325">
              <w:rPr>
                <w:noProof/>
                <w:webHidden/>
              </w:rPr>
              <w:fldChar w:fldCharType="begin"/>
            </w:r>
            <w:r w:rsidR="009C0325">
              <w:rPr>
                <w:noProof/>
                <w:webHidden/>
              </w:rPr>
              <w:instrText xml:space="preserve"> PAGEREF _Toc36275042 \h </w:instrText>
            </w:r>
            <w:r w:rsidR="009C0325">
              <w:rPr>
                <w:noProof/>
                <w:webHidden/>
              </w:rPr>
            </w:r>
            <w:r w:rsidR="009C0325">
              <w:rPr>
                <w:noProof/>
                <w:webHidden/>
              </w:rPr>
              <w:fldChar w:fldCharType="separate"/>
            </w:r>
            <w:r w:rsidR="009C0325">
              <w:rPr>
                <w:noProof/>
                <w:webHidden/>
              </w:rPr>
              <w:t>43</w:t>
            </w:r>
            <w:r w:rsidR="009C0325">
              <w:rPr>
                <w:noProof/>
                <w:webHidden/>
              </w:rPr>
              <w:fldChar w:fldCharType="end"/>
            </w:r>
          </w:hyperlink>
        </w:p>
        <w:p w14:paraId="301A0A44" w14:textId="21FBF8CF" w:rsidR="009C0325" w:rsidRDefault="0076636A">
          <w:pPr>
            <w:pStyle w:val="TOC1"/>
            <w:rPr>
              <w:rFonts w:eastAsiaTheme="minorEastAsia"/>
              <w:noProof/>
              <w:lang w:eastAsia="en-GB"/>
            </w:rPr>
          </w:pPr>
          <w:hyperlink w:anchor="_Toc36275043" w:history="1">
            <w:r w:rsidR="009C0325" w:rsidRPr="00190B99">
              <w:rPr>
                <w:rStyle w:val="Hyperlink"/>
                <w:noProof/>
              </w:rPr>
              <w:t>3</w:t>
            </w:r>
            <w:r w:rsidR="009C0325">
              <w:rPr>
                <w:rFonts w:eastAsiaTheme="minorEastAsia"/>
                <w:noProof/>
                <w:lang w:eastAsia="en-GB"/>
              </w:rPr>
              <w:tab/>
            </w:r>
            <w:r w:rsidR="009C0325" w:rsidRPr="00190B99">
              <w:rPr>
                <w:rStyle w:val="Hyperlink"/>
                <w:noProof/>
              </w:rPr>
              <w:t>Literature Review: Ethics</w:t>
            </w:r>
            <w:r w:rsidR="009C0325">
              <w:rPr>
                <w:noProof/>
                <w:webHidden/>
              </w:rPr>
              <w:tab/>
            </w:r>
            <w:r w:rsidR="009C0325">
              <w:rPr>
                <w:noProof/>
                <w:webHidden/>
              </w:rPr>
              <w:fldChar w:fldCharType="begin"/>
            </w:r>
            <w:r w:rsidR="009C0325">
              <w:rPr>
                <w:noProof/>
                <w:webHidden/>
              </w:rPr>
              <w:instrText xml:space="preserve"> PAGEREF _Toc36275043 \h </w:instrText>
            </w:r>
            <w:r w:rsidR="009C0325">
              <w:rPr>
                <w:noProof/>
                <w:webHidden/>
              </w:rPr>
            </w:r>
            <w:r w:rsidR="009C0325">
              <w:rPr>
                <w:noProof/>
                <w:webHidden/>
              </w:rPr>
              <w:fldChar w:fldCharType="separate"/>
            </w:r>
            <w:r w:rsidR="009C0325">
              <w:rPr>
                <w:noProof/>
                <w:webHidden/>
              </w:rPr>
              <w:t>44</w:t>
            </w:r>
            <w:r w:rsidR="009C0325">
              <w:rPr>
                <w:noProof/>
                <w:webHidden/>
              </w:rPr>
              <w:fldChar w:fldCharType="end"/>
            </w:r>
          </w:hyperlink>
        </w:p>
        <w:p w14:paraId="72089CF4" w14:textId="269EB21C" w:rsidR="009C0325" w:rsidRDefault="0076636A">
          <w:pPr>
            <w:pStyle w:val="TOC2"/>
            <w:tabs>
              <w:tab w:val="left" w:pos="880"/>
              <w:tab w:val="right" w:leader="dot" w:pos="8777"/>
            </w:tabs>
            <w:rPr>
              <w:rFonts w:eastAsiaTheme="minorEastAsia"/>
              <w:noProof/>
              <w:lang w:eastAsia="en-GB"/>
            </w:rPr>
          </w:pPr>
          <w:hyperlink w:anchor="_Toc36275044" w:history="1">
            <w:r w:rsidR="009C0325" w:rsidRPr="00190B99">
              <w:rPr>
                <w:rStyle w:val="Hyperlink"/>
                <w:bCs/>
                <w:noProof/>
              </w:rPr>
              <w:t>3.1</w:t>
            </w:r>
            <w:r w:rsidR="009C0325">
              <w:rPr>
                <w:rFonts w:eastAsiaTheme="minorEastAsia"/>
                <w:noProof/>
                <w:lang w:eastAsia="en-GB"/>
              </w:rPr>
              <w:tab/>
            </w:r>
            <w:r w:rsidR="009C0325" w:rsidRPr="00190B99">
              <w:rPr>
                <w:rStyle w:val="Hyperlink"/>
                <w:noProof/>
              </w:rPr>
              <w:t>Introduction</w:t>
            </w:r>
            <w:r w:rsidR="009C0325">
              <w:rPr>
                <w:noProof/>
                <w:webHidden/>
              </w:rPr>
              <w:tab/>
            </w:r>
            <w:r w:rsidR="009C0325">
              <w:rPr>
                <w:noProof/>
                <w:webHidden/>
              </w:rPr>
              <w:fldChar w:fldCharType="begin"/>
            </w:r>
            <w:r w:rsidR="009C0325">
              <w:rPr>
                <w:noProof/>
                <w:webHidden/>
              </w:rPr>
              <w:instrText xml:space="preserve"> PAGEREF _Toc36275044 \h </w:instrText>
            </w:r>
            <w:r w:rsidR="009C0325">
              <w:rPr>
                <w:noProof/>
                <w:webHidden/>
              </w:rPr>
            </w:r>
            <w:r w:rsidR="009C0325">
              <w:rPr>
                <w:noProof/>
                <w:webHidden/>
              </w:rPr>
              <w:fldChar w:fldCharType="separate"/>
            </w:r>
            <w:r w:rsidR="009C0325">
              <w:rPr>
                <w:noProof/>
                <w:webHidden/>
              </w:rPr>
              <w:t>44</w:t>
            </w:r>
            <w:r w:rsidR="009C0325">
              <w:rPr>
                <w:noProof/>
                <w:webHidden/>
              </w:rPr>
              <w:fldChar w:fldCharType="end"/>
            </w:r>
          </w:hyperlink>
        </w:p>
        <w:p w14:paraId="4F7A3D11" w14:textId="1AD0B0FB" w:rsidR="009C0325" w:rsidRDefault="0076636A">
          <w:pPr>
            <w:pStyle w:val="TOC2"/>
            <w:tabs>
              <w:tab w:val="left" w:pos="880"/>
              <w:tab w:val="right" w:leader="dot" w:pos="8777"/>
            </w:tabs>
            <w:rPr>
              <w:rFonts w:eastAsiaTheme="minorEastAsia"/>
              <w:noProof/>
              <w:lang w:eastAsia="en-GB"/>
            </w:rPr>
          </w:pPr>
          <w:hyperlink w:anchor="_Toc36275045" w:history="1">
            <w:r w:rsidR="009C0325" w:rsidRPr="00190B99">
              <w:rPr>
                <w:rStyle w:val="Hyperlink"/>
                <w:bCs/>
                <w:noProof/>
              </w:rPr>
              <w:t>3.2</w:t>
            </w:r>
            <w:r w:rsidR="009C0325">
              <w:rPr>
                <w:rFonts w:eastAsiaTheme="minorEastAsia"/>
                <w:noProof/>
                <w:lang w:eastAsia="en-GB"/>
              </w:rPr>
              <w:tab/>
            </w:r>
            <w:r w:rsidR="009C0325" w:rsidRPr="00190B99">
              <w:rPr>
                <w:rStyle w:val="Hyperlink"/>
                <w:noProof/>
              </w:rPr>
              <w:t>Ethical theory</w:t>
            </w:r>
            <w:r w:rsidR="009C0325">
              <w:rPr>
                <w:noProof/>
                <w:webHidden/>
              </w:rPr>
              <w:tab/>
            </w:r>
            <w:r w:rsidR="009C0325">
              <w:rPr>
                <w:noProof/>
                <w:webHidden/>
              </w:rPr>
              <w:fldChar w:fldCharType="begin"/>
            </w:r>
            <w:r w:rsidR="009C0325">
              <w:rPr>
                <w:noProof/>
                <w:webHidden/>
              </w:rPr>
              <w:instrText xml:space="preserve"> PAGEREF _Toc36275045 \h </w:instrText>
            </w:r>
            <w:r w:rsidR="009C0325">
              <w:rPr>
                <w:noProof/>
                <w:webHidden/>
              </w:rPr>
            </w:r>
            <w:r w:rsidR="009C0325">
              <w:rPr>
                <w:noProof/>
                <w:webHidden/>
              </w:rPr>
              <w:fldChar w:fldCharType="separate"/>
            </w:r>
            <w:r w:rsidR="009C0325">
              <w:rPr>
                <w:noProof/>
                <w:webHidden/>
              </w:rPr>
              <w:t>44</w:t>
            </w:r>
            <w:r w:rsidR="009C0325">
              <w:rPr>
                <w:noProof/>
                <w:webHidden/>
              </w:rPr>
              <w:fldChar w:fldCharType="end"/>
            </w:r>
          </w:hyperlink>
        </w:p>
        <w:p w14:paraId="1F859BE8" w14:textId="7CFFCB22" w:rsidR="009C0325" w:rsidRDefault="0076636A">
          <w:pPr>
            <w:pStyle w:val="TOC3"/>
            <w:tabs>
              <w:tab w:val="left" w:pos="1320"/>
              <w:tab w:val="right" w:leader="dot" w:pos="8777"/>
            </w:tabs>
            <w:rPr>
              <w:rFonts w:eastAsiaTheme="minorEastAsia"/>
              <w:noProof/>
              <w:lang w:eastAsia="en-GB"/>
            </w:rPr>
          </w:pPr>
          <w:hyperlink w:anchor="_Toc36275046" w:history="1">
            <w:r w:rsidR="009C0325" w:rsidRPr="00190B99">
              <w:rPr>
                <w:rStyle w:val="Hyperlink"/>
                <w:rFonts w:cstheme="minorHAnsi"/>
                <w:noProof/>
              </w:rPr>
              <w:t>3.2.1</w:t>
            </w:r>
            <w:r w:rsidR="009C0325">
              <w:rPr>
                <w:rFonts w:eastAsiaTheme="minorEastAsia"/>
                <w:noProof/>
                <w:lang w:eastAsia="en-GB"/>
              </w:rPr>
              <w:tab/>
            </w:r>
            <w:r w:rsidR="009C0325" w:rsidRPr="00190B99">
              <w:rPr>
                <w:rStyle w:val="Hyperlink"/>
                <w:noProof/>
              </w:rPr>
              <w:t>Virtue ethics</w:t>
            </w:r>
            <w:r w:rsidR="009C0325">
              <w:rPr>
                <w:noProof/>
                <w:webHidden/>
              </w:rPr>
              <w:tab/>
            </w:r>
            <w:r w:rsidR="009C0325">
              <w:rPr>
                <w:noProof/>
                <w:webHidden/>
              </w:rPr>
              <w:fldChar w:fldCharType="begin"/>
            </w:r>
            <w:r w:rsidR="009C0325">
              <w:rPr>
                <w:noProof/>
                <w:webHidden/>
              </w:rPr>
              <w:instrText xml:space="preserve"> PAGEREF _Toc36275046 \h </w:instrText>
            </w:r>
            <w:r w:rsidR="009C0325">
              <w:rPr>
                <w:noProof/>
                <w:webHidden/>
              </w:rPr>
            </w:r>
            <w:r w:rsidR="009C0325">
              <w:rPr>
                <w:noProof/>
                <w:webHidden/>
              </w:rPr>
              <w:fldChar w:fldCharType="separate"/>
            </w:r>
            <w:r w:rsidR="009C0325">
              <w:rPr>
                <w:noProof/>
                <w:webHidden/>
              </w:rPr>
              <w:t>45</w:t>
            </w:r>
            <w:r w:rsidR="009C0325">
              <w:rPr>
                <w:noProof/>
                <w:webHidden/>
              </w:rPr>
              <w:fldChar w:fldCharType="end"/>
            </w:r>
          </w:hyperlink>
        </w:p>
        <w:p w14:paraId="63BAC7E1" w14:textId="0FCBAB44" w:rsidR="009C0325" w:rsidRDefault="0076636A">
          <w:pPr>
            <w:pStyle w:val="TOC3"/>
            <w:tabs>
              <w:tab w:val="left" w:pos="1320"/>
              <w:tab w:val="right" w:leader="dot" w:pos="8777"/>
            </w:tabs>
            <w:rPr>
              <w:rFonts w:eastAsiaTheme="minorEastAsia"/>
              <w:noProof/>
              <w:lang w:eastAsia="en-GB"/>
            </w:rPr>
          </w:pPr>
          <w:hyperlink w:anchor="_Toc36275047" w:history="1">
            <w:r w:rsidR="009C0325" w:rsidRPr="00190B99">
              <w:rPr>
                <w:rStyle w:val="Hyperlink"/>
                <w:rFonts w:cstheme="minorHAnsi"/>
                <w:noProof/>
              </w:rPr>
              <w:t>3.2.2</w:t>
            </w:r>
            <w:r w:rsidR="009C0325">
              <w:rPr>
                <w:rFonts w:eastAsiaTheme="minorEastAsia"/>
                <w:noProof/>
                <w:lang w:eastAsia="en-GB"/>
              </w:rPr>
              <w:tab/>
            </w:r>
            <w:r w:rsidR="009C0325" w:rsidRPr="00190B99">
              <w:rPr>
                <w:rStyle w:val="Hyperlink"/>
                <w:noProof/>
              </w:rPr>
              <w:t>Ethics of conduct</w:t>
            </w:r>
            <w:r w:rsidR="009C0325">
              <w:rPr>
                <w:noProof/>
                <w:webHidden/>
              </w:rPr>
              <w:tab/>
            </w:r>
            <w:r w:rsidR="009C0325">
              <w:rPr>
                <w:noProof/>
                <w:webHidden/>
              </w:rPr>
              <w:fldChar w:fldCharType="begin"/>
            </w:r>
            <w:r w:rsidR="009C0325">
              <w:rPr>
                <w:noProof/>
                <w:webHidden/>
              </w:rPr>
              <w:instrText xml:space="preserve"> PAGEREF _Toc36275047 \h </w:instrText>
            </w:r>
            <w:r w:rsidR="009C0325">
              <w:rPr>
                <w:noProof/>
                <w:webHidden/>
              </w:rPr>
            </w:r>
            <w:r w:rsidR="009C0325">
              <w:rPr>
                <w:noProof/>
                <w:webHidden/>
              </w:rPr>
              <w:fldChar w:fldCharType="separate"/>
            </w:r>
            <w:r w:rsidR="009C0325">
              <w:rPr>
                <w:noProof/>
                <w:webHidden/>
              </w:rPr>
              <w:t>46</w:t>
            </w:r>
            <w:r w:rsidR="009C0325">
              <w:rPr>
                <w:noProof/>
                <w:webHidden/>
              </w:rPr>
              <w:fldChar w:fldCharType="end"/>
            </w:r>
          </w:hyperlink>
        </w:p>
        <w:p w14:paraId="0F92F036" w14:textId="2B00FFD0" w:rsidR="009C0325" w:rsidRDefault="0076636A">
          <w:pPr>
            <w:pStyle w:val="TOC3"/>
            <w:tabs>
              <w:tab w:val="left" w:pos="1320"/>
              <w:tab w:val="right" w:leader="dot" w:pos="8777"/>
            </w:tabs>
            <w:rPr>
              <w:rFonts w:eastAsiaTheme="minorEastAsia"/>
              <w:noProof/>
              <w:lang w:eastAsia="en-GB"/>
            </w:rPr>
          </w:pPr>
          <w:hyperlink w:anchor="_Toc36275048" w:history="1">
            <w:r w:rsidR="009C0325" w:rsidRPr="00190B99">
              <w:rPr>
                <w:rStyle w:val="Hyperlink"/>
                <w:rFonts w:cstheme="minorHAnsi"/>
                <w:noProof/>
              </w:rPr>
              <w:t>3.2.3</w:t>
            </w:r>
            <w:r w:rsidR="009C0325">
              <w:rPr>
                <w:rFonts w:eastAsiaTheme="minorEastAsia"/>
                <w:noProof/>
                <w:lang w:eastAsia="en-GB"/>
              </w:rPr>
              <w:tab/>
            </w:r>
            <w:r w:rsidR="009C0325" w:rsidRPr="00190B99">
              <w:rPr>
                <w:rStyle w:val="Hyperlink"/>
                <w:noProof/>
              </w:rPr>
              <w:t>Criticisms of ethical theory</w:t>
            </w:r>
            <w:r w:rsidR="009C0325">
              <w:rPr>
                <w:noProof/>
                <w:webHidden/>
              </w:rPr>
              <w:tab/>
            </w:r>
            <w:r w:rsidR="009C0325">
              <w:rPr>
                <w:noProof/>
                <w:webHidden/>
              </w:rPr>
              <w:fldChar w:fldCharType="begin"/>
            </w:r>
            <w:r w:rsidR="009C0325">
              <w:rPr>
                <w:noProof/>
                <w:webHidden/>
              </w:rPr>
              <w:instrText xml:space="preserve"> PAGEREF _Toc36275048 \h </w:instrText>
            </w:r>
            <w:r w:rsidR="009C0325">
              <w:rPr>
                <w:noProof/>
                <w:webHidden/>
              </w:rPr>
            </w:r>
            <w:r w:rsidR="009C0325">
              <w:rPr>
                <w:noProof/>
                <w:webHidden/>
              </w:rPr>
              <w:fldChar w:fldCharType="separate"/>
            </w:r>
            <w:r w:rsidR="009C0325">
              <w:rPr>
                <w:noProof/>
                <w:webHidden/>
              </w:rPr>
              <w:t>49</w:t>
            </w:r>
            <w:r w:rsidR="009C0325">
              <w:rPr>
                <w:noProof/>
                <w:webHidden/>
              </w:rPr>
              <w:fldChar w:fldCharType="end"/>
            </w:r>
          </w:hyperlink>
        </w:p>
        <w:p w14:paraId="1316098F" w14:textId="709C8755" w:rsidR="009C0325" w:rsidRDefault="0076636A">
          <w:pPr>
            <w:pStyle w:val="TOC2"/>
            <w:tabs>
              <w:tab w:val="left" w:pos="880"/>
              <w:tab w:val="right" w:leader="dot" w:pos="8777"/>
            </w:tabs>
            <w:rPr>
              <w:rFonts w:eastAsiaTheme="minorEastAsia"/>
              <w:noProof/>
              <w:lang w:eastAsia="en-GB"/>
            </w:rPr>
          </w:pPr>
          <w:hyperlink w:anchor="_Toc36275049" w:history="1">
            <w:r w:rsidR="009C0325" w:rsidRPr="00190B99">
              <w:rPr>
                <w:rStyle w:val="Hyperlink"/>
                <w:bCs/>
                <w:noProof/>
              </w:rPr>
              <w:t>3.3</w:t>
            </w:r>
            <w:r w:rsidR="009C0325">
              <w:rPr>
                <w:rFonts w:eastAsiaTheme="minorEastAsia"/>
                <w:noProof/>
                <w:lang w:eastAsia="en-GB"/>
              </w:rPr>
              <w:tab/>
            </w:r>
            <w:r w:rsidR="009C0325" w:rsidRPr="00190B99">
              <w:rPr>
                <w:rStyle w:val="Hyperlink"/>
                <w:noProof/>
              </w:rPr>
              <w:t>Applied ethics</w:t>
            </w:r>
            <w:r w:rsidR="009C0325">
              <w:rPr>
                <w:noProof/>
                <w:webHidden/>
              </w:rPr>
              <w:tab/>
            </w:r>
            <w:r w:rsidR="009C0325">
              <w:rPr>
                <w:noProof/>
                <w:webHidden/>
              </w:rPr>
              <w:fldChar w:fldCharType="begin"/>
            </w:r>
            <w:r w:rsidR="009C0325">
              <w:rPr>
                <w:noProof/>
                <w:webHidden/>
              </w:rPr>
              <w:instrText xml:space="preserve"> PAGEREF _Toc36275049 \h </w:instrText>
            </w:r>
            <w:r w:rsidR="009C0325">
              <w:rPr>
                <w:noProof/>
                <w:webHidden/>
              </w:rPr>
            </w:r>
            <w:r w:rsidR="009C0325">
              <w:rPr>
                <w:noProof/>
                <w:webHidden/>
              </w:rPr>
              <w:fldChar w:fldCharType="separate"/>
            </w:r>
            <w:r w:rsidR="009C0325">
              <w:rPr>
                <w:noProof/>
                <w:webHidden/>
              </w:rPr>
              <w:t>49</w:t>
            </w:r>
            <w:r w:rsidR="009C0325">
              <w:rPr>
                <w:noProof/>
                <w:webHidden/>
              </w:rPr>
              <w:fldChar w:fldCharType="end"/>
            </w:r>
          </w:hyperlink>
        </w:p>
        <w:p w14:paraId="4F79606E" w14:textId="70DCF4B5" w:rsidR="009C0325" w:rsidRDefault="0076636A">
          <w:pPr>
            <w:pStyle w:val="TOC3"/>
            <w:tabs>
              <w:tab w:val="left" w:pos="1320"/>
              <w:tab w:val="right" w:leader="dot" w:pos="8777"/>
            </w:tabs>
            <w:rPr>
              <w:rFonts w:eastAsiaTheme="minorEastAsia"/>
              <w:noProof/>
              <w:lang w:eastAsia="en-GB"/>
            </w:rPr>
          </w:pPr>
          <w:hyperlink w:anchor="_Toc36275050" w:history="1">
            <w:r w:rsidR="009C0325" w:rsidRPr="00190B99">
              <w:rPr>
                <w:rStyle w:val="Hyperlink"/>
                <w:rFonts w:cstheme="minorHAnsi"/>
                <w:noProof/>
              </w:rPr>
              <w:t>3.3.1</w:t>
            </w:r>
            <w:r w:rsidR="009C0325">
              <w:rPr>
                <w:rFonts w:eastAsiaTheme="minorEastAsia"/>
                <w:noProof/>
                <w:lang w:eastAsia="en-GB"/>
              </w:rPr>
              <w:tab/>
            </w:r>
            <w:r w:rsidR="009C0325" w:rsidRPr="00190B99">
              <w:rPr>
                <w:rStyle w:val="Hyperlink"/>
                <w:noProof/>
              </w:rPr>
              <w:t>Applied ethics in business</w:t>
            </w:r>
            <w:r w:rsidR="009C0325">
              <w:rPr>
                <w:noProof/>
                <w:webHidden/>
              </w:rPr>
              <w:tab/>
            </w:r>
            <w:r w:rsidR="009C0325">
              <w:rPr>
                <w:noProof/>
                <w:webHidden/>
              </w:rPr>
              <w:fldChar w:fldCharType="begin"/>
            </w:r>
            <w:r w:rsidR="009C0325">
              <w:rPr>
                <w:noProof/>
                <w:webHidden/>
              </w:rPr>
              <w:instrText xml:space="preserve"> PAGEREF _Toc36275050 \h </w:instrText>
            </w:r>
            <w:r w:rsidR="009C0325">
              <w:rPr>
                <w:noProof/>
                <w:webHidden/>
              </w:rPr>
            </w:r>
            <w:r w:rsidR="009C0325">
              <w:rPr>
                <w:noProof/>
                <w:webHidden/>
              </w:rPr>
              <w:fldChar w:fldCharType="separate"/>
            </w:r>
            <w:r w:rsidR="009C0325">
              <w:rPr>
                <w:noProof/>
                <w:webHidden/>
              </w:rPr>
              <w:t>49</w:t>
            </w:r>
            <w:r w:rsidR="009C0325">
              <w:rPr>
                <w:noProof/>
                <w:webHidden/>
              </w:rPr>
              <w:fldChar w:fldCharType="end"/>
            </w:r>
          </w:hyperlink>
        </w:p>
        <w:p w14:paraId="7E753F9D" w14:textId="699C932F" w:rsidR="009C0325" w:rsidRDefault="0076636A">
          <w:pPr>
            <w:pStyle w:val="TOC3"/>
            <w:tabs>
              <w:tab w:val="left" w:pos="1320"/>
              <w:tab w:val="right" w:leader="dot" w:pos="8777"/>
            </w:tabs>
            <w:rPr>
              <w:rFonts w:eastAsiaTheme="minorEastAsia"/>
              <w:noProof/>
              <w:lang w:eastAsia="en-GB"/>
            </w:rPr>
          </w:pPr>
          <w:hyperlink w:anchor="_Toc36275051" w:history="1">
            <w:r w:rsidR="009C0325" w:rsidRPr="00190B99">
              <w:rPr>
                <w:rStyle w:val="Hyperlink"/>
                <w:rFonts w:cstheme="minorHAnsi"/>
                <w:noProof/>
              </w:rPr>
              <w:t>3.3.2</w:t>
            </w:r>
            <w:r w:rsidR="009C0325">
              <w:rPr>
                <w:rFonts w:eastAsiaTheme="minorEastAsia"/>
                <w:noProof/>
                <w:lang w:eastAsia="en-GB"/>
              </w:rPr>
              <w:tab/>
            </w:r>
            <w:r w:rsidR="009C0325" w:rsidRPr="00190B99">
              <w:rPr>
                <w:rStyle w:val="Hyperlink"/>
                <w:noProof/>
              </w:rPr>
              <w:t>Gender and age</w:t>
            </w:r>
            <w:r w:rsidR="009C0325">
              <w:rPr>
                <w:noProof/>
                <w:webHidden/>
              </w:rPr>
              <w:tab/>
            </w:r>
            <w:r w:rsidR="009C0325">
              <w:rPr>
                <w:noProof/>
                <w:webHidden/>
              </w:rPr>
              <w:fldChar w:fldCharType="begin"/>
            </w:r>
            <w:r w:rsidR="009C0325">
              <w:rPr>
                <w:noProof/>
                <w:webHidden/>
              </w:rPr>
              <w:instrText xml:space="preserve"> PAGEREF _Toc36275051 \h </w:instrText>
            </w:r>
            <w:r w:rsidR="009C0325">
              <w:rPr>
                <w:noProof/>
                <w:webHidden/>
              </w:rPr>
            </w:r>
            <w:r w:rsidR="009C0325">
              <w:rPr>
                <w:noProof/>
                <w:webHidden/>
              </w:rPr>
              <w:fldChar w:fldCharType="separate"/>
            </w:r>
            <w:r w:rsidR="009C0325">
              <w:rPr>
                <w:noProof/>
                <w:webHidden/>
              </w:rPr>
              <w:t>51</w:t>
            </w:r>
            <w:r w:rsidR="009C0325">
              <w:rPr>
                <w:noProof/>
                <w:webHidden/>
              </w:rPr>
              <w:fldChar w:fldCharType="end"/>
            </w:r>
          </w:hyperlink>
        </w:p>
        <w:p w14:paraId="73165A33" w14:textId="3032683E" w:rsidR="009C0325" w:rsidRDefault="0076636A">
          <w:pPr>
            <w:pStyle w:val="TOC3"/>
            <w:tabs>
              <w:tab w:val="left" w:pos="1320"/>
              <w:tab w:val="right" w:leader="dot" w:pos="8777"/>
            </w:tabs>
            <w:rPr>
              <w:rFonts w:eastAsiaTheme="minorEastAsia"/>
              <w:noProof/>
              <w:lang w:eastAsia="en-GB"/>
            </w:rPr>
          </w:pPr>
          <w:hyperlink w:anchor="_Toc36275052" w:history="1">
            <w:r w:rsidR="009C0325" w:rsidRPr="00190B99">
              <w:rPr>
                <w:rStyle w:val="Hyperlink"/>
                <w:rFonts w:cstheme="minorHAnsi"/>
                <w:noProof/>
              </w:rPr>
              <w:t>3.3.3</w:t>
            </w:r>
            <w:r w:rsidR="009C0325">
              <w:rPr>
                <w:rFonts w:eastAsiaTheme="minorEastAsia"/>
                <w:noProof/>
                <w:lang w:eastAsia="en-GB"/>
              </w:rPr>
              <w:tab/>
            </w:r>
            <w:r w:rsidR="009C0325" w:rsidRPr="00190B99">
              <w:rPr>
                <w:rStyle w:val="Hyperlink"/>
                <w:noProof/>
              </w:rPr>
              <w:t>Ethical climate and the influence of groups and moral identity</w:t>
            </w:r>
            <w:r w:rsidR="009C0325">
              <w:rPr>
                <w:noProof/>
                <w:webHidden/>
              </w:rPr>
              <w:tab/>
            </w:r>
            <w:r w:rsidR="009C0325">
              <w:rPr>
                <w:noProof/>
                <w:webHidden/>
              </w:rPr>
              <w:fldChar w:fldCharType="begin"/>
            </w:r>
            <w:r w:rsidR="009C0325">
              <w:rPr>
                <w:noProof/>
                <w:webHidden/>
              </w:rPr>
              <w:instrText xml:space="preserve"> PAGEREF _Toc36275052 \h </w:instrText>
            </w:r>
            <w:r w:rsidR="009C0325">
              <w:rPr>
                <w:noProof/>
                <w:webHidden/>
              </w:rPr>
            </w:r>
            <w:r w:rsidR="009C0325">
              <w:rPr>
                <w:noProof/>
                <w:webHidden/>
              </w:rPr>
              <w:fldChar w:fldCharType="separate"/>
            </w:r>
            <w:r w:rsidR="009C0325">
              <w:rPr>
                <w:noProof/>
                <w:webHidden/>
              </w:rPr>
              <w:t>52</w:t>
            </w:r>
            <w:r w:rsidR="009C0325">
              <w:rPr>
                <w:noProof/>
                <w:webHidden/>
              </w:rPr>
              <w:fldChar w:fldCharType="end"/>
            </w:r>
          </w:hyperlink>
        </w:p>
        <w:p w14:paraId="3B8F5395" w14:textId="0E7C42E6" w:rsidR="009C0325" w:rsidRDefault="0076636A">
          <w:pPr>
            <w:pStyle w:val="TOC3"/>
            <w:tabs>
              <w:tab w:val="left" w:pos="1320"/>
              <w:tab w:val="right" w:leader="dot" w:pos="8777"/>
            </w:tabs>
            <w:rPr>
              <w:rFonts w:eastAsiaTheme="minorEastAsia"/>
              <w:noProof/>
              <w:lang w:eastAsia="en-GB"/>
            </w:rPr>
          </w:pPr>
          <w:hyperlink w:anchor="_Toc36275053" w:history="1">
            <w:r w:rsidR="009C0325" w:rsidRPr="00190B99">
              <w:rPr>
                <w:rStyle w:val="Hyperlink"/>
                <w:rFonts w:cstheme="minorHAnsi"/>
                <w:noProof/>
              </w:rPr>
              <w:t>3.3.4</w:t>
            </w:r>
            <w:r w:rsidR="009C0325">
              <w:rPr>
                <w:rFonts w:eastAsiaTheme="minorEastAsia"/>
                <w:noProof/>
                <w:lang w:eastAsia="en-GB"/>
              </w:rPr>
              <w:tab/>
            </w:r>
            <w:r w:rsidR="009C0325" w:rsidRPr="00190B99">
              <w:rPr>
                <w:rStyle w:val="Hyperlink"/>
                <w:noProof/>
              </w:rPr>
              <w:t>Formalism and utilitarianism as separate scales</w:t>
            </w:r>
            <w:r w:rsidR="009C0325">
              <w:rPr>
                <w:noProof/>
                <w:webHidden/>
              </w:rPr>
              <w:tab/>
            </w:r>
            <w:r w:rsidR="009C0325">
              <w:rPr>
                <w:noProof/>
                <w:webHidden/>
              </w:rPr>
              <w:fldChar w:fldCharType="begin"/>
            </w:r>
            <w:r w:rsidR="009C0325">
              <w:rPr>
                <w:noProof/>
                <w:webHidden/>
              </w:rPr>
              <w:instrText xml:space="preserve"> PAGEREF _Toc36275053 \h </w:instrText>
            </w:r>
            <w:r w:rsidR="009C0325">
              <w:rPr>
                <w:noProof/>
                <w:webHidden/>
              </w:rPr>
            </w:r>
            <w:r w:rsidR="009C0325">
              <w:rPr>
                <w:noProof/>
                <w:webHidden/>
              </w:rPr>
              <w:fldChar w:fldCharType="separate"/>
            </w:r>
            <w:r w:rsidR="009C0325">
              <w:rPr>
                <w:noProof/>
                <w:webHidden/>
              </w:rPr>
              <w:t>52</w:t>
            </w:r>
            <w:r w:rsidR="009C0325">
              <w:rPr>
                <w:noProof/>
                <w:webHidden/>
              </w:rPr>
              <w:fldChar w:fldCharType="end"/>
            </w:r>
          </w:hyperlink>
        </w:p>
        <w:p w14:paraId="04865B1E" w14:textId="104988E8" w:rsidR="009C0325" w:rsidRDefault="0076636A">
          <w:pPr>
            <w:pStyle w:val="TOC3"/>
            <w:tabs>
              <w:tab w:val="left" w:pos="1320"/>
              <w:tab w:val="right" w:leader="dot" w:pos="8777"/>
            </w:tabs>
            <w:rPr>
              <w:rFonts w:eastAsiaTheme="minorEastAsia"/>
              <w:noProof/>
              <w:lang w:eastAsia="en-GB"/>
            </w:rPr>
          </w:pPr>
          <w:hyperlink w:anchor="_Toc36275054" w:history="1">
            <w:r w:rsidR="009C0325" w:rsidRPr="00190B99">
              <w:rPr>
                <w:rStyle w:val="Hyperlink"/>
                <w:rFonts w:cstheme="minorHAnsi"/>
                <w:noProof/>
              </w:rPr>
              <w:t>3.3.5</w:t>
            </w:r>
            <w:r w:rsidR="009C0325">
              <w:rPr>
                <w:rFonts w:eastAsiaTheme="minorEastAsia"/>
                <w:noProof/>
                <w:lang w:eastAsia="en-GB"/>
              </w:rPr>
              <w:tab/>
            </w:r>
            <w:r w:rsidR="009C0325" w:rsidRPr="00190B99">
              <w:rPr>
                <w:rStyle w:val="Hyperlink"/>
                <w:noProof/>
              </w:rPr>
              <w:t>Tools for measuring ethical predisposition</w:t>
            </w:r>
            <w:r w:rsidR="009C0325">
              <w:rPr>
                <w:noProof/>
                <w:webHidden/>
              </w:rPr>
              <w:tab/>
            </w:r>
            <w:r w:rsidR="009C0325">
              <w:rPr>
                <w:noProof/>
                <w:webHidden/>
              </w:rPr>
              <w:fldChar w:fldCharType="begin"/>
            </w:r>
            <w:r w:rsidR="009C0325">
              <w:rPr>
                <w:noProof/>
                <w:webHidden/>
              </w:rPr>
              <w:instrText xml:space="preserve"> PAGEREF _Toc36275054 \h </w:instrText>
            </w:r>
            <w:r w:rsidR="009C0325">
              <w:rPr>
                <w:noProof/>
                <w:webHidden/>
              </w:rPr>
            </w:r>
            <w:r w:rsidR="009C0325">
              <w:rPr>
                <w:noProof/>
                <w:webHidden/>
              </w:rPr>
              <w:fldChar w:fldCharType="separate"/>
            </w:r>
            <w:r w:rsidR="009C0325">
              <w:rPr>
                <w:noProof/>
                <w:webHidden/>
              </w:rPr>
              <w:t>53</w:t>
            </w:r>
            <w:r w:rsidR="009C0325">
              <w:rPr>
                <w:noProof/>
                <w:webHidden/>
              </w:rPr>
              <w:fldChar w:fldCharType="end"/>
            </w:r>
          </w:hyperlink>
        </w:p>
        <w:p w14:paraId="31623529" w14:textId="2EC51E3A" w:rsidR="009C0325" w:rsidRDefault="0076636A">
          <w:pPr>
            <w:pStyle w:val="TOC3"/>
            <w:tabs>
              <w:tab w:val="left" w:pos="1320"/>
              <w:tab w:val="right" w:leader="dot" w:pos="8777"/>
            </w:tabs>
            <w:rPr>
              <w:rFonts w:eastAsiaTheme="minorEastAsia"/>
              <w:noProof/>
              <w:lang w:eastAsia="en-GB"/>
            </w:rPr>
          </w:pPr>
          <w:hyperlink w:anchor="_Toc36275055" w:history="1">
            <w:r w:rsidR="009C0325" w:rsidRPr="00190B99">
              <w:rPr>
                <w:rStyle w:val="Hyperlink"/>
                <w:rFonts w:cstheme="minorHAnsi"/>
                <w:noProof/>
              </w:rPr>
              <w:t>3.3.6</w:t>
            </w:r>
            <w:r w:rsidR="009C0325">
              <w:rPr>
                <w:rFonts w:eastAsiaTheme="minorEastAsia"/>
                <w:noProof/>
                <w:lang w:eastAsia="en-GB"/>
              </w:rPr>
              <w:tab/>
            </w:r>
            <w:r w:rsidR="009C0325" w:rsidRPr="00190B99">
              <w:rPr>
                <w:rStyle w:val="Hyperlink"/>
                <w:noProof/>
              </w:rPr>
              <w:t>Criticism of applied ethical theory</w:t>
            </w:r>
            <w:r w:rsidR="009C0325">
              <w:rPr>
                <w:noProof/>
                <w:webHidden/>
              </w:rPr>
              <w:tab/>
            </w:r>
            <w:r w:rsidR="009C0325">
              <w:rPr>
                <w:noProof/>
                <w:webHidden/>
              </w:rPr>
              <w:fldChar w:fldCharType="begin"/>
            </w:r>
            <w:r w:rsidR="009C0325">
              <w:rPr>
                <w:noProof/>
                <w:webHidden/>
              </w:rPr>
              <w:instrText xml:space="preserve"> PAGEREF _Toc36275055 \h </w:instrText>
            </w:r>
            <w:r w:rsidR="009C0325">
              <w:rPr>
                <w:noProof/>
                <w:webHidden/>
              </w:rPr>
            </w:r>
            <w:r w:rsidR="009C0325">
              <w:rPr>
                <w:noProof/>
                <w:webHidden/>
              </w:rPr>
              <w:fldChar w:fldCharType="separate"/>
            </w:r>
            <w:r w:rsidR="009C0325">
              <w:rPr>
                <w:noProof/>
                <w:webHidden/>
              </w:rPr>
              <w:t>55</w:t>
            </w:r>
            <w:r w:rsidR="009C0325">
              <w:rPr>
                <w:noProof/>
                <w:webHidden/>
              </w:rPr>
              <w:fldChar w:fldCharType="end"/>
            </w:r>
          </w:hyperlink>
        </w:p>
        <w:p w14:paraId="1F9E46A1" w14:textId="1C669569" w:rsidR="009C0325" w:rsidRDefault="0076636A">
          <w:pPr>
            <w:pStyle w:val="TOC3"/>
            <w:tabs>
              <w:tab w:val="left" w:pos="1320"/>
              <w:tab w:val="right" w:leader="dot" w:pos="8777"/>
            </w:tabs>
            <w:rPr>
              <w:rFonts w:eastAsiaTheme="minorEastAsia"/>
              <w:noProof/>
              <w:lang w:eastAsia="en-GB"/>
            </w:rPr>
          </w:pPr>
          <w:hyperlink w:anchor="_Toc36275056" w:history="1">
            <w:r w:rsidR="009C0325" w:rsidRPr="00190B99">
              <w:rPr>
                <w:rStyle w:val="Hyperlink"/>
                <w:rFonts w:cstheme="minorHAnsi"/>
                <w:noProof/>
              </w:rPr>
              <w:t>3.3.7</w:t>
            </w:r>
            <w:r w:rsidR="009C0325">
              <w:rPr>
                <w:rFonts w:eastAsiaTheme="minorEastAsia"/>
                <w:noProof/>
                <w:lang w:eastAsia="en-GB"/>
              </w:rPr>
              <w:tab/>
            </w:r>
            <w:r w:rsidR="009C0325" w:rsidRPr="00190B99">
              <w:rPr>
                <w:rStyle w:val="Hyperlink"/>
                <w:noProof/>
              </w:rPr>
              <w:t>Ethics in the NHS</w:t>
            </w:r>
            <w:r w:rsidR="009C0325">
              <w:rPr>
                <w:noProof/>
                <w:webHidden/>
              </w:rPr>
              <w:tab/>
            </w:r>
            <w:r w:rsidR="009C0325">
              <w:rPr>
                <w:noProof/>
                <w:webHidden/>
              </w:rPr>
              <w:fldChar w:fldCharType="begin"/>
            </w:r>
            <w:r w:rsidR="009C0325">
              <w:rPr>
                <w:noProof/>
                <w:webHidden/>
              </w:rPr>
              <w:instrText xml:space="preserve"> PAGEREF _Toc36275056 \h </w:instrText>
            </w:r>
            <w:r w:rsidR="009C0325">
              <w:rPr>
                <w:noProof/>
                <w:webHidden/>
              </w:rPr>
            </w:r>
            <w:r w:rsidR="009C0325">
              <w:rPr>
                <w:noProof/>
                <w:webHidden/>
              </w:rPr>
              <w:fldChar w:fldCharType="separate"/>
            </w:r>
            <w:r w:rsidR="009C0325">
              <w:rPr>
                <w:noProof/>
                <w:webHidden/>
              </w:rPr>
              <w:t>56</w:t>
            </w:r>
            <w:r w:rsidR="009C0325">
              <w:rPr>
                <w:noProof/>
                <w:webHidden/>
              </w:rPr>
              <w:fldChar w:fldCharType="end"/>
            </w:r>
          </w:hyperlink>
        </w:p>
        <w:p w14:paraId="16085513" w14:textId="0CF32D62" w:rsidR="009C0325" w:rsidRDefault="0076636A">
          <w:pPr>
            <w:pStyle w:val="TOC3"/>
            <w:tabs>
              <w:tab w:val="left" w:pos="1320"/>
              <w:tab w:val="right" w:leader="dot" w:pos="8777"/>
            </w:tabs>
            <w:rPr>
              <w:rFonts w:eastAsiaTheme="minorEastAsia"/>
              <w:noProof/>
              <w:lang w:eastAsia="en-GB"/>
            </w:rPr>
          </w:pPr>
          <w:hyperlink w:anchor="_Toc36275057" w:history="1">
            <w:r w:rsidR="009C0325" w:rsidRPr="00190B99">
              <w:rPr>
                <w:rStyle w:val="Hyperlink"/>
                <w:rFonts w:cstheme="minorHAnsi"/>
                <w:noProof/>
              </w:rPr>
              <w:t>3.3.8</w:t>
            </w:r>
            <w:r w:rsidR="009C0325">
              <w:rPr>
                <w:rFonts w:eastAsiaTheme="minorEastAsia"/>
                <w:noProof/>
                <w:lang w:eastAsia="en-GB"/>
              </w:rPr>
              <w:tab/>
            </w:r>
            <w:r w:rsidR="009C0325" w:rsidRPr="00190B99">
              <w:rPr>
                <w:rStyle w:val="Hyperlink"/>
                <w:noProof/>
              </w:rPr>
              <w:t>Ethics in project management and the construction industry</w:t>
            </w:r>
            <w:r w:rsidR="009C0325">
              <w:rPr>
                <w:noProof/>
                <w:webHidden/>
              </w:rPr>
              <w:tab/>
            </w:r>
            <w:r w:rsidR="009C0325">
              <w:rPr>
                <w:noProof/>
                <w:webHidden/>
              </w:rPr>
              <w:fldChar w:fldCharType="begin"/>
            </w:r>
            <w:r w:rsidR="009C0325">
              <w:rPr>
                <w:noProof/>
                <w:webHidden/>
              </w:rPr>
              <w:instrText xml:space="preserve"> PAGEREF _Toc36275057 \h </w:instrText>
            </w:r>
            <w:r w:rsidR="009C0325">
              <w:rPr>
                <w:noProof/>
                <w:webHidden/>
              </w:rPr>
            </w:r>
            <w:r w:rsidR="009C0325">
              <w:rPr>
                <w:noProof/>
                <w:webHidden/>
              </w:rPr>
              <w:fldChar w:fldCharType="separate"/>
            </w:r>
            <w:r w:rsidR="009C0325">
              <w:rPr>
                <w:noProof/>
                <w:webHidden/>
              </w:rPr>
              <w:t>58</w:t>
            </w:r>
            <w:r w:rsidR="009C0325">
              <w:rPr>
                <w:noProof/>
                <w:webHidden/>
              </w:rPr>
              <w:fldChar w:fldCharType="end"/>
            </w:r>
          </w:hyperlink>
        </w:p>
        <w:p w14:paraId="58B4716C" w14:textId="27B12CEC" w:rsidR="009C0325" w:rsidRDefault="0076636A">
          <w:pPr>
            <w:pStyle w:val="TOC2"/>
            <w:tabs>
              <w:tab w:val="left" w:pos="880"/>
              <w:tab w:val="right" w:leader="dot" w:pos="8777"/>
            </w:tabs>
            <w:rPr>
              <w:rFonts w:eastAsiaTheme="minorEastAsia"/>
              <w:noProof/>
              <w:lang w:eastAsia="en-GB"/>
            </w:rPr>
          </w:pPr>
          <w:hyperlink w:anchor="_Toc36275058" w:history="1">
            <w:r w:rsidR="009C0325" w:rsidRPr="00190B99">
              <w:rPr>
                <w:rStyle w:val="Hyperlink"/>
                <w:bCs/>
                <w:noProof/>
              </w:rPr>
              <w:t>3.4</w:t>
            </w:r>
            <w:r w:rsidR="009C0325">
              <w:rPr>
                <w:rFonts w:eastAsiaTheme="minorEastAsia"/>
                <w:noProof/>
                <w:lang w:eastAsia="en-GB"/>
              </w:rPr>
              <w:tab/>
            </w:r>
            <w:r w:rsidR="009C0325" w:rsidRPr="00190B99">
              <w:rPr>
                <w:rStyle w:val="Hyperlink"/>
                <w:noProof/>
              </w:rPr>
              <w:t>Concluding remarks</w:t>
            </w:r>
            <w:r w:rsidR="009C0325">
              <w:rPr>
                <w:noProof/>
                <w:webHidden/>
              </w:rPr>
              <w:tab/>
            </w:r>
            <w:r w:rsidR="009C0325">
              <w:rPr>
                <w:noProof/>
                <w:webHidden/>
              </w:rPr>
              <w:fldChar w:fldCharType="begin"/>
            </w:r>
            <w:r w:rsidR="009C0325">
              <w:rPr>
                <w:noProof/>
                <w:webHidden/>
              </w:rPr>
              <w:instrText xml:space="preserve"> PAGEREF _Toc36275058 \h </w:instrText>
            </w:r>
            <w:r w:rsidR="009C0325">
              <w:rPr>
                <w:noProof/>
                <w:webHidden/>
              </w:rPr>
            </w:r>
            <w:r w:rsidR="009C0325">
              <w:rPr>
                <w:noProof/>
                <w:webHidden/>
              </w:rPr>
              <w:fldChar w:fldCharType="separate"/>
            </w:r>
            <w:r w:rsidR="009C0325">
              <w:rPr>
                <w:noProof/>
                <w:webHidden/>
              </w:rPr>
              <w:t>59</w:t>
            </w:r>
            <w:r w:rsidR="009C0325">
              <w:rPr>
                <w:noProof/>
                <w:webHidden/>
              </w:rPr>
              <w:fldChar w:fldCharType="end"/>
            </w:r>
          </w:hyperlink>
        </w:p>
        <w:p w14:paraId="1D702CEE" w14:textId="0CA65607" w:rsidR="009C0325" w:rsidRDefault="0076636A">
          <w:pPr>
            <w:pStyle w:val="TOC1"/>
            <w:rPr>
              <w:rFonts w:eastAsiaTheme="minorEastAsia"/>
              <w:noProof/>
              <w:lang w:eastAsia="en-GB"/>
            </w:rPr>
          </w:pPr>
          <w:hyperlink w:anchor="_Toc36275059" w:history="1">
            <w:r w:rsidR="009C0325" w:rsidRPr="00190B99">
              <w:rPr>
                <w:rStyle w:val="Hyperlink"/>
                <w:noProof/>
              </w:rPr>
              <w:t>4</w:t>
            </w:r>
            <w:r w:rsidR="009C0325">
              <w:rPr>
                <w:rFonts w:eastAsiaTheme="minorEastAsia"/>
                <w:noProof/>
                <w:lang w:eastAsia="en-GB"/>
              </w:rPr>
              <w:tab/>
            </w:r>
            <w:r w:rsidR="009C0325" w:rsidRPr="00190B99">
              <w:rPr>
                <w:rStyle w:val="Hyperlink"/>
                <w:noProof/>
              </w:rPr>
              <w:t>Literature Review: Corporate and Project Governance</w:t>
            </w:r>
            <w:r w:rsidR="009C0325">
              <w:rPr>
                <w:noProof/>
                <w:webHidden/>
              </w:rPr>
              <w:tab/>
            </w:r>
            <w:r w:rsidR="009C0325">
              <w:rPr>
                <w:noProof/>
                <w:webHidden/>
              </w:rPr>
              <w:fldChar w:fldCharType="begin"/>
            </w:r>
            <w:r w:rsidR="009C0325">
              <w:rPr>
                <w:noProof/>
                <w:webHidden/>
              </w:rPr>
              <w:instrText xml:space="preserve"> PAGEREF _Toc36275059 \h </w:instrText>
            </w:r>
            <w:r w:rsidR="009C0325">
              <w:rPr>
                <w:noProof/>
                <w:webHidden/>
              </w:rPr>
            </w:r>
            <w:r w:rsidR="009C0325">
              <w:rPr>
                <w:noProof/>
                <w:webHidden/>
              </w:rPr>
              <w:fldChar w:fldCharType="separate"/>
            </w:r>
            <w:r w:rsidR="009C0325">
              <w:rPr>
                <w:noProof/>
                <w:webHidden/>
              </w:rPr>
              <w:t>60</w:t>
            </w:r>
            <w:r w:rsidR="009C0325">
              <w:rPr>
                <w:noProof/>
                <w:webHidden/>
              </w:rPr>
              <w:fldChar w:fldCharType="end"/>
            </w:r>
          </w:hyperlink>
        </w:p>
        <w:p w14:paraId="73786121" w14:textId="7EB59BD8" w:rsidR="009C0325" w:rsidRDefault="0076636A">
          <w:pPr>
            <w:pStyle w:val="TOC2"/>
            <w:tabs>
              <w:tab w:val="left" w:pos="880"/>
              <w:tab w:val="right" w:leader="dot" w:pos="8777"/>
            </w:tabs>
            <w:rPr>
              <w:rFonts w:eastAsiaTheme="minorEastAsia"/>
              <w:noProof/>
              <w:lang w:eastAsia="en-GB"/>
            </w:rPr>
          </w:pPr>
          <w:hyperlink w:anchor="_Toc36275060" w:history="1">
            <w:r w:rsidR="009C0325" w:rsidRPr="00190B99">
              <w:rPr>
                <w:rStyle w:val="Hyperlink"/>
                <w:bCs/>
                <w:noProof/>
              </w:rPr>
              <w:t>4.1</w:t>
            </w:r>
            <w:r w:rsidR="009C0325">
              <w:rPr>
                <w:rFonts w:eastAsiaTheme="minorEastAsia"/>
                <w:noProof/>
                <w:lang w:eastAsia="en-GB"/>
              </w:rPr>
              <w:tab/>
            </w:r>
            <w:r w:rsidR="009C0325" w:rsidRPr="00190B99">
              <w:rPr>
                <w:rStyle w:val="Hyperlink"/>
                <w:noProof/>
              </w:rPr>
              <w:t>Introduction</w:t>
            </w:r>
            <w:r w:rsidR="009C0325">
              <w:rPr>
                <w:noProof/>
                <w:webHidden/>
              </w:rPr>
              <w:tab/>
            </w:r>
            <w:r w:rsidR="009C0325">
              <w:rPr>
                <w:noProof/>
                <w:webHidden/>
              </w:rPr>
              <w:fldChar w:fldCharType="begin"/>
            </w:r>
            <w:r w:rsidR="009C0325">
              <w:rPr>
                <w:noProof/>
                <w:webHidden/>
              </w:rPr>
              <w:instrText xml:space="preserve"> PAGEREF _Toc36275060 \h </w:instrText>
            </w:r>
            <w:r w:rsidR="009C0325">
              <w:rPr>
                <w:noProof/>
                <w:webHidden/>
              </w:rPr>
            </w:r>
            <w:r w:rsidR="009C0325">
              <w:rPr>
                <w:noProof/>
                <w:webHidden/>
              </w:rPr>
              <w:fldChar w:fldCharType="separate"/>
            </w:r>
            <w:r w:rsidR="009C0325">
              <w:rPr>
                <w:noProof/>
                <w:webHidden/>
              </w:rPr>
              <w:t>60</w:t>
            </w:r>
            <w:r w:rsidR="009C0325">
              <w:rPr>
                <w:noProof/>
                <w:webHidden/>
              </w:rPr>
              <w:fldChar w:fldCharType="end"/>
            </w:r>
          </w:hyperlink>
        </w:p>
        <w:p w14:paraId="6C331171" w14:textId="0A8B6351" w:rsidR="009C0325" w:rsidRDefault="0076636A">
          <w:pPr>
            <w:pStyle w:val="TOC2"/>
            <w:tabs>
              <w:tab w:val="left" w:pos="880"/>
              <w:tab w:val="right" w:leader="dot" w:pos="8777"/>
            </w:tabs>
            <w:rPr>
              <w:rFonts w:eastAsiaTheme="minorEastAsia"/>
              <w:noProof/>
              <w:lang w:eastAsia="en-GB"/>
            </w:rPr>
          </w:pPr>
          <w:hyperlink w:anchor="_Toc36275061" w:history="1">
            <w:r w:rsidR="009C0325" w:rsidRPr="00190B99">
              <w:rPr>
                <w:rStyle w:val="Hyperlink"/>
                <w:bCs/>
                <w:noProof/>
              </w:rPr>
              <w:t>4.2</w:t>
            </w:r>
            <w:r w:rsidR="009C0325">
              <w:rPr>
                <w:rFonts w:eastAsiaTheme="minorEastAsia"/>
                <w:noProof/>
                <w:lang w:eastAsia="en-GB"/>
              </w:rPr>
              <w:tab/>
            </w:r>
            <w:r w:rsidR="009C0325" w:rsidRPr="00190B99">
              <w:rPr>
                <w:rStyle w:val="Hyperlink"/>
                <w:noProof/>
              </w:rPr>
              <w:t>Organisational theories</w:t>
            </w:r>
            <w:r w:rsidR="009C0325">
              <w:rPr>
                <w:noProof/>
                <w:webHidden/>
              </w:rPr>
              <w:tab/>
            </w:r>
            <w:r w:rsidR="009C0325">
              <w:rPr>
                <w:noProof/>
                <w:webHidden/>
              </w:rPr>
              <w:fldChar w:fldCharType="begin"/>
            </w:r>
            <w:r w:rsidR="009C0325">
              <w:rPr>
                <w:noProof/>
                <w:webHidden/>
              </w:rPr>
              <w:instrText xml:space="preserve"> PAGEREF _Toc36275061 \h </w:instrText>
            </w:r>
            <w:r w:rsidR="009C0325">
              <w:rPr>
                <w:noProof/>
                <w:webHidden/>
              </w:rPr>
            </w:r>
            <w:r w:rsidR="009C0325">
              <w:rPr>
                <w:noProof/>
                <w:webHidden/>
              </w:rPr>
              <w:fldChar w:fldCharType="separate"/>
            </w:r>
            <w:r w:rsidR="009C0325">
              <w:rPr>
                <w:noProof/>
                <w:webHidden/>
              </w:rPr>
              <w:t>60</w:t>
            </w:r>
            <w:r w:rsidR="009C0325">
              <w:rPr>
                <w:noProof/>
                <w:webHidden/>
              </w:rPr>
              <w:fldChar w:fldCharType="end"/>
            </w:r>
          </w:hyperlink>
        </w:p>
        <w:p w14:paraId="7E310FF6" w14:textId="33563D9D" w:rsidR="009C0325" w:rsidRDefault="0076636A">
          <w:pPr>
            <w:pStyle w:val="TOC3"/>
            <w:tabs>
              <w:tab w:val="left" w:pos="1320"/>
              <w:tab w:val="right" w:leader="dot" w:pos="8777"/>
            </w:tabs>
            <w:rPr>
              <w:rFonts w:eastAsiaTheme="minorEastAsia"/>
              <w:noProof/>
              <w:lang w:eastAsia="en-GB"/>
            </w:rPr>
          </w:pPr>
          <w:hyperlink w:anchor="_Toc36275062" w:history="1">
            <w:r w:rsidR="009C0325" w:rsidRPr="00190B99">
              <w:rPr>
                <w:rStyle w:val="Hyperlink"/>
                <w:rFonts w:cstheme="minorHAnsi"/>
                <w:noProof/>
              </w:rPr>
              <w:t>4.2.1</w:t>
            </w:r>
            <w:r w:rsidR="009C0325">
              <w:rPr>
                <w:rFonts w:eastAsiaTheme="minorEastAsia"/>
                <w:noProof/>
                <w:lang w:eastAsia="en-GB"/>
              </w:rPr>
              <w:tab/>
            </w:r>
            <w:r w:rsidR="009C0325" w:rsidRPr="00190B99">
              <w:rPr>
                <w:rStyle w:val="Hyperlink"/>
                <w:noProof/>
              </w:rPr>
              <w:t>Agency theory</w:t>
            </w:r>
            <w:r w:rsidR="009C0325">
              <w:rPr>
                <w:noProof/>
                <w:webHidden/>
              </w:rPr>
              <w:tab/>
            </w:r>
            <w:r w:rsidR="009C0325">
              <w:rPr>
                <w:noProof/>
                <w:webHidden/>
              </w:rPr>
              <w:fldChar w:fldCharType="begin"/>
            </w:r>
            <w:r w:rsidR="009C0325">
              <w:rPr>
                <w:noProof/>
                <w:webHidden/>
              </w:rPr>
              <w:instrText xml:space="preserve"> PAGEREF _Toc36275062 \h </w:instrText>
            </w:r>
            <w:r w:rsidR="009C0325">
              <w:rPr>
                <w:noProof/>
                <w:webHidden/>
              </w:rPr>
            </w:r>
            <w:r w:rsidR="009C0325">
              <w:rPr>
                <w:noProof/>
                <w:webHidden/>
              </w:rPr>
              <w:fldChar w:fldCharType="separate"/>
            </w:r>
            <w:r w:rsidR="009C0325">
              <w:rPr>
                <w:noProof/>
                <w:webHidden/>
              </w:rPr>
              <w:t>60</w:t>
            </w:r>
            <w:r w:rsidR="009C0325">
              <w:rPr>
                <w:noProof/>
                <w:webHidden/>
              </w:rPr>
              <w:fldChar w:fldCharType="end"/>
            </w:r>
          </w:hyperlink>
        </w:p>
        <w:p w14:paraId="3B3E5092" w14:textId="5F7293A6" w:rsidR="009C0325" w:rsidRDefault="0076636A">
          <w:pPr>
            <w:pStyle w:val="TOC3"/>
            <w:tabs>
              <w:tab w:val="left" w:pos="1320"/>
              <w:tab w:val="right" w:leader="dot" w:pos="8777"/>
            </w:tabs>
            <w:rPr>
              <w:rFonts w:eastAsiaTheme="minorEastAsia"/>
              <w:noProof/>
              <w:lang w:eastAsia="en-GB"/>
            </w:rPr>
          </w:pPr>
          <w:hyperlink w:anchor="_Toc36275063" w:history="1">
            <w:r w:rsidR="009C0325" w:rsidRPr="00190B99">
              <w:rPr>
                <w:rStyle w:val="Hyperlink"/>
                <w:rFonts w:cstheme="minorHAnsi"/>
                <w:noProof/>
              </w:rPr>
              <w:t>4.2.2</w:t>
            </w:r>
            <w:r w:rsidR="009C0325">
              <w:rPr>
                <w:rFonts w:eastAsiaTheme="minorEastAsia"/>
                <w:noProof/>
                <w:lang w:eastAsia="en-GB"/>
              </w:rPr>
              <w:tab/>
            </w:r>
            <w:r w:rsidR="009C0325" w:rsidRPr="00190B99">
              <w:rPr>
                <w:rStyle w:val="Hyperlink"/>
                <w:rFonts w:cstheme="minorHAnsi"/>
                <w:noProof/>
              </w:rPr>
              <w:t>Stewardship theory</w:t>
            </w:r>
            <w:r w:rsidR="009C0325">
              <w:rPr>
                <w:noProof/>
                <w:webHidden/>
              </w:rPr>
              <w:tab/>
            </w:r>
            <w:r w:rsidR="009C0325">
              <w:rPr>
                <w:noProof/>
                <w:webHidden/>
              </w:rPr>
              <w:fldChar w:fldCharType="begin"/>
            </w:r>
            <w:r w:rsidR="009C0325">
              <w:rPr>
                <w:noProof/>
                <w:webHidden/>
              </w:rPr>
              <w:instrText xml:space="preserve"> PAGEREF _Toc36275063 \h </w:instrText>
            </w:r>
            <w:r w:rsidR="009C0325">
              <w:rPr>
                <w:noProof/>
                <w:webHidden/>
              </w:rPr>
            </w:r>
            <w:r w:rsidR="009C0325">
              <w:rPr>
                <w:noProof/>
                <w:webHidden/>
              </w:rPr>
              <w:fldChar w:fldCharType="separate"/>
            </w:r>
            <w:r w:rsidR="009C0325">
              <w:rPr>
                <w:noProof/>
                <w:webHidden/>
              </w:rPr>
              <w:t>63</w:t>
            </w:r>
            <w:r w:rsidR="009C0325">
              <w:rPr>
                <w:noProof/>
                <w:webHidden/>
              </w:rPr>
              <w:fldChar w:fldCharType="end"/>
            </w:r>
          </w:hyperlink>
        </w:p>
        <w:p w14:paraId="60A5C2C9" w14:textId="5642108B" w:rsidR="009C0325" w:rsidRDefault="0076636A">
          <w:pPr>
            <w:pStyle w:val="TOC3"/>
            <w:tabs>
              <w:tab w:val="left" w:pos="1320"/>
              <w:tab w:val="right" w:leader="dot" w:pos="8777"/>
            </w:tabs>
            <w:rPr>
              <w:rFonts w:eastAsiaTheme="minorEastAsia"/>
              <w:noProof/>
              <w:lang w:eastAsia="en-GB"/>
            </w:rPr>
          </w:pPr>
          <w:hyperlink w:anchor="_Toc36275064" w:history="1">
            <w:r w:rsidR="009C0325" w:rsidRPr="00190B99">
              <w:rPr>
                <w:rStyle w:val="Hyperlink"/>
                <w:rFonts w:cstheme="minorHAnsi"/>
                <w:noProof/>
              </w:rPr>
              <w:t>4.2.3</w:t>
            </w:r>
            <w:r w:rsidR="009C0325">
              <w:rPr>
                <w:rFonts w:eastAsiaTheme="minorEastAsia"/>
                <w:noProof/>
                <w:lang w:eastAsia="en-GB"/>
              </w:rPr>
              <w:tab/>
            </w:r>
            <w:r w:rsidR="009C0325" w:rsidRPr="00190B99">
              <w:rPr>
                <w:rStyle w:val="Hyperlink"/>
                <w:rFonts w:cstheme="minorHAnsi"/>
                <w:noProof/>
              </w:rPr>
              <w:t>Stakeholder theory</w:t>
            </w:r>
            <w:r w:rsidR="009C0325">
              <w:rPr>
                <w:noProof/>
                <w:webHidden/>
              </w:rPr>
              <w:tab/>
            </w:r>
            <w:r w:rsidR="009C0325">
              <w:rPr>
                <w:noProof/>
                <w:webHidden/>
              </w:rPr>
              <w:fldChar w:fldCharType="begin"/>
            </w:r>
            <w:r w:rsidR="009C0325">
              <w:rPr>
                <w:noProof/>
                <w:webHidden/>
              </w:rPr>
              <w:instrText xml:space="preserve"> PAGEREF _Toc36275064 \h </w:instrText>
            </w:r>
            <w:r w:rsidR="009C0325">
              <w:rPr>
                <w:noProof/>
                <w:webHidden/>
              </w:rPr>
            </w:r>
            <w:r w:rsidR="009C0325">
              <w:rPr>
                <w:noProof/>
                <w:webHidden/>
              </w:rPr>
              <w:fldChar w:fldCharType="separate"/>
            </w:r>
            <w:r w:rsidR="009C0325">
              <w:rPr>
                <w:noProof/>
                <w:webHidden/>
              </w:rPr>
              <w:t>65</w:t>
            </w:r>
            <w:r w:rsidR="009C0325">
              <w:rPr>
                <w:noProof/>
                <w:webHidden/>
              </w:rPr>
              <w:fldChar w:fldCharType="end"/>
            </w:r>
          </w:hyperlink>
        </w:p>
        <w:p w14:paraId="522E7960" w14:textId="2781F450" w:rsidR="009C0325" w:rsidRDefault="0076636A">
          <w:pPr>
            <w:pStyle w:val="TOC2"/>
            <w:tabs>
              <w:tab w:val="left" w:pos="880"/>
              <w:tab w:val="right" w:leader="dot" w:pos="8777"/>
            </w:tabs>
            <w:rPr>
              <w:rFonts w:eastAsiaTheme="minorEastAsia"/>
              <w:noProof/>
              <w:lang w:eastAsia="en-GB"/>
            </w:rPr>
          </w:pPr>
          <w:hyperlink w:anchor="_Toc36275065" w:history="1">
            <w:r w:rsidR="009C0325" w:rsidRPr="00190B99">
              <w:rPr>
                <w:rStyle w:val="Hyperlink"/>
                <w:bCs/>
                <w:noProof/>
              </w:rPr>
              <w:t>4.3</w:t>
            </w:r>
            <w:r w:rsidR="009C0325">
              <w:rPr>
                <w:rFonts w:eastAsiaTheme="minorEastAsia"/>
                <w:noProof/>
                <w:lang w:eastAsia="en-GB"/>
              </w:rPr>
              <w:tab/>
            </w:r>
            <w:r w:rsidR="009C0325" w:rsidRPr="00190B99">
              <w:rPr>
                <w:rStyle w:val="Hyperlink"/>
                <w:noProof/>
              </w:rPr>
              <w:t>Corporate governance</w:t>
            </w:r>
            <w:r w:rsidR="009C0325">
              <w:rPr>
                <w:noProof/>
                <w:webHidden/>
              </w:rPr>
              <w:tab/>
            </w:r>
            <w:r w:rsidR="009C0325">
              <w:rPr>
                <w:noProof/>
                <w:webHidden/>
              </w:rPr>
              <w:fldChar w:fldCharType="begin"/>
            </w:r>
            <w:r w:rsidR="009C0325">
              <w:rPr>
                <w:noProof/>
                <w:webHidden/>
              </w:rPr>
              <w:instrText xml:space="preserve"> PAGEREF _Toc36275065 \h </w:instrText>
            </w:r>
            <w:r w:rsidR="009C0325">
              <w:rPr>
                <w:noProof/>
                <w:webHidden/>
              </w:rPr>
            </w:r>
            <w:r w:rsidR="009C0325">
              <w:rPr>
                <w:noProof/>
                <w:webHidden/>
              </w:rPr>
              <w:fldChar w:fldCharType="separate"/>
            </w:r>
            <w:r w:rsidR="009C0325">
              <w:rPr>
                <w:noProof/>
                <w:webHidden/>
              </w:rPr>
              <w:t>67</w:t>
            </w:r>
            <w:r w:rsidR="009C0325">
              <w:rPr>
                <w:noProof/>
                <w:webHidden/>
              </w:rPr>
              <w:fldChar w:fldCharType="end"/>
            </w:r>
          </w:hyperlink>
        </w:p>
        <w:p w14:paraId="5BF34857" w14:textId="3530474A" w:rsidR="009C0325" w:rsidRDefault="0076636A">
          <w:pPr>
            <w:pStyle w:val="TOC3"/>
            <w:tabs>
              <w:tab w:val="left" w:pos="1320"/>
              <w:tab w:val="right" w:leader="dot" w:pos="8777"/>
            </w:tabs>
            <w:rPr>
              <w:rFonts w:eastAsiaTheme="minorEastAsia"/>
              <w:noProof/>
              <w:lang w:eastAsia="en-GB"/>
            </w:rPr>
          </w:pPr>
          <w:hyperlink w:anchor="_Toc36275066" w:history="1">
            <w:r w:rsidR="009C0325" w:rsidRPr="00190B99">
              <w:rPr>
                <w:rStyle w:val="Hyperlink"/>
                <w:rFonts w:cstheme="minorHAnsi"/>
                <w:noProof/>
              </w:rPr>
              <w:t>4.3.1</w:t>
            </w:r>
            <w:r w:rsidR="009C0325">
              <w:rPr>
                <w:rFonts w:eastAsiaTheme="minorEastAsia"/>
                <w:noProof/>
                <w:lang w:eastAsia="en-GB"/>
              </w:rPr>
              <w:tab/>
            </w:r>
            <w:r w:rsidR="009C0325" w:rsidRPr="00190B99">
              <w:rPr>
                <w:rStyle w:val="Hyperlink"/>
                <w:noProof/>
              </w:rPr>
              <w:t>Definition of corporate governance</w:t>
            </w:r>
            <w:r w:rsidR="009C0325">
              <w:rPr>
                <w:noProof/>
                <w:webHidden/>
              </w:rPr>
              <w:tab/>
            </w:r>
            <w:r w:rsidR="009C0325">
              <w:rPr>
                <w:noProof/>
                <w:webHidden/>
              </w:rPr>
              <w:fldChar w:fldCharType="begin"/>
            </w:r>
            <w:r w:rsidR="009C0325">
              <w:rPr>
                <w:noProof/>
                <w:webHidden/>
              </w:rPr>
              <w:instrText xml:space="preserve"> PAGEREF _Toc36275066 \h </w:instrText>
            </w:r>
            <w:r w:rsidR="009C0325">
              <w:rPr>
                <w:noProof/>
                <w:webHidden/>
              </w:rPr>
            </w:r>
            <w:r w:rsidR="009C0325">
              <w:rPr>
                <w:noProof/>
                <w:webHidden/>
              </w:rPr>
              <w:fldChar w:fldCharType="separate"/>
            </w:r>
            <w:r w:rsidR="009C0325">
              <w:rPr>
                <w:noProof/>
                <w:webHidden/>
              </w:rPr>
              <w:t>67</w:t>
            </w:r>
            <w:r w:rsidR="009C0325">
              <w:rPr>
                <w:noProof/>
                <w:webHidden/>
              </w:rPr>
              <w:fldChar w:fldCharType="end"/>
            </w:r>
          </w:hyperlink>
        </w:p>
        <w:p w14:paraId="1F2B2419" w14:textId="48B2ADBB" w:rsidR="009C0325" w:rsidRDefault="0076636A">
          <w:pPr>
            <w:pStyle w:val="TOC3"/>
            <w:tabs>
              <w:tab w:val="left" w:pos="1320"/>
              <w:tab w:val="right" w:leader="dot" w:pos="8777"/>
            </w:tabs>
            <w:rPr>
              <w:rFonts w:eastAsiaTheme="minorEastAsia"/>
              <w:noProof/>
              <w:lang w:eastAsia="en-GB"/>
            </w:rPr>
          </w:pPr>
          <w:hyperlink w:anchor="_Toc36275067" w:history="1">
            <w:r w:rsidR="009C0325" w:rsidRPr="00190B99">
              <w:rPr>
                <w:rStyle w:val="Hyperlink"/>
                <w:rFonts w:cstheme="minorHAnsi"/>
                <w:noProof/>
              </w:rPr>
              <w:t>4.3.2</w:t>
            </w:r>
            <w:r w:rsidR="009C0325">
              <w:rPr>
                <w:rFonts w:eastAsiaTheme="minorEastAsia"/>
                <w:noProof/>
                <w:lang w:eastAsia="en-GB"/>
              </w:rPr>
              <w:tab/>
            </w:r>
            <w:r w:rsidR="009C0325" w:rsidRPr="00190B99">
              <w:rPr>
                <w:rStyle w:val="Hyperlink"/>
                <w:noProof/>
              </w:rPr>
              <w:t>The need for corporate governance</w:t>
            </w:r>
            <w:r w:rsidR="009C0325">
              <w:rPr>
                <w:noProof/>
                <w:webHidden/>
              </w:rPr>
              <w:tab/>
            </w:r>
            <w:r w:rsidR="009C0325">
              <w:rPr>
                <w:noProof/>
                <w:webHidden/>
              </w:rPr>
              <w:fldChar w:fldCharType="begin"/>
            </w:r>
            <w:r w:rsidR="009C0325">
              <w:rPr>
                <w:noProof/>
                <w:webHidden/>
              </w:rPr>
              <w:instrText xml:space="preserve"> PAGEREF _Toc36275067 \h </w:instrText>
            </w:r>
            <w:r w:rsidR="009C0325">
              <w:rPr>
                <w:noProof/>
                <w:webHidden/>
              </w:rPr>
            </w:r>
            <w:r w:rsidR="009C0325">
              <w:rPr>
                <w:noProof/>
                <w:webHidden/>
              </w:rPr>
              <w:fldChar w:fldCharType="separate"/>
            </w:r>
            <w:r w:rsidR="009C0325">
              <w:rPr>
                <w:noProof/>
                <w:webHidden/>
              </w:rPr>
              <w:t>70</w:t>
            </w:r>
            <w:r w:rsidR="009C0325">
              <w:rPr>
                <w:noProof/>
                <w:webHidden/>
              </w:rPr>
              <w:fldChar w:fldCharType="end"/>
            </w:r>
          </w:hyperlink>
        </w:p>
        <w:p w14:paraId="55149B89" w14:textId="4E13791B" w:rsidR="009C0325" w:rsidRDefault="0076636A">
          <w:pPr>
            <w:pStyle w:val="TOC3"/>
            <w:tabs>
              <w:tab w:val="left" w:pos="1320"/>
              <w:tab w:val="right" w:leader="dot" w:pos="8777"/>
            </w:tabs>
            <w:rPr>
              <w:rFonts w:eastAsiaTheme="minorEastAsia"/>
              <w:noProof/>
              <w:lang w:eastAsia="en-GB"/>
            </w:rPr>
          </w:pPr>
          <w:hyperlink w:anchor="_Toc36275068" w:history="1">
            <w:r w:rsidR="009C0325" w:rsidRPr="00190B99">
              <w:rPr>
                <w:rStyle w:val="Hyperlink"/>
                <w:rFonts w:cstheme="minorHAnsi"/>
                <w:noProof/>
              </w:rPr>
              <w:t>4.3.3</w:t>
            </w:r>
            <w:r w:rsidR="009C0325">
              <w:rPr>
                <w:rFonts w:eastAsiaTheme="minorEastAsia"/>
                <w:noProof/>
                <w:lang w:eastAsia="en-GB"/>
              </w:rPr>
              <w:tab/>
            </w:r>
            <w:r w:rsidR="009C0325" w:rsidRPr="00190B99">
              <w:rPr>
                <w:rStyle w:val="Hyperlink"/>
                <w:noProof/>
              </w:rPr>
              <w:t>Relationship between corporate governance and success</w:t>
            </w:r>
            <w:r w:rsidR="009C0325">
              <w:rPr>
                <w:noProof/>
                <w:webHidden/>
              </w:rPr>
              <w:tab/>
            </w:r>
            <w:r w:rsidR="009C0325">
              <w:rPr>
                <w:noProof/>
                <w:webHidden/>
              </w:rPr>
              <w:fldChar w:fldCharType="begin"/>
            </w:r>
            <w:r w:rsidR="009C0325">
              <w:rPr>
                <w:noProof/>
                <w:webHidden/>
              </w:rPr>
              <w:instrText xml:space="preserve"> PAGEREF _Toc36275068 \h </w:instrText>
            </w:r>
            <w:r w:rsidR="009C0325">
              <w:rPr>
                <w:noProof/>
                <w:webHidden/>
              </w:rPr>
            </w:r>
            <w:r w:rsidR="009C0325">
              <w:rPr>
                <w:noProof/>
                <w:webHidden/>
              </w:rPr>
              <w:fldChar w:fldCharType="separate"/>
            </w:r>
            <w:r w:rsidR="009C0325">
              <w:rPr>
                <w:noProof/>
                <w:webHidden/>
              </w:rPr>
              <w:t>71</w:t>
            </w:r>
            <w:r w:rsidR="009C0325">
              <w:rPr>
                <w:noProof/>
                <w:webHidden/>
              </w:rPr>
              <w:fldChar w:fldCharType="end"/>
            </w:r>
          </w:hyperlink>
        </w:p>
        <w:p w14:paraId="129FC96A" w14:textId="7BCB105E" w:rsidR="009C0325" w:rsidRDefault="0076636A">
          <w:pPr>
            <w:pStyle w:val="TOC3"/>
            <w:tabs>
              <w:tab w:val="left" w:pos="1320"/>
              <w:tab w:val="right" w:leader="dot" w:pos="8777"/>
            </w:tabs>
            <w:rPr>
              <w:rFonts w:eastAsiaTheme="minorEastAsia"/>
              <w:noProof/>
              <w:lang w:eastAsia="en-GB"/>
            </w:rPr>
          </w:pPr>
          <w:hyperlink w:anchor="_Toc36275069" w:history="1">
            <w:r w:rsidR="009C0325" w:rsidRPr="00190B99">
              <w:rPr>
                <w:rStyle w:val="Hyperlink"/>
                <w:rFonts w:cstheme="minorHAnsi"/>
                <w:noProof/>
              </w:rPr>
              <w:t>4.3.4</w:t>
            </w:r>
            <w:r w:rsidR="009C0325">
              <w:rPr>
                <w:rFonts w:eastAsiaTheme="minorEastAsia"/>
                <w:noProof/>
                <w:lang w:eastAsia="en-GB"/>
              </w:rPr>
              <w:tab/>
            </w:r>
            <w:r w:rsidR="009C0325" w:rsidRPr="00190B99">
              <w:rPr>
                <w:rStyle w:val="Hyperlink"/>
                <w:bCs/>
                <w:noProof/>
              </w:rPr>
              <w:t>Private and public go</w:t>
            </w:r>
            <w:r w:rsidR="009C0325" w:rsidRPr="00190B99">
              <w:rPr>
                <w:rStyle w:val="Hyperlink"/>
                <w:noProof/>
              </w:rPr>
              <w:t>vernance failures</w:t>
            </w:r>
            <w:r w:rsidR="009C0325">
              <w:rPr>
                <w:noProof/>
                <w:webHidden/>
              </w:rPr>
              <w:tab/>
            </w:r>
            <w:r w:rsidR="009C0325">
              <w:rPr>
                <w:noProof/>
                <w:webHidden/>
              </w:rPr>
              <w:fldChar w:fldCharType="begin"/>
            </w:r>
            <w:r w:rsidR="009C0325">
              <w:rPr>
                <w:noProof/>
                <w:webHidden/>
              </w:rPr>
              <w:instrText xml:space="preserve"> PAGEREF _Toc36275069 \h </w:instrText>
            </w:r>
            <w:r w:rsidR="009C0325">
              <w:rPr>
                <w:noProof/>
                <w:webHidden/>
              </w:rPr>
            </w:r>
            <w:r w:rsidR="009C0325">
              <w:rPr>
                <w:noProof/>
                <w:webHidden/>
              </w:rPr>
              <w:fldChar w:fldCharType="separate"/>
            </w:r>
            <w:r w:rsidR="009C0325">
              <w:rPr>
                <w:noProof/>
                <w:webHidden/>
              </w:rPr>
              <w:t>72</w:t>
            </w:r>
            <w:r w:rsidR="009C0325">
              <w:rPr>
                <w:noProof/>
                <w:webHidden/>
              </w:rPr>
              <w:fldChar w:fldCharType="end"/>
            </w:r>
          </w:hyperlink>
        </w:p>
        <w:p w14:paraId="16FE978A" w14:textId="6C531190" w:rsidR="009C0325" w:rsidRDefault="0076636A">
          <w:pPr>
            <w:pStyle w:val="TOC3"/>
            <w:tabs>
              <w:tab w:val="left" w:pos="1320"/>
              <w:tab w:val="right" w:leader="dot" w:pos="8777"/>
            </w:tabs>
            <w:rPr>
              <w:rFonts w:eastAsiaTheme="minorEastAsia"/>
              <w:noProof/>
              <w:lang w:eastAsia="en-GB"/>
            </w:rPr>
          </w:pPr>
          <w:hyperlink w:anchor="_Toc36275070" w:history="1">
            <w:r w:rsidR="009C0325" w:rsidRPr="00190B99">
              <w:rPr>
                <w:rStyle w:val="Hyperlink"/>
                <w:rFonts w:cstheme="minorHAnsi"/>
                <w:noProof/>
              </w:rPr>
              <w:t>4.3.5</w:t>
            </w:r>
            <w:r w:rsidR="009C0325">
              <w:rPr>
                <w:rFonts w:eastAsiaTheme="minorEastAsia"/>
                <w:noProof/>
                <w:lang w:eastAsia="en-GB"/>
              </w:rPr>
              <w:tab/>
            </w:r>
            <w:r w:rsidR="009C0325" w:rsidRPr="00190B99">
              <w:rPr>
                <w:rStyle w:val="Hyperlink"/>
                <w:noProof/>
              </w:rPr>
              <w:t>UK Government responses to governance failures</w:t>
            </w:r>
            <w:r w:rsidR="009C0325">
              <w:rPr>
                <w:noProof/>
                <w:webHidden/>
              </w:rPr>
              <w:tab/>
            </w:r>
            <w:r w:rsidR="009C0325">
              <w:rPr>
                <w:noProof/>
                <w:webHidden/>
              </w:rPr>
              <w:fldChar w:fldCharType="begin"/>
            </w:r>
            <w:r w:rsidR="009C0325">
              <w:rPr>
                <w:noProof/>
                <w:webHidden/>
              </w:rPr>
              <w:instrText xml:space="preserve"> PAGEREF _Toc36275070 \h </w:instrText>
            </w:r>
            <w:r w:rsidR="009C0325">
              <w:rPr>
                <w:noProof/>
                <w:webHidden/>
              </w:rPr>
            </w:r>
            <w:r w:rsidR="009C0325">
              <w:rPr>
                <w:noProof/>
                <w:webHidden/>
              </w:rPr>
              <w:fldChar w:fldCharType="separate"/>
            </w:r>
            <w:r w:rsidR="009C0325">
              <w:rPr>
                <w:noProof/>
                <w:webHidden/>
              </w:rPr>
              <w:t>75</w:t>
            </w:r>
            <w:r w:rsidR="009C0325">
              <w:rPr>
                <w:noProof/>
                <w:webHidden/>
              </w:rPr>
              <w:fldChar w:fldCharType="end"/>
            </w:r>
          </w:hyperlink>
        </w:p>
        <w:p w14:paraId="40084D2B" w14:textId="09D3B221" w:rsidR="009C0325" w:rsidRDefault="0076636A">
          <w:pPr>
            <w:pStyle w:val="TOC3"/>
            <w:tabs>
              <w:tab w:val="left" w:pos="1320"/>
              <w:tab w:val="right" w:leader="dot" w:pos="8777"/>
            </w:tabs>
            <w:rPr>
              <w:rFonts w:eastAsiaTheme="minorEastAsia"/>
              <w:noProof/>
              <w:lang w:eastAsia="en-GB"/>
            </w:rPr>
          </w:pPr>
          <w:hyperlink w:anchor="_Toc36275071" w:history="1">
            <w:r w:rsidR="009C0325" w:rsidRPr="00190B99">
              <w:rPr>
                <w:rStyle w:val="Hyperlink"/>
                <w:rFonts w:cstheme="minorHAnsi"/>
                <w:noProof/>
              </w:rPr>
              <w:t>4.3.6</w:t>
            </w:r>
            <w:r w:rsidR="009C0325">
              <w:rPr>
                <w:rFonts w:eastAsiaTheme="minorEastAsia"/>
                <w:noProof/>
                <w:lang w:eastAsia="en-GB"/>
              </w:rPr>
              <w:tab/>
            </w:r>
            <w:r w:rsidR="009C0325" w:rsidRPr="00190B99">
              <w:rPr>
                <w:rStyle w:val="Hyperlink"/>
                <w:noProof/>
              </w:rPr>
              <w:t>Corporate governance structures and roles</w:t>
            </w:r>
            <w:r w:rsidR="009C0325">
              <w:rPr>
                <w:noProof/>
                <w:webHidden/>
              </w:rPr>
              <w:tab/>
            </w:r>
            <w:r w:rsidR="009C0325">
              <w:rPr>
                <w:noProof/>
                <w:webHidden/>
              </w:rPr>
              <w:fldChar w:fldCharType="begin"/>
            </w:r>
            <w:r w:rsidR="009C0325">
              <w:rPr>
                <w:noProof/>
                <w:webHidden/>
              </w:rPr>
              <w:instrText xml:space="preserve"> PAGEREF _Toc36275071 \h </w:instrText>
            </w:r>
            <w:r w:rsidR="009C0325">
              <w:rPr>
                <w:noProof/>
                <w:webHidden/>
              </w:rPr>
            </w:r>
            <w:r w:rsidR="009C0325">
              <w:rPr>
                <w:noProof/>
                <w:webHidden/>
              </w:rPr>
              <w:fldChar w:fldCharType="separate"/>
            </w:r>
            <w:r w:rsidR="009C0325">
              <w:rPr>
                <w:noProof/>
                <w:webHidden/>
              </w:rPr>
              <w:t>77</w:t>
            </w:r>
            <w:r w:rsidR="009C0325">
              <w:rPr>
                <w:noProof/>
                <w:webHidden/>
              </w:rPr>
              <w:fldChar w:fldCharType="end"/>
            </w:r>
          </w:hyperlink>
        </w:p>
        <w:p w14:paraId="198541C4" w14:textId="79A31FCE" w:rsidR="009C0325" w:rsidRDefault="0076636A">
          <w:pPr>
            <w:pStyle w:val="TOC3"/>
            <w:tabs>
              <w:tab w:val="left" w:pos="1320"/>
              <w:tab w:val="right" w:leader="dot" w:pos="8777"/>
            </w:tabs>
            <w:rPr>
              <w:rFonts w:eastAsiaTheme="minorEastAsia"/>
              <w:noProof/>
              <w:lang w:eastAsia="en-GB"/>
            </w:rPr>
          </w:pPr>
          <w:hyperlink w:anchor="_Toc36275072" w:history="1">
            <w:r w:rsidR="009C0325" w:rsidRPr="00190B99">
              <w:rPr>
                <w:rStyle w:val="Hyperlink"/>
                <w:rFonts w:cstheme="minorHAnsi"/>
                <w:noProof/>
              </w:rPr>
              <w:t>4.3.7</w:t>
            </w:r>
            <w:r w:rsidR="009C0325">
              <w:rPr>
                <w:rFonts w:eastAsiaTheme="minorEastAsia"/>
                <w:noProof/>
                <w:lang w:eastAsia="en-GB"/>
              </w:rPr>
              <w:tab/>
            </w:r>
            <w:r w:rsidR="009C0325" w:rsidRPr="00190B99">
              <w:rPr>
                <w:rStyle w:val="Hyperlink"/>
                <w:noProof/>
              </w:rPr>
              <w:t>The board and committees of the board</w:t>
            </w:r>
            <w:r w:rsidR="009C0325">
              <w:rPr>
                <w:noProof/>
                <w:webHidden/>
              </w:rPr>
              <w:tab/>
            </w:r>
            <w:r w:rsidR="009C0325">
              <w:rPr>
                <w:noProof/>
                <w:webHidden/>
              </w:rPr>
              <w:fldChar w:fldCharType="begin"/>
            </w:r>
            <w:r w:rsidR="009C0325">
              <w:rPr>
                <w:noProof/>
                <w:webHidden/>
              </w:rPr>
              <w:instrText xml:space="preserve"> PAGEREF _Toc36275072 \h </w:instrText>
            </w:r>
            <w:r w:rsidR="009C0325">
              <w:rPr>
                <w:noProof/>
                <w:webHidden/>
              </w:rPr>
            </w:r>
            <w:r w:rsidR="009C0325">
              <w:rPr>
                <w:noProof/>
                <w:webHidden/>
              </w:rPr>
              <w:fldChar w:fldCharType="separate"/>
            </w:r>
            <w:r w:rsidR="009C0325">
              <w:rPr>
                <w:noProof/>
                <w:webHidden/>
              </w:rPr>
              <w:t>77</w:t>
            </w:r>
            <w:r w:rsidR="009C0325">
              <w:rPr>
                <w:noProof/>
                <w:webHidden/>
              </w:rPr>
              <w:fldChar w:fldCharType="end"/>
            </w:r>
          </w:hyperlink>
        </w:p>
        <w:p w14:paraId="2838B932" w14:textId="22EBD261" w:rsidR="009C0325" w:rsidRDefault="0076636A">
          <w:pPr>
            <w:pStyle w:val="TOC2"/>
            <w:tabs>
              <w:tab w:val="left" w:pos="880"/>
              <w:tab w:val="right" w:leader="dot" w:pos="8777"/>
            </w:tabs>
            <w:rPr>
              <w:rFonts w:eastAsiaTheme="minorEastAsia"/>
              <w:noProof/>
              <w:lang w:eastAsia="en-GB"/>
            </w:rPr>
          </w:pPr>
          <w:hyperlink w:anchor="_Toc36275073" w:history="1">
            <w:r w:rsidR="009C0325" w:rsidRPr="00190B99">
              <w:rPr>
                <w:rStyle w:val="Hyperlink"/>
                <w:bCs/>
                <w:noProof/>
              </w:rPr>
              <w:t>4.4</w:t>
            </w:r>
            <w:r w:rsidR="009C0325">
              <w:rPr>
                <w:rFonts w:eastAsiaTheme="minorEastAsia"/>
                <w:noProof/>
                <w:lang w:eastAsia="en-GB"/>
              </w:rPr>
              <w:tab/>
            </w:r>
            <w:r w:rsidR="009C0325" w:rsidRPr="00190B99">
              <w:rPr>
                <w:rStyle w:val="Hyperlink"/>
                <w:noProof/>
              </w:rPr>
              <w:t>Project governance</w:t>
            </w:r>
            <w:r w:rsidR="009C0325">
              <w:rPr>
                <w:noProof/>
                <w:webHidden/>
              </w:rPr>
              <w:tab/>
            </w:r>
            <w:r w:rsidR="009C0325">
              <w:rPr>
                <w:noProof/>
                <w:webHidden/>
              </w:rPr>
              <w:fldChar w:fldCharType="begin"/>
            </w:r>
            <w:r w:rsidR="009C0325">
              <w:rPr>
                <w:noProof/>
                <w:webHidden/>
              </w:rPr>
              <w:instrText xml:space="preserve"> PAGEREF _Toc36275073 \h </w:instrText>
            </w:r>
            <w:r w:rsidR="009C0325">
              <w:rPr>
                <w:noProof/>
                <w:webHidden/>
              </w:rPr>
            </w:r>
            <w:r w:rsidR="009C0325">
              <w:rPr>
                <w:noProof/>
                <w:webHidden/>
              </w:rPr>
              <w:fldChar w:fldCharType="separate"/>
            </w:r>
            <w:r w:rsidR="009C0325">
              <w:rPr>
                <w:noProof/>
                <w:webHidden/>
              </w:rPr>
              <w:t>80</w:t>
            </w:r>
            <w:r w:rsidR="009C0325">
              <w:rPr>
                <w:noProof/>
                <w:webHidden/>
              </w:rPr>
              <w:fldChar w:fldCharType="end"/>
            </w:r>
          </w:hyperlink>
        </w:p>
        <w:p w14:paraId="23258776" w14:textId="5889DA48" w:rsidR="009C0325" w:rsidRDefault="0076636A">
          <w:pPr>
            <w:pStyle w:val="TOC3"/>
            <w:tabs>
              <w:tab w:val="left" w:pos="1320"/>
              <w:tab w:val="right" w:leader="dot" w:pos="8777"/>
            </w:tabs>
            <w:rPr>
              <w:rFonts w:eastAsiaTheme="minorEastAsia"/>
              <w:noProof/>
              <w:lang w:eastAsia="en-GB"/>
            </w:rPr>
          </w:pPr>
          <w:hyperlink w:anchor="_Toc36275074" w:history="1">
            <w:r w:rsidR="009C0325" w:rsidRPr="00190B99">
              <w:rPr>
                <w:rStyle w:val="Hyperlink"/>
                <w:rFonts w:cstheme="minorHAnsi"/>
                <w:noProof/>
              </w:rPr>
              <w:t>4.4.1</w:t>
            </w:r>
            <w:r w:rsidR="009C0325">
              <w:rPr>
                <w:rFonts w:eastAsiaTheme="minorEastAsia"/>
                <w:noProof/>
                <w:lang w:eastAsia="en-GB"/>
              </w:rPr>
              <w:tab/>
            </w:r>
            <w:r w:rsidR="009C0325" w:rsidRPr="00190B99">
              <w:rPr>
                <w:rStyle w:val="Hyperlink"/>
                <w:noProof/>
              </w:rPr>
              <w:t>Definition of project</w:t>
            </w:r>
            <w:r w:rsidR="009C0325">
              <w:rPr>
                <w:noProof/>
                <w:webHidden/>
              </w:rPr>
              <w:tab/>
            </w:r>
            <w:r w:rsidR="009C0325">
              <w:rPr>
                <w:noProof/>
                <w:webHidden/>
              </w:rPr>
              <w:fldChar w:fldCharType="begin"/>
            </w:r>
            <w:r w:rsidR="009C0325">
              <w:rPr>
                <w:noProof/>
                <w:webHidden/>
              </w:rPr>
              <w:instrText xml:space="preserve"> PAGEREF _Toc36275074 \h </w:instrText>
            </w:r>
            <w:r w:rsidR="009C0325">
              <w:rPr>
                <w:noProof/>
                <w:webHidden/>
              </w:rPr>
            </w:r>
            <w:r w:rsidR="009C0325">
              <w:rPr>
                <w:noProof/>
                <w:webHidden/>
              </w:rPr>
              <w:fldChar w:fldCharType="separate"/>
            </w:r>
            <w:r w:rsidR="009C0325">
              <w:rPr>
                <w:noProof/>
                <w:webHidden/>
              </w:rPr>
              <w:t>80</w:t>
            </w:r>
            <w:r w:rsidR="009C0325">
              <w:rPr>
                <w:noProof/>
                <w:webHidden/>
              </w:rPr>
              <w:fldChar w:fldCharType="end"/>
            </w:r>
          </w:hyperlink>
        </w:p>
        <w:p w14:paraId="71CA7A9A" w14:textId="7CC45058" w:rsidR="009C0325" w:rsidRDefault="0076636A">
          <w:pPr>
            <w:pStyle w:val="TOC3"/>
            <w:tabs>
              <w:tab w:val="left" w:pos="1320"/>
              <w:tab w:val="right" w:leader="dot" w:pos="8777"/>
            </w:tabs>
            <w:rPr>
              <w:rFonts w:eastAsiaTheme="minorEastAsia"/>
              <w:noProof/>
              <w:lang w:eastAsia="en-GB"/>
            </w:rPr>
          </w:pPr>
          <w:hyperlink w:anchor="_Toc36275075" w:history="1">
            <w:r w:rsidR="009C0325" w:rsidRPr="00190B99">
              <w:rPr>
                <w:rStyle w:val="Hyperlink"/>
                <w:rFonts w:cstheme="minorHAnsi"/>
                <w:noProof/>
              </w:rPr>
              <w:t>4.4.2</w:t>
            </w:r>
            <w:r w:rsidR="009C0325">
              <w:rPr>
                <w:rFonts w:eastAsiaTheme="minorEastAsia"/>
                <w:noProof/>
                <w:lang w:eastAsia="en-GB"/>
              </w:rPr>
              <w:tab/>
            </w:r>
            <w:r w:rsidR="009C0325" w:rsidRPr="00190B99">
              <w:rPr>
                <w:rStyle w:val="Hyperlink"/>
                <w:noProof/>
              </w:rPr>
              <w:t>Project management</w:t>
            </w:r>
            <w:r w:rsidR="009C0325">
              <w:rPr>
                <w:noProof/>
                <w:webHidden/>
              </w:rPr>
              <w:tab/>
            </w:r>
            <w:r w:rsidR="009C0325">
              <w:rPr>
                <w:noProof/>
                <w:webHidden/>
              </w:rPr>
              <w:fldChar w:fldCharType="begin"/>
            </w:r>
            <w:r w:rsidR="009C0325">
              <w:rPr>
                <w:noProof/>
                <w:webHidden/>
              </w:rPr>
              <w:instrText xml:space="preserve"> PAGEREF _Toc36275075 \h </w:instrText>
            </w:r>
            <w:r w:rsidR="009C0325">
              <w:rPr>
                <w:noProof/>
                <w:webHidden/>
              </w:rPr>
            </w:r>
            <w:r w:rsidR="009C0325">
              <w:rPr>
                <w:noProof/>
                <w:webHidden/>
              </w:rPr>
              <w:fldChar w:fldCharType="separate"/>
            </w:r>
            <w:r w:rsidR="009C0325">
              <w:rPr>
                <w:noProof/>
                <w:webHidden/>
              </w:rPr>
              <w:t>81</w:t>
            </w:r>
            <w:r w:rsidR="009C0325">
              <w:rPr>
                <w:noProof/>
                <w:webHidden/>
              </w:rPr>
              <w:fldChar w:fldCharType="end"/>
            </w:r>
          </w:hyperlink>
        </w:p>
        <w:p w14:paraId="7FCE63BF" w14:textId="7D01FC2D" w:rsidR="009C0325" w:rsidRDefault="0076636A">
          <w:pPr>
            <w:pStyle w:val="TOC3"/>
            <w:tabs>
              <w:tab w:val="left" w:pos="1320"/>
              <w:tab w:val="right" w:leader="dot" w:pos="8777"/>
            </w:tabs>
            <w:rPr>
              <w:rFonts w:eastAsiaTheme="minorEastAsia"/>
              <w:noProof/>
              <w:lang w:eastAsia="en-GB"/>
            </w:rPr>
          </w:pPr>
          <w:hyperlink w:anchor="_Toc36275076" w:history="1">
            <w:r w:rsidR="009C0325" w:rsidRPr="00190B99">
              <w:rPr>
                <w:rStyle w:val="Hyperlink"/>
                <w:rFonts w:cstheme="minorHAnsi"/>
                <w:noProof/>
              </w:rPr>
              <w:t>4.4.3</w:t>
            </w:r>
            <w:r w:rsidR="009C0325">
              <w:rPr>
                <w:rFonts w:eastAsiaTheme="minorEastAsia"/>
                <w:noProof/>
                <w:lang w:eastAsia="en-GB"/>
              </w:rPr>
              <w:tab/>
            </w:r>
            <w:r w:rsidR="009C0325" w:rsidRPr="00190B99">
              <w:rPr>
                <w:rStyle w:val="Hyperlink"/>
                <w:noProof/>
              </w:rPr>
              <w:t>Project governance: definition, purpose, structure and effectiveness</w:t>
            </w:r>
            <w:r w:rsidR="009C0325">
              <w:rPr>
                <w:noProof/>
                <w:webHidden/>
              </w:rPr>
              <w:tab/>
            </w:r>
            <w:r w:rsidR="009C0325">
              <w:rPr>
                <w:noProof/>
                <w:webHidden/>
              </w:rPr>
              <w:fldChar w:fldCharType="begin"/>
            </w:r>
            <w:r w:rsidR="009C0325">
              <w:rPr>
                <w:noProof/>
                <w:webHidden/>
              </w:rPr>
              <w:instrText xml:space="preserve"> PAGEREF _Toc36275076 \h </w:instrText>
            </w:r>
            <w:r w:rsidR="009C0325">
              <w:rPr>
                <w:noProof/>
                <w:webHidden/>
              </w:rPr>
            </w:r>
            <w:r w:rsidR="009C0325">
              <w:rPr>
                <w:noProof/>
                <w:webHidden/>
              </w:rPr>
              <w:fldChar w:fldCharType="separate"/>
            </w:r>
            <w:r w:rsidR="009C0325">
              <w:rPr>
                <w:noProof/>
                <w:webHidden/>
              </w:rPr>
              <w:t>82</w:t>
            </w:r>
            <w:r w:rsidR="009C0325">
              <w:rPr>
                <w:noProof/>
                <w:webHidden/>
              </w:rPr>
              <w:fldChar w:fldCharType="end"/>
            </w:r>
          </w:hyperlink>
        </w:p>
        <w:p w14:paraId="2BD595B1" w14:textId="4C8B2E53" w:rsidR="009C0325" w:rsidRDefault="0076636A">
          <w:pPr>
            <w:pStyle w:val="TOC2"/>
            <w:tabs>
              <w:tab w:val="left" w:pos="880"/>
              <w:tab w:val="right" w:leader="dot" w:pos="8777"/>
            </w:tabs>
            <w:rPr>
              <w:rFonts w:eastAsiaTheme="minorEastAsia"/>
              <w:noProof/>
              <w:lang w:eastAsia="en-GB"/>
            </w:rPr>
          </w:pPr>
          <w:hyperlink w:anchor="_Toc36275077" w:history="1">
            <w:r w:rsidR="009C0325" w:rsidRPr="00190B99">
              <w:rPr>
                <w:rStyle w:val="Hyperlink"/>
                <w:bCs/>
                <w:noProof/>
              </w:rPr>
              <w:t>4.5</w:t>
            </w:r>
            <w:r w:rsidR="009C0325">
              <w:rPr>
                <w:rFonts w:eastAsiaTheme="minorEastAsia"/>
                <w:noProof/>
                <w:lang w:eastAsia="en-GB"/>
              </w:rPr>
              <w:tab/>
            </w:r>
            <w:r w:rsidR="009C0325" w:rsidRPr="00190B99">
              <w:rPr>
                <w:rStyle w:val="Hyperlink"/>
                <w:noProof/>
              </w:rPr>
              <w:t>Measuring project success</w:t>
            </w:r>
            <w:r w:rsidR="009C0325">
              <w:rPr>
                <w:noProof/>
                <w:webHidden/>
              </w:rPr>
              <w:tab/>
            </w:r>
            <w:r w:rsidR="009C0325">
              <w:rPr>
                <w:noProof/>
                <w:webHidden/>
              </w:rPr>
              <w:fldChar w:fldCharType="begin"/>
            </w:r>
            <w:r w:rsidR="009C0325">
              <w:rPr>
                <w:noProof/>
                <w:webHidden/>
              </w:rPr>
              <w:instrText xml:space="preserve"> PAGEREF _Toc36275077 \h </w:instrText>
            </w:r>
            <w:r w:rsidR="009C0325">
              <w:rPr>
                <w:noProof/>
                <w:webHidden/>
              </w:rPr>
            </w:r>
            <w:r w:rsidR="009C0325">
              <w:rPr>
                <w:noProof/>
                <w:webHidden/>
              </w:rPr>
              <w:fldChar w:fldCharType="separate"/>
            </w:r>
            <w:r w:rsidR="009C0325">
              <w:rPr>
                <w:noProof/>
                <w:webHidden/>
              </w:rPr>
              <w:t>86</w:t>
            </w:r>
            <w:r w:rsidR="009C0325">
              <w:rPr>
                <w:noProof/>
                <w:webHidden/>
              </w:rPr>
              <w:fldChar w:fldCharType="end"/>
            </w:r>
          </w:hyperlink>
        </w:p>
        <w:p w14:paraId="3BDC7228" w14:textId="25872EC7" w:rsidR="009C0325" w:rsidRDefault="0076636A">
          <w:pPr>
            <w:pStyle w:val="TOC3"/>
            <w:tabs>
              <w:tab w:val="left" w:pos="1320"/>
              <w:tab w:val="right" w:leader="dot" w:pos="8777"/>
            </w:tabs>
            <w:rPr>
              <w:rFonts w:eastAsiaTheme="minorEastAsia"/>
              <w:noProof/>
              <w:lang w:eastAsia="en-GB"/>
            </w:rPr>
          </w:pPr>
          <w:hyperlink w:anchor="_Toc36275078" w:history="1">
            <w:r w:rsidR="009C0325" w:rsidRPr="00190B99">
              <w:rPr>
                <w:rStyle w:val="Hyperlink"/>
                <w:rFonts w:cstheme="minorHAnsi"/>
                <w:noProof/>
              </w:rPr>
              <w:t>4.5.1</w:t>
            </w:r>
            <w:r w:rsidR="009C0325">
              <w:rPr>
                <w:rFonts w:eastAsiaTheme="minorEastAsia"/>
                <w:noProof/>
                <w:lang w:eastAsia="en-GB"/>
              </w:rPr>
              <w:tab/>
            </w:r>
            <w:r w:rsidR="009C0325" w:rsidRPr="00190B99">
              <w:rPr>
                <w:rStyle w:val="Hyperlink"/>
                <w:noProof/>
              </w:rPr>
              <w:t>The iron triangle</w:t>
            </w:r>
            <w:r w:rsidR="009C0325">
              <w:rPr>
                <w:noProof/>
                <w:webHidden/>
              </w:rPr>
              <w:tab/>
            </w:r>
            <w:r w:rsidR="009C0325">
              <w:rPr>
                <w:noProof/>
                <w:webHidden/>
              </w:rPr>
              <w:fldChar w:fldCharType="begin"/>
            </w:r>
            <w:r w:rsidR="009C0325">
              <w:rPr>
                <w:noProof/>
                <w:webHidden/>
              </w:rPr>
              <w:instrText xml:space="preserve"> PAGEREF _Toc36275078 \h </w:instrText>
            </w:r>
            <w:r w:rsidR="009C0325">
              <w:rPr>
                <w:noProof/>
                <w:webHidden/>
              </w:rPr>
            </w:r>
            <w:r w:rsidR="009C0325">
              <w:rPr>
                <w:noProof/>
                <w:webHidden/>
              </w:rPr>
              <w:fldChar w:fldCharType="separate"/>
            </w:r>
            <w:r w:rsidR="009C0325">
              <w:rPr>
                <w:noProof/>
                <w:webHidden/>
              </w:rPr>
              <w:t>87</w:t>
            </w:r>
            <w:r w:rsidR="009C0325">
              <w:rPr>
                <w:noProof/>
                <w:webHidden/>
              </w:rPr>
              <w:fldChar w:fldCharType="end"/>
            </w:r>
          </w:hyperlink>
        </w:p>
        <w:p w14:paraId="13142D9E" w14:textId="2AFF6FDB" w:rsidR="009C0325" w:rsidRDefault="0076636A">
          <w:pPr>
            <w:pStyle w:val="TOC3"/>
            <w:tabs>
              <w:tab w:val="left" w:pos="1320"/>
              <w:tab w:val="right" w:leader="dot" w:pos="8777"/>
            </w:tabs>
            <w:rPr>
              <w:rFonts w:eastAsiaTheme="minorEastAsia"/>
              <w:noProof/>
              <w:lang w:eastAsia="en-GB"/>
            </w:rPr>
          </w:pPr>
          <w:hyperlink w:anchor="_Toc36275079" w:history="1">
            <w:r w:rsidR="009C0325" w:rsidRPr="00190B99">
              <w:rPr>
                <w:rStyle w:val="Hyperlink"/>
                <w:rFonts w:cstheme="minorHAnsi"/>
                <w:noProof/>
              </w:rPr>
              <w:t>4.5.2</w:t>
            </w:r>
            <w:r w:rsidR="009C0325">
              <w:rPr>
                <w:rFonts w:eastAsiaTheme="minorEastAsia"/>
                <w:noProof/>
                <w:lang w:eastAsia="en-GB"/>
              </w:rPr>
              <w:tab/>
            </w:r>
            <w:r w:rsidR="009C0325" w:rsidRPr="00190B99">
              <w:rPr>
                <w:rStyle w:val="Hyperlink"/>
                <w:noProof/>
              </w:rPr>
              <w:t>The iron triangle as an appropriate measure for project success</w:t>
            </w:r>
            <w:r w:rsidR="009C0325">
              <w:rPr>
                <w:noProof/>
                <w:webHidden/>
              </w:rPr>
              <w:tab/>
            </w:r>
            <w:r w:rsidR="009C0325">
              <w:rPr>
                <w:noProof/>
                <w:webHidden/>
              </w:rPr>
              <w:fldChar w:fldCharType="begin"/>
            </w:r>
            <w:r w:rsidR="009C0325">
              <w:rPr>
                <w:noProof/>
                <w:webHidden/>
              </w:rPr>
              <w:instrText xml:space="preserve"> PAGEREF _Toc36275079 \h </w:instrText>
            </w:r>
            <w:r w:rsidR="009C0325">
              <w:rPr>
                <w:noProof/>
                <w:webHidden/>
              </w:rPr>
            </w:r>
            <w:r w:rsidR="009C0325">
              <w:rPr>
                <w:noProof/>
                <w:webHidden/>
              </w:rPr>
              <w:fldChar w:fldCharType="separate"/>
            </w:r>
            <w:r w:rsidR="009C0325">
              <w:rPr>
                <w:noProof/>
                <w:webHidden/>
              </w:rPr>
              <w:t>88</w:t>
            </w:r>
            <w:r w:rsidR="009C0325">
              <w:rPr>
                <w:noProof/>
                <w:webHidden/>
              </w:rPr>
              <w:fldChar w:fldCharType="end"/>
            </w:r>
          </w:hyperlink>
        </w:p>
        <w:p w14:paraId="0826CC03" w14:textId="7F3A4B07" w:rsidR="009C0325" w:rsidRDefault="0076636A">
          <w:pPr>
            <w:pStyle w:val="TOC3"/>
            <w:tabs>
              <w:tab w:val="left" w:pos="1320"/>
              <w:tab w:val="right" w:leader="dot" w:pos="8777"/>
            </w:tabs>
            <w:rPr>
              <w:rFonts w:eastAsiaTheme="minorEastAsia"/>
              <w:noProof/>
              <w:lang w:eastAsia="en-GB"/>
            </w:rPr>
          </w:pPr>
          <w:hyperlink w:anchor="_Toc36275080" w:history="1">
            <w:r w:rsidR="009C0325" w:rsidRPr="00190B99">
              <w:rPr>
                <w:rStyle w:val="Hyperlink"/>
                <w:rFonts w:cstheme="minorHAnsi"/>
                <w:noProof/>
              </w:rPr>
              <w:t>4.5.3</w:t>
            </w:r>
            <w:r w:rsidR="009C0325">
              <w:rPr>
                <w:rFonts w:eastAsiaTheme="minorEastAsia"/>
                <w:noProof/>
                <w:lang w:eastAsia="en-GB"/>
              </w:rPr>
              <w:tab/>
            </w:r>
            <w:r w:rsidR="009C0325" w:rsidRPr="00190B99">
              <w:rPr>
                <w:rStyle w:val="Hyperlink"/>
                <w:noProof/>
              </w:rPr>
              <w:t>Weighing time, cost and quality</w:t>
            </w:r>
            <w:r w:rsidR="009C0325">
              <w:rPr>
                <w:noProof/>
                <w:webHidden/>
              </w:rPr>
              <w:tab/>
            </w:r>
            <w:r w:rsidR="009C0325">
              <w:rPr>
                <w:noProof/>
                <w:webHidden/>
              </w:rPr>
              <w:fldChar w:fldCharType="begin"/>
            </w:r>
            <w:r w:rsidR="009C0325">
              <w:rPr>
                <w:noProof/>
                <w:webHidden/>
              </w:rPr>
              <w:instrText xml:space="preserve"> PAGEREF _Toc36275080 \h </w:instrText>
            </w:r>
            <w:r w:rsidR="009C0325">
              <w:rPr>
                <w:noProof/>
                <w:webHidden/>
              </w:rPr>
            </w:r>
            <w:r w:rsidR="009C0325">
              <w:rPr>
                <w:noProof/>
                <w:webHidden/>
              </w:rPr>
              <w:fldChar w:fldCharType="separate"/>
            </w:r>
            <w:r w:rsidR="009C0325">
              <w:rPr>
                <w:noProof/>
                <w:webHidden/>
              </w:rPr>
              <w:t>90</w:t>
            </w:r>
            <w:r w:rsidR="009C0325">
              <w:rPr>
                <w:noProof/>
                <w:webHidden/>
              </w:rPr>
              <w:fldChar w:fldCharType="end"/>
            </w:r>
          </w:hyperlink>
        </w:p>
        <w:p w14:paraId="536D38C0" w14:textId="3B794EB1" w:rsidR="009C0325" w:rsidRDefault="0076636A">
          <w:pPr>
            <w:pStyle w:val="TOC3"/>
            <w:tabs>
              <w:tab w:val="left" w:pos="1320"/>
              <w:tab w:val="right" w:leader="dot" w:pos="8777"/>
            </w:tabs>
            <w:rPr>
              <w:rFonts w:eastAsiaTheme="minorEastAsia"/>
              <w:noProof/>
              <w:lang w:eastAsia="en-GB"/>
            </w:rPr>
          </w:pPr>
          <w:hyperlink w:anchor="_Toc36275081" w:history="1">
            <w:r w:rsidR="009C0325" w:rsidRPr="00190B99">
              <w:rPr>
                <w:rStyle w:val="Hyperlink"/>
                <w:rFonts w:cstheme="minorHAnsi"/>
                <w:noProof/>
              </w:rPr>
              <w:t>4.5.4</w:t>
            </w:r>
            <w:r w:rsidR="009C0325">
              <w:rPr>
                <w:rFonts w:eastAsiaTheme="minorEastAsia"/>
                <w:noProof/>
                <w:lang w:eastAsia="en-GB"/>
              </w:rPr>
              <w:tab/>
            </w:r>
            <w:r w:rsidR="009C0325" w:rsidRPr="00190B99">
              <w:rPr>
                <w:rStyle w:val="Hyperlink"/>
                <w:noProof/>
              </w:rPr>
              <w:t>When should project success criteria be determined and measured?</w:t>
            </w:r>
            <w:r w:rsidR="009C0325">
              <w:rPr>
                <w:noProof/>
                <w:webHidden/>
              </w:rPr>
              <w:tab/>
            </w:r>
            <w:r w:rsidR="009C0325">
              <w:rPr>
                <w:noProof/>
                <w:webHidden/>
              </w:rPr>
              <w:fldChar w:fldCharType="begin"/>
            </w:r>
            <w:r w:rsidR="009C0325">
              <w:rPr>
                <w:noProof/>
                <w:webHidden/>
              </w:rPr>
              <w:instrText xml:space="preserve"> PAGEREF _Toc36275081 \h </w:instrText>
            </w:r>
            <w:r w:rsidR="009C0325">
              <w:rPr>
                <w:noProof/>
                <w:webHidden/>
              </w:rPr>
            </w:r>
            <w:r w:rsidR="009C0325">
              <w:rPr>
                <w:noProof/>
                <w:webHidden/>
              </w:rPr>
              <w:fldChar w:fldCharType="separate"/>
            </w:r>
            <w:r w:rsidR="009C0325">
              <w:rPr>
                <w:noProof/>
                <w:webHidden/>
              </w:rPr>
              <w:t>91</w:t>
            </w:r>
            <w:r w:rsidR="009C0325">
              <w:rPr>
                <w:noProof/>
                <w:webHidden/>
              </w:rPr>
              <w:fldChar w:fldCharType="end"/>
            </w:r>
          </w:hyperlink>
        </w:p>
        <w:p w14:paraId="2026F74B" w14:textId="518F30D1" w:rsidR="009C0325" w:rsidRDefault="0076636A">
          <w:pPr>
            <w:pStyle w:val="TOC3"/>
            <w:tabs>
              <w:tab w:val="left" w:pos="1320"/>
              <w:tab w:val="right" w:leader="dot" w:pos="8777"/>
            </w:tabs>
            <w:rPr>
              <w:rFonts w:eastAsiaTheme="minorEastAsia"/>
              <w:noProof/>
              <w:lang w:eastAsia="en-GB"/>
            </w:rPr>
          </w:pPr>
          <w:hyperlink w:anchor="_Toc36275082" w:history="1">
            <w:r w:rsidR="009C0325" w:rsidRPr="00190B99">
              <w:rPr>
                <w:rStyle w:val="Hyperlink"/>
                <w:rFonts w:cstheme="minorHAnsi"/>
                <w:noProof/>
              </w:rPr>
              <w:t>4.5.5</w:t>
            </w:r>
            <w:r w:rsidR="009C0325">
              <w:rPr>
                <w:rFonts w:eastAsiaTheme="minorEastAsia"/>
                <w:noProof/>
                <w:lang w:eastAsia="en-GB"/>
              </w:rPr>
              <w:tab/>
            </w:r>
            <w:r w:rsidR="009C0325" w:rsidRPr="00190B99">
              <w:rPr>
                <w:rStyle w:val="Hyperlink"/>
                <w:noProof/>
              </w:rPr>
              <w:t>Who should measure project success?</w:t>
            </w:r>
            <w:r w:rsidR="009C0325">
              <w:rPr>
                <w:noProof/>
                <w:webHidden/>
              </w:rPr>
              <w:tab/>
            </w:r>
            <w:r w:rsidR="009C0325">
              <w:rPr>
                <w:noProof/>
                <w:webHidden/>
              </w:rPr>
              <w:fldChar w:fldCharType="begin"/>
            </w:r>
            <w:r w:rsidR="009C0325">
              <w:rPr>
                <w:noProof/>
                <w:webHidden/>
              </w:rPr>
              <w:instrText xml:space="preserve"> PAGEREF _Toc36275082 \h </w:instrText>
            </w:r>
            <w:r w:rsidR="009C0325">
              <w:rPr>
                <w:noProof/>
                <w:webHidden/>
              </w:rPr>
            </w:r>
            <w:r w:rsidR="009C0325">
              <w:rPr>
                <w:noProof/>
                <w:webHidden/>
              </w:rPr>
              <w:fldChar w:fldCharType="separate"/>
            </w:r>
            <w:r w:rsidR="009C0325">
              <w:rPr>
                <w:noProof/>
                <w:webHidden/>
              </w:rPr>
              <w:t>92</w:t>
            </w:r>
            <w:r w:rsidR="009C0325">
              <w:rPr>
                <w:noProof/>
                <w:webHidden/>
              </w:rPr>
              <w:fldChar w:fldCharType="end"/>
            </w:r>
          </w:hyperlink>
        </w:p>
        <w:p w14:paraId="11E9AE0C" w14:textId="73FA92B0" w:rsidR="009C0325" w:rsidRDefault="0076636A">
          <w:pPr>
            <w:pStyle w:val="TOC2"/>
            <w:tabs>
              <w:tab w:val="left" w:pos="880"/>
              <w:tab w:val="right" w:leader="dot" w:pos="8777"/>
            </w:tabs>
            <w:rPr>
              <w:rFonts w:eastAsiaTheme="minorEastAsia"/>
              <w:noProof/>
              <w:lang w:eastAsia="en-GB"/>
            </w:rPr>
          </w:pPr>
          <w:hyperlink w:anchor="_Toc36275083" w:history="1">
            <w:r w:rsidR="009C0325" w:rsidRPr="00190B99">
              <w:rPr>
                <w:rStyle w:val="Hyperlink"/>
                <w:bCs/>
                <w:noProof/>
              </w:rPr>
              <w:t>4.6</w:t>
            </w:r>
            <w:r w:rsidR="009C0325">
              <w:rPr>
                <w:rFonts w:eastAsiaTheme="minorEastAsia"/>
                <w:noProof/>
                <w:lang w:eastAsia="en-GB"/>
              </w:rPr>
              <w:tab/>
            </w:r>
            <w:r w:rsidR="009C0325" w:rsidRPr="00190B99">
              <w:rPr>
                <w:rStyle w:val="Hyperlink"/>
                <w:noProof/>
              </w:rPr>
              <w:t>Factors affecting project success</w:t>
            </w:r>
            <w:r w:rsidR="009C0325">
              <w:rPr>
                <w:noProof/>
                <w:webHidden/>
              </w:rPr>
              <w:tab/>
            </w:r>
            <w:r w:rsidR="009C0325">
              <w:rPr>
                <w:noProof/>
                <w:webHidden/>
              </w:rPr>
              <w:fldChar w:fldCharType="begin"/>
            </w:r>
            <w:r w:rsidR="009C0325">
              <w:rPr>
                <w:noProof/>
                <w:webHidden/>
              </w:rPr>
              <w:instrText xml:space="preserve"> PAGEREF _Toc36275083 \h </w:instrText>
            </w:r>
            <w:r w:rsidR="009C0325">
              <w:rPr>
                <w:noProof/>
                <w:webHidden/>
              </w:rPr>
            </w:r>
            <w:r w:rsidR="009C0325">
              <w:rPr>
                <w:noProof/>
                <w:webHidden/>
              </w:rPr>
              <w:fldChar w:fldCharType="separate"/>
            </w:r>
            <w:r w:rsidR="009C0325">
              <w:rPr>
                <w:noProof/>
                <w:webHidden/>
              </w:rPr>
              <w:t>93</w:t>
            </w:r>
            <w:r w:rsidR="009C0325">
              <w:rPr>
                <w:noProof/>
                <w:webHidden/>
              </w:rPr>
              <w:fldChar w:fldCharType="end"/>
            </w:r>
          </w:hyperlink>
        </w:p>
        <w:p w14:paraId="4CC6C5DF" w14:textId="282FDFF8" w:rsidR="009C0325" w:rsidRDefault="0076636A">
          <w:pPr>
            <w:pStyle w:val="TOC3"/>
            <w:tabs>
              <w:tab w:val="left" w:pos="1320"/>
              <w:tab w:val="right" w:leader="dot" w:pos="8777"/>
            </w:tabs>
            <w:rPr>
              <w:rFonts w:eastAsiaTheme="minorEastAsia"/>
              <w:noProof/>
              <w:lang w:eastAsia="en-GB"/>
            </w:rPr>
          </w:pPr>
          <w:hyperlink w:anchor="_Toc36275084" w:history="1">
            <w:r w:rsidR="009C0325" w:rsidRPr="00190B99">
              <w:rPr>
                <w:rStyle w:val="Hyperlink"/>
                <w:rFonts w:cstheme="minorHAnsi"/>
                <w:noProof/>
              </w:rPr>
              <w:t>4.6.1</w:t>
            </w:r>
            <w:r w:rsidR="009C0325">
              <w:rPr>
                <w:rFonts w:eastAsiaTheme="minorEastAsia"/>
                <w:noProof/>
                <w:lang w:eastAsia="en-GB"/>
              </w:rPr>
              <w:tab/>
            </w:r>
            <w:r w:rsidR="009C0325" w:rsidRPr="00190B99">
              <w:rPr>
                <w:rStyle w:val="Hyperlink"/>
                <w:noProof/>
              </w:rPr>
              <w:t>Risk and optimism bias in NHS Construction Projects</w:t>
            </w:r>
            <w:r w:rsidR="009C0325">
              <w:rPr>
                <w:noProof/>
                <w:webHidden/>
              </w:rPr>
              <w:tab/>
            </w:r>
            <w:r w:rsidR="009C0325">
              <w:rPr>
                <w:noProof/>
                <w:webHidden/>
              </w:rPr>
              <w:fldChar w:fldCharType="begin"/>
            </w:r>
            <w:r w:rsidR="009C0325">
              <w:rPr>
                <w:noProof/>
                <w:webHidden/>
              </w:rPr>
              <w:instrText xml:space="preserve"> PAGEREF _Toc36275084 \h </w:instrText>
            </w:r>
            <w:r w:rsidR="009C0325">
              <w:rPr>
                <w:noProof/>
                <w:webHidden/>
              </w:rPr>
            </w:r>
            <w:r w:rsidR="009C0325">
              <w:rPr>
                <w:noProof/>
                <w:webHidden/>
              </w:rPr>
              <w:fldChar w:fldCharType="separate"/>
            </w:r>
            <w:r w:rsidR="009C0325">
              <w:rPr>
                <w:noProof/>
                <w:webHidden/>
              </w:rPr>
              <w:t>93</w:t>
            </w:r>
            <w:r w:rsidR="009C0325">
              <w:rPr>
                <w:noProof/>
                <w:webHidden/>
              </w:rPr>
              <w:fldChar w:fldCharType="end"/>
            </w:r>
          </w:hyperlink>
        </w:p>
        <w:p w14:paraId="00A1C8BE" w14:textId="4E150825" w:rsidR="009C0325" w:rsidRDefault="0076636A">
          <w:pPr>
            <w:pStyle w:val="TOC3"/>
            <w:tabs>
              <w:tab w:val="left" w:pos="1320"/>
              <w:tab w:val="right" w:leader="dot" w:pos="8777"/>
            </w:tabs>
            <w:rPr>
              <w:rFonts w:eastAsiaTheme="minorEastAsia"/>
              <w:noProof/>
              <w:lang w:eastAsia="en-GB"/>
            </w:rPr>
          </w:pPr>
          <w:hyperlink w:anchor="_Toc36275085" w:history="1">
            <w:r w:rsidR="009C0325" w:rsidRPr="00190B99">
              <w:rPr>
                <w:rStyle w:val="Hyperlink"/>
                <w:rFonts w:cstheme="minorHAnsi"/>
                <w:noProof/>
              </w:rPr>
              <w:t>4.6.2</w:t>
            </w:r>
            <w:r w:rsidR="009C0325">
              <w:rPr>
                <w:rFonts w:eastAsiaTheme="minorEastAsia"/>
                <w:noProof/>
                <w:lang w:eastAsia="en-GB"/>
              </w:rPr>
              <w:tab/>
            </w:r>
            <w:r w:rsidR="009C0325" w:rsidRPr="00190B99">
              <w:rPr>
                <w:rStyle w:val="Hyperlink"/>
                <w:noProof/>
              </w:rPr>
              <w:t>Critical success factors</w:t>
            </w:r>
            <w:r w:rsidR="009C0325">
              <w:rPr>
                <w:noProof/>
                <w:webHidden/>
              </w:rPr>
              <w:tab/>
            </w:r>
            <w:r w:rsidR="009C0325">
              <w:rPr>
                <w:noProof/>
                <w:webHidden/>
              </w:rPr>
              <w:fldChar w:fldCharType="begin"/>
            </w:r>
            <w:r w:rsidR="009C0325">
              <w:rPr>
                <w:noProof/>
                <w:webHidden/>
              </w:rPr>
              <w:instrText xml:space="preserve"> PAGEREF _Toc36275085 \h </w:instrText>
            </w:r>
            <w:r w:rsidR="009C0325">
              <w:rPr>
                <w:noProof/>
                <w:webHidden/>
              </w:rPr>
            </w:r>
            <w:r w:rsidR="009C0325">
              <w:rPr>
                <w:noProof/>
                <w:webHidden/>
              </w:rPr>
              <w:fldChar w:fldCharType="separate"/>
            </w:r>
            <w:r w:rsidR="009C0325">
              <w:rPr>
                <w:noProof/>
                <w:webHidden/>
              </w:rPr>
              <w:t>95</w:t>
            </w:r>
            <w:r w:rsidR="009C0325">
              <w:rPr>
                <w:noProof/>
                <w:webHidden/>
              </w:rPr>
              <w:fldChar w:fldCharType="end"/>
            </w:r>
          </w:hyperlink>
        </w:p>
        <w:p w14:paraId="599ED47F" w14:textId="505297AA" w:rsidR="009C0325" w:rsidRDefault="0076636A">
          <w:pPr>
            <w:pStyle w:val="TOC3"/>
            <w:tabs>
              <w:tab w:val="left" w:pos="1320"/>
              <w:tab w:val="right" w:leader="dot" w:pos="8777"/>
            </w:tabs>
            <w:rPr>
              <w:rFonts w:eastAsiaTheme="minorEastAsia"/>
              <w:noProof/>
              <w:lang w:eastAsia="en-GB"/>
            </w:rPr>
          </w:pPr>
          <w:hyperlink w:anchor="_Toc36275086" w:history="1">
            <w:r w:rsidR="009C0325" w:rsidRPr="00190B99">
              <w:rPr>
                <w:rStyle w:val="Hyperlink"/>
                <w:rFonts w:cstheme="minorHAnsi"/>
                <w:noProof/>
              </w:rPr>
              <w:t>4.6.3</w:t>
            </w:r>
            <w:r w:rsidR="009C0325">
              <w:rPr>
                <w:rFonts w:eastAsiaTheme="minorEastAsia"/>
                <w:noProof/>
                <w:lang w:eastAsia="en-GB"/>
              </w:rPr>
              <w:tab/>
            </w:r>
            <w:r w:rsidR="009C0325" w:rsidRPr="00190B99">
              <w:rPr>
                <w:rStyle w:val="Hyperlink"/>
                <w:noProof/>
              </w:rPr>
              <w:t>The role of the project manager in project success.</w:t>
            </w:r>
            <w:r w:rsidR="009C0325">
              <w:rPr>
                <w:noProof/>
                <w:webHidden/>
              </w:rPr>
              <w:tab/>
            </w:r>
            <w:r w:rsidR="009C0325">
              <w:rPr>
                <w:noProof/>
                <w:webHidden/>
              </w:rPr>
              <w:fldChar w:fldCharType="begin"/>
            </w:r>
            <w:r w:rsidR="009C0325">
              <w:rPr>
                <w:noProof/>
                <w:webHidden/>
              </w:rPr>
              <w:instrText xml:space="preserve"> PAGEREF _Toc36275086 \h </w:instrText>
            </w:r>
            <w:r w:rsidR="009C0325">
              <w:rPr>
                <w:noProof/>
                <w:webHidden/>
              </w:rPr>
            </w:r>
            <w:r w:rsidR="009C0325">
              <w:rPr>
                <w:noProof/>
                <w:webHidden/>
              </w:rPr>
              <w:fldChar w:fldCharType="separate"/>
            </w:r>
            <w:r w:rsidR="009C0325">
              <w:rPr>
                <w:noProof/>
                <w:webHidden/>
              </w:rPr>
              <w:t>99</w:t>
            </w:r>
            <w:r w:rsidR="009C0325">
              <w:rPr>
                <w:noProof/>
                <w:webHidden/>
              </w:rPr>
              <w:fldChar w:fldCharType="end"/>
            </w:r>
          </w:hyperlink>
        </w:p>
        <w:p w14:paraId="3D4B042C" w14:textId="10AFE0E1" w:rsidR="009C0325" w:rsidRDefault="0076636A">
          <w:pPr>
            <w:pStyle w:val="TOC2"/>
            <w:tabs>
              <w:tab w:val="left" w:pos="880"/>
              <w:tab w:val="right" w:leader="dot" w:pos="8777"/>
            </w:tabs>
            <w:rPr>
              <w:rFonts w:eastAsiaTheme="minorEastAsia"/>
              <w:noProof/>
              <w:lang w:eastAsia="en-GB"/>
            </w:rPr>
          </w:pPr>
          <w:hyperlink w:anchor="_Toc36275087" w:history="1">
            <w:r w:rsidR="009C0325" w:rsidRPr="00190B99">
              <w:rPr>
                <w:rStyle w:val="Hyperlink"/>
                <w:bCs/>
                <w:noProof/>
              </w:rPr>
              <w:t>4.7</w:t>
            </w:r>
            <w:r w:rsidR="009C0325">
              <w:rPr>
                <w:rFonts w:eastAsiaTheme="minorEastAsia"/>
                <w:noProof/>
                <w:lang w:eastAsia="en-GB"/>
              </w:rPr>
              <w:tab/>
            </w:r>
            <w:r w:rsidR="009C0325" w:rsidRPr="00190B99">
              <w:rPr>
                <w:rStyle w:val="Hyperlink"/>
                <w:noProof/>
              </w:rPr>
              <w:t>The UK construction industry</w:t>
            </w:r>
            <w:r w:rsidR="009C0325">
              <w:rPr>
                <w:noProof/>
                <w:webHidden/>
              </w:rPr>
              <w:tab/>
            </w:r>
            <w:r w:rsidR="009C0325">
              <w:rPr>
                <w:noProof/>
                <w:webHidden/>
              </w:rPr>
              <w:fldChar w:fldCharType="begin"/>
            </w:r>
            <w:r w:rsidR="009C0325">
              <w:rPr>
                <w:noProof/>
                <w:webHidden/>
              </w:rPr>
              <w:instrText xml:space="preserve"> PAGEREF _Toc36275087 \h </w:instrText>
            </w:r>
            <w:r w:rsidR="009C0325">
              <w:rPr>
                <w:noProof/>
                <w:webHidden/>
              </w:rPr>
            </w:r>
            <w:r w:rsidR="009C0325">
              <w:rPr>
                <w:noProof/>
                <w:webHidden/>
              </w:rPr>
              <w:fldChar w:fldCharType="separate"/>
            </w:r>
            <w:r w:rsidR="009C0325">
              <w:rPr>
                <w:noProof/>
                <w:webHidden/>
              </w:rPr>
              <w:t>100</w:t>
            </w:r>
            <w:r w:rsidR="009C0325">
              <w:rPr>
                <w:noProof/>
                <w:webHidden/>
              </w:rPr>
              <w:fldChar w:fldCharType="end"/>
            </w:r>
          </w:hyperlink>
        </w:p>
        <w:p w14:paraId="01EBF0D8" w14:textId="31BA7945" w:rsidR="009C0325" w:rsidRDefault="0076636A">
          <w:pPr>
            <w:pStyle w:val="TOC2"/>
            <w:tabs>
              <w:tab w:val="left" w:pos="880"/>
              <w:tab w:val="right" w:leader="dot" w:pos="8777"/>
            </w:tabs>
            <w:rPr>
              <w:rFonts w:eastAsiaTheme="minorEastAsia"/>
              <w:noProof/>
              <w:lang w:eastAsia="en-GB"/>
            </w:rPr>
          </w:pPr>
          <w:hyperlink w:anchor="_Toc36275088" w:history="1">
            <w:r w:rsidR="009C0325" w:rsidRPr="00190B99">
              <w:rPr>
                <w:rStyle w:val="Hyperlink"/>
                <w:bCs/>
                <w:noProof/>
              </w:rPr>
              <w:t>4.8</w:t>
            </w:r>
            <w:r w:rsidR="009C0325">
              <w:rPr>
                <w:rFonts w:eastAsiaTheme="minorEastAsia"/>
                <w:noProof/>
                <w:lang w:eastAsia="en-GB"/>
              </w:rPr>
              <w:tab/>
            </w:r>
            <w:r w:rsidR="009C0325" w:rsidRPr="00190B99">
              <w:rPr>
                <w:rStyle w:val="Hyperlink"/>
                <w:noProof/>
              </w:rPr>
              <w:t>Concluding remarks on governance review</w:t>
            </w:r>
            <w:r w:rsidR="009C0325">
              <w:rPr>
                <w:noProof/>
                <w:webHidden/>
              </w:rPr>
              <w:tab/>
            </w:r>
            <w:r w:rsidR="009C0325">
              <w:rPr>
                <w:noProof/>
                <w:webHidden/>
              </w:rPr>
              <w:fldChar w:fldCharType="begin"/>
            </w:r>
            <w:r w:rsidR="009C0325">
              <w:rPr>
                <w:noProof/>
                <w:webHidden/>
              </w:rPr>
              <w:instrText xml:space="preserve"> PAGEREF _Toc36275088 \h </w:instrText>
            </w:r>
            <w:r w:rsidR="009C0325">
              <w:rPr>
                <w:noProof/>
                <w:webHidden/>
              </w:rPr>
            </w:r>
            <w:r w:rsidR="009C0325">
              <w:rPr>
                <w:noProof/>
                <w:webHidden/>
              </w:rPr>
              <w:fldChar w:fldCharType="separate"/>
            </w:r>
            <w:r w:rsidR="009C0325">
              <w:rPr>
                <w:noProof/>
                <w:webHidden/>
              </w:rPr>
              <w:t>102</w:t>
            </w:r>
            <w:r w:rsidR="009C0325">
              <w:rPr>
                <w:noProof/>
                <w:webHidden/>
              </w:rPr>
              <w:fldChar w:fldCharType="end"/>
            </w:r>
          </w:hyperlink>
        </w:p>
        <w:p w14:paraId="53832E50" w14:textId="0F9DB5C5" w:rsidR="009C0325" w:rsidRDefault="0076636A">
          <w:pPr>
            <w:pStyle w:val="TOC2"/>
            <w:tabs>
              <w:tab w:val="left" w:pos="880"/>
              <w:tab w:val="right" w:leader="dot" w:pos="8777"/>
            </w:tabs>
            <w:rPr>
              <w:rFonts w:eastAsiaTheme="minorEastAsia"/>
              <w:noProof/>
              <w:lang w:eastAsia="en-GB"/>
            </w:rPr>
          </w:pPr>
          <w:hyperlink w:anchor="_Toc36275089" w:history="1">
            <w:r w:rsidR="009C0325" w:rsidRPr="00190B99">
              <w:rPr>
                <w:rStyle w:val="Hyperlink"/>
                <w:bCs/>
                <w:noProof/>
              </w:rPr>
              <w:t>4.9</w:t>
            </w:r>
            <w:r w:rsidR="009C0325">
              <w:rPr>
                <w:rFonts w:eastAsiaTheme="minorEastAsia"/>
                <w:noProof/>
                <w:lang w:eastAsia="en-GB"/>
              </w:rPr>
              <w:tab/>
            </w:r>
            <w:r w:rsidR="009C0325" w:rsidRPr="00190B99">
              <w:rPr>
                <w:rStyle w:val="Hyperlink"/>
                <w:noProof/>
              </w:rPr>
              <w:t>Development of the conceptual framework</w:t>
            </w:r>
            <w:r w:rsidR="009C0325">
              <w:rPr>
                <w:noProof/>
                <w:webHidden/>
              </w:rPr>
              <w:tab/>
            </w:r>
            <w:r w:rsidR="009C0325">
              <w:rPr>
                <w:noProof/>
                <w:webHidden/>
              </w:rPr>
              <w:fldChar w:fldCharType="begin"/>
            </w:r>
            <w:r w:rsidR="009C0325">
              <w:rPr>
                <w:noProof/>
                <w:webHidden/>
              </w:rPr>
              <w:instrText xml:space="preserve"> PAGEREF _Toc36275089 \h </w:instrText>
            </w:r>
            <w:r w:rsidR="009C0325">
              <w:rPr>
                <w:noProof/>
                <w:webHidden/>
              </w:rPr>
            </w:r>
            <w:r w:rsidR="009C0325">
              <w:rPr>
                <w:noProof/>
                <w:webHidden/>
              </w:rPr>
              <w:fldChar w:fldCharType="separate"/>
            </w:r>
            <w:r w:rsidR="009C0325">
              <w:rPr>
                <w:noProof/>
                <w:webHidden/>
              </w:rPr>
              <w:t>104</w:t>
            </w:r>
            <w:r w:rsidR="009C0325">
              <w:rPr>
                <w:noProof/>
                <w:webHidden/>
              </w:rPr>
              <w:fldChar w:fldCharType="end"/>
            </w:r>
          </w:hyperlink>
        </w:p>
        <w:p w14:paraId="6A949478" w14:textId="33DE51A8" w:rsidR="009C0325" w:rsidRDefault="0076636A">
          <w:pPr>
            <w:pStyle w:val="TOC1"/>
            <w:rPr>
              <w:rFonts w:eastAsiaTheme="minorEastAsia"/>
              <w:noProof/>
              <w:lang w:eastAsia="en-GB"/>
            </w:rPr>
          </w:pPr>
          <w:hyperlink w:anchor="_Toc36275090" w:history="1">
            <w:r w:rsidR="009C0325" w:rsidRPr="00190B99">
              <w:rPr>
                <w:rStyle w:val="Hyperlink"/>
                <w:noProof/>
              </w:rPr>
              <w:t>5</w:t>
            </w:r>
            <w:r w:rsidR="009C0325">
              <w:rPr>
                <w:rFonts w:eastAsiaTheme="minorEastAsia"/>
                <w:noProof/>
                <w:lang w:eastAsia="en-GB"/>
              </w:rPr>
              <w:tab/>
            </w:r>
            <w:r w:rsidR="009C0325" w:rsidRPr="00190B99">
              <w:rPr>
                <w:rStyle w:val="Hyperlink"/>
                <w:noProof/>
              </w:rPr>
              <w:t>Research Methodology</w:t>
            </w:r>
            <w:r w:rsidR="009C0325">
              <w:rPr>
                <w:noProof/>
                <w:webHidden/>
              </w:rPr>
              <w:tab/>
            </w:r>
            <w:r w:rsidR="009C0325">
              <w:rPr>
                <w:noProof/>
                <w:webHidden/>
              </w:rPr>
              <w:fldChar w:fldCharType="begin"/>
            </w:r>
            <w:r w:rsidR="009C0325">
              <w:rPr>
                <w:noProof/>
                <w:webHidden/>
              </w:rPr>
              <w:instrText xml:space="preserve"> PAGEREF _Toc36275090 \h </w:instrText>
            </w:r>
            <w:r w:rsidR="009C0325">
              <w:rPr>
                <w:noProof/>
                <w:webHidden/>
              </w:rPr>
            </w:r>
            <w:r w:rsidR="009C0325">
              <w:rPr>
                <w:noProof/>
                <w:webHidden/>
              </w:rPr>
              <w:fldChar w:fldCharType="separate"/>
            </w:r>
            <w:r w:rsidR="009C0325">
              <w:rPr>
                <w:noProof/>
                <w:webHidden/>
              </w:rPr>
              <w:t>106</w:t>
            </w:r>
            <w:r w:rsidR="009C0325">
              <w:rPr>
                <w:noProof/>
                <w:webHidden/>
              </w:rPr>
              <w:fldChar w:fldCharType="end"/>
            </w:r>
          </w:hyperlink>
        </w:p>
        <w:p w14:paraId="6110B587" w14:textId="2EE8DD4A" w:rsidR="009C0325" w:rsidRDefault="0076636A">
          <w:pPr>
            <w:pStyle w:val="TOC2"/>
            <w:tabs>
              <w:tab w:val="left" w:pos="880"/>
              <w:tab w:val="right" w:leader="dot" w:pos="8777"/>
            </w:tabs>
            <w:rPr>
              <w:rFonts w:eastAsiaTheme="minorEastAsia"/>
              <w:noProof/>
              <w:lang w:eastAsia="en-GB"/>
            </w:rPr>
          </w:pPr>
          <w:hyperlink w:anchor="_Toc36275091" w:history="1">
            <w:r w:rsidR="009C0325" w:rsidRPr="00190B99">
              <w:rPr>
                <w:rStyle w:val="Hyperlink"/>
                <w:bCs/>
                <w:noProof/>
              </w:rPr>
              <w:t>5.1</w:t>
            </w:r>
            <w:r w:rsidR="009C0325">
              <w:rPr>
                <w:rFonts w:eastAsiaTheme="minorEastAsia"/>
                <w:noProof/>
                <w:lang w:eastAsia="en-GB"/>
              </w:rPr>
              <w:tab/>
            </w:r>
            <w:r w:rsidR="009C0325" w:rsidRPr="00190B99">
              <w:rPr>
                <w:rStyle w:val="Hyperlink"/>
                <w:noProof/>
              </w:rPr>
              <w:t>Introduction</w:t>
            </w:r>
            <w:r w:rsidR="009C0325">
              <w:rPr>
                <w:noProof/>
                <w:webHidden/>
              </w:rPr>
              <w:tab/>
            </w:r>
            <w:r w:rsidR="009C0325">
              <w:rPr>
                <w:noProof/>
                <w:webHidden/>
              </w:rPr>
              <w:fldChar w:fldCharType="begin"/>
            </w:r>
            <w:r w:rsidR="009C0325">
              <w:rPr>
                <w:noProof/>
                <w:webHidden/>
              </w:rPr>
              <w:instrText xml:space="preserve"> PAGEREF _Toc36275091 \h </w:instrText>
            </w:r>
            <w:r w:rsidR="009C0325">
              <w:rPr>
                <w:noProof/>
                <w:webHidden/>
              </w:rPr>
            </w:r>
            <w:r w:rsidR="009C0325">
              <w:rPr>
                <w:noProof/>
                <w:webHidden/>
              </w:rPr>
              <w:fldChar w:fldCharType="separate"/>
            </w:r>
            <w:r w:rsidR="009C0325">
              <w:rPr>
                <w:noProof/>
                <w:webHidden/>
              </w:rPr>
              <w:t>106</w:t>
            </w:r>
            <w:r w:rsidR="009C0325">
              <w:rPr>
                <w:noProof/>
                <w:webHidden/>
              </w:rPr>
              <w:fldChar w:fldCharType="end"/>
            </w:r>
          </w:hyperlink>
        </w:p>
        <w:p w14:paraId="5910F87F" w14:textId="2841D883" w:rsidR="009C0325" w:rsidRDefault="0076636A">
          <w:pPr>
            <w:pStyle w:val="TOC2"/>
            <w:tabs>
              <w:tab w:val="left" w:pos="880"/>
              <w:tab w:val="right" w:leader="dot" w:pos="8777"/>
            </w:tabs>
            <w:rPr>
              <w:rFonts w:eastAsiaTheme="minorEastAsia"/>
              <w:noProof/>
              <w:lang w:eastAsia="en-GB"/>
            </w:rPr>
          </w:pPr>
          <w:hyperlink w:anchor="_Toc36275092" w:history="1">
            <w:r w:rsidR="009C0325" w:rsidRPr="00190B99">
              <w:rPr>
                <w:rStyle w:val="Hyperlink"/>
                <w:bCs/>
                <w:noProof/>
              </w:rPr>
              <w:t>5.2</w:t>
            </w:r>
            <w:r w:rsidR="009C0325">
              <w:rPr>
                <w:rFonts w:eastAsiaTheme="minorEastAsia"/>
                <w:noProof/>
                <w:lang w:eastAsia="en-GB"/>
              </w:rPr>
              <w:tab/>
            </w:r>
            <w:r w:rsidR="009C0325" w:rsidRPr="00190B99">
              <w:rPr>
                <w:rStyle w:val="Hyperlink"/>
                <w:noProof/>
              </w:rPr>
              <w:t>Research Paradigm</w:t>
            </w:r>
            <w:r w:rsidR="009C0325">
              <w:rPr>
                <w:noProof/>
                <w:webHidden/>
              </w:rPr>
              <w:tab/>
            </w:r>
            <w:r w:rsidR="009C0325">
              <w:rPr>
                <w:noProof/>
                <w:webHidden/>
              </w:rPr>
              <w:fldChar w:fldCharType="begin"/>
            </w:r>
            <w:r w:rsidR="009C0325">
              <w:rPr>
                <w:noProof/>
                <w:webHidden/>
              </w:rPr>
              <w:instrText xml:space="preserve"> PAGEREF _Toc36275092 \h </w:instrText>
            </w:r>
            <w:r w:rsidR="009C0325">
              <w:rPr>
                <w:noProof/>
                <w:webHidden/>
              </w:rPr>
            </w:r>
            <w:r w:rsidR="009C0325">
              <w:rPr>
                <w:noProof/>
                <w:webHidden/>
              </w:rPr>
              <w:fldChar w:fldCharType="separate"/>
            </w:r>
            <w:r w:rsidR="009C0325">
              <w:rPr>
                <w:noProof/>
                <w:webHidden/>
              </w:rPr>
              <w:t>106</w:t>
            </w:r>
            <w:r w:rsidR="009C0325">
              <w:rPr>
                <w:noProof/>
                <w:webHidden/>
              </w:rPr>
              <w:fldChar w:fldCharType="end"/>
            </w:r>
          </w:hyperlink>
        </w:p>
        <w:p w14:paraId="7B1A1506" w14:textId="44EF02C4" w:rsidR="009C0325" w:rsidRDefault="0076636A">
          <w:pPr>
            <w:pStyle w:val="TOC3"/>
            <w:tabs>
              <w:tab w:val="left" w:pos="1320"/>
              <w:tab w:val="right" w:leader="dot" w:pos="8777"/>
            </w:tabs>
            <w:rPr>
              <w:rFonts w:eastAsiaTheme="minorEastAsia"/>
              <w:noProof/>
              <w:lang w:eastAsia="en-GB"/>
            </w:rPr>
          </w:pPr>
          <w:hyperlink w:anchor="_Toc36275093" w:history="1">
            <w:r w:rsidR="009C0325" w:rsidRPr="00190B99">
              <w:rPr>
                <w:rStyle w:val="Hyperlink"/>
                <w:rFonts w:cstheme="minorHAnsi"/>
                <w:noProof/>
              </w:rPr>
              <w:t>5.2.1</w:t>
            </w:r>
            <w:r w:rsidR="009C0325">
              <w:rPr>
                <w:rFonts w:eastAsiaTheme="minorEastAsia"/>
                <w:noProof/>
                <w:lang w:eastAsia="en-GB"/>
              </w:rPr>
              <w:tab/>
            </w:r>
            <w:r w:rsidR="009C0325" w:rsidRPr="00190B99">
              <w:rPr>
                <w:rStyle w:val="Hyperlink"/>
                <w:noProof/>
              </w:rPr>
              <w:t>Research methodology debate</w:t>
            </w:r>
            <w:r w:rsidR="009C0325">
              <w:rPr>
                <w:noProof/>
                <w:webHidden/>
              </w:rPr>
              <w:tab/>
            </w:r>
            <w:r w:rsidR="009C0325">
              <w:rPr>
                <w:noProof/>
                <w:webHidden/>
              </w:rPr>
              <w:fldChar w:fldCharType="begin"/>
            </w:r>
            <w:r w:rsidR="009C0325">
              <w:rPr>
                <w:noProof/>
                <w:webHidden/>
              </w:rPr>
              <w:instrText xml:space="preserve"> PAGEREF _Toc36275093 \h </w:instrText>
            </w:r>
            <w:r w:rsidR="009C0325">
              <w:rPr>
                <w:noProof/>
                <w:webHidden/>
              </w:rPr>
            </w:r>
            <w:r w:rsidR="009C0325">
              <w:rPr>
                <w:noProof/>
                <w:webHidden/>
              </w:rPr>
              <w:fldChar w:fldCharType="separate"/>
            </w:r>
            <w:r w:rsidR="009C0325">
              <w:rPr>
                <w:noProof/>
                <w:webHidden/>
              </w:rPr>
              <w:t>106</w:t>
            </w:r>
            <w:r w:rsidR="009C0325">
              <w:rPr>
                <w:noProof/>
                <w:webHidden/>
              </w:rPr>
              <w:fldChar w:fldCharType="end"/>
            </w:r>
          </w:hyperlink>
        </w:p>
        <w:p w14:paraId="32A56ECF" w14:textId="1B6C3C5E" w:rsidR="009C0325" w:rsidRDefault="0076636A">
          <w:pPr>
            <w:pStyle w:val="TOC3"/>
            <w:tabs>
              <w:tab w:val="left" w:pos="1320"/>
              <w:tab w:val="right" w:leader="dot" w:pos="8777"/>
            </w:tabs>
            <w:rPr>
              <w:rFonts w:eastAsiaTheme="minorEastAsia"/>
              <w:noProof/>
              <w:lang w:eastAsia="en-GB"/>
            </w:rPr>
          </w:pPr>
          <w:hyperlink w:anchor="_Toc36275094" w:history="1">
            <w:r w:rsidR="009C0325" w:rsidRPr="00190B99">
              <w:rPr>
                <w:rStyle w:val="Hyperlink"/>
                <w:rFonts w:cstheme="minorHAnsi"/>
                <w:noProof/>
              </w:rPr>
              <w:t>5.2.2</w:t>
            </w:r>
            <w:r w:rsidR="009C0325">
              <w:rPr>
                <w:rFonts w:eastAsiaTheme="minorEastAsia"/>
                <w:noProof/>
                <w:lang w:eastAsia="en-GB"/>
              </w:rPr>
              <w:tab/>
            </w:r>
            <w:r w:rsidR="009C0325" w:rsidRPr="00190B99">
              <w:rPr>
                <w:rStyle w:val="Hyperlink"/>
                <w:noProof/>
              </w:rPr>
              <w:t>Quantitative approach</w:t>
            </w:r>
            <w:r w:rsidR="009C0325">
              <w:rPr>
                <w:noProof/>
                <w:webHidden/>
              </w:rPr>
              <w:tab/>
            </w:r>
            <w:r w:rsidR="009C0325">
              <w:rPr>
                <w:noProof/>
                <w:webHidden/>
              </w:rPr>
              <w:fldChar w:fldCharType="begin"/>
            </w:r>
            <w:r w:rsidR="009C0325">
              <w:rPr>
                <w:noProof/>
                <w:webHidden/>
              </w:rPr>
              <w:instrText xml:space="preserve"> PAGEREF _Toc36275094 \h </w:instrText>
            </w:r>
            <w:r w:rsidR="009C0325">
              <w:rPr>
                <w:noProof/>
                <w:webHidden/>
              </w:rPr>
            </w:r>
            <w:r w:rsidR="009C0325">
              <w:rPr>
                <w:noProof/>
                <w:webHidden/>
              </w:rPr>
              <w:fldChar w:fldCharType="separate"/>
            </w:r>
            <w:r w:rsidR="009C0325">
              <w:rPr>
                <w:noProof/>
                <w:webHidden/>
              </w:rPr>
              <w:t>108</w:t>
            </w:r>
            <w:r w:rsidR="009C0325">
              <w:rPr>
                <w:noProof/>
                <w:webHidden/>
              </w:rPr>
              <w:fldChar w:fldCharType="end"/>
            </w:r>
          </w:hyperlink>
        </w:p>
        <w:p w14:paraId="0F98B6C5" w14:textId="31F69DBD" w:rsidR="009C0325" w:rsidRDefault="0076636A">
          <w:pPr>
            <w:pStyle w:val="TOC3"/>
            <w:tabs>
              <w:tab w:val="left" w:pos="1320"/>
              <w:tab w:val="right" w:leader="dot" w:pos="8777"/>
            </w:tabs>
            <w:rPr>
              <w:rFonts w:eastAsiaTheme="minorEastAsia"/>
              <w:noProof/>
              <w:lang w:eastAsia="en-GB"/>
            </w:rPr>
          </w:pPr>
          <w:hyperlink w:anchor="_Toc36275095" w:history="1">
            <w:r w:rsidR="009C0325" w:rsidRPr="00190B99">
              <w:rPr>
                <w:rStyle w:val="Hyperlink"/>
                <w:rFonts w:cstheme="minorHAnsi"/>
                <w:noProof/>
              </w:rPr>
              <w:t>5.2.3</w:t>
            </w:r>
            <w:r w:rsidR="009C0325">
              <w:rPr>
                <w:rFonts w:eastAsiaTheme="minorEastAsia"/>
                <w:noProof/>
                <w:lang w:eastAsia="en-GB"/>
              </w:rPr>
              <w:tab/>
            </w:r>
            <w:r w:rsidR="009C0325" w:rsidRPr="00190B99">
              <w:rPr>
                <w:rStyle w:val="Hyperlink"/>
                <w:noProof/>
              </w:rPr>
              <w:t>Qualitative research</w:t>
            </w:r>
            <w:r w:rsidR="009C0325">
              <w:rPr>
                <w:noProof/>
                <w:webHidden/>
              </w:rPr>
              <w:tab/>
            </w:r>
            <w:r w:rsidR="009C0325">
              <w:rPr>
                <w:noProof/>
                <w:webHidden/>
              </w:rPr>
              <w:fldChar w:fldCharType="begin"/>
            </w:r>
            <w:r w:rsidR="009C0325">
              <w:rPr>
                <w:noProof/>
                <w:webHidden/>
              </w:rPr>
              <w:instrText xml:space="preserve"> PAGEREF _Toc36275095 \h </w:instrText>
            </w:r>
            <w:r w:rsidR="009C0325">
              <w:rPr>
                <w:noProof/>
                <w:webHidden/>
              </w:rPr>
            </w:r>
            <w:r w:rsidR="009C0325">
              <w:rPr>
                <w:noProof/>
                <w:webHidden/>
              </w:rPr>
              <w:fldChar w:fldCharType="separate"/>
            </w:r>
            <w:r w:rsidR="009C0325">
              <w:rPr>
                <w:noProof/>
                <w:webHidden/>
              </w:rPr>
              <w:t>110</w:t>
            </w:r>
            <w:r w:rsidR="009C0325">
              <w:rPr>
                <w:noProof/>
                <w:webHidden/>
              </w:rPr>
              <w:fldChar w:fldCharType="end"/>
            </w:r>
          </w:hyperlink>
        </w:p>
        <w:p w14:paraId="70A8668D" w14:textId="393EEFDF" w:rsidR="009C0325" w:rsidRDefault="0076636A">
          <w:pPr>
            <w:pStyle w:val="TOC3"/>
            <w:tabs>
              <w:tab w:val="left" w:pos="1320"/>
              <w:tab w:val="right" w:leader="dot" w:pos="8777"/>
            </w:tabs>
            <w:rPr>
              <w:rFonts w:eastAsiaTheme="minorEastAsia"/>
              <w:noProof/>
              <w:lang w:eastAsia="en-GB"/>
            </w:rPr>
          </w:pPr>
          <w:hyperlink w:anchor="_Toc36275096" w:history="1">
            <w:r w:rsidR="009C0325" w:rsidRPr="00190B99">
              <w:rPr>
                <w:rStyle w:val="Hyperlink"/>
                <w:rFonts w:cstheme="minorHAnsi"/>
                <w:noProof/>
              </w:rPr>
              <w:t>5.2.4</w:t>
            </w:r>
            <w:r w:rsidR="009C0325">
              <w:rPr>
                <w:rFonts w:eastAsiaTheme="minorEastAsia"/>
                <w:noProof/>
                <w:lang w:eastAsia="en-GB"/>
              </w:rPr>
              <w:tab/>
            </w:r>
            <w:r w:rsidR="009C0325" w:rsidRPr="00190B99">
              <w:rPr>
                <w:rStyle w:val="Hyperlink"/>
                <w:noProof/>
              </w:rPr>
              <w:t>Mixed methods</w:t>
            </w:r>
            <w:r w:rsidR="009C0325">
              <w:rPr>
                <w:noProof/>
                <w:webHidden/>
              </w:rPr>
              <w:tab/>
            </w:r>
            <w:r w:rsidR="009C0325">
              <w:rPr>
                <w:noProof/>
                <w:webHidden/>
              </w:rPr>
              <w:fldChar w:fldCharType="begin"/>
            </w:r>
            <w:r w:rsidR="009C0325">
              <w:rPr>
                <w:noProof/>
                <w:webHidden/>
              </w:rPr>
              <w:instrText xml:space="preserve"> PAGEREF _Toc36275096 \h </w:instrText>
            </w:r>
            <w:r w:rsidR="009C0325">
              <w:rPr>
                <w:noProof/>
                <w:webHidden/>
              </w:rPr>
            </w:r>
            <w:r w:rsidR="009C0325">
              <w:rPr>
                <w:noProof/>
                <w:webHidden/>
              </w:rPr>
              <w:fldChar w:fldCharType="separate"/>
            </w:r>
            <w:r w:rsidR="009C0325">
              <w:rPr>
                <w:noProof/>
                <w:webHidden/>
              </w:rPr>
              <w:t>113</w:t>
            </w:r>
            <w:r w:rsidR="009C0325">
              <w:rPr>
                <w:noProof/>
                <w:webHidden/>
              </w:rPr>
              <w:fldChar w:fldCharType="end"/>
            </w:r>
          </w:hyperlink>
        </w:p>
        <w:p w14:paraId="077317E7" w14:textId="337A81E9" w:rsidR="009C0325" w:rsidRDefault="0076636A">
          <w:pPr>
            <w:pStyle w:val="TOC3"/>
            <w:tabs>
              <w:tab w:val="left" w:pos="1320"/>
              <w:tab w:val="right" w:leader="dot" w:pos="8777"/>
            </w:tabs>
            <w:rPr>
              <w:rFonts w:eastAsiaTheme="minorEastAsia"/>
              <w:noProof/>
              <w:lang w:eastAsia="en-GB"/>
            </w:rPr>
          </w:pPr>
          <w:hyperlink w:anchor="_Toc36275097" w:history="1">
            <w:r w:rsidR="009C0325" w:rsidRPr="00190B99">
              <w:rPr>
                <w:rStyle w:val="Hyperlink"/>
                <w:rFonts w:cstheme="minorHAnsi"/>
                <w:noProof/>
              </w:rPr>
              <w:t>5.2.5</w:t>
            </w:r>
            <w:r w:rsidR="009C0325">
              <w:rPr>
                <w:rFonts w:eastAsiaTheme="minorEastAsia"/>
                <w:noProof/>
                <w:lang w:eastAsia="en-GB"/>
              </w:rPr>
              <w:tab/>
            </w:r>
            <w:r w:rsidR="009C0325" w:rsidRPr="00190B99">
              <w:rPr>
                <w:rStyle w:val="Hyperlink"/>
                <w:noProof/>
              </w:rPr>
              <w:t>Justification for mixed methods adopted in the study</w:t>
            </w:r>
            <w:r w:rsidR="009C0325">
              <w:rPr>
                <w:noProof/>
                <w:webHidden/>
              </w:rPr>
              <w:tab/>
            </w:r>
            <w:r w:rsidR="009C0325">
              <w:rPr>
                <w:noProof/>
                <w:webHidden/>
              </w:rPr>
              <w:fldChar w:fldCharType="begin"/>
            </w:r>
            <w:r w:rsidR="009C0325">
              <w:rPr>
                <w:noProof/>
                <w:webHidden/>
              </w:rPr>
              <w:instrText xml:space="preserve"> PAGEREF _Toc36275097 \h </w:instrText>
            </w:r>
            <w:r w:rsidR="009C0325">
              <w:rPr>
                <w:noProof/>
                <w:webHidden/>
              </w:rPr>
            </w:r>
            <w:r w:rsidR="009C0325">
              <w:rPr>
                <w:noProof/>
                <w:webHidden/>
              </w:rPr>
              <w:fldChar w:fldCharType="separate"/>
            </w:r>
            <w:r w:rsidR="009C0325">
              <w:rPr>
                <w:noProof/>
                <w:webHidden/>
              </w:rPr>
              <w:t>115</w:t>
            </w:r>
            <w:r w:rsidR="009C0325">
              <w:rPr>
                <w:noProof/>
                <w:webHidden/>
              </w:rPr>
              <w:fldChar w:fldCharType="end"/>
            </w:r>
          </w:hyperlink>
        </w:p>
        <w:p w14:paraId="6568A2F3" w14:textId="3C173A31" w:rsidR="009C0325" w:rsidRDefault="0076636A">
          <w:pPr>
            <w:pStyle w:val="TOC2"/>
            <w:tabs>
              <w:tab w:val="left" w:pos="880"/>
              <w:tab w:val="right" w:leader="dot" w:pos="8777"/>
            </w:tabs>
            <w:rPr>
              <w:rFonts w:eastAsiaTheme="minorEastAsia"/>
              <w:noProof/>
              <w:lang w:eastAsia="en-GB"/>
            </w:rPr>
          </w:pPr>
          <w:hyperlink w:anchor="_Toc36275098" w:history="1">
            <w:r w:rsidR="009C0325" w:rsidRPr="00190B99">
              <w:rPr>
                <w:rStyle w:val="Hyperlink"/>
                <w:bCs/>
                <w:noProof/>
              </w:rPr>
              <w:t>5.3</w:t>
            </w:r>
            <w:r w:rsidR="009C0325">
              <w:rPr>
                <w:rFonts w:eastAsiaTheme="minorEastAsia"/>
                <w:noProof/>
                <w:lang w:eastAsia="en-GB"/>
              </w:rPr>
              <w:tab/>
            </w:r>
            <w:r w:rsidR="009C0325" w:rsidRPr="00190B99">
              <w:rPr>
                <w:rStyle w:val="Hyperlink"/>
                <w:noProof/>
              </w:rPr>
              <w:t>Data collection</w:t>
            </w:r>
            <w:r w:rsidR="009C0325">
              <w:rPr>
                <w:noProof/>
                <w:webHidden/>
              </w:rPr>
              <w:tab/>
            </w:r>
            <w:r w:rsidR="009C0325">
              <w:rPr>
                <w:noProof/>
                <w:webHidden/>
              </w:rPr>
              <w:fldChar w:fldCharType="begin"/>
            </w:r>
            <w:r w:rsidR="009C0325">
              <w:rPr>
                <w:noProof/>
                <w:webHidden/>
              </w:rPr>
              <w:instrText xml:space="preserve"> PAGEREF _Toc36275098 \h </w:instrText>
            </w:r>
            <w:r w:rsidR="009C0325">
              <w:rPr>
                <w:noProof/>
                <w:webHidden/>
              </w:rPr>
            </w:r>
            <w:r w:rsidR="009C0325">
              <w:rPr>
                <w:noProof/>
                <w:webHidden/>
              </w:rPr>
              <w:fldChar w:fldCharType="separate"/>
            </w:r>
            <w:r w:rsidR="009C0325">
              <w:rPr>
                <w:noProof/>
                <w:webHidden/>
              </w:rPr>
              <w:t>118</w:t>
            </w:r>
            <w:r w:rsidR="009C0325">
              <w:rPr>
                <w:noProof/>
                <w:webHidden/>
              </w:rPr>
              <w:fldChar w:fldCharType="end"/>
            </w:r>
          </w:hyperlink>
        </w:p>
        <w:p w14:paraId="7A4040A8" w14:textId="65503156" w:rsidR="009C0325" w:rsidRDefault="0076636A">
          <w:pPr>
            <w:pStyle w:val="TOC3"/>
            <w:tabs>
              <w:tab w:val="left" w:pos="1320"/>
              <w:tab w:val="right" w:leader="dot" w:pos="8777"/>
            </w:tabs>
            <w:rPr>
              <w:rFonts w:eastAsiaTheme="minorEastAsia"/>
              <w:noProof/>
              <w:lang w:eastAsia="en-GB"/>
            </w:rPr>
          </w:pPr>
          <w:hyperlink w:anchor="_Toc36275099" w:history="1">
            <w:r w:rsidR="009C0325" w:rsidRPr="00190B99">
              <w:rPr>
                <w:rStyle w:val="Hyperlink"/>
                <w:rFonts w:cstheme="minorHAnsi"/>
                <w:noProof/>
              </w:rPr>
              <w:t>5.3.1</w:t>
            </w:r>
            <w:r w:rsidR="009C0325">
              <w:rPr>
                <w:rFonts w:eastAsiaTheme="minorEastAsia"/>
                <w:noProof/>
                <w:lang w:eastAsia="en-GB"/>
              </w:rPr>
              <w:tab/>
            </w:r>
            <w:r w:rsidR="009C0325" w:rsidRPr="00190B99">
              <w:rPr>
                <w:rStyle w:val="Hyperlink"/>
                <w:noProof/>
              </w:rPr>
              <w:t>Ethics approval</w:t>
            </w:r>
            <w:r w:rsidR="009C0325">
              <w:rPr>
                <w:noProof/>
                <w:webHidden/>
              </w:rPr>
              <w:tab/>
            </w:r>
            <w:r w:rsidR="009C0325">
              <w:rPr>
                <w:noProof/>
                <w:webHidden/>
              </w:rPr>
              <w:fldChar w:fldCharType="begin"/>
            </w:r>
            <w:r w:rsidR="009C0325">
              <w:rPr>
                <w:noProof/>
                <w:webHidden/>
              </w:rPr>
              <w:instrText xml:space="preserve"> PAGEREF _Toc36275099 \h </w:instrText>
            </w:r>
            <w:r w:rsidR="009C0325">
              <w:rPr>
                <w:noProof/>
                <w:webHidden/>
              </w:rPr>
            </w:r>
            <w:r w:rsidR="009C0325">
              <w:rPr>
                <w:noProof/>
                <w:webHidden/>
              </w:rPr>
              <w:fldChar w:fldCharType="separate"/>
            </w:r>
            <w:r w:rsidR="009C0325">
              <w:rPr>
                <w:noProof/>
                <w:webHidden/>
              </w:rPr>
              <w:t>118</w:t>
            </w:r>
            <w:r w:rsidR="009C0325">
              <w:rPr>
                <w:noProof/>
                <w:webHidden/>
              </w:rPr>
              <w:fldChar w:fldCharType="end"/>
            </w:r>
          </w:hyperlink>
        </w:p>
        <w:p w14:paraId="0DFD5AF4" w14:textId="626F0CE6" w:rsidR="009C0325" w:rsidRDefault="0076636A">
          <w:pPr>
            <w:pStyle w:val="TOC3"/>
            <w:tabs>
              <w:tab w:val="left" w:pos="1320"/>
              <w:tab w:val="right" w:leader="dot" w:pos="8777"/>
            </w:tabs>
            <w:rPr>
              <w:rFonts w:eastAsiaTheme="minorEastAsia"/>
              <w:noProof/>
              <w:lang w:eastAsia="en-GB"/>
            </w:rPr>
          </w:pPr>
          <w:hyperlink w:anchor="_Toc36275100" w:history="1">
            <w:r w:rsidR="009C0325" w:rsidRPr="00190B99">
              <w:rPr>
                <w:rStyle w:val="Hyperlink"/>
                <w:rFonts w:cstheme="minorHAnsi"/>
                <w:noProof/>
              </w:rPr>
              <w:t>5.3.2</w:t>
            </w:r>
            <w:r w:rsidR="009C0325">
              <w:rPr>
                <w:rFonts w:eastAsiaTheme="minorEastAsia"/>
                <w:noProof/>
                <w:lang w:eastAsia="en-GB"/>
              </w:rPr>
              <w:tab/>
            </w:r>
            <w:r w:rsidR="009C0325" w:rsidRPr="00190B99">
              <w:rPr>
                <w:rStyle w:val="Hyperlink"/>
                <w:noProof/>
              </w:rPr>
              <w:t>Pre-testing</w:t>
            </w:r>
            <w:r w:rsidR="009C0325">
              <w:rPr>
                <w:noProof/>
                <w:webHidden/>
              </w:rPr>
              <w:tab/>
            </w:r>
            <w:r w:rsidR="009C0325">
              <w:rPr>
                <w:noProof/>
                <w:webHidden/>
              </w:rPr>
              <w:fldChar w:fldCharType="begin"/>
            </w:r>
            <w:r w:rsidR="009C0325">
              <w:rPr>
                <w:noProof/>
                <w:webHidden/>
              </w:rPr>
              <w:instrText xml:space="preserve"> PAGEREF _Toc36275100 \h </w:instrText>
            </w:r>
            <w:r w:rsidR="009C0325">
              <w:rPr>
                <w:noProof/>
                <w:webHidden/>
              </w:rPr>
            </w:r>
            <w:r w:rsidR="009C0325">
              <w:rPr>
                <w:noProof/>
                <w:webHidden/>
              </w:rPr>
              <w:fldChar w:fldCharType="separate"/>
            </w:r>
            <w:r w:rsidR="009C0325">
              <w:rPr>
                <w:noProof/>
                <w:webHidden/>
              </w:rPr>
              <w:t>118</w:t>
            </w:r>
            <w:r w:rsidR="009C0325">
              <w:rPr>
                <w:noProof/>
                <w:webHidden/>
              </w:rPr>
              <w:fldChar w:fldCharType="end"/>
            </w:r>
          </w:hyperlink>
        </w:p>
        <w:p w14:paraId="4B970819" w14:textId="44AFD3E6" w:rsidR="009C0325" w:rsidRDefault="0076636A">
          <w:pPr>
            <w:pStyle w:val="TOC3"/>
            <w:tabs>
              <w:tab w:val="left" w:pos="1320"/>
              <w:tab w:val="right" w:leader="dot" w:pos="8777"/>
            </w:tabs>
            <w:rPr>
              <w:rFonts w:eastAsiaTheme="minorEastAsia"/>
              <w:noProof/>
              <w:lang w:eastAsia="en-GB"/>
            </w:rPr>
          </w:pPr>
          <w:hyperlink w:anchor="_Toc36275101" w:history="1">
            <w:r w:rsidR="009C0325" w:rsidRPr="00190B99">
              <w:rPr>
                <w:rStyle w:val="Hyperlink"/>
                <w:rFonts w:cstheme="minorHAnsi"/>
                <w:noProof/>
              </w:rPr>
              <w:t>5.3.3</w:t>
            </w:r>
            <w:r w:rsidR="009C0325">
              <w:rPr>
                <w:rFonts w:eastAsiaTheme="minorEastAsia"/>
                <w:noProof/>
                <w:lang w:eastAsia="en-GB"/>
              </w:rPr>
              <w:tab/>
            </w:r>
            <w:r w:rsidR="009C0325" w:rsidRPr="00190B99">
              <w:rPr>
                <w:rStyle w:val="Hyperlink"/>
                <w:noProof/>
              </w:rPr>
              <w:t>Data collection</w:t>
            </w:r>
            <w:r w:rsidR="009C0325">
              <w:rPr>
                <w:noProof/>
                <w:webHidden/>
              </w:rPr>
              <w:tab/>
            </w:r>
            <w:r w:rsidR="009C0325">
              <w:rPr>
                <w:noProof/>
                <w:webHidden/>
              </w:rPr>
              <w:fldChar w:fldCharType="begin"/>
            </w:r>
            <w:r w:rsidR="009C0325">
              <w:rPr>
                <w:noProof/>
                <w:webHidden/>
              </w:rPr>
              <w:instrText xml:space="preserve"> PAGEREF _Toc36275101 \h </w:instrText>
            </w:r>
            <w:r w:rsidR="009C0325">
              <w:rPr>
                <w:noProof/>
                <w:webHidden/>
              </w:rPr>
            </w:r>
            <w:r w:rsidR="009C0325">
              <w:rPr>
                <w:noProof/>
                <w:webHidden/>
              </w:rPr>
              <w:fldChar w:fldCharType="separate"/>
            </w:r>
            <w:r w:rsidR="009C0325">
              <w:rPr>
                <w:noProof/>
                <w:webHidden/>
              </w:rPr>
              <w:t>119</w:t>
            </w:r>
            <w:r w:rsidR="009C0325">
              <w:rPr>
                <w:noProof/>
                <w:webHidden/>
              </w:rPr>
              <w:fldChar w:fldCharType="end"/>
            </w:r>
          </w:hyperlink>
        </w:p>
        <w:p w14:paraId="7C1E8F87" w14:textId="276849C0" w:rsidR="009C0325" w:rsidRDefault="0076636A">
          <w:pPr>
            <w:pStyle w:val="TOC3"/>
            <w:tabs>
              <w:tab w:val="left" w:pos="1320"/>
              <w:tab w:val="right" w:leader="dot" w:pos="8777"/>
            </w:tabs>
            <w:rPr>
              <w:rFonts w:eastAsiaTheme="minorEastAsia"/>
              <w:noProof/>
              <w:lang w:eastAsia="en-GB"/>
            </w:rPr>
          </w:pPr>
          <w:hyperlink w:anchor="_Toc36275102" w:history="1">
            <w:r w:rsidR="009C0325" w:rsidRPr="00190B99">
              <w:rPr>
                <w:rStyle w:val="Hyperlink"/>
                <w:rFonts w:cstheme="minorHAnsi"/>
                <w:noProof/>
              </w:rPr>
              <w:t>5.3.4</w:t>
            </w:r>
            <w:r w:rsidR="009C0325">
              <w:rPr>
                <w:rFonts w:eastAsiaTheme="minorEastAsia"/>
                <w:noProof/>
                <w:lang w:eastAsia="en-GB"/>
              </w:rPr>
              <w:tab/>
            </w:r>
            <w:r w:rsidR="009C0325" w:rsidRPr="00190B99">
              <w:rPr>
                <w:rStyle w:val="Hyperlink"/>
                <w:noProof/>
              </w:rPr>
              <w:t>Approach to analysis of the results</w:t>
            </w:r>
            <w:r w:rsidR="009C0325">
              <w:rPr>
                <w:noProof/>
                <w:webHidden/>
              </w:rPr>
              <w:tab/>
            </w:r>
            <w:r w:rsidR="009C0325">
              <w:rPr>
                <w:noProof/>
                <w:webHidden/>
              </w:rPr>
              <w:fldChar w:fldCharType="begin"/>
            </w:r>
            <w:r w:rsidR="009C0325">
              <w:rPr>
                <w:noProof/>
                <w:webHidden/>
              </w:rPr>
              <w:instrText xml:space="preserve"> PAGEREF _Toc36275102 \h </w:instrText>
            </w:r>
            <w:r w:rsidR="009C0325">
              <w:rPr>
                <w:noProof/>
                <w:webHidden/>
              </w:rPr>
            </w:r>
            <w:r w:rsidR="009C0325">
              <w:rPr>
                <w:noProof/>
                <w:webHidden/>
              </w:rPr>
              <w:fldChar w:fldCharType="separate"/>
            </w:r>
            <w:r w:rsidR="009C0325">
              <w:rPr>
                <w:noProof/>
                <w:webHidden/>
              </w:rPr>
              <w:t>123</w:t>
            </w:r>
            <w:r w:rsidR="009C0325">
              <w:rPr>
                <w:noProof/>
                <w:webHidden/>
              </w:rPr>
              <w:fldChar w:fldCharType="end"/>
            </w:r>
          </w:hyperlink>
        </w:p>
        <w:p w14:paraId="3B753630" w14:textId="60CEFD73" w:rsidR="009C0325" w:rsidRDefault="0076636A">
          <w:pPr>
            <w:pStyle w:val="TOC3"/>
            <w:tabs>
              <w:tab w:val="left" w:pos="1320"/>
              <w:tab w:val="right" w:leader="dot" w:pos="8777"/>
            </w:tabs>
            <w:rPr>
              <w:rFonts w:eastAsiaTheme="minorEastAsia"/>
              <w:noProof/>
              <w:lang w:eastAsia="en-GB"/>
            </w:rPr>
          </w:pPr>
          <w:hyperlink w:anchor="_Toc36275103" w:history="1">
            <w:r w:rsidR="009C0325" w:rsidRPr="00190B99">
              <w:rPr>
                <w:rStyle w:val="Hyperlink"/>
                <w:rFonts w:cstheme="minorHAnsi"/>
                <w:noProof/>
              </w:rPr>
              <w:t>5.3.5</w:t>
            </w:r>
            <w:r w:rsidR="009C0325">
              <w:rPr>
                <w:rFonts w:eastAsiaTheme="minorEastAsia"/>
                <w:noProof/>
                <w:lang w:eastAsia="en-GB"/>
              </w:rPr>
              <w:tab/>
            </w:r>
            <w:r w:rsidR="009C0325" w:rsidRPr="00190B99">
              <w:rPr>
                <w:rStyle w:val="Hyperlink"/>
                <w:noProof/>
              </w:rPr>
              <w:t>Limitations of the research</w:t>
            </w:r>
            <w:r w:rsidR="009C0325">
              <w:rPr>
                <w:noProof/>
                <w:webHidden/>
              </w:rPr>
              <w:tab/>
            </w:r>
            <w:r w:rsidR="009C0325">
              <w:rPr>
                <w:noProof/>
                <w:webHidden/>
              </w:rPr>
              <w:fldChar w:fldCharType="begin"/>
            </w:r>
            <w:r w:rsidR="009C0325">
              <w:rPr>
                <w:noProof/>
                <w:webHidden/>
              </w:rPr>
              <w:instrText xml:space="preserve"> PAGEREF _Toc36275103 \h </w:instrText>
            </w:r>
            <w:r w:rsidR="009C0325">
              <w:rPr>
                <w:noProof/>
                <w:webHidden/>
              </w:rPr>
            </w:r>
            <w:r w:rsidR="009C0325">
              <w:rPr>
                <w:noProof/>
                <w:webHidden/>
              </w:rPr>
              <w:fldChar w:fldCharType="separate"/>
            </w:r>
            <w:r w:rsidR="009C0325">
              <w:rPr>
                <w:noProof/>
                <w:webHidden/>
              </w:rPr>
              <w:t>124</w:t>
            </w:r>
            <w:r w:rsidR="009C0325">
              <w:rPr>
                <w:noProof/>
                <w:webHidden/>
              </w:rPr>
              <w:fldChar w:fldCharType="end"/>
            </w:r>
          </w:hyperlink>
        </w:p>
        <w:p w14:paraId="1AACAAED" w14:textId="297AA49D" w:rsidR="009C0325" w:rsidRDefault="0076636A">
          <w:pPr>
            <w:pStyle w:val="TOC3"/>
            <w:tabs>
              <w:tab w:val="left" w:pos="1320"/>
              <w:tab w:val="right" w:leader="dot" w:pos="8777"/>
            </w:tabs>
            <w:rPr>
              <w:rFonts w:eastAsiaTheme="minorEastAsia"/>
              <w:noProof/>
              <w:lang w:eastAsia="en-GB"/>
            </w:rPr>
          </w:pPr>
          <w:hyperlink w:anchor="_Toc36275104" w:history="1">
            <w:r w:rsidR="009C0325" w:rsidRPr="00190B99">
              <w:rPr>
                <w:rStyle w:val="Hyperlink"/>
                <w:rFonts w:cstheme="minorHAnsi"/>
                <w:noProof/>
              </w:rPr>
              <w:t>5.3.6</w:t>
            </w:r>
            <w:r w:rsidR="009C0325">
              <w:rPr>
                <w:rFonts w:eastAsiaTheme="minorEastAsia"/>
                <w:noProof/>
                <w:lang w:eastAsia="en-GB"/>
              </w:rPr>
              <w:tab/>
            </w:r>
            <w:r w:rsidR="009C0325" w:rsidRPr="00190B99">
              <w:rPr>
                <w:rStyle w:val="Hyperlink"/>
                <w:noProof/>
              </w:rPr>
              <w:t>Concluding remarks</w:t>
            </w:r>
            <w:r w:rsidR="009C0325">
              <w:rPr>
                <w:noProof/>
                <w:webHidden/>
              </w:rPr>
              <w:tab/>
            </w:r>
            <w:r w:rsidR="009C0325">
              <w:rPr>
                <w:noProof/>
                <w:webHidden/>
              </w:rPr>
              <w:fldChar w:fldCharType="begin"/>
            </w:r>
            <w:r w:rsidR="009C0325">
              <w:rPr>
                <w:noProof/>
                <w:webHidden/>
              </w:rPr>
              <w:instrText xml:space="preserve"> PAGEREF _Toc36275104 \h </w:instrText>
            </w:r>
            <w:r w:rsidR="009C0325">
              <w:rPr>
                <w:noProof/>
                <w:webHidden/>
              </w:rPr>
            </w:r>
            <w:r w:rsidR="009C0325">
              <w:rPr>
                <w:noProof/>
                <w:webHidden/>
              </w:rPr>
              <w:fldChar w:fldCharType="separate"/>
            </w:r>
            <w:r w:rsidR="009C0325">
              <w:rPr>
                <w:noProof/>
                <w:webHidden/>
              </w:rPr>
              <w:t>125</w:t>
            </w:r>
            <w:r w:rsidR="009C0325">
              <w:rPr>
                <w:noProof/>
                <w:webHidden/>
              </w:rPr>
              <w:fldChar w:fldCharType="end"/>
            </w:r>
          </w:hyperlink>
        </w:p>
        <w:p w14:paraId="6D26179E" w14:textId="3EA18CF0" w:rsidR="009C0325" w:rsidRDefault="0076636A">
          <w:pPr>
            <w:pStyle w:val="TOC1"/>
            <w:rPr>
              <w:rFonts w:eastAsiaTheme="minorEastAsia"/>
              <w:noProof/>
              <w:lang w:eastAsia="en-GB"/>
            </w:rPr>
          </w:pPr>
          <w:hyperlink w:anchor="_Toc36275105" w:history="1">
            <w:r w:rsidR="009C0325" w:rsidRPr="00190B99">
              <w:rPr>
                <w:rStyle w:val="Hyperlink"/>
                <w:noProof/>
              </w:rPr>
              <w:t>6</w:t>
            </w:r>
            <w:r w:rsidR="009C0325">
              <w:rPr>
                <w:rFonts w:eastAsiaTheme="minorEastAsia"/>
                <w:noProof/>
                <w:lang w:eastAsia="en-GB"/>
              </w:rPr>
              <w:tab/>
            </w:r>
            <w:r w:rsidR="009C0325" w:rsidRPr="00190B99">
              <w:rPr>
                <w:rStyle w:val="Hyperlink"/>
                <w:noProof/>
              </w:rPr>
              <w:t>Survey Results</w:t>
            </w:r>
            <w:r w:rsidR="009C0325">
              <w:rPr>
                <w:noProof/>
                <w:webHidden/>
              </w:rPr>
              <w:tab/>
            </w:r>
            <w:r w:rsidR="009C0325">
              <w:rPr>
                <w:noProof/>
                <w:webHidden/>
              </w:rPr>
              <w:fldChar w:fldCharType="begin"/>
            </w:r>
            <w:r w:rsidR="009C0325">
              <w:rPr>
                <w:noProof/>
                <w:webHidden/>
              </w:rPr>
              <w:instrText xml:space="preserve"> PAGEREF _Toc36275105 \h </w:instrText>
            </w:r>
            <w:r w:rsidR="009C0325">
              <w:rPr>
                <w:noProof/>
                <w:webHidden/>
              </w:rPr>
            </w:r>
            <w:r w:rsidR="009C0325">
              <w:rPr>
                <w:noProof/>
                <w:webHidden/>
              </w:rPr>
              <w:fldChar w:fldCharType="separate"/>
            </w:r>
            <w:r w:rsidR="009C0325">
              <w:rPr>
                <w:noProof/>
                <w:webHidden/>
              </w:rPr>
              <w:t>127</w:t>
            </w:r>
            <w:r w:rsidR="009C0325">
              <w:rPr>
                <w:noProof/>
                <w:webHidden/>
              </w:rPr>
              <w:fldChar w:fldCharType="end"/>
            </w:r>
          </w:hyperlink>
        </w:p>
        <w:p w14:paraId="6964FA36" w14:textId="47BEF8B9" w:rsidR="009C0325" w:rsidRDefault="0076636A">
          <w:pPr>
            <w:pStyle w:val="TOC2"/>
            <w:tabs>
              <w:tab w:val="left" w:pos="880"/>
              <w:tab w:val="right" w:leader="dot" w:pos="8777"/>
            </w:tabs>
            <w:rPr>
              <w:rFonts w:eastAsiaTheme="minorEastAsia"/>
              <w:noProof/>
              <w:lang w:eastAsia="en-GB"/>
            </w:rPr>
          </w:pPr>
          <w:hyperlink w:anchor="_Toc36275106" w:history="1">
            <w:r w:rsidR="009C0325" w:rsidRPr="00190B99">
              <w:rPr>
                <w:rStyle w:val="Hyperlink"/>
                <w:bCs/>
                <w:noProof/>
              </w:rPr>
              <w:t>6.1</w:t>
            </w:r>
            <w:r w:rsidR="009C0325">
              <w:rPr>
                <w:rFonts w:eastAsiaTheme="minorEastAsia"/>
                <w:noProof/>
                <w:lang w:eastAsia="en-GB"/>
              </w:rPr>
              <w:tab/>
            </w:r>
            <w:r w:rsidR="009C0325" w:rsidRPr="00190B99">
              <w:rPr>
                <w:rStyle w:val="Hyperlink"/>
                <w:noProof/>
              </w:rPr>
              <w:t>Introduction</w:t>
            </w:r>
            <w:r w:rsidR="009C0325">
              <w:rPr>
                <w:noProof/>
                <w:webHidden/>
              </w:rPr>
              <w:tab/>
            </w:r>
            <w:r w:rsidR="009C0325">
              <w:rPr>
                <w:noProof/>
                <w:webHidden/>
              </w:rPr>
              <w:fldChar w:fldCharType="begin"/>
            </w:r>
            <w:r w:rsidR="009C0325">
              <w:rPr>
                <w:noProof/>
                <w:webHidden/>
              </w:rPr>
              <w:instrText xml:space="preserve"> PAGEREF _Toc36275106 \h </w:instrText>
            </w:r>
            <w:r w:rsidR="009C0325">
              <w:rPr>
                <w:noProof/>
                <w:webHidden/>
              </w:rPr>
            </w:r>
            <w:r w:rsidR="009C0325">
              <w:rPr>
                <w:noProof/>
                <w:webHidden/>
              </w:rPr>
              <w:fldChar w:fldCharType="separate"/>
            </w:r>
            <w:r w:rsidR="009C0325">
              <w:rPr>
                <w:noProof/>
                <w:webHidden/>
              </w:rPr>
              <w:t>127</w:t>
            </w:r>
            <w:r w:rsidR="009C0325">
              <w:rPr>
                <w:noProof/>
                <w:webHidden/>
              </w:rPr>
              <w:fldChar w:fldCharType="end"/>
            </w:r>
          </w:hyperlink>
        </w:p>
        <w:p w14:paraId="61DFE685" w14:textId="022DFC58" w:rsidR="009C0325" w:rsidRDefault="0076636A">
          <w:pPr>
            <w:pStyle w:val="TOC2"/>
            <w:tabs>
              <w:tab w:val="left" w:pos="880"/>
              <w:tab w:val="right" w:leader="dot" w:pos="8777"/>
            </w:tabs>
            <w:rPr>
              <w:rFonts w:eastAsiaTheme="minorEastAsia"/>
              <w:noProof/>
              <w:lang w:eastAsia="en-GB"/>
            </w:rPr>
          </w:pPr>
          <w:hyperlink w:anchor="_Toc36275107" w:history="1">
            <w:r w:rsidR="009C0325" w:rsidRPr="00190B99">
              <w:rPr>
                <w:rStyle w:val="Hyperlink"/>
                <w:bCs/>
                <w:noProof/>
              </w:rPr>
              <w:t>6.2</w:t>
            </w:r>
            <w:r w:rsidR="009C0325">
              <w:rPr>
                <w:rFonts w:eastAsiaTheme="minorEastAsia"/>
                <w:noProof/>
                <w:lang w:eastAsia="en-GB"/>
              </w:rPr>
              <w:tab/>
            </w:r>
            <w:r w:rsidR="009C0325" w:rsidRPr="00190B99">
              <w:rPr>
                <w:rStyle w:val="Hyperlink"/>
                <w:noProof/>
              </w:rPr>
              <w:t>Validity and reliability</w:t>
            </w:r>
            <w:r w:rsidR="009C0325">
              <w:rPr>
                <w:noProof/>
                <w:webHidden/>
              </w:rPr>
              <w:tab/>
            </w:r>
            <w:r w:rsidR="009C0325">
              <w:rPr>
                <w:noProof/>
                <w:webHidden/>
              </w:rPr>
              <w:fldChar w:fldCharType="begin"/>
            </w:r>
            <w:r w:rsidR="009C0325">
              <w:rPr>
                <w:noProof/>
                <w:webHidden/>
              </w:rPr>
              <w:instrText xml:space="preserve"> PAGEREF _Toc36275107 \h </w:instrText>
            </w:r>
            <w:r w:rsidR="009C0325">
              <w:rPr>
                <w:noProof/>
                <w:webHidden/>
              </w:rPr>
            </w:r>
            <w:r w:rsidR="009C0325">
              <w:rPr>
                <w:noProof/>
                <w:webHidden/>
              </w:rPr>
              <w:fldChar w:fldCharType="separate"/>
            </w:r>
            <w:r w:rsidR="009C0325">
              <w:rPr>
                <w:noProof/>
                <w:webHidden/>
              </w:rPr>
              <w:t>127</w:t>
            </w:r>
            <w:r w:rsidR="009C0325">
              <w:rPr>
                <w:noProof/>
                <w:webHidden/>
              </w:rPr>
              <w:fldChar w:fldCharType="end"/>
            </w:r>
          </w:hyperlink>
        </w:p>
        <w:p w14:paraId="659B74A6" w14:textId="3338F46C" w:rsidR="009C0325" w:rsidRDefault="0076636A">
          <w:pPr>
            <w:pStyle w:val="TOC2"/>
            <w:tabs>
              <w:tab w:val="left" w:pos="880"/>
              <w:tab w:val="right" w:leader="dot" w:pos="8777"/>
            </w:tabs>
            <w:rPr>
              <w:rFonts w:eastAsiaTheme="minorEastAsia"/>
              <w:noProof/>
              <w:lang w:eastAsia="en-GB"/>
            </w:rPr>
          </w:pPr>
          <w:hyperlink w:anchor="_Toc36275108" w:history="1">
            <w:r w:rsidR="009C0325" w:rsidRPr="00190B99">
              <w:rPr>
                <w:rStyle w:val="Hyperlink"/>
                <w:bCs/>
                <w:noProof/>
              </w:rPr>
              <w:t>6.3</w:t>
            </w:r>
            <w:r w:rsidR="009C0325">
              <w:rPr>
                <w:rFonts w:eastAsiaTheme="minorEastAsia"/>
                <w:noProof/>
                <w:lang w:eastAsia="en-GB"/>
              </w:rPr>
              <w:tab/>
            </w:r>
            <w:r w:rsidR="009C0325" w:rsidRPr="00190B99">
              <w:rPr>
                <w:rStyle w:val="Hyperlink"/>
                <w:noProof/>
              </w:rPr>
              <w:t>Demographic and project information</w:t>
            </w:r>
            <w:r w:rsidR="009C0325">
              <w:rPr>
                <w:noProof/>
                <w:webHidden/>
              </w:rPr>
              <w:tab/>
            </w:r>
            <w:r w:rsidR="009C0325">
              <w:rPr>
                <w:noProof/>
                <w:webHidden/>
              </w:rPr>
              <w:fldChar w:fldCharType="begin"/>
            </w:r>
            <w:r w:rsidR="009C0325">
              <w:rPr>
                <w:noProof/>
                <w:webHidden/>
              </w:rPr>
              <w:instrText xml:space="preserve"> PAGEREF _Toc36275108 \h </w:instrText>
            </w:r>
            <w:r w:rsidR="009C0325">
              <w:rPr>
                <w:noProof/>
                <w:webHidden/>
              </w:rPr>
            </w:r>
            <w:r w:rsidR="009C0325">
              <w:rPr>
                <w:noProof/>
                <w:webHidden/>
              </w:rPr>
              <w:fldChar w:fldCharType="separate"/>
            </w:r>
            <w:r w:rsidR="009C0325">
              <w:rPr>
                <w:noProof/>
                <w:webHidden/>
              </w:rPr>
              <w:t>127</w:t>
            </w:r>
            <w:r w:rsidR="009C0325">
              <w:rPr>
                <w:noProof/>
                <w:webHidden/>
              </w:rPr>
              <w:fldChar w:fldCharType="end"/>
            </w:r>
          </w:hyperlink>
        </w:p>
        <w:p w14:paraId="17D6F992" w14:textId="20DBE63B" w:rsidR="009C0325" w:rsidRDefault="0076636A">
          <w:pPr>
            <w:pStyle w:val="TOC3"/>
            <w:tabs>
              <w:tab w:val="left" w:pos="1320"/>
              <w:tab w:val="right" w:leader="dot" w:pos="8777"/>
            </w:tabs>
            <w:rPr>
              <w:rFonts w:eastAsiaTheme="minorEastAsia"/>
              <w:noProof/>
              <w:lang w:eastAsia="en-GB"/>
            </w:rPr>
          </w:pPr>
          <w:hyperlink w:anchor="_Toc36275109" w:history="1">
            <w:r w:rsidR="009C0325" w:rsidRPr="00190B99">
              <w:rPr>
                <w:rStyle w:val="Hyperlink"/>
                <w:rFonts w:cstheme="minorHAnsi"/>
                <w:noProof/>
              </w:rPr>
              <w:t>6.3.1</w:t>
            </w:r>
            <w:r w:rsidR="009C0325">
              <w:rPr>
                <w:rFonts w:eastAsiaTheme="minorEastAsia"/>
                <w:noProof/>
                <w:lang w:eastAsia="en-GB"/>
              </w:rPr>
              <w:tab/>
            </w:r>
            <w:r w:rsidR="009C0325" w:rsidRPr="00190B99">
              <w:rPr>
                <w:rStyle w:val="Hyperlink"/>
                <w:noProof/>
              </w:rPr>
              <w:t>Gender</w:t>
            </w:r>
            <w:r w:rsidR="009C0325">
              <w:rPr>
                <w:noProof/>
                <w:webHidden/>
              </w:rPr>
              <w:tab/>
            </w:r>
            <w:r w:rsidR="009C0325">
              <w:rPr>
                <w:noProof/>
                <w:webHidden/>
              </w:rPr>
              <w:fldChar w:fldCharType="begin"/>
            </w:r>
            <w:r w:rsidR="009C0325">
              <w:rPr>
                <w:noProof/>
                <w:webHidden/>
              </w:rPr>
              <w:instrText xml:space="preserve"> PAGEREF _Toc36275109 \h </w:instrText>
            </w:r>
            <w:r w:rsidR="009C0325">
              <w:rPr>
                <w:noProof/>
                <w:webHidden/>
              </w:rPr>
            </w:r>
            <w:r w:rsidR="009C0325">
              <w:rPr>
                <w:noProof/>
                <w:webHidden/>
              </w:rPr>
              <w:fldChar w:fldCharType="separate"/>
            </w:r>
            <w:r w:rsidR="009C0325">
              <w:rPr>
                <w:noProof/>
                <w:webHidden/>
              </w:rPr>
              <w:t>127</w:t>
            </w:r>
            <w:r w:rsidR="009C0325">
              <w:rPr>
                <w:noProof/>
                <w:webHidden/>
              </w:rPr>
              <w:fldChar w:fldCharType="end"/>
            </w:r>
          </w:hyperlink>
        </w:p>
        <w:p w14:paraId="2D3113C8" w14:textId="28CA1C1E" w:rsidR="009C0325" w:rsidRDefault="0076636A">
          <w:pPr>
            <w:pStyle w:val="TOC3"/>
            <w:tabs>
              <w:tab w:val="left" w:pos="1320"/>
              <w:tab w:val="right" w:leader="dot" w:pos="8777"/>
            </w:tabs>
            <w:rPr>
              <w:rFonts w:eastAsiaTheme="minorEastAsia"/>
              <w:noProof/>
              <w:lang w:eastAsia="en-GB"/>
            </w:rPr>
          </w:pPr>
          <w:hyperlink w:anchor="_Toc36275110" w:history="1">
            <w:r w:rsidR="009C0325" w:rsidRPr="00190B99">
              <w:rPr>
                <w:rStyle w:val="Hyperlink"/>
                <w:rFonts w:cstheme="minorHAnsi"/>
                <w:noProof/>
              </w:rPr>
              <w:t>6.3.2</w:t>
            </w:r>
            <w:r w:rsidR="009C0325">
              <w:rPr>
                <w:rFonts w:eastAsiaTheme="minorEastAsia"/>
                <w:noProof/>
                <w:lang w:eastAsia="en-GB"/>
              </w:rPr>
              <w:tab/>
            </w:r>
            <w:r w:rsidR="009C0325" w:rsidRPr="00190B99">
              <w:rPr>
                <w:rStyle w:val="Hyperlink"/>
                <w:noProof/>
              </w:rPr>
              <w:t>Age</w:t>
            </w:r>
            <w:r w:rsidR="009C0325">
              <w:rPr>
                <w:noProof/>
                <w:webHidden/>
              </w:rPr>
              <w:tab/>
            </w:r>
            <w:r w:rsidR="009C0325">
              <w:rPr>
                <w:noProof/>
                <w:webHidden/>
              </w:rPr>
              <w:fldChar w:fldCharType="begin"/>
            </w:r>
            <w:r w:rsidR="009C0325">
              <w:rPr>
                <w:noProof/>
                <w:webHidden/>
              </w:rPr>
              <w:instrText xml:space="preserve"> PAGEREF _Toc36275110 \h </w:instrText>
            </w:r>
            <w:r w:rsidR="009C0325">
              <w:rPr>
                <w:noProof/>
                <w:webHidden/>
              </w:rPr>
            </w:r>
            <w:r w:rsidR="009C0325">
              <w:rPr>
                <w:noProof/>
                <w:webHidden/>
              </w:rPr>
              <w:fldChar w:fldCharType="separate"/>
            </w:r>
            <w:r w:rsidR="009C0325">
              <w:rPr>
                <w:noProof/>
                <w:webHidden/>
              </w:rPr>
              <w:t>128</w:t>
            </w:r>
            <w:r w:rsidR="009C0325">
              <w:rPr>
                <w:noProof/>
                <w:webHidden/>
              </w:rPr>
              <w:fldChar w:fldCharType="end"/>
            </w:r>
          </w:hyperlink>
        </w:p>
        <w:p w14:paraId="4ED0ACE8" w14:textId="554D6B13" w:rsidR="009C0325" w:rsidRDefault="0076636A">
          <w:pPr>
            <w:pStyle w:val="TOC3"/>
            <w:tabs>
              <w:tab w:val="left" w:pos="1320"/>
              <w:tab w:val="right" w:leader="dot" w:pos="8777"/>
            </w:tabs>
            <w:rPr>
              <w:rFonts w:eastAsiaTheme="minorEastAsia"/>
              <w:noProof/>
              <w:lang w:eastAsia="en-GB"/>
            </w:rPr>
          </w:pPr>
          <w:hyperlink w:anchor="_Toc36275111" w:history="1">
            <w:r w:rsidR="009C0325" w:rsidRPr="00190B99">
              <w:rPr>
                <w:rStyle w:val="Hyperlink"/>
                <w:rFonts w:cstheme="minorHAnsi"/>
                <w:noProof/>
              </w:rPr>
              <w:t>6.3.3</w:t>
            </w:r>
            <w:r w:rsidR="009C0325">
              <w:rPr>
                <w:rFonts w:eastAsiaTheme="minorEastAsia"/>
                <w:noProof/>
                <w:lang w:eastAsia="en-GB"/>
              </w:rPr>
              <w:tab/>
            </w:r>
            <w:r w:rsidR="009C0325" w:rsidRPr="00190B99">
              <w:rPr>
                <w:rStyle w:val="Hyperlink"/>
                <w:noProof/>
              </w:rPr>
              <w:t>Role</w:t>
            </w:r>
            <w:r w:rsidR="009C0325">
              <w:rPr>
                <w:noProof/>
                <w:webHidden/>
              </w:rPr>
              <w:tab/>
            </w:r>
            <w:r w:rsidR="009C0325">
              <w:rPr>
                <w:noProof/>
                <w:webHidden/>
              </w:rPr>
              <w:fldChar w:fldCharType="begin"/>
            </w:r>
            <w:r w:rsidR="009C0325">
              <w:rPr>
                <w:noProof/>
                <w:webHidden/>
              </w:rPr>
              <w:instrText xml:space="preserve"> PAGEREF _Toc36275111 \h </w:instrText>
            </w:r>
            <w:r w:rsidR="009C0325">
              <w:rPr>
                <w:noProof/>
                <w:webHidden/>
              </w:rPr>
            </w:r>
            <w:r w:rsidR="009C0325">
              <w:rPr>
                <w:noProof/>
                <w:webHidden/>
              </w:rPr>
              <w:fldChar w:fldCharType="separate"/>
            </w:r>
            <w:r w:rsidR="009C0325">
              <w:rPr>
                <w:noProof/>
                <w:webHidden/>
              </w:rPr>
              <w:t>128</w:t>
            </w:r>
            <w:r w:rsidR="009C0325">
              <w:rPr>
                <w:noProof/>
                <w:webHidden/>
              </w:rPr>
              <w:fldChar w:fldCharType="end"/>
            </w:r>
          </w:hyperlink>
        </w:p>
        <w:p w14:paraId="36862489" w14:textId="6C4CFEDC" w:rsidR="009C0325" w:rsidRDefault="0076636A">
          <w:pPr>
            <w:pStyle w:val="TOC3"/>
            <w:tabs>
              <w:tab w:val="left" w:pos="1320"/>
              <w:tab w:val="right" w:leader="dot" w:pos="8777"/>
            </w:tabs>
            <w:rPr>
              <w:rFonts w:eastAsiaTheme="minorEastAsia"/>
              <w:noProof/>
              <w:lang w:eastAsia="en-GB"/>
            </w:rPr>
          </w:pPr>
          <w:hyperlink w:anchor="_Toc36275112" w:history="1">
            <w:r w:rsidR="009C0325" w:rsidRPr="00190B99">
              <w:rPr>
                <w:rStyle w:val="Hyperlink"/>
                <w:rFonts w:cstheme="minorHAnsi"/>
                <w:noProof/>
              </w:rPr>
              <w:t>6.3.4</w:t>
            </w:r>
            <w:r w:rsidR="009C0325">
              <w:rPr>
                <w:rFonts w:eastAsiaTheme="minorEastAsia"/>
                <w:noProof/>
                <w:lang w:eastAsia="en-GB"/>
              </w:rPr>
              <w:tab/>
            </w:r>
            <w:r w:rsidR="009C0325" w:rsidRPr="00190B99">
              <w:rPr>
                <w:rStyle w:val="Hyperlink"/>
                <w:noProof/>
              </w:rPr>
              <w:t>Project completion date</w:t>
            </w:r>
            <w:r w:rsidR="009C0325">
              <w:rPr>
                <w:noProof/>
                <w:webHidden/>
              </w:rPr>
              <w:tab/>
            </w:r>
            <w:r w:rsidR="009C0325">
              <w:rPr>
                <w:noProof/>
                <w:webHidden/>
              </w:rPr>
              <w:fldChar w:fldCharType="begin"/>
            </w:r>
            <w:r w:rsidR="009C0325">
              <w:rPr>
                <w:noProof/>
                <w:webHidden/>
              </w:rPr>
              <w:instrText xml:space="preserve"> PAGEREF _Toc36275112 \h </w:instrText>
            </w:r>
            <w:r w:rsidR="009C0325">
              <w:rPr>
                <w:noProof/>
                <w:webHidden/>
              </w:rPr>
            </w:r>
            <w:r w:rsidR="009C0325">
              <w:rPr>
                <w:noProof/>
                <w:webHidden/>
              </w:rPr>
              <w:fldChar w:fldCharType="separate"/>
            </w:r>
            <w:r w:rsidR="009C0325">
              <w:rPr>
                <w:noProof/>
                <w:webHidden/>
              </w:rPr>
              <w:t>128</w:t>
            </w:r>
            <w:r w:rsidR="009C0325">
              <w:rPr>
                <w:noProof/>
                <w:webHidden/>
              </w:rPr>
              <w:fldChar w:fldCharType="end"/>
            </w:r>
          </w:hyperlink>
        </w:p>
        <w:p w14:paraId="533476F5" w14:textId="1D00AFC3" w:rsidR="009C0325" w:rsidRDefault="0076636A">
          <w:pPr>
            <w:pStyle w:val="TOC3"/>
            <w:tabs>
              <w:tab w:val="left" w:pos="1320"/>
              <w:tab w:val="right" w:leader="dot" w:pos="8777"/>
            </w:tabs>
            <w:rPr>
              <w:rFonts w:eastAsiaTheme="minorEastAsia"/>
              <w:noProof/>
              <w:lang w:eastAsia="en-GB"/>
            </w:rPr>
          </w:pPr>
          <w:hyperlink w:anchor="_Toc36275113" w:history="1">
            <w:r w:rsidR="009C0325" w:rsidRPr="00190B99">
              <w:rPr>
                <w:rStyle w:val="Hyperlink"/>
                <w:rFonts w:cstheme="minorHAnsi"/>
                <w:noProof/>
              </w:rPr>
              <w:t>6.3.5</w:t>
            </w:r>
            <w:r w:rsidR="009C0325">
              <w:rPr>
                <w:rFonts w:eastAsiaTheme="minorEastAsia"/>
                <w:noProof/>
                <w:lang w:eastAsia="en-GB"/>
              </w:rPr>
              <w:tab/>
            </w:r>
            <w:r w:rsidR="009C0325" w:rsidRPr="00190B99">
              <w:rPr>
                <w:rStyle w:val="Hyperlink"/>
                <w:noProof/>
              </w:rPr>
              <w:t>Risk profile</w:t>
            </w:r>
            <w:r w:rsidR="009C0325">
              <w:rPr>
                <w:noProof/>
                <w:webHidden/>
              </w:rPr>
              <w:tab/>
            </w:r>
            <w:r w:rsidR="009C0325">
              <w:rPr>
                <w:noProof/>
                <w:webHidden/>
              </w:rPr>
              <w:fldChar w:fldCharType="begin"/>
            </w:r>
            <w:r w:rsidR="009C0325">
              <w:rPr>
                <w:noProof/>
                <w:webHidden/>
              </w:rPr>
              <w:instrText xml:space="preserve"> PAGEREF _Toc36275113 \h </w:instrText>
            </w:r>
            <w:r w:rsidR="009C0325">
              <w:rPr>
                <w:noProof/>
                <w:webHidden/>
              </w:rPr>
            </w:r>
            <w:r w:rsidR="009C0325">
              <w:rPr>
                <w:noProof/>
                <w:webHidden/>
              </w:rPr>
              <w:fldChar w:fldCharType="separate"/>
            </w:r>
            <w:r w:rsidR="009C0325">
              <w:rPr>
                <w:noProof/>
                <w:webHidden/>
              </w:rPr>
              <w:t>129</w:t>
            </w:r>
            <w:r w:rsidR="009C0325">
              <w:rPr>
                <w:noProof/>
                <w:webHidden/>
              </w:rPr>
              <w:fldChar w:fldCharType="end"/>
            </w:r>
          </w:hyperlink>
        </w:p>
        <w:p w14:paraId="1EC47105" w14:textId="46ACD3D3" w:rsidR="009C0325" w:rsidRDefault="0076636A">
          <w:pPr>
            <w:pStyle w:val="TOC2"/>
            <w:tabs>
              <w:tab w:val="left" w:pos="880"/>
              <w:tab w:val="right" w:leader="dot" w:pos="8777"/>
            </w:tabs>
            <w:rPr>
              <w:rFonts w:eastAsiaTheme="minorEastAsia"/>
              <w:noProof/>
              <w:lang w:eastAsia="en-GB"/>
            </w:rPr>
          </w:pPr>
          <w:hyperlink w:anchor="_Toc36275114" w:history="1">
            <w:r w:rsidR="009C0325" w:rsidRPr="00190B99">
              <w:rPr>
                <w:rStyle w:val="Hyperlink"/>
                <w:bCs/>
                <w:noProof/>
              </w:rPr>
              <w:t>6.4</w:t>
            </w:r>
            <w:r w:rsidR="009C0325">
              <w:rPr>
                <w:rFonts w:eastAsiaTheme="minorEastAsia"/>
                <w:noProof/>
                <w:lang w:eastAsia="en-GB"/>
              </w:rPr>
              <w:tab/>
            </w:r>
            <w:r w:rsidR="009C0325" w:rsidRPr="00190B99">
              <w:rPr>
                <w:rStyle w:val="Hyperlink"/>
                <w:noProof/>
              </w:rPr>
              <w:t>Ethical predisposition</w:t>
            </w:r>
            <w:r w:rsidR="009C0325">
              <w:rPr>
                <w:noProof/>
                <w:webHidden/>
              </w:rPr>
              <w:tab/>
            </w:r>
            <w:r w:rsidR="009C0325">
              <w:rPr>
                <w:noProof/>
                <w:webHidden/>
              </w:rPr>
              <w:fldChar w:fldCharType="begin"/>
            </w:r>
            <w:r w:rsidR="009C0325">
              <w:rPr>
                <w:noProof/>
                <w:webHidden/>
              </w:rPr>
              <w:instrText xml:space="preserve"> PAGEREF _Toc36275114 \h </w:instrText>
            </w:r>
            <w:r w:rsidR="009C0325">
              <w:rPr>
                <w:noProof/>
                <w:webHidden/>
              </w:rPr>
            </w:r>
            <w:r w:rsidR="009C0325">
              <w:rPr>
                <w:noProof/>
                <w:webHidden/>
              </w:rPr>
              <w:fldChar w:fldCharType="separate"/>
            </w:r>
            <w:r w:rsidR="009C0325">
              <w:rPr>
                <w:noProof/>
                <w:webHidden/>
              </w:rPr>
              <w:t>130</w:t>
            </w:r>
            <w:r w:rsidR="009C0325">
              <w:rPr>
                <w:noProof/>
                <w:webHidden/>
              </w:rPr>
              <w:fldChar w:fldCharType="end"/>
            </w:r>
          </w:hyperlink>
        </w:p>
        <w:p w14:paraId="71308263" w14:textId="0EFEA435" w:rsidR="009C0325" w:rsidRDefault="0076636A">
          <w:pPr>
            <w:pStyle w:val="TOC3"/>
            <w:tabs>
              <w:tab w:val="left" w:pos="1320"/>
              <w:tab w:val="right" w:leader="dot" w:pos="8777"/>
            </w:tabs>
            <w:rPr>
              <w:rFonts w:eastAsiaTheme="minorEastAsia"/>
              <w:noProof/>
              <w:lang w:eastAsia="en-GB"/>
            </w:rPr>
          </w:pPr>
          <w:hyperlink w:anchor="_Toc36275115" w:history="1">
            <w:r w:rsidR="009C0325" w:rsidRPr="00190B99">
              <w:rPr>
                <w:rStyle w:val="Hyperlink"/>
                <w:rFonts w:cstheme="minorHAnsi"/>
                <w:noProof/>
              </w:rPr>
              <w:t>6.4.1</w:t>
            </w:r>
            <w:r w:rsidR="009C0325">
              <w:rPr>
                <w:rFonts w:eastAsiaTheme="minorEastAsia"/>
                <w:noProof/>
                <w:lang w:eastAsia="en-GB"/>
              </w:rPr>
              <w:tab/>
            </w:r>
            <w:r w:rsidR="009C0325" w:rsidRPr="00190B99">
              <w:rPr>
                <w:rStyle w:val="Hyperlink"/>
                <w:noProof/>
              </w:rPr>
              <w:t>Ethical predisposition and gender</w:t>
            </w:r>
            <w:r w:rsidR="009C0325">
              <w:rPr>
                <w:noProof/>
                <w:webHidden/>
              </w:rPr>
              <w:tab/>
            </w:r>
            <w:r w:rsidR="009C0325">
              <w:rPr>
                <w:noProof/>
                <w:webHidden/>
              </w:rPr>
              <w:fldChar w:fldCharType="begin"/>
            </w:r>
            <w:r w:rsidR="009C0325">
              <w:rPr>
                <w:noProof/>
                <w:webHidden/>
              </w:rPr>
              <w:instrText xml:space="preserve"> PAGEREF _Toc36275115 \h </w:instrText>
            </w:r>
            <w:r w:rsidR="009C0325">
              <w:rPr>
                <w:noProof/>
                <w:webHidden/>
              </w:rPr>
            </w:r>
            <w:r w:rsidR="009C0325">
              <w:rPr>
                <w:noProof/>
                <w:webHidden/>
              </w:rPr>
              <w:fldChar w:fldCharType="separate"/>
            </w:r>
            <w:r w:rsidR="009C0325">
              <w:rPr>
                <w:noProof/>
                <w:webHidden/>
              </w:rPr>
              <w:t>130</w:t>
            </w:r>
            <w:r w:rsidR="009C0325">
              <w:rPr>
                <w:noProof/>
                <w:webHidden/>
              </w:rPr>
              <w:fldChar w:fldCharType="end"/>
            </w:r>
          </w:hyperlink>
        </w:p>
        <w:p w14:paraId="6D070B4B" w14:textId="29FC5206" w:rsidR="009C0325" w:rsidRDefault="0076636A">
          <w:pPr>
            <w:pStyle w:val="TOC3"/>
            <w:tabs>
              <w:tab w:val="left" w:pos="1320"/>
              <w:tab w:val="right" w:leader="dot" w:pos="8777"/>
            </w:tabs>
            <w:rPr>
              <w:rFonts w:eastAsiaTheme="minorEastAsia"/>
              <w:noProof/>
              <w:lang w:eastAsia="en-GB"/>
            </w:rPr>
          </w:pPr>
          <w:hyperlink w:anchor="_Toc36275116" w:history="1">
            <w:r w:rsidR="009C0325" w:rsidRPr="00190B99">
              <w:rPr>
                <w:rStyle w:val="Hyperlink"/>
                <w:rFonts w:cstheme="minorHAnsi"/>
                <w:noProof/>
              </w:rPr>
              <w:t>6.4.2</w:t>
            </w:r>
            <w:r w:rsidR="009C0325">
              <w:rPr>
                <w:rFonts w:eastAsiaTheme="minorEastAsia"/>
                <w:noProof/>
                <w:lang w:eastAsia="en-GB"/>
              </w:rPr>
              <w:tab/>
            </w:r>
            <w:r w:rsidR="009C0325" w:rsidRPr="00190B99">
              <w:rPr>
                <w:rStyle w:val="Hyperlink"/>
                <w:noProof/>
              </w:rPr>
              <w:t>Ethical predisposition and age</w:t>
            </w:r>
            <w:r w:rsidR="009C0325">
              <w:rPr>
                <w:noProof/>
                <w:webHidden/>
              </w:rPr>
              <w:tab/>
            </w:r>
            <w:r w:rsidR="009C0325">
              <w:rPr>
                <w:noProof/>
                <w:webHidden/>
              </w:rPr>
              <w:fldChar w:fldCharType="begin"/>
            </w:r>
            <w:r w:rsidR="009C0325">
              <w:rPr>
                <w:noProof/>
                <w:webHidden/>
              </w:rPr>
              <w:instrText xml:space="preserve"> PAGEREF _Toc36275116 \h </w:instrText>
            </w:r>
            <w:r w:rsidR="009C0325">
              <w:rPr>
                <w:noProof/>
                <w:webHidden/>
              </w:rPr>
            </w:r>
            <w:r w:rsidR="009C0325">
              <w:rPr>
                <w:noProof/>
                <w:webHidden/>
              </w:rPr>
              <w:fldChar w:fldCharType="separate"/>
            </w:r>
            <w:r w:rsidR="009C0325">
              <w:rPr>
                <w:noProof/>
                <w:webHidden/>
              </w:rPr>
              <w:t>131</w:t>
            </w:r>
            <w:r w:rsidR="009C0325">
              <w:rPr>
                <w:noProof/>
                <w:webHidden/>
              </w:rPr>
              <w:fldChar w:fldCharType="end"/>
            </w:r>
          </w:hyperlink>
        </w:p>
        <w:p w14:paraId="42493BD9" w14:textId="130D85A5" w:rsidR="009C0325" w:rsidRDefault="0076636A">
          <w:pPr>
            <w:pStyle w:val="TOC2"/>
            <w:tabs>
              <w:tab w:val="left" w:pos="880"/>
              <w:tab w:val="right" w:leader="dot" w:pos="8777"/>
            </w:tabs>
            <w:rPr>
              <w:rFonts w:eastAsiaTheme="minorEastAsia"/>
              <w:noProof/>
              <w:lang w:eastAsia="en-GB"/>
            </w:rPr>
          </w:pPr>
          <w:hyperlink w:anchor="_Toc36275117" w:history="1">
            <w:r w:rsidR="009C0325" w:rsidRPr="00190B99">
              <w:rPr>
                <w:rStyle w:val="Hyperlink"/>
                <w:bCs/>
                <w:noProof/>
              </w:rPr>
              <w:t>6.5</w:t>
            </w:r>
            <w:r w:rsidR="009C0325">
              <w:rPr>
                <w:rFonts w:eastAsiaTheme="minorEastAsia"/>
                <w:noProof/>
                <w:lang w:eastAsia="en-GB"/>
              </w:rPr>
              <w:tab/>
            </w:r>
            <w:r w:rsidR="009C0325" w:rsidRPr="00190B99">
              <w:rPr>
                <w:rStyle w:val="Hyperlink"/>
                <w:noProof/>
              </w:rPr>
              <w:t>Ethical predisposition and project success</w:t>
            </w:r>
            <w:r w:rsidR="009C0325">
              <w:rPr>
                <w:noProof/>
                <w:webHidden/>
              </w:rPr>
              <w:tab/>
            </w:r>
            <w:r w:rsidR="009C0325">
              <w:rPr>
                <w:noProof/>
                <w:webHidden/>
              </w:rPr>
              <w:fldChar w:fldCharType="begin"/>
            </w:r>
            <w:r w:rsidR="009C0325">
              <w:rPr>
                <w:noProof/>
                <w:webHidden/>
              </w:rPr>
              <w:instrText xml:space="preserve"> PAGEREF _Toc36275117 \h </w:instrText>
            </w:r>
            <w:r w:rsidR="009C0325">
              <w:rPr>
                <w:noProof/>
                <w:webHidden/>
              </w:rPr>
            </w:r>
            <w:r w:rsidR="009C0325">
              <w:rPr>
                <w:noProof/>
                <w:webHidden/>
              </w:rPr>
              <w:fldChar w:fldCharType="separate"/>
            </w:r>
            <w:r w:rsidR="009C0325">
              <w:rPr>
                <w:noProof/>
                <w:webHidden/>
              </w:rPr>
              <w:t>132</w:t>
            </w:r>
            <w:r w:rsidR="009C0325">
              <w:rPr>
                <w:noProof/>
                <w:webHidden/>
              </w:rPr>
              <w:fldChar w:fldCharType="end"/>
            </w:r>
          </w:hyperlink>
        </w:p>
        <w:p w14:paraId="0E89DA90" w14:textId="719EC497" w:rsidR="009C0325" w:rsidRDefault="0076636A">
          <w:pPr>
            <w:pStyle w:val="TOC3"/>
            <w:tabs>
              <w:tab w:val="left" w:pos="1320"/>
              <w:tab w:val="right" w:leader="dot" w:pos="8777"/>
            </w:tabs>
            <w:rPr>
              <w:rFonts w:eastAsiaTheme="minorEastAsia"/>
              <w:noProof/>
              <w:lang w:eastAsia="en-GB"/>
            </w:rPr>
          </w:pPr>
          <w:hyperlink w:anchor="_Toc36275118" w:history="1">
            <w:r w:rsidR="009C0325" w:rsidRPr="00190B99">
              <w:rPr>
                <w:rStyle w:val="Hyperlink"/>
                <w:rFonts w:cstheme="minorHAnsi"/>
                <w:noProof/>
              </w:rPr>
              <w:t>6.5.1</w:t>
            </w:r>
            <w:r w:rsidR="009C0325">
              <w:rPr>
                <w:rFonts w:eastAsiaTheme="minorEastAsia"/>
                <w:noProof/>
                <w:lang w:eastAsia="en-GB"/>
              </w:rPr>
              <w:tab/>
            </w:r>
            <w:r w:rsidR="009C0325" w:rsidRPr="00190B99">
              <w:rPr>
                <w:rStyle w:val="Hyperlink"/>
                <w:noProof/>
              </w:rPr>
              <w:t>Ethical predisposition and claimed success (n=45)</w:t>
            </w:r>
            <w:r w:rsidR="009C0325">
              <w:rPr>
                <w:noProof/>
                <w:webHidden/>
              </w:rPr>
              <w:tab/>
            </w:r>
            <w:r w:rsidR="009C0325">
              <w:rPr>
                <w:noProof/>
                <w:webHidden/>
              </w:rPr>
              <w:fldChar w:fldCharType="begin"/>
            </w:r>
            <w:r w:rsidR="009C0325">
              <w:rPr>
                <w:noProof/>
                <w:webHidden/>
              </w:rPr>
              <w:instrText xml:space="preserve"> PAGEREF _Toc36275118 \h </w:instrText>
            </w:r>
            <w:r w:rsidR="009C0325">
              <w:rPr>
                <w:noProof/>
                <w:webHidden/>
              </w:rPr>
            </w:r>
            <w:r w:rsidR="009C0325">
              <w:rPr>
                <w:noProof/>
                <w:webHidden/>
              </w:rPr>
              <w:fldChar w:fldCharType="separate"/>
            </w:r>
            <w:r w:rsidR="009C0325">
              <w:rPr>
                <w:noProof/>
                <w:webHidden/>
              </w:rPr>
              <w:t>133</w:t>
            </w:r>
            <w:r w:rsidR="009C0325">
              <w:rPr>
                <w:noProof/>
                <w:webHidden/>
              </w:rPr>
              <w:fldChar w:fldCharType="end"/>
            </w:r>
          </w:hyperlink>
        </w:p>
        <w:p w14:paraId="59927AE9" w14:textId="24547437" w:rsidR="009C0325" w:rsidRDefault="0076636A">
          <w:pPr>
            <w:pStyle w:val="TOC3"/>
            <w:tabs>
              <w:tab w:val="left" w:pos="1320"/>
              <w:tab w:val="right" w:leader="dot" w:pos="8777"/>
            </w:tabs>
            <w:rPr>
              <w:rFonts w:eastAsiaTheme="minorEastAsia"/>
              <w:noProof/>
              <w:lang w:eastAsia="en-GB"/>
            </w:rPr>
          </w:pPr>
          <w:hyperlink w:anchor="_Toc36275119" w:history="1">
            <w:r w:rsidR="009C0325" w:rsidRPr="00190B99">
              <w:rPr>
                <w:rStyle w:val="Hyperlink"/>
                <w:rFonts w:cstheme="minorHAnsi"/>
                <w:noProof/>
              </w:rPr>
              <w:t>6.5.2</w:t>
            </w:r>
            <w:r w:rsidR="009C0325">
              <w:rPr>
                <w:rFonts w:eastAsiaTheme="minorEastAsia"/>
                <w:noProof/>
                <w:lang w:eastAsia="en-GB"/>
              </w:rPr>
              <w:tab/>
            </w:r>
            <w:r w:rsidR="009C0325" w:rsidRPr="00190B99">
              <w:rPr>
                <w:rStyle w:val="Hyperlink"/>
                <w:noProof/>
              </w:rPr>
              <w:t>Ethical predisposition and iron triangle success (n=11)</w:t>
            </w:r>
            <w:r w:rsidR="009C0325">
              <w:rPr>
                <w:noProof/>
                <w:webHidden/>
              </w:rPr>
              <w:tab/>
            </w:r>
            <w:r w:rsidR="009C0325">
              <w:rPr>
                <w:noProof/>
                <w:webHidden/>
              </w:rPr>
              <w:fldChar w:fldCharType="begin"/>
            </w:r>
            <w:r w:rsidR="009C0325">
              <w:rPr>
                <w:noProof/>
                <w:webHidden/>
              </w:rPr>
              <w:instrText xml:space="preserve"> PAGEREF _Toc36275119 \h </w:instrText>
            </w:r>
            <w:r w:rsidR="009C0325">
              <w:rPr>
                <w:noProof/>
                <w:webHidden/>
              </w:rPr>
            </w:r>
            <w:r w:rsidR="009C0325">
              <w:rPr>
                <w:noProof/>
                <w:webHidden/>
              </w:rPr>
              <w:fldChar w:fldCharType="separate"/>
            </w:r>
            <w:r w:rsidR="009C0325">
              <w:rPr>
                <w:noProof/>
                <w:webHidden/>
              </w:rPr>
              <w:t>133</w:t>
            </w:r>
            <w:r w:rsidR="009C0325">
              <w:rPr>
                <w:noProof/>
                <w:webHidden/>
              </w:rPr>
              <w:fldChar w:fldCharType="end"/>
            </w:r>
          </w:hyperlink>
        </w:p>
        <w:p w14:paraId="63822A1D" w14:textId="2367D683" w:rsidR="009C0325" w:rsidRDefault="0076636A">
          <w:pPr>
            <w:pStyle w:val="TOC3"/>
            <w:tabs>
              <w:tab w:val="left" w:pos="1320"/>
              <w:tab w:val="right" w:leader="dot" w:pos="8777"/>
            </w:tabs>
            <w:rPr>
              <w:rFonts w:eastAsiaTheme="minorEastAsia"/>
              <w:noProof/>
              <w:lang w:eastAsia="en-GB"/>
            </w:rPr>
          </w:pPr>
          <w:hyperlink w:anchor="_Toc36275120" w:history="1">
            <w:r w:rsidR="009C0325" w:rsidRPr="00190B99">
              <w:rPr>
                <w:rStyle w:val="Hyperlink"/>
                <w:rFonts w:cstheme="minorHAnsi"/>
                <w:noProof/>
              </w:rPr>
              <w:t>6.5.3</w:t>
            </w:r>
            <w:r w:rsidR="009C0325">
              <w:rPr>
                <w:rFonts w:eastAsiaTheme="minorEastAsia"/>
                <w:noProof/>
                <w:lang w:eastAsia="en-GB"/>
              </w:rPr>
              <w:tab/>
            </w:r>
            <w:r w:rsidR="009C0325" w:rsidRPr="00190B99">
              <w:rPr>
                <w:rStyle w:val="Hyperlink"/>
                <w:noProof/>
              </w:rPr>
              <w:t>Ethical predisposition and project success score (n=51)</w:t>
            </w:r>
            <w:r w:rsidR="009C0325">
              <w:rPr>
                <w:noProof/>
                <w:webHidden/>
              </w:rPr>
              <w:tab/>
            </w:r>
            <w:r w:rsidR="009C0325">
              <w:rPr>
                <w:noProof/>
                <w:webHidden/>
              </w:rPr>
              <w:fldChar w:fldCharType="begin"/>
            </w:r>
            <w:r w:rsidR="009C0325">
              <w:rPr>
                <w:noProof/>
                <w:webHidden/>
              </w:rPr>
              <w:instrText xml:space="preserve"> PAGEREF _Toc36275120 \h </w:instrText>
            </w:r>
            <w:r w:rsidR="009C0325">
              <w:rPr>
                <w:noProof/>
                <w:webHidden/>
              </w:rPr>
            </w:r>
            <w:r w:rsidR="009C0325">
              <w:rPr>
                <w:noProof/>
                <w:webHidden/>
              </w:rPr>
              <w:fldChar w:fldCharType="separate"/>
            </w:r>
            <w:r w:rsidR="009C0325">
              <w:rPr>
                <w:noProof/>
                <w:webHidden/>
              </w:rPr>
              <w:t>134</w:t>
            </w:r>
            <w:r w:rsidR="009C0325">
              <w:rPr>
                <w:noProof/>
                <w:webHidden/>
              </w:rPr>
              <w:fldChar w:fldCharType="end"/>
            </w:r>
          </w:hyperlink>
        </w:p>
        <w:p w14:paraId="139682D7" w14:textId="44944CE3" w:rsidR="009C0325" w:rsidRDefault="0076636A">
          <w:pPr>
            <w:pStyle w:val="TOC3"/>
            <w:tabs>
              <w:tab w:val="left" w:pos="1320"/>
              <w:tab w:val="right" w:leader="dot" w:pos="8777"/>
            </w:tabs>
            <w:rPr>
              <w:rFonts w:eastAsiaTheme="minorEastAsia"/>
              <w:noProof/>
              <w:lang w:eastAsia="en-GB"/>
            </w:rPr>
          </w:pPr>
          <w:hyperlink w:anchor="_Toc36275121" w:history="1">
            <w:r w:rsidR="009C0325" w:rsidRPr="00190B99">
              <w:rPr>
                <w:rStyle w:val="Hyperlink"/>
                <w:rFonts w:cstheme="minorHAnsi"/>
                <w:noProof/>
              </w:rPr>
              <w:t>6.5.4</w:t>
            </w:r>
            <w:r w:rsidR="009C0325">
              <w:rPr>
                <w:rFonts w:eastAsiaTheme="minorEastAsia"/>
                <w:noProof/>
                <w:lang w:eastAsia="en-GB"/>
              </w:rPr>
              <w:tab/>
            </w:r>
            <w:r w:rsidR="009C0325" w:rsidRPr="00190B99">
              <w:rPr>
                <w:rStyle w:val="Hyperlink"/>
                <w:noProof/>
              </w:rPr>
              <w:t>Correlation of ethical predisposition and iron triangle success  (n=11)</w:t>
            </w:r>
            <w:r w:rsidR="009C0325">
              <w:rPr>
                <w:noProof/>
                <w:webHidden/>
              </w:rPr>
              <w:tab/>
            </w:r>
            <w:r w:rsidR="009C0325">
              <w:rPr>
                <w:noProof/>
                <w:webHidden/>
              </w:rPr>
              <w:fldChar w:fldCharType="begin"/>
            </w:r>
            <w:r w:rsidR="009C0325">
              <w:rPr>
                <w:noProof/>
                <w:webHidden/>
              </w:rPr>
              <w:instrText xml:space="preserve"> PAGEREF _Toc36275121 \h </w:instrText>
            </w:r>
            <w:r w:rsidR="009C0325">
              <w:rPr>
                <w:noProof/>
                <w:webHidden/>
              </w:rPr>
            </w:r>
            <w:r w:rsidR="009C0325">
              <w:rPr>
                <w:noProof/>
                <w:webHidden/>
              </w:rPr>
              <w:fldChar w:fldCharType="separate"/>
            </w:r>
            <w:r w:rsidR="009C0325">
              <w:rPr>
                <w:noProof/>
                <w:webHidden/>
              </w:rPr>
              <w:t>136</w:t>
            </w:r>
            <w:r w:rsidR="009C0325">
              <w:rPr>
                <w:noProof/>
                <w:webHidden/>
              </w:rPr>
              <w:fldChar w:fldCharType="end"/>
            </w:r>
          </w:hyperlink>
        </w:p>
        <w:p w14:paraId="10261F97" w14:textId="1C0D7EF7" w:rsidR="009C0325" w:rsidRDefault="0076636A">
          <w:pPr>
            <w:pStyle w:val="TOC3"/>
            <w:tabs>
              <w:tab w:val="left" w:pos="1320"/>
              <w:tab w:val="right" w:leader="dot" w:pos="8777"/>
            </w:tabs>
            <w:rPr>
              <w:rFonts w:eastAsiaTheme="minorEastAsia"/>
              <w:noProof/>
              <w:lang w:eastAsia="en-GB"/>
            </w:rPr>
          </w:pPr>
          <w:hyperlink w:anchor="_Toc36275122" w:history="1">
            <w:r w:rsidR="009C0325" w:rsidRPr="00190B99">
              <w:rPr>
                <w:rStyle w:val="Hyperlink"/>
                <w:rFonts w:cstheme="minorHAnsi"/>
                <w:noProof/>
              </w:rPr>
              <w:t>6.5.5</w:t>
            </w:r>
            <w:r w:rsidR="009C0325">
              <w:rPr>
                <w:rFonts w:eastAsiaTheme="minorEastAsia"/>
                <w:noProof/>
                <w:lang w:eastAsia="en-GB"/>
              </w:rPr>
              <w:tab/>
            </w:r>
            <w:r w:rsidR="009C0325" w:rsidRPr="00190B99">
              <w:rPr>
                <w:rStyle w:val="Hyperlink"/>
                <w:noProof/>
              </w:rPr>
              <w:t>Correlation of ethical predisposition and project success score (n=51)</w:t>
            </w:r>
            <w:r w:rsidR="009C0325">
              <w:rPr>
                <w:noProof/>
                <w:webHidden/>
              </w:rPr>
              <w:tab/>
            </w:r>
            <w:r w:rsidR="009C0325">
              <w:rPr>
                <w:noProof/>
                <w:webHidden/>
              </w:rPr>
              <w:fldChar w:fldCharType="begin"/>
            </w:r>
            <w:r w:rsidR="009C0325">
              <w:rPr>
                <w:noProof/>
                <w:webHidden/>
              </w:rPr>
              <w:instrText xml:space="preserve"> PAGEREF _Toc36275122 \h </w:instrText>
            </w:r>
            <w:r w:rsidR="009C0325">
              <w:rPr>
                <w:noProof/>
                <w:webHidden/>
              </w:rPr>
            </w:r>
            <w:r w:rsidR="009C0325">
              <w:rPr>
                <w:noProof/>
                <w:webHidden/>
              </w:rPr>
              <w:fldChar w:fldCharType="separate"/>
            </w:r>
            <w:r w:rsidR="009C0325">
              <w:rPr>
                <w:noProof/>
                <w:webHidden/>
              </w:rPr>
              <w:t>137</w:t>
            </w:r>
            <w:r w:rsidR="009C0325">
              <w:rPr>
                <w:noProof/>
                <w:webHidden/>
              </w:rPr>
              <w:fldChar w:fldCharType="end"/>
            </w:r>
          </w:hyperlink>
        </w:p>
        <w:p w14:paraId="2196A126" w14:textId="1C44DB73" w:rsidR="009C0325" w:rsidRDefault="0076636A">
          <w:pPr>
            <w:pStyle w:val="TOC2"/>
            <w:tabs>
              <w:tab w:val="left" w:pos="880"/>
              <w:tab w:val="right" w:leader="dot" w:pos="8777"/>
            </w:tabs>
            <w:rPr>
              <w:rFonts w:eastAsiaTheme="minorEastAsia"/>
              <w:noProof/>
              <w:lang w:eastAsia="en-GB"/>
            </w:rPr>
          </w:pPr>
          <w:hyperlink w:anchor="_Toc36275123" w:history="1">
            <w:r w:rsidR="009C0325" w:rsidRPr="00190B99">
              <w:rPr>
                <w:rStyle w:val="Hyperlink"/>
                <w:bCs/>
                <w:noProof/>
              </w:rPr>
              <w:t>6.6</w:t>
            </w:r>
            <w:r w:rsidR="009C0325">
              <w:rPr>
                <w:rFonts w:eastAsiaTheme="minorEastAsia"/>
                <w:noProof/>
                <w:lang w:eastAsia="en-GB"/>
              </w:rPr>
              <w:tab/>
            </w:r>
            <w:r w:rsidR="009C0325" w:rsidRPr="00190B99">
              <w:rPr>
                <w:rStyle w:val="Hyperlink"/>
                <w:noProof/>
              </w:rPr>
              <w:t>Governance effectiveness</w:t>
            </w:r>
            <w:r w:rsidR="009C0325">
              <w:rPr>
                <w:noProof/>
                <w:webHidden/>
              </w:rPr>
              <w:tab/>
            </w:r>
            <w:r w:rsidR="009C0325">
              <w:rPr>
                <w:noProof/>
                <w:webHidden/>
              </w:rPr>
              <w:fldChar w:fldCharType="begin"/>
            </w:r>
            <w:r w:rsidR="009C0325">
              <w:rPr>
                <w:noProof/>
                <w:webHidden/>
              </w:rPr>
              <w:instrText xml:space="preserve"> PAGEREF _Toc36275123 \h </w:instrText>
            </w:r>
            <w:r w:rsidR="009C0325">
              <w:rPr>
                <w:noProof/>
                <w:webHidden/>
              </w:rPr>
            </w:r>
            <w:r w:rsidR="009C0325">
              <w:rPr>
                <w:noProof/>
                <w:webHidden/>
              </w:rPr>
              <w:fldChar w:fldCharType="separate"/>
            </w:r>
            <w:r w:rsidR="009C0325">
              <w:rPr>
                <w:noProof/>
                <w:webHidden/>
              </w:rPr>
              <w:t>138</w:t>
            </w:r>
            <w:r w:rsidR="009C0325">
              <w:rPr>
                <w:noProof/>
                <w:webHidden/>
              </w:rPr>
              <w:fldChar w:fldCharType="end"/>
            </w:r>
          </w:hyperlink>
        </w:p>
        <w:p w14:paraId="2AB0F89C" w14:textId="20E1DB43" w:rsidR="009C0325" w:rsidRDefault="0076636A">
          <w:pPr>
            <w:pStyle w:val="TOC3"/>
            <w:tabs>
              <w:tab w:val="left" w:pos="1320"/>
              <w:tab w:val="right" w:leader="dot" w:pos="8777"/>
            </w:tabs>
            <w:rPr>
              <w:rFonts w:eastAsiaTheme="minorEastAsia"/>
              <w:noProof/>
              <w:lang w:eastAsia="en-GB"/>
            </w:rPr>
          </w:pPr>
          <w:hyperlink w:anchor="_Toc36275124" w:history="1">
            <w:r w:rsidR="009C0325" w:rsidRPr="00190B99">
              <w:rPr>
                <w:rStyle w:val="Hyperlink"/>
                <w:rFonts w:cstheme="minorHAnsi"/>
                <w:noProof/>
              </w:rPr>
              <w:t>6.6.1</w:t>
            </w:r>
            <w:r w:rsidR="009C0325">
              <w:rPr>
                <w:rFonts w:eastAsiaTheme="minorEastAsia"/>
                <w:noProof/>
                <w:lang w:eastAsia="en-GB"/>
              </w:rPr>
              <w:tab/>
            </w:r>
            <w:r w:rsidR="009C0325" w:rsidRPr="00190B99">
              <w:rPr>
                <w:rStyle w:val="Hyperlink"/>
                <w:noProof/>
              </w:rPr>
              <w:t>Project governance effectiveness (n=51)</w:t>
            </w:r>
            <w:r w:rsidR="009C0325">
              <w:rPr>
                <w:noProof/>
                <w:webHidden/>
              </w:rPr>
              <w:tab/>
            </w:r>
            <w:r w:rsidR="009C0325">
              <w:rPr>
                <w:noProof/>
                <w:webHidden/>
              </w:rPr>
              <w:fldChar w:fldCharType="begin"/>
            </w:r>
            <w:r w:rsidR="009C0325">
              <w:rPr>
                <w:noProof/>
                <w:webHidden/>
              </w:rPr>
              <w:instrText xml:space="preserve"> PAGEREF _Toc36275124 \h </w:instrText>
            </w:r>
            <w:r w:rsidR="009C0325">
              <w:rPr>
                <w:noProof/>
                <w:webHidden/>
              </w:rPr>
            </w:r>
            <w:r w:rsidR="009C0325">
              <w:rPr>
                <w:noProof/>
                <w:webHidden/>
              </w:rPr>
              <w:fldChar w:fldCharType="separate"/>
            </w:r>
            <w:r w:rsidR="009C0325">
              <w:rPr>
                <w:noProof/>
                <w:webHidden/>
              </w:rPr>
              <w:t>138</w:t>
            </w:r>
            <w:r w:rsidR="009C0325">
              <w:rPr>
                <w:noProof/>
                <w:webHidden/>
              </w:rPr>
              <w:fldChar w:fldCharType="end"/>
            </w:r>
          </w:hyperlink>
        </w:p>
        <w:p w14:paraId="623E4F4A" w14:textId="37319338" w:rsidR="009C0325" w:rsidRDefault="0076636A">
          <w:pPr>
            <w:pStyle w:val="TOC3"/>
            <w:tabs>
              <w:tab w:val="left" w:pos="1320"/>
              <w:tab w:val="right" w:leader="dot" w:pos="8777"/>
            </w:tabs>
            <w:rPr>
              <w:rFonts w:eastAsiaTheme="minorEastAsia"/>
              <w:noProof/>
              <w:lang w:eastAsia="en-GB"/>
            </w:rPr>
          </w:pPr>
          <w:hyperlink w:anchor="_Toc36275125" w:history="1">
            <w:r w:rsidR="009C0325" w:rsidRPr="00190B99">
              <w:rPr>
                <w:rStyle w:val="Hyperlink"/>
                <w:rFonts w:cstheme="minorHAnsi"/>
                <w:noProof/>
              </w:rPr>
              <w:t>6.6.2</w:t>
            </w:r>
            <w:r w:rsidR="009C0325">
              <w:rPr>
                <w:rFonts w:eastAsiaTheme="minorEastAsia"/>
                <w:noProof/>
                <w:lang w:eastAsia="en-GB"/>
              </w:rPr>
              <w:tab/>
            </w:r>
            <w:r w:rsidR="009C0325" w:rsidRPr="00190B99">
              <w:rPr>
                <w:rStyle w:val="Hyperlink"/>
                <w:noProof/>
              </w:rPr>
              <w:t>Corporate governance effectiveness (n=51)</w:t>
            </w:r>
            <w:r w:rsidR="009C0325">
              <w:rPr>
                <w:noProof/>
                <w:webHidden/>
              </w:rPr>
              <w:tab/>
            </w:r>
            <w:r w:rsidR="009C0325">
              <w:rPr>
                <w:noProof/>
                <w:webHidden/>
              </w:rPr>
              <w:fldChar w:fldCharType="begin"/>
            </w:r>
            <w:r w:rsidR="009C0325">
              <w:rPr>
                <w:noProof/>
                <w:webHidden/>
              </w:rPr>
              <w:instrText xml:space="preserve"> PAGEREF _Toc36275125 \h </w:instrText>
            </w:r>
            <w:r w:rsidR="009C0325">
              <w:rPr>
                <w:noProof/>
                <w:webHidden/>
              </w:rPr>
            </w:r>
            <w:r w:rsidR="009C0325">
              <w:rPr>
                <w:noProof/>
                <w:webHidden/>
              </w:rPr>
              <w:fldChar w:fldCharType="separate"/>
            </w:r>
            <w:r w:rsidR="009C0325">
              <w:rPr>
                <w:noProof/>
                <w:webHidden/>
              </w:rPr>
              <w:t>140</w:t>
            </w:r>
            <w:r w:rsidR="009C0325">
              <w:rPr>
                <w:noProof/>
                <w:webHidden/>
              </w:rPr>
              <w:fldChar w:fldCharType="end"/>
            </w:r>
          </w:hyperlink>
        </w:p>
        <w:p w14:paraId="0B74A2D4" w14:textId="6EE6D581" w:rsidR="009C0325" w:rsidRDefault="0076636A">
          <w:pPr>
            <w:pStyle w:val="TOC3"/>
            <w:tabs>
              <w:tab w:val="left" w:pos="1320"/>
              <w:tab w:val="right" w:leader="dot" w:pos="8777"/>
            </w:tabs>
            <w:rPr>
              <w:rFonts w:eastAsiaTheme="minorEastAsia"/>
              <w:noProof/>
              <w:lang w:eastAsia="en-GB"/>
            </w:rPr>
          </w:pPr>
          <w:hyperlink w:anchor="_Toc36275126" w:history="1">
            <w:r w:rsidR="009C0325" w:rsidRPr="00190B99">
              <w:rPr>
                <w:rStyle w:val="Hyperlink"/>
                <w:rFonts w:cstheme="minorHAnsi"/>
                <w:noProof/>
              </w:rPr>
              <w:t>6.6.3</w:t>
            </w:r>
            <w:r w:rsidR="009C0325">
              <w:rPr>
                <w:rFonts w:eastAsiaTheme="minorEastAsia"/>
                <w:noProof/>
                <w:lang w:eastAsia="en-GB"/>
              </w:rPr>
              <w:tab/>
            </w:r>
            <w:r w:rsidR="009C0325" w:rsidRPr="00190B99">
              <w:rPr>
                <w:rStyle w:val="Hyperlink"/>
                <w:noProof/>
              </w:rPr>
              <w:t>Comparison of project and corporate governance effectiveness (n=51)</w:t>
            </w:r>
            <w:r w:rsidR="009C0325">
              <w:rPr>
                <w:noProof/>
                <w:webHidden/>
              </w:rPr>
              <w:tab/>
            </w:r>
            <w:r w:rsidR="009C0325">
              <w:rPr>
                <w:noProof/>
                <w:webHidden/>
              </w:rPr>
              <w:fldChar w:fldCharType="begin"/>
            </w:r>
            <w:r w:rsidR="009C0325">
              <w:rPr>
                <w:noProof/>
                <w:webHidden/>
              </w:rPr>
              <w:instrText xml:space="preserve"> PAGEREF _Toc36275126 \h </w:instrText>
            </w:r>
            <w:r w:rsidR="009C0325">
              <w:rPr>
                <w:noProof/>
                <w:webHidden/>
              </w:rPr>
            </w:r>
            <w:r w:rsidR="009C0325">
              <w:rPr>
                <w:noProof/>
                <w:webHidden/>
              </w:rPr>
              <w:fldChar w:fldCharType="separate"/>
            </w:r>
            <w:r w:rsidR="009C0325">
              <w:rPr>
                <w:noProof/>
                <w:webHidden/>
              </w:rPr>
              <w:t>144</w:t>
            </w:r>
            <w:r w:rsidR="009C0325">
              <w:rPr>
                <w:noProof/>
                <w:webHidden/>
              </w:rPr>
              <w:fldChar w:fldCharType="end"/>
            </w:r>
          </w:hyperlink>
        </w:p>
        <w:p w14:paraId="1497436F" w14:textId="7134EADD" w:rsidR="009C0325" w:rsidRDefault="0076636A">
          <w:pPr>
            <w:pStyle w:val="TOC2"/>
            <w:tabs>
              <w:tab w:val="left" w:pos="880"/>
              <w:tab w:val="right" w:leader="dot" w:pos="8777"/>
            </w:tabs>
            <w:rPr>
              <w:rFonts w:eastAsiaTheme="minorEastAsia"/>
              <w:noProof/>
              <w:lang w:eastAsia="en-GB"/>
            </w:rPr>
          </w:pPr>
          <w:hyperlink w:anchor="_Toc36275127" w:history="1">
            <w:r w:rsidR="009C0325" w:rsidRPr="00190B99">
              <w:rPr>
                <w:rStyle w:val="Hyperlink"/>
                <w:bCs/>
                <w:noProof/>
              </w:rPr>
              <w:t>6.7</w:t>
            </w:r>
            <w:r w:rsidR="009C0325">
              <w:rPr>
                <w:rFonts w:eastAsiaTheme="minorEastAsia"/>
                <w:noProof/>
                <w:lang w:eastAsia="en-GB"/>
              </w:rPr>
              <w:tab/>
            </w:r>
            <w:r w:rsidR="009C0325" w:rsidRPr="00190B99">
              <w:rPr>
                <w:rStyle w:val="Hyperlink"/>
                <w:noProof/>
              </w:rPr>
              <w:t>Project success</w:t>
            </w:r>
            <w:r w:rsidR="009C0325">
              <w:rPr>
                <w:noProof/>
                <w:webHidden/>
              </w:rPr>
              <w:tab/>
            </w:r>
            <w:r w:rsidR="009C0325">
              <w:rPr>
                <w:noProof/>
                <w:webHidden/>
              </w:rPr>
              <w:fldChar w:fldCharType="begin"/>
            </w:r>
            <w:r w:rsidR="009C0325">
              <w:rPr>
                <w:noProof/>
                <w:webHidden/>
              </w:rPr>
              <w:instrText xml:space="preserve"> PAGEREF _Toc36275127 \h </w:instrText>
            </w:r>
            <w:r w:rsidR="009C0325">
              <w:rPr>
                <w:noProof/>
                <w:webHidden/>
              </w:rPr>
            </w:r>
            <w:r w:rsidR="009C0325">
              <w:rPr>
                <w:noProof/>
                <w:webHidden/>
              </w:rPr>
              <w:fldChar w:fldCharType="separate"/>
            </w:r>
            <w:r w:rsidR="009C0325">
              <w:rPr>
                <w:noProof/>
                <w:webHidden/>
              </w:rPr>
              <w:t>145</w:t>
            </w:r>
            <w:r w:rsidR="009C0325">
              <w:rPr>
                <w:noProof/>
                <w:webHidden/>
              </w:rPr>
              <w:fldChar w:fldCharType="end"/>
            </w:r>
          </w:hyperlink>
        </w:p>
        <w:p w14:paraId="0A02B772" w14:textId="1736678F" w:rsidR="009C0325" w:rsidRDefault="0076636A">
          <w:pPr>
            <w:pStyle w:val="TOC3"/>
            <w:tabs>
              <w:tab w:val="left" w:pos="1320"/>
              <w:tab w:val="right" w:leader="dot" w:pos="8777"/>
            </w:tabs>
            <w:rPr>
              <w:rFonts w:eastAsiaTheme="minorEastAsia"/>
              <w:noProof/>
              <w:lang w:eastAsia="en-GB"/>
            </w:rPr>
          </w:pPr>
          <w:hyperlink w:anchor="_Toc36275128" w:history="1">
            <w:r w:rsidR="009C0325" w:rsidRPr="00190B99">
              <w:rPr>
                <w:rStyle w:val="Hyperlink"/>
                <w:rFonts w:cstheme="minorHAnsi"/>
                <w:noProof/>
              </w:rPr>
              <w:t>6.7.1</w:t>
            </w:r>
            <w:r w:rsidR="009C0325">
              <w:rPr>
                <w:rFonts w:eastAsiaTheme="minorEastAsia"/>
                <w:noProof/>
                <w:lang w:eastAsia="en-GB"/>
              </w:rPr>
              <w:tab/>
            </w:r>
            <w:r w:rsidR="009C0325" w:rsidRPr="00190B99">
              <w:rPr>
                <w:rStyle w:val="Hyperlink"/>
                <w:noProof/>
              </w:rPr>
              <w:t>Project success in the project management phase</w:t>
            </w:r>
            <w:r w:rsidR="009C0325">
              <w:rPr>
                <w:noProof/>
                <w:webHidden/>
              </w:rPr>
              <w:tab/>
            </w:r>
            <w:r w:rsidR="009C0325">
              <w:rPr>
                <w:noProof/>
                <w:webHidden/>
              </w:rPr>
              <w:fldChar w:fldCharType="begin"/>
            </w:r>
            <w:r w:rsidR="009C0325">
              <w:rPr>
                <w:noProof/>
                <w:webHidden/>
              </w:rPr>
              <w:instrText xml:space="preserve"> PAGEREF _Toc36275128 \h </w:instrText>
            </w:r>
            <w:r w:rsidR="009C0325">
              <w:rPr>
                <w:noProof/>
                <w:webHidden/>
              </w:rPr>
            </w:r>
            <w:r w:rsidR="009C0325">
              <w:rPr>
                <w:noProof/>
                <w:webHidden/>
              </w:rPr>
              <w:fldChar w:fldCharType="separate"/>
            </w:r>
            <w:r w:rsidR="009C0325">
              <w:rPr>
                <w:noProof/>
                <w:webHidden/>
              </w:rPr>
              <w:t>145</w:t>
            </w:r>
            <w:r w:rsidR="009C0325">
              <w:rPr>
                <w:noProof/>
                <w:webHidden/>
              </w:rPr>
              <w:fldChar w:fldCharType="end"/>
            </w:r>
          </w:hyperlink>
        </w:p>
        <w:p w14:paraId="254433C8" w14:textId="7DE348A7" w:rsidR="009C0325" w:rsidRDefault="0076636A">
          <w:pPr>
            <w:pStyle w:val="TOC3"/>
            <w:tabs>
              <w:tab w:val="left" w:pos="1320"/>
              <w:tab w:val="right" w:leader="dot" w:pos="8777"/>
            </w:tabs>
            <w:rPr>
              <w:rFonts w:eastAsiaTheme="minorEastAsia"/>
              <w:noProof/>
              <w:lang w:eastAsia="en-GB"/>
            </w:rPr>
          </w:pPr>
          <w:hyperlink w:anchor="_Toc36275129" w:history="1">
            <w:r w:rsidR="009C0325" w:rsidRPr="00190B99">
              <w:rPr>
                <w:rStyle w:val="Hyperlink"/>
                <w:rFonts w:cstheme="minorHAnsi"/>
                <w:noProof/>
              </w:rPr>
              <w:t>6.7.2</w:t>
            </w:r>
            <w:r w:rsidR="009C0325">
              <w:rPr>
                <w:rFonts w:eastAsiaTheme="minorEastAsia"/>
                <w:noProof/>
                <w:lang w:eastAsia="en-GB"/>
              </w:rPr>
              <w:tab/>
            </w:r>
            <w:r w:rsidR="009C0325" w:rsidRPr="00190B99">
              <w:rPr>
                <w:rStyle w:val="Hyperlink"/>
                <w:noProof/>
              </w:rPr>
              <w:t>Project governance and project success</w:t>
            </w:r>
            <w:r w:rsidR="009C0325">
              <w:rPr>
                <w:noProof/>
                <w:webHidden/>
              </w:rPr>
              <w:tab/>
            </w:r>
            <w:r w:rsidR="009C0325">
              <w:rPr>
                <w:noProof/>
                <w:webHidden/>
              </w:rPr>
              <w:fldChar w:fldCharType="begin"/>
            </w:r>
            <w:r w:rsidR="009C0325">
              <w:rPr>
                <w:noProof/>
                <w:webHidden/>
              </w:rPr>
              <w:instrText xml:space="preserve"> PAGEREF _Toc36275129 \h </w:instrText>
            </w:r>
            <w:r w:rsidR="009C0325">
              <w:rPr>
                <w:noProof/>
                <w:webHidden/>
              </w:rPr>
            </w:r>
            <w:r w:rsidR="009C0325">
              <w:rPr>
                <w:noProof/>
                <w:webHidden/>
              </w:rPr>
              <w:fldChar w:fldCharType="separate"/>
            </w:r>
            <w:r w:rsidR="009C0325">
              <w:rPr>
                <w:noProof/>
                <w:webHidden/>
              </w:rPr>
              <w:t>152</w:t>
            </w:r>
            <w:r w:rsidR="009C0325">
              <w:rPr>
                <w:noProof/>
                <w:webHidden/>
              </w:rPr>
              <w:fldChar w:fldCharType="end"/>
            </w:r>
          </w:hyperlink>
        </w:p>
        <w:p w14:paraId="44834F4E" w14:textId="25FE3B1F" w:rsidR="009C0325" w:rsidRDefault="0076636A">
          <w:pPr>
            <w:pStyle w:val="TOC2"/>
            <w:tabs>
              <w:tab w:val="left" w:pos="880"/>
              <w:tab w:val="right" w:leader="dot" w:pos="8777"/>
            </w:tabs>
            <w:rPr>
              <w:rFonts w:eastAsiaTheme="minorEastAsia"/>
              <w:noProof/>
              <w:lang w:eastAsia="en-GB"/>
            </w:rPr>
          </w:pPr>
          <w:hyperlink w:anchor="_Toc36275130" w:history="1">
            <w:r w:rsidR="009C0325" w:rsidRPr="00190B99">
              <w:rPr>
                <w:rStyle w:val="Hyperlink"/>
                <w:bCs/>
                <w:noProof/>
              </w:rPr>
              <w:t>6.8</w:t>
            </w:r>
            <w:r w:rsidR="009C0325">
              <w:rPr>
                <w:rFonts w:eastAsiaTheme="minorEastAsia"/>
                <w:noProof/>
                <w:lang w:eastAsia="en-GB"/>
              </w:rPr>
              <w:tab/>
            </w:r>
            <w:r w:rsidR="009C0325" w:rsidRPr="00190B99">
              <w:rPr>
                <w:rStyle w:val="Hyperlink"/>
                <w:noProof/>
              </w:rPr>
              <w:t>Corporate governance and project success</w:t>
            </w:r>
            <w:r w:rsidR="009C0325">
              <w:rPr>
                <w:noProof/>
                <w:webHidden/>
              </w:rPr>
              <w:tab/>
            </w:r>
            <w:r w:rsidR="009C0325">
              <w:rPr>
                <w:noProof/>
                <w:webHidden/>
              </w:rPr>
              <w:fldChar w:fldCharType="begin"/>
            </w:r>
            <w:r w:rsidR="009C0325">
              <w:rPr>
                <w:noProof/>
                <w:webHidden/>
              </w:rPr>
              <w:instrText xml:space="preserve"> PAGEREF _Toc36275130 \h </w:instrText>
            </w:r>
            <w:r w:rsidR="009C0325">
              <w:rPr>
                <w:noProof/>
                <w:webHidden/>
              </w:rPr>
            </w:r>
            <w:r w:rsidR="009C0325">
              <w:rPr>
                <w:noProof/>
                <w:webHidden/>
              </w:rPr>
              <w:fldChar w:fldCharType="separate"/>
            </w:r>
            <w:r w:rsidR="009C0325">
              <w:rPr>
                <w:noProof/>
                <w:webHidden/>
              </w:rPr>
              <w:t>154</w:t>
            </w:r>
            <w:r w:rsidR="009C0325">
              <w:rPr>
                <w:noProof/>
                <w:webHidden/>
              </w:rPr>
              <w:fldChar w:fldCharType="end"/>
            </w:r>
          </w:hyperlink>
        </w:p>
        <w:p w14:paraId="7C864065" w14:textId="7079B186" w:rsidR="009C0325" w:rsidRDefault="0076636A">
          <w:pPr>
            <w:pStyle w:val="TOC3"/>
            <w:tabs>
              <w:tab w:val="left" w:pos="1320"/>
              <w:tab w:val="right" w:leader="dot" w:pos="8777"/>
            </w:tabs>
            <w:rPr>
              <w:rFonts w:eastAsiaTheme="minorEastAsia"/>
              <w:noProof/>
              <w:lang w:eastAsia="en-GB"/>
            </w:rPr>
          </w:pPr>
          <w:hyperlink w:anchor="_Toc36275131" w:history="1">
            <w:r w:rsidR="009C0325" w:rsidRPr="00190B99">
              <w:rPr>
                <w:rStyle w:val="Hyperlink"/>
                <w:rFonts w:cstheme="minorHAnsi"/>
                <w:noProof/>
              </w:rPr>
              <w:t>6.8.1</w:t>
            </w:r>
            <w:r w:rsidR="009C0325">
              <w:rPr>
                <w:rFonts w:eastAsiaTheme="minorEastAsia"/>
                <w:noProof/>
                <w:lang w:eastAsia="en-GB"/>
              </w:rPr>
              <w:tab/>
            </w:r>
            <w:r w:rsidR="009C0325" w:rsidRPr="00190B99">
              <w:rPr>
                <w:rStyle w:val="Hyperlink"/>
                <w:noProof/>
              </w:rPr>
              <w:t>Project success in the operational phase</w:t>
            </w:r>
            <w:r w:rsidR="009C0325">
              <w:rPr>
                <w:noProof/>
                <w:webHidden/>
              </w:rPr>
              <w:tab/>
            </w:r>
            <w:r w:rsidR="009C0325">
              <w:rPr>
                <w:noProof/>
                <w:webHidden/>
              </w:rPr>
              <w:fldChar w:fldCharType="begin"/>
            </w:r>
            <w:r w:rsidR="009C0325">
              <w:rPr>
                <w:noProof/>
                <w:webHidden/>
              </w:rPr>
              <w:instrText xml:space="preserve"> PAGEREF _Toc36275131 \h </w:instrText>
            </w:r>
            <w:r w:rsidR="009C0325">
              <w:rPr>
                <w:noProof/>
                <w:webHidden/>
              </w:rPr>
            </w:r>
            <w:r w:rsidR="009C0325">
              <w:rPr>
                <w:noProof/>
                <w:webHidden/>
              </w:rPr>
              <w:fldChar w:fldCharType="separate"/>
            </w:r>
            <w:r w:rsidR="009C0325">
              <w:rPr>
                <w:noProof/>
                <w:webHidden/>
              </w:rPr>
              <w:t>158</w:t>
            </w:r>
            <w:r w:rsidR="009C0325">
              <w:rPr>
                <w:noProof/>
                <w:webHidden/>
              </w:rPr>
              <w:fldChar w:fldCharType="end"/>
            </w:r>
          </w:hyperlink>
        </w:p>
        <w:p w14:paraId="45615375" w14:textId="681A9BF0" w:rsidR="009C0325" w:rsidRDefault="0076636A">
          <w:pPr>
            <w:pStyle w:val="TOC3"/>
            <w:tabs>
              <w:tab w:val="left" w:pos="1320"/>
              <w:tab w:val="right" w:leader="dot" w:pos="8777"/>
            </w:tabs>
            <w:rPr>
              <w:rFonts w:eastAsiaTheme="minorEastAsia"/>
              <w:noProof/>
              <w:lang w:eastAsia="en-GB"/>
            </w:rPr>
          </w:pPr>
          <w:hyperlink w:anchor="_Toc36275132" w:history="1">
            <w:r w:rsidR="009C0325" w:rsidRPr="00190B99">
              <w:rPr>
                <w:rStyle w:val="Hyperlink"/>
                <w:rFonts w:cstheme="minorHAnsi"/>
                <w:noProof/>
              </w:rPr>
              <w:t>6.8.2</w:t>
            </w:r>
            <w:r w:rsidR="009C0325">
              <w:rPr>
                <w:rFonts w:eastAsiaTheme="minorEastAsia"/>
                <w:noProof/>
                <w:lang w:eastAsia="en-GB"/>
              </w:rPr>
              <w:tab/>
            </w:r>
            <w:r w:rsidR="009C0325" w:rsidRPr="00190B99">
              <w:rPr>
                <w:rStyle w:val="Hyperlink"/>
                <w:noProof/>
              </w:rPr>
              <w:t>Other factors affecting project success</w:t>
            </w:r>
            <w:r w:rsidR="009C0325">
              <w:rPr>
                <w:noProof/>
                <w:webHidden/>
              </w:rPr>
              <w:tab/>
            </w:r>
            <w:r w:rsidR="009C0325">
              <w:rPr>
                <w:noProof/>
                <w:webHidden/>
              </w:rPr>
              <w:fldChar w:fldCharType="begin"/>
            </w:r>
            <w:r w:rsidR="009C0325">
              <w:rPr>
                <w:noProof/>
                <w:webHidden/>
              </w:rPr>
              <w:instrText xml:space="preserve"> PAGEREF _Toc36275132 \h </w:instrText>
            </w:r>
            <w:r w:rsidR="009C0325">
              <w:rPr>
                <w:noProof/>
                <w:webHidden/>
              </w:rPr>
            </w:r>
            <w:r w:rsidR="009C0325">
              <w:rPr>
                <w:noProof/>
                <w:webHidden/>
              </w:rPr>
              <w:fldChar w:fldCharType="separate"/>
            </w:r>
            <w:r w:rsidR="009C0325">
              <w:rPr>
                <w:noProof/>
                <w:webHidden/>
              </w:rPr>
              <w:t>160</w:t>
            </w:r>
            <w:r w:rsidR="009C0325">
              <w:rPr>
                <w:noProof/>
                <w:webHidden/>
              </w:rPr>
              <w:fldChar w:fldCharType="end"/>
            </w:r>
          </w:hyperlink>
        </w:p>
        <w:p w14:paraId="41CB9794" w14:textId="62DA0896" w:rsidR="009C0325" w:rsidRDefault="0076636A">
          <w:pPr>
            <w:pStyle w:val="TOC3"/>
            <w:tabs>
              <w:tab w:val="left" w:pos="1320"/>
              <w:tab w:val="right" w:leader="dot" w:pos="8777"/>
            </w:tabs>
            <w:rPr>
              <w:rFonts w:eastAsiaTheme="minorEastAsia"/>
              <w:noProof/>
              <w:lang w:eastAsia="en-GB"/>
            </w:rPr>
          </w:pPr>
          <w:hyperlink w:anchor="_Toc36275133" w:history="1">
            <w:r w:rsidR="009C0325" w:rsidRPr="00190B99">
              <w:rPr>
                <w:rStyle w:val="Hyperlink"/>
                <w:rFonts w:cstheme="minorHAnsi"/>
                <w:noProof/>
              </w:rPr>
              <w:t>6.8.3</w:t>
            </w:r>
            <w:r w:rsidR="009C0325">
              <w:rPr>
                <w:rFonts w:eastAsiaTheme="minorEastAsia"/>
                <w:noProof/>
                <w:lang w:eastAsia="en-GB"/>
              </w:rPr>
              <w:tab/>
            </w:r>
            <w:r w:rsidR="009C0325" w:rsidRPr="00190B99">
              <w:rPr>
                <w:rStyle w:val="Hyperlink"/>
                <w:noProof/>
              </w:rPr>
              <w:t>Summary table</w:t>
            </w:r>
            <w:r w:rsidR="009C0325">
              <w:rPr>
                <w:noProof/>
                <w:webHidden/>
              </w:rPr>
              <w:tab/>
            </w:r>
            <w:r w:rsidR="009C0325">
              <w:rPr>
                <w:noProof/>
                <w:webHidden/>
              </w:rPr>
              <w:fldChar w:fldCharType="begin"/>
            </w:r>
            <w:r w:rsidR="009C0325">
              <w:rPr>
                <w:noProof/>
                <w:webHidden/>
              </w:rPr>
              <w:instrText xml:space="preserve"> PAGEREF _Toc36275133 \h </w:instrText>
            </w:r>
            <w:r w:rsidR="009C0325">
              <w:rPr>
                <w:noProof/>
                <w:webHidden/>
              </w:rPr>
            </w:r>
            <w:r w:rsidR="009C0325">
              <w:rPr>
                <w:noProof/>
                <w:webHidden/>
              </w:rPr>
              <w:fldChar w:fldCharType="separate"/>
            </w:r>
            <w:r w:rsidR="009C0325">
              <w:rPr>
                <w:noProof/>
                <w:webHidden/>
              </w:rPr>
              <w:t>164</w:t>
            </w:r>
            <w:r w:rsidR="009C0325">
              <w:rPr>
                <w:noProof/>
                <w:webHidden/>
              </w:rPr>
              <w:fldChar w:fldCharType="end"/>
            </w:r>
          </w:hyperlink>
        </w:p>
        <w:p w14:paraId="3A82EE12" w14:textId="5BFD7BC8" w:rsidR="009C0325" w:rsidRDefault="0076636A">
          <w:pPr>
            <w:pStyle w:val="TOC2"/>
            <w:tabs>
              <w:tab w:val="left" w:pos="880"/>
              <w:tab w:val="right" w:leader="dot" w:pos="8777"/>
            </w:tabs>
            <w:rPr>
              <w:rFonts w:eastAsiaTheme="minorEastAsia"/>
              <w:noProof/>
              <w:lang w:eastAsia="en-GB"/>
            </w:rPr>
          </w:pPr>
          <w:hyperlink w:anchor="_Toc36275134" w:history="1">
            <w:r w:rsidR="009C0325" w:rsidRPr="00190B99">
              <w:rPr>
                <w:rStyle w:val="Hyperlink"/>
                <w:bCs/>
                <w:noProof/>
              </w:rPr>
              <w:t>6.9</w:t>
            </w:r>
            <w:r w:rsidR="009C0325">
              <w:rPr>
                <w:rFonts w:eastAsiaTheme="minorEastAsia"/>
                <w:noProof/>
                <w:lang w:eastAsia="en-GB"/>
              </w:rPr>
              <w:tab/>
            </w:r>
            <w:r w:rsidR="009C0325" w:rsidRPr="00190B99">
              <w:rPr>
                <w:rStyle w:val="Hyperlink"/>
                <w:noProof/>
              </w:rPr>
              <w:t>Concluding remarks</w:t>
            </w:r>
            <w:r w:rsidR="009C0325">
              <w:rPr>
                <w:noProof/>
                <w:webHidden/>
              </w:rPr>
              <w:tab/>
            </w:r>
            <w:r w:rsidR="009C0325">
              <w:rPr>
                <w:noProof/>
                <w:webHidden/>
              </w:rPr>
              <w:fldChar w:fldCharType="begin"/>
            </w:r>
            <w:r w:rsidR="009C0325">
              <w:rPr>
                <w:noProof/>
                <w:webHidden/>
              </w:rPr>
              <w:instrText xml:space="preserve"> PAGEREF _Toc36275134 \h </w:instrText>
            </w:r>
            <w:r w:rsidR="009C0325">
              <w:rPr>
                <w:noProof/>
                <w:webHidden/>
              </w:rPr>
            </w:r>
            <w:r w:rsidR="009C0325">
              <w:rPr>
                <w:noProof/>
                <w:webHidden/>
              </w:rPr>
              <w:fldChar w:fldCharType="separate"/>
            </w:r>
            <w:r w:rsidR="009C0325">
              <w:rPr>
                <w:noProof/>
                <w:webHidden/>
              </w:rPr>
              <w:t>165</w:t>
            </w:r>
            <w:r w:rsidR="009C0325">
              <w:rPr>
                <w:noProof/>
                <w:webHidden/>
              </w:rPr>
              <w:fldChar w:fldCharType="end"/>
            </w:r>
          </w:hyperlink>
        </w:p>
        <w:p w14:paraId="4BF3F231" w14:textId="03AF10AD" w:rsidR="009C0325" w:rsidRDefault="0076636A">
          <w:pPr>
            <w:pStyle w:val="TOC1"/>
            <w:rPr>
              <w:rFonts w:eastAsiaTheme="minorEastAsia"/>
              <w:noProof/>
              <w:lang w:eastAsia="en-GB"/>
            </w:rPr>
          </w:pPr>
          <w:hyperlink w:anchor="_Toc36275135" w:history="1">
            <w:r w:rsidR="009C0325" w:rsidRPr="00190B99">
              <w:rPr>
                <w:rStyle w:val="Hyperlink"/>
                <w:noProof/>
              </w:rPr>
              <w:t>7</w:t>
            </w:r>
            <w:r w:rsidR="009C0325">
              <w:rPr>
                <w:rFonts w:eastAsiaTheme="minorEastAsia"/>
                <w:noProof/>
                <w:lang w:eastAsia="en-GB"/>
              </w:rPr>
              <w:tab/>
            </w:r>
            <w:r w:rsidR="009C0325" w:rsidRPr="00190B99">
              <w:rPr>
                <w:rStyle w:val="Hyperlink"/>
                <w:noProof/>
              </w:rPr>
              <w:t>Interview results</w:t>
            </w:r>
            <w:r w:rsidR="009C0325">
              <w:rPr>
                <w:noProof/>
                <w:webHidden/>
              </w:rPr>
              <w:tab/>
            </w:r>
            <w:r w:rsidR="009C0325">
              <w:rPr>
                <w:noProof/>
                <w:webHidden/>
              </w:rPr>
              <w:fldChar w:fldCharType="begin"/>
            </w:r>
            <w:r w:rsidR="009C0325">
              <w:rPr>
                <w:noProof/>
                <w:webHidden/>
              </w:rPr>
              <w:instrText xml:space="preserve"> PAGEREF _Toc36275135 \h </w:instrText>
            </w:r>
            <w:r w:rsidR="009C0325">
              <w:rPr>
                <w:noProof/>
                <w:webHidden/>
              </w:rPr>
            </w:r>
            <w:r w:rsidR="009C0325">
              <w:rPr>
                <w:noProof/>
                <w:webHidden/>
              </w:rPr>
              <w:fldChar w:fldCharType="separate"/>
            </w:r>
            <w:r w:rsidR="009C0325">
              <w:rPr>
                <w:noProof/>
                <w:webHidden/>
              </w:rPr>
              <w:t>168</w:t>
            </w:r>
            <w:r w:rsidR="009C0325">
              <w:rPr>
                <w:noProof/>
                <w:webHidden/>
              </w:rPr>
              <w:fldChar w:fldCharType="end"/>
            </w:r>
          </w:hyperlink>
        </w:p>
        <w:p w14:paraId="689F30D8" w14:textId="67C7FDC4" w:rsidR="009C0325" w:rsidRDefault="0076636A">
          <w:pPr>
            <w:pStyle w:val="TOC2"/>
            <w:tabs>
              <w:tab w:val="left" w:pos="880"/>
              <w:tab w:val="right" w:leader="dot" w:pos="8777"/>
            </w:tabs>
            <w:rPr>
              <w:rFonts w:eastAsiaTheme="minorEastAsia"/>
              <w:noProof/>
              <w:lang w:eastAsia="en-GB"/>
            </w:rPr>
          </w:pPr>
          <w:hyperlink w:anchor="_Toc36275136" w:history="1">
            <w:r w:rsidR="009C0325" w:rsidRPr="00190B99">
              <w:rPr>
                <w:rStyle w:val="Hyperlink"/>
                <w:bCs/>
                <w:noProof/>
              </w:rPr>
              <w:t>7.1</w:t>
            </w:r>
            <w:r w:rsidR="009C0325">
              <w:rPr>
                <w:rFonts w:eastAsiaTheme="minorEastAsia"/>
                <w:noProof/>
                <w:lang w:eastAsia="en-GB"/>
              </w:rPr>
              <w:tab/>
            </w:r>
            <w:r w:rsidR="009C0325" w:rsidRPr="00190B99">
              <w:rPr>
                <w:rStyle w:val="Hyperlink"/>
                <w:noProof/>
              </w:rPr>
              <w:t>Ethical predisposition</w:t>
            </w:r>
            <w:r w:rsidR="009C0325">
              <w:rPr>
                <w:noProof/>
                <w:webHidden/>
              </w:rPr>
              <w:tab/>
            </w:r>
            <w:r w:rsidR="009C0325">
              <w:rPr>
                <w:noProof/>
                <w:webHidden/>
              </w:rPr>
              <w:fldChar w:fldCharType="begin"/>
            </w:r>
            <w:r w:rsidR="009C0325">
              <w:rPr>
                <w:noProof/>
                <w:webHidden/>
              </w:rPr>
              <w:instrText xml:space="preserve"> PAGEREF _Toc36275136 \h </w:instrText>
            </w:r>
            <w:r w:rsidR="009C0325">
              <w:rPr>
                <w:noProof/>
                <w:webHidden/>
              </w:rPr>
            </w:r>
            <w:r w:rsidR="009C0325">
              <w:rPr>
                <w:noProof/>
                <w:webHidden/>
              </w:rPr>
              <w:fldChar w:fldCharType="separate"/>
            </w:r>
            <w:r w:rsidR="009C0325">
              <w:rPr>
                <w:noProof/>
                <w:webHidden/>
              </w:rPr>
              <w:t>169</w:t>
            </w:r>
            <w:r w:rsidR="009C0325">
              <w:rPr>
                <w:noProof/>
                <w:webHidden/>
              </w:rPr>
              <w:fldChar w:fldCharType="end"/>
            </w:r>
          </w:hyperlink>
        </w:p>
        <w:p w14:paraId="3E21AFA7" w14:textId="32AAE257" w:rsidR="009C0325" w:rsidRDefault="0076636A">
          <w:pPr>
            <w:pStyle w:val="TOC3"/>
            <w:tabs>
              <w:tab w:val="left" w:pos="1320"/>
              <w:tab w:val="right" w:leader="dot" w:pos="8777"/>
            </w:tabs>
            <w:rPr>
              <w:rFonts w:eastAsiaTheme="minorEastAsia"/>
              <w:noProof/>
              <w:lang w:eastAsia="en-GB"/>
            </w:rPr>
          </w:pPr>
          <w:hyperlink w:anchor="_Toc36275137" w:history="1">
            <w:r w:rsidR="009C0325" w:rsidRPr="00190B99">
              <w:rPr>
                <w:rStyle w:val="Hyperlink"/>
                <w:rFonts w:cstheme="minorHAnsi"/>
                <w:noProof/>
              </w:rPr>
              <w:t>7.1.1</w:t>
            </w:r>
            <w:r w:rsidR="009C0325">
              <w:rPr>
                <w:rFonts w:eastAsiaTheme="minorEastAsia"/>
                <w:noProof/>
                <w:lang w:eastAsia="en-GB"/>
              </w:rPr>
              <w:tab/>
            </w:r>
            <w:r w:rsidR="009C0325" w:rsidRPr="00190B99">
              <w:rPr>
                <w:rStyle w:val="Hyperlink"/>
                <w:noProof/>
              </w:rPr>
              <w:t>Project process</w:t>
            </w:r>
            <w:r w:rsidR="009C0325">
              <w:rPr>
                <w:noProof/>
                <w:webHidden/>
              </w:rPr>
              <w:tab/>
            </w:r>
            <w:r w:rsidR="009C0325">
              <w:rPr>
                <w:noProof/>
                <w:webHidden/>
              </w:rPr>
              <w:fldChar w:fldCharType="begin"/>
            </w:r>
            <w:r w:rsidR="009C0325">
              <w:rPr>
                <w:noProof/>
                <w:webHidden/>
              </w:rPr>
              <w:instrText xml:space="preserve"> PAGEREF _Toc36275137 \h </w:instrText>
            </w:r>
            <w:r w:rsidR="009C0325">
              <w:rPr>
                <w:noProof/>
                <w:webHidden/>
              </w:rPr>
            </w:r>
            <w:r w:rsidR="009C0325">
              <w:rPr>
                <w:noProof/>
                <w:webHidden/>
              </w:rPr>
              <w:fldChar w:fldCharType="separate"/>
            </w:r>
            <w:r w:rsidR="009C0325">
              <w:rPr>
                <w:noProof/>
                <w:webHidden/>
              </w:rPr>
              <w:t>169</w:t>
            </w:r>
            <w:r w:rsidR="009C0325">
              <w:rPr>
                <w:noProof/>
                <w:webHidden/>
              </w:rPr>
              <w:fldChar w:fldCharType="end"/>
            </w:r>
          </w:hyperlink>
        </w:p>
        <w:p w14:paraId="2D5C63B3" w14:textId="06751AC3" w:rsidR="009C0325" w:rsidRDefault="0076636A">
          <w:pPr>
            <w:pStyle w:val="TOC3"/>
            <w:tabs>
              <w:tab w:val="left" w:pos="1320"/>
              <w:tab w:val="right" w:leader="dot" w:pos="8777"/>
            </w:tabs>
            <w:rPr>
              <w:rFonts w:eastAsiaTheme="minorEastAsia"/>
              <w:noProof/>
              <w:lang w:eastAsia="en-GB"/>
            </w:rPr>
          </w:pPr>
          <w:hyperlink w:anchor="_Toc36275138" w:history="1">
            <w:r w:rsidR="009C0325" w:rsidRPr="00190B99">
              <w:rPr>
                <w:rStyle w:val="Hyperlink"/>
                <w:rFonts w:cstheme="minorHAnsi"/>
                <w:noProof/>
              </w:rPr>
              <w:t>7.1.2</w:t>
            </w:r>
            <w:r w:rsidR="009C0325">
              <w:rPr>
                <w:rFonts w:eastAsiaTheme="minorEastAsia"/>
                <w:noProof/>
                <w:lang w:eastAsia="en-GB"/>
              </w:rPr>
              <w:tab/>
            </w:r>
            <w:r w:rsidR="009C0325" w:rsidRPr="00190B99">
              <w:rPr>
                <w:rStyle w:val="Hyperlink"/>
                <w:noProof/>
              </w:rPr>
              <w:t>NHS culture</w:t>
            </w:r>
            <w:r w:rsidR="009C0325">
              <w:rPr>
                <w:noProof/>
                <w:webHidden/>
              </w:rPr>
              <w:tab/>
            </w:r>
            <w:r w:rsidR="009C0325">
              <w:rPr>
                <w:noProof/>
                <w:webHidden/>
              </w:rPr>
              <w:fldChar w:fldCharType="begin"/>
            </w:r>
            <w:r w:rsidR="009C0325">
              <w:rPr>
                <w:noProof/>
                <w:webHidden/>
              </w:rPr>
              <w:instrText xml:space="preserve"> PAGEREF _Toc36275138 \h </w:instrText>
            </w:r>
            <w:r w:rsidR="009C0325">
              <w:rPr>
                <w:noProof/>
                <w:webHidden/>
              </w:rPr>
            </w:r>
            <w:r w:rsidR="009C0325">
              <w:rPr>
                <w:noProof/>
                <w:webHidden/>
              </w:rPr>
              <w:fldChar w:fldCharType="separate"/>
            </w:r>
            <w:r w:rsidR="009C0325">
              <w:rPr>
                <w:noProof/>
                <w:webHidden/>
              </w:rPr>
              <w:t>171</w:t>
            </w:r>
            <w:r w:rsidR="009C0325">
              <w:rPr>
                <w:noProof/>
                <w:webHidden/>
              </w:rPr>
              <w:fldChar w:fldCharType="end"/>
            </w:r>
          </w:hyperlink>
        </w:p>
        <w:p w14:paraId="4C698F30" w14:textId="09809850" w:rsidR="009C0325" w:rsidRDefault="0076636A">
          <w:pPr>
            <w:pStyle w:val="TOC3"/>
            <w:tabs>
              <w:tab w:val="left" w:pos="1320"/>
              <w:tab w:val="right" w:leader="dot" w:pos="8777"/>
            </w:tabs>
            <w:rPr>
              <w:rFonts w:eastAsiaTheme="minorEastAsia"/>
              <w:noProof/>
              <w:lang w:eastAsia="en-GB"/>
            </w:rPr>
          </w:pPr>
          <w:hyperlink w:anchor="_Toc36275139" w:history="1">
            <w:r w:rsidR="009C0325" w:rsidRPr="00190B99">
              <w:rPr>
                <w:rStyle w:val="Hyperlink"/>
                <w:rFonts w:cstheme="minorHAnsi"/>
                <w:noProof/>
              </w:rPr>
              <w:t>7.1.3</w:t>
            </w:r>
            <w:r w:rsidR="009C0325">
              <w:rPr>
                <w:rFonts w:eastAsiaTheme="minorEastAsia"/>
                <w:noProof/>
                <w:lang w:eastAsia="en-GB"/>
              </w:rPr>
              <w:tab/>
            </w:r>
            <w:r w:rsidR="009C0325" w:rsidRPr="00190B99">
              <w:rPr>
                <w:rStyle w:val="Hyperlink"/>
                <w:noProof/>
              </w:rPr>
              <w:t>Personal values</w:t>
            </w:r>
            <w:r w:rsidR="009C0325">
              <w:rPr>
                <w:noProof/>
                <w:webHidden/>
              </w:rPr>
              <w:tab/>
            </w:r>
            <w:r w:rsidR="009C0325">
              <w:rPr>
                <w:noProof/>
                <w:webHidden/>
              </w:rPr>
              <w:fldChar w:fldCharType="begin"/>
            </w:r>
            <w:r w:rsidR="009C0325">
              <w:rPr>
                <w:noProof/>
                <w:webHidden/>
              </w:rPr>
              <w:instrText xml:space="preserve"> PAGEREF _Toc36275139 \h </w:instrText>
            </w:r>
            <w:r w:rsidR="009C0325">
              <w:rPr>
                <w:noProof/>
                <w:webHidden/>
              </w:rPr>
            </w:r>
            <w:r w:rsidR="009C0325">
              <w:rPr>
                <w:noProof/>
                <w:webHidden/>
              </w:rPr>
              <w:fldChar w:fldCharType="separate"/>
            </w:r>
            <w:r w:rsidR="009C0325">
              <w:rPr>
                <w:noProof/>
                <w:webHidden/>
              </w:rPr>
              <w:t>173</w:t>
            </w:r>
            <w:r w:rsidR="009C0325">
              <w:rPr>
                <w:noProof/>
                <w:webHidden/>
              </w:rPr>
              <w:fldChar w:fldCharType="end"/>
            </w:r>
          </w:hyperlink>
        </w:p>
        <w:p w14:paraId="08A6F105" w14:textId="4C279431" w:rsidR="009C0325" w:rsidRDefault="0076636A">
          <w:pPr>
            <w:pStyle w:val="TOC2"/>
            <w:tabs>
              <w:tab w:val="left" w:pos="880"/>
              <w:tab w:val="right" w:leader="dot" w:pos="8777"/>
            </w:tabs>
            <w:rPr>
              <w:rFonts w:eastAsiaTheme="minorEastAsia"/>
              <w:noProof/>
              <w:lang w:eastAsia="en-GB"/>
            </w:rPr>
          </w:pPr>
          <w:hyperlink w:anchor="_Toc36275140" w:history="1">
            <w:r w:rsidR="009C0325" w:rsidRPr="00190B99">
              <w:rPr>
                <w:rStyle w:val="Hyperlink"/>
                <w:bCs/>
                <w:noProof/>
              </w:rPr>
              <w:t>7.2</w:t>
            </w:r>
            <w:r w:rsidR="009C0325">
              <w:rPr>
                <w:rFonts w:eastAsiaTheme="minorEastAsia"/>
                <w:noProof/>
                <w:lang w:eastAsia="en-GB"/>
              </w:rPr>
              <w:tab/>
            </w:r>
            <w:r w:rsidR="009C0325" w:rsidRPr="00190B99">
              <w:rPr>
                <w:rStyle w:val="Hyperlink"/>
                <w:noProof/>
              </w:rPr>
              <w:t>Governance</w:t>
            </w:r>
            <w:r w:rsidR="009C0325">
              <w:rPr>
                <w:noProof/>
                <w:webHidden/>
              </w:rPr>
              <w:tab/>
            </w:r>
            <w:r w:rsidR="009C0325">
              <w:rPr>
                <w:noProof/>
                <w:webHidden/>
              </w:rPr>
              <w:fldChar w:fldCharType="begin"/>
            </w:r>
            <w:r w:rsidR="009C0325">
              <w:rPr>
                <w:noProof/>
                <w:webHidden/>
              </w:rPr>
              <w:instrText xml:space="preserve"> PAGEREF _Toc36275140 \h </w:instrText>
            </w:r>
            <w:r w:rsidR="009C0325">
              <w:rPr>
                <w:noProof/>
                <w:webHidden/>
              </w:rPr>
            </w:r>
            <w:r w:rsidR="009C0325">
              <w:rPr>
                <w:noProof/>
                <w:webHidden/>
              </w:rPr>
              <w:fldChar w:fldCharType="separate"/>
            </w:r>
            <w:r w:rsidR="009C0325">
              <w:rPr>
                <w:noProof/>
                <w:webHidden/>
              </w:rPr>
              <w:t>173</w:t>
            </w:r>
            <w:r w:rsidR="009C0325">
              <w:rPr>
                <w:noProof/>
                <w:webHidden/>
              </w:rPr>
              <w:fldChar w:fldCharType="end"/>
            </w:r>
          </w:hyperlink>
        </w:p>
        <w:p w14:paraId="0778F25C" w14:textId="57DF44A6" w:rsidR="009C0325" w:rsidRDefault="0076636A">
          <w:pPr>
            <w:pStyle w:val="TOC3"/>
            <w:tabs>
              <w:tab w:val="left" w:pos="1320"/>
              <w:tab w:val="right" w:leader="dot" w:pos="8777"/>
            </w:tabs>
            <w:rPr>
              <w:rFonts w:eastAsiaTheme="minorEastAsia"/>
              <w:noProof/>
              <w:lang w:eastAsia="en-GB"/>
            </w:rPr>
          </w:pPr>
          <w:hyperlink w:anchor="_Toc36275141" w:history="1">
            <w:r w:rsidR="009C0325" w:rsidRPr="00190B99">
              <w:rPr>
                <w:rStyle w:val="Hyperlink"/>
                <w:rFonts w:cstheme="minorHAnsi"/>
                <w:noProof/>
              </w:rPr>
              <w:t>7.2.1</w:t>
            </w:r>
            <w:r w:rsidR="009C0325">
              <w:rPr>
                <w:rFonts w:eastAsiaTheme="minorEastAsia"/>
                <w:noProof/>
                <w:lang w:eastAsia="en-GB"/>
              </w:rPr>
              <w:tab/>
            </w:r>
            <w:r w:rsidR="009C0325" w:rsidRPr="00190B99">
              <w:rPr>
                <w:rStyle w:val="Hyperlink"/>
                <w:noProof/>
              </w:rPr>
              <w:t>Trust board</w:t>
            </w:r>
            <w:r w:rsidR="009C0325">
              <w:rPr>
                <w:noProof/>
                <w:webHidden/>
              </w:rPr>
              <w:tab/>
            </w:r>
            <w:r w:rsidR="009C0325">
              <w:rPr>
                <w:noProof/>
                <w:webHidden/>
              </w:rPr>
              <w:fldChar w:fldCharType="begin"/>
            </w:r>
            <w:r w:rsidR="009C0325">
              <w:rPr>
                <w:noProof/>
                <w:webHidden/>
              </w:rPr>
              <w:instrText xml:space="preserve"> PAGEREF _Toc36275141 \h </w:instrText>
            </w:r>
            <w:r w:rsidR="009C0325">
              <w:rPr>
                <w:noProof/>
                <w:webHidden/>
              </w:rPr>
            </w:r>
            <w:r w:rsidR="009C0325">
              <w:rPr>
                <w:noProof/>
                <w:webHidden/>
              </w:rPr>
              <w:fldChar w:fldCharType="separate"/>
            </w:r>
            <w:r w:rsidR="009C0325">
              <w:rPr>
                <w:noProof/>
                <w:webHidden/>
              </w:rPr>
              <w:t>173</w:t>
            </w:r>
            <w:r w:rsidR="009C0325">
              <w:rPr>
                <w:noProof/>
                <w:webHidden/>
              </w:rPr>
              <w:fldChar w:fldCharType="end"/>
            </w:r>
          </w:hyperlink>
        </w:p>
        <w:p w14:paraId="45F666F9" w14:textId="60BE950A" w:rsidR="009C0325" w:rsidRDefault="0076636A">
          <w:pPr>
            <w:pStyle w:val="TOC3"/>
            <w:tabs>
              <w:tab w:val="left" w:pos="1320"/>
              <w:tab w:val="right" w:leader="dot" w:pos="8777"/>
            </w:tabs>
            <w:rPr>
              <w:rFonts w:eastAsiaTheme="minorEastAsia"/>
              <w:noProof/>
              <w:lang w:eastAsia="en-GB"/>
            </w:rPr>
          </w:pPr>
          <w:hyperlink w:anchor="_Toc36275142" w:history="1">
            <w:r w:rsidR="009C0325" w:rsidRPr="00190B99">
              <w:rPr>
                <w:rStyle w:val="Hyperlink"/>
                <w:rFonts w:cstheme="minorHAnsi"/>
                <w:noProof/>
              </w:rPr>
              <w:t>7.2.2</w:t>
            </w:r>
            <w:r w:rsidR="009C0325">
              <w:rPr>
                <w:rFonts w:eastAsiaTheme="minorEastAsia"/>
                <w:noProof/>
                <w:lang w:eastAsia="en-GB"/>
              </w:rPr>
              <w:tab/>
            </w:r>
            <w:r w:rsidR="009C0325" w:rsidRPr="00190B99">
              <w:rPr>
                <w:rStyle w:val="Hyperlink"/>
                <w:noProof/>
              </w:rPr>
              <w:t>Project Board/ team</w:t>
            </w:r>
            <w:r w:rsidR="009C0325">
              <w:rPr>
                <w:noProof/>
                <w:webHidden/>
              </w:rPr>
              <w:tab/>
            </w:r>
            <w:r w:rsidR="009C0325">
              <w:rPr>
                <w:noProof/>
                <w:webHidden/>
              </w:rPr>
              <w:fldChar w:fldCharType="begin"/>
            </w:r>
            <w:r w:rsidR="009C0325">
              <w:rPr>
                <w:noProof/>
                <w:webHidden/>
              </w:rPr>
              <w:instrText xml:space="preserve"> PAGEREF _Toc36275142 \h </w:instrText>
            </w:r>
            <w:r w:rsidR="009C0325">
              <w:rPr>
                <w:noProof/>
                <w:webHidden/>
              </w:rPr>
            </w:r>
            <w:r w:rsidR="009C0325">
              <w:rPr>
                <w:noProof/>
                <w:webHidden/>
              </w:rPr>
              <w:fldChar w:fldCharType="separate"/>
            </w:r>
            <w:r w:rsidR="009C0325">
              <w:rPr>
                <w:noProof/>
                <w:webHidden/>
              </w:rPr>
              <w:t>176</w:t>
            </w:r>
            <w:r w:rsidR="009C0325">
              <w:rPr>
                <w:noProof/>
                <w:webHidden/>
              </w:rPr>
              <w:fldChar w:fldCharType="end"/>
            </w:r>
          </w:hyperlink>
        </w:p>
        <w:p w14:paraId="18D9371A" w14:textId="63B7761A" w:rsidR="009C0325" w:rsidRDefault="0076636A">
          <w:pPr>
            <w:pStyle w:val="TOC3"/>
            <w:tabs>
              <w:tab w:val="left" w:pos="1320"/>
              <w:tab w:val="right" w:leader="dot" w:pos="8777"/>
            </w:tabs>
            <w:rPr>
              <w:rFonts w:eastAsiaTheme="minorEastAsia"/>
              <w:noProof/>
              <w:lang w:eastAsia="en-GB"/>
            </w:rPr>
          </w:pPr>
          <w:hyperlink w:anchor="_Toc36275143" w:history="1">
            <w:r w:rsidR="009C0325" w:rsidRPr="00190B99">
              <w:rPr>
                <w:rStyle w:val="Hyperlink"/>
                <w:rFonts w:cstheme="minorHAnsi"/>
                <w:noProof/>
              </w:rPr>
              <w:t>7.2.3</w:t>
            </w:r>
            <w:r w:rsidR="009C0325">
              <w:rPr>
                <w:rFonts w:eastAsiaTheme="minorEastAsia"/>
                <w:noProof/>
                <w:lang w:eastAsia="en-GB"/>
              </w:rPr>
              <w:tab/>
            </w:r>
            <w:r w:rsidR="009C0325" w:rsidRPr="00190B99">
              <w:rPr>
                <w:rStyle w:val="Hyperlink"/>
                <w:noProof/>
              </w:rPr>
              <w:t>Corporate/ project interface</w:t>
            </w:r>
            <w:r w:rsidR="009C0325">
              <w:rPr>
                <w:noProof/>
                <w:webHidden/>
              </w:rPr>
              <w:tab/>
            </w:r>
            <w:r w:rsidR="009C0325">
              <w:rPr>
                <w:noProof/>
                <w:webHidden/>
              </w:rPr>
              <w:fldChar w:fldCharType="begin"/>
            </w:r>
            <w:r w:rsidR="009C0325">
              <w:rPr>
                <w:noProof/>
                <w:webHidden/>
              </w:rPr>
              <w:instrText xml:space="preserve"> PAGEREF _Toc36275143 \h </w:instrText>
            </w:r>
            <w:r w:rsidR="009C0325">
              <w:rPr>
                <w:noProof/>
                <w:webHidden/>
              </w:rPr>
            </w:r>
            <w:r w:rsidR="009C0325">
              <w:rPr>
                <w:noProof/>
                <w:webHidden/>
              </w:rPr>
              <w:fldChar w:fldCharType="separate"/>
            </w:r>
            <w:r w:rsidR="009C0325">
              <w:rPr>
                <w:noProof/>
                <w:webHidden/>
              </w:rPr>
              <w:t>177</w:t>
            </w:r>
            <w:r w:rsidR="009C0325">
              <w:rPr>
                <w:noProof/>
                <w:webHidden/>
              </w:rPr>
              <w:fldChar w:fldCharType="end"/>
            </w:r>
          </w:hyperlink>
        </w:p>
        <w:p w14:paraId="60238F59" w14:textId="3B7DA982" w:rsidR="009C0325" w:rsidRDefault="0076636A">
          <w:pPr>
            <w:pStyle w:val="TOC2"/>
            <w:tabs>
              <w:tab w:val="left" w:pos="880"/>
              <w:tab w:val="right" w:leader="dot" w:pos="8777"/>
            </w:tabs>
            <w:rPr>
              <w:rFonts w:eastAsiaTheme="minorEastAsia"/>
              <w:noProof/>
              <w:lang w:eastAsia="en-GB"/>
            </w:rPr>
          </w:pPr>
          <w:hyperlink w:anchor="_Toc36275144" w:history="1">
            <w:r w:rsidR="009C0325" w:rsidRPr="00190B99">
              <w:rPr>
                <w:rStyle w:val="Hyperlink"/>
                <w:bCs/>
                <w:noProof/>
              </w:rPr>
              <w:t>7.3</w:t>
            </w:r>
            <w:r w:rsidR="009C0325">
              <w:rPr>
                <w:rFonts w:eastAsiaTheme="minorEastAsia"/>
                <w:noProof/>
                <w:lang w:eastAsia="en-GB"/>
              </w:rPr>
              <w:tab/>
            </w:r>
            <w:r w:rsidR="009C0325" w:rsidRPr="00190B99">
              <w:rPr>
                <w:rStyle w:val="Hyperlink"/>
                <w:noProof/>
              </w:rPr>
              <w:t>Project success</w:t>
            </w:r>
            <w:r w:rsidR="009C0325">
              <w:rPr>
                <w:noProof/>
                <w:webHidden/>
              </w:rPr>
              <w:tab/>
            </w:r>
            <w:r w:rsidR="009C0325">
              <w:rPr>
                <w:noProof/>
                <w:webHidden/>
              </w:rPr>
              <w:fldChar w:fldCharType="begin"/>
            </w:r>
            <w:r w:rsidR="009C0325">
              <w:rPr>
                <w:noProof/>
                <w:webHidden/>
              </w:rPr>
              <w:instrText xml:space="preserve"> PAGEREF _Toc36275144 \h </w:instrText>
            </w:r>
            <w:r w:rsidR="009C0325">
              <w:rPr>
                <w:noProof/>
                <w:webHidden/>
              </w:rPr>
            </w:r>
            <w:r w:rsidR="009C0325">
              <w:rPr>
                <w:noProof/>
                <w:webHidden/>
              </w:rPr>
              <w:fldChar w:fldCharType="separate"/>
            </w:r>
            <w:r w:rsidR="009C0325">
              <w:rPr>
                <w:noProof/>
                <w:webHidden/>
              </w:rPr>
              <w:t>180</w:t>
            </w:r>
            <w:r w:rsidR="009C0325">
              <w:rPr>
                <w:noProof/>
                <w:webHidden/>
              </w:rPr>
              <w:fldChar w:fldCharType="end"/>
            </w:r>
          </w:hyperlink>
        </w:p>
        <w:p w14:paraId="4F3F3E4B" w14:textId="2ED02544" w:rsidR="009C0325" w:rsidRDefault="0076636A">
          <w:pPr>
            <w:pStyle w:val="TOC2"/>
            <w:tabs>
              <w:tab w:val="left" w:pos="880"/>
              <w:tab w:val="right" w:leader="dot" w:pos="8777"/>
            </w:tabs>
            <w:rPr>
              <w:rFonts w:eastAsiaTheme="minorEastAsia"/>
              <w:noProof/>
              <w:lang w:eastAsia="en-GB"/>
            </w:rPr>
          </w:pPr>
          <w:hyperlink w:anchor="_Toc36275145" w:history="1">
            <w:r w:rsidR="009C0325" w:rsidRPr="00190B99">
              <w:rPr>
                <w:rStyle w:val="Hyperlink"/>
                <w:bCs/>
                <w:noProof/>
              </w:rPr>
              <w:t>7.4</w:t>
            </w:r>
            <w:r w:rsidR="009C0325">
              <w:rPr>
                <w:rFonts w:eastAsiaTheme="minorEastAsia"/>
                <w:noProof/>
                <w:lang w:eastAsia="en-GB"/>
              </w:rPr>
              <w:tab/>
            </w:r>
            <w:r w:rsidR="009C0325" w:rsidRPr="00190B99">
              <w:rPr>
                <w:rStyle w:val="Hyperlink"/>
                <w:noProof/>
              </w:rPr>
              <w:t>Key themes emerging from the interviews</w:t>
            </w:r>
            <w:r w:rsidR="009C0325">
              <w:rPr>
                <w:noProof/>
                <w:webHidden/>
              </w:rPr>
              <w:tab/>
            </w:r>
            <w:r w:rsidR="009C0325">
              <w:rPr>
                <w:noProof/>
                <w:webHidden/>
              </w:rPr>
              <w:fldChar w:fldCharType="begin"/>
            </w:r>
            <w:r w:rsidR="009C0325">
              <w:rPr>
                <w:noProof/>
                <w:webHidden/>
              </w:rPr>
              <w:instrText xml:space="preserve"> PAGEREF _Toc36275145 \h </w:instrText>
            </w:r>
            <w:r w:rsidR="009C0325">
              <w:rPr>
                <w:noProof/>
                <w:webHidden/>
              </w:rPr>
            </w:r>
            <w:r w:rsidR="009C0325">
              <w:rPr>
                <w:noProof/>
                <w:webHidden/>
              </w:rPr>
              <w:fldChar w:fldCharType="separate"/>
            </w:r>
            <w:r w:rsidR="009C0325">
              <w:rPr>
                <w:noProof/>
                <w:webHidden/>
              </w:rPr>
              <w:t>186</w:t>
            </w:r>
            <w:r w:rsidR="009C0325">
              <w:rPr>
                <w:noProof/>
                <w:webHidden/>
              </w:rPr>
              <w:fldChar w:fldCharType="end"/>
            </w:r>
          </w:hyperlink>
        </w:p>
        <w:p w14:paraId="4845B1D7" w14:textId="0FD88D61" w:rsidR="009C0325" w:rsidRDefault="0076636A">
          <w:pPr>
            <w:pStyle w:val="TOC1"/>
            <w:rPr>
              <w:rFonts w:eastAsiaTheme="minorEastAsia"/>
              <w:noProof/>
              <w:lang w:eastAsia="en-GB"/>
            </w:rPr>
          </w:pPr>
          <w:hyperlink w:anchor="_Toc36275146" w:history="1">
            <w:r w:rsidR="009C0325" w:rsidRPr="00190B99">
              <w:rPr>
                <w:rStyle w:val="Hyperlink"/>
                <w:noProof/>
              </w:rPr>
              <w:t>8</w:t>
            </w:r>
            <w:r w:rsidR="009C0325">
              <w:rPr>
                <w:rFonts w:eastAsiaTheme="minorEastAsia"/>
                <w:noProof/>
                <w:lang w:eastAsia="en-GB"/>
              </w:rPr>
              <w:tab/>
            </w:r>
            <w:r w:rsidR="009C0325" w:rsidRPr="00190B99">
              <w:rPr>
                <w:rStyle w:val="Hyperlink"/>
                <w:noProof/>
              </w:rPr>
              <w:t>Discussion and recommendations</w:t>
            </w:r>
            <w:r w:rsidR="009C0325">
              <w:rPr>
                <w:noProof/>
                <w:webHidden/>
              </w:rPr>
              <w:tab/>
            </w:r>
            <w:r w:rsidR="009C0325">
              <w:rPr>
                <w:noProof/>
                <w:webHidden/>
              </w:rPr>
              <w:fldChar w:fldCharType="begin"/>
            </w:r>
            <w:r w:rsidR="009C0325">
              <w:rPr>
                <w:noProof/>
                <w:webHidden/>
              </w:rPr>
              <w:instrText xml:space="preserve"> PAGEREF _Toc36275146 \h </w:instrText>
            </w:r>
            <w:r w:rsidR="009C0325">
              <w:rPr>
                <w:noProof/>
                <w:webHidden/>
              </w:rPr>
            </w:r>
            <w:r w:rsidR="009C0325">
              <w:rPr>
                <w:noProof/>
                <w:webHidden/>
              </w:rPr>
              <w:fldChar w:fldCharType="separate"/>
            </w:r>
            <w:r w:rsidR="009C0325">
              <w:rPr>
                <w:noProof/>
                <w:webHidden/>
              </w:rPr>
              <w:t>188</w:t>
            </w:r>
            <w:r w:rsidR="009C0325">
              <w:rPr>
                <w:noProof/>
                <w:webHidden/>
              </w:rPr>
              <w:fldChar w:fldCharType="end"/>
            </w:r>
          </w:hyperlink>
        </w:p>
        <w:p w14:paraId="34C462D7" w14:textId="7CEB5746" w:rsidR="009C0325" w:rsidRDefault="0076636A">
          <w:pPr>
            <w:pStyle w:val="TOC3"/>
            <w:tabs>
              <w:tab w:val="left" w:pos="1320"/>
              <w:tab w:val="right" w:leader="dot" w:pos="8777"/>
            </w:tabs>
            <w:rPr>
              <w:rFonts w:eastAsiaTheme="minorEastAsia"/>
              <w:noProof/>
              <w:lang w:eastAsia="en-GB"/>
            </w:rPr>
          </w:pPr>
          <w:hyperlink w:anchor="_Toc36275147" w:history="1">
            <w:r w:rsidR="009C0325" w:rsidRPr="00190B99">
              <w:rPr>
                <w:rStyle w:val="Hyperlink"/>
                <w:rFonts w:cstheme="minorHAnsi"/>
                <w:noProof/>
              </w:rPr>
              <w:t>8.1.1</w:t>
            </w:r>
            <w:r w:rsidR="009C0325">
              <w:rPr>
                <w:rFonts w:eastAsiaTheme="minorEastAsia"/>
                <w:noProof/>
                <w:lang w:eastAsia="en-GB"/>
              </w:rPr>
              <w:tab/>
            </w:r>
            <w:r w:rsidR="009C0325" w:rsidRPr="00190B99">
              <w:rPr>
                <w:rStyle w:val="Hyperlink"/>
                <w:noProof/>
              </w:rPr>
              <w:t>Ethical predisposition.</w:t>
            </w:r>
            <w:r w:rsidR="009C0325">
              <w:rPr>
                <w:noProof/>
                <w:webHidden/>
              </w:rPr>
              <w:tab/>
            </w:r>
            <w:r w:rsidR="009C0325">
              <w:rPr>
                <w:noProof/>
                <w:webHidden/>
              </w:rPr>
              <w:fldChar w:fldCharType="begin"/>
            </w:r>
            <w:r w:rsidR="009C0325">
              <w:rPr>
                <w:noProof/>
                <w:webHidden/>
              </w:rPr>
              <w:instrText xml:space="preserve"> PAGEREF _Toc36275147 \h </w:instrText>
            </w:r>
            <w:r w:rsidR="009C0325">
              <w:rPr>
                <w:noProof/>
                <w:webHidden/>
              </w:rPr>
            </w:r>
            <w:r w:rsidR="009C0325">
              <w:rPr>
                <w:noProof/>
                <w:webHidden/>
              </w:rPr>
              <w:fldChar w:fldCharType="separate"/>
            </w:r>
            <w:r w:rsidR="009C0325">
              <w:rPr>
                <w:noProof/>
                <w:webHidden/>
              </w:rPr>
              <w:t>188</w:t>
            </w:r>
            <w:r w:rsidR="009C0325">
              <w:rPr>
                <w:noProof/>
                <w:webHidden/>
              </w:rPr>
              <w:fldChar w:fldCharType="end"/>
            </w:r>
          </w:hyperlink>
        </w:p>
        <w:p w14:paraId="6D10B4DC" w14:textId="01FC17EF" w:rsidR="009C0325" w:rsidRDefault="0076636A">
          <w:pPr>
            <w:pStyle w:val="TOC2"/>
            <w:tabs>
              <w:tab w:val="left" w:pos="880"/>
              <w:tab w:val="right" w:leader="dot" w:pos="8777"/>
            </w:tabs>
            <w:rPr>
              <w:rFonts w:eastAsiaTheme="minorEastAsia"/>
              <w:noProof/>
              <w:lang w:eastAsia="en-GB"/>
            </w:rPr>
          </w:pPr>
          <w:hyperlink w:anchor="_Toc36275148" w:history="1">
            <w:r w:rsidR="009C0325" w:rsidRPr="00190B99">
              <w:rPr>
                <w:rStyle w:val="Hyperlink"/>
                <w:bCs/>
                <w:noProof/>
              </w:rPr>
              <w:t>8.2</w:t>
            </w:r>
            <w:r w:rsidR="009C0325">
              <w:rPr>
                <w:rFonts w:eastAsiaTheme="minorEastAsia"/>
                <w:noProof/>
                <w:lang w:eastAsia="en-GB"/>
              </w:rPr>
              <w:tab/>
            </w:r>
            <w:r w:rsidR="009C0325" w:rsidRPr="00190B99">
              <w:rPr>
                <w:rStyle w:val="Hyperlink"/>
                <w:noProof/>
              </w:rPr>
              <w:t>Corporate and project governance</w:t>
            </w:r>
            <w:r w:rsidR="009C0325">
              <w:rPr>
                <w:noProof/>
                <w:webHidden/>
              </w:rPr>
              <w:tab/>
            </w:r>
            <w:r w:rsidR="009C0325">
              <w:rPr>
                <w:noProof/>
                <w:webHidden/>
              </w:rPr>
              <w:fldChar w:fldCharType="begin"/>
            </w:r>
            <w:r w:rsidR="009C0325">
              <w:rPr>
                <w:noProof/>
                <w:webHidden/>
              </w:rPr>
              <w:instrText xml:space="preserve"> PAGEREF _Toc36275148 \h </w:instrText>
            </w:r>
            <w:r w:rsidR="009C0325">
              <w:rPr>
                <w:noProof/>
                <w:webHidden/>
              </w:rPr>
            </w:r>
            <w:r w:rsidR="009C0325">
              <w:rPr>
                <w:noProof/>
                <w:webHidden/>
              </w:rPr>
              <w:fldChar w:fldCharType="separate"/>
            </w:r>
            <w:r w:rsidR="009C0325">
              <w:rPr>
                <w:noProof/>
                <w:webHidden/>
              </w:rPr>
              <w:t>192</w:t>
            </w:r>
            <w:r w:rsidR="009C0325">
              <w:rPr>
                <w:noProof/>
                <w:webHidden/>
              </w:rPr>
              <w:fldChar w:fldCharType="end"/>
            </w:r>
          </w:hyperlink>
        </w:p>
        <w:p w14:paraId="34F74532" w14:textId="737B0FF5" w:rsidR="009C0325" w:rsidRDefault="0076636A">
          <w:pPr>
            <w:pStyle w:val="TOC3"/>
            <w:tabs>
              <w:tab w:val="left" w:pos="1320"/>
              <w:tab w:val="right" w:leader="dot" w:pos="8777"/>
            </w:tabs>
            <w:rPr>
              <w:rFonts w:eastAsiaTheme="minorEastAsia"/>
              <w:noProof/>
              <w:lang w:eastAsia="en-GB"/>
            </w:rPr>
          </w:pPr>
          <w:hyperlink w:anchor="_Toc36275149" w:history="1">
            <w:r w:rsidR="009C0325" w:rsidRPr="00190B99">
              <w:rPr>
                <w:rStyle w:val="Hyperlink"/>
                <w:rFonts w:cstheme="minorHAnsi"/>
                <w:noProof/>
              </w:rPr>
              <w:t>8.2.1</w:t>
            </w:r>
            <w:r w:rsidR="009C0325">
              <w:rPr>
                <w:rFonts w:eastAsiaTheme="minorEastAsia"/>
                <w:noProof/>
                <w:lang w:eastAsia="en-GB"/>
              </w:rPr>
              <w:tab/>
            </w:r>
            <w:r w:rsidR="009C0325" w:rsidRPr="00190B99">
              <w:rPr>
                <w:rStyle w:val="Hyperlink"/>
                <w:noProof/>
              </w:rPr>
              <w:t>Corporate governance</w:t>
            </w:r>
            <w:r w:rsidR="009C0325">
              <w:rPr>
                <w:noProof/>
                <w:webHidden/>
              </w:rPr>
              <w:tab/>
            </w:r>
            <w:r w:rsidR="009C0325">
              <w:rPr>
                <w:noProof/>
                <w:webHidden/>
              </w:rPr>
              <w:fldChar w:fldCharType="begin"/>
            </w:r>
            <w:r w:rsidR="009C0325">
              <w:rPr>
                <w:noProof/>
                <w:webHidden/>
              </w:rPr>
              <w:instrText xml:space="preserve"> PAGEREF _Toc36275149 \h </w:instrText>
            </w:r>
            <w:r w:rsidR="009C0325">
              <w:rPr>
                <w:noProof/>
                <w:webHidden/>
              </w:rPr>
            </w:r>
            <w:r w:rsidR="009C0325">
              <w:rPr>
                <w:noProof/>
                <w:webHidden/>
              </w:rPr>
              <w:fldChar w:fldCharType="separate"/>
            </w:r>
            <w:r w:rsidR="009C0325">
              <w:rPr>
                <w:noProof/>
                <w:webHidden/>
              </w:rPr>
              <w:t>192</w:t>
            </w:r>
            <w:r w:rsidR="009C0325">
              <w:rPr>
                <w:noProof/>
                <w:webHidden/>
              </w:rPr>
              <w:fldChar w:fldCharType="end"/>
            </w:r>
          </w:hyperlink>
        </w:p>
        <w:p w14:paraId="0D2670F3" w14:textId="00B4E4E2" w:rsidR="009C0325" w:rsidRDefault="0076636A">
          <w:pPr>
            <w:pStyle w:val="TOC2"/>
            <w:tabs>
              <w:tab w:val="left" w:pos="880"/>
              <w:tab w:val="right" w:leader="dot" w:pos="8777"/>
            </w:tabs>
            <w:rPr>
              <w:rFonts w:eastAsiaTheme="minorEastAsia"/>
              <w:noProof/>
              <w:lang w:eastAsia="en-GB"/>
            </w:rPr>
          </w:pPr>
          <w:hyperlink w:anchor="_Toc36275150" w:history="1">
            <w:r w:rsidR="009C0325" w:rsidRPr="00190B99">
              <w:rPr>
                <w:rStyle w:val="Hyperlink"/>
                <w:bCs/>
                <w:noProof/>
              </w:rPr>
              <w:t>8.3</w:t>
            </w:r>
            <w:r w:rsidR="009C0325">
              <w:rPr>
                <w:rFonts w:eastAsiaTheme="minorEastAsia"/>
                <w:noProof/>
                <w:lang w:eastAsia="en-GB"/>
              </w:rPr>
              <w:tab/>
            </w:r>
            <w:r w:rsidR="009C0325" w:rsidRPr="00190B99">
              <w:rPr>
                <w:rStyle w:val="Hyperlink"/>
                <w:noProof/>
              </w:rPr>
              <w:t>Measure of success</w:t>
            </w:r>
            <w:r w:rsidR="009C0325">
              <w:rPr>
                <w:noProof/>
                <w:webHidden/>
              </w:rPr>
              <w:tab/>
            </w:r>
            <w:r w:rsidR="009C0325">
              <w:rPr>
                <w:noProof/>
                <w:webHidden/>
              </w:rPr>
              <w:fldChar w:fldCharType="begin"/>
            </w:r>
            <w:r w:rsidR="009C0325">
              <w:rPr>
                <w:noProof/>
                <w:webHidden/>
              </w:rPr>
              <w:instrText xml:space="preserve"> PAGEREF _Toc36275150 \h </w:instrText>
            </w:r>
            <w:r w:rsidR="009C0325">
              <w:rPr>
                <w:noProof/>
                <w:webHidden/>
              </w:rPr>
            </w:r>
            <w:r w:rsidR="009C0325">
              <w:rPr>
                <w:noProof/>
                <w:webHidden/>
              </w:rPr>
              <w:fldChar w:fldCharType="separate"/>
            </w:r>
            <w:r w:rsidR="009C0325">
              <w:rPr>
                <w:noProof/>
                <w:webHidden/>
              </w:rPr>
              <w:t>194</w:t>
            </w:r>
            <w:r w:rsidR="009C0325">
              <w:rPr>
                <w:noProof/>
                <w:webHidden/>
              </w:rPr>
              <w:fldChar w:fldCharType="end"/>
            </w:r>
          </w:hyperlink>
        </w:p>
        <w:p w14:paraId="16C7CF54" w14:textId="0EEEECAA" w:rsidR="009C0325" w:rsidRDefault="0076636A">
          <w:pPr>
            <w:pStyle w:val="TOC3"/>
            <w:tabs>
              <w:tab w:val="left" w:pos="1320"/>
              <w:tab w:val="right" w:leader="dot" w:pos="8777"/>
            </w:tabs>
            <w:rPr>
              <w:rFonts w:eastAsiaTheme="minorEastAsia"/>
              <w:noProof/>
              <w:lang w:eastAsia="en-GB"/>
            </w:rPr>
          </w:pPr>
          <w:hyperlink w:anchor="_Toc36275151" w:history="1">
            <w:r w:rsidR="009C0325" w:rsidRPr="00190B99">
              <w:rPr>
                <w:rStyle w:val="Hyperlink"/>
                <w:rFonts w:cstheme="minorHAnsi"/>
                <w:noProof/>
              </w:rPr>
              <w:t>8.3.1</w:t>
            </w:r>
            <w:r w:rsidR="009C0325">
              <w:rPr>
                <w:rFonts w:eastAsiaTheme="minorEastAsia"/>
                <w:noProof/>
                <w:lang w:eastAsia="en-GB"/>
              </w:rPr>
              <w:tab/>
            </w:r>
            <w:r w:rsidR="009C0325" w:rsidRPr="00190B99">
              <w:rPr>
                <w:rStyle w:val="Hyperlink"/>
                <w:noProof/>
              </w:rPr>
              <w:t>Time, cost and quality</w:t>
            </w:r>
            <w:r w:rsidR="009C0325">
              <w:rPr>
                <w:noProof/>
                <w:webHidden/>
              </w:rPr>
              <w:tab/>
            </w:r>
            <w:r w:rsidR="009C0325">
              <w:rPr>
                <w:noProof/>
                <w:webHidden/>
              </w:rPr>
              <w:fldChar w:fldCharType="begin"/>
            </w:r>
            <w:r w:rsidR="009C0325">
              <w:rPr>
                <w:noProof/>
                <w:webHidden/>
              </w:rPr>
              <w:instrText xml:space="preserve"> PAGEREF _Toc36275151 \h </w:instrText>
            </w:r>
            <w:r w:rsidR="009C0325">
              <w:rPr>
                <w:noProof/>
                <w:webHidden/>
              </w:rPr>
            </w:r>
            <w:r w:rsidR="009C0325">
              <w:rPr>
                <w:noProof/>
                <w:webHidden/>
              </w:rPr>
              <w:fldChar w:fldCharType="separate"/>
            </w:r>
            <w:r w:rsidR="009C0325">
              <w:rPr>
                <w:noProof/>
                <w:webHidden/>
              </w:rPr>
              <w:t>194</w:t>
            </w:r>
            <w:r w:rsidR="009C0325">
              <w:rPr>
                <w:noProof/>
                <w:webHidden/>
              </w:rPr>
              <w:fldChar w:fldCharType="end"/>
            </w:r>
          </w:hyperlink>
        </w:p>
        <w:p w14:paraId="0A699413" w14:textId="6A8CF67F" w:rsidR="009C0325" w:rsidRDefault="0076636A">
          <w:pPr>
            <w:pStyle w:val="TOC3"/>
            <w:tabs>
              <w:tab w:val="left" w:pos="1320"/>
              <w:tab w:val="right" w:leader="dot" w:pos="8777"/>
            </w:tabs>
            <w:rPr>
              <w:rFonts w:eastAsiaTheme="minorEastAsia"/>
              <w:noProof/>
              <w:lang w:eastAsia="en-GB"/>
            </w:rPr>
          </w:pPr>
          <w:hyperlink w:anchor="_Toc36275152" w:history="1">
            <w:r w:rsidR="009C0325" w:rsidRPr="00190B99">
              <w:rPr>
                <w:rStyle w:val="Hyperlink"/>
                <w:rFonts w:cstheme="minorHAnsi"/>
                <w:noProof/>
              </w:rPr>
              <w:t>8.3.2</w:t>
            </w:r>
            <w:r w:rsidR="009C0325">
              <w:rPr>
                <w:rFonts w:eastAsiaTheme="minorEastAsia"/>
                <w:noProof/>
                <w:lang w:eastAsia="en-GB"/>
              </w:rPr>
              <w:tab/>
            </w:r>
            <w:r w:rsidR="009C0325" w:rsidRPr="00190B99">
              <w:rPr>
                <w:rStyle w:val="Hyperlink"/>
                <w:noProof/>
              </w:rPr>
              <w:t>Legitimacy</w:t>
            </w:r>
            <w:r w:rsidR="009C0325">
              <w:rPr>
                <w:noProof/>
                <w:webHidden/>
              </w:rPr>
              <w:tab/>
            </w:r>
            <w:r w:rsidR="009C0325">
              <w:rPr>
                <w:noProof/>
                <w:webHidden/>
              </w:rPr>
              <w:fldChar w:fldCharType="begin"/>
            </w:r>
            <w:r w:rsidR="009C0325">
              <w:rPr>
                <w:noProof/>
                <w:webHidden/>
              </w:rPr>
              <w:instrText xml:space="preserve"> PAGEREF _Toc36275152 \h </w:instrText>
            </w:r>
            <w:r w:rsidR="009C0325">
              <w:rPr>
                <w:noProof/>
                <w:webHidden/>
              </w:rPr>
            </w:r>
            <w:r w:rsidR="009C0325">
              <w:rPr>
                <w:noProof/>
                <w:webHidden/>
              </w:rPr>
              <w:fldChar w:fldCharType="separate"/>
            </w:r>
            <w:r w:rsidR="009C0325">
              <w:rPr>
                <w:noProof/>
                <w:webHidden/>
              </w:rPr>
              <w:t>195</w:t>
            </w:r>
            <w:r w:rsidR="009C0325">
              <w:rPr>
                <w:noProof/>
                <w:webHidden/>
              </w:rPr>
              <w:fldChar w:fldCharType="end"/>
            </w:r>
          </w:hyperlink>
        </w:p>
        <w:p w14:paraId="0F62461E" w14:textId="22D8D490" w:rsidR="009C0325" w:rsidRDefault="0076636A">
          <w:pPr>
            <w:pStyle w:val="TOC2"/>
            <w:tabs>
              <w:tab w:val="left" w:pos="880"/>
              <w:tab w:val="right" w:leader="dot" w:pos="8777"/>
            </w:tabs>
            <w:rPr>
              <w:rFonts w:eastAsiaTheme="minorEastAsia"/>
              <w:noProof/>
              <w:lang w:eastAsia="en-GB"/>
            </w:rPr>
          </w:pPr>
          <w:hyperlink w:anchor="_Toc36275153" w:history="1">
            <w:r w:rsidR="009C0325" w:rsidRPr="00190B99">
              <w:rPr>
                <w:rStyle w:val="Hyperlink"/>
                <w:bCs/>
                <w:noProof/>
              </w:rPr>
              <w:t>8.4</w:t>
            </w:r>
            <w:r w:rsidR="009C0325">
              <w:rPr>
                <w:rFonts w:eastAsiaTheme="minorEastAsia"/>
                <w:noProof/>
                <w:lang w:eastAsia="en-GB"/>
              </w:rPr>
              <w:tab/>
            </w:r>
            <w:r w:rsidR="009C0325" w:rsidRPr="00190B99">
              <w:rPr>
                <w:rStyle w:val="Hyperlink"/>
                <w:noProof/>
              </w:rPr>
              <w:t>Recommendations</w:t>
            </w:r>
            <w:r w:rsidR="009C0325">
              <w:rPr>
                <w:noProof/>
                <w:webHidden/>
              </w:rPr>
              <w:tab/>
            </w:r>
            <w:r w:rsidR="009C0325">
              <w:rPr>
                <w:noProof/>
                <w:webHidden/>
              </w:rPr>
              <w:fldChar w:fldCharType="begin"/>
            </w:r>
            <w:r w:rsidR="009C0325">
              <w:rPr>
                <w:noProof/>
                <w:webHidden/>
              </w:rPr>
              <w:instrText xml:space="preserve"> PAGEREF _Toc36275153 \h </w:instrText>
            </w:r>
            <w:r w:rsidR="009C0325">
              <w:rPr>
                <w:noProof/>
                <w:webHidden/>
              </w:rPr>
            </w:r>
            <w:r w:rsidR="009C0325">
              <w:rPr>
                <w:noProof/>
                <w:webHidden/>
              </w:rPr>
              <w:fldChar w:fldCharType="separate"/>
            </w:r>
            <w:r w:rsidR="009C0325">
              <w:rPr>
                <w:noProof/>
                <w:webHidden/>
              </w:rPr>
              <w:t>196</w:t>
            </w:r>
            <w:r w:rsidR="009C0325">
              <w:rPr>
                <w:noProof/>
                <w:webHidden/>
              </w:rPr>
              <w:fldChar w:fldCharType="end"/>
            </w:r>
          </w:hyperlink>
        </w:p>
        <w:p w14:paraId="48289CA1" w14:textId="05E450F6" w:rsidR="009C0325" w:rsidRDefault="0076636A">
          <w:pPr>
            <w:pStyle w:val="TOC2"/>
            <w:tabs>
              <w:tab w:val="left" w:pos="880"/>
              <w:tab w:val="right" w:leader="dot" w:pos="8777"/>
            </w:tabs>
            <w:rPr>
              <w:rFonts w:eastAsiaTheme="minorEastAsia"/>
              <w:noProof/>
              <w:lang w:eastAsia="en-GB"/>
            </w:rPr>
          </w:pPr>
          <w:hyperlink w:anchor="_Toc36275154" w:history="1">
            <w:r w:rsidR="009C0325" w:rsidRPr="00190B99">
              <w:rPr>
                <w:rStyle w:val="Hyperlink"/>
                <w:bCs/>
                <w:noProof/>
              </w:rPr>
              <w:t>8.5</w:t>
            </w:r>
            <w:r w:rsidR="009C0325">
              <w:rPr>
                <w:rFonts w:eastAsiaTheme="minorEastAsia"/>
                <w:noProof/>
                <w:lang w:eastAsia="en-GB"/>
              </w:rPr>
              <w:tab/>
            </w:r>
            <w:r w:rsidR="009C0325" w:rsidRPr="00190B99">
              <w:rPr>
                <w:rStyle w:val="Hyperlink"/>
                <w:noProof/>
              </w:rPr>
              <w:t>Development of the Public Assurance Model</w:t>
            </w:r>
            <w:r w:rsidR="009C0325">
              <w:rPr>
                <w:noProof/>
                <w:webHidden/>
              </w:rPr>
              <w:tab/>
            </w:r>
            <w:r w:rsidR="009C0325">
              <w:rPr>
                <w:noProof/>
                <w:webHidden/>
              </w:rPr>
              <w:fldChar w:fldCharType="begin"/>
            </w:r>
            <w:r w:rsidR="009C0325">
              <w:rPr>
                <w:noProof/>
                <w:webHidden/>
              </w:rPr>
              <w:instrText xml:space="preserve"> PAGEREF _Toc36275154 \h </w:instrText>
            </w:r>
            <w:r w:rsidR="009C0325">
              <w:rPr>
                <w:noProof/>
                <w:webHidden/>
              </w:rPr>
            </w:r>
            <w:r w:rsidR="009C0325">
              <w:rPr>
                <w:noProof/>
                <w:webHidden/>
              </w:rPr>
              <w:fldChar w:fldCharType="separate"/>
            </w:r>
            <w:r w:rsidR="009C0325">
              <w:rPr>
                <w:noProof/>
                <w:webHidden/>
              </w:rPr>
              <w:t>197</w:t>
            </w:r>
            <w:r w:rsidR="009C0325">
              <w:rPr>
                <w:noProof/>
                <w:webHidden/>
              </w:rPr>
              <w:fldChar w:fldCharType="end"/>
            </w:r>
          </w:hyperlink>
        </w:p>
        <w:p w14:paraId="590D9B03" w14:textId="795E04EC" w:rsidR="009C0325" w:rsidRDefault="0076636A">
          <w:pPr>
            <w:pStyle w:val="TOC2"/>
            <w:tabs>
              <w:tab w:val="left" w:pos="880"/>
              <w:tab w:val="right" w:leader="dot" w:pos="8777"/>
            </w:tabs>
            <w:rPr>
              <w:rFonts w:eastAsiaTheme="minorEastAsia"/>
              <w:noProof/>
              <w:lang w:eastAsia="en-GB"/>
            </w:rPr>
          </w:pPr>
          <w:hyperlink w:anchor="_Toc36275155" w:history="1">
            <w:r w:rsidR="009C0325" w:rsidRPr="00190B99">
              <w:rPr>
                <w:rStyle w:val="Hyperlink"/>
                <w:bCs/>
                <w:noProof/>
              </w:rPr>
              <w:t>8.6</w:t>
            </w:r>
            <w:r w:rsidR="009C0325">
              <w:rPr>
                <w:rFonts w:eastAsiaTheme="minorEastAsia"/>
                <w:noProof/>
                <w:lang w:eastAsia="en-GB"/>
              </w:rPr>
              <w:tab/>
            </w:r>
            <w:r w:rsidR="009C0325" w:rsidRPr="00190B99">
              <w:rPr>
                <w:rStyle w:val="Hyperlink"/>
                <w:noProof/>
              </w:rPr>
              <w:t>Public assurance: recommendations for governance</w:t>
            </w:r>
            <w:r w:rsidR="009C0325">
              <w:rPr>
                <w:noProof/>
                <w:webHidden/>
              </w:rPr>
              <w:tab/>
            </w:r>
            <w:r w:rsidR="009C0325">
              <w:rPr>
                <w:noProof/>
                <w:webHidden/>
              </w:rPr>
              <w:fldChar w:fldCharType="begin"/>
            </w:r>
            <w:r w:rsidR="009C0325">
              <w:rPr>
                <w:noProof/>
                <w:webHidden/>
              </w:rPr>
              <w:instrText xml:space="preserve"> PAGEREF _Toc36275155 \h </w:instrText>
            </w:r>
            <w:r w:rsidR="009C0325">
              <w:rPr>
                <w:noProof/>
                <w:webHidden/>
              </w:rPr>
            </w:r>
            <w:r w:rsidR="009C0325">
              <w:rPr>
                <w:noProof/>
                <w:webHidden/>
              </w:rPr>
              <w:fldChar w:fldCharType="separate"/>
            </w:r>
            <w:r w:rsidR="009C0325">
              <w:rPr>
                <w:noProof/>
                <w:webHidden/>
              </w:rPr>
              <w:t>198</w:t>
            </w:r>
            <w:r w:rsidR="009C0325">
              <w:rPr>
                <w:noProof/>
                <w:webHidden/>
              </w:rPr>
              <w:fldChar w:fldCharType="end"/>
            </w:r>
          </w:hyperlink>
        </w:p>
        <w:p w14:paraId="7A00A9B6" w14:textId="5A7A222B" w:rsidR="009C0325" w:rsidRDefault="0076636A">
          <w:pPr>
            <w:pStyle w:val="TOC2"/>
            <w:tabs>
              <w:tab w:val="left" w:pos="880"/>
              <w:tab w:val="right" w:leader="dot" w:pos="8777"/>
            </w:tabs>
            <w:rPr>
              <w:rFonts w:eastAsiaTheme="minorEastAsia"/>
              <w:noProof/>
              <w:lang w:eastAsia="en-GB"/>
            </w:rPr>
          </w:pPr>
          <w:hyperlink w:anchor="_Toc36275156" w:history="1">
            <w:r w:rsidR="009C0325" w:rsidRPr="00190B99">
              <w:rPr>
                <w:rStyle w:val="Hyperlink"/>
                <w:bCs/>
                <w:noProof/>
              </w:rPr>
              <w:t>8.7</w:t>
            </w:r>
            <w:r w:rsidR="009C0325">
              <w:rPr>
                <w:rFonts w:eastAsiaTheme="minorEastAsia"/>
                <w:noProof/>
                <w:lang w:eastAsia="en-GB"/>
              </w:rPr>
              <w:tab/>
            </w:r>
            <w:r w:rsidR="009C0325" w:rsidRPr="00190B99">
              <w:rPr>
                <w:rStyle w:val="Hyperlink"/>
                <w:noProof/>
              </w:rPr>
              <w:t>Public assurance: recommendations for the measures of project success</w:t>
            </w:r>
            <w:r w:rsidR="009C0325">
              <w:rPr>
                <w:noProof/>
                <w:webHidden/>
              </w:rPr>
              <w:tab/>
            </w:r>
            <w:r w:rsidR="009C0325">
              <w:rPr>
                <w:noProof/>
                <w:webHidden/>
              </w:rPr>
              <w:fldChar w:fldCharType="begin"/>
            </w:r>
            <w:r w:rsidR="009C0325">
              <w:rPr>
                <w:noProof/>
                <w:webHidden/>
              </w:rPr>
              <w:instrText xml:space="preserve"> PAGEREF _Toc36275156 \h </w:instrText>
            </w:r>
            <w:r w:rsidR="009C0325">
              <w:rPr>
                <w:noProof/>
                <w:webHidden/>
              </w:rPr>
            </w:r>
            <w:r w:rsidR="009C0325">
              <w:rPr>
                <w:noProof/>
                <w:webHidden/>
              </w:rPr>
              <w:fldChar w:fldCharType="separate"/>
            </w:r>
            <w:r w:rsidR="009C0325">
              <w:rPr>
                <w:noProof/>
                <w:webHidden/>
              </w:rPr>
              <w:t>199</w:t>
            </w:r>
            <w:r w:rsidR="009C0325">
              <w:rPr>
                <w:noProof/>
                <w:webHidden/>
              </w:rPr>
              <w:fldChar w:fldCharType="end"/>
            </w:r>
          </w:hyperlink>
        </w:p>
        <w:p w14:paraId="067BB357" w14:textId="039599FA" w:rsidR="009C0325" w:rsidRDefault="0076636A">
          <w:pPr>
            <w:pStyle w:val="TOC2"/>
            <w:tabs>
              <w:tab w:val="left" w:pos="880"/>
              <w:tab w:val="right" w:leader="dot" w:pos="8777"/>
            </w:tabs>
            <w:rPr>
              <w:rFonts w:eastAsiaTheme="minorEastAsia"/>
              <w:noProof/>
              <w:lang w:eastAsia="en-GB"/>
            </w:rPr>
          </w:pPr>
          <w:hyperlink w:anchor="_Toc36275157" w:history="1">
            <w:r w:rsidR="009C0325" w:rsidRPr="00190B99">
              <w:rPr>
                <w:rStyle w:val="Hyperlink"/>
                <w:bCs/>
                <w:noProof/>
              </w:rPr>
              <w:t>8.8</w:t>
            </w:r>
            <w:r w:rsidR="009C0325">
              <w:rPr>
                <w:rFonts w:eastAsiaTheme="minorEastAsia"/>
                <w:noProof/>
                <w:lang w:eastAsia="en-GB"/>
              </w:rPr>
              <w:tab/>
            </w:r>
            <w:r w:rsidR="009C0325" w:rsidRPr="00190B99">
              <w:rPr>
                <w:rStyle w:val="Hyperlink"/>
                <w:noProof/>
              </w:rPr>
              <w:t>The Public Assurance Model and policy implications</w:t>
            </w:r>
            <w:r w:rsidR="009C0325">
              <w:rPr>
                <w:noProof/>
                <w:webHidden/>
              </w:rPr>
              <w:tab/>
            </w:r>
            <w:r w:rsidR="009C0325">
              <w:rPr>
                <w:noProof/>
                <w:webHidden/>
              </w:rPr>
              <w:fldChar w:fldCharType="begin"/>
            </w:r>
            <w:r w:rsidR="009C0325">
              <w:rPr>
                <w:noProof/>
                <w:webHidden/>
              </w:rPr>
              <w:instrText xml:space="preserve"> PAGEREF _Toc36275157 \h </w:instrText>
            </w:r>
            <w:r w:rsidR="009C0325">
              <w:rPr>
                <w:noProof/>
                <w:webHidden/>
              </w:rPr>
            </w:r>
            <w:r w:rsidR="009C0325">
              <w:rPr>
                <w:noProof/>
                <w:webHidden/>
              </w:rPr>
              <w:fldChar w:fldCharType="separate"/>
            </w:r>
            <w:r w:rsidR="009C0325">
              <w:rPr>
                <w:noProof/>
                <w:webHidden/>
              </w:rPr>
              <w:t>199</w:t>
            </w:r>
            <w:r w:rsidR="009C0325">
              <w:rPr>
                <w:noProof/>
                <w:webHidden/>
              </w:rPr>
              <w:fldChar w:fldCharType="end"/>
            </w:r>
          </w:hyperlink>
        </w:p>
        <w:p w14:paraId="529BCCC6" w14:textId="1D83DAE7" w:rsidR="009C0325" w:rsidRDefault="0076636A">
          <w:pPr>
            <w:pStyle w:val="TOC3"/>
            <w:tabs>
              <w:tab w:val="left" w:pos="880"/>
              <w:tab w:val="right" w:leader="dot" w:pos="8777"/>
            </w:tabs>
            <w:rPr>
              <w:rFonts w:eastAsiaTheme="minorEastAsia"/>
              <w:noProof/>
              <w:lang w:eastAsia="en-GB"/>
            </w:rPr>
          </w:pPr>
          <w:hyperlink r:id="rId10" w:anchor="_Toc36275158" w:history="1">
            <w:r w:rsidR="009C0325" w:rsidRPr="00190B99">
              <w:rPr>
                <w:rStyle w:val="Hyperlink"/>
                <w:rFonts w:ascii="Symbol" w:hAnsi="Symbol" w:cstheme="minorHAnsi"/>
                <w:noProof/>
              </w:rPr>
              <w:t></w:t>
            </w:r>
            <w:r w:rsidR="009C0325">
              <w:rPr>
                <w:rFonts w:eastAsiaTheme="minorEastAsia"/>
                <w:noProof/>
                <w:lang w:eastAsia="en-GB"/>
              </w:rPr>
              <w:tab/>
            </w:r>
            <w:r w:rsidR="009C0325" w:rsidRPr="00190B99">
              <w:rPr>
                <w:rStyle w:val="Hyperlink"/>
                <w:rFonts w:cstheme="minorHAnsi"/>
                <w:noProof/>
              </w:rPr>
              <w:t>Has the project been evaluated against governance measures?</w:t>
            </w:r>
            <w:r w:rsidR="009C0325">
              <w:rPr>
                <w:noProof/>
                <w:webHidden/>
              </w:rPr>
              <w:tab/>
            </w:r>
            <w:r w:rsidR="009C0325">
              <w:rPr>
                <w:noProof/>
                <w:webHidden/>
              </w:rPr>
              <w:fldChar w:fldCharType="begin"/>
            </w:r>
            <w:r w:rsidR="009C0325">
              <w:rPr>
                <w:noProof/>
                <w:webHidden/>
              </w:rPr>
              <w:instrText xml:space="preserve"> PAGEREF _Toc36275158 \h </w:instrText>
            </w:r>
            <w:r w:rsidR="009C0325">
              <w:rPr>
                <w:noProof/>
                <w:webHidden/>
              </w:rPr>
            </w:r>
            <w:r w:rsidR="009C0325">
              <w:rPr>
                <w:noProof/>
                <w:webHidden/>
              </w:rPr>
              <w:fldChar w:fldCharType="separate"/>
            </w:r>
            <w:r w:rsidR="009C0325">
              <w:rPr>
                <w:noProof/>
                <w:webHidden/>
              </w:rPr>
              <w:t>202</w:t>
            </w:r>
            <w:r w:rsidR="009C0325">
              <w:rPr>
                <w:noProof/>
                <w:webHidden/>
              </w:rPr>
              <w:fldChar w:fldCharType="end"/>
            </w:r>
          </w:hyperlink>
        </w:p>
        <w:p w14:paraId="3E0B9C4D" w14:textId="5249DE68" w:rsidR="009C0325" w:rsidRDefault="0076636A">
          <w:pPr>
            <w:pStyle w:val="TOC3"/>
            <w:tabs>
              <w:tab w:val="left" w:pos="880"/>
              <w:tab w:val="right" w:leader="dot" w:pos="8777"/>
            </w:tabs>
            <w:rPr>
              <w:rFonts w:eastAsiaTheme="minorEastAsia"/>
              <w:noProof/>
              <w:lang w:eastAsia="en-GB"/>
            </w:rPr>
          </w:pPr>
          <w:hyperlink r:id="rId11" w:anchor="_Toc36275159" w:history="1">
            <w:r w:rsidR="009C0325" w:rsidRPr="00190B99">
              <w:rPr>
                <w:rStyle w:val="Hyperlink"/>
                <w:rFonts w:ascii="Symbol" w:hAnsi="Symbol" w:cstheme="minorHAnsi"/>
                <w:noProof/>
              </w:rPr>
              <w:t></w:t>
            </w:r>
            <w:r w:rsidR="009C0325">
              <w:rPr>
                <w:rFonts w:eastAsiaTheme="minorEastAsia"/>
                <w:noProof/>
                <w:lang w:eastAsia="en-GB"/>
              </w:rPr>
              <w:tab/>
            </w:r>
            <w:r w:rsidR="009C0325" w:rsidRPr="00190B99">
              <w:rPr>
                <w:rStyle w:val="Hyperlink"/>
                <w:rFonts w:cstheme="minorHAnsi"/>
                <w:noProof/>
              </w:rPr>
              <w:t>Has the project been evaluated against the agreed weighted success measures including cost and quality and benefits?</w:t>
            </w:r>
            <w:r w:rsidR="009C0325">
              <w:rPr>
                <w:noProof/>
                <w:webHidden/>
              </w:rPr>
              <w:tab/>
            </w:r>
            <w:r w:rsidR="009C0325">
              <w:rPr>
                <w:noProof/>
                <w:webHidden/>
              </w:rPr>
              <w:fldChar w:fldCharType="begin"/>
            </w:r>
            <w:r w:rsidR="009C0325">
              <w:rPr>
                <w:noProof/>
                <w:webHidden/>
              </w:rPr>
              <w:instrText xml:space="preserve"> PAGEREF _Toc36275159 \h </w:instrText>
            </w:r>
            <w:r w:rsidR="009C0325">
              <w:rPr>
                <w:noProof/>
                <w:webHidden/>
              </w:rPr>
            </w:r>
            <w:r w:rsidR="009C0325">
              <w:rPr>
                <w:noProof/>
                <w:webHidden/>
              </w:rPr>
              <w:fldChar w:fldCharType="separate"/>
            </w:r>
            <w:r w:rsidR="009C0325">
              <w:rPr>
                <w:noProof/>
                <w:webHidden/>
              </w:rPr>
              <w:t>202</w:t>
            </w:r>
            <w:r w:rsidR="009C0325">
              <w:rPr>
                <w:noProof/>
                <w:webHidden/>
              </w:rPr>
              <w:fldChar w:fldCharType="end"/>
            </w:r>
          </w:hyperlink>
        </w:p>
        <w:p w14:paraId="5E77FDAD" w14:textId="767655AB" w:rsidR="009C0325" w:rsidRDefault="0076636A">
          <w:pPr>
            <w:pStyle w:val="TOC3"/>
            <w:tabs>
              <w:tab w:val="left" w:pos="880"/>
              <w:tab w:val="right" w:leader="dot" w:pos="8777"/>
            </w:tabs>
            <w:rPr>
              <w:rFonts w:eastAsiaTheme="minorEastAsia"/>
              <w:noProof/>
              <w:lang w:eastAsia="en-GB"/>
            </w:rPr>
          </w:pPr>
          <w:hyperlink r:id="rId12" w:anchor="_Toc36275160" w:history="1">
            <w:r w:rsidR="009C0325" w:rsidRPr="00190B99">
              <w:rPr>
                <w:rStyle w:val="Hyperlink"/>
                <w:rFonts w:ascii="Symbol" w:hAnsi="Symbol" w:cstheme="minorHAnsi"/>
                <w:noProof/>
              </w:rPr>
              <w:t></w:t>
            </w:r>
            <w:r w:rsidR="009C0325">
              <w:rPr>
                <w:rFonts w:eastAsiaTheme="minorEastAsia"/>
                <w:noProof/>
                <w:lang w:eastAsia="en-GB"/>
              </w:rPr>
              <w:tab/>
            </w:r>
            <w:r w:rsidR="009C0325" w:rsidRPr="00190B99">
              <w:rPr>
                <w:rStyle w:val="Hyperlink"/>
                <w:rFonts w:cstheme="minorHAnsi"/>
                <w:noProof/>
              </w:rPr>
              <w:t>Has a post project evaluation been carried out?</w:t>
            </w:r>
            <w:r w:rsidR="009C0325">
              <w:rPr>
                <w:noProof/>
                <w:webHidden/>
              </w:rPr>
              <w:tab/>
            </w:r>
            <w:r w:rsidR="009C0325">
              <w:rPr>
                <w:noProof/>
                <w:webHidden/>
              </w:rPr>
              <w:fldChar w:fldCharType="begin"/>
            </w:r>
            <w:r w:rsidR="009C0325">
              <w:rPr>
                <w:noProof/>
                <w:webHidden/>
              </w:rPr>
              <w:instrText xml:space="preserve"> PAGEREF _Toc36275160 \h </w:instrText>
            </w:r>
            <w:r w:rsidR="009C0325">
              <w:rPr>
                <w:noProof/>
                <w:webHidden/>
              </w:rPr>
            </w:r>
            <w:r w:rsidR="009C0325">
              <w:rPr>
                <w:noProof/>
                <w:webHidden/>
              </w:rPr>
              <w:fldChar w:fldCharType="separate"/>
            </w:r>
            <w:r w:rsidR="009C0325">
              <w:rPr>
                <w:noProof/>
                <w:webHidden/>
              </w:rPr>
              <w:t>202</w:t>
            </w:r>
            <w:r w:rsidR="009C0325">
              <w:rPr>
                <w:noProof/>
                <w:webHidden/>
              </w:rPr>
              <w:fldChar w:fldCharType="end"/>
            </w:r>
          </w:hyperlink>
        </w:p>
        <w:p w14:paraId="3C4BCF88" w14:textId="002DB913" w:rsidR="009C0325" w:rsidRDefault="0076636A">
          <w:pPr>
            <w:pStyle w:val="TOC3"/>
            <w:tabs>
              <w:tab w:val="left" w:pos="880"/>
              <w:tab w:val="right" w:leader="dot" w:pos="8777"/>
            </w:tabs>
            <w:rPr>
              <w:rFonts w:eastAsiaTheme="minorEastAsia"/>
              <w:noProof/>
              <w:lang w:eastAsia="en-GB"/>
            </w:rPr>
          </w:pPr>
          <w:hyperlink r:id="rId13" w:anchor="_Toc36275161" w:history="1">
            <w:r w:rsidR="009C0325" w:rsidRPr="00190B99">
              <w:rPr>
                <w:rStyle w:val="Hyperlink"/>
                <w:rFonts w:ascii="Symbol" w:hAnsi="Symbol" w:cstheme="minorHAnsi"/>
                <w:noProof/>
              </w:rPr>
              <w:t></w:t>
            </w:r>
            <w:r w:rsidR="009C0325">
              <w:rPr>
                <w:rFonts w:eastAsiaTheme="minorEastAsia"/>
                <w:noProof/>
                <w:lang w:eastAsia="en-GB"/>
              </w:rPr>
              <w:tab/>
            </w:r>
            <w:r w:rsidR="009C0325" w:rsidRPr="00190B99">
              <w:rPr>
                <w:rStyle w:val="Hyperlink"/>
                <w:rFonts w:cstheme="minorHAnsi"/>
                <w:noProof/>
              </w:rPr>
              <w:t>Are post occupancy evaluations planned and being carried out at agreed intervals during the operational phase, including cost and quality, governance and benefits</w:t>
            </w:r>
            <w:r w:rsidR="009C0325">
              <w:rPr>
                <w:noProof/>
                <w:webHidden/>
              </w:rPr>
              <w:tab/>
            </w:r>
            <w:r w:rsidR="009C0325">
              <w:rPr>
                <w:noProof/>
                <w:webHidden/>
              </w:rPr>
              <w:fldChar w:fldCharType="begin"/>
            </w:r>
            <w:r w:rsidR="009C0325">
              <w:rPr>
                <w:noProof/>
                <w:webHidden/>
              </w:rPr>
              <w:instrText xml:space="preserve"> PAGEREF _Toc36275161 \h </w:instrText>
            </w:r>
            <w:r w:rsidR="009C0325">
              <w:rPr>
                <w:noProof/>
                <w:webHidden/>
              </w:rPr>
            </w:r>
            <w:r w:rsidR="009C0325">
              <w:rPr>
                <w:noProof/>
                <w:webHidden/>
              </w:rPr>
              <w:fldChar w:fldCharType="separate"/>
            </w:r>
            <w:r w:rsidR="009C0325">
              <w:rPr>
                <w:noProof/>
                <w:webHidden/>
              </w:rPr>
              <w:t>203</w:t>
            </w:r>
            <w:r w:rsidR="009C0325">
              <w:rPr>
                <w:noProof/>
                <w:webHidden/>
              </w:rPr>
              <w:fldChar w:fldCharType="end"/>
            </w:r>
          </w:hyperlink>
        </w:p>
        <w:p w14:paraId="43656DA5" w14:textId="060E4EA7" w:rsidR="009C0325" w:rsidRDefault="0076636A">
          <w:pPr>
            <w:pStyle w:val="TOC2"/>
            <w:tabs>
              <w:tab w:val="left" w:pos="880"/>
              <w:tab w:val="right" w:leader="dot" w:pos="8777"/>
            </w:tabs>
            <w:rPr>
              <w:rFonts w:eastAsiaTheme="minorEastAsia"/>
              <w:noProof/>
              <w:lang w:eastAsia="en-GB"/>
            </w:rPr>
          </w:pPr>
          <w:hyperlink w:anchor="_Toc36275162" w:history="1">
            <w:r w:rsidR="009C0325" w:rsidRPr="00190B99">
              <w:rPr>
                <w:rStyle w:val="Hyperlink"/>
                <w:bCs/>
                <w:noProof/>
              </w:rPr>
              <w:t>8.9</w:t>
            </w:r>
            <w:r w:rsidR="009C0325">
              <w:rPr>
                <w:rFonts w:eastAsiaTheme="minorEastAsia"/>
                <w:noProof/>
                <w:lang w:eastAsia="en-GB"/>
              </w:rPr>
              <w:tab/>
            </w:r>
            <w:r w:rsidR="009C0325" w:rsidRPr="00190B99">
              <w:rPr>
                <w:rStyle w:val="Hyperlink"/>
                <w:noProof/>
              </w:rPr>
              <w:t>Meeting the objectives</w:t>
            </w:r>
            <w:r w:rsidR="009C0325">
              <w:rPr>
                <w:noProof/>
                <w:webHidden/>
              </w:rPr>
              <w:tab/>
            </w:r>
            <w:r w:rsidR="009C0325">
              <w:rPr>
                <w:noProof/>
                <w:webHidden/>
              </w:rPr>
              <w:fldChar w:fldCharType="begin"/>
            </w:r>
            <w:r w:rsidR="009C0325">
              <w:rPr>
                <w:noProof/>
                <w:webHidden/>
              </w:rPr>
              <w:instrText xml:space="preserve"> PAGEREF _Toc36275162 \h </w:instrText>
            </w:r>
            <w:r w:rsidR="009C0325">
              <w:rPr>
                <w:noProof/>
                <w:webHidden/>
              </w:rPr>
            </w:r>
            <w:r w:rsidR="009C0325">
              <w:rPr>
                <w:noProof/>
                <w:webHidden/>
              </w:rPr>
              <w:fldChar w:fldCharType="separate"/>
            </w:r>
            <w:r w:rsidR="009C0325">
              <w:rPr>
                <w:noProof/>
                <w:webHidden/>
              </w:rPr>
              <w:t>204</w:t>
            </w:r>
            <w:r w:rsidR="009C0325">
              <w:rPr>
                <w:noProof/>
                <w:webHidden/>
              </w:rPr>
              <w:fldChar w:fldCharType="end"/>
            </w:r>
          </w:hyperlink>
        </w:p>
        <w:p w14:paraId="252C3998" w14:textId="10B8C551" w:rsidR="009C0325" w:rsidRDefault="0076636A">
          <w:pPr>
            <w:pStyle w:val="TOC2"/>
            <w:tabs>
              <w:tab w:val="left" w:pos="880"/>
              <w:tab w:val="right" w:leader="dot" w:pos="8777"/>
            </w:tabs>
            <w:rPr>
              <w:rFonts w:eastAsiaTheme="minorEastAsia"/>
              <w:noProof/>
              <w:lang w:eastAsia="en-GB"/>
            </w:rPr>
          </w:pPr>
          <w:hyperlink w:anchor="_Toc36275163" w:history="1">
            <w:r w:rsidR="009C0325" w:rsidRPr="00190B99">
              <w:rPr>
                <w:rStyle w:val="Hyperlink"/>
                <w:bCs/>
                <w:noProof/>
              </w:rPr>
              <w:t>8.10</w:t>
            </w:r>
            <w:r w:rsidR="009C0325">
              <w:rPr>
                <w:rFonts w:eastAsiaTheme="minorEastAsia"/>
                <w:noProof/>
                <w:lang w:eastAsia="en-GB"/>
              </w:rPr>
              <w:tab/>
            </w:r>
            <w:r w:rsidR="009C0325" w:rsidRPr="00190B99">
              <w:rPr>
                <w:rStyle w:val="Hyperlink"/>
                <w:noProof/>
              </w:rPr>
              <w:t>Contribution to knowledge</w:t>
            </w:r>
            <w:r w:rsidR="009C0325">
              <w:rPr>
                <w:noProof/>
                <w:webHidden/>
              </w:rPr>
              <w:tab/>
            </w:r>
            <w:r w:rsidR="009C0325">
              <w:rPr>
                <w:noProof/>
                <w:webHidden/>
              </w:rPr>
              <w:fldChar w:fldCharType="begin"/>
            </w:r>
            <w:r w:rsidR="009C0325">
              <w:rPr>
                <w:noProof/>
                <w:webHidden/>
              </w:rPr>
              <w:instrText xml:space="preserve"> PAGEREF _Toc36275163 \h </w:instrText>
            </w:r>
            <w:r w:rsidR="009C0325">
              <w:rPr>
                <w:noProof/>
                <w:webHidden/>
              </w:rPr>
            </w:r>
            <w:r w:rsidR="009C0325">
              <w:rPr>
                <w:noProof/>
                <w:webHidden/>
              </w:rPr>
              <w:fldChar w:fldCharType="separate"/>
            </w:r>
            <w:r w:rsidR="009C0325">
              <w:rPr>
                <w:noProof/>
                <w:webHidden/>
              </w:rPr>
              <w:t>205</w:t>
            </w:r>
            <w:r w:rsidR="009C0325">
              <w:rPr>
                <w:noProof/>
                <w:webHidden/>
              </w:rPr>
              <w:fldChar w:fldCharType="end"/>
            </w:r>
          </w:hyperlink>
        </w:p>
        <w:p w14:paraId="2CAA5037" w14:textId="5C8064CC" w:rsidR="009C0325" w:rsidRDefault="0076636A">
          <w:pPr>
            <w:pStyle w:val="TOC2"/>
            <w:tabs>
              <w:tab w:val="left" w:pos="880"/>
              <w:tab w:val="right" w:leader="dot" w:pos="8777"/>
            </w:tabs>
            <w:rPr>
              <w:rFonts w:eastAsiaTheme="minorEastAsia"/>
              <w:noProof/>
              <w:lang w:eastAsia="en-GB"/>
            </w:rPr>
          </w:pPr>
          <w:hyperlink w:anchor="_Toc36275164" w:history="1">
            <w:r w:rsidR="009C0325" w:rsidRPr="00190B99">
              <w:rPr>
                <w:rStyle w:val="Hyperlink"/>
                <w:bCs/>
                <w:noProof/>
              </w:rPr>
              <w:t>8.11</w:t>
            </w:r>
            <w:r w:rsidR="009C0325">
              <w:rPr>
                <w:rFonts w:eastAsiaTheme="minorEastAsia"/>
                <w:noProof/>
                <w:lang w:eastAsia="en-GB"/>
              </w:rPr>
              <w:tab/>
            </w:r>
            <w:r w:rsidR="009C0325" w:rsidRPr="00190B99">
              <w:rPr>
                <w:rStyle w:val="Hyperlink"/>
                <w:noProof/>
              </w:rPr>
              <w:t>Recommendations for further research</w:t>
            </w:r>
            <w:r w:rsidR="009C0325">
              <w:rPr>
                <w:noProof/>
                <w:webHidden/>
              </w:rPr>
              <w:tab/>
            </w:r>
            <w:r w:rsidR="009C0325">
              <w:rPr>
                <w:noProof/>
                <w:webHidden/>
              </w:rPr>
              <w:fldChar w:fldCharType="begin"/>
            </w:r>
            <w:r w:rsidR="009C0325">
              <w:rPr>
                <w:noProof/>
                <w:webHidden/>
              </w:rPr>
              <w:instrText xml:space="preserve"> PAGEREF _Toc36275164 \h </w:instrText>
            </w:r>
            <w:r w:rsidR="009C0325">
              <w:rPr>
                <w:noProof/>
                <w:webHidden/>
              </w:rPr>
            </w:r>
            <w:r w:rsidR="009C0325">
              <w:rPr>
                <w:noProof/>
                <w:webHidden/>
              </w:rPr>
              <w:fldChar w:fldCharType="separate"/>
            </w:r>
            <w:r w:rsidR="009C0325">
              <w:rPr>
                <w:noProof/>
                <w:webHidden/>
              </w:rPr>
              <w:t>206</w:t>
            </w:r>
            <w:r w:rsidR="009C0325">
              <w:rPr>
                <w:noProof/>
                <w:webHidden/>
              </w:rPr>
              <w:fldChar w:fldCharType="end"/>
            </w:r>
          </w:hyperlink>
        </w:p>
        <w:p w14:paraId="1CD41936" w14:textId="432FD16A" w:rsidR="009C0325" w:rsidRDefault="0076636A">
          <w:pPr>
            <w:pStyle w:val="TOC2"/>
            <w:tabs>
              <w:tab w:val="left" w:pos="880"/>
              <w:tab w:val="right" w:leader="dot" w:pos="8777"/>
            </w:tabs>
            <w:rPr>
              <w:rFonts w:eastAsiaTheme="minorEastAsia"/>
              <w:noProof/>
              <w:lang w:eastAsia="en-GB"/>
            </w:rPr>
          </w:pPr>
          <w:hyperlink w:anchor="_Toc36275165" w:history="1">
            <w:r w:rsidR="009C0325" w:rsidRPr="00190B99">
              <w:rPr>
                <w:rStyle w:val="Hyperlink"/>
                <w:bCs/>
                <w:noProof/>
              </w:rPr>
              <w:t>8.12</w:t>
            </w:r>
            <w:r w:rsidR="009C0325">
              <w:rPr>
                <w:rFonts w:eastAsiaTheme="minorEastAsia"/>
                <w:noProof/>
                <w:lang w:eastAsia="en-GB"/>
              </w:rPr>
              <w:tab/>
            </w:r>
            <w:r w:rsidR="009C0325" w:rsidRPr="00190B99">
              <w:rPr>
                <w:rStyle w:val="Hyperlink"/>
                <w:noProof/>
              </w:rPr>
              <w:t>Concluding remarks</w:t>
            </w:r>
            <w:r w:rsidR="009C0325">
              <w:rPr>
                <w:noProof/>
                <w:webHidden/>
              </w:rPr>
              <w:tab/>
            </w:r>
            <w:r w:rsidR="009C0325">
              <w:rPr>
                <w:noProof/>
                <w:webHidden/>
              </w:rPr>
              <w:fldChar w:fldCharType="begin"/>
            </w:r>
            <w:r w:rsidR="009C0325">
              <w:rPr>
                <w:noProof/>
                <w:webHidden/>
              </w:rPr>
              <w:instrText xml:space="preserve"> PAGEREF _Toc36275165 \h </w:instrText>
            </w:r>
            <w:r w:rsidR="009C0325">
              <w:rPr>
                <w:noProof/>
                <w:webHidden/>
              </w:rPr>
            </w:r>
            <w:r w:rsidR="009C0325">
              <w:rPr>
                <w:noProof/>
                <w:webHidden/>
              </w:rPr>
              <w:fldChar w:fldCharType="separate"/>
            </w:r>
            <w:r w:rsidR="009C0325">
              <w:rPr>
                <w:noProof/>
                <w:webHidden/>
              </w:rPr>
              <w:t>206</w:t>
            </w:r>
            <w:r w:rsidR="009C0325">
              <w:rPr>
                <w:noProof/>
                <w:webHidden/>
              </w:rPr>
              <w:fldChar w:fldCharType="end"/>
            </w:r>
          </w:hyperlink>
        </w:p>
        <w:p w14:paraId="0FD7EE2F" w14:textId="63D42A22" w:rsidR="009C0325" w:rsidRDefault="0076636A">
          <w:pPr>
            <w:pStyle w:val="TOC2"/>
            <w:tabs>
              <w:tab w:val="left" w:pos="880"/>
              <w:tab w:val="right" w:leader="dot" w:pos="8777"/>
            </w:tabs>
            <w:rPr>
              <w:rFonts w:eastAsiaTheme="minorEastAsia"/>
              <w:noProof/>
              <w:lang w:eastAsia="en-GB"/>
            </w:rPr>
          </w:pPr>
          <w:hyperlink w:anchor="_Toc36275166" w:history="1">
            <w:r w:rsidR="009C0325" w:rsidRPr="00190B99">
              <w:rPr>
                <w:rStyle w:val="Hyperlink"/>
                <w:bCs/>
                <w:noProof/>
              </w:rPr>
              <w:t>8.13</w:t>
            </w:r>
            <w:r w:rsidR="009C0325">
              <w:rPr>
                <w:rFonts w:eastAsiaTheme="minorEastAsia"/>
                <w:noProof/>
                <w:lang w:eastAsia="en-GB"/>
              </w:rPr>
              <w:tab/>
            </w:r>
            <w:r w:rsidR="009C0325" w:rsidRPr="00190B99">
              <w:rPr>
                <w:rStyle w:val="Hyperlink"/>
                <w:noProof/>
              </w:rPr>
              <w:t>Publication</w:t>
            </w:r>
            <w:r w:rsidR="009C0325">
              <w:rPr>
                <w:noProof/>
                <w:webHidden/>
              </w:rPr>
              <w:tab/>
            </w:r>
            <w:r w:rsidR="009C0325">
              <w:rPr>
                <w:noProof/>
                <w:webHidden/>
              </w:rPr>
              <w:fldChar w:fldCharType="begin"/>
            </w:r>
            <w:r w:rsidR="009C0325">
              <w:rPr>
                <w:noProof/>
                <w:webHidden/>
              </w:rPr>
              <w:instrText xml:space="preserve"> PAGEREF _Toc36275166 \h </w:instrText>
            </w:r>
            <w:r w:rsidR="009C0325">
              <w:rPr>
                <w:noProof/>
                <w:webHidden/>
              </w:rPr>
            </w:r>
            <w:r w:rsidR="009C0325">
              <w:rPr>
                <w:noProof/>
                <w:webHidden/>
              </w:rPr>
              <w:fldChar w:fldCharType="separate"/>
            </w:r>
            <w:r w:rsidR="009C0325">
              <w:rPr>
                <w:noProof/>
                <w:webHidden/>
              </w:rPr>
              <w:t>207</w:t>
            </w:r>
            <w:r w:rsidR="009C0325">
              <w:rPr>
                <w:noProof/>
                <w:webHidden/>
              </w:rPr>
              <w:fldChar w:fldCharType="end"/>
            </w:r>
          </w:hyperlink>
        </w:p>
        <w:p w14:paraId="69D93213" w14:textId="252662A6" w:rsidR="009C0325" w:rsidRDefault="0076636A">
          <w:pPr>
            <w:pStyle w:val="TOC1"/>
            <w:rPr>
              <w:rFonts w:eastAsiaTheme="minorEastAsia"/>
              <w:noProof/>
              <w:lang w:eastAsia="en-GB"/>
            </w:rPr>
          </w:pPr>
          <w:hyperlink w:anchor="_Toc36275167" w:history="1">
            <w:r w:rsidR="009C0325" w:rsidRPr="00190B99">
              <w:rPr>
                <w:rStyle w:val="Hyperlink"/>
                <w:noProof/>
              </w:rPr>
              <w:t>9</w:t>
            </w:r>
            <w:r w:rsidR="009C0325">
              <w:rPr>
                <w:rFonts w:eastAsiaTheme="minorEastAsia"/>
                <w:noProof/>
                <w:lang w:eastAsia="en-GB"/>
              </w:rPr>
              <w:tab/>
            </w:r>
            <w:r w:rsidR="009C0325" w:rsidRPr="00190B99">
              <w:rPr>
                <w:rStyle w:val="Hyperlink"/>
                <w:noProof/>
              </w:rPr>
              <w:t>References</w:t>
            </w:r>
            <w:r w:rsidR="009C0325">
              <w:rPr>
                <w:noProof/>
                <w:webHidden/>
              </w:rPr>
              <w:tab/>
            </w:r>
            <w:r w:rsidR="009C0325">
              <w:rPr>
                <w:noProof/>
                <w:webHidden/>
              </w:rPr>
              <w:fldChar w:fldCharType="begin"/>
            </w:r>
            <w:r w:rsidR="009C0325">
              <w:rPr>
                <w:noProof/>
                <w:webHidden/>
              </w:rPr>
              <w:instrText xml:space="preserve"> PAGEREF _Toc36275167 \h </w:instrText>
            </w:r>
            <w:r w:rsidR="009C0325">
              <w:rPr>
                <w:noProof/>
                <w:webHidden/>
              </w:rPr>
            </w:r>
            <w:r w:rsidR="009C0325">
              <w:rPr>
                <w:noProof/>
                <w:webHidden/>
              </w:rPr>
              <w:fldChar w:fldCharType="separate"/>
            </w:r>
            <w:r w:rsidR="009C0325">
              <w:rPr>
                <w:noProof/>
                <w:webHidden/>
              </w:rPr>
              <w:t>208</w:t>
            </w:r>
            <w:r w:rsidR="009C0325">
              <w:rPr>
                <w:noProof/>
                <w:webHidden/>
              </w:rPr>
              <w:fldChar w:fldCharType="end"/>
            </w:r>
          </w:hyperlink>
        </w:p>
        <w:p w14:paraId="05E999FF" w14:textId="4C62FB29" w:rsidR="003E3145" w:rsidRPr="00A77AF6" w:rsidRDefault="003E3145">
          <w:r w:rsidRPr="00A77AF6">
            <w:rPr>
              <w:b/>
              <w:bCs/>
            </w:rPr>
            <w:fldChar w:fldCharType="end"/>
          </w:r>
        </w:p>
      </w:sdtContent>
    </w:sdt>
    <w:p w14:paraId="3741194F" w14:textId="7932B6C6" w:rsidR="00657208" w:rsidRPr="00A77AF6" w:rsidRDefault="00657208">
      <w:r w:rsidRPr="00A77AF6">
        <w:br w:type="page"/>
      </w:r>
    </w:p>
    <w:p w14:paraId="36A6B3DB" w14:textId="4C0B1D9A" w:rsidR="002D6223" w:rsidRPr="00A77AF6" w:rsidRDefault="0032665C" w:rsidP="00492549">
      <w:pPr>
        <w:pStyle w:val="Heading1"/>
        <w:numPr>
          <w:ilvl w:val="0"/>
          <w:numId w:val="0"/>
        </w:numPr>
        <w:ind w:left="432" w:hanging="432"/>
        <w:rPr>
          <w:b w:val="0"/>
          <w:lang w:val="en-GB"/>
        </w:rPr>
      </w:pPr>
      <w:bookmarkStart w:id="1" w:name="_Toc36275023"/>
      <w:r w:rsidRPr="00A77AF6">
        <w:rPr>
          <w:lang w:val="en-GB"/>
        </w:rPr>
        <w:lastRenderedPageBreak/>
        <w:t>List of</w:t>
      </w:r>
      <w:r w:rsidR="00542605" w:rsidRPr="00A77AF6">
        <w:rPr>
          <w:lang w:val="en-GB"/>
        </w:rPr>
        <w:t xml:space="preserve"> Figures</w:t>
      </w:r>
      <w:bookmarkEnd w:id="1"/>
    </w:p>
    <w:p w14:paraId="0F56506A" w14:textId="3E82F669" w:rsidR="0065539B" w:rsidRDefault="009A4EED">
      <w:pPr>
        <w:pStyle w:val="TableofFigures"/>
        <w:tabs>
          <w:tab w:val="right" w:leader="dot" w:pos="8777"/>
        </w:tabs>
        <w:rPr>
          <w:rFonts w:eastAsiaTheme="minorEastAsia"/>
          <w:noProof/>
          <w:lang w:eastAsia="en-GB"/>
        </w:rPr>
      </w:pPr>
      <w:r w:rsidRPr="00A77AF6">
        <w:rPr>
          <w:rFonts w:ascii="Arial" w:hAnsi="Arial" w:cs="Arial"/>
          <w:b/>
        </w:rPr>
        <w:fldChar w:fldCharType="begin"/>
      </w:r>
      <w:r w:rsidRPr="00A77AF6">
        <w:rPr>
          <w:rFonts w:ascii="Arial" w:hAnsi="Arial" w:cs="Arial"/>
          <w:b/>
        </w:rPr>
        <w:instrText xml:space="preserve"> TOC \h \z \c "Figure" </w:instrText>
      </w:r>
      <w:r w:rsidRPr="00A77AF6">
        <w:rPr>
          <w:rFonts w:ascii="Arial" w:hAnsi="Arial" w:cs="Arial"/>
          <w:b/>
        </w:rPr>
        <w:fldChar w:fldCharType="separate"/>
      </w:r>
      <w:hyperlink w:anchor="_Toc36186953" w:history="1">
        <w:r w:rsidR="0065539B" w:rsidRPr="00435DD3">
          <w:rPr>
            <w:rStyle w:val="Hyperlink"/>
            <w:noProof/>
          </w:rPr>
          <w:t>Figure 1</w:t>
        </w:r>
        <w:r w:rsidR="0065539B" w:rsidRPr="00435DD3">
          <w:rPr>
            <w:rStyle w:val="Hyperlink"/>
            <w:noProof/>
          </w:rPr>
          <w:noBreakHyphen/>
          <w:t>1 - Estimated payments (in nominal terms, undiscounted) under PFI projects (current projects)</w:t>
        </w:r>
        <w:r w:rsidR="0065539B">
          <w:rPr>
            <w:noProof/>
            <w:webHidden/>
          </w:rPr>
          <w:tab/>
        </w:r>
        <w:r w:rsidR="0065539B">
          <w:rPr>
            <w:noProof/>
            <w:webHidden/>
          </w:rPr>
          <w:fldChar w:fldCharType="begin"/>
        </w:r>
        <w:r w:rsidR="0065539B">
          <w:rPr>
            <w:noProof/>
            <w:webHidden/>
          </w:rPr>
          <w:instrText xml:space="preserve"> PAGEREF _Toc36186953 \h </w:instrText>
        </w:r>
        <w:r w:rsidR="0065539B">
          <w:rPr>
            <w:noProof/>
            <w:webHidden/>
          </w:rPr>
        </w:r>
        <w:r w:rsidR="0065539B">
          <w:rPr>
            <w:noProof/>
            <w:webHidden/>
          </w:rPr>
          <w:fldChar w:fldCharType="separate"/>
        </w:r>
        <w:r w:rsidR="0065539B">
          <w:rPr>
            <w:noProof/>
            <w:webHidden/>
          </w:rPr>
          <w:t>17</w:t>
        </w:r>
        <w:r w:rsidR="0065539B">
          <w:rPr>
            <w:noProof/>
            <w:webHidden/>
          </w:rPr>
          <w:fldChar w:fldCharType="end"/>
        </w:r>
      </w:hyperlink>
    </w:p>
    <w:p w14:paraId="7D57B318" w14:textId="3D8180FB" w:rsidR="0065539B" w:rsidRDefault="0076636A">
      <w:pPr>
        <w:pStyle w:val="TableofFigures"/>
        <w:tabs>
          <w:tab w:val="right" w:leader="dot" w:pos="8777"/>
        </w:tabs>
        <w:rPr>
          <w:rFonts w:eastAsiaTheme="minorEastAsia"/>
          <w:noProof/>
          <w:lang w:eastAsia="en-GB"/>
        </w:rPr>
      </w:pPr>
      <w:hyperlink w:anchor="_Toc36186954" w:history="1">
        <w:r w:rsidR="0065539B" w:rsidRPr="00435DD3">
          <w:rPr>
            <w:rStyle w:val="Hyperlink"/>
            <w:noProof/>
          </w:rPr>
          <w:t>Figure 2</w:t>
        </w:r>
        <w:r w:rsidR="0065539B" w:rsidRPr="00435DD3">
          <w:rPr>
            <w:rStyle w:val="Hyperlink"/>
            <w:noProof/>
          </w:rPr>
          <w:noBreakHyphen/>
          <w:t>1- NHS employees by role</w:t>
        </w:r>
        <w:r w:rsidR="0065539B">
          <w:rPr>
            <w:noProof/>
            <w:webHidden/>
          </w:rPr>
          <w:tab/>
        </w:r>
        <w:r w:rsidR="0065539B">
          <w:rPr>
            <w:noProof/>
            <w:webHidden/>
          </w:rPr>
          <w:fldChar w:fldCharType="begin"/>
        </w:r>
        <w:r w:rsidR="0065539B">
          <w:rPr>
            <w:noProof/>
            <w:webHidden/>
          </w:rPr>
          <w:instrText xml:space="preserve"> PAGEREF _Toc36186954 \h </w:instrText>
        </w:r>
        <w:r w:rsidR="0065539B">
          <w:rPr>
            <w:noProof/>
            <w:webHidden/>
          </w:rPr>
        </w:r>
        <w:r w:rsidR="0065539B">
          <w:rPr>
            <w:noProof/>
            <w:webHidden/>
          </w:rPr>
          <w:fldChar w:fldCharType="separate"/>
        </w:r>
        <w:r w:rsidR="0065539B">
          <w:rPr>
            <w:noProof/>
            <w:webHidden/>
          </w:rPr>
          <w:t>24</w:t>
        </w:r>
        <w:r w:rsidR="0065539B">
          <w:rPr>
            <w:noProof/>
            <w:webHidden/>
          </w:rPr>
          <w:fldChar w:fldCharType="end"/>
        </w:r>
      </w:hyperlink>
    </w:p>
    <w:p w14:paraId="287E8F97" w14:textId="3FB1CA0D" w:rsidR="0065539B" w:rsidRDefault="0076636A">
      <w:pPr>
        <w:pStyle w:val="TableofFigures"/>
        <w:tabs>
          <w:tab w:val="right" w:leader="dot" w:pos="8777"/>
        </w:tabs>
        <w:rPr>
          <w:rFonts w:eastAsiaTheme="minorEastAsia"/>
          <w:noProof/>
          <w:lang w:eastAsia="en-GB"/>
        </w:rPr>
      </w:pPr>
      <w:hyperlink w:anchor="_Toc36186955" w:history="1">
        <w:r w:rsidR="0065539B" w:rsidRPr="00435DD3">
          <w:rPr>
            <w:rStyle w:val="Hyperlink"/>
            <w:noProof/>
          </w:rPr>
          <w:t>Figure 2</w:t>
        </w:r>
        <w:r w:rsidR="0065539B" w:rsidRPr="00435DD3">
          <w:rPr>
            <w:rStyle w:val="Hyperlink"/>
            <w:noProof/>
          </w:rPr>
          <w:noBreakHyphen/>
          <w:t>2: 1948 NHS Structure</w:t>
        </w:r>
        <w:r w:rsidR="0065539B">
          <w:rPr>
            <w:noProof/>
            <w:webHidden/>
          </w:rPr>
          <w:tab/>
        </w:r>
        <w:r w:rsidR="0065539B">
          <w:rPr>
            <w:noProof/>
            <w:webHidden/>
          </w:rPr>
          <w:fldChar w:fldCharType="begin"/>
        </w:r>
        <w:r w:rsidR="0065539B">
          <w:rPr>
            <w:noProof/>
            <w:webHidden/>
          </w:rPr>
          <w:instrText xml:space="preserve"> PAGEREF _Toc36186955 \h </w:instrText>
        </w:r>
        <w:r w:rsidR="0065539B">
          <w:rPr>
            <w:noProof/>
            <w:webHidden/>
          </w:rPr>
        </w:r>
        <w:r w:rsidR="0065539B">
          <w:rPr>
            <w:noProof/>
            <w:webHidden/>
          </w:rPr>
          <w:fldChar w:fldCharType="separate"/>
        </w:r>
        <w:r w:rsidR="0065539B">
          <w:rPr>
            <w:noProof/>
            <w:webHidden/>
          </w:rPr>
          <w:t>25</w:t>
        </w:r>
        <w:r w:rsidR="0065539B">
          <w:rPr>
            <w:noProof/>
            <w:webHidden/>
          </w:rPr>
          <w:fldChar w:fldCharType="end"/>
        </w:r>
      </w:hyperlink>
    </w:p>
    <w:p w14:paraId="1A574EAD" w14:textId="079C5A72" w:rsidR="0065539B" w:rsidRDefault="0076636A">
      <w:pPr>
        <w:pStyle w:val="TableofFigures"/>
        <w:tabs>
          <w:tab w:val="right" w:leader="dot" w:pos="8777"/>
        </w:tabs>
        <w:rPr>
          <w:rFonts w:eastAsiaTheme="minorEastAsia"/>
          <w:noProof/>
          <w:lang w:eastAsia="en-GB"/>
        </w:rPr>
      </w:pPr>
      <w:hyperlink w:anchor="_Toc36186956" w:history="1">
        <w:r w:rsidR="0065539B" w:rsidRPr="00435DD3">
          <w:rPr>
            <w:rStyle w:val="Hyperlink"/>
            <w:noProof/>
          </w:rPr>
          <w:t>Figure 2</w:t>
        </w:r>
        <w:r w:rsidR="0065539B" w:rsidRPr="00435DD3">
          <w:rPr>
            <w:rStyle w:val="Hyperlink"/>
            <w:noProof/>
          </w:rPr>
          <w:noBreakHyphen/>
          <w:t>3: NHS structure post 1974 reforms</w:t>
        </w:r>
        <w:r w:rsidR="0065539B">
          <w:rPr>
            <w:noProof/>
            <w:webHidden/>
          </w:rPr>
          <w:tab/>
        </w:r>
        <w:r w:rsidR="0065539B">
          <w:rPr>
            <w:noProof/>
            <w:webHidden/>
          </w:rPr>
          <w:fldChar w:fldCharType="begin"/>
        </w:r>
        <w:r w:rsidR="0065539B">
          <w:rPr>
            <w:noProof/>
            <w:webHidden/>
          </w:rPr>
          <w:instrText xml:space="preserve"> PAGEREF _Toc36186956 \h </w:instrText>
        </w:r>
        <w:r w:rsidR="0065539B">
          <w:rPr>
            <w:noProof/>
            <w:webHidden/>
          </w:rPr>
        </w:r>
        <w:r w:rsidR="0065539B">
          <w:rPr>
            <w:noProof/>
            <w:webHidden/>
          </w:rPr>
          <w:fldChar w:fldCharType="separate"/>
        </w:r>
        <w:r w:rsidR="0065539B">
          <w:rPr>
            <w:noProof/>
            <w:webHidden/>
          </w:rPr>
          <w:t>26</w:t>
        </w:r>
        <w:r w:rsidR="0065539B">
          <w:rPr>
            <w:noProof/>
            <w:webHidden/>
          </w:rPr>
          <w:fldChar w:fldCharType="end"/>
        </w:r>
      </w:hyperlink>
    </w:p>
    <w:p w14:paraId="22720CE1" w14:textId="21E0B49D" w:rsidR="0065539B" w:rsidRDefault="0076636A">
      <w:pPr>
        <w:pStyle w:val="TableofFigures"/>
        <w:tabs>
          <w:tab w:val="right" w:leader="dot" w:pos="8777"/>
        </w:tabs>
        <w:rPr>
          <w:rFonts w:eastAsiaTheme="minorEastAsia"/>
          <w:noProof/>
          <w:lang w:eastAsia="en-GB"/>
        </w:rPr>
      </w:pPr>
      <w:hyperlink w:anchor="_Toc36186957" w:history="1">
        <w:r w:rsidR="0065539B" w:rsidRPr="00435DD3">
          <w:rPr>
            <w:rStyle w:val="Hyperlink"/>
            <w:noProof/>
          </w:rPr>
          <w:t>Figure 2</w:t>
        </w:r>
        <w:r w:rsidR="0065539B" w:rsidRPr="00435DD3">
          <w:rPr>
            <w:rStyle w:val="Hyperlink"/>
            <w:noProof/>
          </w:rPr>
          <w:noBreakHyphen/>
          <w:t>4: Polyclinic and GP service - 3 models for organisation</w:t>
        </w:r>
        <w:r w:rsidR="0065539B">
          <w:rPr>
            <w:noProof/>
            <w:webHidden/>
          </w:rPr>
          <w:tab/>
        </w:r>
        <w:r w:rsidR="0065539B">
          <w:rPr>
            <w:noProof/>
            <w:webHidden/>
          </w:rPr>
          <w:fldChar w:fldCharType="begin"/>
        </w:r>
        <w:r w:rsidR="0065539B">
          <w:rPr>
            <w:noProof/>
            <w:webHidden/>
          </w:rPr>
          <w:instrText xml:space="preserve"> PAGEREF _Toc36186957 \h </w:instrText>
        </w:r>
        <w:r w:rsidR="0065539B">
          <w:rPr>
            <w:noProof/>
            <w:webHidden/>
          </w:rPr>
        </w:r>
        <w:r w:rsidR="0065539B">
          <w:rPr>
            <w:noProof/>
            <w:webHidden/>
          </w:rPr>
          <w:fldChar w:fldCharType="separate"/>
        </w:r>
        <w:r w:rsidR="0065539B">
          <w:rPr>
            <w:noProof/>
            <w:webHidden/>
          </w:rPr>
          <w:t>27</w:t>
        </w:r>
        <w:r w:rsidR="0065539B">
          <w:rPr>
            <w:noProof/>
            <w:webHidden/>
          </w:rPr>
          <w:fldChar w:fldCharType="end"/>
        </w:r>
      </w:hyperlink>
    </w:p>
    <w:p w14:paraId="0C64D8E7" w14:textId="5D1D3DC3" w:rsidR="0065539B" w:rsidRDefault="0076636A">
      <w:pPr>
        <w:pStyle w:val="TableofFigures"/>
        <w:tabs>
          <w:tab w:val="right" w:leader="dot" w:pos="8777"/>
        </w:tabs>
        <w:rPr>
          <w:rFonts w:eastAsiaTheme="minorEastAsia"/>
          <w:noProof/>
          <w:lang w:eastAsia="en-GB"/>
        </w:rPr>
      </w:pPr>
      <w:hyperlink w:anchor="_Toc36186958" w:history="1">
        <w:r w:rsidR="0065539B" w:rsidRPr="00435DD3">
          <w:rPr>
            <w:rStyle w:val="Hyperlink"/>
            <w:noProof/>
          </w:rPr>
          <w:t>Figure 2</w:t>
        </w:r>
        <w:r w:rsidR="0065539B" w:rsidRPr="00435DD3">
          <w:rPr>
            <w:rStyle w:val="Hyperlink"/>
            <w:noProof/>
          </w:rPr>
          <w:noBreakHyphen/>
          <w:t>5: NHS structure after the 2010 NHS reform</w:t>
        </w:r>
        <w:r w:rsidR="0065539B">
          <w:rPr>
            <w:noProof/>
            <w:webHidden/>
          </w:rPr>
          <w:tab/>
        </w:r>
        <w:r w:rsidR="0065539B">
          <w:rPr>
            <w:noProof/>
            <w:webHidden/>
          </w:rPr>
          <w:fldChar w:fldCharType="begin"/>
        </w:r>
        <w:r w:rsidR="0065539B">
          <w:rPr>
            <w:noProof/>
            <w:webHidden/>
          </w:rPr>
          <w:instrText xml:space="preserve"> PAGEREF _Toc36186958 \h </w:instrText>
        </w:r>
        <w:r w:rsidR="0065539B">
          <w:rPr>
            <w:noProof/>
            <w:webHidden/>
          </w:rPr>
        </w:r>
        <w:r w:rsidR="0065539B">
          <w:rPr>
            <w:noProof/>
            <w:webHidden/>
          </w:rPr>
          <w:fldChar w:fldCharType="separate"/>
        </w:r>
        <w:r w:rsidR="0065539B">
          <w:rPr>
            <w:noProof/>
            <w:webHidden/>
          </w:rPr>
          <w:t>28</w:t>
        </w:r>
        <w:r w:rsidR="0065539B">
          <w:rPr>
            <w:noProof/>
            <w:webHidden/>
          </w:rPr>
          <w:fldChar w:fldCharType="end"/>
        </w:r>
      </w:hyperlink>
    </w:p>
    <w:p w14:paraId="13E1BC22" w14:textId="4E92E6D6" w:rsidR="0065539B" w:rsidRDefault="0076636A">
      <w:pPr>
        <w:pStyle w:val="TableofFigures"/>
        <w:tabs>
          <w:tab w:val="right" w:leader="dot" w:pos="8777"/>
        </w:tabs>
        <w:rPr>
          <w:rFonts w:eastAsiaTheme="minorEastAsia"/>
          <w:noProof/>
          <w:lang w:eastAsia="en-GB"/>
        </w:rPr>
      </w:pPr>
      <w:hyperlink w:anchor="_Toc36186959" w:history="1">
        <w:r w:rsidR="0065539B" w:rsidRPr="00435DD3">
          <w:rPr>
            <w:rStyle w:val="Hyperlink"/>
            <w:noProof/>
          </w:rPr>
          <w:t>Figure 2</w:t>
        </w:r>
        <w:r w:rsidR="0065539B" w:rsidRPr="00435DD3">
          <w:rPr>
            <w:rStyle w:val="Hyperlink"/>
            <w:noProof/>
          </w:rPr>
          <w:noBreakHyphen/>
          <w:t>6: Flow of money in the NHS</w:t>
        </w:r>
        <w:r w:rsidR="0065539B">
          <w:rPr>
            <w:noProof/>
            <w:webHidden/>
          </w:rPr>
          <w:tab/>
        </w:r>
        <w:r w:rsidR="0065539B">
          <w:rPr>
            <w:noProof/>
            <w:webHidden/>
          </w:rPr>
          <w:fldChar w:fldCharType="begin"/>
        </w:r>
        <w:r w:rsidR="0065539B">
          <w:rPr>
            <w:noProof/>
            <w:webHidden/>
          </w:rPr>
          <w:instrText xml:space="preserve"> PAGEREF _Toc36186959 \h </w:instrText>
        </w:r>
        <w:r w:rsidR="0065539B">
          <w:rPr>
            <w:noProof/>
            <w:webHidden/>
          </w:rPr>
        </w:r>
        <w:r w:rsidR="0065539B">
          <w:rPr>
            <w:noProof/>
            <w:webHidden/>
          </w:rPr>
          <w:fldChar w:fldCharType="separate"/>
        </w:r>
        <w:r w:rsidR="0065539B">
          <w:rPr>
            <w:noProof/>
            <w:webHidden/>
          </w:rPr>
          <w:t>29</w:t>
        </w:r>
        <w:r w:rsidR="0065539B">
          <w:rPr>
            <w:noProof/>
            <w:webHidden/>
          </w:rPr>
          <w:fldChar w:fldCharType="end"/>
        </w:r>
      </w:hyperlink>
    </w:p>
    <w:p w14:paraId="55FB3041" w14:textId="64CEA5BC" w:rsidR="0065539B" w:rsidRDefault="0076636A">
      <w:pPr>
        <w:pStyle w:val="TableofFigures"/>
        <w:tabs>
          <w:tab w:val="right" w:leader="dot" w:pos="8777"/>
        </w:tabs>
        <w:rPr>
          <w:rFonts w:eastAsiaTheme="minorEastAsia"/>
          <w:noProof/>
          <w:lang w:eastAsia="en-GB"/>
        </w:rPr>
      </w:pPr>
      <w:hyperlink w:anchor="_Toc36186960" w:history="1">
        <w:r w:rsidR="0065539B" w:rsidRPr="00435DD3">
          <w:rPr>
            <w:rStyle w:val="Hyperlink"/>
            <w:noProof/>
          </w:rPr>
          <w:t>Figure 2</w:t>
        </w:r>
        <w:r w:rsidR="0065539B" w:rsidRPr="00435DD3">
          <w:rPr>
            <w:rStyle w:val="Hyperlink"/>
            <w:noProof/>
          </w:rPr>
          <w:noBreakHyphen/>
          <w:t>7: Structure of PFI consortium</w:t>
        </w:r>
        <w:r w:rsidR="0065539B">
          <w:rPr>
            <w:noProof/>
            <w:webHidden/>
          </w:rPr>
          <w:tab/>
        </w:r>
        <w:r w:rsidR="0065539B">
          <w:rPr>
            <w:noProof/>
            <w:webHidden/>
          </w:rPr>
          <w:fldChar w:fldCharType="begin"/>
        </w:r>
        <w:r w:rsidR="0065539B">
          <w:rPr>
            <w:noProof/>
            <w:webHidden/>
          </w:rPr>
          <w:instrText xml:space="preserve"> PAGEREF _Toc36186960 \h </w:instrText>
        </w:r>
        <w:r w:rsidR="0065539B">
          <w:rPr>
            <w:noProof/>
            <w:webHidden/>
          </w:rPr>
        </w:r>
        <w:r w:rsidR="0065539B">
          <w:rPr>
            <w:noProof/>
            <w:webHidden/>
          </w:rPr>
          <w:fldChar w:fldCharType="separate"/>
        </w:r>
        <w:r w:rsidR="0065539B">
          <w:rPr>
            <w:noProof/>
            <w:webHidden/>
          </w:rPr>
          <w:t>31</w:t>
        </w:r>
        <w:r w:rsidR="0065539B">
          <w:rPr>
            <w:noProof/>
            <w:webHidden/>
          </w:rPr>
          <w:fldChar w:fldCharType="end"/>
        </w:r>
      </w:hyperlink>
    </w:p>
    <w:p w14:paraId="20770788" w14:textId="7DB1ADDE" w:rsidR="0065539B" w:rsidRDefault="0076636A">
      <w:pPr>
        <w:pStyle w:val="TableofFigures"/>
        <w:tabs>
          <w:tab w:val="right" w:leader="dot" w:pos="8777"/>
        </w:tabs>
        <w:rPr>
          <w:rFonts w:eastAsiaTheme="minorEastAsia"/>
          <w:noProof/>
          <w:lang w:eastAsia="en-GB"/>
        </w:rPr>
      </w:pPr>
      <w:hyperlink w:anchor="_Toc36186961" w:history="1">
        <w:r w:rsidR="0065539B" w:rsidRPr="00435DD3">
          <w:rPr>
            <w:rStyle w:val="Hyperlink"/>
            <w:noProof/>
          </w:rPr>
          <w:t>Figure 2</w:t>
        </w:r>
        <w:r w:rsidR="0065539B" w:rsidRPr="00435DD3">
          <w:rPr>
            <w:rStyle w:val="Hyperlink"/>
            <w:noProof/>
          </w:rPr>
          <w:noBreakHyphen/>
          <w:t>8: Percentage completion at each stage of business case</w:t>
        </w:r>
        <w:r w:rsidR="0065539B">
          <w:rPr>
            <w:noProof/>
            <w:webHidden/>
          </w:rPr>
          <w:tab/>
        </w:r>
        <w:r w:rsidR="0065539B">
          <w:rPr>
            <w:noProof/>
            <w:webHidden/>
          </w:rPr>
          <w:fldChar w:fldCharType="begin"/>
        </w:r>
        <w:r w:rsidR="0065539B">
          <w:rPr>
            <w:noProof/>
            <w:webHidden/>
          </w:rPr>
          <w:instrText xml:space="preserve"> PAGEREF _Toc36186961 \h </w:instrText>
        </w:r>
        <w:r w:rsidR="0065539B">
          <w:rPr>
            <w:noProof/>
            <w:webHidden/>
          </w:rPr>
        </w:r>
        <w:r w:rsidR="0065539B">
          <w:rPr>
            <w:noProof/>
            <w:webHidden/>
          </w:rPr>
          <w:fldChar w:fldCharType="separate"/>
        </w:r>
        <w:r w:rsidR="0065539B">
          <w:rPr>
            <w:noProof/>
            <w:webHidden/>
          </w:rPr>
          <w:t>38</w:t>
        </w:r>
        <w:r w:rsidR="0065539B">
          <w:rPr>
            <w:noProof/>
            <w:webHidden/>
          </w:rPr>
          <w:fldChar w:fldCharType="end"/>
        </w:r>
      </w:hyperlink>
    </w:p>
    <w:p w14:paraId="11689EB0" w14:textId="01FB224D" w:rsidR="0065539B" w:rsidRDefault="0076636A">
      <w:pPr>
        <w:pStyle w:val="TableofFigures"/>
        <w:tabs>
          <w:tab w:val="right" w:leader="dot" w:pos="8777"/>
        </w:tabs>
        <w:rPr>
          <w:rFonts w:eastAsiaTheme="minorEastAsia"/>
          <w:noProof/>
          <w:lang w:eastAsia="en-GB"/>
        </w:rPr>
      </w:pPr>
      <w:hyperlink w:anchor="_Toc36186962" w:history="1">
        <w:r w:rsidR="0065539B" w:rsidRPr="00435DD3">
          <w:rPr>
            <w:rStyle w:val="Hyperlink"/>
            <w:noProof/>
          </w:rPr>
          <w:t>Figure 2</w:t>
        </w:r>
        <w:r w:rsidR="0065539B" w:rsidRPr="00435DD3">
          <w:rPr>
            <w:rStyle w:val="Hyperlink"/>
            <w:noProof/>
          </w:rPr>
          <w:noBreakHyphen/>
          <w:t>9 - Excerpt from Health Building Note 00-01 showing remit of Health Building Notes</w:t>
        </w:r>
        <w:r w:rsidR="0065539B">
          <w:rPr>
            <w:noProof/>
            <w:webHidden/>
          </w:rPr>
          <w:tab/>
        </w:r>
        <w:r w:rsidR="0065539B">
          <w:rPr>
            <w:noProof/>
            <w:webHidden/>
          </w:rPr>
          <w:fldChar w:fldCharType="begin"/>
        </w:r>
        <w:r w:rsidR="0065539B">
          <w:rPr>
            <w:noProof/>
            <w:webHidden/>
          </w:rPr>
          <w:instrText xml:space="preserve"> PAGEREF _Toc36186962 \h </w:instrText>
        </w:r>
        <w:r w:rsidR="0065539B">
          <w:rPr>
            <w:noProof/>
            <w:webHidden/>
          </w:rPr>
        </w:r>
        <w:r w:rsidR="0065539B">
          <w:rPr>
            <w:noProof/>
            <w:webHidden/>
          </w:rPr>
          <w:fldChar w:fldCharType="separate"/>
        </w:r>
        <w:r w:rsidR="0065539B">
          <w:rPr>
            <w:noProof/>
            <w:webHidden/>
          </w:rPr>
          <w:t>40</w:t>
        </w:r>
        <w:r w:rsidR="0065539B">
          <w:rPr>
            <w:noProof/>
            <w:webHidden/>
          </w:rPr>
          <w:fldChar w:fldCharType="end"/>
        </w:r>
      </w:hyperlink>
    </w:p>
    <w:p w14:paraId="759C74D7" w14:textId="09E5FFEE" w:rsidR="0065539B" w:rsidRDefault="0076636A">
      <w:pPr>
        <w:pStyle w:val="TableofFigures"/>
        <w:tabs>
          <w:tab w:val="right" w:leader="dot" w:pos="8777"/>
        </w:tabs>
        <w:rPr>
          <w:rFonts w:eastAsiaTheme="minorEastAsia"/>
          <w:noProof/>
          <w:lang w:eastAsia="en-GB"/>
        </w:rPr>
      </w:pPr>
      <w:hyperlink w:anchor="_Toc36186963" w:history="1">
        <w:r w:rsidR="0065539B" w:rsidRPr="00435DD3">
          <w:rPr>
            <w:rStyle w:val="Hyperlink"/>
            <w:noProof/>
          </w:rPr>
          <w:t>Figure 2</w:t>
        </w:r>
        <w:r w:rsidR="0065539B" w:rsidRPr="00435DD3">
          <w:rPr>
            <w:rStyle w:val="Hyperlink"/>
            <w:noProof/>
          </w:rPr>
          <w:noBreakHyphen/>
          <w:t>10: Excerpt from HBN 00-01 (2014) showing the features of a well-designed in-patient bedroom</w:t>
        </w:r>
        <w:r w:rsidR="0065539B">
          <w:rPr>
            <w:noProof/>
            <w:webHidden/>
          </w:rPr>
          <w:tab/>
        </w:r>
        <w:r w:rsidR="0065539B">
          <w:rPr>
            <w:noProof/>
            <w:webHidden/>
          </w:rPr>
          <w:fldChar w:fldCharType="begin"/>
        </w:r>
        <w:r w:rsidR="0065539B">
          <w:rPr>
            <w:noProof/>
            <w:webHidden/>
          </w:rPr>
          <w:instrText xml:space="preserve"> PAGEREF _Toc36186963 \h </w:instrText>
        </w:r>
        <w:r w:rsidR="0065539B">
          <w:rPr>
            <w:noProof/>
            <w:webHidden/>
          </w:rPr>
        </w:r>
        <w:r w:rsidR="0065539B">
          <w:rPr>
            <w:noProof/>
            <w:webHidden/>
          </w:rPr>
          <w:fldChar w:fldCharType="separate"/>
        </w:r>
        <w:r w:rsidR="0065539B">
          <w:rPr>
            <w:noProof/>
            <w:webHidden/>
          </w:rPr>
          <w:t>41</w:t>
        </w:r>
        <w:r w:rsidR="0065539B">
          <w:rPr>
            <w:noProof/>
            <w:webHidden/>
          </w:rPr>
          <w:fldChar w:fldCharType="end"/>
        </w:r>
      </w:hyperlink>
    </w:p>
    <w:p w14:paraId="0E3B5112" w14:textId="01557EC5" w:rsidR="0065539B" w:rsidRDefault="0076636A">
      <w:pPr>
        <w:pStyle w:val="TableofFigures"/>
        <w:tabs>
          <w:tab w:val="right" w:leader="dot" w:pos="8777"/>
        </w:tabs>
        <w:rPr>
          <w:rFonts w:eastAsiaTheme="minorEastAsia"/>
          <w:noProof/>
          <w:lang w:eastAsia="en-GB"/>
        </w:rPr>
      </w:pPr>
      <w:hyperlink w:anchor="_Toc36186964" w:history="1">
        <w:r w:rsidR="0065539B" w:rsidRPr="00435DD3">
          <w:rPr>
            <w:rStyle w:val="Hyperlink"/>
            <w:noProof/>
          </w:rPr>
          <w:t>Figure 3</w:t>
        </w:r>
        <w:r w:rsidR="0065539B" w:rsidRPr="00435DD3">
          <w:rPr>
            <w:rStyle w:val="Hyperlink"/>
            <w:noProof/>
          </w:rPr>
          <w:noBreakHyphen/>
          <w:t>1: Categories of ethical theory</w:t>
        </w:r>
        <w:r w:rsidR="0065539B">
          <w:rPr>
            <w:noProof/>
            <w:webHidden/>
          </w:rPr>
          <w:tab/>
        </w:r>
        <w:r w:rsidR="0065539B">
          <w:rPr>
            <w:noProof/>
            <w:webHidden/>
          </w:rPr>
          <w:fldChar w:fldCharType="begin"/>
        </w:r>
        <w:r w:rsidR="0065539B">
          <w:rPr>
            <w:noProof/>
            <w:webHidden/>
          </w:rPr>
          <w:instrText xml:space="preserve"> PAGEREF _Toc36186964 \h </w:instrText>
        </w:r>
        <w:r w:rsidR="0065539B">
          <w:rPr>
            <w:noProof/>
            <w:webHidden/>
          </w:rPr>
        </w:r>
        <w:r w:rsidR="0065539B">
          <w:rPr>
            <w:noProof/>
            <w:webHidden/>
          </w:rPr>
          <w:fldChar w:fldCharType="separate"/>
        </w:r>
        <w:r w:rsidR="0065539B">
          <w:rPr>
            <w:noProof/>
            <w:webHidden/>
          </w:rPr>
          <w:t>45</w:t>
        </w:r>
        <w:r w:rsidR="0065539B">
          <w:rPr>
            <w:noProof/>
            <w:webHidden/>
          </w:rPr>
          <w:fldChar w:fldCharType="end"/>
        </w:r>
      </w:hyperlink>
    </w:p>
    <w:p w14:paraId="14A1E7D9" w14:textId="41C6D259" w:rsidR="0065539B" w:rsidRDefault="0076636A">
      <w:pPr>
        <w:pStyle w:val="TableofFigures"/>
        <w:tabs>
          <w:tab w:val="right" w:leader="dot" w:pos="8777"/>
        </w:tabs>
        <w:rPr>
          <w:rFonts w:eastAsiaTheme="minorEastAsia"/>
          <w:noProof/>
          <w:lang w:eastAsia="en-GB"/>
        </w:rPr>
      </w:pPr>
      <w:hyperlink w:anchor="_Toc36186965" w:history="1">
        <w:r w:rsidR="0065539B" w:rsidRPr="00435DD3">
          <w:rPr>
            <w:rStyle w:val="Hyperlink"/>
            <w:noProof/>
          </w:rPr>
          <w:t>Figure 4</w:t>
        </w:r>
        <w:r w:rsidR="0065539B" w:rsidRPr="00435DD3">
          <w:rPr>
            <w:rStyle w:val="Hyperlink"/>
            <w:noProof/>
          </w:rPr>
          <w:noBreakHyphen/>
          <w:t>1 - Six Core Principles of Good Governance</w:t>
        </w:r>
        <w:r w:rsidR="0065539B">
          <w:rPr>
            <w:noProof/>
            <w:webHidden/>
          </w:rPr>
          <w:tab/>
        </w:r>
        <w:r w:rsidR="0065539B">
          <w:rPr>
            <w:noProof/>
            <w:webHidden/>
          </w:rPr>
          <w:fldChar w:fldCharType="begin"/>
        </w:r>
        <w:r w:rsidR="0065539B">
          <w:rPr>
            <w:noProof/>
            <w:webHidden/>
          </w:rPr>
          <w:instrText xml:space="preserve"> PAGEREF _Toc36186965 \h </w:instrText>
        </w:r>
        <w:r w:rsidR="0065539B">
          <w:rPr>
            <w:noProof/>
            <w:webHidden/>
          </w:rPr>
        </w:r>
        <w:r w:rsidR="0065539B">
          <w:rPr>
            <w:noProof/>
            <w:webHidden/>
          </w:rPr>
          <w:fldChar w:fldCharType="separate"/>
        </w:r>
        <w:r w:rsidR="0065539B">
          <w:rPr>
            <w:noProof/>
            <w:webHidden/>
          </w:rPr>
          <w:t>69</w:t>
        </w:r>
        <w:r w:rsidR="0065539B">
          <w:rPr>
            <w:noProof/>
            <w:webHidden/>
          </w:rPr>
          <w:fldChar w:fldCharType="end"/>
        </w:r>
      </w:hyperlink>
    </w:p>
    <w:p w14:paraId="22482E2D" w14:textId="26CFBCA2" w:rsidR="0065539B" w:rsidRDefault="0076636A">
      <w:pPr>
        <w:pStyle w:val="TableofFigures"/>
        <w:tabs>
          <w:tab w:val="right" w:leader="dot" w:pos="8777"/>
        </w:tabs>
        <w:rPr>
          <w:rFonts w:eastAsiaTheme="minorEastAsia"/>
          <w:noProof/>
          <w:lang w:eastAsia="en-GB"/>
        </w:rPr>
      </w:pPr>
      <w:hyperlink r:id="rId14" w:anchor="_Toc36186966" w:history="1">
        <w:r w:rsidR="0065539B" w:rsidRPr="00435DD3">
          <w:rPr>
            <w:rStyle w:val="Hyperlink"/>
            <w:noProof/>
          </w:rPr>
          <w:t>Figure 4</w:t>
        </w:r>
        <w:r w:rsidR="0065539B" w:rsidRPr="00435DD3">
          <w:rPr>
            <w:rStyle w:val="Hyperlink"/>
            <w:noProof/>
          </w:rPr>
          <w:noBreakHyphen/>
          <w:t>2: Idealised organisation governance structure</w:t>
        </w:r>
        <w:r w:rsidR="0065539B">
          <w:rPr>
            <w:noProof/>
            <w:webHidden/>
          </w:rPr>
          <w:tab/>
        </w:r>
        <w:r w:rsidR="0065539B">
          <w:rPr>
            <w:noProof/>
            <w:webHidden/>
          </w:rPr>
          <w:fldChar w:fldCharType="begin"/>
        </w:r>
        <w:r w:rsidR="0065539B">
          <w:rPr>
            <w:noProof/>
            <w:webHidden/>
          </w:rPr>
          <w:instrText xml:space="preserve"> PAGEREF _Toc36186966 \h </w:instrText>
        </w:r>
        <w:r w:rsidR="0065539B">
          <w:rPr>
            <w:noProof/>
            <w:webHidden/>
          </w:rPr>
        </w:r>
        <w:r w:rsidR="0065539B">
          <w:rPr>
            <w:noProof/>
            <w:webHidden/>
          </w:rPr>
          <w:fldChar w:fldCharType="separate"/>
        </w:r>
        <w:r w:rsidR="0065539B">
          <w:rPr>
            <w:noProof/>
            <w:webHidden/>
          </w:rPr>
          <w:t>78</w:t>
        </w:r>
        <w:r w:rsidR="0065539B">
          <w:rPr>
            <w:noProof/>
            <w:webHidden/>
          </w:rPr>
          <w:fldChar w:fldCharType="end"/>
        </w:r>
      </w:hyperlink>
    </w:p>
    <w:p w14:paraId="46202C9E" w14:textId="02984959" w:rsidR="0065539B" w:rsidRDefault="0076636A">
      <w:pPr>
        <w:pStyle w:val="TableofFigures"/>
        <w:tabs>
          <w:tab w:val="right" w:leader="dot" w:pos="8777"/>
        </w:tabs>
        <w:rPr>
          <w:rFonts w:eastAsiaTheme="minorEastAsia"/>
          <w:noProof/>
          <w:lang w:eastAsia="en-GB"/>
        </w:rPr>
      </w:pPr>
      <w:hyperlink r:id="rId15" w:anchor="_Toc36186967" w:history="1">
        <w:r w:rsidR="0065539B" w:rsidRPr="00435DD3">
          <w:rPr>
            <w:rStyle w:val="Hyperlink"/>
            <w:noProof/>
          </w:rPr>
          <w:t>Figure 4</w:t>
        </w:r>
        <w:r w:rsidR="0065539B" w:rsidRPr="00435DD3">
          <w:rPr>
            <w:rStyle w:val="Hyperlink"/>
            <w:noProof/>
          </w:rPr>
          <w:noBreakHyphen/>
          <w:t>3: Project Governance Components</w:t>
        </w:r>
        <w:r w:rsidR="0065539B">
          <w:rPr>
            <w:noProof/>
            <w:webHidden/>
          </w:rPr>
          <w:tab/>
        </w:r>
        <w:r w:rsidR="0065539B">
          <w:rPr>
            <w:noProof/>
            <w:webHidden/>
          </w:rPr>
          <w:fldChar w:fldCharType="begin"/>
        </w:r>
        <w:r w:rsidR="0065539B">
          <w:rPr>
            <w:noProof/>
            <w:webHidden/>
          </w:rPr>
          <w:instrText xml:space="preserve"> PAGEREF _Toc36186967 \h </w:instrText>
        </w:r>
        <w:r w:rsidR="0065539B">
          <w:rPr>
            <w:noProof/>
            <w:webHidden/>
          </w:rPr>
        </w:r>
        <w:r w:rsidR="0065539B">
          <w:rPr>
            <w:noProof/>
            <w:webHidden/>
          </w:rPr>
          <w:fldChar w:fldCharType="separate"/>
        </w:r>
        <w:r w:rsidR="0065539B">
          <w:rPr>
            <w:noProof/>
            <w:webHidden/>
          </w:rPr>
          <w:t>83</w:t>
        </w:r>
        <w:r w:rsidR="0065539B">
          <w:rPr>
            <w:noProof/>
            <w:webHidden/>
          </w:rPr>
          <w:fldChar w:fldCharType="end"/>
        </w:r>
      </w:hyperlink>
    </w:p>
    <w:p w14:paraId="5B5C930C" w14:textId="3AEB5F7B" w:rsidR="0065539B" w:rsidRDefault="0076636A">
      <w:pPr>
        <w:pStyle w:val="TableofFigures"/>
        <w:tabs>
          <w:tab w:val="right" w:leader="dot" w:pos="8777"/>
        </w:tabs>
        <w:rPr>
          <w:rFonts w:eastAsiaTheme="minorEastAsia"/>
          <w:noProof/>
          <w:lang w:eastAsia="en-GB"/>
        </w:rPr>
      </w:pPr>
      <w:hyperlink w:anchor="_Toc36186968" w:history="1">
        <w:r w:rsidR="0065539B" w:rsidRPr="00435DD3">
          <w:rPr>
            <w:rStyle w:val="Hyperlink"/>
            <w:noProof/>
          </w:rPr>
          <w:t>Figure 4</w:t>
        </w:r>
        <w:r w:rsidR="0065539B" w:rsidRPr="00435DD3">
          <w:rPr>
            <w:rStyle w:val="Hyperlink"/>
            <w:noProof/>
          </w:rPr>
          <w:noBreakHyphen/>
          <w:t>4: Idealised Project Governance Structure</w:t>
        </w:r>
        <w:r w:rsidR="0065539B">
          <w:rPr>
            <w:noProof/>
            <w:webHidden/>
          </w:rPr>
          <w:tab/>
        </w:r>
        <w:r w:rsidR="0065539B">
          <w:rPr>
            <w:noProof/>
            <w:webHidden/>
          </w:rPr>
          <w:fldChar w:fldCharType="begin"/>
        </w:r>
        <w:r w:rsidR="0065539B">
          <w:rPr>
            <w:noProof/>
            <w:webHidden/>
          </w:rPr>
          <w:instrText xml:space="preserve"> PAGEREF _Toc36186968 \h </w:instrText>
        </w:r>
        <w:r w:rsidR="0065539B">
          <w:rPr>
            <w:noProof/>
            <w:webHidden/>
          </w:rPr>
        </w:r>
        <w:r w:rsidR="0065539B">
          <w:rPr>
            <w:noProof/>
            <w:webHidden/>
          </w:rPr>
          <w:fldChar w:fldCharType="separate"/>
        </w:r>
        <w:r w:rsidR="0065539B">
          <w:rPr>
            <w:noProof/>
            <w:webHidden/>
          </w:rPr>
          <w:t>85</w:t>
        </w:r>
        <w:r w:rsidR="0065539B">
          <w:rPr>
            <w:noProof/>
            <w:webHidden/>
          </w:rPr>
          <w:fldChar w:fldCharType="end"/>
        </w:r>
      </w:hyperlink>
    </w:p>
    <w:p w14:paraId="0982118C" w14:textId="4B179487" w:rsidR="0065539B" w:rsidRDefault="0076636A">
      <w:pPr>
        <w:pStyle w:val="TableofFigures"/>
        <w:tabs>
          <w:tab w:val="right" w:leader="dot" w:pos="8777"/>
        </w:tabs>
        <w:rPr>
          <w:rFonts w:eastAsiaTheme="minorEastAsia"/>
          <w:noProof/>
          <w:lang w:eastAsia="en-GB"/>
        </w:rPr>
      </w:pPr>
      <w:hyperlink r:id="rId16" w:anchor="_Toc36186969" w:history="1">
        <w:r w:rsidR="0065539B" w:rsidRPr="00435DD3">
          <w:rPr>
            <w:rStyle w:val="Hyperlink"/>
            <w:noProof/>
          </w:rPr>
          <w:t>Figure 4</w:t>
        </w:r>
        <w:r w:rsidR="0065539B" w:rsidRPr="00435DD3">
          <w:rPr>
            <w:rStyle w:val="Hyperlink"/>
            <w:noProof/>
          </w:rPr>
          <w:noBreakHyphen/>
          <w:t>5: The Iron Triangle:</w:t>
        </w:r>
        <w:r w:rsidR="0065539B">
          <w:rPr>
            <w:noProof/>
            <w:webHidden/>
          </w:rPr>
          <w:tab/>
        </w:r>
        <w:r w:rsidR="0065539B">
          <w:rPr>
            <w:noProof/>
            <w:webHidden/>
          </w:rPr>
          <w:fldChar w:fldCharType="begin"/>
        </w:r>
        <w:r w:rsidR="0065539B">
          <w:rPr>
            <w:noProof/>
            <w:webHidden/>
          </w:rPr>
          <w:instrText xml:space="preserve"> PAGEREF _Toc36186969 \h </w:instrText>
        </w:r>
        <w:r w:rsidR="0065539B">
          <w:rPr>
            <w:noProof/>
            <w:webHidden/>
          </w:rPr>
        </w:r>
        <w:r w:rsidR="0065539B">
          <w:rPr>
            <w:noProof/>
            <w:webHidden/>
          </w:rPr>
          <w:fldChar w:fldCharType="separate"/>
        </w:r>
        <w:r w:rsidR="0065539B">
          <w:rPr>
            <w:noProof/>
            <w:webHidden/>
          </w:rPr>
          <w:t>88</w:t>
        </w:r>
        <w:r w:rsidR="0065539B">
          <w:rPr>
            <w:noProof/>
            <w:webHidden/>
          </w:rPr>
          <w:fldChar w:fldCharType="end"/>
        </w:r>
      </w:hyperlink>
    </w:p>
    <w:p w14:paraId="5DE7E7B2" w14:textId="45CFC25F" w:rsidR="0065539B" w:rsidRDefault="0076636A">
      <w:pPr>
        <w:pStyle w:val="TableofFigures"/>
        <w:tabs>
          <w:tab w:val="right" w:leader="dot" w:pos="8777"/>
        </w:tabs>
        <w:rPr>
          <w:rFonts w:eastAsiaTheme="minorEastAsia"/>
          <w:noProof/>
          <w:lang w:eastAsia="en-GB"/>
        </w:rPr>
      </w:pPr>
      <w:hyperlink w:anchor="_Toc36186970" w:history="1">
        <w:r w:rsidR="0065539B" w:rsidRPr="00435DD3">
          <w:rPr>
            <w:rStyle w:val="Hyperlink"/>
            <w:noProof/>
          </w:rPr>
          <w:t>Figure 4</w:t>
        </w:r>
        <w:r w:rsidR="0065539B" w:rsidRPr="00435DD3">
          <w:rPr>
            <w:rStyle w:val="Hyperlink"/>
            <w:noProof/>
          </w:rPr>
          <w:noBreakHyphen/>
          <w:t>6: The Square Route - an alternative to the iron triangle</w:t>
        </w:r>
        <w:r w:rsidR="0065539B">
          <w:rPr>
            <w:noProof/>
            <w:webHidden/>
          </w:rPr>
          <w:tab/>
        </w:r>
        <w:r w:rsidR="0065539B">
          <w:rPr>
            <w:noProof/>
            <w:webHidden/>
          </w:rPr>
          <w:fldChar w:fldCharType="begin"/>
        </w:r>
        <w:r w:rsidR="0065539B">
          <w:rPr>
            <w:noProof/>
            <w:webHidden/>
          </w:rPr>
          <w:instrText xml:space="preserve"> PAGEREF _Toc36186970 \h </w:instrText>
        </w:r>
        <w:r w:rsidR="0065539B">
          <w:rPr>
            <w:noProof/>
            <w:webHidden/>
          </w:rPr>
        </w:r>
        <w:r w:rsidR="0065539B">
          <w:rPr>
            <w:noProof/>
            <w:webHidden/>
          </w:rPr>
          <w:fldChar w:fldCharType="separate"/>
        </w:r>
        <w:r w:rsidR="0065539B">
          <w:rPr>
            <w:noProof/>
            <w:webHidden/>
          </w:rPr>
          <w:t>88</w:t>
        </w:r>
        <w:r w:rsidR="0065539B">
          <w:rPr>
            <w:noProof/>
            <w:webHidden/>
          </w:rPr>
          <w:fldChar w:fldCharType="end"/>
        </w:r>
      </w:hyperlink>
    </w:p>
    <w:p w14:paraId="24B08E94" w14:textId="45803CC8" w:rsidR="0065539B" w:rsidRDefault="0076636A">
      <w:pPr>
        <w:pStyle w:val="TableofFigures"/>
        <w:tabs>
          <w:tab w:val="right" w:leader="dot" w:pos="8777"/>
        </w:tabs>
        <w:rPr>
          <w:rFonts w:eastAsiaTheme="minorEastAsia"/>
          <w:noProof/>
          <w:lang w:eastAsia="en-GB"/>
        </w:rPr>
      </w:pPr>
      <w:hyperlink w:anchor="_Toc36186971" w:history="1">
        <w:r w:rsidR="0065539B" w:rsidRPr="00435DD3">
          <w:rPr>
            <w:rStyle w:val="Hyperlink"/>
            <w:noProof/>
          </w:rPr>
          <w:t>Figure 4</w:t>
        </w:r>
        <w:r w:rsidR="0065539B" w:rsidRPr="00435DD3">
          <w:rPr>
            <w:rStyle w:val="Hyperlink"/>
            <w:noProof/>
          </w:rPr>
          <w:noBreakHyphen/>
          <w:t>7: Alternatives to the Iron Triangle</w:t>
        </w:r>
        <w:r w:rsidR="0065539B">
          <w:rPr>
            <w:noProof/>
            <w:webHidden/>
          </w:rPr>
          <w:tab/>
        </w:r>
        <w:r w:rsidR="0065539B">
          <w:rPr>
            <w:noProof/>
            <w:webHidden/>
          </w:rPr>
          <w:fldChar w:fldCharType="begin"/>
        </w:r>
        <w:r w:rsidR="0065539B">
          <w:rPr>
            <w:noProof/>
            <w:webHidden/>
          </w:rPr>
          <w:instrText xml:space="preserve"> PAGEREF _Toc36186971 \h </w:instrText>
        </w:r>
        <w:r w:rsidR="0065539B">
          <w:rPr>
            <w:noProof/>
            <w:webHidden/>
          </w:rPr>
        </w:r>
        <w:r w:rsidR="0065539B">
          <w:rPr>
            <w:noProof/>
            <w:webHidden/>
          </w:rPr>
          <w:fldChar w:fldCharType="separate"/>
        </w:r>
        <w:r w:rsidR="0065539B">
          <w:rPr>
            <w:noProof/>
            <w:webHidden/>
          </w:rPr>
          <w:t>89</w:t>
        </w:r>
        <w:r w:rsidR="0065539B">
          <w:rPr>
            <w:noProof/>
            <w:webHidden/>
          </w:rPr>
          <w:fldChar w:fldCharType="end"/>
        </w:r>
      </w:hyperlink>
    </w:p>
    <w:p w14:paraId="245A815C" w14:textId="224DBD2E" w:rsidR="0065539B" w:rsidRDefault="0076636A">
      <w:pPr>
        <w:pStyle w:val="TableofFigures"/>
        <w:tabs>
          <w:tab w:val="right" w:leader="dot" w:pos="8777"/>
        </w:tabs>
        <w:rPr>
          <w:rFonts w:eastAsiaTheme="minorEastAsia"/>
          <w:noProof/>
          <w:lang w:eastAsia="en-GB"/>
        </w:rPr>
      </w:pPr>
      <w:hyperlink w:anchor="_Toc36186972" w:history="1">
        <w:r w:rsidR="0065539B" w:rsidRPr="00435DD3">
          <w:rPr>
            <w:rStyle w:val="Hyperlink"/>
            <w:noProof/>
          </w:rPr>
          <w:t>Figure 4</w:t>
        </w:r>
        <w:r w:rsidR="0065539B" w:rsidRPr="00435DD3">
          <w:rPr>
            <w:rStyle w:val="Hyperlink"/>
            <w:noProof/>
          </w:rPr>
          <w:noBreakHyphen/>
          <w:t>8: Comparison of CSF</w:t>
        </w:r>
        <w:r w:rsidR="0065539B">
          <w:rPr>
            <w:noProof/>
            <w:webHidden/>
          </w:rPr>
          <w:tab/>
        </w:r>
        <w:r w:rsidR="0065539B">
          <w:rPr>
            <w:noProof/>
            <w:webHidden/>
          </w:rPr>
          <w:fldChar w:fldCharType="begin"/>
        </w:r>
        <w:r w:rsidR="0065539B">
          <w:rPr>
            <w:noProof/>
            <w:webHidden/>
          </w:rPr>
          <w:instrText xml:space="preserve"> PAGEREF _Toc36186972 \h </w:instrText>
        </w:r>
        <w:r w:rsidR="0065539B">
          <w:rPr>
            <w:noProof/>
            <w:webHidden/>
          </w:rPr>
        </w:r>
        <w:r w:rsidR="0065539B">
          <w:rPr>
            <w:noProof/>
            <w:webHidden/>
          </w:rPr>
          <w:fldChar w:fldCharType="separate"/>
        </w:r>
        <w:r w:rsidR="0065539B">
          <w:rPr>
            <w:noProof/>
            <w:webHidden/>
          </w:rPr>
          <w:t>96</w:t>
        </w:r>
        <w:r w:rsidR="0065539B">
          <w:rPr>
            <w:noProof/>
            <w:webHidden/>
          </w:rPr>
          <w:fldChar w:fldCharType="end"/>
        </w:r>
      </w:hyperlink>
    </w:p>
    <w:p w14:paraId="3F2165BD" w14:textId="3D6D82DE" w:rsidR="0065539B" w:rsidRDefault="0076636A">
      <w:pPr>
        <w:pStyle w:val="TableofFigures"/>
        <w:tabs>
          <w:tab w:val="right" w:leader="dot" w:pos="8777"/>
        </w:tabs>
        <w:rPr>
          <w:rFonts w:eastAsiaTheme="minorEastAsia"/>
          <w:noProof/>
          <w:lang w:eastAsia="en-GB"/>
        </w:rPr>
      </w:pPr>
      <w:hyperlink w:anchor="_Toc36186973" w:history="1">
        <w:r w:rsidR="0065539B" w:rsidRPr="00435DD3">
          <w:rPr>
            <w:rStyle w:val="Hyperlink"/>
            <w:noProof/>
          </w:rPr>
          <w:t>Figure 4</w:t>
        </w:r>
        <w:r w:rsidR="0065539B" w:rsidRPr="00435DD3">
          <w:rPr>
            <w:rStyle w:val="Hyperlink"/>
            <w:noProof/>
          </w:rPr>
          <w:noBreakHyphen/>
          <w:t>9: Critical success factors and the project lifecycle</w:t>
        </w:r>
        <w:r w:rsidR="0065539B">
          <w:rPr>
            <w:noProof/>
            <w:webHidden/>
          </w:rPr>
          <w:tab/>
        </w:r>
        <w:r w:rsidR="0065539B">
          <w:rPr>
            <w:noProof/>
            <w:webHidden/>
          </w:rPr>
          <w:fldChar w:fldCharType="begin"/>
        </w:r>
        <w:r w:rsidR="0065539B">
          <w:rPr>
            <w:noProof/>
            <w:webHidden/>
          </w:rPr>
          <w:instrText xml:space="preserve"> PAGEREF _Toc36186973 \h </w:instrText>
        </w:r>
        <w:r w:rsidR="0065539B">
          <w:rPr>
            <w:noProof/>
            <w:webHidden/>
          </w:rPr>
        </w:r>
        <w:r w:rsidR="0065539B">
          <w:rPr>
            <w:noProof/>
            <w:webHidden/>
          </w:rPr>
          <w:fldChar w:fldCharType="separate"/>
        </w:r>
        <w:r w:rsidR="0065539B">
          <w:rPr>
            <w:noProof/>
            <w:webHidden/>
          </w:rPr>
          <w:t>98</w:t>
        </w:r>
        <w:r w:rsidR="0065539B">
          <w:rPr>
            <w:noProof/>
            <w:webHidden/>
          </w:rPr>
          <w:fldChar w:fldCharType="end"/>
        </w:r>
      </w:hyperlink>
    </w:p>
    <w:p w14:paraId="7F48C9CA" w14:textId="0BE208DB" w:rsidR="0065539B" w:rsidRDefault="0076636A">
      <w:pPr>
        <w:pStyle w:val="TableofFigures"/>
        <w:tabs>
          <w:tab w:val="right" w:leader="dot" w:pos="8777"/>
        </w:tabs>
        <w:rPr>
          <w:rFonts w:eastAsiaTheme="minorEastAsia"/>
          <w:noProof/>
          <w:lang w:eastAsia="en-GB"/>
        </w:rPr>
      </w:pPr>
      <w:hyperlink r:id="rId17" w:anchor="_Toc36186974" w:history="1">
        <w:r w:rsidR="0065539B" w:rsidRPr="00435DD3">
          <w:rPr>
            <w:rStyle w:val="Hyperlink"/>
            <w:noProof/>
          </w:rPr>
          <w:t>Figure 4</w:t>
        </w:r>
        <w:r w:rsidR="0065539B" w:rsidRPr="00435DD3">
          <w:rPr>
            <w:rStyle w:val="Hyperlink"/>
            <w:noProof/>
          </w:rPr>
          <w:noBreakHyphen/>
          <w:t>10: Conceptual framework</w:t>
        </w:r>
        <w:r w:rsidR="0065539B">
          <w:rPr>
            <w:noProof/>
            <w:webHidden/>
          </w:rPr>
          <w:tab/>
        </w:r>
        <w:r w:rsidR="0065539B">
          <w:rPr>
            <w:noProof/>
            <w:webHidden/>
          </w:rPr>
          <w:fldChar w:fldCharType="begin"/>
        </w:r>
        <w:r w:rsidR="0065539B">
          <w:rPr>
            <w:noProof/>
            <w:webHidden/>
          </w:rPr>
          <w:instrText xml:space="preserve"> PAGEREF _Toc36186974 \h </w:instrText>
        </w:r>
        <w:r w:rsidR="0065539B">
          <w:rPr>
            <w:noProof/>
            <w:webHidden/>
          </w:rPr>
        </w:r>
        <w:r w:rsidR="0065539B">
          <w:rPr>
            <w:noProof/>
            <w:webHidden/>
          </w:rPr>
          <w:fldChar w:fldCharType="separate"/>
        </w:r>
        <w:r w:rsidR="0065539B">
          <w:rPr>
            <w:noProof/>
            <w:webHidden/>
          </w:rPr>
          <w:t>105</w:t>
        </w:r>
        <w:r w:rsidR="0065539B">
          <w:rPr>
            <w:noProof/>
            <w:webHidden/>
          </w:rPr>
          <w:fldChar w:fldCharType="end"/>
        </w:r>
      </w:hyperlink>
    </w:p>
    <w:p w14:paraId="26724B30" w14:textId="45ADC197" w:rsidR="0065539B" w:rsidRDefault="0076636A">
      <w:pPr>
        <w:pStyle w:val="TableofFigures"/>
        <w:tabs>
          <w:tab w:val="right" w:leader="dot" w:pos="8777"/>
        </w:tabs>
        <w:rPr>
          <w:rFonts w:eastAsiaTheme="minorEastAsia"/>
          <w:noProof/>
          <w:lang w:eastAsia="en-GB"/>
        </w:rPr>
      </w:pPr>
      <w:hyperlink w:anchor="_Toc36186975" w:history="1">
        <w:r w:rsidR="0065539B" w:rsidRPr="00435DD3">
          <w:rPr>
            <w:rStyle w:val="Hyperlink"/>
            <w:noProof/>
          </w:rPr>
          <w:t>Figure 5</w:t>
        </w:r>
        <w:r w:rsidR="0065539B" w:rsidRPr="00435DD3">
          <w:rPr>
            <w:rStyle w:val="Hyperlink"/>
            <w:noProof/>
          </w:rPr>
          <w:noBreakHyphen/>
          <w:t>1: Convergent Design in Mixed Methods</w:t>
        </w:r>
        <w:r w:rsidR="0065539B">
          <w:rPr>
            <w:noProof/>
            <w:webHidden/>
          </w:rPr>
          <w:tab/>
        </w:r>
        <w:r w:rsidR="0065539B">
          <w:rPr>
            <w:noProof/>
            <w:webHidden/>
          </w:rPr>
          <w:fldChar w:fldCharType="begin"/>
        </w:r>
        <w:r w:rsidR="0065539B">
          <w:rPr>
            <w:noProof/>
            <w:webHidden/>
          </w:rPr>
          <w:instrText xml:space="preserve"> PAGEREF _Toc36186975 \h </w:instrText>
        </w:r>
        <w:r w:rsidR="0065539B">
          <w:rPr>
            <w:noProof/>
            <w:webHidden/>
          </w:rPr>
        </w:r>
        <w:r w:rsidR="0065539B">
          <w:rPr>
            <w:noProof/>
            <w:webHidden/>
          </w:rPr>
          <w:fldChar w:fldCharType="separate"/>
        </w:r>
        <w:r w:rsidR="0065539B">
          <w:rPr>
            <w:noProof/>
            <w:webHidden/>
          </w:rPr>
          <w:t>114</w:t>
        </w:r>
        <w:r w:rsidR="0065539B">
          <w:rPr>
            <w:noProof/>
            <w:webHidden/>
          </w:rPr>
          <w:fldChar w:fldCharType="end"/>
        </w:r>
      </w:hyperlink>
    </w:p>
    <w:p w14:paraId="09BB2D35" w14:textId="131E1F00" w:rsidR="0065539B" w:rsidRDefault="0076636A">
      <w:pPr>
        <w:pStyle w:val="TableofFigures"/>
        <w:tabs>
          <w:tab w:val="right" w:leader="dot" w:pos="8777"/>
        </w:tabs>
        <w:rPr>
          <w:rFonts w:eastAsiaTheme="minorEastAsia"/>
          <w:noProof/>
          <w:lang w:eastAsia="en-GB"/>
        </w:rPr>
      </w:pPr>
      <w:hyperlink w:anchor="_Toc36186976" w:history="1">
        <w:r w:rsidR="0065539B" w:rsidRPr="00435DD3">
          <w:rPr>
            <w:rStyle w:val="Hyperlink"/>
            <w:noProof/>
          </w:rPr>
          <w:t>Figure 5</w:t>
        </w:r>
        <w:r w:rsidR="0065539B" w:rsidRPr="00435DD3">
          <w:rPr>
            <w:rStyle w:val="Hyperlink"/>
            <w:noProof/>
          </w:rPr>
          <w:noBreakHyphen/>
          <w:t>2: Sequential Explanatory designs in Mixed Methods</w:t>
        </w:r>
        <w:r w:rsidR="0065539B">
          <w:rPr>
            <w:noProof/>
            <w:webHidden/>
          </w:rPr>
          <w:tab/>
        </w:r>
        <w:r w:rsidR="0065539B">
          <w:rPr>
            <w:noProof/>
            <w:webHidden/>
          </w:rPr>
          <w:fldChar w:fldCharType="begin"/>
        </w:r>
        <w:r w:rsidR="0065539B">
          <w:rPr>
            <w:noProof/>
            <w:webHidden/>
          </w:rPr>
          <w:instrText xml:space="preserve"> PAGEREF _Toc36186976 \h </w:instrText>
        </w:r>
        <w:r w:rsidR="0065539B">
          <w:rPr>
            <w:noProof/>
            <w:webHidden/>
          </w:rPr>
        </w:r>
        <w:r w:rsidR="0065539B">
          <w:rPr>
            <w:noProof/>
            <w:webHidden/>
          </w:rPr>
          <w:fldChar w:fldCharType="separate"/>
        </w:r>
        <w:r w:rsidR="0065539B">
          <w:rPr>
            <w:noProof/>
            <w:webHidden/>
          </w:rPr>
          <w:t>115</w:t>
        </w:r>
        <w:r w:rsidR="0065539B">
          <w:rPr>
            <w:noProof/>
            <w:webHidden/>
          </w:rPr>
          <w:fldChar w:fldCharType="end"/>
        </w:r>
      </w:hyperlink>
    </w:p>
    <w:p w14:paraId="6CC209A4" w14:textId="65D6196D" w:rsidR="0065539B" w:rsidRDefault="0076636A">
      <w:pPr>
        <w:pStyle w:val="TableofFigures"/>
        <w:tabs>
          <w:tab w:val="right" w:leader="dot" w:pos="8777"/>
        </w:tabs>
        <w:rPr>
          <w:rFonts w:eastAsiaTheme="minorEastAsia"/>
          <w:noProof/>
          <w:lang w:eastAsia="en-GB"/>
        </w:rPr>
      </w:pPr>
      <w:hyperlink w:anchor="_Toc36186977" w:history="1">
        <w:r w:rsidR="0065539B" w:rsidRPr="00435DD3">
          <w:rPr>
            <w:rStyle w:val="Hyperlink"/>
            <w:noProof/>
          </w:rPr>
          <w:t>Figure 6</w:t>
        </w:r>
        <w:r w:rsidR="0065539B" w:rsidRPr="00435DD3">
          <w:rPr>
            <w:rStyle w:val="Hyperlink"/>
            <w:noProof/>
          </w:rPr>
          <w:noBreakHyphen/>
          <w:t>1: Formalist predisposition and project success score</w:t>
        </w:r>
        <w:r w:rsidR="0065539B">
          <w:rPr>
            <w:noProof/>
            <w:webHidden/>
          </w:rPr>
          <w:tab/>
        </w:r>
        <w:r w:rsidR="0065539B">
          <w:rPr>
            <w:noProof/>
            <w:webHidden/>
          </w:rPr>
          <w:fldChar w:fldCharType="begin"/>
        </w:r>
        <w:r w:rsidR="0065539B">
          <w:rPr>
            <w:noProof/>
            <w:webHidden/>
          </w:rPr>
          <w:instrText xml:space="preserve"> PAGEREF _Toc36186977 \h </w:instrText>
        </w:r>
        <w:r w:rsidR="0065539B">
          <w:rPr>
            <w:noProof/>
            <w:webHidden/>
          </w:rPr>
        </w:r>
        <w:r w:rsidR="0065539B">
          <w:rPr>
            <w:noProof/>
            <w:webHidden/>
          </w:rPr>
          <w:fldChar w:fldCharType="separate"/>
        </w:r>
        <w:r w:rsidR="0065539B">
          <w:rPr>
            <w:noProof/>
            <w:webHidden/>
          </w:rPr>
          <w:t>134</w:t>
        </w:r>
        <w:r w:rsidR="0065539B">
          <w:rPr>
            <w:noProof/>
            <w:webHidden/>
          </w:rPr>
          <w:fldChar w:fldCharType="end"/>
        </w:r>
      </w:hyperlink>
    </w:p>
    <w:p w14:paraId="6AF8CC0A" w14:textId="744952A5" w:rsidR="0065539B" w:rsidRDefault="0076636A">
      <w:pPr>
        <w:pStyle w:val="TableofFigures"/>
        <w:tabs>
          <w:tab w:val="right" w:leader="dot" w:pos="8777"/>
        </w:tabs>
        <w:rPr>
          <w:rFonts w:eastAsiaTheme="minorEastAsia"/>
          <w:noProof/>
          <w:lang w:eastAsia="en-GB"/>
        </w:rPr>
      </w:pPr>
      <w:hyperlink w:anchor="_Toc36186978" w:history="1">
        <w:r w:rsidR="0065539B" w:rsidRPr="00435DD3">
          <w:rPr>
            <w:rStyle w:val="Hyperlink"/>
            <w:noProof/>
          </w:rPr>
          <w:t>Figure 6</w:t>
        </w:r>
        <w:r w:rsidR="0065539B" w:rsidRPr="00435DD3">
          <w:rPr>
            <w:rStyle w:val="Hyperlink"/>
            <w:noProof/>
          </w:rPr>
          <w:noBreakHyphen/>
          <w:t>2: Correlation of ethical predisposition and iron triangle success</w:t>
        </w:r>
        <w:r w:rsidR="0065539B">
          <w:rPr>
            <w:noProof/>
            <w:webHidden/>
          </w:rPr>
          <w:tab/>
        </w:r>
        <w:r w:rsidR="0065539B">
          <w:rPr>
            <w:noProof/>
            <w:webHidden/>
          </w:rPr>
          <w:fldChar w:fldCharType="begin"/>
        </w:r>
        <w:r w:rsidR="0065539B">
          <w:rPr>
            <w:noProof/>
            <w:webHidden/>
          </w:rPr>
          <w:instrText xml:space="preserve"> PAGEREF _Toc36186978 \h </w:instrText>
        </w:r>
        <w:r w:rsidR="0065539B">
          <w:rPr>
            <w:noProof/>
            <w:webHidden/>
          </w:rPr>
        </w:r>
        <w:r w:rsidR="0065539B">
          <w:rPr>
            <w:noProof/>
            <w:webHidden/>
          </w:rPr>
          <w:fldChar w:fldCharType="separate"/>
        </w:r>
        <w:r w:rsidR="0065539B">
          <w:rPr>
            <w:noProof/>
            <w:webHidden/>
          </w:rPr>
          <w:t>136</w:t>
        </w:r>
        <w:r w:rsidR="0065539B">
          <w:rPr>
            <w:noProof/>
            <w:webHidden/>
          </w:rPr>
          <w:fldChar w:fldCharType="end"/>
        </w:r>
      </w:hyperlink>
    </w:p>
    <w:p w14:paraId="65B89863" w14:textId="4A80E56A" w:rsidR="0065539B" w:rsidRDefault="0076636A">
      <w:pPr>
        <w:pStyle w:val="TableofFigures"/>
        <w:tabs>
          <w:tab w:val="right" w:leader="dot" w:pos="8777"/>
        </w:tabs>
        <w:rPr>
          <w:rFonts w:eastAsiaTheme="minorEastAsia"/>
          <w:noProof/>
          <w:lang w:eastAsia="en-GB"/>
        </w:rPr>
      </w:pPr>
      <w:hyperlink w:anchor="_Toc36186979" w:history="1">
        <w:r w:rsidR="0065539B" w:rsidRPr="00435DD3">
          <w:rPr>
            <w:rStyle w:val="Hyperlink"/>
            <w:noProof/>
          </w:rPr>
          <w:t>Figure 6</w:t>
        </w:r>
        <w:r w:rsidR="0065539B" w:rsidRPr="00435DD3">
          <w:rPr>
            <w:rStyle w:val="Hyperlink"/>
            <w:noProof/>
          </w:rPr>
          <w:noBreakHyphen/>
          <w:t>3: Correlation of ethical predisposition and project success score</w:t>
        </w:r>
        <w:r w:rsidR="0065539B">
          <w:rPr>
            <w:noProof/>
            <w:webHidden/>
          </w:rPr>
          <w:tab/>
        </w:r>
        <w:r w:rsidR="0065539B">
          <w:rPr>
            <w:noProof/>
            <w:webHidden/>
          </w:rPr>
          <w:fldChar w:fldCharType="begin"/>
        </w:r>
        <w:r w:rsidR="0065539B">
          <w:rPr>
            <w:noProof/>
            <w:webHidden/>
          </w:rPr>
          <w:instrText xml:space="preserve"> PAGEREF _Toc36186979 \h </w:instrText>
        </w:r>
        <w:r w:rsidR="0065539B">
          <w:rPr>
            <w:noProof/>
            <w:webHidden/>
          </w:rPr>
        </w:r>
        <w:r w:rsidR="0065539B">
          <w:rPr>
            <w:noProof/>
            <w:webHidden/>
          </w:rPr>
          <w:fldChar w:fldCharType="separate"/>
        </w:r>
        <w:r w:rsidR="0065539B">
          <w:rPr>
            <w:noProof/>
            <w:webHidden/>
          </w:rPr>
          <w:t>137</w:t>
        </w:r>
        <w:r w:rsidR="0065539B">
          <w:rPr>
            <w:noProof/>
            <w:webHidden/>
          </w:rPr>
          <w:fldChar w:fldCharType="end"/>
        </w:r>
      </w:hyperlink>
    </w:p>
    <w:p w14:paraId="75BAF86F" w14:textId="09BC1BB4" w:rsidR="0065539B" w:rsidRDefault="0076636A">
      <w:pPr>
        <w:pStyle w:val="TableofFigures"/>
        <w:tabs>
          <w:tab w:val="right" w:leader="dot" w:pos="8777"/>
        </w:tabs>
        <w:rPr>
          <w:rFonts w:eastAsiaTheme="minorEastAsia"/>
          <w:noProof/>
          <w:lang w:eastAsia="en-GB"/>
        </w:rPr>
      </w:pPr>
      <w:hyperlink w:anchor="_Toc36186980" w:history="1">
        <w:r w:rsidR="0065539B" w:rsidRPr="00435DD3">
          <w:rPr>
            <w:rStyle w:val="Hyperlink"/>
            <w:noProof/>
          </w:rPr>
          <w:t>Figure 6</w:t>
        </w:r>
        <w:r w:rsidR="0065539B" w:rsidRPr="00435DD3">
          <w:rPr>
            <w:rStyle w:val="Hyperlink"/>
            <w:noProof/>
          </w:rPr>
          <w:noBreakHyphen/>
          <w:t>4: Effectiveness of individual elements of project governance</w:t>
        </w:r>
        <w:r w:rsidR="0065539B">
          <w:rPr>
            <w:noProof/>
            <w:webHidden/>
          </w:rPr>
          <w:tab/>
        </w:r>
        <w:r w:rsidR="0065539B">
          <w:rPr>
            <w:noProof/>
            <w:webHidden/>
          </w:rPr>
          <w:fldChar w:fldCharType="begin"/>
        </w:r>
        <w:r w:rsidR="0065539B">
          <w:rPr>
            <w:noProof/>
            <w:webHidden/>
          </w:rPr>
          <w:instrText xml:space="preserve"> PAGEREF _Toc36186980 \h </w:instrText>
        </w:r>
        <w:r w:rsidR="0065539B">
          <w:rPr>
            <w:noProof/>
            <w:webHidden/>
          </w:rPr>
        </w:r>
        <w:r w:rsidR="0065539B">
          <w:rPr>
            <w:noProof/>
            <w:webHidden/>
          </w:rPr>
          <w:fldChar w:fldCharType="separate"/>
        </w:r>
        <w:r w:rsidR="0065539B">
          <w:rPr>
            <w:noProof/>
            <w:webHidden/>
          </w:rPr>
          <w:t>140</w:t>
        </w:r>
        <w:r w:rsidR="0065539B">
          <w:rPr>
            <w:noProof/>
            <w:webHidden/>
          </w:rPr>
          <w:fldChar w:fldCharType="end"/>
        </w:r>
      </w:hyperlink>
    </w:p>
    <w:p w14:paraId="20D9BECD" w14:textId="6A973E93" w:rsidR="0065539B" w:rsidRDefault="0076636A">
      <w:pPr>
        <w:pStyle w:val="TableofFigures"/>
        <w:tabs>
          <w:tab w:val="right" w:leader="dot" w:pos="8777"/>
        </w:tabs>
        <w:rPr>
          <w:rFonts w:eastAsiaTheme="minorEastAsia"/>
          <w:noProof/>
          <w:lang w:eastAsia="en-GB"/>
        </w:rPr>
      </w:pPr>
      <w:hyperlink w:anchor="_Toc36186981" w:history="1">
        <w:r w:rsidR="0065539B" w:rsidRPr="00435DD3">
          <w:rPr>
            <w:rStyle w:val="Hyperlink"/>
            <w:noProof/>
          </w:rPr>
          <w:t>Figure 6</w:t>
        </w:r>
        <w:r w:rsidR="0065539B" w:rsidRPr="00435DD3">
          <w:rPr>
            <w:rStyle w:val="Hyperlink"/>
            <w:noProof/>
          </w:rPr>
          <w:noBreakHyphen/>
          <w:t>5: Effectiveness of individual elements of corporate governance</w:t>
        </w:r>
        <w:r w:rsidR="0065539B">
          <w:rPr>
            <w:noProof/>
            <w:webHidden/>
          </w:rPr>
          <w:tab/>
        </w:r>
        <w:r w:rsidR="0065539B">
          <w:rPr>
            <w:noProof/>
            <w:webHidden/>
          </w:rPr>
          <w:fldChar w:fldCharType="begin"/>
        </w:r>
        <w:r w:rsidR="0065539B">
          <w:rPr>
            <w:noProof/>
            <w:webHidden/>
          </w:rPr>
          <w:instrText xml:space="preserve"> PAGEREF _Toc36186981 \h </w:instrText>
        </w:r>
        <w:r w:rsidR="0065539B">
          <w:rPr>
            <w:noProof/>
            <w:webHidden/>
          </w:rPr>
        </w:r>
        <w:r w:rsidR="0065539B">
          <w:rPr>
            <w:noProof/>
            <w:webHidden/>
          </w:rPr>
          <w:fldChar w:fldCharType="separate"/>
        </w:r>
        <w:r w:rsidR="0065539B">
          <w:rPr>
            <w:noProof/>
            <w:webHidden/>
          </w:rPr>
          <w:t>143</w:t>
        </w:r>
        <w:r w:rsidR="0065539B">
          <w:rPr>
            <w:noProof/>
            <w:webHidden/>
          </w:rPr>
          <w:fldChar w:fldCharType="end"/>
        </w:r>
      </w:hyperlink>
    </w:p>
    <w:p w14:paraId="5C797758" w14:textId="2CF8BBAA" w:rsidR="0065539B" w:rsidRDefault="0076636A">
      <w:pPr>
        <w:pStyle w:val="TableofFigures"/>
        <w:tabs>
          <w:tab w:val="right" w:leader="dot" w:pos="8777"/>
        </w:tabs>
        <w:rPr>
          <w:rFonts w:eastAsiaTheme="minorEastAsia"/>
          <w:noProof/>
          <w:lang w:eastAsia="en-GB"/>
        </w:rPr>
      </w:pPr>
      <w:hyperlink w:anchor="_Toc36186982" w:history="1">
        <w:r w:rsidR="0065539B" w:rsidRPr="00435DD3">
          <w:rPr>
            <w:rStyle w:val="Hyperlink"/>
            <w:noProof/>
          </w:rPr>
          <w:t>Figure 6</w:t>
        </w:r>
        <w:r w:rsidR="0065539B" w:rsidRPr="00435DD3">
          <w:rPr>
            <w:rStyle w:val="Hyperlink"/>
            <w:noProof/>
          </w:rPr>
          <w:noBreakHyphen/>
          <w:t>6: Distribution of project scores</w:t>
        </w:r>
        <w:r w:rsidR="0065539B">
          <w:rPr>
            <w:noProof/>
            <w:webHidden/>
          </w:rPr>
          <w:tab/>
        </w:r>
        <w:r w:rsidR="0065539B">
          <w:rPr>
            <w:noProof/>
            <w:webHidden/>
          </w:rPr>
          <w:fldChar w:fldCharType="begin"/>
        </w:r>
        <w:r w:rsidR="0065539B">
          <w:rPr>
            <w:noProof/>
            <w:webHidden/>
          </w:rPr>
          <w:instrText xml:space="preserve"> PAGEREF _Toc36186982 \h </w:instrText>
        </w:r>
        <w:r w:rsidR="0065539B">
          <w:rPr>
            <w:noProof/>
            <w:webHidden/>
          </w:rPr>
        </w:r>
        <w:r w:rsidR="0065539B">
          <w:rPr>
            <w:noProof/>
            <w:webHidden/>
          </w:rPr>
          <w:fldChar w:fldCharType="separate"/>
        </w:r>
        <w:r w:rsidR="0065539B">
          <w:rPr>
            <w:noProof/>
            <w:webHidden/>
          </w:rPr>
          <w:t>148</w:t>
        </w:r>
        <w:r w:rsidR="0065539B">
          <w:rPr>
            <w:noProof/>
            <w:webHidden/>
          </w:rPr>
          <w:fldChar w:fldCharType="end"/>
        </w:r>
      </w:hyperlink>
    </w:p>
    <w:p w14:paraId="3AE43FA3" w14:textId="28B95D43" w:rsidR="0065539B" w:rsidRDefault="0076636A">
      <w:pPr>
        <w:pStyle w:val="TableofFigures"/>
        <w:tabs>
          <w:tab w:val="right" w:leader="dot" w:pos="8777"/>
        </w:tabs>
        <w:rPr>
          <w:rFonts w:eastAsiaTheme="minorEastAsia"/>
          <w:noProof/>
          <w:lang w:eastAsia="en-GB"/>
        </w:rPr>
      </w:pPr>
      <w:hyperlink w:anchor="_Toc36186983" w:history="1">
        <w:r w:rsidR="0065539B" w:rsidRPr="00435DD3">
          <w:rPr>
            <w:rStyle w:val="Hyperlink"/>
            <w:noProof/>
          </w:rPr>
          <w:t>Figure 6</w:t>
        </w:r>
        <w:r w:rsidR="0065539B" w:rsidRPr="00435DD3">
          <w:rPr>
            <w:rStyle w:val="Hyperlink"/>
            <w:noProof/>
          </w:rPr>
          <w:noBreakHyphen/>
          <w:t>7: Project Governance and claimed success</w:t>
        </w:r>
        <w:r w:rsidR="0065539B">
          <w:rPr>
            <w:noProof/>
            <w:webHidden/>
          </w:rPr>
          <w:tab/>
        </w:r>
        <w:r w:rsidR="0065539B">
          <w:rPr>
            <w:noProof/>
            <w:webHidden/>
          </w:rPr>
          <w:fldChar w:fldCharType="begin"/>
        </w:r>
        <w:r w:rsidR="0065539B">
          <w:rPr>
            <w:noProof/>
            <w:webHidden/>
          </w:rPr>
          <w:instrText xml:space="preserve"> PAGEREF _Toc36186983 \h </w:instrText>
        </w:r>
        <w:r w:rsidR="0065539B">
          <w:rPr>
            <w:noProof/>
            <w:webHidden/>
          </w:rPr>
        </w:r>
        <w:r w:rsidR="0065539B">
          <w:rPr>
            <w:noProof/>
            <w:webHidden/>
          </w:rPr>
          <w:fldChar w:fldCharType="separate"/>
        </w:r>
        <w:r w:rsidR="0065539B">
          <w:rPr>
            <w:noProof/>
            <w:webHidden/>
          </w:rPr>
          <w:t>152</w:t>
        </w:r>
        <w:r w:rsidR="0065539B">
          <w:rPr>
            <w:noProof/>
            <w:webHidden/>
          </w:rPr>
          <w:fldChar w:fldCharType="end"/>
        </w:r>
      </w:hyperlink>
    </w:p>
    <w:p w14:paraId="616A33CB" w14:textId="4F153EF9" w:rsidR="0065539B" w:rsidRDefault="0076636A">
      <w:pPr>
        <w:pStyle w:val="TableofFigures"/>
        <w:tabs>
          <w:tab w:val="right" w:leader="dot" w:pos="8777"/>
        </w:tabs>
        <w:rPr>
          <w:rFonts w:eastAsiaTheme="minorEastAsia"/>
          <w:noProof/>
          <w:lang w:eastAsia="en-GB"/>
        </w:rPr>
      </w:pPr>
      <w:hyperlink w:anchor="_Toc36186984" w:history="1">
        <w:r w:rsidR="0065539B" w:rsidRPr="00435DD3">
          <w:rPr>
            <w:rStyle w:val="Hyperlink"/>
            <w:noProof/>
          </w:rPr>
          <w:t>Figure 6</w:t>
        </w:r>
        <w:r w:rsidR="0065539B" w:rsidRPr="00435DD3">
          <w:rPr>
            <w:rStyle w:val="Hyperlink"/>
            <w:noProof/>
          </w:rPr>
          <w:noBreakHyphen/>
          <w:t>8: Correlation of perceived project governance and iron triangle scores</w:t>
        </w:r>
        <w:r w:rsidR="0065539B">
          <w:rPr>
            <w:noProof/>
            <w:webHidden/>
          </w:rPr>
          <w:tab/>
        </w:r>
        <w:r w:rsidR="0065539B">
          <w:rPr>
            <w:noProof/>
            <w:webHidden/>
          </w:rPr>
          <w:fldChar w:fldCharType="begin"/>
        </w:r>
        <w:r w:rsidR="0065539B">
          <w:rPr>
            <w:noProof/>
            <w:webHidden/>
          </w:rPr>
          <w:instrText xml:space="preserve"> PAGEREF _Toc36186984 \h </w:instrText>
        </w:r>
        <w:r w:rsidR="0065539B">
          <w:rPr>
            <w:noProof/>
            <w:webHidden/>
          </w:rPr>
        </w:r>
        <w:r w:rsidR="0065539B">
          <w:rPr>
            <w:noProof/>
            <w:webHidden/>
          </w:rPr>
          <w:fldChar w:fldCharType="separate"/>
        </w:r>
        <w:r w:rsidR="0065539B">
          <w:rPr>
            <w:noProof/>
            <w:webHidden/>
          </w:rPr>
          <w:t>153</w:t>
        </w:r>
        <w:r w:rsidR="0065539B">
          <w:rPr>
            <w:noProof/>
            <w:webHidden/>
          </w:rPr>
          <w:fldChar w:fldCharType="end"/>
        </w:r>
      </w:hyperlink>
    </w:p>
    <w:p w14:paraId="4251DBF2" w14:textId="2CD0A4DA" w:rsidR="0065539B" w:rsidRDefault="0076636A">
      <w:pPr>
        <w:pStyle w:val="TableofFigures"/>
        <w:tabs>
          <w:tab w:val="right" w:leader="dot" w:pos="8777"/>
        </w:tabs>
        <w:rPr>
          <w:rFonts w:eastAsiaTheme="minorEastAsia"/>
          <w:noProof/>
          <w:lang w:eastAsia="en-GB"/>
        </w:rPr>
      </w:pPr>
      <w:hyperlink w:anchor="_Toc36186985" w:history="1">
        <w:r w:rsidR="0065539B" w:rsidRPr="00435DD3">
          <w:rPr>
            <w:rStyle w:val="Hyperlink"/>
            <w:noProof/>
          </w:rPr>
          <w:t>Figure 6</w:t>
        </w:r>
        <w:r w:rsidR="0065539B" w:rsidRPr="00435DD3">
          <w:rPr>
            <w:rStyle w:val="Hyperlink"/>
            <w:noProof/>
          </w:rPr>
          <w:noBreakHyphen/>
          <w:t>9: Correlation of project governance effectiveness and project success scores</w:t>
        </w:r>
        <w:r w:rsidR="0065539B">
          <w:rPr>
            <w:noProof/>
            <w:webHidden/>
          </w:rPr>
          <w:tab/>
        </w:r>
        <w:r w:rsidR="0065539B">
          <w:rPr>
            <w:noProof/>
            <w:webHidden/>
          </w:rPr>
          <w:fldChar w:fldCharType="begin"/>
        </w:r>
        <w:r w:rsidR="0065539B">
          <w:rPr>
            <w:noProof/>
            <w:webHidden/>
          </w:rPr>
          <w:instrText xml:space="preserve"> PAGEREF _Toc36186985 \h </w:instrText>
        </w:r>
        <w:r w:rsidR="0065539B">
          <w:rPr>
            <w:noProof/>
            <w:webHidden/>
          </w:rPr>
        </w:r>
        <w:r w:rsidR="0065539B">
          <w:rPr>
            <w:noProof/>
            <w:webHidden/>
          </w:rPr>
          <w:fldChar w:fldCharType="separate"/>
        </w:r>
        <w:r w:rsidR="0065539B">
          <w:rPr>
            <w:noProof/>
            <w:webHidden/>
          </w:rPr>
          <w:t>154</w:t>
        </w:r>
        <w:r w:rsidR="0065539B">
          <w:rPr>
            <w:noProof/>
            <w:webHidden/>
          </w:rPr>
          <w:fldChar w:fldCharType="end"/>
        </w:r>
      </w:hyperlink>
    </w:p>
    <w:p w14:paraId="596FADA7" w14:textId="7A0D8134" w:rsidR="0065539B" w:rsidRDefault="0076636A">
      <w:pPr>
        <w:pStyle w:val="TableofFigures"/>
        <w:tabs>
          <w:tab w:val="right" w:leader="dot" w:pos="8777"/>
        </w:tabs>
        <w:rPr>
          <w:rFonts w:eastAsiaTheme="minorEastAsia"/>
          <w:noProof/>
          <w:lang w:eastAsia="en-GB"/>
        </w:rPr>
      </w:pPr>
      <w:hyperlink w:anchor="_Toc36186986" w:history="1">
        <w:r w:rsidR="0065539B" w:rsidRPr="00435DD3">
          <w:rPr>
            <w:rStyle w:val="Hyperlink"/>
            <w:noProof/>
          </w:rPr>
          <w:t>Figure 6</w:t>
        </w:r>
        <w:r w:rsidR="0065539B" w:rsidRPr="00435DD3">
          <w:rPr>
            <w:rStyle w:val="Hyperlink"/>
            <w:noProof/>
          </w:rPr>
          <w:noBreakHyphen/>
          <w:t>10: Corporate governance effectiveness and claimed success</w:t>
        </w:r>
        <w:r w:rsidR="0065539B">
          <w:rPr>
            <w:noProof/>
            <w:webHidden/>
          </w:rPr>
          <w:tab/>
        </w:r>
        <w:r w:rsidR="0065539B">
          <w:rPr>
            <w:noProof/>
            <w:webHidden/>
          </w:rPr>
          <w:fldChar w:fldCharType="begin"/>
        </w:r>
        <w:r w:rsidR="0065539B">
          <w:rPr>
            <w:noProof/>
            <w:webHidden/>
          </w:rPr>
          <w:instrText xml:space="preserve"> PAGEREF _Toc36186986 \h </w:instrText>
        </w:r>
        <w:r w:rsidR="0065539B">
          <w:rPr>
            <w:noProof/>
            <w:webHidden/>
          </w:rPr>
        </w:r>
        <w:r w:rsidR="0065539B">
          <w:rPr>
            <w:noProof/>
            <w:webHidden/>
          </w:rPr>
          <w:fldChar w:fldCharType="separate"/>
        </w:r>
        <w:r w:rsidR="0065539B">
          <w:rPr>
            <w:noProof/>
            <w:webHidden/>
          </w:rPr>
          <w:t>155</w:t>
        </w:r>
        <w:r w:rsidR="0065539B">
          <w:rPr>
            <w:noProof/>
            <w:webHidden/>
          </w:rPr>
          <w:fldChar w:fldCharType="end"/>
        </w:r>
      </w:hyperlink>
    </w:p>
    <w:p w14:paraId="2C65B83C" w14:textId="4E7F6538" w:rsidR="0065539B" w:rsidRDefault="0076636A">
      <w:pPr>
        <w:pStyle w:val="TableofFigures"/>
        <w:tabs>
          <w:tab w:val="right" w:leader="dot" w:pos="8777"/>
        </w:tabs>
        <w:rPr>
          <w:rFonts w:eastAsiaTheme="minorEastAsia"/>
          <w:noProof/>
          <w:lang w:eastAsia="en-GB"/>
        </w:rPr>
      </w:pPr>
      <w:hyperlink w:anchor="_Toc36186987" w:history="1">
        <w:r w:rsidR="0065539B" w:rsidRPr="00435DD3">
          <w:rPr>
            <w:rStyle w:val="Hyperlink"/>
            <w:noProof/>
          </w:rPr>
          <w:t>Figure 6</w:t>
        </w:r>
        <w:r w:rsidR="0065539B" w:rsidRPr="00435DD3">
          <w:rPr>
            <w:rStyle w:val="Hyperlink"/>
            <w:noProof/>
          </w:rPr>
          <w:noBreakHyphen/>
          <w:t>11: Correlation of corporate governance and iron triangle success</w:t>
        </w:r>
        <w:r w:rsidR="0065539B">
          <w:rPr>
            <w:noProof/>
            <w:webHidden/>
          </w:rPr>
          <w:tab/>
        </w:r>
        <w:r w:rsidR="0065539B">
          <w:rPr>
            <w:noProof/>
            <w:webHidden/>
          </w:rPr>
          <w:fldChar w:fldCharType="begin"/>
        </w:r>
        <w:r w:rsidR="0065539B">
          <w:rPr>
            <w:noProof/>
            <w:webHidden/>
          </w:rPr>
          <w:instrText xml:space="preserve"> PAGEREF _Toc36186987 \h </w:instrText>
        </w:r>
        <w:r w:rsidR="0065539B">
          <w:rPr>
            <w:noProof/>
            <w:webHidden/>
          </w:rPr>
        </w:r>
        <w:r w:rsidR="0065539B">
          <w:rPr>
            <w:noProof/>
            <w:webHidden/>
          </w:rPr>
          <w:fldChar w:fldCharType="separate"/>
        </w:r>
        <w:r w:rsidR="0065539B">
          <w:rPr>
            <w:noProof/>
            <w:webHidden/>
          </w:rPr>
          <w:t>156</w:t>
        </w:r>
        <w:r w:rsidR="0065539B">
          <w:rPr>
            <w:noProof/>
            <w:webHidden/>
          </w:rPr>
          <w:fldChar w:fldCharType="end"/>
        </w:r>
      </w:hyperlink>
    </w:p>
    <w:p w14:paraId="5559A419" w14:textId="74CE546F" w:rsidR="0065539B" w:rsidRDefault="0076636A">
      <w:pPr>
        <w:pStyle w:val="TableofFigures"/>
        <w:tabs>
          <w:tab w:val="right" w:leader="dot" w:pos="8777"/>
        </w:tabs>
        <w:rPr>
          <w:rFonts w:eastAsiaTheme="minorEastAsia"/>
          <w:noProof/>
          <w:lang w:eastAsia="en-GB"/>
        </w:rPr>
      </w:pPr>
      <w:hyperlink w:anchor="_Toc36186988" w:history="1">
        <w:r w:rsidR="0065539B" w:rsidRPr="00435DD3">
          <w:rPr>
            <w:rStyle w:val="Hyperlink"/>
            <w:noProof/>
          </w:rPr>
          <w:t>Figure 6</w:t>
        </w:r>
        <w:r w:rsidR="0065539B" w:rsidRPr="00435DD3">
          <w:rPr>
            <w:rStyle w:val="Hyperlink"/>
            <w:noProof/>
          </w:rPr>
          <w:noBreakHyphen/>
          <w:t>12: Correlation of corporate governance and project success scores (n=51)</w:t>
        </w:r>
        <w:r w:rsidR="0065539B">
          <w:rPr>
            <w:noProof/>
            <w:webHidden/>
          </w:rPr>
          <w:tab/>
        </w:r>
        <w:r w:rsidR="0065539B">
          <w:rPr>
            <w:noProof/>
            <w:webHidden/>
          </w:rPr>
          <w:fldChar w:fldCharType="begin"/>
        </w:r>
        <w:r w:rsidR="0065539B">
          <w:rPr>
            <w:noProof/>
            <w:webHidden/>
          </w:rPr>
          <w:instrText xml:space="preserve"> PAGEREF _Toc36186988 \h </w:instrText>
        </w:r>
        <w:r w:rsidR="0065539B">
          <w:rPr>
            <w:noProof/>
            <w:webHidden/>
          </w:rPr>
        </w:r>
        <w:r w:rsidR="0065539B">
          <w:rPr>
            <w:noProof/>
            <w:webHidden/>
          </w:rPr>
          <w:fldChar w:fldCharType="separate"/>
        </w:r>
        <w:r w:rsidR="0065539B">
          <w:rPr>
            <w:noProof/>
            <w:webHidden/>
          </w:rPr>
          <w:t>157</w:t>
        </w:r>
        <w:r w:rsidR="0065539B">
          <w:rPr>
            <w:noProof/>
            <w:webHidden/>
          </w:rPr>
          <w:fldChar w:fldCharType="end"/>
        </w:r>
      </w:hyperlink>
    </w:p>
    <w:p w14:paraId="6AF925CD" w14:textId="08F6234F" w:rsidR="0065539B" w:rsidRDefault="0076636A">
      <w:pPr>
        <w:pStyle w:val="TableofFigures"/>
        <w:tabs>
          <w:tab w:val="right" w:leader="dot" w:pos="8777"/>
        </w:tabs>
        <w:rPr>
          <w:rFonts w:eastAsiaTheme="minorEastAsia"/>
          <w:noProof/>
          <w:lang w:eastAsia="en-GB"/>
        </w:rPr>
      </w:pPr>
      <w:hyperlink w:anchor="_Toc36186989" w:history="1">
        <w:r w:rsidR="0065539B" w:rsidRPr="00435DD3">
          <w:rPr>
            <w:rStyle w:val="Hyperlink"/>
            <w:noProof/>
          </w:rPr>
          <w:t>Figure 6</w:t>
        </w:r>
        <w:r w:rsidR="0065539B" w:rsidRPr="00435DD3">
          <w:rPr>
            <w:rStyle w:val="Hyperlink"/>
            <w:noProof/>
          </w:rPr>
          <w:noBreakHyphen/>
          <w:t>13: Correlation of risk and project success scores</w:t>
        </w:r>
        <w:r w:rsidR="0065539B">
          <w:rPr>
            <w:noProof/>
            <w:webHidden/>
          </w:rPr>
          <w:tab/>
        </w:r>
        <w:r w:rsidR="0065539B">
          <w:rPr>
            <w:noProof/>
            <w:webHidden/>
          </w:rPr>
          <w:fldChar w:fldCharType="begin"/>
        </w:r>
        <w:r w:rsidR="0065539B">
          <w:rPr>
            <w:noProof/>
            <w:webHidden/>
          </w:rPr>
          <w:instrText xml:space="preserve"> PAGEREF _Toc36186989 \h </w:instrText>
        </w:r>
        <w:r w:rsidR="0065539B">
          <w:rPr>
            <w:noProof/>
            <w:webHidden/>
          </w:rPr>
        </w:r>
        <w:r w:rsidR="0065539B">
          <w:rPr>
            <w:noProof/>
            <w:webHidden/>
          </w:rPr>
          <w:fldChar w:fldCharType="separate"/>
        </w:r>
        <w:r w:rsidR="0065539B">
          <w:rPr>
            <w:noProof/>
            <w:webHidden/>
          </w:rPr>
          <w:t>162</w:t>
        </w:r>
        <w:r w:rsidR="0065539B">
          <w:rPr>
            <w:noProof/>
            <w:webHidden/>
          </w:rPr>
          <w:fldChar w:fldCharType="end"/>
        </w:r>
      </w:hyperlink>
    </w:p>
    <w:p w14:paraId="732C17B0" w14:textId="6A650164" w:rsidR="0065539B" w:rsidRDefault="0076636A">
      <w:pPr>
        <w:pStyle w:val="TableofFigures"/>
        <w:tabs>
          <w:tab w:val="right" w:leader="dot" w:pos="8777"/>
        </w:tabs>
        <w:rPr>
          <w:rFonts w:eastAsiaTheme="minorEastAsia"/>
          <w:noProof/>
          <w:lang w:eastAsia="en-GB"/>
        </w:rPr>
      </w:pPr>
      <w:hyperlink w:anchor="_Toc36186990" w:history="1">
        <w:r w:rsidR="0065539B" w:rsidRPr="00435DD3">
          <w:rPr>
            <w:rStyle w:val="Hyperlink"/>
            <w:noProof/>
          </w:rPr>
          <w:t>Figure 6</w:t>
        </w:r>
        <w:r w:rsidR="0065539B" w:rsidRPr="00435DD3">
          <w:rPr>
            <w:rStyle w:val="Hyperlink"/>
            <w:noProof/>
          </w:rPr>
          <w:noBreakHyphen/>
          <w:t>14: Correlation of CSF and project success scores</w:t>
        </w:r>
        <w:r w:rsidR="0065539B">
          <w:rPr>
            <w:noProof/>
            <w:webHidden/>
          </w:rPr>
          <w:tab/>
        </w:r>
        <w:r w:rsidR="0065539B">
          <w:rPr>
            <w:noProof/>
            <w:webHidden/>
          </w:rPr>
          <w:fldChar w:fldCharType="begin"/>
        </w:r>
        <w:r w:rsidR="0065539B">
          <w:rPr>
            <w:noProof/>
            <w:webHidden/>
          </w:rPr>
          <w:instrText xml:space="preserve"> PAGEREF _Toc36186990 \h </w:instrText>
        </w:r>
        <w:r w:rsidR="0065539B">
          <w:rPr>
            <w:noProof/>
            <w:webHidden/>
          </w:rPr>
        </w:r>
        <w:r w:rsidR="0065539B">
          <w:rPr>
            <w:noProof/>
            <w:webHidden/>
          </w:rPr>
          <w:fldChar w:fldCharType="separate"/>
        </w:r>
        <w:r w:rsidR="0065539B">
          <w:rPr>
            <w:noProof/>
            <w:webHidden/>
          </w:rPr>
          <w:t>163</w:t>
        </w:r>
        <w:r w:rsidR="0065539B">
          <w:rPr>
            <w:noProof/>
            <w:webHidden/>
          </w:rPr>
          <w:fldChar w:fldCharType="end"/>
        </w:r>
      </w:hyperlink>
    </w:p>
    <w:p w14:paraId="7D95C2A1" w14:textId="3651685E" w:rsidR="0065539B" w:rsidRDefault="0076636A">
      <w:pPr>
        <w:pStyle w:val="TableofFigures"/>
        <w:tabs>
          <w:tab w:val="right" w:leader="dot" w:pos="8777"/>
        </w:tabs>
        <w:rPr>
          <w:rFonts w:eastAsiaTheme="minorEastAsia"/>
          <w:noProof/>
          <w:lang w:eastAsia="en-GB"/>
        </w:rPr>
      </w:pPr>
      <w:hyperlink w:anchor="_Toc36186991" w:history="1">
        <w:r w:rsidR="0065539B" w:rsidRPr="00435DD3">
          <w:rPr>
            <w:rStyle w:val="Hyperlink"/>
            <w:noProof/>
          </w:rPr>
          <w:t>Figure 8</w:t>
        </w:r>
        <w:r w:rsidR="0065539B" w:rsidRPr="00435DD3">
          <w:rPr>
            <w:rStyle w:val="Hyperlink"/>
            <w:noProof/>
          </w:rPr>
          <w:noBreakHyphen/>
          <w:t>1: New public assurance model for measurement of project success</w:t>
        </w:r>
        <w:r w:rsidR="0065539B">
          <w:rPr>
            <w:noProof/>
            <w:webHidden/>
          </w:rPr>
          <w:tab/>
        </w:r>
        <w:r w:rsidR="0065539B">
          <w:rPr>
            <w:noProof/>
            <w:webHidden/>
          </w:rPr>
          <w:fldChar w:fldCharType="begin"/>
        </w:r>
        <w:r w:rsidR="0065539B">
          <w:rPr>
            <w:noProof/>
            <w:webHidden/>
          </w:rPr>
          <w:instrText xml:space="preserve"> PAGEREF _Toc36186991 \h </w:instrText>
        </w:r>
        <w:r w:rsidR="0065539B">
          <w:rPr>
            <w:noProof/>
            <w:webHidden/>
          </w:rPr>
        </w:r>
        <w:r w:rsidR="0065539B">
          <w:rPr>
            <w:noProof/>
            <w:webHidden/>
          </w:rPr>
          <w:fldChar w:fldCharType="separate"/>
        </w:r>
        <w:r w:rsidR="0065539B">
          <w:rPr>
            <w:noProof/>
            <w:webHidden/>
          </w:rPr>
          <w:t>197</w:t>
        </w:r>
        <w:r w:rsidR="0065539B">
          <w:rPr>
            <w:noProof/>
            <w:webHidden/>
          </w:rPr>
          <w:fldChar w:fldCharType="end"/>
        </w:r>
      </w:hyperlink>
    </w:p>
    <w:p w14:paraId="755898E4" w14:textId="3930770C" w:rsidR="0065539B" w:rsidRDefault="0076636A">
      <w:pPr>
        <w:pStyle w:val="TableofFigures"/>
        <w:tabs>
          <w:tab w:val="right" w:leader="dot" w:pos="8777"/>
        </w:tabs>
        <w:rPr>
          <w:rFonts w:eastAsiaTheme="minorEastAsia"/>
          <w:noProof/>
          <w:lang w:eastAsia="en-GB"/>
        </w:rPr>
      </w:pPr>
      <w:hyperlink r:id="rId18" w:anchor="_Toc36186992" w:history="1">
        <w:r w:rsidR="0065539B" w:rsidRPr="00435DD3">
          <w:rPr>
            <w:rStyle w:val="Hyperlink"/>
            <w:noProof/>
          </w:rPr>
          <w:t>Figure 8</w:t>
        </w:r>
        <w:r w:rsidR="0065539B" w:rsidRPr="00435DD3">
          <w:rPr>
            <w:rStyle w:val="Hyperlink"/>
            <w:noProof/>
          </w:rPr>
          <w:noBreakHyphen/>
          <w:t>2: Project assurance for corporate boards at project start-up</w:t>
        </w:r>
        <w:r w:rsidR="0065539B">
          <w:rPr>
            <w:noProof/>
            <w:webHidden/>
          </w:rPr>
          <w:tab/>
        </w:r>
        <w:r w:rsidR="0065539B">
          <w:rPr>
            <w:noProof/>
            <w:webHidden/>
          </w:rPr>
          <w:fldChar w:fldCharType="begin"/>
        </w:r>
        <w:r w:rsidR="0065539B">
          <w:rPr>
            <w:noProof/>
            <w:webHidden/>
          </w:rPr>
          <w:instrText xml:space="preserve"> PAGEREF _Toc36186992 \h </w:instrText>
        </w:r>
        <w:r w:rsidR="0065539B">
          <w:rPr>
            <w:noProof/>
            <w:webHidden/>
          </w:rPr>
        </w:r>
        <w:r w:rsidR="0065539B">
          <w:rPr>
            <w:noProof/>
            <w:webHidden/>
          </w:rPr>
          <w:fldChar w:fldCharType="separate"/>
        </w:r>
        <w:r w:rsidR="0065539B">
          <w:rPr>
            <w:noProof/>
            <w:webHidden/>
          </w:rPr>
          <w:t>201</w:t>
        </w:r>
        <w:r w:rsidR="0065539B">
          <w:rPr>
            <w:noProof/>
            <w:webHidden/>
          </w:rPr>
          <w:fldChar w:fldCharType="end"/>
        </w:r>
      </w:hyperlink>
    </w:p>
    <w:p w14:paraId="62EE4D26" w14:textId="5E215D65" w:rsidR="0065539B" w:rsidRDefault="0076636A">
      <w:pPr>
        <w:pStyle w:val="TableofFigures"/>
        <w:tabs>
          <w:tab w:val="right" w:leader="dot" w:pos="8777"/>
        </w:tabs>
        <w:rPr>
          <w:rFonts w:eastAsiaTheme="minorEastAsia"/>
          <w:noProof/>
          <w:lang w:eastAsia="en-GB"/>
        </w:rPr>
      </w:pPr>
      <w:hyperlink w:anchor="_Toc36186993" w:history="1">
        <w:r w:rsidR="0065539B" w:rsidRPr="00435DD3">
          <w:rPr>
            <w:rStyle w:val="Hyperlink"/>
            <w:noProof/>
          </w:rPr>
          <w:t>Figure 8</w:t>
        </w:r>
        <w:r w:rsidR="0065539B" w:rsidRPr="00435DD3">
          <w:rPr>
            <w:rStyle w:val="Hyperlink"/>
            <w:noProof/>
          </w:rPr>
          <w:noBreakHyphen/>
          <w:t>3: Project assurance model for Corporate Boards at the end of the project management phase</w:t>
        </w:r>
        <w:r w:rsidR="0065539B">
          <w:rPr>
            <w:noProof/>
            <w:webHidden/>
          </w:rPr>
          <w:tab/>
        </w:r>
        <w:r w:rsidR="0065539B">
          <w:rPr>
            <w:noProof/>
            <w:webHidden/>
          </w:rPr>
          <w:fldChar w:fldCharType="begin"/>
        </w:r>
        <w:r w:rsidR="0065539B">
          <w:rPr>
            <w:noProof/>
            <w:webHidden/>
          </w:rPr>
          <w:instrText xml:space="preserve"> PAGEREF _Toc36186993 \h </w:instrText>
        </w:r>
        <w:r w:rsidR="0065539B">
          <w:rPr>
            <w:noProof/>
            <w:webHidden/>
          </w:rPr>
        </w:r>
        <w:r w:rsidR="0065539B">
          <w:rPr>
            <w:noProof/>
            <w:webHidden/>
          </w:rPr>
          <w:fldChar w:fldCharType="separate"/>
        </w:r>
        <w:r w:rsidR="0065539B">
          <w:rPr>
            <w:noProof/>
            <w:webHidden/>
          </w:rPr>
          <w:t>202</w:t>
        </w:r>
        <w:r w:rsidR="0065539B">
          <w:rPr>
            <w:noProof/>
            <w:webHidden/>
          </w:rPr>
          <w:fldChar w:fldCharType="end"/>
        </w:r>
      </w:hyperlink>
    </w:p>
    <w:p w14:paraId="6B12A16A" w14:textId="3D6FC063" w:rsidR="0065539B" w:rsidRDefault="0076636A">
      <w:pPr>
        <w:pStyle w:val="TableofFigures"/>
        <w:tabs>
          <w:tab w:val="right" w:leader="dot" w:pos="8777"/>
        </w:tabs>
        <w:rPr>
          <w:rFonts w:eastAsiaTheme="minorEastAsia"/>
          <w:noProof/>
          <w:lang w:eastAsia="en-GB"/>
        </w:rPr>
      </w:pPr>
      <w:hyperlink w:anchor="_Toc36186994" w:history="1">
        <w:r w:rsidR="0065539B" w:rsidRPr="00435DD3">
          <w:rPr>
            <w:rStyle w:val="Hyperlink"/>
            <w:noProof/>
          </w:rPr>
          <w:t>Figure 8</w:t>
        </w:r>
        <w:r w:rsidR="0065539B" w:rsidRPr="00435DD3">
          <w:rPr>
            <w:rStyle w:val="Hyperlink"/>
            <w:noProof/>
          </w:rPr>
          <w:noBreakHyphen/>
          <w:t>4: Project Assurance Model for Corporate Boards in the operational phase</w:t>
        </w:r>
        <w:r w:rsidR="0065539B">
          <w:rPr>
            <w:noProof/>
            <w:webHidden/>
          </w:rPr>
          <w:tab/>
        </w:r>
        <w:r w:rsidR="0065539B">
          <w:rPr>
            <w:noProof/>
            <w:webHidden/>
          </w:rPr>
          <w:fldChar w:fldCharType="begin"/>
        </w:r>
        <w:r w:rsidR="0065539B">
          <w:rPr>
            <w:noProof/>
            <w:webHidden/>
          </w:rPr>
          <w:instrText xml:space="preserve"> PAGEREF _Toc36186994 \h </w:instrText>
        </w:r>
        <w:r w:rsidR="0065539B">
          <w:rPr>
            <w:noProof/>
            <w:webHidden/>
          </w:rPr>
        </w:r>
        <w:r w:rsidR="0065539B">
          <w:rPr>
            <w:noProof/>
            <w:webHidden/>
          </w:rPr>
          <w:fldChar w:fldCharType="separate"/>
        </w:r>
        <w:r w:rsidR="0065539B">
          <w:rPr>
            <w:noProof/>
            <w:webHidden/>
          </w:rPr>
          <w:t>203</w:t>
        </w:r>
        <w:r w:rsidR="0065539B">
          <w:rPr>
            <w:noProof/>
            <w:webHidden/>
          </w:rPr>
          <w:fldChar w:fldCharType="end"/>
        </w:r>
      </w:hyperlink>
    </w:p>
    <w:p w14:paraId="398AFB80" w14:textId="44C74DF4" w:rsidR="0063055C" w:rsidRPr="00A77AF6" w:rsidRDefault="009A4EED" w:rsidP="00E276AA">
      <w:pPr>
        <w:rPr>
          <w:color w:val="2E74B5" w:themeColor="accent1" w:themeShade="BF"/>
        </w:rPr>
      </w:pPr>
      <w:r w:rsidRPr="00A77AF6">
        <w:fldChar w:fldCharType="end"/>
      </w:r>
    </w:p>
    <w:p w14:paraId="0D2D8A84" w14:textId="556AA3AF" w:rsidR="009A06B9" w:rsidRPr="00A77AF6" w:rsidRDefault="009A06B9" w:rsidP="0061663F">
      <w:pPr>
        <w:pStyle w:val="Heading1"/>
        <w:spacing w:after="120"/>
        <w:ind w:left="431" w:hanging="431"/>
        <w:rPr>
          <w:lang w:val="en-GB"/>
        </w:rPr>
      </w:pPr>
      <w:bookmarkStart w:id="2" w:name="_Toc36275024"/>
      <w:r w:rsidRPr="00A77AF6">
        <w:rPr>
          <w:lang w:val="en-GB"/>
        </w:rPr>
        <w:lastRenderedPageBreak/>
        <w:t xml:space="preserve">Ethics </w:t>
      </w:r>
      <w:r w:rsidR="00FD1631" w:rsidRPr="00A77AF6">
        <w:rPr>
          <w:lang w:val="en-GB"/>
        </w:rPr>
        <w:t xml:space="preserve">and Governance </w:t>
      </w:r>
      <w:r w:rsidRPr="00A77AF6">
        <w:rPr>
          <w:lang w:val="en-GB"/>
        </w:rPr>
        <w:t>in NHS project delivery</w:t>
      </w:r>
      <w:bookmarkEnd w:id="2"/>
      <w:r w:rsidRPr="00A77AF6">
        <w:rPr>
          <w:lang w:val="en-GB"/>
        </w:rPr>
        <w:t xml:space="preserve"> </w:t>
      </w:r>
    </w:p>
    <w:p w14:paraId="70069978" w14:textId="6C08CD50" w:rsidR="0021189F" w:rsidRPr="00A77AF6" w:rsidRDefault="0021189F" w:rsidP="0021189F">
      <w:pPr>
        <w:spacing w:line="360" w:lineRule="auto"/>
      </w:pPr>
      <w:r w:rsidRPr="00A77AF6">
        <w:t>Ethics and governance are fundamental components of public service</w:t>
      </w:r>
      <w:r w:rsidR="008C3A13" w:rsidRPr="00A77AF6">
        <w:t xml:space="preserve"> </w:t>
      </w:r>
      <w:r w:rsidRPr="00A77AF6">
        <w:t xml:space="preserve">because obedience to ethical values shows that an organization’s </w:t>
      </w:r>
      <w:r w:rsidR="004E38AA" w:rsidRPr="00A77AF6">
        <w:t>is behaving</w:t>
      </w:r>
      <w:r w:rsidRPr="00A77AF6">
        <w:t xml:space="preserve"> proper</w:t>
      </w:r>
      <w:r w:rsidR="004E38AA" w:rsidRPr="00A77AF6">
        <w:t>ly</w:t>
      </w:r>
      <w:r w:rsidRPr="00A77AF6">
        <w:t xml:space="preserve"> (</w:t>
      </w:r>
      <w:r w:rsidRPr="00A77AF6">
        <w:rPr>
          <w:rFonts w:cstheme="minorHAnsi"/>
          <w:color w:val="333333"/>
          <w:szCs w:val="20"/>
        </w:rPr>
        <w:t>Suchman, 1995 cited in Müller 2009).</w:t>
      </w:r>
      <w:r w:rsidRPr="00A77AF6">
        <w:rPr>
          <w:rFonts w:cstheme="minorHAnsi"/>
          <w:color w:val="333333"/>
          <w:szCs w:val="20"/>
          <w:shd w:val="clear" w:color="auto" w:fill="FFFFFF"/>
        </w:rPr>
        <w:t xml:space="preserve">  Ethical values are codified in the rules of corporate governance which set out actions </w:t>
      </w:r>
      <w:r w:rsidR="004E7DB7">
        <w:rPr>
          <w:rFonts w:cstheme="minorHAnsi"/>
          <w:color w:val="333333"/>
          <w:szCs w:val="20"/>
          <w:shd w:val="clear" w:color="auto" w:fill="FFFFFF"/>
        </w:rPr>
        <w:t xml:space="preserve">and behaviours </w:t>
      </w:r>
      <w:r w:rsidRPr="00A77AF6">
        <w:rPr>
          <w:rFonts w:cstheme="minorHAnsi"/>
          <w:color w:val="333333"/>
          <w:szCs w:val="20"/>
          <w:shd w:val="clear" w:color="auto" w:fill="FFFFFF"/>
        </w:rPr>
        <w:t xml:space="preserve">that must be followed </w:t>
      </w:r>
      <w:r w:rsidR="004E38AA" w:rsidRPr="00A77AF6">
        <w:rPr>
          <w:rFonts w:cstheme="minorHAnsi"/>
          <w:color w:val="333333"/>
          <w:szCs w:val="20"/>
          <w:shd w:val="clear" w:color="auto" w:fill="FFFFFF"/>
        </w:rPr>
        <w:t xml:space="preserve">by organisations </w:t>
      </w:r>
      <w:r w:rsidRPr="00A77AF6">
        <w:rPr>
          <w:rFonts w:cstheme="minorHAnsi"/>
          <w:color w:val="333333"/>
          <w:szCs w:val="20"/>
          <w:shd w:val="clear" w:color="auto" w:fill="FFFFFF"/>
        </w:rPr>
        <w:t xml:space="preserve">to show </w:t>
      </w:r>
      <w:r w:rsidR="004E38AA" w:rsidRPr="00A77AF6">
        <w:rPr>
          <w:rFonts w:cstheme="minorHAnsi"/>
          <w:color w:val="333333"/>
          <w:szCs w:val="20"/>
          <w:shd w:val="clear" w:color="auto" w:fill="FFFFFF"/>
        </w:rPr>
        <w:t xml:space="preserve">that they are </w:t>
      </w:r>
      <w:r w:rsidRPr="00A77AF6">
        <w:rPr>
          <w:rFonts w:cstheme="minorHAnsi"/>
          <w:color w:val="333333"/>
          <w:szCs w:val="20"/>
          <w:shd w:val="clear" w:color="auto" w:fill="FFFFFF"/>
        </w:rPr>
        <w:t xml:space="preserve">acting </w:t>
      </w:r>
      <w:r w:rsidR="004E38AA" w:rsidRPr="00A77AF6">
        <w:rPr>
          <w:rFonts w:cstheme="minorHAnsi"/>
          <w:color w:val="333333"/>
          <w:szCs w:val="20"/>
          <w:shd w:val="clear" w:color="auto" w:fill="FFFFFF"/>
        </w:rPr>
        <w:t>appropriately</w:t>
      </w:r>
      <w:r w:rsidRPr="00A77AF6">
        <w:rPr>
          <w:rFonts w:cstheme="minorHAnsi"/>
          <w:color w:val="333333"/>
          <w:szCs w:val="20"/>
          <w:shd w:val="clear" w:color="auto" w:fill="FFFFFF"/>
        </w:rPr>
        <w:t xml:space="preserve"> to give </w:t>
      </w:r>
      <w:r w:rsidR="004E7DB7">
        <w:rPr>
          <w:rFonts w:cstheme="minorHAnsi"/>
          <w:color w:val="333333"/>
          <w:szCs w:val="20"/>
          <w:shd w:val="clear" w:color="auto" w:fill="FFFFFF"/>
        </w:rPr>
        <w:t>them</w:t>
      </w:r>
      <w:r w:rsidRPr="00A77AF6">
        <w:rPr>
          <w:rFonts w:cstheme="minorHAnsi"/>
          <w:color w:val="333333"/>
          <w:szCs w:val="20"/>
          <w:shd w:val="clear" w:color="auto" w:fill="FFFFFF"/>
        </w:rPr>
        <w:t xml:space="preserve"> legitimacy</w:t>
      </w:r>
      <w:r w:rsidR="004E38AA" w:rsidRPr="00A77AF6">
        <w:rPr>
          <w:rFonts w:cstheme="minorHAnsi"/>
          <w:color w:val="333333"/>
          <w:szCs w:val="20"/>
          <w:shd w:val="clear" w:color="auto" w:fill="FFFFFF"/>
        </w:rPr>
        <w:t xml:space="preserve"> in the eyes of</w:t>
      </w:r>
      <w:r w:rsidR="004E7DB7">
        <w:rPr>
          <w:rFonts w:cstheme="minorHAnsi"/>
          <w:color w:val="333333"/>
          <w:szCs w:val="20"/>
          <w:shd w:val="clear" w:color="auto" w:fill="FFFFFF"/>
        </w:rPr>
        <w:t xml:space="preserve"> their</w:t>
      </w:r>
      <w:r w:rsidR="004E38AA" w:rsidRPr="00A77AF6">
        <w:rPr>
          <w:rFonts w:cstheme="minorHAnsi"/>
          <w:color w:val="333333"/>
          <w:szCs w:val="20"/>
          <w:shd w:val="clear" w:color="auto" w:fill="FFFFFF"/>
        </w:rPr>
        <w:t xml:space="preserve"> stakeholders. To that extent </w:t>
      </w:r>
      <w:r w:rsidRPr="00A77AF6">
        <w:rPr>
          <w:rFonts w:cstheme="minorHAnsi"/>
          <w:color w:val="333333"/>
          <w:szCs w:val="20"/>
          <w:shd w:val="clear" w:color="auto" w:fill="FFFFFF"/>
        </w:rPr>
        <w:t xml:space="preserve">ethics and governance are the guardians </w:t>
      </w:r>
      <w:r w:rsidR="009839A3" w:rsidRPr="00A77AF6">
        <w:rPr>
          <w:rFonts w:cstheme="minorHAnsi"/>
          <w:color w:val="333333"/>
          <w:szCs w:val="20"/>
          <w:shd w:val="clear" w:color="auto" w:fill="FFFFFF"/>
        </w:rPr>
        <w:t xml:space="preserve">of </w:t>
      </w:r>
      <w:r w:rsidR="004E38AA" w:rsidRPr="00A77AF6">
        <w:rPr>
          <w:rFonts w:cstheme="minorHAnsi"/>
          <w:color w:val="333333"/>
          <w:szCs w:val="20"/>
          <w:shd w:val="clear" w:color="auto" w:fill="FFFFFF"/>
        </w:rPr>
        <w:t xml:space="preserve">public confidence without which </w:t>
      </w:r>
      <w:r w:rsidRPr="00A77AF6">
        <w:rPr>
          <w:rFonts w:cstheme="minorHAnsi"/>
          <w:color w:val="333333"/>
          <w:szCs w:val="20"/>
          <w:shd w:val="clear" w:color="auto" w:fill="FFFFFF"/>
        </w:rPr>
        <w:t xml:space="preserve">legitimacy </w:t>
      </w:r>
      <w:r w:rsidR="004E38AA" w:rsidRPr="00A77AF6">
        <w:rPr>
          <w:rFonts w:cstheme="minorHAnsi"/>
          <w:color w:val="333333"/>
          <w:szCs w:val="20"/>
          <w:shd w:val="clear" w:color="auto" w:fill="FFFFFF"/>
        </w:rPr>
        <w:t xml:space="preserve">is undermined </w:t>
      </w:r>
      <w:r w:rsidRPr="00A77AF6">
        <w:rPr>
          <w:rFonts w:cstheme="minorHAnsi"/>
          <w:color w:val="333333"/>
          <w:szCs w:val="20"/>
          <w:shd w:val="clear" w:color="auto" w:fill="FFFFFF"/>
        </w:rPr>
        <w:t xml:space="preserve">(Christensen et al, 2007).  </w:t>
      </w:r>
    </w:p>
    <w:p w14:paraId="72A3F6A6" w14:textId="0CFD17BD" w:rsidR="0072565C" w:rsidRPr="00A77AF6" w:rsidRDefault="00695056" w:rsidP="005E05A1">
      <w:pPr>
        <w:spacing w:line="360" w:lineRule="auto"/>
        <w:rPr>
          <w:rFonts w:cstheme="minorHAnsi"/>
          <w:color w:val="333333"/>
          <w:szCs w:val="20"/>
          <w:shd w:val="clear" w:color="auto" w:fill="FFFFFF"/>
        </w:rPr>
      </w:pPr>
      <w:r w:rsidRPr="00A77AF6">
        <w:rPr>
          <w:rFonts w:cstheme="minorHAnsi"/>
          <w:color w:val="333333"/>
          <w:szCs w:val="20"/>
          <w:shd w:val="clear" w:color="auto" w:fill="FFFFFF"/>
        </w:rPr>
        <w:t>O</w:t>
      </w:r>
      <w:r w:rsidR="003D2A07" w:rsidRPr="00A77AF6">
        <w:rPr>
          <w:rFonts w:cstheme="minorHAnsi"/>
          <w:color w:val="333333"/>
          <w:szCs w:val="20"/>
          <w:shd w:val="clear" w:color="auto" w:fill="FFFFFF"/>
        </w:rPr>
        <w:t xml:space="preserve">rganisations </w:t>
      </w:r>
      <w:r w:rsidRPr="00A77AF6">
        <w:rPr>
          <w:rFonts w:cstheme="minorHAnsi"/>
          <w:color w:val="333333"/>
          <w:szCs w:val="20"/>
          <w:shd w:val="clear" w:color="auto" w:fill="FFFFFF"/>
        </w:rPr>
        <w:t xml:space="preserve">use projects </w:t>
      </w:r>
      <w:r w:rsidR="003D2A07" w:rsidRPr="00A77AF6">
        <w:rPr>
          <w:rFonts w:cstheme="minorHAnsi"/>
          <w:color w:val="333333"/>
          <w:szCs w:val="20"/>
          <w:shd w:val="clear" w:color="auto" w:fill="FFFFFF"/>
        </w:rPr>
        <w:t>to deliver strategic objectives</w:t>
      </w:r>
      <w:r w:rsidR="004E7DB7">
        <w:rPr>
          <w:rFonts w:cstheme="minorHAnsi"/>
          <w:color w:val="333333"/>
          <w:szCs w:val="20"/>
          <w:shd w:val="clear" w:color="auto" w:fill="FFFFFF"/>
        </w:rPr>
        <w:t>,</w:t>
      </w:r>
      <w:r w:rsidR="003D2A07" w:rsidRPr="00A77AF6">
        <w:rPr>
          <w:rFonts w:cstheme="minorHAnsi"/>
          <w:color w:val="333333"/>
          <w:szCs w:val="20"/>
          <w:shd w:val="clear" w:color="auto" w:fill="FFFFFF"/>
        </w:rPr>
        <w:t xml:space="preserve"> and </w:t>
      </w:r>
      <w:r w:rsidR="007723B3" w:rsidRPr="00A77AF6">
        <w:rPr>
          <w:rFonts w:cstheme="minorHAnsi"/>
          <w:color w:val="333333"/>
          <w:szCs w:val="20"/>
          <w:shd w:val="clear" w:color="auto" w:fill="FFFFFF"/>
        </w:rPr>
        <w:t>weak</w:t>
      </w:r>
      <w:r w:rsidR="003D2A07" w:rsidRPr="00A77AF6">
        <w:rPr>
          <w:rFonts w:cstheme="minorHAnsi"/>
          <w:color w:val="333333"/>
          <w:szCs w:val="20"/>
          <w:shd w:val="clear" w:color="auto" w:fill="FFFFFF"/>
        </w:rPr>
        <w:t xml:space="preserve"> </w:t>
      </w:r>
      <w:r w:rsidR="003D2A07" w:rsidRPr="00A77AF6">
        <w:t>ethical standards undermine the legitimacy of projects</w:t>
      </w:r>
      <w:r w:rsidR="00784B0A" w:rsidRPr="00A77AF6">
        <w:t xml:space="preserve"> and of </w:t>
      </w:r>
      <w:r w:rsidR="00F04AB1" w:rsidRPr="00A77AF6">
        <w:t xml:space="preserve">organisations themselves </w:t>
      </w:r>
      <w:sdt>
        <w:sdtPr>
          <w:id w:val="1815758417"/>
          <w:citation/>
        </w:sdtPr>
        <w:sdtEndPr/>
        <w:sdtContent>
          <w:r w:rsidR="000241CC" w:rsidRPr="00A77AF6">
            <w:fldChar w:fldCharType="begin"/>
          </w:r>
          <w:r w:rsidR="000241CC" w:rsidRPr="00A77AF6">
            <w:instrText xml:space="preserve"> CITATION APM183 \l 2057 </w:instrText>
          </w:r>
          <w:r w:rsidR="000241CC" w:rsidRPr="00A77AF6">
            <w:fldChar w:fldCharType="separate"/>
          </w:r>
          <w:r w:rsidR="000241CC" w:rsidRPr="00A77AF6">
            <w:t>(APM, 2018)</w:t>
          </w:r>
          <w:r w:rsidR="000241CC" w:rsidRPr="00A77AF6">
            <w:fldChar w:fldCharType="end"/>
          </w:r>
        </w:sdtContent>
      </w:sdt>
      <w:r w:rsidR="003D2A07" w:rsidRPr="00A77AF6">
        <w:t xml:space="preserve">.  The public sector has a responsibility to show that spends public resources wisely </w:t>
      </w:r>
      <w:r w:rsidR="003D2A07" w:rsidRPr="00A77AF6">
        <w:rPr>
          <w:rFonts w:cstheme="minorHAnsi"/>
          <w:color w:val="333333"/>
          <w:szCs w:val="20"/>
          <w:shd w:val="clear" w:color="auto" w:fill="FFFFFF"/>
        </w:rPr>
        <w:t xml:space="preserve">(Christensen et al, 2007) </w:t>
      </w:r>
      <w:r w:rsidR="003D2A07" w:rsidRPr="00A77AF6">
        <w:t xml:space="preserve">and the project management standards it follows are designed to support </w:t>
      </w:r>
      <w:r w:rsidR="007723B3" w:rsidRPr="00A77AF6">
        <w:t>it in this task</w:t>
      </w:r>
      <w:r w:rsidR="003D2A07" w:rsidRPr="00A77AF6">
        <w:t xml:space="preserve">.  Project management standards are provided by the UK government </w:t>
      </w:r>
      <w:r w:rsidR="007723B3" w:rsidRPr="00A77AF6">
        <w:t>and include the Treasury Green Book (2003 and 2018), the Capital Investment Manual (</w:t>
      </w:r>
      <w:r w:rsidR="004E7DB7">
        <w:t xml:space="preserve">CIM, </w:t>
      </w:r>
      <w:r w:rsidR="007723B3" w:rsidRPr="00A77AF6">
        <w:t>1994), PRINCE2™ and Gateway™  along with project management bodies such as the P</w:t>
      </w:r>
      <w:r w:rsidR="00433FF1">
        <w:t xml:space="preserve">roject </w:t>
      </w:r>
      <w:r w:rsidR="007723B3" w:rsidRPr="00A77AF6">
        <w:t>M</w:t>
      </w:r>
      <w:r w:rsidR="00433FF1">
        <w:t xml:space="preserve">anagement </w:t>
      </w:r>
      <w:r w:rsidR="007723B3" w:rsidRPr="00A77AF6">
        <w:t>I</w:t>
      </w:r>
      <w:r w:rsidR="00433FF1">
        <w:t>nstitute (PMI)</w:t>
      </w:r>
      <w:r w:rsidR="007723B3" w:rsidRPr="00A77AF6">
        <w:t xml:space="preserve"> which requires project personnel to act with integrity, honesty, respect, fairness and responsibility (PMI 2018).</w:t>
      </w:r>
      <w:r w:rsidR="007723B3" w:rsidRPr="00A77AF6">
        <w:rPr>
          <w:rFonts w:cstheme="minorHAnsi"/>
          <w:color w:val="333333"/>
          <w:szCs w:val="20"/>
          <w:shd w:val="clear" w:color="auto" w:fill="FFFFFF"/>
        </w:rPr>
        <w:t xml:space="preserve">   </w:t>
      </w:r>
      <w:r w:rsidR="009A06B9" w:rsidRPr="00A77AF6">
        <w:t xml:space="preserve">The public service imperatives of the NHS are therefore aligned with those of the project management professional </w:t>
      </w:r>
      <w:r w:rsidR="007723B3" w:rsidRPr="00A77AF6">
        <w:t>bodies and</w:t>
      </w:r>
      <w:r w:rsidR="009A06B9" w:rsidRPr="00A77AF6">
        <w:t xml:space="preserve"> means that decisions </w:t>
      </w:r>
      <w:r w:rsidR="008A460E" w:rsidRPr="00A77AF6">
        <w:t>and actions must be</w:t>
      </w:r>
      <w:r w:rsidR="009A06B9" w:rsidRPr="00A77AF6">
        <w:t xml:space="preserve"> subject to public scrutiny</w:t>
      </w:r>
      <w:r w:rsidR="007723B3" w:rsidRPr="00A77AF6">
        <w:t>, so that public confidence and the legitimacy of the NHS and the wider public sector are maintained</w:t>
      </w:r>
      <w:r w:rsidR="009A06B9" w:rsidRPr="00A77AF6">
        <w:t xml:space="preserve">. </w:t>
      </w:r>
      <w:r w:rsidR="00AF28C4" w:rsidRPr="00A77AF6">
        <w:t xml:space="preserve"> </w:t>
      </w:r>
    </w:p>
    <w:p w14:paraId="495949D2" w14:textId="4FF8FB9B" w:rsidR="00021669" w:rsidRPr="00A77AF6" w:rsidRDefault="007E359F" w:rsidP="00021669">
      <w:pPr>
        <w:pStyle w:val="Heading2"/>
        <w:spacing w:after="120"/>
      </w:pPr>
      <w:bookmarkStart w:id="3" w:name="_Toc36275025"/>
      <w:r w:rsidRPr="00A77AF6">
        <w:t>Gap in Knowledge and need for the study</w:t>
      </w:r>
      <w:bookmarkEnd w:id="3"/>
    </w:p>
    <w:p w14:paraId="58E8D0C7" w14:textId="04780B0C" w:rsidR="008A75A2" w:rsidRPr="00A77AF6" w:rsidRDefault="007723B3" w:rsidP="00DC029A">
      <w:pPr>
        <w:spacing w:line="360" w:lineRule="auto"/>
        <w:rPr>
          <w:rFonts w:cstheme="minorHAnsi"/>
        </w:rPr>
      </w:pPr>
      <w:r w:rsidRPr="00A77AF6">
        <w:rPr>
          <w:rFonts w:cstheme="minorHAnsi"/>
        </w:rPr>
        <w:t xml:space="preserve">Recent studies into </w:t>
      </w:r>
      <w:r w:rsidR="005E05A1" w:rsidRPr="00A77AF6">
        <w:rPr>
          <w:rFonts w:cstheme="minorHAnsi"/>
        </w:rPr>
        <w:t>CSF</w:t>
      </w:r>
      <w:r w:rsidRPr="00A77AF6">
        <w:rPr>
          <w:rFonts w:cstheme="minorHAnsi"/>
        </w:rPr>
        <w:t>s</w:t>
      </w:r>
      <w:r w:rsidR="005E05A1" w:rsidRPr="00A77AF6">
        <w:rPr>
          <w:rFonts w:cstheme="minorHAnsi"/>
        </w:rPr>
        <w:t xml:space="preserve"> </w:t>
      </w:r>
      <w:r w:rsidR="002B070D" w:rsidRPr="00A77AF6">
        <w:rPr>
          <w:rFonts w:cstheme="minorHAnsi"/>
        </w:rPr>
        <w:t>ha</w:t>
      </w:r>
      <w:r w:rsidRPr="00A77AF6">
        <w:rPr>
          <w:rFonts w:cstheme="minorHAnsi"/>
        </w:rPr>
        <w:t xml:space="preserve">ve </w:t>
      </w:r>
      <w:r w:rsidR="002B070D" w:rsidRPr="00A77AF6">
        <w:rPr>
          <w:rFonts w:cstheme="minorHAnsi"/>
        </w:rPr>
        <w:t>examined whether governance can be included.  The A</w:t>
      </w:r>
      <w:r w:rsidR="00433FF1">
        <w:rPr>
          <w:rFonts w:cstheme="minorHAnsi"/>
        </w:rPr>
        <w:t xml:space="preserve">ssociation for Project </w:t>
      </w:r>
      <w:r w:rsidR="00433FF1" w:rsidRPr="00A77AF6">
        <w:rPr>
          <w:rFonts w:cstheme="minorHAnsi"/>
        </w:rPr>
        <w:t>M</w:t>
      </w:r>
      <w:r w:rsidR="00433FF1">
        <w:rPr>
          <w:rFonts w:cstheme="minorHAnsi"/>
        </w:rPr>
        <w:t>anagement (APM)</w:t>
      </w:r>
      <w:r w:rsidR="002B070D" w:rsidRPr="00A77AF6">
        <w:rPr>
          <w:rFonts w:cstheme="minorHAnsi"/>
        </w:rPr>
        <w:t xml:space="preserve"> (2015) suggested that governance is one of the most important factors for project success</w:t>
      </w:r>
      <w:r w:rsidR="007816E8" w:rsidRPr="00A77AF6">
        <w:rPr>
          <w:rFonts w:cstheme="minorHAnsi"/>
        </w:rPr>
        <w:t xml:space="preserve">. Moderate correlations were found </w:t>
      </w:r>
      <w:r w:rsidR="004C53F7" w:rsidRPr="00A77AF6">
        <w:rPr>
          <w:rFonts w:cstheme="minorHAnsi"/>
        </w:rPr>
        <w:t xml:space="preserve">between </w:t>
      </w:r>
      <w:r w:rsidR="007816E8" w:rsidRPr="00A77AF6">
        <w:rPr>
          <w:rFonts w:cstheme="minorHAnsi"/>
        </w:rPr>
        <w:t xml:space="preserve">effective governance and delivery to time, cost, specification, stakeholder satisfaction and overall project success </w:t>
      </w:r>
      <w:sdt>
        <w:sdtPr>
          <w:rPr>
            <w:rFonts w:cstheme="minorHAnsi"/>
          </w:rPr>
          <w:id w:val="2040383058"/>
          <w:citation/>
        </w:sdtPr>
        <w:sdtEndPr/>
        <w:sdtContent>
          <w:r w:rsidR="007816E8" w:rsidRPr="00A77AF6">
            <w:rPr>
              <w:rFonts w:cstheme="minorHAnsi"/>
            </w:rPr>
            <w:fldChar w:fldCharType="begin"/>
          </w:r>
          <w:r w:rsidR="007816E8" w:rsidRPr="00A77AF6">
            <w:rPr>
              <w:rFonts w:cstheme="minorHAnsi"/>
            </w:rPr>
            <w:instrText xml:space="preserve"> CITATION BMG14 \l 2057 </w:instrText>
          </w:r>
          <w:r w:rsidR="007816E8" w:rsidRPr="00A77AF6">
            <w:rPr>
              <w:rFonts w:cstheme="minorHAnsi"/>
            </w:rPr>
            <w:fldChar w:fldCharType="separate"/>
          </w:r>
          <w:r w:rsidR="008E653F" w:rsidRPr="00A77AF6">
            <w:rPr>
              <w:rFonts w:cstheme="minorHAnsi"/>
            </w:rPr>
            <w:t>(APM, 2014)</w:t>
          </w:r>
          <w:r w:rsidR="007816E8" w:rsidRPr="00A77AF6">
            <w:rPr>
              <w:rFonts w:cstheme="minorHAnsi"/>
            </w:rPr>
            <w:fldChar w:fldCharType="end"/>
          </w:r>
        </w:sdtContent>
      </w:sdt>
      <w:r w:rsidR="007816E8" w:rsidRPr="00A77AF6">
        <w:rPr>
          <w:rFonts w:cstheme="minorHAnsi"/>
        </w:rPr>
        <w:t xml:space="preserve">.  </w:t>
      </w:r>
      <w:r w:rsidR="008F756D" w:rsidRPr="00A77AF6">
        <w:rPr>
          <w:rFonts w:cstheme="minorHAnsi"/>
        </w:rPr>
        <w:t xml:space="preserve">The </w:t>
      </w:r>
      <w:r w:rsidR="008A75A2" w:rsidRPr="00A77AF6">
        <w:rPr>
          <w:rFonts w:cstheme="minorHAnsi"/>
        </w:rPr>
        <w:t>APM</w:t>
      </w:r>
      <w:r w:rsidRPr="00A77AF6">
        <w:rPr>
          <w:rFonts w:cstheme="minorHAnsi"/>
        </w:rPr>
        <w:t xml:space="preserve"> studies</w:t>
      </w:r>
      <w:r w:rsidR="004E7DB7">
        <w:rPr>
          <w:rFonts w:cstheme="minorHAnsi"/>
        </w:rPr>
        <w:t xml:space="preserve"> and </w:t>
      </w:r>
      <w:r w:rsidR="008F756D" w:rsidRPr="00A77AF6">
        <w:rPr>
          <w:rFonts w:cstheme="minorHAnsi"/>
        </w:rPr>
        <w:t>publications</w:t>
      </w:r>
      <w:r w:rsidR="008A75A2" w:rsidRPr="00A77AF6">
        <w:rPr>
          <w:rFonts w:cstheme="minorHAnsi"/>
        </w:rPr>
        <w:t xml:space="preserve"> </w:t>
      </w:r>
      <w:r w:rsidRPr="00A77AF6">
        <w:rPr>
          <w:rFonts w:cstheme="minorHAnsi"/>
        </w:rPr>
        <w:t>by</w:t>
      </w:r>
      <w:r w:rsidR="008A75A2" w:rsidRPr="00A77AF6">
        <w:rPr>
          <w:rFonts w:cstheme="minorHAnsi"/>
        </w:rPr>
        <w:t xml:space="preserve"> other</w:t>
      </w:r>
      <w:r w:rsidR="00CF1A84" w:rsidRPr="00A77AF6">
        <w:rPr>
          <w:rFonts w:cstheme="minorHAnsi"/>
        </w:rPr>
        <w:t xml:space="preserve">s </w:t>
      </w:r>
      <w:r w:rsidR="008A75A2" w:rsidRPr="00A77AF6">
        <w:rPr>
          <w:rFonts w:cstheme="minorHAnsi"/>
        </w:rPr>
        <w:t xml:space="preserve">such as the HM Treasury (2007), Office of </w:t>
      </w:r>
      <w:r w:rsidR="00CF1A84" w:rsidRPr="00A77AF6">
        <w:rPr>
          <w:rFonts w:cstheme="minorHAnsi"/>
        </w:rPr>
        <w:t>Government</w:t>
      </w:r>
      <w:r w:rsidR="008A75A2" w:rsidRPr="00A77AF6">
        <w:rPr>
          <w:rFonts w:cstheme="minorHAnsi"/>
        </w:rPr>
        <w:t xml:space="preserve"> Commerce (OGC) (2011), ISO (2012) </w:t>
      </w:r>
      <w:r w:rsidRPr="00A77AF6">
        <w:rPr>
          <w:rFonts w:cstheme="minorHAnsi"/>
        </w:rPr>
        <w:t xml:space="preserve">and </w:t>
      </w:r>
      <w:r w:rsidR="008A75A2" w:rsidRPr="00A77AF6">
        <w:rPr>
          <w:rFonts w:cstheme="minorHAnsi"/>
        </w:rPr>
        <w:t>profession</w:t>
      </w:r>
      <w:r w:rsidRPr="00A77AF6">
        <w:rPr>
          <w:rFonts w:cstheme="minorHAnsi"/>
        </w:rPr>
        <w:t>-</w:t>
      </w:r>
      <w:r w:rsidR="008A75A2" w:rsidRPr="00A77AF6">
        <w:rPr>
          <w:rFonts w:cstheme="minorHAnsi"/>
        </w:rPr>
        <w:t>specific</w:t>
      </w:r>
      <w:r w:rsidR="00CF1A84" w:rsidRPr="00A77AF6">
        <w:rPr>
          <w:rFonts w:cstheme="minorHAnsi"/>
        </w:rPr>
        <w:t xml:space="preserve"> groups such as CIOB and PMI</w:t>
      </w:r>
      <w:r w:rsidR="008A75A2" w:rsidRPr="00A77AF6">
        <w:rPr>
          <w:rFonts w:cstheme="minorHAnsi"/>
        </w:rPr>
        <w:t xml:space="preserve"> </w:t>
      </w:r>
      <w:r w:rsidR="00CF1A84" w:rsidRPr="00A77AF6">
        <w:rPr>
          <w:rFonts w:cstheme="minorHAnsi"/>
        </w:rPr>
        <w:t>suggest</w:t>
      </w:r>
      <w:r w:rsidR="004E7DB7">
        <w:rPr>
          <w:rFonts w:cstheme="minorHAnsi"/>
        </w:rPr>
        <w:t>s</w:t>
      </w:r>
      <w:r w:rsidR="008A75A2" w:rsidRPr="00A77AF6">
        <w:rPr>
          <w:rFonts w:cstheme="minorHAnsi"/>
        </w:rPr>
        <w:t xml:space="preserve"> that there is </w:t>
      </w:r>
      <w:r w:rsidR="008F756D" w:rsidRPr="00A77AF6">
        <w:rPr>
          <w:rFonts w:cstheme="minorHAnsi"/>
        </w:rPr>
        <w:t xml:space="preserve">a belief that </w:t>
      </w:r>
      <w:r w:rsidR="008A75A2" w:rsidRPr="00A77AF6">
        <w:rPr>
          <w:rFonts w:cstheme="minorHAnsi"/>
        </w:rPr>
        <w:t xml:space="preserve">good governance leads to </w:t>
      </w:r>
      <w:r w:rsidR="00CF1A84" w:rsidRPr="00A77AF6">
        <w:rPr>
          <w:rFonts w:cstheme="minorHAnsi"/>
        </w:rPr>
        <w:t>successful</w:t>
      </w:r>
      <w:r w:rsidR="008A75A2" w:rsidRPr="00A77AF6">
        <w:rPr>
          <w:rFonts w:cstheme="minorHAnsi"/>
        </w:rPr>
        <w:t xml:space="preserve"> projects</w:t>
      </w:r>
      <w:r w:rsidR="00CF1A84" w:rsidRPr="00A77AF6">
        <w:rPr>
          <w:rFonts w:cstheme="minorHAnsi"/>
        </w:rPr>
        <w:t>. T</w:t>
      </w:r>
      <w:r w:rsidR="008A75A2" w:rsidRPr="00A77AF6">
        <w:rPr>
          <w:rFonts w:cstheme="minorHAnsi"/>
        </w:rPr>
        <w:t>his has not been</w:t>
      </w:r>
      <w:r w:rsidR="008F756D" w:rsidRPr="00A77AF6">
        <w:rPr>
          <w:rFonts w:cstheme="minorHAnsi"/>
        </w:rPr>
        <w:t xml:space="preserve"> shown </w:t>
      </w:r>
      <w:r w:rsidR="008A75A2" w:rsidRPr="00A77AF6">
        <w:rPr>
          <w:rFonts w:cstheme="minorHAnsi"/>
        </w:rPr>
        <w:t>in healthcare</w:t>
      </w:r>
      <w:r w:rsidRPr="00A77AF6">
        <w:rPr>
          <w:rFonts w:cstheme="minorHAnsi"/>
        </w:rPr>
        <w:t xml:space="preserve"> construction</w:t>
      </w:r>
      <w:r w:rsidR="008A75A2" w:rsidRPr="00A77AF6">
        <w:rPr>
          <w:rFonts w:cstheme="minorHAnsi"/>
        </w:rPr>
        <w:t xml:space="preserve"> projects and </w:t>
      </w:r>
      <w:r w:rsidR="00CF1A84" w:rsidRPr="00A77AF6">
        <w:rPr>
          <w:rFonts w:cstheme="minorHAnsi"/>
        </w:rPr>
        <w:t xml:space="preserve">so </w:t>
      </w:r>
      <w:r w:rsidR="008A75A2" w:rsidRPr="00A77AF6">
        <w:rPr>
          <w:rFonts w:cstheme="minorHAnsi"/>
        </w:rPr>
        <w:t>this study seeks to fil</w:t>
      </w:r>
      <w:r w:rsidRPr="00A77AF6">
        <w:rPr>
          <w:rFonts w:cstheme="minorHAnsi"/>
        </w:rPr>
        <w:t>l</w:t>
      </w:r>
      <w:r w:rsidR="008A75A2" w:rsidRPr="00A77AF6">
        <w:rPr>
          <w:rFonts w:cstheme="minorHAnsi"/>
        </w:rPr>
        <w:t xml:space="preserve"> the gap</w:t>
      </w:r>
      <w:r w:rsidR="008F756D" w:rsidRPr="00A77AF6">
        <w:rPr>
          <w:rFonts w:cstheme="minorHAnsi"/>
        </w:rPr>
        <w:t xml:space="preserve">.  </w:t>
      </w:r>
    </w:p>
    <w:p w14:paraId="481B55C5" w14:textId="25BC0B16" w:rsidR="00CF1A84" w:rsidRPr="00A77AF6" w:rsidRDefault="00CF1A84" w:rsidP="00DC029A">
      <w:pPr>
        <w:spacing w:line="360" w:lineRule="auto"/>
        <w:rPr>
          <w:rFonts w:cstheme="minorHAnsi"/>
        </w:rPr>
      </w:pPr>
      <w:r w:rsidRPr="00A77AF6">
        <w:rPr>
          <w:rFonts w:cstheme="minorHAnsi"/>
        </w:rPr>
        <w:t>E</w:t>
      </w:r>
      <w:r w:rsidR="00DC029A" w:rsidRPr="00A77AF6">
        <w:rPr>
          <w:rFonts w:cstheme="minorHAnsi"/>
        </w:rPr>
        <w:t xml:space="preserve">thical predisposition </w:t>
      </w:r>
      <w:r w:rsidR="008F3DBA" w:rsidRPr="00A77AF6">
        <w:rPr>
          <w:rFonts w:cstheme="minorHAnsi"/>
        </w:rPr>
        <w:t xml:space="preserve">for rules-following </w:t>
      </w:r>
      <w:r w:rsidR="00DC029A" w:rsidRPr="00A77AF6">
        <w:rPr>
          <w:rFonts w:cstheme="minorHAnsi"/>
        </w:rPr>
        <w:t xml:space="preserve">has been associated with good </w:t>
      </w:r>
      <w:r w:rsidR="008F3DBA" w:rsidRPr="00A77AF6">
        <w:rPr>
          <w:rFonts w:cstheme="minorHAnsi"/>
        </w:rPr>
        <w:t xml:space="preserve">employee </w:t>
      </w:r>
      <w:r w:rsidR="00DC029A" w:rsidRPr="00A77AF6">
        <w:rPr>
          <w:rFonts w:cstheme="minorHAnsi"/>
        </w:rPr>
        <w:t>behaviour and good governance</w:t>
      </w:r>
      <w:r w:rsidR="008F3DBA" w:rsidRPr="00A77AF6">
        <w:rPr>
          <w:rFonts w:cstheme="minorHAnsi"/>
        </w:rPr>
        <w:t xml:space="preserve"> in corporations</w:t>
      </w:r>
      <w:r w:rsidR="00DC029A" w:rsidRPr="00A77AF6">
        <w:rPr>
          <w:rFonts w:cstheme="minorHAnsi"/>
        </w:rPr>
        <w:t xml:space="preserve">. </w:t>
      </w:r>
      <w:r w:rsidR="005E05A1" w:rsidRPr="00A77AF6">
        <w:rPr>
          <w:rFonts w:cstheme="minorHAnsi"/>
        </w:rPr>
        <w:t xml:space="preserve">Similarly, project governance is based on codes of conduct, rules, protocols and processes. </w:t>
      </w:r>
      <w:r w:rsidR="008A75A2" w:rsidRPr="00A77AF6">
        <w:rPr>
          <w:rFonts w:cstheme="minorHAnsi"/>
        </w:rPr>
        <w:t xml:space="preserve"> </w:t>
      </w:r>
      <w:r w:rsidRPr="00A77AF6">
        <w:rPr>
          <w:rFonts w:cstheme="minorHAnsi"/>
        </w:rPr>
        <w:t xml:space="preserve">The ethical predisposition to </w:t>
      </w:r>
      <w:r w:rsidR="002D502C" w:rsidRPr="00A77AF6">
        <w:rPr>
          <w:rFonts w:cstheme="minorHAnsi"/>
        </w:rPr>
        <w:t>follow rule</w:t>
      </w:r>
      <w:r w:rsidRPr="00A77AF6">
        <w:rPr>
          <w:rFonts w:cstheme="minorHAnsi"/>
        </w:rPr>
        <w:t>s</w:t>
      </w:r>
      <w:r w:rsidR="002D502C" w:rsidRPr="00A77AF6">
        <w:rPr>
          <w:rFonts w:cstheme="minorHAnsi"/>
        </w:rPr>
        <w:t xml:space="preserve"> may lead to better </w:t>
      </w:r>
      <w:r w:rsidR="002D502C" w:rsidRPr="00A77AF6">
        <w:rPr>
          <w:rFonts w:cstheme="minorHAnsi"/>
        </w:rPr>
        <w:lastRenderedPageBreak/>
        <w:t>project outcomes,</w:t>
      </w:r>
      <w:r w:rsidRPr="00A77AF6">
        <w:rPr>
          <w:rFonts w:cstheme="minorHAnsi"/>
        </w:rPr>
        <w:t xml:space="preserve"> </w:t>
      </w:r>
      <w:r w:rsidR="005E05A1" w:rsidRPr="00A77AF6">
        <w:rPr>
          <w:rFonts w:cstheme="minorHAnsi"/>
        </w:rPr>
        <w:t>but this is not known</w:t>
      </w:r>
      <w:r w:rsidRPr="00A77AF6">
        <w:rPr>
          <w:rFonts w:cstheme="minorHAnsi"/>
        </w:rPr>
        <w:t xml:space="preserve"> and the role of ethical predisposition in successful delivery of projects has not previously been examined.  </w:t>
      </w:r>
    </w:p>
    <w:p w14:paraId="7A0CE245" w14:textId="12527163" w:rsidR="00033266" w:rsidRPr="00A77AF6" w:rsidRDefault="000B1FFA" w:rsidP="001C4A0A">
      <w:pPr>
        <w:pStyle w:val="Heading2"/>
        <w:spacing w:after="240"/>
      </w:pPr>
      <w:bookmarkStart w:id="4" w:name="_Toc36275026"/>
      <w:r w:rsidRPr="00A77AF6">
        <w:t>Rationale</w:t>
      </w:r>
      <w:bookmarkEnd w:id="4"/>
    </w:p>
    <w:p w14:paraId="76713F71" w14:textId="1064D25B" w:rsidR="001C4A0A" w:rsidRPr="00A77AF6" w:rsidRDefault="003C288D" w:rsidP="003C288D">
      <w:pPr>
        <w:spacing w:line="360" w:lineRule="auto"/>
      </w:pPr>
      <w:r w:rsidRPr="00A77AF6">
        <w:t>The NHS is a significant con</w:t>
      </w:r>
      <w:r w:rsidR="00CF1A84" w:rsidRPr="00A77AF6">
        <w:t xml:space="preserve">sumer </w:t>
      </w:r>
      <w:r w:rsidRPr="00A77AF6">
        <w:t>of construction services</w:t>
      </w:r>
      <w:r w:rsidR="00CF1A84" w:rsidRPr="00A77AF6">
        <w:t xml:space="preserve">, </w:t>
      </w:r>
      <w:r w:rsidRPr="00A77AF6">
        <w:t xml:space="preserve">it </w:t>
      </w:r>
      <w:r w:rsidR="00AE7DC2" w:rsidRPr="00A77AF6">
        <w:t>is</w:t>
      </w:r>
      <w:r w:rsidRPr="00A77AF6">
        <w:t xml:space="preserve"> the largest adopter of PFI projects </w:t>
      </w:r>
      <w:r w:rsidR="00CF1A84" w:rsidRPr="00A77AF6">
        <w:t xml:space="preserve">across government </w:t>
      </w:r>
      <w:r w:rsidRPr="00A77AF6">
        <w:t>by value, it has a large estate which requires maintenance and renewal</w:t>
      </w:r>
      <w:r w:rsidR="002A01BE">
        <w:t xml:space="preserve"> and </w:t>
      </w:r>
      <w:r w:rsidRPr="00A77AF6">
        <w:t xml:space="preserve">it has been explicitly </w:t>
      </w:r>
      <w:r w:rsidR="002A01BE">
        <w:t xml:space="preserve">instructed to avoid poor project management. </w:t>
      </w:r>
      <w:r w:rsidR="004E7DB7">
        <w:t>NHS construction projects have</w:t>
      </w:r>
      <w:r w:rsidRPr="00A77AF6">
        <w:t xml:space="preserve"> not been well-researched</w:t>
      </w:r>
      <w:r w:rsidR="00CF1A84" w:rsidRPr="00A77AF6">
        <w:t xml:space="preserve"> in the specific area of the relationship between ethical predisposition, governance and project success.  </w:t>
      </w:r>
      <w:r w:rsidR="00A250F8" w:rsidRPr="00A77AF6">
        <w:t xml:space="preserve"> </w:t>
      </w:r>
    </w:p>
    <w:p w14:paraId="03BCC660" w14:textId="41CDE98E" w:rsidR="00785358" w:rsidRPr="00A77AF6" w:rsidRDefault="00785358" w:rsidP="00785358">
      <w:pPr>
        <w:pStyle w:val="Heading3"/>
        <w:spacing w:after="120"/>
      </w:pPr>
      <w:bookmarkStart w:id="5" w:name="_Toc36275027"/>
      <w:r w:rsidRPr="00A77AF6">
        <w:t>Significant expenditure on NHS construction projects</w:t>
      </w:r>
      <w:bookmarkEnd w:id="5"/>
    </w:p>
    <w:p w14:paraId="409756D6" w14:textId="0F99E7FA" w:rsidR="00A250F8" w:rsidRPr="00A77AF6" w:rsidRDefault="00E77065" w:rsidP="00AE7DC2">
      <w:pPr>
        <w:spacing w:after="0" w:line="360" w:lineRule="auto"/>
        <w:rPr>
          <w:rFonts w:cstheme="minorHAnsi"/>
        </w:rPr>
      </w:pPr>
      <w:r w:rsidRPr="00A77AF6">
        <w:t xml:space="preserve">The UK construction industry accounts for approximately 7% of the country’s GDP </w:t>
      </w:r>
      <w:sdt>
        <w:sdtPr>
          <w:rPr>
            <w:b/>
          </w:rPr>
          <w:id w:val="-192548123"/>
          <w:citation/>
        </w:sdtPr>
        <w:sdtEndPr/>
        <w:sdtContent>
          <w:r w:rsidRPr="00A77AF6">
            <w:rPr>
              <w:b/>
            </w:rPr>
            <w:fldChar w:fldCharType="begin"/>
          </w:r>
          <w:r w:rsidRPr="00A77AF6">
            <w:instrText xml:space="preserve"> CITATION Cab11 \l 2057 </w:instrText>
          </w:r>
          <w:r w:rsidRPr="00A77AF6">
            <w:rPr>
              <w:b/>
            </w:rPr>
            <w:fldChar w:fldCharType="separate"/>
          </w:r>
          <w:r w:rsidR="008E653F" w:rsidRPr="00A77AF6">
            <w:t>(Cabinet Office, 2011)</w:t>
          </w:r>
          <w:r w:rsidRPr="00A77AF6">
            <w:rPr>
              <w:b/>
            </w:rPr>
            <w:fldChar w:fldCharType="end"/>
          </w:r>
        </w:sdtContent>
      </w:sdt>
      <w:r w:rsidR="009D1AC2" w:rsidRPr="00A77AF6">
        <w:rPr>
          <w:b/>
        </w:rPr>
        <w:t xml:space="preserve"> </w:t>
      </w:r>
      <w:r w:rsidR="009D1AC2" w:rsidRPr="00A77AF6">
        <w:rPr>
          <w:bCs/>
        </w:rPr>
        <w:t>and the public sector accounts for</w:t>
      </w:r>
      <w:r w:rsidR="009D1AC2" w:rsidRPr="00A77AF6">
        <w:rPr>
          <w:b/>
        </w:rPr>
        <w:t xml:space="preserve"> </w:t>
      </w:r>
      <w:r w:rsidR="009D1AC2" w:rsidRPr="00A77AF6">
        <w:rPr>
          <w:bCs/>
        </w:rPr>
        <w:t xml:space="preserve">approximately </w:t>
      </w:r>
      <w:r w:rsidR="000C7D9C" w:rsidRPr="00A77AF6">
        <w:rPr>
          <w:bCs/>
        </w:rPr>
        <w:t>one third</w:t>
      </w:r>
      <w:r w:rsidR="009D1AC2" w:rsidRPr="00A77AF6">
        <w:rPr>
          <w:bCs/>
        </w:rPr>
        <w:t xml:space="preserve"> of business for the construction industry </w:t>
      </w:r>
      <w:sdt>
        <w:sdtPr>
          <w:rPr>
            <w:bCs/>
          </w:rPr>
          <w:id w:val="135076628"/>
          <w:citation/>
        </w:sdtPr>
        <w:sdtEndPr/>
        <w:sdtContent>
          <w:r w:rsidR="000C7D9C" w:rsidRPr="00A77AF6">
            <w:rPr>
              <w:bCs/>
            </w:rPr>
            <w:fldChar w:fldCharType="begin"/>
          </w:r>
          <w:r w:rsidR="000C7D9C" w:rsidRPr="00A77AF6">
            <w:rPr>
              <w:bCs/>
            </w:rPr>
            <w:instrText xml:space="preserve"> CITATION HMG13 \l 2057 </w:instrText>
          </w:r>
          <w:r w:rsidR="000C7D9C" w:rsidRPr="00A77AF6">
            <w:rPr>
              <w:bCs/>
            </w:rPr>
            <w:fldChar w:fldCharType="separate"/>
          </w:r>
          <w:r w:rsidR="008E653F" w:rsidRPr="00A77AF6">
            <w:t>(HM Government, 2013)</w:t>
          </w:r>
          <w:r w:rsidR="000C7D9C" w:rsidRPr="00A77AF6">
            <w:rPr>
              <w:bCs/>
            </w:rPr>
            <w:fldChar w:fldCharType="end"/>
          </w:r>
        </w:sdtContent>
      </w:sdt>
      <w:r w:rsidR="000C7D9C" w:rsidRPr="00A77AF6">
        <w:rPr>
          <w:bCs/>
        </w:rPr>
        <w:t xml:space="preserve">.  </w:t>
      </w:r>
      <w:r w:rsidR="00AE7DC2" w:rsidRPr="00A77AF6">
        <w:rPr>
          <w:bCs/>
        </w:rPr>
        <w:t xml:space="preserve">The </w:t>
      </w:r>
      <w:r w:rsidR="00AE7DC2" w:rsidRPr="00A77AF6">
        <w:rPr>
          <w:rFonts w:cstheme="minorHAnsi"/>
        </w:rPr>
        <w:t xml:space="preserve">NHS has procured 123 schemes through the PFI initiative with a capital value of </w:t>
      </w:r>
      <w:r w:rsidR="00F843BD" w:rsidRPr="00A77AF6">
        <w:rPr>
          <w:rFonts w:cstheme="minorHAnsi"/>
        </w:rPr>
        <w:t xml:space="preserve">12,082.9 million (HMT, 2014). </w:t>
      </w:r>
      <w:r w:rsidR="00B70432" w:rsidRPr="00A77AF6">
        <w:rPr>
          <w:rFonts w:cstheme="minorHAnsi"/>
        </w:rPr>
        <w:t xml:space="preserve"> </w:t>
      </w:r>
      <w:r w:rsidR="00AE7DC2" w:rsidRPr="00A77AF6">
        <w:rPr>
          <w:rFonts w:cstheme="minorHAnsi"/>
        </w:rPr>
        <w:t>B</w:t>
      </w:r>
      <w:r w:rsidR="00B70432" w:rsidRPr="00A77AF6">
        <w:rPr>
          <w:rFonts w:cstheme="minorHAnsi"/>
        </w:rPr>
        <w:t>y 2049-50 the cost of PFI projects alone will have been £</w:t>
      </w:r>
      <w:r w:rsidR="00B70432" w:rsidRPr="00A77AF6">
        <w:rPr>
          <w:rFonts w:ascii="Calibri" w:eastAsia="Times New Roman" w:hAnsi="Calibri" w:cs="Times New Roman"/>
          <w:bCs/>
          <w:color w:val="000000"/>
          <w:lang w:eastAsia="en-GB"/>
        </w:rPr>
        <w:t>232,484</w:t>
      </w:r>
      <w:r w:rsidR="00B70432" w:rsidRPr="00A77AF6">
        <w:rPr>
          <w:rFonts w:cstheme="minorHAnsi"/>
        </w:rPr>
        <w:t xml:space="preserve"> million (Figure </w:t>
      </w:r>
      <w:r w:rsidR="00AE7DC2" w:rsidRPr="00A77AF6">
        <w:rPr>
          <w:rFonts w:cstheme="minorHAnsi"/>
        </w:rPr>
        <w:t>1</w:t>
      </w:r>
      <w:r w:rsidR="00B70432" w:rsidRPr="00A77AF6">
        <w:rPr>
          <w:rFonts w:cstheme="minorHAnsi"/>
        </w:rPr>
        <w:t>-1)</w:t>
      </w:r>
      <w:r w:rsidR="00AE7DC2" w:rsidRPr="00A77AF6">
        <w:rPr>
          <w:rFonts w:cstheme="minorHAnsi"/>
        </w:rPr>
        <w:t xml:space="preserve">.  </w:t>
      </w:r>
      <w:r w:rsidR="00F843BD" w:rsidRPr="00A77AF6">
        <w:rPr>
          <w:rFonts w:cstheme="minorHAnsi"/>
        </w:rPr>
        <w:t>Th</w:t>
      </w:r>
      <w:r w:rsidR="00AE7DC2" w:rsidRPr="00A77AF6">
        <w:rPr>
          <w:rFonts w:cstheme="minorHAnsi"/>
        </w:rPr>
        <w:t xml:space="preserve">ese figures </w:t>
      </w:r>
      <w:r w:rsidR="00F843BD" w:rsidRPr="00A77AF6">
        <w:rPr>
          <w:rFonts w:cstheme="minorHAnsi"/>
        </w:rPr>
        <w:t xml:space="preserve">exclude costs incurred by the public sector for their project management </w:t>
      </w:r>
      <w:r w:rsidR="002A01BE">
        <w:rPr>
          <w:rFonts w:cstheme="minorHAnsi"/>
        </w:rPr>
        <w:t xml:space="preserve">and </w:t>
      </w:r>
      <w:r w:rsidR="00B70432" w:rsidRPr="00A77AF6">
        <w:rPr>
          <w:rFonts w:cstheme="minorHAnsi"/>
        </w:rPr>
        <w:t xml:space="preserve">the cost of </w:t>
      </w:r>
      <w:r w:rsidR="00F843BD" w:rsidRPr="00A77AF6">
        <w:rPr>
          <w:rFonts w:cstheme="minorHAnsi"/>
        </w:rPr>
        <w:t>administrating the contracts in the operational phase</w:t>
      </w:r>
      <w:r w:rsidR="00B70432" w:rsidRPr="00A77AF6">
        <w:rPr>
          <w:rFonts w:cstheme="minorHAnsi"/>
        </w:rPr>
        <w:t xml:space="preserve">. </w:t>
      </w:r>
      <w:r w:rsidR="00F843BD" w:rsidRPr="00A77AF6">
        <w:rPr>
          <w:rFonts w:cstheme="minorHAnsi"/>
        </w:rPr>
        <w:t xml:space="preserve">  </w:t>
      </w:r>
      <w:r w:rsidR="00AE7DC2" w:rsidRPr="00A77AF6">
        <w:rPr>
          <w:rFonts w:cstheme="minorHAnsi"/>
        </w:rPr>
        <w:t xml:space="preserve">In addition </w:t>
      </w:r>
      <w:r w:rsidR="00B70432" w:rsidRPr="00A77AF6">
        <w:t xml:space="preserve">the NHS spent </w:t>
      </w:r>
      <w:r w:rsidR="00B70432" w:rsidRPr="00A77AF6">
        <w:rPr>
          <w:rFonts w:cstheme="minorHAnsi"/>
        </w:rPr>
        <w:t xml:space="preserve">£2,137 million on capital investment in buildings alone in 2015/16 </w:t>
      </w:r>
      <w:sdt>
        <w:sdtPr>
          <w:rPr>
            <w:rFonts w:cstheme="minorHAnsi"/>
          </w:rPr>
          <w:id w:val="1281222829"/>
          <w:citation/>
        </w:sdtPr>
        <w:sdtEndPr/>
        <w:sdtContent>
          <w:r w:rsidR="00B70432" w:rsidRPr="00A77AF6">
            <w:rPr>
              <w:rFonts w:cstheme="minorHAnsi"/>
            </w:rPr>
            <w:fldChar w:fldCharType="begin"/>
          </w:r>
          <w:r w:rsidR="00B70432" w:rsidRPr="00A77AF6">
            <w:rPr>
              <w:rFonts w:cstheme="minorHAnsi"/>
            </w:rPr>
            <w:instrText xml:space="preserve"> CITATION NHS171 \l 2057 </w:instrText>
          </w:r>
          <w:r w:rsidR="00B70432" w:rsidRPr="00A77AF6">
            <w:rPr>
              <w:rFonts w:cstheme="minorHAnsi"/>
            </w:rPr>
            <w:fldChar w:fldCharType="separate"/>
          </w:r>
          <w:r w:rsidR="008E653F" w:rsidRPr="00A77AF6">
            <w:rPr>
              <w:rFonts w:cstheme="minorHAnsi"/>
            </w:rPr>
            <w:t>(NHS Digital, 2017)</w:t>
          </w:r>
          <w:r w:rsidR="00B70432" w:rsidRPr="00A77AF6">
            <w:rPr>
              <w:rFonts w:cstheme="minorHAnsi"/>
            </w:rPr>
            <w:fldChar w:fldCharType="end"/>
          </w:r>
        </w:sdtContent>
      </w:sdt>
      <w:r w:rsidR="00B70432" w:rsidRPr="00A77AF6">
        <w:rPr>
          <w:rFonts w:cstheme="minorHAnsi"/>
        </w:rPr>
        <w:t xml:space="preserve"> and will incur recurrent capital costs every year.  </w:t>
      </w:r>
    </w:p>
    <w:p w14:paraId="16AA2E40" w14:textId="68F6B70E" w:rsidR="0056083A" w:rsidRPr="00A77AF6" w:rsidRDefault="0056083A">
      <w:pPr>
        <w:rPr>
          <w:rFonts w:cstheme="minorHAnsi"/>
        </w:rPr>
      </w:pPr>
      <w:r w:rsidRPr="00A77AF6">
        <w:rPr>
          <w:rFonts w:cstheme="minorHAnsi"/>
        </w:rPr>
        <w:br w:type="page"/>
      </w:r>
    </w:p>
    <w:tbl>
      <w:tblPr>
        <w:tblW w:w="7587" w:type="dxa"/>
        <w:tblBorders>
          <w:top w:val="single" w:sz="12" w:space="0" w:color="CC3300"/>
          <w:left w:val="single" w:sz="12" w:space="0" w:color="CC3300"/>
          <w:bottom w:val="single" w:sz="12" w:space="0" w:color="CC3300"/>
          <w:right w:val="single" w:sz="12" w:space="0" w:color="CC3300"/>
        </w:tblBorders>
        <w:tblLayout w:type="fixed"/>
        <w:tblLook w:val="04A0" w:firstRow="1" w:lastRow="0" w:firstColumn="1" w:lastColumn="0" w:noHBand="0" w:noVBand="1"/>
      </w:tblPr>
      <w:tblGrid>
        <w:gridCol w:w="1896"/>
        <w:gridCol w:w="1897"/>
        <w:gridCol w:w="1897"/>
        <w:gridCol w:w="1897"/>
      </w:tblGrid>
      <w:tr w:rsidR="00A250F8" w:rsidRPr="00A77AF6" w14:paraId="0C8B8DE6" w14:textId="77777777" w:rsidTr="00F20FAB">
        <w:trPr>
          <w:trHeight w:val="300"/>
        </w:trPr>
        <w:tc>
          <w:tcPr>
            <w:tcW w:w="1896" w:type="dxa"/>
            <w:shd w:val="clear" w:color="auto" w:fill="FFCCCC"/>
            <w:noWrap/>
            <w:vAlign w:val="bottom"/>
            <w:hideMark/>
          </w:tcPr>
          <w:p w14:paraId="0CBFB887"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lastRenderedPageBreak/>
              <w:t>Year</w:t>
            </w:r>
          </w:p>
        </w:tc>
        <w:tc>
          <w:tcPr>
            <w:tcW w:w="1897" w:type="dxa"/>
            <w:shd w:val="clear" w:color="auto" w:fill="FFCCCC"/>
            <w:noWrap/>
            <w:vAlign w:val="bottom"/>
            <w:hideMark/>
          </w:tcPr>
          <w:p w14:paraId="3216BE47"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Unitary charge/ £m</w:t>
            </w:r>
          </w:p>
        </w:tc>
        <w:tc>
          <w:tcPr>
            <w:tcW w:w="1897" w:type="dxa"/>
            <w:shd w:val="clear" w:color="auto" w:fill="FFCCCC"/>
            <w:noWrap/>
            <w:vAlign w:val="bottom"/>
            <w:hideMark/>
          </w:tcPr>
          <w:p w14:paraId="2D8E7C37"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Year</w:t>
            </w:r>
          </w:p>
        </w:tc>
        <w:tc>
          <w:tcPr>
            <w:tcW w:w="1897" w:type="dxa"/>
            <w:shd w:val="clear" w:color="auto" w:fill="FFCCCC"/>
            <w:noWrap/>
            <w:vAlign w:val="bottom"/>
            <w:hideMark/>
          </w:tcPr>
          <w:p w14:paraId="4E401C53"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Unitary charge/ £m</w:t>
            </w:r>
          </w:p>
        </w:tc>
      </w:tr>
      <w:tr w:rsidR="00A250F8" w:rsidRPr="00A77AF6" w14:paraId="4D30184F" w14:textId="77777777" w:rsidTr="00F20FAB">
        <w:trPr>
          <w:trHeight w:val="300"/>
        </w:trPr>
        <w:tc>
          <w:tcPr>
            <w:tcW w:w="1896" w:type="dxa"/>
            <w:shd w:val="clear" w:color="auto" w:fill="auto"/>
            <w:noWrap/>
            <w:vAlign w:val="bottom"/>
            <w:hideMark/>
          </w:tcPr>
          <w:p w14:paraId="60CF59B0"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2014-15</w:t>
            </w:r>
          </w:p>
        </w:tc>
        <w:tc>
          <w:tcPr>
            <w:tcW w:w="1897" w:type="dxa"/>
            <w:shd w:val="clear" w:color="auto" w:fill="auto"/>
            <w:noWrap/>
            <w:vAlign w:val="bottom"/>
            <w:hideMark/>
          </w:tcPr>
          <w:p w14:paraId="0DB0AA6E"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10,290</w:t>
            </w:r>
          </w:p>
        </w:tc>
        <w:tc>
          <w:tcPr>
            <w:tcW w:w="1897" w:type="dxa"/>
            <w:shd w:val="clear" w:color="auto" w:fill="auto"/>
            <w:noWrap/>
            <w:vAlign w:val="bottom"/>
            <w:hideMark/>
          </w:tcPr>
          <w:p w14:paraId="4D86EA3E"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2032-33</w:t>
            </w:r>
          </w:p>
        </w:tc>
        <w:tc>
          <w:tcPr>
            <w:tcW w:w="1897" w:type="dxa"/>
            <w:shd w:val="clear" w:color="auto" w:fill="auto"/>
            <w:noWrap/>
            <w:vAlign w:val="bottom"/>
            <w:hideMark/>
          </w:tcPr>
          <w:p w14:paraId="4BD533C6"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7,968</w:t>
            </w:r>
          </w:p>
        </w:tc>
      </w:tr>
      <w:tr w:rsidR="00A250F8" w:rsidRPr="00A77AF6" w14:paraId="5CA2B2F9" w14:textId="77777777" w:rsidTr="00F20FAB">
        <w:trPr>
          <w:trHeight w:val="300"/>
        </w:trPr>
        <w:tc>
          <w:tcPr>
            <w:tcW w:w="1896" w:type="dxa"/>
            <w:shd w:val="clear" w:color="auto" w:fill="auto"/>
            <w:noWrap/>
            <w:vAlign w:val="bottom"/>
            <w:hideMark/>
          </w:tcPr>
          <w:p w14:paraId="49215F52"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2015-16</w:t>
            </w:r>
          </w:p>
        </w:tc>
        <w:tc>
          <w:tcPr>
            <w:tcW w:w="1897" w:type="dxa"/>
            <w:shd w:val="clear" w:color="auto" w:fill="auto"/>
            <w:noWrap/>
            <w:vAlign w:val="bottom"/>
            <w:hideMark/>
          </w:tcPr>
          <w:p w14:paraId="2052B7B7"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10,467</w:t>
            </w:r>
          </w:p>
        </w:tc>
        <w:tc>
          <w:tcPr>
            <w:tcW w:w="1897" w:type="dxa"/>
            <w:shd w:val="clear" w:color="auto" w:fill="auto"/>
            <w:noWrap/>
            <w:vAlign w:val="bottom"/>
            <w:hideMark/>
          </w:tcPr>
          <w:p w14:paraId="205EA2AD"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2033-34</w:t>
            </w:r>
          </w:p>
        </w:tc>
        <w:tc>
          <w:tcPr>
            <w:tcW w:w="1897" w:type="dxa"/>
            <w:shd w:val="clear" w:color="auto" w:fill="auto"/>
            <w:noWrap/>
            <w:vAlign w:val="bottom"/>
            <w:hideMark/>
          </w:tcPr>
          <w:p w14:paraId="69938D5A"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7,314</w:t>
            </w:r>
          </w:p>
        </w:tc>
      </w:tr>
      <w:tr w:rsidR="00A250F8" w:rsidRPr="00A77AF6" w14:paraId="1E531196" w14:textId="77777777" w:rsidTr="00F20FAB">
        <w:trPr>
          <w:trHeight w:val="300"/>
        </w:trPr>
        <w:tc>
          <w:tcPr>
            <w:tcW w:w="1896" w:type="dxa"/>
            <w:shd w:val="clear" w:color="auto" w:fill="auto"/>
            <w:noWrap/>
            <w:vAlign w:val="bottom"/>
            <w:hideMark/>
          </w:tcPr>
          <w:p w14:paraId="68B8EF45"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2016-17</w:t>
            </w:r>
          </w:p>
        </w:tc>
        <w:tc>
          <w:tcPr>
            <w:tcW w:w="1897" w:type="dxa"/>
            <w:shd w:val="clear" w:color="auto" w:fill="auto"/>
            <w:noWrap/>
            <w:vAlign w:val="bottom"/>
            <w:hideMark/>
          </w:tcPr>
          <w:p w14:paraId="19C00ABA"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10,430</w:t>
            </w:r>
          </w:p>
        </w:tc>
        <w:tc>
          <w:tcPr>
            <w:tcW w:w="1897" w:type="dxa"/>
            <w:shd w:val="clear" w:color="auto" w:fill="auto"/>
            <w:noWrap/>
            <w:vAlign w:val="bottom"/>
            <w:hideMark/>
          </w:tcPr>
          <w:p w14:paraId="7768412E"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2034-35</w:t>
            </w:r>
          </w:p>
        </w:tc>
        <w:tc>
          <w:tcPr>
            <w:tcW w:w="1897" w:type="dxa"/>
            <w:shd w:val="clear" w:color="auto" w:fill="auto"/>
            <w:noWrap/>
            <w:vAlign w:val="bottom"/>
            <w:hideMark/>
          </w:tcPr>
          <w:p w14:paraId="75998A14"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6,747</w:t>
            </w:r>
          </w:p>
        </w:tc>
      </w:tr>
      <w:tr w:rsidR="00A250F8" w:rsidRPr="00A77AF6" w14:paraId="22F46B17" w14:textId="77777777" w:rsidTr="00F20FAB">
        <w:trPr>
          <w:trHeight w:val="300"/>
        </w:trPr>
        <w:tc>
          <w:tcPr>
            <w:tcW w:w="1896" w:type="dxa"/>
            <w:shd w:val="clear" w:color="auto" w:fill="auto"/>
            <w:noWrap/>
            <w:vAlign w:val="bottom"/>
            <w:hideMark/>
          </w:tcPr>
          <w:p w14:paraId="73D665C1"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2017-18</w:t>
            </w:r>
          </w:p>
        </w:tc>
        <w:tc>
          <w:tcPr>
            <w:tcW w:w="1897" w:type="dxa"/>
            <w:shd w:val="clear" w:color="auto" w:fill="auto"/>
            <w:noWrap/>
            <w:vAlign w:val="bottom"/>
            <w:hideMark/>
          </w:tcPr>
          <w:p w14:paraId="030A9B26"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10,614</w:t>
            </w:r>
          </w:p>
        </w:tc>
        <w:tc>
          <w:tcPr>
            <w:tcW w:w="1897" w:type="dxa"/>
            <w:shd w:val="clear" w:color="auto" w:fill="auto"/>
            <w:noWrap/>
            <w:vAlign w:val="bottom"/>
            <w:hideMark/>
          </w:tcPr>
          <w:p w14:paraId="48EEA1FF"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2035-36</w:t>
            </w:r>
          </w:p>
        </w:tc>
        <w:tc>
          <w:tcPr>
            <w:tcW w:w="1897" w:type="dxa"/>
            <w:shd w:val="clear" w:color="auto" w:fill="auto"/>
            <w:noWrap/>
            <w:vAlign w:val="bottom"/>
            <w:hideMark/>
          </w:tcPr>
          <w:p w14:paraId="05C99F64"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5,800</w:t>
            </w:r>
          </w:p>
        </w:tc>
      </w:tr>
      <w:tr w:rsidR="00A250F8" w:rsidRPr="00A77AF6" w14:paraId="72D89A59" w14:textId="77777777" w:rsidTr="00F20FAB">
        <w:trPr>
          <w:trHeight w:val="300"/>
        </w:trPr>
        <w:tc>
          <w:tcPr>
            <w:tcW w:w="1896" w:type="dxa"/>
            <w:shd w:val="clear" w:color="auto" w:fill="auto"/>
            <w:noWrap/>
            <w:vAlign w:val="bottom"/>
            <w:hideMark/>
          </w:tcPr>
          <w:p w14:paraId="15BD07D5"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2018-19</w:t>
            </w:r>
          </w:p>
        </w:tc>
        <w:tc>
          <w:tcPr>
            <w:tcW w:w="1897" w:type="dxa"/>
            <w:shd w:val="clear" w:color="auto" w:fill="auto"/>
            <w:noWrap/>
            <w:vAlign w:val="bottom"/>
            <w:hideMark/>
          </w:tcPr>
          <w:p w14:paraId="0FE22BE2"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10,155</w:t>
            </w:r>
          </w:p>
        </w:tc>
        <w:tc>
          <w:tcPr>
            <w:tcW w:w="1897" w:type="dxa"/>
            <w:shd w:val="clear" w:color="auto" w:fill="auto"/>
            <w:noWrap/>
            <w:vAlign w:val="bottom"/>
            <w:hideMark/>
          </w:tcPr>
          <w:p w14:paraId="72BA24BC"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2036-37</w:t>
            </w:r>
          </w:p>
        </w:tc>
        <w:tc>
          <w:tcPr>
            <w:tcW w:w="1897" w:type="dxa"/>
            <w:shd w:val="clear" w:color="auto" w:fill="auto"/>
            <w:noWrap/>
            <w:vAlign w:val="bottom"/>
            <w:hideMark/>
          </w:tcPr>
          <w:p w14:paraId="6A2043DE"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5,321</w:t>
            </w:r>
          </w:p>
        </w:tc>
      </w:tr>
      <w:tr w:rsidR="00A250F8" w:rsidRPr="00A77AF6" w14:paraId="576625FE" w14:textId="77777777" w:rsidTr="00F20FAB">
        <w:trPr>
          <w:trHeight w:val="300"/>
        </w:trPr>
        <w:tc>
          <w:tcPr>
            <w:tcW w:w="1896" w:type="dxa"/>
            <w:shd w:val="clear" w:color="auto" w:fill="auto"/>
            <w:noWrap/>
            <w:vAlign w:val="bottom"/>
            <w:hideMark/>
          </w:tcPr>
          <w:p w14:paraId="7AA64E73"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2019-20</w:t>
            </w:r>
          </w:p>
        </w:tc>
        <w:tc>
          <w:tcPr>
            <w:tcW w:w="1897" w:type="dxa"/>
            <w:shd w:val="clear" w:color="auto" w:fill="auto"/>
            <w:noWrap/>
            <w:vAlign w:val="bottom"/>
            <w:hideMark/>
          </w:tcPr>
          <w:p w14:paraId="591C9760"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10,220</w:t>
            </w:r>
          </w:p>
        </w:tc>
        <w:tc>
          <w:tcPr>
            <w:tcW w:w="1897" w:type="dxa"/>
            <w:shd w:val="clear" w:color="auto" w:fill="auto"/>
            <w:noWrap/>
            <w:vAlign w:val="bottom"/>
            <w:hideMark/>
          </w:tcPr>
          <w:p w14:paraId="38E8129F"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2037-38</w:t>
            </w:r>
          </w:p>
        </w:tc>
        <w:tc>
          <w:tcPr>
            <w:tcW w:w="1897" w:type="dxa"/>
            <w:shd w:val="clear" w:color="auto" w:fill="auto"/>
            <w:noWrap/>
            <w:vAlign w:val="bottom"/>
            <w:hideMark/>
          </w:tcPr>
          <w:p w14:paraId="3A1F21F2"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4,694</w:t>
            </w:r>
          </w:p>
        </w:tc>
      </w:tr>
      <w:tr w:rsidR="00A250F8" w:rsidRPr="00A77AF6" w14:paraId="5EA1A9A5" w14:textId="77777777" w:rsidTr="00F20FAB">
        <w:trPr>
          <w:trHeight w:val="300"/>
        </w:trPr>
        <w:tc>
          <w:tcPr>
            <w:tcW w:w="1896" w:type="dxa"/>
            <w:shd w:val="clear" w:color="auto" w:fill="auto"/>
            <w:noWrap/>
            <w:vAlign w:val="bottom"/>
            <w:hideMark/>
          </w:tcPr>
          <w:p w14:paraId="04CC5C64"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2020-21</w:t>
            </w:r>
          </w:p>
        </w:tc>
        <w:tc>
          <w:tcPr>
            <w:tcW w:w="1897" w:type="dxa"/>
            <w:shd w:val="clear" w:color="auto" w:fill="auto"/>
            <w:noWrap/>
            <w:vAlign w:val="bottom"/>
            <w:hideMark/>
          </w:tcPr>
          <w:p w14:paraId="2F011703"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10,317</w:t>
            </w:r>
          </w:p>
        </w:tc>
        <w:tc>
          <w:tcPr>
            <w:tcW w:w="1897" w:type="dxa"/>
            <w:shd w:val="clear" w:color="auto" w:fill="auto"/>
            <w:noWrap/>
            <w:vAlign w:val="bottom"/>
            <w:hideMark/>
          </w:tcPr>
          <w:p w14:paraId="57DC87C9"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2038-39</w:t>
            </w:r>
          </w:p>
        </w:tc>
        <w:tc>
          <w:tcPr>
            <w:tcW w:w="1897" w:type="dxa"/>
            <w:shd w:val="clear" w:color="auto" w:fill="auto"/>
            <w:noWrap/>
            <w:vAlign w:val="bottom"/>
            <w:hideMark/>
          </w:tcPr>
          <w:p w14:paraId="4251FE9D"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4,128</w:t>
            </w:r>
          </w:p>
        </w:tc>
      </w:tr>
      <w:tr w:rsidR="00A250F8" w:rsidRPr="00A77AF6" w14:paraId="4F2471D9" w14:textId="77777777" w:rsidTr="00F20FAB">
        <w:trPr>
          <w:trHeight w:val="300"/>
        </w:trPr>
        <w:tc>
          <w:tcPr>
            <w:tcW w:w="1896" w:type="dxa"/>
            <w:shd w:val="clear" w:color="auto" w:fill="auto"/>
            <w:noWrap/>
            <w:vAlign w:val="bottom"/>
            <w:hideMark/>
          </w:tcPr>
          <w:p w14:paraId="7AF60C42"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2021-22</w:t>
            </w:r>
          </w:p>
        </w:tc>
        <w:tc>
          <w:tcPr>
            <w:tcW w:w="1897" w:type="dxa"/>
            <w:shd w:val="clear" w:color="auto" w:fill="auto"/>
            <w:noWrap/>
            <w:vAlign w:val="bottom"/>
            <w:hideMark/>
          </w:tcPr>
          <w:p w14:paraId="4C4140B4"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10,172</w:t>
            </w:r>
          </w:p>
        </w:tc>
        <w:tc>
          <w:tcPr>
            <w:tcW w:w="1897" w:type="dxa"/>
            <w:shd w:val="clear" w:color="auto" w:fill="auto"/>
            <w:noWrap/>
            <w:vAlign w:val="bottom"/>
            <w:hideMark/>
          </w:tcPr>
          <w:p w14:paraId="7E5C15A0"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2039-40</w:t>
            </w:r>
          </w:p>
        </w:tc>
        <w:tc>
          <w:tcPr>
            <w:tcW w:w="1897" w:type="dxa"/>
            <w:shd w:val="clear" w:color="auto" w:fill="auto"/>
            <w:noWrap/>
            <w:vAlign w:val="bottom"/>
            <w:hideMark/>
          </w:tcPr>
          <w:p w14:paraId="2DB68BF8"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3,375</w:t>
            </w:r>
          </w:p>
        </w:tc>
      </w:tr>
      <w:tr w:rsidR="00A250F8" w:rsidRPr="00A77AF6" w14:paraId="24AF199A" w14:textId="77777777" w:rsidTr="00F20FAB">
        <w:trPr>
          <w:trHeight w:val="300"/>
        </w:trPr>
        <w:tc>
          <w:tcPr>
            <w:tcW w:w="1896" w:type="dxa"/>
            <w:shd w:val="clear" w:color="auto" w:fill="auto"/>
            <w:noWrap/>
            <w:vAlign w:val="bottom"/>
            <w:hideMark/>
          </w:tcPr>
          <w:p w14:paraId="443079FC"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2022-23</w:t>
            </w:r>
          </w:p>
        </w:tc>
        <w:tc>
          <w:tcPr>
            <w:tcW w:w="1897" w:type="dxa"/>
            <w:shd w:val="clear" w:color="auto" w:fill="auto"/>
            <w:noWrap/>
            <w:vAlign w:val="bottom"/>
            <w:hideMark/>
          </w:tcPr>
          <w:p w14:paraId="12C47E75"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10,074</w:t>
            </w:r>
          </w:p>
        </w:tc>
        <w:tc>
          <w:tcPr>
            <w:tcW w:w="1897" w:type="dxa"/>
            <w:shd w:val="clear" w:color="auto" w:fill="auto"/>
            <w:noWrap/>
            <w:vAlign w:val="bottom"/>
            <w:hideMark/>
          </w:tcPr>
          <w:p w14:paraId="1734140A"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2040-41</w:t>
            </w:r>
          </w:p>
        </w:tc>
        <w:tc>
          <w:tcPr>
            <w:tcW w:w="1897" w:type="dxa"/>
            <w:shd w:val="clear" w:color="auto" w:fill="auto"/>
            <w:noWrap/>
            <w:vAlign w:val="bottom"/>
            <w:hideMark/>
          </w:tcPr>
          <w:p w14:paraId="43F18CB0"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2,441</w:t>
            </w:r>
          </w:p>
        </w:tc>
      </w:tr>
      <w:tr w:rsidR="00A250F8" w:rsidRPr="00A77AF6" w14:paraId="2812A1EE" w14:textId="77777777" w:rsidTr="00F20FAB">
        <w:trPr>
          <w:trHeight w:val="300"/>
        </w:trPr>
        <w:tc>
          <w:tcPr>
            <w:tcW w:w="1896" w:type="dxa"/>
            <w:shd w:val="clear" w:color="auto" w:fill="auto"/>
            <w:noWrap/>
            <w:vAlign w:val="bottom"/>
            <w:hideMark/>
          </w:tcPr>
          <w:p w14:paraId="6C75DE5E"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2023-24</w:t>
            </w:r>
          </w:p>
        </w:tc>
        <w:tc>
          <w:tcPr>
            <w:tcW w:w="1897" w:type="dxa"/>
            <w:shd w:val="clear" w:color="auto" w:fill="auto"/>
            <w:noWrap/>
            <w:vAlign w:val="bottom"/>
            <w:hideMark/>
          </w:tcPr>
          <w:p w14:paraId="00E0A98C"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9,941</w:t>
            </w:r>
          </w:p>
        </w:tc>
        <w:tc>
          <w:tcPr>
            <w:tcW w:w="1897" w:type="dxa"/>
            <w:shd w:val="clear" w:color="auto" w:fill="auto"/>
            <w:noWrap/>
            <w:vAlign w:val="bottom"/>
            <w:hideMark/>
          </w:tcPr>
          <w:p w14:paraId="45D51AD4"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2041-42</w:t>
            </w:r>
          </w:p>
        </w:tc>
        <w:tc>
          <w:tcPr>
            <w:tcW w:w="1897" w:type="dxa"/>
            <w:shd w:val="clear" w:color="auto" w:fill="auto"/>
            <w:noWrap/>
            <w:vAlign w:val="bottom"/>
            <w:hideMark/>
          </w:tcPr>
          <w:p w14:paraId="1B730EFC"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1,777</w:t>
            </w:r>
          </w:p>
        </w:tc>
      </w:tr>
      <w:tr w:rsidR="00A250F8" w:rsidRPr="00A77AF6" w14:paraId="5D9FED75" w14:textId="77777777" w:rsidTr="00F20FAB">
        <w:trPr>
          <w:trHeight w:val="300"/>
        </w:trPr>
        <w:tc>
          <w:tcPr>
            <w:tcW w:w="1896" w:type="dxa"/>
            <w:shd w:val="clear" w:color="auto" w:fill="auto"/>
            <w:noWrap/>
            <w:vAlign w:val="bottom"/>
            <w:hideMark/>
          </w:tcPr>
          <w:p w14:paraId="6DDAECC4"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2024-25</w:t>
            </w:r>
          </w:p>
        </w:tc>
        <w:tc>
          <w:tcPr>
            <w:tcW w:w="1897" w:type="dxa"/>
            <w:shd w:val="clear" w:color="auto" w:fill="auto"/>
            <w:noWrap/>
            <w:vAlign w:val="bottom"/>
            <w:hideMark/>
          </w:tcPr>
          <w:p w14:paraId="02BA1C15"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10,029</w:t>
            </w:r>
          </w:p>
        </w:tc>
        <w:tc>
          <w:tcPr>
            <w:tcW w:w="1897" w:type="dxa"/>
            <w:shd w:val="clear" w:color="auto" w:fill="auto"/>
            <w:noWrap/>
            <w:vAlign w:val="bottom"/>
            <w:hideMark/>
          </w:tcPr>
          <w:p w14:paraId="38D4154A"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2042-43</w:t>
            </w:r>
          </w:p>
        </w:tc>
        <w:tc>
          <w:tcPr>
            <w:tcW w:w="1897" w:type="dxa"/>
            <w:shd w:val="clear" w:color="auto" w:fill="auto"/>
            <w:noWrap/>
            <w:vAlign w:val="bottom"/>
            <w:hideMark/>
          </w:tcPr>
          <w:p w14:paraId="3B41928D"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1,273</w:t>
            </w:r>
          </w:p>
        </w:tc>
      </w:tr>
      <w:tr w:rsidR="00A250F8" w:rsidRPr="00A77AF6" w14:paraId="79441149" w14:textId="77777777" w:rsidTr="00F20FAB">
        <w:trPr>
          <w:trHeight w:val="300"/>
        </w:trPr>
        <w:tc>
          <w:tcPr>
            <w:tcW w:w="1896" w:type="dxa"/>
            <w:shd w:val="clear" w:color="auto" w:fill="auto"/>
            <w:noWrap/>
            <w:vAlign w:val="bottom"/>
            <w:hideMark/>
          </w:tcPr>
          <w:p w14:paraId="5B659138"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2025-26</w:t>
            </w:r>
          </w:p>
        </w:tc>
        <w:tc>
          <w:tcPr>
            <w:tcW w:w="1897" w:type="dxa"/>
            <w:shd w:val="clear" w:color="auto" w:fill="auto"/>
            <w:noWrap/>
            <w:vAlign w:val="bottom"/>
            <w:hideMark/>
          </w:tcPr>
          <w:p w14:paraId="62810AE0"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10,005</w:t>
            </w:r>
          </w:p>
        </w:tc>
        <w:tc>
          <w:tcPr>
            <w:tcW w:w="1897" w:type="dxa"/>
            <w:shd w:val="clear" w:color="auto" w:fill="auto"/>
            <w:noWrap/>
            <w:vAlign w:val="bottom"/>
            <w:hideMark/>
          </w:tcPr>
          <w:p w14:paraId="0B8B250B"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2043-44</w:t>
            </w:r>
          </w:p>
        </w:tc>
        <w:tc>
          <w:tcPr>
            <w:tcW w:w="1897" w:type="dxa"/>
            <w:shd w:val="clear" w:color="auto" w:fill="auto"/>
            <w:noWrap/>
            <w:vAlign w:val="bottom"/>
            <w:hideMark/>
          </w:tcPr>
          <w:p w14:paraId="7418DF86"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759</w:t>
            </w:r>
          </w:p>
        </w:tc>
      </w:tr>
      <w:tr w:rsidR="00A250F8" w:rsidRPr="00A77AF6" w14:paraId="6752311C" w14:textId="77777777" w:rsidTr="00F20FAB">
        <w:trPr>
          <w:trHeight w:val="300"/>
        </w:trPr>
        <w:tc>
          <w:tcPr>
            <w:tcW w:w="1896" w:type="dxa"/>
            <w:shd w:val="clear" w:color="auto" w:fill="auto"/>
            <w:noWrap/>
            <w:vAlign w:val="bottom"/>
            <w:hideMark/>
          </w:tcPr>
          <w:p w14:paraId="4358163B"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2026-27</w:t>
            </w:r>
          </w:p>
        </w:tc>
        <w:tc>
          <w:tcPr>
            <w:tcW w:w="1897" w:type="dxa"/>
            <w:shd w:val="clear" w:color="auto" w:fill="auto"/>
            <w:noWrap/>
            <w:vAlign w:val="bottom"/>
            <w:hideMark/>
          </w:tcPr>
          <w:p w14:paraId="2559A0E3"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9,853</w:t>
            </w:r>
          </w:p>
        </w:tc>
        <w:tc>
          <w:tcPr>
            <w:tcW w:w="1897" w:type="dxa"/>
            <w:shd w:val="clear" w:color="auto" w:fill="auto"/>
            <w:noWrap/>
            <w:vAlign w:val="bottom"/>
            <w:hideMark/>
          </w:tcPr>
          <w:p w14:paraId="7A7DFAEE"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2044-45</w:t>
            </w:r>
          </w:p>
        </w:tc>
        <w:tc>
          <w:tcPr>
            <w:tcW w:w="1897" w:type="dxa"/>
            <w:shd w:val="clear" w:color="auto" w:fill="auto"/>
            <w:noWrap/>
            <w:vAlign w:val="bottom"/>
            <w:hideMark/>
          </w:tcPr>
          <w:p w14:paraId="4E106DD4"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659</w:t>
            </w:r>
          </w:p>
        </w:tc>
      </w:tr>
      <w:tr w:rsidR="00A250F8" w:rsidRPr="00A77AF6" w14:paraId="0364F92D" w14:textId="77777777" w:rsidTr="00F20FAB">
        <w:trPr>
          <w:trHeight w:val="300"/>
        </w:trPr>
        <w:tc>
          <w:tcPr>
            <w:tcW w:w="1896" w:type="dxa"/>
            <w:shd w:val="clear" w:color="auto" w:fill="auto"/>
            <w:noWrap/>
            <w:vAlign w:val="bottom"/>
            <w:hideMark/>
          </w:tcPr>
          <w:p w14:paraId="5732E9DE"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2027-28</w:t>
            </w:r>
          </w:p>
        </w:tc>
        <w:tc>
          <w:tcPr>
            <w:tcW w:w="1897" w:type="dxa"/>
            <w:shd w:val="clear" w:color="auto" w:fill="auto"/>
            <w:noWrap/>
            <w:vAlign w:val="bottom"/>
            <w:hideMark/>
          </w:tcPr>
          <w:p w14:paraId="5742DCAA"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9,799</w:t>
            </w:r>
          </w:p>
        </w:tc>
        <w:tc>
          <w:tcPr>
            <w:tcW w:w="1897" w:type="dxa"/>
            <w:shd w:val="clear" w:color="auto" w:fill="auto"/>
            <w:noWrap/>
            <w:vAlign w:val="bottom"/>
            <w:hideMark/>
          </w:tcPr>
          <w:p w14:paraId="3B1838A1"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2045-46</w:t>
            </w:r>
          </w:p>
        </w:tc>
        <w:tc>
          <w:tcPr>
            <w:tcW w:w="1897" w:type="dxa"/>
            <w:shd w:val="clear" w:color="auto" w:fill="auto"/>
            <w:noWrap/>
            <w:vAlign w:val="bottom"/>
            <w:hideMark/>
          </w:tcPr>
          <w:p w14:paraId="2B414E48"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567</w:t>
            </w:r>
          </w:p>
        </w:tc>
      </w:tr>
      <w:tr w:rsidR="00A250F8" w:rsidRPr="00A77AF6" w14:paraId="375BCA1C" w14:textId="77777777" w:rsidTr="00F20FAB">
        <w:trPr>
          <w:trHeight w:val="300"/>
        </w:trPr>
        <w:tc>
          <w:tcPr>
            <w:tcW w:w="1896" w:type="dxa"/>
            <w:shd w:val="clear" w:color="auto" w:fill="auto"/>
            <w:noWrap/>
            <w:vAlign w:val="bottom"/>
            <w:hideMark/>
          </w:tcPr>
          <w:p w14:paraId="53B7DEBB"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2028-29</w:t>
            </w:r>
          </w:p>
        </w:tc>
        <w:tc>
          <w:tcPr>
            <w:tcW w:w="1897" w:type="dxa"/>
            <w:shd w:val="clear" w:color="auto" w:fill="auto"/>
            <w:noWrap/>
            <w:vAlign w:val="bottom"/>
            <w:hideMark/>
          </w:tcPr>
          <w:p w14:paraId="4FE88C4A"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9,676</w:t>
            </w:r>
          </w:p>
        </w:tc>
        <w:tc>
          <w:tcPr>
            <w:tcW w:w="1897" w:type="dxa"/>
            <w:shd w:val="clear" w:color="auto" w:fill="auto"/>
            <w:noWrap/>
            <w:vAlign w:val="bottom"/>
            <w:hideMark/>
          </w:tcPr>
          <w:p w14:paraId="275AE35A"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2046-47</w:t>
            </w:r>
          </w:p>
        </w:tc>
        <w:tc>
          <w:tcPr>
            <w:tcW w:w="1897" w:type="dxa"/>
            <w:shd w:val="clear" w:color="auto" w:fill="auto"/>
            <w:noWrap/>
            <w:vAlign w:val="bottom"/>
            <w:hideMark/>
          </w:tcPr>
          <w:p w14:paraId="64D0BFD2"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453</w:t>
            </w:r>
          </w:p>
        </w:tc>
      </w:tr>
      <w:tr w:rsidR="00A250F8" w:rsidRPr="00A77AF6" w14:paraId="238E0E5D" w14:textId="77777777" w:rsidTr="00F20FAB">
        <w:trPr>
          <w:trHeight w:val="300"/>
        </w:trPr>
        <w:tc>
          <w:tcPr>
            <w:tcW w:w="1896" w:type="dxa"/>
            <w:shd w:val="clear" w:color="auto" w:fill="auto"/>
            <w:noWrap/>
            <w:vAlign w:val="bottom"/>
            <w:hideMark/>
          </w:tcPr>
          <w:p w14:paraId="57656073"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2029-30</w:t>
            </w:r>
          </w:p>
        </w:tc>
        <w:tc>
          <w:tcPr>
            <w:tcW w:w="1897" w:type="dxa"/>
            <w:shd w:val="clear" w:color="auto" w:fill="auto"/>
            <w:noWrap/>
            <w:vAlign w:val="bottom"/>
            <w:hideMark/>
          </w:tcPr>
          <w:p w14:paraId="6731F22B"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9,344</w:t>
            </w:r>
          </w:p>
        </w:tc>
        <w:tc>
          <w:tcPr>
            <w:tcW w:w="1897" w:type="dxa"/>
            <w:shd w:val="clear" w:color="auto" w:fill="auto"/>
            <w:noWrap/>
            <w:vAlign w:val="bottom"/>
            <w:hideMark/>
          </w:tcPr>
          <w:p w14:paraId="02244606"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2047-48</w:t>
            </w:r>
          </w:p>
        </w:tc>
        <w:tc>
          <w:tcPr>
            <w:tcW w:w="1897" w:type="dxa"/>
            <w:shd w:val="clear" w:color="auto" w:fill="auto"/>
            <w:noWrap/>
            <w:vAlign w:val="bottom"/>
            <w:hideMark/>
          </w:tcPr>
          <w:p w14:paraId="449F04F5"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381</w:t>
            </w:r>
          </w:p>
        </w:tc>
      </w:tr>
      <w:tr w:rsidR="00A250F8" w:rsidRPr="00A77AF6" w14:paraId="13D28873" w14:textId="77777777" w:rsidTr="00F20FAB">
        <w:trPr>
          <w:trHeight w:val="300"/>
        </w:trPr>
        <w:tc>
          <w:tcPr>
            <w:tcW w:w="1896" w:type="dxa"/>
            <w:shd w:val="clear" w:color="auto" w:fill="auto"/>
            <w:noWrap/>
            <w:vAlign w:val="bottom"/>
            <w:hideMark/>
          </w:tcPr>
          <w:p w14:paraId="1BC9CAB9"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2030-31</w:t>
            </w:r>
          </w:p>
        </w:tc>
        <w:tc>
          <w:tcPr>
            <w:tcW w:w="1897" w:type="dxa"/>
            <w:shd w:val="clear" w:color="auto" w:fill="auto"/>
            <w:noWrap/>
            <w:vAlign w:val="bottom"/>
            <w:hideMark/>
          </w:tcPr>
          <w:p w14:paraId="2772D2E1"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8,871</w:t>
            </w:r>
          </w:p>
        </w:tc>
        <w:tc>
          <w:tcPr>
            <w:tcW w:w="1897" w:type="dxa"/>
            <w:shd w:val="clear" w:color="auto" w:fill="auto"/>
            <w:noWrap/>
            <w:vAlign w:val="bottom"/>
            <w:hideMark/>
          </w:tcPr>
          <w:p w14:paraId="7B10DA00"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2048-49</w:t>
            </w:r>
          </w:p>
        </w:tc>
        <w:tc>
          <w:tcPr>
            <w:tcW w:w="1897" w:type="dxa"/>
            <w:shd w:val="clear" w:color="auto" w:fill="auto"/>
            <w:noWrap/>
            <w:vAlign w:val="bottom"/>
            <w:hideMark/>
          </w:tcPr>
          <w:p w14:paraId="50883127"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24</w:t>
            </w:r>
          </w:p>
        </w:tc>
      </w:tr>
      <w:tr w:rsidR="00A250F8" w:rsidRPr="00A77AF6" w14:paraId="4431F011" w14:textId="77777777" w:rsidTr="00F20FAB">
        <w:trPr>
          <w:trHeight w:val="300"/>
        </w:trPr>
        <w:tc>
          <w:tcPr>
            <w:tcW w:w="1896" w:type="dxa"/>
            <w:shd w:val="clear" w:color="auto" w:fill="auto"/>
            <w:noWrap/>
            <w:vAlign w:val="bottom"/>
            <w:hideMark/>
          </w:tcPr>
          <w:p w14:paraId="0EC9711B"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2031-32</w:t>
            </w:r>
          </w:p>
        </w:tc>
        <w:tc>
          <w:tcPr>
            <w:tcW w:w="1897" w:type="dxa"/>
            <w:shd w:val="clear" w:color="auto" w:fill="auto"/>
            <w:noWrap/>
            <w:vAlign w:val="bottom"/>
            <w:hideMark/>
          </w:tcPr>
          <w:p w14:paraId="6104DDAA"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8,545</w:t>
            </w:r>
          </w:p>
        </w:tc>
        <w:tc>
          <w:tcPr>
            <w:tcW w:w="1897" w:type="dxa"/>
            <w:shd w:val="clear" w:color="auto" w:fill="auto"/>
            <w:noWrap/>
            <w:vAlign w:val="bottom"/>
            <w:hideMark/>
          </w:tcPr>
          <w:p w14:paraId="12B8C031"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2049-50</w:t>
            </w:r>
          </w:p>
        </w:tc>
        <w:tc>
          <w:tcPr>
            <w:tcW w:w="1897" w:type="dxa"/>
            <w:shd w:val="clear" w:color="auto" w:fill="auto"/>
            <w:noWrap/>
            <w:vAlign w:val="bottom"/>
            <w:hideMark/>
          </w:tcPr>
          <w:p w14:paraId="54B1CDD3" w14:textId="77777777" w:rsidR="00A250F8" w:rsidRPr="00A77AF6" w:rsidRDefault="00A250F8" w:rsidP="00F20FAB">
            <w:pPr>
              <w:spacing w:after="0" w:line="240" w:lineRule="auto"/>
              <w:rPr>
                <w:rFonts w:ascii="Calibri" w:eastAsia="Times New Roman" w:hAnsi="Calibri" w:cs="Times New Roman"/>
                <w:color w:val="000000"/>
                <w:sz w:val="20"/>
                <w:szCs w:val="20"/>
                <w:lang w:eastAsia="en-GB"/>
              </w:rPr>
            </w:pPr>
            <w:r w:rsidRPr="00A77AF6">
              <w:rPr>
                <w:rFonts w:ascii="Calibri" w:eastAsia="Times New Roman" w:hAnsi="Calibri" w:cs="Times New Roman"/>
                <w:color w:val="000000"/>
                <w:sz w:val="20"/>
                <w:szCs w:val="20"/>
                <w:lang w:eastAsia="en-GB"/>
              </w:rPr>
              <w:t>1</w:t>
            </w:r>
          </w:p>
        </w:tc>
      </w:tr>
      <w:tr w:rsidR="00A250F8" w:rsidRPr="00A77AF6" w14:paraId="6EFE176E" w14:textId="77777777" w:rsidTr="00F20FAB">
        <w:trPr>
          <w:trHeight w:val="300"/>
        </w:trPr>
        <w:tc>
          <w:tcPr>
            <w:tcW w:w="1896" w:type="dxa"/>
            <w:shd w:val="clear" w:color="auto" w:fill="auto"/>
            <w:noWrap/>
            <w:vAlign w:val="bottom"/>
            <w:hideMark/>
          </w:tcPr>
          <w:p w14:paraId="4AD3A2E7" w14:textId="77777777" w:rsidR="00A250F8" w:rsidRPr="00A77AF6" w:rsidRDefault="00A250F8" w:rsidP="00F20FAB">
            <w:pPr>
              <w:spacing w:after="0" w:line="240" w:lineRule="auto"/>
              <w:rPr>
                <w:rFonts w:ascii="Calibri" w:eastAsia="Times New Roman" w:hAnsi="Calibri" w:cs="Times New Roman"/>
                <w:b/>
                <w:bCs/>
                <w:color w:val="000000"/>
                <w:sz w:val="20"/>
                <w:szCs w:val="20"/>
                <w:lang w:eastAsia="en-GB"/>
              </w:rPr>
            </w:pPr>
            <w:r w:rsidRPr="00A77AF6">
              <w:rPr>
                <w:rFonts w:ascii="Calibri" w:eastAsia="Times New Roman" w:hAnsi="Calibri" w:cs="Times New Roman"/>
                <w:b/>
                <w:bCs/>
                <w:color w:val="000000"/>
                <w:sz w:val="20"/>
                <w:szCs w:val="20"/>
                <w:lang w:eastAsia="en-GB"/>
              </w:rPr>
              <w:t xml:space="preserve">Total </w:t>
            </w:r>
          </w:p>
        </w:tc>
        <w:tc>
          <w:tcPr>
            <w:tcW w:w="1897" w:type="dxa"/>
            <w:shd w:val="clear" w:color="auto" w:fill="auto"/>
            <w:noWrap/>
            <w:vAlign w:val="bottom"/>
            <w:hideMark/>
          </w:tcPr>
          <w:p w14:paraId="341D52E2" w14:textId="77777777" w:rsidR="00A250F8" w:rsidRPr="00A77AF6" w:rsidRDefault="00A250F8" w:rsidP="00F20FAB">
            <w:pPr>
              <w:spacing w:after="0" w:line="240" w:lineRule="auto"/>
              <w:rPr>
                <w:rFonts w:ascii="Calibri" w:eastAsia="Times New Roman" w:hAnsi="Calibri" w:cs="Times New Roman"/>
                <w:b/>
                <w:bCs/>
                <w:color w:val="000000"/>
                <w:sz w:val="20"/>
                <w:szCs w:val="20"/>
                <w:lang w:eastAsia="en-GB"/>
              </w:rPr>
            </w:pPr>
          </w:p>
        </w:tc>
        <w:tc>
          <w:tcPr>
            <w:tcW w:w="1897" w:type="dxa"/>
            <w:shd w:val="clear" w:color="auto" w:fill="auto"/>
            <w:noWrap/>
            <w:vAlign w:val="bottom"/>
            <w:hideMark/>
          </w:tcPr>
          <w:p w14:paraId="64016F35" w14:textId="77777777" w:rsidR="00A250F8" w:rsidRPr="00A77AF6" w:rsidRDefault="00A250F8" w:rsidP="00F20FAB">
            <w:pPr>
              <w:spacing w:after="0" w:line="240" w:lineRule="auto"/>
              <w:rPr>
                <w:rFonts w:ascii="Times New Roman" w:eastAsia="Times New Roman" w:hAnsi="Times New Roman" w:cs="Times New Roman"/>
                <w:sz w:val="20"/>
                <w:szCs w:val="20"/>
                <w:lang w:eastAsia="en-GB"/>
              </w:rPr>
            </w:pPr>
          </w:p>
        </w:tc>
        <w:tc>
          <w:tcPr>
            <w:tcW w:w="1897" w:type="dxa"/>
            <w:shd w:val="clear" w:color="auto" w:fill="auto"/>
            <w:noWrap/>
            <w:vAlign w:val="bottom"/>
            <w:hideMark/>
          </w:tcPr>
          <w:p w14:paraId="26142C8E" w14:textId="77777777" w:rsidR="00A250F8" w:rsidRPr="00A77AF6" w:rsidRDefault="00A250F8" w:rsidP="00F20FAB">
            <w:pPr>
              <w:spacing w:after="0" w:line="240" w:lineRule="auto"/>
              <w:rPr>
                <w:rFonts w:ascii="Calibri" w:eastAsia="Times New Roman" w:hAnsi="Calibri" w:cs="Times New Roman"/>
                <w:b/>
                <w:bCs/>
                <w:color w:val="000000"/>
                <w:sz w:val="20"/>
                <w:szCs w:val="20"/>
                <w:lang w:eastAsia="en-GB"/>
              </w:rPr>
            </w:pPr>
            <w:r w:rsidRPr="00A77AF6">
              <w:rPr>
                <w:rFonts w:ascii="Calibri" w:eastAsia="Times New Roman" w:hAnsi="Calibri" w:cs="Times New Roman"/>
                <w:b/>
                <w:bCs/>
                <w:color w:val="000000"/>
                <w:sz w:val="20"/>
                <w:szCs w:val="20"/>
                <w:lang w:eastAsia="en-GB"/>
              </w:rPr>
              <w:t>232,484</w:t>
            </w:r>
          </w:p>
        </w:tc>
      </w:tr>
    </w:tbl>
    <w:p w14:paraId="7646C37D" w14:textId="77777777" w:rsidR="00A250F8" w:rsidRPr="00A77AF6" w:rsidRDefault="00A250F8" w:rsidP="00A250F8">
      <w:pPr>
        <w:spacing w:before="240" w:line="360" w:lineRule="auto"/>
        <w:rPr>
          <w:rFonts w:ascii="Arial" w:hAnsi="Arial" w:cs="Arial"/>
          <w:sz w:val="17"/>
          <w:szCs w:val="17"/>
        </w:rPr>
      </w:pPr>
      <w:r w:rsidRPr="00A77AF6">
        <w:rPr>
          <w:rFonts w:ascii="Arial" w:hAnsi="Arial" w:cs="Arial"/>
          <w:sz w:val="17"/>
          <w:szCs w:val="17"/>
        </w:rPr>
        <w:t xml:space="preserve">NB. Figures based on departmental and Devolved Administrative returns. The unitary charge payments should not be confused with the capital costs of projects. Unitary charges include payments for ongoing services (e.g. maintenance, cleaning, catering and security) associated with these projects, as well as repayment of and interest on debt used to finance the capital costs. Unitary charges therefore represent the whole life cost associated with the projects. The capital costs recorded for PFI projects and conventionally procured projects do not include these ongoing costs. </w:t>
      </w:r>
    </w:p>
    <w:p w14:paraId="13C684C1" w14:textId="42782C67" w:rsidR="00A250F8" w:rsidRPr="00A77AF6" w:rsidRDefault="00A250F8" w:rsidP="00A250F8">
      <w:pPr>
        <w:pStyle w:val="Caption"/>
      </w:pPr>
      <w:bookmarkStart w:id="6" w:name="_Toc36186953"/>
      <w:r w:rsidRPr="00A77AF6">
        <w:t xml:space="preserve">Figure </w:t>
      </w:r>
      <w:fldSimple w:instr=" STYLEREF 1 \s ">
        <w:r w:rsidR="000441F7">
          <w:rPr>
            <w:noProof/>
          </w:rPr>
          <w:t>1</w:t>
        </w:r>
      </w:fldSimple>
      <w:r w:rsidR="00BA5DC4">
        <w:noBreakHyphen/>
      </w:r>
      <w:fldSimple w:instr=" SEQ Figure \* ARABIC \s 1 ">
        <w:r w:rsidR="000441F7">
          <w:rPr>
            <w:noProof/>
          </w:rPr>
          <w:t>1</w:t>
        </w:r>
      </w:fldSimple>
      <w:r w:rsidRPr="00A77AF6">
        <w:t xml:space="preserve"> - Estimated payments (in nominal terms, undiscounted) under PFI projects (current projects)</w:t>
      </w:r>
      <w:bookmarkEnd w:id="6"/>
    </w:p>
    <w:p w14:paraId="41DF9AC8" w14:textId="77777777" w:rsidR="00A250F8" w:rsidRPr="00A77AF6" w:rsidRDefault="00A250F8" w:rsidP="003C288D">
      <w:pPr>
        <w:spacing w:after="0" w:line="240" w:lineRule="auto"/>
        <w:rPr>
          <w:rFonts w:cstheme="minorHAnsi"/>
          <w:sz w:val="20"/>
        </w:rPr>
      </w:pPr>
      <w:r w:rsidRPr="00A77AF6">
        <w:rPr>
          <w:rFonts w:cstheme="minorHAnsi"/>
          <w:sz w:val="20"/>
        </w:rPr>
        <w:t>Source: HMT (2014, p. 8)</w:t>
      </w:r>
    </w:p>
    <w:p w14:paraId="5C1D9FEE" w14:textId="77777777" w:rsidR="009D1AC2" w:rsidRPr="00A77AF6" w:rsidRDefault="009D1AC2" w:rsidP="00B24ED0">
      <w:pPr>
        <w:spacing w:after="240" w:line="240" w:lineRule="auto"/>
        <w:ind w:left="720"/>
      </w:pPr>
    </w:p>
    <w:p w14:paraId="351AF230" w14:textId="0E52E7AF" w:rsidR="00785358" w:rsidRPr="00A77AF6" w:rsidRDefault="00B82ACD" w:rsidP="00785358">
      <w:pPr>
        <w:pStyle w:val="Heading3"/>
        <w:spacing w:after="120"/>
      </w:pPr>
      <w:r w:rsidRPr="00A77AF6">
        <w:rPr>
          <w:rFonts w:cstheme="minorHAnsi"/>
        </w:rPr>
        <w:t xml:space="preserve"> </w:t>
      </w:r>
      <w:bookmarkStart w:id="7" w:name="_Toc36275028"/>
      <w:r w:rsidR="003E3145" w:rsidRPr="00A77AF6">
        <w:rPr>
          <w:rFonts w:cstheme="minorHAnsi"/>
        </w:rPr>
        <w:t>Implications</w:t>
      </w:r>
      <w:r w:rsidR="002A01BE">
        <w:rPr>
          <w:rFonts w:cstheme="minorHAnsi"/>
        </w:rPr>
        <w:t xml:space="preserve"> for </w:t>
      </w:r>
      <w:r w:rsidR="002A01BE" w:rsidRPr="00A77AF6">
        <w:t>the NHS</w:t>
      </w:r>
      <w:r w:rsidR="003E3145" w:rsidRPr="00A77AF6">
        <w:rPr>
          <w:rFonts w:cstheme="minorHAnsi"/>
        </w:rPr>
        <w:t xml:space="preserve"> of p</w:t>
      </w:r>
      <w:r w:rsidR="00785358" w:rsidRPr="00A77AF6">
        <w:t>oor project management and governance.</w:t>
      </w:r>
      <w:bookmarkEnd w:id="7"/>
      <w:r w:rsidR="00785358" w:rsidRPr="00A77AF6">
        <w:t xml:space="preserve"> </w:t>
      </w:r>
    </w:p>
    <w:p w14:paraId="0756E627" w14:textId="48B86204" w:rsidR="0056083A" w:rsidRPr="00A77AF6" w:rsidRDefault="00DE4810" w:rsidP="002A01BE">
      <w:pPr>
        <w:spacing w:after="120" w:line="360" w:lineRule="auto"/>
        <w:rPr>
          <w:rFonts w:cstheme="minorHAnsi"/>
        </w:rPr>
      </w:pPr>
      <w:r w:rsidRPr="00A77AF6">
        <w:rPr>
          <w:rFonts w:cstheme="minorHAnsi"/>
        </w:rPr>
        <w:t xml:space="preserve">Successive </w:t>
      </w:r>
      <w:r w:rsidR="00942055" w:rsidRPr="00A77AF6">
        <w:rPr>
          <w:rFonts w:cstheme="minorHAnsi"/>
        </w:rPr>
        <w:t>UK</w:t>
      </w:r>
      <w:r w:rsidRPr="00A77AF6">
        <w:rPr>
          <w:rFonts w:cstheme="minorHAnsi"/>
        </w:rPr>
        <w:t xml:space="preserve"> reports have argued for improvements throughout the industry to ensure that money is not wasted</w:t>
      </w:r>
      <w:r w:rsidR="00942055" w:rsidRPr="00A77AF6">
        <w:rPr>
          <w:rFonts w:cstheme="minorHAnsi"/>
        </w:rPr>
        <w:t xml:space="preserve"> through late, over budget projects that fail to deliver the right quality for clients. Improvements </w:t>
      </w:r>
      <w:r w:rsidR="00AE7DC2" w:rsidRPr="00A77AF6">
        <w:rPr>
          <w:rFonts w:cstheme="minorHAnsi"/>
        </w:rPr>
        <w:t xml:space="preserve">suggested </w:t>
      </w:r>
      <w:r w:rsidR="0056083A" w:rsidRPr="00A77AF6">
        <w:rPr>
          <w:rFonts w:cstheme="minorHAnsi"/>
        </w:rPr>
        <w:t xml:space="preserve">included </w:t>
      </w:r>
      <w:r w:rsidR="00A250F8" w:rsidRPr="00A77AF6">
        <w:rPr>
          <w:rFonts w:cstheme="minorHAnsi"/>
        </w:rPr>
        <w:t>new types of contracts</w:t>
      </w:r>
      <w:r w:rsidR="0056083A" w:rsidRPr="00A77AF6">
        <w:rPr>
          <w:rFonts w:cstheme="minorHAnsi"/>
        </w:rPr>
        <w:t xml:space="preserve">, </w:t>
      </w:r>
      <w:r w:rsidRPr="00A77AF6">
        <w:rPr>
          <w:rFonts w:cstheme="minorHAnsi"/>
        </w:rPr>
        <w:t>partnering</w:t>
      </w:r>
      <w:r w:rsidR="00370C36" w:rsidRPr="00A77AF6">
        <w:rPr>
          <w:rFonts w:cstheme="minorHAnsi"/>
        </w:rPr>
        <w:t xml:space="preserve">, </w:t>
      </w:r>
      <w:r w:rsidRPr="00A77AF6">
        <w:rPr>
          <w:rFonts w:cstheme="minorHAnsi"/>
        </w:rPr>
        <w:t>continuous improvement</w:t>
      </w:r>
      <w:r w:rsidR="00942055" w:rsidRPr="00A77AF6">
        <w:rPr>
          <w:rFonts w:cstheme="minorHAnsi"/>
        </w:rPr>
        <w:t xml:space="preserve">, </w:t>
      </w:r>
      <w:r w:rsidR="002A01BE">
        <w:rPr>
          <w:rFonts w:cstheme="minorHAnsi"/>
        </w:rPr>
        <w:t xml:space="preserve">better </w:t>
      </w:r>
      <w:r w:rsidR="00370C36" w:rsidRPr="00A77AF6">
        <w:rPr>
          <w:rFonts w:cstheme="minorHAnsi"/>
        </w:rPr>
        <w:t>client focu</w:t>
      </w:r>
      <w:r w:rsidR="00942055" w:rsidRPr="00A77AF6">
        <w:rPr>
          <w:rFonts w:cstheme="minorHAnsi"/>
        </w:rPr>
        <w:t>s</w:t>
      </w:r>
      <w:r w:rsidR="0056083A" w:rsidRPr="00A77AF6">
        <w:rPr>
          <w:rFonts w:cstheme="minorHAnsi"/>
        </w:rPr>
        <w:t xml:space="preserve">, </w:t>
      </w:r>
      <w:r w:rsidR="00942055" w:rsidRPr="00A77AF6">
        <w:rPr>
          <w:rFonts w:cstheme="minorHAnsi"/>
        </w:rPr>
        <w:t>education</w:t>
      </w:r>
      <w:r w:rsidR="0056083A" w:rsidRPr="00A77AF6">
        <w:rPr>
          <w:rFonts w:cstheme="minorHAnsi"/>
        </w:rPr>
        <w:t xml:space="preserve">, offsite construction, </w:t>
      </w:r>
      <w:r w:rsidRPr="00A77AF6">
        <w:rPr>
          <w:rFonts w:cstheme="minorHAnsi"/>
        </w:rPr>
        <w:t>improved efficiency</w:t>
      </w:r>
      <w:r w:rsidR="00370C36" w:rsidRPr="00A77AF6">
        <w:rPr>
          <w:rFonts w:cstheme="minorHAnsi"/>
        </w:rPr>
        <w:t xml:space="preserve">, </w:t>
      </w:r>
      <w:r w:rsidR="0056083A" w:rsidRPr="00A77AF6">
        <w:rPr>
          <w:rFonts w:cstheme="minorHAnsi"/>
        </w:rPr>
        <w:t>informed clients, the use of technology including building information modelling (BIM)</w:t>
      </w:r>
      <w:r w:rsidR="002A01BE">
        <w:rPr>
          <w:rFonts w:cstheme="minorHAnsi"/>
        </w:rPr>
        <w:t xml:space="preserve"> and </w:t>
      </w:r>
      <w:r w:rsidR="0056083A" w:rsidRPr="00A77AF6">
        <w:rPr>
          <w:rFonts w:cstheme="minorHAnsi"/>
        </w:rPr>
        <w:t>improved research</w:t>
      </w:r>
      <w:r w:rsidR="002A01BE">
        <w:rPr>
          <w:rFonts w:cstheme="minorHAnsi"/>
        </w:rPr>
        <w:t xml:space="preserve">, </w:t>
      </w:r>
      <w:r w:rsidR="0056083A" w:rsidRPr="00A77AF6">
        <w:rPr>
          <w:rFonts w:cstheme="minorHAnsi"/>
        </w:rPr>
        <w:t xml:space="preserve">development and productivity (Latham 1994, Egan, 1988, </w:t>
      </w:r>
      <w:r w:rsidRPr="00A77AF6">
        <w:rPr>
          <w:rFonts w:cstheme="minorHAnsi"/>
        </w:rPr>
        <w:t xml:space="preserve">Wolstenholme, 2009 </w:t>
      </w:r>
      <w:r w:rsidR="00370C36" w:rsidRPr="00A77AF6">
        <w:rPr>
          <w:rFonts w:cstheme="minorHAnsi"/>
        </w:rPr>
        <w:t>and</w:t>
      </w:r>
      <w:r w:rsidR="0056083A" w:rsidRPr="00A77AF6">
        <w:rPr>
          <w:rFonts w:cstheme="minorHAnsi"/>
        </w:rPr>
        <w:t xml:space="preserve"> Cabinet Office, 2011, HM Government, 2013</w:t>
      </w:r>
      <w:r w:rsidR="00AE7DC2" w:rsidRPr="00A77AF6">
        <w:rPr>
          <w:rFonts w:cstheme="minorHAnsi"/>
        </w:rPr>
        <w:t xml:space="preserve"> </w:t>
      </w:r>
      <w:r w:rsidR="00942055" w:rsidRPr="00A77AF6">
        <w:rPr>
          <w:rFonts w:cstheme="minorHAnsi"/>
        </w:rPr>
        <w:t>and</w:t>
      </w:r>
      <w:r w:rsidR="0056083A" w:rsidRPr="00A77AF6">
        <w:rPr>
          <w:rFonts w:cstheme="minorHAnsi"/>
        </w:rPr>
        <w:t xml:space="preserve"> Farmer, 2016)</w:t>
      </w:r>
      <w:r w:rsidR="00942055" w:rsidRPr="00A77AF6">
        <w:rPr>
          <w:rFonts w:cstheme="minorHAnsi"/>
        </w:rPr>
        <w:t xml:space="preserve">. </w:t>
      </w:r>
    </w:p>
    <w:p w14:paraId="3EB878BC" w14:textId="212AE812" w:rsidR="00122C24" w:rsidRPr="00A77AF6" w:rsidRDefault="00942055" w:rsidP="003C288D">
      <w:pPr>
        <w:spacing w:after="0" w:line="360" w:lineRule="auto"/>
        <w:rPr>
          <w:b/>
        </w:rPr>
      </w:pPr>
      <w:r w:rsidRPr="00A77AF6">
        <w:rPr>
          <w:rFonts w:cstheme="minorHAnsi"/>
        </w:rPr>
        <w:t>The performance of projects is important for the economy and</w:t>
      </w:r>
      <w:r w:rsidR="00A250F8" w:rsidRPr="00A77AF6">
        <w:rPr>
          <w:rFonts w:cstheme="minorHAnsi"/>
        </w:rPr>
        <w:t xml:space="preserve"> t</w:t>
      </w:r>
      <w:r w:rsidR="00A250F8" w:rsidRPr="00A77AF6">
        <w:t>he cost of failure is high</w:t>
      </w:r>
      <w:r w:rsidRPr="00A77AF6">
        <w:t xml:space="preserve">. The </w:t>
      </w:r>
      <w:r w:rsidR="00A250F8" w:rsidRPr="00A77AF6">
        <w:t>APM (2015) noted</w:t>
      </w:r>
      <w:r w:rsidR="003C288D" w:rsidRPr="00A77AF6">
        <w:t xml:space="preserve"> that the cost of failed projects can be </w:t>
      </w:r>
      <w:r w:rsidR="008C3A13" w:rsidRPr="00A77AF6">
        <w:t>detrimental</w:t>
      </w:r>
      <w:r w:rsidR="003C288D" w:rsidRPr="00A77AF6">
        <w:t xml:space="preserve"> for the economy, environment and society. </w:t>
      </w:r>
      <w:r w:rsidR="00D12641" w:rsidRPr="00A77AF6">
        <w:t>Poor project</w:t>
      </w:r>
      <w:r w:rsidR="003E5557" w:rsidRPr="00A77AF6">
        <w:t xml:space="preserve"> management and project </w:t>
      </w:r>
      <w:r w:rsidR="007D58D1" w:rsidRPr="00A77AF6">
        <w:t>failure</w:t>
      </w:r>
      <w:r w:rsidR="00257AD1" w:rsidRPr="00A77AF6">
        <w:t xml:space="preserve"> are wasteful of resources and</w:t>
      </w:r>
      <w:r w:rsidR="00D12641" w:rsidRPr="00A77AF6">
        <w:t xml:space="preserve"> increas</w:t>
      </w:r>
      <w:r w:rsidR="00257AD1" w:rsidRPr="00A77AF6">
        <w:t>e</w:t>
      </w:r>
      <w:r w:rsidR="00D12641" w:rsidRPr="00A77AF6">
        <w:t xml:space="preserve"> </w:t>
      </w:r>
      <w:r w:rsidR="00D12641" w:rsidRPr="00A77AF6">
        <w:lastRenderedPageBreak/>
        <w:t>costs to clients, contractors and their supply chains in the short and long term.</w:t>
      </w:r>
      <w:r w:rsidRPr="00A77AF6">
        <w:t xml:space="preserve"> The NHS is not immune from the negative impacts of l</w:t>
      </w:r>
      <w:r w:rsidR="00D12641" w:rsidRPr="00A77AF6">
        <w:t>ate or over budget projects</w:t>
      </w:r>
      <w:r w:rsidRPr="00A77AF6">
        <w:t xml:space="preserve">.  The </w:t>
      </w:r>
      <w:r w:rsidR="00F5009E">
        <w:t>CIM</w:t>
      </w:r>
      <w:r w:rsidRPr="00A77AF6">
        <w:t xml:space="preserve"> (1994) linked poor project performance </w:t>
      </w:r>
      <w:r w:rsidR="00F5009E">
        <w:t xml:space="preserve">to </w:t>
      </w:r>
      <w:r w:rsidR="00D12641" w:rsidRPr="00A77AF6">
        <w:t>increased taxes or cuts in service</w:t>
      </w:r>
      <w:r w:rsidR="00B719CF" w:rsidRPr="00A77AF6">
        <w:t xml:space="preserve">, </w:t>
      </w:r>
    </w:p>
    <w:p w14:paraId="729F084A" w14:textId="01D45F32" w:rsidR="00122C24" w:rsidRPr="00A77AF6" w:rsidRDefault="00122C24" w:rsidP="0063055C">
      <w:pPr>
        <w:spacing w:after="240" w:line="240" w:lineRule="auto"/>
        <w:ind w:left="720"/>
      </w:pPr>
      <w:r w:rsidRPr="00A77AF6">
        <w:rPr>
          <w:i/>
        </w:rPr>
        <w:t xml:space="preserve">‘Resources wasted through poor decision making and ineffective project control invariably mean a shift of </w:t>
      </w:r>
      <w:r w:rsidR="00C33D6D" w:rsidRPr="00A77AF6">
        <w:rPr>
          <w:i/>
        </w:rPr>
        <w:t>r</w:t>
      </w:r>
      <w:r w:rsidRPr="00A77AF6">
        <w:rPr>
          <w:i/>
        </w:rPr>
        <w:t>esources away from direct patient care</w:t>
      </w:r>
      <w:r w:rsidR="00071E66" w:rsidRPr="00A77AF6">
        <w:rPr>
          <w:i/>
        </w:rPr>
        <w:t>….</w:t>
      </w:r>
      <w:r w:rsidRPr="00A77AF6">
        <w:rPr>
          <w:i/>
        </w:rPr>
        <w:t xml:space="preserve">This cannot be allowed to happen </w:t>
      </w:r>
      <w:r w:rsidRPr="00A77AF6">
        <w:t>(NHS Executive, 1994, for</w:t>
      </w:r>
      <w:r w:rsidR="0063055C" w:rsidRPr="00A77AF6">
        <w:t>e</w:t>
      </w:r>
      <w:r w:rsidRPr="00A77AF6">
        <w:t>w</w:t>
      </w:r>
      <w:r w:rsidR="0063055C" w:rsidRPr="00A77AF6">
        <w:t>o</w:t>
      </w:r>
      <w:r w:rsidRPr="00A77AF6">
        <w:t>rd)</w:t>
      </w:r>
    </w:p>
    <w:p w14:paraId="1C2E3E61" w14:textId="6866C731" w:rsidR="0055516D" w:rsidRPr="00A77AF6" w:rsidRDefault="003E74A3" w:rsidP="00CD0114">
      <w:pPr>
        <w:spacing w:after="0" w:line="360" w:lineRule="auto"/>
      </w:pPr>
      <w:r w:rsidRPr="00A77AF6">
        <w:t>The UK government has issued guidance</w:t>
      </w:r>
      <w:r w:rsidR="00257AD1" w:rsidRPr="00A77AF6">
        <w:t xml:space="preserve"> </w:t>
      </w:r>
      <w:r w:rsidR="0055516D" w:rsidRPr="00A77AF6">
        <w:t xml:space="preserve">to </w:t>
      </w:r>
      <w:r w:rsidR="00942055" w:rsidRPr="00A77AF6">
        <w:t>help public bodies procure projects more effectively</w:t>
      </w:r>
      <w:r w:rsidR="00CD0114" w:rsidRPr="00A77AF6">
        <w:t>;</w:t>
      </w:r>
      <w:r w:rsidR="00942055" w:rsidRPr="00A77AF6">
        <w:t xml:space="preserve"> </w:t>
      </w:r>
      <w:r w:rsidRPr="00A77AF6">
        <w:t xml:space="preserve">examples include </w:t>
      </w:r>
      <w:r w:rsidR="00942055" w:rsidRPr="00A77AF6">
        <w:t>the Green Book (</w:t>
      </w:r>
      <w:r w:rsidRPr="00A77AF6">
        <w:t xml:space="preserve">HMT </w:t>
      </w:r>
      <w:r w:rsidR="00942055" w:rsidRPr="00A77AF6">
        <w:t>2003, 2018);</w:t>
      </w:r>
      <w:r w:rsidRPr="00A77AF6">
        <w:t xml:space="preserve"> Project Governance </w:t>
      </w:r>
      <w:sdt>
        <w:sdtPr>
          <w:id w:val="1785307337"/>
          <w:citation/>
        </w:sdtPr>
        <w:sdtEndPr/>
        <w:sdtContent>
          <w:r w:rsidRPr="00A77AF6">
            <w:fldChar w:fldCharType="begin"/>
          </w:r>
          <w:r w:rsidRPr="00A77AF6">
            <w:instrText xml:space="preserve">CITATION HMT07 \l 2057 </w:instrText>
          </w:r>
          <w:r w:rsidRPr="00A77AF6">
            <w:fldChar w:fldCharType="separate"/>
          </w:r>
          <w:r w:rsidR="008E653F" w:rsidRPr="00A77AF6">
            <w:t>(HMT, 2007)</w:t>
          </w:r>
          <w:r w:rsidRPr="00A77AF6">
            <w:fldChar w:fldCharType="end"/>
          </w:r>
        </w:sdtContent>
      </w:sdt>
      <w:r w:rsidRPr="00A77AF6">
        <w:t>, the Introduction to Projects</w:t>
      </w:r>
      <w:sdt>
        <w:sdtPr>
          <w:id w:val="1092900648"/>
          <w:citation/>
        </w:sdtPr>
        <w:sdtEndPr/>
        <w:sdtContent>
          <w:r w:rsidRPr="00A77AF6">
            <w:fldChar w:fldCharType="begin"/>
          </w:r>
          <w:r w:rsidRPr="00A77AF6">
            <w:instrText xml:space="preserve"> CITATION OGC10 \l 2057 </w:instrText>
          </w:r>
          <w:r w:rsidRPr="00A77AF6">
            <w:fldChar w:fldCharType="separate"/>
          </w:r>
          <w:r w:rsidR="008E653F" w:rsidRPr="00A77AF6">
            <w:t xml:space="preserve"> (OGC, 2010)</w:t>
          </w:r>
          <w:r w:rsidRPr="00A77AF6">
            <w:fldChar w:fldCharType="end"/>
          </w:r>
        </w:sdtContent>
      </w:sdt>
      <w:r w:rsidRPr="00A77AF6">
        <w:t xml:space="preserve"> and the Orange Book of Risk </w:t>
      </w:r>
      <w:sdt>
        <w:sdtPr>
          <w:id w:val="-130868813"/>
          <w:citation/>
        </w:sdtPr>
        <w:sdtEndPr/>
        <w:sdtContent>
          <w:r w:rsidRPr="00A77AF6">
            <w:fldChar w:fldCharType="begin"/>
          </w:r>
          <w:r w:rsidRPr="00A77AF6">
            <w:instrText xml:space="preserve"> CITATION HMT19 \l 2057 </w:instrText>
          </w:r>
          <w:r w:rsidRPr="00A77AF6">
            <w:fldChar w:fldCharType="separate"/>
          </w:r>
          <w:r w:rsidR="008E653F" w:rsidRPr="00A77AF6">
            <w:t>(HMT, 2019)</w:t>
          </w:r>
          <w:r w:rsidRPr="00A77AF6">
            <w:fldChar w:fldCharType="end"/>
          </w:r>
        </w:sdtContent>
      </w:sdt>
      <w:r w:rsidRPr="00A77AF6">
        <w:t xml:space="preserve">.  </w:t>
      </w:r>
      <w:r w:rsidR="00CD0114" w:rsidRPr="00A77AF6">
        <w:t>T</w:t>
      </w:r>
      <w:r w:rsidRPr="00A77AF6">
        <w:t xml:space="preserve">he NHS </w:t>
      </w:r>
      <w:r w:rsidR="009A523E" w:rsidRPr="00A77AF6">
        <w:t xml:space="preserve">has </w:t>
      </w:r>
      <w:r w:rsidRPr="00A77AF6">
        <w:t xml:space="preserve">been provided with </w:t>
      </w:r>
      <w:r w:rsidR="00CD0114" w:rsidRPr="00A77AF6">
        <w:t xml:space="preserve">its own </w:t>
      </w:r>
      <w:r w:rsidRPr="00A77AF6">
        <w:t>specific guidance</w:t>
      </w:r>
      <w:r w:rsidR="009A523E" w:rsidRPr="00A77AF6">
        <w:t xml:space="preserve"> such as the CIM</w:t>
      </w:r>
      <w:r w:rsidR="00963B73">
        <w:t xml:space="preserve"> (</w:t>
      </w:r>
      <w:r w:rsidR="009A523E" w:rsidRPr="00A77AF6">
        <w:t>1994</w:t>
      </w:r>
      <w:r w:rsidR="00963B73">
        <w:t>)</w:t>
      </w:r>
      <w:r w:rsidR="009A523E" w:rsidRPr="00A77AF6">
        <w:t xml:space="preserve"> </w:t>
      </w:r>
      <w:r w:rsidR="0055516D" w:rsidRPr="00A77AF6">
        <w:t xml:space="preserve">to </w:t>
      </w:r>
      <w:r w:rsidR="00CD0114" w:rsidRPr="00A77AF6">
        <w:t xml:space="preserve">encourage effective project management by </w:t>
      </w:r>
      <w:r w:rsidR="0055516D" w:rsidRPr="00A77AF6">
        <w:t>reduc</w:t>
      </w:r>
      <w:r w:rsidR="00CD0114" w:rsidRPr="00A77AF6">
        <w:t>ing</w:t>
      </w:r>
      <w:r w:rsidR="0055516D" w:rsidRPr="00A77AF6">
        <w:t xml:space="preserve"> waste and cost</w:t>
      </w:r>
      <w:r w:rsidR="00CD0114" w:rsidRPr="00A77AF6">
        <w:t xml:space="preserve">. </w:t>
      </w:r>
      <w:r w:rsidR="009A523E" w:rsidRPr="00A77AF6">
        <w:t xml:space="preserve">The NHS Executive noted that </w:t>
      </w:r>
    </w:p>
    <w:p w14:paraId="4EA68CF4" w14:textId="78F2A912" w:rsidR="0055516D" w:rsidRPr="00A77AF6" w:rsidRDefault="0055516D" w:rsidP="0055516D">
      <w:pPr>
        <w:spacing w:after="240" w:line="240" w:lineRule="auto"/>
        <w:ind w:left="720"/>
      </w:pPr>
      <w:r w:rsidRPr="00A77AF6">
        <w:rPr>
          <w:i/>
        </w:rPr>
        <w:t>‘By observing the principles set out in this manual such waste will be minimised or eliminated.</w:t>
      </w:r>
      <w:r w:rsidRPr="00A77AF6">
        <w:t>’  (NHS Executive, 1994, foreword)</w:t>
      </w:r>
    </w:p>
    <w:p w14:paraId="104D08AF" w14:textId="6427FA97" w:rsidR="009A523E" w:rsidRPr="00A77AF6" w:rsidRDefault="009A523E" w:rsidP="009A523E">
      <w:pPr>
        <w:spacing w:after="240" w:line="360" w:lineRule="auto"/>
      </w:pPr>
      <w:r w:rsidRPr="00A77AF6">
        <w:t xml:space="preserve">The implications of projects that do not deliver to time, cost and quality have been well articulated.  </w:t>
      </w:r>
      <w:r w:rsidR="0056083A" w:rsidRPr="00A77AF6">
        <w:t>M</w:t>
      </w:r>
      <w:r w:rsidRPr="00A77AF6">
        <w:t xml:space="preserve">oney </w:t>
      </w:r>
      <w:r w:rsidR="00CD0114" w:rsidRPr="00A77AF6">
        <w:t xml:space="preserve">spent </w:t>
      </w:r>
      <w:r w:rsidR="0056083A" w:rsidRPr="00A77AF6">
        <w:t>on</w:t>
      </w:r>
      <w:r w:rsidRPr="00A77AF6">
        <w:t xml:space="preserve"> late, over budget or </w:t>
      </w:r>
      <w:r w:rsidR="0056083A" w:rsidRPr="00A77AF6">
        <w:t xml:space="preserve">low-quality NHS projects </w:t>
      </w:r>
      <w:r w:rsidR="00CD0114" w:rsidRPr="00A77AF6">
        <w:t xml:space="preserve">is wasted and </w:t>
      </w:r>
      <w:r w:rsidR="0056083A" w:rsidRPr="00A77AF6">
        <w:t>result</w:t>
      </w:r>
      <w:r w:rsidR="00CD0114" w:rsidRPr="00A77AF6">
        <w:t>s</w:t>
      </w:r>
      <w:r w:rsidR="0056083A" w:rsidRPr="00A77AF6">
        <w:t xml:space="preserve"> in </w:t>
      </w:r>
      <w:r w:rsidRPr="00A77AF6">
        <w:t xml:space="preserve">funds </w:t>
      </w:r>
      <w:r w:rsidR="0056083A" w:rsidRPr="00A77AF6">
        <w:t xml:space="preserve">being </w:t>
      </w:r>
      <w:r w:rsidRPr="00A77AF6">
        <w:t xml:space="preserve">diverted away from patient care or </w:t>
      </w:r>
      <w:r w:rsidR="0056083A" w:rsidRPr="00A77AF6">
        <w:t xml:space="preserve">increased </w:t>
      </w:r>
      <w:r w:rsidRPr="00A77AF6">
        <w:t>taxes</w:t>
      </w:r>
      <w:r w:rsidR="00F5009E">
        <w:t xml:space="preserve"> </w:t>
      </w:r>
      <w:sdt>
        <w:sdtPr>
          <w:id w:val="1704902933"/>
          <w:citation/>
        </w:sdtPr>
        <w:sdtEndPr/>
        <w:sdtContent>
          <w:r w:rsidR="00F5009E">
            <w:fldChar w:fldCharType="begin"/>
          </w:r>
          <w:r w:rsidR="00F5009E">
            <w:instrText xml:space="preserve"> CITATION NHS94 \l 2057 </w:instrText>
          </w:r>
          <w:r w:rsidR="00F5009E">
            <w:fldChar w:fldCharType="separate"/>
          </w:r>
          <w:r w:rsidR="00F5009E" w:rsidRPr="00F5009E">
            <w:rPr>
              <w:noProof/>
            </w:rPr>
            <w:t>(NHS Executive, 1994)</w:t>
          </w:r>
          <w:r w:rsidR="00F5009E">
            <w:fldChar w:fldCharType="end"/>
          </w:r>
        </w:sdtContent>
      </w:sdt>
      <w:r w:rsidR="0056083A" w:rsidRPr="00A77AF6">
        <w:t xml:space="preserve">. </w:t>
      </w:r>
      <w:r w:rsidRPr="00A77AF6">
        <w:t xml:space="preserve"> </w:t>
      </w:r>
    </w:p>
    <w:p w14:paraId="3A1FC8F0" w14:textId="7D0AE29B" w:rsidR="00AC51BF" w:rsidRPr="00A77AF6" w:rsidRDefault="00AC51BF" w:rsidP="00AC51BF">
      <w:pPr>
        <w:pStyle w:val="Heading3"/>
        <w:spacing w:after="120"/>
      </w:pPr>
      <w:bookmarkStart w:id="8" w:name="_Toc36275029"/>
      <w:r w:rsidRPr="00A77AF6">
        <w:t>Need for better understanding of “</w:t>
      </w:r>
      <w:r w:rsidR="00E51050" w:rsidRPr="00A77AF6">
        <w:t xml:space="preserve">project </w:t>
      </w:r>
      <w:r w:rsidRPr="00A77AF6">
        <w:t>success” in NHS projects.</w:t>
      </w:r>
      <w:bookmarkEnd w:id="8"/>
      <w:r w:rsidRPr="00A77AF6">
        <w:t xml:space="preserve"> </w:t>
      </w:r>
    </w:p>
    <w:p w14:paraId="3C6F183D" w14:textId="2AB4AF50" w:rsidR="003951F1" w:rsidRPr="00A77AF6" w:rsidRDefault="00551B48" w:rsidP="003951F1">
      <w:pPr>
        <w:spacing w:line="360" w:lineRule="auto"/>
      </w:pPr>
      <w:r w:rsidRPr="00A77AF6">
        <w:t xml:space="preserve">NHS </w:t>
      </w:r>
      <w:r w:rsidR="00EC3F9A" w:rsidRPr="00A77AF6">
        <w:t>construction projects have</w:t>
      </w:r>
      <w:r w:rsidRPr="00A77AF6">
        <w:t xml:space="preserve"> been criticised for missing time and cost targets in some of its construction projects</w:t>
      </w:r>
      <w:r w:rsidR="00CA63F8" w:rsidRPr="00A77AF6">
        <w:t xml:space="preserve">, two examples, ten years apart </w:t>
      </w:r>
      <w:r w:rsidR="00280A8D" w:rsidRPr="00A77AF6">
        <w:t>illustrate</w:t>
      </w:r>
      <w:r w:rsidR="00CA63F8" w:rsidRPr="00A77AF6">
        <w:t xml:space="preserve"> the</w:t>
      </w:r>
      <w:r w:rsidR="00280A8D" w:rsidRPr="00A77AF6">
        <w:t xml:space="preserve"> </w:t>
      </w:r>
      <w:r w:rsidR="00F007CA" w:rsidRPr="00A77AF6">
        <w:t xml:space="preserve">failure of </w:t>
      </w:r>
      <w:r w:rsidR="00CA63F8" w:rsidRPr="00A77AF6">
        <w:t>meet</w:t>
      </w:r>
      <w:r w:rsidR="00280A8D" w:rsidRPr="00A77AF6">
        <w:t>ing</w:t>
      </w:r>
      <w:r w:rsidR="00CA63F8" w:rsidRPr="00A77AF6">
        <w:t xml:space="preserve"> the constraints of the iron triangle</w:t>
      </w:r>
      <w:r w:rsidR="00512CD0" w:rsidRPr="00A77AF6">
        <w:t xml:space="preserve"> (time, cost and quality)</w:t>
      </w:r>
      <w:r w:rsidR="00CA63F8" w:rsidRPr="00A77AF6">
        <w:t>.  T</w:t>
      </w:r>
      <w:r w:rsidRPr="00A77AF6">
        <w:t xml:space="preserve">he </w:t>
      </w:r>
      <w:r w:rsidR="00CA63F8" w:rsidRPr="00A77AF6">
        <w:t xml:space="preserve">initial estimate for the </w:t>
      </w:r>
      <w:r w:rsidRPr="00A77AF6">
        <w:t xml:space="preserve">redevelopment </w:t>
      </w:r>
      <w:r w:rsidR="00CA63F8" w:rsidRPr="00A77AF6">
        <w:t xml:space="preserve">cost </w:t>
      </w:r>
      <w:r w:rsidRPr="00A77AF6">
        <w:t xml:space="preserve">of </w:t>
      </w:r>
      <w:r w:rsidR="00CA63F8" w:rsidRPr="00A77AF6">
        <w:t xml:space="preserve">Phase III of </w:t>
      </w:r>
      <w:r w:rsidRPr="00A77AF6">
        <w:t xml:space="preserve">Guy’s Hospital in </w:t>
      </w:r>
      <w:r w:rsidR="00512CD0" w:rsidRPr="00A77AF6">
        <w:t>1988</w:t>
      </w:r>
      <w:r w:rsidR="00CA63F8" w:rsidRPr="00A77AF6">
        <w:t xml:space="preserve"> was £35.5 million but its final cost in 1997 was £159.9 million</w:t>
      </w:r>
      <w:r w:rsidRPr="00A77AF6">
        <w:t xml:space="preserve"> </w:t>
      </w:r>
      <w:sdt>
        <w:sdtPr>
          <w:id w:val="793171482"/>
          <w:citation/>
        </w:sdtPr>
        <w:sdtEndPr/>
        <w:sdtContent>
          <w:r w:rsidRPr="00A77AF6">
            <w:fldChar w:fldCharType="begin"/>
          </w:r>
          <w:r w:rsidRPr="00A77AF6">
            <w:instrText xml:space="preserve"> CITATION NAO98 \l 2057 </w:instrText>
          </w:r>
          <w:r w:rsidRPr="00A77AF6">
            <w:fldChar w:fldCharType="separate"/>
          </w:r>
          <w:r w:rsidR="008E653F" w:rsidRPr="00A77AF6">
            <w:t>(NAO, 1998)</w:t>
          </w:r>
          <w:r w:rsidRPr="00A77AF6">
            <w:fldChar w:fldCharType="end"/>
          </w:r>
        </w:sdtContent>
      </w:sdt>
      <w:r w:rsidR="00EC3F9A" w:rsidRPr="00A77AF6">
        <w:t>. Th</w:t>
      </w:r>
      <w:r w:rsidR="00CA63F8" w:rsidRPr="00A77AF6">
        <w:t xml:space="preserve">e Liverpool Royal Infirmary </w:t>
      </w:r>
      <w:r w:rsidR="00EC3F9A" w:rsidRPr="00A77AF6">
        <w:t xml:space="preserve">project </w:t>
      </w:r>
      <w:r w:rsidR="00CA63F8" w:rsidRPr="00A77AF6">
        <w:t xml:space="preserve">was over budget and a year late, before the collapse of Carillion </w:t>
      </w:r>
      <w:sdt>
        <w:sdtPr>
          <w:id w:val="1041635055"/>
          <w:citation/>
        </w:sdtPr>
        <w:sdtEndPr/>
        <w:sdtContent>
          <w:r w:rsidR="00CA63F8" w:rsidRPr="00A77AF6">
            <w:fldChar w:fldCharType="begin"/>
          </w:r>
          <w:r w:rsidR="00CA63F8" w:rsidRPr="00A77AF6">
            <w:instrText xml:space="preserve"> CITATION BMA18 \l 2057 </w:instrText>
          </w:r>
          <w:r w:rsidR="00CA63F8" w:rsidRPr="00A77AF6">
            <w:fldChar w:fldCharType="separate"/>
          </w:r>
          <w:r w:rsidR="008E653F" w:rsidRPr="00A77AF6">
            <w:t>(BMA, 2018)</w:t>
          </w:r>
          <w:r w:rsidR="00CA63F8" w:rsidRPr="00A77AF6">
            <w:fldChar w:fldCharType="end"/>
          </w:r>
        </w:sdtContent>
      </w:sdt>
      <w:r w:rsidR="00F007CA" w:rsidRPr="00A77AF6">
        <w:t xml:space="preserve">.  </w:t>
      </w:r>
    </w:p>
    <w:p w14:paraId="4C1FDC53" w14:textId="1E44495E" w:rsidR="00E155B2" w:rsidRPr="00A77AF6" w:rsidRDefault="00F5009E" w:rsidP="003951F1">
      <w:pPr>
        <w:spacing w:line="360" w:lineRule="auto"/>
      </w:pPr>
      <w:r>
        <w:t>A</w:t>
      </w:r>
      <w:r w:rsidR="0046544D" w:rsidRPr="00A77AF6">
        <w:t>cademic</w:t>
      </w:r>
      <w:r w:rsidR="003E5557" w:rsidRPr="00A77AF6">
        <w:t xml:space="preserve"> research </w:t>
      </w:r>
      <w:r w:rsidR="005E05A1" w:rsidRPr="00A77AF6">
        <w:t xml:space="preserve">which defines </w:t>
      </w:r>
      <w:r w:rsidR="00214506" w:rsidRPr="00A77AF6">
        <w:t>project success</w:t>
      </w:r>
      <w:r w:rsidR="00EC3F9A" w:rsidRPr="00A77AF6">
        <w:t xml:space="preserve">, </w:t>
      </w:r>
      <w:r w:rsidR="00B74590" w:rsidRPr="00A77AF6">
        <w:t>available since the 19</w:t>
      </w:r>
      <w:r w:rsidR="00D25809" w:rsidRPr="00A77AF6">
        <w:t>6</w:t>
      </w:r>
      <w:r w:rsidR="00B74590" w:rsidRPr="00A77AF6">
        <w:t>0s</w:t>
      </w:r>
      <w:r w:rsidR="00BC7E8D" w:rsidRPr="00A77AF6">
        <w:t xml:space="preserve"> </w:t>
      </w:r>
      <w:sdt>
        <w:sdtPr>
          <w:id w:val="1827087616"/>
          <w:citation/>
        </w:sdtPr>
        <w:sdtEndPr/>
        <w:sdtContent>
          <w:r w:rsidR="0028578F" w:rsidRPr="00A77AF6">
            <w:fldChar w:fldCharType="begin"/>
          </w:r>
          <w:r w:rsidR="0028578F" w:rsidRPr="00A77AF6">
            <w:instrText xml:space="preserve"> CITATION Coo02 \l 2057 </w:instrText>
          </w:r>
          <w:r w:rsidR="0028578F" w:rsidRPr="00A77AF6">
            <w:fldChar w:fldCharType="separate"/>
          </w:r>
          <w:r w:rsidR="008E653F" w:rsidRPr="00A77AF6">
            <w:t>(Cooke-Davies, 2002)</w:t>
          </w:r>
          <w:r w:rsidR="0028578F" w:rsidRPr="00A77AF6">
            <w:fldChar w:fldCharType="end"/>
          </w:r>
        </w:sdtContent>
      </w:sdt>
      <w:r w:rsidR="00EC3F9A" w:rsidRPr="00A77AF6">
        <w:t xml:space="preserve">, has </w:t>
      </w:r>
      <w:r w:rsidR="00AC51BF" w:rsidRPr="00A77AF6">
        <w:t xml:space="preserve">called into question </w:t>
      </w:r>
      <w:r w:rsidR="00EC3F9A" w:rsidRPr="00A77AF6">
        <w:t>t</w:t>
      </w:r>
      <w:r w:rsidR="00AC51BF" w:rsidRPr="00A77AF6">
        <w:t>he relevance and effectiveness of the traditional ‘iron triangle’ of time, cost and quality</w:t>
      </w:r>
      <w:r w:rsidR="00E155B2" w:rsidRPr="00A77AF6">
        <w:t xml:space="preserve">.  </w:t>
      </w:r>
      <w:r w:rsidR="00280A8D" w:rsidRPr="00A77AF6">
        <w:t>Th</w:t>
      </w:r>
      <w:r w:rsidR="009A523E" w:rsidRPr="00A77AF6">
        <w:t xml:space="preserve">is </w:t>
      </w:r>
      <w:r w:rsidR="00B822FB" w:rsidRPr="00A77AF6">
        <w:t xml:space="preserve">study </w:t>
      </w:r>
      <w:r w:rsidR="00B96ECC" w:rsidRPr="00A77AF6">
        <w:t>uses</w:t>
      </w:r>
      <w:r w:rsidR="00B822FB" w:rsidRPr="00A77AF6">
        <w:t xml:space="preserve"> the traditional </w:t>
      </w:r>
      <w:r w:rsidR="00B96ECC" w:rsidRPr="00A77AF6">
        <w:t xml:space="preserve">‘iron triangle’ </w:t>
      </w:r>
      <w:r w:rsidR="00B822FB" w:rsidRPr="00A77AF6">
        <w:t xml:space="preserve">because </w:t>
      </w:r>
      <w:r w:rsidR="009A523E" w:rsidRPr="00A77AF6">
        <w:t>there does not appear to be an u</w:t>
      </w:r>
      <w:r w:rsidR="00B822FB" w:rsidRPr="00A77AF6">
        <w:t>ncontested alternative</w:t>
      </w:r>
      <w:r w:rsidR="00B96ECC" w:rsidRPr="00A77AF6">
        <w:t xml:space="preserve">.  </w:t>
      </w:r>
      <w:r w:rsidR="009A523E" w:rsidRPr="00A77AF6">
        <w:t xml:space="preserve">However, it is recognised that the iron triangle is an imperfect measure, so this study </w:t>
      </w:r>
      <w:r w:rsidR="00B96ECC" w:rsidRPr="00A77AF6">
        <w:t xml:space="preserve">used two </w:t>
      </w:r>
      <w:r w:rsidR="00460923" w:rsidRPr="00A77AF6">
        <w:t xml:space="preserve">other measures </w:t>
      </w:r>
      <w:r w:rsidR="00B96ECC" w:rsidRPr="00A77AF6">
        <w:t>which were</w:t>
      </w:r>
      <w:r w:rsidR="009A523E" w:rsidRPr="00A77AF6">
        <w:t xml:space="preserve">: </w:t>
      </w:r>
      <w:r w:rsidR="001820EF" w:rsidRPr="00A77AF6">
        <w:t xml:space="preserve">success in the opinion </w:t>
      </w:r>
      <w:r w:rsidR="00732561" w:rsidRPr="00A77AF6">
        <w:t xml:space="preserve">of project personnel </w:t>
      </w:r>
      <w:r w:rsidR="00CA3272" w:rsidRPr="00A77AF6">
        <w:t xml:space="preserve">and </w:t>
      </w:r>
      <w:r w:rsidR="00B96ECC" w:rsidRPr="00A77AF6">
        <w:t xml:space="preserve">success measured on a sliding scale </w:t>
      </w:r>
      <w:r w:rsidR="0020206F" w:rsidRPr="00A77AF6">
        <w:t xml:space="preserve">that </w:t>
      </w:r>
      <w:r w:rsidR="00EE1D87" w:rsidRPr="00A77AF6">
        <w:t>tolera</w:t>
      </w:r>
      <w:r w:rsidR="001D40E8" w:rsidRPr="00A77AF6">
        <w:t>t</w:t>
      </w:r>
      <w:r w:rsidR="00B96ECC" w:rsidRPr="00A77AF6">
        <w:t xml:space="preserve">es the slight missing of two of the </w:t>
      </w:r>
      <w:r w:rsidR="00C73EF7" w:rsidRPr="00A77AF6">
        <w:t xml:space="preserve">iron triangle measures. </w:t>
      </w:r>
    </w:p>
    <w:p w14:paraId="3F3187AF" w14:textId="17203C2F" w:rsidR="0093527F" w:rsidRPr="00A77AF6" w:rsidRDefault="0093527F" w:rsidP="005E05A1">
      <w:pPr>
        <w:pStyle w:val="Heading3"/>
        <w:spacing w:line="360" w:lineRule="auto"/>
      </w:pPr>
      <w:bookmarkStart w:id="9" w:name="_Toc36275030"/>
      <w:r w:rsidRPr="00A77AF6">
        <w:t xml:space="preserve">Need to understand the role of ethics </w:t>
      </w:r>
      <w:r w:rsidR="00C03375" w:rsidRPr="00A77AF6">
        <w:t xml:space="preserve">and governance </w:t>
      </w:r>
      <w:r w:rsidRPr="00A77AF6">
        <w:t>in NHS construction</w:t>
      </w:r>
      <w:bookmarkEnd w:id="9"/>
      <w:r w:rsidRPr="00A77AF6">
        <w:t xml:space="preserve"> </w:t>
      </w:r>
    </w:p>
    <w:p w14:paraId="16CDB01D" w14:textId="315CC2CE" w:rsidR="005E05A1" w:rsidRPr="00A77AF6" w:rsidRDefault="00F1681C" w:rsidP="00473F95">
      <w:pPr>
        <w:spacing w:after="240" w:line="360" w:lineRule="auto"/>
      </w:pPr>
      <w:r w:rsidRPr="00A77AF6">
        <w:t xml:space="preserve">Ethical </w:t>
      </w:r>
      <w:r w:rsidR="0093527F" w:rsidRPr="00A77AF6">
        <w:t xml:space="preserve">predisposition in NHS construction projects was investigated </w:t>
      </w:r>
      <w:r w:rsidR="001D40E8" w:rsidRPr="00A77AF6">
        <w:t>because</w:t>
      </w:r>
      <w:r w:rsidR="0093527F" w:rsidRPr="00A77AF6">
        <w:t xml:space="preserve"> studies </w:t>
      </w:r>
      <w:r w:rsidRPr="00A77AF6">
        <w:t xml:space="preserve">have </w:t>
      </w:r>
      <w:r w:rsidR="00961297" w:rsidRPr="00A77AF6">
        <w:t>suggest</w:t>
      </w:r>
      <w:r w:rsidRPr="00A77AF6">
        <w:t xml:space="preserve">ed </w:t>
      </w:r>
      <w:r w:rsidR="0093527F" w:rsidRPr="00A77AF6">
        <w:t>that rules-following (</w:t>
      </w:r>
      <w:r w:rsidRPr="00A77AF6">
        <w:t xml:space="preserve">ethical </w:t>
      </w:r>
      <w:r w:rsidR="0093527F" w:rsidRPr="00A77AF6">
        <w:t xml:space="preserve">formalism) </w:t>
      </w:r>
      <w:r w:rsidR="00500033" w:rsidRPr="00A77AF6">
        <w:t xml:space="preserve">is </w:t>
      </w:r>
      <w:r w:rsidRPr="00A77AF6">
        <w:t xml:space="preserve">beneficial to organisations because openness </w:t>
      </w:r>
      <w:r w:rsidRPr="00A77AF6">
        <w:lastRenderedPageBreak/>
        <w:t>and transparenc</w:t>
      </w:r>
      <w:r w:rsidR="00564372" w:rsidRPr="00A77AF6">
        <w:t>y, which underpin good governance, maintain the confidence of stakeholders</w:t>
      </w:r>
      <w:r w:rsidR="00004579" w:rsidRPr="00A77AF6">
        <w:t xml:space="preserve"> </w:t>
      </w:r>
      <w:sdt>
        <w:sdtPr>
          <w:id w:val="1519279640"/>
          <w:citation/>
        </w:sdtPr>
        <w:sdtEndPr/>
        <w:sdtContent>
          <w:r w:rsidR="00004579" w:rsidRPr="00A77AF6">
            <w:fldChar w:fldCharType="begin"/>
          </w:r>
          <w:r w:rsidR="00004579" w:rsidRPr="00A77AF6">
            <w:instrText xml:space="preserve"> CITATION Fri \l 2057 </w:instrText>
          </w:r>
          <w:r w:rsidR="00004579" w:rsidRPr="00A77AF6">
            <w:fldChar w:fldCharType="separate"/>
          </w:r>
          <w:r w:rsidR="008E653F" w:rsidRPr="00A77AF6">
            <w:t>(Fritzsche &amp; Becker, 1984)</w:t>
          </w:r>
          <w:r w:rsidR="00004579" w:rsidRPr="00A77AF6">
            <w:fldChar w:fldCharType="end"/>
          </w:r>
        </w:sdtContent>
      </w:sdt>
      <w:r w:rsidRPr="00A77AF6">
        <w:t>.</w:t>
      </w:r>
      <w:r w:rsidR="00564372" w:rsidRPr="00A77AF6">
        <w:t xml:space="preserve">  </w:t>
      </w:r>
      <w:r w:rsidR="00004579" w:rsidRPr="00A77AF6">
        <w:t>G</w:t>
      </w:r>
      <w:r w:rsidR="00564372" w:rsidRPr="00A77AF6">
        <w:t>ood governance and public confidence</w:t>
      </w:r>
      <w:r w:rsidR="00004579" w:rsidRPr="00A77AF6">
        <w:t xml:space="preserve"> have been linked </w:t>
      </w:r>
      <w:r w:rsidR="00473F95" w:rsidRPr="00A77AF6">
        <w:t xml:space="preserve">(Cadbury 1992, Christensen, et al., 2007).  </w:t>
      </w:r>
      <w:r w:rsidR="00A46C5D" w:rsidRPr="00A77AF6">
        <w:t xml:space="preserve">Project governance is also thought to contribute to project success </w:t>
      </w:r>
      <w:sdt>
        <w:sdtPr>
          <w:id w:val="1218621857"/>
          <w:citation/>
        </w:sdtPr>
        <w:sdtEndPr/>
        <w:sdtContent>
          <w:r w:rsidR="00A46C5D" w:rsidRPr="00A77AF6">
            <w:fldChar w:fldCharType="begin"/>
          </w:r>
          <w:r w:rsidR="00A46C5D" w:rsidRPr="00A77AF6">
            <w:instrText xml:space="preserve"> CITATION Ass15 \l 2057 </w:instrText>
          </w:r>
          <w:r w:rsidR="00A46C5D" w:rsidRPr="00A77AF6">
            <w:fldChar w:fldCharType="separate"/>
          </w:r>
          <w:r w:rsidR="008E653F" w:rsidRPr="00A77AF6">
            <w:t>(APM, 2015)</w:t>
          </w:r>
          <w:r w:rsidR="00A46C5D" w:rsidRPr="00A77AF6">
            <w:fldChar w:fldCharType="end"/>
          </w:r>
        </w:sdtContent>
      </w:sdt>
      <w:r w:rsidR="00564372" w:rsidRPr="00A77AF6">
        <w:t xml:space="preserve">.  </w:t>
      </w:r>
      <w:r w:rsidR="00473F95" w:rsidRPr="00A77AF6">
        <w:t>However, it is not yet known, so t</w:t>
      </w:r>
      <w:r w:rsidR="00500033" w:rsidRPr="00A77AF6">
        <w:t xml:space="preserve">his study </w:t>
      </w:r>
      <w:r w:rsidR="00A46C5D" w:rsidRPr="00A77AF6">
        <w:t>tested</w:t>
      </w:r>
      <w:r w:rsidR="001D40E8" w:rsidRPr="00A77AF6">
        <w:t xml:space="preserve"> </w:t>
      </w:r>
      <w:r w:rsidR="00A46C5D" w:rsidRPr="00A77AF6">
        <w:t xml:space="preserve">the theory of governance and project success </w:t>
      </w:r>
      <w:r w:rsidR="00500033" w:rsidRPr="00A77AF6">
        <w:t xml:space="preserve">in </w:t>
      </w:r>
      <w:r w:rsidR="00A46C5D" w:rsidRPr="00A77AF6">
        <w:t xml:space="preserve">NHS </w:t>
      </w:r>
      <w:r w:rsidR="00500033" w:rsidRPr="00A77AF6">
        <w:t xml:space="preserve">projects </w:t>
      </w:r>
      <w:r w:rsidR="00A46C5D" w:rsidRPr="00A77AF6">
        <w:t>and tested ethical predisposition in a</w:t>
      </w:r>
      <w:r w:rsidR="00473F95" w:rsidRPr="00A77AF6">
        <w:t>n NHS</w:t>
      </w:r>
      <w:r w:rsidR="00A46C5D" w:rsidRPr="00A77AF6">
        <w:t xml:space="preserve"> project management context to establish if it can be linked t</w:t>
      </w:r>
      <w:r w:rsidR="00500033" w:rsidRPr="00A77AF6">
        <w:t xml:space="preserve">o project success. </w:t>
      </w:r>
      <w:r w:rsidR="00473F95" w:rsidRPr="00A77AF6">
        <w:t xml:space="preserve"> If they are, they can be explicitly included in projects because of their relationship to successful outcome.</w:t>
      </w:r>
    </w:p>
    <w:p w14:paraId="7E9B79EB" w14:textId="251AF8F6" w:rsidR="009E27B5" w:rsidRPr="00A77AF6" w:rsidRDefault="00936B2A" w:rsidP="00473F95">
      <w:pPr>
        <w:pStyle w:val="Heading2"/>
        <w:spacing w:before="120" w:after="240"/>
      </w:pPr>
      <w:bookmarkStart w:id="10" w:name="_Toc36275031"/>
      <w:r w:rsidRPr="00A77AF6">
        <w:t>Aim, r</w:t>
      </w:r>
      <w:r w:rsidR="00D34ED6" w:rsidRPr="00A77AF6">
        <w:t xml:space="preserve">esearch </w:t>
      </w:r>
      <w:r w:rsidR="00E51050" w:rsidRPr="00A77AF6">
        <w:t>q</w:t>
      </w:r>
      <w:r w:rsidR="00D34ED6" w:rsidRPr="00A77AF6">
        <w:t>uestion</w:t>
      </w:r>
      <w:r w:rsidR="00877513" w:rsidRPr="00A77AF6">
        <w:t>s</w:t>
      </w:r>
      <w:r w:rsidR="000B1FFA" w:rsidRPr="00A77AF6">
        <w:t xml:space="preserve"> and</w:t>
      </w:r>
      <w:r w:rsidR="00BB2B5C" w:rsidRPr="00A77AF6">
        <w:t xml:space="preserve"> </w:t>
      </w:r>
      <w:r w:rsidR="00E51050" w:rsidRPr="00A77AF6">
        <w:t>o</w:t>
      </w:r>
      <w:r w:rsidR="00BB2B5C" w:rsidRPr="00A77AF6">
        <w:t>bjectives</w:t>
      </w:r>
      <w:bookmarkEnd w:id="10"/>
    </w:p>
    <w:p w14:paraId="663812E0" w14:textId="00CB3479" w:rsidR="00936B2A" w:rsidRPr="00A77AF6" w:rsidRDefault="00936B2A" w:rsidP="00473F95">
      <w:pPr>
        <w:spacing w:after="0" w:line="360" w:lineRule="auto"/>
        <w:rPr>
          <w:b/>
        </w:rPr>
      </w:pPr>
      <w:r w:rsidRPr="00A77AF6">
        <w:rPr>
          <w:b/>
        </w:rPr>
        <w:t>Aim of the study</w:t>
      </w:r>
    </w:p>
    <w:p w14:paraId="07F56DD7" w14:textId="08785DDB" w:rsidR="00936B2A" w:rsidRPr="00A77AF6" w:rsidRDefault="00936B2A" w:rsidP="00DB59A1">
      <w:pPr>
        <w:spacing w:line="360" w:lineRule="auto"/>
      </w:pPr>
      <w:r w:rsidRPr="00A77AF6">
        <w:t xml:space="preserve">To investigate whether ethical predisposition and governance are critical success factors for </w:t>
      </w:r>
      <w:r w:rsidR="00E03831" w:rsidRPr="00A77AF6">
        <w:t xml:space="preserve">NHS construction projects in England. </w:t>
      </w:r>
    </w:p>
    <w:p w14:paraId="1C3184B8" w14:textId="031C0D54" w:rsidR="00D34ED6" w:rsidRPr="00A77AF6" w:rsidRDefault="00877513" w:rsidP="00473F95">
      <w:pPr>
        <w:spacing w:after="0" w:line="360" w:lineRule="auto"/>
        <w:rPr>
          <w:b/>
        </w:rPr>
      </w:pPr>
      <w:r w:rsidRPr="00A77AF6">
        <w:rPr>
          <w:b/>
        </w:rPr>
        <w:t>The key r</w:t>
      </w:r>
      <w:r w:rsidR="00D34ED6" w:rsidRPr="00A77AF6">
        <w:rPr>
          <w:b/>
        </w:rPr>
        <w:t xml:space="preserve">esearch </w:t>
      </w:r>
      <w:r w:rsidRPr="00A77AF6">
        <w:rPr>
          <w:b/>
        </w:rPr>
        <w:t>q</w:t>
      </w:r>
      <w:r w:rsidR="00D34ED6" w:rsidRPr="00A77AF6">
        <w:rPr>
          <w:b/>
        </w:rPr>
        <w:t>uestions</w:t>
      </w:r>
      <w:r w:rsidRPr="00A77AF6">
        <w:rPr>
          <w:b/>
        </w:rPr>
        <w:t xml:space="preserve"> to address are as follows:</w:t>
      </w:r>
    </w:p>
    <w:p w14:paraId="3402BC8C" w14:textId="77777777" w:rsidR="00B9158F" w:rsidRPr="00A77AF6" w:rsidRDefault="00F62855" w:rsidP="00B9158F">
      <w:pPr>
        <w:spacing w:after="0" w:line="360" w:lineRule="auto"/>
        <w:rPr>
          <w:b/>
          <w:bCs/>
        </w:rPr>
      </w:pPr>
      <w:r w:rsidRPr="00A77AF6">
        <w:rPr>
          <w:b/>
          <w:bCs/>
        </w:rPr>
        <w:t>Question 1</w:t>
      </w:r>
      <w:r w:rsidR="00B9158F" w:rsidRPr="00A77AF6">
        <w:rPr>
          <w:b/>
          <w:bCs/>
        </w:rPr>
        <w:t xml:space="preserve">  </w:t>
      </w:r>
    </w:p>
    <w:p w14:paraId="6BA5FA0F" w14:textId="22350E0A" w:rsidR="009D2858" w:rsidRPr="00A77AF6" w:rsidRDefault="00451403" w:rsidP="004A79C9">
      <w:pPr>
        <w:pStyle w:val="ListParagraph"/>
        <w:numPr>
          <w:ilvl w:val="0"/>
          <w:numId w:val="22"/>
        </w:numPr>
        <w:spacing w:after="0" w:line="360" w:lineRule="auto"/>
      </w:pPr>
      <w:r w:rsidRPr="00A77AF6">
        <w:t xml:space="preserve">What is the ethical predisposition of project personnel in </w:t>
      </w:r>
      <w:r w:rsidR="00952BB4" w:rsidRPr="00A77AF6">
        <w:t xml:space="preserve">English </w:t>
      </w:r>
      <w:r w:rsidRPr="00A77AF6">
        <w:t>NHS construction projects</w:t>
      </w:r>
      <w:r w:rsidR="001043A4" w:rsidRPr="00A77AF6">
        <w:t>?</w:t>
      </w:r>
    </w:p>
    <w:p w14:paraId="61CCA2D2" w14:textId="534BF738" w:rsidR="00451403" w:rsidRPr="00A77AF6" w:rsidRDefault="001043A4" w:rsidP="004A79C9">
      <w:pPr>
        <w:pStyle w:val="ListParagraph"/>
        <w:numPr>
          <w:ilvl w:val="0"/>
          <w:numId w:val="22"/>
        </w:numPr>
        <w:spacing w:after="120" w:line="360" w:lineRule="auto"/>
        <w:ind w:left="714" w:hanging="357"/>
      </w:pPr>
      <w:r w:rsidRPr="00A77AF6">
        <w:t>What i</w:t>
      </w:r>
      <w:r w:rsidR="00451403" w:rsidRPr="00A77AF6">
        <w:t xml:space="preserve">mpact does ethical predisposition have on project </w:t>
      </w:r>
      <w:r w:rsidR="007D58D1" w:rsidRPr="00A77AF6">
        <w:t>success</w:t>
      </w:r>
      <w:r w:rsidR="00952BB4" w:rsidRPr="00A77AF6">
        <w:t xml:space="preserve"> English NHS construction projects</w:t>
      </w:r>
      <w:r w:rsidR="00451403" w:rsidRPr="00A77AF6">
        <w:t xml:space="preserve">?  </w:t>
      </w:r>
    </w:p>
    <w:p w14:paraId="028F3CB1" w14:textId="5E32B85E" w:rsidR="00451403" w:rsidRPr="00A77AF6" w:rsidRDefault="00795420" w:rsidP="00795420">
      <w:pPr>
        <w:spacing w:after="0" w:line="360" w:lineRule="auto"/>
      </w:pPr>
      <w:r w:rsidRPr="00A77AF6">
        <w:rPr>
          <w:b/>
          <w:bCs/>
        </w:rPr>
        <w:t>Question 2</w:t>
      </w:r>
      <w:r w:rsidR="00A2210D" w:rsidRPr="00A77AF6">
        <w:rPr>
          <w:b/>
          <w:bCs/>
        </w:rPr>
        <w:t xml:space="preserve">: </w:t>
      </w:r>
      <w:r w:rsidR="0026051A" w:rsidRPr="00A77AF6">
        <w:t xml:space="preserve">What </w:t>
      </w:r>
      <w:r w:rsidR="00154E0D" w:rsidRPr="00A77AF6">
        <w:t>impact do</w:t>
      </w:r>
      <w:r w:rsidR="0026051A" w:rsidRPr="00A77AF6">
        <w:t xml:space="preserve"> </w:t>
      </w:r>
      <w:r w:rsidR="00451403" w:rsidRPr="00A77AF6">
        <w:t xml:space="preserve">corporate and project governance </w:t>
      </w:r>
      <w:r w:rsidR="00ED1CDF" w:rsidRPr="00A77AF6">
        <w:t xml:space="preserve">have </w:t>
      </w:r>
      <w:r w:rsidR="00F5009E">
        <w:t>o</w:t>
      </w:r>
      <w:r w:rsidR="00451403" w:rsidRPr="00A77AF6">
        <w:t xml:space="preserve">n </w:t>
      </w:r>
      <w:r w:rsidR="00952BB4" w:rsidRPr="00A77AF6">
        <w:t xml:space="preserve">English </w:t>
      </w:r>
      <w:r w:rsidR="00451403" w:rsidRPr="00A77AF6">
        <w:t xml:space="preserve">NHS construction projects? </w:t>
      </w:r>
    </w:p>
    <w:p w14:paraId="52671E6E" w14:textId="2484547F" w:rsidR="008B4CCE" w:rsidRPr="00A77AF6" w:rsidRDefault="008B4CCE" w:rsidP="008B4CCE">
      <w:pPr>
        <w:spacing w:before="240" w:after="0" w:line="480" w:lineRule="auto"/>
      </w:pPr>
      <w:r w:rsidRPr="00A77AF6">
        <w:rPr>
          <w:b/>
        </w:rPr>
        <w:t>The specific objectives are as follows</w:t>
      </w:r>
      <w:r w:rsidR="00952BB4" w:rsidRPr="00A77AF6">
        <w:rPr>
          <w:b/>
        </w:rPr>
        <w:t>, to</w:t>
      </w:r>
      <w:r w:rsidRPr="00A77AF6">
        <w:t>:</w:t>
      </w:r>
    </w:p>
    <w:p w14:paraId="692A61E7" w14:textId="3C442D9B" w:rsidR="001043A4" w:rsidRPr="00A77AF6" w:rsidRDefault="00952BB4" w:rsidP="003D2A57">
      <w:pPr>
        <w:pStyle w:val="ListParagraph"/>
        <w:numPr>
          <w:ilvl w:val="0"/>
          <w:numId w:val="1"/>
        </w:numPr>
        <w:spacing w:line="360" w:lineRule="auto"/>
      </w:pPr>
      <w:r w:rsidRPr="00A77AF6">
        <w:t>E</w:t>
      </w:r>
      <w:r w:rsidR="001043A4" w:rsidRPr="00A77AF6">
        <w:t xml:space="preserve">xplore the ethical predisposition of </w:t>
      </w:r>
      <w:r w:rsidR="002864ED" w:rsidRPr="00A77AF6">
        <w:t xml:space="preserve">client-side </w:t>
      </w:r>
      <w:r w:rsidR="001043A4" w:rsidRPr="00A77AF6">
        <w:t>personnel in the delivery of construction projects</w:t>
      </w:r>
    </w:p>
    <w:p w14:paraId="036FA612" w14:textId="48074D91" w:rsidR="001043A4" w:rsidRPr="00A77AF6" w:rsidRDefault="00952BB4" w:rsidP="003D2A57">
      <w:pPr>
        <w:pStyle w:val="ListParagraph"/>
        <w:numPr>
          <w:ilvl w:val="0"/>
          <w:numId w:val="1"/>
        </w:numPr>
        <w:spacing w:line="360" w:lineRule="auto"/>
      </w:pPr>
      <w:r w:rsidRPr="00A77AF6">
        <w:t>E</w:t>
      </w:r>
      <w:r w:rsidR="001043A4" w:rsidRPr="00A77AF6">
        <w:t xml:space="preserve">xamine the relationship between ethical predisposition and project success.  </w:t>
      </w:r>
    </w:p>
    <w:p w14:paraId="2A9AE339" w14:textId="1681A233" w:rsidR="002864ED" w:rsidRPr="00A77AF6" w:rsidRDefault="00952BB4" w:rsidP="003D2A57">
      <w:pPr>
        <w:pStyle w:val="ListParagraph"/>
        <w:numPr>
          <w:ilvl w:val="0"/>
          <w:numId w:val="1"/>
        </w:numPr>
        <w:spacing w:line="360" w:lineRule="auto"/>
      </w:pPr>
      <w:r w:rsidRPr="00A77AF6">
        <w:t>E</w:t>
      </w:r>
      <w:r w:rsidR="002864ED" w:rsidRPr="00A77AF6">
        <w:t xml:space="preserve">xamine the relationship between </w:t>
      </w:r>
      <w:r w:rsidRPr="00A77AF6">
        <w:t xml:space="preserve">project </w:t>
      </w:r>
      <w:r w:rsidR="008B4CCE" w:rsidRPr="00A77AF6">
        <w:t xml:space="preserve">governance </w:t>
      </w:r>
      <w:r w:rsidR="002864ED" w:rsidRPr="00A77AF6">
        <w:t xml:space="preserve">and project success. </w:t>
      </w:r>
    </w:p>
    <w:p w14:paraId="06383AEC" w14:textId="64D2E77C" w:rsidR="009D2858" w:rsidRPr="00A77AF6" w:rsidRDefault="009D2858" w:rsidP="003D2A57">
      <w:pPr>
        <w:pStyle w:val="ListParagraph"/>
        <w:numPr>
          <w:ilvl w:val="0"/>
          <w:numId w:val="1"/>
        </w:numPr>
        <w:spacing w:line="360" w:lineRule="auto"/>
      </w:pPr>
      <w:r w:rsidRPr="00A77AF6">
        <w:t xml:space="preserve">Explain how </w:t>
      </w:r>
      <w:r w:rsidR="00482F0F" w:rsidRPr="00A77AF6">
        <w:t>success is measured</w:t>
      </w:r>
    </w:p>
    <w:p w14:paraId="7FB1C146" w14:textId="0E17C839" w:rsidR="001043A4" w:rsidRPr="00A77AF6" w:rsidRDefault="00952BB4" w:rsidP="003D2A57">
      <w:pPr>
        <w:pStyle w:val="ListParagraph"/>
        <w:numPr>
          <w:ilvl w:val="0"/>
          <w:numId w:val="1"/>
        </w:numPr>
        <w:spacing w:line="360" w:lineRule="auto"/>
      </w:pPr>
      <w:r w:rsidRPr="00A77AF6">
        <w:t>D</w:t>
      </w:r>
      <w:r w:rsidR="001043A4" w:rsidRPr="00A77AF6">
        <w:t xml:space="preserve">evelop a </w:t>
      </w:r>
      <w:r w:rsidR="002864ED" w:rsidRPr="00A77AF6">
        <w:t xml:space="preserve">project </w:t>
      </w:r>
      <w:r w:rsidR="001043A4" w:rsidRPr="00A77AF6">
        <w:t>assurance model</w:t>
      </w:r>
      <w:r w:rsidRPr="00A77AF6">
        <w:t xml:space="preserve"> to guide project sponsors in the establishment of good governance in projects  </w:t>
      </w:r>
    </w:p>
    <w:p w14:paraId="655E9C8D" w14:textId="62407C95" w:rsidR="007126DC" w:rsidRPr="00A77AF6" w:rsidRDefault="00B90C18" w:rsidP="007126DC">
      <w:pPr>
        <w:pStyle w:val="Heading2"/>
        <w:spacing w:line="360" w:lineRule="auto"/>
      </w:pPr>
      <w:bookmarkStart w:id="11" w:name="_Toc36275032"/>
      <w:r w:rsidRPr="00A77AF6">
        <w:t>R</w:t>
      </w:r>
      <w:r w:rsidR="007126DC" w:rsidRPr="00A77AF6">
        <w:t xml:space="preserve">esearch </w:t>
      </w:r>
      <w:r w:rsidR="00877513" w:rsidRPr="00A77AF6">
        <w:t>m</w:t>
      </w:r>
      <w:r w:rsidR="007126DC" w:rsidRPr="00A77AF6">
        <w:t>ethodology</w:t>
      </w:r>
      <w:r w:rsidRPr="00A77AF6">
        <w:t xml:space="preserve"> outline</w:t>
      </w:r>
      <w:bookmarkEnd w:id="11"/>
    </w:p>
    <w:p w14:paraId="1C74E653" w14:textId="3D4DEB28" w:rsidR="00877513" w:rsidRPr="00A77AF6" w:rsidRDefault="002864ED" w:rsidP="00CB09EE">
      <w:pPr>
        <w:spacing w:line="360" w:lineRule="auto"/>
      </w:pPr>
      <w:r w:rsidRPr="00A77AF6">
        <w:t>A</w:t>
      </w:r>
      <w:r w:rsidR="00DB59A1" w:rsidRPr="00A77AF6">
        <w:t xml:space="preserve"> two-staged </w:t>
      </w:r>
      <w:r w:rsidR="00CB09EE" w:rsidRPr="00A77AF6">
        <w:t xml:space="preserve">explanatory </w:t>
      </w:r>
      <w:r w:rsidR="007126DC" w:rsidRPr="00A77AF6">
        <w:t xml:space="preserve">mixed methods approach </w:t>
      </w:r>
      <w:r w:rsidRPr="00A77AF6">
        <w:t xml:space="preserve">was adopted </w:t>
      </w:r>
      <w:r w:rsidR="007126DC" w:rsidRPr="00A77AF6">
        <w:t xml:space="preserve">to </w:t>
      </w:r>
      <w:r w:rsidR="00877513" w:rsidRPr="00A77AF6">
        <w:t>benefit from</w:t>
      </w:r>
      <w:r w:rsidR="007126DC" w:rsidRPr="00A77AF6">
        <w:t xml:space="preserve"> the strengths of both </w:t>
      </w:r>
      <w:r w:rsidR="00FA2A40" w:rsidRPr="00A77AF6">
        <w:t xml:space="preserve">quantitative and </w:t>
      </w:r>
      <w:r w:rsidR="007126DC" w:rsidRPr="00A77AF6">
        <w:t xml:space="preserve">qualitative </w:t>
      </w:r>
      <w:r w:rsidR="00DD2539" w:rsidRPr="00A77AF6">
        <w:t>methods</w:t>
      </w:r>
      <w:r w:rsidR="00CB09EE" w:rsidRPr="00A77AF6">
        <w:t>.  The</w:t>
      </w:r>
      <w:r w:rsidR="0024044D" w:rsidRPr="00A77AF6">
        <w:t xml:space="preserve"> first phase </w:t>
      </w:r>
      <w:r w:rsidR="0002655D" w:rsidRPr="00A77AF6">
        <w:t xml:space="preserve">collected </w:t>
      </w:r>
      <w:r w:rsidR="002F34D9" w:rsidRPr="00A77AF6">
        <w:t xml:space="preserve">quantitative data </w:t>
      </w:r>
      <w:r w:rsidR="007126DC" w:rsidRPr="00A77AF6">
        <w:t xml:space="preserve">using an electronic survey questionnaire </w:t>
      </w:r>
      <w:r w:rsidR="00FA2A40" w:rsidRPr="00A77AF6">
        <w:t>(e-survey)</w:t>
      </w:r>
      <w:r w:rsidR="001B04B8" w:rsidRPr="00A77AF6">
        <w:t xml:space="preserve">.  </w:t>
      </w:r>
      <w:r w:rsidR="00DD2539" w:rsidRPr="00A77AF6">
        <w:t xml:space="preserve">The </w:t>
      </w:r>
      <w:r w:rsidR="00CB09EE" w:rsidRPr="00A77AF6">
        <w:t xml:space="preserve">qualitative </w:t>
      </w:r>
      <w:r w:rsidR="00DD2539" w:rsidRPr="00A77AF6">
        <w:t xml:space="preserve">second stage </w:t>
      </w:r>
      <w:r w:rsidR="00CB09EE" w:rsidRPr="00A77AF6">
        <w:t xml:space="preserve">consisted of </w:t>
      </w:r>
      <w:r w:rsidR="00877513" w:rsidRPr="00A77AF6">
        <w:t xml:space="preserve">six </w:t>
      </w:r>
      <w:r w:rsidR="00E563F3" w:rsidRPr="00A77AF6">
        <w:t>face-to-</w:t>
      </w:r>
      <w:r w:rsidR="00E563F3" w:rsidRPr="00A77AF6">
        <w:lastRenderedPageBreak/>
        <w:t xml:space="preserve">face interviews with </w:t>
      </w:r>
      <w:r w:rsidR="00EE01D8" w:rsidRPr="00A77AF6">
        <w:t>expert practitioners</w:t>
      </w:r>
      <w:r w:rsidR="00CB09EE" w:rsidRPr="00A77AF6">
        <w:t xml:space="preserve"> to explain </w:t>
      </w:r>
      <w:r w:rsidR="00DD2539" w:rsidRPr="00A77AF6">
        <w:t xml:space="preserve">findings from the </w:t>
      </w:r>
      <w:r w:rsidR="00EE01D8" w:rsidRPr="00A77AF6">
        <w:t>e-survey</w:t>
      </w:r>
      <w:r w:rsidR="00DD2539" w:rsidRPr="00A77AF6">
        <w:t xml:space="preserve"> </w:t>
      </w:r>
      <w:r w:rsidR="00CB09EE" w:rsidRPr="00A77AF6">
        <w:t xml:space="preserve">and </w:t>
      </w:r>
      <w:r w:rsidR="00DD2539" w:rsidRPr="00A77AF6">
        <w:t>to gain a deeper understanding of the issues raised</w:t>
      </w:r>
      <w:r w:rsidR="00877513" w:rsidRPr="00A77AF6">
        <w:t xml:space="preserve">. </w:t>
      </w:r>
      <w:r w:rsidR="00AB6C4E" w:rsidRPr="00A77AF6">
        <w:t xml:space="preserve">The </w:t>
      </w:r>
      <w:r w:rsidR="00D448AA" w:rsidRPr="00A77AF6">
        <w:t xml:space="preserve">explanatory </w:t>
      </w:r>
      <w:r w:rsidR="00AB6C4E" w:rsidRPr="00A77AF6">
        <w:t xml:space="preserve">interviews </w:t>
      </w:r>
      <w:r w:rsidR="00DD2539" w:rsidRPr="00A77AF6">
        <w:t xml:space="preserve">were </w:t>
      </w:r>
      <w:r w:rsidR="00AB6C4E" w:rsidRPr="00A77AF6">
        <w:t xml:space="preserve">conducted </w:t>
      </w:r>
      <w:r w:rsidR="00DD2539" w:rsidRPr="00A77AF6">
        <w:t xml:space="preserve">with respondents who had indicated that they were willing to take part in a follow-up interview when they completed the e-survey.  </w:t>
      </w:r>
    </w:p>
    <w:p w14:paraId="5EF8D842" w14:textId="733E9209" w:rsidR="00E03831" w:rsidRPr="00A77AF6" w:rsidRDefault="00E03831" w:rsidP="00CF3D6F">
      <w:pPr>
        <w:pStyle w:val="Heading2"/>
        <w:spacing w:after="240"/>
      </w:pPr>
      <w:bookmarkStart w:id="12" w:name="_Toc36275033"/>
      <w:r w:rsidRPr="00A77AF6">
        <w:t>Scope of the study</w:t>
      </w:r>
      <w:bookmarkEnd w:id="12"/>
    </w:p>
    <w:p w14:paraId="6B9D6E49" w14:textId="01375A20" w:rsidR="00DB59A1" w:rsidRPr="00A77AF6" w:rsidRDefault="00827506" w:rsidP="00DB59A1">
      <w:pPr>
        <w:tabs>
          <w:tab w:val="num" w:pos="720"/>
          <w:tab w:val="num" w:pos="1440"/>
        </w:tabs>
        <w:spacing w:line="360" w:lineRule="auto"/>
        <w:rPr>
          <w:rFonts w:cstheme="minorHAnsi"/>
        </w:rPr>
      </w:pPr>
      <w:r w:rsidRPr="00A77AF6">
        <w:rPr>
          <w:rFonts w:cstheme="minorHAnsi"/>
        </w:rPr>
        <w:t xml:space="preserve">Any NHS staff or third-party professional acting for an NHS provider Trust on an NHS construction projects was eligible to take part. Provider </w:t>
      </w:r>
      <w:r w:rsidR="00DB59A1" w:rsidRPr="00A77AF6">
        <w:rPr>
          <w:rFonts w:cstheme="minorHAnsi"/>
        </w:rPr>
        <w:t xml:space="preserve">Trusts provide mental health, secondary,  tertiary </w:t>
      </w:r>
      <w:r w:rsidR="001147DD" w:rsidRPr="00A77AF6">
        <w:rPr>
          <w:rFonts w:cstheme="minorHAnsi"/>
        </w:rPr>
        <w:t xml:space="preserve">and </w:t>
      </w:r>
      <w:r w:rsidR="00DB59A1" w:rsidRPr="00A77AF6">
        <w:rPr>
          <w:rFonts w:cstheme="minorHAnsi"/>
        </w:rPr>
        <w:t xml:space="preserve">community services </w:t>
      </w:r>
      <w:r w:rsidRPr="00A77AF6">
        <w:rPr>
          <w:rFonts w:cstheme="minorHAnsi"/>
        </w:rPr>
        <w:t xml:space="preserve">and </w:t>
      </w:r>
      <w:r w:rsidR="00DB59A1" w:rsidRPr="00A77AF6">
        <w:rPr>
          <w:rFonts w:cstheme="minorHAnsi"/>
        </w:rPr>
        <w:t xml:space="preserve">were included because they were assumed to have an estates or project department.  </w:t>
      </w:r>
      <w:r w:rsidRPr="00A77AF6">
        <w:rPr>
          <w:rFonts w:cstheme="minorHAnsi"/>
        </w:rPr>
        <w:t>It was intended to include</w:t>
      </w:r>
      <w:r w:rsidR="00DB59A1" w:rsidRPr="00A77AF6">
        <w:rPr>
          <w:rFonts w:cstheme="minorHAnsi"/>
        </w:rPr>
        <w:t xml:space="preserve"> one or more practitioner from each eligible Trust so that a wide range of Trust</w:t>
      </w:r>
      <w:r w:rsidRPr="00A77AF6">
        <w:rPr>
          <w:rFonts w:cstheme="minorHAnsi"/>
        </w:rPr>
        <w:t>s</w:t>
      </w:r>
      <w:r w:rsidR="00DB59A1" w:rsidRPr="00A77AF6">
        <w:rPr>
          <w:rFonts w:cstheme="minorHAnsi"/>
        </w:rPr>
        <w:t xml:space="preserve">’ project processes could be examined to get a general picture of NHS practice. The NHS in devolved administrations were excluded as they have different governance arrangements.  </w:t>
      </w:r>
    </w:p>
    <w:p w14:paraId="1AC3FCAC" w14:textId="59803172" w:rsidR="00657C35" w:rsidRPr="00A77AF6" w:rsidRDefault="00657C35" w:rsidP="00657C35">
      <w:pPr>
        <w:pStyle w:val="Heading2"/>
        <w:spacing w:line="360" w:lineRule="auto"/>
      </w:pPr>
      <w:bookmarkStart w:id="13" w:name="_Toc36275034"/>
      <w:r w:rsidRPr="00A77AF6">
        <w:t>Organisation of the thesis</w:t>
      </w:r>
      <w:bookmarkEnd w:id="13"/>
    </w:p>
    <w:p w14:paraId="6BC11744" w14:textId="0410E21B" w:rsidR="00657C35" w:rsidRPr="00A77AF6" w:rsidRDefault="00657C35" w:rsidP="001E5806">
      <w:pPr>
        <w:spacing w:line="360" w:lineRule="auto"/>
      </w:pPr>
      <w:r w:rsidRPr="00A77AF6">
        <w:t xml:space="preserve">Following the </w:t>
      </w:r>
      <w:r w:rsidR="00A14652" w:rsidRPr="00A77AF6">
        <w:t>introduction,</w:t>
      </w:r>
      <w:r w:rsidR="00251F90" w:rsidRPr="00A77AF6">
        <w:t xml:space="preserve"> t</w:t>
      </w:r>
      <w:r w:rsidR="00E940FA" w:rsidRPr="00A77AF6">
        <w:t xml:space="preserve">he content of the chapters </w:t>
      </w:r>
      <w:r w:rsidR="000F0BBE" w:rsidRPr="00A77AF6">
        <w:t>is</w:t>
      </w:r>
      <w:r w:rsidR="00E940FA" w:rsidRPr="00A77AF6">
        <w:t xml:space="preserve"> summarised as follows:</w:t>
      </w:r>
    </w:p>
    <w:p w14:paraId="39B189B8" w14:textId="5DCD271B" w:rsidR="007C6408" w:rsidRPr="00A77AF6" w:rsidRDefault="00657C35" w:rsidP="005E05A1">
      <w:pPr>
        <w:spacing w:line="360" w:lineRule="auto"/>
      </w:pPr>
      <w:r w:rsidRPr="00A77AF6">
        <w:rPr>
          <w:b/>
        </w:rPr>
        <w:t>Chapter 2</w:t>
      </w:r>
      <w:r w:rsidRPr="00A77AF6">
        <w:t xml:space="preserve"> </w:t>
      </w:r>
      <w:r w:rsidR="007C6408" w:rsidRPr="00A77AF6">
        <w:t>provides the context for research including the background information on the NHS, the purpose of the NHS, organisational structure and the process involved in the delivery of capital projects in the NHS.  Key issues relating to NHS reforms and its impact on capital investment, issues and challenges of governance and ethics in relation to the delivery of capital investment projects</w:t>
      </w:r>
      <w:r w:rsidR="00D448AA" w:rsidRPr="00A77AF6">
        <w:t>, the role of governance in the design and planning stages on NHS construction projects and the selection of the NHS as the case study</w:t>
      </w:r>
      <w:r w:rsidR="007C6408" w:rsidRPr="00A77AF6">
        <w:t xml:space="preserve">.  </w:t>
      </w:r>
    </w:p>
    <w:p w14:paraId="4CB1B5C1" w14:textId="611F331A" w:rsidR="001E698A" w:rsidRPr="00A77AF6" w:rsidRDefault="00074EA5" w:rsidP="00792E3C">
      <w:pPr>
        <w:spacing w:line="360" w:lineRule="auto"/>
      </w:pPr>
      <w:r w:rsidRPr="00A77AF6">
        <w:rPr>
          <w:b/>
        </w:rPr>
        <w:t>Chapter 3</w:t>
      </w:r>
      <w:r w:rsidR="00FD316E" w:rsidRPr="00A77AF6">
        <w:t xml:space="preserve"> </w:t>
      </w:r>
      <w:r w:rsidR="00E940FA" w:rsidRPr="00A77AF6">
        <w:t>is t</w:t>
      </w:r>
      <w:r w:rsidR="00FD316E" w:rsidRPr="00A77AF6">
        <w:t xml:space="preserve">he first literature review chapter </w:t>
      </w:r>
      <w:r w:rsidR="005E05A1" w:rsidRPr="00A77AF6">
        <w:t xml:space="preserve">and </w:t>
      </w:r>
      <w:r w:rsidR="00FD316E" w:rsidRPr="00A77AF6">
        <w:t xml:space="preserve">focusses on ethical issues. </w:t>
      </w:r>
      <w:r w:rsidR="005E05A1" w:rsidRPr="00A77AF6">
        <w:t xml:space="preserve"> </w:t>
      </w:r>
      <w:r w:rsidR="00FD316E" w:rsidRPr="00A77AF6">
        <w:t>It discusses the two main schools of thought which underpin the field of ethics</w:t>
      </w:r>
      <w:r w:rsidR="00792E3C" w:rsidRPr="00A77AF6">
        <w:t xml:space="preserve"> of conduct</w:t>
      </w:r>
      <w:r w:rsidR="00FD316E" w:rsidRPr="00A77AF6">
        <w:t xml:space="preserve">: formalism (rules-based approach) and utilitarianism (ends-based approach); it </w:t>
      </w:r>
      <w:r w:rsidR="001E698A" w:rsidRPr="00A77AF6">
        <w:t xml:space="preserve">reviews the literature on </w:t>
      </w:r>
      <w:r w:rsidR="00792E3C" w:rsidRPr="00A77AF6">
        <w:t>a</w:t>
      </w:r>
      <w:r w:rsidR="001E698A" w:rsidRPr="00A77AF6">
        <w:t xml:space="preserve">pplied </w:t>
      </w:r>
      <w:r w:rsidR="00792E3C" w:rsidRPr="00A77AF6">
        <w:t>e</w:t>
      </w:r>
      <w:r w:rsidR="001E698A" w:rsidRPr="00A77AF6">
        <w:t xml:space="preserve">thical </w:t>
      </w:r>
      <w:r w:rsidR="00792E3C" w:rsidRPr="00A77AF6">
        <w:t>t</w:t>
      </w:r>
      <w:r w:rsidR="001E698A" w:rsidRPr="00A77AF6">
        <w:t xml:space="preserve">heory which has been tested in business studies and </w:t>
      </w:r>
      <w:r w:rsidR="00FD316E" w:rsidRPr="00A77AF6">
        <w:t>discusses the elevation of formalism as morally superior to utilitarianism</w:t>
      </w:r>
      <w:r w:rsidR="001E698A" w:rsidRPr="00A77AF6">
        <w:t xml:space="preserve">. </w:t>
      </w:r>
      <w:r w:rsidR="00D448AA" w:rsidRPr="00A77AF6">
        <w:t>It</w:t>
      </w:r>
      <w:r w:rsidR="001E698A" w:rsidRPr="00A77AF6">
        <w:t xml:space="preserve"> discusses ethics in the NHS and in project management and the construction industry </w:t>
      </w:r>
      <w:r w:rsidR="00D448AA" w:rsidRPr="00A77AF6">
        <w:t xml:space="preserve"> </w:t>
      </w:r>
    </w:p>
    <w:p w14:paraId="3EF5E5D3" w14:textId="5E0C0C3E" w:rsidR="00EA4502" w:rsidRPr="00A77AF6" w:rsidRDefault="00DF1015" w:rsidP="00792E3C">
      <w:pPr>
        <w:spacing w:line="360" w:lineRule="auto"/>
      </w:pPr>
      <w:r w:rsidRPr="00A77AF6">
        <w:rPr>
          <w:b/>
        </w:rPr>
        <w:t xml:space="preserve">Chapter </w:t>
      </w:r>
      <w:r w:rsidR="005F7CDD" w:rsidRPr="00A77AF6">
        <w:rPr>
          <w:b/>
        </w:rPr>
        <w:t>4</w:t>
      </w:r>
      <w:r w:rsidR="005F7CDD" w:rsidRPr="00A77AF6">
        <w:t xml:space="preserve"> is</w:t>
      </w:r>
      <w:r w:rsidR="00E940FA" w:rsidRPr="00A77AF6">
        <w:t xml:space="preserve"> t</w:t>
      </w:r>
      <w:r w:rsidR="00074EA5" w:rsidRPr="00A77AF6">
        <w:t xml:space="preserve">he </w:t>
      </w:r>
      <w:r w:rsidRPr="00A77AF6">
        <w:t>second</w:t>
      </w:r>
      <w:r w:rsidR="00074EA5" w:rsidRPr="00A77AF6">
        <w:t xml:space="preserve"> literature review chapter </w:t>
      </w:r>
      <w:r w:rsidR="001147DD" w:rsidRPr="00A77AF6">
        <w:t>and</w:t>
      </w:r>
      <w:r w:rsidR="00E940FA" w:rsidRPr="00A77AF6">
        <w:t xml:space="preserve"> </w:t>
      </w:r>
      <w:r w:rsidR="00074EA5" w:rsidRPr="00A77AF6">
        <w:t xml:space="preserve">discusses </w:t>
      </w:r>
      <w:r w:rsidR="001E698A" w:rsidRPr="00A77AF6">
        <w:t xml:space="preserve">three organisational theories </w:t>
      </w:r>
      <w:r w:rsidR="00E940FA" w:rsidRPr="00A77AF6">
        <w:t>that</w:t>
      </w:r>
      <w:r w:rsidR="001E698A" w:rsidRPr="00A77AF6">
        <w:t xml:space="preserve"> underpin corporate and project governance. C</w:t>
      </w:r>
      <w:r w:rsidR="00074EA5" w:rsidRPr="00A77AF6">
        <w:t xml:space="preserve">orporate </w:t>
      </w:r>
      <w:r w:rsidR="001E698A" w:rsidRPr="00A77AF6">
        <w:t>governance is defined and discussed in relation to corporate success and failure.  Corporate governance structures</w:t>
      </w:r>
      <w:r w:rsidR="00792E3C" w:rsidRPr="00A77AF6">
        <w:t xml:space="preserve">, </w:t>
      </w:r>
      <w:r w:rsidR="001E698A" w:rsidRPr="00A77AF6">
        <w:t xml:space="preserve">the </w:t>
      </w:r>
      <w:r w:rsidR="00792E3C" w:rsidRPr="00A77AF6">
        <w:t>b</w:t>
      </w:r>
      <w:r w:rsidR="001E698A" w:rsidRPr="00A77AF6">
        <w:t>oard committees</w:t>
      </w:r>
      <w:r w:rsidR="00792E3C" w:rsidRPr="00A77AF6">
        <w:t xml:space="preserve">, project management terms, and project governance are discussed and defined. Key performance indicators (KPIs) and CSFs </w:t>
      </w:r>
      <w:r w:rsidR="00A14652" w:rsidRPr="00A77AF6">
        <w:t xml:space="preserve">as measures of success </w:t>
      </w:r>
      <w:r w:rsidR="00792E3C" w:rsidRPr="00A77AF6">
        <w:t xml:space="preserve">are </w:t>
      </w:r>
      <w:r w:rsidR="00EA4502" w:rsidRPr="00A77AF6">
        <w:t>reviewed</w:t>
      </w:r>
      <w:r w:rsidR="00792E3C" w:rsidRPr="00A77AF6">
        <w:t>.</w:t>
      </w:r>
      <w:r w:rsidR="00EA4502" w:rsidRPr="00A77AF6">
        <w:t xml:space="preserve"> </w:t>
      </w:r>
    </w:p>
    <w:p w14:paraId="7578E6A9" w14:textId="7BE0747E" w:rsidR="00657C35" w:rsidRPr="00A77AF6" w:rsidRDefault="00657C35" w:rsidP="00792E3C">
      <w:pPr>
        <w:spacing w:line="360" w:lineRule="auto"/>
      </w:pPr>
      <w:r w:rsidRPr="00A77AF6">
        <w:rPr>
          <w:b/>
        </w:rPr>
        <w:lastRenderedPageBreak/>
        <w:t>Chapter 5</w:t>
      </w:r>
      <w:r w:rsidRPr="00A77AF6">
        <w:t xml:space="preserve"> explores the methodological issues considered in the study including the research options considered, the justification</w:t>
      </w:r>
      <w:r w:rsidR="00EA4502" w:rsidRPr="00A77AF6">
        <w:t xml:space="preserve"> of </w:t>
      </w:r>
      <w:r w:rsidRPr="00A77AF6">
        <w:t>the methods adopted, the development of the data collection instruments, sampling techniques and the methods of analysis used.</w:t>
      </w:r>
    </w:p>
    <w:p w14:paraId="31021642" w14:textId="7523937A" w:rsidR="00792E3C" w:rsidRPr="00A77AF6" w:rsidRDefault="00657C35" w:rsidP="001E5806">
      <w:pPr>
        <w:spacing w:line="360" w:lineRule="auto"/>
      </w:pPr>
      <w:r w:rsidRPr="00A77AF6">
        <w:rPr>
          <w:b/>
        </w:rPr>
        <w:t>Chapter 6</w:t>
      </w:r>
      <w:r w:rsidRPr="00A77AF6">
        <w:t xml:space="preserve"> provides the results of the e-survey</w:t>
      </w:r>
      <w:r w:rsidR="00792E3C" w:rsidRPr="00A77AF6">
        <w:t xml:space="preserve">. </w:t>
      </w:r>
      <w:r w:rsidR="001E5806" w:rsidRPr="00A77AF6">
        <w:t xml:space="preserve"> </w:t>
      </w:r>
      <w:r w:rsidR="00792E3C" w:rsidRPr="00A77AF6">
        <w:t>Descriptive and inferential statistics were used to explain the data and examine relationships between variables.</w:t>
      </w:r>
    </w:p>
    <w:p w14:paraId="4BF6F476" w14:textId="0AD80968" w:rsidR="00A14652" w:rsidRDefault="00657C35" w:rsidP="00792E3C">
      <w:pPr>
        <w:spacing w:line="360" w:lineRule="auto"/>
      </w:pPr>
      <w:r w:rsidRPr="00A77AF6">
        <w:rPr>
          <w:b/>
        </w:rPr>
        <w:t>Chapter 7</w:t>
      </w:r>
      <w:r w:rsidRPr="00A77AF6">
        <w:t xml:space="preserve"> </w:t>
      </w:r>
      <w:r w:rsidR="00792E3C" w:rsidRPr="00A77AF6">
        <w:t xml:space="preserve">provides the results of the interviews </w:t>
      </w:r>
      <w:r w:rsidR="00A14652">
        <w:t>with project experts provided greater insight into some key findings from the survey</w:t>
      </w:r>
    </w:p>
    <w:p w14:paraId="262DA079" w14:textId="2152EB47" w:rsidR="00657C35" w:rsidRPr="00A77AF6" w:rsidRDefault="00657C35" w:rsidP="00792E3C">
      <w:pPr>
        <w:spacing w:line="360" w:lineRule="auto"/>
      </w:pPr>
      <w:r w:rsidRPr="00A77AF6">
        <w:rPr>
          <w:b/>
        </w:rPr>
        <w:t>Chapter 8</w:t>
      </w:r>
      <w:r w:rsidR="002B294D" w:rsidRPr="00A77AF6">
        <w:rPr>
          <w:b/>
        </w:rPr>
        <w:t xml:space="preserve"> </w:t>
      </w:r>
      <w:r w:rsidR="00792E3C" w:rsidRPr="00A77AF6">
        <w:t xml:space="preserve">discusses the findings, makes recommendations for future projects and presents </w:t>
      </w:r>
      <w:r w:rsidR="00A14652">
        <w:t>a</w:t>
      </w:r>
      <w:r w:rsidR="00792E3C" w:rsidRPr="00A77AF6">
        <w:t xml:space="preserve"> new public assurance model. </w:t>
      </w:r>
    </w:p>
    <w:p w14:paraId="13F81CF2" w14:textId="53295564" w:rsidR="00F83456" w:rsidRPr="00A77AF6" w:rsidRDefault="00F83456">
      <w:r w:rsidRPr="00A77AF6">
        <w:br w:type="page"/>
      </w:r>
    </w:p>
    <w:p w14:paraId="66FE5FAC" w14:textId="0C599940" w:rsidR="00B768E1" w:rsidRPr="00A77AF6" w:rsidRDefault="005D62F9" w:rsidP="009A5857">
      <w:pPr>
        <w:pStyle w:val="Heading1"/>
        <w:spacing w:after="120"/>
        <w:ind w:left="431" w:hanging="431"/>
        <w:rPr>
          <w:lang w:val="en-GB"/>
        </w:rPr>
      </w:pPr>
      <w:bookmarkStart w:id="14" w:name="_Toc36275035"/>
      <w:r w:rsidRPr="00A77AF6">
        <w:rPr>
          <w:lang w:val="en-GB"/>
        </w:rPr>
        <w:lastRenderedPageBreak/>
        <w:t>Context</w:t>
      </w:r>
      <w:r w:rsidR="00B768E1" w:rsidRPr="00A77AF6">
        <w:rPr>
          <w:lang w:val="en-GB"/>
        </w:rPr>
        <w:t>: The National Health Service of England</w:t>
      </w:r>
      <w:bookmarkEnd w:id="14"/>
    </w:p>
    <w:p w14:paraId="417A5945" w14:textId="77777777" w:rsidR="00B768E1" w:rsidRPr="00A77AF6" w:rsidRDefault="00B768E1" w:rsidP="00473F95">
      <w:pPr>
        <w:pStyle w:val="Heading2"/>
        <w:spacing w:after="120"/>
      </w:pPr>
      <w:bookmarkStart w:id="15" w:name="_Toc36275036"/>
      <w:r w:rsidRPr="00A77AF6">
        <w:t>Introduction</w:t>
      </w:r>
      <w:bookmarkEnd w:id="15"/>
    </w:p>
    <w:p w14:paraId="2E706524" w14:textId="2AF38340" w:rsidR="00EA4502" w:rsidRPr="00A77AF6" w:rsidRDefault="00B768E1" w:rsidP="00535036">
      <w:pPr>
        <w:spacing w:line="360" w:lineRule="auto"/>
      </w:pPr>
      <w:r w:rsidRPr="00A77AF6">
        <w:t xml:space="preserve">This chapter </w:t>
      </w:r>
      <w:r w:rsidR="00EA4502" w:rsidRPr="00A77AF6">
        <w:t>describes the history of the NHS</w:t>
      </w:r>
      <w:r w:rsidR="002A2797" w:rsidRPr="00A77AF6">
        <w:t>,</w:t>
      </w:r>
      <w:r w:rsidR="00EA4502" w:rsidRPr="00A77AF6">
        <w:t xml:space="preserve"> </w:t>
      </w:r>
      <w:r w:rsidR="002A2797" w:rsidRPr="00A77AF6">
        <w:t xml:space="preserve">its evolving </w:t>
      </w:r>
      <w:r w:rsidR="00EA4502" w:rsidRPr="00A77AF6">
        <w:t>structure</w:t>
      </w:r>
      <w:r w:rsidR="002A2797" w:rsidRPr="00A77AF6">
        <w:t xml:space="preserve">, </w:t>
      </w:r>
      <w:r w:rsidR="00EA4502" w:rsidRPr="00A77AF6">
        <w:t xml:space="preserve">the reforms </w:t>
      </w:r>
      <w:r w:rsidR="002A2797" w:rsidRPr="00A77AF6">
        <w:t>of the NHS h</w:t>
      </w:r>
      <w:r w:rsidR="00EA4502" w:rsidRPr="00A77AF6">
        <w:t>ealthcare estate</w:t>
      </w:r>
      <w:r w:rsidR="002A2797" w:rsidRPr="00A77AF6">
        <w:t>, t</w:t>
      </w:r>
      <w:r w:rsidR="00EA4502" w:rsidRPr="00A77AF6">
        <w:t>he difficulties in renovating and maintaining the healthcare estate in response to changing governmental policies</w:t>
      </w:r>
      <w:r w:rsidR="002A2797" w:rsidRPr="00A77AF6">
        <w:t xml:space="preserve">, </w:t>
      </w:r>
      <w:r w:rsidR="00EA4502" w:rsidRPr="00A77AF6">
        <w:t xml:space="preserve">the complex, structured and hierarchical </w:t>
      </w:r>
      <w:r w:rsidR="002A2797" w:rsidRPr="00A77AF6">
        <w:t>nature of the governance of capital investment</w:t>
      </w:r>
      <w:r w:rsidR="00535036" w:rsidRPr="00A77AF6">
        <w:t>. T</w:t>
      </w:r>
      <w:r w:rsidR="00EA4502" w:rsidRPr="00A77AF6">
        <w:t xml:space="preserve">he selection of the NHS </w:t>
      </w:r>
      <w:r w:rsidR="007000FC" w:rsidRPr="00A77AF6">
        <w:t>in England for</w:t>
      </w:r>
      <w:r w:rsidR="00EA4502" w:rsidRPr="00A77AF6">
        <w:t xml:space="preserve"> this study is justified. </w:t>
      </w:r>
    </w:p>
    <w:p w14:paraId="4EF1FFA0" w14:textId="3F504E72" w:rsidR="00107A20" w:rsidRPr="00A77AF6" w:rsidRDefault="00107A20" w:rsidP="00473F95">
      <w:pPr>
        <w:pStyle w:val="Heading2"/>
        <w:spacing w:after="120"/>
      </w:pPr>
      <w:bookmarkStart w:id="16" w:name="_Toc36275037"/>
      <w:r w:rsidRPr="00A77AF6">
        <w:rPr>
          <w:bCs/>
        </w:rPr>
        <w:t>T</w:t>
      </w:r>
      <w:r w:rsidRPr="00A77AF6">
        <w:t>he National Health Service (NHS)</w:t>
      </w:r>
      <w:bookmarkEnd w:id="16"/>
    </w:p>
    <w:p w14:paraId="34E872B2" w14:textId="1E440192" w:rsidR="00107A20" w:rsidRPr="00A77AF6" w:rsidRDefault="00107A20" w:rsidP="00195165">
      <w:pPr>
        <w:spacing w:line="360" w:lineRule="auto"/>
      </w:pPr>
      <w:r w:rsidRPr="00A77AF6">
        <w:t xml:space="preserve">The NHS was formed in 1948 when the UK Government nationalised healthcare </w:t>
      </w:r>
      <w:r w:rsidR="005D62F9" w:rsidRPr="00A77AF6">
        <w:t xml:space="preserve">to </w:t>
      </w:r>
      <w:r w:rsidRPr="00A77AF6">
        <w:t>provide ‘cradle to grave’ healthcare services funded through general taxation</w:t>
      </w:r>
      <w:r w:rsidR="00535036" w:rsidRPr="00A77AF6">
        <w:t xml:space="preserve">. </w:t>
      </w:r>
      <w:r w:rsidRPr="00A77AF6">
        <w:t xml:space="preserve">In nationalising healthcare provision, the UK Government </w:t>
      </w:r>
      <w:r w:rsidR="005D62F9" w:rsidRPr="00A77AF6">
        <w:t xml:space="preserve">undertook a significant </w:t>
      </w:r>
      <w:r w:rsidRPr="00A77AF6">
        <w:t>commitment: the management of health services and the healthcare estate, including teaching hospitals, voluntary hospitals, municipal hospitals, poor law hospitals, mental health hospitals and clinics which made up the patchwork of services that had evolved organically since the dissolution of the monasteries in the middle ages</w:t>
      </w:r>
      <w:r w:rsidR="00A44395" w:rsidRPr="00A77AF6">
        <w:t xml:space="preserve"> </w:t>
      </w:r>
      <w:sdt>
        <w:sdtPr>
          <w:id w:val="-2830037"/>
          <w:citation/>
        </w:sdtPr>
        <w:sdtEndPr/>
        <w:sdtContent>
          <w:r w:rsidR="00A44395" w:rsidRPr="00A77AF6">
            <w:fldChar w:fldCharType="begin"/>
          </w:r>
          <w:r w:rsidR="003E5115" w:rsidRPr="00A77AF6">
            <w:instrText xml:space="preserve">CITATION Geo17 \l 2057 </w:instrText>
          </w:r>
          <w:r w:rsidR="00A44395" w:rsidRPr="00A77AF6">
            <w:fldChar w:fldCharType="separate"/>
          </w:r>
          <w:r w:rsidR="003E5115" w:rsidRPr="00A77AF6">
            <w:t>(Rivett, 2017)</w:t>
          </w:r>
          <w:r w:rsidR="00A44395" w:rsidRPr="00A77AF6">
            <w:fldChar w:fldCharType="end"/>
          </w:r>
        </w:sdtContent>
      </w:sdt>
      <w:r w:rsidRPr="00A77AF6">
        <w:t>.  The introduction of the NHS was a major social change in the UK as sections of population which had</w:t>
      </w:r>
      <w:r w:rsidR="005F6ADC" w:rsidRPr="00A77AF6">
        <w:t xml:space="preserve"> previously</w:t>
      </w:r>
      <w:r w:rsidRPr="00A77AF6">
        <w:t xml:space="preserve"> found it too expensive to access healthcare </w:t>
      </w:r>
      <w:r w:rsidR="007B243E" w:rsidRPr="00A77AF6">
        <w:t xml:space="preserve">could </w:t>
      </w:r>
      <w:r w:rsidRPr="00A77AF6">
        <w:t xml:space="preserve">now have free access.  </w:t>
      </w:r>
      <w:r w:rsidR="005F6ADC" w:rsidRPr="00A77AF6">
        <w:t>As the</w:t>
      </w:r>
      <w:r w:rsidRPr="00A77AF6">
        <w:t xml:space="preserve"> NHS was funded through general taxation </w:t>
      </w:r>
      <w:r w:rsidR="00535036" w:rsidRPr="00A77AF6">
        <w:t>the</w:t>
      </w:r>
      <w:r w:rsidR="005D62F9" w:rsidRPr="00A77AF6">
        <w:t xml:space="preserve"> fear of being unable to afford treatment was relieved.</w:t>
      </w:r>
    </w:p>
    <w:p w14:paraId="4A3BD81F" w14:textId="6CF6BBBD" w:rsidR="00312045" w:rsidRPr="00A77AF6" w:rsidRDefault="00107A20" w:rsidP="00195165">
      <w:pPr>
        <w:spacing w:line="360" w:lineRule="auto"/>
      </w:pPr>
      <w:r w:rsidRPr="00A77AF6">
        <w:t xml:space="preserve">Today’s NHS provides a wide range of services including planned care </w:t>
      </w:r>
      <w:r w:rsidR="005D62F9" w:rsidRPr="00A77AF6">
        <w:t>including</w:t>
      </w:r>
      <w:r w:rsidRPr="00A77AF6">
        <w:t xml:space="preserve"> routine operations and investigations</w:t>
      </w:r>
      <w:r w:rsidR="00195165" w:rsidRPr="00A77AF6">
        <w:t xml:space="preserve">, </w:t>
      </w:r>
      <w:r w:rsidRPr="00A77AF6">
        <w:t>urgent care and community care, such as midwifery, district nursing, health visiting, school nursing, dentistry and general practice</w:t>
      </w:r>
      <w:r w:rsidR="00F12F37" w:rsidRPr="00A77AF6">
        <w:t xml:space="preserve">. </w:t>
      </w:r>
      <w:r w:rsidRPr="00A77AF6">
        <w:t xml:space="preserve"> Table </w:t>
      </w:r>
      <w:r w:rsidR="005F6ADC" w:rsidRPr="00A77AF6">
        <w:t>2-</w:t>
      </w:r>
      <w:r w:rsidR="007313A8" w:rsidRPr="00A77AF6">
        <w:t>1</w:t>
      </w:r>
      <w:r w:rsidR="00F12F37" w:rsidRPr="00A77AF6">
        <w:t xml:space="preserve"> </w:t>
      </w:r>
      <w:r w:rsidR="00312045" w:rsidRPr="00A77AF6">
        <w:t xml:space="preserve">shows the </w:t>
      </w:r>
      <w:r w:rsidR="00535036" w:rsidRPr="00A77AF6">
        <w:t xml:space="preserve">organisational composition of the </w:t>
      </w:r>
      <w:r w:rsidR="0033070D" w:rsidRPr="00A77AF6">
        <w:t>NHS</w:t>
      </w:r>
      <w:r w:rsidR="00535036" w:rsidRPr="00A77AF6">
        <w:t xml:space="preserve">. </w:t>
      </w:r>
      <w:r w:rsidR="0033070D" w:rsidRPr="00A77AF6">
        <w:t xml:space="preserve">Clinical Commissioning Groups </w:t>
      </w:r>
      <w:r w:rsidR="005D62F9" w:rsidRPr="00A77AF6">
        <w:t xml:space="preserve">(CCG) </w:t>
      </w:r>
      <w:r w:rsidR="00535036" w:rsidRPr="00A77AF6">
        <w:t>and</w:t>
      </w:r>
      <w:r w:rsidR="0033070D" w:rsidRPr="00A77AF6">
        <w:t xml:space="preserve"> specialist commissioning services buy services for their populations from providers</w:t>
      </w:r>
      <w:r w:rsidR="005D62F9" w:rsidRPr="00A77AF6">
        <w:t xml:space="preserve"> such as </w:t>
      </w:r>
      <w:r w:rsidR="0033070D" w:rsidRPr="00A77AF6">
        <w:t>acute non-specialist trusts, acute specialist trusts, mental health trusts, community providers, ambulance trusts and the 835 other providers</w:t>
      </w:r>
      <w:r w:rsidR="00535036" w:rsidRPr="00A77AF6">
        <w:t xml:space="preserve"> (Nuffield Trust, 2017)</w:t>
      </w:r>
      <w:r w:rsidR="0033070D" w:rsidRPr="00A77AF6">
        <w:t xml:space="preserve">.   The first point of contact for patients is through their GP or through the </w:t>
      </w:r>
      <w:r w:rsidR="001147DD" w:rsidRPr="00A77AF6">
        <w:t>a</w:t>
      </w:r>
      <w:r w:rsidR="0033070D" w:rsidRPr="00A77AF6">
        <w:t xml:space="preserve">ccident and </w:t>
      </w:r>
      <w:r w:rsidR="001147DD" w:rsidRPr="00A77AF6">
        <w:t>e</w:t>
      </w:r>
      <w:r w:rsidR="0033070D" w:rsidRPr="00A77AF6">
        <w:t xml:space="preserve">mergency </w:t>
      </w:r>
      <w:r w:rsidR="001147DD" w:rsidRPr="00A77AF6">
        <w:t>d</w:t>
      </w:r>
      <w:r w:rsidR="0033070D" w:rsidRPr="00A77AF6">
        <w:t xml:space="preserve">epartment of </w:t>
      </w:r>
      <w:r w:rsidR="007313A8" w:rsidRPr="00A77AF6">
        <w:t>an acute non-specialist trust.</w:t>
      </w:r>
    </w:p>
    <w:p w14:paraId="25B628CD" w14:textId="77777777" w:rsidR="00195165" w:rsidRPr="00A77AF6" w:rsidRDefault="00195165">
      <w:pPr>
        <w:rPr>
          <w:i/>
          <w:iCs/>
          <w:sz w:val="18"/>
          <w:szCs w:val="18"/>
        </w:rPr>
      </w:pPr>
      <w:r w:rsidRPr="00A77AF6">
        <w:br w:type="page"/>
      </w:r>
    </w:p>
    <w:p w14:paraId="5C56D431" w14:textId="67714DF7" w:rsidR="00117506" w:rsidRPr="00A77AF6" w:rsidRDefault="00117506" w:rsidP="007000FC">
      <w:pPr>
        <w:pStyle w:val="Caption"/>
        <w:keepNext/>
        <w:spacing w:after="120"/>
      </w:pPr>
      <w:r w:rsidRPr="00A77AF6">
        <w:lastRenderedPageBreak/>
        <w:t xml:space="preserve">Table </w:t>
      </w:r>
      <w:fldSimple w:instr=" STYLEREF 1 \s ">
        <w:r w:rsidR="000441F7">
          <w:rPr>
            <w:noProof/>
          </w:rPr>
          <w:t>2</w:t>
        </w:r>
      </w:fldSimple>
      <w:r w:rsidR="00804112">
        <w:noBreakHyphen/>
      </w:r>
      <w:fldSimple w:instr=" SEQ Table \* ARABIC \s 1 ">
        <w:r w:rsidR="000441F7">
          <w:rPr>
            <w:noProof/>
          </w:rPr>
          <w:t>1</w:t>
        </w:r>
      </w:fldSimple>
      <w:r w:rsidRPr="00A77AF6">
        <w:t xml:space="preserve"> - NHS by organisation 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tblGrid>
      <w:tr w:rsidR="00107A20" w:rsidRPr="00A77AF6" w14:paraId="5B26CA57" w14:textId="77777777" w:rsidTr="00896A52">
        <w:tc>
          <w:tcPr>
            <w:tcW w:w="6374" w:type="dxa"/>
          </w:tcPr>
          <w:p w14:paraId="4954F423" w14:textId="77777777" w:rsidR="00107A20" w:rsidRPr="00A77AF6" w:rsidRDefault="00107A20" w:rsidP="00FA703E">
            <w:pPr>
              <w:spacing w:after="120" w:line="276" w:lineRule="auto"/>
              <w:rPr>
                <w:sz w:val="20"/>
                <w:szCs w:val="20"/>
              </w:rPr>
            </w:pPr>
            <w:r w:rsidRPr="00A77AF6">
              <w:rPr>
                <w:sz w:val="20"/>
                <w:szCs w:val="20"/>
              </w:rPr>
              <w:t>207 clinical commissioning groups</w:t>
            </w:r>
          </w:p>
        </w:tc>
      </w:tr>
      <w:tr w:rsidR="00107A20" w:rsidRPr="00A77AF6" w14:paraId="37018A40" w14:textId="77777777" w:rsidTr="00896A52">
        <w:tc>
          <w:tcPr>
            <w:tcW w:w="6374" w:type="dxa"/>
          </w:tcPr>
          <w:p w14:paraId="7A2D4D75" w14:textId="77777777" w:rsidR="00107A20" w:rsidRPr="00A77AF6" w:rsidRDefault="00107A20" w:rsidP="00FA703E">
            <w:pPr>
              <w:spacing w:after="120" w:line="276" w:lineRule="auto"/>
              <w:rPr>
                <w:sz w:val="20"/>
                <w:szCs w:val="20"/>
              </w:rPr>
            </w:pPr>
            <w:r w:rsidRPr="00A77AF6">
              <w:rPr>
                <w:sz w:val="20"/>
                <w:szCs w:val="20"/>
              </w:rPr>
              <w:t>135 acute non-specialist trusts (including 48 foundation trusts)</w:t>
            </w:r>
          </w:p>
        </w:tc>
      </w:tr>
      <w:tr w:rsidR="00107A20" w:rsidRPr="00A77AF6" w14:paraId="0D2F0C66" w14:textId="77777777" w:rsidTr="00896A52">
        <w:tc>
          <w:tcPr>
            <w:tcW w:w="6374" w:type="dxa"/>
          </w:tcPr>
          <w:p w14:paraId="51217FC2" w14:textId="77777777" w:rsidR="00107A20" w:rsidRPr="00A77AF6" w:rsidRDefault="00107A20" w:rsidP="00FA703E">
            <w:pPr>
              <w:spacing w:after="120" w:line="276" w:lineRule="auto"/>
              <w:rPr>
                <w:sz w:val="20"/>
                <w:szCs w:val="20"/>
              </w:rPr>
            </w:pPr>
            <w:r w:rsidRPr="00A77AF6">
              <w:rPr>
                <w:sz w:val="20"/>
                <w:szCs w:val="20"/>
              </w:rPr>
              <w:t>17 acute specialist trusts (including 16 foundation trusts)</w:t>
            </w:r>
          </w:p>
        </w:tc>
      </w:tr>
      <w:tr w:rsidR="00107A20" w:rsidRPr="00A77AF6" w14:paraId="23CB3EBD" w14:textId="77777777" w:rsidTr="00896A52">
        <w:tc>
          <w:tcPr>
            <w:tcW w:w="6374" w:type="dxa"/>
          </w:tcPr>
          <w:p w14:paraId="60FB4D24" w14:textId="77777777" w:rsidR="00107A20" w:rsidRPr="00A77AF6" w:rsidRDefault="00107A20" w:rsidP="00FA703E">
            <w:pPr>
              <w:spacing w:after="120" w:line="276" w:lineRule="auto"/>
              <w:rPr>
                <w:sz w:val="20"/>
                <w:szCs w:val="20"/>
              </w:rPr>
            </w:pPr>
            <w:r w:rsidRPr="00A77AF6">
              <w:rPr>
                <w:sz w:val="20"/>
                <w:szCs w:val="20"/>
              </w:rPr>
              <w:t>54 mental health trusts (including 42 foundation trusts)</w:t>
            </w:r>
          </w:p>
        </w:tc>
      </w:tr>
      <w:tr w:rsidR="00107A20" w:rsidRPr="00A77AF6" w14:paraId="7B08976F" w14:textId="77777777" w:rsidTr="00896A52">
        <w:tc>
          <w:tcPr>
            <w:tcW w:w="6374" w:type="dxa"/>
          </w:tcPr>
          <w:p w14:paraId="47329846" w14:textId="77777777" w:rsidR="00107A20" w:rsidRPr="00A77AF6" w:rsidRDefault="00107A20" w:rsidP="00FA703E">
            <w:pPr>
              <w:spacing w:after="120" w:line="276" w:lineRule="auto"/>
              <w:rPr>
                <w:sz w:val="20"/>
                <w:szCs w:val="20"/>
              </w:rPr>
            </w:pPr>
            <w:r w:rsidRPr="00A77AF6">
              <w:rPr>
                <w:sz w:val="20"/>
                <w:szCs w:val="20"/>
              </w:rPr>
              <w:t>35 community providers (11 NHS trusts, 6 foundation trusts, 17 social enterprises and 1 limited company</w:t>
            </w:r>
          </w:p>
        </w:tc>
      </w:tr>
      <w:tr w:rsidR="00107A20" w:rsidRPr="00A77AF6" w14:paraId="72C91134" w14:textId="77777777" w:rsidTr="00896A52">
        <w:tc>
          <w:tcPr>
            <w:tcW w:w="6374" w:type="dxa"/>
          </w:tcPr>
          <w:p w14:paraId="13A66DA5" w14:textId="77777777" w:rsidR="00107A20" w:rsidRPr="00A77AF6" w:rsidRDefault="00107A20" w:rsidP="00FA703E">
            <w:pPr>
              <w:spacing w:after="120" w:line="276" w:lineRule="auto"/>
              <w:rPr>
                <w:sz w:val="20"/>
                <w:szCs w:val="20"/>
              </w:rPr>
            </w:pPr>
            <w:r w:rsidRPr="00A77AF6">
              <w:rPr>
                <w:sz w:val="20"/>
                <w:szCs w:val="20"/>
              </w:rPr>
              <w:t>10 ambulance trusts (including 5 foundation trusts)</w:t>
            </w:r>
          </w:p>
        </w:tc>
      </w:tr>
      <w:tr w:rsidR="00107A20" w:rsidRPr="00A77AF6" w14:paraId="47D8264A" w14:textId="77777777" w:rsidTr="00896A52">
        <w:tc>
          <w:tcPr>
            <w:tcW w:w="6374" w:type="dxa"/>
          </w:tcPr>
          <w:p w14:paraId="26A5F5EC" w14:textId="77777777" w:rsidR="00107A20" w:rsidRPr="00A77AF6" w:rsidRDefault="00107A20" w:rsidP="00FA703E">
            <w:pPr>
              <w:spacing w:after="120" w:line="276" w:lineRule="auto"/>
              <w:rPr>
                <w:sz w:val="20"/>
                <w:szCs w:val="20"/>
              </w:rPr>
            </w:pPr>
            <w:r w:rsidRPr="00A77AF6">
              <w:rPr>
                <w:sz w:val="20"/>
                <w:szCs w:val="20"/>
              </w:rPr>
              <w:t>7,454 GP practices</w:t>
            </w:r>
          </w:p>
        </w:tc>
      </w:tr>
      <w:tr w:rsidR="00107A20" w:rsidRPr="00A77AF6" w14:paraId="59ED91F8" w14:textId="77777777" w:rsidTr="00896A52">
        <w:tc>
          <w:tcPr>
            <w:tcW w:w="6374" w:type="dxa"/>
          </w:tcPr>
          <w:p w14:paraId="4A41D0A1" w14:textId="77777777" w:rsidR="00107A20" w:rsidRPr="00A77AF6" w:rsidRDefault="00107A20" w:rsidP="00FA703E">
            <w:pPr>
              <w:spacing w:after="120" w:line="276" w:lineRule="auto"/>
              <w:rPr>
                <w:sz w:val="20"/>
                <w:szCs w:val="20"/>
              </w:rPr>
            </w:pPr>
            <w:r w:rsidRPr="00A77AF6">
              <w:rPr>
                <w:sz w:val="20"/>
                <w:szCs w:val="20"/>
              </w:rPr>
              <w:t xml:space="preserve">853 for-profit and not-for-profit independent sector organisations, providing care to NHS patients from 7,331 locations </w:t>
            </w:r>
          </w:p>
        </w:tc>
      </w:tr>
    </w:tbl>
    <w:p w14:paraId="300290FF" w14:textId="1B63C031" w:rsidR="00A44395" w:rsidRPr="00A77AF6" w:rsidRDefault="001147DD" w:rsidP="00107A20">
      <w:pPr>
        <w:spacing w:line="480" w:lineRule="auto"/>
        <w:rPr>
          <w:sz w:val="20"/>
          <w:szCs w:val="20"/>
        </w:rPr>
      </w:pPr>
      <w:r w:rsidRPr="00A77AF6">
        <w:rPr>
          <w:sz w:val="20"/>
          <w:szCs w:val="20"/>
        </w:rPr>
        <w:t xml:space="preserve">Source: </w:t>
      </w:r>
      <w:r w:rsidR="00A44395" w:rsidRPr="00A77AF6">
        <w:rPr>
          <w:sz w:val="20"/>
          <w:szCs w:val="20"/>
        </w:rPr>
        <w:t>Nuffield Trust</w:t>
      </w:r>
      <w:r w:rsidRPr="00A77AF6">
        <w:rPr>
          <w:sz w:val="20"/>
          <w:szCs w:val="20"/>
        </w:rPr>
        <w:t xml:space="preserve"> (</w:t>
      </w:r>
      <w:r w:rsidR="00A44395" w:rsidRPr="00A77AF6">
        <w:rPr>
          <w:sz w:val="20"/>
          <w:szCs w:val="20"/>
        </w:rPr>
        <w:t>2017)</w:t>
      </w:r>
    </w:p>
    <w:p w14:paraId="06B181F5" w14:textId="4ED66684" w:rsidR="0005483F" w:rsidRPr="00A77AF6" w:rsidRDefault="00176053" w:rsidP="00195165">
      <w:pPr>
        <w:spacing w:line="360" w:lineRule="auto"/>
      </w:pPr>
      <w:r w:rsidRPr="00A77AF6">
        <w:t xml:space="preserve">The NHS is the second largest department for expenditure in the UK, after the Department of Work and Pensions </w:t>
      </w:r>
      <w:sdt>
        <w:sdtPr>
          <w:id w:val="202217112"/>
          <w:citation/>
        </w:sdtPr>
        <w:sdtEndPr/>
        <w:sdtContent>
          <w:r w:rsidRPr="00A77AF6">
            <w:fldChar w:fldCharType="begin"/>
          </w:r>
          <w:r w:rsidRPr="00A77AF6">
            <w:instrText xml:space="preserve"> CITATION Ins17 \l 2057 </w:instrText>
          </w:r>
          <w:r w:rsidRPr="00A77AF6">
            <w:fldChar w:fldCharType="separate"/>
          </w:r>
          <w:r w:rsidR="008E653F" w:rsidRPr="00A77AF6">
            <w:t>(Institute for Government, 2017)</w:t>
          </w:r>
          <w:r w:rsidRPr="00A77AF6">
            <w:fldChar w:fldCharType="end"/>
          </w:r>
        </w:sdtContent>
      </w:sdt>
      <w:r w:rsidRPr="00A77AF6">
        <w:t xml:space="preserve">.  In 2017/18 the NHS budget was £124.7 billion </w:t>
      </w:r>
      <w:sdt>
        <w:sdtPr>
          <w:id w:val="1087660000"/>
          <w:citation/>
        </w:sdtPr>
        <w:sdtEndPr/>
        <w:sdtContent>
          <w:r w:rsidRPr="00A77AF6">
            <w:fldChar w:fldCharType="begin"/>
          </w:r>
          <w:r w:rsidRPr="00A77AF6">
            <w:instrText xml:space="preserve">CITATION Kin171 \l 2057 </w:instrText>
          </w:r>
          <w:r w:rsidRPr="00A77AF6">
            <w:fldChar w:fldCharType="separate"/>
          </w:r>
          <w:r w:rsidR="008E653F" w:rsidRPr="00A77AF6">
            <w:t>(The Kings Fund, 2017)</w:t>
          </w:r>
          <w:r w:rsidRPr="00A77AF6">
            <w:fldChar w:fldCharType="end"/>
          </w:r>
        </w:sdtContent>
      </w:sdt>
      <w:r w:rsidRPr="00A77AF6">
        <w:t xml:space="preserve">.   </w:t>
      </w:r>
      <w:r w:rsidR="004458D5" w:rsidRPr="00A77AF6">
        <w:t>The NHS employs approximately 1.7 million people across the UK’s NHS of which 1.2 million are employed in England</w:t>
      </w:r>
      <w:sdt>
        <w:sdtPr>
          <w:id w:val="939032732"/>
          <w:citation/>
        </w:sdtPr>
        <w:sdtEndPr/>
        <w:sdtContent>
          <w:r w:rsidR="004458D5" w:rsidRPr="00A77AF6">
            <w:fldChar w:fldCharType="begin"/>
          </w:r>
          <w:r w:rsidR="004458D5" w:rsidRPr="00A77AF6">
            <w:instrText xml:space="preserve"> CITATION Nuf17 \l 2057 </w:instrText>
          </w:r>
          <w:r w:rsidR="004458D5" w:rsidRPr="00A77AF6">
            <w:fldChar w:fldCharType="separate"/>
          </w:r>
          <w:r w:rsidR="008E653F" w:rsidRPr="00A77AF6">
            <w:t xml:space="preserve"> (Nuffield Trust, 2017)</w:t>
          </w:r>
          <w:r w:rsidR="004458D5" w:rsidRPr="00A77AF6">
            <w:fldChar w:fldCharType="end"/>
          </w:r>
        </w:sdtContent>
      </w:sdt>
      <w:r w:rsidR="004458D5" w:rsidRPr="00A77AF6">
        <w:t xml:space="preserve">.  </w:t>
      </w:r>
      <w:r w:rsidR="00107A20" w:rsidRPr="00A77AF6">
        <w:t xml:space="preserve">Figure </w:t>
      </w:r>
      <w:r w:rsidR="00FB727D" w:rsidRPr="00A77AF6">
        <w:t>2-1</w:t>
      </w:r>
      <w:r w:rsidR="00107A20" w:rsidRPr="00A77AF6">
        <w:t xml:space="preserve"> shows the percentage of workforce by function in the NHS.  The largest section of the workforce support</w:t>
      </w:r>
      <w:r w:rsidR="00535036" w:rsidRPr="00A77AF6">
        <w:t xml:space="preserve">s clinical </w:t>
      </w:r>
      <w:r w:rsidR="00107A20" w:rsidRPr="00A77AF6">
        <w:t>staff (26.1%).  The second largest group consists of nurses and midwives (25.6%).  Hospital and community health services doctors comprise 8.</w:t>
      </w:r>
      <w:r w:rsidR="00535036" w:rsidRPr="00A77AF6">
        <w:t>2</w:t>
      </w:r>
      <w:r w:rsidR="00107A20" w:rsidRPr="00A77AF6">
        <w:t xml:space="preserve">% of the workforce.  The NHS deals with more than 1 million patients every 36 hours </w:t>
      </w:r>
      <w:sdt>
        <w:sdtPr>
          <w:id w:val="1772434695"/>
          <w:citation/>
        </w:sdtPr>
        <w:sdtEndPr/>
        <w:sdtContent>
          <w:r w:rsidR="00107A20" w:rsidRPr="00A77AF6">
            <w:fldChar w:fldCharType="begin"/>
          </w:r>
          <w:r w:rsidR="00107A20" w:rsidRPr="00A77AF6">
            <w:instrText xml:space="preserve"> CITATION NHS17 \l 2057 </w:instrText>
          </w:r>
          <w:r w:rsidR="00107A20" w:rsidRPr="00A77AF6">
            <w:fldChar w:fldCharType="separate"/>
          </w:r>
          <w:r w:rsidR="008E653F" w:rsidRPr="00A77AF6">
            <w:t>(NHS Confederation , 2017)</w:t>
          </w:r>
          <w:r w:rsidR="00107A20" w:rsidRPr="00A77AF6">
            <w:fldChar w:fldCharType="end"/>
          </w:r>
        </w:sdtContent>
      </w:sdt>
      <w:r w:rsidR="00107A20" w:rsidRPr="00A77AF6">
        <w:t xml:space="preserve">. </w:t>
      </w:r>
    </w:p>
    <w:p w14:paraId="7D3E1AEF" w14:textId="77777777" w:rsidR="00176053" w:rsidRPr="00A77AF6" w:rsidRDefault="00176053" w:rsidP="00186A7C">
      <w:pPr>
        <w:pStyle w:val="Caption"/>
      </w:pPr>
    </w:p>
    <w:p w14:paraId="4C885A89" w14:textId="77777777" w:rsidR="00176053" w:rsidRPr="00A77AF6" w:rsidRDefault="00176053" w:rsidP="00186A7C">
      <w:pPr>
        <w:pStyle w:val="Caption"/>
      </w:pPr>
    </w:p>
    <w:p w14:paraId="52C9323B" w14:textId="77777777" w:rsidR="00176053" w:rsidRPr="00A77AF6" w:rsidRDefault="00176053" w:rsidP="00186A7C">
      <w:pPr>
        <w:pStyle w:val="Caption"/>
      </w:pPr>
    </w:p>
    <w:p w14:paraId="0296B8CE" w14:textId="77777777" w:rsidR="00176053" w:rsidRPr="00A77AF6" w:rsidRDefault="00176053" w:rsidP="00186A7C">
      <w:pPr>
        <w:pStyle w:val="Caption"/>
      </w:pPr>
    </w:p>
    <w:p w14:paraId="05630C49" w14:textId="77777777" w:rsidR="00176053" w:rsidRPr="00A77AF6" w:rsidRDefault="00176053" w:rsidP="00186A7C">
      <w:pPr>
        <w:pStyle w:val="Caption"/>
      </w:pPr>
    </w:p>
    <w:p w14:paraId="464D8C45" w14:textId="77777777" w:rsidR="00176053" w:rsidRPr="00A77AF6" w:rsidRDefault="00176053" w:rsidP="00186A7C">
      <w:pPr>
        <w:pStyle w:val="Caption"/>
      </w:pPr>
    </w:p>
    <w:p w14:paraId="4C2BA43E" w14:textId="77777777" w:rsidR="00176053" w:rsidRPr="00A77AF6" w:rsidRDefault="00176053" w:rsidP="00186A7C">
      <w:pPr>
        <w:pStyle w:val="Caption"/>
      </w:pPr>
    </w:p>
    <w:p w14:paraId="214AF1A0" w14:textId="77777777" w:rsidR="00176053" w:rsidRPr="00A77AF6" w:rsidRDefault="00176053" w:rsidP="00186A7C">
      <w:pPr>
        <w:pStyle w:val="Caption"/>
      </w:pPr>
    </w:p>
    <w:p w14:paraId="3518FBDF" w14:textId="77777777" w:rsidR="00176053" w:rsidRPr="00A77AF6" w:rsidRDefault="00176053" w:rsidP="00186A7C">
      <w:pPr>
        <w:pStyle w:val="Caption"/>
      </w:pPr>
    </w:p>
    <w:p w14:paraId="70A8C2C4" w14:textId="77777777" w:rsidR="00195165" w:rsidRPr="00A77AF6" w:rsidRDefault="00195165" w:rsidP="00186A7C">
      <w:pPr>
        <w:pStyle w:val="Caption"/>
      </w:pPr>
    </w:p>
    <w:p w14:paraId="0B473420" w14:textId="77777777" w:rsidR="00195165" w:rsidRPr="00A77AF6" w:rsidRDefault="00195165" w:rsidP="00186A7C">
      <w:pPr>
        <w:pStyle w:val="Caption"/>
      </w:pPr>
    </w:p>
    <w:p w14:paraId="3F896587" w14:textId="77777777" w:rsidR="00195165" w:rsidRPr="00A77AF6" w:rsidRDefault="00195165" w:rsidP="00186A7C">
      <w:pPr>
        <w:pStyle w:val="Caption"/>
      </w:pPr>
    </w:p>
    <w:p w14:paraId="764AA40F" w14:textId="77777777" w:rsidR="00117506" w:rsidRPr="00A77AF6" w:rsidRDefault="005B7064" w:rsidP="00117506">
      <w:pPr>
        <w:keepNext/>
        <w:spacing w:line="240" w:lineRule="auto"/>
      </w:pPr>
      <w:r w:rsidRPr="00A77AF6">
        <w:rPr>
          <w:noProof/>
          <w:lang w:eastAsia="en-GB"/>
        </w:rPr>
        <w:lastRenderedPageBreak/>
        <w:drawing>
          <wp:inline distT="0" distB="0" distL="0" distR="0" wp14:anchorId="073E8304" wp14:editId="0434D279">
            <wp:extent cx="4943475" cy="5389195"/>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brightnessContrast contrast="-40000"/>
                              </a14:imgEffect>
                            </a14:imgLayer>
                          </a14:imgProps>
                        </a:ext>
                      </a:extLst>
                    </a:blip>
                    <a:srcRect l="9805" t="9158" r="49646" b="12252"/>
                    <a:stretch/>
                  </pic:blipFill>
                  <pic:spPr bwMode="auto">
                    <a:xfrm>
                      <a:off x="0" y="0"/>
                      <a:ext cx="5008689" cy="5460289"/>
                    </a:xfrm>
                    <a:prstGeom prst="rect">
                      <a:avLst/>
                    </a:prstGeom>
                    <a:ln>
                      <a:noFill/>
                    </a:ln>
                    <a:extLst>
                      <a:ext uri="{53640926-AAD7-44D8-BBD7-CCE9431645EC}">
                        <a14:shadowObscured xmlns:a14="http://schemas.microsoft.com/office/drawing/2010/main"/>
                      </a:ext>
                    </a:extLst>
                  </pic:spPr>
                </pic:pic>
              </a:graphicData>
            </a:graphic>
          </wp:inline>
        </w:drawing>
      </w:r>
    </w:p>
    <w:p w14:paraId="2B08BA7F" w14:textId="6935D1E7" w:rsidR="00C51ED0" w:rsidRPr="00A77AF6" w:rsidRDefault="00117506" w:rsidP="00117506">
      <w:pPr>
        <w:pStyle w:val="Caption"/>
      </w:pPr>
      <w:bookmarkStart w:id="17" w:name="_Toc36186954"/>
      <w:r w:rsidRPr="00A77AF6">
        <w:t xml:space="preserve">Figure </w:t>
      </w:r>
      <w:fldSimple w:instr=" STYLEREF 1 \s ">
        <w:r w:rsidR="000441F7">
          <w:rPr>
            <w:noProof/>
          </w:rPr>
          <w:t>2</w:t>
        </w:r>
      </w:fldSimple>
      <w:r w:rsidR="00BA5DC4">
        <w:noBreakHyphen/>
      </w:r>
      <w:fldSimple w:instr=" SEQ Figure \* ARABIC \s 1 ">
        <w:r w:rsidR="000441F7">
          <w:rPr>
            <w:noProof/>
          </w:rPr>
          <w:t>1</w:t>
        </w:r>
      </w:fldSimple>
      <w:r w:rsidRPr="00A77AF6">
        <w:t>- NHS employees by role</w:t>
      </w:r>
      <w:bookmarkEnd w:id="17"/>
      <w:r w:rsidRPr="00A77AF6">
        <w:t xml:space="preserve"> </w:t>
      </w:r>
    </w:p>
    <w:p w14:paraId="068B8542" w14:textId="134824BD" w:rsidR="00117506" w:rsidRPr="00A77AF6" w:rsidRDefault="007000FC" w:rsidP="00C51ED0">
      <w:pPr>
        <w:rPr>
          <w:sz w:val="20"/>
          <w:szCs w:val="20"/>
        </w:rPr>
      </w:pPr>
      <w:r w:rsidRPr="00A77AF6">
        <w:rPr>
          <w:sz w:val="20"/>
          <w:szCs w:val="20"/>
        </w:rPr>
        <w:t xml:space="preserve">Source: </w:t>
      </w:r>
      <w:r w:rsidR="00117506" w:rsidRPr="00A77AF6">
        <w:rPr>
          <w:sz w:val="20"/>
          <w:szCs w:val="20"/>
        </w:rPr>
        <w:t>Nuffield Trust, 2017</w:t>
      </w:r>
    </w:p>
    <w:p w14:paraId="3EEC33C9" w14:textId="77777777" w:rsidR="00117506" w:rsidRPr="00A77AF6" w:rsidRDefault="00117506" w:rsidP="00117506"/>
    <w:p w14:paraId="7CA1C257" w14:textId="018C4CE7" w:rsidR="00107A20" w:rsidRPr="00A77AF6" w:rsidRDefault="00107A20" w:rsidP="00195165">
      <w:pPr>
        <w:spacing w:line="360" w:lineRule="auto"/>
      </w:pPr>
      <w:r w:rsidRPr="00A77AF6">
        <w:t xml:space="preserve">Apart from a few services, such as </w:t>
      </w:r>
      <w:r w:rsidR="000D668F" w:rsidRPr="00A77AF6">
        <w:t xml:space="preserve">some </w:t>
      </w:r>
      <w:r w:rsidRPr="00A77AF6">
        <w:t xml:space="preserve">prescriptions for medicines and optician and dentistry services, healthcare delivery is free at the point of delivery. </w:t>
      </w:r>
      <w:r w:rsidR="00E0213A" w:rsidRPr="00A77AF6">
        <w:t>All services are free f</w:t>
      </w:r>
      <w:r w:rsidRPr="00A77AF6">
        <w:t xml:space="preserve">or the elderly, </w:t>
      </w:r>
      <w:r w:rsidR="00E0213A" w:rsidRPr="00A77AF6">
        <w:t xml:space="preserve">pregnant women, </w:t>
      </w:r>
      <w:r w:rsidR="00535036" w:rsidRPr="00A77AF6">
        <w:t>children</w:t>
      </w:r>
      <w:r w:rsidR="00E0213A" w:rsidRPr="00A77AF6">
        <w:t xml:space="preserve">, babies and the </w:t>
      </w:r>
      <w:r w:rsidRPr="00A77AF6">
        <w:t>chronically sick</w:t>
      </w:r>
      <w:r w:rsidR="00E0213A" w:rsidRPr="00A77AF6">
        <w:t xml:space="preserve">. </w:t>
      </w:r>
      <w:r w:rsidRPr="00A77AF6">
        <w:t xml:space="preserve">The NHS is highly valued by the UKs population and had a satisfaction rate of 63% in 2016 </w:t>
      </w:r>
      <w:r w:rsidR="000D668F" w:rsidRPr="00A77AF6">
        <w:t xml:space="preserve">and </w:t>
      </w:r>
      <w:r w:rsidRPr="00A77AF6">
        <w:t xml:space="preserve">although satisfaction has </w:t>
      </w:r>
      <w:r w:rsidR="000D668F" w:rsidRPr="00A77AF6">
        <w:t xml:space="preserve">historically been </w:t>
      </w:r>
      <w:r w:rsidRPr="00A77AF6">
        <w:t xml:space="preserve">higher, satisfaction rates are still high by historical standards </w:t>
      </w:r>
      <w:sdt>
        <w:sdtPr>
          <w:id w:val="102773412"/>
          <w:citation/>
        </w:sdtPr>
        <w:sdtEndPr/>
        <w:sdtContent>
          <w:r w:rsidRPr="00A77AF6">
            <w:fldChar w:fldCharType="begin"/>
          </w:r>
          <w:r w:rsidRPr="00A77AF6">
            <w:instrText xml:space="preserve"> CITATION Kin16 \l 2057 </w:instrText>
          </w:r>
          <w:r w:rsidRPr="00A77AF6">
            <w:fldChar w:fldCharType="separate"/>
          </w:r>
          <w:r w:rsidR="008E653F" w:rsidRPr="00A77AF6">
            <w:t>(Kings Fund, 2016)</w:t>
          </w:r>
          <w:r w:rsidRPr="00A77AF6">
            <w:fldChar w:fldCharType="end"/>
          </w:r>
        </w:sdtContent>
      </w:sdt>
    </w:p>
    <w:p w14:paraId="363FFBFF" w14:textId="77777777" w:rsidR="00E0213A" w:rsidRPr="00A77AF6" w:rsidRDefault="00E0213A" w:rsidP="00FE3340">
      <w:pPr>
        <w:spacing w:line="480" w:lineRule="auto"/>
        <w:rPr>
          <w:b/>
          <w:bCs/>
        </w:rPr>
      </w:pPr>
    </w:p>
    <w:p w14:paraId="2A99DCDD" w14:textId="77777777" w:rsidR="00E0213A" w:rsidRPr="00A77AF6" w:rsidRDefault="00E0213A" w:rsidP="00FE3340">
      <w:pPr>
        <w:spacing w:line="480" w:lineRule="auto"/>
        <w:rPr>
          <w:b/>
          <w:bCs/>
        </w:rPr>
      </w:pPr>
    </w:p>
    <w:p w14:paraId="063935B3" w14:textId="71E698B9" w:rsidR="00B768E1" w:rsidRPr="00A77AF6" w:rsidRDefault="00FB23A3" w:rsidP="00891161">
      <w:pPr>
        <w:pStyle w:val="Heading3"/>
        <w:spacing w:after="120"/>
      </w:pPr>
      <w:bookmarkStart w:id="18" w:name="_Toc36275038"/>
      <w:r w:rsidRPr="00A77AF6">
        <w:lastRenderedPageBreak/>
        <w:t>The s</w:t>
      </w:r>
      <w:r w:rsidR="00B768E1" w:rsidRPr="00A77AF6">
        <w:t>tructure of the NHS</w:t>
      </w:r>
      <w:bookmarkEnd w:id="18"/>
    </w:p>
    <w:p w14:paraId="64D1BE5F" w14:textId="42B97D0E" w:rsidR="00176053" w:rsidRPr="00A77AF6" w:rsidRDefault="008567A9" w:rsidP="00602E26">
      <w:pPr>
        <w:spacing w:line="360" w:lineRule="auto"/>
      </w:pPr>
      <w:r w:rsidRPr="00A77AF6">
        <w:t>T</w:t>
      </w:r>
      <w:r w:rsidR="00176053" w:rsidRPr="00A77AF6">
        <w:t xml:space="preserve">he </w:t>
      </w:r>
      <w:r w:rsidRPr="00A77AF6">
        <w:t xml:space="preserve">new </w:t>
      </w:r>
      <w:r w:rsidR="00176053" w:rsidRPr="00A77AF6">
        <w:t xml:space="preserve">NHS was founded on an older, historical structure. </w:t>
      </w:r>
      <w:r w:rsidR="005F6ADC" w:rsidRPr="00A77AF6">
        <w:t>T</w:t>
      </w:r>
      <w:r w:rsidR="00176053" w:rsidRPr="00A77AF6">
        <w:t>he system overseen by the Ministry of Health was divided into 3 parts: hospital services, community health services and primary care.  Hospital services were governed by two different structures</w:t>
      </w:r>
      <w:r w:rsidRPr="00A77AF6">
        <w:t xml:space="preserve">, </w:t>
      </w:r>
      <w:r w:rsidR="00176053" w:rsidRPr="00A77AF6">
        <w:t xml:space="preserve"> 14 Regional Hospital Boards oversaw 388 Hospital Management Committees, which in turn, managed 2,800 hospitals and 36 Boards of Governors oversaw 140 teaching hospitals (those with medical schools)</w:t>
      </w:r>
      <w:r w:rsidR="005F6ADC" w:rsidRPr="00A77AF6">
        <w:t xml:space="preserve"> (Figure 2-2)</w:t>
      </w:r>
      <w:r w:rsidR="00176053" w:rsidRPr="00A77AF6">
        <w:t xml:space="preserve">.  </w:t>
      </w:r>
    </w:p>
    <w:p w14:paraId="44BE4D64" w14:textId="5BA4A205" w:rsidR="00792E3C" w:rsidRPr="00A77AF6" w:rsidRDefault="00792E3C" w:rsidP="00D65E86">
      <w:pPr>
        <w:spacing w:line="360" w:lineRule="auto"/>
      </w:pPr>
      <w:r w:rsidRPr="00A77AF6">
        <w:rPr>
          <w:noProof/>
        </w:rPr>
        <w:drawing>
          <wp:inline distT="0" distB="0" distL="0" distR="0" wp14:anchorId="55E8772D" wp14:editId="15EA5525">
            <wp:extent cx="5058383" cy="3511550"/>
            <wp:effectExtent l="0" t="0" r="0" b="12700"/>
            <wp:docPr id="12401" name="Diagram 124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74B1A9C" w14:textId="4F31829D" w:rsidR="00117506" w:rsidRPr="00A77AF6" w:rsidRDefault="00117506" w:rsidP="008567A9">
      <w:pPr>
        <w:spacing w:after="240"/>
        <w:rPr>
          <w:rStyle w:val="Hyperlink"/>
          <w:color w:val="auto"/>
          <w:sz w:val="16"/>
          <w:szCs w:val="16"/>
          <w:u w:val="none"/>
        </w:rPr>
      </w:pPr>
      <w:bookmarkStart w:id="19" w:name="_Toc36186955"/>
      <w:r w:rsidRPr="00A77AF6">
        <w:rPr>
          <w:sz w:val="18"/>
          <w:szCs w:val="18"/>
        </w:rPr>
        <w:t xml:space="preserve">Figure </w:t>
      </w:r>
      <w:r w:rsidR="00BA5DC4">
        <w:rPr>
          <w:sz w:val="18"/>
          <w:szCs w:val="18"/>
        </w:rPr>
        <w:fldChar w:fldCharType="begin"/>
      </w:r>
      <w:r w:rsidR="00BA5DC4">
        <w:rPr>
          <w:sz w:val="18"/>
          <w:szCs w:val="18"/>
        </w:rPr>
        <w:instrText xml:space="preserve"> STYLEREF 1 \s </w:instrText>
      </w:r>
      <w:r w:rsidR="00BA5DC4">
        <w:rPr>
          <w:sz w:val="18"/>
          <w:szCs w:val="18"/>
        </w:rPr>
        <w:fldChar w:fldCharType="separate"/>
      </w:r>
      <w:r w:rsidR="000441F7">
        <w:rPr>
          <w:noProof/>
          <w:sz w:val="18"/>
          <w:szCs w:val="18"/>
        </w:rPr>
        <w:t>2</w:t>
      </w:r>
      <w:r w:rsidR="00BA5DC4">
        <w:rPr>
          <w:sz w:val="18"/>
          <w:szCs w:val="18"/>
        </w:rPr>
        <w:fldChar w:fldCharType="end"/>
      </w:r>
      <w:r w:rsidR="00BA5DC4">
        <w:rPr>
          <w:sz w:val="18"/>
          <w:szCs w:val="18"/>
        </w:rPr>
        <w:noBreakHyphen/>
      </w:r>
      <w:r w:rsidR="00BA5DC4">
        <w:rPr>
          <w:sz w:val="18"/>
          <w:szCs w:val="18"/>
        </w:rPr>
        <w:fldChar w:fldCharType="begin"/>
      </w:r>
      <w:r w:rsidR="00BA5DC4">
        <w:rPr>
          <w:sz w:val="18"/>
          <w:szCs w:val="18"/>
        </w:rPr>
        <w:instrText xml:space="preserve"> SEQ Figure \* ARABIC \s 1 </w:instrText>
      </w:r>
      <w:r w:rsidR="00BA5DC4">
        <w:rPr>
          <w:sz w:val="18"/>
          <w:szCs w:val="18"/>
        </w:rPr>
        <w:fldChar w:fldCharType="separate"/>
      </w:r>
      <w:r w:rsidR="000441F7">
        <w:rPr>
          <w:noProof/>
          <w:sz w:val="18"/>
          <w:szCs w:val="18"/>
        </w:rPr>
        <w:t>2</w:t>
      </w:r>
      <w:r w:rsidR="00BA5DC4">
        <w:rPr>
          <w:sz w:val="18"/>
          <w:szCs w:val="18"/>
        </w:rPr>
        <w:fldChar w:fldCharType="end"/>
      </w:r>
      <w:r w:rsidRPr="00A77AF6">
        <w:rPr>
          <w:sz w:val="18"/>
          <w:szCs w:val="18"/>
        </w:rPr>
        <w:t>:</w:t>
      </w:r>
      <w:r w:rsidR="005F6ADC" w:rsidRPr="00A77AF6">
        <w:rPr>
          <w:sz w:val="18"/>
          <w:szCs w:val="18"/>
        </w:rPr>
        <w:t xml:space="preserve"> </w:t>
      </w:r>
      <w:r w:rsidRPr="00A77AF6">
        <w:rPr>
          <w:sz w:val="18"/>
          <w:szCs w:val="18"/>
        </w:rPr>
        <w:t>1948 NHS Structure</w:t>
      </w:r>
      <w:bookmarkEnd w:id="19"/>
      <w:r w:rsidRPr="00A77AF6">
        <w:rPr>
          <w:sz w:val="18"/>
          <w:szCs w:val="18"/>
        </w:rPr>
        <w:t xml:space="preserve"> </w:t>
      </w:r>
    </w:p>
    <w:p w14:paraId="41B9DE55" w14:textId="7D6B9E5E" w:rsidR="008567A9" w:rsidRPr="00A77AF6" w:rsidRDefault="008567A9" w:rsidP="008567A9">
      <w:pPr>
        <w:spacing w:after="240"/>
        <w:rPr>
          <w:color w:val="0563C1" w:themeColor="hyperlink"/>
          <w:sz w:val="20"/>
          <w:szCs w:val="20"/>
          <w:u w:val="single"/>
        </w:rPr>
      </w:pPr>
      <w:r w:rsidRPr="00A77AF6">
        <w:rPr>
          <w:rStyle w:val="Hyperlink"/>
          <w:color w:val="auto"/>
          <w:sz w:val="20"/>
          <w:szCs w:val="20"/>
          <w:u w:val="none"/>
        </w:rPr>
        <w:t>Source: nhshistory.net</w:t>
      </w:r>
    </w:p>
    <w:p w14:paraId="373A228E" w14:textId="0FFC3D6D" w:rsidR="00B768E1" w:rsidRPr="00A77AF6" w:rsidRDefault="008567A9" w:rsidP="00602E26">
      <w:pPr>
        <w:spacing w:line="360" w:lineRule="auto"/>
      </w:pPr>
      <w:r w:rsidRPr="00A77AF6">
        <w:t xml:space="preserve">Community health </w:t>
      </w:r>
      <w:r w:rsidR="00B768E1" w:rsidRPr="00A77AF6">
        <w:t xml:space="preserve">services were provided by </w:t>
      </w:r>
      <w:r w:rsidR="00552F5B" w:rsidRPr="00A77AF6">
        <w:t xml:space="preserve">146 </w:t>
      </w:r>
      <w:r w:rsidR="00B768E1" w:rsidRPr="00A77AF6">
        <w:t xml:space="preserve">Local Authorities and included services such as community nurses, midwives and health visitors.  Primary care which consisted of 20,000 </w:t>
      </w:r>
      <w:r w:rsidRPr="00A77AF6">
        <w:t xml:space="preserve">self-employed </w:t>
      </w:r>
      <w:r w:rsidR="005F6ADC" w:rsidRPr="00A77AF6">
        <w:t>g</w:t>
      </w:r>
      <w:r w:rsidR="00B768E1" w:rsidRPr="00A77AF6">
        <w:t xml:space="preserve">eneral </w:t>
      </w:r>
      <w:r w:rsidR="005F6ADC" w:rsidRPr="00A77AF6">
        <w:t>p</w:t>
      </w:r>
      <w:r w:rsidR="00B768E1" w:rsidRPr="00A77AF6">
        <w:t xml:space="preserve">ractitioners, dentists, pharmacists and opticians </w:t>
      </w:r>
      <w:r w:rsidR="00A92019" w:rsidRPr="00A77AF6">
        <w:t>w</w:t>
      </w:r>
      <w:r w:rsidR="00D65E86" w:rsidRPr="00A77AF6">
        <w:t>as</w:t>
      </w:r>
      <w:r w:rsidR="00A92019" w:rsidRPr="00A77AF6">
        <w:t xml:space="preserve"> overseen by 138 </w:t>
      </w:r>
      <w:r w:rsidR="005F6ADC" w:rsidRPr="00A77AF6">
        <w:t>e</w:t>
      </w:r>
      <w:r w:rsidR="00A92019" w:rsidRPr="00A77AF6">
        <w:t xml:space="preserve">xecutive </w:t>
      </w:r>
      <w:r w:rsidR="005F6ADC" w:rsidRPr="00A77AF6">
        <w:t>c</w:t>
      </w:r>
      <w:r w:rsidR="00A92019" w:rsidRPr="00A77AF6">
        <w:t>ouncils</w:t>
      </w:r>
      <w:r w:rsidRPr="00A77AF6">
        <w:t xml:space="preserve"> </w:t>
      </w:r>
      <w:sdt>
        <w:sdtPr>
          <w:id w:val="-1842156696"/>
          <w:citation/>
        </w:sdtPr>
        <w:sdtEndPr/>
        <w:sdtContent>
          <w:r w:rsidRPr="00A77AF6">
            <w:fldChar w:fldCharType="begin"/>
          </w:r>
          <w:r w:rsidR="003E5115" w:rsidRPr="00A77AF6">
            <w:instrText xml:space="preserve">CITATION Geo17 \l 2057 </w:instrText>
          </w:r>
          <w:r w:rsidRPr="00A77AF6">
            <w:fldChar w:fldCharType="separate"/>
          </w:r>
          <w:r w:rsidR="003E5115" w:rsidRPr="00A77AF6">
            <w:t>(Rivett, 2017)</w:t>
          </w:r>
          <w:r w:rsidRPr="00A77AF6">
            <w:fldChar w:fldCharType="end"/>
          </w:r>
        </w:sdtContent>
      </w:sdt>
      <w:r w:rsidR="00A92019" w:rsidRPr="00A77AF6">
        <w:t xml:space="preserve">. </w:t>
      </w:r>
      <w:r w:rsidR="00B768E1" w:rsidRPr="00A77AF6">
        <w:t xml:space="preserve"> The GPs role was both that of gatekeeper and provider of medical interventions</w:t>
      </w:r>
      <w:r w:rsidR="005F6ADC" w:rsidRPr="00A77AF6">
        <w:t xml:space="preserve">.  Gatekeeper because GPs decide whether patients should be referred to hospital, and provider because they provide medical interventions and prescriptions. </w:t>
      </w:r>
      <w:r w:rsidR="00B768E1" w:rsidRPr="00A77AF6">
        <w:t>The Local Authorities pr</w:t>
      </w:r>
      <w:r w:rsidR="00F20FE6" w:rsidRPr="00A77AF6">
        <w:t>ovided community services</w:t>
      </w:r>
      <w:r w:rsidR="005F6ADC" w:rsidRPr="00A77AF6">
        <w:t xml:space="preserve"> and</w:t>
      </w:r>
      <w:r w:rsidR="00F20FE6" w:rsidRPr="00A77AF6">
        <w:t xml:space="preserve"> t</w:t>
      </w:r>
      <w:r w:rsidR="00B768E1" w:rsidRPr="00A77AF6">
        <w:t xml:space="preserve">his arrangement lasted until the 1974 NHS reorganisation. </w:t>
      </w:r>
    </w:p>
    <w:p w14:paraId="4C4C6ACA" w14:textId="77777777" w:rsidR="00B768E1" w:rsidRPr="00A77AF6" w:rsidRDefault="00B768E1" w:rsidP="00823880">
      <w:pPr>
        <w:pStyle w:val="Heading4"/>
        <w:numPr>
          <w:ilvl w:val="0"/>
          <w:numId w:val="0"/>
        </w:numPr>
        <w:spacing w:after="120"/>
      </w:pPr>
      <w:r w:rsidRPr="00A77AF6">
        <w:t>1974 Reorganisation</w:t>
      </w:r>
    </w:p>
    <w:p w14:paraId="70006F59" w14:textId="4F81D27C" w:rsidR="00186A7C" w:rsidRPr="00A77AF6" w:rsidRDefault="00B768E1" w:rsidP="00602E26">
      <w:pPr>
        <w:spacing w:line="360" w:lineRule="auto"/>
      </w:pPr>
      <w:r w:rsidRPr="00A77AF6">
        <w:t>Th</w:t>
      </w:r>
      <w:r w:rsidR="00552F5B" w:rsidRPr="00A77AF6">
        <w:t>is reorganisation slimmed down the management structure of the NHS.</w:t>
      </w:r>
      <w:r w:rsidR="00F46614">
        <w:t xml:space="preserve"> </w:t>
      </w:r>
      <w:r w:rsidR="00210434" w:rsidRPr="00A77AF6">
        <w:t xml:space="preserve"> </w:t>
      </w:r>
      <w:r w:rsidR="00F46614">
        <w:t xml:space="preserve">Fourteen new </w:t>
      </w:r>
      <w:r w:rsidRPr="00A77AF6">
        <w:t>R</w:t>
      </w:r>
      <w:r w:rsidR="00F46614">
        <w:t xml:space="preserve">egional </w:t>
      </w:r>
      <w:r w:rsidRPr="00A77AF6">
        <w:t>H</w:t>
      </w:r>
      <w:r w:rsidR="00F46614">
        <w:t xml:space="preserve">ealth </w:t>
      </w:r>
      <w:r w:rsidRPr="00A77AF6">
        <w:t>A</w:t>
      </w:r>
      <w:r w:rsidR="00F46614">
        <w:t xml:space="preserve">uthorities </w:t>
      </w:r>
      <w:r w:rsidRPr="00A77AF6">
        <w:t xml:space="preserve">were supported by </w:t>
      </w:r>
      <w:r w:rsidR="002874CC" w:rsidRPr="00A77AF6">
        <w:t>90</w:t>
      </w:r>
      <w:r w:rsidRPr="00A77AF6">
        <w:t xml:space="preserve"> </w:t>
      </w:r>
      <w:r w:rsidR="00552F5B" w:rsidRPr="00A77AF6">
        <w:t>Area</w:t>
      </w:r>
      <w:r w:rsidRPr="00A77AF6">
        <w:t xml:space="preserve"> Health Authorities, which were broadly aligned </w:t>
      </w:r>
      <w:r w:rsidRPr="00A77AF6">
        <w:lastRenderedPageBreak/>
        <w:t>with local authorities</w:t>
      </w:r>
      <w:r w:rsidR="005C23A8">
        <w:t>. C</w:t>
      </w:r>
      <w:r w:rsidRPr="00A77AF6">
        <w:t xml:space="preserve">ommunity health services were brought into the NHS </w:t>
      </w:r>
      <w:r w:rsidR="00FA573C" w:rsidRPr="00A77AF6">
        <w:t>and</w:t>
      </w:r>
      <w:r w:rsidRPr="00A77AF6">
        <w:t xml:space="preserve"> general practice was managed by 90 Family Practitioner Committees</w:t>
      </w:r>
      <w:r w:rsidR="00210434" w:rsidRPr="00A77AF6">
        <w:t xml:space="preserve"> (Figure 2-3)</w:t>
      </w:r>
      <w:r w:rsidRPr="00A77AF6">
        <w:t>.</w:t>
      </w:r>
    </w:p>
    <w:p w14:paraId="0EC23FB8" w14:textId="01E8C58E" w:rsidR="00B768E1" w:rsidRPr="00A77AF6" w:rsidRDefault="005B7064" w:rsidP="00186A7C">
      <w:r w:rsidRPr="00A77AF6">
        <w:rPr>
          <w:noProof/>
          <w:lang w:eastAsia="en-GB"/>
        </w:rPr>
        <w:drawing>
          <wp:inline distT="0" distB="0" distL="0" distR="0" wp14:anchorId="2F063091" wp14:editId="1B81EE1D">
            <wp:extent cx="4267200" cy="4453874"/>
            <wp:effectExtent l="0" t="0" r="0" b="4445"/>
            <wp:docPr id="31" name="Picture 31" descr="Image result for 1974 nhs reorganisation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1974 nhs reorganisation ac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832" t="5229" r="2741"/>
                    <a:stretch/>
                  </pic:blipFill>
                  <pic:spPr bwMode="auto">
                    <a:xfrm>
                      <a:off x="0" y="0"/>
                      <a:ext cx="4277707" cy="4464841"/>
                    </a:xfrm>
                    <a:prstGeom prst="rect">
                      <a:avLst/>
                    </a:prstGeom>
                    <a:noFill/>
                    <a:ln>
                      <a:noFill/>
                    </a:ln>
                    <a:extLst>
                      <a:ext uri="{53640926-AAD7-44D8-BBD7-CCE9431645EC}">
                        <a14:shadowObscured xmlns:a14="http://schemas.microsoft.com/office/drawing/2010/main"/>
                      </a:ext>
                    </a:extLst>
                  </pic:spPr>
                </pic:pic>
              </a:graphicData>
            </a:graphic>
          </wp:inline>
        </w:drawing>
      </w:r>
    </w:p>
    <w:p w14:paraId="37E44047" w14:textId="677ADDF7" w:rsidR="00117506" w:rsidRPr="00A77AF6" w:rsidRDefault="00117506" w:rsidP="00117506">
      <w:pPr>
        <w:pStyle w:val="Caption"/>
        <w:keepNext/>
      </w:pPr>
      <w:bookmarkStart w:id="20" w:name="_Toc36186956"/>
      <w:r w:rsidRPr="00A77AF6">
        <w:t xml:space="preserve">Figure </w:t>
      </w:r>
      <w:fldSimple w:instr=" STYLEREF 1 \s ">
        <w:r w:rsidR="000441F7">
          <w:rPr>
            <w:noProof/>
          </w:rPr>
          <w:t>2</w:t>
        </w:r>
      </w:fldSimple>
      <w:r w:rsidR="00BA5DC4">
        <w:noBreakHyphen/>
      </w:r>
      <w:fldSimple w:instr=" SEQ Figure \* ARABIC \s 1 ">
        <w:r w:rsidR="000441F7">
          <w:rPr>
            <w:noProof/>
          </w:rPr>
          <w:t>3</w:t>
        </w:r>
      </w:fldSimple>
      <w:r w:rsidRPr="00A77AF6">
        <w:t xml:space="preserve">: NHS </w:t>
      </w:r>
      <w:r w:rsidR="00C51ED0" w:rsidRPr="00A77AF6">
        <w:t>s</w:t>
      </w:r>
      <w:r w:rsidRPr="00A77AF6">
        <w:t>tructure post 1974 reforms</w:t>
      </w:r>
      <w:bookmarkEnd w:id="20"/>
    </w:p>
    <w:p w14:paraId="4D1329C5" w14:textId="77777777" w:rsidR="00B768E1" w:rsidRPr="00A77AF6" w:rsidRDefault="00B768E1" w:rsidP="00B768E1"/>
    <w:p w14:paraId="73363FAF" w14:textId="77777777" w:rsidR="00B768E1" w:rsidRPr="00A77AF6" w:rsidRDefault="00B768E1" w:rsidP="00823880">
      <w:pPr>
        <w:pStyle w:val="Heading4"/>
        <w:numPr>
          <w:ilvl w:val="0"/>
          <w:numId w:val="0"/>
        </w:numPr>
        <w:spacing w:after="120"/>
      </w:pPr>
      <w:r w:rsidRPr="00A77AF6">
        <w:t>NHS Reforms 1983-1989</w:t>
      </w:r>
    </w:p>
    <w:p w14:paraId="4B2F769E" w14:textId="21403EBA" w:rsidR="00A92019" w:rsidRPr="00A77AF6" w:rsidRDefault="00552F5B" w:rsidP="00452199">
      <w:pPr>
        <w:spacing w:after="120" w:line="360" w:lineRule="auto"/>
      </w:pPr>
      <w:r w:rsidRPr="00A77AF6">
        <w:t xml:space="preserve">The </w:t>
      </w:r>
      <w:r w:rsidR="007A7EBF" w:rsidRPr="00A77AF6">
        <w:t xml:space="preserve">UK’s </w:t>
      </w:r>
      <w:r w:rsidRPr="00A77AF6">
        <w:t xml:space="preserve">Conservative Government established a review of NHS </w:t>
      </w:r>
      <w:r w:rsidR="008567A9" w:rsidRPr="00A77AF6">
        <w:t>management which resulted in the Gr</w:t>
      </w:r>
      <w:r w:rsidR="00B768E1" w:rsidRPr="00A77AF6">
        <w:t>iffiths Report (1983)</w:t>
      </w:r>
      <w:r w:rsidR="005F6ADC" w:rsidRPr="00A77AF6">
        <w:t xml:space="preserve"> </w:t>
      </w:r>
      <w:r w:rsidR="003B4AA3" w:rsidRPr="00A77AF6">
        <w:t>and</w:t>
      </w:r>
      <w:r w:rsidR="005F6ADC" w:rsidRPr="00A77AF6">
        <w:t xml:space="preserve"> </w:t>
      </w:r>
      <w:r w:rsidR="00B768E1" w:rsidRPr="00A77AF6">
        <w:t xml:space="preserve">recommended the </w:t>
      </w:r>
      <w:r w:rsidR="00615445" w:rsidRPr="00A77AF6">
        <w:t>introduction</w:t>
      </w:r>
      <w:r w:rsidR="00B768E1" w:rsidRPr="00A77AF6">
        <w:t xml:space="preserve"> of general management in</w:t>
      </w:r>
      <w:r w:rsidR="008567A9" w:rsidRPr="00A77AF6">
        <w:t>to</w:t>
      </w:r>
      <w:r w:rsidR="00B768E1" w:rsidRPr="00A77AF6">
        <w:t xml:space="preserve"> the NHS</w:t>
      </w:r>
      <w:r w:rsidR="00F939A1" w:rsidRPr="00A77AF6">
        <w:t xml:space="preserve"> to replace the culture of management by consensus</w:t>
      </w:r>
      <w:r w:rsidR="00E94636" w:rsidRPr="00A77AF6">
        <w:t xml:space="preserve">.  </w:t>
      </w:r>
      <w:r w:rsidR="00B768E1" w:rsidRPr="00A77AF6">
        <w:t>Budget setting and control were also introduced</w:t>
      </w:r>
      <w:r w:rsidR="00630AE7" w:rsidRPr="00A77AF6">
        <w:t>.</w:t>
      </w:r>
    </w:p>
    <w:p w14:paraId="2E20ADF1" w14:textId="0720181A" w:rsidR="00E94636" w:rsidRPr="00A77AF6" w:rsidRDefault="00E94636" w:rsidP="00A92019">
      <w:pPr>
        <w:spacing w:before="120" w:line="240" w:lineRule="auto"/>
        <w:ind w:left="720"/>
      </w:pPr>
      <w:r w:rsidRPr="00A77AF6">
        <w:rPr>
          <w:i/>
          <w:iCs/>
        </w:rPr>
        <w:t>‘These changes sent clear signals that a "business-like" approach was expected in the provision of hospital services</w:t>
      </w:r>
      <w:r w:rsidRPr="00A77AF6">
        <w:t xml:space="preserve"> </w:t>
      </w:r>
      <w:sdt>
        <w:sdtPr>
          <w:id w:val="-1116977728"/>
          <w:citation/>
        </w:sdtPr>
        <w:sdtEndPr/>
        <w:sdtContent>
          <w:r w:rsidRPr="00A77AF6">
            <w:fldChar w:fldCharType="begin"/>
          </w:r>
          <w:r w:rsidRPr="00A77AF6">
            <w:instrText xml:space="preserve">CITATION Gre99 \p 11 \l 2057 </w:instrText>
          </w:r>
          <w:r w:rsidRPr="00A77AF6">
            <w:fldChar w:fldCharType="separate"/>
          </w:r>
          <w:r w:rsidR="008E653F" w:rsidRPr="00A77AF6">
            <w:t>(Greengross, et al., 1999, p. 11)</w:t>
          </w:r>
          <w:r w:rsidRPr="00A77AF6">
            <w:fldChar w:fldCharType="end"/>
          </w:r>
        </w:sdtContent>
      </w:sdt>
    </w:p>
    <w:p w14:paraId="0336039B" w14:textId="5A923E25" w:rsidR="00B768E1" w:rsidRPr="00A77AF6" w:rsidRDefault="00B768E1" w:rsidP="00602E26">
      <w:pPr>
        <w:spacing w:before="240" w:line="360" w:lineRule="auto"/>
      </w:pPr>
      <w:r w:rsidRPr="00A77AF6">
        <w:t>‘Working for Patients’ (1989) created the interna</w:t>
      </w:r>
      <w:r w:rsidR="00630AE7" w:rsidRPr="00A77AF6">
        <w:t xml:space="preserve">l </w:t>
      </w:r>
      <w:r w:rsidRPr="00A77AF6">
        <w:t xml:space="preserve">market </w:t>
      </w:r>
      <w:r w:rsidR="00F939A1" w:rsidRPr="00A77AF6">
        <w:t xml:space="preserve">(purchaser/ provider split) </w:t>
      </w:r>
      <w:r w:rsidRPr="00A77AF6">
        <w:t>which encouraged competition between hospitals</w:t>
      </w:r>
      <w:r w:rsidR="00A92019" w:rsidRPr="00A77AF6">
        <w:t xml:space="preserve"> </w:t>
      </w:r>
      <w:r w:rsidR="00630AE7" w:rsidRPr="00A77AF6">
        <w:t xml:space="preserve">some of which became </w:t>
      </w:r>
      <w:r w:rsidRPr="00A77AF6">
        <w:t>‘Self Governing Trusts’</w:t>
      </w:r>
      <w:r w:rsidR="008567A9" w:rsidRPr="00A77AF6">
        <w:t xml:space="preserve"> providing </w:t>
      </w:r>
      <w:r w:rsidR="00F939A1" w:rsidRPr="00A77AF6">
        <w:t xml:space="preserve">care for patients referred to them by </w:t>
      </w:r>
      <w:r w:rsidRPr="00A77AF6">
        <w:t>district purchase</w:t>
      </w:r>
      <w:r w:rsidR="00F939A1" w:rsidRPr="00A77AF6">
        <w:t>r</w:t>
      </w:r>
      <w:r w:rsidRPr="00A77AF6">
        <w:t>s, GP fundholders and commissioning agencies</w:t>
      </w:r>
      <w:r w:rsidR="00825539" w:rsidRPr="00A77AF6">
        <w:t xml:space="preserve"> </w:t>
      </w:r>
      <w:r w:rsidRPr="00A77AF6">
        <w:t xml:space="preserve">on behalf of their populations. </w:t>
      </w:r>
      <w:r w:rsidR="00630AE7" w:rsidRPr="00A77AF6">
        <w:t xml:space="preserve">This division was contentious and arguably not completely satisfactory as GPs were both providers and purchasers of clinical </w:t>
      </w:r>
      <w:r w:rsidR="00630AE7" w:rsidRPr="00A77AF6">
        <w:lastRenderedPageBreak/>
        <w:t>services</w:t>
      </w:r>
      <w:r w:rsidR="00B576E8" w:rsidRPr="00A77AF6">
        <w:t xml:space="preserve"> and</w:t>
      </w:r>
      <w:r w:rsidR="00630AE7" w:rsidRPr="00A77AF6">
        <w:t xml:space="preserve"> procedures were not well costed so </w:t>
      </w:r>
      <w:r w:rsidR="005454F5" w:rsidRPr="00A77AF6">
        <w:t xml:space="preserve">were based on average costs </w:t>
      </w:r>
      <w:sdt>
        <w:sdtPr>
          <w:id w:val="-439142440"/>
          <w:citation/>
        </w:sdtPr>
        <w:sdtEndPr/>
        <w:sdtContent>
          <w:r w:rsidR="005454F5" w:rsidRPr="00A77AF6">
            <w:fldChar w:fldCharType="begin"/>
          </w:r>
          <w:r w:rsidR="005454F5" w:rsidRPr="00A77AF6">
            <w:instrText xml:space="preserve">CITATION May11 \l 2057 </w:instrText>
          </w:r>
          <w:r w:rsidR="005454F5" w:rsidRPr="00A77AF6">
            <w:fldChar w:fldCharType="separate"/>
          </w:r>
          <w:r w:rsidR="008E653F" w:rsidRPr="00A77AF6">
            <w:t>(Mays, et al., 2011)</w:t>
          </w:r>
          <w:r w:rsidR="005454F5" w:rsidRPr="00A77AF6">
            <w:fldChar w:fldCharType="end"/>
          </w:r>
        </w:sdtContent>
      </w:sdt>
      <w:r w:rsidR="00B576E8" w:rsidRPr="00A77AF6">
        <w:t xml:space="preserve">. </w:t>
      </w:r>
      <w:r w:rsidR="00630AE7" w:rsidRPr="00A77AF6">
        <w:t xml:space="preserve"> </w:t>
      </w:r>
      <w:r w:rsidR="005C23A8">
        <w:t>However, n</w:t>
      </w:r>
      <w:r w:rsidR="00B576E8" w:rsidRPr="00A77AF6">
        <w:t>ot</w:t>
      </w:r>
      <w:r w:rsidR="00630AE7" w:rsidRPr="00A77AF6">
        <w:t xml:space="preserve"> </w:t>
      </w:r>
      <w:r w:rsidR="005C23A8">
        <w:t xml:space="preserve">all </w:t>
      </w:r>
      <w:r w:rsidR="00630AE7" w:rsidRPr="00A77AF6">
        <w:t xml:space="preserve">Trusts were self-governing, so </w:t>
      </w:r>
      <w:r w:rsidR="00BD516A" w:rsidRPr="00A77AF6">
        <w:t xml:space="preserve">some </w:t>
      </w:r>
      <w:r w:rsidR="00630AE7" w:rsidRPr="00A77AF6">
        <w:t>were outside this system.</w:t>
      </w:r>
      <w:r w:rsidRPr="00A77AF6">
        <w:t xml:space="preserve"> Health </w:t>
      </w:r>
      <w:r w:rsidR="005C23A8">
        <w:t>a</w:t>
      </w:r>
      <w:r w:rsidRPr="00A77AF6">
        <w:t xml:space="preserve">uthorities were now required to concentrate on assessing the healthcare needs of their populations and </w:t>
      </w:r>
      <w:r w:rsidR="00F939A1" w:rsidRPr="00A77AF6">
        <w:t xml:space="preserve">to </w:t>
      </w:r>
      <w:r w:rsidRPr="00A77AF6">
        <w:t xml:space="preserve">contract for services </w:t>
      </w:r>
      <w:r w:rsidR="00F939A1" w:rsidRPr="00A77AF6">
        <w:t>with provider hospitals</w:t>
      </w:r>
      <w:r w:rsidR="00785F01" w:rsidRPr="00A77AF6">
        <w:t xml:space="preserve"> </w:t>
      </w:r>
      <w:sdt>
        <w:sdtPr>
          <w:id w:val="-376157162"/>
          <w:citation/>
        </w:sdtPr>
        <w:sdtEndPr/>
        <w:sdtContent>
          <w:r w:rsidR="00785F01" w:rsidRPr="00A77AF6">
            <w:fldChar w:fldCharType="begin"/>
          </w:r>
          <w:r w:rsidR="00785F01" w:rsidRPr="00A77AF6">
            <w:instrText xml:space="preserve">CITATION May11 \l 2057 </w:instrText>
          </w:r>
          <w:r w:rsidR="00785F01" w:rsidRPr="00A77AF6">
            <w:fldChar w:fldCharType="separate"/>
          </w:r>
          <w:r w:rsidR="008E653F" w:rsidRPr="00A77AF6">
            <w:t>(Mays, et al., 2011)</w:t>
          </w:r>
          <w:r w:rsidR="00785F01" w:rsidRPr="00A77AF6">
            <w:fldChar w:fldCharType="end"/>
          </w:r>
        </w:sdtContent>
      </w:sdt>
      <w:r w:rsidR="00F939A1" w:rsidRPr="00A77AF6">
        <w:t xml:space="preserve">.  </w:t>
      </w:r>
      <w:r w:rsidRPr="00A77AF6">
        <w:t xml:space="preserve">A reduction in the number of beds in London and the merger or closure of some Trusts was also recommended.  </w:t>
      </w:r>
    </w:p>
    <w:p w14:paraId="4A34FB7E" w14:textId="77777777" w:rsidR="00B768E1" w:rsidRPr="00A77AF6" w:rsidRDefault="00B768E1" w:rsidP="00823880">
      <w:pPr>
        <w:pStyle w:val="Heading4"/>
        <w:numPr>
          <w:ilvl w:val="0"/>
          <w:numId w:val="0"/>
        </w:numPr>
        <w:spacing w:after="120"/>
      </w:pPr>
      <w:r w:rsidRPr="00A77AF6">
        <w:t>NHS Reforms 1997 – 2009</w:t>
      </w:r>
    </w:p>
    <w:p w14:paraId="6DA0F4BA" w14:textId="1DAB02CA" w:rsidR="00B768E1" w:rsidRPr="00A77AF6" w:rsidRDefault="008567A9" w:rsidP="002A2797">
      <w:pPr>
        <w:spacing w:line="360" w:lineRule="auto"/>
      </w:pPr>
      <w:r w:rsidRPr="00A77AF6">
        <w:t>P</w:t>
      </w:r>
      <w:r w:rsidR="00B768E1" w:rsidRPr="00A77AF6">
        <w:t xml:space="preserve">lans for London were again reviewed and further recommendations made in the ‘Health Services in London’ review </w:t>
      </w:r>
      <w:sdt>
        <w:sdtPr>
          <w:id w:val="1087196247"/>
          <w:citation/>
        </w:sdtPr>
        <w:sdtEndPr/>
        <w:sdtContent>
          <w:r w:rsidR="00B768E1" w:rsidRPr="00A77AF6">
            <w:fldChar w:fldCharType="begin"/>
          </w:r>
          <w:r w:rsidR="00825539" w:rsidRPr="00A77AF6">
            <w:instrText xml:space="preserve">CITATION Tur98 \l 2057 </w:instrText>
          </w:r>
          <w:r w:rsidR="00B768E1" w:rsidRPr="00A77AF6">
            <w:fldChar w:fldCharType="separate"/>
          </w:r>
          <w:r w:rsidR="008E653F" w:rsidRPr="00A77AF6">
            <w:t>(Turnberg, 1998)</w:t>
          </w:r>
          <w:r w:rsidR="00B768E1" w:rsidRPr="00A77AF6">
            <w:fldChar w:fldCharType="end"/>
          </w:r>
        </w:sdtContent>
      </w:sdt>
      <w:r w:rsidR="00B768E1" w:rsidRPr="00A77AF6">
        <w:t xml:space="preserve"> about the number and organisation of London hospitals and medical schools, this resulted in some mergers and closures.  </w:t>
      </w:r>
      <w:r w:rsidR="001C6E4D" w:rsidRPr="00A77AF6">
        <w:t>‘</w:t>
      </w:r>
      <w:r w:rsidR="00B768E1" w:rsidRPr="00A77AF6">
        <w:t>The New NHS – Modern, Dependable</w:t>
      </w:r>
      <w:r w:rsidR="001C6E4D" w:rsidRPr="00A77AF6">
        <w:t>’</w:t>
      </w:r>
      <w:r w:rsidR="00B768E1" w:rsidRPr="00A77AF6">
        <w:t xml:space="preserve"> </w:t>
      </w:r>
      <w:sdt>
        <w:sdtPr>
          <w:id w:val="44807289"/>
          <w:citation/>
        </w:sdtPr>
        <w:sdtEndPr/>
        <w:sdtContent>
          <w:r w:rsidR="00B768E1" w:rsidRPr="00A77AF6">
            <w:fldChar w:fldCharType="begin"/>
          </w:r>
          <w:r w:rsidRPr="00A77AF6">
            <w:instrText xml:space="preserve">CITATION Dep97 \l 2057 </w:instrText>
          </w:r>
          <w:r w:rsidR="00B768E1" w:rsidRPr="00A77AF6">
            <w:fldChar w:fldCharType="separate"/>
          </w:r>
          <w:r w:rsidR="008E653F" w:rsidRPr="00A77AF6">
            <w:t>(DH, 1997)</w:t>
          </w:r>
          <w:r w:rsidR="00B768E1" w:rsidRPr="00A77AF6">
            <w:fldChar w:fldCharType="end"/>
          </w:r>
        </w:sdtContent>
      </w:sdt>
      <w:r w:rsidR="00B768E1" w:rsidRPr="00A77AF6">
        <w:t xml:space="preserve"> removed some parts of the internal market such as fundholding and reconfigured London’s organisation from several health authorities </w:t>
      </w:r>
      <w:r w:rsidR="00033F47" w:rsidRPr="00A77AF6">
        <w:t xml:space="preserve">into one </w:t>
      </w:r>
      <w:r w:rsidR="00B768E1" w:rsidRPr="00A77AF6">
        <w:t>London Regional Office.  After 2000</w:t>
      </w:r>
      <w:r w:rsidR="00F20FE6" w:rsidRPr="00A77AF6">
        <w:t>,</w:t>
      </w:r>
      <w:r w:rsidR="00B768E1" w:rsidRPr="00A77AF6">
        <w:t xml:space="preserve"> the Government re-introduced the </w:t>
      </w:r>
      <w:r w:rsidR="00732D75" w:rsidRPr="00A77AF6">
        <w:t xml:space="preserve">internal market and </w:t>
      </w:r>
      <w:r w:rsidR="00B768E1" w:rsidRPr="00A77AF6">
        <w:t xml:space="preserve">self-governing </w:t>
      </w:r>
      <w:r w:rsidR="006A2B31" w:rsidRPr="00A77AF6">
        <w:t>t</w:t>
      </w:r>
      <w:r w:rsidR="00B768E1" w:rsidRPr="00A77AF6">
        <w:t xml:space="preserve">rusts called </w:t>
      </w:r>
      <w:r w:rsidR="006A2B31" w:rsidRPr="00A77AF6">
        <w:t>f</w:t>
      </w:r>
      <w:r w:rsidR="00B768E1" w:rsidRPr="00A77AF6">
        <w:t xml:space="preserve">oundation </w:t>
      </w:r>
      <w:r w:rsidR="006A2B31" w:rsidRPr="00A77AF6">
        <w:t>t</w:t>
      </w:r>
      <w:r w:rsidR="00B768E1" w:rsidRPr="00A77AF6">
        <w:t xml:space="preserve">rusts. </w:t>
      </w:r>
    </w:p>
    <w:p w14:paraId="52D98040" w14:textId="77AFCDE2" w:rsidR="00B768E1" w:rsidRPr="00A77AF6" w:rsidRDefault="00B768E1" w:rsidP="002A2797">
      <w:pPr>
        <w:spacing w:line="360" w:lineRule="auto"/>
      </w:pPr>
      <w:r w:rsidRPr="00A77AF6">
        <w:t>New policies</w:t>
      </w:r>
      <w:r w:rsidR="00732D75" w:rsidRPr="00A77AF6">
        <w:t xml:space="preserve"> during this period</w:t>
      </w:r>
      <w:r w:rsidRPr="00A77AF6">
        <w:t xml:space="preserve"> included reforms</w:t>
      </w:r>
      <w:r w:rsidR="00033F47" w:rsidRPr="00A77AF6">
        <w:t xml:space="preserve"> to community healthcare provision</w:t>
      </w:r>
      <w:r w:rsidR="00130C9B" w:rsidRPr="00A77AF6">
        <w:t>. These were</w:t>
      </w:r>
      <w:r w:rsidR="00033F47" w:rsidRPr="00A77AF6">
        <w:t xml:space="preserve"> to provide services closer to where patients lived </w:t>
      </w:r>
      <w:r w:rsidR="00630AE7" w:rsidRPr="00A77AF6">
        <w:t xml:space="preserve">supported </w:t>
      </w:r>
      <w:r w:rsidR="00033F47" w:rsidRPr="00A77AF6">
        <w:t>by a network of polyclinics which would take on some hospital services</w:t>
      </w:r>
      <w:r w:rsidR="00630AE7" w:rsidRPr="00A77AF6">
        <w:t>. Hospital services were to be r</w:t>
      </w:r>
      <w:r w:rsidR="00033F47" w:rsidRPr="00A77AF6">
        <w:t>ationalis</w:t>
      </w:r>
      <w:r w:rsidR="00630AE7" w:rsidRPr="00A77AF6">
        <w:t>ed</w:t>
      </w:r>
      <w:r w:rsidR="00033F47" w:rsidRPr="00A77AF6">
        <w:t xml:space="preserve"> so patients would be admitted to the hospital best suited for their</w:t>
      </w:r>
      <w:r w:rsidR="00630AE7" w:rsidRPr="00A77AF6">
        <w:t xml:space="preserve"> clinical</w:t>
      </w:r>
      <w:r w:rsidR="00033F47" w:rsidRPr="00A77AF6">
        <w:t xml:space="preserve"> needs </w:t>
      </w:r>
      <w:r w:rsidRPr="00A77AF6">
        <w:t xml:space="preserve">whether that was close to the patient’s home or not. </w:t>
      </w:r>
      <w:r w:rsidR="004A009F" w:rsidRPr="00A77AF6">
        <w:t xml:space="preserve"> To deliver this t</w:t>
      </w:r>
      <w:r w:rsidRPr="00A77AF6">
        <w:t xml:space="preserve">he </w:t>
      </w:r>
      <w:r w:rsidR="00630AE7" w:rsidRPr="00A77AF6">
        <w:t>g</w:t>
      </w:r>
      <w:r w:rsidRPr="00A77AF6">
        <w:t>overnment suggest</w:t>
      </w:r>
      <w:r w:rsidR="00630AE7" w:rsidRPr="00A77AF6">
        <w:t xml:space="preserve">ed </w:t>
      </w:r>
      <w:r w:rsidRPr="00A77AF6">
        <w:t>a variety of organisational solutions based on a hub and spoke system with enhanced community services supported by acute and specialist hospitals</w:t>
      </w:r>
      <w:r w:rsidR="00C87647" w:rsidRPr="00A77AF6">
        <w:t xml:space="preserve"> (Figure </w:t>
      </w:r>
      <w:r w:rsidR="00630AE7" w:rsidRPr="00A77AF6">
        <w:t>2-4</w:t>
      </w:r>
      <w:r w:rsidR="00C87647" w:rsidRPr="00A77AF6">
        <w:t>)</w:t>
      </w:r>
      <w:r w:rsidR="00C01EFE" w:rsidRPr="00A77AF6">
        <w:t xml:space="preserve"> </w:t>
      </w:r>
      <w:r w:rsidR="00630AE7" w:rsidRPr="00A77AF6">
        <w:t>so</w:t>
      </w:r>
      <w:r w:rsidR="00C01EFE" w:rsidRPr="00A77AF6">
        <w:t xml:space="preserve"> that patients would be treated locally where possible and only access hospital services where such specialist facilities were clinically indicated. </w:t>
      </w:r>
    </w:p>
    <w:p w14:paraId="596F1E6B" w14:textId="2E7FAFBB" w:rsidR="00D078DD" w:rsidRPr="00A77AF6" w:rsidRDefault="00D078DD" w:rsidP="00D078DD">
      <w:r w:rsidRPr="00A77AF6">
        <w:rPr>
          <w:noProof/>
          <w:lang w:eastAsia="en-GB"/>
        </w:rPr>
        <w:drawing>
          <wp:inline distT="0" distB="0" distL="0" distR="0" wp14:anchorId="73855A7E" wp14:editId="5DED9180">
            <wp:extent cx="4142738" cy="2095500"/>
            <wp:effectExtent l="0" t="0" r="0" b="0"/>
            <wp:docPr id="12350" name="Picture 1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669" t="26604" r="31886" b="40624"/>
                    <a:stretch/>
                  </pic:blipFill>
                  <pic:spPr bwMode="auto">
                    <a:xfrm>
                      <a:off x="0" y="0"/>
                      <a:ext cx="4148077" cy="2098200"/>
                    </a:xfrm>
                    <a:prstGeom prst="rect">
                      <a:avLst/>
                    </a:prstGeom>
                    <a:ln>
                      <a:noFill/>
                    </a:ln>
                    <a:extLst>
                      <a:ext uri="{53640926-AAD7-44D8-BBD7-CCE9431645EC}">
                        <a14:shadowObscured xmlns:a14="http://schemas.microsoft.com/office/drawing/2010/main"/>
                      </a:ext>
                    </a:extLst>
                  </pic:spPr>
                </pic:pic>
              </a:graphicData>
            </a:graphic>
          </wp:inline>
        </w:drawing>
      </w:r>
    </w:p>
    <w:p w14:paraId="0E98DA04" w14:textId="2601D7FC" w:rsidR="00117506" w:rsidRPr="00A77AF6" w:rsidRDefault="00117506" w:rsidP="00117506">
      <w:pPr>
        <w:pStyle w:val="Caption"/>
        <w:keepNext/>
        <w:spacing w:after="120"/>
      </w:pPr>
      <w:bookmarkStart w:id="21" w:name="_Toc36186957"/>
      <w:r w:rsidRPr="00A77AF6">
        <w:t xml:space="preserve">Figure </w:t>
      </w:r>
      <w:fldSimple w:instr=" STYLEREF 1 \s ">
        <w:r w:rsidR="000441F7">
          <w:rPr>
            <w:noProof/>
          </w:rPr>
          <w:t>2</w:t>
        </w:r>
      </w:fldSimple>
      <w:r w:rsidR="00BA5DC4">
        <w:noBreakHyphen/>
      </w:r>
      <w:fldSimple w:instr=" SEQ Figure \* ARABIC \s 1 ">
        <w:r w:rsidR="000441F7">
          <w:rPr>
            <w:noProof/>
          </w:rPr>
          <w:t>4</w:t>
        </w:r>
      </w:fldSimple>
      <w:r w:rsidRPr="00A77AF6">
        <w:t>: Polyclinic and GP service - 3 models for organisation</w:t>
      </w:r>
      <w:bookmarkEnd w:id="21"/>
    </w:p>
    <w:p w14:paraId="2C8EC517" w14:textId="07B1AA6A" w:rsidR="00B768E1" w:rsidRPr="00A77AF6" w:rsidRDefault="00B768E1" w:rsidP="00117506">
      <w:pPr>
        <w:spacing w:after="0" w:line="240" w:lineRule="auto"/>
        <w:rPr>
          <w:sz w:val="20"/>
        </w:rPr>
      </w:pPr>
      <w:r w:rsidRPr="00A77AF6">
        <w:rPr>
          <w:sz w:val="20"/>
        </w:rPr>
        <w:t>Source: NHS Confederation, 2008, p. 5</w:t>
      </w:r>
    </w:p>
    <w:p w14:paraId="35DAE67D" w14:textId="77777777" w:rsidR="00B768E1" w:rsidRPr="00A77AF6" w:rsidRDefault="00B768E1" w:rsidP="00823880">
      <w:pPr>
        <w:pStyle w:val="Heading4"/>
        <w:numPr>
          <w:ilvl w:val="0"/>
          <w:numId w:val="0"/>
        </w:numPr>
        <w:spacing w:after="120"/>
      </w:pPr>
      <w:r w:rsidRPr="00A77AF6">
        <w:lastRenderedPageBreak/>
        <w:t xml:space="preserve">NHS Reforms 2010 </w:t>
      </w:r>
    </w:p>
    <w:p w14:paraId="01D222FA" w14:textId="2408FB2A" w:rsidR="00B768E1" w:rsidRPr="00A77AF6" w:rsidRDefault="00B768E1" w:rsidP="002A2797">
      <w:pPr>
        <w:spacing w:line="360" w:lineRule="auto"/>
      </w:pPr>
      <w:r w:rsidRPr="00A77AF6">
        <w:t xml:space="preserve">The </w:t>
      </w:r>
      <w:r w:rsidR="00CA4048" w:rsidRPr="00A77AF6">
        <w:t>NHS was re-structured f</w:t>
      </w:r>
      <w:r w:rsidRPr="00A77AF6">
        <w:t xml:space="preserve">ollowing the publication of ‘Equality and Excellence – Liberating the NHS </w:t>
      </w:r>
      <w:sdt>
        <w:sdtPr>
          <w:id w:val="1413895400"/>
          <w:citation/>
        </w:sdtPr>
        <w:sdtEndPr/>
        <w:sdtContent>
          <w:r w:rsidRPr="00A77AF6">
            <w:fldChar w:fldCharType="begin"/>
          </w:r>
          <w:r w:rsidR="00942055" w:rsidRPr="00A77AF6">
            <w:instrText xml:space="preserve">CITATION Dep10 \l 2057 </w:instrText>
          </w:r>
          <w:r w:rsidRPr="00A77AF6">
            <w:fldChar w:fldCharType="separate"/>
          </w:r>
          <w:r w:rsidR="008E653F" w:rsidRPr="00A77AF6">
            <w:t>(DH, 2010)</w:t>
          </w:r>
          <w:r w:rsidRPr="00A77AF6">
            <w:fldChar w:fldCharType="end"/>
          </w:r>
        </w:sdtContent>
      </w:sdt>
      <w:r w:rsidRPr="00A77AF6">
        <w:t>.  Th</w:t>
      </w:r>
      <w:r w:rsidR="00CA4048" w:rsidRPr="00A77AF6">
        <w:t>is</w:t>
      </w:r>
      <w:r w:rsidRPr="00A77AF6">
        <w:t xml:space="preserve"> reform retained the purchaser/ provider split, increased the number of commissioning bodies (GP commissioning consortia) and made provider Trusts responsible to Parliament through regulatory and monitoring bodies (Monitor</w:t>
      </w:r>
      <w:r w:rsidR="002D235B" w:rsidRPr="00A77AF6">
        <w:t xml:space="preserve">, </w:t>
      </w:r>
      <w:r w:rsidRPr="00A77AF6">
        <w:t>the Care Quality Commission</w:t>
      </w:r>
      <w:r w:rsidR="00FA703E" w:rsidRPr="00A77AF6">
        <w:t xml:space="preserve"> and the Department of Health</w:t>
      </w:r>
      <w:r w:rsidRPr="00A77AF6">
        <w:t xml:space="preserve">). Local Authorities took on some public health </w:t>
      </w:r>
      <w:r w:rsidR="00C87647" w:rsidRPr="00A77AF6">
        <w:t>responsibilities (Figure</w:t>
      </w:r>
      <w:r w:rsidR="00C51ED0" w:rsidRPr="00A77AF6">
        <w:t xml:space="preserve"> 2-5</w:t>
      </w:r>
      <w:r w:rsidR="00C87647" w:rsidRPr="00A77AF6">
        <w:t>).</w:t>
      </w:r>
      <w:r w:rsidRPr="00A77AF6">
        <w:t xml:space="preserve">  Modifications to the structure have been made subsequently </w:t>
      </w:r>
      <w:r w:rsidR="00861235" w:rsidRPr="00A77AF6">
        <w:t>b</w:t>
      </w:r>
      <w:r w:rsidRPr="00A77AF6">
        <w:t>ut the principles remain the same</w:t>
      </w:r>
      <w:r w:rsidR="002D235B" w:rsidRPr="00A77AF6">
        <w:t xml:space="preserve">: </w:t>
      </w:r>
      <w:r w:rsidRPr="00A77AF6">
        <w:t xml:space="preserve">an internal market governed by the purchaser/ provider split and monitoring and regulation </w:t>
      </w:r>
      <w:r w:rsidR="00B8123C" w:rsidRPr="00A77AF6">
        <w:t>carried out b</w:t>
      </w:r>
      <w:r w:rsidR="00B17190" w:rsidRPr="00A77AF6">
        <w:t xml:space="preserve">y </w:t>
      </w:r>
      <w:r w:rsidRPr="00A77AF6">
        <w:t>the Care Quality Commission (CQC)</w:t>
      </w:r>
      <w:r w:rsidR="00B8123C" w:rsidRPr="00A77AF6">
        <w:t xml:space="preserve"> and </w:t>
      </w:r>
      <w:r w:rsidR="00B17190" w:rsidRPr="00A77AF6">
        <w:t xml:space="preserve">now </w:t>
      </w:r>
      <w:r w:rsidR="00B8123C" w:rsidRPr="00A77AF6">
        <w:t>NHS Improvement</w:t>
      </w:r>
      <w:r w:rsidR="00B17190" w:rsidRPr="00A77AF6">
        <w:t xml:space="preserve">. </w:t>
      </w:r>
      <w:r w:rsidRPr="00A77AF6">
        <w:t xml:space="preserve">  </w:t>
      </w:r>
    </w:p>
    <w:p w14:paraId="155AB00F" w14:textId="5320EB8A" w:rsidR="00D078DD" w:rsidRPr="00A77AF6" w:rsidRDefault="00D078DD" w:rsidP="00D078DD">
      <w:r w:rsidRPr="00A77AF6">
        <w:rPr>
          <w:noProof/>
          <w:lang w:eastAsia="en-GB"/>
        </w:rPr>
        <w:drawing>
          <wp:inline distT="0" distB="0" distL="0" distR="0" wp14:anchorId="30F900E6" wp14:editId="5BA44361">
            <wp:extent cx="4162186" cy="2551814"/>
            <wp:effectExtent l="0" t="0" r="0" b="127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0802" t="33310" r="38021" b="32707"/>
                    <a:stretch/>
                  </pic:blipFill>
                  <pic:spPr bwMode="auto">
                    <a:xfrm>
                      <a:off x="0" y="0"/>
                      <a:ext cx="4174832" cy="2559567"/>
                    </a:xfrm>
                    <a:prstGeom prst="rect">
                      <a:avLst/>
                    </a:prstGeom>
                    <a:ln>
                      <a:noFill/>
                    </a:ln>
                    <a:extLst>
                      <a:ext uri="{53640926-AAD7-44D8-BBD7-CCE9431645EC}">
                        <a14:shadowObscured xmlns:a14="http://schemas.microsoft.com/office/drawing/2010/main"/>
                      </a:ext>
                    </a:extLst>
                  </pic:spPr>
                </pic:pic>
              </a:graphicData>
            </a:graphic>
          </wp:inline>
        </w:drawing>
      </w:r>
    </w:p>
    <w:p w14:paraId="461EBA28" w14:textId="3DD1CED8" w:rsidR="00117506" w:rsidRPr="00A77AF6" w:rsidRDefault="00117506" w:rsidP="00117506">
      <w:pPr>
        <w:pStyle w:val="Caption"/>
        <w:keepNext/>
      </w:pPr>
      <w:bookmarkStart w:id="22" w:name="_Toc526967345"/>
      <w:bookmarkStart w:id="23" w:name="_Toc36186958"/>
      <w:r w:rsidRPr="00A77AF6">
        <w:t xml:space="preserve">Figure </w:t>
      </w:r>
      <w:fldSimple w:instr=" STYLEREF 1 \s ">
        <w:r w:rsidR="000441F7">
          <w:rPr>
            <w:noProof/>
          </w:rPr>
          <w:t>2</w:t>
        </w:r>
      </w:fldSimple>
      <w:r w:rsidR="00BA5DC4">
        <w:noBreakHyphen/>
      </w:r>
      <w:fldSimple w:instr=" SEQ Figure \* ARABIC \s 1 ">
        <w:r w:rsidR="000441F7">
          <w:rPr>
            <w:noProof/>
          </w:rPr>
          <w:t>5</w:t>
        </w:r>
      </w:fldSimple>
      <w:r w:rsidRPr="00A77AF6">
        <w:t>: NHS structure after the 2010 NHS reform</w:t>
      </w:r>
      <w:bookmarkEnd w:id="22"/>
      <w:bookmarkEnd w:id="23"/>
    </w:p>
    <w:p w14:paraId="628EA6E0" w14:textId="7D5D40B8" w:rsidR="00F12F37" w:rsidRPr="00A77AF6" w:rsidRDefault="007000FC" w:rsidP="00752381">
      <w:pPr>
        <w:spacing w:line="480" w:lineRule="auto"/>
        <w:rPr>
          <w:sz w:val="20"/>
        </w:rPr>
      </w:pPr>
      <w:r w:rsidRPr="00A77AF6">
        <w:rPr>
          <w:sz w:val="20"/>
        </w:rPr>
        <w:t xml:space="preserve">Source: </w:t>
      </w:r>
      <w:r w:rsidR="00AD7F83" w:rsidRPr="00A77AF6">
        <w:rPr>
          <w:sz w:val="20"/>
        </w:rPr>
        <w:t>Department of Health</w:t>
      </w:r>
      <w:r w:rsidRPr="00A77AF6">
        <w:rPr>
          <w:sz w:val="20"/>
        </w:rPr>
        <w:t xml:space="preserve"> (</w:t>
      </w:r>
      <w:r w:rsidR="00AD7F83" w:rsidRPr="00A77AF6">
        <w:rPr>
          <w:sz w:val="20"/>
        </w:rPr>
        <w:t>2010, p. 39)</w:t>
      </w:r>
    </w:p>
    <w:p w14:paraId="3A414FC8" w14:textId="77777777" w:rsidR="00033F47" w:rsidRPr="00A77AF6" w:rsidRDefault="00033F47" w:rsidP="00FA703E">
      <w:pPr>
        <w:spacing w:after="0" w:line="360" w:lineRule="auto"/>
        <w:rPr>
          <w:b/>
          <w:bCs/>
        </w:rPr>
      </w:pPr>
      <w:r w:rsidRPr="00A77AF6">
        <w:rPr>
          <w:b/>
          <w:bCs/>
        </w:rPr>
        <w:t xml:space="preserve">NHS Funding </w:t>
      </w:r>
    </w:p>
    <w:p w14:paraId="22673ECA" w14:textId="30DBCAC6" w:rsidR="00752381" w:rsidRPr="00A77AF6" w:rsidRDefault="002D235B" w:rsidP="002A2797">
      <w:pPr>
        <w:spacing w:line="360" w:lineRule="auto"/>
      </w:pPr>
      <w:r w:rsidRPr="00A77AF6">
        <w:t xml:space="preserve">The NHS is funded from general taxation. </w:t>
      </w:r>
      <w:r w:rsidR="00752381" w:rsidRPr="00A77AF6">
        <w:t xml:space="preserve">Parliament provides funds to the </w:t>
      </w:r>
      <w:r w:rsidR="00DD6E2E">
        <w:t>Department of Health (</w:t>
      </w:r>
      <w:r w:rsidR="00752381" w:rsidRPr="00A77AF6">
        <w:t>D</w:t>
      </w:r>
      <w:r w:rsidR="00033F47" w:rsidRPr="00A77AF6">
        <w:t>H</w:t>
      </w:r>
      <w:r w:rsidR="00DD6E2E">
        <w:t>)</w:t>
      </w:r>
      <w:r w:rsidR="00033F47" w:rsidRPr="00A77AF6">
        <w:t xml:space="preserve"> </w:t>
      </w:r>
      <w:r w:rsidR="00752381" w:rsidRPr="00A77AF6">
        <w:t>which in turn distributes funds to Public Health England</w:t>
      </w:r>
      <w:r w:rsidR="00766263" w:rsidRPr="00A77AF6">
        <w:t xml:space="preserve"> (PHE)</w:t>
      </w:r>
      <w:r w:rsidR="00AF22C3" w:rsidRPr="00A77AF6">
        <w:t>, NH</w:t>
      </w:r>
      <w:r w:rsidR="00752381" w:rsidRPr="00A77AF6">
        <w:t xml:space="preserve">S Improvement </w:t>
      </w:r>
      <w:r w:rsidR="00766263" w:rsidRPr="00A77AF6">
        <w:t xml:space="preserve">(NHSI) </w:t>
      </w:r>
      <w:r w:rsidR="00752381" w:rsidRPr="00A77AF6">
        <w:t xml:space="preserve">and the </w:t>
      </w:r>
      <w:r w:rsidRPr="00A77AF6">
        <w:t>CQC</w:t>
      </w:r>
      <w:r w:rsidR="00752381" w:rsidRPr="00A77AF6">
        <w:t>.  Money flows from P</w:t>
      </w:r>
      <w:r w:rsidR="00766263" w:rsidRPr="00A77AF6">
        <w:t>HE</w:t>
      </w:r>
      <w:r w:rsidR="00752381" w:rsidRPr="00A77AF6">
        <w:t xml:space="preserve"> to local authorities </w:t>
      </w:r>
      <w:r w:rsidR="00AF22C3" w:rsidRPr="00A77AF6">
        <w:t xml:space="preserve">to pay </w:t>
      </w:r>
      <w:r w:rsidR="00752381" w:rsidRPr="00A77AF6">
        <w:t>for public health services and to NHS England.  NHS England funds clinical commissioning groups</w:t>
      </w:r>
      <w:r w:rsidR="00AF22C3" w:rsidRPr="00A77AF6">
        <w:t xml:space="preserve"> (CCG)</w:t>
      </w:r>
      <w:r w:rsidR="00752381" w:rsidRPr="00A77AF6">
        <w:t xml:space="preserve"> which in turn pay for organisations that provide health care directly to patients. NHS England also funds primary care (</w:t>
      </w:r>
      <w:r w:rsidR="00FA703E" w:rsidRPr="00A77AF6">
        <w:t>g</w:t>
      </w:r>
      <w:r w:rsidR="00752381" w:rsidRPr="00A77AF6">
        <w:t xml:space="preserve">eneral </w:t>
      </w:r>
      <w:r w:rsidR="00FA703E" w:rsidRPr="00A77AF6">
        <w:t>p</w:t>
      </w:r>
      <w:r w:rsidR="00752381" w:rsidRPr="00A77AF6">
        <w:t xml:space="preserve">ractice) and specialist services. The funding figures in the diagram may be out of date, but the structure is current.  </w:t>
      </w:r>
      <w:r w:rsidR="00C87647" w:rsidRPr="00A77AF6">
        <w:t xml:space="preserve">NHS England </w:t>
      </w:r>
      <w:r w:rsidR="00AF22C3" w:rsidRPr="00A77AF6">
        <w:t>sits</w:t>
      </w:r>
      <w:r w:rsidR="00C87647" w:rsidRPr="00A77AF6">
        <w:t xml:space="preserve"> between the D</w:t>
      </w:r>
      <w:r w:rsidR="00AF22C3" w:rsidRPr="00A77AF6">
        <w:t>H</w:t>
      </w:r>
      <w:r w:rsidR="002C4D75" w:rsidRPr="00A77AF6">
        <w:t>, PHE</w:t>
      </w:r>
      <w:r w:rsidR="00BF00F9" w:rsidRPr="00A77AF6">
        <w:t xml:space="preserve"> </w:t>
      </w:r>
      <w:r w:rsidR="00C87647" w:rsidRPr="00A77AF6">
        <w:t xml:space="preserve">and </w:t>
      </w:r>
      <w:r w:rsidR="00AF22C3" w:rsidRPr="00A77AF6">
        <w:t xml:space="preserve">the </w:t>
      </w:r>
      <w:r w:rsidR="00C87647" w:rsidRPr="00A77AF6">
        <w:t>CCG</w:t>
      </w:r>
      <w:r w:rsidR="00AF22C3" w:rsidRPr="00A77AF6">
        <w:t>s</w:t>
      </w:r>
      <w:r w:rsidR="00C87647" w:rsidRPr="00A77AF6">
        <w:t xml:space="preserve"> and providers, in effect merging the previous Regional Health Authorities into one organisation</w:t>
      </w:r>
      <w:r w:rsidRPr="00A77AF6">
        <w:t xml:space="preserve"> (Figure 2-6). </w:t>
      </w:r>
    </w:p>
    <w:p w14:paraId="3513C15C" w14:textId="51EDC102" w:rsidR="00163D7F" w:rsidRPr="00A77AF6" w:rsidRDefault="00163D7F" w:rsidP="00163D7F">
      <w:r w:rsidRPr="00A77AF6">
        <w:rPr>
          <w:noProof/>
          <w:lang w:eastAsia="en-GB"/>
        </w:rPr>
        <w:lastRenderedPageBreak/>
        <w:drawing>
          <wp:inline distT="0" distB="0" distL="0" distR="0" wp14:anchorId="29125AB8" wp14:editId="5CA9D622">
            <wp:extent cx="5343525" cy="3399121"/>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3374" t="16249" r="32029" b="33317"/>
                    <a:stretch/>
                  </pic:blipFill>
                  <pic:spPr bwMode="auto">
                    <a:xfrm>
                      <a:off x="0" y="0"/>
                      <a:ext cx="5376699" cy="3420224"/>
                    </a:xfrm>
                    <a:prstGeom prst="rect">
                      <a:avLst/>
                    </a:prstGeom>
                    <a:ln>
                      <a:noFill/>
                    </a:ln>
                    <a:extLst>
                      <a:ext uri="{53640926-AAD7-44D8-BBD7-CCE9431645EC}">
                        <a14:shadowObscured xmlns:a14="http://schemas.microsoft.com/office/drawing/2010/main"/>
                      </a:ext>
                    </a:extLst>
                  </pic:spPr>
                </pic:pic>
              </a:graphicData>
            </a:graphic>
          </wp:inline>
        </w:drawing>
      </w:r>
    </w:p>
    <w:p w14:paraId="60BBB08E" w14:textId="6B4B49D4" w:rsidR="00117506" w:rsidRPr="00A77AF6" w:rsidRDefault="00117506" w:rsidP="00117506">
      <w:pPr>
        <w:pStyle w:val="Caption"/>
        <w:keepNext/>
      </w:pPr>
      <w:bookmarkStart w:id="24" w:name="_Toc36186959"/>
      <w:r w:rsidRPr="00A77AF6">
        <w:t xml:space="preserve">Figure </w:t>
      </w:r>
      <w:fldSimple w:instr=" STYLEREF 1 \s ">
        <w:r w:rsidR="000441F7">
          <w:rPr>
            <w:noProof/>
          </w:rPr>
          <w:t>2</w:t>
        </w:r>
      </w:fldSimple>
      <w:r w:rsidR="00BA5DC4">
        <w:noBreakHyphen/>
      </w:r>
      <w:fldSimple w:instr=" SEQ Figure \* ARABIC \s 1 ">
        <w:r w:rsidR="000441F7">
          <w:rPr>
            <w:noProof/>
          </w:rPr>
          <w:t>6</w:t>
        </w:r>
      </w:fldSimple>
      <w:r w:rsidRPr="00A77AF6">
        <w:t>: Flow of money in the NHS</w:t>
      </w:r>
      <w:bookmarkEnd w:id="24"/>
    </w:p>
    <w:p w14:paraId="5E46D3A4" w14:textId="19F6B24F" w:rsidR="00752381" w:rsidRPr="00A77AF6" w:rsidRDefault="007000FC" w:rsidP="00C87647">
      <w:pPr>
        <w:spacing w:after="360"/>
        <w:rPr>
          <w:sz w:val="20"/>
        </w:rPr>
      </w:pPr>
      <w:r w:rsidRPr="00A77AF6">
        <w:rPr>
          <w:sz w:val="20"/>
        </w:rPr>
        <w:t xml:space="preserve">Source: </w:t>
      </w:r>
      <w:r w:rsidR="00B541D2" w:rsidRPr="00A77AF6">
        <w:rPr>
          <w:sz w:val="20"/>
        </w:rPr>
        <w:t>The Kings Fund</w:t>
      </w:r>
      <w:r w:rsidRPr="00A77AF6">
        <w:rPr>
          <w:sz w:val="20"/>
        </w:rPr>
        <w:t xml:space="preserve"> (</w:t>
      </w:r>
      <w:r w:rsidR="00B541D2" w:rsidRPr="00A77AF6">
        <w:rPr>
          <w:sz w:val="20"/>
        </w:rPr>
        <w:t>2017)</w:t>
      </w:r>
    </w:p>
    <w:p w14:paraId="19E1588C" w14:textId="7C8329F0" w:rsidR="00B768E1" w:rsidRPr="00A77AF6" w:rsidRDefault="00B768E1" w:rsidP="00195165">
      <w:pPr>
        <w:pStyle w:val="Heading3"/>
        <w:spacing w:after="120"/>
      </w:pPr>
      <w:bookmarkStart w:id="25" w:name="_Toc36275039"/>
      <w:r w:rsidRPr="00A77AF6">
        <w:t>The Healthcare Estate</w:t>
      </w:r>
      <w:bookmarkEnd w:id="25"/>
    </w:p>
    <w:p w14:paraId="1DBB4E08" w14:textId="2C301D7A" w:rsidR="00080C62" w:rsidRPr="00A77AF6" w:rsidRDefault="00195165" w:rsidP="00080C62">
      <w:pPr>
        <w:spacing w:line="360" w:lineRule="auto"/>
      </w:pPr>
      <w:r w:rsidRPr="00A77AF6">
        <w:t xml:space="preserve">The 1948 NHS inherited legacy buildings from the previous healthcare system </w:t>
      </w:r>
      <w:r w:rsidR="00FA703E" w:rsidRPr="00A77AF6">
        <w:t>m</w:t>
      </w:r>
      <w:r w:rsidRPr="00A77AF6">
        <w:t xml:space="preserve">any of </w:t>
      </w:r>
      <w:r w:rsidR="00FA703E" w:rsidRPr="00A77AF6">
        <w:t xml:space="preserve">which </w:t>
      </w:r>
      <w:r w:rsidRPr="00A77AF6">
        <w:t>were in poor condition. Two thirds of hospitals incorporated into the NHS had been constructed before 1891 and a fifth had been built before 1861</w:t>
      </w:r>
      <w:r w:rsidR="00FA703E" w:rsidRPr="00A77AF6">
        <w:t xml:space="preserve">; </w:t>
      </w:r>
      <w:r w:rsidRPr="00A77AF6">
        <w:t xml:space="preserve">many lacked diagnostic equipment (Rivett 2017). World War 2 had </w:t>
      </w:r>
      <w:r w:rsidR="00FA703E" w:rsidRPr="00A77AF6">
        <w:t xml:space="preserve">adversely impacted </w:t>
      </w:r>
      <w:r w:rsidRPr="00A77AF6">
        <w:t xml:space="preserve">healthcare buildings with every hospital in London having been damaged by bombs.  </w:t>
      </w:r>
    </w:p>
    <w:p w14:paraId="05DD62BD" w14:textId="1211F781" w:rsidR="00080C62" w:rsidRPr="00A77AF6" w:rsidRDefault="00080C62" w:rsidP="00080C62">
      <w:pPr>
        <w:spacing w:line="360" w:lineRule="auto"/>
      </w:pPr>
      <w:r w:rsidRPr="00A77AF6">
        <w:t xml:space="preserve">By 1955 the poor quality of hospitals was evident and patient expectations were changing </w:t>
      </w:r>
      <w:r w:rsidR="004E53BD" w:rsidRPr="00A77AF6">
        <w:t xml:space="preserve">to demand better facilities </w:t>
      </w:r>
      <w:sdt>
        <w:sdtPr>
          <w:id w:val="2023125014"/>
          <w:citation/>
        </w:sdtPr>
        <w:sdtEndPr/>
        <w:sdtContent>
          <w:r w:rsidRPr="00A77AF6">
            <w:fldChar w:fldCharType="begin"/>
          </w:r>
          <w:r w:rsidRPr="00A77AF6">
            <w:instrText xml:space="preserve"> CITATION Fra99 \l 2057 </w:instrText>
          </w:r>
          <w:r w:rsidRPr="00A77AF6">
            <w:fldChar w:fldCharType="separate"/>
          </w:r>
          <w:r w:rsidR="008E653F" w:rsidRPr="00A77AF6">
            <w:t>(Francis, et al., 1999)</w:t>
          </w:r>
          <w:r w:rsidRPr="00A77AF6">
            <w:fldChar w:fldCharType="end"/>
          </w:r>
        </w:sdtContent>
      </w:sdt>
      <w:r w:rsidRPr="00A77AF6">
        <w:t xml:space="preserve">. </w:t>
      </w:r>
      <w:r w:rsidR="00B768E1" w:rsidRPr="00A77AF6">
        <w:t xml:space="preserve">Furthermore, research in the mid-1960s, which has </w:t>
      </w:r>
      <w:r w:rsidR="002D235B" w:rsidRPr="00A77AF6">
        <w:t xml:space="preserve">subsequently </w:t>
      </w:r>
      <w:r w:rsidR="005C23A8">
        <w:t xml:space="preserve">been </w:t>
      </w:r>
      <w:r w:rsidR="00B768E1" w:rsidRPr="00A77AF6">
        <w:t xml:space="preserve">developed, was </w:t>
      </w:r>
      <w:r w:rsidR="009562A5" w:rsidRPr="00A77AF6">
        <w:t>start</w:t>
      </w:r>
      <w:r w:rsidRPr="00A77AF6">
        <w:t xml:space="preserve">ing </w:t>
      </w:r>
      <w:r w:rsidR="00B768E1" w:rsidRPr="00A77AF6">
        <w:t>to suggest that the quality and design of healthcare buildings support patient recovery by reduc</w:t>
      </w:r>
      <w:r w:rsidR="004E53BD" w:rsidRPr="00A77AF6">
        <w:t>ing</w:t>
      </w:r>
      <w:r w:rsidR="00B768E1" w:rsidRPr="00A77AF6">
        <w:t xml:space="preserve"> cross infection, length of stay, clinical errors,  patient falls and the risk of fire </w:t>
      </w:r>
      <w:r w:rsidR="00391D36" w:rsidRPr="00A77AF6">
        <w:t>(</w:t>
      </w:r>
      <w:r w:rsidR="00B541D2" w:rsidRPr="00A77AF6">
        <w:t>Phiri, 2006</w:t>
      </w:r>
      <w:r w:rsidR="00391D36" w:rsidRPr="00A77AF6">
        <w:t>, Ulrich, et al., 2004)</w:t>
      </w:r>
      <w:r w:rsidR="00B768E1" w:rsidRPr="00A77AF6">
        <w:t xml:space="preserve">.  </w:t>
      </w:r>
    </w:p>
    <w:p w14:paraId="61504D6C" w14:textId="64EC462D" w:rsidR="004E53BD" w:rsidRPr="00A77AF6" w:rsidRDefault="002D235B" w:rsidP="004E53BD">
      <w:pPr>
        <w:spacing w:line="360" w:lineRule="auto"/>
      </w:pPr>
      <w:r w:rsidRPr="00A77AF6">
        <w:t xml:space="preserve">Data from </w:t>
      </w:r>
      <w:r w:rsidR="004E53BD" w:rsidRPr="00A77AF6">
        <w:t xml:space="preserve">2011/12 shows that the NHS owned 6.9 million hectares of land.  The floor area including hospitals and primary care trust buildings (excluding general practices owned by GPs) was 28.4 million hectares </w:t>
      </w:r>
      <w:sdt>
        <w:sdtPr>
          <w:id w:val="1288546158"/>
          <w:citation/>
        </w:sdtPr>
        <w:sdtEndPr/>
        <w:sdtContent>
          <w:r w:rsidR="004E53BD" w:rsidRPr="00A77AF6">
            <w:fldChar w:fldCharType="begin"/>
          </w:r>
          <w:r w:rsidR="004E53BD" w:rsidRPr="00A77AF6">
            <w:instrText xml:space="preserve">CITATION Kin13 \l 2057 </w:instrText>
          </w:r>
          <w:r w:rsidR="004E53BD" w:rsidRPr="00A77AF6">
            <w:fldChar w:fldCharType="separate"/>
          </w:r>
          <w:r w:rsidR="008E653F" w:rsidRPr="00A77AF6">
            <w:t>(The Kings Fund, 2013)</w:t>
          </w:r>
          <w:r w:rsidR="004E53BD" w:rsidRPr="00A77AF6">
            <w:fldChar w:fldCharType="end"/>
          </w:r>
        </w:sdtContent>
      </w:sdt>
      <w:r w:rsidR="004E53BD" w:rsidRPr="00A77AF6">
        <w:t xml:space="preserve">.  </w:t>
      </w:r>
      <w:r w:rsidRPr="00A77AF6">
        <w:t>In 2016/17 t</w:t>
      </w:r>
      <w:r w:rsidR="004E53BD" w:rsidRPr="00A77AF6">
        <w:t>he cost of running the estate was approximately £8.6 billion</w:t>
      </w:r>
      <w:r w:rsidRPr="00A77AF6">
        <w:t xml:space="preserve">; </w:t>
      </w:r>
      <w:r w:rsidR="004E53BD" w:rsidRPr="00A77AF6">
        <w:t>repairs and maintenance w</w:t>
      </w:r>
      <w:r w:rsidRPr="00A77AF6">
        <w:t>ere</w:t>
      </w:r>
      <w:r w:rsidR="004E53BD" w:rsidRPr="00A77AF6">
        <w:t xml:space="preserve"> £5.5 billion; cleaning services </w:t>
      </w:r>
      <w:r w:rsidR="005C23A8">
        <w:t xml:space="preserve">cost       </w:t>
      </w:r>
      <w:r w:rsidR="004E53BD" w:rsidRPr="00A77AF6">
        <w:t>£1</w:t>
      </w:r>
      <w:r w:rsidR="005C23A8">
        <w:t xml:space="preserve"> billion</w:t>
      </w:r>
      <w:r w:rsidR="004E53BD" w:rsidRPr="00A77AF6">
        <w:t xml:space="preserve">, and the cost of patient food was £0.6 billion </w:t>
      </w:r>
      <w:sdt>
        <w:sdtPr>
          <w:id w:val="417448608"/>
          <w:citation/>
        </w:sdtPr>
        <w:sdtEndPr/>
        <w:sdtContent>
          <w:r w:rsidR="004E53BD" w:rsidRPr="00A77AF6">
            <w:fldChar w:fldCharType="begin"/>
          </w:r>
          <w:r w:rsidR="004E53BD" w:rsidRPr="00A77AF6">
            <w:instrText xml:space="preserve"> CITATION NHS171 \l 2057 </w:instrText>
          </w:r>
          <w:r w:rsidR="004E53BD" w:rsidRPr="00A77AF6">
            <w:fldChar w:fldCharType="separate"/>
          </w:r>
          <w:r w:rsidR="008E653F" w:rsidRPr="00A77AF6">
            <w:t>(NHS Digital, 2017)</w:t>
          </w:r>
          <w:r w:rsidR="004E53BD" w:rsidRPr="00A77AF6">
            <w:fldChar w:fldCharType="end"/>
          </w:r>
        </w:sdtContent>
      </w:sdt>
      <w:r w:rsidR="004E53BD" w:rsidRPr="00A77AF6">
        <w:t xml:space="preserve">.  </w:t>
      </w:r>
    </w:p>
    <w:p w14:paraId="30F03EFB" w14:textId="2D0CBF6D" w:rsidR="001F5EF6" w:rsidRPr="00A77AF6" w:rsidRDefault="00B768E1" w:rsidP="0005497E">
      <w:pPr>
        <w:pStyle w:val="Heading4"/>
        <w:numPr>
          <w:ilvl w:val="0"/>
          <w:numId w:val="0"/>
        </w:numPr>
        <w:spacing w:before="0" w:line="360" w:lineRule="auto"/>
        <w:ind w:left="862" w:hanging="862"/>
        <w:rPr>
          <w:b/>
          <w:bCs/>
        </w:rPr>
      </w:pPr>
      <w:r w:rsidRPr="00A77AF6">
        <w:rPr>
          <w:rStyle w:val="Heading4Char"/>
          <w:b/>
          <w:bCs/>
        </w:rPr>
        <w:lastRenderedPageBreak/>
        <w:t>The Hospital Plan</w:t>
      </w:r>
      <w:r w:rsidR="00F1437C" w:rsidRPr="00A77AF6">
        <w:rPr>
          <w:rStyle w:val="Heading4Char"/>
          <w:b/>
          <w:bCs/>
        </w:rPr>
        <w:t xml:space="preserve"> (1962)</w:t>
      </w:r>
      <w:r w:rsidRPr="00A77AF6">
        <w:rPr>
          <w:bCs/>
        </w:rPr>
        <w:t xml:space="preserve"> </w:t>
      </w:r>
    </w:p>
    <w:p w14:paraId="23A31D13" w14:textId="574D21C2" w:rsidR="002D235B" w:rsidRPr="00A77AF6" w:rsidRDefault="002D235B" w:rsidP="002D235B">
      <w:pPr>
        <w:spacing w:line="360" w:lineRule="auto"/>
      </w:pPr>
      <w:r w:rsidRPr="00A77AF6">
        <w:t>There have been two main policies to drive the improvement of the healthcare estate since the NHS’ foundation in 1948.  The first was the Hospital Plan (1962) and the second was ‘The NHS Plan -  plan for investment, a plan for reform’ (2000) which was to be delivered through public/ private partnerships. These are discussed below.</w:t>
      </w:r>
    </w:p>
    <w:p w14:paraId="0DD2F8E9" w14:textId="06F27870" w:rsidR="004E53BD" w:rsidRPr="00A77AF6" w:rsidRDefault="00A70367" w:rsidP="002667AC">
      <w:pPr>
        <w:spacing w:after="120" w:line="360" w:lineRule="auto"/>
      </w:pPr>
      <w:r w:rsidRPr="00A77AF6">
        <w:t>The Hospital Plan (1962)</w:t>
      </w:r>
      <w:r w:rsidR="0097358E" w:rsidRPr="00A77AF6">
        <w:t xml:space="preserve"> </w:t>
      </w:r>
      <w:r w:rsidR="0005497E" w:rsidRPr="00A77AF6">
        <w:t xml:space="preserve">proposed a model of hospital provision through </w:t>
      </w:r>
      <w:r w:rsidR="00A95EF2" w:rsidRPr="00A77AF6">
        <w:t xml:space="preserve">district general hospitals (DGH) </w:t>
      </w:r>
      <w:r w:rsidR="0005497E" w:rsidRPr="00A77AF6">
        <w:t xml:space="preserve">each of which would </w:t>
      </w:r>
      <w:r w:rsidR="00A95EF2" w:rsidRPr="00A77AF6">
        <w:t>serv</w:t>
      </w:r>
      <w:r w:rsidR="0005497E" w:rsidRPr="00A77AF6">
        <w:t xml:space="preserve">e </w:t>
      </w:r>
      <w:r w:rsidR="00A95EF2" w:rsidRPr="00A77AF6">
        <w:t>a population of 100,000 – 150,000 people, each with 600-800 beds.  DGH</w:t>
      </w:r>
      <w:r w:rsidR="0005497E" w:rsidRPr="00A77AF6">
        <w:t>s</w:t>
      </w:r>
      <w:r w:rsidR="00A95EF2" w:rsidRPr="00A77AF6">
        <w:t xml:space="preserve"> would provide inpatient and outpatient services </w:t>
      </w:r>
      <w:r w:rsidR="00C446E5" w:rsidRPr="00A77AF6">
        <w:t>whilst</w:t>
      </w:r>
      <w:r w:rsidR="00A95EF2" w:rsidRPr="00A77AF6">
        <w:t xml:space="preserve"> some standalone single specialty hospitals such as maternity hospitals would close.  This provision is still recognizable today </w:t>
      </w:r>
      <w:sdt>
        <w:sdtPr>
          <w:id w:val="-2053754992"/>
          <w:citation/>
        </w:sdtPr>
        <w:sdtEndPr/>
        <w:sdtContent>
          <w:r w:rsidR="00A95EF2" w:rsidRPr="00A77AF6">
            <w:fldChar w:fldCharType="begin"/>
          </w:r>
          <w:r w:rsidR="00A95EF2" w:rsidRPr="00A77AF6">
            <w:instrText xml:space="preserve">CITATION Kin07 \l 2057 </w:instrText>
          </w:r>
          <w:r w:rsidR="00A95EF2" w:rsidRPr="00A77AF6">
            <w:fldChar w:fldCharType="separate"/>
          </w:r>
          <w:r w:rsidR="008E653F" w:rsidRPr="00A77AF6">
            <w:t>(The Kings Fund, 2007)</w:t>
          </w:r>
          <w:r w:rsidR="00A95EF2" w:rsidRPr="00A77AF6">
            <w:fldChar w:fldCharType="end"/>
          </w:r>
        </w:sdtContent>
      </w:sdt>
      <w:r w:rsidR="0005497E" w:rsidRPr="00A77AF6">
        <w:t xml:space="preserve">. </w:t>
      </w:r>
      <w:r w:rsidR="0097358E" w:rsidRPr="00A77AF6">
        <w:t xml:space="preserve">A programme </w:t>
      </w:r>
      <w:r w:rsidR="00870705" w:rsidRPr="00A77AF6">
        <w:t>of</w:t>
      </w:r>
      <w:r w:rsidR="0097358E" w:rsidRPr="00A77AF6">
        <w:t xml:space="preserve"> hospital </w:t>
      </w:r>
      <w:r w:rsidR="00870705" w:rsidRPr="00A77AF6">
        <w:t xml:space="preserve">building was to support this service configuration. </w:t>
      </w:r>
      <w:r w:rsidR="00B768E1" w:rsidRPr="00A77AF6">
        <w:t xml:space="preserve">The 1962 Plan was revised in </w:t>
      </w:r>
      <w:r w:rsidR="0060283B" w:rsidRPr="00A77AF6">
        <w:t>t</w:t>
      </w:r>
      <w:r w:rsidR="00B768E1" w:rsidRPr="00A77AF6">
        <w:t xml:space="preserve">he Hospital Building Programme (1966) to reduce costs, as fears grew in government that the cost of the programme was increasing </w:t>
      </w:r>
      <w:r w:rsidR="00391D36" w:rsidRPr="00A77AF6">
        <w:t>beyond acceptable levels</w:t>
      </w:r>
      <w:r w:rsidR="00B768E1" w:rsidRPr="00A77AF6">
        <w:t xml:space="preserve">.  By the </w:t>
      </w:r>
      <w:r w:rsidR="00F20FE6" w:rsidRPr="00A77AF6">
        <w:t>1970s,</w:t>
      </w:r>
      <w:r w:rsidR="00B768E1" w:rsidRPr="00A77AF6">
        <w:t xml:space="preserve"> the building programme ha</w:t>
      </w:r>
      <w:r w:rsidR="00391D36" w:rsidRPr="00A77AF6">
        <w:t>d</w:t>
      </w:r>
      <w:r w:rsidR="00B768E1" w:rsidRPr="00A77AF6">
        <w:t xml:space="preserve"> not been delivered and was considered </w:t>
      </w:r>
      <w:r w:rsidR="00F20FE6" w:rsidRPr="00A77AF6">
        <w:t>too</w:t>
      </w:r>
      <w:r w:rsidR="00B768E1" w:rsidRPr="00A77AF6">
        <w:t xml:space="preserve"> expensive.  The government decided that a firmer grip was to be taken on NHS expenditure and the concept of cost planning gain</w:t>
      </w:r>
      <w:r w:rsidR="0005497E" w:rsidRPr="00A77AF6">
        <w:t xml:space="preserve">ed </w:t>
      </w:r>
      <w:r w:rsidR="00B768E1" w:rsidRPr="00A77AF6">
        <w:t xml:space="preserve">traction. </w:t>
      </w:r>
      <w:r w:rsidR="0005497E" w:rsidRPr="00A77AF6">
        <w:t xml:space="preserve">Cost planning </w:t>
      </w:r>
      <w:r w:rsidR="00B768E1" w:rsidRPr="00A77AF6">
        <w:t xml:space="preserve">was supported by the introduction of </w:t>
      </w:r>
      <w:r w:rsidR="00080C62" w:rsidRPr="00A77AF6">
        <w:t>business case guidance</w:t>
      </w:r>
      <w:r w:rsidR="00B768E1" w:rsidRPr="00A77AF6">
        <w:t xml:space="preserve">, which introduced a more systematic approach to the development </w:t>
      </w:r>
      <w:r w:rsidR="00391D36" w:rsidRPr="00A77AF6">
        <w:t xml:space="preserve">and costing </w:t>
      </w:r>
      <w:r w:rsidR="00B768E1" w:rsidRPr="00A77AF6">
        <w:t xml:space="preserve">of </w:t>
      </w:r>
      <w:r w:rsidR="0005497E" w:rsidRPr="00A77AF6">
        <w:t xml:space="preserve">development </w:t>
      </w:r>
      <w:r w:rsidR="00B768E1" w:rsidRPr="00A77AF6">
        <w:t xml:space="preserve">hospital plans.  </w:t>
      </w:r>
    </w:p>
    <w:p w14:paraId="012299D5" w14:textId="03C4CED9" w:rsidR="001F5EF6" w:rsidRPr="00A77AF6" w:rsidRDefault="0060283B" w:rsidP="00F06224">
      <w:pPr>
        <w:pStyle w:val="Heading4"/>
        <w:numPr>
          <w:ilvl w:val="0"/>
          <w:numId w:val="0"/>
        </w:numPr>
        <w:ind w:left="864" w:hanging="864"/>
      </w:pPr>
      <w:r w:rsidRPr="00A77AF6">
        <w:t>The NHS Plan for investment, a plan for reform (2000)</w:t>
      </w:r>
    </w:p>
    <w:p w14:paraId="575C122D" w14:textId="4C4F0FF8" w:rsidR="000D629E" w:rsidRPr="00A77AF6" w:rsidRDefault="0060283B" w:rsidP="002A2797">
      <w:pPr>
        <w:spacing w:before="120" w:after="120" w:line="360" w:lineRule="auto"/>
      </w:pPr>
      <w:r w:rsidRPr="00A77AF6">
        <w:t xml:space="preserve">The </w:t>
      </w:r>
      <w:r w:rsidR="00491885" w:rsidRPr="00A77AF6">
        <w:t>NHS P</w:t>
      </w:r>
      <w:r w:rsidRPr="00A77AF6">
        <w:t xml:space="preserve">lan </w:t>
      </w:r>
      <w:r w:rsidR="00491885" w:rsidRPr="00A77AF6">
        <w:t xml:space="preserve">(2000) </w:t>
      </w:r>
      <w:r w:rsidR="0005497E" w:rsidRPr="00A77AF6">
        <w:t xml:space="preserve">set a target of building </w:t>
      </w:r>
      <w:r w:rsidRPr="00A77AF6">
        <w:t xml:space="preserve">100 new hospitals </w:t>
      </w:r>
      <w:r w:rsidR="00491885" w:rsidRPr="00A77AF6">
        <w:t>to renew the NHS estate so that less than 40% of the estate would be older than 15 years</w:t>
      </w:r>
      <w:r w:rsidR="0005497E" w:rsidRPr="00A77AF6">
        <w:t xml:space="preserve"> and t</w:t>
      </w:r>
      <w:r w:rsidR="00491885" w:rsidRPr="00A77AF6">
        <w:t xml:space="preserve">his </w:t>
      </w:r>
      <w:r w:rsidRPr="00A77AF6">
        <w:t xml:space="preserve">was to be delivered by the private finance initiative (PFI).  PFI </w:t>
      </w:r>
      <w:r w:rsidR="001A4147" w:rsidRPr="00A77AF6">
        <w:t xml:space="preserve">was introduced into UK public sector procurement by the Conservative Government in 1992 to </w:t>
      </w:r>
      <w:r w:rsidR="00B04363" w:rsidRPr="00A77AF6">
        <w:t>respond to the demand for better-quality public-sector infrastructure, which required increased government expenditure whilst avoiding increased government borrowing.  PFI l</w:t>
      </w:r>
      <w:r w:rsidR="001A4147" w:rsidRPr="00A77AF6">
        <w:t>everage</w:t>
      </w:r>
      <w:r w:rsidR="00B04363" w:rsidRPr="00A77AF6">
        <w:t>d</w:t>
      </w:r>
      <w:r w:rsidR="001A4147" w:rsidRPr="00A77AF6">
        <w:t xml:space="preserve"> private sector finance</w:t>
      </w:r>
      <w:r w:rsidR="00B04363" w:rsidRPr="00A77AF6">
        <w:t xml:space="preserve">, </w:t>
      </w:r>
      <w:r w:rsidR="001A4147" w:rsidRPr="00A77AF6">
        <w:t>expertise, management</w:t>
      </w:r>
      <w:r w:rsidR="00EF341A" w:rsidRPr="00A77AF6">
        <w:t xml:space="preserve">, </w:t>
      </w:r>
      <w:r w:rsidR="001A4147" w:rsidRPr="00A77AF6">
        <w:t>efficie</w:t>
      </w:r>
      <w:r w:rsidR="00F20FE6" w:rsidRPr="00A77AF6">
        <w:t xml:space="preserve">ncy </w:t>
      </w:r>
      <w:r w:rsidR="00EF341A" w:rsidRPr="00A77AF6">
        <w:t xml:space="preserve">and design </w:t>
      </w:r>
      <w:r w:rsidR="00F20FE6" w:rsidRPr="00A77AF6">
        <w:t>into public sector projects</w:t>
      </w:r>
      <w:r w:rsidR="00EF341A" w:rsidRPr="00A77AF6">
        <w:t xml:space="preserve"> that </w:t>
      </w:r>
      <w:r w:rsidR="00B04363" w:rsidRPr="00A77AF6">
        <w:t>were thought to be missing</w:t>
      </w:r>
      <w:r w:rsidR="00EF341A" w:rsidRPr="00A77AF6">
        <w:t xml:space="preserve"> </w:t>
      </w:r>
      <w:sdt>
        <w:sdtPr>
          <w:id w:val="-2042886330"/>
          <w:citation/>
        </w:sdtPr>
        <w:sdtEndPr/>
        <w:sdtContent>
          <w:r w:rsidR="00EF341A" w:rsidRPr="00A77AF6">
            <w:fldChar w:fldCharType="begin"/>
          </w:r>
          <w:r w:rsidR="00EF341A" w:rsidRPr="00A77AF6">
            <w:instrText xml:space="preserve"> CITATION Bar08 \l 2057 </w:instrText>
          </w:r>
          <w:r w:rsidR="00EF341A" w:rsidRPr="00A77AF6">
            <w:fldChar w:fldCharType="separate"/>
          </w:r>
          <w:r w:rsidR="008E653F" w:rsidRPr="00A77AF6">
            <w:t>(Barlow &amp; Köberle-Gaiser, 2008)</w:t>
          </w:r>
          <w:r w:rsidR="00EF341A" w:rsidRPr="00A77AF6">
            <w:fldChar w:fldCharType="end"/>
          </w:r>
        </w:sdtContent>
      </w:sdt>
      <w:r w:rsidR="00EF341A" w:rsidRPr="00A77AF6">
        <w:t xml:space="preserve">.  The private sector was responsible for the </w:t>
      </w:r>
      <w:r w:rsidR="00B14084" w:rsidRPr="00A77AF6">
        <w:t>design</w:t>
      </w:r>
      <w:r w:rsidR="00EF341A" w:rsidRPr="00A77AF6">
        <w:t>ing</w:t>
      </w:r>
      <w:r w:rsidR="00B14084" w:rsidRPr="00A77AF6">
        <w:t>, buil</w:t>
      </w:r>
      <w:r w:rsidR="00EF341A" w:rsidRPr="00A77AF6">
        <w:t xml:space="preserve">ding, </w:t>
      </w:r>
      <w:r w:rsidR="00B14084" w:rsidRPr="00A77AF6">
        <w:t>financ</w:t>
      </w:r>
      <w:r w:rsidR="00EF341A" w:rsidRPr="00A77AF6">
        <w:t xml:space="preserve">ing and </w:t>
      </w:r>
      <w:r w:rsidR="00B14084" w:rsidRPr="00A77AF6">
        <w:t>operat</w:t>
      </w:r>
      <w:r w:rsidR="00EF341A" w:rsidRPr="00A77AF6">
        <w:t xml:space="preserve">ing </w:t>
      </w:r>
      <w:r w:rsidR="000B30EE" w:rsidRPr="00A77AF6">
        <w:t xml:space="preserve">hospitals in return for </w:t>
      </w:r>
      <w:r w:rsidR="00B14084" w:rsidRPr="00A77AF6">
        <w:t xml:space="preserve">a fee </w:t>
      </w:r>
      <w:r w:rsidR="000B30EE" w:rsidRPr="00A77AF6">
        <w:t xml:space="preserve">or </w:t>
      </w:r>
      <w:r w:rsidR="00B14084" w:rsidRPr="00A77AF6">
        <w:t xml:space="preserve">unitary charge </w:t>
      </w:r>
      <w:sdt>
        <w:sdtPr>
          <w:id w:val="-1421019859"/>
          <w:citation/>
        </w:sdtPr>
        <w:sdtEndPr/>
        <w:sdtContent>
          <w:r w:rsidR="00B14084" w:rsidRPr="00A77AF6">
            <w:fldChar w:fldCharType="begin"/>
          </w:r>
          <w:r w:rsidR="00B14084" w:rsidRPr="00A77AF6">
            <w:instrText xml:space="preserve"> CITATION Rob10 \l 2057 </w:instrText>
          </w:r>
          <w:r w:rsidR="00B14084" w:rsidRPr="00A77AF6">
            <w:fldChar w:fldCharType="separate"/>
          </w:r>
          <w:r w:rsidR="008E653F" w:rsidRPr="00A77AF6">
            <w:t>(Robinson, et al., 2010)</w:t>
          </w:r>
          <w:r w:rsidR="00B14084" w:rsidRPr="00A77AF6">
            <w:fldChar w:fldCharType="end"/>
          </w:r>
        </w:sdtContent>
      </w:sdt>
      <w:r w:rsidR="00B14084" w:rsidRPr="00A77AF6">
        <w:t xml:space="preserve">.  </w:t>
      </w:r>
      <w:r w:rsidR="000B30EE" w:rsidRPr="00A77AF6">
        <w:t xml:space="preserve">The </w:t>
      </w:r>
      <w:r w:rsidR="00B14084" w:rsidRPr="00A77AF6">
        <w:t>private sector raise</w:t>
      </w:r>
      <w:r w:rsidR="00B04363" w:rsidRPr="00A77AF6">
        <w:t>d</w:t>
      </w:r>
      <w:r w:rsidR="00B14084" w:rsidRPr="00A77AF6">
        <w:t xml:space="preserve"> money </w:t>
      </w:r>
      <w:r w:rsidR="00B04363" w:rsidRPr="00A77AF6">
        <w:t>as</w:t>
      </w:r>
      <w:r w:rsidR="000A62A1" w:rsidRPr="00A77AF6">
        <w:t xml:space="preserve"> debt and equity </w:t>
      </w:r>
      <w:r w:rsidR="00B14084" w:rsidRPr="00A77AF6">
        <w:t>through the financial markets to pay for the cost of construction</w:t>
      </w:r>
      <w:r w:rsidR="000A62A1" w:rsidRPr="00A77AF6">
        <w:t xml:space="preserve"> and operation of building</w:t>
      </w:r>
      <w:r w:rsidR="000B30EE" w:rsidRPr="00A77AF6">
        <w:t>s</w:t>
      </w:r>
      <w:r w:rsidR="007335E3" w:rsidRPr="00A77AF6">
        <w:t xml:space="preserve"> based on the assessment that the PFI procurement route provides best value for money </w:t>
      </w:r>
      <w:sdt>
        <w:sdtPr>
          <w:id w:val="-631631921"/>
          <w:citation/>
        </w:sdtPr>
        <w:sdtEndPr/>
        <w:sdtContent>
          <w:r w:rsidR="007335E3" w:rsidRPr="00A77AF6">
            <w:fldChar w:fldCharType="begin"/>
          </w:r>
          <w:r w:rsidR="007335E3" w:rsidRPr="00A77AF6">
            <w:instrText xml:space="preserve"> CITATION Aki03 \l 2057 </w:instrText>
          </w:r>
          <w:r w:rsidR="007335E3" w:rsidRPr="00A77AF6">
            <w:fldChar w:fldCharType="separate"/>
          </w:r>
          <w:r w:rsidR="008E653F" w:rsidRPr="00A77AF6">
            <w:t>(Akintoye, et al., 2003)</w:t>
          </w:r>
          <w:r w:rsidR="007335E3" w:rsidRPr="00A77AF6">
            <w:fldChar w:fldCharType="end"/>
          </w:r>
        </w:sdtContent>
      </w:sdt>
      <w:r w:rsidR="000A62A1" w:rsidRPr="00A77AF6">
        <w:t xml:space="preserve">.  The </w:t>
      </w:r>
      <w:r w:rsidR="00B04363" w:rsidRPr="00A77AF6">
        <w:t>private sector</w:t>
      </w:r>
      <w:r w:rsidR="005A4A32" w:rsidRPr="00A77AF6">
        <w:t xml:space="preserve">’s </w:t>
      </w:r>
      <w:r w:rsidR="000A62A1" w:rsidRPr="00A77AF6">
        <w:t xml:space="preserve">obligations to repay debt and give a return on equity are financed by the </w:t>
      </w:r>
      <w:r w:rsidR="000B30EE" w:rsidRPr="00A77AF6">
        <w:t>unitary charge</w:t>
      </w:r>
      <w:r w:rsidR="000A62A1" w:rsidRPr="00A77AF6">
        <w:t xml:space="preserve">. It should be in the private sector’s interests to provide </w:t>
      </w:r>
      <w:r w:rsidR="005A4A32" w:rsidRPr="00A77AF6">
        <w:t>good</w:t>
      </w:r>
      <w:r w:rsidR="000A62A1" w:rsidRPr="00A77AF6">
        <w:t xml:space="preserve"> service so that it can collect the full unitary charge to service its financial obligations </w:t>
      </w:r>
      <w:sdt>
        <w:sdtPr>
          <w:id w:val="-1300842608"/>
          <w:citation/>
        </w:sdtPr>
        <w:sdtEndPr/>
        <w:sdtContent>
          <w:r w:rsidR="000A62A1" w:rsidRPr="00A77AF6">
            <w:fldChar w:fldCharType="begin"/>
          </w:r>
          <w:r w:rsidR="000A62A1" w:rsidRPr="00A77AF6">
            <w:instrText xml:space="preserve"> CITATION Rob10 \l 2057 </w:instrText>
          </w:r>
          <w:r w:rsidR="000A62A1" w:rsidRPr="00A77AF6">
            <w:fldChar w:fldCharType="separate"/>
          </w:r>
          <w:r w:rsidR="008E653F" w:rsidRPr="00A77AF6">
            <w:t>(Robinson, et al., 2010)</w:t>
          </w:r>
          <w:r w:rsidR="000A62A1" w:rsidRPr="00A77AF6">
            <w:fldChar w:fldCharType="end"/>
          </w:r>
        </w:sdtContent>
      </w:sdt>
      <w:r w:rsidR="000A62A1" w:rsidRPr="00A77AF6">
        <w:t xml:space="preserve">.  </w:t>
      </w:r>
      <w:r w:rsidR="0036138F" w:rsidRPr="00A77AF6">
        <w:t xml:space="preserve">  </w:t>
      </w:r>
    </w:p>
    <w:p w14:paraId="2350810A" w14:textId="547B3784" w:rsidR="00B14084" w:rsidRPr="00A77AF6" w:rsidRDefault="000D629E" w:rsidP="002A2797">
      <w:pPr>
        <w:spacing w:before="120" w:after="120" w:line="360" w:lineRule="auto"/>
      </w:pPr>
      <w:r w:rsidRPr="00A77AF6">
        <w:lastRenderedPageBreak/>
        <w:t>A PFI</w:t>
      </w:r>
      <w:r w:rsidR="00001121" w:rsidRPr="00A77AF6">
        <w:t xml:space="preserve"> has three main parts</w:t>
      </w:r>
      <w:r w:rsidR="000B30EE" w:rsidRPr="00A77AF6">
        <w:t xml:space="preserve"> (Figure </w:t>
      </w:r>
      <w:r w:rsidR="00EA0ED9" w:rsidRPr="00A77AF6">
        <w:t>2-7</w:t>
      </w:r>
      <w:r w:rsidR="000B30EE" w:rsidRPr="00A77AF6">
        <w:t>)</w:t>
      </w:r>
      <w:r w:rsidRPr="00A77AF6">
        <w:t xml:space="preserve">. </w:t>
      </w:r>
      <w:r w:rsidR="00001121" w:rsidRPr="00A77AF6">
        <w:t xml:space="preserve">The first is the government customer, for example an NHS hospital, which pays a </w:t>
      </w:r>
      <w:r w:rsidR="000B30EE" w:rsidRPr="00A77AF6">
        <w:t>fee</w:t>
      </w:r>
      <w:r w:rsidR="00001121" w:rsidRPr="00A77AF6">
        <w:t xml:space="preserve"> for services delivered by the Special Purpose Vehicle (SPV) </w:t>
      </w:r>
      <w:r w:rsidR="000B30EE" w:rsidRPr="00A77AF6">
        <w:t xml:space="preserve">composed of </w:t>
      </w:r>
      <w:r w:rsidR="00001121" w:rsidRPr="00A77AF6">
        <w:t>construction contractor and a facilities management (FM) company.  The FM company operates the building for the lifetime of the contract</w:t>
      </w:r>
      <w:r w:rsidRPr="00A77AF6">
        <w:t xml:space="preserve"> </w:t>
      </w:r>
      <w:sdt>
        <w:sdtPr>
          <w:id w:val="1622262438"/>
          <w:citation/>
        </w:sdtPr>
        <w:sdtEndPr/>
        <w:sdtContent>
          <w:r w:rsidRPr="00A77AF6">
            <w:fldChar w:fldCharType="begin"/>
          </w:r>
          <w:r w:rsidRPr="00A77AF6">
            <w:instrText xml:space="preserve"> CITATION HMT031 \l 2057 </w:instrText>
          </w:r>
          <w:r w:rsidRPr="00A77AF6">
            <w:fldChar w:fldCharType="separate"/>
          </w:r>
          <w:r w:rsidR="008E653F" w:rsidRPr="00A77AF6">
            <w:t>(HM Treasury, 2003)</w:t>
          </w:r>
          <w:r w:rsidRPr="00A77AF6">
            <w:fldChar w:fldCharType="end"/>
          </w:r>
        </w:sdtContent>
      </w:sdt>
      <w:r w:rsidRPr="00A77AF6">
        <w:t xml:space="preserve">.  </w:t>
      </w:r>
      <w:r w:rsidR="00001121" w:rsidRPr="00A77AF6">
        <w:t xml:space="preserve"> </w:t>
      </w:r>
      <w:r w:rsidRPr="00A77AF6">
        <w:t xml:space="preserve">The second is the SPV </w:t>
      </w:r>
      <w:r w:rsidR="002667AC">
        <w:t xml:space="preserve">(operation) </w:t>
      </w:r>
      <w:r w:rsidRPr="00A77AF6">
        <w:t xml:space="preserve">which designs, builds, finances and operates the facility in accordance with the requirements of the government customer.  The third part </w:t>
      </w:r>
      <w:r w:rsidR="000B30EE" w:rsidRPr="00A77AF6">
        <w:t xml:space="preserve">comprises the funders </w:t>
      </w:r>
      <w:r w:rsidR="002667AC">
        <w:t xml:space="preserve">(finance) </w:t>
      </w:r>
      <w:r w:rsidR="000B30EE" w:rsidRPr="00A77AF6">
        <w:t>of</w:t>
      </w:r>
      <w:r w:rsidRPr="00A77AF6">
        <w:t xml:space="preserve"> the SPV</w:t>
      </w:r>
      <w:r w:rsidR="000B30EE" w:rsidRPr="00A77AF6">
        <w:t xml:space="preserve">. </w:t>
      </w:r>
    </w:p>
    <w:p w14:paraId="3BE26122" w14:textId="353225DC" w:rsidR="00163D7F" w:rsidRPr="00A77AF6" w:rsidRDefault="00163D7F" w:rsidP="00163D7F">
      <w:r w:rsidRPr="00A77AF6">
        <w:rPr>
          <w:noProof/>
          <w:lang w:eastAsia="en-GB"/>
        </w:rPr>
        <w:drawing>
          <wp:inline distT="0" distB="0" distL="0" distR="0" wp14:anchorId="5FE333B3" wp14:editId="2A433E82">
            <wp:extent cx="4152900" cy="3216170"/>
            <wp:effectExtent l="0" t="0" r="0" b="0"/>
            <wp:docPr id="235" name="Content Placeholder 3" descr="joint_venture_model.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1" name="Content Placeholder 3" descr="joint_venture_model.gif"/>
                    <pic:cNvPicPr>
                      <a:picLocks noGrp="1" noChangeAspect="1"/>
                    </pic:cNvPicPr>
                  </pic:nvPicPr>
                  <pic:blipFill>
                    <a:blip r:embed="rId30"/>
                    <a:srcRect t="-3139" b="-3139"/>
                    <a:stretch>
                      <a:fillRect/>
                    </a:stretch>
                  </pic:blipFill>
                  <pic:spPr>
                    <a:xfrm>
                      <a:off x="0" y="0"/>
                      <a:ext cx="4152900" cy="3216170"/>
                    </a:xfrm>
                    <a:prstGeom prst="rect">
                      <a:avLst/>
                    </a:prstGeom>
                  </pic:spPr>
                </pic:pic>
              </a:graphicData>
            </a:graphic>
          </wp:inline>
        </w:drawing>
      </w:r>
    </w:p>
    <w:p w14:paraId="6C63C07F" w14:textId="43D607D2" w:rsidR="00117506" w:rsidRPr="00A77AF6" w:rsidRDefault="00117506" w:rsidP="00117506">
      <w:pPr>
        <w:pStyle w:val="Caption"/>
      </w:pPr>
      <w:bookmarkStart w:id="26" w:name="_Toc36186960"/>
      <w:r w:rsidRPr="00A77AF6">
        <w:t xml:space="preserve">Figure </w:t>
      </w:r>
      <w:fldSimple w:instr=" STYLEREF 1 \s ">
        <w:r w:rsidR="000441F7">
          <w:rPr>
            <w:noProof/>
          </w:rPr>
          <w:t>2</w:t>
        </w:r>
      </w:fldSimple>
      <w:r w:rsidR="00BA5DC4">
        <w:noBreakHyphen/>
      </w:r>
      <w:fldSimple w:instr=" SEQ Figure \* ARABIC \s 1 ">
        <w:r w:rsidR="000441F7">
          <w:rPr>
            <w:noProof/>
          </w:rPr>
          <w:t>7</w:t>
        </w:r>
      </w:fldSimple>
      <w:r w:rsidRPr="00A77AF6">
        <w:t>: Structure of PFI consortium</w:t>
      </w:r>
      <w:bookmarkEnd w:id="26"/>
    </w:p>
    <w:p w14:paraId="5B706C8D" w14:textId="5EB13CE4" w:rsidR="00881AB6" w:rsidRPr="00A77AF6" w:rsidRDefault="0036138F" w:rsidP="005F0D89">
      <w:pPr>
        <w:spacing w:after="120" w:line="360" w:lineRule="auto"/>
        <w:rPr>
          <w:sz w:val="20"/>
        </w:rPr>
      </w:pPr>
      <w:r w:rsidRPr="00A77AF6">
        <w:rPr>
          <w:sz w:val="20"/>
        </w:rPr>
        <w:t xml:space="preserve">Source: </w:t>
      </w:r>
      <w:r w:rsidR="00001121" w:rsidRPr="00A77AF6">
        <w:rPr>
          <w:sz w:val="20"/>
        </w:rPr>
        <w:t>HM Treasury (2003)</w:t>
      </w:r>
    </w:p>
    <w:p w14:paraId="28AE30B5" w14:textId="4162F326" w:rsidR="005F0D89" w:rsidRPr="00A77AF6" w:rsidRDefault="000A62A1" w:rsidP="002667AC">
      <w:pPr>
        <w:spacing w:before="120" w:after="0" w:line="360" w:lineRule="auto"/>
      </w:pPr>
      <w:r w:rsidRPr="00A77AF6">
        <w:t xml:space="preserve">The benefits of </w:t>
      </w:r>
      <w:r w:rsidR="00604146" w:rsidRPr="00A77AF6">
        <w:t xml:space="preserve">PFI </w:t>
      </w:r>
      <w:r w:rsidRPr="00A77AF6">
        <w:t xml:space="preserve">were </w:t>
      </w:r>
      <w:r w:rsidR="005F0D89" w:rsidRPr="00A77AF6">
        <w:t xml:space="preserve">expected to be </w:t>
      </w:r>
      <w:r w:rsidRPr="00A77AF6">
        <w:t xml:space="preserve">increased </w:t>
      </w:r>
      <w:r w:rsidR="00604146" w:rsidRPr="00A77AF6">
        <w:t>innovation</w:t>
      </w:r>
      <w:r w:rsidR="003966FD" w:rsidRPr="00A77AF6">
        <w:t xml:space="preserve">, expertise and efficiency </w:t>
      </w:r>
      <w:r w:rsidR="005F0D89" w:rsidRPr="00A77AF6">
        <w:t>and the delivery of delivery of projects to time, cost and quality by the private sector.  In 2003 the N</w:t>
      </w:r>
      <w:r w:rsidR="002667AC">
        <w:t xml:space="preserve">ational </w:t>
      </w:r>
      <w:r w:rsidR="005F0D89" w:rsidRPr="00A77AF6">
        <w:t>A</w:t>
      </w:r>
      <w:r w:rsidR="002667AC">
        <w:t xml:space="preserve">udit </w:t>
      </w:r>
      <w:r w:rsidR="005F0D89" w:rsidRPr="00A77AF6">
        <w:t>O</w:t>
      </w:r>
      <w:r w:rsidR="002667AC">
        <w:t>ffice (NAO)</w:t>
      </w:r>
      <w:r w:rsidR="005F0D89" w:rsidRPr="00A77AF6">
        <w:t xml:space="preserve"> noted that</w:t>
      </w:r>
      <w:r w:rsidR="002A2797" w:rsidRPr="00A77AF6">
        <w:t xml:space="preserve"> PFI was delivering these benefits</w:t>
      </w:r>
    </w:p>
    <w:p w14:paraId="1CB8CBF6" w14:textId="770BF064" w:rsidR="00F1437C" w:rsidRPr="00A77AF6" w:rsidRDefault="002A2797" w:rsidP="002667AC">
      <w:pPr>
        <w:spacing w:after="240" w:line="240" w:lineRule="auto"/>
        <w:ind w:left="720"/>
        <w:rPr>
          <w:rFonts w:cstheme="minorHAnsi"/>
          <w:i/>
          <w:sz w:val="24"/>
        </w:rPr>
      </w:pPr>
      <w:r w:rsidRPr="00A77AF6">
        <w:rPr>
          <w:rFonts w:cstheme="minorHAnsi"/>
          <w:i/>
          <w:color w:val="333333"/>
          <w:szCs w:val="20"/>
          <w:shd w:val="clear" w:color="auto" w:fill="FFFFFF"/>
        </w:rPr>
        <w:t>’</w:t>
      </w:r>
      <w:r w:rsidR="00F1437C" w:rsidRPr="00A77AF6">
        <w:rPr>
          <w:rFonts w:cstheme="minorHAnsi"/>
          <w:i/>
          <w:color w:val="333333"/>
          <w:szCs w:val="20"/>
          <w:shd w:val="clear" w:color="auto" w:fill="FFFFFF"/>
        </w:rPr>
        <w:t xml:space="preserve">Central government has generally obtained a much higher degree of price certainty and timely delivery of good quality built assets, compared to previous conventional government building projects’ </w:t>
      </w:r>
      <w:sdt>
        <w:sdtPr>
          <w:rPr>
            <w:rFonts w:cstheme="minorHAnsi"/>
            <w:i/>
            <w:color w:val="333333"/>
            <w:szCs w:val="20"/>
            <w:shd w:val="clear" w:color="auto" w:fill="FFFFFF"/>
          </w:rPr>
          <w:id w:val="-374239780"/>
          <w:citation/>
        </w:sdtPr>
        <w:sdtEndPr/>
        <w:sdtContent>
          <w:r w:rsidR="00F1437C" w:rsidRPr="00A77AF6">
            <w:rPr>
              <w:rFonts w:cstheme="minorHAnsi"/>
              <w:i/>
              <w:color w:val="333333"/>
              <w:szCs w:val="20"/>
              <w:shd w:val="clear" w:color="auto" w:fill="FFFFFF"/>
            </w:rPr>
            <w:fldChar w:fldCharType="begin"/>
          </w:r>
          <w:r w:rsidR="00F1437C" w:rsidRPr="00A77AF6">
            <w:rPr>
              <w:rFonts w:cstheme="minorHAnsi"/>
              <w:i/>
              <w:color w:val="333333"/>
              <w:szCs w:val="20"/>
              <w:shd w:val="clear" w:color="auto" w:fill="FFFFFF"/>
            </w:rPr>
            <w:instrText xml:space="preserve"> CITATION NAO031 \l 2057 </w:instrText>
          </w:r>
          <w:r w:rsidR="00F1437C" w:rsidRPr="00A77AF6">
            <w:rPr>
              <w:rFonts w:cstheme="minorHAnsi"/>
              <w:i/>
              <w:color w:val="333333"/>
              <w:szCs w:val="20"/>
              <w:shd w:val="clear" w:color="auto" w:fill="FFFFFF"/>
            </w:rPr>
            <w:fldChar w:fldCharType="separate"/>
          </w:r>
          <w:r w:rsidR="008E653F" w:rsidRPr="00A77AF6">
            <w:rPr>
              <w:rFonts w:cstheme="minorHAnsi"/>
              <w:color w:val="333333"/>
              <w:szCs w:val="20"/>
              <w:shd w:val="clear" w:color="auto" w:fill="FFFFFF"/>
            </w:rPr>
            <w:t>(NAO, 2003)</w:t>
          </w:r>
          <w:r w:rsidR="00F1437C" w:rsidRPr="00A77AF6">
            <w:rPr>
              <w:rFonts w:cstheme="minorHAnsi"/>
              <w:i/>
              <w:color w:val="333333"/>
              <w:szCs w:val="20"/>
              <w:shd w:val="clear" w:color="auto" w:fill="FFFFFF"/>
            </w:rPr>
            <w:fldChar w:fldCharType="end"/>
          </w:r>
        </w:sdtContent>
      </w:sdt>
    </w:p>
    <w:p w14:paraId="137B60A9" w14:textId="75B9767E" w:rsidR="005B256F" w:rsidRPr="00A77AF6" w:rsidRDefault="00DD1A78" w:rsidP="002A2797">
      <w:pPr>
        <w:spacing w:before="120" w:after="120" w:line="360" w:lineRule="auto"/>
      </w:pPr>
      <w:r w:rsidRPr="00A77AF6">
        <w:t>An</w:t>
      </w:r>
      <w:r w:rsidR="005A4A32" w:rsidRPr="00A77AF6">
        <w:t>other benefit was that of risk transfer</w:t>
      </w:r>
      <w:r w:rsidR="00EF5C2D" w:rsidRPr="00A77AF6">
        <w:t xml:space="preserve">, the principle of which is that risk should be managed by the party most able to deal with it </w:t>
      </w:r>
      <w:sdt>
        <w:sdtPr>
          <w:id w:val="1608615573"/>
          <w:citation/>
        </w:sdtPr>
        <w:sdtEndPr/>
        <w:sdtContent>
          <w:r w:rsidR="00A73DD0" w:rsidRPr="00A77AF6">
            <w:fldChar w:fldCharType="begin"/>
          </w:r>
          <w:r w:rsidR="00A73DD0" w:rsidRPr="00A77AF6">
            <w:instrText xml:space="preserve"> CITATION NAO09 \l 2057 </w:instrText>
          </w:r>
          <w:r w:rsidR="00A73DD0" w:rsidRPr="00A77AF6">
            <w:fldChar w:fldCharType="separate"/>
          </w:r>
          <w:r w:rsidR="008E653F" w:rsidRPr="00A77AF6">
            <w:t>(NAO, 2009)</w:t>
          </w:r>
          <w:r w:rsidR="00A73DD0" w:rsidRPr="00A77AF6">
            <w:fldChar w:fldCharType="end"/>
          </w:r>
        </w:sdtContent>
      </w:sdt>
      <w:r w:rsidR="00EF5C2D" w:rsidRPr="00A77AF6">
        <w:t xml:space="preserve">. </w:t>
      </w:r>
      <w:r w:rsidR="00A73DD0" w:rsidRPr="00A77AF6">
        <w:t xml:space="preserve"> </w:t>
      </w:r>
      <w:r w:rsidR="00A37205" w:rsidRPr="00A77AF6">
        <w:t>T</w:t>
      </w:r>
      <w:r w:rsidR="00EF5C2D" w:rsidRPr="00A77AF6">
        <w:t>his allow</w:t>
      </w:r>
      <w:r w:rsidR="002A2797" w:rsidRPr="00A77AF6">
        <w:t>ed</w:t>
      </w:r>
      <w:r w:rsidR="00EF5C2D" w:rsidRPr="00A77AF6">
        <w:t xml:space="preserve"> the public sector to pass the risk of construction </w:t>
      </w:r>
      <w:r w:rsidR="00EA0ED9" w:rsidRPr="00A77AF6">
        <w:t xml:space="preserve">and </w:t>
      </w:r>
      <w:r w:rsidR="00EF5C2D" w:rsidRPr="00A77AF6">
        <w:t>ope</w:t>
      </w:r>
      <w:r w:rsidR="00EA0ED9" w:rsidRPr="00A77AF6">
        <w:t xml:space="preserve">ration </w:t>
      </w:r>
      <w:r w:rsidR="00A73DD0" w:rsidRPr="00A77AF6">
        <w:t xml:space="preserve">to the private sector, </w:t>
      </w:r>
      <w:r w:rsidR="00EF5C2D" w:rsidRPr="00A77AF6">
        <w:t xml:space="preserve">but retain the risk of demand on the service, which the public sector should be better able to manage </w:t>
      </w:r>
      <w:sdt>
        <w:sdtPr>
          <w:id w:val="-1961251568"/>
          <w:citation/>
        </w:sdtPr>
        <w:sdtEndPr/>
        <w:sdtContent>
          <w:r w:rsidR="00EF5C2D" w:rsidRPr="00A77AF6">
            <w:fldChar w:fldCharType="begin"/>
          </w:r>
          <w:r w:rsidR="00EF5C2D" w:rsidRPr="00A77AF6">
            <w:instrText xml:space="preserve"> CITATION Gra01 \l 2057 </w:instrText>
          </w:r>
          <w:r w:rsidR="00EF5C2D" w:rsidRPr="00A77AF6">
            <w:fldChar w:fldCharType="separate"/>
          </w:r>
          <w:r w:rsidR="008E653F" w:rsidRPr="00A77AF6">
            <w:t>(Allen, 2001)</w:t>
          </w:r>
          <w:r w:rsidR="00EF5C2D" w:rsidRPr="00A77AF6">
            <w:fldChar w:fldCharType="end"/>
          </w:r>
        </w:sdtContent>
      </w:sdt>
      <w:r w:rsidR="00EF5C2D" w:rsidRPr="00A77AF6">
        <w:t xml:space="preserve">.  PFI </w:t>
      </w:r>
      <w:r w:rsidR="00C41723" w:rsidRPr="00A77AF6">
        <w:t xml:space="preserve">was </w:t>
      </w:r>
      <w:r w:rsidRPr="00A77AF6">
        <w:t xml:space="preserve">criticised </w:t>
      </w:r>
      <w:r w:rsidR="00EF5C2D" w:rsidRPr="00A77AF6">
        <w:t>for it</w:t>
      </w:r>
      <w:r w:rsidRPr="00A77AF6">
        <w:t xml:space="preserve">s high </w:t>
      </w:r>
      <w:r w:rsidR="00EF5C2D" w:rsidRPr="00A77AF6">
        <w:t>cost</w:t>
      </w:r>
      <w:sdt>
        <w:sdtPr>
          <w:id w:val="901651932"/>
          <w:citation/>
        </w:sdtPr>
        <w:sdtEndPr/>
        <w:sdtContent>
          <w:r w:rsidR="00D90858" w:rsidRPr="00A77AF6">
            <w:fldChar w:fldCharType="begin"/>
          </w:r>
          <w:r w:rsidR="00D90858" w:rsidRPr="00A77AF6">
            <w:instrText xml:space="preserve"> CITATION Car08 \l 2057 </w:instrText>
          </w:r>
          <w:r w:rsidR="00D90858" w:rsidRPr="00A77AF6">
            <w:fldChar w:fldCharType="separate"/>
          </w:r>
          <w:r w:rsidR="008E653F" w:rsidRPr="00A77AF6">
            <w:t xml:space="preserve"> (Carrillo, et al., 2008)</w:t>
          </w:r>
          <w:r w:rsidR="00D90858" w:rsidRPr="00A77AF6">
            <w:fldChar w:fldCharType="end"/>
          </w:r>
        </w:sdtContent>
      </w:sdt>
      <w:r w:rsidR="00C41723" w:rsidRPr="00A77AF6">
        <w:t xml:space="preserve">, </w:t>
      </w:r>
      <w:r w:rsidR="00A73DD0" w:rsidRPr="00A77AF6">
        <w:t>inflexibility in the operational phase,</w:t>
      </w:r>
      <w:r w:rsidR="00C41723" w:rsidRPr="00A77AF6">
        <w:t xml:space="preserve"> </w:t>
      </w:r>
      <w:r w:rsidR="00A73DD0" w:rsidRPr="00A77AF6">
        <w:t>lack of innovation</w:t>
      </w:r>
      <w:r w:rsidR="00C41723" w:rsidRPr="00A77AF6">
        <w:t xml:space="preserve">, </w:t>
      </w:r>
      <w:r w:rsidR="00A73DD0" w:rsidRPr="00A77AF6">
        <w:t>failure to deliver value for money</w:t>
      </w:r>
      <w:r w:rsidR="00D90858" w:rsidRPr="00A77AF6">
        <w:t xml:space="preserve"> </w:t>
      </w:r>
      <w:sdt>
        <w:sdtPr>
          <w:id w:val="1457070898"/>
          <w:citation/>
        </w:sdtPr>
        <w:sdtEndPr/>
        <w:sdtContent>
          <w:r w:rsidR="00D90858" w:rsidRPr="00A77AF6">
            <w:fldChar w:fldCharType="begin"/>
          </w:r>
          <w:r w:rsidR="00D90858" w:rsidRPr="00A77AF6">
            <w:instrText xml:space="preserve"> CITATION Gaf99 \l 2057 </w:instrText>
          </w:r>
          <w:r w:rsidR="00D90858" w:rsidRPr="00A77AF6">
            <w:fldChar w:fldCharType="separate"/>
          </w:r>
          <w:r w:rsidR="008E653F" w:rsidRPr="00A77AF6">
            <w:t>(Gaffney &amp; Pollock, 1999)</w:t>
          </w:r>
          <w:r w:rsidR="00D90858" w:rsidRPr="00A77AF6">
            <w:fldChar w:fldCharType="end"/>
          </w:r>
        </w:sdtContent>
      </w:sdt>
      <w:r w:rsidR="00D90858" w:rsidRPr="00A77AF6">
        <w:t xml:space="preserve"> </w:t>
      </w:r>
      <w:r w:rsidR="00C41723" w:rsidRPr="00A77AF6">
        <w:t>and lack of transparency over risk transfer</w:t>
      </w:r>
      <w:r w:rsidR="00EA0ED9" w:rsidRPr="00A77AF6">
        <w:t xml:space="preserve"> </w:t>
      </w:r>
      <w:sdt>
        <w:sdtPr>
          <w:id w:val="127682728"/>
          <w:citation/>
        </w:sdtPr>
        <w:sdtEndPr/>
        <w:sdtContent>
          <w:r w:rsidR="00C41723" w:rsidRPr="00A77AF6">
            <w:fldChar w:fldCharType="begin"/>
          </w:r>
          <w:r w:rsidR="00C41723" w:rsidRPr="00A77AF6">
            <w:instrText xml:space="preserve"> CITATION Sha11 \l 2057 </w:instrText>
          </w:r>
          <w:r w:rsidR="00C41723" w:rsidRPr="00A77AF6">
            <w:fldChar w:fldCharType="separate"/>
          </w:r>
          <w:r w:rsidR="008E653F" w:rsidRPr="00A77AF6">
            <w:t>(Shaoul, et al., 2011)</w:t>
          </w:r>
          <w:r w:rsidR="00C41723" w:rsidRPr="00A77AF6">
            <w:fldChar w:fldCharType="end"/>
          </w:r>
        </w:sdtContent>
      </w:sdt>
      <w:r w:rsidR="00D90858" w:rsidRPr="00A77AF6">
        <w:t xml:space="preserve">. </w:t>
      </w:r>
      <w:r w:rsidR="00980CE3" w:rsidRPr="00A77AF6">
        <w:t>The NAO Report ‘PFI and PF2’ (2018</w:t>
      </w:r>
      <w:r w:rsidR="005F7CDD" w:rsidRPr="00A77AF6">
        <w:t>) agreed</w:t>
      </w:r>
      <w:r w:rsidR="00980CE3" w:rsidRPr="00A77AF6">
        <w:t xml:space="preserve"> that some of these criticisms were valid</w:t>
      </w:r>
      <w:r w:rsidR="00785F01" w:rsidRPr="00A77AF6">
        <w:t>, for example, lack of transparency about risk transfer, lack of data on benefits and high rates of return for the private sector and lack of value for money for the public sector</w:t>
      </w:r>
      <w:r w:rsidR="00980CE3" w:rsidRPr="00A77AF6">
        <w:t xml:space="preserve">.  </w:t>
      </w:r>
      <w:r w:rsidR="00604146" w:rsidRPr="00A77AF6">
        <w:t>The PFI was succeeded by PF2</w:t>
      </w:r>
      <w:r w:rsidR="00EF5C2D" w:rsidRPr="00A77AF6">
        <w:t xml:space="preserve"> (2010) </w:t>
      </w:r>
      <w:r w:rsidR="00785F01" w:rsidRPr="00A77AF6">
        <w:t>which differed from PFI because it removed soft services such as cleaning and catering from contracts, required publication of equity returns, required the public sector to bear the risks in</w:t>
      </w:r>
      <w:r w:rsidR="00963B73">
        <w:t xml:space="preserve"> a </w:t>
      </w:r>
      <w:r w:rsidR="00785F01" w:rsidRPr="00A77AF6">
        <w:t xml:space="preserve">change of law and limited the tendering phase to 18 months </w:t>
      </w:r>
      <w:sdt>
        <w:sdtPr>
          <w:id w:val="-111516922"/>
          <w:citation/>
        </w:sdtPr>
        <w:sdtEndPr/>
        <w:sdtContent>
          <w:r w:rsidR="00785F01" w:rsidRPr="00A77AF6">
            <w:fldChar w:fldCharType="begin"/>
          </w:r>
          <w:r w:rsidR="00785F01" w:rsidRPr="00A77AF6">
            <w:instrText xml:space="preserve"> CITATION NAO18 \l 2057 </w:instrText>
          </w:r>
          <w:r w:rsidR="00785F01" w:rsidRPr="00A77AF6">
            <w:fldChar w:fldCharType="separate"/>
          </w:r>
          <w:r w:rsidR="008E653F" w:rsidRPr="00A77AF6">
            <w:t>(NAO, 2018)</w:t>
          </w:r>
          <w:r w:rsidR="00785F01" w:rsidRPr="00A77AF6">
            <w:fldChar w:fldCharType="end"/>
          </w:r>
        </w:sdtContent>
      </w:sdt>
      <w:r w:rsidR="00785F01" w:rsidRPr="00A77AF6">
        <w:t xml:space="preserve">.  The PFI initiative </w:t>
      </w:r>
      <w:r w:rsidR="00644311" w:rsidRPr="00A77AF6">
        <w:t>was</w:t>
      </w:r>
      <w:r w:rsidR="00604146" w:rsidRPr="00A77AF6">
        <w:t xml:space="preserve"> discontinued in the 2018 Budget </w:t>
      </w:r>
      <w:sdt>
        <w:sdtPr>
          <w:id w:val="972865629"/>
          <w:citation/>
        </w:sdtPr>
        <w:sdtEndPr/>
        <w:sdtContent>
          <w:r w:rsidR="00604146" w:rsidRPr="00A77AF6">
            <w:fldChar w:fldCharType="begin"/>
          </w:r>
          <w:r w:rsidR="00604146" w:rsidRPr="00A77AF6">
            <w:instrText xml:space="preserve">CITATION Hou18 \l 2057 </w:instrText>
          </w:r>
          <w:r w:rsidR="00604146" w:rsidRPr="00A77AF6">
            <w:fldChar w:fldCharType="separate"/>
          </w:r>
          <w:r w:rsidR="008E653F" w:rsidRPr="00A77AF6">
            <w:t>(House of Commons Library, 2018)</w:t>
          </w:r>
          <w:r w:rsidR="00604146" w:rsidRPr="00A77AF6">
            <w:fldChar w:fldCharType="end"/>
          </w:r>
        </w:sdtContent>
      </w:sdt>
      <w:r w:rsidR="005B256F" w:rsidRPr="00A77AF6">
        <w:t xml:space="preserve">. </w:t>
      </w:r>
    </w:p>
    <w:p w14:paraId="1A6FC909" w14:textId="3A21108F" w:rsidR="00B768E1" w:rsidRPr="00A77AF6" w:rsidRDefault="00602E26" w:rsidP="00EA0ED9">
      <w:pPr>
        <w:pStyle w:val="Heading3"/>
        <w:spacing w:after="120"/>
      </w:pPr>
      <w:bookmarkStart w:id="27" w:name="_Toc36275040"/>
      <w:r w:rsidRPr="00A77AF6">
        <w:t>Governance of c</w:t>
      </w:r>
      <w:r w:rsidR="00B768E1" w:rsidRPr="00A77AF6">
        <w:t xml:space="preserve">apital investment </w:t>
      </w:r>
      <w:r w:rsidR="009562A5" w:rsidRPr="00A77AF6">
        <w:t>for</w:t>
      </w:r>
      <w:r w:rsidR="00B768E1" w:rsidRPr="00A77AF6">
        <w:t xml:space="preserve"> </w:t>
      </w:r>
      <w:r w:rsidR="00F74E96" w:rsidRPr="00A77AF6">
        <w:t xml:space="preserve">NHS </w:t>
      </w:r>
      <w:r w:rsidRPr="00A77AF6">
        <w:t>infrastructure</w:t>
      </w:r>
      <w:bookmarkEnd w:id="27"/>
    </w:p>
    <w:p w14:paraId="7A277BAF" w14:textId="4C776B2E" w:rsidR="00B768E1" w:rsidRPr="00A77AF6" w:rsidRDefault="00B768E1" w:rsidP="00B03FAA">
      <w:pPr>
        <w:spacing w:line="360" w:lineRule="auto"/>
      </w:pPr>
      <w:r w:rsidRPr="00A77AF6">
        <w:t xml:space="preserve">To </w:t>
      </w:r>
      <w:r w:rsidR="00DD1A78" w:rsidRPr="00A77AF6">
        <w:t xml:space="preserve">procure a building </w:t>
      </w:r>
      <w:r w:rsidR="00864FD6" w:rsidRPr="00A77AF6">
        <w:t xml:space="preserve">an </w:t>
      </w:r>
      <w:r w:rsidRPr="00A77AF6">
        <w:t xml:space="preserve">NHS </w:t>
      </w:r>
      <w:r w:rsidR="00864FD6" w:rsidRPr="00A77AF6">
        <w:t>trust must develop plans that</w:t>
      </w:r>
      <w:r w:rsidR="00DD1A78" w:rsidRPr="00A77AF6">
        <w:t xml:space="preserve"> </w:t>
      </w:r>
      <w:r w:rsidR="00602E26" w:rsidRPr="00A77AF6">
        <w:t>pass</w:t>
      </w:r>
      <w:r w:rsidRPr="00A77AF6">
        <w:t xml:space="preserve"> through </w:t>
      </w:r>
      <w:r w:rsidR="005D25A3" w:rsidRPr="00A77AF6">
        <w:t>a</w:t>
      </w:r>
      <w:r w:rsidR="00DD1A78" w:rsidRPr="00A77AF6">
        <w:t xml:space="preserve"> </w:t>
      </w:r>
      <w:r w:rsidRPr="00A77AF6">
        <w:t xml:space="preserve">defined governance process </w:t>
      </w:r>
      <w:r w:rsidR="00D619A6" w:rsidRPr="00A77AF6">
        <w:t xml:space="preserve">which </w:t>
      </w:r>
      <w:r w:rsidR="00602E26" w:rsidRPr="00A77AF6">
        <w:t>compris</w:t>
      </w:r>
      <w:r w:rsidR="00D619A6" w:rsidRPr="00A77AF6">
        <w:t>es</w:t>
      </w:r>
      <w:r w:rsidR="00602E26" w:rsidRPr="00A77AF6">
        <w:t xml:space="preserve"> a series of approval st</w:t>
      </w:r>
      <w:r w:rsidR="00B03FAA" w:rsidRPr="00A77AF6">
        <w:t>ages</w:t>
      </w:r>
      <w:r w:rsidR="00D619A6" w:rsidRPr="00A77AF6">
        <w:t xml:space="preserve"> where the proposed </w:t>
      </w:r>
      <w:r w:rsidRPr="00A77AF6">
        <w:t xml:space="preserve">investment </w:t>
      </w:r>
      <w:r w:rsidR="00602E26" w:rsidRPr="00A77AF6">
        <w:t>is scrutinised</w:t>
      </w:r>
      <w:r w:rsidRPr="00A77AF6">
        <w:t xml:space="preserve">.  </w:t>
      </w:r>
      <w:r w:rsidR="00602E26" w:rsidRPr="00A77AF6">
        <w:t xml:space="preserve">A </w:t>
      </w:r>
      <w:r w:rsidR="00D64332" w:rsidRPr="00A77AF6">
        <w:t>t</w:t>
      </w:r>
      <w:r w:rsidRPr="00A77AF6">
        <w:t xml:space="preserve">rust must show that </w:t>
      </w:r>
      <w:r w:rsidR="00602E26" w:rsidRPr="00A77AF6">
        <w:t xml:space="preserve">its </w:t>
      </w:r>
      <w:r w:rsidRPr="00A77AF6">
        <w:t xml:space="preserve">project has strategic relevance, is affordable, is the best use of public money, can be delivered by </w:t>
      </w:r>
      <w:r w:rsidR="00486AB5" w:rsidRPr="00A77AF6">
        <w:t xml:space="preserve">the public and </w:t>
      </w:r>
      <w:r w:rsidRPr="00A77AF6">
        <w:t>private sector</w:t>
      </w:r>
      <w:r w:rsidR="00486AB5" w:rsidRPr="00A77AF6">
        <w:t>s</w:t>
      </w:r>
      <w:r w:rsidRPr="00A77AF6">
        <w:t xml:space="preserve"> and can be project managed by the NHS</w:t>
      </w:r>
      <w:r w:rsidR="00141F3D" w:rsidRPr="00A77AF6">
        <w:t xml:space="preserve"> </w:t>
      </w:r>
      <w:sdt>
        <w:sdtPr>
          <w:id w:val="1803417059"/>
          <w:citation/>
        </w:sdtPr>
        <w:sdtEndPr/>
        <w:sdtContent>
          <w:r w:rsidR="00141F3D" w:rsidRPr="00A77AF6">
            <w:fldChar w:fldCharType="begin"/>
          </w:r>
          <w:r w:rsidR="00141F3D" w:rsidRPr="00A77AF6">
            <w:instrText xml:space="preserve"> CITATION HMT03 \l 2057 </w:instrText>
          </w:r>
          <w:r w:rsidR="00141F3D" w:rsidRPr="00A77AF6">
            <w:fldChar w:fldCharType="separate"/>
          </w:r>
          <w:r w:rsidR="008E653F" w:rsidRPr="00A77AF6">
            <w:t>(HM Treasury, 2003)</w:t>
          </w:r>
          <w:r w:rsidR="00141F3D" w:rsidRPr="00A77AF6">
            <w:fldChar w:fldCharType="end"/>
          </w:r>
        </w:sdtContent>
      </w:sdt>
      <w:r w:rsidRPr="00A77AF6">
        <w:t xml:space="preserve">. This gives </w:t>
      </w:r>
      <w:r w:rsidR="00B03FAA" w:rsidRPr="00A77AF6">
        <w:t xml:space="preserve">public </w:t>
      </w:r>
      <w:r w:rsidRPr="00A77AF6">
        <w:t xml:space="preserve">assurance that the scheme is the best use of resources and creates an audit trail to show the basis on which schemes have been approved.  </w:t>
      </w:r>
    </w:p>
    <w:p w14:paraId="1E2DD885" w14:textId="4E3E4892" w:rsidR="00B768E1" w:rsidRPr="00A77AF6" w:rsidRDefault="00B768E1" w:rsidP="00B03FAA">
      <w:pPr>
        <w:tabs>
          <w:tab w:val="num" w:pos="720"/>
          <w:tab w:val="num" w:pos="1440"/>
        </w:tabs>
        <w:spacing w:after="0" w:line="360" w:lineRule="auto"/>
        <w:rPr>
          <w:rFonts w:cstheme="minorHAnsi"/>
        </w:rPr>
      </w:pPr>
      <w:r w:rsidRPr="00A77AF6">
        <w:rPr>
          <w:rFonts w:cstheme="minorHAnsi"/>
        </w:rPr>
        <w:t xml:space="preserve">The UK Government </w:t>
      </w:r>
      <w:r w:rsidR="00602E26" w:rsidRPr="00A77AF6">
        <w:rPr>
          <w:rFonts w:cstheme="minorHAnsi"/>
        </w:rPr>
        <w:t xml:space="preserve">first </w:t>
      </w:r>
      <w:r w:rsidRPr="00A77AF6">
        <w:rPr>
          <w:rFonts w:cstheme="minorHAnsi"/>
        </w:rPr>
        <w:t xml:space="preserve">issued guidance to the </w:t>
      </w:r>
      <w:r w:rsidR="00602E26" w:rsidRPr="00A77AF6">
        <w:rPr>
          <w:rFonts w:cstheme="minorHAnsi"/>
        </w:rPr>
        <w:t xml:space="preserve">NHS for its </w:t>
      </w:r>
      <w:r w:rsidRPr="00A77AF6">
        <w:rPr>
          <w:rFonts w:cstheme="minorHAnsi"/>
        </w:rPr>
        <w:t>capital and operational expenditure in the 1960s to try to reduce the risk of project failure</w:t>
      </w:r>
      <w:r w:rsidR="00141F3D" w:rsidRPr="00A77AF6">
        <w:rPr>
          <w:rFonts w:cstheme="minorHAnsi"/>
        </w:rPr>
        <w:t xml:space="preserve"> a</w:t>
      </w:r>
      <w:r w:rsidR="00602E26" w:rsidRPr="00A77AF6">
        <w:rPr>
          <w:rFonts w:cstheme="minorHAnsi"/>
        </w:rPr>
        <w:t>n</w:t>
      </w:r>
      <w:r w:rsidR="00141F3D" w:rsidRPr="00A77AF6">
        <w:rPr>
          <w:rFonts w:cstheme="minorHAnsi"/>
        </w:rPr>
        <w:t>d overspending</w:t>
      </w:r>
      <w:r w:rsidRPr="00A77AF6">
        <w:rPr>
          <w:rFonts w:cstheme="minorHAnsi"/>
        </w:rPr>
        <w:t>.  Capricode</w:t>
      </w:r>
      <w:r w:rsidR="0059271A" w:rsidRPr="00A77AF6">
        <w:rPr>
          <w:rFonts w:cstheme="minorHAnsi"/>
        </w:rPr>
        <w:t xml:space="preserve"> was </w:t>
      </w:r>
      <w:r w:rsidRPr="00A77AF6">
        <w:rPr>
          <w:rFonts w:cstheme="minorHAnsi"/>
        </w:rPr>
        <w:t>introduced in 1962</w:t>
      </w:r>
      <w:r w:rsidR="0059271A" w:rsidRPr="00A77AF6">
        <w:rPr>
          <w:rFonts w:cstheme="minorHAnsi"/>
        </w:rPr>
        <w:t xml:space="preserve"> </w:t>
      </w:r>
      <w:r w:rsidRPr="00A77AF6">
        <w:rPr>
          <w:rFonts w:cstheme="minorHAnsi"/>
        </w:rPr>
        <w:t xml:space="preserve">in support of the Hospital Plan (1961) </w:t>
      </w:r>
      <w:r w:rsidR="001C79D0" w:rsidRPr="00A77AF6">
        <w:rPr>
          <w:rFonts w:cstheme="minorHAnsi"/>
        </w:rPr>
        <w:t>as a ‘</w:t>
      </w:r>
      <w:r w:rsidRPr="00A77AF6">
        <w:rPr>
          <w:rFonts w:cstheme="minorHAnsi"/>
        </w:rPr>
        <w:t xml:space="preserve">consistent and streamlined approach to capital development that achieves best use of resources’ </w:t>
      </w:r>
      <w:sdt>
        <w:sdtPr>
          <w:rPr>
            <w:rFonts w:cstheme="minorHAnsi"/>
          </w:rPr>
          <w:id w:val="-1579127006"/>
          <w:citation/>
        </w:sdtPr>
        <w:sdtEndPr/>
        <w:sdtContent>
          <w:r w:rsidRPr="00A77AF6">
            <w:rPr>
              <w:rFonts w:cstheme="minorHAnsi"/>
            </w:rPr>
            <w:fldChar w:fldCharType="begin"/>
          </w:r>
          <w:r w:rsidRPr="00A77AF6">
            <w:rPr>
              <w:rFonts w:cstheme="minorHAnsi"/>
            </w:rPr>
            <w:instrText xml:space="preserve">CITATION DHS88 \p 11 \l 2057 </w:instrText>
          </w:r>
          <w:r w:rsidRPr="00A77AF6">
            <w:rPr>
              <w:rFonts w:cstheme="minorHAnsi"/>
            </w:rPr>
            <w:fldChar w:fldCharType="separate"/>
          </w:r>
          <w:r w:rsidR="008E653F" w:rsidRPr="00A77AF6">
            <w:rPr>
              <w:rFonts w:cstheme="minorHAnsi"/>
            </w:rPr>
            <w:t>(DHSS and the Welsh Office, 1988, p. 11)</w:t>
          </w:r>
          <w:r w:rsidRPr="00A77AF6">
            <w:rPr>
              <w:rFonts w:cstheme="minorHAnsi"/>
            </w:rPr>
            <w:fldChar w:fldCharType="end"/>
          </w:r>
        </w:sdtContent>
      </w:sdt>
      <w:r w:rsidR="00602E26" w:rsidRPr="00A77AF6">
        <w:rPr>
          <w:rFonts w:cstheme="minorHAnsi"/>
        </w:rPr>
        <w:t xml:space="preserve">. </w:t>
      </w:r>
      <w:r w:rsidR="00BA0338" w:rsidRPr="00A77AF6">
        <w:rPr>
          <w:rFonts w:cstheme="minorHAnsi"/>
        </w:rPr>
        <w:t>It w</w:t>
      </w:r>
      <w:r w:rsidRPr="00A77AF6">
        <w:rPr>
          <w:rFonts w:cstheme="minorHAnsi"/>
        </w:rPr>
        <w:t>as revised 1967 and 1974</w:t>
      </w:r>
      <w:r w:rsidR="00486AB5" w:rsidRPr="00A77AF6">
        <w:rPr>
          <w:rFonts w:cstheme="minorHAnsi"/>
        </w:rPr>
        <w:t xml:space="preserve"> and superseded by </w:t>
      </w:r>
      <w:r w:rsidR="00D64332" w:rsidRPr="00A77AF6">
        <w:rPr>
          <w:rFonts w:cstheme="minorHAnsi"/>
        </w:rPr>
        <w:t xml:space="preserve">the </w:t>
      </w:r>
      <w:r w:rsidR="00602E26" w:rsidRPr="00A77AF6">
        <w:rPr>
          <w:rFonts w:cstheme="minorHAnsi"/>
        </w:rPr>
        <w:t>CIM</w:t>
      </w:r>
      <w:r w:rsidRPr="00A77AF6">
        <w:rPr>
          <w:rFonts w:cstheme="minorHAnsi"/>
        </w:rPr>
        <w:t xml:space="preserve"> (1994)</w:t>
      </w:r>
      <w:r w:rsidR="005D0759" w:rsidRPr="00A77AF6">
        <w:rPr>
          <w:rFonts w:cstheme="minorHAnsi"/>
        </w:rPr>
        <w:t xml:space="preserve">.  </w:t>
      </w:r>
      <w:r w:rsidR="00602E26" w:rsidRPr="00A77AF6">
        <w:rPr>
          <w:rFonts w:cstheme="minorHAnsi"/>
        </w:rPr>
        <w:t xml:space="preserve">The CIM (1994) </w:t>
      </w:r>
      <w:r w:rsidRPr="00A77AF6">
        <w:rPr>
          <w:rFonts w:cstheme="minorHAnsi"/>
        </w:rPr>
        <w:t>set</w:t>
      </w:r>
      <w:r w:rsidR="00602E26" w:rsidRPr="00A77AF6">
        <w:rPr>
          <w:rFonts w:cstheme="minorHAnsi"/>
        </w:rPr>
        <w:t>s</w:t>
      </w:r>
      <w:r w:rsidRPr="00A77AF6">
        <w:rPr>
          <w:rFonts w:cstheme="minorHAnsi"/>
        </w:rPr>
        <w:t xml:space="preserve"> out stages for project development from the </w:t>
      </w:r>
      <w:r w:rsidR="00932A73" w:rsidRPr="00A77AF6">
        <w:rPr>
          <w:rFonts w:cstheme="minorHAnsi"/>
        </w:rPr>
        <w:t>outline</w:t>
      </w:r>
      <w:r w:rsidRPr="00A77AF6">
        <w:rPr>
          <w:rFonts w:cstheme="minorHAnsi"/>
        </w:rPr>
        <w:t xml:space="preserve"> stage</w:t>
      </w:r>
      <w:r w:rsidR="00932A73" w:rsidRPr="00A77AF6">
        <w:rPr>
          <w:rFonts w:cstheme="minorHAnsi"/>
        </w:rPr>
        <w:t xml:space="preserve">, </w:t>
      </w:r>
      <w:r w:rsidRPr="00A77AF6">
        <w:rPr>
          <w:rFonts w:cstheme="minorHAnsi"/>
        </w:rPr>
        <w:t xml:space="preserve">to the selection of the preferred option and then </w:t>
      </w:r>
      <w:r w:rsidR="00932A73" w:rsidRPr="00A77AF6">
        <w:rPr>
          <w:rFonts w:cstheme="minorHAnsi"/>
        </w:rPr>
        <w:t>the</w:t>
      </w:r>
      <w:r w:rsidRPr="00A77AF6">
        <w:rPr>
          <w:rFonts w:cstheme="minorHAnsi"/>
        </w:rPr>
        <w:t xml:space="preserve"> point </w:t>
      </w:r>
      <w:r w:rsidR="00932A73" w:rsidRPr="00A77AF6">
        <w:rPr>
          <w:rFonts w:cstheme="minorHAnsi"/>
        </w:rPr>
        <w:t xml:space="preserve">at which the </w:t>
      </w:r>
      <w:r w:rsidRPr="00A77AF6">
        <w:rPr>
          <w:rFonts w:cstheme="minorHAnsi"/>
        </w:rPr>
        <w:t xml:space="preserve">contract </w:t>
      </w:r>
      <w:r w:rsidR="00932A73" w:rsidRPr="00A77AF6">
        <w:rPr>
          <w:rFonts w:cstheme="minorHAnsi"/>
        </w:rPr>
        <w:t>i</w:t>
      </w:r>
      <w:r w:rsidRPr="00A77AF6">
        <w:rPr>
          <w:rFonts w:cstheme="minorHAnsi"/>
        </w:rPr>
        <w:t xml:space="preserve">s let.  The reason for the introduction of the CIM (1994) was explicit: </w:t>
      </w:r>
    </w:p>
    <w:p w14:paraId="5FD8398F" w14:textId="2D592301" w:rsidR="00B768E1" w:rsidRPr="00A77AF6" w:rsidRDefault="00B768E1" w:rsidP="00141F3D">
      <w:pPr>
        <w:spacing w:after="240" w:line="240" w:lineRule="auto"/>
        <w:ind w:left="720"/>
        <w:rPr>
          <w:rFonts w:cstheme="minorHAnsi"/>
        </w:rPr>
      </w:pPr>
      <w:r w:rsidRPr="00A77AF6">
        <w:rPr>
          <w:rFonts w:cstheme="minorHAnsi"/>
          <w:i/>
        </w:rPr>
        <w:t>‘</w:t>
      </w:r>
      <w:r w:rsidRPr="00A77AF6">
        <w:rPr>
          <w:rFonts w:eastAsia="Times New Roman" w:cstheme="minorHAnsi"/>
          <w:i/>
          <w:lang w:eastAsia="en-GB"/>
        </w:rPr>
        <w:t>Failure to deliver to time and on cost will have an adverse impact on patient services and the long run viability of a Trust.’</w:t>
      </w:r>
      <w:r w:rsidRPr="00A77AF6">
        <w:rPr>
          <w:rFonts w:eastAsia="Times New Roman" w:cstheme="minorHAnsi"/>
          <w:lang w:eastAsia="en-GB"/>
        </w:rPr>
        <w:t xml:space="preserve"> (NHS Executive, 1994 forward) </w:t>
      </w:r>
    </w:p>
    <w:p w14:paraId="05251B96" w14:textId="513C8C43" w:rsidR="00B768E1" w:rsidRPr="00A77AF6" w:rsidRDefault="00B768E1" w:rsidP="00B03FAA">
      <w:pPr>
        <w:tabs>
          <w:tab w:val="num" w:pos="720"/>
          <w:tab w:val="num" w:pos="1440"/>
        </w:tabs>
        <w:spacing w:after="0" w:line="360" w:lineRule="auto"/>
        <w:rPr>
          <w:rFonts w:cstheme="minorHAnsi"/>
        </w:rPr>
      </w:pPr>
      <w:r w:rsidRPr="00A77AF6">
        <w:rPr>
          <w:rFonts w:cstheme="minorHAnsi"/>
        </w:rPr>
        <w:t xml:space="preserve">The CIM (1994) clearly linked the cost of </w:t>
      </w:r>
      <w:r w:rsidR="00DA03C0" w:rsidRPr="00A77AF6">
        <w:rPr>
          <w:rFonts w:cstheme="minorHAnsi"/>
        </w:rPr>
        <w:t xml:space="preserve">poor </w:t>
      </w:r>
      <w:r w:rsidRPr="00A77AF6">
        <w:rPr>
          <w:rFonts w:cstheme="minorHAnsi"/>
        </w:rPr>
        <w:t xml:space="preserve">project </w:t>
      </w:r>
      <w:r w:rsidR="00DA03C0" w:rsidRPr="00A77AF6">
        <w:rPr>
          <w:rFonts w:cstheme="minorHAnsi"/>
        </w:rPr>
        <w:t xml:space="preserve">performance </w:t>
      </w:r>
      <w:r w:rsidRPr="00A77AF6">
        <w:rPr>
          <w:rFonts w:cstheme="minorHAnsi"/>
        </w:rPr>
        <w:t xml:space="preserve">to the </w:t>
      </w:r>
      <w:r w:rsidR="00B03FAA" w:rsidRPr="00A77AF6">
        <w:rPr>
          <w:rFonts w:cstheme="minorHAnsi"/>
        </w:rPr>
        <w:t>viability of</w:t>
      </w:r>
      <w:r w:rsidRPr="00A77AF6">
        <w:rPr>
          <w:rFonts w:cstheme="minorHAnsi"/>
        </w:rPr>
        <w:t xml:space="preserve"> the NHS.  </w:t>
      </w:r>
      <w:r w:rsidR="00D64332" w:rsidRPr="00A77AF6">
        <w:rPr>
          <w:rFonts w:cstheme="minorHAnsi"/>
        </w:rPr>
        <w:t>Th</w:t>
      </w:r>
      <w:r w:rsidRPr="00A77AF6">
        <w:rPr>
          <w:rFonts w:cstheme="minorHAnsi"/>
        </w:rPr>
        <w:t xml:space="preserve">e UK Treasury’s Green Book Appraisal and Evaluation </w:t>
      </w:r>
      <w:r w:rsidR="00D64332" w:rsidRPr="00A77AF6">
        <w:rPr>
          <w:rFonts w:cstheme="minorHAnsi"/>
        </w:rPr>
        <w:t>(2003) issued by</w:t>
      </w:r>
      <w:r w:rsidRPr="00A77AF6">
        <w:rPr>
          <w:rFonts w:cstheme="minorHAnsi"/>
        </w:rPr>
        <w:t xml:space="preserve"> </w:t>
      </w:r>
      <w:r w:rsidR="00D64332" w:rsidRPr="00A77AF6">
        <w:rPr>
          <w:rFonts w:cstheme="minorHAnsi"/>
        </w:rPr>
        <w:t>c</w:t>
      </w:r>
      <w:r w:rsidRPr="00A77AF6">
        <w:rPr>
          <w:rFonts w:cstheme="minorHAnsi"/>
        </w:rPr>
        <w:t xml:space="preserve">entral </w:t>
      </w:r>
      <w:r w:rsidR="00D64332" w:rsidRPr="00A77AF6">
        <w:rPr>
          <w:rFonts w:cstheme="minorHAnsi"/>
        </w:rPr>
        <w:t>g</w:t>
      </w:r>
      <w:r w:rsidRPr="00A77AF6">
        <w:rPr>
          <w:rFonts w:cstheme="minorHAnsi"/>
        </w:rPr>
        <w:t xml:space="preserve">overnment </w:t>
      </w:r>
      <w:r w:rsidR="00B03FAA" w:rsidRPr="00A77AF6">
        <w:rPr>
          <w:rFonts w:cstheme="minorHAnsi"/>
        </w:rPr>
        <w:t xml:space="preserve">defined </w:t>
      </w:r>
      <w:r w:rsidRPr="00A77AF6">
        <w:rPr>
          <w:rFonts w:cstheme="minorHAnsi"/>
        </w:rPr>
        <w:t>the requirements for public sector expenditure</w:t>
      </w:r>
      <w:r w:rsidR="00D64332" w:rsidRPr="00A77AF6">
        <w:rPr>
          <w:rFonts w:cstheme="minorHAnsi"/>
        </w:rPr>
        <w:t xml:space="preserve"> across all government departments so</w:t>
      </w:r>
      <w:r w:rsidRPr="00A77AF6">
        <w:rPr>
          <w:rFonts w:cstheme="minorHAnsi"/>
        </w:rPr>
        <w:t xml:space="preserve">, </w:t>
      </w:r>
    </w:p>
    <w:p w14:paraId="7BA00DE6" w14:textId="6EA8275E" w:rsidR="00B768E1" w:rsidRPr="00A77AF6" w:rsidRDefault="00B768E1" w:rsidP="009562A5">
      <w:pPr>
        <w:tabs>
          <w:tab w:val="num" w:pos="720"/>
          <w:tab w:val="num" w:pos="1440"/>
        </w:tabs>
        <w:spacing w:line="240" w:lineRule="auto"/>
        <w:ind w:left="720"/>
        <w:rPr>
          <w:rFonts w:eastAsia="Times New Roman" w:cstheme="minorHAnsi"/>
          <w:lang w:eastAsia="en-GB"/>
        </w:rPr>
      </w:pPr>
      <w:r w:rsidRPr="00A77AF6">
        <w:rPr>
          <w:rFonts w:cstheme="minorHAnsi"/>
          <w:i/>
        </w:rPr>
        <w:t>‘</w:t>
      </w:r>
      <w:r w:rsidRPr="00A77AF6">
        <w:rPr>
          <w:rFonts w:eastAsia="Times New Roman" w:cstheme="minorHAnsi"/>
          <w:i/>
          <w:lang w:eastAsia="en-GB"/>
        </w:rPr>
        <w:t>that no policy, programme or project is adopted without first having the answer to these questions: Are there better ways to achieve this objective? Are there better uses for these resources?</w:t>
      </w:r>
      <w:r w:rsidRPr="00A77AF6">
        <w:rPr>
          <w:rFonts w:eastAsia="Times New Roman" w:cstheme="minorHAnsi"/>
          <w:lang w:eastAsia="en-GB"/>
        </w:rPr>
        <w:t xml:space="preserve"> </w:t>
      </w:r>
      <w:sdt>
        <w:sdtPr>
          <w:rPr>
            <w:rFonts w:eastAsia="Times New Roman" w:cstheme="minorHAnsi"/>
            <w:lang w:eastAsia="en-GB"/>
          </w:rPr>
          <w:id w:val="-931668282"/>
          <w:citation/>
        </w:sdtPr>
        <w:sdtEndPr/>
        <w:sdtContent>
          <w:r w:rsidRPr="00A77AF6">
            <w:rPr>
              <w:rFonts w:eastAsia="Times New Roman" w:cstheme="minorHAnsi"/>
              <w:lang w:eastAsia="en-GB"/>
            </w:rPr>
            <w:fldChar w:fldCharType="begin"/>
          </w:r>
          <w:r w:rsidRPr="00A77AF6">
            <w:rPr>
              <w:rFonts w:eastAsia="Times New Roman" w:cstheme="minorHAnsi"/>
              <w:lang w:eastAsia="en-GB"/>
            </w:rPr>
            <w:instrText xml:space="preserve">CITATION HMT03 \p 1 \l 2057 </w:instrText>
          </w:r>
          <w:r w:rsidRPr="00A77AF6">
            <w:rPr>
              <w:rFonts w:eastAsia="Times New Roman" w:cstheme="minorHAnsi"/>
              <w:lang w:eastAsia="en-GB"/>
            </w:rPr>
            <w:fldChar w:fldCharType="separate"/>
          </w:r>
          <w:r w:rsidR="008E653F" w:rsidRPr="00A77AF6">
            <w:rPr>
              <w:rFonts w:eastAsia="Times New Roman" w:cstheme="minorHAnsi"/>
              <w:lang w:eastAsia="en-GB"/>
            </w:rPr>
            <w:t>(HM Treasury, 2003, p. 1)</w:t>
          </w:r>
          <w:r w:rsidRPr="00A77AF6">
            <w:rPr>
              <w:rFonts w:eastAsia="Times New Roman" w:cstheme="minorHAnsi"/>
              <w:lang w:eastAsia="en-GB"/>
            </w:rPr>
            <w:fldChar w:fldCharType="end"/>
          </w:r>
        </w:sdtContent>
      </w:sdt>
    </w:p>
    <w:p w14:paraId="387CC0F6" w14:textId="49F49A89" w:rsidR="00096B23" w:rsidRPr="00A77AF6" w:rsidRDefault="00B768E1" w:rsidP="00EA0ED9">
      <w:pPr>
        <w:spacing w:line="360" w:lineRule="auto"/>
      </w:pPr>
      <w:r w:rsidRPr="00A77AF6">
        <w:rPr>
          <w:rFonts w:cstheme="minorHAnsi"/>
        </w:rPr>
        <w:t xml:space="preserve">The development of project governance processes </w:t>
      </w:r>
      <w:r w:rsidR="00486AB5" w:rsidRPr="00A77AF6">
        <w:rPr>
          <w:rFonts w:cstheme="minorHAnsi"/>
        </w:rPr>
        <w:t>was</w:t>
      </w:r>
      <w:r w:rsidRPr="00A77AF6">
        <w:rPr>
          <w:rFonts w:cstheme="minorHAnsi"/>
        </w:rPr>
        <w:t xml:space="preserve"> a response to the</w:t>
      </w:r>
      <w:r w:rsidR="00D64332" w:rsidRPr="00A77AF6">
        <w:rPr>
          <w:rFonts w:cstheme="minorHAnsi"/>
        </w:rPr>
        <w:t xml:space="preserve"> perceived </w:t>
      </w:r>
      <w:r w:rsidRPr="00A77AF6">
        <w:rPr>
          <w:rFonts w:cstheme="minorHAnsi"/>
        </w:rPr>
        <w:t xml:space="preserve"> need to exercise control over projects</w:t>
      </w:r>
      <w:r w:rsidR="00141F3D" w:rsidRPr="00A77AF6">
        <w:rPr>
          <w:rFonts w:cstheme="minorHAnsi"/>
        </w:rPr>
        <w:t xml:space="preserve"> to avoid wasting resources</w:t>
      </w:r>
      <w:r w:rsidRPr="00A77AF6">
        <w:rPr>
          <w:rFonts w:cstheme="minorHAnsi"/>
        </w:rPr>
        <w:t xml:space="preserve">.  </w:t>
      </w:r>
      <w:r w:rsidR="00B03FAA" w:rsidRPr="00A77AF6">
        <w:rPr>
          <w:rFonts w:cstheme="minorHAnsi"/>
        </w:rPr>
        <w:t>The UK government developed other guidance to support the development of capital projects in</w:t>
      </w:r>
      <w:r w:rsidR="007000FC" w:rsidRPr="00A77AF6">
        <w:rPr>
          <w:rFonts w:cstheme="minorHAnsi"/>
        </w:rPr>
        <w:t xml:space="preserve"> central government</w:t>
      </w:r>
      <w:r w:rsidR="00EA0ED9" w:rsidRPr="00A77AF6">
        <w:rPr>
          <w:rFonts w:cstheme="minorHAnsi"/>
        </w:rPr>
        <w:t xml:space="preserve"> which were appli</w:t>
      </w:r>
      <w:r w:rsidR="00963B73">
        <w:rPr>
          <w:rFonts w:cstheme="minorHAnsi"/>
        </w:rPr>
        <w:t>c</w:t>
      </w:r>
      <w:r w:rsidR="00EA0ED9" w:rsidRPr="00A77AF6">
        <w:rPr>
          <w:rFonts w:cstheme="minorHAnsi"/>
        </w:rPr>
        <w:t xml:space="preserve">able to the NHS. </w:t>
      </w:r>
      <w:r w:rsidR="00B03FAA" w:rsidRPr="00A77AF6">
        <w:rPr>
          <w:rFonts w:cstheme="minorHAnsi"/>
        </w:rPr>
        <w:t xml:space="preserve">  </w:t>
      </w:r>
    </w:p>
    <w:p w14:paraId="1B3C333D" w14:textId="4EF56CF6" w:rsidR="00F172FD" w:rsidRPr="00A77AF6" w:rsidRDefault="00F172FD" w:rsidP="00EA0ED9">
      <w:pPr>
        <w:pStyle w:val="Heading4"/>
        <w:numPr>
          <w:ilvl w:val="0"/>
          <w:numId w:val="0"/>
        </w:numPr>
        <w:spacing w:after="120"/>
        <w:ind w:left="862" w:hanging="862"/>
      </w:pPr>
      <w:r w:rsidRPr="00A77AF6">
        <w:lastRenderedPageBreak/>
        <w:t>Central Government Processes</w:t>
      </w:r>
      <w:r w:rsidR="00FC11FD" w:rsidRPr="00A77AF6">
        <w:t xml:space="preserve"> and Guidance</w:t>
      </w:r>
    </w:p>
    <w:p w14:paraId="1D22B5E2" w14:textId="7DF90BB2" w:rsidR="00D64332" w:rsidRPr="00A77AF6" w:rsidRDefault="005A7D9D" w:rsidP="00D64332">
      <w:pPr>
        <w:spacing w:after="120" w:line="360" w:lineRule="auto"/>
        <w:rPr>
          <w:u w:val="single"/>
        </w:rPr>
      </w:pPr>
      <w:r w:rsidRPr="00A77AF6">
        <w:t>T</w:t>
      </w:r>
      <w:r w:rsidR="00D64332" w:rsidRPr="00A77AF6">
        <w:t>he processes and guidance established by central government for the procurement of capital projects in the public sector and the specific processes for the procurement of NHS capital projects</w:t>
      </w:r>
      <w:r w:rsidRPr="00A77AF6">
        <w:t xml:space="preserve"> are described </w:t>
      </w:r>
      <w:r w:rsidR="00C05F94" w:rsidRPr="00A77AF6">
        <w:t>below.</w:t>
      </w:r>
    </w:p>
    <w:p w14:paraId="23E66618" w14:textId="42F49348" w:rsidR="0046337C" w:rsidRPr="00A77AF6" w:rsidRDefault="0046337C" w:rsidP="00B03FAA">
      <w:pPr>
        <w:spacing w:after="0" w:line="360" w:lineRule="auto"/>
        <w:rPr>
          <w:u w:val="single"/>
        </w:rPr>
      </w:pPr>
      <w:r w:rsidRPr="00A77AF6">
        <w:rPr>
          <w:u w:val="single"/>
        </w:rPr>
        <w:t xml:space="preserve">The Treasury Green Book </w:t>
      </w:r>
    </w:p>
    <w:p w14:paraId="089FE964" w14:textId="57170C2C" w:rsidR="0046337C" w:rsidRPr="00A77AF6" w:rsidRDefault="0046337C" w:rsidP="00FC11FD">
      <w:pPr>
        <w:spacing w:after="240" w:line="360" w:lineRule="auto"/>
        <w:rPr>
          <w:u w:val="single"/>
        </w:rPr>
      </w:pPr>
      <w:r w:rsidRPr="00A77AF6">
        <w:t xml:space="preserve">The HM Treasury’s Green Book (2003, 2018) governs the </w:t>
      </w:r>
      <w:r w:rsidR="004436D3" w:rsidRPr="00A77AF6">
        <w:t xml:space="preserve">entirety </w:t>
      </w:r>
      <w:r w:rsidRPr="00A77AF6">
        <w:t xml:space="preserve">of the public sector </w:t>
      </w:r>
      <w:r w:rsidR="004436D3" w:rsidRPr="00A77AF6">
        <w:t>for</w:t>
      </w:r>
      <w:r w:rsidRPr="00A77AF6">
        <w:t xml:space="preserve"> the appraisal of schemes to ensure that only the right </w:t>
      </w:r>
      <w:r w:rsidR="004436D3" w:rsidRPr="00A77AF6">
        <w:t xml:space="preserve">ones </w:t>
      </w:r>
      <w:r w:rsidRPr="00A77AF6">
        <w:t>are developed and those that are developed are delivered to time, cost and quality.  Its use is mandatory</w:t>
      </w:r>
      <w:r w:rsidR="003D5229" w:rsidRPr="00A77AF6">
        <w:t xml:space="preserve"> for the development and appraisal of projects. </w:t>
      </w:r>
      <w:r w:rsidRPr="00A77AF6">
        <w:t xml:space="preserve"> </w:t>
      </w:r>
    </w:p>
    <w:p w14:paraId="1CF97C7E" w14:textId="6C520B00" w:rsidR="003D5229" w:rsidRPr="00A77AF6" w:rsidRDefault="003D5229" w:rsidP="00B03FAA">
      <w:pPr>
        <w:spacing w:after="0" w:line="360" w:lineRule="auto"/>
        <w:rPr>
          <w:u w:val="single"/>
        </w:rPr>
      </w:pPr>
      <w:r w:rsidRPr="00A77AF6">
        <w:rPr>
          <w:u w:val="single"/>
        </w:rPr>
        <w:t>Guide to Developing the Business Case</w:t>
      </w:r>
    </w:p>
    <w:p w14:paraId="16FFFAB0" w14:textId="25C23DD9" w:rsidR="00FC11FD" w:rsidRPr="00A77AF6" w:rsidRDefault="003D5229" w:rsidP="00FC11FD">
      <w:pPr>
        <w:spacing w:after="240" w:line="360" w:lineRule="auto"/>
        <w:rPr>
          <w:u w:val="single"/>
        </w:rPr>
      </w:pPr>
      <w:r w:rsidRPr="00A77AF6">
        <w:t>Published in 2018 this guidance document is aligned with the Green Book</w:t>
      </w:r>
      <w:r w:rsidR="00FC11FD" w:rsidRPr="00A77AF6">
        <w:t xml:space="preserve"> and applied cross-government</w:t>
      </w:r>
      <w:r w:rsidRPr="00A77AF6">
        <w:t>. It specifies the structure and content of business cases, advises project teams how to write business cases and reminds them of the importance of Gateway</w:t>
      </w:r>
      <w:r w:rsidR="005B6B0A" w:rsidRPr="00A77AF6">
        <w:t>™</w:t>
      </w:r>
      <w:r w:rsidRPr="00A77AF6">
        <w:t xml:space="preserve"> reviews</w:t>
      </w:r>
      <w:r w:rsidR="005B6B0A" w:rsidRPr="00A77AF6">
        <w:t xml:space="preserve"> and</w:t>
      </w:r>
      <w:r w:rsidR="00FC11FD" w:rsidRPr="00A77AF6">
        <w:t xml:space="preserve"> project assurance. It explains the need to </w:t>
      </w:r>
      <w:r w:rsidR="000743F9" w:rsidRPr="00A77AF6">
        <w:t xml:space="preserve">write </w:t>
      </w:r>
      <w:r w:rsidR="00FC11FD" w:rsidRPr="00A77AF6">
        <w:t>business cases at various stages of a project:</w:t>
      </w:r>
      <w:r w:rsidR="00963B73">
        <w:t xml:space="preserve"> firstly, </w:t>
      </w:r>
      <w:r w:rsidR="00FC11FD" w:rsidRPr="00A77AF6">
        <w:t xml:space="preserve">the </w:t>
      </w:r>
      <w:r w:rsidR="00963B73">
        <w:t>s</w:t>
      </w:r>
      <w:r w:rsidR="00FC11FD" w:rsidRPr="00A77AF6">
        <w:t xml:space="preserve">trategic </w:t>
      </w:r>
      <w:r w:rsidR="00963B73">
        <w:t>o</w:t>
      </w:r>
      <w:r w:rsidR="00FC11FD" w:rsidRPr="00A77AF6">
        <w:t xml:space="preserve">utline </w:t>
      </w:r>
      <w:r w:rsidR="00963B73">
        <w:t>c</w:t>
      </w:r>
      <w:r w:rsidR="00FC11FD" w:rsidRPr="00A77AF6">
        <w:t>ase</w:t>
      </w:r>
      <w:r w:rsidR="000743F9" w:rsidRPr="00A77AF6">
        <w:t xml:space="preserve"> </w:t>
      </w:r>
      <w:r w:rsidR="00FC11FD" w:rsidRPr="00A77AF6">
        <w:t xml:space="preserve">(SOC) at the earliest stage; </w:t>
      </w:r>
      <w:r w:rsidR="00963B73">
        <w:t>secondly the o</w:t>
      </w:r>
      <w:r w:rsidR="00FC11FD" w:rsidRPr="00A77AF6">
        <w:t xml:space="preserve">utline </w:t>
      </w:r>
      <w:r w:rsidR="00963B73">
        <w:t>b</w:t>
      </w:r>
      <w:r w:rsidR="00FC11FD" w:rsidRPr="00A77AF6">
        <w:t xml:space="preserve">usiness </w:t>
      </w:r>
      <w:r w:rsidR="00963B73">
        <w:t>c</w:t>
      </w:r>
      <w:r w:rsidR="00FC11FD" w:rsidRPr="00A77AF6">
        <w:t xml:space="preserve">ase (OBC) to </w:t>
      </w:r>
      <w:r w:rsidR="00176A24" w:rsidRPr="00A77AF6">
        <w:t xml:space="preserve">demonstrate that the chosen solution is the </w:t>
      </w:r>
      <w:r w:rsidR="00FC11FD" w:rsidRPr="00A77AF6">
        <w:t xml:space="preserve">best value for money project and </w:t>
      </w:r>
      <w:r w:rsidR="00963B73">
        <w:t xml:space="preserve">finally </w:t>
      </w:r>
      <w:r w:rsidR="00FC11FD" w:rsidRPr="00A77AF6">
        <w:t xml:space="preserve">the </w:t>
      </w:r>
      <w:r w:rsidR="00932A73" w:rsidRPr="00A77AF6">
        <w:t>f</w:t>
      </w:r>
      <w:r w:rsidR="00FC11FD" w:rsidRPr="00A77AF6">
        <w:t xml:space="preserve">ull </w:t>
      </w:r>
      <w:r w:rsidR="00932A73" w:rsidRPr="00A77AF6">
        <w:t>b</w:t>
      </w:r>
      <w:r w:rsidR="00FC11FD" w:rsidRPr="00A77AF6">
        <w:t xml:space="preserve">usiness </w:t>
      </w:r>
      <w:r w:rsidR="00932A73" w:rsidRPr="00A77AF6">
        <w:t>c</w:t>
      </w:r>
      <w:r w:rsidR="00FC11FD" w:rsidRPr="00A77AF6">
        <w:t xml:space="preserve">ase (FBC) at the procurement stage. </w:t>
      </w:r>
    </w:p>
    <w:p w14:paraId="4C4AFD23" w14:textId="22018E76" w:rsidR="0046337C" w:rsidRPr="00A77AF6" w:rsidRDefault="0046337C" w:rsidP="00B03FAA">
      <w:pPr>
        <w:spacing w:after="0" w:line="360" w:lineRule="auto"/>
        <w:rPr>
          <w:u w:val="single"/>
        </w:rPr>
      </w:pPr>
      <w:r w:rsidRPr="00A77AF6">
        <w:rPr>
          <w:u w:val="single"/>
        </w:rPr>
        <w:t xml:space="preserve">OGC </w:t>
      </w:r>
      <w:r w:rsidR="00A052CD">
        <w:rPr>
          <w:u w:val="single"/>
        </w:rPr>
        <w:t>(</w:t>
      </w:r>
      <w:r w:rsidRPr="00A77AF6">
        <w:rPr>
          <w:u w:val="single"/>
        </w:rPr>
        <w:t>Office of Government Commerce</w:t>
      </w:r>
      <w:r w:rsidR="00A052CD">
        <w:rPr>
          <w:u w:val="single"/>
        </w:rPr>
        <w:t>)</w:t>
      </w:r>
    </w:p>
    <w:p w14:paraId="048E05FB" w14:textId="609F3482" w:rsidR="00851B29" w:rsidRPr="00A77AF6" w:rsidRDefault="00B03FAA" w:rsidP="00F172FD">
      <w:pPr>
        <w:spacing w:after="0" w:line="360" w:lineRule="auto"/>
      </w:pPr>
      <w:r w:rsidRPr="00A77AF6">
        <w:t>The UK Government established the OGC</w:t>
      </w:r>
      <w:r w:rsidR="00F172FD" w:rsidRPr="00A77AF6">
        <w:t xml:space="preserve"> to</w:t>
      </w:r>
      <w:r w:rsidR="00D056AB" w:rsidRPr="00A77AF6">
        <w:t xml:space="preserve"> </w:t>
      </w:r>
      <w:r w:rsidRPr="00A77AF6">
        <w:t xml:space="preserve">provide guidance for the effective management of public sector projects. </w:t>
      </w:r>
      <w:r w:rsidR="00F172FD" w:rsidRPr="00A77AF6">
        <w:t xml:space="preserve">The OGC introduced </w:t>
      </w:r>
      <w:r w:rsidRPr="00A77AF6">
        <w:t>Gateway™ reviews</w:t>
      </w:r>
      <w:r w:rsidR="00D056AB" w:rsidRPr="00A77AF6">
        <w:t xml:space="preserve">, which </w:t>
      </w:r>
      <w:r w:rsidR="00EE149A" w:rsidRPr="00A77AF6">
        <w:t xml:space="preserve">are </w:t>
      </w:r>
      <w:r w:rsidR="00D056AB" w:rsidRPr="00A77AF6">
        <w:t xml:space="preserve">independent reviews by experienced project professionals </w:t>
      </w:r>
      <w:r w:rsidR="00EE149A" w:rsidRPr="00A77AF6">
        <w:t xml:space="preserve">of projects </w:t>
      </w:r>
      <w:r w:rsidR="00A052CD">
        <w:t>at</w:t>
      </w:r>
      <w:r w:rsidR="00EE149A" w:rsidRPr="00A77AF6">
        <w:t xml:space="preserve"> key stage boundaries</w:t>
      </w:r>
      <w:r w:rsidR="00A052CD">
        <w:t xml:space="preserve">.  These </w:t>
      </w:r>
      <w:r w:rsidR="00D056AB" w:rsidRPr="00A77AF6">
        <w:t xml:space="preserve">give </w:t>
      </w:r>
      <w:r w:rsidRPr="00A77AF6">
        <w:t>Senior Responsible Owners (SRO)</w:t>
      </w:r>
      <w:r w:rsidR="00D056AB" w:rsidRPr="00A77AF6">
        <w:t xml:space="preserve"> assurance about their project</w:t>
      </w:r>
      <w:r w:rsidR="00F172FD" w:rsidRPr="00A77AF6">
        <w:t xml:space="preserve">, </w:t>
      </w:r>
      <w:r w:rsidR="00D056AB" w:rsidRPr="00A77AF6">
        <w:t>and suggest remedial action where needed</w:t>
      </w:r>
      <w:r w:rsidR="00096B23" w:rsidRPr="00A77AF6">
        <w:t xml:space="preserve"> to ensure project success (</w:t>
      </w:r>
      <w:r w:rsidRPr="00A77AF6">
        <w:t>OGC</w:t>
      </w:r>
      <w:r w:rsidR="00096B23" w:rsidRPr="00A77AF6">
        <w:t>, 2011)</w:t>
      </w:r>
      <w:r w:rsidR="00F172FD" w:rsidRPr="00A77AF6">
        <w:t xml:space="preserve">.  </w:t>
      </w:r>
      <w:r w:rsidR="00EE149A" w:rsidRPr="00A77AF6">
        <w:t>In the NHS Gateway</w:t>
      </w:r>
      <w:r w:rsidR="00F433AA" w:rsidRPr="00A77AF6">
        <w:t>™</w:t>
      </w:r>
      <w:r w:rsidR="00EE149A" w:rsidRPr="00A77AF6">
        <w:t xml:space="preserve"> reviews were mandatory on projects designated as high risk. </w:t>
      </w:r>
      <w:r w:rsidRPr="00A77AF6">
        <w:t xml:space="preserve">The OGC </w:t>
      </w:r>
      <w:r w:rsidR="00E0123D" w:rsidRPr="00A77AF6">
        <w:t>(2004)</w:t>
      </w:r>
      <w:r w:rsidR="00F172FD" w:rsidRPr="00A77AF6">
        <w:t xml:space="preserve"> also </w:t>
      </w:r>
      <w:r w:rsidR="00E0123D" w:rsidRPr="00A77AF6">
        <w:t xml:space="preserve">listed </w:t>
      </w:r>
      <w:r w:rsidRPr="00A77AF6">
        <w:t>‘8 Common Causes of Project Failure’</w:t>
      </w:r>
      <w:r w:rsidR="00E0123D" w:rsidRPr="00A77AF6">
        <w:t xml:space="preserve"> that </w:t>
      </w:r>
      <w:r w:rsidR="00EE149A" w:rsidRPr="00A77AF6">
        <w:t xml:space="preserve">must be managed </w:t>
      </w:r>
      <w:r w:rsidR="00E0123D" w:rsidRPr="00A77AF6">
        <w:t>to avoid failure.  These are</w:t>
      </w:r>
      <w:r w:rsidR="00851B29" w:rsidRPr="00A77AF6">
        <w:t xml:space="preserve"> the </w:t>
      </w:r>
    </w:p>
    <w:p w14:paraId="16A2E29F" w14:textId="36D5CC3F" w:rsidR="00851B29" w:rsidRPr="00A77AF6" w:rsidRDefault="00851B29" w:rsidP="003D2A57">
      <w:pPr>
        <w:pStyle w:val="ListParagraph"/>
        <w:numPr>
          <w:ilvl w:val="0"/>
          <w:numId w:val="13"/>
        </w:numPr>
        <w:spacing w:line="240" w:lineRule="auto"/>
        <w:rPr>
          <w:i/>
          <w:iCs/>
        </w:rPr>
      </w:pPr>
      <w:r w:rsidRPr="00A77AF6">
        <w:rPr>
          <w:i/>
          <w:iCs/>
        </w:rPr>
        <w:t xml:space="preserve">‘Lack of clear links between the project and the organization’s key strategic priorities, </w:t>
      </w:r>
    </w:p>
    <w:p w14:paraId="666EC486" w14:textId="77777777" w:rsidR="00851B29" w:rsidRPr="00A77AF6" w:rsidRDefault="00851B29" w:rsidP="003D2A57">
      <w:pPr>
        <w:pStyle w:val="ListParagraph"/>
        <w:numPr>
          <w:ilvl w:val="0"/>
          <w:numId w:val="13"/>
        </w:numPr>
        <w:spacing w:line="240" w:lineRule="auto"/>
        <w:rPr>
          <w:i/>
          <w:iCs/>
        </w:rPr>
      </w:pPr>
      <w:r w:rsidRPr="00A77AF6">
        <w:rPr>
          <w:i/>
          <w:iCs/>
        </w:rPr>
        <w:t>Lack of clear senior management and ministerial ownership and leadership,</w:t>
      </w:r>
    </w:p>
    <w:p w14:paraId="4CD16F0D" w14:textId="6AC7D4E7" w:rsidR="00851B29" w:rsidRPr="00A77AF6" w:rsidRDefault="00851B29" w:rsidP="003D2A57">
      <w:pPr>
        <w:pStyle w:val="ListParagraph"/>
        <w:numPr>
          <w:ilvl w:val="0"/>
          <w:numId w:val="13"/>
        </w:numPr>
        <w:spacing w:line="240" w:lineRule="auto"/>
        <w:rPr>
          <w:i/>
          <w:iCs/>
        </w:rPr>
      </w:pPr>
      <w:r w:rsidRPr="00A77AF6">
        <w:rPr>
          <w:i/>
          <w:iCs/>
        </w:rPr>
        <w:t>Lack of effective engagement with stakeholders,</w:t>
      </w:r>
    </w:p>
    <w:p w14:paraId="640AD384" w14:textId="2A6B206E" w:rsidR="00851B29" w:rsidRPr="00A77AF6" w:rsidRDefault="00851B29" w:rsidP="003D2A57">
      <w:pPr>
        <w:pStyle w:val="ListParagraph"/>
        <w:numPr>
          <w:ilvl w:val="0"/>
          <w:numId w:val="13"/>
        </w:numPr>
        <w:spacing w:line="240" w:lineRule="auto"/>
        <w:rPr>
          <w:i/>
          <w:iCs/>
        </w:rPr>
      </w:pPr>
      <w:r w:rsidRPr="00A77AF6">
        <w:rPr>
          <w:i/>
          <w:iCs/>
        </w:rPr>
        <w:t xml:space="preserve">Too little attention to breaking development and implementation into manageable steps, </w:t>
      </w:r>
    </w:p>
    <w:p w14:paraId="46185B12" w14:textId="17804DE8" w:rsidR="00851B29" w:rsidRPr="00A77AF6" w:rsidRDefault="00851B29" w:rsidP="003D2A57">
      <w:pPr>
        <w:pStyle w:val="ListParagraph"/>
        <w:numPr>
          <w:ilvl w:val="0"/>
          <w:numId w:val="13"/>
        </w:numPr>
        <w:spacing w:line="240" w:lineRule="auto"/>
        <w:rPr>
          <w:i/>
          <w:iCs/>
        </w:rPr>
      </w:pPr>
      <w:r w:rsidRPr="00A77AF6">
        <w:rPr>
          <w:i/>
          <w:iCs/>
        </w:rPr>
        <w:t>Evaluation of proposals driven by initial price rather than long-term value for money,</w:t>
      </w:r>
    </w:p>
    <w:p w14:paraId="2A1C4FCA" w14:textId="0B42A412" w:rsidR="00851B29" w:rsidRPr="00A77AF6" w:rsidRDefault="00851B29" w:rsidP="003D2A57">
      <w:pPr>
        <w:pStyle w:val="ListParagraph"/>
        <w:numPr>
          <w:ilvl w:val="0"/>
          <w:numId w:val="13"/>
        </w:numPr>
        <w:spacing w:line="240" w:lineRule="auto"/>
        <w:rPr>
          <w:i/>
          <w:iCs/>
        </w:rPr>
      </w:pPr>
      <w:r w:rsidRPr="00A77AF6">
        <w:rPr>
          <w:i/>
          <w:iCs/>
        </w:rPr>
        <w:t xml:space="preserve">Lack of understanding of, and contact with, the supply industry at senior levels in the organization, </w:t>
      </w:r>
    </w:p>
    <w:p w14:paraId="22EBB7A5" w14:textId="4B8E0D42" w:rsidR="00E0123D" w:rsidRPr="00A77AF6" w:rsidRDefault="00851B29" w:rsidP="003D2A57">
      <w:pPr>
        <w:pStyle w:val="ListParagraph"/>
        <w:numPr>
          <w:ilvl w:val="0"/>
          <w:numId w:val="13"/>
        </w:numPr>
        <w:spacing w:line="240" w:lineRule="auto"/>
        <w:rPr>
          <w:i/>
          <w:iCs/>
        </w:rPr>
      </w:pPr>
      <w:r w:rsidRPr="00A77AF6">
        <w:rPr>
          <w:i/>
          <w:iCs/>
        </w:rPr>
        <w:t>Lack of effective project team integration between clients, the supplier team and the supply chain’</w:t>
      </w:r>
    </w:p>
    <w:p w14:paraId="563C9DB3" w14:textId="53F3CCB7" w:rsidR="00E0123D" w:rsidRPr="00A77AF6" w:rsidRDefault="00851B29" w:rsidP="004436D3">
      <w:pPr>
        <w:spacing w:after="120" w:line="360" w:lineRule="auto"/>
      </w:pPr>
      <w:r w:rsidRPr="00A77AF6">
        <w:t>(OGC 2005)</w:t>
      </w:r>
    </w:p>
    <w:p w14:paraId="4B01586E" w14:textId="451F4E4B" w:rsidR="00EE149A" w:rsidRPr="00A77AF6" w:rsidRDefault="00EE149A" w:rsidP="0046337C">
      <w:pPr>
        <w:spacing w:after="240" w:line="360" w:lineRule="auto"/>
      </w:pPr>
      <w:r w:rsidRPr="00A77AF6">
        <w:lastRenderedPageBreak/>
        <w:t xml:space="preserve">The OGC was abolished in 2010 and its materials archived but the Gateway™ reviews continue to be carried out in NHS projects and the 8 common causes of project failure are still used to guide project </w:t>
      </w:r>
      <w:r w:rsidR="005440F4" w:rsidRPr="00A77AF6">
        <w:t xml:space="preserve">and corporate </w:t>
      </w:r>
      <w:r w:rsidRPr="00A77AF6">
        <w:t>teams</w:t>
      </w:r>
      <w:r w:rsidR="005440F4" w:rsidRPr="00A77AF6">
        <w:t>.</w:t>
      </w:r>
      <w:r w:rsidRPr="00A77AF6">
        <w:t xml:space="preserve">  </w:t>
      </w:r>
    </w:p>
    <w:p w14:paraId="729EAD02" w14:textId="7F0C6CDE" w:rsidR="009A6620" w:rsidRPr="00A77AF6" w:rsidRDefault="009A6620" w:rsidP="009A6620">
      <w:pPr>
        <w:spacing w:after="0" w:line="360" w:lineRule="auto"/>
        <w:rPr>
          <w:u w:val="single"/>
        </w:rPr>
      </w:pPr>
      <w:r w:rsidRPr="00A77AF6">
        <w:rPr>
          <w:u w:val="single"/>
        </w:rPr>
        <w:t>PRINCE2® (PRojects IN Controlled Environments)</w:t>
      </w:r>
    </w:p>
    <w:p w14:paraId="1E34A15E" w14:textId="300D9FE4" w:rsidR="00851B29" w:rsidRPr="00A77AF6" w:rsidRDefault="009A6620" w:rsidP="00EE149A">
      <w:pPr>
        <w:spacing w:line="360" w:lineRule="auto"/>
      </w:pPr>
      <w:r w:rsidRPr="00A77AF6">
        <w:t xml:space="preserve">PRINCE2® has been </w:t>
      </w:r>
      <w:r w:rsidR="00F172FD" w:rsidRPr="00A77AF6">
        <w:t xml:space="preserve">promoted </w:t>
      </w:r>
      <w:r w:rsidRPr="00A77AF6">
        <w:t>by the UK Government as a project management tool</w:t>
      </w:r>
      <w:r w:rsidR="00F172FD" w:rsidRPr="00A77AF6">
        <w:t xml:space="preserve"> through the</w:t>
      </w:r>
      <w:r w:rsidRPr="00A77AF6">
        <w:t xml:space="preserve"> </w:t>
      </w:r>
      <w:r w:rsidR="00F172FD" w:rsidRPr="00A77AF6">
        <w:t>OGC</w:t>
      </w:r>
      <w:r w:rsidRPr="00A77AF6">
        <w:t xml:space="preserve">. </w:t>
      </w:r>
      <w:r w:rsidR="00B03FAA" w:rsidRPr="00A77AF6">
        <w:t xml:space="preserve">PRINCE2’s® strapline ‘Managing successful projects with PRINCE2®’ </w:t>
      </w:r>
      <w:sdt>
        <w:sdtPr>
          <w:id w:val="-41837242"/>
          <w:citation/>
        </w:sdtPr>
        <w:sdtEndPr/>
        <w:sdtContent>
          <w:r w:rsidR="00EE149A" w:rsidRPr="00A77AF6">
            <w:fldChar w:fldCharType="begin"/>
          </w:r>
          <w:r w:rsidR="004436D3" w:rsidRPr="00A77AF6">
            <w:instrText xml:space="preserve">CITATION Axe09 \l 2057 </w:instrText>
          </w:r>
          <w:r w:rsidR="00EE149A" w:rsidRPr="00A77AF6">
            <w:fldChar w:fldCharType="separate"/>
          </w:r>
          <w:r w:rsidR="008E653F" w:rsidRPr="00A77AF6">
            <w:t>(Axelos, 2009)</w:t>
          </w:r>
          <w:r w:rsidR="00EE149A" w:rsidRPr="00A77AF6">
            <w:fldChar w:fldCharType="end"/>
          </w:r>
        </w:sdtContent>
      </w:sdt>
      <w:r w:rsidR="00EE149A" w:rsidRPr="00A77AF6">
        <w:t xml:space="preserve"> </w:t>
      </w:r>
      <w:r w:rsidR="00B03FAA" w:rsidRPr="00A77AF6">
        <w:t xml:space="preserve">explicitly suggests that adopting PRINCE2® increases the chance of project success. </w:t>
      </w:r>
      <w:r w:rsidR="00EE149A" w:rsidRPr="00A77AF6">
        <w:t xml:space="preserve">PRINCE2® is a set of processes based on the creation of a customer/ supplier </w:t>
      </w:r>
      <w:r w:rsidR="00E843C2" w:rsidRPr="00A77AF6">
        <w:t>relationship</w:t>
      </w:r>
      <w:r w:rsidR="00847D57" w:rsidRPr="00A77AF6">
        <w:t xml:space="preserve">. </w:t>
      </w:r>
      <w:r w:rsidR="00EE149A" w:rsidRPr="00A77AF6">
        <w:t xml:space="preserve"> </w:t>
      </w:r>
      <w:r w:rsidR="00847D57" w:rsidRPr="00A77AF6">
        <w:t xml:space="preserve">PRINCE2® </w:t>
      </w:r>
      <w:r w:rsidR="00E843C2" w:rsidRPr="00A77AF6">
        <w:t xml:space="preserve">provides </w:t>
      </w:r>
      <w:r w:rsidRPr="00A77AF6">
        <w:t>a project structure</w:t>
      </w:r>
      <w:r w:rsidR="00E843C2" w:rsidRPr="00A77AF6">
        <w:t xml:space="preserve"> and </w:t>
      </w:r>
      <w:r w:rsidR="002C1103" w:rsidRPr="00A77AF6">
        <w:t xml:space="preserve">describes </w:t>
      </w:r>
      <w:r w:rsidR="00E843C2" w:rsidRPr="00A77AF6">
        <w:t xml:space="preserve">the roles of key project personnel to make sure that three key interests are represented in the project: the business, the users and the suppliers.  </w:t>
      </w:r>
    </w:p>
    <w:p w14:paraId="37443456" w14:textId="32C384AD" w:rsidR="00B03FAA" w:rsidRPr="00A77AF6" w:rsidRDefault="0046337C" w:rsidP="00EA0ED9">
      <w:pPr>
        <w:pStyle w:val="Heading4"/>
        <w:numPr>
          <w:ilvl w:val="0"/>
          <w:numId w:val="0"/>
        </w:numPr>
        <w:spacing w:after="120"/>
        <w:ind w:left="862" w:hanging="862"/>
      </w:pPr>
      <w:r w:rsidRPr="00A77AF6">
        <w:t>NHS Governance Processes</w:t>
      </w:r>
    </w:p>
    <w:p w14:paraId="7366BEE1" w14:textId="1F05B020" w:rsidR="00B768E1" w:rsidRPr="00A77AF6" w:rsidRDefault="004436D3" w:rsidP="00C34441">
      <w:pPr>
        <w:spacing w:line="360" w:lineRule="auto"/>
      </w:pPr>
      <w:r w:rsidRPr="00A77AF6">
        <w:rPr>
          <w:rFonts w:cstheme="minorHAnsi"/>
        </w:rPr>
        <w:t>C</w:t>
      </w:r>
      <w:r w:rsidR="0046337C" w:rsidRPr="00A77AF6">
        <w:rPr>
          <w:rFonts w:cstheme="minorHAnsi"/>
        </w:rPr>
        <w:t xml:space="preserve">entral governance processes </w:t>
      </w:r>
      <w:r w:rsidR="00C34441" w:rsidRPr="00A77AF6">
        <w:rPr>
          <w:rFonts w:cstheme="minorHAnsi"/>
        </w:rPr>
        <w:t xml:space="preserve">are adopted by the </w:t>
      </w:r>
      <w:r w:rsidR="00A052CD" w:rsidRPr="00A77AF6">
        <w:rPr>
          <w:rFonts w:cstheme="minorHAnsi"/>
        </w:rPr>
        <w:t>NHS,</w:t>
      </w:r>
      <w:r w:rsidRPr="00A77AF6">
        <w:rPr>
          <w:rFonts w:cstheme="minorHAnsi"/>
        </w:rPr>
        <w:t xml:space="preserve"> </w:t>
      </w:r>
      <w:r w:rsidR="00C212B3" w:rsidRPr="00A77AF6">
        <w:rPr>
          <w:rFonts w:cstheme="minorHAnsi"/>
        </w:rPr>
        <w:t xml:space="preserve">but </w:t>
      </w:r>
      <w:r w:rsidRPr="00A77AF6">
        <w:rPr>
          <w:rFonts w:cstheme="minorHAnsi"/>
        </w:rPr>
        <w:t>t</w:t>
      </w:r>
      <w:r w:rsidR="00B768E1" w:rsidRPr="00A77AF6">
        <w:t xml:space="preserve">he </w:t>
      </w:r>
      <w:r w:rsidR="00486AB5" w:rsidRPr="00A77AF6">
        <w:t xml:space="preserve">level of </w:t>
      </w:r>
      <w:r w:rsidR="00B768E1" w:rsidRPr="00A77AF6">
        <w:t xml:space="preserve">governance </w:t>
      </w:r>
      <w:r w:rsidR="00C34441" w:rsidRPr="00A77AF6">
        <w:t xml:space="preserve">oversight </w:t>
      </w:r>
      <w:r w:rsidR="00B768E1" w:rsidRPr="00A77AF6">
        <w:t xml:space="preserve">varies depending on the size of the scheme and the status of the procuring </w:t>
      </w:r>
      <w:r w:rsidR="00C34441" w:rsidRPr="00A77AF6">
        <w:t>NHS Trust</w:t>
      </w:r>
      <w:r w:rsidR="00B768E1" w:rsidRPr="00A77AF6">
        <w:t xml:space="preserve">.  </w:t>
      </w:r>
      <w:r w:rsidR="00141F3D" w:rsidRPr="00A77AF6">
        <w:t xml:space="preserve">Hospitals and </w:t>
      </w:r>
      <w:r w:rsidR="005B0012" w:rsidRPr="00A77AF6">
        <w:t>c</w:t>
      </w:r>
      <w:r w:rsidR="00141F3D" w:rsidRPr="00A77AF6">
        <w:t xml:space="preserve">ommunity </w:t>
      </w:r>
      <w:r w:rsidR="005B0012" w:rsidRPr="00A77AF6">
        <w:t>t</w:t>
      </w:r>
      <w:r w:rsidR="00141F3D" w:rsidRPr="00A77AF6">
        <w:t xml:space="preserve">rusts are divided into two broad groups: </w:t>
      </w:r>
      <w:r w:rsidRPr="00A77AF6">
        <w:t>f</w:t>
      </w:r>
      <w:r w:rsidR="00B768E1" w:rsidRPr="00A77AF6">
        <w:t xml:space="preserve">oundation </w:t>
      </w:r>
      <w:r w:rsidRPr="00A77AF6">
        <w:t>t</w:t>
      </w:r>
      <w:r w:rsidR="00B768E1" w:rsidRPr="00A77AF6">
        <w:t xml:space="preserve">rusts, which are hospitals that have demonstrated </w:t>
      </w:r>
      <w:r w:rsidR="00E834CC" w:rsidRPr="00A77AF6">
        <w:t>a level of</w:t>
      </w:r>
      <w:r w:rsidRPr="00A77AF6">
        <w:t xml:space="preserve"> performance so </w:t>
      </w:r>
      <w:r w:rsidR="00141F3D" w:rsidRPr="00A77AF6">
        <w:t>are permitted a degree of autonomy</w:t>
      </w:r>
      <w:r w:rsidR="00AF6557">
        <w:t xml:space="preserve">, </w:t>
      </w:r>
      <w:r w:rsidR="00141F3D" w:rsidRPr="00A77AF6">
        <w:t>and</w:t>
      </w:r>
      <w:r w:rsidR="006B16F2" w:rsidRPr="00A77AF6">
        <w:t xml:space="preserve"> </w:t>
      </w:r>
      <w:r w:rsidRPr="00A77AF6">
        <w:t>non-foundation</w:t>
      </w:r>
      <w:r w:rsidR="00C34441" w:rsidRPr="00A77AF6">
        <w:t xml:space="preserve"> </w:t>
      </w:r>
      <w:r w:rsidRPr="00A77AF6">
        <w:t>t</w:t>
      </w:r>
      <w:r w:rsidR="00C34441" w:rsidRPr="00A77AF6">
        <w:t xml:space="preserve">rusts/ </w:t>
      </w:r>
      <w:r w:rsidRPr="00A77AF6">
        <w:t>f</w:t>
      </w:r>
      <w:r w:rsidR="00C34441" w:rsidRPr="00A77AF6">
        <w:t xml:space="preserve">oundation </w:t>
      </w:r>
      <w:r w:rsidRPr="00A77AF6">
        <w:t>t</w:t>
      </w:r>
      <w:r w:rsidR="00C34441" w:rsidRPr="00A77AF6">
        <w:t xml:space="preserve">rusts </w:t>
      </w:r>
      <w:r w:rsidR="00141F3D" w:rsidRPr="00A77AF6">
        <w:t xml:space="preserve">in </w:t>
      </w:r>
      <w:r w:rsidRPr="00A77AF6">
        <w:t>f</w:t>
      </w:r>
      <w:r w:rsidR="00141F3D" w:rsidRPr="00A77AF6">
        <w:t xml:space="preserve">inancial </w:t>
      </w:r>
      <w:r w:rsidRPr="00A77AF6">
        <w:t>d</w:t>
      </w:r>
      <w:r w:rsidR="00141F3D" w:rsidRPr="00A77AF6">
        <w:t xml:space="preserve">istress </w:t>
      </w:r>
      <w:r w:rsidR="006B16F2" w:rsidRPr="00A77AF6">
        <w:t xml:space="preserve">which do not have </w:t>
      </w:r>
      <w:r w:rsidR="00AA3D2C" w:rsidRPr="00A77AF6">
        <w:t xml:space="preserve">such </w:t>
      </w:r>
      <w:r w:rsidR="006B16F2" w:rsidRPr="00A77AF6">
        <w:t xml:space="preserve">autonomy and are </w:t>
      </w:r>
      <w:r w:rsidR="00B768E1" w:rsidRPr="00A77AF6">
        <w:t xml:space="preserve">subject to </w:t>
      </w:r>
      <w:r w:rsidR="00C34441" w:rsidRPr="00A77AF6">
        <w:t>higher</w:t>
      </w:r>
      <w:r w:rsidR="00B768E1" w:rsidRPr="00A77AF6">
        <w:t xml:space="preserve"> </w:t>
      </w:r>
      <w:r w:rsidR="00486AB5" w:rsidRPr="00A77AF6">
        <w:t xml:space="preserve">levels </w:t>
      </w:r>
      <w:r w:rsidR="00A052CD">
        <w:t xml:space="preserve">of </w:t>
      </w:r>
      <w:r w:rsidR="00B768E1" w:rsidRPr="00A77AF6">
        <w:t>scrutiny</w:t>
      </w:r>
      <w:r w:rsidR="006B16F2" w:rsidRPr="00A77AF6">
        <w:t xml:space="preserve">. The capital approvals process for each </w:t>
      </w:r>
      <w:r w:rsidR="00C87647" w:rsidRPr="00A77AF6">
        <w:t>group</w:t>
      </w:r>
      <w:r w:rsidR="006B16F2" w:rsidRPr="00A77AF6">
        <w:t xml:space="preserve"> will be explained. </w:t>
      </w:r>
      <w:r w:rsidR="00B768E1" w:rsidRPr="00A77AF6">
        <w:t xml:space="preserve"> </w:t>
      </w:r>
    </w:p>
    <w:p w14:paraId="22E7FF23" w14:textId="1FDAD0B5" w:rsidR="006B16F2" w:rsidRPr="00A77AF6" w:rsidRDefault="006B16F2" w:rsidP="00355B6A">
      <w:pPr>
        <w:rPr>
          <w:u w:val="single"/>
        </w:rPr>
      </w:pPr>
      <w:r w:rsidRPr="00A77AF6">
        <w:rPr>
          <w:u w:val="single"/>
        </w:rPr>
        <w:t>The governance of project approval for</w:t>
      </w:r>
      <w:r w:rsidR="00823880" w:rsidRPr="00A77AF6">
        <w:rPr>
          <w:u w:val="single"/>
        </w:rPr>
        <w:t xml:space="preserve"> </w:t>
      </w:r>
      <w:r w:rsidR="004436D3" w:rsidRPr="00A77AF6">
        <w:rPr>
          <w:u w:val="single"/>
        </w:rPr>
        <w:t>f</w:t>
      </w:r>
      <w:r w:rsidR="00823880" w:rsidRPr="00A77AF6">
        <w:rPr>
          <w:u w:val="single"/>
        </w:rPr>
        <w:t xml:space="preserve">oundation </w:t>
      </w:r>
      <w:r w:rsidR="004436D3" w:rsidRPr="00A77AF6">
        <w:rPr>
          <w:u w:val="single"/>
        </w:rPr>
        <w:t>t</w:t>
      </w:r>
      <w:r w:rsidR="00823880" w:rsidRPr="00A77AF6">
        <w:rPr>
          <w:u w:val="single"/>
        </w:rPr>
        <w:t>rusts (</w:t>
      </w:r>
      <w:r w:rsidRPr="00A77AF6">
        <w:rPr>
          <w:u w:val="single"/>
        </w:rPr>
        <w:t>FTs</w:t>
      </w:r>
      <w:r w:rsidR="00823880" w:rsidRPr="00A77AF6">
        <w:rPr>
          <w:u w:val="single"/>
        </w:rPr>
        <w:t>)</w:t>
      </w:r>
    </w:p>
    <w:p w14:paraId="3933A8AC" w14:textId="197839EC" w:rsidR="00965FC7" w:rsidRPr="00A77AF6" w:rsidRDefault="00B57C7F" w:rsidP="00C34441">
      <w:pPr>
        <w:spacing w:line="360" w:lineRule="auto"/>
      </w:pPr>
      <w:r w:rsidRPr="00A77AF6">
        <w:t xml:space="preserve">Foundation </w:t>
      </w:r>
      <w:r w:rsidR="007D10CE" w:rsidRPr="00A77AF6">
        <w:t>t</w:t>
      </w:r>
      <w:r w:rsidRPr="00A77AF6">
        <w:t xml:space="preserve">rusts </w:t>
      </w:r>
      <w:r w:rsidR="006B16F2" w:rsidRPr="00A77AF6">
        <w:t xml:space="preserve">can use their own </w:t>
      </w:r>
      <w:r w:rsidR="004E08BE" w:rsidRPr="00A77AF6">
        <w:t xml:space="preserve">internal </w:t>
      </w:r>
      <w:r w:rsidR="006B16F2" w:rsidRPr="00A77AF6">
        <w:t>approvals regime for certain projects, but not all, subject to the Trust meeting the conditions of its licence.  PFI projects and ‘material capital investments’ require approval from NHS Improvement</w:t>
      </w:r>
      <w:r w:rsidR="00C34441" w:rsidRPr="00A77AF6">
        <w:t xml:space="preserve">, </w:t>
      </w:r>
      <w:r w:rsidR="006B16F2" w:rsidRPr="00A77AF6">
        <w:t>the DH</w:t>
      </w:r>
      <w:r w:rsidR="00C7549E" w:rsidRPr="00A77AF6">
        <w:t xml:space="preserve">, </w:t>
      </w:r>
      <w:r w:rsidR="006B16F2" w:rsidRPr="00A77AF6">
        <w:t>HMT or all three</w:t>
      </w:r>
      <w:r w:rsidRPr="00A77AF6">
        <w:t xml:space="preserve"> </w:t>
      </w:r>
      <w:sdt>
        <w:sdtPr>
          <w:id w:val="1264954644"/>
          <w:citation/>
        </w:sdtPr>
        <w:sdtEndPr/>
        <w:sdtContent>
          <w:r w:rsidRPr="00A77AF6">
            <w:fldChar w:fldCharType="begin"/>
          </w:r>
          <w:r w:rsidRPr="00A77AF6">
            <w:instrText xml:space="preserve"> CITATION NHS161 \l 2057 </w:instrText>
          </w:r>
          <w:r w:rsidRPr="00A77AF6">
            <w:fldChar w:fldCharType="separate"/>
          </w:r>
          <w:r w:rsidR="008E653F" w:rsidRPr="00A77AF6">
            <w:t>(NHS Improvement, 2016)</w:t>
          </w:r>
          <w:r w:rsidRPr="00A77AF6">
            <w:fldChar w:fldCharType="end"/>
          </w:r>
        </w:sdtContent>
      </w:sdt>
      <w:r w:rsidR="006B16F2" w:rsidRPr="00A77AF6">
        <w:t>.  The Trust must produce a risk based strategic plan for 3-5 years and to show that it can meet its financial sustainability and governance requirements a</w:t>
      </w:r>
      <w:r w:rsidR="00C34441" w:rsidRPr="00A77AF6">
        <w:t xml:space="preserve">s well as </w:t>
      </w:r>
      <w:r w:rsidR="006B16F2" w:rsidRPr="00A77AF6">
        <w:t xml:space="preserve">manage the impact of the project during the development and operational phases.  </w:t>
      </w:r>
      <w:r w:rsidR="00CF3D6F" w:rsidRPr="00A77AF6">
        <w:t xml:space="preserve"> </w:t>
      </w:r>
      <w:r w:rsidR="0059442C" w:rsidRPr="00A77AF6">
        <w:t xml:space="preserve">Table </w:t>
      </w:r>
      <w:r w:rsidR="004436D3" w:rsidRPr="00A77AF6">
        <w:t>2-</w:t>
      </w:r>
      <w:r w:rsidR="0059442C" w:rsidRPr="00A77AF6">
        <w:t>2</w:t>
      </w:r>
      <w:r w:rsidR="00CF3D6F" w:rsidRPr="00A77AF6">
        <w:t xml:space="preserve"> shows the </w:t>
      </w:r>
      <w:r w:rsidRPr="00A77AF6">
        <w:t xml:space="preserve">reporting thresholds for capital and property investments. </w:t>
      </w:r>
      <w:r w:rsidR="006B16F2" w:rsidRPr="00A77AF6">
        <w:t xml:space="preserve">  </w:t>
      </w:r>
    </w:p>
    <w:p w14:paraId="3452D054" w14:textId="77777777" w:rsidR="00965FC7" w:rsidRPr="00A77AF6" w:rsidRDefault="00965FC7">
      <w:r w:rsidRPr="00A77AF6">
        <w:br w:type="page"/>
      </w:r>
    </w:p>
    <w:p w14:paraId="58894A42" w14:textId="61588518" w:rsidR="0059442C" w:rsidRPr="00A77AF6" w:rsidRDefault="0059442C" w:rsidP="00DA6E69">
      <w:pPr>
        <w:pStyle w:val="Caption"/>
        <w:keepNext/>
        <w:spacing w:after="120"/>
      </w:pPr>
      <w:r w:rsidRPr="00A77AF6">
        <w:lastRenderedPageBreak/>
        <w:t xml:space="preserve">Table </w:t>
      </w:r>
      <w:fldSimple w:instr=" STYLEREF 1 \s ">
        <w:r w:rsidR="000441F7">
          <w:rPr>
            <w:noProof/>
          </w:rPr>
          <w:t>2</w:t>
        </w:r>
      </w:fldSimple>
      <w:r w:rsidR="00804112">
        <w:noBreakHyphen/>
      </w:r>
      <w:fldSimple w:instr=" SEQ Table \* ARABIC \s 1 ">
        <w:r w:rsidR="000441F7">
          <w:rPr>
            <w:noProof/>
          </w:rPr>
          <w:t>2</w:t>
        </w:r>
      </w:fldSimple>
      <w:r w:rsidRPr="00A77AF6">
        <w:t xml:space="preserve">: Foundation </w:t>
      </w:r>
      <w:r w:rsidR="00C51ED0" w:rsidRPr="00A77AF6">
        <w:t>t</w:t>
      </w:r>
      <w:r w:rsidRPr="00A77AF6">
        <w:t>rusts thresholds for reporting and detailed review of business cases</w:t>
      </w:r>
    </w:p>
    <w:tbl>
      <w:tblPr>
        <w:tblStyle w:val="TableGrid"/>
        <w:tblW w:w="0" w:type="auto"/>
        <w:tblLook w:val="04A0" w:firstRow="1" w:lastRow="0" w:firstColumn="1" w:lastColumn="0" w:noHBand="0" w:noVBand="1"/>
      </w:tblPr>
      <w:tblGrid>
        <w:gridCol w:w="1351"/>
        <w:gridCol w:w="2755"/>
        <w:gridCol w:w="1276"/>
        <w:gridCol w:w="1276"/>
        <w:gridCol w:w="1842"/>
      </w:tblGrid>
      <w:tr w:rsidR="00170042" w:rsidRPr="00A77AF6" w14:paraId="6F4AA4A8" w14:textId="77777777" w:rsidTr="00C7549E">
        <w:tc>
          <w:tcPr>
            <w:tcW w:w="4106" w:type="dxa"/>
            <w:gridSpan w:val="2"/>
            <w:shd w:val="clear" w:color="auto" w:fill="D0CECE" w:themeFill="background2" w:themeFillShade="E6"/>
          </w:tcPr>
          <w:p w14:paraId="05861BF0" w14:textId="77777777" w:rsidR="00170042" w:rsidRPr="00A77AF6" w:rsidRDefault="00170042" w:rsidP="00952A3C">
            <w:pPr>
              <w:rPr>
                <w:sz w:val="19"/>
                <w:szCs w:val="19"/>
              </w:rPr>
            </w:pPr>
          </w:p>
        </w:tc>
        <w:tc>
          <w:tcPr>
            <w:tcW w:w="2552" w:type="dxa"/>
            <w:gridSpan w:val="2"/>
            <w:shd w:val="clear" w:color="auto" w:fill="D0CECE" w:themeFill="background2" w:themeFillShade="E6"/>
          </w:tcPr>
          <w:p w14:paraId="1EE824F3" w14:textId="77777777" w:rsidR="00170042" w:rsidRPr="00A77AF6" w:rsidRDefault="00170042" w:rsidP="00952A3C">
            <w:pPr>
              <w:rPr>
                <w:sz w:val="19"/>
                <w:szCs w:val="19"/>
              </w:rPr>
            </w:pPr>
            <w:r w:rsidRPr="00A77AF6">
              <w:rPr>
                <w:sz w:val="19"/>
                <w:szCs w:val="19"/>
              </w:rPr>
              <w:t>Reporting Requirements</w:t>
            </w:r>
          </w:p>
          <w:p w14:paraId="33A8F0A7" w14:textId="1144FE9A" w:rsidR="00170042" w:rsidRPr="00A77AF6" w:rsidRDefault="00170042" w:rsidP="00952A3C">
            <w:pPr>
              <w:rPr>
                <w:sz w:val="19"/>
                <w:szCs w:val="19"/>
              </w:rPr>
            </w:pPr>
          </w:p>
        </w:tc>
        <w:tc>
          <w:tcPr>
            <w:tcW w:w="1842" w:type="dxa"/>
            <w:vMerge w:val="restart"/>
            <w:shd w:val="clear" w:color="auto" w:fill="D0CECE" w:themeFill="background2" w:themeFillShade="E6"/>
          </w:tcPr>
          <w:p w14:paraId="3E846029" w14:textId="77777777" w:rsidR="00170042" w:rsidRPr="00A77AF6" w:rsidRDefault="00170042" w:rsidP="00952A3C">
            <w:pPr>
              <w:rPr>
                <w:sz w:val="19"/>
                <w:szCs w:val="19"/>
              </w:rPr>
            </w:pPr>
            <w:r w:rsidRPr="00A77AF6">
              <w:rPr>
                <w:sz w:val="19"/>
                <w:szCs w:val="19"/>
              </w:rPr>
              <w:t>Notes</w:t>
            </w:r>
          </w:p>
          <w:p w14:paraId="322E3402" w14:textId="77777777" w:rsidR="00170042" w:rsidRPr="00A77AF6" w:rsidRDefault="00170042" w:rsidP="00952A3C">
            <w:pPr>
              <w:rPr>
                <w:sz w:val="19"/>
                <w:szCs w:val="19"/>
              </w:rPr>
            </w:pPr>
          </w:p>
          <w:p w14:paraId="73250C02" w14:textId="318DF031" w:rsidR="00170042" w:rsidRPr="00A77AF6" w:rsidRDefault="00170042" w:rsidP="00952A3C">
            <w:pPr>
              <w:rPr>
                <w:sz w:val="19"/>
                <w:szCs w:val="19"/>
              </w:rPr>
            </w:pPr>
          </w:p>
        </w:tc>
      </w:tr>
      <w:tr w:rsidR="00170042" w:rsidRPr="00A77AF6" w14:paraId="2B604FA6" w14:textId="77777777" w:rsidTr="00C7549E">
        <w:tc>
          <w:tcPr>
            <w:tcW w:w="1351" w:type="dxa"/>
          </w:tcPr>
          <w:p w14:paraId="1D9BABA8" w14:textId="4ABDB3CF" w:rsidR="00170042" w:rsidRPr="00A77AF6" w:rsidRDefault="00170042" w:rsidP="00952A3C">
            <w:pPr>
              <w:rPr>
                <w:sz w:val="19"/>
                <w:szCs w:val="19"/>
              </w:rPr>
            </w:pPr>
            <w:r w:rsidRPr="00A77AF6">
              <w:rPr>
                <w:sz w:val="19"/>
                <w:szCs w:val="19"/>
              </w:rPr>
              <w:t>Ratio</w:t>
            </w:r>
          </w:p>
        </w:tc>
        <w:tc>
          <w:tcPr>
            <w:tcW w:w="2755" w:type="dxa"/>
          </w:tcPr>
          <w:p w14:paraId="781511C9" w14:textId="161AFBF6" w:rsidR="00170042" w:rsidRPr="00A77AF6" w:rsidRDefault="00170042" w:rsidP="00952A3C">
            <w:pPr>
              <w:rPr>
                <w:sz w:val="19"/>
                <w:szCs w:val="19"/>
              </w:rPr>
            </w:pPr>
            <w:r w:rsidRPr="00A77AF6">
              <w:rPr>
                <w:sz w:val="19"/>
                <w:szCs w:val="19"/>
              </w:rPr>
              <w:t>Description</w:t>
            </w:r>
          </w:p>
        </w:tc>
        <w:tc>
          <w:tcPr>
            <w:tcW w:w="1276" w:type="dxa"/>
          </w:tcPr>
          <w:p w14:paraId="5B585057" w14:textId="7F4CE80C" w:rsidR="00170042" w:rsidRPr="00A77AF6" w:rsidRDefault="00170042" w:rsidP="00952A3C">
            <w:pPr>
              <w:rPr>
                <w:sz w:val="19"/>
                <w:szCs w:val="19"/>
              </w:rPr>
            </w:pPr>
            <w:r w:rsidRPr="00A77AF6">
              <w:rPr>
                <w:sz w:val="19"/>
                <w:szCs w:val="19"/>
              </w:rPr>
              <w:t>Non-healthcare/ International</w:t>
            </w:r>
          </w:p>
        </w:tc>
        <w:tc>
          <w:tcPr>
            <w:tcW w:w="1276" w:type="dxa"/>
          </w:tcPr>
          <w:p w14:paraId="660F116A" w14:textId="3CA2C2BF" w:rsidR="00170042" w:rsidRPr="00A77AF6" w:rsidRDefault="00170042" w:rsidP="00952A3C">
            <w:pPr>
              <w:rPr>
                <w:sz w:val="19"/>
                <w:szCs w:val="19"/>
              </w:rPr>
            </w:pPr>
            <w:r w:rsidRPr="00A77AF6">
              <w:rPr>
                <w:sz w:val="19"/>
                <w:szCs w:val="19"/>
              </w:rPr>
              <w:t>UK healthcare</w:t>
            </w:r>
          </w:p>
        </w:tc>
        <w:tc>
          <w:tcPr>
            <w:tcW w:w="1842" w:type="dxa"/>
            <w:vMerge/>
          </w:tcPr>
          <w:p w14:paraId="6B1BFA5A" w14:textId="00903A2E" w:rsidR="00170042" w:rsidRPr="00A77AF6" w:rsidRDefault="00170042" w:rsidP="00952A3C">
            <w:pPr>
              <w:rPr>
                <w:sz w:val="19"/>
                <w:szCs w:val="19"/>
              </w:rPr>
            </w:pPr>
          </w:p>
        </w:tc>
      </w:tr>
      <w:tr w:rsidR="00FE4537" w:rsidRPr="00A77AF6" w14:paraId="0509613D" w14:textId="77777777" w:rsidTr="00C7549E">
        <w:tc>
          <w:tcPr>
            <w:tcW w:w="1351" w:type="dxa"/>
          </w:tcPr>
          <w:p w14:paraId="28DC5E03" w14:textId="463A5231" w:rsidR="00170042" w:rsidRPr="00A77AF6" w:rsidRDefault="00170042" w:rsidP="00170042">
            <w:pPr>
              <w:rPr>
                <w:sz w:val="19"/>
                <w:szCs w:val="19"/>
              </w:rPr>
            </w:pPr>
            <w:r w:rsidRPr="00A77AF6">
              <w:rPr>
                <w:sz w:val="19"/>
                <w:szCs w:val="19"/>
              </w:rPr>
              <w:t>Assets</w:t>
            </w:r>
          </w:p>
        </w:tc>
        <w:tc>
          <w:tcPr>
            <w:tcW w:w="2755" w:type="dxa"/>
          </w:tcPr>
          <w:p w14:paraId="290F503D" w14:textId="659EFB3B" w:rsidR="00170042" w:rsidRPr="00A77AF6" w:rsidRDefault="00170042" w:rsidP="00170042">
            <w:pPr>
              <w:rPr>
                <w:sz w:val="19"/>
                <w:szCs w:val="19"/>
              </w:rPr>
            </w:pPr>
            <w:r w:rsidRPr="00A77AF6">
              <w:rPr>
                <w:sz w:val="19"/>
                <w:szCs w:val="19"/>
              </w:rPr>
              <w:t>The gross assets subject to the transaction* divided by the gross assets of the foundation trust</w:t>
            </w:r>
          </w:p>
        </w:tc>
        <w:tc>
          <w:tcPr>
            <w:tcW w:w="1276" w:type="dxa"/>
          </w:tcPr>
          <w:p w14:paraId="4B860203" w14:textId="6E2EEE98" w:rsidR="00170042" w:rsidRPr="00A77AF6" w:rsidRDefault="00170042" w:rsidP="00170042">
            <w:pPr>
              <w:rPr>
                <w:sz w:val="19"/>
                <w:szCs w:val="19"/>
              </w:rPr>
            </w:pPr>
            <w:r w:rsidRPr="00A77AF6">
              <w:rPr>
                <w:sz w:val="19"/>
                <w:szCs w:val="19"/>
              </w:rPr>
              <w:t>&gt;5%</w:t>
            </w:r>
          </w:p>
        </w:tc>
        <w:tc>
          <w:tcPr>
            <w:tcW w:w="1276" w:type="dxa"/>
          </w:tcPr>
          <w:p w14:paraId="6F07FC5D" w14:textId="19842A78" w:rsidR="00170042" w:rsidRPr="00A77AF6" w:rsidRDefault="00170042" w:rsidP="00170042">
            <w:pPr>
              <w:rPr>
                <w:sz w:val="19"/>
                <w:szCs w:val="19"/>
              </w:rPr>
            </w:pPr>
            <w:r w:rsidRPr="00A77AF6">
              <w:rPr>
                <w:sz w:val="19"/>
                <w:szCs w:val="19"/>
              </w:rPr>
              <w:t>&gt;10%</w:t>
            </w:r>
          </w:p>
        </w:tc>
        <w:tc>
          <w:tcPr>
            <w:tcW w:w="1842" w:type="dxa"/>
          </w:tcPr>
          <w:p w14:paraId="20695C5F" w14:textId="72802A6B" w:rsidR="00170042" w:rsidRPr="00A77AF6" w:rsidRDefault="00170042" w:rsidP="00170042">
            <w:pPr>
              <w:rPr>
                <w:sz w:val="19"/>
                <w:szCs w:val="19"/>
              </w:rPr>
            </w:pPr>
            <w:r w:rsidRPr="00A77AF6">
              <w:rPr>
                <w:sz w:val="19"/>
                <w:szCs w:val="19"/>
              </w:rPr>
              <w:t>Gross assets are the total of fixed assets and current assets</w:t>
            </w:r>
          </w:p>
        </w:tc>
      </w:tr>
      <w:tr w:rsidR="00FE4537" w:rsidRPr="00A77AF6" w14:paraId="2F24F28C" w14:textId="77777777" w:rsidTr="00C7549E">
        <w:tc>
          <w:tcPr>
            <w:tcW w:w="1351" w:type="dxa"/>
          </w:tcPr>
          <w:p w14:paraId="53E40187" w14:textId="4B68B327" w:rsidR="00170042" w:rsidRPr="00A77AF6" w:rsidRDefault="00170042" w:rsidP="00170042">
            <w:pPr>
              <w:rPr>
                <w:sz w:val="19"/>
                <w:szCs w:val="19"/>
              </w:rPr>
            </w:pPr>
            <w:r w:rsidRPr="00A77AF6">
              <w:rPr>
                <w:sz w:val="19"/>
                <w:szCs w:val="19"/>
              </w:rPr>
              <w:t>Income</w:t>
            </w:r>
          </w:p>
        </w:tc>
        <w:tc>
          <w:tcPr>
            <w:tcW w:w="2755" w:type="dxa"/>
          </w:tcPr>
          <w:p w14:paraId="29340918" w14:textId="77777777" w:rsidR="00170042" w:rsidRPr="00A77AF6" w:rsidRDefault="00170042" w:rsidP="00170042">
            <w:pPr>
              <w:rPr>
                <w:sz w:val="19"/>
                <w:szCs w:val="19"/>
              </w:rPr>
            </w:pPr>
            <w:r w:rsidRPr="00A77AF6">
              <w:rPr>
                <w:sz w:val="19"/>
                <w:szCs w:val="19"/>
              </w:rPr>
              <w:t>The income attributable to the</w:t>
            </w:r>
          </w:p>
          <w:p w14:paraId="103C0C40" w14:textId="77777777" w:rsidR="00170042" w:rsidRPr="00A77AF6" w:rsidRDefault="00170042" w:rsidP="003D2A57">
            <w:pPr>
              <w:pStyle w:val="ListParagraph"/>
              <w:numPr>
                <w:ilvl w:val="0"/>
                <w:numId w:val="14"/>
              </w:numPr>
              <w:contextualSpacing w:val="0"/>
              <w:rPr>
                <w:sz w:val="19"/>
                <w:szCs w:val="19"/>
              </w:rPr>
            </w:pPr>
            <w:r w:rsidRPr="00A77AF6">
              <w:rPr>
                <w:sz w:val="19"/>
                <w:szCs w:val="19"/>
              </w:rPr>
              <w:t>assets or</w:t>
            </w:r>
          </w:p>
          <w:p w14:paraId="79F1B989" w14:textId="77777777" w:rsidR="00170042" w:rsidRPr="00A77AF6" w:rsidRDefault="00170042" w:rsidP="003D2A57">
            <w:pPr>
              <w:pStyle w:val="ListParagraph"/>
              <w:numPr>
                <w:ilvl w:val="0"/>
                <w:numId w:val="14"/>
              </w:numPr>
              <w:contextualSpacing w:val="0"/>
              <w:rPr>
                <w:sz w:val="19"/>
                <w:szCs w:val="19"/>
              </w:rPr>
            </w:pPr>
            <w:r w:rsidRPr="00A77AF6">
              <w:rPr>
                <w:sz w:val="19"/>
                <w:szCs w:val="19"/>
              </w:rPr>
              <w:t>contract</w:t>
            </w:r>
          </w:p>
          <w:p w14:paraId="6D1B83DD" w14:textId="4C804D0D" w:rsidR="00170042" w:rsidRPr="00A77AF6" w:rsidRDefault="00170042" w:rsidP="00170042">
            <w:pPr>
              <w:rPr>
                <w:sz w:val="19"/>
                <w:szCs w:val="19"/>
              </w:rPr>
            </w:pPr>
            <w:r w:rsidRPr="00A77AF6">
              <w:rPr>
                <w:sz w:val="19"/>
                <w:szCs w:val="19"/>
              </w:rPr>
              <w:t>associated with the transaction* divided by the income of the foundation trust</w:t>
            </w:r>
          </w:p>
        </w:tc>
        <w:tc>
          <w:tcPr>
            <w:tcW w:w="1276" w:type="dxa"/>
          </w:tcPr>
          <w:p w14:paraId="539E9DBC" w14:textId="342D7417" w:rsidR="00170042" w:rsidRPr="00A77AF6" w:rsidRDefault="00170042" w:rsidP="00170042">
            <w:pPr>
              <w:rPr>
                <w:sz w:val="19"/>
                <w:szCs w:val="19"/>
              </w:rPr>
            </w:pPr>
            <w:r w:rsidRPr="00A77AF6">
              <w:rPr>
                <w:sz w:val="19"/>
                <w:szCs w:val="19"/>
              </w:rPr>
              <w:t>&gt;5%</w:t>
            </w:r>
          </w:p>
        </w:tc>
        <w:tc>
          <w:tcPr>
            <w:tcW w:w="1276" w:type="dxa"/>
          </w:tcPr>
          <w:p w14:paraId="0716173B" w14:textId="0E050BEF" w:rsidR="00170042" w:rsidRPr="00A77AF6" w:rsidRDefault="00170042" w:rsidP="00170042">
            <w:pPr>
              <w:rPr>
                <w:sz w:val="19"/>
                <w:szCs w:val="19"/>
              </w:rPr>
            </w:pPr>
            <w:r w:rsidRPr="00A77AF6">
              <w:rPr>
                <w:sz w:val="19"/>
                <w:szCs w:val="19"/>
              </w:rPr>
              <w:t>&gt;10%</w:t>
            </w:r>
          </w:p>
        </w:tc>
        <w:tc>
          <w:tcPr>
            <w:tcW w:w="1842" w:type="dxa"/>
          </w:tcPr>
          <w:p w14:paraId="7585F56B" w14:textId="7E66EEC1" w:rsidR="00170042" w:rsidRPr="00A77AF6" w:rsidRDefault="00170042" w:rsidP="00170042">
            <w:pPr>
              <w:rPr>
                <w:sz w:val="19"/>
                <w:szCs w:val="19"/>
              </w:rPr>
            </w:pPr>
            <w:r w:rsidRPr="00A77AF6">
              <w:rPr>
                <w:sz w:val="19"/>
                <w:szCs w:val="19"/>
              </w:rPr>
              <w:t>None</w:t>
            </w:r>
          </w:p>
        </w:tc>
      </w:tr>
      <w:tr w:rsidR="00FE4537" w:rsidRPr="00A77AF6" w14:paraId="0F720696" w14:textId="77777777" w:rsidTr="00C7549E">
        <w:trPr>
          <w:trHeight w:val="2940"/>
        </w:trPr>
        <w:tc>
          <w:tcPr>
            <w:tcW w:w="1351" w:type="dxa"/>
          </w:tcPr>
          <w:p w14:paraId="3779B542" w14:textId="1F9B7C06" w:rsidR="00170042" w:rsidRPr="00A77AF6" w:rsidRDefault="00170042" w:rsidP="00170042">
            <w:pPr>
              <w:rPr>
                <w:sz w:val="19"/>
                <w:szCs w:val="19"/>
              </w:rPr>
            </w:pPr>
            <w:r w:rsidRPr="00A77AF6">
              <w:rPr>
                <w:sz w:val="19"/>
                <w:szCs w:val="19"/>
              </w:rPr>
              <w:t>Consideration to total foundation trust capital</w:t>
            </w:r>
          </w:p>
        </w:tc>
        <w:tc>
          <w:tcPr>
            <w:tcW w:w="2755" w:type="dxa"/>
          </w:tcPr>
          <w:p w14:paraId="532B7AFE" w14:textId="074107BB" w:rsidR="00170042" w:rsidRPr="00A77AF6" w:rsidRDefault="00170042" w:rsidP="00170042">
            <w:pPr>
              <w:rPr>
                <w:sz w:val="19"/>
                <w:szCs w:val="19"/>
              </w:rPr>
            </w:pPr>
            <w:r w:rsidRPr="00A77AF6">
              <w:rPr>
                <w:sz w:val="19"/>
                <w:szCs w:val="19"/>
              </w:rPr>
              <w:t xml:space="preserve">The gross capital or consideration associated with the transaction divided by the total capital of the foundation trust following completion, or the effects on the total capital of the foundation trust resulting from a transaction* </w:t>
            </w:r>
          </w:p>
        </w:tc>
        <w:tc>
          <w:tcPr>
            <w:tcW w:w="1276" w:type="dxa"/>
          </w:tcPr>
          <w:p w14:paraId="461A5031" w14:textId="097D3C71" w:rsidR="00170042" w:rsidRPr="00A77AF6" w:rsidRDefault="00170042" w:rsidP="00170042">
            <w:pPr>
              <w:rPr>
                <w:sz w:val="19"/>
                <w:szCs w:val="19"/>
              </w:rPr>
            </w:pPr>
            <w:r w:rsidRPr="00A77AF6">
              <w:rPr>
                <w:sz w:val="19"/>
                <w:szCs w:val="19"/>
              </w:rPr>
              <w:t>&gt;5%</w:t>
            </w:r>
          </w:p>
        </w:tc>
        <w:tc>
          <w:tcPr>
            <w:tcW w:w="1276" w:type="dxa"/>
          </w:tcPr>
          <w:p w14:paraId="7A83538B" w14:textId="24846ABF" w:rsidR="00170042" w:rsidRPr="00A77AF6" w:rsidRDefault="00170042" w:rsidP="00170042">
            <w:pPr>
              <w:rPr>
                <w:sz w:val="19"/>
                <w:szCs w:val="19"/>
              </w:rPr>
            </w:pPr>
            <w:r w:rsidRPr="00A77AF6">
              <w:rPr>
                <w:sz w:val="19"/>
                <w:szCs w:val="19"/>
              </w:rPr>
              <w:t>&gt;10%</w:t>
            </w:r>
          </w:p>
        </w:tc>
        <w:tc>
          <w:tcPr>
            <w:tcW w:w="1842" w:type="dxa"/>
          </w:tcPr>
          <w:p w14:paraId="490997FC" w14:textId="77777777" w:rsidR="00170042" w:rsidRPr="00A77AF6" w:rsidRDefault="00170042" w:rsidP="00170042">
            <w:pPr>
              <w:rPr>
                <w:sz w:val="19"/>
                <w:szCs w:val="19"/>
              </w:rPr>
            </w:pPr>
            <w:r w:rsidRPr="00A77AF6">
              <w:rPr>
                <w:sz w:val="19"/>
                <w:szCs w:val="19"/>
              </w:rPr>
              <w:t>Gross capital equals the market value of the target’s shares and debt securities, plus the excess of current liabilities over current assets</w:t>
            </w:r>
          </w:p>
          <w:p w14:paraId="13A75878" w14:textId="77777777" w:rsidR="00170042" w:rsidRPr="00A77AF6" w:rsidRDefault="00170042" w:rsidP="00170042">
            <w:pPr>
              <w:rPr>
                <w:sz w:val="19"/>
                <w:szCs w:val="19"/>
              </w:rPr>
            </w:pPr>
          </w:p>
          <w:p w14:paraId="1B290358" w14:textId="2C654A06" w:rsidR="00170042" w:rsidRPr="00A77AF6" w:rsidRDefault="00170042" w:rsidP="00170042">
            <w:pPr>
              <w:rPr>
                <w:sz w:val="19"/>
                <w:szCs w:val="19"/>
              </w:rPr>
            </w:pPr>
            <w:r w:rsidRPr="00A77AF6">
              <w:rPr>
                <w:sz w:val="19"/>
                <w:szCs w:val="19"/>
              </w:rPr>
              <w:t>Total capital of the capital of the foundation trust equals taxpayers’ equity</w:t>
            </w:r>
          </w:p>
        </w:tc>
      </w:tr>
    </w:tbl>
    <w:p w14:paraId="46E7B8B9" w14:textId="4B371B0D" w:rsidR="00952A3C" w:rsidRPr="00A77AF6" w:rsidRDefault="00952A3C" w:rsidP="00FE4537">
      <w:pPr>
        <w:spacing w:after="0" w:line="360" w:lineRule="auto"/>
        <w:rPr>
          <w:sz w:val="20"/>
        </w:rPr>
      </w:pPr>
      <w:r w:rsidRPr="00A77AF6">
        <w:rPr>
          <w:sz w:val="20"/>
        </w:rPr>
        <w:t>*For the purposes of this capital guidance, transactions cover capital and property investments only</w:t>
      </w:r>
    </w:p>
    <w:p w14:paraId="4FC56BD7" w14:textId="47020879" w:rsidR="00B57C7F" w:rsidRPr="00A77AF6" w:rsidRDefault="007000FC" w:rsidP="006B16F2">
      <w:pPr>
        <w:spacing w:line="480" w:lineRule="auto"/>
        <w:rPr>
          <w:sz w:val="20"/>
        </w:rPr>
      </w:pPr>
      <w:r w:rsidRPr="00A77AF6">
        <w:rPr>
          <w:sz w:val="20"/>
        </w:rPr>
        <w:t xml:space="preserve">Source: NHS Improvement (2016, p. 4) </w:t>
      </w:r>
    </w:p>
    <w:p w14:paraId="13D7030C" w14:textId="21782A27" w:rsidR="006B16F2" w:rsidRPr="00A77AF6" w:rsidRDefault="00C7549E" w:rsidP="00C7549E">
      <w:pPr>
        <w:spacing w:after="0" w:line="360" w:lineRule="auto"/>
      </w:pPr>
      <w:r w:rsidRPr="00A77AF6">
        <w:t xml:space="preserve">If a capital investment is significant </w:t>
      </w:r>
      <w:r w:rsidR="00C34441" w:rsidRPr="00A77AF6">
        <w:t xml:space="preserve">FTs </w:t>
      </w:r>
      <w:r w:rsidRPr="00A77AF6">
        <w:t>must</w:t>
      </w:r>
      <w:r w:rsidR="00B57C7F" w:rsidRPr="00A77AF6">
        <w:t xml:space="preserve"> navigate a complicated assessment and approvals process</w:t>
      </w:r>
      <w:r w:rsidRPr="00A77AF6">
        <w:t xml:space="preserve">. </w:t>
      </w:r>
      <w:r w:rsidR="006B16F2" w:rsidRPr="00A77AF6">
        <w:t xml:space="preserve">A significant </w:t>
      </w:r>
      <w:r w:rsidR="001E1503" w:rsidRPr="00A77AF6">
        <w:t>investment</w:t>
      </w:r>
      <w:r w:rsidR="006B16F2" w:rsidRPr="00A77AF6">
        <w:t xml:space="preserve"> is one that meets one of the following criteria</w:t>
      </w:r>
      <w:r w:rsidR="00033265" w:rsidRPr="00A77AF6">
        <w:t xml:space="preserve"> in relation to T</w:t>
      </w:r>
      <w:r w:rsidR="00520FA8" w:rsidRPr="00A77AF6">
        <w:t xml:space="preserve">able </w:t>
      </w:r>
      <w:r w:rsidRPr="00A77AF6">
        <w:t>2-</w:t>
      </w:r>
      <w:r w:rsidR="00520FA8" w:rsidRPr="00A77AF6">
        <w:t xml:space="preserve">2 </w:t>
      </w:r>
    </w:p>
    <w:p w14:paraId="3A9C9231" w14:textId="0DC0444B" w:rsidR="006B16F2" w:rsidRPr="00A77AF6" w:rsidRDefault="006B16F2" w:rsidP="003D2A57">
      <w:pPr>
        <w:pStyle w:val="ListParagraph"/>
        <w:numPr>
          <w:ilvl w:val="0"/>
          <w:numId w:val="2"/>
        </w:numPr>
        <w:spacing w:line="240" w:lineRule="auto"/>
        <w:rPr>
          <w:i/>
        </w:rPr>
      </w:pPr>
      <w:r w:rsidRPr="00A77AF6">
        <w:t>‘</w:t>
      </w:r>
      <w:r w:rsidRPr="00A77AF6">
        <w:rPr>
          <w:i/>
        </w:rPr>
        <w:t xml:space="preserve">a relative size of greater than 40% in any of the tests </w:t>
      </w:r>
      <w:r w:rsidR="00520FA8" w:rsidRPr="00A77AF6">
        <w:rPr>
          <w:i/>
        </w:rPr>
        <w:t>‘</w:t>
      </w:r>
    </w:p>
    <w:p w14:paraId="23A1296F" w14:textId="5F944341" w:rsidR="006B16F2" w:rsidRPr="00A77AF6" w:rsidRDefault="00520FA8" w:rsidP="003D2A57">
      <w:pPr>
        <w:pStyle w:val="ListParagraph"/>
        <w:numPr>
          <w:ilvl w:val="0"/>
          <w:numId w:val="2"/>
        </w:numPr>
        <w:spacing w:line="240" w:lineRule="auto"/>
        <w:rPr>
          <w:i/>
        </w:rPr>
      </w:pPr>
      <w:r w:rsidRPr="00A77AF6">
        <w:rPr>
          <w:i/>
        </w:rPr>
        <w:t>‘</w:t>
      </w:r>
      <w:r w:rsidR="006B16F2" w:rsidRPr="00A77AF6">
        <w:rPr>
          <w:i/>
        </w:rPr>
        <w:t>a relative size of between 25% and 40% of the tests set out</w:t>
      </w:r>
      <w:r w:rsidRPr="00A77AF6">
        <w:rPr>
          <w:i/>
        </w:rPr>
        <w:t>…</w:t>
      </w:r>
      <w:r w:rsidR="006B16F2" w:rsidRPr="00A77AF6">
        <w:rPr>
          <w:i/>
        </w:rPr>
        <w:t xml:space="preserve"> where required as part of a risk assessment</w:t>
      </w:r>
      <w:r w:rsidRPr="00A77AF6">
        <w:rPr>
          <w:i/>
        </w:rPr>
        <w:t>’</w:t>
      </w:r>
      <w:r w:rsidR="006B16F2" w:rsidRPr="00A77AF6">
        <w:rPr>
          <w:i/>
        </w:rPr>
        <w:t xml:space="preserve">  </w:t>
      </w:r>
    </w:p>
    <w:p w14:paraId="5EF9F135" w14:textId="2A222C31" w:rsidR="006B16F2" w:rsidRPr="00A77AF6" w:rsidRDefault="00520FA8" w:rsidP="003D2A57">
      <w:pPr>
        <w:pStyle w:val="ListParagraph"/>
        <w:numPr>
          <w:ilvl w:val="0"/>
          <w:numId w:val="2"/>
        </w:numPr>
        <w:spacing w:line="240" w:lineRule="auto"/>
        <w:rPr>
          <w:i/>
        </w:rPr>
      </w:pPr>
      <w:r w:rsidRPr="00A77AF6">
        <w:rPr>
          <w:i/>
        </w:rPr>
        <w:t>‘</w:t>
      </w:r>
      <w:r w:rsidR="006B16F2" w:rsidRPr="00A77AF6">
        <w:rPr>
          <w:i/>
        </w:rPr>
        <w:t>a relative size of between 10% and 25% of the tests set out</w:t>
      </w:r>
      <w:r w:rsidRPr="00A77AF6">
        <w:rPr>
          <w:i/>
        </w:rPr>
        <w:t>…</w:t>
      </w:r>
      <w:r w:rsidR="006B16F2" w:rsidRPr="00A77AF6">
        <w:rPr>
          <w:i/>
        </w:rPr>
        <w:t xml:space="preserve"> above, when in NHS Improvement’s view one or more major risks or other risk has been identified and is considered relevant.’ (NHS Improvement, 2016, Annex 13 p</w:t>
      </w:r>
      <w:r w:rsidR="00BE1DB4">
        <w:rPr>
          <w:i/>
        </w:rPr>
        <w:t xml:space="preserve">. </w:t>
      </w:r>
      <w:r w:rsidR="006B16F2" w:rsidRPr="00A77AF6">
        <w:rPr>
          <w:i/>
        </w:rPr>
        <w:t>4)</w:t>
      </w:r>
    </w:p>
    <w:p w14:paraId="47C4C5D7" w14:textId="7CB600B2" w:rsidR="00B57C7F" w:rsidRPr="00A77AF6" w:rsidRDefault="00B57C7F" w:rsidP="0083426A">
      <w:pPr>
        <w:spacing w:after="360" w:line="240" w:lineRule="auto"/>
      </w:pPr>
      <w:r w:rsidRPr="00A77AF6">
        <w:t>These rules are pass/ fail tests for Trusts</w:t>
      </w:r>
      <w:r w:rsidR="00520FA8" w:rsidRPr="00A77AF6">
        <w:t xml:space="preserve"> (NHS Improvement, 2016)</w:t>
      </w:r>
      <w:r w:rsidRPr="00A77AF6">
        <w:t xml:space="preserve">.  </w:t>
      </w:r>
    </w:p>
    <w:p w14:paraId="4CEA6390" w14:textId="7EF6FCD4" w:rsidR="00486AB5" w:rsidRPr="00A77AF6" w:rsidRDefault="00486AB5" w:rsidP="00355B6A">
      <w:pPr>
        <w:rPr>
          <w:u w:val="single"/>
        </w:rPr>
      </w:pPr>
      <w:r w:rsidRPr="00A77AF6">
        <w:rPr>
          <w:u w:val="single"/>
        </w:rPr>
        <w:t xml:space="preserve">The governance of project approval </w:t>
      </w:r>
      <w:r w:rsidR="001D5743" w:rsidRPr="00A77AF6">
        <w:rPr>
          <w:u w:val="single"/>
        </w:rPr>
        <w:t>for non-FTs or FTs in financial distress</w:t>
      </w:r>
    </w:p>
    <w:p w14:paraId="4735AE3C" w14:textId="77777777" w:rsidR="00236B95" w:rsidRPr="00A77AF6" w:rsidRDefault="00B768E1" w:rsidP="00C34441">
      <w:pPr>
        <w:spacing w:line="360" w:lineRule="auto"/>
      </w:pPr>
      <w:r w:rsidRPr="00A77AF6">
        <w:t xml:space="preserve">To get a capital project approved the procuring non-FT or FT in financial distress needs to secure support from its commissioners, who buy services from </w:t>
      </w:r>
      <w:r w:rsidR="001D5743" w:rsidRPr="00A77AF6">
        <w:t>it</w:t>
      </w:r>
      <w:r w:rsidRPr="00A77AF6">
        <w:t xml:space="preserve"> and</w:t>
      </w:r>
      <w:r w:rsidR="00C7549E" w:rsidRPr="00A77AF6">
        <w:t xml:space="preserve"> who</w:t>
      </w:r>
      <w:r w:rsidRPr="00A77AF6">
        <w:t xml:space="preserve"> are motivated to keep costs as low as possible.  The procuring organisation also needs to secure approval from NHS </w:t>
      </w:r>
      <w:r w:rsidR="001D5743" w:rsidRPr="00A77AF6">
        <w:t>I</w:t>
      </w:r>
      <w:r w:rsidRPr="00A77AF6">
        <w:t>mprovement, which is the financial regulator and possibly approval from the DH and H</w:t>
      </w:r>
      <w:r w:rsidR="00486AB5" w:rsidRPr="00A77AF6">
        <w:t xml:space="preserve">er </w:t>
      </w:r>
      <w:r w:rsidRPr="00A77AF6">
        <w:t>M</w:t>
      </w:r>
      <w:r w:rsidR="00486AB5" w:rsidRPr="00A77AF6">
        <w:t xml:space="preserve">ajesty’s </w:t>
      </w:r>
      <w:r w:rsidRPr="00A77AF6">
        <w:t>T</w:t>
      </w:r>
      <w:r w:rsidR="00486AB5" w:rsidRPr="00A77AF6">
        <w:t>reasury.</w:t>
      </w:r>
    </w:p>
    <w:p w14:paraId="716A0F22" w14:textId="0B360EBB" w:rsidR="00236B95" w:rsidRPr="00A77AF6" w:rsidRDefault="00236B95" w:rsidP="00236B95">
      <w:pPr>
        <w:pStyle w:val="Caption"/>
        <w:keepNext/>
        <w:spacing w:after="120"/>
      </w:pPr>
      <w:r w:rsidRPr="00A77AF6">
        <w:lastRenderedPageBreak/>
        <w:t xml:space="preserve">Table </w:t>
      </w:r>
      <w:fldSimple w:instr=" STYLEREF 1 \s ">
        <w:r w:rsidR="000441F7">
          <w:rPr>
            <w:noProof/>
          </w:rPr>
          <w:t>2</w:t>
        </w:r>
      </w:fldSimple>
      <w:r w:rsidR="00804112">
        <w:noBreakHyphen/>
      </w:r>
      <w:fldSimple w:instr=" SEQ Table \* ARABIC \s 1 ">
        <w:r w:rsidR="000441F7">
          <w:rPr>
            <w:noProof/>
          </w:rPr>
          <w:t>3</w:t>
        </w:r>
      </w:fldSimple>
      <w:r w:rsidRPr="00A77AF6">
        <w:t>: Delegated limits for FTs in financial distress and all NHS Trusts</w:t>
      </w:r>
    </w:p>
    <w:tbl>
      <w:tblPr>
        <w:tblStyle w:val="TableGrid"/>
        <w:tblW w:w="0" w:type="auto"/>
        <w:tblLook w:val="04A0" w:firstRow="1" w:lastRow="0" w:firstColumn="1" w:lastColumn="0" w:noHBand="0" w:noVBand="1"/>
      </w:tblPr>
      <w:tblGrid>
        <w:gridCol w:w="3114"/>
        <w:gridCol w:w="3685"/>
      </w:tblGrid>
      <w:tr w:rsidR="00C7549E" w:rsidRPr="00A77AF6" w14:paraId="0E43925B" w14:textId="77777777" w:rsidTr="00643067">
        <w:tc>
          <w:tcPr>
            <w:tcW w:w="3114" w:type="dxa"/>
            <w:shd w:val="clear" w:color="auto" w:fill="D9D9D9" w:themeFill="background1" w:themeFillShade="D9"/>
          </w:tcPr>
          <w:p w14:paraId="7886D8D8" w14:textId="5B4B6D16" w:rsidR="00C7549E" w:rsidRPr="00A77AF6" w:rsidRDefault="00C7549E" w:rsidP="00643067">
            <w:pPr>
              <w:spacing w:after="6"/>
              <w:rPr>
                <w:sz w:val="20"/>
                <w:szCs w:val="20"/>
              </w:rPr>
            </w:pPr>
            <w:r w:rsidRPr="00A77AF6">
              <w:rPr>
                <w:sz w:val="20"/>
                <w:szCs w:val="20"/>
              </w:rPr>
              <w:t>Financial value of the capital investment or property transaction</w:t>
            </w:r>
            <w:r w:rsidR="00643067" w:rsidRPr="00A77AF6">
              <w:rPr>
                <w:sz w:val="20"/>
                <w:szCs w:val="20"/>
              </w:rPr>
              <w:t>*</w:t>
            </w:r>
          </w:p>
        </w:tc>
        <w:tc>
          <w:tcPr>
            <w:tcW w:w="3685" w:type="dxa"/>
            <w:shd w:val="clear" w:color="auto" w:fill="D9D9D9" w:themeFill="background1" w:themeFillShade="D9"/>
          </w:tcPr>
          <w:p w14:paraId="6839D8EB" w14:textId="67F31CF9" w:rsidR="00C7549E" w:rsidRPr="00A77AF6" w:rsidRDefault="00C7549E" w:rsidP="00643067">
            <w:pPr>
              <w:spacing w:after="6"/>
              <w:rPr>
                <w:sz w:val="20"/>
                <w:szCs w:val="20"/>
              </w:rPr>
            </w:pPr>
            <w:r w:rsidRPr="00A77AF6">
              <w:rPr>
                <w:sz w:val="20"/>
                <w:szCs w:val="20"/>
              </w:rPr>
              <w:t>Approving person/ committee/ board</w:t>
            </w:r>
          </w:p>
        </w:tc>
      </w:tr>
      <w:tr w:rsidR="00C7549E" w:rsidRPr="00A77AF6" w14:paraId="12915265" w14:textId="77777777" w:rsidTr="00C7549E">
        <w:tc>
          <w:tcPr>
            <w:tcW w:w="3114" w:type="dxa"/>
          </w:tcPr>
          <w:p w14:paraId="51525E83" w14:textId="4933DFF7" w:rsidR="00C7549E" w:rsidRPr="00A77AF6" w:rsidRDefault="00C7549E" w:rsidP="00643067">
            <w:pPr>
              <w:spacing w:after="6"/>
              <w:rPr>
                <w:sz w:val="20"/>
                <w:szCs w:val="20"/>
              </w:rPr>
            </w:pPr>
            <w:r w:rsidRPr="00A77AF6">
              <w:rPr>
                <w:sz w:val="20"/>
                <w:szCs w:val="20"/>
              </w:rPr>
              <w:t>Up to £15 million</w:t>
            </w:r>
          </w:p>
        </w:tc>
        <w:tc>
          <w:tcPr>
            <w:tcW w:w="3685" w:type="dxa"/>
          </w:tcPr>
          <w:p w14:paraId="60009CEE" w14:textId="32F4F294" w:rsidR="00C7549E" w:rsidRPr="00A77AF6" w:rsidRDefault="00C7549E" w:rsidP="00643067">
            <w:pPr>
              <w:spacing w:after="6"/>
              <w:rPr>
                <w:sz w:val="20"/>
                <w:szCs w:val="20"/>
              </w:rPr>
            </w:pPr>
            <w:r w:rsidRPr="00A77AF6">
              <w:rPr>
                <w:sz w:val="20"/>
                <w:szCs w:val="20"/>
              </w:rPr>
              <w:t xml:space="preserve">Trusts approve under their own governance arrangements </w:t>
            </w:r>
          </w:p>
        </w:tc>
      </w:tr>
      <w:tr w:rsidR="00C7549E" w:rsidRPr="00A77AF6" w14:paraId="68D8E15C" w14:textId="77777777" w:rsidTr="00C7549E">
        <w:tc>
          <w:tcPr>
            <w:tcW w:w="3114" w:type="dxa"/>
          </w:tcPr>
          <w:p w14:paraId="6C12B0CD" w14:textId="3786E527" w:rsidR="00C7549E" w:rsidRPr="00A77AF6" w:rsidRDefault="00C7549E" w:rsidP="00643067">
            <w:pPr>
              <w:spacing w:after="6"/>
              <w:rPr>
                <w:sz w:val="20"/>
                <w:szCs w:val="20"/>
              </w:rPr>
            </w:pPr>
            <w:r w:rsidRPr="00A77AF6">
              <w:rPr>
                <w:sz w:val="20"/>
                <w:szCs w:val="20"/>
              </w:rPr>
              <w:t>£15 million to £30 million</w:t>
            </w:r>
          </w:p>
        </w:tc>
        <w:tc>
          <w:tcPr>
            <w:tcW w:w="3685" w:type="dxa"/>
          </w:tcPr>
          <w:p w14:paraId="24158696" w14:textId="252C3F98" w:rsidR="00C7549E" w:rsidRPr="00A77AF6" w:rsidRDefault="00C7549E" w:rsidP="00643067">
            <w:pPr>
              <w:spacing w:after="6"/>
              <w:rPr>
                <w:sz w:val="20"/>
                <w:szCs w:val="20"/>
              </w:rPr>
            </w:pPr>
            <w:r w:rsidRPr="00A77AF6">
              <w:rPr>
                <w:sz w:val="20"/>
                <w:szCs w:val="20"/>
              </w:rPr>
              <w:t>NHS Improvement executive director of resources/deputy CEO or NHS Improvement director of finance and DH</w:t>
            </w:r>
          </w:p>
        </w:tc>
      </w:tr>
      <w:tr w:rsidR="00C7549E" w:rsidRPr="00A77AF6" w14:paraId="2921D60B" w14:textId="77777777" w:rsidTr="00C7549E">
        <w:tc>
          <w:tcPr>
            <w:tcW w:w="3114" w:type="dxa"/>
          </w:tcPr>
          <w:p w14:paraId="634A8174" w14:textId="3C26D2DF" w:rsidR="00C7549E" w:rsidRPr="00A77AF6" w:rsidRDefault="00643067" w:rsidP="00643067">
            <w:pPr>
              <w:spacing w:after="6"/>
              <w:rPr>
                <w:sz w:val="20"/>
                <w:szCs w:val="20"/>
              </w:rPr>
            </w:pPr>
            <w:r w:rsidRPr="00A77AF6">
              <w:rPr>
                <w:sz w:val="20"/>
                <w:szCs w:val="20"/>
              </w:rPr>
              <w:t xml:space="preserve">£30 million - £50 million </w:t>
            </w:r>
          </w:p>
        </w:tc>
        <w:tc>
          <w:tcPr>
            <w:tcW w:w="3685" w:type="dxa"/>
          </w:tcPr>
          <w:p w14:paraId="3C5522B9" w14:textId="3016F8E3" w:rsidR="00C7549E" w:rsidRPr="00A77AF6" w:rsidRDefault="00643067" w:rsidP="00643067">
            <w:pPr>
              <w:spacing w:after="6"/>
              <w:rPr>
                <w:sz w:val="20"/>
                <w:szCs w:val="20"/>
              </w:rPr>
            </w:pPr>
            <w:r w:rsidRPr="00A77AF6">
              <w:rPr>
                <w:sz w:val="20"/>
                <w:szCs w:val="20"/>
              </w:rPr>
              <w:t>NHS Improvement Resources Committee and DH</w:t>
            </w:r>
          </w:p>
        </w:tc>
      </w:tr>
      <w:tr w:rsidR="00C7549E" w:rsidRPr="00A77AF6" w14:paraId="21680E96" w14:textId="77777777" w:rsidTr="00C7549E">
        <w:tc>
          <w:tcPr>
            <w:tcW w:w="3114" w:type="dxa"/>
          </w:tcPr>
          <w:p w14:paraId="121D3EBD" w14:textId="1CC093B2" w:rsidR="00C7549E" w:rsidRPr="00A77AF6" w:rsidRDefault="00643067" w:rsidP="00643067">
            <w:pPr>
              <w:spacing w:after="6"/>
              <w:rPr>
                <w:sz w:val="20"/>
                <w:szCs w:val="20"/>
              </w:rPr>
            </w:pPr>
            <w:r w:rsidRPr="00A77AF6">
              <w:rPr>
                <w:sz w:val="20"/>
                <w:szCs w:val="20"/>
              </w:rPr>
              <w:t xml:space="preserve">Over £50 million </w:t>
            </w:r>
          </w:p>
        </w:tc>
        <w:tc>
          <w:tcPr>
            <w:tcW w:w="3685" w:type="dxa"/>
          </w:tcPr>
          <w:p w14:paraId="7BFA87A8" w14:textId="77777777" w:rsidR="00C7549E" w:rsidRPr="00A77AF6" w:rsidRDefault="00643067" w:rsidP="00643067">
            <w:pPr>
              <w:spacing w:after="6"/>
              <w:rPr>
                <w:sz w:val="20"/>
                <w:szCs w:val="20"/>
              </w:rPr>
            </w:pPr>
            <w:r w:rsidRPr="00A77AF6">
              <w:rPr>
                <w:sz w:val="20"/>
                <w:szCs w:val="20"/>
              </w:rPr>
              <w:t>NHS Improvement Resources Committee</w:t>
            </w:r>
          </w:p>
          <w:p w14:paraId="06FC8ADE" w14:textId="07E32FEA" w:rsidR="00643067" w:rsidRPr="00A77AF6" w:rsidRDefault="00643067" w:rsidP="00643067">
            <w:pPr>
              <w:spacing w:after="6"/>
              <w:rPr>
                <w:sz w:val="20"/>
                <w:szCs w:val="20"/>
              </w:rPr>
            </w:pPr>
            <w:r w:rsidRPr="00A77AF6">
              <w:rPr>
                <w:sz w:val="20"/>
                <w:szCs w:val="20"/>
              </w:rPr>
              <w:t>NHS Improvement Board, DH and HMT**</w:t>
            </w:r>
          </w:p>
        </w:tc>
      </w:tr>
    </w:tbl>
    <w:p w14:paraId="5999434E" w14:textId="3094947F" w:rsidR="00643067" w:rsidRPr="00A77AF6" w:rsidRDefault="00643067" w:rsidP="00024AB2">
      <w:pPr>
        <w:spacing w:after="0" w:line="240" w:lineRule="auto"/>
        <w:jc w:val="both"/>
        <w:rPr>
          <w:sz w:val="16"/>
          <w:szCs w:val="16"/>
        </w:rPr>
      </w:pPr>
      <w:r w:rsidRPr="00A77AF6">
        <w:rPr>
          <w:sz w:val="16"/>
          <w:szCs w:val="16"/>
        </w:rPr>
        <w:t xml:space="preserve">* Financial value applied to capital investment and property transactions, asset disposal and whole-life </w:t>
      </w:r>
    </w:p>
    <w:p w14:paraId="219F0F79" w14:textId="67BECF03" w:rsidR="00C7549E" w:rsidRPr="00A77AF6" w:rsidRDefault="00643067" w:rsidP="00024AB2">
      <w:pPr>
        <w:spacing w:after="0" w:line="240" w:lineRule="auto"/>
        <w:jc w:val="both"/>
        <w:rPr>
          <w:sz w:val="16"/>
          <w:szCs w:val="16"/>
        </w:rPr>
      </w:pPr>
      <w:r w:rsidRPr="00A77AF6">
        <w:rPr>
          <w:sz w:val="16"/>
          <w:szCs w:val="16"/>
        </w:rPr>
        <w:t xml:space="preserve">   cost business cases</w:t>
      </w:r>
    </w:p>
    <w:p w14:paraId="502680D1" w14:textId="13703926" w:rsidR="00643067" w:rsidRPr="00A77AF6" w:rsidRDefault="00643067" w:rsidP="00024AB2">
      <w:pPr>
        <w:spacing w:after="0" w:line="240" w:lineRule="auto"/>
        <w:rPr>
          <w:sz w:val="16"/>
          <w:szCs w:val="16"/>
        </w:rPr>
      </w:pPr>
      <w:r w:rsidRPr="00A77AF6">
        <w:rPr>
          <w:sz w:val="16"/>
          <w:szCs w:val="16"/>
        </w:rPr>
        <w:t>**Investment business cases subject to whole-life cost rules where the whole-life cost exceeds £50 million</w:t>
      </w:r>
    </w:p>
    <w:p w14:paraId="3D403FEA" w14:textId="61695E75" w:rsidR="00643067" w:rsidRPr="00A77AF6" w:rsidRDefault="00024AB2" w:rsidP="00024AB2">
      <w:pPr>
        <w:spacing w:after="0" w:line="240" w:lineRule="auto"/>
        <w:rPr>
          <w:sz w:val="16"/>
          <w:szCs w:val="16"/>
        </w:rPr>
      </w:pPr>
      <w:r w:rsidRPr="00A77AF6">
        <w:rPr>
          <w:sz w:val="16"/>
          <w:szCs w:val="16"/>
        </w:rPr>
        <w:t xml:space="preserve">  </w:t>
      </w:r>
      <w:r w:rsidR="00643067" w:rsidRPr="00A77AF6">
        <w:rPr>
          <w:sz w:val="16"/>
          <w:szCs w:val="16"/>
        </w:rPr>
        <w:t>will not require NHS Improvement Board approval but will require NHS Improvement Resources</w:t>
      </w:r>
    </w:p>
    <w:p w14:paraId="371AF32B" w14:textId="649EB24A" w:rsidR="004E440C" w:rsidRPr="00A77AF6" w:rsidRDefault="00024AB2" w:rsidP="00024AB2">
      <w:pPr>
        <w:spacing w:after="0" w:line="240" w:lineRule="auto"/>
        <w:rPr>
          <w:sz w:val="16"/>
          <w:szCs w:val="16"/>
        </w:rPr>
      </w:pPr>
      <w:r w:rsidRPr="00A77AF6">
        <w:rPr>
          <w:sz w:val="16"/>
          <w:szCs w:val="16"/>
        </w:rPr>
        <w:t xml:space="preserve">  </w:t>
      </w:r>
      <w:r w:rsidR="00643067" w:rsidRPr="00A77AF6">
        <w:rPr>
          <w:sz w:val="16"/>
          <w:szCs w:val="16"/>
        </w:rPr>
        <w:t>Committee approval</w:t>
      </w:r>
      <w:r w:rsidR="004E440C" w:rsidRPr="00A77AF6">
        <w:rPr>
          <w:sz w:val="16"/>
          <w:szCs w:val="16"/>
        </w:rPr>
        <w:t xml:space="preserve"> (unless these cases are specifically referred to the NHS Improvement Board for a</w:t>
      </w:r>
    </w:p>
    <w:p w14:paraId="1E18A505" w14:textId="788FBC1A" w:rsidR="00643067" w:rsidRPr="00A77AF6" w:rsidRDefault="00024AB2" w:rsidP="00024AB2">
      <w:pPr>
        <w:spacing w:after="0" w:line="240" w:lineRule="auto"/>
        <w:rPr>
          <w:sz w:val="16"/>
          <w:szCs w:val="16"/>
        </w:rPr>
      </w:pPr>
      <w:r w:rsidRPr="00A77AF6">
        <w:rPr>
          <w:sz w:val="16"/>
          <w:szCs w:val="16"/>
        </w:rPr>
        <w:t xml:space="preserve">  </w:t>
      </w:r>
      <w:r w:rsidR="004E440C" w:rsidRPr="00A77AF6">
        <w:rPr>
          <w:sz w:val="16"/>
          <w:szCs w:val="16"/>
        </w:rPr>
        <w:t xml:space="preserve">decision by the NHS Improvement Resources Committee). </w:t>
      </w:r>
      <w:r w:rsidRPr="00A77AF6">
        <w:rPr>
          <w:sz w:val="16"/>
          <w:szCs w:val="16"/>
        </w:rPr>
        <w:t>NHS Improvement will discuss individual whole-</w:t>
      </w:r>
    </w:p>
    <w:p w14:paraId="79F3BEFE" w14:textId="7927AA80" w:rsidR="00024AB2" w:rsidRPr="00A77AF6" w:rsidRDefault="00024AB2" w:rsidP="00024AB2">
      <w:pPr>
        <w:spacing w:after="0" w:line="240" w:lineRule="auto"/>
        <w:rPr>
          <w:sz w:val="16"/>
          <w:szCs w:val="16"/>
        </w:rPr>
      </w:pPr>
      <w:r w:rsidRPr="00A77AF6">
        <w:rPr>
          <w:sz w:val="16"/>
          <w:szCs w:val="16"/>
        </w:rPr>
        <w:t xml:space="preserve">  life cost cases that exceed £50 million with DH to confirm whether or not DH and HMT approval is required</w:t>
      </w:r>
    </w:p>
    <w:p w14:paraId="3E292406" w14:textId="2939C55A" w:rsidR="00024AB2" w:rsidRPr="00A77AF6" w:rsidRDefault="00024AB2" w:rsidP="00024AB2">
      <w:pPr>
        <w:spacing w:after="0" w:line="240" w:lineRule="auto"/>
        <w:rPr>
          <w:sz w:val="16"/>
          <w:szCs w:val="16"/>
        </w:rPr>
      </w:pPr>
      <w:r w:rsidRPr="00A77AF6">
        <w:rPr>
          <w:sz w:val="16"/>
          <w:szCs w:val="16"/>
        </w:rPr>
        <w:t xml:space="preserve">  for the business case. </w:t>
      </w:r>
    </w:p>
    <w:p w14:paraId="0D095398" w14:textId="77777777" w:rsidR="00024AB2" w:rsidRPr="00A77AF6" w:rsidRDefault="00024AB2" w:rsidP="00024AB2">
      <w:pPr>
        <w:pStyle w:val="Caption"/>
        <w:keepNext/>
        <w:spacing w:after="0"/>
      </w:pPr>
    </w:p>
    <w:p w14:paraId="48F0D3A6" w14:textId="4DA39184" w:rsidR="00024AB2" w:rsidRPr="00A77AF6" w:rsidRDefault="00024AB2" w:rsidP="00024AB2">
      <w:pPr>
        <w:spacing w:line="480" w:lineRule="auto"/>
        <w:rPr>
          <w:sz w:val="20"/>
        </w:rPr>
      </w:pPr>
      <w:r w:rsidRPr="00A77AF6">
        <w:rPr>
          <w:sz w:val="20"/>
        </w:rPr>
        <w:t>Source: adapted by the author from NHS Improvement (2016, p. 11)</w:t>
      </w:r>
    </w:p>
    <w:p w14:paraId="03BAEEBF" w14:textId="791150FC" w:rsidR="00355B6A" w:rsidRPr="00A77AF6" w:rsidRDefault="0059442C" w:rsidP="00C34441">
      <w:pPr>
        <w:spacing w:line="360" w:lineRule="auto"/>
      </w:pPr>
      <w:r w:rsidRPr="00A77AF6">
        <w:t xml:space="preserve">Table </w:t>
      </w:r>
      <w:r w:rsidR="00355B6A" w:rsidRPr="00A77AF6">
        <w:t>2-</w:t>
      </w:r>
      <w:r w:rsidRPr="00A77AF6">
        <w:t>3</w:t>
      </w:r>
      <w:r w:rsidR="00402503" w:rsidRPr="00A77AF6">
        <w:t xml:space="preserve"> shows that f</w:t>
      </w:r>
      <w:r w:rsidR="00B768E1" w:rsidRPr="00A77AF6">
        <w:t>or schemes u</w:t>
      </w:r>
      <w:r w:rsidR="00355B6A" w:rsidRPr="00A77AF6">
        <w:t xml:space="preserve">p to </w:t>
      </w:r>
      <w:r w:rsidR="00B768E1" w:rsidRPr="00A77AF6">
        <w:t xml:space="preserve">£15 million whole life cost, Trusts can use their own internal governance arrangements for approval.  For schemes between £15 and £30 million the scheme will need to </w:t>
      </w:r>
      <w:r w:rsidR="00C34441" w:rsidRPr="00A77AF6">
        <w:t xml:space="preserve">pass </w:t>
      </w:r>
      <w:r w:rsidR="00B768E1" w:rsidRPr="00A77AF6">
        <w:t xml:space="preserve">through the Trust’s own governance arrangements and will need to be approved by an executive director of resources </w:t>
      </w:r>
      <w:r w:rsidR="003514AC" w:rsidRPr="00A77AF6">
        <w:t xml:space="preserve">or deputy CEO </w:t>
      </w:r>
      <w:r w:rsidR="00B768E1" w:rsidRPr="00A77AF6">
        <w:t xml:space="preserve">of NHSI or </w:t>
      </w:r>
      <w:r w:rsidR="00DA2E0F" w:rsidRPr="00A77AF6">
        <w:t xml:space="preserve">the </w:t>
      </w:r>
      <w:r w:rsidR="00B768E1" w:rsidRPr="00A77AF6">
        <w:t>NHS</w:t>
      </w:r>
      <w:r w:rsidR="00E36F02">
        <w:t xml:space="preserve">I </w:t>
      </w:r>
      <w:r w:rsidR="00DA2E0F" w:rsidRPr="00A77AF6">
        <w:t>d</w:t>
      </w:r>
      <w:r w:rsidR="00B768E1" w:rsidRPr="00A77AF6">
        <w:t xml:space="preserve">irector of </w:t>
      </w:r>
      <w:r w:rsidR="00DA2E0F" w:rsidRPr="00A77AF6">
        <w:t>f</w:t>
      </w:r>
      <w:r w:rsidR="00B768E1" w:rsidRPr="00A77AF6">
        <w:t>inance and the DH.  Schemes costing between £30 and £50 million require approval by the Trust’s internal governance arrangements and the NHS Improvement Resources Committee and the DH.  Schemes over £50 million will require approval by the Trust’s own governance arrangements and NHS Improvement Committee.  These schemes may be referred to the NHS Improvement Board if the NHS Improvement Resources Committee considers it necessary.  The scheme could be referred to the D</w:t>
      </w:r>
      <w:r w:rsidR="00E636BF" w:rsidRPr="00A77AF6">
        <w:t xml:space="preserve">H </w:t>
      </w:r>
      <w:r w:rsidR="00B768E1" w:rsidRPr="00A77AF6">
        <w:t xml:space="preserve">and Her Majesty’s Treasury if NHS Improvement considers it appropriate </w:t>
      </w:r>
      <w:sdt>
        <w:sdtPr>
          <w:id w:val="1909194836"/>
          <w:citation/>
        </w:sdtPr>
        <w:sdtEndPr/>
        <w:sdtContent>
          <w:r w:rsidR="00B768E1" w:rsidRPr="00A77AF6">
            <w:fldChar w:fldCharType="begin"/>
          </w:r>
          <w:r w:rsidR="00B768E1" w:rsidRPr="00A77AF6">
            <w:instrText xml:space="preserve">CITATION NHS161 \l 2057 </w:instrText>
          </w:r>
          <w:r w:rsidR="00B768E1" w:rsidRPr="00A77AF6">
            <w:fldChar w:fldCharType="separate"/>
          </w:r>
          <w:r w:rsidR="008E653F" w:rsidRPr="00A77AF6">
            <w:t>(NHS Improvement, 2016)</w:t>
          </w:r>
          <w:r w:rsidR="00B768E1" w:rsidRPr="00A77AF6">
            <w:fldChar w:fldCharType="end"/>
          </w:r>
        </w:sdtContent>
      </w:sdt>
      <w:r w:rsidR="001D6B39" w:rsidRPr="00A77AF6">
        <w:t xml:space="preserve">. As projects become more </w:t>
      </w:r>
      <w:r w:rsidR="00AD7F83" w:rsidRPr="00A77AF6">
        <w:t>expensive,</w:t>
      </w:r>
      <w:r w:rsidR="001D6B39" w:rsidRPr="00A77AF6">
        <w:t xml:space="preserve"> they are subjected to a more rigorous approvals process. </w:t>
      </w:r>
    </w:p>
    <w:p w14:paraId="2F501430" w14:textId="2FFE3091" w:rsidR="001D5743" w:rsidRPr="00A77AF6" w:rsidRDefault="001D5743" w:rsidP="00355B6A">
      <w:pPr>
        <w:rPr>
          <w:u w:val="single"/>
        </w:rPr>
      </w:pPr>
      <w:r w:rsidRPr="00A77AF6">
        <w:rPr>
          <w:u w:val="single"/>
        </w:rPr>
        <w:t xml:space="preserve">The </w:t>
      </w:r>
      <w:r w:rsidR="00C34441" w:rsidRPr="00A77AF6">
        <w:rPr>
          <w:u w:val="single"/>
        </w:rPr>
        <w:t xml:space="preserve">NHS </w:t>
      </w:r>
      <w:r w:rsidR="00F83E2E" w:rsidRPr="00A77AF6">
        <w:rPr>
          <w:u w:val="single"/>
        </w:rPr>
        <w:t>b</w:t>
      </w:r>
      <w:r w:rsidRPr="00A77AF6">
        <w:rPr>
          <w:u w:val="single"/>
        </w:rPr>
        <w:t xml:space="preserve">usiness </w:t>
      </w:r>
      <w:r w:rsidR="00F83E2E" w:rsidRPr="00A77AF6">
        <w:rPr>
          <w:u w:val="single"/>
        </w:rPr>
        <w:t>c</w:t>
      </w:r>
      <w:r w:rsidRPr="00A77AF6">
        <w:rPr>
          <w:u w:val="single"/>
        </w:rPr>
        <w:t xml:space="preserve">ase </w:t>
      </w:r>
      <w:r w:rsidR="00F83E2E" w:rsidRPr="00A77AF6">
        <w:rPr>
          <w:u w:val="single"/>
        </w:rPr>
        <w:t>p</w:t>
      </w:r>
      <w:r w:rsidRPr="00A77AF6">
        <w:rPr>
          <w:u w:val="single"/>
        </w:rPr>
        <w:t>rocess</w:t>
      </w:r>
    </w:p>
    <w:p w14:paraId="3565D3A7" w14:textId="29EAF080" w:rsidR="00B768E1" w:rsidRPr="00A77AF6" w:rsidRDefault="001D5743" w:rsidP="00C34441">
      <w:pPr>
        <w:spacing w:line="360" w:lineRule="auto"/>
      </w:pPr>
      <w:r w:rsidRPr="00A77AF6">
        <w:t xml:space="preserve">Regardless of </w:t>
      </w:r>
      <w:r w:rsidR="00EA1C25" w:rsidRPr="00A77AF6">
        <w:t>the status of an NHS</w:t>
      </w:r>
      <w:r w:rsidRPr="00A77AF6">
        <w:t xml:space="preserve"> Trust</w:t>
      </w:r>
      <w:r w:rsidR="00EA1C25" w:rsidRPr="00A77AF6">
        <w:t xml:space="preserve">, </w:t>
      </w:r>
      <w:r w:rsidRPr="00A77AF6">
        <w:t xml:space="preserve">each </w:t>
      </w:r>
      <w:r w:rsidR="00EA1C25" w:rsidRPr="00A77AF6">
        <w:t xml:space="preserve">construction </w:t>
      </w:r>
      <w:r w:rsidRPr="00A77AF6">
        <w:t xml:space="preserve">project requires a business case which </w:t>
      </w:r>
      <w:r w:rsidR="00EA1C25" w:rsidRPr="00A77AF6">
        <w:t xml:space="preserve">sets out the need and justification for the project. The business case </w:t>
      </w:r>
      <w:r w:rsidRPr="00A77AF6">
        <w:t>proceed</w:t>
      </w:r>
      <w:r w:rsidR="00EA1C25" w:rsidRPr="00A77AF6">
        <w:t>s</w:t>
      </w:r>
      <w:r w:rsidRPr="00A77AF6">
        <w:t xml:space="preserve"> up through the relevant </w:t>
      </w:r>
      <w:r w:rsidR="000C7FEE" w:rsidRPr="00A77AF6">
        <w:t xml:space="preserve">approvals </w:t>
      </w:r>
      <w:r w:rsidRPr="00A77AF6">
        <w:t>route</w:t>
      </w:r>
      <w:r w:rsidR="00EA1C25" w:rsidRPr="00A77AF6">
        <w:t xml:space="preserve"> at set times </w:t>
      </w:r>
      <w:r w:rsidR="007A7087" w:rsidRPr="00A77AF6">
        <w:t xml:space="preserve">as it </w:t>
      </w:r>
      <w:r w:rsidR="00977CCD" w:rsidRPr="00A77AF6">
        <w:t xml:space="preserve">goes though the </w:t>
      </w:r>
      <w:r w:rsidR="0063796A" w:rsidRPr="00A77AF6">
        <w:t xml:space="preserve">governance </w:t>
      </w:r>
      <w:r w:rsidR="00EA1C25" w:rsidRPr="00A77AF6">
        <w:t xml:space="preserve">process. </w:t>
      </w:r>
      <w:r w:rsidRPr="00A77AF6">
        <w:t xml:space="preserve"> </w:t>
      </w:r>
      <w:r w:rsidR="00B768E1" w:rsidRPr="00A77AF6">
        <w:t>As the project progresses through the project lifecycle</w:t>
      </w:r>
      <w:r w:rsidR="00C34441" w:rsidRPr="00A77AF6">
        <w:t xml:space="preserve"> </w:t>
      </w:r>
      <w:r w:rsidR="00B768E1" w:rsidRPr="00A77AF6">
        <w:t>more detail is required</w:t>
      </w:r>
      <w:r w:rsidR="00B842BF" w:rsidRPr="00A77AF6">
        <w:t xml:space="preserve"> in the business case</w:t>
      </w:r>
      <w:r w:rsidR="00B768E1" w:rsidRPr="00A77AF6">
        <w:t xml:space="preserve">.  The SOC is produced at the beginning of the project to confirm that the project fits with the strategic direction of the Trust.  The OBC confirms that the best value for money option has been selected and that the scheme is affordable and deliverable.  The FBC is produced just before the contract is </w:t>
      </w:r>
      <w:r w:rsidR="00B768E1" w:rsidRPr="00A77AF6">
        <w:lastRenderedPageBreak/>
        <w:t xml:space="preserve">let to confirm that that project is affordable in the short and long term.  The ABC (appointment business case) is produced when a contractor is appointed and the CBC (confirming business case) is for PFI schemes to confirm that any conditions made at ABC stage have been met </w:t>
      </w:r>
      <w:sdt>
        <w:sdtPr>
          <w:id w:val="246238489"/>
          <w:citation/>
        </w:sdtPr>
        <w:sdtEndPr/>
        <w:sdtContent>
          <w:r w:rsidR="00B768E1" w:rsidRPr="00A77AF6">
            <w:fldChar w:fldCharType="begin"/>
          </w:r>
          <w:r w:rsidR="00B768E1" w:rsidRPr="00A77AF6">
            <w:instrText xml:space="preserve">CITATION NHS161 \l 2057 </w:instrText>
          </w:r>
          <w:r w:rsidR="00B768E1" w:rsidRPr="00A77AF6">
            <w:fldChar w:fldCharType="separate"/>
          </w:r>
          <w:r w:rsidR="008E653F" w:rsidRPr="00A77AF6">
            <w:t>(NHS Improvement, 2016)</w:t>
          </w:r>
          <w:r w:rsidR="00B768E1" w:rsidRPr="00A77AF6">
            <w:fldChar w:fldCharType="end"/>
          </w:r>
        </w:sdtContent>
      </w:sdt>
      <w:r w:rsidR="002B7E7E" w:rsidRPr="00A77AF6">
        <w:t xml:space="preserve">.  Projects are appraised over a </w:t>
      </w:r>
      <w:r w:rsidRPr="00A77AF6">
        <w:t>60-year</w:t>
      </w:r>
      <w:r w:rsidR="002B7E7E" w:rsidRPr="00A77AF6">
        <w:t xml:space="preserve"> period, which is the economic life of an NHS building </w:t>
      </w:r>
      <w:sdt>
        <w:sdtPr>
          <w:id w:val="-1778021702"/>
          <w:citation/>
        </w:sdtPr>
        <w:sdtEndPr/>
        <w:sdtContent>
          <w:r w:rsidR="002B7E7E" w:rsidRPr="00A77AF6">
            <w:fldChar w:fldCharType="begin"/>
          </w:r>
          <w:r w:rsidR="002B7E7E" w:rsidRPr="00A77AF6">
            <w:instrText xml:space="preserve"> CITATION NHS94 \l 2057 </w:instrText>
          </w:r>
          <w:r w:rsidR="002B7E7E" w:rsidRPr="00A77AF6">
            <w:fldChar w:fldCharType="separate"/>
          </w:r>
          <w:r w:rsidR="008E653F" w:rsidRPr="00A77AF6">
            <w:t>(NHS Executive, 1994)</w:t>
          </w:r>
          <w:r w:rsidR="002B7E7E" w:rsidRPr="00A77AF6">
            <w:fldChar w:fldCharType="end"/>
          </w:r>
        </w:sdtContent>
      </w:sdt>
      <w:r w:rsidR="002B7E7E" w:rsidRPr="00A77AF6">
        <w:t>.</w:t>
      </w:r>
    </w:p>
    <w:p w14:paraId="7B836CFE" w14:textId="2698C0B4" w:rsidR="00EA1C25" w:rsidRPr="00A77AF6" w:rsidRDefault="001D5743" w:rsidP="00355B6A">
      <w:pPr>
        <w:spacing w:line="360" w:lineRule="auto"/>
      </w:pPr>
      <w:r w:rsidRPr="00A77AF6">
        <w:t>An example of the b</w:t>
      </w:r>
      <w:r w:rsidR="00B768E1" w:rsidRPr="00A77AF6">
        <w:t xml:space="preserve">usiness case requirement </w:t>
      </w:r>
      <w:r w:rsidR="000336AB" w:rsidRPr="00A77AF6">
        <w:t xml:space="preserve">for a </w:t>
      </w:r>
      <w:r w:rsidR="00337448" w:rsidRPr="00A77AF6">
        <w:t>non-FT</w:t>
      </w:r>
      <w:r w:rsidR="000336AB" w:rsidRPr="00A77AF6">
        <w:t xml:space="preserve"> or an FT in financial distress </w:t>
      </w:r>
      <w:r w:rsidR="00B768E1" w:rsidRPr="00A77AF6">
        <w:t xml:space="preserve">is shown in </w:t>
      </w:r>
      <w:r w:rsidR="0059442C" w:rsidRPr="00A77AF6">
        <w:t xml:space="preserve">Table </w:t>
      </w:r>
      <w:r w:rsidR="00236B95" w:rsidRPr="00A77AF6">
        <w:t>2-</w:t>
      </w:r>
      <w:r w:rsidR="0059442C" w:rsidRPr="00A77AF6">
        <w:t>4. This indicates</w:t>
      </w:r>
      <w:r w:rsidR="00B768E1" w:rsidRPr="00A77AF6">
        <w:t xml:space="preserve"> that below £15 million the Trust’s internal governance processes apply</w:t>
      </w:r>
      <w:r w:rsidR="0059442C" w:rsidRPr="00A77AF6">
        <w:t xml:space="preserve"> whilst schemes b</w:t>
      </w:r>
      <w:r w:rsidR="00B768E1" w:rsidRPr="00A77AF6">
        <w:t>etween £15 and £30 million</w:t>
      </w:r>
      <w:r w:rsidR="0059442C" w:rsidRPr="00A77AF6">
        <w:t xml:space="preserve"> </w:t>
      </w:r>
      <w:r w:rsidR="00E96A61" w:rsidRPr="00A77AF6">
        <w:t xml:space="preserve">always </w:t>
      </w:r>
      <w:r w:rsidR="0059442C" w:rsidRPr="00A77AF6">
        <w:t xml:space="preserve">require </w:t>
      </w:r>
      <w:r w:rsidR="00B768E1" w:rsidRPr="00A77AF6">
        <w:t>an OBC and FBC</w:t>
      </w:r>
      <w:r w:rsidR="0059442C" w:rsidRPr="00A77AF6">
        <w:t xml:space="preserve">. </w:t>
      </w:r>
      <w:r w:rsidR="00B768E1" w:rsidRPr="00A77AF6">
        <w:t xml:space="preserve"> A SOC is needed if the scheme needs </w:t>
      </w:r>
      <w:r w:rsidR="00EA1C25" w:rsidRPr="00A77AF6">
        <w:t xml:space="preserve">the </w:t>
      </w:r>
      <w:r w:rsidR="00B768E1" w:rsidRPr="00A77AF6">
        <w:t xml:space="preserve">DH </w:t>
      </w:r>
      <w:r w:rsidR="00EA1C25" w:rsidRPr="00A77AF6">
        <w:t xml:space="preserve">to provide project </w:t>
      </w:r>
      <w:r w:rsidR="00B768E1" w:rsidRPr="00A77AF6">
        <w:t>finance.  Between £30 and £50 million and above £50 million, five business cases may be required</w:t>
      </w:r>
      <w:r w:rsidR="00EA1C25" w:rsidRPr="00A77AF6">
        <w:t xml:space="preserve"> depending on the procurement route</w:t>
      </w:r>
      <w:r w:rsidR="00B768E1" w:rsidRPr="00A77AF6">
        <w:t xml:space="preserve">: SOC, OBC, FBC, ABC and CBC.   In all cases except for schemes below £15 </w:t>
      </w:r>
      <w:r w:rsidR="000D2BFF" w:rsidRPr="00A77AF6">
        <w:t>million,</w:t>
      </w:r>
      <w:r w:rsidR="00B768E1" w:rsidRPr="00A77AF6">
        <w:t xml:space="preserve"> the Trust must also provide a clinical quality checklist. </w:t>
      </w:r>
    </w:p>
    <w:p w14:paraId="448D7977" w14:textId="493D942D" w:rsidR="00236B95" w:rsidRPr="00A77AF6" w:rsidRDefault="00236B95" w:rsidP="00236B95">
      <w:pPr>
        <w:pStyle w:val="Caption"/>
        <w:keepNext/>
        <w:spacing w:after="120"/>
      </w:pPr>
      <w:r w:rsidRPr="00A77AF6">
        <w:t xml:space="preserve">Table </w:t>
      </w:r>
      <w:fldSimple w:instr=" STYLEREF 1 \s ">
        <w:r w:rsidR="000441F7">
          <w:rPr>
            <w:noProof/>
          </w:rPr>
          <w:t>2</w:t>
        </w:r>
      </w:fldSimple>
      <w:r w:rsidR="00804112">
        <w:noBreakHyphen/>
      </w:r>
      <w:fldSimple w:instr=" SEQ Table \* ARABIC \s 1 ">
        <w:r w:rsidR="000441F7">
          <w:rPr>
            <w:noProof/>
          </w:rPr>
          <w:t>4</w:t>
        </w:r>
      </w:fldSimple>
      <w:r w:rsidRPr="00A77AF6">
        <w:t>: Delegated limit and business case requirement for NHS trusts and foundation trusts in financial distress</w:t>
      </w:r>
    </w:p>
    <w:tbl>
      <w:tblPr>
        <w:tblStyle w:val="TableGrid"/>
        <w:tblW w:w="0" w:type="auto"/>
        <w:tblLook w:val="04A0" w:firstRow="1" w:lastRow="0" w:firstColumn="1" w:lastColumn="0" w:noHBand="0" w:noVBand="1"/>
      </w:tblPr>
      <w:tblGrid>
        <w:gridCol w:w="2739"/>
        <w:gridCol w:w="2739"/>
        <w:gridCol w:w="2739"/>
      </w:tblGrid>
      <w:tr w:rsidR="001772E7" w:rsidRPr="00A77AF6" w14:paraId="02B3C1C1" w14:textId="37A30292" w:rsidTr="001772E7">
        <w:tc>
          <w:tcPr>
            <w:tcW w:w="2739" w:type="dxa"/>
            <w:shd w:val="clear" w:color="auto" w:fill="D9D9D9" w:themeFill="background1" w:themeFillShade="D9"/>
          </w:tcPr>
          <w:p w14:paraId="250C31B4" w14:textId="07AC5853" w:rsidR="001772E7" w:rsidRPr="00A77AF6" w:rsidRDefault="001772E7" w:rsidP="00236B95">
            <w:pPr>
              <w:spacing w:after="6"/>
              <w:rPr>
                <w:sz w:val="20"/>
                <w:szCs w:val="20"/>
              </w:rPr>
            </w:pPr>
            <w:r w:rsidRPr="00A77AF6">
              <w:rPr>
                <w:sz w:val="20"/>
                <w:szCs w:val="20"/>
              </w:rPr>
              <w:t>Financial value of the capital investment or property transaction</w:t>
            </w:r>
          </w:p>
        </w:tc>
        <w:tc>
          <w:tcPr>
            <w:tcW w:w="2739" w:type="dxa"/>
            <w:shd w:val="clear" w:color="auto" w:fill="D9D9D9" w:themeFill="background1" w:themeFillShade="D9"/>
          </w:tcPr>
          <w:p w14:paraId="5FDB7F69" w14:textId="080062FB" w:rsidR="001772E7" w:rsidRPr="00A77AF6" w:rsidRDefault="001772E7" w:rsidP="00236B95">
            <w:pPr>
              <w:spacing w:after="6"/>
              <w:rPr>
                <w:sz w:val="20"/>
                <w:szCs w:val="20"/>
              </w:rPr>
            </w:pPr>
            <w:r w:rsidRPr="00A77AF6">
              <w:rPr>
                <w:sz w:val="20"/>
                <w:szCs w:val="20"/>
              </w:rPr>
              <w:t>Key stage documentation</w:t>
            </w:r>
          </w:p>
        </w:tc>
        <w:tc>
          <w:tcPr>
            <w:tcW w:w="2739" w:type="dxa"/>
            <w:shd w:val="clear" w:color="auto" w:fill="D9D9D9" w:themeFill="background1" w:themeFillShade="D9"/>
          </w:tcPr>
          <w:p w14:paraId="03A6721C" w14:textId="287824DA" w:rsidR="001772E7" w:rsidRPr="00A77AF6" w:rsidRDefault="00236B95" w:rsidP="00236B95">
            <w:pPr>
              <w:spacing w:after="6"/>
              <w:rPr>
                <w:sz w:val="20"/>
                <w:szCs w:val="20"/>
              </w:rPr>
            </w:pPr>
            <w:r w:rsidRPr="00A77AF6">
              <w:rPr>
                <w:sz w:val="20"/>
                <w:szCs w:val="20"/>
              </w:rPr>
              <w:t>Business case core checklist required</w:t>
            </w:r>
          </w:p>
        </w:tc>
      </w:tr>
      <w:tr w:rsidR="001772E7" w:rsidRPr="00A77AF6" w14:paraId="15C97740" w14:textId="23745232" w:rsidTr="001772E7">
        <w:tc>
          <w:tcPr>
            <w:tcW w:w="2739" w:type="dxa"/>
          </w:tcPr>
          <w:p w14:paraId="451CBE16" w14:textId="77777777" w:rsidR="001772E7" w:rsidRPr="00A77AF6" w:rsidRDefault="001772E7" w:rsidP="00236B95">
            <w:pPr>
              <w:spacing w:after="6"/>
              <w:rPr>
                <w:sz w:val="20"/>
                <w:szCs w:val="20"/>
              </w:rPr>
            </w:pPr>
            <w:r w:rsidRPr="00A77AF6">
              <w:rPr>
                <w:sz w:val="20"/>
                <w:szCs w:val="20"/>
              </w:rPr>
              <w:t>Up to £15 million</w:t>
            </w:r>
          </w:p>
        </w:tc>
        <w:tc>
          <w:tcPr>
            <w:tcW w:w="2739" w:type="dxa"/>
          </w:tcPr>
          <w:p w14:paraId="7AB53BF1" w14:textId="027FB76F" w:rsidR="001772E7" w:rsidRPr="00A77AF6" w:rsidRDefault="001772E7" w:rsidP="00236B95">
            <w:pPr>
              <w:spacing w:after="6"/>
              <w:rPr>
                <w:sz w:val="20"/>
                <w:szCs w:val="20"/>
              </w:rPr>
            </w:pPr>
            <w:r w:rsidRPr="00A77AF6">
              <w:rPr>
                <w:sz w:val="20"/>
                <w:szCs w:val="20"/>
              </w:rPr>
              <w:t xml:space="preserve">Trusts </w:t>
            </w:r>
            <w:r w:rsidR="00236B95" w:rsidRPr="00A77AF6">
              <w:rPr>
                <w:sz w:val="20"/>
                <w:szCs w:val="20"/>
              </w:rPr>
              <w:t xml:space="preserve">internal </w:t>
            </w:r>
            <w:r w:rsidRPr="00A77AF6">
              <w:rPr>
                <w:sz w:val="20"/>
                <w:szCs w:val="20"/>
              </w:rPr>
              <w:t xml:space="preserve">governance </w:t>
            </w:r>
            <w:r w:rsidR="00236B95" w:rsidRPr="00A77AF6">
              <w:rPr>
                <w:sz w:val="20"/>
                <w:szCs w:val="20"/>
              </w:rPr>
              <w:t>process</w:t>
            </w:r>
          </w:p>
        </w:tc>
        <w:tc>
          <w:tcPr>
            <w:tcW w:w="2739" w:type="dxa"/>
          </w:tcPr>
          <w:p w14:paraId="40822094" w14:textId="6E60E8D5" w:rsidR="001772E7" w:rsidRPr="00A77AF6" w:rsidRDefault="00236B95" w:rsidP="00236B95">
            <w:pPr>
              <w:spacing w:after="6"/>
              <w:rPr>
                <w:sz w:val="20"/>
                <w:szCs w:val="20"/>
              </w:rPr>
            </w:pPr>
            <w:r w:rsidRPr="00A77AF6">
              <w:rPr>
                <w:sz w:val="20"/>
                <w:szCs w:val="20"/>
              </w:rPr>
              <w:t>No</w:t>
            </w:r>
          </w:p>
        </w:tc>
      </w:tr>
      <w:tr w:rsidR="001772E7" w:rsidRPr="00A77AF6" w14:paraId="1598D954" w14:textId="5B28B47E" w:rsidTr="001772E7">
        <w:tc>
          <w:tcPr>
            <w:tcW w:w="2739" w:type="dxa"/>
          </w:tcPr>
          <w:p w14:paraId="6CF09EE6" w14:textId="77777777" w:rsidR="001772E7" w:rsidRPr="00A77AF6" w:rsidRDefault="001772E7" w:rsidP="00236B95">
            <w:pPr>
              <w:spacing w:after="6"/>
              <w:rPr>
                <w:sz w:val="20"/>
                <w:szCs w:val="20"/>
              </w:rPr>
            </w:pPr>
            <w:r w:rsidRPr="00A77AF6">
              <w:rPr>
                <w:sz w:val="20"/>
                <w:szCs w:val="20"/>
              </w:rPr>
              <w:t>£15 million to £30 million</w:t>
            </w:r>
          </w:p>
        </w:tc>
        <w:tc>
          <w:tcPr>
            <w:tcW w:w="2739" w:type="dxa"/>
          </w:tcPr>
          <w:p w14:paraId="660CD6C9" w14:textId="5795EB5C" w:rsidR="001772E7" w:rsidRPr="00A77AF6" w:rsidRDefault="00236B95" w:rsidP="00236B95">
            <w:pPr>
              <w:spacing w:after="6"/>
              <w:rPr>
                <w:sz w:val="20"/>
                <w:szCs w:val="20"/>
              </w:rPr>
            </w:pPr>
            <w:r w:rsidRPr="00A77AF6">
              <w:rPr>
                <w:sz w:val="20"/>
                <w:szCs w:val="20"/>
              </w:rPr>
              <w:t>OBC and FBC required (SOC also required for any scheme requiring DH finance)</w:t>
            </w:r>
          </w:p>
        </w:tc>
        <w:tc>
          <w:tcPr>
            <w:tcW w:w="2739" w:type="dxa"/>
          </w:tcPr>
          <w:p w14:paraId="43A120BD" w14:textId="71B712AB" w:rsidR="001772E7" w:rsidRPr="00A77AF6" w:rsidRDefault="00236B95" w:rsidP="00236B95">
            <w:pPr>
              <w:spacing w:after="6"/>
              <w:rPr>
                <w:sz w:val="20"/>
                <w:szCs w:val="20"/>
              </w:rPr>
            </w:pPr>
            <w:r w:rsidRPr="00A77AF6">
              <w:rPr>
                <w:sz w:val="20"/>
                <w:szCs w:val="20"/>
              </w:rPr>
              <w:t>Yes, plus the clinical quality checklist for all business cases with a patient facing or clinical aspect</w:t>
            </w:r>
          </w:p>
        </w:tc>
      </w:tr>
      <w:tr w:rsidR="001772E7" w:rsidRPr="00A77AF6" w14:paraId="0578CB2C" w14:textId="1771B9C5" w:rsidTr="001772E7">
        <w:tc>
          <w:tcPr>
            <w:tcW w:w="2739" w:type="dxa"/>
          </w:tcPr>
          <w:p w14:paraId="23D62C1B" w14:textId="77777777" w:rsidR="001772E7" w:rsidRPr="00A77AF6" w:rsidRDefault="001772E7" w:rsidP="00236B95">
            <w:pPr>
              <w:spacing w:after="6"/>
              <w:rPr>
                <w:sz w:val="20"/>
                <w:szCs w:val="20"/>
              </w:rPr>
            </w:pPr>
            <w:r w:rsidRPr="00A77AF6">
              <w:rPr>
                <w:sz w:val="20"/>
                <w:szCs w:val="20"/>
              </w:rPr>
              <w:t xml:space="preserve">£30 million - £50 million </w:t>
            </w:r>
          </w:p>
        </w:tc>
        <w:tc>
          <w:tcPr>
            <w:tcW w:w="2739" w:type="dxa"/>
          </w:tcPr>
          <w:p w14:paraId="6A66D150" w14:textId="23532D46" w:rsidR="001772E7" w:rsidRPr="00A77AF6" w:rsidRDefault="00236B95" w:rsidP="00236B95">
            <w:pPr>
              <w:spacing w:after="6"/>
              <w:rPr>
                <w:sz w:val="20"/>
                <w:szCs w:val="20"/>
              </w:rPr>
            </w:pPr>
            <w:r w:rsidRPr="00A77AF6">
              <w:rPr>
                <w:sz w:val="20"/>
                <w:szCs w:val="20"/>
              </w:rPr>
              <w:t>SOC, OBC and FBC required (or SOC, PFI/PF2 ABC, PFI/PF2 CBC) (for the purposes of this document PFI/PH2 includes LIFT***</w:t>
            </w:r>
          </w:p>
        </w:tc>
        <w:tc>
          <w:tcPr>
            <w:tcW w:w="2739" w:type="dxa"/>
          </w:tcPr>
          <w:p w14:paraId="00F07C82" w14:textId="792929CE" w:rsidR="001772E7" w:rsidRPr="00A77AF6" w:rsidRDefault="00236B95" w:rsidP="00236B95">
            <w:pPr>
              <w:spacing w:after="6"/>
              <w:rPr>
                <w:sz w:val="20"/>
                <w:szCs w:val="20"/>
              </w:rPr>
            </w:pPr>
            <w:r w:rsidRPr="00A77AF6">
              <w:rPr>
                <w:sz w:val="20"/>
                <w:szCs w:val="20"/>
              </w:rPr>
              <w:t>Yes, plus the clinical quality checklist for all business cases with a patient facing or clinical aspect</w:t>
            </w:r>
          </w:p>
        </w:tc>
      </w:tr>
      <w:tr w:rsidR="001772E7" w:rsidRPr="00A77AF6" w14:paraId="4A0FCA14" w14:textId="24E534B6" w:rsidTr="001772E7">
        <w:tc>
          <w:tcPr>
            <w:tcW w:w="2739" w:type="dxa"/>
          </w:tcPr>
          <w:p w14:paraId="06171A0D" w14:textId="77777777" w:rsidR="001772E7" w:rsidRPr="00A77AF6" w:rsidRDefault="001772E7" w:rsidP="00236B95">
            <w:pPr>
              <w:spacing w:after="6"/>
              <w:rPr>
                <w:sz w:val="20"/>
                <w:szCs w:val="20"/>
              </w:rPr>
            </w:pPr>
            <w:r w:rsidRPr="00A77AF6">
              <w:rPr>
                <w:sz w:val="20"/>
                <w:szCs w:val="20"/>
              </w:rPr>
              <w:t xml:space="preserve">Over £50 million </w:t>
            </w:r>
          </w:p>
        </w:tc>
        <w:tc>
          <w:tcPr>
            <w:tcW w:w="2739" w:type="dxa"/>
          </w:tcPr>
          <w:p w14:paraId="55E4EAC7" w14:textId="6561610A" w:rsidR="001772E7" w:rsidRPr="00A77AF6" w:rsidRDefault="00236B95" w:rsidP="00236B95">
            <w:pPr>
              <w:spacing w:after="6"/>
              <w:rPr>
                <w:sz w:val="20"/>
                <w:szCs w:val="20"/>
              </w:rPr>
            </w:pPr>
            <w:r w:rsidRPr="00A77AF6">
              <w:rPr>
                <w:sz w:val="20"/>
                <w:szCs w:val="20"/>
              </w:rPr>
              <w:t xml:space="preserve">SOC, OBC and FBC required (or SOC, PFI/PF2 ABC, PFI/PF2 CBC) </w:t>
            </w:r>
          </w:p>
        </w:tc>
        <w:tc>
          <w:tcPr>
            <w:tcW w:w="2739" w:type="dxa"/>
          </w:tcPr>
          <w:p w14:paraId="0823E76A" w14:textId="3B35B5CD" w:rsidR="001772E7" w:rsidRPr="00A77AF6" w:rsidRDefault="00236B95" w:rsidP="00236B95">
            <w:pPr>
              <w:spacing w:after="6"/>
              <w:rPr>
                <w:sz w:val="20"/>
                <w:szCs w:val="20"/>
              </w:rPr>
            </w:pPr>
            <w:r w:rsidRPr="00A77AF6">
              <w:rPr>
                <w:sz w:val="20"/>
                <w:szCs w:val="20"/>
              </w:rPr>
              <w:t>Yes, plus the clinical quality checklist for all business cases with a patient facing or clinical aspect</w:t>
            </w:r>
          </w:p>
        </w:tc>
      </w:tr>
    </w:tbl>
    <w:p w14:paraId="2869AFDC" w14:textId="426477C2" w:rsidR="0059442C" w:rsidRPr="00A77AF6" w:rsidRDefault="00236B95" w:rsidP="00236B95">
      <w:pPr>
        <w:spacing w:line="480" w:lineRule="auto"/>
        <w:rPr>
          <w:sz w:val="20"/>
        </w:rPr>
      </w:pPr>
      <w:r w:rsidRPr="00A77AF6">
        <w:rPr>
          <w:sz w:val="20"/>
        </w:rPr>
        <w:t>Source: Adapted by the author from NHS Improvement (2016, p. 16)</w:t>
      </w:r>
    </w:p>
    <w:p w14:paraId="5F57FE8B" w14:textId="18232101" w:rsidR="00C84C1B" w:rsidRPr="00A77AF6" w:rsidRDefault="00B768E1" w:rsidP="009E6979">
      <w:pPr>
        <w:spacing w:line="360" w:lineRule="auto"/>
      </w:pPr>
      <w:r w:rsidRPr="00A77AF6">
        <w:t xml:space="preserve">A SOC, OBC and FBC </w:t>
      </w:r>
      <w:r w:rsidR="00355B6A" w:rsidRPr="00A77AF6">
        <w:t>must have</w:t>
      </w:r>
      <w:r w:rsidR="000336AB" w:rsidRPr="00A77AF6">
        <w:t xml:space="preserve"> increasingly detailed </w:t>
      </w:r>
      <w:r w:rsidRPr="00A77AF6">
        <w:t>information</w:t>
      </w:r>
      <w:r w:rsidR="00355B6A" w:rsidRPr="00A77AF6">
        <w:t xml:space="preserve"> about the project</w:t>
      </w:r>
      <w:r w:rsidR="000336AB" w:rsidRPr="00A77AF6">
        <w:t xml:space="preserve">. </w:t>
      </w:r>
      <w:r w:rsidR="00EA1C25" w:rsidRPr="00A77AF6">
        <w:t xml:space="preserve">The </w:t>
      </w:r>
      <w:r w:rsidR="00091A04" w:rsidRPr="00A77AF6">
        <w:t xml:space="preserve">business case is </w:t>
      </w:r>
      <w:r w:rsidR="00337448" w:rsidRPr="00A77AF6">
        <w:t xml:space="preserve">structured </w:t>
      </w:r>
      <w:r w:rsidR="00091A04" w:rsidRPr="00A77AF6">
        <w:t xml:space="preserve">in 6 chapters or ‘cases’: strategic, quality, economic, commercial, financial and management. </w:t>
      </w:r>
      <w:r w:rsidR="000336AB" w:rsidRPr="00A77AF6">
        <w:t xml:space="preserve">Figure </w:t>
      </w:r>
      <w:r w:rsidR="00236B95" w:rsidRPr="00A77AF6">
        <w:t>2-8</w:t>
      </w:r>
      <w:r w:rsidR="000336AB" w:rsidRPr="00A77AF6">
        <w:t xml:space="preserve"> shows the different levels of information required in each of the six cases at SOC, OBC and FBC.  </w:t>
      </w:r>
      <w:r w:rsidR="00337448" w:rsidRPr="00A77AF6">
        <w:t>All</w:t>
      </w:r>
      <w:r w:rsidR="000336AB" w:rsidRPr="00A77AF6">
        <w:t xml:space="preserve"> information must be provided at FBC, but less is required at </w:t>
      </w:r>
      <w:r w:rsidR="00DD6999" w:rsidRPr="00A77AF6">
        <w:t>O</w:t>
      </w:r>
      <w:r w:rsidR="000336AB" w:rsidRPr="00A77AF6">
        <w:t xml:space="preserve">BC and less at SOC.  </w:t>
      </w:r>
      <w:r w:rsidRPr="00A77AF6">
        <w:t>The business case</w:t>
      </w:r>
      <w:r w:rsidR="000336AB" w:rsidRPr="00A77AF6">
        <w:t xml:space="preserve"> content is </w:t>
      </w:r>
      <w:r w:rsidRPr="00A77AF6">
        <w:t>underpinned by the C</w:t>
      </w:r>
      <w:r w:rsidR="00DD6999" w:rsidRPr="00A77AF6">
        <w:t>IM</w:t>
      </w:r>
      <w:r w:rsidRPr="00A77AF6">
        <w:t xml:space="preserve"> (1994), HM Treasury</w:t>
      </w:r>
      <w:r w:rsidR="00236B95" w:rsidRPr="00A77AF6">
        <w:t>’s</w:t>
      </w:r>
      <w:r w:rsidRPr="00A77AF6">
        <w:t xml:space="preserve"> Green Book (201</w:t>
      </w:r>
      <w:r w:rsidR="00D927A9" w:rsidRPr="00A77AF6">
        <w:t>8</w:t>
      </w:r>
      <w:r w:rsidRPr="00A77AF6">
        <w:t xml:space="preserve">) and </w:t>
      </w:r>
      <w:r w:rsidR="000336AB" w:rsidRPr="00A77AF6">
        <w:t>the Guide to Developing the Business Case</w:t>
      </w:r>
      <w:r w:rsidR="00D927A9" w:rsidRPr="00A77AF6">
        <w:t xml:space="preserve"> (2018)</w:t>
      </w:r>
      <w:r w:rsidR="000336AB" w:rsidRPr="00A77AF6">
        <w:t xml:space="preserve">. </w:t>
      </w:r>
      <w:r w:rsidR="00355B6A" w:rsidRPr="00A77AF6">
        <w:t>B</w:t>
      </w:r>
      <w:r w:rsidR="00C84C1B" w:rsidRPr="00A77AF6">
        <w:t>usiness case</w:t>
      </w:r>
      <w:r w:rsidR="00355B6A" w:rsidRPr="00A77AF6">
        <w:t>s</w:t>
      </w:r>
      <w:r w:rsidR="00C84C1B" w:rsidRPr="00A77AF6">
        <w:t xml:space="preserve"> for NHS</w:t>
      </w:r>
      <w:r w:rsidR="00A57D1D" w:rsidRPr="00A77AF6">
        <w:t xml:space="preserve"> construction </w:t>
      </w:r>
      <w:r w:rsidR="00C84C1B" w:rsidRPr="00A77AF6">
        <w:t xml:space="preserve">projects are required to show the cost and benefits of a project for 60 years </w:t>
      </w:r>
      <w:sdt>
        <w:sdtPr>
          <w:id w:val="793559545"/>
          <w:citation/>
        </w:sdtPr>
        <w:sdtEndPr/>
        <w:sdtContent>
          <w:r w:rsidR="008B1F70" w:rsidRPr="00A77AF6">
            <w:fldChar w:fldCharType="begin"/>
          </w:r>
          <w:r w:rsidR="008B1F70" w:rsidRPr="00A77AF6">
            <w:instrText xml:space="preserve"> CITATION HMT18 \l 2057 </w:instrText>
          </w:r>
          <w:r w:rsidR="008B1F70" w:rsidRPr="00A77AF6">
            <w:fldChar w:fldCharType="separate"/>
          </w:r>
          <w:r w:rsidR="008E653F" w:rsidRPr="00A77AF6">
            <w:t>(HMT, 2018)</w:t>
          </w:r>
          <w:r w:rsidR="008B1F70" w:rsidRPr="00A77AF6">
            <w:fldChar w:fldCharType="end"/>
          </w:r>
        </w:sdtContent>
      </w:sdt>
    </w:p>
    <w:p w14:paraId="709FC28E" w14:textId="0A8017D0" w:rsidR="00861235" w:rsidRPr="00A77AF6" w:rsidRDefault="00861235" w:rsidP="00861235">
      <w:pPr>
        <w:pStyle w:val="Caption"/>
      </w:pPr>
      <w:bookmarkStart w:id="28" w:name="_Toc36186961"/>
      <w:r w:rsidRPr="00A77AF6">
        <w:lastRenderedPageBreak/>
        <w:t xml:space="preserve">Figure </w:t>
      </w:r>
      <w:fldSimple w:instr=" STYLEREF 1 \s ">
        <w:r w:rsidR="000441F7">
          <w:rPr>
            <w:noProof/>
          </w:rPr>
          <w:t>2</w:t>
        </w:r>
      </w:fldSimple>
      <w:r w:rsidR="00BA5DC4">
        <w:noBreakHyphen/>
      </w:r>
      <w:fldSimple w:instr=" SEQ Figure \* ARABIC \s 1 ">
        <w:r w:rsidR="000441F7">
          <w:rPr>
            <w:noProof/>
          </w:rPr>
          <w:t>8</w:t>
        </w:r>
      </w:fldSimple>
      <w:r w:rsidRPr="00A77AF6">
        <w:t>: Percentage completion at each stage of business case</w:t>
      </w:r>
      <w:bookmarkEnd w:id="28"/>
    </w:p>
    <w:p w14:paraId="68824F7B" w14:textId="3B14D81E" w:rsidR="00B9496E" w:rsidRPr="00A77AF6" w:rsidRDefault="00B9496E" w:rsidP="00B9496E">
      <w:r w:rsidRPr="00A77AF6">
        <w:rPr>
          <w:noProof/>
          <w:lang w:eastAsia="en-GB"/>
        </w:rPr>
        <w:drawing>
          <wp:inline distT="0" distB="0" distL="0" distR="0" wp14:anchorId="29B3D9A8" wp14:editId="73B1C4F0">
            <wp:extent cx="4981575" cy="2280124"/>
            <wp:effectExtent l="0" t="0" r="0" b="635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1438" t="48159" r="45158" b="24660"/>
                    <a:stretch/>
                  </pic:blipFill>
                  <pic:spPr bwMode="auto">
                    <a:xfrm>
                      <a:off x="0" y="0"/>
                      <a:ext cx="4996850" cy="2287115"/>
                    </a:xfrm>
                    <a:prstGeom prst="rect">
                      <a:avLst/>
                    </a:prstGeom>
                    <a:ln>
                      <a:noFill/>
                    </a:ln>
                    <a:extLst>
                      <a:ext uri="{53640926-AAD7-44D8-BBD7-CCE9431645EC}">
                        <a14:shadowObscured xmlns:a14="http://schemas.microsoft.com/office/drawing/2010/main"/>
                      </a:ext>
                    </a:extLst>
                  </pic:spPr>
                </pic:pic>
              </a:graphicData>
            </a:graphic>
          </wp:inline>
        </w:drawing>
      </w:r>
    </w:p>
    <w:p w14:paraId="309ED24D" w14:textId="2D7FC272" w:rsidR="00B768E1" w:rsidRPr="00A77AF6" w:rsidRDefault="007000FC" w:rsidP="00B768E1">
      <w:pPr>
        <w:spacing w:line="480" w:lineRule="auto"/>
        <w:rPr>
          <w:sz w:val="20"/>
        </w:rPr>
      </w:pPr>
      <w:r w:rsidRPr="00A77AF6">
        <w:rPr>
          <w:sz w:val="20"/>
        </w:rPr>
        <w:t xml:space="preserve">Source: </w:t>
      </w:r>
      <w:r w:rsidR="00C87647" w:rsidRPr="00A77AF6">
        <w:rPr>
          <w:sz w:val="20"/>
        </w:rPr>
        <w:t>NHS Improvement</w:t>
      </w:r>
      <w:r w:rsidRPr="00A77AF6">
        <w:rPr>
          <w:sz w:val="20"/>
        </w:rPr>
        <w:t xml:space="preserve"> (</w:t>
      </w:r>
      <w:r w:rsidR="00C87647" w:rsidRPr="00A77AF6">
        <w:rPr>
          <w:sz w:val="20"/>
        </w:rPr>
        <w:t>2016, p. 19)</w:t>
      </w:r>
    </w:p>
    <w:p w14:paraId="3BB2CF6A" w14:textId="2916C278" w:rsidR="00F83E2E" w:rsidRPr="00A77AF6" w:rsidRDefault="00091A04" w:rsidP="008D2A96">
      <w:pPr>
        <w:spacing w:line="360" w:lineRule="auto"/>
      </w:pPr>
      <w:r w:rsidRPr="00A77AF6">
        <w:t xml:space="preserve">In summary, </w:t>
      </w:r>
      <w:r w:rsidR="006B16F2" w:rsidRPr="00A77AF6">
        <w:t>the approvals process is complicated</w:t>
      </w:r>
      <w:r w:rsidR="00B80AAB" w:rsidRPr="00A77AF6">
        <w:t xml:space="preserve">, </w:t>
      </w:r>
      <w:r w:rsidR="006B16F2" w:rsidRPr="00A77AF6">
        <w:t xml:space="preserve">well defined, </w:t>
      </w:r>
      <w:r w:rsidR="00B768E1" w:rsidRPr="00A77AF6">
        <w:t>rules-based and hierarchical</w:t>
      </w:r>
      <w:r w:rsidR="006B16F2" w:rsidRPr="00A77AF6">
        <w:t xml:space="preserve">. </w:t>
      </w:r>
      <w:r w:rsidR="00B768E1" w:rsidRPr="00A77AF6">
        <w:t xml:space="preserve"> NHS bodies must openly and publicly demonstrate that their proposed project meets strategic, </w:t>
      </w:r>
      <w:r w:rsidR="00680F5A" w:rsidRPr="00A77AF6">
        <w:t xml:space="preserve">quality, </w:t>
      </w:r>
      <w:r w:rsidR="00B768E1" w:rsidRPr="00A77AF6">
        <w:t xml:space="preserve">economic, </w:t>
      </w:r>
      <w:r w:rsidR="00680F5A" w:rsidRPr="00A77AF6">
        <w:t xml:space="preserve">commercial, </w:t>
      </w:r>
      <w:r w:rsidR="00B768E1" w:rsidRPr="00A77AF6">
        <w:t xml:space="preserve">financial </w:t>
      </w:r>
      <w:r w:rsidR="00680F5A" w:rsidRPr="00A77AF6">
        <w:t xml:space="preserve">and management </w:t>
      </w:r>
      <w:r w:rsidR="00B768E1" w:rsidRPr="00A77AF6">
        <w:t>criteria</w:t>
      </w:r>
      <w:r w:rsidR="00680F5A" w:rsidRPr="00A77AF6">
        <w:t xml:space="preserve">. </w:t>
      </w:r>
      <w:r w:rsidR="00B768E1" w:rsidRPr="00A77AF6">
        <w:t xml:space="preserve">The approvals </w:t>
      </w:r>
      <w:r w:rsidR="00355B6A" w:rsidRPr="00A77AF6">
        <w:t>process</w:t>
      </w:r>
      <w:r w:rsidR="00B768E1" w:rsidRPr="00A77AF6">
        <w:t xml:space="preserve"> is underpinned by rules set out </w:t>
      </w:r>
      <w:r w:rsidR="000336AB" w:rsidRPr="00A77AF6">
        <w:t xml:space="preserve">central government and </w:t>
      </w:r>
      <w:r w:rsidR="00B768E1" w:rsidRPr="00A77AF6">
        <w:t>by the D</w:t>
      </w:r>
      <w:r w:rsidR="00355B6A" w:rsidRPr="00A77AF6">
        <w:t>H</w:t>
      </w:r>
      <w:r w:rsidR="00B80AAB" w:rsidRPr="00A77AF6">
        <w:t xml:space="preserve">. </w:t>
      </w:r>
      <w:r w:rsidR="00B768E1" w:rsidRPr="00A77AF6">
        <w:t>The case for investment is made through the business case process which is a multi-staged and increasingly detailed</w:t>
      </w:r>
      <w:r w:rsidR="000336AB" w:rsidRPr="00A77AF6">
        <w:t xml:space="preserve">. </w:t>
      </w:r>
      <w:r w:rsidR="00236B95" w:rsidRPr="00A77AF6">
        <w:t>The more expensive a scheme it must receive approval further up the decision-making hierarchy.</w:t>
      </w:r>
      <w:r w:rsidR="00680F5A" w:rsidRPr="00A77AF6">
        <w:t xml:space="preserve"> </w:t>
      </w:r>
      <w:r w:rsidR="00E36F02">
        <w:t>If t</w:t>
      </w:r>
      <w:r w:rsidR="00680F5A" w:rsidRPr="00A77AF6">
        <w:t xml:space="preserve">rusts are unable to justify their proposed expenditure the project will not proceed. </w:t>
      </w:r>
    </w:p>
    <w:p w14:paraId="2E3BEEA0" w14:textId="0D5A593A" w:rsidR="00B768E1" w:rsidRPr="00A77AF6" w:rsidRDefault="00B768E1" w:rsidP="00355B6A">
      <w:pPr>
        <w:pStyle w:val="Heading3"/>
        <w:spacing w:after="120"/>
      </w:pPr>
      <w:bookmarkStart w:id="29" w:name="_Toc36275041"/>
      <w:r w:rsidRPr="00A77AF6">
        <w:t>Governance of the design and planning process.</w:t>
      </w:r>
      <w:bookmarkEnd w:id="29"/>
    </w:p>
    <w:p w14:paraId="35EF0844" w14:textId="55B6D620" w:rsidR="00B768E1" w:rsidRPr="00A77AF6" w:rsidRDefault="00B768E1" w:rsidP="00E516A2">
      <w:pPr>
        <w:spacing w:line="360" w:lineRule="auto"/>
      </w:pPr>
      <w:r w:rsidRPr="00A77AF6">
        <w:t>The requirement</w:t>
      </w:r>
      <w:r w:rsidR="000336AB" w:rsidRPr="00A77AF6">
        <w:t>s</w:t>
      </w:r>
      <w:r w:rsidRPr="00A77AF6">
        <w:t xml:space="preserve"> </w:t>
      </w:r>
      <w:r w:rsidR="000336AB" w:rsidRPr="00A77AF6">
        <w:t>for</w:t>
      </w:r>
      <w:r w:rsidRPr="00A77AF6">
        <w:t xml:space="preserve"> design standards are based in UK law </w:t>
      </w:r>
      <w:r w:rsidR="000336AB" w:rsidRPr="00A77AF6">
        <w:t xml:space="preserve">to </w:t>
      </w:r>
      <w:r w:rsidR="00074F2F" w:rsidRPr="00A77AF6">
        <w:t xml:space="preserve">protect </w:t>
      </w:r>
      <w:r w:rsidRPr="00A77AF6">
        <w:t xml:space="preserve">the </w:t>
      </w:r>
      <w:r w:rsidR="009C3FC8" w:rsidRPr="00A77AF6">
        <w:t xml:space="preserve">health and safety </w:t>
      </w:r>
      <w:r w:rsidRPr="00A77AF6">
        <w:t>interests of patients, staff</w:t>
      </w:r>
      <w:r w:rsidR="009C3FC8" w:rsidRPr="00A77AF6">
        <w:t xml:space="preserve"> and </w:t>
      </w:r>
      <w:r w:rsidRPr="00A77AF6">
        <w:t>visitors</w:t>
      </w:r>
      <w:r w:rsidR="009C3FC8" w:rsidRPr="00A77AF6">
        <w:t xml:space="preserve">. </w:t>
      </w:r>
      <w:r w:rsidRPr="00A77AF6">
        <w:t xml:space="preserve"> These laws can be divided into two categories: laws that apply to all sectors and laws that apply to the NHS. Laws that apply to all sectors are: The Health and Safety at Work </w:t>
      </w:r>
      <w:r w:rsidR="00E36F02">
        <w:t>(</w:t>
      </w:r>
      <w:r w:rsidRPr="00A77AF6">
        <w:t>etc</w:t>
      </w:r>
      <w:r w:rsidR="00E36F02">
        <w:t>)</w:t>
      </w:r>
      <w:r w:rsidRPr="00A77AF6">
        <w:t xml:space="preserve"> Act (1974); The Climate Change Act (2008) and Building Regulations (2010).  The law that relates specifically to the NHS is the Health and Social Care Act 2008 (Regulated Activities) 2010. In both cases these have been translated into guidance and codes of practice which NHS trusts should follow</w:t>
      </w:r>
      <w:r w:rsidR="000336AB" w:rsidRPr="00A77AF6">
        <w:t>.  T</w:t>
      </w:r>
      <w:r w:rsidR="00402503" w:rsidRPr="00A77AF6">
        <w:t>hese are,</w:t>
      </w:r>
      <w:r w:rsidRPr="00A77AF6">
        <w:t xml:space="preserve"> health building notes (HBN)</w:t>
      </w:r>
      <w:r w:rsidR="00680F5A" w:rsidRPr="00A77AF6">
        <w:t xml:space="preserve">, </w:t>
      </w:r>
      <w:r w:rsidRPr="00A77AF6">
        <w:t>health technical memoranda (HTM) and sustainability</w:t>
      </w:r>
      <w:r w:rsidR="00680F5A" w:rsidRPr="00A77AF6">
        <w:t xml:space="preserve"> (BREEAM)</w:t>
      </w:r>
      <w:r w:rsidRPr="00A77AF6">
        <w:t>.  This section outlines the laws covering all sectors</w:t>
      </w:r>
      <w:r w:rsidR="009C3FC8" w:rsidRPr="00A77AF6">
        <w:t xml:space="preserve">, </w:t>
      </w:r>
      <w:r w:rsidRPr="00A77AF6">
        <w:t>the law covering the NHS specifically</w:t>
      </w:r>
      <w:r w:rsidR="00074F2F" w:rsidRPr="00A77AF6">
        <w:t xml:space="preserve">, </w:t>
      </w:r>
      <w:r w:rsidR="00E516A2" w:rsidRPr="00A77AF6">
        <w:t xml:space="preserve">and guidance </w:t>
      </w:r>
      <w:r w:rsidR="00074F2F" w:rsidRPr="00A77AF6">
        <w:t xml:space="preserve">that the NHS must follow </w:t>
      </w:r>
      <w:r w:rsidR="00E516A2" w:rsidRPr="00A77AF6">
        <w:t>(</w:t>
      </w:r>
      <w:r w:rsidR="00680F5A" w:rsidRPr="00A77AF6">
        <w:t>HBNs, HTMs and BREEAM</w:t>
      </w:r>
      <w:r w:rsidR="00E516A2" w:rsidRPr="00A77AF6">
        <w:t xml:space="preserve">) </w:t>
      </w:r>
      <w:r w:rsidR="00074F2F" w:rsidRPr="00A77AF6">
        <w:t>to show that it</w:t>
      </w:r>
      <w:r w:rsidRPr="00A77AF6">
        <w:t xml:space="preserve"> meets its obligations for health, safety and wellbeing. </w:t>
      </w:r>
    </w:p>
    <w:p w14:paraId="23DE54FF" w14:textId="77777777" w:rsidR="006A5772" w:rsidRPr="00A77AF6" w:rsidRDefault="00B768E1" w:rsidP="00823880">
      <w:pPr>
        <w:pStyle w:val="Heading4"/>
        <w:numPr>
          <w:ilvl w:val="0"/>
          <w:numId w:val="0"/>
        </w:numPr>
        <w:spacing w:after="120"/>
      </w:pPr>
      <w:r w:rsidRPr="00A77AF6">
        <w:rPr>
          <w:rStyle w:val="Heading4Char"/>
        </w:rPr>
        <w:t>The Health and Safety at Work etc Act (1974)</w:t>
      </w:r>
      <w:r w:rsidRPr="00A77AF6">
        <w:t xml:space="preserve"> </w:t>
      </w:r>
    </w:p>
    <w:p w14:paraId="0BDDBBDE" w14:textId="54194342" w:rsidR="006A5772" w:rsidRPr="00A77AF6" w:rsidRDefault="006A5772" w:rsidP="009E6979">
      <w:pPr>
        <w:spacing w:line="360" w:lineRule="auto"/>
      </w:pPr>
      <w:r w:rsidRPr="00A77AF6">
        <w:t xml:space="preserve">The Health and Safety at Work etc Act (1974) </w:t>
      </w:r>
      <w:r w:rsidR="00B768E1" w:rsidRPr="00A77AF6">
        <w:t xml:space="preserve">makes it an employer’s legal responsibility to protect the wellbeing of its workforce </w:t>
      </w:r>
      <w:sdt>
        <w:sdtPr>
          <w:id w:val="-2129228004"/>
          <w:citation/>
        </w:sdtPr>
        <w:sdtEndPr/>
        <w:sdtContent>
          <w:r w:rsidR="00B768E1" w:rsidRPr="00A77AF6">
            <w:fldChar w:fldCharType="begin"/>
          </w:r>
          <w:r w:rsidR="00B768E1" w:rsidRPr="00A77AF6">
            <w:instrText xml:space="preserve"> CITATION UKG74 \l 2057 </w:instrText>
          </w:r>
          <w:r w:rsidR="00B768E1" w:rsidRPr="00A77AF6">
            <w:fldChar w:fldCharType="separate"/>
          </w:r>
          <w:r w:rsidR="008E653F" w:rsidRPr="00A77AF6">
            <w:t>(UK Government, 1974)</w:t>
          </w:r>
          <w:r w:rsidR="00B768E1" w:rsidRPr="00A77AF6">
            <w:fldChar w:fldCharType="end"/>
          </w:r>
        </w:sdtContent>
      </w:sdt>
      <w:r w:rsidR="00B768E1" w:rsidRPr="00A77AF6">
        <w:t xml:space="preserve">.  These responsibilities are </w:t>
      </w:r>
      <w:r w:rsidR="00B768E1" w:rsidRPr="00A77AF6">
        <w:lastRenderedPageBreak/>
        <w:t xml:space="preserve">enforced by local authorities and the Health and Safety Executive.  The implications for the NHS </w:t>
      </w:r>
      <w:r w:rsidR="00434810" w:rsidRPr="00A77AF6">
        <w:t>are</w:t>
      </w:r>
      <w:r w:rsidR="00E516A2" w:rsidRPr="00A77AF6">
        <w:t xml:space="preserve"> that it must </w:t>
      </w:r>
      <w:r w:rsidR="00B768E1" w:rsidRPr="00A77AF6">
        <w:t xml:space="preserve">create and maintain premises that support the wellbeing of its staff.  </w:t>
      </w:r>
    </w:p>
    <w:p w14:paraId="5856A14E" w14:textId="77777777" w:rsidR="006A5772" w:rsidRPr="00A77AF6" w:rsidRDefault="00B768E1" w:rsidP="00823880">
      <w:pPr>
        <w:pStyle w:val="Heading4"/>
        <w:numPr>
          <w:ilvl w:val="0"/>
          <w:numId w:val="0"/>
        </w:numPr>
        <w:spacing w:after="120"/>
      </w:pPr>
      <w:r w:rsidRPr="00A77AF6">
        <w:rPr>
          <w:rStyle w:val="Heading4Char"/>
        </w:rPr>
        <w:t>Building Regulations (2010)</w:t>
      </w:r>
      <w:r w:rsidRPr="00A77AF6">
        <w:t xml:space="preserve"> </w:t>
      </w:r>
    </w:p>
    <w:p w14:paraId="2E1CD984" w14:textId="52192279" w:rsidR="00B768E1" w:rsidRPr="00A77AF6" w:rsidRDefault="006A5772" w:rsidP="009E6979">
      <w:pPr>
        <w:spacing w:line="360" w:lineRule="auto"/>
      </w:pPr>
      <w:r w:rsidRPr="00A77AF6">
        <w:t xml:space="preserve">Building Regulations (2010) </w:t>
      </w:r>
      <w:r w:rsidR="00B768E1" w:rsidRPr="00A77AF6">
        <w:t xml:space="preserve">are </w:t>
      </w:r>
      <w:r w:rsidR="00F83E2E" w:rsidRPr="00A77AF6">
        <w:t xml:space="preserve">legally enforceable </w:t>
      </w:r>
      <w:r w:rsidR="00B768E1" w:rsidRPr="00A77AF6">
        <w:t>standards set by the UK Government which define the minimum standards for design, construction and alteration.  Only a very few types of building are exempt from the requirement to comply</w:t>
      </w:r>
      <w:r w:rsidR="00E516A2" w:rsidRPr="00A77AF6">
        <w:t xml:space="preserve">, for </w:t>
      </w:r>
      <w:r w:rsidR="00B768E1" w:rsidRPr="00A77AF6">
        <w:t xml:space="preserve">example buildings not used by people, greenhouses, a carport open on at least two sides.  </w:t>
      </w:r>
      <w:r w:rsidR="00F20FE6" w:rsidRPr="00A77AF6">
        <w:t xml:space="preserve">Otherwise, </w:t>
      </w:r>
      <w:r w:rsidR="00B768E1" w:rsidRPr="00A77AF6">
        <w:t xml:space="preserve">almost every type of construction work is covered by this legislation </w:t>
      </w:r>
      <w:sdt>
        <w:sdtPr>
          <w:id w:val="-719673383"/>
          <w:citation/>
        </w:sdtPr>
        <w:sdtEndPr/>
        <w:sdtContent>
          <w:r w:rsidR="00B768E1" w:rsidRPr="00A77AF6">
            <w:fldChar w:fldCharType="begin"/>
          </w:r>
          <w:r w:rsidR="00EA1518" w:rsidRPr="00A77AF6">
            <w:instrText xml:space="preserve">CITATION UKG10 \l 2057 </w:instrText>
          </w:r>
          <w:r w:rsidR="00B768E1" w:rsidRPr="00A77AF6">
            <w:fldChar w:fldCharType="separate"/>
          </w:r>
          <w:r w:rsidR="00EA1518" w:rsidRPr="00A77AF6">
            <w:t>(UK Government, 2010)</w:t>
          </w:r>
          <w:r w:rsidR="00B768E1" w:rsidRPr="00A77AF6">
            <w:fldChar w:fldCharType="end"/>
          </w:r>
        </w:sdtContent>
      </w:sdt>
    </w:p>
    <w:p w14:paraId="18718662" w14:textId="563D1D37" w:rsidR="006A5772" w:rsidRPr="00A77AF6" w:rsidRDefault="006A5772" w:rsidP="00823880">
      <w:pPr>
        <w:pStyle w:val="Heading4"/>
        <w:numPr>
          <w:ilvl w:val="0"/>
          <w:numId w:val="0"/>
        </w:numPr>
        <w:spacing w:after="120"/>
        <w:rPr>
          <w:b/>
          <w:bCs/>
        </w:rPr>
      </w:pPr>
      <w:r w:rsidRPr="00A77AF6">
        <w:rPr>
          <w:bCs/>
        </w:rPr>
        <w:t>Climate Change Act (2008)</w:t>
      </w:r>
    </w:p>
    <w:p w14:paraId="23D17B5D" w14:textId="5A2B2803" w:rsidR="00B768E1" w:rsidRPr="00A77AF6" w:rsidRDefault="009E6979" w:rsidP="009E6979">
      <w:pPr>
        <w:spacing w:line="360" w:lineRule="auto"/>
      </w:pPr>
      <w:r w:rsidRPr="00A77AF6">
        <w:t>T</w:t>
      </w:r>
      <w:r w:rsidR="00B768E1" w:rsidRPr="00A77AF6">
        <w:t>he Climate Change Act (2008) ma</w:t>
      </w:r>
      <w:r w:rsidR="00E36F02">
        <w:t>de</w:t>
      </w:r>
      <w:r w:rsidR="00B768E1" w:rsidRPr="00A77AF6">
        <w:t xml:space="preserve"> it the duty of the Secretary of State </w:t>
      </w:r>
      <w:r w:rsidR="00484A57" w:rsidRPr="00A77AF6">
        <w:t xml:space="preserve">to ensure that </w:t>
      </w:r>
      <w:r w:rsidRPr="00A77AF6">
        <w:t xml:space="preserve">by 2050 the net UK carbon output is 80% lower than that of 1990 </w:t>
      </w:r>
      <w:sdt>
        <w:sdtPr>
          <w:id w:val="-1073358494"/>
          <w:citation/>
        </w:sdtPr>
        <w:sdtEndPr/>
        <w:sdtContent>
          <w:r w:rsidR="00B768E1" w:rsidRPr="00A77AF6">
            <w:fldChar w:fldCharType="begin"/>
          </w:r>
          <w:r w:rsidR="00B768E1" w:rsidRPr="00A77AF6">
            <w:instrText xml:space="preserve"> CITATION UKG08 \l 2057 </w:instrText>
          </w:r>
          <w:r w:rsidR="00B768E1" w:rsidRPr="00A77AF6">
            <w:fldChar w:fldCharType="separate"/>
          </w:r>
          <w:r w:rsidR="008E653F" w:rsidRPr="00A77AF6">
            <w:t>(UK Government, 2008)</w:t>
          </w:r>
          <w:r w:rsidR="00B768E1" w:rsidRPr="00A77AF6">
            <w:fldChar w:fldCharType="end"/>
          </w:r>
        </w:sdtContent>
      </w:sdt>
      <w:r w:rsidR="00B768E1" w:rsidRPr="00A77AF6">
        <w:t xml:space="preserve">.  This responsibility is passed down to </w:t>
      </w:r>
      <w:r w:rsidRPr="00A77AF6">
        <w:t xml:space="preserve">each </w:t>
      </w:r>
      <w:r w:rsidR="00B768E1" w:rsidRPr="00A77AF6">
        <w:t>government departments to fulfil.</w:t>
      </w:r>
    </w:p>
    <w:p w14:paraId="5F4F2D33" w14:textId="3D330BCC" w:rsidR="006A5772" w:rsidRPr="00A77AF6" w:rsidRDefault="00B768E1" w:rsidP="009E6979">
      <w:pPr>
        <w:spacing w:line="360" w:lineRule="auto"/>
      </w:pPr>
      <w:r w:rsidRPr="00A77AF6">
        <w:t xml:space="preserve">These three pieces of legislation provide the context for the Health and Social Care Act 2008 (Regulated Activities) 2010 through which the UK government requires the NHS to ensure that its buildings and land (the NHS estate) are able to support the provision of good quality, safe and effective healthcare </w:t>
      </w:r>
      <w:sdt>
        <w:sdtPr>
          <w:id w:val="-1914385087"/>
          <w:citation/>
        </w:sdtPr>
        <w:sdtEndPr/>
        <w:sdtContent>
          <w:r w:rsidRPr="00A77AF6">
            <w:fldChar w:fldCharType="begin"/>
          </w:r>
          <w:r w:rsidR="009E6979" w:rsidRPr="00A77AF6">
            <w:instrText xml:space="preserve">CITATION Dep14 \l 2057 </w:instrText>
          </w:r>
          <w:r w:rsidRPr="00A77AF6">
            <w:fldChar w:fldCharType="separate"/>
          </w:r>
          <w:r w:rsidR="008E653F" w:rsidRPr="00A77AF6">
            <w:t>(DH, 2014)</w:t>
          </w:r>
          <w:r w:rsidRPr="00A77AF6">
            <w:fldChar w:fldCharType="end"/>
          </w:r>
        </w:sdtContent>
      </w:sdt>
      <w:r w:rsidRPr="00A77AF6">
        <w:t xml:space="preserve">.  </w:t>
      </w:r>
    </w:p>
    <w:p w14:paraId="5526778B" w14:textId="02ED1AC0" w:rsidR="006A5772" w:rsidRPr="00A77AF6" w:rsidRDefault="006A5772" w:rsidP="00823880">
      <w:pPr>
        <w:pStyle w:val="Heading4"/>
        <w:numPr>
          <w:ilvl w:val="0"/>
          <w:numId w:val="0"/>
        </w:numPr>
        <w:spacing w:after="120"/>
        <w:rPr>
          <w:b/>
          <w:bCs/>
        </w:rPr>
      </w:pPr>
      <w:r w:rsidRPr="00A77AF6">
        <w:rPr>
          <w:bCs/>
        </w:rPr>
        <w:t xml:space="preserve">The Health and Social Care Act 2008 (Regulated Activities) 2010 </w:t>
      </w:r>
    </w:p>
    <w:p w14:paraId="0D941219" w14:textId="77777777" w:rsidR="009E6979" w:rsidRPr="00A77AF6" w:rsidRDefault="00604339" w:rsidP="00144B9A">
      <w:pPr>
        <w:spacing w:after="0" w:line="360" w:lineRule="auto"/>
      </w:pPr>
      <w:r w:rsidRPr="00A77AF6">
        <w:t>T</w:t>
      </w:r>
      <w:r w:rsidR="00B768E1" w:rsidRPr="00A77AF6">
        <w:t>h</w:t>
      </w:r>
      <w:r w:rsidR="009E6979" w:rsidRPr="00A77AF6">
        <w:t xml:space="preserve">is </w:t>
      </w:r>
      <w:r w:rsidR="00B768E1" w:rsidRPr="00A77AF6">
        <w:t xml:space="preserve">Act (2010) states that patients must be </w:t>
      </w:r>
    </w:p>
    <w:p w14:paraId="36767388" w14:textId="526D99AE" w:rsidR="00B768E1" w:rsidRPr="00A77AF6" w:rsidRDefault="00B768E1" w:rsidP="009E6979">
      <w:pPr>
        <w:spacing w:after="240" w:line="240" w:lineRule="auto"/>
        <w:ind w:left="720"/>
      </w:pPr>
      <w:r w:rsidRPr="00A77AF6">
        <w:rPr>
          <w:i/>
          <w:iCs/>
        </w:rPr>
        <w:t>‘protected against the risks associated with unsafe and unsuitable premises, by means of…suitable design and layout…maintenance and operation’</w:t>
      </w:r>
      <w:r w:rsidRPr="00A77AF6">
        <w:t xml:space="preserve">  </w:t>
      </w:r>
      <w:sdt>
        <w:sdtPr>
          <w:id w:val="177944576"/>
          <w:citation/>
        </w:sdtPr>
        <w:sdtEndPr/>
        <w:sdtContent>
          <w:r w:rsidRPr="00A77AF6">
            <w:fldChar w:fldCharType="begin"/>
          </w:r>
          <w:r w:rsidR="009E6979" w:rsidRPr="00A77AF6">
            <w:instrText xml:space="preserve">CITATION Dep14 \p 2 \l 2057 </w:instrText>
          </w:r>
          <w:r w:rsidRPr="00A77AF6">
            <w:fldChar w:fldCharType="separate"/>
          </w:r>
          <w:r w:rsidR="008E653F" w:rsidRPr="00A77AF6">
            <w:t>(DH, 2014, p. 2)</w:t>
          </w:r>
          <w:r w:rsidRPr="00A77AF6">
            <w:fldChar w:fldCharType="end"/>
          </w:r>
        </w:sdtContent>
      </w:sdt>
      <w:r w:rsidRPr="00A77AF6">
        <w:t xml:space="preserve">. </w:t>
      </w:r>
    </w:p>
    <w:p w14:paraId="793AEC96" w14:textId="56DF65CD" w:rsidR="00B768E1" w:rsidRPr="00A77AF6" w:rsidRDefault="00B768E1" w:rsidP="009E6979">
      <w:pPr>
        <w:spacing w:line="360" w:lineRule="auto"/>
      </w:pPr>
      <w:r w:rsidRPr="00A77AF6">
        <w:t xml:space="preserve">NHS Trusts </w:t>
      </w:r>
      <w:r w:rsidR="00355B6A" w:rsidRPr="00A77AF6">
        <w:t xml:space="preserve">compliance </w:t>
      </w:r>
      <w:r w:rsidRPr="00A77AF6">
        <w:t xml:space="preserve">is overseen by the NHS’s regulatory body, the </w:t>
      </w:r>
      <w:r w:rsidR="009E6979" w:rsidRPr="00A77AF6">
        <w:t xml:space="preserve">CQC. </w:t>
      </w:r>
      <w:r w:rsidRPr="00A77AF6">
        <w:t xml:space="preserve">NHS </w:t>
      </w:r>
      <w:r w:rsidR="00074F2F" w:rsidRPr="00A77AF6">
        <w:t>t</w:t>
      </w:r>
      <w:r w:rsidRPr="00A77AF6">
        <w:t xml:space="preserve">rusts must show that they comply with the quality and safety </w:t>
      </w:r>
      <w:r w:rsidR="00074F2F" w:rsidRPr="00A77AF6">
        <w:t xml:space="preserve">standards </w:t>
      </w:r>
      <w:r w:rsidRPr="00A77AF6">
        <w:t>for the</w:t>
      </w:r>
      <w:r w:rsidR="009E6979" w:rsidRPr="00A77AF6">
        <w:t>ir</w:t>
      </w:r>
      <w:r w:rsidRPr="00A77AF6">
        <w:t xml:space="preserve"> estate, equipment and infection control.  Failure to comply is an offence under the Act and could ultimately lead to an organisation losing its registration</w:t>
      </w:r>
      <w:r w:rsidR="00355B6A" w:rsidRPr="00A77AF6">
        <w:t xml:space="preserve"> </w:t>
      </w:r>
      <w:sdt>
        <w:sdtPr>
          <w:id w:val="-737635242"/>
          <w:citation/>
        </w:sdtPr>
        <w:sdtEndPr/>
        <w:sdtContent>
          <w:r w:rsidRPr="00A77AF6">
            <w:fldChar w:fldCharType="begin"/>
          </w:r>
          <w:r w:rsidR="009E6979" w:rsidRPr="00A77AF6">
            <w:instrText xml:space="preserve">CITATION Dep14 \l 2057 </w:instrText>
          </w:r>
          <w:r w:rsidRPr="00A77AF6">
            <w:fldChar w:fldCharType="separate"/>
          </w:r>
          <w:r w:rsidR="008E653F" w:rsidRPr="00A77AF6">
            <w:t>(DH, 2014)</w:t>
          </w:r>
          <w:r w:rsidRPr="00A77AF6">
            <w:fldChar w:fldCharType="end"/>
          </w:r>
        </w:sdtContent>
      </w:sdt>
      <w:r w:rsidRPr="00A77AF6">
        <w:t>.</w:t>
      </w:r>
    </w:p>
    <w:p w14:paraId="649341EF" w14:textId="4B7A0F3F" w:rsidR="00B768E1" w:rsidRPr="00A77AF6" w:rsidRDefault="00355B6A" w:rsidP="00750293">
      <w:pPr>
        <w:spacing w:line="360" w:lineRule="auto"/>
      </w:pPr>
      <w:r w:rsidRPr="00A77AF6">
        <w:t>Whe</w:t>
      </w:r>
      <w:r w:rsidR="00D64ADA" w:rsidRPr="00A77AF6">
        <w:t>ther maintaining existing facilities or designing new ones, t</w:t>
      </w:r>
      <w:r w:rsidR="00B768E1" w:rsidRPr="00A77AF6">
        <w:t xml:space="preserve">he NHS </w:t>
      </w:r>
      <w:r w:rsidR="00750293" w:rsidRPr="00A77AF6">
        <w:t xml:space="preserve">has </w:t>
      </w:r>
      <w:r w:rsidR="00B768E1" w:rsidRPr="00A77AF6">
        <w:t xml:space="preserve">responsibility </w:t>
      </w:r>
      <w:r w:rsidR="00604339" w:rsidRPr="00A77AF6">
        <w:t xml:space="preserve">in law </w:t>
      </w:r>
      <w:r w:rsidR="00B768E1" w:rsidRPr="00A77AF6">
        <w:t>for the wellbeing of staff, patients and visitors</w:t>
      </w:r>
      <w:r w:rsidR="00D64ADA" w:rsidRPr="00A77AF6">
        <w:t xml:space="preserve">. </w:t>
      </w:r>
      <w:r w:rsidR="00B768E1" w:rsidRPr="00A77AF6">
        <w:t xml:space="preserve">To support the NHS </w:t>
      </w:r>
      <w:r w:rsidR="00750293" w:rsidRPr="00A77AF6">
        <w:t xml:space="preserve">the DH </w:t>
      </w:r>
      <w:r w:rsidR="00B768E1" w:rsidRPr="00A77AF6">
        <w:t xml:space="preserve">provides Health Building Notes (HBN), Health Technical Memoranda (HTM) and requires NHS Trusts to use BREEAM to assess the sustainability of buildings.  Compliance with HBNS, HTMs and BREEAM allow NHS Trusts to </w:t>
      </w:r>
      <w:r w:rsidR="00D64ADA" w:rsidRPr="00A77AF6">
        <w:t>show</w:t>
      </w:r>
      <w:r w:rsidR="00B768E1" w:rsidRPr="00A77AF6">
        <w:t xml:space="preserve"> that they are fulfilling their obligations to provide </w:t>
      </w:r>
      <w:r w:rsidR="006A5772" w:rsidRPr="00A77AF6">
        <w:t>compliant</w:t>
      </w:r>
      <w:r w:rsidR="00B768E1" w:rsidRPr="00A77AF6">
        <w:t xml:space="preserve"> buildings.  </w:t>
      </w:r>
      <w:r w:rsidR="00750293" w:rsidRPr="00A77AF6">
        <w:t>These will be described in turn.</w:t>
      </w:r>
    </w:p>
    <w:p w14:paraId="685ED42D" w14:textId="53FD4217" w:rsidR="006A5772" w:rsidRPr="00A77AF6" w:rsidRDefault="006A5772" w:rsidP="00823880">
      <w:pPr>
        <w:pStyle w:val="Heading4"/>
        <w:numPr>
          <w:ilvl w:val="0"/>
          <w:numId w:val="0"/>
        </w:numPr>
        <w:spacing w:after="120"/>
      </w:pPr>
      <w:r w:rsidRPr="00A77AF6">
        <w:lastRenderedPageBreak/>
        <w:t xml:space="preserve">Health </w:t>
      </w:r>
      <w:r w:rsidR="00F83E2E" w:rsidRPr="00A77AF6">
        <w:t>b</w:t>
      </w:r>
      <w:r w:rsidRPr="00A77AF6">
        <w:t xml:space="preserve">uilding </w:t>
      </w:r>
      <w:r w:rsidR="00F83E2E" w:rsidRPr="00A77AF6">
        <w:t>n</w:t>
      </w:r>
      <w:r w:rsidRPr="00A77AF6">
        <w:t>otes (HBNs)</w:t>
      </w:r>
    </w:p>
    <w:p w14:paraId="5BFE24CF" w14:textId="4C0DBC94" w:rsidR="0033661D" w:rsidRPr="00A77AF6" w:rsidRDefault="00B768E1" w:rsidP="001E5806">
      <w:pPr>
        <w:spacing w:line="360" w:lineRule="auto"/>
      </w:pPr>
      <w:r w:rsidRPr="00A77AF6">
        <w:t xml:space="preserve">HBNs support the design of healthcare facilities, excluding mechanical and electrical services.  Health Building Note 00-01, General design Guidance for Healthcare Buildings (2014) states that it is the repository of best practice for the design of new healthcare buildings or for the adaption of existing ones.  </w:t>
      </w:r>
      <w:r w:rsidR="00750293" w:rsidRPr="00A77AF6">
        <w:t xml:space="preserve">HBNS are </w:t>
      </w:r>
      <w:r w:rsidRPr="00A77AF6">
        <w:t xml:space="preserve">a highly structured set of guidance notes which cover many areas of design requirements, both general and specific.  </w:t>
      </w:r>
      <w:r w:rsidR="0007452B" w:rsidRPr="00A77AF6">
        <w:t>Figure</w:t>
      </w:r>
      <w:r w:rsidR="0033661D" w:rsidRPr="00A77AF6">
        <w:t xml:space="preserve"> </w:t>
      </w:r>
      <w:r w:rsidR="00D64ADA" w:rsidRPr="00A77AF6">
        <w:t>2-9</w:t>
      </w:r>
      <w:r w:rsidRPr="00A77AF6">
        <w:t xml:space="preserve"> summarises the areas the HBNs cover from generic activity based (HBNs 04, 06, 10,11 and 12) to support-system based (HBN 00, 14 and 16) to care-group-based (HBN 01, 02, 03, 05,07,08,09 and 15).  Each HBN represents a summary of detailed guidance that </w:t>
      </w:r>
      <w:r w:rsidR="00604339" w:rsidRPr="00A77AF6">
        <w:t>is provided for Trusts</w:t>
      </w:r>
      <w:r w:rsidR="00750293" w:rsidRPr="00A77AF6">
        <w:t xml:space="preserve">. </w:t>
      </w:r>
      <w:r w:rsidRPr="00A77AF6">
        <w:t xml:space="preserve">For example, Health Building Note 03 – Mental Health points to a suite of documents which deal with general guidance for adults and juveniles, separately.  NHS Trusts and their design teams </w:t>
      </w:r>
      <w:r w:rsidR="00750293" w:rsidRPr="00A77AF6">
        <w:t xml:space="preserve">must </w:t>
      </w:r>
      <w:r w:rsidRPr="00A77AF6">
        <w:t>comply with HBN</w:t>
      </w:r>
      <w:r w:rsidR="00750293" w:rsidRPr="00A77AF6">
        <w:t>s</w:t>
      </w:r>
      <w:r w:rsidRPr="00A77AF6">
        <w:t xml:space="preserve"> unless they can make a compelling case for derogat</w:t>
      </w:r>
      <w:r w:rsidR="00750293" w:rsidRPr="00A77AF6">
        <w:t xml:space="preserve">ion. </w:t>
      </w:r>
      <w:r w:rsidRPr="00A77AF6">
        <w:t xml:space="preserve">  </w:t>
      </w:r>
    </w:p>
    <w:p w14:paraId="64E6296E" w14:textId="77777777" w:rsidR="001E5806" w:rsidRPr="00A77AF6" w:rsidRDefault="00B9496E" w:rsidP="001E5806">
      <w:pPr>
        <w:keepNext/>
      </w:pPr>
      <w:r w:rsidRPr="00A77AF6">
        <w:rPr>
          <w:noProof/>
          <w:lang w:eastAsia="en-GB"/>
        </w:rPr>
        <w:drawing>
          <wp:inline distT="0" distB="0" distL="0" distR="0" wp14:anchorId="2CBBC720" wp14:editId="3AD2EF31">
            <wp:extent cx="5380075" cy="351409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1798" t="43430" r="54058" b="20032"/>
                    <a:stretch/>
                  </pic:blipFill>
                  <pic:spPr bwMode="auto">
                    <a:xfrm>
                      <a:off x="0" y="0"/>
                      <a:ext cx="5399300" cy="3526647"/>
                    </a:xfrm>
                    <a:prstGeom prst="rect">
                      <a:avLst/>
                    </a:prstGeom>
                    <a:ln>
                      <a:noFill/>
                    </a:ln>
                    <a:extLst>
                      <a:ext uri="{53640926-AAD7-44D8-BBD7-CCE9431645EC}">
                        <a14:shadowObscured xmlns:a14="http://schemas.microsoft.com/office/drawing/2010/main"/>
                      </a:ext>
                    </a:extLst>
                  </pic:spPr>
                </pic:pic>
              </a:graphicData>
            </a:graphic>
          </wp:inline>
        </w:drawing>
      </w:r>
    </w:p>
    <w:p w14:paraId="451D38D1" w14:textId="3A31AF6C" w:rsidR="00B9496E" w:rsidRPr="00A77AF6" w:rsidRDefault="001E5806" w:rsidP="001E5806">
      <w:pPr>
        <w:pStyle w:val="Caption"/>
      </w:pPr>
      <w:bookmarkStart w:id="30" w:name="_Toc36186962"/>
      <w:r w:rsidRPr="00A77AF6">
        <w:t xml:space="preserve">Figure </w:t>
      </w:r>
      <w:fldSimple w:instr=" STYLEREF 1 \s ">
        <w:r w:rsidR="000441F7">
          <w:rPr>
            <w:noProof/>
          </w:rPr>
          <w:t>2</w:t>
        </w:r>
      </w:fldSimple>
      <w:r w:rsidR="00BA5DC4">
        <w:noBreakHyphen/>
      </w:r>
      <w:fldSimple w:instr=" SEQ Figure \* ARABIC \s 1 ">
        <w:r w:rsidR="000441F7">
          <w:rPr>
            <w:noProof/>
          </w:rPr>
          <w:t>9</w:t>
        </w:r>
      </w:fldSimple>
      <w:r w:rsidRPr="00A77AF6">
        <w:t xml:space="preserve"> - Excerpt from Health Building Note 00-01 showing remit of Health Building Notes</w:t>
      </w:r>
      <w:bookmarkEnd w:id="30"/>
    </w:p>
    <w:p w14:paraId="7B17F41F" w14:textId="5FF64EFA" w:rsidR="006A5772" w:rsidRPr="00A77AF6" w:rsidRDefault="007000FC" w:rsidP="00B768E1">
      <w:pPr>
        <w:spacing w:line="480" w:lineRule="auto"/>
        <w:rPr>
          <w:sz w:val="20"/>
          <w:szCs w:val="20"/>
        </w:rPr>
      </w:pPr>
      <w:r w:rsidRPr="00A77AF6">
        <w:rPr>
          <w:sz w:val="20"/>
          <w:szCs w:val="20"/>
        </w:rPr>
        <w:t xml:space="preserve">Source: </w:t>
      </w:r>
      <w:r w:rsidR="006A5772" w:rsidRPr="00A77AF6">
        <w:rPr>
          <w:sz w:val="20"/>
          <w:szCs w:val="20"/>
        </w:rPr>
        <w:t>Health Building Note 00 – Core Elements</w:t>
      </w:r>
      <w:r w:rsidRPr="00A77AF6">
        <w:rPr>
          <w:sz w:val="20"/>
          <w:szCs w:val="20"/>
        </w:rPr>
        <w:t xml:space="preserve"> (</w:t>
      </w:r>
      <w:r w:rsidR="006A5772" w:rsidRPr="00A77AF6">
        <w:rPr>
          <w:sz w:val="20"/>
          <w:szCs w:val="20"/>
        </w:rPr>
        <w:t>DH, 2014)</w:t>
      </w:r>
    </w:p>
    <w:p w14:paraId="6980424C" w14:textId="36394C28" w:rsidR="00B768E1" w:rsidRPr="00A77AF6" w:rsidRDefault="00B768E1" w:rsidP="00750293">
      <w:pPr>
        <w:spacing w:line="360" w:lineRule="auto"/>
      </w:pPr>
      <w:r w:rsidRPr="00A77AF6">
        <w:t xml:space="preserve">Figure </w:t>
      </w:r>
      <w:r w:rsidR="00D64ADA" w:rsidRPr="00A77AF6">
        <w:t>2-10</w:t>
      </w:r>
      <w:r w:rsidR="00750293" w:rsidRPr="00A77AF6">
        <w:t xml:space="preserve"> is</w:t>
      </w:r>
      <w:r w:rsidRPr="00A77AF6">
        <w:t xml:space="preserve"> an example of </w:t>
      </w:r>
      <w:r w:rsidR="00750293" w:rsidRPr="00A77AF6">
        <w:t xml:space="preserve">general </w:t>
      </w:r>
      <w:r w:rsidRPr="00A77AF6">
        <w:t xml:space="preserve">guidance offered to NHS Trusts and their architects, in this case for in-patient bedrooms. </w:t>
      </w:r>
      <w:r w:rsidR="000929A1" w:rsidRPr="00A77AF6">
        <w:t xml:space="preserve">More detailed </w:t>
      </w:r>
      <w:r w:rsidRPr="00A77AF6">
        <w:t>guidance</w:t>
      </w:r>
      <w:r w:rsidR="00750293" w:rsidRPr="00A77AF6">
        <w:t xml:space="preserve"> </w:t>
      </w:r>
      <w:r w:rsidR="000929A1" w:rsidRPr="00A77AF6">
        <w:t>is also given</w:t>
      </w:r>
      <w:r w:rsidR="00D378CB" w:rsidRPr="00A77AF6">
        <w:t xml:space="preserve">, for example </w:t>
      </w:r>
      <w:r w:rsidRPr="00A77AF6">
        <w:t xml:space="preserve">HBN 04-01 (In-patient care) gives detailed and prescriptive </w:t>
      </w:r>
      <w:r w:rsidR="003A2EBE" w:rsidRPr="00A77AF6">
        <w:t>instruction</w:t>
      </w:r>
      <w:r w:rsidRPr="00A77AF6">
        <w:t xml:space="preserve">:   </w:t>
      </w:r>
    </w:p>
    <w:p w14:paraId="787C44B5" w14:textId="7DEF11D6" w:rsidR="00B768E1" w:rsidRPr="00A77AF6" w:rsidRDefault="00B768E1" w:rsidP="00074F2F">
      <w:pPr>
        <w:spacing w:line="240" w:lineRule="auto"/>
        <w:ind w:left="720"/>
      </w:pPr>
      <w:r w:rsidRPr="00A77AF6">
        <w:rPr>
          <w:i/>
        </w:rPr>
        <w:lastRenderedPageBreak/>
        <w:t xml:space="preserve">‘4.34 Multi-bed rooms should contain two clinical washhand basins, one close to the entrance to the room and the other placed in a convenient position for staff working at the other end of the room.’ </w:t>
      </w:r>
      <w:sdt>
        <w:sdtPr>
          <w:id w:val="1254395317"/>
          <w:citation/>
        </w:sdtPr>
        <w:sdtEndPr/>
        <w:sdtContent>
          <w:r w:rsidRPr="00A77AF6">
            <w:fldChar w:fldCharType="begin"/>
          </w:r>
          <w:r w:rsidR="00750293" w:rsidRPr="00A77AF6">
            <w:instrText xml:space="preserve">CITATION Dep13 \p 8 \l 2057 </w:instrText>
          </w:r>
          <w:r w:rsidRPr="00A77AF6">
            <w:fldChar w:fldCharType="separate"/>
          </w:r>
          <w:r w:rsidR="008E653F" w:rsidRPr="00A77AF6">
            <w:t>(DH, 2013, p. 8)</w:t>
          </w:r>
          <w:r w:rsidRPr="00A77AF6">
            <w:fldChar w:fldCharType="end"/>
          </w:r>
        </w:sdtContent>
      </w:sdt>
    </w:p>
    <w:p w14:paraId="5E43BE05" w14:textId="77777777" w:rsidR="00604339" w:rsidRPr="00A77AF6" w:rsidRDefault="00604339" w:rsidP="006A5772">
      <w:pPr>
        <w:spacing w:line="240" w:lineRule="auto"/>
        <w:ind w:left="720"/>
      </w:pPr>
    </w:p>
    <w:p w14:paraId="145385C4" w14:textId="55130045" w:rsidR="00B9496E" w:rsidRPr="00A77AF6" w:rsidRDefault="00B9496E" w:rsidP="00B9496E">
      <w:r w:rsidRPr="00A77AF6">
        <w:rPr>
          <w:noProof/>
          <w:lang w:eastAsia="en-GB"/>
        </w:rPr>
        <w:drawing>
          <wp:inline distT="0" distB="0" distL="0" distR="0" wp14:anchorId="54FE2FB5" wp14:editId="36790806">
            <wp:extent cx="4505325" cy="312654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826" t="31612" r="58619" b="20819"/>
                    <a:stretch/>
                  </pic:blipFill>
                  <pic:spPr bwMode="auto">
                    <a:xfrm>
                      <a:off x="0" y="0"/>
                      <a:ext cx="4507993" cy="3128391"/>
                    </a:xfrm>
                    <a:prstGeom prst="rect">
                      <a:avLst/>
                    </a:prstGeom>
                    <a:ln>
                      <a:noFill/>
                    </a:ln>
                    <a:extLst>
                      <a:ext uri="{53640926-AAD7-44D8-BBD7-CCE9431645EC}">
                        <a14:shadowObscured xmlns:a14="http://schemas.microsoft.com/office/drawing/2010/main"/>
                      </a:ext>
                    </a:extLst>
                  </pic:spPr>
                </pic:pic>
              </a:graphicData>
            </a:graphic>
          </wp:inline>
        </w:drawing>
      </w:r>
    </w:p>
    <w:p w14:paraId="4485B0B7" w14:textId="386E92C9" w:rsidR="001E5806" w:rsidRPr="00A77AF6" w:rsidRDefault="001E5806" w:rsidP="001E5806">
      <w:pPr>
        <w:pStyle w:val="Caption"/>
        <w:keepNext/>
      </w:pPr>
      <w:bookmarkStart w:id="31" w:name="_Toc36186963"/>
      <w:r w:rsidRPr="00A77AF6">
        <w:t xml:space="preserve">Figure </w:t>
      </w:r>
      <w:fldSimple w:instr=" STYLEREF 1 \s ">
        <w:r w:rsidR="000441F7">
          <w:rPr>
            <w:noProof/>
          </w:rPr>
          <w:t>2</w:t>
        </w:r>
      </w:fldSimple>
      <w:r w:rsidR="00BA5DC4">
        <w:noBreakHyphen/>
      </w:r>
      <w:fldSimple w:instr=" SEQ Figure \* ARABIC \s 1 ">
        <w:r w:rsidR="000441F7">
          <w:rPr>
            <w:noProof/>
          </w:rPr>
          <w:t>10</w:t>
        </w:r>
      </w:fldSimple>
      <w:r w:rsidRPr="00A77AF6">
        <w:t>: Excerpt from HBN 00-01 (2014) showing the features of a well-designed in-patient bedroom</w:t>
      </w:r>
      <w:bookmarkEnd w:id="31"/>
    </w:p>
    <w:p w14:paraId="00C833E5" w14:textId="7659434A" w:rsidR="00B768E1" w:rsidRPr="00A77AF6" w:rsidRDefault="007000FC" w:rsidP="00604339">
      <w:pPr>
        <w:pStyle w:val="Caption"/>
        <w:spacing w:after="360"/>
        <w:rPr>
          <w:i w:val="0"/>
          <w:sz w:val="20"/>
          <w:szCs w:val="16"/>
        </w:rPr>
      </w:pPr>
      <w:r w:rsidRPr="00A77AF6">
        <w:rPr>
          <w:i w:val="0"/>
          <w:sz w:val="20"/>
          <w:szCs w:val="16"/>
        </w:rPr>
        <w:t xml:space="preserve">Source: </w:t>
      </w:r>
      <w:r w:rsidR="00B768E1" w:rsidRPr="00A77AF6">
        <w:rPr>
          <w:i w:val="0"/>
          <w:sz w:val="20"/>
          <w:szCs w:val="16"/>
        </w:rPr>
        <w:t xml:space="preserve">HBN 00-01 </w:t>
      </w:r>
      <w:r w:rsidRPr="00A77AF6">
        <w:rPr>
          <w:i w:val="0"/>
          <w:sz w:val="20"/>
          <w:szCs w:val="16"/>
        </w:rPr>
        <w:t>(</w:t>
      </w:r>
      <w:r w:rsidR="001E5806" w:rsidRPr="00A77AF6">
        <w:rPr>
          <w:i w:val="0"/>
          <w:sz w:val="20"/>
          <w:szCs w:val="16"/>
        </w:rPr>
        <w:t xml:space="preserve">2014, </w:t>
      </w:r>
      <w:r w:rsidR="00807B13" w:rsidRPr="00A77AF6">
        <w:rPr>
          <w:i w:val="0"/>
          <w:sz w:val="20"/>
          <w:szCs w:val="16"/>
        </w:rPr>
        <w:t>p</w:t>
      </w:r>
      <w:r w:rsidR="00461471" w:rsidRPr="00A77AF6">
        <w:rPr>
          <w:i w:val="0"/>
          <w:sz w:val="20"/>
          <w:szCs w:val="16"/>
        </w:rPr>
        <w:t xml:space="preserve">. </w:t>
      </w:r>
      <w:r w:rsidR="00807B13" w:rsidRPr="00A77AF6">
        <w:rPr>
          <w:i w:val="0"/>
          <w:sz w:val="20"/>
          <w:szCs w:val="16"/>
        </w:rPr>
        <w:t>37</w:t>
      </w:r>
      <w:r w:rsidR="001E5806" w:rsidRPr="00A77AF6">
        <w:rPr>
          <w:i w:val="0"/>
          <w:sz w:val="20"/>
          <w:szCs w:val="16"/>
        </w:rPr>
        <w:t>)</w:t>
      </w:r>
      <w:r w:rsidR="00B768E1" w:rsidRPr="00A77AF6">
        <w:rPr>
          <w:i w:val="0"/>
          <w:sz w:val="20"/>
          <w:szCs w:val="16"/>
        </w:rPr>
        <w:t xml:space="preserve"> </w:t>
      </w:r>
    </w:p>
    <w:p w14:paraId="0B43EABC" w14:textId="54F02CA3" w:rsidR="00807B13" w:rsidRPr="00A77AF6" w:rsidRDefault="00807B13" w:rsidP="00823880">
      <w:pPr>
        <w:pStyle w:val="Heading4"/>
        <w:numPr>
          <w:ilvl w:val="0"/>
          <w:numId w:val="0"/>
        </w:numPr>
        <w:spacing w:after="120"/>
        <w:rPr>
          <w:i w:val="0"/>
          <w:iCs w:val="0"/>
        </w:rPr>
      </w:pPr>
      <w:r w:rsidRPr="00A77AF6">
        <w:rPr>
          <w:i w:val="0"/>
          <w:iCs w:val="0"/>
        </w:rPr>
        <w:t xml:space="preserve">Health </w:t>
      </w:r>
      <w:r w:rsidR="00F83E2E" w:rsidRPr="00A77AF6">
        <w:rPr>
          <w:i w:val="0"/>
          <w:iCs w:val="0"/>
        </w:rPr>
        <w:t>t</w:t>
      </w:r>
      <w:r w:rsidRPr="00A77AF6">
        <w:rPr>
          <w:i w:val="0"/>
          <w:iCs w:val="0"/>
        </w:rPr>
        <w:t xml:space="preserve">echnical </w:t>
      </w:r>
      <w:r w:rsidR="00F83E2E" w:rsidRPr="00A77AF6">
        <w:rPr>
          <w:i w:val="0"/>
          <w:iCs w:val="0"/>
        </w:rPr>
        <w:t>m</w:t>
      </w:r>
      <w:r w:rsidRPr="00A77AF6">
        <w:rPr>
          <w:i w:val="0"/>
          <w:iCs w:val="0"/>
        </w:rPr>
        <w:t>emoranda</w:t>
      </w:r>
      <w:r w:rsidR="00F20FE6" w:rsidRPr="00A77AF6">
        <w:rPr>
          <w:i w:val="0"/>
          <w:iCs w:val="0"/>
        </w:rPr>
        <w:t xml:space="preserve"> </w:t>
      </w:r>
      <w:r w:rsidR="00F83E2E" w:rsidRPr="00A77AF6">
        <w:rPr>
          <w:i w:val="0"/>
          <w:iCs w:val="0"/>
        </w:rPr>
        <w:t>(HTMs)</w:t>
      </w:r>
    </w:p>
    <w:p w14:paraId="6B682AC9" w14:textId="42B2A09C" w:rsidR="00B768E1" w:rsidRPr="00A77AF6" w:rsidRDefault="00B768E1" w:rsidP="00496BA8">
      <w:pPr>
        <w:spacing w:after="0" w:line="360" w:lineRule="auto"/>
      </w:pPr>
      <w:r w:rsidRPr="00A77AF6">
        <w:t xml:space="preserve">HTMs provide guidance on </w:t>
      </w:r>
      <w:r w:rsidR="00750293" w:rsidRPr="00A77AF6">
        <w:t>the design, installation and operation of s</w:t>
      </w:r>
      <w:r w:rsidRPr="00A77AF6">
        <w:t>pecialist technology</w:t>
      </w:r>
      <w:r w:rsidR="00564C67" w:rsidRPr="00A77AF6">
        <w:t xml:space="preserve">. </w:t>
      </w:r>
      <w:r w:rsidRPr="00A77AF6">
        <w:t>This covers medical gases, for example, oxygen; ventilation systems; water; electrical safety; disposal of healthcare waste; sustainability and fire safety, amongst others</w:t>
      </w:r>
      <w:sdt>
        <w:sdtPr>
          <w:id w:val="-1885243839"/>
          <w:citation/>
        </w:sdtPr>
        <w:sdtEndPr/>
        <w:sdtContent>
          <w:r w:rsidRPr="00A77AF6">
            <w:fldChar w:fldCharType="begin"/>
          </w:r>
          <w:r w:rsidR="00564C67" w:rsidRPr="00A77AF6">
            <w:instrText xml:space="preserve">CITATION Dep141 \l 2057 </w:instrText>
          </w:r>
          <w:r w:rsidRPr="00A77AF6">
            <w:fldChar w:fldCharType="separate"/>
          </w:r>
          <w:r w:rsidR="008E653F" w:rsidRPr="00A77AF6">
            <w:t xml:space="preserve"> (DH, 2014)</w:t>
          </w:r>
          <w:r w:rsidRPr="00A77AF6">
            <w:fldChar w:fldCharType="end"/>
          </w:r>
        </w:sdtContent>
      </w:sdt>
      <w:r w:rsidRPr="00A77AF6">
        <w:t>. HTMs have been developed in reference to international, European and industry standards and like HBNs are hierarchical, starting with HTM 00</w:t>
      </w:r>
      <w:r w:rsidR="00564C67" w:rsidRPr="00A77AF6">
        <w:t xml:space="preserve"> which</w:t>
      </w:r>
      <w:r w:rsidRPr="00A77AF6">
        <w:t xml:space="preserve"> makes the duties of NHS Trust clear</w:t>
      </w:r>
    </w:p>
    <w:p w14:paraId="163E5C9E" w14:textId="05502379" w:rsidR="00B768E1" w:rsidRPr="00A77AF6" w:rsidRDefault="00B768E1" w:rsidP="00F46229">
      <w:pPr>
        <w:spacing w:after="240" w:line="240" w:lineRule="auto"/>
        <w:ind w:left="720"/>
      </w:pPr>
      <w:r w:rsidRPr="00A77AF6">
        <w:t>‘</w:t>
      </w:r>
      <w:r w:rsidRPr="00A77AF6">
        <w:rPr>
          <w:i/>
        </w:rPr>
        <w:t>Healthcare providers have a duty of care to ensure that appropriate governance arrangements are in place and are managed effectively. The Health Technical Memorandum series provides best practice engineering standards and policy to enable management of this duty of care.’</w:t>
      </w:r>
      <w:sdt>
        <w:sdtPr>
          <w:id w:val="-983927403"/>
          <w:citation/>
        </w:sdtPr>
        <w:sdtEndPr/>
        <w:sdtContent>
          <w:r w:rsidRPr="00A77AF6">
            <w:fldChar w:fldCharType="begin"/>
          </w:r>
          <w:r w:rsidR="00564C67" w:rsidRPr="00A77AF6">
            <w:instrText xml:space="preserve">CITATION Dep141 \p iii \l 2057 </w:instrText>
          </w:r>
          <w:r w:rsidRPr="00A77AF6">
            <w:fldChar w:fldCharType="separate"/>
          </w:r>
          <w:r w:rsidR="008E653F" w:rsidRPr="00A77AF6">
            <w:t xml:space="preserve"> (DH, 2014, p. iii)</w:t>
          </w:r>
          <w:r w:rsidRPr="00A77AF6">
            <w:fldChar w:fldCharType="end"/>
          </w:r>
        </w:sdtContent>
      </w:sdt>
    </w:p>
    <w:p w14:paraId="653E82C1" w14:textId="0F1A64FE" w:rsidR="00534AC1" w:rsidRPr="00A77AF6" w:rsidRDefault="00B768E1" w:rsidP="00564C67">
      <w:pPr>
        <w:spacing w:after="0" w:line="360" w:lineRule="auto"/>
      </w:pPr>
      <w:r w:rsidRPr="00A77AF6">
        <w:t>H</w:t>
      </w:r>
      <w:r w:rsidR="00807B13" w:rsidRPr="00A77AF6">
        <w:t>T</w:t>
      </w:r>
      <w:r w:rsidRPr="00A77AF6">
        <w:t xml:space="preserve">M 00 states </w:t>
      </w:r>
      <w:r w:rsidR="00D64ADA" w:rsidRPr="00A77AF6">
        <w:t xml:space="preserve">that </w:t>
      </w:r>
    </w:p>
    <w:p w14:paraId="7173D15E" w14:textId="6EF0680E" w:rsidR="00B768E1" w:rsidRPr="00A77AF6" w:rsidRDefault="00B768E1" w:rsidP="00144B9A">
      <w:pPr>
        <w:spacing w:after="120" w:line="240" w:lineRule="auto"/>
        <w:ind w:left="720"/>
      </w:pPr>
      <w:r w:rsidRPr="00A77AF6">
        <w:rPr>
          <w:i/>
        </w:rPr>
        <w:t>‘By following this guidance and applying it to the particular needs of their local healthcare organisation, boards and individual senior managers should be able to demonstrate compliance with their responsibilities and thereby support a culture of professionalism.’</w:t>
      </w:r>
      <w:r w:rsidRPr="00A77AF6">
        <w:t xml:space="preserve"> </w:t>
      </w:r>
      <w:sdt>
        <w:sdtPr>
          <w:id w:val="381295612"/>
          <w:citation/>
        </w:sdtPr>
        <w:sdtEndPr/>
        <w:sdtContent>
          <w:r w:rsidRPr="00A77AF6">
            <w:fldChar w:fldCharType="begin"/>
          </w:r>
          <w:r w:rsidR="00564C67" w:rsidRPr="00A77AF6">
            <w:instrText xml:space="preserve">CITATION Dep141 \p vi \l 2057 </w:instrText>
          </w:r>
          <w:r w:rsidRPr="00A77AF6">
            <w:fldChar w:fldCharType="separate"/>
          </w:r>
          <w:r w:rsidR="008E653F" w:rsidRPr="00A77AF6">
            <w:t>(DH, 2014, p. vi)</w:t>
          </w:r>
          <w:r w:rsidRPr="00A77AF6">
            <w:fldChar w:fldCharType="end"/>
          </w:r>
        </w:sdtContent>
      </w:sdt>
    </w:p>
    <w:p w14:paraId="38060E68" w14:textId="33582045" w:rsidR="00807B13" w:rsidRPr="00A77AF6" w:rsidRDefault="00B768E1" w:rsidP="00564C67">
      <w:pPr>
        <w:spacing w:line="360" w:lineRule="auto"/>
      </w:pPr>
      <w:r w:rsidRPr="00A77AF6">
        <w:t>The explicit link to organisational culture and professionalism connects the compliance with guidance to ethical behaviour</w:t>
      </w:r>
      <w:r w:rsidR="00564C67" w:rsidRPr="00A77AF6">
        <w:t xml:space="preserve">. </w:t>
      </w:r>
      <w:r w:rsidRPr="00A77AF6">
        <w:t xml:space="preserve">  </w:t>
      </w:r>
    </w:p>
    <w:p w14:paraId="7A1CCFB9" w14:textId="48284F90" w:rsidR="00807B13" w:rsidRPr="00A77AF6" w:rsidRDefault="0039757F" w:rsidP="00823880">
      <w:pPr>
        <w:pStyle w:val="Heading4"/>
        <w:numPr>
          <w:ilvl w:val="0"/>
          <w:numId w:val="0"/>
        </w:numPr>
        <w:spacing w:after="120"/>
        <w:rPr>
          <w:i w:val="0"/>
          <w:iCs w:val="0"/>
        </w:rPr>
      </w:pPr>
      <w:r w:rsidRPr="00A77AF6">
        <w:rPr>
          <w:i w:val="0"/>
          <w:iCs w:val="0"/>
        </w:rPr>
        <w:lastRenderedPageBreak/>
        <w:t>BREEAM</w:t>
      </w:r>
    </w:p>
    <w:p w14:paraId="7BA29A56" w14:textId="06589E32" w:rsidR="00B768E1" w:rsidRPr="00A77AF6" w:rsidRDefault="00B768E1" w:rsidP="00564C67">
      <w:pPr>
        <w:spacing w:line="360" w:lineRule="auto"/>
      </w:pPr>
      <w:r w:rsidRPr="00A77AF6">
        <w:t>BREEAM assessments are points-based assessment</w:t>
      </w:r>
      <w:r w:rsidR="00604339" w:rsidRPr="00A77AF6">
        <w:t>s</w:t>
      </w:r>
      <w:r w:rsidRPr="00A77AF6">
        <w:t xml:space="preserve"> of the sustainability of buildings during and after construction</w:t>
      </w:r>
      <w:r w:rsidR="00CD71A1" w:rsidRPr="00A77AF6">
        <w:t xml:space="preserve">.  Points are gained by gaining </w:t>
      </w:r>
      <w:r w:rsidRPr="00A77AF6">
        <w:t>credits for sustainability inputs.  For example, to achieve a BREEAM credit point for the ‘Project brief and design’ phase, the design team must provide evidence that they have consulted</w:t>
      </w:r>
      <w:r w:rsidR="00CD71A1" w:rsidRPr="00A77AF6">
        <w:t xml:space="preserve"> </w:t>
      </w:r>
      <w:r w:rsidRPr="00A77AF6">
        <w:t xml:space="preserve">all interested parties and demonstrate that this has been done by using the Design Quality indicators (DQI) or the Achieving Excellence Design Evaluation Toolkit (AEDET) </w:t>
      </w:r>
      <w:sdt>
        <w:sdtPr>
          <w:id w:val="-457264437"/>
          <w:citation/>
        </w:sdtPr>
        <w:sdtEndPr/>
        <w:sdtContent>
          <w:r w:rsidR="00604339" w:rsidRPr="00A77AF6">
            <w:fldChar w:fldCharType="begin"/>
          </w:r>
          <w:r w:rsidR="00604339" w:rsidRPr="00A77AF6">
            <w:instrText xml:space="preserve"> CITATION BRE18 \l 2057 </w:instrText>
          </w:r>
          <w:r w:rsidR="00604339" w:rsidRPr="00A77AF6">
            <w:fldChar w:fldCharType="separate"/>
          </w:r>
          <w:r w:rsidR="008E653F" w:rsidRPr="00A77AF6">
            <w:t>(BREEAM, 2018)</w:t>
          </w:r>
          <w:r w:rsidR="00604339" w:rsidRPr="00A77AF6">
            <w:fldChar w:fldCharType="end"/>
          </w:r>
        </w:sdtContent>
      </w:sdt>
      <w:r w:rsidRPr="00A77AF6">
        <w:t xml:space="preserve">. Accumulation of credit points </w:t>
      </w:r>
      <w:r w:rsidR="00564C67" w:rsidRPr="00A77AF6">
        <w:t xml:space="preserve">places </w:t>
      </w:r>
      <w:r w:rsidRPr="00A77AF6">
        <w:t xml:space="preserve">the project </w:t>
      </w:r>
      <w:r w:rsidR="00564C67" w:rsidRPr="00A77AF6">
        <w:t xml:space="preserve">in one of the </w:t>
      </w:r>
      <w:r w:rsidRPr="00A77AF6">
        <w:t xml:space="preserve">BREEAM categories </w:t>
      </w:r>
      <w:r w:rsidR="00564C67" w:rsidRPr="00A77AF6">
        <w:t xml:space="preserve">which range </w:t>
      </w:r>
      <w:r w:rsidRPr="00A77AF6">
        <w:t xml:space="preserve">from ‘unclassified’ to ‘outstanding’.  All new healthcare buildings constructed in England with a value of £2 million or more require a BREEAM assessment rating of ‘excellent’ whilst buildings with 10% or more refurbishment </w:t>
      </w:r>
      <w:r w:rsidR="00604339" w:rsidRPr="00A77AF6">
        <w:t>must</w:t>
      </w:r>
      <w:r w:rsidRPr="00A77AF6">
        <w:t xml:space="preserve"> achieve a BREEAM rating of ‘Very good’ </w:t>
      </w:r>
      <w:sdt>
        <w:sdtPr>
          <w:id w:val="-629398306"/>
          <w:citation/>
        </w:sdtPr>
        <w:sdtEndPr/>
        <w:sdtContent>
          <w:r w:rsidRPr="00A77AF6">
            <w:fldChar w:fldCharType="begin"/>
          </w:r>
          <w:r w:rsidRPr="00A77AF6">
            <w:instrText xml:space="preserve"> CITATION BRE18 \l 2057 </w:instrText>
          </w:r>
          <w:r w:rsidRPr="00A77AF6">
            <w:fldChar w:fldCharType="separate"/>
          </w:r>
          <w:r w:rsidR="008E653F" w:rsidRPr="00A77AF6">
            <w:t>(BREEAM, 2018)</w:t>
          </w:r>
          <w:r w:rsidRPr="00A77AF6">
            <w:fldChar w:fldCharType="end"/>
          </w:r>
        </w:sdtContent>
      </w:sdt>
      <w:r w:rsidRPr="00A77AF6">
        <w:t xml:space="preserve">. Table </w:t>
      </w:r>
      <w:r w:rsidR="00D64ADA" w:rsidRPr="00A77AF6">
        <w:t xml:space="preserve">2-5 </w:t>
      </w:r>
      <w:r w:rsidR="00CD71A1" w:rsidRPr="00A77AF6">
        <w:t>shows</w:t>
      </w:r>
      <w:r w:rsidRPr="00A77AF6">
        <w:t xml:space="preserve"> the categories and classification of BREEAM for UK non-domestic buildings.  </w:t>
      </w:r>
      <w:r w:rsidR="00D64ADA" w:rsidRPr="00A77AF6">
        <w:t>‘</w:t>
      </w:r>
      <w:r w:rsidRPr="00A77AF6">
        <w:t>Excellent</w:t>
      </w:r>
      <w:r w:rsidR="00D64ADA" w:rsidRPr="00A77AF6">
        <w:t>’</w:t>
      </w:r>
      <w:r w:rsidRPr="00A77AF6">
        <w:t xml:space="preserve"> and </w:t>
      </w:r>
      <w:r w:rsidR="00D64ADA" w:rsidRPr="00A77AF6">
        <w:t>‘</w:t>
      </w:r>
      <w:r w:rsidRPr="00A77AF6">
        <w:t>Very good</w:t>
      </w:r>
      <w:r w:rsidR="00D64ADA" w:rsidRPr="00A77AF6">
        <w:t>’</w:t>
      </w:r>
      <w:r w:rsidRPr="00A77AF6">
        <w:t xml:space="preserve"> are highlighted to show the standards that NHS buildings are required to meet</w:t>
      </w:r>
      <w:r w:rsidR="00D64ADA" w:rsidRPr="00A77AF6">
        <w:t xml:space="preserve">. </w:t>
      </w:r>
    </w:p>
    <w:p w14:paraId="26065DA6" w14:textId="32A5B886" w:rsidR="00807B13" w:rsidRPr="00A77AF6" w:rsidRDefault="00807B13" w:rsidP="0007452B">
      <w:pPr>
        <w:spacing w:after="120"/>
        <w:rPr>
          <w:i/>
          <w:iCs/>
          <w:sz w:val="18"/>
          <w:szCs w:val="18"/>
        </w:rPr>
      </w:pPr>
      <w:r w:rsidRPr="00A77AF6">
        <w:rPr>
          <w:i/>
          <w:iCs/>
          <w:sz w:val="18"/>
          <w:szCs w:val="18"/>
        </w:rPr>
        <w:t xml:space="preserve">Table </w:t>
      </w:r>
      <w:r w:rsidR="00804112">
        <w:rPr>
          <w:i/>
          <w:iCs/>
          <w:sz w:val="18"/>
          <w:szCs w:val="18"/>
        </w:rPr>
        <w:fldChar w:fldCharType="begin"/>
      </w:r>
      <w:r w:rsidR="00804112">
        <w:rPr>
          <w:i/>
          <w:iCs/>
          <w:sz w:val="18"/>
          <w:szCs w:val="18"/>
        </w:rPr>
        <w:instrText xml:space="preserve"> STYLEREF 1 \s </w:instrText>
      </w:r>
      <w:r w:rsidR="00804112">
        <w:rPr>
          <w:i/>
          <w:iCs/>
          <w:sz w:val="18"/>
          <w:szCs w:val="18"/>
        </w:rPr>
        <w:fldChar w:fldCharType="separate"/>
      </w:r>
      <w:r w:rsidR="000441F7">
        <w:rPr>
          <w:i/>
          <w:iCs/>
          <w:noProof/>
          <w:sz w:val="18"/>
          <w:szCs w:val="18"/>
        </w:rPr>
        <w:t>2</w:t>
      </w:r>
      <w:r w:rsidR="00804112">
        <w:rPr>
          <w:i/>
          <w:iCs/>
          <w:sz w:val="18"/>
          <w:szCs w:val="18"/>
        </w:rPr>
        <w:fldChar w:fldCharType="end"/>
      </w:r>
      <w:r w:rsidR="00804112">
        <w:rPr>
          <w:i/>
          <w:iCs/>
          <w:sz w:val="18"/>
          <w:szCs w:val="18"/>
        </w:rPr>
        <w:noBreakHyphen/>
      </w:r>
      <w:r w:rsidR="00804112">
        <w:rPr>
          <w:i/>
          <w:iCs/>
          <w:sz w:val="18"/>
          <w:szCs w:val="18"/>
        </w:rPr>
        <w:fldChar w:fldCharType="begin"/>
      </w:r>
      <w:r w:rsidR="00804112">
        <w:rPr>
          <w:i/>
          <w:iCs/>
          <w:sz w:val="18"/>
          <w:szCs w:val="18"/>
        </w:rPr>
        <w:instrText xml:space="preserve"> SEQ Table \* ARABIC \s 1 </w:instrText>
      </w:r>
      <w:r w:rsidR="00804112">
        <w:rPr>
          <w:i/>
          <w:iCs/>
          <w:sz w:val="18"/>
          <w:szCs w:val="18"/>
        </w:rPr>
        <w:fldChar w:fldCharType="separate"/>
      </w:r>
      <w:r w:rsidR="000441F7">
        <w:rPr>
          <w:i/>
          <w:iCs/>
          <w:noProof/>
          <w:sz w:val="18"/>
          <w:szCs w:val="18"/>
        </w:rPr>
        <w:t>5</w:t>
      </w:r>
      <w:r w:rsidR="00804112">
        <w:rPr>
          <w:i/>
          <w:iCs/>
          <w:sz w:val="18"/>
          <w:szCs w:val="18"/>
        </w:rPr>
        <w:fldChar w:fldCharType="end"/>
      </w:r>
      <w:r w:rsidRPr="00A77AF6">
        <w:rPr>
          <w:i/>
          <w:iCs/>
          <w:sz w:val="18"/>
          <w:szCs w:val="18"/>
        </w:rPr>
        <w:t xml:space="preserve">: BREEAM </w:t>
      </w:r>
      <w:r w:rsidR="00C51ED0" w:rsidRPr="00A77AF6">
        <w:rPr>
          <w:i/>
          <w:iCs/>
          <w:sz w:val="18"/>
          <w:szCs w:val="18"/>
        </w:rPr>
        <w:t>r</w:t>
      </w:r>
      <w:r w:rsidRPr="00A77AF6">
        <w:rPr>
          <w:i/>
          <w:iCs/>
          <w:sz w:val="18"/>
          <w:szCs w:val="18"/>
        </w:rPr>
        <w:t xml:space="preserve">ating and </w:t>
      </w:r>
      <w:r w:rsidR="00C51ED0" w:rsidRPr="00A77AF6">
        <w:rPr>
          <w:i/>
          <w:iCs/>
          <w:sz w:val="18"/>
          <w:szCs w:val="18"/>
        </w:rPr>
        <w:t>c</w:t>
      </w:r>
      <w:r w:rsidRPr="00A77AF6">
        <w:rPr>
          <w:i/>
          <w:iCs/>
          <w:sz w:val="18"/>
          <w:szCs w:val="18"/>
        </w:rPr>
        <w:t>lassification</w:t>
      </w:r>
    </w:p>
    <w:tbl>
      <w:tblPr>
        <w:tblStyle w:val="TableGrid"/>
        <w:tblW w:w="0" w:type="auto"/>
        <w:tblLook w:val="04A0" w:firstRow="1" w:lastRow="0" w:firstColumn="1" w:lastColumn="0" w:noHBand="0" w:noVBand="1"/>
      </w:tblPr>
      <w:tblGrid>
        <w:gridCol w:w="1413"/>
        <w:gridCol w:w="992"/>
        <w:gridCol w:w="6095"/>
      </w:tblGrid>
      <w:tr w:rsidR="00B768E1" w:rsidRPr="00A77AF6" w14:paraId="7C0E1720" w14:textId="77777777" w:rsidTr="00564C67">
        <w:tc>
          <w:tcPr>
            <w:tcW w:w="1413" w:type="dxa"/>
          </w:tcPr>
          <w:p w14:paraId="124AC758" w14:textId="77777777" w:rsidR="00B768E1" w:rsidRPr="00A77AF6" w:rsidRDefault="00B768E1" w:rsidP="00564C67">
            <w:r w:rsidRPr="00A77AF6">
              <w:t>BREEAM Rating</w:t>
            </w:r>
          </w:p>
        </w:tc>
        <w:tc>
          <w:tcPr>
            <w:tcW w:w="992" w:type="dxa"/>
          </w:tcPr>
          <w:p w14:paraId="59CE2873" w14:textId="77777777" w:rsidR="00B768E1" w:rsidRPr="00A77AF6" w:rsidRDefault="00B768E1" w:rsidP="00564C67">
            <w:r w:rsidRPr="00A77AF6">
              <w:t>% Score</w:t>
            </w:r>
          </w:p>
        </w:tc>
        <w:tc>
          <w:tcPr>
            <w:tcW w:w="6095" w:type="dxa"/>
          </w:tcPr>
          <w:p w14:paraId="54F2A76E" w14:textId="77777777" w:rsidR="00B768E1" w:rsidRPr="00A77AF6" w:rsidRDefault="00B768E1" w:rsidP="00564C67">
            <w:r w:rsidRPr="00A77AF6">
              <w:t>Classification</w:t>
            </w:r>
          </w:p>
        </w:tc>
      </w:tr>
      <w:tr w:rsidR="00B768E1" w:rsidRPr="00A77AF6" w14:paraId="36805A4B" w14:textId="77777777" w:rsidTr="00564C67">
        <w:tc>
          <w:tcPr>
            <w:tcW w:w="1413" w:type="dxa"/>
          </w:tcPr>
          <w:p w14:paraId="439A239B" w14:textId="77777777" w:rsidR="00B768E1" w:rsidRPr="00A77AF6" w:rsidRDefault="00B768E1" w:rsidP="00B768E1">
            <w:pPr>
              <w:spacing w:line="480" w:lineRule="auto"/>
            </w:pPr>
            <w:r w:rsidRPr="00A77AF6">
              <w:t>Outstanding</w:t>
            </w:r>
          </w:p>
        </w:tc>
        <w:tc>
          <w:tcPr>
            <w:tcW w:w="992" w:type="dxa"/>
          </w:tcPr>
          <w:p w14:paraId="0B54CA41" w14:textId="77777777" w:rsidR="00B768E1" w:rsidRPr="00A77AF6" w:rsidRDefault="00B768E1" w:rsidP="00B768E1">
            <w:pPr>
              <w:spacing w:line="480" w:lineRule="auto"/>
              <w:jc w:val="center"/>
            </w:pPr>
            <w:r w:rsidRPr="00A77AF6">
              <w:rPr>
                <w:rFonts w:cstheme="minorHAnsi"/>
              </w:rPr>
              <w:t>≥ 85</w:t>
            </w:r>
          </w:p>
        </w:tc>
        <w:tc>
          <w:tcPr>
            <w:tcW w:w="6095" w:type="dxa"/>
          </w:tcPr>
          <w:p w14:paraId="5E4920E8" w14:textId="6375F543" w:rsidR="00B768E1" w:rsidRPr="00A77AF6" w:rsidRDefault="00B768E1" w:rsidP="00564C67">
            <w:r w:rsidRPr="00A77AF6">
              <w:t>Innovator</w:t>
            </w:r>
            <w:r w:rsidR="00564C67" w:rsidRPr="00A77AF6">
              <w:t xml:space="preserve"> </w:t>
            </w:r>
            <w:r w:rsidRPr="00A77AF6">
              <w:t>(less than 1% of UK new non-domestic buildings)</w:t>
            </w:r>
          </w:p>
        </w:tc>
      </w:tr>
      <w:tr w:rsidR="00B768E1" w:rsidRPr="00A77AF6" w14:paraId="74B3D38C" w14:textId="77777777" w:rsidTr="00564C67">
        <w:tc>
          <w:tcPr>
            <w:tcW w:w="1413" w:type="dxa"/>
            <w:shd w:val="clear" w:color="auto" w:fill="D9D9D9" w:themeFill="background1" w:themeFillShade="D9"/>
          </w:tcPr>
          <w:p w14:paraId="7514CC4E" w14:textId="77777777" w:rsidR="00B768E1" w:rsidRPr="00A77AF6" w:rsidRDefault="00B768E1" w:rsidP="00B768E1">
            <w:pPr>
              <w:spacing w:line="480" w:lineRule="auto"/>
            </w:pPr>
            <w:r w:rsidRPr="00A77AF6">
              <w:t>Excellent</w:t>
            </w:r>
          </w:p>
        </w:tc>
        <w:tc>
          <w:tcPr>
            <w:tcW w:w="992" w:type="dxa"/>
            <w:shd w:val="clear" w:color="auto" w:fill="D9D9D9" w:themeFill="background1" w:themeFillShade="D9"/>
          </w:tcPr>
          <w:p w14:paraId="39EEBD1B" w14:textId="77777777" w:rsidR="00B768E1" w:rsidRPr="00A77AF6" w:rsidRDefault="00B768E1" w:rsidP="00B768E1">
            <w:pPr>
              <w:spacing w:line="480" w:lineRule="auto"/>
              <w:jc w:val="center"/>
            </w:pPr>
            <w:r w:rsidRPr="00A77AF6">
              <w:rPr>
                <w:rFonts w:cstheme="minorHAnsi"/>
              </w:rPr>
              <w:t>≥ 70</w:t>
            </w:r>
          </w:p>
        </w:tc>
        <w:tc>
          <w:tcPr>
            <w:tcW w:w="6095" w:type="dxa"/>
            <w:shd w:val="clear" w:color="auto" w:fill="D9D9D9" w:themeFill="background1" w:themeFillShade="D9"/>
          </w:tcPr>
          <w:p w14:paraId="5C3EEA6A" w14:textId="3F4EF0F1" w:rsidR="00B768E1" w:rsidRPr="00A77AF6" w:rsidRDefault="00B768E1" w:rsidP="00564C67">
            <w:r w:rsidRPr="00A77AF6">
              <w:t>Best practice (top 10% of UK new non-domestic buildings)</w:t>
            </w:r>
          </w:p>
        </w:tc>
      </w:tr>
      <w:tr w:rsidR="00B768E1" w:rsidRPr="00A77AF6" w14:paraId="02D73205" w14:textId="77777777" w:rsidTr="00564C67">
        <w:tc>
          <w:tcPr>
            <w:tcW w:w="1413" w:type="dxa"/>
            <w:shd w:val="clear" w:color="auto" w:fill="D9D9D9" w:themeFill="background1" w:themeFillShade="D9"/>
          </w:tcPr>
          <w:p w14:paraId="31C7A968" w14:textId="77777777" w:rsidR="00B768E1" w:rsidRPr="00A77AF6" w:rsidRDefault="00B768E1" w:rsidP="00B768E1">
            <w:pPr>
              <w:spacing w:line="480" w:lineRule="auto"/>
            </w:pPr>
            <w:r w:rsidRPr="00A77AF6">
              <w:t>Very good</w:t>
            </w:r>
          </w:p>
        </w:tc>
        <w:tc>
          <w:tcPr>
            <w:tcW w:w="992" w:type="dxa"/>
            <w:shd w:val="clear" w:color="auto" w:fill="D9D9D9" w:themeFill="background1" w:themeFillShade="D9"/>
          </w:tcPr>
          <w:p w14:paraId="53BAC4E2" w14:textId="77777777" w:rsidR="00B768E1" w:rsidRPr="00A77AF6" w:rsidRDefault="00B768E1" w:rsidP="00B768E1">
            <w:pPr>
              <w:spacing w:line="480" w:lineRule="auto"/>
              <w:jc w:val="center"/>
            </w:pPr>
            <w:r w:rsidRPr="00A77AF6">
              <w:rPr>
                <w:rFonts w:cstheme="minorHAnsi"/>
              </w:rPr>
              <w:t>≥ 55</w:t>
            </w:r>
          </w:p>
        </w:tc>
        <w:tc>
          <w:tcPr>
            <w:tcW w:w="6095" w:type="dxa"/>
            <w:shd w:val="clear" w:color="auto" w:fill="D9D9D9" w:themeFill="background1" w:themeFillShade="D9"/>
          </w:tcPr>
          <w:p w14:paraId="6D62D01F" w14:textId="48FC242F" w:rsidR="00B768E1" w:rsidRPr="00A77AF6" w:rsidRDefault="00B768E1" w:rsidP="00564C67">
            <w:pPr>
              <w:rPr>
                <w:rFonts w:cstheme="minorHAnsi"/>
              </w:rPr>
            </w:pPr>
            <w:r w:rsidRPr="00A77AF6">
              <w:rPr>
                <w:rFonts w:cstheme="minorHAnsi"/>
                <w:color w:val="000000"/>
              </w:rPr>
              <w:t>Advanced good practice</w:t>
            </w:r>
            <w:r w:rsidR="00564C67" w:rsidRPr="00A77AF6">
              <w:rPr>
                <w:rFonts w:cstheme="minorHAnsi"/>
                <w:color w:val="000000"/>
              </w:rPr>
              <w:t xml:space="preserve"> (</w:t>
            </w:r>
            <w:r w:rsidR="00FD5B8C" w:rsidRPr="00A77AF6">
              <w:rPr>
                <w:rFonts w:cstheme="minorHAnsi"/>
                <w:color w:val="000000"/>
              </w:rPr>
              <w:t>t</w:t>
            </w:r>
            <w:r w:rsidRPr="00A77AF6">
              <w:rPr>
                <w:rFonts w:cstheme="minorHAnsi"/>
              </w:rPr>
              <w:t>op 25% of UK new non-domestic buildings</w:t>
            </w:r>
            <w:r w:rsidR="00564C67" w:rsidRPr="00A77AF6">
              <w:rPr>
                <w:rFonts w:cstheme="minorHAnsi"/>
              </w:rPr>
              <w:t>)</w:t>
            </w:r>
          </w:p>
        </w:tc>
      </w:tr>
      <w:tr w:rsidR="00B768E1" w:rsidRPr="00A77AF6" w14:paraId="084AF200" w14:textId="77777777" w:rsidTr="00564C67">
        <w:tc>
          <w:tcPr>
            <w:tcW w:w="1413" w:type="dxa"/>
          </w:tcPr>
          <w:p w14:paraId="14A6ADEE" w14:textId="77777777" w:rsidR="00B768E1" w:rsidRPr="00A77AF6" w:rsidRDefault="00B768E1" w:rsidP="00B768E1">
            <w:pPr>
              <w:spacing w:line="480" w:lineRule="auto"/>
            </w:pPr>
            <w:r w:rsidRPr="00A77AF6">
              <w:t>Good</w:t>
            </w:r>
          </w:p>
        </w:tc>
        <w:tc>
          <w:tcPr>
            <w:tcW w:w="992" w:type="dxa"/>
          </w:tcPr>
          <w:p w14:paraId="596B3B35" w14:textId="77777777" w:rsidR="00B768E1" w:rsidRPr="00A77AF6" w:rsidRDefault="00B768E1" w:rsidP="00B768E1">
            <w:pPr>
              <w:spacing w:line="480" w:lineRule="auto"/>
              <w:jc w:val="center"/>
            </w:pPr>
            <w:r w:rsidRPr="00A77AF6">
              <w:rPr>
                <w:rFonts w:cstheme="minorHAnsi"/>
              </w:rPr>
              <w:t>≥ 45</w:t>
            </w:r>
          </w:p>
        </w:tc>
        <w:tc>
          <w:tcPr>
            <w:tcW w:w="6095" w:type="dxa"/>
          </w:tcPr>
          <w:p w14:paraId="5A6FA648" w14:textId="37F8C1B8" w:rsidR="00B768E1" w:rsidRPr="00A77AF6" w:rsidRDefault="00B768E1" w:rsidP="00564C67">
            <w:r w:rsidRPr="00A77AF6">
              <w:t xml:space="preserve">Intermediate </w:t>
            </w:r>
            <w:r w:rsidRPr="00A77AF6">
              <w:rPr>
                <w:rFonts w:cstheme="minorHAnsi"/>
                <w:color w:val="000000"/>
              </w:rPr>
              <w:t>good practice</w:t>
            </w:r>
            <w:r w:rsidR="00564C67" w:rsidRPr="00A77AF6">
              <w:rPr>
                <w:rFonts w:cstheme="minorHAnsi"/>
                <w:color w:val="000000"/>
              </w:rPr>
              <w:t xml:space="preserve"> </w:t>
            </w:r>
            <w:r w:rsidR="00564C67" w:rsidRPr="00A77AF6">
              <w:rPr>
                <w:rFonts w:cstheme="minorHAnsi"/>
              </w:rPr>
              <w:t>(</w:t>
            </w:r>
            <w:r w:rsidR="00FD5B8C" w:rsidRPr="00A77AF6">
              <w:rPr>
                <w:rFonts w:cstheme="minorHAnsi"/>
              </w:rPr>
              <w:t>t</w:t>
            </w:r>
            <w:r w:rsidRPr="00A77AF6">
              <w:rPr>
                <w:rFonts w:cstheme="minorHAnsi"/>
              </w:rPr>
              <w:t>op 50% of UK new non-domestic buildings</w:t>
            </w:r>
            <w:r w:rsidR="00564C67" w:rsidRPr="00A77AF6">
              <w:rPr>
                <w:rFonts w:cstheme="minorHAnsi"/>
              </w:rPr>
              <w:t>)</w:t>
            </w:r>
          </w:p>
        </w:tc>
      </w:tr>
      <w:tr w:rsidR="00B768E1" w:rsidRPr="00A77AF6" w14:paraId="4D41BA05" w14:textId="77777777" w:rsidTr="00564C67">
        <w:tc>
          <w:tcPr>
            <w:tcW w:w="1413" w:type="dxa"/>
          </w:tcPr>
          <w:p w14:paraId="3E32954F" w14:textId="77777777" w:rsidR="00B768E1" w:rsidRPr="00A77AF6" w:rsidRDefault="00B768E1" w:rsidP="00B768E1">
            <w:pPr>
              <w:spacing w:line="480" w:lineRule="auto"/>
            </w:pPr>
            <w:r w:rsidRPr="00A77AF6">
              <w:t>Pass</w:t>
            </w:r>
          </w:p>
        </w:tc>
        <w:tc>
          <w:tcPr>
            <w:tcW w:w="992" w:type="dxa"/>
          </w:tcPr>
          <w:p w14:paraId="3596D117" w14:textId="77777777" w:rsidR="00B768E1" w:rsidRPr="00A77AF6" w:rsidRDefault="00B768E1" w:rsidP="00B768E1">
            <w:pPr>
              <w:spacing w:line="480" w:lineRule="auto"/>
              <w:jc w:val="center"/>
            </w:pPr>
            <w:r w:rsidRPr="00A77AF6">
              <w:rPr>
                <w:rFonts w:cstheme="minorHAnsi"/>
              </w:rPr>
              <w:t>≥ 30</w:t>
            </w:r>
          </w:p>
        </w:tc>
        <w:tc>
          <w:tcPr>
            <w:tcW w:w="6095" w:type="dxa"/>
          </w:tcPr>
          <w:p w14:paraId="4EC74227" w14:textId="64FD0CA1" w:rsidR="00B768E1" w:rsidRPr="00A77AF6" w:rsidRDefault="00B768E1" w:rsidP="00FD5B8C">
            <w:r w:rsidRPr="00A77AF6">
              <w:t>Standard good practice</w:t>
            </w:r>
            <w:r w:rsidR="00FD5B8C" w:rsidRPr="00A77AF6">
              <w:t xml:space="preserve"> (t</w:t>
            </w:r>
            <w:r w:rsidRPr="00A77AF6">
              <w:rPr>
                <w:rFonts w:cstheme="minorHAnsi"/>
              </w:rPr>
              <w:t>op 75% of UK new non-domestic buildings</w:t>
            </w:r>
            <w:r w:rsidR="00FD5B8C" w:rsidRPr="00A77AF6">
              <w:rPr>
                <w:rFonts w:cstheme="minorHAnsi"/>
              </w:rPr>
              <w:t>)</w:t>
            </w:r>
          </w:p>
        </w:tc>
      </w:tr>
      <w:tr w:rsidR="00B768E1" w:rsidRPr="00A77AF6" w14:paraId="27E3DC56" w14:textId="77777777" w:rsidTr="00564C67">
        <w:tc>
          <w:tcPr>
            <w:tcW w:w="1413" w:type="dxa"/>
          </w:tcPr>
          <w:p w14:paraId="6D8A2236" w14:textId="77777777" w:rsidR="00B768E1" w:rsidRPr="00A77AF6" w:rsidRDefault="00B768E1" w:rsidP="00B768E1">
            <w:pPr>
              <w:spacing w:line="480" w:lineRule="auto"/>
            </w:pPr>
            <w:r w:rsidRPr="00A77AF6">
              <w:t>Unclassified</w:t>
            </w:r>
          </w:p>
        </w:tc>
        <w:tc>
          <w:tcPr>
            <w:tcW w:w="992" w:type="dxa"/>
          </w:tcPr>
          <w:p w14:paraId="674F6DFF" w14:textId="77777777" w:rsidR="00B768E1" w:rsidRPr="00A77AF6" w:rsidRDefault="00B768E1" w:rsidP="00B768E1">
            <w:pPr>
              <w:spacing w:line="480" w:lineRule="auto"/>
              <w:jc w:val="center"/>
            </w:pPr>
            <w:r w:rsidRPr="00A77AF6">
              <w:t>&lt; 30</w:t>
            </w:r>
          </w:p>
        </w:tc>
        <w:tc>
          <w:tcPr>
            <w:tcW w:w="6095" w:type="dxa"/>
          </w:tcPr>
          <w:p w14:paraId="6D3BBD8E" w14:textId="77777777" w:rsidR="00B768E1" w:rsidRPr="00A77AF6" w:rsidRDefault="00B768E1" w:rsidP="00B768E1">
            <w:r w:rsidRPr="00A77AF6">
              <w:t>Non-compliant with BREEAM</w:t>
            </w:r>
          </w:p>
        </w:tc>
      </w:tr>
    </w:tbl>
    <w:p w14:paraId="6B888A82" w14:textId="5373FBDE" w:rsidR="00B768E1" w:rsidRPr="00A77AF6" w:rsidRDefault="007000FC" w:rsidP="00B768E1">
      <w:pPr>
        <w:spacing w:line="480" w:lineRule="auto"/>
        <w:rPr>
          <w:sz w:val="20"/>
        </w:rPr>
      </w:pPr>
      <w:r w:rsidRPr="00A77AF6">
        <w:rPr>
          <w:sz w:val="20"/>
        </w:rPr>
        <w:t>Source: d</w:t>
      </w:r>
      <w:r w:rsidR="00B768E1" w:rsidRPr="00A77AF6">
        <w:rPr>
          <w:sz w:val="20"/>
        </w:rPr>
        <w:t xml:space="preserve">erived from BREEAM </w:t>
      </w:r>
      <w:r w:rsidR="00807B13" w:rsidRPr="00A77AF6">
        <w:rPr>
          <w:sz w:val="20"/>
        </w:rPr>
        <w:t>(</w:t>
      </w:r>
      <w:r w:rsidR="00B768E1" w:rsidRPr="00A77AF6">
        <w:rPr>
          <w:sz w:val="20"/>
        </w:rPr>
        <w:t>2018</w:t>
      </w:r>
      <w:r w:rsidR="00807B13" w:rsidRPr="00A77AF6">
        <w:rPr>
          <w:sz w:val="20"/>
        </w:rPr>
        <w:t>)</w:t>
      </w:r>
      <w:r w:rsidR="00B768E1" w:rsidRPr="00A77AF6">
        <w:rPr>
          <w:sz w:val="20"/>
        </w:rPr>
        <w:t xml:space="preserve"> </w:t>
      </w:r>
    </w:p>
    <w:p w14:paraId="70369110" w14:textId="1DF11014" w:rsidR="00B768E1" w:rsidRPr="00A77AF6" w:rsidRDefault="00B768E1" w:rsidP="00B31974">
      <w:pPr>
        <w:spacing w:line="360" w:lineRule="auto"/>
      </w:pPr>
      <w:r w:rsidRPr="00A77AF6">
        <w:t>HBNs, HTMs and BREEAM support the construction of safe and heal</w:t>
      </w:r>
      <w:r w:rsidR="006C32E1" w:rsidRPr="00A77AF6">
        <w:t xml:space="preserve">thy </w:t>
      </w:r>
      <w:r w:rsidRPr="00A77AF6">
        <w:t>environments for patients</w:t>
      </w:r>
      <w:r w:rsidR="00DF6C53" w:rsidRPr="00A77AF6">
        <w:t xml:space="preserve"> and the guidance </w:t>
      </w:r>
      <w:r w:rsidRPr="00A77AF6">
        <w:t>is prescriptive and detailed</w:t>
      </w:r>
      <w:r w:rsidR="00593EAB" w:rsidRPr="00A77AF6">
        <w:t xml:space="preserve">.  </w:t>
      </w:r>
      <w:r w:rsidR="00DF6C53" w:rsidRPr="00A77AF6">
        <w:t>Guidance</w:t>
      </w:r>
      <w:r w:rsidR="000401B9" w:rsidRPr="00A77AF6">
        <w:t xml:space="preserve">, underpinned by the law, </w:t>
      </w:r>
      <w:r w:rsidRPr="00A77AF6">
        <w:t>specif</w:t>
      </w:r>
      <w:r w:rsidR="00593EAB" w:rsidRPr="00A77AF6">
        <w:t>ies</w:t>
      </w:r>
      <w:r w:rsidRPr="00A77AF6">
        <w:t xml:space="preserve"> the quality standards that the UK government </w:t>
      </w:r>
      <w:r w:rsidR="00FD5B8C" w:rsidRPr="00A77AF6">
        <w:t xml:space="preserve">requires from </w:t>
      </w:r>
      <w:r w:rsidRPr="00A77AF6">
        <w:t xml:space="preserve">NHS </w:t>
      </w:r>
      <w:r w:rsidR="00593EAB" w:rsidRPr="00A77AF6">
        <w:t>Trusts</w:t>
      </w:r>
      <w:r w:rsidRPr="00A77AF6">
        <w:t xml:space="preserve"> and their project teams in the design and construction of healthcare facilities</w:t>
      </w:r>
      <w:r w:rsidR="000401B9" w:rsidRPr="00A77AF6">
        <w:t xml:space="preserve">. </w:t>
      </w:r>
      <w:r w:rsidR="00FD5B8C" w:rsidRPr="00A77AF6">
        <w:t xml:space="preserve">The design of the healthcare facility is scrutinised through the governance structure discussed earlier and derogation from design guidance </w:t>
      </w:r>
      <w:r w:rsidR="00B31974" w:rsidRPr="00A77AF6">
        <w:t xml:space="preserve">is discretionary based on the persuasiveness of the argument. </w:t>
      </w:r>
      <w:r w:rsidR="00FD5B8C" w:rsidRPr="00A77AF6">
        <w:t xml:space="preserve"> </w:t>
      </w:r>
    </w:p>
    <w:p w14:paraId="5D9BD001" w14:textId="3D14AAB7" w:rsidR="00B541D2" w:rsidRPr="00A77AF6" w:rsidRDefault="00B541D2" w:rsidP="00B541D2">
      <w:pPr>
        <w:pStyle w:val="Heading2"/>
        <w:spacing w:after="120"/>
      </w:pPr>
      <w:bookmarkStart w:id="32" w:name="_Toc36275042"/>
      <w:r w:rsidRPr="00A77AF6">
        <w:lastRenderedPageBreak/>
        <w:t>Concluding remarks</w:t>
      </w:r>
      <w:bookmarkEnd w:id="32"/>
    </w:p>
    <w:p w14:paraId="3A5F45AE" w14:textId="367B2C38" w:rsidR="00CD71A1" w:rsidRPr="00A77AF6" w:rsidRDefault="00CD71A1" w:rsidP="00F45EDF">
      <w:pPr>
        <w:spacing w:line="360" w:lineRule="auto"/>
      </w:pPr>
      <w:r w:rsidRPr="00A77AF6">
        <w:rPr>
          <w:rFonts w:cstheme="minorHAnsi"/>
        </w:rPr>
        <w:t>This chapter has described the history, changing structure</w:t>
      </w:r>
      <w:r w:rsidR="00193E17" w:rsidRPr="00A77AF6">
        <w:rPr>
          <w:rFonts w:cstheme="minorHAnsi"/>
        </w:rPr>
        <w:t xml:space="preserve">, changing clinical </w:t>
      </w:r>
      <w:r w:rsidR="000A5A5D">
        <w:rPr>
          <w:rFonts w:cstheme="minorHAnsi"/>
        </w:rPr>
        <w:t xml:space="preserve">models </w:t>
      </w:r>
      <w:r w:rsidR="0078172C" w:rsidRPr="00A77AF6">
        <w:rPr>
          <w:rFonts w:cstheme="minorHAnsi"/>
        </w:rPr>
        <w:t xml:space="preserve">of the NHS and </w:t>
      </w:r>
      <w:r w:rsidR="005E7302" w:rsidRPr="00A77AF6">
        <w:rPr>
          <w:rFonts w:cstheme="minorHAnsi"/>
        </w:rPr>
        <w:t xml:space="preserve">the need for the NHS </w:t>
      </w:r>
      <w:r w:rsidR="00193E17" w:rsidRPr="00A77AF6">
        <w:rPr>
          <w:rFonts w:cstheme="minorHAnsi"/>
        </w:rPr>
        <w:t xml:space="preserve">estate to </w:t>
      </w:r>
      <w:r w:rsidR="000A5A5D">
        <w:rPr>
          <w:rFonts w:cstheme="minorHAnsi"/>
        </w:rPr>
        <w:t xml:space="preserve">evolve in response. </w:t>
      </w:r>
      <w:r w:rsidR="00B40F06" w:rsidRPr="00A77AF6">
        <w:rPr>
          <w:rFonts w:cstheme="minorHAnsi"/>
        </w:rPr>
        <w:t xml:space="preserve">Significant sums of money are spent on the development and maintenance of the </w:t>
      </w:r>
      <w:r w:rsidR="003E7DFD" w:rsidRPr="00A77AF6">
        <w:rPr>
          <w:rFonts w:cstheme="minorHAnsi"/>
        </w:rPr>
        <w:t xml:space="preserve">estate and the NHS must manage it </w:t>
      </w:r>
      <w:r w:rsidR="00F964A4" w:rsidRPr="00A77AF6">
        <w:rPr>
          <w:rFonts w:cstheme="minorHAnsi"/>
        </w:rPr>
        <w:t xml:space="preserve">within a </w:t>
      </w:r>
      <w:r w:rsidR="006B5655" w:rsidRPr="00A77AF6">
        <w:rPr>
          <w:rFonts w:cstheme="minorHAnsi"/>
        </w:rPr>
        <w:t xml:space="preserve">legal and non-statutory governance framework which protect the interests of the public, patients and staff.  Laws, guidance and processes flow from governments to trusts </w:t>
      </w:r>
      <w:r w:rsidR="00C91359" w:rsidRPr="00A77AF6">
        <w:rPr>
          <w:rFonts w:cstheme="minorHAnsi"/>
        </w:rPr>
        <w:t xml:space="preserve">which in turn seek approval </w:t>
      </w:r>
      <w:r w:rsidR="00F964A4" w:rsidRPr="00A77AF6">
        <w:rPr>
          <w:rFonts w:cstheme="minorHAnsi"/>
        </w:rPr>
        <w:t xml:space="preserve">for projects </w:t>
      </w:r>
      <w:r w:rsidR="00C91359" w:rsidRPr="00A77AF6">
        <w:rPr>
          <w:rFonts w:cstheme="minorHAnsi"/>
        </w:rPr>
        <w:t>from a hierarchical approvals process</w:t>
      </w:r>
      <w:r w:rsidR="002773B6" w:rsidRPr="00A77AF6">
        <w:rPr>
          <w:rFonts w:cstheme="minorHAnsi"/>
        </w:rPr>
        <w:t xml:space="preserve"> which </w:t>
      </w:r>
      <w:r w:rsidR="00E17FB6" w:rsidRPr="00A77AF6">
        <w:t xml:space="preserve">includes </w:t>
      </w:r>
      <w:r w:rsidR="0049124D" w:rsidRPr="00A77AF6">
        <w:t xml:space="preserve">the </w:t>
      </w:r>
      <w:r w:rsidR="008F3782" w:rsidRPr="00A77AF6">
        <w:t xml:space="preserve">development of several </w:t>
      </w:r>
      <w:r w:rsidR="00E17FB6" w:rsidRPr="00A77AF6">
        <w:t>business case</w:t>
      </w:r>
      <w:r w:rsidR="008F3782" w:rsidRPr="00A77AF6">
        <w:t>s</w:t>
      </w:r>
      <w:r w:rsidR="002262D3" w:rsidRPr="00A77AF6">
        <w:t xml:space="preserve">, </w:t>
      </w:r>
      <w:r w:rsidR="00E17FB6" w:rsidRPr="00A77AF6">
        <w:t xml:space="preserve">design and planning </w:t>
      </w:r>
      <w:r w:rsidR="00693834" w:rsidRPr="00A77AF6">
        <w:t xml:space="preserve">all of which are </w:t>
      </w:r>
      <w:r w:rsidR="00E17FB6" w:rsidRPr="00A77AF6">
        <w:t xml:space="preserve">structured and rules-based procedures.  </w:t>
      </w:r>
      <w:r w:rsidR="00693834" w:rsidRPr="00A77AF6">
        <w:t xml:space="preserve">These governance arrangements </w:t>
      </w:r>
      <w:r w:rsidR="00C91359" w:rsidRPr="00A77AF6">
        <w:t xml:space="preserve">can make projects slow and may expose </w:t>
      </w:r>
      <w:r w:rsidR="00741BE8" w:rsidRPr="00A77AF6">
        <w:t>them</w:t>
      </w:r>
      <w:r w:rsidR="00C91359" w:rsidRPr="00A77AF6">
        <w:t xml:space="preserve"> to changes which are beyond the control of procuring trusts.  The cost of governance</w:t>
      </w:r>
      <w:r w:rsidR="00741BE8" w:rsidRPr="00A77AF6">
        <w:t xml:space="preserve"> (</w:t>
      </w:r>
      <w:r w:rsidR="00C91359" w:rsidRPr="00A77AF6">
        <w:t>agency</w:t>
      </w:r>
      <w:r w:rsidR="00741BE8" w:rsidRPr="00A77AF6">
        <w:t>)</w:t>
      </w:r>
      <w:r w:rsidR="00C91359" w:rsidRPr="00A77AF6">
        <w:t xml:space="preserve">, is potentially high in a system that is multi-layered and comprises many  different agencies. The system is designed to be risk averse because as much certainty as possible is needed to ensure that taxpayers’ money is being used wisely and that the NHS is discharging its responsibilities to the public properly.   </w:t>
      </w:r>
    </w:p>
    <w:p w14:paraId="7B276B17" w14:textId="77777777" w:rsidR="00387A8A" w:rsidRPr="00A77AF6" w:rsidRDefault="00387A8A" w:rsidP="00F45EDF">
      <w:pPr>
        <w:spacing w:line="360" w:lineRule="auto"/>
        <w:rPr>
          <w:rFonts w:cstheme="minorHAnsi"/>
        </w:rPr>
      </w:pPr>
    </w:p>
    <w:p w14:paraId="224F17E8" w14:textId="77777777" w:rsidR="004F0F9B" w:rsidRPr="00A77AF6" w:rsidRDefault="004F0F9B">
      <w:r w:rsidRPr="00A77AF6">
        <w:br w:type="page"/>
      </w:r>
    </w:p>
    <w:p w14:paraId="75A06B47" w14:textId="49528664" w:rsidR="00483CFA" w:rsidRPr="00A77AF6" w:rsidRDefault="00530109" w:rsidP="00740F95">
      <w:pPr>
        <w:pStyle w:val="Heading1"/>
        <w:rPr>
          <w:lang w:val="en-GB"/>
        </w:rPr>
      </w:pPr>
      <w:bookmarkStart w:id="33" w:name="_Toc36275043"/>
      <w:r w:rsidRPr="00A77AF6">
        <w:rPr>
          <w:lang w:val="en-GB"/>
        </w:rPr>
        <w:lastRenderedPageBreak/>
        <w:t>Literature Review:</w:t>
      </w:r>
      <w:r w:rsidR="00483CFA" w:rsidRPr="00A77AF6">
        <w:rPr>
          <w:lang w:val="en-GB"/>
        </w:rPr>
        <w:t xml:space="preserve"> Ethics</w:t>
      </w:r>
      <w:bookmarkEnd w:id="33"/>
    </w:p>
    <w:p w14:paraId="26407CB4" w14:textId="77777777" w:rsidR="00483CFA" w:rsidRPr="00A77AF6" w:rsidRDefault="00483CFA" w:rsidP="00483CFA"/>
    <w:p w14:paraId="5ABBC48E" w14:textId="44325E17" w:rsidR="00936F8C" w:rsidRPr="00A77AF6" w:rsidRDefault="00936F8C" w:rsidP="00031A0F">
      <w:pPr>
        <w:pStyle w:val="Heading2"/>
        <w:spacing w:after="120"/>
      </w:pPr>
      <w:bookmarkStart w:id="34" w:name="_Toc36275044"/>
      <w:r w:rsidRPr="00A77AF6">
        <w:t>Introduction</w:t>
      </w:r>
      <w:bookmarkEnd w:id="34"/>
    </w:p>
    <w:p w14:paraId="52DF924D" w14:textId="11E1B399" w:rsidR="00031A0F" w:rsidRPr="00A77AF6" w:rsidRDefault="00740F95" w:rsidP="00031A0F">
      <w:pPr>
        <w:spacing w:line="360" w:lineRule="auto"/>
      </w:pPr>
      <w:r w:rsidRPr="00A77AF6">
        <w:t xml:space="preserve">This chapter </w:t>
      </w:r>
      <w:r w:rsidR="00EA4D05" w:rsidRPr="00A77AF6">
        <w:t xml:space="preserve">reviews </w:t>
      </w:r>
      <w:r w:rsidRPr="00A77AF6">
        <w:t xml:space="preserve">the literature on ethical </w:t>
      </w:r>
      <w:r w:rsidR="00EA4D05" w:rsidRPr="00A77AF6">
        <w:t xml:space="preserve">and applied ethical theory.  Ethical theory is discussed in the context of </w:t>
      </w:r>
      <w:r w:rsidR="0068086B" w:rsidRPr="00A77AF6">
        <w:t xml:space="preserve">its </w:t>
      </w:r>
      <w:r w:rsidR="00EA4D05" w:rsidRPr="00A77AF6">
        <w:t xml:space="preserve">two main divisions: </w:t>
      </w:r>
      <w:r w:rsidR="00F1023E" w:rsidRPr="00A77AF6">
        <w:t>ethics of conduct (formalism and utilitarian</w:t>
      </w:r>
      <w:r w:rsidR="00DF39E4" w:rsidRPr="00A77AF6">
        <w:t>ism</w:t>
      </w:r>
      <w:r w:rsidR="00F1023E" w:rsidRPr="00A77AF6">
        <w:t>) and ethics of character (virtue ethics)</w:t>
      </w:r>
      <w:r w:rsidR="00EA4D05" w:rsidRPr="00A77AF6">
        <w:t xml:space="preserve">.  These are explained and the differences between them </w:t>
      </w:r>
      <w:r w:rsidR="0068086B" w:rsidRPr="00A77AF6">
        <w:t>noted</w:t>
      </w:r>
      <w:r w:rsidR="00EA4D05" w:rsidRPr="00A77AF6">
        <w:t xml:space="preserve">. </w:t>
      </w:r>
      <w:r w:rsidR="0068086B" w:rsidRPr="00A77AF6">
        <w:t>A</w:t>
      </w:r>
      <w:r w:rsidR="00EA4D05" w:rsidRPr="00A77AF6">
        <w:t xml:space="preserve">ttention is </w:t>
      </w:r>
      <w:r w:rsidR="0068086B" w:rsidRPr="00A77AF6">
        <w:t xml:space="preserve">focused </w:t>
      </w:r>
      <w:r w:rsidR="00991569" w:rsidRPr="00A77AF6">
        <w:t xml:space="preserve">on </w:t>
      </w:r>
      <w:r w:rsidR="00EA4D05" w:rsidRPr="00A77AF6">
        <w:t xml:space="preserve">ethics of conduct as this </w:t>
      </w:r>
      <w:r w:rsidR="0066667D" w:rsidRPr="00A77AF6">
        <w:t xml:space="preserve">study </w:t>
      </w:r>
      <w:r w:rsidR="00EA4D05" w:rsidRPr="00A77AF6">
        <w:t>is situated</w:t>
      </w:r>
      <w:r w:rsidR="00031A0F" w:rsidRPr="00A77AF6">
        <w:t xml:space="preserve"> there</w:t>
      </w:r>
      <w:r w:rsidR="00EA4D05" w:rsidRPr="00A77AF6">
        <w:t xml:space="preserve">. </w:t>
      </w:r>
      <w:r w:rsidR="006B23BE" w:rsidRPr="00A77AF6">
        <w:t>T</w:t>
      </w:r>
      <w:r w:rsidR="00F1023E" w:rsidRPr="00A77AF6">
        <w:t xml:space="preserve">he </w:t>
      </w:r>
      <w:r w:rsidR="00031A0F" w:rsidRPr="00A77AF6">
        <w:t xml:space="preserve">links between ethical theory and </w:t>
      </w:r>
      <w:r w:rsidR="00936F8C" w:rsidRPr="00A77AF6">
        <w:t>appli</w:t>
      </w:r>
      <w:r w:rsidR="00F1023E" w:rsidRPr="00A77AF6">
        <w:t>ed ethical theory</w:t>
      </w:r>
      <w:r w:rsidR="00EA4D05" w:rsidRPr="00A77AF6">
        <w:t xml:space="preserve"> </w:t>
      </w:r>
      <w:r w:rsidR="00031A0F" w:rsidRPr="00A77AF6">
        <w:t xml:space="preserve">are discussed and the literature on the impact of organisational cultural values and employee conduct is reviewed. Brady and Wheeler’s (1996) tool used for measuring ethical predisposition is explained and the criticisms of ethical theory are explored. Ethics in the NHS, project management and the construction industry are discussed. </w:t>
      </w:r>
    </w:p>
    <w:p w14:paraId="7DE0FD83" w14:textId="6B85236F" w:rsidR="00363C77" w:rsidRPr="00A77AF6" w:rsidRDefault="00740F95" w:rsidP="00031A0F">
      <w:pPr>
        <w:pStyle w:val="Heading2"/>
        <w:spacing w:after="120"/>
      </w:pPr>
      <w:bookmarkStart w:id="35" w:name="_Toc36275045"/>
      <w:r w:rsidRPr="00A77AF6">
        <w:t xml:space="preserve">Ethical </w:t>
      </w:r>
      <w:r w:rsidR="00F83E2E" w:rsidRPr="00A77AF6">
        <w:t>t</w:t>
      </w:r>
      <w:r w:rsidRPr="00A77AF6">
        <w:t>heory</w:t>
      </w:r>
      <w:bookmarkEnd w:id="35"/>
    </w:p>
    <w:p w14:paraId="31787402" w14:textId="09E516EF" w:rsidR="00356BF0" w:rsidRPr="00A77AF6" w:rsidRDefault="00363C77" w:rsidP="00A0350B">
      <w:pPr>
        <w:spacing w:line="360" w:lineRule="auto"/>
      </w:pPr>
      <w:r w:rsidRPr="00A77AF6">
        <w:t xml:space="preserve">Ethical theory has foundations in </w:t>
      </w:r>
      <w:r w:rsidR="00F06954" w:rsidRPr="00A77AF6">
        <w:t>ancient philosophy</w:t>
      </w:r>
      <w:r w:rsidR="00684EE6" w:rsidRPr="00A77AF6">
        <w:t xml:space="preserve"> including thinkers such as Plato, </w:t>
      </w:r>
      <w:r w:rsidR="00EF5CE4" w:rsidRPr="00A77AF6">
        <w:t>Aristotle</w:t>
      </w:r>
      <w:r w:rsidR="00684EE6" w:rsidRPr="00A77AF6">
        <w:t xml:space="preserve"> </w:t>
      </w:r>
      <w:r w:rsidR="00EF5CE4" w:rsidRPr="00A77AF6">
        <w:t xml:space="preserve">and Confucius. </w:t>
      </w:r>
      <w:r w:rsidR="00B9069D" w:rsidRPr="00A77AF6">
        <w:t xml:space="preserve">Others have followed such as Aquinas, </w:t>
      </w:r>
      <w:r w:rsidR="00BC3597" w:rsidRPr="00A77AF6">
        <w:t xml:space="preserve">Kant, Bentham and Mill, all of whom </w:t>
      </w:r>
      <w:r w:rsidR="000D591C" w:rsidRPr="00A77AF6">
        <w:t xml:space="preserve">were trying to </w:t>
      </w:r>
      <w:r w:rsidR="0050665C" w:rsidRPr="00A77AF6">
        <w:t xml:space="preserve">explain </w:t>
      </w:r>
      <w:r w:rsidR="00F44290" w:rsidRPr="00A77AF6">
        <w:t xml:space="preserve">how morality </w:t>
      </w:r>
      <w:r w:rsidR="00201EF8" w:rsidRPr="00A77AF6">
        <w:t xml:space="preserve">or ethics </w:t>
      </w:r>
      <w:r w:rsidR="00F44290" w:rsidRPr="00A77AF6">
        <w:t xml:space="preserve">can be defined.  </w:t>
      </w:r>
      <w:r w:rsidR="00BA6CF5" w:rsidRPr="00A77AF6">
        <w:t xml:space="preserve">The answer to this question has been answered </w:t>
      </w:r>
      <w:r w:rsidR="00854A20" w:rsidRPr="00A77AF6">
        <w:t>in two way</w:t>
      </w:r>
      <w:r w:rsidR="00E14DA0">
        <w:t xml:space="preserve">s, by </w:t>
      </w:r>
      <w:r w:rsidR="00854A20" w:rsidRPr="00A77AF6">
        <w:t xml:space="preserve">virtue ethics and </w:t>
      </w:r>
      <w:r w:rsidR="00835D79" w:rsidRPr="00A77AF6">
        <w:t>ethics of conduct.  Ethics of conduct is divided into two,</w:t>
      </w:r>
      <w:r w:rsidR="001E7BE6" w:rsidRPr="00A77AF6">
        <w:t xml:space="preserve"> morality based on</w:t>
      </w:r>
      <w:r w:rsidR="00835D79" w:rsidRPr="00A77AF6">
        <w:t xml:space="preserve"> </w:t>
      </w:r>
      <w:r w:rsidR="00EB1F9E" w:rsidRPr="00A77AF6">
        <w:t xml:space="preserve">formalism (deontology or rules-following) </w:t>
      </w:r>
      <w:r w:rsidR="001E7BE6" w:rsidRPr="00A77AF6">
        <w:t xml:space="preserve">or </w:t>
      </w:r>
      <w:r w:rsidR="00EB1F9E" w:rsidRPr="00A77AF6">
        <w:t xml:space="preserve">utilitarianism (teleology or outcome-based).  </w:t>
      </w:r>
      <w:r w:rsidR="003A32B6" w:rsidRPr="00A77AF6">
        <w:t xml:space="preserve"> </w:t>
      </w:r>
      <w:r w:rsidR="005D6AD2" w:rsidRPr="00A77AF6">
        <w:t xml:space="preserve">Each will </w:t>
      </w:r>
      <w:r w:rsidR="00144B9A" w:rsidRPr="00A77AF6">
        <w:t xml:space="preserve">be </w:t>
      </w:r>
      <w:r w:rsidR="005D6AD2" w:rsidRPr="00A77AF6">
        <w:t>reviewed</w:t>
      </w:r>
      <w:r w:rsidR="00F6422C" w:rsidRPr="00A77AF6">
        <w:t xml:space="preserve">, but as </w:t>
      </w:r>
      <w:r w:rsidR="005D6AD2" w:rsidRPr="00A77AF6">
        <w:t>this t</w:t>
      </w:r>
      <w:r w:rsidRPr="00A77AF6">
        <w:t>his study is situated in ethics of conduct</w:t>
      </w:r>
      <w:r w:rsidR="005D6AD2" w:rsidRPr="00A77AF6">
        <w:t xml:space="preserve"> </w:t>
      </w:r>
      <w:r w:rsidR="00E14DA0">
        <w:t>and as</w:t>
      </w:r>
      <w:r w:rsidR="00356BF0" w:rsidRPr="00A77AF6">
        <w:t xml:space="preserve"> formalism and utilitarianism are central to this study</w:t>
      </w:r>
      <w:r w:rsidR="00FD2E56">
        <w:t xml:space="preserve">, </w:t>
      </w:r>
      <w:r w:rsidR="00E14DA0" w:rsidRPr="00A77AF6">
        <w:t>virtue ethics is only reviewed for completeness</w:t>
      </w:r>
      <w:r w:rsidR="00FD2E56">
        <w:t>.</w:t>
      </w:r>
      <w:r w:rsidR="00E14DA0" w:rsidRPr="00A77AF6">
        <w:t xml:space="preserve"> </w:t>
      </w:r>
      <w:r w:rsidR="00356BF0" w:rsidRPr="00A77AF6">
        <w:t xml:space="preserve">Figure </w:t>
      </w:r>
      <w:r w:rsidR="00031A0F" w:rsidRPr="00A77AF6">
        <w:t>3-1</w:t>
      </w:r>
      <w:r w:rsidR="00356BF0" w:rsidRPr="00A77AF6">
        <w:t xml:space="preserve"> shows the categories of ethical theory as two strands: ethics of virtue and ethics of conduct.   </w:t>
      </w:r>
    </w:p>
    <w:p w14:paraId="34ABFFB8" w14:textId="43983990" w:rsidR="00C3400B" w:rsidRPr="00A77AF6" w:rsidRDefault="00C3400B" w:rsidP="00BF1AA0">
      <w:pPr>
        <w:keepNext/>
        <w:spacing w:before="240" w:line="480" w:lineRule="auto"/>
        <w:ind w:left="720"/>
      </w:pPr>
      <w:r w:rsidRPr="00A77AF6">
        <w:rPr>
          <w:rFonts w:cstheme="minorHAnsi"/>
          <w:noProof/>
          <w:lang w:eastAsia="en-GB"/>
        </w:rPr>
        <w:lastRenderedPageBreak/>
        <w:drawing>
          <wp:inline distT="0" distB="0" distL="0" distR="0" wp14:anchorId="10071FEE" wp14:editId="74F77161">
            <wp:extent cx="3727977" cy="3472774"/>
            <wp:effectExtent l="0" t="0" r="25400" b="0"/>
            <wp:docPr id="194" name="Diagram 1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05EAEAA3" w14:textId="65410233" w:rsidR="001E5806" w:rsidRPr="00A77AF6" w:rsidRDefault="001E5806" w:rsidP="00BF1AA0">
      <w:pPr>
        <w:pStyle w:val="Caption"/>
        <w:keepNext/>
        <w:ind w:left="720"/>
      </w:pPr>
      <w:bookmarkStart w:id="36" w:name="_Toc36186964"/>
      <w:bookmarkStart w:id="37" w:name="_Toc526967333"/>
      <w:r w:rsidRPr="00A77AF6">
        <w:t xml:space="preserve">Figure </w:t>
      </w:r>
      <w:fldSimple w:instr=" STYLEREF 1 \s ">
        <w:r w:rsidR="000441F7">
          <w:rPr>
            <w:noProof/>
          </w:rPr>
          <w:t>3</w:t>
        </w:r>
      </w:fldSimple>
      <w:r w:rsidR="00BA5DC4">
        <w:noBreakHyphen/>
      </w:r>
      <w:fldSimple w:instr=" SEQ Figure \* ARABIC \s 1 ">
        <w:r w:rsidR="000441F7">
          <w:rPr>
            <w:noProof/>
          </w:rPr>
          <w:t>1</w:t>
        </w:r>
      </w:fldSimple>
      <w:r w:rsidRPr="00A77AF6">
        <w:t xml:space="preserve">: Categories of </w:t>
      </w:r>
      <w:r w:rsidR="00C51ED0" w:rsidRPr="00A77AF6">
        <w:t>e</w:t>
      </w:r>
      <w:r w:rsidRPr="00A77AF6">
        <w:t xml:space="preserve">thical </w:t>
      </w:r>
      <w:r w:rsidR="00C51ED0" w:rsidRPr="00A77AF6">
        <w:t>t</w:t>
      </w:r>
      <w:r w:rsidRPr="00A77AF6">
        <w:t>heory</w:t>
      </w:r>
      <w:bookmarkEnd w:id="36"/>
    </w:p>
    <w:p w14:paraId="457E0EB5" w14:textId="770DE912" w:rsidR="00C3400B" w:rsidRPr="00A77AF6" w:rsidRDefault="007000FC" w:rsidP="00BF1AA0">
      <w:pPr>
        <w:ind w:left="720"/>
        <w:rPr>
          <w:sz w:val="20"/>
        </w:rPr>
      </w:pPr>
      <w:r w:rsidRPr="00A77AF6">
        <w:rPr>
          <w:sz w:val="20"/>
        </w:rPr>
        <w:t>Source: a</w:t>
      </w:r>
      <w:r w:rsidR="00C3400B" w:rsidRPr="00A77AF6">
        <w:rPr>
          <w:sz w:val="20"/>
        </w:rPr>
        <w:t>dapted by the author from Miles (2012)</w:t>
      </w:r>
      <w:bookmarkEnd w:id="37"/>
    </w:p>
    <w:p w14:paraId="71248E29" w14:textId="77777777" w:rsidR="00E71A92" w:rsidRPr="00A77AF6" w:rsidRDefault="00E71A92" w:rsidP="00E71A92">
      <w:pPr>
        <w:rPr>
          <w:sz w:val="20"/>
        </w:rPr>
      </w:pPr>
    </w:p>
    <w:p w14:paraId="1C927776" w14:textId="1671A4BC" w:rsidR="000004A5" w:rsidRPr="00A77AF6" w:rsidRDefault="000004A5" w:rsidP="000179E9">
      <w:pPr>
        <w:pStyle w:val="Heading3"/>
        <w:spacing w:after="120"/>
      </w:pPr>
      <w:bookmarkStart w:id="38" w:name="_Toc36275046"/>
      <w:r w:rsidRPr="00A77AF6">
        <w:t xml:space="preserve">Virtue </w:t>
      </w:r>
      <w:r w:rsidR="00F83E2E" w:rsidRPr="00A77AF6">
        <w:t>e</w:t>
      </w:r>
      <w:r w:rsidRPr="00A77AF6">
        <w:t>thics</w:t>
      </w:r>
      <w:bookmarkEnd w:id="38"/>
    </w:p>
    <w:p w14:paraId="594670C2" w14:textId="66AAD0B4" w:rsidR="004A4485" w:rsidRPr="00A77AF6" w:rsidRDefault="000004A5" w:rsidP="006221A6">
      <w:pPr>
        <w:spacing w:after="0" w:line="360" w:lineRule="auto"/>
      </w:pPr>
      <w:r w:rsidRPr="00A77AF6">
        <w:t>Virtue ethic</w:t>
      </w:r>
      <w:r w:rsidR="00356BF0" w:rsidRPr="00A77AF6">
        <w:t>s</w:t>
      </w:r>
      <w:r w:rsidRPr="00A77AF6">
        <w:t xml:space="preserve"> can be summarised by the </w:t>
      </w:r>
      <w:r w:rsidR="00BC062D" w:rsidRPr="00A77AF6">
        <w:t xml:space="preserve">answer to the </w:t>
      </w:r>
      <w:r w:rsidRPr="00A77AF6">
        <w:t>question ‘what sort of person am I?</w:t>
      </w:r>
      <w:r w:rsidR="007F33E2" w:rsidRPr="00A77AF6">
        <w:t>’ r</w:t>
      </w:r>
      <w:r w:rsidR="00BC062D" w:rsidRPr="00A77AF6">
        <w:t xml:space="preserve">ather than the answer to the question </w:t>
      </w:r>
      <w:r w:rsidR="000179E9" w:rsidRPr="00A77AF6">
        <w:t>‘</w:t>
      </w:r>
      <w:r w:rsidR="00BC062D" w:rsidRPr="00A77AF6">
        <w:t>what should I do?</w:t>
      </w:r>
      <w:r w:rsidR="000179E9" w:rsidRPr="00A77AF6">
        <w:t>’</w:t>
      </w:r>
      <w:r w:rsidR="00BC062D" w:rsidRPr="00A77AF6">
        <w:t xml:space="preserve"> </w:t>
      </w:r>
      <w:r w:rsidR="003328F4" w:rsidRPr="00A77AF6">
        <w:t xml:space="preserve"> A </w:t>
      </w:r>
      <w:r w:rsidR="00A106DD" w:rsidRPr="00A77AF6">
        <w:t>virtuous</w:t>
      </w:r>
      <w:r w:rsidR="003328F4" w:rsidRPr="00A77AF6">
        <w:t xml:space="preserve"> person </w:t>
      </w:r>
      <w:r w:rsidR="00A0350B" w:rsidRPr="00A77AF6">
        <w:t xml:space="preserve">is </w:t>
      </w:r>
      <w:r w:rsidR="004E42D4" w:rsidRPr="00A77AF6">
        <w:t xml:space="preserve">someone </w:t>
      </w:r>
      <w:r w:rsidR="000179E9" w:rsidRPr="00A77AF6">
        <w:t>with</w:t>
      </w:r>
      <w:r w:rsidR="004E42D4" w:rsidRPr="00A77AF6">
        <w:t xml:space="preserve"> </w:t>
      </w:r>
      <w:r w:rsidR="00A106DD" w:rsidRPr="00A77AF6">
        <w:t xml:space="preserve">particular character traits (virtues) </w:t>
      </w:r>
      <w:r w:rsidR="004A4485" w:rsidRPr="00A77AF6">
        <w:t xml:space="preserve">and moral wisdom.  </w:t>
      </w:r>
      <w:r w:rsidR="000179E9" w:rsidRPr="00A77AF6">
        <w:t xml:space="preserve">To be virtuous </w:t>
      </w:r>
      <w:r w:rsidR="004A4485" w:rsidRPr="00A77AF6">
        <w:t xml:space="preserve">is not to do with performing </w:t>
      </w:r>
      <w:r w:rsidR="003328F4" w:rsidRPr="00A77AF6">
        <w:t xml:space="preserve">one’s duty or acting to bring about good </w:t>
      </w:r>
      <w:r w:rsidR="00F46229" w:rsidRPr="00A77AF6">
        <w:t>consequences</w:t>
      </w:r>
      <w:r w:rsidR="00575386" w:rsidRPr="00A77AF6">
        <w:t>, r</w:t>
      </w:r>
      <w:r w:rsidR="000179E9" w:rsidRPr="00A77AF6">
        <w:t>ather, v</w:t>
      </w:r>
      <w:r w:rsidR="004A4485" w:rsidRPr="00A77AF6">
        <w:t xml:space="preserve">irtue is judged by the harmonization of the motive and action </w:t>
      </w:r>
      <w:sdt>
        <w:sdtPr>
          <w:id w:val="-1221742442"/>
          <w:citation/>
        </w:sdtPr>
        <w:sdtEndPr/>
        <w:sdtContent>
          <w:r w:rsidR="00D561EC" w:rsidRPr="00A77AF6">
            <w:fldChar w:fldCharType="begin"/>
          </w:r>
          <w:r w:rsidR="00D561EC" w:rsidRPr="00A77AF6">
            <w:instrText xml:space="preserve"> CITATION Mac77 \l 2057 </w:instrText>
          </w:r>
          <w:r w:rsidR="00D561EC" w:rsidRPr="00A77AF6">
            <w:fldChar w:fldCharType="separate"/>
          </w:r>
          <w:r w:rsidR="008E653F" w:rsidRPr="00A77AF6">
            <w:t>(Mackie, 1977)</w:t>
          </w:r>
          <w:r w:rsidR="00D561EC" w:rsidRPr="00A77AF6">
            <w:fldChar w:fldCharType="end"/>
          </w:r>
        </w:sdtContent>
      </w:sdt>
      <w:r w:rsidR="000179E9" w:rsidRPr="00A77AF6">
        <w:t xml:space="preserve">. The </w:t>
      </w:r>
      <w:r w:rsidR="004A4485" w:rsidRPr="00A77AF6">
        <w:t>example below</w:t>
      </w:r>
      <w:r w:rsidR="000179E9" w:rsidRPr="00A77AF6">
        <w:t xml:space="preserve"> shows that</w:t>
      </w:r>
      <w:r w:rsidR="00802C12" w:rsidRPr="00A77AF6">
        <w:t xml:space="preserve"> an honest person </w:t>
      </w:r>
      <w:r w:rsidR="004A4485" w:rsidRPr="00A77AF6">
        <w:t xml:space="preserve">is </w:t>
      </w:r>
      <w:r w:rsidR="00802C12" w:rsidRPr="00A77AF6">
        <w:t>only</w:t>
      </w:r>
      <w:r w:rsidR="004A4485" w:rsidRPr="00A77AF6">
        <w:t xml:space="preserve"> virtu</w:t>
      </w:r>
      <w:r w:rsidR="00802C12" w:rsidRPr="00A77AF6">
        <w:t xml:space="preserve">ous </w:t>
      </w:r>
      <w:r w:rsidR="004A4485" w:rsidRPr="00A77AF6">
        <w:t>if acting honestly comes from a fundamental belief that honest actions are right in themselves</w:t>
      </w:r>
      <w:r w:rsidR="005D4C7F" w:rsidRPr="00A77AF6">
        <w:t xml:space="preserve">, otherwise they are not </w:t>
      </w:r>
      <w:r w:rsidR="00297FDA" w:rsidRPr="00A77AF6">
        <w:t>virtuous</w:t>
      </w:r>
      <w:r w:rsidR="004A4485" w:rsidRPr="00A77AF6">
        <w:t xml:space="preserve">. </w:t>
      </w:r>
    </w:p>
    <w:p w14:paraId="60EAB75A" w14:textId="01C2F9D2" w:rsidR="00A106DD" w:rsidRPr="00A77AF6" w:rsidRDefault="000004A5" w:rsidP="00356BF0">
      <w:pPr>
        <w:spacing w:after="360" w:line="240" w:lineRule="auto"/>
        <w:ind w:left="720"/>
        <w:rPr>
          <w:i/>
          <w:color w:val="1A1A1A"/>
          <w:shd w:val="clear" w:color="auto" w:fill="FFFFFF"/>
        </w:rPr>
      </w:pPr>
      <w:r w:rsidRPr="00A77AF6">
        <w:rPr>
          <w:i/>
          <w:color w:val="1A1A1A"/>
          <w:shd w:val="clear" w:color="auto" w:fill="FFFFFF"/>
        </w:rPr>
        <w:t>‘An honest person cannot be identified simply as one who, for example, practices honest dealing and does not cheat. If such actions are done merely because the agent thinks that honesty is the best policy, or because they fear being caught out, rather than through recognising</w:t>
      </w:r>
      <w:r w:rsidR="004A4485" w:rsidRPr="00A77AF6">
        <w:rPr>
          <w:i/>
          <w:color w:val="1A1A1A"/>
          <w:shd w:val="clear" w:color="auto" w:fill="FFFFFF"/>
        </w:rPr>
        <w:t xml:space="preserve"> [that]</w:t>
      </w:r>
      <w:r w:rsidRPr="00A77AF6">
        <w:rPr>
          <w:i/>
          <w:color w:val="1A1A1A"/>
          <w:shd w:val="clear" w:color="auto" w:fill="FFFFFF"/>
        </w:rPr>
        <w:t xml:space="preserve"> “To do otherwise would be dishonest”</w:t>
      </w:r>
      <w:r w:rsidR="00434810" w:rsidRPr="00A77AF6">
        <w:rPr>
          <w:i/>
          <w:color w:val="1A1A1A"/>
          <w:shd w:val="clear" w:color="auto" w:fill="FFFFFF"/>
        </w:rPr>
        <w:t>….</w:t>
      </w:r>
      <w:r w:rsidRPr="00A77AF6">
        <w:rPr>
          <w:i/>
          <w:color w:val="1A1A1A"/>
          <w:shd w:val="clear" w:color="auto" w:fill="FFFFFF"/>
        </w:rPr>
        <w:t xml:space="preserve"> they are not the actions of an honest person.</w:t>
      </w:r>
      <w:r w:rsidR="00A106DD" w:rsidRPr="00A77AF6">
        <w:rPr>
          <w:i/>
          <w:color w:val="1A1A1A"/>
          <w:shd w:val="clear" w:color="auto" w:fill="FFFFFF"/>
        </w:rPr>
        <w:t>’</w:t>
      </w:r>
      <w:r w:rsidR="00E71A92" w:rsidRPr="00A77AF6">
        <w:rPr>
          <w:i/>
          <w:color w:val="1A1A1A"/>
          <w:shd w:val="clear" w:color="auto" w:fill="FFFFFF"/>
        </w:rPr>
        <w:t xml:space="preserve"> </w:t>
      </w:r>
      <w:sdt>
        <w:sdtPr>
          <w:rPr>
            <w:i/>
            <w:color w:val="1A1A1A"/>
            <w:shd w:val="clear" w:color="auto" w:fill="FFFFFF"/>
          </w:rPr>
          <w:id w:val="1235201635"/>
          <w:citation/>
        </w:sdtPr>
        <w:sdtEndPr/>
        <w:sdtContent>
          <w:r w:rsidR="00BC062D" w:rsidRPr="00A77AF6">
            <w:rPr>
              <w:i/>
              <w:color w:val="1A1A1A"/>
              <w:shd w:val="clear" w:color="auto" w:fill="FFFFFF"/>
            </w:rPr>
            <w:fldChar w:fldCharType="begin"/>
          </w:r>
          <w:r w:rsidR="00BC062D" w:rsidRPr="00A77AF6">
            <w:rPr>
              <w:i/>
              <w:color w:val="1A1A1A"/>
              <w:shd w:val="clear" w:color="auto" w:fill="FFFFFF"/>
            </w:rPr>
            <w:instrText xml:space="preserve"> CITATION Hur18 \l 2057 </w:instrText>
          </w:r>
          <w:r w:rsidR="00BC062D" w:rsidRPr="00A77AF6">
            <w:rPr>
              <w:i/>
              <w:color w:val="1A1A1A"/>
              <w:shd w:val="clear" w:color="auto" w:fill="FFFFFF"/>
            </w:rPr>
            <w:fldChar w:fldCharType="separate"/>
          </w:r>
          <w:r w:rsidR="008E653F" w:rsidRPr="00A77AF6">
            <w:rPr>
              <w:color w:val="1A1A1A"/>
              <w:shd w:val="clear" w:color="auto" w:fill="FFFFFF"/>
            </w:rPr>
            <w:t>(Hursthouse &amp; Pettigrew, 2018)</w:t>
          </w:r>
          <w:r w:rsidR="00BC062D" w:rsidRPr="00A77AF6">
            <w:rPr>
              <w:i/>
              <w:color w:val="1A1A1A"/>
              <w:shd w:val="clear" w:color="auto" w:fill="FFFFFF"/>
            </w:rPr>
            <w:fldChar w:fldCharType="end"/>
          </w:r>
        </w:sdtContent>
      </w:sdt>
    </w:p>
    <w:p w14:paraId="5D6800B4" w14:textId="03E2A3EE" w:rsidR="00716A70" w:rsidRPr="00A77AF6" w:rsidRDefault="00751DD6" w:rsidP="00FA5EEE">
      <w:pPr>
        <w:spacing w:line="360" w:lineRule="auto"/>
      </w:pPr>
      <w:r w:rsidRPr="00A77AF6">
        <w:t xml:space="preserve">There are some </w:t>
      </w:r>
      <w:r w:rsidR="000179E9" w:rsidRPr="00A77AF6">
        <w:t>significant problem</w:t>
      </w:r>
      <w:r w:rsidR="00297FDA" w:rsidRPr="00A77AF6">
        <w:t xml:space="preserve">s </w:t>
      </w:r>
      <w:r w:rsidR="005A5133" w:rsidRPr="00A77AF6">
        <w:t xml:space="preserve">with virtue ethics. </w:t>
      </w:r>
      <w:r w:rsidR="00564374" w:rsidRPr="00A77AF6">
        <w:t xml:space="preserve"> Because virtue ethics is concerned with personal traits it can lead to moral contortions</w:t>
      </w:r>
      <w:r w:rsidR="005344D6" w:rsidRPr="00A77AF6">
        <w:t>, so</w:t>
      </w:r>
      <w:r w:rsidR="00564374" w:rsidRPr="00A77AF6">
        <w:t xml:space="preserve"> someone may act compassionately, which is a virtue, but in so doing they may act wrongly, for example by telling a lie. Courage, another virtue, may lead someone to act bravely but criminally. This </w:t>
      </w:r>
      <w:r w:rsidR="00E52A6A" w:rsidRPr="00A77AF6">
        <w:t xml:space="preserve">creates the </w:t>
      </w:r>
      <w:r w:rsidR="00564374" w:rsidRPr="00A77AF6">
        <w:t xml:space="preserve">moral problem that someone </w:t>
      </w:r>
      <w:r w:rsidR="00564374" w:rsidRPr="00A77AF6">
        <w:lastRenderedPageBreak/>
        <w:t>who is compassionate may not be morally good or that a morally good person may be ‘led by what makes them morally good to act wrongly!’</w:t>
      </w:r>
      <w:sdt>
        <w:sdtPr>
          <w:id w:val="-465040491"/>
          <w:citation/>
        </w:sdtPr>
        <w:sdtEndPr/>
        <w:sdtContent>
          <w:r w:rsidR="00564374" w:rsidRPr="00A77AF6">
            <w:fldChar w:fldCharType="begin"/>
          </w:r>
          <w:r w:rsidR="00564374" w:rsidRPr="00A77AF6">
            <w:instrText xml:space="preserve">CITATION Hur16 \l 2057 </w:instrText>
          </w:r>
          <w:r w:rsidR="00564374" w:rsidRPr="00A77AF6">
            <w:fldChar w:fldCharType="separate"/>
          </w:r>
          <w:r w:rsidR="00564374" w:rsidRPr="00A77AF6">
            <w:t xml:space="preserve"> (Hursthouse &amp; Pettigrove, 2016)</w:t>
          </w:r>
          <w:r w:rsidR="00564374" w:rsidRPr="00A77AF6">
            <w:fldChar w:fldCharType="end"/>
          </w:r>
        </w:sdtContent>
      </w:sdt>
      <w:r w:rsidR="00564374" w:rsidRPr="00A77AF6">
        <w:t>, so virtue ethics allows someone who behaves badly to be virtuous</w:t>
      </w:r>
      <w:r w:rsidR="007C3554" w:rsidRPr="00A77AF6">
        <w:t xml:space="preserve"> and </w:t>
      </w:r>
      <w:r w:rsidR="00E52A6A" w:rsidRPr="00A77AF6">
        <w:t>vice versa</w:t>
      </w:r>
      <w:r w:rsidR="00564374" w:rsidRPr="00A77AF6">
        <w:t xml:space="preserve">.  Another problem is the </w:t>
      </w:r>
      <w:r w:rsidR="009174D0" w:rsidRPr="00A77AF6">
        <w:t xml:space="preserve">lack of agreement about </w:t>
      </w:r>
      <w:r w:rsidR="000179E9" w:rsidRPr="00A77AF6">
        <w:t xml:space="preserve">constitutes </w:t>
      </w:r>
      <w:r w:rsidR="009174D0" w:rsidRPr="00A77AF6">
        <w:t>a virtue</w:t>
      </w:r>
      <w:r w:rsidR="000179E9" w:rsidRPr="00A77AF6">
        <w:t>. In this regard v</w:t>
      </w:r>
      <w:r w:rsidR="00716A70" w:rsidRPr="00A77AF6">
        <w:t xml:space="preserve">irtue ethics </w:t>
      </w:r>
      <w:r w:rsidR="009174D0" w:rsidRPr="00A77AF6">
        <w:t>lack</w:t>
      </w:r>
      <w:r w:rsidR="00716A70" w:rsidRPr="00A77AF6">
        <w:t>s</w:t>
      </w:r>
      <w:r w:rsidR="009174D0" w:rsidRPr="00A77AF6">
        <w:t xml:space="preserve"> </w:t>
      </w:r>
      <w:r w:rsidR="005529F9" w:rsidRPr="00A77AF6">
        <w:t xml:space="preserve">a set of </w:t>
      </w:r>
      <w:r w:rsidR="009174D0" w:rsidRPr="00A77AF6">
        <w:t>universal rules or laws</w:t>
      </w:r>
      <w:r w:rsidR="00716A70" w:rsidRPr="00A77AF6">
        <w:t xml:space="preserve"> whilst alternative</w:t>
      </w:r>
      <w:r w:rsidR="000179E9" w:rsidRPr="00A77AF6">
        <w:t xml:space="preserve">s </w:t>
      </w:r>
      <w:r w:rsidR="009174D0" w:rsidRPr="00A77AF6">
        <w:t xml:space="preserve">such as </w:t>
      </w:r>
      <w:r w:rsidR="00716A70" w:rsidRPr="00A77AF6">
        <w:t>u</w:t>
      </w:r>
      <w:r w:rsidR="009174D0" w:rsidRPr="00A77AF6">
        <w:t xml:space="preserve">tilitarianism and formalism have </w:t>
      </w:r>
      <w:r w:rsidR="00716A70" w:rsidRPr="00A77AF6">
        <w:t>them</w:t>
      </w:r>
      <w:r w:rsidR="009174D0" w:rsidRPr="00A77AF6">
        <w:t xml:space="preserve"> </w:t>
      </w:r>
      <w:sdt>
        <w:sdtPr>
          <w:id w:val="-790058574"/>
          <w:citation/>
        </w:sdtPr>
        <w:sdtEndPr/>
        <w:sdtContent>
          <w:r w:rsidR="004A4485" w:rsidRPr="00A77AF6">
            <w:fldChar w:fldCharType="begin"/>
          </w:r>
          <w:r w:rsidR="004A4485" w:rsidRPr="00A77AF6">
            <w:instrText xml:space="preserve"> CITATION Hur18 \l 2057 </w:instrText>
          </w:r>
          <w:r w:rsidR="004A4485" w:rsidRPr="00A77AF6">
            <w:fldChar w:fldCharType="separate"/>
          </w:r>
          <w:r w:rsidR="008E653F" w:rsidRPr="00A77AF6">
            <w:t>(Hursthouse &amp; Pettigrew, 2018)</w:t>
          </w:r>
          <w:r w:rsidR="004A4485" w:rsidRPr="00A77AF6">
            <w:fldChar w:fldCharType="end"/>
          </w:r>
        </w:sdtContent>
      </w:sdt>
      <w:r w:rsidR="004A4485" w:rsidRPr="00A77AF6">
        <w:t xml:space="preserve">. </w:t>
      </w:r>
      <w:r w:rsidR="00D561EC" w:rsidRPr="00A77AF6">
        <w:t xml:space="preserve"> </w:t>
      </w:r>
    </w:p>
    <w:p w14:paraId="30413630" w14:textId="2E700072" w:rsidR="0084321C" w:rsidRPr="00A77AF6" w:rsidRDefault="0084321C" w:rsidP="00F83E2E">
      <w:pPr>
        <w:pStyle w:val="Heading3"/>
        <w:spacing w:after="120"/>
      </w:pPr>
      <w:bookmarkStart w:id="39" w:name="_Toc36275047"/>
      <w:r w:rsidRPr="00A77AF6">
        <w:t xml:space="preserve">Ethics of </w:t>
      </w:r>
      <w:r w:rsidR="00F83E2E" w:rsidRPr="00A77AF6">
        <w:t>c</w:t>
      </w:r>
      <w:r w:rsidRPr="00A77AF6">
        <w:t>onduct</w:t>
      </w:r>
      <w:bookmarkEnd w:id="39"/>
    </w:p>
    <w:p w14:paraId="68BFD03B" w14:textId="26CCFF9A" w:rsidR="0084321C" w:rsidRPr="00A77AF6" w:rsidRDefault="0065750D" w:rsidP="004259E2">
      <w:pPr>
        <w:spacing w:after="0" w:line="360" w:lineRule="auto"/>
      </w:pPr>
      <w:r>
        <w:t xml:space="preserve">Ethical theory </w:t>
      </w:r>
      <w:r w:rsidRPr="00A77AF6">
        <w:t xml:space="preserve">is a long-standing and well-explored theory. </w:t>
      </w:r>
      <w:r w:rsidR="003539E1" w:rsidRPr="00A77AF6">
        <w:t xml:space="preserve">Ethics of conduct is the term given to the philosophies </w:t>
      </w:r>
      <w:r w:rsidR="003E1837" w:rsidRPr="00A77AF6">
        <w:t>that</w:t>
      </w:r>
      <w:r w:rsidR="003539E1" w:rsidRPr="00A77AF6">
        <w:t xml:space="preserve"> discuss </w:t>
      </w:r>
      <w:r w:rsidR="007F33E2" w:rsidRPr="00A77AF6">
        <w:t xml:space="preserve">how to </w:t>
      </w:r>
      <w:r w:rsidR="003539E1" w:rsidRPr="00A77AF6">
        <w:t>judge</w:t>
      </w:r>
      <w:r w:rsidR="007F33E2" w:rsidRPr="00A77AF6">
        <w:t xml:space="preserve"> the morality of an action</w:t>
      </w:r>
      <w:r w:rsidR="003539E1" w:rsidRPr="00A77AF6">
        <w:t xml:space="preserve">.  Formalism judges that following rules or doing one’s duty is the right way to behave, whilst </w:t>
      </w:r>
      <w:r w:rsidR="0084321C" w:rsidRPr="00A77AF6">
        <w:t>utilitarianism view</w:t>
      </w:r>
      <w:r w:rsidR="003539E1" w:rsidRPr="00A77AF6">
        <w:t>s</w:t>
      </w:r>
      <w:r w:rsidR="0084321C" w:rsidRPr="00A77AF6">
        <w:t xml:space="preserve"> decisions based on the </w:t>
      </w:r>
      <w:r w:rsidR="003539E1" w:rsidRPr="00A77AF6">
        <w:t xml:space="preserve">best </w:t>
      </w:r>
      <w:r w:rsidR="0084321C" w:rsidRPr="00A77AF6">
        <w:t>outcome a</w:t>
      </w:r>
      <w:r w:rsidR="003539E1" w:rsidRPr="00A77AF6">
        <w:t>s</w:t>
      </w:r>
      <w:r w:rsidR="0084321C" w:rsidRPr="00A77AF6">
        <w:t xml:space="preserve"> moral.  Brady and Wheeler (1996) </w:t>
      </w:r>
      <w:r w:rsidR="004259E2" w:rsidRPr="00A77AF6">
        <w:t>noted</w:t>
      </w:r>
      <w:r w:rsidR="0084321C" w:rsidRPr="00A77AF6">
        <w:t xml:space="preserve"> that</w:t>
      </w:r>
      <w:r>
        <w:t xml:space="preserve"> difference between formalism and utilitarianism is possibly the most important distinction in the development of ethical theory and has been so for nearly two hundred years. </w:t>
      </w:r>
    </w:p>
    <w:p w14:paraId="6551221D" w14:textId="77777777" w:rsidR="00B936E9" w:rsidRPr="00A77AF6" w:rsidRDefault="00B936E9" w:rsidP="00E71A92">
      <w:pPr>
        <w:pStyle w:val="Heading4"/>
        <w:spacing w:after="120"/>
        <w:ind w:left="862" w:hanging="862"/>
      </w:pPr>
      <w:r w:rsidRPr="00A77AF6">
        <w:t xml:space="preserve">Formalism </w:t>
      </w:r>
    </w:p>
    <w:p w14:paraId="09633F8D" w14:textId="4817DB2F" w:rsidR="008775E4" w:rsidRPr="00A77AF6" w:rsidRDefault="00AC0BFC" w:rsidP="00C47749">
      <w:pPr>
        <w:spacing w:after="0" w:line="360" w:lineRule="auto"/>
      </w:pPr>
      <w:r w:rsidRPr="00A77AF6">
        <w:t xml:space="preserve">Formalism is the judgement that </w:t>
      </w:r>
      <w:r w:rsidR="001C010F" w:rsidRPr="00A77AF6">
        <w:t xml:space="preserve">actions </w:t>
      </w:r>
      <w:r w:rsidRPr="00A77AF6">
        <w:t>based on following rules are moral</w:t>
      </w:r>
      <w:r w:rsidR="001C010F" w:rsidRPr="00A77AF6">
        <w:t xml:space="preserve">. </w:t>
      </w:r>
      <w:r w:rsidR="00CE170F" w:rsidRPr="00A77AF6">
        <w:rPr>
          <w:rFonts w:cstheme="minorHAnsi"/>
        </w:rPr>
        <w:t xml:space="preserve"> </w:t>
      </w:r>
      <w:r w:rsidR="007F33E2" w:rsidRPr="00A77AF6">
        <w:rPr>
          <w:rFonts w:cstheme="minorHAnsi"/>
        </w:rPr>
        <w:t xml:space="preserve">An alternative </w:t>
      </w:r>
      <w:r w:rsidR="00CE170F" w:rsidRPr="00A77AF6">
        <w:rPr>
          <w:rFonts w:cstheme="minorHAnsi"/>
        </w:rPr>
        <w:t xml:space="preserve">word for formalism is deontology a term </w:t>
      </w:r>
      <w:r w:rsidR="007F33E2" w:rsidRPr="00A77AF6">
        <w:rPr>
          <w:rFonts w:cstheme="minorHAnsi"/>
        </w:rPr>
        <w:t>that</w:t>
      </w:r>
      <w:r w:rsidR="00CE170F" w:rsidRPr="00A77AF6">
        <w:rPr>
          <w:rFonts w:cstheme="minorHAnsi"/>
        </w:rPr>
        <w:t xml:space="preserve"> comes from the Greek ‘deon’ meaning ‘duty, obligation, or necessity’ (Miles 2012 p</w:t>
      </w:r>
      <w:r w:rsidR="00461471" w:rsidRPr="00A77AF6">
        <w:rPr>
          <w:rFonts w:cstheme="minorHAnsi"/>
        </w:rPr>
        <w:t xml:space="preserve">. </w:t>
      </w:r>
      <w:r w:rsidR="00CE170F" w:rsidRPr="00A77AF6">
        <w:rPr>
          <w:rFonts w:cstheme="minorHAnsi"/>
        </w:rPr>
        <w:t>106).</w:t>
      </w:r>
      <w:r w:rsidR="00CE170F" w:rsidRPr="00A77AF6">
        <w:t xml:space="preserve"> </w:t>
      </w:r>
      <w:r w:rsidR="008775E4" w:rsidRPr="00A77AF6">
        <w:rPr>
          <w:rFonts w:cstheme="minorHAnsi"/>
        </w:rPr>
        <w:t xml:space="preserve">Formalism </w:t>
      </w:r>
      <w:r w:rsidR="0084321C" w:rsidRPr="00A77AF6">
        <w:rPr>
          <w:rFonts w:cstheme="minorHAnsi"/>
        </w:rPr>
        <w:t xml:space="preserve">considers </w:t>
      </w:r>
      <w:r w:rsidR="008775E4" w:rsidRPr="00A77AF6">
        <w:rPr>
          <w:rFonts w:cstheme="minorHAnsi"/>
        </w:rPr>
        <w:t>that ethical behaviour is a moral duty</w:t>
      </w:r>
      <w:r w:rsidR="003F13B3" w:rsidRPr="00A77AF6">
        <w:rPr>
          <w:rFonts w:cstheme="minorHAnsi"/>
        </w:rPr>
        <w:t xml:space="preserve"> to be performed</w:t>
      </w:r>
      <w:r w:rsidR="008775E4" w:rsidRPr="00A77AF6">
        <w:rPr>
          <w:rFonts w:cstheme="minorHAnsi"/>
        </w:rPr>
        <w:t xml:space="preserve"> </w:t>
      </w:r>
      <w:r w:rsidR="00B5235D" w:rsidRPr="00A77AF6">
        <w:rPr>
          <w:rFonts w:cstheme="minorHAnsi"/>
        </w:rPr>
        <w:t>and</w:t>
      </w:r>
      <w:r w:rsidR="008775E4" w:rsidRPr="00A77AF6">
        <w:rPr>
          <w:rFonts w:cstheme="minorHAnsi"/>
        </w:rPr>
        <w:t xml:space="preserve"> is </w:t>
      </w:r>
      <w:r w:rsidR="001F7CF3" w:rsidRPr="00A77AF6">
        <w:rPr>
          <w:rFonts w:cstheme="minorHAnsi"/>
        </w:rPr>
        <w:t xml:space="preserve">not concerned with the outcome </w:t>
      </w:r>
      <w:r w:rsidR="0087701A" w:rsidRPr="00A77AF6">
        <w:rPr>
          <w:rFonts w:cstheme="minorHAnsi"/>
        </w:rPr>
        <w:t xml:space="preserve">of an action, it is </w:t>
      </w:r>
    </w:p>
    <w:p w14:paraId="02753406" w14:textId="1FA5921C" w:rsidR="008775E4" w:rsidRPr="00A77AF6" w:rsidRDefault="008775E4" w:rsidP="008775E4">
      <w:pPr>
        <w:spacing w:after="240" w:line="240" w:lineRule="auto"/>
        <w:ind w:left="720"/>
        <w:rPr>
          <w:rFonts w:cstheme="minorHAnsi"/>
        </w:rPr>
      </w:pPr>
      <w:r w:rsidRPr="00A77AF6">
        <w:rPr>
          <w:rFonts w:cstheme="minorHAnsi"/>
        </w:rPr>
        <w:t>‘</w:t>
      </w:r>
      <w:r w:rsidRPr="00A77AF6">
        <w:rPr>
          <w:rFonts w:cstheme="minorHAnsi"/>
          <w:i/>
        </w:rPr>
        <w:t>a moral system built not round the notion of some goal that is to be attained but rather round the notions of rules or principles of action or duties or rights or virtues, or some combination of these.</w:t>
      </w:r>
      <w:r w:rsidRPr="00A77AF6">
        <w:rPr>
          <w:rFonts w:cstheme="minorHAnsi"/>
        </w:rPr>
        <w:t xml:space="preserve">’ </w:t>
      </w:r>
      <w:sdt>
        <w:sdtPr>
          <w:rPr>
            <w:rFonts w:cstheme="minorHAnsi"/>
          </w:rPr>
          <w:id w:val="-1164247748"/>
          <w:citation/>
        </w:sdtPr>
        <w:sdtEndPr/>
        <w:sdtContent>
          <w:r w:rsidRPr="00A77AF6">
            <w:rPr>
              <w:rFonts w:cstheme="minorHAnsi"/>
            </w:rPr>
            <w:fldChar w:fldCharType="begin"/>
          </w:r>
          <w:r w:rsidRPr="00A77AF6">
            <w:rPr>
              <w:rFonts w:cstheme="minorHAnsi"/>
            </w:rPr>
            <w:instrText xml:space="preserve">CITATION Mac77 \p 149 \l 2057 </w:instrText>
          </w:r>
          <w:r w:rsidRPr="00A77AF6">
            <w:rPr>
              <w:rFonts w:cstheme="minorHAnsi"/>
            </w:rPr>
            <w:fldChar w:fldCharType="separate"/>
          </w:r>
          <w:r w:rsidR="008E653F" w:rsidRPr="00A77AF6">
            <w:rPr>
              <w:rFonts w:cstheme="minorHAnsi"/>
            </w:rPr>
            <w:t>(Mackie, 1977, p. 149)</w:t>
          </w:r>
          <w:r w:rsidRPr="00A77AF6">
            <w:rPr>
              <w:rFonts w:cstheme="minorHAnsi"/>
            </w:rPr>
            <w:fldChar w:fldCharType="end"/>
          </w:r>
        </w:sdtContent>
      </w:sdt>
    </w:p>
    <w:p w14:paraId="1F2EAEAD" w14:textId="7DF4092D" w:rsidR="008775E4" w:rsidRPr="00A77AF6" w:rsidRDefault="008775E4" w:rsidP="00144B9A">
      <w:pPr>
        <w:spacing w:after="0" w:line="360" w:lineRule="auto"/>
      </w:pPr>
      <w:r w:rsidRPr="00A77AF6">
        <w:rPr>
          <w:rFonts w:cstheme="minorHAnsi"/>
        </w:rPr>
        <w:t xml:space="preserve">Formalism </w:t>
      </w:r>
      <w:r w:rsidR="00604B8B" w:rsidRPr="00A77AF6">
        <w:rPr>
          <w:rFonts w:cstheme="minorHAnsi"/>
        </w:rPr>
        <w:t>is</w:t>
      </w:r>
      <w:r w:rsidRPr="00A77AF6">
        <w:rPr>
          <w:rFonts w:cstheme="minorHAnsi"/>
        </w:rPr>
        <w:t xml:space="preserve"> divided into two types: </w:t>
      </w:r>
      <w:r w:rsidR="00604B8B" w:rsidRPr="00A77AF6">
        <w:rPr>
          <w:rFonts w:cstheme="minorHAnsi"/>
        </w:rPr>
        <w:t>‘</w:t>
      </w:r>
      <w:r w:rsidRPr="00A77AF6">
        <w:rPr>
          <w:rFonts w:cstheme="minorHAnsi"/>
        </w:rPr>
        <w:t>situational</w:t>
      </w:r>
      <w:r w:rsidR="00604B8B" w:rsidRPr="00A77AF6">
        <w:rPr>
          <w:rFonts w:cstheme="minorHAnsi"/>
        </w:rPr>
        <w:t>’</w:t>
      </w:r>
      <w:r w:rsidRPr="00A77AF6">
        <w:rPr>
          <w:rFonts w:cstheme="minorHAnsi"/>
        </w:rPr>
        <w:t xml:space="preserve"> and ‘golden rule’.  The first says </w:t>
      </w:r>
      <w:r w:rsidR="00831279" w:rsidRPr="00A77AF6">
        <w:rPr>
          <w:rFonts w:cstheme="minorHAnsi"/>
        </w:rPr>
        <w:t>‘</w:t>
      </w:r>
      <w:r w:rsidRPr="00A77AF6">
        <w:rPr>
          <w:rFonts w:cstheme="minorHAnsi"/>
        </w:rPr>
        <w:t>I ought not to lie in this situation</w:t>
      </w:r>
      <w:r w:rsidR="00831279" w:rsidRPr="00A77AF6">
        <w:rPr>
          <w:rFonts w:cstheme="minorHAnsi"/>
        </w:rPr>
        <w:t xml:space="preserve">’ </w:t>
      </w:r>
      <w:sdt>
        <w:sdtPr>
          <w:rPr>
            <w:rFonts w:cstheme="minorHAnsi"/>
          </w:rPr>
          <w:id w:val="1438560560"/>
          <w:citation/>
        </w:sdtPr>
        <w:sdtEndPr/>
        <w:sdtContent>
          <w:r w:rsidRPr="00A77AF6">
            <w:rPr>
              <w:rFonts w:cstheme="minorHAnsi"/>
            </w:rPr>
            <w:fldChar w:fldCharType="begin"/>
          </w:r>
          <w:r w:rsidRPr="00A77AF6">
            <w:rPr>
              <w:rFonts w:cstheme="minorHAnsi"/>
            </w:rPr>
            <w:instrText xml:space="preserve">CITATION Mil12 \p 107 \l 2057 </w:instrText>
          </w:r>
          <w:r w:rsidRPr="00A77AF6">
            <w:rPr>
              <w:rFonts w:cstheme="minorHAnsi"/>
            </w:rPr>
            <w:fldChar w:fldCharType="separate"/>
          </w:r>
          <w:r w:rsidR="008E653F" w:rsidRPr="00A77AF6">
            <w:rPr>
              <w:rFonts w:cstheme="minorHAnsi"/>
            </w:rPr>
            <w:t>(Miles, 2012, p. 107)</w:t>
          </w:r>
          <w:r w:rsidRPr="00A77AF6">
            <w:rPr>
              <w:rFonts w:cstheme="minorHAnsi"/>
            </w:rPr>
            <w:fldChar w:fldCharType="end"/>
          </w:r>
        </w:sdtContent>
      </w:sdt>
      <w:r w:rsidRPr="00A77AF6">
        <w:rPr>
          <w:rFonts w:cstheme="minorHAnsi"/>
        </w:rPr>
        <w:t xml:space="preserve"> and the other applies the </w:t>
      </w:r>
      <w:r w:rsidR="008226CF" w:rsidRPr="00A77AF6">
        <w:rPr>
          <w:rFonts w:cstheme="minorHAnsi"/>
        </w:rPr>
        <w:t>g</w:t>
      </w:r>
      <w:r w:rsidRPr="00A77AF6">
        <w:rPr>
          <w:rFonts w:cstheme="minorHAnsi"/>
        </w:rPr>
        <w:t xml:space="preserve">olden </w:t>
      </w:r>
      <w:r w:rsidR="008226CF" w:rsidRPr="00A77AF6">
        <w:rPr>
          <w:rFonts w:cstheme="minorHAnsi"/>
        </w:rPr>
        <w:t>r</w:t>
      </w:r>
      <w:r w:rsidRPr="00A77AF6">
        <w:rPr>
          <w:rFonts w:cstheme="minorHAnsi"/>
        </w:rPr>
        <w:t xml:space="preserve">ule to every situation, for example </w:t>
      </w:r>
      <w:r w:rsidR="00D5535C" w:rsidRPr="00A77AF6">
        <w:rPr>
          <w:rFonts w:cstheme="minorHAnsi"/>
        </w:rPr>
        <w:t>‘</w:t>
      </w:r>
      <w:r w:rsidRPr="00A77AF6">
        <w:rPr>
          <w:rFonts w:cstheme="minorHAnsi"/>
        </w:rPr>
        <w:t>I must never lie.</w:t>
      </w:r>
      <w:r w:rsidR="00D5535C" w:rsidRPr="00A77AF6">
        <w:rPr>
          <w:rFonts w:cstheme="minorHAnsi"/>
        </w:rPr>
        <w:t>’</w:t>
      </w:r>
      <w:r w:rsidRPr="00A77AF6">
        <w:rPr>
          <w:rFonts w:cstheme="minorHAnsi"/>
        </w:rPr>
        <w:t xml:space="preserve"> </w:t>
      </w:r>
      <w:r w:rsidR="006300AD" w:rsidRPr="00A77AF6">
        <w:rPr>
          <w:rFonts w:cstheme="minorHAnsi"/>
        </w:rPr>
        <w:t xml:space="preserve"> </w:t>
      </w:r>
      <w:r w:rsidRPr="00A77AF6">
        <w:t>‘</w:t>
      </w:r>
      <w:r w:rsidR="003F13B3" w:rsidRPr="00A77AF6">
        <w:t>G</w:t>
      </w:r>
      <w:r w:rsidRPr="00A77AF6">
        <w:t xml:space="preserve">olden rule’ formalists can be absolutists, for example arguing for strict adherence to a set of rules, such as the </w:t>
      </w:r>
      <w:r w:rsidR="001A6447" w:rsidRPr="00A77AF6">
        <w:t xml:space="preserve">Christian </w:t>
      </w:r>
      <w:r w:rsidRPr="00A77AF6">
        <w:t xml:space="preserve">Ten Commandments, even </w:t>
      </w:r>
      <w:r w:rsidR="001A6447" w:rsidRPr="00A77AF6">
        <w:t>if</w:t>
      </w:r>
      <w:r w:rsidRPr="00A77AF6">
        <w:t xml:space="preserve"> these lead to </w:t>
      </w:r>
      <w:r w:rsidR="008226CF" w:rsidRPr="00A77AF6">
        <w:t>questionable</w:t>
      </w:r>
      <w:r w:rsidRPr="00A77AF6">
        <w:t xml:space="preserve"> </w:t>
      </w:r>
      <w:r w:rsidR="005F7CDD" w:rsidRPr="00A77AF6">
        <w:t>outcomes.</w:t>
      </w:r>
      <w:r w:rsidR="003F13B3" w:rsidRPr="00A77AF6">
        <w:t xml:space="preserve"> </w:t>
      </w:r>
      <w:r w:rsidR="001A6447" w:rsidRPr="00A77AF6">
        <w:t xml:space="preserve"> </w:t>
      </w:r>
      <w:r w:rsidR="003F13B3" w:rsidRPr="00A77AF6">
        <w:t>Si</w:t>
      </w:r>
      <w:r w:rsidRPr="00A77AF6">
        <w:t xml:space="preserve">tuational formalists </w:t>
      </w:r>
      <w:r w:rsidR="003F13B3" w:rsidRPr="00A77AF6">
        <w:t xml:space="preserve">on the other hand </w:t>
      </w:r>
      <w:r w:rsidRPr="00A77AF6">
        <w:t xml:space="preserve">argue that what is morally </w:t>
      </w:r>
      <w:r w:rsidR="00425E50" w:rsidRPr="00A77AF6">
        <w:t>right</w:t>
      </w:r>
      <w:r w:rsidR="001A6447" w:rsidRPr="00A77AF6">
        <w:t xml:space="preserve"> </w:t>
      </w:r>
      <w:r w:rsidRPr="00A77AF6">
        <w:t>depends on the situation</w:t>
      </w:r>
      <w:r w:rsidR="00425E50" w:rsidRPr="00A77AF6">
        <w:t xml:space="preserve"> and so </w:t>
      </w:r>
      <w:r w:rsidR="008226CF" w:rsidRPr="00A77AF6">
        <w:t xml:space="preserve">they </w:t>
      </w:r>
      <w:r w:rsidR="003F13B3" w:rsidRPr="00A77AF6">
        <w:rPr>
          <w:rFonts w:cstheme="minorHAnsi"/>
        </w:rPr>
        <w:t xml:space="preserve">have the </w:t>
      </w:r>
      <w:r w:rsidR="001A6447" w:rsidRPr="00A77AF6">
        <w:rPr>
          <w:rFonts w:cstheme="minorHAnsi"/>
        </w:rPr>
        <w:t xml:space="preserve">problem of </w:t>
      </w:r>
      <w:r w:rsidR="003F13B3" w:rsidRPr="00A77AF6">
        <w:rPr>
          <w:rFonts w:cstheme="minorHAnsi"/>
          <w:szCs w:val="24"/>
        </w:rPr>
        <w:t xml:space="preserve">determining </w:t>
      </w:r>
      <w:r w:rsidR="001A6447" w:rsidRPr="00A77AF6">
        <w:rPr>
          <w:rFonts w:cstheme="minorHAnsi"/>
          <w:szCs w:val="24"/>
        </w:rPr>
        <w:t xml:space="preserve">when </w:t>
      </w:r>
      <w:r w:rsidR="003F13B3" w:rsidRPr="00A77AF6">
        <w:rPr>
          <w:rFonts w:cstheme="minorHAnsi"/>
          <w:szCs w:val="24"/>
        </w:rPr>
        <w:t xml:space="preserve">it is right </w:t>
      </w:r>
      <w:r w:rsidR="00406C07" w:rsidRPr="00A77AF6">
        <w:rPr>
          <w:rFonts w:cstheme="minorHAnsi"/>
          <w:szCs w:val="24"/>
        </w:rPr>
        <w:t>to break the rules</w:t>
      </w:r>
      <w:r w:rsidR="003F13B3" w:rsidRPr="00A77AF6">
        <w:rPr>
          <w:rFonts w:cstheme="minorHAnsi"/>
          <w:szCs w:val="24"/>
        </w:rPr>
        <w:t>.</w:t>
      </w:r>
      <w:r w:rsidR="003F13B3" w:rsidRPr="00A77AF6">
        <w:rPr>
          <w:rFonts w:cstheme="minorHAnsi"/>
          <w:sz w:val="20"/>
        </w:rPr>
        <w:t xml:space="preserve">  </w:t>
      </w:r>
      <w:r w:rsidRPr="00A77AF6">
        <w:t xml:space="preserve">In order to resolve the tension between the two views Kant proposed the ‘categorical imperative’ which was a set </w:t>
      </w:r>
    </w:p>
    <w:p w14:paraId="5CEFDEF0" w14:textId="1331A26F" w:rsidR="008775E4" w:rsidRPr="00A77AF6" w:rsidRDefault="008775E4" w:rsidP="00092582">
      <w:pPr>
        <w:spacing w:after="240" w:line="240" w:lineRule="auto"/>
        <w:ind w:left="720"/>
        <w:rPr>
          <w:rFonts w:cstheme="minorHAnsi"/>
        </w:rPr>
      </w:pPr>
      <w:r w:rsidRPr="00A77AF6">
        <w:rPr>
          <w:rFonts w:cstheme="minorHAnsi"/>
          <w:i/>
        </w:rPr>
        <w:t>‘of moral, philosophical and ethical tenets to guide society that focus on moral intentions and duties</w:t>
      </w:r>
      <w:r w:rsidR="00DA03C0" w:rsidRPr="00A77AF6">
        <w:rPr>
          <w:rFonts w:cstheme="minorHAnsi"/>
          <w:i/>
        </w:rPr>
        <w:t>…[the]</w:t>
      </w:r>
      <w:r w:rsidRPr="00A77AF6">
        <w:rPr>
          <w:rFonts w:cstheme="minorHAnsi"/>
          <w:i/>
        </w:rPr>
        <w:t>categorical imperative serves as the ultimate norm that society must follow. People should make moral decision in which the outcomes could be accepted by everyone as a universal law.’</w:t>
      </w:r>
      <w:r w:rsidRPr="00A77AF6">
        <w:rPr>
          <w:rFonts w:cstheme="minorHAnsi"/>
        </w:rPr>
        <w:t xml:space="preserve"> (Place 2010 cited in Mills 2012).  </w:t>
      </w:r>
    </w:p>
    <w:p w14:paraId="794890F3" w14:textId="5DF04B63" w:rsidR="008775E4" w:rsidRPr="00A77AF6" w:rsidRDefault="008775E4" w:rsidP="00B35BA8">
      <w:pPr>
        <w:spacing w:line="360" w:lineRule="auto"/>
      </w:pPr>
      <w:r w:rsidRPr="00A77AF6">
        <w:t>Despite th</w:t>
      </w:r>
      <w:r w:rsidR="009D66D4" w:rsidRPr="00A77AF6">
        <w:t xml:space="preserve">e reference to outcomes, </w:t>
      </w:r>
      <w:r w:rsidRPr="00A77AF6">
        <w:t xml:space="preserve">Kant </w:t>
      </w:r>
      <w:r w:rsidR="00877978" w:rsidRPr="00A77AF6">
        <w:t xml:space="preserve">never </w:t>
      </w:r>
      <w:r w:rsidRPr="00A77AF6">
        <w:t>accept</w:t>
      </w:r>
      <w:r w:rsidR="00877978" w:rsidRPr="00A77AF6">
        <w:t>ed</w:t>
      </w:r>
      <w:r w:rsidRPr="00A77AF6">
        <w:t xml:space="preserve"> that outcome, however unwelcome, should ever overwrite the absolute imperative that the rules must be followed.  Kant </w:t>
      </w:r>
      <w:r w:rsidR="0084321C" w:rsidRPr="00A77AF6">
        <w:t xml:space="preserve">believed </w:t>
      </w:r>
      <w:r w:rsidRPr="00A77AF6">
        <w:lastRenderedPageBreak/>
        <w:t>that intention as well as rules following contributed to the ‘rightness’ of an action</w:t>
      </w:r>
      <w:r w:rsidR="003F13B3" w:rsidRPr="00A77AF6">
        <w:t xml:space="preserve"> and </w:t>
      </w:r>
      <w:r w:rsidRPr="00A77AF6">
        <w:t>maintained that morality is therefore based on a set of rules which, if performed deliberately out of a sense of duty</w:t>
      </w:r>
      <w:r w:rsidR="0084321C" w:rsidRPr="00A77AF6">
        <w:t xml:space="preserve"> and with the right motives</w:t>
      </w:r>
      <w:r w:rsidRPr="00A77AF6">
        <w:t>, rather than inadvertently, must be moral</w:t>
      </w:r>
      <w:r w:rsidR="008226CF" w:rsidRPr="00A77AF6">
        <w:t xml:space="preserve"> (Law, 2007). </w:t>
      </w:r>
      <w:r w:rsidRPr="00A77AF6">
        <w:t xml:space="preserve"> </w:t>
      </w:r>
      <w:r w:rsidR="008226CF" w:rsidRPr="00A77AF6">
        <w:t xml:space="preserve">Consequently </w:t>
      </w:r>
      <w:r w:rsidRPr="00A77AF6">
        <w:t xml:space="preserve">the worth of a moral action is judged by the intention with which is it performed, and the outcome is irrelevant </w:t>
      </w:r>
      <w:sdt>
        <w:sdtPr>
          <w:id w:val="-341931876"/>
          <w:citation/>
        </w:sdtPr>
        <w:sdtEndPr/>
        <w:sdtContent>
          <w:r w:rsidRPr="00A77AF6">
            <w:fldChar w:fldCharType="begin"/>
          </w:r>
          <w:r w:rsidRPr="00A77AF6">
            <w:instrText xml:space="preserve"> CITATION LAw07 \l 2057 </w:instrText>
          </w:r>
          <w:r w:rsidRPr="00A77AF6">
            <w:fldChar w:fldCharType="separate"/>
          </w:r>
          <w:r w:rsidR="008E653F" w:rsidRPr="00A77AF6">
            <w:t>(Law, 2007)</w:t>
          </w:r>
          <w:r w:rsidRPr="00A77AF6">
            <w:fldChar w:fldCharType="end"/>
          </w:r>
        </w:sdtContent>
      </w:sdt>
      <w:r w:rsidRPr="00A77AF6">
        <w:t>.</w:t>
      </w:r>
    </w:p>
    <w:p w14:paraId="357E6CF8" w14:textId="0A124B63" w:rsidR="008775E4" w:rsidRPr="00A77AF6" w:rsidRDefault="008775E4" w:rsidP="00486704">
      <w:pPr>
        <w:spacing w:line="360" w:lineRule="auto"/>
        <w:rPr>
          <w:rFonts w:cstheme="minorHAnsi"/>
        </w:rPr>
      </w:pPr>
      <w:r w:rsidRPr="00A77AF6">
        <w:rPr>
          <w:rFonts w:cstheme="minorHAnsi"/>
        </w:rPr>
        <w:t xml:space="preserve">Formalism has been criticised </w:t>
      </w:r>
      <w:r w:rsidR="00183DD1" w:rsidRPr="00A77AF6">
        <w:rPr>
          <w:rFonts w:cstheme="minorHAnsi"/>
        </w:rPr>
        <w:t xml:space="preserve">because </w:t>
      </w:r>
      <w:r w:rsidRPr="00A77AF6">
        <w:rPr>
          <w:rFonts w:cstheme="minorHAnsi"/>
        </w:rPr>
        <w:t>it has not been possible for societies to agree</w:t>
      </w:r>
      <w:r w:rsidR="00183DD1" w:rsidRPr="00A77AF6">
        <w:rPr>
          <w:rFonts w:cstheme="minorHAnsi"/>
        </w:rPr>
        <w:t xml:space="preserve"> </w:t>
      </w:r>
      <w:r w:rsidRPr="00A77AF6">
        <w:rPr>
          <w:rFonts w:cstheme="minorHAnsi"/>
        </w:rPr>
        <w:t xml:space="preserve">what constitutes </w:t>
      </w:r>
      <w:r w:rsidR="00F103C3" w:rsidRPr="00A77AF6">
        <w:rPr>
          <w:rFonts w:cstheme="minorHAnsi"/>
        </w:rPr>
        <w:t>a</w:t>
      </w:r>
      <w:r w:rsidRPr="00A77AF6">
        <w:rPr>
          <w:rFonts w:cstheme="minorHAnsi"/>
        </w:rPr>
        <w:t xml:space="preserve"> right action</w:t>
      </w:r>
      <w:r w:rsidR="00F103C3" w:rsidRPr="00A77AF6">
        <w:rPr>
          <w:rFonts w:cstheme="minorHAnsi"/>
        </w:rPr>
        <w:t xml:space="preserve"> and</w:t>
      </w:r>
      <w:r w:rsidRPr="00A77AF6">
        <w:rPr>
          <w:rFonts w:cstheme="minorHAnsi"/>
        </w:rPr>
        <w:t xml:space="preserve"> </w:t>
      </w:r>
      <w:r w:rsidR="00183DD1" w:rsidRPr="00A77AF6">
        <w:rPr>
          <w:rFonts w:cstheme="minorHAnsi"/>
        </w:rPr>
        <w:t xml:space="preserve">so </w:t>
      </w:r>
      <w:r w:rsidRPr="00A77AF6">
        <w:rPr>
          <w:rFonts w:cstheme="minorHAnsi"/>
        </w:rPr>
        <w:t>i</w:t>
      </w:r>
      <w:r w:rsidRPr="00A77AF6">
        <w:rPr>
          <w:rFonts w:cstheme="minorHAnsi"/>
          <w:szCs w:val="24"/>
        </w:rPr>
        <w:t xml:space="preserve">t is not clear what the categorical imperative or universal law </w:t>
      </w:r>
      <w:r w:rsidR="00183DD1" w:rsidRPr="00A77AF6">
        <w:rPr>
          <w:rFonts w:cstheme="minorHAnsi"/>
          <w:szCs w:val="24"/>
        </w:rPr>
        <w:t>is</w:t>
      </w:r>
      <w:r w:rsidRPr="00A77AF6">
        <w:rPr>
          <w:rFonts w:cstheme="minorHAnsi"/>
          <w:szCs w:val="24"/>
        </w:rPr>
        <w:t xml:space="preserve">.  </w:t>
      </w:r>
      <w:r w:rsidR="00183DD1" w:rsidRPr="00A77AF6">
        <w:rPr>
          <w:rFonts w:cstheme="minorHAnsi"/>
          <w:szCs w:val="24"/>
        </w:rPr>
        <w:t xml:space="preserve">The second problem with </w:t>
      </w:r>
      <w:r w:rsidRPr="00A77AF6">
        <w:rPr>
          <w:rFonts w:cstheme="minorHAnsi"/>
          <w:szCs w:val="24"/>
        </w:rPr>
        <w:t>situational formalis</w:t>
      </w:r>
      <w:r w:rsidR="00183DD1" w:rsidRPr="00A77AF6">
        <w:rPr>
          <w:rFonts w:cstheme="minorHAnsi"/>
          <w:szCs w:val="24"/>
        </w:rPr>
        <w:t xml:space="preserve">m </w:t>
      </w:r>
      <w:r w:rsidR="00B75891" w:rsidRPr="00A77AF6">
        <w:rPr>
          <w:rFonts w:cstheme="minorHAnsi"/>
          <w:szCs w:val="24"/>
        </w:rPr>
        <w:t xml:space="preserve">is that </w:t>
      </w:r>
      <w:r w:rsidR="00183DD1" w:rsidRPr="00A77AF6">
        <w:rPr>
          <w:rFonts w:cstheme="minorHAnsi"/>
          <w:szCs w:val="24"/>
        </w:rPr>
        <w:t xml:space="preserve">someone </w:t>
      </w:r>
      <w:r w:rsidR="00C5007A" w:rsidRPr="00A77AF6">
        <w:rPr>
          <w:rFonts w:cstheme="minorHAnsi"/>
          <w:szCs w:val="24"/>
        </w:rPr>
        <w:t xml:space="preserve">themselves </w:t>
      </w:r>
      <w:r w:rsidRPr="00A77AF6">
        <w:rPr>
          <w:rFonts w:cstheme="minorHAnsi"/>
          <w:szCs w:val="24"/>
        </w:rPr>
        <w:t xml:space="preserve">would have to </w:t>
      </w:r>
      <w:r w:rsidR="00183DD1" w:rsidRPr="00A77AF6">
        <w:rPr>
          <w:rFonts w:cstheme="minorHAnsi"/>
          <w:szCs w:val="24"/>
        </w:rPr>
        <w:t>judge</w:t>
      </w:r>
      <w:r w:rsidRPr="00A77AF6">
        <w:rPr>
          <w:rFonts w:cstheme="minorHAnsi"/>
          <w:szCs w:val="24"/>
        </w:rPr>
        <w:t xml:space="preserve"> wh</w:t>
      </w:r>
      <w:r w:rsidR="00183DD1" w:rsidRPr="00A77AF6">
        <w:rPr>
          <w:rFonts w:cstheme="minorHAnsi"/>
          <w:szCs w:val="24"/>
        </w:rPr>
        <w:t xml:space="preserve">at is moral.  For example, they may consider it </w:t>
      </w:r>
      <w:r w:rsidRPr="00A77AF6">
        <w:rPr>
          <w:rFonts w:cstheme="minorHAnsi"/>
          <w:szCs w:val="24"/>
        </w:rPr>
        <w:t>morally acceptable to</w:t>
      </w:r>
      <w:r w:rsidR="00183DD1" w:rsidRPr="00A77AF6">
        <w:rPr>
          <w:rFonts w:cstheme="minorHAnsi"/>
          <w:szCs w:val="24"/>
        </w:rPr>
        <w:t xml:space="preserve"> </w:t>
      </w:r>
      <w:r w:rsidRPr="00A77AF6">
        <w:rPr>
          <w:rFonts w:cstheme="minorHAnsi"/>
          <w:szCs w:val="24"/>
        </w:rPr>
        <w:t>lie</w:t>
      </w:r>
      <w:r w:rsidR="00183DD1" w:rsidRPr="00A77AF6">
        <w:rPr>
          <w:rFonts w:cstheme="minorHAnsi"/>
          <w:szCs w:val="24"/>
        </w:rPr>
        <w:t xml:space="preserve"> in certain situations, but in so doing they are </w:t>
      </w:r>
      <w:r w:rsidRPr="00A77AF6">
        <w:rPr>
          <w:rFonts w:cstheme="minorHAnsi"/>
          <w:szCs w:val="24"/>
        </w:rPr>
        <w:t xml:space="preserve">applying their </w:t>
      </w:r>
      <w:r w:rsidR="00183DD1" w:rsidRPr="00A77AF6">
        <w:rPr>
          <w:rFonts w:cstheme="minorHAnsi"/>
          <w:szCs w:val="24"/>
        </w:rPr>
        <w:t xml:space="preserve">own </w:t>
      </w:r>
      <w:r w:rsidRPr="00A77AF6">
        <w:rPr>
          <w:rFonts w:cstheme="minorHAnsi"/>
          <w:szCs w:val="24"/>
        </w:rPr>
        <w:t>unseen moral code</w:t>
      </w:r>
      <w:r w:rsidR="005F48E4" w:rsidRPr="00A77AF6">
        <w:rPr>
          <w:rFonts w:cstheme="minorHAnsi"/>
          <w:szCs w:val="24"/>
        </w:rPr>
        <w:t xml:space="preserve"> </w:t>
      </w:r>
      <w:r w:rsidR="00F03BB3" w:rsidRPr="00A77AF6">
        <w:rPr>
          <w:rFonts w:cstheme="minorHAnsi"/>
          <w:szCs w:val="24"/>
        </w:rPr>
        <w:t>which allows them to lie</w:t>
      </w:r>
      <w:r w:rsidR="00183DD1" w:rsidRPr="00A77AF6">
        <w:rPr>
          <w:rFonts w:cstheme="minorHAnsi"/>
          <w:szCs w:val="24"/>
        </w:rPr>
        <w:t>.  Thirdly a c</w:t>
      </w:r>
      <w:r w:rsidRPr="00A77AF6">
        <w:rPr>
          <w:rFonts w:cstheme="minorHAnsi"/>
          <w:szCs w:val="24"/>
        </w:rPr>
        <w:t xml:space="preserve">ategorical formalist might be faced with situations in which it would be morally acceptable to lie, even though lying might be an immoral act.  </w:t>
      </w:r>
      <w:r w:rsidR="00183DD1" w:rsidRPr="00A77AF6">
        <w:rPr>
          <w:rFonts w:cstheme="minorHAnsi"/>
          <w:szCs w:val="24"/>
        </w:rPr>
        <w:t>F</w:t>
      </w:r>
      <w:r w:rsidRPr="00A77AF6">
        <w:rPr>
          <w:rFonts w:cstheme="minorHAnsi"/>
          <w:szCs w:val="24"/>
        </w:rPr>
        <w:t xml:space="preserve">ormalism </w:t>
      </w:r>
      <w:r w:rsidR="00183DD1" w:rsidRPr="00A77AF6">
        <w:rPr>
          <w:rFonts w:cstheme="minorHAnsi"/>
          <w:szCs w:val="24"/>
        </w:rPr>
        <w:t xml:space="preserve">also </w:t>
      </w:r>
      <w:r w:rsidRPr="00A77AF6">
        <w:rPr>
          <w:rFonts w:cstheme="minorHAnsi"/>
          <w:szCs w:val="24"/>
        </w:rPr>
        <w:t xml:space="preserve">allows the possibility of </w:t>
      </w:r>
      <w:r w:rsidRPr="00A77AF6">
        <w:rPr>
          <w:rFonts w:cstheme="minorHAnsi"/>
        </w:rPr>
        <w:t xml:space="preserve">a ‘morally right’ action resulting in a terrible consequence.  This poses again the question about how “morally ‘right’ actions can have bad consequences and morally ‘wrong’ actions can have good consequences” </w:t>
      </w:r>
      <w:sdt>
        <w:sdtPr>
          <w:rPr>
            <w:rFonts w:cstheme="minorHAnsi"/>
          </w:rPr>
          <w:id w:val="-265389688"/>
          <w:citation/>
        </w:sdtPr>
        <w:sdtEndPr/>
        <w:sdtContent>
          <w:r w:rsidRPr="00A77AF6">
            <w:rPr>
              <w:rFonts w:cstheme="minorHAnsi"/>
            </w:rPr>
            <w:fldChar w:fldCharType="begin"/>
          </w:r>
          <w:r w:rsidRPr="00A77AF6">
            <w:rPr>
              <w:rFonts w:cstheme="minorHAnsi"/>
            </w:rPr>
            <w:instrText xml:space="preserve">CITATION Mil12 \p 107 \l 2057 </w:instrText>
          </w:r>
          <w:r w:rsidRPr="00A77AF6">
            <w:rPr>
              <w:rFonts w:cstheme="minorHAnsi"/>
            </w:rPr>
            <w:fldChar w:fldCharType="separate"/>
          </w:r>
          <w:r w:rsidR="008E653F" w:rsidRPr="00A77AF6">
            <w:rPr>
              <w:rFonts w:cstheme="minorHAnsi"/>
            </w:rPr>
            <w:t>(Miles, 2012, p. 107)</w:t>
          </w:r>
          <w:r w:rsidRPr="00A77AF6">
            <w:rPr>
              <w:rFonts w:cstheme="minorHAnsi"/>
            </w:rPr>
            <w:fldChar w:fldCharType="end"/>
          </w:r>
        </w:sdtContent>
      </w:sdt>
      <w:r w:rsidRPr="00A77AF6">
        <w:rPr>
          <w:rFonts w:cstheme="minorHAnsi"/>
        </w:rPr>
        <w:t xml:space="preserve">.  What is moral about causing harm, if the harm could be avoided?  It is morally dubious to suggest, as Kant does that the consequences do not matter. </w:t>
      </w:r>
      <w:r w:rsidR="00183DD1" w:rsidRPr="00A77AF6">
        <w:rPr>
          <w:rFonts w:cstheme="minorHAnsi"/>
        </w:rPr>
        <w:t>Finally, g</w:t>
      </w:r>
      <w:r w:rsidRPr="00A77AF6">
        <w:rPr>
          <w:rFonts w:cstheme="minorHAnsi"/>
        </w:rPr>
        <w:t xml:space="preserve">olden </w:t>
      </w:r>
      <w:r w:rsidR="00183DD1" w:rsidRPr="00A77AF6">
        <w:rPr>
          <w:rFonts w:cstheme="minorHAnsi"/>
        </w:rPr>
        <w:t>r</w:t>
      </w:r>
      <w:r w:rsidRPr="00A77AF6">
        <w:rPr>
          <w:rFonts w:cstheme="minorHAnsi"/>
        </w:rPr>
        <w:t xml:space="preserve">ule formalism is criticised because it is impossible to achieve.  As Mackie (1977) argued that it is not possible to obey the Commandment ‘Love your neighbour as yourself’ in all circumstances.  </w:t>
      </w:r>
    </w:p>
    <w:p w14:paraId="1E211222" w14:textId="5162B5F5" w:rsidR="00062C37" w:rsidRPr="00A77AF6" w:rsidRDefault="00062C37" w:rsidP="00F46229">
      <w:pPr>
        <w:pStyle w:val="Heading4"/>
        <w:spacing w:after="120"/>
        <w:ind w:left="862" w:hanging="862"/>
      </w:pPr>
      <w:r w:rsidRPr="00A77AF6">
        <w:t>Utilitarianism</w:t>
      </w:r>
    </w:p>
    <w:p w14:paraId="495CB54B" w14:textId="0FD543BF" w:rsidR="00F9320B" w:rsidRPr="00A77AF6" w:rsidRDefault="00062C37" w:rsidP="00144B9A">
      <w:pPr>
        <w:spacing w:after="0" w:line="360" w:lineRule="auto"/>
        <w:rPr>
          <w:rFonts w:cstheme="minorHAnsi"/>
        </w:rPr>
      </w:pPr>
      <w:r w:rsidRPr="00A77AF6">
        <w:rPr>
          <w:rFonts w:cstheme="minorHAnsi"/>
        </w:rPr>
        <w:t>Utilitarianism</w:t>
      </w:r>
      <w:r w:rsidR="00452B41" w:rsidRPr="00A77AF6">
        <w:rPr>
          <w:rFonts w:cstheme="minorHAnsi"/>
        </w:rPr>
        <w:t xml:space="preserve"> is </w:t>
      </w:r>
      <w:r w:rsidR="00B00389" w:rsidRPr="00A77AF6">
        <w:rPr>
          <w:rFonts w:cstheme="minorHAnsi"/>
        </w:rPr>
        <w:t xml:space="preserve">the other branch </w:t>
      </w:r>
      <w:r w:rsidRPr="00A77AF6">
        <w:rPr>
          <w:rFonts w:cstheme="minorHAnsi"/>
        </w:rPr>
        <w:t>of ethics of conduct</w:t>
      </w:r>
      <w:r w:rsidR="00452B41" w:rsidRPr="00A77AF6">
        <w:rPr>
          <w:rFonts w:cstheme="minorHAnsi"/>
        </w:rPr>
        <w:t xml:space="preserve"> where morality is judged by </w:t>
      </w:r>
      <w:r w:rsidR="00183DD1" w:rsidRPr="00A77AF6">
        <w:rPr>
          <w:rFonts w:cstheme="minorHAnsi"/>
        </w:rPr>
        <w:t>the outcome of an action, rather than the action itself</w:t>
      </w:r>
      <w:r w:rsidR="00B07541" w:rsidRPr="00A77AF6">
        <w:rPr>
          <w:rFonts w:cstheme="minorHAnsi"/>
        </w:rPr>
        <w:t>, so ut</w:t>
      </w:r>
      <w:r w:rsidRPr="00A77AF6">
        <w:t>ilitarianism argues that actions themselves are morally neutral, but outcomes are not.</w:t>
      </w:r>
      <w:r w:rsidR="00452B41" w:rsidRPr="00A77AF6">
        <w:t xml:space="preserve">  </w:t>
      </w:r>
      <w:r w:rsidR="00F9320B" w:rsidRPr="00A77AF6">
        <w:rPr>
          <w:rFonts w:cstheme="minorHAnsi"/>
        </w:rPr>
        <w:t>The basis for this</w:t>
      </w:r>
      <w:r w:rsidR="002F4F9F" w:rsidRPr="00A77AF6">
        <w:rPr>
          <w:rFonts w:cstheme="minorHAnsi"/>
        </w:rPr>
        <w:t xml:space="preserve"> </w:t>
      </w:r>
      <w:r w:rsidR="00452B41" w:rsidRPr="00A77AF6">
        <w:rPr>
          <w:rFonts w:cstheme="minorHAnsi"/>
        </w:rPr>
        <w:t>is</w:t>
      </w:r>
      <w:r w:rsidR="00F9320B" w:rsidRPr="00A77AF6">
        <w:rPr>
          <w:rFonts w:cstheme="minorHAnsi"/>
        </w:rPr>
        <w:t xml:space="preserve"> found in </w:t>
      </w:r>
      <w:r w:rsidR="00452B41" w:rsidRPr="00A77AF6">
        <w:rPr>
          <w:rFonts w:cstheme="minorHAnsi"/>
        </w:rPr>
        <w:t>u</w:t>
      </w:r>
      <w:r w:rsidR="00F9320B" w:rsidRPr="00A77AF6">
        <w:rPr>
          <w:rFonts w:cstheme="minorHAnsi"/>
        </w:rPr>
        <w:t>tilitarian philosophy of the 18</w:t>
      </w:r>
      <w:r w:rsidR="00F9320B" w:rsidRPr="00A77AF6">
        <w:rPr>
          <w:rFonts w:cstheme="minorHAnsi"/>
          <w:vertAlign w:val="superscript"/>
        </w:rPr>
        <w:t xml:space="preserve">th </w:t>
      </w:r>
      <w:r w:rsidR="00F9320B" w:rsidRPr="00A77AF6">
        <w:rPr>
          <w:rFonts w:cstheme="minorHAnsi"/>
        </w:rPr>
        <w:t>and 19</w:t>
      </w:r>
      <w:r w:rsidR="00F9320B" w:rsidRPr="00A77AF6">
        <w:rPr>
          <w:rFonts w:cstheme="minorHAnsi"/>
          <w:vertAlign w:val="superscript"/>
        </w:rPr>
        <w:t>th</w:t>
      </w:r>
      <w:r w:rsidR="00F9320B" w:rsidRPr="00A77AF6">
        <w:rPr>
          <w:rFonts w:cstheme="minorHAnsi"/>
        </w:rPr>
        <w:t xml:space="preserve"> centuries in the UK.  Jeremy Bentham and James Mill, the founders of utilitarianism, were influenced by the prevailing social and economic conditions of the time which were supported by, in Bentham’s opinion, bad laws. </w:t>
      </w:r>
    </w:p>
    <w:p w14:paraId="7C2F45C3" w14:textId="74FB5C1A" w:rsidR="00F9320B" w:rsidRPr="00A77AF6" w:rsidRDefault="00F9320B" w:rsidP="00E47072">
      <w:pPr>
        <w:spacing w:after="240" w:line="240" w:lineRule="auto"/>
        <w:ind w:left="720"/>
        <w:rPr>
          <w:rFonts w:cstheme="minorHAnsi"/>
        </w:rPr>
      </w:pPr>
      <w:r w:rsidRPr="00A77AF6">
        <w:rPr>
          <w:rFonts w:cstheme="minorHAnsi"/>
          <w:i/>
        </w:rPr>
        <w:t>‘What made them [the laws] bad was their lack of utility, their tendency to lead to unhappiness and misery without any compensating happiness.  If a law of an action doesn’t do any good, then it isn’t any good.’</w:t>
      </w:r>
      <w:r w:rsidRPr="00A77AF6">
        <w:rPr>
          <w:rFonts w:cstheme="minorHAnsi"/>
        </w:rPr>
        <w:t xml:space="preserve"> </w:t>
      </w:r>
      <w:sdt>
        <w:sdtPr>
          <w:rPr>
            <w:rFonts w:cstheme="minorHAnsi"/>
          </w:rPr>
          <w:id w:val="2011165098"/>
          <w:citation/>
        </w:sdtPr>
        <w:sdtEndPr/>
        <w:sdtContent>
          <w:r w:rsidRPr="00A77AF6">
            <w:rPr>
              <w:rFonts w:cstheme="minorHAnsi"/>
            </w:rPr>
            <w:fldChar w:fldCharType="begin"/>
          </w:r>
          <w:r w:rsidR="00452B41" w:rsidRPr="00A77AF6">
            <w:rPr>
              <w:rFonts w:cstheme="minorHAnsi"/>
            </w:rPr>
            <w:instrText xml:space="preserve">CITATION Stn14 \l 2057 </w:instrText>
          </w:r>
          <w:r w:rsidRPr="00A77AF6">
            <w:rPr>
              <w:rFonts w:cstheme="minorHAnsi"/>
            </w:rPr>
            <w:fldChar w:fldCharType="separate"/>
          </w:r>
          <w:r w:rsidR="008E653F" w:rsidRPr="00A77AF6">
            <w:rPr>
              <w:rFonts w:cstheme="minorHAnsi"/>
            </w:rPr>
            <w:t>(Driver, 2014)</w:t>
          </w:r>
          <w:r w:rsidRPr="00A77AF6">
            <w:rPr>
              <w:rFonts w:cstheme="minorHAnsi"/>
            </w:rPr>
            <w:fldChar w:fldCharType="end"/>
          </w:r>
        </w:sdtContent>
      </w:sdt>
    </w:p>
    <w:p w14:paraId="285294E6" w14:textId="308392DB" w:rsidR="00940722" w:rsidRPr="00A77AF6" w:rsidRDefault="00062C37" w:rsidP="00D561EC">
      <w:pPr>
        <w:spacing w:after="0" w:line="360" w:lineRule="auto"/>
        <w:rPr>
          <w:rFonts w:cstheme="minorHAnsi"/>
        </w:rPr>
      </w:pPr>
      <w:r w:rsidRPr="00A77AF6">
        <w:rPr>
          <w:rFonts w:cstheme="minorHAnsi"/>
        </w:rPr>
        <w:t xml:space="preserve">This can be summarised as ‘the greatest happiness for the greatest number’ </w:t>
      </w:r>
      <w:sdt>
        <w:sdtPr>
          <w:rPr>
            <w:rFonts w:cstheme="minorHAnsi"/>
          </w:rPr>
          <w:id w:val="-879928844"/>
          <w:citation/>
        </w:sdtPr>
        <w:sdtEndPr/>
        <w:sdtContent>
          <w:r w:rsidRPr="00A77AF6">
            <w:rPr>
              <w:rFonts w:cstheme="minorHAnsi"/>
            </w:rPr>
            <w:fldChar w:fldCharType="begin"/>
          </w:r>
          <w:r w:rsidRPr="00A77AF6">
            <w:rPr>
              <w:rFonts w:cstheme="minorHAnsi"/>
            </w:rPr>
            <w:instrText xml:space="preserve">CITATION Gra84 \p 149 \l 2057 </w:instrText>
          </w:r>
          <w:r w:rsidRPr="00A77AF6">
            <w:rPr>
              <w:rFonts w:cstheme="minorHAnsi"/>
            </w:rPr>
            <w:fldChar w:fldCharType="separate"/>
          </w:r>
          <w:r w:rsidR="008E653F" w:rsidRPr="00A77AF6">
            <w:rPr>
              <w:rFonts w:cstheme="minorHAnsi"/>
            </w:rPr>
            <w:t>(Gray, 1984, p. 149)</w:t>
          </w:r>
          <w:r w:rsidRPr="00A77AF6">
            <w:rPr>
              <w:rFonts w:cstheme="minorHAnsi"/>
            </w:rPr>
            <w:fldChar w:fldCharType="end"/>
          </w:r>
        </w:sdtContent>
      </w:sdt>
      <w:r w:rsidR="00E47072" w:rsidRPr="00A77AF6">
        <w:rPr>
          <w:rFonts w:cstheme="minorHAnsi"/>
        </w:rPr>
        <w:t xml:space="preserve">. </w:t>
      </w:r>
      <w:r w:rsidRPr="00A77AF6">
        <w:rPr>
          <w:rFonts w:cstheme="minorHAnsi"/>
        </w:rPr>
        <w:t>Bentham and Mill thought that people’s actions were directed to maximising pleasure and avoiding pain</w:t>
      </w:r>
      <w:r w:rsidR="003539E1" w:rsidRPr="00A77AF6">
        <w:rPr>
          <w:rFonts w:cstheme="minorHAnsi"/>
        </w:rPr>
        <w:t>,</w:t>
      </w:r>
      <w:r w:rsidRPr="00A77AF6">
        <w:rPr>
          <w:rFonts w:cstheme="minorHAnsi"/>
        </w:rPr>
        <w:t xml:space="preserve"> so </w:t>
      </w:r>
      <w:r w:rsidR="00940722" w:rsidRPr="00A77AF6">
        <w:rPr>
          <w:rFonts w:cstheme="minorHAnsi"/>
        </w:rPr>
        <w:t>lawmakers</w:t>
      </w:r>
      <w:r w:rsidRPr="00A77AF6">
        <w:rPr>
          <w:rFonts w:cstheme="minorHAnsi"/>
        </w:rPr>
        <w:t xml:space="preserve"> should</w:t>
      </w:r>
    </w:p>
    <w:p w14:paraId="08E6297C" w14:textId="4BEB36C3" w:rsidR="00940722" w:rsidRPr="00A77AF6" w:rsidRDefault="00062C37" w:rsidP="00940722">
      <w:pPr>
        <w:spacing w:line="240" w:lineRule="auto"/>
        <w:ind w:left="720"/>
        <w:rPr>
          <w:rFonts w:cstheme="minorHAnsi"/>
        </w:rPr>
      </w:pPr>
      <w:r w:rsidRPr="00A77AF6">
        <w:rPr>
          <w:rFonts w:cstheme="minorHAnsi"/>
          <w:i/>
          <w:iCs/>
        </w:rPr>
        <w:t>‘arrange social institutions so that the interest each man has in the pursuit of his own pleasure meshes harmoniously with the interests of other men and thus serves the general interest’</w:t>
      </w:r>
      <w:r w:rsidRPr="00A77AF6">
        <w:rPr>
          <w:rFonts w:cstheme="minorHAnsi"/>
        </w:rPr>
        <w:t xml:space="preserve"> </w:t>
      </w:r>
      <w:sdt>
        <w:sdtPr>
          <w:rPr>
            <w:rFonts w:cstheme="minorHAnsi"/>
          </w:rPr>
          <w:id w:val="-570269216"/>
          <w:citation/>
        </w:sdtPr>
        <w:sdtEndPr/>
        <w:sdtContent>
          <w:r w:rsidRPr="00A77AF6">
            <w:rPr>
              <w:rFonts w:cstheme="minorHAnsi"/>
            </w:rPr>
            <w:fldChar w:fldCharType="begin"/>
          </w:r>
          <w:r w:rsidRPr="00A77AF6">
            <w:rPr>
              <w:rFonts w:cstheme="minorHAnsi"/>
            </w:rPr>
            <w:instrText xml:space="preserve">CITATION Gra84 \p 150 \l 2057 </w:instrText>
          </w:r>
          <w:r w:rsidRPr="00A77AF6">
            <w:rPr>
              <w:rFonts w:cstheme="minorHAnsi"/>
            </w:rPr>
            <w:fldChar w:fldCharType="separate"/>
          </w:r>
          <w:r w:rsidR="008E653F" w:rsidRPr="00A77AF6">
            <w:rPr>
              <w:rFonts w:cstheme="minorHAnsi"/>
            </w:rPr>
            <w:t>(Gray, 1984, p. 150)</w:t>
          </w:r>
          <w:r w:rsidRPr="00A77AF6">
            <w:rPr>
              <w:rFonts w:cstheme="minorHAnsi"/>
            </w:rPr>
            <w:fldChar w:fldCharType="end"/>
          </w:r>
        </w:sdtContent>
      </w:sdt>
      <w:r w:rsidRPr="00A77AF6">
        <w:rPr>
          <w:rFonts w:cstheme="minorHAnsi"/>
        </w:rPr>
        <w:t xml:space="preserve"> . </w:t>
      </w:r>
      <w:r w:rsidR="003539E1" w:rsidRPr="00A77AF6">
        <w:rPr>
          <w:rFonts w:cstheme="minorHAnsi"/>
        </w:rPr>
        <w:t xml:space="preserve"> </w:t>
      </w:r>
    </w:p>
    <w:p w14:paraId="4EE26728" w14:textId="2B1C7A8F" w:rsidR="00062C37" w:rsidRPr="00A77AF6" w:rsidRDefault="00940722" w:rsidP="00872903">
      <w:pPr>
        <w:spacing w:line="360" w:lineRule="auto"/>
        <w:rPr>
          <w:rFonts w:cstheme="minorHAnsi"/>
        </w:rPr>
      </w:pPr>
      <w:r w:rsidRPr="00A77AF6">
        <w:rPr>
          <w:rFonts w:cstheme="minorHAnsi"/>
        </w:rPr>
        <w:lastRenderedPageBreak/>
        <w:t>T</w:t>
      </w:r>
      <w:r w:rsidR="003539E1" w:rsidRPr="00A77AF6">
        <w:rPr>
          <w:rFonts w:cstheme="minorHAnsi"/>
        </w:rPr>
        <w:t xml:space="preserve">he utilitarian philosophers </w:t>
      </w:r>
      <w:r w:rsidR="00062C37" w:rsidRPr="00A77AF6">
        <w:rPr>
          <w:rFonts w:cstheme="minorHAnsi"/>
        </w:rPr>
        <w:t>were trying to apply consistency to legislation through a more scientific analysis of the impact of laws</w:t>
      </w:r>
      <w:r w:rsidR="003539E1" w:rsidRPr="00A77AF6">
        <w:rPr>
          <w:rFonts w:cstheme="minorHAnsi"/>
        </w:rPr>
        <w:t xml:space="preserve"> to ensure that laws were formed for the benefit of the greatest number, not the few.  Utilitarianism is completely oppos</w:t>
      </w:r>
      <w:r w:rsidR="00AA6498" w:rsidRPr="00A77AF6">
        <w:rPr>
          <w:rFonts w:cstheme="minorHAnsi"/>
        </w:rPr>
        <w:t>ed</w:t>
      </w:r>
      <w:r w:rsidR="003539E1" w:rsidRPr="00A77AF6">
        <w:rPr>
          <w:rFonts w:cstheme="minorHAnsi"/>
        </w:rPr>
        <w:t xml:space="preserve"> to formalism </w:t>
      </w:r>
      <w:r w:rsidR="00452B41" w:rsidRPr="00A77AF6">
        <w:rPr>
          <w:rFonts w:cstheme="minorHAnsi"/>
        </w:rPr>
        <w:t>where</w:t>
      </w:r>
      <w:r w:rsidR="003539E1" w:rsidRPr="00A77AF6">
        <w:rPr>
          <w:rFonts w:cstheme="minorHAnsi"/>
        </w:rPr>
        <w:t xml:space="preserve"> duty and rules following in formalism is unhindered by the consequences of actions, whereas utilitarianism is judged entirely by consequences. </w:t>
      </w:r>
    </w:p>
    <w:p w14:paraId="5E9C58F3" w14:textId="202BB3FA" w:rsidR="00062C37" w:rsidRPr="00A77AF6" w:rsidRDefault="00062C37" w:rsidP="0090781C">
      <w:pPr>
        <w:spacing w:after="0" w:line="360" w:lineRule="auto"/>
        <w:rPr>
          <w:rFonts w:cstheme="minorHAnsi"/>
        </w:rPr>
      </w:pPr>
      <w:r w:rsidRPr="00A77AF6">
        <w:rPr>
          <w:rFonts w:cstheme="minorHAnsi"/>
        </w:rPr>
        <w:t xml:space="preserve">Whilst the focus on the impact of decisions and laws on the greater good can be seen to have advantages the utilitarian approach has been criticised on several counts.  Firstly, it </w:t>
      </w:r>
      <w:r w:rsidR="00797B9B" w:rsidRPr="00A77AF6">
        <w:rPr>
          <w:rFonts w:cstheme="minorHAnsi"/>
        </w:rPr>
        <w:t xml:space="preserve">would appear implausible </w:t>
      </w:r>
      <w:r w:rsidRPr="00A77AF6">
        <w:rPr>
          <w:rFonts w:cstheme="minorHAnsi"/>
        </w:rPr>
        <w:t xml:space="preserve">that someone could be expected to devote their whole time towards the utility of others, </w:t>
      </w:r>
    </w:p>
    <w:p w14:paraId="2F0D3FF0" w14:textId="409A08FF" w:rsidR="00062C37" w:rsidRPr="00A77AF6" w:rsidRDefault="00062C37" w:rsidP="0090781C">
      <w:pPr>
        <w:spacing w:after="120" w:line="240" w:lineRule="auto"/>
        <w:ind w:left="720"/>
        <w:rPr>
          <w:rFonts w:cstheme="minorHAnsi"/>
        </w:rPr>
      </w:pPr>
      <w:r w:rsidRPr="00A77AF6">
        <w:rPr>
          <w:rFonts w:cstheme="minorHAnsi"/>
          <w:i/>
        </w:rPr>
        <w:t>‘even within a small village or commune it is too much to expect that the efforts of all members should be wholly directed towards the promoting of the wellbeing of all.</w:t>
      </w:r>
      <w:r w:rsidRPr="00A77AF6">
        <w:rPr>
          <w:rFonts w:cstheme="minorHAnsi"/>
        </w:rPr>
        <w:t>’</w:t>
      </w:r>
      <w:sdt>
        <w:sdtPr>
          <w:rPr>
            <w:rFonts w:cstheme="minorHAnsi"/>
          </w:rPr>
          <w:id w:val="-992641805"/>
          <w:citation/>
        </w:sdtPr>
        <w:sdtEndPr/>
        <w:sdtContent>
          <w:r w:rsidRPr="00A77AF6">
            <w:rPr>
              <w:rFonts w:cstheme="minorHAnsi"/>
            </w:rPr>
            <w:fldChar w:fldCharType="begin"/>
          </w:r>
          <w:r w:rsidRPr="00A77AF6">
            <w:rPr>
              <w:rFonts w:cstheme="minorHAnsi"/>
            </w:rPr>
            <w:instrText xml:space="preserve">CITATION Mac77 \p 130 \l 2057 </w:instrText>
          </w:r>
          <w:r w:rsidRPr="00A77AF6">
            <w:rPr>
              <w:rFonts w:cstheme="minorHAnsi"/>
            </w:rPr>
            <w:fldChar w:fldCharType="separate"/>
          </w:r>
          <w:r w:rsidR="008E653F" w:rsidRPr="00A77AF6">
            <w:rPr>
              <w:rFonts w:cstheme="minorHAnsi"/>
            </w:rPr>
            <w:t xml:space="preserve"> (Mackie, 1977, p. 130)</w:t>
          </w:r>
          <w:r w:rsidRPr="00A77AF6">
            <w:rPr>
              <w:rFonts w:cstheme="minorHAnsi"/>
            </w:rPr>
            <w:fldChar w:fldCharType="end"/>
          </w:r>
        </w:sdtContent>
      </w:sdt>
      <w:r w:rsidRPr="00A77AF6">
        <w:rPr>
          <w:rFonts w:cstheme="minorHAnsi"/>
        </w:rPr>
        <w:t xml:space="preserve">.   </w:t>
      </w:r>
    </w:p>
    <w:p w14:paraId="2A5AB5FA" w14:textId="6A5DA6B0" w:rsidR="00062C37" w:rsidRPr="00A77AF6" w:rsidRDefault="00062C37" w:rsidP="00797B9B">
      <w:pPr>
        <w:spacing w:after="120" w:line="360" w:lineRule="auto"/>
        <w:rPr>
          <w:rFonts w:cstheme="minorHAnsi"/>
        </w:rPr>
      </w:pPr>
      <w:r w:rsidRPr="00A77AF6">
        <w:rPr>
          <w:rFonts w:cstheme="minorHAnsi"/>
        </w:rPr>
        <w:t xml:space="preserve">Secondly, society is made up of people with </w:t>
      </w:r>
      <w:r w:rsidR="003539E1" w:rsidRPr="00A77AF6">
        <w:rPr>
          <w:rFonts w:cstheme="minorHAnsi"/>
        </w:rPr>
        <w:t xml:space="preserve">different </w:t>
      </w:r>
      <w:r w:rsidRPr="00A77AF6">
        <w:rPr>
          <w:rFonts w:cstheme="minorHAnsi"/>
        </w:rPr>
        <w:t xml:space="preserve">and </w:t>
      </w:r>
      <w:r w:rsidR="003539E1" w:rsidRPr="00A77AF6">
        <w:rPr>
          <w:rFonts w:cstheme="minorHAnsi"/>
        </w:rPr>
        <w:t xml:space="preserve">sometimes contradictory </w:t>
      </w:r>
      <w:r w:rsidRPr="00A77AF6">
        <w:rPr>
          <w:rFonts w:cstheme="minorHAnsi"/>
        </w:rPr>
        <w:t xml:space="preserve">purposes. As a result, people will pursue ‘these divergent and conflicting purposes’ </w:t>
      </w:r>
      <w:sdt>
        <w:sdtPr>
          <w:rPr>
            <w:rFonts w:cstheme="minorHAnsi"/>
          </w:rPr>
          <w:id w:val="-364829984"/>
          <w:citation/>
        </w:sdtPr>
        <w:sdtEndPr/>
        <w:sdtContent>
          <w:r w:rsidRPr="00A77AF6">
            <w:rPr>
              <w:rFonts w:cstheme="minorHAnsi"/>
            </w:rPr>
            <w:fldChar w:fldCharType="begin"/>
          </w:r>
          <w:r w:rsidRPr="00A77AF6">
            <w:rPr>
              <w:rFonts w:cstheme="minorHAnsi"/>
            </w:rPr>
            <w:instrText xml:space="preserve">CITATION Mac77 \p 130 \l 2057 </w:instrText>
          </w:r>
          <w:r w:rsidRPr="00A77AF6">
            <w:rPr>
              <w:rFonts w:cstheme="minorHAnsi"/>
            </w:rPr>
            <w:fldChar w:fldCharType="separate"/>
          </w:r>
          <w:r w:rsidR="008E653F" w:rsidRPr="00A77AF6">
            <w:rPr>
              <w:rFonts w:cstheme="minorHAnsi"/>
            </w:rPr>
            <w:t>(Mackie, 1977, p. 130)</w:t>
          </w:r>
          <w:r w:rsidRPr="00A77AF6">
            <w:rPr>
              <w:rFonts w:cstheme="minorHAnsi"/>
            </w:rPr>
            <w:fldChar w:fldCharType="end"/>
          </w:r>
        </w:sdtContent>
      </w:sdt>
      <w:r w:rsidRPr="00A77AF6">
        <w:rPr>
          <w:rFonts w:cstheme="minorHAnsi"/>
        </w:rPr>
        <w:t xml:space="preserve"> so people will not be motivated by </w:t>
      </w:r>
      <w:r w:rsidR="00DA5E0C" w:rsidRPr="00A77AF6">
        <w:rPr>
          <w:rFonts w:cstheme="minorHAnsi"/>
        </w:rPr>
        <w:t xml:space="preserve">a concept of </w:t>
      </w:r>
      <w:r w:rsidRPr="00A77AF6">
        <w:rPr>
          <w:rFonts w:cstheme="minorHAnsi"/>
        </w:rPr>
        <w:t xml:space="preserve">general happiness, because such a concept does not exist and </w:t>
      </w:r>
      <w:r w:rsidR="00DA5E0C" w:rsidRPr="00A77AF6">
        <w:rPr>
          <w:rFonts w:cstheme="minorHAnsi"/>
        </w:rPr>
        <w:t xml:space="preserve">so </w:t>
      </w:r>
      <w:r w:rsidRPr="00A77AF6">
        <w:rPr>
          <w:rFonts w:cstheme="minorHAnsi"/>
        </w:rPr>
        <w:t xml:space="preserve">it follows that they will not be able to maximise it </w:t>
      </w:r>
      <w:sdt>
        <w:sdtPr>
          <w:rPr>
            <w:rFonts w:cstheme="minorHAnsi"/>
          </w:rPr>
          <w:id w:val="825710625"/>
          <w:citation/>
        </w:sdtPr>
        <w:sdtEndPr/>
        <w:sdtContent>
          <w:r w:rsidRPr="00A77AF6">
            <w:rPr>
              <w:rFonts w:cstheme="minorHAnsi"/>
            </w:rPr>
            <w:fldChar w:fldCharType="begin"/>
          </w:r>
          <w:r w:rsidRPr="00A77AF6">
            <w:rPr>
              <w:rFonts w:cstheme="minorHAnsi"/>
            </w:rPr>
            <w:instrText xml:space="preserve"> CITATION Mac77 \l 2057 </w:instrText>
          </w:r>
          <w:r w:rsidRPr="00A77AF6">
            <w:rPr>
              <w:rFonts w:cstheme="minorHAnsi"/>
            </w:rPr>
            <w:fldChar w:fldCharType="separate"/>
          </w:r>
          <w:r w:rsidR="008E653F" w:rsidRPr="00A77AF6">
            <w:rPr>
              <w:rFonts w:cstheme="minorHAnsi"/>
            </w:rPr>
            <w:t>(Mackie, 1977)</w:t>
          </w:r>
          <w:r w:rsidRPr="00A77AF6">
            <w:rPr>
              <w:rFonts w:cstheme="minorHAnsi"/>
            </w:rPr>
            <w:fldChar w:fldCharType="end"/>
          </w:r>
        </w:sdtContent>
      </w:sdt>
      <w:r w:rsidRPr="00A77AF6">
        <w:rPr>
          <w:rFonts w:cstheme="minorHAnsi"/>
        </w:rPr>
        <w:t xml:space="preserve">. Thirdly, people do not have </w:t>
      </w:r>
      <w:r w:rsidR="00434810" w:rsidRPr="00A77AF6">
        <w:rPr>
          <w:rFonts w:cstheme="minorHAnsi"/>
        </w:rPr>
        <w:t>enough</w:t>
      </w:r>
      <w:r w:rsidR="00797B9B" w:rsidRPr="00A77AF6">
        <w:rPr>
          <w:rFonts w:cstheme="minorHAnsi"/>
        </w:rPr>
        <w:t xml:space="preserve"> </w:t>
      </w:r>
      <w:r w:rsidRPr="00A77AF6">
        <w:rPr>
          <w:rFonts w:cstheme="minorHAnsi"/>
        </w:rPr>
        <w:t>information or ability to assess each possible outcome, both intended and unintended</w:t>
      </w:r>
      <w:r w:rsidR="003451FF" w:rsidRPr="00A77AF6">
        <w:rPr>
          <w:rFonts w:cstheme="minorHAnsi"/>
        </w:rPr>
        <w:t>,</w:t>
      </w:r>
      <w:r w:rsidR="00DA5E0C" w:rsidRPr="00A77AF6">
        <w:rPr>
          <w:rFonts w:cstheme="minorHAnsi"/>
        </w:rPr>
        <w:t xml:space="preserve"> when deciding on a course of action. </w:t>
      </w:r>
      <w:r w:rsidR="00CA7A80" w:rsidRPr="00A77AF6">
        <w:rPr>
          <w:rFonts w:cstheme="minorHAnsi"/>
        </w:rPr>
        <w:t xml:space="preserve">Simon (1957) </w:t>
      </w:r>
      <w:r w:rsidRPr="00A77AF6">
        <w:rPr>
          <w:rFonts w:cstheme="minorHAnsi"/>
        </w:rPr>
        <w:t>argued</w:t>
      </w:r>
      <w:r w:rsidR="00DA5E0C" w:rsidRPr="00A77AF6">
        <w:rPr>
          <w:rFonts w:cstheme="minorHAnsi"/>
        </w:rPr>
        <w:t xml:space="preserve"> </w:t>
      </w:r>
      <w:r w:rsidR="00D561EC" w:rsidRPr="00A77AF6">
        <w:rPr>
          <w:rFonts w:cstheme="minorHAnsi"/>
        </w:rPr>
        <w:t>s</w:t>
      </w:r>
      <w:r w:rsidR="00DA5E0C" w:rsidRPr="00A77AF6">
        <w:rPr>
          <w:rFonts w:cstheme="minorHAnsi"/>
        </w:rPr>
        <w:t>imilar</w:t>
      </w:r>
      <w:r w:rsidR="00D561EC" w:rsidRPr="00A77AF6">
        <w:rPr>
          <w:rFonts w:cstheme="minorHAnsi"/>
        </w:rPr>
        <w:t>ly</w:t>
      </w:r>
      <w:r w:rsidR="00DA5E0C" w:rsidRPr="00A77AF6">
        <w:rPr>
          <w:rFonts w:cstheme="minorHAnsi"/>
        </w:rPr>
        <w:t xml:space="preserve"> in his discussion of bounded rationality</w:t>
      </w:r>
      <w:r w:rsidR="00614496" w:rsidRPr="00A77AF6">
        <w:rPr>
          <w:rFonts w:cstheme="minorHAnsi"/>
        </w:rPr>
        <w:t xml:space="preserve"> in </w:t>
      </w:r>
      <w:r w:rsidRPr="00A77AF6">
        <w:rPr>
          <w:rFonts w:cstheme="minorHAnsi"/>
        </w:rPr>
        <w:t xml:space="preserve">decision-making.  Fourthly, utilitarianism allows the possibility for </w:t>
      </w:r>
      <w:r w:rsidR="00797B9B" w:rsidRPr="00A77AF6">
        <w:rPr>
          <w:rFonts w:cstheme="minorHAnsi"/>
        </w:rPr>
        <w:t>terrible</w:t>
      </w:r>
      <w:r w:rsidRPr="00A77AF6">
        <w:rPr>
          <w:rFonts w:cstheme="minorHAnsi"/>
        </w:rPr>
        <w:t xml:space="preserve"> acts to be carried out so long as they bring benefit (utility) to most people.  If actions are morally </w:t>
      </w:r>
      <w:r w:rsidR="00797B9B" w:rsidRPr="00A77AF6">
        <w:rPr>
          <w:rFonts w:cstheme="minorHAnsi"/>
        </w:rPr>
        <w:t>neutral,</w:t>
      </w:r>
      <w:r w:rsidRPr="00A77AF6">
        <w:rPr>
          <w:rFonts w:cstheme="minorHAnsi"/>
        </w:rPr>
        <w:t xml:space="preserve"> then terrible actions c</w:t>
      </w:r>
      <w:r w:rsidR="00797B9B" w:rsidRPr="00A77AF6">
        <w:rPr>
          <w:rFonts w:cstheme="minorHAnsi"/>
        </w:rPr>
        <w:t xml:space="preserve">an </w:t>
      </w:r>
      <w:r w:rsidRPr="00A77AF6">
        <w:rPr>
          <w:rFonts w:cstheme="minorHAnsi"/>
        </w:rPr>
        <w:t xml:space="preserve">be justified because of a </w:t>
      </w:r>
      <w:r w:rsidR="00797B9B" w:rsidRPr="00A77AF6">
        <w:rPr>
          <w:rFonts w:cstheme="minorHAnsi"/>
        </w:rPr>
        <w:t xml:space="preserve">generally </w:t>
      </w:r>
      <w:r w:rsidRPr="00A77AF6">
        <w:rPr>
          <w:rFonts w:cstheme="minorHAnsi"/>
        </w:rPr>
        <w:t>favourable outcome.  Finally, and linked to the previous criticism, the rights of minorities could be consistently ignored because of what John Stewart Mill terms ‘the tyranny of the majority’ whereby</w:t>
      </w:r>
    </w:p>
    <w:p w14:paraId="7503FED9" w14:textId="1048E0A7" w:rsidR="00062C37" w:rsidRPr="00A77AF6" w:rsidRDefault="00062C37" w:rsidP="00DA5E0C">
      <w:pPr>
        <w:spacing w:after="240" w:line="240" w:lineRule="auto"/>
        <w:ind w:left="720"/>
        <w:rPr>
          <w:rFonts w:cstheme="minorHAnsi"/>
        </w:rPr>
      </w:pPr>
      <w:r w:rsidRPr="00A77AF6">
        <w:rPr>
          <w:rFonts w:cstheme="minorHAnsi"/>
          <w:i/>
        </w:rPr>
        <w:t xml:space="preserve">‘the people, consequently, </w:t>
      </w:r>
      <w:r w:rsidRPr="00A77AF6">
        <w:rPr>
          <w:rFonts w:cstheme="minorHAnsi"/>
          <w:b/>
          <w:i/>
        </w:rPr>
        <w:t>may</w:t>
      </w:r>
      <w:r w:rsidRPr="00A77AF6">
        <w:rPr>
          <w:rFonts w:cstheme="minorHAnsi"/>
          <w:i/>
        </w:rPr>
        <w:t xml:space="preserve"> (Mill’s emphasis) desire to oppress a part of their number; and precautions are as much needed against this as against any other abuse of power’</w:t>
      </w:r>
      <w:r w:rsidRPr="00A77AF6">
        <w:rPr>
          <w:rFonts w:cstheme="minorHAnsi"/>
        </w:rPr>
        <w:t xml:space="preserve"> </w:t>
      </w:r>
      <w:sdt>
        <w:sdtPr>
          <w:rPr>
            <w:rFonts w:cstheme="minorHAnsi"/>
          </w:rPr>
          <w:id w:val="-346253530"/>
          <w:citation/>
        </w:sdtPr>
        <w:sdtEndPr/>
        <w:sdtContent>
          <w:r w:rsidRPr="00A77AF6">
            <w:rPr>
              <w:rFonts w:cstheme="minorHAnsi"/>
            </w:rPr>
            <w:fldChar w:fldCharType="begin"/>
          </w:r>
          <w:r w:rsidRPr="00A77AF6">
            <w:rPr>
              <w:rFonts w:cstheme="minorHAnsi"/>
            </w:rPr>
            <w:instrText xml:space="preserve">CITATION Mil01 \p 68 \l 2057 </w:instrText>
          </w:r>
          <w:r w:rsidRPr="00A77AF6">
            <w:rPr>
              <w:rFonts w:cstheme="minorHAnsi"/>
            </w:rPr>
            <w:fldChar w:fldCharType="separate"/>
          </w:r>
          <w:r w:rsidR="008E653F" w:rsidRPr="00A77AF6">
            <w:rPr>
              <w:rFonts w:cstheme="minorHAnsi"/>
            </w:rPr>
            <w:t>(Mill, 1859/1910, p. 68)</w:t>
          </w:r>
          <w:r w:rsidRPr="00A77AF6">
            <w:rPr>
              <w:rFonts w:cstheme="minorHAnsi"/>
            </w:rPr>
            <w:fldChar w:fldCharType="end"/>
          </w:r>
        </w:sdtContent>
      </w:sdt>
      <w:r w:rsidRPr="00A77AF6">
        <w:rPr>
          <w:rFonts w:cstheme="minorHAnsi"/>
        </w:rPr>
        <w:t xml:space="preserve">.  </w:t>
      </w:r>
    </w:p>
    <w:p w14:paraId="3554D287" w14:textId="339182E1" w:rsidR="00062C37" w:rsidRPr="00A77AF6" w:rsidRDefault="00062C37" w:rsidP="000F0FAE">
      <w:pPr>
        <w:spacing w:line="360" w:lineRule="auto"/>
        <w:rPr>
          <w:rFonts w:cstheme="minorHAnsi"/>
        </w:rPr>
      </w:pPr>
      <w:r w:rsidRPr="00A77AF6">
        <w:rPr>
          <w:rFonts w:cstheme="minorHAnsi"/>
        </w:rPr>
        <w:t>This was an appeal by John Stewart Mill to liberalism, rather than simple majoritarianism</w:t>
      </w:r>
      <w:r w:rsidR="00DA5E0C" w:rsidRPr="00A77AF6">
        <w:rPr>
          <w:rFonts w:cstheme="minorHAnsi"/>
        </w:rPr>
        <w:t>, which utilitarianism might tend towards</w:t>
      </w:r>
      <w:r w:rsidRPr="00A77AF6">
        <w:rPr>
          <w:rFonts w:cstheme="minorHAnsi"/>
        </w:rPr>
        <w:t>.  However, despite its critics, elements of utilitarianism underpin western society’s view of humans and the primacy of rational thought giv</w:t>
      </w:r>
      <w:r w:rsidR="000814C3" w:rsidRPr="00A77AF6">
        <w:rPr>
          <w:rFonts w:cstheme="minorHAnsi"/>
        </w:rPr>
        <w:t>e</w:t>
      </w:r>
      <w:r w:rsidR="00797B9B" w:rsidRPr="00A77AF6">
        <w:rPr>
          <w:rFonts w:cstheme="minorHAnsi"/>
        </w:rPr>
        <w:t>s</w:t>
      </w:r>
      <w:r w:rsidR="000814C3" w:rsidRPr="00A77AF6">
        <w:rPr>
          <w:rFonts w:cstheme="minorHAnsi"/>
        </w:rPr>
        <w:t xml:space="preserve"> r</w:t>
      </w:r>
      <w:r w:rsidRPr="00A77AF6">
        <w:rPr>
          <w:rFonts w:cstheme="minorHAnsi"/>
        </w:rPr>
        <w:t xml:space="preserve">ise to ‘liberal reason’ </w:t>
      </w:r>
      <w:sdt>
        <w:sdtPr>
          <w:rPr>
            <w:rFonts w:cstheme="minorHAnsi"/>
          </w:rPr>
          <w:id w:val="-1965026483"/>
          <w:citation/>
        </w:sdtPr>
        <w:sdtEndPr/>
        <w:sdtContent>
          <w:r w:rsidRPr="00A77AF6">
            <w:rPr>
              <w:rFonts w:cstheme="minorHAnsi"/>
            </w:rPr>
            <w:fldChar w:fldCharType="begin"/>
          </w:r>
          <w:r w:rsidRPr="00A77AF6">
            <w:rPr>
              <w:rFonts w:cstheme="minorHAnsi"/>
            </w:rPr>
            <w:instrText xml:space="preserve"> CITATION Gra84 \l 2057 </w:instrText>
          </w:r>
          <w:r w:rsidRPr="00A77AF6">
            <w:rPr>
              <w:rFonts w:cstheme="minorHAnsi"/>
            </w:rPr>
            <w:fldChar w:fldCharType="separate"/>
          </w:r>
          <w:r w:rsidR="008E653F" w:rsidRPr="00A77AF6">
            <w:rPr>
              <w:rFonts w:cstheme="minorHAnsi"/>
            </w:rPr>
            <w:t>(Gray, 1984)</w:t>
          </w:r>
          <w:r w:rsidRPr="00A77AF6">
            <w:rPr>
              <w:rFonts w:cstheme="minorHAnsi"/>
            </w:rPr>
            <w:fldChar w:fldCharType="end"/>
          </w:r>
        </w:sdtContent>
      </w:sdt>
      <w:r w:rsidRPr="00A77AF6">
        <w:rPr>
          <w:rFonts w:cstheme="minorHAnsi"/>
        </w:rPr>
        <w:t xml:space="preserve">.  </w:t>
      </w:r>
    </w:p>
    <w:p w14:paraId="3212DE9E" w14:textId="7F2C5749" w:rsidR="00062C37" w:rsidRPr="00A77AF6" w:rsidRDefault="00062C37" w:rsidP="001A5D14">
      <w:pPr>
        <w:spacing w:line="360" w:lineRule="auto"/>
      </w:pPr>
      <w:r w:rsidRPr="00A77AF6">
        <w:t xml:space="preserve">The three ethical theories considered here </w:t>
      </w:r>
      <w:r w:rsidR="005469A9" w:rsidRPr="00A77AF6">
        <w:t>each</w:t>
      </w:r>
      <w:r w:rsidRPr="00A77AF6">
        <w:t xml:space="preserve"> attempt to determine what morality is.  Virtue ethics is based on the character of a person whilst formalism and utilitarianism are focussed on conduct.  The differences between the three theories can be summarised as follows:  </w:t>
      </w:r>
    </w:p>
    <w:p w14:paraId="18F327EC" w14:textId="11A8A43C" w:rsidR="00062C37" w:rsidRPr="00A77AF6" w:rsidRDefault="00062C37" w:rsidP="00797B9B">
      <w:pPr>
        <w:spacing w:line="240" w:lineRule="auto"/>
        <w:ind w:left="720"/>
      </w:pPr>
      <w:r w:rsidRPr="00A77AF6">
        <w:rPr>
          <w:i/>
        </w:rPr>
        <w:lastRenderedPageBreak/>
        <w:t>‘Whereas virtue ethics emphasizes the virtues of character to measure right actions, utilitarianism emphasizes the adherence to the greatest happiness principle and deontology emphasizes the adherence to duties to produce moral actions</w:t>
      </w:r>
      <w:r w:rsidRPr="00A77AF6">
        <w:t xml:space="preserve">.’  </w:t>
      </w:r>
      <w:sdt>
        <w:sdtPr>
          <w:id w:val="1291628241"/>
          <w:citation/>
        </w:sdtPr>
        <w:sdtEndPr/>
        <w:sdtContent>
          <w:r w:rsidRPr="00A77AF6">
            <w:fldChar w:fldCharType="begin"/>
          </w:r>
          <w:r w:rsidRPr="00A77AF6">
            <w:instrText xml:space="preserve">CITATION May10 \p 195 \l 2057 </w:instrText>
          </w:r>
          <w:r w:rsidRPr="00A77AF6">
            <w:fldChar w:fldCharType="separate"/>
          </w:r>
          <w:r w:rsidR="008E653F" w:rsidRPr="00A77AF6">
            <w:t>(Sim, 2010, p. 195)</w:t>
          </w:r>
          <w:r w:rsidRPr="00A77AF6">
            <w:fldChar w:fldCharType="end"/>
          </w:r>
        </w:sdtContent>
      </w:sdt>
    </w:p>
    <w:p w14:paraId="540FA1E5" w14:textId="13C49360" w:rsidR="00DA5E0C" w:rsidRPr="00A77AF6" w:rsidRDefault="00DA5E0C" w:rsidP="001A5D14">
      <w:pPr>
        <w:spacing w:line="360" w:lineRule="auto"/>
      </w:pPr>
      <w:r w:rsidRPr="00A77AF6">
        <w:t>The specific criticism</w:t>
      </w:r>
      <w:r w:rsidR="001A5D14" w:rsidRPr="00A77AF6">
        <w:t>s</w:t>
      </w:r>
      <w:r w:rsidRPr="00A77AF6">
        <w:t xml:space="preserve"> of each type of ethical theory have been examined and the next section examines the criticisms of ethical theory as a whole. </w:t>
      </w:r>
    </w:p>
    <w:p w14:paraId="4F5E6806" w14:textId="0E61640C" w:rsidR="00062C37" w:rsidRPr="00A77AF6" w:rsidRDefault="00712764" w:rsidP="00062C37">
      <w:pPr>
        <w:pStyle w:val="Heading3"/>
        <w:spacing w:after="120"/>
      </w:pPr>
      <w:bookmarkStart w:id="40" w:name="_Toc36275048"/>
      <w:r w:rsidRPr="00A77AF6">
        <w:t>C</w:t>
      </w:r>
      <w:r w:rsidR="00062C37" w:rsidRPr="00A77AF6">
        <w:t>riticism</w:t>
      </w:r>
      <w:r w:rsidRPr="00A77AF6">
        <w:t>s</w:t>
      </w:r>
      <w:r w:rsidR="00062C37" w:rsidRPr="00A77AF6">
        <w:t xml:space="preserve"> of ethical theory</w:t>
      </w:r>
      <w:bookmarkEnd w:id="40"/>
    </w:p>
    <w:p w14:paraId="24EA5EFC" w14:textId="65CA54EF" w:rsidR="000004A5" w:rsidRPr="00A77AF6" w:rsidRDefault="00712764" w:rsidP="007C34DB">
      <w:pPr>
        <w:spacing w:line="360" w:lineRule="auto"/>
        <w:rPr>
          <w:rFonts w:cstheme="minorHAnsi"/>
        </w:rPr>
      </w:pPr>
      <w:r w:rsidRPr="00A77AF6">
        <w:rPr>
          <w:rFonts w:cstheme="minorHAnsi"/>
        </w:rPr>
        <w:t>E</w:t>
      </w:r>
      <w:r w:rsidR="000004A5" w:rsidRPr="00A77AF6">
        <w:rPr>
          <w:rFonts w:cstheme="minorHAnsi"/>
        </w:rPr>
        <w:t>thical theor</w:t>
      </w:r>
      <w:r w:rsidR="0041011B" w:rsidRPr="00A77AF6">
        <w:rPr>
          <w:rFonts w:cstheme="minorHAnsi"/>
        </w:rPr>
        <w:t>ies</w:t>
      </w:r>
      <w:r w:rsidR="000004A5" w:rsidRPr="00A77AF6">
        <w:rPr>
          <w:rFonts w:cstheme="minorHAnsi"/>
        </w:rPr>
        <w:t xml:space="preserve"> are </w:t>
      </w:r>
      <w:r w:rsidRPr="00A77AF6">
        <w:rPr>
          <w:rFonts w:cstheme="minorHAnsi"/>
        </w:rPr>
        <w:t xml:space="preserve">criticised for several reasons. </w:t>
      </w:r>
      <w:r w:rsidR="005F7CDD" w:rsidRPr="00A77AF6">
        <w:rPr>
          <w:rFonts w:cstheme="minorHAnsi"/>
        </w:rPr>
        <w:t>Firstly,</w:t>
      </w:r>
      <w:r w:rsidRPr="00A77AF6">
        <w:rPr>
          <w:rFonts w:cstheme="minorHAnsi"/>
        </w:rPr>
        <w:t xml:space="preserve"> </w:t>
      </w:r>
      <w:r w:rsidR="00797B9B" w:rsidRPr="00A77AF6">
        <w:rPr>
          <w:rFonts w:cstheme="minorHAnsi"/>
        </w:rPr>
        <w:t>because</w:t>
      </w:r>
      <w:r w:rsidRPr="00A77AF6">
        <w:rPr>
          <w:rFonts w:cstheme="minorHAnsi"/>
        </w:rPr>
        <w:t xml:space="preserve"> </w:t>
      </w:r>
      <w:r w:rsidR="000004A5" w:rsidRPr="00A77AF6">
        <w:rPr>
          <w:rFonts w:cstheme="minorHAnsi"/>
        </w:rPr>
        <w:t xml:space="preserve">there is </w:t>
      </w:r>
      <w:r w:rsidR="00F32BE0" w:rsidRPr="00A77AF6">
        <w:rPr>
          <w:rFonts w:cstheme="minorHAnsi"/>
        </w:rPr>
        <w:t xml:space="preserve">little agreement </w:t>
      </w:r>
      <w:r w:rsidR="00C861D3" w:rsidRPr="00A77AF6">
        <w:rPr>
          <w:rFonts w:cstheme="minorHAnsi"/>
        </w:rPr>
        <w:t>about fundamental ethical issues</w:t>
      </w:r>
      <w:r w:rsidR="00797B9B" w:rsidRPr="00A77AF6">
        <w:rPr>
          <w:rFonts w:cstheme="minorHAnsi"/>
        </w:rPr>
        <w:t xml:space="preserve">, </w:t>
      </w:r>
      <w:r w:rsidRPr="00A77AF6">
        <w:rPr>
          <w:rFonts w:cstheme="minorHAnsi"/>
        </w:rPr>
        <w:t>ethical theory is of little use to people who might look to it for practical guidance</w:t>
      </w:r>
      <w:r w:rsidR="00930235" w:rsidRPr="00A77AF6">
        <w:rPr>
          <w:rFonts w:cstheme="minorHAnsi"/>
        </w:rPr>
        <w:t xml:space="preserve"> </w:t>
      </w:r>
      <w:sdt>
        <w:sdtPr>
          <w:rPr>
            <w:rFonts w:cstheme="minorHAnsi"/>
          </w:rPr>
          <w:id w:val="1316306269"/>
          <w:citation/>
        </w:sdtPr>
        <w:sdtEndPr/>
        <w:sdtContent>
          <w:r w:rsidR="00E60068" w:rsidRPr="00A77AF6">
            <w:rPr>
              <w:rFonts w:cstheme="minorHAnsi"/>
            </w:rPr>
            <w:fldChar w:fldCharType="begin"/>
          </w:r>
          <w:r w:rsidR="00E60068" w:rsidRPr="00A77AF6">
            <w:rPr>
              <w:rFonts w:cstheme="minorHAnsi"/>
            </w:rPr>
            <w:instrText xml:space="preserve"> CITATION Mic01 \l 2057 </w:instrText>
          </w:r>
          <w:r w:rsidR="00E60068" w:rsidRPr="00A77AF6">
            <w:rPr>
              <w:rFonts w:cstheme="minorHAnsi"/>
            </w:rPr>
            <w:fldChar w:fldCharType="separate"/>
          </w:r>
          <w:r w:rsidR="008E653F" w:rsidRPr="00A77AF6">
            <w:rPr>
              <w:rFonts w:cstheme="minorHAnsi"/>
            </w:rPr>
            <w:t>(Michalos, 2001)</w:t>
          </w:r>
          <w:r w:rsidR="00E60068" w:rsidRPr="00A77AF6">
            <w:rPr>
              <w:rFonts w:cstheme="minorHAnsi"/>
            </w:rPr>
            <w:fldChar w:fldCharType="end"/>
          </w:r>
        </w:sdtContent>
      </w:sdt>
      <w:r w:rsidRPr="00A77AF6">
        <w:rPr>
          <w:rFonts w:cstheme="minorHAnsi"/>
        </w:rPr>
        <w:t>.  S</w:t>
      </w:r>
      <w:r w:rsidR="00DA5E0C" w:rsidRPr="00A77AF6">
        <w:rPr>
          <w:rFonts w:cstheme="minorHAnsi"/>
        </w:rPr>
        <w:t xml:space="preserve">econdly, </w:t>
      </w:r>
      <w:r w:rsidR="000004A5" w:rsidRPr="00A77AF6">
        <w:rPr>
          <w:rFonts w:cstheme="minorHAnsi"/>
        </w:rPr>
        <w:t>ethical theories are in competition with each other</w:t>
      </w:r>
      <w:r w:rsidR="0041011B" w:rsidRPr="00A77AF6">
        <w:rPr>
          <w:rFonts w:cstheme="minorHAnsi"/>
        </w:rPr>
        <w:t xml:space="preserve"> in an unhelpful and sterile way</w:t>
      </w:r>
      <w:r w:rsidR="00062C37" w:rsidRPr="00A77AF6">
        <w:rPr>
          <w:rFonts w:cstheme="minorHAnsi"/>
        </w:rPr>
        <w:t xml:space="preserve">, so </w:t>
      </w:r>
      <w:r w:rsidR="0041011B" w:rsidRPr="00A77AF6">
        <w:rPr>
          <w:rFonts w:cstheme="minorHAnsi"/>
        </w:rPr>
        <w:t xml:space="preserve">it is </w:t>
      </w:r>
      <w:r w:rsidR="000004A5" w:rsidRPr="00A77AF6">
        <w:rPr>
          <w:rFonts w:cstheme="minorHAnsi"/>
        </w:rPr>
        <w:t>difficult to know which theory to rely on or</w:t>
      </w:r>
      <w:r w:rsidR="00DA5E0C" w:rsidRPr="00A77AF6">
        <w:rPr>
          <w:rFonts w:cstheme="minorHAnsi"/>
        </w:rPr>
        <w:t xml:space="preserve"> even</w:t>
      </w:r>
      <w:r w:rsidR="000004A5" w:rsidRPr="00A77AF6">
        <w:rPr>
          <w:rFonts w:cstheme="minorHAnsi"/>
        </w:rPr>
        <w:t xml:space="preserve"> how to reconcile them (Miles, 2012)</w:t>
      </w:r>
      <w:r w:rsidR="0041011B" w:rsidRPr="00A77AF6">
        <w:rPr>
          <w:rFonts w:cstheme="minorHAnsi"/>
        </w:rPr>
        <w:t>. Consequently, e</w:t>
      </w:r>
      <w:r w:rsidR="000004A5" w:rsidRPr="00A77AF6">
        <w:rPr>
          <w:rFonts w:cstheme="minorHAnsi"/>
        </w:rPr>
        <w:t xml:space="preserve">thical theory </w:t>
      </w:r>
      <w:r w:rsidR="00797B9B" w:rsidRPr="00A77AF6">
        <w:rPr>
          <w:rFonts w:cstheme="minorHAnsi"/>
        </w:rPr>
        <w:t>does not</w:t>
      </w:r>
      <w:r w:rsidR="000004A5" w:rsidRPr="00A77AF6">
        <w:rPr>
          <w:rFonts w:cstheme="minorHAnsi"/>
        </w:rPr>
        <w:t xml:space="preserve"> help people faced with a moral dilemma to decide what to do</w:t>
      </w:r>
      <w:r w:rsidR="00797B9B" w:rsidRPr="00A77AF6">
        <w:rPr>
          <w:rFonts w:cstheme="minorHAnsi"/>
        </w:rPr>
        <w:t xml:space="preserve">, rather ethical theory leave </w:t>
      </w:r>
      <w:r w:rsidR="000004A5" w:rsidRPr="00A77AF6">
        <w:rPr>
          <w:rFonts w:cstheme="minorHAnsi"/>
        </w:rPr>
        <w:t>people to reconcile the</w:t>
      </w:r>
      <w:r w:rsidRPr="00A77AF6">
        <w:rPr>
          <w:rFonts w:cstheme="minorHAnsi"/>
        </w:rPr>
        <w:t xml:space="preserve"> </w:t>
      </w:r>
      <w:r w:rsidR="000004A5" w:rsidRPr="00A77AF6">
        <w:rPr>
          <w:rFonts w:cstheme="minorHAnsi"/>
        </w:rPr>
        <w:t xml:space="preserve">differences </w:t>
      </w:r>
      <w:r w:rsidRPr="00A77AF6">
        <w:rPr>
          <w:rFonts w:cstheme="minorHAnsi"/>
        </w:rPr>
        <w:t xml:space="preserve">inherent in competing models </w:t>
      </w:r>
      <w:r w:rsidR="000004A5" w:rsidRPr="00A77AF6">
        <w:rPr>
          <w:rFonts w:cstheme="minorHAnsi"/>
        </w:rPr>
        <w:t xml:space="preserve">at the same time </w:t>
      </w:r>
      <w:r w:rsidR="00797B9B" w:rsidRPr="00A77AF6">
        <w:rPr>
          <w:rFonts w:cstheme="minorHAnsi"/>
        </w:rPr>
        <w:t xml:space="preserve">as </w:t>
      </w:r>
      <w:r w:rsidR="000004A5" w:rsidRPr="00A77AF6">
        <w:rPr>
          <w:rFonts w:cstheme="minorHAnsi"/>
        </w:rPr>
        <w:t xml:space="preserve">they are making a moral choice.  </w:t>
      </w:r>
    </w:p>
    <w:p w14:paraId="41B9AA0C" w14:textId="68F88703" w:rsidR="00D4214A" w:rsidRPr="00A77AF6" w:rsidRDefault="008B529B" w:rsidP="00225384">
      <w:pPr>
        <w:spacing w:line="360" w:lineRule="auto"/>
        <w:rPr>
          <w:rFonts w:cstheme="minorHAnsi"/>
        </w:rPr>
      </w:pPr>
      <w:r w:rsidRPr="00A77AF6">
        <w:rPr>
          <w:rFonts w:cstheme="minorHAnsi"/>
        </w:rPr>
        <w:t>In conclusion,</w:t>
      </w:r>
      <w:r w:rsidR="00DA5E0C" w:rsidRPr="00A77AF6">
        <w:rPr>
          <w:rFonts w:cstheme="minorHAnsi"/>
        </w:rPr>
        <w:t xml:space="preserve"> the two schools of ethical theory: </w:t>
      </w:r>
      <w:r w:rsidR="00797B9B" w:rsidRPr="00A77AF6">
        <w:rPr>
          <w:rFonts w:cstheme="minorHAnsi"/>
        </w:rPr>
        <w:t>v</w:t>
      </w:r>
      <w:r w:rsidR="00DA5E0C" w:rsidRPr="00A77AF6">
        <w:rPr>
          <w:rFonts w:cstheme="minorHAnsi"/>
        </w:rPr>
        <w:t xml:space="preserve">irtue </w:t>
      </w:r>
      <w:r w:rsidR="00797B9B" w:rsidRPr="00A77AF6">
        <w:rPr>
          <w:rFonts w:cstheme="minorHAnsi"/>
        </w:rPr>
        <w:t>e</w:t>
      </w:r>
      <w:r w:rsidR="00DA5E0C" w:rsidRPr="00A77AF6">
        <w:rPr>
          <w:rFonts w:cstheme="minorHAnsi"/>
        </w:rPr>
        <w:t xml:space="preserve">thics and </w:t>
      </w:r>
      <w:r w:rsidR="00797B9B" w:rsidRPr="00A77AF6">
        <w:rPr>
          <w:rFonts w:cstheme="minorHAnsi"/>
        </w:rPr>
        <w:t>e</w:t>
      </w:r>
      <w:r w:rsidR="00DA5E0C" w:rsidRPr="00A77AF6">
        <w:rPr>
          <w:rFonts w:cstheme="minorHAnsi"/>
        </w:rPr>
        <w:t xml:space="preserve">thics of </w:t>
      </w:r>
      <w:r w:rsidR="00797B9B" w:rsidRPr="00A77AF6">
        <w:rPr>
          <w:rFonts w:cstheme="minorHAnsi"/>
        </w:rPr>
        <w:t>c</w:t>
      </w:r>
      <w:r w:rsidR="00DA5E0C" w:rsidRPr="00A77AF6">
        <w:rPr>
          <w:rFonts w:cstheme="minorHAnsi"/>
        </w:rPr>
        <w:t xml:space="preserve">onduct describe what </w:t>
      </w:r>
      <w:r w:rsidR="00D11705" w:rsidRPr="00A77AF6">
        <w:rPr>
          <w:rFonts w:cstheme="minorHAnsi"/>
        </w:rPr>
        <w:t>morality</w:t>
      </w:r>
      <w:r w:rsidR="00DA5E0C" w:rsidRPr="00A77AF6">
        <w:rPr>
          <w:rFonts w:cstheme="minorHAnsi"/>
        </w:rPr>
        <w:t xml:space="preserve"> is.  Virtue ethics </w:t>
      </w:r>
      <w:r w:rsidR="00D11705" w:rsidRPr="00A77AF6">
        <w:rPr>
          <w:rFonts w:cstheme="minorHAnsi"/>
        </w:rPr>
        <w:t xml:space="preserve">concerns that nature </w:t>
      </w:r>
      <w:r w:rsidR="0079706C" w:rsidRPr="00A77AF6">
        <w:rPr>
          <w:rFonts w:cstheme="minorHAnsi"/>
        </w:rPr>
        <w:t xml:space="preserve">of the </w:t>
      </w:r>
      <w:r w:rsidR="00DA5E0C" w:rsidRPr="00A77AF6">
        <w:rPr>
          <w:rFonts w:cstheme="minorHAnsi"/>
        </w:rPr>
        <w:t>person and the characteristics they embody</w:t>
      </w:r>
      <w:r w:rsidR="0079706C" w:rsidRPr="00A77AF6">
        <w:rPr>
          <w:rFonts w:cstheme="minorHAnsi"/>
        </w:rPr>
        <w:t>,</w:t>
      </w:r>
      <w:r w:rsidR="00DA5E0C" w:rsidRPr="00A77AF6">
        <w:rPr>
          <w:rFonts w:cstheme="minorHAnsi"/>
        </w:rPr>
        <w:t xml:space="preserve"> whilst ethics o</w:t>
      </w:r>
      <w:r w:rsidR="00962F75" w:rsidRPr="00A77AF6">
        <w:rPr>
          <w:rFonts w:cstheme="minorHAnsi"/>
        </w:rPr>
        <w:t>f</w:t>
      </w:r>
      <w:r w:rsidR="00DA5E0C" w:rsidRPr="00A77AF6">
        <w:rPr>
          <w:rFonts w:cstheme="minorHAnsi"/>
        </w:rPr>
        <w:t xml:space="preserve"> conduct is </w:t>
      </w:r>
      <w:r w:rsidR="0079706C" w:rsidRPr="00A77AF6">
        <w:rPr>
          <w:rFonts w:cstheme="minorHAnsi"/>
        </w:rPr>
        <w:t>concern</w:t>
      </w:r>
      <w:r w:rsidR="00225384" w:rsidRPr="00A77AF6">
        <w:rPr>
          <w:rFonts w:cstheme="minorHAnsi"/>
        </w:rPr>
        <w:t>ed</w:t>
      </w:r>
      <w:r w:rsidR="0079706C" w:rsidRPr="00A77AF6">
        <w:rPr>
          <w:rFonts w:cstheme="minorHAnsi"/>
        </w:rPr>
        <w:t xml:space="preserve"> </w:t>
      </w:r>
      <w:r w:rsidR="005D221C" w:rsidRPr="00A77AF6">
        <w:rPr>
          <w:rFonts w:cstheme="minorHAnsi"/>
        </w:rPr>
        <w:t xml:space="preserve">the judgement of </w:t>
      </w:r>
      <w:r w:rsidR="00225384" w:rsidRPr="00A77AF6">
        <w:rPr>
          <w:rFonts w:cstheme="minorHAnsi"/>
        </w:rPr>
        <w:t>right actions</w:t>
      </w:r>
      <w:r w:rsidR="00DA5E0C" w:rsidRPr="00A77AF6">
        <w:rPr>
          <w:rFonts w:cstheme="minorHAnsi"/>
        </w:rPr>
        <w:t>. D</w:t>
      </w:r>
      <w:r w:rsidR="0041011B" w:rsidRPr="00A77AF6">
        <w:rPr>
          <w:rFonts w:cstheme="minorHAnsi"/>
        </w:rPr>
        <w:t xml:space="preserve">espite </w:t>
      </w:r>
      <w:r w:rsidR="00DA5E0C" w:rsidRPr="00A77AF6">
        <w:rPr>
          <w:rFonts w:cstheme="minorHAnsi"/>
        </w:rPr>
        <w:t xml:space="preserve">criticisms of each theory </w:t>
      </w:r>
      <w:r w:rsidR="00962F75" w:rsidRPr="00A77AF6">
        <w:rPr>
          <w:rFonts w:cstheme="minorHAnsi"/>
        </w:rPr>
        <w:t xml:space="preserve">specifically </w:t>
      </w:r>
      <w:r w:rsidR="00DA5E0C" w:rsidRPr="00A77AF6">
        <w:rPr>
          <w:rFonts w:cstheme="minorHAnsi"/>
        </w:rPr>
        <w:t xml:space="preserve">and the criticism of ethical theories </w:t>
      </w:r>
      <w:r w:rsidR="00962F75" w:rsidRPr="00A77AF6">
        <w:rPr>
          <w:rFonts w:cstheme="minorHAnsi"/>
        </w:rPr>
        <w:t xml:space="preserve">in general </w:t>
      </w:r>
      <w:r w:rsidR="00DA5E0C" w:rsidRPr="00A77AF6">
        <w:rPr>
          <w:rFonts w:cstheme="minorHAnsi"/>
        </w:rPr>
        <w:t>as being unhelpful in everyday life, ethi</w:t>
      </w:r>
      <w:r w:rsidR="008E3BE3" w:rsidRPr="00A77AF6">
        <w:rPr>
          <w:rFonts w:cstheme="minorHAnsi"/>
        </w:rPr>
        <w:t>cs of conduc</w:t>
      </w:r>
      <w:r w:rsidRPr="00A77AF6">
        <w:rPr>
          <w:rFonts w:cstheme="minorHAnsi"/>
        </w:rPr>
        <w:t>t</w:t>
      </w:r>
      <w:r w:rsidR="00D4214A" w:rsidRPr="00A77AF6">
        <w:rPr>
          <w:rFonts w:cstheme="minorHAnsi"/>
        </w:rPr>
        <w:t xml:space="preserve"> is very important, and</w:t>
      </w:r>
      <w:r w:rsidRPr="00A77AF6">
        <w:rPr>
          <w:rFonts w:cstheme="minorHAnsi"/>
        </w:rPr>
        <w:t xml:space="preserve"> it remains an enduring prism through which to understand the basis on which people make their decisions </w:t>
      </w:r>
      <w:r w:rsidR="00D4214A" w:rsidRPr="00A77AF6">
        <w:rPr>
          <w:rFonts w:cstheme="minorHAnsi"/>
        </w:rPr>
        <w:t>to act</w:t>
      </w:r>
      <w:r w:rsidR="00962F75" w:rsidRPr="00A77AF6">
        <w:rPr>
          <w:rFonts w:cstheme="minorHAnsi"/>
        </w:rPr>
        <w:t xml:space="preserve"> and as will be shown below, it underpins the way corporations are expected to behave.</w:t>
      </w:r>
      <w:r w:rsidRPr="00A77AF6">
        <w:rPr>
          <w:rFonts w:cstheme="minorHAnsi"/>
        </w:rPr>
        <w:t xml:space="preserve">   </w:t>
      </w:r>
    </w:p>
    <w:p w14:paraId="5F2C113B" w14:textId="4B1A3E63" w:rsidR="00483CFA" w:rsidRPr="00A77AF6" w:rsidRDefault="00483CFA" w:rsidP="00483CFA">
      <w:pPr>
        <w:pStyle w:val="Heading2"/>
        <w:spacing w:after="120"/>
      </w:pPr>
      <w:bookmarkStart w:id="41" w:name="_Toc36275049"/>
      <w:r w:rsidRPr="00A77AF6">
        <w:t xml:space="preserve">Applied </w:t>
      </w:r>
      <w:r w:rsidR="00A765CE" w:rsidRPr="00A77AF6">
        <w:t>e</w:t>
      </w:r>
      <w:r w:rsidRPr="00A77AF6">
        <w:t>thic</w:t>
      </w:r>
      <w:r w:rsidR="007B3B06" w:rsidRPr="00A77AF6">
        <w:t>s</w:t>
      </w:r>
      <w:bookmarkEnd w:id="41"/>
      <w:r w:rsidRPr="00A77AF6">
        <w:t xml:space="preserve"> </w:t>
      </w:r>
    </w:p>
    <w:p w14:paraId="6145A0AD" w14:textId="0729545E" w:rsidR="00E34DEE" w:rsidRPr="00A77AF6" w:rsidRDefault="009E5981" w:rsidP="00C922FD">
      <w:pPr>
        <w:spacing w:after="0" w:line="360" w:lineRule="auto"/>
      </w:pPr>
      <w:r w:rsidRPr="00A77AF6">
        <w:t xml:space="preserve">This section discusses the application of </w:t>
      </w:r>
      <w:r w:rsidR="00D454DF" w:rsidRPr="00A77AF6">
        <w:t>e</w:t>
      </w:r>
      <w:r w:rsidRPr="00A77AF6">
        <w:t xml:space="preserve">thical </w:t>
      </w:r>
      <w:r w:rsidR="00D454DF" w:rsidRPr="00A77AF6">
        <w:t>t</w:t>
      </w:r>
      <w:r w:rsidRPr="00A77AF6">
        <w:t xml:space="preserve">heory to </w:t>
      </w:r>
      <w:r w:rsidR="00D4214A" w:rsidRPr="00A77AF6">
        <w:t>management studies</w:t>
      </w:r>
      <w:r w:rsidR="00F91349" w:rsidRPr="00A77AF6">
        <w:t xml:space="preserve"> and discusses ethics in the NHS and the construction industry. </w:t>
      </w:r>
      <w:r w:rsidR="00D454DF" w:rsidRPr="00A77AF6">
        <w:t xml:space="preserve"> </w:t>
      </w:r>
      <w:r w:rsidR="00F91349" w:rsidRPr="00A77AF6">
        <w:t xml:space="preserve">Applied ethics </w:t>
      </w:r>
      <w:r w:rsidR="00D454DF" w:rsidRPr="00A77AF6">
        <w:t>is a sub-set of ethical theory</w:t>
      </w:r>
      <w:r w:rsidR="00C20F09" w:rsidRPr="00A77AF6">
        <w:t xml:space="preserve"> which is applied </w:t>
      </w:r>
      <w:r w:rsidR="00CF3C11" w:rsidRPr="00A77AF6">
        <w:t>to</w:t>
      </w:r>
      <w:r w:rsidR="002D7B72" w:rsidRPr="00A77AF6">
        <w:t xml:space="preserve"> business and management studies</w:t>
      </w:r>
      <w:r w:rsidR="00D454DF" w:rsidRPr="00A77AF6">
        <w:t xml:space="preserve">. </w:t>
      </w:r>
      <w:r w:rsidR="003B6C0E" w:rsidRPr="00A77AF6">
        <w:t xml:space="preserve"> Applied ethics accepts that formalistic conduct is more ethical than utilitarian conduct </w:t>
      </w:r>
      <w:sdt>
        <w:sdtPr>
          <w:id w:val="1442031768"/>
          <w:citation/>
        </w:sdtPr>
        <w:sdtEndPr/>
        <w:sdtContent>
          <w:r w:rsidR="003B6C0E" w:rsidRPr="00A77AF6">
            <w:fldChar w:fldCharType="begin"/>
          </w:r>
          <w:r w:rsidR="003B6C0E" w:rsidRPr="00A77AF6">
            <w:instrText xml:space="preserve"> CITATION Fri \l 2057 </w:instrText>
          </w:r>
          <w:r w:rsidR="003B6C0E" w:rsidRPr="00A77AF6">
            <w:fldChar w:fldCharType="separate"/>
          </w:r>
          <w:r w:rsidR="008E653F" w:rsidRPr="00A77AF6">
            <w:t>(Fritzsche &amp; Becker, 1984)</w:t>
          </w:r>
          <w:r w:rsidR="003B6C0E" w:rsidRPr="00A77AF6">
            <w:fldChar w:fldCharType="end"/>
          </w:r>
        </w:sdtContent>
      </w:sdt>
      <w:r w:rsidR="003B6C0E" w:rsidRPr="00A77AF6">
        <w:t>, so it resolves the criticism levelled above t</w:t>
      </w:r>
      <w:r w:rsidR="00962F75" w:rsidRPr="00A77AF6">
        <w:t>hat ethic</w:t>
      </w:r>
      <w:r w:rsidR="003B6C0E" w:rsidRPr="00A77AF6">
        <w:t>al theory i</w:t>
      </w:r>
      <w:r w:rsidR="00962F75" w:rsidRPr="00A77AF6">
        <w:t xml:space="preserve">s </w:t>
      </w:r>
      <w:r w:rsidR="003B6C0E" w:rsidRPr="00A77AF6">
        <w:t xml:space="preserve">helpful in </w:t>
      </w:r>
      <w:r w:rsidR="00962F75" w:rsidRPr="00A77AF6">
        <w:t>decision making</w:t>
      </w:r>
      <w:r w:rsidR="003B6C0E" w:rsidRPr="00A77AF6">
        <w:t xml:space="preserve">. </w:t>
      </w:r>
      <w:r w:rsidR="00C922FD" w:rsidRPr="00A77AF6">
        <w:t>Many of the studies in applied ethics were carried out in the 1980s and 1990s and this study revisits this body of work</w:t>
      </w:r>
      <w:r w:rsidR="00E34DEE" w:rsidRPr="00A77AF6">
        <w:t>.  The rules of ethical behaviour are well-known</w:t>
      </w:r>
      <w:r w:rsidR="00925512" w:rsidRPr="00A77AF6">
        <w:t xml:space="preserve">, and </w:t>
      </w:r>
      <w:r w:rsidR="00C368FB" w:rsidRPr="00A77AF6">
        <w:t>applied ethical theory tries to understand what influences people to act ethically</w:t>
      </w:r>
      <w:r w:rsidR="0012566D" w:rsidRPr="00A77AF6">
        <w:t xml:space="preserve">, for example age, gender or organisational culture. </w:t>
      </w:r>
    </w:p>
    <w:p w14:paraId="530F563F" w14:textId="22077385" w:rsidR="003930D9" w:rsidRPr="00A77AF6" w:rsidRDefault="000C6CCC" w:rsidP="0012566D">
      <w:pPr>
        <w:spacing w:after="0" w:line="360" w:lineRule="auto"/>
      </w:pPr>
      <w:r w:rsidRPr="00A77AF6">
        <w:t xml:space="preserve"> </w:t>
      </w:r>
    </w:p>
    <w:p w14:paraId="5B1FB95C" w14:textId="1A613ED0" w:rsidR="00976799" w:rsidRPr="00A77AF6" w:rsidRDefault="006A3B3E" w:rsidP="007000FC">
      <w:pPr>
        <w:pStyle w:val="Heading3"/>
        <w:spacing w:before="0" w:after="120"/>
      </w:pPr>
      <w:bookmarkStart w:id="42" w:name="_Toc36275050"/>
      <w:r w:rsidRPr="00A77AF6">
        <w:t xml:space="preserve">Applied ethics </w:t>
      </w:r>
      <w:r w:rsidR="00976799" w:rsidRPr="00A77AF6">
        <w:t>in business</w:t>
      </w:r>
      <w:bookmarkEnd w:id="42"/>
    </w:p>
    <w:p w14:paraId="70AEAEF9" w14:textId="6B3E36B9" w:rsidR="003B6C0E" w:rsidRPr="00A77AF6" w:rsidRDefault="00E4396D" w:rsidP="00E4396D">
      <w:pPr>
        <w:spacing w:after="0" w:line="360" w:lineRule="auto"/>
      </w:pPr>
      <w:r w:rsidRPr="00A77AF6">
        <w:t>Ethical behaviour is based on following rules</w:t>
      </w:r>
      <w:r w:rsidR="00904C52" w:rsidRPr="00A77AF6">
        <w:t>,</w:t>
      </w:r>
      <w:r w:rsidRPr="00A77AF6">
        <w:t xml:space="preserve"> and codes of practice which result in openness and transparency and are the marks of acceptable behaviour</w:t>
      </w:r>
      <w:r w:rsidR="00D463F1" w:rsidRPr="00A77AF6">
        <w:t>. T</w:t>
      </w:r>
      <w:r w:rsidRPr="00A77AF6">
        <w:t xml:space="preserve">his chapter reviews the research </w:t>
      </w:r>
      <w:r w:rsidR="00D463F1" w:rsidRPr="00A77AF6">
        <w:t xml:space="preserve">which </w:t>
      </w:r>
      <w:r w:rsidR="00D463F1" w:rsidRPr="00A77AF6">
        <w:lastRenderedPageBreak/>
        <w:t xml:space="preserve">has </w:t>
      </w:r>
      <w:r w:rsidRPr="00A77AF6">
        <w:t>explor</w:t>
      </w:r>
      <w:r w:rsidR="00583F36" w:rsidRPr="00A77AF6">
        <w:t>ed</w:t>
      </w:r>
      <w:r w:rsidRPr="00A77AF6">
        <w:t xml:space="preserve"> who is more likely to act ethically (obey the rules), how ethical predisposition can be measured, the criticisms of applied ethical theory and the ethical values of the NHS, project management and construction industries.  </w:t>
      </w:r>
      <w:r w:rsidR="00B1230E" w:rsidRPr="00A77AF6">
        <w:t>B</w:t>
      </w:r>
      <w:r w:rsidR="003B6C0E" w:rsidRPr="00A77AF6">
        <w:t>usiness ethics is</w:t>
      </w:r>
      <w:r w:rsidR="00B1230E" w:rsidRPr="00A77AF6">
        <w:t xml:space="preserve"> the</w:t>
      </w:r>
      <w:r w:rsidR="003B6C0E" w:rsidRPr="00A77AF6">
        <w:t xml:space="preserve"> </w:t>
      </w:r>
    </w:p>
    <w:p w14:paraId="7156FB7A" w14:textId="0160C92F" w:rsidR="003B6C0E" w:rsidRPr="00A77AF6" w:rsidRDefault="003B6C0E" w:rsidP="003B6C0E">
      <w:pPr>
        <w:spacing w:after="240" w:line="240" w:lineRule="auto"/>
        <w:ind w:left="720"/>
        <w:rPr>
          <w:rFonts w:cstheme="minorHAnsi"/>
          <w:shd w:val="clear" w:color="auto" w:fill="FFFFFF"/>
        </w:rPr>
      </w:pPr>
      <w:r w:rsidRPr="00A77AF6">
        <w:rPr>
          <w:rFonts w:cstheme="minorHAnsi"/>
          <w:i/>
        </w:rPr>
        <w:t>‘</w:t>
      </w:r>
      <w:r w:rsidRPr="00A77AF6">
        <w:rPr>
          <w:rFonts w:cstheme="minorHAnsi"/>
          <w:i/>
          <w:shd w:val="clear" w:color="auto" w:fill="FFFFFF"/>
        </w:rPr>
        <w:t>study of moral standards and how these apply to the social systems and organizations through which modern societies produce and distribute goods and services, and to the activities of the people who work within these organizations. Business ethics, in other words, is a form of applied ethics.’</w:t>
      </w:r>
      <w:r w:rsidRPr="00A77AF6">
        <w:rPr>
          <w:rFonts w:cstheme="minorHAnsi"/>
          <w:shd w:val="clear" w:color="auto" w:fill="FFFFFF"/>
        </w:rPr>
        <w:t xml:space="preserve"> </w:t>
      </w:r>
      <w:sdt>
        <w:sdtPr>
          <w:rPr>
            <w:rFonts w:cstheme="minorHAnsi"/>
            <w:shd w:val="clear" w:color="auto" w:fill="FFFFFF"/>
          </w:rPr>
          <w:id w:val="1827465636"/>
          <w:citation/>
        </w:sdtPr>
        <w:sdtEndPr/>
        <w:sdtContent>
          <w:r w:rsidRPr="00A77AF6">
            <w:rPr>
              <w:rFonts w:cstheme="minorHAnsi"/>
              <w:shd w:val="clear" w:color="auto" w:fill="FFFFFF"/>
            </w:rPr>
            <w:fldChar w:fldCharType="begin"/>
          </w:r>
          <w:r w:rsidRPr="00A77AF6">
            <w:rPr>
              <w:rFonts w:cstheme="minorHAnsi"/>
              <w:shd w:val="clear" w:color="auto" w:fill="FFFFFF"/>
            </w:rPr>
            <w:instrText xml:space="preserve">CITATION Vel13 \p 15 \l 2057 </w:instrText>
          </w:r>
          <w:r w:rsidRPr="00A77AF6">
            <w:rPr>
              <w:rFonts w:cstheme="minorHAnsi"/>
              <w:shd w:val="clear" w:color="auto" w:fill="FFFFFF"/>
            </w:rPr>
            <w:fldChar w:fldCharType="separate"/>
          </w:r>
          <w:r w:rsidR="008E653F" w:rsidRPr="00A77AF6">
            <w:rPr>
              <w:rFonts w:cstheme="minorHAnsi"/>
              <w:shd w:val="clear" w:color="auto" w:fill="FFFFFF"/>
            </w:rPr>
            <w:t>(Velasquez, 2013, p. 15)</w:t>
          </w:r>
          <w:r w:rsidRPr="00A77AF6">
            <w:rPr>
              <w:rFonts w:cstheme="minorHAnsi"/>
              <w:shd w:val="clear" w:color="auto" w:fill="FFFFFF"/>
            </w:rPr>
            <w:fldChar w:fldCharType="end"/>
          </w:r>
        </w:sdtContent>
      </w:sdt>
    </w:p>
    <w:p w14:paraId="53E5BD01" w14:textId="489F3E94" w:rsidR="00B1230E" w:rsidRPr="00A77AF6" w:rsidRDefault="00B1230E" w:rsidP="00B1230E">
      <w:pPr>
        <w:spacing w:after="0" w:line="360" w:lineRule="auto"/>
      </w:pPr>
      <w:r w:rsidRPr="00A77AF6">
        <w:t>The impact of weak business ethics is discussed later</w:t>
      </w:r>
      <w:r w:rsidR="00434810" w:rsidRPr="00A77AF6">
        <w:t>,</w:t>
      </w:r>
      <w:r w:rsidRPr="00A77AF6">
        <w:t xml:space="preserve"> but its existence has been called into question</w:t>
      </w:r>
    </w:p>
    <w:p w14:paraId="78F4F658" w14:textId="6CE468B2" w:rsidR="00D4214A" w:rsidRPr="00A77AF6" w:rsidRDefault="00E473E2" w:rsidP="00B1230E">
      <w:pPr>
        <w:spacing w:line="240" w:lineRule="auto"/>
        <w:ind w:left="720"/>
        <w:rPr>
          <w:i/>
        </w:rPr>
      </w:pPr>
      <w:r w:rsidRPr="00A77AF6">
        <w:rPr>
          <w:i/>
        </w:rPr>
        <w:t>‘Some people joke that there is no such thing as “business ethics”. The</w:t>
      </w:r>
      <w:r w:rsidR="00D4214A" w:rsidRPr="00A77AF6">
        <w:rPr>
          <w:i/>
        </w:rPr>
        <w:t>y</w:t>
      </w:r>
      <w:r w:rsidRPr="00A77AF6">
        <w:rPr>
          <w:i/>
        </w:rPr>
        <w:t xml:space="preserve"> call it an oxymoron – a concept that combines opposite or contradictory ideas</w:t>
      </w:r>
      <w:r w:rsidR="009562E7" w:rsidRPr="00A77AF6">
        <w:rPr>
          <w:i/>
        </w:rPr>
        <w:t xml:space="preserve">’ </w:t>
      </w:r>
      <w:sdt>
        <w:sdtPr>
          <w:rPr>
            <w:i/>
          </w:rPr>
          <w:id w:val="-81925861"/>
          <w:citation/>
        </w:sdtPr>
        <w:sdtEndPr/>
        <w:sdtContent>
          <w:r w:rsidR="00B1230E" w:rsidRPr="00A77AF6">
            <w:rPr>
              <w:i/>
            </w:rPr>
            <w:fldChar w:fldCharType="begin"/>
          </w:r>
          <w:r w:rsidR="00B1230E" w:rsidRPr="00A77AF6">
            <w:rPr>
              <w:i/>
            </w:rPr>
            <w:instrText xml:space="preserve">CITATION Whe98 \p 43 \l 2057 </w:instrText>
          </w:r>
          <w:r w:rsidR="00B1230E" w:rsidRPr="00A77AF6">
            <w:rPr>
              <w:i/>
            </w:rPr>
            <w:fldChar w:fldCharType="separate"/>
          </w:r>
          <w:r w:rsidR="008E653F" w:rsidRPr="00A77AF6">
            <w:t>(Wheelen &amp; Hunger, 1998, p. 43)</w:t>
          </w:r>
          <w:r w:rsidR="00B1230E" w:rsidRPr="00A77AF6">
            <w:rPr>
              <w:i/>
            </w:rPr>
            <w:fldChar w:fldCharType="end"/>
          </w:r>
        </w:sdtContent>
      </w:sdt>
    </w:p>
    <w:p w14:paraId="63A121C5" w14:textId="37368AB1" w:rsidR="00FC5163" w:rsidRPr="00A77AF6" w:rsidRDefault="009562E7" w:rsidP="008000B2">
      <w:pPr>
        <w:spacing w:after="0" w:line="360" w:lineRule="auto"/>
      </w:pPr>
      <w:r w:rsidRPr="00A77AF6">
        <w:t xml:space="preserve"> A 1996 survey carried out by the Ethics Resource Centre found that 48% of employees admitted to having been engaged in at least one unethical or illegal action in the previous year </w:t>
      </w:r>
      <w:sdt>
        <w:sdtPr>
          <w:id w:val="1260797920"/>
          <w:citation/>
        </w:sdtPr>
        <w:sdtEndPr/>
        <w:sdtContent>
          <w:r w:rsidRPr="00A77AF6">
            <w:fldChar w:fldCharType="begin"/>
          </w:r>
          <w:r w:rsidR="003B6C0E" w:rsidRPr="00A77AF6">
            <w:instrText xml:space="preserve">CITATION Whe98 \l 2057 </w:instrText>
          </w:r>
          <w:r w:rsidRPr="00A77AF6">
            <w:fldChar w:fldCharType="separate"/>
          </w:r>
          <w:r w:rsidR="008E653F" w:rsidRPr="00A77AF6">
            <w:t>(Wheelen &amp; Hunger, 1998)</w:t>
          </w:r>
          <w:r w:rsidRPr="00A77AF6">
            <w:fldChar w:fldCharType="end"/>
          </w:r>
        </w:sdtContent>
      </w:sdt>
      <w:r w:rsidRPr="00A77AF6">
        <w:t>.</w:t>
      </w:r>
      <w:r w:rsidR="00AE21CF" w:rsidRPr="00A77AF6">
        <w:t xml:space="preserve"> </w:t>
      </w:r>
      <w:r w:rsidRPr="00A77AF6">
        <w:t xml:space="preserve"> </w:t>
      </w:r>
      <w:r w:rsidR="00AE21CF" w:rsidRPr="00A77AF6">
        <w:t xml:space="preserve">In 2011 the Ethics Resource Centre found that </w:t>
      </w:r>
      <w:r w:rsidRPr="00A77AF6">
        <w:t xml:space="preserve"> </w:t>
      </w:r>
      <w:r w:rsidR="00AE21CF" w:rsidRPr="00A77AF6">
        <w:t>‘the percentage of employees who witnessed misconduct at work fell to a new low of 45 per cent’</w:t>
      </w:r>
      <w:sdt>
        <w:sdtPr>
          <w:id w:val="-884861361"/>
          <w:citation/>
        </w:sdtPr>
        <w:sdtEndPr/>
        <w:sdtContent>
          <w:r w:rsidR="00AE21CF" w:rsidRPr="00A77AF6">
            <w:fldChar w:fldCharType="begin"/>
          </w:r>
          <w:r w:rsidR="00AE21CF" w:rsidRPr="00A77AF6">
            <w:instrText xml:space="preserve">CITATION Geo12 \p 12 \l 2057 </w:instrText>
          </w:r>
          <w:r w:rsidR="00AE21CF" w:rsidRPr="00A77AF6">
            <w:fldChar w:fldCharType="separate"/>
          </w:r>
          <w:r w:rsidR="008E653F" w:rsidRPr="00A77AF6">
            <w:t xml:space="preserve"> (Georgetown University, 2012, p. 12)</w:t>
          </w:r>
          <w:r w:rsidR="00AE21CF" w:rsidRPr="00A77AF6">
            <w:fldChar w:fldCharType="end"/>
          </w:r>
        </w:sdtContent>
      </w:sdt>
      <w:r w:rsidR="00AE21CF" w:rsidRPr="00A77AF6">
        <w:t xml:space="preserve">.  This was </w:t>
      </w:r>
      <w:r w:rsidR="00D4214A" w:rsidRPr="00A77AF6">
        <w:t xml:space="preserve">relatively </w:t>
      </w:r>
      <w:r w:rsidR="00AE21CF" w:rsidRPr="00A77AF6">
        <w:t xml:space="preserve">good news as the record was 55% in 2007.  </w:t>
      </w:r>
      <w:r w:rsidR="008000B2" w:rsidRPr="00A77AF6">
        <w:t xml:space="preserve">The </w:t>
      </w:r>
      <w:r w:rsidR="00033471" w:rsidRPr="00A77AF6">
        <w:t>National Business Ethics Survey (NBES) noted that crucial aspects of a strong ethical culture are</w:t>
      </w:r>
    </w:p>
    <w:p w14:paraId="15F5BFDB" w14:textId="2BF6B4F6" w:rsidR="00FC5163" w:rsidRPr="00A77AF6" w:rsidRDefault="00033471" w:rsidP="00FC5163">
      <w:pPr>
        <w:spacing w:line="240" w:lineRule="auto"/>
        <w:ind w:left="720"/>
      </w:pPr>
      <w:r w:rsidRPr="00A77AF6">
        <w:rPr>
          <w:i/>
          <w:iCs/>
        </w:rPr>
        <w:t>‘management’s trustworthiness, whether managers at all levels talk about ethics and model appropriate behaviour, the extent to which employees value and support ethical conduct, accountability, and transparency’</w:t>
      </w:r>
      <w:r w:rsidRPr="00A77AF6">
        <w:t xml:space="preserve"> </w:t>
      </w:r>
      <w:sdt>
        <w:sdtPr>
          <w:id w:val="2125039491"/>
          <w:citation/>
        </w:sdtPr>
        <w:sdtEndPr/>
        <w:sdtContent>
          <w:r w:rsidRPr="00A77AF6">
            <w:fldChar w:fldCharType="begin"/>
          </w:r>
          <w:r w:rsidRPr="00A77AF6">
            <w:instrText xml:space="preserve">CITATION Geo12 \p 19 \l 2057 </w:instrText>
          </w:r>
          <w:r w:rsidRPr="00A77AF6">
            <w:fldChar w:fldCharType="separate"/>
          </w:r>
          <w:r w:rsidR="008E653F" w:rsidRPr="00A77AF6">
            <w:t>(Georgetown University, 2012, p. 19)</w:t>
          </w:r>
          <w:r w:rsidRPr="00A77AF6">
            <w:fldChar w:fldCharType="end"/>
          </w:r>
        </w:sdtContent>
      </w:sdt>
      <w:r w:rsidRPr="00A77AF6">
        <w:t xml:space="preserve">. </w:t>
      </w:r>
    </w:p>
    <w:p w14:paraId="2FBC1DD6" w14:textId="665A9D6C" w:rsidR="00E473E2" w:rsidRPr="00A77AF6" w:rsidRDefault="00E473E2" w:rsidP="008000B2">
      <w:pPr>
        <w:spacing w:after="0" w:line="360" w:lineRule="auto"/>
      </w:pPr>
      <w:r w:rsidRPr="00A77AF6">
        <w:t xml:space="preserve">Reasons for unethical behaviour include the argument that different countries </w:t>
      </w:r>
      <w:r w:rsidR="00063BF2" w:rsidRPr="00A77AF6">
        <w:t>or even different industries within a country</w:t>
      </w:r>
      <w:r w:rsidR="00B83307" w:rsidRPr="00A77AF6">
        <w:t>,</w:t>
      </w:r>
      <w:r w:rsidR="00063BF2" w:rsidRPr="00A77AF6">
        <w:t xml:space="preserve"> </w:t>
      </w:r>
      <w:r w:rsidRPr="00A77AF6">
        <w:t>have different ethical standards</w:t>
      </w:r>
      <w:r w:rsidR="00B83307" w:rsidRPr="00A77AF6">
        <w:t>. F</w:t>
      </w:r>
      <w:r w:rsidRPr="00A77AF6">
        <w:t xml:space="preserve">or </w:t>
      </w:r>
      <w:r w:rsidR="00261C14" w:rsidRPr="00A77AF6">
        <w:t>example,</w:t>
      </w:r>
      <w:r w:rsidRPr="00A77AF6">
        <w:t xml:space="preserve"> views on bribery may differ</w:t>
      </w:r>
      <w:r w:rsidR="00B83307" w:rsidRPr="00A77AF6">
        <w:t xml:space="preserve"> where o</w:t>
      </w:r>
      <w:r w:rsidR="00063BF2" w:rsidRPr="00A77AF6">
        <w:t>n the one hand a gift may be seen as a way of doing business, whilst on the other it may be seen as a bribe</w:t>
      </w:r>
      <w:r w:rsidR="00B83307" w:rsidRPr="00A77AF6">
        <w:t xml:space="preserve"> </w:t>
      </w:r>
      <w:sdt>
        <w:sdtPr>
          <w:id w:val="1974789843"/>
          <w:citation/>
        </w:sdtPr>
        <w:sdtEndPr/>
        <w:sdtContent>
          <w:r w:rsidR="00261C14" w:rsidRPr="00A77AF6">
            <w:fldChar w:fldCharType="begin"/>
          </w:r>
          <w:r w:rsidR="00261C14" w:rsidRPr="00A77AF6">
            <w:instrText xml:space="preserve">CITATION Whe98 \l 2057 </w:instrText>
          </w:r>
          <w:r w:rsidR="00261C14" w:rsidRPr="00A77AF6">
            <w:fldChar w:fldCharType="separate"/>
          </w:r>
          <w:r w:rsidR="008E653F" w:rsidRPr="00A77AF6">
            <w:t>(Wheelen &amp; Hunger, 1998)</w:t>
          </w:r>
          <w:r w:rsidR="00261C14" w:rsidRPr="00A77AF6">
            <w:fldChar w:fldCharType="end"/>
          </w:r>
        </w:sdtContent>
      </w:sdt>
      <w:r w:rsidR="00261C14" w:rsidRPr="00A77AF6">
        <w:t xml:space="preserve">. </w:t>
      </w:r>
      <w:r w:rsidR="00B83307" w:rsidRPr="00A77AF6">
        <w:t xml:space="preserve">To guard against </w:t>
      </w:r>
      <w:r w:rsidR="00B1230E" w:rsidRPr="00A77AF6">
        <w:t xml:space="preserve">differing </w:t>
      </w:r>
      <w:r w:rsidR="00261C14" w:rsidRPr="00A77AF6">
        <w:t>ethical standards organisations</w:t>
      </w:r>
      <w:r w:rsidR="00B1230E" w:rsidRPr="00A77AF6">
        <w:t xml:space="preserve">, such as the OECD, </w:t>
      </w:r>
      <w:r w:rsidR="00261C14" w:rsidRPr="00A77AF6">
        <w:t>have developed</w:t>
      </w:r>
      <w:r w:rsidR="00B1230E" w:rsidRPr="00A77AF6">
        <w:t xml:space="preserve"> guidance w</w:t>
      </w:r>
      <w:r w:rsidR="00261C14" w:rsidRPr="00A77AF6">
        <w:t>hich spell</w:t>
      </w:r>
      <w:r w:rsidR="002C6638" w:rsidRPr="00A77AF6">
        <w:t>s</w:t>
      </w:r>
      <w:r w:rsidR="00261C14" w:rsidRPr="00A77AF6">
        <w:t xml:space="preserve"> out expected behaviour.  </w:t>
      </w:r>
      <w:r w:rsidR="00B1230E" w:rsidRPr="00A77AF6">
        <w:t>Such codes</w:t>
      </w:r>
      <w:r w:rsidR="00261C14" w:rsidRPr="00A77AF6">
        <w:t xml:space="preserve"> are an attempt to influence behaviour and if companies do not manage this themselves, governments will act</w:t>
      </w:r>
      <w:r w:rsidR="00EB7409" w:rsidRPr="00A77AF6">
        <w:t xml:space="preserve"> from the ‘growing belief that organizations are social actors responsible for the ethical or unethical behaviors of their employees.’</w:t>
      </w:r>
      <w:sdt>
        <w:sdtPr>
          <w:id w:val="632060599"/>
          <w:citation/>
        </w:sdtPr>
        <w:sdtEndPr/>
        <w:sdtContent>
          <w:r w:rsidR="00EB7409" w:rsidRPr="00A77AF6">
            <w:fldChar w:fldCharType="begin"/>
          </w:r>
          <w:r w:rsidR="00EB7409" w:rsidRPr="00A77AF6">
            <w:instrText xml:space="preserve">CITATION Bar88 \p 101 \l 2057 </w:instrText>
          </w:r>
          <w:r w:rsidR="00EB7409" w:rsidRPr="00A77AF6">
            <w:fldChar w:fldCharType="separate"/>
          </w:r>
          <w:r w:rsidR="008E653F" w:rsidRPr="00A77AF6">
            <w:t xml:space="preserve"> (Victor &amp; Cullen, 1988, p. 101)</w:t>
          </w:r>
          <w:r w:rsidR="00EB7409" w:rsidRPr="00A77AF6">
            <w:fldChar w:fldCharType="end"/>
          </w:r>
        </w:sdtContent>
      </w:sdt>
      <w:r w:rsidR="00EB7409" w:rsidRPr="00A77AF6">
        <w:t xml:space="preserve">.  </w:t>
      </w:r>
    </w:p>
    <w:p w14:paraId="484E68D8" w14:textId="028FBB28" w:rsidR="00261C14" w:rsidRPr="00A77AF6" w:rsidRDefault="00261C14" w:rsidP="00D4214A">
      <w:pPr>
        <w:spacing w:line="240" w:lineRule="auto"/>
        <w:ind w:left="720"/>
      </w:pPr>
      <w:r w:rsidRPr="00A77AF6">
        <w:rPr>
          <w:i/>
        </w:rPr>
        <w:t xml:space="preserve">‘If </w:t>
      </w:r>
      <w:r w:rsidR="00434810" w:rsidRPr="00A77AF6">
        <w:rPr>
          <w:i/>
        </w:rPr>
        <w:t>businesspeople</w:t>
      </w:r>
      <w:r w:rsidRPr="00A77AF6">
        <w:rPr>
          <w:i/>
        </w:rPr>
        <w:t xml:space="preserve"> do not act ethically, government will be forced to pass laws regulating their actions – and usually increasing their costs.  For self-interest, if for no other reason, managers should be more ethical in their decision making. One way to do that is by encouraging codes of ethics.  Another is by providing guidelines for ethical behavior’</w:t>
      </w:r>
      <w:r w:rsidRPr="00A77AF6">
        <w:t xml:space="preserve"> </w:t>
      </w:r>
      <w:sdt>
        <w:sdtPr>
          <w:id w:val="-1776710061"/>
          <w:citation/>
        </w:sdtPr>
        <w:sdtEndPr/>
        <w:sdtContent>
          <w:r w:rsidRPr="00A77AF6">
            <w:fldChar w:fldCharType="begin"/>
          </w:r>
          <w:r w:rsidRPr="00A77AF6">
            <w:instrText xml:space="preserve">CITATION Whe98 \p 45 \l 2057 </w:instrText>
          </w:r>
          <w:r w:rsidRPr="00A77AF6">
            <w:fldChar w:fldCharType="separate"/>
          </w:r>
          <w:r w:rsidR="008E653F" w:rsidRPr="00A77AF6">
            <w:t>(Wheelen &amp; Hunger, 1998, p. 45)</w:t>
          </w:r>
          <w:r w:rsidRPr="00A77AF6">
            <w:fldChar w:fldCharType="end"/>
          </w:r>
        </w:sdtContent>
      </w:sdt>
      <w:r w:rsidRPr="00A77AF6">
        <w:t xml:space="preserve">.  </w:t>
      </w:r>
    </w:p>
    <w:p w14:paraId="015C3066" w14:textId="33B7461F" w:rsidR="00E4396D" w:rsidRPr="00A77AF6" w:rsidRDefault="00261C14" w:rsidP="0023000E">
      <w:pPr>
        <w:spacing w:line="360" w:lineRule="auto"/>
      </w:pPr>
      <w:r w:rsidRPr="00A77AF6">
        <w:t>Code</w:t>
      </w:r>
      <w:r w:rsidR="00931BDD" w:rsidRPr="00A77AF6">
        <w:t>s</w:t>
      </w:r>
      <w:r w:rsidRPr="00A77AF6">
        <w:t xml:space="preserve"> of ethics are formalist</w:t>
      </w:r>
      <w:r w:rsidR="006747E1" w:rsidRPr="00A77AF6">
        <w:t xml:space="preserve"> in nature, setting out rules that should be followed as they ‘specify how an organization expects its employees to behave while on the job’ </w:t>
      </w:r>
      <w:sdt>
        <w:sdtPr>
          <w:id w:val="1161663505"/>
          <w:citation/>
        </w:sdtPr>
        <w:sdtEndPr/>
        <w:sdtContent>
          <w:r w:rsidR="006747E1" w:rsidRPr="00A77AF6">
            <w:fldChar w:fldCharType="begin"/>
          </w:r>
          <w:r w:rsidR="006747E1" w:rsidRPr="00A77AF6">
            <w:instrText xml:space="preserve">CITATION Whe98 \p 45 \l 2057 </w:instrText>
          </w:r>
          <w:r w:rsidR="006747E1" w:rsidRPr="00A77AF6">
            <w:fldChar w:fldCharType="separate"/>
          </w:r>
          <w:r w:rsidR="008E653F" w:rsidRPr="00A77AF6">
            <w:t xml:space="preserve">(Wheelen &amp; Hunger, 1998, </w:t>
          </w:r>
          <w:r w:rsidR="008E653F" w:rsidRPr="00A77AF6">
            <w:lastRenderedPageBreak/>
            <w:t>p. 45)</w:t>
          </w:r>
          <w:r w:rsidR="006747E1" w:rsidRPr="00A77AF6">
            <w:fldChar w:fldCharType="end"/>
          </w:r>
        </w:sdtContent>
      </w:sdt>
      <w:r w:rsidR="006747E1" w:rsidRPr="00A77AF6">
        <w:t xml:space="preserve">.  The failure of some to meet </w:t>
      </w:r>
      <w:r w:rsidR="00E4396D" w:rsidRPr="00A77AF6">
        <w:t>expected</w:t>
      </w:r>
      <w:r w:rsidR="006747E1" w:rsidRPr="00A77AF6">
        <w:t xml:space="preserve"> standards of </w:t>
      </w:r>
      <w:r w:rsidR="0027244A" w:rsidRPr="00A77AF6">
        <w:t>has led to s</w:t>
      </w:r>
      <w:r w:rsidR="006747E1" w:rsidRPr="00A77AF6">
        <w:t xml:space="preserve">ome </w:t>
      </w:r>
      <w:r w:rsidR="00D4214A" w:rsidRPr="00A77AF6">
        <w:t>high-profile</w:t>
      </w:r>
      <w:r w:rsidR="006747E1" w:rsidRPr="00A77AF6">
        <w:t xml:space="preserve"> </w:t>
      </w:r>
      <w:r w:rsidR="0027244A" w:rsidRPr="00A77AF6">
        <w:t xml:space="preserve">corporate </w:t>
      </w:r>
      <w:r w:rsidR="006747E1" w:rsidRPr="00A77AF6">
        <w:t>failures</w:t>
      </w:r>
      <w:r w:rsidR="0027244A" w:rsidRPr="00A77AF6">
        <w:t>, these</w:t>
      </w:r>
      <w:r w:rsidR="006747E1" w:rsidRPr="00A77AF6">
        <w:t xml:space="preserve"> are discussed in the chapter on corporate governance</w:t>
      </w:r>
      <w:r w:rsidR="00D4214A" w:rsidRPr="00A77AF6">
        <w:t xml:space="preserve">. </w:t>
      </w:r>
    </w:p>
    <w:p w14:paraId="549F91D1" w14:textId="28C748E5" w:rsidR="00976799" w:rsidRPr="00A77AF6" w:rsidRDefault="000D3E2A" w:rsidP="00F960F3">
      <w:pPr>
        <w:spacing w:line="360" w:lineRule="auto"/>
      </w:pPr>
      <w:r w:rsidRPr="00A77AF6">
        <w:t>The rules of</w:t>
      </w:r>
      <w:r w:rsidR="00DD4883" w:rsidRPr="00A77AF6">
        <w:t xml:space="preserve"> good corporate behaviour are well known</w:t>
      </w:r>
      <w:r w:rsidR="00962E52" w:rsidRPr="00A77AF6">
        <w:t xml:space="preserve"> but the rules continue to be broken.  </w:t>
      </w:r>
      <w:r w:rsidR="002B61B6" w:rsidRPr="00A77AF6">
        <w:t xml:space="preserve">The research on ethical predisposition has sought to understand </w:t>
      </w:r>
      <w:r w:rsidR="00F960F3" w:rsidRPr="00A77AF6">
        <w:t>if some people are more likely to follow rules than others.  To this end t</w:t>
      </w:r>
      <w:r w:rsidR="0087274E" w:rsidRPr="00A77AF6">
        <w:t xml:space="preserve">he research on ethical predisposition has </w:t>
      </w:r>
      <w:r w:rsidR="00910700" w:rsidRPr="00A77AF6">
        <w:t xml:space="preserve">mainly </w:t>
      </w:r>
      <w:r w:rsidR="0087274E" w:rsidRPr="00A77AF6">
        <w:t>concentrate</w:t>
      </w:r>
      <w:r w:rsidR="00910700" w:rsidRPr="00A77AF6">
        <w:t>d</w:t>
      </w:r>
      <w:r w:rsidR="0087274E" w:rsidRPr="00A77AF6">
        <w:t xml:space="preserve"> on </w:t>
      </w:r>
      <w:r w:rsidR="00A84A48" w:rsidRPr="00A77AF6">
        <w:t>whether gender, age or organisation cultural norms impact behaviour</w:t>
      </w:r>
      <w:r w:rsidR="000562F6" w:rsidRPr="00A77AF6">
        <w:t xml:space="preserve">. </w:t>
      </w:r>
      <w:r w:rsidR="00C34289" w:rsidRPr="00A77AF6">
        <w:t xml:space="preserve"> </w:t>
      </w:r>
      <w:r w:rsidR="00976799" w:rsidRPr="00A77AF6">
        <w:t xml:space="preserve">Fritzsche and Becker (1984) wrote </w:t>
      </w:r>
      <w:r w:rsidR="00751033" w:rsidRPr="00A77AF6">
        <w:t xml:space="preserve">an early </w:t>
      </w:r>
      <w:r w:rsidR="00976799" w:rsidRPr="00A77AF6">
        <w:t xml:space="preserve">paper </w:t>
      </w:r>
      <w:r w:rsidR="00C34289" w:rsidRPr="00A77AF6">
        <w:t>link</w:t>
      </w:r>
      <w:r w:rsidR="00751033" w:rsidRPr="00A77AF6">
        <w:t>ing</w:t>
      </w:r>
      <w:r w:rsidR="00C34289" w:rsidRPr="00A77AF6">
        <w:t xml:space="preserve"> </w:t>
      </w:r>
      <w:r w:rsidR="00976799" w:rsidRPr="00A77AF6">
        <w:t xml:space="preserve">ethical theory </w:t>
      </w:r>
      <w:r w:rsidR="00751033" w:rsidRPr="00A77AF6">
        <w:t>to</w:t>
      </w:r>
      <w:r w:rsidR="00976799" w:rsidRPr="00A77AF6">
        <w:t xml:space="preserve"> management behaviour.  To do this they created vignettes (mini case studies) to test what action managers would take to solve the problems described in the vignettes.  They analysed 124 responses from managers and tested utilitarian traits against rights traits (formalism).  They found that most respondents gave utilitarian responses.  </w:t>
      </w:r>
      <w:r w:rsidR="0087274E" w:rsidRPr="00A77AF6">
        <w:t>This cause</w:t>
      </w:r>
      <w:r w:rsidR="008C0501" w:rsidRPr="00A77AF6">
        <w:t>d</w:t>
      </w:r>
      <w:r w:rsidR="0087274E" w:rsidRPr="00A77AF6">
        <w:t xml:space="preserve"> </w:t>
      </w:r>
      <w:r w:rsidR="00E4396D" w:rsidRPr="00A77AF6">
        <w:t xml:space="preserve">Fritzsche &amp; Becker (1984) </w:t>
      </w:r>
      <w:r w:rsidR="0087274E" w:rsidRPr="00A77AF6">
        <w:t>t</w:t>
      </w:r>
      <w:r w:rsidR="00F83456" w:rsidRPr="00A77AF6">
        <w:t xml:space="preserve">o </w:t>
      </w:r>
      <w:r w:rsidR="008C0501" w:rsidRPr="00A77AF6">
        <w:t xml:space="preserve">question whether there </w:t>
      </w:r>
      <w:r w:rsidR="009116B7" w:rsidRPr="00A77AF6">
        <w:t xml:space="preserve">was a problem with the management </w:t>
      </w:r>
      <w:r w:rsidR="00AF18E2" w:rsidRPr="00A77AF6">
        <w:t>at that time</w:t>
      </w:r>
      <w:r w:rsidR="00F83456" w:rsidRPr="00A77AF6">
        <w:t xml:space="preserve">. </w:t>
      </w:r>
      <w:r w:rsidR="00976799" w:rsidRPr="00A77AF6">
        <w:t xml:space="preserve">In subsequent research, which retested Fritzsche </w:t>
      </w:r>
      <w:r w:rsidR="00537987" w:rsidRPr="00A77AF6">
        <w:t>&amp;</w:t>
      </w:r>
      <w:r w:rsidR="00976799" w:rsidRPr="00A77AF6">
        <w:t xml:space="preserve"> Becker’s (1984) study, Brady </w:t>
      </w:r>
      <w:r w:rsidR="00537987" w:rsidRPr="00A77AF6">
        <w:t xml:space="preserve">&amp; </w:t>
      </w:r>
      <w:r w:rsidR="00976799" w:rsidRPr="00A77AF6">
        <w:t xml:space="preserve">Wheeler (1996) tested the ethical values of managers and employees of a USA financial company with new vignettes. They found more evidence of formalism in their subjects than Fritzsche and Becker (1984) had in their study, so in this case, </w:t>
      </w:r>
      <w:r w:rsidR="00E4396D" w:rsidRPr="00A77AF6">
        <w:t>better</w:t>
      </w:r>
      <w:r w:rsidR="00976799" w:rsidRPr="00A77AF6">
        <w:t xml:space="preserve"> morality</w:t>
      </w:r>
      <w:r w:rsidR="00C228E7" w:rsidRPr="00A77AF6">
        <w:t xml:space="preserve">. </w:t>
      </w:r>
      <w:bookmarkStart w:id="43" w:name="_Hlk35419160"/>
      <w:r w:rsidR="004159CA" w:rsidRPr="00A77AF6">
        <w:t xml:space="preserve"> R</w:t>
      </w:r>
      <w:r w:rsidR="00600BA8" w:rsidRPr="00A77AF6">
        <w:t xml:space="preserve">esults </w:t>
      </w:r>
      <w:r w:rsidR="00252421" w:rsidRPr="00A77AF6">
        <w:t xml:space="preserve">then </w:t>
      </w:r>
      <w:r w:rsidR="00C228E7" w:rsidRPr="00A77AF6">
        <w:t>give a mixed picture</w:t>
      </w:r>
      <w:r w:rsidR="00252421" w:rsidRPr="00A77AF6">
        <w:t xml:space="preserve"> of the influencers of ethical predisposition</w:t>
      </w:r>
      <w:bookmarkEnd w:id="43"/>
      <w:r w:rsidR="004159CA" w:rsidRPr="00A77AF6">
        <w:t xml:space="preserve">. </w:t>
      </w:r>
      <w:r w:rsidR="00C228E7" w:rsidRPr="00A77AF6">
        <w:t xml:space="preserve"> </w:t>
      </w:r>
    </w:p>
    <w:p w14:paraId="208DAA54" w14:textId="73215DEB" w:rsidR="00861D07" w:rsidRPr="00A77AF6" w:rsidRDefault="00861D07" w:rsidP="005E6DF9">
      <w:pPr>
        <w:pStyle w:val="Heading3"/>
        <w:spacing w:before="0" w:line="360" w:lineRule="auto"/>
      </w:pPr>
      <w:bookmarkStart w:id="44" w:name="_Toc36275051"/>
      <w:r w:rsidRPr="00A77AF6">
        <w:t xml:space="preserve">Gender and </w:t>
      </w:r>
      <w:r w:rsidR="002D7B72" w:rsidRPr="00A77AF6">
        <w:t>a</w:t>
      </w:r>
      <w:r w:rsidRPr="00A77AF6">
        <w:t>ge</w:t>
      </w:r>
      <w:bookmarkEnd w:id="44"/>
    </w:p>
    <w:p w14:paraId="5344B246" w14:textId="57D8A167" w:rsidR="005307C8" w:rsidRPr="00A77AF6" w:rsidRDefault="00187065" w:rsidP="003D0316">
      <w:pPr>
        <w:spacing w:after="0" w:line="360" w:lineRule="auto"/>
      </w:pPr>
      <w:r w:rsidRPr="00A77AF6">
        <w:t>S</w:t>
      </w:r>
      <w:r w:rsidR="003A2831" w:rsidRPr="00A77AF6">
        <w:t>tudies</w:t>
      </w:r>
      <w:r w:rsidR="00E94EAF" w:rsidRPr="00A77AF6">
        <w:t xml:space="preserve"> have examined whether ethical predisposition is affected by gender or age. The </w:t>
      </w:r>
      <w:r w:rsidR="009F7EAC" w:rsidRPr="00A77AF6">
        <w:t>findings about the impact of age and gende</w:t>
      </w:r>
      <w:r w:rsidR="002B7402" w:rsidRPr="00A77AF6">
        <w:t xml:space="preserve">r on ethical conduct are mixed. </w:t>
      </w:r>
      <w:r w:rsidR="009F7EAC" w:rsidRPr="00A77AF6">
        <w:t>Betz et al</w:t>
      </w:r>
      <w:r w:rsidR="00295D49" w:rsidRPr="00A77AF6">
        <w:t xml:space="preserve"> (19</w:t>
      </w:r>
      <w:r w:rsidR="00364CE7" w:rsidRPr="00A77AF6">
        <w:t>89) found that men were ‘more unethical’ than women</w:t>
      </w:r>
      <w:r w:rsidR="007F5D5D" w:rsidRPr="00A77AF6">
        <w:t xml:space="preserve"> and </w:t>
      </w:r>
      <w:r w:rsidR="00364CE7" w:rsidRPr="00A77AF6">
        <w:t>were twice as likely</w:t>
      </w:r>
      <w:r w:rsidR="007F5D5D" w:rsidRPr="00A77AF6">
        <w:t xml:space="preserve"> than </w:t>
      </w:r>
      <w:r w:rsidR="005F7CDD" w:rsidRPr="00A77AF6">
        <w:t>women, to</w:t>
      </w:r>
      <w:r w:rsidR="00364CE7" w:rsidRPr="00A77AF6">
        <w:t xml:space="preserve"> </w:t>
      </w:r>
    </w:p>
    <w:p w14:paraId="5EAC0447" w14:textId="6E4C70EC" w:rsidR="002B7402" w:rsidRPr="00A77AF6" w:rsidRDefault="00364CE7" w:rsidP="00252421">
      <w:pPr>
        <w:spacing w:after="120" w:line="240" w:lineRule="auto"/>
        <w:ind w:left="720"/>
      </w:pPr>
      <w:r w:rsidRPr="00A77AF6">
        <w:rPr>
          <w:i/>
        </w:rPr>
        <w:t>‘engage in actions regarded as less ethical on five measures: using a shortcut estimating procedure that was opposed by the employer, padding travel expenses, selling marijuana, engaging in insider trading, and embezzling money via the computer’</w:t>
      </w:r>
      <w:r w:rsidRPr="00A77AF6">
        <w:t xml:space="preserve"> </w:t>
      </w:r>
      <w:sdt>
        <w:sdtPr>
          <w:id w:val="-1580597762"/>
          <w:citation/>
        </w:sdtPr>
        <w:sdtEndPr/>
        <w:sdtContent>
          <w:r w:rsidR="002B7402" w:rsidRPr="00A77AF6">
            <w:fldChar w:fldCharType="begin"/>
          </w:r>
          <w:r w:rsidR="002B7402" w:rsidRPr="00A77AF6">
            <w:instrText xml:space="preserve">CITATION Bet89 \p 324 \l 2057 </w:instrText>
          </w:r>
          <w:r w:rsidR="002B7402" w:rsidRPr="00A77AF6">
            <w:fldChar w:fldCharType="separate"/>
          </w:r>
          <w:r w:rsidR="008E653F" w:rsidRPr="00A77AF6">
            <w:t>(Betz, et al., 1989, p. 324)</w:t>
          </w:r>
          <w:r w:rsidR="002B7402" w:rsidRPr="00A77AF6">
            <w:fldChar w:fldCharType="end"/>
          </w:r>
        </w:sdtContent>
      </w:sdt>
      <w:r w:rsidR="002B7402" w:rsidRPr="00A77AF6">
        <w:t xml:space="preserve">. </w:t>
      </w:r>
    </w:p>
    <w:p w14:paraId="3579A9F6" w14:textId="5394F33F" w:rsidR="00357C5C" w:rsidRPr="00A77AF6" w:rsidRDefault="00DD578E" w:rsidP="0014303B">
      <w:pPr>
        <w:spacing w:line="360" w:lineRule="auto"/>
      </w:pPr>
      <w:r w:rsidRPr="00A77AF6">
        <w:t xml:space="preserve">Beltramini, et al (1994) found </w:t>
      </w:r>
      <w:r w:rsidR="00C7763C" w:rsidRPr="00A77AF6">
        <w:t xml:space="preserve">no real differences </w:t>
      </w:r>
      <w:r w:rsidRPr="00A77AF6">
        <w:t>between m</w:t>
      </w:r>
      <w:r w:rsidR="00D910E9" w:rsidRPr="00A77AF6">
        <w:t xml:space="preserve">en and women </w:t>
      </w:r>
      <w:r w:rsidR="004E0359" w:rsidRPr="00A77AF6">
        <w:t xml:space="preserve">in </w:t>
      </w:r>
      <w:r w:rsidR="009413DF" w:rsidRPr="00A77AF6">
        <w:t>their</w:t>
      </w:r>
      <w:r w:rsidRPr="00A77AF6">
        <w:t xml:space="preserve"> concern for ethical issues. </w:t>
      </w:r>
      <w:r w:rsidR="002B7402" w:rsidRPr="00A77AF6">
        <w:t xml:space="preserve">Ruegger </w:t>
      </w:r>
      <w:r w:rsidR="005E6DF9" w:rsidRPr="00A77AF6">
        <w:t>&amp;</w:t>
      </w:r>
      <w:r w:rsidR="002B7402" w:rsidRPr="00A77AF6">
        <w:t xml:space="preserve"> King’s </w:t>
      </w:r>
      <w:r w:rsidR="003D0316" w:rsidRPr="00A77AF6">
        <w:t>(</w:t>
      </w:r>
      <w:r w:rsidR="002B7402" w:rsidRPr="00A77AF6">
        <w:t>1992</w:t>
      </w:r>
      <w:r w:rsidR="003D0316" w:rsidRPr="00A77AF6">
        <w:t>)</w:t>
      </w:r>
      <w:r w:rsidR="002B7402" w:rsidRPr="00A77AF6">
        <w:t xml:space="preserve"> study, based on business students responding to vignettes, suggested that both gender and age were important factors </w:t>
      </w:r>
      <w:r w:rsidR="003D0316" w:rsidRPr="00A77AF6">
        <w:t>in</w:t>
      </w:r>
      <w:r w:rsidR="002B7402" w:rsidRPr="00A77AF6">
        <w:t xml:space="preserve"> ethical conduct.  They argued that suggested that women and people over 40 years of age are ‘more ethical’ by which they meant more formalist</w:t>
      </w:r>
      <w:r w:rsidR="00410C55" w:rsidRPr="00A77AF6">
        <w:t xml:space="preserve"> and t</w:t>
      </w:r>
      <w:r w:rsidR="006E3071" w:rsidRPr="00A77AF6">
        <w:t>h</w:t>
      </w:r>
      <w:r w:rsidR="00410C55" w:rsidRPr="00A77AF6">
        <w:t xml:space="preserve">ey suggested that men and younger students </w:t>
      </w:r>
      <w:r w:rsidR="003D0316" w:rsidRPr="00A77AF6">
        <w:t xml:space="preserve">seemed </w:t>
      </w:r>
      <w:r w:rsidR="00410C55" w:rsidRPr="00A77AF6">
        <w:t xml:space="preserve">more </w:t>
      </w:r>
      <w:r w:rsidR="003D0316" w:rsidRPr="00A77AF6">
        <w:t xml:space="preserve">able to </w:t>
      </w:r>
      <w:r w:rsidR="00410C55" w:rsidRPr="00A77AF6">
        <w:t xml:space="preserve">justify </w:t>
      </w:r>
      <w:r w:rsidR="003D0316" w:rsidRPr="00A77AF6">
        <w:t>l</w:t>
      </w:r>
      <w:r w:rsidR="00410C55" w:rsidRPr="00A77AF6">
        <w:t xml:space="preserve">ess ethical performance </w:t>
      </w:r>
      <w:sdt>
        <w:sdtPr>
          <w:id w:val="1747078224"/>
          <w:citation/>
        </w:sdtPr>
        <w:sdtEndPr/>
        <w:sdtContent>
          <w:r w:rsidR="00410C55" w:rsidRPr="00A77AF6">
            <w:fldChar w:fldCharType="begin"/>
          </w:r>
          <w:r w:rsidR="003D0316" w:rsidRPr="00A77AF6">
            <w:instrText xml:space="preserve">CITATION Rue92 \l 2057 </w:instrText>
          </w:r>
          <w:r w:rsidR="00410C55" w:rsidRPr="00A77AF6">
            <w:fldChar w:fldCharType="separate"/>
          </w:r>
          <w:r w:rsidR="008E653F" w:rsidRPr="00A77AF6">
            <w:t>(Ruegger &amp; King, 1992)</w:t>
          </w:r>
          <w:r w:rsidR="00410C55" w:rsidRPr="00A77AF6">
            <w:fldChar w:fldCharType="end"/>
          </w:r>
        </w:sdtContent>
      </w:sdt>
      <w:r w:rsidR="00410C55" w:rsidRPr="00A77AF6">
        <w:t xml:space="preserve">. </w:t>
      </w:r>
      <w:r w:rsidR="006E3071" w:rsidRPr="00A77AF6">
        <w:t xml:space="preserve"> </w:t>
      </w:r>
      <w:r w:rsidR="000A2897" w:rsidRPr="00A77AF6">
        <w:t>Fritzsche</w:t>
      </w:r>
      <w:r w:rsidR="00861D07" w:rsidRPr="00A77AF6">
        <w:t xml:space="preserve"> </w:t>
      </w:r>
      <w:r w:rsidR="008E3DF0" w:rsidRPr="00A77AF6">
        <w:t xml:space="preserve">&amp; </w:t>
      </w:r>
      <w:r w:rsidR="00861D07" w:rsidRPr="00A77AF6">
        <w:t>Becker</w:t>
      </w:r>
      <w:r w:rsidR="00801757" w:rsidRPr="00A77AF6">
        <w:t xml:space="preserve"> (1984)</w:t>
      </w:r>
      <w:r w:rsidR="00861D07" w:rsidRPr="00A77AF6">
        <w:t xml:space="preserve"> found that utilitarian reasoning and behaviour decreases with age, whilst formalist behaviour and reasoning was </w:t>
      </w:r>
      <w:r w:rsidR="00801757" w:rsidRPr="00A77AF6">
        <w:t xml:space="preserve">increased in </w:t>
      </w:r>
      <w:r w:rsidR="00861D07" w:rsidRPr="00A77AF6">
        <w:t>older people</w:t>
      </w:r>
      <w:r w:rsidR="00BA179D" w:rsidRPr="00A77AF6">
        <w:t xml:space="preserve">. </w:t>
      </w:r>
      <w:r w:rsidR="00861D07" w:rsidRPr="00A77AF6">
        <w:t xml:space="preserve">Brady </w:t>
      </w:r>
      <w:r w:rsidR="004B30CC" w:rsidRPr="00A77AF6">
        <w:t>&amp;</w:t>
      </w:r>
      <w:r w:rsidR="00861D07" w:rsidRPr="00A77AF6">
        <w:t xml:space="preserve"> Wheeler (1996) found that age was the most</w:t>
      </w:r>
      <w:r w:rsidR="00BA179D" w:rsidRPr="00A77AF6">
        <w:t xml:space="preserve"> factor</w:t>
      </w:r>
      <w:r w:rsidR="00861D07" w:rsidRPr="00A77AF6">
        <w:t xml:space="preserve"> important for determining ethical </w:t>
      </w:r>
      <w:r w:rsidR="00BE30D0" w:rsidRPr="00A77AF6">
        <w:t>predisposition</w:t>
      </w:r>
      <w:r w:rsidR="00BA179D" w:rsidRPr="00A77AF6">
        <w:t xml:space="preserve">, </w:t>
      </w:r>
      <w:r w:rsidR="00861D07" w:rsidRPr="00A77AF6">
        <w:t xml:space="preserve"> but that gender was not </w:t>
      </w:r>
      <w:r w:rsidR="000A2897" w:rsidRPr="00A77AF6">
        <w:t xml:space="preserve">a factor </w:t>
      </w:r>
      <w:r w:rsidR="00861D07" w:rsidRPr="00A77AF6">
        <w:t xml:space="preserve">for employees except managers </w:t>
      </w:r>
      <w:r w:rsidR="00BA179D" w:rsidRPr="00A77AF6">
        <w:t xml:space="preserve">of both genders, </w:t>
      </w:r>
      <w:r w:rsidR="00861D07" w:rsidRPr="00A77AF6">
        <w:t xml:space="preserve">who were more likely to be utilitarian, even with increasing age when a tendency toward formalism might be expected.   </w:t>
      </w:r>
      <w:r w:rsidR="006B76EC" w:rsidRPr="00A77AF6">
        <w:t xml:space="preserve">Schminke </w:t>
      </w:r>
      <w:r w:rsidR="00D85121" w:rsidRPr="00A77AF6">
        <w:t xml:space="preserve">&amp; </w:t>
      </w:r>
      <w:r w:rsidR="006B76EC" w:rsidRPr="00A77AF6">
        <w:t xml:space="preserve">Ambrose (1997) suggested that </w:t>
      </w:r>
      <w:r w:rsidR="006B76EC" w:rsidRPr="00A77AF6">
        <w:lastRenderedPageBreak/>
        <w:t xml:space="preserve">women are more likely to be </w:t>
      </w:r>
      <w:r w:rsidR="00F91B86" w:rsidRPr="00A77AF6">
        <w:t>formalists</w:t>
      </w:r>
      <w:r w:rsidR="003D0316" w:rsidRPr="00A77AF6">
        <w:t xml:space="preserve"> (</w:t>
      </w:r>
      <w:r w:rsidR="006B76EC" w:rsidRPr="00A77AF6">
        <w:t>process or rules followers</w:t>
      </w:r>
      <w:r w:rsidR="003D0316" w:rsidRPr="00A77AF6">
        <w:t>)</w:t>
      </w:r>
      <w:r w:rsidR="007F5D5D" w:rsidRPr="00A77AF6">
        <w:t>,</w:t>
      </w:r>
      <w:r w:rsidR="006B76EC" w:rsidRPr="00A77AF6">
        <w:t xml:space="preserve"> whilst men are more likely to be </w:t>
      </w:r>
      <w:r w:rsidR="007F5D5D" w:rsidRPr="00A77AF6">
        <w:t>u</w:t>
      </w:r>
      <w:r w:rsidR="00801757" w:rsidRPr="00A77AF6">
        <w:t>tilitarian</w:t>
      </w:r>
      <w:r w:rsidR="006B76EC" w:rsidRPr="00A77AF6">
        <w:t xml:space="preserve">. </w:t>
      </w:r>
      <w:r w:rsidR="003D0316" w:rsidRPr="00A77AF6">
        <w:t xml:space="preserve"> These studies suggest that </w:t>
      </w:r>
      <w:r w:rsidR="00357C5C" w:rsidRPr="00A77AF6">
        <w:t xml:space="preserve">the impact of </w:t>
      </w:r>
      <w:r w:rsidR="00801757" w:rsidRPr="00A77AF6">
        <w:t>gender</w:t>
      </w:r>
      <w:r w:rsidR="00357C5C" w:rsidRPr="00A77AF6">
        <w:t xml:space="preserve"> and </w:t>
      </w:r>
      <w:r w:rsidR="00801757" w:rsidRPr="00A77AF6">
        <w:t>age</w:t>
      </w:r>
      <w:r w:rsidR="00357C5C" w:rsidRPr="00A77AF6">
        <w:t xml:space="preserve"> on ethical conduct is </w:t>
      </w:r>
      <w:r w:rsidR="00834D15" w:rsidRPr="00A77AF6">
        <w:t xml:space="preserve">not </w:t>
      </w:r>
      <w:r w:rsidR="00C34289" w:rsidRPr="00A77AF6">
        <w:t>conclusive</w:t>
      </w:r>
      <w:r w:rsidR="007D5F85" w:rsidRPr="00A77AF6">
        <w:t xml:space="preserve">, </w:t>
      </w:r>
      <w:r w:rsidR="003D0316" w:rsidRPr="00A77AF6">
        <w:t xml:space="preserve">but </w:t>
      </w:r>
      <w:r w:rsidR="007D5F85" w:rsidRPr="00A77AF6">
        <w:t xml:space="preserve">there appears </w:t>
      </w:r>
      <w:r w:rsidR="00C34289" w:rsidRPr="00A77AF6">
        <w:t xml:space="preserve">to be </w:t>
      </w:r>
      <w:r w:rsidR="007A1915" w:rsidRPr="00A77AF6">
        <w:t xml:space="preserve">more certainty </w:t>
      </w:r>
      <w:r w:rsidR="00357C5C" w:rsidRPr="00A77AF6">
        <w:t>about the impact of age</w:t>
      </w:r>
      <w:r w:rsidR="00C34289" w:rsidRPr="00A77AF6">
        <w:t>,</w:t>
      </w:r>
      <w:r w:rsidR="007A1915" w:rsidRPr="00A77AF6">
        <w:t xml:space="preserve"> with older people </w:t>
      </w:r>
      <w:r w:rsidR="00801757" w:rsidRPr="00A77AF6">
        <w:t>more likely to be formalists</w:t>
      </w:r>
      <w:r w:rsidR="003D0316" w:rsidRPr="00A77AF6">
        <w:t xml:space="preserve"> and young people more likely to be utilitarian, than with gender. </w:t>
      </w:r>
      <w:r w:rsidR="00357C5C" w:rsidRPr="00A77AF6">
        <w:t>The exception was the managerial cohort</w:t>
      </w:r>
      <w:r w:rsidR="003B4716" w:rsidRPr="00A77AF6">
        <w:t xml:space="preserve"> identified in</w:t>
      </w:r>
      <w:r w:rsidR="000A2897" w:rsidRPr="00A77AF6">
        <w:t xml:space="preserve"> Brady </w:t>
      </w:r>
      <w:r w:rsidR="00D85121" w:rsidRPr="00A77AF6">
        <w:t>&amp;</w:t>
      </w:r>
      <w:r w:rsidR="000A2897" w:rsidRPr="00A77AF6">
        <w:t xml:space="preserve"> Wheeler (1996)</w:t>
      </w:r>
      <w:r w:rsidR="00BA179D" w:rsidRPr="00A77AF6">
        <w:t xml:space="preserve"> who were more utilitarian with age</w:t>
      </w:r>
      <w:r w:rsidR="000A2897" w:rsidRPr="00A77AF6">
        <w:t xml:space="preserve">. </w:t>
      </w:r>
      <w:r w:rsidR="00357C5C" w:rsidRPr="00A77AF6">
        <w:t xml:space="preserve"> </w:t>
      </w:r>
    </w:p>
    <w:p w14:paraId="06CDD9C7" w14:textId="7176CCE0" w:rsidR="00516EC7" w:rsidRPr="00A77AF6" w:rsidRDefault="003C5892" w:rsidP="007000FC">
      <w:pPr>
        <w:pStyle w:val="Heading3"/>
        <w:spacing w:after="120"/>
      </w:pPr>
      <w:bookmarkStart w:id="45" w:name="_Toc36275052"/>
      <w:r w:rsidRPr="00A77AF6">
        <w:t xml:space="preserve">Ethical </w:t>
      </w:r>
      <w:r w:rsidR="002D7B72" w:rsidRPr="00A77AF6">
        <w:t>c</w:t>
      </w:r>
      <w:r w:rsidRPr="00A77AF6">
        <w:t>limate</w:t>
      </w:r>
      <w:r w:rsidR="00AC2713" w:rsidRPr="00A77AF6">
        <w:t xml:space="preserve"> and the </w:t>
      </w:r>
      <w:r w:rsidR="002D7B72" w:rsidRPr="00A77AF6">
        <w:t>i</w:t>
      </w:r>
      <w:r w:rsidR="00AC2713" w:rsidRPr="00A77AF6">
        <w:t xml:space="preserve">nfluence of </w:t>
      </w:r>
      <w:r w:rsidR="002D7B72" w:rsidRPr="00A77AF6">
        <w:t>g</w:t>
      </w:r>
      <w:r w:rsidR="00AC2713" w:rsidRPr="00A77AF6">
        <w:t>roups</w:t>
      </w:r>
      <w:r w:rsidR="00F92884" w:rsidRPr="00A77AF6">
        <w:t xml:space="preserve"> and </w:t>
      </w:r>
      <w:r w:rsidR="002D7B72" w:rsidRPr="00A77AF6">
        <w:t>m</w:t>
      </w:r>
      <w:r w:rsidR="00F92884" w:rsidRPr="00A77AF6">
        <w:t xml:space="preserve">oral </w:t>
      </w:r>
      <w:r w:rsidR="002D7B72" w:rsidRPr="00A77AF6">
        <w:t>i</w:t>
      </w:r>
      <w:r w:rsidR="00F92884" w:rsidRPr="00A77AF6">
        <w:t>dentity</w:t>
      </w:r>
      <w:bookmarkEnd w:id="45"/>
    </w:p>
    <w:p w14:paraId="724D82DD" w14:textId="3FC17768" w:rsidR="00AC0C85" w:rsidRPr="00A77AF6" w:rsidRDefault="003C5892" w:rsidP="00A92C7B">
      <w:pPr>
        <w:spacing w:after="120" w:line="360" w:lineRule="auto"/>
        <w:rPr>
          <w:rFonts w:cstheme="minorHAnsi"/>
        </w:rPr>
      </w:pPr>
      <w:bookmarkStart w:id="46" w:name="_Hlk35419480"/>
      <w:r w:rsidRPr="00A77AF6">
        <w:rPr>
          <w:rFonts w:cstheme="minorHAnsi"/>
        </w:rPr>
        <w:t xml:space="preserve">Studies </w:t>
      </w:r>
      <w:r w:rsidR="002E180E" w:rsidRPr="00A77AF6">
        <w:rPr>
          <w:rFonts w:cstheme="minorHAnsi"/>
        </w:rPr>
        <w:t>suggest</w:t>
      </w:r>
      <w:r w:rsidRPr="00A77AF6">
        <w:rPr>
          <w:rFonts w:cstheme="minorHAnsi"/>
        </w:rPr>
        <w:t xml:space="preserve"> that </w:t>
      </w:r>
      <w:r w:rsidR="002D7B72" w:rsidRPr="00A77AF6">
        <w:rPr>
          <w:rFonts w:cstheme="minorHAnsi"/>
        </w:rPr>
        <w:t>workplaces</w:t>
      </w:r>
      <w:r w:rsidRPr="00A77AF6">
        <w:rPr>
          <w:rFonts w:cstheme="minorHAnsi"/>
        </w:rPr>
        <w:t xml:space="preserve"> have distinct ethical </w:t>
      </w:r>
      <w:r w:rsidR="00E1784F" w:rsidRPr="00A77AF6">
        <w:rPr>
          <w:rFonts w:cstheme="minorHAnsi"/>
        </w:rPr>
        <w:t>climates and</w:t>
      </w:r>
      <w:r w:rsidR="000A69AF" w:rsidRPr="00A77AF6">
        <w:rPr>
          <w:rFonts w:cstheme="minorHAnsi"/>
        </w:rPr>
        <w:t xml:space="preserve"> </w:t>
      </w:r>
      <w:r w:rsidR="00E1784F" w:rsidRPr="00A77AF6">
        <w:rPr>
          <w:rFonts w:cstheme="minorHAnsi"/>
        </w:rPr>
        <w:t>these influence employees</w:t>
      </w:r>
      <w:r w:rsidR="00252421" w:rsidRPr="00A77AF6">
        <w:rPr>
          <w:rFonts w:cstheme="minorHAnsi"/>
        </w:rPr>
        <w:t>’</w:t>
      </w:r>
      <w:r w:rsidR="00E1784F" w:rsidRPr="00A77AF6">
        <w:rPr>
          <w:rFonts w:cstheme="minorHAnsi"/>
        </w:rPr>
        <w:t xml:space="preserve"> deci</w:t>
      </w:r>
      <w:r w:rsidR="00252421" w:rsidRPr="00A77AF6">
        <w:rPr>
          <w:rFonts w:cstheme="minorHAnsi"/>
        </w:rPr>
        <w:t xml:space="preserve">sions about </w:t>
      </w:r>
      <w:r w:rsidR="00E1784F" w:rsidRPr="00A77AF6">
        <w:rPr>
          <w:rFonts w:cstheme="minorHAnsi"/>
        </w:rPr>
        <w:t xml:space="preserve">right </w:t>
      </w:r>
      <w:r w:rsidR="00252421" w:rsidRPr="00A77AF6">
        <w:rPr>
          <w:rFonts w:cstheme="minorHAnsi"/>
        </w:rPr>
        <w:t xml:space="preserve">conduct </w:t>
      </w:r>
      <w:r w:rsidR="00E1784F" w:rsidRPr="00A77AF6">
        <w:rPr>
          <w:rFonts w:cstheme="minorHAnsi"/>
        </w:rPr>
        <w:t>in their organisation when faced with an ethical dilemma</w:t>
      </w:r>
      <w:r w:rsidR="00252421" w:rsidRPr="00A77AF6">
        <w:rPr>
          <w:rFonts w:cstheme="minorHAnsi"/>
        </w:rPr>
        <w:t>, so the characteristics of individuals are not enough to explain moral or ethical behaviour</w:t>
      </w:r>
      <w:r w:rsidR="009144A1" w:rsidRPr="00A77AF6">
        <w:rPr>
          <w:rFonts w:cstheme="minorHAnsi"/>
        </w:rPr>
        <w:t xml:space="preserve"> </w:t>
      </w:r>
      <w:sdt>
        <w:sdtPr>
          <w:rPr>
            <w:rFonts w:cstheme="minorHAnsi"/>
          </w:rPr>
          <w:id w:val="539086431"/>
          <w:citation/>
        </w:sdtPr>
        <w:sdtEndPr/>
        <w:sdtContent>
          <w:r w:rsidR="00252421" w:rsidRPr="00A77AF6">
            <w:rPr>
              <w:rFonts w:cstheme="minorHAnsi"/>
            </w:rPr>
            <w:fldChar w:fldCharType="begin"/>
          </w:r>
          <w:r w:rsidR="00252421" w:rsidRPr="00A77AF6">
            <w:rPr>
              <w:rFonts w:cstheme="minorHAnsi"/>
            </w:rPr>
            <w:instrText xml:space="preserve">CITATION Bar88 \l 2057 </w:instrText>
          </w:r>
          <w:r w:rsidR="00252421" w:rsidRPr="00A77AF6">
            <w:rPr>
              <w:rFonts w:cstheme="minorHAnsi"/>
            </w:rPr>
            <w:fldChar w:fldCharType="separate"/>
          </w:r>
          <w:r w:rsidR="008E653F" w:rsidRPr="00A77AF6">
            <w:rPr>
              <w:rFonts w:cstheme="minorHAnsi"/>
            </w:rPr>
            <w:t>(Victor &amp; Cullen, 1988)</w:t>
          </w:r>
          <w:r w:rsidR="00252421" w:rsidRPr="00A77AF6">
            <w:rPr>
              <w:rFonts w:cstheme="minorHAnsi"/>
            </w:rPr>
            <w:fldChar w:fldCharType="end"/>
          </w:r>
        </w:sdtContent>
      </w:sdt>
      <w:r w:rsidR="00252421" w:rsidRPr="00A77AF6">
        <w:rPr>
          <w:rFonts w:cstheme="minorHAnsi"/>
        </w:rPr>
        <w:t xml:space="preserve">.  </w:t>
      </w:r>
      <w:r w:rsidR="00F25B45" w:rsidRPr="00A77AF6">
        <w:rPr>
          <w:rFonts w:cstheme="minorHAnsi"/>
        </w:rPr>
        <w:t>Schminke &amp; Wells (1999)</w:t>
      </w:r>
      <w:r w:rsidR="00AC2713" w:rsidRPr="00A77AF6">
        <w:rPr>
          <w:rFonts w:cstheme="minorHAnsi"/>
        </w:rPr>
        <w:t xml:space="preserve"> found </w:t>
      </w:r>
      <w:r w:rsidR="00A66B88" w:rsidRPr="00A77AF6">
        <w:rPr>
          <w:rFonts w:cstheme="minorHAnsi"/>
        </w:rPr>
        <w:t xml:space="preserve">that </w:t>
      </w:r>
      <w:r w:rsidR="00AC2713" w:rsidRPr="00A77AF6">
        <w:rPr>
          <w:rFonts w:cstheme="minorHAnsi"/>
        </w:rPr>
        <w:t>groups</w:t>
      </w:r>
      <w:r w:rsidR="005D0AAC" w:rsidRPr="00A77AF6">
        <w:rPr>
          <w:rFonts w:cstheme="minorHAnsi"/>
        </w:rPr>
        <w:t xml:space="preserve"> </w:t>
      </w:r>
      <w:r w:rsidR="00AC2713" w:rsidRPr="00A77AF6">
        <w:rPr>
          <w:rFonts w:cstheme="minorHAnsi"/>
        </w:rPr>
        <w:t>affected people’s ethical predispositions</w:t>
      </w:r>
      <w:r w:rsidR="00252421" w:rsidRPr="00A77AF6">
        <w:rPr>
          <w:rFonts w:cstheme="minorHAnsi"/>
        </w:rPr>
        <w:t xml:space="preserve">.  The </w:t>
      </w:r>
      <w:r w:rsidR="00AC2713" w:rsidRPr="00A77AF6">
        <w:rPr>
          <w:rFonts w:cstheme="minorHAnsi"/>
        </w:rPr>
        <w:t xml:space="preserve">more cohesive a group was, the more likely </w:t>
      </w:r>
      <w:r w:rsidR="00C36612" w:rsidRPr="00A77AF6">
        <w:rPr>
          <w:rFonts w:cstheme="minorHAnsi"/>
        </w:rPr>
        <w:t xml:space="preserve">people were to move toward utilitarianism. </w:t>
      </w:r>
      <w:r w:rsidR="00C1108B" w:rsidRPr="00A77AF6">
        <w:rPr>
          <w:rFonts w:cstheme="minorHAnsi"/>
        </w:rPr>
        <w:t xml:space="preserve"> </w:t>
      </w:r>
      <w:r w:rsidR="00F92884" w:rsidRPr="00A77AF6">
        <w:rPr>
          <w:rFonts w:cstheme="minorHAnsi"/>
        </w:rPr>
        <w:t xml:space="preserve">Based on vignettes the study of responses from 226 business students, Reynolds </w:t>
      </w:r>
      <w:r w:rsidR="00760FBC" w:rsidRPr="00A77AF6">
        <w:rPr>
          <w:rFonts w:cstheme="minorHAnsi"/>
        </w:rPr>
        <w:t>&amp;</w:t>
      </w:r>
      <w:r w:rsidR="00F92884" w:rsidRPr="00A77AF6">
        <w:rPr>
          <w:rFonts w:cstheme="minorHAnsi"/>
        </w:rPr>
        <w:t xml:space="preserve"> Ceranic (2007) argued that whe</w:t>
      </w:r>
      <w:r w:rsidR="00252421" w:rsidRPr="00A77AF6">
        <w:rPr>
          <w:rFonts w:cstheme="minorHAnsi"/>
        </w:rPr>
        <w:t>n</w:t>
      </w:r>
      <w:r w:rsidR="00F92884" w:rsidRPr="00A77AF6">
        <w:rPr>
          <w:rFonts w:cstheme="minorHAnsi"/>
        </w:rPr>
        <w:t xml:space="preserve"> there is high social consensus on what moral behaviour </w:t>
      </w:r>
      <w:r w:rsidR="00C1108B" w:rsidRPr="00A77AF6">
        <w:rPr>
          <w:rFonts w:cstheme="minorHAnsi"/>
        </w:rPr>
        <w:t>is</w:t>
      </w:r>
      <w:r w:rsidR="00FF19F4" w:rsidRPr="00A77AF6">
        <w:rPr>
          <w:rFonts w:cstheme="minorHAnsi"/>
        </w:rPr>
        <w:t xml:space="preserve"> then</w:t>
      </w:r>
      <w:r w:rsidR="00981C08" w:rsidRPr="00A77AF6">
        <w:rPr>
          <w:rFonts w:cstheme="minorHAnsi"/>
        </w:rPr>
        <w:t xml:space="preserve"> </w:t>
      </w:r>
      <w:r w:rsidR="00A10D9D" w:rsidRPr="00A77AF6">
        <w:rPr>
          <w:rFonts w:cstheme="minorHAnsi"/>
        </w:rPr>
        <w:t xml:space="preserve">that </w:t>
      </w:r>
      <w:r w:rsidR="00981C08" w:rsidRPr="00A77AF6">
        <w:rPr>
          <w:rFonts w:cstheme="minorHAnsi"/>
        </w:rPr>
        <w:t>is the basis on which decisions are made</w:t>
      </w:r>
      <w:r w:rsidR="00F25B45" w:rsidRPr="00A77AF6">
        <w:rPr>
          <w:rFonts w:cstheme="minorHAnsi"/>
        </w:rPr>
        <w:t xml:space="preserve">. </w:t>
      </w:r>
      <w:r w:rsidR="00981C08" w:rsidRPr="00A77AF6">
        <w:rPr>
          <w:rFonts w:cstheme="minorHAnsi"/>
        </w:rPr>
        <w:t xml:space="preserve">When social consensus is </w:t>
      </w:r>
      <w:r w:rsidR="00834D15" w:rsidRPr="00A77AF6">
        <w:rPr>
          <w:rFonts w:cstheme="minorHAnsi"/>
        </w:rPr>
        <w:t>low,</w:t>
      </w:r>
      <w:r w:rsidR="00981C08" w:rsidRPr="00A77AF6">
        <w:rPr>
          <w:rFonts w:cstheme="minorHAnsi"/>
        </w:rPr>
        <w:t xml:space="preserve"> utilitarianism and formalism interact with </w:t>
      </w:r>
      <w:r w:rsidR="00C36A12" w:rsidRPr="00A77AF6">
        <w:rPr>
          <w:rFonts w:cstheme="minorHAnsi"/>
        </w:rPr>
        <w:t xml:space="preserve">moral identity to influence decision making. </w:t>
      </w:r>
      <w:r w:rsidR="00AC0C85" w:rsidRPr="00A77AF6">
        <w:rPr>
          <w:rFonts w:cstheme="minorHAnsi"/>
        </w:rPr>
        <w:t xml:space="preserve">  These studies suggest that ethical predisposition is subject to change and influence from the work environment, group influences and moral identity</w:t>
      </w:r>
      <w:r w:rsidR="00C1108B" w:rsidRPr="00A77AF6">
        <w:rPr>
          <w:rFonts w:cstheme="minorHAnsi"/>
        </w:rPr>
        <w:t>, and a</w:t>
      </w:r>
      <w:r w:rsidR="00AC0C85" w:rsidRPr="00A77AF6">
        <w:rPr>
          <w:rFonts w:cstheme="minorHAnsi"/>
        </w:rPr>
        <w:t xml:space="preserve">ll of these </w:t>
      </w:r>
      <w:r w:rsidR="00C1108B" w:rsidRPr="00A77AF6">
        <w:rPr>
          <w:rFonts w:cstheme="minorHAnsi"/>
        </w:rPr>
        <w:t xml:space="preserve">may </w:t>
      </w:r>
      <w:r w:rsidR="00AC0C85" w:rsidRPr="00A77AF6">
        <w:rPr>
          <w:rFonts w:cstheme="minorHAnsi"/>
        </w:rPr>
        <w:t xml:space="preserve">influence decision making.  </w:t>
      </w:r>
    </w:p>
    <w:p w14:paraId="48B15460" w14:textId="53221631" w:rsidR="00E0088D" w:rsidRPr="00A77AF6" w:rsidRDefault="00E0088D" w:rsidP="007000FC">
      <w:pPr>
        <w:pStyle w:val="Heading3"/>
        <w:spacing w:after="120"/>
      </w:pPr>
      <w:bookmarkStart w:id="47" w:name="_Toc36275053"/>
      <w:bookmarkEnd w:id="46"/>
      <w:r w:rsidRPr="00A77AF6">
        <w:t xml:space="preserve">Formalism and </w:t>
      </w:r>
      <w:r w:rsidR="002D7B72" w:rsidRPr="00A77AF6">
        <w:t>u</w:t>
      </w:r>
      <w:r w:rsidRPr="00A77AF6">
        <w:t>tilitarianism as separate scales</w:t>
      </w:r>
      <w:bookmarkEnd w:id="47"/>
    </w:p>
    <w:p w14:paraId="4BAB55AD" w14:textId="0F5599F5" w:rsidR="00835D90" w:rsidRPr="00A77AF6" w:rsidRDefault="00C1108B" w:rsidP="00835D90">
      <w:pPr>
        <w:spacing w:after="0" w:line="360" w:lineRule="auto"/>
        <w:rPr>
          <w:rFonts w:cstheme="minorHAnsi"/>
        </w:rPr>
      </w:pPr>
      <w:r w:rsidRPr="00A77AF6">
        <w:rPr>
          <w:rFonts w:cstheme="minorHAnsi"/>
        </w:rPr>
        <w:t xml:space="preserve">The arguments about ethical theory </w:t>
      </w:r>
      <w:r w:rsidR="00243029" w:rsidRPr="00A77AF6">
        <w:rPr>
          <w:rFonts w:cstheme="minorHAnsi"/>
        </w:rPr>
        <w:t>can</w:t>
      </w:r>
      <w:r w:rsidRPr="00A77AF6">
        <w:rPr>
          <w:rFonts w:cstheme="minorHAnsi"/>
        </w:rPr>
        <w:t xml:space="preserve"> be polarised between utilitarianism and formalism.  However, it has been argued that ethical predisposition may be </w:t>
      </w:r>
      <w:r w:rsidR="007E3D29" w:rsidRPr="00A77AF6">
        <w:rPr>
          <w:rFonts w:cstheme="minorHAnsi"/>
        </w:rPr>
        <w:t xml:space="preserve">two </w:t>
      </w:r>
      <w:r w:rsidR="003C7C6A" w:rsidRPr="00A77AF6">
        <w:rPr>
          <w:rFonts w:cstheme="minorHAnsi"/>
        </w:rPr>
        <w:t xml:space="preserve">complementary scales </w:t>
      </w:r>
      <w:r w:rsidRPr="00A77AF6">
        <w:rPr>
          <w:rFonts w:cstheme="minorHAnsi"/>
        </w:rPr>
        <w:t xml:space="preserve">rather than </w:t>
      </w:r>
      <w:r w:rsidR="007E3D29" w:rsidRPr="00A77AF6">
        <w:rPr>
          <w:rFonts w:cstheme="minorHAnsi"/>
        </w:rPr>
        <w:t xml:space="preserve">two </w:t>
      </w:r>
      <w:r w:rsidR="00E1460D" w:rsidRPr="00A77AF6">
        <w:rPr>
          <w:rFonts w:cstheme="minorHAnsi"/>
        </w:rPr>
        <w:t>mutually exclusive</w:t>
      </w:r>
      <w:r w:rsidRPr="00A77AF6">
        <w:rPr>
          <w:rFonts w:cstheme="minorHAnsi"/>
        </w:rPr>
        <w:t xml:space="preserve"> position</w:t>
      </w:r>
      <w:r w:rsidR="007E3D29" w:rsidRPr="00A77AF6">
        <w:rPr>
          <w:rFonts w:cstheme="minorHAnsi"/>
        </w:rPr>
        <w:t>s</w:t>
      </w:r>
      <w:r w:rsidRPr="00A77AF6">
        <w:rPr>
          <w:rFonts w:cstheme="minorHAnsi"/>
        </w:rPr>
        <w:t xml:space="preserve"> </w:t>
      </w:r>
      <w:sdt>
        <w:sdtPr>
          <w:rPr>
            <w:rFonts w:cstheme="minorHAnsi"/>
          </w:rPr>
          <w:id w:val="-692691160"/>
          <w:citation/>
        </w:sdtPr>
        <w:sdtEndPr/>
        <w:sdtContent>
          <w:r w:rsidRPr="00A77AF6">
            <w:rPr>
              <w:rFonts w:cstheme="minorHAnsi"/>
            </w:rPr>
            <w:fldChar w:fldCharType="begin"/>
          </w:r>
          <w:r w:rsidRPr="00A77AF6">
            <w:rPr>
              <w:rFonts w:cstheme="minorHAnsi"/>
            </w:rPr>
            <w:instrText xml:space="preserve"> CITATION Nei85 \l 2057 </w:instrText>
          </w:r>
          <w:r w:rsidRPr="00A77AF6">
            <w:rPr>
              <w:rFonts w:cstheme="minorHAnsi"/>
            </w:rPr>
            <w:fldChar w:fldCharType="separate"/>
          </w:r>
          <w:r w:rsidR="008E653F" w:rsidRPr="00A77AF6">
            <w:rPr>
              <w:rFonts w:cstheme="minorHAnsi"/>
            </w:rPr>
            <w:t>(Brady, 1985)</w:t>
          </w:r>
          <w:r w:rsidRPr="00A77AF6">
            <w:rPr>
              <w:rFonts w:cstheme="minorHAnsi"/>
            </w:rPr>
            <w:fldChar w:fldCharType="end"/>
          </w:r>
        </w:sdtContent>
      </w:sdt>
      <w:r w:rsidRPr="00A77AF6">
        <w:rPr>
          <w:rFonts w:cstheme="minorHAnsi"/>
        </w:rPr>
        <w:t xml:space="preserve">. </w:t>
      </w:r>
      <w:r w:rsidR="00DB7387" w:rsidRPr="00A77AF6">
        <w:rPr>
          <w:rFonts w:cstheme="minorHAnsi"/>
        </w:rPr>
        <w:t>F</w:t>
      </w:r>
      <w:r w:rsidR="007E3D29" w:rsidRPr="00A77AF6">
        <w:rPr>
          <w:rFonts w:cstheme="minorHAnsi"/>
        </w:rPr>
        <w:t>ormalism and utilitarianism are not dichotomous, so it is not necessary to place people in one ethical camp or the other.  Rather people can hold both utilitarian and formalist positions and move between them.</w:t>
      </w:r>
    </w:p>
    <w:p w14:paraId="1F6E3FF6" w14:textId="7721FF31" w:rsidR="007E3D29" w:rsidRPr="00A77AF6" w:rsidRDefault="007E3D29" w:rsidP="000F1B7A">
      <w:pPr>
        <w:spacing w:after="120" w:line="240" w:lineRule="auto"/>
        <w:ind w:left="720"/>
        <w:rPr>
          <w:rFonts w:cstheme="minorHAnsi"/>
        </w:rPr>
      </w:pPr>
      <w:r w:rsidRPr="00A77AF6">
        <w:rPr>
          <w:rFonts w:cstheme="minorHAnsi"/>
          <w:i/>
        </w:rPr>
        <w:t>‘The relation of formalism and utilitarianism is not a zero-sum relation; it is more a division of labour’</w:t>
      </w:r>
      <w:r w:rsidRPr="00A77AF6">
        <w:rPr>
          <w:rFonts w:cstheme="minorHAnsi"/>
        </w:rPr>
        <w:t xml:space="preserve"> </w:t>
      </w:r>
      <w:sdt>
        <w:sdtPr>
          <w:rPr>
            <w:rFonts w:cstheme="minorHAnsi"/>
          </w:rPr>
          <w:id w:val="1418828579"/>
          <w:citation/>
        </w:sdtPr>
        <w:sdtEndPr/>
        <w:sdtContent>
          <w:r w:rsidRPr="00A77AF6">
            <w:rPr>
              <w:rFonts w:cstheme="minorHAnsi"/>
            </w:rPr>
            <w:fldChar w:fldCharType="begin"/>
          </w:r>
          <w:r w:rsidRPr="00A77AF6">
            <w:rPr>
              <w:rFonts w:cstheme="minorHAnsi"/>
            </w:rPr>
            <w:instrText xml:space="preserve">CITATION Nei85 \p 569 \l 2057 </w:instrText>
          </w:r>
          <w:r w:rsidRPr="00A77AF6">
            <w:rPr>
              <w:rFonts w:cstheme="minorHAnsi"/>
            </w:rPr>
            <w:fldChar w:fldCharType="separate"/>
          </w:r>
          <w:r w:rsidR="008E653F" w:rsidRPr="00A77AF6">
            <w:rPr>
              <w:rFonts w:cstheme="minorHAnsi"/>
            </w:rPr>
            <w:t>(Brady, 1985, p. 569)</w:t>
          </w:r>
          <w:r w:rsidRPr="00A77AF6">
            <w:rPr>
              <w:rFonts w:cstheme="minorHAnsi"/>
            </w:rPr>
            <w:fldChar w:fldCharType="end"/>
          </w:r>
        </w:sdtContent>
      </w:sdt>
    </w:p>
    <w:p w14:paraId="4F05EA00" w14:textId="22D1C047" w:rsidR="00F232A1" w:rsidRPr="00A77AF6" w:rsidRDefault="007E3D29" w:rsidP="00C04402">
      <w:pPr>
        <w:spacing w:after="0" w:line="360" w:lineRule="auto"/>
        <w:rPr>
          <w:rFonts w:cstheme="minorHAnsi"/>
        </w:rPr>
      </w:pPr>
      <w:r w:rsidRPr="00A77AF6">
        <w:rPr>
          <w:rFonts w:cstheme="minorHAnsi"/>
        </w:rPr>
        <w:t>T</w:t>
      </w:r>
      <w:r w:rsidR="004C5BDC" w:rsidRPr="00A77AF6">
        <w:rPr>
          <w:rFonts w:cstheme="minorHAnsi"/>
        </w:rPr>
        <w:t>his argument resembles the position taken by ‘situational formalists</w:t>
      </w:r>
      <w:r w:rsidR="00B34380" w:rsidRPr="00A77AF6">
        <w:rPr>
          <w:rFonts w:cstheme="minorHAnsi"/>
        </w:rPr>
        <w:t>’</w:t>
      </w:r>
      <w:r w:rsidR="004C5BDC" w:rsidRPr="00A77AF6">
        <w:rPr>
          <w:rFonts w:cstheme="minorHAnsi"/>
        </w:rPr>
        <w:t xml:space="preserve"> which is that rules should be followed unless moral obligations require them to be ignored.  </w:t>
      </w:r>
      <w:r w:rsidR="00F232A1" w:rsidRPr="00A77AF6">
        <w:rPr>
          <w:rFonts w:cstheme="minorHAnsi"/>
        </w:rPr>
        <w:t>Th</w:t>
      </w:r>
      <w:r w:rsidR="002C07CB" w:rsidRPr="00A77AF6">
        <w:rPr>
          <w:rFonts w:cstheme="minorHAnsi"/>
        </w:rPr>
        <w:t xml:space="preserve">at </w:t>
      </w:r>
      <w:r w:rsidR="00893C2D" w:rsidRPr="00A77AF6">
        <w:rPr>
          <w:rFonts w:cstheme="minorHAnsi"/>
        </w:rPr>
        <w:t xml:space="preserve">people do not </w:t>
      </w:r>
      <w:r w:rsidR="00163F7C" w:rsidRPr="00A77AF6">
        <w:rPr>
          <w:rFonts w:cstheme="minorHAnsi"/>
        </w:rPr>
        <w:t xml:space="preserve">always </w:t>
      </w:r>
      <w:r w:rsidR="001E6822" w:rsidRPr="00A77AF6">
        <w:rPr>
          <w:rFonts w:cstheme="minorHAnsi"/>
        </w:rPr>
        <w:t xml:space="preserve">use clearly defined </w:t>
      </w:r>
      <w:r w:rsidR="00A47A36" w:rsidRPr="00A77AF6">
        <w:rPr>
          <w:rFonts w:cstheme="minorHAnsi"/>
        </w:rPr>
        <w:t xml:space="preserve">ethical </w:t>
      </w:r>
      <w:r w:rsidR="0087072B" w:rsidRPr="00A77AF6">
        <w:rPr>
          <w:rFonts w:cstheme="minorHAnsi"/>
        </w:rPr>
        <w:t xml:space="preserve">evaluations </w:t>
      </w:r>
      <w:r w:rsidR="00163F7C" w:rsidRPr="00A77AF6">
        <w:rPr>
          <w:rFonts w:cstheme="minorHAnsi"/>
        </w:rPr>
        <w:t>was assessed in</w:t>
      </w:r>
      <w:r w:rsidR="002C07CB" w:rsidRPr="00A77AF6">
        <w:rPr>
          <w:rFonts w:cstheme="minorHAnsi"/>
        </w:rPr>
        <w:t xml:space="preserve"> research in marketing </w:t>
      </w:r>
      <w:r w:rsidR="00C261A2" w:rsidRPr="00A77AF6">
        <w:rPr>
          <w:rFonts w:cstheme="minorHAnsi"/>
        </w:rPr>
        <w:t xml:space="preserve">and it was </w:t>
      </w:r>
      <w:r w:rsidR="00435945" w:rsidRPr="00A77AF6">
        <w:rPr>
          <w:rFonts w:cstheme="minorHAnsi"/>
        </w:rPr>
        <w:t xml:space="preserve">found </w:t>
      </w:r>
      <w:r w:rsidR="002063E0" w:rsidRPr="00A77AF6">
        <w:rPr>
          <w:rFonts w:cstheme="minorHAnsi"/>
        </w:rPr>
        <w:t xml:space="preserve">that </w:t>
      </w:r>
      <w:r w:rsidR="008D787C" w:rsidRPr="00A77AF6">
        <w:rPr>
          <w:rFonts w:cstheme="minorHAnsi"/>
        </w:rPr>
        <w:t xml:space="preserve">the criteria used for </w:t>
      </w:r>
      <w:r w:rsidR="00C76843" w:rsidRPr="00A77AF6">
        <w:rPr>
          <w:rFonts w:cstheme="minorHAnsi"/>
        </w:rPr>
        <w:t xml:space="preserve">making ethical judgements are </w:t>
      </w:r>
      <w:r w:rsidR="00596C60" w:rsidRPr="00A77AF6">
        <w:rPr>
          <w:rFonts w:cstheme="minorHAnsi"/>
        </w:rPr>
        <w:t xml:space="preserve">situation-specific </w:t>
      </w:r>
      <w:r w:rsidR="002064AD" w:rsidRPr="00A77AF6">
        <w:rPr>
          <w:rFonts w:cstheme="minorHAnsi"/>
        </w:rPr>
        <w:t>(Reidenbach &amp; Robin, 1988</w:t>
      </w:r>
      <w:r w:rsidR="00593E1F" w:rsidRPr="00A77AF6">
        <w:rPr>
          <w:rFonts w:cstheme="minorHAnsi"/>
        </w:rPr>
        <w:t xml:space="preserve">; </w:t>
      </w:r>
      <w:r w:rsidR="00BF4AE7" w:rsidRPr="00A77AF6">
        <w:rPr>
          <w:rFonts w:cstheme="minorHAnsi"/>
        </w:rPr>
        <w:t xml:space="preserve">Hunt &amp; Vitell, 2006). </w:t>
      </w:r>
      <w:r w:rsidR="00406CD4" w:rsidRPr="00A77AF6">
        <w:rPr>
          <w:rFonts w:cstheme="minorHAnsi"/>
        </w:rPr>
        <w:t xml:space="preserve"> Others agreed, such as </w:t>
      </w:r>
      <w:r w:rsidR="00EB6398" w:rsidRPr="00A77AF6">
        <w:rPr>
          <w:rFonts w:cstheme="minorHAnsi"/>
        </w:rPr>
        <w:t xml:space="preserve">Schminke &amp; Wells (1999) and (Brady &amp; Wheeler (1996). </w:t>
      </w:r>
    </w:p>
    <w:p w14:paraId="43E66A37" w14:textId="27492DEC" w:rsidR="00554DE6" w:rsidRPr="00A77AF6" w:rsidRDefault="00A020E4" w:rsidP="005C24A6">
      <w:pPr>
        <w:spacing w:after="0" w:line="360" w:lineRule="auto"/>
        <w:rPr>
          <w:rFonts w:cstheme="minorHAnsi"/>
          <w:i/>
        </w:rPr>
      </w:pPr>
      <w:r w:rsidRPr="00A77AF6">
        <w:rPr>
          <w:rFonts w:cstheme="minorHAnsi"/>
        </w:rPr>
        <w:t xml:space="preserve">Brady (1985) </w:t>
      </w:r>
      <w:r w:rsidR="009354C3" w:rsidRPr="00A77AF6">
        <w:rPr>
          <w:rFonts w:cstheme="minorHAnsi"/>
        </w:rPr>
        <w:t>found</w:t>
      </w:r>
      <w:r w:rsidR="002E180E" w:rsidRPr="00A77AF6">
        <w:rPr>
          <w:rFonts w:cstheme="minorHAnsi"/>
        </w:rPr>
        <w:t xml:space="preserve"> </w:t>
      </w:r>
      <w:r w:rsidRPr="00A77AF6">
        <w:rPr>
          <w:rFonts w:cstheme="minorHAnsi"/>
        </w:rPr>
        <w:t>that formalism tends to be backward looking, concerned with precedent or existing mo</w:t>
      </w:r>
      <w:r w:rsidR="00E55451" w:rsidRPr="00A77AF6">
        <w:rPr>
          <w:rFonts w:cstheme="minorHAnsi"/>
        </w:rPr>
        <w:t>ral codes whilst u</w:t>
      </w:r>
      <w:r w:rsidRPr="00A77AF6">
        <w:rPr>
          <w:rFonts w:cstheme="minorHAnsi"/>
        </w:rPr>
        <w:t>tilitarianism is forward looking, trying to work out what the impact of</w:t>
      </w:r>
      <w:r w:rsidR="00022C9B" w:rsidRPr="00A77AF6">
        <w:rPr>
          <w:rFonts w:cstheme="minorHAnsi"/>
        </w:rPr>
        <w:t xml:space="preserve"> </w:t>
      </w:r>
      <w:r w:rsidR="00022C9B" w:rsidRPr="00A77AF6">
        <w:rPr>
          <w:rFonts w:cstheme="minorHAnsi"/>
        </w:rPr>
        <w:lastRenderedPageBreak/>
        <w:t>a</w:t>
      </w:r>
      <w:r w:rsidRPr="00A77AF6">
        <w:rPr>
          <w:rFonts w:cstheme="minorHAnsi"/>
        </w:rPr>
        <w:t xml:space="preserve"> decision is or what should be done next.  </w:t>
      </w:r>
      <w:r w:rsidR="00022C9B" w:rsidRPr="00A77AF6">
        <w:rPr>
          <w:rFonts w:cstheme="minorHAnsi"/>
        </w:rPr>
        <w:t xml:space="preserve"> The advantage of removing the binary approach to ethical theory is that it is less adversarial, moving away from the sterile argument about which theory is correct to a model that has more application in the real world when dealing with problems that are faced in business</w:t>
      </w:r>
      <w:r w:rsidR="00A70C98" w:rsidRPr="00A77AF6">
        <w:rPr>
          <w:rFonts w:cstheme="minorHAnsi"/>
        </w:rPr>
        <w:t xml:space="preserve"> </w:t>
      </w:r>
      <w:sdt>
        <w:sdtPr>
          <w:rPr>
            <w:rFonts w:cstheme="minorHAnsi"/>
          </w:rPr>
          <w:id w:val="1603759270"/>
          <w:citation/>
        </w:sdtPr>
        <w:sdtEndPr/>
        <w:sdtContent>
          <w:r w:rsidR="0092273F" w:rsidRPr="00A77AF6">
            <w:rPr>
              <w:rFonts w:cstheme="minorHAnsi"/>
            </w:rPr>
            <w:fldChar w:fldCharType="begin"/>
          </w:r>
          <w:r w:rsidR="0092273F" w:rsidRPr="00A77AF6">
            <w:rPr>
              <w:rFonts w:cstheme="minorHAnsi"/>
            </w:rPr>
            <w:instrText xml:space="preserve"> CITATION Nei85 \l 2057 </w:instrText>
          </w:r>
          <w:r w:rsidR="0092273F" w:rsidRPr="00A77AF6">
            <w:rPr>
              <w:rFonts w:cstheme="minorHAnsi"/>
            </w:rPr>
            <w:fldChar w:fldCharType="separate"/>
          </w:r>
          <w:r w:rsidR="008E653F" w:rsidRPr="00A77AF6">
            <w:rPr>
              <w:rFonts w:cstheme="minorHAnsi"/>
            </w:rPr>
            <w:t>(Brady, 1985)</w:t>
          </w:r>
          <w:r w:rsidR="0092273F" w:rsidRPr="00A77AF6">
            <w:rPr>
              <w:rFonts w:cstheme="minorHAnsi"/>
            </w:rPr>
            <w:fldChar w:fldCharType="end"/>
          </w:r>
        </w:sdtContent>
      </w:sdt>
      <w:r w:rsidR="0092273F" w:rsidRPr="00A77AF6">
        <w:rPr>
          <w:rFonts w:cstheme="minorHAnsi"/>
        </w:rPr>
        <w:t xml:space="preserve">.  </w:t>
      </w:r>
    </w:p>
    <w:p w14:paraId="2D5B44C3" w14:textId="77777777" w:rsidR="00F232A1" w:rsidRPr="00A77AF6" w:rsidRDefault="00F232A1" w:rsidP="00C04402">
      <w:pPr>
        <w:spacing w:after="120" w:line="240" w:lineRule="auto"/>
        <w:ind w:left="720"/>
        <w:rPr>
          <w:rFonts w:cstheme="minorHAnsi"/>
          <w:iCs/>
        </w:rPr>
      </w:pPr>
    </w:p>
    <w:p w14:paraId="7DA846D3" w14:textId="6D94AEE7" w:rsidR="003C5892" w:rsidRPr="00A77AF6" w:rsidRDefault="003C5892" w:rsidP="00C51ED0">
      <w:pPr>
        <w:pStyle w:val="Heading3"/>
        <w:spacing w:after="120"/>
      </w:pPr>
      <w:bookmarkStart w:id="48" w:name="_Toc36275054"/>
      <w:r w:rsidRPr="00A77AF6">
        <w:t>Tools for measuring</w:t>
      </w:r>
      <w:r w:rsidR="00AC0C85" w:rsidRPr="00A77AF6">
        <w:t xml:space="preserve"> ethical predisposition</w:t>
      </w:r>
      <w:bookmarkEnd w:id="48"/>
    </w:p>
    <w:p w14:paraId="1D67D412" w14:textId="47A53C18" w:rsidR="00194A90" w:rsidRDefault="00836084" w:rsidP="00A422F3">
      <w:pPr>
        <w:spacing w:line="360" w:lineRule="auto"/>
        <w:rPr>
          <w:rFonts w:cstheme="minorHAnsi"/>
        </w:rPr>
      </w:pPr>
      <w:r w:rsidRPr="00A77AF6">
        <w:rPr>
          <w:rFonts w:cstheme="minorHAnsi"/>
        </w:rPr>
        <w:t>M</w:t>
      </w:r>
      <w:r w:rsidR="00AC0C85" w:rsidRPr="00A77AF6">
        <w:rPr>
          <w:rFonts w:cstheme="minorHAnsi"/>
        </w:rPr>
        <w:t>easure</w:t>
      </w:r>
      <w:r w:rsidRPr="00A77AF6">
        <w:rPr>
          <w:rFonts w:cstheme="minorHAnsi"/>
        </w:rPr>
        <w:t>s of</w:t>
      </w:r>
      <w:r w:rsidR="00BE3B10" w:rsidRPr="00A77AF6">
        <w:rPr>
          <w:rFonts w:cstheme="minorHAnsi"/>
        </w:rPr>
        <w:t xml:space="preserve"> </w:t>
      </w:r>
      <w:r w:rsidR="003C4D88" w:rsidRPr="00A77AF6">
        <w:rPr>
          <w:rFonts w:cstheme="minorHAnsi"/>
        </w:rPr>
        <w:t>ethical pre-dispos</w:t>
      </w:r>
      <w:r w:rsidR="00AD2046" w:rsidRPr="00A77AF6">
        <w:rPr>
          <w:rFonts w:cstheme="minorHAnsi"/>
        </w:rPr>
        <w:t>i</w:t>
      </w:r>
      <w:r w:rsidR="003C4D88" w:rsidRPr="00A77AF6">
        <w:rPr>
          <w:rFonts w:cstheme="minorHAnsi"/>
        </w:rPr>
        <w:t>tion</w:t>
      </w:r>
      <w:r w:rsidR="00AC0C85" w:rsidRPr="00A77AF6">
        <w:rPr>
          <w:rFonts w:cstheme="minorHAnsi"/>
        </w:rPr>
        <w:t xml:space="preserve"> ha</w:t>
      </w:r>
      <w:r w:rsidRPr="00A77AF6">
        <w:rPr>
          <w:rFonts w:cstheme="minorHAnsi"/>
        </w:rPr>
        <w:t>ve</w:t>
      </w:r>
      <w:r w:rsidR="00AC0C85" w:rsidRPr="00A77AF6">
        <w:rPr>
          <w:rFonts w:cstheme="minorHAnsi"/>
        </w:rPr>
        <w:t xml:space="preserve"> relied mainly on testing subjects about what the</w:t>
      </w:r>
      <w:r w:rsidR="00BE3B10" w:rsidRPr="00A77AF6">
        <w:rPr>
          <w:rFonts w:cstheme="minorHAnsi"/>
        </w:rPr>
        <w:t>y</w:t>
      </w:r>
      <w:r w:rsidR="00AC0C85" w:rsidRPr="00A77AF6">
        <w:rPr>
          <w:rFonts w:cstheme="minorHAnsi"/>
        </w:rPr>
        <w:t xml:space="preserve"> might do in certain </w:t>
      </w:r>
      <w:r w:rsidR="00BE3B10" w:rsidRPr="00A77AF6">
        <w:rPr>
          <w:rFonts w:cstheme="minorHAnsi"/>
        </w:rPr>
        <w:t>situations</w:t>
      </w:r>
      <w:r w:rsidR="009B29F5" w:rsidRPr="00A77AF6">
        <w:rPr>
          <w:rFonts w:cstheme="minorHAnsi"/>
        </w:rPr>
        <w:t xml:space="preserve"> either through questionnaires</w:t>
      </w:r>
      <w:r w:rsidR="003C4D88" w:rsidRPr="00A77AF6">
        <w:rPr>
          <w:rFonts w:cstheme="minorHAnsi"/>
        </w:rPr>
        <w:t xml:space="preserve"> </w:t>
      </w:r>
      <w:sdt>
        <w:sdtPr>
          <w:rPr>
            <w:rFonts w:cstheme="minorHAnsi"/>
          </w:rPr>
          <w:id w:val="-1117214966"/>
          <w:citation/>
        </w:sdtPr>
        <w:sdtEndPr/>
        <w:sdtContent>
          <w:r w:rsidR="003C4D88" w:rsidRPr="00A77AF6">
            <w:rPr>
              <w:rFonts w:cstheme="minorHAnsi"/>
            </w:rPr>
            <w:fldChar w:fldCharType="begin"/>
          </w:r>
          <w:r w:rsidR="003C4D88" w:rsidRPr="00A77AF6">
            <w:rPr>
              <w:rFonts w:cstheme="minorHAnsi"/>
            </w:rPr>
            <w:instrText xml:space="preserve"> CITATION Bel84 \l 2057 </w:instrText>
          </w:r>
          <w:r w:rsidR="003C4D88" w:rsidRPr="00A77AF6">
            <w:rPr>
              <w:rFonts w:cstheme="minorHAnsi"/>
            </w:rPr>
            <w:fldChar w:fldCharType="separate"/>
          </w:r>
          <w:r w:rsidR="008E653F" w:rsidRPr="00A77AF6">
            <w:rPr>
              <w:rFonts w:cstheme="minorHAnsi"/>
            </w:rPr>
            <w:t>(Beltramini, et al., 1984)</w:t>
          </w:r>
          <w:r w:rsidR="003C4D88" w:rsidRPr="00A77AF6">
            <w:rPr>
              <w:rFonts w:cstheme="minorHAnsi"/>
            </w:rPr>
            <w:fldChar w:fldCharType="end"/>
          </w:r>
        </w:sdtContent>
      </w:sdt>
      <w:sdt>
        <w:sdtPr>
          <w:rPr>
            <w:rFonts w:cstheme="minorHAnsi"/>
          </w:rPr>
          <w:id w:val="812215991"/>
          <w:citation/>
        </w:sdtPr>
        <w:sdtEndPr/>
        <w:sdtContent>
          <w:r w:rsidR="009B29F5" w:rsidRPr="00A77AF6">
            <w:rPr>
              <w:rFonts w:cstheme="minorHAnsi"/>
            </w:rPr>
            <w:fldChar w:fldCharType="begin"/>
          </w:r>
          <w:r w:rsidR="009B29F5" w:rsidRPr="00A77AF6">
            <w:rPr>
              <w:rFonts w:cstheme="minorHAnsi"/>
            </w:rPr>
            <w:instrText xml:space="preserve"> CITATION Rue92 \l 2057 </w:instrText>
          </w:r>
          <w:r w:rsidR="009B29F5" w:rsidRPr="00A77AF6">
            <w:rPr>
              <w:rFonts w:cstheme="minorHAnsi"/>
            </w:rPr>
            <w:fldChar w:fldCharType="separate"/>
          </w:r>
          <w:r w:rsidR="008E653F" w:rsidRPr="00A77AF6">
            <w:rPr>
              <w:rFonts w:cstheme="minorHAnsi"/>
            </w:rPr>
            <w:t xml:space="preserve"> (Ruegger &amp; King, 1992)</w:t>
          </w:r>
          <w:r w:rsidR="009B29F5" w:rsidRPr="00A77AF6">
            <w:rPr>
              <w:rFonts w:cstheme="minorHAnsi"/>
            </w:rPr>
            <w:fldChar w:fldCharType="end"/>
          </w:r>
        </w:sdtContent>
      </w:sdt>
      <w:r w:rsidR="003C4D88" w:rsidRPr="00A77AF6">
        <w:rPr>
          <w:rFonts w:cstheme="minorHAnsi"/>
        </w:rPr>
        <w:t xml:space="preserve">; </w:t>
      </w:r>
      <w:sdt>
        <w:sdtPr>
          <w:rPr>
            <w:rFonts w:cstheme="minorHAnsi"/>
          </w:rPr>
          <w:id w:val="441273829"/>
          <w:citation/>
        </w:sdtPr>
        <w:sdtEndPr/>
        <w:sdtContent>
          <w:r w:rsidR="00B37D4B" w:rsidRPr="00A77AF6">
            <w:rPr>
              <w:rFonts w:cstheme="minorHAnsi"/>
            </w:rPr>
            <w:fldChar w:fldCharType="begin"/>
          </w:r>
          <w:r w:rsidR="00F222B9" w:rsidRPr="00A77AF6">
            <w:rPr>
              <w:rFonts w:cstheme="minorHAnsi"/>
            </w:rPr>
            <w:instrText xml:space="preserve">CITATION Mar97 \l 2057 </w:instrText>
          </w:r>
          <w:r w:rsidR="00B37D4B" w:rsidRPr="00A77AF6">
            <w:rPr>
              <w:rFonts w:cstheme="minorHAnsi"/>
            </w:rPr>
            <w:fldChar w:fldCharType="separate"/>
          </w:r>
          <w:r w:rsidR="008E653F" w:rsidRPr="00A77AF6">
            <w:rPr>
              <w:rFonts w:cstheme="minorHAnsi"/>
            </w:rPr>
            <w:t>(Schminke &amp; Ambrose, 1997)</w:t>
          </w:r>
          <w:r w:rsidR="00B37D4B" w:rsidRPr="00A77AF6">
            <w:rPr>
              <w:rFonts w:cstheme="minorHAnsi"/>
            </w:rPr>
            <w:fldChar w:fldCharType="end"/>
          </w:r>
        </w:sdtContent>
      </w:sdt>
      <w:r w:rsidR="00B37D4B" w:rsidRPr="00A77AF6">
        <w:rPr>
          <w:rFonts w:cstheme="minorHAnsi"/>
        </w:rPr>
        <w:t xml:space="preserve">;  </w:t>
      </w:r>
      <w:sdt>
        <w:sdtPr>
          <w:rPr>
            <w:rFonts w:cstheme="minorHAnsi"/>
          </w:rPr>
          <w:id w:val="1380982547"/>
          <w:citation/>
        </w:sdtPr>
        <w:sdtEndPr/>
        <w:sdtContent>
          <w:r w:rsidR="003C4D88" w:rsidRPr="00A77AF6">
            <w:rPr>
              <w:rFonts w:cstheme="minorHAnsi"/>
            </w:rPr>
            <w:fldChar w:fldCharType="begin"/>
          </w:r>
          <w:r w:rsidR="003C4D88" w:rsidRPr="00A77AF6">
            <w:rPr>
              <w:rFonts w:cstheme="minorHAnsi"/>
            </w:rPr>
            <w:instrText xml:space="preserve">CITATION Sco07 \l 2057 </w:instrText>
          </w:r>
          <w:r w:rsidR="003C4D88" w:rsidRPr="00A77AF6">
            <w:rPr>
              <w:rFonts w:cstheme="minorHAnsi"/>
            </w:rPr>
            <w:fldChar w:fldCharType="separate"/>
          </w:r>
          <w:r w:rsidR="008E653F" w:rsidRPr="00A77AF6">
            <w:rPr>
              <w:rFonts w:cstheme="minorHAnsi"/>
            </w:rPr>
            <w:t>(Reynolds &amp; Ceranic, 2007)</w:t>
          </w:r>
          <w:r w:rsidR="003C4D88" w:rsidRPr="00A77AF6">
            <w:rPr>
              <w:rFonts w:cstheme="minorHAnsi"/>
            </w:rPr>
            <w:fldChar w:fldCharType="end"/>
          </w:r>
        </w:sdtContent>
      </w:sdt>
      <w:r w:rsidR="003C4D88" w:rsidRPr="00A77AF6">
        <w:rPr>
          <w:rFonts w:cstheme="minorHAnsi"/>
        </w:rPr>
        <w:t xml:space="preserve"> or </w:t>
      </w:r>
      <w:r w:rsidR="00AC0C85" w:rsidRPr="00A77AF6">
        <w:rPr>
          <w:rFonts w:cstheme="minorHAnsi"/>
        </w:rPr>
        <w:t>vignettes</w:t>
      </w:r>
      <w:r w:rsidR="00BE3B10" w:rsidRPr="00A77AF6">
        <w:rPr>
          <w:rFonts w:cstheme="minorHAnsi"/>
        </w:rPr>
        <w:t xml:space="preserve"> (scenarios)</w:t>
      </w:r>
      <w:r w:rsidR="00AD2046" w:rsidRPr="00A77AF6">
        <w:rPr>
          <w:rFonts w:cstheme="minorHAnsi"/>
        </w:rPr>
        <w:t xml:space="preserve"> </w:t>
      </w:r>
      <w:r w:rsidRPr="00A77AF6">
        <w:rPr>
          <w:rFonts w:cstheme="minorHAnsi"/>
        </w:rPr>
        <w:t>(Brady &amp; Wheeler, 1996 and Schminke, 1997)</w:t>
      </w:r>
      <w:r w:rsidR="00FB1064" w:rsidRPr="00A77AF6">
        <w:rPr>
          <w:rFonts w:cstheme="minorHAnsi"/>
        </w:rPr>
        <w:t xml:space="preserve"> which </w:t>
      </w:r>
      <w:r w:rsidRPr="00A77AF6">
        <w:rPr>
          <w:rFonts w:cstheme="minorHAnsi"/>
        </w:rPr>
        <w:t>pose</w:t>
      </w:r>
      <w:r w:rsidR="00897838" w:rsidRPr="00A77AF6">
        <w:rPr>
          <w:rFonts w:cstheme="minorHAnsi"/>
        </w:rPr>
        <w:t xml:space="preserve"> </w:t>
      </w:r>
      <w:r w:rsidR="00AD2046" w:rsidRPr="00A77AF6">
        <w:rPr>
          <w:rFonts w:cstheme="minorHAnsi"/>
        </w:rPr>
        <w:t>moral dilemma</w:t>
      </w:r>
      <w:r w:rsidR="00897838" w:rsidRPr="00A77AF6">
        <w:rPr>
          <w:rFonts w:cstheme="minorHAnsi"/>
        </w:rPr>
        <w:t>s</w:t>
      </w:r>
      <w:r w:rsidR="00AD2046" w:rsidRPr="00A77AF6">
        <w:rPr>
          <w:rFonts w:cstheme="minorHAnsi"/>
        </w:rPr>
        <w:t xml:space="preserve"> for research subjects</w:t>
      </w:r>
      <w:r w:rsidR="00897838" w:rsidRPr="00A77AF6">
        <w:rPr>
          <w:rFonts w:cstheme="minorHAnsi"/>
        </w:rPr>
        <w:t xml:space="preserve"> to respond to</w:t>
      </w:r>
      <w:r w:rsidR="00011684" w:rsidRPr="00A77AF6">
        <w:rPr>
          <w:rFonts w:cstheme="minorHAnsi"/>
        </w:rPr>
        <w:t>. S</w:t>
      </w:r>
      <w:r w:rsidR="007F29C2" w:rsidRPr="00A77AF6">
        <w:rPr>
          <w:rFonts w:cstheme="minorHAnsi"/>
        </w:rPr>
        <w:t>ubjects are categorised as formalist or utilitarian</w:t>
      </w:r>
      <w:r w:rsidR="00B636B0" w:rsidRPr="00A77AF6">
        <w:rPr>
          <w:rFonts w:cstheme="minorHAnsi"/>
        </w:rPr>
        <w:t xml:space="preserve"> based on their responses</w:t>
      </w:r>
      <w:r w:rsidR="007F29C2" w:rsidRPr="00A77AF6">
        <w:rPr>
          <w:rFonts w:cstheme="minorHAnsi"/>
        </w:rPr>
        <w:t xml:space="preserve">. Researchers have been concerned about bias </w:t>
      </w:r>
      <w:r w:rsidR="00897838" w:rsidRPr="00A77AF6">
        <w:rPr>
          <w:rFonts w:cstheme="minorHAnsi"/>
        </w:rPr>
        <w:t xml:space="preserve">and whether some vignettes might push respondents towards one ethical </w:t>
      </w:r>
      <w:r w:rsidR="00D923A9" w:rsidRPr="00A77AF6">
        <w:rPr>
          <w:rFonts w:cstheme="minorHAnsi"/>
        </w:rPr>
        <w:t>predisposition,</w:t>
      </w:r>
      <w:r w:rsidR="00653E0E" w:rsidRPr="00A77AF6">
        <w:rPr>
          <w:rFonts w:cstheme="minorHAnsi"/>
        </w:rPr>
        <w:t xml:space="preserve"> </w:t>
      </w:r>
      <w:r w:rsidR="000601FB" w:rsidRPr="00A77AF6">
        <w:rPr>
          <w:rFonts w:cstheme="minorHAnsi"/>
        </w:rPr>
        <w:t xml:space="preserve">or another </w:t>
      </w:r>
      <w:r w:rsidR="00B636B0" w:rsidRPr="00A77AF6">
        <w:rPr>
          <w:rFonts w:cstheme="minorHAnsi"/>
        </w:rPr>
        <w:t xml:space="preserve">so </w:t>
      </w:r>
      <w:r w:rsidR="00534AC1" w:rsidRPr="00A77AF6">
        <w:rPr>
          <w:rFonts w:cstheme="minorHAnsi"/>
        </w:rPr>
        <w:t>have tried to remove bias</w:t>
      </w:r>
      <w:r w:rsidR="00897838" w:rsidRPr="00A77AF6">
        <w:rPr>
          <w:rFonts w:cstheme="minorHAnsi"/>
        </w:rPr>
        <w:t xml:space="preserve">. </w:t>
      </w:r>
      <w:r w:rsidR="002E0F6F" w:rsidRPr="00A77AF6">
        <w:rPr>
          <w:rFonts w:cstheme="minorHAnsi"/>
        </w:rPr>
        <w:t xml:space="preserve"> Brady </w:t>
      </w:r>
      <w:r w:rsidR="003A25B2" w:rsidRPr="00A77AF6">
        <w:rPr>
          <w:rFonts w:cstheme="minorHAnsi"/>
        </w:rPr>
        <w:t xml:space="preserve">&amp; </w:t>
      </w:r>
      <w:r w:rsidR="002E0F6F" w:rsidRPr="00A77AF6">
        <w:rPr>
          <w:rFonts w:cstheme="minorHAnsi"/>
        </w:rPr>
        <w:t>Wheeler (1996)</w:t>
      </w:r>
      <w:r w:rsidR="00EC2B96" w:rsidRPr="00A77AF6">
        <w:rPr>
          <w:rFonts w:cstheme="minorHAnsi"/>
        </w:rPr>
        <w:t xml:space="preserve">’s </w:t>
      </w:r>
      <w:r w:rsidR="004C69D0" w:rsidRPr="00A77AF6">
        <w:rPr>
          <w:rFonts w:cstheme="minorHAnsi"/>
        </w:rPr>
        <w:t xml:space="preserve">Measure of Ethical Viewpoints (MEV) uses a </w:t>
      </w:r>
      <w:r w:rsidR="007A2B5F" w:rsidRPr="00A77AF6">
        <w:rPr>
          <w:rFonts w:cstheme="minorHAnsi"/>
        </w:rPr>
        <w:t>20-point</w:t>
      </w:r>
      <w:r w:rsidR="004C69D0" w:rsidRPr="00A77AF6">
        <w:rPr>
          <w:rFonts w:cstheme="minorHAnsi"/>
        </w:rPr>
        <w:t xml:space="preserve"> list of character traits and asks respondents to rate them based on the importance of each trait to the respondent on a </w:t>
      </w:r>
      <w:r w:rsidR="007A2B5F" w:rsidRPr="00A77AF6">
        <w:rPr>
          <w:rFonts w:cstheme="minorHAnsi"/>
        </w:rPr>
        <w:t>seven-point</w:t>
      </w:r>
      <w:r w:rsidR="004C69D0" w:rsidRPr="00A77AF6">
        <w:rPr>
          <w:rFonts w:cstheme="minorHAnsi"/>
        </w:rPr>
        <w:t xml:space="preserve"> scale</w:t>
      </w:r>
      <w:r w:rsidR="00B90FB7" w:rsidRPr="00A77AF6">
        <w:rPr>
          <w:rFonts w:cstheme="minorHAnsi"/>
        </w:rPr>
        <w:t xml:space="preserve"> (1-7 with </w:t>
      </w:r>
      <w:r w:rsidR="000601FB" w:rsidRPr="00A77AF6">
        <w:rPr>
          <w:rFonts w:cstheme="minorHAnsi"/>
        </w:rPr>
        <w:t xml:space="preserve">1 being the least important and </w:t>
      </w:r>
      <w:r w:rsidR="00B90FB7" w:rsidRPr="00A77AF6">
        <w:rPr>
          <w:rFonts w:cstheme="minorHAnsi"/>
        </w:rPr>
        <w:t>7 being the most important)</w:t>
      </w:r>
      <w:r w:rsidR="004C69D0" w:rsidRPr="00A77AF6">
        <w:rPr>
          <w:rFonts w:cstheme="minorHAnsi"/>
        </w:rPr>
        <w:t xml:space="preserve">.  </w:t>
      </w:r>
      <w:r w:rsidR="00E758C3" w:rsidRPr="00A77AF6">
        <w:rPr>
          <w:rFonts w:cstheme="minorHAnsi"/>
        </w:rPr>
        <w:t xml:space="preserve">Brady </w:t>
      </w:r>
      <w:r w:rsidR="003A25B2" w:rsidRPr="00A77AF6">
        <w:rPr>
          <w:rFonts w:cstheme="minorHAnsi"/>
        </w:rPr>
        <w:t xml:space="preserve">&amp; </w:t>
      </w:r>
      <w:r w:rsidR="00E758C3" w:rsidRPr="00A77AF6">
        <w:rPr>
          <w:rFonts w:cstheme="minorHAnsi"/>
        </w:rPr>
        <w:t xml:space="preserve">Wheeler (1996) wanted to be sure that the MEV was a viable and reliable alternative to the use of vignettes and the results from both methods were competed to test for bias. The results obtained by the MEV were very similar to those obtained using vignettes and so Brady </w:t>
      </w:r>
      <w:r w:rsidR="00003DAA" w:rsidRPr="00A77AF6">
        <w:rPr>
          <w:rFonts w:cstheme="minorHAnsi"/>
        </w:rPr>
        <w:t>&amp;</w:t>
      </w:r>
      <w:r w:rsidR="00E758C3" w:rsidRPr="00A77AF6">
        <w:rPr>
          <w:rFonts w:cstheme="minorHAnsi"/>
        </w:rPr>
        <w:t xml:space="preserve"> Wheeler (1996) concluded that the MEV was </w:t>
      </w:r>
      <w:r w:rsidR="000601FB" w:rsidRPr="00A77AF6">
        <w:rPr>
          <w:rFonts w:cstheme="minorHAnsi"/>
        </w:rPr>
        <w:t>valid</w:t>
      </w:r>
      <w:r w:rsidR="009577F8" w:rsidRPr="00A77AF6">
        <w:rPr>
          <w:rFonts w:cstheme="minorHAnsi"/>
        </w:rPr>
        <w:t>.</w:t>
      </w:r>
      <w:r w:rsidR="00AA3904" w:rsidRPr="00A77AF6">
        <w:rPr>
          <w:rFonts w:cstheme="minorHAnsi"/>
        </w:rPr>
        <w:t xml:space="preserve">  </w:t>
      </w:r>
      <w:r w:rsidR="004C69D0" w:rsidRPr="00A77AF6">
        <w:rPr>
          <w:rFonts w:cstheme="minorHAnsi"/>
        </w:rPr>
        <w:t xml:space="preserve">The character traits are mapped either to formalism, utilitarianism or neither. Respondents </w:t>
      </w:r>
      <w:r w:rsidR="00AA3904" w:rsidRPr="00A77AF6">
        <w:rPr>
          <w:rFonts w:cstheme="minorHAnsi"/>
        </w:rPr>
        <w:t>were</w:t>
      </w:r>
      <w:r w:rsidR="004C69D0" w:rsidRPr="00A77AF6">
        <w:rPr>
          <w:rFonts w:cstheme="minorHAnsi"/>
        </w:rPr>
        <w:t xml:space="preserve"> not informed which one is which</w:t>
      </w:r>
      <w:r w:rsidR="00B90FB7" w:rsidRPr="00A77AF6">
        <w:rPr>
          <w:rFonts w:cstheme="minorHAnsi"/>
        </w:rPr>
        <w:t xml:space="preserve"> (</w:t>
      </w:r>
      <w:r w:rsidR="00033265" w:rsidRPr="00A77AF6">
        <w:rPr>
          <w:rFonts w:cstheme="minorHAnsi"/>
        </w:rPr>
        <w:t>T</w:t>
      </w:r>
      <w:r w:rsidR="00B90FB7" w:rsidRPr="00A77AF6">
        <w:rPr>
          <w:rFonts w:cstheme="minorHAnsi"/>
        </w:rPr>
        <w:t xml:space="preserve">able </w:t>
      </w:r>
      <w:r w:rsidR="000601FB" w:rsidRPr="00A77AF6">
        <w:rPr>
          <w:rFonts w:cstheme="minorHAnsi"/>
        </w:rPr>
        <w:t>3-1</w:t>
      </w:r>
      <w:r w:rsidR="00B90FB7" w:rsidRPr="00A77AF6">
        <w:rPr>
          <w:rFonts w:cstheme="minorHAnsi"/>
        </w:rPr>
        <w:t>)</w:t>
      </w:r>
      <w:r w:rsidR="004C69D0" w:rsidRPr="00A77AF6">
        <w:rPr>
          <w:rFonts w:cstheme="minorHAnsi"/>
        </w:rPr>
        <w:t xml:space="preserve">.  The average score for formalism </w:t>
      </w:r>
      <w:r w:rsidR="00F37AFC" w:rsidRPr="00A77AF6">
        <w:rPr>
          <w:rFonts w:cstheme="minorHAnsi"/>
        </w:rPr>
        <w:t xml:space="preserve">and the average </w:t>
      </w:r>
      <w:r w:rsidR="004C69D0" w:rsidRPr="00A77AF6">
        <w:rPr>
          <w:rFonts w:cstheme="minorHAnsi"/>
        </w:rPr>
        <w:t>score for utilitarianism</w:t>
      </w:r>
      <w:r w:rsidR="00F37AFC" w:rsidRPr="00A77AF6">
        <w:rPr>
          <w:rFonts w:cstheme="minorHAnsi"/>
        </w:rPr>
        <w:t xml:space="preserve"> are calculated</w:t>
      </w:r>
      <w:r w:rsidR="003514C4" w:rsidRPr="00A77AF6">
        <w:rPr>
          <w:rFonts w:cstheme="minorHAnsi"/>
        </w:rPr>
        <w:t xml:space="preserve"> and t</w:t>
      </w:r>
      <w:r w:rsidR="00082C17" w:rsidRPr="00A77AF6">
        <w:rPr>
          <w:rFonts w:cstheme="minorHAnsi"/>
        </w:rPr>
        <w:t xml:space="preserve">he scores indicate whether a respondent is more predisposed to formalism or utilitarianism.  </w:t>
      </w:r>
      <w:r w:rsidR="00F37AFC" w:rsidRPr="00A77AF6">
        <w:rPr>
          <w:rFonts w:cstheme="minorHAnsi"/>
        </w:rPr>
        <w:t xml:space="preserve"> </w:t>
      </w:r>
      <w:r w:rsidR="00082C17" w:rsidRPr="00A77AF6">
        <w:rPr>
          <w:rFonts w:cstheme="minorHAnsi"/>
        </w:rPr>
        <w:t>Brady (1985)</w:t>
      </w:r>
      <w:r w:rsidR="008864C5" w:rsidRPr="00A77AF6">
        <w:rPr>
          <w:rFonts w:cstheme="minorHAnsi"/>
        </w:rPr>
        <w:t xml:space="preserve"> </w:t>
      </w:r>
      <w:r w:rsidR="00E0088D" w:rsidRPr="00A77AF6">
        <w:rPr>
          <w:rFonts w:cstheme="minorHAnsi"/>
        </w:rPr>
        <w:t xml:space="preserve">argued </w:t>
      </w:r>
      <w:r w:rsidR="008864C5" w:rsidRPr="00A77AF6">
        <w:rPr>
          <w:rFonts w:cstheme="minorHAnsi"/>
        </w:rPr>
        <w:t>that people</w:t>
      </w:r>
      <w:r w:rsidR="00082C17" w:rsidRPr="00A77AF6">
        <w:rPr>
          <w:rFonts w:cstheme="minorHAnsi"/>
        </w:rPr>
        <w:t xml:space="preserve"> can and do</w:t>
      </w:r>
      <w:r w:rsidR="008864C5" w:rsidRPr="00A77AF6">
        <w:rPr>
          <w:rFonts w:cstheme="minorHAnsi"/>
        </w:rPr>
        <w:t xml:space="preserve"> hold both formalist and utilitarian viewpoints </w:t>
      </w:r>
      <w:r w:rsidR="00415055" w:rsidRPr="00A77AF6">
        <w:rPr>
          <w:rFonts w:cstheme="minorHAnsi"/>
        </w:rPr>
        <w:t>and that their formalism may be tempered by utilitarianism or vice versa.</w:t>
      </w:r>
      <w:r w:rsidR="008864C5" w:rsidRPr="00A77AF6">
        <w:rPr>
          <w:rFonts w:cstheme="minorHAnsi"/>
        </w:rPr>
        <w:t xml:space="preserve">  People can score highly for both formalism or utilitarianism, high for one and </w:t>
      </w:r>
      <w:r w:rsidR="000601FB" w:rsidRPr="00A77AF6">
        <w:rPr>
          <w:rFonts w:cstheme="minorHAnsi"/>
        </w:rPr>
        <w:t xml:space="preserve">low for </w:t>
      </w:r>
      <w:r w:rsidR="008864C5" w:rsidRPr="00A77AF6">
        <w:rPr>
          <w:rFonts w:cstheme="minorHAnsi"/>
        </w:rPr>
        <w:t xml:space="preserve">the other, or low for both. </w:t>
      </w:r>
      <w:r w:rsidR="00E840C5" w:rsidRPr="00A77AF6">
        <w:rPr>
          <w:rFonts w:cstheme="minorHAnsi"/>
        </w:rPr>
        <w:t xml:space="preserve">Because the </w:t>
      </w:r>
      <w:r w:rsidR="009F02DF" w:rsidRPr="00A77AF6">
        <w:rPr>
          <w:rFonts w:cstheme="minorHAnsi"/>
        </w:rPr>
        <w:t xml:space="preserve">MEV </w:t>
      </w:r>
      <w:r w:rsidR="00E840C5" w:rsidRPr="00A77AF6">
        <w:rPr>
          <w:rFonts w:cstheme="minorHAnsi"/>
        </w:rPr>
        <w:t xml:space="preserve">gives two scores, it is possible to see which </w:t>
      </w:r>
      <w:r w:rsidR="009F02DF" w:rsidRPr="00A77AF6">
        <w:rPr>
          <w:rFonts w:cstheme="minorHAnsi"/>
        </w:rPr>
        <w:t>is the stronger of the two</w:t>
      </w:r>
      <w:r w:rsidR="00E840C5" w:rsidRPr="00A77AF6">
        <w:rPr>
          <w:rFonts w:cstheme="minorHAnsi"/>
        </w:rPr>
        <w:t xml:space="preserve">. </w:t>
      </w:r>
      <w:r w:rsidR="009F02DF" w:rsidRPr="00A77AF6">
        <w:rPr>
          <w:rFonts w:cstheme="minorHAnsi"/>
        </w:rPr>
        <w:t xml:space="preserve"> </w:t>
      </w:r>
      <w:r w:rsidR="00F951CC" w:rsidRPr="00A77AF6">
        <w:rPr>
          <w:rFonts w:cstheme="minorHAnsi"/>
        </w:rPr>
        <w:t xml:space="preserve"> </w:t>
      </w:r>
    </w:p>
    <w:p w14:paraId="28FF4F6B" w14:textId="77777777" w:rsidR="00194A90" w:rsidRDefault="00194A90">
      <w:pPr>
        <w:rPr>
          <w:rFonts w:cstheme="minorHAnsi"/>
        </w:rPr>
      </w:pPr>
      <w:r>
        <w:rPr>
          <w:rFonts w:cstheme="minorHAnsi"/>
        </w:rPr>
        <w:br w:type="page"/>
      </w:r>
    </w:p>
    <w:p w14:paraId="0CB50EA6" w14:textId="6E19EDE3" w:rsidR="00960ABD" w:rsidRPr="00A77AF6" w:rsidRDefault="00960ABD" w:rsidP="000601FB">
      <w:pPr>
        <w:pStyle w:val="Caption"/>
        <w:keepNext/>
        <w:spacing w:after="120"/>
      </w:pPr>
      <w:r w:rsidRPr="00A77AF6">
        <w:lastRenderedPageBreak/>
        <w:t xml:space="preserve">Table </w:t>
      </w:r>
      <w:fldSimple w:instr=" STYLEREF 1 \s ">
        <w:r w:rsidR="000441F7">
          <w:rPr>
            <w:noProof/>
          </w:rPr>
          <w:t>3</w:t>
        </w:r>
      </w:fldSimple>
      <w:r w:rsidR="00804112">
        <w:noBreakHyphen/>
      </w:r>
      <w:fldSimple w:instr=" SEQ Table \* ARABIC \s 1 ">
        <w:r w:rsidR="000441F7">
          <w:rPr>
            <w:noProof/>
          </w:rPr>
          <w:t>1</w:t>
        </w:r>
      </w:fldSimple>
      <w:r w:rsidRPr="00A77AF6">
        <w:t>: MEV</w:t>
      </w:r>
      <w:r w:rsidR="00AB603D" w:rsidRPr="00A77AF6">
        <w:t>’s</w:t>
      </w:r>
      <w:r w:rsidRPr="00A77AF6">
        <w:t xml:space="preserve"> 20</w:t>
      </w:r>
      <w:r w:rsidR="00AB603D" w:rsidRPr="00A77AF6">
        <w:t>-</w:t>
      </w:r>
      <w:r w:rsidRPr="00A77AF6">
        <w:t>character traits and ethical predisposition category</w:t>
      </w:r>
    </w:p>
    <w:tbl>
      <w:tblPr>
        <w:tblW w:w="7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913"/>
        <w:gridCol w:w="1678"/>
        <w:gridCol w:w="1678"/>
        <w:gridCol w:w="1678"/>
      </w:tblGrid>
      <w:tr w:rsidR="00F93FF3" w:rsidRPr="00A77AF6" w14:paraId="2CB36163" w14:textId="77777777" w:rsidTr="001F5EF6">
        <w:tc>
          <w:tcPr>
            <w:tcW w:w="562" w:type="dxa"/>
            <w:shd w:val="clear" w:color="auto" w:fill="D9D9D9" w:themeFill="background1" w:themeFillShade="D9"/>
          </w:tcPr>
          <w:p w14:paraId="63340580" w14:textId="77777777" w:rsidR="00F93FF3" w:rsidRPr="00A77AF6" w:rsidRDefault="00F93FF3" w:rsidP="00F93FF3">
            <w:pPr>
              <w:pStyle w:val="ListParagraph"/>
              <w:spacing w:after="0" w:line="276" w:lineRule="auto"/>
              <w:ind w:left="360"/>
              <w:rPr>
                <w:rFonts w:cstheme="minorHAnsi"/>
                <w:sz w:val="20"/>
                <w:szCs w:val="20"/>
              </w:rPr>
            </w:pPr>
          </w:p>
        </w:tc>
        <w:tc>
          <w:tcPr>
            <w:tcW w:w="1913" w:type="dxa"/>
            <w:shd w:val="clear" w:color="auto" w:fill="D9D9D9" w:themeFill="background1" w:themeFillShade="D9"/>
          </w:tcPr>
          <w:p w14:paraId="63A8B813" w14:textId="3C3BF508" w:rsidR="00F93FF3" w:rsidRPr="00A77AF6" w:rsidRDefault="00F93FF3" w:rsidP="00F93FF3">
            <w:pPr>
              <w:spacing w:after="0" w:line="276" w:lineRule="auto"/>
              <w:rPr>
                <w:rFonts w:cstheme="minorHAnsi"/>
                <w:sz w:val="20"/>
                <w:szCs w:val="20"/>
              </w:rPr>
            </w:pPr>
            <w:r w:rsidRPr="00A77AF6">
              <w:rPr>
                <w:rFonts w:cstheme="minorHAnsi"/>
                <w:sz w:val="20"/>
                <w:szCs w:val="20"/>
              </w:rPr>
              <w:t>Character Trait</w:t>
            </w:r>
          </w:p>
        </w:tc>
        <w:tc>
          <w:tcPr>
            <w:tcW w:w="1678" w:type="dxa"/>
            <w:shd w:val="clear" w:color="auto" w:fill="D9D9D9" w:themeFill="background1" w:themeFillShade="D9"/>
          </w:tcPr>
          <w:p w14:paraId="5F25C3D4" w14:textId="02BEC4BD" w:rsidR="00F93FF3" w:rsidRPr="00A77AF6" w:rsidRDefault="00F93FF3" w:rsidP="00F93FF3">
            <w:pPr>
              <w:spacing w:after="0" w:line="276" w:lineRule="auto"/>
              <w:rPr>
                <w:rFonts w:cstheme="minorHAnsi"/>
                <w:sz w:val="20"/>
                <w:szCs w:val="20"/>
              </w:rPr>
            </w:pPr>
            <w:r w:rsidRPr="00A77AF6">
              <w:rPr>
                <w:rFonts w:cstheme="minorHAnsi"/>
                <w:sz w:val="20"/>
                <w:szCs w:val="20"/>
              </w:rPr>
              <w:t xml:space="preserve">Formalist </w:t>
            </w:r>
          </w:p>
        </w:tc>
        <w:tc>
          <w:tcPr>
            <w:tcW w:w="1678" w:type="dxa"/>
            <w:shd w:val="clear" w:color="auto" w:fill="D9D9D9" w:themeFill="background1" w:themeFillShade="D9"/>
          </w:tcPr>
          <w:p w14:paraId="7A339D6F" w14:textId="7047D1F5" w:rsidR="00F93FF3" w:rsidRPr="00A77AF6" w:rsidRDefault="00F93FF3" w:rsidP="00F93FF3">
            <w:pPr>
              <w:spacing w:after="0" w:line="276" w:lineRule="auto"/>
              <w:rPr>
                <w:rFonts w:cstheme="minorHAnsi"/>
                <w:sz w:val="20"/>
                <w:szCs w:val="20"/>
              </w:rPr>
            </w:pPr>
            <w:r w:rsidRPr="00A77AF6">
              <w:rPr>
                <w:rFonts w:cstheme="minorHAnsi"/>
                <w:sz w:val="20"/>
                <w:szCs w:val="20"/>
              </w:rPr>
              <w:t xml:space="preserve">Utilitarian </w:t>
            </w:r>
          </w:p>
        </w:tc>
        <w:tc>
          <w:tcPr>
            <w:tcW w:w="1678" w:type="dxa"/>
            <w:shd w:val="clear" w:color="auto" w:fill="D9D9D9" w:themeFill="background1" w:themeFillShade="D9"/>
          </w:tcPr>
          <w:p w14:paraId="46D67781" w14:textId="394D95C4" w:rsidR="00F93FF3" w:rsidRPr="00A77AF6" w:rsidRDefault="00F93FF3" w:rsidP="00835D90">
            <w:pPr>
              <w:spacing w:after="0" w:line="240" w:lineRule="auto"/>
              <w:rPr>
                <w:rFonts w:cstheme="minorHAnsi"/>
                <w:sz w:val="20"/>
                <w:szCs w:val="20"/>
              </w:rPr>
            </w:pPr>
            <w:r w:rsidRPr="00A77AF6">
              <w:rPr>
                <w:rFonts w:cstheme="minorHAnsi"/>
                <w:sz w:val="20"/>
                <w:szCs w:val="20"/>
              </w:rPr>
              <w:t xml:space="preserve">Neither (so exclude from analysis) </w:t>
            </w:r>
          </w:p>
        </w:tc>
      </w:tr>
      <w:tr w:rsidR="00F93FF3" w:rsidRPr="00A77AF6" w14:paraId="05A5B1B0" w14:textId="77777777" w:rsidTr="00F93FF3">
        <w:tc>
          <w:tcPr>
            <w:tcW w:w="562" w:type="dxa"/>
          </w:tcPr>
          <w:p w14:paraId="4218DADE" w14:textId="77777777" w:rsidR="00F93FF3" w:rsidRPr="00A77AF6" w:rsidRDefault="00F93FF3" w:rsidP="003D2A57">
            <w:pPr>
              <w:pStyle w:val="ListParagraph"/>
              <w:numPr>
                <w:ilvl w:val="0"/>
                <w:numId w:val="4"/>
              </w:numPr>
              <w:spacing w:after="0" w:line="276" w:lineRule="auto"/>
              <w:rPr>
                <w:rFonts w:cstheme="minorHAnsi"/>
                <w:sz w:val="20"/>
                <w:szCs w:val="20"/>
              </w:rPr>
            </w:pPr>
          </w:p>
        </w:tc>
        <w:tc>
          <w:tcPr>
            <w:tcW w:w="1913" w:type="dxa"/>
          </w:tcPr>
          <w:p w14:paraId="78ABDE6A" w14:textId="5DC3F848" w:rsidR="00F93FF3" w:rsidRPr="00A77AF6" w:rsidRDefault="00F93FF3" w:rsidP="00F93FF3">
            <w:pPr>
              <w:spacing w:after="0" w:line="276" w:lineRule="auto"/>
              <w:rPr>
                <w:rFonts w:cstheme="minorHAnsi"/>
                <w:sz w:val="20"/>
                <w:szCs w:val="20"/>
              </w:rPr>
            </w:pPr>
            <w:r w:rsidRPr="00A77AF6">
              <w:rPr>
                <w:rFonts w:cstheme="minorHAnsi"/>
                <w:sz w:val="20"/>
                <w:szCs w:val="20"/>
              </w:rPr>
              <w:t>Innovative</w:t>
            </w:r>
          </w:p>
        </w:tc>
        <w:tc>
          <w:tcPr>
            <w:tcW w:w="1678" w:type="dxa"/>
          </w:tcPr>
          <w:p w14:paraId="018825C3" w14:textId="77777777" w:rsidR="00F93FF3" w:rsidRPr="00A77AF6" w:rsidRDefault="00F93FF3" w:rsidP="00F93FF3">
            <w:pPr>
              <w:spacing w:after="0" w:line="276" w:lineRule="auto"/>
              <w:rPr>
                <w:rFonts w:cstheme="minorHAnsi"/>
                <w:sz w:val="20"/>
                <w:szCs w:val="20"/>
              </w:rPr>
            </w:pPr>
          </w:p>
        </w:tc>
        <w:tc>
          <w:tcPr>
            <w:tcW w:w="1678" w:type="dxa"/>
          </w:tcPr>
          <w:p w14:paraId="086F0DAD" w14:textId="0E4EA0C3"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c>
          <w:tcPr>
            <w:tcW w:w="1678" w:type="dxa"/>
          </w:tcPr>
          <w:p w14:paraId="5F1D6482" w14:textId="2F1C3A48" w:rsidR="00F93FF3" w:rsidRPr="00A77AF6" w:rsidRDefault="00F93FF3" w:rsidP="00F93FF3">
            <w:pPr>
              <w:spacing w:after="0" w:line="276" w:lineRule="auto"/>
              <w:rPr>
                <w:rFonts w:cstheme="minorHAnsi"/>
                <w:sz w:val="20"/>
                <w:szCs w:val="20"/>
              </w:rPr>
            </w:pPr>
          </w:p>
        </w:tc>
      </w:tr>
      <w:tr w:rsidR="00F93FF3" w:rsidRPr="00A77AF6" w14:paraId="7680BB70" w14:textId="77777777" w:rsidTr="00F93FF3">
        <w:tc>
          <w:tcPr>
            <w:tcW w:w="562" w:type="dxa"/>
          </w:tcPr>
          <w:p w14:paraId="359ED60B" w14:textId="77777777" w:rsidR="00F93FF3" w:rsidRPr="00A77AF6" w:rsidRDefault="00F93FF3" w:rsidP="003D2A57">
            <w:pPr>
              <w:pStyle w:val="ListParagraph"/>
              <w:numPr>
                <w:ilvl w:val="0"/>
                <w:numId w:val="4"/>
              </w:numPr>
              <w:spacing w:after="0" w:line="276" w:lineRule="auto"/>
              <w:rPr>
                <w:rFonts w:cstheme="minorHAnsi"/>
                <w:sz w:val="20"/>
                <w:szCs w:val="20"/>
              </w:rPr>
            </w:pPr>
          </w:p>
        </w:tc>
        <w:tc>
          <w:tcPr>
            <w:tcW w:w="1913" w:type="dxa"/>
          </w:tcPr>
          <w:p w14:paraId="409E5F71" w14:textId="4E914207" w:rsidR="00F93FF3" w:rsidRPr="00A77AF6" w:rsidRDefault="00F93FF3" w:rsidP="00F93FF3">
            <w:pPr>
              <w:spacing w:after="0" w:line="276" w:lineRule="auto"/>
              <w:rPr>
                <w:rFonts w:cstheme="minorHAnsi"/>
                <w:sz w:val="20"/>
                <w:szCs w:val="20"/>
              </w:rPr>
            </w:pPr>
            <w:r w:rsidRPr="00A77AF6">
              <w:rPr>
                <w:rFonts w:cstheme="minorHAnsi"/>
                <w:sz w:val="20"/>
                <w:szCs w:val="20"/>
              </w:rPr>
              <w:t>Principled</w:t>
            </w:r>
          </w:p>
        </w:tc>
        <w:tc>
          <w:tcPr>
            <w:tcW w:w="1678" w:type="dxa"/>
          </w:tcPr>
          <w:p w14:paraId="66DF2185" w14:textId="5A8370D4"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c>
          <w:tcPr>
            <w:tcW w:w="1678" w:type="dxa"/>
          </w:tcPr>
          <w:p w14:paraId="047A6202" w14:textId="77777777" w:rsidR="00F93FF3" w:rsidRPr="00A77AF6" w:rsidRDefault="00F93FF3" w:rsidP="00F93FF3">
            <w:pPr>
              <w:spacing w:after="0" w:line="276" w:lineRule="auto"/>
              <w:rPr>
                <w:rFonts w:cstheme="minorHAnsi"/>
                <w:sz w:val="20"/>
                <w:szCs w:val="20"/>
              </w:rPr>
            </w:pPr>
          </w:p>
        </w:tc>
        <w:tc>
          <w:tcPr>
            <w:tcW w:w="1678" w:type="dxa"/>
          </w:tcPr>
          <w:p w14:paraId="1915DB0A" w14:textId="0A67BDD2" w:rsidR="00F93FF3" w:rsidRPr="00A77AF6" w:rsidRDefault="00F93FF3" w:rsidP="00F93FF3">
            <w:pPr>
              <w:spacing w:after="0" w:line="276" w:lineRule="auto"/>
              <w:rPr>
                <w:rFonts w:cstheme="minorHAnsi"/>
                <w:sz w:val="20"/>
                <w:szCs w:val="20"/>
              </w:rPr>
            </w:pPr>
          </w:p>
        </w:tc>
      </w:tr>
      <w:tr w:rsidR="00F93FF3" w:rsidRPr="00A77AF6" w14:paraId="03E34676" w14:textId="77777777" w:rsidTr="00F93FF3">
        <w:tc>
          <w:tcPr>
            <w:tcW w:w="562" w:type="dxa"/>
          </w:tcPr>
          <w:p w14:paraId="1C63FEE9" w14:textId="77777777" w:rsidR="00F93FF3" w:rsidRPr="00A77AF6" w:rsidRDefault="00F93FF3" w:rsidP="003D2A57">
            <w:pPr>
              <w:pStyle w:val="ListParagraph"/>
              <w:numPr>
                <w:ilvl w:val="0"/>
                <w:numId w:val="4"/>
              </w:numPr>
              <w:spacing w:after="0" w:line="276" w:lineRule="auto"/>
              <w:rPr>
                <w:rFonts w:cstheme="minorHAnsi"/>
                <w:sz w:val="20"/>
                <w:szCs w:val="20"/>
              </w:rPr>
            </w:pPr>
          </w:p>
        </w:tc>
        <w:tc>
          <w:tcPr>
            <w:tcW w:w="1913" w:type="dxa"/>
          </w:tcPr>
          <w:p w14:paraId="43A3A95B" w14:textId="2986331F" w:rsidR="00F93FF3" w:rsidRPr="00A77AF6" w:rsidRDefault="00F93FF3" w:rsidP="00F93FF3">
            <w:pPr>
              <w:spacing w:after="0" w:line="276" w:lineRule="auto"/>
              <w:rPr>
                <w:rFonts w:cstheme="minorHAnsi"/>
                <w:sz w:val="20"/>
                <w:szCs w:val="20"/>
              </w:rPr>
            </w:pPr>
            <w:r w:rsidRPr="00A77AF6">
              <w:rPr>
                <w:rFonts w:cstheme="minorHAnsi"/>
                <w:sz w:val="20"/>
                <w:szCs w:val="20"/>
              </w:rPr>
              <w:t>Benevolent</w:t>
            </w:r>
          </w:p>
        </w:tc>
        <w:tc>
          <w:tcPr>
            <w:tcW w:w="1678" w:type="dxa"/>
          </w:tcPr>
          <w:p w14:paraId="65E5E3F8" w14:textId="77777777" w:rsidR="00F93FF3" w:rsidRPr="00A77AF6" w:rsidRDefault="00F93FF3" w:rsidP="00F93FF3">
            <w:pPr>
              <w:spacing w:after="0" w:line="276" w:lineRule="auto"/>
              <w:rPr>
                <w:rFonts w:cstheme="minorHAnsi"/>
                <w:sz w:val="20"/>
                <w:szCs w:val="20"/>
              </w:rPr>
            </w:pPr>
          </w:p>
        </w:tc>
        <w:tc>
          <w:tcPr>
            <w:tcW w:w="1678" w:type="dxa"/>
          </w:tcPr>
          <w:p w14:paraId="577B42DE" w14:textId="77777777" w:rsidR="00F93FF3" w:rsidRPr="00A77AF6" w:rsidRDefault="00F93FF3" w:rsidP="00F93FF3">
            <w:pPr>
              <w:spacing w:after="0" w:line="276" w:lineRule="auto"/>
              <w:rPr>
                <w:rFonts w:cstheme="minorHAnsi"/>
                <w:sz w:val="20"/>
                <w:szCs w:val="20"/>
              </w:rPr>
            </w:pPr>
          </w:p>
        </w:tc>
        <w:tc>
          <w:tcPr>
            <w:tcW w:w="1678" w:type="dxa"/>
          </w:tcPr>
          <w:p w14:paraId="3F67959C" w14:textId="4B49CF42"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r>
      <w:tr w:rsidR="00F93FF3" w:rsidRPr="00A77AF6" w14:paraId="6BD670B8" w14:textId="77777777" w:rsidTr="00F93FF3">
        <w:tc>
          <w:tcPr>
            <w:tcW w:w="562" w:type="dxa"/>
          </w:tcPr>
          <w:p w14:paraId="2DDCD3C9" w14:textId="77777777" w:rsidR="00F93FF3" w:rsidRPr="00A77AF6" w:rsidRDefault="00F93FF3" w:rsidP="003D2A57">
            <w:pPr>
              <w:pStyle w:val="ListParagraph"/>
              <w:numPr>
                <w:ilvl w:val="0"/>
                <w:numId w:val="4"/>
              </w:numPr>
              <w:spacing w:after="0" w:line="276" w:lineRule="auto"/>
              <w:rPr>
                <w:rFonts w:cstheme="minorHAnsi"/>
                <w:sz w:val="20"/>
                <w:szCs w:val="20"/>
              </w:rPr>
            </w:pPr>
          </w:p>
        </w:tc>
        <w:tc>
          <w:tcPr>
            <w:tcW w:w="1913" w:type="dxa"/>
          </w:tcPr>
          <w:p w14:paraId="4112C69A" w14:textId="4336F188" w:rsidR="00F93FF3" w:rsidRPr="00A77AF6" w:rsidRDefault="00F93FF3" w:rsidP="00F93FF3">
            <w:pPr>
              <w:spacing w:after="0" w:line="276" w:lineRule="auto"/>
              <w:rPr>
                <w:rFonts w:cstheme="minorHAnsi"/>
                <w:sz w:val="20"/>
                <w:szCs w:val="20"/>
              </w:rPr>
            </w:pPr>
            <w:r w:rsidRPr="00A77AF6">
              <w:rPr>
                <w:rFonts w:cstheme="minorHAnsi"/>
                <w:sz w:val="20"/>
                <w:szCs w:val="20"/>
              </w:rPr>
              <w:t>Dependable</w:t>
            </w:r>
          </w:p>
        </w:tc>
        <w:tc>
          <w:tcPr>
            <w:tcW w:w="1678" w:type="dxa"/>
          </w:tcPr>
          <w:p w14:paraId="7B51542E" w14:textId="6CAE54C2"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c>
          <w:tcPr>
            <w:tcW w:w="1678" w:type="dxa"/>
          </w:tcPr>
          <w:p w14:paraId="3FFDAEC8" w14:textId="77777777" w:rsidR="00F93FF3" w:rsidRPr="00A77AF6" w:rsidRDefault="00F93FF3" w:rsidP="00F93FF3">
            <w:pPr>
              <w:spacing w:after="0" w:line="276" w:lineRule="auto"/>
              <w:rPr>
                <w:rFonts w:cstheme="minorHAnsi"/>
                <w:sz w:val="20"/>
                <w:szCs w:val="20"/>
              </w:rPr>
            </w:pPr>
          </w:p>
        </w:tc>
        <w:tc>
          <w:tcPr>
            <w:tcW w:w="1678" w:type="dxa"/>
          </w:tcPr>
          <w:p w14:paraId="7A1752F5" w14:textId="5DB39A10" w:rsidR="00F93FF3" w:rsidRPr="00A77AF6" w:rsidRDefault="00F93FF3" w:rsidP="00F93FF3">
            <w:pPr>
              <w:spacing w:after="0" w:line="276" w:lineRule="auto"/>
              <w:rPr>
                <w:rFonts w:cstheme="minorHAnsi"/>
                <w:sz w:val="20"/>
                <w:szCs w:val="20"/>
              </w:rPr>
            </w:pPr>
          </w:p>
        </w:tc>
      </w:tr>
      <w:tr w:rsidR="00F93FF3" w:rsidRPr="00A77AF6" w14:paraId="52E6273A" w14:textId="77777777" w:rsidTr="00F93FF3">
        <w:tc>
          <w:tcPr>
            <w:tcW w:w="562" w:type="dxa"/>
          </w:tcPr>
          <w:p w14:paraId="5060FC80" w14:textId="77777777" w:rsidR="00F93FF3" w:rsidRPr="00A77AF6" w:rsidRDefault="00F93FF3" w:rsidP="003D2A57">
            <w:pPr>
              <w:pStyle w:val="ListParagraph"/>
              <w:numPr>
                <w:ilvl w:val="0"/>
                <w:numId w:val="4"/>
              </w:numPr>
              <w:spacing w:after="0" w:line="276" w:lineRule="auto"/>
              <w:rPr>
                <w:rFonts w:cstheme="minorHAnsi"/>
                <w:sz w:val="20"/>
                <w:szCs w:val="20"/>
              </w:rPr>
            </w:pPr>
          </w:p>
        </w:tc>
        <w:tc>
          <w:tcPr>
            <w:tcW w:w="1913" w:type="dxa"/>
          </w:tcPr>
          <w:p w14:paraId="1CAF3C74" w14:textId="0BB596A5" w:rsidR="00F93FF3" w:rsidRPr="00A77AF6" w:rsidRDefault="00F93FF3" w:rsidP="00F93FF3">
            <w:pPr>
              <w:spacing w:after="0" w:line="276" w:lineRule="auto"/>
              <w:rPr>
                <w:rFonts w:cstheme="minorHAnsi"/>
                <w:sz w:val="20"/>
                <w:szCs w:val="20"/>
              </w:rPr>
            </w:pPr>
            <w:r w:rsidRPr="00A77AF6">
              <w:rPr>
                <w:rFonts w:cstheme="minorHAnsi"/>
                <w:sz w:val="20"/>
                <w:szCs w:val="20"/>
              </w:rPr>
              <w:t>Resourceful</w:t>
            </w:r>
          </w:p>
        </w:tc>
        <w:tc>
          <w:tcPr>
            <w:tcW w:w="1678" w:type="dxa"/>
          </w:tcPr>
          <w:p w14:paraId="19B286CA" w14:textId="77777777" w:rsidR="00F93FF3" w:rsidRPr="00A77AF6" w:rsidRDefault="00F93FF3" w:rsidP="00F93FF3">
            <w:pPr>
              <w:spacing w:after="0" w:line="276" w:lineRule="auto"/>
              <w:rPr>
                <w:rFonts w:cstheme="minorHAnsi"/>
                <w:sz w:val="20"/>
                <w:szCs w:val="20"/>
              </w:rPr>
            </w:pPr>
          </w:p>
        </w:tc>
        <w:tc>
          <w:tcPr>
            <w:tcW w:w="1678" w:type="dxa"/>
          </w:tcPr>
          <w:p w14:paraId="2EBFDED6" w14:textId="797A1CF2"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c>
          <w:tcPr>
            <w:tcW w:w="1678" w:type="dxa"/>
          </w:tcPr>
          <w:p w14:paraId="70E9C2E1" w14:textId="45D08D8B" w:rsidR="00F93FF3" w:rsidRPr="00A77AF6" w:rsidRDefault="00F93FF3" w:rsidP="00F93FF3">
            <w:pPr>
              <w:spacing w:after="0" w:line="276" w:lineRule="auto"/>
              <w:rPr>
                <w:rFonts w:cstheme="minorHAnsi"/>
                <w:sz w:val="20"/>
                <w:szCs w:val="20"/>
              </w:rPr>
            </w:pPr>
          </w:p>
        </w:tc>
      </w:tr>
      <w:tr w:rsidR="00F93FF3" w:rsidRPr="00A77AF6" w14:paraId="5AD3CD7F" w14:textId="77777777" w:rsidTr="00F93FF3">
        <w:tc>
          <w:tcPr>
            <w:tcW w:w="562" w:type="dxa"/>
          </w:tcPr>
          <w:p w14:paraId="7246B1F4" w14:textId="77777777" w:rsidR="00F93FF3" w:rsidRPr="00A77AF6" w:rsidRDefault="00F93FF3" w:rsidP="003D2A57">
            <w:pPr>
              <w:pStyle w:val="ListParagraph"/>
              <w:numPr>
                <w:ilvl w:val="0"/>
                <w:numId w:val="4"/>
              </w:numPr>
              <w:spacing w:after="0" w:line="276" w:lineRule="auto"/>
              <w:rPr>
                <w:rFonts w:cstheme="minorHAnsi"/>
                <w:sz w:val="20"/>
                <w:szCs w:val="20"/>
              </w:rPr>
            </w:pPr>
          </w:p>
        </w:tc>
        <w:tc>
          <w:tcPr>
            <w:tcW w:w="1913" w:type="dxa"/>
          </w:tcPr>
          <w:p w14:paraId="627BAEB7" w14:textId="33C39C0F" w:rsidR="00F93FF3" w:rsidRPr="00A77AF6" w:rsidRDefault="00F93FF3" w:rsidP="00F93FF3">
            <w:pPr>
              <w:spacing w:after="0" w:line="276" w:lineRule="auto"/>
              <w:rPr>
                <w:rFonts w:cstheme="minorHAnsi"/>
                <w:sz w:val="20"/>
                <w:szCs w:val="20"/>
              </w:rPr>
            </w:pPr>
            <w:r w:rsidRPr="00A77AF6">
              <w:rPr>
                <w:rFonts w:cstheme="minorHAnsi"/>
                <w:sz w:val="20"/>
                <w:szCs w:val="20"/>
              </w:rPr>
              <w:t>Trustworthy</w:t>
            </w:r>
          </w:p>
        </w:tc>
        <w:tc>
          <w:tcPr>
            <w:tcW w:w="1678" w:type="dxa"/>
          </w:tcPr>
          <w:p w14:paraId="69B2B04F" w14:textId="6D3A4CF4"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c>
          <w:tcPr>
            <w:tcW w:w="1678" w:type="dxa"/>
          </w:tcPr>
          <w:p w14:paraId="201BE9C0" w14:textId="77777777" w:rsidR="00F93FF3" w:rsidRPr="00A77AF6" w:rsidRDefault="00F93FF3" w:rsidP="00F93FF3">
            <w:pPr>
              <w:spacing w:after="0" w:line="276" w:lineRule="auto"/>
              <w:rPr>
                <w:rFonts w:cstheme="minorHAnsi"/>
                <w:sz w:val="20"/>
                <w:szCs w:val="20"/>
              </w:rPr>
            </w:pPr>
          </w:p>
        </w:tc>
        <w:tc>
          <w:tcPr>
            <w:tcW w:w="1678" w:type="dxa"/>
          </w:tcPr>
          <w:p w14:paraId="0722BDB0" w14:textId="7349512B" w:rsidR="00F93FF3" w:rsidRPr="00A77AF6" w:rsidRDefault="00F93FF3" w:rsidP="00F93FF3">
            <w:pPr>
              <w:spacing w:after="0" w:line="276" w:lineRule="auto"/>
              <w:rPr>
                <w:rFonts w:cstheme="minorHAnsi"/>
                <w:sz w:val="20"/>
                <w:szCs w:val="20"/>
              </w:rPr>
            </w:pPr>
          </w:p>
        </w:tc>
      </w:tr>
      <w:tr w:rsidR="00F93FF3" w:rsidRPr="00A77AF6" w14:paraId="66DED1CE" w14:textId="77777777" w:rsidTr="00F93FF3">
        <w:tc>
          <w:tcPr>
            <w:tcW w:w="562" w:type="dxa"/>
          </w:tcPr>
          <w:p w14:paraId="504C5E2F" w14:textId="77777777" w:rsidR="00F93FF3" w:rsidRPr="00A77AF6" w:rsidRDefault="00F93FF3" w:rsidP="003D2A57">
            <w:pPr>
              <w:pStyle w:val="ListParagraph"/>
              <w:numPr>
                <w:ilvl w:val="0"/>
                <w:numId w:val="4"/>
              </w:numPr>
              <w:spacing w:after="0" w:line="276" w:lineRule="auto"/>
              <w:rPr>
                <w:rFonts w:cstheme="minorHAnsi"/>
                <w:sz w:val="20"/>
                <w:szCs w:val="20"/>
              </w:rPr>
            </w:pPr>
          </w:p>
        </w:tc>
        <w:tc>
          <w:tcPr>
            <w:tcW w:w="1913" w:type="dxa"/>
          </w:tcPr>
          <w:p w14:paraId="0A7F62B2" w14:textId="1D25DAEC" w:rsidR="00F93FF3" w:rsidRPr="00A77AF6" w:rsidRDefault="00F93FF3" w:rsidP="00F93FF3">
            <w:pPr>
              <w:spacing w:after="0" w:line="276" w:lineRule="auto"/>
              <w:rPr>
                <w:rFonts w:cstheme="minorHAnsi"/>
                <w:sz w:val="20"/>
                <w:szCs w:val="20"/>
              </w:rPr>
            </w:pPr>
            <w:r w:rsidRPr="00A77AF6">
              <w:rPr>
                <w:rFonts w:cstheme="minorHAnsi"/>
                <w:sz w:val="20"/>
                <w:szCs w:val="20"/>
              </w:rPr>
              <w:t>Effective</w:t>
            </w:r>
          </w:p>
        </w:tc>
        <w:tc>
          <w:tcPr>
            <w:tcW w:w="1678" w:type="dxa"/>
          </w:tcPr>
          <w:p w14:paraId="3AD827E7" w14:textId="77777777" w:rsidR="00F93FF3" w:rsidRPr="00A77AF6" w:rsidRDefault="00F93FF3" w:rsidP="00F93FF3">
            <w:pPr>
              <w:spacing w:after="0" w:line="276" w:lineRule="auto"/>
              <w:rPr>
                <w:rFonts w:cstheme="minorHAnsi"/>
                <w:sz w:val="20"/>
                <w:szCs w:val="20"/>
              </w:rPr>
            </w:pPr>
          </w:p>
        </w:tc>
        <w:tc>
          <w:tcPr>
            <w:tcW w:w="1678" w:type="dxa"/>
          </w:tcPr>
          <w:p w14:paraId="4AAF15DC" w14:textId="5CB57463"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c>
          <w:tcPr>
            <w:tcW w:w="1678" w:type="dxa"/>
          </w:tcPr>
          <w:p w14:paraId="117F975F" w14:textId="66E4A778" w:rsidR="00F93FF3" w:rsidRPr="00A77AF6" w:rsidRDefault="00F93FF3" w:rsidP="00F93FF3">
            <w:pPr>
              <w:spacing w:after="0" w:line="276" w:lineRule="auto"/>
              <w:rPr>
                <w:rFonts w:cstheme="minorHAnsi"/>
                <w:sz w:val="20"/>
                <w:szCs w:val="20"/>
              </w:rPr>
            </w:pPr>
          </w:p>
        </w:tc>
      </w:tr>
      <w:tr w:rsidR="00F93FF3" w:rsidRPr="00A77AF6" w14:paraId="43AB5704" w14:textId="77777777" w:rsidTr="00F93FF3">
        <w:tc>
          <w:tcPr>
            <w:tcW w:w="562" w:type="dxa"/>
          </w:tcPr>
          <w:p w14:paraId="75A318E8" w14:textId="77777777" w:rsidR="00F93FF3" w:rsidRPr="00A77AF6" w:rsidRDefault="00F93FF3" w:rsidP="003D2A57">
            <w:pPr>
              <w:pStyle w:val="ListParagraph"/>
              <w:numPr>
                <w:ilvl w:val="0"/>
                <w:numId w:val="4"/>
              </w:numPr>
              <w:spacing w:after="0" w:line="276" w:lineRule="auto"/>
              <w:rPr>
                <w:rFonts w:cstheme="minorHAnsi"/>
                <w:sz w:val="20"/>
                <w:szCs w:val="20"/>
              </w:rPr>
            </w:pPr>
          </w:p>
        </w:tc>
        <w:tc>
          <w:tcPr>
            <w:tcW w:w="1913" w:type="dxa"/>
          </w:tcPr>
          <w:p w14:paraId="682305E0" w14:textId="1CC611BC" w:rsidR="00F93FF3" w:rsidRPr="00A77AF6" w:rsidRDefault="00F93FF3" w:rsidP="00F93FF3">
            <w:pPr>
              <w:spacing w:after="0" w:line="276" w:lineRule="auto"/>
              <w:rPr>
                <w:rFonts w:cstheme="minorHAnsi"/>
                <w:sz w:val="20"/>
                <w:szCs w:val="20"/>
              </w:rPr>
            </w:pPr>
            <w:r w:rsidRPr="00A77AF6">
              <w:rPr>
                <w:rFonts w:cstheme="minorHAnsi"/>
                <w:sz w:val="20"/>
                <w:szCs w:val="20"/>
              </w:rPr>
              <w:t>Honest</w:t>
            </w:r>
          </w:p>
        </w:tc>
        <w:tc>
          <w:tcPr>
            <w:tcW w:w="1678" w:type="dxa"/>
          </w:tcPr>
          <w:p w14:paraId="3B0638FE" w14:textId="2402AFD7"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c>
          <w:tcPr>
            <w:tcW w:w="1678" w:type="dxa"/>
          </w:tcPr>
          <w:p w14:paraId="5A8DE056" w14:textId="77777777" w:rsidR="00F93FF3" w:rsidRPr="00A77AF6" w:rsidRDefault="00F93FF3" w:rsidP="00F93FF3">
            <w:pPr>
              <w:spacing w:after="0" w:line="276" w:lineRule="auto"/>
              <w:rPr>
                <w:rFonts w:cstheme="minorHAnsi"/>
                <w:sz w:val="20"/>
                <w:szCs w:val="20"/>
              </w:rPr>
            </w:pPr>
          </w:p>
        </w:tc>
        <w:tc>
          <w:tcPr>
            <w:tcW w:w="1678" w:type="dxa"/>
          </w:tcPr>
          <w:p w14:paraId="78C549C1" w14:textId="3CC37CD9" w:rsidR="00F93FF3" w:rsidRPr="00A77AF6" w:rsidRDefault="00F93FF3" w:rsidP="00F93FF3">
            <w:pPr>
              <w:spacing w:after="0" w:line="276" w:lineRule="auto"/>
              <w:rPr>
                <w:rFonts w:cstheme="minorHAnsi"/>
                <w:sz w:val="20"/>
                <w:szCs w:val="20"/>
              </w:rPr>
            </w:pPr>
          </w:p>
        </w:tc>
      </w:tr>
      <w:tr w:rsidR="00F93FF3" w:rsidRPr="00A77AF6" w14:paraId="6E51912B" w14:textId="77777777" w:rsidTr="00F93FF3">
        <w:tc>
          <w:tcPr>
            <w:tcW w:w="562" w:type="dxa"/>
          </w:tcPr>
          <w:p w14:paraId="4190C49F" w14:textId="77777777" w:rsidR="00F93FF3" w:rsidRPr="00A77AF6" w:rsidRDefault="00F93FF3" w:rsidP="003D2A57">
            <w:pPr>
              <w:pStyle w:val="ListParagraph"/>
              <w:numPr>
                <w:ilvl w:val="0"/>
                <w:numId w:val="4"/>
              </w:numPr>
              <w:spacing w:after="0" w:line="276" w:lineRule="auto"/>
              <w:rPr>
                <w:rFonts w:cstheme="minorHAnsi"/>
                <w:sz w:val="20"/>
                <w:szCs w:val="20"/>
              </w:rPr>
            </w:pPr>
          </w:p>
        </w:tc>
        <w:tc>
          <w:tcPr>
            <w:tcW w:w="1913" w:type="dxa"/>
          </w:tcPr>
          <w:p w14:paraId="48AB797B" w14:textId="0CFF84A7" w:rsidR="00F93FF3" w:rsidRPr="00A77AF6" w:rsidRDefault="00F93FF3" w:rsidP="00F93FF3">
            <w:pPr>
              <w:spacing w:after="0" w:line="276" w:lineRule="auto"/>
              <w:rPr>
                <w:rFonts w:cstheme="minorHAnsi"/>
                <w:sz w:val="20"/>
                <w:szCs w:val="20"/>
              </w:rPr>
            </w:pPr>
            <w:r w:rsidRPr="00A77AF6">
              <w:rPr>
                <w:rFonts w:cstheme="minorHAnsi"/>
                <w:sz w:val="20"/>
                <w:szCs w:val="20"/>
              </w:rPr>
              <w:t>Influential</w:t>
            </w:r>
          </w:p>
        </w:tc>
        <w:tc>
          <w:tcPr>
            <w:tcW w:w="1678" w:type="dxa"/>
          </w:tcPr>
          <w:p w14:paraId="07619826" w14:textId="77777777" w:rsidR="00F93FF3" w:rsidRPr="00A77AF6" w:rsidRDefault="00F93FF3" w:rsidP="00F93FF3">
            <w:pPr>
              <w:spacing w:after="0" w:line="276" w:lineRule="auto"/>
              <w:rPr>
                <w:rFonts w:cstheme="minorHAnsi"/>
                <w:sz w:val="20"/>
                <w:szCs w:val="20"/>
              </w:rPr>
            </w:pPr>
          </w:p>
        </w:tc>
        <w:tc>
          <w:tcPr>
            <w:tcW w:w="1678" w:type="dxa"/>
          </w:tcPr>
          <w:p w14:paraId="3E8FB10A" w14:textId="383ED933"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c>
          <w:tcPr>
            <w:tcW w:w="1678" w:type="dxa"/>
          </w:tcPr>
          <w:p w14:paraId="4616A8AB" w14:textId="413F69EF" w:rsidR="00F93FF3" w:rsidRPr="00A77AF6" w:rsidRDefault="00F93FF3" w:rsidP="00F93FF3">
            <w:pPr>
              <w:spacing w:after="0" w:line="276" w:lineRule="auto"/>
              <w:rPr>
                <w:rFonts w:cstheme="minorHAnsi"/>
                <w:sz w:val="20"/>
                <w:szCs w:val="20"/>
              </w:rPr>
            </w:pPr>
          </w:p>
        </w:tc>
      </w:tr>
      <w:tr w:rsidR="00F93FF3" w:rsidRPr="00A77AF6" w14:paraId="39F7DCEC" w14:textId="77777777" w:rsidTr="00F93FF3">
        <w:tc>
          <w:tcPr>
            <w:tcW w:w="562" w:type="dxa"/>
          </w:tcPr>
          <w:p w14:paraId="021DB021" w14:textId="77777777" w:rsidR="00F93FF3" w:rsidRPr="00A77AF6" w:rsidRDefault="00F93FF3" w:rsidP="003D2A57">
            <w:pPr>
              <w:pStyle w:val="ListParagraph"/>
              <w:numPr>
                <w:ilvl w:val="0"/>
                <w:numId w:val="4"/>
              </w:numPr>
              <w:spacing w:after="0" w:line="276" w:lineRule="auto"/>
              <w:rPr>
                <w:rFonts w:cstheme="minorHAnsi"/>
                <w:sz w:val="20"/>
                <w:szCs w:val="20"/>
              </w:rPr>
            </w:pPr>
          </w:p>
        </w:tc>
        <w:tc>
          <w:tcPr>
            <w:tcW w:w="1913" w:type="dxa"/>
          </w:tcPr>
          <w:p w14:paraId="250793F9" w14:textId="7CF99D6C" w:rsidR="00F93FF3" w:rsidRPr="00A77AF6" w:rsidRDefault="00F93FF3" w:rsidP="00F93FF3">
            <w:pPr>
              <w:spacing w:after="0" w:line="276" w:lineRule="auto"/>
              <w:rPr>
                <w:rFonts w:cstheme="minorHAnsi"/>
                <w:sz w:val="20"/>
                <w:szCs w:val="20"/>
              </w:rPr>
            </w:pPr>
            <w:r w:rsidRPr="00A77AF6">
              <w:rPr>
                <w:rFonts w:cstheme="minorHAnsi"/>
                <w:sz w:val="20"/>
                <w:szCs w:val="20"/>
              </w:rPr>
              <w:t>Dutiful</w:t>
            </w:r>
          </w:p>
        </w:tc>
        <w:tc>
          <w:tcPr>
            <w:tcW w:w="1678" w:type="dxa"/>
          </w:tcPr>
          <w:p w14:paraId="414F9899" w14:textId="77777777" w:rsidR="00F93FF3" w:rsidRPr="00A77AF6" w:rsidRDefault="00F93FF3" w:rsidP="00F93FF3">
            <w:pPr>
              <w:spacing w:after="0" w:line="276" w:lineRule="auto"/>
              <w:rPr>
                <w:rFonts w:cstheme="minorHAnsi"/>
                <w:sz w:val="20"/>
                <w:szCs w:val="20"/>
              </w:rPr>
            </w:pPr>
          </w:p>
        </w:tc>
        <w:tc>
          <w:tcPr>
            <w:tcW w:w="1678" w:type="dxa"/>
          </w:tcPr>
          <w:p w14:paraId="55D62CF0" w14:textId="77777777" w:rsidR="00F93FF3" w:rsidRPr="00A77AF6" w:rsidRDefault="00F93FF3" w:rsidP="00F93FF3">
            <w:pPr>
              <w:spacing w:after="0" w:line="276" w:lineRule="auto"/>
              <w:rPr>
                <w:rFonts w:cstheme="minorHAnsi"/>
                <w:sz w:val="20"/>
                <w:szCs w:val="20"/>
              </w:rPr>
            </w:pPr>
          </w:p>
        </w:tc>
        <w:tc>
          <w:tcPr>
            <w:tcW w:w="1678" w:type="dxa"/>
          </w:tcPr>
          <w:p w14:paraId="259E0378" w14:textId="17E8783A"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r>
      <w:tr w:rsidR="00F93FF3" w:rsidRPr="00A77AF6" w14:paraId="12D6BE63" w14:textId="77777777" w:rsidTr="00F93FF3">
        <w:tc>
          <w:tcPr>
            <w:tcW w:w="562" w:type="dxa"/>
          </w:tcPr>
          <w:p w14:paraId="0F32431C" w14:textId="0750F4DC" w:rsidR="00F93FF3" w:rsidRPr="00A77AF6" w:rsidRDefault="00F93FF3" w:rsidP="003D2A57">
            <w:pPr>
              <w:pStyle w:val="ListParagraph"/>
              <w:numPr>
                <w:ilvl w:val="0"/>
                <w:numId w:val="4"/>
              </w:numPr>
              <w:spacing w:after="0" w:line="276" w:lineRule="auto"/>
              <w:rPr>
                <w:rFonts w:cstheme="minorHAnsi"/>
                <w:sz w:val="20"/>
                <w:szCs w:val="20"/>
              </w:rPr>
            </w:pPr>
          </w:p>
        </w:tc>
        <w:tc>
          <w:tcPr>
            <w:tcW w:w="1913" w:type="dxa"/>
          </w:tcPr>
          <w:p w14:paraId="16455514" w14:textId="264CC611" w:rsidR="00F93FF3" w:rsidRPr="00A77AF6" w:rsidRDefault="00F93FF3" w:rsidP="00F93FF3">
            <w:pPr>
              <w:spacing w:after="0" w:line="276" w:lineRule="auto"/>
              <w:rPr>
                <w:rFonts w:cstheme="minorHAnsi"/>
                <w:sz w:val="20"/>
                <w:szCs w:val="20"/>
              </w:rPr>
            </w:pPr>
            <w:r w:rsidRPr="00A77AF6">
              <w:rPr>
                <w:rFonts w:cstheme="minorHAnsi"/>
                <w:sz w:val="20"/>
                <w:szCs w:val="20"/>
              </w:rPr>
              <w:t>Independent</w:t>
            </w:r>
          </w:p>
        </w:tc>
        <w:tc>
          <w:tcPr>
            <w:tcW w:w="1678" w:type="dxa"/>
          </w:tcPr>
          <w:p w14:paraId="5B7C9191" w14:textId="77777777" w:rsidR="00F93FF3" w:rsidRPr="00A77AF6" w:rsidRDefault="00F93FF3" w:rsidP="00F93FF3">
            <w:pPr>
              <w:spacing w:after="0" w:line="276" w:lineRule="auto"/>
              <w:rPr>
                <w:rFonts w:cstheme="minorHAnsi"/>
                <w:sz w:val="20"/>
                <w:szCs w:val="20"/>
              </w:rPr>
            </w:pPr>
          </w:p>
        </w:tc>
        <w:tc>
          <w:tcPr>
            <w:tcW w:w="1678" w:type="dxa"/>
          </w:tcPr>
          <w:p w14:paraId="114F2469" w14:textId="77777777" w:rsidR="00F93FF3" w:rsidRPr="00A77AF6" w:rsidRDefault="00F93FF3" w:rsidP="00F93FF3">
            <w:pPr>
              <w:spacing w:after="0" w:line="276" w:lineRule="auto"/>
              <w:rPr>
                <w:rFonts w:cstheme="minorHAnsi"/>
                <w:sz w:val="20"/>
                <w:szCs w:val="20"/>
              </w:rPr>
            </w:pPr>
          </w:p>
        </w:tc>
        <w:tc>
          <w:tcPr>
            <w:tcW w:w="1678" w:type="dxa"/>
          </w:tcPr>
          <w:p w14:paraId="54E93D05" w14:textId="0BE623A8"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r>
      <w:tr w:rsidR="00F93FF3" w:rsidRPr="00A77AF6" w14:paraId="5C0762E3" w14:textId="77777777" w:rsidTr="00F93FF3">
        <w:tc>
          <w:tcPr>
            <w:tcW w:w="562" w:type="dxa"/>
          </w:tcPr>
          <w:p w14:paraId="073A2B8D" w14:textId="77777777" w:rsidR="00F93FF3" w:rsidRPr="00A77AF6" w:rsidRDefault="00F93FF3" w:rsidP="003D2A57">
            <w:pPr>
              <w:pStyle w:val="ListParagraph"/>
              <w:numPr>
                <w:ilvl w:val="0"/>
                <w:numId w:val="4"/>
              </w:numPr>
              <w:spacing w:after="0" w:line="276" w:lineRule="auto"/>
              <w:rPr>
                <w:rFonts w:cstheme="minorHAnsi"/>
                <w:sz w:val="20"/>
                <w:szCs w:val="20"/>
              </w:rPr>
            </w:pPr>
          </w:p>
        </w:tc>
        <w:tc>
          <w:tcPr>
            <w:tcW w:w="1913" w:type="dxa"/>
          </w:tcPr>
          <w:p w14:paraId="5DA56CCE" w14:textId="087EBD1B" w:rsidR="00F93FF3" w:rsidRPr="00A77AF6" w:rsidRDefault="00F93FF3" w:rsidP="00F93FF3">
            <w:pPr>
              <w:spacing w:after="0" w:line="276" w:lineRule="auto"/>
              <w:rPr>
                <w:rFonts w:cstheme="minorHAnsi"/>
                <w:sz w:val="20"/>
                <w:szCs w:val="20"/>
              </w:rPr>
            </w:pPr>
            <w:r w:rsidRPr="00A77AF6">
              <w:rPr>
                <w:rFonts w:cstheme="minorHAnsi"/>
                <w:sz w:val="20"/>
                <w:szCs w:val="20"/>
              </w:rPr>
              <w:t>Dedicated to cause</w:t>
            </w:r>
          </w:p>
        </w:tc>
        <w:tc>
          <w:tcPr>
            <w:tcW w:w="1678" w:type="dxa"/>
          </w:tcPr>
          <w:p w14:paraId="33667D7A" w14:textId="77777777" w:rsidR="00F93FF3" w:rsidRPr="00A77AF6" w:rsidRDefault="00F93FF3" w:rsidP="00F93FF3">
            <w:pPr>
              <w:spacing w:after="0" w:line="276" w:lineRule="auto"/>
              <w:rPr>
                <w:rFonts w:cstheme="minorHAnsi"/>
                <w:sz w:val="20"/>
                <w:szCs w:val="20"/>
              </w:rPr>
            </w:pPr>
          </w:p>
        </w:tc>
        <w:tc>
          <w:tcPr>
            <w:tcW w:w="1678" w:type="dxa"/>
          </w:tcPr>
          <w:p w14:paraId="0D59C00F" w14:textId="77777777" w:rsidR="00F93FF3" w:rsidRPr="00A77AF6" w:rsidRDefault="00F93FF3" w:rsidP="00F93FF3">
            <w:pPr>
              <w:spacing w:after="0" w:line="276" w:lineRule="auto"/>
              <w:rPr>
                <w:rFonts w:cstheme="minorHAnsi"/>
                <w:sz w:val="20"/>
                <w:szCs w:val="20"/>
              </w:rPr>
            </w:pPr>
          </w:p>
        </w:tc>
        <w:tc>
          <w:tcPr>
            <w:tcW w:w="1678" w:type="dxa"/>
          </w:tcPr>
          <w:p w14:paraId="7DE88370" w14:textId="74F898E5"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r>
      <w:tr w:rsidR="00F93FF3" w:rsidRPr="00A77AF6" w14:paraId="2A82FA76" w14:textId="77777777" w:rsidTr="00F93FF3">
        <w:tc>
          <w:tcPr>
            <w:tcW w:w="562" w:type="dxa"/>
          </w:tcPr>
          <w:p w14:paraId="00379D97" w14:textId="77777777" w:rsidR="00F93FF3" w:rsidRPr="00A77AF6" w:rsidRDefault="00F93FF3" w:rsidP="003D2A57">
            <w:pPr>
              <w:pStyle w:val="ListParagraph"/>
              <w:numPr>
                <w:ilvl w:val="0"/>
                <w:numId w:val="4"/>
              </w:numPr>
              <w:spacing w:after="0" w:line="276" w:lineRule="auto"/>
              <w:rPr>
                <w:rFonts w:cstheme="minorHAnsi"/>
                <w:sz w:val="20"/>
                <w:szCs w:val="20"/>
              </w:rPr>
            </w:pPr>
          </w:p>
        </w:tc>
        <w:tc>
          <w:tcPr>
            <w:tcW w:w="1913" w:type="dxa"/>
          </w:tcPr>
          <w:p w14:paraId="70A55BFB" w14:textId="27D255FD" w:rsidR="00F93FF3" w:rsidRPr="00A77AF6" w:rsidRDefault="00F93FF3" w:rsidP="00F93FF3">
            <w:pPr>
              <w:spacing w:after="0" w:line="276" w:lineRule="auto"/>
              <w:rPr>
                <w:rFonts w:cstheme="minorHAnsi"/>
                <w:sz w:val="20"/>
                <w:szCs w:val="20"/>
              </w:rPr>
            </w:pPr>
            <w:r w:rsidRPr="00A77AF6">
              <w:rPr>
                <w:rFonts w:cstheme="minorHAnsi"/>
                <w:sz w:val="20"/>
                <w:szCs w:val="20"/>
              </w:rPr>
              <w:t>Results-orientated</w:t>
            </w:r>
          </w:p>
        </w:tc>
        <w:tc>
          <w:tcPr>
            <w:tcW w:w="1678" w:type="dxa"/>
          </w:tcPr>
          <w:p w14:paraId="680A31F7" w14:textId="77777777" w:rsidR="00F93FF3" w:rsidRPr="00A77AF6" w:rsidRDefault="00F93FF3" w:rsidP="00F93FF3">
            <w:pPr>
              <w:spacing w:after="0" w:line="276" w:lineRule="auto"/>
              <w:rPr>
                <w:rFonts w:cstheme="minorHAnsi"/>
                <w:sz w:val="20"/>
                <w:szCs w:val="20"/>
              </w:rPr>
            </w:pPr>
          </w:p>
        </w:tc>
        <w:tc>
          <w:tcPr>
            <w:tcW w:w="1678" w:type="dxa"/>
          </w:tcPr>
          <w:p w14:paraId="25BC4008" w14:textId="5E1F4E32"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c>
          <w:tcPr>
            <w:tcW w:w="1678" w:type="dxa"/>
          </w:tcPr>
          <w:p w14:paraId="6A2BB9C7" w14:textId="460218BC" w:rsidR="00F93FF3" w:rsidRPr="00A77AF6" w:rsidRDefault="00F93FF3" w:rsidP="00F93FF3">
            <w:pPr>
              <w:spacing w:after="0" w:line="276" w:lineRule="auto"/>
              <w:rPr>
                <w:rFonts w:cstheme="minorHAnsi"/>
                <w:sz w:val="20"/>
                <w:szCs w:val="20"/>
              </w:rPr>
            </w:pPr>
          </w:p>
        </w:tc>
      </w:tr>
      <w:tr w:rsidR="00F93FF3" w:rsidRPr="00A77AF6" w14:paraId="73C2BAE1" w14:textId="77777777" w:rsidTr="00F93FF3">
        <w:tc>
          <w:tcPr>
            <w:tcW w:w="562" w:type="dxa"/>
          </w:tcPr>
          <w:p w14:paraId="36F81DFA" w14:textId="310D4B9E" w:rsidR="00F93FF3" w:rsidRPr="00A77AF6" w:rsidRDefault="00F93FF3" w:rsidP="003D2A57">
            <w:pPr>
              <w:pStyle w:val="ListParagraph"/>
              <w:numPr>
                <w:ilvl w:val="0"/>
                <w:numId w:val="4"/>
              </w:numPr>
              <w:spacing w:after="0" w:line="276" w:lineRule="auto"/>
              <w:rPr>
                <w:rFonts w:cstheme="minorHAnsi"/>
                <w:sz w:val="20"/>
                <w:szCs w:val="20"/>
              </w:rPr>
            </w:pPr>
          </w:p>
        </w:tc>
        <w:tc>
          <w:tcPr>
            <w:tcW w:w="1913" w:type="dxa"/>
          </w:tcPr>
          <w:p w14:paraId="67A2CC18" w14:textId="0075579C" w:rsidR="00F93FF3" w:rsidRPr="00A77AF6" w:rsidRDefault="00F93FF3" w:rsidP="00F93FF3">
            <w:pPr>
              <w:spacing w:after="0" w:line="276" w:lineRule="auto"/>
              <w:rPr>
                <w:rFonts w:cstheme="minorHAnsi"/>
                <w:sz w:val="20"/>
                <w:szCs w:val="20"/>
              </w:rPr>
            </w:pPr>
            <w:r w:rsidRPr="00A77AF6">
              <w:rPr>
                <w:rFonts w:cstheme="minorHAnsi"/>
                <w:sz w:val="20"/>
                <w:szCs w:val="20"/>
              </w:rPr>
              <w:t>Good-intentioned</w:t>
            </w:r>
          </w:p>
        </w:tc>
        <w:tc>
          <w:tcPr>
            <w:tcW w:w="1678" w:type="dxa"/>
          </w:tcPr>
          <w:p w14:paraId="29B1595B" w14:textId="77777777" w:rsidR="00F93FF3" w:rsidRPr="00A77AF6" w:rsidRDefault="00F93FF3" w:rsidP="00F93FF3">
            <w:pPr>
              <w:spacing w:after="0" w:line="276" w:lineRule="auto"/>
              <w:rPr>
                <w:rFonts w:cstheme="minorHAnsi"/>
                <w:sz w:val="20"/>
                <w:szCs w:val="20"/>
              </w:rPr>
            </w:pPr>
          </w:p>
        </w:tc>
        <w:tc>
          <w:tcPr>
            <w:tcW w:w="1678" w:type="dxa"/>
          </w:tcPr>
          <w:p w14:paraId="5C8541D2" w14:textId="77777777" w:rsidR="00F93FF3" w:rsidRPr="00A77AF6" w:rsidRDefault="00F93FF3" w:rsidP="00F93FF3">
            <w:pPr>
              <w:spacing w:after="0" w:line="276" w:lineRule="auto"/>
              <w:rPr>
                <w:rFonts w:cstheme="minorHAnsi"/>
                <w:sz w:val="20"/>
                <w:szCs w:val="20"/>
              </w:rPr>
            </w:pPr>
          </w:p>
        </w:tc>
        <w:tc>
          <w:tcPr>
            <w:tcW w:w="1678" w:type="dxa"/>
          </w:tcPr>
          <w:p w14:paraId="13BDCF34" w14:textId="7C2E7907"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r>
      <w:tr w:rsidR="00F93FF3" w:rsidRPr="00A77AF6" w14:paraId="59B938A1" w14:textId="77777777" w:rsidTr="00F93FF3">
        <w:tc>
          <w:tcPr>
            <w:tcW w:w="562" w:type="dxa"/>
          </w:tcPr>
          <w:p w14:paraId="04279E95" w14:textId="77777777" w:rsidR="00F93FF3" w:rsidRPr="00A77AF6" w:rsidRDefault="00F93FF3" w:rsidP="003D2A57">
            <w:pPr>
              <w:pStyle w:val="ListParagraph"/>
              <w:numPr>
                <w:ilvl w:val="0"/>
                <w:numId w:val="4"/>
              </w:numPr>
              <w:spacing w:after="0" w:line="276" w:lineRule="auto"/>
              <w:rPr>
                <w:rFonts w:cstheme="minorHAnsi"/>
                <w:sz w:val="20"/>
                <w:szCs w:val="20"/>
              </w:rPr>
            </w:pPr>
          </w:p>
        </w:tc>
        <w:tc>
          <w:tcPr>
            <w:tcW w:w="1913" w:type="dxa"/>
          </w:tcPr>
          <w:p w14:paraId="7EFB7EC2" w14:textId="70734BC5" w:rsidR="00F93FF3" w:rsidRPr="00A77AF6" w:rsidRDefault="00F93FF3" w:rsidP="00F93FF3">
            <w:pPr>
              <w:spacing w:after="0" w:line="276" w:lineRule="auto"/>
              <w:rPr>
                <w:rFonts w:cstheme="minorHAnsi"/>
                <w:sz w:val="20"/>
                <w:szCs w:val="20"/>
              </w:rPr>
            </w:pPr>
            <w:r w:rsidRPr="00A77AF6">
              <w:rPr>
                <w:rFonts w:cstheme="minorHAnsi"/>
                <w:sz w:val="20"/>
                <w:szCs w:val="20"/>
              </w:rPr>
              <w:t>Productive</w:t>
            </w:r>
          </w:p>
        </w:tc>
        <w:tc>
          <w:tcPr>
            <w:tcW w:w="1678" w:type="dxa"/>
          </w:tcPr>
          <w:p w14:paraId="1BCAC39D" w14:textId="77777777" w:rsidR="00F93FF3" w:rsidRPr="00A77AF6" w:rsidRDefault="00F93FF3" w:rsidP="00F93FF3">
            <w:pPr>
              <w:spacing w:after="0" w:line="276" w:lineRule="auto"/>
              <w:rPr>
                <w:rFonts w:cstheme="minorHAnsi"/>
                <w:sz w:val="20"/>
                <w:szCs w:val="20"/>
              </w:rPr>
            </w:pPr>
          </w:p>
        </w:tc>
        <w:tc>
          <w:tcPr>
            <w:tcW w:w="1678" w:type="dxa"/>
          </w:tcPr>
          <w:p w14:paraId="17A6209B" w14:textId="7207B7BE"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c>
          <w:tcPr>
            <w:tcW w:w="1678" w:type="dxa"/>
          </w:tcPr>
          <w:p w14:paraId="4CBF15EE" w14:textId="1B62339F" w:rsidR="00F93FF3" w:rsidRPr="00A77AF6" w:rsidRDefault="00F93FF3" w:rsidP="00F93FF3">
            <w:pPr>
              <w:spacing w:after="0" w:line="276" w:lineRule="auto"/>
              <w:rPr>
                <w:rFonts w:cstheme="minorHAnsi"/>
                <w:sz w:val="20"/>
                <w:szCs w:val="20"/>
              </w:rPr>
            </w:pPr>
          </w:p>
        </w:tc>
      </w:tr>
      <w:tr w:rsidR="00F93FF3" w:rsidRPr="00A77AF6" w14:paraId="70D27FD8" w14:textId="77777777" w:rsidTr="00F93FF3">
        <w:tc>
          <w:tcPr>
            <w:tcW w:w="562" w:type="dxa"/>
          </w:tcPr>
          <w:p w14:paraId="27DE5198" w14:textId="77777777" w:rsidR="00F93FF3" w:rsidRPr="00A77AF6" w:rsidRDefault="00F93FF3" w:rsidP="003D2A57">
            <w:pPr>
              <w:pStyle w:val="ListParagraph"/>
              <w:numPr>
                <w:ilvl w:val="0"/>
                <w:numId w:val="4"/>
              </w:numPr>
              <w:spacing w:after="0" w:line="276" w:lineRule="auto"/>
              <w:rPr>
                <w:rFonts w:cstheme="minorHAnsi"/>
                <w:sz w:val="20"/>
                <w:szCs w:val="20"/>
              </w:rPr>
            </w:pPr>
          </w:p>
        </w:tc>
        <w:tc>
          <w:tcPr>
            <w:tcW w:w="1913" w:type="dxa"/>
          </w:tcPr>
          <w:p w14:paraId="16ECFB54" w14:textId="1935836C" w:rsidR="00F93FF3" w:rsidRPr="00A77AF6" w:rsidRDefault="00F93FF3" w:rsidP="00F93FF3">
            <w:pPr>
              <w:spacing w:after="0" w:line="276" w:lineRule="auto"/>
              <w:rPr>
                <w:rFonts w:cstheme="minorHAnsi"/>
                <w:sz w:val="20"/>
                <w:szCs w:val="20"/>
              </w:rPr>
            </w:pPr>
            <w:r w:rsidRPr="00A77AF6">
              <w:rPr>
                <w:rFonts w:cstheme="minorHAnsi"/>
                <w:sz w:val="20"/>
                <w:szCs w:val="20"/>
              </w:rPr>
              <w:t>Noted for integrity</w:t>
            </w:r>
          </w:p>
        </w:tc>
        <w:tc>
          <w:tcPr>
            <w:tcW w:w="1678" w:type="dxa"/>
          </w:tcPr>
          <w:p w14:paraId="70C340FC" w14:textId="13B8094A"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c>
          <w:tcPr>
            <w:tcW w:w="1678" w:type="dxa"/>
          </w:tcPr>
          <w:p w14:paraId="63F3A400" w14:textId="77777777" w:rsidR="00F93FF3" w:rsidRPr="00A77AF6" w:rsidRDefault="00F93FF3" w:rsidP="00F93FF3">
            <w:pPr>
              <w:spacing w:after="0" w:line="276" w:lineRule="auto"/>
              <w:rPr>
                <w:rFonts w:cstheme="minorHAnsi"/>
                <w:sz w:val="20"/>
                <w:szCs w:val="20"/>
              </w:rPr>
            </w:pPr>
          </w:p>
        </w:tc>
        <w:tc>
          <w:tcPr>
            <w:tcW w:w="1678" w:type="dxa"/>
          </w:tcPr>
          <w:p w14:paraId="0DA0E734" w14:textId="73A4039C" w:rsidR="00F93FF3" w:rsidRPr="00A77AF6" w:rsidRDefault="00F93FF3" w:rsidP="00F93FF3">
            <w:pPr>
              <w:spacing w:after="0" w:line="276" w:lineRule="auto"/>
              <w:rPr>
                <w:rFonts w:cstheme="minorHAnsi"/>
                <w:sz w:val="20"/>
                <w:szCs w:val="20"/>
              </w:rPr>
            </w:pPr>
          </w:p>
        </w:tc>
      </w:tr>
      <w:tr w:rsidR="00F93FF3" w:rsidRPr="00A77AF6" w14:paraId="242B84DF" w14:textId="77777777" w:rsidTr="00F93FF3">
        <w:tc>
          <w:tcPr>
            <w:tcW w:w="562" w:type="dxa"/>
          </w:tcPr>
          <w:p w14:paraId="09DC2B40" w14:textId="77777777" w:rsidR="00F93FF3" w:rsidRPr="00A77AF6" w:rsidRDefault="00F93FF3" w:rsidP="003D2A57">
            <w:pPr>
              <w:pStyle w:val="ListParagraph"/>
              <w:numPr>
                <w:ilvl w:val="0"/>
                <w:numId w:val="4"/>
              </w:numPr>
              <w:spacing w:after="0" w:line="276" w:lineRule="auto"/>
              <w:rPr>
                <w:rFonts w:cstheme="minorHAnsi"/>
                <w:sz w:val="20"/>
                <w:szCs w:val="20"/>
              </w:rPr>
            </w:pPr>
          </w:p>
        </w:tc>
        <w:tc>
          <w:tcPr>
            <w:tcW w:w="1913" w:type="dxa"/>
          </w:tcPr>
          <w:p w14:paraId="5E73FEB4" w14:textId="57E18A9A" w:rsidR="00F93FF3" w:rsidRPr="00A77AF6" w:rsidRDefault="00F93FF3" w:rsidP="00F93FF3">
            <w:pPr>
              <w:spacing w:after="0" w:line="276" w:lineRule="auto"/>
              <w:rPr>
                <w:rFonts w:cstheme="minorHAnsi"/>
                <w:sz w:val="20"/>
                <w:szCs w:val="20"/>
              </w:rPr>
            </w:pPr>
            <w:r w:rsidRPr="00A77AF6">
              <w:rPr>
                <w:rFonts w:cstheme="minorHAnsi"/>
                <w:sz w:val="20"/>
                <w:szCs w:val="20"/>
              </w:rPr>
              <w:t>Compassionate</w:t>
            </w:r>
          </w:p>
        </w:tc>
        <w:tc>
          <w:tcPr>
            <w:tcW w:w="1678" w:type="dxa"/>
          </w:tcPr>
          <w:p w14:paraId="332F334D" w14:textId="77777777" w:rsidR="00F93FF3" w:rsidRPr="00A77AF6" w:rsidRDefault="00F93FF3" w:rsidP="00F93FF3">
            <w:pPr>
              <w:spacing w:after="0" w:line="276" w:lineRule="auto"/>
              <w:rPr>
                <w:rFonts w:cstheme="minorHAnsi"/>
                <w:sz w:val="20"/>
                <w:szCs w:val="20"/>
              </w:rPr>
            </w:pPr>
          </w:p>
        </w:tc>
        <w:tc>
          <w:tcPr>
            <w:tcW w:w="1678" w:type="dxa"/>
          </w:tcPr>
          <w:p w14:paraId="0EEED173" w14:textId="77777777" w:rsidR="00F93FF3" w:rsidRPr="00A77AF6" w:rsidRDefault="00F93FF3" w:rsidP="00F93FF3">
            <w:pPr>
              <w:spacing w:after="0" w:line="276" w:lineRule="auto"/>
              <w:rPr>
                <w:rFonts w:cstheme="minorHAnsi"/>
                <w:sz w:val="20"/>
                <w:szCs w:val="20"/>
              </w:rPr>
            </w:pPr>
          </w:p>
        </w:tc>
        <w:tc>
          <w:tcPr>
            <w:tcW w:w="1678" w:type="dxa"/>
          </w:tcPr>
          <w:p w14:paraId="34CFD502" w14:textId="7A3899D9"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r>
      <w:tr w:rsidR="00F93FF3" w:rsidRPr="00A77AF6" w14:paraId="4763F438" w14:textId="77777777" w:rsidTr="00F93FF3">
        <w:tc>
          <w:tcPr>
            <w:tcW w:w="562" w:type="dxa"/>
          </w:tcPr>
          <w:p w14:paraId="72E0D125" w14:textId="77777777" w:rsidR="00F93FF3" w:rsidRPr="00A77AF6" w:rsidRDefault="00F93FF3" w:rsidP="003D2A57">
            <w:pPr>
              <w:pStyle w:val="ListParagraph"/>
              <w:numPr>
                <w:ilvl w:val="0"/>
                <w:numId w:val="4"/>
              </w:numPr>
              <w:spacing w:after="0" w:line="276" w:lineRule="auto"/>
              <w:rPr>
                <w:rFonts w:cstheme="minorHAnsi"/>
                <w:sz w:val="20"/>
                <w:szCs w:val="20"/>
              </w:rPr>
            </w:pPr>
          </w:p>
        </w:tc>
        <w:tc>
          <w:tcPr>
            <w:tcW w:w="1913" w:type="dxa"/>
          </w:tcPr>
          <w:p w14:paraId="35C46264" w14:textId="178C9D09" w:rsidR="00F93FF3" w:rsidRPr="00A77AF6" w:rsidRDefault="00F93FF3" w:rsidP="00F93FF3">
            <w:pPr>
              <w:spacing w:after="0" w:line="276" w:lineRule="auto"/>
              <w:rPr>
                <w:rFonts w:cstheme="minorHAnsi"/>
                <w:sz w:val="20"/>
                <w:szCs w:val="20"/>
              </w:rPr>
            </w:pPr>
            <w:r w:rsidRPr="00A77AF6">
              <w:rPr>
                <w:rFonts w:cstheme="minorHAnsi"/>
                <w:sz w:val="20"/>
                <w:szCs w:val="20"/>
              </w:rPr>
              <w:t>Financially secure</w:t>
            </w:r>
          </w:p>
        </w:tc>
        <w:tc>
          <w:tcPr>
            <w:tcW w:w="1678" w:type="dxa"/>
          </w:tcPr>
          <w:p w14:paraId="6698FDA3" w14:textId="77777777" w:rsidR="00F93FF3" w:rsidRPr="00A77AF6" w:rsidRDefault="00F93FF3" w:rsidP="00F93FF3">
            <w:pPr>
              <w:spacing w:after="0" w:line="276" w:lineRule="auto"/>
              <w:rPr>
                <w:rFonts w:cstheme="minorHAnsi"/>
                <w:sz w:val="20"/>
                <w:szCs w:val="20"/>
              </w:rPr>
            </w:pPr>
          </w:p>
        </w:tc>
        <w:tc>
          <w:tcPr>
            <w:tcW w:w="1678" w:type="dxa"/>
          </w:tcPr>
          <w:p w14:paraId="62A953F8" w14:textId="77777777" w:rsidR="00F93FF3" w:rsidRPr="00A77AF6" w:rsidRDefault="00F93FF3" w:rsidP="00F93FF3">
            <w:pPr>
              <w:spacing w:after="0" w:line="276" w:lineRule="auto"/>
              <w:rPr>
                <w:rFonts w:cstheme="minorHAnsi"/>
                <w:sz w:val="20"/>
                <w:szCs w:val="20"/>
              </w:rPr>
            </w:pPr>
          </w:p>
        </w:tc>
        <w:tc>
          <w:tcPr>
            <w:tcW w:w="1678" w:type="dxa"/>
          </w:tcPr>
          <w:p w14:paraId="16474663" w14:textId="23391754"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r>
      <w:tr w:rsidR="00F93FF3" w:rsidRPr="00A77AF6" w14:paraId="2562177B" w14:textId="77777777" w:rsidTr="00F93FF3">
        <w:tc>
          <w:tcPr>
            <w:tcW w:w="562" w:type="dxa"/>
          </w:tcPr>
          <w:p w14:paraId="3340EFEB" w14:textId="77777777" w:rsidR="00F93FF3" w:rsidRPr="00A77AF6" w:rsidRDefault="00F93FF3" w:rsidP="003D2A57">
            <w:pPr>
              <w:pStyle w:val="ListParagraph"/>
              <w:numPr>
                <w:ilvl w:val="0"/>
                <w:numId w:val="4"/>
              </w:numPr>
              <w:spacing w:after="0" w:line="276" w:lineRule="auto"/>
              <w:rPr>
                <w:rFonts w:cstheme="minorHAnsi"/>
                <w:sz w:val="20"/>
                <w:szCs w:val="20"/>
              </w:rPr>
            </w:pPr>
          </w:p>
        </w:tc>
        <w:tc>
          <w:tcPr>
            <w:tcW w:w="1913" w:type="dxa"/>
          </w:tcPr>
          <w:p w14:paraId="5D40DEAA" w14:textId="35F5C6A2" w:rsidR="00F93FF3" w:rsidRPr="00A77AF6" w:rsidRDefault="00F93FF3" w:rsidP="00F93FF3">
            <w:pPr>
              <w:spacing w:after="0" w:line="276" w:lineRule="auto"/>
              <w:rPr>
                <w:rFonts w:cstheme="minorHAnsi"/>
                <w:sz w:val="20"/>
                <w:szCs w:val="20"/>
              </w:rPr>
            </w:pPr>
            <w:r w:rsidRPr="00A77AF6">
              <w:rPr>
                <w:rFonts w:cstheme="minorHAnsi"/>
                <w:sz w:val="20"/>
                <w:szCs w:val="20"/>
              </w:rPr>
              <w:t>Law-abiding</w:t>
            </w:r>
          </w:p>
        </w:tc>
        <w:tc>
          <w:tcPr>
            <w:tcW w:w="1678" w:type="dxa"/>
          </w:tcPr>
          <w:p w14:paraId="6832FD5C" w14:textId="33797F46"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c>
          <w:tcPr>
            <w:tcW w:w="1678" w:type="dxa"/>
          </w:tcPr>
          <w:p w14:paraId="50F54E40" w14:textId="77777777" w:rsidR="00F93FF3" w:rsidRPr="00A77AF6" w:rsidRDefault="00F93FF3" w:rsidP="00F93FF3">
            <w:pPr>
              <w:spacing w:after="0" w:line="276" w:lineRule="auto"/>
              <w:rPr>
                <w:rFonts w:cstheme="minorHAnsi"/>
                <w:sz w:val="20"/>
                <w:szCs w:val="20"/>
              </w:rPr>
            </w:pPr>
          </w:p>
        </w:tc>
        <w:tc>
          <w:tcPr>
            <w:tcW w:w="1678" w:type="dxa"/>
          </w:tcPr>
          <w:p w14:paraId="072EB1A7" w14:textId="2D92F897" w:rsidR="00F93FF3" w:rsidRPr="00A77AF6" w:rsidRDefault="00F93FF3" w:rsidP="00F93FF3">
            <w:pPr>
              <w:spacing w:after="0" w:line="276" w:lineRule="auto"/>
              <w:rPr>
                <w:rFonts w:cstheme="minorHAnsi"/>
                <w:sz w:val="20"/>
                <w:szCs w:val="20"/>
              </w:rPr>
            </w:pPr>
          </w:p>
        </w:tc>
      </w:tr>
      <w:tr w:rsidR="00F93FF3" w:rsidRPr="00A77AF6" w14:paraId="4A715FAD" w14:textId="77777777" w:rsidTr="00F93FF3">
        <w:tc>
          <w:tcPr>
            <w:tcW w:w="562" w:type="dxa"/>
          </w:tcPr>
          <w:p w14:paraId="36DB61BC" w14:textId="77777777" w:rsidR="00F93FF3" w:rsidRPr="00A77AF6" w:rsidRDefault="00F93FF3" w:rsidP="003D2A57">
            <w:pPr>
              <w:pStyle w:val="ListParagraph"/>
              <w:numPr>
                <w:ilvl w:val="0"/>
                <w:numId w:val="4"/>
              </w:numPr>
              <w:spacing w:after="0" w:line="276" w:lineRule="auto"/>
              <w:rPr>
                <w:rFonts w:cstheme="minorHAnsi"/>
                <w:sz w:val="20"/>
                <w:szCs w:val="20"/>
              </w:rPr>
            </w:pPr>
          </w:p>
        </w:tc>
        <w:tc>
          <w:tcPr>
            <w:tcW w:w="1913" w:type="dxa"/>
          </w:tcPr>
          <w:p w14:paraId="19413640" w14:textId="263BFDAA" w:rsidR="00F93FF3" w:rsidRPr="00A77AF6" w:rsidRDefault="00F93FF3" w:rsidP="00F93FF3">
            <w:pPr>
              <w:spacing w:after="0" w:line="276" w:lineRule="auto"/>
              <w:rPr>
                <w:rFonts w:cstheme="minorHAnsi"/>
                <w:sz w:val="20"/>
                <w:szCs w:val="20"/>
              </w:rPr>
            </w:pPr>
            <w:r w:rsidRPr="00A77AF6">
              <w:rPr>
                <w:rFonts w:cstheme="minorHAnsi"/>
                <w:sz w:val="20"/>
                <w:szCs w:val="20"/>
              </w:rPr>
              <w:t>A winner</w:t>
            </w:r>
          </w:p>
        </w:tc>
        <w:tc>
          <w:tcPr>
            <w:tcW w:w="1678" w:type="dxa"/>
          </w:tcPr>
          <w:p w14:paraId="0770F52A" w14:textId="77777777" w:rsidR="00F93FF3" w:rsidRPr="00A77AF6" w:rsidRDefault="00F93FF3" w:rsidP="00F93FF3">
            <w:pPr>
              <w:spacing w:after="0" w:line="276" w:lineRule="auto"/>
              <w:rPr>
                <w:rFonts w:cstheme="minorHAnsi"/>
                <w:sz w:val="20"/>
                <w:szCs w:val="20"/>
              </w:rPr>
            </w:pPr>
          </w:p>
        </w:tc>
        <w:tc>
          <w:tcPr>
            <w:tcW w:w="1678" w:type="dxa"/>
          </w:tcPr>
          <w:p w14:paraId="271EAD25" w14:textId="2D20DD39"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c>
          <w:tcPr>
            <w:tcW w:w="1678" w:type="dxa"/>
          </w:tcPr>
          <w:p w14:paraId="137A007C" w14:textId="0A5C0298" w:rsidR="00F93FF3" w:rsidRPr="00A77AF6" w:rsidRDefault="00F93FF3" w:rsidP="00F93FF3">
            <w:pPr>
              <w:spacing w:after="0" w:line="276" w:lineRule="auto"/>
              <w:rPr>
                <w:rFonts w:cstheme="minorHAnsi"/>
                <w:sz w:val="20"/>
                <w:szCs w:val="20"/>
              </w:rPr>
            </w:pPr>
          </w:p>
        </w:tc>
      </w:tr>
    </w:tbl>
    <w:p w14:paraId="264AE734" w14:textId="76D9FB87" w:rsidR="004C69D0" w:rsidRPr="00A77AF6" w:rsidRDefault="0090418A" w:rsidP="000A2897">
      <w:pPr>
        <w:spacing w:line="480" w:lineRule="auto"/>
        <w:rPr>
          <w:rFonts w:cstheme="minorHAnsi"/>
        </w:rPr>
      </w:pPr>
      <w:r w:rsidRPr="00A77AF6">
        <w:rPr>
          <w:rFonts w:cstheme="minorHAnsi"/>
          <w:sz w:val="20"/>
        </w:rPr>
        <w:t>Source: a</w:t>
      </w:r>
      <w:r w:rsidR="00F93FF3" w:rsidRPr="00A77AF6">
        <w:rPr>
          <w:rFonts w:cstheme="minorHAnsi"/>
          <w:sz w:val="20"/>
        </w:rPr>
        <w:t xml:space="preserve">dapted from </w:t>
      </w:r>
      <w:r w:rsidR="00234B4D" w:rsidRPr="00A77AF6">
        <w:rPr>
          <w:rFonts w:cstheme="minorHAnsi"/>
          <w:sz w:val="20"/>
        </w:rPr>
        <w:t xml:space="preserve">Brady and Wheeler (1996) MEV in </w:t>
      </w:r>
      <w:r w:rsidR="009F4C4E" w:rsidRPr="00A77AF6">
        <w:rPr>
          <w:rFonts w:cstheme="minorHAnsi"/>
          <w:sz w:val="20"/>
        </w:rPr>
        <w:t>Schminke &amp; Wells (1999)</w:t>
      </w:r>
      <w:r w:rsidR="00100D3A" w:rsidRPr="00A77AF6">
        <w:rPr>
          <w:rFonts w:cstheme="minorHAnsi"/>
          <w:sz w:val="20"/>
        </w:rPr>
        <w:t xml:space="preserve"> </w:t>
      </w:r>
    </w:p>
    <w:p w14:paraId="0D521EE8" w14:textId="1275709A" w:rsidR="00A50D52" w:rsidRPr="00A77AF6" w:rsidRDefault="00033265" w:rsidP="00893FCA">
      <w:pPr>
        <w:spacing w:line="360" w:lineRule="auto"/>
        <w:rPr>
          <w:rFonts w:cstheme="minorHAnsi"/>
        </w:rPr>
      </w:pPr>
      <w:r w:rsidRPr="00A77AF6">
        <w:rPr>
          <w:rFonts w:cstheme="minorHAnsi"/>
        </w:rPr>
        <w:t>A worked example is given in T</w:t>
      </w:r>
      <w:r w:rsidR="00F951CC" w:rsidRPr="00A77AF6">
        <w:rPr>
          <w:rFonts w:cstheme="minorHAnsi"/>
        </w:rPr>
        <w:t xml:space="preserve">able </w:t>
      </w:r>
      <w:r w:rsidR="00835D90" w:rsidRPr="00A77AF6">
        <w:rPr>
          <w:rFonts w:cstheme="minorHAnsi"/>
        </w:rPr>
        <w:t>3-2</w:t>
      </w:r>
      <w:r w:rsidR="00F951CC" w:rsidRPr="00A77AF6">
        <w:rPr>
          <w:rFonts w:cstheme="minorHAnsi"/>
        </w:rPr>
        <w:t xml:space="preserve">.  </w:t>
      </w:r>
      <w:r w:rsidR="005F7CDD" w:rsidRPr="00A77AF6">
        <w:rPr>
          <w:rFonts w:cstheme="minorHAnsi"/>
        </w:rPr>
        <w:t>The utilitarian</w:t>
      </w:r>
      <w:r w:rsidR="00F951CC" w:rsidRPr="00A77AF6">
        <w:rPr>
          <w:rFonts w:cstheme="minorHAnsi"/>
        </w:rPr>
        <w:t xml:space="preserve"> score is derived by calculating the mean of the scores for </w:t>
      </w:r>
      <w:r w:rsidR="001F5EF6" w:rsidRPr="00A77AF6">
        <w:rPr>
          <w:rFonts w:cstheme="minorHAnsi"/>
        </w:rPr>
        <w:t>both formalism and utilitarianism.  I</w:t>
      </w:r>
      <w:r w:rsidR="00F951CC" w:rsidRPr="00A77AF6">
        <w:rPr>
          <w:rFonts w:cstheme="minorHAnsi"/>
        </w:rPr>
        <w:t>n th</w:t>
      </w:r>
      <w:r w:rsidR="00FF3B4A" w:rsidRPr="00A77AF6">
        <w:rPr>
          <w:rFonts w:cstheme="minorHAnsi"/>
        </w:rPr>
        <w:t xml:space="preserve">e </w:t>
      </w:r>
      <w:r w:rsidR="007E1026" w:rsidRPr="00A77AF6">
        <w:rPr>
          <w:rFonts w:cstheme="minorHAnsi"/>
        </w:rPr>
        <w:t xml:space="preserve">worked </w:t>
      </w:r>
      <w:r w:rsidR="00E927E1" w:rsidRPr="00A77AF6">
        <w:rPr>
          <w:rFonts w:cstheme="minorHAnsi"/>
        </w:rPr>
        <w:t>example</w:t>
      </w:r>
      <w:r w:rsidR="00FF3B4A" w:rsidRPr="00A77AF6">
        <w:rPr>
          <w:rFonts w:cstheme="minorHAnsi"/>
        </w:rPr>
        <w:t xml:space="preserve">, </w:t>
      </w:r>
      <w:r w:rsidR="00F951CC" w:rsidRPr="00A77AF6">
        <w:rPr>
          <w:rFonts w:cstheme="minorHAnsi"/>
        </w:rPr>
        <w:t xml:space="preserve">the </w:t>
      </w:r>
      <w:r w:rsidR="00F93FF3" w:rsidRPr="00A77AF6">
        <w:rPr>
          <w:rFonts w:cstheme="minorHAnsi"/>
        </w:rPr>
        <w:t xml:space="preserve">formalist score is </w:t>
      </w:r>
      <w:r w:rsidRPr="00A77AF6">
        <w:rPr>
          <w:rFonts w:cstheme="minorHAnsi"/>
        </w:rPr>
        <w:t>seven (</w:t>
      </w:r>
      <w:r w:rsidR="00F93FF3" w:rsidRPr="00A77AF6">
        <w:rPr>
          <w:rFonts w:cstheme="minorHAnsi"/>
        </w:rPr>
        <w:t>7</w:t>
      </w:r>
      <w:r w:rsidRPr="00A77AF6">
        <w:rPr>
          <w:rFonts w:cstheme="minorHAnsi"/>
        </w:rPr>
        <w:t xml:space="preserve">), </w:t>
      </w:r>
      <w:r w:rsidR="00F93FF3" w:rsidRPr="00A77AF6">
        <w:rPr>
          <w:rFonts w:cstheme="minorHAnsi"/>
        </w:rPr>
        <w:t xml:space="preserve">the mean of </w:t>
      </w:r>
      <w:r w:rsidRPr="00A77AF6">
        <w:rPr>
          <w:rFonts w:cstheme="minorHAnsi"/>
        </w:rPr>
        <w:t>forty-two (</w:t>
      </w:r>
      <w:r w:rsidR="001F5EF6" w:rsidRPr="00A77AF6">
        <w:rPr>
          <w:rFonts w:cstheme="minorHAnsi"/>
        </w:rPr>
        <w:t>42) and the utilitarian score is 5.86 (the mean of 41)</w:t>
      </w:r>
      <w:r w:rsidR="00FF3B4A" w:rsidRPr="00A77AF6">
        <w:rPr>
          <w:rFonts w:cstheme="minorHAnsi"/>
        </w:rPr>
        <w:t xml:space="preserve">.  This means that the ‘example respondent’ is predisposed to formalism. </w:t>
      </w:r>
    </w:p>
    <w:p w14:paraId="3E6D782C" w14:textId="77777777" w:rsidR="00A50D52" w:rsidRPr="00A77AF6" w:rsidRDefault="00A50D52">
      <w:pPr>
        <w:rPr>
          <w:rFonts w:cstheme="minorHAnsi"/>
        </w:rPr>
      </w:pPr>
      <w:r w:rsidRPr="00A77AF6">
        <w:rPr>
          <w:rFonts w:cstheme="minorHAnsi"/>
        </w:rPr>
        <w:br w:type="page"/>
      </w:r>
    </w:p>
    <w:p w14:paraId="4081AD58" w14:textId="15F428D2" w:rsidR="001F5EF6" w:rsidRPr="00A77AF6" w:rsidRDefault="001F5EF6" w:rsidP="000601FB">
      <w:pPr>
        <w:spacing w:after="120"/>
        <w:rPr>
          <w:i/>
          <w:iCs/>
          <w:sz w:val="18"/>
          <w:szCs w:val="18"/>
        </w:rPr>
      </w:pPr>
      <w:r w:rsidRPr="00A77AF6">
        <w:rPr>
          <w:i/>
          <w:iCs/>
          <w:sz w:val="18"/>
          <w:szCs w:val="18"/>
        </w:rPr>
        <w:lastRenderedPageBreak/>
        <w:t xml:space="preserve">Table </w:t>
      </w:r>
      <w:r w:rsidR="00804112">
        <w:rPr>
          <w:i/>
          <w:iCs/>
          <w:sz w:val="18"/>
          <w:szCs w:val="18"/>
        </w:rPr>
        <w:fldChar w:fldCharType="begin"/>
      </w:r>
      <w:r w:rsidR="00804112">
        <w:rPr>
          <w:i/>
          <w:iCs/>
          <w:sz w:val="18"/>
          <w:szCs w:val="18"/>
        </w:rPr>
        <w:instrText xml:space="preserve"> STYLEREF 1 \s </w:instrText>
      </w:r>
      <w:r w:rsidR="00804112">
        <w:rPr>
          <w:i/>
          <w:iCs/>
          <w:sz w:val="18"/>
          <w:szCs w:val="18"/>
        </w:rPr>
        <w:fldChar w:fldCharType="separate"/>
      </w:r>
      <w:r w:rsidR="000441F7">
        <w:rPr>
          <w:i/>
          <w:iCs/>
          <w:noProof/>
          <w:sz w:val="18"/>
          <w:szCs w:val="18"/>
        </w:rPr>
        <w:t>3</w:t>
      </w:r>
      <w:r w:rsidR="00804112">
        <w:rPr>
          <w:i/>
          <w:iCs/>
          <w:sz w:val="18"/>
          <w:szCs w:val="18"/>
        </w:rPr>
        <w:fldChar w:fldCharType="end"/>
      </w:r>
      <w:r w:rsidR="00804112">
        <w:rPr>
          <w:i/>
          <w:iCs/>
          <w:sz w:val="18"/>
          <w:szCs w:val="18"/>
        </w:rPr>
        <w:noBreakHyphen/>
      </w:r>
      <w:r w:rsidR="00804112">
        <w:rPr>
          <w:i/>
          <w:iCs/>
          <w:sz w:val="18"/>
          <w:szCs w:val="18"/>
        </w:rPr>
        <w:fldChar w:fldCharType="begin"/>
      </w:r>
      <w:r w:rsidR="00804112">
        <w:rPr>
          <w:i/>
          <w:iCs/>
          <w:sz w:val="18"/>
          <w:szCs w:val="18"/>
        </w:rPr>
        <w:instrText xml:space="preserve"> SEQ Table \* ARABIC \s 1 </w:instrText>
      </w:r>
      <w:r w:rsidR="00804112">
        <w:rPr>
          <w:i/>
          <w:iCs/>
          <w:sz w:val="18"/>
          <w:szCs w:val="18"/>
        </w:rPr>
        <w:fldChar w:fldCharType="separate"/>
      </w:r>
      <w:r w:rsidR="000441F7">
        <w:rPr>
          <w:i/>
          <w:iCs/>
          <w:noProof/>
          <w:sz w:val="18"/>
          <w:szCs w:val="18"/>
        </w:rPr>
        <w:t>2</w:t>
      </w:r>
      <w:r w:rsidR="00804112">
        <w:rPr>
          <w:i/>
          <w:iCs/>
          <w:sz w:val="18"/>
          <w:szCs w:val="18"/>
        </w:rPr>
        <w:fldChar w:fldCharType="end"/>
      </w:r>
      <w:r w:rsidRPr="00A77AF6">
        <w:rPr>
          <w:i/>
          <w:iCs/>
          <w:sz w:val="18"/>
          <w:szCs w:val="18"/>
        </w:rPr>
        <w:t>: worked example of Brady and Wheeler's (1996) MEV</w:t>
      </w: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912"/>
        <w:gridCol w:w="1134"/>
        <w:gridCol w:w="1206"/>
        <w:gridCol w:w="1419"/>
        <w:gridCol w:w="1276"/>
      </w:tblGrid>
      <w:tr w:rsidR="00F93FF3" w:rsidRPr="00A77AF6" w14:paraId="193D23F8" w14:textId="77777777" w:rsidTr="001F5EF6">
        <w:tc>
          <w:tcPr>
            <w:tcW w:w="561" w:type="dxa"/>
            <w:shd w:val="clear" w:color="auto" w:fill="D9D9D9" w:themeFill="background1" w:themeFillShade="D9"/>
          </w:tcPr>
          <w:p w14:paraId="536D0284" w14:textId="77777777" w:rsidR="00F93FF3" w:rsidRPr="00A77AF6" w:rsidRDefault="00F93FF3" w:rsidP="00F93FF3">
            <w:pPr>
              <w:pStyle w:val="ListParagraph"/>
              <w:spacing w:after="0" w:line="276" w:lineRule="auto"/>
              <w:ind w:left="360"/>
              <w:rPr>
                <w:rFonts w:cstheme="minorHAnsi"/>
                <w:sz w:val="20"/>
                <w:szCs w:val="20"/>
              </w:rPr>
            </w:pPr>
          </w:p>
        </w:tc>
        <w:tc>
          <w:tcPr>
            <w:tcW w:w="1912" w:type="dxa"/>
            <w:shd w:val="clear" w:color="auto" w:fill="D9D9D9" w:themeFill="background1" w:themeFillShade="D9"/>
          </w:tcPr>
          <w:p w14:paraId="18065AF8" w14:textId="77777777" w:rsidR="00F93FF3" w:rsidRPr="00A77AF6" w:rsidRDefault="00F93FF3" w:rsidP="00F93FF3">
            <w:pPr>
              <w:spacing w:after="0" w:line="276" w:lineRule="auto"/>
              <w:rPr>
                <w:rFonts w:cstheme="minorHAnsi"/>
                <w:sz w:val="20"/>
                <w:szCs w:val="20"/>
              </w:rPr>
            </w:pPr>
            <w:r w:rsidRPr="00A77AF6">
              <w:rPr>
                <w:rFonts w:cstheme="minorHAnsi"/>
                <w:sz w:val="20"/>
                <w:szCs w:val="20"/>
              </w:rPr>
              <w:t>Character Trait</w:t>
            </w:r>
          </w:p>
        </w:tc>
        <w:tc>
          <w:tcPr>
            <w:tcW w:w="1134" w:type="dxa"/>
            <w:shd w:val="clear" w:color="auto" w:fill="D9D9D9" w:themeFill="background1" w:themeFillShade="D9"/>
          </w:tcPr>
          <w:p w14:paraId="1B05F177" w14:textId="77777777" w:rsidR="00F93FF3" w:rsidRPr="00A77AF6" w:rsidRDefault="00F93FF3" w:rsidP="00F93FF3">
            <w:pPr>
              <w:spacing w:after="0" w:line="276" w:lineRule="auto"/>
              <w:rPr>
                <w:rFonts w:cstheme="minorHAnsi"/>
                <w:sz w:val="20"/>
                <w:szCs w:val="20"/>
              </w:rPr>
            </w:pPr>
            <w:r w:rsidRPr="00A77AF6">
              <w:rPr>
                <w:rFonts w:cstheme="minorHAnsi"/>
                <w:sz w:val="20"/>
                <w:szCs w:val="20"/>
              </w:rPr>
              <w:t xml:space="preserve">Formalist </w:t>
            </w:r>
          </w:p>
        </w:tc>
        <w:tc>
          <w:tcPr>
            <w:tcW w:w="1206" w:type="dxa"/>
            <w:shd w:val="clear" w:color="auto" w:fill="D9D9D9" w:themeFill="background1" w:themeFillShade="D9"/>
          </w:tcPr>
          <w:p w14:paraId="75E5A183" w14:textId="32CCFAAB" w:rsidR="00F93FF3" w:rsidRPr="00A77AF6" w:rsidRDefault="00F93FF3" w:rsidP="00F93FF3">
            <w:pPr>
              <w:spacing w:after="0" w:line="276" w:lineRule="auto"/>
              <w:rPr>
                <w:rFonts w:cstheme="minorHAnsi"/>
                <w:sz w:val="20"/>
                <w:szCs w:val="20"/>
              </w:rPr>
            </w:pPr>
            <w:r w:rsidRPr="00A77AF6">
              <w:rPr>
                <w:rFonts w:cstheme="minorHAnsi"/>
                <w:sz w:val="20"/>
                <w:szCs w:val="20"/>
              </w:rPr>
              <w:t xml:space="preserve">Utilitarian </w:t>
            </w:r>
          </w:p>
        </w:tc>
        <w:tc>
          <w:tcPr>
            <w:tcW w:w="1419" w:type="dxa"/>
            <w:shd w:val="clear" w:color="auto" w:fill="D9D9D9" w:themeFill="background1" w:themeFillShade="D9"/>
          </w:tcPr>
          <w:p w14:paraId="4E0D2C56" w14:textId="1D9B9D13" w:rsidR="00F93FF3" w:rsidRPr="00A77AF6" w:rsidRDefault="00F93FF3" w:rsidP="00F93FF3">
            <w:pPr>
              <w:spacing w:after="0" w:line="276" w:lineRule="auto"/>
              <w:rPr>
                <w:rFonts w:cstheme="minorHAnsi"/>
                <w:sz w:val="20"/>
                <w:szCs w:val="20"/>
              </w:rPr>
            </w:pPr>
            <w:r w:rsidRPr="00A77AF6">
              <w:rPr>
                <w:rFonts w:cstheme="minorHAnsi"/>
                <w:sz w:val="20"/>
                <w:szCs w:val="20"/>
              </w:rPr>
              <w:t xml:space="preserve">Neither (so exclude from analysis) </w:t>
            </w:r>
          </w:p>
        </w:tc>
        <w:tc>
          <w:tcPr>
            <w:tcW w:w="1276" w:type="dxa"/>
            <w:shd w:val="clear" w:color="auto" w:fill="D9D9D9" w:themeFill="background1" w:themeFillShade="D9"/>
          </w:tcPr>
          <w:p w14:paraId="6A6AAB5E" w14:textId="77777777" w:rsidR="00F93FF3" w:rsidRPr="00A77AF6" w:rsidRDefault="00F93FF3" w:rsidP="00F93FF3">
            <w:pPr>
              <w:spacing w:after="0" w:line="276" w:lineRule="auto"/>
              <w:rPr>
                <w:rFonts w:cstheme="minorHAnsi"/>
                <w:sz w:val="20"/>
                <w:szCs w:val="20"/>
              </w:rPr>
            </w:pPr>
            <w:r w:rsidRPr="00A77AF6">
              <w:rPr>
                <w:rFonts w:cstheme="minorHAnsi"/>
                <w:sz w:val="20"/>
                <w:szCs w:val="20"/>
              </w:rPr>
              <w:t>Example respondent score</w:t>
            </w:r>
          </w:p>
        </w:tc>
      </w:tr>
      <w:tr w:rsidR="00F93FF3" w:rsidRPr="00A77AF6" w14:paraId="60379DA1" w14:textId="77777777" w:rsidTr="00F93FF3">
        <w:tc>
          <w:tcPr>
            <w:tcW w:w="561" w:type="dxa"/>
          </w:tcPr>
          <w:p w14:paraId="5999AD5F" w14:textId="57E37C38" w:rsidR="00F93FF3" w:rsidRPr="00A77AF6" w:rsidRDefault="00F93FF3" w:rsidP="00F93FF3">
            <w:pPr>
              <w:spacing w:after="0" w:line="276" w:lineRule="auto"/>
              <w:rPr>
                <w:rFonts w:cstheme="minorHAnsi"/>
                <w:sz w:val="20"/>
                <w:szCs w:val="20"/>
              </w:rPr>
            </w:pPr>
            <w:r w:rsidRPr="00A77AF6">
              <w:rPr>
                <w:sz w:val="20"/>
              </w:rPr>
              <w:t>1.</w:t>
            </w:r>
          </w:p>
        </w:tc>
        <w:tc>
          <w:tcPr>
            <w:tcW w:w="1912" w:type="dxa"/>
          </w:tcPr>
          <w:p w14:paraId="779CEBE7" w14:textId="7AFB12BD" w:rsidR="00F93FF3" w:rsidRPr="00A77AF6" w:rsidRDefault="00F93FF3" w:rsidP="00F93FF3">
            <w:pPr>
              <w:spacing w:after="0" w:line="276" w:lineRule="auto"/>
              <w:rPr>
                <w:rFonts w:cstheme="minorHAnsi"/>
                <w:sz w:val="20"/>
                <w:szCs w:val="20"/>
              </w:rPr>
            </w:pPr>
            <w:r w:rsidRPr="00A77AF6">
              <w:rPr>
                <w:rFonts w:cstheme="minorHAnsi"/>
                <w:sz w:val="20"/>
                <w:szCs w:val="20"/>
              </w:rPr>
              <w:t>Innovative</w:t>
            </w:r>
          </w:p>
        </w:tc>
        <w:tc>
          <w:tcPr>
            <w:tcW w:w="1134" w:type="dxa"/>
          </w:tcPr>
          <w:p w14:paraId="2240E592" w14:textId="77777777" w:rsidR="00F93FF3" w:rsidRPr="00A77AF6" w:rsidRDefault="00F93FF3" w:rsidP="00F93FF3">
            <w:pPr>
              <w:spacing w:after="0" w:line="276" w:lineRule="auto"/>
              <w:rPr>
                <w:rFonts w:cstheme="minorHAnsi"/>
                <w:sz w:val="20"/>
                <w:szCs w:val="20"/>
              </w:rPr>
            </w:pPr>
          </w:p>
        </w:tc>
        <w:tc>
          <w:tcPr>
            <w:tcW w:w="1206" w:type="dxa"/>
          </w:tcPr>
          <w:p w14:paraId="074D7553" w14:textId="7CB931E2"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c>
          <w:tcPr>
            <w:tcW w:w="1419" w:type="dxa"/>
          </w:tcPr>
          <w:p w14:paraId="2EB3CF08" w14:textId="057226F7" w:rsidR="00F93FF3" w:rsidRPr="00A77AF6" w:rsidRDefault="00F93FF3" w:rsidP="00F93FF3">
            <w:pPr>
              <w:spacing w:after="0" w:line="276" w:lineRule="auto"/>
              <w:rPr>
                <w:rFonts w:cstheme="minorHAnsi"/>
                <w:sz w:val="20"/>
                <w:szCs w:val="20"/>
              </w:rPr>
            </w:pPr>
          </w:p>
        </w:tc>
        <w:tc>
          <w:tcPr>
            <w:tcW w:w="1276" w:type="dxa"/>
          </w:tcPr>
          <w:p w14:paraId="431A3A33" w14:textId="77777777" w:rsidR="00F93FF3" w:rsidRPr="00A77AF6" w:rsidRDefault="00F93FF3" w:rsidP="00F93FF3">
            <w:pPr>
              <w:spacing w:after="0" w:line="276" w:lineRule="auto"/>
              <w:rPr>
                <w:rFonts w:cstheme="minorHAnsi"/>
                <w:sz w:val="20"/>
                <w:szCs w:val="20"/>
              </w:rPr>
            </w:pPr>
            <w:r w:rsidRPr="00A77AF6">
              <w:rPr>
                <w:rFonts w:cstheme="minorHAnsi"/>
                <w:sz w:val="20"/>
                <w:szCs w:val="20"/>
              </w:rPr>
              <w:t>5</w:t>
            </w:r>
          </w:p>
        </w:tc>
      </w:tr>
      <w:tr w:rsidR="00F93FF3" w:rsidRPr="00A77AF6" w14:paraId="06E29683" w14:textId="77777777" w:rsidTr="00F93FF3">
        <w:tc>
          <w:tcPr>
            <w:tcW w:w="561" w:type="dxa"/>
          </w:tcPr>
          <w:p w14:paraId="50A700EE" w14:textId="4D21624F" w:rsidR="00F93FF3" w:rsidRPr="00A77AF6" w:rsidRDefault="00F93FF3" w:rsidP="00F93FF3">
            <w:pPr>
              <w:spacing w:after="0" w:line="276" w:lineRule="auto"/>
              <w:rPr>
                <w:rFonts w:cstheme="minorHAnsi"/>
                <w:sz w:val="20"/>
                <w:szCs w:val="20"/>
              </w:rPr>
            </w:pPr>
            <w:r w:rsidRPr="00A77AF6">
              <w:rPr>
                <w:sz w:val="20"/>
              </w:rPr>
              <w:t>2.</w:t>
            </w:r>
          </w:p>
        </w:tc>
        <w:tc>
          <w:tcPr>
            <w:tcW w:w="1912" w:type="dxa"/>
          </w:tcPr>
          <w:p w14:paraId="31DB8354" w14:textId="726397A7" w:rsidR="00F93FF3" w:rsidRPr="00A77AF6" w:rsidRDefault="00F93FF3" w:rsidP="00F93FF3">
            <w:pPr>
              <w:spacing w:after="0" w:line="276" w:lineRule="auto"/>
              <w:rPr>
                <w:rFonts w:cstheme="minorHAnsi"/>
                <w:sz w:val="20"/>
                <w:szCs w:val="20"/>
              </w:rPr>
            </w:pPr>
            <w:r w:rsidRPr="00A77AF6">
              <w:rPr>
                <w:rFonts w:cstheme="minorHAnsi"/>
                <w:sz w:val="20"/>
                <w:szCs w:val="20"/>
              </w:rPr>
              <w:t>Principled</w:t>
            </w:r>
          </w:p>
        </w:tc>
        <w:tc>
          <w:tcPr>
            <w:tcW w:w="1134" w:type="dxa"/>
          </w:tcPr>
          <w:p w14:paraId="28BBE5C1" w14:textId="77777777"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c>
          <w:tcPr>
            <w:tcW w:w="1206" w:type="dxa"/>
          </w:tcPr>
          <w:p w14:paraId="664593AA" w14:textId="77777777" w:rsidR="00F93FF3" w:rsidRPr="00A77AF6" w:rsidRDefault="00F93FF3" w:rsidP="00F93FF3">
            <w:pPr>
              <w:spacing w:after="0" w:line="276" w:lineRule="auto"/>
              <w:rPr>
                <w:rFonts w:cstheme="minorHAnsi"/>
                <w:sz w:val="20"/>
                <w:szCs w:val="20"/>
              </w:rPr>
            </w:pPr>
          </w:p>
        </w:tc>
        <w:tc>
          <w:tcPr>
            <w:tcW w:w="1419" w:type="dxa"/>
          </w:tcPr>
          <w:p w14:paraId="4B69E678" w14:textId="419AAF58" w:rsidR="00F93FF3" w:rsidRPr="00A77AF6" w:rsidRDefault="00F93FF3" w:rsidP="00F93FF3">
            <w:pPr>
              <w:spacing w:after="0" w:line="276" w:lineRule="auto"/>
              <w:rPr>
                <w:rFonts w:cstheme="minorHAnsi"/>
                <w:sz w:val="20"/>
                <w:szCs w:val="20"/>
              </w:rPr>
            </w:pPr>
          </w:p>
        </w:tc>
        <w:tc>
          <w:tcPr>
            <w:tcW w:w="1276" w:type="dxa"/>
          </w:tcPr>
          <w:p w14:paraId="38BB5CC4" w14:textId="77777777" w:rsidR="00F93FF3" w:rsidRPr="00A77AF6" w:rsidRDefault="00F93FF3" w:rsidP="00F93FF3">
            <w:pPr>
              <w:spacing w:after="0" w:line="276" w:lineRule="auto"/>
              <w:rPr>
                <w:rFonts w:cstheme="minorHAnsi"/>
                <w:sz w:val="20"/>
                <w:szCs w:val="20"/>
              </w:rPr>
            </w:pPr>
            <w:r w:rsidRPr="00A77AF6">
              <w:rPr>
                <w:rFonts w:cstheme="minorHAnsi"/>
                <w:sz w:val="20"/>
                <w:szCs w:val="20"/>
              </w:rPr>
              <w:t>7</w:t>
            </w:r>
          </w:p>
        </w:tc>
      </w:tr>
      <w:tr w:rsidR="00F93FF3" w:rsidRPr="00A77AF6" w14:paraId="4215113A" w14:textId="77777777" w:rsidTr="00F93FF3">
        <w:tc>
          <w:tcPr>
            <w:tcW w:w="561" w:type="dxa"/>
          </w:tcPr>
          <w:p w14:paraId="3DB4C1C2" w14:textId="14C5551B" w:rsidR="00F93FF3" w:rsidRPr="00A77AF6" w:rsidRDefault="00F93FF3" w:rsidP="00F93FF3">
            <w:pPr>
              <w:spacing w:after="0" w:line="276" w:lineRule="auto"/>
              <w:rPr>
                <w:rFonts w:cstheme="minorHAnsi"/>
                <w:sz w:val="20"/>
                <w:szCs w:val="20"/>
              </w:rPr>
            </w:pPr>
            <w:r w:rsidRPr="00A77AF6">
              <w:rPr>
                <w:sz w:val="20"/>
              </w:rPr>
              <w:t>3.</w:t>
            </w:r>
          </w:p>
        </w:tc>
        <w:tc>
          <w:tcPr>
            <w:tcW w:w="1912" w:type="dxa"/>
          </w:tcPr>
          <w:p w14:paraId="5A7A02B8" w14:textId="18254CA9" w:rsidR="00F93FF3" w:rsidRPr="00A77AF6" w:rsidRDefault="00F93FF3" w:rsidP="00F93FF3">
            <w:pPr>
              <w:spacing w:after="0" w:line="276" w:lineRule="auto"/>
              <w:rPr>
                <w:rFonts w:cstheme="minorHAnsi"/>
                <w:sz w:val="20"/>
                <w:szCs w:val="20"/>
              </w:rPr>
            </w:pPr>
            <w:r w:rsidRPr="00A77AF6">
              <w:rPr>
                <w:rFonts w:cstheme="minorHAnsi"/>
                <w:sz w:val="20"/>
                <w:szCs w:val="20"/>
              </w:rPr>
              <w:t>Benevolent</w:t>
            </w:r>
          </w:p>
        </w:tc>
        <w:tc>
          <w:tcPr>
            <w:tcW w:w="1134" w:type="dxa"/>
          </w:tcPr>
          <w:p w14:paraId="18C14419" w14:textId="77777777" w:rsidR="00F93FF3" w:rsidRPr="00A77AF6" w:rsidRDefault="00F93FF3" w:rsidP="00F93FF3">
            <w:pPr>
              <w:spacing w:after="0" w:line="276" w:lineRule="auto"/>
              <w:rPr>
                <w:rFonts w:cstheme="minorHAnsi"/>
                <w:sz w:val="20"/>
                <w:szCs w:val="20"/>
              </w:rPr>
            </w:pPr>
          </w:p>
        </w:tc>
        <w:tc>
          <w:tcPr>
            <w:tcW w:w="1206" w:type="dxa"/>
          </w:tcPr>
          <w:p w14:paraId="032407BF" w14:textId="77777777" w:rsidR="00F93FF3" w:rsidRPr="00A77AF6" w:rsidRDefault="00F93FF3" w:rsidP="00F93FF3">
            <w:pPr>
              <w:spacing w:after="0" w:line="276" w:lineRule="auto"/>
              <w:rPr>
                <w:rFonts w:cstheme="minorHAnsi"/>
                <w:sz w:val="20"/>
                <w:szCs w:val="20"/>
              </w:rPr>
            </w:pPr>
          </w:p>
        </w:tc>
        <w:tc>
          <w:tcPr>
            <w:tcW w:w="1419" w:type="dxa"/>
          </w:tcPr>
          <w:p w14:paraId="495E2057" w14:textId="163ED2A7"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c>
          <w:tcPr>
            <w:tcW w:w="1276" w:type="dxa"/>
          </w:tcPr>
          <w:p w14:paraId="3B0B785B" w14:textId="77777777" w:rsidR="00F93FF3" w:rsidRPr="00A77AF6" w:rsidRDefault="00F93FF3" w:rsidP="00F93FF3">
            <w:pPr>
              <w:spacing w:after="0" w:line="276" w:lineRule="auto"/>
              <w:rPr>
                <w:rFonts w:cstheme="minorHAnsi"/>
                <w:sz w:val="20"/>
                <w:szCs w:val="20"/>
              </w:rPr>
            </w:pPr>
            <w:r w:rsidRPr="00A77AF6">
              <w:rPr>
                <w:rFonts w:cstheme="minorHAnsi"/>
                <w:sz w:val="20"/>
                <w:szCs w:val="20"/>
              </w:rPr>
              <w:t>6</w:t>
            </w:r>
          </w:p>
        </w:tc>
      </w:tr>
      <w:tr w:rsidR="00F93FF3" w:rsidRPr="00A77AF6" w14:paraId="0EAA98D3" w14:textId="77777777" w:rsidTr="00F93FF3">
        <w:tc>
          <w:tcPr>
            <w:tcW w:w="561" w:type="dxa"/>
          </w:tcPr>
          <w:p w14:paraId="3D42B390" w14:textId="715EAF91" w:rsidR="00F93FF3" w:rsidRPr="00A77AF6" w:rsidRDefault="00F93FF3" w:rsidP="00F93FF3">
            <w:pPr>
              <w:spacing w:after="0" w:line="276" w:lineRule="auto"/>
              <w:rPr>
                <w:rFonts w:cstheme="minorHAnsi"/>
                <w:sz w:val="20"/>
                <w:szCs w:val="20"/>
              </w:rPr>
            </w:pPr>
            <w:r w:rsidRPr="00A77AF6">
              <w:rPr>
                <w:sz w:val="20"/>
              </w:rPr>
              <w:t>4.</w:t>
            </w:r>
          </w:p>
        </w:tc>
        <w:tc>
          <w:tcPr>
            <w:tcW w:w="1912" w:type="dxa"/>
          </w:tcPr>
          <w:p w14:paraId="42EF7ED1" w14:textId="528E70EB" w:rsidR="00F93FF3" w:rsidRPr="00A77AF6" w:rsidRDefault="00F93FF3" w:rsidP="00F93FF3">
            <w:pPr>
              <w:spacing w:after="0" w:line="276" w:lineRule="auto"/>
              <w:rPr>
                <w:rFonts w:cstheme="minorHAnsi"/>
                <w:sz w:val="20"/>
                <w:szCs w:val="20"/>
              </w:rPr>
            </w:pPr>
            <w:r w:rsidRPr="00A77AF6">
              <w:rPr>
                <w:rFonts w:cstheme="minorHAnsi"/>
                <w:sz w:val="20"/>
                <w:szCs w:val="20"/>
              </w:rPr>
              <w:t>Dependable</w:t>
            </w:r>
          </w:p>
        </w:tc>
        <w:tc>
          <w:tcPr>
            <w:tcW w:w="1134" w:type="dxa"/>
          </w:tcPr>
          <w:p w14:paraId="69E9AF63" w14:textId="77777777"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c>
          <w:tcPr>
            <w:tcW w:w="1206" w:type="dxa"/>
          </w:tcPr>
          <w:p w14:paraId="61F9F9AD" w14:textId="77777777" w:rsidR="00F93FF3" w:rsidRPr="00A77AF6" w:rsidRDefault="00F93FF3" w:rsidP="00F93FF3">
            <w:pPr>
              <w:spacing w:after="0" w:line="276" w:lineRule="auto"/>
              <w:rPr>
                <w:rFonts w:cstheme="minorHAnsi"/>
                <w:sz w:val="20"/>
                <w:szCs w:val="20"/>
              </w:rPr>
            </w:pPr>
          </w:p>
        </w:tc>
        <w:tc>
          <w:tcPr>
            <w:tcW w:w="1419" w:type="dxa"/>
          </w:tcPr>
          <w:p w14:paraId="44FA67AB" w14:textId="1849CAE9" w:rsidR="00F93FF3" w:rsidRPr="00A77AF6" w:rsidRDefault="00F93FF3" w:rsidP="00F93FF3">
            <w:pPr>
              <w:spacing w:after="0" w:line="276" w:lineRule="auto"/>
              <w:rPr>
                <w:rFonts w:cstheme="minorHAnsi"/>
                <w:sz w:val="20"/>
                <w:szCs w:val="20"/>
              </w:rPr>
            </w:pPr>
          </w:p>
        </w:tc>
        <w:tc>
          <w:tcPr>
            <w:tcW w:w="1276" w:type="dxa"/>
          </w:tcPr>
          <w:p w14:paraId="5567EAE1" w14:textId="77777777" w:rsidR="00F93FF3" w:rsidRPr="00A77AF6" w:rsidRDefault="00F93FF3" w:rsidP="00F93FF3">
            <w:pPr>
              <w:spacing w:after="0" w:line="276" w:lineRule="auto"/>
              <w:rPr>
                <w:rFonts w:cstheme="minorHAnsi"/>
                <w:sz w:val="20"/>
                <w:szCs w:val="20"/>
              </w:rPr>
            </w:pPr>
            <w:r w:rsidRPr="00A77AF6">
              <w:rPr>
                <w:rFonts w:cstheme="minorHAnsi"/>
                <w:sz w:val="20"/>
                <w:szCs w:val="20"/>
              </w:rPr>
              <w:t>7</w:t>
            </w:r>
          </w:p>
        </w:tc>
      </w:tr>
      <w:tr w:rsidR="00F93FF3" w:rsidRPr="00A77AF6" w14:paraId="3C5ADD92" w14:textId="77777777" w:rsidTr="00F93FF3">
        <w:tc>
          <w:tcPr>
            <w:tcW w:w="561" w:type="dxa"/>
          </w:tcPr>
          <w:p w14:paraId="41B59D63" w14:textId="588247CF" w:rsidR="00F93FF3" w:rsidRPr="00A77AF6" w:rsidRDefault="00F93FF3" w:rsidP="00F93FF3">
            <w:pPr>
              <w:spacing w:after="0" w:line="276" w:lineRule="auto"/>
              <w:rPr>
                <w:rFonts w:cstheme="minorHAnsi"/>
                <w:sz w:val="20"/>
                <w:szCs w:val="20"/>
              </w:rPr>
            </w:pPr>
            <w:r w:rsidRPr="00A77AF6">
              <w:rPr>
                <w:sz w:val="20"/>
              </w:rPr>
              <w:t>5.</w:t>
            </w:r>
          </w:p>
        </w:tc>
        <w:tc>
          <w:tcPr>
            <w:tcW w:w="1912" w:type="dxa"/>
          </w:tcPr>
          <w:p w14:paraId="6F63A46C" w14:textId="2C291D2A" w:rsidR="00F93FF3" w:rsidRPr="00A77AF6" w:rsidRDefault="00F93FF3" w:rsidP="00F93FF3">
            <w:pPr>
              <w:spacing w:after="0" w:line="276" w:lineRule="auto"/>
              <w:rPr>
                <w:rFonts w:cstheme="minorHAnsi"/>
                <w:sz w:val="20"/>
                <w:szCs w:val="20"/>
              </w:rPr>
            </w:pPr>
            <w:r w:rsidRPr="00A77AF6">
              <w:rPr>
                <w:rFonts w:cstheme="minorHAnsi"/>
                <w:sz w:val="20"/>
                <w:szCs w:val="20"/>
              </w:rPr>
              <w:t>Resourceful</w:t>
            </w:r>
          </w:p>
        </w:tc>
        <w:tc>
          <w:tcPr>
            <w:tcW w:w="1134" w:type="dxa"/>
          </w:tcPr>
          <w:p w14:paraId="27723A82" w14:textId="77777777" w:rsidR="00F93FF3" w:rsidRPr="00A77AF6" w:rsidRDefault="00F93FF3" w:rsidP="00F93FF3">
            <w:pPr>
              <w:spacing w:after="0" w:line="276" w:lineRule="auto"/>
              <w:rPr>
                <w:rFonts w:cstheme="minorHAnsi"/>
                <w:sz w:val="20"/>
                <w:szCs w:val="20"/>
              </w:rPr>
            </w:pPr>
          </w:p>
        </w:tc>
        <w:tc>
          <w:tcPr>
            <w:tcW w:w="1206" w:type="dxa"/>
          </w:tcPr>
          <w:p w14:paraId="7F216DE9" w14:textId="67BB9B0B"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c>
          <w:tcPr>
            <w:tcW w:w="1419" w:type="dxa"/>
          </w:tcPr>
          <w:p w14:paraId="643B5036" w14:textId="4DEC590F" w:rsidR="00F93FF3" w:rsidRPr="00A77AF6" w:rsidRDefault="00F93FF3" w:rsidP="00F93FF3">
            <w:pPr>
              <w:spacing w:after="0" w:line="276" w:lineRule="auto"/>
              <w:rPr>
                <w:rFonts w:cstheme="minorHAnsi"/>
                <w:sz w:val="20"/>
                <w:szCs w:val="20"/>
              </w:rPr>
            </w:pPr>
          </w:p>
        </w:tc>
        <w:tc>
          <w:tcPr>
            <w:tcW w:w="1276" w:type="dxa"/>
          </w:tcPr>
          <w:p w14:paraId="5281104B" w14:textId="77777777" w:rsidR="00F93FF3" w:rsidRPr="00A77AF6" w:rsidRDefault="00F93FF3" w:rsidP="00F93FF3">
            <w:pPr>
              <w:spacing w:after="0" w:line="276" w:lineRule="auto"/>
              <w:rPr>
                <w:rFonts w:cstheme="minorHAnsi"/>
                <w:sz w:val="20"/>
                <w:szCs w:val="20"/>
              </w:rPr>
            </w:pPr>
            <w:r w:rsidRPr="00A77AF6">
              <w:rPr>
                <w:rFonts w:cstheme="minorHAnsi"/>
                <w:sz w:val="20"/>
                <w:szCs w:val="20"/>
              </w:rPr>
              <w:t>6</w:t>
            </w:r>
          </w:p>
        </w:tc>
      </w:tr>
      <w:tr w:rsidR="00F93FF3" w:rsidRPr="00A77AF6" w14:paraId="323A732E" w14:textId="77777777" w:rsidTr="00F93FF3">
        <w:tc>
          <w:tcPr>
            <w:tcW w:w="561" w:type="dxa"/>
          </w:tcPr>
          <w:p w14:paraId="04F2F918" w14:textId="1909AD0A" w:rsidR="00F93FF3" w:rsidRPr="00A77AF6" w:rsidRDefault="00F93FF3" w:rsidP="00F93FF3">
            <w:pPr>
              <w:spacing w:after="0" w:line="276" w:lineRule="auto"/>
              <w:rPr>
                <w:rFonts w:cstheme="minorHAnsi"/>
                <w:sz w:val="20"/>
                <w:szCs w:val="20"/>
              </w:rPr>
            </w:pPr>
            <w:r w:rsidRPr="00A77AF6">
              <w:rPr>
                <w:sz w:val="20"/>
              </w:rPr>
              <w:t>6.</w:t>
            </w:r>
          </w:p>
        </w:tc>
        <w:tc>
          <w:tcPr>
            <w:tcW w:w="1912" w:type="dxa"/>
          </w:tcPr>
          <w:p w14:paraId="784AB308" w14:textId="7136D222" w:rsidR="00F93FF3" w:rsidRPr="00A77AF6" w:rsidRDefault="00F93FF3" w:rsidP="00F93FF3">
            <w:pPr>
              <w:spacing w:after="0" w:line="276" w:lineRule="auto"/>
              <w:rPr>
                <w:rFonts w:cstheme="minorHAnsi"/>
                <w:sz w:val="20"/>
                <w:szCs w:val="20"/>
              </w:rPr>
            </w:pPr>
            <w:r w:rsidRPr="00A77AF6">
              <w:rPr>
                <w:rFonts w:cstheme="minorHAnsi"/>
                <w:sz w:val="20"/>
                <w:szCs w:val="20"/>
              </w:rPr>
              <w:t>Trustworthy</w:t>
            </w:r>
          </w:p>
        </w:tc>
        <w:tc>
          <w:tcPr>
            <w:tcW w:w="1134" w:type="dxa"/>
          </w:tcPr>
          <w:p w14:paraId="2D79F9DF" w14:textId="77777777"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c>
          <w:tcPr>
            <w:tcW w:w="1206" w:type="dxa"/>
          </w:tcPr>
          <w:p w14:paraId="6956B598" w14:textId="77777777" w:rsidR="00F93FF3" w:rsidRPr="00A77AF6" w:rsidRDefault="00F93FF3" w:rsidP="00F93FF3">
            <w:pPr>
              <w:spacing w:after="0" w:line="276" w:lineRule="auto"/>
              <w:rPr>
                <w:rFonts w:cstheme="minorHAnsi"/>
                <w:sz w:val="20"/>
                <w:szCs w:val="20"/>
              </w:rPr>
            </w:pPr>
          </w:p>
        </w:tc>
        <w:tc>
          <w:tcPr>
            <w:tcW w:w="1419" w:type="dxa"/>
          </w:tcPr>
          <w:p w14:paraId="3B73BB20" w14:textId="40827F34" w:rsidR="00F93FF3" w:rsidRPr="00A77AF6" w:rsidRDefault="00F93FF3" w:rsidP="00F93FF3">
            <w:pPr>
              <w:spacing w:after="0" w:line="276" w:lineRule="auto"/>
              <w:rPr>
                <w:rFonts w:cstheme="minorHAnsi"/>
                <w:sz w:val="20"/>
                <w:szCs w:val="20"/>
              </w:rPr>
            </w:pPr>
          </w:p>
        </w:tc>
        <w:tc>
          <w:tcPr>
            <w:tcW w:w="1276" w:type="dxa"/>
          </w:tcPr>
          <w:p w14:paraId="61DE8FAB" w14:textId="77777777" w:rsidR="00F93FF3" w:rsidRPr="00A77AF6" w:rsidRDefault="00F93FF3" w:rsidP="00F93FF3">
            <w:pPr>
              <w:spacing w:after="0" w:line="276" w:lineRule="auto"/>
              <w:rPr>
                <w:rFonts w:cstheme="minorHAnsi"/>
                <w:sz w:val="20"/>
                <w:szCs w:val="20"/>
              </w:rPr>
            </w:pPr>
            <w:r w:rsidRPr="00A77AF6">
              <w:rPr>
                <w:rFonts w:cstheme="minorHAnsi"/>
                <w:sz w:val="20"/>
                <w:szCs w:val="20"/>
              </w:rPr>
              <w:t>7</w:t>
            </w:r>
          </w:p>
        </w:tc>
      </w:tr>
      <w:tr w:rsidR="00F93FF3" w:rsidRPr="00A77AF6" w14:paraId="3772F813" w14:textId="77777777" w:rsidTr="00F93FF3">
        <w:tc>
          <w:tcPr>
            <w:tcW w:w="561" w:type="dxa"/>
          </w:tcPr>
          <w:p w14:paraId="0761804F" w14:textId="23400E22" w:rsidR="00F93FF3" w:rsidRPr="00A77AF6" w:rsidRDefault="00F93FF3" w:rsidP="00F93FF3">
            <w:pPr>
              <w:spacing w:after="0" w:line="276" w:lineRule="auto"/>
              <w:rPr>
                <w:rFonts w:cstheme="minorHAnsi"/>
                <w:sz w:val="20"/>
                <w:szCs w:val="20"/>
              </w:rPr>
            </w:pPr>
            <w:r w:rsidRPr="00A77AF6">
              <w:rPr>
                <w:sz w:val="20"/>
              </w:rPr>
              <w:t>7.</w:t>
            </w:r>
          </w:p>
        </w:tc>
        <w:tc>
          <w:tcPr>
            <w:tcW w:w="1912" w:type="dxa"/>
          </w:tcPr>
          <w:p w14:paraId="42840CF3" w14:textId="28239852" w:rsidR="00F93FF3" w:rsidRPr="00A77AF6" w:rsidRDefault="00F93FF3" w:rsidP="00F93FF3">
            <w:pPr>
              <w:spacing w:after="0" w:line="276" w:lineRule="auto"/>
              <w:rPr>
                <w:rFonts w:cstheme="minorHAnsi"/>
                <w:sz w:val="20"/>
                <w:szCs w:val="20"/>
              </w:rPr>
            </w:pPr>
            <w:r w:rsidRPr="00A77AF6">
              <w:rPr>
                <w:rFonts w:cstheme="minorHAnsi"/>
                <w:sz w:val="20"/>
                <w:szCs w:val="20"/>
              </w:rPr>
              <w:t>Effective</w:t>
            </w:r>
          </w:p>
        </w:tc>
        <w:tc>
          <w:tcPr>
            <w:tcW w:w="1134" w:type="dxa"/>
          </w:tcPr>
          <w:p w14:paraId="73C41128" w14:textId="77777777" w:rsidR="00F93FF3" w:rsidRPr="00A77AF6" w:rsidRDefault="00F93FF3" w:rsidP="00F93FF3">
            <w:pPr>
              <w:spacing w:after="0" w:line="276" w:lineRule="auto"/>
              <w:rPr>
                <w:rFonts w:cstheme="minorHAnsi"/>
                <w:sz w:val="20"/>
                <w:szCs w:val="20"/>
              </w:rPr>
            </w:pPr>
          </w:p>
        </w:tc>
        <w:tc>
          <w:tcPr>
            <w:tcW w:w="1206" w:type="dxa"/>
          </w:tcPr>
          <w:p w14:paraId="09615429" w14:textId="2337DD39"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c>
          <w:tcPr>
            <w:tcW w:w="1419" w:type="dxa"/>
          </w:tcPr>
          <w:p w14:paraId="43D32DFB" w14:textId="3E8181E7" w:rsidR="00F93FF3" w:rsidRPr="00A77AF6" w:rsidRDefault="00F93FF3" w:rsidP="00F93FF3">
            <w:pPr>
              <w:spacing w:after="0" w:line="276" w:lineRule="auto"/>
              <w:rPr>
                <w:rFonts w:cstheme="minorHAnsi"/>
                <w:sz w:val="20"/>
                <w:szCs w:val="20"/>
              </w:rPr>
            </w:pPr>
          </w:p>
        </w:tc>
        <w:tc>
          <w:tcPr>
            <w:tcW w:w="1276" w:type="dxa"/>
          </w:tcPr>
          <w:p w14:paraId="1797D92B" w14:textId="77777777" w:rsidR="00F93FF3" w:rsidRPr="00A77AF6" w:rsidRDefault="00F93FF3" w:rsidP="00F93FF3">
            <w:pPr>
              <w:spacing w:after="0" w:line="276" w:lineRule="auto"/>
              <w:rPr>
                <w:rFonts w:cstheme="minorHAnsi"/>
                <w:sz w:val="20"/>
                <w:szCs w:val="20"/>
              </w:rPr>
            </w:pPr>
            <w:r w:rsidRPr="00A77AF6">
              <w:rPr>
                <w:rFonts w:cstheme="minorHAnsi"/>
                <w:sz w:val="20"/>
                <w:szCs w:val="20"/>
              </w:rPr>
              <w:t>7</w:t>
            </w:r>
          </w:p>
        </w:tc>
      </w:tr>
      <w:tr w:rsidR="00F93FF3" w:rsidRPr="00A77AF6" w14:paraId="04652B89" w14:textId="77777777" w:rsidTr="00F93FF3">
        <w:tc>
          <w:tcPr>
            <w:tcW w:w="561" w:type="dxa"/>
          </w:tcPr>
          <w:p w14:paraId="50A3C63F" w14:textId="6B6AFC59" w:rsidR="00F93FF3" w:rsidRPr="00A77AF6" w:rsidRDefault="00F93FF3" w:rsidP="00F93FF3">
            <w:pPr>
              <w:spacing w:after="0" w:line="276" w:lineRule="auto"/>
              <w:rPr>
                <w:rFonts w:cstheme="minorHAnsi"/>
                <w:sz w:val="20"/>
                <w:szCs w:val="20"/>
              </w:rPr>
            </w:pPr>
            <w:r w:rsidRPr="00A77AF6">
              <w:rPr>
                <w:sz w:val="20"/>
              </w:rPr>
              <w:t>8.</w:t>
            </w:r>
          </w:p>
        </w:tc>
        <w:tc>
          <w:tcPr>
            <w:tcW w:w="1912" w:type="dxa"/>
          </w:tcPr>
          <w:p w14:paraId="35F93475" w14:textId="6104E845" w:rsidR="00F93FF3" w:rsidRPr="00A77AF6" w:rsidRDefault="00F93FF3" w:rsidP="00F93FF3">
            <w:pPr>
              <w:spacing w:after="0" w:line="276" w:lineRule="auto"/>
              <w:rPr>
                <w:rFonts w:cstheme="minorHAnsi"/>
                <w:sz w:val="20"/>
                <w:szCs w:val="20"/>
              </w:rPr>
            </w:pPr>
            <w:r w:rsidRPr="00A77AF6">
              <w:rPr>
                <w:rFonts w:cstheme="minorHAnsi"/>
                <w:sz w:val="20"/>
                <w:szCs w:val="20"/>
              </w:rPr>
              <w:t>Honest</w:t>
            </w:r>
          </w:p>
        </w:tc>
        <w:tc>
          <w:tcPr>
            <w:tcW w:w="1134" w:type="dxa"/>
          </w:tcPr>
          <w:p w14:paraId="1C7BD526" w14:textId="77777777"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c>
          <w:tcPr>
            <w:tcW w:w="1206" w:type="dxa"/>
          </w:tcPr>
          <w:p w14:paraId="235E0412" w14:textId="77777777" w:rsidR="00F93FF3" w:rsidRPr="00A77AF6" w:rsidRDefault="00F93FF3" w:rsidP="00F93FF3">
            <w:pPr>
              <w:spacing w:after="0" w:line="276" w:lineRule="auto"/>
              <w:rPr>
                <w:rFonts w:cstheme="minorHAnsi"/>
                <w:sz w:val="20"/>
                <w:szCs w:val="20"/>
              </w:rPr>
            </w:pPr>
          </w:p>
        </w:tc>
        <w:tc>
          <w:tcPr>
            <w:tcW w:w="1419" w:type="dxa"/>
          </w:tcPr>
          <w:p w14:paraId="55ACCBAD" w14:textId="75E6692E" w:rsidR="00F93FF3" w:rsidRPr="00A77AF6" w:rsidRDefault="00F93FF3" w:rsidP="00F93FF3">
            <w:pPr>
              <w:spacing w:after="0" w:line="276" w:lineRule="auto"/>
              <w:rPr>
                <w:rFonts w:cstheme="minorHAnsi"/>
                <w:sz w:val="20"/>
                <w:szCs w:val="20"/>
              </w:rPr>
            </w:pPr>
          </w:p>
        </w:tc>
        <w:tc>
          <w:tcPr>
            <w:tcW w:w="1276" w:type="dxa"/>
          </w:tcPr>
          <w:p w14:paraId="610E8084" w14:textId="77777777" w:rsidR="00F93FF3" w:rsidRPr="00A77AF6" w:rsidRDefault="00F93FF3" w:rsidP="00F93FF3">
            <w:pPr>
              <w:spacing w:after="0" w:line="276" w:lineRule="auto"/>
              <w:rPr>
                <w:rFonts w:cstheme="minorHAnsi"/>
                <w:sz w:val="20"/>
                <w:szCs w:val="20"/>
              </w:rPr>
            </w:pPr>
            <w:r w:rsidRPr="00A77AF6">
              <w:rPr>
                <w:rFonts w:cstheme="minorHAnsi"/>
                <w:sz w:val="20"/>
                <w:szCs w:val="20"/>
              </w:rPr>
              <w:t>7</w:t>
            </w:r>
          </w:p>
        </w:tc>
      </w:tr>
      <w:tr w:rsidR="00F93FF3" w:rsidRPr="00A77AF6" w14:paraId="332E4487" w14:textId="77777777" w:rsidTr="00F93FF3">
        <w:tc>
          <w:tcPr>
            <w:tcW w:w="561" w:type="dxa"/>
          </w:tcPr>
          <w:p w14:paraId="2B7D98C7" w14:textId="025FE5E9" w:rsidR="00F93FF3" w:rsidRPr="00A77AF6" w:rsidRDefault="00F93FF3" w:rsidP="00F93FF3">
            <w:pPr>
              <w:spacing w:after="0" w:line="276" w:lineRule="auto"/>
              <w:rPr>
                <w:rFonts w:cstheme="minorHAnsi"/>
                <w:sz w:val="20"/>
                <w:szCs w:val="20"/>
              </w:rPr>
            </w:pPr>
            <w:r w:rsidRPr="00A77AF6">
              <w:rPr>
                <w:sz w:val="20"/>
              </w:rPr>
              <w:t>9.</w:t>
            </w:r>
          </w:p>
        </w:tc>
        <w:tc>
          <w:tcPr>
            <w:tcW w:w="1912" w:type="dxa"/>
          </w:tcPr>
          <w:p w14:paraId="0C5AC411" w14:textId="4D087276" w:rsidR="00F93FF3" w:rsidRPr="00A77AF6" w:rsidRDefault="00F93FF3" w:rsidP="00F93FF3">
            <w:pPr>
              <w:spacing w:after="0" w:line="276" w:lineRule="auto"/>
              <w:rPr>
                <w:rFonts w:cstheme="minorHAnsi"/>
                <w:sz w:val="20"/>
                <w:szCs w:val="20"/>
              </w:rPr>
            </w:pPr>
            <w:r w:rsidRPr="00A77AF6">
              <w:rPr>
                <w:rFonts w:cstheme="minorHAnsi"/>
                <w:sz w:val="20"/>
                <w:szCs w:val="20"/>
              </w:rPr>
              <w:t>Influential</w:t>
            </w:r>
          </w:p>
        </w:tc>
        <w:tc>
          <w:tcPr>
            <w:tcW w:w="1134" w:type="dxa"/>
          </w:tcPr>
          <w:p w14:paraId="2543BC5E" w14:textId="77777777" w:rsidR="00F93FF3" w:rsidRPr="00A77AF6" w:rsidRDefault="00F93FF3" w:rsidP="00F93FF3">
            <w:pPr>
              <w:spacing w:after="0" w:line="276" w:lineRule="auto"/>
              <w:rPr>
                <w:rFonts w:cstheme="minorHAnsi"/>
                <w:sz w:val="20"/>
                <w:szCs w:val="20"/>
              </w:rPr>
            </w:pPr>
          </w:p>
        </w:tc>
        <w:tc>
          <w:tcPr>
            <w:tcW w:w="1206" w:type="dxa"/>
          </w:tcPr>
          <w:p w14:paraId="6620B3FF" w14:textId="312EA096"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c>
          <w:tcPr>
            <w:tcW w:w="1419" w:type="dxa"/>
          </w:tcPr>
          <w:p w14:paraId="329E297B" w14:textId="68CEF1D7" w:rsidR="00F93FF3" w:rsidRPr="00A77AF6" w:rsidRDefault="00F93FF3" w:rsidP="00F93FF3">
            <w:pPr>
              <w:spacing w:after="0" w:line="276" w:lineRule="auto"/>
              <w:rPr>
                <w:rFonts w:cstheme="minorHAnsi"/>
                <w:sz w:val="20"/>
                <w:szCs w:val="20"/>
              </w:rPr>
            </w:pPr>
          </w:p>
        </w:tc>
        <w:tc>
          <w:tcPr>
            <w:tcW w:w="1276" w:type="dxa"/>
          </w:tcPr>
          <w:p w14:paraId="78AA2A86" w14:textId="77777777" w:rsidR="00F93FF3" w:rsidRPr="00A77AF6" w:rsidRDefault="00F93FF3" w:rsidP="00F93FF3">
            <w:pPr>
              <w:spacing w:after="0" w:line="276" w:lineRule="auto"/>
              <w:rPr>
                <w:rFonts w:cstheme="minorHAnsi"/>
                <w:sz w:val="20"/>
                <w:szCs w:val="20"/>
              </w:rPr>
            </w:pPr>
            <w:r w:rsidRPr="00A77AF6">
              <w:rPr>
                <w:rFonts w:cstheme="minorHAnsi"/>
                <w:sz w:val="20"/>
                <w:szCs w:val="20"/>
              </w:rPr>
              <w:t>7</w:t>
            </w:r>
          </w:p>
        </w:tc>
      </w:tr>
      <w:tr w:rsidR="00F93FF3" w:rsidRPr="00A77AF6" w14:paraId="0E48C831" w14:textId="77777777" w:rsidTr="00F93FF3">
        <w:tc>
          <w:tcPr>
            <w:tcW w:w="561" w:type="dxa"/>
          </w:tcPr>
          <w:p w14:paraId="1107AD9C" w14:textId="3403CD9F" w:rsidR="00F93FF3" w:rsidRPr="00A77AF6" w:rsidRDefault="00F93FF3" w:rsidP="00F93FF3">
            <w:pPr>
              <w:spacing w:after="0" w:line="276" w:lineRule="auto"/>
              <w:rPr>
                <w:rFonts w:cstheme="minorHAnsi"/>
                <w:sz w:val="20"/>
                <w:szCs w:val="20"/>
              </w:rPr>
            </w:pPr>
            <w:r w:rsidRPr="00A77AF6">
              <w:rPr>
                <w:sz w:val="20"/>
              </w:rPr>
              <w:t>10.</w:t>
            </w:r>
          </w:p>
        </w:tc>
        <w:tc>
          <w:tcPr>
            <w:tcW w:w="1912" w:type="dxa"/>
          </w:tcPr>
          <w:p w14:paraId="6E9C06D8" w14:textId="4687F567" w:rsidR="00F93FF3" w:rsidRPr="00A77AF6" w:rsidRDefault="00F93FF3" w:rsidP="00F93FF3">
            <w:pPr>
              <w:spacing w:after="0" w:line="276" w:lineRule="auto"/>
              <w:rPr>
                <w:rFonts w:cstheme="minorHAnsi"/>
                <w:sz w:val="20"/>
                <w:szCs w:val="20"/>
              </w:rPr>
            </w:pPr>
            <w:r w:rsidRPr="00A77AF6">
              <w:rPr>
                <w:rFonts w:cstheme="minorHAnsi"/>
                <w:sz w:val="20"/>
                <w:szCs w:val="20"/>
              </w:rPr>
              <w:t>Dutiful</w:t>
            </w:r>
          </w:p>
        </w:tc>
        <w:tc>
          <w:tcPr>
            <w:tcW w:w="1134" w:type="dxa"/>
          </w:tcPr>
          <w:p w14:paraId="3A08AE48" w14:textId="77777777" w:rsidR="00F93FF3" w:rsidRPr="00A77AF6" w:rsidRDefault="00F93FF3" w:rsidP="00F93FF3">
            <w:pPr>
              <w:spacing w:after="0" w:line="276" w:lineRule="auto"/>
              <w:rPr>
                <w:rFonts w:cstheme="minorHAnsi"/>
                <w:sz w:val="20"/>
                <w:szCs w:val="20"/>
              </w:rPr>
            </w:pPr>
          </w:p>
        </w:tc>
        <w:tc>
          <w:tcPr>
            <w:tcW w:w="1206" w:type="dxa"/>
          </w:tcPr>
          <w:p w14:paraId="76A23E28" w14:textId="77777777" w:rsidR="00F93FF3" w:rsidRPr="00A77AF6" w:rsidRDefault="00F93FF3" w:rsidP="00F93FF3">
            <w:pPr>
              <w:spacing w:after="0" w:line="276" w:lineRule="auto"/>
              <w:rPr>
                <w:rFonts w:cstheme="minorHAnsi"/>
                <w:sz w:val="20"/>
                <w:szCs w:val="20"/>
              </w:rPr>
            </w:pPr>
          </w:p>
        </w:tc>
        <w:tc>
          <w:tcPr>
            <w:tcW w:w="1419" w:type="dxa"/>
          </w:tcPr>
          <w:p w14:paraId="7A12E2D5" w14:textId="0FA63740"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c>
          <w:tcPr>
            <w:tcW w:w="1276" w:type="dxa"/>
          </w:tcPr>
          <w:p w14:paraId="41950E0C" w14:textId="77777777" w:rsidR="00F93FF3" w:rsidRPr="00A77AF6" w:rsidRDefault="00F93FF3" w:rsidP="00F93FF3">
            <w:pPr>
              <w:spacing w:after="0" w:line="276" w:lineRule="auto"/>
              <w:rPr>
                <w:rFonts w:cstheme="minorHAnsi"/>
                <w:sz w:val="20"/>
                <w:szCs w:val="20"/>
              </w:rPr>
            </w:pPr>
            <w:r w:rsidRPr="00A77AF6">
              <w:rPr>
                <w:rFonts w:cstheme="minorHAnsi"/>
                <w:sz w:val="20"/>
                <w:szCs w:val="20"/>
              </w:rPr>
              <w:t>7</w:t>
            </w:r>
          </w:p>
        </w:tc>
      </w:tr>
      <w:tr w:rsidR="00F93FF3" w:rsidRPr="00A77AF6" w14:paraId="29B9E696" w14:textId="77777777" w:rsidTr="00F93FF3">
        <w:tc>
          <w:tcPr>
            <w:tcW w:w="561" w:type="dxa"/>
          </w:tcPr>
          <w:p w14:paraId="1934AD82" w14:textId="10F42C87" w:rsidR="00F93FF3" w:rsidRPr="00A77AF6" w:rsidRDefault="00F93FF3" w:rsidP="00F93FF3">
            <w:pPr>
              <w:spacing w:after="0" w:line="276" w:lineRule="auto"/>
              <w:rPr>
                <w:rFonts w:cstheme="minorHAnsi"/>
                <w:sz w:val="20"/>
                <w:szCs w:val="20"/>
              </w:rPr>
            </w:pPr>
            <w:r w:rsidRPr="00A77AF6">
              <w:rPr>
                <w:sz w:val="20"/>
              </w:rPr>
              <w:t>11.</w:t>
            </w:r>
          </w:p>
        </w:tc>
        <w:tc>
          <w:tcPr>
            <w:tcW w:w="1912" w:type="dxa"/>
          </w:tcPr>
          <w:p w14:paraId="14F1266D" w14:textId="35297CC0" w:rsidR="00F93FF3" w:rsidRPr="00A77AF6" w:rsidRDefault="00F93FF3" w:rsidP="00F93FF3">
            <w:pPr>
              <w:spacing w:after="0" w:line="276" w:lineRule="auto"/>
              <w:rPr>
                <w:rFonts w:cstheme="minorHAnsi"/>
                <w:sz w:val="20"/>
                <w:szCs w:val="20"/>
              </w:rPr>
            </w:pPr>
            <w:r w:rsidRPr="00A77AF6">
              <w:rPr>
                <w:rFonts w:cstheme="minorHAnsi"/>
                <w:sz w:val="20"/>
                <w:szCs w:val="20"/>
              </w:rPr>
              <w:t>Independent</w:t>
            </w:r>
          </w:p>
        </w:tc>
        <w:tc>
          <w:tcPr>
            <w:tcW w:w="1134" w:type="dxa"/>
          </w:tcPr>
          <w:p w14:paraId="19D51460" w14:textId="77777777" w:rsidR="00F93FF3" w:rsidRPr="00A77AF6" w:rsidRDefault="00F93FF3" w:rsidP="00F93FF3">
            <w:pPr>
              <w:spacing w:after="0" w:line="276" w:lineRule="auto"/>
              <w:rPr>
                <w:rFonts w:cstheme="minorHAnsi"/>
                <w:sz w:val="20"/>
                <w:szCs w:val="20"/>
              </w:rPr>
            </w:pPr>
          </w:p>
        </w:tc>
        <w:tc>
          <w:tcPr>
            <w:tcW w:w="1206" w:type="dxa"/>
          </w:tcPr>
          <w:p w14:paraId="6EB5D707" w14:textId="77777777" w:rsidR="00F93FF3" w:rsidRPr="00A77AF6" w:rsidRDefault="00F93FF3" w:rsidP="00F93FF3">
            <w:pPr>
              <w:spacing w:after="0" w:line="276" w:lineRule="auto"/>
              <w:rPr>
                <w:rFonts w:cstheme="minorHAnsi"/>
                <w:sz w:val="20"/>
                <w:szCs w:val="20"/>
              </w:rPr>
            </w:pPr>
          </w:p>
        </w:tc>
        <w:tc>
          <w:tcPr>
            <w:tcW w:w="1419" w:type="dxa"/>
          </w:tcPr>
          <w:p w14:paraId="1E7B7541" w14:textId="49376F4E"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c>
          <w:tcPr>
            <w:tcW w:w="1276" w:type="dxa"/>
          </w:tcPr>
          <w:p w14:paraId="014E08F2" w14:textId="77777777" w:rsidR="00F93FF3" w:rsidRPr="00A77AF6" w:rsidRDefault="00F93FF3" w:rsidP="00F93FF3">
            <w:pPr>
              <w:spacing w:after="0" w:line="276" w:lineRule="auto"/>
              <w:rPr>
                <w:rFonts w:cstheme="minorHAnsi"/>
                <w:sz w:val="20"/>
                <w:szCs w:val="20"/>
              </w:rPr>
            </w:pPr>
            <w:r w:rsidRPr="00A77AF6">
              <w:rPr>
                <w:rFonts w:cstheme="minorHAnsi"/>
                <w:sz w:val="20"/>
                <w:szCs w:val="20"/>
              </w:rPr>
              <w:t>6</w:t>
            </w:r>
          </w:p>
        </w:tc>
      </w:tr>
      <w:tr w:rsidR="00F93FF3" w:rsidRPr="00A77AF6" w14:paraId="58E828F1" w14:textId="77777777" w:rsidTr="00F93FF3">
        <w:tc>
          <w:tcPr>
            <w:tcW w:w="561" w:type="dxa"/>
          </w:tcPr>
          <w:p w14:paraId="5BCFC496" w14:textId="025CE068" w:rsidR="00F93FF3" w:rsidRPr="00A77AF6" w:rsidRDefault="00F93FF3" w:rsidP="00F93FF3">
            <w:pPr>
              <w:spacing w:after="0" w:line="276" w:lineRule="auto"/>
              <w:rPr>
                <w:rFonts w:cstheme="minorHAnsi"/>
                <w:sz w:val="20"/>
                <w:szCs w:val="20"/>
              </w:rPr>
            </w:pPr>
            <w:r w:rsidRPr="00A77AF6">
              <w:rPr>
                <w:sz w:val="20"/>
              </w:rPr>
              <w:t>12.</w:t>
            </w:r>
          </w:p>
        </w:tc>
        <w:tc>
          <w:tcPr>
            <w:tcW w:w="1912" w:type="dxa"/>
          </w:tcPr>
          <w:p w14:paraId="4CB58765" w14:textId="06EF6912" w:rsidR="00F93FF3" w:rsidRPr="00A77AF6" w:rsidRDefault="00F93FF3" w:rsidP="00F93FF3">
            <w:pPr>
              <w:spacing w:after="0" w:line="276" w:lineRule="auto"/>
              <w:rPr>
                <w:rFonts w:cstheme="minorHAnsi"/>
                <w:sz w:val="20"/>
                <w:szCs w:val="20"/>
              </w:rPr>
            </w:pPr>
            <w:r w:rsidRPr="00A77AF6">
              <w:rPr>
                <w:rFonts w:cstheme="minorHAnsi"/>
                <w:sz w:val="20"/>
                <w:szCs w:val="20"/>
              </w:rPr>
              <w:t>Dedicated to cause</w:t>
            </w:r>
          </w:p>
        </w:tc>
        <w:tc>
          <w:tcPr>
            <w:tcW w:w="1134" w:type="dxa"/>
          </w:tcPr>
          <w:p w14:paraId="13FF9CEB" w14:textId="77777777" w:rsidR="00F93FF3" w:rsidRPr="00A77AF6" w:rsidRDefault="00F93FF3" w:rsidP="00F93FF3">
            <w:pPr>
              <w:spacing w:after="0" w:line="276" w:lineRule="auto"/>
              <w:rPr>
                <w:rFonts w:cstheme="minorHAnsi"/>
                <w:sz w:val="20"/>
                <w:szCs w:val="20"/>
              </w:rPr>
            </w:pPr>
          </w:p>
        </w:tc>
        <w:tc>
          <w:tcPr>
            <w:tcW w:w="1206" w:type="dxa"/>
          </w:tcPr>
          <w:p w14:paraId="19EE832D" w14:textId="77777777" w:rsidR="00F93FF3" w:rsidRPr="00A77AF6" w:rsidRDefault="00F93FF3" w:rsidP="00F93FF3">
            <w:pPr>
              <w:spacing w:after="0" w:line="276" w:lineRule="auto"/>
              <w:rPr>
                <w:rFonts w:cstheme="minorHAnsi"/>
                <w:sz w:val="20"/>
                <w:szCs w:val="20"/>
              </w:rPr>
            </w:pPr>
          </w:p>
        </w:tc>
        <w:tc>
          <w:tcPr>
            <w:tcW w:w="1419" w:type="dxa"/>
          </w:tcPr>
          <w:p w14:paraId="503397BF" w14:textId="510723A0"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c>
          <w:tcPr>
            <w:tcW w:w="1276" w:type="dxa"/>
          </w:tcPr>
          <w:p w14:paraId="665152F3" w14:textId="77777777" w:rsidR="00F93FF3" w:rsidRPr="00A77AF6" w:rsidRDefault="00F93FF3" w:rsidP="00F93FF3">
            <w:pPr>
              <w:spacing w:after="0" w:line="276" w:lineRule="auto"/>
              <w:rPr>
                <w:rFonts w:cstheme="minorHAnsi"/>
                <w:sz w:val="20"/>
                <w:szCs w:val="20"/>
              </w:rPr>
            </w:pPr>
            <w:r w:rsidRPr="00A77AF6">
              <w:rPr>
                <w:rFonts w:cstheme="minorHAnsi"/>
                <w:sz w:val="20"/>
                <w:szCs w:val="20"/>
              </w:rPr>
              <w:t>6</w:t>
            </w:r>
          </w:p>
        </w:tc>
      </w:tr>
      <w:tr w:rsidR="00F93FF3" w:rsidRPr="00A77AF6" w14:paraId="16406A57" w14:textId="77777777" w:rsidTr="00F93FF3">
        <w:tc>
          <w:tcPr>
            <w:tcW w:w="561" w:type="dxa"/>
          </w:tcPr>
          <w:p w14:paraId="5D777845" w14:textId="4019B373" w:rsidR="00F93FF3" w:rsidRPr="00A77AF6" w:rsidRDefault="00F93FF3" w:rsidP="00F93FF3">
            <w:pPr>
              <w:spacing w:after="0" w:line="276" w:lineRule="auto"/>
              <w:rPr>
                <w:rFonts w:cstheme="minorHAnsi"/>
                <w:sz w:val="20"/>
                <w:szCs w:val="20"/>
              </w:rPr>
            </w:pPr>
            <w:r w:rsidRPr="00A77AF6">
              <w:rPr>
                <w:sz w:val="20"/>
              </w:rPr>
              <w:t>13.</w:t>
            </w:r>
          </w:p>
        </w:tc>
        <w:tc>
          <w:tcPr>
            <w:tcW w:w="1912" w:type="dxa"/>
          </w:tcPr>
          <w:p w14:paraId="4B4DDD49" w14:textId="3FA188A5" w:rsidR="00F93FF3" w:rsidRPr="00A77AF6" w:rsidRDefault="00F93FF3" w:rsidP="00F93FF3">
            <w:pPr>
              <w:spacing w:after="0" w:line="276" w:lineRule="auto"/>
              <w:rPr>
                <w:rFonts w:cstheme="minorHAnsi"/>
                <w:sz w:val="20"/>
                <w:szCs w:val="20"/>
              </w:rPr>
            </w:pPr>
            <w:r w:rsidRPr="00A77AF6">
              <w:rPr>
                <w:rFonts w:cstheme="minorHAnsi"/>
                <w:sz w:val="20"/>
                <w:szCs w:val="20"/>
              </w:rPr>
              <w:t>Results-orientated</w:t>
            </w:r>
          </w:p>
        </w:tc>
        <w:tc>
          <w:tcPr>
            <w:tcW w:w="1134" w:type="dxa"/>
          </w:tcPr>
          <w:p w14:paraId="7B23154A" w14:textId="77777777" w:rsidR="00F93FF3" w:rsidRPr="00A77AF6" w:rsidRDefault="00F93FF3" w:rsidP="00F93FF3">
            <w:pPr>
              <w:spacing w:after="0" w:line="276" w:lineRule="auto"/>
              <w:rPr>
                <w:rFonts w:cstheme="minorHAnsi"/>
                <w:sz w:val="20"/>
                <w:szCs w:val="20"/>
              </w:rPr>
            </w:pPr>
          </w:p>
        </w:tc>
        <w:tc>
          <w:tcPr>
            <w:tcW w:w="1206" w:type="dxa"/>
          </w:tcPr>
          <w:p w14:paraId="0365FF2F" w14:textId="64D35BE7"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c>
          <w:tcPr>
            <w:tcW w:w="1419" w:type="dxa"/>
          </w:tcPr>
          <w:p w14:paraId="0BF49F4A" w14:textId="6E2B04DA" w:rsidR="00F93FF3" w:rsidRPr="00A77AF6" w:rsidRDefault="00F93FF3" w:rsidP="00F93FF3">
            <w:pPr>
              <w:spacing w:after="0" w:line="276" w:lineRule="auto"/>
              <w:rPr>
                <w:rFonts w:cstheme="minorHAnsi"/>
                <w:sz w:val="20"/>
                <w:szCs w:val="20"/>
              </w:rPr>
            </w:pPr>
          </w:p>
        </w:tc>
        <w:tc>
          <w:tcPr>
            <w:tcW w:w="1276" w:type="dxa"/>
          </w:tcPr>
          <w:p w14:paraId="428F8079" w14:textId="77777777" w:rsidR="00F93FF3" w:rsidRPr="00A77AF6" w:rsidRDefault="00F93FF3" w:rsidP="00F93FF3">
            <w:pPr>
              <w:spacing w:after="0" w:line="276" w:lineRule="auto"/>
              <w:rPr>
                <w:rFonts w:cstheme="minorHAnsi"/>
                <w:sz w:val="20"/>
                <w:szCs w:val="20"/>
              </w:rPr>
            </w:pPr>
            <w:r w:rsidRPr="00A77AF6">
              <w:rPr>
                <w:rFonts w:cstheme="minorHAnsi"/>
                <w:sz w:val="20"/>
                <w:szCs w:val="20"/>
              </w:rPr>
              <w:t>5</w:t>
            </w:r>
          </w:p>
        </w:tc>
      </w:tr>
      <w:tr w:rsidR="00F93FF3" w:rsidRPr="00A77AF6" w14:paraId="5429E60E" w14:textId="77777777" w:rsidTr="00F93FF3">
        <w:tc>
          <w:tcPr>
            <w:tcW w:w="561" w:type="dxa"/>
          </w:tcPr>
          <w:p w14:paraId="403C50EA" w14:textId="35060910" w:rsidR="00F93FF3" w:rsidRPr="00A77AF6" w:rsidRDefault="00F93FF3" w:rsidP="00F93FF3">
            <w:pPr>
              <w:spacing w:after="0" w:line="276" w:lineRule="auto"/>
              <w:rPr>
                <w:rFonts w:cstheme="minorHAnsi"/>
                <w:sz w:val="20"/>
                <w:szCs w:val="20"/>
              </w:rPr>
            </w:pPr>
            <w:r w:rsidRPr="00A77AF6">
              <w:rPr>
                <w:sz w:val="20"/>
              </w:rPr>
              <w:t>14.</w:t>
            </w:r>
          </w:p>
        </w:tc>
        <w:tc>
          <w:tcPr>
            <w:tcW w:w="1912" w:type="dxa"/>
          </w:tcPr>
          <w:p w14:paraId="64F8FB85" w14:textId="3CD322D3" w:rsidR="00F93FF3" w:rsidRPr="00A77AF6" w:rsidRDefault="00F93FF3" w:rsidP="00F93FF3">
            <w:pPr>
              <w:spacing w:after="0" w:line="276" w:lineRule="auto"/>
              <w:rPr>
                <w:rFonts w:cstheme="minorHAnsi"/>
                <w:sz w:val="20"/>
                <w:szCs w:val="20"/>
              </w:rPr>
            </w:pPr>
            <w:r w:rsidRPr="00A77AF6">
              <w:rPr>
                <w:rFonts w:cstheme="minorHAnsi"/>
                <w:sz w:val="20"/>
                <w:szCs w:val="20"/>
              </w:rPr>
              <w:t>Good-intentioned</w:t>
            </w:r>
          </w:p>
        </w:tc>
        <w:tc>
          <w:tcPr>
            <w:tcW w:w="1134" w:type="dxa"/>
          </w:tcPr>
          <w:p w14:paraId="33E46F45" w14:textId="77777777" w:rsidR="00F93FF3" w:rsidRPr="00A77AF6" w:rsidRDefault="00F93FF3" w:rsidP="00F93FF3">
            <w:pPr>
              <w:spacing w:after="0" w:line="276" w:lineRule="auto"/>
              <w:rPr>
                <w:rFonts w:cstheme="minorHAnsi"/>
                <w:sz w:val="20"/>
                <w:szCs w:val="20"/>
              </w:rPr>
            </w:pPr>
          </w:p>
        </w:tc>
        <w:tc>
          <w:tcPr>
            <w:tcW w:w="1206" w:type="dxa"/>
          </w:tcPr>
          <w:p w14:paraId="170884D9" w14:textId="77777777" w:rsidR="00F93FF3" w:rsidRPr="00A77AF6" w:rsidRDefault="00F93FF3" w:rsidP="00F93FF3">
            <w:pPr>
              <w:spacing w:after="0" w:line="276" w:lineRule="auto"/>
              <w:rPr>
                <w:rFonts w:cstheme="minorHAnsi"/>
                <w:sz w:val="20"/>
                <w:szCs w:val="20"/>
              </w:rPr>
            </w:pPr>
          </w:p>
        </w:tc>
        <w:tc>
          <w:tcPr>
            <w:tcW w:w="1419" w:type="dxa"/>
          </w:tcPr>
          <w:p w14:paraId="5D8D7BA9" w14:textId="7AFB5569"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c>
          <w:tcPr>
            <w:tcW w:w="1276" w:type="dxa"/>
          </w:tcPr>
          <w:p w14:paraId="17CDFB2F" w14:textId="77777777" w:rsidR="00F93FF3" w:rsidRPr="00A77AF6" w:rsidRDefault="00F93FF3" w:rsidP="00F93FF3">
            <w:pPr>
              <w:spacing w:after="0" w:line="276" w:lineRule="auto"/>
              <w:rPr>
                <w:rFonts w:cstheme="minorHAnsi"/>
                <w:sz w:val="20"/>
                <w:szCs w:val="20"/>
              </w:rPr>
            </w:pPr>
            <w:r w:rsidRPr="00A77AF6">
              <w:rPr>
                <w:rFonts w:cstheme="minorHAnsi"/>
                <w:sz w:val="20"/>
                <w:szCs w:val="20"/>
              </w:rPr>
              <w:t>7</w:t>
            </w:r>
          </w:p>
        </w:tc>
      </w:tr>
      <w:tr w:rsidR="00F93FF3" w:rsidRPr="00A77AF6" w14:paraId="3B0FA0AA" w14:textId="77777777" w:rsidTr="00F93FF3">
        <w:tc>
          <w:tcPr>
            <w:tcW w:w="561" w:type="dxa"/>
          </w:tcPr>
          <w:p w14:paraId="666B98D3" w14:textId="439683D4" w:rsidR="00F93FF3" w:rsidRPr="00A77AF6" w:rsidRDefault="00F93FF3" w:rsidP="00F93FF3">
            <w:pPr>
              <w:spacing w:after="0" w:line="276" w:lineRule="auto"/>
              <w:rPr>
                <w:rFonts w:cstheme="minorHAnsi"/>
                <w:sz w:val="20"/>
                <w:szCs w:val="20"/>
              </w:rPr>
            </w:pPr>
            <w:r w:rsidRPr="00A77AF6">
              <w:rPr>
                <w:sz w:val="20"/>
              </w:rPr>
              <w:t>15.</w:t>
            </w:r>
          </w:p>
        </w:tc>
        <w:tc>
          <w:tcPr>
            <w:tcW w:w="1912" w:type="dxa"/>
          </w:tcPr>
          <w:p w14:paraId="48D2CC84" w14:textId="15ABE9CA" w:rsidR="00F93FF3" w:rsidRPr="00A77AF6" w:rsidRDefault="00F93FF3" w:rsidP="00F93FF3">
            <w:pPr>
              <w:spacing w:after="0" w:line="276" w:lineRule="auto"/>
              <w:rPr>
                <w:rFonts w:cstheme="minorHAnsi"/>
                <w:sz w:val="20"/>
                <w:szCs w:val="20"/>
              </w:rPr>
            </w:pPr>
            <w:r w:rsidRPr="00A77AF6">
              <w:rPr>
                <w:rFonts w:cstheme="minorHAnsi"/>
                <w:sz w:val="20"/>
                <w:szCs w:val="20"/>
              </w:rPr>
              <w:t>Productive</w:t>
            </w:r>
          </w:p>
        </w:tc>
        <w:tc>
          <w:tcPr>
            <w:tcW w:w="1134" w:type="dxa"/>
          </w:tcPr>
          <w:p w14:paraId="4E6ED8E9" w14:textId="77777777" w:rsidR="00F93FF3" w:rsidRPr="00A77AF6" w:rsidRDefault="00F93FF3" w:rsidP="00F93FF3">
            <w:pPr>
              <w:spacing w:after="0" w:line="276" w:lineRule="auto"/>
              <w:rPr>
                <w:rFonts w:cstheme="minorHAnsi"/>
                <w:sz w:val="20"/>
                <w:szCs w:val="20"/>
              </w:rPr>
            </w:pPr>
          </w:p>
        </w:tc>
        <w:tc>
          <w:tcPr>
            <w:tcW w:w="1206" w:type="dxa"/>
          </w:tcPr>
          <w:p w14:paraId="0E388A82" w14:textId="1B799CB7"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c>
          <w:tcPr>
            <w:tcW w:w="1419" w:type="dxa"/>
          </w:tcPr>
          <w:p w14:paraId="0D8449E6" w14:textId="3CDD3B4B" w:rsidR="00F93FF3" w:rsidRPr="00A77AF6" w:rsidRDefault="00F93FF3" w:rsidP="00F93FF3">
            <w:pPr>
              <w:spacing w:after="0" w:line="276" w:lineRule="auto"/>
              <w:rPr>
                <w:rFonts w:cstheme="minorHAnsi"/>
                <w:sz w:val="20"/>
                <w:szCs w:val="20"/>
              </w:rPr>
            </w:pPr>
          </w:p>
        </w:tc>
        <w:tc>
          <w:tcPr>
            <w:tcW w:w="1276" w:type="dxa"/>
          </w:tcPr>
          <w:p w14:paraId="2713BB92" w14:textId="77777777" w:rsidR="00F93FF3" w:rsidRPr="00A77AF6" w:rsidRDefault="00F93FF3" w:rsidP="00F93FF3">
            <w:pPr>
              <w:spacing w:after="0" w:line="276" w:lineRule="auto"/>
              <w:rPr>
                <w:rFonts w:cstheme="minorHAnsi"/>
                <w:sz w:val="20"/>
                <w:szCs w:val="20"/>
              </w:rPr>
            </w:pPr>
            <w:r w:rsidRPr="00A77AF6">
              <w:rPr>
                <w:rFonts w:cstheme="minorHAnsi"/>
                <w:sz w:val="20"/>
                <w:szCs w:val="20"/>
              </w:rPr>
              <w:t>6</w:t>
            </w:r>
          </w:p>
        </w:tc>
      </w:tr>
      <w:tr w:rsidR="00F93FF3" w:rsidRPr="00A77AF6" w14:paraId="73E9C685" w14:textId="77777777" w:rsidTr="00F93FF3">
        <w:tc>
          <w:tcPr>
            <w:tcW w:w="561" w:type="dxa"/>
          </w:tcPr>
          <w:p w14:paraId="61935E51" w14:textId="004C2DC4" w:rsidR="00F93FF3" w:rsidRPr="00A77AF6" w:rsidRDefault="00F93FF3" w:rsidP="00F93FF3">
            <w:pPr>
              <w:spacing w:after="0" w:line="276" w:lineRule="auto"/>
              <w:rPr>
                <w:rFonts w:cstheme="minorHAnsi"/>
                <w:sz w:val="20"/>
                <w:szCs w:val="20"/>
              </w:rPr>
            </w:pPr>
            <w:r w:rsidRPr="00A77AF6">
              <w:rPr>
                <w:sz w:val="20"/>
              </w:rPr>
              <w:t>16.</w:t>
            </w:r>
          </w:p>
        </w:tc>
        <w:tc>
          <w:tcPr>
            <w:tcW w:w="1912" w:type="dxa"/>
          </w:tcPr>
          <w:p w14:paraId="6D962AFB" w14:textId="246466E2" w:rsidR="00F93FF3" w:rsidRPr="00A77AF6" w:rsidRDefault="00F93FF3" w:rsidP="00F93FF3">
            <w:pPr>
              <w:spacing w:after="0" w:line="276" w:lineRule="auto"/>
              <w:rPr>
                <w:rFonts w:cstheme="minorHAnsi"/>
                <w:sz w:val="20"/>
                <w:szCs w:val="20"/>
              </w:rPr>
            </w:pPr>
            <w:r w:rsidRPr="00A77AF6">
              <w:rPr>
                <w:rFonts w:cstheme="minorHAnsi"/>
                <w:sz w:val="20"/>
                <w:szCs w:val="20"/>
              </w:rPr>
              <w:t>Noted for integrity</w:t>
            </w:r>
          </w:p>
        </w:tc>
        <w:tc>
          <w:tcPr>
            <w:tcW w:w="1134" w:type="dxa"/>
          </w:tcPr>
          <w:p w14:paraId="3AD00C14" w14:textId="77777777"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c>
          <w:tcPr>
            <w:tcW w:w="1206" w:type="dxa"/>
          </w:tcPr>
          <w:p w14:paraId="1DD879B3" w14:textId="77777777" w:rsidR="00F93FF3" w:rsidRPr="00A77AF6" w:rsidRDefault="00F93FF3" w:rsidP="00F93FF3">
            <w:pPr>
              <w:spacing w:after="0" w:line="276" w:lineRule="auto"/>
              <w:rPr>
                <w:rFonts w:cstheme="minorHAnsi"/>
                <w:sz w:val="20"/>
                <w:szCs w:val="20"/>
              </w:rPr>
            </w:pPr>
          </w:p>
        </w:tc>
        <w:tc>
          <w:tcPr>
            <w:tcW w:w="1419" w:type="dxa"/>
          </w:tcPr>
          <w:p w14:paraId="5A6C30AF" w14:textId="2A266409" w:rsidR="00F93FF3" w:rsidRPr="00A77AF6" w:rsidRDefault="00F93FF3" w:rsidP="00F93FF3">
            <w:pPr>
              <w:spacing w:after="0" w:line="276" w:lineRule="auto"/>
              <w:rPr>
                <w:rFonts w:cstheme="minorHAnsi"/>
                <w:sz w:val="20"/>
                <w:szCs w:val="20"/>
              </w:rPr>
            </w:pPr>
          </w:p>
        </w:tc>
        <w:tc>
          <w:tcPr>
            <w:tcW w:w="1276" w:type="dxa"/>
          </w:tcPr>
          <w:p w14:paraId="0394861D" w14:textId="77777777" w:rsidR="00F93FF3" w:rsidRPr="00A77AF6" w:rsidRDefault="00F93FF3" w:rsidP="00F93FF3">
            <w:pPr>
              <w:spacing w:after="0" w:line="276" w:lineRule="auto"/>
              <w:rPr>
                <w:rFonts w:cstheme="minorHAnsi"/>
                <w:sz w:val="20"/>
                <w:szCs w:val="20"/>
              </w:rPr>
            </w:pPr>
            <w:r w:rsidRPr="00A77AF6">
              <w:rPr>
                <w:rFonts w:cstheme="minorHAnsi"/>
                <w:sz w:val="20"/>
                <w:szCs w:val="20"/>
              </w:rPr>
              <w:t>7</w:t>
            </w:r>
          </w:p>
        </w:tc>
      </w:tr>
      <w:tr w:rsidR="00F93FF3" w:rsidRPr="00A77AF6" w14:paraId="38A36DB8" w14:textId="77777777" w:rsidTr="00F93FF3">
        <w:tc>
          <w:tcPr>
            <w:tcW w:w="561" w:type="dxa"/>
          </w:tcPr>
          <w:p w14:paraId="6A71E129" w14:textId="05847234" w:rsidR="00F93FF3" w:rsidRPr="00A77AF6" w:rsidRDefault="00F93FF3" w:rsidP="00F93FF3">
            <w:pPr>
              <w:spacing w:after="0" w:line="276" w:lineRule="auto"/>
              <w:rPr>
                <w:rFonts w:cstheme="minorHAnsi"/>
                <w:sz w:val="20"/>
                <w:szCs w:val="20"/>
              </w:rPr>
            </w:pPr>
            <w:r w:rsidRPr="00A77AF6">
              <w:rPr>
                <w:sz w:val="20"/>
              </w:rPr>
              <w:t>17.</w:t>
            </w:r>
          </w:p>
        </w:tc>
        <w:tc>
          <w:tcPr>
            <w:tcW w:w="1912" w:type="dxa"/>
          </w:tcPr>
          <w:p w14:paraId="2DD7E40C" w14:textId="349E156F" w:rsidR="00F93FF3" w:rsidRPr="00A77AF6" w:rsidRDefault="00F93FF3" w:rsidP="00F93FF3">
            <w:pPr>
              <w:spacing w:after="0" w:line="276" w:lineRule="auto"/>
              <w:rPr>
                <w:rFonts w:cstheme="minorHAnsi"/>
                <w:sz w:val="20"/>
                <w:szCs w:val="20"/>
              </w:rPr>
            </w:pPr>
            <w:r w:rsidRPr="00A77AF6">
              <w:rPr>
                <w:rFonts w:cstheme="minorHAnsi"/>
                <w:sz w:val="20"/>
                <w:szCs w:val="20"/>
              </w:rPr>
              <w:t>Compassionate</w:t>
            </w:r>
          </w:p>
        </w:tc>
        <w:tc>
          <w:tcPr>
            <w:tcW w:w="1134" w:type="dxa"/>
          </w:tcPr>
          <w:p w14:paraId="170F48AA" w14:textId="77777777" w:rsidR="00F93FF3" w:rsidRPr="00A77AF6" w:rsidRDefault="00F93FF3" w:rsidP="00F93FF3">
            <w:pPr>
              <w:spacing w:after="0" w:line="276" w:lineRule="auto"/>
              <w:rPr>
                <w:rFonts w:cstheme="minorHAnsi"/>
                <w:sz w:val="20"/>
                <w:szCs w:val="20"/>
              </w:rPr>
            </w:pPr>
          </w:p>
        </w:tc>
        <w:tc>
          <w:tcPr>
            <w:tcW w:w="1206" w:type="dxa"/>
          </w:tcPr>
          <w:p w14:paraId="5F3E436E" w14:textId="77777777" w:rsidR="00F93FF3" w:rsidRPr="00A77AF6" w:rsidRDefault="00F93FF3" w:rsidP="00F93FF3">
            <w:pPr>
              <w:spacing w:after="0" w:line="276" w:lineRule="auto"/>
              <w:rPr>
                <w:rFonts w:cstheme="minorHAnsi"/>
                <w:sz w:val="20"/>
                <w:szCs w:val="20"/>
              </w:rPr>
            </w:pPr>
          </w:p>
        </w:tc>
        <w:tc>
          <w:tcPr>
            <w:tcW w:w="1419" w:type="dxa"/>
          </w:tcPr>
          <w:p w14:paraId="4063535C" w14:textId="14C185FF"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c>
          <w:tcPr>
            <w:tcW w:w="1276" w:type="dxa"/>
          </w:tcPr>
          <w:p w14:paraId="3D81D3B4" w14:textId="77777777" w:rsidR="00F93FF3" w:rsidRPr="00A77AF6" w:rsidRDefault="00F93FF3" w:rsidP="00F93FF3">
            <w:pPr>
              <w:spacing w:after="0" w:line="276" w:lineRule="auto"/>
              <w:rPr>
                <w:rFonts w:cstheme="minorHAnsi"/>
                <w:sz w:val="20"/>
                <w:szCs w:val="20"/>
              </w:rPr>
            </w:pPr>
            <w:r w:rsidRPr="00A77AF6">
              <w:rPr>
                <w:rFonts w:cstheme="minorHAnsi"/>
                <w:sz w:val="20"/>
                <w:szCs w:val="20"/>
              </w:rPr>
              <w:t>7</w:t>
            </w:r>
          </w:p>
        </w:tc>
      </w:tr>
      <w:tr w:rsidR="00F93FF3" w:rsidRPr="00A77AF6" w14:paraId="189949D4" w14:textId="77777777" w:rsidTr="00F93FF3">
        <w:tc>
          <w:tcPr>
            <w:tcW w:w="561" w:type="dxa"/>
          </w:tcPr>
          <w:p w14:paraId="70B4F0B3" w14:textId="451DD8A2" w:rsidR="00F93FF3" w:rsidRPr="00A77AF6" w:rsidRDefault="00F93FF3" w:rsidP="00F93FF3">
            <w:pPr>
              <w:spacing w:after="0" w:line="276" w:lineRule="auto"/>
              <w:rPr>
                <w:rFonts w:cstheme="minorHAnsi"/>
                <w:sz w:val="20"/>
                <w:szCs w:val="20"/>
              </w:rPr>
            </w:pPr>
            <w:r w:rsidRPr="00A77AF6">
              <w:rPr>
                <w:sz w:val="20"/>
              </w:rPr>
              <w:t>18.</w:t>
            </w:r>
          </w:p>
        </w:tc>
        <w:tc>
          <w:tcPr>
            <w:tcW w:w="1912" w:type="dxa"/>
          </w:tcPr>
          <w:p w14:paraId="68830075" w14:textId="038C000F" w:rsidR="00F93FF3" w:rsidRPr="00A77AF6" w:rsidRDefault="00F93FF3" w:rsidP="00F93FF3">
            <w:pPr>
              <w:spacing w:after="0" w:line="276" w:lineRule="auto"/>
              <w:rPr>
                <w:rFonts w:cstheme="minorHAnsi"/>
                <w:sz w:val="20"/>
                <w:szCs w:val="20"/>
              </w:rPr>
            </w:pPr>
            <w:r w:rsidRPr="00A77AF6">
              <w:rPr>
                <w:rFonts w:cstheme="minorHAnsi"/>
                <w:sz w:val="20"/>
                <w:szCs w:val="20"/>
              </w:rPr>
              <w:t>Financially secure</w:t>
            </w:r>
          </w:p>
        </w:tc>
        <w:tc>
          <w:tcPr>
            <w:tcW w:w="1134" w:type="dxa"/>
          </w:tcPr>
          <w:p w14:paraId="3DF216FC" w14:textId="77777777" w:rsidR="00F93FF3" w:rsidRPr="00A77AF6" w:rsidRDefault="00F93FF3" w:rsidP="00F93FF3">
            <w:pPr>
              <w:spacing w:after="0" w:line="276" w:lineRule="auto"/>
              <w:rPr>
                <w:rFonts w:cstheme="minorHAnsi"/>
                <w:sz w:val="20"/>
                <w:szCs w:val="20"/>
              </w:rPr>
            </w:pPr>
          </w:p>
        </w:tc>
        <w:tc>
          <w:tcPr>
            <w:tcW w:w="1206" w:type="dxa"/>
          </w:tcPr>
          <w:p w14:paraId="0B804983" w14:textId="77777777" w:rsidR="00F93FF3" w:rsidRPr="00A77AF6" w:rsidRDefault="00F93FF3" w:rsidP="00F93FF3">
            <w:pPr>
              <w:spacing w:after="0" w:line="276" w:lineRule="auto"/>
              <w:rPr>
                <w:rFonts w:cstheme="minorHAnsi"/>
                <w:sz w:val="20"/>
                <w:szCs w:val="20"/>
              </w:rPr>
            </w:pPr>
          </w:p>
        </w:tc>
        <w:tc>
          <w:tcPr>
            <w:tcW w:w="1419" w:type="dxa"/>
          </w:tcPr>
          <w:p w14:paraId="0B68A009" w14:textId="72ADAAD9"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c>
          <w:tcPr>
            <w:tcW w:w="1276" w:type="dxa"/>
          </w:tcPr>
          <w:p w14:paraId="47D02E9E" w14:textId="77777777" w:rsidR="00F93FF3" w:rsidRPr="00A77AF6" w:rsidRDefault="00F93FF3" w:rsidP="00F93FF3">
            <w:pPr>
              <w:spacing w:after="0" w:line="276" w:lineRule="auto"/>
              <w:rPr>
                <w:rFonts w:cstheme="minorHAnsi"/>
                <w:sz w:val="20"/>
                <w:szCs w:val="20"/>
              </w:rPr>
            </w:pPr>
            <w:r w:rsidRPr="00A77AF6">
              <w:rPr>
                <w:rFonts w:cstheme="minorHAnsi"/>
                <w:sz w:val="20"/>
                <w:szCs w:val="20"/>
              </w:rPr>
              <w:t>5</w:t>
            </w:r>
          </w:p>
        </w:tc>
      </w:tr>
      <w:tr w:rsidR="00F93FF3" w:rsidRPr="00A77AF6" w14:paraId="4E31817E" w14:textId="77777777" w:rsidTr="00F93FF3">
        <w:tc>
          <w:tcPr>
            <w:tcW w:w="561" w:type="dxa"/>
          </w:tcPr>
          <w:p w14:paraId="4BB2091B" w14:textId="250C995A" w:rsidR="00F93FF3" w:rsidRPr="00A77AF6" w:rsidRDefault="00F93FF3" w:rsidP="00F93FF3">
            <w:pPr>
              <w:spacing w:after="0" w:line="276" w:lineRule="auto"/>
              <w:rPr>
                <w:rFonts w:cstheme="minorHAnsi"/>
                <w:sz w:val="20"/>
                <w:szCs w:val="20"/>
              </w:rPr>
            </w:pPr>
            <w:r w:rsidRPr="00A77AF6">
              <w:rPr>
                <w:sz w:val="20"/>
              </w:rPr>
              <w:t>19.</w:t>
            </w:r>
          </w:p>
        </w:tc>
        <w:tc>
          <w:tcPr>
            <w:tcW w:w="1912" w:type="dxa"/>
          </w:tcPr>
          <w:p w14:paraId="08142867" w14:textId="4AAA5476" w:rsidR="00F93FF3" w:rsidRPr="00A77AF6" w:rsidRDefault="00F93FF3" w:rsidP="00F93FF3">
            <w:pPr>
              <w:spacing w:after="0" w:line="276" w:lineRule="auto"/>
              <w:rPr>
                <w:rFonts w:cstheme="minorHAnsi"/>
                <w:sz w:val="20"/>
                <w:szCs w:val="20"/>
              </w:rPr>
            </w:pPr>
            <w:r w:rsidRPr="00A77AF6">
              <w:rPr>
                <w:rFonts w:cstheme="minorHAnsi"/>
                <w:sz w:val="20"/>
                <w:szCs w:val="20"/>
              </w:rPr>
              <w:t>Law-abiding</w:t>
            </w:r>
          </w:p>
        </w:tc>
        <w:tc>
          <w:tcPr>
            <w:tcW w:w="1134" w:type="dxa"/>
          </w:tcPr>
          <w:p w14:paraId="34C02E7E" w14:textId="77777777"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c>
          <w:tcPr>
            <w:tcW w:w="1206" w:type="dxa"/>
          </w:tcPr>
          <w:p w14:paraId="75C89E54" w14:textId="77777777" w:rsidR="00F93FF3" w:rsidRPr="00A77AF6" w:rsidRDefault="00F93FF3" w:rsidP="00F93FF3">
            <w:pPr>
              <w:spacing w:after="0" w:line="276" w:lineRule="auto"/>
              <w:rPr>
                <w:rFonts w:cstheme="minorHAnsi"/>
                <w:sz w:val="20"/>
                <w:szCs w:val="20"/>
              </w:rPr>
            </w:pPr>
          </w:p>
        </w:tc>
        <w:tc>
          <w:tcPr>
            <w:tcW w:w="1419" w:type="dxa"/>
          </w:tcPr>
          <w:p w14:paraId="4BC45AC2" w14:textId="5390D1AC" w:rsidR="00F93FF3" w:rsidRPr="00A77AF6" w:rsidRDefault="00F93FF3" w:rsidP="00F93FF3">
            <w:pPr>
              <w:spacing w:after="0" w:line="276" w:lineRule="auto"/>
              <w:rPr>
                <w:rFonts w:cstheme="minorHAnsi"/>
                <w:sz w:val="20"/>
                <w:szCs w:val="20"/>
              </w:rPr>
            </w:pPr>
          </w:p>
        </w:tc>
        <w:tc>
          <w:tcPr>
            <w:tcW w:w="1276" w:type="dxa"/>
          </w:tcPr>
          <w:p w14:paraId="46DAAD27" w14:textId="77777777" w:rsidR="00F93FF3" w:rsidRPr="00A77AF6" w:rsidRDefault="00F93FF3" w:rsidP="00F93FF3">
            <w:pPr>
              <w:spacing w:after="0" w:line="276" w:lineRule="auto"/>
              <w:rPr>
                <w:rFonts w:cstheme="minorHAnsi"/>
                <w:sz w:val="20"/>
                <w:szCs w:val="20"/>
              </w:rPr>
            </w:pPr>
            <w:r w:rsidRPr="00A77AF6">
              <w:rPr>
                <w:rFonts w:cstheme="minorHAnsi"/>
                <w:sz w:val="20"/>
                <w:szCs w:val="20"/>
              </w:rPr>
              <w:t>7</w:t>
            </w:r>
          </w:p>
        </w:tc>
      </w:tr>
      <w:tr w:rsidR="00F93FF3" w:rsidRPr="00A77AF6" w14:paraId="241F6956" w14:textId="77777777" w:rsidTr="00F93FF3">
        <w:tc>
          <w:tcPr>
            <w:tcW w:w="561" w:type="dxa"/>
          </w:tcPr>
          <w:p w14:paraId="5C418DD2" w14:textId="6F63E4DD" w:rsidR="00F93FF3" w:rsidRPr="00A77AF6" w:rsidRDefault="00F93FF3" w:rsidP="00F93FF3">
            <w:pPr>
              <w:spacing w:after="0" w:line="276" w:lineRule="auto"/>
              <w:rPr>
                <w:rFonts w:cstheme="minorHAnsi"/>
                <w:sz w:val="20"/>
                <w:szCs w:val="20"/>
              </w:rPr>
            </w:pPr>
            <w:r w:rsidRPr="00A77AF6">
              <w:rPr>
                <w:sz w:val="20"/>
              </w:rPr>
              <w:t>20.</w:t>
            </w:r>
          </w:p>
        </w:tc>
        <w:tc>
          <w:tcPr>
            <w:tcW w:w="1912" w:type="dxa"/>
          </w:tcPr>
          <w:p w14:paraId="59EAA354" w14:textId="0A3201CA" w:rsidR="00F93FF3" w:rsidRPr="00A77AF6" w:rsidRDefault="00F93FF3" w:rsidP="00F93FF3">
            <w:pPr>
              <w:spacing w:after="0" w:line="276" w:lineRule="auto"/>
              <w:rPr>
                <w:rFonts w:cstheme="minorHAnsi"/>
                <w:sz w:val="20"/>
                <w:szCs w:val="20"/>
              </w:rPr>
            </w:pPr>
            <w:r w:rsidRPr="00A77AF6">
              <w:rPr>
                <w:rFonts w:cstheme="minorHAnsi"/>
                <w:sz w:val="20"/>
                <w:szCs w:val="20"/>
              </w:rPr>
              <w:t>A winner</w:t>
            </w:r>
          </w:p>
        </w:tc>
        <w:tc>
          <w:tcPr>
            <w:tcW w:w="1134" w:type="dxa"/>
          </w:tcPr>
          <w:p w14:paraId="2D29C178" w14:textId="77777777" w:rsidR="00F93FF3" w:rsidRPr="00A77AF6" w:rsidRDefault="00F93FF3" w:rsidP="00F93FF3">
            <w:pPr>
              <w:spacing w:after="0" w:line="276" w:lineRule="auto"/>
              <w:rPr>
                <w:rFonts w:cstheme="minorHAnsi"/>
                <w:sz w:val="20"/>
                <w:szCs w:val="20"/>
              </w:rPr>
            </w:pPr>
          </w:p>
        </w:tc>
        <w:tc>
          <w:tcPr>
            <w:tcW w:w="1206" w:type="dxa"/>
          </w:tcPr>
          <w:p w14:paraId="38FEAF4C" w14:textId="237DCC42" w:rsidR="00F93FF3" w:rsidRPr="00A77AF6" w:rsidRDefault="00F93FF3" w:rsidP="00F93FF3">
            <w:pPr>
              <w:spacing w:after="0" w:line="276" w:lineRule="auto"/>
              <w:rPr>
                <w:rFonts w:cstheme="minorHAnsi"/>
                <w:sz w:val="20"/>
                <w:szCs w:val="20"/>
              </w:rPr>
            </w:pPr>
            <w:r w:rsidRPr="00A77AF6">
              <w:rPr>
                <w:rFonts w:cstheme="minorHAnsi"/>
                <w:sz w:val="20"/>
                <w:szCs w:val="20"/>
              </w:rPr>
              <w:sym w:font="Wingdings" w:char="F0FC"/>
            </w:r>
          </w:p>
        </w:tc>
        <w:tc>
          <w:tcPr>
            <w:tcW w:w="1419" w:type="dxa"/>
          </w:tcPr>
          <w:p w14:paraId="35EFECBD" w14:textId="2C6EFD78" w:rsidR="00F93FF3" w:rsidRPr="00A77AF6" w:rsidRDefault="00F93FF3" w:rsidP="00F93FF3">
            <w:pPr>
              <w:spacing w:after="0" w:line="276" w:lineRule="auto"/>
              <w:rPr>
                <w:rFonts w:cstheme="minorHAnsi"/>
                <w:sz w:val="20"/>
                <w:szCs w:val="20"/>
              </w:rPr>
            </w:pPr>
          </w:p>
        </w:tc>
        <w:tc>
          <w:tcPr>
            <w:tcW w:w="1276" w:type="dxa"/>
          </w:tcPr>
          <w:p w14:paraId="5059E7D3" w14:textId="77777777" w:rsidR="00F93FF3" w:rsidRPr="00A77AF6" w:rsidRDefault="00F93FF3" w:rsidP="00F93FF3">
            <w:pPr>
              <w:spacing w:after="0" w:line="276" w:lineRule="auto"/>
              <w:rPr>
                <w:rFonts w:cstheme="minorHAnsi"/>
                <w:sz w:val="20"/>
                <w:szCs w:val="20"/>
              </w:rPr>
            </w:pPr>
            <w:r w:rsidRPr="00A77AF6">
              <w:rPr>
                <w:rFonts w:cstheme="minorHAnsi"/>
                <w:sz w:val="20"/>
                <w:szCs w:val="20"/>
              </w:rPr>
              <w:t>5</w:t>
            </w:r>
          </w:p>
        </w:tc>
      </w:tr>
      <w:tr w:rsidR="001F5EF6" w:rsidRPr="00A77AF6" w14:paraId="19C9CE34" w14:textId="77777777" w:rsidTr="00B14084">
        <w:tc>
          <w:tcPr>
            <w:tcW w:w="561" w:type="dxa"/>
          </w:tcPr>
          <w:p w14:paraId="69923F78" w14:textId="77777777" w:rsidR="001F5EF6" w:rsidRPr="00A77AF6" w:rsidRDefault="001F5EF6" w:rsidP="00F93FF3">
            <w:pPr>
              <w:spacing w:after="0" w:line="276" w:lineRule="auto"/>
              <w:rPr>
                <w:b/>
                <w:sz w:val="20"/>
              </w:rPr>
            </w:pPr>
          </w:p>
        </w:tc>
        <w:tc>
          <w:tcPr>
            <w:tcW w:w="1912" w:type="dxa"/>
          </w:tcPr>
          <w:p w14:paraId="2A99D01D" w14:textId="03EEE6B8" w:rsidR="001F5EF6" w:rsidRPr="00A77AF6" w:rsidRDefault="001F5EF6" w:rsidP="00F93FF3">
            <w:pPr>
              <w:spacing w:after="0" w:line="276" w:lineRule="auto"/>
              <w:rPr>
                <w:rFonts w:cstheme="minorHAnsi"/>
                <w:b/>
                <w:sz w:val="20"/>
                <w:szCs w:val="20"/>
              </w:rPr>
            </w:pPr>
            <w:r w:rsidRPr="00A77AF6">
              <w:rPr>
                <w:rFonts w:cstheme="minorHAnsi"/>
                <w:b/>
                <w:sz w:val="20"/>
                <w:szCs w:val="20"/>
              </w:rPr>
              <w:t>Formalist score</w:t>
            </w:r>
          </w:p>
        </w:tc>
        <w:tc>
          <w:tcPr>
            <w:tcW w:w="3759" w:type="dxa"/>
            <w:gridSpan w:val="3"/>
          </w:tcPr>
          <w:p w14:paraId="0CF48DD9" w14:textId="77777777" w:rsidR="001F5EF6" w:rsidRPr="00A77AF6" w:rsidRDefault="001F5EF6" w:rsidP="00F93FF3">
            <w:pPr>
              <w:spacing w:after="0" w:line="276" w:lineRule="auto"/>
              <w:rPr>
                <w:rFonts w:cstheme="minorHAnsi"/>
                <w:b/>
                <w:sz w:val="20"/>
                <w:szCs w:val="20"/>
              </w:rPr>
            </w:pPr>
          </w:p>
        </w:tc>
        <w:tc>
          <w:tcPr>
            <w:tcW w:w="1276" w:type="dxa"/>
          </w:tcPr>
          <w:p w14:paraId="1CF262ED" w14:textId="2F8BA76D" w:rsidR="001F5EF6" w:rsidRPr="00A77AF6" w:rsidRDefault="001F5EF6" w:rsidP="00F93FF3">
            <w:pPr>
              <w:spacing w:after="0" w:line="276" w:lineRule="auto"/>
              <w:rPr>
                <w:rFonts w:cstheme="minorHAnsi"/>
                <w:b/>
                <w:sz w:val="20"/>
                <w:szCs w:val="20"/>
              </w:rPr>
            </w:pPr>
            <w:r w:rsidRPr="00A77AF6">
              <w:rPr>
                <w:rFonts w:cstheme="minorHAnsi"/>
                <w:b/>
                <w:sz w:val="20"/>
                <w:szCs w:val="20"/>
              </w:rPr>
              <w:t>42</w:t>
            </w:r>
            <w:r w:rsidR="00FF3B4A" w:rsidRPr="00A77AF6">
              <w:rPr>
                <w:rFonts w:cstheme="minorHAnsi"/>
                <w:b/>
                <w:sz w:val="20"/>
                <w:szCs w:val="20"/>
              </w:rPr>
              <w:t>/ 6 =7</w:t>
            </w:r>
          </w:p>
        </w:tc>
      </w:tr>
      <w:tr w:rsidR="001F5EF6" w:rsidRPr="00A77AF6" w14:paraId="1EDE8354" w14:textId="77777777" w:rsidTr="00B14084">
        <w:tc>
          <w:tcPr>
            <w:tcW w:w="561" w:type="dxa"/>
          </w:tcPr>
          <w:p w14:paraId="68F4954B" w14:textId="77777777" w:rsidR="001F5EF6" w:rsidRPr="00A77AF6" w:rsidRDefault="001F5EF6" w:rsidP="00F93FF3">
            <w:pPr>
              <w:spacing w:after="0" w:line="276" w:lineRule="auto"/>
              <w:rPr>
                <w:b/>
                <w:sz w:val="20"/>
              </w:rPr>
            </w:pPr>
          </w:p>
        </w:tc>
        <w:tc>
          <w:tcPr>
            <w:tcW w:w="1912" w:type="dxa"/>
          </w:tcPr>
          <w:p w14:paraId="0A103E88" w14:textId="3C698DD0" w:rsidR="001F5EF6" w:rsidRPr="00A77AF6" w:rsidRDefault="001F5EF6" w:rsidP="00F93FF3">
            <w:pPr>
              <w:spacing w:after="0" w:line="276" w:lineRule="auto"/>
              <w:rPr>
                <w:rFonts w:cstheme="minorHAnsi"/>
                <w:b/>
                <w:sz w:val="20"/>
                <w:szCs w:val="20"/>
              </w:rPr>
            </w:pPr>
            <w:r w:rsidRPr="00A77AF6">
              <w:rPr>
                <w:rFonts w:cstheme="minorHAnsi"/>
                <w:b/>
                <w:sz w:val="20"/>
                <w:szCs w:val="20"/>
              </w:rPr>
              <w:t>Utilitarian score</w:t>
            </w:r>
          </w:p>
        </w:tc>
        <w:tc>
          <w:tcPr>
            <w:tcW w:w="3759" w:type="dxa"/>
            <w:gridSpan w:val="3"/>
          </w:tcPr>
          <w:p w14:paraId="12147579" w14:textId="77777777" w:rsidR="001F5EF6" w:rsidRPr="00A77AF6" w:rsidRDefault="001F5EF6" w:rsidP="00F93FF3">
            <w:pPr>
              <w:spacing w:after="0" w:line="276" w:lineRule="auto"/>
              <w:rPr>
                <w:rFonts w:cstheme="minorHAnsi"/>
                <w:b/>
                <w:sz w:val="20"/>
                <w:szCs w:val="20"/>
              </w:rPr>
            </w:pPr>
          </w:p>
        </w:tc>
        <w:tc>
          <w:tcPr>
            <w:tcW w:w="1276" w:type="dxa"/>
          </w:tcPr>
          <w:p w14:paraId="35EB4C65" w14:textId="5A862E97" w:rsidR="001F5EF6" w:rsidRPr="00A77AF6" w:rsidRDefault="001F5EF6" w:rsidP="00F93FF3">
            <w:pPr>
              <w:spacing w:after="0" w:line="276" w:lineRule="auto"/>
              <w:rPr>
                <w:rFonts w:cstheme="minorHAnsi"/>
                <w:b/>
                <w:sz w:val="20"/>
                <w:szCs w:val="20"/>
              </w:rPr>
            </w:pPr>
            <w:r w:rsidRPr="00A77AF6">
              <w:rPr>
                <w:rFonts w:cstheme="minorHAnsi"/>
                <w:b/>
                <w:sz w:val="20"/>
                <w:szCs w:val="20"/>
              </w:rPr>
              <w:t>41</w:t>
            </w:r>
            <w:r w:rsidR="00FF3B4A" w:rsidRPr="00A77AF6">
              <w:rPr>
                <w:rFonts w:cstheme="minorHAnsi"/>
                <w:b/>
                <w:sz w:val="20"/>
                <w:szCs w:val="20"/>
              </w:rPr>
              <w:t xml:space="preserve">/ 7 = </w:t>
            </w:r>
            <w:r w:rsidR="00E0173A" w:rsidRPr="00A77AF6">
              <w:rPr>
                <w:rFonts w:cstheme="minorHAnsi"/>
                <w:b/>
                <w:sz w:val="20"/>
                <w:szCs w:val="20"/>
              </w:rPr>
              <w:t>5.86</w:t>
            </w:r>
          </w:p>
        </w:tc>
      </w:tr>
    </w:tbl>
    <w:p w14:paraId="16D1075E" w14:textId="77190440" w:rsidR="00100D3A" w:rsidRPr="00A77AF6" w:rsidRDefault="0090418A" w:rsidP="00100D3A">
      <w:pPr>
        <w:spacing w:line="480" w:lineRule="auto"/>
        <w:rPr>
          <w:rFonts w:cstheme="minorHAnsi"/>
          <w:sz w:val="20"/>
        </w:rPr>
      </w:pPr>
      <w:r w:rsidRPr="00A77AF6">
        <w:rPr>
          <w:rFonts w:cstheme="minorHAnsi"/>
          <w:sz w:val="20"/>
        </w:rPr>
        <w:t>Source: a</w:t>
      </w:r>
      <w:r w:rsidR="00100D3A" w:rsidRPr="00A77AF6">
        <w:rPr>
          <w:rFonts w:cstheme="minorHAnsi"/>
          <w:sz w:val="20"/>
        </w:rPr>
        <w:t xml:space="preserve">dapted from Brady and Wheeler (1996) MEV in Schminke &amp; Wells (1999) </w:t>
      </w:r>
    </w:p>
    <w:p w14:paraId="7691486F" w14:textId="5289FAF7" w:rsidR="00980CE3" w:rsidRPr="00A77AF6" w:rsidRDefault="00980CE3" w:rsidP="00330A76">
      <w:pPr>
        <w:spacing w:line="360" w:lineRule="auto"/>
        <w:rPr>
          <w:rFonts w:cstheme="minorHAnsi"/>
        </w:rPr>
      </w:pPr>
      <w:r w:rsidRPr="00A77AF6">
        <w:rPr>
          <w:rFonts w:cstheme="minorHAnsi"/>
        </w:rPr>
        <w:t>The character traits in Brady and Wheeler’s MEV (1996) a</w:t>
      </w:r>
      <w:r w:rsidR="000F7A50" w:rsidRPr="00A77AF6">
        <w:rPr>
          <w:rFonts w:cstheme="minorHAnsi"/>
        </w:rPr>
        <w:t>re</w:t>
      </w:r>
      <w:r w:rsidRPr="00A77AF6">
        <w:rPr>
          <w:rFonts w:cstheme="minorHAnsi"/>
        </w:rPr>
        <w:t xml:space="preserve"> notable in that the utilitarian traits such as ‘innovative’, ‘resourceful’, ‘effective’ and ‘productive’ are reminiscent of the qualities of the private sector in the PFI, described earlier.  On the other </w:t>
      </w:r>
      <w:r w:rsidR="000F7A50" w:rsidRPr="00A77AF6">
        <w:rPr>
          <w:rFonts w:cstheme="minorHAnsi"/>
        </w:rPr>
        <w:t>hand,</w:t>
      </w:r>
      <w:r w:rsidRPr="00A77AF6">
        <w:rPr>
          <w:rFonts w:cstheme="minorHAnsi"/>
        </w:rPr>
        <w:t xml:space="preserve"> formalist traits such </w:t>
      </w:r>
      <w:r w:rsidR="005F7CDD" w:rsidRPr="00A77AF6">
        <w:rPr>
          <w:rFonts w:cstheme="minorHAnsi"/>
        </w:rPr>
        <w:t>as ‘</w:t>
      </w:r>
      <w:r w:rsidRPr="00A77AF6">
        <w:rPr>
          <w:rFonts w:cstheme="minorHAnsi"/>
        </w:rPr>
        <w:t>principled’, dependable, ‘trustworthy</w:t>
      </w:r>
      <w:r w:rsidR="00320B17" w:rsidRPr="00A77AF6">
        <w:rPr>
          <w:rFonts w:cstheme="minorHAnsi"/>
        </w:rPr>
        <w:t>’, ‘honest’</w:t>
      </w:r>
      <w:r w:rsidR="000F7A50" w:rsidRPr="00A77AF6">
        <w:rPr>
          <w:rFonts w:cstheme="minorHAnsi"/>
        </w:rPr>
        <w:t>, ‘noted for integrity’ and ‘law-abiding’ may be more commonly associated with public sectors traits</w:t>
      </w:r>
      <w:r w:rsidR="00151ACF" w:rsidRPr="00A77AF6">
        <w:rPr>
          <w:rFonts w:cstheme="minorHAnsi"/>
        </w:rPr>
        <w:t xml:space="preserve"> and those prosed by Nolan (1995)</w:t>
      </w:r>
      <w:r w:rsidR="000F7A50" w:rsidRPr="00A77AF6">
        <w:rPr>
          <w:rFonts w:cstheme="minorHAnsi"/>
        </w:rPr>
        <w:t xml:space="preserve">.  </w:t>
      </w:r>
      <w:r w:rsidR="00866A31" w:rsidRPr="00A77AF6">
        <w:rPr>
          <w:rFonts w:cstheme="minorHAnsi"/>
        </w:rPr>
        <w:t xml:space="preserve">It </w:t>
      </w:r>
      <w:r w:rsidR="000F7A50" w:rsidRPr="00A77AF6">
        <w:rPr>
          <w:rFonts w:cstheme="minorHAnsi"/>
        </w:rPr>
        <w:t xml:space="preserve">is beyond the scope of this study to examine </w:t>
      </w:r>
      <w:r w:rsidR="00866A31" w:rsidRPr="00A77AF6">
        <w:rPr>
          <w:rFonts w:cstheme="minorHAnsi"/>
        </w:rPr>
        <w:t xml:space="preserve">whether this is the </w:t>
      </w:r>
      <w:r w:rsidR="00151ACF" w:rsidRPr="00A77AF6">
        <w:rPr>
          <w:rFonts w:cstheme="minorHAnsi"/>
        </w:rPr>
        <w:t>case,</w:t>
      </w:r>
      <w:r w:rsidR="00866A31" w:rsidRPr="00A77AF6">
        <w:rPr>
          <w:rFonts w:cstheme="minorHAnsi"/>
        </w:rPr>
        <w:t xml:space="preserve"> but these apparent differences may suggest a clash of cultures</w:t>
      </w:r>
      <w:r w:rsidR="00E931F1" w:rsidRPr="00A77AF6">
        <w:rPr>
          <w:rFonts w:cstheme="minorHAnsi"/>
        </w:rPr>
        <w:t xml:space="preserve"> between the drivers for PFI companies and those of the NHS. </w:t>
      </w:r>
      <w:r w:rsidR="00866A31" w:rsidRPr="00A77AF6">
        <w:rPr>
          <w:rFonts w:cstheme="minorHAnsi"/>
        </w:rPr>
        <w:t xml:space="preserve"> </w:t>
      </w:r>
    </w:p>
    <w:p w14:paraId="33F340EB" w14:textId="24BC73FA" w:rsidR="00516EC7" w:rsidRPr="00A77AF6" w:rsidRDefault="00D510ED" w:rsidP="00C51ED0">
      <w:pPr>
        <w:pStyle w:val="Heading3"/>
        <w:spacing w:after="120"/>
      </w:pPr>
      <w:bookmarkStart w:id="49" w:name="_Toc36275055"/>
      <w:r w:rsidRPr="00A77AF6">
        <w:t xml:space="preserve">Criticism of </w:t>
      </w:r>
      <w:r w:rsidR="002D7B72" w:rsidRPr="00A77AF6">
        <w:t>a</w:t>
      </w:r>
      <w:r w:rsidRPr="00A77AF6">
        <w:t xml:space="preserve">pplied </w:t>
      </w:r>
      <w:r w:rsidR="002D7B72" w:rsidRPr="00A77AF6">
        <w:t>e</w:t>
      </w:r>
      <w:r w:rsidRPr="00A77AF6">
        <w:t>thic</w:t>
      </w:r>
      <w:r w:rsidR="00DD4A63" w:rsidRPr="00A77AF6">
        <w:t xml:space="preserve">al </w:t>
      </w:r>
      <w:r w:rsidR="002D7B72" w:rsidRPr="00A77AF6">
        <w:t>t</w:t>
      </w:r>
      <w:r w:rsidR="00DD4A63" w:rsidRPr="00A77AF6">
        <w:t>heory</w:t>
      </w:r>
      <w:bookmarkEnd w:id="49"/>
      <w:r w:rsidRPr="00A77AF6">
        <w:t xml:space="preserve"> </w:t>
      </w:r>
    </w:p>
    <w:p w14:paraId="54189D43" w14:textId="4D220B55" w:rsidR="00E840C5" w:rsidRPr="00A77AF6" w:rsidRDefault="000A2897" w:rsidP="00835D90">
      <w:pPr>
        <w:spacing w:after="0" w:line="360" w:lineRule="auto"/>
        <w:rPr>
          <w:rFonts w:cstheme="minorHAnsi"/>
        </w:rPr>
      </w:pPr>
      <w:r w:rsidRPr="00A77AF6">
        <w:rPr>
          <w:rFonts w:cstheme="minorHAnsi"/>
        </w:rPr>
        <w:t xml:space="preserve">Critics </w:t>
      </w:r>
      <w:r w:rsidR="000601FB" w:rsidRPr="00A77AF6">
        <w:rPr>
          <w:rFonts w:cstheme="minorHAnsi"/>
        </w:rPr>
        <w:t xml:space="preserve">of applied ethical theory </w:t>
      </w:r>
      <w:r w:rsidRPr="00A77AF6">
        <w:rPr>
          <w:rFonts w:cstheme="minorHAnsi"/>
        </w:rPr>
        <w:t xml:space="preserve">argue that </w:t>
      </w:r>
      <w:r w:rsidR="00DD4A63" w:rsidRPr="00A77AF6">
        <w:rPr>
          <w:rFonts w:cstheme="minorHAnsi"/>
        </w:rPr>
        <w:t xml:space="preserve">it </w:t>
      </w:r>
      <w:r w:rsidRPr="00A77AF6">
        <w:rPr>
          <w:rFonts w:cstheme="minorHAnsi"/>
        </w:rPr>
        <w:t>attempt</w:t>
      </w:r>
      <w:r w:rsidR="00DD4A63" w:rsidRPr="00A77AF6">
        <w:rPr>
          <w:rFonts w:cstheme="minorHAnsi"/>
        </w:rPr>
        <w:t>s</w:t>
      </w:r>
      <w:r w:rsidRPr="00A77AF6">
        <w:rPr>
          <w:rFonts w:cstheme="minorHAnsi"/>
        </w:rPr>
        <w:t xml:space="preserve"> to ‘force principles to fit practice’ (Winkler 1993 cited in Maguire 1997 p</w:t>
      </w:r>
      <w:r w:rsidR="0090418A" w:rsidRPr="00A77AF6">
        <w:rPr>
          <w:rFonts w:cstheme="minorHAnsi"/>
        </w:rPr>
        <w:t xml:space="preserve">. </w:t>
      </w:r>
      <w:r w:rsidRPr="00A77AF6">
        <w:rPr>
          <w:rFonts w:cstheme="minorHAnsi"/>
        </w:rPr>
        <w:t xml:space="preserve">1414). </w:t>
      </w:r>
      <w:r w:rsidR="00D510ED" w:rsidRPr="00A77AF6">
        <w:rPr>
          <w:rFonts w:cstheme="minorHAnsi"/>
        </w:rPr>
        <w:t xml:space="preserve"> </w:t>
      </w:r>
      <w:r w:rsidR="00010535" w:rsidRPr="00A77AF6">
        <w:rPr>
          <w:rFonts w:cstheme="minorHAnsi"/>
        </w:rPr>
        <w:t>Maguire (1997)</w:t>
      </w:r>
      <w:r w:rsidR="00CD3C31" w:rsidRPr="00A77AF6">
        <w:rPr>
          <w:rFonts w:cstheme="minorHAnsi"/>
        </w:rPr>
        <w:t xml:space="preserve"> criticised </w:t>
      </w:r>
      <w:r w:rsidR="00DD4A63" w:rsidRPr="00A77AF6">
        <w:rPr>
          <w:rFonts w:cstheme="minorHAnsi"/>
        </w:rPr>
        <w:t>applied ethical theory</w:t>
      </w:r>
      <w:r w:rsidR="00CD3C31" w:rsidRPr="00A77AF6">
        <w:rPr>
          <w:rFonts w:cstheme="minorHAnsi"/>
        </w:rPr>
        <w:t xml:space="preserve"> for </w:t>
      </w:r>
      <w:r w:rsidR="00F85E6C" w:rsidRPr="00A77AF6">
        <w:rPr>
          <w:rFonts w:cstheme="minorHAnsi"/>
        </w:rPr>
        <w:t>trying to solve</w:t>
      </w:r>
      <w:r w:rsidR="00010535" w:rsidRPr="00A77AF6">
        <w:rPr>
          <w:rFonts w:cstheme="minorHAnsi"/>
        </w:rPr>
        <w:t xml:space="preserve"> moral dilemmas at </w:t>
      </w:r>
      <w:r w:rsidR="00DD4A63" w:rsidRPr="00A77AF6">
        <w:rPr>
          <w:rFonts w:cstheme="minorHAnsi"/>
        </w:rPr>
        <w:t xml:space="preserve">a </w:t>
      </w:r>
      <w:r w:rsidR="00010535" w:rsidRPr="00A77AF6">
        <w:rPr>
          <w:rFonts w:cstheme="minorHAnsi"/>
        </w:rPr>
        <w:t xml:space="preserve">theoretical level </w:t>
      </w:r>
      <w:r w:rsidR="0011471A" w:rsidRPr="00A77AF6">
        <w:rPr>
          <w:rFonts w:cstheme="minorHAnsi"/>
        </w:rPr>
        <w:t>then appl</w:t>
      </w:r>
      <w:r w:rsidR="00F85E6C" w:rsidRPr="00A77AF6">
        <w:rPr>
          <w:rFonts w:cstheme="minorHAnsi"/>
        </w:rPr>
        <w:t xml:space="preserve">ying them </w:t>
      </w:r>
      <w:r w:rsidR="004B1EC8" w:rsidRPr="00A77AF6">
        <w:rPr>
          <w:rFonts w:cstheme="minorHAnsi"/>
        </w:rPr>
        <w:t xml:space="preserve">into </w:t>
      </w:r>
      <w:r w:rsidR="00F85E6C" w:rsidRPr="00A77AF6">
        <w:rPr>
          <w:rFonts w:cstheme="minorHAnsi"/>
        </w:rPr>
        <w:t>real life</w:t>
      </w:r>
      <w:r w:rsidR="00891524" w:rsidRPr="00A77AF6">
        <w:rPr>
          <w:rFonts w:cstheme="minorHAnsi"/>
        </w:rPr>
        <w:t xml:space="preserve">, where </w:t>
      </w:r>
      <w:r w:rsidR="00F85E6C" w:rsidRPr="00A77AF6">
        <w:rPr>
          <w:rFonts w:cstheme="minorHAnsi"/>
        </w:rPr>
        <w:t>it is</w:t>
      </w:r>
      <w:r w:rsidR="00BA058D" w:rsidRPr="00A77AF6">
        <w:rPr>
          <w:rFonts w:cstheme="minorHAnsi"/>
        </w:rPr>
        <w:t xml:space="preserve"> </w:t>
      </w:r>
      <w:r w:rsidR="00DD5304" w:rsidRPr="00A77AF6">
        <w:rPr>
          <w:rFonts w:cstheme="minorHAnsi"/>
        </w:rPr>
        <w:t>unfeasible</w:t>
      </w:r>
      <w:r w:rsidR="00BA058D" w:rsidRPr="00A77AF6">
        <w:rPr>
          <w:rFonts w:cstheme="minorHAnsi"/>
        </w:rPr>
        <w:t xml:space="preserve"> and morally </w:t>
      </w:r>
      <w:r w:rsidR="00F85E6C" w:rsidRPr="00A77AF6">
        <w:rPr>
          <w:rFonts w:cstheme="minorHAnsi"/>
        </w:rPr>
        <w:t xml:space="preserve">dubious </w:t>
      </w:r>
      <w:r w:rsidR="00BA058D" w:rsidRPr="00A77AF6">
        <w:rPr>
          <w:rFonts w:cstheme="minorHAnsi"/>
        </w:rPr>
        <w:t xml:space="preserve">to follow one set of rules consistently.  </w:t>
      </w:r>
      <w:r w:rsidR="00740EDD" w:rsidRPr="00A77AF6">
        <w:rPr>
          <w:rFonts w:cstheme="minorHAnsi"/>
        </w:rPr>
        <w:t xml:space="preserve">  </w:t>
      </w:r>
    </w:p>
    <w:p w14:paraId="2F19C824" w14:textId="2444CC18" w:rsidR="00E840C5" w:rsidRPr="00A77AF6" w:rsidRDefault="00DD4A63" w:rsidP="000601FB">
      <w:pPr>
        <w:spacing w:after="0" w:line="240" w:lineRule="auto"/>
        <w:ind w:left="720"/>
        <w:rPr>
          <w:rFonts w:cstheme="minorHAnsi"/>
        </w:rPr>
      </w:pPr>
      <w:r w:rsidRPr="00A77AF6">
        <w:rPr>
          <w:rFonts w:cstheme="minorHAnsi"/>
        </w:rPr>
        <w:lastRenderedPageBreak/>
        <w:t>‘</w:t>
      </w:r>
      <w:r w:rsidR="00740EDD" w:rsidRPr="00A77AF6">
        <w:rPr>
          <w:rFonts w:cstheme="minorHAnsi"/>
          <w:i/>
        </w:rPr>
        <w:t>T</w:t>
      </w:r>
      <w:r w:rsidR="0011471A" w:rsidRPr="00A77AF6">
        <w:rPr>
          <w:rFonts w:cstheme="minorHAnsi"/>
          <w:i/>
        </w:rPr>
        <w:t>he approach of establishing principles from which rules are derived and then applied to a rich diversity of cases is likely to run into trouble’</w:t>
      </w:r>
      <w:r w:rsidR="0011471A" w:rsidRPr="00A77AF6">
        <w:rPr>
          <w:rFonts w:cstheme="minorHAnsi"/>
        </w:rPr>
        <w:t xml:space="preserve"> </w:t>
      </w:r>
      <w:sdt>
        <w:sdtPr>
          <w:rPr>
            <w:rFonts w:cstheme="minorHAnsi"/>
          </w:rPr>
          <w:id w:val="704531615"/>
          <w:citation/>
        </w:sdtPr>
        <w:sdtEndPr/>
        <w:sdtContent>
          <w:r w:rsidR="0011471A" w:rsidRPr="00A77AF6">
            <w:rPr>
              <w:rFonts w:cstheme="minorHAnsi"/>
            </w:rPr>
            <w:fldChar w:fldCharType="begin"/>
          </w:r>
          <w:r w:rsidR="0011471A" w:rsidRPr="00A77AF6">
            <w:rPr>
              <w:rFonts w:cstheme="minorHAnsi"/>
            </w:rPr>
            <w:instrText xml:space="preserve">CITATION Mag97 \p 204 \l 2057 </w:instrText>
          </w:r>
          <w:r w:rsidR="0011471A" w:rsidRPr="00A77AF6">
            <w:rPr>
              <w:rFonts w:cstheme="minorHAnsi"/>
            </w:rPr>
            <w:fldChar w:fldCharType="separate"/>
          </w:r>
          <w:r w:rsidR="008E653F" w:rsidRPr="00A77AF6">
            <w:rPr>
              <w:rFonts w:cstheme="minorHAnsi"/>
            </w:rPr>
            <w:t>(Maguire, 1997, p. 204)</w:t>
          </w:r>
          <w:r w:rsidR="0011471A" w:rsidRPr="00A77AF6">
            <w:rPr>
              <w:rFonts w:cstheme="minorHAnsi"/>
            </w:rPr>
            <w:fldChar w:fldCharType="end"/>
          </w:r>
        </w:sdtContent>
      </w:sdt>
      <w:r w:rsidR="00E43045" w:rsidRPr="00A77AF6">
        <w:rPr>
          <w:rFonts w:cstheme="minorHAnsi"/>
        </w:rPr>
        <w:t xml:space="preserve"> </w:t>
      </w:r>
    </w:p>
    <w:p w14:paraId="59E8B269" w14:textId="77777777" w:rsidR="00541DC7" w:rsidRPr="00A77AF6" w:rsidRDefault="00740EDD" w:rsidP="00891524">
      <w:pPr>
        <w:spacing w:before="120" w:line="360" w:lineRule="auto"/>
        <w:rPr>
          <w:rFonts w:cstheme="minorHAnsi"/>
        </w:rPr>
      </w:pPr>
      <w:r w:rsidRPr="00A77AF6">
        <w:rPr>
          <w:rFonts w:cstheme="minorHAnsi"/>
        </w:rPr>
        <w:t>Instead a situational approach is more useful</w:t>
      </w:r>
      <w:r w:rsidR="00DD5304" w:rsidRPr="00A77AF6">
        <w:rPr>
          <w:rFonts w:cstheme="minorHAnsi"/>
        </w:rPr>
        <w:t xml:space="preserve"> because the application of one rule may be morally required in one situation, but in other situations the application of the same rule is morally objectionable</w:t>
      </w:r>
      <w:r w:rsidR="006C3086" w:rsidRPr="00A77AF6">
        <w:rPr>
          <w:rFonts w:cstheme="minorHAnsi"/>
        </w:rPr>
        <w:t xml:space="preserve"> (</w:t>
      </w:r>
      <w:r w:rsidRPr="00A77AF6">
        <w:rPr>
          <w:rFonts w:cstheme="minorHAnsi"/>
        </w:rPr>
        <w:t>McLeod</w:t>
      </w:r>
      <w:r w:rsidR="006C3086" w:rsidRPr="00A77AF6">
        <w:rPr>
          <w:rFonts w:cstheme="minorHAnsi"/>
        </w:rPr>
        <w:t xml:space="preserve">, </w:t>
      </w:r>
      <w:r w:rsidRPr="00A77AF6">
        <w:rPr>
          <w:rFonts w:cstheme="minorHAnsi"/>
        </w:rPr>
        <w:t>1993 cited in Maguire, 1997)</w:t>
      </w:r>
      <w:r w:rsidR="006C3086" w:rsidRPr="00A77AF6">
        <w:rPr>
          <w:rFonts w:cstheme="minorHAnsi"/>
        </w:rPr>
        <w:t xml:space="preserve">.  </w:t>
      </w:r>
    </w:p>
    <w:p w14:paraId="2473B68E" w14:textId="27E05C9F" w:rsidR="00EC5637" w:rsidRPr="00A77AF6" w:rsidRDefault="00EC5637" w:rsidP="00891524">
      <w:pPr>
        <w:spacing w:before="120" w:line="360" w:lineRule="auto"/>
      </w:pPr>
      <w:r w:rsidRPr="00A77AF6">
        <w:rPr>
          <w:rFonts w:cstheme="minorHAnsi"/>
        </w:rPr>
        <w:t>A</w:t>
      </w:r>
      <w:r w:rsidR="006608E6" w:rsidRPr="00A77AF6">
        <w:rPr>
          <w:rFonts w:cstheme="minorHAnsi"/>
        </w:rPr>
        <w:t xml:space="preserve">nother </w:t>
      </w:r>
      <w:r w:rsidRPr="00A77AF6">
        <w:rPr>
          <w:rFonts w:cstheme="minorHAnsi"/>
        </w:rPr>
        <w:t xml:space="preserve">criticism </w:t>
      </w:r>
      <w:r w:rsidR="001011F0" w:rsidRPr="00A77AF6">
        <w:rPr>
          <w:rFonts w:cstheme="minorHAnsi"/>
        </w:rPr>
        <w:t xml:space="preserve">is </w:t>
      </w:r>
      <w:r w:rsidR="002D065C" w:rsidRPr="00A77AF6">
        <w:rPr>
          <w:rFonts w:cstheme="minorHAnsi"/>
        </w:rPr>
        <w:t>that</w:t>
      </w:r>
      <w:r w:rsidR="001011F0" w:rsidRPr="00A77AF6">
        <w:rPr>
          <w:rFonts w:cstheme="minorHAnsi"/>
        </w:rPr>
        <w:t xml:space="preserve"> ethical predisposition </w:t>
      </w:r>
      <w:r w:rsidR="002D065C" w:rsidRPr="00A77AF6">
        <w:rPr>
          <w:rFonts w:cstheme="minorHAnsi"/>
        </w:rPr>
        <w:t>is port</w:t>
      </w:r>
      <w:r w:rsidR="003113F3" w:rsidRPr="00A77AF6">
        <w:rPr>
          <w:rFonts w:cstheme="minorHAnsi"/>
        </w:rPr>
        <w:t xml:space="preserve">rayed as binary, </w:t>
      </w:r>
      <w:r w:rsidR="001011F0" w:rsidRPr="00A77AF6">
        <w:rPr>
          <w:rFonts w:cstheme="minorHAnsi"/>
        </w:rPr>
        <w:t>either utilitarian or formalist</w:t>
      </w:r>
      <w:r w:rsidR="003113F3" w:rsidRPr="00A77AF6">
        <w:rPr>
          <w:rFonts w:cstheme="minorHAnsi"/>
        </w:rPr>
        <w:t>,</w:t>
      </w:r>
      <w:r w:rsidR="001011F0" w:rsidRPr="00A77AF6">
        <w:rPr>
          <w:rFonts w:cstheme="minorHAnsi"/>
        </w:rPr>
        <w:t xml:space="preserve"> when it may be better described as </w:t>
      </w:r>
      <w:r w:rsidR="0059616F" w:rsidRPr="00A77AF6">
        <w:rPr>
          <w:rFonts w:cstheme="minorHAnsi"/>
        </w:rPr>
        <w:t xml:space="preserve">two complementary scales which people can move between </w:t>
      </w:r>
      <w:sdt>
        <w:sdtPr>
          <w:rPr>
            <w:rFonts w:cstheme="minorHAnsi"/>
          </w:rPr>
          <w:id w:val="-273712830"/>
          <w:citation/>
        </w:sdtPr>
        <w:sdtEndPr/>
        <w:sdtContent>
          <w:r w:rsidR="006C3086" w:rsidRPr="00A77AF6">
            <w:rPr>
              <w:rFonts w:cstheme="minorHAnsi"/>
            </w:rPr>
            <w:fldChar w:fldCharType="begin"/>
          </w:r>
          <w:r w:rsidR="006C3086" w:rsidRPr="00A77AF6">
            <w:rPr>
              <w:rFonts w:cstheme="minorHAnsi"/>
            </w:rPr>
            <w:instrText xml:space="preserve"> CITATION Nei85 \l 2057 </w:instrText>
          </w:r>
          <w:r w:rsidR="006C3086" w:rsidRPr="00A77AF6">
            <w:rPr>
              <w:rFonts w:cstheme="minorHAnsi"/>
            </w:rPr>
            <w:fldChar w:fldCharType="separate"/>
          </w:r>
          <w:r w:rsidR="008E653F" w:rsidRPr="00A77AF6">
            <w:rPr>
              <w:rFonts w:cstheme="minorHAnsi"/>
            </w:rPr>
            <w:t>(Brady, 1985)</w:t>
          </w:r>
          <w:r w:rsidR="006C3086" w:rsidRPr="00A77AF6">
            <w:rPr>
              <w:rFonts w:cstheme="minorHAnsi"/>
            </w:rPr>
            <w:fldChar w:fldCharType="end"/>
          </w:r>
        </w:sdtContent>
      </w:sdt>
      <w:r w:rsidR="006C3086" w:rsidRPr="00A77AF6">
        <w:rPr>
          <w:rFonts w:cstheme="minorHAnsi"/>
        </w:rPr>
        <w:t xml:space="preserve">.  </w:t>
      </w:r>
      <w:r w:rsidR="00891524" w:rsidRPr="00A77AF6">
        <w:rPr>
          <w:rFonts w:cstheme="minorHAnsi"/>
        </w:rPr>
        <w:t xml:space="preserve">It has been </w:t>
      </w:r>
      <w:r w:rsidR="001011F0" w:rsidRPr="00A77AF6">
        <w:rPr>
          <w:rFonts w:cstheme="minorHAnsi"/>
        </w:rPr>
        <w:t>suggest</w:t>
      </w:r>
      <w:r w:rsidR="006C3086" w:rsidRPr="00A77AF6">
        <w:rPr>
          <w:rFonts w:cstheme="minorHAnsi"/>
        </w:rPr>
        <w:t xml:space="preserve">ed </w:t>
      </w:r>
      <w:r w:rsidR="001011F0" w:rsidRPr="00A77AF6">
        <w:rPr>
          <w:rFonts w:cstheme="minorHAnsi"/>
        </w:rPr>
        <w:t>that</w:t>
      </w:r>
      <w:r w:rsidR="0022445C" w:rsidRPr="00A77AF6">
        <w:rPr>
          <w:rFonts w:cstheme="minorHAnsi"/>
          <w:szCs w:val="24"/>
        </w:rPr>
        <w:t xml:space="preserve"> </w:t>
      </w:r>
      <w:r w:rsidR="00891524" w:rsidRPr="00A77AF6">
        <w:rPr>
          <w:rFonts w:cstheme="minorHAnsi"/>
          <w:szCs w:val="24"/>
        </w:rPr>
        <w:t xml:space="preserve">people may have </w:t>
      </w:r>
      <w:r w:rsidR="0022445C" w:rsidRPr="00A77AF6">
        <w:rPr>
          <w:rFonts w:cstheme="minorHAnsi"/>
          <w:szCs w:val="24"/>
        </w:rPr>
        <w:t xml:space="preserve">two ethical </w:t>
      </w:r>
      <w:r w:rsidR="00541DC7" w:rsidRPr="00A77AF6">
        <w:rPr>
          <w:rFonts w:cstheme="minorHAnsi"/>
          <w:szCs w:val="24"/>
        </w:rPr>
        <w:t>fa</w:t>
      </w:r>
      <w:r w:rsidR="0022445C" w:rsidRPr="00A77AF6">
        <w:rPr>
          <w:rFonts w:cstheme="minorHAnsi"/>
          <w:szCs w:val="24"/>
        </w:rPr>
        <w:t>ces, one that attends to rules and the other that attends to outcomes</w:t>
      </w:r>
      <w:r w:rsidR="00891524" w:rsidRPr="00A77AF6">
        <w:rPr>
          <w:rFonts w:cstheme="minorHAnsi"/>
          <w:szCs w:val="24"/>
        </w:rPr>
        <w:t xml:space="preserve"> </w:t>
      </w:r>
      <w:r w:rsidR="00541DC7" w:rsidRPr="00A77AF6">
        <w:rPr>
          <w:rFonts w:cstheme="minorHAnsi"/>
          <w:szCs w:val="24"/>
        </w:rPr>
        <w:t>(</w:t>
      </w:r>
      <w:r w:rsidR="00891524" w:rsidRPr="00A77AF6">
        <w:rPr>
          <w:rFonts w:cstheme="minorHAnsi"/>
        </w:rPr>
        <w:t>Brady 1985)</w:t>
      </w:r>
      <w:r w:rsidR="006C3086" w:rsidRPr="00A77AF6">
        <w:rPr>
          <w:rFonts w:cstheme="minorHAnsi"/>
        </w:rPr>
        <w:t xml:space="preserve">. People </w:t>
      </w:r>
      <w:r w:rsidR="00434810" w:rsidRPr="00A77AF6">
        <w:rPr>
          <w:rFonts w:cstheme="minorHAnsi"/>
        </w:rPr>
        <w:t>can hold</w:t>
      </w:r>
      <w:r w:rsidRPr="00A77AF6">
        <w:rPr>
          <w:rFonts w:cstheme="minorHAnsi"/>
          <w:szCs w:val="24"/>
        </w:rPr>
        <w:t xml:space="preserve"> both utilitarianist and formalist views simultaneously</w:t>
      </w:r>
      <w:r w:rsidR="0022445C" w:rsidRPr="00A77AF6">
        <w:rPr>
          <w:rFonts w:cstheme="minorHAnsi"/>
          <w:szCs w:val="24"/>
        </w:rPr>
        <w:t xml:space="preserve">. </w:t>
      </w:r>
      <w:r w:rsidRPr="00A77AF6">
        <w:rPr>
          <w:rFonts w:cstheme="minorHAnsi"/>
        </w:rPr>
        <w:t>This allows people to be high in both formalism and utilitarianism or high in one and low in the other or low in both when dealing with ethical dilemmas</w:t>
      </w:r>
      <w:r w:rsidR="00194A90">
        <w:rPr>
          <w:rFonts w:cstheme="minorHAnsi"/>
        </w:rPr>
        <w:t xml:space="preserve">.  Therefore, </w:t>
      </w:r>
      <w:r w:rsidR="0022445C" w:rsidRPr="00A77AF6">
        <w:rPr>
          <w:rFonts w:cstheme="minorHAnsi"/>
        </w:rPr>
        <w:t>p</w:t>
      </w:r>
      <w:r w:rsidR="007A2B5F" w:rsidRPr="00A77AF6">
        <w:rPr>
          <w:rFonts w:cstheme="minorHAnsi"/>
        </w:rPr>
        <w:t xml:space="preserve">eople are </w:t>
      </w:r>
      <w:r w:rsidR="003113F3" w:rsidRPr="00A77AF6">
        <w:rPr>
          <w:rFonts w:cstheme="minorHAnsi"/>
        </w:rPr>
        <w:t xml:space="preserve">not </w:t>
      </w:r>
      <w:r w:rsidR="006C3086" w:rsidRPr="00A77AF6">
        <w:rPr>
          <w:rFonts w:cstheme="minorHAnsi"/>
        </w:rPr>
        <w:t xml:space="preserve">confined to only one way of thinking but can and do </w:t>
      </w:r>
      <w:r w:rsidR="0059616F" w:rsidRPr="00A77AF6">
        <w:rPr>
          <w:rFonts w:cstheme="minorHAnsi"/>
        </w:rPr>
        <w:t xml:space="preserve">move </w:t>
      </w:r>
      <w:r w:rsidR="007A2B5F" w:rsidRPr="00A77AF6">
        <w:rPr>
          <w:rFonts w:cstheme="minorHAnsi"/>
        </w:rPr>
        <w:t>between taking a formalist approach to justify some behaviours and a utilitarian approach to justify others</w:t>
      </w:r>
      <w:r w:rsidR="00541DC7" w:rsidRPr="00A77AF6">
        <w:rPr>
          <w:rFonts w:cstheme="minorHAnsi"/>
        </w:rPr>
        <w:t xml:space="preserve"> (Reidenback </w:t>
      </w:r>
      <w:r w:rsidR="00AE749D">
        <w:rPr>
          <w:rFonts w:cstheme="minorHAnsi"/>
        </w:rPr>
        <w:t>&amp;</w:t>
      </w:r>
      <w:r w:rsidR="00541DC7" w:rsidRPr="00A77AF6">
        <w:rPr>
          <w:rFonts w:cstheme="minorHAnsi"/>
        </w:rPr>
        <w:t xml:space="preserve"> Robin, 1988; Schminke &amp; Wells, 1999 and Brady </w:t>
      </w:r>
      <w:r w:rsidR="00AE749D">
        <w:rPr>
          <w:rFonts w:cstheme="minorHAnsi"/>
        </w:rPr>
        <w:t xml:space="preserve">&amp; </w:t>
      </w:r>
      <w:r w:rsidR="00541DC7" w:rsidRPr="00A77AF6">
        <w:rPr>
          <w:rFonts w:cstheme="minorHAnsi"/>
        </w:rPr>
        <w:t>Wheeler, 1996)</w:t>
      </w:r>
      <w:r w:rsidR="007A2B5F" w:rsidRPr="00A77AF6">
        <w:rPr>
          <w:rFonts w:cstheme="minorHAnsi"/>
        </w:rPr>
        <w:t xml:space="preserve">. </w:t>
      </w:r>
      <w:r w:rsidR="0022445C" w:rsidRPr="00A77AF6">
        <w:rPr>
          <w:rFonts w:cstheme="minorHAnsi"/>
        </w:rPr>
        <w:t xml:space="preserve"> This position underpins the MEV tool developed by Brady and Wheeler (1996) used in this research</w:t>
      </w:r>
      <w:r w:rsidR="0059616F" w:rsidRPr="00A77AF6">
        <w:rPr>
          <w:rFonts w:cstheme="minorHAnsi"/>
        </w:rPr>
        <w:t xml:space="preserve">.  </w:t>
      </w:r>
      <w:r w:rsidR="007A2B5F" w:rsidRPr="00A77AF6">
        <w:rPr>
          <w:rFonts w:cstheme="minorHAnsi"/>
        </w:rPr>
        <w:t xml:space="preserve"> </w:t>
      </w:r>
      <w:r w:rsidR="006C3086" w:rsidRPr="00A77AF6">
        <w:rPr>
          <w:rFonts w:cstheme="minorHAnsi"/>
        </w:rPr>
        <w:t xml:space="preserve">Brady (1985), Brady </w:t>
      </w:r>
      <w:r w:rsidR="00AE749D">
        <w:rPr>
          <w:rFonts w:cstheme="minorHAnsi"/>
        </w:rPr>
        <w:t>&amp;</w:t>
      </w:r>
      <w:r w:rsidR="006C3086" w:rsidRPr="00A77AF6">
        <w:rPr>
          <w:rFonts w:cstheme="minorHAnsi"/>
        </w:rPr>
        <w:t xml:space="preserve"> Wheeler (1996) and Schminke</w:t>
      </w:r>
      <w:r w:rsidR="00AE749D">
        <w:rPr>
          <w:rFonts w:cstheme="minorHAnsi"/>
        </w:rPr>
        <w:t xml:space="preserve"> &amp; </w:t>
      </w:r>
      <w:r w:rsidR="006C3086" w:rsidRPr="00A77AF6">
        <w:rPr>
          <w:rFonts w:cstheme="minorHAnsi"/>
        </w:rPr>
        <w:t xml:space="preserve">Wells (1999) argue that whilst both formalist and utilitarian acts are available, people do </w:t>
      </w:r>
      <w:r w:rsidR="00541DC7" w:rsidRPr="00A77AF6">
        <w:rPr>
          <w:rFonts w:cstheme="minorHAnsi"/>
        </w:rPr>
        <w:t>prefer</w:t>
      </w:r>
      <w:r w:rsidR="006C3086" w:rsidRPr="00A77AF6">
        <w:rPr>
          <w:rFonts w:cstheme="minorHAnsi"/>
        </w:rPr>
        <w:t xml:space="preserve"> one or the other and will rely on their preference. </w:t>
      </w:r>
    </w:p>
    <w:p w14:paraId="5D41C522" w14:textId="54673093" w:rsidR="00357C5C" w:rsidRPr="00A77AF6" w:rsidRDefault="00EC5637" w:rsidP="00C56D72">
      <w:pPr>
        <w:spacing w:line="360" w:lineRule="auto"/>
      </w:pPr>
      <w:r w:rsidRPr="00A77AF6">
        <w:t>The final c</w:t>
      </w:r>
      <w:r w:rsidR="00F40783" w:rsidRPr="00A77AF6">
        <w:t>riticism</w:t>
      </w:r>
      <w:r w:rsidR="00BE3B10" w:rsidRPr="00A77AF6">
        <w:t>s</w:t>
      </w:r>
      <w:r w:rsidR="00F40783" w:rsidRPr="00A77AF6">
        <w:t xml:space="preserve"> of the applied model </w:t>
      </w:r>
      <w:r w:rsidR="00BE3B10" w:rsidRPr="00A77AF6">
        <w:t>resemble</w:t>
      </w:r>
      <w:r w:rsidR="00F40783" w:rsidRPr="00A77AF6">
        <w:t xml:space="preserve"> th</w:t>
      </w:r>
      <w:r w:rsidR="00BE3B10" w:rsidRPr="00A77AF6">
        <w:t>ose</w:t>
      </w:r>
      <w:r w:rsidR="00F40783" w:rsidRPr="00A77AF6">
        <w:t xml:space="preserve"> of ethical theory in general</w:t>
      </w:r>
      <w:r w:rsidR="00BE3B10" w:rsidRPr="00A77AF6">
        <w:t xml:space="preserve">. Firstly, </w:t>
      </w:r>
      <w:r w:rsidR="00F40783" w:rsidRPr="00A77AF6">
        <w:t xml:space="preserve">that it does not offer help to someone with a moral judgement to make because no </w:t>
      </w:r>
      <w:r w:rsidR="0022445C" w:rsidRPr="00A77AF6">
        <w:t xml:space="preserve">one </w:t>
      </w:r>
      <w:r w:rsidR="00F40783" w:rsidRPr="00A77AF6">
        <w:t xml:space="preserve">ethical theory has the monopoly on moral knowledge. </w:t>
      </w:r>
      <w:r w:rsidR="007A2B5F" w:rsidRPr="00A77AF6">
        <w:t>Ethical theories compete with each other and it is not easy to reconcile these sometimes-conflicting points of view</w:t>
      </w:r>
      <w:sdt>
        <w:sdtPr>
          <w:id w:val="1242917739"/>
          <w:citation/>
        </w:sdtPr>
        <w:sdtEndPr/>
        <w:sdtContent>
          <w:r w:rsidR="007A2B5F" w:rsidRPr="00A77AF6">
            <w:fldChar w:fldCharType="begin"/>
          </w:r>
          <w:r w:rsidR="007A2B5F" w:rsidRPr="00A77AF6">
            <w:instrText xml:space="preserve"> CITATION Mil12 \l 2057 </w:instrText>
          </w:r>
          <w:r w:rsidR="007A2B5F" w:rsidRPr="00A77AF6">
            <w:fldChar w:fldCharType="separate"/>
          </w:r>
          <w:r w:rsidR="008E653F" w:rsidRPr="00A77AF6">
            <w:t xml:space="preserve"> (Miles, 2012)</w:t>
          </w:r>
          <w:r w:rsidR="007A2B5F" w:rsidRPr="00A77AF6">
            <w:fldChar w:fldCharType="end"/>
          </w:r>
        </w:sdtContent>
      </w:sdt>
      <w:r w:rsidR="0022445C" w:rsidRPr="00A77AF6">
        <w:t>.  E</w:t>
      </w:r>
      <w:r w:rsidR="00BE3B10" w:rsidRPr="00A77AF6">
        <w:t>thical theory cannot provide answers to specific moral questions becau</w:t>
      </w:r>
      <w:r w:rsidR="00EB551C" w:rsidRPr="00A77AF6">
        <w:t xml:space="preserve">se it is too </w:t>
      </w:r>
      <w:r w:rsidR="00BE30D0" w:rsidRPr="00A77AF6">
        <w:t>general,</w:t>
      </w:r>
      <w:r w:rsidR="00EB551C" w:rsidRPr="00A77AF6">
        <w:t xml:space="preserve"> so managers rely on social consensus to help them decide on the best course of action</w:t>
      </w:r>
      <w:r w:rsidR="00541DC7" w:rsidRPr="00A77AF6">
        <w:t>, even though</w:t>
      </w:r>
      <w:r w:rsidR="0022445C" w:rsidRPr="00A77AF6">
        <w:t xml:space="preserve"> s</w:t>
      </w:r>
      <w:r w:rsidR="00E9418A" w:rsidRPr="00A77AF6">
        <w:t xml:space="preserve">ocial convention might be </w:t>
      </w:r>
      <w:r w:rsidR="0022445C" w:rsidRPr="00A77AF6">
        <w:t xml:space="preserve">a specific </w:t>
      </w:r>
      <w:r w:rsidR="00E9418A" w:rsidRPr="00A77AF6">
        <w:t xml:space="preserve">rather than a universally held view, so morality becomes relative.  </w:t>
      </w:r>
      <w:r w:rsidR="006C259B" w:rsidRPr="00A77AF6">
        <w:t>Historically</w:t>
      </w:r>
      <w:r w:rsidR="0022445C" w:rsidRPr="00A77AF6">
        <w:t>, morality has changed</w:t>
      </w:r>
      <w:r w:rsidR="005D50B6" w:rsidRPr="00A77AF6">
        <w:t>,</w:t>
      </w:r>
      <w:r w:rsidR="0022445C" w:rsidRPr="00A77AF6">
        <w:t xml:space="preserve"> so w</w:t>
      </w:r>
      <w:r w:rsidR="006C259B" w:rsidRPr="00A77AF6">
        <w:t xml:space="preserve">hat was once acceptable </w:t>
      </w:r>
      <w:r w:rsidR="00D85113" w:rsidRPr="00A77AF6">
        <w:t xml:space="preserve">my </w:t>
      </w:r>
      <w:r w:rsidR="006C259B" w:rsidRPr="00A77AF6">
        <w:t xml:space="preserve">not </w:t>
      </w:r>
      <w:r w:rsidR="00541DC7" w:rsidRPr="00A77AF6">
        <w:t xml:space="preserve">now </w:t>
      </w:r>
      <w:r w:rsidR="006C259B" w:rsidRPr="00A77AF6">
        <w:t>be acceptable</w:t>
      </w:r>
      <w:r w:rsidR="00D85113" w:rsidRPr="00A77AF6">
        <w:t xml:space="preserve"> and vice versa</w:t>
      </w:r>
      <w:r w:rsidR="006C259B" w:rsidRPr="00A77AF6">
        <w:t xml:space="preserve">.  </w:t>
      </w:r>
      <w:r w:rsidR="00541DC7" w:rsidRPr="00A77AF6">
        <w:t xml:space="preserve">Finally, </w:t>
      </w:r>
      <w:r w:rsidR="006C259B" w:rsidRPr="00A77AF6">
        <w:t xml:space="preserve">ethical theory </w:t>
      </w:r>
      <w:r w:rsidR="00E9418A" w:rsidRPr="00A77AF6">
        <w:t xml:space="preserve">does not help when there may not be a </w:t>
      </w:r>
      <w:r w:rsidR="006C259B" w:rsidRPr="00A77AF6">
        <w:t>social consensus</w:t>
      </w:r>
      <w:r w:rsidR="00541DC7" w:rsidRPr="00A77AF6">
        <w:t xml:space="preserve"> </w:t>
      </w:r>
      <w:sdt>
        <w:sdtPr>
          <w:id w:val="971629684"/>
          <w:citation/>
        </w:sdtPr>
        <w:sdtEndPr/>
        <w:sdtContent>
          <w:r w:rsidR="006C259B" w:rsidRPr="00A77AF6">
            <w:fldChar w:fldCharType="begin"/>
          </w:r>
          <w:r w:rsidR="006C259B" w:rsidRPr="00A77AF6">
            <w:instrText xml:space="preserve"> CITATION Der89 \l 2057 </w:instrText>
          </w:r>
          <w:r w:rsidR="006C259B" w:rsidRPr="00A77AF6">
            <w:fldChar w:fldCharType="separate"/>
          </w:r>
          <w:r w:rsidR="008E653F" w:rsidRPr="00A77AF6">
            <w:t>(Derry &amp; Green, 1989)</w:t>
          </w:r>
          <w:r w:rsidR="006C259B" w:rsidRPr="00A77AF6">
            <w:fldChar w:fldCharType="end"/>
          </w:r>
        </w:sdtContent>
      </w:sdt>
      <w:r w:rsidR="00541DC7" w:rsidRPr="00A77AF6">
        <w:t xml:space="preserve"> and </w:t>
      </w:r>
      <w:r w:rsidR="006C259B" w:rsidRPr="00A77AF6">
        <w:t>ethical theories can lead to awful consequences.  A</w:t>
      </w:r>
      <w:r w:rsidR="007A2B5F" w:rsidRPr="00A77AF6">
        <w:t xml:space="preserve">s discussed earlier, formalism </w:t>
      </w:r>
      <w:r w:rsidR="006C259B" w:rsidRPr="00A77AF6">
        <w:t xml:space="preserve">can cause </w:t>
      </w:r>
      <w:r w:rsidR="007A2B5F" w:rsidRPr="00A77AF6">
        <w:t>morally reprehensible</w:t>
      </w:r>
      <w:r w:rsidR="006C259B" w:rsidRPr="00A77AF6">
        <w:t xml:space="preserve"> outcomes whilst utilitarianism can justify morally reprehensible means.  </w:t>
      </w:r>
    </w:p>
    <w:p w14:paraId="3EDBCB38" w14:textId="164FB0F2" w:rsidR="007B3B06" w:rsidRPr="00A77AF6" w:rsidRDefault="007B3B06" w:rsidP="00C51ED0">
      <w:pPr>
        <w:pStyle w:val="Heading3"/>
        <w:spacing w:after="120"/>
      </w:pPr>
      <w:bookmarkStart w:id="50" w:name="_Toc36275056"/>
      <w:r w:rsidRPr="00A77AF6">
        <w:t>Ethics in the NHS</w:t>
      </w:r>
      <w:bookmarkEnd w:id="50"/>
      <w:r w:rsidRPr="00A77AF6">
        <w:t xml:space="preserve"> </w:t>
      </w:r>
    </w:p>
    <w:p w14:paraId="5F43DB33" w14:textId="7A777D14" w:rsidR="001B5631" w:rsidRPr="00A77AF6" w:rsidRDefault="003B6B0C" w:rsidP="00C74341">
      <w:pPr>
        <w:spacing w:line="360" w:lineRule="auto"/>
      </w:pPr>
      <w:r w:rsidRPr="00A77AF6">
        <w:t xml:space="preserve">The standards of ethical behaviour required </w:t>
      </w:r>
      <w:r w:rsidR="00E1635D" w:rsidRPr="00A77AF6">
        <w:t>by and from</w:t>
      </w:r>
      <w:r w:rsidRPr="00A77AF6">
        <w:t xml:space="preserve"> the NHS </w:t>
      </w:r>
      <w:r w:rsidR="00E1635D" w:rsidRPr="00A77AF6">
        <w:t xml:space="preserve">are </w:t>
      </w:r>
      <w:r w:rsidR="00B329F7" w:rsidRPr="00A77AF6">
        <w:t xml:space="preserve">the same </w:t>
      </w:r>
      <w:r w:rsidR="00E1635D" w:rsidRPr="00A77AF6">
        <w:t xml:space="preserve">that </w:t>
      </w:r>
      <w:r w:rsidR="007B3B06" w:rsidRPr="00A77AF6">
        <w:t xml:space="preserve"> other public servants are expected to </w:t>
      </w:r>
      <w:r w:rsidR="005D50B6" w:rsidRPr="00A77AF6">
        <w:t>follow</w:t>
      </w:r>
      <w:r w:rsidR="00E1635D" w:rsidRPr="00A77AF6">
        <w:t xml:space="preserve">. </w:t>
      </w:r>
      <w:r w:rsidRPr="00A77AF6">
        <w:t>The</w:t>
      </w:r>
      <w:r w:rsidR="00E1635D" w:rsidRPr="00A77AF6">
        <w:t xml:space="preserve">se </w:t>
      </w:r>
      <w:r w:rsidRPr="00A77AF6">
        <w:t xml:space="preserve">are founded on </w:t>
      </w:r>
      <w:r w:rsidR="007B3B06" w:rsidRPr="00A77AF6">
        <w:t xml:space="preserve">the </w:t>
      </w:r>
      <w:r w:rsidR="00C34289" w:rsidRPr="00A77AF6">
        <w:t>seven princi</w:t>
      </w:r>
      <w:r w:rsidR="00EC1318" w:rsidRPr="00A77AF6">
        <w:t xml:space="preserve">ples of public life </w:t>
      </w:r>
      <w:r w:rsidR="007B3B06" w:rsidRPr="00A77AF6">
        <w:t xml:space="preserve">set out by </w:t>
      </w:r>
      <w:r w:rsidR="00EC1318" w:rsidRPr="00A77AF6">
        <w:t xml:space="preserve">the </w:t>
      </w:r>
      <w:r w:rsidR="007B3B06" w:rsidRPr="00A77AF6">
        <w:t xml:space="preserve">Nolan </w:t>
      </w:r>
      <w:r w:rsidR="00EC1318" w:rsidRPr="00A77AF6">
        <w:t xml:space="preserve">Committee </w:t>
      </w:r>
      <w:r w:rsidR="007B3B06" w:rsidRPr="00A77AF6">
        <w:t xml:space="preserve">(1995) which are </w:t>
      </w:r>
      <w:r w:rsidR="007B3B06" w:rsidRPr="00A77AF6">
        <w:rPr>
          <w:rFonts w:cstheme="minorHAnsi"/>
        </w:rPr>
        <w:t xml:space="preserve">‘selflessness, integrity, objectivity, accountability, </w:t>
      </w:r>
      <w:r w:rsidR="007B3B06" w:rsidRPr="00A77AF6">
        <w:rPr>
          <w:rFonts w:cstheme="minorHAnsi"/>
        </w:rPr>
        <w:lastRenderedPageBreak/>
        <w:t xml:space="preserve">openness, honesty and leadership’ </w:t>
      </w:r>
      <w:sdt>
        <w:sdtPr>
          <w:rPr>
            <w:rFonts w:cstheme="minorHAnsi"/>
          </w:rPr>
          <w:id w:val="1033304249"/>
          <w:citation/>
        </w:sdtPr>
        <w:sdtEndPr/>
        <w:sdtContent>
          <w:r w:rsidR="007B3B06" w:rsidRPr="00A77AF6">
            <w:rPr>
              <w:rFonts w:cstheme="minorHAnsi"/>
            </w:rPr>
            <w:fldChar w:fldCharType="begin"/>
          </w:r>
          <w:r w:rsidR="00B329F7" w:rsidRPr="00A77AF6">
            <w:rPr>
              <w:rFonts w:cstheme="minorHAnsi"/>
            </w:rPr>
            <w:instrText xml:space="preserve">CITATION Lor95 \p 14 \l 2057 </w:instrText>
          </w:r>
          <w:r w:rsidR="007B3B06" w:rsidRPr="00A77AF6">
            <w:rPr>
              <w:rFonts w:cstheme="minorHAnsi"/>
            </w:rPr>
            <w:fldChar w:fldCharType="separate"/>
          </w:r>
          <w:r w:rsidR="008E653F" w:rsidRPr="00A77AF6">
            <w:rPr>
              <w:rFonts w:cstheme="minorHAnsi"/>
            </w:rPr>
            <w:t>(Nolan, 1995, p. 14)</w:t>
          </w:r>
          <w:r w:rsidR="007B3B06" w:rsidRPr="00A77AF6">
            <w:rPr>
              <w:rFonts w:cstheme="minorHAnsi"/>
            </w:rPr>
            <w:fldChar w:fldCharType="end"/>
          </w:r>
        </w:sdtContent>
      </w:sdt>
      <w:r w:rsidR="007B3B06" w:rsidRPr="00A77AF6">
        <w:rPr>
          <w:rFonts w:cstheme="minorHAnsi"/>
        </w:rPr>
        <w:t xml:space="preserve">. </w:t>
      </w:r>
      <w:r w:rsidR="005D50B6" w:rsidRPr="00A77AF6">
        <w:rPr>
          <w:rFonts w:cstheme="minorHAnsi"/>
        </w:rPr>
        <w:t xml:space="preserve"> The</w:t>
      </w:r>
      <w:r w:rsidR="00B1113B" w:rsidRPr="00A77AF6">
        <w:rPr>
          <w:rFonts w:cstheme="minorHAnsi"/>
        </w:rPr>
        <w:t xml:space="preserve">se </w:t>
      </w:r>
      <w:r w:rsidR="005D50B6" w:rsidRPr="00A77AF6">
        <w:rPr>
          <w:rFonts w:cstheme="minorHAnsi"/>
        </w:rPr>
        <w:t xml:space="preserve">principles are </w:t>
      </w:r>
      <w:r w:rsidR="00FB23A0" w:rsidRPr="00A77AF6">
        <w:rPr>
          <w:rFonts w:cstheme="minorHAnsi"/>
        </w:rPr>
        <w:t xml:space="preserve">discussed </w:t>
      </w:r>
      <w:r w:rsidR="007B3B06" w:rsidRPr="00A77AF6">
        <w:rPr>
          <w:rFonts w:cstheme="minorHAnsi"/>
        </w:rPr>
        <w:t xml:space="preserve">in more detail in the section on corporate </w:t>
      </w:r>
      <w:r w:rsidR="00D03C74" w:rsidRPr="00A77AF6">
        <w:rPr>
          <w:rFonts w:cstheme="minorHAnsi"/>
        </w:rPr>
        <w:t>governance but</w:t>
      </w:r>
      <w:r w:rsidR="00D4296E" w:rsidRPr="00A77AF6">
        <w:rPr>
          <w:rFonts w:cstheme="minorHAnsi"/>
        </w:rPr>
        <w:t xml:space="preserve"> </w:t>
      </w:r>
      <w:r w:rsidR="00675DDE" w:rsidRPr="00A77AF6">
        <w:rPr>
          <w:rFonts w:cstheme="minorHAnsi"/>
        </w:rPr>
        <w:t xml:space="preserve">are mentioned here because </w:t>
      </w:r>
      <w:r w:rsidR="005D50B6" w:rsidRPr="00A77AF6">
        <w:rPr>
          <w:rFonts w:cstheme="minorHAnsi"/>
        </w:rPr>
        <w:t>they</w:t>
      </w:r>
      <w:r w:rsidR="00D4296E" w:rsidRPr="00A77AF6">
        <w:rPr>
          <w:rFonts w:cstheme="minorHAnsi"/>
        </w:rPr>
        <w:t xml:space="preserve"> underpin the </w:t>
      </w:r>
      <w:r w:rsidR="007B3B06" w:rsidRPr="00A77AF6">
        <w:rPr>
          <w:rFonts w:cstheme="minorHAnsi"/>
        </w:rPr>
        <w:t>NHS Constitution (2015)</w:t>
      </w:r>
      <w:r w:rsidR="00D03C74" w:rsidRPr="00A77AF6">
        <w:t xml:space="preserve"> an ethical code for the NHS and the public</w:t>
      </w:r>
      <w:r w:rsidR="00ED4B5D" w:rsidRPr="00A77AF6">
        <w:t xml:space="preserve">, </w:t>
      </w:r>
      <w:r w:rsidR="0031383F" w:rsidRPr="00A77AF6">
        <w:t xml:space="preserve">which </w:t>
      </w:r>
      <w:r w:rsidR="00D03C74" w:rsidRPr="00A77AF6">
        <w:t>set</w:t>
      </w:r>
      <w:r w:rsidR="0031383F" w:rsidRPr="00A77AF6">
        <w:t>s</w:t>
      </w:r>
      <w:r w:rsidR="00D03C74" w:rsidRPr="00A77AF6">
        <w:t xml:space="preserve"> out standards and expectations of behaviour</w:t>
      </w:r>
      <w:r w:rsidR="00A1415D" w:rsidRPr="00A77AF6">
        <w:t>, descri</w:t>
      </w:r>
      <w:r w:rsidR="00253A15" w:rsidRPr="00A77AF6">
        <w:t xml:space="preserve">bing as it does </w:t>
      </w:r>
      <w:r w:rsidR="001B5631" w:rsidRPr="00A77AF6">
        <w:t xml:space="preserve">the </w:t>
      </w:r>
      <w:r w:rsidR="00FE2C1E" w:rsidRPr="00A77AF6">
        <w:t xml:space="preserve">rights of users, </w:t>
      </w:r>
      <w:r w:rsidR="00253D38" w:rsidRPr="00A77AF6">
        <w:t xml:space="preserve">the responsibilities </w:t>
      </w:r>
      <w:r w:rsidR="00B34FDA" w:rsidRPr="00A77AF6">
        <w:t>of users</w:t>
      </w:r>
      <w:r w:rsidR="00555633" w:rsidRPr="00A77AF6">
        <w:t xml:space="preserve"> and </w:t>
      </w:r>
      <w:r w:rsidR="001D240A" w:rsidRPr="00A77AF6">
        <w:t>t</w:t>
      </w:r>
      <w:r w:rsidR="00B34FDA" w:rsidRPr="00A77AF6">
        <w:t>he values of the NHS</w:t>
      </w:r>
      <w:r w:rsidR="001D240A" w:rsidRPr="00A77AF6">
        <w:t xml:space="preserve">. </w:t>
      </w:r>
      <w:r w:rsidR="00F771CF" w:rsidRPr="00A77AF6">
        <w:t xml:space="preserve"> </w:t>
      </w:r>
      <w:r w:rsidR="00FE2C1E" w:rsidRPr="00A77AF6">
        <w:t xml:space="preserve"> </w:t>
      </w:r>
    </w:p>
    <w:p w14:paraId="5A6F0A30" w14:textId="290867A7" w:rsidR="005101CA" w:rsidRPr="00A77AF6" w:rsidRDefault="005D50B6" w:rsidP="005101CA">
      <w:pPr>
        <w:spacing w:line="360" w:lineRule="auto"/>
      </w:pPr>
      <w:r w:rsidRPr="00A77AF6">
        <w:t>The NHS Constitution</w:t>
      </w:r>
      <w:r w:rsidR="005B728D" w:rsidRPr="00A77AF6">
        <w:t xml:space="preserve"> (2015)</w:t>
      </w:r>
      <w:r w:rsidR="007B3B06" w:rsidRPr="00A77AF6">
        <w:t xml:space="preserve"> </w:t>
      </w:r>
      <w:r w:rsidR="00A152EB" w:rsidRPr="00A77AF6">
        <w:t xml:space="preserve">sets out the rights for </w:t>
      </w:r>
      <w:r w:rsidR="007B3B06" w:rsidRPr="00A77AF6">
        <w:t>patients and relatives</w:t>
      </w:r>
      <w:r w:rsidR="00A152EB" w:rsidRPr="00A77AF6">
        <w:t xml:space="preserve"> which </w:t>
      </w:r>
      <w:r w:rsidRPr="00A77AF6">
        <w:t>have been</w:t>
      </w:r>
      <w:r w:rsidR="00A152EB" w:rsidRPr="00A77AF6">
        <w:t xml:space="preserve"> enshrined in law</w:t>
      </w:r>
      <w:r w:rsidR="00A85984" w:rsidRPr="00A77AF6">
        <w:t xml:space="preserve"> </w:t>
      </w:r>
      <w:r w:rsidR="0030241D" w:rsidRPr="00A77AF6">
        <w:t>along with</w:t>
      </w:r>
      <w:r w:rsidR="00A85984" w:rsidRPr="00A77AF6">
        <w:t xml:space="preserve"> </w:t>
      </w:r>
      <w:r w:rsidR="00ED1DEE" w:rsidRPr="00A77AF6">
        <w:t xml:space="preserve">those </w:t>
      </w:r>
      <w:r w:rsidR="0030241D" w:rsidRPr="00A77AF6">
        <w:t>that</w:t>
      </w:r>
      <w:r w:rsidR="00A152EB" w:rsidRPr="00A77AF6">
        <w:t xml:space="preserve"> are not legally binding</w:t>
      </w:r>
      <w:r w:rsidR="00ED1DEE" w:rsidRPr="00A77AF6">
        <w:t xml:space="preserve">.  </w:t>
      </w:r>
      <w:r w:rsidR="0030241D" w:rsidRPr="00A77AF6">
        <w:t>It</w:t>
      </w:r>
      <w:r w:rsidR="00ED1DEE" w:rsidRPr="00A77AF6">
        <w:t xml:space="preserve"> </w:t>
      </w:r>
      <w:r w:rsidR="001933B3" w:rsidRPr="00A77AF6">
        <w:t xml:space="preserve">states </w:t>
      </w:r>
      <w:r w:rsidR="00A152EB" w:rsidRPr="00A77AF6">
        <w:t>the ambitions of the NHS</w:t>
      </w:r>
      <w:r w:rsidR="00FD571D" w:rsidRPr="00A77AF6">
        <w:t xml:space="preserve"> and </w:t>
      </w:r>
      <w:r w:rsidR="00A152EB" w:rsidRPr="00A77AF6">
        <w:t xml:space="preserve">the responsibilities of patients, staff and visitors in relation to the effective and fair use of resources </w:t>
      </w:r>
      <w:sdt>
        <w:sdtPr>
          <w:id w:val="-1827891456"/>
          <w:citation/>
        </w:sdtPr>
        <w:sdtEndPr/>
        <w:sdtContent>
          <w:r w:rsidR="00A152EB" w:rsidRPr="00A77AF6">
            <w:fldChar w:fldCharType="begin"/>
          </w:r>
          <w:r w:rsidR="003E74A3" w:rsidRPr="00A77AF6">
            <w:instrText xml:space="preserve">CITATION Dep15 \l 2057 </w:instrText>
          </w:r>
          <w:r w:rsidR="00A152EB" w:rsidRPr="00A77AF6">
            <w:fldChar w:fldCharType="separate"/>
          </w:r>
          <w:r w:rsidR="008E653F" w:rsidRPr="00A77AF6">
            <w:t>(DH, 2015)</w:t>
          </w:r>
          <w:r w:rsidR="00A152EB" w:rsidRPr="00A77AF6">
            <w:fldChar w:fldCharType="end"/>
          </w:r>
        </w:sdtContent>
      </w:sdt>
      <w:r w:rsidR="006B1A51" w:rsidRPr="00A77AF6">
        <w:t xml:space="preserve">.  </w:t>
      </w:r>
      <w:r w:rsidR="00582D52" w:rsidRPr="00A77AF6">
        <w:t xml:space="preserve">The Constitution also </w:t>
      </w:r>
      <w:r w:rsidR="00B329F7" w:rsidRPr="00A77AF6">
        <w:t xml:space="preserve">expresses </w:t>
      </w:r>
      <w:r w:rsidR="00582D52" w:rsidRPr="00A77AF6">
        <w:t xml:space="preserve">the </w:t>
      </w:r>
      <w:r w:rsidR="006B1A51" w:rsidRPr="00A77AF6">
        <w:t xml:space="preserve">values of the NHS </w:t>
      </w:r>
      <w:r w:rsidR="00582D52" w:rsidRPr="00A77AF6">
        <w:t xml:space="preserve">which </w:t>
      </w:r>
      <w:r w:rsidR="006B1A51" w:rsidRPr="00A77AF6">
        <w:t>are</w:t>
      </w:r>
      <w:r w:rsidR="00591418" w:rsidRPr="00A77AF6">
        <w:t xml:space="preserve">, </w:t>
      </w:r>
      <w:r w:rsidR="006B1A51" w:rsidRPr="00A77AF6">
        <w:t>working together for patients</w:t>
      </w:r>
      <w:r w:rsidR="00591418" w:rsidRPr="00A77AF6">
        <w:t>,</w:t>
      </w:r>
      <w:r w:rsidR="006B1A51" w:rsidRPr="00A77AF6">
        <w:t xml:space="preserve"> respect and dignity</w:t>
      </w:r>
      <w:r w:rsidR="00591418" w:rsidRPr="00A77AF6">
        <w:t>,</w:t>
      </w:r>
      <w:r w:rsidR="006B1A51" w:rsidRPr="00A77AF6">
        <w:t xml:space="preserve"> commitment to quality of care</w:t>
      </w:r>
      <w:r w:rsidR="00591418" w:rsidRPr="00A77AF6">
        <w:t>,</w:t>
      </w:r>
      <w:r w:rsidR="006B1A51" w:rsidRPr="00A77AF6">
        <w:t xml:space="preserve"> compassion</w:t>
      </w:r>
      <w:r w:rsidR="00591418" w:rsidRPr="00A77AF6">
        <w:t>,</w:t>
      </w:r>
      <w:r w:rsidR="006B1A51" w:rsidRPr="00A77AF6">
        <w:t xml:space="preserve"> improving lives and equal treatment </w:t>
      </w:r>
      <w:sdt>
        <w:sdtPr>
          <w:id w:val="679393841"/>
          <w:citation/>
        </w:sdtPr>
        <w:sdtEndPr/>
        <w:sdtContent>
          <w:r w:rsidR="006B1A51" w:rsidRPr="00A77AF6">
            <w:fldChar w:fldCharType="begin"/>
          </w:r>
          <w:r w:rsidR="003E74A3" w:rsidRPr="00A77AF6">
            <w:instrText xml:space="preserve">CITATION Dep15 \l 2057 </w:instrText>
          </w:r>
          <w:r w:rsidR="006B1A51" w:rsidRPr="00A77AF6">
            <w:fldChar w:fldCharType="separate"/>
          </w:r>
          <w:r w:rsidR="008E653F" w:rsidRPr="00A77AF6">
            <w:t>(DH, 2015)</w:t>
          </w:r>
          <w:r w:rsidR="006B1A51" w:rsidRPr="00A77AF6">
            <w:fldChar w:fldCharType="end"/>
          </w:r>
        </w:sdtContent>
      </w:sdt>
      <w:r w:rsidR="006B1A51" w:rsidRPr="00A77AF6">
        <w:t xml:space="preserve">.  </w:t>
      </w:r>
      <w:r w:rsidR="0030241D" w:rsidRPr="00A77AF6">
        <w:t xml:space="preserve">Finally it </w:t>
      </w:r>
      <w:r w:rsidR="00591418" w:rsidRPr="00A77AF6">
        <w:t>states</w:t>
      </w:r>
      <w:r w:rsidR="006B1A51" w:rsidRPr="00A77AF6">
        <w:t xml:space="preserve"> the seven </w:t>
      </w:r>
      <w:r w:rsidR="00741DDC" w:rsidRPr="00A77AF6">
        <w:t xml:space="preserve">underpinning </w:t>
      </w:r>
      <w:r w:rsidR="006B1A51" w:rsidRPr="00A77AF6">
        <w:t xml:space="preserve">principles of the NHS which are: comprehensive service provision for all; access based on clinical needs not </w:t>
      </w:r>
      <w:r w:rsidRPr="00A77AF6">
        <w:t xml:space="preserve">the </w:t>
      </w:r>
      <w:r w:rsidR="006B1A51" w:rsidRPr="00A77AF6">
        <w:t>ability to pay; an aspiration to the highest possible professionalism; the patient is at the centre of what the NHS does; cross-boundary working; effective, fair and sustainable use of resources and accountability to the people it serves</w:t>
      </w:r>
      <w:r w:rsidR="00B719CF" w:rsidRPr="00A77AF6">
        <w:t xml:space="preserve"> </w:t>
      </w:r>
      <w:sdt>
        <w:sdtPr>
          <w:id w:val="1497227445"/>
          <w:citation/>
        </w:sdtPr>
        <w:sdtEndPr/>
        <w:sdtContent>
          <w:r w:rsidR="006B1A51" w:rsidRPr="00A77AF6">
            <w:fldChar w:fldCharType="begin"/>
          </w:r>
          <w:r w:rsidR="003E74A3" w:rsidRPr="00A77AF6">
            <w:instrText xml:space="preserve">CITATION Dep15 \l 2057 </w:instrText>
          </w:r>
          <w:r w:rsidR="006B1A51" w:rsidRPr="00A77AF6">
            <w:fldChar w:fldCharType="separate"/>
          </w:r>
          <w:r w:rsidR="008E653F" w:rsidRPr="00A77AF6">
            <w:t>(DH, 2015)</w:t>
          </w:r>
          <w:r w:rsidR="006B1A51" w:rsidRPr="00A77AF6">
            <w:fldChar w:fldCharType="end"/>
          </w:r>
        </w:sdtContent>
      </w:sdt>
      <w:r w:rsidR="0084195E" w:rsidRPr="00A77AF6">
        <w:t xml:space="preserve">.  </w:t>
      </w:r>
      <w:r w:rsidR="005101CA" w:rsidRPr="00A77AF6">
        <w:t xml:space="preserve">These principles are reminiscent of those established by Nolan (1995). </w:t>
      </w:r>
    </w:p>
    <w:p w14:paraId="331E156E" w14:textId="16FAC351" w:rsidR="007B3B06" w:rsidRPr="00A77AF6" w:rsidRDefault="00346E65" w:rsidP="007B0679">
      <w:pPr>
        <w:spacing w:after="0" w:line="360" w:lineRule="auto"/>
      </w:pPr>
      <w:r w:rsidRPr="00A77AF6">
        <w:t>As well as institutional ethical value</w:t>
      </w:r>
      <w:r w:rsidR="007B0679" w:rsidRPr="00A77AF6">
        <w:t>s</w:t>
      </w:r>
      <w:r w:rsidRPr="00A77AF6">
        <w:t xml:space="preserve">, several </w:t>
      </w:r>
      <w:r w:rsidR="007B3B06" w:rsidRPr="00A77AF6">
        <w:t>staff groups</w:t>
      </w:r>
      <w:r w:rsidR="006060C9" w:rsidRPr="00A77AF6">
        <w:t xml:space="preserve"> such as doctors and nurses</w:t>
      </w:r>
      <w:r w:rsidR="007B3B06" w:rsidRPr="00A77AF6">
        <w:t xml:space="preserve"> </w:t>
      </w:r>
      <w:r w:rsidR="00CD204B" w:rsidRPr="00A77AF6">
        <w:t xml:space="preserve">must join a </w:t>
      </w:r>
      <w:r w:rsidR="007B3B06" w:rsidRPr="00A77AF6">
        <w:t>register</w:t>
      </w:r>
      <w:r w:rsidR="00CD204B" w:rsidRPr="00A77AF6">
        <w:t xml:space="preserve"> of</w:t>
      </w:r>
      <w:r w:rsidR="007B3B06" w:rsidRPr="00A77AF6">
        <w:t xml:space="preserve"> practitioners which </w:t>
      </w:r>
      <w:r w:rsidRPr="00A77AF6">
        <w:t>governs the</w:t>
      </w:r>
      <w:r w:rsidR="007C3FAD" w:rsidRPr="00A77AF6">
        <w:t xml:space="preserve">ir standards of behaviour.  Failure to uphold </w:t>
      </w:r>
      <w:r w:rsidR="00EA7A38" w:rsidRPr="00A77AF6">
        <w:t xml:space="preserve">standards </w:t>
      </w:r>
      <w:r w:rsidR="000468E5" w:rsidRPr="00A77AF6">
        <w:t>can</w:t>
      </w:r>
      <w:r w:rsidR="0059165D" w:rsidRPr="00A77AF6">
        <w:t xml:space="preserve"> result in removal f</w:t>
      </w:r>
      <w:r w:rsidR="0079486A" w:rsidRPr="00A77AF6">
        <w:t xml:space="preserve">rom </w:t>
      </w:r>
      <w:r w:rsidR="0059165D" w:rsidRPr="00A77AF6">
        <w:t xml:space="preserve">the register </w:t>
      </w:r>
      <w:r w:rsidR="007B3B06" w:rsidRPr="00A77AF6">
        <w:t xml:space="preserve">and </w:t>
      </w:r>
      <w:r w:rsidR="00270ACC" w:rsidRPr="00A77AF6">
        <w:t xml:space="preserve">the prohibition of </w:t>
      </w:r>
      <w:r w:rsidR="007B3B06" w:rsidRPr="00A77AF6">
        <w:t>practice temporarily or permanently</w:t>
      </w:r>
      <w:r w:rsidR="00B22CBE" w:rsidRPr="00A77AF6">
        <w:t xml:space="preserve">. </w:t>
      </w:r>
      <w:r w:rsidR="007B3B06" w:rsidRPr="00A77AF6">
        <w:t xml:space="preserve"> </w:t>
      </w:r>
      <w:r w:rsidR="00B22CBE" w:rsidRPr="00A77AF6">
        <w:t xml:space="preserve">Staff </w:t>
      </w:r>
      <w:r w:rsidR="007B3B06" w:rsidRPr="00A77AF6">
        <w:t xml:space="preserve">pay to stay </w:t>
      </w:r>
      <w:r w:rsidR="006060C9" w:rsidRPr="00A77AF6">
        <w:t xml:space="preserve">on the register </w:t>
      </w:r>
      <w:r w:rsidR="00B22CBE" w:rsidRPr="00A77AF6">
        <w:t xml:space="preserve">and </w:t>
      </w:r>
      <w:r w:rsidR="007B3B06" w:rsidRPr="00A77AF6">
        <w:t>must</w:t>
      </w:r>
      <w:r w:rsidR="00C32F51" w:rsidRPr="00A77AF6">
        <w:t xml:space="preserve"> prove </w:t>
      </w:r>
      <w:r w:rsidR="007B3B06" w:rsidRPr="00A77AF6">
        <w:t>that their practice remains current.  These professional bodies are for the protection of the public.</w:t>
      </w:r>
      <w:r w:rsidR="006060C9" w:rsidRPr="00A77AF6">
        <w:t xml:space="preserve">  </w:t>
      </w:r>
      <w:r w:rsidR="007B3B06" w:rsidRPr="00A77AF6">
        <w:t>Medical staff are guided by the Code of Conduct for Council Members which explicitly references the Nolan Committee</w:t>
      </w:r>
    </w:p>
    <w:p w14:paraId="2428F754" w14:textId="4580ACD8" w:rsidR="007B3B06" w:rsidRPr="00A77AF6" w:rsidRDefault="007B3B06" w:rsidP="00D20B31">
      <w:pPr>
        <w:spacing w:after="240" w:line="240" w:lineRule="auto"/>
        <w:ind w:left="720"/>
        <w:rPr>
          <w:rFonts w:cstheme="minorHAnsi"/>
        </w:rPr>
      </w:pPr>
      <w:r w:rsidRPr="00A77AF6">
        <w:rPr>
          <w:rFonts w:cstheme="minorHAnsi"/>
          <w:i/>
        </w:rPr>
        <w:t>‘In performing their duties, members uphold the seven principles first identified by the Nolan Committee in its first report on standards in public life in May 1995 (the Nolan principles)’</w:t>
      </w:r>
      <w:r w:rsidRPr="00A77AF6">
        <w:rPr>
          <w:rFonts w:cstheme="minorHAnsi"/>
        </w:rPr>
        <w:t xml:space="preserve"> </w:t>
      </w:r>
      <w:sdt>
        <w:sdtPr>
          <w:rPr>
            <w:rFonts w:cstheme="minorHAnsi"/>
          </w:rPr>
          <w:id w:val="-1162464584"/>
          <w:citation/>
        </w:sdtPr>
        <w:sdtEndPr/>
        <w:sdtContent>
          <w:r w:rsidRPr="00A77AF6">
            <w:rPr>
              <w:rFonts w:cstheme="minorHAnsi"/>
            </w:rPr>
            <w:fldChar w:fldCharType="begin"/>
          </w:r>
          <w:r w:rsidRPr="00A77AF6">
            <w:rPr>
              <w:rFonts w:cstheme="minorHAnsi"/>
            </w:rPr>
            <w:instrText xml:space="preserve"> CITATION GMC18 \l 2057 </w:instrText>
          </w:r>
          <w:r w:rsidRPr="00A77AF6">
            <w:rPr>
              <w:rFonts w:cstheme="minorHAnsi"/>
            </w:rPr>
            <w:fldChar w:fldCharType="separate"/>
          </w:r>
          <w:r w:rsidR="008E653F" w:rsidRPr="00A77AF6">
            <w:rPr>
              <w:rFonts w:cstheme="minorHAnsi"/>
            </w:rPr>
            <w:t>(GMC, 2018)</w:t>
          </w:r>
          <w:r w:rsidRPr="00A77AF6">
            <w:rPr>
              <w:rFonts w:cstheme="minorHAnsi"/>
            </w:rPr>
            <w:fldChar w:fldCharType="end"/>
          </w:r>
        </w:sdtContent>
      </w:sdt>
    </w:p>
    <w:p w14:paraId="15B44A31" w14:textId="767F10EE" w:rsidR="000821FA" w:rsidRPr="00A77AF6" w:rsidRDefault="007B3B06" w:rsidP="007B0679">
      <w:pPr>
        <w:spacing w:after="0" w:line="360" w:lineRule="auto"/>
      </w:pPr>
      <w:r w:rsidRPr="00A77AF6">
        <w:t xml:space="preserve">Medical staff </w:t>
      </w:r>
      <w:r w:rsidR="007A51CC" w:rsidRPr="00A77AF6">
        <w:t xml:space="preserve">must </w:t>
      </w:r>
      <w:r w:rsidRPr="00A77AF6">
        <w:t>comply with the G</w:t>
      </w:r>
      <w:r w:rsidR="00CD204B" w:rsidRPr="00A77AF6">
        <w:t xml:space="preserve">eneral </w:t>
      </w:r>
      <w:r w:rsidRPr="00A77AF6">
        <w:t>M</w:t>
      </w:r>
      <w:r w:rsidR="00CD204B" w:rsidRPr="00A77AF6">
        <w:t xml:space="preserve">edical </w:t>
      </w:r>
      <w:r w:rsidRPr="00A77AF6">
        <w:t>C</w:t>
      </w:r>
      <w:r w:rsidR="00CD204B" w:rsidRPr="00A77AF6">
        <w:t>ouncil</w:t>
      </w:r>
      <w:r w:rsidRPr="00A77AF6">
        <w:t xml:space="preserve">’s </w:t>
      </w:r>
      <w:r w:rsidR="00CD204B" w:rsidRPr="00A77AF6">
        <w:t xml:space="preserve">(GMC) </w:t>
      </w:r>
      <w:r w:rsidR="007B0679" w:rsidRPr="00A77AF6">
        <w:t>e</w:t>
      </w:r>
      <w:r w:rsidRPr="00A77AF6">
        <w:t xml:space="preserve">thical </w:t>
      </w:r>
      <w:r w:rsidR="007B0679" w:rsidRPr="00A77AF6">
        <w:t>g</w:t>
      </w:r>
      <w:r w:rsidRPr="00A77AF6">
        <w:t xml:space="preserve">uidance which sets out good practice for doctors for </w:t>
      </w:r>
      <w:r w:rsidR="005F2C83" w:rsidRPr="00A77AF6">
        <w:t>the treatment of</w:t>
      </w:r>
      <w:r w:rsidRPr="00A77AF6">
        <w:t xml:space="preserve"> patients, </w:t>
      </w:r>
      <w:r w:rsidR="005F2C83" w:rsidRPr="00A77AF6">
        <w:t>the</w:t>
      </w:r>
      <w:r w:rsidRPr="00A77AF6">
        <w:t xml:space="preserve"> handl</w:t>
      </w:r>
      <w:r w:rsidR="005F2C83" w:rsidRPr="00A77AF6">
        <w:t>ing of</w:t>
      </w:r>
      <w:r w:rsidRPr="00A77AF6">
        <w:t xml:space="preserve"> confidential information, consent and patient safety, amongst other matters </w:t>
      </w:r>
      <w:sdt>
        <w:sdtPr>
          <w:id w:val="2567377"/>
          <w:citation/>
        </w:sdtPr>
        <w:sdtEndPr/>
        <w:sdtContent>
          <w:r w:rsidRPr="00A77AF6">
            <w:fldChar w:fldCharType="begin"/>
          </w:r>
          <w:r w:rsidR="00E523E0" w:rsidRPr="00A77AF6">
            <w:instrText xml:space="preserve">CITATION GMC181 \l 2057 </w:instrText>
          </w:r>
          <w:r w:rsidRPr="00A77AF6">
            <w:fldChar w:fldCharType="separate"/>
          </w:r>
          <w:r w:rsidR="008E653F" w:rsidRPr="00A77AF6">
            <w:t>(GMC, 2018)</w:t>
          </w:r>
          <w:r w:rsidRPr="00A77AF6">
            <w:fldChar w:fldCharType="end"/>
          </w:r>
        </w:sdtContent>
      </w:sdt>
      <w:r w:rsidRPr="00A77AF6">
        <w:t>.  Nurses and midwives are governed by the Nursing and Midwifery</w:t>
      </w:r>
      <w:r w:rsidR="000821FA" w:rsidRPr="00A77AF6">
        <w:t xml:space="preserve"> Council (NMC)</w:t>
      </w:r>
      <w:r w:rsidRPr="00A77AF6">
        <w:t>, which sets out the requirements for the way nurses</w:t>
      </w:r>
      <w:r w:rsidR="000821FA" w:rsidRPr="00A77AF6">
        <w:t>, m</w:t>
      </w:r>
      <w:r w:rsidRPr="00A77AF6">
        <w:t>idwives</w:t>
      </w:r>
      <w:r w:rsidR="000821FA" w:rsidRPr="00A77AF6">
        <w:t xml:space="preserve"> and nursing associates</w:t>
      </w:r>
      <w:r w:rsidRPr="00A77AF6">
        <w:t xml:space="preserve"> </w:t>
      </w:r>
      <w:r w:rsidR="000821FA" w:rsidRPr="00A77AF6">
        <w:t xml:space="preserve">conduct themselves in </w:t>
      </w:r>
      <w:r w:rsidRPr="00A77AF6">
        <w:t>practice</w:t>
      </w:r>
      <w:r w:rsidR="000821FA" w:rsidRPr="00A77AF6">
        <w:t xml:space="preserve">. </w:t>
      </w:r>
      <w:r w:rsidRPr="00A77AF6">
        <w:t xml:space="preserve"> Nurses</w:t>
      </w:r>
      <w:r w:rsidR="000821FA" w:rsidRPr="00A77AF6">
        <w:t xml:space="preserve">, </w:t>
      </w:r>
      <w:r w:rsidRPr="00A77AF6">
        <w:t xml:space="preserve">midwives </w:t>
      </w:r>
      <w:r w:rsidR="000821FA" w:rsidRPr="00A77AF6">
        <w:t xml:space="preserve">and nursing associates </w:t>
      </w:r>
      <w:r w:rsidRPr="00A77AF6">
        <w:t xml:space="preserve">are encouraged to be a </w:t>
      </w:r>
    </w:p>
    <w:p w14:paraId="3442263A" w14:textId="6028EAC5" w:rsidR="000821FA" w:rsidRPr="00A77AF6" w:rsidRDefault="007B3B06" w:rsidP="00B90FB7">
      <w:pPr>
        <w:spacing w:after="240" w:line="240" w:lineRule="auto"/>
        <w:ind w:left="720"/>
      </w:pPr>
      <w:r w:rsidRPr="00A77AF6">
        <w:rPr>
          <w:i/>
        </w:rPr>
        <w:t>‘model of integrity and leadership for other to aspire to. This should lead to trust and confidence in the profession from patients, people receiving care, other healthcare professionals and the public’</w:t>
      </w:r>
      <w:r w:rsidR="00B719CF" w:rsidRPr="00A77AF6">
        <w:rPr>
          <w:i/>
        </w:rPr>
        <w:t xml:space="preserve"> </w:t>
      </w:r>
      <w:sdt>
        <w:sdtPr>
          <w:id w:val="-758908563"/>
          <w:citation/>
        </w:sdtPr>
        <w:sdtEndPr/>
        <w:sdtContent>
          <w:r w:rsidRPr="00A77AF6">
            <w:fldChar w:fldCharType="begin"/>
          </w:r>
          <w:r w:rsidRPr="00A77AF6">
            <w:instrText xml:space="preserve">CITATION NMC15 \p 15 \l 2057 </w:instrText>
          </w:r>
          <w:r w:rsidRPr="00A77AF6">
            <w:fldChar w:fldCharType="separate"/>
          </w:r>
          <w:r w:rsidR="008E653F" w:rsidRPr="00A77AF6">
            <w:t>(NMC, 2015, p. 15)</w:t>
          </w:r>
          <w:r w:rsidRPr="00A77AF6">
            <w:fldChar w:fldCharType="end"/>
          </w:r>
        </w:sdtContent>
      </w:sdt>
      <w:r w:rsidRPr="00A77AF6">
        <w:t xml:space="preserve">. </w:t>
      </w:r>
    </w:p>
    <w:p w14:paraId="31A9CF64" w14:textId="553F81D5" w:rsidR="000821FA" w:rsidRPr="00A77AF6" w:rsidRDefault="007B3B06" w:rsidP="00245480">
      <w:pPr>
        <w:spacing w:line="360" w:lineRule="auto"/>
      </w:pPr>
      <w:r w:rsidRPr="00A77AF6">
        <w:lastRenderedPageBreak/>
        <w:t xml:space="preserve">Specifically, this means treating people fairly, obeying the law, not discriminating against </w:t>
      </w:r>
      <w:r w:rsidR="007B0679" w:rsidRPr="00A77AF6">
        <w:t xml:space="preserve">or </w:t>
      </w:r>
      <w:r w:rsidRPr="00A77AF6">
        <w:t xml:space="preserve">bullying </w:t>
      </w:r>
      <w:r w:rsidR="007B0679" w:rsidRPr="00A77AF6">
        <w:t>and</w:t>
      </w:r>
      <w:r w:rsidRPr="00A77AF6">
        <w:t xml:space="preserve"> harassing people and being open and honest. </w:t>
      </w:r>
      <w:r w:rsidR="000821FA" w:rsidRPr="00A77AF6">
        <w:t xml:space="preserve"> ‘Failure to comply with the code may bring their fitness to practice into question.’</w:t>
      </w:r>
      <w:sdt>
        <w:sdtPr>
          <w:id w:val="-1486077565"/>
          <w:citation/>
        </w:sdtPr>
        <w:sdtEndPr/>
        <w:sdtContent>
          <w:r w:rsidR="000821FA" w:rsidRPr="00A77AF6">
            <w:fldChar w:fldCharType="begin"/>
          </w:r>
          <w:r w:rsidR="000821FA" w:rsidRPr="00A77AF6">
            <w:instrText xml:space="preserve"> CITATION NMC19 \l 2057 </w:instrText>
          </w:r>
          <w:r w:rsidR="000821FA" w:rsidRPr="00A77AF6">
            <w:fldChar w:fldCharType="separate"/>
          </w:r>
          <w:r w:rsidR="008E653F" w:rsidRPr="00A77AF6">
            <w:t xml:space="preserve"> (NMC, 2019)</w:t>
          </w:r>
          <w:r w:rsidR="000821FA" w:rsidRPr="00A77AF6">
            <w:fldChar w:fldCharType="end"/>
          </w:r>
        </w:sdtContent>
      </w:sdt>
    </w:p>
    <w:p w14:paraId="412EA7B3" w14:textId="47980B6A" w:rsidR="00932CA3" w:rsidRPr="00A77AF6" w:rsidRDefault="00932CA3" w:rsidP="00751033">
      <w:pPr>
        <w:pStyle w:val="Heading3"/>
        <w:spacing w:after="120"/>
      </w:pPr>
      <w:bookmarkStart w:id="51" w:name="_Toc36275057"/>
      <w:r w:rsidRPr="00A77AF6">
        <w:t xml:space="preserve">Ethics in </w:t>
      </w:r>
      <w:r w:rsidR="002D7B72" w:rsidRPr="00A77AF6">
        <w:t>p</w:t>
      </w:r>
      <w:r w:rsidRPr="00A77AF6">
        <w:t xml:space="preserve">roject </w:t>
      </w:r>
      <w:r w:rsidR="002D7B72" w:rsidRPr="00A77AF6">
        <w:t>m</w:t>
      </w:r>
      <w:r w:rsidRPr="00A77AF6">
        <w:t>anagement</w:t>
      </w:r>
      <w:r w:rsidR="001132AE" w:rsidRPr="00A77AF6">
        <w:t xml:space="preserve"> and the </w:t>
      </w:r>
      <w:r w:rsidR="002D7B72" w:rsidRPr="00A77AF6">
        <w:t>c</w:t>
      </w:r>
      <w:r w:rsidR="001132AE" w:rsidRPr="00A77AF6">
        <w:t xml:space="preserve">onstruction </w:t>
      </w:r>
      <w:r w:rsidR="002D7B72" w:rsidRPr="00A77AF6">
        <w:t>i</w:t>
      </w:r>
      <w:r w:rsidR="001132AE" w:rsidRPr="00A77AF6">
        <w:t>ndustry</w:t>
      </w:r>
      <w:bookmarkEnd w:id="51"/>
    </w:p>
    <w:p w14:paraId="33F55264" w14:textId="6465343F" w:rsidR="00A51B0F" w:rsidRPr="00A77AF6" w:rsidRDefault="005101CA" w:rsidP="00A51B0F">
      <w:pPr>
        <w:spacing w:after="0" w:line="360" w:lineRule="auto"/>
      </w:pPr>
      <w:r w:rsidRPr="00A77AF6">
        <w:t xml:space="preserve">The construction industry requires architects and engineers to register in a similar way to doctors and nurses.  The </w:t>
      </w:r>
      <w:r w:rsidR="00AD6662" w:rsidRPr="00A77AF6">
        <w:t xml:space="preserve">Architects’ Registration Board lists UK architects who are permitted to practice.  They are required to act professionally and are governed by a code of conduct, which shares </w:t>
      </w:r>
      <w:r w:rsidR="00506DD4" w:rsidRPr="00A77AF6">
        <w:t xml:space="preserve">the </w:t>
      </w:r>
      <w:r w:rsidR="00AD6662" w:rsidRPr="00A77AF6">
        <w:t xml:space="preserve">values proposed by Nolan (1995) including acting honestly and with integrity, being competent and trustworthy for the safety of the public and the reputation of architects </w:t>
      </w:r>
      <w:sdt>
        <w:sdtPr>
          <w:id w:val="-868226958"/>
          <w:citation/>
        </w:sdtPr>
        <w:sdtEndPr/>
        <w:sdtContent>
          <w:r w:rsidR="00AD6662" w:rsidRPr="00A77AF6">
            <w:fldChar w:fldCharType="begin"/>
          </w:r>
          <w:r w:rsidR="00AD6662" w:rsidRPr="00A77AF6">
            <w:instrText xml:space="preserve">CITATION Arc10 \l 2057 </w:instrText>
          </w:r>
          <w:r w:rsidR="00AD6662" w:rsidRPr="00A77AF6">
            <w:fldChar w:fldCharType="separate"/>
          </w:r>
          <w:r w:rsidR="008E653F" w:rsidRPr="00A77AF6">
            <w:t>(ARB, 2010)</w:t>
          </w:r>
          <w:r w:rsidR="00AD6662" w:rsidRPr="00A77AF6">
            <w:fldChar w:fldCharType="end"/>
          </w:r>
        </w:sdtContent>
      </w:sdt>
      <w:r w:rsidR="00AD6662" w:rsidRPr="00A77AF6">
        <w:t xml:space="preserve">.  </w:t>
      </w:r>
      <w:r w:rsidR="00A51B0F" w:rsidRPr="00A77AF6">
        <w:t>Likewise,</w:t>
      </w:r>
      <w:r w:rsidR="00AD6662" w:rsidRPr="00A77AF6">
        <w:t xml:space="preserve"> the Engineering Council registers engineers </w:t>
      </w:r>
      <w:r w:rsidR="00A51B0F" w:rsidRPr="00A77AF6">
        <w:t xml:space="preserve">who must abide by ethical values including honesty, integrity, respect for the law, life and the public good, and must work accurately </w:t>
      </w:r>
      <w:sdt>
        <w:sdtPr>
          <w:id w:val="1689558755"/>
          <w:citation/>
        </w:sdtPr>
        <w:sdtEndPr/>
        <w:sdtContent>
          <w:r w:rsidR="00A51B0F" w:rsidRPr="00A77AF6">
            <w:fldChar w:fldCharType="begin"/>
          </w:r>
          <w:r w:rsidR="00A51B0F" w:rsidRPr="00A77AF6">
            <w:instrText xml:space="preserve"> CITATION ENG17 \l 2057 </w:instrText>
          </w:r>
          <w:r w:rsidR="00A51B0F" w:rsidRPr="00A77AF6">
            <w:fldChar w:fldCharType="separate"/>
          </w:r>
          <w:r w:rsidR="008E653F" w:rsidRPr="00A77AF6">
            <w:t>(ENGC, 2017)</w:t>
          </w:r>
          <w:r w:rsidR="00A51B0F" w:rsidRPr="00A77AF6">
            <w:fldChar w:fldCharType="end"/>
          </w:r>
        </w:sdtContent>
      </w:sdt>
      <w:r w:rsidR="00BC58D5">
        <w:t>. Th</w:t>
      </w:r>
      <w:r w:rsidR="004D254E" w:rsidRPr="00A77AF6">
        <w:t>e Institute of C</w:t>
      </w:r>
      <w:r w:rsidR="000E0E60" w:rsidRPr="00A77AF6">
        <w:t xml:space="preserve">ivil </w:t>
      </w:r>
      <w:r w:rsidR="004D254E" w:rsidRPr="00A77AF6">
        <w:t xml:space="preserve">Engineers </w:t>
      </w:r>
      <w:r w:rsidR="000E0E60" w:rsidRPr="00A77AF6">
        <w:t xml:space="preserve">(ICE) </w:t>
      </w:r>
      <w:r w:rsidR="00C36C61" w:rsidRPr="00A77AF6">
        <w:t>supports t</w:t>
      </w:r>
      <w:r w:rsidR="007F2E20" w:rsidRPr="00A77AF6">
        <w:t>he</w:t>
      </w:r>
      <w:r w:rsidR="00C36C61" w:rsidRPr="00A77AF6">
        <w:t xml:space="preserve"> engineering profession </w:t>
      </w:r>
      <w:r w:rsidR="007F2E20" w:rsidRPr="00A77AF6">
        <w:t xml:space="preserve">in showing that </w:t>
      </w:r>
      <w:r w:rsidR="00A05FAD" w:rsidRPr="00A77AF6">
        <w:t>engineers are appropriately qualified</w:t>
      </w:r>
      <w:r w:rsidR="000837B8" w:rsidRPr="00A77AF6">
        <w:t xml:space="preserve"> for the maintenance of confidence in the profession</w:t>
      </w:r>
      <w:r w:rsidR="00A51B0F" w:rsidRPr="00A77AF6">
        <w:t>.  Chartered surveyors are governed by the Royal Institute of Chartered Surveyors (RICS) Code of Conduct (2013) and are required to follow RICS’ ethical code to instil confidence in the public:</w:t>
      </w:r>
    </w:p>
    <w:p w14:paraId="65669168" w14:textId="1F1F198F" w:rsidR="00A51B0F" w:rsidRPr="00A77AF6" w:rsidRDefault="00A51B0F" w:rsidP="00A51B0F">
      <w:pPr>
        <w:spacing w:after="240" w:line="240" w:lineRule="auto"/>
        <w:ind w:left="720"/>
      </w:pPr>
      <w:r w:rsidRPr="00A77AF6">
        <w:rPr>
          <w:i/>
        </w:rPr>
        <w:t>‘Our name promises the consistent delivery of standards – bringing confidence to the markets we serve’</w:t>
      </w:r>
      <w:r w:rsidRPr="00A77AF6">
        <w:t xml:space="preserve"> </w:t>
      </w:r>
      <w:sdt>
        <w:sdtPr>
          <w:id w:val="2086255196"/>
          <w:citation/>
        </w:sdtPr>
        <w:sdtEndPr/>
        <w:sdtContent>
          <w:r w:rsidRPr="00A77AF6">
            <w:fldChar w:fldCharType="begin"/>
          </w:r>
          <w:r w:rsidRPr="00A77AF6">
            <w:instrText xml:space="preserve">CITATION RIC13 \p 4 \l 2057 </w:instrText>
          </w:r>
          <w:r w:rsidRPr="00A77AF6">
            <w:fldChar w:fldCharType="separate"/>
          </w:r>
          <w:r w:rsidR="008E653F" w:rsidRPr="00A77AF6">
            <w:t>(RICS, 2013, p. 4)</w:t>
          </w:r>
          <w:r w:rsidRPr="00A77AF6">
            <w:fldChar w:fldCharType="end"/>
          </w:r>
        </w:sdtContent>
      </w:sdt>
    </w:p>
    <w:p w14:paraId="1BD78C45" w14:textId="50919C83" w:rsidR="00CF1629" w:rsidRPr="00A77AF6" w:rsidRDefault="00A51B0F" w:rsidP="00F7794C">
      <w:pPr>
        <w:spacing w:after="0" w:line="360" w:lineRule="auto"/>
      </w:pPr>
      <w:r w:rsidRPr="00A77AF6">
        <w:t xml:space="preserve">Other groups such as the APM and PMI </w:t>
      </w:r>
      <w:r w:rsidR="00DD25DE" w:rsidRPr="00A77AF6">
        <w:t xml:space="preserve">set the standards required for </w:t>
      </w:r>
      <w:r w:rsidR="00C14027" w:rsidRPr="00A77AF6">
        <w:t>their members</w:t>
      </w:r>
      <w:r w:rsidR="00470A0E">
        <w:t>, although professional</w:t>
      </w:r>
      <w:r w:rsidR="00BE1DB4">
        <w:t>s</w:t>
      </w:r>
      <w:r w:rsidR="00470A0E">
        <w:t xml:space="preserve"> are not required to register</w:t>
      </w:r>
      <w:r w:rsidR="00FA74C3" w:rsidRPr="00A77AF6">
        <w:t xml:space="preserve">. </w:t>
      </w:r>
      <w:r w:rsidR="001132AE" w:rsidRPr="00A77AF6">
        <w:t>The APM’s Code of Conduct (2018) notes that</w:t>
      </w:r>
      <w:r w:rsidR="00D751B8" w:rsidRPr="00A77AF6">
        <w:t xml:space="preserve"> </w:t>
      </w:r>
      <w:r w:rsidRPr="00A77AF6">
        <w:t xml:space="preserve">standards are set to maintain public confidence in the profession </w:t>
      </w:r>
      <w:sdt>
        <w:sdtPr>
          <w:id w:val="-1674794255"/>
          <w:citation/>
        </w:sdtPr>
        <w:sdtEndPr/>
        <w:sdtContent>
          <w:r w:rsidRPr="00A77AF6">
            <w:fldChar w:fldCharType="begin"/>
          </w:r>
          <w:r w:rsidRPr="00A77AF6">
            <w:instrText xml:space="preserve">CITATION APM182 \l 2057 </w:instrText>
          </w:r>
          <w:r w:rsidRPr="00A77AF6">
            <w:fldChar w:fldCharType="separate"/>
          </w:r>
          <w:r w:rsidR="008E653F" w:rsidRPr="00A77AF6">
            <w:t>(APM, 2018)</w:t>
          </w:r>
          <w:r w:rsidRPr="00A77AF6">
            <w:fldChar w:fldCharType="end"/>
          </w:r>
        </w:sdtContent>
      </w:sdt>
      <w:r w:rsidRPr="00A77AF6">
        <w:t xml:space="preserve">  </w:t>
      </w:r>
      <w:r w:rsidR="006A41B6" w:rsidRPr="00A77AF6">
        <w:t>The PMI’s standards apply to members</w:t>
      </w:r>
      <w:r w:rsidR="0031018F" w:rsidRPr="00A77AF6">
        <w:t xml:space="preserve">, </w:t>
      </w:r>
      <w:r w:rsidR="008B1EEB" w:rsidRPr="00A77AF6">
        <w:t xml:space="preserve">non-members </w:t>
      </w:r>
      <w:r w:rsidR="0031018F" w:rsidRPr="00A77AF6">
        <w:t xml:space="preserve">and volunteers </w:t>
      </w:r>
      <w:r w:rsidR="008B1EEB" w:rsidRPr="00A77AF6">
        <w:t>who hold a PMI qualification</w:t>
      </w:r>
      <w:r w:rsidRPr="00A77AF6">
        <w:t xml:space="preserve"> and demands honesty and integrity from its members</w:t>
      </w:r>
      <w:r w:rsidR="0031018F" w:rsidRPr="00A77AF6">
        <w:t xml:space="preserve">. </w:t>
      </w:r>
      <w:r w:rsidRPr="00A77AF6">
        <w:t>The Institute of H</w:t>
      </w:r>
      <w:r w:rsidR="007B3B06" w:rsidRPr="00A77AF6">
        <w:t>ealth</w:t>
      </w:r>
      <w:r w:rsidRPr="00A77AF6">
        <w:t xml:space="preserve"> E</w:t>
      </w:r>
      <w:r w:rsidR="007B3B06" w:rsidRPr="00A77AF6">
        <w:t xml:space="preserve">ngineering and </w:t>
      </w:r>
      <w:r w:rsidRPr="00A77AF6">
        <w:t>E</w:t>
      </w:r>
      <w:r w:rsidR="007B3B06" w:rsidRPr="00A77AF6">
        <w:t xml:space="preserve">state </w:t>
      </w:r>
      <w:r w:rsidRPr="00A77AF6">
        <w:t>M</w:t>
      </w:r>
      <w:r w:rsidR="007B3B06" w:rsidRPr="00A77AF6">
        <w:t xml:space="preserve">anagers </w:t>
      </w:r>
      <w:r w:rsidRPr="00A77AF6">
        <w:t>(</w:t>
      </w:r>
      <w:r w:rsidR="00026412" w:rsidRPr="00A77AF6">
        <w:t>IHEEM</w:t>
      </w:r>
      <w:r w:rsidRPr="00A77AF6">
        <w:t xml:space="preserve">) </w:t>
      </w:r>
      <w:r w:rsidR="002E7BAA" w:rsidRPr="00A77AF6">
        <w:t>requires its member to</w:t>
      </w:r>
    </w:p>
    <w:p w14:paraId="3E6369AF" w14:textId="65680BD4" w:rsidR="007B3B06" w:rsidRPr="00A77AF6" w:rsidRDefault="007B3B06" w:rsidP="00CF1629">
      <w:pPr>
        <w:spacing w:after="240" w:line="240" w:lineRule="auto"/>
        <w:ind w:left="720"/>
        <w:rPr>
          <w:i/>
        </w:rPr>
      </w:pPr>
      <w:r w:rsidRPr="00A77AF6">
        <w:rPr>
          <w:i/>
        </w:rPr>
        <w:t xml:space="preserve">‘act with integrity at all times and exercise reasonable care in making decisions in the public interest to prevent avoidable danger to health and safety.’ </w:t>
      </w:r>
      <w:sdt>
        <w:sdtPr>
          <w:rPr>
            <w:i/>
          </w:rPr>
          <w:id w:val="-1319805561"/>
          <w:citation/>
        </w:sdtPr>
        <w:sdtEndPr/>
        <w:sdtContent>
          <w:r w:rsidRPr="00A77AF6">
            <w:rPr>
              <w:i/>
            </w:rPr>
            <w:fldChar w:fldCharType="begin"/>
          </w:r>
          <w:r w:rsidRPr="00A77AF6">
            <w:rPr>
              <w:i/>
            </w:rPr>
            <w:instrText xml:space="preserve"> CITATION IHE16 \l 2057 </w:instrText>
          </w:r>
          <w:r w:rsidRPr="00A77AF6">
            <w:rPr>
              <w:i/>
            </w:rPr>
            <w:fldChar w:fldCharType="separate"/>
          </w:r>
          <w:r w:rsidR="008E653F" w:rsidRPr="00A77AF6">
            <w:t>(IHEEM, 2016)</w:t>
          </w:r>
          <w:r w:rsidRPr="00A77AF6">
            <w:rPr>
              <w:i/>
            </w:rPr>
            <w:fldChar w:fldCharType="end"/>
          </w:r>
        </w:sdtContent>
      </w:sdt>
      <w:r w:rsidRPr="00A77AF6">
        <w:rPr>
          <w:i/>
        </w:rPr>
        <w:t xml:space="preserve"> </w:t>
      </w:r>
    </w:p>
    <w:p w14:paraId="06DA3C03" w14:textId="3729807A" w:rsidR="007B3B06" w:rsidRPr="00A77AF6" w:rsidRDefault="007B3B06" w:rsidP="00F7794C">
      <w:pPr>
        <w:spacing w:line="360" w:lineRule="auto"/>
      </w:pPr>
      <w:r w:rsidRPr="00A77AF6">
        <w:t>The common themes in the sample of professional codes referred to are integrity, trust</w:t>
      </w:r>
      <w:r w:rsidR="00CF1629" w:rsidRPr="00A77AF6">
        <w:t xml:space="preserve"> and honesty in order to maintain public </w:t>
      </w:r>
      <w:r w:rsidRPr="00A77AF6">
        <w:t>confidence</w:t>
      </w:r>
      <w:r w:rsidR="002E7BAA" w:rsidRPr="00A77AF6">
        <w:t xml:space="preserve"> and to protect the public. </w:t>
      </w:r>
    </w:p>
    <w:p w14:paraId="7D3D05F8" w14:textId="30722F3D" w:rsidR="007B3B06" w:rsidRPr="00A77AF6" w:rsidRDefault="00B61050" w:rsidP="00F7794C">
      <w:pPr>
        <w:spacing w:line="360" w:lineRule="auto"/>
      </w:pPr>
      <w:r w:rsidRPr="00A77AF6">
        <w:t>I</w:t>
      </w:r>
      <w:r w:rsidR="00026412" w:rsidRPr="00A77AF6">
        <w:t>n</w:t>
      </w:r>
      <w:r w:rsidRPr="00A77AF6">
        <w:t xml:space="preserve"> summary, professional bodies </w:t>
      </w:r>
      <w:r w:rsidR="006A1522" w:rsidRPr="00A77AF6">
        <w:t xml:space="preserve">in construction </w:t>
      </w:r>
      <w:r w:rsidRPr="00A77AF6">
        <w:t xml:space="preserve">provide </w:t>
      </w:r>
      <w:r w:rsidR="00F7794C" w:rsidRPr="00A77AF6">
        <w:t>very</w:t>
      </w:r>
      <w:r w:rsidR="00CF1629" w:rsidRPr="00A77AF6">
        <w:t xml:space="preserve"> similar </w:t>
      </w:r>
      <w:r w:rsidRPr="00A77AF6">
        <w:t>standards for their members to follow</w:t>
      </w:r>
      <w:r w:rsidR="00A671FE" w:rsidRPr="00A77AF6">
        <w:t xml:space="preserve">, </w:t>
      </w:r>
      <w:r w:rsidR="002E7BAA" w:rsidRPr="00A77AF6">
        <w:t xml:space="preserve">and these are </w:t>
      </w:r>
      <w:r w:rsidR="00434810" w:rsidRPr="00A77AF6">
        <w:t>like</w:t>
      </w:r>
      <w:r w:rsidR="002E7BAA" w:rsidRPr="00A77AF6">
        <w:t xml:space="preserve"> those of Nolan (1995).  </w:t>
      </w:r>
      <w:r w:rsidR="00566C2F" w:rsidRPr="00A77AF6">
        <w:t>The behaviour and standards</w:t>
      </w:r>
      <w:r w:rsidR="00096ACD" w:rsidRPr="00A77AF6">
        <w:t xml:space="preserve"> expected of personnel involved in NHS construction projects are prescribed </w:t>
      </w:r>
      <w:r w:rsidR="002E7BAA" w:rsidRPr="00A77AF6">
        <w:t xml:space="preserve">and behavioural expectations are clear.  Codes of conduct are formalistic and rules-based and those breaking the rules can be punished. </w:t>
      </w:r>
      <w:r w:rsidR="005A2258" w:rsidRPr="00A77AF6">
        <w:t xml:space="preserve"> </w:t>
      </w:r>
    </w:p>
    <w:p w14:paraId="7EC38BCD" w14:textId="19569E7D" w:rsidR="00AC5B24" w:rsidRPr="00A77AF6" w:rsidRDefault="005A337C" w:rsidP="00CF1629">
      <w:pPr>
        <w:pStyle w:val="Heading2"/>
        <w:spacing w:after="120"/>
      </w:pPr>
      <w:bookmarkStart w:id="52" w:name="_Toc36275058"/>
      <w:r w:rsidRPr="00A77AF6">
        <w:lastRenderedPageBreak/>
        <w:t>Concluding remarks</w:t>
      </w:r>
      <w:bookmarkEnd w:id="52"/>
    </w:p>
    <w:p w14:paraId="73E71DB9" w14:textId="553A98C6" w:rsidR="002B294D" w:rsidRPr="00A77AF6" w:rsidRDefault="00E1751B" w:rsidP="00F7794C">
      <w:pPr>
        <w:spacing w:line="360" w:lineRule="auto"/>
      </w:pPr>
      <w:r w:rsidRPr="00A77AF6">
        <w:t xml:space="preserve">This chapter </w:t>
      </w:r>
      <w:r w:rsidR="00751033" w:rsidRPr="00A77AF6">
        <w:t xml:space="preserve">has reviewed </w:t>
      </w:r>
      <w:r w:rsidR="00991F7B" w:rsidRPr="00A77AF6">
        <w:t>and expla</w:t>
      </w:r>
      <w:r w:rsidR="002C3F48" w:rsidRPr="00A77AF6">
        <w:t xml:space="preserve">ined </w:t>
      </w:r>
      <w:r w:rsidR="00751033" w:rsidRPr="00A77AF6">
        <w:t xml:space="preserve">ethical theories of </w:t>
      </w:r>
      <w:r w:rsidR="00F1133D" w:rsidRPr="00A77AF6">
        <w:t xml:space="preserve">virtue and </w:t>
      </w:r>
      <w:r w:rsidR="00751033" w:rsidRPr="00A77AF6">
        <w:t xml:space="preserve">conduct </w:t>
      </w:r>
      <w:r w:rsidR="007B0679" w:rsidRPr="00A77AF6">
        <w:t>to explain the theoretical context of this work. E</w:t>
      </w:r>
      <w:r w:rsidR="005F7CDD" w:rsidRPr="00A77AF6">
        <w:t>thical</w:t>
      </w:r>
      <w:r w:rsidR="006117EE" w:rsidRPr="00A77AF6">
        <w:t xml:space="preserve"> theory </w:t>
      </w:r>
      <w:r w:rsidR="007B0679" w:rsidRPr="00A77AF6">
        <w:t xml:space="preserve">of conduct </w:t>
      </w:r>
      <w:r w:rsidR="00241511" w:rsidRPr="00A77AF6">
        <w:t xml:space="preserve">has </w:t>
      </w:r>
      <w:r w:rsidR="006117EE" w:rsidRPr="00A77AF6">
        <w:t>two alternatives</w:t>
      </w:r>
      <w:r w:rsidR="00241511" w:rsidRPr="00A77AF6">
        <w:t>:</w:t>
      </w:r>
      <w:r w:rsidR="006117EE" w:rsidRPr="00A77AF6">
        <w:t xml:space="preserve"> </w:t>
      </w:r>
      <w:r w:rsidR="007B0679" w:rsidRPr="00A77AF6">
        <w:t xml:space="preserve">formalism which values rules following and duty and utilitarianism which values </w:t>
      </w:r>
      <w:r w:rsidR="006117EE" w:rsidRPr="00A77AF6">
        <w:t xml:space="preserve">the impact of a decision on wider society.  Both </w:t>
      </w:r>
      <w:r w:rsidR="00751033" w:rsidRPr="00A77AF6">
        <w:t>alternatives are</w:t>
      </w:r>
      <w:r w:rsidR="006117EE" w:rsidRPr="00A77AF6">
        <w:t xml:space="preserve"> criticised</w:t>
      </w:r>
      <w:r w:rsidR="00751033" w:rsidRPr="00A77AF6">
        <w:t>. F</w:t>
      </w:r>
      <w:r w:rsidR="006117EE" w:rsidRPr="00A77AF6">
        <w:t xml:space="preserve">ormalism </w:t>
      </w:r>
      <w:r w:rsidR="00751033" w:rsidRPr="00A77AF6">
        <w:t xml:space="preserve">because it can lead to </w:t>
      </w:r>
      <w:r w:rsidR="006117EE" w:rsidRPr="00A77AF6">
        <w:t>the means justifying the ends</w:t>
      </w:r>
      <w:r w:rsidR="007B0679" w:rsidRPr="00A77AF6">
        <w:t xml:space="preserve"> and a </w:t>
      </w:r>
      <w:r w:rsidR="00321C04" w:rsidRPr="00A77AF6">
        <w:t xml:space="preserve">utilitarian </w:t>
      </w:r>
      <w:r w:rsidR="00751033" w:rsidRPr="00A77AF6">
        <w:t>because the ends justify the means</w:t>
      </w:r>
      <w:r w:rsidR="007B0679" w:rsidRPr="00A77AF6">
        <w:t xml:space="preserve">, when they </w:t>
      </w:r>
      <w:r w:rsidR="00321C04" w:rsidRPr="00A77AF6">
        <w:t>cannot predict what the outcome of their action will be</w:t>
      </w:r>
      <w:r w:rsidR="0028765B" w:rsidRPr="00A77AF6">
        <w:t xml:space="preserve"> and </w:t>
      </w:r>
      <w:r w:rsidR="007B0679" w:rsidRPr="00A77AF6">
        <w:t xml:space="preserve">because </w:t>
      </w:r>
      <w:r w:rsidR="0028765B" w:rsidRPr="00A77AF6">
        <w:t>there</w:t>
      </w:r>
      <w:r w:rsidR="00321C04" w:rsidRPr="00A77AF6">
        <w:t xml:space="preserve"> is no agree</w:t>
      </w:r>
      <w:r w:rsidR="007B0679" w:rsidRPr="00A77AF6">
        <w:t xml:space="preserve">ment </w:t>
      </w:r>
      <w:r w:rsidR="00321C04" w:rsidRPr="00A77AF6">
        <w:t xml:space="preserve">on </w:t>
      </w:r>
      <w:r w:rsidR="0028765B" w:rsidRPr="00A77AF6">
        <w:t xml:space="preserve">how to judge what is </w:t>
      </w:r>
      <w:r w:rsidR="00321C04" w:rsidRPr="00A77AF6">
        <w:t>the ‘greatest good for the greatest number’</w:t>
      </w:r>
      <w:r w:rsidR="0028765B" w:rsidRPr="00A77AF6">
        <w:t xml:space="preserve">. </w:t>
      </w:r>
      <w:r w:rsidR="00321C04" w:rsidRPr="00A77AF6">
        <w:t xml:space="preserve"> </w:t>
      </w:r>
      <w:r w:rsidR="00AC5B24" w:rsidRPr="00A77AF6">
        <w:t>A</w:t>
      </w:r>
      <w:r w:rsidR="006108A2" w:rsidRPr="00A77AF6">
        <w:t xml:space="preserve">pplied ethical theory </w:t>
      </w:r>
      <w:r w:rsidR="007B0679" w:rsidRPr="00A77AF6">
        <w:t>promotes formalism as the ethical way to behave because following the rules is open and transparent</w:t>
      </w:r>
      <w:r w:rsidR="00414C4B" w:rsidRPr="00A77AF6">
        <w:t xml:space="preserve"> and formalist predisposition leads to obedience to rules of governance, for example with openness, integrity and selflessness.  </w:t>
      </w:r>
      <w:r w:rsidR="007B0679" w:rsidRPr="00A77AF6">
        <w:t xml:space="preserve">Applied ethical theory has sought to understand if </w:t>
      </w:r>
      <w:r w:rsidR="004437D5" w:rsidRPr="00A77AF6">
        <w:t xml:space="preserve">age, gender and organisational cultural values influence ethical predisposition.  </w:t>
      </w:r>
      <w:r w:rsidR="00414C4B" w:rsidRPr="00A77AF6">
        <w:t>The association of formalism with morality in the business literature, has led to suggestions that women and older people may be more moral because they have a stronger predilection for rules following, although the evidence is not very strong.  E</w:t>
      </w:r>
      <w:r w:rsidR="004437D5" w:rsidRPr="00A77AF6">
        <w:t>thical predisposition</w:t>
      </w:r>
      <w:r w:rsidR="00414C4B" w:rsidRPr="00A77AF6">
        <w:t xml:space="preserve"> may not be </w:t>
      </w:r>
      <w:r w:rsidR="004437D5" w:rsidRPr="00A77AF6">
        <w:t>dichotomous and different approach</w:t>
      </w:r>
      <w:r w:rsidR="00414C4B" w:rsidRPr="00A77AF6">
        <w:t xml:space="preserve">es can be </w:t>
      </w:r>
      <w:r w:rsidR="004437D5" w:rsidRPr="00A77AF6">
        <w:t xml:space="preserve">used depending on </w:t>
      </w:r>
      <w:r w:rsidR="00414C4B" w:rsidRPr="00A77AF6">
        <w:t>the</w:t>
      </w:r>
      <w:r w:rsidR="004437D5" w:rsidRPr="00A77AF6">
        <w:t xml:space="preserve"> situation</w:t>
      </w:r>
      <w:r w:rsidR="00414C4B" w:rsidRPr="00A77AF6">
        <w:t xml:space="preserve">, this cuts through the polarising argument about trying to place people definitively in one group or the other.  </w:t>
      </w:r>
      <w:bookmarkStart w:id="53" w:name="_Hlk520112580"/>
      <w:r w:rsidR="00414C4B" w:rsidRPr="00A77AF6">
        <w:t>Even so</w:t>
      </w:r>
      <w:r w:rsidR="000D5D38" w:rsidRPr="00A77AF6">
        <w:t xml:space="preserve"> Brady (1985)</w:t>
      </w:r>
      <w:r w:rsidR="00CD7370" w:rsidRPr="00A77AF6">
        <w:t>,</w:t>
      </w:r>
      <w:r w:rsidR="000D5D38" w:rsidRPr="00A77AF6">
        <w:t xml:space="preserve"> and Schminke and Wells (1999)</w:t>
      </w:r>
      <w:r w:rsidR="00CD7370" w:rsidRPr="00A77AF6">
        <w:t>,</w:t>
      </w:r>
      <w:r w:rsidR="000D5D38" w:rsidRPr="00A77AF6">
        <w:t xml:space="preserve"> argued that people will be predisposed to rely more on one than the other and this will affect their behaviour. </w:t>
      </w:r>
      <w:bookmarkEnd w:id="53"/>
      <w:r w:rsidR="00414C4B" w:rsidRPr="00A77AF6">
        <w:t>T</w:t>
      </w:r>
      <w:r w:rsidR="004437D5" w:rsidRPr="00A77AF6">
        <w:t>he ethic</w:t>
      </w:r>
      <w:r w:rsidR="00E16A77" w:rsidRPr="00A77AF6">
        <w:t xml:space="preserve">al codes of </w:t>
      </w:r>
      <w:r w:rsidR="004437D5" w:rsidRPr="00A77AF6">
        <w:t>the NHS, project manage</w:t>
      </w:r>
      <w:r w:rsidR="00E16A77" w:rsidRPr="00A77AF6">
        <w:t xml:space="preserve">ment </w:t>
      </w:r>
      <w:r w:rsidR="004437D5" w:rsidRPr="00A77AF6">
        <w:t>and construction pr</w:t>
      </w:r>
      <w:r w:rsidR="00E16A77" w:rsidRPr="00A77AF6">
        <w:t xml:space="preserve">ofessional bodies </w:t>
      </w:r>
      <w:r w:rsidR="00414C4B" w:rsidRPr="00A77AF6">
        <w:t xml:space="preserve">are formalistic and </w:t>
      </w:r>
      <w:r w:rsidR="00E16A77" w:rsidRPr="00A77AF6">
        <w:t xml:space="preserve">clearly articulate the </w:t>
      </w:r>
      <w:r w:rsidR="00414C4B" w:rsidRPr="00A77AF6">
        <w:t xml:space="preserve">expected </w:t>
      </w:r>
      <w:r w:rsidR="00E16A77" w:rsidRPr="00A77AF6">
        <w:t xml:space="preserve">conduct </w:t>
      </w:r>
      <w:r w:rsidR="00414C4B" w:rsidRPr="00A77AF6">
        <w:t>to achieve</w:t>
      </w:r>
      <w:r w:rsidR="00E16A77" w:rsidRPr="00A77AF6">
        <w:t xml:space="preserve"> consistency</w:t>
      </w:r>
      <w:r w:rsidR="000D5D38" w:rsidRPr="00A77AF6">
        <w:t xml:space="preserve">, </w:t>
      </w:r>
      <w:r w:rsidR="00E16A77" w:rsidRPr="00A77AF6">
        <w:t>fairness</w:t>
      </w:r>
      <w:r w:rsidR="000D5D38" w:rsidRPr="00A77AF6">
        <w:t xml:space="preserve">, confidence </w:t>
      </w:r>
      <w:r w:rsidR="005F7CDD" w:rsidRPr="00A77AF6">
        <w:t xml:space="preserve">and </w:t>
      </w:r>
      <w:r w:rsidR="00E16A77" w:rsidRPr="00A77AF6">
        <w:t>public</w:t>
      </w:r>
      <w:r w:rsidR="00414C4B" w:rsidRPr="00A77AF6">
        <w:t xml:space="preserve"> assurance</w:t>
      </w:r>
      <w:r w:rsidR="00E16A77" w:rsidRPr="00A77AF6">
        <w:t xml:space="preserve">.  </w:t>
      </w:r>
      <w:r w:rsidR="00E73DCD" w:rsidRPr="00A77AF6">
        <w:t xml:space="preserve">This chapter </w:t>
      </w:r>
      <w:r w:rsidR="00A0306B" w:rsidRPr="00A77AF6">
        <w:t xml:space="preserve">has shown that formalism </w:t>
      </w:r>
      <w:r w:rsidR="00A02A96" w:rsidRPr="00A77AF6">
        <w:t xml:space="preserve">is perceived to </w:t>
      </w:r>
      <w:r w:rsidR="005A4515" w:rsidRPr="00A77AF6">
        <w:t>be a moral way of behaviour</w:t>
      </w:r>
      <w:r w:rsidR="00635B3F" w:rsidRPr="00A77AF6">
        <w:t xml:space="preserve">.  It has shown that </w:t>
      </w:r>
      <w:r w:rsidR="00553832" w:rsidRPr="00A77AF6">
        <w:t xml:space="preserve">parts of the NHS and the construction </w:t>
      </w:r>
      <w:r w:rsidR="00775080" w:rsidRPr="00A77AF6">
        <w:t xml:space="preserve">are formalistic.  </w:t>
      </w:r>
      <w:r w:rsidR="00414C4B" w:rsidRPr="00A77AF6">
        <w:t>Applied ethical theory gives theoretical context to this study</w:t>
      </w:r>
      <w:r w:rsidR="00775080" w:rsidRPr="00A77AF6">
        <w:t xml:space="preserve"> because if</w:t>
      </w:r>
      <w:r w:rsidR="00414C4B" w:rsidRPr="00A77AF6">
        <w:t xml:space="preserve"> ethical formalism</w:t>
      </w:r>
      <w:r w:rsidR="001F3A59" w:rsidRPr="00A77AF6">
        <w:t xml:space="preserve"> shares the principles of </w:t>
      </w:r>
      <w:r w:rsidR="00414C4B" w:rsidRPr="00A77AF6">
        <w:t xml:space="preserve">governance, </w:t>
      </w:r>
      <w:r w:rsidR="001F3A59" w:rsidRPr="00A77AF6">
        <w:t xml:space="preserve">the question about whether it is a critical success factor can be explored.  </w:t>
      </w:r>
    </w:p>
    <w:p w14:paraId="3AF2D45E" w14:textId="163D10FB" w:rsidR="000C1844" w:rsidRPr="00A77AF6" w:rsidRDefault="000C1844" w:rsidP="00E16A77">
      <w:pPr>
        <w:spacing w:line="480" w:lineRule="auto"/>
      </w:pPr>
      <w:r w:rsidRPr="00A77AF6">
        <w:br w:type="page"/>
      </w:r>
    </w:p>
    <w:p w14:paraId="3398C690" w14:textId="383AA933" w:rsidR="006C1910" w:rsidRPr="00A77AF6" w:rsidRDefault="00530109" w:rsidP="008823FC">
      <w:pPr>
        <w:pStyle w:val="Heading1"/>
        <w:spacing w:after="240"/>
        <w:ind w:left="431" w:hanging="431"/>
        <w:rPr>
          <w:lang w:val="en-GB"/>
        </w:rPr>
      </w:pPr>
      <w:bookmarkStart w:id="54" w:name="_Toc36275059"/>
      <w:r w:rsidRPr="00A77AF6">
        <w:rPr>
          <w:lang w:val="en-GB"/>
        </w:rPr>
        <w:lastRenderedPageBreak/>
        <w:t xml:space="preserve">Literature Review: </w:t>
      </w:r>
      <w:r w:rsidR="006C1910" w:rsidRPr="00A77AF6">
        <w:rPr>
          <w:lang w:val="en-GB"/>
        </w:rPr>
        <w:t>Corporate and Project Governance</w:t>
      </w:r>
      <w:bookmarkEnd w:id="54"/>
    </w:p>
    <w:p w14:paraId="179D31C7" w14:textId="4272C791" w:rsidR="006C1910" w:rsidRPr="00A77AF6" w:rsidRDefault="006C1910" w:rsidP="00C51ED0">
      <w:pPr>
        <w:pStyle w:val="Heading2"/>
        <w:spacing w:after="120"/>
      </w:pPr>
      <w:bookmarkStart w:id="55" w:name="_Toc36275060"/>
      <w:r w:rsidRPr="00A77AF6">
        <w:t>Introduction</w:t>
      </w:r>
      <w:bookmarkEnd w:id="55"/>
    </w:p>
    <w:p w14:paraId="624D4821" w14:textId="686A728E" w:rsidR="004945C1" w:rsidRPr="00A77AF6" w:rsidRDefault="00B23308" w:rsidP="00280925">
      <w:pPr>
        <w:spacing w:line="360" w:lineRule="auto"/>
      </w:pPr>
      <w:r w:rsidRPr="00A77AF6">
        <w:rPr>
          <w:rFonts w:cstheme="minorHAnsi"/>
        </w:rPr>
        <w:t xml:space="preserve">This section reviews the literature on </w:t>
      </w:r>
      <w:r w:rsidR="0086302E" w:rsidRPr="00A77AF6">
        <w:rPr>
          <w:rFonts w:cstheme="minorHAnsi"/>
        </w:rPr>
        <w:t xml:space="preserve">organisational theory, </w:t>
      </w:r>
      <w:r w:rsidRPr="00A77AF6">
        <w:rPr>
          <w:rFonts w:cstheme="minorHAnsi"/>
        </w:rPr>
        <w:t xml:space="preserve">corporate </w:t>
      </w:r>
      <w:r w:rsidR="00C3579D" w:rsidRPr="00A77AF6">
        <w:rPr>
          <w:rFonts w:cstheme="minorHAnsi"/>
        </w:rPr>
        <w:t xml:space="preserve">and project </w:t>
      </w:r>
      <w:r w:rsidRPr="00A77AF6">
        <w:rPr>
          <w:rFonts w:cstheme="minorHAnsi"/>
        </w:rPr>
        <w:t>governance</w:t>
      </w:r>
      <w:r w:rsidR="00F02F1E" w:rsidRPr="00A77AF6">
        <w:rPr>
          <w:rFonts w:cstheme="minorHAnsi"/>
        </w:rPr>
        <w:t xml:space="preserve">, </w:t>
      </w:r>
      <w:r w:rsidR="00C3579D" w:rsidRPr="00A77AF6">
        <w:rPr>
          <w:rFonts w:cstheme="minorHAnsi"/>
        </w:rPr>
        <w:t>the iron triangle and other key performance indicators</w:t>
      </w:r>
      <w:r w:rsidR="00906675" w:rsidRPr="00A77AF6">
        <w:rPr>
          <w:rFonts w:cstheme="minorHAnsi"/>
        </w:rPr>
        <w:t xml:space="preserve"> (KPIs)</w:t>
      </w:r>
      <w:r w:rsidR="00C3579D" w:rsidRPr="00A77AF6">
        <w:rPr>
          <w:rFonts w:cstheme="minorHAnsi"/>
        </w:rPr>
        <w:t xml:space="preserve"> that measure project success</w:t>
      </w:r>
      <w:r w:rsidR="00B0215D" w:rsidRPr="00A77AF6">
        <w:rPr>
          <w:rFonts w:cstheme="minorHAnsi"/>
        </w:rPr>
        <w:t xml:space="preserve">. </w:t>
      </w:r>
      <w:r w:rsidR="00963710" w:rsidRPr="00A77AF6">
        <w:t>T</w:t>
      </w:r>
      <w:r w:rsidR="000D5D38" w:rsidRPr="00A77AF6">
        <w:t xml:space="preserve">hree organisational theories </w:t>
      </w:r>
      <w:r w:rsidR="00C3579D" w:rsidRPr="00A77AF6">
        <w:t>a</w:t>
      </w:r>
      <w:r w:rsidR="008744F1" w:rsidRPr="00A77AF6">
        <w:t xml:space="preserve">gency </w:t>
      </w:r>
      <w:r w:rsidR="00897026" w:rsidRPr="00A77AF6">
        <w:t>t</w:t>
      </w:r>
      <w:r w:rsidR="008744F1" w:rsidRPr="00A77AF6">
        <w:t xml:space="preserve">heory, </w:t>
      </w:r>
      <w:r w:rsidR="00C3579D" w:rsidRPr="00A77AF6">
        <w:t>s</w:t>
      </w:r>
      <w:r w:rsidR="008744F1" w:rsidRPr="00A77AF6">
        <w:t xml:space="preserve">tewardship </w:t>
      </w:r>
      <w:r w:rsidR="00897026" w:rsidRPr="00A77AF6">
        <w:t>t</w:t>
      </w:r>
      <w:r w:rsidR="008744F1" w:rsidRPr="00A77AF6">
        <w:t xml:space="preserve">heory and </w:t>
      </w:r>
      <w:r w:rsidR="00C3579D" w:rsidRPr="00A77AF6">
        <w:t>s</w:t>
      </w:r>
      <w:r w:rsidR="008744F1" w:rsidRPr="00A77AF6">
        <w:t xml:space="preserve">takeholder </w:t>
      </w:r>
      <w:r w:rsidR="00897026" w:rsidRPr="00A77AF6">
        <w:t>t</w:t>
      </w:r>
      <w:r w:rsidR="008744F1" w:rsidRPr="00A77AF6">
        <w:t xml:space="preserve">heory </w:t>
      </w:r>
      <w:r w:rsidR="000D5D38" w:rsidRPr="00A77AF6">
        <w:t xml:space="preserve">are </w:t>
      </w:r>
      <w:r w:rsidR="00C3579D" w:rsidRPr="00A77AF6">
        <w:t xml:space="preserve">discussed </w:t>
      </w:r>
      <w:r w:rsidR="005E527C" w:rsidRPr="00A77AF6">
        <w:t>and explained within the context of construction projects</w:t>
      </w:r>
      <w:r w:rsidR="00132F72" w:rsidRPr="00A77AF6">
        <w:t>. Each theory attempts</w:t>
      </w:r>
      <w:r w:rsidR="000D5D38" w:rsidRPr="00A77AF6">
        <w:t xml:space="preserve"> to explain the ‘governance problem’ and</w:t>
      </w:r>
      <w:r w:rsidR="00132F72" w:rsidRPr="00A77AF6">
        <w:t xml:space="preserve"> </w:t>
      </w:r>
      <w:r w:rsidR="00C3579D" w:rsidRPr="00A77AF6">
        <w:t xml:space="preserve">each </w:t>
      </w:r>
      <w:r w:rsidR="00132F72" w:rsidRPr="00A77AF6">
        <w:t>suggest</w:t>
      </w:r>
      <w:r w:rsidR="00C3579D" w:rsidRPr="00A77AF6">
        <w:t>s</w:t>
      </w:r>
      <w:r w:rsidR="000D5D38" w:rsidRPr="00A77AF6">
        <w:t xml:space="preserve"> how corporations should be managed in the best interests of their stakeholders, however widely those may be defined. </w:t>
      </w:r>
      <w:r w:rsidR="007B6251" w:rsidRPr="00A77AF6">
        <w:t>C</w:t>
      </w:r>
      <w:r w:rsidR="007A2B5F" w:rsidRPr="00A77AF6">
        <w:t xml:space="preserve">orporate </w:t>
      </w:r>
      <w:r w:rsidRPr="00A77AF6">
        <w:t xml:space="preserve">governance is </w:t>
      </w:r>
      <w:r w:rsidR="009A1CE0" w:rsidRPr="00A77AF6">
        <w:t>defined,</w:t>
      </w:r>
      <w:r w:rsidR="00FC7F05" w:rsidRPr="00A77AF6">
        <w:t xml:space="preserve"> and e</w:t>
      </w:r>
      <w:r w:rsidRPr="00A77AF6">
        <w:t xml:space="preserve">xamples of corporate excesses are </w:t>
      </w:r>
      <w:r w:rsidR="00FC7F05" w:rsidRPr="00A77AF6">
        <w:t>provided t</w:t>
      </w:r>
      <w:r w:rsidRPr="00A77AF6">
        <w:t>o illustrate the types of malpractice that have alerted governments to the risks of poor corporate governance</w:t>
      </w:r>
      <w:r w:rsidR="007A2B5F" w:rsidRPr="00A77AF6">
        <w:t xml:space="preserve"> and </w:t>
      </w:r>
      <w:r w:rsidR="00174AEF" w:rsidRPr="00A77AF6">
        <w:t xml:space="preserve">the need </w:t>
      </w:r>
      <w:r w:rsidR="007A2B5F" w:rsidRPr="00A77AF6">
        <w:t>prevent it</w:t>
      </w:r>
      <w:r w:rsidR="00C3579D" w:rsidRPr="00A77AF6">
        <w:t xml:space="preserve">. </w:t>
      </w:r>
      <w:r w:rsidRPr="00A77AF6">
        <w:t xml:space="preserve"> </w:t>
      </w:r>
      <w:r w:rsidR="00906675" w:rsidRPr="00A77AF6">
        <w:t>T</w:t>
      </w:r>
      <w:r w:rsidRPr="00A77AF6">
        <w:t xml:space="preserve">he </w:t>
      </w:r>
      <w:r w:rsidR="00C3579D" w:rsidRPr="00A77AF6">
        <w:t>UK government’s</w:t>
      </w:r>
      <w:r w:rsidRPr="00A77AF6">
        <w:t xml:space="preserve"> </w:t>
      </w:r>
      <w:r w:rsidR="00C3579D" w:rsidRPr="00A77AF6">
        <w:t>interventions f</w:t>
      </w:r>
      <w:r w:rsidRPr="00A77AF6">
        <w:t>o</w:t>
      </w:r>
      <w:r w:rsidR="00C3579D" w:rsidRPr="00A77AF6">
        <w:t>r the</w:t>
      </w:r>
      <w:r w:rsidRPr="00A77AF6">
        <w:t xml:space="preserve"> prevent</w:t>
      </w:r>
      <w:r w:rsidR="00C3579D" w:rsidRPr="00A77AF6">
        <w:t>ion of</w:t>
      </w:r>
      <w:r w:rsidRPr="00A77AF6">
        <w:t xml:space="preserve"> poor governance are </w:t>
      </w:r>
      <w:r w:rsidR="00906675" w:rsidRPr="00A77AF6">
        <w:t xml:space="preserve">described including </w:t>
      </w:r>
      <w:r w:rsidR="00C3579D" w:rsidRPr="00A77AF6">
        <w:t xml:space="preserve"> </w:t>
      </w:r>
      <w:r w:rsidR="007A2B5F" w:rsidRPr="00A77AF6">
        <w:t>reports</w:t>
      </w:r>
      <w:r w:rsidR="00C3579D" w:rsidRPr="00A77AF6">
        <w:t>, g</w:t>
      </w:r>
      <w:r w:rsidR="007A2B5F" w:rsidRPr="00A77AF6">
        <w:t xml:space="preserve">uidelines and laws </w:t>
      </w:r>
      <w:r w:rsidR="00906675" w:rsidRPr="00A77AF6">
        <w:t>which</w:t>
      </w:r>
      <w:r w:rsidR="007A2B5F" w:rsidRPr="00A77AF6">
        <w:t xml:space="preserve"> encourage effective corporate </w:t>
      </w:r>
      <w:r w:rsidR="00906675" w:rsidRPr="00A77AF6">
        <w:t xml:space="preserve">governance </w:t>
      </w:r>
      <w:r w:rsidR="007A2B5F" w:rsidRPr="00A77AF6">
        <w:t>structures</w:t>
      </w:r>
      <w:r w:rsidR="000D5D38" w:rsidRPr="00A77AF6">
        <w:t xml:space="preserve"> and behaviours</w:t>
      </w:r>
      <w:r w:rsidR="007A2B5F" w:rsidRPr="00A77AF6">
        <w:t>.</w:t>
      </w:r>
      <w:r w:rsidRPr="00A77AF6">
        <w:t xml:space="preserve"> </w:t>
      </w:r>
      <w:r w:rsidR="00727321" w:rsidRPr="00A77AF6">
        <w:t xml:space="preserve"> </w:t>
      </w:r>
      <w:r w:rsidR="00280925" w:rsidRPr="00A77AF6">
        <w:t>The</w:t>
      </w:r>
      <w:r w:rsidR="00147EDA" w:rsidRPr="00A77AF6">
        <w:t xml:space="preserve"> section on project governance </w:t>
      </w:r>
      <w:r w:rsidR="00906675" w:rsidRPr="00A77AF6">
        <w:t>defines key terms such as project, project management</w:t>
      </w:r>
      <w:r w:rsidR="00147EDA" w:rsidRPr="00A77AF6">
        <w:t xml:space="preserve"> project </w:t>
      </w:r>
      <w:r w:rsidR="00906675" w:rsidRPr="00A77AF6">
        <w:t>and p</w:t>
      </w:r>
      <w:r w:rsidR="00147EDA" w:rsidRPr="00A77AF6">
        <w:t>roject governance</w:t>
      </w:r>
      <w:r w:rsidR="00906675" w:rsidRPr="00A77AF6">
        <w:t xml:space="preserve">. The purpose of project governance </w:t>
      </w:r>
      <w:r w:rsidR="00537009" w:rsidRPr="00A77AF6">
        <w:t xml:space="preserve">is </w:t>
      </w:r>
      <w:r w:rsidR="00147EDA" w:rsidRPr="00A77AF6">
        <w:t>discussed with its structures, roles</w:t>
      </w:r>
      <w:r w:rsidR="00906675" w:rsidRPr="00A77AF6">
        <w:t xml:space="preserve">, </w:t>
      </w:r>
      <w:r w:rsidR="00147EDA" w:rsidRPr="00A77AF6">
        <w:t xml:space="preserve">processes and its relationship to agency theory.  The literature on </w:t>
      </w:r>
      <w:r w:rsidR="00906675" w:rsidRPr="00A77AF6">
        <w:t xml:space="preserve">the iron triangle and other KPIs </w:t>
      </w:r>
      <w:r w:rsidR="00147EDA" w:rsidRPr="00A77AF6">
        <w:t xml:space="preserve">project success is reviewed.   </w:t>
      </w:r>
    </w:p>
    <w:p w14:paraId="7472756C" w14:textId="7069D191" w:rsidR="004945C1" w:rsidRPr="00A77AF6" w:rsidRDefault="004945C1" w:rsidP="00E15720">
      <w:pPr>
        <w:pStyle w:val="Heading2"/>
        <w:spacing w:after="120"/>
      </w:pPr>
      <w:bookmarkStart w:id="56" w:name="_Toc36275061"/>
      <w:r w:rsidRPr="00A77AF6">
        <w:t xml:space="preserve">Organisational </w:t>
      </w:r>
      <w:r w:rsidR="000627F5" w:rsidRPr="00A77AF6">
        <w:t>t</w:t>
      </w:r>
      <w:r w:rsidRPr="00A77AF6">
        <w:t>heories</w:t>
      </w:r>
      <w:bookmarkEnd w:id="56"/>
    </w:p>
    <w:p w14:paraId="0094E599" w14:textId="0C06ABB4" w:rsidR="004945C1" w:rsidRPr="00A77AF6" w:rsidRDefault="004945C1" w:rsidP="009A1CE0">
      <w:pPr>
        <w:spacing w:after="360" w:line="360" w:lineRule="auto"/>
      </w:pPr>
      <w:r w:rsidRPr="00A77AF6">
        <w:t xml:space="preserve">This section discusses the </w:t>
      </w:r>
      <w:r w:rsidR="00E15720" w:rsidRPr="00A77AF6">
        <w:t xml:space="preserve">three </w:t>
      </w:r>
      <w:r w:rsidRPr="00A77AF6">
        <w:t>organisational theories that explain the relationship between the owners and stakeholders of organisations.  Each theor</w:t>
      </w:r>
      <w:r w:rsidR="00E15720" w:rsidRPr="00A77AF6">
        <w:t>y</w:t>
      </w:r>
      <w:r w:rsidRPr="00A77AF6">
        <w:t xml:space="preserve"> </w:t>
      </w:r>
      <w:r w:rsidR="00E15720" w:rsidRPr="00A77AF6">
        <w:t>considers</w:t>
      </w:r>
      <w:r w:rsidRPr="00A77AF6">
        <w:t xml:space="preserve"> stakeholders </w:t>
      </w:r>
      <w:r w:rsidR="00017BB9" w:rsidRPr="00A77AF6">
        <w:t>differently</w:t>
      </w:r>
      <w:r w:rsidRPr="00A77AF6">
        <w:t xml:space="preserve">.  These theories are discussed because they help to understand the underlying reasons for corporate governance arrangements.  Agency Theory </w:t>
      </w:r>
      <w:r w:rsidR="00BC3BFF" w:rsidRPr="00A77AF6">
        <w:t xml:space="preserve">is used in this study </w:t>
      </w:r>
      <w:r w:rsidRPr="00A77AF6">
        <w:t>to understand corporate and project governance</w:t>
      </w:r>
      <w:r w:rsidR="00163434" w:rsidRPr="00A77AF6">
        <w:t xml:space="preserve"> because it is a widely used theory</w:t>
      </w:r>
      <w:r w:rsidR="00183247" w:rsidRPr="00A77AF6">
        <w:t xml:space="preserve"> and it has been adopted into project management liter</w:t>
      </w:r>
      <w:r w:rsidR="009A1CE0" w:rsidRPr="00A77AF6">
        <w:t xml:space="preserve">ature.  However, </w:t>
      </w:r>
      <w:r w:rsidRPr="00A77AF6">
        <w:t xml:space="preserve">it is important to acknowledge the other two theories for completeness.  </w:t>
      </w:r>
    </w:p>
    <w:p w14:paraId="7C4FCD18" w14:textId="595E367F" w:rsidR="004945C1" w:rsidRPr="00A77AF6" w:rsidRDefault="004945C1" w:rsidP="00C51ED0">
      <w:pPr>
        <w:pStyle w:val="Heading3"/>
        <w:spacing w:after="120"/>
      </w:pPr>
      <w:bookmarkStart w:id="57" w:name="_Toc36275062"/>
      <w:r w:rsidRPr="00A77AF6">
        <w:t>Agency theory</w:t>
      </w:r>
      <w:bookmarkEnd w:id="57"/>
    </w:p>
    <w:p w14:paraId="60100DBD" w14:textId="0556EEAA" w:rsidR="004945C1" w:rsidRPr="00A77AF6" w:rsidRDefault="00281746" w:rsidP="0067626C">
      <w:pPr>
        <w:spacing w:line="360" w:lineRule="auto"/>
        <w:rPr>
          <w:rFonts w:cstheme="minorHAnsi"/>
        </w:rPr>
      </w:pPr>
      <w:r w:rsidRPr="00A77AF6">
        <w:rPr>
          <w:rFonts w:cstheme="minorHAnsi"/>
        </w:rPr>
        <w:t>Agency Theory is a widely used and well-established management theory which</w:t>
      </w:r>
      <w:r w:rsidR="00DE201C" w:rsidRPr="00A77AF6">
        <w:rPr>
          <w:rFonts w:cstheme="minorHAnsi"/>
        </w:rPr>
        <w:t xml:space="preserve"> </w:t>
      </w:r>
      <w:r w:rsidR="004945C1" w:rsidRPr="00A77AF6">
        <w:rPr>
          <w:rFonts w:cstheme="minorHAnsi"/>
        </w:rPr>
        <w:t>explains why governance structure</w:t>
      </w:r>
      <w:r w:rsidRPr="00A77AF6">
        <w:rPr>
          <w:rFonts w:cstheme="minorHAnsi"/>
        </w:rPr>
        <w:t>s</w:t>
      </w:r>
      <w:r w:rsidR="004945C1" w:rsidRPr="00A77AF6">
        <w:rPr>
          <w:rFonts w:cstheme="minorHAnsi"/>
        </w:rPr>
        <w:t xml:space="preserve"> and controls are necessary.  It has been applied to project management by Müller (2009) and this application is discussed later. </w:t>
      </w:r>
    </w:p>
    <w:p w14:paraId="62EBE293" w14:textId="52099573" w:rsidR="004945C1" w:rsidRPr="00A77AF6" w:rsidRDefault="004945C1" w:rsidP="00E927E1">
      <w:pPr>
        <w:spacing w:after="120" w:line="360" w:lineRule="auto"/>
        <w:rPr>
          <w:rFonts w:cstheme="minorHAnsi"/>
        </w:rPr>
      </w:pPr>
      <w:r w:rsidRPr="00A77AF6">
        <w:rPr>
          <w:rFonts w:cstheme="minorHAnsi"/>
        </w:rPr>
        <w:t xml:space="preserve">Agency theory </w:t>
      </w:r>
      <w:r w:rsidR="00281746" w:rsidRPr="00A77AF6">
        <w:rPr>
          <w:rFonts w:cstheme="minorHAnsi"/>
        </w:rPr>
        <w:t>describes</w:t>
      </w:r>
      <w:r w:rsidRPr="00A77AF6">
        <w:rPr>
          <w:rFonts w:cstheme="minorHAnsi"/>
        </w:rPr>
        <w:t xml:space="preserve"> the relationship between corporate owners and their stewards. Jensen and Meckling</w:t>
      </w:r>
      <w:r w:rsidR="001563F7" w:rsidRPr="00A77AF6">
        <w:rPr>
          <w:rFonts w:cstheme="minorHAnsi"/>
        </w:rPr>
        <w:t xml:space="preserve"> (</w:t>
      </w:r>
      <w:r w:rsidRPr="00A77AF6">
        <w:rPr>
          <w:rFonts w:cstheme="minorHAnsi"/>
        </w:rPr>
        <w:t>1976 p</w:t>
      </w:r>
      <w:r w:rsidR="001636B9">
        <w:rPr>
          <w:rFonts w:cstheme="minorHAnsi"/>
        </w:rPr>
        <w:t xml:space="preserve">. </w:t>
      </w:r>
      <w:r w:rsidRPr="00A77AF6">
        <w:rPr>
          <w:rFonts w:cstheme="minorHAnsi"/>
        </w:rPr>
        <w:t xml:space="preserve">5) defined it as </w:t>
      </w:r>
    </w:p>
    <w:p w14:paraId="0E601638" w14:textId="064A2149" w:rsidR="004945C1" w:rsidRPr="00A77AF6" w:rsidRDefault="004945C1" w:rsidP="0019653F">
      <w:pPr>
        <w:spacing w:after="240" w:line="240" w:lineRule="auto"/>
        <w:ind w:left="720"/>
        <w:rPr>
          <w:rFonts w:cstheme="minorHAnsi"/>
          <w:i/>
        </w:rPr>
      </w:pPr>
      <w:r w:rsidRPr="00A77AF6">
        <w:rPr>
          <w:rFonts w:cstheme="minorHAnsi"/>
          <w:i/>
        </w:rPr>
        <w:t>‘a contract under which one or more persons (the principal(s)) engage another person (the agent) to perform some service on their behalf which involves delegating some decision-</w:t>
      </w:r>
      <w:r w:rsidRPr="00A77AF6">
        <w:rPr>
          <w:rFonts w:cstheme="minorHAnsi"/>
          <w:i/>
        </w:rPr>
        <w:lastRenderedPageBreak/>
        <w:t>making authority to the agent.  If both parties to the relationship are utility maximizers, there is good reason to believe that the agent will not always act in the best interests of the principal’.</w:t>
      </w:r>
    </w:p>
    <w:p w14:paraId="028B7472" w14:textId="3652AFCE" w:rsidR="001563F7" w:rsidRPr="00A77AF6" w:rsidRDefault="004945C1" w:rsidP="00906675">
      <w:pPr>
        <w:spacing w:after="0" w:line="360" w:lineRule="auto"/>
        <w:rPr>
          <w:rFonts w:cstheme="minorHAnsi"/>
        </w:rPr>
      </w:pPr>
      <w:r w:rsidRPr="00A77AF6">
        <w:rPr>
          <w:rFonts w:cstheme="minorHAnsi"/>
        </w:rPr>
        <w:t xml:space="preserve">The assumption </w:t>
      </w:r>
      <w:r w:rsidR="001563F7" w:rsidRPr="00A77AF6">
        <w:rPr>
          <w:rFonts w:cstheme="minorHAnsi"/>
        </w:rPr>
        <w:t xml:space="preserve">that </w:t>
      </w:r>
      <w:r w:rsidRPr="00A77AF6">
        <w:rPr>
          <w:rFonts w:cstheme="minorHAnsi"/>
        </w:rPr>
        <w:t xml:space="preserve">the principal and the agent are rational beings and will act in their own self-interest, that is, they will be ‘utility maximisers’ </w:t>
      </w:r>
      <w:r w:rsidR="00906675" w:rsidRPr="00A77AF6">
        <w:rPr>
          <w:rFonts w:cstheme="minorHAnsi"/>
        </w:rPr>
        <w:t xml:space="preserve">is fundamental to agency theory </w:t>
      </w:r>
      <w:sdt>
        <w:sdtPr>
          <w:rPr>
            <w:rFonts w:cstheme="minorHAnsi"/>
          </w:rPr>
          <w:id w:val="2050262136"/>
          <w:citation/>
        </w:sdtPr>
        <w:sdtEndPr/>
        <w:sdtContent>
          <w:r w:rsidRPr="00A77AF6">
            <w:rPr>
              <w:rFonts w:cstheme="minorHAnsi"/>
            </w:rPr>
            <w:fldChar w:fldCharType="begin"/>
          </w:r>
          <w:r w:rsidR="003E10F5" w:rsidRPr="00A77AF6">
            <w:rPr>
              <w:rFonts w:cstheme="minorHAnsi"/>
            </w:rPr>
            <w:instrText xml:space="preserve">CITATION Dav97 \l 2057 </w:instrText>
          </w:r>
          <w:r w:rsidRPr="00A77AF6">
            <w:rPr>
              <w:rFonts w:cstheme="minorHAnsi"/>
            </w:rPr>
            <w:fldChar w:fldCharType="separate"/>
          </w:r>
          <w:r w:rsidR="003E10F5" w:rsidRPr="00A77AF6">
            <w:rPr>
              <w:rFonts w:cstheme="minorHAnsi"/>
            </w:rPr>
            <w:t>(Davis, et al., 1997)</w:t>
          </w:r>
          <w:r w:rsidRPr="00A77AF6">
            <w:rPr>
              <w:rFonts w:cstheme="minorHAnsi"/>
            </w:rPr>
            <w:fldChar w:fldCharType="end"/>
          </w:r>
        </w:sdtContent>
      </w:sdt>
      <w:r w:rsidR="00395577" w:rsidRPr="00A77AF6">
        <w:rPr>
          <w:rFonts w:cstheme="minorHAnsi"/>
        </w:rPr>
        <w:t xml:space="preserve">.  </w:t>
      </w:r>
      <w:r w:rsidR="00906675" w:rsidRPr="00A77AF6">
        <w:rPr>
          <w:rFonts w:cstheme="minorHAnsi"/>
        </w:rPr>
        <w:t>The</w:t>
      </w:r>
      <w:r w:rsidRPr="00A77AF6">
        <w:rPr>
          <w:rFonts w:cstheme="minorHAnsi"/>
        </w:rPr>
        <w:t xml:space="preserve"> agent </w:t>
      </w:r>
      <w:r w:rsidR="00906675" w:rsidRPr="00A77AF6">
        <w:rPr>
          <w:rFonts w:cstheme="minorHAnsi"/>
        </w:rPr>
        <w:t xml:space="preserve">can </w:t>
      </w:r>
      <w:r w:rsidRPr="00A77AF6">
        <w:rPr>
          <w:rFonts w:cstheme="minorHAnsi"/>
        </w:rPr>
        <w:t>act in their own best interest which may not be the best interest of the principal</w:t>
      </w:r>
      <w:r w:rsidR="00906675" w:rsidRPr="00A77AF6">
        <w:rPr>
          <w:rFonts w:cstheme="minorHAnsi"/>
        </w:rPr>
        <w:t xml:space="preserve"> </w:t>
      </w:r>
      <w:r w:rsidR="00A26FD3" w:rsidRPr="00A77AF6">
        <w:rPr>
          <w:rFonts w:cstheme="minorHAnsi"/>
        </w:rPr>
        <w:t>because the</w:t>
      </w:r>
      <w:r w:rsidR="00906675" w:rsidRPr="00A77AF6">
        <w:rPr>
          <w:rFonts w:cstheme="minorHAnsi"/>
        </w:rPr>
        <w:t>y have</w:t>
      </w:r>
      <w:r w:rsidR="001F2A18" w:rsidRPr="00A77AF6">
        <w:rPr>
          <w:rFonts w:cstheme="minorHAnsi"/>
        </w:rPr>
        <w:t xml:space="preserve"> more knowledge than the princip</w:t>
      </w:r>
      <w:r w:rsidR="00906675" w:rsidRPr="00A77AF6">
        <w:rPr>
          <w:rFonts w:cstheme="minorHAnsi"/>
        </w:rPr>
        <w:t xml:space="preserve">al </w:t>
      </w:r>
      <w:r w:rsidR="001F2A18" w:rsidRPr="00A77AF6">
        <w:rPr>
          <w:rFonts w:cstheme="minorHAnsi"/>
        </w:rPr>
        <w:t xml:space="preserve">(asymmetry of information) </w:t>
      </w:r>
      <w:r w:rsidR="00906675" w:rsidRPr="00A77AF6">
        <w:rPr>
          <w:rFonts w:cstheme="minorHAnsi"/>
        </w:rPr>
        <w:t>who</w:t>
      </w:r>
      <w:r w:rsidR="00691EDF" w:rsidRPr="00A77AF6">
        <w:rPr>
          <w:rFonts w:cstheme="minorHAnsi"/>
        </w:rPr>
        <w:t xml:space="preserve"> may </w:t>
      </w:r>
      <w:r w:rsidR="00906675" w:rsidRPr="00A77AF6">
        <w:rPr>
          <w:rFonts w:cstheme="minorHAnsi"/>
        </w:rPr>
        <w:t>lack</w:t>
      </w:r>
      <w:r w:rsidR="00691EDF" w:rsidRPr="00A77AF6">
        <w:rPr>
          <w:rFonts w:cstheme="minorHAnsi"/>
        </w:rPr>
        <w:t xml:space="preserve"> the knowledge or </w:t>
      </w:r>
      <w:r w:rsidR="00323869" w:rsidRPr="00A77AF6">
        <w:rPr>
          <w:rFonts w:cstheme="minorHAnsi"/>
        </w:rPr>
        <w:t xml:space="preserve">skills to control the agent.  </w:t>
      </w:r>
      <w:r w:rsidR="001563F7" w:rsidRPr="00A77AF6">
        <w:rPr>
          <w:rFonts w:cstheme="minorHAnsi"/>
        </w:rPr>
        <w:t xml:space="preserve">This </w:t>
      </w:r>
      <w:r w:rsidR="00C77DC2" w:rsidRPr="00A77AF6">
        <w:rPr>
          <w:rFonts w:cstheme="minorHAnsi"/>
        </w:rPr>
        <w:t>problem is well-known,</w:t>
      </w:r>
    </w:p>
    <w:p w14:paraId="013442B8" w14:textId="0908D8F7" w:rsidR="00AB65D0" w:rsidRPr="00A77AF6" w:rsidRDefault="00AB65D0" w:rsidP="00BC3A88">
      <w:pPr>
        <w:spacing w:line="240" w:lineRule="auto"/>
        <w:ind w:left="720"/>
        <w:rPr>
          <w:rFonts w:cstheme="minorHAnsi"/>
        </w:rPr>
      </w:pPr>
      <w:r w:rsidRPr="00A77AF6">
        <w:rPr>
          <w:i/>
        </w:rPr>
        <w:t>‘The relationship of agency is one of the oldest and commonest codified modes of social interaction.’</w:t>
      </w:r>
      <w:r w:rsidRPr="00A77AF6">
        <w:t xml:space="preserve"> </w:t>
      </w:r>
      <w:sdt>
        <w:sdtPr>
          <w:id w:val="808060256"/>
          <w:citation/>
        </w:sdtPr>
        <w:sdtEndPr/>
        <w:sdtContent>
          <w:r w:rsidR="00BC3A88" w:rsidRPr="00A77AF6">
            <w:fldChar w:fldCharType="begin"/>
          </w:r>
          <w:r w:rsidR="00BC3A88" w:rsidRPr="00A77AF6">
            <w:instrText xml:space="preserve">CITATION Ros73 \p 134 \l 2057 </w:instrText>
          </w:r>
          <w:r w:rsidR="00BC3A88" w:rsidRPr="00A77AF6">
            <w:fldChar w:fldCharType="separate"/>
          </w:r>
          <w:r w:rsidR="008E653F" w:rsidRPr="00A77AF6">
            <w:t>(Ross, 1973, p. 134)</w:t>
          </w:r>
          <w:r w:rsidR="00BC3A88" w:rsidRPr="00A77AF6">
            <w:fldChar w:fldCharType="end"/>
          </w:r>
        </w:sdtContent>
      </w:sdt>
    </w:p>
    <w:p w14:paraId="23B53B28" w14:textId="350F71DD" w:rsidR="004945C1" w:rsidRPr="00A77AF6" w:rsidRDefault="004945C1" w:rsidP="005D3DE6">
      <w:pPr>
        <w:spacing w:after="0" w:line="360" w:lineRule="auto"/>
        <w:rPr>
          <w:rFonts w:cstheme="minorHAnsi"/>
        </w:rPr>
      </w:pPr>
      <w:r w:rsidRPr="00A77AF6">
        <w:rPr>
          <w:rFonts w:cstheme="minorHAnsi"/>
        </w:rPr>
        <w:t xml:space="preserve">The principal needs to ensure that the agent behaves in the interests of the principal or the owner(s) by setting up control mechanisms to oversee, manage and control the actions of the agent.   The costs associated with controlling the agent are called ‘agency costs’ and according to </w:t>
      </w:r>
      <w:r w:rsidR="00BF4987" w:rsidRPr="00A77AF6">
        <w:rPr>
          <w:rFonts w:cstheme="minorHAnsi"/>
        </w:rPr>
        <w:t>a</w:t>
      </w:r>
      <w:r w:rsidRPr="00A77AF6">
        <w:rPr>
          <w:rFonts w:cstheme="minorHAnsi"/>
        </w:rPr>
        <w:t>gency theory, principals or owners will be concerned with minimising the agency costs associated with restraining the self-interest</w:t>
      </w:r>
      <w:r w:rsidR="00465C82" w:rsidRPr="00A77AF6">
        <w:rPr>
          <w:rFonts w:cstheme="minorHAnsi"/>
        </w:rPr>
        <w:t>ed</w:t>
      </w:r>
      <w:r w:rsidRPr="00A77AF6">
        <w:rPr>
          <w:rFonts w:cstheme="minorHAnsi"/>
        </w:rPr>
        <w:t xml:space="preserve"> agent.</w:t>
      </w:r>
      <w:r w:rsidRPr="00A77AF6">
        <w:rPr>
          <w:rFonts w:ascii="Times New Roman" w:hAnsi="Times New Roman" w:cs="Times New Roman"/>
          <w:sz w:val="24"/>
        </w:rPr>
        <w:t xml:space="preserve">  </w:t>
      </w:r>
      <w:r w:rsidRPr="00A77AF6">
        <w:rPr>
          <w:rFonts w:cstheme="minorHAnsi"/>
        </w:rPr>
        <w:t>These costs cannot be reduced to zero nor is it possible to ensure that the monitoring arrangements or controls put in place by the principal be completely effective</w:t>
      </w:r>
      <w:r w:rsidR="00B719CF" w:rsidRPr="00A77AF6">
        <w:rPr>
          <w:rFonts w:cstheme="minorHAnsi"/>
        </w:rPr>
        <w:t xml:space="preserve"> </w:t>
      </w:r>
      <w:sdt>
        <w:sdtPr>
          <w:rPr>
            <w:rFonts w:cstheme="minorHAnsi"/>
          </w:rPr>
          <w:id w:val="-106809518"/>
          <w:citation/>
        </w:sdtPr>
        <w:sdtEndPr/>
        <w:sdtContent>
          <w:r w:rsidRPr="00A77AF6">
            <w:rPr>
              <w:rFonts w:cstheme="minorHAnsi"/>
            </w:rPr>
            <w:fldChar w:fldCharType="begin"/>
          </w:r>
          <w:r w:rsidRPr="00A77AF6">
            <w:rPr>
              <w:rFonts w:cstheme="minorHAnsi"/>
            </w:rPr>
            <w:instrText xml:space="preserve"> CITATION Jen76 \l 2057 </w:instrText>
          </w:r>
          <w:r w:rsidRPr="00A77AF6">
            <w:rPr>
              <w:rFonts w:cstheme="minorHAnsi"/>
            </w:rPr>
            <w:fldChar w:fldCharType="separate"/>
          </w:r>
          <w:r w:rsidR="008E653F" w:rsidRPr="00A77AF6">
            <w:rPr>
              <w:rFonts w:cstheme="minorHAnsi"/>
            </w:rPr>
            <w:t>(Jensen &amp; Meckling, 1976)</w:t>
          </w:r>
          <w:r w:rsidRPr="00A77AF6">
            <w:rPr>
              <w:rFonts w:cstheme="minorHAnsi"/>
            </w:rPr>
            <w:fldChar w:fldCharType="end"/>
          </w:r>
        </w:sdtContent>
      </w:sdt>
      <w:r w:rsidR="001563F7" w:rsidRPr="00A77AF6">
        <w:rPr>
          <w:rFonts w:cstheme="minorHAnsi"/>
        </w:rPr>
        <w:t xml:space="preserve">. </w:t>
      </w:r>
      <w:r w:rsidRPr="00A77AF6">
        <w:rPr>
          <w:rFonts w:cstheme="minorHAnsi"/>
        </w:rPr>
        <w:t xml:space="preserve">Agency theory identifies five main elements of the principal/ agent relationship, </w:t>
      </w:r>
    </w:p>
    <w:p w14:paraId="7AAB2BB8" w14:textId="527FB980" w:rsidR="004945C1" w:rsidRPr="00A77AF6" w:rsidRDefault="004945C1" w:rsidP="0019653F">
      <w:pPr>
        <w:spacing w:after="240" w:line="240" w:lineRule="auto"/>
        <w:ind w:left="720"/>
        <w:rPr>
          <w:rFonts w:cstheme="minorHAnsi"/>
        </w:rPr>
      </w:pPr>
      <w:r w:rsidRPr="00A77AF6">
        <w:rPr>
          <w:rFonts w:cstheme="minorHAnsi"/>
          <w:i/>
        </w:rPr>
        <w:t>‘1) there are different types of issues regarding agents (for example, laziness, reliability, trustworthiness); 2) the agent’s actions influence the principal’s desired outcomes; 3) random factors in addition to the agent’s actions influence the outcomes; 4) there is some sort of outcome; and 5) there is asymmetrical information</w:t>
      </w:r>
      <w:r w:rsidR="00B719CF" w:rsidRPr="00A77AF6">
        <w:rPr>
          <w:rFonts w:cstheme="minorHAnsi"/>
          <w:i/>
        </w:rPr>
        <w:t xml:space="preserve"> </w:t>
      </w:r>
      <w:r w:rsidRPr="00A77AF6">
        <w:rPr>
          <w:rFonts w:cstheme="minorHAnsi"/>
        </w:rPr>
        <w:t>(Petersen, 1993, cited in Miles, 2012 pp</w:t>
      </w:r>
      <w:r w:rsidR="00461471" w:rsidRPr="00A77AF6">
        <w:rPr>
          <w:rFonts w:cstheme="minorHAnsi"/>
        </w:rPr>
        <w:t xml:space="preserve">. </w:t>
      </w:r>
      <w:r w:rsidRPr="00A77AF6">
        <w:rPr>
          <w:rFonts w:cstheme="minorHAnsi"/>
        </w:rPr>
        <w:t xml:space="preserve">33-34) </w:t>
      </w:r>
    </w:p>
    <w:p w14:paraId="416317E2" w14:textId="0243559A" w:rsidR="004945C1" w:rsidRPr="00A77AF6" w:rsidRDefault="00997B74" w:rsidP="003021D2">
      <w:pPr>
        <w:spacing w:before="120" w:line="360" w:lineRule="auto"/>
        <w:rPr>
          <w:rFonts w:cstheme="minorHAnsi"/>
        </w:rPr>
      </w:pPr>
      <w:r w:rsidRPr="00A77AF6">
        <w:rPr>
          <w:rFonts w:cstheme="minorHAnsi"/>
        </w:rPr>
        <w:t>A</w:t>
      </w:r>
      <w:r w:rsidR="004945C1" w:rsidRPr="00A77AF6">
        <w:rPr>
          <w:rFonts w:cstheme="minorHAnsi"/>
        </w:rPr>
        <w:t xml:space="preserve"> major difficulty for the principal i</w:t>
      </w:r>
      <w:r w:rsidRPr="00A77AF6">
        <w:rPr>
          <w:rFonts w:cstheme="minorHAnsi"/>
        </w:rPr>
        <w:t>n managing the agent i</w:t>
      </w:r>
      <w:r w:rsidR="004945C1" w:rsidRPr="00A77AF6">
        <w:rPr>
          <w:rFonts w:cstheme="minorHAnsi"/>
        </w:rPr>
        <w:t>s the asymmetry of information inherent in the principal/ agency relationship</w:t>
      </w:r>
      <w:r w:rsidR="00985F2B" w:rsidRPr="00A77AF6">
        <w:rPr>
          <w:rFonts w:cstheme="minorHAnsi"/>
        </w:rPr>
        <w:t xml:space="preserve"> because</w:t>
      </w:r>
      <w:r w:rsidRPr="00A77AF6">
        <w:rPr>
          <w:rFonts w:cstheme="minorHAnsi"/>
        </w:rPr>
        <w:t xml:space="preserve"> the </w:t>
      </w:r>
      <w:r w:rsidR="004945C1" w:rsidRPr="00A77AF6">
        <w:rPr>
          <w:rFonts w:cstheme="minorHAnsi"/>
        </w:rPr>
        <w:t xml:space="preserve">principal </w:t>
      </w:r>
      <w:r w:rsidR="00985F2B" w:rsidRPr="00A77AF6">
        <w:rPr>
          <w:rFonts w:cstheme="minorHAnsi"/>
        </w:rPr>
        <w:t>will</w:t>
      </w:r>
      <w:r w:rsidRPr="00A77AF6">
        <w:rPr>
          <w:rFonts w:cstheme="minorHAnsi"/>
        </w:rPr>
        <w:t xml:space="preserve"> not h</w:t>
      </w:r>
      <w:r w:rsidR="004945C1" w:rsidRPr="00A77AF6">
        <w:rPr>
          <w:rFonts w:cstheme="minorHAnsi"/>
        </w:rPr>
        <w:t xml:space="preserve">ave </w:t>
      </w:r>
      <w:r w:rsidRPr="00A77AF6">
        <w:rPr>
          <w:rFonts w:cstheme="minorHAnsi"/>
        </w:rPr>
        <w:t xml:space="preserve">all </w:t>
      </w:r>
      <w:r w:rsidR="004945C1" w:rsidRPr="00A77AF6">
        <w:rPr>
          <w:rFonts w:cstheme="minorHAnsi"/>
        </w:rPr>
        <w:t xml:space="preserve">the information </w:t>
      </w:r>
      <w:r w:rsidR="00B813BD" w:rsidRPr="00A77AF6">
        <w:rPr>
          <w:rFonts w:cstheme="minorHAnsi"/>
        </w:rPr>
        <w:t xml:space="preserve">necessary </w:t>
      </w:r>
      <w:r w:rsidR="004945C1" w:rsidRPr="00A77AF6">
        <w:rPr>
          <w:rFonts w:cstheme="minorHAnsi"/>
        </w:rPr>
        <w:t xml:space="preserve">to </w:t>
      </w:r>
      <w:r w:rsidR="00870F3A" w:rsidRPr="00A77AF6">
        <w:rPr>
          <w:rFonts w:cstheme="minorHAnsi"/>
        </w:rPr>
        <w:t>manage</w:t>
      </w:r>
      <w:r w:rsidR="004945C1" w:rsidRPr="00A77AF6">
        <w:rPr>
          <w:rFonts w:cstheme="minorHAnsi"/>
        </w:rPr>
        <w:t xml:space="preserve"> the agent. This is because the agent is managing the </w:t>
      </w:r>
      <w:r w:rsidRPr="00A77AF6">
        <w:rPr>
          <w:rFonts w:cstheme="minorHAnsi"/>
        </w:rPr>
        <w:t xml:space="preserve">day-today running of the </w:t>
      </w:r>
      <w:r w:rsidR="004945C1" w:rsidRPr="00A77AF6">
        <w:rPr>
          <w:rFonts w:cstheme="minorHAnsi"/>
        </w:rPr>
        <w:t xml:space="preserve">business and </w:t>
      </w:r>
      <w:r w:rsidR="003021D2" w:rsidRPr="00A77AF6">
        <w:rPr>
          <w:rFonts w:cstheme="minorHAnsi"/>
        </w:rPr>
        <w:t xml:space="preserve">can control the information flow to the principal.  </w:t>
      </w:r>
      <w:r w:rsidRPr="00A77AF6">
        <w:rPr>
          <w:rFonts w:cstheme="minorHAnsi"/>
        </w:rPr>
        <w:t>T</w:t>
      </w:r>
      <w:r w:rsidR="004945C1" w:rsidRPr="00A77AF6">
        <w:rPr>
          <w:rFonts w:cstheme="minorHAnsi"/>
        </w:rPr>
        <w:t>wo models of asymmetry rise from the asymmetry of information summarised as the ‘hidden action’ and ‘hidden information’ models (</w:t>
      </w:r>
      <w:r w:rsidRPr="00A77AF6">
        <w:rPr>
          <w:rFonts w:cstheme="minorHAnsi"/>
        </w:rPr>
        <w:t>Arrow</w:t>
      </w:r>
      <w:r w:rsidR="005D113F" w:rsidRPr="00A77AF6">
        <w:rPr>
          <w:rFonts w:cstheme="minorHAnsi"/>
        </w:rPr>
        <w:t xml:space="preserve"> </w:t>
      </w:r>
      <w:r w:rsidRPr="00A77AF6">
        <w:rPr>
          <w:rFonts w:cstheme="minorHAnsi"/>
        </w:rPr>
        <w:t>1985)</w:t>
      </w:r>
      <w:r w:rsidR="004945C1" w:rsidRPr="00A77AF6">
        <w:rPr>
          <w:rFonts w:cstheme="minorHAnsi"/>
        </w:rPr>
        <w:t xml:space="preserve">.  </w:t>
      </w:r>
      <w:r w:rsidR="008B47B4" w:rsidRPr="00A77AF6">
        <w:rPr>
          <w:rFonts w:cstheme="minorHAnsi"/>
        </w:rPr>
        <w:t xml:space="preserve">Hidden action means that the principal does not see what the agent does </w:t>
      </w:r>
      <w:r w:rsidR="00433FF1">
        <w:rPr>
          <w:rFonts w:cstheme="minorHAnsi"/>
        </w:rPr>
        <w:t xml:space="preserve">but </w:t>
      </w:r>
      <w:r w:rsidR="008B47B4" w:rsidRPr="00A77AF6">
        <w:rPr>
          <w:rFonts w:cstheme="minorHAnsi"/>
        </w:rPr>
        <w:t>sees only the outcomes of the agent’s actions.  Hidden information means that the principal sees the agent’s actions but does not know the essential information that is needed for the performance of those action</w:t>
      </w:r>
      <w:r w:rsidR="00433FF1">
        <w:rPr>
          <w:rFonts w:cstheme="minorHAnsi"/>
        </w:rPr>
        <w:t>s</w:t>
      </w:r>
      <w:r w:rsidR="00BF4987" w:rsidRPr="00A77AF6">
        <w:rPr>
          <w:rFonts w:cstheme="minorHAnsi"/>
        </w:rPr>
        <w:t xml:space="preserve"> (Miles, 2012)</w:t>
      </w:r>
      <w:r w:rsidR="008B47B4" w:rsidRPr="00A77AF6">
        <w:rPr>
          <w:rFonts w:cstheme="minorHAnsi"/>
        </w:rPr>
        <w:t xml:space="preserve">.  </w:t>
      </w:r>
    </w:p>
    <w:p w14:paraId="13B0C6FE" w14:textId="78E3DCB3" w:rsidR="004945C1" w:rsidRPr="00A77AF6" w:rsidRDefault="00AB65D0" w:rsidP="00F34008">
      <w:pPr>
        <w:spacing w:line="360" w:lineRule="auto"/>
        <w:rPr>
          <w:rFonts w:cstheme="minorHAnsi"/>
        </w:rPr>
      </w:pPr>
      <w:r w:rsidRPr="00A77AF6">
        <w:rPr>
          <w:rFonts w:cstheme="minorHAnsi"/>
        </w:rPr>
        <w:t xml:space="preserve">The self-interested behaviour of the agent in opposition to the interests of the </w:t>
      </w:r>
      <w:r w:rsidR="00397124" w:rsidRPr="00A77AF6">
        <w:rPr>
          <w:rFonts w:cstheme="minorHAnsi"/>
        </w:rPr>
        <w:t xml:space="preserve">principal is entrenched in economic utilitarianism </w:t>
      </w:r>
      <w:sdt>
        <w:sdtPr>
          <w:rPr>
            <w:rFonts w:cstheme="minorHAnsi"/>
          </w:rPr>
          <w:id w:val="-829833115"/>
          <w:citation/>
        </w:sdtPr>
        <w:sdtEndPr/>
        <w:sdtContent>
          <w:r w:rsidR="00397124" w:rsidRPr="00A77AF6">
            <w:rPr>
              <w:rFonts w:cstheme="minorHAnsi"/>
            </w:rPr>
            <w:fldChar w:fldCharType="begin"/>
          </w:r>
          <w:r w:rsidR="00397124" w:rsidRPr="00A77AF6">
            <w:rPr>
              <w:rFonts w:cstheme="minorHAnsi"/>
            </w:rPr>
            <w:instrText xml:space="preserve"> CITATION Ros73 \l 2057 </w:instrText>
          </w:r>
          <w:r w:rsidR="00397124" w:rsidRPr="00A77AF6">
            <w:rPr>
              <w:rFonts w:cstheme="minorHAnsi"/>
            </w:rPr>
            <w:fldChar w:fldCharType="separate"/>
          </w:r>
          <w:r w:rsidR="008E653F" w:rsidRPr="00A77AF6">
            <w:rPr>
              <w:rFonts w:cstheme="minorHAnsi"/>
            </w:rPr>
            <w:t>(Ross, 1973)</w:t>
          </w:r>
          <w:r w:rsidR="00397124" w:rsidRPr="00A77AF6">
            <w:rPr>
              <w:rFonts w:cstheme="minorHAnsi"/>
            </w:rPr>
            <w:fldChar w:fldCharType="end"/>
          </w:r>
        </w:sdtContent>
      </w:sdt>
      <w:r w:rsidR="00397124" w:rsidRPr="00A77AF6">
        <w:rPr>
          <w:rFonts w:cstheme="minorHAnsi"/>
        </w:rPr>
        <w:t>.</w:t>
      </w:r>
      <w:r w:rsidR="005B1AD7">
        <w:rPr>
          <w:rFonts w:cstheme="minorHAnsi"/>
        </w:rPr>
        <w:t xml:space="preserve"> Here, </w:t>
      </w:r>
      <w:r w:rsidR="00397124" w:rsidRPr="00A77AF6">
        <w:rPr>
          <w:rFonts w:cstheme="minorHAnsi"/>
        </w:rPr>
        <w:t xml:space="preserve"> </w:t>
      </w:r>
      <w:r w:rsidR="005B1AD7">
        <w:rPr>
          <w:rFonts w:cstheme="minorHAnsi"/>
        </w:rPr>
        <w:t>Ross ( 1973)</w:t>
      </w:r>
      <w:r w:rsidR="00397124" w:rsidRPr="00A77AF6">
        <w:rPr>
          <w:rFonts w:cstheme="minorHAnsi"/>
        </w:rPr>
        <w:t xml:space="preserve">This </w:t>
      </w:r>
      <w:r w:rsidR="00E0263A">
        <w:rPr>
          <w:rFonts w:cstheme="minorHAnsi"/>
        </w:rPr>
        <w:t xml:space="preserve">explains why </w:t>
      </w:r>
      <w:r w:rsidR="005F7CDD" w:rsidRPr="00A77AF6">
        <w:rPr>
          <w:rFonts w:cstheme="minorHAnsi"/>
        </w:rPr>
        <w:t>utilitarianism</w:t>
      </w:r>
      <w:r w:rsidR="00397124" w:rsidRPr="00A77AF6">
        <w:rPr>
          <w:rFonts w:cstheme="minorHAnsi"/>
        </w:rPr>
        <w:t xml:space="preserve"> </w:t>
      </w:r>
      <w:r w:rsidR="005B1AD7">
        <w:rPr>
          <w:rFonts w:cstheme="minorHAnsi"/>
        </w:rPr>
        <w:t>is</w:t>
      </w:r>
      <w:r w:rsidR="00E0263A">
        <w:rPr>
          <w:rFonts w:cstheme="minorHAnsi"/>
        </w:rPr>
        <w:t xml:space="preserve"> </w:t>
      </w:r>
      <w:r w:rsidR="00397124" w:rsidRPr="00A77AF6">
        <w:rPr>
          <w:rFonts w:cstheme="minorHAnsi"/>
        </w:rPr>
        <w:t xml:space="preserve">less ethical than formalism.  </w:t>
      </w:r>
      <w:r w:rsidR="004945C1" w:rsidRPr="00A77AF6">
        <w:rPr>
          <w:rFonts w:cstheme="minorHAnsi"/>
        </w:rPr>
        <w:t xml:space="preserve">According to </w:t>
      </w:r>
      <w:r w:rsidR="00181D5E" w:rsidRPr="00A77AF6">
        <w:rPr>
          <w:rFonts w:cstheme="minorHAnsi"/>
        </w:rPr>
        <w:t>a</w:t>
      </w:r>
      <w:r w:rsidR="004945C1" w:rsidRPr="00A77AF6">
        <w:rPr>
          <w:rFonts w:cstheme="minorHAnsi"/>
        </w:rPr>
        <w:t>gency theory, all corporations are faced with managing the agency problem.  Dalton et al</w:t>
      </w:r>
      <w:r w:rsidR="00B719CF" w:rsidRPr="00A77AF6">
        <w:rPr>
          <w:rFonts w:cstheme="minorHAnsi"/>
        </w:rPr>
        <w:t xml:space="preserve"> </w:t>
      </w:r>
      <w:r w:rsidR="004945C1" w:rsidRPr="00A77AF6">
        <w:rPr>
          <w:rFonts w:cstheme="minorHAnsi"/>
        </w:rPr>
        <w:t>(2007) argue</w:t>
      </w:r>
      <w:r w:rsidR="005A27C1" w:rsidRPr="00A77AF6">
        <w:rPr>
          <w:rFonts w:cstheme="minorHAnsi"/>
        </w:rPr>
        <w:t>d</w:t>
      </w:r>
      <w:r w:rsidR="004945C1" w:rsidRPr="00A77AF6">
        <w:rPr>
          <w:rFonts w:cstheme="minorHAnsi"/>
        </w:rPr>
        <w:t xml:space="preserve"> that there are three ways to </w:t>
      </w:r>
      <w:r w:rsidR="004945C1" w:rsidRPr="00A77AF6">
        <w:rPr>
          <w:rFonts w:cstheme="minorHAnsi"/>
        </w:rPr>
        <w:lastRenderedPageBreak/>
        <w:t xml:space="preserve">mitigate this risk.  Firstly, </w:t>
      </w:r>
      <w:r w:rsidR="00181D5E" w:rsidRPr="00A77AF6">
        <w:rPr>
          <w:rFonts w:cstheme="minorHAnsi"/>
        </w:rPr>
        <w:t xml:space="preserve">with </w:t>
      </w:r>
      <w:r w:rsidR="004945C1" w:rsidRPr="00A77AF6">
        <w:rPr>
          <w:rFonts w:cstheme="minorHAnsi"/>
        </w:rPr>
        <w:t>board independence</w:t>
      </w:r>
      <w:r w:rsidR="00181D5E" w:rsidRPr="00A77AF6">
        <w:rPr>
          <w:rFonts w:cstheme="minorHAnsi"/>
        </w:rPr>
        <w:t>, where t</w:t>
      </w:r>
      <w:r w:rsidR="004945C1" w:rsidRPr="00A77AF6">
        <w:rPr>
          <w:rFonts w:cstheme="minorHAnsi"/>
        </w:rPr>
        <w:t xml:space="preserve">he </w:t>
      </w:r>
      <w:r w:rsidR="00181D5E" w:rsidRPr="00A77AF6">
        <w:rPr>
          <w:rFonts w:cstheme="minorHAnsi"/>
        </w:rPr>
        <w:t>b</w:t>
      </w:r>
      <w:r w:rsidR="004945C1" w:rsidRPr="00A77AF6">
        <w:rPr>
          <w:rFonts w:cstheme="minorHAnsi"/>
        </w:rPr>
        <w:t>oard scrutinise</w:t>
      </w:r>
      <w:r w:rsidR="00181D5E" w:rsidRPr="00A77AF6">
        <w:rPr>
          <w:rFonts w:cstheme="minorHAnsi"/>
        </w:rPr>
        <w:t>s</w:t>
      </w:r>
      <w:r w:rsidR="004945C1" w:rsidRPr="00A77AF6">
        <w:rPr>
          <w:rFonts w:cstheme="minorHAnsi"/>
        </w:rPr>
        <w:t xml:space="preserve"> the behaviour of managers; </w:t>
      </w:r>
      <w:r w:rsidR="00971458" w:rsidRPr="00A77AF6">
        <w:rPr>
          <w:rFonts w:cstheme="minorHAnsi"/>
        </w:rPr>
        <w:t xml:space="preserve">secondly </w:t>
      </w:r>
      <w:r w:rsidR="004945C1" w:rsidRPr="00A77AF6">
        <w:rPr>
          <w:rFonts w:cstheme="minorHAnsi"/>
        </w:rPr>
        <w:t xml:space="preserve">a market which allows mergers and </w:t>
      </w:r>
      <w:r w:rsidR="0019653F" w:rsidRPr="00A77AF6">
        <w:rPr>
          <w:rFonts w:cstheme="minorHAnsi"/>
        </w:rPr>
        <w:t>acquisitions,</w:t>
      </w:r>
      <w:r w:rsidR="004945C1" w:rsidRPr="00A77AF6">
        <w:rPr>
          <w:rFonts w:cstheme="minorHAnsi"/>
        </w:rPr>
        <w:t xml:space="preserve"> which can control the potential behaviour of </w:t>
      </w:r>
      <w:r w:rsidR="0019653F" w:rsidRPr="00A77AF6">
        <w:rPr>
          <w:rFonts w:cstheme="minorHAnsi"/>
        </w:rPr>
        <w:t>badly-behaved</w:t>
      </w:r>
      <w:r w:rsidR="004945C1" w:rsidRPr="00A77AF6">
        <w:rPr>
          <w:rFonts w:cstheme="minorHAnsi"/>
        </w:rPr>
        <w:t xml:space="preserve"> managers and thirdly shared ownership with the agent which should help to align the interests of managers and shareholders. An example of a shared equity approach is the UKs John Lewis partnership where permanent staff are partners and joint owners of the business </w:t>
      </w:r>
      <w:sdt>
        <w:sdtPr>
          <w:rPr>
            <w:rFonts w:cstheme="minorHAnsi"/>
          </w:rPr>
          <w:id w:val="370196333"/>
          <w:citation/>
        </w:sdtPr>
        <w:sdtEndPr/>
        <w:sdtContent>
          <w:r w:rsidR="004945C1" w:rsidRPr="00A77AF6">
            <w:rPr>
              <w:rFonts w:cstheme="minorHAnsi"/>
            </w:rPr>
            <w:fldChar w:fldCharType="begin"/>
          </w:r>
          <w:r w:rsidR="004945C1" w:rsidRPr="00A77AF6">
            <w:rPr>
              <w:rFonts w:cstheme="minorHAnsi"/>
            </w:rPr>
            <w:instrText xml:space="preserve"> CITATION Joh18 \l 2057 </w:instrText>
          </w:r>
          <w:r w:rsidR="004945C1" w:rsidRPr="00A77AF6">
            <w:rPr>
              <w:rFonts w:cstheme="minorHAnsi"/>
            </w:rPr>
            <w:fldChar w:fldCharType="separate"/>
          </w:r>
          <w:r w:rsidR="008E653F" w:rsidRPr="00A77AF6">
            <w:rPr>
              <w:rFonts w:cstheme="minorHAnsi"/>
            </w:rPr>
            <w:t>(John Lewis Partnership, n.d.)</w:t>
          </w:r>
          <w:r w:rsidR="004945C1" w:rsidRPr="00A77AF6">
            <w:rPr>
              <w:rFonts w:cstheme="minorHAnsi"/>
            </w:rPr>
            <w:fldChar w:fldCharType="end"/>
          </w:r>
        </w:sdtContent>
      </w:sdt>
    </w:p>
    <w:p w14:paraId="7FCEABAD" w14:textId="5896C825" w:rsidR="004945C1" w:rsidRPr="00A77AF6" w:rsidRDefault="004945C1" w:rsidP="008A4C3F">
      <w:pPr>
        <w:spacing w:after="0" w:line="360" w:lineRule="auto"/>
        <w:rPr>
          <w:rFonts w:cstheme="minorHAnsi"/>
        </w:rPr>
      </w:pPr>
      <w:r w:rsidRPr="00A77AF6">
        <w:rPr>
          <w:rFonts w:cstheme="minorHAnsi"/>
        </w:rPr>
        <w:t xml:space="preserve">Asymmetry of information associated with the principal/ agent relationship can also lead to </w:t>
      </w:r>
      <w:r w:rsidR="00C64D67" w:rsidRPr="00A77AF6">
        <w:rPr>
          <w:rFonts w:cstheme="minorHAnsi"/>
        </w:rPr>
        <w:t xml:space="preserve">two other </w:t>
      </w:r>
      <w:r w:rsidR="00AC1F7A" w:rsidRPr="00A77AF6">
        <w:rPr>
          <w:rFonts w:cstheme="minorHAnsi"/>
        </w:rPr>
        <w:t xml:space="preserve">problems, </w:t>
      </w:r>
      <w:r w:rsidRPr="00A77AF6">
        <w:rPr>
          <w:rFonts w:cstheme="minorHAnsi"/>
        </w:rPr>
        <w:t>‘adverse selection’ and ‘moral hazard’.  Adverse selection is the appointment of the wrong agent by the principal because the principal does not have the knowledge to make the</w:t>
      </w:r>
      <w:r w:rsidR="00B71BAE" w:rsidRPr="00A77AF6">
        <w:rPr>
          <w:rFonts w:cstheme="minorHAnsi"/>
        </w:rPr>
        <w:t xml:space="preserve"> right</w:t>
      </w:r>
      <w:r w:rsidRPr="00A77AF6">
        <w:rPr>
          <w:rFonts w:cstheme="minorHAnsi"/>
        </w:rPr>
        <w:t xml:space="preserve"> decision </w:t>
      </w:r>
      <w:sdt>
        <w:sdtPr>
          <w:rPr>
            <w:rFonts w:cstheme="minorHAnsi"/>
          </w:rPr>
          <w:id w:val="-570736001"/>
          <w:citation/>
        </w:sdtPr>
        <w:sdtEndPr/>
        <w:sdtContent>
          <w:r w:rsidR="00884FC6" w:rsidRPr="00A77AF6">
            <w:rPr>
              <w:rFonts w:cstheme="minorHAnsi"/>
            </w:rPr>
            <w:fldChar w:fldCharType="begin"/>
          </w:r>
          <w:r w:rsidR="00884FC6" w:rsidRPr="00A77AF6">
            <w:rPr>
              <w:rFonts w:cstheme="minorHAnsi"/>
            </w:rPr>
            <w:instrText xml:space="preserve"> CITATION Dav10 \l 2057 </w:instrText>
          </w:r>
          <w:r w:rsidR="00884FC6" w:rsidRPr="00A77AF6">
            <w:rPr>
              <w:rFonts w:cstheme="minorHAnsi"/>
            </w:rPr>
            <w:fldChar w:fldCharType="separate"/>
          </w:r>
          <w:r w:rsidR="008E653F" w:rsidRPr="00A77AF6">
            <w:rPr>
              <w:rFonts w:cstheme="minorHAnsi"/>
            </w:rPr>
            <w:t>(Davies &amp; Prince, 2010)</w:t>
          </w:r>
          <w:r w:rsidR="00884FC6" w:rsidRPr="00A77AF6">
            <w:rPr>
              <w:rFonts w:cstheme="minorHAnsi"/>
            </w:rPr>
            <w:fldChar w:fldCharType="end"/>
          </w:r>
        </w:sdtContent>
      </w:sdt>
      <w:r w:rsidR="000655D8" w:rsidRPr="00A77AF6">
        <w:rPr>
          <w:rFonts w:cstheme="minorHAnsi"/>
        </w:rPr>
        <w:t xml:space="preserve">. Moral </w:t>
      </w:r>
      <w:r w:rsidRPr="00A77AF6">
        <w:rPr>
          <w:rFonts w:cstheme="minorHAnsi"/>
        </w:rPr>
        <w:t xml:space="preserve">hazard </w:t>
      </w:r>
      <w:r w:rsidR="0056782B" w:rsidRPr="00A77AF6">
        <w:rPr>
          <w:rFonts w:cstheme="minorHAnsi"/>
        </w:rPr>
        <w:t xml:space="preserve">results from the agent’s </w:t>
      </w:r>
      <w:r w:rsidRPr="00A77AF6">
        <w:rPr>
          <w:rFonts w:cstheme="minorHAnsi"/>
        </w:rPr>
        <w:t>specialised knowledge</w:t>
      </w:r>
      <w:r w:rsidR="008C71B0" w:rsidRPr="00A77AF6">
        <w:rPr>
          <w:rFonts w:cstheme="minorHAnsi"/>
        </w:rPr>
        <w:t xml:space="preserve"> </w:t>
      </w:r>
      <w:r w:rsidR="00C03CA5" w:rsidRPr="00A77AF6">
        <w:rPr>
          <w:rFonts w:cstheme="minorHAnsi"/>
        </w:rPr>
        <w:t>leading t</w:t>
      </w:r>
      <w:r w:rsidRPr="00A77AF6">
        <w:rPr>
          <w:rFonts w:cstheme="minorHAnsi"/>
        </w:rPr>
        <w:t>he</w:t>
      </w:r>
      <w:r w:rsidR="00EB058A" w:rsidRPr="00A77AF6">
        <w:rPr>
          <w:rFonts w:cstheme="minorHAnsi"/>
        </w:rPr>
        <w:t xml:space="preserve">m </w:t>
      </w:r>
      <w:r w:rsidR="00C03CA5" w:rsidRPr="00A77AF6">
        <w:rPr>
          <w:rFonts w:cstheme="minorHAnsi"/>
        </w:rPr>
        <w:t xml:space="preserve">to seek </w:t>
      </w:r>
      <w:r w:rsidRPr="00A77AF6">
        <w:rPr>
          <w:rFonts w:cstheme="minorHAnsi"/>
        </w:rPr>
        <w:t>more pay for less work</w:t>
      </w:r>
      <w:r w:rsidR="00C90C53" w:rsidRPr="00A77AF6">
        <w:rPr>
          <w:rFonts w:cstheme="minorHAnsi"/>
        </w:rPr>
        <w:t xml:space="preserve"> whilst </w:t>
      </w:r>
      <w:r w:rsidRPr="00A77AF6">
        <w:rPr>
          <w:rFonts w:cstheme="minorHAnsi"/>
        </w:rPr>
        <w:t xml:space="preserve">the principal </w:t>
      </w:r>
      <w:r w:rsidR="008C71B0" w:rsidRPr="00A77AF6">
        <w:rPr>
          <w:rFonts w:cstheme="minorHAnsi"/>
        </w:rPr>
        <w:t xml:space="preserve">is unable to </w:t>
      </w:r>
      <w:r w:rsidRPr="00A77AF6">
        <w:rPr>
          <w:rFonts w:cstheme="minorHAnsi"/>
        </w:rPr>
        <w:t xml:space="preserve">check whether the work performed is of the required standard. </w:t>
      </w:r>
      <w:r w:rsidR="00271DE8" w:rsidRPr="00A77AF6">
        <w:rPr>
          <w:rFonts w:cstheme="minorHAnsi"/>
        </w:rPr>
        <w:t xml:space="preserve">An example is </w:t>
      </w:r>
      <w:r w:rsidRPr="00A77AF6">
        <w:rPr>
          <w:rFonts w:cstheme="minorHAnsi"/>
        </w:rPr>
        <w:t xml:space="preserve">the doctor/ patient relationship, </w:t>
      </w:r>
    </w:p>
    <w:p w14:paraId="369D0EE6" w14:textId="55FD65DD" w:rsidR="004945C1" w:rsidRPr="00A77AF6" w:rsidRDefault="004945C1" w:rsidP="0019653F">
      <w:pPr>
        <w:spacing w:line="240" w:lineRule="auto"/>
        <w:ind w:left="720"/>
        <w:rPr>
          <w:rFonts w:cstheme="minorHAnsi"/>
        </w:rPr>
      </w:pPr>
      <w:r w:rsidRPr="00A77AF6">
        <w:rPr>
          <w:i/>
        </w:rPr>
        <w:t>‘The very basis of the relation is the superior knowledge of the physician. Hence, the patient cannot check to see if the actions of the physician are as diligent as they could be.’</w:t>
      </w:r>
      <w:r w:rsidRPr="00A77AF6">
        <w:t xml:space="preserve"> </w:t>
      </w:r>
      <w:sdt>
        <w:sdtPr>
          <w:id w:val="-1397589335"/>
          <w:citation/>
        </w:sdtPr>
        <w:sdtEndPr/>
        <w:sdtContent>
          <w:r w:rsidRPr="00A77AF6">
            <w:fldChar w:fldCharType="begin"/>
          </w:r>
          <w:r w:rsidRPr="00A77AF6">
            <w:instrText xml:space="preserve">CITATION Arr84 \p 3 \l 2057 </w:instrText>
          </w:r>
          <w:r w:rsidRPr="00A77AF6">
            <w:fldChar w:fldCharType="separate"/>
          </w:r>
          <w:r w:rsidR="008E653F" w:rsidRPr="00A77AF6">
            <w:t>(Arrow, 1984, p. 3)</w:t>
          </w:r>
          <w:r w:rsidRPr="00A77AF6">
            <w:fldChar w:fldCharType="end"/>
          </w:r>
        </w:sdtContent>
      </w:sdt>
    </w:p>
    <w:p w14:paraId="42515B8E" w14:textId="52E080B6" w:rsidR="004945C1" w:rsidRPr="00A77AF6" w:rsidRDefault="004945C1" w:rsidP="00FE34A8">
      <w:pPr>
        <w:spacing w:line="360" w:lineRule="auto"/>
        <w:rPr>
          <w:rFonts w:cstheme="minorHAnsi"/>
        </w:rPr>
      </w:pPr>
      <w:r w:rsidRPr="00A77AF6">
        <w:rPr>
          <w:rFonts w:cstheme="minorHAnsi"/>
        </w:rPr>
        <w:t>Miles (2012 p</w:t>
      </w:r>
      <w:r w:rsidR="00461471" w:rsidRPr="00A77AF6">
        <w:rPr>
          <w:rFonts w:cstheme="minorHAnsi"/>
        </w:rPr>
        <w:t xml:space="preserve">. </w:t>
      </w:r>
      <w:r w:rsidRPr="00A77AF6">
        <w:rPr>
          <w:rFonts w:cstheme="minorHAnsi"/>
        </w:rPr>
        <w:t>35) argues that this theory has been used as a general theory ‘that can be applied to all kinds of “acting-for” relationships.’   Project management is one such example but there are others where authority is delegated such as the doctor/ patient relationship; citizens and elected representatives, employers and employees (Kiser 1999 cited in Miles 2012).</w:t>
      </w:r>
    </w:p>
    <w:p w14:paraId="0EF9F174" w14:textId="04EC53D9" w:rsidR="004945C1" w:rsidRPr="00A77AF6" w:rsidRDefault="004945C1" w:rsidP="008B47B4">
      <w:pPr>
        <w:spacing w:line="360" w:lineRule="auto"/>
        <w:rPr>
          <w:rFonts w:cstheme="minorHAnsi"/>
          <w:i/>
        </w:rPr>
      </w:pPr>
      <w:r w:rsidRPr="00A77AF6">
        <w:rPr>
          <w:rFonts w:cstheme="minorHAnsi"/>
        </w:rPr>
        <w:t xml:space="preserve">Critics of agency theory argue that it is too simplistic and does not fully represent the behaviour of principals and agents. </w:t>
      </w:r>
      <w:r w:rsidR="00884FC6" w:rsidRPr="00A77AF6">
        <w:rPr>
          <w:rFonts w:cstheme="minorHAnsi"/>
        </w:rPr>
        <w:t xml:space="preserve">For example, </w:t>
      </w:r>
      <w:r w:rsidRPr="00A77AF6">
        <w:rPr>
          <w:rFonts w:cstheme="minorHAnsi"/>
        </w:rPr>
        <w:t xml:space="preserve">some agents </w:t>
      </w:r>
      <w:r w:rsidR="00884FC6" w:rsidRPr="00A77AF6">
        <w:rPr>
          <w:rFonts w:cstheme="minorHAnsi"/>
        </w:rPr>
        <w:t xml:space="preserve">might </w:t>
      </w:r>
      <w:r w:rsidRPr="00A77AF6">
        <w:rPr>
          <w:rFonts w:cstheme="minorHAnsi"/>
        </w:rPr>
        <w:t xml:space="preserve">identify with the corporate objectives of the firm for which they work and </w:t>
      </w:r>
      <w:r w:rsidR="00884FC6" w:rsidRPr="00A77AF6">
        <w:rPr>
          <w:rFonts w:cstheme="minorHAnsi"/>
        </w:rPr>
        <w:t xml:space="preserve">so </w:t>
      </w:r>
      <w:r w:rsidRPr="00A77AF6">
        <w:rPr>
          <w:rFonts w:cstheme="minorHAnsi"/>
        </w:rPr>
        <w:t xml:space="preserve">are not engaged in maximising their own position.  </w:t>
      </w:r>
      <w:r w:rsidR="00CD0ADB" w:rsidRPr="00A77AF6">
        <w:rPr>
          <w:rFonts w:cstheme="minorHAnsi"/>
        </w:rPr>
        <w:t>Davis, et al (1997</w:t>
      </w:r>
      <w:r w:rsidR="008B47B4" w:rsidRPr="00A77AF6">
        <w:rPr>
          <w:rFonts w:cstheme="minorHAnsi"/>
        </w:rPr>
        <w:t>)</w:t>
      </w:r>
    </w:p>
    <w:p w14:paraId="2D439F40" w14:textId="7B9039BB" w:rsidR="005E527C" w:rsidRPr="00A77AF6" w:rsidRDefault="005E527C" w:rsidP="005E527C">
      <w:pPr>
        <w:pStyle w:val="Heading4"/>
        <w:numPr>
          <w:ilvl w:val="0"/>
          <w:numId w:val="0"/>
        </w:numPr>
        <w:spacing w:after="120"/>
      </w:pPr>
      <w:r w:rsidRPr="00A77AF6">
        <w:t xml:space="preserve">Agency Theory and projects </w:t>
      </w:r>
    </w:p>
    <w:p w14:paraId="0EE3B179" w14:textId="49F265EF" w:rsidR="005E052A" w:rsidRPr="00A77AF6" w:rsidRDefault="005E527C" w:rsidP="005E527C">
      <w:pPr>
        <w:spacing w:line="360" w:lineRule="auto"/>
        <w:rPr>
          <w:rFonts w:cstheme="minorHAnsi"/>
        </w:rPr>
      </w:pPr>
      <w:r w:rsidRPr="00A77AF6">
        <w:rPr>
          <w:rFonts w:cstheme="minorHAnsi"/>
        </w:rPr>
        <w:t xml:space="preserve">The </w:t>
      </w:r>
      <w:r w:rsidR="00613032" w:rsidRPr="00A77AF6">
        <w:rPr>
          <w:rFonts w:cstheme="minorHAnsi"/>
        </w:rPr>
        <w:t>notion</w:t>
      </w:r>
      <w:r w:rsidRPr="00A77AF6">
        <w:rPr>
          <w:rFonts w:cstheme="minorHAnsi"/>
        </w:rPr>
        <w:t xml:space="preserve"> of projects as instruments for change is well described and widely accepted</w:t>
      </w:r>
      <w:r w:rsidR="005B1AD7">
        <w:rPr>
          <w:rFonts w:cstheme="minorHAnsi"/>
        </w:rPr>
        <w:t xml:space="preserve"> </w:t>
      </w:r>
      <w:sdt>
        <w:sdtPr>
          <w:rPr>
            <w:rFonts w:cstheme="minorHAnsi"/>
          </w:rPr>
          <w:id w:val="18293377"/>
          <w:citation/>
        </w:sdtPr>
        <w:sdtEndPr/>
        <w:sdtContent>
          <w:r w:rsidR="005B1AD7">
            <w:rPr>
              <w:rFonts w:cstheme="minorHAnsi"/>
            </w:rPr>
            <w:fldChar w:fldCharType="begin"/>
          </w:r>
          <w:r w:rsidR="005B1AD7">
            <w:rPr>
              <w:rFonts w:cstheme="minorHAnsi"/>
            </w:rPr>
            <w:instrText xml:space="preserve"> CITATION Mul09 \l 2057 </w:instrText>
          </w:r>
          <w:r w:rsidR="005B1AD7">
            <w:rPr>
              <w:rFonts w:cstheme="minorHAnsi"/>
            </w:rPr>
            <w:fldChar w:fldCharType="separate"/>
          </w:r>
          <w:r w:rsidR="005B1AD7" w:rsidRPr="005B1AD7">
            <w:rPr>
              <w:rFonts w:cstheme="minorHAnsi"/>
              <w:noProof/>
            </w:rPr>
            <w:t>(Müller, 2009)</w:t>
          </w:r>
          <w:r w:rsidR="005B1AD7">
            <w:rPr>
              <w:rFonts w:cstheme="minorHAnsi"/>
            </w:rPr>
            <w:fldChar w:fldCharType="end"/>
          </w:r>
        </w:sdtContent>
      </w:sdt>
      <w:r w:rsidRPr="00A77AF6">
        <w:rPr>
          <w:rFonts w:cstheme="minorHAnsi"/>
        </w:rPr>
        <w:t xml:space="preserve">. The structures and processes that must be established for project delivery are </w:t>
      </w:r>
      <w:r w:rsidR="00D6173A" w:rsidRPr="00A77AF6">
        <w:rPr>
          <w:rFonts w:cstheme="minorHAnsi"/>
        </w:rPr>
        <w:t xml:space="preserve">extensively </w:t>
      </w:r>
      <w:r w:rsidR="00D941F3" w:rsidRPr="00A77AF6">
        <w:rPr>
          <w:rFonts w:cstheme="minorHAnsi"/>
        </w:rPr>
        <w:t xml:space="preserve">described by bodies such as PRINCE2®, APM, ISO and CIOB.  The view of projects as agents </w:t>
      </w:r>
      <w:r w:rsidR="006E3B79" w:rsidRPr="00A77AF6">
        <w:rPr>
          <w:rFonts w:cstheme="minorHAnsi"/>
        </w:rPr>
        <w:t xml:space="preserve">for change </w:t>
      </w:r>
      <w:r w:rsidR="00D941F3" w:rsidRPr="00A77AF6">
        <w:rPr>
          <w:rFonts w:cstheme="minorHAnsi"/>
        </w:rPr>
        <w:t>con</w:t>
      </w:r>
      <w:r w:rsidR="00181D5E" w:rsidRPr="00A77AF6">
        <w:rPr>
          <w:rFonts w:cstheme="minorHAnsi"/>
        </w:rPr>
        <w:t xml:space="preserve">siders </w:t>
      </w:r>
      <w:r w:rsidR="00680FA6" w:rsidRPr="00A77AF6">
        <w:rPr>
          <w:rFonts w:cstheme="minorHAnsi"/>
        </w:rPr>
        <w:t>them</w:t>
      </w:r>
      <w:r w:rsidR="00181D5E" w:rsidRPr="00A77AF6">
        <w:rPr>
          <w:rFonts w:cstheme="minorHAnsi"/>
        </w:rPr>
        <w:t xml:space="preserve"> to be </w:t>
      </w:r>
      <w:r w:rsidR="001328AB" w:rsidRPr="00A77AF6">
        <w:rPr>
          <w:rFonts w:cstheme="minorHAnsi"/>
        </w:rPr>
        <w:t xml:space="preserve">a mechanism for delivering a specific, defined </w:t>
      </w:r>
      <w:r w:rsidR="00D941F3" w:rsidRPr="00A77AF6">
        <w:rPr>
          <w:rFonts w:cstheme="minorHAnsi"/>
        </w:rPr>
        <w:t xml:space="preserve">outcome. </w:t>
      </w:r>
      <w:r w:rsidR="001328AB" w:rsidRPr="00A77AF6">
        <w:rPr>
          <w:rFonts w:cstheme="minorHAnsi"/>
        </w:rPr>
        <w:t xml:space="preserve">This perspective explains why project </w:t>
      </w:r>
      <w:r w:rsidR="00181D5E" w:rsidRPr="00A77AF6">
        <w:rPr>
          <w:rFonts w:cstheme="minorHAnsi"/>
        </w:rPr>
        <w:t xml:space="preserve">control </w:t>
      </w:r>
      <w:r w:rsidR="001328AB" w:rsidRPr="00A77AF6">
        <w:rPr>
          <w:rFonts w:cstheme="minorHAnsi"/>
        </w:rPr>
        <w:t xml:space="preserve">mechanisms are needed </w:t>
      </w:r>
      <w:r w:rsidR="003F5720" w:rsidRPr="00A77AF6">
        <w:rPr>
          <w:rFonts w:cstheme="minorHAnsi"/>
        </w:rPr>
        <w:t xml:space="preserve">for </w:t>
      </w:r>
      <w:r w:rsidR="001328AB" w:rsidRPr="00A77AF6">
        <w:rPr>
          <w:rFonts w:cstheme="minorHAnsi"/>
        </w:rPr>
        <w:t xml:space="preserve">tracking and reporting project </w:t>
      </w:r>
      <w:r w:rsidR="00181D5E" w:rsidRPr="00A77AF6">
        <w:rPr>
          <w:rFonts w:cstheme="minorHAnsi"/>
        </w:rPr>
        <w:t>progress and</w:t>
      </w:r>
      <w:r w:rsidR="001328AB" w:rsidRPr="00A77AF6">
        <w:rPr>
          <w:rFonts w:cstheme="minorHAnsi"/>
        </w:rPr>
        <w:t xml:space="preserve"> planning remedial actions where necessary. Th</w:t>
      </w:r>
      <w:r w:rsidR="00AF7100" w:rsidRPr="00A77AF6">
        <w:rPr>
          <w:rFonts w:cstheme="minorHAnsi"/>
        </w:rPr>
        <w:t>is</w:t>
      </w:r>
      <w:r w:rsidR="001328AB" w:rsidRPr="00A77AF6">
        <w:rPr>
          <w:rFonts w:cstheme="minorHAnsi"/>
        </w:rPr>
        <w:t xml:space="preserve"> instrumental </w:t>
      </w:r>
      <w:r w:rsidR="00181D5E" w:rsidRPr="00A77AF6">
        <w:rPr>
          <w:rFonts w:cstheme="minorHAnsi"/>
        </w:rPr>
        <w:t xml:space="preserve">view </w:t>
      </w:r>
      <w:r w:rsidR="003F5720" w:rsidRPr="00A77AF6">
        <w:rPr>
          <w:rFonts w:cstheme="minorHAnsi"/>
        </w:rPr>
        <w:t xml:space="preserve">has been criticised as being incomplete because it ignores </w:t>
      </w:r>
      <w:r w:rsidR="001328AB" w:rsidRPr="00A77AF6">
        <w:rPr>
          <w:rFonts w:cstheme="minorHAnsi"/>
        </w:rPr>
        <w:t xml:space="preserve">projects as </w:t>
      </w:r>
      <w:r w:rsidR="003F5720" w:rsidRPr="00A77AF6">
        <w:rPr>
          <w:rFonts w:cstheme="minorHAnsi"/>
        </w:rPr>
        <w:t xml:space="preserve">organisations with ‘acting for’ </w:t>
      </w:r>
      <w:r w:rsidR="001328AB" w:rsidRPr="00A77AF6">
        <w:rPr>
          <w:rFonts w:cstheme="minorHAnsi"/>
        </w:rPr>
        <w:t>relationship</w:t>
      </w:r>
      <w:r w:rsidR="003F5720" w:rsidRPr="00A77AF6">
        <w:rPr>
          <w:rFonts w:cstheme="minorHAnsi"/>
        </w:rPr>
        <w:t>s</w:t>
      </w:r>
      <w:r w:rsidR="001328AB" w:rsidRPr="00A77AF6">
        <w:rPr>
          <w:rFonts w:cstheme="minorHAnsi"/>
        </w:rPr>
        <w:t xml:space="preserve"> between sponsoring </w:t>
      </w:r>
      <w:r w:rsidR="00613032" w:rsidRPr="00A77AF6">
        <w:rPr>
          <w:rFonts w:cstheme="minorHAnsi"/>
        </w:rPr>
        <w:t>groups</w:t>
      </w:r>
      <w:r w:rsidR="001328AB" w:rsidRPr="00A77AF6">
        <w:rPr>
          <w:rFonts w:cstheme="minorHAnsi"/>
        </w:rPr>
        <w:t xml:space="preserve"> and </w:t>
      </w:r>
      <w:r w:rsidR="003F5720" w:rsidRPr="00A77AF6">
        <w:rPr>
          <w:rFonts w:cstheme="minorHAnsi"/>
        </w:rPr>
        <w:t xml:space="preserve">their </w:t>
      </w:r>
      <w:r w:rsidR="001328AB" w:rsidRPr="00A77AF6">
        <w:rPr>
          <w:rFonts w:cstheme="minorHAnsi"/>
        </w:rPr>
        <w:t xml:space="preserve">project managers and delivery teams. </w:t>
      </w:r>
      <w:r w:rsidR="00F56924" w:rsidRPr="00A77AF6">
        <w:rPr>
          <w:rFonts w:cstheme="minorHAnsi"/>
        </w:rPr>
        <w:t xml:space="preserve">The instrumental definition of projects as entities merely delivering corporate objectives limits the </w:t>
      </w:r>
      <w:r w:rsidR="00F56924" w:rsidRPr="00A77AF6">
        <w:rPr>
          <w:rFonts w:cstheme="minorHAnsi"/>
        </w:rPr>
        <w:lastRenderedPageBreak/>
        <w:t xml:space="preserve">understanding of projects and reduces projects to merely a ‘production function’ </w:t>
      </w:r>
      <w:sdt>
        <w:sdtPr>
          <w:rPr>
            <w:rFonts w:cstheme="minorHAnsi"/>
          </w:rPr>
          <w:id w:val="1630044354"/>
          <w:citation/>
        </w:sdtPr>
        <w:sdtEndPr/>
        <w:sdtContent>
          <w:r w:rsidR="00F56924" w:rsidRPr="00A77AF6">
            <w:rPr>
              <w:rFonts w:cstheme="minorHAnsi"/>
            </w:rPr>
            <w:fldChar w:fldCharType="begin"/>
          </w:r>
          <w:r w:rsidR="00F56924" w:rsidRPr="00A77AF6">
            <w:rPr>
              <w:rFonts w:cstheme="minorHAnsi"/>
            </w:rPr>
            <w:instrText xml:space="preserve">CITATION Tur03 \l 2057 </w:instrText>
          </w:r>
          <w:r w:rsidR="00F56924" w:rsidRPr="00A77AF6">
            <w:rPr>
              <w:rFonts w:cstheme="minorHAnsi"/>
            </w:rPr>
            <w:fldChar w:fldCharType="separate"/>
          </w:r>
          <w:r w:rsidR="008E653F" w:rsidRPr="00A77AF6">
            <w:rPr>
              <w:rFonts w:cstheme="minorHAnsi"/>
            </w:rPr>
            <w:t>(Turner &amp; Müller, 2003)</w:t>
          </w:r>
          <w:r w:rsidR="00F56924" w:rsidRPr="00A77AF6">
            <w:rPr>
              <w:rFonts w:cstheme="minorHAnsi"/>
            </w:rPr>
            <w:fldChar w:fldCharType="end"/>
          </w:r>
        </w:sdtContent>
      </w:sdt>
      <w:r w:rsidR="00F56924" w:rsidRPr="00A77AF6">
        <w:rPr>
          <w:rFonts w:cstheme="minorHAnsi"/>
        </w:rPr>
        <w:t xml:space="preserve">.  </w:t>
      </w:r>
      <w:r w:rsidR="00AF7100" w:rsidRPr="00A77AF6">
        <w:rPr>
          <w:rFonts w:cstheme="minorHAnsi"/>
        </w:rPr>
        <w:t>However, p</w:t>
      </w:r>
      <w:r w:rsidR="00181D5E" w:rsidRPr="00A77AF6">
        <w:rPr>
          <w:rFonts w:cstheme="minorHAnsi"/>
        </w:rPr>
        <w:t xml:space="preserve">rojects have </w:t>
      </w:r>
      <w:r w:rsidRPr="00A77AF6">
        <w:rPr>
          <w:rFonts w:cstheme="minorHAnsi"/>
        </w:rPr>
        <w:t xml:space="preserve">similar characteristics to the organizations in which they </w:t>
      </w:r>
      <w:r w:rsidR="00181D5E" w:rsidRPr="00A77AF6">
        <w:rPr>
          <w:rFonts w:cstheme="minorHAnsi"/>
        </w:rPr>
        <w:t>are situated</w:t>
      </w:r>
      <w:r w:rsidR="00F56924" w:rsidRPr="00A77AF6">
        <w:rPr>
          <w:rFonts w:cstheme="minorHAnsi"/>
        </w:rPr>
        <w:t>,</w:t>
      </w:r>
      <w:r w:rsidR="00181D5E" w:rsidRPr="00A77AF6">
        <w:rPr>
          <w:rFonts w:cstheme="minorHAnsi"/>
        </w:rPr>
        <w:t xml:space="preserve"> and a </w:t>
      </w:r>
      <w:r w:rsidR="003F5720" w:rsidRPr="00A77AF6">
        <w:rPr>
          <w:rFonts w:cstheme="minorHAnsi"/>
        </w:rPr>
        <w:t>projec</w:t>
      </w:r>
      <w:r w:rsidR="00F56924" w:rsidRPr="00A77AF6">
        <w:rPr>
          <w:rFonts w:cstheme="minorHAnsi"/>
        </w:rPr>
        <w:t>t’s</w:t>
      </w:r>
      <w:r w:rsidR="003F5720" w:rsidRPr="00A77AF6">
        <w:rPr>
          <w:rFonts w:cstheme="minorHAnsi"/>
        </w:rPr>
        <w:t xml:space="preserve"> </w:t>
      </w:r>
      <w:r w:rsidRPr="00A77AF6">
        <w:rPr>
          <w:rFonts w:cstheme="minorHAnsi"/>
        </w:rPr>
        <w:t xml:space="preserve">characteristics and relationship to </w:t>
      </w:r>
      <w:r w:rsidR="00F56924" w:rsidRPr="00A77AF6">
        <w:rPr>
          <w:rFonts w:cstheme="minorHAnsi"/>
        </w:rPr>
        <w:t>its</w:t>
      </w:r>
      <w:r w:rsidRPr="00A77AF6">
        <w:rPr>
          <w:rFonts w:cstheme="minorHAnsi"/>
        </w:rPr>
        <w:t xml:space="preserve"> sponsoring organisation can be explained by </w:t>
      </w:r>
      <w:r w:rsidR="00F56924" w:rsidRPr="00A77AF6">
        <w:rPr>
          <w:rFonts w:cstheme="minorHAnsi"/>
        </w:rPr>
        <w:t>a</w:t>
      </w:r>
      <w:r w:rsidRPr="00A77AF6">
        <w:rPr>
          <w:rFonts w:cstheme="minorHAnsi"/>
        </w:rPr>
        <w:t>gency theory</w:t>
      </w:r>
      <w:r w:rsidR="00181D5E" w:rsidRPr="00A77AF6">
        <w:rPr>
          <w:rFonts w:cstheme="minorHAnsi"/>
        </w:rPr>
        <w:t xml:space="preserve"> </w:t>
      </w:r>
      <w:sdt>
        <w:sdtPr>
          <w:rPr>
            <w:rFonts w:cstheme="minorHAnsi"/>
          </w:rPr>
          <w:id w:val="1343049898"/>
          <w:citation/>
        </w:sdtPr>
        <w:sdtEndPr/>
        <w:sdtContent>
          <w:r w:rsidR="00613032" w:rsidRPr="00A77AF6">
            <w:rPr>
              <w:rFonts w:cstheme="minorHAnsi"/>
            </w:rPr>
            <w:fldChar w:fldCharType="begin"/>
          </w:r>
          <w:r w:rsidR="00613032" w:rsidRPr="00A77AF6">
            <w:rPr>
              <w:rFonts w:cstheme="minorHAnsi"/>
            </w:rPr>
            <w:instrText xml:space="preserve"> CITATION Tur03 \l 2057 </w:instrText>
          </w:r>
          <w:r w:rsidR="00613032" w:rsidRPr="00A77AF6">
            <w:rPr>
              <w:rFonts w:cstheme="minorHAnsi"/>
            </w:rPr>
            <w:fldChar w:fldCharType="separate"/>
          </w:r>
          <w:r w:rsidR="008E653F" w:rsidRPr="00A77AF6">
            <w:rPr>
              <w:rFonts w:cstheme="minorHAnsi"/>
            </w:rPr>
            <w:t>(Turner &amp; Müller, 2003)</w:t>
          </w:r>
          <w:r w:rsidR="00613032" w:rsidRPr="00A77AF6">
            <w:rPr>
              <w:rFonts w:cstheme="minorHAnsi"/>
            </w:rPr>
            <w:fldChar w:fldCharType="end"/>
          </w:r>
        </w:sdtContent>
      </w:sdt>
      <w:r w:rsidRPr="00A77AF6">
        <w:rPr>
          <w:rFonts w:cstheme="minorHAnsi"/>
        </w:rPr>
        <w:t xml:space="preserve">.  </w:t>
      </w:r>
      <w:r w:rsidR="003F5720" w:rsidRPr="00A77AF6">
        <w:rPr>
          <w:rFonts w:cstheme="minorHAnsi"/>
        </w:rPr>
        <w:t>If p</w:t>
      </w:r>
      <w:r w:rsidR="001B044C" w:rsidRPr="00A77AF6">
        <w:rPr>
          <w:rFonts w:cstheme="minorHAnsi"/>
        </w:rPr>
        <w:t xml:space="preserve">rojects </w:t>
      </w:r>
      <w:r w:rsidRPr="00A77AF6">
        <w:rPr>
          <w:rFonts w:cstheme="minorHAnsi"/>
        </w:rPr>
        <w:t>have an organisational life of their own</w:t>
      </w:r>
      <w:r w:rsidR="001B044C" w:rsidRPr="00A77AF6">
        <w:rPr>
          <w:rFonts w:cstheme="minorHAnsi"/>
        </w:rPr>
        <w:t xml:space="preserve"> </w:t>
      </w:r>
      <w:r w:rsidRPr="00A77AF6">
        <w:rPr>
          <w:rFonts w:cstheme="minorHAnsi"/>
        </w:rPr>
        <w:t>and are not solely mechanism</w:t>
      </w:r>
      <w:r w:rsidR="005E052A" w:rsidRPr="00A77AF6">
        <w:rPr>
          <w:rFonts w:cstheme="minorHAnsi"/>
        </w:rPr>
        <w:t>s</w:t>
      </w:r>
      <w:r w:rsidRPr="00A77AF6">
        <w:rPr>
          <w:rFonts w:cstheme="minorHAnsi"/>
        </w:rPr>
        <w:t xml:space="preserve"> to deliver projects</w:t>
      </w:r>
      <w:r w:rsidR="005E052A" w:rsidRPr="00A77AF6">
        <w:rPr>
          <w:rFonts w:cstheme="minorHAnsi"/>
        </w:rPr>
        <w:t xml:space="preserve">, then a fresh examination of the relationship of project management to organisational theory </w:t>
      </w:r>
      <w:r w:rsidR="00F56924" w:rsidRPr="00A77AF6">
        <w:rPr>
          <w:rFonts w:cstheme="minorHAnsi"/>
        </w:rPr>
        <w:t xml:space="preserve">is needed </w:t>
      </w:r>
      <w:sdt>
        <w:sdtPr>
          <w:rPr>
            <w:rFonts w:cstheme="minorHAnsi"/>
          </w:rPr>
          <w:id w:val="-309637252"/>
          <w:citation/>
        </w:sdtPr>
        <w:sdtEndPr/>
        <w:sdtContent>
          <w:r w:rsidR="00613032" w:rsidRPr="00A77AF6">
            <w:rPr>
              <w:rFonts w:cstheme="minorHAnsi"/>
            </w:rPr>
            <w:fldChar w:fldCharType="begin"/>
          </w:r>
          <w:r w:rsidR="00613032" w:rsidRPr="00A77AF6">
            <w:rPr>
              <w:rFonts w:cstheme="minorHAnsi"/>
            </w:rPr>
            <w:instrText xml:space="preserve"> CITATION Tur03 \l 2057 </w:instrText>
          </w:r>
          <w:r w:rsidR="00613032" w:rsidRPr="00A77AF6">
            <w:rPr>
              <w:rFonts w:cstheme="minorHAnsi"/>
            </w:rPr>
            <w:fldChar w:fldCharType="separate"/>
          </w:r>
          <w:r w:rsidR="008E653F" w:rsidRPr="00A77AF6">
            <w:rPr>
              <w:rFonts w:cstheme="minorHAnsi"/>
            </w:rPr>
            <w:t>(Turner &amp; Müller, 2003)</w:t>
          </w:r>
          <w:r w:rsidR="00613032" w:rsidRPr="00A77AF6">
            <w:rPr>
              <w:rFonts w:cstheme="minorHAnsi"/>
            </w:rPr>
            <w:fldChar w:fldCharType="end"/>
          </w:r>
        </w:sdtContent>
      </w:sdt>
      <w:r w:rsidR="005E052A" w:rsidRPr="00A77AF6">
        <w:rPr>
          <w:rFonts w:cstheme="minorHAnsi"/>
        </w:rPr>
        <w:t>.</w:t>
      </w:r>
    </w:p>
    <w:p w14:paraId="73273136" w14:textId="56E1D4E3" w:rsidR="001B044C" w:rsidRPr="00A77AF6" w:rsidRDefault="00F56924" w:rsidP="001B0403">
      <w:pPr>
        <w:spacing w:after="0" w:line="360" w:lineRule="auto"/>
        <w:rPr>
          <w:rFonts w:cstheme="minorHAnsi"/>
        </w:rPr>
      </w:pPr>
      <w:r w:rsidRPr="00A77AF6">
        <w:rPr>
          <w:rFonts w:cstheme="minorHAnsi"/>
        </w:rPr>
        <w:t>The a</w:t>
      </w:r>
      <w:r w:rsidR="001B044C" w:rsidRPr="00A77AF6">
        <w:rPr>
          <w:rFonts w:cstheme="minorHAnsi"/>
        </w:rPr>
        <w:t xml:space="preserve">pplication of </w:t>
      </w:r>
      <w:r w:rsidRPr="00A77AF6">
        <w:rPr>
          <w:rFonts w:cstheme="minorHAnsi"/>
        </w:rPr>
        <w:t>a</w:t>
      </w:r>
      <w:r w:rsidR="001B044C" w:rsidRPr="00A77AF6">
        <w:rPr>
          <w:rFonts w:cstheme="minorHAnsi"/>
        </w:rPr>
        <w:t>gency theory into project management draw</w:t>
      </w:r>
      <w:r w:rsidRPr="00A77AF6">
        <w:rPr>
          <w:rFonts w:cstheme="minorHAnsi"/>
        </w:rPr>
        <w:t>s p</w:t>
      </w:r>
      <w:r w:rsidR="001B044C" w:rsidRPr="00A77AF6">
        <w:rPr>
          <w:rFonts w:cstheme="minorHAnsi"/>
        </w:rPr>
        <w:t>arallels between the agent/ princip</w:t>
      </w:r>
      <w:r w:rsidRPr="00A77AF6">
        <w:rPr>
          <w:rFonts w:cstheme="minorHAnsi"/>
        </w:rPr>
        <w:t>al</w:t>
      </w:r>
      <w:r w:rsidR="001B044C" w:rsidRPr="00A77AF6">
        <w:rPr>
          <w:rFonts w:cstheme="minorHAnsi"/>
        </w:rPr>
        <w:t xml:space="preserve"> relationship at </w:t>
      </w:r>
      <w:r w:rsidR="000B04D6" w:rsidRPr="00A77AF6">
        <w:rPr>
          <w:rFonts w:cstheme="minorHAnsi"/>
        </w:rPr>
        <w:t xml:space="preserve">an </w:t>
      </w:r>
      <w:r w:rsidR="001B044C" w:rsidRPr="00A77AF6">
        <w:rPr>
          <w:rFonts w:cstheme="minorHAnsi"/>
        </w:rPr>
        <w:t xml:space="preserve">organizational level and the relationship between the </w:t>
      </w:r>
      <w:r w:rsidR="000F6740" w:rsidRPr="00A77AF6">
        <w:rPr>
          <w:rFonts w:cstheme="minorHAnsi"/>
        </w:rPr>
        <w:t>project sponsor</w:t>
      </w:r>
      <w:r w:rsidR="00351D42" w:rsidRPr="00A77AF6">
        <w:rPr>
          <w:rFonts w:cstheme="minorHAnsi"/>
        </w:rPr>
        <w:t xml:space="preserve"> </w:t>
      </w:r>
      <w:r w:rsidR="001B044C" w:rsidRPr="00A77AF6">
        <w:rPr>
          <w:rFonts w:cstheme="minorHAnsi"/>
        </w:rPr>
        <w:t xml:space="preserve">and the project </w:t>
      </w:r>
      <w:r w:rsidRPr="00A77AF6">
        <w:rPr>
          <w:rFonts w:cstheme="minorHAnsi"/>
        </w:rPr>
        <w:t xml:space="preserve">manager. </w:t>
      </w:r>
      <w:r w:rsidR="000B04D6" w:rsidRPr="00A77AF6">
        <w:rPr>
          <w:rFonts w:cstheme="minorHAnsi"/>
        </w:rPr>
        <w:t>A</w:t>
      </w:r>
      <w:r w:rsidR="001B044C" w:rsidRPr="00A77AF6">
        <w:rPr>
          <w:rFonts w:cstheme="minorHAnsi"/>
        </w:rPr>
        <w:t xml:space="preserve"> principal/ agent relationship </w:t>
      </w:r>
      <w:r w:rsidR="000B04D6" w:rsidRPr="00A77AF6">
        <w:rPr>
          <w:rFonts w:cstheme="minorHAnsi"/>
        </w:rPr>
        <w:t xml:space="preserve">also exists </w:t>
      </w:r>
      <w:r w:rsidR="001B044C" w:rsidRPr="00A77AF6">
        <w:rPr>
          <w:rFonts w:cstheme="minorHAnsi"/>
        </w:rPr>
        <w:t>between the project manager and the project teams they manage. In effect, the project manager is both the chief executive of the temporary organization (the project</w:t>
      </w:r>
      <w:r w:rsidRPr="00A77AF6">
        <w:rPr>
          <w:rFonts w:cstheme="minorHAnsi"/>
        </w:rPr>
        <w:t>) and</w:t>
      </w:r>
      <w:r w:rsidR="001B044C" w:rsidRPr="00A77AF6">
        <w:rPr>
          <w:rFonts w:cstheme="minorHAnsi"/>
        </w:rPr>
        <w:t xml:space="preserve"> agent for the </w:t>
      </w:r>
      <w:r w:rsidRPr="00A77AF6">
        <w:rPr>
          <w:rFonts w:cstheme="minorHAnsi"/>
        </w:rPr>
        <w:t xml:space="preserve">project owner (the </w:t>
      </w:r>
      <w:r w:rsidR="001B044C" w:rsidRPr="00A77AF6">
        <w:rPr>
          <w:rFonts w:cstheme="minorHAnsi"/>
        </w:rPr>
        <w:t>principal</w:t>
      </w:r>
      <w:r w:rsidRPr="00A77AF6">
        <w:rPr>
          <w:rFonts w:cstheme="minorHAnsi"/>
        </w:rPr>
        <w:t xml:space="preserve">). </w:t>
      </w:r>
      <w:r w:rsidR="001B044C" w:rsidRPr="00A77AF6">
        <w:rPr>
          <w:rFonts w:cstheme="minorHAnsi"/>
        </w:rPr>
        <w:t xml:space="preserve">Colloquially, </w:t>
      </w:r>
      <w:r w:rsidRPr="00A77AF6">
        <w:rPr>
          <w:rFonts w:cstheme="minorHAnsi"/>
        </w:rPr>
        <w:t xml:space="preserve">the project manager is </w:t>
      </w:r>
      <w:r w:rsidR="001B044C" w:rsidRPr="00A77AF6">
        <w:rPr>
          <w:rFonts w:cstheme="minorHAnsi"/>
        </w:rPr>
        <w:t>both poacher and gamekeeper.  Poacher because their interests and those of the project might not completely align with the interests of the organisation and gamekeeper because the aims of project team members may not be aligned to those of the project manager. Turner and Müller (2003) argue that the transient nature of projects is an incentive for project managers to act opportunistically because the project may be completed before the project manager’s actions are discovered.  This means that whilst project managers may not be any less reliable than other types of manager</w:t>
      </w:r>
    </w:p>
    <w:p w14:paraId="4197EB1D" w14:textId="0B008ADF" w:rsidR="001B044C" w:rsidRPr="00A77AF6" w:rsidRDefault="001B044C" w:rsidP="001B0403">
      <w:pPr>
        <w:spacing w:after="120" w:line="240" w:lineRule="auto"/>
        <w:ind w:left="720"/>
        <w:rPr>
          <w:rFonts w:cstheme="minorHAnsi"/>
        </w:rPr>
      </w:pPr>
      <w:r w:rsidRPr="00A77AF6">
        <w:rPr>
          <w:rFonts w:cstheme="minorHAnsi"/>
          <w:i/>
        </w:rPr>
        <w:t>‘it is just less easy to be found out before the project is finished, and so the principal will require greater monitoring’</w:t>
      </w:r>
      <w:r w:rsidRPr="00A77AF6">
        <w:rPr>
          <w:rFonts w:cstheme="minorHAnsi"/>
        </w:rPr>
        <w:t xml:space="preserve"> </w:t>
      </w:r>
      <w:sdt>
        <w:sdtPr>
          <w:rPr>
            <w:rFonts w:cstheme="minorHAnsi"/>
          </w:rPr>
          <w:id w:val="-1039123642"/>
          <w:citation/>
        </w:sdtPr>
        <w:sdtEndPr/>
        <w:sdtContent>
          <w:r w:rsidRPr="00A77AF6">
            <w:rPr>
              <w:rFonts w:cstheme="minorHAnsi"/>
            </w:rPr>
            <w:fldChar w:fldCharType="begin"/>
          </w:r>
          <w:r w:rsidRPr="00A77AF6">
            <w:rPr>
              <w:rFonts w:cstheme="minorHAnsi"/>
            </w:rPr>
            <w:instrText xml:space="preserve">CITATION Tur03 \p 6 \l 2057 </w:instrText>
          </w:r>
          <w:r w:rsidRPr="00A77AF6">
            <w:rPr>
              <w:rFonts w:cstheme="minorHAnsi"/>
            </w:rPr>
            <w:fldChar w:fldCharType="separate"/>
          </w:r>
          <w:r w:rsidR="008E653F" w:rsidRPr="00A77AF6">
            <w:rPr>
              <w:rFonts w:cstheme="minorHAnsi"/>
            </w:rPr>
            <w:t>(Turner &amp; Müller, 2003, p. 6)</w:t>
          </w:r>
          <w:r w:rsidRPr="00A77AF6">
            <w:rPr>
              <w:rFonts w:cstheme="minorHAnsi"/>
            </w:rPr>
            <w:fldChar w:fldCharType="end"/>
          </w:r>
        </w:sdtContent>
      </w:sdt>
      <w:r w:rsidRPr="00A77AF6">
        <w:rPr>
          <w:rFonts w:cstheme="minorHAnsi"/>
        </w:rPr>
        <w:t>.</w:t>
      </w:r>
    </w:p>
    <w:p w14:paraId="6630A75A" w14:textId="4BA49CCC" w:rsidR="00677584" w:rsidRPr="00A77AF6" w:rsidRDefault="00D51CB2" w:rsidP="00677584">
      <w:pPr>
        <w:spacing w:line="360" w:lineRule="auto"/>
        <w:rPr>
          <w:rFonts w:cstheme="minorHAnsi"/>
        </w:rPr>
      </w:pPr>
      <w:r w:rsidRPr="00A77AF6">
        <w:rPr>
          <w:rFonts w:cstheme="minorHAnsi"/>
        </w:rPr>
        <w:t xml:space="preserve">The </w:t>
      </w:r>
      <w:r w:rsidR="00677584" w:rsidRPr="00A77AF6">
        <w:rPr>
          <w:rFonts w:cstheme="minorHAnsi"/>
        </w:rPr>
        <w:t xml:space="preserve">client </w:t>
      </w:r>
      <w:r w:rsidRPr="00A77AF6">
        <w:rPr>
          <w:rFonts w:cstheme="minorHAnsi"/>
        </w:rPr>
        <w:t xml:space="preserve">sponsor will want to ensure that their internal </w:t>
      </w:r>
      <w:r w:rsidR="000B04D6" w:rsidRPr="00A77AF6">
        <w:rPr>
          <w:rFonts w:cstheme="minorHAnsi"/>
        </w:rPr>
        <w:t xml:space="preserve">and external </w:t>
      </w:r>
      <w:r w:rsidRPr="00A77AF6">
        <w:rPr>
          <w:rFonts w:cstheme="minorHAnsi"/>
        </w:rPr>
        <w:t xml:space="preserve">project teams </w:t>
      </w:r>
      <w:r w:rsidR="00677584" w:rsidRPr="00A77AF6">
        <w:rPr>
          <w:rFonts w:cstheme="minorHAnsi"/>
        </w:rPr>
        <w:t>are acting in the in</w:t>
      </w:r>
      <w:r w:rsidR="00CB4772">
        <w:rPr>
          <w:rFonts w:cstheme="minorHAnsi"/>
        </w:rPr>
        <w:t>t</w:t>
      </w:r>
      <w:r w:rsidR="00677584" w:rsidRPr="00A77AF6">
        <w:rPr>
          <w:rFonts w:cstheme="minorHAnsi"/>
        </w:rPr>
        <w:t>erests of the project</w:t>
      </w:r>
      <w:r w:rsidR="000B04D6" w:rsidRPr="00A77AF6">
        <w:rPr>
          <w:rFonts w:cstheme="minorHAnsi"/>
        </w:rPr>
        <w:t xml:space="preserve">. </w:t>
      </w:r>
      <w:r w:rsidR="00677584" w:rsidRPr="00A77AF6">
        <w:rPr>
          <w:rFonts w:cstheme="minorHAnsi"/>
        </w:rPr>
        <w:t>To do this project governance roles and structures are established</w:t>
      </w:r>
      <w:r w:rsidR="00693065" w:rsidRPr="00A77AF6">
        <w:rPr>
          <w:rFonts w:cstheme="minorHAnsi"/>
        </w:rPr>
        <w:t>, the costs of agency,</w:t>
      </w:r>
      <w:r w:rsidR="00677584" w:rsidRPr="00A77AF6">
        <w:rPr>
          <w:rFonts w:cstheme="minorHAnsi"/>
        </w:rPr>
        <w:t xml:space="preserve"> so that the client sponsor can monitor and regulate the behaviour of the various agents in the project. In short, actions of the project manager and project team members must be controlled through governance structures so that they deliver the priorities of the principal.</w:t>
      </w:r>
    </w:p>
    <w:p w14:paraId="053E6EDC" w14:textId="6D3DB1C4" w:rsidR="004945C1" w:rsidRPr="00A77AF6" w:rsidRDefault="004945C1" w:rsidP="009843F4">
      <w:pPr>
        <w:pStyle w:val="Heading3"/>
        <w:spacing w:line="360" w:lineRule="auto"/>
        <w:rPr>
          <w:rFonts w:asciiTheme="minorHAnsi" w:hAnsiTheme="minorHAnsi" w:cstheme="minorHAnsi"/>
        </w:rPr>
      </w:pPr>
      <w:bookmarkStart w:id="58" w:name="_Toc36275063"/>
      <w:r w:rsidRPr="00A77AF6">
        <w:rPr>
          <w:rFonts w:asciiTheme="minorHAnsi" w:hAnsiTheme="minorHAnsi" w:cstheme="minorHAnsi"/>
        </w:rPr>
        <w:t xml:space="preserve">Stewardship </w:t>
      </w:r>
      <w:r w:rsidR="000627F5" w:rsidRPr="00A77AF6">
        <w:rPr>
          <w:rFonts w:asciiTheme="minorHAnsi" w:hAnsiTheme="minorHAnsi" w:cstheme="minorHAnsi"/>
        </w:rPr>
        <w:t>t</w:t>
      </w:r>
      <w:r w:rsidRPr="00A77AF6">
        <w:rPr>
          <w:rFonts w:asciiTheme="minorHAnsi" w:hAnsiTheme="minorHAnsi" w:cstheme="minorHAnsi"/>
        </w:rPr>
        <w:t>heory</w:t>
      </w:r>
      <w:bookmarkEnd w:id="58"/>
    </w:p>
    <w:p w14:paraId="472F8E4A" w14:textId="0164B99A" w:rsidR="004945C1" w:rsidRPr="00A77AF6" w:rsidRDefault="004945C1" w:rsidP="007D582D">
      <w:pPr>
        <w:spacing w:after="0" w:line="360" w:lineRule="auto"/>
        <w:rPr>
          <w:rFonts w:cstheme="minorHAnsi"/>
        </w:rPr>
      </w:pPr>
      <w:r w:rsidRPr="00A77AF6">
        <w:rPr>
          <w:rFonts w:cstheme="minorHAnsi"/>
        </w:rPr>
        <w:t xml:space="preserve">Stewardship theory differs from agency theory </w:t>
      </w:r>
      <w:r w:rsidR="006B68F2" w:rsidRPr="00A77AF6">
        <w:rPr>
          <w:rFonts w:cstheme="minorHAnsi"/>
        </w:rPr>
        <w:t>as</w:t>
      </w:r>
      <w:r w:rsidRPr="00A77AF6">
        <w:rPr>
          <w:rFonts w:cstheme="minorHAnsi"/>
        </w:rPr>
        <w:t xml:space="preserve"> it </w:t>
      </w:r>
      <w:r w:rsidR="002F56DB" w:rsidRPr="00A77AF6">
        <w:rPr>
          <w:rFonts w:cstheme="minorHAnsi"/>
        </w:rPr>
        <w:t>argues</w:t>
      </w:r>
      <w:r w:rsidRPr="00A77AF6">
        <w:rPr>
          <w:rFonts w:cstheme="minorHAnsi"/>
        </w:rPr>
        <w:t xml:space="preserve"> that agents can </w:t>
      </w:r>
      <w:r w:rsidR="00C70B54" w:rsidRPr="00A77AF6">
        <w:rPr>
          <w:rFonts w:cstheme="minorHAnsi"/>
        </w:rPr>
        <w:t xml:space="preserve">and do </w:t>
      </w:r>
      <w:r w:rsidRPr="00A77AF6">
        <w:rPr>
          <w:rFonts w:cstheme="minorHAnsi"/>
        </w:rPr>
        <w:t xml:space="preserve">act in the best interests of the principal </w:t>
      </w:r>
      <w:r w:rsidR="00C70B54" w:rsidRPr="00A77AF6">
        <w:rPr>
          <w:rFonts w:cstheme="minorHAnsi"/>
        </w:rPr>
        <w:t xml:space="preserve">because </w:t>
      </w:r>
      <w:r w:rsidR="003636A5" w:rsidRPr="00A77AF6">
        <w:rPr>
          <w:rFonts w:cstheme="minorHAnsi"/>
        </w:rPr>
        <w:t>the</w:t>
      </w:r>
      <w:r w:rsidR="009E3071" w:rsidRPr="00A77AF6">
        <w:rPr>
          <w:rFonts w:cstheme="minorHAnsi"/>
        </w:rPr>
        <w:t>ir interests are aligned</w:t>
      </w:r>
      <w:r w:rsidRPr="00A77AF6">
        <w:rPr>
          <w:rFonts w:cstheme="minorHAnsi"/>
        </w:rPr>
        <w:t>.   This does not make their behaviour irrational</w:t>
      </w:r>
      <w:r w:rsidR="008608B8" w:rsidRPr="00A77AF6">
        <w:rPr>
          <w:rFonts w:cstheme="minorHAnsi"/>
        </w:rPr>
        <w:t xml:space="preserve"> but instead </w:t>
      </w:r>
      <w:r w:rsidRPr="00A77AF6">
        <w:rPr>
          <w:rFonts w:cstheme="minorHAnsi"/>
        </w:rPr>
        <w:t xml:space="preserve">the agent sees greater utility in co-operative behaviour </w:t>
      </w:r>
      <w:r w:rsidR="008608B8" w:rsidRPr="00A77AF6">
        <w:rPr>
          <w:rFonts w:cstheme="minorHAnsi"/>
        </w:rPr>
        <w:t xml:space="preserve">rather </w:t>
      </w:r>
      <w:r w:rsidRPr="00A77AF6">
        <w:rPr>
          <w:rFonts w:cstheme="minorHAnsi"/>
        </w:rPr>
        <w:t>than in s</w:t>
      </w:r>
      <w:r w:rsidRPr="00CB4772">
        <w:rPr>
          <w:rFonts w:cstheme="minorHAnsi"/>
        </w:rPr>
        <w:t>elf-interested behaviour.</w:t>
      </w:r>
      <w:r w:rsidR="008608B8" w:rsidRPr="00CB4772">
        <w:rPr>
          <w:rFonts w:cstheme="minorHAnsi"/>
        </w:rPr>
        <w:t xml:space="preserve"> </w:t>
      </w:r>
    </w:p>
    <w:p w14:paraId="755919D6" w14:textId="35634E52" w:rsidR="004945C1" w:rsidRPr="00A77AF6" w:rsidRDefault="008608B8" w:rsidP="0019653F">
      <w:pPr>
        <w:spacing w:line="240" w:lineRule="auto"/>
        <w:ind w:left="720"/>
        <w:rPr>
          <w:rFonts w:cstheme="minorHAnsi"/>
        </w:rPr>
      </w:pPr>
      <w:r w:rsidRPr="00A77AF6">
        <w:rPr>
          <w:rFonts w:cstheme="minorHAnsi"/>
          <w:i/>
        </w:rPr>
        <w:t xml:space="preserve"> </w:t>
      </w:r>
      <w:r w:rsidR="004945C1" w:rsidRPr="00A77AF6">
        <w:rPr>
          <w:rFonts w:cstheme="minorHAnsi"/>
          <w:i/>
        </w:rPr>
        <w:t xml:space="preserve">‘Stewardship theorists assume a strong relationship between the success of the organisation and the principal’s satisfaction. A steward protects and maximises shareholder’s wealth through firm performance, because, by so doing, the steward’s utility functions are maximised.’ </w:t>
      </w:r>
      <w:sdt>
        <w:sdtPr>
          <w:rPr>
            <w:rFonts w:cstheme="minorHAnsi"/>
            <w:i/>
          </w:rPr>
          <w:id w:val="1379287243"/>
          <w:citation/>
        </w:sdtPr>
        <w:sdtEndPr/>
        <w:sdtContent>
          <w:r w:rsidR="004945C1" w:rsidRPr="00A77AF6">
            <w:rPr>
              <w:rFonts w:cstheme="minorHAnsi"/>
              <w:i/>
            </w:rPr>
            <w:fldChar w:fldCharType="begin"/>
          </w:r>
          <w:r w:rsidR="004945C1" w:rsidRPr="00A77AF6">
            <w:rPr>
              <w:rFonts w:cstheme="minorHAnsi"/>
              <w:i/>
            </w:rPr>
            <w:instrText xml:space="preserve">CITATION Dav97 \p 25 \l 2057 </w:instrText>
          </w:r>
          <w:r w:rsidR="004945C1" w:rsidRPr="00A77AF6">
            <w:rPr>
              <w:rFonts w:cstheme="minorHAnsi"/>
              <w:i/>
            </w:rPr>
            <w:fldChar w:fldCharType="separate"/>
          </w:r>
          <w:r w:rsidR="008E653F" w:rsidRPr="00A77AF6">
            <w:rPr>
              <w:rFonts w:cstheme="minorHAnsi"/>
            </w:rPr>
            <w:t>(Davis, et al., 1997, p. 25)</w:t>
          </w:r>
          <w:r w:rsidR="004945C1" w:rsidRPr="00A77AF6">
            <w:rPr>
              <w:rFonts w:cstheme="minorHAnsi"/>
              <w:i/>
            </w:rPr>
            <w:fldChar w:fldCharType="end"/>
          </w:r>
        </w:sdtContent>
      </w:sdt>
    </w:p>
    <w:p w14:paraId="76412EE2" w14:textId="38AAF0BE" w:rsidR="004945C1" w:rsidRPr="00A77AF6" w:rsidRDefault="00F90521" w:rsidP="00EB0BA5">
      <w:pPr>
        <w:spacing w:after="0" w:line="360" w:lineRule="auto"/>
        <w:rPr>
          <w:rFonts w:cstheme="minorHAnsi"/>
        </w:rPr>
      </w:pPr>
      <w:r w:rsidRPr="00A77AF6">
        <w:rPr>
          <w:rFonts w:cstheme="minorHAnsi"/>
        </w:rPr>
        <w:lastRenderedPageBreak/>
        <w:t xml:space="preserve">The alignment of the </w:t>
      </w:r>
      <w:r w:rsidR="004945C1" w:rsidRPr="00A77AF6">
        <w:rPr>
          <w:rFonts w:cstheme="minorHAnsi"/>
        </w:rPr>
        <w:t xml:space="preserve">agent </w:t>
      </w:r>
      <w:r w:rsidRPr="00A77AF6">
        <w:rPr>
          <w:rFonts w:cstheme="minorHAnsi"/>
        </w:rPr>
        <w:t xml:space="preserve">with the principal </w:t>
      </w:r>
      <w:r w:rsidR="004945C1" w:rsidRPr="00A77AF6">
        <w:rPr>
          <w:rFonts w:cstheme="minorHAnsi"/>
        </w:rPr>
        <w:t>suggest</w:t>
      </w:r>
      <w:r w:rsidRPr="00A77AF6">
        <w:rPr>
          <w:rFonts w:cstheme="minorHAnsi"/>
        </w:rPr>
        <w:t xml:space="preserve"> </w:t>
      </w:r>
      <w:r w:rsidR="004945C1" w:rsidRPr="00A77AF6">
        <w:rPr>
          <w:rFonts w:cstheme="minorHAnsi"/>
        </w:rPr>
        <w:t>a different view of management than th</w:t>
      </w:r>
      <w:r w:rsidRPr="00A77AF6">
        <w:rPr>
          <w:rFonts w:cstheme="minorHAnsi"/>
        </w:rPr>
        <w:t xml:space="preserve">at which results from </w:t>
      </w:r>
      <w:r w:rsidR="00CB4772">
        <w:rPr>
          <w:rFonts w:cstheme="minorHAnsi"/>
        </w:rPr>
        <w:t>a</w:t>
      </w:r>
      <w:r w:rsidR="004945C1" w:rsidRPr="00A77AF6">
        <w:rPr>
          <w:rFonts w:cstheme="minorHAnsi"/>
        </w:rPr>
        <w:t xml:space="preserve">gency </w:t>
      </w:r>
      <w:r w:rsidR="00CB4772">
        <w:rPr>
          <w:rFonts w:cstheme="minorHAnsi"/>
        </w:rPr>
        <w:t>t</w:t>
      </w:r>
      <w:r w:rsidR="004945C1" w:rsidRPr="00A77AF6">
        <w:rPr>
          <w:rFonts w:cstheme="minorHAnsi"/>
        </w:rPr>
        <w:t>heory</w:t>
      </w:r>
      <w:r w:rsidRPr="00A77AF6">
        <w:rPr>
          <w:rFonts w:cstheme="minorHAnsi"/>
        </w:rPr>
        <w:t xml:space="preserve">. </w:t>
      </w:r>
      <w:r w:rsidR="004945C1" w:rsidRPr="00A77AF6">
        <w:rPr>
          <w:rFonts w:cstheme="minorHAnsi"/>
        </w:rPr>
        <w:t>Rather than establishing control and monitoring mechanisms</w:t>
      </w:r>
      <w:r w:rsidR="00CB4772">
        <w:rPr>
          <w:rFonts w:cstheme="minorHAnsi"/>
        </w:rPr>
        <w:t>,</w:t>
      </w:r>
      <w:r w:rsidR="004945C1" w:rsidRPr="00A77AF6">
        <w:rPr>
          <w:rFonts w:cstheme="minorHAnsi"/>
        </w:rPr>
        <w:t xml:space="preserve"> principals can trust their agents because they are more likely to </w:t>
      </w:r>
      <w:r w:rsidR="006130B5" w:rsidRPr="00A77AF6">
        <w:rPr>
          <w:rFonts w:cstheme="minorHAnsi"/>
        </w:rPr>
        <w:t>act in the</w:t>
      </w:r>
      <w:r w:rsidR="00CB4772">
        <w:rPr>
          <w:rFonts w:cstheme="minorHAnsi"/>
        </w:rPr>
        <w:t>ir</w:t>
      </w:r>
      <w:r w:rsidR="006130B5" w:rsidRPr="00A77AF6">
        <w:rPr>
          <w:rFonts w:cstheme="minorHAnsi"/>
        </w:rPr>
        <w:t xml:space="preserve"> </w:t>
      </w:r>
      <w:r w:rsidR="004945C1" w:rsidRPr="00A77AF6">
        <w:rPr>
          <w:rFonts w:cstheme="minorHAnsi"/>
        </w:rPr>
        <w:t>interests</w:t>
      </w:r>
      <w:r w:rsidR="00CB4772">
        <w:rPr>
          <w:rFonts w:cstheme="minorHAnsi"/>
        </w:rPr>
        <w:t xml:space="preserve">. </w:t>
      </w:r>
      <w:r w:rsidR="006130B5" w:rsidRPr="00A77AF6">
        <w:rPr>
          <w:rFonts w:cstheme="minorHAnsi"/>
        </w:rPr>
        <w:t xml:space="preserve"> </w:t>
      </w:r>
      <w:r w:rsidR="004945C1" w:rsidRPr="00A77AF6">
        <w:rPr>
          <w:rFonts w:cstheme="minorHAnsi"/>
        </w:rPr>
        <w:t xml:space="preserve">Constraining the autonomy of agents, would in </w:t>
      </w:r>
      <w:r w:rsidR="0019653F" w:rsidRPr="00A77AF6">
        <w:rPr>
          <w:rFonts w:cstheme="minorHAnsi"/>
        </w:rPr>
        <w:t>S</w:t>
      </w:r>
      <w:r w:rsidR="004945C1" w:rsidRPr="00A77AF6">
        <w:rPr>
          <w:rFonts w:cstheme="minorHAnsi"/>
        </w:rPr>
        <w:t xml:space="preserve">tewardship </w:t>
      </w:r>
      <w:r w:rsidRPr="00A77AF6">
        <w:rPr>
          <w:rFonts w:cstheme="minorHAnsi"/>
        </w:rPr>
        <w:t>t</w:t>
      </w:r>
      <w:r w:rsidR="004945C1" w:rsidRPr="00A77AF6">
        <w:rPr>
          <w:rFonts w:cstheme="minorHAnsi"/>
        </w:rPr>
        <w:t xml:space="preserve">heory, be counterproductive because it would reduce their motivation </w:t>
      </w:r>
      <w:sdt>
        <w:sdtPr>
          <w:rPr>
            <w:rFonts w:cstheme="minorHAnsi"/>
          </w:rPr>
          <w:id w:val="-54788427"/>
          <w:citation/>
        </w:sdtPr>
        <w:sdtEndPr/>
        <w:sdtContent>
          <w:r w:rsidR="004945C1" w:rsidRPr="00A77AF6">
            <w:rPr>
              <w:rFonts w:cstheme="minorHAnsi"/>
            </w:rPr>
            <w:fldChar w:fldCharType="begin"/>
          </w:r>
          <w:r w:rsidR="004945C1" w:rsidRPr="00A77AF6">
            <w:rPr>
              <w:rFonts w:cstheme="minorHAnsi"/>
            </w:rPr>
            <w:instrText xml:space="preserve">CITATION Dav97 \l 2057 </w:instrText>
          </w:r>
          <w:r w:rsidR="004945C1" w:rsidRPr="00A77AF6">
            <w:rPr>
              <w:rFonts w:cstheme="minorHAnsi"/>
            </w:rPr>
            <w:fldChar w:fldCharType="separate"/>
          </w:r>
          <w:r w:rsidR="008E653F" w:rsidRPr="00A77AF6">
            <w:rPr>
              <w:rFonts w:cstheme="minorHAnsi"/>
            </w:rPr>
            <w:t>(Davis, et al., 1997)</w:t>
          </w:r>
          <w:r w:rsidR="004945C1" w:rsidRPr="00A77AF6">
            <w:rPr>
              <w:rFonts w:cstheme="minorHAnsi"/>
            </w:rPr>
            <w:fldChar w:fldCharType="end"/>
          </w:r>
        </w:sdtContent>
      </w:sdt>
      <w:r w:rsidR="004945C1" w:rsidRPr="00A77AF6">
        <w:rPr>
          <w:rFonts w:cstheme="minorHAnsi"/>
        </w:rPr>
        <w:t>.</w:t>
      </w:r>
      <w:r w:rsidR="004945C1" w:rsidRPr="00A77AF6">
        <w:rPr>
          <w:rFonts w:cstheme="minorHAnsi"/>
          <w:sz w:val="24"/>
        </w:rPr>
        <w:t xml:space="preserve">  </w:t>
      </w:r>
      <w:r w:rsidR="004945C1" w:rsidRPr="00A77AF6">
        <w:rPr>
          <w:rFonts w:cstheme="minorHAnsi"/>
        </w:rPr>
        <w:t xml:space="preserve">Tricker (1994, p. 56) cited in </w:t>
      </w:r>
      <w:sdt>
        <w:sdtPr>
          <w:rPr>
            <w:rFonts w:cstheme="minorHAnsi"/>
          </w:rPr>
          <w:id w:val="-414862411"/>
          <w:citation/>
        </w:sdtPr>
        <w:sdtEndPr/>
        <w:sdtContent>
          <w:r w:rsidR="004945C1" w:rsidRPr="00A77AF6">
            <w:rPr>
              <w:rFonts w:cstheme="minorHAnsi"/>
            </w:rPr>
            <w:fldChar w:fldCharType="begin"/>
          </w:r>
          <w:r w:rsidR="004945C1" w:rsidRPr="00A77AF6">
            <w:rPr>
              <w:rFonts w:cstheme="minorHAnsi"/>
            </w:rPr>
            <w:instrText xml:space="preserve">CITATION Hun98 \p 103 \l 2057 </w:instrText>
          </w:r>
          <w:r w:rsidR="004945C1" w:rsidRPr="00A77AF6">
            <w:rPr>
              <w:rFonts w:cstheme="minorHAnsi"/>
            </w:rPr>
            <w:fldChar w:fldCharType="separate"/>
          </w:r>
          <w:r w:rsidR="008E653F" w:rsidRPr="00A77AF6">
            <w:rPr>
              <w:rFonts w:cstheme="minorHAnsi"/>
            </w:rPr>
            <w:t>(Hung, 1998, p. 103)</w:t>
          </w:r>
          <w:r w:rsidR="004945C1" w:rsidRPr="00A77AF6">
            <w:rPr>
              <w:rFonts w:cstheme="minorHAnsi"/>
            </w:rPr>
            <w:fldChar w:fldCharType="end"/>
          </w:r>
        </w:sdtContent>
      </w:sdt>
      <w:r w:rsidR="004945C1" w:rsidRPr="00A77AF6">
        <w:rPr>
          <w:rFonts w:cstheme="minorHAnsi"/>
        </w:rPr>
        <w:t xml:space="preserve">  argues that this, more benevolent view of agents at the corporate board level is akin to </w:t>
      </w:r>
    </w:p>
    <w:p w14:paraId="3DB095F4" w14:textId="77777777" w:rsidR="004945C1" w:rsidRPr="00A77AF6" w:rsidRDefault="004945C1" w:rsidP="00EB0BA5">
      <w:pPr>
        <w:spacing w:after="120" w:line="240" w:lineRule="auto"/>
        <w:ind w:left="720"/>
        <w:rPr>
          <w:rFonts w:cstheme="minorHAnsi"/>
          <w:i/>
        </w:rPr>
      </w:pPr>
      <w:r w:rsidRPr="00A77AF6">
        <w:rPr>
          <w:rFonts w:cstheme="minorHAnsi"/>
          <w:i/>
        </w:rPr>
        <w:t xml:space="preserve">‘Classical corporate governance, derived from the mid nineteenth century concept…rooted in the philosophy that men can be trusted; that directors can be relied on to act in the best interests of the company.’   </w:t>
      </w:r>
    </w:p>
    <w:p w14:paraId="49388D95" w14:textId="1D85F44C" w:rsidR="004945C1" w:rsidRPr="00A77AF6" w:rsidRDefault="004945C1" w:rsidP="00AE3139">
      <w:pPr>
        <w:spacing w:after="0" w:line="360" w:lineRule="auto"/>
        <w:rPr>
          <w:rFonts w:cstheme="minorHAnsi"/>
        </w:rPr>
      </w:pPr>
      <w:r w:rsidRPr="00A77AF6">
        <w:rPr>
          <w:rFonts w:cstheme="minorHAnsi"/>
        </w:rPr>
        <w:t>This is quite different from the view proposed in agency theory</w:t>
      </w:r>
      <w:r w:rsidR="00F90521" w:rsidRPr="00A77AF6">
        <w:rPr>
          <w:rFonts w:cstheme="minorHAnsi"/>
        </w:rPr>
        <w:t xml:space="preserve">.  </w:t>
      </w:r>
      <w:r w:rsidRPr="00A77AF6">
        <w:rPr>
          <w:rFonts w:cstheme="minorHAnsi"/>
        </w:rPr>
        <w:t xml:space="preserve">Critics of stewardship theory </w:t>
      </w:r>
      <w:r w:rsidR="00F054A4" w:rsidRPr="00A77AF6">
        <w:rPr>
          <w:rFonts w:cstheme="minorHAnsi"/>
        </w:rPr>
        <w:t xml:space="preserve">such as </w:t>
      </w:r>
      <w:r w:rsidR="00397B34" w:rsidRPr="00A77AF6">
        <w:rPr>
          <w:rFonts w:cstheme="minorHAnsi"/>
        </w:rPr>
        <w:t xml:space="preserve">the implicit criticisms of the Cadbury Report (1992) and explicit criticisms of Tricker and Tricker (2014) </w:t>
      </w:r>
      <w:r w:rsidR="00AE3139" w:rsidRPr="00A77AF6">
        <w:rPr>
          <w:rFonts w:cstheme="minorHAnsi"/>
        </w:rPr>
        <w:t>argue that s</w:t>
      </w:r>
      <w:r w:rsidR="00CA2131" w:rsidRPr="00A77AF6">
        <w:rPr>
          <w:rFonts w:cstheme="minorHAnsi"/>
        </w:rPr>
        <w:t xml:space="preserve">tewardship </w:t>
      </w:r>
      <w:r w:rsidR="00AE3139" w:rsidRPr="00A77AF6">
        <w:rPr>
          <w:rFonts w:cstheme="minorHAnsi"/>
        </w:rPr>
        <w:t>t</w:t>
      </w:r>
      <w:r w:rsidR="00CA2131" w:rsidRPr="00A77AF6">
        <w:rPr>
          <w:rFonts w:cstheme="minorHAnsi"/>
        </w:rPr>
        <w:t xml:space="preserve">heory does not work and that </w:t>
      </w:r>
      <w:r w:rsidRPr="00A77AF6">
        <w:rPr>
          <w:rFonts w:cstheme="minorHAnsi"/>
        </w:rPr>
        <w:t xml:space="preserve">the behaviour of </w:t>
      </w:r>
      <w:r w:rsidR="00BA205C" w:rsidRPr="00A77AF6">
        <w:rPr>
          <w:rFonts w:cstheme="minorHAnsi"/>
        </w:rPr>
        <w:t xml:space="preserve">management </w:t>
      </w:r>
      <w:r w:rsidRPr="00A77AF6">
        <w:rPr>
          <w:rFonts w:cstheme="minorHAnsi"/>
        </w:rPr>
        <w:t xml:space="preserve">boards </w:t>
      </w:r>
      <w:r w:rsidR="00013A5A" w:rsidRPr="00A77AF6">
        <w:rPr>
          <w:rFonts w:cstheme="minorHAnsi"/>
        </w:rPr>
        <w:t>must</w:t>
      </w:r>
      <w:r w:rsidRPr="00A77AF6">
        <w:rPr>
          <w:rFonts w:cstheme="minorHAnsi"/>
        </w:rPr>
        <w:t xml:space="preserve"> be controlled by a set of governance arrangements </w:t>
      </w:r>
      <w:r w:rsidR="00BA205C" w:rsidRPr="00A77AF6">
        <w:rPr>
          <w:rFonts w:cstheme="minorHAnsi"/>
        </w:rPr>
        <w:t xml:space="preserve">different </w:t>
      </w:r>
      <w:r w:rsidRPr="00A77AF6">
        <w:rPr>
          <w:rFonts w:cstheme="minorHAnsi"/>
        </w:rPr>
        <w:t>from those that had been in place since the 19</w:t>
      </w:r>
      <w:r w:rsidRPr="00A77AF6">
        <w:rPr>
          <w:rFonts w:cstheme="minorHAnsi"/>
          <w:vertAlign w:val="superscript"/>
        </w:rPr>
        <w:t>th</w:t>
      </w:r>
      <w:r w:rsidR="00CA2131" w:rsidRPr="00A77AF6">
        <w:rPr>
          <w:rFonts w:cstheme="minorHAnsi"/>
          <w:vertAlign w:val="superscript"/>
        </w:rPr>
        <w:t xml:space="preserve"> </w:t>
      </w:r>
      <w:r w:rsidRPr="00A77AF6">
        <w:rPr>
          <w:rFonts w:cstheme="minorHAnsi"/>
        </w:rPr>
        <w:t>century</w:t>
      </w:r>
      <w:r w:rsidR="00CA2131" w:rsidRPr="00A77AF6">
        <w:rPr>
          <w:rFonts w:cstheme="minorHAnsi"/>
        </w:rPr>
        <w:t xml:space="preserve">. </w:t>
      </w:r>
      <w:r w:rsidR="006B2312" w:rsidRPr="00A77AF6">
        <w:rPr>
          <w:rFonts w:cstheme="minorHAnsi"/>
        </w:rPr>
        <w:t xml:space="preserve">In effect </w:t>
      </w:r>
      <w:r w:rsidRPr="00A77AF6">
        <w:rPr>
          <w:rFonts w:cstheme="minorHAnsi"/>
        </w:rPr>
        <w:t xml:space="preserve">Cadbury’s </w:t>
      </w:r>
      <w:r w:rsidR="00AE3139" w:rsidRPr="00A77AF6">
        <w:rPr>
          <w:rFonts w:cstheme="minorHAnsi"/>
        </w:rPr>
        <w:t>(</w:t>
      </w:r>
      <w:r w:rsidRPr="00A77AF6">
        <w:rPr>
          <w:rFonts w:cstheme="minorHAnsi"/>
        </w:rPr>
        <w:t>1992</w:t>
      </w:r>
      <w:r w:rsidR="00AE3139" w:rsidRPr="00A77AF6">
        <w:rPr>
          <w:rFonts w:cstheme="minorHAnsi"/>
        </w:rPr>
        <w:t>)</w:t>
      </w:r>
      <w:r w:rsidRPr="00A77AF6">
        <w:rPr>
          <w:rFonts w:cstheme="minorHAnsi"/>
        </w:rPr>
        <w:t xml:space="preserve"> recommendations were</w:t>
      </w:r>
      <w:r w:rsidR="00C829EC" w:rsidRPr="00A77AF6">
        <w:rPr>
          <w:rFonts w:cstheme="minorHAnsi"/>
        </w:rPr>
        <w:t xml:space="preserve"> more</w:t>
      </w:r>
    </w:p>
    <w:p w14:paraId="199C5F7A" w14:textId="5933B836" w:rsidR="004945C1" w:rsidRPr="00A77AF6" w:rsidRDefault="004945C1" w:rsidP="001B0403">
      <w:pPr>
        <w:spacing w:after="120" w:line="240" w:lineRule="auto"/>
        <w:ind w:left="720"/>
        <w:rPr>
          <w:rFonts w:cstheme="minorHAnsi"/>
        </w:rPr>
      </w:pPr>
      <w:r w:rsidRPr="00A77AF6">
        <w:rPr>
          <w:rFonts w:cstheme="minorHAnsi"/>
          <w:i/>
        </w:rPr>
        <w:t xml:space="preserve"> ‘in line with agency theory that close monitoring is needed by a governing board to ensure that the management is conforming to the interest of the company.</w:t>
      </w:r>
      <w:r w:rsidR="0009226C" w:rsidRPr="00A77AF6">
        <w:rPr>
          <w:rFonts w:cstheme="minorHAnsi"/>
          <w:i/>
        </w:rPr>
        <w:t>’</w:t>
      </w:r>
      <w:r w:rsidRPr="00A77AF6">
        <w:rPr>
          <w:rFonts w:cstheme="minorHAnsi"/>
        </w:rPr>
        <w:t xml:space="preserve"> </w:t>
      </w:r>
      <w:r w:rsidR="0009226C" w:rsidRPr="00A77AF6">
        <w:rPr>
          <w:rFonts w:cstheme="minorHAnsi"/>
        </w:rPr>
        <w:t>(</w:t>
      </w:r>
      <w:r w:rsidRPr="00A77AF6">
        <w:rPr>
          <w:rFonts w:cstheme="minorHAnsi"/>
        </w:rPr>
        <w:t xml:space="preserve">Hung, 1998, p. 104) </w:t>
      </w:r>
    </w:p>
    <w:p w14:paraId="1F0796B3" w14:textId="4408571E" w:rsidR="004945C1" w:rsidRPr="00A77AF6" w:rsidRDefault="004945C1" w:rsidP="00C829EC">
      <w:pPr>
        <w:spacing w:line="360" w:lineRule="auto"/>
        <w:rPr>
          <w:rFonts w:cstheme="minorHAnsi"/>
        </w:rPr>
      </w:pPr>
      <w:r w:rsidRPr="00A77AF6">
        <w:rPr>
          <w:rFonts w:cstheme="minorHAnsi"/>
        </w:rPr>
        <w:t>Stewardship theory</w:t>
      </w:r>
      <w:r w:rsidR="00CF4AF4" w:rsidRPr="00A77AF6">
        <w:rPr>
          <w:rFonts w:cstheme="minorHAnsi"/>
        </w:rPr>
        <w:t xml:space="preserve"> </w:t>
      </w:r>
      <w:r w:rsidRPr="00A77AF6">
        <w:rPr>
          <w:rFonts w:cstheme="minorHAnsi"/>
        </w:rPr>
        <w:t xml:space="preserve">argues against </w:t>
      </w:r>
      <w:r w:rsidR="00BA205C" w:rsidRPr="00A77AF6">
        <w:rPr>
          <w:rFonts w:cstheme="minorHAnsi"/>
        </w:rPr>
        <w:t>a</w:t>
      </w:r>
      <w:r w:rsidRPr="00A77AF6">
        <w:rPr>
          <w:rFonts w:cstheme="minorHAnsi"/>
        </w:rPr>
        <w:t>gency theory</w:t>
      </w:r>
      <w:r w:rsidR="003520EC" w:rsidRPr="00A77AF6">
        <w:rPr>
          <w:rFonts w:cstheme="minorHAnsi"/>
        </w:rPr>
        <w:t xml:space="preserve"> because </w:t>
      </w:r>
      <w:r w:rsidR="00CB4772">
        <w:rPr>
          <w:rFonts w:cstheme="minorHAnsi"/>
        </w:rPr>
        <w:t xml:space="preserve">it </w:t>
      </w:r>
      <w:r w:rsidRPr="00A77AF6">
        <w:rPr>
          <w:rFonts w:cstheme="minorHAnsi"/>
        </w:rPr>
        <w:t xml:space="preserve">supports the idea that the self-interest </w:t>
      </w:r>
      <w:r w:rsidR="00CF4AF4" w:rsidRPr="00A77AF6">
        <w:rPr>
          <w:rFonts w:cstheme="minorHAnsi"/>
        </w:rPr>
        <w:t>of</w:t>
      </w:r>
      <w:r w:rsidRPr="00A77AF6">
        <w:rPr>
          <w:rFonts w:cstheme="minorHAnsi"/>
        </w:rPr>
        <w:t xml:space="preserve"> an agent can be </w:t>
      </w:r>
      <w:r w:rsidR="00FB4559" w:rsidRPr="00A77AF6">
        <w:rPr>
          <w:rFonts w:cstheme="minorHAnsi"/>
        </w:rPr>
        <w:t>matched</w:t>
      </w:r>
      <w:r w:rsidR="004A41F1" w:rsidRPr="00A77AF6">
        <w:rPr>
          <w:rFonts w:cstheme="minorHAnsi"/>
        </w:rPr>
        <w:t xml:space="preserve"> </w:t>
      </w:r>
      <w:r w:rsidR="00FB4559" w:rsidRPr="00A77AF6">
        <w:rPr>
          <w:rFonts w:cstheme="minorHAnsi"/>
        </w:rPr>
        <w:t>with</w:t>
      </w:r>
      <w:r w:rsidRPr="00A77AF6">
        <w:rPr>
          <w:rFonts w:cstheme="minorHAnsi"/>
        </w:rPr>
        <w:t xml:space="preserve"> the interests of the principal.  </w:t>
      </w:r>
      <w:r w:rsidR="004A41F1" w:rsidRPr="00A77AF6">
        <w:rPr>
          <w:rFonts w:cstheme="minorHAnsi"/>
        </w:rPr>
        <w:t>A</w:t>
      </w:r>
      <w:r w:rsidRPr="00A77AF6">
        <w:rPr>
          <w:rFonts w:cstheme="minorHAnsi"/>
        </w:rPr>
        <w:t xml:space="preserve">gency theory </w:t>
      </w:r>
      <w:r w:rsidR="00B072CF" w:rsidRPr="00A77AF6">
        <w:rPr>
          <w:rFonts w:cstheme="minorHAnsi"/>
        </w:rPr>
        <w:t xml:space="preserve">disagrees because it </w:t>
      </w:r>
      <w:r w:rsidRPr="00A77AF6">
        <w:rPr>
          <w:rFonts w:cstheme="minorHAnsi"/>
        </w:rPr>
        <w:t xml:space="preserve">argues that a rational agent will </w:t>
      </w:r>
      <w:r w:rsidR="00B072CF" w:rsidRPr="00A77AF6">
        <w:rPr>
          <w:rFonts w:cstheme="minorHAnsi"/>
        </w:rPr>
        <w:t xml:space="preserve">always </w:t>
      </w:r>
      <w:r w:rsidRPr="00A77AF6">
        <w:rPr>
          <w:rFonts w:cstheme="minorHAnsi"/>
        </w:rPr>
        <w:t xml:space="preserve">act in their own interests </w:t>
      </w:r>
      <w:r w:rsidR="00BA205C" w:rsidRPr="00A77AF6">
        <w:rPr>
          <w:rFonts w:cstheme="minorHAnsi"/>
        </w:rPr>
        <w:t xml:space="preserve">which </w:t>
      </w:r>
      <w:r w:rsidR="00434810" w:rsidRPr="00A77AF6">
        <w:rPr>
          <w:rFonts w:cstheme="minorHAnsi"/>
        </w:rPr>
        <w:t xml:space="preserve">may </w:t>
      </w:r>
      <w:r w:rsidRPr="00A77AF6">
        <w:rPr>
          <w:rFonts w:cstheme="minorHAnsi"/>
        </w:rPr>
        <w:t xml:space="preserve">not be aligned with those of the principal.  The implication is that </w:t>
      </w:r>
      <w:r w:rsidR="0043354C" w:rsidRPr="00A77AF6">
        <w:rPr>
          <w:rFonts w:cstheme="minorHAnsi"/>
        </w:rPr>
        <w:t>s</w:t>
      </w:r>
      <w:r w:rsidRPr="00A77AF6">
        <w:rPr>
          <w:rFonts w:cstheme="minorHAnsi"/>
        </w:rPr>
        <w:t xml:space="preserve">tewardship </w:t>
      </w:r>
      <w:r w:rsidR="0043354C" w:rsidRPr="00A77AF6">
        <w:rPr>
          <w:rFonts w:cstheme="minorHAnsi"/>
        </w:rPr>
        <w:t>t</w:t>
      </w:r>
      <w:r w:rsidRPr="00A77AF6">
        <w:rPr>
          <w:rFonts w:cstheme="minorHAnsi"/>
        </w:rPr>
        <w:t>heory is based on trust</w:t>
      </w:r>
      <w:r w:rsidR="003E2081" w:rsidRPr="00A77AF6">
        <w:rPr>
          <w:rFonts w:cstheme="minorHAnsi"/>
        </w:rPr>
        <w:t xml:space="preserve"> and </w:t>
      </w:r>
      <w:r w:rsidR="00951E57" w:rsidRPr="00A77AF6">
        <w:rPr>
          <w:rFonts w:cstheme="minorHAnsi"/>
        </w:rPr>
        <w:t>a</w:t>
      </w:r>
      <w:r w:rsidR="003E2081" w:rsidRPr="00A77AF6">
        <w:rPr>
          <w:rFonts w:cstheme="minorHAnsi"/>
        </w:rPr>
        <w:t xml:space="preserve">gency theory </w:t>
      </w:r>
      <w:r w:rsidR="005E3054" w:rsidRPr="00A77AF6">
        <w:rPr>
          <w:rFonts w:cstheme="minorHAnsi"/>
        </w:rPr>
        <w:t xml:space="preserve">is based </w:t>
      </w:r>
      <w:r w:rsidR="003E2081" w:rsidRPr="00A77AF6">
        <w:rPr>
          <w:rFonts w:cstheme="minorHAnsi"/>
        </w:rPr>
        <w:t xml:space="preserve">on </w:t>
      </w:r>
      <w:r w:rsidR="00A3024F" w:rsidRPr="00A77AF6">
        <w:rPr>
          <w:rFonts w:cstheme="minorHAnsi"/>
        </w:rPr>
        <w:t>control</w:t>
      </w:r>
      <w:r w:rsidRPr="00A77AF6">
        <w:rPr>
          <w:rFonts w:cstheme="minorHAnsi"/>
        </w:rPr>
        <w:t xml:space="preserve">.   Critics argue that </w:t>
      </w:r>
      <w:r w:rsidR="00A3024F" w:rsidRPr="00A77AF6">
        <w:rPr>
          <w:rFonts w:cstheme="minorHAnsi"/>
        </w:rPr>
        <w:t xml:space="preserve">the </w:t>
      </w:r>
      <w:r w:rsidR="00951E57" w:rsidRPr="00A77AF6">
        <w:rPr>
          <w:rFonts w:cstheme="minorHAnsi"/>
        </w:rPr>
        <w:t>s</w:t>
      </w:r>
      <w:r w:rsidR="00DB541A" w:rsidRPr="00A77AF6">
        <w:rPr>
          <w:rFonts w:cstheme="minorHAnsi"/>
        </w:rPr>
        <w:t>tewardship</w:t>
      </w:r>
      <w:r w:rsidR="00A3024F" w:rsidRPr="00A77AF6">
        <w:rPr>
          <w:rFonts w:cstheme="minorHAnsi"/>
        </w:rPr>
        <w:t xml:space="preserve"> </w:t>
      </w:r>
      <w:r w:rsidRPr="00A77AF6">
        <w:rPr>
          <w:rFonts w:cstheme="minorHAnsi"/>
        </w:rPr>
        <w:t>model has already been tried, tested and found wanting which is why the Cadbury Report 1992 and its successors were required</w:t>
      </w:r>
      <w:r w:rsidR="00DB541A" w:rsidRPr="00A77AF6">
        <w:rPr>
          <w:rFonts w:cstheme="minorHAnsi"/>
        </w:rPr>
        <w:t xml:space="preserve">. </w:t>
      </w:r>
      <w:r w:rsidR="00CA2131" w:rsidRPr="00A77AF6">
        <w:rPr>
          <w:rFonts w:cstheme="minorHAnsi"/>
        </w:rPr>
        <w:t xml:space="preserve"> </w:t>
      </w:r>
    </w:p>
    <w:p w14:paraId="797E03D2" w14:textId="19E5786B" w:rsidR="005E527C" w:rsidRPr="00A77AF6" w:rsidRDefault="008608B8" w:rsidP="000C3843">
      <w:pPr>
        <w:spacing w:after="0" w:line="360" w:lineRule="auto"/>
        <w:rPr>
          <w:rFonts w:cstheme="minorHAnsi"/>
          <w:b/>
          <w:bCs/>
          <w:i/>
          <w:iCs/>
        </w:rPr>
      </w:pPr>
      <w:r w:rsidRPr="00A77AF6">
        <w:rPr>
          <w:rFonts w:cstheme="minorHAnsi"/>
          <w:b/>
          <w:bCs/>
          <w:i/>
          <w:iCs/>
        </w:rPr>
        <w:t>Stewardship theory and projects</w:t>
      </w:r>
    </w:p>
    <w:p w14:paraId="16B7D40D" w14:textId="739D2364" w:rsidR="00053162" w:rsidRPr="00A77AF6" w:rsidRDefault="00053162" w:rsidP="00C829EC">
      <w:pPr>
        <w:spacing w:line="360" w:lineRule="auto"/>
        <w:rPr>
          <w:rFonts w:cstheme="minorHAnsi"/>
        </w:rPr>
      </w:pPr>
      <w:r w:rsidRPr="00A77AF6">
        <w:rPr>
          <w:rFonts w:cstheme="minorHAnsi"/>
        </w:rPr>
        <w:t>Joslin &amp; Müller (2016) argue</w:t>
      </w:r>
      <w:r w:rsidR="00F126B8" w:rsidRPr="00A77AF6">
        <w:rPr>
          <w:rFonts w:cstheme="minorHAnsi"/>
        </w:rPr>
        <w:t>d</w:t>
      </w:r>
      <w:r w:rsidRPr="00A77AF6">
        <w:rPr>
          <w:rFonts w:cstheme="minorHAnsi"/>
        </w:rPr>
        <w:t xml:space="preserve"> that the commitment of agents is linked to project success and the principal can trust the agent in organisations where the relevant </w:t>
      </w:r>
      <w:r w:rsidR="009B162C" w:rsidRPr="00A77AF6">
        <w:rPr>
          <w:rFonts w:cstheme="minorHAnsi"/>
        </w:rPr>
        <w:t xml:space="preserve">structures are present, and </w:t>
      </w:r>
      <w:r w:rsidRPr="00A77AF6">
        <w:rPr>
          <w:rFonts w:cstheme="minorHAnsi"/>
        </w:rPr>
        <w:t xml:space="preserve">individuals </w:t>
      </w:r>
      <w:r w:rsidR="009B162C" w:rsidRPr="00A77AF6">
        <w:rPr>
          <w:rFonts w:cstheme="minorHAnsi"/>
        </w:rPr>
        <w:t xml:space="preserve">have the </w:t>
      </w:r>
      <w:r w:rsidRPr="00A77AF6">
        <w:rPr>
          <w:rFonts w:cstheme="minorHAnsi"/>
        </w:rPr>
        <w:t xml:space="preserve">appropriate </w:t>
      </w:r>
      <w:r w:rsidR="009B162C" w:rsidRPr="00A77AF6">
        <w:rPr>
          <w:rFonts w:cstheme="minorHAnsi"/>
        </w:rPr>
        <w:t>personality traits for stewardship. Joslin &amp; Müller (2016) recommend that project managers should understand the governance and project governance procedures, and which are specified by the organisation so that they can adjust procedures to suit the project.</w:t>
      </w:r>
      <w:r w:rsidR="00C3052B" w:rsidRPr="00A77AF6">
        <w:rPr>
          <w:rFonts w:cstheme="minorHAnsi"/>
        </w:rPr>
        <w:t xml:space="preserve"> However, t</w:t>
      </w:r>
      <w:r w:rsidR="00143483" w:rsidRPr="00A77AF6">
        <w:rPr>
          <w:rFonts w:cstheme="minorHAnsi"/>
        </w:rPr>
        <w:t xml:space="preserve">here is little literature on the relationship between stewardship theory and project success.  </w:t>
      </w:r>
    </w:p>
    <w:p w14:paraId="012D2088" w14:textId="77777777" w:rsidR="004945C1" w:rsidRPr="00A77AF6" w:rsidRDefault="004945C1" w:rsidP="009843F4">
      <w:pPr>
        <w:pStyle w:val="Heading3"/>
        <w:spacing w:before="240" w:after="120"/>
        <w:rPr>
          <w:rFonts w:asciiTheme="minorHAnsi" w:hAnsiTheme="minorHAnsi" w:cstheme="minorHAnsi"/>
        </w:rPr>
      </w:pPr>
      <w:bookmarkStart w:id="59" w:name="_Toc36275064"/>
      <w:r w:rsidRPr="00A77AF6">
        <w:rPr>
          <w:rFonts w:asciiTheme="minorHAnsi" w:hAnsiTheme="minorHAnsi" w:cstheme="minorHAnsi"/>
        </w:rPr>
        <w:lastRenderedPageBreak/>
        <w:t xml:space="preserve">Stakeholder </w:t>
      </w:r>
      <w:r w:rsidR="000627F5" w:rsidRPr="00A77AF6">
        <w:rPr>
          <w:rFonts w:asciiTheme="minorHAnsi" w:hAnsiTheme="minorHAnsi" w:cstheme="minorHAnsi"/>
        </w:rPr>
        <w:t>t</w:t>
      </w:r>
      <w:r w:rsidRPr="00A77AF6">
        <w:rPr>
          <w:rFonts w:asciiTheme="minorHAnsi" w:hAnsiTheme="minorHAnsi" w:cstheme="minorHAnsi"/>
        </w:rPr>
        <w:t>heory</w:t>
      </w:r>
      <w:bookmarkEnd w:id="59"/>
      <w:r w:rsidRPr="00A77AF6">
        <w:rPr>
          <w:rFonts w:asciiTheme="minorHAnsi" w:hAnsiTheme="minorHAnsi" w:cstheme="minorHAnsi"/>
        </w:rPr>
        <w:t xml:space="preserve"> </w:t>
      </w:r>
    </w:p>
    <w:p w14:paraId="63004315" w14:textId="7F52F42B" w:rsidR="005A4BF8" w:rsidRPr="00A77AF6" w:rsidRDefault="008558A8" w:rsidP="00E96F5F">
      <w:pPr>
        <w:spacing w:line="360" w:lineRule="auto"/>
        <w:rPr>
          <w:rFonts w:cstheme="minorHAnsi"/>
        </w:rPr>
      </w:pPr>
      <w:r w:rsidRPr="00A77AF6">
        <w:rPr>
          <w:rFonts w:cstheme="minorHAnsi"/>
        </w:rPr>
        <w:t xml:space="preserve">Management research has successfully established that corporations have stakeholders </w:t>
      </w:r>
      <w:sdt>
        <w:sdtPr>
          <w:rPr>
            <w:rFonts w:cstheme="minorHAnsi"/>
          </w:rPr>
          <w:id w:val="-1168481758"/>
          <w:citation/>
        </w:sdtPr>
        <w:sdtEndPr/>
        <w:sdtContent>
          <w:r w:rsidRPr="00A77AF6">
            <w:rPr>
              <w:rFonts w:cstheme="minorHAnsi"/>
            </w:rPr>
            <w:fldChar w:fldCharType="begin"/>
          </w:r>
          <w:r w:rsidRPr="00A77AF6">
            <w:rPr>
              <w:rFonts w:cstheme="minorHAnsi"/>
            </w:rPr>
            <w:instrText xml:space="preserve"> CITATION Don95 \l 2057 </w:instrText>
          </w:r>
          <w:r w:rsidRPr="00A77AF6">
            <w:rPr>
              <w:rFonts w:cstheme="minorHAnsi"/>
            </w:rPr>
            <w:fldChar w:fldCharType="separate"/>
          </w:r>
          <w:r w:rsidR="008E653F" w:rsidRPr="00A77AF6">
            <w:rPr>
              <w:rFonts w:cstheme="minorHAnsi"/>
            </w:rPr>
            <w:t>(Donaldson &amp; Preston, 1995)</w:t>
          </w:r>
          <w:r w:rsidRPr="00A77AF6">
            <w:rPr>
              <w:rFonts w:cstheme="minorHAnsi"/>
            </w:rPr>
            <w:fldChar w:fldCharType="end"/>
          </w:r>
        </w:sdtContent>
      </w:sdt>
      <w:r w:rsidR="008C5F56" w:rsidRPr="00A77AF6">
        <w:rPr>
          <w:rFonts w:cstheme="minorHAnsi"/>
        </w:rPr>
        <w:t xml:space="preserve"> and defined </w:t>
      </w:r>
      <w:r w:rsidR="00E22F04" w:rsidRPr="00A77AF6">
        <w:rPr>
          <w:rFonts w:cstheme="minorHAnsi"/>
        </w:rPr>
        <w:t>them</w:t>
      </w:r>
      <w:r w:rsidR="008C5F56" w:rsidRPr="00A77AF6">
        <w:rPr>
          <w:rFonts w:cstheme="minorHAnsi"/>
        </w:rPr>
        <w:t xml:space="preserve"> </w:t>
      </w:r>
      <w:r w:rsidR="006D0C57" w:rsidRPr="00A77AF6">
        <w:rPr>
          <w:rFonts w:cstheme="minorHAnsi"/>
        </w:rPr>
        <w:t>as</w:t>
      </w:r>
      <w:r w:rsidR="008E046F" w:rsidRPr="00A77AF6">
        <w:rPr>
          <w:rFonts w:cstheme="minorHAnsi"/>
        </w:rPr>
        <w:t xml:space="preserve"> any person or </w:t>
      </w:r>
      <w:r w:rsidR="00321680" w:rsidRPr="00A77AF6">
        <w:rPr>
          <w:rFonts w:cstheme="minorHAnsi"/>
        </w:rPr>
        <w:t xml:space="preserve">group </w:t>
      </w:r>
      <w:r w:rsidR="008E046F" w:rsidRPr="00A77AF6">
        <w:rPr>
          <w:rFonts w:cstheme="minorHAnsi"/>
        </w:rPr>
        <w:t xml:space="preserve">who can influence or is affected by the </w:t>
      </w:r>
      <w:r w:rsidR="00C34F8E" w:rsidRPr="00A77AF6">
        <w:rPr>
          <w:rFonts w:cstheme="minorHAnsi"/>
        </w:rPr>
        <w:t xml:space="preserve">actions or achievements of an organization </w:t>
      </w:r>
      <w:sdt>
        <w:sdtPr>
          <w:rPr>
            <w:rFonts w:cstheme="minorHAnsi"/>
          </w:rPr>
          <w:id w:val="1291328295"/>
          <w:citation/>
        </w:sdtPr>
        <w:sdtEndPr/>
        <w:sdtContent>
          <w:r w:rsidR="00C34F8E" w:rsidRPr="00A77AF6">
            <w:rPr>
              <w:rFonts w:cstheme="minorHAnsi"/>
            </w:rPr>
            <w:fldChar w:fldCharType="begin"/>
          </w:r>
          <w:r w:rsidR="006637C0" w:rsidRPr="00A77AF6">
            <w:rPr>
              <w:rFonts w:cstheme="minorHAnsi"/>
            </w:rPr>
            <w:instrText xml:space="preserve">CITATION Fre10 \l 2057 </w:instrText>
          </w:r>
          <w:r w:rsidR="00C34F8E" w:rsidRPr="00A77AF6">
            <w:rPr>
              <w:rFonts w:cstheme="minorHAnsi"/>
            </w:rPr>
            <w:fldChar w:fldCharType="separate"/>
          </w:r>
          <w:r w:rsidR="006637C0" w:rsidRPr="00A77AF6">
            <w:rPr>
              <w:rFonts w:cstheme="minorHAnsi"/>
            </w:rPr>
            <w:t>(Freeman, 2010)</w:t>
          </w:r>
          <w:r w:rsidR="00C34F8E" w:rsidRPr="00A77AF6">
            <w:rPr>
              <w:rFonts w:cstheme="minorHAnsi"/>
            </w:rPr>
            <w:fldChar w:fldCharType="end"/>
          </w:r>
        </w:sdtContent>
      </w:sdt>
      <w:r w:rsidR="00C34F8E" w:rsidRPr="00A77AF6">
        <w:rPr>
          <w:rFonts w:cstheme="minorHAnsi"/>
        </w:rPr>
        <w:t xml:space="preserve">. </w:t>
      </w:r>
      <w:r w:rsidR="00C965D6" w:rsidRPr="00A77AF6">
        <w:rPr>
          <w:rFonts w:cstheme="minorHAnsi"/>
        </w:rPr>
        <w:t xml:space="preserve">Stakeholder theory can be considered in three </w:t>
      </w:r>
      <w:r w:rsidR="0029354E" w:rsidRPr="00A77AF6">
        <w:rPr>
          <w:rFonts w:cstheme="minorHAnsi"/>
        </w:rPr>
        <w:t xml:space="preserve">main </w:t>
      </w:r>
      <w:r w:rsidR="00C965D6" w:rsidRPr="00A77AF6">
        <w:rPr>
          <w:rFonts w:cstheme="minorHAnsi"/>
        </w:rPr>
        <w:t>ways, as descriptive</w:t>
      </w:r>
      <w:r w:rsidR="00522E00" w:rsidRPr="00A77AF6">
        <w:rPr>
          <w:rFonts w:cstheme="minorHAnsi"/>
        </w:rPr>
        <w:t xml:space="preserve">, </w:t>
      </w:r>
      <w:r w:rsidR="00C965D6" w:rsidRPr="00A77AF6">
        <w:rPr>
          <w:rFonts w:cstheme="minorHAnsi"/>
        </w:rPr>
        <w:t>instrumental</w:t>
      </w:r>
      <w:r w:rsidR="004B7187" w:rsidRPr="00A77AF6">
        <w:rPr>
          <w:rFonts w:cstheme="minorHAnsi"/>
        </w:rPr>
        <w:t xml:space="preserve"> or normative</w:t>
      </w:r>
      <w:r w:rsidR="00C965D6" w:rsidRPr="00A77AF6">
        <w:rPr>
          <w:rFonts w:cstheme="minorHAnsi"/>
        </w:rPr>
        <w:t xml:space="preserve"> </w:t>
      </w:r>
      <w:sdt>
        <w:sdtPr>
          <w:rPr>
            <w:rFonts w:cstheme="minorHAnsi"/>
          </w:rPr>
          <w:id w:val="269741219"/>
          <w:citation/>
        </w:sdtPr>
        <w:sdtEndPr/>
        <w:sdtContent>
          <w:r w:rsidR="00C965D6" w:rsidRPr="00A77AF6">
            <w:rPr>
              <w:rFonts w:cstheme="minorHAnsi"/>
            </w:rPr>
            <w:fldChar w:fldCharType="begin"/>
          </w:r>
          <w:r w:rsidR="00C965D6" w:rsidRPr="00A77AF6">
            <w:rPr>
              <w:rFonts w:cstheme="minorHAnsi"/>
            </w:rPr>
            <w:instrText xml:space="preserve">CITATION Don95 \l 2057 </w:instrText>
          </w:r>
          <w:r w:rsidR="00C965D6" w:rsidRPr="00A77AF6">
            <w:rPr>
              <w:rFonts w:cstheme="minorHAnsi"/>
            </w:rPr>
            <w:fldChar w:fldCharType="separate"/>
          </w:r>
          <w:r w:rsidR="008E653F" w:rsidRPr="00A77AF6">
            <w:rPr>
              <w:rFonts w:cstheme="minorHAnsi"/>
            </w:rPr>
            <w:t>(Donaldson &amp; Preston, 1995)</w:t>
          </w:r>
          <w:r w:rsidR="00C965D6" w:rsidRPr="00A77AF6">
            <w:rPr>
              <w:rFonts w:cstheme="minorHAnsi"/>
            </w:rPr>
            <w:fldChar w:fldCharType="end"/>
          </w:r>
        </w:sdtContent>
      </w:sdt>
      <w:r w:rsidR="00C965D6" w:rsidRPr="00A77AF6">
        <w:rPr>
          <w:rFonts w:cstheme="minorHAnsi"/>
        </w:rPr>
        <w:t xml:space="preserve">.  </w:t>
      </w:r>
    </w:p>
    <w:p w14:paraId="51C5AD81" w14:textId="71A27D57" w:rsidR="005259F7" w:rsidRPr="00A77AF6" w:rsidRDefault="005A4BF8" w:rsidP="00E96F5F">
      <w:pPr>
        <w:spacing w:line="360" w:lineRule="auto"/>
        <w:rPr>
          <w:rFonts w:cstheme="minorHAnsi"/>
        </w:rPr>
      </w:pPr>
      <w:r w:rsidRPr="00A77AF6">
        <w:rPr>
          <w:rFonts w:cstheme="minorHAnsi"/>
        </w:rPr>
        <w:t>The d</w:t>
      </w:r>
      <w:r w:rsidR="00C965D6" w:rsidRPr="00A77AF6">
        <w:rPr>
          <w:rFonts w:cstheme="minorHAnsi"/>
        </w:rPr>
        <w:t xml:space="preserve">escriptive </w:t>
      </w:r>
      <w:r w:rsidRPr="00A77AF6">
        <w:rPr>
          <w:rFonts w:cstheme="minorHAnsi"/>
        </w:rPr>
        <w:t xml:space="preserve">view </w:t>
      </w:r>
      <w:r w:rsidR="00C965D6" w:rsidRPr="00A77AF6">
        <w:rPr>
          <w:rFonts w:cstheme="minorHAnsi"/>
        </w:rPr>
        <w:t xml:space="preserve">suggests that stakeholder theory is a description of </w:t>
      </w:r>
      <w:r w:rsidRPr="00A77AF6">
        <w:rPr>
          <w:rFonts w:cstheme="minorHAnsi"/>
        </w:rPr>
        <w:t>stakeholder management</w:t>
      </w:r>
      <w:r w:rsidR="00C965D6" w:rsidRPr="00A77AF6">
        <w:rPr>
          <w:rFonts w:cstheme="minorHAnsi"/>
        </w:rPr>
        <w:t>. The normative view suggests what stakeholder management should be</w:t>
      </w:r>
      <w:r w:rsidRPr="00A77AF6">
        <w:rPr>
          <w:rFonts w:cstheme="minorHAnsi"/>
        </w:rPr>
        <w:t xml:space="preserve">.  This extends stakeholder management beyond the transactional or instrumental view to one that argues that stakeholder managers will act ethically by balancing the views of relevant stakeholders </w:t>
      </w:r>
      <w:sdt>
        <w:sdtPr>
          <w:rPr>
            <w:rFonts w:cstheme="minorHAnsi"/>
          </w:rPr>
          <w:id w:val="1559276615"/>
          <w:citation/>
        </w:sdtPr>
        <w:sdtEndPr/>
        <w:sdtContent>
          <w:r w:rsidRPr="00A77AF6">
            <w:rPr>
              <w:rFonts w:cstheme="minorHAnsi"/>
            </w:rPr>
            <w:fldChar w:fldCharType="begin"/>
          </w:r>
          <w:r w:rsidRPr="00A77AF6">
            <w:rPr>
              <w:rFonts w:cstheme="minorHAnsi"/>
            </w:rPr>
            <w:instrText xml:space="preserve"> CITATION Cen091 \l 2057 </w:instrText>
          </w:r>
          <w:r w:rsidRPr="00A77AF6">
            <w:rPr>
              <w:rFonts w:cstheme="minorHAnsi"/>
            </w:rPr>
            <w:fldChar w:fldCharType="separate"/>
          </w:r>
          <w:r w:rsidR="008E653F" w:rsidRPr="00A77AF6">
            <w:rPr>
              <w:rFonts w:cstheme="minorHAnsi"/>
            </w:rPr>
            <w:t>(Cennamo, et al., 2009)</w:t>
          </w:r>
          <w:r w:rsidRPr="00A77AF6">
            <w:rPr>
              <w:rFonts w:cstheme="minorHAnsi"/>
            </w:rPr>
            <w:fldChar w:fldCharType="end"/>
          </w:r>
        </w:sdtContent>
      </w:sdt>
      <w:r w:rsidRPr="00A77AF6">
        <w:rPr>
          <w:rFonts w:cstheme="minorHAnsi"/>
        </w:rPr>
        <w:t xml:space="preserve">. </w:t>
      </w:r>
      <w:r w:rsidR="00C965D6" w:rsidRPr="00A77AF6">
        <w:rPr>
          <w:rFonts w:cstheme="minorHAnsi"/>
        </w:rPr>
        <w:t xml:space="preserve">The instrumental view argues that stakeholder management is a </w:t>
      </w:r>
      <w:r w:rsidR="008D3E56" w:rsidRPr="00A77AF6">
        <w:rPr>
          <w:rFonts w:cstheme="minorHAnsi"/>
        </w:rPr>
        <w:t>lever</w:t>
      </w:r>
      <w:r w:rsidR="00C965D6" w:rsidRPr="00A77AF6">
        <w:rPr>
          <w:rFonts w:cstheme="minorHAnsi"/>
        </w:rPr>
        <w:t xml:space="preserve"> for achieving competitive advantage</w:t>
      </w:r>
      <w:r w:rsidR="00E97FEC" w:rsidRPr="00A77AF6">
        <w:rPr>
          <w:rFonts w:cstheme="minorHAnsi"/>
        </w:rPr>
        <w:t xml:space="preserve"> so</w:t>
      </w:r>
      <w:r w:rsidR="005259F7" w:rsidRPr="00A77AF6">
        <w:rPr>
          <w:rFonts w:cstheme="minorHAnsi"/>
        </w:rPr>
        <w:t xml:space="preserve"> organisations </w:t>
      </w:r>
      <w:r w:rsidR="00E97FEC" w:rsidRPr="00A77AF6">
        <w:rPr>
          <w:rFonts w:cstheme="minorHAnsi"/>
        </w:rPr>
        <w:t xml:space="preserve">that </w:t>
      </w:r>
      <w:r w:rsidR="005259F7" w:rsidRPr="00A77AF6">
        <w:rPr>
          <w:rFonts w:cstheme="minorHAnsi"/>
        </w:rPr>
        <w:t xml:space="preserve">are effective managers of stakeholders are more successful than those who are not </w:t>
      </w:r>
      <w:sdt>
        <w:sdtPr>
          <w:rPr>
            <w:rFonts w:cstheme="minorHAnsi"/>
          </w:rPr>
          <w:id w:val="-61256396"/>
          <w:citation/>
        </w:sdtPr>
        <w:sdtEndPr/>
        <w:sdtContent>
          <w:r w:rsidR="005259F7" w:rsidRPr="00A77AF6">
            <w:rPr>
              <w:rFonts w:cstheme="minorHAnsi"/>
            </w:rPr>
            <w:fldChar w:fldCharType="begin"/>
          </w:r>
          <w:r w:rsidR="005259F7" w:rsidRPr="00A77AF6">
            <w:rPr>
              <w:rFonts w:cstheme="minorHAnsi"/>
            </w:rPr>
            <w:instrText xml:space="preserve"> CITATION Mil12 \l 2057 </w:instrText>
          </w:r>
          <w:r w:rsidR="005259F7" w:rsidRPr="00A77AF6">
            <w:rPr>
              <w:rFonts w:cstheme="minorHAnsi"/>
            </w:rPr>
            <w:fldChar w:fldCharType="separate"/>
          </w:r>
          <w:r w:rsidR="008E653F" w:rsidRPr="00A77AF6">
            <w:rPr>
              <w:rFonts w:cstheme="minorHAnsi"/>
            </w:rPr>
            <w:t>(Miles, 2012)</w:t>
          </w:r>
          <w:r w:rsidR="005259F7" w:rsidRPr="00A77AF6">
            <w:rPr>
              <w:rFonts w:cstheme="minorHAnsi"/>
            </w:rPr>
            <w:fldChar w:fldCharType="end"/>
          </w:r>
        </w:sdtContent>
      </w:sdt>
      <w:r w:rsidR="005259F7" w:rsidRPr="00A77AF6">
        <w:rPr>
          <w:rFonts w:cstheme="minorHAnsi"/>
        </w:rPr>
        <w:t xml:space="preserve">. </w:t>
      </w:r>
      <w:r w:rsidR="00C965D6" w:rsidRPr="00A77AF6">
        <w:rPr>
          <w:rFonts w:cstheme="minorHAnsi"/>
        </w:rPr>
        <w:t xml:space="preserve">  </w:t>
      </w:r>
      <w:r w:rsidRPr="00A77AF6">
        <w:rPr>
          <w:rFonts w:cstheme="minorHAnsi"/>
        </w:rPr>
        <w:t>However, it too argues that an ethical application of stakeholder management will result in better outcomes (Waddock and Graves, 1997 and</w:t>
      </w:r>
      <w:r w:rsidR="00FE1416" w:rsidRPr="00A77AF6">
        <w:rPr>
          <w:rFonts w:cstheme="minorHAnsi"/>
        </w:rPr>
        <w:t xml:space="preserve"> Mitchell et al, 2007 cited in Cennamo et all, 2009) </w:t>
      </w:r>
    </w:p>
    <w:p w14:paraId="49E83098" w14:textId="4E72E054" w:rsidR="00C965D6" w:rsidRPr="00A77AF6" w:rsidRDefault="00BE1DB4" w:rsidP="001B0403">
      <w:pPr>
        <w:spacing w:after="0" w:line="360" w:lineRule="auto"/>
        <w:rPr>
          <w:rFonts w:cstheme="minorHAnsi"/>
        </w:rPr>
      </w:pPr>
      <w:r>
        <w:rPr>
          <w:rFonts w:cstheme="minorHAnsi"/>
        </w:rPr>
        <w:t>M</w:t>
      </w:r>
      <w:r w:rsidR="00C965D6" w:rsidRPr="00A77AF6">
        <w:rPr>
          <w:rFonts w:cstheme="minorHAnsi"/>
        </w:rPr>
        <w:t>ajor</w:t>
      </w:r>
      <w:r w:rsidR="009F731D" w:rsidRPr="00A77AF6">
        <w:rPr>
          <w:rFonts w:cstheme="minorHAnsi"/>
        </w:rPr>
        <w:t xml:space="preserve"> question</w:t>
      </w:r>
      <w:r>
        <w:rPr>
          <w:rFonts w:cstheme="minorHAnsi"/>
        </w:rPr>
        <w:t>s</w:t>
      </w:r>
      <w:r w:rsidR="009F731D" w:rsidRPr="00A77AF6">
        <w:rPr>
          <w:rFonts w:cstheme="minorHAnsi"/>
        </w:rPr>
        <w:t xml:space="preserve"> </w:t>
      </w:r>
      <w:r w:rsidR="00C34F8E" w:rsidRPr="00A77AF6">
        <w:rPr>
          <w:rFonts w:cstheme="minorHAnsi"/>
        </w:rPr>
        <w:t xml:space="preserve">for stakeholder theory </w:t>
      </w:r>
      <w:r>
        <w:rPr>
          <w:rFonts w:cstheme="minorHAnsi"/>
        </w:rPr>
        <w:t>are</w:t>
      </w:r>
      <w:r w:rsidR="00FE1416" w:rsidRPr="00A77AF6">
        <w:rPr>
          <w:rFonts w:cstheme="minorHAnsi"/>
        </w:rPr>
        <w:t xml:space="preserve"> where to set </w:t>
      </w:r>
      <w:r w:rsidR="00C34F8E" w:rsidRPr="00A77AF6">
        <w:rPr>
          <w:rFonts w:cstheme="minorHAnsi"/>
        </w:rPr>
        <w:t>the boundar</w:t>
      </w:r>
      <w:r w:rsidR="00794680" w:rsidRPr="00A77AF6">
        <w:rPr>
          <w:rFonts w:cstheme="minorHAnsi"/>
        </w:rPr>
        <w:t>y t</w:t>
      </w:r>
      <w:r w:rsidR="00FE1416" w:rsidRPr="00A77AF6">
        <w:rPr>
          <w:rFonts w:cstheme="minorHAnsi"/>
        </w:rPr>
        <w:t>hat divide</w:t>
      </w:r>
      <w:r w:rsidR="00794680" w:rsidRPr="00A77AF6">
        <w:rPr>
          <w:rFonts w:cstheme="minorHAnsi"/>
        </w:rPr>
        <w:t>s</w:t>
      </w:r>
      <w:r w:rsidR="00FE1416" w:rsidRPr="00A77AF6">
        <w:rPr>
          <w:rFonts w:cstheme="minorHAnsi"/>
        </w:rPr>
        <w:t xml:space="preserve"> stakeholder and non-stakeholder</w:t>
      </w:r>
      <w:r>
        <w:rPr>
          <w:rFonts w:cstheme="minorHAnsi"/>
        </w:rPr>
        <w:t>, and</w:t>
      </w:r>
      <w:r w:rsidR="00794680" w:rsidRPr="00A77AF6">
        <w:rPr>
          <w:rFonts w:cstheme="minorHAnsi"/>
        </w:rPr>
        <w:t xml:space="preserve"> </w:t>
      </w:r>
      <w:r>
        <w:rPr>
          <w:rFonts w:cstheme="minorHAnsi"/>
        </w:rPr>
        <w:t xml:space="preserve">where to set </w:t>
      </w:r>
      <w:r w:rsidR="00794680" w:rsidRPr="00A77AF6">
        <w:rPr>
          <w:rFonts w:cstheme="minorHAnsi"/>
        </w:rPr>
        <w:t>the boundaries between different stakeholders</w:t>
      </w:r>
      <w:r w:rsidR="00FE1416" w:rsidRPr="00A77AF6">
        <w:rPr>
          <w:rFonts w:cstheme="minorHAnsi"/>
        </w:rPr>
        <w:t xml:space="preserve">. </w:t>
      </w:r>
      <w:r w:rsidR="00794680" w:rsidRPr="00A77AF6">
        <w:rPr>
          <w:rFonts w:cstheme="minorHAnsi"/>
        </w:rPr>
        <w:t xml:space="preserve">Harrison, et al (2010) argue that there is no clear priority of the interests of one group over those of another. For managers this has the practical difficulty of knowing  who to exclude, who to include and how to subdivide stakeholders into manageable groups. In short, </w:t>
      </w:r>
      <w:r w:rsidR="007011E2" w:rsidRPr="00A77AF6">
        <w:rPr>
          <w:rFonts w:cstheme="minorHAnsi"/>
        </w:rPr>
        <w:t xml:space="preserve">managers </w:t>
      </w:r>
      <w:r w:rsidR="00680FEA" w:rsidRPr="00A77AF6">
        <w:rPr>
          <w:rFonts w:cstheme="minorHAnsi"/>
        </w:rPr>
        <w:t>must</w:t>
      </w:r>
      <w:r w:rsidR="007011E2" w:rsidRPr="00A77AF6">
        <w:rPr>
          <w:rFonts w:cstheme="minorHAnsi"/>
        </w:rPr>
        <w:t xml:space="preserve"> resolve the question about </w:t>
      </w:r>
      <w:r w:rsidR="00794680" w:rsidRPr="00A77AF6">
        <w:rPr>
          <w:rFonts w:cstheme="minorHAnsi"/>
        </w:rPr>
        <w:t>whether it is possible or desirable to have a broad or narrow definition of stakeholder</w:t>
      </w:r>
      <w:r w:rsidR="00CB4772">
        <w:rPr>
          <w:rFonts w:cstheme="minorHAnsi"/>
        </w:rPr>
        <w:t xml:space="preserve">s </w:t>
      </w:r>
      <w:r w:rsidR="00794680" w:rsidRPr="00A77AF6">
        <w:rPr>
          <w:rFonts w:cstheme="minorHAnsi"/>
        </w:rPr>
        <w:t xml:space="preserve">(Donaldson &amp; Preston, 1995).  </w:t>
      </w:r>
      <w:r w:rsidR="007011E2" w:rsidRPr="00A77AF6">
        <w:rPr>
          <w:rFonts w:cstheme="minorHAnsi"/>
        </w:rPr>
        <w:t>To be clear a wide definition of stakeholder</w:t>
      </w:r>
      <w:r w:rsidR="00CB4772">
        <w:rPr>
          <w:rFonts w:cstheme="minorHAnsi"/>
        </w:rPr>
        <w:t>s</w:t>
      </w:r>
      <w:r w:rsidR="007011E2" w:rsidRPr="00A77AF6">
        <w:rPr>
          <w:rFonts w:cstheme="minorHAnsi"/>
        </w:rPr>
        <w:t xml:space="preserve"> could include </w:t>
      </w:r>
    </w:p>
    <w:p w14:paraId="46853554" w14:textId="0C71AEF1" w:rsidR="006D0C57" w:rsidRPr="00A77AF6" w:rsidRDefault="006D0C57" w:rsidP="001B0403">
      <w:pPr>
        <w:spacing w:after="120" w:line="240" w:lineRule="auto"/>
        <w:ind w:left="720"/>
        <w:rPr>
          <w:rFonts w:cstheme="minorHAnsi"/>
        </w:rPr>
      </w:pPr>
      <w:r w:rsidRPr="00A77AF6">
        <w:rPr>
          <w:rFonts w:cstheme="minorHAnsi"/>
          <w:i/>
        </w:rPr>
        <w:t>‘employees, customers, suppliers, stockholders, banks, environmentalists, government and other groups who can help or hurt the corporation’</w:t>
      </w:r>
      <w:r w:rsidRPr="00A77AF6">
        <w:rPr>
          <w:rFonts w:cstheme="minorHAnsi"/>
        </w:rPr>
        <w:t xml:space="preserve"> </w:t>
      </w:r>
      <w:sdt>
        <w:sdtPr>
          <w:rPr>
            <w:rFonts w:cstheme="minorHAnsi"/>
          </w:rPr>
          <w:id w:val="557283928"/>
          <w:citation/>
        </w:sdtPr>
        <w:sdtEndPr/>
        <w:sdtContent>
          <w:r w:rsidRPr="00A77AF6">
            <w:rPr>
              <w:rFonts w:cstheme="minorHAnsi"/>
            </w:rPr>
            <w:fldChar w:fldCharType="begin"/>
          </w:r>
          <w:r w:rsidRPr="00A77AF6">
            <w:rPr>
              <w:rFonts w:cstheme="minorHAnsi"/>
            </w:rPr>
            <w:instrText xml:space="preserve">CITATION Hun98 \p 106 \l 2057 </w:instrText>
          </w:r>
          <w:r w:rsidRPr="00A77AF6">
            <w:rPr>
              <w:rFonts w:cstheme="minorHAnsi"/>
            </w:rPr>
            <w:fldChar w:fldCharType="separate"/>
          </w:r>
          <w:r w:rsidR="008E653F" w:rsidRPr="00A77AF6">
            <w:rPr>
              <w:rFonts w:cstheme="minorHAnsi"/>
            </w:rPr>
            <w:t>(Hung, 1998, p. 106)</w:t>
          </w:r>
          <w:r w:rsidRPr="00A77AF6">
            <w:rPr>
              <w:rFonts w:cstheme="minorHAnsi"/>
            </w:rPr>
            <w:fldChar w:fldCharType="end"/>
          </w:r>
        </w:sdtContent>
      </w:sdt>
      <w:r w:rsidRPr="00A77AF6">
        <w:rPr>
          <w:rFonts w:cstheme="minorHAnsi"/>
        </w:rPr>
        <w:t xml:space="preserve">.  </w:t>
      </w:r>
    </w:p>
    <w:p w14:paraId="1D9F42C0" w14:textId="2A0128B7" w:rsidR="007011E2" w:rsidRPr="00A77AF6" w:rsidRDefault="007011E2" w:rsidP="007011E2">
      <w:pPr>
        <w:spacing w:line="360" w:lineRule="auto"/>
        <w:rPr>
          <w:rFonts w:cstheme="minorHAnsi"/>
        </w:rPr>
      </w:pPr>
      <w:r w:rsidRPr="00A77AF6">
        <w:rPr>
          <w:rFonts w:cstheme="minorHAnsi"/>
        </w:rPr>
        <w:t xml:space="preserve">Whilst a narrow definition would include only those major groups or individuals who are considered to have a legitimate interest whilst excluding those who are distant from the operation or objectives of an organisation </w:t>
      </w:r>
      <w:sdt>
        <w:sdtPr>
          <w:rPr>
            <w:rFonts w:cstheme="minorHAnsi"/>
          </w:rPr>
          <w:id w:val="-437296399"/>
          <w:citation/>
        </w:sdtPr>
        <w:sdtEndPr/>
        <w:sdtContent>
          <w:r w:rsidRPr="00A77AF6">
            <w:rPr>
              <w:rFonts w:cstheme="minorHAnsi"/>
            </w:rPr>
            <w:fldChar w:fldCharType="begin"/>
          </w:r>
          <w:r w:rsidRPr="00A77AF6">
            <w:rPr>
              <w:rFonts w:cstheme="minorHAnsi"/>
            </w:rPr>
            <w:instrText xml:space="preserve"> CITATION Mil12 \l 2057 </w:instrText>
          </w:r>
          <w:r w:rsidRPr="00A77AF6">
            <w:rPr>
              <w:rFonts w:cstheme="minorHAnsi"/>
            </w:rPr>
            <w:fldChar w:fldCharType="separate"/>
          </w:r>
          <w:r w:rsidR="008E653F" w:rsidRPr="00A77AF6">
            <w:rPr>
              <w:rFonts w:cstheme="minorHAnsi"/>
            </w:rPr>
            <w:t>(Miles, 2012)</w:t>
          </w:r>
          <w:r w:rsidRPr="00A77AF6">
            <w:rPr>
              <w:rFonts w:cstheme="minorHAnsi"/>
            </w:rPr>
            <w:fldChar w:fldCharType="end"/>
          </w:r>
        </w:sdtContent>
      </w:sdt>
      <w:r w:rsidRPr="00A77AF6">
        <w:rPr>
          <w:rFonts w:cstheme="minorHAnsi"/>
        </w:rPr>
        <w:t xml:space="preserve">.  Even this is problematic as boundary setting has a moral component to it </w:t>
      </w:r>
      <w:r w:rsidR="009A4C50" w:rsidRPr="00A77AF6">
        <w:rPr>
          <w:rFonts w:cstheme="minorHAnsi"/>
        </w:rPr>
        <w:t>a</w:t>
      </w:r>
      <w:r w:rsidR="00396CAD" w:rsidRPr="00A77AF6">
        <w:rPr>
          <w:rFonts w:cstheme="minorHAnsi"/>
        </w:rPr>
        <w:t xml:space="preserve">nd </w:t>
      </w:r>
      <w:r w:rsidRPr="00A77AF6">
        <w:rPr>
          <w:rFonts w:cstheme="minorHAnsi"/>
        </w:rPr>
        <w:t xml:space="preserve">the decision to exclude someone may be contested on grounds of fairness or justice (Freeman, 2004).  </w:t>
      </w:r>
    </w:p>
    <w:p w14:paraId="2B39342C" w14:textId="4B073226" w:rsidR="003E7199" w:rsidRPr="00A77AF6" w:rsidRDefault="007011E2" w:rsidP="003E7199">
      <w:pPr>
        <w:spacing w:line="360" w:lineRule="auto"/>
        <w:rPr>
          <w:rFonts w:cstheme="minorHAnsi"/>
        </w:rPr>
      </w:pPr>
      <w:r w:rsidRPr="00A77AF6">
        <w:rPr>
          <w:rFonts w:cstheme="minorHAnsi"/>
        </w:rPr>
        <w:t>Despite these problems, there have been several attempts to define stakeholders</w:t>
      </w:r>
      <w:r w:rsidR="00680FEA" w:rsidRPr="00A77AF6">
        <w:rPr>
          <w:rFonts w:cstheme="minorHAnsi"/>
        </w:rPr>
        <w:t xml:space="preserve">, partly because of the need to create groups that can be managed. </w:t>
      </w:r>
      <w:r w:rsidRPr="00A77AF6">
        <w:rPr>
          <w:rFonts w:cstheme="minorHAnsi"/>
        </w:rPr>
        <w:t xml:space="preserve"> These have included </w:t>
      </w:r>
      <w:r w:rsidR="003E7199" w:rsidRPr="00A77AF6">
        <w:rPr>
          <w:rFonts w:cstheme="minorHAnsi"/>
        </w:rPr>
        <w:t xml:space="preserve">definitions such as ‘primary and secondary’ stakeholders </w:t>
      </w:r>
      <w:sdt>
        <w:sdtPr>
          <w:rPr>
            <w:rFonts w:cstheme="minorHAnsi"/>
          </w:rPr>
          <w:id w:val="-1798437805"/>
          <w:citation/>
        </w:sdtPr>
        <w:sdtEndPr/>
        <w:sdtContent>
          <w:r w:rsidR="003E7199" w:rsidRPr="00A77AF6">
            <w:rPr>
              <w:rFonts w:cstheme="minorHAnsi"/>
            </w:rPr>
            <w:fldChar w:fldCharType="begin"/>
          </w:r>
          <w:r w:rsidR="003E7199" w:rsidRPr="00A77AF6">
            <w:rPr>
              <w:rFonts w:cstheme="minorHAnsi"/>
            </w:rPr>
            <w:instrText xml:space="preserve">CITATION Cla95 \p 105 \l 2057 </w:instrText>
          </w:r>
          <w:r w:rsidR="003E7199" w:rsidRPr="00A77AF6">
            <w:rPr>
              <w:rFonts w:cstheme="minorHAnsi"/>
            </w:rPr>
            <w:fldChar w:fldCharType="separate"/>
          </w:r>
          <w:r w:rsidR="008E653F" w:rsidRPr="00A77AF6">
            <w:rPr>
              <w:rFonts w:cstheme="minorHAnsi"/>
            </w:rPr>
            <w:t>(Clarkson, 1995, p. 105)</w:t>
          </w:r>
          <w:r w:rsidR="003E7199" w:rsidRPr="00A77AF6">
            <w:rPr>
              <w:rFonts w:cstheme="minorHAnsi"/>
            </w:rPr>
            <w:fldChar w:fldCharType="end"/>
          </w:r>
        </w:sdtContent>
      </w:sdt>
      <w:r w:rsidR="003E7199" w:rsidRPr="00A77AF6">
        <w:rPr>
          <w:rFonts w:cstheme="minorHAnsi"/>
        </w:rPr>
        <w:t>; or narrow versus broad stakeholder strategies</w:t>
      </w:r>
      <w:sdt>
        <w:sdtPr>
          <w:rPr>
            <w:rFonts w:cstheme="minorHAnsi"/>
          </w:rPr>
          <w:id w:val="-795443441"/>
          <w:citation/>
        </w:sdtPr>
        <w:sdtEndPr/>
        <w:sdtContent>
          <w:r w:rsidR="003E7199" w:rsidRPr="00A77AF6">
            <w:rPr>
              <w:rFonts w:cstheme="minorHAnsi"/>
            </w:rPr>
            <w:fldChar w:fldCharType="begin"/>
          </w:r>
          <w:r w:rsidR="003E7199" w:rsidRPr="00A77AF6">
            <w:rPr>
              <w:rFonts w:cstheme="minorHAnsi"/>
            </w:rPr>
            <w:instrText xml:space="preserve"> CITATION Gre01 \l 2057 </w:instrText>
          </w:r>
          <w:r w:rsidR="003E7199" w:rsidRPr="00A77AF6">
            <w:rPr>
              <w:rFonts w:cstheme="minorHAnsi"/>
            </w:rPr>
            <w:fldChar w:fldCharType="separate"/>
          </w:r>
          <w:r w:rsidR="008E653F" w:rsidRPr="00A77AF6">
            <w:rPr>
              <w:rFonts w:cstheme="minorHAnsi"/>
            </w:rPr>
            <w:t xml:space="preserve"> (Greenwood, 2001)</w:t>
          </w:r>
          <w:r w:rsidR="003E7199" w:rsidRPr="00A77AF6">
            <w:rPr>
              <w:rFonts w:cstheme="minorHAnsi"/>
            </w:rPr>
            <w:fldChar w:fldCharType="end"/>
          </w:r>
        </w:sdtContent>
      </w:sdt>
      <w:r w:rsidR="003E7199" w:rsidRPr="00A77AF6">
        <w:rPr>
          <w:rFonts w:cstheme="minorHAnsi"/>
        </w:rPr>
        <w:t xml:space="preserve"> and the balancing of disparate stakeholder positions </w:t>
      </w:r>
      <w:sdt>
        <w:sdtPr>
          <w:rPr>
            <w:rFonts w:cstheme="minorHAnsi"/>
          </w:rPr>
          <w:id w:val="-457798164"/>
          <w:citation/>
        </w:sdtPr>
        <w:sdtEndPr/>
        <w:sdtContent>
          <w:r w:rsidR="003E7199" w:rsidRPr="00A77AF6">
            <w:rPr>
              <w:rFonts w:cstheme="minorHAnsi"/>
            </w:rPr>
            <w:fldChar w:fldCharType="begin"/>
          </w:r>
          <w:r w:rsidR="003E7199" w:rsidRPr="00A77AF6">
            <w:rPr>
              <w:rFonts w:cstheme="minorHAnsi"/>
            </w:rPr>
            <w:instrText xml:space="preserve"> CITATION Buo85 \l 2057 </w:instrText>
          </w:r>
          <w:r w:rsidR="003E7199" w:rsidRPr="00A77AF6">
            <w:rPr>
              <w:rFonts w:cstheme="minorHAnsi"/>
            </w:rPr>
            <w:fldChar w:fldCharType="separate"/>
          </w:r>
          <w:r w:rsidR="008E653F" w:rsidRPr="00A77AF6">
            <w:rPr>
              <w:rFonts w:cstheme="minorHAnsi"/>
            </w:rPr>
            <w:t>(Buono &amp; Nichols, 1985)</w:t>
          </w:r>
          <w:r w:rsidR="003E7199" w:rsidRPr="00A77AF6">
            <w:rPr>
              <w:rFonts w:cstheme="minorHAnsi"/>
            </w:rPr>
            <w:fldChar w:fldCharType="end"/>
          </w:r>
        </w:sdtContent>
      </w:sdt>
      <w:r w:rsidR="003E7199" w:rsidRPr="00A77AF6">
        <w:rPr>
          <w:rFonts w:cstheme="minorHAnsi"/>
        </w:rPr>
        <w:t xml:space="preserve">.  Sirgy (2002) argued that the relationship quality between three groups of stakeholders is important: among Internal stakeholders; between internal and external stakeholders and between internal and distal stakeholders.  Internal stakeholders encompass staff groups from employees to the board of directors, whilst external stakeholders include groups such as clients, the local community, shareholders, suppliers and creditors.  The distal stakeholder category includes competitors, government agencies, advocacy groups and others.  </w:t>
      </w:r>
    </w:p>
    <w:p w14:paraId="0719F2A0" w14:textId="48949B2F" w:rsidR="00680FEA" w:rsidRPr="00A77AF6" w:rsidRDefault="00680FEA" w:rsidP="003E7199">
      <w:pPr>
        <w:spacing w:line="360" w:lineRule="auto"/>
        <w:rPr>
          <w:rFonts w:cstheme="minorHAnsi"/>
        </w:rPr>
      </w:pPr>
      <w:r w:rsidRPr="00A77AF6">
        <w:rPr>
          <w:rFonts w:cstheme="minorHAnsi"/>
        </w:rPr>
        <w:t xml:space="preserve">In summary, the three stakeholder theories discussed here explain what stakeholder management is, what it should be and why it is done. The problem of stakeholder definition remains contested. The exclusion of groups or individuals from a stakeholder role </w:t>
      </w:r>
      <w:r w:rsidR="003D3B02" w:rsidRPr="00A77AF6">
        <w:rPr>
          <w:rFonts w:cstheme="minorHAnsi"/>
        </w:rPr>
        <w:t xml:space="preserve">can be questioned on the grounds of fairness and so can the categorization of people or groups once they are accepted as stakeholders.  These are practical problems for </w:t>
      </w:r>
      <w:r w:rsidR="007442F9" w:rsidRPr="00A77AF6">
        <w:rPr>
          <w:rFonts w:cstheme="minorHAnsi"/>
        </w:rPr>
        <w:t>managers who must classify stakeholder</w:t>
      </w:r>
      <w:r w:rsidR="00434810" w:rsidRPr="00A77AF6">
        <w:rPr>
          <w:rFonts w:cstheme="minorHAnsi"/>
        </w:rPr>
        <w:t>s</w:t>
      </w:r>
      <w:r w:rsidR="007442F9" w:rsidRPr="00A77AF6">
        <w:rPr>
          <w:rFonts w:cstheme="minorHAnsi"/>
        </w:rPr>
        <w:t xml:space="preserve"> so </w:t>
      </w:r>
      <w:r w:rsidR="00434810" w:rsidRPr="00A77AF6">
        <w:rPr>
          <w:rFonts w:cstheme="minorHAnsi"/>
        </w:rPr>
        <w:t xml:space="preserve">they can </w:t>
      </w:r>
      <w:r w:rsidR="007442F9" w:rsidRPr="00A77AF6">
        <w:rPr>
          <w:rFonts w:cstheme="minorHAnsi"/>
        </w:rPr>
        <w:t>man</w:t>
      </w:r>
      <w:r w:rsidR="002F6670" w:rsidRPr="00A77AF6">
        <w:rPr>
          <w:rFonts w:cstheme="minorHAnsi"/>
        </w:rPr>
        <w:t>a</w:t>
      </w:r>
      <w:r w:rsidR="007442F9" w:rsidRPr="00A77AF6">
        <w:rPr>
          <w:rFonts w:cstheme="minorHAnsi"/>
        </w:rPr>
        <w:t xml:space="preserve">ge them effectively. </w:t>
      </w:r>
    </w:p>
    <w:p w14:paraId="20205C53" w14:textId="59DF137A" w:rsidR="003E7199" w:rsidRPr="00A77AF6" w:rsidRDefault="003E7199" w:rsidP="001B0403">
      <w:pPr>
        <w:pStyle w:val="Heading4"/>
        <w:numPr>
          <w:ilvl w:val="0"/>
          <w:numId w:val="0"/>
        </w:numPr>
        <w:spacing w:after="120" w:line="240" w:lineRule="auto"/>
        <w:ind w:left="862" w:hanging="862"/>
      </w:pPr>
      <w:r w:rsidRPr="00A77AF6">
        <w:t>Stakeholder theory and projects</w:t>
      </w:r>
    </w:p>
    <w:p w14:paraId="783D93B0" w14:textId="61A76CFC" w:rsidR="00F6316A" w:rsidRPr="00A77AF6" w:rsidRDefault="003E7199" w:rsidP="003E7199">
      <w:pPr>
        <w:spacing w:line="360" w:lineRule="auto"/>
        <w:rPr>
          <w:rFonts w:cstheme="minorHAnsi"/>
        </w:rPr>
      </w:pPr>
      <w:r w:rsidRPr="00A77AF6">
        <w:rPr>
          <w:rFonts w:cstheme="minorHAnsi"/>
        </w:rPr>
        <w:t xml:space="preserve">The literature on projects and construction project management </w:t>
      </w:r>
      <w:r w:rsidR="00A052CA" w:rsidRPr="00A77AF6">
        <w:rPr>
          <w:rFonts w:cstheme="minorHAnsi"/>
        </w:rPr>
        <w:t>generally</w:t>
      </w:r>
      <w:r w:rsidR="00EB6575" w:rsidRPr="00A77AF6">
        <w:rPr>
          <w:rFonts w:cstheme="minorHAnsi"/>
        </w:rPr>
        <w:t xml:space="preserve"> </w:t>
      </w:r>
      <w:r w:rsidRPr="00A77AF6">
        <w:rPr>
          <w:rFonts w:cstheme="minorHAnsi"/>
        </w:rPr>
        <w:t xml:space="preserve">adopts the instrumental view of stakeholders. </w:t>
      </w:r>
      <w:r w:rsidR="00EB6575" w:rsidRPr="00A77AF6">
        <w:rPr>
          <w:rFonts w:cstheme="minorHAnsi"/>
        </w:rPr>
        <w:t xml:space="preserve">Industry </w:t>
      </w:r>
      <w:r w:rsidR="00A7501F" w:rsidRPr="00A77AF6">
        <w:rPr>
          <w:rFonts w:cstheme="minorHAnsi"/>
        </w:rPr>
        <w:t xml:space="preserve">guidance is clear that the purpose of stakeholder management is for project success (PRINCE2®, PMI, APM </w:t>
      </w:r>
      <w:r w:rsidR="00831879" w:rsidRPr="00A77AF6">
        <w:rPr>
          <w:rFonts w:cstheme="minorHAnsi"/>
        </w:rPr>
        <w:t xml:space="preserve">BSI, 2012). </w:t>
      </w:r>
      <w:r w:rsidR="0092367F" w:rsidRPr="00A77AF6">
        <w:rPr>
          <w:rFonts w:cstheme="minorHAnsi"/>
        </w:rPr>
        <w:t>Pro</w:t>
      </w:r>
      <w:r w:rsidR="002F6670" w:rsidRPr="00A77AF6">
        <w:rPr>
          <w:rFonts w:cstheme="minorHAnsi"/>
        </w:rPr>
        <w:t>ject</w:t>
      </w:r>
      <w:r w:rsidR="0092367F" w:rsidRPr="00A77AF6">
        <w:rPr>
          <w:rFonts w:cstheme="minorHAnsi"/>
        </w:rPr>
        <w:t xml:space="preserve"> managem</w:t>
      </w:r>
      <w:r w:rsidR="002F6670" w:rsidRPr="00A77AF6">
        <w:rPr>
          <w:rFonts w:cstheme="minorHAnsi"/>
        </w:rPr>
        <w:t xml:space="preserve">ent </w:t>
      </w:r>
      <w:r w:rsidR="0092367F" w:rsidRPr="00A77AF6">
        <w:rPr>
          <w:rFonts w:cstheme="minorHAnsi"/>
        </w:rPr>
        <w:t>research</w:t>
      </w:r>
      <w:r w:rsidR="00A7501F" w:rsidRPr="00A77AF6">
        <w:rPr>
          <w:rFonts w:cstheme="minorHAnsi"/>
        </w:rPr>
        <w:t xml:space="preserve"> </w:t>
      </w:r>
      <w:r w:rsidR="00831879" w:rsidRPr="00A77AF6">
        <w:rPr>
          <w:rFonts w:cstheme="minorHAnsi"/>
        </w:rPr>
        <w:t>supports this view</w:t>
      </w:r>
      <w:r w:rsidR="0092367F" w:rsidRPr="00A77AF6">
        <w:rPr>
          <w:rFonts w:cstheme="minorHAnsi"/>
        </w:rPr>
        <w:t xml:space="preserve"> noting that stakeholder management is used for achieving success by reducing risk and improving project performance</w:t>
      </w:r>
      <w:r w:rsidR="00831879" w:rsidRPr="00A77AF6">
        <w:rPr>
          <w:rFonts w:cstheme="minorHAnsi"/>
        </w:rPr>
        <w:t xml:space="preserve"> </w:t>
      </w:r>
      <w:sdt>
        <w:sdtPr>
          <w:rPr>
            <w:rFonts w:cstheme="minorHAnsi"/>
          </w:rPr>
          <w:id w:val="1002161181"/>
          <w:citation/>
        </w:sdtPr>
        <w:sdtEndPr/>
        <w:sdtContent>
          <w:r w:rsidR="00831879" w:rsidRPr="00A77AF6">
            <w:rPr>
              <w:rFonts w:cstheme="minorHAnsi"/>
            </w:rPr>
            <w:fldChar w:fldCharType="begin"/>
          </w:r>
          <w:r w:rsidR="00831879" w:rsidRPr="00A77AF6">
            <w:rPr>
              <w:rFonts w:cstheme="minorHAnsi"/>
            </w:rPr>
            <w:instrText xml:space="preserve"> CITATION Lit10 \l 2057 </w:instrText>
          </w:r>
          <w:r w:rsidR="00831879" w:rsidRPr="00A77AF6">
            <w:rPr>
              <w:rFonts w:cstheme="minorHAnsi"/>
            </w:rPr>
            <w:fldChar w:fldCharType="separate"/>
          </w:r>
          <w:r w:rsidR="008E653F" w:rsidRPr="00A77AF6">
            <w:rPr>
              <w:rFonts w:cstheme="minorHAnsi"/>
            </w:rPr>
            <w:t>(Littau, et al., 2010)</w:t>
          </w:r>
          <w:r w:rsidR="00831879" w:rsidRPr="00A77AF6">
            <w:rPr>
              <w:rFonts w:cstheme="minorHAnsi"/>
            </w:rPr>
            <w:fldChar w:fldCharType="end"/>
          </w:r>
        </w:sdtContent>
      </w:sdt>
      <w:r w:rsidR="00831879" w:rsidRPr="00A77AF6">
        <w:rPr>
          <w:rFonts w:cstheme="minorHAnsi"/>
        </w:rPr>
        <w:t xml:space="preserve">. </w:t>
      </w:r>
      <w:r w:rsidR="0092367F" w:rsidRPr="00A77AF6">
        <w:rPr>
          <w:rFonts w:cstheme="minorHAnsi"/>
        </w:rPr>
        <w:t xml:space="preserve"> </w:t>
      </w:r>
      <w:r w:rsidR="005829A6" w:rsidRPr="00A77AF6">
        <w:rPr>
          <w:rFonts w:cstheme="minorHAnsi"/>
        </w:rPr>
        <w:t>S</w:t>
      </w:r>
      <w:r w:rsidR="0092367F" w:rsidRPr="00A77AF6">
        <w:rPr>
          <w:rFonts w:cstheme="minorHAnsi"/>
        </w:rPr>
        <w:t>takeholder management process</w:t>
      </w:r>
      <w:r w:rsidR="005829A6" w:rsidRPr="00A77AF6">
        <w:rPr>
          <w:rFonts w:cstheme="minorHAnsi"/>
        </w:rPr>
        <w:t>es are</w:t>
      </w:r>
      <w:r w:rsidR="0092367F" w:rsidRPr="00A77AF6">
        <w:rPr>
          <w:rFonts w:cstheme="minorHAnsi"/>
        </w:rPr>
        <w:t xml:space="preserve"> widely agreed </w:t>
      </w:r>
      <w:r w:rsidR="005829A6" w:rsidRPr="00A77AF6">
        <w:rPr>
          <w:rFonts w:cstheme="minorHAnsi"/>
        </w:rPr>
        <w:t>and</w:t>
      </w:r>
      <w:r w:rsidR="0092367F" w:rsidRPr="00A77AF6">
        <w:rPr>
          <w:rFonts w:cstheme="minorHAnsi"/>
        </w:rPr>
        <w:t xml:space="preserve"> </w:t>
      </w:r>
      <w:r w:rsidR="006A78A5" w:rsidRPr="00A77AF6">
        <w:rPr>
          <w:rFonts w:cstheme="minorHAnsi"/>
        </w:rPr>
        <w:t xml:space="preserve">coalesce around </w:t>
      </w:r>
      <w:r w:rsidR="0092367F" w:rsidRPr="00A77AF6">
        <w:rPr>
          <w:rFonts w:cstheme="minorHAnsi"/>
        </w:rPr>
        <w:t>identifying</w:t>
      </w:r>
      <w:r w:rsidR="006A78A5" w:rsidRPr="00A77AF6">
        <w:rPr>
          <w:rFonts w:cstheme="minorHAnsi"/>
        </w:rPr>
        <w:t xml:space="preserve"> stakeholders, </w:t>
      </w:r>
      <w:r w:rsidR="0092367F" w:rsidRPr="00A77AF6">
        <w:rPr>
          <w:rFonts w:cstheme="minorHAnsi"/>
        </w:rPr>
        <w:t xml:space="preserve">assessing </w:t>
      </w:r>
      <w:r w:rsidR="006A78A5" w:rsidRPr="00A77AF6">
        <w:rPr>
          <w:rFonts w:cstheme="minorHAnsi"/>
        </w:rPr>
        <w:t xml:space="preserve">their </w:t>
      </w:r>
      <w:r w:rsidR="00EB6575" w:rsidRPr="00A77AF6">
        <w:rPr>
          <w:rFonts w:cstheme="minorHAnsi"/>
        </w:rPr>
        <w:t xml:space="preserve">interests, influence and importance </w:t>
      </w:r>
      <w:r w:rsidR="006A78A5" w:rsidRPr="00A77AF6">
        <w:rPr>
          <w:rFonts w:cstheme="minorHAnsi"/>
        </w:rPr>
        <w:t xml:space="preserve">to </w:t>
      </w:r>
      <w:r w:rsidR="0092367F" w:rsidRPr="00A77AF6">
        <w:rPr>
          <w:rFonts w:cstheme="minorHAnsi"/>
        </w:rPr>
        <w:t>creat</w:t>
      </w:r>
      <w:r w:rsidR="006A78A5" w:rsidRPr="00A77AF6">
        <w:rPr>
          <w:rFonts w:cstheme="minorHAnsi"/>
        </w:rPr>
        <w:t xml:space="preserve">e </w:t>
      </w:r>
      <w:r w:rsidR="005829A6" w:rsidRPr="00A77AF6">
        <w:rPr>
          <w:rFonts w:cstheme="minorHAnsi"/>
        </w:rPr>
        <w:t xml:space="preserve">and </w:t>
      </w:r>
      <w:r w:rsidR="0092367F" w:rsidRPr="00A77AF6">
        <w:rPr>
          <w:rFonts w:cstheme="minorHAnsi"/>
        </w:rPr>
        <w:t>implement</w:t>
      </w:r>
      <w:r w:rsidR="002F6670" w:rsidRPr="00A77AF6">
        <w:rPr>
          <w:rFonts w:cstheme="minorHAnsi"/>
        </w:rPr>
        <w:t xml:space="preserve"> </w:t>
      </w:r>
      <w:r w:rsidR="00EB6575" w:rsidRPr="00A77AF6">
        <w:rPr>
          <w:rFonts w:cstheme="minorHAnsi"/>
        </w:rPr>
        <w:t>a</w:t>
      </w:r>
      <w:r w:rsidR="0092367F" w:rsidRPr="00A77AF6">
        <w:rPr>
          <w:rFonts w:cstheme="minorHAnsi"/>
        </w:rPr>
        <w:t xml:space="preserve"> communication</w:t>
      </w:r>
      <w:r w:rsidR="005829A6" w:rsidRPr="00A77AF6">
        <w:rPr>
          <w:rFonts w:cstheme="minorHAnsi"/>
        </w:rPr>
        <w:t xml:space="preserve">/ </w:t>
      </w:r>
      <w:r w:rsidR="0092367F" w:rsidRPr="00A77AF6">
        <w:rPr>
          <w:rFonts w:cstheme="minorHAnsi"/>
        </w:rPr>
        <w:t>management plan</w:t>
      </w:r>
      <w:r w:rsidR="00EB6575" w:rsidRPr="00A77AF6">
        <w:rPr>
          <w:rFonts w:cstheme="minorHAnsi"/>
        </w:rPr>
        <w:t xml:space="preserve"> </w:t>
      </w:r>
      <w:sdt>
        <w:sdtPr>
          <w:rPr>
            <w:rFonts w:cstheme="minorHAnsi"/>
          </w:rPr>
          <w:id w:val="652725733"/>
          <w:citation/>
        </w:sdtPr>
        <w:sdtEndPr/>
        <w:sdtContent>
          <w:r w:rsidR="00EB6575" w:rsidRPr="00A77AF6">
            <w:rPr>
              <w:rFonts w:cstheme="minorHAnsi"/>
            </w:rPr>
            <w:fldChar w:fldCharType="begin"/>
          </w:r>
          <w:r w:rsidR="00EB6575" w:rsidRPr="00A77AF6">
            <w:rPr>
              <w:rFonts w:cstheme="minorHAnsi"/>
            </w:rPr>
            <w:instrText xml:space="preserve"> CITATION Joh08 \l 2057 </w:instrText>
          </w:r>
          <w:r w:rsidR="00EB6575" w:rsidRPr="00A77AF6">
            <w:rPr>
              <w:rFonts w:cstheme="minorHAnsi"/>
            </w:rPr>
            <w:fldChar w:fldCharType="separate"/>
          </w:r>
          <w:r w:rsidR="008E653F" w:rsidRPr="00A77AF6">
            <w:rPr>
              <w:rFonts w:cstheme="minorHAnsi"/>
            </w:rPr>
            <w:t>(Johnson, et al., 2008)</w:t>
          </w:r>
          <w:r w:rsidR="00EB6575" w:rsidRPr="00A77AF6">
            <w:rPr>
              <w:rFonts w:cstheme="minorHAnsi"/>
            </w:rPr>
            <w:fldChar w:fldCharType="end"/>
          </w:r>
        </w:sdtContent>
      </w:sdt>
      <w:r w:rsidR="00EB6575" w:rsidRPr="00A77AF6">
        <w:rPr>
          <w:rFonts w:cstheme="minorHAnsi"/>
        </w:rPr>
        <w:t>.  W</w:t>
      </w:r>
      <w:r w:rsidR="00F6316A" w:rsidRPr="00A77AF6">
        <w:rPr>
          <w:rFonts w:cstheme="minorHAnsi"/>
        </w:rPr>
        <w:t xml:space="preserve">hilst the </w:t>
      </w:r>
      <w:r w:rsidR="00EB6575" w:rsidRPr="00A77AF6">
        <w:rPr>
          <w:rFonts w:cstheme="minorHAnsi"/>
        </w:rPr>
        <w:t>stakeholder ma</w:t>
      </w:r>
      <w:r w:rsidR="00F6316A" w:rsidRPr="00A77AF6">
        <w:rPr>
          <w:rFonts w:cstheme="minorHAnsi"/>
        </w:rPr>
        <w:t xml:space="preserve">nagement </w:t>
      </w:r>
      <w:r w:rsidR="00EB6575" w:rsidRPr="00A77AF6">
        <w:rPr>
          <w:rFonts w:cstheme="minorHAnsi"/>
        </w:rPr>
        <w:t xml:space="preserve">process is broadly </w:t>
      </w:r>
      <w:r w:rsidR="006A78A5" w:rsidRPr="00A77AF6">
        <w:rPr>
          <w:rFonts w:cstheme="minorHAnsi"/>
        </w:rPr>
        <w:t>agreed</w:t>
      </w:r>
      <w:r w:rsidR="00EB6575" w:rsidRPr="00A77AF6">
        <w:rPr>
          <w:rFonts w:cstheme="minorHAnsi"/>
        </w:rPr>
        <w:t>, r</w:t>
      </w:r>
      <w:r w:rsidR="002F6670" w:rsidRPr="00A77AF6">
        <w:rPr>
          <w:rFonts w:cstheme="minorHAnsi"/>
        </w:rPr>
        <w:t xml:space="preserve">esearchers </w:t>
      </w:r>
      <w:r w:rsidR="006A78A5" w:rsidRPr="00A77AF6">
        <w:rPr>
          <w:rFonts w:cstheme="minorHAnsi"/>
        </w:rPr>
        <w:t>suggest</w:t>
      </w:r>
      <w:r w:rsidR="00BA2340" w:rsidRPr="00A77AF6">
        <w:rPr>
          <w:rFonts w:cstheme="minorHAnsi"/>
        </w:rPr>
        <w:t xml:space="preserve"> different </w:t>
      </w:r>
      <w:r w:rsidR="00EB6575" w:rsidRPr="00A77AF6">
        <w:rPr>
          <w:rFonts w:cstheme="minorHAnsi"/>
        </w:rPr>
        <w:t xml:space="preserve">ways of </w:t>
      </w:r>
      <w:r w:rsidR="006A78A5" w:rsidRPr="00A77AF6">
        <w:rPr>
          <w:rFonts w:cstheme="minorHAnsi"/>
        </w:rPr>
        <w:t>categorising</w:t>
      </w:r>
      <w:r w:rsidR="00EB6575" w:rsidRPr="00A77AF6">
        <w:rPr>
          <w:rFonts w:cstheme="minorHAnsi"/>
        </w:rPr>
        <w:t xml:space="preserve"> stakeho</w:t>
      </w:r>
      <w:r w:rsidR="006A78A5" w:rsidRPr="00A77AF6">
        <w:rPr>
          <w:rFonts w:cstheme="minorHAnsi"/>
        </w:rPr>
        <w:t>lders</w:t>
      </w:r>
      <w:r w:rsidR="00F6316A" w:rsidRPr="00A77AF6">
        <w:rPr>
          <w:rFonts w:cstheme="minorHAnsi"/>
        </w:rPr>
        <w:t xml:space="preserve">, for example according to their </w:t>
      </w:r>
      <w:r w:rsidR="00425C62" w:rsidRPr="00A77AF6">
        <w:rPr>
          <w:rFonts w:cstheme="minorHAnsi"/>
        </w:rPr>
        <w:t xml:space="preserve">power or interest </w:t>
      </w:r>
      <w:sdt>
        <w:sdtPr>
          <w:rPr>
            <w:rFonts w:cstheme="minorHAnsi"/>
          </w:rPr>
          <w:id w:val="743294823"/>
          <w:citation/>
        </w:sdtPr>
        <w:sdtEndPr/>
        <w:sdtContent>
          <w:r w:rsidR="00425C62" w:rsidRPr="00A77AF6">
            <w:rPr>
              <w:rFonts w:cstheme="minorHAnsi"/>
            </w:rPr>
            <w:fldChar w:fldCharType="begin"/>
          </w:r>
          <w:r w:rsidR="00425C62" w:rsidRPr="00A77AF6">
            <w:rPr>
              <w:rFonts w:cstheme="minorHAnsi"/>
            </w:rPr>
            <w:instrText xml:space="preserve"> CITATION Ola071 \l 2057 </w:instrText>
          </w:r>
          <w:r w:rsidR="00425C62" w:rsidRPr="00A77AF6">
            <w:rPr>
              <w:rFonts w:cstheme="minorHAnsi"/>
            </w:rPr>
            <w:fldChar w:fldCharType="separate"/>
          </w:r>
          <w:r w:rsidR="008E653F" w:rsidRPr="00A77AF6">
            <w:rPr>
              <w:rFonts w:cstheme="minorHAnsi"/>
            </w:rPr>
            <w:t>(Olander, 2007)</w:t>
          </w:r>
          <w:r w:rsidR="00425C62" w:rsidRPr="00A77AF6">
            <w:rPr>
              <w:rFonts w:cstheme="minorHAnsi"/>
            </w:rPr>
            <w:fldChar w:fldCharType="end"/>
          </w:r>
        </w:sdtContent>
      </w:sdt>
      <w:r w:rsidR="00F6316A" w:rsidRPr="00A77AF6">
        <w:rPr>
          <w:rFonts w:cstheme="minorHAnsi"/>
        </w:rPr>
        <w:t xml:space="preserve"> or by their role and agency </w:t>
      </w:r>
      <w:sdt>
        <w:sdtPr>
          <w:rPr>
            <w:rFonts w:cstheme="minorHAnsi"/>
          </w:rPr>
          <w:id w:val="-1743166035"/>
          <w:citation/>
        </w:sdtPr>
        <w:sdtEndPr/>
        <w:sdtContent>
          <w:r w:rsidR="00C949C4" w:rsidRPr="00A77AF6">
            <w:rPr>
              <w:rFonts w:cstheme="minorHAnsi"/>
            </w:rPr>
            <w:fldChar w:fldCharType="begin"/>
          </w:r>
          <w:r w:rsidR="00E07AFE" w:rsidRPr="00A77AF6">
            <w:rPr>
              <w:rFonts w:cstheme="minorHAnsi"/>
            </w:rPr>
            <w:instrText xml:space="preserve">CITATION Mit97 \l 2057 </w:instrText>
          </w:r>
          <w:r w:rsidR="00C949C4" w:rsidRPr="00A77AF6">
            <w:rPr>
              <w:rFonts w:cstheme="minorHAnsi"/>
            </w:rPr>
            <w:fldChar w:fldCharType="separate"/>
          </w:r>
          <w:r w:rsidR="008E653F" w:rsidRPr="00A77AF6">
            <w:rPr>
              <w:rFonts w:cstheme="minorHAnsi"/>
            </w:rPr>
            <w:t>(Mitchell, et al., 1997)</w:t>
          </w:r>
          <w:r w:rsidR="00C949C4" w:rsidRPr="00A77AF6">
            <w:rPr>
              <w:rFonts w:cstheme="minorHAnsi"/>
            </w:rPr>
            <w:fldChar w:fldCharType="end"/>
          </w:r>
        </w:sdtContent>
      </w:sdt>
      <w:r w:rsidR="00F6316A" w:rsidRPr="00A77AF6">
        <w:rPr>
          <w:rFonts w:cstheme="minorHAnsi"/>
        </w:rPr>
        <w:t xml:space="preserve">. </w:t>
      </w:r>
    </w:p>
    <w:p w14:paraId="0892F1EF" w14:textId="2E2ABD4A" w:rsidR="009A4C50" w:rsidRPr="00A77AF6" w:rsidRDefault="006A78A5" w:rsidP="003E7199">
      <w:pPr>
        <w:spacing w:line="360" w:lineRule="auto"/>
        <w:rPr>
          <w:rFonts w:cstheme="minorHAnsi"/>
        </w:rPr>
      </w:pPr>
      <w:r w:rsidRPr="00A77AF6">
        <w:rPr>
          <w:rFonts w:cstheme="minorHAnsi"/>
        </w:rPr>
        <w:t xml:space="preserve">Stakeholder management </w:t>
      </w:r>
      <w:r w:rsidR="00F6316A" w:rsidRPr="00A77AF6">
        <w:rPr>
          <w:rFonts w:cstheme="minorHAnsi"/>
        </w:rPr>
        <w:t xml:space="preserve">is </w:t>
      </w:r>
      <w:r w:rsidR="005C515D" w:rsidRPr="00A77AF6">
        <w:rPr>
          <w:rFonts w:cstheme="minorHAnsi"/>
        </w:rPr>
        <w:t xml:space="preserve">similarly </w:t>
      </w:r>
      <w:r w:rsidR="00F6316A" w:rsidRPr="00A77AF6">
        <w:rPr>
          <w:rFonts w:cstheme="minorHAnsi"/>
        </w:rPr>
        <w:t>important for success in construction projects (Olander, 2007, Atkin &amp; Skitmore, 2008, Winch 2010)</w:t>
      </w:r>
      <w:r w:rsidR="00CF5FAB" w:rsidRPr="00A77AF6">
        <w:rPr>
          <w:rFonts w:cstheme="minorHAnsi"/>
        </w:rPr>
        <w:t xml:space="preserve"> and</w:t>
      </w:r>
      <w:r w:rsidR="009A4C50" w:rsidRPr="00A77AF6">
        <w:rPr>
          <w:rFonts w:cstheme="minorHAnsi"/>
        </w:rPr>
        <w:t xml:space="preserve"> is an important </w:t>
      </w:r>
      <w:r w:rsidR="007C6CB6" w:rsidRPr="00A77AF6">
        <w:rPr>
          <w:rFonts w:cstheme="minorHAnsi"/>
        </w:rPr>
        <w:t xml:space="preserve">management </w:t>
      </w:r>
      <w:r w:rsidR="009A4C50" w:rsidRPr="00A77AF6">
        <w:rPr>
          <w:rFonts w:cstheme="minorHAnsi"/>
        </w:rPr>
        <w:t>tool</w:t>
      </w:r>
      <w:r w:rsidR="00CF5FAB" w:rsidRPr="00A77AF6">
        <w:rPr>
          <w:rFonts w:cstheme="minorHAnsi"/>
        </w:rPr>
        <w:t>. I</w:t>
      </w:r>
      <w:r w:rsidR="009A4C50" w:rsidRPr="00A77AF6">
        <w:rPr>
          <w:rFonts w:cstheme="minorHAnsi"/>
        </w:rPr>
        <w:t xml:space="preserve">ts importance comes from the recognition that stakeholder management is </w:t>
      </w:r>
      <w:r w:rsidR="00CF5FAB" w:rsidRPr="00A77AF6">
        <w:rPr>
          <w:rFonts w:cstheme="minorHAnsi"/>
        </w:rPr>
        <w:t>associated</w:t>
      </w:r>
      <w:r w:rsidR="009A4C50" w:rsidRPr="00A77AF6">
        <w:rPr>
          <w:rFonts w:cstheme="minorHAnsi"/>
        </w:rPr>
        <w:t xml:space="preserve"> with managing risk </w:t>
      </w:r>
      <w:sdt>
        <w:sdtPr>
          <w:rPr>
            <w:rFonts w:cstheme="minorHAnsi"/>
          </w:rPr>
          <w:id w:val="-1849551267"/>
          <w:citation/>
        </w:sdtPr>
        <w:sdtEndPr/>
        <w:sdtContent>
          <w:r w:rsidR="009A4C50" w:rsidRPr="00A77AF6">
            <w:rPr>
              <w:rFonts w:cstheme="minorHAnsi"/>
            </w:rPr>
            <w:fldChar w:fldCharType="begin"/>
          </w:r>
          <w:r w:rsidR="009A4C50" w:rsidRPr="00A77AF6">
            <w:rPr>
              <w:rFonts w:cstheme="minorHAnsi"/>
            </w:rPr>
            <w:instrText xml:space="preserve"> CITATION Atk081 \l 2057 </w:instrText>
          </w:r>
          <w:r w:rsidR="009A4C50" w:rsidRPr="00A77AF6">
            <w:rPr>
              <w:rFonts w:cstheme="minorHAnsi"/>
            </w:rPr>
            <w:fldChar w:fldCharType="separate"/>
          </w:r>
          <w:r w:rsidR="008E653F" w:rsidRPr="00A77AF6">
            <w:rPr>
              <w:rFonts w:cstheme="minorHAnsi"/>
            </w:rPr>
            <w:t>(Atkin &amp; Skitmore, 2008)</w:t>
          </w:r>
          <w:r w:rsidR="009A4C50" w:rsidRPr="00A77AF6">
            <w:rPr>
              <w:rFonts w:cstheme="minorHAnsi"/>
            </w:rPr>
            <w:fldChar w:fldCharType="end"/>
          </w:r>
        </w:sdtContent>
      </w:sdt>
      <w:r w:rsidR="008275FB" w:rsidRPr="00A77AF6">
        <w:rPr>
          <w:rFonts w:cstheme="minorHAnsi"/>
        </w:rPr>
        <w:t xml:space="preserve">, that not all </w:t>
      </w:r>
      <w:r w:rsidR="00CF5FAB" w:rsidRPr="00A77AF6">
        <w:rPr>
          <w:rFonts w:cstheme="minorHAnsi"/>
        </w:rPr>
        <w:t>stakeholders</w:t>
      </w:r>
      <w:r w:rsidR="008275FB" w:rsidRPr="00A77AF6">
        <w:rPr>
          <w:rFonts w:cstheme="minorHAnsi"/>
        </w:rPr>
        <w:t xml:space="preserve"> interests can be met </w:t>
      </w:r>
      <w:r w:rsidR="009A4C50" w:rsidRPr="00A77AF6">
        <w:rPr>
          <w:rFonts w:cstheme="minorHAnsi"/>
        </w:rPr>
        <w:t xml:space="preserve">and because project managers must use the limited resource of time effectively, </w:t>
      </w:r>
      <w:r w:rsidR="002A18C7" w:rsidRPr="00A77AF6">
        <w:rPr>
          <w:rFonts w:cstheme="minorHAnsi"/>
        </w:rPr>
        <w:t xml:space="preserve">so </w:t>
      </w:r>
      <w:r w:rsidR="00281B1C" w:rsidRPr="00A77AF6">
        <w:rPr>
          <w:rFonts w:cstheme="minorHAnsi"/>
        </w:rPr>
        <w:t>they</w:t>
      </w:r>
      <w:r w:rsidR="009A4C50" w:rsidRPr="00A77AF6">
        <w:rPr>
          <w:rFonts w:cstheme="minorHAnsi"/>
        </w:rPr>
        <w:t xml:space="preserve"> will need to attend to those stakeholders who will have most impact on the project.  </w:t>
      </w:r>
      <w:r w:rsidR="008275FB" w:rsidRPr="00A77AF6">
        <w:rPr>
          <w:rFonts w:cstheme="minorHAnsi"/>
        </w:rPr>
        <w:t xml:space="preserve"> </w:t>
      </w:r>
      <w:r w:rsidR="009A4C50" w:rsidRPr="00A77AF6">
        <w:rPr>
          <w:rFonts w:cstheme="minorHAnsi"/>
        </w:rPr>
        <w:t xml:space="preserve">Categories for stakeholders in construction projects have </w:t>
      </w:r>
      <w:r w:rsidR="009B162C" w:rsidRPr="00A77AF6">
        <w:rPr>
          <w:rFonts w:cstheme="minorHAnsi"/>
        </w:rPr>
        <w:t>been identified</w:t>
      </w:r>
      <w:r w:rsidR="009A4C50" w:rsidRPr="00A77AF6">
        <w:rPr>
          <w:rFonts w:cstheme="minorHAnsi"/>
        </w:rPr>
        <w:t xml:space="preserve"> and are </w:t>
      </w:r>
      <w:r w:rsidR="00434810" w:rsidRPr="00A77AF6">
        <w:rPr>
          <w:rFonts w:cstheme="minorHAnsi"/>
        </w:rPr>
        <w:t>like</w:t>
      </w:r>
      <w:r w:rsidR="00306649" w:rsidRPr="00A77AF6">
        <w:rPr>
          <w:rFonts w:cstheme="minorHAnsi"/>
        </w:rPr>
        <w:t xml:space="preserve"> </w:t>
      </w:r>
      <w:r w:rsidR="009A4C50" w:rsidRPr="00A77AF6">
        <w:rPr>
          <w:rFonts w:cstheme="minorHAnsi"/>
        </w:rPr>
        <w:t xml:space="preserve">those in general stakeholder management theory.  For example, </w:t>
      </w:r>
      <w:r w:rsidR="00F6316A" w:rsidRPr="00A77AF6">
        <w:rPr>
          <w:rFonts w:cstheme="minorHAnsi"/>
        </w:rPr>
        <w:t xml:space="preserve">stakeholders </w:t>
      </w:r>
      <w:r w:rsidR="00770F70" w:rsidRPr="00A77AF6">
        <w:rPr>
          <w:rFonts w:cstheme="minorHAnsi"/>
        </w:rPr>
        <w:t xml:space="preserve">have been </w:t>
      </w:r>
      <w:r w:rsidR="000445F6" w:rsidRPr="00A77AF6">
        <w:rPr>
          <w:rFonts w:cstheme="minorHAnsi"/>
        </w:rPr>
        <w:t>categorised in t</w:t>
      </w:r>
      <w:r w:rsidR="00F6316A" w:rsidRPr="00A77AF6">
        <w:rPr>
          <w:rFonts w:cstheme="minorHAnsi"/>
        </w:rPr>
        <w:t xml:space="preserve">o two broad </w:t>
      </w:r>
      <w:r w:rsidR="000445F6" w:rsidRPr="00A77AF6">
        <w:rPr>
          <w:rFonts w:cstheme="minorHAnsi"/>
        </w:rPr>
        <w:t>groups</w:t>
      </w:r>
      <w:r w:rsidR="00F6316A" w:rsidRPr="00A77AF6">
        <w:rPr>
          <w:rFonts w:cstheme="minorHAnsi"/>
        </w:rPr>
        <w:t>, internal and external</w:t>
      </w:r>
      <w:r w:rsidR="00A17BC5" w:rsidRPr="00A77AF6">
        <w:rPr>
          <w:rFonts w:cstheme="minorHAnsi"/>
        </w:rPr>
        <w:t xml:space="preserve"> and further subdivided </w:t>
      </w:r>
      <w:r w:rsidR="009153BB" w:rsidRPr="00A77AF6">
        <w:rPr>
          <w:rFonts w:cstheme="minorHAnsi"/>
        </w:rPr>
        <w:t xml:space="preserve">into categories such as </w:t>
      </w:r>
      <w:r w:rsidR="00F6316A" w:rsidRPr="00A77AF6">
        <w:rPr>
          <w:rFonts w:cstheme="minorHAnsi"/>
        </w:rPr>
        <w:t>supply side and demand side</w:t>
      </w:r>
      <w:r w:rsidR="003A2013" w:rsidRPr="00A77AF6">
        <w:rPr>
          <w:rFonts w:cstheme="minorHAnsi"/>
        </w:rPr>
        <w:t xml:space="preserve">, or </w:t>
      </w:r>
      <w:r w:rsidR="00F6316A" w:rsidRPr="00A77AF6">
        <w:rPr>
          <w:rFonts w:cstheme="minorHAnsi"/>
        </w:rPr>
        <w:t>private and public-sector</w:t>
      </w:r>
      <w:r w:rsidR="0014222C" w:rsidRPr="00A77AF6">
        <w:rPr>
          <w:rFonts w:cstheme="minorHAnsi"/>
        </w:rPr>
        <w:t xml:space="preserve"> </w:t>
      </w:r>
      <w:r w:rsidR="00816D1C" w:rsidRPr="00A77AF6">
        <w:rPr>
          <w:rFonts w:cstheme="minorHAnsi"/>
        </w:rPr>
        <w:t xml:space="preserve">so they can be managed </w:t>
      </w:r>
      <w:r w:rsidR="0014222C" w:rsidRPr="00A77AF6">
        <w:rPr>
          <w:rFonts w:cstheme="minorHAnsi"/>
        </w:rPr>
        <w:t>(Winch</w:t>
      </w:r>
      <w:r w:rsidR="00A17BC5" w:rsidRPr="00A77AF6">
        <w:rPr>
          <w:rFonts w:cstheme="minorHAnsi"/>
        </w:rPr>
        <w:t xml:space="preserve">, </w:t>
      </w:r>
      <w:r w:rsidR="0014222C" w:rsidRPr="00A77AF6">
        <w:rPr>
          <w:rFonts w:cstheme="minorHAnsi"/>
        </w:rPr>
        <w:t>2010</w:t>
      </w:r>
      <w:r w:rsidR="00BB486E" w:rsidRPr="00A77AF6">
        <w:rPr>
          <w:rFonts w:cstheme="minorHAnsi"/>
        </w:rPr>
        <w:t>, S</w:t>
      </w:r>
      <w:r w:rsidR="00A17BC5" w:rsidRPr="00A77AF6">
        <w:rPr>
          <w:rFonts w:cstheme="minorHAnsi"/>
        </w:rPr>
        <w:t>i</w:t>
      </w:r>
      <w:r w:rsidR="00BB486E" w:rsidRPr="00A77AF6">
        <w:rPr>
          <w:rFonts w:cstheme="minorHAnsi"/>
        </w:rPr>
        <w:t>rgy, 2002</w:t>
      </w:r>
      <w:r w:rsidR="0014222C" w:rsidRPr="00A77AF6">
        <w:rPr>
          <w:rFonts w:cstheme="minorHAnsi"/>
        </w:rPr>
        <w:t>)</w:t>
      </w:r>
      <w:r w:rsidR="005C515D" w:rsidRPr="00A77AF6">
        <w:rPr>
          <w:rFonts w:cstheme="minorHAnsi"/>
        </w:rPr>
        <w:t xml:space="preserve">.  </w:t>
      </w:r>
    </w:p>
    <w:p w14:paraId="0A1AFCEE" w14:textId="46343B92" w:rsidR="000D605A" w:rsidRPr="00A77AF6" w:rsidRDefault="008F2F8C" w:rsidP="00835D90">
      <w:pPr>
        <w:pStyle w:val="Heading4"/>
        <w:numPr>
          <w:ilvl w:val="0"/>
          <w:numId w:val="0"/>
        </w:numPr>
        <w:spacing w:after="120"/>
        <w:ind w:left="862" w:hanging="862"/>
      </w:pPr>
      <w:r w:rsidRPr="00A77AF6">
        <w:lastRenderedPageBreak/>
        <w:t xml:space="preserve">Conclusion </w:t>
      </w:r>
    </w:p>
    <w:p w14:paraId="5537D449" w14:textId="34DB3F48" w:rsidR="00A93978" w:rsidRPr="00A77AF6" w:rsidRDefault="008F2F8C" w:rsidP="008F2F8C">
      <w:pPr>
        <w:spacing w:line="360" w:lineRule="auto"/>
        <w:rPr>
          <w:rFonts w:cstheme="minorHAnsi"/>
        </w:rPr>
      </w:pPr>
      <w:r w:rsidRPr="00A77AF6">
        <w:rPr>
          <w:rFonts w:cstheme="minorHAnsi"/>
        </w:rPr>
        <w:t xml:space="preserve">Agency theory explains </w:t>
      </w:r>
      <w:r w:rsidR="00356884" w:rsidRPr="00A77AF6">
        <w:rPr>
          <w:rFonts w:cstheme="minorHAnsi"/>
        </w:rPr>
        <w:t>that</w:t>
      </w:r>
      <w:r w:rsidRPr="00A77AF6">
        <w:rPr>
          <w:rFonts w:cstheme="minorHAnsi"/>
        </w:rPr>
        <w:t xml:space="preserve"> principals </w:t>
      </w:r>
      <w:r w:rsidR="00356884" w:rsidRPr="00A77AF6">
        <w:rPr>
          <w:rFonts w:cstheme="minorHAnsi"/>
        </w:rPr>
        <w:t xml:space="preserve">act to </w:t>
      </w:r>
      <w:r w:rsidRPr="00A77AF6">
        <w:rPr>
          <w:rFonts w:cstheme="minorHAnsi"/>
        </w:rPr>
        <w:t>mitigate the harm caused to t</w:t>
      </w:r>
      <w:r w:rsidR="00E803FA" w:rsidRPr="00A77AF6">
        <w:rPr>
          <w:rFonts w:cstheme="minorHAnsi"/>
        </w:rPr>
        <w:t>h</w:t>
      </w:r>
      <w:r w:rsidRPr="00A77AF6">
        <w:rPr>
          <w:rFonts w:cstheme="minorHAnsi"/>
        </w:rPr>
        <w:t xml:space="preserve">em </w:t>
      </w:r>
      <w:r w:rsidR="00D96647" w:rsidRPr="00A77AF6">
        <w:rPr>
          <w:rFonts w:cstheme="minorHAnsi"/>
        </w:rPr>
        <w:t xml:space="preserve">when they delegate the management of organisations or projects </w:t>
      </w:r>
      <w:r w:rsidR="00E803FA" w:rsidRPr="00A77AF6">
        <w:rPr>
          <w:rFonts w:cstheme="minorHAnsi"/>
        </w:rPr>
        <w:t xml:space="preserve">to self-interested agents.  </w:t>
      </w:r>
      <w:r w:rsidRPr="00A77AF6">
        <w:rPr>
          <w:rFonts w:cstheme="minorHAnsi"/>
        </w:rPr>
        <w:t xml:space="preserve">Stakeholder theory </w:t>
      </w:r>
      <w:r w:rsidR="00E803FA" w:rsidRPr="00A77AF6">
        <w:rPr>
          <w:rFonts w:cstheme="minorHAnsi"/>
        </w:rPr>
        <w:t xml:space="preserve">explains the need to manage stakeholders for </w:t>
      </w:r>
      <w:r w:rsidR="00D96647" w:rsidRPr="00A77AF6">
        <w:rPr>
          <w:rFonts w:cstheme="minorHAnsi"/>
        </w:rPr>
        <w:t>b</w:t>
      </w:r>
      <w:r w:rsidR="00E803FA" w:rsidRPr="00A77AF6">
        <w:rPr>
          <w:rFonts w:cstheme="minorHAnsi"/>
        </w:rPr>
        <w:t>etter corporate and project outcomes and grapples with the problem of justice in stakeholder identification.  Stewardship theory references  ‘old fashioned’ ideas of corporate governance where agents can be trusted to do the right thing because their self-interest is aligned with that of the princip</w:t>
      </w:r>
      <w:r w:rsidR="00EE735E" w:rsidRPr="00A77AF6">
        <w:rPr>
          <w:rFonts w:cstheme="minorHAnsi"/>
        </w:rPr>
        <w:t>al</w:t>
      </w:r>
      <w:r w:rsidR="00E803FA" w:rsidRPr="00A77AF6">
        <w:rPr>
          <w:rFonts w:cstheme="minorHAnsi"/>
        </w:rPr>
        <w:t xml:space="preserve">. </w:t>
      </w:r>
      <w:r w:rsidR="00EE735E" w:rsidRPr="00A77AF6">
        <w:rPr>
          <w:rFonts w:cstheme="minorHAnsi"/>
        </w:rPr>
        <w:t xml:space="preserve">All three </w:t>
      </w:r>
      <w:r w:rsidR="00356884" w:rsidRPr="00A77AF6">
        <w:rPr>
          <w:rFonts w:cstheme="minorHAnsi"/>
        </w:rPr>
        <w:t>theories</w:t>
      </w:r>
      <w:r w:rsidR="00EE735E" w:rsidRPr="00A77AF6">
        <w:rPr>
          <w:rFonts w:cstheme="minorHAnsi"/>
        </w:rPr>
        <w:t xml:space="preserve"> have relevance to the NHS client</w:t>
      </w:r>
      <w:r w:rsidR="00356884" w:rsidRPr="00A77AF6">
        <w:rPr>
          <w:rFonts w:cstheme="minorHAnsi"/>
        </w:rPr>
        <w:t xml:space="preserve"> in construction projects</w:t>
      </w:r>
      <w:r w:rsidR="00585A8C" w:rsidRPr="00A77AF6">
        <w:rPr>
          <w:rFonts w:cstheme="minorHAnsi"/>
        </w:rPr>
        <w:t>,</w:t>
      </w:r>
      <w:r w:rsidR="00CF5FAB" w:rsidRPr="00A77AF6">
        <w:rPr>
          <w:rFonts w:cstheme="minorHAnsi"/>
        </w:rPr>
        <w:t xml:space="preserve"> although Stewardship theory is less relevant here,  </w:t>
      </w:r>
      <w:r w:rsidR="00585A8C" w:rsidRPr="00A77AF6">
        <w:rPr>
          <w:rFonts w:cstheme="minorHAnsi"/>
        </w:rPr>
        <w:t xml:space="preserve">but for the purposes of this study </w:t>
      </w:r>
      <w:r w:rsidR="00A367F2" w:rsidRPr="00A77AF6">
        <w:rPr>
          <w:rFonts w:cstheme="minorHAnsi"/>
        </w:rPr>
        <w:t>a</w:t>
      </w:r>
      <w:r w:rsidR="00E803FA" w:rsidRPr="00A77AF6">
        <w:rPr>
          <w:rFonts w:cstheme="minorHAnsi"/>
        </w:rPr>
        <w:t xml:space="preserve">gency theory is the most relevant.  </w:t>
      </w:r>
      <w:r w:rsidR="00A93978" w:rsidRPr="00A77AF6">
        <w:rPr>
          <w:rFonts w:cstheme="minorHAnsi"/>
        </w:rPr>
        <w:t xml:space="preserve">It was noted earlier that corporate and project governance are both rooted in </w:t>
      </w:r>
      <w:r w:rsidR="00A767FB" w:rsidRPr="00A77AF6">
        <w:rPr>
          <w:rFonts w:cstheme="minorHAnsi"/>
        </w:rPr>
        <w:t>a</w:t>
      </w:r>
      <w:r w:rsidR="00A93978" w:rsidRPr="00A77AF6">
        <w:rPr>
          <w:rFonts w:cstheme="minorHAnsi"/>
        </w:rPr>
        <w:t xml:space="preserve">gency </w:t>
      </w:r>
      <w:r w:rsidR="00A767FB" w:rsidRPr="00A77AF6">
        <w:rPr>
          <w:rFonts w:cstheme="minorHAnsi"/>
        </w:rPr>
        <w:t>t</w:t>
      </w:r>
      <w:r w:rsidR="00A93978" w:rsidRPr="00A77AF6">
        <w:rPr>
          <w:rFonts w:cstheme="minorHAnsi"/>
        </w:rPr>
        <w:t xml:space="preserve">heory.  </w:t>
      </w:r>
    </w:p>
    <w:p w14:paraId="3B2C5535" w14:textId="30071BE2" w:rsidR="004D58E7" w:rsidRPr="00A77AF6" w:rsidRDefault="00A93978" w:rsidP="008F2F8C">
      <w:pPr>
        <w:spacing w:line="360" w:lineRule="auto"/>
        <w:rPr>
          <w:rFonts w:cstheme="minorHAnsi"/>
        </w:rPr>
      </w:pPr>
      <w:r w:rsidRPr="00A77AF6">
        <w:rPr>
          <w:rFonts w:cstheme="minorHAnsi"/>
        </w:rPr>
        <w:t>J</w:t>
      </w:r>
      <w:r w:rsidR="00D96647" w:rsidRPr="00A77AF6">
        <w:rPr>
          <w:rFonts w:cstheme="minorHAnsi"/>
        </w:rPr>
        <w:t xml:space="preserve">ustification </w:t>
      </w:r>
      <w:r w:rsidRPr="00A77AF6">
        <w:rPr>
          <w:rFonts w:cstheme="minorHAnsi"/>
        </w:rPr>
        <w:t xml:space="preserve">for the argument that </w:t>
      </w:r>
      <w:r w:rsidR="00EB7829" w:rsidRPr="00A77AF6">
        <w:rPr>
          <w:rFonts w:cstheme="minorHAnsi"/>
        </w:rPr>
        <w:t>a</w:t>
      </w:r>
      <w:r w:rsidRPr="00A77AF6">
        <w:rPr>
          <w:rFonts w:cstheme="minorHAnsi"/>
        </w:rPr>
        <w:t xml:space="preserve">gency </w:t>
      </w:r>
      <w:r w:rsidR="00EB7829" w:rsidRPr="00A77AF6">
        <w:rPr>
          <w:rFonts w:cstheme="minorHAnsi"/>
        </w:rPr>
        <w:t>t</w:t>
      </w:r>
      <w:r w:rsidRPr="00A77AF6">
        <w:rPr>
          <w:rFonts w:cstheme="minorHAnsi"/>
        </w:rPr>
        <w:t xml:space="preserve">heory is the most relevant to the study of governance </w:t>
      </w:r>
      <w:r w:rsidR="00D96647" w:rsidRPr="00A77AF6">
        <w:rPr>
          <w:rFonts w:cstheme="minorHAnsi"/>
        </w:rPr>
        <w:t xml:space="preserve">is centred on the </w:t>
      </w:r>
      <w:r w:rsidR="004D58E7" w:rsidRPr="00A77AF6">
        <w:rPr>
          <w:rFonts w:cstheme="minorHAnsi"/>
        </w:rPr>
        <w:t xml:space="preserve">creation of ‘acting for’ relationships </w:t>
      </w:r>
      <w:r w:rsidR="00356884" w:rsidRPr="00A77AF6">
        <w:rPr>
          <w:rFonts w:cstheme="minorHAnsi"/>
        </w:rPr>
        <w:t xml:space="preserve">between the principal and agent </w:t>
      </w:r>
      <w:r w:rsidR="004D58E7" w:rsidRPr="00A77AF6">
        <w:rPr>
          <w:rFonts w:cstheme="minorHAnsi"/>
        </w:rPr>
        <w:t xml:space="preserve">in </w:t>
      </w:r>
      <w:r w:rsidR="00356884" w:rsidRPr="00A77AF6">
        <w:rPr>
          <w:rFonts w:cstheme="minorHAnsi"/>
        </w:rPr>
        <w:t xml:space="preserve">both </w:t>
      </w:r>
      <w:r w:rsidR="004D58E7" w:rsidRPr="00A77AF6">
        <w:rPr>
          <w:rFonts w:cstheme="minorHAnsi"/>
        </w:rPr>
        <w:t>corporate and project governance. NHS corporate governance</w:t>
      </w:r>
      <w:r w:rsidR="00356884" w:rsidRPr="00A77AF6">
        <w:rPr>
          <w:rFonts w:cstheme="minorHAnsi"/>
        </w:rPr>
        <w:t xml:space="preserve">, in common with other organisations, comprises structures, processes and roles </w:t>
      </w:r>
      <w:r w:rsidR="001F6EED" w:rsidRPr="00A77AF6">
        <w:rPr>
          <w:rFonts w:cstheme="minorHAnsi"/>
        </w:rPr>
        <w:t>designed to</w:t>
      </w:r>
      <w:r w:rsidR="000F6750" w:rsidRPr="00A77AF6">
        <w:rPr>
          <w:rFonts w:cstheme="minorHAnsi"/>
        </w:rPr>
        <w:t xml:space="preserve"> </w:t>
      </w:r>
      <w:r w:rsidR="00356884" w:rsidRPr="00A77AF6">
        <w:rPr>
          <w:rFonts w:cstheme="minorHAnsi"/>
        </w:rPr>
        <w:t>control the behaviour of managers and their subordinates.  In the case of projects, the corporate board</w:t>
      </w:r>
      <w:r w:rsidR="00C003DE" w:rsidRPr="00A77AF6">
        <w:rPr>
          <w:rFonts w:cstheme="minorHAnsi"/>
        </w:rPr>
        <w:t xml:space="preserve"> (the principal)</w:t>
      </w:r>
      <w:r w:rsidR="00356884" w:rsidRPr="00A77AF6">
        <w:rPr>
          <w:rFonts w:cstheme="minorHAnsi"/>
        </w:rPr>
        <w:t xml:space="preserve"> retains responsibility and authority </w:t>
      </w:r>
      <w:r w:rsidR="00C003DE" w:rsidRPr="00A77AF6">
        <w:rPr>
          <w:rFonts w:cstheme="minorHAnsi"/>
        </w:rPr>
        <w:t xml:space="preserve">for the project </w:t>
      </w:r>
      <w:r w:rsidR="00356884" w:rsidRPr="00A77AF6">
        <w:rPr>
          <w:rFonts w:cstheme="minorHAnsi"/>
        </w:rPr>
        <w:t xml:space="preserve">but delegates day-to-day management to the project manager, including </w:t>
      </w:r>
      <w:r w:rsidR="00C003DE" w:rsidRPr="00A77AF6">
        <w:rPr>
          <w:rFonts w:cstheme="minorHAnsi"/>
        </w:rPr>
        <w:t xml:space="preserve">the management of </w:t>
      </w:r>
      <w:r w:rsidR="00356884" w:rsidRPr="00A77AF6">
        <w:rPr>
          <w:rFonts w:cstheme="minorHAnsi"/>
        </w:rPr>
        <w:t>stakeholder</w:t>
      </w:r>
      <w:r w:rsidR="00C003DE" w:rsidRPr="00A77AF6">
        <w:rPr>
          <w:rFonts w:cstheme="minorHAnsi"/>
        </w:rPr>
        <w:t xml:space="preserve">s. To </w:t>
      </w:r>
      <w:r w:rsidR="00CF5FAB" w:rsidRPr="00A77AF6">
        <w:rPr>
          <w:rFonts w:cstheme="minorHAnsi"/>
        </w:rPr>
        <w:t xml:space="preserve">exercise control </w:t>
      </w:r>
      <w:r w:rsidR="00C003DE" w:rsidRPr="00A77AF6">
        <w:rPr>
          <w:rFonts w:cstheme="minorHAnsi"/>
        </w:rPr>
        <w:t>t</w:t>
      </w:r>
      <w:r w:rsidR="00356884" w:rsidRPr="00A77AF6">
        <w:rPr>
          <w:rFonts w:cstheme="minorHAnsi"/>
        </w:rPr>
        <w:t>he corporate board</w:t>
      </w:r>
      <w:r w:rsidR="00C003DE" w:rsidRPr="00A77AF6">
        <w:rPr>
          <w:rFonts w:cstheme="minorHAnsi"/>
        </w:rPr>
        <w:t xml:space="preserve"> </w:t>
      </w:r>
      <w:r w:rsidR="00CF5FAB" w:rsidRPr="00A77AF6">
        <w:rPr>
          <w:rFonts w:cstheme="minorHAnsi"/>
        </w:rPr>
        <w:t>establishes</w:t>
      </w:r>
      <w:r w:rsidR="00C003DE" w:rsidRPr="00A77AF6">
        <w:rPr>
          <w:rFonts w:cstheme="minorHAnsi"/>
        </w:rPr>
        <w:t xml:space="preserve"> structures, processes and roles</w:t>
      </w:r>
      <w:r w:rsidR="00EE5B5B" w:rsidRPr="00A77AF6">
        <w:rPr>
          <w:rFonts w:cstheme="minorHAnsi"/>
        </w:rPr>
        <w:t xml:space="preserve"> and i</w:t>
      </w:r>
      <w:r w:rsidR="008275FB" w:rsidRPr="00A77AF6">
        <w:rPr>
          <w:rFonts w:cstheme="minorHAnsi"/>
        </w:rPr>
        <w:t xml:space="preserve">n this context, stakeholder management is </w:t>
      </w:r>
      <w:r w:rsidR="00CF5FAB" w:rsidRPr="00A77AF6">
        <w:rPr>
          <w:rFonts w:cstheme="minorHAnsi"/>
        </w:rPr>
        <w:t>a</w:t>
      </w:r>
      <w:r w:rsidR="008275FB" w:rsidRPr="00A77AF6">
        <w:rPr>
          <w:rFonts w:cstheme="minorHAnsi"/>
        </w:rPr>
        <w:t xml:space="preserve"> process </w:t>
      </w:r>
      <w:r w:rsidR="00CF5FAB" w:rsidRPr="00A77AF6">
        <w:rPr>
          <w:rFonts w:cstheme="minorHAnsi"/>
        </w:rPr>
        <w:t>for mediating</w:t>
      </w:r>
      <w:r w:rsidR="008275FB" w:rsidRPr="00A77AF6">
        <w:rPr>
          <w:rFonts w:cstheme="minorHAnsi"/>
        </w:rPr>
        <w:t xml:space="preserve"> stakeholder interests </w:t>
      </w:r>
      <w:r w:rsidR="00CF5FAB" w:rsidRPr="00A77AF6">
        <w:rPr>
          <w:rFonts w:cstheme="minorHAnsi"/>
        </w:rPr>
        <w:t xml:space="preserve">to ensure that they </w:t>
      </w:r>
      <w:r w:rsidR="008275FB" w:rsidRPr="00A77AF6">
        <w:rPr>
          <w:rFonts w:cstheme="minorHAnsi"/>
        </w:rPr>
        <w:t>are managed in the interests of the organisation</w:t>
      </w:r>
      <w:r w:rsidR="00182268" w:rsidRPr="00A77AF6">
        <w:rPr>
          <w:rFonts w:cstheme="minorHAnsi"/>
        </w:rPr>
        <w:t xml:space="preserve"> and to reduce risk</w:t>
      </w:r>
      <w:r w:rsidR="00CF5FAB" w:rsidRPr="00A77AF6">
        <w:rPr>
          <w:rFonts w:cstheme="minorHAnsi"/>
        </w:rPr>
        <w:t>.</w:t>
      </w:r>
      <w:r w:rsidR="008275FB" w:rsidRPr="00A77AF6">
        <w:rPr>
          <w:rFonts w:cstheme="minorHAnsi"/>
        </w:rPr>
        <w:t xml:space="preserve"> </w:t>
      </w:r>
      <w:r w:rsidR="00CF5FAB" w:rsidRPr="00A77AF6">
        <w:rPr>
          <w:rFonts w:cstheme="minorHAnsi"/>
        </w:rPr>
        <w:t xml:space="preserve">Delegating this task to the project manager merely creates another ‘acting for’ relationship which must be managed, and this is explained by </w:t>
      </w:r>
      <w:r w:rsidR="00900E37" w:rsidRPr="00A77AF6">
        <w:rPr>
          <w:rFonts w:cstheme="minorHAnsi"/>
        </w:rPr>
        <w:t>a</w:t>
      </w:r>
      <w:r w:rsidR="00CF5FAB" w:rsidRPr="00A77AF6">
        <w:rPr>
          <w:rFonts w:cstheme="minorHAnsi"/>
        </w:rPr>
        <w:t xml:space="preserve">gency </w:t>
      </w:r>
      <w:r w:rsidR="00900E37" w:rsidRPr="00A77AF6">
        <w:rPr>
          <w:rFonts w:cstheme="minorHAnsi"/>
        </w:rPr>
        <w:t>t</w:t>
      </w:r>
      <w:r w:rsidR="00CF5FAB" w:rsidRPr="00A77AF6">
        <w:rPr>
          <w:rFonts w:cstheme="minorHAnsi"/>
        </w:rPr>
        <w:t>heory</w:t>
      </w:r>
      <w:r w:rsidR="00182268" w:rsidRPr="00A77AF6">
        <w:rPr>
          <w:rFonts w:cstheme="minorHAnsi"/>
        </w:rPr>
        <w:t>, so i</w:t>
      </w:r>
      <w:r w:rsidR="00EC740C" w:rsidRPr="00A77AF6">
        <w:rPr>
          <w:rFonts w:cstheme="minorHAnsi"/>
        </w:rPr>
        <w:t>n this context stakeholder theory is subordinate to agency theory.</w:t>
      </w:r>
    </w:p>
    <w:p w14:paraId="7A81105C" w14:textId="556BC9DA" w:rsidR="006C1910" w:rsidRPr="00A77AF6" w:rsidRDefault="006C1910" w:rsidP="00087E43">
      <w:pPr>
        <w:pStyle w:val="Heading2"/>
        <w:spacing w:after="120"/>
      </w:pPr>
      <w:bookmarkStart w:id="60" w:name="_Toc36275065"/>
      <w:r w:rsidRPr="00A77AF6">
        <w:t xml:space="preserve">Corporate </w:t>
      </w:r>
      <w:r w:rsidR="001A49A3" w:rsidRPr="00A77AF6">
        <w:t>g</w:t>
      </w:r>
      <w:r w:rsidRPr="00A77AF6">
        <w:t>overnance</w:t>
      </w:r>
      <w:bookmarkEnd w:id="60"/>
    </w:p>
    <w:p w14:paraId="08044DC4" w14:textId="5E7A87BF" w:rsidR="00495A7D" w:rsidRPr="00A77AF6" w:rsidRDefault="006C1910" w:rsidP="00087E43">
      <w:pPr>
        <w:spacing w:line="360" w:lineRule="auto"/>
      </w:pPr>
      <w:r w:rsidRPr="00A77AF6">
        <w:t xml:space="preserve">This </w:t>
      </w:r>
      <w:r w:rsidR="00087E43" w:rsidRPr="00A77AF6">
        <w:t xml:space="preserve">section </w:t>
      </w:r>
      <w:r w:rsidR="00F57065" w:rsidRPr="00A77AF6">
        <w:t xml:space="preserve">discusses </w:t>
      </w:r>
      <w:r w:rsidRPr="00A77AF6">
        <w:t>corporate governance and its principl</w:t>
      </w:r>
      <w:r w:rsidR="00D66441" w:rsidRPr="00A77AF6">
        <w:t>e</w:t>
      </w:r>
      <w:r w:rsidRPr="00A77AF6">
        <w:t xml:space="preserve">s.  It </w:t>
      </w:r>
      <w:r w:rsidR="00087E43" w:rsidRPr="00A77AF6">
        <w:t xml:space="preserve">explains the need for </w:t>
      </w:r>
      <w:r w:rsidRPr="00A77AF6">
        <w:t xml:space="preserve">corporate governance </w:t>
      </w:r>
      <w:r w:rsidR="00087E43" w:rsidRPr="00A77AF6">
        <w:t>and</w:t>
      </w:r>
      <w:r w:rsidRPr="00A77AF6">
        <w:t xml:space="preserve"> the structures that support it.  </w:t>
      </w:r>
      <w:r w:rsidR="00087E43" w:rsidRPr="00A77AF6">
        <w:t>E</w:t>
      </w:r>
      <w:r w:rsidR="00495A7D" w:rsidRPr="00A77AF6">
        <w:t xml:space="preserve">xamples of corporate excesses are given to illustrate the types of malpractice that have alerted governments to the risks of poor corporate governance.  </w:t>
      </w:r>
      <w:r w:rsidR="00B6233D" w:rsidRPr="00A77AF6">
        <w:t>The</w:t>
      </w:r>
      <w:r w:rsidR="00495A7D" w:rsidRPr="00A77AF6">
        <w:t xml:space="preserve"> UKs attempts to prevent poor governance are examined, these include reports, laws and corporate structures.  </w:t>
      </w:r>
    </w:p>
    <w:p w14:paraId="144383D6" w14:textId="5A51F8A8" w:rsidR="006C1910" w:rsidRPr="00A77AF6" w:rsidRDefault="00495A7D" w:rsidP="00F63D98">
      <w:pPr>
        <w:pStyle w:val="Heading3"/>
        <w:spacing w:after="120"/>
      </w:pPr>
      <w:bookmarkStart w:id="61" w:name="_Toc36275066"/>
      <w:r w:rsidRPr="00A77AF6">
        <w:t xml:space="preserve">Definition of </w:t>
      </w:r>
      <w:r w:rsidR="001A49A3" w:rsidRPr="00A77AF6">
        <w:t>c</w:t>
      </w:r>
      <w:r w:rsidR="006C1910" w:rsidRPr="00A77AF6">
        <w:t>orporate governance</w:t>
      </w:r>
      <w:bookmarkEnd w:id="61"/>
    </w:p>
    <w:p w14:paraId="1943BC67" w14:textId="7DA3B769" w:rsidR="00FF04D3" w:rsidRPr="00A77AF6" w:rsidRDefault="00FF04D3" w:rsidP="00586C92">
      <w:pPr>
        <w:spacing w:after="0" w:line="360" w:lineRule="auto"/>
      </w:pPr>
      <w:r w:rsidRPr="00A77AF6">
        <w:t xml:space="preserve">Corporate governance is a widely used term which </w:t>
      </w:r>
      <w:r w:rsidR="00D4130A" w:rsidRPr="00A77AF6">
        <w:t>defines the</w:t>
      </w:r>
      <w:r w:rsidRPr="00A77AF6">
        <w:t xml:space="preserve"> relationship of firm</w:t>
      </w:r>
      <w:r w:rsidR="00D4130A" w:rsidRPr="00A77AF6">
        <w:t>s</w:t>
      </w:r>
      <w:r w:rsidRPr="00A77AF6">
        <w:t xml:space="preserve"> with stakeholders, including customers, suppliers, employees and funders.  </w:t>
      </w:r>
      <w:r w:rsidR="00050ACD" w:rsidRPr="00A77AF6">
        <w:t>The OECD</w:t>
      </w:r>
      <w:r w:rsidR="00087E43" w:rsidRPr="00A77AF6">
        <w:t xml:space="preserve"> (2004) defined </w:t>
      </w:r>
      <w:r w:rsidR="00050ACD" w:rsidRPr="00A77AF6">
        <w:t xml:space="preserve">corporate governance </w:t>
      </w:r>
      <w:r w:rsidR="00087E43" w:rsidRPr="00A77AF6">
        <w:t>as the</w:t>
      </w:r>
      <w:r w:rsidR="00050ACD" w:rsidRPr="00A77AF6">
        <w:t xml:space="preserve"> set of relationships between a company’s management, its board, its shareholders and other stakeholders</w:t>
      </w:r>
      <w:r w:rsidR="00087E43" w:rsidRPr="00A77AF6">
        <w:t xml:space="preserve"> to accomplish the company’s strategic objectives and to </w:t>
      </w:r>
      <w:r w:rsidR="00087E43" w:rsidRPr="00A77AF6">
        <w:lastRenderedPageBreak/>
        <w:t xml:space="preserve">control and monitor the achievement of the stated objectives.  </w:t>
      </w:r>
      <w:bookmarkStart w:id="62" w:name="_Hlk520112672"/>
      <w:r w:rsidR="00E9696D" w:rsidRPr="00A77AF6">
        <w:t xml:space="preserve">Larcker </w:t>
      </w:r>
      <w:r w:rsidR="00BE1DB4">
        <w:t>&amp;</w:t>
      </w:r>
      <w:r w:rsidR="00E9696D" w:rsidRPr="00A77AF6">
        <w:t xml:space="preserve"> Tayan (2011</w:t>
      </w:r>
      <w:r w:rsidR="00CB2124" w:rsidRPr="00A77AF6">
        <w:t xml:space="preserve"> </w:t>
      </w:r>
      <w:r w:rsidR="006B7CAD" w:rsidRPr="00A77AF6">
        <w:t>p</w:t>
      </w:r>
      <w:r w:rsidR="00BE1DB4">
        <w:t xml:space="preserve">. </w:t>
      </w:r>
      <w:r w:rsidR="006B7CAD" w:rsidRPr="00A77AF6">
        <w:t>8</w:t>
      </w:r>
      <w:r w:rsidR="00E9696D" w:rsidRPr="00A77AF6">
        <w:t xml:space="preserve">) define corporate governance as </w:t>
      </w:r>
    </w:p>
    <w:p w14:paraId="5C704527" w14:textId="4BAF25A3" w:rsidR="00E9696D" w:rsidRPr="00A77AF6" w:rsidRDefault="00E9696D" w:rsidP="00CB2124">
      <w:pPr>
        <w:spacing w:line="240" w:lineRule="auto"/>
        <w:ind w:left="720"/>
        <w:rPr>
          <w:rFonts w:cstheme="minorHAnsi"/>
        </w:rPr>
      </w:pPr>
      <w:r w:rsidRPr="00A77AF6">
        <w:rPr>
          <w:rFonts w:cstheme="minorHAnsi"/>
          <w:i/>
        </w:rPr>
        <w:t>‘the collection of control mechanisms that an organization adopts to prevent or dissuade potentially self-interested managers from engaging in activities detrimental to the welfare of shareholders and stakeholders.’</w:t>
      </w:r>
      <w:r w:rsidRPr="00A77AF6">
        <w:rPr>
          <w:rFonts w:cstheme="minorHAnsi"/>
        </w:rPr>
        <w:t xml:space="preserve"> </w:t>
      </w:r>
    </w:p>
    <w:bookmarkEnd w:id="62"/>
    <w:p w14:paraId="6ABD6CB9" w14:textId="77777777" w:rsidR="004639FF" w:rsidRPr="00A77AF6" w:rsidRDefault="00CA2B89" w:rsidP="004639FF">
      <w:pPr>
        <w:spacing w:after="0" w:line="360" w:lineRule="auto"/>
        <w:rPr>
          <w:rFonts w:cstheme="minorHAnsi"/>
        </w:rPr>
      </w:pPr>
      <w:r w:rsidRPr="00A77AF6">
        <w:rPr>
          <w:rFonts w:cstheme="minorHAnsi"/>
        </w:rPr>
        <w:t xml:space="preserve">Corporate governance is </w:t>
      </w:r>
      <w:r w:rsidR="005469D9" w:rsidRPr="00A77AF6">
        <w:rPr>
          <w:rFonts w:cstheme="minorHAnsi"/>
        </w:rPr>
        <w:t>founded on</w:t>
      </w:r>
      <w:r w:rsidRPr="00A77AF6">
        <w:rPr>
          <w:rFonts w:cstheme="minorHAnsi"/>
        </w:rPr>
        <w:t xml:space="preserve"> </w:t>
      </w:r>
      <w:r w:rsidR="00B77A96" w:rsidRPr="00A77AF6">
        <w:rPr>
          <w:rFonts w:cstheme="minorHAnsi"/>
        </w:rPr>
        <w:t xml:space="preserve">widely accepted </w:t>
      </w:r>
      <w:r w:rsidRPr="00A77AF6">
        <w:rPr>
          <w:rFonts w:cstheme="minorHAnsi"/>
        </w:rPr>
        <w:t>principles</w:t>
      </w:r>
      <w:r w:rsidR="00CB2124" w:rsidRPr="00A77AF6">
        <w:rPr>
          <w:rFonts w:cstheme="minorHAnsi"/>
        </w:rPr>
        <w:t xml:space="preserve">. </w:t>
      </w:r>
      <w:r w:rsidR="006C1910" w:rsidRPr="00A77AF6">
        <w:rPr>
          <w:rFonts w:cstheme="minorHAnsi"/>
        </w:rPr>
        <w:t>In the UK ‘The First Committee on the Standards of Public Life’ (1995)</w:t>
      </w:r>
      <w:r w:rsidRPr="00A77AF6">
        <w:rPr>
          <w:rFonts w:cstheme="minorHAnsi"/>
        </w:rPr>
        <w:t>,</w:t>
      </w:r>
      <w:r w:rsidR="006C1910" w:rsidRPr="00A77AF6">
        <w:rPr>
          <w:rFonts w:cstheme="minorHAnsi"/>
        </w:rPr>
        <w:t xml:space="preserve"> known as the Nolan Report</w:t>
      </w:r>
      <w:r w:rsidR="001D5E7A" w:rsidRPr="00A77AF6">
        <w:rPr>
          <w:rFonts w:cstheme="minorHAnsi"/>
        </w:rPr>
        <w:t>,</w:t>
      </w:r>
      <w:r w:rsidR="006C1910" w:rsidRPr="00A77AF6">
        <w:rPr>
          <w:rFonts w:cstheme="minorHAnsi"/>
        </w:rPr>
        <w:t xml:space="preserve"> </w:t>
      </w:r>
      <w:r w:rsidR="00495A7D" w:rsidRPr="00A77AF6">
        <w:rPr>
          <w:rFonts w:cstheme="minorHAnsi"/>
        </w:rPr>
        <w:t>set out seven standards for public life:</w:t>
      </w:r>
    </w:p>
    <w:p w14:paraId="065EC854" w14:textId="77777777" w:rsidR="004639FF" w:rsidRPr="00A77AF6" w:rsidRDefault="00495A7D" w:rsidP="004639FF">
      <w:pPr>
        <w:spacing w:line="240" w:lineRule="auto"/>
        <w:ind w:left="720"/>
        <w:rPr>
          <w:rFonts w:cstheme="minorHAnsi"/>
        </w:rPr>
      </w:pPr>
      <w:r w:rsidRPr="00A77AF6">
        <w:rPr>
          <w:rFonts w:cstheme="minorHAnsi"/>
        </w:rPr>
        <w:t xml:space="preserve"> ‘</w:t>
      </w:r>
      <w:r w:rsidRPr="00A77AF6">
        <w:rPr>
          <w:rFonts w:cstheme="minorHAnsi"/>
          <w:i/>
          <w:iCs/>
        </w:rPr>
        <w:t>selflessness, integrity, objectivity, accountability, openness, honesty and leadership’</w:t>
      </w:r>
      <w:r w:rsidRPr="00A77AF6">
        <w:rPr>
          <w:rFonts w:cstheme="minorHAnsi"/>
        </w:rPr>
        <w:t xml:space="preserve"> </w:t>
      </w:r>
      <w:sdt>
        <w:sdtPr>
          <w:rPr>
            <w:rFonts w:cstheme="minorHAnsi"/>
          </w:rPr>
          <w:id w:val="1241064418"/>
          <w:citation/>
        </w:sdtPr>
        <w:sdtEndPr/>
        <w:sdtContent>
          <w:r w:rsidRPr="00A77AF6">
            <w:rPr>
              <w:rFonts w:cstheme="minorHAnsi"/>
            </w:rPr>
            <w:fldChar w:fldCharType="begin"/>
          </w:r>
          <w:r w:rsidR="00B329F7" w:rsidRPr="00A77AF6">
            <w:rPr>
              <w:rFonts w:cstheme="minorHAnsi"/>
            </w:rPr>
            <w:instrText xml:space="preserve">CITATION Lor95 \p 14 \l 2057 </w:instrText>
          </w:r>
          <w:r w:rsidRPr="00A77AF6">
            <w:rPr>
              <w:rFonts w:cstheme="minorHAnsi"/>
            </w:rPr>
            <w:fldChar w:fldCharType="separate"/>
          </w:r>
          <w:r w:rsidR="008E653F" w:rsidRPr="00A77AF6">
            <w:rPr>
              <w:rFonts w:cstheme="minorHAnsi"/>
            </w:rPr>
            <w:t>(Nolan, 1995, p. 14)</w:t>
          </w:r>
          <w:r w:rsidRPr="00A77AF6">
            <w:rPr>
              <w:rFonts w:cstheme="minorHAnsi"/>
            </w:rPr>
            <w:fldChar w:fldCharType="end"/>
          </w:r>
        </w:sdtContent>
      </w:sdt>
      <w:r w:rsidRPr="00A77AF6">
        <w:rPr>
          <w:rFonts w:cstheme="minorHAnsi"/>
        </w:rPr>
        <w:t xml:space="preserve">.  </w:t>
      </w:r>
    </w:p>
    <w:p w14:paraId="12343B09" w14:textId="392A0A9F" w:rsidR="008053A1" w:rsidRPr="00A77AF6" w:rsidRDefault="006C1910" w:rsidP="00D4720E">
      <w:pPr>
        <w:spacing w:line="360" w:lineRule="auto"/>
        <w:rPr>
          <w:rFonts w:cstheme="minorHAnsi"/>
        </w:rPr>
      </w:pPr>
      <w:r w:rsidRPr="00A77AF6">
        <w:rPr>
          <w:rFonts w:cstheme="minorHAnsi"/>
        </w:rPr>
        <w:t xml:space="preserve">“The Good Governance Standard for Public Services” </w:t>
      </w:r>
      <w:sdt>
        <w:sdtPr>
          <w:rPr>
            <w:rFonts w:cstheme="minorHAnsi"/>
          </w:rPr>
          <w:id w:val="1273204807"/>
          <w:citation/>
        </w:sdtPr>
        <w:sdtEndPr/>
        <w:sdtContent>
          <w:r w:rsidRPr="00A77AF6">
            <w:rPr>
              <w:rFonts w:cstheme="minorHAnsi"/>
            </w:rPr>
            <w:fldChar w:fldCharType="begin"/>
          </w:r>
          <w:r w:rsidR="00CA2B89" w:rsidRPr="00A77AF6">
            <w:rPr>
              <w:rFonts w:cstheme="minorHAnsi"/>
            </w:rPr>
            <w:instrText xml:space="preserve">CITATION The04 \l 2057 </w:instrText>
          </w:r>
          <w:r w:rsidRPr="00A77AF6">
            <w:rPr>
              <w:rFonts w:cstheme="minorHAnsi"/>
            </w:rPr>
            <w:fldChar w:fldCharType="separate"/>
          </w:r>
          <w:r w:rsidR="008E653F" w:rsidRPr="00A77AF6">
            <w:rPr>
              <w:rFonts w:cstheme="minorHAnsi"/>
            </w:rPr>
            <w:t>(OPM &amp; CIPFA, 2004)</w:t>
          </w:r>
          <w:r w:rsidRPr="00A77AF6">
            <w:rPr>
              <w:rFonts w:cstheme="minorHAnsi"/>
            </w:rPr>
            <w:fldChar w:fldCharType="end"/>
          </w:r>
        </w:sdtContent>
      </w:sdt>
      <w:r w:rsidRPr="00A77AF6">
        <w:rPr>
          <w:rFonts w:cstheme="minorHAnsi"/>
        </w:rPr>
        <w:t xml:space="preserve"> identified six principles of good governance </w:t>
      </w:r>
      <w:r w:rsidR="004C6E6B" w:rsidRPr="00A77AF6">
        <w:rPr>
          <w:rFonts w:cstheme="minorHAnsi"/>
        </w:rPr>
        <w:t xml:space="preserve">for the public sector </w:t>
      </w:r>
      <w:r w:rsidRPr="00A77AF6">
        <w:rPr>
          <w:rFonts w:cstheme="minorHAnsi"/>
        </w:rPr>
        <w:t xml:space="preserve">(Figure </w:t>
      </w:r>
      <w:r w:rsidR="000512A1" w:rsidRPr="00A77AF6">
        <w:rPr>
          <w:rFonts w:cstheme="minorHAnsi"/>
        </w:rPr>
        <w:t>4-1)</w:t>
      </w:r>
      <w:r w:rsidRPr="00A77AF6">
        <w:rPr>
          <w:rFonts w:cstheme="minorHAnsi"/>
        </w:rPr>
        <w:t xml:space="preserve">.  </w:t>
      </w:r>
      <w:r w:rsidR="00B77A96" w:rsidRPr="00A77AF6">
        <w:rPr>
          <w:rFonts w:cstheme="minorHAnsi"/>
        </w:rPr>
        <w:t>Its</w:t>
      </w:r>
      <w:r w:rsidRPr="00A77AF6">
        <w:rPr>
          <w:rFonts w:cstheme="minorHAnsi"/>
        </w:rPr>
        <w:t xml:space="preserve"> central principal is to focus on </w:t>
      </w:r>
      <w:r w:rsidR="00B77A96" w:rsidRPr="00A77AF6">
        <w:rPr>
          <w:rFonts w:cstheme="minorHAnsi"/>
        </w:rPr>
        <w:t>the purpose of the organisation and on the outcomes for the people that an organisation serves.  This central principle is surrounded by four others: the promotion of the organisation’s values</w:t>
      </w:r>
      <w:r w:rsidR="00CB4772">
        <w:rPr>
          <w:rFonts w:cstheme="minorHAnsi"/>
        </w:rPr>
        <w:t xml:space="preserve"> and</w:t>
      </w:r>
      <w:r w:rsidR="00B77A96" w:rsidRPr="00A77AF6">
        <w:rPr>
          <w:rFonts w:cstheme="minorHAnsi"/>
        </w:rPr>
        <w:t xml:space="preserve"> modelling good governance through behaviour</w:t>
      </w:r>
      <w:r w:rsidR="00CB4772">
        <w:rPr>
          <w:rFonts w:cstheme="minorHAnsi"/>
        </w:rPr>
        <w:t>;</w:t>
      </w:r>
      <w:r w:rsidR="00B77A96" w:rsidRPr="00A77AF6">
        <w:rPr>
          <w:rFonts w:cstheme="minorHAnsi"/>
        </w:rPr>
        <w:t xml:space="preserve"> transparen</w:t>
      </w:r>
      <w:r w:rsidR="00CB4772">
        <w:rPr>
          <w:rFonts w:cstheme="minorHAnsi"/>
        </w:rPr>
        <w:t xml:space="preserve">t </w:t>
      </w:r>
      <w:r w:rsidR="00B77A96" w:rsidRPr="00A77AF6">
        <w:rPr>
          <w:rFonts w:cstheme="minorHAnsi"/>
        </w:rPr>
        <w:t>decision making</w:t>
      </w:r>
      <w:r w:rsidR="00CB4772">
        <w:rPr>
          <w:rFonts w:cstheme="minorHAnsi"/>
        </w:rPr>
        <w:t xml:space="preserve"> and </w:t>
      </w:r>
      <w:r w:rsidR="00B77A96" w:rsidRPr="00A77AF6">
        <w:rPr>
          <w:rFonts w:cstheme="minorHAnsi"/>
        </w:rPr>
        <w:t>risk management</w:t>
      </w:r>
      <w:r w:rsidR="00CB4772">
        <w:rPr>
          <w:rFonts w:cstheme="minorHAnsi"/>
        </w:rPr>
        <w:t xml:space="preserve">; developing governance capability </w:t>
      </w:r>
      <w:r w:rsidR="00B77A96" w:rsidRPr="00A77AF6">
        <w:rPr>
          <w:rFonts w:cstheme="minorHAnsi"/>
        </w:rPr>
        <w:t xml:space="preserve">and ensuring effective performance </w:t>
      </w:r>
      <w:r w:rsidR="00A97ED7">
        <w:rPr>
          <w:rFonts w:cstheme="minorHAnsi"/>
        </w:rPr>
        <w:t xml:space="preserve">through </w:t>
      </w:r>
      <w:r w:rsidR="00CB4772">
        <w:rPr>
          <w:rFonts w:cstheme="minorHAnsi"/>
        </w:rPr>
        <w:t xml:space="preserve">clearly defined </w:t>
      </w:r>
      <w:r w:rsidR="00B77A96" w:rsidRPr="00A77AF6">
        <w:rPr>
          <w:rFonts w:cstheme="minorHAnsi"/>
        </w:rPr>
        <w:t>roles and functions</w:t>
      </w:r>
      <w:r w:rsidR="00CB4772">
        <w:rPr>
          <w:rFonts w:cstheme="minorHAnsi"/>
        </w:rPr>
        <w:t>.</w:t>
      </w:r>
      <w:r w:rsidR="00B77A96" w:rsidRPr="00A77AF6">
        <w:rPr>
          <w:rFonts w:cstheme="minorHAnsi"/>
        </w:rPr>
        <w:t xml:space="preserve"> </w:t>
      </w:r>
      <w:r w:rsidRPr="00A77AF6">
        <w:rPr>
          <w:rFonts w:cstheme="minorHAnsi"/>
          <w:i/>
        </w:rPr>
        <w:t xml:space="preserve"> </w:t>
      </w:r>
      <w:r w:rsidRPr="00A77AF6">
        <w:rPr>
          <w:rFonts w:cstheme="minorHAnsi"/>
        </w:rPr>
        <w:t xml:space="preserve">Surrounding </w:t>
      </w:r>
      <w:r w:rsidR="00CB4772">
        <w:rPr>
          <w:rFonts w:cstheme="minorHAnsi"/>
        </w:rPr>
        <w:t>all</w:t>
      </w:r>
      <w:r w:rsidRPr="00A77AF6">
        <w:rPr>
          <w:rFonts w:cstheme="minorHAnsi"/>
        </w:rPr>
        <w:t xml:space="preserve"> </w:t>
      </w:r>
      <w:r w:rsidR="00B77A96" w:rsidRPr="00A77AF6">
        <w:rPr>
          <w:rFonts w:cstheme="minorHAnsi"/>
        </w:rPr>
        <w:t xml:space="preserve">five </w:t>
      </w:r>
      <w:r w:rsidRPr="00A77AF6">
        <w:rPr>
          <w:rFonts w:cstheme="minorHAnsi"/>
        </w:rPr>
        <w:t>elements is the need to ensure the engagement of stakeholders such as the public, staff and institutional stakeholders including</w:t>
      </w:r>
      <w:r w:rsidR="00B77A96" w:rsidRPr="00A77AF6">
        <w:rPr>
          <w:rFonts w:cstheme="minorHAnsi"/>
        </w:rPr>
        <w:t xml:space="preserve"> an understanding of accountability relationships. </w:t>
      </w:r>
      <w:r w:rsidRPr="00A77AF6">
        <w:rPr>
          <w:rFonts w:cstheme="minorHAnsi"/>
        </w:rPr>
        <w:t xml:space="preserve">These two reports define standards for public service in the UK. </w:t>
      </w:r>
      <w:r w:rsidR="00F71C66" w:rsidRPr="00A77AF6">
        <w:rPr>
          <w:rFonts w:cstheme="minorHAnsi"/>
        </w:rPr>
        <w:t xml:space="preserve"> Verhezen (2004) argued that benefit of corporate governance is twofold. Firstly, </w:t>
      </w:r>
      <w:r w:rsidR="005469D9" w:rsidRPr="00A77AF6">
        <w:rPr>
          <w:rFonts w:cstheme="minorHAnsi"/>
        </w:rPr>
        <w:t xml:space="preserve">it </w:t>
      </w:r>
      <w:r w:rsidR="00F71C66" w:rsidRPr="00A77AF6">
        <w:rPr>
          <w:rFonts w:cstheme="minorHAnsi"/>
        </w:rPr>
        <w:t xml:space="preserve">builds trust and secondly its rules and regulations strengthen the control that shareholders and others can exercise over corporate behaviour. </w:t>
      </w:r>
      <w:r w:rsidR="004639FF" w:rsidRPr="00A77AF6">
        <w:rPr>
          <w:rFonts w:cstheme="minorHAnsi"/>
        </w:rPr>
        <w:t xml:space="preserve"> </w:t>
      </w:r>
      <w:r w:rsidR="008053A1" w:rsidRPr="00A77AF6">
        <w:rPr>
          <w:rFonts w:cstheme="minorHAnsi"/>
        </w:rPr>
        <w:t xml:space="preserve">The purpose of governance is clear in the definitions </w:t>
      </w:r>
      <w:r w:rsidR="008F2BEC" w:rsidRPr="00A77AF6">
        <w:rPr>
          <w:rFonts w:cstheme="minorHAnsi"/>
        </w:rPr>
        <w:t>given above</w:t>
      </w:r>
      <w:r w:rsidR="00D0416B" w:rsidRPr="00A77AF6">
        <w:rPr>
          <w:rFonts w:cstheme="minorHAnsi"/>
        </w:rPr>
        <w:t>, c</w:t>
      </w:r>
      <w:r w:rsidR="008F2BEC" w:rsidRPr="00A77AF6">
        <w:rPr>
          <w:rFonts w:cstheme="minorHAnsi"/>
        </w:rPr>
        <w:t xml:space="preserve">orporations must be governed for the benefit of stakeholders and that is achieved through openness transparency, accountability and lawfulness.  Mechanisms to </w:t>
      </w:r>
      <w:r w:rsidR="005469D9" w:rsidRPr="00A77AF6">
        <w:rPr>
          <w:rFonts w:cstheme="minorHAnsi"/>
        </w:rPr>
        <w:t>encourage</w:t>
      </w:r>
      <w:r w:rsidR="008F2BEC" w:rsidRPr="00A77AF6">
        <w:rPr>
          <w:rFonts w:cstheme="minorHAnsi"/>
        </w:rPr>
        <w:t xml:space="preserve"> desired behaviours are an effective governing body with clearly defined functions and roles</w:t>
      </w:r>
      <w:r w:rsidR="005469D9" w:rsidRPr="00A77AF6">
        <w:rPr>
          <w:rFonts w:cstheme="minorHAnsi"/>
        </w:rPr>
        <w:t xml:space="preserve"> and </w:t>
      </w:r>
      <w:r w:rsidR="008F2BEC" w:rsidRPr="00A77AF6">
        <w:rPr>
          <w:rFonts w:cstheme="minorHAnsi"/>
        </w:rPr>
        <w:t xml:space="preserve">adequate oversight from internal boards and external stakeholders. </w:t>
      </w:r>
      <w:r w:rsidR="00D4720E" w:rsidRPr="00A77AF6">
        <w:rPr>
          <w:rFonts w:cstheme="minorHAnsi"/>
        </w:rPr>
        <w:t>The need for control through regulation</w:t>
      </w:r>
      <w:r w:rsidR="005469D9" w:rsidRPr="00A77AF6">
        <w:rPr>
          <w:rFonts w:cstheme="minorHAnsi"/>
        </w:rPr>
        <w:t>, processes and roles</w:t>
      </w:r>
      <w:r w:rsidR="00D4720E" w:rsidRPr="00A77AF6">
        <w:rPr>
          <w:rFonts w:cstheme="minorHAnsi"/>
        </w:rPr>
        <w:t xml:space="preserve"> is predicted by </w:t>
      </w:r>
      <w:r w:rsidR="00A042F2" w:rsidRPr="00A77AF6">
        <w:rPr>
          <w:rFonts w:cstheme="minorHAnsi"/>
        </w:rPr>
        <w:t>a</w:t>
      </w:r>
      <w:r w:rsidR="00D4720E" w:rsidRPr="00A77AF6">
        <w:rPr>
          <w:rFonts w:cstheme="minorHAnsi"/>
        </w:rPr>
        <w:t xml:space="preserve">gency </w:t>
      </w:r>
      <w:r w:rsidR="00A042F2" w:rsidRPr="00A77AF6">
        <w:rPr>
          <w:rFonts w:cstheme="minorHAnsi"/>
        </w:rPr>
        <w:t>t</w:t>
      </w:r>
      <w:r w:rsidR="00D4720E" w:rsidRPr="00A77AF6">
        <w:rPr>
          <w:rFonts w:cstheme="minorHAnsi"/>
        </w:rPr>
        <w:t xml:space="preserve">heory. </w:t>
      </w:r>
    </w:p>
    <w:p w14:paraId="65FDB393" w14:textId="0ECB1F8D" w:rsidR="008D0C39" w:rsidRPr="00A77AF6" w:rsidRDefault="008F2BEC" w:rsidP="00D4720E">
      <w:pPr>
        <w:spacing w:line="360" w:lineRule="auto"/>
        <w:rPr>
          <w:rFonts w:cstheme="minorHAnsi"/>
        </w:rPr>
      </w:pPr>
      <w:r w:rsidRPr="00A77AF6">
        <w:rPr>
          <w:rFonts w:cstheme="minorHAnsi"/>
        </w:rPr>
        <w:t>Larcker</w:t>
      </w:r>
      <w:r w:rsidR="00BE1DB4">
        <w:rPr>
          <w:rFonts w:cstheme="minorHAnsi"/>
        </w:rPr>
        <w:t xml:space="preserve"> &amp;</w:t>
      </w:r>
      <w:r w:rsidRPr="00A77AF6">
        <w:rPr>
          <w:rFonts w:cstheme="minorHAnsi"/>
        </w:rPr>
        <w:t xml:space="preserve"> Tayan (2011), o</w:t>
      </w:r>
      <w:r w:rsidR="00495A7D" w:rsidRPr="00A77AF6">
        <w:rPr>
          <w:rFonts w:cstheme="minorHAnsi"/>
        </w:rPr>
        <w:t>n the other hand</w:t>
      </w:r>
      <w:r w:rsidR="007045C1" w:rsidRPr="00A77AF6">
        <w:rPr>
          <w:rFonts w:cstheme="minorHAnsi"/>
        </w:rPr>
        <w:t>,</w:t>
      </w:r>
      <w:r w:rsidR="00495A7D" w:rsidRPr="00A77AF6">
        <w:rPr>
          <w:rFonts w:cstheme="minorHAnsi"/>
        </w:rPr>
        <w:t xml:space="preserve"> </w:t>
      </w:r>
      <w:r w:rsidR="001512EA" w:rsidRPr="00A77AF6">
        <w:rPr>
          <w:rFonts w:cstheme="minorHAnsi"/>
        </w:rPr>
        <w:t xml:space="preserve">argue that there are no universal standards of good governance and make a case for them being culturally specific. </w:t>
      </w:r>
      <w:r w:rsidR="006149B5" w:rsidRPr="00A77AF6">
        <w:rPr>
          <w:rFonts w:cstheme="minorHAnsi"/>
        </w:rPr>
        <w:t xml:space="preserve"> </w:t>
      </w:r>
      <w:r w:rsidR="001512EA" w:rsidRPr="00A77AF6">
        <w:rPr>
          <w:rFonts w:cstheme="minorHAnsi"/>
        </w:rPr>
        <w:t>Solomon (2007) notes that the models of corporate governance vary around the world.  In some countries, corporate governance is in private hands</w:t>
      </w:r>
      <w:r w:rsidR="00495A7D" w:rsidRPr="00A77AF6">
        <w:rPr>
          <w:rFonts w:cstheme="minorHAnsi"/>
        </w:rPr>
        <w:t>, for example in the USA</w:t>
      </w:r>
      <w:r w:rsidR="005469D9" w:rsidRPr="00A77AF6">
        <w:rPr>
          <w:rFonts w:cstheme="minorHAnsi"/>
        </w:rPr>
        <w:t xml:space="preserve">, </w:t>
      </w:r>
      <w:r w:rsidR="001512EA" w:rsidRPr="00A77AF6">
        <w:rPr>
          <w:rFonts w:cstheme="minorHAnsi"/>
        </w:rPr>
        <w:t xml:space="preserve"> and in other</w:t>
      </w:r>
      <w:r w:rsidR="00A43D6D" w:rsidRPr="00A77AF6">
        <w:rPr>
          <w:rFonts w:cstheme="minorHAnsi"/>
        </w:rPr>
        <w:t xml:space="preserve"> </w:t>
      </w:r>
      <w:r w:rsidR="00A902F6" w:rsidRPr="00A77AF6">
        <w:rPr>
          <w:rFonts w:cstheme="minorHAnsi"/>
        </w:rPr>
        <w:t>countries</w:t>
      </w:r>
      <w:r w:rsidR="00495A7D" w:rsidRPr="00A77AF6">
        <w:rPr>
          <w:rFonts w:cstheme="minorHAnsi"/>
        </w:rPr>
        <w:t xml:space="preserve">, </w:t>
      </w:r>
      <w:r w:rsidR="001512EA" w:rsidRPr="00A77AF6">
        <w:rPr>
          <w:rFonts w:cstheme="minorHAnsi"/>
        </w:rPr>
        <w:t xml:space="preserve">corporate governance is more </w:t>
      </w:r>
      <w:r w:rsidR="005469D9" w:rsidRPr="00A77AF6">
        <w:rPr>
          <w:rFonts w:cstheme="minorHAnsi"/>
        </w:rPr>
        <w:t xml:space="preserve">strongly </w:t>
      </w:r>
      <w:r w:rsidR="001512EA" w:rsidRPr="00A77AF6">
        <w:rPr>
          <w:rFonts w:cstheme="minorHAnsi"/>
        </w:rPr>
        <w:t xml:space="preserve">influenced by the state, for example Russia.  </w:t>
      </w:r>
      <w:r w:rsidR="00495A7D" w:rsidRPr="00A77AF6">
        <w:rPr>
          <w:rFonts w:cstheme="minorHAnsi"/>
        </w:rPr>
        <w:t>Th</w:t>
      </w:r>
      <w:r w:rsidR="006149B5" w:rsidRPr="00A77AF6">
        <w:rPr>
          <w:rFonts w:cstheme="minorHAnsi"/>
        </w:rPr>
        <w:t xml:space="preserve">ese differences are noted but </w:t>
      </w:r>
      <w:r w:rsidR="008D0C39" w:rsidRPr="00A77AF6">
        <w:rPr>
          <w:rFonts w:cstheme="minorHAnsi"/>
        </w:rPr>
        <w:t xml:space="preserve">whether or not governance is in public or private hands the weight of the literature suggests that there is </w:t>
      </w:r>
      <w:r w:rsidR="008D0C39" w:rsidRPr="00A77AF6">
        <w:rPr>
          <w:rFonts w:cstheme="minorHAnsi"/>
        </w:rPr>
        <w:lastRenderedPageBreak/>
        <w:t xml:space="preserve">significant consensus at the level </w:t>
      </w:r>
      <w:r w:rsidR="005469D9" w:rsidRPr="00A77AF6">
        <w:rPr>
          <w:rFonts w:cstheme="minorHAnsi"/>
        </w:rPr>
        <w:t>principle,</w:t>
      </w:r>
      <w:r w:rsidR="008D0C39" w:rsidRPr="00A77AF6">
        <w:rPr>
          <w:rFonts w:cstheme="minorHAnsi"/>
        </w:rPr>
        <w:t xml:space="preserve"> and it is the principle</w:t>
      </w:r>
      <w:r w:rsidR="005469D9" w:rsidRPr="00A77AF6">
        <w:rPr>
          <w:rFonts w:cstheme="minorHAnsi"/>
        </w:rPr>
        <w:t>s</w:t>
      </w:r>
      <w:r w:rsidR="008D0C39" w:rsidRPr="00A77AF6">
        <w:rPr>
          <w:rFonts w:cstheme="minorHAnsi"/>
        </w:rPr>
        <w:t xml:space="preserve"> of governance that matter, not who owns them.  </w:t>
      </w:r>
    </w:p>
    <w:p w14:paraId="4AF25F62" w14:textId="77777777" w:rsidR="005111A6" w:rsidRPr="00A77AF6" w:rsidRDefault="00E543FB" w:rsidP="005111A6">
      <w:pPr>
        <w:keepNext/>
      </w:pPr>
      <w:r w:rsidRPr="00A77AF6">
        <w:rPr>
          <w:rFonts w:cs="Arial"/>
          <w:noProof/>
          <w:lang w:eastAsia="en-GB"/>
        </w:rPr>
        <w:drawing>
          <wp:inline distT="0" distB="0" distL="0" distR="0" wp14:anchorId="306CF66E" wp14:editId="5F369F6B">
            <wp:extent cx="3887216" cy="3801834"/>
            <wp:effectExtent l="152400" t="133350" r="151765" b="1797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3935" t="16372" r="38925" b="19050"/>
                    <a:stretch/>
                  </pic:blipFill>
                  <pic:spPr bwMode="auto">
                    <a:xfrm>
                      <a:off x="0" y="0"/>
                      <a:ext cx="3918351" cy="3832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5E344FF6" w14:textId="207712F8" w:rsidR="005111A6" w:rsidRPr="00A77AF6" w:rsidRDefault="005111A6" w:rsidP="005469D9">
      <w:pPr>
        <w:pStyle w:val="Caption"/>
        <w:spacing w:after="120"/>
      </w:pPr>
      <w:bookmarkStart w:id="63" w:name="_Toc36186965"/>
      <w:r w:rsidRPr="00A77AF6">
        <w:t xml:space="preserve">Figure </w:t>
      </w:r>
      <w:fldSimple w:instr=" STYLEREF 1 \s ">
        <w:r w:rsidR="000441F7">
          <w:rPr>
            <w:noProof/>
          </w:rPr>
          <w:t>4</w:t>
        </w:r>
      </w:fldSimple>
      <w:r w:rsidR="00BA5DC4">
        <w:noBreakHyphen/>
      </w:r>
      <w:fldSimple w:instr=" SEQ Figure \* ARABIC \s 1 ">
        <w:r w:rsidR="000441F7">
          <w:rPr>
            <w:noProof/>
          </w:rPr>
          <w:t>1</w:t>
        </w:r>
      </w:fldSimple>
      <w:r w:rsidRPr="00A77AF6">
        <w:t xml:space="preserve"> - Six Core Principles of Good Governance</w:t>
      </w:r>
      <w:bookmarkEnd w:id="63"/>
    </w:p>
    <w:p w14:paraId="3DC22CF9" w14:textId="2AAE3BB3" w:rsidR="006C1910" w:rsidRPr="00A77AF6" w:rsidRDefault="0090418A" w:rsidP="005469D9">
      <w:pPr>
        <w:spacing w:after="240"/>
        <w:rPr>
          <w:rFonts w:cstheme="minorHAnsi"/>
          <w:sz w:val="20"/>
        </w:rPr>
      </w:pPr>
      <w:r w:rsidRPr="00A77AF6">
        <w:rPr>
          <w:rFonts w:cstheme="minorHAnsi"/>
          <w:sz w:val="20"/>
        </w:rPr>
        <w:t xml:space="preserve">Source: </w:t>
      </w:r>
      <w:r w:rsidR="005111A6" w:rsidRPr="00A77AF6">
        <w:rPr>
          <w:rFonts w:cstheme="minorHAnsi"/>
          <w:sz w:val="20"/>
        </w:rPr>
        <w:t>OPM &amp; CIPFA</w:t>
      </w:r>
      <w:r w:rsidRPr="00A77AF6">
        <w:rPr>
          <w:rFonts w:cstheme="minorHAnsi"/>
          <w:sz w:val="20"/>
        </w:rPr>
        <w:t xml:space="preserve"> (</w:t>
      </w:r>
      <w:r w:rsidR="005111A6" w:rsidRPr="00A77AF6">
        <w:rPr>
          <w:rFonts w:cstheme="minorHAnsi"/>
          <w:sz w:val="20"/>
        </w:rPr>
        <w:t>2004, p. 4)</w:t>
      </w:r>
    </w:p>
    <w:p w14:paraId="4BD049E0" w14:textId="77777777" w:rsidR="00A97ED7" w:rsidRDefault="00A97ED7">
      <w:pPr>
        <w:rPr>
          <w:rFonts w:cstheme="minorHAnsi"/>
        </w:rPr>
      </w:pPr>
      <w:r>
        <w:rPr>
          <w:rFonts w:cstheme="minorHAnsi"/>
        </w:rPr>
        <w:br w:type="page"/>
      </w:r>
    </w:p>
    <w:p w14:paraId="1A3E9787" w14:textId="10AEE654" w:rsidR="00034BA9" w:rsidRPr="00A77AF6" w:rsidRDefault="00806D41" w:rsidP="00806D41">
      <w:pPr>
        <w:spacing w:line="360" w:lineRule="auto"/>
        <w:rPr>
          <w:rFonts w:cs="Arial"/>
        </w:rPr>
      </w:pPr>
      <w:r w:rsidRPr="00A77AF6">
        <w:rPr>
          <w:rFonts w:cstheme="minorHAnsi"/>
        </w:rPr>
        <w:lastRenderedPageBreak/>
        <w:t>D</w:t>
      </w:r>
      <w:r w:rsidR="00CB0544" w:rsidRPr="00A77AF6">
        <w:rPr>
          <w:rFonts w:cstheme="minorHAnsi"/>
        </w:rPr>
        <w:t xml:space="preserve">efinitions of </w:t>
      </w:r>
      <w:r w:rsidR="00890CE9" w:rsidRPr="00A77AF6">
        <w:rPr>
          <w:rFonts w:cstheme="minorHAnsi"/>
        </w:rPr>
        <w:t>good corporate governance</w:t>
      </w:r>
      <w:r w:rsidRPr="00A77AF6">
        <w:rPr>
          <w:rFonts w:cstheme="minorHAnsi"/>
        </w:rPr>
        <w:t xml:space="preserve"> are compared in Table 4-1</w:t>
      </w:r>
      <w:r w:rsidR="00890CE9" w:rsidRPr="00A77AF6">
        <w:rPr>
          <w:rFonts w:cstheme="minorHAnsi"/>
        </w:rPr>
        <w:t xml:space="preserve"> </w:t>
      </w:r>
      <w:r w:rsidRPr="00A77AF6">
        <w:rPr>
          <w:rFonts w:cstheme="minorHAnsi"/>
        </w:rPr>
        <w:t>to</w:t>
      </w:r>
      <w:r w:rsidR="00CB0544" w:rsidRPr="00A77AF6">
        <w:rPr>
          <w:rFonts w:cstheme="minorHAnsi"/>
        </w:rPr>
        <w:t xml:space="preserve"> shows the </w:t>
      </w:r>
      <w:r w:rsidR="00890CE9" w:rsidRPr="00A77AF6">
        <w:rPr>
          <w:rFonts w:cstheme="minorHAnsi"/>
        </w:rPr>
        <w:t xml:space="preserve">similarity between </w:t>
      </w:r>
      <w:r w:rsidRPr="00A77AF6">
        <w:rPr>
          <w:rFonts w:cstheme="minorHAnsi"/>
        </w:rPr>
        <w:t xml:space="preserve">various </w:t>
      </w:r>
      <w:r w:rsidR="00890CE9" w:rsidRPr="00A77AF6">
        <w:rPr>
          <w:rFonts w:cstheme="minorHAnsi"/>
        </w:rPr>
        <w:t>definitions</w:t>
      </w:r>
      <w:r w:rsidRPr="00A77AF6">
        <w:rPr>
          <w:rFonts w:cstheme="minorHAnsi"/>
        </w:rPr>
        <w:t xml:space="preserve">, including </w:t>
      </w:r>
      <w:r w:rsidR="00CB0544" w:rsidRPr="00A77AF6">
        <w:rPr>
          <w:rFonts w:cstheme="minorHAnsi"/>
        </w:rPr>
        <w:t xml:space="preserve">accountability, integrity, fairness, leadership, openness and transparency. </w:t>
      </w:r>
    </w:p>
    <w:p w14:paraId="2833E454" w14:textId="5FAC7900" w:rsidR="00806D41" w:rsidRPr="00A77AF6" w:rsidRDefault="00806D41" w:rsidP="00806D41">
      <w:pPr>
        <w:pStyle w:val="Caption"/>
        <w:keepNext/>
        <w:spacing w:after="0"/>
      </w:pPr>
      <w:r w:rsidRPr="00A77AF6">
        <w:t xml:space="preserve">Table </w:t>
      </w:r>
      <w:fldSimple w:instr=" STYLEREF 1 \s ">
        <w:r w:rsidR="000441F7">
          <w:rPr>
            <w:noProof/>
          </w:rPr>
          <w:t>4</w:t>
        </w:r>
      </w:fldSimple>
      <w:r w:rsidR="00804112">
        <w:noBreakHyphen/>
      </w:r>
      <w:fldSimple w:instr=" SEQ Table \* ARABIC \s 1 ">
        <w:r w:rsidR="000441F7">
          <w:rPr>
            <w:noProof/>
          </w:rPr>
          <w:t>1</w:t>
        </w:r>
      </w:fldSimple>
      <w:r w:rsidRPr="00A77AF6">
        <w:t>: Comparison of governance principles</w:t>
      </w:r>
    </w:p>
    <w:tbl>
      <w:tblPr>
        <w:tblpPr w:leftFromText="180" w:rightFromText="180" w:vertAnchor="text" w:horzAnchor="margin" w:tblpY="2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1755"/>
        <w:gridCol w:w="1759"/>
        <w:gridCol w:w="1753"/>
        <w:gridCol w:w="1757"/>
      </w:tblGrid>
      <w:tr w:rsidR="00034BA9" w:rsidRPr="00A77AF6" w14:paraId="2A85B9B0" w14:textId="77777777" w:rsidTr="00034BA9">
        <w:tc>
          <w:tcPr>
            <w:tcW w:w="1753" w:type="dxa"/>
            <w:shd w:val="clear" w:color="auto" w:fill="D9D9D9" w:themeFill="background1" w:themeFillShade="D9"/>
          </w:tcPr>
          <w:p w14:paraId="4A24BC94" w14:textId="77777777" w:rsidR="00034BA9" w:rsidRPr="00A77AF6" w:rsidRDefault="00034BA9" w:rsidP="00034BA9">
            <w:pPr>
              <w:spacing w:after="0" w:line="240" w:lineRule="auto"/>
              <w:jc w:val="center"/>
              <w:rPr>
                <w:rFonts w:cstheme="minorHAnsi"/>
                <w:sz w:val="19"/>
                <w:szCs w:val="19"/>
              </w:rPr>
            </w:pPr>
            <w:r w:rsidRPr="00A77AF6">
              <w:rPr>
                <w:rFonts w:cstheme="minorHAnsi"/>
                <w:sz w:val="19"/>
                <w:szCs w:val="19"/>
              </w:rPr>
              <w:t>Cadbury Report (1992)</w:t>
            </w:r>
          </w:p>
        </w:tc>
        <w:tc>
          <w:tcPr>
            <w:tcW w:w="1755" w:type="dxa"/>
            <w:shd w:val="clear" w:color="auto" w:fill="D9D9D9" w:themeFill="background1" w:themeFillShade="D9"/>
          </w:tcPr>
          <w:p w14:paraId="7E635FE4" w14:textId="77777777" w:rsidR="00034BA9" w:rsidRPr="00A77AF6" w:rsidRDefault="00034BA9" w:rsidP="00034BA9">
            <w:pPr>
              <w:spacing w:after="0" w:line="240" w:lineRule="auto"/>
              <w:jc w:val="center"/>
              <w:rPr>
                <w:rFonts w:cstheme="minorHAnsi"/>
                <w:sz w:val="19"/>
                <w:szCs w:val="19"/>
              </w:rPr>
            </w:pPr>
            <w:r w:rsidRPr="00A77AF6">
              <w:rPr>
                <w:rFonts w:cstheme="minorHAnsi"/>
                <w:sz w:val="19"/>
                <w:szCs w:val="19"/>
              </w:rPr>
              <w:t>Nolan Committee on Standards in Public Life (1995)</w:t>
            </w:r>
          </w:p>
        </w:tc>
        <w:tc>
          <w:tcPr>
            <w:tcW w:w="1759" w:type="dxa"/>
            <w:shd w:val="clear" w:color="auto" w:fill="D9D9D9" w:themeFill="background1" w:themeFillShade="D9"/>
          </w:tcPr>
          <w:p w14:paraId="45629DC5" w14:textId="77777777" w:rsidR="00034BA9" w:rsidRPr="00A77AF6" w:rsidRDefault="00034BA9" w:rsidP="00034BA9">
            <w:pPr>
              <w:spacing w:after="0" w:line="240" w:lineRule="auto"/>
              <w:jc w:val="center"/>
              <w:rPr>
                <w:rFonts w:cstheme="minorHAnsi"/>
                <w:sz w:val="19"/>
                <w:szCs w:val="19"/>
              </w:rPr>
            </w:pPr>
            <w:r w:rsidRPr="00A77AF6">
              <w:rPr>
                <w:rFonts w:cstheme="minorHAnsi"/>
                <w:sz w:val="19"/>
                <w:szCs w:val="19"/>
              </w:rPr>
              <w:t>Good Governance Standard for Public Services (OPM) (2004)</w:t>
            </w:r>
          </w:p>
        </w:tc>
        <w:tc>
          <w:tcPr>
            <w:tcW w:w="1753" w:type="dxa"/>
            <w:shd w:val="clear" w:color="auto" w:fill="D9D9D9" w:themeFill="background1" w:themeFillShade="D9"/>
          </w:tcPr>
          <w:p w14:paraId="734B76CA" w14:textId="56445462" w:rsidR="00034BA9" w:rsidRPr="00A77AF6" w:rsidRDefault="00034BA9" w:rsidP="00034BA9">
            <w:pPr>
              <w:spacing w:after="0" w:line="240" w:lineRule="auto"/>
              <w:jc w:val="center"/>
              <w:rPr>
                <w:rFonts w:cstheme="minorHAnsi"/>
                <w:sz w:val="19"/>
                <w:szCs w:val="19"/>
              </w:rPr>
            </w:pPr>
            <w:r w:rsidRPr="00A77AF6">
              <w:rPr>
                <w:rFonts w:cstheme="minorHAnsi"/>
                <w:sz w:val="19"/>
                <w:szCs w:val="19"/>
              </w:rPr>
              <w:t>Verhezen (2009)</w:t>
            </w:r>
          </w:p>
        </w:tc>
        <w:tc>
          <w:tcPr>
            <w:tcW w:w="1757" w:type="dxa"/>
            <w:shd w:val="clear" w:color="auto" w:fill="D9D9D9" w:themeFill="background1" w:themeFillShade="D9"/>
          </w:tcPr>
          <w:p w14:paraId="311916A0" w14:textId="77777777" w:rsidR="00034BA9" w:rsidRPr="00A77AF6" w:rsidRDefault="00034BA9" w:rsidP="00034BA9">
            <w:pPr>
              <w:spacing w:after="0" w:line="240" w:lineRule="auto"/>
              <w:jc w:val="center"/>
              <w:rPr>
                <w:rFonts w:cstheme="minorHAnsi"/>
                <w:sz w:val="19"/>
                <w:szCs w:val="19"/>
              </w:rPr>
            </w:pPr>
            <w:r w:rsidRPr="00A77AF6">
              <w:rPr>
                <w:rFonts w:cstheme="minorHAnsi"/>
                <w:sz w:val="19"/>
                <w:szCs w:val="19"/>
              </w:rPr>
              <w:t>UK Governance Code (2014)</w:t>
            </w:r>
          </w:p>
        </w:tc>
      </w:tr>
      <w:tr w:rsidR="00034BA9" w:rsidRPr="00A77AF6" w14:paraId="308D0753" w14:textId="77777777" w:rsidTr="00034BA9">
        <w:tc>
          <w:tcPr>
            <w:tcW w:w="1753" w:type="dxa"/>
          </w:tcPr>
          <w:p w14:paraId="67316C4D" w14:textId="546B4A31" w:rsidR="00034BA9" w:rsidRPr="00A77AF6" w:rsidRDefault="00034BA9" w:rsidP="00034BA9">
            <w:pPr>
              <w:spacing w:after="0" w:line="240" w:lineRule="auto"/>
              <w:rPr>
                <w:rFonts w:cstheme="minorHAnsi"/>
                <w:sz w:val="19"/>
                <w:szCs w:val="19"/>
              </w:rPr>
            </w:pPr>
            <w:r w:rsidRPr="00A77AF6">
              <w:rPr>
                <w:rFonts w:cstheme="minorHAnsi"/>
                <w:sz w:val="19"/>
                <w:szCs w:val="19"/>
              </w:rPr>
              <w:t>Openness</w:t>
            </w:r>
          </w:p>
        </w:tc>
        <w:tc>
          <w:tcPr>
            <w:tcW w:w="1755" w:type="dxa"/>
          </w:tcPr>
          <w:p w14:paraId="6E14BE3B" w14:textId="77777777" w:rsidR="00034BA9" w:rsidRPr="00A77AF6" w:rsidRDefault="00034BA9" w:rsidP="00034BA9">
            <w:pPr>
              <w:spacing w:after="0" w:line="240" w:lineRule="auto"/>
              <w:rPr>
                <w:rFonts w:cstheme="minorHAnsi"/>
                <w:sz w:val="19"/>
                <w:szCs w:val="19"/>
              </w:rPr>
            </w:pPr>
            <w:r w:rsidRPr="00A77AF6">
              <w:rPr>
                <w:rFonts w:cstheme="minorHAnsi"/>
                <w:sz w:val="19"/>
                <w:szCs w:val="19"/>
              </w:rPr>
              <w:t xml:space="preserve">Openness </w:t>
            </w:r>
          </w:p>
        </w:tc>
        <w:tc>
          <w:tcPr>
            <w:tcW w:w="1759" w:type="dxa"/>
          </w:tcPr>
          <w:p w14:paraId="2CD2CBBB" w14:textId="77777777" w:rsidR="00034BA9" w:rsidRPr="00A77AF6" w:rsidRDefault="00034BA9" w:rsidP="00034BA9">
            <w:pPr>
              <w:spacing w:after="0" w:line="240" w:lineRule="auto"/>
              <w:rPr>
                <w:rFonts w:cstheme="minorHAnsi"/>
                <w:sz w:val="19"/>
                <w:szCs w:val="19"/>
              </w:rPr>
            </w:pPr>
            <w:r w:rsidRPr="00A77AF6">
              <w:rPr>
                <w:rFonts w:cstheme="minorHAnsi"/>
                <w:sz w:val="19"/>
                <w:szCs w:val="19"/>
              </w:rPr>
              <w:t>Taking informed, transparent decisions and managing risk</w:t>
            </w:r>
          </w:p>
        </w:tc>
        <w:tc>
          <w:tcPr>
            <w:tcW w:w="1753" w:type="dxa"/>
          </w:tcPr>
          <w:p w14:paraId="2DDE86CC" w14:textId="77777777" w:rsidR="00034BA9" w:rsidRPr="00A77AF6" w:rsidRDefault="00034BA9" w:rsidP="00034BA9">
            <w:pPr>
              <w:spacing w:after="0" w:line="240" w:lineRule="auto"/>
              <w:rPr>
                <w:rFonts w:cstheme="minorHAnsi"/>
                <w:sz w:val="19"/>
                <w:szCs w:val="19"/>
              </w:rPr>
            </w:pPr>
            <w:r w:rsidRPr="00A77AF6">
              <w:rPr>
                <w:rFonts w:cstheme="minorHAnsi"/>
                <w:sz w:val="19"/>
                <w:szCs w:val="19"/>
              </w:rPr>
              <w:t>transparency</w:t>
            </w:r>
          </w:p>
        </w:tc>
        <w:tc>
          <w:tcPr>
            <w:tcW w:w="1757" w:type="dxa"/>
          </w:tcPr>
          <w:p w14:paraId="4CE60CFC" w14:textId="77777777" w:rsidR="00034BA9" w:rsidRPr="00A77AF6" w:rsidRDefault="00034BA9" w:rsidP="00034BA9">
            <w:pPr>
              <w:spacing w:after="0" w:line="240" w:lineRule="auto"/>
              <w:rPr>
                <w:rFonts w:cstheme="minorHAnsi"/>
                <w:sz w:val="19"/>
                <w:szCs w:val="19"/>
              </w:rPr>
            </w:pPr>
            <w:r w:rsidRPr="00A77AF6">
              <w:rPr>
                <w:rFonts w:cstheme="minorHAnsi"/>
                <w:sz w:val="19"/>
                <w:szCs w:val="19"/>
              </w:rPr>
              <w:t>Transparent remuneration</w:t>
            </w:r>
          </w:p>
        </w:tc>
      </w:tr>
      <w:tr w:rsidR="00034BA9" w:rsidRPr="00A77AF6" w14:paraId="55BA86B8" w14:textId="77777777" w:rsidTr="00034BA9">
        <w:tc>
          <w:tcPr>
            <w:tcW w:w="1753" w:type="dxa"/>
          </w:tcPr>
          <w:p w14:paraId="2D5EC495" w14:textId="2757ECF4" w:rsidR="00034BA9" w:rsidRPr="00A77AF6" w:rsidRDefault="00034BA9" w:rsidP="00034BA9">
            <w:pPr>
              <w:spacing w:after="0" w:line="240" w:lineRule="auto"/>
              <w:rPr>
                <w:rFonts w:cstheme="minorHAnsi"/>
                <w:sz w:val="19"/>
                <w:szCs w:val="19"/>
              </w:rPr>
            </w:pPr>
            <w:r w:rsidRPr="00A77AF6">
              <w:rPr>
                <w:rFonts w:cstheme="minorHAnsi"/>
                <w:sz w:val="19"/>
                <w:szCs w:val="19"/>
              </w:rPr>
              <w:t>Accountability</w:t>
            </w:r>
          </w:p>
        </w:tc>
        <w:tc>
          <w:tcPr>
            <w:tcW w:w="1755" w:type="dxa"/>
          </w:tcPr>
          <w:p w14:paraId="27A86245" w14:textId="77777777" w:rsidR="00034BA9" w:rsidRPr="00A77AF6" w:rsidRDefault="00034BA9" w:rsidP="00034BA9">
            <w:pPr>
              <w:spacing w:after="0" w:line="240" w:lineRule="auto"/>
              <w:rPr>
                <w:rFonts w:cstheme="minorHAnsi"/>
                <w:sz w:val="19"/>
                <w:szCs w:val="19"/>
              </w:rPr>
            </w:pPr>
            <w:r w:rsidRPr="00A77AF6">
              <w:rPr>
                <w:rFonts w:cstheme="minorHAnsi"/>
                <w:sz w:val="19"/>
                <w:szCs w:val="19"/>
              </w:rPr>
              <w:t>Accountability</w:t>
            </w:r>
          </w:p>
        </w:tc>
        <w:tc>
          <w:tcPr>
            <w:tcW w:w="1759" w:type="dxa"/>
          </w:tcPr>
          <w:p w14:paraId="01CEB841" w14:textId="77777777" w:rsidR="00034BA9" w:rsidRPr="00A77AF6" w:rsidRDefault="00034BA9" w:rsidP="00034BA9">
            <w:pPr>
              <w:spacing w:after="0" w:line="240" w:lineRule="auto"/>
              <w:rPr>
                <w:rFonts w:cstheme="minorHAnsi"/>
                <w:sz w:val="19"/>
                <w:szCs w:val="19"/>
              </w:rPr>
            </w:pPr>
            <w:r w:rsidRPr="00A77AF6">
              <w:rPr>
                <w:rFonts w:cstheme="minorHAnsi"/>
                <w:sz w:val="19"/>
                <w:szCs w:val="19"/>
              </w:rPr>
              <w:t>Engaging stakeholder and making accountability real</w:t>
            </w:r>
          </w:p>
        </w:tc>
        <w:tc>
          <w:tcPr>
            <w:tcW w:w="1753" w:type="dxa"/>
          </w:tcPr>
          <w:p w14:paraId="727F3827" w14:textId="4D0D4853" w:rsidR="00034BA9" w:rsidRPr="00A77AF6" w:rsidRDefault="00034BA9" w:rsidP="00034BA9">
            <w:pPr>
              <w:spacing w:after="0" w:line="240" w:lineRule="auto"/>
              <w:rPr>
                <w:rFonts w:cstheme="minorHAnsi"/>
                <w:sz w:val="19"/>
                <w:szCs w:val="19"/>
              </w:rPr>
            </w:pPr>
            <w:r w:rsidRPr="00A77AF6">
              <w:rPr>
                <w:rFonts w:cstheme="minorHAnsi"/>
                <w:sz w:val="19"/>
                <w:szCs w:val="19"/>
              </w:rPr>
              <w:t>Accountability</w:t>
            </w:r>
          </w:p>
        </w:tc>
        <w:tc>
          <w:tcPr>
            <w:tcW w:w="1757" w:type="dxa"/>
          </w:tcPr>
          <w:p w14:paraId="159A2643" w14:textId="77777777" w:rsidR="00034BA9" w:rsidRPr="00A77AF6" w:rsidRDefault="00034BA9" w:rsidP="00034BA9">
            <w:pPr>
              <w:spacing w:after="0" w:line="240" w:lineRule="auto"/>
              <w:rPr>
                <w:rFonts w:cstheme="minorHAnsi"/>
                <w:sz w:val="19"/>
                <w:szCs w:val="19"/>
              </w:rPr>
            </w:pPr>
            <w:r w:rsidRPr="00A77AF6">
              <w:rPr>
                <w:rFonts w:cstheme="minorHAnsi"/>
                <w:sz w:val="19"/>
                <w:szCs w:val="19"/>
              </w:rPr>
              <w:t>Accountability</w:t>
            </w:r>
          </w:p>
        </w:tc>
      </w:tr>
      <w:tr w:rsidR="00034BA9" w:rsidRPr="00A77AF6" w14:paraId="0C492F40" w14:textId="77777777" w:rsidTr="00034BA9">
        <w:tc>
          <w:tcPr>
            <w:tcW w:w="1753" w:type="dxa"/>
          </w:tcPr>
          <w:p w14:paraId="6FCF2B64" w14:textId="381062FE" w:rsidR="00034BA9" w:rsidRPr="00A77AF6" w:rsidRDefault="00034BA9" w:rsidP="00034BA9">
            <w:pPr>
              <w:spacing w:after="0" w:line="240" w:lineRule="auto"/>
              <w:rPr>
                <w:rFonts w:cstheme="minorHAnsi"/>
                <w:sz w:val="19"/>
                <w:szCs w:val="19"/>
              </w:rPr>
            </w:pPr>
            <w:r w:rsidRPr="00A77AF6">
              <w:rPr>
                <w:rFonts w:cstheme="minorHAnsi"/>
                <w:sz w:val="19"/>
                <w:szCs w:val="19"/>
              </w:rPr>
              <w:t>Integrity</w:t>
            </w:r>
          </w:p>
        </w:tc>
        <w:tc>
          <w:tcPr>
            <w:tcW w:w="1755" w:type="dxa"/>
          </w:tcPr>
          <w:p w14:paraId="79C08067" w14:textId="77777777" w:rsidR="00034BA9" w:rsidRPr="00A77AF6" w:rsidRDefault="00034BA9" w:rsidP="00034BA9">
            <w:pPr>
              <w:spacing w:after="0" w:line="240" w:lineRule="auto"/>
              <w:rPr>
                <w:rFonts w:cstheme="minorHAnsi"/>
                <w:sz w:val="19"/>
                <w:szCs w:val="19"/>
              </w:rPr>
            </w:pPr>
            <w:r w:rsidRPr="00A77AF6">
              <w:rPr>
                <w:rFonts w:cstheme="minorHAnsi"/>
                <w:sz w:val="19"/>
                <w:szCs w:val="19"/>
              </w:rPr>
              <w:t>Integrity</w:t>
            </w:r>
          </w:p>
        </w:tc>
        <w:tc>
          <w:tcPr>
            <w:tcW w:w="1759" w:type="dxa"/>
          </w:tcPr>
          <w:p w14:paraId="690AF0F8" w14:textId="77777777" w:rsidR="00034BA9" w:rsidRPr="00A77AF6" w:rsidRDefault="00034BA9" w:rsidP="00034BA9">
            <w:pPr>
              <w:spacing w:after="0" w:line="240" w:lineRule="auto"/>
              <w:rPr>
                <w:rFonts w:cstheme="minorHAnsi"/>
                <w:sz w:val="19"/>
                <w:szCs w:val="19"/>
              </w:rPr>
            </w:pPr>
            <w:r w:rsidRPr="00A77AF6">
              <w:rPr>
                <w:rFonts w:cstheme="minorHAnsi"/>
                <w:sz w:val="19"/>
                <w:szCs w:val="19"/>
              </w:rPr>
              <w:t>Promoting values for the whole organisation &amp; demonstrating the values of good governance through behaviour</w:t>
            </w:r>
          </w:p>
        </w:tc>
        <w:tc>
          <w:tcPr>
            <w:tcW w:w="1753" w:type="dxa"/>
          </w:tcPr>
          <w:p w14:paraId="63CB362E" w14:textId="77777777" w:rsidR="00034BA9" w:rsidRPr="00A77AF6" w:rsidRDefault="00034BA9" w:rsidP="00034BA9">
            <w:pPr>
              <w:spacing w:after="0" w:line="240" w:lineRule="auto"/>
              <w:rPr>
                <w:rFonts w:cstheme="minorHAnsi"/>
                <w:sz w:val="19"/>
                <w:szCs w:val="19"/>
              </w:rPr>
            </w:pPr>
            <w:r w:rsidRPr="00A77AF6">
              <w:rPr>
                <w:rFonts w:cstheme="minorHAnsi"/>
                <w:sz w:val="19"/>
                <w:szCs w:val="19"/>
              </w:rPr>
              <w:t>Fairness</w:t>
            </w:r>
          </w:p>
        </w:tc>
        <w:tc>
          <w:tcPr>
            <w:tcW w:w="1757" w:type="dxa"/>
            <w:shd w:val="clear" w:color="auto" w:fill="F2F2F2" w:themeFill="background1" w:themeFillShade="F2"/>
          </w:tcPr>
          <w:p w14:paraId="05EA659F" w14:textId="77777777" w:rsidR="00034BA9" w:rsidRPr="00A77AF6" w:rsidRDefault="00034BA9" w:rsidP="00034BA9">
            <w:pPr>
              <w:spacing w:after="0" w:line="240" w:lineRule="auto"/>
              <w:rPr>
                <w:rFonts w:cstheme="minorHAnsi"/>
                <w:sz w:val="19"/>
                <w:szCs w:val="19"/>
              </w:rPr>
            </w:pPr>
          </w:p>
        </w:tc>
      </w:tr>
      <w:tr w:rsidR="00034BA9" w:rsidRPr="00A77AF6" w14:paraId="70379DA1" w14:textId="77777777" w:rsidTr="00034BA9">
        <w:tc>
          <w:tcPr>
            <w:tcW w:w="1753" w:type="dxa"/>
            <w:shd w:val="clear" w:color="auto" w:fill="F2F2F2" w:themeFill="background1" w:themeFillShade="F2"/>
          </w:tcPr>
          <w:p w14:paraId="6EA65D59" w14:textId="77777777" w:rsidR="00034BA9" w:rsidRPr="00A77AF6" w:rsidRDefault="00034BA9" w:rsidP="00034BA9">
            <w:pPr>
              <w:spacing w:after="0" w:line="240" w:lineRule="auto"/>
              <w:rPr>
                <w:rFonts w:cstheme="minorHAnsi"/>
                <w:sz w:val="19"/>
                <w:szCs w:val="19"/>
              </w:rPr>
            </w:pPr>
          </w:p>
        </w:tc>
        <w:tc>
          <w:tcPr>
            <w:tcW w:w="1755" w:type="dxa"/>
            <w:shd w:val="clear" w:color="auto" w:fill="F2F2F2" w:themeFill="background1" w:themeFillShade="F2"/>
          </w:tcPr>
          <w:p w14:paraId="7F581AE3" w14:textId="77777777" w:rsidR="00034BA9" w:rsidRPr="00A77AF6" w:rsidRDefault="00034BA9" w:rsidP="00034BA9">
            <w:pPr>
              <w:spacing w:after="0" w:line="240" w:lineRule="auto"/>
              <w:rPr>
                <w:rFonts w:cstheme="minorHAnsi"/>
                <w:sz w:val="19"/>
                <w:szCs w:val="19"/>
              </w:rPr>
            </w:pPr>
          </w:p>
        </w:tc>
        <w:tc>
          <w:tcPr>
            <w:tcW w:w="1759" w:type="dxa"/>
          </w:tcPr>
          <w:p w14:paraId="720C6488" w14:textId="77777777" w:rsidR="00034BA9" w:rsidRPr="00A77AF6" w:rsidRDefault="00034BA9" w:rsidP="00034BA9">
            <w:pPr>
              <w:spacing w:after="0" w:line="240" w:lineRule="auto"/>
              <w:rPr>
                <w:rFonts w:cstheme="minorHAnsi"/>
                <w:sz w:val="19"/>
                <w:szCs w:val="19"/>
              </w:rPr>
            </w:pPr>
            <w:r w:rsidRPr="00A77AF6">
              <w:rPr>
                <w:rFonts w:cstheme="minorHAnsi"/>
                <w:sz w:val="19"/>
                <w:szCs w:val="19"/>
              </w:rPr>
              <w:t>Performing effectively in clearly defined functions and roles</w:t>
            </w:r>
          </w:p>
        </w:tc>
        <w:tc>
          <w:tcPr>
            <w:tcW w:w="1753" w:type="dxa"/>
          </w:tcPr>
          <w:p w14:paraId="6079AF2A" w14:textId="446F5622" w:rsidR="00034BA9" w:rsidRPr="00A77AF6" w:rsidRDefault="00034BA9" w:rsidP="00034BA9">
            <w:pPr>
              <w:spacing w:after="0" w:line="240" w:lineRule="auto"/>
              <w:rPr>
                <w:rFonts w:cstheme="minorHAnsi"/>
                <w:sz w:val="19"/>
                <w:szCs w:val="19"/>
              </w:rPr>
            </w:pPr>
            <w:r w:rsidRPr="00A77AF6">
              <w:rPr>
                <w:rFonts w:cstheme="minorHAnsi"/>
                <w:sz w:val="19"/>
                <w:szCs w:val="19"/>
              </w:rPr>
              <w:t>Responsible</w:t>
            </w:r>
          </w:p>
        </w:tc>
        <w:tc>
          <w:tcPr>
            <w:tcW w:w="1757" w:type="dxa"/>
            <w:shd w:val="clear" w:color="auto" w:fill="F2F2F2" w:themeFill="background1" w:themeFillShade="F2"/>
          </w:tcPr>
          <w:p w14:paraId="3741BE8B" w14:textId="77777777" w:rsidR="00034BA9" w:rsidRPr="00A77AF6" w:rsidRDefault="00034BA9" w:rsidP="00034BA9">
            <w:pPr>
              <w:spacing w:after="0" w:line="240" w:lineRule="auto"/>
              <w:rPr>
                <w:rFonts w:cstheme="minorHAnsi"/>
                <w:sz w:val="19"/>
                <w:szCs w:val="19"/>
              </w:rPr>
            </w:pPr>
          </w:p>
        </w:tc>
      </w:tr>
      <w:tr w:rsidR="00034BA9" w:rsidRPr="00A77AF6" w14:paraId="210130AC" w14:textId="77777777" w:rsidTr="00034BA9">
        <w:tc>
          <w:tcPr>
            <w:tcW w:w="1753" w:type="dxa"/>
            <w:shd w:val="clear" w:color="auto" w:fill="F2F2F2" w:themeFill="background1" w:themeFillShade="F2"/>
          </w:tcPr>
          <w:p w14:paraId="20A7201A" w14:textId="77777777" w:rsidR="00034BA9" w:rsidRPr="00A77AF6" w:rsidRDefault="00034BA9" w:rsidP="00034BA9">
            <w:pPr>
              <w:spacing w:after="0" w:line="240" w:lineRule="auto"/>
              <w:rPr>
                <w:rFonts w:cstheme="minorHAnsi"/>
                <w:sz w:val="19"/>
                <w:szCs w:val="19"/>
              </w:rPr>
            </w:pPr>
          </w:p>
        </w:tc>
        <w:tc>
          <w:tcPr>
            <w:tcW w:w="1755" w:type="dxa"/>
            <w:shd w:val="clear" w:color="auto" w:fill="F2F2F2" w:themeFill="background1" w:themeFillShade="F2"/>
          </w:tcPr>
          <w:p w14:paraId="46874D9A" w14:textId="77777777" w:rsidR="00034BA9" w:rsidRPr="00A77AF6" w:rsidRDefault="00034BA9" w:rsidP="00034BA9">
            <w:pPr>
              <w:spacing w:after="0" w:line="240" w:lineRule="auto"/>
              <w:rPr>
                <w:rFonts w:cstheme="minorHAnsi"/>
                <w:sz w:val="19"/>
                <w:szCs w:val="19"/>
              </w:rPr>
            </w:pPr>
          </w:p>
        </w:tc>
        <w:tc>
          <w:tcPr>
            <w:tcW w:w="1759" w:type="dxa"/>
          </w:tcPr>
          <w:p w14:paraId="4FB8E3B6" w14:textId="77777777" w:rsidR="00034BA9" w:rsidRPr="00A77AF6" w:rsidRDefault="00034BA9" w:rsidP="00034BA9">
            <w:pPr>
              <w:spacing w:after="0" w:line="240" w:lineRule="auto"/>
              <w:rPr>
                <w:rFonts w:cstheme="minorHAnsi"/>
                <w:sz w:val="19"/>
                <w:szCs w:val="19"/>
              </w:rPr>
            </w:pPr>
            <w:r w:rsidRPr="00A77AF6">
              <w:rPr>
                <w:rFonts w:cstheme="minorHAnsi"/>
                <w:sz w:val="19"/>
                <w:szCs w:val="19"/>
              </w:rPr>
              <w:t>Developing the capacity and capability of the governing body to be effective</w:t>
            </w:r>
          </w:p>
        </w:tc>
        <w:tc>
          <w:tcPr>
            <w:tcW w:w="1753" w:type="dxa"/>
            <w:shd w:val="clear" w:color="auto" w:fill="F2F2F2" w:themeFill="background1" w:themeFillShade="F2"/>
          </w:tcPr>
          <w:p w14:paraId="0304A3FF" w14:textId="77777777" w:rsidR="00034BA9" w:rsidRPr="00A77AF6" w:rsidRDefault="00034BA9" w:rsidP="00034BA9">
            <w:pPr>
              <w:spacing w:after="0" w:line="240" w:lineRule="auto"/>
              <w:rPr>
                <w:rFonts w:cstheme="minorHAnsi"/>
                <w:sz w:val="19"/>
                <w:szCs w:val="19"/>
              </w:rPr>
            </w:pPr>
          </w:p>
        </w:tc>
        <w:tc>
          <w:tcPr>
            <w:tcW w:w="1757" w:type="dxa"/>
            <w:shd w:val="clear" w:color="auto" w:fill="FFFFFF" w:themeFill="background1"/>
          </w:tcPr>
          <w:p w14:paraId="6414302C" w14:textId="77777777" w:rsidR="00034BA9" w:rsidRPr="00A77AF6" w:rsidRDefault="00034BA9" w:rsidP="00034BA9">
            <w:pPr>
              <w:spacing w:after="0" w:line="240" w:lineRule="auto"/>
              <w:rPr>
                <w:rFonts w:cstheme="minorHAnsi"/>
                <w:sz w:val="19"/>
                <w:szCs w:val="19"/>
              </w:rPr>
            </w:pPr>
            <w:r w:rsidRPr="00A77AF6">
              <w:rPr>
                <w:rFonts w:cstheme="minorHAnsi"/>
                <w:sz w:val="19"/>
                <w:szCs w:val="19"/>
              </w:rPr>
              <w:t>Effectiveness</w:t>
            </w:r>
          </w:p>
          <w:p w14:paraId="7588ED36" w14:textId="77777777" w:rsidR="00034BA9" w:rsidRPr="00A77AF6" w:rsidRDefault="00034BA9" w:rsidP="00034BA9">
            <w:pPr>
              <w:spacing w:after="0" w:line="240" w:lineRule="auto"/>
              <w:rPr>
                <w:rFonts w:cstheme="minorHAnsi"/>
                <w:sz w:val="19"/>
                <w:szCs w:val="19"/>
              </w:rPr>
            </w:pPr>
          </w:p>
        </w:tc>
      </w:tr>
      <w:tr w:rsidR="00034BA9" w:rsidRPr="00A77AF6" w14:paraId="63F22F59" w14:textId="77777777" w:rsidTr="00034BA9">
        <w:tc>
          <w:tcPr>
            <w:tcW w:w="1753" w:type="dxa"/>
            <w:shd w:val="clear" w:color="auto" w:fill="F2F2F2" w:themeFill="background1" w:themeFillShade="F2"/>
          </w:tcPr>
          <w:p w14:paraId="45B4FA4B" w14:textId="77777777" w:rsidR="00034BA9" w:rsidRPr="00A77AF6" w:rsidRDefault="00034BA9" w:rsidP="00034BA9">
            <w:pPr>
              <w:spacing w:after="0" w:line="240" w:lineRule="auto"/>
              <w:rPr>
                <w:rFonts w:cstheme="minorHAnsi"/>
                <w:sz w:val="19"/>
                <w:szCs w:val="19"/>
              </w:rPr>
            </w:pPr>
          </w:p>
        </w:tc>
        <w:tc>
          <w:tcPr>
            <w:tcW w:w="1755" w:type="dxa"/>
            <w:shd w:val="clear" w:color="auto" w:fill="F2F2F2" w:themeFill="background1" w:themeFillShade="F2"/>
          </w:tcPr>
          <w:p w14:paraId="4AF2F7D8" w14:textId="77777777" w:rsidR="00034BA9" w:rsidRPr="00A77AF6" w:rsidRDefault="00034BA9" w:rsidP="00034BA9">
            <w:pPr>
              <w:spacing w:after="0" w:line="240" w:lineRule="auto"/>
              <w:rPr>
                <w:rFonts w:cstheme="minorHAnsi"/>
                <w:sz w:val="19"/>
                <w:szCs w:val="19"/>
              </w:rPr>
            </w:pPr>
          </w:p>
        </w:tc>
        <w:tc>
          <w:tcPr>
            <w:tcW w:w="1759" w:type="dxa"/>
          </w:tcPr>
          <w:p w14:paraId="661B092F" w14:textId="77777777" w:rsidR="00034BA9" w:rsidRPr="00A77AF6" w:rsidRDefault="00034BA9" w:rsidP="00034BA9">
            <w:pPr>
              <w:spacing w:after="0" w:line="240" w:lineRule="auto"/>
              <w:rPr>
                <w:rFonts w:cstheme="minorHAnsi"/>
                <w:sz w:val="19"/>
                <w:szCs w:val="19"/>
              </w:rPr>
            </w:pPr>
            <w:r w:rsidRPr="00A77AF6">
              <w:rPr>
                <w:rFonts w:cstheme="minorHAnsi"/>
                <w:sz w:val="19"/>
                <w:szCs w:val="19"/>
              </w:rPr>
              <w:t>Focussing on the organisation’s purpose and on outcomes for citizen’s and service users</w:t>
            </w:r>
          </w:p>
        </w:tc>
        <w:tc>
          <w:tcPr>
            <w:tcW w:w="1753" w:type="dxa"/>
            <w:shd w:val="clear" w:color="auto" w:fill="F2F2F2" w:themeFill="background1" w:themeFillShade="F2"/>
          </w:tcPr>
          <w:p w14:paraId="363C499C" w14:textId="77777777" w:rsidR="00034BA9" w:rsidRPr="00A77AF6" w:rsidRDefault="00034BA9" w:rsidP="00034BA9">
            <w:pPr>
              <w:spacing w:after="0" w:line="240" w:lineRule="auto"/>
              <w:rPr>
                <w:rFonts w:cstheme="minorHAnsi"/>
                <w:sz w:val="19"/>
                <w:szCs w:val="19"/>
              </w:rPr>
            </w:pPr>
          </w:p>
        </w:tc>
        <w:tc>
          <w:tcPr>
            <w:tcW w:w="1757" w:type="dxa"/>
            <w:shd w:val="clear" w:color="auto" w:fill="F2F2F2" w:themeFill="background1" w:themeFillShade="F2"/>
          </w:tcPr>
          <w:p w14:paraId="41E0B0FA" w14:textId="77777777" w:rsidR="00034BA9" w:rsidRPr="00A77AF6" w:rsidRDefault="00034BA9" w:rsidP="00034BA9">
            <w:pPr>
              <w:spacing w:after="0" w:line="240" w:lineRule="auto"/>
              <w:rPr>
                <w:rFonts w:cstheme="minorHAnsi"/>
                <w:sz w:val="19"/>
                <w:szCs w:val="19"/>
              </w:rPr>
            </w:pPr>
            <w:r w:rsidRPr="00A77AF6">
              <w:rPr>
                <w:rFonts w:cstheme="minorHAnsi"/>
                <w:sz w:val="19"/>
                <w:szCs w:val="19"/>
              </w:rPr>
              <w:t>Relations with shareholders based on mutual understanding of objectives</w:t>
            </w:r>
          </w:p>
        </w:tc>
      </w:tr>
      <w:tr w:rsidR="00034BA9" w:rsidRPr="00A77AF6" w14:paraId="77184524" w14:textId="77777777" w:rsidTr="00034BA9">
        <w:tc>
          <w:tcPr>
            <w:tcW w:w="1753" w:type="dxa"/>
            <w:shd w:val="clear" w:color="auto" w:fill="F2F2F2" w:themeFill="background1" w:themeFillShade="F2"/>
          </w:tcPr>
          <w:p w14:paraId="5D0F62F0" w14:textId="77777777" w:rsidR="00034BA9" w:rsidRPr="00A77AF6" w:rsidRDefault="00034BA9" w:rsidP="00034BA9">
            <w:pPr>
              <w:spacing w:after="0" w:line="240" w:lineRule="auto"/>
              <w:rPr>
                <w:rFonts w:cstheme="minorHAnsi"/>
                <w:sz w:val="19"/>
                <w:szCs w:val="19"/>
              </w:rPr>
            </w:pPr>
          </w:p>
        </w:tc>
        <w:tc>
          <w:tcPr>
            <w:tcW w:w="1755" w:type="dxa"/>
          </w:tcPr>
          <w:p w14:paraId="325389D3" w14:textId="77777777" w:rsidR="00034BA9" w:rsidRPr="00A77AF6" w:rsidRDefault="00034BA9" w:rsidP="00034BA9">
            <w:pPr>
              <w:spacing w:after="0" w:line="240" w:lineRule="auto"/>
              <w:rPr>
                <w:rFonts w:cstheme="minorHAnsi"/>
                <w:sz w:val="19"/>
                <w:szCs w:val="19"/>
              </w:rPr>
            </w:pPr>
            <w:r w:rsidRPr="00A77AF6">
              <w:rPr>
                <w:rFonts w:cstheme="minorHAnsi"/>
                <w:sz w:val="19"/>
                <w:szCs w:val="19"/>
              </w:rPr>
              <w:t>Selflessness</w:t>
            </w:r>
          </w:p>
        </w:tc>
        <w:tc>
          <w:tcPr>
            <w:tcW w:w="1759" w:type="dxa"/>
            <w:shd w:val="clear" w:color="auto" w:fill="F2F2F2" w:themeFill="background1" w:themeFillShade="F2"/>
          </w:tcPr>
          <w:p w14:paraId="49DB2810" w14:textId="77777777" w:rsidR="00034BA9" w:rsidRPr="00A77AF6" w:rsidRDefault="00034BA9" w:rsidP="00034BA9">
            <w:pPr>
              <w:spacing w:after="0" w:line="240" w:lineRule="auto"/>
              <w:rPr>
                <w:rFonts w:cstheme="minorHAnsi"/>
                <w:sz w:val="19"/>
                <w:szCs w:val="19"/>
              </w:rPr>
            </w:pPr>
          </w:p>
        </w:tc>
        <w:tc>
          <w:tcPr>
            <w:tcW w:w="1753" w:type="dxa"/>
            <w:shd w:val="clear" w:color="auto" w:fill="F2F2F2" w:themeFill="background1" w:themeFillShade="F2"/>
          </w:tcPr>
          <w:p w14:paraId="779CC16E" w14:textId="77777777" w:rsidR="00034BA9" w:rsidRPr="00A77AF6" w:rsidRDefault="00034BA9" w:rsidP="00034BA9">
            <w:pPr>
              <w:spacing w:after="0" w:line="240" w:lineRule="auto"/>
              <w:rPr>
                <w:rFonts w:cstheme="minorHAnsi"/>
                <w:sz w:val="19"/>
                <w:szCs w:val="19"/>
              </w:rPr>
            </w:pPr>
          </w:p>
        </w:tc>
        <w:tc>
          <w:tcPr>
            <w:tcW w:w="1757" w:type="dxa"/>
            <w:shd w:val="clear" w:color="auto" w:fill="F2F2F2" w:themeFill="background1" w:themeFillShade="F2"/>
          </w:tcPr>
          <w:p w14:paraId="53B58E13" w14:textId="77777777" w:rsidR="00034BA9" w:rsidRPr="00A77AF6" w:rsidRDefault="00034BA9" w:rsidP="00034BA9">
            <w:pPr>
              <w:spacing w:after="0" w:line="240" w:lineRule="auto"/>
              <w:rPr>
                <w:rFonts w:cstheme="minorHAnsi"/>
                <w:sz w:val="19"/>
                <w:szCs w:val="19"/>
              </w:rPr>
            </w:pPr>
          </w:p>
        </w:tc>
      </w:tr>
      <w:tr w:rsidR="00034BA9" w:rsidRPr="00A77AF6" w14:paraId="37AC7A54" w14:textId="77777777" w:rsidTr="00034BA9">
        <w:tc>
          <w:tcPr>
            <w:tcW w:w="1753" w:type="dxa"/>
            <w:shd w:val="clear" w:color="auto" w:fill="F2F2F2" w:themeFill="background1" w:themeFillShade="F2"/>
          </w:tcPr>
          <w:p w14:paraId="792178E6" w14:textId="77777777" w:rsidR="00034BA9" w:rsidRPr="00A77AF6" w:rsidRDefault="00034BA9" w:rsidP="00034BA9">
            <w:pPr>
              <w:spacing w:after="0" w:line="240" w:lineRule="auto"/>
              <w:rPr>
                <w:rFonts w:cstheme="minorHAnsi"/>
                <w:sz w:val="19"/>
                <w:szCs w:val="19"/>
              </w:rPr>
            </w:pPr>
          </w:p>
        </w:tc>
        <w:tc>
          <w:tcPr>
            <w:tcW w:w="1755" w:type="dxa"/>
          </w:tcPr>
          <w:p w14:paraId="14281574" w14:textId="77777777" w:rsidR="00034BA9" w:rsidRPr="00A77AF6" w:rsidRDefault="00034BA9" w:rsidP="00034BA9">
            <w:pPr>
              <w:spacing w:after="0" w:line="240" w:lineRule="auto"/>
              <w:rPr>
                <w:rFonts w:cstheme="minorHAnsi"/>
                <w:sz w:val="19"/>
                <w:szCs w:val="19"/>
              </w:rPr>
            </w:pPr>
            <w:r w:rsidRPr="00A77AF6">
              <w:rPr>
                <w:rFonts w:cstheme="minorHAnsi"/>
                <w:sz w:val="19"/>
                <w:szCs w:val="19"/>
              </w:rPr>
              <w:t>Objectivity</w:t>
            </w:r>
          </w:p>
        </w:tc>
        <w:tc>
          <w:tcPr>
            <w:tcW w:w="1759" w:type="dxa"/>
            <w:shd w:val="clear" w:color="auto" w:fill="F2F2F2" w:themeFill="background1" w:themeFillShade="F2"/>
          </w:tcPr>
          <w:p w14:paraId="60CBCD65" w14:textId="77777777" w:rsidR="00034BA9" w:rsidRPr="00A77AF6" w:rsidRDefault="00034BA9" w:rsidP="00034BA9">
            <w:pPr>
              <w:spacing w:after="0" w:line="240" w:lineRule="auto"/>
              <w:rPr>
                <w:rFonts w:cstheme="minorHAnsi"/>
                <w:sz w:val="19"/>
                <w:szCs w:val="19"/>
              </w:rPr>
            </w:pPr>
          </w:p>
        </w:tc>
        <w:tc>
          <w:tcPr>
            <w:tcW w:w="1753" w:type="dxa"/>
            <w:shd w:val="clear" w:color="auto" w:fill="F2F2F2" w:themeFill="background1" w:themeFillShade="F2"/>
          </w:tcPr>
          <w:p w14:paraId="059375C2" w14:textId="77777777" w:rsidR="00034BA9" w:rsidRPr="00A77AF6" w:rsidRDefault="00034BA9" w:rsidP="00034BA9">
            <w:pPr>
              <w:spacing w:after="0" w:line="240" w:lineRule="auto"/>
              <w:rPr>
                <w:rFonts w:cstheme="minorHAnsi"/>
                <w:sz w:val="19"/>
                <w:szCs w:val="19"/>
              </w:rPr>
            </w:pPr>
          </w:p>
        </w:tc>
        <w:tc>
          <w:tcPr>
            <w:tcW w:w="1757" w:type="dxa"/>
            <w:shd w:val="clear" w:color="auto" w:fill="F2F2F2" w:themeFill="background1" w:themeFillShade="F2"/>
          </w:tcPr>
          <w:p w14:paraId="051953B2" w14:textId="77777777" w:rsidR="00034BA9" w:rsidRPr="00A77AF6" w:rsidRDefault="00034BA9" w:rsidP="00034BA9">
            <w:pPr>
              <w:spacing w:after="0" w:line="240" w:lineRule="auto"/>
              <w:rPr>
                <w:rFonts w:cstheme="minorHAnsi"/>
                <w:sz w:val="19"/>
                <w:szCs w:val="19"/>
              </w:rPr>
            </w:pPr>
          </w:p>
        </w:tc>
      </w:tr>
      <w:tr w:rsidR="00034BA9" w:rsidRPr="00A77AF6" w14:paraId="7EE9C0C0" w14:textId="77777777" w:rsidTr="00034BA9">
        <w:tc>
          <w:tcPr>
            <w:tcW w:w="1753" w:type="dxa"/>
            <w:shd w:val="clear" w:color="auto" w:fill="F2F2F2" w:themeFill="background1" w:themeFillShade="F2"/>
          </w:tcPr>
          <w:p w14:paraId="6EDDB7DD" w14:textId="77777777" w:rsidR="00034BA9" w:rsidRPr="00A77AF6" w:rsidRDefault="00034BA9" w:rsidP="00034BA9">
            <w:pPr>
              <w:spacing w:after="0" w:line="240" w:lineRule="auto"/>
              <w:rPr>
                <w:rFonts w:cstheme="minorHAnsi"/>
                <w:sz w:val="19"/>
                <w:szCs w:val="19"/>
              </w:rPr>
            </w:pPr>
          </w:p>
        </w:tc>
        <w:tc>
          <w:tcPr>
            <w:tcW w:w="1755" w:type="dxa"/>
          </w:tcPr>
          <w:p w14:paraId="4AE380D6" w14:textId="77777777" w:rsidR="00034BA9" w:rsidRPr="00A77AF6" w:rsidRDefault="00034BA9" w:rsidP="00034BA9">
            <w:pPr>
              <w:spacing w:after="0" w:line="240" w:lineRule="auto"/>
              <w:rPr>
                <w:rFonts w:cstheme="minorHAnsi"/>
                <w:sz w:val="19"/>
                <w:szCs w:val="19"/>
              </w:rPr>
            </w:pPr>
            <w:r w:rsidRPr="00A77AF6">
              <w:rPr>
                <w:rFonts w:cstheme="minorHAnsi"/>
                <w:sz w:val="19"/>
                <w:szCs w:val="19"/>
              </w:rPr>
              <w:t>Honesty</w:t>
            </w:r>
          </w:p>
        </w:tc>
        <w:tc>
          <w:tcPr>
            <w:tcW w:w="1759" w:type="dxa"/>
            <w:shd w:val="clear" w:color="auto" w:fill="F2F2F2" w:themeFill="background1" w:themeFillShade="F2"/>
          </w:tcPr>
          <w:p w14:paraId="14D26CC8" w14:textId="77777777" w:rsidR="00034BA9" w:rsidRPr="00A77AF6" w:rsidRDefault="00034BA9" w:rsidP="00034BA9">
            <w:pPr>
              <w:spacing w:after="0" w:line="240" w:lineRule="auto"/>
              <w:rPr>
                <w:rFonts w:cstheme="minorHAnsi"/>
                <w:sz w:val="19"/>
                <w:szCs w:val="19"/>
              </w:rPr>
            </w:pPr>
          </w:p>
        </w:tc>
        <w:tc>
          <w:tcPr>
            <w:tcW w:w="1753" w:type="dxa"/>
            <w:shd w:val="clear" w:color="auto" w:fill="F2F2F2" w:themeFill="background1" w:themeFillShade="F2"/>
          </w:tcPr>
          <w:p w14:paraId="67A402BB" w14:textId="77777777" w:rsidR="00034BA9" w:rsidRPr="00A77AF6" w:rsidRDefault="00034BA9" w:rsidP="00034BA9">
            <w:pPr>
              <w:spacing w:after="0" w:line="240" w:lineRule="auto"/>
              <w:rPr>
                <w:rFonts w:cstheme="minorHAnsi"/>
                <w:sz w:val="19"/>
                <w:szCs w:val="19"/>
              </w:rPr>
            </w:pPr>
          </w:p>
        </w:tc>
        <w:tc>
          <w:tcPr>
            <w:tcW w:w="1757" w:type="dxa"/>
            <w:shd w:val="clear" w:color="auto" w:fill="F2F2F2" w:themeFill="background1" w:themeFillShade="F2"/>
          </w:tcPr>
          <w:p w14:paraId="1A09A41E" w14:textId="77777777" w:rsidR="00034BA9" w:rsidRPr="00A77AF6" w:rsidRDefault="00034BA9" w:rsidP="00034BA9">
            <w:pPr>
              <w:spacing w:after="0" w:line="240" w:lineRule="auto"/>
              <w:rPr>
                <w:rFonts w:cstheme="minorHAnsi"/>
                <w:sz w:val="19"/>
                <w:szCs w:val="19"/>
              </w:rPr>
            </w:pPr>
          </w:p>
        </w:tc>
      </w:tr>
      <w:tr w:rsidR="00034BA9" w:rsidRPr="00A77AF6" w14:paraId="0944D348" w14:textId="77777777" w:rsidTr="00034BA9">
        <w:tc>
          <w:tcPr>
            <w:tcW w:w="1753" w:type="dxa"/>
            <w:shd w:val="clear" w:color="auto" w:fill="F2F2F2" w:themeFill="background1" w:themeFillShade="F2"/>
          </w:tcPr>
          <w:p w14:paraId="68948C3E" w14:textId="77777777" w:rsidR="00034BA9" w:rsidRPr="00A77AF6" w:rsidRDefault="00034BA9" w:rsidP="00034BA9">
            <w:pPr>
              <w:spacing w:after="0" w:line="240" w:lineRule="auto"/>
              <w:rPr>
                <w:rFonts w:cstheme="minorHAnsi"/>
                <w:sz w:val="19"/>
                <w:szCs w:val="19"/>
              </w:rPr>
            </w:pPr>
          </w:p>
        </w:tc>
        <w:tc>
          <w:tcPr>
            <w:tcW w:w="1755" w:type="dxa"/>
          </w:tcPr>
          <w:p w14:paraId="25D52887" w14:textId="77777777" w:rsidR="00034BA9" w:rsidRPr="00A77AF6" w:rsidRDefault="00034BA9" w:rsidP="00034BA9">
            <w:pPr>
              <w:spacing w:after="0" w:line="240" w:lineRule="auto"/>
              <w:rPr>
                <w:rFonts w:cstheme="minorHAnsi"/>
                <w:sz w:val="19"/>
                <w:szCs w:val="19"/>
              </w:rPr>
            </w:pPr>
            <w:r w:rsidRPr="00A77AF6">
              <w:rPr>
                <w:rFonts w:cstheme="minorHAnsi"/>
                <w:sz w:val="19"/>
                <w:szCs w:val="19"/>
              </w:rPr>
              <w:t>Leadership</w:t>
            </w:r>
          </w:p>
        </w:tc>
        <w:tc>
          <w:tcPr>
            <w:tcW w:w="1759" w:type="dxa"/>
            <w:shd w:val="clear" w:color="auto" w:fill="F2F2F2" w:themeFill="background1" w:themeFillShade="F2"/>
          </w:tcPr>
          <w:p w14:paraId="7D807C23" w14:textId="77777777" w:rsidR="00034BA9" w:rsidRPr="00A77AF6" w:rsidRDefault="00034BA9" w:rsidP="00034BA9">
            <w:pPr>
              <w:spacing w:after="0" w:line="240" w:lineRule="auto"/>
              <w:rPr>
                <w:rFonts w:cstheme="minorHAnsi"/>
                <w:sz w:val="19"/>
                <w:szCs w:val="19"/>
              </w:rPr>
            </w:pPr>
          </w:p>
        </w:tc>
        <w:tc>
          <w:tcPr>
            <w:tcW w:w="1753" w:type="dxa"/>
            <w:shd w:val="clear" w:color="auto" w:fill="F2F2F2" w:themeFill="background1" w:themeFillShade="F2"/>
          </w:tcPr>
          <w:p w14:paraId="4527344A" w14:textId="77777777" w:rsidR="00034BA9" w:rsidRPr="00A77AF6" w:rsidRDefault="00034BA9" w:rsidP="00034BA9">
            <w:pPr>
              <w:spacing w:after="0" w:line="240" w:lineRule="auto"/>
              <w:rPr>
                <w:rFonts w:cstheme="minorHAnsi"/>
                <w:sz w:val="19"/>
                <w:szCs w:val="19"/>
              </w:rPr>
            </w:pPr>
          </w:p>
        </w:tc>
        <w:tc>
          <w:tcPr>
            <w:tcW w:w="1757" w:type="dxa"/>
            <w:shd w:val="clear" w:color="auto" w:fill="auto"/>
          </w:tcPr>
          <w:p w14:paraId="0C0DD22E" w14:textId="77777777" w:rsidR="00034BA9" w:rsidRPr="00A77AF6" w:rsidRDefault="00034BA9" w:rsidP="00034BA9">
            <w:pPr>
              <w:spacing w:after="0" w:line="240" w:lineRule="auto"/>
              <w:rPr>
                <w:rFonts w:cstheme="minorHAnsi"/>
                <w:sz w:val="19"/>
                <w:szCs w:val="19"/>
              </w:rPr>
            </w:pPr>
            <w:r w:rsidRPr="00A77AF6">
              <w:rPr>
                <w:rFonts w:cstheme="minorHAnsi"/>
                <w:sz w:val="19"/>
                <w:szCs w:val="19"/>
              </w:rPr>
              <w:t>Leadership</w:t>
            </w:r>
          </w:p>
        </w:tc>
      </w:tr>
    </w:tbl>
    <w:p w14:paraId="140A3A2C" w14:textId="23A2BBC9" w:rsidR="00034BA9" w:rsidRPr="00A77AF6" w:rsidRDefault="00034BA9" w:rsidP="00806D41">
      <w:pPr>
        <w:spacing w:after="360"/>
        <w:rPr>
          <w:sz w:val="20"/>
        </w:rPr>
      </w:pPr>
      <w:r w:rsidRPr="00A77AF6">
        <w:rPr>
          <w:sz w:val="20"/>
        </w:rPr>
        <w:t xml:space="preserve">Source: adapted from Cadbury Report </w:t>
      </w:r>
      <w:r w:rsidR="00A817E5" w:rsidRPr="00A77AF6">
        <w:rPr>
          <w:sz w:val="20"/>
        </w:rPr>
        <w:t>(</w:t>
      </w:r>
      <w:r w:rsidRPr="00A77AF6">
        <w:rPr>
          <w:sz w:val="20"/>
        </w:rPr>
        <w:t>1992</w:t>
      </w:r>
      <w:r w:rsidR="00A817E5" w:rsidRPr="00A77AF6">
        <w:rPr>
          <w:sz w:val="20"/>
        </w:rPr>
        <w:t>)</w:t>
      </w:r>
      <w:r w:rsidRPr="00A77AF6">
        <w:rPr>
          <w:sz w:val="20"/>
        </w:rPr>
        <w:t xml:space="preserve">, Nolan, </w:t>
      </w:r>
      <w:r w:rsidR="00A817E5" w:rsidRPr="00A77AF6">
        <w:rPr>
          <w:sz w:val="20"/>
        </w:rPr>
        <w:t>(</w:t>
      </w:r>
      <w:r w:rsidRPr="00A77AF6">
        <w:rPr>
          <w:sz w:val="20"/>
        </w:rPr>
        <w:t>1995</w:t>
      </w:r>
      <w:r w:rsidR="00A817E5" w:rsidRPr="00A77AF6">
        <w:rPr>
          <w:sz w:val="20"/>
        </w:rPr>
        <w:t>)</w:t>
      </w:r>
      <w:r w:rsidRPr="00A77AF6">
        <w:rPr>
          <w:sz w:val="20"/>
        </w:rPr>
        <w:t xml:space="preserve">, OPM, </w:t>
      </w:r>
      <w:r w:rsidR="00A817E5" w:rsidRPr="00A77AF6">
        <w:rPr>
          <w:sz w:val="20"/>
        </w:rPr>
        <w:t>(</w:t>
      </w:r>
      <w:r w:rsidRPr="00A77AF6">
        <w:rPr>
          <w:sz w:val="20"/>
        </w:rPr>
        <w:t>2004</w:t>
      </w:r>
      <w:r w:rsidR="00A817E5" w:rsidRPr="00A77AF6">
        <w:rPr>
          <w:sz w:val="20"/>
        </w:rPr>
        <w:t>)</w:t>
      </w:r>
      <w:r w:rsidRPr="00A77AF6">
        <w:rPr>
          <w:sz w:val="20"/>
        </w:rPr>
        <w:t xml:space="preserve">, </w:t>
      </w:r>
      <w:r w:rsidR="005F7CDD" w:rsidRPr="00A77AF6">
        <w:rPr>
          <w:sz w:val="20"/>
        </w:rPr>
        <w:t>Verhezen, (</w:t>
      </w:r>
      <w:r w:rsidRPr="00A77AF6">
        <w:rPr>
          <w:sz w:val="20"/>
        </w:rPr>
        <w:t>2009</w:t>
      </w:r>
      <w:r w:rsidR="00A817E5" w:rsidRPr="00A77AF6">
        <w:rPr>
          <w:sz w:val="20"/>
        </w:rPr>
        <w:t>)</w:t>
      </w:r>
      <w:r w:rsidRPr="00A77AF6">
        <w:rPr>
          <w:sz w:val="20"/>
        </w:rPr>
        <w:t xml:space="preserve"> and UK Governance Code, </w:t>
      </w:r>
      <w:r w:rsidR="00A817E5" w:rsidRPr="00A77AF6">
        <w:rPr>
          <w:sz w:val="20"/>
        </w:rPr>
        <w:t>(</w:t>
      </w:r>
      <w:r w:rsidRPr="00A77AF6">
        <w:rPr>
          <w:sz w:val="20"/>
        </w:rPr>
        <w:t>2014)</w:t>
      </w:r>
    </w:p>
    <w:p w14:paraId="2200A0EE" w14:textId="77A7FCD9" w:rsidR="006C1910" w:rsidRPr="00A77AF6" w:rsidRDefault="006C1910" w:rsidP="00806D41">
      <w:pPr>
        <w:pStyle w:val="Heading3"/>
        <w:spacing w:line="360" w:lineRule="auto"/>
      </w:pPr>
      <w:bookmarkStart w:id="64" w:name="_Toc36275067"/>
      <w:r w:rsidRPr="00A77AF6">
        <w:t>The need for corporate governance</w:t>
      </w:r>
      <w:bookmarkEnd w:id="64"/>
      <w:r w:rsidRPr="00A77AF6">
        <w:t xml:space="preserve"> </w:t>
      </w:r>
    </w:p>
    <w:p w14:paraId="668CA748" w14:textId="29B0DCD6" w:rsidR="00985DE8" w:rsidRPr="00A77AF6" w:rsidRDefault="006149B5" w:rsidP="008D0C39">
      <w:pPr>
        <w:spacing w:line="360" w:lineRule="auto"/>
        <w:rPr>
          <w:rFonts w:cstheme="minorHAnsi"/>
        </w:rPr>
      </w:pPr>
      <w:r w:rsidRPr="00A77AF6">
        <w:rPr>
          <w:rFonts w:cstheme="minorHAnsi"/>
          <w:szCs w:val="24"/>
        </w:rPr>
        <w:t xml:space="preserve">This section discusses why good governance is important and provides some examples </w:t>
      </w:r>
      <w:r w:rsidR="009327CD" w:rsidRPr="00A77AF6">
        <w:rPr>
          <w:rFonts w:cstheme="minorHAnsi"/>
          <w:szCs w:val="24"/>
        </w:rPr>
        <w:t>o</w:t>
      </w:r>
      <w:r w:rsidRPr="00A77AF6">
        <w:rPr>
          <w:rFonts w:cstheme="minorHAnsi"/>
          <w:szCs w:val="24"/>
        </w:rPr>
        <w:t xml:space="preserve">f </w:t>
      </w:r>
      <w:r w:rsidR="009327CD" w:rsidRPr="00A77AF6">
        <w:rPr>
          <w:rFonts w:cstheme="minorHAnsi"/>
          <w:szCs w:val="24"/>
        </w:rPr>
        <w:t xml:space="preserve">corporate </w:t>
      </w:r>
      <w:r w:rsidRPr="00A77AF6">
        <w:rPr>
          <w:rFonts w:cstheme="minorHAnsi"/>
          <w:szCs w:val="24"/>
        </w:rPr>
        <w:t>scandals that have caused governments to act.</w:t>
      </w:r>
      <w:r w:rsidR="00D83709" w:rsidRPr="00A77AF6">
        <w:rPr>
          <w:rFonts w:cstheme="minorHAnsi"/>
          <w:szCs w:val="24"/>
        </w:rPr>
        <w:t xml:space="preserve">  </w:t>
      </w:r>
      <w:r w:rsidR="009327CD" w:rsidRPr="00A77AF6">
        <w:rPr>
          <w:rFonts w:cstheme="minorHAnsi"/>
          <w:szCs w:val="24"/>
        </w:rPr>
        <w:t xml:space="preserve">The possible relationship between </w:t>
      </w:r>
      <w:r w:rsidR="00CB0544" w:rsidRPr="00A77AF6">
        <w:rPr>
          <w:rFonts w:cstheme="minorHAnsi"/>
          <w:szCs w:val="24"/>
        </w:rPr>
        <w:t xml:space="preserve"> corporate governance</w:t>
      </w:r>
      <w:r w:rsidR="009327CD" w:rsidRPr="00A77AF6">
        <w:rPr>
          <w:rFonts w:cstheme="minorHAnsi"/>
          <w:szCs w:val="24"/>
        </w:rPr>
        <w:t xml:space="preserve"> and</w:t>
      </w:r>
      <w:r w:rsidR="00CB0544" w:rsidRPr="00A77AF6">
        <w:rPr>
          <w:rFonts w:cstheme="minorHAnsi"/>
          <w:szCs w:val="24"/>
        </w:rPr>
        <w:t xml:space="preserve"> success</w:t>
      </w:r>
      <w:r w:rsidR="009327CD" w:rsidRPr="00A77AF6">
        <w:rPr>
          <w:rFonts w:cstheme="minorHAnsi"/>
          <w:szCs w:val="24"/>
        </w:rPr>
        <w:t xml:space="preserve"> is explored</w:t>
      </w:r>
      <w:r w:rsidR="00806D41" w:rsidRPr="00A77AF6">
        <w:rPr>
          <w:rFonts w:cstheme="minorHAnsi"/>
          <w:szCs w:val="24"/>
        </w:rPr>
        <w:t xml:space="preserve"> and</w:t>
      </w:r>
      <w:r w:rsidR="00CB0544" w:rsidRPr="00A77AF6">
        <w:rPr>
          <w:rFonts w:cstheme="minorHAnsi"/>
          <w:szCs w:val="24"/>
        </w:rPr>
        <w:t xml:space="preserve"> </w:t>
      </w:r>
      <w:r w:rsidR="009327CD" w:rsidRPr="00A77AF6">
        <w:rPr>
          <w:rFonts w:cstheme="minorHAnsi"/>
          <w:szCs w:val="24"/>
        </w:rPr>
        <w:t xml:space="preserve">examples of </w:t>
      </w:r>
      <w:r w:rsidR="00CB0544" w:rsidRPr="00A77AF6">
        <w:rPr>
          <w:rFonts w:cstheme="minorHAnsi"/>
          <w:szCs w:val="24"/>
        </w:rPr>
        <w:t>corporate failures</w:t>
      </w:r>
      <w:r w:rsidR="00806D41" w:rsidRPr="00A77AF6">
        <w:rPr>
          <w:rFonts w:cstheme="minorHAnsi"/>
          <w:szCs w:val="24"/>
        </w:rPr>
        <w:t xml:space="preserve"> and </w:t>
      </w:r>
      <w:r w:rsidR="00CB0544" w:rsidRPr="00A77AF6">
        <w:rPr>
          <w:rFonts w:cstheme="minorHAnsi"/>
          <w:szCs w:val="24"/>
        </w:rPr>
        <w:t xml:space="preserve"> </w:t>
      </w:r>
      <w:r w:rsidR="009327CD" w:rsidRPr="00A77AF6">
        <w:rPr>
          <w:rFonts w:cstheme="minorHAnsi"/>
          <w:szCs w:val="24"/>
        </w:rPr>
        <w:t xml:space="preserve">government responses are given. </w:t>
      </w:r>
      <w:r w:rsidR="00D83709" w:rsidRPr="00A77AF6">
        <w:rPr>
          <w:rFonts w:cstheme="minorHAnsi"/>
        </w:rPr>
        <w:t xml:space="preserve">The </w:t>
      </w:r>
      <w:r w:rsidR="00CB0544" w:rsidRPr="00A77AF6">
        <w:rPr>
          <w:rFonts w:cstheme="minorHAnsi"/>
        </w:rPr>
        <w:t xml:space="preserve">negative </w:t>
      </w:r>
      <w:r w:rsidR="00D83709" w:rsidRPr="00A77AF6">
        <w:rPr>
          <w:rFonts w:cstheme="minorHAnsi"/>
        </w:rPr>
        <w:t xml:space="preserve">impact of poor governance is common across all </w:t>
      </w:r>
      <w:r w:rsidR="00D83709" w:rsidRPr="00A77AF6">
        <w:rPr>
          <w:rFonts w:cstheme="minorHAnsi"/>
        </w:rPr>
        <w:lastRenderedPageBreak/>
        <w:t xml:space="preserve">sectors: </w:t>
      </w:r>
      <w:r w:rsidR="00985DE8" w:rsidRPr="00A77AF6">
        <w:rPr>
          <w:rFonts w:cstheme="minorHAnsi"/>
        </w:rPr>
        <w:t xml:space="preserve">public, private and charitable.  </w:t>
      </w:r>
      <w:r w:rsidR="00806D41" w:rsidRPr="00A77AF6">
        <w:rPr>
          <w:rFonts w:cstheme="minorHAnsi"/>
        </w:rPr>
        <w:t>L</w:t>
      </w:r>
      <w:r w:rsidR="00D83709" w:rsidRPr="00A77AF6">
        <w:rPr>
          <w:rFonts w:cstheme="minorHAnsi"/>
        </w:rPr>
        <w:t>ost</w:t>
      </w:r>
      <w:r w:rsidR="00806D41" w:rsidRPr="00A77AF6">
        <w:rPr>
          <w:rFonts w:cstheme="minorHAnsi"/>
        </w:rPr>
        <w:t xml:space="preserve"> confidence results in falling investment, lower charitable donations, questions about the legitimacy of corporations or institutions of the state. </w:t>
      </w:r>
      <w:r w:rsidR="008D0C39" w:rsidRPr="00A77AF6">
        <w:rPr>
          <w:rFonts w:cstheme="minorHAnsi"/>
        </w:rPr>
        <w:t xml:space="preserve"> </w:t>
      </w:r>
    </w:p>
    <w:p w14:paraId="0D00816E" w14:textId="1E155387" w:rsidR="002F44C1" w:rsidRPr="00A77AF6" w:rsidRDefault="002F44C1" w:rsidP="001A49A3">
      <w:pPr>
        <w:pStyle w:val="Heading3"/>
        <w:spacing w:after="120"/>
      </w:pPr>
      <w:bookmarkStart w:id="65" w:name="_Toc36275068"/>
      <w:r w:rsidRPr="00A77AF6">
        <w:t>Relationship between corporate governance and success</w:t>
      </w:r>
      <w:bookmarkEnd w:id="65"/>
    </w:p>
    <w:p w14:paraId="37B2ED7F" w14:textId="6703F893" w:rsidR="00276B2B" w:rsidRPr="00A77AF6" w:rsidRDefault="009327CD" w:rsidP="0021317C">
      <w:pPr>
        <w:spacing w:after="0" w:line="360" w:lineRule="auto"/>
        <w:rPr>
          <w:rFonts w:cstheme="minorHAnsi"/>
        </w:rPr>
      </w:pPr>
      <w:r w:rsidRPr="00A77AF6">
        <w:rPr>
          <w:rFonts w:cstheme="minorHAnsi"/>
        </w:rPr>
        <w:t xml:space="preserve">This section explores the link between governance and success through an historical overview of corporate governance. </w:t>
      </w:r>
      <w:r w:rsidR="00806D41" w:rsidRPr="00A77AF6">
        <w:rPr>
          <w:rFonts w:cstheme="minorHAnsi"/>
        </w:rPr>
        <w:t>C</w:t>
      </w:r>
      <w:r w:rsidRPr="00A77AF6">
        <w:rPr>
          <w:rFonts w:cstheme="minorHAnsi"/>
          <w:szCs w:val="24"/>
        </w:rPr>
        <w:t xml:space="preserve">adbury (1992) </w:t>
      </w:r>
      <w:r w:rsidR="00806D41" w:rsidRPr="00A77AF6">
        <w:rPr>
          <w:rFonts w:cstheme="minorHAnsi"/>
          <w:szCs w:val="24"/>
        </w:rPr>
        <w:t xml:space="preserve">explicitly </w:t>
      </w:r>
      <w:r w:rsidRPr="00A77AF6">
        <w:rPr>
          <w:rFonts w:cstheme="minorHAnsi"/>
          <w:szCs w:val="24"/>
        </w:rPr>
        <w:t>linked governance with the success of the UK economy</w:t>
      </w:r>
      <w:r w:rsidR="0021317C" w:rsidRPr="00A77AF6">
        <w:rPr>
          <w:rFonts w:cstheme="minorHAnsi"/>
          <w:szCs w:val="24"/>
        </w:rPr>
        <w:t xml:space="preserve"> and </w:t>
      </w:r>
      <w:r w:rsidRPr="00A77AF6">
        <w:rPr>
          <w:rFonts w:cstheme="minorHAnsi"/>
        </w:rPr>
        <w:t>Bill Witherell, Head, OECD Directorate for Financial, Fiscal and Enterprise Affairs in 2002 agreed</w:t>
      </w:r>
      <w:r w:rsidR="0021317C" w:rsidRPr="00A77AF6">
        <w:rPr>
          <w:rFonts w:cstheme="minorHAnsi"/>
        </w:rPr>
        <w:t xml:space="preserve">; </w:t>
      </w:r>
      <w:r w:rsidRPr="00A77AF6">
        <w:rPr>
          <w:rFonts w:cstheme="minorHAnsi"/>
        </w:rPr>
        <w:t xml:space="preserve">without good governance trust is lost resulting in a loss of investment. </w:t>
      </w:r>
      <w:r w:rsidR="00276B2B" w:rsidRPr="00A77AF6">
        <w:rPr>
          <w:rFonts w:cstheme="minorHAnsi"/>
        </w:rPr>
        <w:t xml:space="preserve">The UK Corporate Governance Code (2016) </w:t>
      </w:r>
      <w:r w:rsidR="00C70B90" w:rsidRPr="00A77AF6">
        <w:rPr>
          <w:rFonts w:cstheme="minorHAnsi"/>
        </w:rPr>
        <w:t xml:space="preserve">also </w:t>
      </w:r>
      <w:r w:rsidR="00276B2B" w:rsidRPr="00A77AF6">
        <w:rPr>
          <w:rFonts w:cstheme="minorHAnsi"/>
        </w:rPr>
        <w:t>explicitly link</w:t>
      </w:r>
      <w:r w:rsidRPr="00A77AF6">
        <w:rPr>
          <w:rFonts w:cstheme="minorHAnsi"/>
        </w:rPr>
        <w:t>ed</w:t>
      </w:r>
      <w:r w:rsidR="00276B2B" w:rsidRPr="00A77AF6">
        <w:rPr>
          <w:rFonts w:cstheme="minorHAnsi"/>
        </w:rPr>
        <w:t xml:space="preserve"> corporate governance to success.  </w:t>
      </w:r>
    </w:p>
    <w:p w14:paraId="293BB084" w14:textId="5B19909A" w:rsidR="00276B2B" w:rsidRPr="00A77AF6" w:rsidRDefault="00276B2B" w:rsidP="00276B2B">
      <w:pPr>
        <w:spacing w:line="240" w:lineRule="auto"/>
        <w:ind w:left="720"/>
        <w:rPr>
          <w:rFonts w:cstheme="minorHAnsi"/>
        </w:rPr>
      </w:pPr>
      <w:r w:rsidRPr="00A77AF6">
        <w:rPr>
          <w:rFonts w:cstheme="minorHAnsi"/>
          <w:i/>
        </w:rPr>
        <w:t>‘the purpose of corporate governance i</w:t>
      </w:r>
      <w:r w:rsidRPr="00A77AF6">
        <w:rPr>
          <w:i/>
        </w:rPr>
        <w:t>s to facilitate effective, entrepreneurial and prudent management that can deliver the long-term success of the company’</w:t>
      </w:r>
      <w:r w:rsidRPr="00A77AF6">
        <w:t xml:space="preserve"> </w:t>
      </w:r>
      <w:sdt>
        <w:sdtPr>
          <w:id w:val="2113779916"/>
          <w:citation/>
        </w:sdtPr>
        <w:sdtEndPr/>
        <w:sdtContent>
          <w:r w:rsidRPr="00A77AF6">
            <w:fldChar w:fldCharType="begin"/>
          </w:r>
          <w:r w:rsidRPr="00A77AF6">
            <w:instrText xml:space="preserve">CITATION FRC16 \p 1 \l 2057 </w:instrText>
          </w:r>
          <w:r w:rsidRPr="00A77AF6">
            <w:fldChar w:fldCharType="separate"/>
          </w:r>
          <w:r w:rsidR="008E653F" w:rsidRPr="00A77AF6">
            <w:t>(FRC, 2016, p. 1)</w:t>
          </w:r>
          <w:r w:rsidRPr="00A77AF6">
            <w:fldChar w:fldCharType="end"/>
          </w:r>
        </w:sdtContent>
      </w:sdt>
    </w:p>
    <w:p w14:paraId="028034C6" w14:textId="5383DF39" w:rsidR="006E08D9" w:rsidRPr="00A77AF6" w:rsidRDefault="0021317C" w:rsidP="0021317C">
      <w:pPr>
        <w:spacing w:after="0" w:line="360" w:lineRule="auto"/>
      </w:pPr>
      <w:r w:rsidRPr="00A77AF6">
        <w:rPr>
          <w:rFonts w:cstheme="minorHAnsi"/>
        </w:rPr>
        <w:t>C</w:t>
      </w:r>
      <w:r w:rsidR="006E08D9" w:rsidRPr="00A77AF6">
        <w:rPr>
          <w:rFonts w:cstheme="minorHAnsi"/>
        </w:rPr>
        <w:t xml:space="preserve">orporate governance may appear to be a modern pre-occupation </w:t>
      </w:r>
      <w:r w:rsidRPr="00A77AF6">
        <w:rPr>
          <w:rFonts w:cstheme="minorHAnsi"/>
        </w:rPr>
        <w:t xml:space="preserve">but </w:t>
      </w:r>
      <w:r w:rsidR="006E08D9" w:rsidRPr="00A77AF6">
        <w:rPr>
          <w:rFonts w:cstheme="minorHAnsi"/>
        </w:rPr>
        <w:t>its roots in UK history can be traced to seventeenth century when members of the Religious Society of Friends</w:t>
      </w:r>
      <w:r w:rsidR="009327CD" w:rsidRPr="00A77AF6">
        <w:rPr>
          <w:rFonts w:cstheme="minorHAnsi"/>
        </w:rPr>
        <w:t xml:space="preserve"> (</w:t>
      </w:r>
      <w:r w:rsidR="006E08D9" w:rsidRPr="00A77AF6">
        <w:rPr>
          <w:rFonts w:cstheme="minorHAnsi"/>
        </w:rPr>
        <w:t>Quakers</w:t>
      </w:r>
      <w:r w:rsidR="009327CD" w:rsidRPr="00A77AF6">
        <w:rPr>
          <w:rFonts w:cstheme="minorHAnsi"/>
        </w:rPr>
        <w:t>)</w:t>
      </w:r>
      <w:r w:rsidR="006E08D9" w:rsidRPr="00A77AF6">
        <w:rPr>
          <w:rFonts w:cstheme="minorHAnsi"/>
        </w:rPr>
        <w:t xml:space="preserve"> such as the Cadburys, Rowntrees, and Frys made their fortunes based on integrity in business.  </w:t>
      </w:r>
      <w:r w:rsidR="008B2BAF" w:rsidRPr="00A77AF6">
        <w:rPr>
          <w:rFonts w:cstheme="minorHAnsi"/>
        </w:rPr>
        <w:t>Quakers were excluded from universities</w:t>
      </w:r>
      <w:r w:rsidR="00D1166F">
        <w:rPr>
          <w:rFonts w:cstheme="minorHAnsi"/>
        </w:rPr>
        <w:t>,</w:t>
      </w:r>
      <w:r w:rsidR="008B2BAF" w:rsidRPr="00A77AF6">
        <w:rPr>
          <w:rFonts w:cstheme="minorHAnsi"/>
        </w:rPr>
        <w:t xml:space="preserve"> the military and the church because of their non-conformism </w:t>
      </w:r>
      <w:r w:rsidRPr="00A77AF6">
        <w:rPr>
          <w:rFonts w:cstheme="minorHAnsi"/>
        </w:rPr>
        <w:t xml:space="preserve">so some </w:t>
      </w:r>
      <w:r w:rsidR="008B2BAF" w:rsidRPr="00A77AF6">
        <w:rPr>
          <w:rFonts w:cstheme="minorHAnsi"/>
        </w:rPr>
        <w:t xml:space="preserve">were drawn into business where they brought the </w:t>
      </w:r>
      <w:r w:rsidR="009327CD" w:rsidRPr="00A77AF6">
        <w:rPr>
          <w:rFonts w:cstheme="minorHAnsi"/>
        </w:rPr>
        <w:t>principles of their faith</w:t>
      </w:r>
      <w:r w:rsidR="008B2BAF" w:rsidRPr="00A77AF6">
        <w:rPr>
          <w:rFonts w:cstheme="minorHAnsi"/>
        </w:rPr>
        <w:t xml:space="preserve"> into their business dealings.  </w:t>
      </w:r>
      <w:r w:rsidR="009327CD" w:rsidRPr="00A77AF6">
        <w:t>Large amounts of money were made and in 1867 Fry’s sales totalled £102,747</w:t>
      </w:r>
      <w:r w:rsidRPr="00A77AF6">
        <w:t xml:space="preserve">, </w:t>
      </w:r>
      <w:r w:rsidR="009327CD" w:rsidRPr="00A77AF6">
        <w:t xml:space="preserve">approximately £11.35 million in 2018 prices </w:t>
      </w:r>
      <w:sdt>
        <w:sdtPr>
          <w:id w:val="-990942066"/>
          <w:citation/>
        </w:sdtPr>
        <w:sdtEndPr/>
        <w:sdtContent>
          <w:r w:rsidR="009327CD" w:rsidRPr="00A77AF6">
            <w:fldChar w:fldCharType="begin"/>
          </w:r>
          <w:r w:rsidR="009327CD" w:rsidRPr="00A77AF6">
            <w:instrText xml:space="preserve"> CITATION Ban19 \l 2057 </w:instrText>
          </w:r>
          <w:r w:rsidR="009327CD" w:rsidRPr="00A77AF6">
            <w:fldChar w:fldCharType="separate"/>
          </w:r>
          <w:r w:rsidR="008E653F" w:rsidRPr="00A77AF6">
            <w:t>(Bank of England, 2019)</w:t>
          </w:r>
          <w:r w:rsidR="009327CD" w:rsidRPr="00A77AF6">
            <w:fldChar w:fldCharType="end"/>
          </w:r>
        </w:sdtContent>
      </w:sdt>
      <w:r w:rsidR="009327CD" w:rsidRPr="00A77AF6">
        <w:t xml:space="preserve">.  </w:t>
      </w:r>
      <w:r w:rsidR="00DC2348" w:rsidRPr="00A77AF6">
        <w:t xml:space="preserve">The Quaker banks of Lloyds and Barclays were also founded on Quaker standards of honesty and integrity </w:t>
      </w:r>
      <w:sdt>
        <w:sdtPr>
          <w:rPr>
            <w:rFonts w:cstheme="minorHAnsi"/>
          </w:rPr>
          <w:id w:val="1224713577"/>
          <w:citation/>
        </w:sdtPr>
        <w:sdtEndPr/>
        <w:sdtContent>
          <w:r w:rsidR="00DC2348" w:rsidRPr="00A77AF6">
            <w:rPr>
              <w:rFonts w:cstheme="minorHAnsi"/>
            </w:rPr>
            <w:fldChar w:fldCharType="begin"/>
          </w:r>
          <w:r w:rsidR="00DC2348" w:rsidRPr="00A77AF6">
            <w:rPr>
              <w:rFonts w:cstheme="minorHAnsi"/>
            </w:rPr>
            <w:instrText xml:space="preserve"> CITATION Qua10 \l 2057 </w:instrText>
          </w:r>
          <w:r w:rsidR="00DC2348" w:rsidRPr="00A77AF6">
            <w:rPr>
              <w:rFonts w:cstheme="minorHAnsi"/>
            </w:rPr>
            <w:fldChar w:fldCharType="separate"/>
          </w:r>
          <w:r w:rsidR="008E653F" w:rsidRPr="00A77AF6">
            <w:rPr>
              <w:rFonts w:cstheme="minorHAnsi"/>
            </w:rPr>
            <w:t>(Quakers in the World, 2010)</w:t>
          </w:r>
          <w:r w:rsidR="00DC2348" w:rsidRPr="00A77AF6">
            <w:rPr>
              <w:rFonts w:cstheme="minorHAnsi"/>
            </w:rPr>
            <w:fldChar w:fldCharType="end"/>
          </w:r>
        </w:sdtContent>
      </w:sdt>
      <w:r w:rsidR="00DC2348" w:rsidRPr="00A77AF6">
        <w:rPr>
          <w:rFonts w:cstheme="minorHAnsi"/>
        </w:rPr>
        <w:t xml:space="preserve">. </w:t>
      </w:r>
      <w:r w:rsidR="006E08D9" w:rsidRPr="00A77AF6">
        <w:t>The Quaker business</w:t>
      </w:r>
      <w:r w:rsidR="005B081F" w:rsidRPr="00A77AF6">
        <w:t xml:space="preserve"> approach outlined in the </w:t>
      </w:r>
      <w:r w:rsidR="006E08D9" w:rsidRPr="00A77AF6">
        <w:t xml:space="preserve">1739 Christian and Brotherly Advices </w:t>
      </w:r>
      <w:r w:rsidRPr="00A77AF6">
        <w:t>as</w:t>
      </w:r>
      <w:r w:rsidR="005B081F" w:rsidRPr="00A77AF6">
        <w:t xml:space="preserve"> the </w:t>
      </w:r>
    </w:p>
    <w:p w14:paraId="0B7534F3" w14:textId="6E164B96" w:rsidR="006E08D9" w:rsidRPr="00A77AF6" w:rsidRDefault="006E08D9" w:rsidP="006E08D9">
      <w:pPr>
        <w:spacing w:line="240" w:lineRule="auto"/>
        <w:ind w:left="720"/>
      </w:pPr>
      <w:r w:rsidRPr="00A77AF6">
        <w:rPr>
          <w:i/>
        </w:rPr>
        <w:t>‘foundation of business ethics built on truth, honesty and justice</w:t>
      </w:r>
      <w:r w:rsidR="0021317C" w:rsidRPr="00A77AF6">
        <w:rPr>
          <w:i/>
        </w:rPr>
        <w:t>….</w:t>
      </w:r>
      <w:r w:rsidRPr="00A77AF6">
        <w:rPr>
          <w:i/>
        </w:rPr>
        <w:t>Central to the advice was that a Quaker must always honour his word.’</w:t>
      </w:r>
      <w:r w:rsidRPr="00A77AF6">
        <w:t xml:space="preserve"> </w:t>
      </w:r>
      <w:sdt>
        <w:sdtPr>
          <w:id w:val="-1298144286"/>
          <w:citation/>
        </w:sdtPr>
        <w:sdtEndPr/>
        <w:sdtContent>
          <w:r w:rsidRPr="00A77AF6">
            <w:fldChar w:fldCharType="begin"/>
          </w:r>
          <w:r w:rsidRPr="00A77AF6">
            <w:instrText xml:space="preserve">CITATION Deb10 \p 44 \l 2057 </w:instrText>
          </w:r>
          <w:r w:rsidRPr="00A77AF6">
            <w:fldChar w:fldCharType="separate"/>
          </w:r>
          <w:r w:rsidR="008E653F" w:rsidRPr="00A77AF6">
            <w:t>(Cadbury, 2010, p. 44)</w:t>
          </w:r>
          <w:r w:rsidRPr="00A77AF6">
            <w:fldChar w:fldCharType="end"/>
          </w:r>
        </w:sdtContent>
      </w:sdt>
    </w:p>
    <w:p w14:paraId="1E614886" w14:textId="3D3350D1" w:rsidR="00BF0992" w:rsidRPr="00A77AF6" w:rsidRDefault="008B2BAF" w:rsidP="00B71012">
      <w:pPr>
        <w:spacing w:after="0" w:line="360" w:lineRule="auto"/>
        <w:rPr>
          <w:rFonts w:cstheme="minorHAnsi"/>
        </w:rPr>
      </w:pPr>
      <w:r w:rsidRPr="00A77AF6">
        <w:rPr>
          <w:rFonts w:cstheme="minorHAnsi"/>
        </w:rPr>
        <w:t xml:space="preserve">The case study of the Religious Society of Friends makes the case for the positive impact on corporate success that honesty and integrity can have.  </w:t>
      </w:r>
      <w:r w:rsidR="00DA4467" w:rsidRPr="00A77AF6">
        <w:rPr>
          <w:rFonts w:cstheme="minorHAnsi"/>
        </w:rPr>
        <w:t xml:space="preserve"> </w:t>
      </w:r>
      <w:r w:rsidRPr="00A77AF6">
        <w:rPr>
          <w:rFonts w:cstheme="minorHAnsi"/>
        </w:rPr>
        <w:t>However, n</w:t>
      </w:r>
      <w:r w:rsidRPr="00A77AF6">
        <w:rPr>
          <w:rFonts w:cstheme="minorHAnsi"/>
          <w:szCs w:val="24"/>
        </w:rPr>
        <w:t xml:space="preserve">ot </w:t>
      </w:r>
      <w:r w:rsidR="0021317C" w:rsidRPr="00A77AF6">
        <w:rPr>
          <w:rFonts w:cstheme="minorHAnsi"/>
          <w:szCs w:val="24"/>
        </w:rPr>
        <w:t>all</w:t>
      </w:r>
      <w:r w:rsidRPr="00A77AF6">
        <w:rPr>
          <w:rFonts w:cstheme="minorHAnsi"/>
          <w:szCs w:val="24"/>
        </w:rPr>
        <w:t xml:space="preserve"> evidence support</w:t>
      </w:r>
      <w:r w:rsidR="003A2848" w:rsidRPr="00A77AF6">
        <w:rPr>
          <w:rFonts w:cstheme="minorHAnsi"/>
          <w:szCs w:val="24"/>
        </w:rPr>
        <w:t>s</w:t>
      </w:r>
      <w:r w:rsidRPr="00A77AF6">
        <w:rPr>
          <w:rFonts w:cstheme="minorHAnsi"/>
          <w:szCs w:val="24"/>
        </w:rPr>
        <w:t xml:space="preserve"> the view that well-governed companies perform better than others. </w:t>
      </w:r>
      <w:r w:rsidRPr="00A77AF6">
        <w:rPr>
          <w:rFonts w:cstheme="minorHAnsi"/>
        </w:rPr>
        <w:t>Gompers</w:t>
      </w:r>
      <w:r w:rsidR="005B081F" w:rsidRPr="00A77AF6">
        <w:rPr>
          <w:rFonts w:cstheme="minorHAnsi"/>
        </w:rPr>
        <w:t xml:space="preserve"> et al</w:t>
      </w:r>
      <w:r w:rsidRPr="00A77AF6">
        <w:rPr>
          <w:rFonts w:cstheme="minorHAnsi"/>
        </w:rPr>
        <w:t xml:space="preserve"> (2003) indicated that companies with ‘shareholder-friendly’ governance outperform </w:t>
      </w:r>
      <w:r w:rsidR="005B081F" w:rsidRPr="00A77AF6">
        <w:rPr>
          <w:rFonts w:cstheme="minorHAnsi"/>
        </w:rPr>
        <w:t>companies without shareholder friendly governance</w:t>
      </w:r>
      <w:r w:rsidR="0021317C" w:rsidRPr="00A77AF6">
        <w:rPr>
          <w:rFonts w:cstheme="minorHAnsi"/>
        </w:rPr>
        <w:t xml:space="preserve">, but </w:t>
      </w:r>
      <w:r w:rsidR="005B081F" w:rsidRPr="00A77AF6">
        <w:rPr>
          <w:rFonts w:cstheme="minorHAnsi"/>
        </w:rPr>
        <w:t xml:space="preserve">a causal relationship between  governance and success could not be </w:t>
      </w:r>
      <w:r w:rsidR="0021317C" w:rsidRPr="00A77AF6">
        <w:rPr>
          <w:rFonts w:cstheme="minorHAnsi"/>
        </w:rPr>
        <w:t>shown.  A</w:t>
      </w:r>
      <w:r w:rsidR="00DC2348" w:rsidRPr="00A77AF6">
        <w:rPr>
          <w:rFonts w:cstheme="minorHAnsi"/>
        </w:rPr>
        <w:t>lthough th</w:t>
      </w:r>
      <w:r w:rsidR="0021317C" w:rsidRPr="00A77AF6">
        <w:rPr>
          <w:rFonts w:cstheme="minorHAnsi"/>
        </w:rPr>
        <w:t xml:space="preserve">eir </w:t>
      </w:r>
      <w:r w:rsidR="00DC2348" w:rsidRPr="00A77AF6">
        <w:rPr>
          <w:rFonts w:cstheme="minorHAnsi"/>
        </w:rPr>
        <w:t xml:space="preserve">study suggested a relationship between poor results and weak shareholder rights, Gompers et al (2003) acknowledge that poor performance may be due to other unseen reasons. </w:t>
      </w:r>
      <w:r w:rsidR="00F66CFE" w:rsidRPr="00A77AF6">
        <w:rPr>
          <w:rFonts w:cstheme="minorHAnsi"/>
        </w:rPr>
        <w:t xml:space="preserve">  </w:t>
      </w:r>
      <w:r w:rsidR="00985F6E" w:rsidRPr="00A77AF6">
        <w:rPr>
          <w:rFonts w:cstheme="minorHAnsi"/>
          <w:szCs w:val="24"/>
        </w:rPr>
        <w:t xml:space="preserve">The question about </w:t>
      </w:r>
      <w:r w:rsidR="00DC2348" w:rsidRPr="00A77AF6">
        <w:rPr>
          <w:rFonts w:cstheme="minorHAnsi"/>
          <w:szCs w:val="24"/>
        </w:rPr>
        <w:t xml:space="preserve">whether good governance leads to success is </w:t>
      </w:r>
      <w:r w:rsidR="00F66CFE" w:rsidRPr="00A77AF6">
        <w:rPr>
          <w:rFonts w:cstheme="minorHAnsi"/>
          <w:szCs w:val="24"/>
        </w:rPr>
        <w:t xml:space="preserve">also </w:t>
      </w:r>
      <w:r w:rsidR="00985F6E" w:rsidRPr="00A77AF6">
        <w:rPr>
          <w:rFonts w:cstheme="minorHAnsi"/>
          <w:szCs w:val="24"/>
        </w:rPr>
        <w:t xml:space="preserve">difficult to answer because </w:t>
      </w:r>
      <w:r w:rsidR="00DC2348" w:rsidRPr="00A77AF6">
        <w:rPr>
          <w:rFonts w:cstheme="minorHAnsi"/>
          <w:szCs w:val="24"/>
        </w:rPr>
        <w:t xml:space="preserve"> there is no reliable test that measures </w:t>
      </w:r>
      <w:r w:rsidRPr="00A77AF6">
        <w:rPr>
          <w:rFonts w:cstheme="minorHAnsi"/>
          <w:szCs w:val="24"/>
        </w:rPr>
        <w:t>governance quality</w:t>
      </w:r>
      <w:r w:rsidR="0021317C" w:rsidRPr="00A77AF6">
        <w:rPr>
          <w:rFonts w:cstheme="minorHAnsi"/>
          <w:szCs w:val="24"/>
        </w:rPr>
        <w:t xml:space="preserve"> (Larker &amp; Tayan, 2011). </w:t>
      </w:r>
      <w:r w:rsidRPr="00A77AF6">
        <w:rPr>
          <w:rFonts w:cstheme="minorHAnsi"/>
          <w:szCs w:val="24"/>
        </w:rPr>
        <w:t xml:space="preserve">If it is not possible to judge the quality of governance, </w:t>
      </w:r>
      <w:r w:rsidR="00DC2348" w:rsidRPr="00A77AF6">
        <w:rPr>
          <w:rFonts w:cstheme="minorHAnsi"/>
          <w:szCs w:val="24"/>
        </w:rPr>
        <w:t xml:space="preserve">the relationship between it and success cannot be </w:t>
      </w:r>
      <w:r w:rsidR="0021317C" w:rsidRPr="00A77AF6">
        <w:rPr>
          <w:rFonts w:cstheme="minorHAnsi"/>
          <w:szCs w:val="24"/>
        </w:rPr>
        <w:t>measured</w:t>
      </w:r>
      <w:r w:rsidR="00DC2348" w:rsidRPr="00A77AF6">
        <w:rPr>
          <w:rFonts w:cstheme="minorHAnsi"/>
          <w:szCs w:val="24"/>
        </w:rPr>
        <w:t xml:space="preserve">. </w:t>
      </w:r>
      <w:r w:rsidRPr="00A77AF6">
        <w:rPr>
          <w:rFonts w:cstheme="minorHAnsi"/>
          <w:szCs w:val="24"/>
        </w:rPr>
        <w:t xml:space="preserve">The difficulty in showing cause and effect between good governance and successful corporate performance is </w:t>
      </w:r>
      <w:r w:rsidR="00DC2348" w:rsidRPr="00A77AF6">
        <w:rPr>
          <w:rFonts w:cstheme="minorHAnsi"/>
          <w:szCs w:val="24"/>
        </w:rPr>
        <w:t xml:space="preserve">therefore </w:t>
      </w:r>
      <w:r w:rsidRPr="00A77AF6">
        <w:rPr>
          <w:rFonts w:cstheme="minorHAnsi"/>
          <w:szCs w:val="24"/>
        </w:rPr>
        <w:t>problematic</w:t>
      </w:r>
      <w:r w:rsidR="00985F6E" w:rsidRPr="00A77AF6">
        <w:rPr>
          <w:rFonts w:cstheme="minorHAnsi"/>
          <w:szCs w:val="24"/>
        </w:rPr>
        <w:t xml:space="preserve">.  It is </w:t>
      </w:r>
      <w:r w:rsidR="00DC2348" w:rsidRPr="00A77AF6">
        <w:rPr>
          <w:rFonts w:cstheme="minorHAnsi"/>
          <w:szCs w:val="24"/>
        </w:rPr>
        <w:t xml:space="preserve">conceivable that </w:t>
      </w:r>
      <w:r w:rsidR="00DC2348" w:rsidRPr="00A77AF6">
        <w:rPr>
          <w:rFonts w:cstheme="minorHAnsi"/>
          <w:szCs w:val="24"/>
        </w:rPr>
        <w:lastRenderedPageBreak/>
        <w:t>some companies</w:t>
      </w:r>
      <w:r w:rsidR="00985F6E" w:rsidRPr="00A77AF6">
        <w:rPr>
          <w:rFonts w:cstheme="minorHAnsi"/>
          <w:szCs w:val="24"/>
        </w:rPr>
        <w:t xml:space="preserve"> or public sector organisations</w:t>
      </w:r>
      <w:r w:rsidR="00DC2348" w:rsidRPr="00A77AF6">
        <w:rPr>
          <w:rFonts w:cstheme="minorHAnsi"/>
          <w:szCs w:val="24"/>
        </w:rPr>
        <w:t xml:space="preserve"> may have poor standards of governance, which are not publicly known but may be performing well</w:t>
      </w:r>
      <w:r w:rsidR="0021317C" w:rsidRPr="00A77AF6">
        <w:rPr>
          <w:rFonts w:cstheme="minorHAnsi"/>
          <w:szCs w:val="24"/>
        </w:rPr>
        <w:t xml:space="preserve">. </w:t>
      </w:r>
      <w:r w:rsidR="00985F6E" w:rsidRPr="00A77AF6">
        <w:rPr>
          <w:rFonts w:cstheme="minorHAnsi"/>
          <w:szCs w:val="24"/>
        </w:rPr>
        <w:t xml:space="preserve"> </w:t>
      </w:r>
      <w:r w:rsidR="00BF0992" w:rsidRPr="00A77AF6">
        <w:rPr>
          <w:rFonts w:cstheme="minorHAnsi"/>
        </w:rPr>
        <w:t>Even if the argument that governance breed</w:t>
      </w:r>
      <w:r w:rsidR="0074630C" w:rsidRPr="00A77AF6">
        <w:rPr>
          <w:rFonts w:cstheme="minorHAnsi"/>
        </w:rPr>
        <w:t>s</w:t>
      </w:r>
      <w:r w:rsidR="00BF0992" w:rsidRPr="00A77AF6">
        <w:rPr>
          <w:rFonts w:cstheme="minorHAnsi"/>
        </w:rPr>
        <w:t xml:space="preserve"> success cannot be proven, it </w:t>
      </w:r>
      <w:r w:rsidR="00A16BD5" w:rsidRPr="00A77AF6">
        <w:rPr>
          <w:rFonts w:cstheme="minorHAnsi"/>
        </w:rPr>
        <w:t xml:space="preserve">is the case that </w:t>
      </w:r>
      <w:r w:rsidR="00BF0992" w:rsidRPr="00A77AF6">
        <w:rPr>
          <w:rFonts w:cstheme="minorHAnsi"/>
        </w:rPr>
        <w:t xml:space="preserve">that </w:t>
      </w:r>
      <w:r w:rsidR="00A16BD5" w:rsidRPr="00A77AF6">
        <w:rPr>
          <w:rFonts w:cstheme="minorHAnsi"/>
        </w:rPr>
        <w:t xml:space="preserve">good </w:t>
      </w:r>
      <w:r w:rsidR="00BF0992" w:rsidRPr="00A77AF6">
        <w:rPr>
          <w:rFonts w:cstheme="minorHAnsi"/>
        </w:rPr>
        <w:t xml:space="preserve">governance breeds faith and confidence.  These are important for the private sector to encourage investment and for the public sector to maintain </w:t>
      </w:r>
      <w:r w:rsidR="00A16BD5" w:rsidRPr="00A77AF6">
        <w:rPr>
          <w:rFonts w:cstheme="minorHAnsi"/>
        </w:rPr>
        <w:t>c</w:t>
      </w:r>
      <w:r w:rsidR="00BF0992" w:rsidRPr="00A77AF6">
        <w:rPr>
          <w:rFonts w:cstheme="minorHAnsi"/>
        </w:rPr>
        <w:t xml:space="preserve">onfidence in its role as the </w:t>
      </w:r>
      <w:r w:rsidR="0074630C" w:rsidRPr="00A77AF6">
        <w:rPr>
          <w:rFonts w:cstheme="minorHAnsi"/>
        </w:rPr>
        <w:t>mediator of</w:t>
      </w:r>
      <w:r w:rsidR="00BF0992" w:rsidRPr="00A77AF6">
        <w:rPr>
          <w:rFonts w:cstheme="minorHAnsi"/>
        </w:rPr>
        <w:t xml:space="preserve"> public </w:t>
      </w:r>
      <w:r w:rsidR="0074630C" w:rsidRPr="00A77AF6">
        <w:rPr>
          <w:rFonts w:cstheme="minorHAnsi"/>
        </w:rPr>
        <w:t>interests</w:t>
      </w:r>
      <w:r w:rsidR="00BF0992" w:rsidRPr="00A77AF6">
        <w:rPr>
          <w:rFonts w:cstheme="minorHAnsi"/>
        </w:rPr>
        <w:t xml:space="preserve">. </w:t>
      </w:r>
      <w:r w:rsidR="00A16BD5" w:rsidRPr="00A77AF6">
        <w:rPr>
          <w:rFonts w:cstheme="minorHAnsi"/>
        </w:rPr>
        <w:t xml:space="preserve"> The under</w:t>
      </w:r>
      <w:r w:rsidR="0074630C" w:rsidRPr="00A77AF6">
        <w:rPr>
          <w:rFonts w:cstheme="minorHAnsi"/>
        </w:rPr>
        <w:t>lying</w:t>
      </w:r>
      <w:r w:rsidR="00A16BD5" w:rsidRPr="00A77AF6">
        <w:rPr>
          <w:rFonts w:cstheme="minorHAnsi"/>
        </w:rPr>
        <w:t xml:space="preserve"> imperative is justice which can only be seen if the light of publicity is shone on the actions of those charged with running the private and public sectors. This has been known for many centuries</w:t>
      </w:r>
      <w:r w:rsidR="00985F6E" w:rsidRPr="00A77AF6">
        <w:rPr>
          <w:rFonts w:cstheme="minorHAnsi"/>
        </w:rPr>
        <w:t xml:space="preserve">, </w:t>
      </w:r>
      <w:r w:rsidR="00A16BD5" w:rsidRPr="00A77AF6">
        <w:rPr>
          <w:rFonts w:cstheme="minorHAnsi"/>
        </w:rPr>
        <w:t xml:space="preserve"> </w:t>
      </w:r>
    </w:p>
    <w:p w14:paraId="316123A2" w14:textId="7ABF0E12" w:rsidR="003A2848" w:rsidRPr="00A77AF6" w:rsidRDefault="003A2848" w:rsidP="00B71012">
      <w:pPr>
        <w:spacing w:after="120" w:line="240" w:lineRule="auto"/>
        <w:ind w:left="720"/>
        <w:rPr>
          <w:rFonts w:cstheme="minorHAnsi"/>
          <w:i/>
        </w:rPr>
      </w:pPr>
      <w:r w:rsidRPr="00A77AF6">
        <w:rPr>
          <w:rFonts w:cstheme="minorHAnsi"/>
          <w:i/>
        </w:rPr>
        <w:t xml:space="preserve">‘Where there is no publicity there is no justice. Publicity is the very soul of justice. It is the keenest spur to exertion and the surest guard against improbity’ </w:t>
      </w:r>
      <w:sdt>
        <w:sdtPr>
          <w:rPr>
            <w:rFonts w:cstheme="minorHAnsi"/>
            <w:i/>
          </w:rPr>
          <w:id w:val="1168450742"/>
          <w:citation/>
        </w:sdtPr>
        <w:sdtEndPr/>
        <w:sdtContent>
          <w:r w:rsidR="00C06AF1" w:rsidRPr="00A77AF6">
            <w:rPr>
              <w:rFonts w:cstheme="minorHAnsi"/>
              <w:i/>
            </w:rPr>
            <w:fldChar w:fldCharType="begin"/>
          </w:r>
          <w:r w:rsidR="00066BF6" w:rsidRPr="00A77AF6">
            <w:rPr>
              <w:rFonts w:cstheme="minorHAnsi"/>
              <w:i/>
            </w:rPr>
            <w:instrText xml:space="preserve">CITATION Ben43 \p 316 \l 2057 </w:instrText>
          </w:r>
          <w:r w:rsidR="00C06AF1" w:rsidRPr="00A77AF6">
            <w:rPr>
              <w:rFonts w:cstheme="minorHAnsi"/>
              <w:i/>
            </w:rPr>
            <w:fldChar w:fldCharType="separate"/>
          </w:r>
          <w:r w:rsidR="008E653F" w:rsidRPr="00A77AF6">
            <w:rPr>
              <w:rFonts w:cstheme="minorHAnsi"/>
            </w:rPr>
            <w:t>(Bentham, 1843, p. 316)</w:t>
          </w:r>
          <w:r w:rsidR="00C06AF1" w:rsidRPr="00A77AF6">
            <w:rPr>
              <w:rFonts w:cstheme="minorHAnsi"/>
              <w:i/>
            </w:rPr>
            <w:fldChar w:fldCharType="end"/>
          </w:r>
        </w:sdtContent>
      </w:sdt>
      <w:r w:rsidR="00587CAC" w:rsidRPr="00A77AF6">
        <w:rPr>
          <w:rFonts w:cstheme="minorHAnsi"/>
          <w:i/>
        </w:rPr>
        <w:t xml:space="preserve"> </w:t>
      </w:r>
    </w:p>
    <w:p w14:paraId="43193842" w14:textId="41DA3272" w:rsidR="00FF3E25" w:rsidRPr="00A77AF6" w:rsidRDefault="00A16BD5" w:rsidP="0074630C">
      <w:pPr>
        <w:spacing w:line="360" w:lineRule="auto"/>
        <w:rPr>
          <w:rFonts w:cstheme="minorHAnsi"/>
        </w:rPr>
      </w:pPr>
      <w:r w:rsidRPr="00A77AF6">
        <w:rPr>
          <w:rFonts w:cstheme="minorHAnsi"/>
        </w:rPr>
        <w:t xml:space="preserve">It is openness and transparency that are protectors against corruption and poor practice.  </w:t>
      </w:r>
      <w:r w:rsidR="00FF3E25" w:rsidRPr="00A77AF6">
        <w:rPr>
          <w:rFonts w:cstheme="minorHAnsi"/>
        </w:rPr>
        <w:t xml:space="preserve">The next section provides examples of </w:t>
      </w:r>
      <w:r w:rsidRPr="00A77AF6">
        <w:rPr>
          <w:rFonts w:cstheme="minorHAnsi"/>
        </w:rPr>
        <w:t xml:space="preserve">how poor practice leads to </w:t>
      </w:r>
      <w:r w:rsidR="00FF3E25" w:rsidRPr="00A77AF6">
        <w:rPr>
          <w:rFonts w:cstheme="minorHAnsi"/>
        </w:rPr>
        <w:t xml:space="preserve">a crisis in confidence </w:t>
      </w:r>
      <w:r w:rsidRPr="00A77AF6">
        <w:rPr>
          <w:rFonts w:cstheme="minorHAnsi"/>
        </w:rPr>
        <w:t xml:space="preserve">in both private and public </w:t>
      </w:r>
      <w:r w:rsidR="00FF3E25" w:rsidRPr="00A77AF6">
        <w:rPr>
          <w:rFonts w:cstheme="minorHAnsi"/>
        </w:rPr>
        <w:t>sector</w:t>
      </w:r>
      <w:r w:rsidRPr="00A77AF6">
        <w:rPr>
          <w:rFonts w:cstheme="minorHAnsi"/>
        </w:rPr>
        <w:t>s</w:t>
      </w:r>
      <w:r w:rsidR="00FF3E25" w:rsidRPr="00A77AF6">
        <w:rPr>
          <w:rFonts w:cstheme="minorHAnsi"/>
        </w:rPr>
        <w:t xml:space="preserve">.  </w:t>
      </w:r>
    </w:p>
    <w:p w14:paraId="2EF9F48A" w14:textId="7F23B135" w:rsidR="006B3AB8" w:rsidRPr="00A77AF6" w:rsidRDefault="006B3AB8" w:rsidP="001B0403">
      <w:pPr>
        <w:pStyle w:val="Heading3"/>
        <w:spacing w:after="120" w:line="240" w:lineRule="auto"/>
      </w:pPr>
      <w:bookmarkStart w:id="66" w:name="_Toc36275069"/>
      <w:r w:rsidRPr="00A77AF6">
        <w:rPr>
          <w:rStyle w:val="Heading3Char"/>
          <w:b/>
          <w:bCs/>
        </w:rPr>
        <w:t xml:space="preserve">Private and </w:t>
      </w:r>
      <w:r w:rsidR="001A49A3" w:rsidRPr="00A77AF6">
        <w:rPr>
          <w:rStyle w:val="Heading3Char"/>
          <w:b/>
          <w:bCs/>
        </w:rPr>
        <w:t>p</w:t>
      </w:r>
      <w:r w:rsidRPr="00A77AF6">
        <w:rPr>
          <w:rStyle w:val="Heading3Char"/>
          <w:b/>
          <w:bCs/>
        </w:rPr>
        <w:t xml:space="preserve">ublic </w:t>
      </w:r>
      <w:r w:rsidR="001A49A3" w:rsidRPr="00A77AF6">
        <w:rPr>
          <w:rStyle w:val="Heading3Char"/>
          <w:b/>
          <w:bCs/>
        </w:rPr>
        <w:t>g</w:t>
      </w:r>
      <w:r w:rsidR="00811602" w:rsidRPr="00A77AF6">
        <w:rPr>
          <w:rStyle w:val="Heading3Char"/>
          <w:b/>
          <w:bCs/>
        </w:rPr>
        <w:t>o</w:t>
      </w:r>
      <w:r w:rsidR="00811602" w:rsidRPr="00A77AF6">
        <w:t xml:space="preserve">vernance </w:t>
      </w:r>
      <w:r w:rsidR="001A49A3" w:rsidRPr="00A77AF6">
        <w:t>f</w:t>
      </w:r>
      <w:r w:rsidRPr="00A77AF6">
        <w:t>ailures</w:t>
      </w:r>
      <w:bookmarkEnd w:id="66"/>
    </w:p>
    <w:p w14:paraId="7316E2F5" w14:textId="50B17D05" w:rsidR="006B3AB8" w:rsidRPr="00A77AF6" w:rsidRDefault="00F24D98" w:rsidP="0074630C">
      <w:pPr>
        <w:spacing w:line="360" w:lineRule="auto"/>
        <w:rPr>
          <w:rFonts w:cstheme="minorHAnsi"/>
        </w:rPr>
      </w:pPr>
      <w:r w:rsidRPr="00A77AF6">
        <w:rPr>
          <w:rFonts w:cstheme="minorHAnsi"/>
        </w:rPr>
        <w:t>Th</w:t>
      </w:r>
      <w:r w:rsidR="00F16DBD" w:rsidRPr="00A77AF6">
        <w:rPr>
          <w:rFonts w:cstheme="minorHAnsi"/>
        </w:rPr>
        <w:t xml:space="preserve">is section reviews a few examples of corporate failure, some of which led directly to changes in corporate governance. The </w:t>
      </w:r>
      <w:r w:rsidRPr="00A77AF6">
        <w:rPr>
          <w:rFonts w:cstheme="minorHAnsi"/>
        </w:rPr>
        <w:t xml:space="preserve">cases considered are: Coloroll and Polly Peck, Barings Bank, Barclays Bank, Tyco and Enron. </w:t>
      </w:r>
      <w:r w:rsidR="0074630C" w:rsidRPr="00A77AF6">
        <w:rPr>
          <w:rFonts w:cstheme="minorHAnsi"/>
        </w:rPr>
        <w:t xml:space="preserve">Corporate failures are costly and destructive, resulting in job losses. Public sector </w:t>
      </w:r>
      <w:r w:rsidR="00985F6E" w:rsidRPr="00A77AF6">
        <w:rPr>
          <w:rFonts w:cstheme="minorHAnsi"/>
        </w:rPr>
        <w:t>examples are cash for questions</w:t>
      </w:r>
      <w:r w:rsidR="00E32966" w:rsidRPr="00A77AF6">
        <w:rPr>
          <w:rFonts w:cstheme="minorHAnsi"/>
        </w:rPr>
        <w:t xml:space="preserve">, </w:t>
      </w:r>
      <w:r w:rsidR="00985F6E" w:rsidRPr="00A77AF6">
        <w:rPr>
          <w:rFonts w:cstheme="minorHAnsi"/>
        </w:rPr>
        <w:t xml:space="preserve">the expense scandals </w:t>
      </w:r>
      <w:r w:rsidR="00E32966" w:rsidRPr="00A77AF6">
        <w:rPr>
          <w:rFonts w:cstheme="minorHAnsi"/>
        </w:rPr>
        <w:t xml:space="preserve">and cash for influence </w:t>
      </w:r>
      <w:r w:rsidR="00985F6E" w:rsidRPr="00A77AF6">
        <w:rPr>
          <w:rFonts w:cstheme="minorHAnsi"/>
        </w:rPr>
        <w:t xml:space="preserve">in the UK parliament. </w:t>
      </w:r>
    </w:p>
    <w:p w14:paraId="3C4112A9" w14:textId="66E4574C" w:rsidR="00316B3D" w:rsidRPr="00A77AF6" w:rsidRDefault="00985F6E" w:rsidP="0074630C">
      <w:pPr>
        <w:spacing w:line="360" w:lineRule="auto"/>
        <w:rPr>
          <w:rFonts w:cstheme="minorHAnsi"/>
        </w:rPr>
      </w:pPr>
      <w:r w:rsidRPr="00A77AF6">
        <w:rPr>
          <w:rFonts w:cstheme="minorHAnsi"/>
        </w:rPr>
        <w:t>T</w:t>
      </w:r>
      <w:r w:rsidR="00316B3D" w:rsidRPr="00A77AF6">
        <w:rPr>
          <w:rFonts w:cstheme="minorHAnsi"/>
        </w:rPr>
        <w:t>he wallpaper group</w:t>
      </w:r>
      <w:r w:rsidR="00571C5F" w:rsidRPr="00A77AF6">
        <w:rPr>
          <w:rFonts w:cstheme="minorHAnsi"/>
        </w:rPr>
        <w:t xml:space="preserve"> Coloroll</w:t>
      </w:r>
      <w:r w:rsidR="00316B3D" w:rsidRPr="00A77AF6">
        <w:rPr>
          <w:rFonts w:cstheme="minorHAnsi"/>
        </w:rPr>
        <w:t xml:space="preserve"> went into receivership</w:t>
      </w:r>
      <w:r w:rsidRPr="00A77AF6">
        <w:rPr>
          <w:rFonts w:cstheme="minorHAnsi"/>
        </w:rPr>
        <w:t xml:space="preserve"> in 1990, owing </w:t>
      </w:r>
      <w:r w:rsidR="00316B3D" w:rsidRPr="00A77AF6">
        <w:rPr>
          <w:rFonts w:cstheme="minorHAnsi"/>
        </w:rPr>
        <w:t>£200 million to the banks</w:t>
      </w:r>
      <w:r w:rsidR="00571C5F" w:rsidRPr="00A77AF6">
        <w:rPr>
          <w:rFonts w:cstheme="minorHAnsi"/>
        </w:rPr>
        <w:t xml:space="preserve">, of which only half was recovered, </w:t>
      </w:r>
      <w:r w:rsidR="00316B3D" w:rsidRPr="00A77AF6">
        <w:rPr>
          <w:rFonts w:cstheme="minorHAnsi"/>
        </w:rPr>
        <w:t xml:space="preserve">and </w:t>
      </w:r>
      <w:r w:rsidRPr="00A77AF6">
        <w:rPr>
          <w:rFonts w:cstheme="minorHAnsi"/>
        </w:rPr>
        <w:t xml:space="preserve">as a result </w:t>
      </w:r>
      <w:r w:rsidR="00316B3D" w:rsidRPr="00A77AF6">
        <w:rPr>
          <w:rFonts w:cstheme="minorHAnsi"/>
        </w:rPr>
        <w:t xml:space="preserve">1,500 people lost their jobs. Six months earlier, the Chairman, John Ashcroft, stated in the annual report that the company had </w:t>
      </w:r>
      <w:r w:rsidR="00571C5F" w:rsidRPr="00A77AF6">
        <w:rPr>
          <w:rFonts w:cstheme="minorHAnsi"/>
        </w:rPr>
        <w:t>experienced another record year,</w:t>
      </w:r>
      <w:r w:rsidR="00316B3D" w:rsidRPr="00A77AF6">
        <w:rPr>
          <w:rFonts w:cstheme="minorHAnsi"/>
        </w:rPr>
        <w:t xml:space="preserve"> that sales and profits had increased by over 100% </w:t>
      </w:r>
      <w:sdt>
        <w:sdtPr>
          <w:rPr>
            <w:rFonts w:cstheme="minorHAnsi"/>
          </w:rPr>
          <w:id w:val="1499228873"/>
          <w:citation/>
        </w:sdtPr>
        <w:sdtEndPr/>
        <w:sdtContent>
          <w:r w:rsidR="00701ACE" w:rsidRPr="00A77AF6">
            <w:rPr>
              <w:rFonts w:cstheme="minorHAnsi"/>
            </w:rPr>
            <w:fldChar w:fldCharType="begin"/>
          </w:r>
          <w:r w:rsidR="003E5115" w:rsidRPr="00A77AF6">
            <w:rPr>
              <w:rFonts w:cstheme="minorHAnsi"/>
            </w:rPr>
            <w:instrText xml:space="preserve">CITATION The93 \l 2057 </w:instrText>
          </w:r>
          <w:r w:rsidR="00701ACE" w:rsidRPr="00A77AF6">
            <w:rPr>
              <w:rFonts w:cstheme="minorHAnsi"/>
            </w:rPr>
            <w:fldChar w:fldCharType="separate"/>
          </w:r>
          <w:r w:rsidR="003E5115" w:rsidRPr="00A77AF6">
            <w:rPr>
              <w:rFonts w:cstheme="minorHAnsi"/>
            </w:rPr>
            <w:t>(The Independent, 1993)</w:t>
          </w:r>
          <w:r w:rsidR="00701ACE" w:rsidRPr="00A77AF6">
            <w:rPr>
              <w:rFonts w:cstheme="minorHAnsi"/>
            </w:rPr>
            <w:fldChar w:fldCharType="end"/>
          </w:r>
        </w:sdtContent>
      </w:sdt>
    </w:p>
    <w:p w14:paraId="66276209" w14:textId="2E6B1231" w:rsidR="00571C5F" w:rsidRPr="00A77AF6" w:rsidRDefault="00B05D6F" w:rsidP="0074630C">
      <w:pPr>
        <w:spacing w:line="360" w:lineRule="auto"/>
        <w:rPr>
          <w:rFonts w:cstheme="minorHAnsi"/>
        </w:rPr>
      </w:pPr>
      <w:r w:rsidRPr="00A77AF6">
        <w:rPr>
          <w:rFonts w:cstheme="minorHAnsi"/>
        </w:rPr>
        <w:t>Polly Peck a clothing group owned by Adil Nadir</w:t>
      </w:r>
      <w:r w:rsidR="00630893" w:rsidRPr="00A77AF6">
        <w:rPr>
          <w:rFonts w:cstheme="minorHAnsi"/>
        </w:rPr>
        <w:t xml:space="preserve"> also collapsed in 1990. </w:t>
      </w:r>
      <w:r w:rsidRPr="00A77AF6">
        <w:rPr>
          <w:rFonts w:cstheme="minorHAnsi"/>
        </w:rPr>
        <w:t xml:space="preserve">It owed £550 million whilst being owed £439 million by a Northern Cypriot subsidiary.  Nadir was alleged to have stolen Polly Peck’s funds.  The company </w:t>
      </w:r>
      <w:r w:rsidR="00630893" w:rsidRPr="00A77AF6">
        <w:rPr>
          <w:rFonts w:cstheme="minorHAnsi"/>
        </w:rPr>
        <w:t>b</w:t>
      </w:r>
      <w:r w:rsidRPr="00A77AF6">
        <w:rPr>
          <w:rFonts w:cstheme="minorHAnsi"/>
        </w:rPr>
        <w:t xml:space="preserve">oard asked Nadir about money transfers to his private businesses </w:t>
      </w:r>
      <w:r w:rsidR="00630893" w:rsidRPr="00A77AF6">
        <w:rPr>
          <w:rFonts w:cstheme="minorHAnsi"/>
        </w:rPr>
        <w:t>which bought</w:t>
      </w:r>
      <w:r w:rsidRPr="00A77AF6">
        <w:rPr>
          <w:rFonts w:cstheme="minorHAnsi"/>
        </w:rPr>
        <w:t xml:space="preserve"> shares in Polly Peck, increasing his share in the business above the disclosed 25%, but he allegedly refused to share this information </w:t>
      </w:r>
      <w:sdt>
        <w:sdtPr>
          <w:rPr>
            <w:rFonts w:cstheme="minorHAnsi"/>
          </w:rPr>
          <w:id w:val="2086791380"/>
          <w:citation/>
        </w:sdtPr>
        <w:sdtEndPr/>
        <w:sdtContent>
          <w:r w:rsidR="00701ACE" w:rsidRPr="00A77AF6">
            <w:rPr>
              <w:rFonts w:cstheme="minorHAnsi"/>
            </w:rPr>
            <w:fldChar w:fldCharType="begin"/>
          </w:r>
          <w:r w:rsidR="00701ACE" w:rsidRPr="00A77AF6">
            <w:rPr>
              <w:rFonts w:cstheme="minorHAnsi"/>
            </w:rPr>
            <w:instrText xml:space="preserve"> CITATION The12 \l 2057 </w:instrText>
          </w:r>
          <w:r w:rsidR="00701ACE" w:rsidRPr="00A77AF6">
            <w:rPr>
              <w:rFonts w:cstheme="minorHAnsi"/>
            </w:rPr>
            <w:fldChar w:fldCharType="separate"/>
          </w:r>
          <w:r w:rsidR="008E653F" w:rsidRPr="00A77AF6">
            <w:rPr>
              <w:rFonts w:cstheme="minorHAnsi"/>
            </w:rPr>
            <w:t>(The Guardian, 2012)</w:t>
          </w:r>
          <w:r w:rsidR="00701ACE" w:rsidRPr="00A77AF6">
            <w:rPr>
              <w:rFonts w:cstheme="minorHAnsi"/>
            </w:rPr>
            <w:fldChar w:fldCharType="end"/>
          </w:r>
        </w:sdtContent>
      </w:sdt>
    </w:p>
    <w:p w14:paraId="7CA54E2D" w14:textId="429BFEE1" w:rsidR="00D86FB4" w:rsidRPr="00A77AF6" w:rsidRDefault="00AC1D30" w:rsidP="00630893">
      <w:pPr>
        <w:spacing w:after="0" w:line="360" w:lineRule="auto"/>
        <w:rPr>
          <w:rFonts w:cstheme="minorHAnsi"/>
        </w:rPr>
      </w:pPr>
      <w:r w:rsidRPr="00A77AF6">
        <w:rPr>
          <w:rFonts w:cstheme="minorHAnsi"/>
        </w:rPr>
        <w:t>The</w:t>
      </w:r>
      <w:r w:rsidR="00D86FB4" w:rsidRPr="00A77AF6">
        <w:rPr>
          <w:rFonts w:cstheme="minorHAnsi"/>
        </w:rPr>
        <w:t>se</w:t>
      </w:r>
      <w:r w:rsidRPr="00A77AF6">
        <w:rPr>
          <w:rFonts w:cstheme="minorHAnsi"/>
        </w:rPr>
        <w:t xml:space="preserve"> collapse</w:t>
      </w:r>
      <w:r w:rsidR="00D86FB4" w:rsidRPr="00A77AF6">
        <w:rPr>
          <w:rFonts w:cstheme="minorHAnsi"/>
        </w:rPr>
        <w:t>s</w:t>
      </w:r>
      <w:r w:rsidRPr="00A77AF6">
        <w:rPr>
          <w:rFonts w:cstheme="minorHAnsi"/>
        </w:rPr>
        <w:t xml:space="preserve"> </w:t>
      </w:r>
      <w:r w:rsidR="0074630C" w:rsidRPr="00A77AF6">
        <w:rPr>
          <w:rFonts w:cstheme="minorHAnsi"/>
        </w:rPr>
        <w:t xml:space="preserve">were </w:t>
      </w:r>
      <w:r w:rsidRPr="00A77AF6">
        <w:rPr>
          <w:rFonts w:cstheme="minorHAnsi"/>
        </w:rPr>
        <w:t xml:space="preserve">not anticipated. </w:t>
      </w:r>
    </w:p>
    <w:p w14:paraId="33FFB4A7" w14:textId="074DE1B5" w:rsidR="00316B3D" w:rsidRPr="00A77AF6" w:rsidRDefault="00316B3D" w:rsidP="009B25B2">
      <w:pPr>
        <w:spacing w:after="240" w:line="240" w:lineRule="auto"/>
        <w:ind w:left="720"/>
        <w:rPr>
          <w:rFonts w:cstheme="minorHAnsi"/>
        </w:rPr>
      </w:pPr>
      <w:r w:rsidRPr="00A77AF6">
        <w:rPr>
          <w:rFonts w:cstheme="minorHAnsi"/>
          <w:i/>
        </w:rPr>
        <w:t>“neither of these sudden failures was at all foreshadowed in their apparently healthy published accounts.”</w:t>
      </w:r>
      <w:r w:rsidRPr="00A77AF6">
        <w:rPr>
          <w:rFonts w:cstheme="minorHAnsi"/>
        </w:rPr>
        <w:t xml:space="preserve"> </w:t>
      </w:r>
      <w:sdt>
        <w:sdtPr>
          <w:rPr>
            <w:rFonts w:cstheme="minorHAnsi"/>
          </w:rPr>
          <w:id w:val="332499427"/>
          <w:citation/>
        </w:sdtPr>
        <w:sdtEndPr/>
        <w:sdtContent>
          <w:r w:rsidRPr="00A77AF6">
            <w:rPr>
              <w:rFonts w:cstheme="minorHAnsi"/>
            </w:rPr>
            <w:fldChar w:fldCharType="begin"/>
          </w:r>
          <w:r w:rsidR="00701ACE" w:rsidRPr="00A77AF6">
            <w:rPr>
              <w:rFonts w:cstheme="minorHAnsi"/>
            </w:rPr>
            <w:instrText xml:space="preserve">CITATION Uni14 \l 2057 </w:instrText>
          </w:r>
          <w:r w:rsidRPr="00A77AF6">
            <w:rPr>
              <w:rFonts w:cstheme="minorHAnsi"/>
            </w:rPr>
            <w:fldChar w:fldCharType="separate"/>
          </w:r>
          <w:r w:rsidR="008E653F" w:rsidRPr="00A77AF6">
            <w:rPr>
              <w:rFonts w:cstheme="minorHAnsi"/>
            </w:rPr>
            <w:t>(Judge Business School, 2014)</w:t>
          </w:r>
          <w:r w:rsidRPr="00A77AF6">
            <w:rPr>
              <w:rFonts w:cstheme="minorHAnsi"/>
            </w:rPr>
            <w:fldChar w:fldCharType="end"/>
          </w:r>
        </w:sdtContent>
      </w:sdt>
      <w:r w:rsidRPr="00A77AF6">
        <w:rPr>
          <w:rFonts w:cstheme="minorHAnsi"/>
        </w:rPr>
        <w:t xml:space="preserve"> </w:t>
      </w:r>
    </w:p>
    <w:p w14:paraId="4FE78D0F" w14:textId="60D60527" w:rsidR="00701ACE" w:rsidRPr="00A77AF6" w:rsidRDefault="00701ACE" w:rsidP="0074630C">
      <w:pPr>
        <w:spacing w:line="360" w:lineRule="auto"/>
        <w:rPr>
          <w:rFonts w:cstheme="minorHAnsi"/>
        </w:rPr>
      </w:pPr>
      <w:r w:rsidRPr="00A77AF6">
        <w:rPr>
          <w:rFonts w:cstheme="minorHAnsi"/>
        </w:rPr>
        <w:t>In 1995 Baring</w:t>
      </w:r>
      <w:r w:rsidR="00F24D98" w:rsidRPr="00A77AF6">
        <w:rPr>
          <w:rFonts w:cstheme="minorHAnsi"/>
        </w:rPr>
        <w:t>s</w:t>
      </w:r>
      <w:r w:rsidRPr="00A77AF6">
        <w:rPr>
          <w:rFonts w:cstheme="minorHAnsi"/>
        </w:rPr>
        <w:t xml:space="preserve"> Bank, one of the oldest merchant banks in the world collapsed with losses of £827 million. It was brought down by one trader, Nick Leeson, who </w:t>
      </w:r>
      <w:r w:rsidR="00E31CFE" w:rsidRPr="00A77AF6">
        <w:rPr>
          <w:rFonts w:cstheme="minorHAnsi"/>
        </w:rPr>
        <w:t>was</w:t>
      </w:r>
      <w:r w:rsidR="0074630C" w:rsidRPr="00A77AF6">
        <w:rPr>
          <w:rFonts w:cstheme="minorHAnsi"/>
        </w:rPr>
        <w:t xml:space="preserve"> jailed for fraud</w:t>
      </w:r>
      <w:r w:rsidR="00E31CFE" w:rsidRPr="00A77AF6">
        <w:rPr>
          <w:rFonts w:cstheme="minorHAnsi"/>
        </w:rPr>
        <w:t xml:space="preserve">.  </w:t>
      </w:r>
      <w:r w:rsidR="00630893" w:rsidRPr="00A77AF6">
        <w:rPr>
          <w:rFonts w:cstheme="minorHAnsi"/>
        </w:rPr>
        <w:t xml:space="preserve">The UK government was concerned enough to order </w:t>
      </w:r>
      <w:r w:rsidR="00E31CFE" w:rsidRPr="00A77AF6">
        <w:rPr>
          <w:rFonts w:cstheme="minorHAnsi"/>
        </w:rPr>
        <w:t xml:space="preserve">a review of the banking system.  The Bank of </w:t>
      </w:r>
      <w:r w:rsidR="00E31CFE" w:rsidRPr="00A77AF6">
        <w:rPr>
          <w:rFonts w:cstheme="minorHAnsi"/>
        </w:rPr>
        <w:lastRenderedPageBreak/>
        <w:t xml:space="preserve">England report that followed noted that Baring’s fall </w:t>
      </w:r>
      <w:r w:rsidR="00B70DFA" w:rsidRPr="00A77AF6">
        <w:rPr>
          <w:rFonts w:cstheme="minorHAnsi"/>
        </w:rPr>
        <w:t xml:space="preserve">happened because of </w:t>
      </w:r>
      <w:r w:rsidR="00E31CFE" w:rsidRPr="00A77AF6">
        <w:rPr>
          <w:rFonts w:cstheme="minorHAnsi"/>
        </w:rPr>
        <w:t xml:space="preserve">unauthorised and </w:t>
      </w:r>
      <w:r w:rsidR="00B70DFA" w:rsidRPr="00A77AF6">
        <w:rPr>
          <w:rFonts w:cstheme="minorHAnsi"/>
        </w:rPr>
        <w:t xml:space="preserve">deliberately concealed </w:t>
      </w:r>
      <w:r w:rsidR="00E31CFE" w:rsidRPr="00A77AF6">
        <w:rPr>
          <w:rFonts w:cstheme="minorHAnsi"/>
        </w:rPr>
        <w:t>trading positions, which were un</w:t>
      </w:r>
      <w:r w:rsidR="00B70DFA" w:rsidRPr="00A77AF6">
        <w:rPr>
          <w:rFonts w:cstheme="minorHAnsi"/>
        </w:rPr>
        <w:t>noticed</w:t>
      </w:r>
      <w:r w:rsidR="00E31CFE" w:rsidRPr="00A77AF6">
        <w:rPr>
          <w:rFonts w:cstheme="minorHAnsi"/>
        </w:rPr>
        <w:t xml:space="preserve"> because of </w:t>
      </w:r>
      <w:r w:rsidR="0074630C" w:rsidRPr="00A77AF6">
        <w:rPr>
          <w:rFonts w:cstheme="minorHAnsi"/>
        </w:rPr>
        <w:t>management failings and lack of effective controls with</w:t>
      </w:r>
      <w:r w:rsidR="00D1166F">
        <w:rPr>
          <w:rFonts w:cstheme="minorHAnsi"/>
        </w:rPr>
        <w:t>in</w:t>
      </w:r>
      <w:r w:rsidR="0074630C" w:rsidRPr="00A77AF6">
        <w:rPr>
          <w:rFonts w:cstheme="minorHAnsi"/>
        </w:rPr>
        <w:t xml:space="preserve"> Barings</w:t>
      </w:r>
      <w:r w:rsidR="00B70DFA" w:rsidRPr="00A77AF6">
        <w:rPr>
          <w:rFonts w:cstheme="minorHAnsi"/>
        </w:rPr>
        <w:t xml:space="preserve"> </w:t>
      </w:r>
      <w:sdt>
        <w:sdtPr>
          <w:rPr>
            <w:rFonts w:cstheme="minorHAnsi"/>
          </w:rPr>
          <w:id w:val="682639819"/>
          <w:citation/>
        </w:sdtPr>
        <w:sdtEndPr/>
        <w:sdtContent>
          <w:r w:rsidR="00B70DFA" w:rsidRPr="00A77AF6">
            <w:rPr>
              <w:rFonts w:cstheme="minorHAnsi"/>
            </w:rPr>
            <w:fldChar w:fldCharType="begin"/>
          </w:r>
          <w:r w:rsidR="00B70DFA" w:rsidRPr="00A77AF6">
            <w:rPr>
              <w:rFonts w:cstheme="minorHAnsi"/>
            </w:rPr>
            <w:instrText xml:space="preserve"> CITATION The15 \l 2057 </w:instrText>
          </w:r>
          <w:r w:rsidR="00B70DFA" w:rsidRPr="00A77AF6">
            <w:rPr>
              <w:rFonts w:cstheme="minorHAnsi"/>
            </w:rPr>
            <w:fldChar w:fldCharType="separate"/>
          </w:r>
          <w:r w:rsidR="008E653F" w:rsidRPr="00A77AF6">
            <w:rPr>
              <w:rFonts w:cstheme="minorHAnsi"/>
            </w:rPr>
            <w:t>(The Guardian, 2015)</w:t>
          </w:r>
          <w:r w:rsidR="00B70DFA" w:rsidRPr="00A77AF6">
            <w:rPr>
              <w:rFonts w:cstheme="minorHAnsi"/>
            </w:rPr>
            <w:fldChar w:fldCharType="end"/>
          </w:r>
        </w:sdtContent>
      </w:sdt>
      <w:r w:rsidR="00630893" w:rsidRPr="00A77AF6">
        <w:rPr>
          <w:rFonts w:cstheme="minorHAnsi"/>
        </w:rPr>
        <w:t xml:space="preserve">. </w:t>
      </w:r>
    </w:p>
    <w:p w14:paraId="0C8EE08B" w14:textId="4CBF972F" w:rsidR="005A5DC4" w:rsidRPr="00A77AF6" w:rsidRDefault="005A5DC4" w:rsidP="0074630C">
      <w:pPr>
        <w:spacing w:line="360" w:lineRule="auto"/>
        <w:rPr>
          <w:rFonts w:cstheme="minorHAnsi"/>
        </w:rPr>
      </w:pPr>
      <w:r w:rsidRPr="00A77AF6">
        <w:rPr>
          <w:rFonts w:cstheme="minorHAnsi"/>
        </w:rPr>
        <w:t>The Enron scandal led to the bankruptcy in 2001 of th</w:t>
      </w:r>
      <w:r w:rsidR="0096067B" w:rsidRPr="00A77AF6">
        <w:rPr>
          <w:rFonts w:cstheme="minorHAnsi"/>
        </w:rPr>
        <w:t>e</w:t>
      </w:r>
      <w:r w:rsidRPr="00A77AF6">
        <w:rPr>
          <w:rFonts w:cstheme="minorHAnsi"/>
        </w:rPr>
        <w:t xml:space="preserve"> Enron Corporation and </w:t>
      </w:r>
      <w:r w:rsidR="0096067B" w:rsidRPr="00A77AF6">
        <w:rPr>
          <w:rFonts w:cstheme="minorHAnsi"/>
        </w:rPr>
        <w:t>the effective dissolution of the one of the world’s largest accountancy firms, Arthur Andersen</w:t>
      </w:r>
      <w:r w:rsidRPr="00A77AF6">
        <w:rPr>
          <w:rFonts w:cstheme="minorHAnsi"/>
        </w:rPr>
        <w:t xml:space="preserve">.  </w:t>
      </w:r>
      <w:r w:rsidR="0096067B" w:rsidRPr="00A77AF6">
        <w:rPr>
          <w:rFonts w:cstheme="minorHAnsi"/>
        </w:rPr>
        <w:t>This was the largest bankruptcy in the history of the USA</w:t>
      </w:r>
      <w:r w:rsidR="002051D9" w:rsidRPr="00A77AF6">
        <w:rPr>
          <w:rFonts w:cstheme="minorHAnsi"/>
        </w:rPr>
        <w:t xml:space="preserve"> at that time</w:t>
      </w:r>
      <w:r w:rsidR="0096067B" w:rsidRPr="00A77AF6">
        <w:rPr>
          <w:rFonts w:cstheme="minorHAnsi"/>
        </w:rPr>
        <w:t>.  E</w:t>
      </w:r>
      <w:r w:rsidRPr="00A77AF6">
        <w:rPr>
          <w:rFonts w:cstheme="minorHAnsi"/>
        </w:rPr>
        <w:t xml:space="preserve">vidence emerged of </w:t>
      </w:r>
      <w:r w:rsidR="0096067B" w:rsidRPr="00A77AF6">
        <w:rPr>
          <w:rFonts w:cstheme="minorHAnsi"/>
        </w:rPr>
        <w:t xml:space="preserve">Enron’s </w:t>
      </w:r>
      <w:r w:rsidRPr="00A77AF6">
        <w:rPr>
          <w:rFonts w:cstheme="minorHAnsi"/>
        </w:rPr>
        <w:t xml:space="preserve">financial problems, fraud, lack of transparency and insider trading </w:t>
      </w:r>
      <w:sdt>
        <w:sdtPr>
          <w:rPr>
            <w:rFonts w:cstheme="minorHAnsi"/>
          </w:rPr>
          <w:id w:val="1280149524"/>
          <w:citation/>
        </w:sdtPr>
        <w:sdtEndPr/>
        <w:sdtContent>
          <w:r w:rsidRPr="00A77AF6">
            <w:rPr>
              <w:rFonts w:cstheme="minorHAnsi"/>
            </w:rPr>
            <w:fldChar w:fldCharType="begin"/>
          </w:r>
          <w:r w:rsidR="003E5115" w:rsidRPr="00A77AF6">
            <w:rPr>
              <w:rFonts w:cstheme="minorHAnsi"/>
            </w:rPr>
            <w:instrText xml:space="preserve">CITATION Sol07 \l 2057 </w:instrText>
          </w:r>
          <w:r w:rsidRPr="00A77AF6">
            <w:rPr>
              <w:rFonts w:cstheme="minorHAnsi"/>
            </w:rPr>
            <w:fldChar w:fldCharType="separate"/>
          </w:r>
          <w:r w:rsidR="003E5115" w:rsidRPr="00A77AF6">
            <w:rPr>
              <w:rFonts w:cstheme="minorHAnsi"/>
            </w:rPr>
            <w:t>(Solomon, 2007)</w:t>
          </w:r>
          <w:r w:rsidRPr="00A77AF6">
            <w:rPr>
              <w:rFonts w:cstheme="minorHAnsi"/>
            </w:rPr>
            <w:fldChar w:fldCharType="end"/>
          </w:r>
        </w:sdtContent>
      </w:sdt>
      <w:r w:rsidRPr="00A77AF6">
        <w:rPr>
          <w:rFonts w:cstheme="minorHAnsi"/>
        </w:rPr>
        <w:t xml:space="preserve">.  Arthur Anderson </w:t>
      </w:r>
      <w:r w:rsidR="0096067B" w:rsidRPr="00A77AF6">
        <w:rPr>
          <w:rFonts w:cstheme="minorHAnsi"/>
        </w:rPr>
        <w:t xml:space="preserve">was found guilty of obstructing justice when employees illegally destroyed documents relevant to the official investigation.  It is estimated that Enron </w:t>
      </w:r>
      <w:r w:rsidR="007B32A7" w:rsidRPr="00A77AF6">
        <w:rPr>
          <w:rFonts w:cstheme="minorHAnsi"/>
        </w:rPr>
        <w:t>lost</w:t>
      </w:r>
      <w:r w:rsidR="0096067B" w:rsidRPr="00A77AF6">
        <w:rPr>
          <w:rFonts w:cstheme="minorHAnsi"/>
        </w:rPr>
        <w:t xml:space="preserve"> $74 billion</w:t>
      </w:r>
      <w:r w:rsidR="002051D9" w:rsidRPr="00A77AF6">
        <w:rPr>
          <w:rFonts w:cstheme="minorHAnsi"/>
        </w:rPr>
        <w:t xml:space="preserve"> </w:t>
      </w:r>
      <w:sdt>
        <w:sdtPr>
          <w:rPr>
            <w:rFonts w:cstheme="minorHAnsi"/>
          </w:rPr>
          <w:id w:val="685636821"/>
          <w:citation/>
        </w:sdtPr>
        <w:sdtEndPr/>
        <w:sdtContent>
          <w:r w:rsidR="00301D84" w:rsidRPr="00A77AF6">
            <w:rPr>
              <w:rFonts w:cstheme="minorHAnsi"/>
            </w:rPr>
            <w:fldChar w:fldCharType="begin"/>
          </w:r>
          <w:r w:rsidR="00301D84" w:rsidRPr="00A77AF6">
            <w:rPr>
              <w:rFonts w:cstheme="minorHAnsi"/>
            </w:rPr>
            <w:instrText xml:space="preserve"> CITATION CNN18 \l 2057 </w:instrText>
          </w:r>
          <w:r w:rsidR="00301D84" w:rsidRPr="00A77AF6">
            <w:rPr>
              <w:rFonts w:cstheme="minorHAnsi"/>
            </w:rPr>
            <w:fldChar w:fldCharType="separate"/>
          </w:r>
          <w:r w:rsidR="008E653F" w:rsidRPr="00A77AF6">
            <w:rPr>
              <w:rFonts w:cstheme="minorHAnsi"/>
            </w:rPr>
            <w:t>(CNN, 2018)</w:t>
          </w:r>
          <w:r w:rsidR="00301D84" w:rsidRPr="00A77AF6">
            <w:rPr>
              <w:rFonts w:cstheme="minorHAnsi"/>
            </w:rPr>
            <w:fldChar w:fldCharType="end"/>
          </w:r>
        </w:sdtContent>
      </w:sdt>
    </w:p>
    <w:p w14:paraId="3074810C" w14:textId="4E6BB169" w:rsidR="00887572" w:rsidRPr="00A77AF6" w:rsidRDefault="00887572" w:rsidP="009D0F2A">
      <w:pPr>
        <w:spacing w:after="0" w:line="360" w:lineRule="auto"/>
        <w:rPr>
          <w:rFonts w:cstheme="minorHAnsi"/>
        </w:rPr>
      </w:pPr>
      <w:r w:rsidRPr="00A77AF6">
        <w:rPr>
          <w:rFonts w:cstheme="minorHAnsi"/>
        </w:rPr>
        <w:t>Barclays Bank, base</w:t>
      </w:r>
      <w:r w:rsidR="00AB603D" w:rsidRPr="00A77AF6">
        <w:rPr>
          <w:rFonts w:cstheme="minorHAnsi"/>
        </w:rPr>
        <w:t>d</w:t>
      </w:r>
      <w:r w:rsidRPr="00A77AF6">
        <w:rPr>
          <w:rFonts w:cstheme="minorHAnsi"/>
        </w:rPr>
        <w:t xml:space="preserve"> in the UK, was fined ‘£290 million by US and UK regulators for colluding with other banks to rig the interest rates set for loans between them’ </w:t>
      </w:r>
      <w:sdt>
        <w:sdtPr>
          <w:rPr>
            <w:rFonts w:cstheme="minorHAnsi"/>
          </w:rPr>
          <w:id w:val="1653564140"/>
          <w:citation/>
        </w:sdtPr>
        <w:sdtEndPr/>
        <w:sdtContent>
          <w:r w:rsidRPr="00A77AF6">
            <w:rPr>
              <w:rFonts w:cstheme="minorHAnsi"/>
            </w:rPr>
            <w:fldChar w:fldCharType="begin"/>
          </w:r>
          <w:r w:rsidRPr="00A77AF6">
            <w:rPr>
              <w:rFonts w:cstheme="minorHAnsi"/>
            </w:rPr>
            <w:instrText xml:space="preserve">CITATION Tic14 \p 55 \l 2057 </w:instrText>
          </w:r>
          <w:r w:rsidRPr="00A77AF6">
            <w:rPr>
              <w:rFonts w:cstheme="minorHAnsi"/>
            </w:rPr>
            <w:fldChar w:fldCharType="separate"/>
          </w:r>
          <w:r w:rsidR="008E653F" w:rsidRPr="00A77AF6">
            <w:rPr>
              <w:rFonts w:cstheme="minorHAnsi"/>
            </w:rPr>
            <w:t>(Tricker &amp; Tricker, 2014, p. 55)</w:t>
          </w:r>
          <w:r w:rsidRPr="00A77AF6">
            <w:rPr>
              <w:rFonts w:cstheme="minorHAnsi"/>
            </w:rPr>
            <w:fldChar w:fldCharType="end"/>
          </w:r>
        </w:sdtContent>
      </w:sdt>
      <w:r w:rsidRPr="00A77AF6">
        <w:rPr>
          <w:rFonts w:cstheme="minorHAnsi"/>
        </w:rPr>
        <w:t xml:space="preserve">. This action improved the financial standing of the bank and resulted in improved bonuses.  The UK regulator </w:t>
      </w:r>
      <w:r w:rsidR="009D0F2A" w:rsidRPr="00A77AF6">
        <w:rPr>
          <w:rFonts w:cstheme="minorHAnsi"/>
        </w:rPr>
        <w:t xml:space="preserve">noted that the wrongdoing was widespread, came from the top of the organisation and said that the chief executive was running a ‘casino bank.’ </w:t>
      </w:r>
      <w:r w:rsidR="0074630C" w:rsidRPr="00A77AF6">
        <w:rPr>
          <w:rFonts w:cstheme="minorHAnsi"/>
        </w:rPr>
        <w:t>T</w:t>
      </w:r>
      <w:r w:rsidRPr="00A77AF6">
        <w:rPr>
          <w:rFonts w:cstheme="minorHAnsi"/>
        </w:rPr>
        <w:t xml:space="preserve">he bank’s culture of greed, the rigging of the LIBOR rate used between banks to fix interest rates, and </w:t>
      </w:r>
      <w:r w:rsidR="009D0F2A" w:rsidRPr="00A77AF6">
        <w:rPr>
          <w:rFonts w:cstheme="minorHAnsi"/>
        </w:rPr>
        <w:t>the l</w:t>
      </w:r>
      <w:r w:rsidRPr="00A77AF6">
        <w:rPr>
          <w:rFonts w:cstheme="minorHAnsi"/>
        </w:rPr>
        <w:t>ack of candour</w:t>
      </w:r>
      <w:r w:rsidR="0074630C" w:rsidRPr="00A77AF6">
        <w:rPr>
          <w:rFonts w:cstheme="minorHAnsi"/>
        </w:rPr>
        <w:t xml:space="preserve"> were criticised</w:t>
      </w:r>
      <w:r w:rsidR="009D0F2A" w:rsidRPr="00A77AF6">
        <w:rPr>
          <w:rFonts w:cstheme="minorHAnsi"/>
        </w:rPr>
        <w:t xml:space="preserve">, the chief executive </w:t>
      </w:r>
      <w:r w:rsidR="003D0830" w:rsidRPr="00A77AF6">
        <w:rPr>
          <w:rFonts w:cstheme="minorHAnsi"/>
        </w:rPr>
        <w:t>resigned,</w:t>
      </w:r>
      <w:r w:rsidR="009D0F2A" w:rsidRPr="00A77AF6">
        <w:rPr>
          <w:rFonts w:cstheme="minorHAnsi"/>
        </w:rPr>
        <w:t xml:space="preserve"> and reform was </w:t>
      </w:r>
      <w:r w:rsidRPr="00A77AF6">
        <w:rPr>
          <w:rFonts w:cstheme="minorHAnsi"/>
        </w:rPr>
        <w:t>promised</w:t>
      </w:r>
      <w:r w:rsidR="009D0F2A" w:rsidRPr="00A77AF6">
        <w:rPr>
          <w:rFonts w:cstheme="minorHAnsi"/>
        </w:rPr>
        <w:t xml:space="preserve">. </w:t>
      </w:r>
      <w:r w:rsidRPr="00A77AF6">
        <w:rPr>
          <w:rFonts w:cstheme="minorHAnsi"/>
        </w:rPr>
        <w:t xml:space="preserve">  </w:t>
      </w:r>
    </w:p>
    <w:p w14:paraId="273DFCF0" w14:textId="13470CA0" w:rsidR="00C06AF1" w:rsidRPr="00A77AF6" w:rsidRDefault="00887572" w:rsidP="001B0403">
      <w:pPr>
        <w:spacing w:after="0" w:line="360" w:lineRule="auto"/>
        <w:rPr>
          <w:rFonts w:cstheme="minorHAnsi"/>
        </w:rPr>
      </w:pPr>
      <w:r w:rsidRPr="00A77AF6">
        <w:rPr>
          <w:rFonts w:cstheme="minorHAnsi"/>
        </w:rPr>
        <w:t xml:space="preserve">Corporate scandals which have exposed poor corporate behaviour and disregard for ethics have continued to come into the light (Larcker &amp; Tayan (2011, p. 1) noted that behaviours have </w:t>
      </w:r>
    </w:p>
    <w:p w14:paraId="2016C074" w14:textId="21E78D0B" w:rsidR="00C06AF1" w:rsidRPr="00A77AF6" w:rsidRDefault="00887572" w:rsidP="00C06AF1">
      <w:pPr>
        <w:spacing w:line="240" w:lineRule="auto"/>
        <w:ind w:left="720"/>
        <w:rPr>
          <w:rFonts w:cstheme="minorHAnsi"/>
        </w:rPr>
      </w:pPr>
      <w:r w:rsidRPr="00A77AF6">
        <w:rPr>
          <w:rFonts w:cstheme="minorHAnsi"/>
          <w:i/>
        </w:rPr>
        <w:t>‘run the gamut from the shocking and instructive (epitomized by Enron and the elaborate use of special purpose entities and aggressive accounting to distort its financial condition) to the shocking and outrageous (epitomized by Tyco partially funding a $2.1 million birthday party in 2002 for the wife of Chief Executive Office [CEO] Dennis Kozlowski that included a vodka-dispensing replica of the statue of David.’</w:t>
      </w:r>
      <w:r w:rsidR="00EE1E78" w:rsidRPr="00A77AF6">
        <w:rPr>
          <w:rFonts w:cstheme="minorHAnsi"/>
        </w:rPr>
        <w:t xml:space="preserve"> </w:t>
      </w:r>
    </w:p>
    <w:p w14:paraId="6B68D0B4" w14:textId="6C97B5BE" w:rsidR="001B0B8A" w:rsidRPr="00A77AF6" w:rsidRDefault="00EE1E78" w:rsidP="00545004">
      <w:pPr>
        <w:spacing w:line="360" w:lineRule="auto"/>
        <w:rPr>
          <w:rFonts w:cstheme="minorHAnsi"/>
        </w:rPr>
      </w:pPr>
      <w:r w:rsidRPr="00A77AF6">
        <w:rPr>
          <w:rFonts w:cstheme="minorHAnsi"/>
        </w:rPr>
        <w:t xml:space="preserve">These are a few </w:t>
      </w:r>
      <w:r w:rsidR="00BE30D0" w:rsidRPr="00A77AF6">
        <w:rPr>
          <w:rFonts w:cstheme="minorHAnsi"/>
        </w:rPr>
        <w:t>examples</w:t>
      </w:r>
      <w:r w:rsidR="00630893" w:rsidRPr="00A77AF6">
        <w:rPr>
          <w:rFonts w:cstheme="minorHAnsi"/>
        </w:rPr>
        <w:t xml:space="preserve"> of </w:t>
      </w:r>
      <w:r w:rsidRPr="00A77AF6">
        <w:rPr>
          <w:rFonts w:cstheme="minorHAnsi"/>
        </w:rPr>
        <w:t xml:space="preserve">corporate scandals </w:t>
      </w:r>
      <w:r w:rsidR="00630893" w:rsidRPr="00A77AF6">
        <w:rPr>
          <w:rFonts w:cstheme="minorHAnsi"/>
        </w:rPr>
        <w:t xml:space="preserve">that </w:t>
      </w:r>
      <w:r w:rsidRPr="00A77AF6">
        <w:rPr>
          <w:rFonts w:cstheme="minorHAnsi"/>
        </w:rPr>
        <w:t>have</w:t>
      </w:r>
      <w:r w:rsidR="00C06AF1" w:rsidRPr="00A77AF6">
        <w:rPr>
          <w:rFonts w:cstheme="minorHAnsi"/>
        </w:rPr>
        <w:t xml:space="preserve"> been headline</w:t>
      </w:r>
      <w:r w:rsidR="0090418A" w:rsidRPr="00A77AF6">
        <w:rPr>
          <w:rFonts w:cstheme="minorHAnsi"/>
        </w:rPr>
        <w:t xml:space="preserve"> </w:t>
      </w:r>
      <w:r w:rsidR="00C06AF1" w:rsidRPr="00A77AF6">
        <w:rPr>
          <w:rFonts w:cstheme="minorHAnsi"/>
        </w:rPr>
        <w:t xml:space="preserve">news and it is possible that there are </w:t>
      </w:r>
      <w:r w:rsidR="00630893" w:rsidRPr="00A77AF6">
        <w:rPr>
          <w:rFonts w:cstheme="minorHAnsi"/>
        </w:rPr>
        <w:t>others</w:t>
      </w:r>
      <w:r w:rsidR="00C06AF1" w:rsidRPr="00A77AF6">
        <w:rPr>
          <w:rFonts w:cstheme="minorHAnsi"/>
        </w:rPr>
        <w:t xml:space="preserve"> that have not</w:t>
      </w:r>
      <w:r w:rsidR="00630893" w:rsidRPr="00A77AF6">
        <w:rPr>
          <w:rFonts w:cstheme="minorHAnsi"/>
        </w:rPr>
        <w:t xml:space="preserve"> been so publicly exposed</w:t>
      </w:r>
      <w:r w:rsidR="00C06AF1" w:rsidRPr="00A77AF6">
        <w:rPr>
          <w:rFonts w:cstheme="minorHAnsi"/>
        </w:rPr>
        <w:t xml:space="preserve">. </w:t>
      </w:r>
      <w:r w:rsidR="00BF22B1" w:rsidRPr="00A77AF6">
        <w:rPr>
          <w:rFonts w:cstheme="minorHAnsi"/>
        </w:rPr>
        <w:t>T</w:t>
      </w:r>
      <w:r w:rsidRPr="00A77AF6">
        <w:rPr>
          <w:rFonts w:cstheme="minorHAnsi"/>
        </w:rPr>
        <w:t>he impact of these types of scandals are significant</w:t>
      </w:r>
      <w:r w:rsidR="00630893" w:rsidRPr="00A77AF6">
        <w:rPr>
          <w:rFonts w:cstheme="minorHAnsi"/>
        </w:rPr>
        <w:t>: e</w:t>
      </w:r>
      <w:r w:rsidRPr="00A77AF6">
        <w:rPr>
          <w:rFonts w:cstheme="minorHAnsi"/>
        </w:rPr>
        <w:t xml:space="preserve">mployees lose their livelihoods, creditors are unpaid, confidence in companies reduces and the willingness of lenders to take risks is reduced.  </w:t>
      </w:r>
      <w:r w:rsidR="0049526C" w:rsidRPr="00A77AF6">
        <w:rPr>
          <w:rFonts w:cstheme="minorHAnsi"/>
        </w:rPr>
        <w:t xml:space="preserve">Failures of governance also occur in the public sector.  The major difference is that public sector institutions do not </w:t>
      </w:r>
      <w:r w:rsidR="00A96638" w:rsidRPr="00A77AF6">
        <w:rPr>
          <w:rFonts w:cstheme="minorHAnsi"/>
        </w:rPr>
        <w:t xml:space="preserve">become bankrupt, but poor behaviour leads to </w:t>
      </w:r>
      <w:r w:rsidR="00545004" w:rsidRPr="00A77AF6">
        <w:rPr>
          <w:rFonts w:cstheme="minorHAnsi"/>
        </w:rPr>
        <w:t>other debilitating</w:t>
      </w:r>
      <w:r w:rsidR="00630893" w:rsidRPr="00A77AF6">
        <w:rPr>
          <w:rFonts w:cstheme="minorHAnsi"/>
        </w:rPr>
        <w:t xml:space="preserve"> outcomes </w:t>
      </w:r>
      <w:r w:rsidR="00545004" w:rsidRPr="00A77AF6">
        <w:rPr>
          <w:rFonts w:cstheme="minorHAnsi"/>
        </w:rPr>
        <w:t xml:space="preserve">such as the loss </w:t>
      </w:r>
      <w:r w:rsidR="00A96638" w:rsidRPr="00A77AF6">
        <w:rPr>
          <w:rFonts w:cstheme="minorHAnsi"/>
        </w:rPr>
        <w:t xml:space="preserve">of confidence in the democratic system.  </w:t>
      </w:r>
    </w:p>
    <w:p w14:paraId="2D2E678B" w14:textId="77777777" w:rsidR="00FE0BC0" w:rsidRPr="00A77AF6" w:rsidRDefault="00FE0BC0">
      <w:pPr>
        <w:rPr>
          <w:rFonts w:cstheme="minorHAnsi"/>
        </w:rPr>
      </w:pPr>
      <w:r w:rsidRPr="00A77AF6">
        <w:rPr>
          <w:rFonts w:cstheme="minorHAnsi"/>
        </w:rPr>
        <w:br w:type="page"/>
      </w:r>
    </w:p>
    <w:p w14:paraId="399381A4" w14:textId="6E5E8E85" w:rsidR="00DA4467" w:rsidRPr="00A77AF6" w:rsidRDefault="00DA4467" w:rsidP="00DA4467">
      <w:pPr>
        <w:spacing w:after="0" w:line="360" w:lineRule="auto"/>
        <w:rPr>
          <w:rFonts w:cstheme="minorHAnsi"/>
        </w:rPr>
      </w:pPr>
      <w:r w:rsidRPr="00A77AF6">
        <w:rPr>
          <w:rFonts w:cstheme="minorHAnsi"/>
        </w:rPr>
        <w:lastRenderedPageBreak/>
        <w:t xml:space="preserve">Attention will now be turned to the </w:t>
      </w:r>
      <w:r w:rsidR="008D20C7" w:rsidRPr="00A77AF6">
        <w:rPr>
          <w:rFonts w:cstheme="minorHAnsi"/>
        </w:rPr>
        <w:t xml:space="preserve">relationship between </w:t>
      </w:r>
      <w:r w:rsidRPr="00A77AF6">
        <w:rPr>
          <w:rFonts w:cstheme="minorHAnsi"/>
        </w:rPr>
        <w:t xml:space="preserve">good governance </w:t>
      </w:r>
      <w:r w:rsidR="008D20C7" w:rsidRPr="00A77AF6">
        <w:rPr>
          <w:rFonts w:cstheme="minorHAnsi"/>
        </w:rPr>
        <w:t xml:space="preserve">and success </w:t>
      </w:r>
      <w:r w:rsidRPr="00A77AF6">
        <w:rPr>
          <w:rFonts w:cstheme="minorHAnsi"/>
        </w:rPr>
        <w:t>in the  public sector. The public sector differs from the private sector because it is not-for-profit and is funded through taxation</w:t>
      </w:r>
      <w:r w:rsidR="008D20C7" w:rsidRPr="00A77AF6">
        <w:rPr>
          <w:rFonts w:cstheme="minorHAnsi"/>
        </w:rPr>
        <w:t>, so meas</w:t>
      </w:r>
      <w:r w:rsidR="00302620" w:rsidRPr="00A77AF6">
        <w:rPr>
          <w:rFonts w:cstheme="minorHAnsi"/>
        </w:rPr>
        <w:t>ures of success are different for the public sector than they are for the private sector</w:t>
      </w:r>
      <w:r w:rsidRPr="00A77AF6">
        <w:rPr>
          <w:rFonts w:cstheme="minorHAnsi"/>
        </w:rPr>
        <w:t>.  Public sector organisations are part of the parliamentary governance</w:t>
      </w:r>
      <w:r w:rsidRPr="00A77AF6">
        <w:rPr>
          <w:rFonts w:ascii="Times New Roman" w:hAnsi="Times New Roman" w:cs="Times New Roman"/>
          <w:sz w:val="24"/>
        </w:rPr>
        <w:t xml:space="preserve"> </w:t>
      </w:r>
      <w:sdt>
        <w:sdtPr>
          <w:rPr>
            <w:rFonts w:cstheme="minorHAnsi"/>
          </w:rPr>
          <w:id w:val="1721938240"/>
          <w:citation/>
        </w:sdtPr>
        <w:sdtEndPr/>
        <w:sdtContent>
          <w:r w:rsidRPr="00A77AF6">
            <w:rPr>
              <w:rFonts w:cstheme="minorHAnsi"/>
            </w:rPr>
            <w:fldChar w:fldCharType="begin"/>
          </w:r>
          <w:r w:rsidRPr="00A77AF6">
            <w:rPr>
              <w:rFonts w:cstheme="minorHAnsi"/>
            </w:rPr>
            <w:instrText xml:space="preserve">CITATION Chr07 \l 2057 </w:instrText>
          </w:r>
          <w:r w:rsidRPr="00A77AF6">
            <w:rPr>
              <w:rFonts w:cstheme="minorHAnsi"/>
            </w:rPr>
            <w:fldChar w:fldCharType="separate"/>
          </w:r>
          <w:r w:rsidRPr="00A77AF6">
            <w:rPr>
              <w:rFonts w:cstheme="minorHAnsi"/>
            </w:rPr>
            <w:t>(Christensen, et al., 2007)</w:t>
          </w:r>
          <w:r w:rsidRPr="00A77AF6">
            <w:rPr>
              <w:rFonts w:cstheme="minorHAnsi"/>
            </w:rPr>
            <w:fldChar w:fldCharType="end"/>
          </w:r>
        </w:sdtContent>
      </w:sdt>
      <w:r w:rsidRPr="00A77AF6">
        <w:rPr>
          <w:rFonts w:cstheme="minorHAnsi"/>
        </w:rPr>
        <w:t xml:space="preserve"> and in contrast to the private sector, </w:t>
      </w:r>
      <w:r w:rsidRPr="00A77AF6">
        <w:rPr>
          <w:rFonts w:cstheme="minorHAnsi"/>
          <w:szCs w:val="24"/>
        </w:rPr>
        <w:t>must mediate a wide range of potentially conflicting interests, provide value for money and competently organise the provision of public services.  Governance and success  in the public sector have been directly linked,</w:t>
      </w:r>
    </w:p>
    <w:p w14:paraId="6AE1391B" w14:textId="77777777" w:rsidR="00DA4467" w:rsidRPr="00A77AF6" w:rsidRDefault="00DA4467" w:rsidP="00DA4467">
      <w:pPr>
        <w:spacing w:after="120" w:line="240" w:lineRule="auto"/>
        <w:ind w:left="720"/>
        <w:rPr>
          <w:rFonts w:cstheme="minorHAnsi"/>
        </w:rPr>
      </w:pPr>
      <w:r w:rsidRPr="00A77AF6">
        <w:rPr>
          <w:rFonts w:cstheme="minorHAnsi"/>
          <w:i/>
        </w:rPr>
        <w:t>‘Good governance leads to good management, good performance, good stewardship of public money, good public engagement and, ultimately, good outcomes’</w:t>
      </w:r>
      <w:r w:rsidRPr="00A77AF6">
        <w:rPr>
          <w:rFonts w:cstheme="minorHAnsi"/>
        </w:rPr>
        <w:t xml:space="preserve"> </w:t>
      </w:r>
      <w:sdt>
        <w:sdtPr>
          <w:rPr>
            <w:rFonts w:cstheme="minorHAnsi"/>
          </w:rPr>
          <w:id w:val="1749841322"/>
          <w:citation/>
        </w:sdtPr>
        <w:sdtEndPr/>
        <w:sdtContent>
          <w:r w:rsidRPr="00A77AF6">
            <w:rPr>
              <w:rFonts w:cstheme="minorHAnsi"/>
            </w:rPr>
            <w:fldChar w:fldCharType="begin"/>
          </w:r>
          <w:r w:rsidRPr="00A77AF6">
            <w:rPr>
              <w:rFonts w:cstheme="minorHAnsi"/>
            </w:rPr>
            <w:instrText xml:space="preserve">CITATION The04 \l 2057 </w:instrText>
          </w:r>
          <w:r w:rsidRPr="00A77AF6">
            <w:rPr>
              <w:rFonts w:cstheme="minorHAnsi"/>
            </w:rPr>
            <w:fldChar w:fldCharType="separate"/>
          </w:r>
          <w:r w:rsidRPr="00A77AF6">
            <w:rPr>
              <w:rFonts w:cstheme="minorHAnsi"/>
            </w:rPr>
            <w:t>(OPM &amp; CIPFA, 2004)</w:t>
          </w:r>
          <w:r w:rsidRPr="00A77AF6">
            <w:rPr>
              <w:rFonts w:cstheme="minorHAnsi"/>
            </w:rPr>
            <w:fldChar w:fldCharType="end"/>
          </w:r>
        </w:sdtContent>
      </w:sdt>
      <w:r w:rsidRPr="00A77AF6">
        <w:rPr>
          <w:rFonts w:cstheme="minorHAnsi"/>
        </w:rPr>
        <w:t xml:space="preserve">. </w:t>
      </w:r>
    </w:p>
    <w:p w14:paraId="201037FB" w14:textId="3132FDA7" w:rsidR="00DA4467" w:rsidRPr="00A77AF6" w:rsidRDefault="00D06B06" w:rsidP="00EF661D">
      <w:pPr>
        <w:spacing w:after="240" w:line="360" w:lineRule="auto"/>
        <w:rPr>
          <w:rFonts w:cstheme="minorHAnsi"/>
        </w:rPr>
      </w:pPr>
      <w:r w:rsidRPr="00A77AF6">
        <w:rPr>
          <w:rFonts w:cstheme="minorHAnsi"/>
        </w:rPr>
        <w:t xml:space="preserve">The measures for public sector success are </w:t>
      </w:r>
      <w:r w:rsidR="00D924AC" w:rsidRPr="00A77AF6">
        <w:rPr>
          <w:rFonts w:cstheme="minorHAnsi"/>
        </w:rPr>
        <w:t xml:space="preserve">met by the </w:t>
      </w:r>
      <w:r w:rsidR="00DA4467" w:rsidRPr="00A77AF6">
        <w:rPr>
          <w:rFonts w:cstheme="minorHAnsi"/>
        </w:rPr>
        <w:t>public sector must show</w:t>
      </w:r>
      <w:r w:rsidR="00D924AC" w:rsidRPr="00A77AF6">
        <w:rPr>
          <w:rFonts w:cstheme="minorHAnsi"/>
        </w:rPr>
        <w:t xml:space="preserve">ing that </w:t>
      </w:r>
      <w:r w:rsidR="00DA4467" w:rsidRPr="00A77AF6">
        <w:rPr>
          <w:rFonts w:cstheme="minorHAnsi"/>
        </w:rPr>
        <w:t xml:space="preserve">it is being well-governed in the way that the Nolan Principles (1995) describe, with openness, fairness and integrity.    </w:t>
      </w:r>
    </w:p>
    <w:p w14:paraId="1E6811EB" w14:textId="2940618A" w:rsidR="001B0B8A" w:rsidRPr="00A77AF6" w:rsidRDefault="00BE383C" w:rsidP="00545004">
      <w:pPr>
        <w:spacing w:after="0" w:line="360" w:lineRule="auto"/>
        <w:rPr>
          <w:rFonts w:cstheme="minorHAnsi"/>
        </w:rPr>
      </w:pPr>
      <w:r w:rsidRPr="00A77AF6">
        <w:rPr>
          <w:rFonts w:cstheme="minorHAnsi"/>
        </w:rPr>
        <w:t xml:space="preserve">The ‘Cash for Questions’ scandal broke in </w:t>
      </w:r>
      <w:r w:rsidR="004B283B" w:rsidRPr="00A77AF6">
        <w:rPr>
          <w:rFonts w:cstheme="minorHAnsi"/>
        </w:rPr>
        <w:t>1994 when it was alleged that some MPs had been bribed to ask questions in the House of Commons by lobby groups acting for interested parties. Other inducements were also given such as a free holiday in the</w:t>
      </w:r>
      <w:r w:rsidR="00630893" w:rsidRPr="00A77AF6">
        <w:rPr>
          <w:rFonts w:cstheme="minorHAnsi"/>
        </w:rPr>
        <w:t xml:space="preserve"> Paris</w:t>
      </w:r>
      <w:r w:rsidR="004B283B" w:rsidRPr="00A77AF6">
        <w:rPr>
          <w:rFonts w:cstheme="minorHAnsi"/>
        </w:rPr>
        <w:t xml:space="preserve"> Ritz for one of the MPs and his wife </w:t>
      </w:r>
      <w:sdt>
        <w:sdtPr>
          <w:rPr>
            <w:rFonts w:cstheme="minorHAnsi"/>
          </w:rPr>
          <w:id w:val="-423721969"/>
          <w:citation/>
        </w:sdtPr>
        <w:sdtEndPr/>
        <w:sdtContent>
          <w:r w:rsidR="00520E03" w:rsidRPr="00A77AF6">
            <w:rPr>
              <w:rFonts w:cstheme="minorHAnsi"/>
            </w:rPr>
            <w:fldChar w:fldCharType="begin"/>
          </w:r>
          <w:r w:rsidR="00520E03" w:rsidRPr="00A77AF6">
            <w:rPr>
              <w:rFonts w:cstheme="minorHAnsi"/>
            </w:rPr>
            <w:instrText xml:space="preserve"> CITATION oryMPswerepaid \l 2057 </w:instrText>
          </w:r>
          <w:r w:rsidR="00520E03" w:rsidRPr="00A77AF6">
            <w:rPr>
              <w:rFonts w:cstheme="minorHAnsi"/>
            </w:rPr>
            <w:fldChar w:fldCharType="separate"/>
          </w:r>
          <w:r w:rsidR="008E653F" w:rsidRPr="00A77AF6">
            <w:rPr>
              <w:rFonts w:cstheme="minorHAnsi"/>
            </w:rPr>
            <w:t>(The Guardian, 1994)</w:t>
          </w:r>
          <w:r w:rsidR="00520E03" w:rsidRPr="00A77AF6">
            <w:rPr>
              <w:rFonts w:cstheme="minorHAnsi"/>
            </w:rPr>
            <w:fldChar w:fldCharType="end"/>
          </w:r>
        </w:sdtContent>
      </w:sdt>
      <w:r w:rsidR="00520E03" w:rsidRPr="00A77AF6">
        <w:rPr>
          <w:rFonts w:cstheme="minorHAnsi"/>
        </w:rPr>
        <w:t>.  Tony Benn MP understood this to be the precursor to an existential crisis for British democracy that he sate</w:t>
      </w:r>
      <w:r w:rsidR="001B0B8A" w:rsidRPr="00A77AF6">
        <w:rPr>
          <w:rFonts w:cstheme="minorHAnsi"/>
        </w:rPr>
        <w:t>d</w:t>
      </w:r>
    </w:p>
    <w:p w14:paraId="70577273" w14:textId="55901A6A" w:rsidR="00A96638" w:rsidRPr="00A77AF6" w:rsidRDefault="00520E03" w:rsidP="001B0B8A">
      <w:pPr>
        <w:spacing w:after="240" w:line="240" w:lineRule="auto"/>
        <w:ind w:left="720"/>
        <w:rPr>
          <w:rFonts w:cstheme="minorHAnsi"/>
        </w:rPr>
      </w:pPr>
      <w:r w:rsidRPr="00A77AF6">
        <w:rPr>
          <w:rFonts w:cstheme="minorHAnsi"/>
          <w:i/>
        </w:rPr>
        <w:t xml:space="preserve">‘Unless this is </w:t>
      </w:r>
      <w:r w:rsidR="00F46229" w:rsidRPr="00A77AF6">
        <w:rPr>
          <w:rFonts w:cstheme="minorHAnsi"/>
          <w:i/>
        </w:rPr>
        <w:t>stopped,</w:t>
      </w:r>
      <w:r w:rsidRPr="00A77AF6">
        <w:rPr>
          <w:rFonts w:cstheme="minorHAnsi"/>
          <w:i/>
        </w:rPr>
        <w:t xml:space="preserve"> we shall be moving towards the death of the democratic process’</w:t>
      </w:r>
      <w:r w:rsidRPr="00A77AF6">
        <w:rPr>
          <w:rFonts w:cstheme="minorHAnsi"/>
        </w:rPr>
        <w:t xml:space="preserve"> </w:t>
      </w:r>
      <w:sdt>
        <w:sdtPr>
          <w:rPr>
            <w:rFonts w:cstheme="minorHAnsi"/>
          </w:rPr>
          <w:id w:val="933103742"/>
          <w:citation/>
        </w:sdtPr>
        <w:sdtEndPr/>
        <w:sdtContent>
          <w:r w:rsidRPr="00A77AF6">
            <w:rPr>
              <w:rFonts w:cstheme="minorHAnsi"/>
            </w:rPr>
            <w:fldChar w:fldCharType="begin"/>
          </w:r>
          <w:r w:rsidRPr="00A77AF6">
            <w:rPr>
              <w:rFonts w:cstheme="minorHAnsi"/>
            </w:rPr>
            <w:instrText xml:space="preserve"> CITATION The94 \l 2057 </w:instrText>
          </w:r>
          <w:r w:rsidRPr="00A77AF6">
            <w:rPr>
              <w:rFonts w:cstheme="minorHAnsi"/>
            </w:rPr>
            <w:fldChar w:fldCharType="separate"/>
          </w:r>
          <w:r w:rsidR="008E653F" w:rsidRPr="00A77AF6">
            <w:rPr>
              <w:rFonts w:cstheme="minorHAnsi"/>
            </w:rPr>
            <w:t>(The Independent, 1994)</w:t>
          </w:r>
          <w:r w:rsidRPr="00A77AF6">
            <w:rPr>
              <w:rFonts w:cstheme="minorHAnsi"/>
            </w:rPr>
            <w:fldChar w:fldCharType="end"/>
          </w:r>
        </w:sdtContent>
      </w:sdt>
    </w:p>
    <w:p w14:paraId="20A4C224" w14:textId="09022566" w:rsidR="00BF22B1" w:rsidRPr="00A77AF6" w:rsidRDefault="00630893" w:rsidP="00545004">
      <w:pPr>
        <w:spacing w:line="360" w:lineRule="auto"/>
        <w:rPr>
          <w:rFonts w:cstheme="minorHAnsi"/>
        </w:rPr>
      </w:pPr>
      <w:r w:rsidRPr="00A77AF6">
        <w:rPr>
          <w:rFonts w:cstheme="minorHAnsi"/>
        </w:rPr>
        <w:t>I</w:t>
      </w:r>
      <w:r w:rsidR="00520E03" w:rsidRPr="00A77AF6">
        <w:rPr>
          <w:rFonts w:cstheme="minorHAnsi"/>
        </w:rPr>
        <w:t>n 2009</w:t>
      </w:r>
      <w:r w:rsidR="002C0C5E" w:rsidRPr="00A77AF6">
        <w:rPr>
          <w:rFonts w:cstheme="minorHAnsi"/>
        </w:rPr>
        <w:t xml:space="preserve"> </w:t>
      </w:r>
      <w:r w:rsidRPr="00A77AF6">
        <w:rPr>
          <w:rFonts w:cstheme="minorHAnsi"/>
        </w:rPr>
        <w:t>T</w:t>
      </w:r>
      <w:r w:rsidR="00520E03" w:rsidRPr="00A77AF6">
        <w:rPr>
          <w:rFonts w:cstheme="minorHAnsi"/>
        </w:rPr>
        <w:t>he Daily Telegraph published leaked</w:t>
      </w:r>
      <w:r w:rsidR="00545004" w:rsidRPr="00A77AF6">
        <w:rPr>
          <w:rFonts w:cstheme="minorHAnsi"/>
        </w:rPr>
        <w:t xml:space="preserve"> </w:t>
      </w:r>
      <w:r w:rsidR="00520E03" w:rsidRPr="00A77AF6">
        <w:rPr>
          <w:rFonts w:cstheme="minorHAnsi"/>
        </w:rPr>
        <w:t>expense claims of MPs</w:t>
      </w:r>
      <w:r w:rsidRPr="00A77AF6">
        <w:rPr>
          <w:rFonts w:cstheme="minorHAnsi"/>
        </w:rPr>
        <w:t xml:space="preserve"> which </w:t>
      </w:r>
      <w:r w:rsidR="00520E03" w:rsidRPr="00A77AF6">
        <w:rPr>
          <w:rFonts w:cstheme="minorHAnsi"/>
        </w:rPr>
        <w:t>show</w:t>
      </w:r>
      <w:r w:rsidR="00545004" w:rsidRPr="00A77AF6">
        <w:rPr>
          <w:rFonts w:cstheme="minorHAnsi"/>
        </w:rPr>
        <w:t>ed</w:t>
      </w:r>
      <w:r w:rsidR="00520E03" w:rsidRPr="00A77AF6">
        <w:rPr>
          <w:rFonts w:cstheme="minorHAnsi"/>
        </w:rPr>
        <w:t xml:space="preserve"> that </w:t>
      </w:r>
      <w:r w:rsidR="00545004" w:rsidRPr="00A77AF6">
        <w:rPr>
          <w:rFonts w:cstheme="minorHAnsi"/>
        </w:rPr>
        <w:t xml:space="preserve">some </w:t>
      </w:r>
      <w:r w:rsidR="00520E03" w:rsidRPr="00A77AF6">
        <w:rPr>
          <w:rFonts w:cstheme="minorHAnsi"/>
        </w:rPr>
        <w:t>MP</w:t>
      </w:r>
      <w:r w:rsidR="00545004" w:rsidRPr="00A77AF6">
        <w:rPr>
          <w:rFonts w:cstheme="minorHAnsi"/>
        </w:rPr>
        <w:t>s</w:t>
      </w:r>
      <w:r w:rsidR="00520E03" w:rsidRPr="00A77AF6">
        <w:rPr>
          <w:rFonts w:cstheme="minorHAnsi"/>
        </w:rPr>
        <w:t xml:space="preserve"> had </w:t>
      </w:r>
      <w:r w:rsidR="00545004" w:rsidRPr="00A77AF6">
        <w:rPr>
          <w:rFonts w:cstheme="minorHAnsi"/>
        </w:rPr>
        <w:t>c</w:t>
      </w:r>
      <w:r w:rsidR="00520E03" w:rsidRPr="00A77AF6">
        <w:rPr>
          <w:rFonts w:cstheme="minorHAnsi"/>
        </w:rPr>
        <w:t>laim</w:t>
      </w:r>
      <w:r w:rsidR="00545004" w:rsidRPr="00A77AF6">
        <w:rPr>
          <w:rFonts w:cstheme="minorHAnsi"/>
        </w:rPr>
        <w:t xml:space="preserve">ed made fraudulent </w:t>
      </w:r>
      <w:r w:rsidR="00AC1175" w:rsidRPr="00A77AF6">
        <w:rPr>
          <w:rFonts w:cstheme="minorHAnsi"/>
        </w:rPr>
        <w:t>expense</w:t>
      </w:r>
      <w:r w:rsidR="00545004" w:rsidRPr="00A77AF6">
        <w:rPr>
          <w:rFonts w:cstheme="minorHAnsi"/>
        </w:rPr>
        <w:t xml:space="preserve"> claims.</w:t>
      </w:r>
      <w:r w:rsidR="00273620" w:rsidRPr="00A77AF6">
        <w:rPr>
          <w:rFonts w:cstheme="minorHAnsi"/>
        </w:rPr>
        <w:t xml:space="preserve"> </w:t>
      </w:r>
      <w:r w:rsidR="00D56525" w:rsidRPr="00A77AF6">
        <w:rPr>
          <w:rFonts w:cstheme="minorHAnsi"/>
        </w:rPr>
        <w:t>Examples were</w:t>
      </w:r>
      <w:r w:rsidR="00AC1175" w:rsidRPr="00A77AF6">
        <w:rPr>
          <w:rFonts w:cstheme="minorHAnsi"/>
        </w:rPr>
        <w:t xml:space="preserve">, </w:t>
      </w:r>
      <w:r w:rsidR="00273620" w:rsidRPr="00A77AF6">
        <w:rPr>
          <w:rFonts w:cstheme="minorHAnsi"/>
        </w:rPr>
        <w:t>over claiming</w:t>
      </w:r>
      <w:r w:rsidR="00AC1175" w:rsidRPr="00A77AF6">
        <w:rPr>
          <w:rFonts w:cstheme="minorHAnsi"/>
        </w:rPr>
        <w:t xml:space="preserve"> on council tax for second homes; switching the designation of homes from primary to secondary residences to take advantage of subsidies</w:t>
      </w:r>
      <w:r w:rsidR="00545004" w:rsidRPr="00A77AF6">
        <w:rPr>
          <w:rFonts w:cstheme="minorHAnsi"/>
        </w:rPr>
        <w:t xml:space="preserve">, </w:t>
      </w:r>
      <w:r w:rsidR="00AC1175" w:rsidRPr="00A77AF6">
        <w:rPr>
          <w:rFonts w:cstheme="minorHAnsi"/>
        </w:rPr>
        <w:t xml:space="preserve">and the exploitation of the no-receipt rule whereby </w:t>
      </w:r>
      <w:r w:rsidRPr="00A77AF6">
        <w:rPr>
          <w:rFonts w:cstheme="minorHAnsi"/>
        </w:rPr>
        <w:t xml:space="preserve">several </w:t>
      </w:r>
      <w:r w:rsidR="00AC1175" w:rsidRPr="00A77AF6">
        <w:rPr>
          <w:rFonts w:cstheme="minorHAnsi"/>
        </w:rPr>
        <w:t xml:space="preserve">expenses </w:t>
      </w:r>
      <w:r w:rsidRPr="00A77AF6">
        <w:rPr>
          <w:rFonts w:cstheme="minorHAnsi"/>
        </w:rPr>
        <w:t xml:space="preserve">of </w:t>
      </w:r>
      <w:r w:rsidR="00AC1175" w:rsidRPr="00A77AF6">
        <w:rPr>
          <w:rFonts w:cstheme="minorHAnsi"/>
        </w:rPr>
        <w:t xml:space="preserve">up to £250 </w:t>
      </w:r>
      <w:r w:rsidRPr="00A77AF6">
        <w:rPr>
          <w:rFonts w:cstheme="minorHAnsi"/>
        </w:rPr>
        <w:t xml:space="preserve">that </w:t>
      </w:r>
      <w:r w:rsidR="00AC1175" w:rsidRPr="00A77AF6">
        <w:rPr>
          <w:rFonts w:cstheme="minorHAnsi"/>
        </w:rPr>
        <w:t xml:space="preserve">did not need </w:t>
      </w:r>
      <w:r w:rsidRPr="00A77AF6">
        <w:rPr>
          <w:rFonts w:cstheme="minorHAnsi"/>
        </w:rPr>
        <w:t>r</w:t>
      </w:r>
      <w:r w:rsidR="00AC1175" w:rsidRPr="00A77AF6">
        <w:rPr>
          <w:rFonts w:cstheme="minorHAnsi"/>
        </w:rPr>
        <w:t>eceipt</w:t>
      </w:r>
      <w:r w:rsidRPr="00A77AF6">
        <w:rPr>
          <w:rFonts w:cstheme="minorHAnsi"/>
        </w:rPr>
        <w:t xml:space="preserve">s were claimed </w:t>
      </w:r>
      <w:sdt>
        <w:sdtPr>
          <w:rPr>
            <w:rFonts w:cstheme="minorHAnsi"/>
          </w:rPr>
          <w:id w:val="2012023418"/>
          <w:citation/>
        </w:sdtPr>
        <w:sdtEndPr/>
        <w:sdtContent>
          <w:r w:rsidR="002C0C5E" w:rsidRPr="00A77AF6">
            <w:rPr>
              <w:rFonts w:cstheme="minorHAnsi"/>
            </w:rPr>
            <w:fldChar w:fldCharType="begin"/>
          </w:r>
          <w:r w:rsidR="002C0C5E" w:rsidRPr="00A77AF6">
            <w:rPr>
              <w:rFonts w:cstheme="minorHAnsi"/>
            </w:rPr>
            <w:instrText xml:space="preserve"> CITATION BBC09 \l 2057 </w:instrText>
          </w:r>
          <w:r w:rsidR="002C0C5E" w:rsidRPr="00A77AF6">
            <w:rPr>
              <w:rFonts w:cstheme="minorHAnsi"/>
            </w:rPr>
            <w:fldChar w:fldCharType="separate"/>
          </w:r>
          <w:r w:rsidR="008E653F" w:rsidRPr="00A77AF6">
            <w:rPr>
              <w:rFonts w:cstheme="minorHAnsi"/>
            </w:rPr>
            <w:t>(BBC, 2009)</w:t>
          </w:r>
          <w:r w:rsidR="002C0C5E" w:rsidRPr="00A77AF6">
            <w:rPr>
              <w:rFonts w:cstheme="minorHAnsi"/>
            </w:rPr>
            <w:fldChar w:fldCharType="end"/>
          </w:r>
        </w:sdtContent>
      </w:sdt>
      <w:r w:rsidR="00955379" w:rsidRPr="00A77AF6">
        <w:rPr>
          <w:rFonts w:cstheme="minorHAnsi"/>
        </w:rPr>
        <w:t>.</w:t>
      </w:r>
    </w:p>
    <w:p w14:paraId="05896C8A" w14:textId="0E8CD242" w:rsidR="00EE1E78" w:rsidRPr="00A77AF6" w:rsidRDefault="0056499C" w:rsidP="00545004">
      <w:pPr>
        <w:spacing w:line="360" w:lineRule="auto"/>
        <w:rPr>
          <w:rFonts w:cstheme="minorHAnsi"/>
        </w:rPr>
      </w:pPr>
      <w:r w:rsidRPr="00A77AF6">
        <w:rPr>
          <w:rFonts w:cstheme="minorHAnsi"/>
        </w:rPr>
        <w:t>The examples of poor practice</w:t>
      </w:r>
      <w:r w:rsidR="00CC6FE2" w:rsidRPr="00A77AF6">
        <w:rPr>
          <w:rFonts w:cstheme="minorHAnsi"/>
        </w:rPr>
        <w:t xml:space="preserve">: </w:t>
      </w:r>
      <w:r w:rsidRPr="00A77AF6">
        <w:rPr>
          <w:rFonts w:cstheme="minorHAnsi"/>
        </w:rPr>
        <w:t xml:space="preserve">insufficient oversight, </w:t>
      </w:r>
      <w:r w:rsidR="001B0B8A" w:rsidRPr="00A77AF6">
        <w:rPr>
          <w:rFonts w:cstheme="minorHAnsi"/>
        </w:rPr>
        <w:t>lack of transparency</w:t>
      </w:r>
      <w:r w:rsidR="00CC6FE2" w:rsidRPr="00A77AF6">
        <w:rPr>
          <w:rFonts w:cstheme="minorHAnsi"/>
        </w:rPr>
        <w:t xml:space="preserve"> </w:t>
      </w:r>
      <w:r w:rsidRPr="00A77AF6">
        <w:rPr>
          <w:rFonts w:cstheme="minorHAnsi"/>
        </w:rPr>
        <w:t xml:space="preserve">and lack of awareness about proper behaviour can have </w:t>
      </w:r>
      <w:r w:rsidR="00273620" w:rsidRPr="00A77AF6">
        <w:rPr>
          <w:rFonts w:cstheme="minorHAnsi"/>
        </w:rPr>
        <w:t>far-reaching</w:t>
      </w:r>
      <w:r w:rsidRPr="00A77AF6">
        <w:rPr>
          <w:rFonts w:cstheme="minorHAnsi"/>
        </w:rPr>
        <w:t xml:space="preserve"> consequences.  In both private and </w:t>
      </w:r>
      <w:r w:rsidR="00273620" w:rsidRPr="00A77AF6">
        <w:rPr>
          <w:rFonts w:cstheme="minorHAnsi"/>
        </w:rPr>
        <w:t>public sector</w:t>
      </w:r>
      <w:r w:rsidRPr="00A77AF6">
        <w:rPr>
          <w:rFonts w:cstheme="minorHAnsi"/>
        </w:rPr>
        <w:t xml:space="preserve"> cases, the </w:t>
      </w:r>
      <w:r w:rsidR="00D56525" w:rsidRPr="00A77AF6">
        <w:rPr>
          <w:rFonts w:cstheme="minorHAnsi"/>
        </w:rPr>
        <w:t xml:space="preserve">damage to </w:t>
      </w:r>
      <w:r w:rsidRPr="00A77AF6">
        <w:rPr>
          <w:rFonts w:cstheme="minorHAnsi"/>
        </w:rPr>
        <w:t>stakeholders</w:t>
      </w:r>
      <w:r w:rsidR="00D56525" w:rsidRPr="00A77AF6">
        <w:rPr>
          <w:rFonts w:cstheme="minorHAnsi"/>
        </w:rPr>
        <w:t>’ trust</w:t>
      </w:r>
      <w:r w:rsidRPr="00A77AF6">
        <w:rPr>
          <w:rFonts w:cstheme="minorHAnsi"/>
        </w:rPr>
        <w:t xml:space="preserve"> undermines the institutions themselves.  If corporations or people within them are corrupt or dishonest</w:t>
      </w:r>
      <w:r w:rsidR="001B0B8A" w:rsidRPr="00A77AF6">
        <w:rPr>
          <w:rFonts w:cstheme="minorHAnsi"/>
        </w:rPr>
        <w:t xml:space="preserve"> then</w:t>
      </w:r>
      <w:r w:rsidRPr="00A77AF6">
        <w:rPr>
          <w:rFonts w:cstheme="minorHAnsi"/>
        </w:rPr>
        <w:t xml:space="preserve"> lenders </w:t>
      </w:r>
      <w:r w:rsidR="00981AD9" w:rsidRPr="00A77AF6">
        <w:rPr>
          <w:rFonts w:cstheme="minorHAnsi"/>
        </w:rPr>
        <w:t xml:space="preserve">cannot </w:t>
      </w:r>
      <w:r w:rsidRPr="00A77AF6">
        <w:rPr>
          <w:rFonts w:cstheme="minorHAnsi"/>
        </w:rPr>
        <w:t>be sure that their money will be used wi</w:t>
      </w:r>
      <w:r w:rsidR="00981AD9" w:rsidRPr="00A77AF6">
        <w:rPr>
          <w:rFonts w:cstheme="minorHAnsi"/>
        </w:rPr>
        <w:t>s</w:t>
      </w:r>
      <w:r w:rsidRPr="00A77AF6">
        <w:rPr>
          <w:rFonts w:cstheme="minorHAnsi"/>
        </w:rPr>
        <w:t xml:space="preserve">ely or repaid. </w:t>
      </w:r>
      <w:r w:rsidR="00D56525" w:rsidRPr="00A77AF6">
        <w:rPr>
          <w:rFonts w:cstheme="minorHAnsi"/>
        </w:rPr>
        <w:t xml:space="preserve"> </w:t>
      </w:r>
      <w:r w:rsidR="00781AAB" w:rsidRPr="00A77AF6">
        <w:rPr>
          <w:rFonts w:cstheme="minorHAnsi"/>
        </w:rPr>
        <w:t xml:space="preserve">If politicians are corrupt or dishonest the population </w:t>
      </w:r>
      <w:r w:rsidR="00981AD9" w:rsidRPr="00A77AF6">
        <w:rPr>
          <w:rFonts w:cstheme="minorHAnsi"/>
        </w:rPr>
        <w:t xml:space="preserve">cannot </w:t>
      </w:r>
      <w:r w:rsidR="00781AAB" w:rsidRPr="00A77AF6">
        <w:rPr>
          <w:rFonts w:cstheme="minorHAnsi"/>
        </w:rPr>
        <w:t xml:space="preserve">be certain that tax money is being used wisely, or that laws are made </w:t>
      </w:r>
      <w:r w:rsidR="001B0B8A" w:rsidRPr="00A77AF6">
        <w:rPr>
          <w:rFonts w:cstheme="minorHAnsi"/>
        </w:rPr>
        <w:t xml:space="preserve">fairly because no-one can be sure who has unseen influence on the creation of laws.  </w:t>
      </w:r>
      <w:r w:rsidR="00781AAB" w:rsidRPr="00A77AF6">
        <w:rPr>
          <w:rFonts w:cstheme="minorHAnsi"/>
        </w:rPr>
        <w:t xml:space="preserve">The </w:t>
      </w:r>
      <w:r w:rsidR="001B0B8A" w:rsidRPr="00A77AF6">
        <w:rPr>
          <w:rFonts w:cstheme="minorHAnsi"/>
        </w:rPr>
        <w:t xml:space="preserve">consequences that poor governance can cause are existential for the corporate system and </w:t>
      </w:r>
      <w:r w:rsidR="00D56525" w:rsidRPr="00A77AF6">
        <w:rPr>
          <w:rFonts w:cstheme="minorHAnsi"/>
        </w:rPr>
        <w:t xml:space="preserve">for </w:t>
      </w:r>
      <w:r w:rsidR="001B0B8A" w:rsidRPr="00A77AF6">
        <w:rPr>
          <w:rFonts w:cstheme="minorHAnsi"/>
        </w:rPr>
        <w:t xml:space="preserve">the institutions of democracy.  In the knowledge </w:t>
      </w:r>
      <w:r w:rsidR="001B0B8A" w:rsidRPr="00A77AF6">
        <w:rPr>
          <w:rFonts w:cstheme="minorHAnsi"/>
        </w:rPr>
        <w:lastRenderedPageBreak/>
        <w:t xml:space="preserve">of these risks, </w:t>
      </w:r>
      <w:r w:rsidR="00781AAB" w:rsidRPr="00A77AF6">
        <w:rPr>
          <w:rFonts w:cstheme="minorHAnsi"/>
        </w:rPr>
        <w:t xml:space="preserve">governments </w:t>
      </w:r>
      <w:r w:rsidR="001B0B8A" w:rsidRPr="00A77AF6">
        <w:rPr>
          <w:rFonts w:cstheme="minorHAnsi"/>
        </w:rPr>
        <w:t xml:space="preserve">took remedial action; the next section reviews some of the </w:t>
      </w:r>
      <w:r w:rsidR="00D56525" w:rsidRPr="00A77AF6">
        <w:rPr>
          <w:rFonts w:cstheme="minorHAnsi"/>
        </w:rPr>
        <w:t xml:space="preserve">UK </w:t>
      </w:r>
      <w:r w:rsidR="001B0B8A" w:rsidRPr="00A77AF6">
        <w:rPr>
          <w:rFonts w:cstheme="minorHAnsi"/>
        </w:rPr>
        <w:t xml:space="preserve">government’s responses. </w:t>
      </w:r>
    </w:p>
    <w:p w14:paraId="4A268308" w14:textId="4315BCE9" w:rsidR="00AB603D" w:rsidRPr="00A77AF6" w:rsidRDefault="00563ABA" w:rsidP="0090418A">
      <w:pPr>
        <w:pStyle w:val="Heading3"/>
        <w:spacing w:after="120"/>
      </w:pPr>
      <w:bookmarkStart w:id="67" w:name="_Toc36275070"/>
      <w:r w:rsidRPr="00A77AF6">
        <w:t xml:space="preserve">UK </w:t>
      </w:r>
      <w:r w:rsidR="001B0B8A" w:rsidRPr="00A77AF6">
        <w:t>Government responses to governance failures</w:t>
      </w:r>
      <w:bookmarkEnd w:id="67"/>
      <w:r w:rsidR="001B0B8A" w:rsidRPr="00A77AF6">
        <w:t xml:space="preserve"> </w:t>
      </w:r>
    </w:p>
    <w:p w14:paraId="47371EEC" w14:textId="3972EA1E" w:rsidR="00981AD9" w:rsidRPr="00A77AF6" w:rsidRDefault="007D6602" w:rsidP="001E6AB6">
      <w:pPr>
        <w:spacing w:line="360" w:lineRule="auto"/>
        <w:rPr>
          <w:rFonts w:cstheme="minorHAnsi"/>
        </w:rPr>
      </w:pPr>
      <w:r w:rsidRPr="00A77AF6">
        <w:rPr>
          <w:rFonts w:cstheme="minorHAnsi"/>
        </w:rPr>
        <w:t>Two main</w:t>
      </w:r>
      <w:r w:rsidR="00981AD9" w:rsidRPr="00A77AF6">
        <w:rPr>
          <w:rFonts w:cstheme="minorHAnsi"/>
        </w:rPr>
        <w:t xml:space="preserve"> approache</w:t>
      </w:r>
      <w:r w:rsidR="00CC6FE2" w:rsidRPr="00A77AF6">
        <w:rPr>
          <w:rFonts w:cstheme="minorHAnsi"/>
        </w:rPr>
        <w:t>s</w:t>
      </w:r>
      <w:r w:rsidR="00981AD9" w:rsidRPr="00A77AF6">
        <w:rPr>
          <w:rFonts w:cstheme="minorHAnsi"/>
        </w:rPr>
        <w:t xml:space="preserve"> </w:t>
      </w:r>
      <w:r w:rsidR="001B0B8A" w:rsidRPr="00A77AF6">
        <w:rPr>
          <w:rFonts w:cstheme="minorHAnsi"/>
        </w:rPr>
        <w:t>were</w:t>
      </w:r>
      <w:r w:rsidR="00981AD9" w:rsidRPr="00A77AF6">
        <w:rPr>
          <w:rFonts w:cstheme="minorHAnsi"/>
        </w:rPr>
        <w:t xml:space="preserve"> taken</w:t>
      </w:r>
      <w:r w:rsidRPr="00A77AF6">
        <w:rPr>
          <w:rFonts w:cstheme="minorHAnsi"/>
        </w:rPr>
        <w:t xml:space="preserve"> to deal with poor governance</w:t>
      </w:r>
      <w:r w:rsidR="00981AD9" w:rsidRPr="00A77AF6">
        <w:rPr>
          <w:rFonts w:cstheme="minorHAnsi"/>
        </w:rPr>
        <w:t xml:space="preserve">.  One </w:t>
      </w:r>
      <w:r w:rsidR="001B0B8A" w:rsidRPr="00A77AF6">
        <w:rPr>
          <w:rFonts w:cstheme="minorHAnsi"/>
        </w:rPr>
        <w:t>was</w:t>
      </w:r>
      <w:r w:rsidR="00981AD9" w:rsidRPr="00A77AF6">
        <w:rPr>
          <w:rFonts w:cstheme="minorHAnsi"/>
        </w:rPr>
        <w:t xml:space="preserve"> to set out the expectations for good practice and </w:t>
      </w:r>
      <w:r w:rsidR="00CC6FE2" w:rsidRPr="00A77AF6">
        <w:rPr>
          <w:rFonts w:cstheme="minorHAnsi"/>
        </w:rPr>
        <w:t xml:space="preserve">to </w:t>
      </w:r>
      <w:r w:rsidR="00981AD9" w:rsidRPr="00A77AF6">
        <w:rPr>
          <w:rFonts w:cstheme="minorHAnsi"/>
        </w:rPr>
        <w:t xml:space="preserve">create incentives </w:t>
      </w:r>
      <w:r w:rsidR="001E6AB6" w:rsidRPr="00A77AF6">
        <w:rPr>
          <w:rFonts w:cstheme="minorHAnsi"/>
        </w:rPr>
        <w:t>for people to follow them</w:t>
      </w:r>
      <w:r w:rsidRPr="00A77AF6">
        <w:rPr>
          <w:rFonts w:cstheme="minorHAnsi"/>
        </w:rPr>
        <w:t xml:space="preserve"> and the </w:t>
      </w:r>
      <w:r w:rsidR="00981AD9" w:rsidRPr="00A77AF6">
        <w:rPr>
          <w:rFonts w:cstheme="minorHAnsi"/>
        </w:rPr>
        <w:t xml:space="preserve">other </w:t>
      </w:r>
      <w:r w:rsidR="001B0B8A" w:rsidRPr="00A77AF6">
        <w:rPr>
          <w:rFonts w:cstheme="minorHAnsi"/>
        </w:rPr>
        <w:t>was</w:t>
      </w:r>
      <w:r w:rsidR="00981AD9" w:rsidRPr="00A77AF6">
        <w:rPr>
          <w:rFonts w:cstheme="minorHAnsi"/>
        </w:rPr>
        <w:t xml:space="preserve"> to identify </w:t>
      </w:r>
      <w:r w:rsidRPr="00A77AF6">
        <w:rPr>
          <w:rFonts w:cstheme="minorHAnsi"/>
        </w:rPr>
        <w:t xml:space="preserve">and deal with </w:t>
      </w:r>
      <w:r w:rsidR="001E6AB6" w:rsidRPr="00A77AF6">
        <w:rPr>
          <w:rFonts w:cstheme="minorHAnsi"/>
        </w:rPr>
        <w:t>wrongdoers</w:t>
      </w:r>
      <w:r w:rsidRPr="00A77AF6">
        <w:rPr>
          <w:rFonts w:cstheme="minorHAnsi"/>
        </w:rPr>
        <w:t xml:space="preserve">. </w:t>
      </w:r>
      <w:r w:rsidR="00981AD9" w:rsidRPr="00A77AF6">
        <w:rPr>
          <w:rFonts w:cstheme="minorHAnsi"/>
        </w:rPr>
        <w:t xml:space="preserve">This section </w:t>
      </w:r>
      <w:r w:rsidR="00CC6FE2" w:rsidRPr="00A77AF6">
        <w:rPr>
          <w:rFonts w:cstheme="minorHAnsi"/>
        </w:rPr>
        <w:t xml:space="preserve">focusses on the expectations for good practice </w:t>
      </w:r>
      <w:r w:rsidR="00AD665A" w:rsidRPr="00A77AF6">
        <w:rPr>
          <w:rFonts w:cstheme="minorHAnsi"/>
        </w:rPr>
        <w:t xml:space="preserve">and </w:t>
      </w:r>
      <w:r w:rsidR="00065048" w:rsidRPr="00A77AF6">
        <w:rPr>
          <w:rFonts w:cstheme="minorHAnsi"/>
        </w:rPr>
        <w:t xml:space="preserve">how actors may be given the opportunity to make the right choices. </w:t>
      </w:r>
    </w:p>
    <w:p w14:paraId="0F0574A7" w14:textId="07DA7765" w:rsidR="00DF715C" w:rsidRPr="00A77AF6" w:rsidRDefault="00DF715C" w:rsidP="004B3882">
      <w:pPr>
        <w:spacing w:line="360" w:lineRule="auto"/>
        <w:rPr>
          <w:rFonts w:cstheme="minorHAnsi"/>
        </w:rPr>
      </w:pPr>
      <w:r w:rsidRPr="00A77AF6">
        <w:rPr>
          <w:rFonts w:cstheme="minorHAnsi"/>
        </w:rPr>
        <w:t>O</w:t>
      </w:r>
      <w:r w:rsidR="00B96F52" w:rsidRPr="00A77AF6">
        <w:rPr>
          <w:rFonts w:cstheme="minorHAnsi"/>
        </w:rPr>
        <w:t xml:space="preserve">rganisations </w:t>
      </w:r>
      <w:r w:rsidRPr="00A77AF6">
        <w:rPr>
          <w:rFonts w:cstheme="minorHAnsi"/>
        </w:rPr>
        <w:t xml:space="preserve">were encouraged </w:t>
      </w:r>
      <w:r w:rsidR="00B96F52" w:rsidRPr="00A77AF6">
        <w:rPr>
          <w:rFonts w:cstheme="minorHAnsi"/>
        </w:rPr>
        <w:t xml:space="preserve">to develop the right culture to influence the behaviour of employees, and this </w:t>
      </w:r>
      <w:r w:rsidRPr="00A77AF6">
        <w:rPr>
          <w:rFonts w:cstheme="minorHAnsi"/>
        </w:rPr>
        <w:t xml:space="preserve">was identified as a </w:t>
      </w:r>
      <w:r w:rsidR="00B96F52" w:rsidRPr="00A77AF6">
        <w:rPr>
          <w:rFonts w:cstheme="minorHAnsi"/>
        </w:rPr>
        <w:t>board</w:t>
      </w:r>
      <w:r w:rsidRPr="00A77AF6">
        <w:rPr>
          <w:rFonts w:cstheme="minorHAnsi"/>
        </w:rPr>
        <w:t xml:space="preserve"> responsibility</w:t>
      </w:r>
      <w:r w:rsidR="00B96F52" w:rsidRPr="00A77AF6">
        <w:rPr>
          <w:rFonts w:cstheme="minorHAnsi"/>
        </w:rPr>
        <w:t xml:space="preserve">.  </w:t>
      </w:r>
      <w:r w:rsidRPr="00A77AF6">
        <w:rPr>
          <w:rFonts w:cstheme="minorHAnsi"/>
        </w:rPr>
        <w:t>C</w:t>
      </w:r>
      <w:r w:rsidR="00B96F52" w:rsidRPr="00A77AF6">
        <w:rPr>
          <w:rFonts w:cstheme="minorHAnsi"/>
        </w:rPr>
        <w:t xml:space="preserve">orporations have many of the rights of people, </w:t>
      </w:r>
      <w:r w:rsidRPr="00A77AF6">
        <w:rPr>
          <w:rFonts w:cstheme="minorHAnsi"/>
        </w:rPr>
        <w:t xml:space="preserve">but </w:t>
      </w:r>
      <w:r w:rsidR="00B96F52" w:rsidRPr="00A77AF6">
        <w:rPr>
          <w:rFonts w:cstheme="minorHAnsi"/>
        </w:rPr>
        <w:t xml:space="preserve">they do not have moral sense, so this must come from the directors. It is their responsibility to create the organisation’s culture and the expectations of behaviour which determines what is allowable.  The organisational culture should override the moral values of individuals </w:t>
      </w:r>
      <w:sdt>
        <w:sdtPr>
          <w:rPr>
            <w:rFonts w:cstheme="minorHAnsi"/>
          </w:rPr>
          <w:id w:val="-407996219"/>
          <w:citation/>
        </w:sdtPr>
        <w:sdtEndPr/>
        <w:sdtContent>
          <w:r w:rsidRPr="00A77AF6">
            <w:rPr>
              <w:rFonts w:cstheme="minorHAnsi"/>
            </w:rPr>
            <w:fldChar w:fldCharType="begin"/>
          </w:r>
          <w:r w:rsidRPr="00A77AF6">
            <w:rPr>
              <w:rFonts w:cstheme="minorHAnsi"/>
            </w:rPr>
            <w:instrText xml:space="preserve"> CITATION Tic14 \l 2057 </w:instrText>
          </w:r>
          <w:r w:rsidRPr="00A77AF6">
            <w:rPr>
              <w:rFonts w:cstheme="minorHAnsi"/>
            </w:rPr>
            <w:fldChar w:fldCharType="separate"/>
          </w:r>
          <w:r w:rsidR="008E653F" w:rsidRPr="00A77AF6">
            <w:rPr>
              <w:rFonts w:cstheme="minorHAnsi"/>
            </w:rPr>
            <w:t>(Tricker &amp; Tricker, 2014)</w:t>
          </w:r>
          <w:r w:rsidRPr="00A77AF6">
            <w:rPr>
              <w:rFonts w:cstheme="minorHAnsi"/>
            </w:rPr>
            <w:fldChar w:fldCharType="end"/>
          </w:r>
        </w:sdtContent>
      </w:sdt>
      <w:r w:rsidR="00B96F52" w:rsidRPr="00A77AF6">
        <w:rPr>
          <w:rFonts w:cstheme="minorHAnsi"/>
        </w:rPr>
        <w:t xml:space="preserve">. </w:t>
      </w:r>
    </w:p>
    <w:p w14:paraId="714693AF" w14:textId="4ACBEFF9" w:rsidR="00563ABA" w:rsidRPr="00A77AF6" w:rsidRDefault="00563ABA" w:rsidP="007E359F">
      <w:pPr>
        <w:pStyle w:val="Heading4"/>
        <w:numPr>
          <w:ilvl w:val="0"/>
          <w:numId w:val="0"/>
        </w:numPr>
        <w:spacing w:after="120"/>
      </w:pPr>
      <w:r w:rsidRPr="00A77AF6">
        <w:t xml:space="preserve">The Cadbury Report (1992) </w:t>
      </w:r>
    </w:p>
    <w:p w14:paraId="5B783BDF" w14:textId="2559C198" w:rsidR="004B3882" w:rsidRPr="00A77AF6" w:rsidRDefault="004B3882" w:rsidP="004B3882">
      <w:pPr>
        <w:spacing w:after="0" w:line="360" w:lineRule="auto"/>
        <w:rPr>
          <w:rFonts w:cstheme="minorHAnsi"/>
        </w:rPr>
      </w:pPr>
      <w:r w:rsidRPr="00A77AF6">
        <w:rPr>
          <w:rFonts w:eastAsia="Times New Roman" w:cstheme="minorHAnsi"/>
          <w:lang w:eastAsia="en-GB"/>
        </w:rPr>
        <w:t>The</w:t>
      </w:r>
      <w:r w:rsidRPr="00A77AF6">
        <w:rPr>
          <w:rFonts w:cstheme="minorHAnsi"/>
        </w:rPr>
        <w:t xml:space="preserve"> UK government commissioned the Cadbury Committee in 1991 to examine what must be done to restore confidence following the collapse of Coloroll and Polly Peck.  Whilst the </w:t>
      </w:r>
      <w:r w:rsidR="00EA1A86" w:rsidRPr="00A77AF6">
        <w:rPr>
          <w:rFonts w:cstheme="minorHAnsi"/>
        </w:rPr>
        <w:t>c</w:t>
      </w:r>
      <w:r w:rsidRPr="00A77AF6">
        <w:rPr>
          <w:rFonts w:cstheme="minorHAnsi"/>
        </w:rPr>
        <w:t>ommittee was in session there were two further high-profile failures: Maxwell Communications, which filed for bankruptcy in 1992, and the collapse of the Bank of Credit and Commerce International (BCCI) following involvement in criminal activity</w:t>
      </w:r>
      <w:sdt>
        <w:sdtPr>
          <w:rPr>
            <w:rFonts w:cstheme="minorHAnsi"/>
          </w:rPr>
          <w:id w:val="-422192213"/>
          <w:citation/>
        </w:sdtPr>
        <w:sdtEndPr/>
        <w:sdtContent>
          <w:r w:rsidRPr="00A77AF6">
            <w:rPr>
              <w:rFonts w:cstheme="minorHAnsi"/>
            </w:rPr>
            <w:fldChar w:fldCharType="begin"/>
          </w:r>
          <w:r w:rsidRPr="00A77AF6">
            <w:rPr>
              <w:rFonts w:cstheme="minorHAnsi"/>
            </w:rPr>
            <w:instrText xml:space="preserve"> CITATION Uni14 \l 2057 </w:instrText>
          </w:r>
          <w:r w:rsidRPr="00A77AF6">
            <w:rPr>
              <w:rFonts w:cstheme="minorHAnsi"/>
            </w:rPr>
            <w:fldChar w:fldCharType="separate"/>
          </w:r>
          <w:r w:rsidR="008E653F" w:rsidRPr="00A77AF6">
            <w:rPr>
              <w:rFonts w:cstheme="minorHAnsi"/>
            </w:rPr>
            <w:t xml:space="preserve"> (Judge Business School, 2014)</w:t>
          </w:r>
          <w:r w:rsidRPr="00A77AF6">
            <w:rPr>
              <w:rFonts w:cstheme="minorHAnsi"/>
            </w:rPr>
            <w:fldChar w:fldCharType="end"/>
          </w:r>
        </w:sdtContent>
      </w:sdt>
      <w:r w:rsidRPr="00A77AF6">
        <w:rPr>
          <w:rFonts w:cstheme="minorHAnsi"/>
        </w:rPr>
        <w:t xml:space="preserve">. </w:t>
      </w:r>
    </w:p>
    <w:p w14:paraId="635BCB7D" w14:textId="3313FEFE" w:rsidR="00444EFE" w:rsidRPr="00A77AF6" w:rsidRDefault="00444EFE" w:rsidP="004B3882">
      <w:pPr>
        <w:spacing w:after="0" w:line="360" w:lineRule="auto"/>
        <w:rPr>
          <w:rFonts w:cstheme="minorHAnsi"/>
        </w:rPr>
      </w:pPr>
      <w:r w:rsidRPr="00A77AF6">
        <w:rPr>
          <w:rFonts w:cstheme="minorHAnsi"/>
        </w:rPr>
        <w:t xml:space="preserve">Cadbury (1992) explicitly recognised its own role in re-establishing trust </w:t>
      </w:r>
      <w:r w:rsidR="004B3882" w:rsidRPr="00A77AF6">
        <w:rPr>
          <w:rFonts w:cstheme="minorHAnsi"/>
        </w:rPr>
        <w:t xml:space="preserve">and strengthening </w:t>
      </w:r>
      <w:r w:rsidRPr="00A77AF6">
        <w:rPr>
          <w:rFonts w:cstheme="minorHAnsi"/>
        </w:rPr>
        <w:t xml:space="preserve">the corporate system </w:t>
      </w:r>
      <w:r w:rsidR="00065048" w:rsidRPr="00A77AF6">
        <w:rPr>
          <w:rFonts w:cstheme="minorHAnsi"/>
        </w:rPr>
        <w:t>by setting out clear expectations and defining roles</w:t>
      </w:r>
      <w:r w:rsidR="004B3882" w:rsidRPr="00A77AF6">
        <w:rPr>
          <w:rFonts w:cstheme="minorHAnsi"/>
        </w:rPr>
        <w:t xml:space="preserve"> of directors, shareholders and auditors.  </w:t>
      </w:r>
      <w:r w:rsidR="00EE6C70" w:rsidRPr="00A77AF6">
        <w:rPr>
          <w:rFonts w:cstheme="minorHAnsi"/>
        </w:rPr>
        <w:t xml:space="preserve"> </w:t>
      </w:r>
      <w:r w:rsidRPr="00A77AF6">
        <w:rPr>
          <w:rFonts w:cstheme="minorHAnsi"/>
        </w:rPr>
        <w:t xml:space="preserve">  </w:t>
      </w:r>
    </w:p>
    <w:p w14:paraId="539A6435" w14:textId="212A367C" w:rsidR="00444EFE" w:rsidRPr="00A77AF6" w:rsidRDefault="00444EFE" w:rsidP="0090418A">
      <w:pPr>
        <w:spacing w:after="240" w:line="240" w:lineRule="auto"/>
        <w:ind w:left="720"/>
        <w:rPr>
          <w:rFonts w:cstheme="minorHAnsi"/>
        </w:rPr>
      </w:pPr>
      <w:r w:rsidRPr="00A77AF6">
        <w:rPr>
          <w:rFonts w:cstheme="minorHAnsi"/>
          <w:i/>
        </w:rPr>
        <w:t>‘</w:t>
      </w:r>
      <w:bookmarkStart w:id="68" w:name="_Hlk520113111"/>
      <w:r w:rsidRPr="00A77AF6">
        <w:rPr>
          <w:rFonts w:cstheme="minorHAnsi"/>
          <w:i/>
        </w:rPr>
        <w:t>Companies whose standards of corporate governance are high are the more likely to gain the confidence of investors and support for the development of their businesses.’</w:t>
      </w:r>
      <w:r w:rsidRPr="00A77AF6">
        <w:rPr>
          <w:rFonts w:cstheme="minorHAnsi"/>
        </w:rPr>
        <w:t xml:space="preserve"> (Cadbury 1992 section 1.6)</w:t>
      </w:r>
    </w:p>
    <w:bookmarkEnd w:id="68"/>
    <w:p w14:paraId="060C9CD8" w14:textId="4F623ACF" w:rsidR="00625781" w:rsidRPr="00A77AF6" w:rsidRDefault="004B3882" w:rsidP="001B0403">
      <w:pPr>
        <w:spacing w:after="120" w:line="360" w:lineRule="auto"/>
        <w:rPr>
          <w:rFonts w:cstheme="minorHAnsi"/>
        </w:rPr>
      </w:pPr>
      <w:r w:rsidRPr="00A77AF6">
        <w:rPr>
          <w:rFonts w:cstheme="minorHAnsi"/>
        </w:rPr>
        <w:t xml:space="preserve">The </w:t>
      </w:r>
      <w:r w:rsidR="00444EFE" w:rsidRPr="00A77AF6">
        <w:rPr>
          <w:rFonts w:cstheme="minorHAnsi"/>
        </w:rPr>
        <w:t>Cadbury Report (1992)</w:t>
      </w:r>
      <w:r w:rsidRPr="00A77AF6">
        <w:rPr>
          <w:rFonts w:cstheme="minorHAnsi"/>
        </w:rPr>
        <w:t xml:space="preserve"> was underpinned by the values of ‘</w:t>
      </w:r>
      <w:r w:rsidR="00444EFE" w:rsidRPr="00A77AF6">
        <w:rPr>
          <w:rFonts w:cstheme="minorHAnsi"/>
        </w:rPr>
        <w:t>openness, integrity and accountability</w:t>
      </w:r>
      <w:r w:rsidRPr="00A77AF6">
        <w:rPr>
          <w:rFonts w:cstheme="minorHAnsi"/>
        </w:rPr>
        <w:t xml:space="preserve">’ </w:t>
      </w:r>
      <w:r w:rsidR="00444EFE" w:rsidRPr="00A77AF6">
        <w:rPr>
          <w:rFonts w:cstheme="minorHAnsi"/>
        </w:rPr>
        <w:t>(Cadbury, 1992, section 3.2)</w:t>
      </w:r>
      <w:r w:rsidRPr="00A77AF6">
        <w:rPr>
          <w:rFonts w:cstheme="minorHAnsi"/>
        </w:rPr>
        <w:t xml:space="preserve">, </w:t>
      </w:r>
      <w:r w:rsidR="00625781" w:rsidRPr="00A77AF6">
        <w:rPr>
          <w:rFonts w:cstheme="minorHAnsi"/>
        </w:rPr>
        <w:t xml:space="preserve">but it also proposed actions that should be taken to implement these principles. </w:t>
      </w:r>
      <w:r w:rsidR="00127ED7" w:rsidRPr="00A77AF6">
        <w:rPr>
          <w:rFonts w:cstheme="minorHAnsi"/>
        </w:rPr>
        <w:t xml:space="preserve">Actions </w:t>
      </w:r>
      <w:r w:rsidR="00444EFE" w:rsidRPr="00A77AF6">
        <w:rPr>
          <w:rFonts w:cstheme="minorHAnsi"/>
        </w:rPr>
        <w:t>included the separation of the roles of chairperson and chief executive</w:t>
      </w:r>
      <w:r w:rsidR="004A590F" w:rsidRPr="00A77AF6">
        <w:rPr>
          <w:rFonts w:cstheme="minorHAnsi"/>
        </w:rPr>
        <w:t xml:space="preserve">, </w:t>
      </w:r>
      <w:r w:rsidR="00444EFE" w:rsidRPr="00A77AF6">
        <w:rPr>
          <w:rFonts w:cstheme="minorHAnsi"/>
        </w:rPr>
        <w:t xml:space="preserve">the inclusion of </w:t>
      </w:r>
      <w:r w:rsidRPr="00A77AF6">
        <w:rPr>
          <w:rFonts w:cstheme="minorHAnsi"/>
        </w:rPr>
        <w:t xml:space="preserve">independent </w:t>
      </w:r>
      <w:r w:rsidR="00444EFE" w:rsidRPr="00A77AF6">
        <w:rPr>
          <w:rFonts w:cstheme="minorHAnsi"/>
        </w:rPr>
        <w:t xml:space="preserve">non-executive directors on the Board </w:t>
      </w:r>
      <w:r w:rsidR="00AD665A" w:rsidRPr="00A77AF6">
        <w:rPr>
          <w:rFonts w:cstheme="minorHAnsi"/>
        </w:rPr>
        <w:t>plus</w:t>
      </w:r>
      <w:r w:rsidR="00444EFE" w:rsidRPr="00A77AF6">
        <w:rPr>
          <w:rFonts w:cstheme="minorHAnsi"/>
        </w:rPr>
        <w:t xml:space="preserve"> </w:t>
      </w:r>
      <w:r w:rsidRPr="00A77AF6">
        <w:rPr>
          <w:rFonts w:cstheme="minorHAnsi"/>
        </w:rPr>
        <w:t xml:space="preserve">a </w:t>
      </w:r>
      <w:r w:rsidR="00444EFE" w:rsidRPr="00A77AF6">
        <w:rPr>
          <w:rFonts w:cstheme="minorHAnsi"/>
        </w:rPr>
        <w:t>reduction of conflicts of interest</w:t>
      </w:r>
      <w:r w:rsidR="00065048" w:rsidRPr="00A77AF6">
        <w:rPr>
          <w:rFonts w:cstheme="minorHAnsi"/>
        </w:rPr>
        <w:t>. Re</w:t>
      </w:r>
      <w:r w:rsidR="00444EFE" w:rsidRPr="00A77AF6">
        <w:rPr>
          <w:rFonts w:cstheme="minorHAnsi"/>
        </w:rPr>
        <w:t xml:space="preserve">muneration committees </w:t>
      </w:r>
      <w:r w:rsidR="00065048" w:rsidRPr="00A77AF6">
        <w:rPr>
          <w:rFonts w:cstheme="minorHAnsi"/>
        </w:rPr>
        <w:t xml:space="preserve">were </w:t>
      </w:r>
      <w:r w:rsidR="00444EFE" w:rsidRPr="00A77AF6">
        <w:rPr>
          <w:rFonts w:cstheme="minorHAnsi"/>
        </w:rPr>
        <w:t>to be comprised mainly of non-executive directors and</w:t>
      </w:r>
      <w:r w:rsidR="00065048" w:rsidRPr="00A77AF6">
        <w:rPr>
          <w:rFonts w:cstheme="minorHAnsi"/>
        </w:rPr>
        <w:t xml:space="preserve"> </w:t>
      </w:r>
      <w:r w:rsidR="00127ED7" w:rsidRPr="00A77AF6">
        <w:rPr>
          <w:rFonts w:cstheme="minorHAnsi"/>
        </w:rPr>
        <w:t>a</w:t>
      </w:r>
      <w:r w:rsidR="00065048" w:rsidRPr="00A77AF6">
        <w:rPr>
          <w:rFonts w:cstheme="minorHAnsi"/>
        </w:rPr>
        <w:t xml:space="preserve">udit </w:t>
      </w:r>
      <w:r w:rsidR="00127ED7" w:rsidRPr="00A77AF6">
        <w:rPr>
          <w:rFonts w:cstheme="minorHAnsi"/>
        </w:rPr>
        <w:t>c</w:t>
      </w:r>
      <w:r w:rsidR="00065048" w:rsidRPr="00A77AF6">
        <w:rPr>
          <w:rFonts w:cstheme="minorHAnsi"/>
        </w:rPr>
        <w:t xml:space="preserve">ommittees were to be established </w:t>
      </w:r>
      <w:r w:rsidR="00127ED7" w:rsidRPr="00A77AF6">
        <w:rPr>
          <w:rFonts w:cstheme="minorHAnsi"/>
        </w:rPr>
        <w:t>with</w:t>
      </w:r>
      <w:r w:rsidR="00444EFE" w:rsidRPr="00A77AF6">
        <w:rPr>
          <w:rFonts w:cstheme="minorHAnsi"/>
        </w:rPr>
        <w:t xml:space="preserve"> a minimum of three non-executive directors </w:t>
      </w:r>
      <w:sdt>
        <w:sdtPr>
          <w:rPr>
            <w:rFonts w:cstheme="minorHAnsi"/>
          </w:rPr>
          <w:id w:val="1210448651"/>
          <w:citation/>
        </w:sdtPr>
        <w:sdtEndPr/>
        <w:sdtContent>
          <w:r w:rsidR="00EE6C70" w:rsidRPr="00A77AF6">
            <w:rPr>
              <w:rFonts w:cstheme="minorHAnsi"/>
            </w:rPr>
            <w:fldChar w:fldCharType="begin"/>
          </w:r>
          <w:r w:rsidR="00EE6C70" w:rsidRPr="00A77AF6">
            <w:rPr>
              <w:rFonts w:cstheme="minorHAnsi"/>
            </w:rPr>
            <w:instrText xml:space="preserve"> CITATION Uni14 \l 2057 </w:instrText>
          </w:r>
          <w:r w:rsidR="00EE6C70" w:rsidRPr="00A77AF6">
            <w:rPr>
              <w:rFonts w:cstheme="minorHAnsi"/>
            </w:rPr>
            <w:fldChar w:fldCharType="separate"/>
          </w:r>
          <w:r w:rsidR="008E653F" w:rsidRPr="00A77AF6">
            <w:rPr>
              <w:rFonts w:cstheme="minorHAnsi"/>
            </w:rPr>
            <w:t>(Judge Business School, 2014)</w:t>
          </w:r>
          <w:r w:rsidR="00EE6C70" w:rsidRPr="00A77AF6">
            <w:rPr>
              <w:rFonts w:cstheme="minorHAnsi"/>
            </w:rPr>
            <w:fldChar w:fldCharType="end"/>
          </w:r>
        </w:sdtContent>
      </w:sdt>
      <w:r w:rsidR="00563ABA" w:rsidRPr="00A77AF6">
        <w:rPr>
          <w:rFonts w:cstheme="minorHAnsi"/>
        </w:rPr>
        <w:t xml:space="preserve">.  </w:t>
      </w:r>
      <w:r w:rsidRPr="00A77AF6">
        <w:rPr>
          <w:rFonts w:cstheme="minorHAnsi"/>
        </w:rPr>
        <w:t xml:space="preserve">Shareholders were also tasked with ensuring </w:t>
      </w:r>
      <w:r w:rsidR="00AD665A" w:rsidRPr="00A77AF6">
        <w:rPr>
          <w:rFonts w:cstheme="minorHAnsi"/>
        </w:rPr>
        <w:t>good governance</w:t>
      </w:r>
      <w:r w:rsidR="00625781" w:rsidRPr="00A77AF6">
        <w:rPr>
          <w:rFonts w:cstheme="minorHAnsi"/>
        </w:rPr>
        <w:t xml:space="preserve">. The principles in the Cadbury Report (1992) have been widely accepted.  </w:t>
      </w:r>
    </w:p>
    <w:p w14:paraId="44CFD250" w14:textId="4BAE92E2" w:rsidR="00EB0D90" w:rsidRPr="00A77AF6" w:rsidRDefault="00EB0D90" w:rsidP="0090418A">
      <w:pPr>
        <w:pStyle w:val="Heading4"/>
        <w:numPr>
          <w:ilvl w:val="0"/>
          <w:numId w:val="0"/>
        </w:numPr>
        <w:spacing w:after="120"/>
      </w:pPr>
      <w:r w:rsidRPr="00A77AF6">
        <w:rPr>
          <w:rFonts w:cstheme="minorHAnsi"/>
        </w:rPr>
        <w:lastRenderedPageBreak/>
        <w:t>Nolan Committee for Standards in Public Life (1995)</w:t>
      </w:r>
    </w:p>
    <w:p w14:paraId="47F82F9E" w14:textId="0C0F87F6" w:rsidR="00EB0D90" w:rsidRPr="00A77AF6" w:rsidRDefault="00625781" w:rsidP="00625781">
      <w:pPr>
        <w:spacing w:line="360" w:lineRule="auto"/>
        <w:rPr>
          <w:rFonts w:cstheme="minorHAnsi"/>
        </w:rPr>
      </w:pPr>
      <w:r w:rsidRPr="00A77AF6">
        <w:rPr>
          <w:rFonts w:cstheme="minorHAnsi"/>
        </w:rPr>
        <w:t>T</w:t>
      </w:r>
      <w:r w:rsidR="00EB0D90" w:rsidRPr="00A77AF6">
        <w:rPr>
          <w:rFonts w:cstheme="minorHAnsi"/>
        </w:rPr>
        <w:t xml:space="preserve">he Nolan Committee for Standards in Public Life (1995) was established by the then Prime Minister, John Major in response to the ‘cash for questions’ </w:t>
      </w:r>
      <w:r w:rsidR="00127ED7" w:rsidRPr="00A77AF6">
        <w:rPr>
          <w:rFonts w:cstheme="minorHAnsi"/>
        </w:rPr>
        <w:t>scandal</w:t>
      </w:r>
      <w:r w:rsidR="00EB0D90" w:rsidRPr="00A77AF6">
        <w:rPr>
          <w:rFonts w:cstheme="minorHAnsi"/>
        </w:rPr>
        <w:t>. The culture and expected behaviours for those in public life were clearly spelled out in seven principles</w:t>
      </w:r>
      <w:r w:rsidRPr="00A77AF6">
        <w:rPr>
          <w:rFonts w:cstheme="minorHAnsi"/>
        </w:rPr>
        <w:t xml:space="preserve">, which have been described earlier. </w:t>
      </w:r>
      <w:r w:rsidR="00EB0D90" w:rsidRPr="00A77AF6">
        <w:rPr>
          <w:rFonts w:cstheme="minorHAnsi"/>
        </w:rPr>
        <w:t xml:space="preserve">  </w:t>
      </w:r>
    </w:p>
    <w:p w14:paraId="5FC36B5F" w14:textId="3CAC9B55" w:rsidR="00563ABA" w:rsidRPr="00A77AF6" w:rsidRDefault="00563ABA" w:rsidP="0090418A">
      <w:pPr>
        <w:pStyle w:val="Heading4"/>
        <w:numPr>
          <w:ilvl w:val="0"/>
          <w:numId w:val="0"/>
        </w:numPr>
        <w:spacing w:after="120"/>
      </w:pPr>
      <w:r w:rsidRPr="00A77AF6">
        <w:t>Greenbury Report (1995).</w:t>
      </w:r>
    </w:p>
    <w:p w14:paraId="2119FAE1" w14:textId="129476A4" w:rsidR="00563ABA" w:rsidRPr="00A77AF6" w:rsidRDefault="00563ABA" w:rsidP="00625781">
      <w:pPr>
        <w:spacing w:line="360" w:lineRule="auto"/>
        <w:rPr>
          <w:rFonts w:cstheme="minorHAnsi"/>
        </w:rPr>
      </w:pPr>
      <w:r w:rsidRPr="00A77AF6">
        <w:rPr>
          <w:rFonts w:cstheme="minorHAnsi"/>
        </w:rPr>
        <w:t xml:space="preserve">The Greenbury Report (1995) </w:t>
      </w:r>
      <w:r w:rsidR="006C1910" w:rsidRPr="00A77AF6">
        <w:rPr>
          <w:rFonts w:cstheme="minorHAnsi"/>
        </w:rPr>
        <w:t xml:space="preserve">examined executive pay and suggested that the </w:t>
      </w:r>
      <w:r w:rsidR="00127ED7" w:rsidRPr="00A77AF6">
        <w:rPr>
          <w:rFonts w:cstheme="minorHAnsi"/>
        </w:rPr>
        <w:t>r</w:t>
      </w:r>
      <w:r w:rsidR="006C1910" w:rsidRPr="00A77AF6">
        <w:rPr>
          <w:rFonts w:cstheme="minorHAnsi"/>
        </w:rPr>
        <w:t xml:space="preserve">emuneration </w:t>
      </w:r>
      <w:r w:rsidR="00127ED7" w:rsidRPr="00A77AF6">
        <w:rPr>
          <w:rFonts w:cstheme="minorHAnsi"/>
        </w:rPr>
        <w:t>c</w:t>
      </w:r>
      <w:r w:rsidR="006C1910" w:rsidRPr="00A77AF6">
        <w:rPr>
          <w:rFonts w:cstheme="minorHAnsi"/>
        </w:rPr>
        <w:t xml:space="preserve">ommittee should be composed entirely </w:t>
      </w:r>
      <w:r w:rsidR="00AD665A" w:rsidRPr="00A77AF6">
        <w:rPr>
          <w:rFonts w:cstheme="minorHAnsi"/>
        </w:rPr>
        <w:t>of</w:t>
      </w:r>
      <w:r w:rsidR="006C1910" w:rsidRPr="00A77AF6">
        <w:rPr>
          <w:rFonts w:cstheme="minorHAnsi"/>
        </w:rPr>
        <w:t xml:space="preserve"> non-executive directors, rather </w:t>
      </w:r>
      <w:r w:rsidR="004A590F" w:rsidRPr="00A77AF6">
        <w:rPr>
          <w:rFonts w:cstheme="minorHAnsi"/>
        </w:rPr>
        <w:t xml:space="preserve">than </w:t>
      </w:r>
      <w:r w:rsidR="006C1910" w:rsidRPr="00A77AF6">
        <w:rPr>
          <w:rFonts w:cstheme="minorHAnsi"/>
        </w:rPr>
        <w:t>composed mainly of executive directors</w:t>
      </w:r>
      <w:r w:rsidR="00AD665A" w:rsidRPr="00A77AF6">
        <w:rPr>
          <w:rFonts w:cstheme="minorHAnsi"/>
        </w:rPr>
        <w:t>,</w:t>
      </w:r>
      <w:r w:rsidR="006C1910" w:rsidRPr="00A77AF6">
        <w:rPr>
          <w:rFonts w:cstheme="minorHAnsi"/>
        </w:rPr>
        <w:t xml:space="preserve"> as Cadbury (1992) had suggested.  </w:t>
      </w:r>
    </w:p>
    <w:p w14:paraId="12DED538" w14:textId="77777777" w:rsidR="00563ABA" w:rsidRPr="00A77AF6" w:rsidRDefault="006C1910" w:rsidP="007E359F">
      <w:pPr>
        <w:pStyle w:val="Heading4"/>
        <w:numPr>
          <w:ilvl w:val="0"/>
          <w:numId w:val="0"/>
        </w:numPr>
        <w:spacing w:after="120"/>
      </w:pPr>
      <w:r w:rsidRPr="00A77AF6">
        <w:t xml:space="preserve">The Hampel Report (1998) </w:t>
      </w:r>
    </w:p>
    <w:p w14:paraId="0FA9502F" w14:textId="384A8633" w:rsidR="00563ABA" w:rsidRPr="00A77AF6" w:rsidRDefault="00563ABA" w:rsidP="00625781">
      <w:pPr>
        <w:spacing w:line="360" w:lineRule="auto"/>
        <w:rPr>
          <w:rFonts w:cstheme="minorHAnsi"/>
        </w:rPr>
      </w:pPr>
      <w:r w:rsidRPr="00A77AF6">
        <w:rPr>
          <w:rFonts w:cstheme="minorHAnsi"/>
        </w:rPr>
        <w:t xml:space="preserve">The Hampel Report (1998) </w:t>
      </w:r>
      <w:r w:rsidR="006C1910" w:rsidRPr="00A77AF6">
        <w:rPr>
          <w:rFonts w:cstheme="minorHAnsi"/>
        </w:rPr>
        <w:t xml:space="preserve">reviewed both </w:t>
      </w:r>
      <w:r w:rsidR="00625781" w:rsidRPr="00A77AF6">
        <w:rPr>
          <w:rFonts w:cstheme="minorHAnsi"/>
        </w:rPr>
        <w:t xml:space="preserve">the </w:t>
      </w:r>
      <w:r w:rsidR="006C1910" w:rsidRPr="00A77AF6">
        <w:rPr>
          <w:rFonts w:cstheme="minorHAnsi"/>
        </w:rPr>
        <w:t xml:space="preserve">Cadbury (1992) and Greenbury (1995) </w:t>
      </w:r>
      <w:r w:rsidR="00625781" w:rsidRPr="00A77AF6">
        <w:rPr>
          <w:rFonts w:cstheme="minorHAnsi"/>
        </w:rPr>
        <w:t xml:space="preserve">reports </w:t>
      </w:r>
      <w:r w:rsidR="006C1910" w:rsidRPr="00A77AF6">
        <w:rPr>
          <w:rFonts w:cstheme="minorHAnsi"/>
        </w:rPr>
        <w:t xml:space="preserve">and consolidated them into the </w:t>
      </w:r>
      <w:r w:rsidR="00625781" w:rsidRPr="00A77AF6">
        <w:rPr>
          <w:rFonts w:cstheme="minorHAnsi"/>
        </w:rPr>
        <w:t>‘</w:t>
      </w:r>
      <w:r w:rsidR="006C1910" w:rsidRPr="00A77AF6">
        <w:rPr>
          <w:rFonts w:cstheme="minorHAnsi"/>
        </w:rPr>
        <w:t>Combined Code of Best Practice</w:t>
      </w:r>
      <w:r w:rsidR="00625781" w:rsidRPr="00A77AF6">
        <w:rPr>
          <w:rFonts w:cstheme="minorHAnsi"/>
        </w:rPr>
        <w:t xml:space="preserve">’. This was adopted by the </w:t>
      </w:r>
      <w:r w:rsidR="006C1910" w:rsidRPr="00A77AF6">
        <w:rPr>
          <w:rFonts w:cstheme="minorHAnsi"/>
        </w:rPr>
        <w:t xml:space="preserve">London Stock Exchange </w:t>
      </w:r>
      <w:sdt>
        <w:sdtPr>
          <w:rPr>
            <w:rFonts w:cstheme="minorHAnsi"/>
          </w:rPr>
          <w:id w:val="-1744945448"/>
          <w:citation/>
        </w:sdtPr>
        <w:sdtEndPr/>
        <w:sdtContent>
          <w:r w:rsidR="00625781" w:rsidRPr="00A77AF6">
            <w:rPr>
              <w:rFonts w:cstheme="minorHAnsi"/>
            </w:rPr>
            <w:fldChar w:fldCharType="begin"/>
          </w:r>
          <w:r w:rsidR="00625781" w:rsidRPr="00A77AF6">
            <w:rPr>
              <w:rFonts w:cstheme="minorHAnsi"/>
            </w:rPr>
            <w:instrText xml:space="preserve"> CITATION Lar111 \l 2057 </w:instrText>
          </w:r>
          <w:r w:rsidR="00625781" w:rsidRPr="00A77AF6">
            <w:rPr>
              <w:rFonts w:cstheme="minorHAnsi"/>
            </w:rPr>
            <w:fldChar w:fldCharType="separate"/>
          </w:r>
          <w:r w:rsidR="008E653F" w:rsidRPr="00A77AF6">
            <w:rPr>
              <w:rFonts w:cstheme="minorHAnsi"/>
            </w:rPr>
            <w:t>(Larcker &amp; Tayan, 2011)</w:t>
          </w:r>
          <w:r w:rsidR="00625781" w:rsidRPr="00A77AF6">
            <w:rPr>
              <w:rFonts w:cstheme="minorHAnsi"/>
            </w:rPr>
            <w:fldChar w:fldCharType="end"/>
          </w:r>
        </w:sdtContent>
      </w:sdt>
      <w:r w:rsidR="00625781" w:rsidRPr="00A77AF6">
        <w:rPr>
          <w:rFonts w:cstheme="minorHAnsi"/>
        </w:rPr>
        <w:t>.</w:t>
      </w:r>
    </w:p>
    <w:p w14:paraId="5D731285" w14:textId="77777777" w:rsidR="00563ABA" w:rsidRPr="00A77AF6" w:rsidRDefault="006C1910" w:rsidP="007E359F">
      <w:pPr>
        <w:pStyle w:val="Heading4"/>
        <w:numPr>
          <w:ilvl w:val="0"/>
          <w:numId w:val="0"/>
        </w:numPr>
        <w:spacing w:after="120"/>
      </w:pPr>
      <w:r w:rsidRPr="00A77AF6">
        <w:t>The Turnbull Report (1999)</w:t>
      </w:r>
      <w:r w:rsidR="00872C8E" w:rsidRPr="00A77AF6">
        <w:t xml:space="preserve">, </w:t>
      </w:r>
    </w:p>
    <w:p w14:paraId="2970B153" w14:textId="723C7D71" w:rsidR="00563ABA" w:rsidRPr="00A77AF6" w:rsidRDefault="00563ABA" w:rsidP="00625781">
      <w:pPr>
        <w:spacing w:line="360" w:lineRule="auto"/>
        <w:rPr>
          <w:rFonts w:cstheme="minorHAnsi"/>
        </w:rPr>
      </w:pPr>
      <w:r w:rsidRPr="00A77AF6">
        <w:rPr>
          <w:rFonts w:cstheme="minorHAnsi"/>
        </w:rPr>
        <w:t xml:space="preserve">The Turnbull Report, </w:t>
      </w:r>
      <w:r w:rsidR="006C1910" w:rsidRPr="00A77AF6">
        <w:rPr>
          <w:rFonts w:cstheme="minorHAnsi"/>
        </w:rPr>
        <w:t xml:space="preserve">updated in 2005, recommended that companies should employ a risk management process which requires the identification and remediation of risks accompanied by an annual ‘review of internal processes to assess their effectiveness’ </w:t>
      </w:r>
      <w:sdt>
        <w:sdtPr>
          <w:rPr>
            <w:rFonts w:cstheme="minorHAnsi"/>
          </w:rPr>
          <w:id w:val="1905414496"/>
          <w:citation/>
        </w:sdtPr>
        <w:sdtEndPr/>
        <w:sdtContent>
          <w:r w:rsidR="006C1910" w:rsidRPr="00A77AF6">
            <w:rPr>
              <w:rFonts w:cstheme="minorHAnsi"/>
            </w:rPr>
            <w:fldChar w:fldCharType="begin"/>
          </w:r>
          <w:r w:rsidR="006C1910" w:rsidRPr="00A77AF6">
            <w:rPr>
              <w:rFonts w:cstheme="minorHAnsi"/>
            </w:rPr>
            <w:instrText xml:space="preserve">CITATION Lar111 \p 40 \l 2057 </w:instrText>
          </w:r>
          <w:r w:rsidR="006C1910" w:rsidRPr="00A77AF6">
            <w:rPr>
              <w:rFonts w:cstheme="minorHAnsi"/>
            </w:rPr>
            <w:fldChar w:fldCharType="separate"/>
          </w:r>
          <w:r w:rsidR="008E653F" w:rsidRPr="00A77AF6">
            <w:rPr>
              <w:rFonts w:cstheme="minorHAnsi"/>
            </w:rPr>
            <w:t>(Larcker &amp; Tayan, 2011, p. 40)</w:t>
          </w:r>
          <w:r w:rsidR="006C1910" w:rsidRPr="00A77AF6">
            <w:rPr>
              <w:rFonts w:cstheme="minorHAnsi"/>
            </w:rPr>
            <w:fldChar w:fldCharType="end"/>
          </w:r>
        </w:sdtContent>
      </w:sdt>
      <w:r w:rsidR="006C1910" w:rsidRPr="00A77AF6">
        <w:rPr>
          <w:rFonts w:cstheme="minorHAnsi"/>
        </w:rPr>
        <w:t xml:space="preserve">. </w:t>
      </w:r>
    </w:p>
    <w:p w14:paraId="7AA63663" w14:textId="77777777" w:rsidR="00563ABA" w:rsidRPr="00A77AF6" w:rsidRDefault="006C1910" w:rsidP="007E359F">
      <w:pPr>
        <w:pStyle w:val="Heading4"/>
        <w:numPr>
          <w:ilvl w:val="0"/>
          <w:numId w:val="0"/>
        </w:numPr>
        <w:spacing w:after="120"/>
      </w:pPr>
      <w:r w:rsidRPr="00A77AF6">
        <w:t xml:space="preserve">The Higgs Report (2003) </w:t>
      </w:r>
    </w:p>
    <w:p w14:paraId="50CED980" w14:textId="6E2ED7FA" w:rsidR="006C1910" w:rsidRPr="00A77AF6" w:rsidRDefault="00563ABA" w:rsidP="00625781">
      <w:pPr>
        <w:spacing w:line="360" w:lineRule="auto"/>
        <w:rPr>
          <w:rFonts w:cstheme="minorHAnsi"/>
        </w:rPr>
      </w:pPr>
      <w:r w:rsidRPr="00A77AF6">
        <w:rPr>
          <w:rFonts w:cstheme="minorHAnsi"/>
        </w:rPr>
        <w:t xml:space="preserve">The Higgs Report </w:t>
      </w:r>
      <w:r w:rsidR="006C1910" w:rsidRPr="00A77AF6">
        <w:rPr>
          <w:rFonts w:cstheme="minorHAnsi"/>
        </w:rPr>
        <w:t xml:space="preserve">reviewed the role of non-executive directors and advised boards to </w:t>
      </w:r>
      <w:r w:rsidR="00066BF6" w:rsidRPr="00A77AF6">
        <w:rPr>
          <w:rFonts w:cstheme="minorHAnsi"/>
        </w:rPr>
        <w:t>carry out</w:t>
      </w:r>
      <w:r w:rsidR="006C1910" w:rsidRPr="00A77AF6">
        <w:rPr>
          <w:rFonts w:cstheme="minorHAnsi"/>
        </w:rPr>
        <w:t xml:space="preserve"> a formal and rigorous annual </w:t>
      </w:r>
      <w:r w:rsidR="00066BF6" w:rsidRPr="00A77AF6">
        <w:rPr>
          <w:rFonts w:cstheme="minorHAnsi"/>
        </w:rPr>
        <w:t>assessment</w:t>
      </w:r>
      <w:r w:rsidR="006C1910" w:rsidRPr="00A77AF6">
        <w:rPr>
          <w:rFonts w:cstheme="minorHAnsi"/>
        </w:rPr>
        <w:t xml:space="preserve"> of its own performance and that of its committees and individual directors</w:t>
      </w:r>
      <w:r w:rsidR="00066BF6" w:rsidRPr="00A77AF6">
        <w:rPr>
          <w:rFonts w:cstheme="minorHAnsi"/>
        </w:rPr>
        <w:t xml:space="preserve">.  </w:t>
      </w:r>
      <w:r w:rsidR="006C1910" w:rsidRPr="00A77AF6">
        <w:rPr>
          <w:rFonts w:cstheme="minorHAnsi"/>
        </w:rPr>
        <w:t xml:space="preserve">The findings of the Turnbull and Higgs Reports were joined together in the Combined Code of Practice to produce the ‘Revised Code of Best Practices’ </w:t>
      </w:r>
      <w:sdt>
        <w:sdtPr>
          <w:rPr>
            <w:rFonts w:cstheme="minorHAnsi"/>
          </w:rPr>
          <w:id w:val="-1601326541"/>
          <w:citation/>
        </w:sdtPr>
        <w:sdtEndPr/>
        <w:sdtContent>
          <w:r w:rsidR="006C1910" w:rsidRPr="00A77AF6">
            <w:rPr>
              <w:rFonts w:cstheme="minorHAnsi"/>
            </w:rPr>
            <w:fldChar w:fldCharType="begin"/>
          </w:r>
          <w:r w:rsidR="006C1910" w:rsidRPr="00A77AF6">
            <w:rPr>
              <w:rFonts w:cstheme="minorHAnsi"/>
            </w:rPr>
            <w:instrText xml:space="preserve"> CITATION Lar111 \l 2057 </w:instrText>
          </w:r>
          <w:r w:rsidR="006C1910" w:rsidRPr="00A77AF6">
            <w:rPr>
              <w:rFonts w:cstheme="minorHAnsi"/>
            </w:rPr>
            <w:fldChar w:fldCharType="separate"/>
          </w:r>
          <w:r w:rsidR="008E653F" w:rsidRPr="00A77AF6">
            <w:rPr>
              <w:rFonts w:cstheme="minorHAnsi"/>
            </w:rPr>
            <w:t>(Larcker &amp; Tayan, 2011)</w:t>
          </w:r>
          <w:r w:rsidR="006C1910" w:rsidRPr="00A77AF6">
            <w:rPr>
              <w:rFonts w:cstheme="minorHAnsi"/>
            </w:rPr>
            <w:fldChar w:fldCharType="end"/>
          </w:r>
        </w:sdtContent>
      </w:sdt>
    </w:p>
    <w:p w14:paraId="6EB2B4F5" w14:textId="6C7C581D" w:rsidR="00F11644" w:rsidRPr="00A77AF6" w:rsidRDefault="00F11644" w:rsidP="007E359F">
      <w:pPr>
        <w:pStyle w:val="Heading4"/>
        <w:numPr>
          <w:ilvl w:val="0"/>
          <w:numId w:val="0"/>
        </w:numPr>
        <w:spacing w:after="120"/>
      </w:pPr>
      <w:r w:rsidRPr="00A77AF6">
        <w:t xml:space="preserve">The UK Corporate Governance Code </w:t>
      </w:r>
      <w:r w:rsidR="00127ED7" w:rsidRPr="00A77AF6">
        <w:t>(2016)</w:t>
      </w:r>
    </w:p>
    <w:p w14:paraId="29577082" w14:textId="40B16395" w:rsidR="004A590F" w:rsidRPr="00A77AF6" w:rsidRDefault="00F11644" w:rsidP="001B0403">
      <w:pPr>
        <w:spacing w:after="0" w:line="360" w:lineRule="auto"/>
        <w:rPr>
          <w:rFonts w:cstheme="minorHAnsi"/>
        </w:rPr>
      </w:pPr>
      <w:r w:rsidRPr="00A77AF6">
        <w:rPr>
          <w:rFonts w:cstheme="minorHAnsi"/>
        </w:rPr>
        <w:t>The UK Corporate Governance Code (2016</w:t>
      </w:r>
      <w:r w:rsidR="00127ED7" w:rsidRPr="00A77AF6">
        <w:rPr>
          <w:rFonts w:cstheme="minorHAnsi"/>
        </w:rPr>
        <w:t xml:space="preserve">) is </w:t>
      </w:r>
      <w:r w:rsidRPr="00A77AF6">
        <w:rPr>
          <w:rFonts w:cstheme="minorHAnsi"/>
        </w:rPr>
        <w:t>clear that the</w:t>
      </w:r>
      <w:r w:rsidR="00625781" w:rsidRPr="00A77AF6">
        <w:rPr>
          <w:rFonts w:cstheme="minorHAnsi"/>
        </w:rPr>
        <w:t xml:space="preserve"> culture, ethics and values of </w:t>
      </w:r>
      <w:r w:rsidR="009D0F2A" w:rsidRPr="00A77AF6">
        <w:rPr>
          <w:rFonts w:cstheme="minorHAnsi"/>
        </w:rPr>
        <w:t>companies</w:t>
      </w:r>
      <w:r w:rsidR="00625781" w:rsidRPr="00A77AF6">
        <w:rPr>
          <w:rFonts w:cstheme="minorHAnsi"/>
        </w:rPr>
        <w:t xml:space="preserve"> are established by the b</w:t>
      </w:r>
      <w:r w:rsidRPr="00A77AF6">
        <w:rPr>
          <w:rFonts w:cstheme="minorHAnsi"/>
        </w:rPr>
        <w:t xml:space="preserve">oard.  </w:t>
      </w:r>
      <w:r w:rsidR="00127ED7" w:rsidRPr="00A77AF6">
        <w:rPr>
          <w:rFonts w:cstheme="minorHAnsi"/>
        </w:rPr>
        <w:t>It</w:t>
      </w:r>
      <w:r w:rsidR="00625781" w:rsidRPr="00A77AF6">
        <w:rPr>
          <w:rFonts w:cstheme="minorHAnsi"/>
        </w:rPr>
        <w:t xml:space="preserve"> requires d</w:t>
      </w:r>
      <w:r w:rsidRPr="00A77AF6">
        <w:rPr>
          <w:rFonts w:cstheme="minorHAnsi"/>
        </w:rPr>
        <w:t xml:space="preserve">irectors </w:t>
      </w:r>
      <w:r w:rsidR="00625781" w:rsidRPr="00A77AF6">
        <w:rPr>
          <w:rFonts w:cstheme="minorHAnsi"/>
        </w:rPr>
        <w:t xml:space="preserve">to model appropriate behaviour, </w:t>
      </w:r>
      <w:r w:rsidR="00127ED7" w:rsidRPr="00A77AF6">
        <w:rPr>
          <w:rFonts w:cstheme="minorHAnsi"/>
        </w:rPr>
        <w:t xml:space="preserve">to </w:t>
      </w:r>
      <w:r w:rsidRPr="00A77AF6">
        <w:rPr>
          <w:rFonts w:cstheme="minorHAnsi"/>
        </w:rPr>
        <w:t xml:space="preserve">lead by example and </w:t>
      </w:r>
      <w:r w:rsidR="00625781" w:rsidRPr="00A77AF6">
        <w:rPr>
          <w:rFonts w:cstheme="minorHAnsi"/>
        </w:rPr>
        <w:t>en</w:t>
      </w:r>
      <w:r w:rsidRPr="00A77AF6">
        <w:rPr>
          <w:rFonts w:cstheme="minorHAnsi"/>
        </w:rPr>
        <w:t xml:space="preserve">sure that the </w:t>
      </w:r>
      <w:r w:rsidR="00625781" w:rsidRPr="00A77AF6">
        <w:rPr>
          <w:rFonts w:cstheme="minorHAnsi"/>
        </w:rPr>
        <w:t xml:space="preserve">entire </w:t>
      </w:r>
      <w:r w:rsidRPr="00A77AF6">
        <w:rPr>
          <w:rFonts w:cstheme="minorHAnsi"/>
        </w:rPr>
        <w:t>organisation understand</w:t>
      </w:r>
      <w:r w:rsidR="00625781" w:rsidRPr="00A77AF6">
        <w:rPr>
          <w:rFonts w:cstheme="minorHAnsi"/>
        </w:rPr>
        <w:t>s</w:t>
      </w:r>
      <w:r w:rsidRPr="00A77AF6">
        <w:rPr>
          <w:rFonts w:cstheme="minorHAnsi"/>
        </w:rPr>
        <w:t xml:space="preserve"> the moral </w:t>
      </w:r>
      <w:r w:rsidR="00214338" w:rsidRPr="00A77AF6">
        <w:rPr>
          <w:rFonts w:cstheme="minorHAnsi"/>
        </w:rPr>
        <w:t xml:space="preserve">code. </w:t>
      </w:r>
      <w:r w:rsidRPr="00A77AF6">
        <w:rPr>
          <w:rFonts w:cstheme="minorHAnsi"/>
        </w:rPr>
        <w:t xml:space="preserve"> This will help </w:t>
      </w:r>
      <w:r w:rsidR="00214338" w:rsidRPr="00A77AF6">
        <w:rPr>
          <w:rFonts w:cstheme="minorHAnsi"/>
        </w:rPr>
        <w:t xml:space="preserve">prevent </w:t>
      </w:r>
      <w:r w:rsidRPr="00A77AF6">
        <w:rPr>
          <w:rFonts w:cstheme="minorHAnsi"/>
        </w:rPr>
        <w:t xml:space="preserve">wrongdoing, immoral behaviour and will have the benefit of contributing to long-term organisational success. </w:t>
      </w:r>
      <w:r w:rsidR="00214338" w:rsidRPr="00A77AF6">
        <w:rPr>
          <w:rFonts w:cstheme="minorHAnsi"/>
        </w:rPr>
        <w:t xml:space="preserve">These </w:t>
      </w:r>
      <w:r w:rsidR="009D0F2A" w:rsidRPr="00A77AF6">
        <w:rPr>
          <w:rFonts w:cstheme="minorHAnsi"/>
        </w:rPr>
        <w:t>ideas are</w:t>
      </w:r>
      <w:r w:rsidR="00214338" w:rsidRPr="00A77AF6">
        <w:rPr>
          <w:rFonts w:cstheme="minorHAnsi"/>
        </w:rPr>
        <w:t xml:space="preserve"> not </w:t>
      </w:r>
      <w:r w:rsidR="00434810" w:rsidRPr="00A77AF6">
        <w:rPr>
          <w:rFonts w:cstheme="minorHAnsi"/>
        </w:rPr>
        <w:t>new,</w:t>
      </w:r>
      <w:r w:rsidR="001B0403" w:rsidRPr="00A77AF6">
        <w:rPr>
          <w:rFonts w:cstheme="minorHAnsi"/>
        </w:rPr>
        <w:t xml:space="preserve"> and it has been argued that </w:t>
      </w:r>
      <w:r w:rsidR="004A590F" w:rsidRPr="00A77AF6">
        <w:rPr>
          <w:rFonts w:cstheme="minorHAnsi"/>
        </w:rPr>
        <w:t xml:space="preserve">these ideas </w:t>
      </w:r>
      <w:r w:rsidR="00214338" w:rsidRPr="00A77AF6">
        <w:rPr>
          <w:rFonts w:cstheme="minorHAnsi"/>
        </w:rPr>
        <w:t xml:space="preserve">were already in existence in </w:t>
      </w:r>
      <w:r w:rsidR="004A590F" w:rsidRPr="00A77AF6">
        <w:rPr>
          <w:rFonts w:cstheme="minorHAnsi"/>
        </w:rPr>
        <w:t>the early 19</w:t>
      </w:r>
      <w:r w:rsidR="004A590F" w:rsidRPr="00A77AF6">
        <w:rPr>
          <w:rFonts w:cstheme="minorHAnsi"/>
          <w:vertAlign w:val="superscript"/>
        </w:rPr>
        <w:t>th</w:t>
      </w:r>
      <w:r w:rsidR="004A590F" w:rsidRPr="00A77AF6">
        <w:rPr>
          <w:rFonts w:cstheme="minorHAnsi"/>
        </w:rPr>
        <w:t xml:space="preserve"> century </w:t>
      </w:r>
    </w:p>
    <w:p w14:paraId="057F0CD0" w14:textId="62BDB255" w:rsidR="000D4960" w:rsidRPr="00A77AF6" w:rsidRDefault="000D4960" w:rsidP="001B0403">
      <w:pPr>
        <w:spacing w:after="120" w:line="240" w:lineRule="auto"/>
        <w:ind w:left="720"/>
        <w:rPr>
          <w:rFonts w:cstheme="minorHAnsi"/>
        </w:rPr>
      </w:pPr>
      <w:r w:rsidRPr="00A77AF6">
        <w:rPr>
          <w:rFonts w:cstheme="minorHAnsi"/>
          <w:i/>
        </w:rPr>
        <w:t>“</w:t>
      </w:r>
      <w:r w:rsidR="00214338" w:rsidRPr="00A77AF6">
        <w:rPr>
          <w:rFonts w:cstheme="minorHAnsi"/>
          <w:i/>
        </w:rPr>
        <w:t>th</w:t>
      </w:r>
      <w:r w:rsidRPr="00A77AF6">
        <w:rPr>
          <w:rFonts w:cstheme="minorHAnsi"/>
          <w:i/>
        </w:rPr>
        <w:t xml:space="preserve">ese are exactly the kinds of remedies proposed in Britain in the early nineteenth century.  Indeed, arguments for the importance of aligning executive incentives with the </w:t>
      </w:r>
      <w:r w:rsidRPr="00A77AF6">
        <w:rPr>
          <w:rFonts w:cstheme="minorHAnsi"/>
          <w:i/>
        </w:rPr>
        <w:lastRenderedPageBreak/>
        <w:t>interests of the constituents they represent have been debated in Britain since the late seventeenth century.”</w:t>
      </w:r>
      <w:r w:rsidRPr="00A77AF6">
        <w:rPr>
          <w:rFonts w:cstheme="minorHAnsi"/>
        </w:rPr>
        <w:t xml:space="preserve"> </w:t>
      </w:r>
      <w:sdt>
        <w:sdtPr>
          <w:rPr>
            <w:rFonts w:cstheme="minorHAnsi"/>
          </w:rPr>
          <w:id w:val="-802996698"/>
          <w:citation/>
        </w:sdtPr>
        <w:sdtEndPr/>
        <w:sdtContent>
          <w:r w:rsidRPr="00A77AF6">
            <w:rPr>
              <w:rFonts w:cstheme="minorHAnsi"/>
            </w:rPr>
            <w:fldChar w:fldCharType="begin"/>
          </w:r>
          <w:r w:rsidRPr="00A77AF6">
            <w:rPr>
              <w:rFonts w:cstheme="minorHAnsi"/>
            </w:rPr>
            <w:instrText xml:space="preserve">CITATION Fre12 \p 6 \l 2057 </w:instrText>
          </w:r>
          <w:r w:rsidRPr="00A77AF6">
            <w:rPr>
              <w:rFonts w:cstheme="minorHAnsi"/>
            </w:rPr>
            <w:fldChar w:fldCharType="separate"/>
          </w:r>
          <w:r w:rsidR="008E653F" w:rsidRPr="00A77AF6">
            <w:rPr>
              <w:rFonts w:cstheme="minorHAnsi"/>
            </w:rPr>
            <w:t>(Freeman, et al., 2012, p. 6)</w:t>
          </w:r>
          <w:r w:rsidRPr="00A77AF6">
            <w:rPr>
              <w:rFonts w:cstheme="minorHAnsi"/>
            </w:rPr>
            <w:fldChar w:fldCharType="end"/>
          </w:r>
        </w:sdtContent>
      </w:sdt>
      <w:r w:rsidR="00626896" w:rsidRPr="00A77AF6">
        <w:rPr>
          <w:rFonts w:cstheme="minorHAnsi"/>
        </w:rPr>
        <w:t xml:space="preserve"> </w:t>
      </w:r>
    </w:p>
    <w:p w14:paraId="6F31EDF0" w14:textId="647CFE75" w:rsidR="00F14B0B" w:rsidRPr="00A77AF6" w:rsidRDefault="00FB1D2C" w:rsidP="00214338">
      <w:pPr>
        <w:spacing w:line="360" w:lineRule="auto"/>
        <w:rPr>
          <w:rFonts w:cstheme="minorHAnsi"/>
        </w:rPr>
      </w:pPr>
      <w:r w:rsidRPr="00A77AF6">
        <w:rPr>
          <w:rFonts w:cstheme="minorHAnsi"/>
        </w:rPr>
        <w:t xml:space="preserve">In summary, </w:t>
      </w:r>
      <w:r w:rsidR="00127ED7" w:rsidRPr="00A77AF6">
        <w:rPr>
          <w:rFonts w:cstheme="minorHAnsi"/>
        </w:rPr>
        <w:t xml:space="preserve">the risks of </w:t>
      </w:r>
      <w:r w:rsidRPr="00A77AF6">
        <w:rPr>
          <w:rFonts w:cstheme="minorHAnsi"/>
        </w:rPr>
        <w:t xml:space="preserve">poor corporate governance </w:t>
      </w:r>
      <w:r w:rsidR="00FF7269" w:rsidRPr="00A77AF6">
        <w:rPr>
          <w:rFonts w:cstheme="minorHAnsi"/>
        </w:rPr>
        <w:t xml:space="preserve">leading to failure through lack of confidence </w:t>
      </w:r>
      <w:r w:rsidR="00127ED7" w:rsidRPr="00A77AF6">
        <w:rPr>
          <w:rFonts w:cstheme="minorHAnsi"/>
        </w:rPr>
        <w:t xml:space="preserve">have been </w:t>
      </w:r>
      <w:r w:rsidR="00FF7269" w:rsidRPr="00A77AF6">
        <w:rPr>
          <w:rFonts w:cstheme="minorHAnsi"/>
        </w:rPr>
        <w:t xml:space="preserve">discussed.  The negative ramifications have been considered serious enough to merit government interventions. Agency theory explains the problem of self-interested agents which must be managed by roles, processes and structures to create a culture where ethical behaviour, of the types proposed by Nolan (1995) is encouraged and flourishes.  </w:t>
      </w:r>
      <w:r w:rsidR="00214338" w:rsidRPr="00A77AF6">
        <w:rPr>
          <w:rFonts w:cstheme="minorHAnsi"/>
        </w:rPr>
        <w:t xml:space="preserve">The </w:t>
      </w:r>
      <w:r w:rsidR="00CC6FE2" w:rsidRPr="00A77AF6">
        <w:rPr>
          <w:rFonts w:cstheme="minorHAnsi"/>
        </w:rPr>
        <w:t xml:space="preserve">structures and roles </w:t>
      </w:r>
      <w:r w:rsidR="00214338" w:rsidRPr="00A77AF6">
        <w:rPr>
          <w:rFonts w:cstheme="minorHAnsi"/>
        </w:rPr>
        <w:t xml:space="preserve">which support good governance </w:t>
      </w:r>
      <w:r w:rsidR="00CC6FE2" w:rsidRPr="00A77AF6">
        <w:rPr>
          <w:rFonts w:cstheme="minorHAnsi"/>
        </w:rPr>
        <w:t xml:space="preserve">are discussed in the next section. </w:t>
      </w:r>
    </w:p>
    <w:p w14:paraId="6CE22B4F" w14:textId="77F6A35F" w:rsidR="004945C1" w:rsidRPr="00A77AF6" w:rsidRDefault="004945C1" w:rsidP="00214338">
      <w:pPr>
        <w:pStyle w:val="Heading3"/>
        <w:spacing w:after="120"/>
      </w:pPr>
      <w:bookmarkStart w:id="69" w:name="_Toc36275071"/>
      <w:r w:rsidRPr="00A77AF6">
        <w:t xml:space="preserve">Corporate </w:t>
      </w:r>
      <w:r w:rsidR="008B3C29" w:rsidRPr="00A77AF6">
        <w:t>g</w:t>
      </w:r>
      <w:r w:rsidRPr="00A77AF6">
        <w:t xml:space="preserve">overnance </w:t>
      </w:r>
      <w:r w:rsidR="008B3C29" w:rsidRPr="00A77AF6">
        <w:t>s</w:t>
      </w:r>
      <w:r w:rsidRPr="00A77AF6">
        <w:t>tructures</w:t>
      </w:r>
      <w:r w:rsidR="00214338" w:rsidRPr="00A77AF6">
        <w:t xml:space="preserve"> and roles</w:t>
      </w:r>
      <w:bookmarkEnd w:id="69"/>
    </w:p>
    <w:p w14:paraId="12E6E204" w14:textId="16F8768E" w:rsidR="00600648" w:rsidRPr="00A77AF6" w:rsidRDefault="00CB0544" w:rsidP="00600648">
      <w:pPr>
        <w:spacing w:after="0" w:line="360" w:lineRule="auto"/>
        <w:rPr>
          <w:rFonts w:cstheme="minorHAnsi"/>
        </w:rPr>
      </w:pPr>
      <w:r w:rsidRPr="00A77AF6">
        <w:rPr>
          <w:rFonts w:cstheme="minorHAnsi"/>
        </w:rPr>
        <w:t xml:space="preserve">Governance principles have been </w:t>
      </w:r>
      <w:r w:rsidR="009D0F2A" w:rsidRPr="00A77AF6">
        <w:rPr>
          <w:rFonts w:cstheme="minorHAnsi"/>
        </w:rPr>
        <w:t xml:space="preserve">translated </w:t>
      </w:r>
      <w:r w:rsidRPr="00A77AF6">
        <w:rPr>
          <w:rFonts w:cstheme="minorHAnsi"/>
        </w:rPr>
        <w:t xml:space="preserve">into structures, roles and </w:t>
      </w:r>
      <w:r w:rsidR="00F11644" w:rsidRPr="00A77AF6">
        <w:rPr>
          <w:rFonts w:cstheme="minorHAnsi"/>
        </w:rPr>
        <w:t>processes</w:t>
      </w:r>
      <w:r w:rsidRPr="00A77AF6">
        <w:rPr>
          <w:rFonts w:cstheme="minorHAnsi"/>
        </w:rPr>
        <w:t xml:space="preserve"> so that those involved in the running of corporations are </w:t>
      </w:r>
      <w:r w:rsidR="009D0F2A" w:rsidRPr="00A77AF6">
        <w:rPr>
          <w:rFonts w:cstheme="minorHAnsi"/>
        </w:rPr>
        <w:t>steered into appropriate behaviour</w:t>
      </w:r>
      <w:r w:rsidR="00F11644" w:rsidRPr="00A77AF6">
        <w:rPr>
          <w:rFonts w:cstheme="minorHAnsi"/>
        </w:rPr>
        <w:t xml:space="preserve"> </w:t>
      </w:r>
      <w:sdt>
        <w:sdtPr>
          <w:rPr>
            <w:rFonts w:cstheme="minorHAnsi"/>
          </w:rPr>
          <w:id w:val="354466917"/>
          <w:citation/>
        </w:sdtPr>
        <w:sdtEndPr/>
        <w:sdtContent>
          <w:r w:rsidR="00FF7269" w:rsidRPr="00A77AF6">
            <w:rPr>
              <w:rFonts w:cstheme="minorHAnsi"/>
            </w:rPr>
            <w:fldChar w:fldCharType="begin"/>
          </w:r>
          <w:r w:rsidR="00FF7269" w:rsidRPr="00A77AF6">
            <w:rPr>
              <w:rFonts w:cstheme="minorHAnsi"/>
            </w:rPr>
            <w:instrText xml:space="preserve"> CITATION Ver14 \l 2057 </w:instrText>
          </w:r>
          <w:r w:rsidR="00FF7269" w:rsidRPr="00A77AF6">
            <w:rPr>
              <w:rFonts w:cstheme="minorHAnsi"/>
            </w:rPr>
            <w:fldChar w:fldCharType="separate"/>
          </w:r>
          <w:r w:rsidR="008E653F" w:rsidRPr="00A77AF6">
            <w:rPr>
              <w:rFonts w:cstheme="minorHAnsi"/>
            </w:rPr>
            <w:t>(Verhezen, 2014)</w:t>
          </w:r>
          <w:r w:rsidR="00FF7269" w:rsidRPr="00A77AF6">
            <w:rPr>
              <w:rFonts w:cstheme="minorHAnsi"/>
            </w:rPr>
            <w:fldChar w:fldCharType="end"/>
          </w:r>
        </w:sdtContent>
      </w:sdt>
      <w:r w:rsidR="00F11644" w:rsidRPr="00A77AF6">
        <w:rPr>
          <w:rFonts w:cstheme="minorHAnsi"/>
        </w:rPr>
        <w:t xml:space="preserve">. </w:t>
      </w:r>
      <w:r w:rsidR="00600648" w:rsidRPr="00A77AF6">
        <w:rPr>
          <w:rFonts w:cstheme="minorHAnsi"/>
        </w:rPr>
        <w:t xml:space="preserve"> </w:t>
      </w:r>
      <w:r w:rsidR="00FF7269" w:rsidRPr="00A77AF6">
        <w:rPr>
          <w:rFonts w:cstheme="minorHAnsi"/>
        </w:rPr>
        <w:t>C</w:t>
      </w:r>
      <w:r w:rsidR="00600648" w:rsidRPr="00A77AF6">
        <w:rPr>
          <w:rFonts w:cstheme="minorHAnsi"/>
        </w:rPr>
        <w:t xml:space="preserve">orporate governance has an important part to play in organisations because of its influence on behaviours and that governance structures, policies and roles help managers to know what to do in their daily decision making </w:t>
      </w:r>
      <w:sdt>
        <w:sdtPr>
          <w:rPr>
            <w:rFonts w:cstheme="minorHAnsi"/>
          </w:rPr>
          <w:id w:val="-1373456405"/>
          <w:citation/>
        </w:sdtPr>
        <w:sdtEndPr/>
        <w:sdtContent>
          <w:r w:rsidR="00600648" w:rsidRPr="00A77AF6">
            <w:rPr>
              <w:rFonts w:cstheme="minorHAnsi"/>
            </w:rPr>
            <w:fldChar w:fldCharType="begin"/>
          </w:r>
          <w:r w:rsidR="00600648" w:rsidRPr="00A77AF6">
            <w:rPr>
              <w:rFonts w:cstheme="minorHAnsi"/>
            </w:rPr>
            <w:instrText xml:space="preserve"> CITATION Mul09 \l 2057 </w:instrText>
          </w:r>
          <w:r w:rsidR="00600648" w:rsidRPr="00A77AF6">
            <w:rPr>
              <w:rFonts w:cstheme="minorHAnsi"/>
            </w:rPr>
            <w:fldChar w:fldCharType="separate"/>
          </w:r>
          <w:r w:rsidR="008E653F" w:rsidRPr="00A77AF6">
            <w:rPr>
              <w:rFonts w:cstheme="minorHAnsi"/>
            </w:rPr>
            <w:t>(Müller, 2009)</w:t>
          </w:r>
          <w:r w:rsidR="00600648" w:rsidRPr="00A77AF6">
            <w:rPr>
              <w:rFonts w:cstheme="minorHAnsi"/>
            </w:rPr>
            <w:fldChar w:fldCharType="end"/>
          </w:r>
        </w:sdtContent>
      </w:sdt>
      <w:r w:rsidR="00600648" w:rsidRPr="00A77AF6">
        <w:rPr>
          <w:rFonts w:cstheme="minorHAnsi"/>
        </w:rPr>
        <w:t xml:space="preserve">.  </w:t>
      </w:r>
    </w:p>
    <w:p w14:paraId="6325C2E6" w14:textId="3686453B" w:rsidR="00214338" w:rsidRPr="00A77AF6" w:rsidRDefault="004945C1" w:rsidP="00FF7269">
      <w:pPr>
        <w:spacing w:after="0" w:line="360" w:lineRule="auto"/>
        <w:rPr>
          <w:rFonts w:cstheme="minorHAnsi"/>
        </w:rPr>
      </w:pPr>
      <w:r w:rsidRPr="00A77AF6">
        <w:rPr>
          <w:rFonts w:cstheme="minorHAnsi"/>
        </w:rPr>
        <w:t xml:space="preserve">The Institute of Directors </w:t>
      </w:r>
      <w:r w:rsidR="00600648" w:rsidRPr="00A77AF6">
        <w:rPr>
          <w:rFonts w:cstheme="minorHAnsi"/>
        </w:rPr>
        <w:t xml:space="preserve">(2005) </w:t>
      </w:r>
      <w:r w:rsidRPr="00A77AF6">
        <w:rPr>
          <w:rFonts w:cstheme="minorHAnsi"/>
        </w:rPr>
        <w:t>argued that</w:t>
      </w:r>
      <w:r w:rsidR="00600648" w:rsidRPr="00A77AF6">
        <w:rPr>
          <w:rFonts w:cstheme="minorHAnsi"/>
        </w:rPr>
        <w:t xml:space="preserve"> governance frameworks will ensure </w:t>
      </w:r>
    </w:p>
    <w:p w14:paraId="0DB98883" w14:textId="118FB9CB" w:rsidR="00214338" w:rsidRPr="00A77AF6" w:rsidRDefault="004945C1" w:rsidP="009D0F2A">
      <w:pPr>
        <w:spacing w:line="240" w:lineRule="auto"/>
        <w:ind w:left="720"/>
        <w:rPr>
          <w:rFonts w:cstheme="minorHAnsi"/>
        </w:rPr>
      </w:pPr>
      <w:r w:rsidRPr="00A77AF6">
        <w:rPr>
          <w:rFonts w:cstheme="minorHAnsi"/>
          <w:i/>
          <w:iCs/>
        </w:rPr>
        <w:t xml:space="preserve"> </w:t>
      </w:r>
      <w:r w:rsidR="00214338" w:rsidRPr="00A77AF6">
        <w:rPr>
          <w:rFonts w:cstheme="minorHAnsi"/>
          <w:i/>
          <w:iCs/>
        </w:rPr>
        <w:t>‘</w:t>
      </w:r>
      <w:r w:rsidRPr="00A77AF6">
        <w:rPr>
          <w:rFonts w:cstheme="minorHAnsi"/>
          <w:i/>
          <w:iCs/>
        </w:rPr>
        <w:t>that corporate boards effectively monitor managerial performance</w:t>
      </w:r>
      <w:r w:rsidR="00600648" w:rsidRPr="00A77AF6">
        <w:rPr>
          <w:rFonts w:cstheme="minorHAnsi"/>
          <w:i/>
          <w:iCs/>
        </w:rPr>
        <w:t>…</w:t>
      </w:r>
      <w:r w:rsidRPr="00A77AF6">
        <w:rPr>
          <w:rFonts w:cstheme="minorHAnsi"/>
          <w:i/>
          <w:iCs/>
        </w:rPr>
        <w:t>– reinforcing the values of fairness, transparency, accountability and responsibility’</w:t>
      </w:r>
      <w:r w:rsidRPr="00A77AF6">
        <w:rPr>
          <w:rFonts w:cstheme="minorHAnsi"/>
        </w:rPr>
        <w:t xml:space="preserve"> </w:t>
      </w:r>
      <w:sdt>
        <w:sdtPr>
          <w:rPr>
            <w:rFonts w:cstheme="minorHAnsi"/>
          </w:rPr>
          <w:id w:val="489136472"/>
          <w:citation/>
        </w:sdtPr>
        <w:sdtEndPr/>
        <w:sdtContent>
          <w:r w:rsidR="00214338" w:rsidRPr="00A77AF6">
            <w:rPr>
              <w:rFonts w:cstheme="minorHAnsi"/>
            </w:rPr>
            <w:fldChar w:fldCharType="begin"/>
          </w:r>
          <w:r w:rsidR="00214338" w:rsidRPr="00A77AF6">
            <w:rPr>
              <w:rFonts w:cstheme="minorHAnsi"/>
            </w:rPr>
            <w:instrText xml:space="preserve">CITATION Ins05 \l 2057 </w:instrText>
          </w:r>
          <w:r w:rsidR="00214338" w:rsidRPr="00A77AF6">
            <w:rPr>
              <w:rFonts w:cstheme="minorHAnsi"/>
            </w:rPr>
            <w:fldChar w:fldCharType="separate"/>
          </w:r>
          <w:r w:rsidR="008E653F" w:rsidRPr="00A77AF6">
            <w:rPr>
              <w:rFonts w:cstheme="minorHAnsi"/>
            </w:rPr>
            <w:t>(Institute of Directors, 2005)</w:t>
          </w:r>
          <w:r w:rsidR="00214338" w:rsidRPr="00A77AF6">
            <w:rPr>
              <w:rFonts w:cstheme="minorHAnsi"/>
            </w:rPr>
            <w:fldChar w:fldCharType="end"/>
          </w:r>
        </w:sdtContent>
      </w:sdt>
      <w:r w:rsidR="00214338" w:rsidRPr="00A77AF6">
        <w:rPr>
          <w:rFonts w:cstheme="minorHAnsi"/>
        </w:rPr>
        <w:t>.</w:t>
      </w:r>
    </w:p>
    <w:p w14:paraId="7A1E4B3E" w14:textId="77777777" w:rsidR="00214338" w:rsidRPr="00A77AF6" w:rsidRDefault="00214338" w:rsidP="00214338">
      <w:pPr>
        <w:spacing w:line="360" w:lineRule="auto"/>
        <w:rPr>
          <w:rFonts w:cstheme="minorHAnsi"/>
        </w:rPr>
      </w:pPr>
      <w:r w:rsidRPr="00A77AF6">
        <w:rPr>
          <w:rFonts w:cstheme="minorHAnsi"/>
        </w:rPr>
        <w:t xml:space="preserve">The corporate structures and roles suggested for ensuring good corporate governance are defined below.  These structures are for UK listed companies only. </w:t>
      </w:r>
    </w:p>
    <w:p w14:paraId="57788547" w14:textId="7E460D72" w:rsidR="004945C1" w:rsidRPr="00A77AF6" w:rsidRDefault="008B3C29" w:rsidP="008B3C29">
      <w:pPr>
        <w:pStyle w:val="Heading3"/>
        <w:spacing w:after="120"/>
      </w:pPr>
      <w:bookmarkStart w:id="70" w:name="_Toc36275072"/>
      <w:r w:rsidRPr="00A77AF6">
        <w:t>The board and c</w:t>
      </w:r>
      <w:r w:rsidR="004945C1" w:rsidRPr="00A77AF6">
        <w:t>ommittees</w:t>
      </w:r>
      <w:r w:rsidRPr="00A77AF6">
        <w:t xml:space="preserve"> of the board</w:t>
      </w:r>
      <w:bookmarkEnd w:id="70"/>
      <w:r w:rsidRPr="00A77AF6">
        <w:t xml:space="preserve"> </w:t>
      </w:r>
    </w:p>
    <w:p w14:paraId="5126F8DE" w14:textId="77777777" w:rsidR="004945C1" w:rsidRPr="00A77AF6" w:rsidRDefault="004945C1" w:rsidP="004945C1">
      <w:pPr>
        <w:spacing w:line="360" w:lineRule="auto"/>
        <w:rPr>
          <w:rFonts w:cstheme="minorHAnsi"/>
        </w:rPr>
      </w:pPr>
      <w:r w:rsidRPr="00A77AF6">
        <w:rPr>
          <w:rFonts w:cstheme="minorHAnsi"/>
        </w:rPr>
        <w:t xml:space="preserve">This section identifies and discusses the role of the Board and main committees of the board in the UK.  </w:t>
      </w:r>
    </w:p>
    <w:p w14:paraId="7AA4D97B" w14:textId="77777777" w:rsidR="0090418A" w:rsidRPr="00A77AF6" w:rsidRDefault="004945C1" w:rsidP="0090418A">
      <w:pPr>
        <w:pStyle w:val="Heading4"/>
        <w:numPr>
          <w:ilvl w:val="0"/>
          <w:numId w:val="0"/>
        </w:numPr>
        <w:spacing w:after="120"/>
      </w:pPr>
      <w:r w:rsidRPr="00A77AF6">
        <w:t xml:space="preserve">The </w:t>
      </w:r>
      <w:r w:rsidR="008B3C29" w:rsidRPr="00A77AF6">
        <w:t>b</w:t>
      </w:r>
      <w:r w:rsidRPr="00A77AF6">
        <w:t>oard</w:t>
      </w:r>
    </w:p>
    <w:p w14:paraId="368B0580" w14:textId="49A67450" w:rsidR="00631790" w:rsidRPr="00A77AF6" w:rsidRDefault="004945C1" w:rsidP="0090418A">
      <w:pPr>
        <w:spacing w:line="360" w:lineRule="auto"/>
      </w:pPr>
      <w:r w:rsidRPr="00A77AF6">
        <w:t xml:space="preserve">The focus of attention </w:t>
      </w:r>
      <w:r w:rsidR="00682924" w:rsidRPr="00A77AF6">
        <w:t>in</w:t>
      </w:r>
      <w:r w:rsidRPr="00A77AF6">
        <w:t xml:space="preserve"> corporate governance is the </w:t>
      </w:r>
      <w:r w:rsidR="00770C7F" w:rsidRPr="00A77AF6">
        <w:t>b</w:t>
      </w:r>
      <w:r w:rsidRPr="00A77AF6">
        <w:t xml:space="preserve">oard, </w:t>
      </w:r>
      <w:r w:rsidR="00682924" w:rsidRPr="00A77AF6">
        <w:t xml:space="preserve">the behaviour, </w:t>
      </w:r>
      <w:r w:rsidRPr="00A77AF6">
        <w:t xml:space="preserve"> roles and responsibilities of its members and the structures and information flow which support </w:t>
      </w:r>
      <w:r w:rsidR="00770C7F" w:rsidRPr="00A77AF6">
        <w:t>it</w:t>
      </w:r>
      <w:r w:rsidRPr="00A77AF6">
        <w:t xml:space="preserve">.  This requires an adequate flow of information so that </w:t>
      </w:r>
      <w:r w:rsidR="00770C7F" w:rsidRPr="00A77AF6">
        <w:t>b</w:t>
      </w:r>
      <w:r w:rsidRPr="00A77AF6">
        <w:t>oard members can make decision</w:t>
      </w:r>
      <w:r w:rsidR="00770C7F" w:rsidRPr="00A77AF6">
        <w:t>s</w:t>
      </w:r>
      <w:r w:rsidRPr="00A77AF6">
        <w:t xml:space="preserve"> based on accurate and relevant information</w:t>
      </w:r>
      <w:r w:rsidR="00770C7F" w:rsidRPr="00A77AF6">
        <w:t xml:space="preserve"> </w:t>
      </w:r>
      <w:sdt>
        <w:sdtPr>
          <w:id w:val="-491636093"/>
          <w:citation/>
        </w:sdtPr>
        <w:sdtEndPr/>
        <w:sdtContent>
          <w:r w:rsidR="00770C7F" w:rsidRPr="00A77AF6">
            <w:fldChar w:fldCharType="begin"/>
          </w:r>
          <w:r w:rsidR="00770C7F" w:rsidRPr="00A77AF6">
            <w:instrText xml:space="preserve"> CITATION Cha141 \l 2057 </w:instrText>
          </w:r>
          <w:r w:rsidR="00770C7F" w:rsidRPr="00A77AF6">
            <w:fldChar w:fldCharType="separate"/>
          </w:r>
          <w:r w:rsidR="008E653F" w:rsidRPr="00A77AF6">
            <w:t>(Chambers, 2014)</w:t>
          </w:r>
          <w:r w:rsidR="00770C7F" w:rsidRPr="00A77AF6">
            <w:fldChar w:fldCharType="end"/>
          </w:r>
        </w:sdtContent>
      </w:sdt>
      <w:r w:rsidRPr="00A77AF6">
        <w:t xml:space="preserve">. The </w:t>
      </w:r>
      <w:r w:rsidR="00770C7F" w:rsidRPr="00A77AF6">
        <w:t xml:space="preserve">relationship between the </w:t>
      </w:r>
      <w:r w:rsidR="008D1C7F" w:rsidRPr="00A77AF6">
        <w:t>b</w:t>
      </w:r>
      <w:r w:rsidRPr="00A77AF6">
        <w:t xml:space="preserve">oard and </w:t>
      </w:r>
      <w:r w:rsidR="00770C7F" w:rsidRPr="00A77AF6">
        <w:t xml:space="preserve">the </w:t>
      </w:r>
      <w:r w:rsidRPr="00A77AF6">
        <w:t>committee</w:t>
      </w:r>
      <w:r w:rsidR="00770C7F" w:rsidRPr="00A77AF6">
        <w:t>s is</w:t>
      </w:r>
      <w:r w:rsidRPr="00A77AF6">
        <w:t xml:space="preserve"> shown in Figure</w:t>
      </w:r>
      <w:r w:rsidR="0007452B" w:rsidRPr="00A77AF6">
        <w:t xml:space="preserve"> 4-2</w:t>
      </w:r>
      <w:r w:rsidRPr="00A77AF6">
        <w:t xml:space="preserve"> </w:t>
      </w:r>
      <w:r w:rsidR="00770C7F" w:rsidRPr="00A77AF6">
        <w:t xml:space="preserve">. The committees’ role is to support the board. </w:t>
      </w:r>
      <w:r w:rsidR="00631790" w:rsidRPr="00A77AF6">
        <w:t>The committees of the Board support the Board and CEO in the operational management of the organisation.</w:t>
      </w:r>
    </w:p>
    <w:p w14:paraId="3C18504A" w14:textId="77777777" w:rsidR="007659D9" w:rsidRPr="00A77AF6" w:rsidRDefault="007659D9">
      <w:pPr>
        <w:rPr>
          <w:rFonts w:cstheme="minorHAnsi"/>
        </w:rPr>
      </w:pPr>
      <w:r w:rsidRPr="00A77AF6">
        <w:rPr>
          <w:rFonts w:cstheme="minorHAnsi"/>
        </w:rPr>
        <w:br w:type="page"/>
      </w:r>
    </w:p>
    <w:p w14:paraId="1840BE65" w14:textId="565743C1" w:rsidR="00770C7F" w:rsidRPr="00A77AF6" w:rsidRDefault="00CD7067" w:rsidP="00770C7F">
      <w:pPr>
        <w:spacing w:line="480" w:lineRule="auto"/>
        <w:rPr>
          <w:rFonts w:cstheme="minorHAnsi"/>
        </w:rPr>
      </w:pPr>
      <w:r w:rsidRPr="00A77AF6">
        <w:rPr>
          <w:rFonts w:cstheme="minorHAnsi"/>
          <w:noProof/>
        </w:rPr>
        <w:lastRenderedPageBreak/>
        <mc:AlternateContent>
          <mc:Choice Requires="wpg">
            <w:drawing>
              <wp:anchor distT="0" distB="0" distL="114300" distR="114300" simplePos="0" relativeHeight="251933184" behindDoc="0" locked="0" layoutInCell="1" allowOverlap="1" wp14:anchorId="6CCF1622" wp14:editId="311E0BDD">
                <wp:simplePos x="0" y="0"/>
                <wp:positionH relativeFrom="column">
                  <wp:posOffset>259411</wp:posOffset>
                </wp:positionH>
                <wp:positionV relativeFrom="paragraph">
                  <wp:posOffset>89452</wp:posOffset>
                </wp:positionV>
                <wp:extent cx="4327662" cy="2152650"/>
                <wp:effectExtent l="0" t="0" r="15875" b="19050"/>
                <wp:wrapNone/>
                <wp:docPr id="230" name="Group 230"/>
                <wp:cNvGraphicFramePr/>
                <a:graphic xmlns:a="http://schemas.openxmlformats.org/drawingml/2006/main">
                  <a:graphicData uri="http://schemas.microsoft.com/office/word/2010/wordprocessingGroup">
                    <wpg:wgp>
                      <wpg:cNvGrpSpPr/>
                      <wpg:grpSpPr>
                        <a:xfrm>
                          <a:off x="0" y="0"/>
                          <a:ext cx="4327662" cy="2152650"/>
                          <a:chOff x="-87717" y="0"/>
                          <a:chExt cx="4774221" cy="2208419"/>
                        </a:xfrm>
                      </wpg:grpSpPr>
                      <wps:wsp>
                        <wps:cNvPr id="23" name="Rectangle 23"/>
                        <wps:cNvSpPr/>
                        <wps:spPr>
                          <a:xfrm>
                            <a:off x="-87717" y="866775"/>
                            <a:ext cx="908042" cy="57964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B513D80" w14:textId="77777777" w:rsidR="009C0325" w:rsidRPr="00131C84" w:rsidRDefault="009C0325" w:rsidP="00131C84">
                              <w:pPr>
                                <w:spacing w:after="0"/>
                                <w:rPr>
                                  <w:color w:val="000000" w:themeColor="text1"/>
                                  <w:sz w:val="16"/>
                                  <w:szCs w:val="16"/>
                                </w:rPr>
                              </w:pPr>
                              <w:r w:rsidRPr="00131C84">
                                <w:rPr>
                                  <w:color w:val="000000" w:themeColor="text1"/>
                                  <w:sz w:val="16"/>
                                  <w:szCs w:val="16"/>
                                </w:rPr>
                                <w:t>Remuneration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1028629" y="885825"/>
                            <a:ext cx="857223" cy="56059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16C5B56" w14:textId="6C660E43" w:rsidR="009C0325" w:rsidRPr="00131C84" w:rsidRDefault="009C0325" w:rsidP="00131C84">
                              <w:pPr>
                                <w:spacing w:after="0"/>
                                <w:rPr>
                                  <w:color w:val="000000" w:themeColor="text1"/>
                                  <w:sz w:val="16"/>
                                  <w:szCs w:val="16"/>
                                </w:rPr>
                              </w:pPr>
                              <w:r w:rsidRPr="00131C84">
                                <w:rPr>
                                  <w:color w:val="000000" w:themeColor="text1"/>
                                  <w:sz w:val="16"/>
                                  <w:szCs w:val="16"/>
                                </w:rPr>
                                <w:t>Nominations</w:t>
                              </w:r>
                            </w:p>
                            <w:p w14:paraId="223E1DD9" w14:textId="7500B902" w:rsidR="009C0325" w:rsidRPr="00131C84" w:rsidRDefault="009C0325" w:rsidP="00131C84">
                              <w:pPr>
                                <w:spacing w:after="0"/>
                                <w:jc w:val="center"/>
                                <w:rPr>
                                  <w:color w:val="000000" w:themeColor="text1"/>
                                  <w:sz w:val="16"/>
                                  <w:szCs w:val="16"/>
                                </w:rPr>
                              </w:pPr>
                              <w:r w:rsidRPr="00131C84">
                                <w:rPr>
                                  <w:color w:val="000000" w:themeColor="text1"/>
                                  <w:sz w:val="16"/>
                                  <w:szCs w:val="16"/>
                                </w:rPr>
                                <w:t>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ectangle 226"/>
                        <wps:cNvSpPr/>
                        <wps:spPr>
                          <a:xfrm>
                            <a:off x="1885950" y="0"/>
                            <a:ext cx="936654" cy="57964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0234F99" w14:textId="3537BB39" w:rsidR="009C0325" w:rsidRPr="00131C84" w:rsidRDefault="009C0325" w:rsidP="006C5602">
                              <w:pPr>
                                <w:spacing w:before="240" w:after="0"/>
                                <w:jc w:val="center"/>
                                <w:rPr>
                                  <w:color w:val="000000" w:themeColor="text1"/>
                                  <w:sz w:val="16"/>
                                  <w:szCs w:val="16"/>
                                </w:rPr>
                              </w:pPr>
                              <w:r w:rsidRPr="00131C84">
                                <w:rPr>
                                  <w:color w:val="000000" w:themeColor="text1"/>
                                  <w:sz w:val="16"/>
                                  <w:szCs w:val="16"/>
                                </w:rPr>
                                <w:t>The Board</w:t>
                              </w:r>
                            </w:p>
                            <w:p w14:paraId="288627F3" w14:textId="77777777" w:rsidR="009C0325" w:rsidRDefault="009C0325" w:rsidP="006C56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Straight Connector 233"/>
                        <wps:cNvCnPr/>
                        <wps:spPr>
                          <a:xfrm>
                            <a:off x="2343150" y="581025"/>
                            <a:ext cx="0" cy="1048048"/>
                          </a:xfrm>
                          <a:prstGeom prst="line">
                            <a:avLst/>
                          </a:prstGeom>
                        </wps:spPr>
                        <wps:style>
                          <a:lnRef idx="1">
                            <a:schemeClr val="dk1"/>
                          </a:lnRef>
                          <a:fillRef idx="0">
                            <a:schemeClr val="dk1"/>
                          </a:fillRef>
                          <a:effectRef idx="0">
                            <a:schemeClr val="dk1"/>
                          </a:effectRef>
                          <a:fontRef idx="minor">
                            <a:schemeClr val="tx1"/>
                          </a:fontRef>
                        </wps:style>
                        <wps:bodyPr/>
                      </wps:wsp>
                      <wps:wsp>
                        <wps:cNvPr id="28" name="Rectangle 28"/>
                        <wps:cNvSpPr/>
                        <wps:spPr>
                          <a:xfrm>
                            <a:off x="2838450" y="885825"/>
                            <a:ext cx="790909" cy="57964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99CF612" w14:textId="64E892C4" w:rsidR="009C0325" w:rsidRPr="00131C84" w:rsidRDefault="009C0325" w:rsidP="006C5602">
                              <w:pPr>
                                <w:spacing w:after="0" w:line="240" w:lineRule="auto"/>
                                <w:jc w:val="center"/>
                                <w:rPr>
                                  <w:color w:val="000000" w:themeColor="text1"/>
                                  <w:sz w:val="16"/>
                                  <w:szCs w:val="16"/>
                                </w:rPr>
                              </w:pPr>
                              <w:r w:rsidRPr="00131C84">
                                <w:rPr>
                                  <w:color w:val="000000" w:themeColor="text1"/>
                                  <w:sz w:val="16"/>
                                  <w:szCs w:val="16"/>
                                </w:rPr>
                                <w:t>Audit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3886200" y="885825"/>
                            <a:ext cx="800304" cy="57912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F510D66" w14:textId="7C74C96F" w:rsidR="009C0325" w:rsidRPr="00131C84" w:rsidRDefault="009C0325" w:rsidP="006C5602">
                              <w:pPr>
                                <w:spacing w:after="0" w:line="240" w:lineRule="auto"/>
                                <w:jc w:val="center"/>
                                <w:rPr>
                                  <w:color w:val="000000" w:themeColor="text1"/>
                                  <w:sz w:val="16"/>
                                  <w:szCs w:val="16"/>
                                </w:rPr>
                              </w:pPr>
                              <w:r w:rsidRPr="00131C84">
                                <w:rPr>
                                  <w:color w:val="000000" w:themeColor="text1"/>
                                  <w:sz w:val="16"/>
                                  <w:szCs w:val="16"/>
                                </w:rPr>
                                <w:t>Risk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Straight Connector 236"/>
                        <wps:cNvCnPr/>
                        <wps:spPr>
                          <a:xfrm>
                            <a:off x="457200" y="657225"/>
                            <a:ext cx="3886262" cy="0"/>
                          </a:xfrm>
                          <a:prstGeom prst="line">
                            <a:avLst/>
                          </a:prstGeom>
                        </wps:spPr>
                        <wps:style>
                          <a:lnRef idx="1">
                            <a:schemeClr val="dk1"/>
                          </a:lnRef>
                          <a:fillRef idx="0">
                            <a:schemeClr val="dk1"/>
                          </a:fillRef>
                          <a:effectRef idx="0">
                            <a:schemeClr val="dk1"/>
                          </a:effectRef>
                          <a:fontRef idx="minor">
                            <a:schemeClr val="tx1"/>
                          </a:fontRef>
                        </wps:style>
                        <wps:bodyPr/>
                      </wps:wsp>
                      <wps:wsp>
                        <wps:cNvPr id="22" name="Rectangle 22"/>
                        <wps:cNvSpPr/>
                        <wps:spPr>
                          <a:xfrm>
                            <a:off x="1905000" y="1628775"/>
                            <a:ext cx="936654" cy="57964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0304D00" w14:textId="2EBB42D6" w:rsidR="009C0325" w:rsidRPr="00131C84" w:rsidRDefault="009C0325" w:rsidP="006C5602">
                              <w:pPr>
                                <w:jc w:val="center"/>
                                <w:rPr>
                                  <w:color w:val="000000" w:themeColor="text1"/>
                                  <w:sz w:val="16"/>
                                  <w:szCs w:val="16"/>
                                </w:rPr>
                              </w:pPr>
                              <w:r w:rsidRPr="00131C84">
                                <w:rPr>
                                  <w:color w:val="000000" w:themeColor="text1"/>
                                  <w:sz w:val="16"/>
                                  <w:szCs w:val="16"/>
                                </w:rPr>
                                <w:t xml:space="preserve">Operational management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Connector 18"/>
                        <wps:cNvCnPr/>
                        <wps:spPr>
                          <a:xfrm>
                            <a:off x="457200" y="657225"/>
                            <a:ext cx="1781" cy="212090"/>
                          </a:xfrm>
                          <a:prstGeom prst="line">
                            <a:avLst/>
                          </a:prstGeom>
                        </wps:spPr>
                        <wps:style>
                          <a:lnRef idx="1">
                            <a:schemeClr val="dk1"/>
                          </a:lnRef>
                          <a:fillRef idx="0">
                            <a:schemeClr val="dk1"/>
                          </a:fillRef>
                          <a:effectRef idx="0">
                            <a:schemeClr val="dk1"/>
                          </a:effectRef>
                          <a:fontRef idx="minor">
                            <a:schemeClr val="tx1"/>
                          </a:fontRef>
                        </wps:style>
                        <wps:bodyPr/>
                      </wps:wsp>
                      <wps:wsp>
                        <wps:cNvPr id="19" name="Straight Connector 19"/>
                        <wps:cNvCnPr/>
                        <wps:spPr>
                          <a:xfrm>
                            <a:off x="1447800" y="657225"/>
                            <a:ext cx="0" cy="212567"/>
                          </a:xfrm>
                          <a:prstGeom prst="line">
                            <a:avLst/>
                          </a:prstGeom>
                        </wps:spPr>
                        <wps:style>
                          <a:lnRef idx="1">
                            <a:schemeClr val="dk1"/>
                          </a:lnRef>
                          <a:fillRef idx="0">
                            <a:schemeClr val="dk1"/>
                          </a:fillRef>
                          <a:effectRef idx="0">
                            <a:schemeClr val="dk1"/>
                          </a:effectRef>
                          <a:fontRef idx="minor">
                            <a:schemeClr val="tx1"/>
                          </a:fontRef>
                        </wps:style>
                        <wps:bodyPr/>
                      </wps:wsp>
                      <wps:wsp>
                        <wps:cNvPr id="21" name="Straight Connector 21"/>
                        <wps:cNvCnPr/>
                        <wps:spPr>
                          <a:xfrm>
                            <a:off x="3257550" y="657225"/>
                            <a:ext cx="0" cy="214077"/>
                          </a:xfrm>
                          <a:prstGeom prst="line">
                            <a:avLst/>
                          </a:prstGeom>
                        </wps:spPr>
                        <wps:style>
                          <a:lnRef idx="1">
                            <a:schemeClr val="dk1"/>
                          </a:lnRef>
                          <a:fillRef idx="0">
                            <a:schemeClr val="dk1"/>
                          </a:fillRef>
                          <a:effectRef idx="0">
                            <a:schemeClr val="dk1"/>
                          </a:effectRef>
                          <a:fontRef idx="minor">
                            <a:schemeClr val="tx1"/>
                          </a:fontRef>
                        </wps:style>
                        <wps:bodyPr/>
                      </wps:wsp>
                      <wps:wsp>
                        <wps:cNvPr id="24" name="Straight Connector 24"/>
                        <wps:cNvCnPr/>
                        <wps:spPr>
                          <a:xfrm>
                            <a:off x="4343400" y="657225"/>
                            <a:ext cx="0" cy="212567"/>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CF1622" id="Group 230" o:spid="_x0000_s1026" style="position:absolute;margin-left:20.45pt;margin-top:7.05pt;width:340.75pt;height:169.5pt;z-index:251933184;mso-width-relative:margin;mso-height-relative:margin" coordorigin="-877" coordsize="47742,22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">
                <v:rect id="Rectangle 23" o:spid="_x0000_s1027" style="position:absolute;left:-877;top:8667;width:9080;height:5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" filled="f" strokecolor="#1f4d78 [1604]" strokeweight="1pt">
                  <v:textbox>
                    <w:txbxContent>
                      <w:p w14:paraId="7B513D80" w14:textId="77777777" w:rsidR="009C0325" w:rsidRPr="00131C84" w:rsidRDefault="009C0325" w:rsidP="00131C84">
                        <w:pPr>
                          <w:spacing w:after="0"/>
                          <w:rPr>
                            <w:color w:val="000000" w:themeColor="text1"/>
                            <w:sz w:val="16"/>
                            <w:szCs w:val="16"/>
                          </w:rPr>
                        </w:pPr>
                        <w:r w:rsidRPr="00131C84">
                          <w:rPr>
                            <w:color w:val="000000" w:themeColor="text1"/>
                            <w:sz w:val="16"/>
                            <w:szCs w:val="16"/>
                          </w:rPr>
                          <w:t>Remuneration committee</w:t>
                        </w:r>
                      </w:p>
                    </w:txbxContent>
                  </v:textbox>
                </v:rect>
                <v:rect id="Rectangle 25" o:spid="_x0000_s1028" style="position:absolute;left:10286;top:8858;width:8572;height:5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" filled="f" strokecolor="#1f4d78 [1604]" strokeweight="1pt">
                  <v:textbox>
                    <w:txbxContent>
                      <w:p w14:paraId="716C5B56" w14:textId="6C660E43" w:rsidR="009C0325" w:rsidRPr="00131C84" w:rsidRDefault="009C0325" w:rsidP="00131C84">
                        <w:pPr>
                          <w:spacing w:after="0"/>
                          <w:rPr>
                            <w:color w:val="000000" w:themeColor="text1"/>
                            <w:sz w:val="16"/>
                            <w:szCs w:val="16"/>
                          </w:rPr>
                        </w:pPr>
                        <w:r w:rsidRPr="00131C84">
                          <w:rPr>
                            <w:color w:val="000000" w:themeColor="text1"/>
                            <w:sz w:val="16"/>
                            <w:szCs w:val="16"/>
                          </w:rPr>
                          <w:t>Nominations</w:t>
                        </w:r>
                      </w:p>
                      <w:p w14:paraId="223E1DD9" w14:textId="7500B902" w:rsidR="009C0325" w:rsidRPr="00131C84" w:rsidRDefault="009C0325" w:rsidP="00131C84">
                        <w:pPr>
                          <w:spacing w:after="0"/>
                          <w:jc w:val="center"/>
                          <w:rPr>
                            <w:color w:val="000000" w:themeColor="text1"/>
                            <w:sz w:val="16"/>
                            <w:szCs w:val="16"/>
                          </w:rPr>
                        </w:pPr>
                        <w:r w:rsidRPr="00131C84">
                          <w:rPr>
                            <w:color w:val="000000" w:themeColor="text1"/>
                            <w:sz w:val="16"/>
                            <w:szCs w:val="16"/>
                          </w:rPr>
                          <w:t>committee</w:t>
                        </w:r>
                      </w:p>
                    </w:txbxContent>
                  </v:textbox>
                </v:rect>
                <v:rect id="Rectangle 226" o:spid="_x0000_s1029" style="position:absolute;left:18859;width:9367;height:5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" filled="f" strokecolor="#1f4d78 [1604]" strokeweight="1pt">
                  <v:textbox>
                    <w:txbxContent>
                      <w:p w14:paraId="40234F99" w14:textId="3537BB39" w:rsidR="009C0325" w:rsidRPr="00131C84" w:rsidRDefault="009C0325" w:rsidP="006C5602">
                        <w:pPr>
                          <w:spacing w:before="240" w:after="0"/>
                          <w:jc w:val="center"/>
                          <w:rPr>
                            <w:color w:val="000000" w:themeColor="text1"/>
                            <w:sz w:val="16"/>
                            <w:szCs w:val="16"/>
                          </w:rPr>
                        </w:pPr>
                        <w:r w:rsidRPr="00131C84">
                          <w:rPr>
                            <w:color w:val="000000" w:themeColor="text1"/>
                            <w:sz w:val="16"/>
                            <w:szCs w:val="16"/>
                          </w:rPr>
                          <w:t>The Board</w:t>
                        </w:r>
                      </w:p>
                      <w:p w14:paraId="288627F3" w14:textId="77777777" w:rsidR="009C0325" w:rsidRDefault="009C0325" w:rsidP="006C5602">
                        <w:pPr>
                          <w:jc w:val="center"/>
                        </w:pPr>
                      </w:p>
                    </w:txbxContent>
                  </v:textbox>
                </v:rect>
                <v:line id="Straight Connector 233" o:spid="_x0000_s1030" style="position:absolute;visibility:visible;mso-wrap-style:square" from="23431,5810" to="23431,1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" strokecolor="black [3200]" strokeweight=".5pt">
                  <v:stroke joinstyle="miter"/>
                </v:line>
                <v:rect id="Rectangle 28" o:spid="_x0000_s1031" style="position:absolute;left:28384;top:8858;width:7909;height:5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" filled="f" strokecolor="#1f4d78 [1604]" strokeweight="1pt">
                  <v:textbox>
                    <w:txbxContent>
                      <w:p w14:paraId="099CF612" w14:textId="64E892C4" w:rsidR="009C0325" w:rsidRPr="00131C84" w:rsidRDefault="009C0325" w:rsidP="006C5602">
                        <w:pPr>
                          <w:spacing w:after="0" w:line="240" w:lineRule="auto"/>
                          <w:jc w:val="center"/>
                          <w:rPr>
                            <w:color w:val="000000" w:themeColor="text1"/>
                            <w:sz w:val="16"/>
                            <w:szCs w:val="16"/>
                          </w:rPr>
                        </w:pPr>
                        <w:r w:rsidRPr="00131C84">
                          <w:rPr>
                            <w:color w:val="000000" w:themeColor="text1"/>
                            <w:sz w:val="16"/>
                            <w:szCs w:val="16"/>
                          </w:rPr>
                          <w:t>Audit committee</w:t>
                        </w:r>
                      </w:p>
                    </w:txbxContent>
                  </v:textbox>
                </v:rect>
                <v:rect id="Rectangle 30" o:spid="_x0000_s1032" style="position:absolute;left:38862;top:8858;width:8003;height:5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" filled="f" strokecolor="#1f4d78 [1604]" strokeweight="1pt">
                  <v:textbox>
                    <w:txbxContent>
                      <w:p w14:paraId="0F510D66" w14:textId="7C74C96F" w:rsidR="009C0325" w:rsidRPr="00131C84" w:rsidRDefault="009C0325" w:rsidP="006C5602">
                        <w:pPr>
                          <w:spacing w:after="0" w:line="240" w:lineRule="auto"/>
                          <w:jc w:val="center"/>
                          <w:rPr>
                            <w:color w:val="000000" w:themeColor="text1"/>
                            <w:sz w:val="16"/>
                            <w:szCs w:val="16"/>
                          </w:rPr>
                        </w:pPr>
                        <w:r w:rsidRPr="00131C84">
                          <w:rPr>
                            <w:color w:val="000000" w:themeColor="text1"/>
                            <w:sz w:val="16"/>
                            <w:szCs w:val="16"/>
                          </w:rPr>
                          <w:t>Risk committee</w:t>
                        </w:r>
                      </w:p>
                    </w:txbxContent>
                  </v:textbox>
                </v:rect>
                <v:line id="Straight Connector 236" o:spid="_x0000_s1033" style="position:absolute;visibility:visible;mso-wrap-style:square" from="4572,6572" to="43434,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" strokecolor="black [3200]" strokeweight=".5pt">
                  <v:stroke joinstyle="miter"/>
                </v:line>
                <v:rect id="Rectangle 22" o:spid="_x0000_s1034" style="position:absolute;left:19050;top:16287;width:9366;height:5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" filled="f" strokecolor="#1f4d78 [1604]" strokeweight="1pt">
                  <v:textbox>
                    <w:txbxContent>
                      <w:p w14:paraId="40304D00" w14:textId="2EBB42D6" w:rsidR="009C0325" w:rsidRPr="00131C84" w:rsidRDefault="009C0325" w:rsidP="006C5602">
                        <w:pPr>
                          <w:jc w:val="center"/>
                          <w:rPr>
                            <w:color w:val="000000" w:themeColor="text1"/>
                            <w:sz w:val="16"/>
                            <w:szCs w:val="16"/>
                          </w:rPr>
                        </w:pPr>
                        <w:r w:rsidRPr="00131C84">
                          <w:rPr>
                            <w:color w:val="000000" w:themeColor="text1"/>
                            <w:sz w:val="16"/>
                            <w:szCs w:val="16"/>
                          </w:rPr>
                          <w:t xml:space="preserve">Operational management </w:t>
                        </w:r>
                      </w:p>
                    </w:txbxContent>
                  </v:textbox>
                </v:rect>
                <v:line id="Straight Connector 18" o:spid="_x0000_s1035" style="position:absolute;visibility:visible;mso-wrap-style:square" from="4572,6572" to="4589,8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" strokecolor="black [3200]" strokeweight=".5pt">
                  <v:stroke joinstyle="miter"/>
                </v:line>
                <v:line id="Straight Connector 19" o:spid="_x0000_s1036" style="position:absolute;visibility:visible;mso-wrap-style:square" from="14478,6572" to="14478,8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" strokecolor="black [3200]" strokeweight=".5pt">
                  <v:stroke joinstyle="miter"/>
                </v:line>
                <v:line id="Straight Connector 21" o:spid="_x0000_s1037" style="position:absolute;visibility:visible;mso-wrap-style:square" from="32575,6572" to="32575,8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24" o:spid="_x0000_s1038" style="position:absolute;visibility:visible;mso-wrap-style:square" from="43434,6572" to="43434,8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" strokecolor="black [3200]" strokeweight=".5pt">
                  <v:stroke joinstyle="miter"/>
                </v:line>
              </v:group>
            </w:pict>
          </mc:Fallback>
        </mc:AlternateContent>
      </w:r>
    </w:p>
    <w:p w14:paraId="06D4DC9F" w14:textId="35C6B258" w:rsidR="00770C7F" w:rsidRPr="00A77AF6" w:rsidRDefault="00770C7F" w:rsidP="00770C7F">
      <w:pPr>
        <w:spacing w:line="480" w:lineRule="auto"/>
        <w:rPr>
          <w:rFonts w:cstheme="minorHAnsi"/>
        </w:rPr>
      </w:pPr>
    </w:p>
    <w:p w14:paraId="2F208585" w14:textId="64DE1B4F" w:rsidR="00770C7F" w:rsidRPr="00A77AF6" w:rsidRDefault="00770C7F" w:rsidP="00770C7F">
      <w:pPr>
        <w:spacing w:line="480" w:lineRule="auto"/>
        <w:rPr>
          <w:rFonts w:cstheme="minorHAnsi"/>
        </w:rPr>
      </w:pPr>
    </w:p>
    <w:p w14:paraId="0DAF1D48" w14:textId="302B80C8" w:rsidR="00770C7F" w:rsidRPr="00A77AF6" w:rsidRDefault="00770C7F" w:rsidP="00770C7F">
      <w:pPr>
        <w:spacing w:line="480" w:lineRule="auto"/>
        <w:rPr>
          <w:rFonts w:cstheme="minorHAnsi"/>
        </w:rPr>
      </w:pPr>
    </w:p>
    <w:p w14:paraId="1202FE18" w14:textId="62845D1B" w:rsidR="00770C7F" w:rsidRPr="00A77AF6" w:rsidRDefault="00770C7F" w:rsidP="00770C7F">
      <w:pPr>
        <w:spacing w:line="480" w:lineRule="auto"/>
        <w:rPr>
          <w:rFonts w:cstheme="minorHAnsi"/>
        </w:rPr>
      </w:pPr>
    </w:p>
    <w:p w14:paraId="6AFFF890" w14:textId="77777777" w:rsidR="00131C84" w:rsidRPr="00A77AF6" w:rsidRDefault="007659D9" w:rsidP="00131C84">
      <w:pPr>
        <w:spacing w:before="120" w:after="240" w:line="480" w:lineRule="auto"/>
        <w:rPr>
          <w:rFonts w:cstheme="minorHAnsi"/>
        </w:rPr>
      </w:pPr>
      <w:r w:rsidRPr="00A77AF6">
        <w:rPr>
          <w:noProof/>
        </w:rPr>
        <mc:AlternateContent>
          <mc:Choice Requires="wps">
            <w:drawing>
              <wp:anchor distT="0" distB="0" distL="114300" distR="114300" simplePos="0" relativeHeight="251866624" behindDoc="0" locked="0" layoutInCell="1" allowOverlap="1" wp14:anchorId="3BC639D1" wp14:editId="1260F383">
                <wp:simplePos x="0" y="0"/>
                <wp:positionH relativeFrom="column">
                  <wp:posOffset>121920</wp:posOffset>
                </wp:positionH>
                <wp:positionV relativeFrom="paragraph">
                  <wp:posOffset>91440</wp:posOffset>
                </wp:positionV>
                <wp:extent cx="2694561" cy="171450"/>
                <wp:effectExtent l="0" t="0" r="0" b="0"/>
                <wp:wrapNone/>
                <wp:docPr id="12376" name="Text Box 12376"/>
                <wp:cNvGraphicFramePr/>
                <a:graphic xmlns:a="http://schemas.openxmlformats.org/drawingml/2006/main">
                  <a:graphicData uri="http://schemas.microsoft.com/office/word/2010/wordprocessingShape">
                    <wps:wsp>
                      <wps:cNvSpPr txBox="1"/>
                      <wps:spPr>
                        <a:xfrm>
                          <a:off x="0" y="0"/>
                          <a:ext cx="2694561" cy="171450"/>
                        </a:xfrm>
                        <a:prstGeom prst="rect">
                          <a:avLst/>
                        </a:prstGeom>
                        <a:solidFill>
                          <a:prstClr val="white"/>
                        </a:solidFill>
                        <a:ln>
                          <a:noFill/>
                        </a:ln>
                      </wps:spPr>
                      <wps:txbx>
                        <w:txbxContent>
                          <w:p w14:paraId="7015494C" w14:textId="54956A5D" w:rsidR="009C0325" w:rsidRPr="00A03B12" w:rsidRDefault="009C0325" w:rsidP="00131C84">
                            <w:pPr>
                              <w:pStyle w:val="Caption"/>
                              <w:spacing w:after="120"/>
                              <w:rPr>
                                <w:rFonts w:cstheme="minorHAnsi"/>
                                <w:noProof/>
                              </w:rPr>
                            </w:pPr>
                            <w:bookmarkStart w:id="71" w:name="_Toc36186966"/>
                            <w:r>
                              <w:t xml:space="preserve">Figure </w:t>
                            </w:r>
                            <w:fldSimple w:instr=" STYLEREF 1 \s ">
                              <w:r>
                                <w:rPr>
                                  <w:noProof/>
                                </w:rPr>
                                <w:t>4</w:t>
                              </w:r>
                            </w:fldSimple>
                            <w:r>
                              <w:noBreakHyphen/>
                            </w:r>
                            <w:fldSimple w:instr=" SEQ Figure \* ARABIC \s 1 ">
                              <w:r>
                                <w:rPr>
                                  <w:noProof/>
                                </w:rPr>
                                <w:t>2</w:t>
                              </w:r>
                            </w:fldSimple>
                            <w:r>
                              <w:t xml:space="preserve">: </w:t>
                            </w:r>
                            <w:r w:rsidRPr="00B42681">
                              <w:t>Idealised organisation governance structure</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639D1" id="_x0000_t202" coordsize="21600,21600" o:spt="202" path="m,l,21600r21600,l21600,xe">
                <v:stroke joinstyle="miter"/>
                <v:path gradientshapeok="t" o:connecttype="rect"/>
              </v:shapetype>
              <v:shape id="Text Box 12376" o:spid="_x0000_s1039" type="#_x0000_t202" style="position:absolute;margin-left:9.6pt;margin-top:7.2pt;width:212.15pt;height:13.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" stroked="f">
                <v:textbox inset="0,0,0,0">
                  <w:txbxContent>
                    <w:p w14:paraId="7015494C" w14:textId="54956A5D" w:rsidR="009C0325" w:rsidRPr="00A03B12" w:rsidRDefault="009C0325" w:rsidP="00131C84">
                      <w:pPr>
                        <w:pStyle w:val="Caption"/>
                        <w:spacing w:after="120"/>
                        <w:rPr>
                          <w:rFonts w:cstheme="minorHAnsi"/>
                          <w:noProof/>
                        </w:rPr>
                      </w:pPr>
                      <w:bookmarkStart w:id="72" w:name="_Toc36186966"/>
                      <w:r>
                        <w:t xml:space="preserve">Figure </w:t>
                      </w:r>
                      <w:fldSimple w:instr=" STYLEREF 1 \s ">
                        <w:r>
                          <w:rPr>
                            <w:noProof/>
                          </w:rPr>
                          <w:t>4</w:t>
                        </w:r>
                      </w:fldSimple>
                      <w:r>
                        <w:noBreakHyphen/>
                      </w:r>
                      <w:fldSimple w:instr=" SEQ Figure \* ARABIC \s 1 ">
                        <w:r>
                          <w:rPr>
                            <w:noProof/>
                          </w:rPr>
                          <w:t>2</w:t>
                        </w:r>
                      </w:fldSimple>
                      <w:r>
                        <w:t xml:space="preserve">: </w:t>
                      </w:r>
                      <w:r w:rsidRPr="00B42681">
                        <w:t>Idealised organisation governance structure</w:t>
                      </w:r>
                      <w:bookmarkEnd w:id="72"/>
                    </w:p>
                  </w:txbxContent>
                </v:textbox>
              </v:shape>
            </w:pict>
          </mc:Fallback>
        </mc:AlternateContent>
      </w:r>
    </w:p>
    <w:p w14:paraId="719F939F" w14:textId="1DC35E28" w:rsidR="007659D9" w:rsidRPr="00A77AF6" w:rsidRDefault="00131C84" w:rsidP="00CD7067">
      <w:pPr>
        <w:spacing w:before="100" w:beforeAutospacing="1" w:after="120" w:line="360" w:lineRule="auto"/>
        <w:rPr>
          <w:rFonts w:cstheme="minorHAnsi"/>
        </w:rPr>
      </w:pPr>
      <w:r w:rsidRPr="00A77AF6">
        <w:rPr>
          <w:rFonts w:cstheme="minorHAnsi"/>
          <w:sz w:val="20"/>
        </w:rPr>
        <w:t>A</w:t>
      </w:r>
      <w:r w:rsidR="007659D9" w:rsidRPr="00A77AF6">
        <w:rPr>
          <w:rFonts w:cstheme="minorHAnsi"/>
          <w:sz w:val="20"/>
        </w:rPr>
        <w:t>dapted from Chambers 2014 and HMT Project Governance organisation (2007)</w:t>
      </w:r>
    </w:p>
    <w:p w14:paraId="33EC987B" w14:textId="31663BD6" w:rsidR="004945C1" w:rsidRPr="00A77AF6" w:rsidRDefault="004945C1" w:rsidP="001B0403">
      <w:pPr>
        <w:spacing w:before="360" w:after="0" w:line="360" w:lineRule="auto"/>
        <w:rPr>
          <w:rFonts w:cstheme="minorHAnsi"/>
        </w:rPr>
      </w:pPr>
      <w:r w:rsidRPr="00A77AF6">
        <w:rPr>
          <w:rFonts w:cstheme="minorHAnsi"/>
        </w:rPr>
        <w:t xml:space="preserve">Boards </w:t>
      </w:r>
      <w:r w:rsidR="007659D9" w:rsidRPr="00A77AF6">
        <w:rPr>
          <w:rFonts w:cstheme="minorHAnsi"/>
        </w:rPr>
        <w:t xml:space="preserve">are supported by </w:t>
      </w:r>
      <w:r w:rsidRPr="00A77AF6">
        <w:rPr>
          <w:rFonts w:cstheme="minorHAnsi"/>
        </w:rPr>
        <w:t xml:space="preserve">committees </w:t>
      </w:r>
      <w:r w:rsidR="00CD7067" w:rsidRPr="00A77AF6">
        <w:rPr>
          <w:rFonts w:cstheme="minorHAnsi"/>
        </w:rPr>
        <w:t>to help them carry</w:t>
      </w:r>
      <w:r w:rsidRPr="00A77AF6">
        <w:rPr>
          <w:rFonts w:cstheme="minorHAnsi"/>
        </w:rPr>
        <w:t xml:space="preserve"> out their duties effectively. The most common board committees </w:t>
      </w:r>
      <w:r w:rsidR="000C3847" w:rsidRPr="00A77AF6">
        <w:rPr>
          <w:rFonts w:cstheme="minorHAnsi"/>
        </w:rPr>
        <w:t>are</w:t>
      </w:r>
      <w:r w:rsidRPr="00A77AF6">
        <w:rPr>
          <w:rFonts w:cstheme="minorHAnsi"/>
        </w:rPr>
        <w:t xml:space="preserve"> </w:t>
      </w:r>
      <w:r w:rsidR="000C3847" w:rsidRPr="00A77AF6">
        <w:rPr>
          <w:rFonts w:cstheme="minorHAnsi"/>
        </w:rPr>
        <w:t xml:space="preserve">audit, remuneration and nominations.  A risk committee may also be established, otherwise risk and internal control management rests with the audit committee or the board </w:t>
      </w:r>
      <w:sdt>
        <w:sdtPr>
          <w:rPr>
            <w:rFonts w:cstheme="minorHAnsi"/>
          </w:rPr>
          <w:id w:val="-949631758"/>
          <w:citation/>
        </w:sdtPr>
        <w:sdtEndPr/>
        <w:sdtContent>
          <w:r w:rsidR="000C3847" w:rsidRPr="00A77AF6">
            <w:rPr>
              <w:rFonts w:cstheme="minorHAnsi"/>
            </w:rPr>
            <w:fldChar w:fldCharType="begin"/>
          </w:r>
          <w:r w:rsidR="000C3847" w:rsidRPr="00A77AF6">
            <w:rPr>
              <w:rFonts w:cstheme="minorHAnsi"/>
            </w:rPr>
            <w:instrText xml:space="preserve"> CITATION Cha141 \l 2057 </w:instrText>
          </w:r>
          <w:r w:rsidR="000C3847" w:rsidRPr="00A77AF6">
            <w:rPr>
              <w:rFonts w:cstheme="minorHAnsi"/>
            </w:rPr>
            <w:fldChar w:fldCharType="separate"/>
          </w:r>
          <w:r w:rsidR="008E653F" w:rsidRPr="00A77AF6">
            <w:rPr>
              <w:rFonts w:cstheme="minorHAnsi"/>
            </w:rPr>
            <w:t>(Chambers, 2014)</w:t>
          </w:r>
          <w:r w:rsidR="000C3847" w:rsidRPr="00A77AF6">
            <w:rPr>
              <w:rFonts w:cstheme="minorHAnsi"/>
            </w:rPr>
            <w:fldChar w:fldCharType="end"/>
          </w:r>
        </w:sdtContent>
      </w:sdt>
      <w:r w:rsidR="000C3847" w:rsidRPr="00A77AF6">
        <w:rPr>
          <w:rFonts w:cstheme="minorHAnsi"/>
        </w:rPr>
        <w:t xml:space="preserve">. </w:t>
      </w:r>
      <w:r w:rsidRPr="00A77AF6">
        <w:rPr>
          <w:rFonts w:cstheme="minorHAnsi"/>
        </w:rPr>
        <w:t xml:space="preserve">In the UK it is not required </w:t>
      </w:r>
      <w:r w:rsidR="00D1166F">
        <w:rPr>
          <w:rFonts w:cstheme="minorHAnsi"/>
        </w:rPr>
        <w:t>for</w:t>
      </w:r>
      <w:r w:rsidRPr="00A77AF6">
        <w:rPr>
          <w:rFonts w:cstheme="minorHAnsi"/>
        </w:rPr>
        <w:t xml:space="preserve"> Boards to have these committees but if they do not, then companies must ensure that the roles of the committees are fulfilled </w:t>
      </w:r>
      <w:sdt>
        <w:sdtPr>
          <w:rPr>
            <w:rFonts w:cstheme="minorHAnsi"/>
          </w:rPr>
          <w:id w:val="1222633676"/>
          <w:citation/>
        </w:sdtPr>
        <w:sdtEndPr/>
        <w:sdtContent>
          <w:r w:rsidR="000C3847" w:rsidRPr="00A77AF6">
            <w:rPr>
              <w:rFonts w:cstheme="minorHAnsi"/>
            </w:rPr>
            <w:fldChar w:fldCharType="begin"/>
          </w:r>
          <w:r w:rsidR="000C3847" w:rsidRPr="00A77AF6">
            <w:rPr>
              <w:rFonts w:cstheme="minorHAnsi"/>
            </w:rPr>
            <w:instrText xml:space="preserve"> CITATION Cha12 \l 2057 </w:instrText>
          </w:r>
          <w:r w:rsidR="000C3847" w:rsidRPr="00A77AF6">
            <w:rPr>
              <w:rFonts w:cstheme="minorHAnsi"/>
            </w:rPr>
            <w:fldChar w:fldCharType="separate"/>
          </w:r>
          <w:r w:rsidR="008E653F" w:rsidRPr="00A77AF6">
            <w:rPr>
              <w:rFonts w:cstheme="minorHAnsi"/>
            </w:rPr>
            <w:t>(Chambers, 2012)</w:t>
          </w:r>
          <w:r w:rsidR="000C3847" w:rsidRPr="00A77AF6">
            <w:rPr>
              <w:rFonts w:cstheme="minorHAnsi"/>
            </w:rPr>
            <w:fldChar w:fldCharType="end"/>
          </w:r>
        </w:sdtContent>
      </w:sdt>
      <w:r w:rsidR="001B0403" w:rsidRPr="00A77AF6">
        <w:rPr>
          <w:rFonts w:cstheme="minorHAnsi"/>
        </w:rPr>
        <w:t xml:space="preserve">.   </w:t>
      </w:r>
      <w:r w:rsidRPr="00A77AF6">
        <w:rPr>
          <w:rFonts w:cstheme="minorHAnsi"/>
        </w:rPr>
        <w:t xml:space="preserve">The principle of independence for board members is considered to be so important that the UK Code requires that all members of the remuneration and audit committees must be independent non-executive directors and a majority of the nominations committee must be </w:t>
      </w:r>
      <w:r w:rsidR="00CA28E8" w:rsidRPr="00A77AF6">
        <w:rPr>
          <w:rFonts w:cstheme="minorHAnsi"/>
        </w:rPr>
        <w:t>non-executives</w:t>
      </w:r>
      <w:r w:rsidR="000C3847" w:rsidRPr="00A77AF6">
        <w:rPr>
          <w:rFonts w:cstheme="minorHAnsi"/>
        </w:rPr>
        <w:t xml:space="preserve"> </w:t>
      </w:r>
      <w:sdt>
        <w:sdtPr>
          <w:rPr>
            <w:rFonts w:cstheme="minorHAnsi"/>
          </w:rPr>
          <w:id w:val="362868098"/>
          <w:citation/>
        </w:sdtPr>
        <w:sdtEndPr/>
        <w:sdtContent>
          <w:r w:rsidR="000C3847" w:rsidRPr="00A77AF6">
            <w:rPr>
              <w:rFonts w:cstheme="minorHAnsi"/>
            </w:rPr>
            <w:fldChar w:fldCharType="begin"/>
          </w:r>
          <w:r w:rsidR="000C3847" w:rsidRPr="00A77AF6">
            <w:rPr>
              <w:rFonts w:cstheme="minorHAnsi"/>
            </w:rPr>
            <w:instrText xml:space="preserve"> CITATION Cha141 \l 2057 </w:instrText>
          </w:r>
          <w:r w:rsidR="000C3847" w:rsidRPr="00A77AF6">
            <w:rPr>
              <w:rFonts w:cstheme="minorHAnsi"/>
            </w:rPr>
            <w:fldChar w:fldCharType="separate"/>
          </w:r>
          <w:r w:rsidR="008E653F" w:rsidRPr="00A77AF6">
            <w:rPr>
              <w:rFonts w:cstheme="minorHAnsi"/>
            </w:rPr>
            <w:t>(Chambers, 2014)</w:t>
          </w:r>
          <w:r w:rsidR="000C3847" w:rsidRPr="00A77AF6">
            <w:rPr>
              <w:rFonts w:cstheme="minorHAnsi"/>
            </w:rPr>
            <w:fldChar w:fldCharType="end"/>
          </w:r>
        </w:sdtContent>
      </w:sdt>
      <w:r w:rsidRPr="00A77AF6">
        <w:rPr>
          <w:rFonts w:cstheme="minorHAnsi"/>
        </w:rPr>
        <w:t>.  The role of the four committees of the board are outlined below.</w:t>
      </w:r>
    </w:p>
    <w:p w14:paraId="29096451" w14:textId="58213389" w:rsidR="004D0212" w:rsidRPr="00A77AF6" w:rsidRDefault="004945C1" w:rsidP="007E359F">
      <w:pPr>
        <w:pStyle w:val="Heading4"/>
        <w:numPr>
          <w:ilvl w:val="0"/>
          <w:numId w:val="0"/>
        </w:numPr>
        <w:spacing w:after="120"/>
      </w:pPr>
      <w:r w:rsidRPr="00A77AF6">
        <w:t xml:space="preserve">Remuneration </w:t>
      </w:r>
      <w:r w:rsidR="008B3C29" w:rsidRPr="00A77AF6">
        <w:t>c</w:t>
      </w:r>
      <w:r w:rsidRPr="00A77AF6">
        <w:t>ommittee</w:t>
      </w:r>
    </w:p>
    <w:p w14:paraId="73A500CA" w14:textId="236FBBB3" w:rsidR="004945C1" w:rsidRPr="00A77AF6" w:rsidRDefault="000C3847" w:rsidP="003F4A18">
      <w:pPr>
        <w:spacing w:after="0" w:line="360" w:lineRule="auto"/>
        <w:rPr>
          <w:rFonts w:cstheme="minorHAnsi"/>
        </w:rPr>
      </w:pPr>
      <w:r w:rsidRPr="00A77AF6">
        <w:rPr>
          <w:rFonts w:cstheme="minorHAnsi"/>
        </w:rPr>
        <w:t xml:space="preserve">The </w:t>
      </w:r>
      <w:r w:rsidR="00CD7067" w:rsidRPr="00A77AF6">
        <w:rPr>
          <w:rFonts w:cstheme="minorHAnsi"/>
        </w:rPr>
        <w:t>r</w:t>
      </w:r>
      <w:r w:rsidRPr="00A77AF6">
        <w:rPr>
          <w:rFonts w:cstheme="minorHAnsi"/>
        </w:rPr>
        <w:t>emuneration c</w:t>
      </w:r>
      <w:r w:rsidR="004945C1" w:rsidRPr="00A77AF6">
        <w:rPr>
          <w:rFonts w:cstheme="minorHAnsi"/>
        </w:rPr>
        <w:t>ommittee set</w:t>
      </w:r>
      <w:r w:rsidRPr="00A77AF6">
        <w:rPr>
          <w:rFonts w:cstheme="minorHAnsi"/>
        </w:rPr>
        <w:t>s</w:t>
      </w:r>
      <w:r w:rsidR="004945C1" w:rsidRPr="00A77AF6">
        <w:rPr>
          <w:rFonts w:cstheme="minorHAnsi"/>
        </w:rPr>
        <w:t xml:space="preserve"> the pay, long term benefits pensions and bonuses of executive directors. </w:t>
      </w:r>
      <w:r w:rsidR="003F4A18" w:rsidRPr="00A77AF6">
        <w:rPr>
          <w:rFonts w:cstheme="minorHAnsi"/>
        </w:rPr>
        <w:t xml:space="preserve"> The remuneration committee must be composed of only independent non-executive directors.  </w:t>
      </w:r>
      <w:r w:rsidR="004945C1" w:rsidRPr="00A77AF6">
        <w:rPr>
          <w:rFonts w:cstheme="minorHAnsi"/>
        </w:rPr>
        <w:t xml:space="preserve"> This came from the Greenbury Report (1995) which was set up in response to concerns about director pay. It has been incorporated into the UK Governance Code</w:t>
      </w:r>
    </w:p>
    <w:p w14:paraId="1C1C2D63" w14:textId="4AA0D70B" w:rsidR="004945C1" w:rsidRPr="00A77AF6" w:rsidRDefault="004945C1" w:rsidP="00631790">
      <w:pPr>
        <w:spacing w:line="240" w:lineRule="auto"/>
        <w:ind w:left="720"/>
        <w:rPr>
          <w:rFonts w:cstheme="minorHAnsi"/>
        </w:rPr>
      </w:pPr>
      <w:r w:rsidRPr="00A77AF6">
        <w:rPr>
          <w:rFonts w:cstheme="minorHAnsi"/>
          <w:i/>
        </w:rPr>
        <w:t>‘A fundamental principle is that no director should be involved in deciding his or her own remuneration. Another important principle is to avoid paying either executive or non-executive directors more than necessary.</w:t>
      </w:r>
      <w:r w:rsidRPr="00A77AF6">
        <w:rPr>
          <w:rFonts w:cstheme="minorHAnsi"/>
        </w:rPr>
        <w:t xml:space="preserve">’ </w:t>
      </w:r>
      <w:sdt>
        <w:sdtPr>
          <w:rPr>
            <w:rFonts w:cstheme="minorHAnsi"/>
          </w:rPr>
          <w:id w:val="1654724895"/>
          <w:citation/>
        </w:sdtPr>
        <w:sdtEndPr/>
        <w:sdtContent>
          <w:r w:rsidRPr="00A77AF6">
            <w:rPr>
              <w:rFonts w:cstheme="minorHAnsi"/>
            </w:rPr>
            <w:fldChar w:fldCharType="begin"/>
          </w:r>
          <w:r w:rsidRPr="00A77AF6">
            <w:rPr>
              <w:rFonts w:cstheme="minorHAnsi"/>
            </w:rPr>
            <w:instrText xml:space="preserve">CITATION Cha12 \p 688 \l 2057 </w:instrText>
          </w:r>
          <w:r w:rsidRPr="00A77AF6">
            <w:rPr>
              <w:rFonts w:cstheme="minorHAnsi"/>
            </w:rPr>
            <w:fldChar w:fldCharType="separate"/>
          </w:r>
          <w:r w:rsidR="008E653F" w:rsidRPr="00A77AF6">
            <w:rPr>
              <w:rFonts w:cstheme="minorHAnsi"/>
            </w:rPr>
            <w:t>(Chambers, 2012, p. 688)</w:t>
          </w:r>
          <w:r w:rsidRPr="00A77AF6">
            <w:rPr>
              <w:rFonts w:cstheme="minorHAnsi"/>
            </w:rPr>
            <w:fldChar w:fldCharType="end"/>
          </w:r>
        </w:sdtContent>
      </w:sdt>
      <w:r w:rsidRPr="00A77AF6">
        <w:rPr>
          <w:rFonts w:cstheme="minorHAnsi"/>
        </w:rPr>
        <w:t xml:space="preserve">.   </w:t>
      </w:r>
    </w:p>
    <w:p w14:paraId="7D7952F6" w14:textId="16992479" w:rsidR="004945C1" w:rsidRPr="00A77AF6" w:rsidRDefault="003F4A18" w:rsidP="003F4A18">
      <w:pPr>
        <w:spacing w:line="360" w:lineRule="auto"/>
        <w:rPr>
          <w:rFonts w:cstheme="minorHAnsi"/>
        </w:rPr>
      </w:pPr>
      <w:r w:rsidRPr="00A77AF6">
        <w:rPr>
          <w:rFonts w:cstheme="minorHAnsi"/>
        </w:rPr>
        <w:t xml:space="preserve">The effectiveness </w:t>
      </w:r>
      <w:r w:rsidR="004945C1" w:rsidRPr="00A77AF6">
        <w:rPr>
          <w:rFonts w:cstheme="minorHAnsi"/>
        </w:rPr>
        <w:t>of remuneration committees in controlling executive pay</w:t>
      </w:r>
      <w:r w:rsidRPr="00A77AF6">
        <w:rPr>
          <w:rFonts w:cstheme="minorHAnsi"/>
        </w:rPr>
        <w:t xml:space="preserve"> is contentious</w:t>
      </w:r>
      <w:r w:rsidR="004945C1" w:rsidRPr="00A77AF6">
        <w:rPr>
          <w:rFonts w:cstheme="minorHAnsi"/>
        </w:rPr>
        <w:t>, but it is not within the remit of this study to debate the efficacy of remuneration committees</w:t>
      </w:r>
      <w:r w:rsidRPr="00A77AF6">
        <w:rPr>
          <w:rFonts w:cstheme="minorHAnsi"/>
        </w:rPr>
        <w:t>.  Regardless of criticisms t</w:t>
      </w:r>
      <w:r w:rsidR="004945C1" w:rsidRPr="00A77AF6">
        <w:rPr>
          <w:rFonts w:cstheme="minorHAnsi"/>
        </w:rPr>
        <w:t>he remuneration committee gets extensive mentioning within the Code’s Supporting Principles</w:t>
      </w:r>
      <w:r w:rsidRPr="00A77AF6">
        <w:rPr>
          <w:rFonts w:cstheme="minorHAnsi"/>
        </w:rPr>
        <w:t xml:space="preserve"> </w:t>
      </w:r>
      <w:sdt>
        <w:sdtPr>
          <w:rPr>
            <w:rFonts w:cstheme="minorHAnsi"/>
          </w:rPr>
          <w:id w:val="-434675394"/>
          <w:citation/>
        </w:sdtPr>
        <w:sdtEndPr/>
        <w:sdtContent>
          <w:r w:rsidRPr="00A77AF6">
            <w:rPr>
              <w:rFonts w:cstheme="minorHAnsi"/>
            </w:rPr>
            <w:fldChar w:fldCharType="begin"/>
          </w:r>
          <w:r w:rsidRPr="00A77AF6">
            <w:rPr>
              <w:rFonts w:cstheme="minorHAnsi"/>
            </w:rPr>
            <w:instrText xml:space="preserve"> CITATION Cha12 \l 2057 </w:instrText>
          </w:r>
          <w:r w:rsidRPr="00A77AF6">
            <w:rPr>
              <w:rFonts w:cstheme="minorHAnsi"/>
            </w:rPr>
            <w:fldChar w:fldCharType="separate"/>
          </w:r>
          <w:r w:rsidR="008E653F" w:rsidRPr="00A77AF6">
            <w:rPr>
              <w:rFonts w:cstheme="minorHAnsi"/>
            </w:rPr>
            <w:t>(Chambers, 2012)</w:t>
          </w:r>
          <w:r w:rsidRPr="00A77AF6">
            <w:rPr>
              <w:rFonts w:cstheme="minorHAnsi"/>
            </w:rPr>
            <w:fldChar w:fldCharType="end"/>
          </w:r>
        </w:sdtContent>
      </w:sdt>
      <w:r w:rsidRPr="00A77AF6">
        <w:rPr>
          <w:rFonts w:cstheme="minorHAnsi"/>
        </w:rPr>
        <w:t>.</w:t>
      </w:r>
      <w:r w:rsidR="004945C1" w:rsidRPr="00A77AF6">
        <w:rPr>
          <w:rFonts w:cstheme="minorHAnsi"/>
        </w:rPr>
        <w:t xml:space="preserve"> </w:t>
      </w:r>
    </w:p>
    <w:p w14:paraId="3270960A" w14:textId="463FCBF6" w:rsidR="004945C1" w:rsidRPr="00A77AF6" w:rsidRDefault="004945C1" w:rsidP="007E359F">
      <w:pPr>
        <w:pStyle w:val="Heading4"/>
        <w:numPr>
          <w:ilvl w:val="0"/>
          <w:numId w:val="0"/>
        </w:numPr>
        <w:spacing w:after="120"/>
      </w:pPr>
      <w:r w:rsidRPr="00A77AF6">
        <w:lastRenderedPageBreak/>
        <w:t xml:space="preserve">Nominations </w:t>
      </w:r>
      <w:r w:rsidR="008B3C29" w:rsidRPr="00A77AF6">
        <w:t>c</w:t>
      </w:r>
      <w:r w:rsidRPr="00A77AF6">
        <w:t>ommittee</w:t>
      </w:r>
    </w:p>
    <w:p w14:paraId="31A3E62B" w14:textId="39C4A7C8" w:rsidR="004945C1" w:rsidRPr="00A77AF6" w:rsidRDefault="004945C1" w:rsidP="002421E3">
      <w:pPr>
        <w:spacing w:line="360" w:lineRule="auto"/>
        <w:rPr>
          <w:rFonts w:cstheme="minorHAnsi"/>
        </w:rPr>
      </w:pPr>
      <w:r w:rsidRPr="00A77AF6">
        <w:rPr>
          <w:rFonts w:cstheme="minorHAnsi"/>
          <w:szCs w:val="24"/>
        </w:rPr>
        <w:t>This committee is responsible for</w:t>
      </w:r>
      <w:r w:rsidR="003F4A18" w:rsidRPr="00A77AF6">
        <w:rPr>
          <w:rFonts w:cstheme="minorHAnsi"/>
          <w:szCs w:val="24"/>
        </w:rPr>
        <w:t xml:space="preserve"> suggesting candidates for the board’s approval to fill board vacancies when they arise </w:t>
      </w:r>
      <w:sdt>
        <w:sdtPr>
          <w:rPr>
            <w:rFonts w:cstheme="minorHAnsi"/>
            <w:szCs w:val="24"/>
          </w:rPr>
          <w:id w:val="-1889636877"/>
          <w:citation/>
        </w:sdtPr>
        <w:sdtEndPr/>
        <w:sdtContent>
          <w:r w:rsidR="003F4A18" w:rsidRPr="00A77AF6">
            <w:rPr>
              <w:rFonts w:cstheme="minorHAnsi"/>
              <w:szCs w:val="24"/>
            </w:rPr>
            <w:fldChar w:fldCharType="begin"/>
          </w:r>
          <w:r w:rsidR="003F4A18" w:rsidRPr="00A77AF6">
            <w:rPr>
              <w:rFonts w:cstheme="minorHAnsi"/>
              <w:szCs w:val="24"/>
            </w:rPr>
            <w:instrText xml:space="preserve"> CITATION Cha12 \l 2057 </w:instrText>
          </w:r>
          <w:r w:rsidR="003F4A18" w:rsidRPr="00A77AF6">
            <w:rPr>
              <w:rFonts w:cstheme="minorHAnsi"/>
              <w:szCs w:val="24"/>
            </w:rPr>
            <w:fldChar w:fldCharType="separate"/>
          </w:r>
          <w:r w:rsidR="008E653F" w:rsidRPr="00A77AF6">
            <w:rPr>
              <w:rFonts w:cstheme="minorHAnsi"/>
              <w:szCs w:val="24"/>
            </w:rPr>
            <w:t>(Chambers, 2012)</w:t>
          </w:r>
          <w:r w:rsidR="003F4A18" w:rsidRPr="00A77AF6">
            <w:rPr>
              <w:rFonts w:cstheme="minorHAnsi"/>
              <w:szCs w:val="24"/>
            </w:rPr>
            <w:fldChar w:fldCharType="end"/>
          </w:r>
        </w:sdtContent>
      </w:sdt>
      <w:r w:rsidR="003F4A18" w:rsidRPr="00A77AF6">
        <w:rPr>
          <w:rFonts w:cstheme="minorHAnsi"/>
          <w:szCs w:val="24"/>
        </w:rPr>
        <w:t xml:space="preserve">. </w:t>
      </w:r>
      <w:r w:rsidRPr="00A77AF6">
        <w:rPr>
          <w:rFonts w:cstheme="minorHAnsi"/>
          <w:szCs w:val="24"/>
        </w:rPr>
        <w:t xml:space="preserve">It is also responsible for ensuring that potential appointees have the skills and experience to meet the needs of the organisation; </w:t>
      </w:r>
      <w:r w:rsidR="003F4A18" w:rsidRPr="00A77AF6">
        <w:rPr>
          <w:rFonts w:cstheme="minorHAnsi"/>
          <w:szCs w:val="24"/>
        </w:rPr>
        <w:t xml:space="preserve">that they understand the time commitments and other roles such as succession planning, performance evaluation and leadership needs.  </w:t>
      </w:r>
      <w:r w:rsidRPr="00A77AF6">
        <w:rPr>
          <w:rFonts w:cstheme="minorHAnsi"/>
        </w:rPr>
        <w:t>The committee should be composed of</w:t>
      </w:r>
      <w:r w:rsidR="00631790" w:rsidRPr="00A77AF6">
        <w:rPr>
          <w:rFonts w:cstheme="minorHAnsi"/>
        </w:rPr>
        <w:t xml:space="preserve"> a majority of </w:t>
      </w:r>
      <w:r w:rsidRPr="00A77AF6">
        <w:rPr>
          <w:rFonts w:cstheme="minorHAnsi"/>
        </w:rPr>
        <w:t>independent non-executive directors and it should be chaired by the Chairman or an independent non-executive director</w:t>
      </w:r>
      <w:r w:rsidR="00631790" w:rsidRPr="00A77AF6">
        <w:rPr>
          <w:rFonts w:cstheme="minorHAnsi"/>
        </w:rPr>
        <w:t xml:space="preserve">. </w:t>
      </w:r>
      <w:r w:rsidRPr="00A77AF6">
        <w:rPr>
          <w:rFonts w:cstheme="minorHAnsi"/>
        </w:rPr>
        <w:t xml:space="preserve">The Chairman cannot chair this committee when it is </w:t>
      </w:r>
      <w:r w:rsidR="002421E3" w:rsidRPr="00A77AF6">
        <w:rPr>
          <w:rFonts w:cstheme="minorHAnsi"/>
        </w:rPr>
        <w:t xml:space="preserve">considering the appointment of the next Chairman </w:t>
      </w:r>
      <w:sdt>
        <w:sdtPr>
          <w:rPr>
            <w:rFonts w:cstheme="minorHAnsi"/>
          </w:rPr>
          <w:id w:val="-1173024795"/>
          <w:citation/>
        </w:sdtPr>
        <w:sdtEndPr/>
        <w:sdtContent>
          <w:r w:rsidR="002421E3" w:rsidRPr="00A77AF6">
            <w:rPr>
              <w:rFonts w:cstheme="minorHAnsi"/>
            </w:rPr>
            <w:fldChar w:fldCharType="begin"/>
          </w:r>
          <w:r w:rsidR="002421E3" w:rsidRPr="00A77AF6">
            <w:rPr>
              <w:rFonts w:cstheme="minorHAnsi"/>
            </w:rPr>
            <w:instrText xml:space="preserve"> CITATION Cha12 \l 2057 </w:instrText>
          </w:r>
          <w:r w:rsidR="002421E3" w:rsidRPr="00A77AF6">
            <w:rPr>
              <w:rFonts w:cstheme="minorHAnsi"/>
            </w:rPr>
            <w:fldChar w:fldCharType="separate"/>
          </w:r>
          <w:r w:rsidR="008E653F" w:rsidRPr="00A77AF6">
            <w:rPr>
              <w:rFonts w:cstheme="minorHAnsi"/>
            </w:rPr>
            <w:t>(Chambers, 2012)</w:t>
          </w:r>
          <w:r w:rsidR="002421E3" w:rsidRPr="00A77AF6">
            <w:rPr>
              <w:rFonts w:cstheme="minorHAnsi"/>
            </w:rPr>
            <w:fldChar w:fldCharType="end"/>
          </w:r>
        </w:sdtContent>
      </w:sdt>
      <w:r w:rsidR="002421E3" w:rsidRPr="00A77AF6">
        <w:rPr>
          <w:rFonts w:cstheme="minorHAnsi"/>
        </w:rPr>
        <w:t xml:space="preserve">   </w:t>
      </w:r>
    </w:p>
    <w:p w14:paraId="77C1C7C6" w14:textId="2ED7FE06" w:rsidR="004945C1" w:rsidRPr="00A77AF6" w:rsidRDefault="004945C1" w:rsidP="007E359F">
      <w:pPr>
        <w:pStyle w:val="Heading4"/>
        <w:numPr>
          <w:ilvl w:val="0"/>
          <w:numId w:val="0"/>
        </w:numPr>
        <w:spacing w:after="120"/>
      </w:pPr>
      <w:r w:rsidRPr="00A77AF6">
        <w:t xml:space="preserve">The Audit </w:t>
      </w:r>
      <w:r w:rsidR="008B3C29" w:rsidRPr="00A77AF6">
        <w:t>c</w:t>
      </w:r>
      <w:r w:rsidRPr="00A77AF6">
        <w:t>ommittee.</w:t>
      </w:r>
    </w:p>
    <w:p w14:paraId="6019F40F" w14:textId="69DC623C" w:rsidR="004945C1" w:rsidRPr="00A77AF6" w:rsidRDefault="004945C1" w:rsidP="002421E3">
      <w:pPr>
        <w:spacing w:line="360" w:lineRule="auto"/>
        <w:rPr>
          <w:rFonts w:cstheme="minorHAnsi"/>
        </w:rPr>
      </w:pPr>
      <w:r w:rsidRPr="00A77AF6">
        <w:rPr>
          <w:rFonts w:cstheme="minorHAnsi"/>
        </w:rPr>
        <w:t xml:space="preserve">The </w:t>
      </w:r>
      <w:r w:rsidR="00CD7067" w:rsidRPr="00A77AF6">
        <w:rPr>
          <w:rFonts w:cstheme="minorHAnsi"/>
        </w:rPr>
        <w:t>a</w:t>
      </w:r>
      <w:r w:rsidRPr="00A77AF6">
        <w:rPr>
          <w:rFonts w:cstheme="minorHAnsi"/>
        </w:rPr>
        <w:t xml:space="preserve">udit </w:t>
      </w:r>
      <w:r w:rsidR="00CD7067" w:rsidRPr="00A77AF6">
        <w:rPr>
          <w:rFonts w:cstheme="minorHAnsi"/>
        </w:rPr>
        <w:t>c</w:t>
      </w:r>
      <w:r w:rsidRPr="00A77AF6">
        <w:rPr>
          <w:rFonts w:cstheme="minorHAnsi"/>
        </w:rPr>
        <w:t xml:space="preserve">ommittee is not mandatory in the UK, but if there is no audit committee then a body </w:t>
      </w:r>
      <w:r w:rsidR="00CD7067" w:rsidRPr="00A77AF6">
        <w:rPr>
          <w:rFonts w:cstheme="minorHAnsi"/>
        </w:rPr>
        <w:t xml:space="preserve">must </w:t>
      </w:r>
      <w:r w:rsidRPr="00A77AF6">
        <w:rPr>
          <w:rFonts w:cstheme="minorHAnsi"/>
        </w:rPr>
        <w:t>carr</w:t>
      </w:r>
      <w:r w:rsidR="00CD7067" w:rsidRPr="00A77AF6">
        <w:rPr>
          <w:rFonts w:cstheme="minorHAnsi"/>
        </w:rPr>
        <w:t xml:space="preserve">y </w:t>
      </w:r>
      <w:r w:rsidRPr="00A77AF6">
        <w:rPr>
          <w:rFonts w:cstheme="minorHAnsi"/>
        </w:rPr>
        <w:t xml:space="preserve">out the function of an audit committee. The role of the audit committee, or its equivalent is fourfold: </w:t>
      </w:r>
      <w:r w:rsidR="00CD7067" w:rsidRPr="00A77AF6">
        <w:rPr>
          <w:rFonts w:cstheme="minorHAnsi"/>
        </w:rPr>
        <w:t>to</w:t>
      </w:r>
      <w:r w:rsidRPr="00A77AF6">
        <w:rPr>
          <w:rFonts w:cstheme="minorHAnsi"/>
        </w:rPr>
        <w:t xml:space="preserve"> examine financial statements</w:t>
      </w:r>
      <w:r w:rsidR="00CD7067" w:rsidRPr="00A77AF6">
        <w:rPr>
          <w:rFonts w:cstheme="minorHAnsi"/>
        </w:rPr>
        <w:t xml:space="preserve"> closely</w:t>
      </w:r>
      <w:r w:rsidRPr="00A77AF6">
        <w:rPr>
          <w:rFonts w:cstheme="minorHAnsi"/>
        </w:rPr>
        <w:t xml:space="preserve">; </w:t>
      </w:r>
      <w:r w:rsidR="00CD7067" w:rsidRPr="00A77AF6">
        <w:rPr>
          <w:rFonts w:cstheme="minorHAnsi"/>
        </w:rPr>
        <w:t>to</w:t>
      </w:r>
      <w:r w:rsidRPr="00A77AF6">
        <w:rPr>
          <w:rFonts w:cstheme="minorHAnsi"/>
        </w:rPr>
        <w:t xml:space="preserve"> exercise oversight of internal control and risk management; </w:t>
      </w:r>
      <w:r w:rsidR="00CD7067" w:rsidRPr="00A77AF6">
        <w:rPr>
          <w:rFonts w:cstheme="minorHAnsi"/>
        </w:rPr>
        <w:t>to</w:t>
      </w:r>
      <w:r w:rsidRPr="00A77AF6">
        <w:rPr>
          <w:rFonts w:cstheme="minorHAnsi"/>
        </w:rPr>
        <w:t xml:space="preserve"> oversee the work of external auditors and </w:t>
      </w:r>
      <w:r w:rsidR="00CD7067" w:rsidRPr="00A77AF6">
        <w:rPr>
          <w:rFonts w:cstheme="minorHAnsi"/>
        </w:rPr>
        <w:t>to</w:t>
      </w:r>
      <w:r w:rsidRPr="00A77AF6">
        <w:rPr>
          <w:rFonts w:cstheme="minorHAnsi"/>
        </w:rPr>
        <w:t xml:space="preserve"> oversee internal audit and review other bodies or agencies </w:t>
      </w:r>
      <w:sdt>
        <w:sdtPr>
          <w:rPr>
            <w:rFonts w:cstheme="minorHAnsi"/>
          </w:rPr>
          <w:id w:val="1998077924"/>
          <w:citation/>
        </w:sdtPr>
        <w:sdtEndPr/>
        <w:sdtContent>
          <w:r w:rsidRPr="00A77AF6">
            <w:rPr>
              <w:rFonts w:cstheme="minorHAnsi"/>
            </w:rPr>
            <w:fldChar w:fldCharType="begin"/>
          </w:r>
          <w:r w:rsidRPr="00A77AF6">
            <w:rPr>
              <w:rFonts w:cstheme="minorHAnsi"/>
            </w:rPr>
            <w:instrText xml:space="preserve">CITATION Cha12 \l 2057 </w:instrText>
          </w:r>
          <w:r w:rsidRPr="00A77AF6">
            <w:rPr>
              <w:rFonts w:cstheme="minorHAnsi"/>
            </w:rPr>
            <w:fldChar w:fldCharType="separate"/>
          </w:r>
          <w:r w:rsidR="008E653F" w:rsidRPr="00A77AF6">
            <w:rPr>
              <w:rFonts w:cstheme="minorHAnsi"/>
            </w:rPr>
            <w:t>(Chambers, 2012)</w:t>
          </w:r>
          <w:r w:rsidRPr="00A77AF6">
            <w:rPr>
              <w:rFonts w:cstheme="minorHAnsi"/>
            </w:rPr>
            <w:fldChar w:fldCharType="end"/>
          </w:r>
        </w:sdtContent>
      </w:sdt>
    </w:p>
    <w:p w14:paraId="0F04712D" w14:textId="77777777" w:rsidR="00F46229" w:rsidRPr="00A77AF6" w:rsidRDefault="004945C1" w:rsidP="002421E3">
      <w:pPr>
        <w:spacing w:after="0" w:line="360" w:lineRule="auto"/>
        <w:rPr>
          <w:rFonts w:cstheme="minorHAnsi"/>
        </w:rPr>
      </w:pPr>
      <w:r w:rsidRPr="00A77AF6">
        <w:rPr>
          <w:rFonts w:cstheme="minorHAnsi"/>
        </w:rPr>
        <w:t xml:space="preserve">The Audit Committee also has some responsibility for risk management. The 2014 Code states that one of the Audit Committee’s roles is </w:t>
      </w:r>
    </w:p>
    <w:p w14:paraId="5EB4CA79" w14:textId="7BA883AC" w:rsidR="004945C1" w:rsidRPr="00A77AF6" w:rsidRDefault="004945C1" w:rsidP="00F46229">
      <w:pPr>
        <w:spacing w:line="240" w:lineRule="auto"/>
        <w:ind w:left="720"/>
        <w:rPr>
          <w:rFonts w:cstheme="minorHAnsi"/>
        </w:rPr>
      </w:pPr>
      <w:r w:rsidRPr="00A77AF6">
        <w:rPr>
          <w:rFonts w:cstheme="minorHAnsi"/>
        </w:rPr>
        <w:t>‘</w:t>
      </w:r>
      <w:r w:rsidRPr="00A77AF6">
        <w:rPr>
          <w:rFonts w:cstheme="minorHAnsi"/>
          <w:i/>
        </w:rPr>
        <w:t>to review the company’s internal financial controls and, unless expressly addressed by a separate board risk committee composed of independent directors, or by the board itself, to review the company’s internal control and risk management systems.</w:t>
      </w:r>
      <w:r w:rsidR="0027192D" w:rsidRPr="00A77AF6">
        <w:rPr>
          <w:rFonts w:cstheme="minorHAnsi"/>
        </w:rPr>
        <w:t>’</w:t>
      </w:r>
      <w:r w:rsidRPr="00A77AF6">
        <w:rPr>
          <w:rFonts w:cstheme="minorHAnsi"/>
        </w:rPr>
        <w:t xml:space="preserve"> </w:t>
      </w:r>
      <w:sdt>
        <w:sdtPr>
          <w:rPr>
            <w:rFonts w:cstheme="minorHAnsi"/>
          </w:rPr>
          <w:id w:val="-85385149"/>
          <w:citation/>
        </w:sdtPr>
        <w:sdtEndPr/>
        <w:sdtContent>
          <w:r w:rsidRPr="00A77AF6">
            <w:rPr>
              <w:rFonts w:cstheme="minorHAnsi"/>
            </w:rPr>
            <w:fldChar w:fldCharType="begin"/>
          </w:r>
          <w:r w:rsidRPr="00A77AF6">
            <w:rPr>
              <w:rFonts w:cstheme="minorHAnsi"/>
            </w:rPr>
            <w:instrText xml:space="preserve">CITATION Fin12 \p 19 \l 2057 </w:instrText>
          </w:r>
          <w:r w:rsidRPr="00A77AF6">
            <w:rPr>
              <w:rFonts w:cstheme="minorHAnsi"/>
            </w:rPr>
            <w:fldChar w:fldCharType="separate"/>
          </w:r>
          <w:r w:rsidR="008E653F" w:rsidRPr="00A77AF6">
            <w:rPr>
              <w:rFonts w:cstheme="minorHAnsi"/>
            </w:rPr>
            <w:t>(FRC, 2012, p. 19)</w:t>
          </w:r>
          <w:r w:rsidRPr="00A77AF6">
            <w:rPr>
              <w:rFonts w:cstheme="minorHAnsi"/>
            </w:rPr>
            <w:fldChar w:fldCharType="end"/>
          </w:r>
        </w:sdtContent>
      </w:sdt>
    </w:p>
    <w:p w14:paraId="58C87ACB" w14:textId="09B417C2" w:rsidR="004945C1" w:rsidRPr="00A77AF6" w:rsidRDefault="004945C1" w:rsidP="002421E3">
      <w:pPr>
        <w:spacing w:line="360" w:lineRule="auto"/>
        <w:rPr>
          <w:rFonts w:cstheme="minorHAnsi"/>
        </w:rPr>
      </w:pPr>
      <w:r w:rsidRPr="00A77AF6">
        <w:rPr>
          <w:rFonts w:cstheme="minorHAnsi"/>
        </w:rPr>
        <w:t xml:space="preserve">Where there are divisions of responsibility between the Audit and Risk Committees, organisations must satisfy themselves that these are understood so that responsibilities do not fall between the gaps </w:t>
      </w:r>
      <w:sdt>
        <w:sdtPr>
          <w:rPr>
            <w:rFonts w:cstheme="minorHAnsi"/>
          </w:rPr>
          <w:id w:val="-680818819"/>
          <w:citation/>
        </w:sdtPr>
        <w:sdtEndPr/>
        <w:sdtContent>
          <w:r w:rsidRPr="00A77AF6">
            <w:rPr>
              <w:rFonts w:cstheme="minorHAnsi"/>
            </w:rPr>
            <w:fldChar w:fldCharType="begin"/>
          </w:r>
          <w:r w:rsidRPr="00A77AF6">
            <w:rPr>
              <w:rFonts w:cstheme="minorHAnsi"/>
            </w:rPr>
            <w:instrText xml:space="preserve">CITATION Cha12 \l 2057 </w:instrText>
          </w:r>
          <w:r w:rsidRPr="00A77AF6">
            <w:rPr>
              <w:rFonts w:cstheme="minorHAnsi"/>
            </w:rPr>
            <w:fldChar w:fldCharType="separate"/>
          </w:r>
          <w:r w:rsidR="008E653F" w:rsidRPr="00A77AF6">
            <w:rPr>
              <w:rFonts w:cstheme="minorHAnsi"/>
            </w:rPr>
            <w:t>(Chambers, 2012)</w:t>
          </w:r>
          <w:r w:rsidRPr="00A77AF6">
            <w:rPr>
              <w:rFonts w:cstheme="minorHAnsi"/>
            </w:rPr>
            <w:fldChar w:fldCharType="end"/>
          </w:r>
        </w:sdtContent>
      </w:sdt>
      <w:r w:rsidRPr="00A77AF6">
        <w:rPr>
          <w:rFonts w:cstheme="minorHAnsi"/>
        </w:rPr>
        <w:t xml:space="preserve">.  </w:t>
      </w:r>
    </w:p>
    <w:p w14:paraId="1E1B9ABC" w14:textId="3692430E" w:rsidR="004945C1" w:rsidRPr="00A77AF6" w:rsidRDefault="004945C1" w:rsidP="007E359F">
      <w:pPr>
        <w:pStyle w:val="Heading4"/>
        <w:numPr>
          <w:ilvl w:val="0"/>
          <w:numId w:val="0"/>
        </w:numPr>
        <w:spacing w:after="120"/>
      </w:pPr>
      <w:r w:rsidRPr="00A77AF6">
        <w:t xml:space="preserve">The Risk </w:t>
      </w:r>
      <w:r w:rsidR="008B3C29" w:rsidRPr="00A77AF6">
        <w:t>c</w:t>
      </w:r>
      <w:r w:rsidRPr="00A77AF6">
        <w:t>ommittee</w:t>
      </w:r>
    </w:p>
    <w:p w14:paraId="76DFAF0D" w14:textId="2F33150D" w:rsidR="004945C1" w:rsidRPr="00A77AF6" w:rsidRDefault="004945C1" w:rsidP="00CD7067">
      <w:pPr>
        <w:spacing w:line="360" w:lineRule="auto"/>
        <w:rPr>
          <w:rFonts w:cstheme="minorHAnsi"/>
        </w:rPr>
      </w:pPr>
      <w:r w:rsidRPr="00A77AF6">
        <w:rPr>
          <w:rFonts w:cstheme="minorHAnsi"/>
        </w:rPr>
        <w:t xml:space="preserve">The </w:t>
      </w:r>
      <w:r w:rsidR="00CD7067" w:rsidRPr="00A77AF6">
        <w:rPr>
          <w:rFonts w:cstheme="minorHAnsi"/>
        </w:rPr>
        <w:t>r</w:t>
      </w:r>
      <w:r w:rsidRPr="00A77AF6">
        <w:rPr>
          <w:rFonts w:cstheme="minorHAnsi"/>
        </w:rPr>
        <w:t xml:space="preserve">isk </w:t>
      </w:r>
      <w:r w:rsidR="00CD7067" w:rsidRPr="00A77AF6">
        <w:rPr>
          <w:rFonts w:cstheme="minorHAnsi"/>
        </w:rPr>
        <w:t>c</w:t>
      </w:r>
      <w:r w:rsidRPr="00A77AF6">
        <w:rPr>
          <w:rFonts w:cstheme="minorHAnsi"/>
        </w:rPr>
        <w:t xml:space="preserve">ommittee is an optional committee, but risk management is not optional.   Chambers </w:t>
      </w:r>
      <w:r w:rsidR="002421E3" w:rsidRPr="00A77AF6">
        <w:rPr>
          <w:rFonts w:cstheme="minorHAnsi"/>
        </w:rPr>
        <w:t xml:space="preserve">(2012) </w:t>
      </w:r>
      <w:r w:rsidRPr="00A77AF6">
        <w:rPr>
          <w:rFonts w:cstheme="minorHAnsi"/>
        </w:rPr>
        <w:t>argued that the</w:t>
      </w:r>
      <w:r w:rsidR="002421E3" w:rsidRPr="00A77AF6">
        <w:rPr>
          <w:rFonts w:cstheme="minorHAnsi"/>
        </w:rPr>
        <w:t xml:space="preserve"> increasing responsibilities of audit committees justifies the establishment of </w:t>
      </w:r>
      <w:r w:rsidRPr="00A77AF6">
        <w:rPr>
          <w:rFonts w:cstheme="minorHAnsi"/>
        </w:rPr>
        <w:t xml:space="preserve"> </w:t>
      </w:r>
      <w:r w:rsidR="002421E3" w:rsidRPr="00A77AF6">
        <w:rPr>
          <w:rFonts w:cstheme="minorHAnsi"/>
        </w:rPr>
        <w:t xml:space="preserve">a risk committee to take on the role of understanding and managing risk. </w:t>
      </w:r>
      <w:r w:rsidR="00682924" w:rsidRPr="00A77AF6">
        <w:rPr>
          <w:rFonts w:cstheme="minorHAnsi"/>
        </w:rPr>
        <w:t xml:space="preserve"> The desirability of better risk management was argued by Alastair Darling in 2008, </w:t>
      </w:r>
    </w:p>
    <w:p w14:paraId="738AB5A4" w14:textId="77777777" w:rsidR="00A83E44" w:rsidRPr="00A77AF6" w:rsidRDefault="004945C1" w:rsidP="00F46229">
      <w:pPr>
        <w:spacing w:line="240" w:lineRule="auto"/>
        <w:ind w:left="720"/>
        <w:rPr>
          <w:rFonts w:cstheme="minorHAnsi"/>
          <w:i/>
          <w:szCs w:val="24"/>
        </w:rPr>
      </w:pPr>
      <w:r w:rsidRPr="00A77AF6">
        <w:rPr>
          <w:rFonts w:cstheme="minorHAnsi"/>
          <w:i/>
          <w:szCs w:val="24"/>
        </w:rPr>
        <w:t>‘</w:t>
      </w:r>
      <w:r w:rsidRPr="00A77AF6">
        <w:rPr>
          <w:rFonts w:cstheme="minorHAnsi"/>
          <w:b/>
          <w:i/>
          <w:szCs w:val="24"/>
        </w:rPr>
        <w:t>Far more attention needs to be paid to risk taking, by board members. It really is quite extraordinary that boards themselves didn’t more fully understand what risks they were allowing their boards to be exposed to</w:t>
      </w:r>
      <w:r w:rsidRPr="00A77AF6">
        <w:rPr>
          <w:rFonts w:cstheme="minorHAnsi"/>
          <w:i/>
          <w:szCs w:val="24"/>
        </w:rPr>
        <w:t xml:space="preserve">…The first line of defence, not just for shareholders but for everyone else is to make sure that they are up to the job. Now I think that the regulatory system needs go ask some serious questions to ensure that people have the risk monitoring measure in place.’ </w:t>
      </w:r>
    </w:p>
    <w:p w14:paraId="7E4B8A0B" w14:textId="193724C7" w:rsidR="004945C1" w:rsidRPr="00A77AF6" w:rsidRDefault="004945C1" w:rsidP="00CD7067">
      <w:pPr>
        <w:spacing w:after="240" w:line="240" w:lineRule="auto"/>
        <w:ind w:left="720"/>
        <w:rPr>
          <w:rFonts w:cstheme="minorHAnsi"/>
          <w:i/>
        </w:rPr>
      </w:pPr>
      <w:r w:rsidRPr="00A77AF6">
        <w:rPr>
          <w:rFonts w:cstheme="minorHAnsi"/>
          <w:i/>
        </w:rPr>
        <w:lastRenderedPageBreak/>
        <w:t>(Chambers, 2012, p. 625 quoting Sir Alastair Darling at the Downing Street Press Conference held on 13</w:t>
      </w:r>
      <w:r w:rsidRPr="00A77AF6">
        <w:rPr>
          <w:rFonts w:cstheme="minorHAnsi"/>
          <w:i/>
          <w:vertAlign w:val="superscript"/>
        </w:rPr>
        <w:t>th</w:t>
      </w:r>
      <w:r w:rsidRPr="00A77AF6">
        <w:rPr>
          <w:rFonts w:cstheme="minorHAnsi"/>
          <w:i/>
        </w:rPr>
        <w:t xml:space="preserve"> October 2008 where he was announcing a rescue plans for the banks. </w:t>
      </w:r>
      <w:r w:rsidR="00F46229" w:rsidRPr="00A77AF6">
        <w:rPr>
          <w:rFonts w:cstheme="minorHAnsi"/>
          <w:i/>
        </w:rPr>
        <w:t>Bold added by author to replace i</w:t>
      </w:r>
      <w:r w:rsidRPr="00A77AF6">
        <w:rPr>
          <w:rFonts w:cstheme="minorHAnsi"/>
          <w:i/>
        </w:rPr>
        <w:t>talics added by Chambers 2012)</w:t>
      </w:r>
    </w:p>
    <w:p w14:paraId="33942600" w14:textId="1267346D" w:rsidR="001A49A3" w:rsidRPr="00A77AF6" w:rsidRDefault="00CD7067" w:rsidP="002421E3">
      <w:pPr>
        <w:spacing w:line="360" w:lineRule="auto"/>
        <w:rPr>
          <w:rFonts w:cstheme="minorHAnsi"/>
          <w:szCs w:val="24"/>
        </w:rPr>
      </w:pPr>
      <w:r w:rsidRPr="00A77AF6">
        <w:rPr>
          <w:rFonts w:cstheme="minorHAnsi"/>
          <w:szCs w:val="24"/>
        </w:rPr>
        <w:t>In summary, b</w:t>
      </w:r>
      <w:r w:rsidR="004945C1" w:rsidRPr="00A77AF6">
        <w:rPr>
          <w:rFonts w:cstheme="minorHAnsi"/>
          <w:szCs w:val="24"/>
        </w:rPr>
        <w:t>oard</w:t>
      </w:r>
      <w:r w:rsidRPr="00A77AF6">
        <w:rPr>
          <w:rFonts w:cstheme="minorHAnsi"/>
          <w:szCs w:val="24"/>
        </w:rPr>
        <w:t xml:space="preserve"> effectiveness</w:t>
      </w:r>
      <w:r w:rsidR="004945C1" w:rsidRPr="00A77AF6">
        <w:rPr>
          <w:rFonts w:cstheme="minorHAnsi"/>
          <w:szCs w:val="24"/>
        </w:rPr>
        <w:t xml:space="preserve"> rests on applying the principles of good governance and </w:t>
      </w:r>
      <w:r w:rsidRPr="00A77AF6">
        <w:rPr>
          <w:rFonts w:cstheme="minorHAnsi"/>
          <w:szCs w:val="24"/>
        </w:rPr>
        <w:t xml:space="preserve">by fulfilling </w:t>
      </w:r>
      <w:r w:rsidR="004945C1" w:rsidRPr="00A77AF6">
        <w:rPr>
          <w:rFonts w:cstheme="minorHAnsi"/>
          <w:szCs w:val="24"/>
        </w:rPr>
        <w:t>their legal responsibilit</w:t>
      </w:r>
      <w:r w:rsidRPr="00A77AF6">
        <w:rPr>
          <w:rFonts w:cstheme="minorHAnsi"/>
          <w:szCs w:val="24"/>
        </w:rPr>
        <w:t>ies</w:t>
      </w:r>
      <w:r w:rsidR="004945C1" w:rsidRPr="00A77AF6">
        <w:rPr>
          <w:rFonts w:cstheme="minorHAnsi"/>
          <w:szCs w:val="24"/>
        </w:rPr>
        <w:t xml:space="preserve"> through the establishment of appropriate committee structures. The principles of corporate governance have been codified to help ensure that institutional and public trust is maintained in the intuitions of capitalism and the state. The checks and balances of internal </w:t>
      </w:r>
      <w:r w:rsidR="00310CE3" w:rsidRPr="00A77AF6">
        <w:rPr>
          <w:rFonts w:cstheme="minorHAnsi"/>
          <w:szCs w:val="24"/>
        </w:rPr>
        <w:t xml:space="preserve">and external </w:t>
      </w:r>
      <w:r w:rsidR="004945C1" w:rsidRPr="00A77AF6">
        <w:rPr>
          <w:rFonts w:cstheme="minorHAnsi"/>
          <w:szCs w:val="24"/>
        </w:rPr>
        <w:t>scrutiny are intended to ensure that behaviour is ethical.  The next section moves from corporate governance to discuss project governance</w:t>
      </w:r>
      <w:r w:rsidR="00310CE3" w:rsidRPr="00A77AF6">
        <w:rPr>
          <w:rFonts w:cstheme="minorHAnsi"/>
          <w:szCs w:val="24"/>
        </w:rPr>
        <w:t xml:space="preserve">. </w:t>
      </w:r>
      <w:r w:rsidR="004945C1" w:rsidRPr="00A77AF6">
        <w:rPr>
          <w:rFonts w:cstheme="minorHAnsi"/>
          <w:szCs w:val="24"/>
        </w:rPr>
        <w:t xml:space="preserve">   </w:t>
      </w:r>
    </w:p>
    <w:p w14:paraId="17D6049D" w14:textId="10DF5C7A" w:rsidR="006C1910" w:rsidRPr="00A77AF6" w:rsidRDefault="006C1910" w:rsidP="006C1910">
      <w:pPr>
        <w:pStyle w:val="Heading2"/>
        <w:spacing w:after="120"/>
      </w:pPr>
      <w:bookmarkStart w:id="73" w:name="_Toc36275073"/>
      <w:r w:rsidRPr="00A77AF6">
        <w:t xml:space="preserve">Project </w:t>
      </w:r>
      <w:r w:rsidR="008B3C29" w:rsidRPr="00A77AF6">
        <w:t>g</w:t>
      </w:r>
      <w:r w:rsidRPr="00A77AF6">
        <w:t>overnance</w:t>
      </w:r>
      <w:bookmarkEnd w:id="73"/>
    </w:p>
    <w:p w14:paraId="1250152C" w14:textId="12929DEC" w:rsidR="000219D6" w:rsidRPr="00A77AF6" w:rsidRDefault="006C1910" w:rsidP="002421E3">
      <w:pPr>
        <w:spacing w:line="360" w:lineRule="auto"/>
      </w:pPr>
      <w:r w:rsidRPr="00A77AF6">
        <w:t xml:space="preserve">This section </w:t>
      </w:r>
      <w:r w:rsidR="00CD7067" w:rsidRPr="00A77AF6">
        <w:t>review</w:t>
      </w:r>
      <w:r w:rsidRPr="00A77AF6">
        <w:t xml:space="preserve"> defines </w:t>
      </w:r>
      <w:r w:rsidR="00127F32" w:rsidRPr="00A77AF6">
        <w:t xml:space="preserve">project governance and links it to corporate governance.  </w:t>
      </w:r>
      <w:r w:rsidR="002421E3" w:rsidRPr="00A77AF6">
        <w:t>I</w:t>
      </w:r>
      <w:r w:rsidR="00046CE5" w:rsidRPr="00A77AF6">
        <w:t xml:space="preserve">t </w:t>
      </w:r>
      <w:r w:rsidR="005E768A" w:rsidRPr="00A77AF6">
        <w:t xml:space="preserve">reviews </w:t>
      </w:r>
      <w:r w:rsidR="00CD7067" w:rsidRPr="00A77AF6">
        <w:t>the literature which defines</w:t>
      </w:r>
      <w:r w:rsidR="005E768A" w:rsidRPr="00A77AF6">
        <w:t xml:space="preserve"> </w:t>
      </w:r>
      <w:r w:rsidR="00127F32" w:rsidRPr="00A77AF6">
        <w:t>‘project’</w:t>
      </w:r>
      <w:r w:rsidR="00CD7067" w:rsidRPr="00A77AF6">
        <w:t xml:space="preserve">, project manager, project </w:t>
      </w:r>
      <w:r w:rsidR="005445CA" w:rsidRPr="00A77AF6">
        <w:t xml:space="preserve">management, project governance and its fit with organisational theory. </w:t>
      </w:r>
      <w:r w:rsidR="00CD7067" w:rsidRPr="00A77AF6">
        <w:t xml:space="preserve">CSFs, the iron triangle and other KPIS are reviewed.  </w:t>
      </w:r>
      <w:r w:rsidRPr="00A77AF6">
        <w:t xml:space="preserve">  </w:t>
      </w:r>
    </w:p>
    <w:p w14:paraId="69260307" w14:textId="6547E4F0" w:rsidR="005E768A" w:rsidRPr="00A77AF6" w:rsidRDefault="005E768A" w:rsidP="005E768A">
      <w:pPr>
        <w:pStyle w:val="Heading3"/>
        <w:spacing w:after="120"/>
      </w:pPr>
      <w:bookmarkStart w:id="74" w:name="_Toc515521871"/>
      <w:bookmarkStart w:id="75" w:name="_Toc36275074"/>
      <w:r w:rsidRPr="00A77AF6">
        <w:t xml:space="preserve">Definition of </w:t>
      </w:r>
      <w:r w:rsidR="001A49A3" w:rsidRPr="00A77AF6">
        <w:t>p</w:t>
      </w:r>
      <w:r w:rsidRPr="00A77AF6">
        <w:t>roject</w:t>
      </w:r>
      <w:bookmarkEnd w:id="74"/>
      <w:bookmarkEnd w:id="75"/>
      <w:r w:rsidRPr="00A77AF6">
        <w:t xml:space="preserve"> </w:t>
      </w:r>
    </w:p>
    <w:p w14:paraId="196926A5" w14:textId="30AF64C4" w:rsidR="004162CE" w:rsidRPr="00A77AF6" w:rsidRDefault="00455813" w:rsidP="004162CE">
      <w:pPr>
        <w:spacing w:line="360" w:lineRule="auto"/>
        <w:rPr>
          <w:rFonts w:cstheme="minorHAnsi"/>
        </w:rPr>
      </w:pPr>
      <w:r w:rsidRPr="00A77AF6">
        <w:t xml:space="preserve">Projects are used by organisations to deliver strategic objectives </w:t>
      </w:r>
      <w:sdt>
        <w:sdtPr>
          <w:id w:val="435028744"/>
          <w:citation/>
        </w:sdtPr>
        <w:sdtEndPr/>
        <w:sdtContent>
          <w:r w:rsidRPr="00A77AF6">
            <w:fldChar w:fldCharType="begin"/>
          </w:r>
          <w:r w:rsidRPr="00A77AF6">
            <w:instrText xml:space="preserve"> CITATION Mul09 \l 2057 </w:instrText>
          </w:r>
          <w:r w:rsidRPr="00A77AF6">
            <w:fldChar w:fldCharType="separate"/>
          </w:r>
          <w:r w:rsidR="008E653F" w:rsidRPr="00A77AF6">
            <w:t>(Müller, 2009)</w:t>
          </w:r>
          <w:r w:rsidRPr="00A77AF6">
            <w:fldChar w:fldCharType="end"/>
          </w:r>
        </w:sdtContent>
      </w:sdt>
      <w:r w:rsidRPr="00A77AF6">
        <w:t xml:space="preserve"> and to create </w:t>
      </w:r>
      <w:r w:rsidRPr="00A77AF6">
        <w:rPr>
          <w:rFonts w:cstheme="minorHAnsi"/>
        </w:rPr>
        <w:t xml:space="preserve">new value defined by the procuring entity </w:t>
      </w:r>
      <w:sdt>
        <w:sdtPr>
          <w:rPr>
            <w:rFonts w:cstheme="minorHAnsi"/>
          </w:rPr>
          <w:id w:val="-1992857602"/>
          <w:citation/>
        </w:sdtPr>
        <w:sdtEndPr/>
        <w:sdtContent>
          <w:r w:rsidRPr="00A77AF6">
            <w:rPr>
              <w:rFonts w:cstheme="minorHAnsi"/>
            </w:rPr>
            <w:fldChar w:fldCharType="begin"/>
          </w:r>
          <w:r w:rsidRPr="00A77AF6">
            <w:rPr>
              <w:rFonts w:cstheme="minorHAnsi"/>
            </w:rPr>
            <w:instrText xml:space="preserve"> CITATION Win10 \l 2057 </w:instrText>
          </w:r>
          <w:r w:rsidRPr="00A77AF6">
            <w:rPr>
              <w:rFonts w:cstheme="minorHAnsi"/>
            </w:rPr>
            <w:fldChar w:fldCharType="separate"/>
          </w:r>
          <w:r w:rsidR="008E653F" w:rsidRPr="00A77AF6">
            <w:rPr>
              <w:rFonts w:cstheme="minorHAnsi"/>
            </w:rPr>
            <w:t>(Winch, 2010)</w:t>
          </w:r>
          <w:r w:rsidRPr="00A77AF6">
            <w:rPr>
              <w:rFonts w:cstheme="minorHAnsi"/>
            </w:rPr>
            <w:fldChar w:fldCharType="end"/>
          </w:r>
        </w:sdtContent>
      </w:sdt>
      <w:r w:rsidR="008B2471" w:rsidRPr="00A77AF6">
        <w:rPr>
          <w:rFonts w:cstheme="minorHAnsi"/>
        </w:rPr>
        <w:t xml:space="preserve"> and are </w:t>
      </w:r>
      <w:r w:rsidR="00BB4E55" w:rsidRPr="00A77AF6">
        <w:rPr>
          <w:rFonts w:cstheme="minorHAnsi"/>
        </w:rPr>
        <w:t>defined as</w:t>
      </w:r>
      <w:r w:rsidR="005E768A" w:rsidRPr="00A77AF6">
        <w:rPr>
          <w:rFonts w:cstheme="minorHAnsi"/>
        </w:rPr>
        <w:t xml:space="preserve"> temporary organisation</w:t>
      </w:r>
      <w:r w:rsidRPr="00A77AF6">
        <w:rPr>
          <w:rFonts w:cstheme="minorHAnsi"/>
        </w:rPr>
        <w:t>s</w:t>
      </w:r>
      <w:r w:rsidR="005E768A" w:rsidRPr="00A77AF6">
        <w:rPr>
          <w:rFonts w:cstheme="minorHAnsi"/>
        </w:rPr>
        <w:t xml:space="preserve"> </w:t>
      </w:r>
      <w:r w:rsidR="00A62570" w:rsidRPr="00A77AF6">
        <w:rPr>
          <w:rFonts w:cstheme="minorHAnsi"/>
        </w:rPr>
        <w:t>established t</w:t>
      </w:r>
      <w:r w:rsidR="005E768A" w:rsidRPr="00A77AF6">
        <w:rPr>
          <w:rFonts w:cstheme="minorHAnsi"/>
        </w:rPr>
        <w:t>o create something new or unique within the project lifecycle</w:t>
      </w:r>
      <w:r w:rsidRPr="00A77AF6">
        <w:rPr>
          <w:rFonts w:cstheme="minorHAnsi"/>
        </w:rPr>
        <w:t>. Project</w:t>
      </w:r>
      <w:r w:rsidR="00BB4E55" w:rsidRPr="00A77AF6">
        <w:rPr>
          <w:rFonts w:cstheme="minorHAnsi"/>
        </w:rPr>
        <w:t>s</w:t>
      </w:r>
      <w:r w:rsidRPr="00A77AF6">
        <w:rPr>
          <w:rFonts w:cstheme="minorHAnsi"/>
        </w:rPr>
        <w:t xml:space="preserve"> use </w:t>
      </w:r>
      <w:r w:rsidR="00543040" w:rsidRPr="00A77AF6">
        <w:rPr>
          <w:rFonts w:cstheme="minorHAnsi"/>
        </w:rPr>
        <w:t>r</w:t>
      </w:r>
      <w:r w:rsidR="005E768A" w:rsidRPr="00A77AF6">
        <w:rPr>
          <w:rFonts w:cstheme="minorHAnsi"/>
        </w:rPr>
        <w:t>esources</w:t>
      </w:r>
      <w:r w:rsidRPr="00A77AF6">
        <w:rPr>
          <w:rFonts w:cstheme="minorHAnsi"/>
        </w:rPr>
        <w:t xml:space="preserve"> </w:t>
      </w:r>
      <w:r w:rsidR="00543040" w:rsidRPr="00A77AF6">
        <w:rPr>
          <w:rFonts w:cstheme="minorHAnsi"/>
        </w:rPr>
        <w:t>sometimes</w:t>
      </w:r>
      <w:r w:rsidR="005E768A" w:rsidRPr="00A77AF6">
        <w:rPr>
          <w:rFonts w:cstheme="minorHAnsi"/>
        </w:rPr>
        <w:t xml:space="preserve"> intermittent</w:t>
      </w:r>
      <w:r w:rsidR="00682924" w:rsidRPr="00A77AF6">
        <w:rPr>
          <w:rFonts w:cstheme="minorHAnsi"/>
        </w:rPr>
        <w:t>ly</w:t>
      </w:r>
      <w:r w:rsidRPr="00A77AF6">
        <w:rPr>
          <w:rFonts w:cstheme="minorHAnsi"/>
        </w:rPr>
        <w:t xml:space="preserve"> </w:t>
      </w:r>
      <w:r w:rsidR="00D1166F">
        <w:rPr>
          <w:rFonts w:cstheme="minorHAnsi"/>
        </w:rPr>
        <w:t xml:space="preserve">to complete </w:t>
      </w:r>
      <w:r w:rsidR="005E768A" w:rsidRPr="00A77AF6">
        <w:rPr>
          <w:rFonts w:cstheme="minorHAnsi"/>
        </w:rPr>
        <w:t>separate but related tasks</w:t>
      </w:r>
      <w:r w:rsidR="00D1166F">
        <w:rPr>
          <w:rFonts w:cstheme="minorHAnsi"/>
        </w:rPr>
        <w:t xml:space="preserve"> for the delivery of pre-determined </w:t>
      </w:r>
      <w:r w:rsidR="00BB4E55" w:rsidRPr="00A77AF6">
        <w:rPr>
          <w:rFonts w:cstheme="minorHAnsi"/>
        </w:rPr>
        <w:t>ou</w:t>
      </w:r>
      <w:r w:rsidR="00543040" w:rsidRPr="00A77AF6">
        <w:rPr>
          <w:rFonts w:cstheme="minorHAnsi"/>
        </w:rPr>
        <w:t>tcome</w:t>
      </w:r>
      <w:r w:rsidRPr="00A77AF6">
        <w:rPr>
          <w:rFonts w:cstheme="minorHAnsi"/>
        </w:rPr>
        <w:t>s</w:t>
      </w:r>
      <w:r w:rsidR="00D1166F">
        <w:rPr>
          <w:rFonts w:cstheme="minorHAnsi"/>
        </w:rPr>
        <w:t xml:space="preserve"> which can be </w:t>
      </w:r>
      <w:r w:rsidR="00543040" w:rsidRPr="00A77AF6">
        <w:rPr>
          <w:rFonts w:cstheme="minorHAnsi"/>
        </w:rPr>
        <w:t xml:space="preserve">measured.  </w:t>
      </w:r>
      <w:r w:rsidRPr="00A77AF6">
        <w:rPr>
          <w:rFonts w:cstheme="minorHAnsi"/>
        </w:rPr>
        <w:t>Roles</w:t>
      </w:r>
      <w:r w:rsidR="00543040" w:rsidRPr="00A77AF6">
        <w:rPr>
          <w:rFonts w:cstheme="minorHAnsi"/>
        </w:rPr>
        <w:t xml:space="preserve">, </w:t>
      </w:r>
      <w:r w:rsidR="005E768A" w:rsidRPr="00A77AF6">
        <w:rPr>
          <w:rFonts w:cstheme="minorHAnsi"/>
        </w:rPr>
        <w:t>responsibilities</w:t>
      </w:r>
      <w:r w:rsidR="0083511F" w:rsidRPr="00A77AF6">
        <w:rPr>
          <w:rFonts w:cstheme="minorHAnsi"/>
        </w:rPr>
        <w:t xml:space="preserve">, </w:t>
      </w:r>
      <w:r w:rsidR="00543040" w:rsidRPr="00A77AF6">
        <w:rPr>
          <w:rFonts w:cstheme="minorHAnsi"/>
        </w:rPr>
        <w:t>project management structures</w:t>
      </w:r>
      <w:r w:rsidR="0083511F" w:rsidRPr="00A77AF6">
        <w:rPr>
          <w:rFonts w:cstheme="minorHAnsi"/>
        </w:rPr>
        <w:t xml:space="preserve">, </w:t>
      </w:r>
      <w:r w:rsidR="005E768A" w:rsidRPr="00A77AF6">
        <w:rPr>
          <w:rFonts w:cstheme="minorHAnsi"/>
        </w:rPr>
        <w:t>resources</w:t>
      </w:r>
      <w:r w:rsidR="0083511F" w:rsidRPr="00A77AF6">
        <w:rPr>
          <w:rFonts w:cstheme="minorHAnsi"/>
        </w:rPr>
        <w:t xml:space="preserve">, </w:t>
      </w:r>
      <w:r w:rsidR="005E768A" w:rsidRPr="00A77AF6">
        <w:rPr>
          <w:rFonts w:cstheme="minorHAnsi"/>
        </w:rPr>
        <w:t xml:space="preserve">and </w:t>
      </w:r>
      <w:r w:rsidR="00A62570" w:rsidRPr="00A77AF6">
        <w:rPr>
          <w:rFonts w:cstheme="minorHAnsi"/>
        </w:rPr>
        <w:t xml:space="preserve">expected </w:t>
      </w:r>
      <w:r w:rsidR="005E768A" w:rsidRPr="00A77AF6">
        <w:rPr>
          <w:rFonts w:cstheme="minorHAnsi"/>
        </w:rPr>
        <w:t>benefits</w:t>
      </w:r>
      <w:r w:rsidR="00A62570" w:rsidRPr="00A77AF6">
        <w:rPr>
          <w:rFonts w:cstheme="minorHAnsi"/>
        </w:rPr>
        <w:t xml:space="preserve"> </w:t>
      </w:r>
      <w:r w:rsidR="0083511F" w:rsidRPr="00A77AF6">
        <w:rPr>
          <w:rFonts w:cstheme="minorHAnsi"/>
        </w:rPr>
        <w:t>must</w:t>
      </w:r>
      <w:r w:rsidR="006B5A67" w:rsidRPr="00A77AF6">
        <w:rPr>
          <w:rFonts w:cstheme="minorHAnsi"/>
        </w:rPr>
        <w:t xml:space="preserve"> be</w:t>
      </w:r>
      <w:r w:rsidR="0083511F" w:rsidRPr="00A77AF6">
        <w:rPr>
          <w:rFonts w:cstheme="minorHAnsi"/>
        </w:rPr>
        <w:t xml:space="preserve"> </w:t>
      </w:r>
      <w:r w:rsidR="005E768A" w:rsidRPr="00A77AF6">
        <w:rPr>
          <w:rFonts w:cstheme="minorHAnsi"/>
        </w:rPr>
        <w:t>clearly de</w:t>
      </w:r>
      <w:r w:rsidR="0031706A" w:rsidRPr="00A77AF6">
        <w:rPr>
          <w:rFonts w:cstheme="minorHAnsi"/>
        </w:rPr>
        <w:t>scribed</w:t>
      </w:r>
      <w:r w:rsidR="005E768A" w:rsidRPr="00A77AF6">
        <w:rPr>
          <w:rFonts w:cstheme="minorHAnsi"/>
        </w:rPr>
        <w:t xml:space="preserve"> (Munns &amp; Bjeirmi, 1996; Woodward, 1997; Richardson, 2010; OGC, 2010; CIOB, 2014; </w:t>
      </w:r>
      <w:r w:rsidR="00BB4E55" w:rsidRPr="00A77AF6">
        <w:rPr>
          <w:rFonts w:cstheme="minorHAnsi"/>
        </w:rPr>
        <w:t xml:space="preserve">BSI, 2012, </w:t>
      </w:r>
      <w:r w:rsidR="005E768A" w:rsidRPr="00A77AF6">
        <w:rPr>
          <w:rFonts w:cstheme="minorHAnsi"/>
        </w:rPr>
        <w:t>APM, 2018)</w:t>
      </w:r>
      <w:r w:rsidR="0083511F" w:rsidRPr="00A77AF6">
        <w:rPr>
          <w:rFonts w:cstheme="minorHAnsi"/>
        </w:rPr>
        <w:t xml:space="preserve">. </w:t>
      </w:r>
      <w:r w:rsidR="004162CE" w:rsidRPr="00A77AF6">
        <w:rPr>
          <w:rFonts w:cstheme="minorHAnsi"/>
        </w:rPr>
        <w:t xml:space="preserve"> Projects can be standalone or part of a </w:t>
      </w:r>
      <w:r w:rsidR="00634EF3" w:rsidRPr="00A77AF6">
        <w:rPr>
          <w:rFonts w:cstheme="minorHAnsi"/>
        </w:rPr>
        <w:t xml:space="preserve">programme, which is a </w:t>
      </w:r>
      <w:r w:rsidR="004162CE" w:rsidRPr="00A77AF6">
        <w:rPr>
          <w:rFonts w:cstheme="minorHAnsi"/>
        </w:rPr>
        <w:t xml:space="preserve">group of </w:t>
      </w:r>
      <w:r w:rsidR="00634EF3" w:rsidRPr="00A77AF6">
        <w:rPr>
          <w:rFonts w:cstheme="minorHAnsi"/>
        </w:rPr>
        <w:t xml:space="preserve">related </w:t>
      </w:r>
      <w:r w:rsidR="004162CE" w:rsidRPr="00A77AF6">
        <w:rPr>
          <w:rFonts w:cstheme="minorHAnsi"/>
        </w:rPr>
        <w:t>projects</w:t>
      </w:r>
      <w:r w:rsidR="00634EF3" w:rsidRPr="00A77AF6">
        <w:rPr>
          <w:rFonts w:cstheme="minorHAnsi"/>
        </w:rPr>
        <w:t xml:space="preserve"> that together achieve the client’s objectives (Axelos, 2009, BSI, 2012).  Projects may also be part of a portfolio which is a set of related programmes and projects, managed centrally by the procuring organisation for the achievement of strategic objectives </w:t>
      </w:r>
      <w:sdt>
        <w:sdtPr>
          <w:rPr>
            <w:rFonts w:cstheme="minorHAnsi"/>
          </w:rPr>
          <w:id w:val="-1953238025"/>
          <w:citation/>
        </w:sdtPr>
        <w:sdtEndPr/>
        <w:sdtContent>
          <w:r w:rsidR="00634EF3" w:rsidRPr="00A77AF6">
            <w:rPr>
              <w:rFonts w:cstheme="minorHAnsi"/>
            </w:rPr>
            <w:fldChar w:fldCharType="begin"/>
          </w:r>
          <w:r w:rsidR="00634EF3" w:rsidRPr="00A77AF6">
            <w:rPr>
              <w:rFonts w:cstheme="minorHAnsi"/>
            </w:rPr>
            <w:instrText xml:space="preserve"> CITATION BSI12 \l 2057 </w:instrText>
          </w:r>
          <w:r w:rsidR="00634EF3" w:rsidRPr="00A77AF6">
            <w:rPr>
              <w:rFonts w:cstheme="minorHAnsi"/>
            </w:rPr>
            <w:fldChar w:fldCharType="separate"/>
          </w:r>
          <w:r w:rsidR="008E653F" w:rsidRPr="00A77AF6">
            <w:rPr>
              <w:rFonts w:cstheme="minorHAnsi"/>
            </w:rPr>
            <w:t>(BSI, 2012)</w:t>
          </w:r>
          <w:r w:rsidR="00634EF3" w:rsidRPr="00A77AF6">
            <w:rPr>
              <w:rFonts w:cstheme="minorHAnsi"/>
            </w:rPr>
            <w:fldChar w:fldCharType="end"/>
          </w:r>
        </w:sdtContent>
      </w:sdt>
      <w:r w:rsidR="00634EF3" w:rsidRPr="00A77AF6">
        <w:rPr>
          <w:rFonts w:cstheme="minorHAnsi"/>
        </w:rPr>
        <w:t xml:space="preserve">. </w:t>
      </w:r>
    </w:p>
    <w:p w14:paraId="2A3569DB" w14:textId="5593BF7A" w:rsidR="008B3C29" w:rsidRPr="00A77AF6" w:rsidRDefault="006B5A67" w:rsidP="00CC7C61">
      <w:pPr>
        <w:spacing w:before="360" w:line="360" w:lineRule="auto"/>
        <w:rPr>
          <w:rFonts w:cstheme="minorHAnsi"/>
          <w:szCs w:val="24"/>
        </w:rPr>
      </w:pPr>
      <w:r w:rsidRPr="00A77AF6">
        <w:rPr>
          <w:rFonts w:cstheme="minorHAnsi"/>
        </w:rPr>
        <w:t xml:space="preserve">The </w:t>
      </w:r>
      <w:r w:rsidR="001B0403" w:rsidRPr="00A77AF6">
        <w:rPr>
          <w:rFonts w:cstheme="minorHAnsi"/>
        </w:rPr>
        <w:t>timebound</w:t>
      </w:r>
      <w:r w:rsidRPr="00A77AF6">
        <w:rPr>
          <w:rFonts w:cstheme="minorHAnsi"/>
        </w:rPr>
        <w:t xml:space="preserve"> nature of projects differentiates them from ‘business as usual’</w:t>
      </w:r>
      <w:r w:rsidR="00455813" w:rsidRPr="00A77AF6">
        <w:rPr>
          <w:rFonts w:cstheme="minorHAnsi"/>
        </w:rPr>
        <w:t xml:space="preserve"> and because they are </w:t>
      </w:r>
      <w:r w:rsidR="006A1746" w:rsidRPr="00A77AF6">
        <w:rPr>
          <w:rFonts w:cstheme="minorHAnsi"/>
        </w:rPr>
        <w:t>temporary, they</w:t>
      </w:r>
      <w:r w:rsidR="00455813" w:rsidRPr="00A77AF6">
        <w:rPr>
          <w:rFonts w:cstheme="minorHAnsi"/>
        </w:rPr>
        <w:t xml:space="preserve"> are understood within the concept of project lifecycles. </w:t>
      </w:r>
      <w:r w:rsidR="00147C0A" w:rsidRPr="00A77AF6">
        <w:rPr>
          <w:rFonts w:cstheme="minorHAnsi"/>
        </w:rPr>
        <w:t>In construction, t</w:t>
      </w:r>
      <w:r w:rsidR="0031706A" w:rsidRPr="00A77AF6">
        <w:rPr>
          <w:rFonts w:cstheme="minorHAnsi"/>
        </w:rPr>
        <w:t>he RIBA Plan of Works (2013) and the CIOB Code of Practice (2014) show the stages of construction project</w:t>
      </w:r>
      <w:r w:rsidR="00455813" w:rsidRPr="00A77AF6">
        <w:rPr>
          <w:rFonts w:cstheme="minorHAnsi"/>
        </w:rPr>
        <w:t>s</w:t>
      </w:r>
      <w:r w:rsidR="0031706A" w:rsidRPr="00A77AF6">
        <w:rPr>
          <w:rFonts w:cstheme="minorHAnsi"/>
        </w:rPr>
        <w:t xml:space="preserve"> from beginning to end.  RIBA (2013) has 8 stages: </w:t>
      </w:r>
      <w:r w:rsidR="00103A71" w:rsidRPr="00A77AF6">
        <w:rPr>
          <w:rFonts w:cstheme="minorHAnsi"/>
        </w:rPr>
        <w:t>s</w:t>
      </w:r>
      <w:r w:rsidR="0031706A" w:rsidRPr="00A77AF6">
        <w:rPr>
          <w:rFonts w:cstheme="minorHAnsi"/>
        </w:rPr>
        <w:t xml:space="preserve">trategic </w:t>
      </w:r>
      <w:r w:rsidR="00103A71" w:rsidRPr="00A77AF6">
        <w:rPr>
          <w:rFonts w:cstheme="minorHAnsi"/>
        </w:rPr>
        <w:t>d</w:t>
      </w:r>
      <w:r w:rsidR="0031706A" w:rsidRPr="00A77AF6">
        <w:rPr>
          <w:rFonts w:cstheme="minorHAnsi"/>
        </w:rPr>
        <w:t xml:space="preserve">efinition; </w:t>
      </w:r>
      <w:r w:rsidR="00103A71" w:rsidRPr="00A77AF6">
        <w:rPr>
          <w:rFonts w:cstheme="minorHAnsi"/>
        </w:rPr>
        <w:t>p</w:t>
      </w:r>
      <w:r w:rsidR="0031706A" w:rsidRPr="00A77AF6">
        <w:rPr>
          <w:rFonts w:cstheme="minorHAnsi"/>
        </w:rPr>
        <w:t xml:space="preserve">reparation and </w:t>
      </w:r>
      <w:r w:rsidR="00103A71" w:rsidRPr="00A77AF6">
        <w:rPr>
          <w:rFonts w:cstheme="minorHAnsi"/>
        </w:rPr>
        <w:t>b</w:t>
      </w:r>
      <w:r w:rsidR="0031706A" w:rsidRPr="00A77AF6">
        <w:rPr>
          <w:rFonts w:cstheme="minorHAnsi"/>
        </w:rPr>
        <w:t xml:space="preserve">rief; </w:t>
      </w:r>
      <w:r w:rsidR="00103A71" w:rsidRPr="00A77AF6">
        <w:rPr>
          <w:rFonts w:cstheme="minorHAnsi"/>
        </w:rPr>
        <w:t>c</w:t>
      </w:r>
      <w:r w:rsidR="0031706A" w:rsidRPr="00A77AF6">
        <w:rPr>
          <w:rFonts w:cstheme="minorHAnsi"/>
        </w:rPr>
        <w:t xml:space="preserve">oncept </w:t>
      </w:r>
      <w:r w:rsidR="00103A71" w:rsidRPr="00A77AF6">
        <w:rPr>
          <w:rFonts w:cstheme="minorHAnsi"/>
        </w:rPr>
        <w:t>d</w:t>
      </w:r>
      <w:r w:rsidR="0031706A" w:rsidRPr="00A77AF6">
        <w:rPr>
          <w:rFonts w:cstheme="minorHAnsi"/>
        </w:rPr>
        <w:t xml:space="preserve">esign; </w:t>
      </w:r>
      <w:r w:rsidR="00103A71" w:rsidRPr="00A77AF6">
        <w:rPr>
          <w:rFonts w:cstheme="minorHAnsi"/>
        </w:rPr>
        <w:t>d</w:t>
      </w:r>
      <w:r w:rsidR="0031706A" w:rsidRPr="00A77AF6">
        <w:rPr>
          <w:rFonts w:cstheme="minorHAnsi"/>
        </w:rPr>
        <w:t xml:space="preserve">eveloped </w:t>
      </w:r>
      <w:r w:rsidR="00103A71" w:rsidRPr="00A77AF6">
        <w:rPr>
          <w:rFonts w:cstheme="minorHAnsi"/>
        </w:rPr>
        <w:t>d</w:t>
      </w:r>
      <w:r w:rsidR="0031706A" w:rsidRPr="00A77AF6">
        <w:rPr>
          <w:rFonts w:cstheme="minorHAnsi"/>
        </w:rPr>
        <w:t xml:space="preserve">esign; </w:t>
      </w:r>
      <w:r w:rsidR="00103A71" w:rsidRPr="00A77AF6">
        <w:rPr>
          <w:rFonts w:cstheme="minorHAnsi"/>
        </w:rPr>
        <w:t>t</w:t>
      </w:r>
      <w:r w:rsidR="0031706A" w:rsidRPr="00A77AF6">
        <w:rPr>
          <w:rFonts w:cstheme="minorHAnsi"/>
        </w:rPr>
        <w:t xml:space="preserve">echnical </w:t>
      </w:r>
      <w:r w:rsidR="00103A71" w:rsidRPr="00A77AF6">
        <w:rPr>
          <w:rFonts w:cstheme="minorHAnsi"/>
        </w:rPr>
        <w:t>d</w:t>
      </w:r>
      <w:r w:rsidR="0031706A" w:rsidRPr="00A77AF6">
        <w:rPr>
          <w:rFonts w:cstheme="minorHAnsi"/>
        </w:rPr>
        <w:t xml:space="preserve">esign; </w:t>
      </w:r>
      <w:r w:rsidR="00103A71" w:rsidRPr="00A77AF6">
        <w:rPr>
          <w:rFonts w:cstheme="minorHAnsi"/>
        </w:rPr>
        <w:t>c</w:t>
      </w:r>
      <w:r w:rsidR="0031706A" w:rsidRPr="00A77AF6">
        <w:rPr>
          <w:rFonts w:cstheme="minorHAnsi"/>
        </w:rPr>
        <w:t xml:space="preserve">onstruction; </w:t>
      </w:r>
      <w:r w:rsidR="00103A71" w:rsidRPr="00A77AF6">
        <w:rPr>
          <w:rFonts w:cstheme="minorHAnsi"/>
        </w:rPr>
        <w:t>h</w:t>
      </w:r>
      <w:r w:rsidR="0031706A" w:rsidRPr="00A77AF6">
        <w:rPr>
          <w:rFonts w:cstheme="minorHAnsi"/>
        </w:rPr>
        <w:t xml:space="preserve">andover and </w:t>
      </w:r>
      <w:r w:rsidR="00103A71" w:rsidRPr="00A77AF6">
        <w:rPr>
          <w:rFonts w:cstheme="minorHAnsi"/>
        </w:rPr>
        <w:t>c</w:t>
      </w:r>
      <w:r w:rsidR="0031706A" w:rsidRPr="00A77AF6">
        <w:rPr>
          <w:rFonts w:cstheme="minorHAnsi"/>
        </w:rPr>
        <w:t xml:space="preserve">lose.   </w:t>
      </w:r>
      <w:r w:rsidR="005E768A" w:rsidRPr="00A77AF6">
        <w:rPr>
          <w:rFonts w:cstheme="minorHAnsi"/>
        </w:rPr>
        <w:t>The CIOB too has 8 stages: inception; feasibility/strategy; preconstruction; construction; engineering services/ commissioning; completion/ hand over and occupation; post completion review/ project close</w:t>
      </w:r>
      <w:r w:rsidR="0031706A" w:rsidRPr="00A77AF6">
        <w:rPr>
          <w:rFonts w:cstheme="minorHAnsi"/>
        </w:rPr>
        <w:t>-</w:t>
      </w:r>
      <w:r w:rsidR="005E768A" w:rsidRPr="00A77AF6">
        <w:rPr>
          <w:rFonts w:cstheme="minorHAnsi"/>
        </w:rPr>
        <w:t xml:space="preserve">out report.  The UK Government’s OGC developed a generic project lifecycle that is capable </w:t>
      </w:r>
      <w:r w:rsidR="005E768A" w:rsidRPr="00A77AF6">
        <w:rPr>
          <w:rFonts w:cstheme="minorHAnsi"/>
        </w:rPr>
        <w:lastRenderedPageBreak/>
        <w:t>of being used in a variety of projects</w:t>
      </w:r>
      <w:r w:rsidR="005E768A" w:rsidRPr="00A77AF6">
        <w:rPr>
          <w:rFonts w:cstheme="minorHAnsi"/>
          <w:szCs w:val="24"/>
        </w:rPr>
        <w:t xml:space="preserve"> with 6 stages or ‘Gates’: Stage 0 Strategic Assessment; Gate 1 Business Justification, Gate 2 Procurement Strategy, Gate 3 Investment Decision, Gate 4 Readiness for Service and Gate 5 Benefits Evaluation.  </w:t>
      </w:r>
      <w:r w:rsidR="00C46406" w:rsidRPr="00A77AF6">
        <w:rPr>
          <w:rFonts w:cstheme="minorHAnsi"/>
          <w:szCs w:val="24"/>
        </w:rPr>
        <w:t>Project l</w:t>
      </w:r>
      <w:r w:rsidR="005E768A" w:rsidRPr="00A77AF6">
        <w:rPr>
          <w:rFonts w:cstheme="minorHAnsi"/>
          <w:szCs w:val="24"/>
        </w:rPr>
        <w:t>ifecycles define project stages and although they divide project</w:t>
      </w:r>
      <w:r w:rsidR="00CC7C61" w:rsidRPr="00A77AF6">
        <w:rPr>
          <w:rFonts w:cstheme="minorHAnsi"/>
          <w:szCs w:val="24"/>
        </w:rPr>
        <w:t>s</w:t>
      </w:r>
      <w:r w:rsidR="005E768A" w:rsidRPr="00A77AF6">
        <w:rPr>
          <w:rFonts w:cstheme="minorHAnsi"/>
          <w:szCs w:val="24"/>
        </w:rPr>
        <w:t xml:space="preserve"> up in slightly different ways</w:t>
      </w:r>
      <w:r w:rsidR="00147C0A" w:rsidRPr="00A77AF6">
        <w:rPr>
          <w:rFonts w:cstheme="minorHAnsi"/>
          <w:szCs w:val="24"/>
        </w:rPr>
        <w:t xml:space="preserve">, a </w:t>
      </w:r>
      <w:r w:rsidR="005E768A" w:rsidRPr="00A77AF6">
        <w:rPr>
          <w:rFonts w:cstheme="minorHAnsi"/>
          <w:szCs w:val="24"/>
        </w:rPr>
        <w:t xml:space="preserve">project will </w:t>
      </w:r>
      <w:r w:rsidR="00C46406" w:rsidRPr="00A77AF6">
        <w:rPr>
          <w:rFonts w:cstheme="minorHAnsi"/>
          <w:szCs w:val="24"/>
        </w:rPr>
        <w:t xml:space="preserve">pass through stages and then </w:t>
      </w:r>
      <w:r w:rsidR="00147C0A" w:rsidRPr="00A77AF6">
        <w:rPr>
          <w:rFonts w:cstheme="minorHAnsi"/>
          <w:szCs w:val="24"/>
        </w:rPr>
        <w:t xml:space="preserve">come to an </w:t>
      </w:r>
      <w:r w:rsidR="005E768A" w:rsidRPr="00A77AF6">
        <w:rPr>
          <w:rFonts w:cstheme="minorHAnsi"/>
          <w:szCs w:val="24"/>
        </w:rPr>
        <w:t>end</w:t>
      </w:r>
      <w:r w:rsidR="006A1746" w:rsidRPr="00A77AF6">
        <w:rPr>
          <w:rFonts w:cstheme="minorHAnsi"/>
          <w:szCs w:val="24"/>
        </w:rPr>
        <w:t xml:space="preserve"> </w:t>
      </w:r>
      <w:sdt>
        <w:sdtPr>
          <w:rPr>
            <w:rFonts w:cstheme="minorHAnsi"/>
            <w:szCs w:val="24"/>
          </w:rPr>
          <w:id w:val="1337036512"/>
          <w:citation/>
        </w:sdtPr>
        <w:sdtEndPr/>
        <w:sdtContent>
          <w:r w:rsidR="006A1746" w:rsidRPr="00A77AF6">
            <w:rPr>
              <w:rFonts w:cstheme="minorHAnsi"/>
              <w:szCs w:val="24"/>
            </w:rPr>
            <w:fldChar w:fldCharType="begin"/>
          </w:r>
          <w:r w:rsidR="006A1746" w:rsidRPr="00A77AF6">
            <w:rPr>
              <w:rFonts w:cstheme="minorHAnsi"/>
              <w:szCs w:val="24"/>
            </w:rPr>
            <w:instrText xml:space="preserve"> CITATION BSI12 \l 2057 </w:instrText>
          </w:r>
          <w:r w:rsidR="006A1746" w:rsidRPr="00A77AF6">
            <w:rPr>
              <w:rFonts w:cstheme="minorHAnsi"/>
              <w:szCs w:val="24"/>
            </w:rPr>
            <w:fldChar w:fldCharType="separate"/>
          </w:r>
          <w:r w:rsidR="008E653F" w:rsidRPr="00A77AF6">
            <w:rPr>
              <w:rFonts w:cstheme="minorHAnsi"/>
              <w:szCs w:val="24"/>
            </w:rPr>
            <w:t>(BSI, 2012)</w:t>
          </w:r>
          <w:r w:rsidR="006A1746" w:rsidRPr="00A77AF6">
            <w:rPr>
              <w:rFonts w:cstheme="minorHAnsi"/>
              <w:szCs w:val="24"/>
            </w:rPr>
            <w:fldChar w:fldCharType="end"/>
          </w:r>
        </w:sdtContent>
      </w:sdt>
      <w:r w:rsidR="006A1746" w:rsidRPr="00A77AF6">
        <w:rPr>
          <w:rFonts w:cstheme="minorHAnsi"/>
          <w:szCs w:val="24"/>
        </w:rPr>
        <w:t xml:space="preserve">. </w:t>
      </w:r>
      <w:r w:rsidR="005E768A" w:rsidRPr="00A77AF6">
        <w:rPr>
          <w:rFonts w:cstheme="minorHAnsi"/>
          <w:szCs w:val="24"/>
        </w:rPr>
        <w:t xml:space="preserve"> Project lifecycles are used as check points or gates at key points during the life of projects to give the project owner defined moments to take stock </w:t>
      </w:r>
      <w:r w:rsidR="00147C0A" w:rsidRPr="00A77AF6">
        <w:rPr>
          <w:rFonts w:cstheme="minorHAnsi"/>
          <w:szCs w:val="24"/>
        </w:rPr>
        <w:t>and</w:t>
      </w:r>
      <w:r w:rsidR="005E768A" w:rsidRPr="00A77AF6">
        <w:rPr>
          <w:rFonts w:cstheme="minorHAnsi"/>
          <w:szCs w:val="24"/>
        </w:rPr>
        <w:t xml:space="preserve"> </w:t>
      </w:r>
      <w:r w:rsidR="00147C0A" w:rsidRPr="00A77AF6">
        <w:rPr>
          <w:rFonts w:cstheme="minorHAnsi"/>
          <w:szCs w:val="24"/>
        </w:rPr>
        <w:t>assess</w:t>
      </w:r>
      <w:r w:rsidR="005E768A" w:rsidRPr="00A77AF6">
        <w:rPr>
          <w:rFonts w:cstheme="minorHAnsi"/>
          <w:szCs w:val="24"/>
        </w:rPr>
        <w:t xml:space="preserve"> whether a project should proceed or be discontinued</w:t>
      </w:r>
      <w:r w:rsidR="00CC7C61" w:rsidRPr="00A77AF6">
        <w:rPr>
          <w:rFonts w:cstheme="minorHAnsi"/>
          <w:szCs w:val="24"/>
        </w:rPr>
        <w:t xml:space="preserve"> </w:t>
      </w:r>
      <w:sdt>
        <w:sdtPr>
          <w:rPr>
            <w:rFonts w:cstheme="minorHAnsi"/>
            <w:szCs w:val="24"/>
          </w:rPr>
          <w:id w:val="63763973"/>
          <w:citation/>
        </w:sdtPr>
        <w:sdtEndPr/>
        <w:sdtContent>
          <w:r w:rsidR="00CC7C61" w:rsidRPr="00A77AF6">
            <w:rPr>
              <w:rFonts w:cstheme="minorHAnsi"/>
              <w:szCs w:val="24"/>
            </w:rPr>
            <w:fldChar w:fldCharType="begin"/>
          </w:r>
          <w:r w:rsidR="00CC7C61" w:rsidRPr="00A77AF6">
            <w:rPr>
              <w:rFonts w:cstheme="minorHAnsi"/>
              <w:szCs w:val="24"/>
            </w:rPr>
            <w:instrText xml:space="preserve"> CITATION OGC10 \l 2057 </w:instrText>
          </w:r>
          <w:r w:rsidR="00CC7C61" w:rsidRPr="00A77AF6">
            <w:rPr>
              <w:rFonts w:cstheme="minorHAnsi"/>
              <w:szCs w:val="24"/>
            </w:rPr>
            <w:fldChar w:fldCharType="separate"/>
          </w:r>
          <w:r w:rsidR="008E653F" w:rsidRPr="00A77AF6">
            <w:rPr>
              <w:rFonts w:cstheme="minorHAnsi"/>
              <w:szCs w:val="24"/>
            </w:rPr>
            <w:t>(OGC, 2010)</w:t>
          </w:r>
          <w:r w:rsidR="00CC7C61" w:rsidRPr="00A77AF6">
            <w:rPr>
              <w:rFonts w:cstheme="minorHAnsi"/>
              <w:szCs w:val="24"/>
            </w:rPr>
            <w:fldChar w:fldCharType="end"/>
          </w:r>
        </w:sdtContent>
      </w:sdt>
      <w:r w:rsidR="005E768A" w:rsidRPr="00A77AF6">
        <w:rPr>
          <w:rFonts w:cstheme="minorHAnsi"/>
          <w:szCs w:val="24"/>
        </w:rPr>
        <w:t xml:space="preserve">.  This is both a backward and forward-looking activity. Backward looking because it is necessary to </w:t>
      </w:r>
      <w:r w:rsidR="006C32D4">
        <w:rPr>
          <w:rFonts w:cstheme="minorHAnsi"/>
          <w:szCs w:val="24"/>
        </w:rPr>
        <w:t>review</w:t>
      </w:r>
      <w:r w:rsidR="005E768A" w:rsidRPr="00A77AF6">
        <w:rPr>
          <w:rFonts w:cstheme="minorHAnsi"/>
          <w:szCs w:val="24"/>
        </w:rPr>
        <w:t xml:space="preserve"> the phase the project is about to leave to make sure everything has been completed </w:t>
      </w:r>
      <w:r w:rsidR="00CC7C61" w:rsidRPr="00A77AF6">
        <w:rPr>
          <w:rFonts w:cstheme="minorHAnsi"/>
          <w:szCs w:val="24"/>
        </w:rPr>
        <w:t>before moving to the next phase</w:t>
      </w:r>
      <w:r w:rsidR="00755312" w:rsidRPr="00A77AF6">
        <w:rPr>
          <w:rFonts w:cstheme="minorHAnsi"/>
          <w:szCs w:val="24"/>
        </w:rPr>
        <w:t xml:space="preserve">, </w:t>
      </w:r>
      <w:r w:rsidR="005E768A" w:rsidRPr="00A77AF6">
        <w:rPr>
          <w:rFonts w:cstheme="minorHAnsi"/>
          <w:szCs w:val="24"/>
        </w:rPr>
        <w:t>and forward-looking because it is necessary to plan the next phase’s activities and resource requirements</w:t>
      </w:r>
      <w:r w:rsidR="00CC7C61" w:rsidRPr="00A77AF6">
        <w:rPr>
          <w:rFonts w:cstheme="minorHAnsi"/>
          <w:szCs w:val="24"/>
        </w:rPr>
        <w:t xml:space="preserve"> in advance</w:t>
      </w:r>
      <w:r w:rsidR="005E768A" w:rsidRPr="00A77AF6">
        <w:rPr>
          <w:rFonts w:cstheme="minorHAnsi"/>
        </w:rPr>
        <w:t xml:space="preserve">. </w:t>
      </w:r>
      <w:r w:rsidR="005E768A" w:rsidRPr="00A77AF6">
        <w:rPr>
          <w:rFonts w:cstheme="minorHAnsi"/>
          <w:szCs w:val="24"/>
        </w:rPr>
        <w:t xml:space="preserve"> Project lifecycles act as prompts for action and as a route map through the project. A summary of</w:t>
      </w:r>
      <w:r w:rsidR="00147C0A" w:rsidRPr="00A77AF6">
        <w:rPr>
          <w:rFonts w:cstheme="minorHAnsi"/>
          <w:szCs w:val="24"/>
        </w:rPr>
        <w:t xml:space="preserve"> two construction</w:t>
      </w:r>
      <w:r w:rsidR="00CC7C61" w:rsidRPr="00A77AF6">
        <w:rPr>
          <w:rFonts w:cstheme="minorHAnsi"/>
          <w:szCs w:val="24"/>
        </w:rPr>
        <w:t xml:space="preserve">-specific </w:t>
      </w:r>
      <w:r w:rsidR="00147C0A" w:rsidRPr="00A77AF6">
        <w:rPr>
          <w:rFonts w:cstheme="minorHAnsi"/>
          <w:szCs w:val="24"/>
        </w:rPr>
        <w:t xml:space="preserve">lifecycles and the OGC lifecycle </w:t>
      </w:r>
      <w:r w:rsidR="005E768A" w:rsidRPr="00A77AF6">
        <w:rPr>
          <w:rFonts w:cstheme="minorHAnsi"/>
          <w:szCs w:val="24"/>
        </w:rPr>
        <w:t xml:space="preserve"> project lifecycles is given in </w:t>
      </w:r>
      <w:r w:rsidR="00033265" w:rsidRPr="00A77AF6">
        <w:rPr>
          <w:rFonts w:cstheme="minorHAnsi"/>
          <w:szCs w:val="24"/>
        </w:rPr>
        <w:t>T</w:t>
      </w:r>
      <w:r w:rsidR="001D6B39" w:rsidRPr="00A77AF6">
        <w:rPr>
          <w:rFonts w:cstheme="minorHAnsi"/>
          <w:szCs w:val="24"/>
        </w:rPr>
        <w:t xml:space="preserve">able </w:t>
      </w:r>
      <w:r w:rsidR="00CC7C61" w:rsidRPr="00A77AF6">
        <w:rPr>
          <w:rFonts w:cstheme="minorHAnsi"/>
          <w:szCs w:val="24"/>
        </w:rPr>
        <w:t>4-2</w:t>
      </w:r>
      <w:r w:rsidR="005E768A" w:rsidRPr="00A77AF6">
        <w:rPr>
          <w:rFonts w:cstheme="minorHAnsi"/>
          <w:szCs w:val="24"/>
        </w:rPr>
        <w:t xml:space="preserve">.  </w:t>
      </w:r>
      <w:r w:rsidR="00147C0A" w:rsidRPr="00A77AF6">
        <w:rPr>
          <w:rFonts w:cstheme="minorHAnsi"/>
          <w:szCs w:val="24"/>
        </w:rPr>
        <w:t>A</w:t>
      </w:r>
      <w:r w:rsidR="005E768A" w:rsidRPr="00A77AF6">
        <w:rPr>
          <w:rFonts w:cstheme="minorHAnsi"/>
          <w:szCs w:val="24"/>
        </w:rPr>
        <w:t xml:space="preserve"> review of the current phase and planning for the next takes place on the border between phases.  </w:t>
      </w:r>
    </w:p>
    <w:p w14:paraId="670E73C1" w14:textId="626CC3CD" w:rsidR="00A902F6" w:rsidRPr="00A77AF6" w:rsidRDefault="00A902F6" w:rsidP="0007452B">
      <w:pPr>
        <w:pStyle w:val="Caption"/>
        <w:keepNext/>
        <w:spacing w:after="120"/>
      </w:pPr>
      <w:r w:rsidRPr="00A77AF6">
        <w:t xml:space="preserve">Table </w:t>
      </w:r>
      <w:fldSimple w:instr=" STYLEREF 1 \s ">
        <w:r w:rsidR="000441F7">
          <w:rPr>
            <w:noProof/>
          </w:rPr>
          <w:t>4</w:t>
        </w:r>
      </w:fldSimple>
      <w:r w:rsidR="00804112">
        <w:noBreakHyphen/>
      </w:r>
      <w:fldSimple w:instr=" SEQ Table \* ARABIC \s 1 ">
        <w:r w:rsidR="000441F7">
          <w:rPr>
            <w:noProof/>
          </w:rPr>
          <w:t>2</w:t>
        </w:r>
      </w:fldSimple>
      <w:r w:rsidRPr="00A77AF6">
        <w:t>: Project Lifecycle</w:t>
      </w:r>
      <w:r w:rsidR="00D454D4" w:rsidRPr="00A77AF6">
        <w:t xml:space="preserve"> examples</w:t>
      </w: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2"/>
        <w:gridCol w:w="2503"/>
        <w:gridCol w:w="2503"/>
      </w:tblGrid>
      <w:tr w:rsidR="0031706A" w:rsidRPr="00A77AF6" w14:paraId="38C50497" w14:textId="77777777" w:rsidTr="0031706A">
        <w:tc>
          <w:tcPr>
            <w:tcW w:w="2502" w:type="dxa"/>
            <w:shd w:val="clear" w:color="auto" w:fill="F2F2F2" w:themeFill="background1" w:themeFillShade="F2"/>
          </w:tcPr>
          <w:p w14:paraId="067A64DC" w14:textId="77777777" w:rsidR="0031706A" w:rsidRPr="00A77AF6" w:rsidRDefault="0031706A" w:rsidP="00CC7C61">
            <w:pPr>
              <w:spacing w:after="0"/>
              <w:rPr>
                <w:rFonts w:cstheme="minorHAnsi"/>
                <w:sz w:val="20"/>
                <w:szCs w:val="20"/>
              </w:rPr>
            </w:pPr>
            <w:r w:rsidRPr="00A77AF6">
              <w:rPr>
                <w:rFonts w:cstheme="minorHAnsi"/>
                <w:sz w:val="20"/>
                <w:szCs w:val="20"/>
              </w:rPr>
              <w:t xml:space="preserve">CIOB Code of Practice for Project Management for Construction Development </w:t>
            </w:r>
          </w:p>
        </w:tc>
        <w:tc>
          <w:tcPr>
            <w:tcW w:w="2503" w:type="dxa"/>
            <w:shd w:val="clear" w:color="auto" w:fill="F2F2F2" w:themeFill="background1" w:themeFillShade="F2"/>
          </w:tcPr>
          <w:p w14:paraId="207C1235" w14:textId="77777777" w:rsidR="0031706A" w:rsidRPr="00A77AF6" w:rsidRDefault="0031706A" w:rsidP="00CC7C61">
            <w:pPr>
              <w:spacing w:after="0"/>
              <w:rPr>
                <w:rFonts w:cstheme="minorHAnsi"/>
                <w:sz w:val="20"/>
                <w:szCs w:val="20"/>
              </w:rPr>
            </w:pPr>
            <w:r w:rsidRPr="00A77AF6">
              <w:rPr>
                <w:rFonts w:cstheme="minorHAnsi"/>
                <w:sz w:val="20"/>
                <w:szCs w:val="20"/>
              </w:rPr>
              <w:t>Office of Government Commerce</w:t>
            </w:r>
          </w:p>
        </w:tc>
        <w:tc>
          <w:tcPr>
            <w:tcW w:w="2503" w:type="dxa"/>
            <w:shd w:val="clear" w:color="auto" w:fill="F2F2F2" w:themeFill="background1" w:themeFillShade="F2"/>
          </w:tcPr>
          <w:p w14:paraId="52D33D44" w14:textId="77777777" w:rsidR="0031706A" w:rsidRPr="00A77AF6" w:rsidRDefault="0031706A" w:rsidP="00CC7C61">
            <w:pPr>
              <w:spacing w:after="0"/>
              <w:rPr>
                <w:rFonts w:cstheme="minorHAnsi"/>
                <w:sz w:val="20"/>
                <w:szCs w:val="20"/>
              </w:rPr>
            </w:pPr>
            <w:r w:rsidRPr="00A77AF6">
              <w:rPr>
                <w:rFonts w:cstheme="minorHAnsi"/>
                <w:sz w:val="20"/>
                <w:szCs w:val="20"/>
              </w:rPr>
              <w:t>RIBA Plan of Work 2013</w:t>
            </w:r>
          </w:p>
        </w:tc>
      </w:tr>
      <w:tr w:rsidR="0031706A" w:rsidRPr="00A77AF6" w14:paraId="0EB214D0" w14:textId="77777777" w:rsidTr="0031706A">
        <w:tc>
          <w:tcPr>
            <w:tcW w:w="2502" w:type="dxa"/>
          </w:tcPr>
          <w:p w14:paraId="794DE7F3" w14:textId="77777777" w:rsidR="0031706A" w:rsidRPr="00A77AF6" w:rsidRDefault="0031706A" w:rsidP="00CC7C61">
            <w:pPr>
              <w:spacing w:after="60" w:line="240" w:lineRule="auto"/>
              <w:rPr>
                <w:rFonts w:cstheme="minorHAnsi"/>
                <w:sz w:val="20"/>
                <w:szCs w:val="20"/>
              </w:rPr>
            </w:pPr>
            <w:r w:rsidRPr="00A77AF6">
              <w:rPr>
                <w:rFonts w:cstheme="minorHAnsi"/>
                <w:sz w:val="20"/>
                <w:szCs w:val="20"/>
              </w:rPr>
              <w:t>1. Inception</w:t>
            </w:r>
          </w:p>
        </w:tc>
        <w:tc>
          <w:tcPr>
            <w:tcW w:w="2503" w:type="dxa"/>
          </w:tcPr>
          <w:p w14:paraId="3CC83FFA" w14:textId="77777777" w:rsidR="0031706A" w:rsidRPr="00A77AF6" w:rsidRDefault="0031706A" w:rsidP="00CC7C61">
            <w:pPr>
              <w:spacing w:after="60" w:line="240" w:lineRule="auto"/>
              <w:rPr>
                <w:rFonts w:cstheme="minorHAnsi"/>
                <w:sz w:val="20"/>
                <w:szCs w:val="20"/>
              </w:rPr>
            </w:pPr>
            <w:r w:rsidRPr="00A77AF6">
              <w:rPr>
                <w:rFonts w:cstheme="minorHAnsi"/>
                <w:sz w:val="20"/>
                <w:szCs w:val="20"/>
              </w:rPr>
              <w:t>Gate 0 Strategic assessment</w:t>
            </w:r>
          </w:p>
        </w:tc>
        <w:tc>
          <w:tcPr>
            <w:tcW w:w="2503" w:type="dxa"/>
          </w:tcPr>
          <w:p w14:paraId="694B2678" w14:textId="77777777" w:rsidR="0031706A" w:rsidRPr="00A77AF6" w:rsidRDefault="0031706A" w:rsidP="00CC7C61">
            <w:pPr>
              <w:spacing w:after="60" w:line="240" w:lineRule="auto"/>
              <w:rPr>
                <w:rFonts w:cstheme="minorHAnsi"/>
                <w:sz w:val="20"/>
                <w:szCs w:val="20"/>
              </w:rPr>
            </w:pPr>
            <w:r w:rsidRPr="00A77AF6">
              <w:rPr>
                <w:rFonts w:cstheme="minorHAnsi"/>
                <w:sz w:val="20"/>
                <w:szCs w:val="20"/>
              </w:rPr>
              <w:t>0. Strategic Definition</w:t>
            </w:r>
          </w:p>
        </w:tc>
      </w:tr>
      <w:tr w:rsidR="0031706A" w:rsidRPr="00A77AF6" w14:paraId="0557DF15" w14:textId="77777777" w:rsidTr="0031706A">
        <w:tc>
          <w:tcPr>
            <w:tcW w:w="2502" w:type="dxa"/>
          </w:tcPr>
          <w:p w14:paraId="60D52237" w14:textId="77777777" w:rsidR="0031706A" w:rsidRPr="00A77AF6" w:rsidRDefault="0031706A" w:rsidP="00CC7C61">
            <w:pPr>
              <w:spacing w:after="60" w:line="240" w:lineRule="auto"/>
              <w:rPr>
                <w:rFonts w:cstheme="minorHAnsi"/>
                <w:sz w:val="20"/>
                <w:szCs w:val="20"/>
              </w:rPr>
            </w:pPr>
            <w:r w:rsidRPr="00A77AF6">
              <w:rPr>
                <w:rFonts w:cstheme="minorHAnsi"/>
                <w:sz w:val="20"/>
                <w:szCs w:val="20"/>
              </w:rPr>
              <w:t>2. Feasibility</w:t>
            </w:r>
          </w:p>
        </w:tc>
        <w:tc>
          <w:tcPr>
            <w:tcW w:w="2503" w:type="dxa"/>
          </w:tcPr>
          <w:p w14:paraId="6B8E80BA" w14:textId="77777777" w:rsidR="0031706A" w:rsidRPr="00A77AF6" w:rsidRDefault="0031706A" w:rsidP="00CC7C61">
            <w:pPr>
              <w:spacing w:after="60" w:line="240" w:lineRule="auto"/>
              <w:rPr>
                <w:rFonts w:cstheme="minorHAnsi"/>
                <w:sz w:val="20"/>
                <w:szCs w:val="20"/>
              </w:rPr>
            </w:pPr>
            <w:r w:rsidRPr="00A77AF6">
              <w:rPr>
                <w:rFonts w:cstheme="minorHAnsi"/>
                <w:sz w:val="20"/>
                <w:szCs w:val="20"/>
              </w:rPr>
              <w:t>Gate 1 Business Justification</w:t>
            </w:r>
          </w:p>
        </w:tc>
        <w:tc>
          <w:tcPr>
            <w:tcW w:w="2503" w:type="dxa"/>
          </w:tcPr>
          <w:p w14:paraId="54ED5D39" w14:textId="77777777" w:rsidR="0031706A" w:rsidRPr="00A77AF6" w:rsidRDefault="0031706A" w:rsidP="00CC7C61">
            <w:pPr>
              <w:spacing w:after="60" w:line="240" w:lineRule="auto"/>
              <w:rPr>
                <w:rFonts w:cstheme="minorHAnsi"/>
                <w:sz w:val="20"/>
                <w:szCs w:val="20"/>
              </w:rPr>
            </w:pPr>
            <w:r w:rsidRPr="00A77AF6">
              <w:rPr>
                <w:rFonts w:cstheme="minorHAnsi"/>
                <w:sz w:val="20"/>
                <w:szCs w:val="20"/>
              </w:rPr>
              <w:t>1. Preparation and Brief</w:t>
            </w:r>
          </w:p>
        </w:tc>
      </w:tr>
      <w:tr w:rsidR="0031706A" w:rsidRPr="00A77AF6" w14:paraId="436603C9" w14:textId="77777777" w:rsidTr="0031706A">
        <w:tc>
          <w:tcPr>
            <w:tcW w:w="2502" w:type="dxa"/>
          </w:tcPr>
          <w:p w14:paraId="1715DBBC" w14:textId="77777777" w:rsidR="0031706A" w:rsidRPr="00A77AF6" w:rsidRDefault="0031706A" w:rsidP="00CC7C61">
            <w:pPr>
              <w:spacing w:after="60" w:line="240" w:lineRule="auto"/>
              <w:rPr>
                <w:rFonts w:cstheme="minorHAnsi"/>
                <w:sz w:val="20"/>
                <w:szCs w:val="20"/>
              </w:rPr>
            </w:pPr>
            <w:r w:rsidRPr="00A77AF6">
              <w:rPr>
                <w:rFonts w:cstheme="minorHAnsi"/>
                <w:sz w:val="20"/>
                <w:szCs w:val="20"/>
              </w:rPr>
              <w:t>3. Strategy</w:t>
            </w:r>
          </w:p>
        </w:tc>
        <w:tc>
          <w:tcPr>
            <w:tcW w:w="2503" w:type="dxa"/>
          </w:tcPr>
          <w:p w14:paraId="3C9B6A21" w14:textId="77777777" w:rsidR="0031706A" w:rsidRPr="00A77AF6" w:rsidRDefault="0031706A" w:rsidP="00CC7C61">
            <w:pPr>
              <w:spacing w:after="60" w:line="240" w:lineRule="auto"/>
              <w:rPr>
                <w:rFonts w:cstheme="minorHAnsi"/>
                <w:sz w:val="20"/>
                <w:szCs w:val="20"/>
              </w:rPr>
            </w:pPr>
            <w:r w:rsidRPr="00A77AF6">
              <w:rPr>
                <w:rFonts w:cstheme="minorHAnsi"/>
                <w:sz w:val="20"/>
                <w:szCs w:val="20"/>
              </w:rPr>
              <w:t>Gate 2 Procurement Strategy</w:t>
            </w:r>
          </w:p>
          <w:p w14:paraId="7B530F1C" w14:textId="77777777" w:rsidR="0031706A" w:rsidRPr="00A77AF6" w:rsidRDefault="0031706A" w:rsidP="00CC7C61">
            <w:pPr>
              <w:spacing w:after="60" w:line="240" w:lineRule="auto"/>
              <w:rPr>
                <w:rFonts w:cstheme="minorHAnsi"/>
                <w:sz w:val="20"/>
                <w:szCs w:val="20"/>
              </w:rPr>
            </w:pPr>
            <w:r w:rsidRPr="00A77AF6">
              <w:rPr>
                <w:rFonts w:cstheme="minorHAnsi"/>
                <w:sz w:val="20"/>
                <w:szCs w:val="20"/>
              </w:rPr>
              <w:t>Gate 3 Investment Decision</w:t>
            </w:r>
          </w:p>
        </w:tc>
        <w:tc>
          <w:tcPr>
            <w:tcW w:w="2503" w:type="dxa"/>
          </w:tcPr>
          <w:p w14:paraId="3C77A8E5" w14:textId="77777777" w:rsidR="0031706A" w:rsidRPr="00A77AF6" w:rsidRDefault="0031706A" w:rsidP="00CC7C61">
            <w:pPr>
              <w:spacing w:after="60" w:line="240" w:lineRule="auto"/>
              <w:rPr>
                <w:rFonts w:cstheme="minorHAnsi"/>
                <w:sz w:val="20"/>
                <w:szCs w:val="20"/>
              </w:rPr>
            </w:pPr>
            <w:r w:rsidRPr="00A77AF6">
              <w:rPr>
                <w:rFonts w:cstheme="minorHAnsi"/>
                <w:sz w:val="20"/>
                <w:szCs w:val="20"/>
              </w:rPr>
              <w:t>2. Concept Design</w:t>
            </w:r>
          </w:p>
          <w:p w14:paraId="55973F9E" w14:textId="77777777" w:rsidR="0031706A" w:rsidRPr="00A77AF6" w:rsidRDefault="0031706A" w:rsidP="00CC7C61">
            <w:pPr>
              <w:spacing w:after="60" w:line="240" w:lineRule="auto"/>
              <w:rPr>
                <w:rFonts w:cstheme="minorHAnsi"/>
                <w:sz w:val="20"/>
                <w:szCs w:val="20"/>
              </w:rPr>
            </w:pPr>
          </w:p>
        </w:tc>
      </w:tr>
      <w:tr w:rsidR="0031706A" w:rsidRPr="00A77AF6" w14:paraId="16605025" w14:textId="77777777" w:rsidTr="0031706A">
        <w:tc>
          <w:tcPr>
            <w:tcW w:w="2502" w:type="dxa"/>
          </w:tcPr>
          <w:p w14:paraId="3BAC1CD2" w14:textId="77777777" w:rsidR="0031706A" w:rsidRPr="00A77AF6" w:rsidRDefault="0031706A" w:rsidP="00CC7C61">
            <w:pPr>
              <w:spacing w:after="60" w:line="240" w:lineRule="auto"/>
              <w:rPr>
                <w:rFonts w:cstheme="minorHAnsi"/>
                <w:sz w:val="20"/>
                <w:szCs w:val="20"/>
              </w:rPr>
            </w:pPr>
            <w:r w:rsidRPr="00A77AF6">
              <w:rPr>
                <w:rFonts w:cstheme="minorHAnsi"/>
                <w:sz w:val="20"/>
                <w:szCs w:val="20"/>
              </w:rPr>
              <w:t>4. Pre-construction</w:t>
            </w:r>
          </w:p>
        </w:tc>
        <w:tc>
          <w:tcPr>
            <w:tcW w:w="2503" w:type="dxa"/>
            <w:vMerge w:val="restart"/>
            <w:vAlign w:val="center"/>
          </w:tcPr>
          <w:p w14:paraId="54DA8638" w14:textId="77777777" w:rsidR="0031706A" w:rsidRPr="00A77AF6" w:rsidRDefault="0031706A" w:rsidP="00CC7C61">
            <w:pPr>
              <w:spacing w:after="60" w:line="240" w:lineRule="auto"/>
              <w:rPr>
                <w:rFonts w:cstheme="minorHAnsi"/>
                <w:sz w:val="20"/>
                <w:szCs w:val="20"/>
              </w:rPr>
            </w:pPr>
            <w:r w:rsidRPr="00A77AF6">
              <w:rPr>
                <w:rFonts w:cstheme="minorHAnsi"/>
                <w:sz w:val="20"/>
                <w:szCs w:val="20"/>
              </w:rPr>
              <w:t>4 Readiness for Service</w:t>
            </w:r>
          </w:p>
        </w:tc>
        <w:tc>
          <w:tcPr>
            <w:tcW w:w="2503" w:type="dxa"/>
          </w:tcPr>
          <w:p w14:paraId="5E5BFBB1" w14:textId="77777777" w:rsidR="0031706A" w:rsidRPr="00A77AF6" w:rsidRDefault="0031706A" w:rsidP="00CC7C61">
            <w:pPr>
              <w:spacing w:after="60" w:line="240" w:lineRule="auto"/>
              <w:rPr>
                <w:rFonts w:cstheme="minorHAnsi"/>
                <w:sz w:val="20"/>
                <w:szCs w:val="20"/>
              </w:rPr>
            </w:pPr>
            <w:r w:rsidRPr="00A77AF6">
              <w:rPr>
                <w:rFonts w:cstheme="minorHAnsi"/>
                <w:sz w:val="20"/>
                <w:szCs w:val="20"/>
              </w:rPr>
              <w:t xml:space="preserve">3. Developed Design </w:t>
            </w:r>
          </w:p>
        </w:tc>
      </w:tr>
      <w:tr w:rsidR="0031706A" w:rsidRPr="00A77AF6" w14:paraId="4589E158" w14:textId="77777777" w:rsidTr="0031706A">
        <w:tc>
          <w:tcPr>
            <w:tcW w:w="2502" w:type="dxa"/>
          </w:tcPr>
          <w:p w14:paraId="07EF6A7F" w14:textId="77777777" w:rsidR="0031706A" w:rsidRPr="00A77AF6" w:rsidRDefault="0031706A" w:rsidP="00CC7C61">
            <w:pPr>
              <w:spacing w:after="60" w:line="240" w:lineRule="auto"/>
              <w:rPr>
                <w:rFonts w:cstheme="minorHAnsi"/>
                <w:sz w:val="20"/>
                <w:szCs w:val="20"/>
              </w:rPr>
            </w:pPr>
            <w:r w:rsidRPr="00A77AF6">
              <w:rPr>
                <w:rFonts w:cstheme="minorHAnsi"/>
                <w:sz w:val="20"/>
                <w:szCs w:val="20"/>
              </w:rPr>
              <w:t>5. Construction</w:t>
            </w:r>
          </w:p>
        </w:tc>
        <w:tc>
          <w:tcPr>
            <w:tcW w:w="2503" w:type="dxa"/>
            <w:vMerge/>
          </w:tcPr>
          <w:p w14:paraId="06D52F74" w14:textId="77777777" w:rsidR="0031706A" w:rsidRPr="00A77AF6" w:rsidRDefault="0031706A" w:rsidP="00CC7C61">
            <w:pPr>
              <w:spacing w:after="60" w:line="240" w:lineRule="auto"/>
              <w:rPr>
                <w:rFonts w:cstheme="minorHAnsi"/>
                <w:sz w:val="20"/>
                <w:szCs w:val="20"/>
              </w:rPr>
            </w:pPr>
          </w:p>
        </w:tc>
        <w:tc>
          <w:tcPr>
            <w:tcW w:w="2503" w:type="dxa"/>
          </w:tcPr>
          <w:p w14:paraId="3B8A3A26" w14:textId="69D8148C" w:rsidR="0031706A" w:rsidRPr="00A77AF6" w:rsidRDefault="0031706A" w:rsidP="00CC7C61">
            <w:pPr>
              <w:spacing w:after="60" w:line="240" w:lineRule="auto"/>
              <w:rPr>
                <w:rFonts w:cstheme="minorHAnsi"/>
                <w:sz w:val="20"/>
                <w:szCs w:val="20"/>
              </w:rPr>
            </w:pPr>
            <w:r w:rsidRPr="00A77AF6">
              <w:rPr>
                <w:rFonts w:cstheme="minorHAnsi"/>
                <w:sz w:val="20"/>
                <w:szCs w:val="20"/>
              </w:rPr>
              <w:t>4.</w:t>
            </w:r>
            <w:r w:rsidR="00BB4E55" w:rsidRPr="00A77AF6">
              <w:rPr>
                <w:rFonts w:cstheme="minorHAnsi"/>
                <w:sz w:val="20"/>
                <w:szCs w:val="20"/>
              </w:rPr>
              <w:t xml:space="preserve"> Technical </w:t>
            </w:r>
            <w:r w:rsidRPr="00A77AF6">
              <w:rPr>
                <w:rFonts w:cstheme="minorHAnsi"/>
                <w:sz w:val="20"/>
                <w:szCs w:val="20"/>
              </w:rPr>
              <w:t>design</w:t>
            </w:r>
          </w:p>
        </w:tc>
      </w:tr>
      <w:tr w:rsidR="0031706A" w:rsidRPr="00A77AF6" w14:paraId="18225460" w14:textId="77777777" w:rsidTr="0031706A">
        <w:tc>
          <w:tcPr>
            <w:tcW w:w="2502" w:type="dxa"/>
          </w:tcPr>
          <w:p w14:paraId="5596C622" w14:textId="77777777" w:rsidR="0031706A" w:rsidRPr="00A77AF6" w:rsidRDefault="0031706A" w:rsidP="00CC7C61">
            <w:pPr>
              <w:spacing w:after="60" w:line="240" w:lineRule="auto"/>
              <w:rPr>
                <w:rFonts w:cstheme="minorHAnsi"/>
                <w:sz w:val="20"/>
                <w:szCs w:val="20"/>
              </w:rPr>
            </w:pPr>
            <w:r w:rsidRPr="00A77AF6">
              <w:rPr>
                <w:rFonts w:cstheme="minorHAnsi"/>
                <w:sz w:val="20"/>
                <w:szCs w:val="20"/>
              </w:rPr>
              <w:t xml:space="preserve">6. Engineering Services Commissioning </w:t>
            </w:r>
          </w:p>
        </w:tc>
        <w:tc>
          <w:tcPr>
            <w:tcW w:w="2503" w:type="dxa"/>
            <w:vMerge/>
          </w:tcPr>
          <w:p w14:paraId="143BE60A" w14:textId="77777777" w:rsidR="0031706A" w:rsidRPr="00A77AF6" w:rsidRDefault="0031706A" w:rsidP="00CC7C61">
            <w:pPr>
              <w:spacing w:after="60" w:line="240" w:lineRule="auto"/>
              <w:rPr>
                <w:rFonts w:cstheme="minorHAnsi"/>
                <w:sz w:val="20"/>
                <w:szCs w:val="20"/>
              </w:rPr>
            </w:pPr>
          </w:p>
        </w:tc>
        <w:tc>
          <w:tcPr>
            <w:tcW w:w="2503" w:type="dxa"/>
          </w:tcPr>
          <w:p w14:paraId="58F4BF62" w14:textId="77777777" w:rsidR="0031706A" w:rsidRPr="00A77AF6" w:rsidRDefault="0031706A" w:rsidP="00CC7C61">
            <w:pPr>
              <w:spacing w:after="60" w:line="240" w:lineRule="auto"/>
              <w:rPr>
                <w:rFonts w:cstheme="minorHAnsi"/>
                <w:sz w:val="20"/>
                <w:szCs w:val="20"/>
              </w:rPr>
            </w:pPr>
            <w:r w:rsidRPr="00A77AF6">
              <w:rPr>
                <w:rFonts w:cstheme="minorHAnsi"/>
                <w:sz w:val="20"/>
                <w:szCs w:val="20"/>
              </w:rPr>
              <w:t xml:space="preserve">5. Construction </w:t>
            </w:r>
          </w:p>
        </w:tc>
      </w:tr>
      <w:tr w:rsidR="0031706A" w:rsidRPr="00A77AF6" w14:paraId="7935FF57" w14:textId="77777777" w:rsidTr="0031706A">
        <w:tc>
          <w:tcPr>
            <w:tcW w:w="2502" w:type="dxa"/>
          </w:tcPr>
          <w:p w14:paraId="780BAC7B" w14:textId="77777777" w:rsidR="0031706A" w:rsidRPr="00A77AF6" w:rsidRDefault="0031706A" w:rsidP="00CC7C61">
            <w:pPr>
              <w:spacing w:after="60" w:line="240" w:lineRule="auto"/>
              <w:rPr>
                <w:rFonts w:cstheme="minorHAnsi"/>
                <w:sz w:val="20"/>
                <w:szCs w:val="20"/>
              </w:rPr>
            </w:pPr>
            <w:r w:rsidRPr="00A77AF6">
              <w:rPr>
                <w:rFonts w:cstheme="minorHAnsi"/>
                <w:sz w:val="20"/>
                <w:szCs w:val="20"/>
              </w:rPr>
              <w:t>7. Completion, handover and occupation</w:t>
            </w:r>
          </w:p>
        </w:tc>
        <w:tc>
          <w:tcPr>
            <w:tcW w:w="2503" w:type="dxa"/>
            <w:vMerge/>
          </w:tcPr>
          <w:p w14:paraId="72E4E111" w14:textId="77777777" w:rsidR="0031706A" w:rsidRPr="00A77AF6" w:rsidRDefault="0031706A" w:rsidP="00CC7C61">
            <w:pPr>
              <w:spacing w:after="60" w:line="240" w:lineRule="auto"/>
              <w:rPr>
                <w:rFonts w:cstheme="minorHAnsi"/>
                <w:sz w:val="20"/>
                <w:szCs w:val="20"/>
              </w:rPr>
            </w:pPr>
          </w:p>
        </w:tc>
        <w:tc>
          <w:tcPr>
            <w:tcW w:w="2503" w:type="dxa"/>
          </w:tcPr>
          <w:p w14:paraId="519B4914" w14:textId="77777777" w:rsidR="0031706A" w:rsidRPr="00A77AF6" w:rsidRDefault="0031706A" w:rsidP="00CC7C61">
            <w:pPr>
              <w:spacing w:after="60" w:line="240" w:lineRule="auto"/>
              <w:rPr>
                <w:rFonts w:cstheme="minorHAnsi"/>
                <w:sz w:val="20"/>
                <w:szCs w:val="20"/>
              </w:rPr>
            </w:pPr>
            <w:r w:rsidRPr="00A77AF6">
              <w:rPr>
                <w:rFonts w:cstheme="minorHAnsi"/>
                <w:sz w:val="20"/>
                <w:szCs w:val="20"/>
              </w:rPr>
              <w:t>6. Handover and Close out</w:t>
            </w:r>
          </w:p>
        </w:tc>
      </w:tr>
      <w:tr w:rsidR="0031706A" w:rsidRPr="00A77AF6" w14:paraId="02F47E08" w14:textId="77777777" w:rsidTr="0031706A">
        <w:tc>
          <w:tcPr>
            <w:tcW w:w="2502" w:type="dxa"/>
          </w:tcPr>
          <w:p w14:paraId="27919B93" w14:textId="77777777" w:rsidR="0031706A" w:rsidRPr="00A77AF6" w:rsidRDefault="0031706A" w:rsidP="00CC7C61">
            <w:pPr>
              <w:spacing w:after="60" w:line="240" w:lineRule="auto"/>
              <w:rPr>
                <w:rFonts w:cstheme="minorHAnsi"/>
                <w:sz w:val="20"/>
                <w:szCs w:val="20"/>
              </w:rPr>
            </w:pPr>
            <w:r w:rsidRPr="00A77AF6">
              <w:rPr>
                <w:rFonts w:cstheme="minorHAnsi"/>
                <w:sz w:val="20"/>
                <w:szCs w:val="20"/>
              </w:rPr>
              <w:t>8. Post-completion review/ project close out report</w:t>
            </w:r>
          </w:p>
        </w:tc>
        <w:tc>
          <w:tcPr>
            <w:tcW w:w="2503" w:type="dxa"/>
          </w:tcPr>
          <w:p w14:paraId="180A30B2" w14:textId="77777777" w:rsidR="0031706A" w:rsidRPr="00A77AF6" w:rsidRDefault="0031706A" w:rsidP="00CC7C61">
            <w:pPr>
              <w:spacing w:after="60" w:line="240" w:lineRule="auto"/>
              <w:rPr>
                <w:rFonts w:cstheme="minorHAnsi"/>
                <w:sz w:val="20"/>
                <w:szCs w:val="20"/>
              </w:rPr>
            </w:pPr>
            <w:r w:rsidRPr="00A77AF6">
              <w:rPr>
                <w:rFonts w:cstheme="minorHAnsi"/>
                <w:sz w:val="20"/>
                <w:szCs w:val="20"/>
              </w:rPr>
              <w:t xml:space="preserve">Benefits Realisation </w:t>
            </w:r>
          </w:p>
        </w:tc>
        <w:tc>
          <w:tcPr>
            <w:tcW w:w="2503" w:type="dxa"/>
          </w:tcPr>
          <w:p w14:paraId="59FACB6B" w14:textId="77777777" w:rsidR="0031706A" w:rsidRPr="00A77AF6" w:rsidRDefault="0031706A" w:rsidP="00CC7C61">
            <w:pPr>
              <w:spacing w:after="60" w:line="240" w:lineRule="auto"/>
              <w:rPr>
                <w:rFonts w:cstheme="minorHAnsi"/>
                <w:sz w:val="20"/>
                <w:szCs w:val="20"/>
              </w:rPr>
            </w:pPr>
            <w:r w:rsidRPr="00A77AF6">
              <w:rPr>
                <w:rFonts w:cstheme="minorHAnsi"/>
                <w:sz w:val="20"/>
                <w:szCs w:val="20"/>
              </w:rPr>
              <w:t>7. In use</w:t>
            </w:r>
          </w:p>
        </w:tc>
      </w:tr>
    </w:tbl>
    <w:p w14:paraId="7893AF87" w14:textId="3E229C8E" w:rsidR="005E768A" w:rsidRPr="00A77AF6" w:rsidRDefault="0031706A" w:rsidP="005E768A">
      <w:pPr>
        <w:rPr>
          <w:rFonts w:cstheme="minorHAnsi"/>
          <w:sz w:val="20"/>
          <w:szCs w:val="20"/>
        </w:rPr>
      </w:pPr>
      <w:r w:rsidRPr="00A77AF6">
        <w:rPr>
          <w:rFonts w:cstheme="minorHAnsi"/>
          <w:sz w:val="20"/>
        </w:rPr>
        <w:t xml:space="preserve">Source: adapted from </w:t>
      </w:r>
      <w:r w:rsidR="005E768A" w:rsidRPr="00A77AF6">
        <w:rPr>
          <w:rFonts w:cstheme="minorHAnsi"/>
          <w:sz w:val="20"/>
        </w:rPr>
        <w:t xml:space="preserve">CIOB </w:t>
      </w:r>
      <w:r w:rsidR="0090418A" w:rsidRPr="00A77AF6">
        <w:rPr>
          <w:rFonts w:cstheme="minorHAnsi"/>
          <w:sz w:val="20"/>
        </w:rPr>
        <w:t>(</w:t>
      </w:r>
      <w:r w:rsidR="005E768A" w:rsidRPr="00A77AF6">
        <w:rPr>
          <w:rFonts w:cstheme="minorHAnsi"/>
          <w:sz w:val="20"/>
        </w:rPr>
        <w:t>Ed 4</w:t>
      </w:r>
      <w:r w:rsidRPr="00A77AF6">
        <w:rPr>
          <w:rFonts w:cstheme="minorHAnsi"/>
          <w:sz w:val="20"/>
        </w:rPr>
        <w:t>,</w:t>
      </w:r>
      <w:r w:rsidR="0090418A" w:rsidRPr="00A77AF6">
        <w:rPr>
          <w:rFonts w:cstheme="minorHAnsi"/>
          <w:sz w:val="20"/>
        </w:rPr>
        <w:t xml:space="preserve"> 2010)</w:t>
      </w:r>
      <w:r w:rsidRPr="00A77AF6">
        <w:rPr>
          <w:rFonts w:cstheme="minorHAnsi"/>
          <w:sz w:val="20"/>
        </w:rPr>
        <w:t xml:space="preserve"> OGC </w:t>
      </w:r>
      <w:r w:rsidR="005E768A" w:rsidRPr="00A77AF6">
        <w:rPr>
          <w:rFonts w:cstheme="minorHAnsi"/>
          <w:sz w:val="20"/>
        </w:rPr>
        <w:t xml:space="preserve">and RIBA Plan of Work </w:t>
      </w:r>
      <w:r w:rsidR="0090418A" w:rsidRPr="00A77AF6">
        <w:rPr>
          <w:rFonts w:cstheme="minorHAnsi"/>
          <w:sz w:val="20"/>
        </w:rPr>
        <w:t>(</w:t>
      </w:r>
      <w:r w:rsidR="005E768A" w:rsidRPr="00A77AF6">
        <w:rPr>
          <w:rFonts w:cstheme="minorHAnsi"/>
          <w:sz w:val="20"/>
        </w:rPr>
        <w:t>2013</w:t>
      </w:r>
      <w:r w:rsidR="0090418A" w:rsidRPr="00A77AF6">
        <w:rPr>
          <w:rFonts w:cstheme="minorHAnsi"/>
          <w:sz w:val="20"/>
        </w:rPr>
        <w:t>)</w:t>
      </w:r>
      <w:r w:rsidR="005E768A" w:rsidRPr="00A77AF6">
        <w:rPr>
          <w:rFonts w:cstheme="minorHAnsi"/>
          <w:sz w:val="20"/>
        </w:rPr>
        <w:t xml:space="preserve"> </w:t>
      </w:r>
    </w:p>
    <w:p w14:paraId="554A3E2B" w14:textId="50D72AED" w:rsidR="006C1910" w:rsidRPr="00A77AF6" w:rsidRDefault="006C1910" w:rsidP="002A1867">
      <w:pPr>
        <w:pStyle w:val="Heading3"/>
        <w:spacing w:before="360" w:after="120"/>
      </w:pPr>
      <w:bookmarkStart w:id="76" w:name="_Toc36275075"/>
      <w:r w:rsidRPr="00A77AF6">
        <w:t xml:space="preserve">Project </w:t>
      </w:r>
      <w:r w:rsidR="002B2A8C" w:rsidRPr="00A77AF6">
        <w:t>m</w:t>
      </w:r>
      <w:r w:rsidRPr="00A77AF6">
        <w:t>anagement</w:t>
      </w:r>
      <w:bookmarkEnd w:id="76"/>
    </w:p>
    <w:p w14:paraId="40EDAABC" w14:textId="7B5F4543" w:rsidR="003A5470" w:rsidRPr="00A77AF6" w:rsidRDefault="00BB4E55" w:rsidP="003A5470">
      <w:pPr>
        <w:spacing w:line="360" w:lineRule="auto"/>
        <w:rPr>
          <w:rFonts w:cstheme="minorHAnsi"/>
          <w:szCs w:val="24"/>
        </w:rPr>
      </w:pPr>
      <w:r w:rsidRPr="00A77AF6">
        <w:rPr>
          <w:rFonts w:cstheme="minorHAnsi"/>
        </w:rPr>
        <w:t>Project management is</w:t>
      </w:r>
      <w:r w:rsidR="00660969" w:rsidRPr="00A77AF6">
        <w:rPr>
          <w:rFonts w:cstheme="minorHAnsi"/>
        </w:rPr>
        <w:t xml:space="preserve"> </w:t>
      </w:r>
      <w:r w:rsidR="00CC7C61" w:rsidRPr="00A77AF6">
        <w:rPr>
          <w:rFonts w:cstheme="minorHAnsi"/>
        </w:rPr>
        <w:t xml:space="preserve">the </w:t>
      </w:r>
      <w:r w:rsidR="00660969" w:rsidRPr="00A77AF6">
        <w:rPr>
          <w:rFonts w:cstheme="minorHAnsi"/>
        </w:rPr>
        <w:t xml:space="preserve">use of </w:t>
      </w:r>
      <w:r w:rsidRPr="00A77AF6">
        <w:rPr>
          <w:rFonts w:cstheme="minorHAnsi"/>
        </w:rPr>
        <w:t xml:space="preserve">the </w:t>
      </w:r>
      <w:r w:rsidR="00BD45FB" w:rsidRPr="00A77AF6">
        <w:rPr>
          <w:rFonts w:cstheme="minorHAnsi"/>
          <w:szCs w:val="24"/>
        </w:rPr>
        <w:t>tools</w:t>
      </w:r>
      <w:r w:rsidR="00660969" w:rsidRPr="00A77AF6">
        <w:rPr>
          <w:rFonts w:cstheme="minorHAnsi"/>
          <w:szCs w:val="24"/>
        </w:rPr>
        <w:t>, t</w:t>
      </w:r>
      <w:r w:rsidR="00BD45FB" w:rsidRPr="00A77AF6">
        <w:rPr>
          <w:rFonts w:cstheme="minorHAnsi"/>
          <w:szCs w:val="24"/>
        </w:rPr>
        <w:t>echniques</w:t>
      </w:r>
      <w:r w:rsidR="00660969" w:rsidRPr="00A77AF6">
        <w:rPr>
          <w:rFonts w:cstheme="minorHAnsi"/>
          <w:szCs w:val="24"/>
        </w:rPr>
        <w:t>, skills, methods, knowledge and processes to deliver a successful</w:t>
      </w:r>
      <w:r w:rsidR="00BD45FB" w:rsidRPr="00A77AF6">
        <w:rPr>
          <w:rFonts w:cstheme="minorHAnsi"/>
          <w:szCs w:val="24"/>
        </w:rPr>
        <w:t xml:space="preserve"> project </w:t>
      </w:r>
      <w:r w:rsidR="00660969" w:rsidRPr="00A77AF6">
        <w:rPr>
          <w:rFonts w:cstheme="minorHAnsi"/>
          <w:szCs w:val="24"/>
        </w:rPr>
        <w:t xml:space="preserve">to the client’s expectations </w:t>
      </w:r>
      <w:r w:rsidR="00BD45FB" w:rsidRPr="00A77AF6">
        <w:rPr>
          <w:rFonts w:cstheme="minorHAnsi"/>
          <w:szCs w:val="24"/>
        </w:rPr>
        <w:t xml:space="preserve">within </w:t>
      </w:r>
      <w:r w:rsidR="00660969" w:rsidRPr="00A77AF6">
        <w:rPr>
          <w:rFonts w:cstheme="minorHAnsi"/>
          <w:szCs w:val="24"/>
        </w:rPr>
        <w:t xml:space="preserve">constraints such as time, cost, quality and scope (BSI, 2012, CIOB, 2014, APM, 2018). </w:t>
      </w:r>
      <w:r w:rsidR="003A5470" w:rsidRPr="00A77AF6">
        <w:rPr>
          <w:rFonts w:cstheme="minorHAnsi"/>
          <w:szCs w:val="24"/>
        </w:rPr>
        <w:t xml:space="preserve">Factors that </w:t>
      </w:r>
      <w:r w:rsidR="00CC7C61" w:rsidRPr="00A77AF6">
        <w:rPr>
          <w:rFonts w:cstheme="minorHAnsi"/>
          <w:szCs w:val="24"/>
        </w:rPr>
        <w:t>must</w:t>
      </w:r>
      <w:r w:rsidR="003A5470" w:rsidRPr="00A77AF6">
        <w:rPr>
          <w:rFonts w:cstheme="minorHAnsi"/>
          <w:szCs w:val="24"/>
        </w:rPr>
        <w:t xml:space="preserve"> be </w:t>
      </w:r>
      <w:r w:rsidR="00CC7C61" w:rsidRPr="00A77AF6">
        <w:rPr>
          <w:rFonts w:cstheme="minorHAnsi"/>
          <w:szCs w:val="24"/>
        </w:rPr>
        <w:t xml:space="preserve">considered </w:t>
      </w:r>
      <w:r w:rsidR="003A5470" w:rsidRPr="00A77AF6">
        <w:rPr>
          <w:rFonts w:cstheme="minorHAnsi"/>
          <w:szCs w:val="24"/>
        </w:rPr>
        <w:t xml:space="preserve">are </w:t>
      </w:r>
      <w:r w:rsidR="00660969" w:rsidRPr="00A77AF6">
        <w:rPr>
          <w:rFonts w:cstheme="minorHAnsi"/>
          <w:szCs w:val="24"/>
        </w:rPr>
        <w:t xml:space="preserve">risk, the law, health and safety and </w:t>
      </w:r>
      <w:r w:rsidR="003A5470" w:rsidRPr="00A77AF6">
        <w:rPr>
          <w:rFonts w:cstheme="minorHAnsi"/>
          <w:szCs w:val="24"/>
        </w:rPr>
        <w:t xml:space="preserve">any ecological impact </w:t>
      </w:r>
      <w:sdt>
        <w:sdtPr>
          <w:rPr>
            <w:rFonts w:cstheme="minorHAnsi"/>
            <w:szCs w:val="24"/>
          </w:rPr>
          <w:id w:val="1166667471"/>
          <w:citation/>
        </w:sdtPr>
        <w:sdtEndPr/>
        <w:sdtContent>
          <w:r w:rsidR="003A5470" w:rsidRPr="00A77AF6">
            <w:rPr>
              <w:rFonts w:cstheme="minorHAnsi"/>
              <w:szCs w:val="24"/>
            </w:rPr>
            <w:fldChar w:fldCharType="begin"/>
          </w:r>
          <w:r w:rsidR="003A5470" w:rsidRPr="00A77AF6">
            <w:rPr>
              <w:rFonts w:cstheme="minorHAnsi"/>
              <w:szCs w:val="24"/>
            </w:rPr>
            <w:instrText xml:space="preserve"> CITATION BSI12 \l 2057 </w:instrText>
          </w:r>
          <w:r w:rsidR="003A5470" w:rsidRPr="00A77AF6">
            <w:rPr>
              <w:rFonts w:cstheme="minorHAnsi"/>
              <w:szCs w:val="24"/>
            </w:rPr>
            <w:fldChar w:fldCharType="separate"/>
          </w:r>
          <w:r w:rsidR="008E653F" w:rsidRPr="00A77AF6">
            <w:rPr>
              <w:rFonts w:cstheme="minorHAnsi"/>
              <w:szCs w:val="24"/>
            </w:rPr>
            <w:t>(BSI, 2012)</w:t>
          </w:r>
          <w:r w:rsidR="003A5470" w:rsidRPr="00A77AF6">
            <w:rPr>
              <w:rFonts w:cstheme="minorHAnsi"/>
              <w:szCs w:val="24"/>
            </w:rPr>
            <w:fldChar w:fldCharType="end"/>
          </w:r>
        </w:sdtContent>
      </w:sdt>
      <w:r w:rsidR="003A5470" w:rsidRPr="00A77AF6">
        <w:rPr>
          <w:rFonts w:cstheme="minorHAnsi"/>
          <w:szCs w:val="24"/>
        </w:rPr>
        <w:t xml:space="preserve"> and the project should not adversely affect the day-to-day running of the business </w:t>
      </w:r>
      <w:sdt>
        <w:sdtPr>
          <w:rPr>
            <w:rFonts w:cstheme="minorHAnsi"/>
            <w:szCs w:val="24"/>
          </w:rPr>
          <w:id w:val="1055819860"/>
          <w:citation/>
        </w:sdtPr>
        <w:sdtEndPr/>
        <w:sdtContent>
          <w:r w:rsidR="003A5470" w:rsidRPr="00A77AF6">
            <w:rPr>
              <w:rFonts w:cstheme="minorHAnsi"/>
              <w:szCs w:val="24"/>
            </w:rPr>
            <w:fldChar w:fldCharType="begin"/>
          </w:r>
          <w:r w:rsidR="003A5470" w:rsidRPr="00A77AF6">
            <w:rPr>
              <w:rFonts w:cstheme="minorHAnsi"/>
              <w:szCs w:val="24"/>
            </w:rPr>
            <w:instrText xml:space="preserve"> CITATION Mun96 \l 2057 </w:instrText>
          </w:r>
          <w:r w:rsidR="003A5470" w:rsidRPr="00A77AF6">
            <w:rPr>
              <w:rFonts w:cstheme="minorHAnsi"/>
              <w:szCs w:val="24"/>
            </w:rPr>
            <w:fldChar w:fldCharType="separate"/>
          </w:r>
          <w:r w:rsidR="008E653F" w:rsidRPr="00A77AF6">
            <w:rPr>
              <w:rFonts w:cstheme="minorHAnsi"/>
              <w:szCs w:val="24"/>
            </w:rPr>
            <w:t>(Munns &amp; Bjeirmi, 1996)</w:t>
          </w:r>
          <w:r w:rsidR="003A5470" w:rsidRPr="00A77AF6">
            <w:rPr>
              <w:rFonts w:cstheme="minorHAnsi"/>
              <w:szCs w:val="24"/>
            </w:rPr>
            <w:fldChar w:fldCharType="end"/>
          </w:r>
        </w:sdtContent>
      </w:sdt>
      <w:r w:rsidR="003A5470" w:rsidRPr="00A77AF6">
        <w:rPr>
          <w:rFonts w:cstheme="minorHAnsi"/>
          <w:szCs w:val="24"/>
        </w:rPr>
        <w:t xml:space="preserve">. </w:t>
      </w:r>
      <w:r w:rsidR="006C1910" w:rsidRPr="00A77AF6">
        <w:rPr>
          <w:rFonts w:cstheme="minorHAnsi"/>
          <w:szCs w:val="24"/>
        </w:rPr>
        <w:t xml:space="preserve">Like the </w:t>
      </w:r>
      <w:r w:rsidR="006C1910" w:rsidRPr="00A77AF6">
        <w:rPr>
          <w:rFonts w:cstheme="minorHAnsi"/>
          <w:szCs w:val="24"/>
        </w:rPr>
        <w:lastRenderedPageBreak/>
        <w:t xml:space="preserve">definition of a </w:t>
      </w:r>
      <w:r w:rsidR="00696D7E" w:rsidRPr="00A77AF6">
        <w:rPr>
          <w:rFonts w:cstheme="minorHAnsi"/>
          <w:szCs w:val="24"/>
        </w:rPr>
        <w:t>project, the</w:t>
      </w:r>
      <w:r w:rsidR="006C1910" w:rsidRPr="00A77AF6">
        <w:rPr>
          <w:rFonts w:cstheme="minorHAnsi"/>
          <w:szCs w:val="24"/>
        </w:rPr>
        <w:t xml:space="preserve"> definition of project management is largely agreed upon and there is </w:t>
      </w:r>
      <w:r w:rsidR="00A06271" w:rsidRPr="00A77AF6">
        <w:rPr>
          <w:rFonts w:cstheme="minorHAnsi"/>
          <w:szCs w:val="24"/>
        </w:rPr>
        <w:t>little</w:t>
      </w:r>
      <w:r w:rsidR="0021383B" w:rsidRPr="00A77AF6">
        <w:rPr>
          <w:rFonts w:cstheme="minorHAnsi"/>
          <w:szCs w:val="24"/>
        </w:rPr>
        <w:t xml:space="preserve"> debate </w:t>
      </w:r>
      <w:r w:rsidR="00CC7C61" w:rsidRPr="00A77AF6">
        <w:rPr>
          <w:rFonts w:cstheme="minorHAnsi"/>
          <w:szCs w:val="24"/>
        </w:rPr>
        <w:t xml:space="preserve">about its definition </w:t>
      </w:r>
      <w:r w:rsidR="0021383B" w:rsidRPr="00A77AF6">
        <w:rPr>
          <w:rFonts w:cstheme="minorHAnsi"/>
          <w:szCs w:val="24"/>
        </w:rPr>
        <w:t>amongst researchers and industry bodies</w:t>
      </w:r>
      <w:r w:rsidR="00CC7C61" w:rsidRPr="00A77AF6">
        <w:rPr>
          <w:rFonts w:cstheme="minorHAnsi"/>
          <w:szCs w:val="24"/>
        </w:rPr>
        <w:t xml:space="preserve">. </w:t>
      </w:r>
      <w:r w:rsidR="00A06271" w:rsidRPr="00A77AF6">
        <w:rPr>
          <w:rFonts w:cstheme="minorHAnsi"/>
          <w:szCs w:val="24"/>
        </w:rPr>
        <w:t xml:space="preserve">  </w:t>
      </w:r>
    </w:p>
    <w:p w14:paraId="6F20F896" w14:textId="5B50AC45" w:rsidR="00B87E89" w:rsidRPr="00A77AF6" w:rsidRDefault="00B87E89" w:rsidP="00B87E89">
      <w:pPr>
        <w:pStyle w:val="Heading3"/>
        <w:spacing w:after="120"/>
      </w:pPr>
      <w:bookmarkStart w:id="77" w:name="_Toc36275076"/>
      <w:r w:rsidRPr="00A77AF6">
        <w:t xml:space="preserve">Project </w:t>
      </w:r>
      <w:r w:rsidR="002B2A8C" w:rsidRPr="00A77AF6">
        <w:t>g</w:t>
      </w:r>
      <w:r w:rsidRPr="00A77AF6">
        <w:t>overnance</w:t>
      </w:r>
      <w:r w:rsidR="00B45B69" w:rsidRPr="00A77AF6">
        <w:t>: definition, purpose</w:t>
      </w:r>
      <w:r w:rsidR="00122E45" w:rsidRPr="00A77AF6">
        <w:t xml:space="preserve">, </w:t>
      </w:r>
      <w:r w:rsidR="00B45B69" w:rsidRPr="00A77AF6">
        <w:t>structure</w:t>
      </w:r>
      <w:r w:rsidR="00122E45" w:rsidRPr="00A77AF6">
        <w:t xml:space="preserve"> and effectiveness</w:t>
      </w:r>
      <w:bookmarkEnd w:id="77"/>
    </w:p>
    <w:p w14:paraId="4847E675" w14:textId="65B78B24" w:rsidR="00F86C64" w:rsidRPr="00A77AF6" w:rsidRDefault="00B87E89" w:rsidP="00466499">
      <w:pPr>
        <w:spacing w:line="360" w:lineRule="auto"/>
        <w:rPr>
          <w:rFonts w:cstheme="minorHAnsi"/>
          <w:szCs w:val="24"/>
        </w:rPr>
      </w:pPr>
      <w:bookmarkStart w:id="78" w:name="_Hlk520114237"/>
      <w:r w:rsidRPr="00A77AF6">
        <w:rPr>
          <w:rFonts w:cstheme="minorHAnsi"/>
          <w:szCs w:val="24"/>
        </w:rPr>
        <w:t>This section discusses project governance</w:t>
      </w:r>
      <w:r w:rsidR="00080042" w:rsidRPr="00A77AF6">
        <w:rPr>
          <w:rFonts w:cstheme="minorHAnsi"/>
          <w:szCs w:val="24"/>
        </w:rPr>
        <w:t xml:space="preserve">: its </w:t>
      </w:r>
      <w:r w:rsidR="005179A4" w:rsidRPr="00A77AF6">
        <w:rPr>
          <w:rFonts w:cstheme="minorHAnsi"/>
          <w:szCs w:val="24"/>
        </w:rPr>
        <w:t>definition</w:t>
      </w:r>
      <w:r w:rsidR="00080042" w:rsidRPr="00A77AF6">
        <w:rPr>
          <w:rFonts w:cstheme="minorHAnsi"/>
          <w:szCs w:val="24"/>
        </w:rPr>
        <w:t xml:space="preserve">, </w:t>
      </w:r>
      <w:r w:rsidR="00EE73F2" w:rsidRPr="00A77AF6">
        <w:rPr>
          <w:rFonts w:cstheme="minorHAnsi"/>
          <w:szCs w:val="24"/>
        </w:rPr>
        <w:t xml:space="preserve">its relationship to corporate governance and </w:t>
      </w:r>
      <w:r w:rsidR="00080042" w:rsidRPr="00A77AF6">
        <w:rPr>
          <w:rFonts w:cstheme="minorHAnsi"/>
          <w:szCs w:val="24"/>
        </w:rPr>
        <w:t xml:space="preserve">its purpose and </w:t>
      </w:r>
      <w:r w:rsidR="009D7E1E" w:rsidRPr="00A77AF6">
        <w:rPr>
          <w:rFonts w:cstheme="minorHAnsi"/>
          <w:szCs w:val="24"/>
        </w:rPr>
        <w:t>structures</w:t>
      </w:r>
      <w:r w:rsidR="00080042" w:rsidRPr="00A77AF6">
        <w:rPr>
          <w:rFonts w:cstheme="minorHAnsi"/>
          <w:szCs w:val="24"/>
        </w:rPr>
        <w:t>.</w:t>
      </w:r>
      <w:r w:rsidRPr="00A77AF6">
        <w:rPr>
          <w:rFonts w:cstheme="minorHAnsi"/>
          <w:szCs w:val="24"/>
        </w:rPr>
        <w:t xml:space="preserve"> </w:t>
      </w:r>
      <w:r w:rsidR="00044959" w:rsidRPr="00A77AF6">
        <w:rPr>
          <w:rFonts w:cstheme="minorHAnsi"/>
          <w:szCs w:val="24"/>
        </w:rPr>
        <w:t xml:space="preserve">Project governance </w:t>
      </w:r>
      <w:r w:rsidR="00F86C64" w:rsidRPr="00A77AF6">
        <w:rPr>
          <w:rFonts w:cstheme="minorHAnsi"/>
          <w:szCs w:val="24"/>
        </w:rPr>
        <w:t xml:space="preserve">provides the rules, structures and processes </w:t>
      </w:r>
      <w:r w:rsidR="00A06271" w:rsidRPr="00A77AF6">
        <w:rPr>
          <w:rFonts w:cstheme="minorHAnsi"/>
          <w:szCs w:val="24"/>
        </w:rPr>
        <w:t xml:space="preserve">in which </w:t>
      </w:r>
      <w:r w:rsidR="00F86C64" w:rsidRPr="00A77AF6">
        <w:rPr>
          <w:rFonts w:cstheme="minorHAnsi"/>
          <w:szCs w:val="24"/>
        </w:rPr>
        <w:t>project management</w:t>
      </w:r>
      <w:r w:rsidR="00044959" w:rsidRPr="00A77AF6">
        <w:rPr>
          <w:rFonts w:cstheme="minorHAnsi"/>
          <w:szCs w:val="24"/>
        </w:rPr>
        <w:t xml:space="preserve"> take</w:t>
      </w:r>
      <w:r w:rsidR="00A06271" w:rsidRPr="00A77AF6">
        <w:rPr>
          <w:rFonts w:cstheme="minorHAnsi"/>
          <w:szCs w:val="24"/>
        </w:rPr>
        <w:t>s</w:t>
      </w:r>
      <w:r w:rsidR="00044959" w:rsidRPr="00A77AF6">
        <w:rPr>
          <w:rFonts w:cstheme="minorHAnsi"/>
          <w:szCs w:val="24"/>
        </w:rPr>
        <w:t xml:space="preserve"> place</w:t>
      </w:r>
      <w:r w:rsidR="002C4680" w:rsidRPr="00A77AF6">
        <w:rPr>
          <w:rFonts w:cstheme="minorHAnsi"/>
          <w:szCs w:val="24"/>
        </w:rPr>
        <w:t xml:space="preserve"> </w:t>
      </w:r>
      <w:sdt>
        <w:sdtPr>
          <w:rPr>
            <w:rFonts w:cstheme="minorHAnsi"/>
            <w:szCs w:val="24"/>
          </w:rPr>
          <w:id w:val="-1566867738"/>
          <w:citation/>
        </w:sdtPr>
        <w:sdtEndPr/>
        <w:sdtContent>
          <w:r w:rsidR="002C4680" w:rsidRPr="00A77AF6">
            <w:rPr>
              <w:rFonts w:cstheme="minorHAnsi"/>
              <w:szCs w:val="24"/>
            </w:rPr>
            <w:fldChar w:fldCharType="begin"/>
          </w:r>
          <w:r w:rsidR="002C4680" w:rsidRPr="00A77AF6">
            <w:rPr>
              <w:rFonts w:cstheme="minorHAnsi"/>
              <w:szCs w:val="24"/>
            </w:rPr>
            <w:instrText xml:space="preserve"> CITATION BSI17 \l 2057 </w:instrText>
          </w:r>
          <w:r w:rsidR="002C4680" w:rsidRPr="00A77AF6">
            <w:rPr>
              <w:rFonts w:cstheme="minorHAnsi"/>
              <w:szCs w:val="24"/>
            </w:rPr>
            <w:fldChar w:fldCharType="separate"/>
          </w:r>
          <w:r w:rsidR="008E653F" w:rsidRPr="00A77AF6">
            <w:rPr>
              <w:rFonts w:cstheme="minorHAnsi"/>
              <w:szCs w:val="24"/>
            </w:rPr>
            <w:t>(BSI, 2017)</w:t>
          </w:r>
          <w:r w:rsidR="002C4680" w:rsidRPr="00A77AF6">
            <w:rPr>
              <w:rFonts w:cstheme="minorHAnsi"/>
              <w:szCs w:val="24"/>
            </w:rPr>
            <w:fldChar w:fldCharType="end"/>
          </w:r>
        </w:sdtContent>
      </w:sdt>
      <w:r w:rsidR="002C4680" w:rsidRPr="00A77AF6">
        <w:rPr>
          <w:rFonts w:cstheme="minorHAnsi"/>
          <w:szCs w:val="24"/>
        </w:rPr>
        <w:t xml:space="preserve">   </w:t>
      </w:r>
    </w:p>
    <w:p w14:paraId="21B4CE60" w14:textId="4F518A7D" w:rsidR="00A06271" w:rsidRPr="00A77AF6" w:rsidRDefault="00466499" w:rsidP="00F20FAB">
      <w:pPr>
        <w:pStyle w:val="Heading4"/>
        <w:numPr>
          <w:ilvl w:val="0"/>
          <w:numId w:val="0"/>
        </w:numPr>
        <w:spacing w:after="120"/>
      </w:pPr>
      <w:r w:rsidRPr="00A77AF6">
        <w:t>P</w:t>
      </w:r>
      <w:r w:rsidR="00A06271" w:rsidRPr="00A77AF6">
        <w:t xml:space="preserve">roject </w:t>
      </w:r>
      <w:r w:rsidR="002B2A8C" w:rsidRPr="00A77AF6">
        <w:t>g</w:t>
      </w:r>
      <w:r w:rsidR="00A06271" w:rsidRPr="00A77AF6">
        <w:t xml:space="preserve">overnance </w:t>
      </w:r>
    </w:p>
    <w:p w14:paraId="157D308F" w14:textId="05DD8F8F" w:rsidR="00CC7C61" w:rsidRPr="00A77AF6" w:rsidRDefault="00CC7C61" w:rsidP="00CC7C61">
      <w:pPr>
        <w:spacing w:after="0" w:line="360" w:lineRule="auto"/>
        <w:rPr>
          <w:rFonts w:cstheme="minorHAnsi"/>
          <w:szCs w:val="24"/>
        </w:rPr>
      </w:pPr>
      <w:r w:rsidRPr="00A77AF6">
        <w:rPr>
          <w:rFonts w:cstheme="minorHAnsi"/>
          <w:szCs w:val="24"/>
        </w:rPr>
        <w:t>It has been difficult to define project governance precisely possibly because it is a relatively new term,</w:t>
      </w:r>
    </w:p>
    <w:p w14:paraId="5F32B858" w14:textId="702A7B46" w:rsidR="00CC7C61" w:rsidRPr="00A77AF6" w:rsidRDefault="00CC7C61" w:rsidP="00CC7C61">
      <w:pPr>
        <w:spacing w:line="240" w:lineRule="auto"/>
        <w:ind w:left="720"/>
        <w:rPr>
          <w:rFonts w:cstheme="minorHAnsi"/>
          <w:szCs w:val="24"/>
          <w:shd w:val="clear" w:color="auto" w:fill="FFFFFF"/>
        </w:rPr>
      </w:pPr>
      <w:r w:rsidRPr="00A77AF6">
        <w:rPr>
          <w:rFonts w:cstheme="minorHAnsi"/>
          <w:i/>
          <w:szCs w:val="24"/>
          <w:shd w:val="clear" w:color="auto" w:fill="FFFFFF"/>
        </w:rPr>
        <w:t>‘few of those who combine the words “governance” and “project” into the term “project governance” define what they mean. Even those who do define the term do not agree on what that definition is.</w:t>
      </w:r>
      <w:r w:rsidRPr="00A77AF6">
        <w:rPr>
          <w:rFonts w:cstheme="minorHAnsi"/>
          <w:szCs w:val="24"/>
          <w:shd w:val="clear" w:color="auto" w:fill="FFFFFF"/>
        </w:rPr>
        <w:t xml:space="preserve">’  </w:t>
      </w:r>
      <w:sdt>
        <w:sdtPr>
          <w:rPr>
            <w:rFonts w:cstheme="minorHAnsi"/>
            <w:szCs w:val="24"/>
            <w:shd w:val="clear" w:color="auto" w:fill="FFFFFF"/>
          </w:rPr>
          <w:id w:val="1908032964"/>
          <w:citation/>
        </w:sdtPr>
        <w:sdtEndPr/>
        <w:sdtContent>
          <w:r w:rsidRPr="00A77AF6">
            <w:rPr>
              <w:rFonts w:cstheme="minorHAnsi"/>
              <w:szCs w:val="24"/>
              <w:shd w:val="clear" w:color="auto" w:fill="FFFFFF"/>
            </w:rPr>
            <w:fldChar w:fldCharType="begin"/>
          </w:r>
          <w:r w:rsidRPr="00A77AF6">
            <w:rPr>
              <w:rFonts w:cstheme="minorHAnsi"/>
              <w:szCs w:val="24"/>
              <w:shd w:val="clear" w:color="auto" w:fill="FFFFFF"/>
            </w:rPr>
            <w:instrText xml:space="preserve">CITATION Kel10 \l 2057 </w:instrText>
          </w:r>
          <w:r w:rsidRPr="00A77AF6">
            <w:rPr>
              <w:rFonts w:cstheme="minorHAnsi"/>
              <w:szCs w:val="24"/>
              <w:shd w:val="clear" w:color="auto" w:fill="FFFFFF"/>
            </w:rPr>
            <w:fldChar w:fldCharType="separate"/>
          </w:r>
          <w:r w:rsidR="008E653F" w:rsidRPr="00A77AF6">
            <w:rPr>
              <w:rFonts w:cstheme="minorHAnsi"/>
              <w:szCs w:val="24"/>
              <w:shd w:val="clear" w:color="auto" w:fill="FFFFFF"/>
            </w:rPr>
            <w:t>(Kelly, 2010)</w:t>
          </w:r>
          <w:r w:rsidRPr="00A77AF6">
            <w:rPr>
              <w:rFonts w:cstheme="minorHAnsi"/>
              <w:szCs w:val="24"/>
              <w:shd w:val="clear" w:color="auto" w:fill="FFFFFF"/>
            </w:rPr>
            <w:fldChar w:fldCharType="end"/>
          </w:r>
        </w:sdtContent>
      </w:sdt>
    </w:p>
    <w:p w14:paraId="700149A6" w14:textId="4080932E" w:rsidR="000E42B3" w:rsidRPr="00A77AF6" w:rsidRDefault="00466499" w:rsidP="006B687E">
      <w:pPr>
        <w:spacing w:before="240" w:after="120" w:line="360" w:lineRule="auto"/>
        <w:rPr>
          <w:rFonts w:cstheme="minorHAnsi"/>
        </w:rPr>
      </w:pPr>
      <w:r w:rsidRPr="00A77AF6">
        <w:rPr>
          <w:rFonts w:cstheme="minorHAnsi"/>
        </w:rPr>
        <w:t xml:space="preserve">A review of the literature </w:t>
      </w:r>
      <w:r w:rsidR="004A6FC2" w:rsidRPr="00A77AF6">
        <w:rPr>
          <w:rFonts w:cstheme="minorHAnsi"/>
        </w:rPr>
        <w:t xml:space="preserve">found </w:t>
      </w:r>
      <w:r w:rsidRPr="00A77AF6">
        <w:rPr>
          <w:rFonts w:cstheme="minorHAnsi"/>
        </w:rPr>
        <w:t>few instances of the term ‘project governance’ before the year 2000.  Where the term was used, it was in relation to financing and venture capital</w:t>
      </w:r>
      <w:sdt>
        <w:sdtPr>
          <w:rPr>
            <w:rFonts w:cstheme="minorHAnsi"/>
          </w:rPr>
          <w:id w:val="1628584717"/>
          <w:citation/>
        </w:sdtPr>
        <w:sdtEndPr/>
        <w:sdtContent>
          <w:r w:rsidRPr="00A77AF6">
            <w:rPr>
              <w:rFonts w:cstheme="minorHAnsi"/>
            </w:rPr>
            <w:fldChar w:fldCharType="begin"/>
          </w:r>
          <w:r w:rsidRPr="00A77AF6">
            <w:rPr>
              <w:rFonts w:cstheme="minorHAnsi"/>
            </w:rPr>
            <w:instrText xml:space="preserve">CITATION Sah94 \l 2057 </w:instrText>
          </w:r>
          <w:r w:rsidRPr="00A77AF6">
            <w:rPr>
              <w:rFonts w:cstheme="minorHAnsi"/>
            </w:rPr>
            <w:fldChar w:fldCharType="separate"/>
          </w:r>
          <w:r w:rsidR="008E653F" w:rsidRPr="00A77AF6">
            <w:rPr>
              <w:rFonts w:cstheme="minorHAnsi"/>
            </w:rPr>
            <w:t xml:space="preserve"> (Sahlman, 1994)</w:t>
          </w:r>
          <w:r w:rsidRPr="00A77AF6">
            <w:rPr>
              <w:rFonts w:cstheme="minorHAnsi"/>
            </w:rPr>
            <w:fldChar w:fldCharType="end"/>
          </w:r>
        </w:sdtContent>
      </w:sdt>
      <w:r w:rsidRPr="00A77AF6">
        <w:rPr>
          <w:rFonts w:cstheme="minorHAnsi"/>
        </w:rPr>
        <w:t xml:space="preserve"> or contractual relationships and market governance in construction </w:t>
      </w:r>
      <w:sdt>
        <w:sdtPr>
          <w:rPr>
            <w:rFonts w:cstheme="minorHAnsi"/>
          </w:rPr>
          <w:id w:val="300124770"/>
          <w:citation/>
        </w:sdtPr>
        <w:sdtEndPr/>
        <w:sdtContent>
          <w:r w:rsidRPr="00A77AF6">
            <w:rPr>
              <w:rFonts w:cstheme="minorHAnsi"/>
            </w:rPr>
            <w:fldChar w:fldCharType="begin"/>
          </w:r>
          <w:r w:rsidRPr="00A77AF6">
            <w:rPr>
              <w:rFonts w:cstheme="minorHAnsi"/>
            </w:rPr>
            <w:instrText xml:space="preserve">CITATION Rev84 \l 2057 </w:instrText>
          </w:r>
          <w:r w:rsidRPr="00A77AF6">
            <w:rPr>
              <w:rFonts w:cstheme="minorHAnsi"/>
            </w:rPr>
            <w:fldChar w:fldCharType="separate"/>
          </w:r>
          <w:r w:rsidR="008E653F" w:rsidRPr="00A77AF6">
            <w:rPr>
              <w:rFonts w:cstheme="minorHAnsi"/>
            </w:rPr>
            <w:t>(Reve &amp; Levitt, 1984)</w:t>
          </w:r>
          <w:r w:rsidRPr="00A77AF6">
            <w:rPr>
              <w:rFonts w:cstheme="minorHAnsi"/>
            </w:rPr>
            <w:fldChar w:fldCharType="end"/>
          </w:r>
        </w:sdtContent>
      </w:sdt>
      <w:r w:rsidRPr="00A77AF6">
        <w:rPr>
          <w:rFonts w:cstheme="minorHAnsi"/>
        </w:rPr>
        <w:t xml:space="preserve">.  The term appeared specifically in relation to project management in 2001 in the writing of Turner and Keegan (2001) who discussed the governance structures of clients managing various sizes of projects. </w:t>
      </w:r>
      <w:r w:rsidR="00CC7C61" w:rsidRPr="00A77AF6">
        <w:rPr>
          <w:rFonts w:cstheme="minorHAnsi"/>
        </w:rPr>
        <w:t>I</w:t>
      </w:r>
      <w:r w:rsidR="004A6FC2" w:rsidRPr="00A77AF6">
        <w:rPr>
          <w:rFonts w:cstheme="minorHAnsi"/>
        </w:rPr>
        <w:t>t</w:t>
      </w:r>
      <w:r w:rsidR="00CC7C61" w:rsidRPr="00A77AF6">
        <w:rPr>
          <w:rFonts w:cstheme="minorHAnsi"/>
        </w:rPr>
        <w:t xml:space="preserve"> has been suggested that the term p</w:t>
      </w:r>
      <w:r w:rsidR="009663E6" w:rsidRPr="00A77AF6">
        <w:rPr>
          <w:rFonts w:cstheme="minorHAnsi"/>
        </w:rPr>
        <w:t xml:space="preserve">roject governance </w:t>
      </w:r>
      <w:r w:rsidR="00CC7C61" w:rsidRPr="00A77AF6">
        <w:rPr>
          <w:rFonts w:cstheme="minorHAnsi"/>
        </w:rPr>
        <w:t xml:space="preserve">is </w:t>
      </w:r>
      <w:r w:rsidR="009663E6" w:rsidRPr="00A77AF6">
        <w:rPr>
          <w:rFonts w:cstheme="minorHAnsi"/>
        </w:rPr>
        <w:t xml:space="preserve">merely a new </w:t>
      </w:r>
      <w:r w:rsidR="00CC7C61" w:rsidRPr="00A77AF6">
        <w:rPr>
          <w:rFonts w:cstheme="minorHAnsi"/>
        </w:rPr>
        <w:t xml:space="preserve">way of </w:t>
      </w:r>
      <w:r w:rsidR="009663E6" w:rsidRPr="00A77AF6">
        <w:rPr>
          <w:rFonts w:cstheme="minorHAnsi"/>
        </w:rPr>
        <w:t xml:space="preserve">describing existing practices (Hazard &amp; Crawford, 2004). However, </w:t>
      </w:r>
      <w:r w:rsidR="000E42B3" w:rsidRPr="00A77AF6">
        <w:rPr>
          <w:rFonts w:cstheme="minorHAnsi"/>
        </w:rPr>
        <w:t xml:space="preserve">now </w:t>
      </w:r>
      <w:r w:rsidR="009663E6" w:rsidRPr="00A77AF6">
        <w:rPr>
          <w:rFonts w:cstheme="minorHAnsi"/>
        </w:rPr>
        <w:t>it is a widely accepted term</w:t>
      </w:r>
      <w:r w:rsidR="004A6FC2" w:rsidRPr="00A77AF6">
        <w:rPr>
          <w:rFonts w:cstheme="minorHAnsi"/>
        </w:rPr>
        <w:t xml:space="preserve">. </w:t>
      </w:r>
      <w:r w:rsidR="009663E6" w:rsidRPr="00A77AF6">
        <w:rPr>
          <w:rFonts w:cstheme="minorHAnsi"/>
        </w:rPr>
        <w:t xml:space="preserve"> </w:t>
      </w:r>
      <w:r w:rsidR="004A6FC2" w:rsidRPr="00A77AF6">
        <w:rPr>
          <w:rFonts w:cstheme="minorHAnsi"/>
        </w:rPr>
        <w:t>P</w:t>
      </w:r>
      <w:r w:rsidR="000E42B3" w:rsidRPr="00A77AF6">
        <w:rPr>
          <w:rFonts w:cstheme="minorHAnsi"/>
        </w:rPr>
        <w:t xml:space="preserve">roject governance </w:t>
      </w:r>
      <w:r w:rsidR="004A6FC2" w:rsidRPr="00A77AF6">
        <w:rPr>
          <w:rFonts w:cstheme="minorHAnsi"/>
        </w:rPr>
        <w:t xml:space="preserve">is </w:t>
      </w:r>
      <w:r w:rsidR="000E42B3" w:rsidRPr="00A77AF6">
        <w:rPr>
          <w:rFonts w:cstheme="minorHAnsi"/>
        </w:rPr>
        <w:t xml:space="preserve">the involvement of top management, the definition of roles, responsibilities and the exercise of organizational control including steering committees summarised as, ‘structured intervention processes’ </w:t>
      </w:r>
      <w:sdt>
        <w:sdtPr>
          <w:rPr>
            <w:rFonts w:cstheme="minorHAnsi"/>
          </w:rPr>
          <w:id w:val="967401835"/>
          <w:citation/>
        </w:sdtPr>
        <w:sdtEndPr/>
        <w:sdtContent>
          <w:r w:rsidR="000E42B3" w:rsidRPr="00A77AF6">
            <w:rPr>
              <w:rFonts w:cstheme="minorHAnsi"/>
            </w:rPr>
            <w:fldChar w:fldCharType="begin"/>
          </w:r>
          <w:r w:rsidR="000E42B3" w:rsidRPr="00A77AF6">
            <w:rPr>
              <w:rFonts w:cstheme="minorHAnsi"/>
            </w:rPr>
            <w:instrText xml:space="preserve">CITATION Mah02 \p 18 \l 2057 </w:instrText>
          </w:r>
          <w:r w:rsidR="000E42B3" w:rsidRPr="00A77AF6">
            <w:rPr>
              <w:rFonts w:cstheme="minorHAnsi"/>
            </w:rPr>
            <w:fldChar w:fldCharType="separate"/>
          </w:r>
          <w:r w:rsidR="008E653F" w:rsidRPr="00A77AF6">
            <w:rPr>
              <w:rFonts w:cstheme="minorHAnsi"/>
            </w:rPr>
            <w:t>(Mahring, 2002, p. 18)</w:t>
          </w:r>
          <w:r w:rsidR="000E42B3" w:rsidRPr="00A77AF6">
            <w:rPr>
              <w:rFonts w:cstheme="minorHAnsi"/>
            </w:rPr>
            <w:fldChar w:fldCharType="end"/>
          </w:r>
        </w:sdtContent>
      </w:sdt>
      <w:r w:rsidR="000E42B3" w:rsidRPr="00A77AF6">
        <w:rPr>
          <w:rFonts w:cstheme="minorHAnsi"/>
        </w:rPr>
        <w:t xml:space="preserve">.  The importance of </w:t>
      </w:r>
      <w:r w:rsidR="00A12DA3" w:rsidRPr="00A77AF6">
        <w:rPr>
          <w:rFonts w:cstheme="minorHAnsi"/>
        </w:rPr>
        <w:t xml:space="preserve">project governance </w:t>
      </w:r>
      <w:r w:rsidR="000E42B3" w:rsidRPr="00A77AF6">
        <w:rPr>
          <w:rFonts w:cstheme="minorHAnsi"/>
        </w:rPr>
        <w:t xml:space="preserve">is to ensure that an organisation’s portfolio is aligned with its objectives and can be delivered </w:t>
      </w:r>
      <w:r w:rsidR="00A12DA3" w:rsidRPr="00A77AF6">
        <w:rPr>
          <w:rFonts w:cstheme="minorHAnsi"/>
        </w:rPr>
        <w:t xml:space="preserve">sustainably </w:t>
      </w:r>
      <w:sdt>
        <w:sdtPr>
          <w:rPr>
            <w:rFonts w:cstheme="minorHAnsi"/>
          </w:rPr>
          <w:id w:val="-1078290277"/>
          <w:citation/>
        </w:sdtPr>
        <w:sdtEndPr/>
        <w:sdtContent>
          <w:r w:rsidR="00A12DA3" w:rsidRPr="00A77AF6">
            <w:rPr>
              <w:rFonts w:cstheme="minorHAnsi"/>
            </w:rPr>
            <w:fldChar w:fldCharType="begin"/>
          </w:r>
          <w:r w:rsidR="004436D3" w:rsidRPr="00A77AF6">
            <w:rPr>
              <w:rFonts w:cstheme="minorHAnsi"/>
            </w:rPr>
            <w:instrText xml:space="preserve">CITATION Axe09 \l 2057 </w:instrText>
          </w:r>
          <w:r w:rsidR="00A12DA3" w:rsidRPr="00A77AF6">
            <w:rPr>
              <w:rFonts w:cstheme="minorHAnsi"/>
            </w:rPr>
            <w:fldChar w:fldCharType="separate"/>
          </w:r>
          <w:r w:rsidR="008E653F" w:rsidRPr="00A77AF6">
            <w:rPr>
              <w:rFonts w:cstheme="minorHAnsi"/>
            </w:rPr>
            <w:t>(Axelos, 2009)</w:t>
          </w:r>
          <w:r w:rsidR="00A12DA3" w:rsidRPr="00A77AF6">
            <w:rPr>
              <w:rFonts w:cstheme="minorHAnsi"/>
            </w:rPr>
            <w:fldChar w:fldCharType="end"/>
          </w:r>
        </w:sdtContent>
      </w:sdt>
      <w:r w:rsidR="00A12DA3" w:rsidRPr="00A77AF6">
        <w:rPr>
          <w:rFonts w:cstheme="minorHAnsi"/>
        </w:rPr>
        <w:t>.  Despite Kelly</w:t>
      </w:r>
      <w:r w:rsidR="004A6FC2" w:rsidRPr="00A77AF6">
        <w:rPr>
          <w:rFonts w:cstheme="minorHAnsi"/>
        </w:rPr>
        <w:t>’s</w:t>
      </w:r>
      <w:r w:rsidR="00A12DA3" w:rsidRPr="00A77AF6">
        <w:rPr>
          <w:rFonts w:cstheme="minorHAnsi"/>
        </w:rPr>
        <w:t xml:space="preserve"> (2010) </w:t>
      </w:r>
      <w:r w:rsidR="004A6FC2" w:rsidRPr="00A77AF6">
        <w:rPr>
          <w:rFonts w:cstheme="minorHAnsi"/>
        </w:rPr>
        <w:t xml:space="preserve">concern, </w:t>
      </w:r>
      <w:r w:rsidR="00A12DA3" w:rsidRPr="00A77AF6">
        <w:rPr>
          <w:rFonts w:cstheme="minorHAnsi"/>
        </w:rPr>
        <w:t xml:space="preserve">it </w:t>
      </w:r>
      <w:r w:rsidR="004A6FC2" w:rsidRPr="00A77AF6">
        <w:rPr>
          <w:rFonts w:cstheme="minorHAnsi"/>
        </w:rPr>
        <w:t xml:space="preserve">is </w:t>
      </w:r>
      <w:r w:rsidR="00A12DA3" w:rsidRPr="00A77AF6">
        <w:rPr>
          <w:rFonts w:cstheme="minorHAnsi"/>
        </w:rPr>
        <w:t xml:space="preserve">possible to agree </w:t>
      </w:r>
      <w:r w:rsidR="004A2C4E" w:rsidRPr="00A77AF6">
        <w:rPr>
          <w:rFonts w:cstheme="minorHAnsi"/>
        </w:rPr>
        <w:t>that</w:t>
      </w:r>
      <w:r w:rsidR="00A12DA3" w:rsidRPr="00A77AF6">
        <w:rPr>
          <w:rFonts w:cstheme="minorHAnsi"/>
        </w:rPr>
        <w:t xml:space="preserve"> project governance </w:t>
      </w:r>
      <w:r w:rsidR="004A2C4E" w:rsidRPr="00A77AF6">
        <w:rPr>
          <w:rFonts w:cstheme="minorHAnsi"/>
        </w:rPr>
        <w:t xml:space="preserve">is </w:t>
      </w:r>
      <w:r w:rsidRPr="00A77AF6">
        <w:rPr>
          <w:rFonts w:cstheme="minorHAnsi"/>
        </w:rPr>
        <w:t>the relationship between organizations and projects</w:t>
      </w:r>
      <w:r w:rsidR="00A12DA3" w:rsidRPr="00A77AF6">
        <w:rPr>
          <w:rFonts w:cstheme="minorHAnsi"/>
        </w:rPr>
        <w:t xml:space="preserve"> </w:t>
      </w:r>
      <w:r w:rsidRPr="00A77AF6">
        <w:rPr>
          <w:rFonts w:cstheme="minorHAnsi"/>
        </w:rPr>
        <w:t xml:space="preserve">(Turner &amp; Keegan, </w:t>
      </w:r>
      <w:r w:rsidR="000B69A8" w:rsidRPr="00A77AF6">
        <w:rPr>
          <w:rFonts w:cstheme="minorHAnsi"/>
        </w:rPr>
        <w:t>2001, HMT, 2007</w:t>
      </w:r>
      <w:r w:rsidRPr="00A77AF6">
        <w:rPr>
          <w:rFonts w:cstheme="minorHAnsi"/>
        </w:rPr>
        <w:t>, Müller 2009)</w:t>
      </w:r>
      <w:r w:rsidR="004A2C4E" w:rsidRPr="00A77AF6">
        <w:rPr>
          <w:rFonts w:cstheme="minorHAnsi"/>
        </w:rPr>
        <w:t xml:space="preserve">, which are supported by structures, roles and </w:t>
      </w:r>
      <w:r w:rsidR="003C04F5" w:rsidRPr="00A77AF6">
        <w:rPr>
          <w:rFonts w:cstheme="minorHAnsi"/>
        </w:rPr>
        <w:t>processes</w:t>
      </w:r>
      <w:r w:rsidRPr="00A77AF6">
        <w:rPr>
          <w:rFonts w:cstheme="minorHAnsi"/>
        </w:rPr>
        <w:t xml:space="preserve">. </w:t>
      </w:r>
      <w:r w:rsidR="00A12DA3" w:rsidRPr="00A77AF6">
        <w:rPr>
          <w:rFonts w:cstheme="minorHAnsi"/>
        </w:rPr>
        <w:t xml:space="preserve"> </w:t>
      </w:r>
    </w:p>
    <w:p w14:paraId="1DD1647D" w14:textId="2BAFADB9" w:rsidR="00A12DA3" w:rsidRPr="00A77AF6" w:rsidRDefault="00A12DA3" w:rsidP="004A6FC2">
      <w:pPr>
        <w:spacing w:line="240" w:lineRule="auto"/>
        <w:ind w:left="720"/>
        <w:rPr>
          <w:rFonts w:cstheme="minorHAnsi"/>
          <w:i/>
          <w:iCs/>
        </w:rPr>
      </w:pPr>
      <w:r w:rsidRPr="00A77AF6">
        <w:rPr>
          <w:rFonts w:cstheme="minorHAnsi"/>
          <w:i/>
          <w:iCs/>
        </w:rPr>
        <w:t>‘</w:t>
      </w:r>
      <w:r w:rsidR="003C04F5" w:rsidRPr="00A77AF6">
        <w:rPr>
          <w:rFonts w:cstheme="minorHAnsi"/>
          <w:i/>
          <w:iCs/>
        </w:rPr>
        <w:t>Governance of projects should be supported by processes, procedures and standards as appropriate for governance requirements……</w:t>
      </w:r>
      <w:r w:rsidRPr="00A77AF6">
        <w:rPr>
          <w:rFonts w:cstheme="minorHAnsi"/>
          <w:i/>
          <w:iCs/>
        </w:rPr>
        <w:t>Governance of proj</w:t>
      </w:r>
      <w:r w:rsidR="004A2C4E" w:rsidRPr="00A77AF6">
        <w:rPr>
          <w:rFonts w:cstheme="minorHAnsi"/>
          <w:i/>
          <w:iCs/>
        </w:rPr>
        <w:t>e</w:t>
      </w:r>
      <w:r w:rsidRPr="00A77AF6">
        <w:rPr>
          <w:rFonts w:cstheme="minorHAnsi"/>
          <w:i/>
          <w:iCs/>
        </w:rPr>
        <w:t xml:space="preserve">cts should be aligned with organizational governance, and, where </w:t>
      </w:r>
      <w:r w:rsidR="006F32AD" w:rsidRPr="00A77AF6">
        <w:rPr>
          <w:rFonts w:cstheme="minorHAnsi"/>
          <w:i/>
          <w:iCs/>
        </w:rPr>
        <w:t>appropriate</w:t>
      </w:r>
      <w:r w:rsidRPr="00A77AF6">
        <w:rPr>
          <w:rFonts w:cstheme="minorHAnsi"/>
          <w:i/>
          <w:iCs/>
        </w:rPr>
        <w:t>, the governance of programmes and portfolios</w:t>
      </w:r>
      <w:r w:rsidR="003C04F5" w:rsidRPr="00A77AF6">
        <w:rPr>
          <w:rFonts w:cstheme="minorHAnsi"/>
          <w:i/>
          <w:iCs/>
        </w:rPr>
        <w:t>’</w:t>
      </w:r>
      <w:r w:rsidRPr="00A77AF6">
        <w:rPr>
          <w:rFonts w:cstheme="minorHAnsi"/>
          <w:i/>
          <w:iCs/>
        </w:rPr>
        <w:t xml:space="preserve">  </w:t>
      </w:r>
      <w:r w:rsidR="004A6FC2" w:rsidRPr="00A77AF6">
        <w:rPr>
          <w:rFonts w:cstheme="minorHAnsi"/>
        </w:rPr>
        <w:t>BSI (2017 p</w:t>
      </w:r>
      <w:r w:rsidR="006F32AD">
        <w:rPr>
          <w:rFonts w:cstheme="minorHAnsi"/>
        </w:rPr>
        <w:t xml:space="preserve">. </w:t>
      </w:r>
      <w:r w:rsidR="004A6FC2" w:rsidRPr="00A77AF6">
        <w:rPr>
          <w:rFonts w:cstheme="minorHAnsi"/>
        </w:rPr>
        <w:t>8)</w:t>
      </w:r>
    </w:p>
    <w:p w14:paraId="1D1F0DDB" w14:textId="77777777" w:rsidR="006C32D4" w:rsidRDefault="006C32D4">
      <w:pPr>
        <w:rPr>
          <w:rFonts w:cstheme="minorHAnsi"/>
        </w:rPr>
      </w:pPr>
      <w:r>
        <w:rPr>
          <w:rFonts w:cstheme="minorHAnsi"/>
        </w:rPr>
        <w:br w:type="page"/>
      </w:r>
    </w:p>
    <w:p w14:paraId="46E4FC3A" w14:textId="1F9B1FC8" w:rsidR="00466499" w:rsidRPr="00A77AF6" w:rsidRDefault="004F41B5" w:rsidP="00466499">
      <w:pPr>
        <w:spacing w:before="240" w:line="360" w:lineRule="auto"/>
        <w:rPr>
          <w:rFonts w:cstheme="minorHAnsi"/>
        </w:rPr>
      </w:pPr>
      <w:r w:rsidRPr="00A77AF6">
        <w:rPr>
          <w:rFonts w:cstheme="minorHAnsi"/>
        </w:rPr>
        <w:lastRenderedPageBreak/>
        <w:t xml:space="preserve">Figure </w:t>
      </w:r>
      <w:r w:rsidR="0090418A" w:rsidRPr="00A77AF6">
        <w:rPr>
          <w:rFonts w:cstheme="minorHAnsi"/>
        </w:rPr>
        <w:t>4-</w:t>
      </w:r>
      <w:r w:rsidR="0007452B" w:rsidRPr="00A77AF6">
        <w:rPr>
          <w:rFonts w:cstheme="minorHAnsi"/>
        </w:rPr>
        <w:t>3</w:t>
      </w:r>
      <w:r w:rsidRPr="00A77AF6">
        <w:rPr>
          <w:rFonts w:cstheme="minorHAnsi"/>
        </w:rPr>
        <w:t xml:space="preserve"> </w:t>
      </w:r>
      <w:r w:rsidR="000B69A8" w:rsidRPr="00A77AF6">
        <w:rPr>
          <w:rFonts w:cstheme="minorHAnsi"/>
        </w:rPr>
        <w:t xml:space="preserve">shows </w:t>
      </w:r>
      <w:r w:rsidR="0090418A" w:rsidRPr="00A77AF6">
        <w:rPr>
          <w:rFonts w:cstheme="minorHAnsi"/>
        </w:rPr>
        <w:t>that</w:t>
      </w:r>
      <w:r w:rsidR="000B69A8" w:rsidRPr="00A77AF6">
        <w:rPr>
          <w:rFonts w:cstheme="minorHAnsi"/>
        </w:rPr>
        <w:t xml:space="preserve"> project governance links </w:t>
      </w:r>
      <w:r w:rsidR="00466499" w:rsidRPr="00A77AF6">
        <w:rPr>
          <w:rFonts w:cstheme="minorHAnsi"/>
        </w:rPr>
        <w:t xml:space="preserve">corporate and organisation governance activities </w:t>
      </w:r>
      <w:r w:rsidR="0090418A" w:rsidRPr="00A77AF6">
        <w:rPr>
          <w:rFonts w:cstheme="minorHAnsi"/>
        </w:rPr>
        <w:t>to</w:t>
      </w:r>
      <w:r w:rsidR="000B69A8" w:rsidRPr="00A77AF6">
        <w:rPr>
          <w:rFonts w:cstheme="minorHAnsi"/>
        </w:rPr>
        <w:t xml:space="preserve"> </w:t>
      </w:r>
      <w:r w:rsidR="00466499" w:rsidRPr="00A77AF6">
        <w:rPr>
          <w:rFonts w:cstheme="minorHAnsi"/>
        </w:rPr>
        <w:t>project management activities</w:t>
      </w:r>
      <w:r w:rsidR="000B69A8" w:rsidRPr="00A77AF6">
        <w:rPr>
          <w:rFonts w:cstheme="minorHAnsi"/>
        </w:rPr>
        <w:t xml:space="preserve">. </w:t>
      </w:r>
      <w:r w:rsidR="00466499" w:rsidRPr="00A77AF6">
        <w:rPr>
          <w:rFonts w:cstheme="minorHAnsi"/>
        </w:rPr>
        <w:t xml:space="preserve"> </w:t>
      </w:r>
      <w:r w:rsidR="000B69A8" w:rsidRPr="00A77AF6">
        <w:rPr>
          <w:rFonts w:cstheme="minorHAnsi"/>
        </w:rPr>
        <w:t xml:space="preserve"> </w:t>
      </w:r>
    </w:p>
    <w:p w14:paraId="00658C28" w14:textId="18E2FCA0" w:rsidR="004F41B5" w:rsidRPr="00A77AF6" w:rsidRDefault="00470A0E" w:rsidP="004F41B5">
      <w:pPr>
        <w:pStyle w:val="Caption"/>
        <w:keepNext/>
      </w:pPr>
      <w:bookmarkStart w:id="79" w:name="_Toc526967337"/>
      <w:bookmarkStart w:id="80" w:name="_Hlk520113806"/>
      <w:r w:rsidRPr="00A77AF6">
        <w:rPr>
          <w:noProof/>
        </w:rPr>
        <mc:AlternateContent>
          <mc:Choice Requires="wps">
            <w:drawing>
              <wp:anchor distT="45720" distB="45720" distL="114300" distR="114300" simplePos="0" relativeHeight="251876864" behindDoc="0" locked="0" layoutInCell="1" allowOverlap="1" wp14:anchorId="4C0041E1" wp14:editId="6712E18E">
                <wp:simplePos x="0" y="0"/>
                <wp:positionH relativeFrom="column">
                  <wp:posOffset>2096135</wp:posOffset>
                </wp:positionH>
                <wp:positionV relativeFrom="paragraph">
                  <wp:posOffset>267335</wp:posOffset>
                </wp:positionV>
                <wp:extent cx="1614170" cy="38227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382270"/>
                        </a:xfrm>
                        <a:prstGeom prst="rect">
                          <a:avLst/>
                        </a:prstGeom>
                        <a:solidFill>
                          <a:srgbClr val="FFFFFF"/>
                        </a:solidFill>
                        <a:ln w="9525">
                          <a:noFill/>
                          <a:miter lim="800000"/>
                          <a:headEnd/>
                          <a:tailEnd/>
                        </a:ln>
                      </wps:spPr>
                      <wps:txbx>
                        <w:txbxContent>
                          <w:p w14:paraId="7DAD4E32" w14:textId="5658A7E3" w:rsidR="009C0325" w:rsidRPr="007B780A" w:rsidRDefault="009C0325" w:rsidP="007B780A">
                            <w:pPr>
                              <w:jc w:val="center"/>
                              <w:rPr>
                                <w:sz w:val="16"/>
                                <w:szCs w:val="16"/>
                              </w:rPr>
                            </w:pPr>
                            <w:r w:rsidRPr="007B780A">
                              <w:rPr>
                                <w:sz w:val="16"/>
                                <w:szCs w:val="16"/>
                              </w:rPr>
                              <w:t>Corporate and Organisation Governance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041E1" id="Text Box 2" o:spid="_x0000_s1040" type="#_x0000_t202" style="position:absolute;margin-left:165.05pt;margin-top:21.05pt;width:127.1pt;height:30.1pt;z-index:25187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" stroked="f">
                <v:textbox>
                  <w:txbxContent>
                    <w:p w14:paraId="7DAD4E32" w14:textId="5658A7E3" w:rsidR="009C0325" w:rsidRPr="007B780A" w:rsidRDefault="009C0325" w:rsidP="007B780A">
                      <w:pPr>
                        <w:jc w:val="center"/>
                        <w:rPr>
                          <w:sz w:val="16"/>
                          <w:szCs w:val="16"/>
                        </w:rPr>
                      </w:pPr>
                      <w:r w:rsidRPr="007B780A">
                        <w:rPr>
                          <w:sz w:val="16"/>
                          <w:szCs w:val="16"/>
                        </w:rPr>
                        <w:t>Corporate and Organisation Governance Activities</w:t>
                      </w:r>
                    </w:p>
                  </w:txbxContent>
                </v:textbox>
                <w10:wrap type="square"/>
              </v:shape>
            </w:pict>
          </mc:Fallback>
        </mc:AlternateContent>
      </w:r>
      <w:r w:rsidR="007B780A" w:rsidRPr="00A77AF6">
        <w:rPr>
          <w:noProof/>
          <w:highlight w:val="yellow"/>
        </w:rPr>
        <mc:AlternateContent>
          <mc:Choice Requires="wpg">
            <w:drawing>
              <wp:anchor distT="0" distB="0" distL="114300" distR="114300" simplePos="0" relativeHeight="251871744" behindDoc="0" locked="0" layoutInCell="1" allowOverlap="1" wp14:anchorId="6798B4CD" wp14:editId="42D86892">
                <wp:simplePos x="0" y="0"/>
                <wp:positionH relativeFrom="column">
                  <wp:posOffset>355569</wp:posOffset>
                </wp:positionH>
                <wp:positionV relativeFrom="paragraph">
                  <wp:posOffset>135737</wp:posOffset>
                </wp:positionV>
                <wp:extent cx="5028565" cy="2285122"/>
                <wp:effectExtent l="0" t="0" r="19685" b="20320"/>
                <wp:wrapNone/>
                <wp:docPr id="12389" name="Group 12389"/>
                <wp:cNvGraphicFramePr/>
                <a:graphic xmlns:a="http://schemas.openxmlformats.org/drawingml/2006/main">
                  <a:graphicData uri="http://schemas.microsoft.com/office/word/2010/wordprocessingGroup">
                    <wpg:wgp>
                      <wpg:cNvGrpSpPr/>
                      <wpg:grpSpPr>
                        <a:xfrm>
                          <a:off x="0" y="0"/>
                          <a:ext cx="5028565" cy="2285122"/>
                          <a:chOff x="0" y="-77118"/>
                          <a:chExt cx="5028565" cy="2285122"/>
                        </a:xfrm>
                      </wpg:grpSpPr>
                      <wps:wsp>
                        <wps:cNvPr id="12377" name="Rectangle 12377"/>
                        <wps:cNvSpPr/>
                        <wps:spPr>
                          <a:xfrm>
                            <a:off x="0" y="437745"/>
                            <a:ext cx="5028565" cy="133191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80" name="Rectangle 12380"/>
                        <wps:cNvSpPr/>
                        <wps:spPr>
                          <a:xfrm>
                            <a:off x="165369" y="816964"/>
                            <a:ext cx="1001503" cy="4959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82" name="Rectangle 12382"/>
                        <wps:cNvSpPr/>
                        <wps:spPr>
                          <a:xfrm>
                            <a:off x="1624519" y="-77118"/>
                            <a:ext cx="1789444" cy="69948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88" name="Rectangle 12388"/>
                        <wps:cNvSpPr/>
                        <wps:spPr>
                          <a:xfrm>
                            <a:off x="1624519" y="1585609"/>
                            <a:ext cx="1789444" cy="62239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72FF99E" id="Group 12389" o:spid="_x0000_s1026" style="position:absolute;margin-left:28pt;margin-top:10.7pt;width:395.95pt;height:179.95pt;z-index:251871744;mso-height-relative:margin" coordorigin=",-771" coordsize="50285,2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">
                <v:rect id="Rectangle 12377" o:spid="_x0000_s1027" style="position:absolute;top:4377;width:50285;height:13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" filled="f" strokecolor="#1f4d78 [1604]" strokeweight="1pt"/>
                <v:rect id="Rectangle 12380" o:spid="_x0000_s1028" style="position:absolute;left:1653;top:8169;width:10015;height:4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" filled="f" strokecolor="#1f4d78 [1604]" strokeweight="1pt"/>
                <v:rect id="Rectangle 12382" o:spid="_x0000_s1029" style="position:absolute;left:16245;top:-771;width:17894;height:6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" filled="f" strokecolor="#1f4d78 [1604]" strokeweight="1pt"/>
                <v:rect id="Rectangle 12388" o:spid="_x0000_s1030" style="position:absolute;left:16245;top:15856;width:17894;height:6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" filled="f" strokecolor="#1f4d78 [1604]" strokeweight="1pt"/>
              </v:group>
            </w:pict>
          </mc:Fallback>
        </mc:AlternateContent>
      </w:r>
      <w:bookmarkEnd w:id="79"/>
    </w:p>
    <w:p w14:paraId="38500DB8" w14:textId="0D693A01" w:rsidR="007B780A" w:rsidRPr="00A77AF6" w:rsidRDefault="007B780A" w:rsidP="007B780A"/>
    <w:p w14:paraId="7DA36C08" w14:textId="75A657EB" w:rsidR="007B780A" w:rsidRPr="00A77AF6" w:rsidRDefault="00CA2E80" w:rsidP="007B780A">
      <w:pPr>
        <w:tabs>
          <w:tab w:val="center" w:pos="4393"/>
        </w:tabs>
        <w:spacing w:after="0" w:line="240" w:lineRule="auto"/>
        <w:jc w:val="right"/>
      </w:pPr>
      <w:r w:rsidRPr="00A77AF6">
        <w:rPr>
          <w:rFonts w:cstheme="minorHAnsi"/>
          <w:noProof/>
        </w:rPr>
        <mc:AlternateContent>
          <mc:Choice Requires="wps">
            <w:drawing>
              <wp:anchor distT="45720" distB="45720" distL="114300" distR="114300" simplePos="0" relativeHeight="251881984" behindDoc="0" locked="0" layoutInCell="1" allowOverlap="1" wp14:anchorId="7E2E87D4" wp14:editId="281A6454">
                <wp:simplePos x="0" y="0"/>
                <wp:positionH relativeFrom="column">
                  <wp:posOffset>407994</wp:posOffset>
                </wp:positionH>
                <wp:positionV relativeFrom="paragraph">
                  <wp:posOffset>159790</wp:posOffset>
                </wp:positionV>
                <wp:extent cx="1118235" cy="242570"/>
                <wp:effectExtent l="0" t="0" r="5715" b="5080"/>
                <wp:wrapSquare wrapText="bothSides"/>
                <wp:docPr id="12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242570"/>
                        </a:xfrm>
                        <a:prstGeom prst="rect">
                          <a:avLst/>
                        </a:prstGeom>
                        <a:solidFill>
                          <a:srgbClr val="FFFFFF"/>
                        </a:solidFill>
                        <a:ln w="9525">
                          <a:noFill/>
                          <a:miter lim="800000"/>
                          <a:headEnd/>
                          <a:tailEnd/>
                        </a:ln>
                      </wps:spPr>
                      <wps:txbx>
                        <w:txbxContent>
                          <w:p w14:paraId="0EC2CD20" w14:textId="06077E4E" w:rsidR="009C0325" w:rsidRPr="006F6DBE" w:rsidRDefault="009C0325">
                            <w:pPr>
                              <w:rPr>
                                <w:sz w:val="16"/>
                                <w:szCs w:val="16"/>
                              </w:rPr>
                            </w:pPr>
                            <w:r w:rsidRPr="006F6DBE">
                              <w:rPr>
                                <w:sz w:val="16"/>
                                <w:szCs w:val="16"/>
                              </w:rPr>
                              <w:t>Project Governance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E87D4" id="_x0000_s1041" type="#_x0000_t202" style="position:absolute;left:0;text-align:left;margin-left:32.15pt;margin-top:12.6pt;width:88.05pt;height:19.1pt;z-index:25188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" stroked="f">
                <v:textbox>
                  <w:txbxContent>
                    <w:p w14:paraId="0EC2CD20" w14:textId="06077E4E" w:rsidR="009C0325" w:rsidRPr="006F6DBE" w:rsidRDefault="009C0325">
                      <w:pPr>
                        <w:rPr>
                          <w:sz w:val="16"/>
                          <w:szCs w:val="16"/>
                        </w:rPr>
                      </w:pPr>
                      <w:r w:rsidRPr="006F6DBE">
                        <w:rPr>
                          <w:sz w:val="16"/>
                          <w:szCs w:val="16"/>
                        </w:rPr>
                        <w:t>Project Governance</w:t>
                      </w:r>
                    </w:p>
                  </w:txbxContent>
                </v:textbox>
                <w10:wrap type="square"/>
              </v:shape>
            </w:pict>
          </mc:Fallback>
        </mc:AlternateContent>
      </w:r>
    </w:p>
    <w:p w14:paraId="46E36370" w14:textId="705295CC" w:rsidR="007B780A" w:rsidRPr="00A77AF6" w:rsidRDefault="007B780A" w:rsidP="007B780A"/>
    <w:p w14:paraId="4111FBE5" w14:textId="70E35BB1" w:rsidR="007B780A" w:rsidRPr="00A77AF6" w:rsidRDefault="00031792" w:rsidP="007B780A">
      <w:r w:rsidRPr="00A77AF6">
        <w:rPr>
          <w:noProof/>
        </w:rPr>
        <mc:AlternateContent>
          <mc:Choice Requires="wps">
            <w:drawing>
              <wp:anchor distT="45720" distB="45720" distL="114300" distR="114300" simplePos="0" relativeHeight="251917824" behindDoc="0" locked="0" layoutInCell="1" allowOverlap="1" wp14:anchorId="5D41992C" wp14:editId="1787A1D1">
                <wp:simplePos x="0" y="0"/>
                <wp:positionH relativeFrom="column">
                  <wp:posOffset>4269740</wp:posOffset>
                </wp:positionH>
                <wp:positionV relativeFrom="paragraph">
                  <wp:posOffset>81307</wp:posOffset>
                </wp:positionV>
                <wp:extent cx="816610" cy="339725"/>
                <wp:effectExtent l="0" t="0" r="2540" b="3175"/>
                <wp:wrapSquare wrapText="bothSides"/>
                <wp:docPr id="12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39725"/>
                        </a:xfrm>
                        <a:prstGeom prst="rect">
                          <a:avLst/>
                        </a:prstGeom>
                        <a:solidFill>
                          <a:srgbClr val="FFFFFF"/>
                        </a:solidFill>
                        <a:ln w="9525">
                          <a:noFill/>
                          <a:miter lim="800000"/>
                          <a:headEnd/>
                          <a:tailEnd/>
                        </a:ln>
                      </wps:spPr>
                      <wps:txbx>
                        <w:txbxContent>
                          <w:p w14:paraId="7C28228A" w14:textId="2B9BD2CE" w:rsidR="009C0325" w:rsidRPr="00031792" w:rsidRDefault="009C0325" w:rsidP="00031792">
                            <w:pPr>
                              <w:jc w:val="center"/>
                              <w:rPr>
                                <w:sz w:val="16"/>
                                <w:szCs w:val="16"/>
                              </w:rPr>
                            </w:pPr>
                            <w:r w:rsidRPr="00031792">
                              <w:rPr>
                                <w:sz w:val="16"/>
                                <w:szCs w:val="16"/>
                              </w:rPr>
                              <w:t>Reporting and Disclosure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1992C" id="_x0000_s1042" type="#_x0000_t202" style="position:absolute;margin-left:336.2pt;margin-top:6.4pt;width:64.3pt;height:26.75pt;z-index:25191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" stroked="f">
                <v:textbox>
                  <w:txbxContent>
                    <w:p w14:paraId="7C28228A" w14:textId="2B9BD2CE" w:rsidR="009C0325" w:rsidRPr="00031792" w:rsidRDefault="009C0325" w:rsidP="00031792">
                      <w:pPr>
                        <w:jc w:val="center"/>
                        <w:rPr>
                          <w:sz w:val="16"/>
                          <w:szCs w:val="16"/>
                        </w:rPr>
                      </w:pPr>
                      <w:r w:rsidRPr="00031792">
                        <w:rPr>
                          <w:sz w:val="16"/>
                          <w:szCs w:val="16"/>
                        </w:rPr>
                        <w:t>Reporting and Disclosure</w:t>
                      </w:r>
                    </w:p>
                  </w:txbxContent>
                </v:textbox>
                <w10:wrap type="square"/>
              </v:shape>
            </w:pict>
          </mc:Fallback>
        </mc:AlternateContent>
      </w:r>
      <w:r w:rsidR="00F93C5B" w:rsidRPr="00A77AF6">
        <w:rPr>
          <w:noProof/>
        </w:rPr>
        <mc:AlternateContent>
          <mc:Choice Requires="wps">
            <w:drawing>
              <wp:anchor distT="45720" distB="45720" distL="114300" distR="114300" simplePos="0" relativeHeight="251912704" behindDoc="0" locked="0" layoutInCell="1" allowOverlap="1" wp14:anchorId="1B997B1A" wp14:editId="49578459">
                <wp:simplePos x="0" y="0"/>
                <wp:positionH relativeFrom="column">
                  <wp:posOffset>3014980</wp:posOffset>
                </wp:positionH>
                <wp:positionV relativeFrom="paragraph">
                  <wp:posOffset>82550</wp:posOffset>
                </wp:positionV>
                <wp:extent cx="894080" cy="368300"/>
                <wp:effectExtent l="0" t="0" r="1270" b="0"/>
                <wp:wrapSquare wrapText="bothSides"/>
                <wp:docPr id="12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368300"/>
                        </a:xfrm>
                        <a:prstGeom prst="rect">
                          <a:avLst/>
                        </a:prstGeom>
                        <a:solidFill>
                          <a:srgbClr val="FFFFFF"/>
                        </a:solidFill>
                        <a:ln w="9525">
                          <a:noFill/>
                          <a:miter lim="800000"/>
                          <a:headEnd/>
                          <a:tailEnd/>
                        </a:ln>
                      </wps:spPr>
                      <wps:txbx>
                        <w:txbxContent>
                          <w:p w14:paraId="227A3E40" w14:textId="4A32D987" w:rsidR="009C0325" w:rsidRPr="00F93C5B" w:rsidRDefault="009C0325" w:rsidP="00F93C5B">
                            <w:pPr>
                              <w:jc w:val="center"/>
                              <w:rPr>
                                <w:sz w:val="16"/>
                                <w:szCs w:val="16"/>
                              </w:rPr>
                            </w:pPr>
                            <w:r w:rsidRPr="00F93C5B">
                              <w:rPr>
                                <w:sz w:val="16"/>
                                <w:szCs w:val="16"/>
                              </w:rPr>
                              <w:t>Effectiveness of PM functions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97B1A" id="_x0000_s1043" type="#_x0000_t202" style="position:absolute;margin-left:237.4pt;margin-top:6.5pt;width:70.4pt;height:29pt;z-index:25191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" stroked="f">
                <v:textbox>
                  <w:txbxContent>
                    <w:p w14:paraId="227A3E40" w14:textId="4A32D987" w:rsidR="009C0325" w:rsidRPr="00F93C5B" w:rsidRDefault="009C0325" w:rsidP="00F93C5B">
                      <w:pPr>
                        <w:jc w:val="center"/>
                        <w:rPr>
                          <w:sz w:val="16"/>
                          <w:szCs w:val="16"/>
                        </w:rPr>
                      </w:pPr>
                      <w:r w:rsidRPr="00F93C5B">
                        <w:rPr>
                          <w:sz w:val="16"/>
                          <w:szCs w:val="16"/>
                        </w:rPr>
                        <w:t>Effectiveness of PM functions</w:t>
                      </w:r>
                    </w:p>
                  </w:txbxContent>
                </v:textbox>
                <w10:wrap type="square"/>
              </v:shape>
            </w:pict>
          </mc:Fallback>
        </mc:AlternateContent>
      </w:r>
      <w:r w:rsidR="009F1F9D" w:rsidRPr="00A77AF6">
        <w:rPr>
          <w:noProof/>
        </w:rPr>
        <mc:AlternateContent>
          <mc:Choice Requires="wps">
            <w:drawing>
              <wp:anchor distT="45720" distB="45720" distL="114300" distR="114300" simplePos="0" relativeHeight="251892224" behindDoc="0" locked="0" layoutInCell="1" allowOverlap="1" wp14:anchorId="1255157E" wp14:editId="3D7D37BA">
                <wp:simplePos x="0" y="0"/>
                <wp:positionH relativeFrom="column">
                  <wp:posOffset>1808480</wp:posOffset>
                </wp:positionH>
                <wp:positionV relativeFrom="paragraph">
                  <wp:posOffset>34290</wp:posOffset>
                </wp:positionV>
                <wp:extent cx="942340" cy="485775"/>
                <wp:effectExtent l="0" t="0" r="0" b="9525"/>
                <wp:wrapSquare wrapText="bothSides"/>
                <wp:docPr id="12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 cy="485775"/>
                        </a:xfrm>
                        <a:prstGeom prst="rect">
                          <a:avLst/>
                        </a:prstGeom>
                        <a:solidFill>
                          <a:srgbClr val="FFFFFF"/>
                        </a:solidFill>
                        <a:ln w="9525">
                          <a:noFill/>
                          <a:miter lim="800000"/>
                          <a:headEnd/>
                          <a:tailEnd/>
                        </a:ln>
                      </wps:spPr>
                      <wps:txbx>
                        <w:txbxContent>
                          <w:p w14:paraId="6376FAEF" w14:textId="07DD1532" w:rsidR="009C0325" w:rsidRPr="009F1F9D" w:rsidRDefault="009C0325" w:rsidP="009F1F9D">
                            <w:pPr>
                              <w:jc w:val="center"/>
                              <w:rPr>
                                <w:sz w:val="16"/>
                                <w:szCs w:val="16"/>
                              </w:rPr>
                            </w:pPr>
                            <w:r w:rsidRPr="009F1F9D">
                              <w:rPr>
                                <w:sz w:val="16"/>
                                <w:szCs w:val="16"/>
                              </w:rPr>
                              <w:t xml:space="preserve">Project </w:t>
                            </w:r>
                            <w:r>
                              <w:rPr>
                                <w:sz w:val="16"/>
                                <w:szCs w:val="16"/>
                              </w:rPr>
                              <w:t xml:space="preserve"> O</w:t>
                            </w:r>
                            <w:r w:rsidRPr="009F1F9D">
                              <w:rPr>
                                <w:sz w:val="16"/>
                                <w:szCs w:val="16"/>
                              </w:rPr>
                              <w:t xml:space="preserve">wnership </w:t>
                            </w:r>
                            <w:r>
                              <w:rPr>
                                <w:sz w:val="16"/>
                                <w:szCs w:val="16"/>
                              </w:rPr>
                              <w:t xml:space="preserve">and </w:t>
                            </w:r>
                            <w:r w:rsidRPr="009F1F9D">
                              <w:rPr>
                                <w:sz w:val="16"/>
                                <w:szCs w:val="16"/>
                              </w:rPr>
                              <w:t>Sponsorship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5157E" id="_x0000_s1044" type="#_x0000_t202" style="position:absolute;margin-left:142.4pt;margin-top:2.7pt;width:74.2pt;height:38.25pt;z-index:25189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" stroked="f">
                <v:textbox>
                  <w:txbxContent>
                    <w:p w14:paraId="6376FAEF" w14:textId="07DD1532" w:rsidR="009C0325" w:rsidRPr="009F1F9D" w:rsidRDefault="009C0325" w:rsidP="009F1F9D">
                      <w:pPr>
                        <w:jc w:val="center"/>
                        <w:rPr>
                          <w:sz w:val="16"/>
                          <w:szCs w:val="16"/>
                        </w:rPr>
                      </w:pPr>
                      <w:r w:rsidRPr="009F1F9D">
                        <w:rPr>
                          <w:sz w:val="16"/>
                          <w:szCs w:val="16"/>
                        </w:rPr>
                        <w:t xml:space="preserve">Project </w:t>
                      </w:r>
                      <w:r>
                        <w:rPr>
                          <w:sz w:val="16"/>
                          <w:szCs w:val="16"/>
                        </w:rPr>
                        <w:t xml:space="preserve"> O</w:t>
                      </w:r>
                      <w:r w:rsidRPr="009F1F9D">
                        <w:rPr>
                          <w:sz w:val="16"/>
                          <w:szCs w:val="16"/>
                        </w:rPr>
                        <w:t xml:space="preserve">wnership </w:t>
                      </w:r>
                      <w:r>
                        <w:rPr>
                          <w:sz w:val="16"/>
                          <w:szCs w:val="16"/>
                        </w:rPr>
                        <w:t xml:space="preserve">and </w:t>
                      </w:r>
                      <w:r w:rsidRPr="009F1F9D">
                        <w:rPr>
                          <w:sz w:val="16"/>
                          <w:szCs w:val="16"/>
                        </w:rPr>
                        <w:t>Sponsorship</w:t>
                      </w:r>
                    </w:p>
                  </w:txbxContent>
                </v:textbox>
                <w10:wrap type="square"/>
              </v:shape>
            </w:pict>
          </mc:Fallback>
        </mc:AlternateContent>
      </w:r>
      <w:r w:rsidR="009F1F9D" w:rsidRPr="00A77AF6">
        <w:rPr>
          <w:noProof/>
        </w:rPr>
        <mc:AlternateContent>
          <mc:Choice Requires="wps">
            <w:drawing>
              <wp:anchor distT="0" distB="0" distL="114300" distR="114300" simplePos="0" relativeHeight="251907584" behindDoc="0" locked="0" layoutInCell="1" allowOverlap="1" wp14:anchorId="688C8001" wp14:editId="07CFBBE8">
                <wp:simplePos x="0" y="0"/>
                <wp:positionH relativeFrom="column">
                  <wp:posOffset>4198485</wp:posOffset>
                </wp:positionH>
                <wp:positionV relativeFrom="paragraph">
                  <wp:posOffset>21590</wp:posOffset>
                </wp:positionV>
                <wp:extent cx="1001503" cy="495911"/>
                <wp:effectExtent l="0" t="0" r="0" b="0"/>
                <wp:wrapNone/>
                <wp:docPr id="12395" name="Rectangle 12395"/>
                <wp:cNvGraphicFramePr/>
                <a:graphic xmlns:a="http://schemas.openxmlformats.org/drawingml/2006/main">
                  <a:graphicData uri="http://schemas.microsoft.com/office/word/2010/wordprocessingShape">
                    <wps:wsp>
                      <wps:cNvSpPr/>
                      <wps:spPr>
                        <a:xfrm>
                          <a:off x="0" y="0"/>
                          <a:ext cx="1001503" cy="49591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DB371D" id="Rectangle 12395" o:spid="_x0000_s1026" style="position:absolute;margin-left:330.6pt;margin-top:1.7pt;width:78.85pt;height:39.05pt;z-index:25190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" filled="f" strokecolor="#1f4d78 [1604]" strokeweight="1pt"/>
            </w:pict>
          </mc:Fallback>
        </mc:AlternateContent>
      </w:r>
      <w:r w:rsidR="009F1F9D" w:rsidRPr="00A77AF6">
        <w:rPr>
          <w:noProof/>
        </w:rPr>
        <mc:AlternateContent>
          <mc:Choice Requires="wps">
            <w:drawing>
              <wp:anchor distT="0" distB="0" distL="114300" distR="114300" simplePos="0" relativeHeight="251897344" behindDoc="0" locked="0" layoutInCell="1" allowOverlap="1" wp14:anchorId="2DB299B1" wp14:editId="476864E2">
                <wp:simplePos x="0" y="0"/>
                <wp:positionH relativeFrom="column">
                  <wp:posOffset>2956695</wp:posOffset>
                </wp:positionH>
                <wp:positionV relativeFrom="paragraph">
                  <wp:posOffset>23809</wp:posOffset>
                </wp:positionV>
                <wp:extent cx="1001503" cy="495911"/>
                <wp:effectExtent l="0" t="0" r="0" b="0"/>
                <wp:wrapNone/>
                <wp:docPr id="12393" name="Rectangle 12393"/>
                <wp:cNvGraphicFramePr/>
                <a:graphic xmlns:a="http://schemas.openxmlformats.org/drawingml/2006/main">
                  <a:graphicData uri="http://schemas.microsoft.com/office/word/2010/wordprocessingShape">
                    <wps:wsp>
                      <wps:cNvSpPr/>
                      <wps:spPr>
                        <a:xfrm>
                          <a:off x="0" y="0"/>
                          <a:ext cx="1001503" cy="49591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701766" id="Rectangle 12393" o:spid="_x0000_s1026" style="position:absolute;margin-left:232.8pt;margin-top:1.85pt;width:78.85pt;height:39.05pt;z-index:25189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" filled="f" strokecolor="#1f4d78 [1604]" strokeweight="1pt"/>
            </w:pict>
          </mc:Fallback>
        </mc:AlternateContent>
      </w:r>
      <w:r w:rsidR="009F1F9D" w:rsidRPr="00A77AF6">
        <w:rPr>
          <w:noProof/>
        </w:rPr>
        <mc:AlternateContent>
          <mc:Choice Requires="wps">
            <w:drawing>
              <wp:anchor distT="0" distB="0" distL="114300" distR="114300" simplePos="0" relativeHeight="251902464" behindDoc="0" locked="0" layoutInCell="1" allowOverlap="1" wp14:anchorId="7F5710BD" wp14:editId="0AF31563">
                <wp:simplePos x="0" y="0"/>
                <wp:positionH relativeFrom="column">
                  <wp:posOffset>1747223</wp:posOffset>
                </wp:positionH>
                <wp:positionV relativeFrom="paragraph">
                  <wp:posOffset>21177</wp:posOffset>
                </wp:positionV>
                <wp:extent cx="1001503" cy="495911"/>
                <wp:effectExtent l="0" t="0" r="0" b="0"/>
                <wp:wrapNone/>
                <wp:docPr id="12394" name="Rectangle 12394"/>
                <wp:cNvGraphicFramePr/>
                <a:graphic xmlns:a="http://schemas.openxmlformats.org/drawingml/2006/main">
                  <a:graphicData uri="http://schemas.microsoft.com/office/word/2010/wordprocessingShape">
                    <wps:wsp>
                      <wps:cNvSpPr/>
                      <wps:spPr>
                        <a:xfrm>
                          <a:off x="0" y="0"/>
                          <a:ext cx="1001503" cy="49591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30EC19" id="Rectangle 12394" o:spid="_x0000_s1026" style="position:absolute;margin-left:137.6pt;margin-top:1.65pt;width:78.85pt;height:39.05pt;z-index:25190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" filled="f" strokecolor="#1f4d78 [1604]" strokeweight="1pt"/>
            </w:pict>
          </mc:Fallback>
        </mc:AlternateContent>
      </w:r>
      <w:r w:rsidR="009F1F9D" w:rsidRPr="00A77AF6">
        <w:rPr>
          <w:noProof/>
        </w:rPr>
        <mc:AlternateContent>
          <mc:Choice Requires="wps">
            <w:drawing>
              <wp:anchor distT="45720" distB="45720" distL="114300" distR="114300" simplePos="0" relativeHeight="251887104" behindDoc="0" locked="0" layoutInCell="1" allowOverlap="1" wp14:anchorId="3AE3287A" wp14:editId="2A881DEE">
                <wp:simplePos x="0" y="0"/>
                <wp:positionH relativeFrom="column">
                  <wp:posOffset>679585</wp:posOffset>
                </wp:positionH>
                <wp:positionV relativeFrom="paragraph">
                  <wp:posOffset>82429</wp:posOffset>
                </wp:positionV>
                <wp:extent cx="690245" cy="339725"/>
                <wp:effectExtent l="0" t="0" r="0" b="3175"/>
                <wp:wrapSquare wrapText="bothSides"/>
                <wp:docPr id="12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339725"/>
                        </a:xfrm>
                        <a:prstGeom prst="rect">
                          <a:avLst/>
                        </a:prstGeom>
                        <a:solidFill>
                          <a:srgbClr val="FFFFFF"/>
                        </a:solidFill>
                        <a:ln w="9525">
                          <a:noFill/>
                          <a:miter lim="800000"/>
                          <a:headEnd/>
                          <a:tailEnd/>
                        </a:ln>
                      </wps:spPr>
                      <wps:txbx>
                        <w:txbxContent>
                          <w:p w14:paraId="79B9B146" w14:textId="0AF5E918" w:rsidR="009C0325" w:rsidRPr="009F1F9D" w:rsidRDefault="009C0325" w:rsidP="009F1F9D">
                            <w:pPr>
                              <w:jc w:val="center"/>
                              <w:rPr>
                                <w:sz w:val="16"/>
                                <w:szCs w:val="16"/>
                              </w:rPr>
                            </w:pPr>
                            <w:r w:rsidRPr="009F1F9D">
                              <w:rPr>
                                <w:sz w:val="16"/>
                                <w:szCs w:val="16"/>
                              </w:rPr>
                              <w:t>Programme Direction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3287A" id="_x0000_s1045" type="#_x0000_t202" style="position:absolute;margin-left:53.5pt;margin-top:6.5pt;width:54.35pt;height:26.75pt;z-index:25188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" stroked="f">
                <v:textbox>
                  <w:txbxContent>
                    <w:p w14:paraId="79B9B146" w14:textId="0AF5E918" w:rsidR="009C0325" w:rsidRPr="009F1F9D" w:rsidRDefault="009C0325" w:rsidP="009F1F9D">
                      <w:pPr>
                        <w:jc w:val="center"/>
                        <w:rPr>
                          <w:sz w:val="16"/>
                          <w:szCs w:val="16"/>
                        </w:rPr>
                      </w:pPr>
                      <w:r w:rsidRPr="009F1F9D">
                        <w:rPr>
                          <w:sz w:val="16"/>
                          <w:szCs w:val="16"/>
                        </w:rPr>
                        <w:t>Programme Direction</w:t>
                      </w:r>
                    </w:p>
                  </w:txbxContent>
                </v:textbox>
                <w10:wrap type="square"/>
              </v:shape>
            </w:pict>
          </mc:Fallback>
        </mc:AlternateContent>
      </w:r>
    </w:p>
    <w:p w14:paraId="1EE2CC5D" w14:textId="30E7C95F" w:rsidR="007B780A" w:rsidRPr="00A77AF6" w:rsidRDefault="007B780A" w:rsidP="007B780A"/>
    <w:p w14:paraId="4F86FDC6" w14:textId="5B2F06D4" w:rsidR="007B780A" w:rsidRPr="00A77AF6" w:rsidRDefault="007B780A" w:rsidP="007B780A"/>
    <w:p w14:paraId="2853B3E4" w14:textId="4F7B6FC9" w:rsidR="007B780A" w:rsidRPr="00A77AF6" w:rsidRDefault="007A1A52" w:rsidP="007B780A">
      <w:r w:rsidRPr="00A77AF6">
        <w:rPr>
          <w:noProof/>
        </w:rPr>
        <mc:AlternateContent>
          <mc:Choice Requires="wps">
            <w:drawing>
              <wp:anchor distT="45720" distB="45720" distL="114300" distR="114300" simplePos="0" relativeHeight="251922944" behindDoc="0" locked="0" layoutInCell="1" allowOverlap="1" wp14:anchorId="30FB4479" wp14:editId="42F0F852">
                <wp:simplePos x="0" y="0"/>
                <wp:positionH relativeFrom="column">
                  <wp:posOffset>2158621</wp:posOffset>
                </wp:positionH>
                <wp:positionV relativeFrom="paragraph">
                  <wp:posOffset>169396</wp:posOffset>
                </wp:positionV>
                <wp:extent cx="1487805" cy="223520"/>
                <wp:effectExtent l="0" t="0" r="0" b="5080"/>
                <wp:wrapSquare wrapText="bothSides"/>
                <wp:docPr id="12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223520"/>
                        </a:xfrm>
                        <a:prstGeom prst="rect">
                          <a:avLst/>
                        </a:prstGeom>
                        <a:solidFill>
                          <a:srgbClr val="FFFFFF"/>
                        </a:solidFill>
                        <a:ln w="9525">
                          <a:noFill/>
                          <a:miter lim="800000"/>
                          <a:headEnd/>
                          <a:tailEnd/>
                        </a:ln>
                      </wps:spPr>
                      <wps:txbx>
                        <w:txbxContent>
                          <w:p w14:paraId="60674982" w14:textId="2A0038A3" w:rsidR="009C0325" w:rsidRPr="007A1A52" w:rsidRDefault="009C0325">
                            <w:pPr>
                              <w:rPr>
                                <w:sz w:val="16"/>
                                <w:szCs w:val="16"/>
                              </w:rPr>
                            </w:pPr>
                            <w:r w:rsidRPr="007A1A52">
                              <w:rPr>
                                <w:sz w:val="16"/>
                                <w:szCs w:val="16"/>
                              </w:rPr>
                              <w:t>Project Management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B4479" id="_x0000_s1046" type="#_x0000_t202" style="position:absolute;margin-left:169.95pt;margin-top:13.35pt;width:117.15pt;height:17.6pt;z-index:25192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" stroked="f">
                <v:textbox>
                  <w:txbxContent>
                    <w:p w14:paraId="60674982" w14:textId="2A0038A3" w:rsidR="009C0325" w:rsidRPr="007A1A52" w:rsidRDefault="009C0325">
                      <w:pPr>
                        <w:rPr>
                          <w:sz w:val="16"/>
                          <w:szCs w:val="16"/>
                        </w:rPr>
                      </w:pPr>
                      <w:r w:rsidRPr="007A1A52">
                        <w:rPr>
                          <w:sz w:val="16"/>
                          <w:szCs w:val="16"/>
                        </w:rPr>
                        <w:t>Project Management Activities</w:t>
                      </w:r>
                    </w:p>
                  </w:txbxContent>
                </v:textbox>
                <w10:wrap type="square"/>
              </v:shape>
            </w:pict>
          </mc:Fallback>
        </mc:AlternateContent>
      </w:r>
    </w:p>
    <w:p w14:paraId="6EDF6C13" w14:textId="06824AC7" w:rsidR="007B780A" w:rsidRPr="00A77AF6" w:rsidRDefault="007B780A" w:rsidP="007B780A"/>
    <w:p w14:paraId="1B6460F4" w14:textId="126FA126" w:rsidR="007B780A" w:rsidRPr="00A77AF6" w:rsidRDefault="00F20FAB" w:rsidP="007B780A">
      <w:r w:rsidRPr="00A77AF6">
        <w:rPr>
          <w:noProof/>
        </w:rPr>
        <mc:AlternateContent>
          <mc:Choice Requires="wps">
            <w:drawing>
              <wp:anchor distT="0" distB="0" distL="114300" distR="114300" simplePos="0" relativeHeight="251928064" behindDoc="0" locked="0" layoutInCell="1" allowOverlap="1" wp14:anchorId="7C531312" wp14:editId="317338DB">
                <wp:simplePos x="0" y="0"/>
                <wp:positionH relativeFrom="column">
                  <wp:posOffset>359437</wp:posOffset>
                </wp:positionH>
                <wp:positionV relativeFrom="paragraph">
                  <wp:posOffset>133228</wp:posOffset>
                </wp:positionV>
                <wp:extent cx="2149813" cy="635"/>
                <wp:effectExtent l="0" t="0" r="3175" b="0"/>
                <wp:wrapNone/>
                <wp:docPr id="12399" name="Text Box 12399"/>
                <wp:cNvGraphicFramePr/>
                <a:graphic xmlns:a="http://schemas.openxmlformats.org/drawingml/2006/main">
                  <a:graphicData uri="http://schemas.microsoft.com/office/word/2010/wordprocessingShape">
                    <wps:wsp>
                      <wps:cNvSpPr txBox="1"/>
                      <wps:spPr>
                        <a:xfrm>
                          <a:off x="0" y="0"/>
                          <a:ext cx="2149813" cy="635"/>
                        </a:xfrm>
                        <a:prstGeom prst="rect">
                          <a:avLst/>
                        </a:prstGeom>
                        <a:solidFill>
                          <a:prstClr val="white"/>
                        </a:solidFill>
                        <a:ln>
                          <a:noFill/>
                        </a:ln>
                      </wps:spPr>
                      <wps:txbx>
                        <w:txbxContent>
                          <w:p w14:paraId="3D88D669" w14:textId="3D1A22F3" w:rsidR="009C0325" w:rsidRPr="005C0875" w:rsidRDefault="009C0325" w:rsidP="00F20FAB">
                            <w:pPr>
                              <w:pStyle w:val="Caption"/>
                              <w:spacing w:after="0"/>
                              <w:rPr>
                                <w:noProof/>
                              </w:rPr>
                            </w:pPr>
                            <w:bookmarkStart w:id="81" w:name="_Toc36186967"/>
                            <w:r>
                              <w:t xml:space="preserve">Figure </w:t>
                            </w:r>
                            <w:fldSimple w:instr=" STYLEREF 1 \s ">
                              <w:r>
                                <w:rPr>
                                  <w:noProof/>
                                </w:rPr>
                                <w:t>4</w:t>
                              </w:r>
                            </w:fldSimple>
                            <w:r>
                              <w:noBreakHyphen/>
                            </w:r>
                            <w:fldSimple w:instr=" SEQ Figure \* ARABIC \s 1 ">
                              <w:r>
                                <w:rPr>
                                  <w:noProof/>
                                </w:rPr>
                                <w:t>3</w:t>
                              </w:r>
                            </w:fldSimple>
                            <w:r>
                              <w:t xml:space="preserve">: </w:t>
                            </w:r>
                            <w:r w:rsidRPr="00FF476E">
                              <w:t>Project Governance Components</w:t>
                            </w:r>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531312" id="Text Box 12399" o:spid="_x0000_s1047" type="#_x0000_t202" style="position:absolute;margin-left:28.3pt;margin-top:10.5pt;width:169.3pt;height:.05pt;z-index:25192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" stroked="f">
                <v:textbox style="mso-fit-shape-to-text:t" inset="0,0,0,0">
                  <w:txbxContent>
                    <w:p w14:paraId="3D88D669" w14:textId="3D1A22F3" w:rsidR="009C0325" w:rsidRPr="005C0875" w:rsidRDefault="009C0325" w:rsidP="00F20FAB">
                      <w:pPr>
                        <w:pStyle w:val="Caption"/>
                        <w:spacing w:after="0"/>
                        <w:rPr>
                          <w:noProof/>
                        </w:rPr>
                      </w:pPr>
                      <w:bookmarkStart w:id="82" w:name="_Toc36186967"/>
                      <w:r>
                        <w:t xml:space="preserve">Figure </w:t>
                      </w:r>
                      <w:fldSimple w:instr=" STYLEREF 1 \s ">
                        <w:r>
                          <w:rPr>
                            <w:noProof/>
                          </w:rPr>
                          <w:t>4</w:t>
                        </w:r>
                      </w:fldSimple>
                      <w:r>
                        <w:noBreakHyphen/>
                      </w:r>
                      <w:fldSimple w:instr=" SEQ Figure \* ARABIC \s 1 ">
                        <w:r>
                          <w:rPr>
                            <w:noProof/>
                          </w:rPr>
                          <w:t>3</w:t>
                        </w:r>
                      </w:fldSimple>
                      <w:r>
                        <w:t xml:space="preserve">: </w:t>
                      </w:r>
                      <w:r w:rsidRPr="00FF476E">
                        <w:t>Project Governance Components</w:t>
                      </w:r>
                      <w:bookmarkEnd w:id="82"/>
                    </w:p>
                  </w:txbxContent>
                </v:textbox>
              </v:shape>
            </w:pict>
          </mc:Fallback>
        </mc:AlternateContent>
      </w:r>
    </w:p>
    <w:p w14:paraId="3CCE5E2E" w14:textId="78D59CA7" w:rsidR="007A1A52" w:rsidRPr="00A77AF6" w:rsidRDefault="007A1A52" w:rsidP="00F20FAB">
      <w:pPr>
        <w:spacing w:before="240" w:line="480" w:lineRule="auto"/>
        <w:ind w:firstLine="567"/>
        <w:rPr>
          <w:rFonts w:cstheme="minorHAnsi"/>
          <w:sz w:val="20"/>
          <w:szCs w:val="20"/>
        </w:rPr>
      </w:pPr>
      <w:r w:rsidRPr="00A77AF6">
        <w:rPr>
          <w:rFonts w:cstheme="minorHAnsi"/>
          <w:sz w:val="20"/>
          <w:szCs w:val="20"/>
        </w:rPr>
        <w:t xml:space="preserve">Source: HM Treasury (2007, p. 5) </w:t>
      </w:r>
    </w:p>
    <w:bookmarkEnd w:id="80"/>
    <w:p w14:paraId="5888EE00" w14:textId="549093AB" w:rsidR="004908A9" w:rsidRPr="00A77AF6" w:rsidRDefault="004351D3" w:rsidP="004908A9">
      <w:pPr>
        <w:spacing w:before="240" w:after="0" w:line="360" w:lineRule="auto"/>
        <w:rPr>
          <w:rFonts w:cstheme="minorHAnsi"/>
        </w:rPr>
      </w:pPr>
      <w:r w:rsidRPr="00A77AF6">
        <w:t xml:space="preserve">The objective of governance is to create </w:t>
      </w:r>
      <w:r w:rsidRPr="00A77AF6">
        <w:rPr>
          <w:rFonts w:cstheme="minorHAnsi"/>
        </w:rPr>
        <w:t xml:space="preserve">an environment that promotes project success; to </w:t>
      </w:r>
      <w:r w:rsidR="004908A9" w:rsidRPr="00A77AF6">
        <w:rPr>
          <w:rFonts w:cstheme="minorHAnsi"/>
        </w:rPr>
        <w:t xml:space="preserve">create a common sense of ownership </w:t>
      </w:r>
      <w:sdt>
        <w:sdtPr>
          <w:rPr>
            <w:rFonts w:cstheme="minorHAnsi"/>
          </w:rPr>
          <w:id w:val="-662700879"/>
          <w:citation/>
        </w:sdtPr>
        <w:sdtEndPr/>
        <w:sdtContent>
          <w:r w:rsidR="004908A9" w:rsidRPr="00A77AF6">
            <w:rPr>
              <w:rFonts w:cstheme="minorHAnsi"/>
            </w:rPr>
            <w:fldChar w:fldCharType="begin"/>
          </w:r>
          <w:r w:rsidR="003E74A3" w:rsidRPr="00A77AF6">
            <w:rPr>
              <w:rFonts w:cstheme="minorHAnsi"/>
            </w:rPr>
            <w:instrText xml:space="preserve">CITATION HMT07 \l 2057 </w:instrText>
          </w:r>
          <w:r w:rsidR="004908A9" w:rsidRPr="00A77AF6">
            <w:rPr>
              <w:rFonts w:cstheme="minorHAnsi"/>
            </w:rPr>
            <w:fldChar w:fldCharType="separate"/>
          </w:r>
          <w:r w:rsidR="008E653F" w:rsidRPr="00A77AF6">
            <w:rPr>
              <w:rFonts w:cstheme="minorHAnsi"/>
            </w:rPr>
            <w:t>(HMT, 2007)</w:t>
          </w:r>
          <w:r w:rsidR="004908A9" w:rsidRPr="00A77AF6">
            <w:rPr>
              <w:rFonts w:cstheme="minorHAnsi"/>
            </w:rPr>
            <w:fldChar w:fldCharType="end"/>
          </w:r>
        </w:sdtContent>
      </w:sdt>
      <w:r w:rsidR="004908A9" w:rsidRPr="00A77AF6">
        <w:rPr>
          <w:rFonts w:cstheme="minorHAnsi"/>
        </w:rPr>
        <w:t xml:space="preserve">; to support organisational strategy </w:t>
      </w:r>
      <w:sdt>
        <w:sdtPr>
          <w:rPr>
            <w:rFonts w:cstheme="minorHAnsi"/>
          </w:rPr>
          <w:id w:val="-1829042092"/>
          <w:citation/>
        </w:sdtPr>
        <w:sdtEndPr/>
        <w:sdtContent>
          <w:r w:rsidR="004908A9" w:rsidRPr="00A77AF6">
            <w:rPr>
              <w:rFonts w:cstheme="minorHAnsi"/>
            </w:rPr>
            <w:fldChar w:fldCharType="begin"/>
          </w:r>
          <w:r w:rsidR="004908A9" w:rsidRPr="00A77AF6">
            <w:rPr>
              <w:rFonts w:cstheme="minorHAnsi"/>
            </w:rPr>
            <w:instrText xml:space="preserve"> CITATION Haz04 \l 2057 </w:instrText>
          </w:r>
          <w:r w:rsidR="004908A9" w:rsidRPr="00A77AF6">
            <w:rPr>
              <w:rFonts w:cstheme="minorHAnsi"/>
            </w:rPr>
            <w:fldChar w:fldCharType="separate"/>
          </w:r>
          <w:r w:rsidR="008E653F" w:rsidRPr="00A77AF6">
            <w:rPr>
              <w:rFonts w:cstheme="minorHAnsi"/>
            </w:rPr>
            <w:t>(Hazard &amp; Crawford, 2004)</w:t>
          </w:r>
          <w:r w:rsidR="004908A9" w:rsidRPr="00A77AF6">
            <w:rPr>
              <w:rFonts w:cstheme="minorHAnsi"/>
            </w:rPr>
            <w:fldChar w:fldCharType="end"/>
          </w:r>
        </w:sdtContent>
      </w:sdt>
      <w:r w:rsidR="004908A9" w:rsidRPr="00A77AF6">
        <w:rPr>
          <w:rFonts w:cstheme="minorHAnsi"/>
        </w:rPr>
        <w:t xml:space="preserve">; to define roles, processes and accountability Müller (2009); to ensure timely and appropriate information is available to project stakeholders </w:t>
      </w:r>
      <w:sdt>
        <w:sdtPr>
          <w:rPr>
            <w:rFonts w:cstheme="minorHAnsi"/>
          </w:rPr>
          <w:id w:val="-18860938"/>
          <w:citation/>
        </w:sdtPr>
        <w:sdtEndPr/>
        <w:sdtContent>
          <w:r w:rsidR="004908A9" w:rsidRPr="00A77AF6">
            <w:rPr>
              <w:rFonts w:cstheme="minorHAnsi"/>
            </w:rPr>
            <w:fldChar w:fldCharType="begin"/>
          </w:r>
          <w:r w:rsidR="004436D3" w:rsidRPr="00A77AF6">
            <w:rPr>
              <w:rFonts w:cstheme="minorHAnsi"/>
            </w:rPr>
            <w:instrText xml:space="preserve">CITATION Axe09 \l 2057 </w:instrText>
          </w:r>
          <w:r w:rsidR="004908A9" w:rsidRPr="00A77AF6">
            <w:rPr>
              <w:rFonts w:cstheme="minorHAnsi"/>
            </w:rPr>
            <w:fldChar w:fldCharType="separate"/>
          </w:r>
          <w:r w:rsidR="008E653F" w:rsidRPr="00A77AF6">
            <w:rPr>
              <w:rFonts w:cstheme="minorHAnsi"/>
            </w:rPr>
            <w:t>(Axelos, 2009)</w:t>
          </w:r>
          <w:r w:rsidR="004908A9" w:rsidRPr="00A77AF6">
            <w:rPr>
              <w:rFonts w:cstheme="minorHAnsi"/>
            </w:rPr>
            <w:fldChar w:fldCharType="end"/>
          </w:r>
        </w:sdtContent>
      </w:sdt>
      <w:r w:rsidR="0085510A" w:rsidRPr="00A77AF6">
        <w:rPr>
          <w:rFonts w:cstheme="minorHAnsi"/>
        </w:rPr>
        <w:t xml:space="preserve">, and to ensure that viable projects are supported, whilst others are cancelled or postponed </w:t>
      </w:r>
      <w:sdt>
        <w:sdtPr>
          <w:rPr>
            <w:rFonts w:cstheme="minorHAnsi"/>
          </w:rPr>
          <w:id w:val="-254131253"/>
          <w:citation/>
        </w:sdtPr>
        <w:sdtEndPr/>
        <w:sdtContent>
          <w:r w:rsidR="0085510A" w:rsidRPr="00A77AF6">
            <w:rPr>
              <w:rFonts w:cstheme="minorHAnsi"/>
            </w:rPr>
            <w:fldChar w:fldCharType="begin"/>
          </w:r>
          <w:r w:rsidR="0085510A" w:rsidRPr="00A77AF6">
            <w:rPr>
              <w:rFonts w:cstheme="minorHAnsi"/>
            </w:rPr>
            <w:instrText xml:space="preserve"> CITATION Bre03 \l 2057 </w:instrText>
          </w:r>
          <w:r w:rsidR="0085510A" w:rsidRPr="00A77AF6">
            <w:rPr>
              <w:rFonts w:cstheme="minorHAnsi"/>
            </w:rPr>
            <w:fldChar w:fldCharType="separate"/>
          </w:r>
          <w:r w:rsidR="008E653F" w:rsidRPr="00A77AF6">
            <w:rPr>
              <w:rFonts w:cstheme="minorHAnsi"/>
            </w:rPr>
            <w:t>(Flyvbjerg, 2003)</w:t>
          </w:r>
          <w:r w:rsidR="0085510A" w:rsidRPr="00A77AF6">
            <w:rPr>
              <w:rFonts w:cstheme="minorHAnsi"/>
            </w:rPr>
            <w:fldChar w:fldCharType="end"/>
          </w:r>
        </w:sdtContent>
      </w:sdt>
      <w:r w:rsidR="0055136A" w:rsidRPr="00A77AF6">
        <w:rPr>
          <w:rFonts w:cstheme="minorHAnsi"/>
        </w:rPr>
        <w:t>.  Without project governance the procuring organization cannot effectively manage inconsistencies and conflicts</w:t>
      </w:r>
      <w:r w:rsidR="0085510A" w:rsidRPr="00A77AF6">
        <w:rPr>
          <w:rFonts w:cstheme="minorHAnsi"/>
        </w:rPr>
        <w:t xml:space="preserve"> which inevitably </w:t>
      </w:r>
      <w:r w:rsidR="00375E4A" w:rsidRPr="00A77AF6">
        <w:rPr>
          <w:rFonts w:cstheme="minorHAnsi"/>
        </w:rPr>
        <w:t>arise,</w:t>
      </w:r>
      <w:r w:rsidR="0085510A" w:rsidRPr="00A77AF6">
        <w:rPr>
          <w:rFonts w:cstheme="minorHAnsi"/>
        </w:rPr>
        <w:t xml:space="preserve"> and </w:t>
      </w:r>
      <w:r w:rsidR="0055136A" w:rsidRPr="00A77AF6">
        <w:rPr>
          <w:rFonts w:cstheme="minorHAnsi"/>
        </w:rPr>
        <w:t xml:space="preserve">which </w:t>
      </w:r>
      <w:r w:rsidR="0085510A" w:rsidRPr="00A77AF6">
        <w:rPr>
          <w:rFonts w:cstheme="minorHAnsi"/>
        </w:rPr>
        <w:t>can</w:t>
      </w:r>
      <w:r w:rsidR="0055136A" w:rsidRPr="00A77AF6">
        <w:rPr>
          <w:rFonts w:cstheme="minorHAnsi"/>
        </w:rPr>
        <w:t xml:space="preserve"> adversely affect the efficient running of the organization </w:t>
      </w:r>
      <w:r w:rsidR="0055136A" w:rsidRPr="00A77AF6">
        <w:t>M</w:t>
      </w:r>
      <w:r w:rsidR="0055136A" w:rsidRPr="00A77AF6">
        <w:rPr>
          <w:rFonts w:cstheme="minorHAnsi"/>
        </w:rPr>
        <w:t>ü</w:t>
      </w:r>
      <w:r w:rsidR="0055136A" w:rsidRPr="00A77AF6">
        <w:t>ller</w:t>
      </w:r>
      <w:r w:rsidR="0085510A" w:rsidRPr="00A77AF6">
        <w:t xml:space="preserve"> </w:t>
      </w:r>
      <w:r w:rsidR="0055136A" w:rsidRPr="00A77AF6">
        <w:t xml:space="preserve">(2009). </w:t>
      </w:r>
      <w:r w:rsidR="0055136A" w:rsidRPr="00A77AF6">
        <w:rPr>
          <w:rFonts w:cstheme="minorHAnsi"/>
        </w:rPr>
        <w:t xml:space="preserve"> </w:t>
      </w:r>
    </w:p>
    <w:p w14:paraId="6FD7FB41" w14:textId="4BF95CEB" w:rsidR="00EE73F2" w:rsidRPr="00A77AF6" w:rsidRDefault="0085510A" w:rsidP="004A6FC2">
      <w:pPr>
        <w:spacing w:before="240" w:after="120" w:line="360" w:lineRule="auto"/>
        <w:rPr>
          <w:rFonts w:cstheme="minorHAnsi"/>
        </w:rPr>
      </w:pPr>
      <w:r w:rsidRPr="00A77AF6">
        <w:rPr>
          <w:rFonts w:cstheme="minorHAnsi"/>
        </w:rPr>
        <w:t>In summary, p</w:t>
      </w:r>
      <w:r w:rsidR="004908A9" w:rsidRPr="00A77AF6">
        <w:rPr>
          <w:rFonts w:cstheme="minorHAnsi"/>
        </w:rPr>
        <w:t>roject governance</w:t>
      </w:r>
      <w:r w:rsidR="00375E4A" w:rsidRPr="00A77AF6">
        <w:rPr>
          <w:rFonts w:cstheme="minorHAnsi"/>
        </w:rPr>
        <w:t xml:space="preserve"> </w:t>
      </w:r>
      <w:r w:rsidR="004A6FC2" w:rsidRPr="00A77AF6">
        <w:rPr>
          <w:rFonts w:cstheme="minorHAnsi"/>
        </w:rPr>
        <w:t>is</w:t>
      </w:r>
      <w:r w:rsidR="004908A9" w:rsidRPr="00A77AF6">
        <w:rPr>
          <w:rFonts w:cstheme="minorHAnsi"/>
        </w:rPr>
        <w:t xml:space="preserve"> defined </w:t>
      </w:r>
      <w:r w:rsidR="004A6FC2" w:rsidRPr="00A77AF6">
        <w:rPr>
          <w:rFonts w:cstheme="minorHAnsi"/>
        </w:rPr>
        <w:t xml:space="preserve">as </w:t>
      </w:r>
      <w:r w:rsidR="00A64AB7" w:rsidRPr="00A77AF6">
        <w:rPr>
          <w:rFonts w:cstheme="minorHAnsi"/>
        </w:rPr>
        <w:t xml:space="preserve">structures, </w:t>
      </w:r>
      <w:r w:rsidR="0083589B" w:rsidRPr="00A77AF6">
        <w:rPr>
          <w:rFonts w:cstheme="minorHAnsi"/>
        </w:rPr>
        <w:t>roles and processes</w:t>
      </w:r>
      <w:r w:rsidR="004908A9" w:rsidRPr="00A77AF6">
        <w:rPr>
          <w:rFonts w:cstheme="minorHAnsi"/>
        </w:rPr>
        <w:t xml:space="preserve"> </w:t>
      </w:r>
      <w:r w:rsidR="00375E4A" w:rsidRPr="00A77AF6">
        <w:rPr>
          <w:rFonts w:cstheme="minorHAnsi"/>
        </w:rPr>
        <w:t>that</w:t>
      </w:r>
      <w:r w:rsidR="004908A9" w:rsidRPr="00A77AF6">
        <w:rPr>
          <w:rFonts w:cstheme="minorHAnsi"/>
        </w:rPr>
        <w:t xml:space="preserve"> link projects to corporate objectives </w:t>
      </w:r>
      <w:sdt>
        <w:sdtPr>
          <w:rPr>
            <w:rFonts w:cstheme="minorHAnsi"/>
          </w:rPr>
          <w:id w:val="-1490935912"/>
          <w:citation/>
        </w:sdtPr>
        <w:sdtEndPr/>
        <w:sdtContent>
          <w:r w:rsidR="004908A9" w:rsidRPr="00A77AF6">
            <w:rPr>
              <w:rFonts w:cstheme="minorHAnsi"/>
            </w:rPr>
            <w:fldChar w:fldCharType="begin"/>
          </w:r>
          <w:r w:rsidR="004908A9" w:rsidRPr="00A77AF6">
            <w:rPr>
              <w:rFonts w:cstheme="minorHAnsi"/>
            </w:rPr>
            <w:instrText xml:space="preserve"> CITATION BSI17 \l 2057 </w:instrText>
          </w:r>
          <w:r w:rsidR="004908A9" w:rsidRPr="00A77AF6">
            <w:rPr>
              <w:rFonts w:cstheme="minorHAnsi"/>
            </w:rPr>
            <w:fldChar w:fldCharType="separate"/>
          </w:r>
          <w:r w:rsidR="008E653F" w:rsidRPr="00A77AF6">
            <w:rPr>
              <w:rFonts w:cstheme="minorHAnsi"/>
            </w:rPr>
            <w:t>(BSI, 2017)</w:t>
          </w:r>
          <w:r w:rsidR="004908A9" w:rsidRPr="00A77AF6">
            <w:rPr>
              <w:rFonts w:cstheme="minorHAnsi"/>
            </w:rPr>
            <w:fldChar w:fldCharType="end"/>
          </w:r>
        </w:sdtContent>
      </w:sdt>
      <w:r w:rsidR="004908A9" w:rsidRPr="00A77AF6">
        <w:rPr>
          <w:rFonts w:cstheme="minorHAnsi"/>
        </w:rPr>
        <w:t xml:space="preserve">.  </w:t>
      </w:r>
      <w:r w:rsidR="007338CF" w:rsidRPr="00A77AF6">
        <w:rPr>
          <w:rFonts w:cstheme="minorHAnsi"/>
        </w:rPr>
        <w:t>The goal of project governance is to ensure effective project delivery for the benefit of stakeholders.</w:t>
      </w:r>
      <w:r w:rsidR="00912327" w:rsidRPr="00A77AF6">
        <w:rPr>
          <w:rFonts w:cstheme="minorHAnsi"/>
        </w:rPr>
        <w:t xml:space="preserve"> </w:t>
      </w:r>
      <w:r w:rsidR="00220DD0" w:rsidRPr="00A77AF6">
        <w:rPr>
          <w:rFonts w:cstheme="minorHAnsi"/>
        </w:rPr>
        <w:t>The</w:t>
      </w:r>
      <w:r w:rsidR="00912327" w:rsidRPr="00A77AF6">
        <w:rPr>
          <w:rFonts w:cstheme="minorHAnsi"/>
        </w:rPr>
        <w:t xml:space="preserve"> next section discusses the relationship between corporate and project governance. </w:t>
      </w:r>
    </w:p>
    <w:bookmarkEnd w:id="78"/>
    <w:p w14:paraId="10A5AA86" w14:textId="6AC4675D" w:rsidR="00674D92" w:rsidRPr="00A77AF6" w:rsidRDefault="00674D92" w:rsidP="004A6FC2">
      <w:pPr>
        <w:pStyle w:val="Heading4"/>
        <w:numPr>
          <w:ilvl w:val="0"/>
          <w:numId w:val="0"/>
        </w:numPr>
        <w:spacing w:after="120"/>
      </w:pPr>
      <w:r w:rsidRPr="00A77AF6">
        <w:t>Project governance and project success</w:t>
      </w:r>
    </w:p>
    <w:p w14:paraId="379AC507" w14:textId="3288B78B" w:rsidR="00F74269" w:rsidRPr="00A77AF6" w:rsidRDefault="006C32D4" w:rsidP="004A6FC2">
      <w:pPr>
        <w:spacing w:after="0" w:line="360" w:lineRule="auto"/>
      </w:pPr>
      <w:r>
        <w:t xml:space="preserve">If </w:t>
      </w:r>
      <w:r w:rsidR="007F519E" w:rsidRPr="00A77AF6">
        <w:t>success is defined as</w:t>
      </w:r>
      <w:r w:rsidR="00566A8E" w:rsidRPr="00A77AF6">
        <w:t xml:space="preserve"> specific desirable outcomes, then it has been suggested that good project governance may lead to project success.  Patel and Robinson (2010) gave examples where it has been suggested that good financial governance has led to project success.  Studies include Broadbent and Laughlin’s (2003) work on financial accountability;   </w:t>
      </w:r>
      <w:r w:rsidR="00566A8E" w:rsidRPr="00A77AF6">
        <w:rPr>
          <w:rFonts w:cstheme="minorHAnsi"/>
        </w:rPr>
        <w:t xml:space="preserve">Abednego and Ogunlana’s (2006) study on risk allocation; and the work by Pollock and Vickers (2002) and Pitt and Collins (2006) on project appraisal and evaluation  Reports and guidance also suggest that good </w:t>
      </w:r>
      <w:r w:rsidR="00566A8E" w:rsidRPr="00A77AF6">
        <w:rPr>
          <w:rFonts w:cstheme="minorHAnsi"/>
        </w:rPr>
        <w:lastRenderedPageBreak/>
        <w:t xml:space="preserve">governance leads to project success </w:t>
      </w:r>
      <w:r w:rsidR="0066604C" w:rsidRPr="00A77AF6">
        <w:rPr>
          <w:rFonts w:cstheme="minorHAnsi"/>
        </w:rPr>
        <w:t>(NHS Executive, 1994; Axelos, 2009; OGC, 2005, 2010, 2011; BSI, 2012, APM, 2015)</w:t>
      </w:r>
      <w:r w:rsidR="004A6FC2" w:rsidRPr="00A77AF6">
        <w:rPr>
          <w:rFonts w:cstheme="minorHAnsi"/>
        </w:rPr>
        <w:t xml:space="preserve">. </w:t>
      </w:r>
      <w:r w:rsidR="0066604C" w:rsidRPr="00A77AF6">
        <w:t>T</w:t>
      </w:r>
      <w:r w:rsidR="00332EF2" w:rsidRPr="00A77AF6">
        <w:t xml:space="preserve">he APM (2014) found a moderate correlation (0.49) between project governance and project success.  </w:t>
      </w:r>
      <w:r w:rsidR="0066604C" w:rsidRPr="00A77AF6">
        <w:t xml:space="preserve">The APM’s (2015) study suggested that governance was one of the most important factors for project success.  </w:t>
      </w:r>
      <w:r w:rsidR="00233F59" w:rsidRPr="00A77AF6">
        <w:t>In both APM</w:t>
      </w:r>
      <w:r w:rsidR="004A6FC2" w:rsidRPr="00A77AF6">
        <w:t>-</w:t>
      </w:r>
      <w:r w:rsidR="00233F59" w:rsidRPr="00A77AF6">
        <w:t>sponsored reports effective governance was defined as</w:t>
      </w:r>
      <w:r w:rsidR="00615203" w:rsidRPr="00A77AF6">
        <w:t>,</w:t>
      </w:r>
      <w:r w:rsidR="00233F59" w:rsidRPr="00A77AF6">
        <w:t xml:space="preserve"> </w:t>
      </w:r>
      <w:r w:rsidR="00327807" w:rsidRPr="00A77AF6">
        <w:t xml:space="preserve">clearly defined and strong </w:t>
      </w:r>
      <w:r w:rsidR="00233F59" w:rsidRPr="00A77AF6">
        <w:t>leadership</w:t>
      </w:r>
      <w:r w:rsidR="00327807" w:rsidRPr="00A77AF6">
        <w:t xml:space="preserve">, </w:t>
      </w:r>
      <w:r w:rsidR="00233F59" w:rsidRPr="00A77AF6">
        <w:t xml:space="preserve">clarity about the distribution of authority throughout the project structure; clear reporting lines and clear and regular communication between all parties </w:t>
      </w:r>
      <w:sdt>
        <w:sdtPr>
          <w:id w:val="1906185474"/>
          <w:citation/>
        </w:sdtPr>
        <w:sdtEndPr/>
        <w:sdtContent>
          <w:r w:rsidR="00233F59" w:rsidRPr="00A77AF6">
            <w:fldChar w:fldCharType="begin"/>
          </w:r>
          <w:r w:rsidR="002B070D" w:rsidRPr="00A77AF6">
            <w:instrText xml:space="preserve">CITATION BMG14 \l 2057 </w:instrText>
          </w:r>
          <w:r w:rsidR="00233F59" w:rsidRPr="00A77AF6">
            <w:fldChar w:fldCharType="separate"/>
          </w:r>
          <w:r w:rsidR="008E653F" w:rsidRPr="00A77AF6">
            <w:t>(APM, 2014)</w:t>
          </w:r>
          <w:r w:rsidR="00233F59" w:rsidRPr="00A77AF6">
            <w:fldChar w:fldCharType="end"/>
          </w:r>
        </w:sdtContent>
      </w:sdt>
      <w:r w:rsidR="0066604C" w:rsidRPr="00A77AF6">
        <w:t xml:space="preserve">.  </w:t>
      </w:r>
      <w:r w:rsidR="004A6FC2" w:rsidRPr="00A77AF6">
        <w:t>P</w:t>
      </w:r>
      <w:r w:rsidR="00F74269" w:rsidRPr="00A77AF6">
        <w:t xml:space="preserve">redictable project and programme delivery aligned to corporate and stakeholder objectives is achieved through </w:t>
      </w:r>
    </w:p>
    <w:p w14:paraId="0D8BED43" w14:textId="37D5DD4E" w:rsidR="00F74269" w:rsidRPr="00A77AF6" w:rsidRDefault="00F74269" w:rsidP="00382A89">
      <w:pPr>
        <w:spacing w:after="120" w:line="240" w:lineRule="auto"/>
        <w:ind w:left="720"/>
        <w:rPr>
          <w:rFonts w:cstheme="minorHAnsi"/>
        </w:rPr>
      </w:pPr>
      <w:r w:rsidRPr="00A77AF6">
        <w:rPr>
          <w:rFonts w:cstheme="minorHAnsi"/>
          <w:i/>
        </w:rPr>
        <w:t>a consistent and coherent execution of governance roles and responsibilities throughout the organisation.’</w:t>
      </w:r>
      <w:r w:rsidRPr="00A77AF6">
        <w:rPr>
          <w:rFonts w:cstheme="minorHAnsi"/>
        </w:rPr>
        <w:t xml:space="preserve"> </w:t>
      </w:r>
      <w:sdt>
        <w:sdtPr>
          <w:rPr>
            <w:rFonts w:cstheme="minorHAnsi"/>
          </w:rPr>
          <w:id w:val="801737854"/>
          <w:citation/>
        </w:sdtPr>
        <w:sdtEndPr/>
        <w:sdtContent>
          <w:r w:rsidRPr="00A77AF6">
            <w:rPr>
              <w:rFonts w:cstheme="minorHAnsi"/>
            </w:rPr>
            <w:fldChar w:fldCharType="begin"/>
          </w:r>
          <w:r w:rsidRPr="00A77AF6">
            <w:rPr>
              <w:rFonts w:cstheme="minorHAnsi"/>
            </w:rPr>
            <w:instrText xml:space="preserve">CITATION Mul09 \p 16 \l 2057 </w:instrText>
          </w:r>
          <w:r w:rsidRPr="00A77AF6">
            <w:rPr>
              <w:rFonts w:cstheme="minorHAnsi"/>
            </w:rPr>
            <w:fldChar w:fldCharType="separate"/>
          </w:r>
          <w:r w:rsidR="008E653F" w:rsidRPr="00A77AF6">
            <w:rPr>
              <w:rFonts w:cstheme="minorHAnsi"/>
            </w:rPr>
            <w:t>(Müller, 2009, p. 16)</w:t>
          </w:r>
          <w:r w:rsidRPr="00A77AF6">
            <w:rPr>
              <w:rFonts w:cstheme="minorHAnsi"/>
            </w:rPr>
            <w:fldChar w:fldCharType="end"/>
          </w:r>
        </w:sdtContent>
      </w:sdt>
    </w:p>
    <w:p w14:paraId="51AAD3FB" w14:textId="2172371A" w:rsidR="0066604C" w:rsidRPr="00A77AF6" w:rsidRDefault="004A6FC2" w:rsidP="009843F4">
      <w:pPr>
        <w:spacing w:after="120" w:line="360" w:lineRule="auto"/>
      </w:pPr>
      <w:r w:rsidRPr="00A77AF6">
        <w:t>D</w:t>
      </w:r>
      <w:r w:rsidR="0066604C" w:rsidRPr="00A77AF6">
        <w:t>espite the number of reports asserting the importance of good governance for successful projects</w:t>
      </w:r>
      <w:r w:rsidR="00F74269" w:rsidRPr="00A77AF6">
        <w:t xml:space="preserve"> and academic work, </w:t>
      </w:r>
      <w:r w:rsidR="0066604C" w:rsidRPr="00A77AF6">
        <w:t>the</w:t>
      </w:r>
      <w:r w:rsidRPr="00A77AF6">
        <w:t xml:space="preserve">re are fewer studies which provide </w:t>
      </w:r>
      <w:r w:rsidR="0066604C" w:rsidRPr="00A77AF6">
        <w:t>supporting evidence</w:t>
      </w:r>
      <w:r w:rsidR="00F74269" w:rsidRPr="00A77AF6">
        <w:t xml:space="preserve"> for governance as an instrument for project success</w:t>
      </w:r>
      <w:r w:rsidRPr="00A77AF6">
        <w:t xml:space="preserve">. </w:t>
      </w:r>
      <w:r w:rsidR="00BC6A27" w:rsidRPr="00A77AF6">
        <w:t xml:space="preserve">This is not to argue that project governance should be abolished for lack of evidence that it leads to success, indeed it is </w:t>
      </w:r>
      <w:bookmarkStart w:id="83" w:name="_Hlk520114071"/>
      <w:r w:rsidR="00967CD6" w:rsidRPr="00A77AF6">
        <w:rPr>
          <w:rFonts w:cstheme="minorHAnsi"/>
        </w:rPr>
        <w:t xml:space="preserve">inconceivable that organisations would </w:t>
      </w:r>
      <w:r w:rsidR="00152018" w:rsidRPr="00A77AF6">
        <w:rPr>
          <w:rFonts w:cstheme="minorHAnsi"/>
        </w:rPr>
        <w:t xml:space="preserve">forego </w:t>
      </w:r>
      <w:r w:rsidR="00967CD6" w:rsidRPr="00A77AF6">
        <w:rPr>
          <w:rFonts w:cstheme="minorHAnsi"/>
        </w:rPr>
        <w:t xml:space="preserve">project governance because of a lack of definitive proof that </w:t>
      </w:r>
      <w:r w:rsidR="00BC6A27" w:rsidRPr="00A77AF6">
        <w:rPr>
          <w:rFonts w:cstheme="minorHAnsi"/>
        </w:rPr>
        <w:t xml:space="preserve">it leads </w:t>
      </w:r>
      <w:r w:rsidR="00967CD6" w:rsidRPr="00A77AF6">
        <w:rPr>
          <w:rFonts w:cstheme="minorHAnsi"/>
        </w:rPr>
        <w:t xml:space="preserve">to project success.  </w:t>
      </w:r>
      <w:r w:rsidR="00152018" w:rsidRPr="00A77AF6">
        <w:rPr>
          <w:rFonts w:cstheme="minorHAnsi"/>
        </w:rPr>
        <w:t xml:space="preserve">However, </w:t>
      </w:r>
      <w:r w:rsidR="00BC6A27" w:rsidRPr="00A77AF6">
        <w:rPr>
          <w:rFonts w:cstheme="minorHAnsi"/>
        </w:rPr>
        <w:t>project</w:t>
      </w:r>
      <w:r w:rsidR="00152018" w:rsidRPr="00A77AF6">
        <w:rPr>
          <w:rFonts w:cstheme="minorHAnsi"/>
        </w:rPr>
        <w:t xml:space="preserve"> governance may bring other benefits such as </w:t>
      </w:r>
      <w:r w:rsidR="0066604C" w:rsidRPr="00A77AF6">
        <w:t xml:space="preserve">reassurance that a project is being properly managed, in other words </w:t>
      </w:r>
      <w:r w:rsidR="00152018" w:rsidRPr="00A77AF6">
        <w:t xml:space="preserve">project governance gives </w:t>
      </w:r>
      <w:r w:rsidR="0066604C" w:rsidRPr="00A77AF6">
        <w:t xml:space="preserve">legitimacy, </w:t>
      </w:r>
      <w:r w:rsidR="00152018" w:rsidRPr="00A77AF6">
        <w:t xml:space="preserve">which is </w:t>
      </w:r>
      <w:r w:rsidR="00BC6A27" w:rsidRPr="00A77AF6">
        <w:t>important for organisations</w:t>
      </w:r>
      <w:r w:rsidR="00152018" w:rsidRPr="00A77AF6">
        <w:t xml:space="preserve"> </w:t>
      </w:r>
      <w:sdt>
        <w:sdtPr>
          <w:id w:val="909426790"/>
          <w:citation/>
        </w:sdtPr>
        <w:sdtEndPr/>
        <w:sdtContent>
          <w:r w:rsidR="00BC6A27" w:rsidRPr="00A77AF6">
            <w:fldChar w:fldCharType="begin"/>
          </w:r>
          <w:r w:rsidR="00BC6A27" w:rsidRPr="00A77AF6">
            <w:instrText xml:space="preserve"> CITATION Chr07 \l 2057 </w:instrText>
          </w:r>
          <w:r w:rsidR="00BC6A27" w:rsidRPr="00A77AF6">
            <w:fldChar w:fldCharType="separate"/>
          </w:r>
          <w:r w:rsidR="008E653F" w:rsidRPr="00A77AF6">
            <w:t>(Christensen, et al., 2007)</w:t>
          </w:r>
          <w:r w:rsidR="00BC6A27" w:rsidRPr="00A77AF6">
            <w:fldChar w:fldCharType="end"/>
          </w:r>
        </w:sdtContent>
      </w:sdt>
      <w:r w:rsidR="00BC6A27" w:rsidRPr="00A77AF6">
        <w:t>.</w:t>
      </w:r>
      <w:r w:rsidR="0066604C" w:rsidRPr="00A77AF6">
        <w:t xml:space="preserve">  </w:t>
      </w:r>
    </w:p>
    <w:bookmarkEnd w:id="83"/>
    <w:p w14:paraId="53B4DB13" w14:textId="6B9689C6" w:rsidR="00EB6EA1" w:rsidRPr="00A77AF6" w:rsidRDefault="00EB6EA1" w:rsidP="000B1FFA">
      <w:pPr>
        <w:pStyle w:val="Heading4"/>
        <w:numPr>
          <w:ilvl w:val="0"/>
          <w:numId w:val="0"/>
        </w:numPr>
      </w:pPr>
      <w:r w:rsidRPr="00A77AF6">
        <w:t xml:space="preserve">Project </w:t>
      </w:r>
      <w:r w:rsidR="002B2A8C" w:rsidRPr="00A77AF6">
        <w:t>g</w:t>
      </w:r>
      <w:r w:rsidRPr="00A77AF6">
        <w:t xml:space="preserve">overnance </w:t>
      </w:r>
      <w:r w:rsidR="002B2A8C" w:rsidRPr="00A77AF6">
        <w:t>s</w:t>
      </w:r>
      <w:r w:rsidRPr="00A77AF6">
        <w:t>tructure, roles and processes</w:t>
      </w:r>
    </w:p>
    <w:p w14:paraId="75584437" w14:textId="78FCEE14" w:rsidR="003B682F" w:rsidRPr="00A77AF6" w:rsidRDefault="00BC6A27" w:rsidP="009843F4">
      <w:pPr>
        <w:spacing w:before="120" w:line="360" w:lineRule="auto"/>
        <w:rPr>
          <w:rFonts w:cstheme="minorHAnsi"/>
        </w:rPr>
      </w:pPr>
      <w:r w:rsidRPr="00A77AF6">
        <w:rPr>
          <w:rFonts w:cstheme="minorHAnsi"/>
        </w:rPr>
        <w:t xml:space="preserve">It has already been shown that </w:t>
      </w:r>
      <w:r w:rsidR="00B552BC" w:rsidRPr="00A77AF6">
        <w:rPr>
          <w:rFonts w:cstheme="minorHAnsi"/>
        </w:rPr>
        <w:t xml:space="preserve">project governance is made up of </w:t>
      </w:r>
      <w:r w:rsidRPr="00A77AF6">
        <w:rPr>
          <w:rFonts w:cstheme="minorHAnsi"/>
        </w:rPr>
        <w:t>s</w:t>
      </w:r>
      <w:r w:rsidR="009B2336" w:rsidRPr="00A77AF6">
        <w:rPr>
          <w:rFonts w:cstheme="minorHAnsi"/>
        </w:rPr>
        <w:t>tructures</w:t>
      </w:r>
      <w:r w:rsidR="00161BBC" w:rsidRPr="00A77AF6">
        <w:rPr>
          <w:rFonts w:cstheme="minorHAnsi"/>
        </w:rPr>
        <w:t xml:space="preserve">, </w:t>
      </w:r>
      <w:r w:rsidR="009B2336" w:rsidRPr="00A77AF6">
        <w:rPr>
          <w:rFonts w:cstheme="minorHAnsi"/>
        </w:rPr>
        <w:t>roles</w:t>
      </w:r>
      <w:r w:rsidR="00161BBC" w:rsidRPr="00A77AF6">
        <w:rPr>
          <w:rFonts w:cstheme="minorHAnsi"/>
        </w:rPr>
        <w:t xml:space="preserve"> and </w:t>
      </w:r>
      <w:r w:rsidR="009B2336" w:rsidRPr="00A77AF6">
        <w:rPr>
          <w:rFonts w:cstheme="minorHAnsi"/>
        </w:rPr>
        <w:t>processes</w:t>
      </w:r>
      <w:r w:rsidR="00C97B02" w:rsidRPr="00A77AF6">
        <w:rPr>
          <w:rFonts w:cstheme="minorHAnsi"/>
        </w:rPr>
        <w:t xml:space="preserve">.  PRINCE2 ® </w:t>
      </w:r>
      <w:r w:rsidR="00B552BC" w:rsidRPr="00A77AF6">
        <w:rPr>
          <w:rFonts w:cstheme="minorHAnsi"/>
        </w:rPr>
        <w:t xml:space="preserve">provides </w:t>
      </w:r>
      <w:r w:rsidRPr="00A77AF6">
        <w:rPr>
          <w:rFonts w:cstheme="minorHAnsi"/>
        </w:rPr>
        <w:t>an idealised project structure (</w:t>
      </w:r>
      <w:r w:rsidR="003B682F" w:rsidRPr="00A77AF6">
        <w:rPr>
          <w:rFonts w:cstheme="minorHAnsi"/>
        </w:rPr>
        <w:t xml:space="preserve">Figure </w:t>
      </w:r>
      <w:r w:rsidR="00F20FAB" w:rsidRPr="00A77AF6">
        <w:rPr>
          <w:rFonts w:cstheme="minorHAnsi"/>
        </w:rPr>
        <w:t>4-</w:t>
      </w:r>
      <w:r w:rsidR="00B552BC" w:rsidRPr="00A77AF6">
        <w:rPr>
          <w:rFonts w:cstheme="minorHAnsi"/>
        </w:rPr>
        <w:t>4</w:t>
      </w:r>
      <w:r w:rsidRPr="00A77AF6">
        <w:rPr>
          <w:rFonts w:cstheme="minorHAnsi"/>
        </w:rPr>
        <w:t>) which is rec</w:t>
      </w:r>
      <w:r w:rsidR="00F004BA" w:rsidRPr="00A77AF6">
        <w:rPr>
          <w:rFonts w:cstheme="minorHAnsi"/>
        </w:rPr>
        <w:t xml:space="preserve">ommended for use by the UK government </w:t>
      </w:r>
      <w:sdt>
        <w:sdtPr>
          <w:rPr>
            <w:rFonts w:cstheme="minorHAnsi"/>
          </w:rPr>
          <w:id w:val="2074625607"/>
          <w:citation/>
        </w:sdtPr>
        <w:sdtEndPr/>
        <w:sdtContent>
          <w:r w:rsidR="00F004BA" w:rsidRPr="00A77AF6">
            <w:rPr>
              <w:rFonts w:cstheme="minorHAnsi"/>
            </w:rPr>
            <w:fldChar w:fldCharType="begin"/>
          </w:r>
          <w:r w:rsidR="00F004BA" w:rsidRPr="00A77AF6">
            <w:rPr>
              <w:rFonts w:cstheme="minorHAnsi"/>
            </w:rPr>
            <w:instrText xml:space="preserve">CITATION Gov17 \l 2057 </w:instrText>
          </w:r>
          <w:r w:rsidR="00F004BA" w:rsidRPr="00A77AF6">
            <w:rPr>
              <w:rFonts w:cstheme="minorHAnsi"/>
            </w:rPr>
            <w:fldChar w:fldCharType="separate"/>
          </w:r>
          <w:r w:rsidR="008E653F" w:rsidRPr="00A77AF6">
            <w:rPr>
              <w:rFonts w:cstheme="minorHAnsi"/>
            </w:rPr>
            <w:t>(GOV.UK, 2017)</w:t>
          </w:r>
          <w:r w:rsidR="00F004BA" w:rsidRPr="00A77AF6">
            <w:rPr>
              <w:rFonts w:cstheme="minorHAnsi"/>
            </w:rPr>
            <w:fldChar w:fldCharType="end"/>
          </w:r>
        </w:sdtContent>
      </w:sdt>
      <w:r w:rsidR="00F004BA" w:rsidRPr="00A77AF6">
        <w:rPr>
          <w:rFonts w:cstheme="minorHAnsi"/>
        </w:rPr>
        <w:t xml:space="preserve">.  </w:t>
      </w:r>
      <w:r w:rsidR="00EB6EA1" w:rsidRPr="00A77AF6">
        <w:rPr>
          <w:rFonts w:cstheme="minorHAnsi"/>
        </w:rPr>
        <w:t xml:space="preserve">At the top is the </w:t>
      </w:r>
      <w:r w:rsidR="00932A73" w:rsidRPr="00A77AF6">
        <w:rPr>
          <w:rFonts w:cstheme="minorHAnsi"/>
        </w:rPr>
        <w:t>p</w:t>
      </w:r>
      <w:r w:rsidR="00EB6EA1" w:rsidRPr="00A77AF6">
        <w:rPr>
          <w:rFonts w:cstheme="minorHAnsi"/>
        </w:rPr>
        <w:t xml:space="preserve">roject </w:t>
      </w:r>
      <w:r w:rsidR="00932A73" w:rsidRPr="00A77AF6">
        <w:rPr>
          <w:rFonts w:cstheme="minorHAnsi"/>
        </w:rPr>
        <w:t>b</w:t>
      </w:r>
      <w:r w:rsidR="00EB6EA1" w:rsidRPr="00A77AF6">
        <w:rPr>
          <w:rFonts w:cstheme="minorHAnsi"/>
        </w:rPr>
        <w:t xml:space="preserve">oard which comprises three roles: </w:t>
      </w:r>
      <w:r w:rsidR="00B552BC" w:rsidRPr="00A77AF6">
        <w:rPr>
          <w:rFonts w:cstheme="minorHAnsi"/>
        </w:rPr>
        <w:t>s</w:t>
      </w:r>
      <w:r w:rsidR="00EB6EA1" w:rsidRPr="00A77AF6">
        <w:rPr>
          <w:rFonts w:cstheme="minorHAnsi"/>
        </w:rPr>
        <w:t xml:space="preserve">enior </w:t>
      </w:r>
      <w:r w:rsidR="00B552BC" w:rsidRPr="00A77AF6">
        <w:rPr>
          <w:rFonts w:cstheme="minorHAnsi"/>
        </w:rPr>
        <w:t>u</w:t>
      </w:r>
      <w:r w:rsidR="00EB6EA1" w:rsidRPr="00A77AF6">
        <w:rPr>
          <w:rFonts w:cstheme="minorHAnsi"/>
        </w:rPr>
        <w:t xml:space="preserve">ser, </w:t>
      </w:r>
      <w:r w:rsidR="00B552BC" w:rsidRPr="00A77AF6">
        <w:rPr>
          <w:rFonts w:cstheme="minorHAnsi"/>
        </w:rPr>
        <w:t>e</w:t>
      </w:r>
      <w:r w:rsidR="00EB6EA1" w:rsidRPr="00A77AF6">
        <w:rPr>
          <w:rFonts w:cstheme="minorHAnsi"/>
        </w:rPr>
        <w:t xml:space="preserve">xecutive and </w:t>
      </w:r>
      <w:r w:rsidR="00B552BC" w:rsidRPr="00A77AF6">
        <w:rPr>
          <w:rFonts w:cstheme="minorHAnsi"/>
        </w:rPr>
        <w:t>s</w:t>
      </w:r>
      <w:r w:rsidR="00EB6EA1" w:rsidRPr="00A77AF6">
        <w:rPr>
          <w:rFonts w:cstheme="minorHAnsi"/>
        </w:rPr>
        <w:t xml:space="preserve">enior </w:t>
      </w:r>
      <w:r w:rsidR="00B552BC" w:rsidRPr="00A77AF6">
        <w:rPr>
          <w:rFonts w:cstheme="minorHAnsi"/>
        </w:rPr>
        <w:t>s</w:t>
      </w:r>
      <w:r w:rsidR="00EB6EA1" w:rsidRPr="00A77AF6">
        <w:rPr>
          <w:rFonts w:cstheme="minorHAnsi"/>
        </w:rPr>
        <w:t xml:space="preserve">upplier.  These </w:t>
      </w:r>
      <w:r w:rsidR="00B552BC" w:rsidRPr="00A77AF6">
        <w:rPr>
          <w:rFonts w:cstheme="minorHAnsi"/>
        </w:rPr>
        <w:t xml:space="preserve">roles </w:t>
      </w:r>
      <w:r w:rsidR="00EB6EA1" w:rsidRPr="00A77AF6">
        <w:rPr>
          <w:rFonts w:cstheme="minorHAnsi"/>
        </w:rPr>
        <w:t xml:space="preserve">can be </w:t>
      </w:r>
      <w:r w:rsidR="00967CD6" w:rsidRPr="00A77AF6">
        <w:rPr>
          <w:rFonts w:cstheme="minorHAnsi"/>
        </w:rPr>
        <w:t>performed</w:t>
      </w:r>
      <w:r w:rsidR="00EB6EA1" w:rsidRPr="00A77AF6">
        <w:rPr>
          <w:rFonts w:cstheme="minorHAnsi"/>
        </w:rPr>
        <w:t xml:space="preserve"> by one person or by several, what is important is that the roles are represented</w:t>
      </w:r>
      <w:r w:rsidR="000D6099" w:rsidRPr="00A77AF6">
        <w:rPr>
          <w:rFonts w:cstheme="minorHAnsi"/>
        </w:rPr>
        <w:t xml:space="preserve"> in</w:t>
      </w:r>
      <w:r w:rsidR="00EB6EA1" w:rsidRPr="00A77AF6">
        <w:rPr>
          <w:rFonts w:cstheme="minorHAnsi"/>
        </w:rPr>
        <w:t xml:space="preserve"> the</w:t>
      </w:r>
      <w:r w:rsidR="00D9458F" w:rsidRPr="00A77AF6">
        <w:rPr>
          <w:rFonts w:cstheme="minorHAnsi"/>
        </w:rPr>
        <w:t xml:space="preserve"> </w:t>
      </w:r>
      <w:r w:rsidR="00EB6EA1" w:rsidRPr="00A77AF6">
        <w:rPr>
          <w:rFonts w:cstheme="minorHAnsi"/>
        </w:rPr>
        <w:t xml:space="preserve">project governance </w:t>
      </w:r>
      <w:r w:rsidR="00D9458F" w:rsidRPr="00A77AF6">
        <w:rPr>
          <w:rFonts w:cstheme="minorHAnsi"/>
        </w:rPr>
        <w:t>structure</w:t>
      </w:r>
      <w:r w:rsidR="00C97B02" w:rsidRPr="00A77AF6">
        <w:rPr>
          <w:rFonts w:cstheme="minorHAnsi"/>
        </w:rPr>
        <w:t xml:space="preserve"> at </w:t>
      </w:r>
      <w:r w:rsidR="00A31A57" w:rsidRPr="00A77AF6">
        <w:rPr>
          <w:rFonts w:cstheme="minorHAnsi"/>
        </w:rPr>
        <w:t xml:space="preserve">an </w:t>
      </w:r>
      <w:r w:rsidR="00C97B02" w:rsidRPr="00A77AF6">
        <w:rPr>
          <w:rFonts w:cstheme="minorHAnsi"/>
        </w:rPr>
        <w:t>a</w:t>
      </w:r>
      <w:r w:rsidR="00A31A57" w:rsidRPr="00A77AF6">
        <w:rPr>
          <w:rFonts w:cstheme="minorHAnsi"/>
        </w:rPr>
        <w:t>ppropriate</w:t>
      </w:r>
      <w:r w:rsidR="00C97B02" w:rsidRPr="00A77AF6">
        <w:rPr>
          <w:rFonts w:cstheme="minorHAnsi"/>
        </w:rPr>
        <w:t xml:space="preserve"> level of seniority </w:t>
      </w:r>
      <w:r w:rsidR="00B552BC" w:rsidRPr="00A77AF6">
        <w:rPr>
          <w:rFonts w:cstheme="minorHAnsi"/>
        </w:rPr>
        <w:t>so</w:t>
      </w:r>
      <w:r w:rsidR="00C97B02" w:rsidRPr="00A77AF6">
        <w:rPr>
          <w:rFonts w:cstheme="minorHAnsi"/>
        </w:rPr>
        <w:t xml:space="preserve"> </w:t>
      </w:r>
      <w:r w:rsidR="00853605" w:rsidRPr="00A77AF6">
        <w:rPr>
          <w:rFonts w:cstheme="minorHAnsi"/>
        </w:rPr>
        <w:t xml:space="preserve">effective </w:t>
      </w:r>
      <w:r w:rsidR="00C97B02" w:rsidRPr="00A77AF6">
        <w:rPr>
          <w:rFonts w:cstheme="minorHAnsi"/>
        </w:rPr>
        <w:t>decision</w:t>
      </w:r>
      <w:r w:rsidR="00853605" w:rsidRPr="00A77AF6">
        <w:rPr>
          <w:rFonts w:cstheme="minorHAnsi"/>
        </w:rPr>
        <w:t xml:space="preserve"> making can take place. </w:t>
      </w:r>
      <w:r w:rsidR="003B682F" w:rsidRPr="00A77AF6">
        <w:rPr>
          <w:rFonts w:cstheme="minorHAnsi"/>
        </w:rPr>
        <w:t>Under the project board is the project manager</w:t>
      </w:r>
      <w:r w:rsidR="00B552BC" w:rsidRPr="00A77AF6">
        <w:rPr>
          <w:rFonts w:cstheme="minorHAnsi"/>
        </w:rPr>
        <w:t>, under</w:t>
      </w:r>
      <w:r w:rsidR="003B682F" w:rsidRPr="00A77AF6">
        <w:rPr>
          <w:rFonts w:cstheme="minorHAnsi"/>
        </w:rPr>
        <w:t xml:space="preserve"> the project manager is the team manager</w:t>
      </w:r>
      <w:r w:rsidR="009B2336" w:rsidRPr="00A77AF6">
        <w:rPr>
          <w:rFonts w:cstheme="minorHAnsi"/>
        </w:rPr>
        <w:t xml:space="preserve"> </w:t>
      </w:r>
      <w:r w:rsidR="003B682F" w:rsidRPr="00A77AF6">
        <w:rPr>
          <w:rFonts w:cstheme="minorHAnsi"/>
        </w:rPr>
        <w:t xml:space="preserve">and under them the project team members </w:t>
      </w:r>
      <w:sdt>
        <w:sdtPr>
          <w:rPr>
            <w:rFonts w:cstheme="minorHAnsi"/>
          </w:rPr>
          <w:id w:val="1825306747"/>
          <w:citation/>
        </w:sdtPr>
        <w:sdtEndPr/>
        <w:sdtContent>
          <w:r w:rsidR="003B682F" w:rsidRPr="00A77AF6">
            <w:rPr>
              <w:rFonts w:cstheme="minorHAnsi"/>
            </w:rPr>
            <w:fldChar w:fldCharType="begin"/>
          </w:r>
          <w:r w:rsidR="004436D3" w:rsidRPr="00A77AF6">
            <w:rPr>
              <w:rFonts w:cstheme="minorHAnsi"/>
            </w:rPr>
            <w:instrText xml:space="preserve">CITATION Axe09 \l 2057 </w:instrText>
          </w:r>
          <w:r w:rsidR="003B682F" w:rsidRPr="00A77AF6">
            <w:rPr>
              <w:rFonts w:cstheme="minorHAnsi"/>
            </w:rPr>
            <w:fldChar w:fldCharType="separate"/>
          </w:r>
          <w:r w:rsidR="008E653F" w:rsidRPr="00A77AF6">
            <w:rPr>
              <w:rFonts w:cstheme="minorHAnsi"/>
            </w:rPr>
            <w:t>(Axelos, 2009)</w:t>
          </w:r>
          <w:r w:rsidR="003B682F" w:rsidRPr="00A77AF6">
            <w:rPr>
              <w:rFonts w:cstheme="minorHAnsi"/>
            </w:rPr>
            <w:fldChar w:fldCharType="end"/>
          </w:r>
        </w:sdtContent>
      </w:sdt>
      <w:r w:rsidR="003B682F" w:rsidRPr="00A77AF6">
        <w:rPr>
          <w:rFonts w:cstheme="minorHAnsi"/>
        </w:rPr>
        <w:t xml:space="preserve">.  </w:t>
      </w:r>
      <w:r w:rsidR="009B2336" w:rsidRPr="00A77AF6">
        <w:rPr>
          <w:rFonts w:cstheme="minorHAnsi"/>
        </w:rPr>
        <w:t xml:space="preserve">The project manager and team </w:t>
      </w:r>
      <w:r w:rsidR="00434810" w:rsidRPr="00A77AF6">
        <w:rPr>
          <w:rFonts w:cstheme="minorHAnsi"/>
        </w:rPr>
        <w:t>managers</w:t>
      </w:r>
      <w:r w:rsidR="00EB6EA1" w:rsidRPr="00A77AF6">
        <w:rPr>
          <w:rFonts w:cstheme="minorHAnsi"/>
        </w:rPr>
        <w:t xml:space="preserve"> execute </w:t>
      </w:r>
      <w:r w:rsidR="009B2336" w:rsidRPr="00A77AF6">
        <w:rPr>
          <w:rFonts w:cstheme="minorHAnsi"/>
        </w:rPr>
        <w:t>t</w:t>
      </w:r>
      <w:r w:rsidR="003B682F" w:rsidRPr="00A77AF6">
        <w:rPr>
          <w:rFonts w:cstheme="minorHAnsi"/>
        </w:rPr>
        <w:t xml:space="preserve">he project management </w:t>
      </w:r>
      <w:r w:rsidR="00D9458F" w:rsidRPr="00A77AF6">
        <w:rPr>
          <w:rFonts w:cstheme="minorHAnsi"/>
        </w:rPr>
        <w:t>processes</w:t>
      </w:r>
      <w:r w:rsidR="003B682F" w:rsidRPr="00A77AF6">
        <w:rPr>
          <w:rFonts w:cstheme="minorHAnsi"/>
        </w:rPr>
        <w:t xml:space="preserve">, such as planning, reporting and costing. </w:t>
      </w:r>
      <w:r w:rsidR="009B2336" w:rsidRPr="00A77AF6">
        <w:rPr>
          <w:rFonts w:cstheme="minorHAnsi"/>
        </w:rPr>
        <w:t xml:space="preserve"> </w:t>
      </w:r>
      <w:r w:rsidR="00226386" w:rsidRPr="00A77AF6">
        <w:rPr>
          <w:rFonts w:cstheme="minorHAnsi"/>
        </w:rPr>
        <w:t xml:space="preserve">This layer of governance sits within the ‘Project Governance’ layer of the HMT (2007) model </w:t>
      </w:r>
      <w:r w:rsidR="00F20FAB" w:rsidRPr="00A77AF6">
        <w:rPr>
          <w:rFonts w:cstheme="minorHAnsi"/>
        </w:rPr>
        <w:t>(</w:t>
      </w:r>
      <w:r w:rsidR="00226386" w:rsidRPr="00A77AF6">
        <w:rPr>
          <w:rFonts w:cstheme="minorHAnsi"/>
        </w:rPr>
        <w:t>Figure</w:t>
      </w:r>
      <w:r w:rsidR="0007452B" w:rsidRPr="00A77AF6">
        <w:rPr>
          <w:rFonts w:cstheme="minorHAnsi"/>
        </w:rPr>
        <w:t xml:space="preserve"> 4-3</w:t>
      </w:r>
      <w:r w:rsidR="00EB6EA1" w:rsidRPr="00A77AF6">
        <w:rPr>
          <w:rFonts w:cstheme="minorHAnsi"/>
        </w:rPr>
        <w:t xml:space="preserve"> </w:t>
      </w:r>
      <w:r w:rsidR="00F20FAB" w:rsidRPr="00A77AF6">
        <w:rPr>
          <w:rFonts w:cstheme="minorHAnsi"/>
        </w:rPr>
        <w:t xml:space="preserve">). </w:t>
      </w:r>
    </w:p>
    <w:p w14:paraId="6A78F24E" w14:textId="77777777" w:rsidR="00B552BC" w:rsidRPr="00A77AF6" w:rsidRDefault="00E543FB" w:rsidP="00B552BC">
      <w:pPr>
        <w:keepNext/>
      </w:pPr>
      <w:r w:rsidRPr="00A77AF6">
        <w:rPr>
          <w:noProof/>
          <w:lang w:eastAsia="en-GB"/>
        </w:rPr>
        <w:lastRenderedPageBreak/>
        <w:drawing>
          <wp:inline distT="0" distB="0" distL="0" distR="0" wp14:anchorId="1C850C20" wp14:editId="2C5905F2">
            <wp:extent cx="3220720" cy="23903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4134" t="21437" r="27274" b="27643"/>
                    <a:stretch/>
                  </pic:blipFill>
                  <pic:spPr bwMode="auto">
                    <a:xfrm>
                      <a:off x="0" y="0"/>
                      <a:ext cx="3225578" cy="2393940"/>
                    </a:xfrm>
                    <a:prstGeom prst="rect">
                      <a:avLst/>
                    </a:prstGeom>
                    <a:ln>
                      <a:noFill/>
                    </a:ln>
                    <a:extLst>
                      <a:ext uri="{53640926-AAD7-44D8-BBD7-CCE9431645EC}">
                        <a14:shadowObscured xmlns:a14="http://schemas.microsoft.com/office/drawing/2010/main"/>
                      </a:ext>
                    </a:extLst>
                  </pic:spPr>
                </pic:pic>
              </a:graphicData>
            </a:graphic>
          </wp:inline>
        </w:drawing>
      </w:r>
    </w:p>
    <w:p w14:paraId="466638EC" w14:textId="32CFB18F" w:rsidR="00B552BC" w:rsidRPr="00A77AF6" w:rsidRDefault="00B552BC" w:rsidP="00B552BC">
      <w:pPr>
        <w:pStyle w:val="Caption"/>
      </w:pPr>
      <w:bookmarkStart w:id="84" w:name="_Toc36186968"/>
      <w:r w:rsidRPr="00A77AF6">
        <w:t xml:space="preserve">Figure </w:t>
      </w:r>
      <w:fldSimple w:instr=" STYLEREF 1 \s ">
        <w:r w:rsidR="000441F7">
          <w:rPr>
            <w:noProof/>
          </w:rPr>
          <w:t>4</w:t>
        </w:r>
      </w:fldSimple>
      <w:r w:rsidR="00BA5DC4">
        <w:noBreakHyphen/>
      </w:r>
      <w:fldSimple w:instr=" SEQ Figure \* ARABIC \s 1 ">
        <w:r w:rsidR="000441F7">
          <w:rPr>
            <w:noProof/>
          </w:rPr>
          <w:t>4</w:t>
        </w:r>
      </w:fldSimple>
      <w:r w:rsidRPr="00A77AF6">
        <w:t>: Idealised Project Governance Structure</w:t>
      </w:r>
      <w:bookmarkEnd w:id="84"/>
    </w:p>
    <w:p w14:paraId="4DF92427" w14:textId="5FF5DB10" w:rsidR="003B682F" w:rsidRPr="00A77AF6" w:rsidRDefault="007C3F0C" w:rsidP="007C3F0C">
      <w:pPr>
        <w:pStyle w:val="Caption"/>
        <w:rPr>
          <w:rFonts w:cstheme="minorHAnsi"/>
        </w:rPr>
      </w:pPr>
      <w:r w:rsidRPr="00A77AF6">
        <w:t>(</w:t>
      </w:r>
      <w:r w:rsidR="00D9458F" w:rsidRPr="00A77AF6">
        <w:rPr>
          <w:rFonts w:cstheme="minorHAnsi"/>
        </w:rPr>
        <w:t>Source: CCTA</w:t>
      </w:r>
      <w:r w:rsidRPr="00A77AF6">
        <w:rPr>
          <w:rFonts w:cstheme="minorHAnsi"/>
        </w:rPr>
        <w:t xml:space="preserve">, </w:t>
      </w:r>
      <w:r w:rsidR="00D9458F" w:rsidRPr="00A77AF6">
        <w:rPr>
          <w:rFonts w:cstheme="minorHAnsi"/>
        </w:rPr>
        <w:t>1996 cited in Robinson et al 2010, p. 75)</w:t>
      </w:r>
    </w:p>
    <w:p w14:paraId="20C17499" w14:textId="4A5F8CA5" w:rsidR="0045136E" w:rsidRPr="00A77AF6" w:rsidRDefault="00317F22" w:rsidP="0090418A">
      <w:pPr>
        <w:spacing w:before="240" w:line="360" w:lineRule="auto"/>
        <w:rPr>
          <w:rFonts w:cstheme="minorHAnsi"/>
        </w:rPr>
      </w:pPr>
      <w:r w:rsidRPr="00A77AF6">
        <w:rPr>
          <w:rFonts w:cstheme="minorHAnsi"/>
        </w:rPr>
        <w:t>T</w:t>
      </w:r>
      <w:r w:rsidR="00052151" w:rsidRPr="00A77AF6">
        <w:rPr>
          <w:rFonts w:cstheme="minorHAnsi"/>
        </w:rPr>
        <w:t xml:space="preserve">he roles of the project </w:t>
      </w:r>
      <w:r w:rsidRPr="00A77AF6">
        <w:rPr>
          <w:rFonts w:cstheme="minorHAnsi"/>
        </w:rPr>
        <w:t xml:space="preserve">board, </w:t>
      </w:r>
      <w:r w:rsidR="00052151" w:rsidRPr="00A77AF6">
        <w:rPr>
          <w:rFonts w:cstheme="minorHAnsi"/>
        </w:rPr>
        <w:t xml:space="preserve">the project manager and the team manager </w:t>
      </w:r>
      <w:r w:rsidRPr="00A77AF6">
        <w:rPr>
          <w:rFonts w:cstheme="minorHAnsi"/>
        </w:rPr>
        <w:t xml:space="preserve">are discussed below. </w:t>
      </w:r>
      <w:r w:rsidR="001D4887" w:rsidRPr="00A77AF6">
        <w:rPr>
          <w:rFonts w:cstheme="minorHAnsi"/>
        </w:rPr>
        <w:t>The definitions used by PRINCE2</w:t>
      </w:r>
      <w:r w:rsidR="00D454D4" w:rsidRPr="00A77AF6">
        <w:rPr>
          <w:rFonts w:cstheme="minorHAnsi"/>
        </w:rPr>
        <w:t>®</w:t>
      </w:r>
      <w:r w:rsidR="001D4887" w:rsidRPr="00A77AF6">
        <w:rPr>
          <w:rFonts w:cstheme="minorHAnsi"/>
        </w:rPr>
        <w:t xml:space="preserve"> are </w:t>
      </w:r>
      <w:r w:rsidRPr="00A77AF6">
        <w:rPr>
          <w:rFonts w:cstheme="minorHAnsi"/>
        </w:rPr>
        <w:t xml:space="preserve">relied on as PRINCE2® </w:t>
      </w:r>
      <w:r w:rsidR="006C32D4">
        <w:rPr>
          <w:rFonts w:cstheme="minorHAnsi"/>
        </w:rPr>
        <w:t>has been recommended b</w:t>
      </w:r>
      <w:r w:rsidR="001D4887" w:rsidRPr="00A77AF6">
        <w:rPr>
          <w:rFonts w:cstheme="minorHAnsi"/>
        </w:rPr>
        <w:t xml:space="preserve">y </w:t>
      </w:r>
      <w:r w:rsidRPr="00A77AF6">
        <w:rPr>
          <w:rFonts w:cstheme="minorHAnsi"/>
        </w:rPr>
        <w:t xml:space="preserve">the UK </w:t>
      </w:r>
      <w:r w:rsidR="001D4887" w:rsidRPr="00A77AF6">
        <w:rPr>
          <w:rFonts w:cstheme="minorHAnsi"/>
        </w:rPr>
        <w:t>Government for project delivery</w:t>
      </w:r>
      <w:r w:rsidR="00A82B09" w:rsidRPr="00A77AF6">
        <w:rPr>
          <w:rFonts w:cstheme="minorHAnsi"/>
        </w:rPr>
        <w:t xml:space="preserve"> </w:t>
      </w:r>
      <w:r w:rsidR="004C5467" w:rsidRPr="00A77AF6">
        <w:rPr>
          <w:rFonts w:cstheme="minorHAnsi"/>
        </w:rPr>
        <w:t>(NHS Executive, 1994, Axelos, 2009)</w:t>
      </w:r>
      <w:r w:rsidR="001D4887" w:rsidRPr="00A77AF6">
        <w:rPr>
          <w:rFonts w:cstheme="minorHAnsi"/>
        </w:rPr>
        <w:t xml:space="preserve">. </w:t>
      </w:r>
    </w:p>
    <w:p w14:paraId="0E34ADF3" w14:textId="291AA3D6" w:rsidR="00F56AA1" w:rsidRPr="00A77AF6" w:rsidRDefault="00525F99" w:rsidP="007E359F">
      <w:pPr>
        <w:pStyle w:val="Heading5"/>
        <w:numPr>
          <w:ilvl w:val="0"/>
          <w:numId w:val="0"/>
        </w:numPr>
        <w:spacing w:after="120"/>
        <w:rPr>
          <w:b w:val="0"/>
        </w:rPr>
      </w:pPr>
      <w:r w:rsidRPr="00A77AF6">
        <w:t>P</w:t>
      </w:r>
      <w:r w:rsidR="00F56AA1" w:rsidRPr="00A77AF6">
        <w:t xml:space="preserve">roject </w:t>
      </w:r>
      <w:r w:rsidR="002B2A8C" w:rsidRPr="00A77AF6">
        <w:t>b</w:t>
      </w:r>
      <w:r w:rsidR="00F56AA1" w:rsidRPr="00A77AF6">
        <w:t>oard</w:t>
      </w:r>
    </w:p>
    <w:p w14:paraId="7EF1D4DE" w14:textId="50DD4B2C" w:rsidR="00317F22" w:rsidRPr="00A77AF6" w:rsidRDefault="00F56AA1" w:rsidP="00F33EB0">
      <w:pPr>
        <w:spacing w:line="360" w:lineRule="auto"/>
        <w:rPr>
          <w:rFonts w:cstheme="minorHAnsi"/>
          <w:szCs w:val="24"/>
        </w:rPr>
      </w:pPr>
      <w:r w:rsidRPr="00A77AF6">
        <w:rPr>
          <w:rFonts w:cstheme="minorHAnsi"/>
          <w:szCs w:val="24"/>
        </w:rPr>
        <w:t>T</w:t>
      </w:r>
      <w:r w:rsidR="00985175" w:rsidRPr="00A77AF6">
        <w:rPr>
          <w:rFonts w:cstheme="minorHAnsi"/>
          <w:szCs w:val="24"/>
        </w:rPr>
        <w:t xml:space="preserve">he </w:t>
      </w:r>
      <w:r w:rsidR="00932A73" w:rsidRPr="00A77AF6">
        <w:rPr>
          <w:rFonts w:cstheme="minorHAnsi"/>
          <w:szCs w:val="24"/>
        </w:rPr>
        <w:t>p</w:t>
      </w:r>
      <w:r w:rsidR="00985175" w:rsidRPr="00A77AF6">
        <w:rPr>
          <w:rFonts w:cstheme="minorHAnsi"/>
          <w:szCs w:val="24"/>
        </w:rPr>
        <w:t xml:space="preserve">roject </w:t>
      </w:r>
      <w:r w:rsidR="00932A73" w:rsidRPr="00A77AF6">
        <w:rPr>
          <w:rFonts w:cstheme="minorHAnsi"/>
          <w:szCs w:val="24"/>
        </w:rPr>
        <w:t>b</w:t>
      </w:r>
      <w:r w:rsidR="00985175" w:rsidRPr="00A77AF6">
        <w:rPr>
          <w:rFonts w:cstheme="minorHAnsi"/>
          <w:szCs w:val="24"/>
        </w:rPr>
        <w:t>oard</w:t>
      </w:r>
      <w:r w:rsidR="00317F22" w:rsidRPr="00A77AF6">
        <w:rPr>
          <w:rFonts w:cstheme="minorHAnsi"/>
          <w:szCs w:val="24"/>
        </w:rPr>
        <w:t xml:space="preserve"> </w:t>
      </w:r>
      <w:r w:rsidR="00364E6C" w:rsidRPr="00A77AF6">
        <w:rPr>
          <w:rFonts w:cstheme="minorHAnsi"/>
          <w:szCs w:val="24"/>
        </w:rPr>
        <w:t>(</w:t>
      </w:r>
      <w:r w:rsidR="00932A73" w:rsidRPr="00A77AF6">
        <w:rPr>
          <w:rFonts w:cstheme="minorHAnsi"/>
          <w:szCs w:val="24"/>
        </w:rPr>
        <w:t>s</w:t>
      </w:r>
      <w:r w:rsidR="00985175" w:rsidRPr="00A77AF6">
        <w:rPr>
          <w:rFonts w:cstheme="minorHAnsi"/>
          <w:szCs w:val="24"/>
        </w:rPr>
        <w:t xml:space="preserve">teering </w:t>
      </w:r>
      <w:r w:rsidR="00932A73" w:rsidRPr="00A77AF6">
        <w:rPr>
          <w:rFonts w:cstheme="minorHAnsi"/>
          <w:szCs w:val="24"/>
        </w:rPr>
        <w:t>g</w:t>
      </w:r>
      <w:r w:rsidR="00985175" w:rsidRPr="00A77AF6">
        <w:rPr>
          <w:rFonts w:cstheme="minorHAnsi"/>
          <w:szCs w:val="24"/>
        </w:rPr>
        <w:t>roup</w:t>
      </w:r>
      <w:r w:rsidR="00364E6C" w:rsidRPr="00A77AF6">
        <w:rPr>
          <w:rFonts w:cstheme="minorHAnsi"/>
          <w:szCs w:val="24"/>
        </w:rPr>
        <w:t>)</w:t>
      </w:r>
      <w:r w:rsidR="00317F22" w:rsidRPr="00A77AF6">
        <w:rPr>
          <w:rFonts w:cstheme="minorHAnsi"/>
          <w:szCs w:val="24"/>
        </w:rPr>
        <w:t xml:space="preserve"> has delegated responsibility </w:t>
      </w:r>
      <w:r w:rsidRPr="00A77AF6">
        <w:rPr>
          <w:rFonts w:cstheme="minorHAnsi"/>
          <w:szCs w:val="24"/>
        </w:rPr>
        <w:t xml:space="preserve">for the </w:t>
      </w:r>
      <w:r w:rsidR="00985175" w:rsidRPr="00A77AF6">
        <w:rPr>
          <w:rFonts w:cstheme="minorHAnsi"/>
          <w:szCs w:val="24"/>
        </w:rPr>
        <w:t xml:space="preserve">successful </w:t>
      </w:r>
      <w:r w:rsidRPr="00A77AF6">
        <w:rPr>
          <w:rFonts w:cstheme="minorHAnsi"/>
          <w:szCs w:val="24"/>
        </w:rPr>
        <w:t xml:space="preserve">delivery of the project.  PRINCE2 </w:t>
      </w:r>
      <w:r w:rsidR="004945C1" w:rsidRPr="00A77AF6">
        <w:rPr>
          <w:rFonts w:cstheme="minorHAnsi"/>
          <w:szCs w:val="24"/>
        </w:rPr>
        <w:t>(</w:t>
      </w:r>
      <w:r w:rsidR="004945C1" w:rsidRPr="00A77AF6">
        <w:rPr>
          <w:rFonts w:cstheme="minorHAnsi"/>
        </w:rPr>
        <w:t>CCTA,</w:t>
      </w:r>
      <w:r w:rsidR="00615203" w:rsidRPr="00A77AF6">
        <w:rPr>
          <w:rFonts w:cstheme="minorHAnsi"/>
        </w:rPr>
        <w:t xml:space="preserve"> </w:t>
      </w:r>
      <w:r w:rsidR="004945C1" w:rsidRPr="00A77AF6">
        <w:rPr>
          <w:rFonts w:cstheme="minorHAnsi"/>
        </w:rPr>
        <w:t xml:space="preserve">1996) </w:t>
      </w:r>
      <w:r w:rsidRPr="00A77AF6">
        <w:rPr>
          <w:rFonts w:cstheme="minorHAnsi"/>
          <w:szCs w:val="24"/>
        </w:rPr>
        <w:t xml:space="preserve">states that the </w:t>
      </w:r>
      <w:r w:rsidR="00932A73" w:rsidRPr="00A77AF6">
        <w:rPr>
          <w:rFonts w:cstheme="minorHAnsi"/>
          <w:szCs w:val="24"/>
        </w:rPr>
        <w:t>p</w:t>
      </w:r>
      <w:r w:rsidRPr="00A77AF6">
        <w:rPr>
          <w:rFonts w:cstheme="minorHAnsi"/>
          <w:szCs w:val="24"/>
        </w:rPr>
        <w:t xml:space="preserve">roject </w:t>
      </w:r>
      <w:r w:rsidR="00932A73" w:rsidRPr="00A77AF6">
        <w:rPr>
          <w:rFonts w:cstheme="minorHAnsi"/>
          <w:szCs w:val="24"/>
        </w:rPr>
        <w:t>b</w:t>
      </w:r>
      <w:r w:rsidRPr="00A77AF6">
        <w:rPr>
          <w:rFonts w:cstheme="minorHAnsi"/>
          <w:szCs w:val="24"/>
        </w:rPr>
        <w:t>oard comprises</w:t>
      </w:r>
      <w:r w:rsidR="00364E6C" w:rsidRPr="00A77AF6">
        <w:rPr>
          <w:rFonts w:cstheme="minorHAnsi"/>
          <w:szCs w:val="24"/>
        </w:rPr>
        <w:t xml:space="preserve"> the t</w:t>
      </w:r>
      <w:r w:rsidRPr="00A77AF6">
        <w:rPr>
          <w:rFonts w:cstheme="minorHAnsi"/>
          <w:szCs w:val="24"/>
        </w:rPr>
        <w:t>hree roles</w:t>
      </w:r>
      <w:r w:rsidR="00364E6C" w:rsidRPr="00A77AF6">
        <w:rPr>
          <w:rFonts w:cstheme="minorHAnsi"/>
          <w:szCs w:val="24"/>
        </w:rPr>
        <w:t xml:space="preserve"> described earlier</w:t>
      </w:r>
      <w:r w:rsidRPr="00A77AF6">
        <w:rPr>
          <w:rFonts w:cstheme="minorHAnsi"/>
          <w:szCs w:val="24"/>
        </w:rPr>
        <w:t xml:space="preserve">: </w:t>
      </w:r>
      <w:r w:rsidR="00932A73" w:rsidRPr="00A77AF6">
        <w:rPr>
          <w:rFonts w:cstheme="minorHAnsi"/>
          <w:szCs w:val="24"/>
        </w:rPr>
        <w:t>e</w:t>
      </w:r>
      <w:r w:rsidRPr="00A77AF6">
        <w:rPr>
          <w:rFonts w:cstheme="minorHAnsi"/>
          <w:szCs w:val="24"/>
        </w:rPr>
        <w:t xml:space="preserve">xecutive, </w:t>
      </w:r>
      <w:r w:rsidR="00932A73" w:rsidRPr="00A77AF6">
        <w:rPr>
          <w:rFonts w:cstheme="minorHAnsi"/>
          <w:szCs w:val="24"/>
        </w:rPr>
        <w:t>s</w:t>
      </w:r>
      <w:r w:rsidRPr="00A77AF6">
        <w:rPr>
          <w:rFonts w:cstheme="minorHAnsi"/>
          <w:szCs w:val="24"/>
        </w:rPr>
        <w:t xml:space="preserve">enior </w:t>
      </w:r>
      <w:r w:rsidR="00932A73" w:rsidRPr="00A77AF6">
        <w:rPr>
          <w:rFonts w:cstheme="minorHAnsi"/>
          <w:szCs w:val="24"/>
        </w:rPr>
        <w:t>u</w:t>
      </w:r>
      <w:r w:rsidRPr="00A77AF6">
        <w:rPr>
          <w:rFonts w:cstheme="minorHAnsi"/>
          <w:szCs w:val="24"/>
        </w:rPr>
        <w:t xml:space="preserve">ser and </w:t>
      </w:r>
      <w:r w:rsidR="00932A73" w:rsidRPr="00A77AF6">
        <w:rPr>
          <w:rFonts w:cstheme="minorHAnsi"/>
          <w:szCs w:val="24"/>
        </w:rPr>
        <w:t>s</w:t>
      </w:r>
      <w:r w:rsidRPr="00A77AF6">
        <w:rPr>
          <w:rFonts w:cstheme="minorHAnsi"/>
          <w:szCs w:val="24"/>
        </w:rPr>
        <w:t xml:space="preserve">enior </w:t>
      </w:r>
      <w:r w:rsidR="00932A73" w:rsidRPr="00A77AF6">
        <w:rPr>
          <w:rFonts w:cstheme="minorHAnsi"/>
          <w:szCs w:val="24"/>
        </w:rPr>
        <w:t>s</w:t>
      </w:r>
      <w:r w:rsidRPr="00A77AF6">
        <w:rPr>
          <w:rFonts w:cstheme="minorHAnsi"/>
          <w:szCs w:val="24"/>
        </w:rPr>
        <w:t>upplier</w:t>
      </w:r>
      <w:r w:rsidR="00967CD6" w:rsidRPr="00A77AF6">
        <w:rPr>
          <w:rFonts w:cstheme="minorHAnsi"/>
          <w:szCs w:val="24"/>
        </w:rPr>
        <w:t xml:space="preserve">.  </w:t>
      </w:r>
      <w:r w:rsidR="00317F22" w:rsidRPr="00A77AF6">
        <w:rPr>
          <w:rFonts w:cstheme="minorHAnsi"/>
          <w:szCs w:val="24"/>
        </w:rPr>
        <w:t xml:space="preserve">The </w:t>
      </w:r>
      <w:r w:rsidR="008B0E67" w:rsidRPr="00A77AF6">
        <w:rPr>
          <w:rFonts w:cstheme="minorHAnsi"/>
          <w:szCs w:val="24"/>
        </w:rPr>
        <w:t>p</w:t>
      </w:r>
      <w:r w:rsidR="00317F22" w:rsidRPr="00A77AF6">
        <w:rPr>
          <w:rFonts w:cstheme="minorHAnsi"/>
          <w:szCs w:val="24"/>
        </w:rPr>
        <w:t xml:space="preserve">roject </w:t>
      </w:r>
      <w:r w:rsidR="008B0E67" w:rsidRPr="00A77AF6">
        <w:rPr>
          <w:rFonts w:cstheme="minorHAnsi"/>
          <w:szCs w:val="24"/>
        </w:rPr>
        <w:t>b</w:t>
      </w:r>
      <w:r w:rsidR="00317F22" w:rsidRPr="00A77AF6">
        <w:rPr>
          <w:rFonts w:cstheme="minorHAnsi"/>
          <w:szCs w:val="24"/>
        </w:rPr>
        <w:t xml:space="preserve">oard </w:t>
      </w:r>
      <w:r w:rsidR="00F33EB0" w:rsidRPr="00A77AF6">
        <w:rPr>
          <w:rFonts w:cstheme="minorHAnsi"/>
          <w:szCs w:val="24"/>
        </w:rPr>
        <w:t xml:space="preserve">is </w:t>
      </w:r>
      <w:r w:rsidR="00364E6C" w:rsidRPr="00A77AF6">
        <w:rPr>
          <w:rFonts w:cstheme="minorHAnsi"/>
          <w:szCs w:val="24"/>
        </w:rPr>
        <w:t xml:space="preserve">also </w:t>
      </w:r>
      <w:r w:rsidR="00F33EB0" w:rsidRPr="00A77AF6">
        <w:rPr>
          <w:rFonts w:cstheme="minorHAnsi"/>
          <w:szCs w:val="24"/>
        </w:rPr>
        <w:t>responsible</w:t>
      </w:r>
      <w:r w:rsidR="00317F22" w:rsidRPr="00A77AF6">
        <w:rPr>
          <w:rFonts w:cstheme="minorHAnsi"/>
          <w:szCs w:val="24"/>
        </w:rPr>
        <w:t xml:space="preserve"> for project assurance and </w:t>
      </w:r>
      <w:r w:rsidR="00F33EB0" w:rsidRPr="00A77AF6">
        <w:rPr>
          <w:rFonts w:cstheme="minorHAnsi"/>
          <w:szCs w:val="24"/>
        </w:rPr>
        <w:t xml:space="preserve">for </w:t>
      </w:r>
      <w:r w:rsidR="00317F22" w:rsidRPr="00A77AF6">
        <w:rPr>
          <w:rFonts w:cstheme="minorHAnsi"/>
          <w:szCs w:val="24"/>
        </w:rPr>
        <w:t xml:space="preserve">agreeing changes during the lifetime of the project </w:t>
      </w:r>
      <w:sdt>
        <w:sdtPr>
          <w:rPr>
            <w:rFonts w:cstheme="minorHAnsi"/>
            <w:szCs w:val="24"/>
          </w:rPr>
          <w:id w:val="653734138"/>
          <w:citation/>
        </w:sdtPr>
        <w:sdtEndPr/>
        <w:sdtContent>
          <w:r w:rsidR="00317F22" w:rsidRPr="00A77AF6">
            <w:rPr>
              <w:rFonts w:cstheme="minorHAnsi"/>
              <w:szCs w:val="24"/>
            </w:rPr>
            <w:fldChar w:fldCharType="begin"/>
          </w:r>
          <w:r w:rsidR="004436D3" w:rsidRPr="00A77AF6">
            <w:rPr>
              <w:rFonts w:cstheme="minorHAnsi"/>
              <w:szCs w:val="24"/>
            </w:rPr>
            <w:instrText xml:space="preserve">CITATION Axe09 \l 2057 </w:instrText>
          </w:r>
          <w:r w:rsidR="00317F22" w:rsidRPr="00A77AF6">
            <w:rPr>
              <w:rFonts w:cstheme="minorHAnsi"/>
              <w:szCs w:val="24"/>
            </w:rPr>
            <w:fldChar w:fldCharType="separate"/>
          </w:r>
          <w:r w:rsidR="008E653F" w:rsidRPr="00A77AF6">
            <w:rPr>
              <w:rFonts w:cstheme="minorHAnsi"/>
              <w:szCs w:val="24"/>
            </w:rPr>
            <w:t>(Axelos, 2009)</w:t>
          </w:r>
          <w:r w:rsidR="00317F22" w:rsidRPr="00A77AF6">
            <w:rPr>
              <w:rFonts w:cstheme="minorHAnsi"/>
              <w:szCs w:val="24"/>
            </w:rPr>
            <w:fldChar w:fldCharType="end"/>
          </w:r>
        </w:sdtContent>
      </w:sdt>
      <w:r w:rsidR="00317F22" w:rsidRPr="00A77AF6">
        <w:rPr>
          <w:rFonts w:cstheme="minorHAnsi"/>
          <w:szCs w:val="24"/>
        </w:rPr>
        <w:t xml:space="preserve">.  The </w:t>
      </w:r>
      <w:r w:rsidR="008B0E67" w:rsidRPr="00A77AF6">
        <w:rPr>
          <w:rFonts w:cstheme="minorHAnsi"/>
          <w:szCs w:val="24"/>
        </w:rPr>
        <w:t>p</w:t>
      </w:r>
      <w:r w:rsidR="00317F22" w:rsidRPr="00A77AF6">
        <w:rPr>
          <w:rFonts w:cstheme="minorHAnsi"/>
          <w:szCs w:val="24"/>
        </w:rPr>
        <w:t xml:space="preserve">roject </w:t>
      </w:r>
      <w:r w:rsidR="008B0E67" w:rsidRPr="00A77AF6">
        <w:rPr>
          <w:rFonts w:cstheme="minorHAnsi"/>
          <w:szCs w:val="24"/>
        </w:rPr>
        <w:t>b</w:t>
      </w:r>
      <w:r w:rsidR="00317F22" w:rsidRPr="00A77AF6">
        <w:rPr>
          <w:rFonts w:cstheme="minorHAnsi"/>
          <w:szCs w:val="24"/>
        </w:rPr>
        <w:t xml:space="preserve">oard appoints the project manager, sets the time, cost quality criteria and allocates resources.  They </w:t>
      </w:r>
      <w:r w:rsidR="00BA4B8F" w:rsidRPr="00A77AF6">
        <w:rPr>
          <w:rFonts w:cstheme="minorHAnsi"/>
          <w:szCs w:val="24"/>
        </w:rPr>
        <w:t xml:space="preserve">ensure that relevant project risks are escalated to corporate level, </w:t>
      </w:r>
      <w:r w:rsidR="00317F22" w:rsidRPr="00A77AF6">
        <w:rPr>
          <w:rFonts w:cstheme="minorHAnsi"/>
          <w:szCs w:val="24"/>
        </w:rPr>
        <w:t xml:space="preserve">delegate day-to-day management of the project to the project manager and they execute their governance responsibilities through the use of plans, tolerances ‘milestones, deliverables, and change control and acceptance of the project end’ </w:t>
      </w:r>
      <w:sdt>
        <w:sdtPr>
          <w:rPr>
            <w:rFonts w:cstheme="minorHAnsi"/>
            <w:szCs w:val="24"/>
          </w:rPr>
          <w:id w:val="1144310437"/>
          <w:citation/>
        </w:sdtPr>
        <w:sdtEndPr/>
        <w:sdtContent>
          <w:r w:rsidR="00317F22" w:rsidRPr="00A77AF6">
            <w:rPr>
              <w:rFonts w:cstheme="minorHAnsi"/>
              <w:szCs w:val="24"/>
            </w:rPr>
            <w:fldChar w:fldCharType="begin"/>
          </w:r>
          <w:r w:rsidR="00317F22" w:rsidRPr="00A77AF6">
            <w:rPr>
              <w:rFonts w:cstheme="minorHAnsi"/>
              <w:szCs w:val="24"/>
            </w:rPr>
            <w:instrText xml:space="preserve">CITATION Mul09 \p 20 \l 2057 </w:instrText>
          </w:r>
          <w:r w:rsidR="00317F22" w:rsidRPr="00A77AF6">
            <w:rPr>
              <w:rFonts w:cstheme="minorHAnsi"/>
              <w:szCs w:val="24"/>
            </w:rPr>
            <w:fldChar w:fldCharType="separate"/>
          </w:r>
          <w:r w:rsidR="008E653F" w:rsidRPr="00A77AF6">
            <w:rPr>
              <w:rFonts w:cstheme="minorHAnsi"/>
              <w:szCs w:val="24"/>
            </w:rPr>
            <w:t>(Müller, 2009, p. 20)</w:t>
          </w:r>
          <w:r w:rsidR="00317F22" w:rsidRPr="00A77AF6">
            <w:rPr>
              <w:rFonts w:cstheme="minorHAnsi"/>
              <w:szCs w:val="24"/>
            </w:rPr>
            <w:fldChar w:fldCharType="end"/>
          </w:r>
        </w:sdtContent>
      </w:sdt>
      <w:r w:rsidR="00317F22" w:rsidRPr="00A77AF6">
        <w:rPr>
          <w:rFonts w:cstheme="minorHAnsi"/>
          <w:szCs w:val="24"/>
        </w:rPr>
        <w:t xml:space="preserve">.  </w:t>
      </w:r>
    </w:p>
    <w:p w14:paraId="1E804BDA" w14:textId="36532AAF" w:rsidR="00317F22" w:rsidRPr="00A77AF6" w:rsidRDefault="00364E6C" w:rsidP="00F33EB0">
      <w:pPr>
        <w:spacing w:after="0" w:line="360" w:lineRule="auto"/>
        <w:rPr>
          <w:rFonts w:cstheme="minorHAnsi"/>
          <w:szCs w:val="24"/>
        </w:rPr>
      </w:pPr>
      <w:r w:rsidRPr="00A77AF6">
        <w:rPr>
          <w:rFonts w:cstheme="minorHAnsi"/>
          <w:szCs w:val="24"/>
        </w:rPr>
        <w:t>T</w:t>
      </w:r>
      <w:r w:rsidR="00317F22" w:rsidRPr="00A77AF6">
        <w:rPr>
          <w:rFonts w:cstheme="minorHAnsi"/>
          <w:szCs w:val="24"/>
        </w:rPr>
        <w:t xml:space="preserve">he </w:t>
      </w:r>
      <w:r w:rsidRPr="00A77AF6">
        <w:rPr>
          <w:rFonts w:cstheme="minorHAnsi"/>
          <w:szCs w:val="24"/>
        </w:rPr>
        <w:t>e</w:t>
      </w:r>
      <w:r w:rsidR="00317F22" w:rsidRPr="00A77AF6">
        <w:rPr>
          <w:rFonts w:cstheme="minorHAnsi"/>
          <w:szCs w:val="24"/>
        </w:rPr>
        <w:t xml:space="preserve">xecutive </w:t>
      </w:r>
      <w:r w:rsidRPr="00A77AF6">
        <w:rPr>
          <w:rFonts w:cstheme="minorHAnsi"/>
          <w:szCs w:val="24"/>
        </w:rPr>
        <w:t xml:space="preserve">represents the business interests of the procuring organisation and is </w:t>
      </w:r>
      <w:r w:rsidR="00317F22" w:rsidRPr="00A77AF6">
        <w:rPr>
          <w:rFonts w:cstheme="minorHAnsi"/>
          <w:szCs w:val="24"/>
        </w:rPr>
        <w:t>responsible for</w:t>
      </w:r>
      <w:r w:rsidR="00F33EB0" w:rsidRPr="00A77AF6">
        <w:rPr>
          <w:rFonts w:cstheme="minorHAnsi"/>
          <w:szCs w:val="24"/>
        </w:rPr>
        <w:t xml:space="preserve"> </w:t>
      </w:r>
      <w:r w:rsidR="00317F22" w:rsidRPr="00A77AF6">
        <w:rPr>
          <w:rFonts w:cstheme="minorHAnsi"/>
          <w:szCs w:val="24"/>
        </w:rPr>
        <w:t>project success</w:t>
      </w:r>
      <w:r w:rsidRPr="00A77AF6">
        <w:rPr>
          <w:rFonts w:cstheme="minorHAnsi"/>
          <w:szCs w:val="24"/>
        </w:rPr>
        <w:t xml:space="preserve"> </w:t>
      </w:r>
      <w:sdt>
        <w:sdtPr>
          <w:rPr>
            <w:rFonts w:cstheme="minorHAnsi"/>
            <w:szCs w:val="24"/>
          </w:rPr>
          <w:id w:val="1952518021"/>
          <w:citation/>
        </w:sdtPr>
        <w:sdtEndPr/>
        <w:sdtContent>
          <w:r w:rsidRPr="00A77AF6">
            <w:rPr>
              <w:rFonts w:cstheme="minorHAnsi"/>
              <w:szCs w:val="24"/>
            </w:rPr>
            <w:fldChar w:fldCharType="begin"/>
          </w:r>
          <w:r w:rsidRPr="00A77AF6">
            <w:rPr>
              <w:rFonts w:cstheme="minorHAnsi"/>
              <w:szCs w:val="24"/>
            </w:rPr>
            <w:instrText xml:space="preserve">CITATION Axe09 \l 2057 </w:instrText>
          </w:r>
          <w:r w:rsidRPr="00A77AF6">
            <w:rPr>
              <w:rFonts w:cstheme="minorHAnsi"/>
              <w:szCs w:val="24"/>
            </w:rPr>
            <w:fldChar w:fldCharType="separate"/>
          </w:r>
          <w:r w:rsidR="008E653F" w:rsidRPr="00A77AF6">
            <w:rPr>
              <w:rFonts w:cstheme="minorHAnsi"/>
              <w:szCs w:val="24"/>
            </w:rPr>
            <w:t>(Axelos, 2009)</w:t>
          </w:r>
          <w:r w:rsidRPr="00A77AF6">
            <w:rPr>
              <w:rFonts w:cstheme="minorHAnsi"/>
              <w:szCs w:val="24"/>
            </w:rPr>
            <w:fldChar w:fldCharType="end"/>
          </w:r>
        </w:sdtContent>
      </w:sdt>
      <w:r w:rsidRPr="00A77AF6">
        <w:rPr>
          <w:rFonts w:cstheme="minorHAnsi"/>
          <w:szCs w:val="24"/>
        </w:rPr>
        <w:t xml:space="preserve">. </w:t>
      </w:r>
      <w:r w:rsidR="00317F22" w:rsidRPr="00A77AF6">
        <w:rPr>
          <w:rFonts w:cstheme="minorHAnsi"/>
          <w:szCs w:val="24"/>
        </w:rPr>
        <w:t>They ensure that the project provides value for money and deliver</w:t>
      </w:r>
      <w:r w:rsidR="00F33EB0" w:rsidRPr="00A77AF6">
        <w:rPr>
          <w:rFonts w:cstheme="minorHAnsi"/>
          <w:szCs w:val="24"/>
        </w:rPr>
        <w:t>s</w:t>
      </w:r>
      <w:r w:rsidR="00317F22" w:rsidRPr="00A77AF6">
        <w:rPr>
          <w:rFonts w:cstheme="minorHAnsi"/>
          <w:szCs w:val="24"/>
        </w:rPr>
        <w:t xml:space="preserve"> the anticipated benefits </w:t>
      </w:r>
      <w:sdt>
        <w:sdtPr>
          <w:rPr>
            <w:rFonts w:cstheme="minorHAnsi"/>
            <w:szCs w:val="24"/>
          </w:rPr>
          <w:id w:val="1381129292"/>
          <w:citation/>
        </w:sdtPr>
        <w:sdtEndPr/>
        <w:sdtContent>
          <w:r w:rsidR="00317F22" w:rsidRPr="00A77AF6">
            <w:rPr>
              <w:rFonts w:cstheme="minorHAnsi"/>
              <w:szCs w:val="24"/>
            </w:rPr>
            <w:fldChar w:fldCharType="begin"/>
          </w:r>
          <w:r w:rsidR="004436D3" w:rsidRPr="00A77AF6">
            <w:rPr>
              <w:rFonts w:cstheme="minorHAnsi"/>
              <w:szCs w:val="24"/>
            </w:rPr>
            <w:instrText xml:space="preserve">CITATION Axe09 \l 2057 </w:instrText>
          </w:r>
          <w:r w:rsidR="00317F22" w:rsidRPr="00A77AF6">
            <w:rPr>
              <w:rFonts w:cstheme="minorHAnsi"/>
              <w:szCs w:val="24"/>
            </w:rPr>
            <w:fldChar w:fldCharType="separate"/>
          </w:r>
          <w:r w:rsidR="008E653F" w:rsidRPr="00A77AF6">
            <w:rPr>
              <w:rFonts w:cstheme="minorHAnsi"/>
              <w:szCs w:val="24"/>
            </w:rPr>
            <w:t>(Axelos, 2009)</w:t>
          </w:r>
          <w:r w:rsidR="00317F22" w:rsidRPr="00A77AF6">
            <w:rPr>
              <w:rFonts w:cstheme="minorHAnsi"/>
              <w:szCs w:val="24"/>
            </w:rPr>
            <w:fldChar w:fldCharType="end"/>
          </w:r>
        </w:sdtContent>
      </w:sdt>
      <w:r w:rsidR="00317F22" w:rsidRPr="00A77AF6">
        <w:rPr>
          <w:rFonts w:cstheme="minorHAnsi"/>
          <w:szCs w:val="24"/>
        </w:rPr>
        <w:t xml:space="preserve">.  They are </w:t>
      </w:r>
    </w:p>
    <w:p w14:paraId="3AEA9FC5" w14:textId="30BB87FF" w:rsidR="00317F22" w:rsidRPr="00A77AF6" w:rsidRDefault="00317F22" w:rsidP="00317F22">
      <w:pPr>
        <w:spacing w:after="240" w:line="240" w:lineRule="auto"/>
        <w:ind w:left="720"/>
        <w:rPr>
          <w:rFonts w:cstheme="minorHAnsi"/>
          <w:i/>
          <w:szCs w:val="24"/>
        </w:rPr>
      </w:pPr>
      <w:r w:rsidRPr="00A77AF6">
        <w:rPr>
          <w:rFonts w:cstheme="minorHAnsi"/>
          <w:i/>
          <w:szCs w:val="24"/>
        </w:rPr>
        <w:t>‘Appointed by corporate or programme management</w:t>
      </w:r>
      <w:r w:rsidR="00F33EB0" w:rsidRPr="00A77AF6">
        <w:rPr>
          <w:rFonts w:cstheme="minorHAnsi"/>
          <w:i/>
          <w:szCs w:val="24"/>
        </w:rPr>
        <w:t>…..</w:t>
      </w:r>
      <w:r w:rsidRPr="00A77AF6">
        <w:rPr>
          <w:rFonts w:cstheme="minorHAnsi"/>
          <w:i/>
          <w:szCs w:val="24"/>
        </w:rPr>
        <w:t xml:space="preserve">The role of the Executive is vested in one individual, so there is a single point of accountability for the project </w:t>
      </w:r>
      <w:sdt>
        <w:sdtPr>
          <w:rPr>
            <w:rFonts w:cstheme="minorHAnsi"/>
            <w:i/>
            <w:szCs w:val="24"/>
          </w:rPr>
          <w:id w:val="673228615"/>
          <w:citation/>
        </w:sdtPr>
        <w:sdtEndPr/>
        <w:sdtContent>
          <w:r w:rsidRPr="00A77AF6">
            <w:rPr>
              <w:rFonts w:cstheme="minorHAnsi"/>
              <w:i/>
              <w:szCs w:val="24"/>
            </w:rPr>
            <w:fldChar w:fldCharType="begin"/>
          </w:r>
          <w:r w:rsidR="004436D3" w:rsidRPr="00A77AF6">
            <w:rPr>
              <w:rFonts w:cstheme="minorHAnsi"/>
              <w:i/>
              <w:szCs w:val="24"/>
            </w:rPr>
            <w:instrText xml:space="preserve">CITATION Axe09 \p 35 \l 2057 </w:instrText>
          </w:r>
          <w:r w:rsidRPr="00A77AF6">
            <w:rPr>
              <w:rFonts w:cstheme="minorHAnsi"/>
              <w:i/>
              <w:szCs w:val="24"/>
            </w:rPr>
            <w:fldChar w:fldCharType="separate"/>
          </w:r>
          <w:r w:rsidR="008E653F" w:rsidRPr="00A77AF6">
            <w:rPr>
              <w:rFonts w:cstheme="minorHAnsi"/>
              <w:szCs w:val="24"/>
            </w:rPr>
            <w:t>(Axelos, 2009, p. 35)</w:t>
          </w:r>
          <w:r w:rsidRPr="00A77AF6">
            <w:rPr>
              <w:rFonts w:cstheme="minorHAnsi"/>
              <w:i/>
              <w:szCs w:val="24"/>
            </w:rPr>
            <w:fldChar w:fldCharType="end"/>
          </w:r>
        </w:sdtContent>
      </w:sdt>
    </w:p>
    <w:p w14:paraId="7D9137AD" w14:textId="224B2EDC" w:rsidR="00F56AA1" w:rsidRPr="00A77AF6" w:rsidRDefault="00F33EB0" w:rsidP="00F33EB0">
      <w:pPr>
        <w:spacing w:line="360" w:lineRule="auto"/>
        <w:rPr>
          <w:rFonts w:cstheme="minorHAnsi"/>
          <w:szCs w:val="24"/>
        </w:rPr>
      </w:pPr>
      <w:r w:rsidRPr="00A77AF6">
        <w:rPr>
          <w:rFonts w:cstheme="minorHAnsi"/>
          <w:szCs w:val="24"/>
        </w:rPr>
        <w:t xml:space="preserve">The </w:t>
      </w:r>
      <w:r w:rsidR="00364E6C" w:rsidRPr="00A77AF6">
        <w:rPr>
          <w:rFonts w:cstheme="minorHAnsi"/>
          <w:szCs w:val="24"/>
        </w:rPr>
        <w:t>s</w:t>
      </w:r>
      <w:r w:rsidRPr="00A77AF6">
        <w:rPr>
          <w:rFonts w:cstheme="minorHAnsi"/>
          <w:szCs w:val="24"/>
        </w:rPr>
        <w:t xml:space="preserve">enior </w:t>
      </w:r>
      <w:r w:rsidR="00364E6C" w:rsidRPr="00A77AF6">
        <w:rPr>
          <w:rFonts w:cstheme="minorHAnsi"/>
          <w:szCs w:val="24"/>
        </w:rPr>
        <w:t>u</w:t>
      </w:r>
      <w:r w:rsidRPr="00A77AF6">
        <w:rPr>
          <w:rFonts w:cstheme="minorHAnsi"/>
          <w:szCs w:val="24"/>
        </w:rPr>
        <w:t xml:space="preserve">ser represents the interests of those people who will use or operate the project when it is finished, and they ensure that the needs of the users are properly specified. They commit resources to the project and monitors that the project is delivering its benefits </w:t>
      </w:r>
      <w:sdt>
        <w:sdtPr>
          <w:rPr>
            <w:rFonts w:cstheme="minorHAnsi"/>
            <w:szCs w:val="24"/>
          </w:rPr>
          <w:id w:val="1103689169"/>
          <w:citation/>
        </w:sdtPr>
        <w:sdtEndPr/>
        <w:sdtContent>
          <w:r w:rsidRPr="00A77AF6">
            <w:rPr>
              <w:rFonts w:cstheme="minorHAnsi"/>
              <w:szCs w:val="24"/>
            </w:rPr>
            <w:fldChar w:fldCharType="begin"/>
          </w:r>
          <w:r w:rsidR="004436D3" w:rsidRPr="00A77AF6">
            <w:rPr>
              <w:rFonts w:cstheme="minorHAnsi"/>
              <w:szCs w:val="24"/>
            </w:rPr>
            <w:instrText xml:space="preserve">CITATION Axe09 \l 2057 </w:instrText>
          </w:r>
          <w:r w:rsidRPr="00A77AF6">
            <w:rPr>
              <w:rFonts w:cstheme="minorHAnsi"/>
              <w:szCs w:val="24"/>
            </w:rPr>
            <w:fldChar w:fldCharType="separate"/>
          </w:r>
          <w:r w:rsidR="008E653F" w:rsidRPr="00A77AF6">
            <w:rPr>
              <w:rFonts w:cstheme="minorHAnsi"/>
              <w:szCs w:val="24"/>
            </w:rPr>
            <w:t>(Axelos, 2009)</w:t>
          </w:r>
          <w:r w:rsidRPr="00A77AF6">
            <w:rPr>
              <w:rFonts w:cstheme="minorHAnsi"/>
              <w:szCs w:val="24"/>
            </w:rPr>
            <w:fldChar w:fldCharType="end"/>
          </w:r>
        </w:sdtContent>
      </w:sdt>
      <w:r w:rsidRPr="00A77AF6">
        <w:rPr>
          <w:rFonts w:cstheme="minorHAnsi"/>
          <w:szCs w:val="24"/>
        </w:rPr>
        <w:t xml:space="preserve">. </w:t>
      </w:r>
      <w:r w:rsidR="00F56AA1" w:rsidRPr="00A77AF6">
        <w:rPr>
          <w:rFonts w:cstheme="minorHAnsi"/>
          <w:szCs w:val="24"/>
        </w:rPr>
        <w:t xml:space="preserve">The </w:t>
      </w:r>
      <w:r w:rsidR="00F56AA1" w:rsidRPr="00A77AF6">
        <w:rPr>
          <w:rFonts w:cstheme="minorHAnsi"/>
          <w:szCs w:val="24"/>
        </w:rPr>
        <w:lastRenderedPageBreak/>
        <w:t xml:space="preserve">Senior </w:t>
      </w:r>
      <w:r w:rsidRPr="00A77AF6">
        <w:rPr>
          <w:rFonts w:cstheme="minorHAnsi"/>
          <w:szCs w:val="24"/>
        </w:rPr>
        <w:t xml:space="preserve">Supplier represents those parties that are delivering products and are therefore partly responsible for the ‘technical integrity of the project’ </w:t>
      </w:r>
      <w:sdt>
        <w:sdtPr>
          <w:rPr>
            <w:rFonts w:cstheme="minorHAnsi"/>
            <w:szCs w:val="24"/>
          </w:rPr>
          <w:id w:val="-1815933208"/>
          <w:citation/>
        </w:sdtPr>
        <w:sdtEndPr/>
        <w:sdtContent>
          <w:r w:rsidRPr="00A77AF6">
            <w:rPr>
              <w:rFonts w:cstheme="minorHAnsi"/>
              <w:szCs w:val="24"/>
            </w:rPr>
            <w:fldChar w:fldCharType="begin"/>
          </w:r>
          <w:r w:rsidR="004436D3" w:rsidRPr="00A77AF6">
            <w:rPr>
              <w:rFonts w:cstheme="minorHAnsi"/>
              <w:szCs w:val="24"/>
            </w:rPr>
            <w:instrText xml:space="preserve">CITATION Axe09 \p 35 \l 2057 </w:instrText>
          </w:r>
          <w:r w:rsidRPr="00A77AF6">
            <w:rPr>
              <w:rFonts w:cstheme="minorHAnsi"/>
              <w:szCs w:val="24"/>
            </w:rPr>
            <w:fldChar w:fldCharType="separate"/>
          </w:r>
          <w:r w:rsidR="008E653F" w:rsidRPr="00A77AF6">
            <w:rPr>
              <w:rFonts w:cstheme="minorHAnsi"/>
              <w:szCs w:val="24"/>
            </w:rPr>
            <w:t>(Axelos, 2009, p. 35)</w:t>
          </w:r>
          <w:r w:rsidRPr="00A77AF6">
            <w:rPr>
              <w:rFonts w:cstheme="minorHAnsi"/>
              <w:szCs w:val="24"/>
            </w:rPr>
            <w:fldChar w:fldCharType="end"/>
          </w:r>
        </w:sdtContent>
      </w:sdt>
      <w:r w:rsidRPr="00A77AF6">
        <w:rPr>
          <w:rFonts w:cstheme="minorHAnsi"/>
          <w:szCs w:val="24"/>
        </w:rPr>
        <w:t>.   R</w:t>
      </w:r>
      <w:r w:rsidR="00967CD6" w:rsidRPr="00A77AF6">
        <w:rPr>
          <w:rFonts w:cstheme="minorHAnsi"/>
          <w:szCs w:val="24"/>
        </w:rPr>
        <w:t xml:space="preserve">oles </w:t>
      </w:r>
      <w:r w:rsidR="00317F22" w:rsidRPr="00A77AF6">
        <w:rPr>
          <w:rFonts w:cstheme="minorHAnsi"/>
          <w:szCs w:val="24"/>
        </w:rPr>
        <w:t xml:space="preserve">remain throughout the project, but the people may </w:t>
      </w:r>
      <w:r w:rsidR="003E6A78" w:rsidRPr="00A77AF6">
        <w:rPr>
          <w:rFonts w:cstheme="minorHAnsi"/>
          <w:szCs w:val="24"/>
        </w:rPr>
        <w:t>vary</w:t>
      </w:r>
      <w:r w:rsidR="00317F22" w:rsidRPr="00A77AF6">
        <w:rPr>
          <w:rFonts w:cstheme="minorHAnsi"/>
          <w:szCs w:val="24"/>
        </w:rPr>
        <w:t xml:space="preserve">. </w:t>
      </w:r>
      <w:r w:rsidR="00967CD6" w:rsidRPr="00A77AF6">
        <w:rPr>
          <w:rFonts w:cstheme="minorHAnsi"/>
          <w:szCs w:val="24"/>
        </w:rPr>
        <w:t xml:space="preserve">For </w:t>
      </w:r>
      <w:r w:rsidR="00564C87" w:rsidRPr="00A77AF6">
        <w:rPr>
          <w:rFonts w:cstheme="minorHAnsi"/>
          <w:szCs w:val="24"/>
        </w:rPr>
        <w:t>example,</w:t>
      </w:r>
      <w:r w:rsidR="00967CD6" w:rsidRPr="00A77AF6">
        <w:rPr>
          <w:rFonts w:cstheme="minorHAnsi"/>
          <w:szCs w:val="24"/>
        </w:rPr>
        <w:t xml:space="preserve"> in the pre-construction phase</w:t>
      </w:r>
      <w:r w:rsidR="00615203" w:rsidRPr="00A77AF6">
        <w:rPr>
          <w:rFonts w:cstheme="minorHAnsi"/>
          <w:szCs w:val="24"/>
        </w:rPr>
        <w:t>,</w:t>
      </w:r>
      <w:r w:rsidR="00967CD6" w:rsidRPr="00A77AF6">
        <w:rPr>
          <w:rFonts w:cstheme="minorHAnsi"/>
          <w:szCs w:val="24"/>
        </w:rPr>
        <w:t xml:space="preserve"> the senior supplier may be an architect but in the construction phase</w:t>
      </w:r>
      <w:r w:rsidR="00564C87" w:rsidRPr="00A77AF6">
        <w:rPr>
          <w:rFonts w:cstheme="minorHAnsi"/>
          <w:szCs w:val="24"/>
        </w:rPr>
        <w:t>,</w:t>
      </w:r>
      <w:r w:rsidR="00967CD6" w:rsidRPr="00A77AF6">
        <w:rPr>
          <w:rFonts w:cstheme="minorHAnsi"/>
          <w:szCs w:val="24"/>
        </w:rPr>
        <w:t xml:space="preserve"> the senior supplier may be the constructor. </w:t>
      </w:r>
      <w:r w:rsidR="003E6A78" w:rsidRPr="00A77AF6">
        <w:rPr>
          <w:rFonts w:cstheme="minorHAnsi"/>
          <w:szCs w:val="24"/>
        </w:rPr>
        <w:t xml:space="preserve"> </w:t>
      </w:r>
    </w:p>
    <w:p w14:paraId="60833382" w14:textId="5FDA20F0" w:rsidR="00D322CC" w:rsidRPr="00A77AF6" w:rsidRDefault="00D322CC" w:rsidP="000B1FFA">
      <w:pPr>
        <w:pStyle w:val="Heading5"/>
        <w:numPr>
          <w:ilvl w:val="0"/>
          <w:numId w:val="0"/>
        </w:numPr>
        <w:spacing w:after="120"/>
      </w:pPr>
      <w:r w:rsidRPr="00A77AF6">
        <w:t xml:space="preserve">Project </w:t>
      </w:r>
      <w:r w:rsidR="002B2A8C" w:rsidRPr="00A77AF6">
        <w:t>m</w:t>
      </w:r>
      <w:r w:rsidRPr="00A77AF6">
        <w:t>anager</w:t>
      </w:r>
    </w:p>
    <w:p w14:paraId="3607AD68" w14:textId="76BBA248" w:rsidR="00464A30" w:rsidRPr="00A77AF6" w:rsidRDefault="00D322CC" w:rsidP="00F33EB0">
      <w:pPr>
        <w:spacing w:after="0" w:line="360" w:lineRule="auto"/>
        <w:rPr>
          <w:rFonts w:cstheme="minorHAnsi"/>
          <w:szCs w:val="24"/>
        </w:rPr>
      </w:pPr>
      <w:r w:rsidRPr="00A77AF6">
        <w:rPr>
          <w:rFonts w:cstheme="minorHAnsi"/>
          <w:szCs w:val="24"/>
        </w:rPr>
        <w:t xml:space="preserve">The project manager has been discussed </w:t>
      </w:r>
      <w:r w:rsidR="00696D7E" w:rsidRPr="00A77AF6">
        <w:rPr>
          <w:rFonts w:cstheme="minorHAnsi"/>
          <w:szCs w:val="24"/>
        </w:rPr>
        <w:t>previously, and</w:t>
      </w:r>
      <w:r w:rsidR="004945C1" w:rsidRPr="00A77AF6">
        <w:rPr>
          <w:rFonts w:cstheme="minorHAnsi"/>
          <w:szCs w:val="24"/>
        </w:rPr>
        <w:t xml:space="preserve"> their</w:t>
      </w:r>
      <w:r w:rsidR="00E02515" w:rsidRPr="00A77AF6">
        <w:rPr>
          <w:rFonts w:cstheme="minorHAnsi"/>
          <w:szCs w:val="24"/>
        </w:rPr>
        <w:t xml:space="preserve"> </w:t>
      </w:r>
      <w:r w:rsidR="004945C1" w:rsidRPr="00A77AF6">
        <w:rPr>
          <w:rFonts w:cstheme="minorHAnsi"/>
          <w:szCs w:val="24"/>
        </w:rPr>
        <w:t xml:space="preserve">role </w:t>
      </w:r>
      <w:r w:rsidR="00E02515" w:rsidRPr="00A77AF6">
        <w:rPr>
          <w:rFonts w:cstheme="minorHAnsi"/>
          <w:szCs w:val="24"/>
        </w:rPr>
        <w:t>is to</w:t>
      </w:r>
    </w:p>
    <w:p w14:paraId="566DD089" w14:textId="2B3932DE" w:rsidR="00464A30" w:rsidRPr="00A77AF6" w:rsidRDefault="00E02515" w:rsidP="00F33EB0">
      <w:pPr>
        <w:spacing w:line="240" w:lineRule="auto"/>
        <w:ind w:left="720"/>
        <w:rPr>
          <w:rFonts w:cstheme="minorHAnsi"/>
          <w:szCs w:val="24"/>
        </w:rPr>
      </w:pPr>
      <w:r w:rsidRPr="00A77AF6">
        <w:rPr>
          <w:rFonts w:cstheme="minorHAnsi"/>
          <w:i/>
          <w:szCs w:val="24"/>
        </w:rPr>
        <w:t xml:space="preserve"> ‘manage the project on a day-to-day basis to deliver the required products within the constraints agreed with the Project Board’</w:t>
      </w:r>
      <w:r w:rsidRPr="00A77AF6">
        <w:rPr>
          <w:rFonts w:cstheme="minorHAnsi"/>
          <w:szCs w:val="24"/>
        </w:rPr>
        <w:t xml:space="preserve"> </w:t>
      </w:r>
      <w:sdt>
        <w:sdtPr>
          <w:rPr>
            <w:rFonts w:cstheme="minorHAnsi"/>
            <w:szCs w:val="24"/>
          </w:rPr>
          <w:id w:val="-1866747067"/>
          <w:citation/>
        </w:sdtPr>
        <w:sdtEndPr/>
        <w:sdtContent>
          <w:r w:rsidR="004E7B67" w:rsidRPr="00A77AF6">
            <w:rPr>
              <w:rFonts w:cstheme="minorHAnsi"/>
              <w:szCs w:val="24"/>
            </w:rPr>
            <w:fldChar w:fldCharType="begin"/>
          </w:r>
          <w:r w:rsidR="004436D3" w:rsidRPr="00A77AF6">
            <w:rPr>
              <w:rFonts w:cstheme="minorHAnsi"/>
              <w:szCs w:val="24"/>
            </w:rPr>
            <w:instrText xml:space="preserve">CITATION Axe09 \p 309 \l 2057 </w:instrText>
          </w:r>
          <w:r w:rsidR="004E7B67" w:rsidRPr="00A77AF6">
            <w:rPr>
              <w:rFonts w:cstheme="minorHAnsi"/>
              <w:szCs w:val="24"/>
            </w:rPr>
            <w:fldChar w:fldCharType="separate"/>
          </w:r>
          <w:r w:rsidR="008E653F" w:rsidRPr="00A77AF6">
            <w:rPr>
              <w:rFonts w:cstheme="minorHAnsi"/>
              <w:szCs w:val="24"/>
            </w:rPr>
            <w:t>(Axelos, 2009, p. 309)</w:t>
          </w:r>
          <w:r w:rsidR="004E7B67" w:rsidRPr="00A77AF6">
            <w:rPr>
              <w:rFonts w:cstheme="minorHAnsi"/>
              <w:szCs w:val="24"/>
            </w:rPr>
            <w:fldChar w:fldCharType="end"/>
          </w:r>
        </w:sdtContent>
      </w:sdt>
      <w:r w:rsidR="004E7B67" w:rsidRPr="00A77AF6">
        <w:rPr>
          <w:rFonts w:cstheme="minorHAnsi"/>
          <w:szCs w:val="24"/>
        </w:rPr>
        <w:t xml:space="preserve">. </w:t>
      </w:r>
    </w:p>
    <w:p w14:paraId="52E3D591" w14:textId="32D59E46" w:rsidR="004E7B67" w:rsidRPr="00A77AF6" w:rsidRDefault="004E7B67" w:rsidP="00F33EB0">
      <w:pPr>
        <w:spacing w:line="360" w:lineRule="auto"/>
        <w:rPr>
          <w:rFonts w:cstheme="minorHAnsi"/>
          <w:szCs w:val="24"/>
        </w:rPr>
      </w:pPr>
      <w:r w:rsidRPr="00A77AF6">
        <w:rPr>
          <w:rFonts w:cstheme="minorHAnsi"/>
          <w:szCs w:val="24"/>
        </w:rPr>
        <w:t xml:space="preserve"> This may include appointing and managing </w:t>
      </w:r>
      <w:r w:rsidR="00FF79FF">
        <w:rPr>
          <w:rFonts w:cstheme="minorHAnsi"/>
          <w:szCs w:val="24"/>
        </w:rPr>
        <w:t xml:space="preserve">the </w:t>
      </w:r>
      <w:r w:rsidRPr="00A77AF6">
        <w:rPr>
          <w:rFonts w:cstheme="minorHAnsi"/>
          <w:szCs w:val="24"/>
        </w:rPr>
        <w:t>team managers, preparing stage and end stage plans, manag</w:t>
      </w:r>
      <w:r w:rsidR="00FF79FF">
        <w:rPr>
          <w:rFonts w:cstheme="minorHAnsi"/>
          <w:szCs w:val="24"/>
        </w:rPr>
        <w:t>ing</w:t>
      </w:r>
      <w:r w:rsidRPr="00A77AF6">
        <w:rPr>
          <w:rFonts w:cstheme="minorHAnsi"/>
          <w:szCs w:val="24"/>
        </w:rPr>
        <w:t xml:space="preserve"> the risk register, man</w:t>
      </w:r>
      <w:r w:rsidR="00FF79FF">
        <w:rPr>
          <w:rFonts w:cstheme="minorHAnsi"/>
          <w:szCs w:val="24"/>
        </w:rPr>
        <w:t>a</w:t>
      </w:r>
      <w:r w:rsidRPr="00A77AF6">
        <w:rPr>
          <w:rFonts w:cstheme="minorHAnsi"/>
          <w:szCs w:val="24"/>
        </w:rPr>
        <w:t>g</w:t>
      </w:r>
      <w:r w:rsidR="00FF79FF">
        <w:rPr>
          <w:rFonts w:cstheme="minorHAnsi"/>
          <w:szCs w:val="24"/>
        </w:rPr>
        <w:t xml:space="preserve">ing </w:t>
      </w:r>
      <w:r w:rsidRPr="00A77AF6">
        <w:rPr>
          <w:rFonts w:cstheme="minorHAnsi"/>
          <w:szCs w:val="24"/>
        </w:rPr>
        <w:t>the issue and change control procedure</w:t>
      </w:r>
      <w:r w:rsidR="00FF79FF">
        <w:rPr>
          <w:rFonts w:cstheme="minorHAnsi"/>
          <w:szCs w:val="24"/>
        </w:rPr>
        <w:t>s</w:t>
      </w:r>
      <w:r w:rsidRPr="00A77AF6">
        <w:rPr>
          <w:rFonts w:cstheme="minorHAnsi"/>
          <w:szCs w:val="24"/>
        </w:rPr>
        <w:t xml:space="preserve">, </w:t>
      </w:r>
      <w:r w:rsidR="00BC446B" w:rsidRPr="00A77AF6">
        <w:rPr>
          <w:rFonts w:cstheme="minorHAnsi"/>
          <w:szCs w:val="24"/>
        </w:rPr>
        <w:t>authoris</w:t>
      </w:r>
      <w:r w:rsidR="00FF79FF">
        <w:rPr>
          <w:rFonts w:cstheme="minorHAnsi"/>
          <w:szCs w:val="24"/>
        </w:rPr>
        <w:t>ing</w:t>
      </w:r>
      <w:r w:rsidR="00BC446B" w:rsidRPr="00A77AF6">
        <w:rPr>
          <w:rFonts w:cstheme="minorHAnsi"/>
          <w:szCs w:val="24"/>
        </w:rPr>
        <w:t xml:space="preserve"> work packages, monitor</w:t>
      </w:r>
      <w:r w:rsidR="00FF79FF">
        <w:rPr>
          <w:rFonts w:cstheme="minorHAnsi"/>
          <w:szCs w:val="24"/>
        </w:rPr>
        <w:t>ing</w:t>
      </w:r>
      <w:r w:rsidR="00BC446B" w:rsidRPr="00A77AF6">
        <w:rPr>
          <w:rFonts w:cstheme="minorHAnsi"/>
          <w:szCs w:val="24"/>
        </w:rPr>
        <w:t xml:space="preserve"> progress and produc</w:t>
      </w:r>
      <w:r w:rsidR="00FF79FF">
        <w:rPr>
          <w:rFonts w:cstheme="minorHAnsi"/>
          <w:szCs w:val="24"/>
        </w:rPr>
        <w:t>ing</w:t>
      </w:r>
      <w:r w:rsidR="00BC446B" w:rsidRPr="00A77AF6">
        <w:rPr>
          <w:rFonts w:cstheme="minorHAnsi"/>
          <w:szCs w:val="24"/>
        </w:rPr>
        <w:t xml:space="preserve"> reports for the </w:t>
      </w:r>
      <w:r w:rsidR="00932A73" w:rsidRPr="00A77AF6">
        <w:rPr>
          <w:rFonts w:cstheme="minorHAnsi"/>
          <w:szCs w:val="24"/>
        </w:rPr>
        <w:t>p</w:t>
      </w:r>
      <w:r w:rsidR="00BC446B" w:rsidRPr="00A77AF6">
        <w:rPr>
          <w:rFonts w:cstheme="minorHAnsi"/>
          <w:szCs w:val="24"/>
        </w:rPr>
        <w:t xml:space="preserve">roject </w:t>
      </w:r>
      <w:r w:rsidR="00932A73" w:rsidRPr="00A77AF6">
        <w:rPr>
          <w:rFonts w:cstheme="minorHAnsi"/>
          <w:szCs w:val="24"/>
        </w:rPr>
        <w:t>b</w:t>
      </w:r>
      <w:r w:rsidR="00BC446B" w:rsidRPr="00A77AF6">
        <w:rPr>
          <w:rFonts w:cstheme="minorHAnsi"/>
          <w:szCs w:val="24"/>
        </w:rPr>
        <w:t xml:space="preserve">oard </w:t>
      </w:r>
      <w:sdt>
        <w:sdtPr>
          <w:rPr>
            <w:rFonts w:cstheme="minorHAnsi"/>
            <w:szCs w:val="24"/>
          </w:rPr>
          <w:id w:val="-1863350006"/>
          <w:citation/>
        </w:sdtPr>
        <w:sdtEndPr/>
        <w:sdtContent>
          <w:r w:rsidR="00BC446B" w:rsidRPr="00A77AF6">
            <w:rPr>
              <w:rFonts w:cstheme="minorHAnsi"/>
              <w:szCs w:val="24"/>
            </w:rPr>
            <w:fldChar w:fldCharType="begin"/>
          </w:r>
          <w:r w:rsidR="004436D3" w:rsidRPr="00A77AF6">
            <w:rPr>
              <w:rFonts w:cstheme="minorHAnsi"/>
              <w:szCs w:val="24"/>
            </w:rPr>
            <w:instrText xml:space="preserve">CITATION Axe09 \l 2057 </w:instrText>
          </w:r>
          <w:r w:rsidR="00BC446B" w:rsidRPr="00A77AF6">
            <w:rPr>
              <w:rFonts w:cstheme="minorHAnsi"/>
              <w:szCs w:val="24"/>
            </w:rPr>
            <w:fldChar w:fldCharType="separate"/>
          </w:r>
          <w:r w:rsidR="008E653F" w:rsidRPr="00A77AF6">
            <w:rPr>
              <w:rFonts w:cstheme="minorHAnsi"/>
              <w:szCs w:val="24"/>
            </w:rPr>
            <w:t>(Axelos, 2009)</w:t>
          </w:r>
          <w:r w:rsidR="00BC446B" w:rsidRPr="00A77AF6">
            <w:rPr>
              <w:rFonts w:cstheme="minorHAnsi"/>
              <w:szCs w:val="24"/>
            </w:rPr>
            <w:fldChar w:fldCharType="end"/>
          </w:r>
        </w:sdtContent>
      </w:sdt>
      <w:r w:rsidR="00BC446B" w:rsidRPr="00A77AF6">
        <w:rPr>
          <w:rFonts w:cstheme="minorHAnsi"/>
          <w:szCs w:val="24"/>
        </w:rPr>
        <w:t xml:space="preserve">. </w:t>
      </w:r>
      <w:r w:rsidRPr="00A77AF6">
        <w:rPr>
          <w:rFonts w:cstheme="minorHAnsi"/>
          <w:szCs w:val="24"/>
        </w:rPr>
        <w:t xml:space="preserve">The </w:t>
      </w:r>
      <w:r w:rsidR="00932A73" w:rsidRPr="00A77AF6">
        <w:rPr>
          <w:rFonts w:cstheme="minorHAnsi"/>
          <w:szCs w:val="24"/>
        </w:rPr>
        <w:t>p</w:t>
      </w:r>
      <w:r w:rsidRPr="00A77AF6">
        <w:rPr>
          <w:rFonts w:cstheme="minorHAnsi"/>
          <w:szCs w:val="24"/>
        </w:rPr>
        <w:t xml:space="preserve">roject </w:t>
      </w:r>
      <w:r w:rsidR="00932A73" w:rsidRPr="00A77AF6">
        <w:rPr>
          <w:rFonts w:cstheme="minorHAnsi"/>
          <w:szCs w:val="24"/>
        </w:rPr>
        <w:t>m</w:t>
      </w:r>
      <w:r w:rsidRPr="00A77AF6">
        <w:rPr>
          <w:rFonts w:cstheme="minorHAnsi"/>
          <w:szCs w:val="24"/>
        </w:rPr>
        <w:t xml:space="preserve">anager reports to the </w:t>
      </w:r>
      <w:r w:rsidR="00932A73" w:rsidRPr="00A77AF6">
        <w:rPr>
          <w:rFonts w:cstheme="minorHAnsi"/>
          <w:szCs w:val="24"/>
        </w:rPr>
        <w:t>p</w:t>
      </w:r>
      <w:r w:rsidRPr="00A77AF6">
        <w:rPr>
          <w:rFonts w:cstheme="minorHAnsi"/>
          <w:szCs w:val="24"/>
        </w:rPr>
        <w:t xml:space="preserve">roject </w:t>
      </w:r>
      <w:r w:rsidR="00932A73" w:rsidRPr="00A77AF6">
        <w:rPr>
          <w:rFonts w:cstheme="minorHAnsi"/>
          <w:szCs w:val="24"/>
        </w:rPr>
        <w:t>b</w:t>
      </w:r>
      <w:r w:rsidRPr="00A77AF6">
        <w:rPr>
          <w:rFonts w:cstheme="minorHAnsi"/>
          <w:szCs w:val="24"/>
        </w:rPr>
        <w:t xml:space="preserve">oard for the duration of the project but is not a member of it. </w:t>
      </w:r>
    </w:p>
    <w:p w14:paraId="33F284CD" w14:textId="66FEA60B" w:rsidR="00D322CC" w:rsidRPr="00A77AF6" w:rsidRDefault="00BC446B" w:rsidP="000B1FFA">
      <w:pPr>
        <w:pStyle w:val="Heading5"/>
        <w:numPr>
          <w:ilvl w:val="0"/>
          <w:numId w:val="0"/>
        </w:numPr>
        <w:spacing w:after="120"/>
      </w:pPr>
      <w:r w:rsidRPr="00A77AF6">
        <w:t xml:space="preserve">Team </w:t>
      </w:r>
      <w:r w:rsidR="002B2A8C" w:rsidRPr="00A77AF6">
        <w:t>m</w:t>
      </w:r>
      <w:r w:rsidRPr="00A77AF6">
        <w:t>anager</w:t>
      </w:r>
    </w:p>
    <w:p w14:paraId="0149D9AE" w14:textId="00518C3D" w:rsidR="00BC0C3A" w:rsidRPr="00A77AF6" w:rsidRDefault="00BC0C3A" w:rsidP="00F33EB0">
      <w:pPr>
        <w:spacing w:line="360" w:lineRule="auto"/>
        <w:rPr>
          <w:rFonts w:cstheme="minorHAnsi"/>
          <w:szCs w:val="24"/>
        </w:rPr>
      </w:pPr>
      <w:r w:rsidRPr="00A77AF6">
        <w:rPr>
          <w:rFonts w:cstheme="minorHAnsi"/>
          <w:szCs w:val="24"/>
        </w:rPr>
        <w:t xml:space="preserve">The Team Manager is responsible for delivering the outputs required by the </w:t>
      </w:r>
      <w:r w:rsidR="008B0E67" w:rsidRPr="00A77AF6">
        <w:rPr>
          <w:rFonts w:cstheme="minorHAnsi"/>
          <w:szCs w:val="24"/>
        </w:rPr>
        <w:t>p</w:t>
      </w:r>
      <w:r w:rsidRPr="00A77AF6">
        <w:rPr>
          <w:rFonts w:cstheme="minorHAnsi"/>
          <w:szCs w:val="24"/>
        </w:rPr>
        <w:t xml:space="preserve">roject </w:t>
      </w:r>
      <w:r w:rsidR="008B0E67" w:rsidRPr="00A77AF6">
        <w:rPr>
          <w:rFonts w:cstheme="minorHAnsi"/>
          <w:szCs w:val="24"/>
        </w:rPr>
        <w:t>m</w:t>
      </w:r>
      <w:r w:rsidRPr="00A77AF6">
        <w:rPr>
          <w:rFonts w:cstheme="minorHAnsi"/>
          <w:szCs w:val="24"/>
        </w:rPr>
        <w:t>anager</w:t>
      </w:r>
      <w:r w:rsidR="00797FDC" w:rsidRPr="00A77AF6">
        <w:rPr>
          <w:rFonts w:cstheme="minorHAnsi"/>
          <w:szCs w:val="24"/>
        </w:rPr>
        <w:t xml:space="preserve"> which are described in a work package in compliance with the time, cost and quality constraints agreed by the </w:t>
      </w:r>
      <w:r w:rsidR="008B0E67" w:rsidRPr="00A77AF6">
        <w:rPr>
          <w:rFonts w:cstheme="minorHAnsi"/>
          <w:szCs w:val="24"/>
        </w:rPr>
        <w:t>p</w:t>
      </w:r>
      <w:r w:rsidR="00797FDC" w:rsidRPr="00A77AF6">
        <w:rPr>
          <w:rFonts w:cstheme="minorHAnsi"/>
          <w:szCs w:val="24"/>
        </w:rPr>
        <w:t xml:space="preserve">roject </w:t>
      </w:r>
      <w:r w:rsidR="008B0E67" w:rsidRPr="00A77AF6">
        <w:rPr>
          <w:rFonts w:cstheme="minorHAnsi"/>
          <w:szCs w:val="24"/>
        </w:rPr>
        <w:t>b</w:t>
      </w:r>
      <w:r w:rsidR="00797FDC" w:rsidRPr="00A77AF6">
        <w:rPr>
          <w:rFonts w:cstheme="minorHAnsi"/>
          <w:szCs w:val="24"/>
        </w:rPr>
        <w:t xml:space="preserve">oard.  </w:t>
      </w:r>
      <w:r w:rsidR="001F1933" w:rsidRPr="00A77AF6">
        <w:rPr>
          <w:rFonts w:cstheme="minorHAnsi"/>
          <w:szCs w:val="24"/>
        </w:rPr>
        <w:t xml:space="preserve">The Team Manager reports to and takes direction from the </w:t>
      </w:r>
      <w:r w:rsidR="008B0E67" w:rsidRPr="00A77AF6">
        <w:rPr>
          <w:rFonts w:cstheme="minorHAnsi"/>
          <w:szCs w:val="24"/>
        </w:rPr>
        <w:t>p</w:t>
      </w:r>
      <w:r w:rsidR="001F1933" w:rsidRPr="00A77AF6">
        <w:rPr>
          <w:rFonts w:cstheme="minorHAnsi"/>
          <w:szCs w:val="24"/>
        </w:rPr>
        <w:t xml:space="preserve">roject </w:t>
      </w:r>
      <w:r w:rsidR="008B0E67" w:rsidRPr="00A77AF6">
        <w:rPr>
          <w:rFonts w:cstheme="minorHAnsi"/>
          <w:szCs w:val="24"/>
        </w:rPr>
        <w:t>m</w:t>
      </w:r>
      <w:r w:rsidR="001F1933" w:rsidRPr="00A77AF6">
        <w:rPr>
          <w:rFonts w:cstheme="minorHAnsi"/>
          <w:szCs w:val="24"/>
        </w:rPr>
        <w:t xml:space="preserve">anager </w:t>
      </w:r>
      <w:sdt>
        <w:sdtPr>
          <w:rPr>
            <w:rFonts w:cstheme="minorHAnsi"/>
            <w:szCs w:val="24"/>
          </w:rPr>
          <w:id w:val="851685890"/>
          <w:citation/>
        </w:sdtPr>
        <w:sdtEndPr/>
        <w:sdtContent>
          <w:r w:rsidR="007741EB" w:rsidRPr="00A77AF6">
            <w:rPr>
              <w:rFonts w:cstheme="minorHAnsi"/>
              <w:szCs w:val="24"/>
            </w:rPr>
            <w:fldChar w:fldCharType="begin"/>
          </w:r>
          <w:r w:rsidR="004436D3" w:rsidRPr="00A77AF6">
            <w:rPr>
              <w:rFonts w:cstheme="minorHAnsi"/>
              <w:szCs w:val="24"/>
            </w:rPr>
            <w:instrText xml:space="preserve">CITATION Axe09 \l 2057 </w:instrText>
          </w:r>
          <w:r w:rsidR="007741EB" w:rsidRPr="00A77AF6">
            <w:rPr>
              <w:rFonts w:cstheme="minorHAnsi"/>
              <w:szCs w:val="24"/>
            </w:rPr>
            <w:fldChar w:fldCharType="separate"/>
          </w:r>
          <w:r w:rsidR="008E653F" w:rsidRPr="00A77AF6">
            <w:rPr>
              <w:rFonts w:cstheme="minorHAnsi"/>
              <w:szCs w:val="24"/>
            </w:rPr>
            <w:t>(Axelos, 2009)</w:t>
          </w:r>
          <w:r w:rsidR="007741EB" w:rsidRPr="00A77AF6">
            <w:rPr>
              <w:rFonts w:cstheme="minorHAnsi"/>
              <w:szCs w:val="24"/>
            </w:rPr>
            <w:fldChar w:fldCharType="end"/>
          </w:r>
        </w:sdtContent>
      </w:sdt>
      <w:r w:rsidR="000B01B6" w:rsidRPr="00A77AF6">
        <w:rPr>
          <w:rFonts w:cstheme="minorHAnsi"/>
          <w:szCs w:val="24"/>
        </w:rPr>
        <w:t>.  The Team Manager allocates work to Team Members who ‘are responsible for delivering the project’s products to an appropriate quality within a specified timescale and cost’</w:t>
      </w:r>
      <w:r w:rsidR="00F20FAB" w:rsidRPr="00A77AF6">
        <w:rPr>
          <w:rFonts w:cstheme="minorHAnsi"/>
          <w:szCs w:val="24"/>
        </w:rPr>
        <w:t xml:space="preserve"> </w:t>
      </w:r>
      <w:sdt>
        <w:sdtPr>
          <w:rPr>
            <w:rFonts w:cstheme="minorHAnsi"/>
            <w:szCs w:val="24"/>
          </w:rPr>
          <w:id w:val="423309022"/>
          <w:citation/>
        </w:sdtPr>
        <w:sdtEndPr/>
        <w:sdtContent>
          <w:r w:rsidR="000B01B6" w:rsidRPr="00A77AF6">
            <w:rPr>
              <w:rFonts w:cstheme="minorHAnsi"/>
              <w:szCs w:val="24"/>
            </w:rPr>
            <w:fldChar w:fldCharType="begin"/>
          </w:r>
          <w:r w:rsidR="004436D3" w:rsidRPr="00A77AF6">
            <w:rPr>
              <w:rFonts w:cstheme="minorHAnsi"/>
              <w:szCs w:val="24"/>
            </w:rPr>
            <w:instrText xml:space="preserve">CITATION Axe09 \p 34 \l 2057 </w:instrText>
          </w:r>
          <w:r w:rsidR="000B01B6" w:rsidRPr="00A77AF6">
            <w:rPr>
              <w:rFonts w:cstheme="minorHAnsi"/>
              <w:szCs w:val="24"/>
            </w:rPr>
            <w:fldChar w:fldCharType="separate"/>
          </w:r>
          <w:r w:rsidR="008E653F" w:rsidRPr="00A77AF6">
            <w:rPr>
              <w:rFonts w:cstheme="minorHAnsi"/>
              <w:szCs w:val="24"/>
            </w:rPr>
            <w:t>(Axelos, 2009, p. 34)</w:t>
          </w:r>
          <w:r w:rsidR="000B01B6" w:rsidRPr="00A77AF6">
            <w:rPr>
              <w:rFonts w:cstheme="minorHAnsi"/>
              <w:szCs w:val="24"/>
            </w:rPr>
            <w:fldChar w:fldCharType="end"/>
          </w:r>
        </w:sdtContent>
      </w:sdt>
    </w:p>
    <w:p w14:paraId="7BFE945C" w14:textId="4F131384" w:rsidR="000B3BE7" w:rsidRPr="00A77AF6" w:rsidRDefault="00364E6C" w:rsidP="007F1657">
      <w:pPr>
        <w:spacing w:line="360" w:lineRule="auto"/>
        <w:rPr>
          <w:rFonts w:ascii="Times New Roman" w:hAnsi="Times New Roman" w:cs="Times New Roman"/>
          <w:sz w:val="24"/>
        </w:rPr>
      </w:pPr>
      <w:r w:rsidRPr="00A77AF6">
        <w:rPr>
          <w:rFonts w:cstheme="minorHAnsi"/>
        </w:rPr>
        <w:t>P</w:t>
      </w:r>
      <w:r w:rsidR="001C1A6B" w:rsidRPr="00A77AF6">
        <w:rPr>
          <w:rFonts w:cstheme="minorHAnsi"/>
        </w:rPr>
        <w:t>rojects are</w:t>
      </w:r>
      <w:r w:rsidRPr="00A77AF6">
        <w:rPr>
          <w:rFonts w:cstheme="minorHAnsi"/>
        </w:rPr>
        <w:t xml:space="preserve">, therefore, </w:t>
      </w:r>
      <w:r w:rsidR="001C1A6B" w:rsidRPr="00A77AF6">
        <w:rPr>
          <w:rFonts w:cstheme="minorHAnsi"/>
        </w:rPr>
        <w:t xml:space="preserve"> </w:t>
      </w:r>
      <w:r w:rsidRPr="00A77AF6">
        <w:rPr>
          <w:rFonts w:cstheme="minorHAnsi"/>
        </w:rPr>
        <w:t xml:space="preserve">temporary, </w:t>
      </w:r>
      <w:r w:rsidR="001C1A6B" w:rsidRPr="00A77AF6">
        <w:rPr>
          <w:rFonts w:cstheme="minorHAnsi"/>
        </w:rPr>
        <w:t>time bound entities which use resources to deliver benefits to the stakeholders</w:t>
      </w:r>
      <w:r w:rsidR="00122E45" w:rsidRPr="00A77AF6">
        <w:rPr>
          <w:rFonts w:cstheme="minorHAnsi"/>
        </w:rPr>
        <w:t xml:space="preserve"> in line with corporate strategic objectives</w:t>
      </w:r>
      <w:r w:rsidRPr="00A77AF6">
        <w:rPr>
          <w:rFonts w:cstheme="minorHAnsi"/>
        </w:rPr>
        <w:t xml:space="preserve">. </w:t>
      </w:r>
      <w:r w:rsidR="001C1A6B" w:rsidRPr="00A77AF6">
        <w:rPr>
          <w:rFonts w:cstheme="minorHAnsi"/>
        </w:rPr>
        <w:t xml:space="preserve"> </w:t>
      </w:r>
      <w:r w:rsidR="00070FFF" w:rsidRPr="00A77AF6">
        <w:rPr>
          <w:rFonts w:cstheme="minorHAnsi"/>
        </w:rPr>
        <w:t xml:space="preserve">Project governance is </w:t>
      </w:r>
      <w:r w:rsidR="00122E45" w:rsidRPr="00A77AF6">
        <w:rPr>
          <w:rFonts w:cstheme="minorHAnsi"/>
        </w:rPr>
        <w:t xml:space="preserve">the means by which organisations </w:t>
      </w:r>
      <w:r w:rsidR="00D45C04" w:rsidRPr="00A77AF6">
        <w:rPr>
          <w:rFonts w:cstheme="minorHAnsi"/>
        </w:rPr>
        <w:t xml:space="preserve">implement their value systems, roles, responsibilities, structures, policies and processes so that projects </w:t>
      </w:r>
      <w:r w:rsidR="00070FFF" w:rsidRPr="00A77AF6">
        <w:rPr>
          <w:rFonts w:cstheme="minorHAnsi"/>
        </w:rPr>
        <w:t>are</w:t>
      </w:r>
      <w:r w:rsidR="00D45C04" w:rsidRPr="00A77AF6">
        <w:rPr>
          <w:rFonts w:cstheme="minorHAnsi"/>
        </w:rPr>
        <w:t xml:space="preserve"> supported to deliver the outcomes in the int</w:t>
      </w:r>
      <w:r w:rsidR="000B01B6" w:rsidRPr="00A77AF6">
        <w:rPr>
          <w:rFonts w:cstheme="minorHAnsi"/>
        </w:rPr>
        <w:t>erests o</w:t>
      </w:r>
      <w:r w:rsidR="00D45C04" w:rsidRPr="00A77AF6">
        <w:rPr>
          <w:rFonts w:cstheme="minorHAnsi"/>
        </w:rPr>
        <w:t xml:space="preserve">f stakeholders. </w:t>
      </w:r>
      <w:r w:rsidR="00122E45" w:rsidRPr="00A77AF6">
        <w:rPr>
          <w:rFonts w:cstheme="minorHAnsi"/>
        </w:rPr>
        <w:t xml:space="preserve"> </w:t>
      </w:r>
      <w:r w:rsidR="007F1657" w:rsidRPr="00A77AF6">
        <w:rPr>
          <w:rFonts w:cstheme="minorHAnsi"/>
        </w:rPr>
        <w:t xml:space="preserve">Industry bodies and the UK Government suggest that good </w:t>
      </w:r>
      <w:r w:rsidR="001E1F3A" w:rsidRPr="00A77AF6">
        <w:rPr>
          <w:rFonts w:cstheme="minorHAnsi"/>
        </w:rPr>
        <w:t xml:space="preserve">governance </w:t>
      </w:r>
      <w:r w:rsidR="007F1657" w:rsidRPr="00A77AF6">
        <w:rPr>
          <w:rFonts w:cstheme="minorHAnsi"/>
        </w:rPr>
        <w:t xml:space="preserve">leads </w:t>
      </w:r>
      <w:r w:rsidR="00FF79FF">
        <w:rPr>
          <w:rFonts w:cstheme="minorHAnsi"/>
        </w:rPr>
        <w:t xml:space="preserve">to </w:t>
      </w:r>
      <w:r w:rsidR="007F1657" w:rsidRPr="00A77AF6">
        <w:rPr>
          <w:rFonts w:cstheme="minorHAnsi"/>
        </w:rPr>
        <w:t xml:space="preserve">successful </w:t>
      </w:r>
      <w:r w:rsidR="001E1F3A" w:rsidRPr="00A77AF6">
        <w:rPr>
          <w:rFonts w:cstheme="minorHAnsi"/>
        </w:rPr>
        <w:t xml:space="preserve">project </w:t>
      </w:r>
      <w:r w:rsidR="007F1657" w:rsidRPr="00A77AF6">
        <w:rPr>
          <w:rFonts w:cstheme="minorHAnsi"/>
        </w:rPr>
        <w:t xml:space="preserve">outcome, </w:t>
      </w:r>
      <w:r w:rsidR="001E1F3A" w:rsidRPr="00A77AF6">
        <w:rPr>
          <w:rFonts w:cstheme="minorHAnsi"/>
        </w:rPr>
        <w:t xml:space="preserve">but </w:t>
      </w:r>
      <w:r w:rsidR="00D45C04" w:rsidRPr="00A77AF6">
        <w:rPr>
          <w:rFonts w:cstheme="minorHAnsi"/>
        </w:rPr>
        <w:t xml:space="preserve">the evidence for </w:t>
      </w:r>
      <w:r w:rsidR="00FF79FF">
        <w:rPr>
          <w:rFonts w:cstheme="minorHAnsi"/>
        </w:rPr>
        <w:t>t</w:t>
      </w:r>
      <w:r w:rsidR="00D45C04" w:rsidRPr="00A77AF6">
        <w:rPr>
          <w:rFonts w:cstheme="minorHAnsi"/>
        </w:rPr>
        <w:t xml:space="preserve">his is </w:t>
      </w:r>
      <w:r w:rsidR="007F1657" w:rsidRPr="00A77AF6">
        <w:rPr>
          <w:rFonts w:cstheme="minorHAnsi"/>
        </w:rPr>
        <w:t xml:space="preserve">not yet convincing, </w:t>
      </w:r>
      <w:r w:rsidR="00D45C04" w:rsidRPr="00A77AF6">
        <w:rPr>
          <w:rFonts w:cstheme="minorHAnsi"/>
        </w:rPr>
        <w:t xml:space="preserve">and more work is needed.  </w:t>
      </w:r>
      <w:r w:rsidR="007F1657" w:rsidRPr="00A77AF6">
        <w:rPr>
          <w:rFonts w:cstheme="minorHAnsi"/>
        </w:rPr>
        <w:t xml:space="preserve">To discuss whether an intervention such as good governance </w:t>
      </w:r>
      <w:r w:rsidR="00D411BE" w:rsidRPr="00A77AF6">
        <w:rPr>
          <w:rFonts w:cstheme="minorHAnsi"/>
        </w:rPr>
        <w:t>can lead to project success, project success itself must be defined. T</w:t>
      </w:r>
      <w:r w:rsidR="00E610D2" w:rsidRPr="00A77AF6">
        <w:rPr>
          <w:rFonts w:cstheme="minorHAnsi"/>
        </w:rPr>
        <w:t>he next section reviews the literature on this topic.</w:t>
      </w:r>
    </w:p>
    <w:p w14:paraId="41203EE5" w14:textId="49BAC791" w:rsidR="00DF1C72" w:rsidRPr="00A77AF6" w:rsidRDefault="00364E6C" w:rsidP="00E610D2">
      <w:pPr>
        <w:pStyle w:val="Heading2"/>
        <w:spacing w:after="120"/>
      </w:pPr>
      <w:bookmarkStart w:id="85" w:name="_Toc36275077"/>
      <w:r w:rsidRPr="00A77AF6">
        <w:t>M</w:t>
      </w:r>
      <w:r w:rsidR="00A21AC1" w:rsidRPr="00A77AF6">
        <w:t>easuring p</w:t>
      </w:r>
      <w:r w:rsidR="00BB7C39" w:rsidRPr="00A77AF6">
        <w:t>roject</w:t>
      </w:r>
      <w:r w:rsidR="00DF1C72" w:rsidRPr="00A77AF6">
        <w:t xml:space="preserve"> </w:t>
      </w:r>
      <w:r w:rsidR="002B2A8C" w:rsidRPr="00A77AF6">
        <w:t>s</w:t>
      </w:r>
      <w:r w:rsidR="00DF1C72" w:rsidRPr="00A77AF6">
        <w:t>uccess</w:t>
      </w:r>
      <w:bookmarkEnd w:id="85"/>
      <w:r w:rsidRPr="00A77AF6">
        <w:t xml:space="preserve"> </w:t>
      </w:r>
    </w:p>
    <w:p w14:paraId="1E559605" w14:textId="6901FFE6" w:rsidR="006416B6" w:rsidRPr="00A77AF6" w:rsidRDefault="00376FF9" w:rsidP="00233772">
      <w:pPr>
        <w:spacing w:after="0" w:line="360" w:lineRule="auto"/>
        <w:rPr>
          <w:rFonts w:cstheme="minorHAnsi"/>
        </w:rPr>
      </w:pPr>
      <w:r w:rsidRPr="00A77AF6">
        <w:rPr>
          <w:rFonts w:cstheme="minorHAnsi"/>
        </w:rPr>
        <w:t xml:space="preserve">The measurement of project </w:t>
      </w:r>
      <w:r w:rsidR="006416B6" w:rsidRPr="00A77AF6">
        <w:rPr>
          <w:rFonts w:cstheme="minorHAnsi"/>
        </w:rPr>
        <w:t xml:space="preserve">success is a major topic of </w:t>
      </w:r>
      <w:r w:rsidR="001F7794" w:rsidRPr="00A77AF6">
        <w:rPr>
          <w:rFonts w:cstheme="minorHAnsi"/>
        </w:rPr>
        <w:t>interest and</w:t>
      </w:r>
    </w:p>
    <w:p w14:paraId="6C19828E" w14:textId="79AD3250" w:rsidR="006416B6" w:rsidRPr="00A77AF6" w:rsidRDefault="006416B6" w:rsidP="00D757D6">
      <w:pPr>
        <w:spacing w:line="240" w:lineRule="auto"/>
        <w:ind w:left="720"/>
        <w:rPr>
          <w:i/>
        </w:rPr>
      </w:pPr>
      <w:r w:rsidRPr="00A77AF6">
        <w:rPr>
          <w:i/>
        </w:rPr>
        <w:t xml:space="preserve">‘is at the heart of project management….Project success is therefore among the top priorities of project managers and project stakeholders. It is not surprising then that the </w:t>
      </w:r>
      <w:r w:rsidRPr="00A77AF6">
        <w:rPr>
          <w:i/>
        </w:rPr>
        <w:lastRenderedPageBreak/>
        <w:t xml:space="preserve">topic has interested academics and practitioners for decades and continues to be of relevance today’ </w:t>
      </w:r>
      <w:sdt>
        <w:sdtPr>
          <w:rPr>
            <w:i/>
          </w:rPr>
          <w:id w:val="-1143116847"/>
          <w:citation/>
        </w:sdtPr>
        <w:sdtEndPr/>
        <w:sdtContent>
          <w:r w:rsidRPr="00A77AF6">
            <w:rPr>
              <w:i/>
            </w:rPr>
            <w:fldChar w:fldCharType="begin"/>
          </w:r>
          <w:r w:rsidRPr="00A77AF6">
            <w:rPr>
              <w:i/>
            </w:rPr>
            <w:instrText xml:space="preserve">CITATION Mul \p 758 \l 2057 </w:instrText>
          </w:r>
          <w:r w:rsidRPr="00A77AF6">
            <w:rPr>
              <w:i/>
            </w:rPr>
            <w:fldChar w:fldCharType="separate"/>
          </w:r>
          <w:r w:rsidR="008E653F" w:rsidRPr="00A77AF6">
            <w:t>(Müller &amp; Jugdev, 2012, p. 758)</w:t>
          </w:r>
          <w:r w:rsidRPr="00A77AF6">
            <w:rPr>
              <w:i/>
            </w:rPr>
            <w:fldChar w:fldCharType="end"/>
          </w:r>
        </w:sdtContent>
      </w:sdt>
    </w:p>
    <w:p w14:paraId="7C102F20" w14:textId="761CBCEA" w:rsidR="003C0106" w:rsidRPr="00A77AF6" w:rsidRDefault="00364E6C" w:rsidP="00B669B6">
      <w:pPr>
        <w:spacing w:after="120" w:line="360" w:lineRule="auto"/>
        <w:rPr>
          <w:rFonts w:cstheme="minorHAnsi"/>
        </w:rPr>
      </w:pPr>
      <w:r w:rsidRPr="00A77AF6">
        <w:rPr>
          <w:rFonts w:cstheme="minorHAnsi"/>
        </w:rPr>
        <w:t xml:space="preserve">There has been much discussion in academic and industry literature about </w:t>
      </w:r>
      <w:r w:rsidR="00ED2648" w:rsidRPr="00A77AF6">
        <w:rPr>
          <w:rFonts w:cstheme="minorHAnsi"/>
        </w:rPr>
        <w:t xml:space="preserve">how project success should be defined and measured. </w:t>
      </w:r>
      <w:r w:rsidR="0008131C" w:rsidRPr="00A77AF6">
        <w:rPr>
          <w:rFonts w:cstheme="minorHAnsi"/>
        </w:rPr>
        <w:t xml:space="preserve"> This discussion may reflect the </w:t>
      </w:r>
      <w:r w:rsidR="00327E0D" w:rsidRPr="00A77AF6">
        <w:rPr>
          <w:rFonts w:cstheme="minorHAnsi"/>
        </w:rPr>
        <w:t xml:space="preserve">large number of stakeholders </w:t>
      </w:r>
      <w:r w:rsidR="00E92CFE" w:rsidRPr="00A77AF6">
        <w:rPr>
          <w:rFonts w:cstheme="minorHAnsi"/>
        </w:rPr>
        <w:t xml:space="preserve">in protects </w:t>
      </w:r>
      <w:r w:rsidR="003E54E0" w:rsidRPr="00A77AF6">
        <w:rPr>
          <w:rFonts w:cstheme="minorHAnsi"/>
        </w:rPr>
        <w:t xml:space="preserve">who may have </w:t>
      </w:r>
      <w:r w:rsidR="00BD6996" w:rsidRPr="00A77AF6">
        <w:rPr>
          <w:rFonts w:cstheme="minorHAnsi"/>
        </w:rPr>
        <w:t>different performance measures</w:t>
      </w:r>
      <w:r w:rsidR="00417D51" w:rsidRPr="00A77AF6">
        <w:rPr>
          <w:rFonts w:cstheme="minorHAnsi"/>
        </w:rPr>
        <w:t>.   However, there are some measures, or key performance indicators (KPIs) that</w:t>
      </w:r>
      <w:r w:rsidR="000A57C9" w:rsidRPr="00A77AF6">
        <w:rPr>
          <w:rFonts w:cstheme="minorHAnsi"/>
        </w:rPr>
        <w:t xml:space="preserve"> are frequently cited.  </w:t>
      </w:r>
      <w:r w:rsidR="00382A89" w:rsidRPr="00A77AF6">
        <w:rPr>
          <w:rFonts w:cstheme="minorHAnsi"/>
        </w:rPr>
        <w:t xml:space="preserve">Probably the best known KPI is the iron triangle, but research has resulted in </w:t>
      </w:r>
      <w:r w:rsidR="00B603AE" w:rsidRPr="00A77AF6">
        <w:rPr>
          <w:rFonts w:cstheme="minorHAnsi"/>
        </w:rPr>
        <w:t xml:space="preserve">the development of others and </w:t>
      </w:r>
      <w:r w:rsidR="003C0106" w:rsidRPr="00A77AF6">
        <w:rPr>
          <w:rFonts w:cstheme="minorHAnsi"/>
        </w:rPr>
        <w:t xml:space="preserve">there has been a move away from relying on </w:t>
      </w:r>
      <w:r w:rsidR="007D1A0F" w:rsidRPr="00A77AF6">
        <w:rPr>
          <w:rFonts w:cstheme="minorHAnsi"/>
        </w:rPr>
        <w:t>purely quantitative measures</w:t>
      </w:r>
      <w:r w:rsidR="00663D61" w:rsidRPr="00A77AF6">
        <w:rPr>
          <w:rFonts w:cstheme="minorHAnsi"/>
        </w:rPr>
        <w:t xml:space="preserve"> </w:t>
      </w:r>
      <w:r w:rsidR="007D1A0F" w:rsidRPr="00A77AF6">
        <w:rPr>
          <w:rFonts w:cstheme="minorHAnsi"/>
        </w:rPr>
        <w:t xml:space="preserve">such as the iron </w:t>
      </w:r>
      <w:r w:rsidR="00663D61" w:rsidRPr="00A77AF6">
        <w:rPr>
          <w:rFonts w:cstheme="minorHAnsi"/>
        </w:rPr>
        <w:t>triangle</w:t>
      </w:r>
      <w:r w:rsidR="007D1A0F" w:rsidRPr="00A77AF6">
        <w:rPr>
          <w:rFonts w:cstheme="minorHAnsi"/>
        </w:rPr>
        <w:t xml:space="preserve"> to </w:t>
      </w:r>
      <w:r w:rsidR="00663D61" w:rsidRPr="00A77AF6">
        <w:rPr>
          <w:rFonts w:cstheme="minorHAnsi"/>
        </w:rPr>
        <w:t xml:space="preserve">a mix of </w:t>
      </w:r>
      <w:r w:rsidR="006A64F7" w:rsidRPr="00A77AF6">
        <w:rPr>
          <w:rFonts w:cstheme="minorHAnsi"/>
        </w:rPr>
        <w:t>quantitative and qualitative measures</w:t>
      </w:r>
      <w:r w:rsidR="005502BB" w:rsidRPr="00A77AF6">
        <w:rPr>
          <w:rFonts w:cstheme="minorHAnsi"/>
        </w:rPr>
        <w:t>, for example, team cohesion</w:t>
      </w:r>
      <w:r w:rsidR="00B669B6" w:rsidRPr="00A77AF6">
        <w:rPr>
          <w:rFonts w:cstheme="minorHAnsi"/>
        </w:rPr>
        <w:t xml:space="preserve"> </w:t>
      </w:r>
      <w:sdt>
        <w:sdtPr>
          <w:rPr>
            <w:rFonts w:cstheme="minorHAnsi"/>
          </w:rPr>
          <w:id w:val="-783964835"/>
          <w:citation/>
        </w:sdtPr>
        <w:sdtEndPr/>
        <w:sdtContent>
          <w:r w:rsidR="00B669B6" w:rsidRPr="00A77AF6">
            <w:rPr>
              <w:rFonts w:cstheme="minorHAnsi"/>
            </w:rPr>
            <w:fldChar w:fldCharType="begin"/>
          </w:r>
          <w:r w:rsidR="00B669B6" w:rsidRPr="00A77AF6">
            <w:rPr>
              <w:rFonts w:cstheme="minorHAnsi"/>
            </w:rPr>
            <w:instrText xml:space="preserve">CITATION Too10 \l 2057 </w:instrText>
          </w:r>
          <w:r w:rsidR="00B669B6" w:rsidRPr="00A77AF6">
            <w:rPr>
              <w:rFonts w:cstheme="minorHAnsi"/>
            </w:rPr>
            <w:fldChar w:fldCharType="separate"/>
          </w:r>
          <w:r w:rsidR="00B669B6" w:rsidRPr="00A77AF6">
            <w:rPr>
              <w:rFonts w:cstheme="minorHAnsi"/>
            </w:rPr>
            <w:t>(Toor &amp; Ogunlana, 2010)</w:t>
          </w:r>
          <w:r w:rsidR="00B669B6" w:rsidRPr="00A77AF6">
            <w:rPr>
              <w:rFonts w:cstheme="minorHAnsi"/>
            </w:rPr>
            <w:fldChar w:fldCharType="end"/>
          </w:r>
        </w:sdtContent>
      </w:sdt>
      <w:r w:rsidR="00B669B6" w:rsidRPr="00A77AF6">
        <w:rPr>
          <w:rFonts w:cstheme="minorHAnsi"/>
        </w:rPr>
        <w:t>,</w:t>
      </w:r>
    </w:p>
    <w:p w14:paraId="4B852728" w14:textId="2B997DAE" w:rsidR="00233772" w:rsidRPr="00A77AF6" w:rsidRDefault="00663B2B" w:rsidP="007C3F0C">
      <w:pPr>
        <w:pStyle w:val="Heading3"/>
        <w:spacing w:after="120"/>
      </w:pPr>
      <w:bookmarkStart w:id="86" w:name="_Toc36275078"/>
      <w:r w:rsidRPr="00A77AF6">
        <w:t>T</w:t>
      </w:r>
      <w:r w:rsidR="00233772" w:rsidRPr="00A77AF6">
        <w:t>he iron triangle</w:t>
      </w:r>
      <w:bookmarkEnd w:id="86"/>
    </w:p>
    <w:p w14:paraId="6DD3F688" w14:textId="4550BBFD" w:rsidR="002C7BD7" w:rsidRPr="00A77AF6" w:rsidRDefault="00ED6AEF" w:rsidP="00233854">
      <w:pPr>
        <w:spacing w:after="120" w:line="360" w:lineRule="auto"/>
      </w:pPr>
      <w:r w:rsidRPr="00A77AF6">
        <w:t>The iron triangle developed in 1969 by Dr Martin Barnes form</w:t>
      </w:r>
      <w:r w:rsidR="000A57C9" w:rsidRPr="00A77AF6">
        <w:t xml:space="preserve">s </w:t>
      </w:r>
      <w:r w:rsidRPr="00A77AF6">
        <w:t xml:space="preserve">the basis of project management </w:t>
      </w:r>
      <w:sdt>
        <w:sdtPr>
          <w:id w:val="1473253329"/>
          <w:citation/>
        </w:sdtPr>
        <w:sdtEndPr/>
        <w:sdtContent>
          <w:r w:rsidRPr="00A77AF6">
            <w:fldChar w:fldCharType="begin"/>
          </w:r>
          <w:r w:rsidRPr="00A77AF6">
            <w:instrText xml:space="preserve">CITATION Pat07 \l 2057 </w:instrText>
          </w:r>
          <w:r w:rsidRPr="00A77AF6">
            <w:fldChar w:fldCharType="separate"/>
          </w:r>
          <w:r w:rsidR="008E653F" w:rsidRPr="00A77AF6">
            <w:t>(Weaver, 2007)</w:t>
          </w:r>
          <w:r w:rsidRPr="00A77AF6">
            <w:fldChar w:fldCharType="end"/>
          </w:r>
        </w:sdtContent>
      </w:sdt>
      <w:r w:rsidRPr="00A77AF6">
        <w:t xml:space="preserve">.  </w:t>
      </w:r>
      <w:r w:rsidR="002C7BD7" w:rsidRPr="00A77AF6">
        <w:t xml:space="preserve">It has </w:t>
      </w:r>
      <w:r w:rsidR="00233772" w:rsidRPr="00A77AF6">
        <w:t xml:space="preserve">three criteria by which project success is measured: time, cost and quality.  These measures are established at the beginning of a project and the project is expected to complete within these parameters </w:t>
      </w:r>
      <w:sdt>
        <w:sdtPr>
          <w:id w:val="-712347907"/>
          <w:citation/>
        </w:sdtPr>
        <w:sdtEndPr/>
        <w:sdtContent>
          <w:r w:rsidR="00233772" w:rsidRPr="00A77AF6">
            <w:fldChar w:fldCharType="begin"/>
          </w:r>
          <w:r w:rsidR="00233772" w:rsidRPr="00A77AF6">
            <w:instrText xml:space="preserve"> CITATION Atk991 \l 2057 </w:instrText>
          </w:r>
          <w:r w:rsidR="00233772" w:rsidRPr="00A77AF6">
            <w:fldChar w:fldCharType="separate"/>
          </w:r>
          <w:r w:rsidR="008E653F" w:rsidRPr="00A77AF6">
            <w:t>(Atkinson, 1999)</w:t>
          </w:r>
          <w:r w:rsidR="00233772" w:rsidRPr="00A77AF6">
            <w:fldChar w:fldCharType="end"/>
          </w:r>
        </w:sdtContent>
      </w:sdt>
      <w:r w:rsidR="00233772" w:rsidRPr="00A77AF6">
        <w:t xml:space="preserve">.  </w:t>
      </w:r>
      <w:r w:rsidR="000A57C9" w:rsidRPr="00A77AF6">
        <w:t>I</w:t>
      </w:r>
      <w:r w:rsidR="002C7BD7" w:rsidRPr="00A77AF6">
        <w:t>f it does so it will be considered a success</w:t>
      </w:r>
    </w:p>
    <w:p w14:paraId="26F9C990" w14:textId="510A4213" w:rsidR="002C7BD7" w:rsidRPr="00A77AF6" w:rsidRDefault="002C7BD7" w:rsidP="002C7BD7">
      <w:pPr>
        <w:spacing w:after="240" w:line="240" w:lineRule="auto"/>
        <w:ind w:left="720"/>
      </w:pPr>
      <w:r w:rsidRPr="00A77AF6">
        <w:t>‘</w:t>
      </w:r>
      <w:r w:rsidRPr="00A77AF6">
        <w:rPr>
          <w:i/>
        </w:rPr>
        <w:t>A project is usually deemed to be a success of it achieves the objectives according to their acceptance criteria, within agreed timescale and budget’</w:t>
      </w:r>
      <w:r w:rsidRPr="00A77AF6">
        <w:t xml:space="preserve"> </w:t>
      </w:r>
      <w:sdt>
        <w:sdtPr>
          <w:id w:val="734437676"/>
          <w:citation/>
        </w:sdtPr>
        <w:sdtEndPr/>
        <w:sdtContent>
          <w:r w:rsidRPr="00A77AF6">
            <w:fldChar w:fldCharType="begin"/>
          </w:r>
          <w:r w:rsidRPr="00A77AF6">
            <w:instrText xml:space="preserve"> CITATION APM18 \l 2057 </w:instrText>
          </w:r>
          <w:r w:rsidRPr="00A77AF6">
            <w:fldChar w:fldCharType="separate"/>
          </w:r>
          <w:r w:rsidR="008E653F" w:rsidRPr="00A77AF6">
            <w:t>(APM, 2018)</w:t>
          </w:r>
          <w:r w:rsidRPr="00A77AF6">
            <w:fldChar w:fldCharType="end"/>
          </w:r>
        </w:sdtContent>
      </w:sdt>
      <w:r w:rsidRPr="00A77AF6">
        <w:t xml:space="preserve">. </w:t>
      </w:r>
    </w:p>
    <w:p w14:paraId="044F26F6" w14:textId="779D2D53" w:rsidR="00233772" w:rsidRPr="00A77AF6" w:rsidRDefault="00091208" w:rsidP="006416B6">
      <w:pPr>
        <w:spacing w:line="360" w:lineRule="auto"/>
      </w:pPr>
      <w:r w:rsidRPr="00A77AF6">
        <w:t xml:space="preserve">As well as measuring success, the </w:t>
      </w:r>
      <w:r w:rsidR="008363AE" w:rsidRPr="00A77AF6">
        <w:t xml:space="preserve">iron triangle </w:t>
      </w:r>
      <w:r w:rsidR="00233772" w:rsidRPr="00A77AF6">
        <w:t xml:space="preserve">assists project teams to analyse </w:t>
      </w:r>
      <w:r w:rsidR="002C7BD7" w:rsidRPr="00A77AF6">
        <w:t>the impact of project changes</w:t>
      </w:r>
      <w:r w:rsidR="00E62324" w:rsidRPr="00A77AF6">
        <w:t xml:space="preserve"> and</w:t>
      </w:r>
      <w:r w:rsidR="008363AE" w:rsidRPr="00A77AF6">
        <w:t xml:space="preserve"> indeed</w:t>
      </w:r>
      <w:r w:rsidR="00E62324" w:rsidRPr="00A77AF6">
        <w:t xml:space="preserve"> this was the reason it was originally devised </w:t>
      </w:r>
      <w:sdt>
        <w:sdtPr>
          <w:id w:val="-712116315"/>
          <w:citation/>
        </w:sdtPr>
        <w:sdtEndPr/>
        <w:sdtContent>
          <w:r w:rsidR="00E62324" w:rsidRPr="00A77AF6">
            <w:fldChar w:fldCharType="begin"/>
          </w:r>
          <w:r w:rsidR="00E62324" w:rsidRPr="00A77AF6">
            <w:instrText xml:space="preserve">CITATION Ebb19 \l 2057 </w:instrText>
          </w:r>
          <w:r w:rsidR="00E62324" w:rsidRPr="00A77AF6">
            <w:fldChar w:fldCharType="separate"/>
          </w:r>
          <w:r w:rsidR="008E653F" w:rsidRPr="00A77AF6">
            <w:t>(Ebbesen &amp; Hope, 2019)</w:t>
          </w:r>
          <w:r w:rsidR="00E62324" w:rsidRPr="00A77AF6">
            <w:fldChar w:fldCharType="end"/>
          </w:r>
        </w:sdtContent>
      </w:sdt>
      <w:r w:rsidR="00E62324" w:rsidRPr="00A77AF6">
        <w:t xml:space="preserve">. </w:t>
      </w:r>
      <w:r w:rsidR="002C7BD7" w:rsidRPr="00A77AF6">
        <w:t xml:space="preserve"> </w:t>
      </w:r>
      <w:r w:rsidR="00233772" w:rsidRPr="00A77AF6">
        <w:t>For example, a change</w:t>
      </w:r>
      <w:r w:rsidR="000A57C9" w:rsidRPr="00A77AF6">
        <w:t xml:space="preserve"> to </w:t>
      </w:r>
      <w:r w:rsidR="00233772" w:rsidRPr="00A77AF6">
        <w:t xml:space="preserve">building </w:t>
      </w:r>
      <w:r w:rsidR="002C7BD7" w:rsidRPr="00A77AF6">
        <w:t xml:space="preserve">layout </w:t>
      </w:r>
      <w:r w:rsidR="00233772" w:rsidRPr="00A77AF6">
        <w:t xml:space="preserve">in </w:t>
      </w:r>
      <w:r w:rsidR="002C7BD7" w:rsidRPr="00A77AF6">
        <w:t xml:space="preserve">a </w:t>
      </w:r>
      <w:r w:rsidR="00233772" w:rsidRPr="00A77AF6">
        <w:t xml:space="preserve">construction </w:t>
      </w:r>
      <w:r w:rsidR="002C7BD7" w:rsidRPr="00A77AF6">
        <w:t xml:space="preserve">project, </w:t>
      </w:r>
      <w:r w:rsidR="00233772" w:rsidRPr="00A77AF6">
        <w:t>is a change in quality</w:t>
      </w:r>
      <w:r w:rsidR="000A57C9" w:rsidRPr="00A77AF6">
        <w:t xml:space="preserve"> criteria in PRINCE2®’s definition,</w:t>
      </w:r>
      <w:r w:rsidR="002C7BD7" w:rsidRPr="00A77AF6">
        <w:t xml:space="preserve"> and it may increase cost</w:t>
      </w:r>
      <w:r w:rsidR="00233772" w:rsidRPr="00A77AF6">
        <w:t xml:space="preserve"> and delivery time of the overall project</w:t>
      </w:r>
      <w:r w:rsidR="002C7BD7" w:rsidRPr="00A77AF6">
        <w:t xml:space="preserve">. </w:t>
      </w:r>
      <w:r w:rsidR="000A57C9" w:rsidRPr="00A77AF6">
        <w:t xml:space="preserve">The iron triangle can help a project manager determine the impact of such a change on other project measures.  </w:t>
      </w:r>
      <w:r w:rsidR="00233772" w:rsidRPr="00A77AF6">
        <w:t xml:space="preserve">In some projects, one </w:t>
      </w:r>
      <w:r w:rsidR="002C7BD7" w:rsidRPr="00A77AF6">
        <w:t>parameter</w:t>
      </w:r>
      <w:r w:rsidR="00233772" w:rsidRPr="00A77AF6">
        <w:t xml:space="preserve"> may not be negotiable</w:t>
      </w:r>
      <w:r w:rsidR="007C344B" w:rsidRPr="00A77AF6">
        <w:t>, f</w:t>
      </w:r>
      <w:r w:rsidR="00233772" w:rsidRPr="00A77AF6">
        <w:t xml:space="preserve">or example, the construction of an Olympic village </w:t>
      </w:r>
      <w:r w:rsidR="006416B6" w:rsidRPr="00A77AF6">
        <w:t>cannot be delayed</w:t>
      </w:r>
      <w:r w:rsidR="002223E2" w:rsidRPr="00A77AF6">
        <w:t xml:space="preserve"> past the date of the sporting event</w:t>
      </w:r>
      <w:r w:rsidR="006416B6" w:rsidRPr="00A77AF6">
        <w:t xml:space="preserve">, so time is not negotiable. </w:t>
      </w:r>
      <w:r w:rsidR="00233772" w:rsidRPr="00A77AF6">
        <w:t xml:space="preserve">If the deadline is approaching and work urgently needs to be done, then quality may be reduced, and cost may increase to pay for expediting the work.   The iron triangle is </w:t>
      </w:r>
      <w:r w:rsidR="006416B6" w:rsidRPr="00A77AF6">
        <w:t>then both a measure of success and a tool to</w:t>
      </w:r>
      <w:r w:rsidR="00233772" w:rsidRPr="00A77AF6">
        <w:t xml:space="preserve"> assess the impact of change</w:t>
      </w:r>
      <w:r w:rsidR="006416B6" w:rsidRPr="00A77AF6">
        <w:t xml:space="preserve">.  </w:t>
      </w:r>
      <w:r w:rsidR="00233772" w:rsidRPr="00A77AF6">
        <w:t xml:space="preserve">Figure </w:t>
      </w:r>
      <w:r w:rsidR="00233854" w:rsidRPr="00A77AF6">
        <w:t>4-</w:t>
      </w:r>
      <w:r w:rsidR="00B60476" w:rsidRPr="00A77AF6">
        <w:t xml:space="preserve">5 </w:t>
      </w:r>
      <w:r w:rsidR="00233772" w:rsidRPr="00A77AF6">
        <w:t xml:space="preserve">shows the relationship between the three elements of the iron triangle.  A change in one parameter may affect the others so this model can be used </w:t>
      </w:r>
      <w:r w:rsidR="005D40CC">
        <w:t xml:space="preserve">both </w:t>
      </w:r>
      <w:r w:rsidR="00233772" w:rsidRPr="00A77AF6">
        <w:t xml:space="preserve">as a measure </w:t>
      </w:r>
      <w:r w:rsidR="005D40CC">
        <w:t xml:space="preserve">of success and </w:t>
      </w:r>
      <w:r w:rsidR="00233772" w:rsidRPr="00A77AF6">
        <w:t xml:space="preserve">as a tool for project control.   </w:t>
      </w:r>
    </w:p>
    <w:p w14:paraId="5EE94296" w14:textId="77777777" w:rsidR="0090418A" w:rsidRPr="00A77AF6" w:rsidRDefault="0090418A">
      <w:r w:rsidRPr="00A77AF6">
        <w:br w:type="page"/>
      </w:r>
    </w:p>
    <w:p w14:paraId="6B966416" w14:textId="4157C339" w:rsidR="00233772" w:rsidRPr="00A77AF6" w:rsidRDefault="00233772" w:rsidP="00233772">
      <w:pPr>
        <w:spacing w:line="480" w:lineRule="auto"/>
      </w:pPr>
      <w:r w:rsidRPr="00A77AF6">
        <w:rPr>
          <w:noProof/>
          <w:lang w:eastAsia="en-GB"/>
        </w:rPr>
        <w:lastRenderedPageBreak/>
        <mc:AlternateContent>
          <mc:Choice Requires="wps">
            <w:drawing>
              <wp:anchor distT="0" distB="0" distL="114300" distR="114300" simplePos="0" relativeHeight="251759104" behindDoc="0" locked="0" layoutInCell="1" allowOverlap="1" wp14:anchorId="2E5E1C23" wp14:editId="6E45ED54">
                <wp:simplePos x="0" y="0"/>
                <wp:positionH relativeFrom="column">
                  <wp:posOffset>1454918</wp:posOffset>
                </wp:positionH>
                <wp:positionV relativeFrom="paragraph">
                  <wp:posOffset>119602</wp:posOffset>
                </wp:positionV>
                <wp:extent cx="685800" cy="457200"/>
                <wp:effectExtent l="0" t="0" r="0" b="0"/>
                <wp:wrapTight wrapText="bothSides">
                  <wp:wrapPolygon edited="0">
                    <wp:start x="1200" y="2700"/>
                    <wp:lineTo x="1200" y="18900"/>
                    <wp:lineTo x="19800" y="18900"/>
                    <wp:lineTo x="19800" y="2700"/>
                    <wp:lineTo x="1200" y="270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3FF14" w14:textId="77777777" w:rsidR="009C0325" w:rsidRDefault="009C0325" w:rsidP="00233772">
                            <w:pPr>
                              <w:rPr>
                                <w:sz w:val="20"/>
                              </w:rPr>
                            </w:pPr>
                            <w:r>
                              <w:rPr>
                                <w:sz w:val="20"/>
                              </w:rPr>
                              <w:t>Time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E1C23" id="Text Box 10" o:spid="_x0000_s1048" type="#_x0000_t202" style="position:absolute;margin-left:114.55pt;margin-top:9.4pt;width:54pt;height:3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" filled="f" stroked="f">
                <v:textbox inset=",7.2pt,,7.2pt">
                  <w:txbxContent>
                    <w:p w14:paraId="10C3FF14" w14:textId="77777777" w:rsidR="009C0325" w:rsidRDefault="009C0325" w:rsidP="00233772">
                      <w:pPr>
                        <w:rPr>
                          <w:sz w:val="20"/>
                        </w:rPr>
                      </w:pPr>
                      <w:r>
                        <w:rPr>
                          <w:sz w:val="20"/>
                        </w:rPr>
                        <w:t>Time</w:t>
                      </w:r>
                    </w:p>
                  </w:txbxContent>
                </v:textbox>
                <w10:wrap type="tight"/>
              </v:shape>
            </w:pict>
          </mc:Fallback>
        </mc:AlternateContent>
      </w:r>
    </w:p>
    <w:p w14:paraId="038A8D17" w14:textId="4C2FDB05" w:rsidR="00233772" w:rsidRPr="00A77AF6" w:rsidRDefault="0007452B" w:rsidP="00233772">
      <w:pPr>
        <w:spacing w:line="480" w:lineRule="auto"/>
        <w:rPr>
          <w:rFonts w:ascii="Arial" w:hAnsi="Arial" w:cs="Arial"/>
        </w:rPr>
      </w:pPr>
      <w:r w:rsidRPr="00A77AF6">
        <w:rPr>
          <w:noProof/>
        </w:rPr>
        <mc:AlternateContent>
          <mc:Choice Requires="wps">
            <w:drawing>
              <wp:anchor distT="0" distB="0" distL="114300" distR="114300" simplePos="0" relativeHeight="252035584" behindDoc="1" locked="0" layoutInCell="1" allowOverlap="1" wp14:anchorId="62F22EF3" wp14:editId="2C2CA2B9">
                <wp:simplePos x="0" y="0"/>
                <wp:positionH relativeFrom="column">
                  <wp:posOffset>969645</wp:posOffset>
                </wp:positionH>
                <wp:positionV relativeFrom="paragraph">
                  <wp:posOffset>1662430</wp:posOffset>
                </wp:positionV>
                <wp:extent cx="1597025" cy="635"/>
                <wp:effectExtent l="0" t="0" r="0" b="0"/>
                <wp:wrapTight wrapText="bothSides">
                  <wp:wrapPolygon edited="0">
                    <wp:start x="0" y="0"/>
                    <wp:lineTo x="0" y="21600"/>
                    <wp:lineTo x="21600" y="21600"/>
                    <wp:lineTo x="21600" y="0"/>
                  </wp:wrapPolygon>
                </wp:wrapTight>
                <wp:docPr id="4" name="Text Box 4"/>
                <wp:cNvGraphicFramePr/>
                <a:graphic xmlns:a="http://schemas.openxmlformats.org/drawingml/2006/main">
                  <a:graphicData uri="http://schemas.microsoft.com/office/word/2010/wordprocessingShape">
                    <wps:wsp>
                      <wps:cNvSpPr txBox="1"/>
                      <wps:spPr>
                        <a:xfrm>
                          <a:off x="0" y="0"/>
                          <a:ext cx="1597025" cy="635"/>
                        </a:xfrm>
                        <a:prstGeom prst="rect">
                          <a:avLst/>
                        </a:prstGeom>
                        <a:solidFill>
                          <a:prstClr val="white"/>
                        </a:solidFill>
                        <a:ln>
                          <a:noFill/>
                        </a:ln>
                      </wps:spPr>
                      <wps:txbx>
                        <w:txbxContent>
                          <w:p w14:paraId="641E01F2" w14:textId="7AE11839" w:rsidR="009C0325" w:rsidRPr="00813AE5" w:rsidRDefault="009C0325" w:rsidP="0007452B">
                            <w:pPr>
                              <w:pStyle w:val="Caption"/>
                              <w:rPr>
                                <w:noProof/>
                              </w:rPr>
                            </w:pPr>
                            <w:bookmarkStart w:id="87" w:name="_Toc36186969"/>
                            <w:r>
                              <w:t xml:space="preserve">Figure </w:t>
                            </w:r>
                            <w:fldSimple w:instr=" STYLEREF 1 \s ">
                              <w:r>
                                <w:rPr>
                                  <w:noProof/>
                                </w:rPr>
                                <w:t>4</w:t>
                              </w:r>
                            </w:fldSimple>
                            <w:r>
                              <w:noBreakHyphen/>
                            </w:r>
                            <w:fldSimple w:instr=" SEQ Figure \* ARABIC \s 1 ">
                              <w:r>
                                <w:rPr>
                                  <w:noProof/>
                                </w:rPr>
                                <w:t>5</w:t>
                              </w:r>
                            </w:fldSimple>
                            <w:r>
                              <w:t>:</w:t>
                            </w:r>
                            <w:r w:rsidRPr="00FD378B">
                              <w:t xml:space="preserve"> The Iron Triangle:</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F22EF3" id="Text Box 4" o:spid="_x0000_s1049" type="#_x0000_t202" style="position:absolute;margin-left:76.35pt;margin-top:130.9pt;width:125.75pt;height:.05pt;z-index:-25128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" stroked="f">
                <v:textbox style="mso-fit-shape-to-text:t" inset="0,0,0,0">
                  <w:txbxContent>
                    <w:p w14:paraId="641E01F2" w14:textId="7AE11839" w:rsidR="009C0325" w:rsidRPr="00813AE5" w:rsidRDefault="009C0325" w:rsidP="0007452B">
                      <w:pPr>
                        <w:pStyle w:val="Caption"/>
                        <w:rPr>
                          <w:noProof/>
                        </w:rPr>
                      </w:pPr>
                      <w:bookmarkStart w:id="88" w:name="_Toc36186969"/>
                      <w:r>
                        <w:t xml:space="preserve">Figure </w:t>
                      </w:r>
                      <w:fldSimple w:instr=" STYLEREF 1 \s ">
                        <w:r>
                          <w:rPr>
                            <w:noProof/>
                          </w:rPr>
                          <w:t>4</w:t>
                        </w:r>
                      </w:fldSimple>
                      <w:r>
                        <w:noBreakHyphen/>
                      </w:r>
                      <w:fldSimple w:instr=" SEQ Figure \* ARABIC \s 1 ">
                        <w:r>
                          <w:rPr>
                            <w:noProof/>
                          </w:rPr>
                          <w:t>5</w:t>
                        </w:r>
                      </w:fldSimple>
                      <w:r>
                        <w:t>:</w:t>
                      </w:r>
                      <w:r w:rsidRPr="00FD378B">
                        <w:t xml:space="preserve"> The Iron Triangle:</w:t>
                      </w:r>
                      <w:bookmarkEnd w:id="88"/>
                    </w:p>
                  </w:txbxContent>
                </v:textbox>
                <w10:wrap type="tight"/>
              </v:shape>
            </w:pict>
          </mc:Fallback>
        </mc:AlternateContent>
      </w:r>
      <w:r w:rsidR="00E62324" w:rsidRPr="00A77AF6">
        <w:rPr>
          <w:noProof/>
          <w:lang w:eastAsia="en-GB"/>
        </w:rPr>
        <mc:AlternateContent>
          <mc:Choice Requires="wps">
            <w:drawing>
              <wp:anchor distT="0" distB="0" distL="114300" distR="114300" simplePos="0" relativeHeight="251733504" behindDoc="0" locked="0" layoutInCell="1" allowOverlap="1" wp14:anchorId="40E364A9" wp14:editId="0BAE963F">
                <wp:simplePos x="0" y="0"/>
                <wp:positionH relativeFrom="column">
                  <wp:posOffset>969645</wp:posOffset>
                </wp:positionH>
                <wp:positionV relativeFrom="paragraph">
                  <wp:posOffset>24130</wp:posOffset>
                </wp:positionV>
                <wp:extent cx="1597025" cy="1581150"/>
                <wp:effectExtent l="19050" t="19050" r="41275" b="57150"/>
                <wp:wrapTight wrapText="bothSides">
                  <wp:wrapPolygon edited="0">
                    <wp:start x="10049" y="-260"/>
                    <wp:lineTo x="-258" y="20819"/>
                    <wp:lineTo x="-258" y="22120"/>
                    <wp:lineTo x="21901" y="22120"/>
                    <wp:lineTo x="21901" y="20819"/>
                    <wp:lineTo x="11594" y="-260"/>
                    <wp:lineTo x="10049" y="-260"/>
                  </wp:wrapPolygon>
                </wp:wrapTight>
                <wp:docPr id="29" name="Isosceles Tri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7025" cy="1581150"/>
                        </a:xfrm>
                        <a:prstGeom prst="triangle">
                          <a:avLst>
                            <a:gd name="adj" fmla="val 50000"/>
                          </a:avLst>
                        </a:prstGeom>
                        <a:solidFill>
                          <a:schemeClr val="bg1"/>
                        </a:solidFill>
                        <a:ln w="19050">
                          <a:solidFill>
                            <a:srgbClr val="4A7EBB"/>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85E6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 o:spid="_x0000_s1026" type="#_x0000_t5" style="position:absolute;margin-left:76.35pt;margin-top:1.9pt;width:125.75pt;height:124.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" fillcolor="white [3212]" strokecolor="#4a7ebb" strokeweight="1.5pt">
                <v:shadow on="t" opacity="22938f" offset="0"/>
                <v:textbox inset=",7.2pt,,7.2pt"/>
                <w10:wrap type="tight"/>
              </v:shape>
            </w:pict>
          </mc:Fallback>
        </mc:AlternateContent>
      </w:r>
      <w:r w:rsidR="00233772" w:rsidRPr="00A77AF6">
        <w:rPr>
          <w:noProof/>
          <w:lang w:eastAsia="en-GB"/>
        </w:rPr>
        <mc:AlternateContent>
          <mc:Choice Requires="wps">
            <w:drawing>
              <wp:anchor distT="0" distB="0" distL="114300" distR="114300" simplePos="0" relativeHeight="251753984" behindDoc="1" locked="0" layoutInCell="1" allowOverlap="1" wp14:anchorId="661435EC" wp14:editId="43C6A390">
                <wp:simplePos x="0" y="0"/>
                <wp:positionH relativeFrom="column">
                  <wp:posOffset>878205</wp:posOffset>
                </wp:positionH>
                <wp:positionV relativeFrom="paragraph">
                  <wp:posOffset>-430530</wp:posOffset>
                </wp:positionV>
                <wp:extent cx="1692275" cy="457200"/>
                <wp:effectExtent l="0" t="0" r="3175" b="0"/>
                <wp:wrapTight wrapText="bothSides">
                  <wp:wrapPolygon edited="0">
                    <wp:start x="0" y="0"/>
                    <wp:lineTo x="0" y="20700"/>
                    <wp:lineTo x="21397" y="20700"/>
                    <wp:lineTo x="21397"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692275" cy="457200"/>
                        </a:xfrm>
                        <a:prstGeom prst="rect">
                          <a:avLst/>
                        </a:prstGeom>
                        <a:solidFill>
                          <a:prstClr val="white"/>
                        </a:solidFill>
                        <a:ln>
                          <a:noFill/>
                        </a:ln>
                      </wps:spPr>
                      <wps:txbx>
                        <w:txbxContent>
                          <w:p w14:paraId="4A1D64F4" w14:textId="26E395FC" w:rsidR="009C0325" w:rsidRPr="004F6697" w:rsidRDefault="009C0325" w:rsidP="00233772">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61435EC" id="_x0000_s1050" type="#_x0000_t202" style="position:absolute;margin-left:69.15pt;margin-top:-33.9pt;width:133.25pt;height:36pt;z-index:-25156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" stroked="f">
                <v:textbox inset="0,0,0,0">
                  <w:txbxContent>
                    <w:p w14:paraId="4A1D64F4" w14:textId="26E395FC" w:rsidR="009C0325" w:rsidRPr="004F6697" w:rsidRDefault="009C0325" w:rsidP="00233772">
                      <w:pPr>
                        <w:pStyle w:val="Caption"/>
                        <w:rPr>
                          <w:noProof/>
                        </w:rPr>
                      </w:pPr>
                    </w:p>
                  </w:txbxContent>
                </v:textbox>
                <w10:wrap type="tight"/>
              </v:shape>
            </w:pict>
          </mc:Fallback>
        </mc:AlternateContent>
      </w:r>
    </w:p>
    <w:p w14:paraId="755370D0" w14:textId="77777777" w:rsidR="00233772" w:rsidRPr="00A77AF6" w:rsidRDefault="00233772" w:rsidP="00233772">
      <w:pPr>
        <w:spacing w:line="480" w:lineRule="auto"/>
        <w:rPr>
          <w:rFonts w:ascii="Arial" w:hAnsi="Arial" w:cs="Arial"/>
        </w:rPr>
      </w:pPr>
    </w:p>
    <w:p w14:paraId="1D1BC404" w14:textId="77777777" w:rsidR="00233772" w:rsidRPr="00A77AF6" w:rsidRDefault="00233772" w:rsidP="00233772">
      <w:pPr>
        <w:spacing w:line="480" w:lineRule="auto"/>
        <w:rPr>
          <w:rFonts w:ascii="Arial" w:hAnsi="Arial" w:cs="Arial"/>
        </w:rPr>
      </w:pPr>
    </w:p>
    <w:p w14:paraId="4D3B8905" w14:textId="3D778003" w:rsidR="00233772" w:rsidRPr="00A77AF6" w:rsidRDefault="00E62324" w:rsidP="00233772">
      <w:pPr>
        <w:spacing w:line="480" w:lineRule="auto"/>
        <w:rPr>
          <w:rFonts w:ascii="Arial" w:hAnsi="Arial" w:cs="Arial"/>
        </w:rPr>
      </w:pPr>
      <w:r w:rsidRPr="00A77AF6">
        <w:rPr>
          <w:noProof/>
          <w:lang w:eastAsia="en-GB"/>
        </w:rPr>
        <mc:AlternateContent>
          <mc:Choice Requires="wps">
            <w:drawing>
              <wp:anchor distT="0" distB="0" distL="114300" distR="114300" simplePos="0" relativeHeight="251743744" behindDoc="0" locked="0" layoutInCell="1" allowOverlap="1" wp14:anchorId="102281F1" wp14:editId="367D9964">
                <wp:simplePos x="0" y="0"/>
                <wp:positionH relativeFrom="column">
                  <wp:posOffset>2598420</wp:posOffset>
                </wp:positionH>
                <wp:positionV relativeFrom="paragraph">
                  <wp:posOffset>167005</wp:posOffset>
                </wp:positionV>
                <wp:extent cx="685800" cy="457200"/>
                <wp:effectExtent l="0" t="0" r="0" b="0"/>
                <wp:wrapTight wrapText="bothSides">
                  <wp:wrapPolygon edited="0">
                    <wp:start x="1200" y="2700"/>
                    <wp:lineTo x="1200" y="18900"/>
                    <wp:lineTo x="19800" y="18900"/>
                    <wp:lineTo x="19800" y="2700"/>
                    <wp:lineTo x="1200" y="2700"/>
                  </wp:wrapPolygon>
                </wp:wrapTight>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B171" w14:textId="77777777" w:rsidR="009C0325" w:rsidRDefault="009C0325" w:rsidP="00233772">
                            <w:pPr>
                              <w:rPr>
                                <w:sz w:val="20"/>
                              </w:rPr>
                            </w:pPr>
                            <w:r>
                              <w:rPr>
                                <w:sz w:val="20"/>
                              </w:rPr>
                              <w:t>Cost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281F1" id="Text Box 27" o:spid="_x0000_s1051" type="#_x0000_t202" style="position:absolute;margin-left:204.6pt;margin-top:13.15pt;width:54pt;height:3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" filled="f" stroked="f">
                <v:textbox inset=",7.2pt,,7.2pt">
                  <w:txbxContent>
                    <w:p w14:paraId="64B6B171" w14:textId="77777777" w:rsidR="009C0325" w:rsidRDefault="009C0325" w:rsidP="00233772">
                      <w:pPr>
                        <w:rPr>
                          <w:sz w:val="20"/>
                        </w:rPr>
                      </w:pPr>
                      <w:r>
                        <w:rPr>
                          <w:sz w:val="20"/>
                        </w:rPr>
                        <w:t>Cost</w:t>
                      </w:r>
                    </w:p>
                  </w:txbxContent>
                </v:textbox>
                <w10:wrap type="tight"/>
              </v:shape>
            </w:pict>
          </mc:Fallback>
        </mc:AlternateContent>
      </w:r>
      <w:r w:rsidRPr="00A77AF6">
        <w:rPr>
          <w:noProof/>
          <w:lang w:eastAsia="en-GB"/>
        </w:rPr>
        <mc:AlternateContent>
          <mc:Choice Requires="wps">
            <w:drawing>
              <wp:anchor distT="0" distB="0" distL="114300" distR="114300" simplePos="0" relativeHeight="251738624" behindDoc="0" locked="0" layoutInCell="1" allowOverlap="1" wp14:anchorId="1D1BA01E" wp14:editId="4FE53D52">
                <wp:simplePos x="0" y="0"/>
                <wp:positionH relativeFrom="column">
                  <wp:posOffset>372110</wp:posOffset>
                </wp:positionH>
                <wp:positionV relativeFrom="paragraph">
                  <wp:posOffset>163830</wp:posOffset>
                </wp:positionV>
                <wp:extent cx="685800" cy="457200"/>
                <wp:effectExtent l="0" t="0" r="0" b="0"/>
                <wp:wrapTight wrapText="bothSides">
                  <wp:wrapPolygon edited="0">
                    <wp:start x="1200" y="2700"/>
                    <wp:lineTo x="1200" y="18900"/>
                    <wp:lineTo x="19800" y="18900"/>
                    <wp:lineTo x="19800" y="2700"/>
                    <wp:lineTo x="1200" y="2700"/>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21CDC" w14:textId="77777777" w:rsidR="009C0325" w:rsidRDefault="009C0325" w:rsidP="00233772">
                            <w:pPr>
                              <w:rPr>
                                <w:sz w:val="20"/>
                              </w:rPr>
                            </w:pPr>
                            <w:r>
                              <w:rPr>
                                <w:sz w:val="20"/>
                              </w:rPr>
                              <w:t>Quality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BA01E" id="Text Box 26" o:spid="_x0000_s1052" type="#_x0000_t202" style="position:absolute;margin-left:29.3pt;margin-top:12.9pt;width:54pt;height:3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" filled="f" stroked="f">
                <v:textbox inset=",7.2pt,,7.2pt">
                  <w:txbxContent>
                    <w:p w14:paraId="4FC21CDC" w14:textId="77777777" w:rsidR="009C0325" w:rsidRDefault="009C0325" w:rsidP="00233772">
                      <w:pPr>
                        <w:rPr>
                          <w:sz w:val="20"/>
                        </w:rPr>
                      </w:pPr>
                      <w:r>
                        <w:rPr>
                          <w:sz w:val="20"/>
                        </w:rPr>
                        <w:t>Quality</w:t>
                      </w:r>
                    </w:p>
                  </w:txbxContent>
                </v:textbox>
                <w10:wrap type="tight"/>
              </v:shape>
            </w:pict>
          </mc:Fallback>
        </mc:AlternateContent>
      </w:r>
    </w:p>
    <w:p w14:paraId="60BB6D7F" w14:textId="77777777" w:rsidR="00E62324" w:rsidRPr="00A77AF6" w:rsidRDefault="00233772" w:rsidP="00E62324">
      <w:pPr>
        <w:spacing w:line="480" w:lineRule="auto"/>
        <w:rPr>
          <w:sz w:val="20"/>
        </w:rPr>
      </w:pPr>
      <w:r w:rsidRPr="00A77AF6">
        <w:rPr>
          <w:noProof/>
          <w:lang w:eastAsia="en-GB"/>
        </w:rPr>
        <mc:AlternateContent>
          <mc:Choice Requires="wps">
            <w:drawing>
              <wp:anchor distT="0" distB="0" distL="114300" distR="114300" simplePos="0" relativeHeight="251748864" behindDoc="1" locked="0" layoutInCell="1" allowOverlap="1" wp14:anchorId="1CD94716" wp14:editId="0447A90A">
                <wp:simplePos x="0" y="0"/>
                <wp:positionH relativeFrom="column">
                  <wp:posOffset>531495</wp:posOffset>
                </wp:positionH>
                <wp:positionV relativeFrom="paragraph">
                  <wp:posOffset>203118</wp:posOffset>
                </wp:positionV>
                <wp:extent cx="1800225" cy="209550"/>
                <wp:effectExtent l="0" t="0" r="9525" b="0"/>
                <wp:wrapTight wrapText="bothSides">
                  <wp:wrapPolygon edited="0">
                    <wp:start x="0" y="0"/>
                    <wp:lineTo x="0" y="19636"/>
                    <wp:lineTo x="21486" y="19636"/>
                    <wp:lineTo x="21486"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800225" cy="209550"/>
                        </a:xfrm>
                        <a:prstGeom prst="rect">
                          <a:avLst/>
                        </a:prstGeom>
                        <a:solidFill>
                          <a:prstClr val="white"/>
                        </a:solidFill>
                        <a:ln>
                          <a:noFill/>
                        </a:ln>
                      </wps:spPr>
                      <wps:txbx>
                        <w:txbxContent>
                          <w:p w14:paraId="64D9F179" w14:textId="40B58E0F" w:rsidR="009C0325" w:rsidRPr="00FA60B9" w:rsidRDefault="009C0325" w:rsidP="00233772">
                            <w:bookmarkStart w:id="89" w:name="_Toc526967339"/>
                            <w:r w:rsidRPr="00382A89">
                              <w:rPr>
                                <w:sz w:val="20"/>
                                <w:szCs w:val="20"/>
                              </w:rPr>
                              <w:t>Source: Atkinson (1999, p</w:t>
                            </w:r>
                            <w:r>
                              <w:rPr>
                                <w:sz w:val="20"/>
                                <w:szCs w:val="20"/>
                              </w:rPr>
                              <w:t xml:space="preserve">. </w:t>
                            </w:r>
                            <w:r w:rsidRPr="00382A89">
                              <w:rPr>
                                <w:sz w:val="20"/>
                                <w:szCs w:val="20"/>
                              </w:rPr>
                              <w:t>338</w:t>
                            </w:r>
                            <w:r w:rsidRPr="00FA60B9">
                              <w:t>)</w:t>
                            </w:r>
                            <w:bookmarkEnd w:id="89"/>
                          </w:p>
                          <w:p w14:paraId="181188B9" w14:textId="77777777" w:rsidR="009C0325" w:rsidRPr="00F46029" w:rsidRDefault="009C0325" w:rsidP="00233772"/>
                          <w:p w14:paraId="73B6EBE8" w14:textId="77777777" w:rsidR="009C0325" w:rsidRPr="00F46029" w:rsidRDefault="009C0325" w:rsidP="0023377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94716" id="Text Box 1" o:spid="_x0000_s1053" type="#_x0000_t202" style="position:absolute;margin-left:41.85pt;margin-top:16pt;width:141.75pt;height:16.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" stroked="f">
                <v:textbox inset="0,0,0,0">
                  <w:txbxContent>
                    <w:p w14:paraId="64D9F179" w14:textId="40B58E0F" w:rsidR="009C0325" w:rsidRPr="00FA60B9" w:rsidRDefault="009C0325" w:rsidP="00233772">
                      <w:bookmarkStart w:id="90" w:name="_Toc526967339"/>
                      <w:r w:rsidRPr="00382A89">
                        <w:rPr>
                          <w:sz w:val="20"/>
                          <w:szCs w:val="20"/>
                        </w:rPr>
                        <w:t>Source: Atkinson (1999, p</w:t>
                      </w:r>
                      <w:r>
                        <w:rPr>
                          <w:sz w:val="20"/>
                          <w:szCs w:val="20"/>
                        </w:rPr>
                        <w:t xml:space="preserve">. </w:t>
                      </w:r>
                      <w:r w:rsidRPr="00382A89">
                        <w:rPr>
                          <w:sz w:val="20"/>
                          <w:szCs w:val="20"/>
                        </w:rPr>
                        <w:t>338</w:t>
                      </w:r>
                      <w:r w:rsidRPr="00FA60B9">
                        <w:t>)</w:t>
                      </w:r>
                      <w:bookmarkEnd w:id="90"/>
                    </w:p>
                    <w:p w14:paraId="181188B9" w14:textId="77777777" w:rsidR="009C0325" w:rsidRPr="00F46029" w:rsidRDefault="009C0325" w:rsidP="00233772"/>
                    <w:p w14:paraId="73B6EBE8" w14:textId="77777777" w:rsidR="009C0325" w:rsidRPr="00F46029" w:rsidRDefault="009C0325" w:rsidP="00233772"/>
                  </w:txbxContent>
                </v:textbox>
                <w10:wrap type="tight"/>
              </v:shape>
            </w:pict>
          </mc:Fallback>
        </mc:AlternateContent>
      </w:r>
    </w:p>
    <w:p w14:paraId="256C8627" w14:textId="286E6043" w:rsidR="00233772" w:rsidRPr="00A77AF6" w:rsidRDefault="00233772" w:rsidP="0007452B">
      <w:pPr>
        <w:spacing w:before="240" w:after="0" w:line="360" w:lineRule="auto"/>
        <w:rPr>
          <w:sz w:val="20"/>
        </w:rPr>
      </w:pPr>
      <w:r w:rsidRPr="00A77AF6">
        <w:t>This model or variations of it are used by the APM</w:t>
      </w:r>
      <w:r w:rsidR="00BD3749" w:rsidRPr="00A77AF6">
        <w:t xml:space="preserve"> in the UK and the PMI in the USA</w:t>
      </w:r>
      <w:r w:rsidRPr="00A77AF6">
        <w:t xml:space="preserve">.  </w:t>
      </w:r>
      <w:r w:rsidR="00BD3749" w:rsidRPr="00A77AF6">
        <w:t>The iron triangle is part of the project management plan which details</w:t>
      </w:r>
    </w:p>
    <w:p w14:paraId="4F633CB7" w14:textId="036B6399" w:rsidR="00233772" w:rsidRPr="00A77AF6" w:rsidRDefault="00233772" w:rsidP="003A07B4">
      <w:pPr>
        <w:spacing w:after="240" w:line="240" w:lineRule="auto"/>
        <w:ind w:left="720"/>
      </w:pPr>
      <w:r w:rsidRPr="00A77AF6">
        <w:rPr>
          <w:i/>
        </w:rPr>
        <w:t>‘what is to be accomplished (expressed in terms of product specification and quality, time for delivery, and cost budget)’</w:t>
      </w:r>
      <w:r w:rsidRPr="00A77AF6">
        <w:t xml:space="preserve"> </w:t>
      </w:r>
      <w:sdt>
        <w:sdtPr>
          <w:id w:val="-934516573"/>
          <w:citation/>
        </w:sdtPr>
        <w:sdtEndPr/>
        <w:sdtContent>
          <w:r w:rsidRPr="00A77AF6">
            <w:fldChar w:fldCharType="begin"/>
          </w:r>
          <w:r w:rsidRPr="00A77AF6">
            <w:instrText xml:space="preserve">CITATION Bri06 \p 54 \l 2057 </w:instrText>
          </w:r>
          <w:r w:rsidRPr="00A77AF6">
            <w:fldChar w:fldCharType="separate"/>
          </w:r>
          <w:r w:rsidR="008E653F" w:rsidRPr="00A77AF6">
            <w:t>(British Standards, 2006, p. 54)</w:t>
          </w:r>
          <w:r w:rsidRPr="00A77AF6">
            <w:fldChar w:fldCharType="end"/>
          </w:r>
        </w:sdtContent>
      </w:sdt>
    </w:p>
    <w:p w14:paraId="07714BE0" w14:textId="285207F5" w:rsidR="00BD3749" w:rsidRPr="00A77AF6" w:rsidRDefault="00233772" w:rsidP="00BD3749">
      <w:pPr>
        <w:spacing w:line="360" w:lineRule="auto"/>
        <w:rPr>
          <w:rFonts w:cstheme="minorHAnsi"/>
          <w:u w:val="single"/>
        </w:rPr>
      </w:pPr>
      <w:r w:rsidRPr="00A77AF6">
        <w:rPr>
          <w:rFonts w:cstheme="minorHAnsi"/>
        </w:rPr>
        <w:t>The usefulness of th</w:t>
      </w:r>
      <w:r w:rsidR="006416B6" w:rsidRPr="00A77AF6">
        <w:rPr>
          <w:rFonts w:cstheme="minorHAnsi"/>
        </w:rPr>
        <w:t xml:space="preserve">e iron triangle </w:t>
      </w:r>
      <w:r w:rsidRPr="00A77AF6">
        <w:rPr>
          <w:rFonts w:cstheme="minorHAnsi"/>
        </w:rPr>
        <w:t>is contested</w:t>
      </w:r>
      <w:r w:rsidR="00BD3749" w:rsidRPr="00A77AF6">
        <w:rPr>
          <w:rFonts w:cstheme="minorHAnsi"/>
        </w:rPr>
        <w:t xml:space="preserve"> which can be summarised in four questions. I</w:t>
      </w:r>
      <w:r w:rsidR="00BD3749" w:rsidRPr="00A77AF6">
        <w:t xml:space="preserve">s the iron triangle an appropriate measure of project success? Should time, cost and quality should have equal weighting? When should success be measured and who should measure it?  </w:t>
      </w:r>
    </w:p>
    <w:p w14:paraId="761D3605" w14:textId="77777777" w:rsidR="004F5229" w:rsidRPr="00A77AF6" w:rsidRDefault="004F5229" w:rsidP="00233854">
      <w:pPr>
        <w:pStyle w:val="Heading3"/>
        <w:spacing w:after="120"/>
      </w:pPr>
      <w:bookmarkStart w:id="91" w:name="_Toc36275079"/>
      <w:r w:rsidRPr="00A77AF6">
        <w:t>The iron triangle as an appropriate measure for project success</w:t>
      </w:r>
      <w:bookmarkEnd w:id="91"/>
    </w:p>
    <w:p w14:paraId="2F6E59F3" w14:textId="18D601C5" w:rsidR="002B2A8C" w:rsidRPr="00A77AF6" w:rsidRDefault="00C817D3" w:rsidP="00E62324">
      <w:pPr>
        <w:spacing w:after="0" w:line="360" w:lineRule="auto"/>
      </w:pPr>
      <w:r w:rsidRPr="00A77AF6">
        <w:t>The iron triangle has been criticised</w:t>
      </w:r>
      <w:r w:rsidR="007220A2" w:rsidRPr="00A77AF6">
        <w:t xml:space="preserve"> for</w:t>
      </w:r>
      <w:r w:rsidRPr="00A77AF6">
        <w:t xml:space="preserve"> being too narrow a measure</w:t>
      </w:r>
      <w:r w:rsidR="007220A2" w:rsidRPr="00A77AF6">
        <w:t xml:space="preserve">. </w:t>
      </w:r>
      <w:r w:rsidR="002C0937" w:rsidRPr="00A77AF6">
        <w:t xml:space="preserve"> </w:t>
      </w:r>
      <w:r w:rsidRPr="00A77AF6">
        <w:t>Atkinson (1999) argued that more success measures should be included</w:t>
      </w:r>
      <w:r w:rsidR="002C0937" w:rsidRPr="00A77AF6">
        <w:t xml:space="preserve"> because the measurement of a project against the criteria of time, cost and quality is too restrictive</w:t>
      </w:r>
      <w:r w:rsidRPr="00A77AF6">
        <w:t xml:space="preserve">.  </w:t>
      </w:r>
      <w:r w:rsidR="002C0937" w:rsidRPr="00A77AF6">
        <w:t>Atkinson (1999) proposed t</w:t>
      </w:r>
      <w:r w:rsidRPr="00A77AF6">
        <w:t xml:space="preserve">he ‘Square Root’ </w:t>
      </w:r>
      <w:r w:rsidR="002C0937" w:rsidRPr="00A77AF6">
        <w:t>a</w:t>
      </w:r>
      <w:r w:rsidR="005D40CC">
        <w:t>s a</w:t>
      </w:r>
      <w:r w:rsidR="002C0937" w:rsidRPr="00A77AF6">
        <w:t xml:space="preserve">n alternative.  This model adds </w:t>
      </w:r>
      <w:r w:rsidR="00F46029" w:rsidRPr="00A77AF6">
        <w:t>three criteria to the iron triangle: the reliability and maintainability of the IT system itself, organisational benefits and stakeholder benefits</w:t>
      </w:r>
      <w:r w:rsidR="002C0937" w:rsidRPr="00A77AF6">
        <w:t xml:space="preserve"> (Figure </w:t>
      </w:r>
      <w:r w:rsidR="00233854" w:rsidRPr="00A77AF6">
        <w:t>4-</w:t>
      </w:r>
      <w:r w:rsidR="00E62324" w:rsidRPr="00A77AF6">
        <w:t>6</w:t>
      </w:r>
      <w:r w:rsidR="002C0937" w:rsidRPr="00A77AF6">
        <w:t>)</w:t>
      </w:r>
      <w:r w:rsidR="00F46029" w:rsidRPr="00A77AF6">
        <w:t>.</w:t>
      </w:r>
    </w:p>
    <w:p w14:paraId="364E8137" w14:textId="2EAFF052" w:rsidR="00E543FB" w:rsidRPr="00A77AF6" w:rsidRDefault="00E543FB" w:rsidP="00E62324">
      <w:pPr>
        <w:spacing w:after="0" w:line="360" w:lineRule="auto"/>
      </w:pPr>
      <w:r w:rsidRPr="00A77AF6">
        <w:rPr>
          <w:noProof/>
          <w:lang w:eastAsia="en-GB"/>
        </w:rPr>
        <w:drawing>
          <wp:inline distT="0" distB="0" distL="0" distR="0" wp14:anchorId="2EA34AB7" wp14:editId="7CFFBD86">
            <wp:extent cx="2909556" cy="206189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0911" t="48454" r="50975" b="28724"/>
                    <a:stretch/>
                  </pic:blipFill>
                  <pic:spPr bwMode="auto">
                    <a:xfrm>
                      <a:off x="0" y="0"/>
                      <a:ext cx="2909556" cy="2061890"/>
                    </a:xfrm>
                    <a:prstGeom prst="rect">
                      <a:avLst/>
                    </a:prstGeom>
                    <a:ln>
                      <a:noFill/>
                    </a:ln>
                    <a:extLst>
                      <a:ext uri="{53640926-AAD7-44D8-BBD7-CCE9431645EC}">
                        <a14:shadowObscured xmlns:a14="http://schemas.microsoft.com/office/drawing/2010/main"/>
                      </a:ext>
                    </a:extLst>
                  </pic:spPr>
                </pic:pic>
              </a:graphicData>
            </a:graphic>
          </wp:inline>
        </w:drawing>
      </w:r>
    </w:p>
    <w:p w14:paraId="377D8866" w14:textId="4142497E" w:rsidR="00F46029" w:rsidRPr="00A77AF6" w:rsidRDefault="00391CD3" w:rsidP="00391CD3">
      <w:pPr>
        <w:pStyle w:val="Caption"/>
      </w:pPr>
      <w:bookmarkStart w:id="92" w:name="_Toc36186970"/>
      <w:r w:rsidRPr="00A77AF6">
        <w:t xml:space="preserve">Figure </w:t>
      </w:r>
      <w:fldSimple w:instr=" STYLEREF 1 \s ">
        <w:r w:rsidR="000441F7">
          <w:rPr>
            <w:noProof/>
          </w:rPr>
          <w:t>4</w:t>
        </w:r>
      </w:fldSimple>
      <w:r w:rsidR="00BA5DC4">
        <w:noBreakHyphen/>
      </w:r>
      <w:fldSimple w:instr=" SEQ Figure \* ARABIC \s 1 ">
        <w:r w:rsidR="000441F7">
          <w:rPr>
            <w:noProof/>
          </w:rPr>
          <w:t>6</w:t>
        </w:r>
      </w:fldSimple>
      <w:r w:rsidRPr="00A77AF6">
        <w:t>: The Square Route - an alternative to the iron triangle</w:t>
      </w:r>
      <w:bookmarkEnd w:id="92"/>
    </w:p>
    <w:p w14:paraId="307B33BB" w14:textId="176CE625" w:rsidR="00620647" w:rsidRPr="00A77AF6" w:rsidRDefault="00620647" w:rsidP="00F46029">
      <w:pPr>
        <w:spacing w:line="480" w:lineRule="auto"/>
        <w:rPr>
          <w:sz w:val="18"/>
          <w:szCs w:val="18"/>
        </w:rPr>
      </w:pPr>
      <w:r w:rsidRPr="00A77AF6">
        <w:rPr>
          <w:sz w:val="18"/>
          <w:szCs w:val="18"/>
        </w:rPr>
        <w:t xml:space="preserve">Source: </w:t>
      </w:r>
      <w:sdt>
        <w:sdtPr>
          <w:rPr>
            <w:sz w:val="18"/>
            <w:szCs w:val="18"/>
          </w:rPr>
          <w:id w:val="190343820"/>
          <w:citation/>
        </w:sdtPr>
        <w:sdtEndPr/>
        <w:sdtContent>
          <w:r w:rsidRPr="00A77AF6">
            <w:rPr>
              <w:sz w:val="18"/>
              <w:szCs w:val="18"/>
            </w:rPr>
            <w:fldChar w:fldCharType="begin"/>
          </w:r>
          <w:r w:rsidRPr="00A77AF6">
            <w:rPr>
              <w:sz w:val="18"/>
              <w:szCs w:val="18"/>
            </w:rPr>
            <w:instrText xml:space="preserve">CITATION Atk991 \p 341 \l 2057 </w:instrText>
          </w:r>
          <w:r w:rsidRPr="00A77AF6">
            <w:rPr>
              <w:sz w:val="18"/>
              <w:szCs w:val="18"/>
            </w:rPr>
            <w:fldChar w:fldCharType="separate"/>
          </w:r>
          <w:r w:rsidR="008E653F" w:rsidRPr="00A77AF6">
            <w:rPr>
              <w:sz w:val="18"/>
              <w:szCs w:val="18"/>
            </w:rPr>
            <w:t>(Atkinson, 1999, p. 341)</w:t>
          </w:r>
          <w:r w:rsidRPr="00A77AF6">
            <w:rPr>
              <w:sz w:val="18"/>
              <w:szCs w:val="18"/>
            </w:rPr>
            <w:fldChar w:fldCharType="end"/>
          </w:r>
        </w:sdtContent>
      </w:sdt>
    </w:p>
    <w:p w14:paraId="2F1BD349" w14:textId="3B0E6D3E" w:rsidR="00391CD3" w:rsidRPr="00A77AF6" w:rsidRDefault="00112C78" w:rsidP="00391CD3">
      <w:pPr>
        <w:spacing w:line="360" w:lineRule="auto"/>
      </w:pPr>
      <w:r w:rsidRPr="00A77AF6">
        <w:lastRenderedPageBreak/>
        <w:t xml:space="preserve">Other models examples of which are in Figure 4-7 </w:t>
      </w:r>
      <w:r w:rsidR="00391CD3" w:rsidRPr="00A77AF6">
        <w:t xml:space="preserve">all include time, cost and quality but have added other elements.  </w:t>
      </w:r>
      <w:r w:rsidR="007220A2" w:rsidRPr="00A77AF6">
        <w:t>The APM model (2018) has added scope at its centre</w:t>
      </w:r>
      <w:r w:rsidR="00391CD3" w:rsidRPr="00A77AF6">
        <w:t>; t</w:t>
      </w:r>
      <w:r w:rsidR="007220A2" w:rsidRPr="00A77AF6">
        <w:t>he PMI (2009) triple constraint added risk, resources and scope</w:t>
      </w:r>
      <w:r w:rsidR="00391CD3" w:rsidRPr="00A77AF6">
        <w:t xml:space="preserve"> and </w:t>
      </w:r>
      <w:r w:rsidR="007220A2" w:rsidRPr="00A77AF6">
        <w:t>Hughey</w:t>
      </w:r>
      <w:r w:rsidR="00391CD3" w:rsidRPr="00A77AF6">
        <w:t xml:space="preserve">’s </w:t>
      </w:r>
      <w:r w:rsidR="007220A2" w:rsidRPr="00A77AF6">
        <w:t xml:space="preserve">(2008) </w:t>
      </w:r>
      <w:r w:rsidR="00391CD3" w:rsidRPr="00A77AF6">
        <w:t>P</w:t>
      </w:r>
      <w:r w:rsidR="007220A2" w:rsidRPr="00A77AF6">
        <w:t xml:space="preserve">roject Management Diamond </w:t>
      </w:r>
      <w:r w:rsidR="00391CD3" w:rsidRPr="00A77AF6">
        <w:t xml:space="preserve">added scope and expectations.  </w:t>
      </w:r>
      <w:r w:rsidR="007220A2" w:rsidRPr="00A77AF6">
        <w:t xml:space="preserve"> </w:t>
      </w:r>
    </w:p>
    <w:p w14:paraId="43BDAAD2" w14:textId="5E4F152D" w:rsidR="007C3F0C" w:rsidRPr="00A77AF6" w:rsidRDefault="007C3F0C" w:rsidP="00391CD3">
      <w:pPr>
        <w:spacing w:line="360" w:lineRule="auto"/>
      </w:pPr>
      <w:r w:rsidRPr="00A77AF6">
        <w:rPr>
          <w:noProof/>
        </w:rPr>
        <w:drawing>
          <wp:inline distT="0" distB="0" distL="0" distR="0" wp14:anchorId="1AEC45DA" wp14:editId="7A16BF9A">
            <wp:extent cx="5578475" cy="2133354"/>
            <wp:effectExtent l="0" t="0" r="3175" b="635"/>
            <wp:docPr id="12362" name="Picture 1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20944" b="11068"/>
                    <a:stretch/>
                  </pic:blipFill>
                  <pic:spPr bwMode="auto">
                    <a:xfrm>
                      <a:off x="0" y="0"/>
                      <a:ext cx="5579745" cy="2133840"/>
                    </a:xfrm>
                    <a:prstGeom prst="rect">
                      <a:avLst/>
                    </a:prstGeom>
                    <a:ln>
                      <a:noFill/>
                    </a:ln>
                    <a:extLst>
                      <a:ext uri="{53640926-AAD7-44D8-BBD7-CCE9431645EC}">
                        <a14:shadowObscured xmlns:a14="http://schemas.microsoft.com/office/drawing/2010/main"/>
                      </a:ext>
                    </a:extLst>
                  </pic:spPr>
                </pic:pic>
              </a:graphicData>
            </a:graphic>
          </wp:inline>
        </w:drawing>
      </w:r>
    </w:p>
    <w:p w14:paraId="0CEDC8C3" w14:textId="29EE38A5" w:rsidR="00DF0C3C" w:rsidRPr="00A77AF6" w:rsidRDefault="00391CD3" w:rsidP="00DF0C3C">
      <w:pPr>
        <w:pStyle w:val="Caption"/>
      </w:pPr>
      <w:bookmarkStart w:id="93" w:name="_Toc36186971"/>
      <w:r w:rsidRPr="00A77AF6">
        <w:t xml:space="preserve">Figure </w:t>
      </w:r>
      <w:fldSimple w:instr=" STYLEREF 1 \s ">
        <w:r w:rsidR="000441F7">
          <w:rPr>
            <w:noProof/>
          </w:rPr>
          <w:t>4</w:t>
        </w:r>
      </w:fldSimple>
      <w:r w:rsidR="00BA5DC4">
        <w:noBreakHyphen/>
      </w:r>
      <w:fldSimple w:instr=" SEQ Figure \* ARABIC \s 1 ">
        <w:r w:rsidR="000441F7">
          <w:rPr>
            <w:noProof/>
          </w:rPr>
          <w:t>7</w:t>
        </w:r>
      </w:fldSimple>
      <w:r w:rsidRPr="00A77AF6">
        <w:t>: Alternatives to the Iron Triangle</w:t>
      </w:r>
      <w:bookmarkEnd w:id="93"/>
    </w:p>
    <w:p w14:paraId="4D44A444" w14:textId="60E95183" w:rsidR="00112C78" w:rsidRPr="00A77AF6" w:rsidRDefault="000E4B15" w:rsidP="00112C78">
      <w:pPr>
        <w:spacing w:after="120" w:line="360" w:lineRule="auto"/>
      </w:pPr>
      <w:r w:rsidRPr="00A77AF6">
        <w:t>Jugdev &amp; M</w:t>
      </w:r>
      <w:r w:rsidR="00E62324" w:rsidRPr="00A77AF6">
        <w:rPr>
          <w:rFonts w:cstheme="minorHAnsi"/>
        </w:rPr>
        <w:t>ü</w:t>
      </w:r>
      <w:r w:rsidRPr="00A77AF6">
        <w:t xml:space="preserve">ller (2005) </w:t>
      </w:r>
      <w:r w:rsidR="00E62324" w:rsidRPr="00A77AF6">
        <w:t xml:space="preserve">also </w:t>
      </w:r>
      <w:r w:rsidRPr="00A77AF6">
        <w:t xml:space="preserve">argued that the iron triangle measures </w:t>
      </w:r>
      <w:r w:rsidR="00112C78" w:rsidRPr="00A77AF6">
        <w:t xml:space="preserve">are </w:t>
      </w:r>
      <w:r w:rsidRPr="00A77AF6">
        <w:t xml:space="preserve">too limited and project success must </w:t>
      </w:r>
      <w:r w:rsidR="00DF0C3C" w:rsidRPr="00A77AF6">
        <w:t xml:space="preserve">be </w:t>
      </w:r>
      <w:r w:rsidRPr="00A77AF6">
        <w:t>defined more widely</w:t>
      </w:r>
      <w:r w:rsidR="00112C78" w:rsidRPr="00A77AF6">
        <w:t>,</w:t>
      </w:r>
      <w:r w:rsidR="00DF0C3C" w:rsidRPr="00A77AF6">
        <w:t xml:space="preserve"> and subsequently o</w:t>
      </w:r>
      <w:r w:rsidR="00391CD3" w:rsidRPr="00A77AF6">
        <w:t xml:space="preserve">ther </w:t>
      </w:r>
      <w:r w:rsidR="00F20FAB" w:rsidRPr="00A77AF6">
        <w:t>KPIs</w:t>
      </w:r>
      <w:r w:rsidR="00391CD3" w:rsidRPr="00A77AF6">
        <w:t xml:space="preserve"> have been identified such </w:t>
      </w:r>
      <w:r w:rsidR="00DF0C3C" w:rsidRPr="00A77AF6">
        <w:t xml:space="preserve">as </w:t>
      </w:r>
      <w:r w:rsidR="00391CD3" w:rsidRPr="00A77AF6">
        <w:t>meeting safety standards, limited scope changes, visible benefits, project team</w:t>
      </w:r>
      <w:r w:rsidR="00010EDE" w:rsidRPr="00A77AF6">
        <w:t xml:space="preserve"> cohesion</w:t>
      </w:r>
      <w:r w:rsidR="00391CD3" w:rsidRPr="00A77AF6">
        <w:t xml:space="preserve">, stakeholder and sponsor satisfaction, </w:t>
      </w:r>
      <w:r w:rsidRPr="00A77AF6">
        <w:t>the project outcome was used as planned, the project has a good reputation</w:t>
      </w:r>
      <w:r w:rsidR="00DF0C3C" w:rsidRPr="00A77AF6">
        <w:t xml:space="preserve"> and </w:t>
      </w:r>
      <w:r w:rsidRPr="00A77AF6">
        <w:t>project efficiency</w:t>
      </w:r>
      <w:r w:rsidR="00DF0C3C" w:rsidRPr="00A77AF6">
        <w:t xml:space="preserve"> </w:t>
      </w:r>
      <w:r w:rsidR="007D0E73" w:rsidRPr="00A77AF6">
        <w:t xml:space="preserve">(Toor &amp; Ogunlana, 2010, </w:t>
      </w:r>
      <w:r w:rsidR="00010EDE" w:rsidRPr="00A77AF6">
        <w:t xml:space="preserve">Yeung, et al., 2013).  KPI measures are project-specific </w:t>
      </w:r>
      <w:sdt>
        <w:sdtPr>
          <w:id w:val="-209654875"/>
          <w:citation/>
        </w:sdtPr>
        <w:sdtEndPr/>
        <w:sdtContent>
          <w:r w:rsidR="00010EDE" w:rsidRPr="00A77AF6">
            <w:fldChar w:fldCharType="begin"/>
          </w:r>
          <w:r w:rsidR="00010EDE" w:rsidRPr="00A77AF6">
            <w:instrText xml:space="preserve"> CITATION Cha04 \l 2057 </w:instrText>
          </w:r>
          <w:r w:rsidR="00010EDE" w:rsidRPr="00A77AF6">
            <w:fldChar w:fldCharType="separate"/>
          </w:r>
          <w:r w:rsidR="008E653F" w:rsidRPr="00A77AF6">
            <w:t>(Chan &amp; Cahn, 2004)</w:t>
          </w:r>
          <w:r w:rsidR="00010EDE" w:rsidRPr="00A77AF6">
            <w:fldChar w:fldCharType="end"/>
          </w:r>
        </w:sdtContent>
      </w:sdt>
      <w:r w:rsidR="00EB291E" w:rsidRPr="00A77AF6">
        <w:t xml:space="preserve"> and </w:t>
      </w:r>
      <w:r w:rsidR="00DF0C3C" w:rsidRPr="00A77AF6">
        <w:t>Joslin &amp; Müller (2016, p. 615)</w:t>
      </w:r>
      <w:r w:rsidR="002C0937" w:rsidRPr="00A77AF6">
        <w:t xml:space="preserve"> suggested that the iron triangle should be expanded from the traditional measure of time, cost and quality to include ‘project efficiency, organisational benefits, project impact, stakeholder satisfaction and future potential’</w:t>
      </w:r>
      <w:r w:rsidR="00DF0C3C" w:rsidRPr="00A77AF6">
        <w:t xml:space="preserve">. </w:t>
      </w:r>
      <w:r w:rsidR="00496DAE" w:rsidRPr="00A77AF6">
        <w:t xml:space="preserve"> Shenhar et al (2001) argued that a measure of success should be impact on the customer, the contribution to business success and the creation of new markets or products. Specifically, for construction projects, </w:t>
      </w:r>
      <w:sdt>
        <w:sdtPr>
          <w:id w:val="-883322942"/>
          <w:citation/>
        </w:sdtPr>
        <w:sdtEndPr/>
        <w:sdtContent>
          <w:r w:rsidR="00496DAE" w:rsidRPr="00A77AF6">
            <w:fldChar w:fldCharType="begin"/>
          </w:r>
          <w:r w:rsidR="00496DAE" w:rsidRPr="00A77AF6">
            <w:instrText xml:space="preserve"> CITATION Hug04 \l 2057 </w:instrText>
          </w:r>
          <w:r w:rsidR="00496DAE" w:rsidRPr="00A77AF6">
            <w:fldChar w:fldCharType="separate"/>
          </w:r>
          <w:r w:rsidR="008E653F" w:rsidRPr="00A77AF6">
            <w:t>(Hughes, et al., 2004)</w:t>
          </w:r>
          <w:r w:rsidR="00496DAE" w:rsidRPr="00A77AF6">
            <w:fldChar w:fldCharType="end"/>
          </w:r>
        </w:sdtContent>
      </w:sdt>
      <w:r w:rsidR="00496DAE" w:rsidRPr="00A77AF6">
        <w:t xml:space="preserve"> argued that traditional iron triangle measures should be augmented by performance, safety and operating environments, and compliance with requirements by contractors and sub-contractors during the project management phase.  </w:t>
      </w:r>
    </w:p>
    <w:p w14:paraId="2AA9B4E7" w14:textId="77777777" w:rsidR="00112C78" w:rsidRPr="00A77AF6" w:rsidRDefault="00112C78" w:rsidP="00112C78">
      <w:pPr>
        <w:spacing w:after="0" w:line="360" w:lineRule="auto"/>
        <w:rPr>
          <w:rFonts w:cstheme="minorHAnsi"/>
        </w:rPr>
      </w:pPr>
      <w:r w:rsidRPr="00A77AF6">
        <w:rPr>
          <w:rFonts w:cstheme="minorHAnsi"/>
        </w:rPr>
        <w:t xml:space="preserve">Some studies have suggested that time and cost were not seen as relevant to project success.  </w:t>
      </w:r>
    </w:p>
    <w:p w14:paraId="4B8DCE45" w14:textId="5B0D2026" w:rsidR="00112C78" w:rsidRPr="00A77AF6" w:rsidRDefault="00112C78" w:rsidP="00EB291E">
      <w:pPr>
        <w:spacing w:after="240" w:line="240" w:lineRule="auto"/>
        <w:ind w:left="720"/>
        <w:rPr>
          <w:rFonts w:cstheme="minorHAnsi"/>
        </w:rPr>
      </w:pPr>
      <w:r w:rsidRPr="00A77AF6">
        <w:rPr>
          <w:rFonts w:cstheme="minorHAnsi"/>
        </w:rPr>
        <w:t>‘</w:t>
      </w:r>
      <w:r w:rsidRPr="00A77AF6">
        <w:rPr>
          <w:rFonts w:cstheme="minorHAnsi"/>
          <w:i/>
        </w:rPr>
        <w:t>Research conducted in the USA on some 650 completed projects’ confirmed the irrelevance of time and cost to the perceived success of a project.’</w:t>
      </w:r>
      <w:r w:rsidRPr="00A77AF6">
        <w:rPr>
          <w:rFonts w:cstheme="minorHAnsi"/>
        </w:rPr>
        <w:t xml:space="preserve">  </w:t>
      </w:r>
      <w:sdt>
        <w:sdtPr>
          <w:rPr>
            <w:rFonts w:cstheme="minorHAnsi"/>
          </w:rPr>
          <w:id w:val="471639517"/>
          <w:citation/>
        </w:sdtPr>
        <w:sdtEndPr/>
        <w:sdtContent>
          <w:r w:rsidRPr="00A77AF6">
            <w:rPr>
              <w:rFonts w:cstheme="minorHAnsi"/>
            </w:rPr>
            <w:fldChar w:fldCharType="begin"/>
          </w:r>
          <w:r w:rsidRPr="00A77AF6">
            <w:rPr>
              <w:rFonts w:cstheme="minorHAnsi"/>
            </w:rPr>
            <w:instrText xml:space="preserve">CITATION deW88 \p 165 \l 2057 </w:instrText>
          </w:r>
          <w:r w:rsidRPr="00A77AF6">
            <w:rPr>
              <w:rFonts w:cstheme="minorHAnsi"/>
            </w:rPr>
            <w:fldChar w:fldCharType="separate"/>
          </w:r>
          <w:r w:rsidR="008E653F" w:rsidRPr="00A77AF6">
            <w:rPr>
              <w:rFonts w:cstheme="minorHAnsi"/>
            </w:rPr>
            <w:t>(De Wit, 1988, p. 165)</w:t>
          </w:r>
          <w:r w:rsidRPr="00A77AF6">
            <w:rPr>
              <w:rFonts w:cstheme="minorHAnsi"/>
            </w:rPr>
            <w:fldChar w:fldCharType="end"/>
          </w:r>
        </w:sdtContent>
      </w:sdt>
      <w:r w:rsidRPr="00A77AF6">
        <w:rPr>
          <w:rFonts w:cstheme="minorHAnsi"/>
        </w:rPr>
        <w:t>.</w:t>
      </w:r>
    </w:p>
    <w:p w14:paraId="19AFDDE1" w14:textId="6BBB9AC3" w:rsidR="00112C78" w:rsidRPr="00A77AF6" w:rsidRDefault="00112C78" w:rsidP="00112C78">
      <w:pPr>
        <w:spacing w:line="360" w:lineRule="auto"/>
        <w:rPr>
          <w:rFonts w:cstheme="minorHAnsi"/>
        </w:rPr>
      </w:pPr>
      <w:r w:rsidRPr="00A77AF6">
        <w:rPr>
          <w:rFonts w:cstheme="minorHAnsi"/>
        </w:rPr>
        <w:t xml:space="preserve">De Wit (1988) noted that time and cost overruns were not included in a list of twenty-nine characteristics associated with project failure, nor were they included in a list of twenty-three characteristics related to project success.  Müller and Turner (2007) found that older project </w:t>
      </w:r>
      <w:r w:rsidRPr="00A77AF6">
        <w:rPr>
          <w:rFonts w:cstheme="minorHAnsi"/>
        </w:rPr>
        <w:lastRenderedPageBreak/>
        <w:t xml:space="preserve">managers rated team satisfaction as an important success criterion and that project managers in different industries and cultures judged success differently from each other. Project success varies according to the criteria selected for measuring it.  De Wit (1988) found six success criteria for construction projects: time, cost, client satisfaction, functionality, constructor satisfaction and project team satisfaction.  In a 2015 survey of 169 senior managers in construction projects the three most important success criteria were identified as time, cost and quality followed by achieving the project objectives </w:t>
      </w:r>
      <w:sdt>
        <w:sdtPr>
          <w:rPr>
            <w:rFonts w:cstheme="minorHAnsi"/>
          </w:rPr>
          <w:id w:val="-277809309"/>
          <w:citation/>
        </w:sdtPr>
        <w:sdtEndPr/>
        <w:sdtContent>
          <w:r w:rsidRPr="00A77AF6">
            <w:rPr>
              <w:rFonts w:cstheme="minorHAnsi"/>
            </w:rPr>
            <w:fldChar w:fldCharType="begin"/>
          </w:r>
          <w:r w:rsidRPr="00A77AF6">
            <w:rPr>
              <w:rFonts w:cstheme="minorHAnsi"/>
            </w:rPr>
            <w:instrText xml:space="preserve"> CITATION Gha16 \l 2057 </w:instrText>
          </w:r>
          <w:r w:rsidRPr="00A77AF6">
            <w:rPr>
              <w:rFonts w:cstheme="minorHAnsi"/>
            </w:rPr>
            <w:fldChar w:fldCharType="separate"/>
          </w:r>
          <w:r w:rsidR="008E653F" w:rsidRPr="00A77AF6">
            <w:rPr>
              <w:rFonts w:cstheme="minorHAnsi"/>
            </w:rPr>
            <w:t>(Ghazimoradi, et al., 2016)</w:t>
          </w:r>
          <w:r w:rsidRPr="00A77AF6">
            <w:rPr>
              <w:rFonts w:cstheme="minorHAnsi"/>
            </w:rPr>
            <w:fldChar w:fldCharType="end"/>
          </w:r>
        </w:sdtContent>
      </w:sdt>
      <w:r w:rsidRPr="00A77AF6">
        <w:rPr>
          <w:rFonts w:cstheme="minorHAnsi"/>
        </w:rPr>
        <w:t xml:space="preserve">. </w:t>
      </w:r>
    </w:p>
    <w:p w14:paraId="3A7083E8" w14:textId="082A6B86" w:rsidR="00A821DB" w:rsidRPr="00A77AF6" w:rsidRDefault="00A821DB" w:rsidP="00A821DB">
      <w:pPr>
        <w:spacing w:after="120" w:line="360" w:lineRule="auto"/>
        <w:rPr>
          <w:rFonts w:cstheme="minorHAnsi"/>
        </w:rPr>
      </w:pPr>
      <w:r w:rsidRPr="00A77AF6">
        <w:rPr>
          <w:rFonts w:cstheme="minorHAnsi"/>
        </w:rPr>
        <w:t xml:space="preserve">Project success may be judged without recourse to traditional measures or even a clear definition of success.  Pinto and Slevin (1987) used this method in their development of </w:t>
      </w:r>
      <w:r w:rsidR="00E6792C" w:rsidRPr="00A77AF6">
        <w:rPr>
          <w:rFonts w:cstheme="minorHAnsi"/>
        </w:rPr>
        <w:t>c</w:t>
      </w:r>
      <w:r w:rsidRPr="00A77AF6">
        <w:rPr>
          <w:rFonts w:cstheme="minorHAnsi"/>
        </w:rPr>
        <w:t xml:space="preserve">ritical </w:t>
      </w:r>
      <w:r w:rsidR="00E6792C" w:rsidRPr="00A77AF6">
        <w:rPr>
          <w:rFonts w:cstheme="minorHAnsi"/>
        </w:rPr>
        <w:t>s</w:t>
      </w:r>
      <w:r w:rsidRPr="00A77AF6">
        <w:rPr>
          <w:rFonts w:cstheme="minorHAnsi"/>
        </w:rPr>
        <w:t xml:space="preserve">uccess </w:t>
      </w:r>
      <w:r w:rsidR="00E6792C" w:rsidRPr="00A77AF6">
        <w:rPr>
          <w:rFonts w:cstheme="minorHAnsi"/>
        </w:rPr>
        <w:t>f</w:t>
      </w:r>
      <w:r w:rsidRPr="00A77AF6">
        <w:rPr>
          <w:rFonts w:cstheme="minorHAnsi"/>
        </w:rPr>
        <w:t xml:space="preserve">actors (CSF), this is discussed later, but when they were discovering which critical success factors led to project success, they allowed participants to decide for themselves what success was.  In effect the judgements of success were subjective and probably inconsistent. </w:t>
      </w:r>
      <w:r w:rsidR="00637D19" w:rsidRPr="00A77AF6">
        <w:rPr>
          <w:rFonts w:cstheme="minorHAnsi"/>
        </w:rPr>
        <w:t xml:space="preserve"> Müller &amp; Jugdev (2012, p. 768)</w:t>
      </w:r>
      <w:r w:rsidR="000802B6" w:rsidRPr="00A77AF6">
        <w:rPr>
          <w:rFonts w:cstheme="minorHAnsi"/>
        </w:rPr>
        <w:t xml:space="preserve"> </w:t>
      </w:r>
      <w:r w:rsidRPr="00A77AF6">
        <w:rPr>
          <w:rFonts w:cstheme="minorHAnsi"/>
        </w:rPr>
        <w:t>call</w:t>
      </w:r>
      <w:r w:rsidR="00637D19" w:rsidRPr="00A77AF6">
        <w:rPr>
          <w:rFonts w:cstheme="minorHAnsi"/>
        </w:rPr>
        <w:t>ed</w:t>
      </w:r>
      <w:r w:rsidRPr="00A77AF6">
        <w:rPr>
          <w:rFonts w:cstheme="minorHAnsi"/>
        </w:rPr>
        <w:t xml:space="preserve"> this measure success ‘in the eye of the beholder’ and argue</w:t>
      </w:r>
      <w:r w:rsidR="00637D19" w:rsidRPr="00A77AF6">
        <w:rPr>
          <w:rFonts w:cstheme="minorHAnsi"/>
        </w:rPr>
        <w:t>d</w:t>
      </w:r>
      <w:r w:rsidRPr="00A77AF6">
        <w:rPr>
          <w:rFonts w:cstheme="minorHAnsi"/>
        </w:rPr>
        <w:t xml:space="preserve"> that this subjective measure is widely used.  </w:t>
      </w:r>
    </w:p>
    <w:p w14:paraId="2D93112F" w14:textId="646D2701" w:rsidR="004F5229" w:rsidRPr="00A77AF6" w:rsidRDefault="00496DAE" w:rsidP="007B2ADB">
      <w:pPr>
        <w:spacing w:after="120" w:line="360" w:lineRule="auto"/>
      </w:pPr>
      <w:r w:rsidRPr="00A77AF6">
        <w:t xml:space="preserve">Despite the </w:t>
      </w:r>
      <w:r w:rsidR="00112C78" w:rsidRPr="00A77AF6">
        <w:t>criticisms o</w:t>
      </w:r>
      <w:r w:rsidRPr="00A77AF6">
        <w:t>f the iron triangle,</w:t>
      </w:r>
      <w:r w:rsidR="005002BB" w:rsidRPr="00A77AF6">
        <w:t xml:space="preserve"> and the many proposed alternatives, </w:t>
      </w:r>
      <w:r w:rsidRPr="00A77AF6">
        <w:t xml:space="preserve"> </w:t>
      </w:r>
      <w:r w:rsidR="00112C78" w:rsidRPr="00A77AF6">
        <w:t xml:space="preserve">it has been argued that </w:t>
      </w:r>
      <w:r w:rsidR="00773C81" w:rsidRPr="00A77AF6">
        <w:t xml:space="preserve">it is </w:t>
      </w:r>
      <w:r w:rsidR="00112C78" w:rsidRPr="00A77AF6">
        <w:t xml:space="preserve">still </w:t>
      </w:r>
      <w:r w:rsidR="00773C81" w:rsidRPr="00A77AF6">
        <w:t xml:space="preserve">a useful tool because it provides discipline, is </w:t>
      </w:r>
      <w:r w:rsidR="00112C78" w:rsidRPr="00A77AF6">
        <w:t xml:space="preserve">helpful </w:t>
      </w:r>
      <w:r w:rsidR="00773C81" w:rsidRPr="00A77AF6">
        <w:t xml:space="preserve">when talking to stakeholders and is better than any other method </w:t>
      </w:r>
      <w:sdt>
        <w:sdtPr>
          <w:id w:val="-1182205457"/>
          <w:citation/>
        </w:sdtPr>
        <w:sdtEndPr/>
        <w:sdtContent>
          <w:r w:rsidR="00773C81" w:rsidRPr="00A77AF6">
            <w:fldChar w:fldCharType="begin"/>
          </w:r>
          <w:r w:rsidR="00773C81" w:rsidRPr="00A77AF6">
            <w:instrText xml:space="preserve">CITATION Dav18 \p 30 \l 2057 </w:instrText>
          </w:r>
          <w:r w:rsidR="00773C81" w:rsidRPr="00A77AF6">
            <w:fldChar w:fldCharType="separate"/>
          </w:r>
          <w:r w:rsidR="008E653F" w:rsidRPr="00A77AF6">
            <w:t>(Craik, 2018, p. 30)</w:t>
          </w:r>
          <w:r w:rsidR="00773C81" w:rsidRPr="00A77AF6">
            <w:fldChar w:fldCharType="end"/>
          </w:r>
        </w:sdtContent>
      </w:sdt>
      <w:r w:rsidR="00112C78" w:rsidRPr="00A77AF6">
        <w:t xml:space="preserve">.  </w:t>
      </w:r>
      <w:r w:rsidR="00773C81" w:rsidRPr="00A77AF6">
        <w:t>There are many alternatives to the iron triangle, but there appears to be little consensus on what these should be.  This may explain why the iron triangle has endured, at least for project teams</w:t>
      </w:r>
      <w:r w:rsidR="00112C78" w:rsidRPr="00A77AF6">
        <w:t>, because d</w:t>
      </w:r>
      <w:r w:rsidR="00773C81" w:rsidRPr="00A77AF6">
        <w:t xml:space="preserve">espite its shortcomings, </w:t>
      </w:r>
      <w:r w:rsidR="005002BB" w:rsidRPr="00A77AF6">
        <w:t>it</w:t>
      </w:r>
      <w:r w:rsidR="00773C81" w:rsidRPr="00A77AF6">
        <w:t xml:space="preserve"> is a simple tool to understand and to use. </w:t>
      </w:r>
      <w:r w:rsidR="0048215C" w:rsidRPr="00A77AF6">
        <w:t xml:space="preserve">Perhaps it </w:t>
      </w:r>
      <w:r w:rsidR="007B2ADB" w:rsidRPr="00A77AF6">
        <w:t xml:space="preserve">is </w:t>
      </w:r>
      <w:r w:rsidR="0048215C" w:rsidRPr="00A77AF6">
        <w:t xml:space="preserve">also </w:t>
      </w:r>
      <w:r w:rsidR="007B2ADB" w:rsidRPr="00A77AF6">
        <w:t>possible that project teams who are focussed on project delivery</w:t>
      </w:r>
      <w:r w:rsidR="0048215C" w:rsidRPr="00A77AF6">
        <w:t>,</w:t>
      </w:r>
      <w:r w:rsidR="007B2ADB" w:rsidRPr="00A77AF6">
        <w:t xml:space="preserve"> and will be judged by it</w:t>
      </w:r>
      <w:r w:rsidR="0048215C" w:rsidRPr="00A77AF6">
        <w:t>,</w:t>
      </w:r>
      <w:r w:rsidR="007B2ADB" w:rsidRPr="00A77AF6">
        <w:t xml:space="preserve"> consider the iron triangle to me more important</w:t>
      </w:r>
      <w:r w:rsidR="0048215C" w:rsidRPr="00A77AF6">
        <w:t xml:space="preserve">. </w:t>
      </w:r>
      <w:r w:rsidR="00773C81" w:rsidRPr="00A77AF6">
        <w:t>It is also apparent that some success measures</w:t>
      </w:r>
      <w:r w:rsidR="00B41C8F" w:rsidRPr="00A77AF6">
        <w:t xml:space="preserve"> </w:t>
      </w:r>
      <w:r w:rsidR="00112C78" w:rsidRPr="00A77AF6">
        <w:t xml:space="preserve">included </w:t>
      </w:r>
      <w:r w:rsidR="000E3A63" w:rsidRPr="00A77AF6">
        <w:t xml:space="preserve">in </w:t>
      </w:r>
      <w:r w:rsidR="00C4319D" w:rsidRPr="00A77AF6">
        <w:t>alter</w:t>
      </w:r>
      <w:r w:rsidR="005E6070" w:rsidRPr="00A77AF6">
        <w:t xml:space="preserve">native </w:t>
      </w:r>
      <w:r w:rsidR="00B41C8F" w:rsidRPr="00A77AF6">
        <w:t xml:space="preserve">models </w:t>
      </w:r>
      <w:r w:rsidR="000E3A63" w:rsidRPr="00A77AF6">
        <w:t xml:space="preserve">to the </w:t>
      </w:r>
      <w:r w:rsidR="00112C78" w:rsidRPr="00A77AF6">
        <w:t>iron triangle</w:t>
      </w:r>
      <w:r w:rsidR="000E3A63" w:rsidRPr="00A77AF6">
        <w:t xml:space="preserve">, </w:t>
      </w:r>
      <w:r w:rsidR="00773C81" w:rsidRPr="00A77AF6">
        <w:t>apply to the operational phase</w:t>
      </w:r>
      <w:r w:rsidR="005E6070" w:rsidRPr="00A77AF6">
        <w:t xml:space="preserve"> and these may be more </w:t>
      </w:r>
      <w:r w:rsidR="000344E8" w:rsidRPr="00A77AF6">
        <w:t>important</w:t>
      </w:r>
      <w:r w:rsidR="005E6070" w:rsidRPr="00A77AF6">
        <w:t xml:space="preserve"> for the clients</w:t>
      </w:r>
      <w:r w:rsidR="0048215C" w:rsidRPr="00A77AF6">
        <w:t xml:space="preserve"> than they are for project teams</w:t>
      </w:r>
      <w:r w:rsidR="005E6070" w:rsidRPr="00A77AF6">
        <w:t xml:space="preserve">.  </w:t>
      </w:r>
    </w:p>
    <w:p w14:paraId="6740650F" w14:textId="4E2A37B8" w:rsidR="0048215C" w:rsidRPr="00A77AF6" w:rsidRDefault="0048215C" w:rsidP="0048215C">
      <w:pPr>
        <w:pStyle w:val="Heading3"/>
        <w:spacing w:after="120"/>
      </w:pPr>
      <w:bookmarkStart w:id="94" w:name="_Toc36275080"/>
      <w:r w:rsidRPr="00A77AF6">
        <w:t>Weighing time, cost and quality</w:t>
      </w:r>
      <w:bookmarkEnd w:id="94"/>
    </w:p>
    <w:p w14:paraId="70193E28" w14:textId="4A7E383D" w:rsidR="00112C78" w:rsidRPr="00A77AF6" w:rsidRDefault="004F5229" w:rsidP="00112C78">
      <w:pPr>
        <w:spacing w:line="360" w:lineRule="auto"/>
        <w:rPr>
          <w:rFonts w:cstheme="minorHAnsi"/>
        </w:rPr>
      </w:pPr>
      <w:r w:rsidRPr="00A77AF6">
        <w:rPr>
          <w:rFonts w:cstheme="minorHAnsi"/>
        </w:rPr>
        <w:t xml:space="preserve">The second question about the use of the </w:t>
      </w:r>
      <w:r w:rsidR="00112C78" w:rsidRPr="00A77AF6">
        <w:rPr>
          <w:rFonts w:cstheme="minorHAnsi"/>
        </w:rPr>
        <w:t>iron</w:t>
      </w:r>
      <w:r w:rsidRPr="00A77AF6">
        <w:rPr>
          <w:rFonts w:cstheme="minorHAnsi"/>
        </w:rPr>
        <w:t xml:space="preserve"> triangle has been whether each of the facets should be </w:t>
      </w:r>
      <w:r w:rsidR="00353B89" w:rsidRPr="00A77AF6">
        <w:rPr>
          <w:rFonts w:cstheme="minorHAnsi"/>
        </w:rPr>
        <w:t xml:space="preserve">weighted </w:t>
      </w:r>
      <w:r w:rsidR="00112C78" w:rsidRPr="00A77AF6">
        <w:rPr>
          <w:rFonts w:cstheme="minorHAnsi"/>
        </w:rPr>
        <w:t xml:space="preserve">equally or </w:t>
      </w:r>
      <w:r w:rsidR="00353B89" w:rsidRPr="00A77AF6">
        <w:rPr>
          <w:rFonts w:cstheme="minorHAnsi"/>
        </w:rPr>
        <w:t>differently for project</w:t>
      </w:r>
      <w:r w:rsidR="00112C78" w:rsidRPr="00A77AF6">
        <w:rPr>
          <w:rFonts w:cstheme="minorHAnsi"/>
        </w:rPr>
        <w:t>s</w:t>
      </w:r>
      <w:r w:rsidR="00353B89" w:rsidRPr="00A77AF6">
        <w:rPr>
          <w:rFonts w:cstheme="minorHAnsi"/>
        </w:rPr>
        <w:t xml:space="preserve"> depend</w:t>
      </w:r>
      <w:r w:rsidR="00352718" w:rsidRPr="00A77AF6">
        <w:rPr>
          <w:rFonts w:cstheme="minorHAnsi"/>
        </w:rPr>
        <w:t xml:space="preserve">ing on the </w:t>
      </w:r>
      <w:r w:rsidR="00353B89" w:rsidRPr="00A77AF6">
        <w:rPr>
          <w:rFonts w:cstheme="minorHAnsi"/>
        </w:rPr>
        <w:t>client</w:t>
      </w:r>
      <w:r w:rsidR="00352718" w:rsidRPr="00A77AF6">
        <w:rPr>
          <w:rFonts w:cstheme="minorHAnsi"/>
        </w:rPr>
        <w:t xml:space="preserve">’s priorities. </w:t>
      </w:r>
      <w:r w:rsidR="00353B89" w:rsidRPr="00A77AF6">
        <w:rPr>
          <w:rFonts w:cstheme="minorHAnsi"/>
        </w:rPr>
        <w:t xml:space="preserve"> </w:t>
      </w:r>
      <w:r w:rsidR="002C0937" w:rsidRPr="00A77AF6">
        <w:rPr>
          <w:rFonts w:cstheme="minorHAnsi"/>
        </w:rPr>
        <w:t xml:space="preserve">Might </w:t>
      </w:r>
      <w:r w:rsidR="00042ADC" w:rsidRPr="00A77AF6">
        <w:rPr>
          <w:rFonts w:cstheme="minorHAnsi"/>
        </w:rPr>
        <w:t>&amp;</w:t>
      </w:r>
      <w:r w:rsidR="002C0937" w:rsidRPr="00A77AF6">
        <w:rPr>
          <w:rFonts w:cstheme="minorHAnsi"/>
        </w:rPr>
        <w:t xml:space="preserve"> Fisher (1985) cited in De Wit (1988) found that in engineering development projects respondents thought that each of </w:t>
      </w:r>
      <w:r w:rsidR="00112C78" w:rsidRPr="00A77AF6">
        <w:rPr>
          <w:rFonts w:cstheme="minorHAnsi"/>
        </w:rPr>
        <w:t xml:space="preserve">the </w:t>
      </w:r>
      <w:r w:rsidR="002C0937" w:rsidRPr="00A77AF6">
        <w:rPr>
          <w:rFonts w:cstheme="minorHAnsi"/>
        </w:rPr>
        <w:t>criteria should be given different weightings.  Technical performance (quality) was weighted at 54%, cost at 23% and time at 22%</w:t>
      </w:r>
      <w:r w:rsidR="00112C78" w:rsidRPr="00A77AF6">
        <w:rPr>
          <w:rFonts w:cstheme="minorHAnsi"/>
        </w:rPr>
        <w:t xml:space="preserve"> as t</w:t>
      </w:r>
      <w:r w:rsidR="002C0937" w:rsidRPr="00A77AF6">
        <w:rPr>
          <w:rFonts w:cstheme="minorHAnsi"/>
        </w:rPr>
        <w:t xml:space="preserve">his better reflected the importance of each parameter to this type of project in that study.  </w:t>
      </w:r>
    </w:p>
    <w:p w14:paraId="22DC3C74" w14:textId="77777777" w:rsidR="00A821DB" w:rsidRPr="00A77AF6" w:rsidRDefault="00A821DB" w:rsidP="00112C78">
      <w:pPr>
        <w:spacing w:line="360" w:lineRule="auto"/>
        <w:rPr>
          <w:rFonts w:cstheme="minorHAnsi"/>
        </w:rPr>
      </w:pPr>
    </w:p>
    <w:p w14:paraId="50C6C114" w14:textId="4842BC56" w:rsidR="004F5229" w:rsidRPr="00A77AF6" w:rsidRDefault="004F5229" w:rsidP="001533F7">
      <w:pPr>
        <w:pStyle w:val="Heading3"/>
        <w:spacing w:after="120"/>
      </w:pPr>
      <w:bookmarkStart w:id="95" w:name="_Toc36275081"/>
      <w:r w:rsidRPr="00A77AF6">
        <w:lastRenderedPageBreak/>
        <w:t xml:space="preserve">When should project success </w:t>
      </w:r>
      <w:r w:rsidR="00A36EFB" w:rsidRPr="00A77AF6">
        <w:t xml:space="preserve">criteria </w:t>
      </w:r>
      <w:r w:rsidRPr="00A77AF6">
        <w:t xml:space="preserve">be </w:t>
      </w:r>
      <w:r w:rsidR="00A36EFB" w:rsidRPr="00A77AF6">
        <w:t>determined and measure</w:t>
      </w:r>
      <w:r w:rsidRPr="00A77AF6">
        <w:t>d?</w:t>
      </w:r>
      <w:bookmarkEnd w:id="95"/>
      <w:r w:rsidRPr="00A77AF6">
        <w:t xml:space="preserve"> </w:t>
      </w:r>
    </w:p>
    <w:p w14:paraId="4ED54663" w14:textId="31AAA908" w:rsidR="00352718" w:rsidRPr="00A77AF6" w:rsidRDefault="004F5229" w:rsidP="00352718">
      <w:pPr>
        <w:spacing w:line="360" w:lineRule="auto"/>
        <w:rPr>
          <w:rFonts w:cstheme="minorHAnsi"/>
        </w:rPr>
      </w:pPr>
      <w:r w:rsidRPr="00A77AF6">
        <w:rPr>
          <w:rFonts w:cstheme="minorHAnsi"/>
        </w:rPr>
        <w:t xml:space="preserve">The third question is about the timing of </w:t>
      </w:r>
      <w:r w:rsidR="00A36EFB" w:rsidRPr="00A77AF6">
        <w:rPr>
          <w:rFonts w:cstheme="minorHAnsi"/>
        </w:rPr>
        <w:t xml:space="preserve">setting of success criteria and the timing of </w:t>
      </w:r>
      <w:r w:rsidR="00B11768" w:rsidRPr="00A77AF6">
        <w:rPr>
          <w:rFonts w:cstheme="minorHAnsi"/>
        </w:rPr>
        <w:t xml:space="preserve">measuring </w:t>
      </w:r>
      <w:r w:rsidR="00A36EFB" w:rsidRPr="00A77AF6">
        <w:rPr>
          <w:rFonts w:cstheme="minorHAnsi"/>
        </w:rPr>
        <w:t xml:space="preserve">of </w:t>
      </w:r>
      <w:r w:rsidRPr="00A77AF6">
        <w:rPr>
          <w:rFonts w:cstheme="minorHAnsi"/>
        </w:rPr>
        <w:t xml:space="preserve">project success.  </w:t>
      </w:r>
      <w:r w:rsidR="00A36EFB" w:rsidRPr="00A77AF6">
        <w:rPr>
          <w:rFonts w:cstheme="minorHAnsi"/>
        </w:rPr>
        <w:t xml:space="preserve">Atkinson (1999) argued strongly that the setting of time, cost and quality criteria at the beginning of the project, when least is known about it, risks the project missing its success criteria. </w:t>
      </w:r>
      <w:r w:rsidR="00352718" w:rsidRPr="00A77AF6">
        <w:rPr>
          <w:rFonts w:cstheme="minorHAnsi"/>
        </w:rPr>
        <w:t xml:space="preserve"> Flyvbjerg (2003)</w:t>
      </w:r>
      <w:r w:rsidR="00A36EFB" w:rsidRPr="00A77AF6">
        <w:rPr>
          <w:rFonts w:cstheme="minorHAnsi"/>
        </w:rPr>
        <w:t xml:space="preserve"> </w:t>
      </w:r>
      <w:r w:rsidR="00352718" w:rsidRPr="00A77AF6">
        <w:rPr>
          <w:rFonts w:cstheme="minorHAnsi"/>
        </w:rPr>
        <w:t xml:space="preserve">made a similar point, although he argued that in mega projects the understating of cost and timescales is </w:t>
      </w:r>
      <w:r w:rsidR="00A821DB" w:rsidRPr="00A77AF6">
        <w:rPr>
          <w:rFonts w:cstheme="minorHAnsi"/>
        </w:rPr>
        <w:t xml:space="preserve">sometimes </w:t>
      </w:r>
      <w:r w:rsidR="00352718" w:rsidRPr="00A77AF6">
        <w:rPr>
          <w:rFonts w:cstheme="minorHAnsi"/>
        </w:rPr>
        <w:t>deliberate</w:t>
      </w:r>
      <w:r w:rsidR="00A821DB" w:rsidRPr="00A77AF6">
        <w:rPr>
          <w:rFonts w:cstheme="minorHAnsi"/>
        </w:rPr>
        <w:t xml:space="preserve"> because it allows the project to start, but the u</w:t>
      </w:r>
      <w:r w:rsidR="00352718" w:rsidRPr="00A77AF6">
        <w:rPr>
          <w:rFonts w:cstheme="minorHAnsi"/>
        </w:rPr>
        <w:t xml:space="preserve">nderstating cost and time, inadvertently or deliberately, </w:t>
      </w:r>
      <w:r w:rsidR="00A821DB" w:rsidRPr="00A77AF6">
        <w:rPr>
          <w:rFonts w:cstheme="minorHAnsi"/>
        </w:rPr>
        <w:t xml:space="preserve">inevitably </w:t>
      </w:r>
      <w:r w:rsidR="00352718" w:rsidRPr="00A77AF6">
        <w:rPr>
          <w:rFonts w:cstheme="minorHAnsi"/>
        </w:rPr>
        <w:t xml:space="preserve">leads to late and over budget projects.  HMT (2013) advises against over optimistic appraisal and requires project appraisers explicitly to adjust a project’s cost  in relation to project risk </w:t>
      </w:r>
      <w:sdt>
        <w:sdtPr>
          <w:rPr>
            <w:rFonts w:cstheme="minorHAnsi"/>
          </w:rPr>
          <w:id w:val="1298733445"/>
          <w:citation/>
        </w:sdtPr>
        <w:sdtEndPr/>
        <w:sdtContent>
          <w:r w:rsidR="00352718" w:rsidRPr="00A77AF6">
            <w:rPr>
              <w:rFonts w:cstheme="minorHAnsi"/>
            </w:rPr>
            <w:fldChar w:fldCharType="begin"/>
          </w:r>
          <w:r w:rsidR="00352718" w:rsidRPr="00A77AF6">
            <w:rPr>
              <w:rFonts w:cstheme="minorHAnsi"/>
            </w:rPr>
            <w:instrText xml:space="preserve"> CITATION HMT13 \l 2057 </w:instrText>
          </w:r>
          <w:r w:rsidR="00352718" w:rsidRPr="00A77AF6">
            <w:rPr>
              <w:rFonts w:cstheme="minorHAnsi"/>
            </w:rPr>
            <w:fldChar w:fldCharType="separate"/>
          </w:r>
          <w:r w:rsidR="008E653F" w:rsidRPr="00A77AF6">
            <w:rPr>
              <w:rFonts w:cstheme="minorHAnsi"/>
            </w:rPr>
            <w:t>(HMT, 2013)</w:t>
          </w:r>
          <w:r w:rsidR="00352718" w:rsidRPr="00A77AF6">
            <w:rPr>
              <w:rFonts w:cstheme="minorHAnsi"/>
            </w:rPr>
            <w:fldChar w:fldCharType="end"/>
          </w:r>
        </w:sdtContent>
      </w:sdt>
      <w:r w:rsidR="00C7584D" w:rsidRPr="00A77AF6">
        <w:rPr>
          <w:rFonts w:cstheme="minorHAnsi"/>
        </w:rPr>
        <w:t xml:space="preserve"> by adding a premium for optimism bias</w:t>
      </w:r>
      <w:r w:rsidR="00352718" w:rsidRPr="00A77AF6">
        <w:rPr>
          <w:rFonts w:cstheme="minorHAnsi"/>
        </w:rPr>
        <w:t xml:space="preserve">.  </w:t>
      </w:r>
    </w:p>
    <w:p w14:paraId="6A1D2556" w14:textId="7220DC92" w:rsidR="005A685F" w:rsidRPr="00A77AF6" w:rsidRDefault="005A685F" w:rsidP="00352718">
      <w:pPr>
        <w:spacing w:line="360" w:lineRule="auto"/>
        <w:rPr>
          <w:rFonts w:cstheme="minorHAnsi"/>
        </w:rPr>
      </w:pPr>
      <w:r w:rsidRPr="00A77AF6">
        <w:rPr>
          <w:rFonts w:cstheme="minorHAnsi"/>
        </w:rPr>
        <w:t>Traditionally project success is measured at the end of the project management phase.   This is between stages 6 and 7 in the RIBA Plan of Works (2013)</w:t>
      </w:r>
      <w:r w:rsidR="007B191F" w:rsidRPr="00A77AF6">
        <w:rPr>
          <w:rFonts w:cstheme="minorHAnsi"/>
        </w:rPr>
        <w:t xml:space="preserve"> (Table 4.2.)</w:t>
      </w:r>
      <w:r w:rsidRPr="00A77AF6">
        <w:rPr>
          <w:rFonts w:cstheme="minorHAnsi"/>
        </w:rPr>
        <w:t xml:space="preserve">.  This timing of the measurement of success has been criticised because a project can fail because it missed the constraints of the iron triangle, but it is successful in the operational phase. </w:t>
      </w:r>
    </w:p>
    <w:p w14:paraId="41D8642B" w14:textId="764D0595" w:rsidR="005A685F" w:rsidRPr="00A77AF6" w:rsidRDefault="005A685F" w:rsidP="005A685F">
      <w:pPr>
        <w:spacing w:line="240" w:lineRule="auto"/>
        <w:ind w:left="720"/>
        <w:rPr>
          <w:rFonts w:cstheme="minorHAnsi"/>
        </w:rPr>
      </w:pPr>
      <w:r w:rsidRPr="00A77AF6">
        <w:rPr>
          <w:rFonts w:cstheme="minorHAnsi"/>
          <w:i/>
        </w:rPr>
        <w:t xml:space="preserve"> ‘We all know examples of projects which have not been completed on time and within budget and are nevertheless considered to be successful projects.</w:t>
      </w:r>
      <w:r w:rsidRPr="00A77AF6">
        <w:rPr>
          <w:rFonts w:cstheme="minorHAnsi"/>
        </w:rPr>
        <w:t xml:space="preserve">’ </w:t>
      </w:r>
      <w:sdt>
        <w:sdtPr>
          <w:rPr>
            <w:rFonts w:cstheme="minorHAnsi"/>
          </w:rPr>
          <w:id w:val="-901902059"/>
          <w:citation/>
        </w:sdtPr>
        <w:sdtEndPr/>
        <w:sdtContent>
          <w:r w:rsidRPr="00A77AF6">
            <w:rPr>
              <w:rFonts w:cstheme="minorHAnsi"/>
            </w:rPr>
            <w:fldChar w:fldCharType="begin"/>
          </w:r>
          <w:r w:rsidRPr="00A77AF6">
            <w:rPr>
              <w:rFonts w:cstheme="minorHAnsi"/>
            </w:rPr>
            <w:instrText xml:space="preserve">CITATION deW88 \p 165 \l 2057 </w:instrText>
          </w:r>
          <w:r w:rsidRPr="00A77AF6">
            <w:rPr>
              <w:rFonts w:cstheme="minorHAnsi"/>
            </w:rPr>
            <w:fldChar w:fldCharType="separate"/>
          </w:r>
          <w:r w:rsidR="008E653F" w:rsidRPr="00A77AF6">
            <w:rPr>
              <w:rFonts w:cstheme="minorHAnsi"/>
            </w:rPr>
            <w:t>(De Wit, 1988, p. 165)</w:t>
          </w:r>
          <w:r w:rsidRPr="00A77AF6">
            <w:rPr>
              <w:rFonts w:cstheme="minorHAnsi"/>
            </w:rPr>
            <w:fldChar w:fldCharType="end"/>
          </w:r>
        </w:sdtContent>
      </w:sdt>
      <w:r w:rsidRPr="00A77AF6">
        <w:rPr>
          <w:rFonts w:cstheme="minorHAnsi"/>
        </w:rPr>
        <w:t xml:space="preserve">.  </w:t>
      </w:r>
    </w:p>
    <w:p w14:paraId="7455E819" w14:textId="4C662883" w:rsidR="00C7584D" w:rsidRPr="00A77AF6" w:rsidRDefault="005A685F" w:rsidP="003201D3">
      <w:pPr>
        <w:spacing w:after="120" w:line="360" w:lineRule="auto"/>
        <w:rPr>
          <w:rFonts w:cstheme="minorHAnsi"/>
        </w:rPr>
      </w:pPr>
      <w:r w:rsidRPr="00A77AF6">
        <w:rPr>
          <w:rFonts w:cstheme="minorHAnsi"/>
        </w:rPr>
        <w:t xml:space="preserve">Notable examples include the Channel Tunnel which exceeded its construction cost by 80 %  </w:t>
      </w:r>
      <w:sdt>
        <w:sdtPr>
          <w:rPr>
            <w:rFonts w:cstheme="minorHAnsi"/>
          </w:rPr>
          <w:id w:val="234747717"/>
          <w:citation/>
        </w:sdtPr>
        <w:sdtEndPr/>
        <w:sdtContent>
          <w:r w:rsidRPr="00A77AF6">
            <w:rPr>
              <w:rFonts w:cstheme="minorHAnsi"/>
            </w:rPr>
            <w:fldChar w:fldCharType="begin"/>
          </w:r>
          <w:r w:rsidRPr="00A77AF6">
            <w:rPr>
              <w:rFonts w:cstheme="minorHAnsi"/>
            </w:rPr>
            <w:instrText xml:space="preserve"> CITATION Bre03 \l 2057 </w:instrText>
          </w:r>
          <w:r w:rsidRPr="00A77AF6">
            <w:rPr>
              <w:rFonts w:cstheme="minorHAnsi"/>
            </w:rPr>
            <w:fldChar w:fldCharType="separate"/>
          </w:r>
          <w:r w:rsidR="008E653F" w:rsidRPr="00A77AF6">
            <w:rPr>
              <w:rFonts w:cstheme="minorHAnsi"/>
            </w:rPr>
            <w:t>(Flyvbjerg, 2003)</w:t>
          </w:r>
          <w:r w:rsidRPr="00A77AF6">
            <w:rPr>
              <w:rFonts w:cstheme="minorHAnsi"/>
            </w:rPr>
            <w:fldChar w:fldCharType="end"/>
          </w:r>
        </w:sdtContent>
      </w:sdt>
      <w:r w:rsidR="00C7584D" w:rsidRPr="00A77AF6">
        <w:rPr>
          <w:rFonts w:cstheme="minorHAnsi"/>
        </w:rPr>
        <w:t>, t</w:t>
      </w:r>
      <w:r w:rsidRPr="00A77AF6">
        <w:rPr>
          <w:rFonts w:cstheme="minorHAnsi"/>
        </w:rPr>
        <w:t>he Sydney Opera House</w:t>
      </w:r>
      <w:r w:rsidR="00C7584D" w:rsidRPr="00A77AF6">
        <w:rPr>
          <w:rFonts w:cstheme="minorHAnsi"/>
        </w:rPr>
        <w:t xml:space="preserve">  </w:t>
      </w:r>
      <w:sdt>
        <w:sdtPr>
          <w:rPr>
            <w:rFonts w:cstheme="minorHAnsi"/>
          </w:rPr>
          <w:id w:val="-565174784"/>
          <w:citation/>
        </w:sdtPr>
        <w:sdtEndPr/>
        <w:sdtContent>
          <w:r w:rsidR="00C7584D" w:rsidRPr="00A77AF6">
            <w:rPr>
              <w:rFonts w:cstheme="minorHAnsi"/>
            </w:rPr>
            <w:fldChar w:fldCharType="begin"/>
          </w:r>
          <w:r w:rsidR="00C7584D" w:rsidRPr="00A77AF6">
            <w:rPr>
              <w:rFonts w:cstheme="minorHAnsi"/>
            </w:rPr>
            <w:instrText xml:space="preserve">CITATION She01 \l 2057 </w:instrText>
          </w:r>
          <w:r w:rsidR="00C7584D" w:rsidRPr="00A77AF6">
            <w:rPr>
              <w:rFonts w:cstheme="minorHAnsi"/>
            </w:rPr>
            <w:fldChar w:fldCharType="separate"/>
          </w:r>
          <w:r w:rsidR="008E653F" w:rsidRPr="00A77AF6">
            <w:rPr>
              <w:rFonts w:cstheme="minorHAnsi"/>
            </w:rPr>
            <w:t>(Shenhar, et al., 2001)</w:t>
          </w:r>
          <w:r w:rsidR="00C7584D" w:rsidRPr="00A77AF6">
            <w:rPr>
              <w:rFonts w:cstheme="minorHAnsi"/>
            </w:rPr>
            <w:fldChar w:fldCharType="end"/>
          </w:r>
        </w:sdtContent>
      </w:sdt>
      <w:r w:rsidRPr="00A77AF6">
        <w:rPr>
          <w:rFonts w:cstheme="minorHAnsi"/>
        </w:rPr>
        <w:t xml:space="preserve">, </w:t>
      </w:r>
      <w:r w:rsidR="00C7584D" w:rsidRPr="00A77AF6">
        <w:rPr>
          <w:rFonts w:cstheme="minorHAnsi"/>
        </w:rPr>
        <w:t xml:space="preserve"> </w:t>
      </w:r>
      <w:r w:rsidRPr="00A77AF6">
        <w:rPr>
          <w:rFonts w:cstheme="minorHAnsi"/>
        </w:rPr>
        <w:t xml:space="preserve">Wembley Stadium and the London Dome.  </w:t>
      </w:r>
      <w:r w:rsidR="00C7584D" w:rsidRPr="00A77AF6">
        <w:rPr>
          <w:rFonts w:cstheme="minorHAnsi"/>
        </w:rPr>
        <w:t>If</w:t>
      </w:r>
      <w:r w:rsidR="003201D3" w:rsidRPr="00A77AF6">
        <w:rPr>
          <w:rFonts w:cstheme="minorHAnsi"/>
        </w:rPr>
        <w:t>,</w:t>
      </w:r>
      <w:r w:rsidR="00C7584D" w:rsidRPr="00A77AF6">
        <w:rPr>
          <w:rFonts w:cstheme="minorHAnsi"/>
        </w:rPr>
        <w:t xml:space="preserve"> as </w:t>
      </w:r>
      <w:r w:rsidRPr="00A77AF6">
        <w:rPr>
          <w:rFonts w:cstheme="minorHAnsi"/>
        </w:rPr>
        <w:t xml:space="preserve">De Wit (1988) </w:t>
      </w:r>
      <w:r w:rsidR="00C7584D" w:rsidRPr="00A77AF6">
        <w:rPr>
          <w:rFonts w:cstheme="minorHAnsi"/>
        </w:rPr>
        <w:t xml:space="preserve">argued, </w:t>
      </w:r>
      <w:r w:rsidRPr="00A77AF6">
        <w:rPr>
          <w:rFonts w:cstheme="minorHAnsi"/>
        </w:rPr>
        <w:t xml:space="preserve">project success </w:t>
      </w:r>
      <w:r w:rsidR="00C7584D" w:rsidRPr="00A77AF6">
        <w:rPr>
          <w:rFonts w:cstheme="minorHAnsi"/>
        </w:rPr>
        <w:t>is</w:t>
      </w:r>
      <w:r w:rsidRPr="00A77AF6">
        <w:rPr>
          <w:rFonts w:cstheme="minorHAnsi"/>
        </w:rPr>
        <w:t xml:space="preserve"> measured by meeting its technical performance or its mission</w:t>
      </w:r>
      <w:r w:rsidR="00C7584D" w:rsidRPr="00A77AF6">
        <w:rPr>
          <w:rFonts w:cstheme="minorHAnsi"/>
        </w:rPr>
        <w:t xml:space="preserve">, or generating </w:t>
      </w:r>
      <w:r w:rsidRPr="00A77AF6">
        <w:rPr>
          <w:rFonts w:cstheme="minorHAnsi"/>
        </w:rPr>
        <w:t xml:space="preserve">a high level of satisfaction amongst </w:t>
      </w:r>
      <w:r w:rsidR="00C7584D" w:rsidRPr="00A77AF6">
        <w:rPr>
          <w:rFonts w:cstheme="minorHAnsi"/>
        </w:rPr>
        <w:t xml:space="preserve">key stakeholders, then it is clear that projects can fail at the end of the project phase but be successful in the long-term. </w:t>
      </w:r>
    </w:p>
    <w:p w14:paraId="199E96DC" w14:textId="00B64688" w:rsidR="005A685F" w:rsidRPr="00A77AF6" w:rsidRDefault="00D454D4" w:rsidP="00382A89">
      <w:pPr>
        <w:spacing w:after="120" w:line="240" w:lineRule="auto"/>
        <w:ind w:left="720"/>
        <w:rPr>
          <w:rFonts w:cstheme="minorHAnsi"/>
        </w:rPr>
      </w:pPr>
      <w:r w:rsidRPr="00A77AF6">
        <w:rPr>
          <w:rFonts w:cstheme="minorHAnsi"/>
          <w:i/>
        </w:rPr>
        <w:t>‘</w:t>
      </w:r>
      <w:r w:rsidR="005A685F" w:rsidRPr="00A77AF6">
        <w:rPr>
          <w:rFonts w:cstheme="minorHAnsi"/>
          <w:i/>
        </w:rPr>
        <w:t>A project may be successful despite the failings of project management because it meets the higher and long-term objectives.  At the point where the project management is completed the short-term orientation could be one of failure but the long-term outcome could be a success, because the larger set of objectives are satisfied instead of the narrow subset which constitutes project management</w:t>
      </w:r>
      <w:r w:rsidRPr="00A77AF6">
        <w:rPr>
          <w:rFonts w:cstheme="minorHAnsi"/>
          <w:i/>
        </w:rPr>
        <w:t>’</w:t>
      </w:r>
      <w:sdt>
        <w:sdtPr>
          <w:rPr>
            <w:rFonts w:cstheme="minorHAnsi"/>
          </w:rPr>
          <w:id w:val="983050480"/>
          <w:citation/>
        </w:sdtPr>
        <w:sdtEndPr/>
        <w:sdtContent>
          <w:r w:rsidR="005A685F" w:rsidRPr="00A77AF6">
            <w:rPr>
              <w:rFonts w:cstheme="minorHAnsi"/>
            </w:rPr>
            <w:fldChar w:fldCharType="begin"/>
          </w:r>
          <w:r w:rsidR="005A685F" w:rsidRPr="00A77AF6">
            <w:rPr>
              <w:rFonts w:cstheme="minorHAnsi"/>
            </w:rPr>
            <w:instrText xml:space="preserve">CITATION Mun96 \p 82 \l 2057 </w:instrText>
          </w:r>
          <w:r w:rsidR="005A685F" w:rsidRPr="00A77AF6">
            <w:rPr>
              <w:rFonts w:cstheme="minorHAnsi"/>
            </w:rPr>
            <w:fldChar w:fldCharType="separate"/>
          </w:r>
          <w:r w:rsidR="008E653F" w:rsidRPr="00A77AF6">
            <w:rPr>
              <w:rFonts w:cstheme="minorHAnsi"/>
            </w:rPr>
            <w:t xml:space="preserve"> (Munns &amp; Bjeirmi, 1996, p. 82)</w:t>
          </w:r>
          <w:r w:rsidR="005A685F" w:rsidRPr="00A77AF6">
            <w:rPr>
              <w:rFonts w:cstheme="minorHAnsi"/>
            </w:rPr>
            <w:fldChar w:fldCharType="end"/>
          </w:r>
        </w:sdtContent>
      </w:sdt>
      <w:r w:rsidR="005A685F" w:rsidRPr="00A77AF6">
        <w:rPr>
          <w:rFonts w:cstheme="minorHAnsi"/>
        </w:rPr>
        <w:t xml:space="preserve"> </w:t>
      </w:r>
    </w:p>
    <w:p w14:paraId="54979E9F" w14:textId="1EB93093" w:rsidR="00A821DB" w:rsidRPr="00A77AF6" w:rsidRDefault="005D2B81" w:rsidP="005300D4">
      <w:pPr>
        <w:spacing w:after="0" w:line="360" w:lineRule="auto"/>
      </w:pPr>
      <w:r w:rsidRPr="00A77AF6">
        <w:rPr>
          <w:rFonts w:cstheme="minorHAnsi"/>
        </w:rPr>
        <w:t>The extension of the definition of project success into the operational phase make</w:t>
      </w:r>
      <w:r w:rsidR="00C7584D" w:rsidRPr="00A77AF6">
        <w:rPr>
          <w:rFonts w:cstheme="minorHAnsi"/>
        </w:rPr>
        <w:t>s project</w:t>
      </w:r>
      <w:r w:rsidRPr="00A77AF6">
        <w:rPr>
          <w:rFonts w:cstheme="minorHAnsi"/>
        </w:rPr>
        <w:t xml:space="preserve"> definition less clear cut than the </w:t>
      </w:r>
      <w:r w:rsidR="00C7584D" w:rsidRPr="00A77AF6">
        <w:rPr>
          <w:rFonts w:cstheme="minorHAnsi"/>
        </w:rPr>
        <w:t>usual</w:t>
      </w:r>
      <w:r w:rsidRPr="00A77AF6">
        <w:rPr>
          <w:rFonts w:cstheme="minorHAnsi"/>
        </w:rPr>
        <w:t xml:space="preserve"> descriptions given earlier.  The definition of a project as a temporary entity is more difficult to justify if the measurement of success expands into the operational phase and the lines are blurred between project and operation. </w:t>
      </w:r>
      <w:r w:rsidR="005A685F" w:rsidRPr="00A77AF6">
        <w:t>Prabhakar (2008</w:t>
      </w:r>
      <w:r w:rsidR="00332943" w:rsidRPr="00A77AF6">
        <w:t xml:space="preserve">) argued that </w:t>
      </w:r>
      <w:r w:rsidR="005300D4" w:rsidRPr="00A77AF6">
        <w:t xml:space="preserve">a distinction should be made between success of the project and success of project management.   </w:t>
      </w:r>
      <w:r w:rsidR="005A685F" w:rsidRPr="00A77AF6">
        <w:rPr>
          <w:rFonts w:cstheme="minorHAnsi"/>
        </w:rPr>
        <w:t xml:space="preserve">That a project has life beyond the traditional boundaries of project management has been argued by </w:t>
      </w:r>
      <w:r w:rsidR="00C7584D" w:rsidRPr="00A77AF6">
        <w:rPr>
          <w:rFonts w:cstheme="minorHAnsi"/>
        </w:rPr>
        <w:t>other</w:t>
      </w:r>
      <w:r w:rsidR="005300D4" w:rsidRPr="00A77AF6">
        <w:rPr>
          <w:rFonts w:cstheme="minorHAnsi"/>
        </w:rPr>
        <w:t xml:space="preserve">s </w:t>
      </w:r>
      <w:r w:rsidR="00C7584D" w:rsidRPr="00A77AF6">
        <w:rPr>
          <w:rFonts w:cstheme="minorHAnsi"/>
        </w:rPr>
        <w:t xml:space="preserve">including De </w:t>
      </w:r>
      <w:r w:rsidR="005A685F" w:rsidRPr="00A77AF6">
        <w:rPr>
          <w:rFonts w:cstheme="minorHAnsi"/>
        </w:rPr>
        <w:t>Witt</w:t>
      </w:r>
      <w:r w:rsidR="005300D4" w:rsidRPr="00A77AF6">
        <w:rPr>
          <w:rFonts w:cstheme="minorHAnsi"/>
        </w:rPr>
        <w:t xml:space="preserve"> (</w:t>
      </w:r>
      <w:r w:rsidR="005A685F" w:rsidRPr="00A77AF6">
        <w:rPr>
          <w:rFonts w:cstheme="minorHAnsi"/>
        </w:rPr>
        <w:t>1988</w:t>
      </w:r>
      <w:r w:rsidR="005300D4" w:rsidRPr="00A77AF6">
        <w:rPr>
          <w:rFonts w:cstheme="minorHAnsi"/>
        </w:rPr>
        <w:t xml:space="preserve">), </w:t>
      </w:r>
      <w:r w:rsidR="005A685F" w:rsidRPr="00A77AF6">
        <w:rPr>
          <w:rFonts w:cstheme="minorHAnsi"/>
        </w:rPr>
        <w:t xml:space="preserve">Munns </w:t>
      </w:r>
      <w:r w:rsidR="005300D4" w:rsidRPr="00A77AF6">
        <w:rPr>
          <w:rFonts w:cstheme="minorHAnsi"/>
        </w:rPr>
        <w:t xml:space="preserve">&amp; </w:t>
      </w:r>
      <w:r w:rsidR="005A685F" w:rsidRPr="00A77AF6">
        <w:rPr>
          <w:rFonts w:cstheme="minorHAnsi"/>
        </w:rPr>
        <w:t>Bjeirmi</w:t>
      </w:r>
      <w:r w:rsidR="005300D4" w:rsidRPr="00A77AF6">
        <w:rPr>
          <w:rFonts w:cstheme="minorHAnsi"/>
        </w:rPr>
        <w:t xml:space="preserve"> (</w:t>
      </w:r>
      <w:r w:rsidR="005A685F" w:rsidRPr="00A77AF6">
        <w:rPr>
          <w:rFonts w:cstheme="minorHAnsi"/>
        </w:rPr>
        <w:t>1996</w:t>
      </w:r>
      <w:r w:rsidR="005300D4" w:rsidRPr="00A77AF6">
        <w:rPr>
          <w:rFonts w:cstheme="minorHAnsi"/>
        </w:rPr>
        <w:t xml:space="preserve">), </w:t>
      </w:r>
      <w:r w:rsidR="005300D4" w:rsidRPr="00A77AF6">
        <w:t xml:space="preserve">Baccarini (1999) and </w:t>
      </w:r>
      <w:r w:rsidR="005A685F" w:rsidRPr="00A77AF6">
        <w:rPr>
          <w:rFonts w:cstheme="minorHAnsi"/>
        </w:rPr>
        <w:t xml:space="preserve">Lim </w:t>
      </w:r>
      <w:r w:rsidR="005300D4" w:rsidRPr="00A77AF6">
        <w:rPr>
          <w:rFonts w:cstheme="minorHAnsi"/>
        </w:rPr>
        <w:t>&amp;</w:t>
      </w:r>
      <w:r w:rsidR="005A685F" w:rsidRPr="00A77AF6">
        <w:rPr>
          <w:rFonts w:cstheme="minorHAnsi"/>
        </w:rPr>
        <w:t xml:space="preserve"> Mohammed</w:t>
      </w:r>
      <w:r w:rsidR="005300D4" w:rsidRPr="00A77AF6">
        <w:rPr>
          <w:rFonts w:cstheme="minorHAnsi"/>
        </w:rPr>
        <w:t xml:space="preserve"> (</w:t>
      </w:r>
      <w:r w:rsidR="005A685F" w:rsidRPr="00A77AF6">
        <w:rPr>
          <w:rFonts w:cstheme="minorHAnsi"/>
        </w:rPr>
        <w:t>1999</w:t>
      </w:r>
      <w:r w:rsidR="005300D4" w:rsidRPr="00A77AF6">
        <w:rPr>
          <w:rFonts w:cstheme="minorHAnsi"/>
        </w:rPr>
        <w:t xml:space="preserve">) who </w:t>
      </w:r>
      <w:r w:rsidR="005A685F" w:rsidRPr="00A77AF6">
        <w:rPr>
          <w:rFonts w:cstheme="minorHAnsi"/>
        </w:rPr>
        <w:t xml:space="preserve">considered it important to draw a distinction between project </w:t>
      </w:r>
      <w:r w:rsidR="005A685F" w:rsidRPr="00A77AF6">
        <w:rPr>
          <w:rFonts w:cstheme="minorHAnsi"/>
        </w:rPr>
        <w:lastRenderedPageBreak/>
        <w:t>management success and project success.  The APM (2012) acknowledged that ‘</w:t>
      </w:r>
      <w:r w:rsidR="005300D4" w:rsidRPr="00A77AF6">
        <w:rPr>
          <w:rFonts w:cstheme="minorHAnsi"/>
        </w:rPr>
        <w:t>f</w:t>
      </w:r>
      <w:r w:rsidR="005A685F" w:rsidRPr="00A77AF6">
        <w:rPr>
          <w:rFonts w:eastAsia="Times New Roman" w:cstheme="minorHAnsi"/>
          <w:lang w:eastAsia="en-GB"/>
        </w:rPr>
        <w:t xml:space="preserve">ailure often lies beyond the boundaries of traditional project management’ acknowledging that there is life after the project management phase. </w:t>
      </w:r>
      <w:r w:rsidR="005A685F" w:rsidRPr="00A77AF6">
        <w:rPr>
          <w:rFonts w:cstheme="minorHAnsi"/>
        </w:rPr>
        <w:t>Th</w:t>
      </w:r>
      <w:r w:rsidR="00663B2B" w:rsidRPr="00A77AF6">
        <w:rPr>
          <w:rFonts w:cstheme="minorHAnsi"/>
        </w:rPr>
        <w:t>e</w:t>
      </w:r>
      <w:r w:rsidR="005A685F" w:rsidRPr="00A77AF6">
        <w:rPr>
          <w:rFonts w:cstheme="minorHAnsi"/>
        </w:rPr>
        <w:t xml:space="preserve"> suggestion that project success can be measured at different times suggests that different people </w:t>
      </w:r>
      <w:r w:rsidR="00663B2B" w:rsidRPr="00A77AF6">
        <w:rPr>
          <w:rFonts w:cstheme="minorHAnsi"/>
        </w:rPr>
        <w:t>should</w:t>
      </w:r>
      <w:r w:rsidR="005A685F" w:rsidRPr="00A77AF6">
        <w:rPr>
          <w:rFonts w:cstheme="minorHAnsi"/>
        </w:rPr>
        <w:t xml:space="preserve"> be involved in measuring success</w:t>
      </w:r>
      <w:r w:rsidR="00C7584D" w:rsidRPr="00A77AF6">
        <w:rPr>
          <w:rFonts w:cstheme="minorHAnsi"/>
        </w:rPr>
        <w:t xml:space="preserve"> as the project team will have </w:t>
      </w:r>
      <w:r w:rsidR="00663B2B" w:rsidRPr="00A77AF6">
        <w:rPr>
          <w:rFonts w:cstheme="minorHAnsi"/>
        </w:rPr>
        <w:t>handed over</w:t>
      </w:r>
      <w:r w:rsidR="00C7584D" w:rsidRPr="00A77AF6">
        <w:rPr>
          <w:rFonts w:cstheme="minorHAnsi"/>
        </w:rPr>
        <w:t xml:space="preserve"> the completed project to the client. </w:t>
      </w:r>
      <w:r w:rsidR="00A821DB" w:rsidRPr="00A77AF6">
        <w:rPr>
          <w:rFonts w:cstheme="minorHAnsi"/>
        </w:rPr>
        <w:t xml:space="preserve"> For construction projects, p</w:t>
      </w:r>
      <w:r w:rsidR="00A821DB" w:rsidRPr="00A77AF6">
        <w:t xml:space="preserve">ost occupancy evaluation (POE), building performance evaluation (BPE) and post project evaluation (PPE) recognise the importance of the operational phase and are processes that systematically evaluate buildings in use and their impact on the people who occupy them (Preiser &amp; Schramm, 2012; Preiser, et al., 2015). Data gathered has two uses, the measurement of building success in the </w:t>
      </w:r>
      <w:r w:rsidR="004F350D" w:rsidRPr="00A77AF6">
        <w:t>operational</w:t>
      </w:r>
      <w:r w:rsidR="00A821DB" w:rsidRPr="00A77AF6">
        <w:t xml:space="preserve"> phase and the </w:t>
      </w:r>
      <w:r w:rsidR="004F350D" w:rsidRPr="00A77AF6">
        <w:t>possibility</w:t>
      </w:r>
      <w:r w:rsidR="00A821DB" w:rsidRPr="00A77AF6">
        <w:t xml:space="preserve"> of influencing the design and construction of buildings in the future.  The requirement to undertake P</w:t>
      </w:r>
      <w:r w:rsidR="004F350D" w:rsidRPr="00A77AF6">
        <w:t>PEs</w:t>
      </w:r>
      <w:r w:rsidR="00A821DB" w:rsidRPr="00A77AF6">
        <w:t xml:space="preserve"> are mandatory for NHS Trusts that are not Foundation Trusts or are Foundation Trusts in financial distress</w:t>
      </w:r>
      <w:r w:rsidR="00A14B91" w:rsidRPr="00A77AF6">
        <w:t xml:space="preserve">, </w:t>
      </w:r>
      <w:r w:rsidR="00A821DB" w:rsidRPr="00A77AF6">
        <w:t xml:space="preserve"> and </w:t>
      </w:r>
      <w:r w:rsidR="00A14B91" w:rsidRPr="00A77AF6">
        <w:t xml:space="preserve">a </w:t>
      </w:r>
      <w:r w:rsidR="00A821DB" w:rsidRPr="00A77AF6">
        <w:t xml:space="preserve">short post project evaluation must be undertaken six months after the building is opened and then a longer version after two years </w:t>
      </w:r>
      <w:sdt>
        <w:sdtPr>
          <w:id w:val="-779423376"/>
          <w:citation/>
        </w:sdtPr>
        <w:sdtEndPr/>
        <w:sdtContent>
          <w:r w:rsidR="00A821DB" w:rsidRPr="00A77AF6">
            <w:fldChar w:fldCharType="begin"/>
          </w:r>
          <w:r w:rsidR="00A821DB" w:rsidRPr="00A77AF6">
            <w:instrText xml:space="preserve"> CITATION NHS172 \l 2057 </w:instrText>
          </w:r>
          <w:r w:rsidR="00A821DB" w:rsidRPr="00A77AF6">
            <w:fldChar w:fldCharType="separate"/>
          </w:r>
          <w:r w:rsidR="008E653F" w:rsidRPr="00A77AF6">
            <w:t>(NHS Improvement, 2017)</w:t>
          </w:r>
          <w:r w:rsidR="00A821DB" w:rsidRPr="00A77AF6">
            <w:fldChar w:fldCharType="end"/>
          </w:r>
        </w:sdtContent>
      </w:sdt>
      <w:r w:rsidR="00A821DB" w:rsidRPr="00A77AF6">
        <w:t xml:space="preserve">.  Trusts are expected to find out whether a project achieved its expected operational and financial efficiencies, how effective communication was with stakeholders </w:t>
      </w:r>
      <w:sdt>
        <w:sdtPr>
          <w:id w:val="339903302"/>
          <w:citation/>
        </w:sdtPr>
        <w:sdtEndPr/>
        <w:sdtContent>
          <w:r w:rsidR="00A821DB" w:rsidRPr="00A77AF6">
            <w:fldChar w:fldCharType="begin"/>
          </w:r>
          <w:r w:rsidR="00A821DB" w:rsidRPr="00A77AF6">
            <w:instrText xml:space="preserve"> CITATION NHS172 \l 2057 </w:instrText>
          </w:r>
          <w:r w:rsidR="00A821DB" w:rsidRPr="00A77AF6">
            <w:fldChar w:fldCharType="separate"/>
          </w:r>
          <w:r w:rsidR="008E653F" w:rsidRPr="00A77AF6">
            <w:t>(NHS Improvement, 2017)</w:t>
          </w:r>
          <w:r w:rsidR="00A821DB" w:rsidRPr="00A77AF6">
            <w:fldChar w:fldCharType="end"/>
          </w:r>
        </w:sdtContent>
      </w:sdt>
      <w:r w:rsidR="00A821DB" w:rsidRPr="00A77AF6">
        <w:t xml:space="preserve"> and whether project benefits have been achieved </w:t>
      </w:r>
      <w:sdt>
        <w:sdtPr>
          <w:id w:val="551661205"/>
          <w:citation/>
        </w:sdtPr>
        <w:sdtEndPr/>
        <w:sdtContent>
          <w:r w:rsidR="00A821DB" w:rsidRPr="00A77AF6">
            <w:fldChar w:fldCharType="begin"/>
          </w:r>
          <w:r w:rsidR="00A821DB" w:rsidRPr="00A77AF6">
            <w:instrText xml:space="preserve"> CITATION NHS161 \l 2057 </w:instrText>
          </w:r>
          <w:r w:rsidR="00A821DB" w:rsidRPr="00A77AF6">
            <w:fldChar w:fldCharType="separate"/>
          </w:r>
          <w:r w:rsidR="008E653F" w:rsidRPr="00A77AF6">
            <w:t>(NHS Improvement, 2016)</w:t>
          </w:r>
          <w:r w:rsidR="00A821DB" w:rsidRPr="00A77AF6">
            <w:fldChar w:fldCharType="end"/>
          </w:r>
        </w:sdtContent>
      </w:sdt>
      <w:r w:rsidR="00A821DB" w:rsidRPr="00A77AF6">
        <w:t xml:space="preserve">.   There is no enforcement mechanism and there is little publicly available information on the results of these evaluations. </w:t>
      </w:r>
    </w:p>
    <w:p w14:paraId="44F6EE72" w14:textId="77777777" w:rsidR="004F5229" w:rsidRPr="00A77AF6" w:rsidRDefault="004F5229" w:rsidP="001533F7">
      <w:pPr>
        <w:pStyle w:val="Heading3"/>
        <w:spacing w:after="120"/>
      </w:pPr>
      <w:bookmarkStart w:id="96" w:name="_Toc36275082"/>
      <w:r w:rsidRPr="00A77AF6">
        <w:t>Who should measure project success?</w:t>
      </w:r>
      <w:bookmarkEnd w:id="96"/>
    </w:p>
    <w:p w14:paraId="060CB3CE" w14:textId="211B1C3F" w:rsidR="00E208C2" w:rsidRPr="00A77AF6" w:rsidRDefault="00507F79" w:rsidP="003E7E7B">
      <w:pPr>
        <w:spacing w:line="360" w:lineRule="auto"/>
      </w:pPr>
      <w:r w:rsidRPr="00A77AF6">
        <w:rPr>
          <w:rFonts w:cstheme="minorHAnsi"/>
        </w:rPr>
        <w:t>The question about w</w:t>
      </w:r>
      <w:r w:rsidR="00A36EFB" w:rsidRPr="00A77AF6">
        <w:rPr>
          <w:rFonts w:cstheme="minorHAnsi"/>
        </w:rPr>
        <w:t xml:space="preserve">ho should measure project success is directly related to the </w:t>
      </w:r>
      <w:r w:rsidR="0000115F" w:rsidRPr="00A77AF6">
        <w:rPr>
          <w:rFonts w:cstheme="minorHAnsi"/>
        </w:rPr>
        <w:t xml:space="preserve">question about </w:t>
      </w:r>
      <w:r w:rsidR="00A36EFB" w:rsidRPr="00A77AF6">
        <w:rPr>
          <w:rFonts w:cstheme="minorHAnsi"/>
        </w:rPr>
        <w:t xml:space="preserve">when project success should be measured.  </w:t>
      </w:r>
      <w:r w:rsidRPr="00A77AF6">
        <w:rPr>
          <w:rFonts w:cstheme="minorHAnsi"/>
        </w:rPr>
        <w:t xml:space="preserve">At the end of the project management phase success will be measured by the client, project teams and provider.  In the operational phase, beyond the boundaries of the traditional definition of a project, success will be managed by the client and their stakeholders, either formally or informally. Indeed </w:t>
      </w:r>
      <w:r w:rsidR="004F5229" w:rsidRPr="00A77AF6">
        <w:rPr>
          <w:rFonts w:cstheme="minorHAnsi"/>
        </w:rPr>
        <w:t xml:space="preserve">Atkinson (1999) argued that the measurement of success should not be restricted to the project management phase because </w:t>
      </w:r>
      <w:r w:rsidRPr="00A77AF6">
        <w:rPr>
          <w:rFonts w:cstheme="minorHAnsi"/>
        </w:rPr>
        <w:t xml:space="preserve">of </w:t>
      </w:r>
      <w:r w:rsidR="004F5229" w:rsidRPr="00A77AF6">
        <w:rPr>
          <w:rFonts w:cstheme="minorHAnsi"/>
        </w:rPr>
        <w:t>stakeholder</w:t>
      </w:r>
      <w:r w:rsidRPr="00A77AF6">
        <w:rPr>
          <w:rFonts w:cstheme="minorHAnsi"/>
        </w:rPr>
        <w:t xml:space="preserve"> </w:t>
      </w:r>
      <w:r w:rsidR="004F5229" w:rsidRPr="00A77AF6">
        <w:rPr>
          <w:rFonts w:cstheme="minorHAnsi"/>
        </w:rPr>
        <w:t xml:space="preserve">interest </w:t>
      </w:r>
      <w:r w:rsidR="00E93283" w:rsidRPr="00A77AF6">
        <w:rPr>
          <w:rFonts w:cstheme="minorHAnsi"/>
        </w:rPr>
        <w:t>in the operational phase</w:t>
      </w:r>
      <w:r w:rsidR="004F5229" w:rsidRPr="00A77AF6">
        <w:rPr>
          <w:rFonts w:cstheme="minorHAnsi"/>
        </w:rPr>
        <w:t xml:space="preserve">.  Pinto and Slevin (1988) argued that project success is not simply met through delivering a project to time, cost and quality but also from client satisfaction. </w:t>
      </w:r>
      <w:r w:rsidR="00E208C2" w:rsidRPr="00A77AF6">
        <w:rPr>
          <w:rFonts w:cstheme="minorHAnsi"/>
        </w:rPr>
        <w:t xml:space="preserve"> </w:t>
      </w:r>
      <w:r w:rsidR="004F5229" w:rsidRPr="00A77AF6">
        <w:t>Prabakhar (2008) noted that others</w:t>
      </w:r>
      <w:r w:rsidR="005C6D8A" w:rsidRPr="00A77AF6">
        <w:t xml:space="preserve"> </w:t>
      </w:r>
      <w:r w:rsidRPr="00A77AF6">
        <w:t xml:space="preserve">have made similar </w:t>
      </w:r>
      <w:r w:rsidR="005C6D8A" w:rsidRPr="00A77AF6">
        <w:t>arguments</w:t>
      </w:r>
      <w:r w:rsidR="004F5229" w:rsidRPr="00A77AF6">
        <w:t xml:space="preserve"> including Murphy and Fis</w:t>
      </w:r>
      <w:r w:rsidR="00253995" w:rsidRPr="00A77AF6">
        <w:t xml:space="preserve">her (1983, 1989); </w:t>
      </w:r>
      <w:r w:rsidR="004F5229" w:rsidRPr="00A77AF6">
        <w:t>Baker, et al., (1983); Ward (1995); Radolph &amp; Posner (1994)</w:t>
      </w:r>
      <w:r w:rsidR="005C6D8A" w:rsidRPr="00A77AF6">
        <w:t xml:space="preserve"> and Clarke (1999)</w:t>
      </w:r>
      <w:r w:rsidRPr="00A77AF6">
        <w:t xml:space="preserve">. </w:t>
      </w:r>
      <w:r w:rsidR="00A36EFB" w:rsidRPr="00A77AF6">
        <w:t xml:space="preserve"> </w:t>
      </w:r>
      <w:r w:rsidR="00E208C2" w:rsidRPr="00A77AF6">
        <w:rPr>
          <w:rFonts w:cstheme="minorHAnsi"/>
        </w:rPr>
        <w:t>Other</w:t>
      </w:r>
      <w:r w:rsidR="005C6D8A" w:rsidRPr="00A77AF6">
        <w:rPr>
          <w:rFonts w:cstheme="minorHAnsi"/>
        </w:rPr>
        <w:t xml:space="preserve">s have suggested </w:t>
      </w:r>
      <w:r w:rsidR="00E208C2" w:rsidRPr="00A77AF6">
        <w:rPr>
          <w:rFonts w:cstheme="minorHAnsi"/>
        </w:rPr>
        <w:t xml:space="preserve">the </w:t>
      </w:r>
      <w:r w:rsidR="005D40CC">
        <w:rPr>
          <w:rFonts w:cstheme="minorHAnsi"/>
        </w:rPr>
        <w:t xml:space="preserve">measuring </w:t>
      </w:r>
      <w:r w:rsidR="005C6D8A" w:rsidRPr="00A77AF6">
        <w:rPr>
          <w:rFonts w:cstheme="minorHAnsi"/>
        </w:rPr>
        <w:t>of</w:t>
      </w:r>
      <w:r w:rsidR="00E208C2" w:rsidRPr="00A77AF6">
        <w:rPr>
          <w:rFonts w:cstheme="minorHAnsi"/>
        </w:rPr>
        <w:t xml:space="preserve"> time, cost and quality at different stages and asking a wide range of stakeholders for their opinions (Atkinson, 1999, Shenhar, et al., 2001, Cooke-Davies, 2002).  </w:t>
      </w:r>
      <w:r w:rsidR="00253995" w:rsidRPr="00A77AF6">
        <w:t>Th</w:t>
      </w:r>
      <w:r w:rsidR="00E93283" w:rsidRPr="00A77AF6">
        <w:t xml:space="preserve">e implication </w:t>
      </w:r>
      <w:r w:rsidR="005C6D8A" w:rsidRPr="00A77AF6">
        <w:t xml:space="preserve">of these alternatives is that </w:t>
      </w:r>
      <w:r w:rsidR="00E93283" w:rsidRPr="00A77AF6">
        <w:t xml:space="preserve">project success </w:t>
      </w:r>
      <w:r w:rsidR="005C6D8A" w:rsidRPr="00A77AF6">
        <w:t xml:space="preserve">should </w:t>
      </w:r>
      <w:r w:rsidR="00E93283" w:rsidRPr="00A77AF6">
        <w:t xml:space="preserve">be measured by different stakeholders at different times </w:t>
      </w:r>
      <w:r w:rsidR="005C6D8A" w:rsidRPr="00A77AF6">
        <w:t>in</w:t>
      </w:r>
      <w:r w:rsidR="00E93283" w:rsidRPr="00A77AF6">
        <w:t xml:space="preserve"> the project management phase </w:t>
      </w:r>
      <w:r w:rsidR="005C6D8A" w:rsidRPr="00A77AF6">
        <w:t>and</w:t>
      </w:r>
      <w:r w:rsidR="00E93283" w:rsidRPr="00A77AF6">
        <w:t xml:space="preserve"> in the operational phase.  </w:t>
      </w:r>
    </w:p>
    <w:p w14:paraId="172CB272" w14:textId="4BBB11DB" w:rsidR="0001412C" w:rsidRPr="00A77AF6" w:rsidRDefault="0001412C" w:rsidP="00C565EF">
      <w:pPr>
        <w:pStyle w:val="Heading2"/>
        <w:spacing w:after="120"/>
      </w:pPr>
      <w:bookmarkStart w:id="97" w:name="_Toc36275083"/>
      <w:r w:rsidRPr="00A77AF6">
        <w:lastRenderedPageBreak/>
        <w:t>Factors affecting project success</w:t>
      </w:r>
      <w:bookmarkEnd w:id="97"/>
    </w:p>
    <w:p w14:paraId="01438116" w14:textId="6361D725" w:rsidR="0001412C" w:rsidRPr="00A77AF6" w:rsidRDefault="0001412C" w:rsidP="0001412C">
      <w:pPr>
        <w:spacing w:line="360" w:lineRule="auto"/>
        <w:rPr>
          <w:rFonts w:cstheme="minorHAnsi"/>
        </w:rPr>
      </w:pPr>
      <w:r w:rsidRPr="00A77AF6">
        <w:t>The next section discusses inputs to project that can affect project outcome: risk, optimism bias and CSF</w:t>
      </w:r>
    </w:p>
    <w:p w14:paraId="62B3330E" w14:textId="18873C9B" w:rsidR="0021659F" w:rsidRPr="00A77AF6" w:rsidRDefault="009241CA" w:rsidP="002C3B63">
      <w:pPr>
        <w:pStyle w:val="Heading3"/>
        <w:spacing w:after="120"/>
      </w:pPr>
      <w:bookmarkStart w:id="98" w:name="_Toc36275084"/>
      <w:r w:rsidRPr="00A77AF6">
        <w:t>Risk and o</w:t>
      </w:r>
      <w:r w:rsidR="0021659F" w:rsidRPr="00A77AF6">
        <w:t xml:space="preserve">ptimism </w:t>
      </w:r>
      <w:r w:rsidR="002B2A8C" w:rsidRPr="00A77AF6">
        <w:t>b</w:t>
      </w:r>
      <w:r w:rsidR="0021659F" w:rsidRPr="00A77AF6">
        <w:t>ias</w:t>
      </w:r>
      <w:r w:rsidR="00A21AC1" w:rsidRPr="00A77AF6">
        <w:t xml:space="preserve"> in NHS Construction Projects</w:t>
      </w:r>
      <w:bookmarkEnd w:id="98"/>
    </w:p>
    <w:p w14:paraId="3E2F539F" w14:textId="766A0146" w:rsidR="00416B2B" w:rsidRPr="00A77AF6" w:rsidRDefault="00DD6D1A" w:rsidP="00666E81">
      <w:pPr>
        <w:spacing w:after="0" w:line="360" w:lineRule="auto"/>
      </w:pPr>
      <w:r w:rsidRPr="00A77AF6">
        <w:t xml:space="preserve">Risk and optimism bias </w:t>
      </w:r>
      <w:r w:rsidR="00D91CCA" w:rsidRPr="00A77AF6">
        <w:t>are</w:t>
      </w:r>
      <w:r w:rsidRPr="00A77AF6">
        <w:t xml:space="preserve"> </w:t>
      </w:r>
      <w:r w:rsidR="00666E81" w:rsidRPr="00A77AF6">
        <w:t xml:space="preserve">factors that must be managed because of their potential negative </w:t>
      </w:r>
      <w:r w:rsidR="00416B2B" w:rsidRPr="00A77AF6">
        <w:t xml:space="preserve"> </w:t>
      </w:r>
      <w:r w:rsidRPr="00A77AF6">
        <w:t xml:space="preserve">impact the delivery of projects </w:t>
      </w:r>
      <w:sdt>
        <w:sdtPr>
          <w:id w:val="-2048526711"/>
          <w:citation/>
        </w:sdtPr>
        <w:sdtEndPr/>
        <w:sdtContent>
          <w:r w:rsidRPr="00A77AF6">
            <w:fldChar w:fldCharType="begin"/>
          </w:r>
          <w:r w:rsidRPr="00A77AF6">
            <w:instrText xml:space="preserve"> CITATION Bre03 \l 2057 </w:instrText>
          </w:r>
          <w:r w:rsidRPr="00A77AF6">
            <w:fldChar w:fldCharType="separate"/>
          </w:r>
          <w:r w:rsidR="008E653F" w:rsidRPr="00A77AF6">
            <w:t>(Flyvbjerg, 2003)</w:t>
          </w:r>
          <w:r w:rsidRPr="00A77AF6">
            <w:fldChar w:fldCharType="end"/>
          </w:r>
        </w:sdtContent>
      </w:sdt>
      <w:r w:rsidRPr="00A77AF6">
        <w:t xml:space="preserve">.  </w:t>
      </w:r>
      <w:r w:rsidR="002448BD" w:rsidRPr="00A77AF6">
        <w:t xml:space="preserve">Risk is defined as </w:t>
      </w:r>
    </w:p>
    <w:p w14:paraId="699F6244" w14:textId="7E2EC530" w:rsidR="002448BD" w:rsidRPr="00A77AF6" w:rsidRDefault="002448BD" w:rsidP="002448BD">
      <w:pPr>
        <w:spacing w:line="240" w:lineRule="auto"/>
        <w:ind w:left="720"/>
        <w:rPr>
          <w:i/>
          <w:iCs/>
        </w:rPr>
      </w:pPr>
      <w:r w:rsidRPr="00A77AF6">
        <w:rPr>
          <w:i/>
          <w:iCs/>
        </w:rPr>
        <w:t xml:space="preserve">‘an uncertain event or set of circumstances that would, if it occurred, have an effect on the achievement of one or more objectives’ </w:t>
      </w:r>
      <w:sdt>
        <w:sdtPr>
          <w:rPr>
            <w:i/>
            <w:iCs/>
          </w:rPr>
          <w:id w:val="1113782913"/>
          <w:citation/>
        </w:sdtPr>
        <w:sdtEndPr/>
        <w:sdtContent>
          <w:r w:rsidRPr="00A77AF6">
            <w:rPr>
              <w:i/>
              <w:iCs/>
            </w:rPr>
            <w:fldChar w:fldCharType="begin"/>
          </w:r>
          <w:r w:rsidRPr="00A77AF6">
            <w:rPr>
              <w:i/>
              <w:iCs/>
            </w:rPr>
            <w:instrText xml:space="preserve">CITATION APM19 \p 215 \l 2057 </w:instrText>
          </w:r>
          <w:r w:rsidRPr="00A77AF6">
            <w:rPr>
              <w:i/>
              <w:iCs/>
            </w:rPr>
            <w:fldChar w:fldCharType="separate"/>
          </w:r>
          <w:r w:rsidR="008E653F" w:rsidRPr="00A77AF6">
            <w:t>(APM, 2019, p. 215)</w:t>
          </w:r>
          <w:r w:rsidRPr="00A77AF6">
            <w:rPr>
              <w:i/>
              <w:iCs/>
            </w:rPr>
            <w:fldChar w:fldCharType="end"/>
          </w:r>
        </w:sdtContent>
      </w:sdt>
    </w:p>
    <w:p w14:paraId="7ECA303B" w14:textId="02508335" w:rsidR="00A21AC1" w:rsidRPr="00A77AF6" w:rsidRDefault="00A21AC1" w:rsidP="00A21AC1">
      <w:pPr>
        <w:spacing w:line="360" w:lineRule="auto"/>
      </w:pPr>
      <w:r w:rsidRPr="00A77AF6">
        <w:t xml:space="preserve">The risk profile of each project must be understood so that risks can be effectively managed and risk management is an important part of governance </w:t>
      </w:r>
      <w:sdt>
        <w:sdtPr>
          <w:id w:val="-214902818"/>
          <w:citation/>
        </w:sdtPr>
        <w:sdtEndPr/>
        <w:sdtContent>
          <w:r w:rsidRPr="00A77AF6">
            <w:fldChar w:fldCharType="begin"/>
          </w:r>
          <w:r w:rsidRPr="00A77AF6">
            <w:instrText xml:space="preserve"> CITATION HMT19 \l 2057 </w:instrText>
          </w:r>
          <w:r w:rsidRPr="00A77AF6">
            <w:fldChar w:fldCharType="separate"/>
          </w:r>
          <w:r w:rsidR="008E653F" w:rsidRPr="00A77AF6">
            <w:t>(HMT, 2019)</w:t>
          </w:r>
          <w:r w:rsidRPr="00A77AF6">
            <w:fldChar w:fldCharType="end"/>
          </w:r>
        </w:sdtContent>
      </w:sdt>
      <w:r w:rsidRPr="00A77AF6">
        <w:t xml:space="preserve">. As part of project appraisal, the NHS must assess the risk so explicit provision for the impact of risk including any costs can be made.  </w:t>
      </w:r>
    </w:p>
    <w:p w14:paraId="5D922B33" w14:textId="0995E783" w:rsidR="00D91CCA" w:rsidRPr="00A77AF6" w:rsidRDefault="00666E81" w:rsidP="00A21AC1">
      <w:pPr>
        <w:spacing w:line="360" w:lineRule="auto"/>
      </w:pPr>
      <w:r w:rsidRPr="00A77AF6">
        <w:t>Optimism bias is the tendency for project appraisers to be over optimistic about project costs and duration which results in unrealistic plans and projects exceeding their budgets or timescales</w:t>
      </w:r>
      <w:r w:rsidR="00F67A48" w:rsidRPr="00A77AF6">
        <w:t xml:space="preserve"> </w:t>
      </w:r>
      <w:sdt>
        <w:sdtPr>
          <w:id w:val="-1984606951"/>
          <w:citation/>
        </w:sdtPr>
        <w:sdtEndPr/>
        <w:sdtContent>
          <w:r w:rsidRPr="00A77AF6">
            <w:fldChar w:fldCharType="begin"/>
          </w:r>
          <w:r w:rsidRPr="00A77AF6">
            <w:instrText xml:space="preserve"> CITATION HMT18 \l 2057 </w:instrText>
          </w:r>
          <w:r w:rsidRPr="00A77AF6">
            <w:fldChar w:fldCharType="separate"/>
          </w:r>
          <w:r w:rsidR="008E653F" w:rsidRPr="00A77AF6">
            <w:t>(HMT, 2018)</w:t>
          </w:r>
          <w:r w:rsidRPr="00A77AF6">
            <w:fldChar w:fldCharType="end"/>
          </w:r>
        </w:sdtContent>
      </w:sdt>
      <w:r w:rsidR="00A21AC1" w:rsidRPr="00A77AF6">
        <w:t xml:space="preserve">. This phenomenon was described in the </w:t>
      </w:r>
      <w:r w:rsidR="0021659F" w:rsidRPr="00A77AF6">
        <w:t>Mott MacDonald Report (2002) which investigated the estimation of time and cost in major public sector capital projects</w:t>
      </w:r>
      <w:r w:rsidR="00A21AC1" w:rsidRPr="00A77AF6">
        <w:t xml:space="preserve">. </w:t>
      </w:r>
      <w:r w:rsidR="00D91CCA" w:rsidRPr="00A77AF6">
        <w:t xml:space="preserve"> </w:t>
      </w:r>
      <w:r w:rsidR="0021659F" w:rsidRPr="00A77AF6">
        <w:t xml:space="preserve">Mott MacDonald’s (2002) analysis noted that this optimism bias was directly related to risk: </w:t>
      </w:r>
    </w:p>
    <w:p w14:paraId="0076E42E" w14:textId="13EB3889" w:rsidR="0021659F" w:rsidRPr="00A77AF6" w:rsidRDefault="0021659F" w:rsidP="00D91CCA">
      <w:pPr>
        <w:spacing w:after="240" w:line="240" w:lineRule="auto"/>
        <w:ind w:left="720"/>
      </w:pPr>
      <w:r w:rsidRPr="00A77AF6">
        <w:t>‘</w:t>
      </w:r>
      <w:r w:rsidRPr="00A77AF6">
        <w:rPr>
          <w:i/>
        </w:rPr>
        <w:t>studies have shown that optimism bias is caused by a failure to identify and effectively manage project risks.’</w:t>
      </w:r>
      <w:r w:rsidRPr="00A77AF6">
        <w:t xml:space="preserve"> </w:t>
      </w:r>
      <w:sdt>
        <w:sdtPr>
          <w:id w:val="105781902"/>
          <w:citation/>
        </w:sdtPr>
        <w:sdtEndPr/>
        <w:sdtContent>
          <w:r w:rsidRPr="00A77AF6">
            <w:fldChar w:fldCharType="begin"/>
          </w:r>
          <w:r w:rsidRPr="00A77AF6">
            <w:instrText xml:space="preserve">CITATION Mot02 \p S2 \l 2057 </w:instrText>
          </w:r>
          <w:r w:rsidRPr="00A77AF6">
            <w:fldChar w:fldCharType="separate"/>
          </w:r>
          <w:r w:rsidR="008E653F" w:rsidRPr="00A77AF6">
            <w:t>(Mott Mac Donald, 2002, p. S2)</w:t>
          </w:r>
          <w:r w:rsidRPr="00A77AF6">
            <w:fldChar w:fldCharType="end"/>
          </w:r>
        </w:sdtContent>
      </w:sdt>
    </w:p>
    <w:p w14:paraId="7DA1A199" w14:textId="45584E28" w:rsidR="003A29B8" w:rsidRPr="00A77AF6" w:rsidRDefault="0021659F" w:rsidP="00A21AC1">
      <w:pPr>
        <w:spacing w:after="0" w:line="360" w:lineRule="auto"/>
      </w:pPr>
      <w:r w:rsidRPr="00A77AF6">
        <w:t xml:space="preserve">Mott MacDonald’s findings (2002) led to </w:t>
      </w:r>
      <w:r w:rsidR="00A21AC1" w:rsidRPr="00A77AF6">
        <w:t>the revision of</w:t>
      </w:r>
      <w:r w:rsidRPr="00A77AF6">
        <w:t xml:space="preserve"> the UK Treasury’s guidance for costing projects, which </w:t>
      </w:r>
      <w:r w:rsidR="00A21AC1" w:rsidRPr="00A77AF6">
        <w:t xml:space="preserve">required project appraisers to make explicit </w:t>
      </w:r>
      <w:r w:rsidRPr="00A77AF6">
        <w:t>adjustments to costs to mitigate the tendency to be optimistic</w:t>
      </w:r>
      <w:r w:rsidR="00A21AC1" w:rsidRPr="00A77AF6">
        <w:t xml:space="preserve"> </w:t>
      </w:r>
      <w:sdt>
        <w:sdtPr>
          <w:id w:val="-372464285"/>
          <w:citation/>
        </w:sdtPr>
        <w:sdtEndPr/>
        <w:sdtContent>
          <w:r w:rsidRPr="00A77AF6">
            <w:fldChar w:fldCharType="begin"/>
          </w:r>
          <w:r w:rsidRPr="00A77AF6">
            <w:instrText xml:space="preserve"> CITATION HMT03 \l 2057 </w:instrText>
          </w:r>
          <w:r w:rsidRPr="00A77AF6">
            <w:fldChar w:fldCharType="separate"/>
          </w:r>
          <w:r w:rsidR="008E653F" w:rsidRPr="00A77AF6">
            <w:t>(HM Treasury, 2003)</w:t>
          </w:r>
          <w:r w:rsidRPr="00A77AF6">
            <w:fldChar w:fldCharType="end"/>
          </w:r>
        </w:sdtContent>
      </w:sdt>
      <w:r w:rsidR="00A21AC1" w:rsidRPr="00A77AF6">
        <w:t xml:space="preserve">.  </w:t>
      </w:r>
      <w:r w:rsidRPr="00A77AF6">
        <w:t>To do this the DH provided a</w:t>
      </w:r>
      <w:r w:rsidR="0001412C" w:rsidRPr="00A77AF6">
        <w:t>n optimism bias spreadsheet</w:t>
      </w:r>
      <w:r w:rsidRPr="00A77AF6">
        <w:t xml:space="preserve"> </w:t>
      </w:r>
      <w:r w:rsidR="0081537E" w:rsidRPr="00A77AF6">
        <w:t>w</w:t>
      </w:r>
      <w:r w:rsidRPr="00A77AF6">
        <w:t xml:space="preserve">hich project appraisers must complete </w:t>
      </w:r>
      <w:r w:rsidR="0001412C" w:rsidRPr="00A77AF6">
        <w:t xml:space="preserve">at the start of a project </w:t>
      </w:r>
      <w:r w:rsidRPr="00A77AF6">
        <w:t xml:space="preserve">(Appendix </w:t>
      </w:r>
      <w:r w:rsidR="00DD215D" w:rsidRPr="00A77AF6">
        <w:t>A</w:t>
      </w:r>
      <w:r w:rsidR="00CC142D">
        <w:t>)</w:t>
      </w:r>
      <w:r w:rsidR="00BC3124" w:rsidRPr="00A77AF6">
        <w:t xml:space="preserve">.  </w:t>
      </w:r>
      <w:r w:rsidR="0001412C" w:rsidRPr="00A77AF6">
        <w:t>T</w:t>
      </w:r>
      <w:r w:rsidR="00BC3124" w:rsidRPr="00A77AF6">
        <w:t xml:space="preserve">he </w:t>
      </w:r>
      <w:r w:rsidR="00A460BF" w:rsidRPr="00A77AF6">
        <w:t>o</w:t>
      </w:r>
      <w:r w:rsidR="00BC3124" w:rsidRPr="00A77AF6">
        <w:t xml:space="preserve">ptimism </w:t>
      </w:r>
      <w:r w:rsidR="00A460BF" w:rsidRPr="00A77AF6">
        <w:t>b</w:t>
      </w:r>
      <w:r w:rsidR="00BC3124" w:rsidRPr="00A77AF6">
        <w:t xml:space="preserve">ias </w:t>
      </w:r>
      <w:r w:rsidR="00A460BF" w:rsidRPr="00A77AF6">
        <w:t xml:space="preserve">spreadsheet </w:t>
      </w:r>
      <w:r w:rsidRPr="00A77AF6">
        <w:t>calculate</w:t>
      </w:r>
      <w:r w:rsidR="00BC3124" w:rsidRPr="00A77AF6">
        <w:t>s</w:t>
      </w:r>
      <w:r w:rsidRPr="00A77AF6">
        <w:t xml:space="preserve"> the percentage premium (upper bound)</w:t>
      </w:r>
      <w:r w:rsidR="0001412C" w:rsidRPr="00A77AF6">
        <w:t xml:space="preserve"> </w:t>
      </w:r>
      <w:r w:rsidRPr="00A77AF6">
        <w:t>that must be applied to the estimated capital cost up to a maximum of 80%</w:t>
      </w:r>
      <w:r w:rsidR="0001412C" w:rsidRPr="00A77AF6">
        <w:t xml:space="preserve"> as a proxy for risk. </w:t>
      </w:r>
      <w:r w:rsidRPr="00A77AF6">
        <w:t>If</w:t>
      </w:r>
      <w:r w:rsidR="0001412C" w:rsidRPr="00A77AF6">
        <w:t xml:space="preserve"> a</w:t>
      </w:r>
      <w:r w:rsidRPr="00A77AF6">
        <w:t xml:space="preserve"> project </w:t>
      </w:r>
      <w:r w:rsidR="0001412C" w:rsidRPr="00A77AF6">
        <w:t>wa</w:t>
      </w:r>
      <w:r w:rsidRPr="00A77AF6">
        <w:t xml:space="preserve">s estimated to have a capital cost of £10 million </w:t>
      </w:r>
      <w:r w:rsidR="00D91CCA" w:rsidRPr="00A77AF6">
        <w:t xml:space="preserve">and </w:t>
      </w:r>
      <w:r w:rsidRPr="00A77AF6">
        <w:t xml:space="preserve">the upper bound </w:t>
      </w:r>
      <w:r w:rsidR="0001412C" w:rsidRPr="00A77AF6">
        <w:t xml:space="preserve">is </w:t>
      </w:r>
      <w:r w:rsidR="00D913CD" w:rsidRPr="00A77AF6">
        <w:t>8</w:t>
      </w:r>
      <w:r w:rsidRPr="00A77AF6">
        <w:t xml:space="preserve">0% </w:t>
      </w:r>
      <w:r w:rsidR="00D91CCA" w:rsidRPr="00A77AF6">
        <w:t xml:space="preserve">then the real cost of </w:t>
      </w:r>
      <w:r w:rsidR="00B24BBD" w:rsidRPr="00A77AF6">
        <w:t>the project</w:t>
      </w:r>
      <w:r w:rsidR="003A29B8" w:rsidRPr="00A77AF6">
        <w:t xml:space="preserve"> </w:t>
      </w:r>
      <w:r w:rsidR="0001412C" w:rsidRPr="00A77AF6">
        <w:t xml:space="preserve">is </w:t>
      </w:r>
      <w:r w:rsidRPr="00A77AF6">
        <w:t>£1</w:t>
      </w:r>
      <w:r w:rsidR="00D913CD" w:rsidRPr="00A77AF6">
        <w:t>8</w:t>
      </w:r>
      <w:r w:rsidRPr="00A77AF6">
        <w:t xml:space="preserve"> million.  If the </w:t>
      </w:r>
      <w:r w:rsidR="0001412C" w:rsidRPr="00A77AF6">
        <w:t>t</w:t>
      </w:r>
      <w:r w:rsidRPr="00A77AF6">
        <w:t xml:space="preserve">rust can show that it is has </w:t>
      </w:r>
      <w:r w:rsidR="00D913CD" w:rsidRPr="00A77AF6">
        <w:t xml:space="preserve">explicit </w:t>
      </w:r>
      <w:r w:rsidRPr="00A77AF6">
        <w:t xml:space="preserve">risk mitigation measures in place, then the </w:t>
      </w:r>
      <w:r w:rsidR="00D91CCA" w:rsidRPr="00A77AF6">
        <w:t xml:space="preserve">upper bound can be reduced. </w:t>
      </w:r>
      <w:r w:rsidRPr="00A77AF6">
        <w:t>Once these two analyses ha</w:t>
      </w:r>
      <w:r w:rsidR="00EA756D" w:rsidRPr="00A77AF6">
        <w:t xml:space="preserve">ve </w:t>
      </w:r>
      <w:r w:rsidRPr="00A77AF6">
        <w:t xml:space="preserve">been completed, the application of a risk premium (upper bound), then explicit downwards mitigation, a final risk percentage is applied to the project and the base capital cost estimate is amended accordingly.  </w:t>
      </w:r>
      <w:r w:rsidR="00D91CCA" w:rsidRPr="00A77AF6">
        <w:t>I</w:t>
      </w:r>
      <w:r w:rsidR="00B01CC0" w:rsidRPr="00A77AF6">
        <w:t xml:space="preserve">f, using the </w:t>
      </w:r>
      <w:r w:rsidR="00D91CCA" w:rsidRPr="00A77AF6">
        <w:t xml:space="preserve">example </w:t>
      </w:r>
      <w:r w:rsidR="00B24BBD" w:rsidRPr="00A77AF6">
        <w:t xml:space="preserve">above, </w:t>
      </w:r>
      <w:r w:rsidR="00D91CCA" w:rsidRPr="00A77AF6">
        <w:t xml:space="preserve">mitigating </w:t>
      </w:r>
      <w:r w:rsidR="00B01CC0" w:rsidRPr="00A77AF6">
        <w:t>factors</w:t>
      </w:r>
      <w:r w:rsidR="00D91CCA" w:rsidRPr="00A77AF6">
        <w:t xml:space="preserve"> reduce the upper bound to </w:t>
      </w:r>
      <w:r w:rsidR="00B01CC0" w:rsidRPr="00A77AF6">
        <w:t>2</w:t>
      </w:r>
      <w:r w:rsidR="00D91CCA" w:rsidRPr="00A77AF6">
        <w:t xml:space="preserve">0% </w:t>
      </w:r>
      <w:r w:rsidR="00B01CC0" w:rsidRPr="00A77AF6">
        <w:t>then</w:t>
      </w:r>
      <w:r w:rsidR="00D91CCA" w:rsidRPr="00A77AF6">
        <w:t xml:space="preserve"> the recalculated cost of the </w:t>
      </w:r>
      <w:r w:rsidR="00B01CC0" w:rsidRPr="00A77AF6">
        <w:t>project</w:t>
      </w:r>
      <w:r w:rsidR="00D91CCA" w:rsidRPr="00A77AF6">
        <w:t xml:space="preserve"> is </w:t>
      </w:r>
      <w:r w:rsidR="00B01CC0" w:rsidRPr="00A77AF6">
        <w:t xml:space="preserve">£12 million.  This is higher than the original estimate of £10 million but lower than the unmitigated cost of £18 million.  </w:t>
      </w:r>
      <w:r w:rsidR="00EA756D" w:rsidRPr="00A77AF6">
        <w:t xml:space="preserve">The Treasury </w:t>
      </w:r>
      <w:r w:rsidR="003A29B8" w:rsidRPr="00A77AF6">
        <w:t xml:space="preserve">(2003) </w:t>
      </w:r>
      <w:r w:rsidR="00EA756D" w:rsidRPr="00A77AF6">
        <w:t>note</w:t>
      </w:r>
      <w:r w:rsidR="003A29B8" w:rsidRPr="00A77AF6">
        <w:t>d</w:t>
      </w:r>
      <w:r w:rsidR="00EA756D" w:rsidRPr="00A77AF6">
        <w:t xml:space="preserve"> that this will give a more </w:t>
      </w:r>
      <w:r w:rsidR="00EA756D" w:rsidRPr="00A77AF6">
        <w:lastRenderedPageBreak/>
        <w:t xml:space="preserve">accurate cost to the project earlier on so that procuring organisations can decide whether to proceed or not with more certainty.  In reference to a worked example of the usefulness of optimism bias HM Treasury (2003) noted that </w:t>
      </w:r>
    </w:p>
    <w:p w14:paraId="0D15DAF9" w14:textId="0B9E0370" w:rsidR="00EA756D" w:rsidRPr="00A77AF6" w:rsidRDefault="00EA756D" w:rsidP="003A29B8">
      <w:pPr>
        <w:spacing w:line="240" w:lineRule="auto"/>
        <w:ind w:left="720"/>
      </w:pPr>
      <w:r w:rsidRPr="00A77AF6">
        <w:rPr>
          <w:i/>
        </w:rPr>
        <w:t>‘Without applying optimism bias adjustments, a false expectation would have been created that a larger project could be delivered, and at a lower cost.</w:t>
      </w:r>
      <w:r w:rsidRPr="00A77AF6">
        <w:t xml:space="preserve">’ </w:t>
      </w:r>
      <w:sdt>
        <w:sdtPr>
          <w:id w:val="308833418"/>
          <w:citation/>
        </w:sdtPr>
        <w:sdtEndPr/>
        <w:sdtContent>
          <w:r w:rsidRPr="00A77AF6">
            <w:fldChar w:fldCharType="begin"/>
          </w:r>
          <w:r w:rsidRPr="00A77AF6">
            <w:instrText xml:space="preserve">CITATION HMT03 \p 30 \l 2057 </w:instrText>
          </w:r>
          <w:r w:rsidRPr="00A77AF6">
            <w:fldChar w:fldCharType="separate"/>
          </w:r>
          <w:r w:rsidR="008E653F" w:rsidRPr="00A77AF6">
            <w:t>(HM Treasury, 2003, p. 30)</w:t>
          </w:r>
          <w:r w:rsidRPr="00A77AF6">
            <w:fldChar w:fldCharType="end"/>
          </w:r>
        </w:sdtContent>
      </w:sdt>
    </w:p>
    <w:p w14:paraId="2FD6413E" w14:textId="1B75C786" w:rsidR="0021659F" w:rsidRPr="00A77AF6" w:rsidRDefault="0021659F" w:rsidP="00A21AC1">
      <w:pPr>
        <w:spacing w:line="360" w:lineRule="auto"/>
      </w:pPr>
      <w:r w:rsidRPr="00A77AF6">
        <w:t>HM Treasury (2003) identifie</w:t>
      </w:r>
      <w:r w:rsidR="00D034AF" w:rsidRPr="00A77AF6">
        <w:t>d</w:t>
      </w:r>
      <w:r w:rsidRPr="00A77AF6">
        <w:t xml:space="preserve"> six </w:t>
      </w:r>
      <w:r w:rsidR="00EA756D" w:rsidRPr="00A77AF6">
        <w:t xml:space="preserve">governance </w:t>
      </w:r>
      <w:r w:rsidRPr="00A77AF6">
        <w:t>factors that help to reduce risk</w:t>
      </w:r>
      <w:r w:rsidR="003A29B8" w:rsidRPr="00A77AF6">
        <w:t xml:space="preserve"> and can be used to manage the upper bound downward</w:t>
      </w:r>
      <w:r w:rsidRPr="00A77AF6">
        <w:t>: clearly defined project sponsor roles</w:t>
      </w:r>
      <w:r w:rsidR="00EA756D" w:rsidRPr="00A77AF6">
        <w:t>;</w:t>
      </w:r>
      <w:r w:rsidRPr="00A77AF6">
        <w:t xml:space="preserve"> recognised project management structures</w:t>
      </w:r>
      <w:r w:rsidR="00EA756D" w:rsidRPr="00A77AF6">
        <w:t>;</w:t>
      </w:r>
      <w:r w:rsidRPr="00A77AF6">
        <w:t xml:space="preserve"> performance management systems and for complex projects: simpler alternatives</w:t>
      </w:r>
      <w:r w:rsidR="00EA756D" w:rsidRPr="00A77AF6">
        <w:t>;</w:t>
      </w:r>
      <w:r w:rsidRPr="00A77AF6">
        <w:t xml:space="preserve"> breaking </w:t>
      </w:r>
      <w:r w:rsidR="00615203" w:rsidRPr="00A77AF6">
        <w:t>large projects</w:t>
      </w:r>
      <w:r w:rsidRPr="00A77AF6">
        <w:t xml:space="preserve"> down into smaller manageable ones and creating a knowledge management system so personnel changes do not interrupt the project </w:t>
      </w:r>
      <w:sdt>
        <w:sdtPr>
          <w:id w:val="2016811859"/>
          <w:citation/>
        </w:sdtPr>
        <w:sdtEndPr/>
        <w:sdtContent>
          <w:r w:rsidRPr="00A77AF6">
            <w:fldChar w:fldCharType="begin"/>
          </w:r>
          <w:r w:rsidRPr="00A77AF6">
            <w:instrText xml:space="preserve"> CITATION HMT03 \l 2057 </w:instrText>
          </w:r>
          <w:r w:rsidRPr="00A77AF6">
            <w:fldChar w:fldCharType="separate"/>
          </w:r>
          <w:r w:rsidR="008E653F" w:rsidRPr="00A77AF6">
            <w:t>(HM Treasury, 2003)</w:t>
          </w:r>
          <w:r w:rsidRPr="00A77AF6">
            <w:fldChar w:fldCharType="end"/>
          </w:r>
        </w:sdtContent>
      </w:sdt>
      <w:r w:rsidRPr="00A77AF6">
        <w:t xml:space="preserve">.   </w:t>
      </w:r>
    </w:p>
    <w:p w14:paraId="4C39A927" w14:textId="1DB6BB4B" w:rsidR="00A4698A" w:rsidRPr="00A77AF6" w:rsidRDefault="0021659F" w:rsidP="00A21AC1">
      <w:pPr>
        <w:spacing w:after="0" w:line="360" w:lineRule="auto"/>
      </w:pPr>
      <w:r w:rsidRPr="00A77AF6">
        <w:t xml:space="preserve">Mott MacDonald (2002) classified </w:t>
      </w:r>
      <w:r w:rsidR="00B225F5" w:rsidRPr="00A77AF6">
        <w:t xml:space="preserve">some </w:t>
      </w:r>
      <w:r w:rsidR="00B01CC0" w:rsidRPr="00A77AF6">
        <w:t xml:space="preserve">hospital </w:t>
      </w:r>
      <w:r w:rsidR="00B225F5" w:rsidRPr="00A77AF6">
        <w:t xml:space="preserve">buildings </w:t>
      </w:r>
      <w:r w:rsidRPr="00A77AF6">
        <w:t>as non-standard, for example, specialist buildings</w:t>
      </w:r>
      <w:r w:rsidR="00D913CD" w:rsidRPr="00A77AF6">
        <w:t xml:space="preserve"> and </w:t>
      </w:r>
      <w:r w:rsidR="00B01CC0" w:rsidRPr="00A77AF6">
        <w:t xml:space="preserve">some </w:t>
      </w:r>
      <w:r w:rsidR="00121339" w:rsidRPr="00A77AF6">
        <w:t>as</w:t>
      </w:r>
      <w:r w:rsidR="00D913CD" w:rsidRPr="00A77AF6">
        <w:t xml:space="preserve"> ‘standard’ such as district general hospitals</w:t>
      </w:r>
      <w:r w:rsidRPr="00A77AF6">
        <w:t xml:space="preserve">. </w:t>
      </w:r>
      <w:r w:rsidR="00D913CD" w:rsidRPr="00A77AF6">
        <w:t xml:space="preserve">Non-standard buildings are </w:t>
      </w:r>
      <w:r w:rsidRPr="00A77AF6">
        <w:t>riskier than standard buildings</w:t>
      </w:r>
      <w:r w:rsidR="00EA756D" w:rsidRPr="00A77AF6">
        <w:t xml:space="preserve"> </w:t>
      </w:r>
      <w:sdt>
        <w:sdtPr>
          <w:id w:val="381910856"/>
          <w:citation/>
        </w:sdtPr>
        <w:sdtEndPr/>
        <w:sdtContent>
          <w:r w:rsidR="00EA756D" w:rsidRPr="00A77AF6">
            <w:fldChar w:fldCharType="begin"/>
          </w:r>
          <w:r w:rsidR="00EA756D" w:rsidRPr="00A77AF6">
            <w:instrText xml:space="preserve"> CITATION Mot02 \l 2057 </w:instrText>
          </w:r>
          <w:r w:rsidR="00EA756D" w:rsidRPr="00A77AF6">
            <w:fldChar w:fldCharType="separate"/>
          </w:r>
          <w:r w:rsidR="008E653F" w:rsidRPr="00A77AF6">
            <w:t>(Mott Mac Donald, 2002)</w:t>
          </w:r>
          <w:r w:rsidR="00EA756D" w:rsidRPr="00A77AF6">
            <w:fldChar w:fldCharType="end"/>
          </w:r>
        </w:sdtContent>
      </w:sdt>
      <w:r w:rsidRPr="00A77AF6">
        <w:t xml:space="preserve">, which is why the upper bound calculated by DH is high at 80%. </w:t>
      </w:r>
      <w:r w:rsidR="00B01CC0" w:rsidRPr="00A77AF6">
        <w:t xml:space="preserve"> </w:t>
      </w:r>
      <w:r w:rsidR="00B02A47" w:rsidRPr="00A77AF6">
        <w:t xml:space="preserve">A high optimism bias percentage equates to low risk mitigation, because cost risks have been included but are unmitigated.  Low optimism bias means that risk has been explicitly assessed, costed and managed.  </w:t>
      </w:r>
      <w:r w:rsidRPr="00A77AF6">
        <w:t xml:space="preserve"> Risk management to reduce the danger of cost underestimate and increase the chances of meeting cost targets requires the </w:t>
      </w:r>
      <w:r w:rsidR="00D913CD" w:rsidRPr="00A77AF6">
        <w:t xml:space="preserve">use of </w:t>
      </w:r>
      <w:r w:rsidRPr="00A77AF6">
        <w:t>industry</w:t>
      </w:r>
      <w:r w:rsidR="00D913CD" w:rsidRPr="00A77AF6">
        <w:t>-standard</w:t>
      </w:r>
      <w:r w:rsidRPr="00A77AF6">
        <w:t xml:space="preserve"> risk management </w:t>
      </w:r>
      <w:r w:rsidR="004514CD" w:rsidRPr="00A77AF6">
        <w:t>techniques</w:t>
      </w:r>
      <w:r w:rsidRPr="00A77AF6">
        <w:t xml:space="preserve"> as the management of  </w:t>
      </w:r>
    </w:p>
    <w:p w14:paraId="7D1F6E1F" w14:textId="5689CC3C" w:rsidR="00042E99" w:rsidRPr="00A77AF6" w:rsidRDefault="0021659F" w:rsidP="00A4698A">
      <w:pPr>
        <w:spacing w:after="240" w:line="240" w:lineRule="auto"/>
        <w:ind w:left="720"/>
      </w:pPr>
      <w:r w:rsidRPr="00A77AF6">
        <w:rPr>
          <w:i/>
        </w:rPr>
        <w:t>‘all project risk areas and effective project management will reduce the optimism bias recorded in future projects.</w:t>
      </w:r>
      <w:r w:rsidRPr="00A77AF6">
        <w:t xml:space="preserve">’ </w:t>
      </w:r>
      <w:sdt>
        <w:sdtPr>
          <w:id w:val="2069306408"/>
          <w:citation/>
        </w:sdtPr>
        <w:sdtEndPr/>
        <w:sdtContent>
          <w:r w:rsidRPr="00A77AF6">
            <w:fldChar w:fldCharType="begin"/>
          </w:r>
          <w:r w:rsidRPr="00A77AF6">
            <w:instrText xml:space="preserve">CITATION Mot02 \p 39 \l 2057 </w:instrText>
          </w:r>
          <w:r w:rsidRPr="00A77AF6">
            <w:fldChar w:fldCharType="separate"/>
          </w:r>
          <w:r w:rsidR="008E653F" w:rsidRPr="00A77AF6">
            <w:t>(Mott Mac Donald, 2002, p. 39)</w:t>
          </w:r>
          <w:r w:rsidRPr="00A77AF6">
            <w:fldChar w:fldCharType="end"/>
          </w:r>
        </w:sdtContent>
      </w:sdt>
      <w:r w:rsidR="004514CD" w:rsidRPr="00A77AF6">
        <w:t xml:space="preserve">. </w:t>
      </w:r>
      <w:r w:rsidR="00202656" w:rsidRPr="00A77AF6">
        <w:t xml:space="preserve"> </w:t>
      </w:r>
    </w:p>
    <w:p w14:paraId="4159699B" w14:textId="7DE5542B" w:rsidR="0021659F" w:rsidRPr="00A77AF6" w:rsidRDefault="00042E99" w:rsidP="00322C75">
      <w:pPr>
        <w:spacing w:line="360" w:lineRule="auto"/>
        <w:rPr>
          <w:rFonts w:cstheme="minorHAnsi"/>
        </w:rPr>
      </w:pPr>
      <w:r w:rsidRPr="00A77AF6">
        <w:t xml:space="preserve">So far, this section has concentrated on optimism </w:t>
      </w:r>
      <w:r w:rsidR="00A4698A" w:rsidRPr="00A77AF6">
        <w:t xml:space="preserve">bias </w:t>
      </w:r>
      <w:r w:rsidRPr="00A77AF6">
        <w:t xml:space="preserve">and the cost of risk.  Mott MacDonald (2002) also referred to optimism bias for time estimates. The Treasury provided different guidance for the </w:t>
      </w:r>
      <w:r w:rsidR="004514CD" w:rsidRPr="00A77AF6">
        <w:t>application of optimism bias to timescales</w:t>
      </w:r>
      <w:r w:rsidRPr="00A77AF6">
        <w:t xml:space="preserve">, which </w:t>
      </w:r>
      <w:r w:rsidR="00A15F6C" w:rsidRPr="00A77AF6">
        <w:t>should</w:t>
      </w:r>
      <w:r w:rsidRPr="00A77AF6">
        <w:t xml:space="preserve"> </w:t>
      </w:r>
      <w:r w:rsidR="004514CD" w:rsidRPr="00A77AF6">
        <w:t>be managed by sensitivity analysis rather than</w:t>
      </w:r>
      <w:r w:rsidRPr="00A77AF6">
        <w:t xml:space="preserve"> by a calculation </w:t>
      </w:r>
      <w:r w:rsidR="00A15F6C" w:rsidRPr="00A77AF6">
        <w:t xml:space="preserve">an upper bound: </w:t>
      </w:r>
      <w:r w:rsidRPr="00A77AF6">
        <w:t xml:space="preserve"> </w:t>
      </w:r>
      <w:r w:rsidR="004514CD" w:rsidRPr="00A77AF6">
        <w:t>‘</w:t>
      </w:r>
      <w:r w:rsidRPr="00A77AF6">
        <w:t>s</w:t>
      </w:r>
      <w:r w:rsidR="004514CD" w:rsidRPr="00A77AF6">
        <w:t xml:space="preserve">ensitivity analysis should be used to test assumptions about operating costs’ </w:t>
      </w:r>
      <w:sdt>
        <w:sdtPr>
          <w:id w:val="-802078887"/>
          <w:citation/>
        </w:sdtPr>
        <w:sdtEndPr/>
        <w:sdtContent>
          <w:r w:rsidR="004514CD" w:rsidRPr="00A77AF6">
            <w:fldChar w:fldCharType="begin"/>
          </w:r>
          <w:r w:rsidR="004514CD" w:rsidRPr="00A77AF6">
            <w:instrText xml:space="preserve">CITATION HMT03 \p 29 \l 2057 </w:instrText>
          </w:r>
          <w:r w:rsidR="004514CD" w:rsidRPr="00A77AF6">
            <w:fldChar w:fldCharType="separate"/>
          </w:r>
          <w:r w:rsidR="008E653F" w:rsidRPr="00A77AF6">
            <w:t>(HM Treasury, 2003, p. 29)</w:t>
          </w:r>
          <w:r w:rsidR="004514CD" w:rsidRPr="00A77AF6">
            <w:fldChar w:fldCharType="end"/>
          </w:r>
        </w:sdtContent>
      </w:sdt>
      <w:r w:rsidR="004514CD" w:rsidRPr="00A77AF6">
        <w:t>.  The DH’s RPA tool for use in option appraisal only deals with cost risk in the project manag</w:t>
      </w:r>
      <w:r w:rsidR="00615203" w:rsidRPr="00A77AF6">
        <w:t xml:space="preserve">ement </w:t>
      </w:r>
      <w:r w:rsidR="004514CD" w:rsidRPr="00A77AF6">
        <w:t xml:space="preserve">phase. </w:t>
      </w:r>
      <w:r w:rsidR="006A36C1" w:rsidRPr="00A77AF6">
        <w:t>If a project is categorised as high risk, then it must be subject to an external Gateway™ Review as the project is considered to be at a high risk of failure. A Gateway Review</w:t>
      </w:r>
      <w:r w:rsidR="0001412C" w:rsidRPr="00A77AF6">
        <w:t>™</w:t>
      </w:r>
      <w:r w:rsidR="006A36C1" w:rsidRPr="00A77AF6">
        <w:t xml:space="preserve"> is a short, </w:t>
      </w:r>
      <w:r w:rsidR="0001412C" w:rsidRPr="00A77AF6">
        <w:t>intense</w:t>
      </w:r>
      <w:r w:rsidR="006A36C1" w:rsidRPr="00A77AF6">
        <w:t xml:space="preserve"> review by external project experts over a period of </w:t>
      </w:r>
      <w:r w:rsidR="0001412C" w:rsidRPr="00A77AF6">
        <w:t>approximately three</w:t>
      </w:r>
      <w:r w:rsidR="006A36C1" w:rsidRPr="00A77AF6">
        <w:t xml:space="preserve"> days to advise the project sponsor of any remedial action that </w:t>
      </w:r>
      <w:r w:rsidR="0001412C" w:rsidRPr="00A77AF6">
        <w:t xml:space="preserve">may </w:t>
      </w:r>
      <w:r w:rsidR="006A36C1" w:rsidRPr="00A77AF6">
        <w:t>need to be undertaken to help the project succeed. Th</w:t>
      </w:r>
      <w:r w:rsidR="00A21AC1" w:rsidRPr="00A77AF6">
        <w:t>e</w:t>
      </w:r>
      <w:r w:rsidR="006A36C1" w:rsidRPr="00A77AF6">
        <w:t xml:space="preserve"> divide, between high risk and low/ moderate risk was used in this study to determine whether risk played a major role in affecting project </w:t>
      </w:r>
      <w:r w:rsidR="00F11234" w:rsidRPr="00A77AF6">
        <w:t>succ</w:t>
      </w:r>
      <w:r w:rsidR="006A36C1" w:rsidRPr="00A77AF6">
        <w:t>e</w:t>
      </w:r>
      <w:r w:rsidR="00F11234" w:rsidRPr="00A77AF6">
        <w:t>ss</w:t>
      </w:r>
      <w:r w:rsidR="006A36C1" w:rsidRPr="00A77AF6">
        <w:t xml:space="preserve">.   If a project was categorised as low or medium risk then, </w:t>
      </w:r>
      <w:r w:rsidR="006A36C1" w:rsidRPr="00A77AF6">
        <w:lastRenderedPageBreak/>
        <w:t xml:space="preserve">for the purposes of this study, risk was discounted as a major factor. </w:t>
      </w:r>
      <w:r w:rsidR="0021659F" w:rsidRPr="00A77AF6">
        <w:rPr>
          <w:rFonts w:cstheme="minorHAnsi"/>
        </w:rPr>
        <w:t>The next section discusses inputs to projects</w:t>
      </w:r>
      <w:r w:rsidR="00615203" w:rsidRPr="00A77AF6">
        <w:rPr>
          <w:rFonts w:cstheme="minorHAnsi"/>
        </w:rPr>
        <w:t>,</w:t>
      </w:r>
      <w:r w:rsidR="0021659F" w:rsidRPr="00A77AF6">
        <w:rPr>
          <w:rFonts w:cstheme="minorHAnsi"/>
        </w:rPr>
        <w:t xml:space="preserve"> which are thought to increase the chance of project success</w:t>
      </w:r>
      <w:r w:rsidR="00397CB3" w:rsidRPr="00A77AF6">
        <w:rPr>
          <w:rFonts w:cstheme="minorHAnsi"/>
        </w:rPr>
        <w:t xml:space="preserve">. </w:t>
      </w:r>
    </w:p>
    <w:p w14:paraId="1D91B181" w14:textId="342F40BB" w:rsidR="006C1910" w:rsidRPr="00A77AF6" w:rsidRDefault="007B0757" w:rsidP="0001412C">
      <w:pPr>
        <w:pStyle w:val="Heading3"/>
        <w:spacing w:after="120"/>
      </w:pPr>
      <w:bookmarkStart w:id="99" w:name="_Toc36275085"/>
      <w:r w:rsidRPr="00A77AF6">
        <w:t>Critical</w:t>
      </w:r>
      <w:r w:rsidR="006C1910" w:rsidRPr="00A77AF6">
        <w:t xml:space="preserve"> </w:t>
      </w:r>
      <w:r w:rsidR="002B2A8C" w:rsidRPr="00A77AF6">
        <w:t>s</w:t>
      </w:r>
      <w:r w:rsidR="006C1910" w:rsidRPr="00A77AF6">
        <w:t>uccess</w:t>
      </w:r>
      <w:r w:rsidRPr="00A77AF6">
        <w:t xml:space="preserve"> </w:t>
      </w:r>
      <w:r w:rsidR="002B2A8C" w:rsidRPr="00A77AF6">
        <w:t>f</w:t>
      </w:r>
      <w:r w:rsidRPr="00A77AF6">
        <w:t>actors</w:t>
      </w:r>
      <w:bookmarkEnd w:id="99"/>
    </w:p>
    <w:p w14:paraId="487EF454" w14:textId="5E79BFF8" w:rsidR="00973173" w:rsidRPr="00A77AF6" w:rsidRDefault="00286816" w:rsidP="004437C4">
      <w:pPr>
        <w:spacing w:after="0" w:line="360" w:lineRule="auto"/>
        <w:rPr>
          <w:rFonts w:cstheme="minorHAnsi"/>
        </w:rPr>
      </w:pPr>
      <w:r w:rsidRPr="00A77AF6">
        <w:rPr>
          <w:rFonts w:cstheme="minorHAnsi"/>
        </w:rPr>
        <w:t>C</w:t>
      </w:r>
      <w:r w:rsidR="00C66E11" w:rsidRPr="00A77AF6">
        <w:rPr>
          <w:rFonts w:cstheme="minorHAnsi"/>
        </w:rPr>
        <w:t xml:space="preserve">ritical success factors (CSF) are </w:t>
      </w:r>
      <w:r w:rsidR="006C75C6" w:rsidRPr="00A77AF6">
        <w:rPr>
          <w:rFonts w:cstheme="minorHAnsi"/>
        </w:rPr>
        <w:t>factors</w:t>
      </w:r>
      <w:r w:rsidR="00FA6098" w:rsidRPr="00A77AF6">
        <w:rPr>
          <w:rFonts w:cstheme="minorHAnsi"/>
        </w:rPr>
        <w:t xml:space="preserve"> </w:t>
      </w:r>
      <w:r w:rsidR="00C66E11" w:rsidRPr="00A77AF6">
        <w:rPr>
          <w:rFonts w:cstheme="minorHAnsi"/>
        </w:rPr>
        <w:t>that, if in place</w:t>
      </w:r>
      <w:r w:rsidR="005420C1" w:rsidRPr="00A77AF6">
        <w:rPr>
          <w:rFonts w:cstheme="minorHAnsi"/>
        </w:rPr>
        <w:t>,</w:t>
      </w:r>
      <w:r w:rsidR="00C66E11" w:rsidRPr="00A77AF6">
        <w:rPr>
          <w:rFonts w:cstheme="minorHAnsi"/>
        </w:rPr>
        <w:t xml:space="preserve"> increase the chances of project success </w:t>
      </w:r>
      <w:sdt>
        <w:sdtPr>
          <w:rPr>
            <w:rFonts w:cstheme="minorHAnsi"/>
          </w:rPr>
          <w:id w:val="1056431891"/>
          <w:citation/>
        </w:sdtPr>
        <w:sdtEndPr/>
        <w:sdtContent>
          <w:r w:rsidR="00BB4287" w:rsidRPr="00A77AF6">
            <w:rPr>
              <w:rFonts w:cstheme="minorHAnsi"/>
            </w:rPr>
            <w:fldChar w:fldCharType="begin"/>
          </w:r>
          <w:r w:rsidR="00BB4287" w:rsidRPr="00A77AF6">
            <w:rPr>
              <w:rFonts w:cstheme="minorHAnsi"/>
            </w:rPr>
            <w:instrText xml:space="preserve"> CITATION Pin90 \l 2057 </w:instrText>
          </w:r>
          <w:r w:rsidR="00BB4287" w:rsidRPr="00A77AF6">
            <w:rPr>
              <w:rFonts w:cstheme="minorHAnsi"/>
            </w:rPr>
            <w:fldChar w:fldCharType="separate"/>
          </w:r>
          <w:r w:rsidR="008E653F" w:rsidRPr="00A77AF6">
            <w:rPr>
              <w:rFonts w:cstheme="minorHAnsi"/>
            </w:rPr>
            <w:t>(Pinto, 1990)</w:t>
          </w:r>
          <w:r w:rsidR="00BB4287" w:rsidRPr="00A77AF6">
            <w:rPr>
              <w:rFonts w:cstheme="minorHAnsi"/>
            </w:rPr>
            <w:fldChar w:fldCharType="end"/>
          </w:r>
        </w:sdtContent>
      </w:sdt>
      <w:r w:rsidR="00DA4ADB" w:rsidRPr="00A77AF6">
        <w:rPr>
          <w:rFonts w:cstheme="minorHAnsi"/>
        </w:rPr>
        <w:t xml:space="preserve">.  </w:t>
      </w:r>
      <w:r w:rsidR="009D64E9" w:rsidRPr="00A77AF6">
        <w:rPr>
          <w:rFonts w:cstheme="minorHAnsi"/>
        </w:rPr>
        <w:t xml:space="preserve">Project managers can use CSFS as a checklist </w:t>
      </w:r>
      <w:r w:rsidR="004F1213" w:rsidRPr="00A77AF6">
        <w:rPr>
          <w:rFonts w:cstheme="minorHAnsi"/>
        </w:rPr>
        <w:t>to ensure that relevant CSFs are included in a project.  The</w:t>
      </w:r>
      <w:r w:rsidR="001D07D6">
        <w:rPr>
          <w:rFonts w:cstheme="minorHAnsi"/>
        </w:rPr>
        <w:t>y</w:t>
      </w:r>
      <w:r w:rsidR="004F1213" w:rsidRPr="00A77AF6">
        <w:rPr>
          <w:rFonts w:cstheme="minorHAnsi"/>
        </w:rPr>
        <w:t xml:space="preserve"> also act as a prompt for action for project managers in the day-to-day running of projects.  </w:t>
      </w:r>
      <w:r w:rsidR="00322C75" w:rsidRPr="00A77AF6">
        <w:rPr>
          <w:rFonts w:cstheme="minorHAnsi"/>
        </w:rPr>
        <w:t>CSFs</w:t>
      </w:r>
      <w:r w:rsidR="00DA4ADB" w:rsidRPr="00A77AF6">
        <w:rPr>
          <w:rFonts w:cstheme="minorHAnsi"/>
        </w:rPr>
        <w:t xml:space="preserve"> </w:t>
      </w:r>
      <w:r w:rsidR="0090418A" w:rsidRPr="00A77AF6">
        <w:rPr>
          <w:rFonts w:cstheme="minorHAnsi"/>
        </w:rPr>
        <w:t xml:space="preserve">have </w:t>
      </w:r>
      <w:r w:rsidR="00C00817" w:rsidRPr="00A77AF6">
        <w:rPr>
          <w:rFonts w:cstheme="minorHAnsi"/>
        </w:rPr>
        <w:t xml:space="preserve">been </w:t>
      </w:r>
      <w:r w:rsidR="00FF41C6" w:rsidRPr="00A77AF6">
        <w:rPr>
          <w:rFonts w:cstheme="minorHAnsi"/>
        </w:rPr>
        <w:t xml:space="preserve">extensively </w:t>
      </w:r>
      <w:r w:rsidR="00C00817" w:rsidRPr="00A77AF6">
        <w:rPr>
          <w:rFonts w:cstheme="minorHAnsi"/>
        </w:rPr>
        <w:t>researched</w:t>
      </w:r>
      <w:r w:rsidR="00DD135D" w:rsidRPr="00A77AF6">
        <w:rPr>
          <w:rFonts w:cstheme="minorHAnsi"/>
        </w:rPr>
        <w:t xml:space="preserve"> over the last four decades in fields as diverse as management, information systems and technology, development, design and manufacturing and construction</w:t>
      </w:r>
      <w:r w:rsidR="0090418A" w:rsidRPr="00A77AF6">
        <w:rPr>
          <w:rFonts w:cstheme="minorHAnsi"/>
        </w:rPr>
        <w:t xml:space="preserve"> (</w:t>
      </w:r>
      <w:r w:rsidR="0007452B" w:rsidRPr="00A77AF6">
        <w:rPr>
          <w:rFonts w:cstheme="minorHAnsi"/>
        </w:rPr>
        <w:t>Figure 4-8</w:t>
      </w:r>
      <w:r w:rsidR="0090418A" w:rsidRPr="00A77AF6">
        <w:rPr>
          <w:rFonts w:cstheme="minorHAnsi"/>
        </w:rPr>
        <w:t>)</w:t>
      </w:r>
      <w:r w:rsidR="00A817E5" w:rsidRPr="00A77AF6">
        <w:rPr>
          <w:rFonts w:cstheme="minorHAnsi"/>
        </w:rPr>
        <w:t xml:space="preserve">. </w:t>
      </w:r>
      <w:r w:rsidR="00DD135D" w:rsidRPr="00A77AF6">
        <w:rPr>
          <w:rFonts w:cstheme="minorHAnsi"/>
        </w:rPr>
        <w:t xml:space="preserve"> </w:t>
      </w:r>
      <w:r w:rsidR="00C86044" w:rsidRPr="00A77AF6">
        <w:rPr>
          <w:rFonts w:cstheme="minorHAnsi"/>
        </w:rPr>
        <w:t>Th</w:t>
      </w:r>
      <w:r w:rsidR="00BF4761" w:rsidRPr="00A77AF6">
        <w:rPr>
          <w:rFonts w:cstheme="minorHAnsi"/>
        </w:rPr>
        <w:t xml:space="preserve">at </w:t>
      </w:r>
      <w:r w:rsidR="00C86044" w:rsidRPr="00A77AF6">
        <w:rPr>
          <w:rFonts w:cstheme="minorHAnsi"/>
        </w:rPr>
        <w:t>project</w:t>
      </w:r>
      <w:r w:rsidR="00C610E2" w:rsidRPr="00A77AF6">
        <w:rPr>
          <w:rFonts w:cstheme="minorHAnsi"/>
        </w:rPr>
        <w:t xml:space="preserve"> success </w:t>
      </w:r>
      <w:r w:rsidR="00C86044" w:rsidRPr="00A77AF6">
        <w:rPr>
          <w:rFonts w:cstheme="minorHAnsi"/>
        </w:rPr>
        <w:t xml:space="preserve">can be increased by active management is </w:t>
      </w:r>
      <w:r w:rsidR="00F42B07" w:rsidRPr="00A77AF6">
        <w:rPr>
          <w:rFonts w:cstheme="minorHAnsi"/>
        </w:rPr>
        <w:t xml:space="preserve">a </w:t>
      </w:r>
      <w:r w:rsidR="00C86044" w:rsidRPr="00A77AF6">
        <w:rPr>
          <w:rFonts w:cstheme="minorHAnsi"/>
        </w:rPr>
        <w:t>firmly established</w:t>
      </w:r>
      <w:r w:rsidR="0033109E" w:rsidRPr="00A77AF6">
        <w:rPr>
          <w:rFonts w:cstheme="minorHAnsi"/>
        </w:rPr>
        <w:t xml:space="preserve"> principle</w:t>
      </w:r>
      <w:r w:rsidR="00FA6098" w:rsidRPr="00A77AF6">
        <w:rPr>
          <w:rFonts w:cstheme="minorHAnsi"/>
        </w:rPr>
        <w:t>,</w:t>
      </w:r>
      <w:r w:rsidR="001C5C08" w:rsidRPr="00A77AF6">
        <w:rPr>
          <w:rFonts w:cstheme="minorHAnsi"/>
        </w:rPr>
        <w:t xml:space="preserve"> and g</w:t>
      </w:r>
      <w:r w:rsidR="00020BF5" w:rsidRPr="00A77AF6">
        <w:rPr>
          <w:rFonts w:cstheme="minorHAnsi"/>
        </w:rPr>
        <w:t>uidance to help project managers is widely available.  Examples include: OGC’s 8 Common Causes of Project Failure; PR</w:t>
      </w:r>
      <w:r w:rsidR="00627FA7" w:rsidRPr="00A77AF6">
        <w:rPr>
          <w:rFonts w:cstheme="minorHAnsi"/>
        </w:rPr>
        <w:t>IN</w:t>
      </w:r>
      <w:r w:rsidR="00020BF5" w:rsidRPr="00A77AF6">
        <w:rPr>
          <w:rFonts w:cstheme="minorHAnsi"/>
        </w:rPr>
        <w:t>CE2</w:t>
      </w:r>
      <w:r w:rsidR="00627FA7" w:rsidRPr="00A77AF6">
        <w:rPr>
          <w:rFonts w:cstheme="minorHAnsi"/>
        </w:rPr>
        <w:t xml:space="preserve">®; CIOB Code of </w:t>
      </w:r>
      <w:r w:rsidR="007C19E2" w:rsidRPr="00A77AF6">
        <w:rPr>
          <w:rFonts w:cstheme="minorHAnsi"/>
        </w:rPr>
        <w:t>Practice</w:t>
      </w:r>
      <w:r w:rsidR="00627FA7" w:rsidRPr="00A77AF6">
        <w:rPr>
          <w:rFonts w:cstheme="minorHAnsi"/>
        </w:rPr>
        <w:t>,</w:t>
      </w:r>
      <w:r w:rsidR="007C19E2" w:rsidRPr="00A77AF6">
        <w:rPr>
          <w:rFonts w:cstheme="minorHAnsi"/>
        </w:rPr>
        <w:t xml:space="preserve"> OGC Gateway™;</w:t>
      </w:r>
      <w:r w:rsidR="00627FA7" w:rsidRPr="00A77AF6">
        <w:rPr>
          <w:rFonts w:cstheme="minorHAnsi"/>
        </w:rPr>
        <w:t xml:space="preserve"> </w:t>
      </w:r>
      <w:r w:rsidR="007C19E2" w:rsidRPr="00A77AF6">
        <w:rPr>
          <w:rFonts w:cstheme="minorHAnsi"/>
        </w:rPr>
        <w:t xml:space="preserve">APM </w:t>
      </w:r>
      <w:r w:rsidR="007979FE" w:rsidRPr="00A77AF6">
        <w:rPr>
          <w:rFonts w:cstheme="minorHAnsi"/>
        </w:rPr>
        <w:t>Body of Knowledge</w:t>
      </w:r>
      <w:r w:rsidR="007C19E2" w:rsidRPr="00A77AF6">
        <w:rPr>
          <w:rFonts w:cstheme="minorHAnsi"/>
        </w:rPr>
        <w:t>; PMI Body of Knowledge</w:t>
      </w:r>
      <w:r w:rsidR="00FE107F" w:rsidRPr="00A77AF6">
        <w:rPr>
          <w:rFonts w:cstheme="minorHAnsi"/>
        </w:rPr>
        <w:t>; Slevin and Pinto</w:t>
      </w:r>
      <w:r w:rsidR="00944A27" w:rsidRPr="00A77AF6">
        <w:rPr>
          <w:rFonts w:cstheme="minorHAnsi"/>
        </w:rPr>
        <w:t>’s</w:t>
      </w:r>
      <w:r w:rsidR="00FE107F" w:rsidRPr="00A77AF6">
        <w:rPr>
          <w:rFonts w:cstheme="minorHAnsi"/>
        </w:rPr>
        <w:t xml:space="preserve"> (</w:t>
      </w:r>
      <w:r w:rsidR="00944A27" w:rsidRPr="00A77AF6">
        <w:rPr>
          <w:rFonts w:cstheme="minorHAnsi"/>
        </w:rPr>
        <w:t>1986</w:t>
      </w:r>
      <w:r w:rsidR="00FE107F" w:rsidRPr="00A77AF6">
        <w:rPr>
          <w:rFonts w:cstheme="minorHAnsi"/>
        </w:rPr>
        <w:t>) P</w:t>
      </w:r>
      <w:r w:rsidR="00434810" w:rsidRPr="00A77AF6">
        <w:rPr>
          <w:rFonts w:cstheme="minorHAnsi"/>
        </w:rPr>
        <w:t xml:space="preserve">IP </w:t>
      </w:r>
      <w:r w:rsidR="00E115E2" w:rsidRPr="00A77AF6">
        <w:rPr>
          <w:rFonts w:cstheme="minorHAnsi"/>
        </w:rPr>
        <w:t xml:space="preserve">and the </w:t>
      </w:r>
      <w:r w:rsidR="008D09F7" w:rsidRPr="00A77AF6">
        <w:rPr>
          <w:rFonts w:cstheme="minorHAnsi"/>
        </w:rPr>
        <w:t xml:space="preserve">British Standard In </w:t>
      </w:r>
      <w:r w:rsidR="001C5C08" w:rsidRPr="00A77AF6">
        <w:rPr>
          <w:rFonts w:cstheme="minorHAnsi"/>
        </w:rPr>
        <w:t>Project</w:t>
      </w:r>
      <w:r w:rsidR="008D09F7" w:rsidRPr="00A77AF6">
        <w:rPr>
          <w:rFonts w:cstheme="minorHAnsi"/>
        </w:rPr>
        <w:t xml:space="preserve"> Management (20</w:t>
      </w:r>
      <w:r w:rsidR="00BF4761" w:rsidRPr="00A77AF6">
        <w:rPr>
          <w:rFonts w:cstheme="minorHAnsi"/>
        </w:rPr>
        <w:t>12</w:t>
      </w:r>
      <w:r w:rsidR="008D09F7" w:rsidRPr="00A77AF6">
        <w:rPr>
          <w:rFonts w:cstheme="minorHAnsi"/>
        </w:rPr>
        <w:t>)</w:t>
      </w:r>
      <w:r w:rsidR="00FA6098" w:rsidRPr="00A77AF6">
        <w:rPr>
          <w:rFonts w:cstheme="minorHAnsi"/>
        </w:rPr>
        <w:t xml:space="preserve">. </w:t>
      </w:r>
      <w:r w:rsidR="00A06B89" w:rsidRPr="00A77AF6">
        <w:rPr>
          <w:rFonts w:cstheme="minorHAnsi"/>
        </w:rPr>
        <w:t xml:space="preserve"> </w:t>
      </w:r>
      <w:r w:rsidR="0019640A" w:rsidRPr="00A77AF6">
        <w:rPr>
          <w:rFonts w:cstheme="minorHAnsi"/>
        </w:rPr>
        <w:t xml:space="preserve">CSFs have been </w:t>
      </w:r>
      <w:r w:rsidR="00DF1816" w:rsidRPr="00A77AF6">
        <w:rPr>
          <w:rFonts w:cstheme="minorHAnsi"/>
        </w:rPr>
        <w:t>influential</w:t>
      </w:r>
      <w:r w:rsidR="009B3E7E" w:rsidRPr="00A77AF6">
        <w:rPr>
          <w:rFonts w:cstheme="minorHAnsi"/>
        </w:rPr>
        <w:t xml:space="preserve"> and</w:t>
      </w:r>
      <w:r w:rsidR="00433162" w:rsidRPr="00A77AF6">
        <w:rPr>
          <w:rFonts w:cstheme="minorHAnsi"/>
        </w:rPr>
        <w:t xml:space="preserve"> </w:t>
      </w:r>
      <w:r w:rsidR="00F07F86" w:rsidRPr="00A77AF6">
        <w:rPr>
          <w:rFonts w:cstheme="minorHAnsi"/>
        </w:rPr>
        <w:t xml:space="preserve">the </w:t>
      </w:r>
      <w:r w:rsidR="00BE5C39" w:rsidRPr="00A77AF6">
        <w:rPr>
          <w:rFonts w:cstheme="minorHAnsi"/>
        </w:rPr>
        <w:t>contribution</w:t>
      </w:r>
      <w:r w:rsidR="00433162" w:rsidRPr="00A77AF6">
        <w:rPr>
          <w:rFonts w:cstheme="minorHAnsi"/>
        </w:rPr>
        <w:t xml:space="preserve"> of </w:t>
      </w:r>
      <w:r w:rsidR="005542C4" w:rsidRPr="00A77AF6">
        <w:rPr>
          <w:rFonts w:cstheme="minorHAnsi"/>
        </w:rPr>
        <w:t>Pinto, Slevin and Prescott</w:t>
      </w:r>
      <w:r w:rsidR="007B5EC1" w:rsidRPr="00A77AF6">
        <w:rPr>
          <w:rFonts w:cstheme="minorHAnsi"/>
        </w:rPr>
        <w:t>,</w:t>
      </w:r>
      <w:r w:rsidR="005542C4" w:rsidRPr="00A77AF6">
        <w:rPr>
          <w:rFonts w:cstheme="minorHAnsi"/>
        </w:rPr>
        <w:t xml:space="preserve"> who </w:t>
      </w:r>
      <w:r w:rsidR="00534DD5" w:rsidRPr="00A77AF6">
        <w:rPr>
          <w:rFonts w:cstheme="minorHAnsi"/>
        </w:rPr>
        <w:t xml:space="preserve">have written extensively </w:t>
      </w:r>
      <w:r w:rsidR="00EB7443" w:rsidRPr="00A77AF6">
        <w:rPr>
          <w:rFonts w:cstheme="minorHAnsi"/>
        </w:rPr>
        <w:t>on CSFs</w:t>
      </w:r>
      <w:r w:rsidR="007B5EC1" w:rsidRPr="00A77AF6">
        <w:rPr>
          <w:rFonts w:cstheme="minorHAnsi"/>
        </w:rPr>
        <w:t>,</w:t>
      </w:r>
      <w:r w:rsidR="00EB7443" w:rsidRPr="00A77AF6">
        <w:rPr>
          <w:rFonts w:cstheme="minorHAnsi"/>
        </w:rPr>
        <w:t xml:space="preserve"> has been described as </w:t>
      </w:r>
      <w:r w:rsidR="00D636A6" w:rsidRPr="00A77AF6">
        <w:rPr>
          <w:rFonts w:cstheme="minorHAnsi"/>
        </w:rPr>
        <w:t xml:space="preserve">‘seminal’ </w:t>
      </w:r>
      <w:sdt>
        <w:sdtPr>
          <w:id w:val="-314334585"/>
          <w:citation/>
        </w:sdtPr>
        <w:sdtEndPr/>
        <w:sdtContent>
          <w:r w:rsidR="00D636A6" w:rsidRPr="00A77AF6">
            <w:fldChar w:fldCharType="begin"/>
          </w:r>
          <w:r w:rsidR="00D636A6" w:rsidRPr="00A77AF6">
            <w:instrText xml:space="preserve">CITATION Mul \p 762 \l 2057 </w:instrText>
          </w:r>
          <w:r w:rsidR="00D636A6" w:rsidRPr="00A77AF6">
            <w:fldChar w:fldCharType="separate"/>
          </w:r>
          <w:r w:rsidR="008E653F" w:rsidRPr="00A77AF6">
            <w:t>(Müller &amp; Jugdev, 2012, p. 762)</w:t>
          </w:r>
          <w:r w:rsidR="00D636A6" w:rsidRPr="00A77AF6">
            <w:fldChar w:fldCharType="end"/>
          </w:r>
        </w:sdtContent>
      </w:sdt>
      <w:r w:rsidR="00D636A6" w:rsidRPr="00A77AF6">
        <w:rPr>
          <w:rFonts w:cstheme="minorHAnsi"/>
        </w:rPr>
        <w:t xml:space="preserve"> </w:t>
      </w:r>
      <w:r w:rsidR="0094697C" w:rsidRPr="00A77AF6">
        <w:rPr>
          <w:rFonts w:cstheme="minorHAnsi"/>
        </w:rPr>
        <w:t>so</w:t>
      </w:r>
      <w:r w:rsidR="00C8236F" w:rsidRPr="00A77AF6">
        <w:rPr>
          <w:rFonts w:cstheme="minorHAnsi"/>
        </w:rPr>
        <w:t xml:space="preserve"> for this reason CSFs are </w:t>
      </w:r>
      <w:r w:rsidR="000F3882" w:rsidRPr="00A77AF6">
        <w:rPr>
          <w:rFonts w:cstheme="minorHAnsi"/>
        </w:rPr>
        <w:t xml:space="preserve">reviewed here. </w:t>
      </w:r>
      <w:r w:rsidR="003D3364" w:rsidRPr="00A77AF6">
        <w:rPr>
          <w:rFonts w:cstheme="minorHAnsi"/>
        </w:rPr>
        <w:t xml:space="preserve">CSFs </w:t>
      </w:r>
      <w:r w:rsidR="00AA74D2" w:rsidRPr="00A77AF6">
        <w:rPr>
          <w:rFonts w:cstheme="minorHAnsi"/>
        </w:rPr>
        <w:t xml:space="preserve">are discussed in three </w:t>
      </w:r>
      <w:r w:rsidR="00820CC6" w:rsidRPr="00A77AF6">
        <w:rPr>
          <w:rFonts w:cstheme="minorHAnsi"/>
        </w:rPr>
        <w:t xml:space="preserve">sections: CSFs generally, CSFs across the lifecycle and CSFs in </w:t>
      </w:r>
      <w:r w:rsidR="00261C06" w:rsidRPr="00A77AF6">
        <w:rPr>
          <w:rFonts w:cstheme="minorHAnsi"/>
        </w:rPr>
        <w:t xml:space="preserve">the construction industry.  </w:t>
      </w:r>
    </w:p>
    <w:p w14:paraId="424D4D53" w14:textId="66F3FB86" w:rsidR="008C0849" w:rsidRPr="00A77AF6" w:rsidRDefault="00010378" w:rsidP="0001412C">
      <w:pPr>
        <w:pStyle w:val="Heading4"/>
        <w:numPr>
          <w:ilvl w:val="0"/>
          <w:numId w:val="0"/>
        </w:numPr>
        <w:spacing w:after="120"/>
        <w:ind w:left="862" w:hanging="862"/>
      </w:pPr>
      <w:r w:rsidRPr="00A77AF6">
        <w:t xml:space="preserve">Definition </w:t>
      </w:r>
    </w:p>
    <w:p w14:paraId="3994C300" w14:textId="4A6AFA51" w:rsidR="00A96477" w:rsidRPr="00A77AF6" w:rsidRDefault="00362D55" w:rsidP="00A96477">
      <w:pPr>
        <w:spacing w:after="0" w:line="360" w:lineRule="auto"/>
      </w:pPr>
      <w:r w:rsidRPr="00A77AF6">
        <w:rPr>
          <w:rFonts w:cstheme="minorHAnsi"/>
        </w:rPr>
        <w:t xml:space="preserve">CSFs </w:t>
      </w:r>
      <w:r w:rsidR="004F1213" w:rsidRPr="00A77AF6">
        <w:rPr>
          <w:rFonts w:cstheme="minorHAnsi"/>
        </w:rPr>
        <w:t xml:space="preserve">are factors, that if in place, will help to achieve project success.  They </w:t>
      </w:r>
      <w:r w:rsidRPr="00A77AF6">
        <w:rPr>
          <w:rFonts w:cstheme="minorHAnsi"/>
        </w:rPr>
        <w:t xml:space="preserve">have </w:t>
      </w:r>
      <w:r w:rsidR="00FE5352" w:rsidRPr="00A77AF6">
        <w:rPr>
          <w:rFonts w:cstheme="minorHAnsi"/>
        </w:rPr>
        <w:t xml:space="preserve">been </w:t>
      </w:r>
      <w:r w:rsidR="00F24A8D" w:rsidRPr="00A77AF6">
        <w:rPr>
          <w:rFonts w:cstheme="minorHAnsi"/>
        </w:rPr>
        <w:t>discussed</w:t>
      </w:r>
      <w:r w:rsidR="00FE5352" w:rsidRPr="00A77AF6">
        <w:rPr>
          <w:rFonts w:cstheme="minorHAnsi"/>
        </w:rPr>
        <w:t xml:space="preserve"> since the 1970s</w:t>
      </w:r>
      <w:r w:rsidR="00E97732" w:rsidRPr="00A77AF6">
        <w:rPr>
          <w:rFonts w:cstheme="minorHAnsi"/>
        </w:rPr>
        <w:t xml:space="preserve"> </w:t>
      </w:r>
      <w:r w:rsidR="0060431E" w:rsidRPr="00A77AF6">
        <w:rPr>
          <w:rFonts w:cstheme="minorHAnsi"/>
        </w:rPr>
        <w:t>shown in</w:t>
      </w:r>
      <w:r w:rsidR="0030215F" w:rsidRPr="00A77AF6">
        <w:rPr>
          <w:rFonts w:cstheme="minorHAnsi"/>
        </w:rPr>
        <w:t xml:space="preserve"> </w:t>
      </w:r>
      <w:r w:rsidR="006C1910" w:rsidRPr="00A77AF6">
        <w:t>Belassi &amp; Tukel</w:t>
      </w:r>
      <w:r w:rsidR="0060431E" w:rsidRPr="00A77AF6">
        <w:t>’s</w:t>
      </w:r>
      <w:r w:rsidR="006C1910" w:rsidRPr="00A77AF6">
        <w:t xml:space="preserve"> (1996) summar</w:t>
      </w:r>
      <w:r w:rsidR="0060431E" w:rsidRPr="00A77AF6">
        <w:t xml:space="preserve">y </w:t>
      </w:r>
      <w:r w:rsidR="009F099B" w:rsidRPr="00A77AF6">
        <w:t xml:space="preserve">of research </w:t>
      </w:r>
      <w:r w:rsidR="00A96477" w:rsidRPr="00A77AF6">
        <w:t xml:space="preserve">on CSF </w:t>
      </w:r>
      <w:r w:rsidR="006C1910" w:rsidRPr="00A77AF6">
        <w:t>factors</w:t>
      </w:r>
      <w:r w:rsidR="00D454D4" w:rsidRPr="00A77AF6">
        <w:t xml:space="preserve"> (</w:t>
      </w:r>
      <w:r w:rsidR="0007452B" w:rsidRPr="00A77AF6">
        <w:t>Figure 4-8</w:t>
      </w:r>
      <w:r w:rsidR="00D454D4" w:rsidRPr="00A77AF6">
        <w:t>)</w:t>
      </w:r>
      <w:r w:rsidR="006C1910" w:rsidRPr="00A77AF6">
        <w:t>.</w:t>
      </w:r>
      <w:r w:rsidR="004F1213" w:rsidRPr="00A77AF6">
        <w:t xml:space="preserve"> </w:t>
      </w:r>
      <w:r w:rsidR="00A96477" w:rsidRPr="00A77AF6">
        <w:t xml:space="preserve">Table </w:t>
      </w:r>
      <w:r w:rsidR="004F1213" w:rsidRPr="00A77AF6">
        <w:t>4-</w:t>
      </w:r>
      <w:r w:rsidR="0007452B" w:rsidRPr="00A77AF6">
        <w:t>3</w:t>
      </w:r>
      <w:r w:rsidR="00A96477" w:rsidRPr="00A77AF6">
        <w:t xml:space="preserve"> shows that control systems including information exchange, scheduling, planning and review and progress meetings are cited most frequently as factors that can lead to project success.  </w:t>
      </w:r>
    </w:p>
    <w:p w14:paraId="7C08C578" w14:textId="1B099737" w:rsidR="00D454D4" w:rsidRPr="00A77AF6" w:rsidRDefault="00D454D4" w:rsidP="00FE5352">
      <w:pPr>
        <w:spacing w:after="120" w:line="360" w:lineRule="auto"/>
      </w:pPr>
    </w:p>
    <w:p w14:paraId="7AE955F2" w14:textId="77777777" w:rsidR="004F1213" w:rsidRPr="00A77AF6" w:rsidRDefault="00E543FB" w:rsidP="00F24A8D">
      <w:pPr>
        <w:keepNext/>
        <w:spacing w:after="120"/>
      </w:pPr>
      <w:r w:rsidRPr="00A77AF6">
        <w:rPr>
          <w:noProof/>
          <w:lang w:eastAsia="en-GB"/>
        </w:rPr>
        <w:lastRenderedPageBreak/>
        <w:drawing>
          <wp:inline distT="0" distB="0" distL="0" distR="0" wp14:anchorId="4415CB81" wp14:editId="55C175F3">
            <wp:extent cx="5579745" cy="3525144"/>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l="8331" t="25179" r="33348" b="17432"/>
                    <a:stretch>
                      <a:fillRect/>
                    </a:stretch>
                  </pic:blipFill>
                  <pic:spPr bwMode="auto">
                    <a:xfrm>
                      <a:off x="0" y="0"/>
                      <a:ext cx="5579745" cy="3525144"/>
                    </a:xfrm>
                    <a:prstGeom prst="rect">
                      <a:avLst/>
                    </a:prstGeom>
                    <a:noFill/>
                    <a:ln>
                      <a:noFill/>
                    </a:ln>
                  </pic:spPr>
                </pic:pic>
              </a:graphicData>
            </a:graphic>
          </wp:inline>
        </w:drawing>
      </w:r>
    </w:p>
    <w:p w14:paraId="05CF7AFD" w14:textId="0A2CB470" w:rsidR="00E543FB" w:rsidRPr="00A77AF6" w:rsidRDefault="004F1213" w:rsidP="004F1213">
      <w:pPr>
        <w:pStyle w:val="Caption"/>
      </w:pPr>
      <w:bookmarkStart w:id="100" w:name="_Toc36186972"/>
      <w:r w:rsidRPr="00A77AF6">
        <w:t xml:space="preserve">Figure </w:t>
      </w:r>
      <w:fldSimple w:instr=" STYLEREF 1 \s ">
        <w:r w:rsidR="000441F7">
          <w:rPr>
            <w:noProof/>
          </w:rPr>
          <w:t>4</w:t>
        </w:r>
      </w:fldSimple>
      <w:r w:rsidR="00BA5DC4">
        <w:noBreakHyphen/>
      </w:r>
      <w:fldSimple w:instr=" SEQ Figure \* ARABIC \s 1 ">
        <w:r w:rsidR="000441F7">
          <w:rPr>
            <w:noProof/>
          </w:rPr>
          <w:t>8</w:t>
        </w:r>
      </w:fldSimple>
      <w:r w:rsidRPr="00A77AF6">
        <w:t>: Comparison of CSF</w:t>
      </w:r>
      <w:bookmarkEnd w:id="100"/>
    </w:p>
    <w:p w14:paraId="5D1FAAC9" w14:textId="38649021" w:rsidR="00CE48D5" w:rsidRPr="00A77AF6" w:rsidRDefault="00C610E2" w:rsidP="004F1213">
      <w:pPr>
        <w:spacing w:after="0" w:line="240" w:lineRule="auto"/>
        <w:rPr>
          <w:sz w:val="20"/>
        </w:rPr>
      </w:pPr>
      <w:r w:rsidRPr="00A77AF6">
        <w:rPr>
          <w:sz w:val="20"/>
        </w:rPr>
        <w:t xml:space="preserve">Source: </w:t>
      </w:r>
      <w:r w:rsidR="00A83E44" w:rsidRPr="00A77AF6">
        <w:rPr>
          <w:sz w:val="20"/>
        </w:rPr>
        <w:t>Belassi &amp; Tukel (1996, p. 143)</w:t>
      </w:r>
    </w:p>
    <w:p w14:paraId="387EE4F1" w14:textId="77777777" w:rsidR="00FD6B66" w:rsidRPr="00A77AF6" w:rsidRDefault="00FD6B66"/>
    <w:p w14:paraId="30326049" w14:textId="63AE9478" w:rsidR="00FD6B66" w:rsidRPr="00A77AF6" w:rsidRDefault="00FD6B66" w:rsidP="00FD6B66">
      <w:pPr>
        <w:spacing w:after="0" w:line="360" w:lineRule="auto"/>
      </w:pPr>
      <w:r w:rsidRPr="00A77AF6">
        <w:t>Belassi &amp; Tukel’s  (1996) list is not exhaustive and Hayfield (1979) cited in De Wit (1988) divided critical success factors into two broad categories:  macro and micro success factors. Macro factors include realistic scoping, project definition and efficient project management whilst micro factors included policies, project organization, recruitment of the right people to the project, good management controls and reporting systems.  Slevin and Pinto (1987) developed a ‘Project Implementation Tool’ based on their original ten critical success factors which Pinto (1990) developed and published as the ‘Project Implementation Profile: a tool to aid project tracking and control’</w:t>
      </w:r>
      <w:r w:rsidR="00D52A1F" w:rsidRPr="00A77AF6">
        <w:t xml:space="preserve"> (PIP)</w:t>
      </w:r>
      <w:r w:rsidRPr="00A77AF6">
        <w:t>. This translated the ten CSFs from theory into a practical tool for use in the field to help project managers</w:t>
      </w:r>
      <w:r w:rsidR="00D52A1F" w:rsidRPr="00A77AF6">
        <w:t xml:space="preserve">, which they can use as a checklist and for monitoring at the start of a project and through its lifecycle. </w:t>
      </w:r>
      <w:r w:rsidRPr="00A77AF6">
        <w:t xml:space="preserve"> </w:t>
      </w:r>
      <w:r w:rsidR="00D52A1F" w:rsidRPr="00A77AF6">
        <w:t xml:space="preserve">The PIP was piloted </w:t>
      </w:r>
    </w:p>
    <w:p w14:paraId="17A4AAF6" w14:textId="4C1A4D20" w:rsidR="00FD6B66" w:rsidRPr="00A77AF6" w:rsidRDefault="00FD6B66" w:rsidP="00FD6B66">
      <w:pPr>
        <w:spacing w:line="240" w:lineRule="auto"/>
        <w:ind w:left="720"/>
      </w:pPr>
      <w:r w:rsidRPr="00A77AF6">
        <w:rPr>
          <w:i/>
        </w:rPr>
        <w:t>‘shown to provide an excellent additional monitoring and tracking system, stressing both the human side of the project implementation process and those factors that have been found, from an overall, strategic perspective to be critical to project success’</w:t>
      </w:r>
      <w:r w:rsidR="00461471" w:rsidRPr="00A77AF6">
        <w:rPr>
          <w:i/>
        </w:rPr>
        <w:t xml:space="preserve"> </w:t>
      </w:r>
      <w:sdt>
        <w:sdtPr>
          <w:rPr>
            <w:i/>
          </w:rPr>
          <w:id w:val="395625522"/>
          <w:citation/>
        </w:sdtPr>
        <w:sdtEndPr/>
        <w:sdtContent>
          <w:r w:rsidR="00461471" w:rsidRPr="00A77AF6">
            <w:rPr>
              <w:i/>
            </w:rPr>
            <w:fldChar w:fldCharType="begin"/>
          </w:r>
          <w:r w:rsidR="00461471" w:rsidRPr="00A77AF6">
            <w:rPr>
              <w:i/>
            </w:rPr>
            <w:instrText xml:space="preserve">CITATION Pin90 \p 177 \l 2057 </w:instrText>
          </w:r>
          <w:r w:rsidR="00461471" w:rsidRPr="00A77AF6">
            <w:rPr>
              <w:i/>
            </w:rPr>
            <w:fldChar w:fldCharType="separate"/>
          </w:r>
          <w:r w:rsidR="00461471" w:rsidRPr="00A77AF6">
            <w:t>(Pinto, 1990, p. 177)</w:t>
          </w:r>
          <w:r w:rsidR="00461471" w:rsidRPr="00A77AF6">
            <w:rPr>
              <w:i/>
            </w:rPr>
            <w:fldChar w:fldCharType="end"/>
          </w:r>
        </w:sdtContent>
      </w:sdt>
      <w:r w:rsidR="00461471" w:rsidRPr="00A77AF6">
        <w:rPr>
          <w:i/>
        </w:rPr>
        <w:t>.</w:t>
      </w:r>
    </w:p>
    <w:p w14:paraId="35F64583" w14:textId="38CCF6CD" w:rsidR="002458DD" w:rsidRPr="00A77AF6" w:rsidRDefault="002458DD" w:rsidP="002458DD">
      <w:pPr>
        <w:spacing w:line="240" w:lineRule="auto"/>
        <w:rPr>
          <w:iCs/>
        </w:rPr>
      </w:pPr>
    </w:p>
    <w:p w14:paraId="5779AA3A" w14:textId="1212E75E" w:rsidR="00E543FB" w:rsidRPr="00A77AF6" w:rsidRDefault="00E543FB">
      <w:pPr>
        <w:rPr>
          <w:i/>
          <w:iCs/>
          <w:sz w:val="18"/>
          <w:szCs w:val="18"/>
        </w:rPr>
      </w:pPr>
      <w:r w:rsidRPr="00A77AF6">
        <w:br w:type="page"/>
      </w:r>
    </w:p>
    <w:p w14:paraId="3219AC84" w14:textId="620B8B62" w:rsidR="00C536A3" w:rsidRPr="00A77AF6" w:rsidRDefault="00C536A3" w:rsidP="00A96477">
      <w:pPr>
        <w:pStyle w:val="Caption"/>
        <w:keepNext/>
        <w:spacing w:after="120"/>
      </w:pPr>
      <w:r w:rsidRPr="00A77AF6">
        <w:lastRenderedPageBreak/>
        <w:t xml:space="preserve">Table </w:t>
      </w:r>
      <w:fldSimple w:instr=" STYLEREF 1 \s ">
        <w:r w:rsidR="000441F7">
          <w:rPr>
            <w:noProof/>
          </w:rPr>
          <w:t>4</w:t>
        </w:r>
      </w:fldSimple>
      <w:r w:rsidR="00804112">
        <w:noBreakHyphen/>
      </w:r>
      <w:fldSimple w:instr=" SEQ Table \* ARABIC \s 1 ">
        <w:r w:rsidR="000441F7">
          <w:rPr>
            <w:noProof/>
          </w:rPr>
          <w:t>3</w:t>
        </w:r>
      </w:fldSimple>
      <w:r w:rsidRPr="00A77AF6">
        <w:t>: Most commonly mentioned CSF</w:t>
      </w:r>
      <w:r w:rsidR="00AB7F86" w:rsidRPr="00A77AF6">
        <w:t xml:space="preserve"> in </w:t>
      </w:r>
      <w:r w:rsidR="00AB7F86" w:rsidRPr="00A77AF6">
        <w:rPr>
          <w:sz w:val="20"/>
        </w:rPr>
        <w:t>Belassi &amp; Tukel (1996) summary</w:t>
      </w:r>
    </w:p>
    <w:tbl>
      <w:tblPr>
        <w:tblStyle w:val="TableGrid"/>
        <w:tblW w:w="0" w:type="auto"/>
        <w:tblLook w:val="04A0" w:firstRow="1" w:lastRow="0" w:firstColumn="1" w:lastColumn="0" w:noHBand="0" w:noVBand="1"/>
      </w:tblPr>
      <w:tblGrid>
        <w:gridCol w:w="4388"/>
        <w:gridCol w:w="1986"/>
      </w:tblGrid>
      <w:tr w:rsidR="00C536A3" w:rsidRPr="00A77AF6" w14:paraId="0C39F21B" w14:textId="77777777" w:rsidTr="00C536A3">
        <w:tc>
          <w:tcPr>
            <w:tcW w:w="4388" w:type="dxa"/>
            <w:shd w:val="clear" w:color="auto" w:fill="F2F2F2" w:themeFill="background1" w:themeFillShade="F2"/>
          </w:tcPr>
          <w:p w14:paraId="07BE7E86" w14:textId="77777777" w:rsidR="00C536A3" w:rsidRPr="00A77AF6" w:rsidRDefault="00C536A3" w:rsidP="00A96477">
            <w:r w:rsidRPr="00A77AF6">
              <w:t>Critical Success Factor</w:t>
            </w:r>
          </w:p>
        </w:tc>
        <w:tc>
          <w:tcPr>
            <w:tcW w:w="1986" w:type="dxa"/>
            <w:shd w:val="clear" w:color="auto" w:fill="F2F2F2" w:themeFill="background1" w:themeFillShade="F2"/>
          </w:tcPr>
          <w:p w14:paraId="32088743" w14:textId="77777777" w:rsidR="00C536A3" w:rsidRPr="00A77AF6" w:rsidRDefault="00C536A3" w:rsidP="00A96477">
            <w:r w:rsidRPr="00A77AF6">
              <w:t>No. of mentions</w:t>
            </w:r>
          </w:p>
        </w:tc>
      </w:tr>
      <w:tr w:rsidR="00C536A3" w:rsidRPr="00A77AF6" w14:paraId="21B50F69" w14:textId="77777777" w:rsidTr="00C536A3">
        <w:tc>
          <w:tcPr>
            <w:tcW w:w="4388" w:type="dxa"/>
          </w:tcPr>
          <w:p w14:paraId="2609A457" w14:textId="77777777" w:rsidR="00C536A3" w:rsidRPr="00A77AF6" w:rsidRDefault="00C536A3" w:rsidP="00A96477">
            <w:r w:rsidRPr="00A77AF6">
              <w:t>Control systems, information, communication</w:t>
            </w:r>
          </w:p>
        </w:tc>
        <w:tc>
          <w:tcPr>
            <w:tcW w:w="1986" w:type="dxa"/>
          </w:tcPr>
          <w:p w14:paraId="5AF26FBA" w14:textId="77777777" w:rsidR="00C536A3" w:rsidRPr="00A77AF6" w:rsidRDefault="00C536A3" w:rsidP="00A96477">
            <w:r w:rsidRPr="00A77AF6">
              <w:t>14</w:t>
            </w:r>
          </w:p>
        </w:tc>
      </w:tr>
      <w:tr w:rsidR="00C536A3" w:rsidRPr="00A77AF6" w14:paraId="1AE009C4" w14:textId="77777777" w:rsidTr="00C536A3">
        <w:tc>
          <w:tcPr>
            <w:tcW w:w="4388" w:type="dxa"/>
          </w:tcPr>
          <w:p w14:paraId="3A1CE4A5" w14:textId="77777777" w:rsidR="00C536A3" w:rsidRPr="00A77AF6" w:rsidRDefault="00C536A3" w:rsidP="00A96477">
            <w:r w:rsidRPr="00A77AF6">
              <w:t xml:space="preserve">Sufficient resources </w:t>
            </w:r>
          </w:p>
        </w:tc>
        <w:tc>
          <w:tcPr>
            <w:tcW w:w="1986" w:type="dxa"/>
          </w:tcPr>
          <w:p w14:paraId="017C5BF2" w14:textId="77777777" w:rsidR="00C536A3" w:rsidRPr="00A77AF6" w:rsidRDefault="00C536A3" w:rsidP="00A96477">
            <w:r w:rsidRPr="00A77AF6">
              <w:t>5</w:t>
            </w:r>
          </w:p>
        </w:tc>
      </w:tr>
      <w:tr w:rsidR="00C536A3" w:rsidRPr="00A77AF6" w14:paraId="6C1AD0D3" w14:textId="77777777" w:rsidTr="00C536A3">
        <w:tc>
          <w:tcPr>
            <w:tcW w:w="4388" w:type="dxa"/>
          </w:tcPr>
          <w:p w14:paraId="1FE3562F" w14:textId="77777777" w:rsidR="00C536A3" w:rsidRPr="00A77AF6" w:rsidRDefault="00C536A3" w:rsidP="00A96477">
            <w:r w:rsidRPr="00A77AF6">
              <w:t>Defined goals/ objectives/ commitments</w:t>
            </w:r>
          </w:p>
        </w:tc>
        <w:tc>
          <w:tcPr>
            <w:tcW w:w="1986" w:type="dxa"/>
          </w:tcPr>
          <w:p w14:paraId="6F6E0DF8" w14:textId="77777777" w:rsidR="00C536A3" w:rsidRPr="00A77AF6" w:rsidRDefault="00C536A3" w:rsidP="00A96477">
            <w:r w:rsidRPr="00A77AF6">
              <w:t>4</w:t>
            </w:r>
          </w:p>
        </w:tc>
      </w:tr>
      <w:tr w:rsidR="00C536A3" w:rsidRPr="00A77AF6" w14:paraId="145C50D0" w14:textId="77777777" w:rsidTr="00C536A3">
        <w:tc>
          <w:tcPr>
            <w:tcW w:w="4388" w:type="dxa"/>
          </w:tcPr>
          <w:p w14:paraId="5BCA1C45" w14:textId="77777777" w:rsidR="00C536A3" w:rsidRPr="00A77AF6" w:rsidRDefault="00C536A3" w:rsidP="00A96477">
            <w:r w:rsidRPr="00A77AF6">
              <w:t>Project Manager</w:t>
            </w:r>
          </w:p>
        </w:tc>
        <w:tc>
          <w:tcPr>
            <w:tcW w:w="1986" w:type="dxa"/>
          </w:tcPr>
          <w:p w14:paraId="73AB7960" w14:textId="77777777" w:rsidR="00C536A3" w:rsidRPr="00A77AF6" w:rsidRDefault="00C536A3" w:rsidP="00A96477">
            <w:r w:rsidRPr="00A77AF6">
              <w:t>4</w:t>
            </w:r>
          </w:p>
        </w:tc>
      </w:tr>
      <w:tr w:rsidR="00C536A3" w:rsidRPr="00A77AF6" w14:paraId="05E9041C" w14:textId="77777777" w:rsidTr="00C536A3">
        <w:tc>
          <w:tcPr>
            <w:tcW w:w="4388" w:type="dxa"/>
          </w:tcPr>
          <w:p w14:paraId="3494F5A2" w14:textId="77777777" w:rsidR="00C536A3" w:rsidRPr="00A77AF6" w:rsidRDefault="00C536A3" w:rsidP="00A96477">
            <w:r w:rsidRPr="00A77AF6">
              <w:t>Management support</w:t>
            </w:r>
          </w:p>
        </w:tc>
        <w:tc>
          <w:tcPr>
            <w:tcW w:w="1986" w:type="dxa"/>
          </w:tcPr>
          <w:p w14:paraId="51A018EC" w14:textId="77777777" w:rsidR="00C536A3" w:rsidRPr="00A77AF6" w:rsidRDefault="00C536A3" w:rsidP="00A96477">
            <w:r w:rsidRPr="00A77AF6">
              <w:t>3</w:t>
            </w:r>
          </w:p>
        </w:tc>
      </w:tr>
      <w:tr w:rsidR="00C536A3" w:rsidRPr="00A77AF6" w14:paraId="50BB9907" w14:textId="77777777" w:rsidTr="00C536A3">
        <w:tc>
          <w:tcPr>
            <w:tcW w:w="4388" w:type="dxa"/>
          </w:tcPr>
          <w:p w14:paraId="574F48A3" w14:textId="77777777" w:rsidR="00C536A3" w:rsidRPr="00A77AF6" w:rsidRDefault="00C536A3" w:rsidP="00A96477">
            <w:r w:rsidRPr="00A77AF6">
              <w:t>Project team</w:t>
            </w:r>
          </w:p>
        </w:tc>
        <w:tc>
          <w:tcPr>
            <w:tcW w:w="1986" w:type="dxa"/>
          </w:tcPr>
          <w:p w14:paraId="17A28456" w14:textId="77777777" w:rsidR="00C536A3" w:rsidRPr="00A77AF6" w:rsidRDefault="00C536A3" w:rsidP="00A96477">
            <w:r w:rsidRPr="00A77AF6">
              <w:t>3</w:t>
            </w:r>
          </w:p>
        </w:tc>
      </w:tr>
      <w:tr w:rsidR="00C536A3" w:rsidRPr="00A77AF6" w14:paraId="59CE87EC" w14:textId="77777777" w:rsidTr="00C536A3">
        <w:tc>
          <w:tcPr>
            <w:tcW w:w="4388" w:type="dxa"/>
          </w:tcPr>
          <w:p w14:paraId="47EA8DD0" w14:textId="77777777" w:rsidR="00C536A3" w:rsidRPr="00A77AF6" w:rsidRDefault="00C536A3" w:rsidP="00A96477">
            <w:r w:rsidRPr="00A77AF6">
              <w:t xml:space="preserve">Client acceptance/ consultation </w:t>
            </w:r>
          </w:p>
        </w:tc>
        <w:tc>
          <w:tcPr>
            <w:tcW w:w="1986" w:type="dxa"/>
          </w:tcPr>
          <w:p w14:paraId="0C4F5076" w14:textId="77777777" w:rsidR="00C536A3" w:rsidRPr="00A77AF6" w:rsidRDefault="00C536A3" w:rsidP="00A96477">
            <w:r w:rsidRPr="00A77AF6">
              <w:t>2</w:t>
            </w:r>
          </w:p>
        </w:tc>
      </w:tr>
    </w:tbl>
    <w:p w14:paraId="39DC348F" w14:textId="079B06C0" w:rsidR="002A061D" w:rsidRPr="00A77AF6" w:rsidRDefault="00C536A3" w:rsidP="0046598C">
      <w:pPr>
        <w:spacing w:line="480" w:lineRule="auto"/>
        <w:rPr>
          <w:sz w:val="20"/>
          <w:szCs w:val="20"/>
        </w:rPr>
      </w:pPr>
      <w:r w:rsidRPr="00A77AF6">
        <w:rPr>
          <w:sz w:val="20"/>
          <w:szCs w:val="20"/>
        </w:rPr>
        <w:t>Source: adapted from Belassi &amp; Tukel (1996, p. 143)</w:t>
      </w:r>
    </w:p>
    <w:p w14:paraId="47D31179" w14:textId="133B824A" w:rsidR="00690CF2" w:rsidRPr="00A77AF6" w:rsidRDefault="00690CF2" w:rsidP="003021DE">
      <w:pPr>
        <w:spacing w:line="360" w:lineRule="auto"/>
      </w:pPr>
      <w:r w:rsidRPr="00A77AF6">
        <w:t xml:space="preserve">More recently, the APM’s (2015) study identified twelve success factors: effective governance, clearly specified goals and objectives; commitment to success from all parties; capable sponsors; secure funding; thorough and considered project planning and review; a project-friendly supportive organisation; the engagement of end users and operators; competent project teams; supply chains that are aware of the needs of the project;  proven project management tools and appropriate quality standards.  </w:t>
      </w:r>
      <w:r w:rsidR="004F1213" w:rsidRPr="00A77AF6">
        <w:t xml:space="preserve">One of the </w:t>
      </w:r>
      <w:r w:rsidRPr="00A77AF6">
        <w:t>most important of</w:t>
      </w:r>
      <w:r w:rsidR="004F1213" w:rsidRPr="00A77AF6">
        <w:t xml:space="preserve"> these</w:t>
      </w:r>
      <w:r w:rsidRPr="00A77AF6">
        <w:t xml:space="preserve"> was governance, which was defined as ‘leadership, responsibilities, reporting lines and communications between all parties’ </w:t>
      </w:r>
      <w:sdt>
        <w:sdtPr>
          <w:id w:val="-916095868"/>
          <w:citation/>
        </w:sdtPr>
        <w:sdtEndPr/>
        <w:sdtContent>
          <w:r w:rsidRPr="00A77AF6">
            <w:fldChar w:fldCharType="begin"/>
          </w:r>
          <w:r w:rsidRPr="00A77AF6">
            <w:instrText xml:space="preserve">CITATION Ass15 \p 4 \l 2057 </w:instrText>
          </w:r>
          <w:r w:rsidRPr="00A77AF6">
            <w:fldChar w:fldCharType="separate"/>
          </w:r>
          <w:r w:rsidR="008E653F" w:rsidRPr="00A77AF6">
            <w:t>(APM, 2015, p. 4)</w:t>
          </w:r>
          <w:r w:rsidRPr="00A77AF6">
            <w:fldChar w:fldCharType="end"/>
          </w:r>
        </w:sdtContent>
      </w:sdt>
    </w:p>
    <w:p w14:paraId="5BC1582D" w14:textId="399B3B8B" w:rsidR="00203DE9" w:rsidRPr="00A77AF6" w:rsidRDefault="00010378" w:rsidP="004F1213">
      <w:pPr>
        <w:pStyle w:val="Heading4"/>
        <w:numPr>
          <w:ilvl w:val="0"/>
          <w:numId w:val="0"/>
        </w:numPr>
        <w:spacing w:after="120"/>
        <w:ind w:left="862" w:hanging="862"/>
      </w:pPr>
      <w:r w:rsidRPr="00A77AF6">
        <w:t>A</w:t>
      </w:r>
      <w:r w:rsidR="00203DE9" w:rsidRPr="00A77AF6">
        <w:t>cross the lifecycle</w:t>
      </w:r>
    </w:p>
    <w:p w14:paraId="607F5DAA" w14:textId="3AC62E45" w:rsidR="00B52713" w:rsidRPr="00A77AF6" w:rsidRDefault="008C0849" w:rsidP="008A7197">
      <w:pPr>
        <w:spacing w:line="360" w:lineRule="auto"/>
      </w:pPr>
      <w:r w:rsidRPr="00A77AF6">
        <w:t xml:space="preserve">Pinto and Prescott (1988) showed that the 10 CSFs previously identified by Slevin and Pinto (1987) were important at different stages in the lifecycle. </w:t>
      </w:r>
      <w:r w:rsidR="00D52A1F" w:rsidRPr="00A77AF6">
        <w:t>Figure 4-9</w:t>
      </w:r>
      <w:r w:rsidRPr="00A77AF6">
        <w:t xml:space="preserve"> shows which CSFs are important at </w:t>
      </w:r>
      <w:r w:rsidR="00D52A1F" w:rsidRPr="00A77AF6">
        <w:t xml:space="preserve">each </w:t>
      </w:r>
      <w:r w:rsidRPr="00A77AF6">
        <w:t xml:space="preserve">stage of the project lifecycle. </w:t>
      </w:r>
      <w:r w:rsidR="00B52713" w:rsidRPr="00A77AF6">
        <w:t xml:space="preserve"> The division of CSFs across the project lifecycle was an acknowledgement that different stages require different pre-requisites to aid successful project delivery. </w:t>
      </w:r>
      <w:r w:rsidR="00F35FB6" w:rsidRPr="00A77AF6">
        <w:t>The differing importance of CS</w:t>
      </w:r>
      <w:r w:rsidR="00F72B77" w:rsidRPr="00A77AF6">
        <w:t xml:space="preserve">Fs at different points throughout a project </w:t>
      </w:r>
      <w:r w:rsidR="00F35FB6" w:rsidRPr="00A77AF6">
        <w:t xml:space="preserve">reflect </w:t>
      </w:r>
      <w:r w:rsidR="00F72B77" w:rsidRPr="00A77AF6">
        <w:t xml:space="preserve">the dynamic </w:t>
      </w:r>
      <w:r w:rsidR="00F67635" w:rsidRPr="00A77AF6">
        <w:t xml:space="preserve">nature of projects and the different </w:t>
      </w:r>
      <w:r w:rsidR="008A7197" w:rsidRPr="00A77AF6">
        <w:t>priorities</w:t>
      </w:r>
      <w:r w:rsidR="00F67635" w:rsidRPr="00A77AF6">
        <w:t xml:space="preserve"> that arise</w:t>
      </w:r>
      <w:r w:rsidR="008A7197" w:rsidRPr="00A77AF6">
        <w:t xml:space="preserve"> through the lifecycle. </w:t>
      </w:r>
      <w:r w:rsidR="00B52713" w:rsidRPr="00A77AF6">
        <w:t xml:space="preserve">The recurrence of </w:t>
      </w:r>
      <w:r w:rsidR="0016226D" w:rsidRPr="00A77AF6">
        <w:t xml:space="preserve">the importance of </w:t>
      </w:r>
      <w:r w:rsidR="00B52713" w:rsidRPr="00A77AF6">
        <w:t xml:space="preserve">‘Mission’ </w:t>
      </w:r>
      <w:r w:rsidR="00B12D76" w:rsidRPr="00A77AF6">
        <w:t>and</w:t>
      </w:r>
      <w:r w:rsidR="00247B90" w:rsidRPr="00A77AF6">
        <w:t xml:space="preserve"> t</w:t>
      </w:r>
      <w:r w:rsidR="0046463F" w:rsidRPr="00A77AF6">
        <w:t>he</w:t>
      </w:r>
      <w:r w:rsidR="00B12D76" w:rsidRPr="00A77AF6">
        <w:t xml:space="preserve"> </w:t>
      </w:r>
      <w:r w:rsidR="0046463F" w:rsidRPr="00A77AF6">
        <w:t>‘</w:t>
      </w:r>
      <w:r w:rsidR="00DB6F48" w:rsidRPr="00A77AF6">
        <w:t>client</w:t>
      </w:r>
      <w:r w:rsidR="0046463F" w:rsidRPr="00A77AF6">
        <w:t xml:space="preserve">’ </w:t>
      </w:r>
      <w:r w:rsidR="00B52713" w:rsidRPr="00A77AF6">
        <w:t xml:space="preserve">throughout the project lifecycle </w:t>
      </w:r>
      <w:r w:rsidR="00EE2FB5" w:rsidRPr="00A77AF6">
        <w:t xml:space="preserve">suggest that these are major factors for project success. </w:t>
      </w:r>
      <w:r w:rsidR="00B52713" w:rsidRPr="00A77AF6">
        <w:t xml:space="preserve"> </w:t>
      </w:r>
    </w:p>
    <w:p w14:paraId="14513BA5" w14:textId="619045C2" w:rsidR="008C0849" w:rsidRPr="00A77AF6" w:rsidRDefault="00E543FB" w:rsidP="00573939">
      <w:pPr>
        <w:spacing w:line="360" w:lineRule="auto"/>
      </w:pPr>
      <w:r w:rsidRPr="00A77AF6">
        <w:rPr>
          <w:noProof/>
          <w:lang w:eastAsia="en-GB"/>
        </w:rPr>
        <w:lastRenderedPageBreak/>
        <w:drawing>
          <wp:inline distT="0" distB="0" distL="0" distR="0" wp14:anchorId="76D11A16" wp14:editId="79D6C09E">
            <wp:extent cx="5056507" cy="3190875"/>
            <wp:effectExtent l="0" t="0" r="0" b="0"/>
            <wp:docPr id="12352" name="Picture 1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6882" t="23050" r="36161" b="46708"/>
                    <a:stretch/>
                  </pic:blipFill>
                  <pic:spPr bwMode="auto">
                    <a:xfrm>
                      <a:off x="0" y="0"/>
                      <a:ext cx="5125214" cy="3234232"/>
                    </a:xfrm>
                    <a:prstGeom prst="rect">
                      <a:avLst/>
                    </a:prstGeom>
                    <a:ln>
                      <a:noFill/>
                    </a:ln>
                    <a:extLst>
                      <a:ext uri="{53640926-AAD7-44D8-BBD7-CCE9431645EC}">
                        <a14:shadowObscured xmlns:a14="http://schemas.microsoft.com/office/drawing/2010/main"/>
                      </a:ext>
                    </a:extLst>
                  </pic:spPr>
                </pic:pic>
              </a:graphicData>
            </a:graphic>
          </wp:inline>
        </w:drawing>
      </w:r>
    </w:p>
    <w:p w14:paraId="7928304C" w14:textId="1419F524" w:rsidR="008C0849" w:rsidRPr="00A77AF6" w:rsidRDefault="001140B1" w:rsidP="001140B1">
      <w:pPr>
        <w:pStyle w:val="Caption"/>
      </w:pPr>
      <w:bookmarkStart w:id="101" w:name="_Toc36186973"/>
      <w:r w:rsidRPr="00A77AF6">
        <w:t xml:space="preserve">Figure </w:t>
      </w:r>
      <w:fldSimple w:instr=" STYLEREF 1 \s ">
        <w:r w:rsidR="000441F7">
          <w:rPr>
            <w:noProof/>
          </w:rPr>
          <w:t>4</w:t>
        </w:r>
      </w:fldSimple>
      <w:r w:rsidR="00BA5DC4">
        <w:noBreakHyphen/>
      </w:r>
      <w:fldSimple w:instr=" SEQ Figure \* ARABIC \s 1 ">
        <w:r w:rsidR="000441F7">
          <w:rPr>
            <w:noProof/>
          </w:rPr>
          <w:t>9</w:t>
        </w:r>
      </w:fldSimple>
      <w:r w:rsidRPr="00A77AF6">
        <w:t xml:space="preserve">: </w:t>
      </w:r>
      <w:r w:rsidR="00C51ED0" w:rsidRPr="00A77AF6">
        <w:t>C</w:t>
      </w:r>
      <w:r w:rsidRPr="00A77AF6">
        <w:t xml:space="preserve">ritical </w:t>
      </w:r>
      <w:r w:rsidR="00C51ED0" w:rsidRPr="00A77AF6">
        <w:t>s</w:t>
      </w:r>
      <w:r w:rsidRPr="00A77AF6">
        <w:t xml:space="preserve">uccess </w:t>
      </w:r>
      <w:r w:rsidR="00C51ED0" w:rsidRPr="00A77AF6">
        <w:t>f</w:t>
      </w:r>
      <w:r w:rsidRPr="00A77AF6">
        <w:t xml:space="preserve">actors and the </w:t>
      </w:r>
      <w:r w:rsidR="00C51ED0" w:rsidRPr="00A77AF6">
        <w:t>p</w:t>
      </w:r>
      <w:r w:rsidRPr="00A77AF6">
        <w:t xml:space="preserve">roject </w:t>
      </w:r>
      <w:r w:rsidR="00C51ED0" w:rsidRPr="00A77AF6">
        <w:t>l</w:t>
      </w:r>
      <w:r w:rsidRPr="00A77AF6">
        <w:t>ifecycle</w:t>
      </w:r>
      <w:bookmarkEnd w:id="101"/>
    </w:p>
    <w:p w14:paraId="15D1C115" w14:textId="0EE98FB2" w:rsidR="008C0849" w:rsidRPr="00A77AF6" w:rsidRDefault="001140B1" w:rsidP="008C0849">
      <w:pPr>
        <w:spacing w:line="480" w:lineRule="auto"/>
        <w:rPr>
          <w:sz w:val="20"/>
        </w:rPr>
      </w:pPr>
      <w:r w:rsidRPr="00A77AF6">
        <w:rPr>
          <w:sz w:val="20"/>
        </w:rPr>
        <w:t xml:space="preserve">Source: </w:t>
      </w:r>
      <w:r w:rsidR="008C0849" w:rsidRPr="00A77AF6">
        <w:rPr>
          <w:sz w:val="20"/>
        </w:rPr>
        <w:t>Pinto &amp; Prescott (1988, p. 14)</w:t>
      </w:r>
    </w:p>
    <w:p w14:paraId="73AB53F4" w14:textId="05A9F785" w:rsidR="001A04E6" w:rsidRPr="00A77AF6" w:rsidRDefault="00010378" w:rsidP="00324A1A">
      <w:pPr>
        <w:pStyle w:val="Heading4"/>
        <w:numPr>
          <w:ilvl w:val="0"/>
          <w:numId w:val="0"/>
        </w:numPr>
        <w:spacing w:after="120"/>
        <w:ind w:left="862" w:hanging="862"/>
      </w:pPr>
      <w:r w:rsidRPr="00A77AF6">
        <w:t>I</w:t>
      </w:r>
      <w:r w:rsidR="00F94EBC" w:rsidRPr="00A77AF6">
        <w:t>n construction projects</w:t>
      </w:r>
    </w:p>
    <w:p w14:paraId="7C84C56B" w14:textId="55A7F3CB" w:rsidR="006D34E8" w:rsidRPr="00A77AF6" w:rsidRDefault="00061664" w:rsidP="006D34E8">
      <w:pPr>
        <w:spacing w:after="0" w:line="360" w:lineRule="auto"/>
      </w:pPr>
      <w:r w:rsidRPr="00A77AF6">
        <w:t xml:space="preserve">Pinto and Covin (1999) </w:t>
      </w:r>
      <w:r w:rsidR="00A7761E" w:rsidRPr="00A77AF6">
        <w:t xml:space="preserve">test the 14 factors in the project </w:t>
      </w:r>
      <w:r w:rsidR="00DC52ED">
        <w:t>i</w:t>
      </w:r>
      <w:r w:rsidR="00A7761E" w:rsidRPr="00A77AF6">
        <w:t xml:space="preserve">mplementation </w:t>
      </w:r>
      <w:r w:rsidR="00CA29B5" w:rsidRPr="00A77AF6">
        <w:t>p</w:t>
      </w:r>
      <w:r w:rsidR="00A7761E" w:rsidRPr="00A77AF6">
        <w:t xml:space="preserve">rofile on </w:t>
      </w:r>
      <w:r w:rsidR="00DC52ED">
        <w:t>research and developments (</w:t>
      </w:r>
      <w:r w:rsidR="00A7761E" w:rsidRPr="00A77AF6">
        <w:t>R&amp;D</w:t>
      </w:r>
      <w:r w:rsidR="00DC52ED">
        <w:t xml:space="preserve">) projects </w:t>
      </w:r>
      <w:r w:rsidR="00A7761E" w:rsidRPr="00A77AF6">
        <w:t xml:space="preserve">and construction projects to establish if the importance of CSFs differed between them </w:t>
      </w:r>
      <w:r w:rsidR="00DC52ED">
        <w:t xml:space="preserve">and </w:t>
      </w:r>
      <w:r w:rsidR="00A7761E" w:rsidRPr="00A77AF6">
        <w:t>at different stages of the project.  Results suggested that ‘mission’ was the only predictor of project success for construction projects in the conceptual stage</w:t>
      </w:r>
      <w:r w:rsidR="00106546" w:rsidRPr="00A77AF6">
        <w:t xml:space="preserve">, whereas mission, client consultation, personnel and urgency were predictors for R&amp;D projects in the same stage.  In the execution phase of construction projects, missions, schedule, client consultation and client acceptability were CSFs, but in R&amp;D CSFs were mission, technical tasks and top management support.  This study suggests that projects in different sectors have different CSFs.  </w:t>
      </w:r>
      <w:r w:rsidR="00AC5067" w:rsidRPr="00A77AF6">
        <w:t xml:space="preserve">Morris &amp; Hugh (1986) suggested </w:t>
      </w:r>
      <w:r w:rsidR="006D34E8" w:rsidRPr="00A77AF6">
        <w:t xml:space="preserve">that CSFs in construction projects are </w:t>
      </w:r>
      <w:r w:rsidR="00AC5067" w:rsidRPr="00A77AF6">
        <w:t>r</w:t>
      </w:r>
      <w:r w:rsidR="0072568A" w:rsidRPr="00A77AF6">
        <w:t xml:space="preserve">ealistic goal setting, </w:t>
      </w:r>
      <w:r w:rsidR="00224521" w:rsidRPr="00A77AF6">
        <w:t xml:space="preserve">the implementation process and </w:t>
      </w:r>
      <w:r w:rsidR="0072568A" w:rsidRPr="00A77AF6">
        <w:t>client satisfaction</w:t>
      </w:r>
      <w:r w:rsidR="006D34E8" w:rsidRPr="00A77AF6">
        <w:t xml:space="preserve">. Ashely et al (1986) cited in </w:t>
      </w:r>
      <w:r w:rsidR="00E927E1" w:rsidRPr="00A77AF6">
        <w:t>de</w:t>
      </w:r>
      <w:r w:rsidR="006D34E8" w:rsidRPr="00A77AF6">
        <w:t xml:space="preserve"> Wit (1988 p</w:t>
      </w:r>
      <w:r w:rsidR="00461471" w:rsidRPr="00A77AF6">
        <w:t xml:space="preserve">. </w:t>
      </w:r>
      <w:r w:rsidR="006D34E8" w:rsidRPr="00A77AF6">
        <w:t xml:space="preserve">165) identified seven factors: </w:t>
      </w:r>
    </w:p>
    <w:p w14:paraId="410BAE1E" w14:textId="0A0DE138" w:rsidR="006D34E8" w:rsidRPr="00A77AF6" w:rsidRDefault="006D34E8" w:rsidP="006D34E8">
      <w:pPr>
        <w:spacing w:after="120" w:line="240" w:lineRule="auto"/>
        <w:ind w:left="720"/>
      </w:pPr>
      <w:r w:rsidRPr="00A77AF6">
        <w:rPr>
          <w:i/>
        </w:rPr>
        <w:t xml:space="preserve">‘planning (construction); planning (design); project management goal commitment; project team motivation; project manager technical capabilities; scope and work definition and control systems’ </w:t>
      </w:r>
    </w:p>
    <w:p w14:paraId="637EFCE4" w14:textId="1433451A" w:rsidR="006D04A7" w:rsidRPr="00A77AF6" w:rsidRDefault="006D34E8" w:rsidP="00467B27">
      <w:pPr>
        <w:spacing w:after="0" w:line="360" w:lineRule="auto"/>
      </w:pPr>
      <w:r w:rsidRPr="00A77AF6">
        <w:t xml:space="preserve">Songer &amp; Molenaar (1997) argued that </w:t>
      </w:r>
      <w:r w:rsidR="00AC5067" w:rsidRPr="00A77AF6">
        <w:t>well-defined scope, adequate owner staffing, established budget, established completion date</w:t>
      </w:r>
      <w:r w:rsidRPr="00A77AF6">
        <w:t xml:space="preserve"> and the project</w:t>
      </w:r>
      <w:r w:rsidR="00AC5067" w:rsidRPr="00A77AF6">
        <w:t xml:space="preserve"> owner’s knowledge of construction </w:t>
      </w:r>
      <w:r w:rsidRPr="00A77AF6">
        <w:t xml:space="preserve">were CSFs.  </w:t>
      </w:r>
      <w:r w:rsidR="00AC5067" w:rsidRPr="00A77AF6">
        <w:t>Dainty, et al</w:t>
      </w:r>
      <w:r w:rsidR="00B719CF" w:rsidRPr="00A77AF6">
        <w:t xml:space="preserve"> </w:t>
      </w:r>
      <w:r w:rsidR="00AC5067" w:rsidRPr="00A77AF6">
        <w:t xml:space="preserve">(2003) </w:t>
      </w:r>
      <w:r w:rsidR="004A4D5D" w:rsidRPr="00A77AF6">
        <w:t>identified</w:t>
      </w:r>
      <w:r w:rsidR="00AC5067" w:rsidRPr="00A77AF6">
        <w:t xml:space="preserve"> teambuilding</w:t>
      </w:r>
      <w:r w:rsidR="0072568A" w:rsidRPr="00A77AF6">
        <w:t xml:space="preserve">, leadership, decision making, trust, </w:t>
      </w:r>
      <w:r w:rsidR="003D0830" w:rsidRPr="00A77AF6">
        <w:t>honesty, integrity</w:t>
      </w:r>
      <w:r w:rsidR="0072568A" w:rsidRPr="00A77AF6">
        <w:t xml:space="preserve"> and effective communication</w:t>
      </w:r>
      <w:r w:rsidR="00AC5067" w:rsidRPr="00A77AF6">
        <w:t xml:space="preserve"> as </w:t>
      </w:r>
      <w:r w:rsidRPr="00A77AF6">
        <w:t xml:space="preserve">CSFs in construction.  </w:t>
      </w:r>
      <w:r w:rsidR="008F25DD" w:rsidRPr="00A77AF6">
        <w:t xml:space="preserve">The implication for managers is to </w:t>
      </w:r>
      <w:r w:rsidR="008F25DD" w:rsidRPr="00A77AF6">
        <w:lastRenderedPageBreak/>
        <w:t xml:space="preserve">know which CSFs are important so that they can ensure they are actively </w:t>
      </w:r>
      <w:r w:rsidR="005300D4" w:rsidRPr="00A77AF6">
        <w:t>managed,</w:t>
      </w:r>
      <w:r w:rsidR="00D52A1F" w:rsidRPr="00A77AF6">
        <w:t xml:space="preserve"> but</w:t>
      </w:r>
      <w:r w:rsidRPr="00A77AF6">
        <w:t xml:space="preserve"> the variety of CSFs may make selection of appropriate CSFS problematic. </w:t>
      </w:r>
    </w:p>
    <w:p w14:paraId="34F7CF4D" w14:textId="3883C6CF" w:rsidR="006D34E8" w:rsidRPr="00A77AF6" w:rsidRDefault="006D34E8" w:rsidP="00070D70">
      <w:pPr>
        <w:spacing w:after="0" w:line="360" w:lineRule="auto"/>
        <w:rPr>
          <w:rFonts w:cstheme="minorHAnsi"/>
        </w:rPr>
      </w:pPr>
      <w:r w:rsidRPr="00A77AF6">
        <w:t>Flyvbjerg (2003) argued that</w:t>
      </w:r>
      <w:r w:rsidR="00D52A1F" w:rsidRPr="00A77AF6">
        <w:t xml:space="preserve"> the</w:t>
      </w:r>
      <w:r w:rsidRPr="00A77AF6">
        <w:t xml:space="preserve"> large random element to</w:t>
      </w:r>
      <w:r w:rsidR="007A4006" w:rsidRPr="00A77AF6">
        <w:t xml:space="preserve"> construction</w:t>
      </w:r>
      <w:r w:rsidRPr="00A77AF6">
        <w:t xml:space="preserve"> projects </w:t>
      </w:r>
      <w:r w:rsidR="00D52A1F" w:rsidRPr="00A77AF6">
        <w:t xml:space="preserve">make </w:t>
      </w:r>
      <w:r w:rsidR="00467B27" w:rsidRPr="00A77AF6">
        <w:t xml:space="preserve">it unrealistic to </w:t>
      </w:r>
      <w:r w:rsidRPr="00A77AF6">
        <w:t>discuss cause and effect</w:t>
      </w:r>
      <w:r w:rsidR="00D52A1F" w:rsidRPr="00A77AF6">
        <w:t xml:space="preserve">. </w:t>
      </w:r>
      <w:r w:rsidR="00467B27" w:rsidRPr="00A77AF6">
        <w:t xml:space="preserve">CSFs established by project managers cannot predictably lead to project success because of the </w:t>
      </w:r>
      <w:r w:rsidR="0032694F" w:rsidRPr="00A77AF6">
        <w:t>large number of</w:t>
      </w:r>
      <w:r w:rsidR="00467B27" w:rsidRPr="00A77AF6">
        <w:t xml:space="preserve"> external variables that impact projects, such </w:t>
      </w:r>
      <w:r w:rsidR="00C06CD3" w:rsidRPr="00A77AF6">
        <w:t xml:space="preserve">as </w:t>
      </w:r>
      <w:r w:rsidR="00467B27" w:rsidRPr="00A77AF6">
        <w:t>political intervention, economic factors and natural disasters.</w:t>
      </w:r>
      <w:r w:rsidR="00D52A1F" w:rsidRPr="00A77AF6">
        <w:t xml:space="preserve"> </w:t>
      </w:r>
      <w:r w:rsidR="00467B27" w:rsidRPr="00A77AF6">
        <w:t xml:space="preserve"> </w:t>
      </w:r>
      <w:r w:rsidR="00D52A1F" w:rsidRPr="00A77AF6">
        <w:t>Flyvbjerg’s</w:t>
      </w:r>
      <w:r w:rsidR="00467B27" w:rsidRPr="00A77AF6">
        <w:t xml:space="preserve"> (2003) criticisms can be levelled at Pinto and Slevin</w:t>
      </w:r>
      <w:r w:rsidR="00E927E1" w:rsidRPr="00A77AF6">
        <w:t>’</w:t>
      </w:r>
      <w:r w:rsidR="00467B27" w:rsidRPr="00A77AF6">
        <w:t>s (1989) CSF</w:t>
      </w:r>
      <w:r w:rsidR="00D52A1F" w:rsidRPr="00A77AF6">
        <w:t>, f</w:t>
      </w:r>
      <w:r w:rsidR="00467B27" w:rsidRPr="00A77AF6">
        <w:t>or w</w:t>
      </w:r>
      <w:r w:rsidRPr="00A77AF6">
        <w:t>hilst Pinto and Slevin (1989) identif</w:t>
      </w:r>
      <w:r w:rsidR="00467B27" w:rsidRPr="00A77AF6">
        <w:t xml:space="preserve">ied </w:t>
      </w:r>
      <w:r w:rsidRPr="00A77AF6">
        <w:t>‘power and politics’ within the procuring organisation as a CSF, they defined it as an inward-looking rather than outward-looking factor</w:t>
      </w:r>
      <w:r w:rsidR="00467B27" w:rsidRPr="00A77AF6">
        <w:t xml:space="preserve">.  In this respect </w:t>
      </w:r>
      <w:r w:rsidRPr="00A77AF6">
        <w:t xml:space="preserve">insufficient emphasis </w:t>
      </w:r>
      <w:r w:rsidR="00467B27" w:rsidRPr="00A77AF6">
        <w:t>is</w:t>
      </w:r>
      <w:r w:rsidRPr="00A77AF6">
        <w:t xml:space="preserve"> placed on the wider environment within which organisations carry out their projects</w:t>
      </w:r>
      <w:r w:rsidR="00467B27" w:rsidRPr="00A77AF6">
        <w:t>.</w:t>
      </w:r>
      <w:r w:rsidRPr="00A77AF6">
        <w:t xml:space="preserve">  This </w:t>
      </w:r>
      <w:r w:rsidR="00467B27" w:rsidRPr="00A77AF6">
        <w:t xml:space="preserve">apparent lack </w:t>
      </w:r>
      <w:r w:rsidRPr="00A77AF6">
        <w:t xml:space="preserve">of consideration </w:t>
      </w:r>
      <w:r w:rsidR="00467B27" w:rsidRPr="00A77AF6">
        <w:t xml:space="preserve">of </w:t>
      </w:r>
      <w:r w:rsidRPr="00A77AF6">
        <w:t xml:space="preserve">external factors </w:t>
      </w:r>
      <w:r w:rsidR="00467B27" w:rsidRPr="00A77AF6">
        <w:t xml:space="preserve">suggest </w:t>
      </w:r>
      <w:r w:rsidRPr="00A77AF6">
        <w:t>that CSFs need to be augmented by other tools for effective planning</w:t>
      </w:r>
      <w:r w:rsidR="007A4006" w:rsidRPr="00A77AF6">
        <w:t>, or a</w:t>
      </w:r>
      <w:r w:rsidR="00467B27" w:rsidRPr="00A77AF6">
        <w:t>lternatively</w:t>
      </w:r>
      <w:r w:rsidRPr="00A77AF6">
        <w:t>,</w:t>
      </w:r>
      <w:r w:rsidR="00467B27" w:rsidRPr="00A77AF6">
        <w:t xml:space="preserve"> </w:t>
      </w:r>
      <w:r w:rsidR="007A4006" w:rsidRPr="00A77AF6">
        <w:t xml:space="preserve">it should be </w:t>
      </w:r>
      <w:r w:rsidRPr="00A77AF6">
        <w:t>accept</w:t>
      </w:r>
      <w:r w:rsidR="007A4006" w:rsidRPr="00A77AF6">
        <w:t xml:space="preserve">ed </w:t>
      </w:r>
      <w:r w:rsidRPr="00A77AF6">
        <w:t xml:space="preserve">that the ability to plan predictable projects will always be limited.   </w:t>
      </w:r>
      <w:r w:rsidR="00467B27" w:rsidRPr="00A77AF6">
        <w:rPr>
          <w:rFonts w:cstheme="minorHAnsi"/>
        </w:rPr>
        <w:t>The other problem with the development of CSFs as contributors to project success has been the lack of definition of what success is.  In Pinto and Slevin’s (1987) study project</w:t>
      </w:r>
      <w:r w:rsidRPr="00A77AF6">
        <w:rPr>
          <w:rFonts w:cstheme="minorHAnsi"/>
        </w:rPr>
        <w:t xml:space="preserve"> managers were asked to think of a successful project and </w:t>
      </w:r>
      <w:r w:rsidR="000D1EFF" w:rsidRPr="00A77AF6">
        <w:rPr>
          <w:rFonts w:cstheme="minorHAnsi"/>
        </w:rPr>
        <w:t>say</w:t>
      </w:r>
      <w:r w:rsidRPr="00A77AF6">
        <w:rPr>
          <w:rFonts w:cstheme="minorHAnsi"/>
        </w:rPr>
        <w:t xml:space="preserve"> w</w:t>
      </w:r>
      <w:r w:rsidR="00467B27" w:rsidRPr="00A77AF6">
        <w:rPr>
          <w:rFonts w:cstheme="minorHAnsi"/>
        </w:rPr>
        <w:t xml:space="preserve">hat had </w:t>
      </w:r>
      <w:r w:rsidRPr="00A77AF6">
        <w:rPr>
          <w:rFonts w:cstheme="minorHAnsi"/>
        </w:rPr>
        <w:t>made it successful.  Pinto and Slevin (1987) stated</w:t>
      </w:r>
      <w:r w:rsidR="00C2350D" w:rsidRPr="00A77AF6">
        <w:rPr>
          <w:rFonts w:cstheme="minorHAnsi"/>
        </w:rPr>
        <w:t xml:space="preserve"> that</w:t>
      </w:r>
      <w:r w:rsidRPr="00A77AF6">
        <w:rPr>
          <w:rFonts w:cstheme="minorHAnsi"/>
        </w:rPr>
        <w:t xml:space="preserve">: </w:t>
      </w:r>
    </w:p>
    <w:p w14:paraId="21D881D5" w14:textId="4835CD2F" w:rsidR="006D34E8" w:rsidRPr="00A77AF6" w:rsidRDefault="006D34E8" w:rsidP="00CC7350">
      <w:pPr>
        <w:tabs>
          <w:tab w:val="num" w:pos="720"/>
          <w:tab w:val="num" w:pos="1440"/>
        </w:tabs>
        <w:spacing w:after="240" w:line="240" w:lineRule="auto"/>
        <w:ind w:left="720"/>
        <w:rPr>
          <w:rFonts w:cstheme="minorHAnsi"/>
        </w:rPr>
      </w:pPr>
      <w:r w:rsidRPr="00A77AF6">
        <w:rPr>
          <w:rFonts w:cstheme="minorHAnsi"/>
          <w:i/>
        </w:rPr>
        <w:t>‘the subjects were involved in a projective exercise and consequently were permitted to interpret success according to their own past experiences.  Responses were analysed and a set of ten factors CSF identified</w:t>
      </w:r>
      <w:sdt>
        <w:sdtPr>
          <w:rPr>
            <w:rFonts w:cstheme="minorHAnsi"/>
          </w:rPr>
          <w:id w:val="449064422"/>
          <w:citation/>
        </w:sdtPr>
        <w:sdtEndPr/>
        <w:sdtContent>
          <w:r w:rsidRPr="00A77AF6">
            <w:rPr>
              <w:rFonts w:cstheme="minorHAnsi"/>
            </w:rPr>
            <w:fldChar w:fldCharType="begin"/>
          </w:r>
          <w:r w:rsidRPr="00A77AF6">
            <w:rPr>
              <w:rFonts w:cstheme="minorHAnsi"/>
            </w:rPr>
            <w:instrText xml:space="preserve">CITATION Pin87 \p 24 \l 2057 </w:instrText>
          </w:r>
          <w:r w:rsidRPr="00A77AF6">
            <w:rPr>
              <w:rFonts w:cstheme="minorHAnsi"/>
            </w:rPr>
            <w:fldChar w:fldCharType="separate"/>
          </w:r>
          <w:r w:rsidR="008E653F" w:rsidRPr="00A77AF6">
            <w:rPr>
              <w:rFonts w:cstheme="minorHAnsi"/>
            </w:rPr>
            <w:t xml:space="preserve"> (Slevin &amp; Pinto, 1987, p. 24)</w:t>
          </w:r>
          <w:r w:rsidRPr="00A77AF6">
            <w:rPr>
              <w:rFonts w:cstheme="minorHAnsi"/>
            </w:rPr>
            <w:fldChar w:fldCharType="end"/>
          </w:r>
        </w:sdtContent>
      </w:sdt>
      <w:r w:rsidRPr="00A77AF6">
        <w:rPr>
          <w:rFonts w:cstheme="minorHAnsi"/>
        </w:rPr>
        <w:t xml:space="preserve"> </w:t>
      </w:r>
    </w:p>
    <w:p w14:paraId="09F99F73" w14:textId="7B0358FA" w:rsidR="006D34E8" w:rsidRPr="00A77AF6" w:rsidRDefault="006D34E8" w:rsidP="00CE5BA5">
      <w:pPr>
        <w:tabs>
          <w:tab w:val="num" w:pos="720"/>
          <w:tab w:val="num" w:pos="1440"/>
        </w:tabs>
        <w:spacing w:line="360" w:lineRule="auto"/>
        <w:rPr>
          <w:rFonts w:cstheme="minorHAnsi"/>
        </w:rPr>
      </w:pPr>
      <w:r w:rsidRPr="00A77AF6">
        <w:rPr>
          <w:rFonts w:cstheme="minorHAnsi"/>
        </w:rPr>
        <w:t xml:space="preserve">This is </w:t>
      </w:r>
      <w:r w:rsidR="004972A5" w:rsidRPr="00A77AF6">
        <w:rPr>
          <w:rFonts w:cstheme="minorHAnsi"/>
        </w:rPr>
        <w:t xml:space="preserve">potentially </w:t>
      </w:r>
      <w:r w:rsidRPr="00A77AF6">
        <w:rPr>
          <w:rFonts w:cstheme="minorHAnsi"/>
        </w:rPr>
        <w:t xml:space="preserve">problematic, because if it </w:t>
      </w:r>
      <w:r w:rsidR="00CE5BA5" w:rsidRPr="00A77AF6">
        <w:rPr>
          <w:rFonts w:cstheme="minorHAnsi"/>
        </w:rPr>
        <w:t xml:space="preserve">is not known </w:t>
      </w:r>
      <w:r w:rsidRPr="00A77AF6">
        <w:rPr>
          <w:rFonts w:cstheme="minorHAnsi"/>
        </w:rPr>
        <w:t>how respondents judg</w:t>
      </w:r>
      <w:r w:rsidR="000D1EFF" w:rsidRPr="00A77AF6">
        <w:rPr>
          <w:rFonts w:cstheme="minorHAnsi"/>
        </w:rPr>
        <w:t xml:space="preserve">e </w:t>
      </w:r>
      <w:r w:rsidRPr="00A77AF6">
        <w:rPr>
          <w:rFonts w:cstheme="minorHAnsi"/>
        </w:rPr>
        <w:t xml:space="preserve">success, </w:t>
      </w:r>
      <w:r w:rsidR="007A4006" w:rsidRPr="00A77AF6">
        <w:rPr>
          <w:rFonts w:cstheme="minorHAnsi"/>
        </w:rPr>
        <w:t xml:space="preserve">it cannot be </w:t>
      </w:r>
      <w:r w:rsidR="00434810" w:rsidRPr="00A77AF6">
        <w:rPr>
          <w:rFonts w:cstheme="minorHAnsi"/>
        </w:rPr>
        <w:t>known</w:t>
      </w:r>
      <w:r w:rsidR="007A4006" w:rsidRPr="00A77AF6">
        <w:rPr>
          <w:rFonts w:cstheme="minorHAnsi"/>
        </w:rPr>
        <w:t xml:space="preserve"> what type</w:t>
      </w:r>
      <w:r w:rsidR="000D1EFF" w:rsidRPr="00A77AF6">
        <w:rPr>
          <w:rFonts w:cstheme="minorHAnsi"/>
        </w:rPr>
        <w:t xml:space="preserve"> of </w:t>
      </w:r>
      <w:r w:rsidRPr="00A77AF6">
        <w:rPr>
          <w:rFonts w:cstheme="minorHAnsi"/>
        </w:rPr>
        <w:t xml:space="preserve">success CSFs are delivering.   </w:t>
      </w:r>
      <w:r w:rsidR="00CE5BA5" w:rsidRPr="00A77AF6">
        <w:rPr>
          <w:rFonts w:cstheme="minorHAnsi"/>
        </w:rPr>
        <w:t>I</w:t>
      </w:r>
      <w:r w:rsidRPr="00A77AF6">
        <w:rPr>
          <w:rFonts w:cstheme="minorHAnsi"/>
        </w:rPr>
        <w:t>t is impossible to know from Slevin and Pinto’s (1987) study whether the project managers</w:t>
      </w:r>
      <w:r w:rsidR="00CE5BA5" w:rsidRPr="00A77AF6">
        <w:rPr>
          <w:rFonts w:cstheme="minorHAnsi"/>
        </w:rPr>
        <w:t xml:space="preserve"> </w:t>
      </w:r>
      <w:r w:rsidRPr="00A77AF6">
        <w:rPr>
          <w:rFonts w:cstheme="minorHAnsi"/>
        </w:rPr>
        <w:t xml:space="preserve">were thinking of the iron triangle, or </w:t>
      </w:r>
      <w:r w:rsidR="007A4006" w:rsidRPr="00A77AF6">
        <w:rPr>
          <w:rFonts w:cstheme="minorHAnsi"/>
        </w:rPr>
        <w:t>another</w:t>
      </w:r>
      <w:r w:rsidRPr="00A77AF6">
        <w:rPr>
          <w:rFonts w:cstheme="minorHAnsi"/>
        </w:rPr>
        <w:t xml:space="preserve"> measure of success</w:t>
      </w:r>
      <w:r w:rsidR="007A4006" w:rsidRPr="00A77AF6">
        <w:rPr>
          <w:rFonts w:cstheme="minorHAnsi"/>
        </w:rPr>
        <w:t xml:space="preserve"> such as project completion nor </w:t>
      </w:r>
      <w:r w:rsidRPr="00A77AF6">
        <w:rPr>
          <w:rFonts w:cstheme="minorHAnsi"/>
        </w:rPr>
        <w:t xml:space="preserve">whether they were making a judgement of success at the project or organisational level.  </w:t>
      </w:r>
      <w:r w:rsidR="000D1EFF" w:rsidRPr="00A77AF6">
        <w:rPr>
          <w:rFonts w:cstheme="minorHAnsi"/>
        </w:rPr>
        <w:t>I</w:t>
      </w:r>
      <w:r w:rsidRPr="00A77AF6">
        <w:rPr>
          <w:rFonts w:cstheme="minorHAnsi"/>
        </w:rPr>
        <w:t xml:space="preserve">t </w:t>
      </w:r>
      <w:r w:rsidR="005300D4" w:rsidRPr="00A77AF6">
        <w:rPr>
          <w:rFonts w:cstheme="minorHAnsi"/>
        </w:rPr>
        <w:t xml:space="preserve">would </w:t>
      </w:r>
      <w:r w:rsidR="000D1EFF" w:rsidRPr="00A77AF6">
        <w:rPr>
          <w:rFonts w:cstheme="minorHAnsi"/>
        </w:rPr>
        <w:t xml:space="preserve">appear </w:t>
      </w:r>
      <w:r w:rsidRPr="00A77AF6">
        <w:rPr>
          <w:rFonts w:cstheme="minorHAnsi"/>
        </w:rPr>
        <w:t xml:space="preserve">difficult to measure the impact of CSF on project success, when there is no common understanding of what success is.  </w:t>
      </w:r>
    </w:p>
    <w:p w14:paraId="407B29E3" w14:textId="33281A1B" w:rsidR="00CA4709" w:rsidRPr="00A77AF6" w:rsidRDefault="00CA4709" w:rsidP="007A4006">
      <w:pPr>
        <w:pStyle w:val="Heading3"/>
        <w:spacing w:after="120"/>
      </w:pPr>
      <w:bookmarkStart w:id="102" w:name="_Toc36275086"/>
      <w:r w:rsidRPr="00A77AF6">
        <w:t xml:space="preserve">The </w:t>
      </w:r>
      <w:r w:rsidR="00136458" w:rsidRPr="00A77AF6">
        <w:t xml:space="preserve">role of the </w:t>
      </w:r>
      <w:r w:rsidRPr="00A77AF6">
        <w:t xml:space="preserve">project manager </w:t>
      </w:r>
      <w:r w:rsidR="00136458" w:rsidRPr="00A77AF6">
        <w:t>in project success.</w:t>
      </w:r>
      <w:bookmarkEnd w:id="102"/>
      <w:r w:rsidR="00136458" w:rsidRPr="00A77AF6">
        <w:t xml:space="preserve"> </w:t>
      </w:r>
      <w:r w:rsidRPr="00A77AF6">
        <w:t xml:space="preserve"> </w:t>
      </w:r>
    </w:p>
    <w:p w14:paraId="54B3CD61" w14:textId="17E30D8C" w:rsidR="00F346FB" w:rsidRPr="00A77AF6" w:rsidRDefault="00911A97" w:rsidP="007A4006">
      <w:pPr>
        <w:spacing w:after="0" w:line="360" w:lineRule="auto"/>
        <w:rPr>
          <w:rFonts w:cstheme="minorHAnsi"/>
        </w:rPr>
      </w:pPr>
      <w:r w:rsidRPr="00A77AF6">
        <w:rPr>
          <w:rFonts w:cstheme="minorHAnsi"/>
        </w:rPr>
        <w:t>It has</w:t>
      </w:r>
      <w:r w:rsidR="00457466" w:rsidRPr="00A77AF6">
        <w:rPr>
          <w:rFonts w:cstheme="minorHAnsi"/>
        </w:rPr>
        <w:t xml:space="preserve"> </w:t>
      </w:r>
      <w:r w:rsidRPr="00A77AF6">
        <w:rPr>
          <w:rFonts w:cstheme="minorHAnsi"/>
        </w:rPr>
        <w:t xml:space="preserve">been argued that the influence of project managers </w:t>
      </w:r>
      <w:r w:rsidR="00457466" w:rsidRPr="00A77AF6">
        <w:rPr>
          <w:rFonts w:cstheme="minorHAnsi"/>
        </w:rPr>
        <w:t xml:space="preserve">on project success has not been </w:t>
      </w:r>
      <w:r w:rsidRPr="00A77AF6">
        <w:rPr>
          <w:rFonts w:cstheme="minorHAnsi"/>
        </w:rPr>
        <w:t xml:space="preserve">has not been proven, perhaps because the transient nature of projects means a leader has less importance, </w:t>
      </w:r>
      <w:r w:rsidR="00C65708" w:rsidRPr="00A77AF6">
        <w:rPr>
          <w:rFonts w:cstheme="minorHAnsi"/>
        </w:rPr>
        <w:t xml:space="preserve">partly because </w:t>
      </w:r>
      <w:r w:rsidRPr="00A77AF6">
        <w:rPr>
          <w:rFonts w:cstheme="minorHAnsi"/>
        </w:rPr>
        <w:t xml:space="preserve">the impact of project managers </w:t>
      </w:r>
      <w:r w:rsidR="00C65708" w:rsidRPr="00A77AF6">
        <w:rPr>
          <w:rFonts w:cstheme="minorHAnsi"/>
        </w:rPr>
        <w:t>has not been sufficiently resear</w:t>
      </w:r>
      <w:r w:rsidR="007D0039" w:rsidRPr="00A77AF6">
        <w:rPr>
          <w:rFonts w:cstheme="minorHAnsi"/>
        </w:rPr>
        <w:t>ched and is therefore un</w:t>
      </w:r>
      <w:r w:rsidRPr="00A77AF6">
        <w:rPr>
          <w:rFonts w:cstheme="minorHAnsi"/>
        </w:rPr>
        <w:t xml:space="preserve">documented or perhaps </w:t>
      </w:r>
      <w:r w:rsidR="00DA2333" w:rsidRPr="00A77AF6">
        <w:rPr>
          <w:rFonts w:cstheme="minorHAnsi"/>
        </w:rPr>
        <w:t>because project managers are not important for success</w:t>
      </w:r>
      <w:r w:rsidR="001D542A" w:rsidRPr="00A77AF6">
        <w:rPr>
          <w:rFonts w:cstheme="minorHAnsi"/>
        </w:rPr>
        <w:t xml:space="preserve"> </w:t>
      </w:r>
      <w:sdt>
        <w:sdtPr>
          <w:rPr>
            <w:rFonts w:cstheme="minorHAnsi"/>
          </w:rPr>
          <w:id w:val="492152149"/>
          <w:citation/>
        </w:sdtPr>
        <w:sdtEndPr/>
        <w:sdtContent>
          <w:r w:rsidR="00E56900" w:rsidRPr="00A77AF6">
            <w:rPr>
              <w:rFonts w:cstheme="minorHAnsi"/>
            </w:rPr>
            <w:fldChar w:fldCharType="begin"/>
          </w:r>
          <w:r w:rsidR="00E56900" w:rsidRPr="00A77AF6">
            <w:rPr>
              <w:rFonts w:cstheme="minorHAnsi"/>
            </w:rPr>
            <w:instrText xml:space="preserve"> CITATION Tur05 \l 2057 </w:instrText>
          </w:r>
          <w:r w:rsidR="00E56900" w:rsidRPr="00A77AF6">
            <w:rPr>
              <w:rFonts w:cstheme="minorHAnsi"/>
            </w:rPr>
            <w:fldChar w:fldCharType="separate"/>
          </w:r>
          <w:r w:rsidR="00E56900" w:rsidRPr="00A77AF6">
            <w:rPr>
              <w:rFonts w:cstheme="minorHAnsi"/>
            </w:rPr>
            <w:t>(Turner &amp; Muller, 2005)</w:t>
          </w:r>
          <w:r w:rsidR="00E56900" w:rsidRPr="00A77AF6">
            <w:rPr>
              <w:rFonts w:cstheme="minorHAnsi"/>
            </w:rPr>
            <w:fldChar w:fldCharType="end"/>
          </w:r>
        </w:sdtContent>
      </w:sdt>
      <w:r w:rsidR="004D7FE7" w:rsidRPr="00A77AF6">
        <w:rPr>
          <w:rFonts w:cstheme="minorHAnsi"/>
        </w:rPr>
        <w:t xml:space="preserve">. </w:t>
      </w:r>
      <w:r w:rsidR="00F346FB" w:rsidRPr="00A77AF6">
        <w:rPr>
          <w:rFonts w:cstheme="minorHAnsi"/>
        </w:rPr>
        <w:t>This om</w:t>
      </w:r>
      <w:r w:rsidR="00203858" w:rsidRPr="00A77AF6">
        <w:rPr>
          <w:rFonts w:cstheme="minorHAnsi"/>
        </w:rPr>
        <w:t>ission i</w:t>
      </w:r>
      <w:r w:rsidR="00F346FB" w:rsidRPr="00A77AF6">
        <w:rPr>
          <w:rFonts w:cstheme="minorHAnsi"/>
        </w:rPr>
        <w:t xml:space="preserve">s </w:t>
      </w:r>
      <w:r w:rsidR="006F78A2" w:rsidRPr="00A77AF6">
        <w:rPr>
          <w:rFonts w:cstheme="minorHAnsi"/>
        </w:rPr>
        <w:t>compared</w:t>
      </w:r>
      <w:r w:rsidR="00203858" w:rsidRPr="00A77AF6">
        <w:rPr>
          <w:rFonts w:cstheme="minorHAnsi"/>
        </w:rPr>
        <w:t xml:space="preserve"> to the considerable </w:t>
      </w:r>
      <w:r w:rsidR="006F78A2" w:rsidRPr="00A77AF6">
        <w:rPr>
          <w:rFonts w:cstheme="minorHAnsi"/>
        </w:rPr>
        <w:t>literature</w:t>
      </w:r>
      <w:r w:rsidR="00203858" w:rsidRPr="00A77AF6">
        <w:rPr>
          <w:rFonts w:cstheme="minorHAnsi"/>
        </w:rPr>
        <w:t xml:space="preserve"> in management  studies that </w:t>
      </w:r>
      <w:r w:rsidR="006F78A2" w:rsidRPr="00A77AF6">
        <w:rPr>
          <w:rFonts w:cstheme="minorHAnsi"/>
        </w:rPr>
        <w:t xml:space="preserve">discusses the importance of leadership for successful organisations </w:t>
      </w:r>
      <w:sdt>
        <w:sdtPr>
          <w:rPr>
            <w:rFonts w:cstheme="minorHAnsi"/>
          </w:rPr>
          <w:id w:val="1950436165"/>
          <w:citation/>
        </w:sdtPr>
        <w:sdtEndPr/>
        <w:sdtContent>
          <w:r w:rsidR="004D7FE7" w:rsidRPr="00A77AF6">
            <w:rPr>
              <w:rFonts w:cstheme="minorHAnsi"/>
            </w:rPr>
            <w:fldChar w:fldCharType="begin"/>
          </w:r>
          <w:r w:rsidR="004D7FE7" w:rsidRPr="00A77AF6">
            <w:rPr>
              <w:rFonts w:cstheme="minorHAnsi"/>
            </w:rPr>
            <w:instrText xml:space="preserve"> CITATION Tur05 \l 2057 </w:instrText>
          </w:r>
          <w:r w:rsidR="004D7FE7" w:rsidRPr="00A77AF6">
            <w:rPr>
              <w:rFonts w:cstheme="minorHAnsi"/>
            </w:rPr>
            <w:fldChar w:fldCharType="separate"/>
          </w:r>
          <w:r w:rsidR="008E653F" w:rsidRPr="00A77AF6">
            <w:rPr>
              <w:rFonts w:cstheme="minorHAnsi"/>
            </w:rPr>
            <w:t>(Turner &amp; Muller, 2005)</w:t>
          </w:r>
          <w:r w:rsidR="004D7FE7" w:rsidRPr="00A77AF6">
            <w:rPr>
              <w:rFonts w:cstheme="minorHAnsi"/>
            </w:rPr>
            <w:fldChar w:fldCharType="end"/>
          </w:r>
        </w:sdtContent>
      </w:sdt>
      <w:r w:rsidR="006F78A2" w:rsidRPr="00A77AF6">
        <w:rPr>
          <w:rFonts w:cstheme="minorHAnsi"/>
        </w:rPr>
        <w:t xml:space="preserve">. </w:t>
      </w:r>
    </w:p>
    <w:p w14:paraId="3E1FD449" w14:textId="63E0D9D5" w:rsidR="00C234D0" w:rsidRPr="00A77AF6" w:rsidRDefault="0098100F" w:rsidP="007A4006">
      <w:pPr>
        <w:spacing w:after="0" w:line="360" w:lineRule="auto"/>
        <w:rPr>
          <w:rFonts w:cstheme="minorHAnsi"/>
        </w:rPr>
      </w:pPr>
      <w:r w:rsidRPr="00A77AF6">
        <w:rPr>
          <w:rFonts w:cstheme="minorHAnsi"/>
        </w:rPr>
        <w:lastRenderedPageBreak/>
        <w:t xml:space="preserve">This section reviews </w:t>
      </w:r>
      <w:r w:rsidR="00DB7566" w:rsidRPr="00A77AF6">
        <w:rPr>
          <w:rFonts w:cstheme="minorHAnsi"/>
        </w:rPr>
        <w:t xml:space="preserve">the literature that has </w:t>
      </w:r>
      <w:r w:rsidR="00F346FB" w:rsidRPr="00A77AF6">
        <w:rPr>
          <w:rFonts w:cstheme="minorHAnsi"/>
        </w:rPr>
        <w:t xml:space="preserve">examined </w:t>
      </w:r>
      <w:r w:rsidR="005072FD" w:rsidRPr="00A77AF6">
        <w:rPr>
          <w:rFonts w:cstheme="minorHAnsi"/>
        </w:rPr>
        <w:t xml:space="preserve">the role of </w:t>
      </w:r>
      <w:r w:rsidR="00CE5C9B" w:rsidRPr="00A77AF6">
        <w:rPr>
          <w:rFonts w:cstheme="minorHAnsi"/>
        </w:rPr>
        <w:t>project</w:t>
      </w:r>
      <w:r w:rsidR="005072FD" w:rsidRPr="00A77AF6">
        <w:rPr>
          <w:rFonts w:cstheme="minorHAnsi"/>
        </w:rPr>
        <w:t xml:space="preserve"> </w:t>
      </w:r>
      <w:r w:rsidR="00CE5C9B" w:rsidRPr="00A77AF6">
        <w:rPr>
          <w:rFonts w:cstheme="minorHAnsi"/>
        </w:rPr>
        <w:t>managers</w:t>
      </w:r>
      <w:r w:rsidR="005072FD" w:rsidRPr="00A77AF6">
        <w:rPr>
          <w:rFonts w:cstheme="minorHAnsi"/>
        </w:rPr>
        <w:t xml:space="preserve"> in project success.  </w:t>
      </w:r>
      <w:r w:rsidR="00CE5C9B" w:rsidRPr="00A77AF6">
        <w:rPr>
          <w:rFonts w:cstheme="minorHAnsi"/>
        </w:rPr>
        <w:t xml:space="preserve">Firstly, the </w:t>
      </w:r>
      <w:r w:rsidR="007A4006" w:rsidRPr="00A77AF6">
        <w:rPr>
          <w:rFonts w:cstheme="minorHAnsi"/>
        </w:rPr>
        <w:t xml:space="preserve">project manager’s main responsibility is to ensure that projects deliver </w:t>
      </w:r>
    </w:p>
    <w:p w14:paraId="2CAE7612" w14:textId="392E9929" w:rsidR="00C234D0" w:rsidRPr="00A77AF6" w:rsidRDefault="00C234D0" w:rsidP="0074312F">
      <w:pPr>
        <w:spacing w:after="240" w:line="240" w:lineRule="auto"/>
        <w:ind w:left="720"/>
        <w:rPr>
          <w:rFonts w:cstheme="minorHAnsi"/>
        </w:rPr>
      </w:pPr>
      <w:r w:rsidRPr="00A77AF6">
        <w:rPr>
          <w:rFonts w:cstheme="minorHAnsi"/>
          <w:i/>
        </w:rPr>
        <w:t>‘the required products within the specified tolerances of time, cost, quality, scope, risk and benefits.’</w:t>
      </w:r>
      <w:r w:rsidRPr="00A77AF6">
        <w:rPr>
          <w:rFonts w:cstheme="minorHAnsi"/>
        </w:rPr>
        <w:t xml:space="preserve"> </w:t>
      </w:r>
      <w:sdt>
        <w:sdtPr>
          <w:rPr>
            <w:rFonts w:cstheme="minorHAnsi"/>
          </w:rPr>
          <w:id w:val="-147901257"/>
          <w:citation/>
        </w:sdtPr>
        <w:sdtEndPr/>
        <w:sdtContent>
          <w:r w:rsidR="004257D1" w:rsidRPr="00A77AF6">
            <w:rPr>
              <w:rFonts w:cstheme="minorHAnsi"/>
            </w:rPr>
            <w:fldChar w:fldCharType="begin"/>
          </w:r>
          <w:r w:rsidR="004436D3" w:rsidRPr="00A77AF6">
            <w:rPr>
              <w:rFonts w:cstheme="minorHAnsi"/>
            </w:rPr>
            <w:instrText xml:space="preserve">CITATION Axe09 \p 271 \l 2057 </w:instrText>
          </w:r>
          <w:r w:rsidR="004257D1" w:rsidRPr="00A77AF6">
            <w:rPr>
              <w:rFonts w:cstheme="minorHAnsi"/>
            </w:rPr>
            <w:fldChar w:fldCharType="separate"/>
          </w:r>
          <w:r w:rsidR="008E653F" w:rsidRPr="00A77AF6">
            <w:rPr>
              <w:rFonts w:cstheme="minorHAnsi"/>
            </w:rPr>
            <w:t>(Axelos, 2009, p. 271)</w:t>
          </w:r>
          <w:r w:rsidR="004257D1" w:rsidRPr="00A77AF6">
            <w:rPr>
              <w:rFonts w:cstheme="minorHAnsi"/>
            </w:rPr>
            <w:fldChar w:fldCharType="end"/>
          </w:r>
        </w:sdtContent>
      </w:sdt>
    </w:p>
    <w:p w14:paraId="7AD49BC9" w14:textId="5B9F6BE0" w:rsidR="008F75C5" w:rsidRPr="00A77AF6" w:rsidRDefault="00432E02" w:rsidP="008F75C5">
      <w:pPr>
        <w:spacing w:after="0" w:line="360" w:lineRule="auto"/>
        <w:rPr>
          <w:rFonts w:cstheme="minorHAnsi"/>
        </w:rPr>
      </w:pPr>
      <w:r w:rsidRPr="00A77AF6">
        <w:rPr>
          <w:rFonts w:cstheme="minorHAnsi"/>
        </w:rPr>
        <w:t xml:space="preserve">Various factors </w:t>
      </w:r>
      <w:r w:rsidR="001B3851" w:rsidRPr="00A77AF6">
        <w:rPr>
          <w:rFonts w:cstheme="minorHAnsi"/>
        </w:rPr>
        <w:t xml:space="preserve">related to the character of project managers have been suggested as influencers for project success.  These </w:t>
      </w:r>
      <w:r w:rsidR="009C4E85" w:rsidRPr="00A77AF6">
        <w:rPr>
          <w:rFonts w:cstheme="minorHAnsi"/>
        </w:rPr>
        <w:t xml:space="preserve">include </w:t>
      </w:r>
      <w:r w:rsidR="00D446F2" w:rsidRPr="00A77AF6">
        <w:rPr>
          <w:rFonts w:cstheme="minorHAnsi"/>
        </w:rPr>
        <w:t>problem solving and above average intelligence (Rees</w:t>
      </w:r>
      <w:r w:rsidR="002C702F" w:rsidRPr="00A77AF6">
        <w:rPr>
          <w:rFonts w:cstheme="minorHAnsi"/>
        </w:rPr>
        <w:t xml:space="preserve"> et al, 1996); i</w:t>
      </w:r>
      <w:r w:rsidR="00D446F2" w:rsidRPr="00A77AF6">
        <w:rPr>
          <w:rFonts w:cstheme="minorHAnsi"/>
        </w:rPr>
        <w:t xml:space="preserve">ntellectual competencies (Dulewicz </w:t>
      </w:r>
      <w:r w:rsidR="002C702F" w:rsidRPr="00A77AF6">
        <w:rPr>
          <w:rFonts w:cstheme="minorHAnsi"/>
        </w:rPr>
        <w:t>&amp;</w:t>
      </w:r>
      <w:r w:rsidR="00D446F2" w:rsidRPr="00A77AF6">
        <w:rPr>
          <w:rFonts w:cstheme="minorHAnsi"/>
        </w:rPr>
        <w:t xml:space="preserve"> Higgs, 2005), motivational skills, communication skills and initiative; credibility, problem solving and flexibility (Pinto </w:t>
      </w:r>
      <w:r w:rsidR="002C702F" w:rsidRPr="00A77AF6">
        <w:rPr>
          <w:rFonts w:cstheme="minorHAnsi"/>
        </w:rPr>
        <w:t xml:space="preserve">&amp; </w:t>
      </w:r>
      <w:r w:rsidR="00D446F2" w:rsidRPr="00A77AF6">
        <w:rPr>
          <w:rFonts w:cstheme="minorHAnsi"/>
        </w:rPr>
        <w:t>Trailer, 1998)</w:t>
      </w:r>
      <w:r w:rsidR="00F054A8" w:rsidRPr="00A77AF6">
        <w:rPr>
          <w:rFonts w:cstheme="minorHAnsi"/>
        </w:rPr>
        <w:t xml:space="preserve">. </w:t>
      </w:r>
      <w:r w:rsidR="0073152A" w:rsidRPr="00A77AF6">
        <w:rPr>
          <w:rFonts w:cstheme="minorHAnsi"/>
        </w:rPr>
        <w:t xml:space="preserve">Project </w:t>
      </w:r>
      <w:r w:rsidR="005E3B53" w:rsidRPr="00A77AF6">
        <w:rPr>
          <w:rFonts w:cstheme="minorHAnsi"/>
        </w:rPr>
        <w:t xml:space="preserve">momagers’ </w:t>
      </w:r>
      <w:r w:rsidR="005075BE" w:rsidRPr="00A77AF6">
        <w:rPr>
          <w:rFonts w:cstheme="minorHAnsi"/>
        </w:rPr>
        <w:t>s</w:t>
      </w:r>
      <w:r w:rsidR="005D2DB9" w:rsidRPr="00A77AF6">
        <w:rPr>
          <w:rFonts w:cstheme="minorHAnsi"/>
        </w:rPr>
        <w:t xml:space="preserve">kills,  knowledge and </w:t>
      </w:r>
      <w:r w:rsidR="00A2718C" w:rsidRPr="00A77AF6">
        <w:rPr>
          <w:rFonts w:cstheme="minorHAnsi"/>
        </w:rPr>
        <w:t xml:space="preserve">managerial competencies </w:t>
      </w:r>
      <w:r w:rsidR="005D2DB9" w:rsidRPr="00A77AF6">
        <w:rPr>
          <w:rFonts w:cstheme="minorHAnsi"/>
        </w:rPr>
        <w:t>have also been identif</w:t>
      </w:r>
      <w:r w:rsidR="00D82A99" w:rsidRPr="00A77AF6">
        <w:rPr>
          <w:rFonts w:cstheme="minorHAnsi"/>
        </w:rPr>
        <w:t>ie</w:t>
      </w:r>
      <w:r w:rsidR="005D2DB9" w:rsidRPr="00A77AF6">
        <w:rPr>
          <w:rFonts w:cstheme="minorHAnsi"/>
        </w:rPr>
        <w:t>d</w:t>
      </w:r>
      <w:r w:rsidR="00D82A99" w:rsidRPr="00A77AF6">
        <w:rPr>
          <w:rFonts w:cstheme="minorHAnsi"/>
        </w:rPr>
        <w:t xml:space="preserve"> </w:t>
      </w:r>
      <w:r w:rsidR="00A2718C" w:rsidRPr="00A77AF6">
        <w:rPr>
          <w:rFonts w:cstheme="minorHAnsi"/>
        </w:rPr>
        <w:t xml:space="preserve">as contributors to project success </w:t>
      </w:r>
      <w:sdt>
        <w:sdtPr>
          <w:rPr>
            <w:rFonts w:cstheme="minorHAnsi"/>
          </w:rPr>
          <w:id w:val="692811518"/>
          <w:citation/>
        </w:sdtPr>
        <w:sdtEndPr/>
        <w:sdtContent>
          <w:r w:rsidR="009D0341" w:rsidRPr="00A77AF6">
            <w:rPr>
              <w:rFonts w:cstheme="minorHAnsi"/>
            </w:rPr>
            <w:fldChar w:fldCharType="begin"/>
          </w:r>
          <w:r w:rsidR="009D0341" w:rsidRPr="00A77AF6">
            <w:rPr>
              <w:rFonts w:cstheme="minorHAnsi"/>
            </w:rPr>
            <w:instrText xml:space="preserve"> CITATION Geo082 \l 2057 </w:instrText>
          </w:r>
          <w:r w:rsidR="009D0341" w:rsidRPr="00A77AF6">
            <w:rPr>
              <w:rFonts w:cstheme="minorHAnsi"/>
            </w:rPr>
            <w:fldChar w:fldCharType="separate"/>
          </w:r>
          <w:r w:rsidR="008E653F" w:rsidRPr="00A77AF6">
            <w:rPr>
              <w:rFonts w:cstheme="minorHAnsi"/>
            </w:rPr>
            <w:t>(Geoghegan &amp; Dulewicz, 2008)</w:t>
          </w:r>
          <w:r w:rsidR="009D0341" w:rsidRPr="00A77AF6">
            <w:rPr>
              <w:rFonts w:cstheme="minorHAnsi"/>
            </w:rPr>
            <w:fldChar w:fldCharType="end"/>
          </w:r>
        </w:sdtContent>
      </w:sdt>
      <w:r w:rsidR="009D0341" w:rsidRPr="00A77AF6">
        <w:rPr>
          <w:rFonts w:cstheme="minorHAnsi"/>
        </w:rPr>
        <w:t xml:space="preserve">. </w:t>
      </w:r>
      <w:r w:rsidR="008543D5" w:rsidRPr="00A77AF6">
        <w:rPr>
          <w:rFonts w:cstheme="minorHAnsi"/>
        </w:rPr>
        <w:t>P</w:t>
      </w:r>
      <w:r w:rsidR="009D23BE" w:rsidRPr="00A77AF6">
        <w:rPr>
          <w:rFonts w:cstheme="minorHAnsi"/>
        </w:rPr>
        <w:t xml:space="preserve">roject management competence </w:t>
      </w:r>
      <w:r w:rsidR="00BC1E64" w:rsidRPr="00A77AF6">
        <w:rPr>
          <w:rFonts w:cstheme="minorHAnsi"/>
        </w:rPr>
        <w:t xml:space="preserve">and experience are </w:t>
      </w:r>
      <w:r w:rsidR="00030FF8" w:rsidRPr="00A77AF6">
        <w:rPr>
          <w:rFonts w:cstheme="minorHAnsi"/>
        </w:rPr>
        <w:t>linked to achieving quality</w:t>
      </w:r>
      <w:r w:rsidR="00BE4902" w:rsidRPr="00A77AF6">
        <w:rPr>
          <w:rFonts w:cstheme="minorHAnsi"/>
        </w:rPr>
        <w:t xml:space="preserve"> whilst the l</w:t>
      </w:r>
      <w:r w:rsidR="00030FF8" w:rsidRPr="00A77AF6">
        <w:rPr>
          <w:rFonts w:cstheme="minorHAnsi"/>
        </w:rPr>
        <w:t xml:space="preserve">ack of </w:t>
      </w:r>
      <w:r w:rsidR="00782AB1" w:rsidRPr="00A77AF6">
        <w:rPr>
          <w:rFonts w:cstheme="minorHAnsi"/>
        </w:rPr>
        <w:t xml:space="preserve">project management </w:t>
      </w:r>
      <w:r w:rsidR="00030FF8" w:rsidRPr="00A77AF6">
        <w:rPr>
          <w:rFonts w:cstheme="minorHAnsi"/>
        </w:rPr>
        <w:t>competence</w:t>
      </w:r>
      <w:r w:rsidR="005D381B" w:rsidRPr="00A77AF6">
        <w:rPr>
          <w:rFonts w:cstheme="minorHAnsi"/>
        </w:rPr>
        <w:t xml:space="preserve"> and </w:t>
      </w:r>
      <w:r w:rsidR="005D0563" w:rsidRPr="00A77AF6">
        <w:rPr>
          <w:rFonts w:cstheme="minorHAnsi"/>
        </w:rPr>
        <w:t>knowledge</w:t>
      </w:r>
      <w:r w:rsidR="001A3130" w:rsidRPr="00A77AF6">
        <w:rPr>
          <w:rFonts w:cstheme="minorHAnsi"/>
        </w:rPr>
        <w:t xml:space="preserve">, an adverse </w:t>
      </w:r>
      <w:r w:rsidR="00111600" w:rsidRPr="00A77AF6">
        <w:rPr>
          <w:rFonts w:cstheme="minorHAnsi"/>
        </w:rPr>
        <w:t xml:space="preserve">hostile </w:t>
      </w:r>
      <w:r w:rsidR="00DC012C" w:rsidRPr="00A77AF6">
        <w:rPr>
          <w:rFonts w:cstheme="minorHAnsi"/>
        </w:rPr>
        <w:t xml:space="preserve">socio-economic environment and </w:t>
      </w:r>
      <w:r w:rsidR="00AC5C01" w:rsidRPr="00A77AF6">
        <w:rPr>
          <w:rFonts w:cstheme="minorHAnsi"/>
        </w:rPr>
        <w:t xml:space="preserve">the indecision </w:t>
      </w:r>
      <w:r w:rsidR="00712A7E" w:rsidRPr="00A77AF6">
        <w:rPr>
          <w:rFonts w:cstheme="minorHAnsi"/>
        </w:rPr>
        <w:t>of project participants</w:t>
      </w:r>
      <w:r w:rsidR="00BE4902" w:rsidRPr="00A77AF6">
        <w:rPr>
          <w:rFonts w:cstheme="minorHAnsi"/>
        </w:rPr>
        <w:t xml:space="preserve"> has been</w:t>
      </w:r>
      <w:r w:rsidR="00712A7E" w:rsidRPr="00A77AF6">
        <w:rPr>
          <w:rFonts w:cstheme="minorHAnsi"/>
        </w:rPr>
        <w:t xml:space="preserve"> linked </w:t>
      </w:r>
      <w:r w:rsidR="00DA39DB" w:rsidRPr="00A77AF6">
        <w:rPr>
          <w:rFonts w:cstheme="minorHAnsi"/>
        </w:rPr>
        <w:t xml:space="preserve">to the missing of </w:t>
      </w:r>
      <w:r w:rsidR="00154CF3" w:rsidRPr="00A77AF6">
        <w:rPr>
          <w:rFonts w:cstheme="minorHAnsi"/>
        </w:rPr>
        <w:t xml:space="preserve">project </w:t>
      </w:r>
      <w:r w:rsidR="00DA39DB" w:rsidRPr="00A77AF6">
        <w:rPr>
          <w:rFonts w:cstheme="minorHAnsi"/>
        </w:rPr>
        <w:t>time constraints</w:t>
      </w:r>
      <w:r w:rsidR="00BE4902" w:rsidRPr="00A77AF6">
        <w:rPr>
          <w:rFonts w:cstheme="minorHAnsi"/>
        </w:rPr>
        <w:t xml:space="preserve">, </w:t>
      </w:r>
      <w:r w:rsidR="00887CDB" w:rsidRPr="00A77AF6">
        <w:rPr>
          <w:rFonts w:cstheme="minorHAnsi"/>
        </w:rPr>
        <w:t xml:space="preserve">and the lack of co-ordination amongst project participants </w:t>
      </w:r>
      <w:r w:rsidR="00F4798A" w:rsidRPr="00A77AF6">
        <w:rPr>
          <w:rFonts w:cstheme="minorHAnsi"/>
        </w:rPr>
        <w:t>was found to lead to the missing of cost targets</w:t>
      </w:r>
      <w:r w:rsidR="00A4102B" w:rsidRPr="00A77AF6">
        <w:rPr>
          <w:rFonts w:cstheme="minorHAnsi"/>
        </w:rPr>
        <w:t xml:space="preserve"> in construction projects</w:t>
      </w:r>
      <w:r w:rsidR="008543D5" w:rsidRPr="00A77AF6">
        <w:rPr>
          <w:rFonts w:cstheme="minorHAnsi"/>
        </w:rPr>
        <w:t xml:space="preserve"> </w:t>
      </w:r>
      <w:sdt>
        <w:sdtPr>
          <w:rPr>
            <w:rFonts w:cstheme="minorHAnsi"/>
          </w:rPr>
          <w:id w:val="202607053"/>
          <w:citation/>
        </w:sdtPr>
        <w:sdtEndPr/>
        <w:sdtContent>
          <w:r w:rsidR="00286778" w:rsidRPr="00A77AF6">
            <w:rPr>
              <w:rFonts w:cstheme="minorHAnsi"/>
            </w:rPr>
            <w:fldChar w:fldCharType="begin"/>
          </w:r>
          <w:r w:rsidR="00286778" w:rsidRPr="00A77AF6">
            <w:rPr>
              <w:rFonts w:cstheme="minorHAnsi"/>
            </w:rPr>
            <w:instrText xml:space="preserve"> CITATION Jha07 \l 2057 </w:instrText>
          </w:r>
          <w:r w:rsidR="00286778" w:rsidRPr="00A77AF6">
            <w:rPr>
              <w:rFonts w:cstheme="minorHAnsi"/>
            </w:rPr>
            <w:fldChar w:fldCharType="separate"/>
          </w:r>
          <w:r w:rsidR="008E653F" w:rsidRPr="00A77AF6">
            <w:rPr>
              <w:rFonts w:cstheme="minorHAnsi"/>
            </w:rPr>
            <w:t>(Jha &amp; Iyer, 2007)</w:t>
          </w:r>
          <w:r w:rsidR="00286778" w:rsidRPr="00A77AF6">
            <w:rPr>
              <w:rFonts w:cstheme="minorHAnsi"/>
            </w:rPr>
            <w:fldChar w:fldCharType="end"/>
          </w:r>
        </w:sdtContent>
      </w:sdt>
      <w:r w:rsidR="00F4798A" w:rsidRPr="00A77AF6">
        <w:rPr>
          <w:rFonts w:cstheme="minorHAnsi"/>
        </w:rPr>
        <w:t xml:space="preserve">. </w:t>
      </w:r>
      <w:r w:rsidR="00286778" w:rsidRPr="00A77AF6">
        <w:rPr>
          <w:rFonts w:cstheme="minorHAnsi"/>
        </w:rPr>
        <w:t xml:space="preserve"> </w:t>
      </w:r>
      <w:r w:rsidR="001608F3" w:rsidRPr="00A77AF6">
        <w:rPr>
          <w:rFonts w:cstheme="minorHAnsi"/>
        </w:rPr>
        <w:t>Alternatively, s</w:t>
      </w:r>
      <w:r w:rsidR="00A95626" w:rsidRPr="00A77AF6">
        <w:rPr>
          <w:rFonts w:cstheme="minorHAnsi"/>
        </w:rPr>
        <w:t>ome research has suggested that t</w:t>
      </w:r>
      <w:r w:rsidR="00286778" w:rsidRPr="00A77AF6">
        <w:rPr>
          <w:rFonts w:cstheme="minorHAnsi"/>
        </w:rPr>
        <w:t xml:space="preserve">he selection of the right </w:t>
      </w:r>
      <w:r w:rsidR="0027107C" w:rsidRPr="00A77AF6">
        <w:rPr>
          <w:rFonts w:cstheme="minorHAnsi"/>
        </w:rPr>
        <w:t>project</w:t>
      </w:r>
      <w:r w:rsidR="00286778" w:rsidRPr="00A77AF6">
        <w:rPr>
          <w:rFonts w:cstheme="minorHAnsi"/>
        </w:rPr>
        <w:t xml:space="preserve"> </w:t>
      </w:r>
      <w:r w:rsidR="00A95626" w:rsidRPr="00A77AF6">
        <w:rPr>
          <w:rFonts w:cstheme="minorHAnsi"/>
        </w:rPr>
        <w:t>is</w:t>
      </w:r>
      <w:r w:rsidR="00C262F1" w:rsidRPr="00A77AF6">
        <w:rPr>
          <w:rFonts w:cstheme="minorHAnsi"/>
        </w:rPr>
        <w:t xml:space="preserve"> more important than the </w:t>
      </w:r>
      <w:r w:rsidR="00CD5270" w:rsidRPr="00A77AF6">
        <w:rPr>
          <w:rFonts w:cstheme="minorHAnsi"/>
        </w:rPr>
        <w:t xml:space="preserve">influence of the </w:t>
      </w:r>
      <w:r w:rsidR="00C262F1" w:rsidRPr="00A77AF6">
        <w:rPr>
          <w:rFonts w:cstheme="minorHAnsi"/>
        </w:rPr>
        <w:t>project manager (Munns &amp; Bjeirmi, 1996)</w:t>
      </w:r>
      <w:r w:rsidR="00E14427" w:rsidRPr="00A77AF6">
        <w:rPr>
          <w:rFonts w:cstheme="minorHAnsi"/>
        </w:rPr>
        <w:t xml:space="preserve">. </w:t>
      </w:r>
      <w:r w:rsidR="00545C00" w:rsidRPr="00A77AF6">
        <w:rPr>
          <w:rFonts w:cstheme="minorHAnsi"/>
        </w:rPr>
        <w:t xml:space="preserve"> </w:t>
      </w:r>
      <w:r w:rsidR="00C47B81" w:rsidRPr="00A77AF6">
        <w:rPr>
          <w:rFonts w:cstheme="minorHAnsi"/>
        </w:rPr>
        <w:t xml:space="preserve">The weight of literature appears </w:t>
      </w:r>
      <w:r w:rsidR="008D24E6" w:rsidRPr="00A77AF6">
        <w:rPr>
          <w:rFonts w:cstheme="minorHAnsi"/>
        </w:rPr>
        <w:t xml:space="preserve">to suggest that there is a relationship between project managers, </w:t>
      </w:r>
      <w:r w:rsidR="000649E0" w:rsidRPr="00A77AF6">
        <w:rPr>
          <w:rFonts w:cstheme="minorHAnsi"/>
        </w:rPr>
        <w:t xml:space="preserve">project leadership </w:t>
      </w:r>
      <w:r w:rsidR="0028710E" w:rsidRPr="00A77AF6">
        <w:rPr>
          <w:rFonts w:cstheme="minorHAnsi"/>
        </w:rPr>
        <w:t xml:space="preserve">qualities </w:t>
      </w:r>
      <w:r w:rsidR="000649E0" w:rsidRPr="00A77AF6">
        <w:rPr>
          <w:rFonts w:cstheme="minorHAnsi"/>
        </w:rPr>
        <w:t xml:space="preserve">and </w:t>
      </w:r>
      <w:r w:rsidR="0028710E" w:rsidRPr="00A77AF6">
        <w:rPr>
          <w:rFonts w:cstheme="minorHAnsi"/>
        </w:rPr>
        <w:t xml:space="preserve">project </w:t>
      </w:r>
      <w:r w:rsidR="000649E0" w:rsidRPr="00A77AF6">
        <w:rPr>
          <w:rFonts w:cstheme="minorHAnsi"/>
        </w:rPr>
        <w:t>success</w:t>
      </w:r>
      <w:r w:rsidR="00C76CDE" w:rsidRPr="00A77AF6">
        <w:rPr>
          <w:rFonts w:cstheme="minorHAnsi"/>
        </w:rPr>
        <w:t>.  The number of training programmes for project managers</w:t>
      </w:r>
      <w:r w:rsidR="00DF36EB" w:rsidRPr="00A77AF6">
        <w:rPr>
          <w:rFonts w:cstheme="minorHAnsi"/>
        </w:rPr>
        <w:t>, for example PRI</w:t>
      </w:r>
      <w:r w:rsidR="00A77AF6" w:rsidRPr="00A77AF6">
        <w:rPr>
          <w:rFonts w:cstheme="minorHAnsi"/>
        </w:rPr>
        <w:t>NCE2</w:t>
      </w:r>
      <w:r w:rsidR="00E95B2D" w:rsidRPr="00A77AF6">
        <w:rPr>
          <w:rFonts w:cstheme="minorHAnsi"/>
        </w:rPr>
        <w:t>®</w:t>
      </w:r>
      <w:r w:rsidR="00C76CDE" w:rsidRPr="00A77AF6">
        <w:rPr>
          <w:rFonts w:cstheme="minorHAnsi"/>
        </w:rPr>
        <w:t xml:space="preserve">, </w:t>
      </w:r>
      <w:r w:rsidR="00E95B2D" w:rsidRPr="00A77AF6">
        <w:rPr>
          <w:rFonts w:cstheme="minorHAnsi"/>
        </w:rPr>
        <w:t xml:space="preserve">APM and PMI, </w:t>
      </w:r>
      <w:r w:rsidR="00C76CDE" w:rsidRPr="00A77AF6">
        <w:rPr>
          <w:rFonts w:cstheme="minorHAnsi"/>
        </w:rPr>
        <w:t xml:space="preserve">the number of university courses and the </w:t>
      </w:r>
      <w:r w:rsidR="00E95B2D" w:rsidRPr="00A77AF6">
        <w:rPr>
          <w:rFonts w:cstheme="minorHAnsi"/>
        </w:rPr>
        <w:t>influence</w:t>
      </w:r>
      <w:r w:rsidR="00C76CDE" w:rsidRPr="00A77AF6">
        <w:rPr>
          <w:rFonts w:cstheme="minorHAnsi"/>
        </w:rPr>
        <w:t xml:space="preserve"> of project management bodies such as the APM and PMI testify that there is widespread acceptance that project managers </w:t>
      </w:r>
      <w:r w:rsidR="0072306C" w:rsidRPr="00A77AF6">
        <w:rPr>
          <w:rFonts w:cstheme="minorHAnsi"/>
        </w:rPr>
        <w:t xml:space="preserve">can influence project outcome. </w:t>
      </w:r>
      <w:r w:rsidR="00C76CDE" w:rsidRPr="00A77AF6">
        <w:rPr>
          <w:rFonts w:cstheme="minorHAnsi"/>
        </w:rPr>
        <w:t>However, the literature</w:t>
      </w:r>
      <w:r w:rsidR="0072306C" w:rsidRPr="00A77AF6">
        <w:rPr>
          <w:rFonts w:cstheme="minorHAnsi"/>
        </w:rPr>
        <w:t xml:space="preserve"> </w:t>
      </w:r>
      <w:r w:rsidR="0006246C" w:rsidRPr="00A77AF6">
        <w:rPr>
          <w:rFonts w:cstheme="minorHAnsi"/>
        </w:rPr>
        <w:t xml:space="preserve">is cautious and </w:t>
      </w:r>
      <w:r w:rsidR="00C76CDE" w:rsidRPr="00A77AF6">
        <w:rPr>
          <w:rFonts w:cstheme="minorHAnsi"/>
        </w:rPr>
        <w:t xml:space="preserve">notes that it is not the project manager alone who makes the difference but other factors such as </w:t>
      </w:r>
      <w:r w:rsidR="006E065A" w:rsidRPr="00A77AF6">
        <w:rPr>
          <w:rFonts w:cstheme="minorHAnsi"/>
        </w:rPr>
        <w:t xml:space="preserve">project </w:t>
      </w:r>
      <w:r w:rsidR="00057E9A" w:rsidRPr="00A77AF6">
        <w:rPr>
          <w:rFonts w:cstheme="minorHAnsi"/>
        </w:rPr>
        <w:t xml:space="preserve">owner, </w:t>
      </w:r>
      <w:r w:rsidR="005A24F9" w:rsidRPr="00A77AF6">
        <w:rPr>
          <w:rFonts w:cstheme="minorHAnsi"/>
        </w:rPr>
        <w:t xml:space="preserve">decisiveness </w:t>
      </w:r>
      <w:r w:rsidR="00870FD0" w:rsidRPr="00A77AF6">
        <w:rPr>
          <w:rFonts w:cstheme="minorHAnsi"/>
        </w:rPr>
        <w:t>of project participants,</w:t>
      </w:r>
      <w:r w:rsidR="00E50588" w:rsidRPr="00A77AF6">
        <w:rPr>
          <w:rFonts w:cstheme="minorHAnsi"/>
        </w:rPr>
        <w:t xml:space="preserve"> </w:t>
      </w:r>
      <w:r w:rsidR="00C53F36" w:rsidRPr="00A77AF6">
        <w:rPr>
          <w:rFonts w:cstheme="minorHAnsi"/>
        </w:rPr>
        <w:t xml:space="preserve">constructive conflict, </w:t>
      </w:r>
      <w:r w:rsidR="00C043FF" w:rsidRPr="00A77AF6">
        <w:rPr>
          <w:rFonts w:cstheme="minorHAnsi"/>
        </w:rPr>
        <w:t>top management support</w:t>
      </w:r>
      <w:r w:rsidR="00870FD0" w:rsidRPr="00A77AF6">
        <w:rPr>
          <w:rFonts w:cstheme="minorHAnsi"/>
        </w:rPr>
        <w:t xml:space="preserve"> </w:t>
      </w:r>
      <w:sdt>
        <w:sdtPr>
          <w:rPr>
            <w:rFonts w:cstheme="minorHAnsi"/>
          </w:rPr>
          <w:id w:val="-1761980943"/>
          <w:citation/>
        </w:sdtPr>
        <w:sdtEndPr/>
        <w:sdtContent>
          <w:r w:rsidR="006646B0" w:rsidRPr="00A77AF6">
            <w:rPr>
              <w:rFonts w:cstheme="minorHAnsi"/>
            </w:rPr>
            <w:fldChar w:fldCharType="begin"/>
          </w:r>
          <w:r w:rsidR="006646B0" w:rsidRPr="00A77AF6">
            <w:rPr>
              <w:rFonts w:cstheme="minorHAnsi"/>
            </w:rPr>
            <w:instrText xml:space="preserve"> CITATION Jha07 \l 2057 </w:instrText>
          </w:r>
          <w:r w:rsidR="006646B0" w:rsidRPr="00A77AF6">
            <w:rPr>
              <w:rFonts w:cstheme="minorHAnsi"/>
            </w:rPr>
            <w:fldChar w:fldCharType="separate"/>
          </w:r>
          <w:r w:rsidR="008E653F" w:rsidRPr="00A77AF6">
            <w:rPr>
              <w:rFonts w:cstheme="minorHAnsi"/>
            </w:rPr>
            <w:t>(Jha &amp; Iyer, 2007)</w:t>
          </w:r>
          <w:r w:rsidR="006646B0" w:rsidRPr="00A77AF6">
            <w:rPr>
              <w:rFonts w:cstheme="minorHAnsi"/>
            </w:rPr>
            <w:fldChar w:fldCharType="end"/>
          </w:r>
        </w:sdtContent>
      </w:sdt>
      <w:r w:rsidR="00A66EC3" w:rsidRPr="00A77AF6">
        <w:rPr>
          <w:rFonts w:cstheme="minorHAnsi"/>
        </w:rPr>
        <w:t xml:space="preserve"> and </w:t>
      </w:r>
      <w:r w:rsidR="00C043FF" w:rsidRPr="00A77AF6">
        <w:rPr>
          <w:rFonts w:cstheme="minorHAnsi"/>
        </w:rPr>
        <w:t>processes</w:t>
      </w:r>
      <w:r w:rsidR="00A66EC3" w:rsidRPr="00A77AF6">
        <w:rPr>
          <w:rFonts w:cstheme="minorHAnsi"/>
        </w:rPr>
        <w:t>,</w:t>
      </w:r>
      <w:r w:rsidR="00C043FF" w:rsidRPr="00A77AF6">
        <w:rPr>
          <w:rFonts w:cstheme="minorHAnsi"/>
        </w:rPr>
        <w:t xml:space="preserve"> roles and structures </w:t>
      </w:r>
      <w:sdt>
        <w:sdtPr>
          <w:rPr>
            <w:rFonts w:cstheme="minorHAnsi"/>
          </w:rPr>
          <w:id w:val="-523938340"/>
          <w:citation/>
        </w:sdtPr>
        <w:sdtEndPr/>
        <w:sdtContent>
          <w:r w:rsidR="00C043FF" w:rsidRPr="00A77AF6">
            <w:rPr>
              <w:rFonts w:cstheme="minorHAnsi"/>
            </w:rPr>
            <w:fldChar w:fldCharType="begin"/>
          </w:r>
          <w:r w:rsidR="00C043FF" w:rsidRPr="00A77AF6">
            <w:rPr>
              <w:rFonts w:cstheme="minorHAnsi"/>
            </w:rPr>
            <w:instrText xml:space="preserve"> CITATION Axe09 \l 2057 </w:instrText>
          </w:r>
          <w:r w:rsidR="00C043FF" w:rsidRPr="00A77AF6">
            <w:rPr>
              <w:rFonts w:cstheme="minorHAnsi"/>
            </w:rPr>
            <w:fldChar w:fldCharType="separate"/>
          </w:r>
          <w:r w:rsidR="008E653F" w:rsidRPr="00A77AF6">
            <w:rPr>
              <w:rFonts w:cstheme="minorHAnsi"/>
            </w:rPr>
            <w:t>(Axelos, 2009)</w:t>
          </w:r>
          <w:r w:rsidR="00C043FF" w:rsidRPr="00A77AF6">
            <w:rPr>
              <w:rFonts w:cstheme="minorHAnsi"/>
            </w:rPr>
            <w:fldChar w:fldCharType="end"/>
          </w:r>
        </w:sdtContent>
      </w:sdt>
      <w:r w:rsidR="00A66EC3" w:rsidRPr="00A77AF6">
        <w:rPr>
          <w:rFonts w:cstheme="minorHAnsi"/>
        </w:rPr>
        <w:t xml:space="preserve">. </w:t>
      </w:r>
      <w:r w:rsidR="00854664" w:rsidRPr="00A77AF6">
        <w:rPr>
          <w:rFonts w:cstheme="minorHAnsi"/>
        </w:rPr>
        <w:t xml:space="preserve"> </w:t>
      </w:r>
      <w:r w:rsidR="008F75C5" w:rsidRPr="00A77AF6">
        <w:rPr>
          <w:rFonts w:cstheme="minorHAnsi"/>
        </w:rPr>
        <w:t xml:space="preserve">The next section defines specific aspects of construction projects and some important factors about the construction industry, which may impact on its ability to deliver projects to time, cost and quality.   </w:t>
      </w:r>
    </w:p>
    <w:p w14:paraId="0D89CEF1" w14:textId="77777777" w:rsidR="008F75C5" w:rsidRPr="00A77AF6" w:rsidRDefault="008F75C5" w:rsidP="008F75C5"/>
    <w:p w14:paraId="64FFBCD2" w14:textId="673E33D9" w:rsidR="000D74A7" w:rsidRPr="00A77AF6" w:rsidRDefault="00FB5C07" w:rsidP="00160912">
      <w:pPr>
        <w:pStyle w:val="Heading2"/>
        <w:spacing w:before="0" w:line="360" w:lineRule="auto"/>
      </w:pPr>
      <w:bookmarkStart w:id="103" w:name="_Toc36275087"/>
      <w:r w:rsidRPr="00A77AF6">
        <w:t>The UK</w:t>
      </w:r>
      <w:r w:rsidR="000D74A7" w:rsidRPr="00A77AF6">
        <w:t xml:space="preserve"> </w:t>
      </w:r>
      <w:r w:rsidR="00632AF2" w:rsidRPr="00A77AF6">
        <w:t>c</w:t>
      </w:r>
      <w:r w:rsidR="000D74A7" w:rsidRPr="00A77AF6">
        <w:t>onstruction industry</w:t>
      </w:r>
      <w:bookmarkEnd w:id="103"/>
      <w:r w:rsidR="000D74A7" w:rsidRPr="00A77AF6">
        <w:t xml:space="preserve"> </w:t>
      </w:r>
    </w:p>
    <w:p w14:paraId="20730A82" w14:textId="1F14952C" w:rsidR="003D3016" w:rsidRPr="00A77AF6" w:rsidRDefault="00F6201A" w:rsidP="00734ECF">
      <w:pPr>
        <w:spacing w:after="0" w:line="360" w:lineRule="auto"/>
      </w:pPr>
      <w:r w:rsidRPr="00A77AF6">
        <w:t xml:space="preserve">The UK construction industry has </w:t>
      </w:r>
      <w:r w:rsidR="003B55F2" w:rsidRPr="00A77AF6">
        <w:t>been extensively researched and reported on</w:t>
      </w:r>
      <w:r w:rsidR="00160912" w:rsidRPr="00A77AF6">
        <w:t xml:space="preserve"> and</w:t>
      </w:r>
      <w:r w:rsidR="003D3016" w:rsidRPr="00A77AF6">
        <w:t xml:space="preserve"> </w:t>
      </w:r>
      <w:r w:rsidR="004A3B63" w:rsidRPr="00A77AF6">
        <w:t xml:space="preserve">its </w:t>
      </w:r>
      <w:r w:rsidR="006D2533" w:rsidRPr="00A77AF6">
        <w:t>characteristics</w:t>
      </w:r>
      <w:r w:rsidR="004A3B63" w:rsidRPr="00A77AF6">
        <w:t xml:space="preserve"> </w:t>
      </w:r>
      <w:r w:rsidR="006D2533" w:rsidRPr="00A77AF6">
        <w:t>are well documented</w:t>
      </w:r>
      <w:r w:rsidR="003D3016" w:rsidRPr="00A77AF6">
        <w:t xml:space="preserve">.  </w:t>
      </w:r>
      <w:r w:rsidR="00160912" w:rsidRPr="00A77AF6">
        <w:t xml:space="preserve">Characteristics </w:t>
      </w:r>
      <w:r w:rsidR="003D3016" w:rsidRPr="00A77AF6">
        <w:t xml:space="preserve">include </w:t>
      </w:r>
      <w:r w:rsidR="006D2533" w:rsidRPr="00A77AF6">
        <w:t xml:space="preserve">fragmentation, </w:t>
      </w:r>
      <w:r w:rsidR="003D3016" w:rsidRPr="00A77AF6">
        <w:t xml:space="preserve">a </w:t>
      </w:r>
      <w:r w:rsidR="006D2533" w:rsidRPr="00A77AF6">
        <w:t>lack of focus on the client, low margins, unpredictability in terms of outcomes, poor leadership, lack of collaboration and partnership working, low-skilled workforce</w:t>
      </w:r>
      <w:r w:rsidR="00734ECF" w:rsidRPr="00A77AF6">
        <w:t>, few barriers to entry of low quality contractors</w:t>
      </w:r>
      <w:r w:rsidR="006D2533" w:rsidRPr="00A77AF6">
        <w:t xml:space="preserve"> and resistance to change </w:t>
      </w:r>
      <w:r w:rsidR="00734ECF" w:rsidRPr="00A77AF6">
        <w:t xml:space="preserve">(Egan, 1998, Farmer, 2016).  </w:t>
      </w:r>
    </w:p>
    <w:p w14:paraId="0F014923" w14:textId="10A86827" w:rsidR="00F6201A" w:rsidRPr="00A77AF6" w:rsidRDefault="00F6201A" w:rsidP="00734ECF">
      <w:pPr>
        <w:spacing w:after="0" w:line="360" w:lineRule="auto"/>
      </w:pPr>
      <w:r w:rsidRPr="00A77AF6">
        <w:lastRenderedPageBreak/>
        <w:t>The UK construction industry is also characterised by conservatism underpinned by a class system and a set of rules based on an ‘institutionalised set of interests</w:t>
      </w:r>
      <w:r w:rsidR="00757BEF" w:rsidRPr="00A77AF6">
        <w:t>.</w:t>
      </w:r>
      <w:r w:rsidRPr="00A77AF6">
        <w:t xml:space="preserve">’ </w:t>
      </w:r>
      <w:sdt>
        <w:sdtPr>
          <w:id w:val="487827144"/>
          <w:citation/>
        </w:sdtPr>
        <w:sdtEndPr/>
        <w:sdtContent>
          <w:r w:rsidRPr="00A77AF6">
            <w:fldChar w:fldCharType="begin"/>
          </w:r>
          <w:r w:rsidRPr="00A77AF6">
            <w:instrText xml:space="preserve">CITATION Win10 \p 21 \l 2057 </w:instrText>
          </w:r>
          <w:r w:rsidRPr="00A77AF6">
            <w:fldChar w:fldCharType="separate"/>
          </w:r>
          <w:r w:rsidR="008E653F" w:rsidRPr="00A77AF6">
            <w:t>(Winch, 2010, p. 21)</w:t>
          </w:r>
          <w:r w:rsidRPr="00A77AF6">
            <w:fldChar w:fldCharType="end"/>
          </w:r>
        </w:sdtContent>
      </w:sdt>
      <w:r w:rsidRPr="00A77AF6">
        <w:t xml:space="preserve">.   The relationships between </w:t>
      </w:r>
      <w:r w:rsidR="00734ECF" w:rsidRPr="00A77AF6">
        <w:t xml:space="preserve">industry actors is so entrenched it is referred to as </w:t>
      </w:r>
      <w:r w:rsidR="00FB2F61" w:rsidRPr="00A77AF6">
        <w:t xml:space="preserve"> </w:t>
      </w:r>
      <w:r w:rsidRPr="00A77AF6">
        <w:t>‘the system’</w:t>
      </w:r>
      <w:r w:rsidR="00FB5C07" w:rsidRPr="00A77AF6">
        <w:t xml:space="preserve"> which is</w:t>
      </w:r>
      <w:r w:rsidRPr="00A77AF6">
        <w:t xml:space="preserve">  </w:t>
      </w:r>
    </w:p>
    <w:p w14:paraId="3F5F82F4" w14:textId="1508B27B" w:rsidR="00F6201A" w:rsidRPr="00A77AF6" w:rsidRDefault="00F6201A" w:rsidP="00FB2F61">
      <w:pPr>
        <w:spacing w:after="240" w:line="240" w:lineRule="auto"/>
        <w:ind w:left="720"/>
      </w:pPr>
      <w:r w:rsidRPr="00A77AF6">
        <w:t>‘</w:t>
      </w:r>
      <w:r w:rsidRPr="00A77AF6">
        <w:rPr>
          <w:i/>
        </w:rPr>
        <w:t>a highly structured set of relationships along the lines of social class with architects at the top, followed in rank order by engineers, surveyors and builders</w:t>
      </w:r>
      <w:r w:rsidRPr="00A77AF6">
        <w:t xml:space="preserve">’ </w:t>
      </w:r>
      <w:sdt>
        <w:sdtPr>
          <w:id w:val="-939902896"/>
          <w:citation/>
        </w:sdtPr>
        <w:sdtEndPr/>
        <w:sdtContent>
          <w:r w:rsidRPr="00A77AF6">
            <w:fldChar w:fldCharType="begin"/>
          </w:r>
          <w:r w:rsidRPr="00A77AF6">
            <w:instrText xml:space="preserve">CITATION Win10 \p 20 \l 2057 </w:instrText>
          </w:r>
          <w:r w:rsidRPr="00A77AF6">
            <w:fldChar w:fldCharType="separate"/>
          </w:r>
          <w:r w:rsidR="008E653F" w:rsidRPr="00A77AF6">
            <w:t>(Winch, 2010, p. 20)</w:t>
          </w:r>
          <w:r w:rsidRPr="00A77AF6">
            <w:fldChar w:fldCharType="end"/>
          </w:r>
        </w:sdtContent>
      </w:sdt>
      <w:r w:rsidRPr="00A77AF6">
        <w:t>.</w:t>
      </w:r>
    </w:p>
    <w:p w14:paraId="586BE910" w14:textId="544AA2E1" w:rsidR="00734ECF" w:rsidRPr="00A77AF6" w:rsidRDefault="00F6201A" w:rsidP="00286353">
      <w:pPr>
        <w:spacing w:after="120" w:line="360" w:lineRule="auto"/>
      </w:pPr>
      <w:r w:rsidRPr="00A77AF6">
        <w:t xml:space="preserve">This highly structured system </w:t>
      </w:r>
      <w:r w:rsidR="00FB5C07" w:rsidRPr="00A77AF6">
        <w:t>makes</w:t>
      </w:r>
      <w:r w:rsidR="00734ECF" w:rsidRPr="00A77AF6">
        <w:t xml:space="preserve"> change is difficult to introduce and sustain as the</w:t>
      </w:r>
      <w:r w:rsidR="003D3016" w:rsidRPr="00A77AF6">
        <w:t xml:space="preserve">re are few, if any incentives to change behaviour and </w:t>
      </w:r>
      <w:r w:rsidR="00286353" w:rsidRPr="00A77AF6">
        <w:t xml:space="preserve">indeed deviation from the rules can be punished </w:t>
      </w:r>
      <w:sdt>
        <w:sdtPr>
          <w:id w:val="-494571891"/>
          <w:citation/>
        </w:sdtPr>
        <w:sdtEndPr/>
        <w:sdtContent>
          <w:r w:rsidR="00286353" w:rsidRPr="00A77AF6">
            <w:fldChar w:fldCharType="begin"/>
          </w:r>
          <w:r w:rsidR="00286353" w:rsidRPr="00A77AF6">
            <w:instrText xml:space="preserve"> CITATION Win10 \l 2057 </w:instrText>
          </w:r>
          <w:r w:rsidR="00286353" w:rsidRPr="00A77AF6">
            <w:fldChar w:fldCharType="separate"/>
          </w:r>
          <w:r w:rsidR="008E653F" w:rsidRPr="00A77AF6">
            <w:t>(Winch, 2010)</w:t>
          </w:r>
          <w:r w:rsidR="00286353" w:rsidRPr="00A77AF6">
            <w:fldChar w:fldCharType="end"/>
          </w:r>
        </w:sdtContent>
      </w:sdt>
      <w:r w:rsidR="00286353" w:rsidRPr="00A77AF6">
        <w:t xml:space="preserve">. </w:t>
      </w:r>
      <w:r w:rsidR="00FB5C07" w:rsidRPr="00A77AF6">
        <w:t>E</w:t>
      </w:r>
      <w:r w:rsidR="00FA4264" w:rsidRPr="00A77AF6">
        <w:t xml:space="preserve">ntrenched positions </w:t>
      </w:r>
      <w:r w:rsidR="00FB5C07" w:rsidRPr="00A77AF6">
        <w:t>contribute to a</w:t>
      </w:r>
      <w:r w:rsidR="00050979" w:rsidRPr="00A77AF6">
        <w:t xml:space="preserve"> reluctance </w:t>
      </w:r>
      <w:r w:rsidR="00734ECF" w:rsidRPr="00A77AF6">
        <w:t xml:space="preserve">to change to a more client focus if in so doing ‘the system’ is threatened. </w:t>
      </w:r>
    </w:p>
    <w:p w14:paraId="13DC924D" w14:textId="7D89720B" w:rsidR="00FB5C07" w:rsidRPr="00A77AF6" w:rsidRDefault="00CC1A62" w:rsidP="00E27E8E">
      <w:pPr>
        <w:rPr>
          <w:u w:val="single"/>
        </w:rPr>
      </w:pPr>
      <w:r w:rsidRPr="00A77AF6">
        <w:rPr>
          <w:u w:val="single"/>
        </w:rPr>
        <w:t xml:space="preserve">Impact of the </w:t>
      </w:r>
      <w:r w:rsidR="00286353" w:rsidRPr="00A77AF6">
        <w:rPr>
          <w:u w:val="single"/>
        </w:rPr>
        <w:t xml:space="preserve">government </w:t>
      </w:r>
    </w:p>
    <w:p w14:paraId="6D7D69A2" w14:textId="37C765F4" w:rsidR="00F6201A" w:rsidRPr="00A77AF6" w:rsidRDefault="00F6201A" w:rsidP="000B76B6">
      <w:pPr>
        <w:spacing w:after="0" w:line="360" w:lineRule="auto"/>
      </w:pPr>
      <w:r w:rsidRPr="00A77AF6">
        <w:t xml:space="preserve">The UK construction industry accounts for between 7% </w:t>
      </w:r>
      <w:sdt>
        <w:sdtPr>
          <w:id w:val="-279344874"/>
          <w:citation/>
        </w:sdtPr>
        <w:sdtEndPr/>
        <w:sdtContent>
          <w:r w:rsidRPr="00A77AF6">
            <w:fldChar w:fldCharType="begin"/>
          </w:r>
          <w:r w:rsidRPr="00A77AF6">
            <w:instrText xml:space="preserve"> CITATION Cab11 \l 2057 </w:instrText>
          </w:r>
          <w:r w:rsidRPr="00A77AF6">
            <w:fldChar w:fldCharType="separate"/>
          </w:r>
          <w:r w:rsidR="008E653F" w:rsidRPr="00A77AF6">
            <w:t>(Cabinet Office, 2011)</w:t>
          </w:r>
          <w:r w:rsidRPr="00A77AF6">
            <w:fldChar w:fldCharType="end"/>
          </w:r>
        </w:sdtContent>
      </w:sdt>
      <w:r w:rsidR="009C015A">
        <w:t xml:space="preserve"> </w:t>
      </w:r>
      <w:r w:rsidRPr="00A77AF6">
        <w:t xml:space="preserve">and 10% </w:t>
      </w:r>
      <w:sdt>
        <w:sdtPr>
          <w:id w:val="601997854"/>
          <w:citation/>
        </w:sdtPr>
        <w:sdtEndPr/>
        <w:sdtContent>
          <w:r w:rsidRPr="00A77AF6">
            <w:fldChar w:fldCharType="begin"/>
          </w:r>
          <w:r w:rsidR="00160912" w:rsidRPr="00A77AF6">
            <w:instrText xml:space="preserve">CITATION Sir98 \l 2057 </w:instrText>
          </w:r>
          <w:r w:rsidRPr="00A77AF6">
            <w:fldChar w:fldCharType="separate"/>
          </w:r>
          <w:r w:rsidR="008E653F" w:rsidRPr="00A77AF6">
            <w:t>(Egan, 1998)</w:t>
          </w:r>
          <w:r w:rsidRPr="00A77AF6">
            <w:fldChar w:fldCharType="end"/>
          </w:r>
        </w:sdtContent>
      </w:sdt>
      <w:r w:rsidRPr="00A77AF6">
        <w:t xml:space="preserve"> of the UK’s GDP</w:t>
      </w:r>
      <w:r w:rsidR="00FB5C07" w:rsidRPr="00A77AF6">
        <w:t xml:space="preserve"> and because of its size it is periodically used by governments to stimulate the economy </w:t>
      </w:r>
      <w:sdt>
        <w:sdtPr>
          <w:id w:val="1606607881"/>
          <w:citation/>
        </w:sdtPr>
        <w:sdtEndPr/>
        <w:sdtContent>
          <w:r w:rsidR="00FB5C07" w:rsidRPr="00A77AF6">
            <w:fldChar w:fldCharType="begin"/>
          </w:r>
          <w:r w:rsidR="00FB5C07" w:rsidRPr="00A77AF6">
            <w:instrText xml:space="preserve"> CITATION Win10 \l 2057 </w:instrText>
          </w:r>
          <w:r w:rsidR="00FB5C07" w:rsidRPr="00A77AF6">
            <w:fldChar w:fldCharType="separate"/>
          </w:r>
          <w:r w:rsidR="008E653F" w:rsidRPr="00A77AF6">
            <w:t>(Winch, 2010)</w:t>
          </w:r>
          <w:r w:rsidR="00FB5C07" w:rsidRPr="00A77AF6">
            <w:fldChar w:fldCharType="end"/>
          </w:r>
        </w:sdtContent>
      </w:sdt>
      <w:r w:rsidR="00FB5C07" w:rsidRPr="00A77AF6">
        <w:t xml:space="preserve">.  </w:t>
      </w:r>
      <w:r w:rsidRPr="00A77AF6">
        <w:t xml:space="preserve">This </w:t>
      </w:r>
      <w:r w:rsidR="008841DE" w:rsidRPr="00A77AF6">
        <w:t xml:space="preserve">can </w:t>
      </w:r>
      <w:r w:rsidRPr="00A77AF6">
        <w:t xml:space="preserve">make planning difficult for </w:t>
      </w:r>
      <w:r w:rsidR="00FB5C07" w:rsidRPr="00A77AF6">
        <w:t xml:space="preserve">both </w:t>
      </w:r>
      <w:r w:rsidRPr="00A77AF6">
        <w:t xml:space="preserve">clients and </w:t>
      </w:r>
      <w:r w:rsidR="00FB5C07" w:rsidRPr="00A77AF6">
        <w:t xml:space="preserve">the industry. If governments wish to stimulate </w:t>
      </w:r>
      <w:r w:rsidR="000B76B6" w:rsidRPr="00A77AF6">
        <w:t>growth,</w:t>
      </w:r>
      <w:r w:rsidR="00FB5C07" w:rsidRPr="00A77AF6">
        <w:t xml:space="preserve"> they may plan large infrastructure programmes; the NHS Plan (2000) which promised 100 new hospitals, </w:t>
      </w:r>
      <w:r w:rsidR="000B76B6" w:rsidRPr="00A77AF6">
        <w:t xml:space="preserve">Crossrail and HS2 are such examples.  </w:t>
      </w:r>
      <w:r w:rsidR="00226963" w:rsidRPr="00A77AF6">
        <w:t>At these times t</w:t>
      </w:r>
      <w:r w:rsidRPr="00A77AF6">
        <w:t>here is plenty of work for construction companies, pr</w:t>
      </w:r>
      <w:r w:rsidR="0015699B" w:rsidRPr="00A77AF6">
        <w:t>ices</w:t>
      </w:r>
      <w:r w:rsidRPr="00A77AF6">
        <w:t xml:space="preserve"> rise for the client</w:t>
      </w:r>
      <w:r w:rsidR="000B76B6" w:rsidRPr="00A77AF6">
        <w:t xml:space="preserve"> because of </w:t>
      </w:r>
      <w:r w:rsidR="008841DE" w:rsidRPr="00A77AF6">
        <w:t>a</w:t>
      </w:r>
      <w:r w:rsidR="000B76B6" w:rsidRPr="00A77AF6">
        <w:t xml:space="preserve"> shortage in the supply of contractors</w:t>
      </w:r>
      <w:r w:rsidR="00226963" w:rsidRPr="00A77AF6">
        <w:t xml:space="preserve">. </w:t>
      </w:r>
      <w:r w:rsidRPr="00A77AF6">
        <w:t xml:space="preserve">Construction companies with plenty of work may find it difficult to provide resources when required because of competing priorities, so this may cause delays.  During economic recession or slow-down prices may fall, which is advantageous to the client, but the client may also cancel projects because </w:t>
      </w:r>
      <w:r w:rsidR="000E0D18" w:rsidRPr="00A77AF6">
        <w:t>for lack of money</w:t>
      </w:r>
      <w:r w:rsidRPr="00A77AF6">
        <w:t xml:space="preserve"> </w:t>
      </w:r>
      <w:sdt>
        <w:sdtPr>
          <w:id w:val="-795670275"/>
          <w:citation/>
        </w:sdtPr>
        <w:sdtEndPr/>
        <w:sdtContent>
          <w:r w:rsidRPr="00A77AF6">
            <w:fldChar w:fldCharType="begin"/>
          </w:r>
          <w:r w:rsidRPr="00A77AF6">
            <w:instrText xml:space="preserve"> CITATION Win10 \l 2057 </w:instrText>
          </w:r>
          <w:r w:rsidRPr="00A77AF6">
            <w:fldChar w:fldCharType="separate"/>
          </w:r>
          <w:r w:rsidR="008E653F" w:rsidRPr="00A77AF6">
            <w:t>(Winch, 2010)</w:t>
          </w:r>
          <w:r w:rsidRPr="00A77AF6">
            <w:fldChar w:fldCharType="end"/>
          </w:r>
        </w:sdtContent>
      </w:sdt>
      <w:r w:rsidRPr="00A77AF6">
        <w:t xml:space="preserve"> </w:t>
      </w:r>
    </w:p>
    <w:p w14:paraId="7F4A51AD" w14:textId="608F2A11" w:rsidR="00F6201A" w:rsidRPr="00A77AF6" w:rsidRDefault="00F6201A" w:rsidP="00757BEF">
      <w:pPr>
        <w:spacing w:line="240" w:lineRule="auto"/>
        <w:ind w:left="720"/>
      </w:pPr>
      <w:r w:rsidRPr="00A77AF6">
        <w:t>‘</w:t>
      </w:r>
      <w:r w:rsidRPr="00A77AF6">
        <w:rPr>
          <w:i/>
        </w:rPr>
        <w:t>the construction industry cycle as part of the overall business cycle is another important factor in increasing the level of mission uncertainty facing decision-makers on the project’</w:t>
      </w:r>
      <w:r w:rsidRPr="00A77AF6">
        <w:t xml:space="preserve">  </w:t>
      </w:r>
      <w:sdt>
        <w:sdtPr>
          <w:id w:val="-496959347"/>
          <w:citation/>
        </w:sdtPr>
        <w:sdtEndPr/>
        <w:sdtContent>
          <w:r w:rsidRPr="00A77AF6">
            <w:fldChar w:fldCharType="begin"/>
          </w:r>
          <w:r w:rsidRPr="00A77AF6">
            <w:instrText xml:space="preserve">CITATION Win10 \p 32 \l 2057 </w:instrText>
          </w:r>
          <w:r w:rsidRPr="00A77AF6">
            <w:fldChar w:fldCharType="separate"/>
          </w:r>
          <w:r w:rsidR="008E653F" w:rsidRPr="00A77AF6">
            <w:t>(Winch, 2010, p. 32)</w:t>
          </w:r>
          <w:r w:rsidRPr="00A77AF6">
            <w:fldChar w:fldCharType="end"/>
          </w:r>
        </w:sdtContent>
      </w:sdt>
      <w:r w:rsidRPr="00A77AF6">
        <w:t xml:space="preserve"> </w:t>
      </w:r>
    </w:p>
    <w:p w14:paraId="12C056CB" w14:textId="2D4D1699" w:rsidR="00CC1A62" w:rsidRPr="00A77AF6" w:rsidRDefault="003C5029" w:rsidP="00CC1A62">
      <w:pPr>
        <w:spacing w:line="360" w:lineRule="auto"/>
      </w:pPr>
      <w:r w:rsidRPr="00A77AF6">
        <w:t>T</w:t>
      </w:r>
      <w:r w:rsidR="00CC1A62" w:rsidRPr="00A77AF6">
        <w:t>he impact of the long lead time for the</w:t>
      </w:r>
      <w:r w:rsidR="008841DE" w:rsidRPr="00A77AF6">
        <w:t xml:space="preserve"> planning </w:t>
      </w:r>
      <w:r w:rsidR="00CC1A62" w:rsidRPr="00A77AF6">
        <w:t>of</w:t>
      </w:r>
      <w:r w:rsidR="008841DE" w:rsidRPr="00A77AF6">
        <w:t xml:space="preserve"> construction, where most economic activity occurs</w:t>
      </w:r>
      <w:r w:rsidR="00CC1A62" w:rsidRPr="00A77AF6">
        <w:t xml:space="preserve">, makes planning </w:t>
      </w:r>
      <w:r w:rsidR="008841DE" w:rsidRPr="00A77AF6">
        <w:t>difficult</w:t>
      </w:r>
      <w:r w:rsidR="00CC1A62" w:rsidRPr="00A77AF6">
        <w:t xml:space="preserve"> </w:t>
      </w:r>
      <w:sdt>
        <w:sdtPr>
          <w:id w:val="1936942164"/>
          <w:citation/>
        </w:sdtPr>
        <w:sdtEndPr/>
        <w:sdtContent>
          <w:r w:rsidR="00F6201A" w:rsidRPr="00A77AF6">
            <w:fldChar w:fldCharType="begin"/>
          </w:r>
          <w:r w:rsidR="00F6201A" w:rsidRPr="00A77AF6">
            <w:instrText xml:space="preserve"> CITATION Win10 \l 2057 </w:instrText>
          </w:r>
          <w:r w:rsidR="00F6201A" w:rsidRPr="00A77AF6">
            <w:fldChar w:fldCharType="separate"/>
          </w:r>
          <w:r w:rsidR="008E653F" w:rsidRPr="00A77AF6">
            <w:t>(Winch, 2010)</w:t>
          </w:r>
          <w:r w:rsidR="00F6201A" w:rsidRPr="00A77AF6">
            <w:fldChar w:fldCharType="end"/>
          </w:r>
        </w:sdtContent>
      </w:sdt>
      <w:r w:rsidR="00F6201A" w:rsidRPr="00A77AF6">
        <w:t xml:space="preserve">.  </w:t>
      </w:r>
    </w:p>
    <w:p w14:paraId="450BAC29" w14:textId="06BF6FA0" w:rsidR="00CC1A62" w:rsidRPr="00A77AF6" w:rsidRDefault="00CC1A62" w:rsidP="00E27E8E">
      <w:pPr>
        <w:rPr>
          <w:u w:val="single"/>
        </w:rPr>
      </w:pPr>
      <w:r w:rsidRPr="00A77AF6">
        <w:rPr>
          <w:u w:val="single"/>
        </w:rPr>
        <w:t xml:space="preserve">Fragmentation </w:t>
      </w:r>
    </w:p>
    <w:p w14:paraId="353DCCB5" w14:textId="025557E9" w:rsidR="00CC1A62" w:rsidRPr="00A77AF6" w:rsidRDefault="00CC1A62" w:rsidP="00CC1A62">
      <w:pPr>
        <w:spacing w:line="360" w:lineRule="auto"/>
      </w:pPr>
      <w:r w:rsidRPr="00A77AF6">
        <w:t>Fragmentation inside the industry has been identified as a significant problem for the industry</w:t>
      </w:r>
      <w:r w:rsidR="009C015A">
        <w:t xml:space="preserve"> and its clients</w:t>
      </w:r>
      <w:r w:rsidR="00656A78">
        <w:t xml:space="preserve">.   In the UK construction industry </w:t>
      </w:r>
      <w:r w:rsidR="002B0640" w:rsidRPr="00A77AF6">
        <w:t>40% of construction contracting jobs are self-employed</w:t>
      </w:r>
      <w:r w:rsidR="001F012D">
        <w:t xml:space="preserve"> compared to the </w:t>
      </w:r>
      <w:r w:rsidR="002B0640" w:rsidRPr="00A77AF6">
        <w:t xml:space="preserve">general economy </w:t>
      </w:r>
      <w:r w:rsidR="001F012D">
        <w:t xml:space="preserve">where the </w:t>
      </w:r>
      <w:r w:rsidR="002B0640" w:rsidRPr="00A77AF6">
        <w:t>number is 15%</w:t>
      </w:r>
      <w:r w:rsidRPr="00A77AF6">
        <w:t xml:space="preserve"> </w:t>
      </w:r>
      <w:r w:rsidR="002B0640" w:rsidRPr="00A77AF6">
        <w:t>(</w:t>
      </w:r>
      <w:r w:rsidRPr="00A77AF6">
        <w:t>Farmer</w:t>
      </w:r>
      <w:r w:rsidR="00160912" w:rsidRPr="00A77AF6">
        <w:t>,</w:t>
      </w:r>
      <w:r w:rsidRPr="00A77AF6">
        <w:t xml:space="preserve"> 2016).  This</w:t>
      </w:r>
      <w:r w:rsidR="002B0640" w:rsidRPr="00A77AF6">
        <w:t xml:space="preserve"> means that those with contractual liability do no</w:t>
      </w:r>
      <w:r w:rsidR="00160912" w:rsidRPr="00A77AF6">
        <w:t>t</w:t>
      </w:r>
      <w:r w:rsidR="002B0640" w:rsidRPr="00A77AF6">
        <w:t xml:space="preserve"> fully control their workforce. This, combined with the distance of much of the industry from the client in the planning stages, results in a lack of focus on the client and more focus on cost </w:t>
      </w:r>
      <w:sdt>
        <w:sdtPr>
          <w:id w:val="243768784"/>
          <w:citation/>
        </w:sdtPr>
        <w:sdtEndPr/>
        <w:sdtContent>
          <w:r w:rsidR="002B0640" w:rsidRPr="00A77AF6">
            <w:fldChar w:fldCharType="begin"/>
          </w:r>
          <w:r w:rsidR="00AE7DC2" w:rsidRPr="00A77AF6">
            <w:instrText xml:space="preserve">CITATION Far16 \l 2057 </w:instrText>
          </w:r>
          <w:r w:rsidR="002B0640" w:rsidRPr="00A77AF6">
            <w:fldChar w:fldCharType="separate"/>
          </w:r>
          <w:r w:rsidR="008E653F" w:rsidRPr="00A77AF6">
            <w:t>(Farmer, 2016)</w:t>
          </w:r>
          <w:r w:rsidR="002B0640" w:rsidRPr="00A77AF6">
            <w:fldChar w:fldCharType="end"/>
          </w:r>
        </w:sdtContent>
      </w:sdt>
      <w:r w:rsidR="002B0640" w:rsidRPr="00A77AF6">
        <w:t xml:space="preserve">. </w:t>
      </w:r>
      <w:r w:rsidRPr="00A77AF6">
        <w:t xml:space="preserve"> </w:t>
      </w:r>
    </w:p>
    <w:p w14:paraId="5B71AFF3" w14:textId="438A6031" w:rsidR="00006A5D" w:rsidRPr="00A77AF6" w:rsidRDefault="002B0640" w:rsidP="005300D4">
      <w:pPr>
        <w:spacing w:after="120" w:line="360" w:lineRule="auto"/>
      </w:pPr>
      <w:r w:rsidRPr="00A77AF6">
        <w:lastRenderedPageBreak/>
        <w:t xml:space="preserve">Fragmentation in construction projects is </w:t>
      </w:r>
      <w:r w:rsidR="00160912" w:rsidRPr="00A77AF6">
        <w:t xml:space="preserve">also a result of </w:t>
      </w:r>
      <w:r w:rsidRPr="00A77AF6">
        <w:t>th</w:t>
      </w:r>
      <w:r w:rsidR="00CC1A62" w:rsidRPr="00A77AF6">
        <w:t xml:space="preserve">e prolonged, </w:t>
      </w:r>
      <w:r w:rsidR="000D74A7" w:rsidRPr="00A77AF6">
        <w:t>time consuming and resource intensive</w:t>
      </w:r>
      <w:r w:rsidR="00CC1A62" w:rsidRPr="00A77AF6">
        <w:t xml:space="preserve"> nature of construction projects </w:t>
      </w:r>
      <w:r w:rsidR="00160912" w:rsidRPr="00A77AF6">
        <w:t xml:space="preserve">that </w:t>
      </w:r>
      <w:r w:rsidR="00CC1A62" w:rsidRPr="00A77AF6">
        <w:t>require the input of many disparate groups</w:t>
      </w:r>
      <w:r w:rsidRPr="00A77AF6">
        <w:t xml:space="preserve"> throughout the lifecycle</w:t>
      </w:r>
      <w:r w:rsidR="00CC1A62" w:rsidRPr="00A77AF6">
        <w:t>.</w:t>
      </w:r>
      <w:r w:rsidR="00160912" w:rsidRPr="00A77AF6">
        <w:t xml:space="preserve"> </w:t>
      </w:r>
      <w:r w:rsidR="00CC1A62" w:rsidRPr="00A77AF6">
        <w:t xml:space="preserve"> The</w:t>
      </w:r>
      <w:r w:rsidR="00006A5D" w:rsidRPr="00A77AF6">
        <w:t xml:space="preserve"> CIOB (2014) noted that</w:t>
      </w:r>
      <w:r w:rsidR="000D74A7" w:rsidRPr="00A77AF6">
        <w:t xml:space="preserve"> </w:t>
      </w:r>
    </w:p>
    <w:p w14:paraId="3377E102" w14:textId="526DCA64" w:rsidR="00006A5D" w:rsidRPr="00A77AF6" w:rsidRDefault="00006A5D" w:rsidP="00006A5D">
      <w:pPr>
        <w:spacing w:line="240" w:lineRule="auto"/>
        <w:ind w:left="720"/>
        <w:rPr>
          <w:rFonts w:cstheme="minorHAnsi"/>
          <w:sz w:val="21"/>
          <w:szCs w:val="21"/>
          <w:shd w:val="clear" w:color="auto" w:fill="FFFFFF"/>
        </w:rPr>
      </w:pPr>
      <w:r w:rsidRPr="00A77AF6">
        <w:rPr>
          <w:rFonts w:cstheme="minorHAnsi"/>
          <w:i/>
          <w:sz w:val="21"/>
          <w:szCs w:val="21"/>
          <w:shd w:val="clear" w:color="auto" w:fill="FFFFFF"/>
        </w:rPr>
        <w:t>‘from initial feasibility to completion and occupation, a typical construction project passes through successive somewhat distinct stages that necessitate input from such asynchronous areas such as financial institutions, regulatory and statutory organisations, members of the public, engineers, planners, architects, specialist designers, cost engineers, building surveyors, lawyers, insurance companies, constructors, suppliers, tradesmen and cost managers.</w:t>
      </w:r>
      <w:r w:rsidRPr="00A77AF6">
        <w:rPr>
          <w:rFonts w:cstheme="minorHAnsi"/>
          <w:sz w:val="21"/>
          <w:szCs w:val="21"/>
          <w:shd w:val="clear" w:color="auto" w:fill="FFFFFF"/>
        </w:rPr>
        <w:t>’</w:t>
      </w:r>
      <w:sdt>
        <w:sdtPr>
          <w:rPr>
            <w:rFonts w:cstheme="minorHAnsi"/>
            <w:sz w:val="21"/>
            <w:szCs w:val="21"/>
            <w:shd w:val="clear" w:color="auto" w:fill="FFFFFF"/>
          </w:rPr>
          <w:id w:val="1615336669"/>
          <w:citation/>
        </w:sdtPr>
        <w:sdtEndPr/>
        <w:sdtContent>
          <w:r w:rsidRPr="00A77AF6">
            <w:rPr>
              <w:rFonts w:cstheme="minorHAnsi"/>
              <w:sz w:val="21"/>
              <w:szCs w:val="21"/>
              <w:shd w:val="clear" w:color="auto" w:fill="FFFFFF"/>
            </w:rPr>
            <w:fldChar w:fldCharType="begin"/>
          </w:r>
          <w:r w:rsidRPr="00A77AF6">
            <w:rPr>
              <w:rFonts w:cstheme="minorHAnsi"/>
              <w:sz w:val="21"/>
              <w:szCs w:val="21"/>
              <w:shd w:val="clear" w:color="auto" w:fill="FFFFFF"/>
            </w:rPr>
            <w:instrText xml:space="preserve">CITATION CIO14 \p 3 \l 2057 </w:instrText>
          </w:r>
          <w:r w:rsidRPr="00A77AF6">
            <w:rPr>
              <w:rFonts w:cstheme="minorHAnsi"/>
              <w:sz w:val="21"/>
              <w:szCs w:val="21"/>
              <w:shd w:val="clear" w:color="auto" w:fill="FFFFFF"/>
            </w:rPr>
            <w:fldChar w:fldCharType="separate"/>
          </w:r>
          <w:r w:rsidR="008E653F" w:rsidRPr="00A77AF6">
            <w:rPr>
              <w:rFonts w:cstheme="minorHAnsi"/>
              <w:sz w:val="21"/>
              <w:szCs w:val="21"/>
              <w:shd w:val="clear" w:color="auto" w:fill="FFFFFF"/>
            </w:rPr>
            <w:t xml:space="preserve"> (CIOB, 2014, p. 3)</w:t>
          </w:r>
          <w:r w:rsidRPr="00A77AF6">
            <w:rPr>
              <w:rFonts w:cstheme="minorHAnsi"/>
              <w:sz w:val="21"/>
              <w:szCs w:val="21"/>
              <w:shd w:val="clear" w:color="auto" w:fill="FFFFFF"/>
            </w:rPr>
            <w:fldChar w:fldCharType="end"/>
          </w:r>
        </w:sdtContent>
      </w:sdt>
    </w:p>
    <w:p w14:paraId="40A873CD" w14:textId="09048E52" w:rsidR="00006A5D" w:rsidRPr="00A77AF6" w:rsidRDefault="002B0640" w:rsidP="00CC1A62">
      <w:pPr>
        <w:spacing w:line="360" w:lineRule="auto"/>
      </w:pPr>
      <w:r w:rsidRPr="00A77AF6">
        <w:t>F</w:t>
      </w:r>
      <w:r w:rsidR="00006A5D" w:rsidRPr="00A77AF6">
        <w:t xml:space="preserve">ragmentation </w:t>
      </w:r>
      <w:r w:rsidR="00CC1A62" w:rsidRPr="00A77AF6">
        <w:t xml:space="preserve">can make </w:t>
      </w:r>
      <w:r w:rsidR="00006A5D" w:rsidRPr="00A77AF6">
        <w:t xml:space="preserve">project organisation </w:t>
      </w:r>
      <w:r w:rsidR="00CC1A62" w:rsidRPr="00A77AF6">
        <w:t>problematic</w:t>
      </w:r>
      <w:r w:rsidR="00006A5D" w:rsidRPr="00A77AF6">
        <w:t xml:space="preserve"> as the many ‘moving parts’ must be managed and co-ordinated to work in the right order </w:t>
      </w:r>
      <w:r w:rsidR="00CC1A62" w:rsidRPr="00A77AF6">
        <w:t xml:space="preserve">and </w:t>
      </w:r>
      <w:r w:rsidR="00006A5D" w:rsidRPr="00A77AF6">
        <w:t>at the right time</w:t>
      </w:r>
      <w:r w:rsidR="00CC1A62" w:rsidRPr="00A77AF6">
        <w:t xml:space="preserve">. </w:t>
      </w:r>
    </w:p>
    <w:p w14:paraId="0DB7B725" w14:textId="0EAF8678" w:rsidR="002B0640" w:rsidRPr="00A77AF6" w:rsidRDefault="002B0640" w:rsidP="00E27E8E">
      <w:pPr>
        <w:rPr>
          <w:u w:val="single"/>
        </w:rPr>
      </w:pPr>
      <w:r w:rsidRPr="00A77AF6">
        <w:rPr>
          <w:u w:val="single"/>
        </w:rPr>
        <w:t>Health and Safety</w:t>
      </w:r>
    </w:p>
    <w:p w14:paraId="4BB9861C" w14:textId="6B85F23B" w:rsidR="00286353" w:rsidRPr="00A77AF6" w:rsidRDefault="00006A5D" w:rsidP="00286353">
      <w:pPr>
        <w:spacing w:line="360" w:lineRule="auto"/>
      </w:pPr>
      <w:r w:rsidRPr="00A77AF6">
        <w:t>Construction projects can be uncertain</w:t>
      </w:r>
      <w:r w:rsidR="000D74A7" w:rsidRPr="00A77AF6">
        <w:t xml:space="preserve"> and </w:t>
      </w:r>
      <w:r w:rsidR="002B0640" w:rsidRPr="00A77AF6">
        <w:t>are</w:t>
      </w:r>
      <w:r w:rsidR="000D74A7" w:rsidRPr="00A77AF6">
        <w:t xml:space="preserve"> dangerous.  </w:t>
      </w:r>
      <w:r w:rsidR="00160912" w:rsidRPr="00A77AF6">
        <w:t xml:space="preserve">Eighty thousand </w:t>
      </w:r>
      <w:r w:rsidR="000D74A7" w:rsidRPr="00A77AF6">
        <w:t>construction workers suffer from ill health each year, there were 30 fatalities in 2016/17, nearly 50% of which were caused by workers falling from a height, and there are 64,000 non-fatal injuries each year</w:t>
      </w:r>
      <w:r w:rsidR="00CA2734" w:rsidRPr="00A77AF6">
        <w:t xml:space="preserve"> </w:t>
      </w:r>
      <w:sdt>
        <w:sdtPr>
          <w:id w:val="-1384482408"/>
          <w:citation/>
        </w:sdtPr>
        <w:sdtEndPr/>
        <w:sdtContent>
          <w:r w:rsidR="00CA2734" w:rsidRPr="00A77AF6">
            <w:fldChar w:fldCharType="begin"/>
          </w:r>
          <w:r w:rsidR="00CA2734" w:rsidRPr="00A77AF6">
            <w:instrText xml:space="preserve"> CITATION HSE18 \l 2057 </w:instrText>
          </w:r>
          <w:r w:rsidR="00CA2734" w:rsidRPr="00A77AF6">
            <w:fldChar w:fldCharType="separate"/>
          </w:r>
          <w:r w:rsidR="008E653F" w:rsidRPr="00A77AF6">
            <w:t>(HSE, 2018)</w:t>
          </w:r>
          <w:r w:rsidR="00CA2734" w:rsidRPr="00A77AF6">
            <w:fldChar w:fldCharType="end"/>
          </w:r>
        </w:sdtContent>
      </w:sdt>
      <w:r w:rsidR="002B0640" w:rsidRPr="00A77AF6">
        <w:t xml:space="preserve">.  </w:t>
      </w:r>
      <w:r w:rsidR="00286353" w:rsidRPr="00A77AF6">
        <w:t xml:space="preserve">Part of the </w:t>
      </w:r>
      <w:r w:rsidR="00160912" w:rsidRPr="00A77AF6">
        <w:t xml:space="preserve">reason </w:t>
      </w:r>
      <w:r w:rsidR="00070D70">
        <w:t xml:space="preserve">is </w:t>
      </w:r>
      <w:r w:rsidR="00160912" w:rsidRPr="00A77AF6">
        <w:t xml:space="preserve">the amount of work carried out on </w:t>
      </w:r>
      <w:r w:rsidR="00605057" w:rsidRPr="00A77AF6">
        <w:t xml:space="preserve">site, </w:t>
      </w:r>
      <w:r w:rsidR="00160912" w:rsidRPr="00A77AF6">
        <w:t>even though</w:t>
      </w:r>
      <w:r w:rsidR="00286353" w:rsidRPr="00A77AF6">
        <w:t xml:space="preserve"> </w:t>
      </w:r>
      <w:r w:rsidR="00605057" w:rsidRPr="00A77AF6">
        <w:t>there is some off-site construction</w:t>
      </w:r>
      <w:r w:rsidR="00286353" w:rsidRPr="00A77AF6">
        <w:t xml:space="preserve">.  </w:t>
      </w:r>
      <w:r w:rsidR="00AA405C" w:rsidRPr="00A77AF6">
        <w:t xml:space="preserve"> </w:t>
      </w:r>
      <w:r w:rsidR="00286353" w:rsidRPr="00A77AF6">
        <w:t>T</w:t>
      </w:r>
      <w:r w:rsidR="00AA405C" w:rsidRPr="00A77AF6">
        <w:t xml:space="preserve">he </w:t>
      </w:r>
      <w:r w:rsidR="00317B91" w:rsidRPr="00A77AF6">
        <w:t xml:space="preserve">fragmented nature of the industry </w:t>
      </w:r>
      <w:r w:rsidR="00286353" w:rsidRPr="00A77AF6">
        <w:t xml:space="preserve">also </w:t>
      </w:r>
      <w:r w:rsidR="00317B91" w:rsidRPr="00A77AF6">
        <w:t>means that small contractors may receive little or no training</w:t>
      </w:r>
      <w:r w:rsidR="00286353" w:rsidRPr="00A77AF6">
        <w:t xml:space="preserve"> in the newest methods of working</w:t>
      </w:r>
      <w:r w:rsidR="00605057" w:rsidRPr="00A77AF6">
        <w:t xml:space="preserve">.  </w:t>
      </w:r>
    </w:p>
    <w:p w14:paraId="7F27164E" w14:textId="20FC648C" w:rsidR="00A419FC" w:rsidRPr="00A77AF6" w:rsidRDefault="00A419FC" w:rsidP="005A57FC">
      <w:pPr>
        <w:pStyle w:val="Heading2"/>
        <w:spacing w:after="120"/>
      </w:pPr>
      <w:bookmarkStart w:id="104" w:name="_Toc36275088"/>
      <w:r w:rsidRPr="00A77AF6">
        <w:t>Concluding remarks</w:t>
      </w:r>
      <w:r w:rsidR="00ED26CC" w:rsidRPr="00A77AF6">
        <w:t xml:space="preserve"> o</w:t>
      </w:r>
      <w:r w:rsidR="00183E15" w:rsidRPr="00A77AF6">
        <w:t>n governance review</w:t>
      </w:r>
      <w:bookmarkEnd w:id="104"/>
    </w:p>
    <w:p w14:paraId="58C3FE7B" w14:textId="4AD225CB" w:rsidR="00757BEF" w:rsidRPr="00A77AF6" w:rsidRDefault="00286353" w:rsidP="00DB438A">
      <w:pPr>
        <w:spacing w:line="360" w:lineRule="auto"/>
      </w:pPr>
      <w:r w:rsidRPr="00A77AF6">
        <w:t>O</w:t>
      </w:r>
      <w:r w:rsidR="00BE29CA" w:rsidRPr="00A77AF6">
        <w:t xml:space="preserve">rganisations exist to bring benefits to </w:t>
      </w:r>
      <w:r w:rsidR="00160912" w:rsidRPr="00A77AF6">
        <w:t xml:space="preserve">their </w:t>
      </w:r>
      <w:r w:rsidR="00BE29CA" w:rsidRPr="00A77AF6">
        <w:t>s</w:t>
      </w:r>
      <w:r w:rsidR="00FA023C" w:rsidRPr="00A77AF6">
        <w:t>takeholders</w:t>
      </w:r>
      <w:r w:rsidR="00160912" w:rsidRPr="00A77AF6">
        <w:t>, however defined</w:t>
      </w:r>
      <w:r w:rsidR="00347281" w:rsidRPr="00A77AF6">
        <w:t xml:space="preserve">, </w:t>
      </w:r>
      <w:r w:rsidRPr="00A77AF6">
        <w:t xml:space="preserve"> and must show that they are being run in the</w:t>
      </w:r>
      <w:r w:rsidR="00347281" w:rsidRPr="00A77AF6">
        <w:t xml:space="preserve">ir interests. </w:t>
      </w:r>
      <w:r w:rsidRPr="00A77AF6">
        <w:t xml:space="preserve"> Laws and governance principles </w:t>
      </w:r>
      <w:r w:rsidR="00347281" w:rsidRPr="00A77AF6">
        <w:t xml:space="preserve">created in response to organisational failings, </w:t>
      </w:r>
      <w:r w:rsidRPr="00A77AF6">
        <w:t xml:space="preserve">make clear the behaviour that </w:t>
      </w:r>
      <w:r w:rsidR="00347281" w:rsidRPr="00A77AF6">
        <w:t xml:space="preserve">is </w:t>
      </w:r>
      <w:r w:rsidRPr="00A77AF6">
        <w:t>expected for the</w:t>
      </w:r>
      <w:r w:rsidR="00DB438A" w:rsidRPr="00A77AF6">
        <w:t xml:space="preserve"> success of the organisation and the</w:t>
      </w:r>
      <w:r w:rsidRPr="00A77AF6">
        <w:t xml:space="preserve"> maintenance of pub</w:t>
      </w:r>
      <w:r w:rsidR="00DB438A" w:rsidRPr="00A77AF6">
        <w:t>l</w:t>
      </w:r>
      <w:r w:rsidRPr="00A77AF6">
        <w:t xml:space="preserve">ic confidence. </w:t>
      </w:r>
      <w:r w:rsidR="00347281" w:rsidRPr="00A77AF6">
        <w:t xml:space="preserve">It has been shown that project governance </w:t>
      </w:r>
      <w:r w:rsidR="00DB438A" w:rsidRPr="00A77AF6">
        <w:t xml:space="preserve">flows from corporate governance and </w:t>
      </w:r>
      <w:r w:rsidR="00347281" w:rsidRPr="00A77AF6">
        <w:t xml:space="preserve">has the same imperatives: </w:t>
      </w:r>
      <w:r w:rsidR="00DB438A" w:rsidRPr="00A77AF6">
        <w:t xml:space="preserve">project success and confidence in the project outcome. </w:t>
      </w:r>
      <w:r w:rsidR="00FE65F3" w:rsidRPr="00A77AF6">
        <w:t xml:space="preserve">Agency, Stewardship and Stakeholder theories seek to explain how organisations behave and why.  </w:t>
      </w:r>
      <w:r w:rsidR="00DB438A" w:rsidRPr="00A77AF6">
        <w:t xml:space="preserve">This study adopts Agency theory as the relevant </w:t>
      </w:r>
      <w:r w:rsidR="00FE65F3" w:rsidRPr="00A77AF6">
        <w:t>theory</w:t>
      </w:r>
      <w:r w:rsidR="00DB438A" w:rsidRPr="00A77AF6">
        <w:t xml:space="preserve"> through which to understand corporate and project governance </w:t>
      </w:r>
      <w:r w:rsidR="00FE65F3" w:rsidRPr="00A77AF6">
        <w:t>as</w:t>
      </w:r>
      <w:r w:rsidR="00DB438A" w:rsidRPr="00A77AF6">
        <w:t xml:space="preserve"> </w:t>
      </w:r>
      <w:r w:rsidR="00BD5AA6" w:rsidRPr="00A77AF6">
        <w:t xml:space="preserve">it is </w:t>
      </w:r>
      <w:r w:rsidR="00DB438A" w:rsidRPr="00A77AF6">
        <w:t>rooted in the assumption that agents will behave in a self-interested way that is at odds with the principal who must act to control the agent.  S</w:t>
      </w:r>
      <w:r w:rsidR="001A4FDB" w:rsidRPr="00A77AF6">
        <w:t xml:space="preserve">tructures, </w:t>
      </w:r>
      <w:r w:rsidR="006058FB" w:rsidRPr="00A77AF6">
        <w:t xml:space="preserve">roles and processes </w:t>
      </w:r>
      <w:r w:rsidR="00DB438A" w:rsidRPr="00A77AF6">
        <w:t xml:space="preserve">are created, as the cost of agency, </w:t>
      </w:r>
      <w:r w:rsidR="006058FB" w:rsidRPr="00A77AF6">
        <w:t xml:space="preserve">to guard against the </w:t>
      </w:r>
      <w:r w:rsidR="00FE65F3" w:rsidRPr="00A77AF6">
        <w:t xml:space="preserve">agent’s </w:t>
      </w:r>
      <w:r w:rsidR="006058FB" w:rsidRPr="00A77AF6">
        <w:t>opportunistic behaviour</w:t>
      </w:r>
      <w:r w:rsidR="00FE65F3" w:rsidRPr="00A77AF6">
        <w:t xml:space="preserve">. </w:t>
      </w:r>
      <w:r w:rsidR="006058FB" w:rsidRPr="00A77AF6">
        <w:t xml:space="preserve"> </w:t>
      </w:r>
    </w:p>
    <w:p w14:paraId="399AF2ED" w14:textId="6F67C431" w:rsidR="00347281" w:rsidRPr="00A77AF6" w:rsidRDefault="00DB438A" w:rsidP="00347281">
      <w:pPr>
        <w:spacing w:line="360" w:lineRule="auto"/>
      </w:pPr>
      <w:r w:rsidRPr="00A77AF6">
        <w:t xml:space="preserve">This review showed that </w:t>
      </w:r>
      <w:r w:rsidR="00347281" w:rsidRPr="00A77AF6">
        <w:t xml:space="preserve">there is </w:t>
      </w:r>
      <w:r w:rsidR="00A04182" w:rsidRPr="00A77AF6">
        <w:t xml:space="preserve">discussion </w:t>
      </w:r>
      <w:r w:rsidR="00B1230F" w:rsidRPr="00A77AF6">
        <w:t xml:space="preserve">about </w:t>
      </w:r>
      <w:r w:rsidR="00347281" w:rsidRPr="00A77AF6">
        <w:t>what</w:t>
      </w:r>
      <w:r w:rsidR="00773B2E" w:rsidRPr="00A77AF6">
        <w:t xml:space="preserve"> is measured</w:t>
      </w:r>
      <w:r w:rsidR="00347281" w:rsidRPr="00A77AF6">
        <w:t xml:space="preserve">, when, how and by whom. </w:t>
      </w:r>
      <w:r w:rsidR="00B1230F" w:rsidRPr="00A77AF6">
        <w:t>S</w:t>
      </w:r>
      <w:r w:rsidR="00FE65F3" w:rsidRPr="00A77AF6">
        <w:t>everal</w:t>
      </w:r>
      <w:r w:rsidRPr="00A77AF6">
        <w:t xml:space="preserve"> alternative</w:t>
      </w:r>
      <w:r w:rsidR="000663C1" w:rsidRPr="00A77AF6">
        <w:t xml:space="preserve">s </w:t>
      </w:r>
      <w:r w:rsidR="00B1230F" w:rsidRPr="00A77AF6">
        <w:t xml:space="preserve">to the </w:t>
      </w:r>
      <w:r w:rsidR="00FE65F3" w:rsidRPr="00A77AF6">
        <w:t>‘traditional’ iron triangle</w:t>
      </w:r>
      <w:r w:rsidR="001659C2" w:rsidRPr="00A77AF6">
        <w:t xml:space="preserve"> have been proposed</w:t>
      </w:r>
      <w:r w:rsidR="00176F6C" w:rsidRPr="00A77AF6">
        <w:t xml:space="preserve">, </w:t>
      </w:r>
      <w:r w:rsidR="00347281" w:rsidRPr="00A77AF6">
        <w:t xml:space="preserve">such as </w:t>
      </w:r>
      <w:r w:rsidR="00176F6C" w:rsidRPr="00A77AF6">
        <w:t>applying different weightings to time, cost and quality</w:t>
      </w:r>
      <w:r w:rsidR="00347281" w:rsidRPr="00A77AF6">
        <w:t xml:space="preserve">, </w:t>
      </w:r>
      <w:r w:rsidR="00281F39" w:rsidRPr="00A77AF6">
        <w:t>allowing the project manager to decide</w:t>
      </w:r>
      <w:r w:rsidR="00347281" w:rsidRPr="00A77AF6">
        <w:t xml:space="preserve"> and expanding measures of success in both the project management and operational phases. For project teams</w:t>
      </w:r>
      <w:r w:rsidR="00BE41BA" w:rsidRPr="00A77AF6">
        <w:t>,</w:t>
      </w:r>
      <w:r w:rsidR="00347281" w:rsidRPr="00A77AF6">
        <w:t xml:space="preserve"> m</w:t>
      </w:r>
      <w:r w:rsidR="00B1230F" w:rsidRPr="00A77AF6">
        <w:t xml:space="preserve">easurement is usually done at the end of the project management phase, </w:t>
      </w:r>
      <w:r w:rsidR="00347281" w:rsidRPr="00A77AF6">
        <w:t>but</w:t>
      </w:r>
      <w:r w:rsidR="00B1230F" w:rsidRPr="00A77AF6">
        <w:t xml:space="preserve"> </w:t>
      </w:r>
      <w:r w:rsidR="00B1230F" w:rsidRPr="00A77AF6">
        <w:lastRenderedPageBreak/>
        <w:t>clients</w:t>
      </w:r>
      <w:r w:rsidR="00347281" w:rsidRPr="00A77AF6">
        <w:t xml:space="preserve"> will also wish to measure </w:t>
      </w:r>
      <w:r w:rsidR="00B1230F" w:rsidRPr="00A77AF6">
        <w:t xml:space="preserve">project benefits in the operational phase.  </w:t>
      </w:r>
      <w:r w:rsidR="00176F6C" w:rsidRPr="00A77AF6">
        <w:t xml:space="preserve">The determination of project success may rest with whoever measures it and so different stakeholders may </w:t>
      </w:r>
      <w:r w:rsidR="007E2D5F" w:rsidRPr="00A77AF6">
        <w:t xml:space="preserve">differ in their opinions about the same project. </w:t>
      </w:r>
      <w:r w:rsidR="00347281" w:rsidRPr="00A77AF6">
        <w:t xml:space="preserve"> </w:t>
      </w:r>
    </w:p>
    <w:p w14:paraId="4E9BA506" w14:textId="3984D2DC" w:rsidR="006C1F77" w:rsidRPr="00A77AF6" w:rsidRDefault="00347281" w:rsidP="00AF5F58">
      <w:pPr>
        <w:spacing w:line="360" w:lineRule="auto"/>
      </w:pPr>
      <w:r w:rsidRPr="00A77AF6">
        <w:t xml:space="preserve">Much academic and industry effort has been spent on understanding what </w:t>
      </w:r>
      <w:r w:rsidR="00070D70">
        <w:t xml:space="preserve">factors </w:t>
      </w:r>
      <w:r w:rsidR="00814FC7" w:rsidRPr="00A77AF6">
        <w:t>can increase the</w:t>
      </w:r>
      <w:r w:rsidRPr="00A77AF6">
        <w:t xml:space="preserve"> chances of project success</w:t>
      </w:r>
      <w:r w:rsidR="00814FC7" w:rsidRPr="00A77AF6">
        <w:t xml:space="preserve">. </w:t>
      </w:r>
      <w:r w:rsidRPr="00A77AF6">
        <w:t xml:space="preserve">The </w:t>
      </w:r>
      <w:r w:rsidR="00630FB0" w:rsidRPr="00A77AF6">
        <w:t xml:space="preserve">application of mitigation against </w:t>
      </w:r>
      <w:r w:rsidRPr="00A77AF6">
        <w:t xml:space="preserve">optimism bias </w:t>
      </w:r>
      <w:r w:rsidR="00070D70">
        <w:t xml:space="preserve">is </w:t>
      </w:r>
      <w:r w:rsidRPr="00A77AF6">
        <w:t xml:space="preserve">one method to reduce the impact </w:t>
      </w:r>
      <w:r w:rsidR="00BD5AA6" w:rsidRPr="00A77AF6">
        <w:t>of risk and poor cost and time planning</w:t>
      </w:r>
      <w:r w:rsidRPr="00A77AF6">
        <w:t xml:space="preserve">. </w:t>
      </w:r>
      <w:r w:rsidR="00070D70">
        <w:t xml:space="preserve"> </w:t>
      </w:r>
      <w:r w:rsidR="00814FC7" w:rsidRPr="00A77AF6">
        <w:t xml:space="preserve">CSFs are other factors </w:t>
      </w:r>
      <w:r w:rsidRPr="00A77AF6">
        <w:t xml:space="preserve">that </w:t>
      </w:r>
      <w:r w:rsidR="00814FC7" w:rsidRPr="00A77AF6">
        <w:t xml:space="preserve">may </w:t>
      </w:r>
      <w:r w:rsidRPr="00A77AF6">
        <w:t>positively contribute to the achievement of project success</w:t>
      </w:r>
      <w:r w:rsidR="007D6F44" w:rsidRPr="00A77AF6">
        <w:t xml:space="preserve">, they may </w:t>
      </w:r>
      <w:r w:rsidRPr="00A77AF6">
        <w:t xml:space="preserve">differ across the lifecycle or between industries.  </w:t>
      </w:r>
      <w:r w:rsidR="00176F6C" w:rsidRPr="00A77AF6">
        <w:t xml:space="preserve">For this study, </w:t>
      </w:r>
      <w:r w:rsidR="00281F39" w:rsidRPr="00A77AF6">
        <w:t xml:space="preserve">both the opinion of the respondents and </w:t>
      </w:r>
      <w:r w:rsidR="00176F6C" w:rsidRPr="00A77AF6">
        <w:t>the traditional iron triangle w</w:t>
      </w:r>
      <w:r w:rsidR="00281F39" w:rsidRPr="00A77AF6">
        <w:t>ere</w:t>
      </w:r>
      <w:r w:rsidR="00176F6C" w:rsidRPr="00A77AF6">
        <w:t xml:space="preserve"> used</w:t>
      </w:r>
      <w:r w:rsidR="00281F39" w:rsidRPr="00A77AF6">
        <w:t>.  The iron triangle was adopted in preference to other models</w:t>
      </w:r>
      <w:r w:rsidR="00176F6C" w:rsidRPr="00A77AF6">
        <w:t xml:space="preserve"> because it is widely known and </w:t>
      </w:r>
      <w:r w:rsidR="00D21DD3" w:rsidRPr="00A77AF6">
        <w:t>because of the lack of consensus on what its replacement should be</w:t>
      </w:r>
      <w:r w:rsidR="00281F39" w:rsidRPr="00A77AF6">
        <w:t xml:space="preserve">. </w:t>
      </w:r>
      <w:r w:rsidR="00D21DD3" w:rsidRPr="00A77AF6">
        <w:t xml:space="preserve"> </w:t>
      </w:r>
      <w:r w:rsidR="00176F6C" w:rsidRPr="00A77AF6">
        <w:t xml:space="preserve"> </w:t>
      </w:r>
      <w:r w:rsidR="005D44D3" w:rsidRPr="00A77AF6">
        <w:t xml:space="preserve">The </w:t>
      </w:r>
      <w:r w:rsidR="00C2478D" w:rsidRPr="00A77AF6">
        <w:t xml:space="preserve">topics from </w:t>
      </w:r>
      <w:r w:rsidR="005D44D3" w:rsidRPr="00A77AF6">
        <w:t xml:space="preserve">the literature review </w:t>
      </w:r>
      <w:r w:rsidR="00CD6E23" w:rsidRPr="00A77AF6">
        <w:t xml:space="preserve">formed the basis of the </w:t>
      </w:r>
      <w:r w:rsidR="0077543F" w:rsidRPr="00A77AF6">
        <w:t>survey</w:t>
      </w:r>
      <w:r w:rsidR="004E6FA8" w:rsidRPr="00A77AF6">
        <w:t xml:space="preserve">: </w:t>
      </w:r>
      <w:r w:rsidR="00493A6F" w:rsidRPr="00A77AF6">
        <w:t>ethical predisposition, corporate and project governance</w:t>
      </w:r>
      <w:r w:rsidR="00AF5F58" w:rsidRPr="00A77AF6">
        <w:t xml:space="preserve"> effectiveness</w:t>
      </w:r>
      <w:r w:rsidR="00493A6F" w:rsidRPr="00A77AF6">
        <w:t xml:space="preserve">, </w:t>
      </w:r>
      <w:r w:rsidR="00AF5F58" w:rsidRPr="00A77AF6">
        <w:t>project</w:t>
      </w:r>
      <w:r w:rsidR="00D07100" w:rsidRPr="00A77AF6">
        <w:t xml:space="preserve"> success</w:t>
      </w:r>
      <w:r w:rsidR="004B361B" w:rsidRPr="00A77AF6">
        <w:t xml:space="preserve"> measured </w:t>
      </w:r>
      <w:r w:rsidR="00BF5153" w:rsidRPr="00A77AF6">
        <w:t xml:space="preserve">as respondent opinion and compliance to the iron triangle, </w:t>
      </w:r>
      <w:r w:rsidR="00493A6F" w:rsidRPr="00A77AF6">
        <w:t>project ris</w:t>
      </w:r>
      <w:r w:rsidR="00D07100" w:rsidRPr="00A77AF6">
        <w:t>k,</w:t>
      </w:r>
      <w:r w:rsidR="000134D5" w:rsidRPr="00A77AF6">
        <w:t xml:space="preserve"> critical success factors</w:t>
      </w:r>
      <w:r w:rsidR="00D07100" w:rsidRPr="00A77AF6">
        <w:t xml:space="preserve"> </w:t>
      </w:r>
    </w:p>
    <w:p w14:paraId="109D989A" w14:textId="77777777" w:rsidR="006C1F77" w:rsidRPr="00A77AF6" w:rsidRDefault="006C1F77">
      <w:r w:rsidRPr="00A77AF6">
        <w:br w:type="page"/>
      </w:r>
    </w:p>
    <w:p w14:paraId="50A0D276" w14:textId="6DAE4762" w:rsidR="00183E15" w:rsidRPr="00A77AF6" w:rsidRDefault="00183E15" w:rsidP="002C73A6">
      <w:pPr>
        <w:pStyle w:val="Heading2"/>
        <w:spacing w:after="240"/>
      </w:pPr>
      <w:bookmarkStart w:id="105" w:name="_Toc36275089"/>
      <w:r w:rsidRPr="00A77AF6">
        <w:lastRenderedPageBreak/>
        <w:t>Development of the conceptual framework</w:t>
      </w:r>
      <w:bookmarkEnd w:id="105"/>
    </w:p>
    <w:p w14:paraId="5F09DC3A" w14:textId="2FD44C30" w:rsidR="009048F7" w:rsidRPr="00A77AF6" w:rsidRDefault="00183E15" w:rsidP="00013AB6">
      <w:pPr>
        <w:spacing w:line="360" w:lineRule="auto"/>
      </w:pPr>
      <w:r w:rsidRPr="00A77AF6">
        <w:t>The  conceptual fr</w:t>
      </w:r>
      <w:r w:rsidR="00515E41" w:rsidRPr="00A77AF6">
        <w:t xml:space="preserve">amework was developed by bringing </w:t>
      </w:r>
      <w:r w:rsidR="002C73A6" w:rsidRPr="00A77AF6">
        <w:t>together both literature review chapters</w:t>
      </w:r>
      <w:r w:rsidR="009048F7" w:rsidRPr="00A77AF6">
        <w:t xml:space="preserve"> and synthesising ethical and agency theory</w:t>
      </w:r>
      <w:r w:rsidR="002C73A6" w:rsidRPr="00A77AF6">
        <w:t xml:space="preserve">.  </w:t>
      </w:r>
      <w:r w:rsidR="006C1F77" w:rsidRPr="00A77AF6">
        <w:t xml:space="preserve"> Each </w:t>
      </w:r>
      <w:r w:rsidR="009048F7" w:rsidRPr="00A77AF6">
        <w:t xml:space="preserve">literature review </w:t>
      </w:r>
      <w:r w:rsidR="006C1F77" w:rsidRPr="00A77AF6">
        <w:t xml:space="preserve">chapter examined </w:t>
      </w:r>
      <w:r w:rsidR="00EA6AC9" w:rsidRPr="00A77AF6">
        <w:t xml:space="preserve">what good  conduct is. Ethical </w:t>
      </w:r>
      <w:r w:rsidR="000D0505" w:rsidRPr="00A77AF6">
        <w:t xml:space="preserve">theory </w:t>
      </w:r>
      <w:r w:rsidR="00B778BE" w:rsidRPr="00A77AF6">
        <w:t>discusses</w:t>
      </w:r>
      <w:r w:rsidR="00E208B5" w:rsidRPr="00A77AF6">
        <w:t xml:space="preserve"> </w:t>
      </w:r>
      <w:r w:rsidR="009048F7" w:rsidRPr="00A77AF6">
        <w:t xml:space="preserve">what good conduct is and how actions are justified at a </w:t>
      </w:r>
      <w:r w:rsidR="00E208B5" w:rsidRPr="00A77AF6">
        <w:t>per</w:t>
      </w:r>
      <w:r w:rsidR="00B778BE" w:rsidRPr="00A77AF6">
        <w:t>sonal level</w:t>
      </w:r>
      <w:r w:rsidR="009048F7" w:rsidRPr="00A77AF6">
        <w:t>; a</w:t>
      </w:r>
      <w:r w:rsidR="00B778BE" w:rsidRPr="00A77AF6">
        <w:t xml:space="preserve">gency theory explains why </w:t>
      </w:r>
      <w:r w:rsidR="00DF7B17" w:rsidRPr="00A77AF6">
        <w:t xml:space="preserve">people </w:t>
      </w:r>
      <w:r w:rsidR="009048F7" w:rsidRPr="00A77AF6">
        <w:t xml:space="preserve">behave </w:t>
      </w:r>
      <w:r w:rsidR="00DF7B17" w:rsidRPr="00A77AF6">
        <w:t xml:space="preserve">in a self-interested way </w:t>
      </w:r>
      <w:r w:rsidR="009048F7" w:rsidRPr="00A77AF6">
        <w:t>against the</w:t>
      </w:r>
      <w:r w:rsidR="00DF7B17" w:rsidRPr="00A77AF6">
        <w:t xml:space="preserve"> interests of those they are acting for. The rules-following and duty of formalism are more ethical because</w:t>
      </w:r>
      <w:r w:rsidR="00EA6AC9" w:rsidRPr="00A77AF6">
        <w:t xml:space="preserve"> </w:t>
      </w:r>
      <w:r w:rsidR="00DF7B17" w:rsidRPr="00A77AF6">
        <w:t xml:space="preserve">governance is formed of rules and the rules, if followed, result in behaviour that is honest, transparent and open.  The </w:t>
      </w:r>
      <w:r w:rsidR="009048F7" w:rsidRPr="00A77AF6">
        <w:t>measures</w:t>
      </w:r>
      <w:r w:rsidR="00DF7B17" w:rsidRPr="00A77AF6">
        <w:t xml:space="preserve"> that agency theory requires for the management of self-interested agents, the cost of agency, are those of governance.  </w:t>
      </w:r>
      <w:r w:rsidR="009048F7" w:rsidRPr="00A77AF6">
        <w:t xml:space="preserve"> This work overlaps these theories to create a model of governance based on personal ethics and corporate ethics to examine whether they lead to project success.  </w:t>
      </w:r>
    </w:p>
    <w:p w14:paraId="7E7BA7A6" w14:textId="2D73DF8F" w:rsidR="009048F7" w:rsidRPr="00A77AF6" w:rsidRDefault="009048F7" w:rsidP="00013AB6">
      <w:pPr>
        <w:spacing w:line="360" w:lineRule="auto"/>
      </w:pPr>
      <w:r w:rsidRPr="00A77AF6">
        <w:t>The literature review showed that project success is measured in several ways</w:t>
      </w:r>
      <w:r w:rsidR="003D1CC0" w:rsidRPr="00A77AF6">
        <w:t>, at d</w:t>
      </w:r>
      <w:r w:rsidRPr="00A77AF6">
        <w:t xml:space="preserve">ifferent times </w:t>
      </w:r>
      <w:r w:rsidR="003D1CC0" w:rsidRPr="00A77AF6">
        <w:t xml:space="preserve">and by different stakeholders </w:t>
      </w:r>
      <w:r w:rsidRPr="00A77AF6">
        <w:t xml:space="preserve">during a project lifecycle. </w:t>
      </w:r>
      <w:r w:rsidR="00125BB9">
        <w:t xml:space="preserve">  </w:t>
      </w:r>
      <w:r w:rsidR="00155B95">
        <w:t>Project</w:t>
      </w:r>
      <w:r w:rsidR="00125BB9">
        <w:t xml:space="preserve"> success was defined as inputs, such as </w:t>
      </w:r>
      <w:r w:rsidR="00155B95">
        <w:t>governance</w:t>
      </w:r>
      <w:r w:rsidR="00125BB9">
        <w:t>, skills and knowledge and as outputs</w:t>
      </w:r>
      <w:r w:rsidR="009C2060">
        <w:t xml:space="preserve">, the </w:t>
      </w:r>
      <w:r w:rsidR="00155B95">
        <w:t>delivery</w:t>
      </w:r>
      <w:r w:rsidR="009C2060">
        <w:t xml:space="preserve"> of the </w:t>
      </w:r>
      <w:r w:rsidR="00155B95">
        <w:t>project</w:t>
      </w:r>
      <w:r w:rsidR="009C2060">
        <w:t xml:space="preserve"> to (weighted) time cost and quality</w:t>
      </w:r>
      <w:r w:rsidR="00A9799D">
        <w:t xml:space="preserve"> or benefits</w:t>
      </w:r>
      <w:r w:rsidR="00155B95">
        <w:t xml:space="preserve">.  These are </w:t>
      </w:r>
      <w:r w:rsidR="00A9799D">
        <w:t xml:space="preserve">defined at the start of a </w:t>
      </w:r>
      <w:r w:rsidR="00155B95">
        <w:t>project</w:t>
      </w:r>
      <w:r w:rsidR="00A9799D">
        <w:t xml:space="preserve"> and </w:t>
      </w:r>
      <w:r w:rsidR="00B84185">
        <w:t xml:space="preserve">should be </w:t>
      </w:r>
      <w:r w:rsidR="00155B95">
        <w:t xml:space="preserve">measured at the </w:t>
      </w:r>
      <w:r w:rsidR="00B84185">
        <w:t xml:space="preserve">end of the project management phase and periodically throughout the </w:t>
      </w:r>
      <w:r w:rsidR="0002494C">
        <w:t>project</w:t>
      </w:r>
      <w:r w:rsidR="00B84185">
        <w:t xml:space="preserve"> lifecycle</w:t>
      </w:r>
      <w:r w:rsidR="0002494C">
        <w:t xml:space="preserve"> within the project and corporate environment.  </w:t>
      </w:r>
      <w:r w:rsidRPr="00A77AF6">
        <w:t xml:space="preserve"> For the purpose of this study the iron triangle measure was </w:t>
      </w:r>
      <w:r w:rsidR="003D1CC0" w:rsidRPr="00A77AF6">
        <w:t xml:space="preserve">used </w:t>
      </w:r>
      <w:r w:rsidR="00C27FCB">
        <w:t xml:space="preserve">as the </w:t>
      </w:r>
      <w:r w:rsidR="003D1CC0" w:rsidRPr="00A77AF6">
        <w:t xml:space="preserve">measure </w:t>
      </w:r>
      <w:r w:rsidR="00B66A6D">
        <w:t xml:space="preserve">of </w:t>
      </w:r>
      <w:r w:rsidR="003D1CC0" w:rsidRPr="00A77AF6">
        <w:t>success</w:t>
      </w:r>
      <w:r w:rsidRPr="00A77AF6">
        <w:t xml:space="preserve"> because it is a well-known established model and </w:t>
      </w:r>
      <w:r w:rsidR="003D1CC0" w:rsidRPr="00A77AF6">
        <w:t>the measures of time, cost and quality</w:t>
      </w:r>
      <w:r w:rsidRPr="00A77AF6">
        <w:t xml:space="preserve"> appear in many other models of project success</w:t>
      </w:r>
      <w:r w:rsidR="00C27FCB">
        <w:t xml:space="preserve">.  </w:t>
      </w:r>
      <w:r w:rsidRPr="00A77AF6">
        <w:t xml:space="preserve">The use of </w:t>
      </w:r>
      <w:r w:rsidR="00511584" w:rsidRPr="00A77AF6">
        <w:t xml:space="preserve">mixed methods allowed explanation of the use of other measures should they be </w:t>
      </w:r>
      <w:r w:rsidR="003D1CC0" w:rsidRPr="00A77AF6">
        <w:t>relevant,</w:t>
      </w:r>
      <w:r w:rsidR="00511584" w:rsidRPr="00A77AF6">
        <w:t xml:space="preserve"> and these are included in the conceptual </w:t>
      </w:r>
      <w:r w:rsidR="003D1CC0" w:rsidRPr="00A77AF6">
        <w:t>framework</w:t>
      </w:r>
      <w:r w:rsidR="00070D70">
        <w:t xml:space="preserve"> (Figure 4.10) </w:t>
      </w:r>
      <w:r w:rsidR="003D1CC0" w:rsidRPr="00A77AF6">
        <w:t xml:space="preserve">. </w:t>
      </w:r>
    </w:p>
    <w:p w14:paraId="071E7EB5" w14:textId="2A0137FF" w:rsidR="00DF7B17" w:rsidRPr="00A77AF6" w:rsidRDefault="007560C0" w:rsidP="00013AB6">
      <w:pPr>
        <w:spacing w:line="360" w:lineRule="auto"/>
      </w:pPr>
      <w:r>
        <w:t xml:space="preserve">The framework shows the </w:t>
      </w:r>
      <w:r w:rsidR="00A145EE">
        <w:t>intersection o</w:t>
      </w:r>
      <w:r w:rsidR="007D30F6">
        <w:t>f agency and ethical theor</w:t>
      </w:r>
      <w:r w:rsidR="00A145EE">
        <w:t>ies</w:t>
      </w:r>
      <w:r w:rsidR="007D30F6">
        <w:t xml:space="preserve"> and their common fea</w:t>
      </w:r>
      <w:r w:rsidR="00B25582">
        <w:t xml:space="preserve">tures </w:t>
      </w:r>
      <w:r w:rsidR="0078401C">
        <w:t xml:space="preserve">which describe good </w:t>
      </w:r>
      <w:r w:rsidR="00393C70">
        <w:t>governance</w:t>
      </w:r>
      <w:r w:rsidR="0078401C">
        <w:t xml:space="preserve"> </w:t>
      </w:r>
      <w:r w:rsidR="00B25582">
        <w:t xml:space="preserve">lie in the overlapping </w:t>
      </w:r>
      <w:r w:rsidR="00767B64">
        <w:t xml:space="preserve">are of the </w:t>
      </w:r>
      <w:r w:rsidR="00393C70">
        <w:t>Venn</w:t>
      </w:r>
      <w:r w:rsidR="00767B64">
        <w:t xml:space="preserve"> diagram.  </w:t>
      </w:r>
      <w:r w:rsidR="00E137BE">
        <w:t xml:space="preserve">Ethical and agency theory </w:t>
      </w:r>
      <w:r w:rsidR="00B72DC3">
        <w:t xml:space="preserve">sit in the context of corporate and project governance.  </w:t>
      </w:r>
      <w:r w:rsidR="00E213E8">
        <w:t xml:space="preserve">Governance </w:t>
      </w:r>
      <w:r w:rsidR="00EA123D">
        <w:t xml:space="preserve">is an input </w:t>
      </w:r>
      <w:r w:rsidR="00E24940">
        <w:t>should be present in each phase of the project and s</w:t>
      </w:r>
      <w:r w:rsidR="001C6966">
        <w:t xml:space="preserve">upports the </w:t>
      </w:r>
      <w:r w:rsidR="00957E7E">
        <w:t>effective</w:t>
      </w:r>
      <w:r w:rsidR="00CA1215">
        <w:t xml:space="preserve"> and transparent running of projects and </w:t>
      </w:r>
      <w:r w:rsidR="00957E7E">
        <w:t xml:space="preserve">supports the </w:t>
      </w:r>
      <w:r w:rsidR="001C6966">
        <w:t xml:space="preserve">development of </w:t>
      </w:r>
      <w:r w:rsidR="00202D00">
        <w:t>relevant success measures</w:t>
      </w:r>
      <w:r w:rsidR="009046F3">
        <w:t xml:space="preserve">, which should be </w:t>
      </w:r>
      <w:r w:rsidR="00B72DC3">
        <w:t xml:space="preserve"> </w:t>
      </w:r>
      <w:r w:rsidR="00AE417F">
        <w:t xml:space="preserve">evaluated at </w:t>
      </w:r>
      <w:r w:rsidR="00AB0503">
        <w:t xml:space="preserve">the end of the project management phase and during the operational phases. </w:t>
      </w:r>
    </w:p>
    <w:p w14:paraId="7E09FBC6" w14:textId="77777777" w:rsidR="00DF7B17" w:rsidRPr="00A77AF6" w:rsidRDefault="00DF7B17" w:rsidP="00013AB6">
      <w:pPr>
        <w:spacing w:line="360" w:lineRule="auto"/>
      </w:pPr>
    </w:p>
    <w:p w14:paraId="688FF57A" w14:textId="77777777" w:rsidR="00DF7B17" w:rsidRPr="00A77AF6" w:rsidRDefault="00DF7B17" w:rsidP="00013AB6">
      <w:pPr>
        <w:spacing w:line="360" w:lineRule="auto"/>
      </w:pPr>
    </w:p>
    <w:p w14:paraId="414542D5" w14:textId="77777777" w:rsidR="00DF7B17" w:rsidRPr="00A77AF6" w:rsidRDefault="00DF7B17" w:rsidP="00013AB6">
      <w:pPr>
        <w:spacing w:line="360" w:lineRule="auto"/>
      </w:pPr>
    </w:p>
    <w:p w14:paraId="38F1789A" w14:textId="75C92960" w:rsidR="003B678A" w:rsidRPr="00A77AF6" w:rsidRDefault="00DF7B17" w:rsidP="00013AB6">
      <w:pPr>
        <w:spacing w:line="360" w:lineRule="auto"/>
        <w:sectPr w:rsidR="003B678A" w:rsidRPr="00A77AF6" w:rsidSect="006C06B4">
          <w:pgSz w:w="11906" w:h="16838"/>
          <w:pgMar w:top="1440" w:right="851" w:bottom="1440" w:left="2268" w:header="709" w:footer="709" w:gutter="0"/>
          <w:cols w:space="708"/>
          <w:docGrid w:linePitch="360"/>
        </w:sectPr>
      </w:pPr>
      <w:r w:rsidRPr="00A77AF6">
        <w:t xml:space="preserve"> </w:t>
      </w:r>
    </w:p>
    <w:p w14:paraId="6B792B93" w14:textId="436DC6E6" w:rsidR="0021750E" w:rsidRPr="00A77AF6" w:rsidRDefault="00DF7B17">
      <w:pPr>
        <w:rPr>
          <w:highlight w:val="yellow"/>
        </w:rPr>
      </w:pPr>
      <w:r w:rsidRPr="00A77AF6">
        <w:rPr>
          <w:noProof/>
        </w:rPr>
        <w:lastRenderedPageBreak/>
        <mc:AlternateContent>
          <mc:Choice Requires="wps">
            <w:drawing>
              <wp:anchor distT="0" distB="0" distL="114300" distR="114300" simplePos="0" relativeHeight="252030464" behindDoc="0" locked="0" layoutInCell="1" allowOverlap="1" wp14:anchorId="1485173A" wp14:editId="4858F261">
                <wp:simplePos x="0" y="0"/>
                <wp:positionH relativeFrom="column">
                  <wp:posOffset>-238538</wp:posOffset>
                </wp:positionH>
                <wp:positionV relativeFrom="paragraph">
                  <wp:posOffset>-625170</wp:posOffset>
                </wp:positionV>
                <wp:extent cx="2653748" cy="367748"/>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2653748" cy="367748"/>
                        </a:xfrm>
                        <a:prstGeom prst="rect">
                          <a:avLst/>
                        </a:prstGeom>
                        <a:solidFill>
                          <a:schemeClr val="lt1"/>
                        </a:solidFill>
                        <a:ln w="6350">
                          <a:noFill/>
                        </a:ln>
                      </wps:spPr>
                      <wps:txbx>
                        <w:txbxContent>
                          <w:p w14:paraId="28051AD7" w14:textId="6F2C28BB" w:rsidR="009C0325" w:rsidRPr="004C1D78" w:rsidRDefault="009C0325">
                            <w:pPr>
                              <w:rPr>
                                <w:b/>
                                <w:bCs/>
                              </w:rPr>
                            </w:pPr>
                            <w:r w:rsidRPr="004C1D78">
                              <w:rPr>
                                <w:b/>
                                <w:bCs/>
                              </w:rPr>
                              <w:t>Corporate and project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5173A" id="Text Box 292" o:spid="_x0000_s1054" type="#_x0000_t202" style="position:absolute;margin-left:-18.8pt;margin-top:-49.25pt;width:208.95pt;height:28.9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" fillcolor="white [3201]" stroked="f" strokeweight=".5pt">
                <v:textbox>
                  <w:txbxContent>
                    <w:p w14:paraId="28051AD7" w14:textId="6F2C28BB" w:rsidR="009C0325" w:rsidRPr="004C1D78" w:rsidRDefault="009C0325">
                      <w:pPr>
                        <w:rPr>
                          <w:b/>
                          <w:bCs/>
                        </w:rPr>
                      </w:pPr>
                      <w:r w:rsidRPr="004C1D78">
                        <w:rPr>
                          <w:b/>
                          <w:bCs/>
                        </w:rPr>
                        <w:t>Corporate and project environment</w:t>
                      </w:r>
                    </w:p>
                  </w:txbxContent>
                </v:textbox>
              </v:shape>
            </w:pict>
          </mc:Fallback>
        </mc:AlternateContent>
      </w:r>
      <w:r w:rsidRPr="00A77AF6">
        <w:rPr>
          <w:noProof/>
        </w:rPr>
        <mc:AlternateContent>
          <mc:Choice Requires="wps">
            <w:drawing>
              <wp:anchor distT="0" distB="0" distL="114300" distR="114300" simplePos="0" relativeHeight="252025344" behindDoc="0" locked="0" layoutInCell="1" allowOverlap="1" wp14:anchorId="6F2C0B2C" wp14:editId="47979394">
                <wp:simplePos x="0" y="0"/>
                <wp:positionH relativeFrom="column">
                  <wp:posOffset>-387626</wp:posOffset>
                </wp:positionH>
                <wp:positionV relativeFrom="paragraph">
                  <wp:posOffset>-714623</wp:posOffset>
                </wp:positionV>
                <wp:extent cx="9303026" cy="5744817"/>
                <wp:effectExtent l="0" t="0" r="12700" b="27940"/>
                <wp:wrapNone/>
                <wp:docPr id="291" name="Rectangle 291"/>
                <wp:cNvGraphicFramePr/>
                <a:graphic xmlns:a="http://schemas.openxmlformats.org/drawingml/2006/main">
                  <a:graphicData uri="http://schemas.microsoft.com/office/word/2010/wordprocessingShape">
                    <wps:wsp>
                      <wps:cNvSpPr/>
                      <wps:spPr>
                        <a:xfrm>
                          <a:off x="0" y="0"/>
                          <a:ext cx="9303026" cy="574481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C57EA4" id="Rectangle 291" o:spid="_x0000_s1026" style="position:absolute;margin-left:-30.5pt;margin-top:-56.25pt;width:732.5pt;height:452.35pt;z-index:25202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" filled="f" strokecolor="#1f4d78 [1604]" strokeweight="1pt"/>
            </w:pict>
          </mc:Fallback>
        </mc:AlternateContent>
      </w:r>
      <w:r w:rsidR="00917154" w:rsidRPr="00A77AF6">
        <w:rPr>
          <w:noProof/>
        </w:rPr>
        <mc:AlternateContent>
          <mc:Choice Requires="wps">
            <w:drawing>
              <wp:anchor distT="0" distB="0" distL="114300" distR="114300" simplePos="0" relativeHeight="251283968" behindDoc="0" locked="0" layoutInCell="1" allowOverlap="1" wp14:anchorId="142674E8" wp14:editId="3EA86955">
                <wp:simplePos x="0" y="0"/>
                <wp:positionH relativeFrom="column">
                  <wp:posOffset>3865880</wp:posOffset>
                </wp:positionH>
                <wp:positionV relativeFrom="paragraph">
                  <wp:posOffset>100191</wp:posOffset>
                </wp:positionV>
                <wp:extent cx="1669415" cy="1888435"/>
                <wp:effectExtent l="0" t="0" r="6985" b="0"/>
                <wp:wrapNone/>
                <wp:docPr id="208" name="Text Box 208"/>
                <wp:cNvGraphicFramePr/>
                <a:graphic xmlns:a="http://schemas.openxmlformats.org/drawingml/2006/main">
                  <a:graphicData uri="http://schemas.microsoft.com/office/word/2010/wordprocessingShape">
                    <wps:wsp>
                      <wps:cNvSpPr txBox="1"/>
                      <wps:spPr>
                        <a:xfrm>
                          <a:off x="0" y="0"/>
                          <a:ext cx="1669415" cy="1888435"/>
                        </a:xfrm>
                        <a:prstGeom prst="rect">
                          <a:avLst/>
                        </a:prstGeom>
                        <a:solidFill>
                          <a:sysClr val="window" lastClr="FFFFFF"/>
                        </a:solidFill>
                        <a:ln w="6350">
                          <a:noFill/>
                        </a:ln>
                      </wps:spPr>
                      <wps:txbx>
                        <w:txbxContent>
                          <w:p w14:paraId="663605E0" w14:textId="77777777" w:rsidR="009C0325" w:rsidRPr="00457F7D" w:rsidRDefault="009C0325" w:rsidP="000159D3">
                            <w:pPr>
                              <w:rPr>
                                <w:b/>
                                <w:bCs/>
                                <w:sz w:val="18"/>
                                <w:szCs w:val="18"/>
                                <w:u w:val="single"/>
                              </w:rPr>
                            </w:pPr>
                            <w:r w:rsidRPr="00457F7D">
                              <w:rPr>
                                <w:b/>
                                <w:bCs/>
                                <w:sz w:val="18"/>
                                <w:szCs w:val="18"/>
                                <w:u w:val="single"/>
                              </w:rPr>
                              <w:t>Good governance</w:t>
                            </w:r>
                          </w:p>
                          <w:p w14:paraId="418C4E59" w14:textId="77777777" w:rsidR="009C0325" w:rsidRPr="0072146A" w:rsidRDefault="009C0325" w:rsidP="000159D3">
                            <w:pPr>
                              <w:spacing w:after="0" w:line="240" w:lineRule="auto"/>
                              <w:rPr>
                                <w:sz w:val="18"/>
                                <w:szCs w:val="18"/>
                              </w:rPr>
                            </w:pPr>
                            <w:r w:rsidRPr="0072146A">
                              <w:rPr>
                                <w:sz w:val="18"/>
                                <w:szCs w:val="18"/>
                              </w:rPr>
                              <w:t xml:space="preserve">Formalism </w:t>
                            </w:r>
                          </w:p>
                          <w:p w14:paraId="3EA67C5B" w14:textId="77777777" w:rsidR="009C0325" w:rsidRPr="0072146A" w:rsidRDefault="009C0325" w:rsidP="000159D3">
                            <w:pPr>
                              <w:spacing w:after="0" w:line="240" w:lineRule="auto"/>
                              <w:rPr>
                                <w:sz w:val="18"/>
                                <w:szCs w:val="18"/>
                              </w:rPr>
                            </w:pPr>
                            <w:r w:rsidRPr="0072146A">
                              <w:rPr>
                                <w:sz w:val="18"/>
                                <w:szCs w:val="18"/>
                              </w:rPr>
                              <w:t xml:space="preserve">Openness </w:t>
                            </w:r>
                          </w:p>
                          <w:p w14:paraId="13FD889A" w14:textId="77777777" w:rsidR="009C0325" w:rsidRPr="0072146A" w:rsidRDefault="009C0325" w:rsidP="000159D3">
                            <w:pPr>
                              <w:spacing w:after="0" w:line="240" w:lineRule="auto"/>
                              <w:rPr>
                                <w:sz w:val="18"/>
                                <w:szCs w:val="18"/>
                              </w:rPr>
                            </w:pPr>
                            <w:r w:rsidRPr="0072146A">
                              <w:rPr>
                                <w:sz w:val="18"/>
                                <w:szCs w:val="18"/>
                              </w:rPr>
                              <w:t>Transparency</w:t>
                            </w:r>
                          </w:p>
                          <w:p w14:paraId="006E31BF" w14:textId="77777777" w:rsidR="009C0325" w:rsidRPr="0072146A" w:rsidRDefault="009C0325" w:rsidP="000159D3">
                            <w:pPr>
                              <w:spacing w:after="0" w:line="240" w:lineRule="auto"/>
                              <w:rPr>
                                <w:sz w:val="18"/>
                                <w:szCs w:val="18"/>
                              </w:rPr>
                            </w:pPr>
                            <w:r w:rsidRPr="0072146A">
                              <w:rPr>
                                <w:sz w:val="18"/>
                                <w:szCs w:val="18"/>
                              </w:rPr>
                              <w:t>Integrity</w:t>
                            </w:r>
                          </w:p>
                          <w:p w14:paraId="1E772FE6" w14:textId="77777777" w:rsidR="009C0325" w:rsidRPr="0072146A" w:rsidRDefault="009C0325" w:rsidP="000159D3">
                            <w:pPr>
                              <w:spacing w:after="0" w:line="240" w:lineRule="auto"/>
                              <w:rPr>
                                <w:sz w:val="18"/>
                                <w:szCs w:val="18"/>
                              </w:rPr>
                            </w:pPr>
                            <w:r w:rsidRPr="0072146A">
                              <w:rPr>
                                <w:sz w:val="18"/>
                                <w:szCs w:val="18"/>
                              </w:rPr>
                              <w:t>Focus on needs of stakeholders</w:t>
                            </w:r>
                          </w:p>
                          <w:p w14:paraId="5D755748" w14:textId="77777777" w:rsidR="009C0325" w:rsidRPr="00750414" w:rsidRDefault="009C0325" w:rsidP="000159D3">
                            <w:pPr>
                              <w:spacing w:after="0" w:line="240" w:lineRule="auto"/>
                              <w:rPr>
                                <w:sz w:val="18"/>
                                <w:szCs w:val="18"/>
                              </w:rPr>
                            </w:pPr>
                            <w:r w:rsidRPr="00750414">
                              <w:rPr>
                                <w:sz w:val="18"/>
                                <w:szCs w:val="18"/>
                              </w:rPr>
                              <w:t>Cost of agency</w:t>
                            </w:r>
                          </w:p>
                          <w:p w14:paraId="79A24A7E" w14:textId="77777777" w:rsidR="009C0325" w:rsidRPr="0072146A" w:rsidRDefault="009C0325" w:rsidP="000159D3">
                            <w:pPr>
                              <w:spacing w:after="0" w:line="240" w:lineRule="auto"/>
                              <w:rPr>
                                <w:sz w:val="18"/>
                                <w:szCs w:val="18"/>
                              </w:rPr>
                            </w:pPr>
                            <w:r w:rsidRPr="0072146A">
                              <w:rPr>
                                <w:sz w:val="18"/>
                                <w:szCs w:val="18"/>
                              </w:rPr>
                              <w:t>Structures</w:t>
                            </w:r>
                          </w:p>
                          <w:p w14:paraId="6210CA7E" w14:textId="77777777" w:rsidR="009C0325" w:rsidRPr="0072146A" w:rsidRDefault="009C0325" w:rsidP="000159D3">
                            <w:pPr>
                              <w:spacing w:after="0" w:line="240" w:lineRule="auto"/>
                              <w:rPr>
                                <w:sz w:val="18"/>
                                <w:szCs w:val="18"/>
                              </w:rPr>
                            </w:pPr>
                            <w:r w:rsidRPr="0072146A">
                              <w:rPr>
                                <w:sz w:val="18"/>
                                <w:szCs w:val="18"/>
                              </w:rPr>
                              <w:t>Roles</w:t>
                            </w:r>
                          </w:p>
                          <w:p w14:paraId="39353464" w14:textId="1A459967" w:rsidR="009C0325" w:rsidRDefault="009C0325" w:rsidP="000159D3">
                            <w:pPr>
                              <w:spacing w:after="0" w:line="240" w:lineRule="auto"/>
                              <w:rPr>
                                <w:sz w:val="18"/>
                                <w:szCs w:val="18"/>
                              </w:rPr>
                            </w:pPr>
                            <w:r w:rsidRPr="0072146A">
                              <w:rPr>
                                <w:sz w:val="18"/>
                                <w:szCs w:val="18"/>
                              </w:rPr>
                              <w:t>Processes</w:t>
                            </w:r>
                          </w:p>
                          <w:p w14:paraId="7B1AD3B0" w14:textId="7F876986" w:rsidR="009C0325" w:rsidRDefault="009C0325" w:rsidP="000159D3">
                            <w:pPr>
                              <w:spacing w:after="0" w:line="240" w:lineRule="auto"/>
                              <w:rPr>
                                <w:sz w:val="18"/>
                                <w:szCs w:val="18"/>
                              </w:rPr>
                            </w:pPr>
                            <w:r>
                              <w:rPr>
                                <w:sz w:val="18"/>
                                <w:szCs w:val="18"/>
                              </w:rPr>
                              <w:t>Risk management</w:t>
                            </w:r>
                          </w:p>
                          <w:p w14:paraId="08E824AE" w14:textId="2B20649A" w:rsidR="009C0325" w:rsidRDefault="009C0325" w:rsidP="000159D3">
                            <w:pPr>
                              <w:spacing w:after="0" w:line="240" w:lineRule="auto"/>
                              <w:rPr>
                                <w:sz w:val="18"/>
                                <w:szCs w:val="18"/>
                              </w:rPr>
                            </w:pPr>
                            <w:r>
                              <w:rPr>
                                <w:sz w:val="18"/>
                                <w:szCs w:val="18"/>
                              </w:rPr>
                              <w:t>Critical success factors</w:t>
                            </w:r>
                          </w:p>
                          <w:p w14:paraId="0E578812" w14:textId="03584CFC" w:rsidR="009C0325" w:rsidRPr="0072146A" w:rsidRDefault="009C0325" w:rsidP="000159D3">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74E8" id="Text Box 208" o:spid="_x0000_s1055" type="#_x0000_t202" style="position:absolute;margin-left:304.4pt;margin-top:7.9pt;width:131.45pt;height:148.7pt;z-index:251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" fillcolor="window" stroked="f" strokeweight=".5pt">
                <v:textbox>
                  <w:txbxContent>
                    <w:p w14:paraId="663605E0" w14:textId="77777777" w:rsidR="009C0325" w:rsidRPr="00457F7D" w:rsidRDefault="009C0325" w:rsidP="000159D3">
                      <w:pPr>
                        <w:rPr>
                          <w:b/>
                          <w:bCs/>
                          <w:sz w:val="18"/>
                          <w:szCs w:val="18"/>
                          <w:u w:val="single"/>
                        </w:rPr>
                      </w:pPr>
                      <w:r w:rsidRPr="00457F7D">
                        <w:rPr>
                          <w:b/>
                          <w:bCs/>
                          <w:sz w:val="18"/>
                          <w:szCs w:val="18"/>
                          <w:u w:val="single"/>
                        </w:rPr>
                        <w:t>Good governance</w:t>
                      </w:r>
                    </w:p>
                    <w:p w14:paraId="418C4E59" w14:textId="77777777" w:rsidR="009C0325" w:rsidRPr="0072146A" w:rsidRDefault="009C0325" w:rsidP="000159D3">
                      <w:pPr>
                        <w:spacing w:after="0" w:line="240" w:lineRule="auto"/>
                        <w:rPr>
                          <w:sz w:val="18"/>
                          <w:szCs w:val="18"/>
                        </w:rPr>
                      </w:pPr>
                      <w:r w:rsidRPr="0072146A">
                        <w:rPr>
                          <w:sz w:val="18"/>
                          <w:szCs w:val="18"/>
                        </w:rPr>
                        <w:t xml:space="preserve">Formalism </w:t>
                      </w:r>
                    </w:p>
                    <w:p w14:paraId="3EA67C5B" w14:textId="77777777" w:rsidR="009C0325" w:rsidRPr="0072146A" w:rsidRDefault="009C0325" w:rsidP="000159D3">
                      <w:pPr>
                        <w:spacing w:after="0" w:line="240" w:lineRule="auto"/>
                        <w:rPr>
                          <w:sz w:val="18"/>
                          <w:szCs w:val="18"/>
                        </w:rPr>
                      </w:pPr>
                      <w:r w:rsidRPr="0072146A">
                        <w:rPr>
                          <w:sz w:val="18"/>
                          <w:szCs w:val="18"/>
                        </w:rPr>
                        <w:t xml:space="preserve">Openness </w:t>
                      </w:r>
                    </w:p>
                    <w:p w14:paraId="13FD889A" w14:textId="77777777" w:rsidR="009C0325" w:rsidRPr="0072146A" w:rsidRDefault="009C0325" w:rsidP="000159D3">
                      <w:pPr>
                        <w:spacing w:after="0" w:line="240" w:lineRule="auto"/>
                        <w:rPr>
                          <w:sz w:val="18"/>
                          <w:szCs w:val="18"/>
                        </w:rPr>
                      </w:pPr>
                      <w:r w:rsidRPr="0072146A">
                        <w:rPr>
                          <w:sz w:val="18"/>
                          <w:szCs w:val="18"/>
                        </w:rPr>
                        <w:t>Transparency</w:t>
                      </w:r>
                    </w:p>
                    <w:p w14:paraId="006E31BF" w14:textId="77777777" w:rsidR="009C0325" w:rsidRPr="0072146A" w:rsidRDefault="009C0325" w:rsidP="000159D3">
                      <w:pPr>
                        <w:spacing w:after="0" w:line="240" w:lineRule="auto"/>
                        <w:rPr>
                          <w:sz w:val="18"/>
                          <w:szCs w:val="18"/>
                        </w:rPr>
                      </w:pPr>
                      <w:r w:rsidRPr="0072146A">
                        <w:rPr>
                          <w:sz w:val="18"/>
                          <w:szCs w:val="18"/>
                        </w:rPr>
                        <w:t>Integrity</w:t>
                      </w:r>
                    </w:p>
                    <w:p w14:paraId="1E772FE6" w14:textId="77777777" w:rsidR="009C0325" w:rsidRPr="0072146A" w:rsidRDefault="009C0325" w:rsidP="000159D3">
                      <w:pPr>
                        <w:spacing w:after="0" w:line="240" w:lineRule="auto"/>
                        <w:rPr>
                          <w:sz w:val="18"/>
                          <w:szCs w:val="18"/>
                        </w:rPr>
                      </w:pPr>
                      <w:r w:rsidRPr="0072146A">
                        <w:rPr>
                          <w:sz w:val="18"/>
                          <w:szCs w:val="18"/>
                        </w:rPr>
                        <w:t>Focus on needs of stakeholders</w:t>
                      </w:r>
                    </w:p>
                    <w:p w14:paraId="5D755748" w14:textId="77777777" w:rsidR="009C0325" w:rsidRPr="00750414" w:rsidRDefault="009C0325" w:rsidP="000159D3">
                      <w:pPr>
                        <w:spacing w:after="0" w:line="240" w:lineRule="auto"/>
                        <w:rPr>
                          <w:sz w:val="18"/>
                          <w:szCs w:val="18"/>
                        </w:rPr>
                      </w:pPr>
                      <w:r w:rsidRPr="00750414">
                        <w:rPr>
                          <w:sz w:val="18"/>
                          <w:szCs w:val="18"/>
                        </w:rPr>
                        <w:t>Cost of agency</w:t>
                      </w:r>
                    </w:p>
                    <w:p w14:paraId="79A24A7E" w14:textId="77777777" w:rsidR="009C0325" w:rsidRPr="0072146A" w:rsidRDefault="009C0325" w:rsidP="000159D3">
                      <w:pPr>
                        <w:spacing w:after="0" w:line="240" w:lineRule="auto"/>
                        <w:rPr>
                          <w:sz w:val="18"/>
                          <w:szCs w:val="18"/>
                        </w:rPr>
                      </w:pPr>
                      <w:r w:rsidRPr="0072146A">
                        <w:rPr>
                          <w:sz w:val="18"/>
                          <w:szCs w:val="18"/>
                        </w:rPr>
                        <w:t>Structures</w:t>
                      </w:r>
                    </w:p>
                    <w:p w14:paraId="6210CA7E" w14:textId="77777777" w:rsidR="009C0325" w:rsidRPr="0072146A" w:rsidRDefault="009C0325" w:rsidP="000159D3">
                      <w:pPr>
                        <w:spacing w:after="0" w:line="240" w:lineRule="auto"/>
                        <w:rPr>
                          <w:sz w:val="18"/>
                          <w:szCs w:val="18"/>
                        </w:rPr>
                      </w:pPr>
                      <w:r w:rsidRPr="0072146A">
                        <w:rPr>
                          <w:sz w:val="18"/>
                          <w:szCs w:val="18"/>
                        </w:rPr>
                        <w:t>Roles</w:t>
                      </w:r>
                    </w:p>
                    <w:p w14:paraId="39353464" w14:textId="1A459967" w:rsidR="009C0325" w:rsidRDefault="009C0325" w:rsidP="000159D3">
                      <w:pPr>
                        <w:spacing w:after="0" w:line="240" w:lineRule="auto"/>
                        <w:rPr>
                          <w:sz w:val="18"/>
                          <w:szCs w:val="18"/>
                        </w:rPr>
                      </w:pPr>
                      <w:r w:rsidRPr="0072146A">
                        <w:rPr>
                          <w:sz w:val="18"/>
                          <w:szCs w:val="18"/>
                        </w:rPr>
                        <w:t>Processes</w:t>
                      </w:r>
                    </w:p>
                    <w:p w14:paraId="7B1AD3B0" w14:textId="7F876986" w:rsidR="009C0325" w:rsidRDefault="009C0325" w:rsidP="000159D3">
                      <w:pPr>
                        <w:spacing w:after="0" w:line="240" w:lineRule="auto"/>
                        <w:rPr>
                          <w:sz w:val="18"/>
                          <w:szCs w:val="18"/>
                        </w:rPr>
                      </w:pPr>
                      <w:r>
                        <w:rPr>
                          <w:sz w:val="18"/>
                          <w:szCs w:val="18"/>
                        </w:rPr>
                        <w:t>Risk management</w:t>
                      </w:r>
                    </w:p>
                    <w:p w14:paraId="08E824AE" w14:textId="2B20649A" w:rsidR="009C0325" w:rsidRDefault="009C0325" w:rsidP="000159D3">
                      <w:pPr>
                        <w:spacing w:after="0" w:line="240" w:lineRule="auto"/>
                        <w:rPr>
                          <w:sz w:val="18"/>
                          <w:szCs w:val="18"/>
                        </w:rPr>
                      </w:pPr>
                      <w:r>
                        <w:rPr>
                          <w:sz w:val="18"/>
                          <w:szCs w:val="18"/>
                        </w:rPr>
                        <w:t>Critical success factors</w:t>
                      </w:r>
                    </w:p>
                    <w:p w14:paraId="0E578812" w14:textId="03584CFC" w:rsidR="009C0325" w:rsidRPr="0072146A" w:rsidRDefault="009C0325" w:rsidP="000159D3">
                      <w:pPr>
                        <w:spacing w:after="0" w:line="240" w:lineRule="auto"/>
                        <w:rPr>
                          <w:sz w:val="18"/>
                          <w:szCs w:val="18"/>
                        </w:rPr>
                      </w:pPr>
                    </w:p>
                  </w:txbxContent>
                </v:textbox>
              </v:shape>
            </w:pict>
          </mc:Fallback>
        </mc:AlternateContent>
      </w:r>
      <w:r w:rsidR="00457F7D" w:rsidRPr="00A77AF6">
        <w:rPr>
          <w:noProof/>
        </w:rPr>
        <mc:AlternateContent>
          <mc:Choice Requires="wps">
            <w:drawing>
              <wp:anchor distT="0" distB="0" distL="114300" distR="114300" simplePos="0" relativeHeight="251938304" behindDoc="0" locked="0" layoutInCell="1" allowOverlap="1" wp14:anchorId="471EB2BE" wp14:editId="1C4DCC40">
                <wp:simplePos x="0" y="0"/>
                <wp:positionH relativeFrom="column">
                  <wp:posOffset>6038360</wp:posOffset>
                </wp:positionH>
                <wp:positionV relativeFrom="paragraph">
                  <wp:posOffset>258887</wp:posOffset>
                </wp:positionV>
                <wp:extent cx="1003852" cy="1639956"/>
                <wp:effectExtent l="0" t="0" r="6350" b="0"/>
                <wp:wrapNone/>
                <wp:docPr id="12379" name="Text Box 12379"/>
                <wp:cNvGraphicFramePr/>
                <a:graphic xmlns:a="http://schemas.openxmlformats.org/drawingml/2006/main">
                  <a:graphicData uri="http://schemas.microsoft.com/office/word/2010/wordprocessingShape">
                    <wps:wsp>
                      <wps:cNvSpPr txBox="1"/>
                      <wps:spPr>
                        <a:xfrm>
                          <a:off x="0" y="0"/>
                          <a:ext cx="1003852" cy="1639956"/>
                        </a:xfrm>
                        <a:prstGeom prst="rect">
                          <a:avLst/>
                        </a:prstGeom>
                        <a:solidFill>
                          <a:schemeClr val="lt1"/>
                        </a:solidFill>
                        <a:ln w="6350">
                          <a:noFill/>
                        </a:ln>
                      </wps:spPr>
                      <wps:txbx>
                        <w:txbxContent>
                          <w:p w14:paraId="4428B447" w14:textId="5BEDE27D" w:rsidR="009C0325" w:rsidRPr="00457F7D" w:rsidRDefault="009C0325">
                            <w:pPr>
                              <w:rPr>
                                <w:b/>
                                <w:bCs/>
                                <w:sz w:val="18"/>
                                <w:szCs w:val="18"/>
                                <w:u w:val="single"/>
                              </w:rPr>
                            </w:pPr>
                            <w:r w:rsidRPr="00457F7D">
                              <w:rPr>
                                <w:b/>
                                <w:bCs/>
                                <w:sz w:val="18"/>
                                <w:szCs w:val="18"/>
                                <w:u w:val="single"/>
                              </w:rPr>
                              <w:t>Ethical theory</w:t>
                            </w:r>
                          </w:p>
                          <w:p w14:paraId="09796CDD" w14:textId="5F227495" w:rsidR="009C0325" w:rsidRPr="00663DA5" w:rsidRDefault="009C0325">
                            <w:pPr>
                              <w:rPr>
                                <w:sz w:val="18"/>
                                <w:szCs w:val="18"/>
                              </w:rPr>
                            </w:pPr>
                            <w:r w:rsidRPr="00663DA5">
                              <w:rPr>
                                <w:sz w:val="18"/>
                                <w:szCs w:val="18"/>
                              </w:rPr>
                              <w:t>Utilitarianism</w:t>
                            </w:r>
                          </w:p>
                          <w:p w14:paraId="449F0A46" w14:textId="78E1C946" w:rsidR="009C0325" w:rsidRPr="00663DA5" w:rsidRDefault="009C0325">
                            <w:pPr>
                              <w:rPr>
                                <w:sz w:val="18"/>
                                <w:szCs w:val="18"/>
                              </w:rPr>
                            </w:pPr>
                            <w:r w:rsidRPr="00663DA5">
                              <w:rPr>
                                <w:sz w:val="18"/>
                                <w:szCs w:val="18"/>
                              </w:rPr>
                              <w:t>Gender</w:t>
                            </w:r>
                          </w:p>
                          <w:p w14:paraId="450DB50C" w14:textId="3CA19111" w:rsidR="009C0325" w:rsidRDefault="009C0325">
                            <w:pPr>
                              <w:rPr>
                                <w:sz w:val="18"/>
                                <w:szCs w:val="18"/>
                              </w:rPr>
                            </w:pPr>
                            <w:r w:rsidRPr="00663DA5">
                              <w:rPr>
                                <w:sz w:val="18"/>
                                <w:szCs w:val="18"/>
                              </w:rPr>
                              <w:t>Age</w:t>
                            </w:r>
                          </w:p>
                          <w:p w14:paraId="1D470B4D" w14:textId="14668C72" w:rsidR="009C0325" w:rsidRPr="00663DA5" w:rsidRDefault="009C0325">
                            <w:pPr>
                              <w:rPr>
                                <w:sz w:val="18"/>
                                <w:szCs w:val="18"/>
                              </w:rPr>
                            </w:pPr>
                            <w:r>
                              <w:rPr>
                                <w:sz w:val="18"/>
                                <w:szCs w:val="18"/>
                              </w:rPr>
                              <w:t xml:space="preserve">Virtue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EB2BE" id="Text Box 12379" o:spid="_x0000_s1056" type="#_x0000_t202" style="position:absolute;margin-left:475.45pt;margin-top:20.4pt;width:79.05pt;height:129.1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" fillcolor="white [3201]" stroked="f" strokeweight=".5pt">
                <v:textbox>
                  <w:txbxContent>
                    <w:p w14:paraId="4428B447" w14:textId="5BEDE27D" w:rsidR="009C0325" w:rsidRPr="00457F7D" w:rsidRDefault="009C0325">
                      <w:pPr>
                        <w:rPr>
                          <w:b/>
                          <w:bCs/>
                          <w:sz w:val="18"/>
                          <w:szCs w:val="18"/>
                          <w:u w:val="single"/>
                        </w:rPr>
                      </w:pPr>
                      <w:r w:rsidRPr="00457F7D">
                        <w:rPr>
                          <w:b/>
                          <w:bCs/>
                          <w:sz w:val="18"/>
                          <w:szCs w:val="18"/>
                          <w:u w:val="single"/>
                        </w:rPr>
                        <w:t>Ethical theory</w:t>
                      </w:r>
                    </w:p>
                    <w:p w14:paraId="09796CDD" w14:textId="5F227495" w:rsidR="009C0325" w:rsidRPr="00663DA5" w:rsidRDefault="009C0325">
                      <w:pPr>
                        <w:rPr>
                          <w:sz w:val="18"/>
                          <w:szCs w:val="18"/>
                        </w:rPr>
                      </w:pPr>
                      <w:r w:rsidRPr="00663DA5">
                        <w:rPr>
                          <w:sz w:val="18"/>
                          <w:szCs w:val="18"/>
                        </w:rPr>
                        <w:t>Utilitarianism</w:t>
                      </w:r>
                    </w:p>
                    <w:p w14:paraId="449F0A46" w14:textId="78E1C946" w:rsidR="009C0325" w:rsidRPr="00663DA5" w:rsidRDefault="009C0325">
                      <w:pPr>
                        <w:rPr>
                          <w:sz w:val="18"/>
                          <w:szCs w:val="18"/>
                        </w:rPr>
                      </w:pPr>
                      <w:r w:rsidRPr="00663DA5">
                        <w:rPr>
                          <w:sz w:val="18"/>
                          <w:szCs w:val="18"/>
                        </w:rPr>
                        <w:t>Gender</w:t>
                      </w:r>
                    </w:p>
                    <w:p w14:paraId="450DB50C" w14:textId="3CA19111" w:rsidR="009C0325" w:rsidRDefault="009C0325">
                      <w:pPr>
                        <w:rPr>
                          <w:sz w:val="18"/>
                          <w:szCs w:val="18"/>
                        </w:rPr>
                      </w:pPr>
                      <w:r w:rsidRPr="00663DA5">
                        <w:rPr>
                          <w:sz w:val="18"/>
                          <w:szCs w:val="18"/>
                        </w:rPr>
                        <w:t>Age</w:t>
                      </w:r>
                    </w:p>
                    <w:p w14:paraId="1D470B4D" w14:textId="14668C72" w:rsidR="009C0325" w:rsidRPr="00663DA5" w:rsidRDefault="009C0325">
                      <w:pPr>
                        <w:rPr>
                          <w:sz w:val="18"/>
                          <w:szCs w:val="18"/>
                        </w:rPr>
                      </w:pPr>
                      <w:r>
                        <w:rPr>
                          <w:sz w:val="18"/>
                          <w:szCs w:val="18"/>
                        </w:rPr>
                        <w:t xml:space="preserve">Virtue </w:t>
                      </w:r>
                    </w:p>
                  </w:txbxContent>
                </v:textbox>
              </v:shape>
            </w:pict>
          </mc:Fallback>
        </mc:AlternateContent>
      </w:r>
      <w:r w:rsidR="00457F7D" w:rsidRPr="00A77AF6">
        <w:rPr>
          <w:noProof/>
        </w:rPr>
        <mc:AlternateContent>
          <mc:Choice Requires="wps">
            <w:drawing>
              <wp:anchor distT="0" distB="0" distL="114300" distR="114300" simplePos="0" relativeHeight="251943424" behindDoc="0" locked="0" layoutInCell="1" allowOverlap="1" wp14:anchorId="15994286" wp14:editId="3615C9DC">
                <wp:simplePos x="0" y="0"/>
                <wp:positionH relativeFrom="column">
                  <wp:posOffset>1963321</wp:posOffset>
                </wp:positionH>
                <wp:positionV relativeFrom="paragraph">
                  <wp:posOffset>179373</wp:posOffset>
                </wp:positionV>
                <wp:extent cx="1076325" cy="1997765"/>
                <wp:effectExtent l="0" t="0" r="9525" b="2540"/>
                <wp:wrapNone/>
                <wp:docPr id="12381" name="Text Box 12381"/>
                <wp:cNvGraphicFramePr/>
                <a:graphic xmlns:a="http://schemas.openxmlformats.org/drawingml/2006/main">
                  <a:graphicData uri="http://schemas.microsoft.com/office/word/2010/wordprocessingShape">
                    <wps:wsp>
                      <wps:cNvSpPr txBox="1"/>
                      <wps:spPr>
                        <a:xfrm>
                          <a:off x="0" y="0"/>
                          <a:ext cx="1076325" cy="1997765"/>
                        </a:xfrm>
                        <a:prstGeom prst="rect">
                          <a:avLst/>
                        </a:prstGeom>
                        <a:solidFill>
                          <a:schemeClr val="lt1"/>
                        </a:solidFill>
                        <a:ln w="6350">
                          <a:noFill/>
                        </a:ln>
                      </wps:spPr>
                      <wps:txbx>
                        <w:txbxContent>
                          <w:p w14:paraId="1E855144" w14:textId="13D5A253" w:rsidR="009C0325" w:rsidRPr="00457F7D" w:rsidRDefault="009C0325">
                            <w:pPr>
                              <w:rPr>
                                <w:b/>
                                <w:bCs/>
                                <w:sz w:val="18"/>
                                <w:szCs w:val="18"/>
                                <w:u w:val="single"/>
                              </w:rPr>
                            </w:pPr>
                            <w:r w:rsidRPr="00457F7D">
                              <w:rPr>
                                <w:b/>
                                <w:bCs/>
                                <w:sz w:val="18"/>
                                <w:szCs w:val="18"/>
                                <w:u w:val="single"/>
                              </w:rPr>
                              <w:t>Agency theory</w:t>
                            </w:r>
                          </w:p>
                          <w:p w14:paraId="7B4E2B72" w14:textId="46E01B54" w:rsidR="009C0325" w:rsidRPr="00663DA5" w:rsidRDefault="009C0325">
                            <w:pPr>
                              <w:rPr>
                                <w:sz w:val="18"/>
                                <w:szCs w:val="18"/>
                              </w:rPr>
                            </w:pPr>
                            <w:r w:rsidRPr="00663DA5">
                              <w:rPr>
                                <w:sz w:val="18"/>
                                <w:szCs w:val="18"/>
                              </w:rPr>
                              <w:t>Self-interested behaviour of agent</w:t>
                            </w:r>
                          </w:p>
                          <w:p w14:paraId="4F5B9796" w14:textId="0B581429" w:rsidR="009C0325" w:rsidRDefault="009C0325">
                            <w:r w:rsidRPr="00663DA5">
                              <w:rPr>
                                <w:sz w:val="18"/>
                                <w:szCs w:val="18"/>
                              </w:rPr>
                              <w:t>Asymmetry of knowledge/ principal lacks knowledge so cannot manage the 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94286" id="Text Box 12381" o:spid="_x0000_s1057" type="#_x0000_t202" style="position:absolute;margin-left:154.6pt;margin-top:14.1pt;width:84.75pt;height:157.3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" fillcolor="white [3201]" stroked="f" strokeweight=".5pt">
                <v:textbox>
                  <w:txbxContent>
                    <w:p w14:paraId="1E855144" w14:textId="13D5A253" w:rsidR="009C0325" w:rsidRPr="00457F7D" w:rsidRDefault="009C0325">
                      <w:pPr>
                        <w:rPr>
                          <w:b/>
                          <w:bCs/>
                          <w:sz w:val="18"/>
                          <w:szCs w:val="18"/>
                          <w:u w:val="single"/>
                        </w:rPr>
                      </w:pPr>
                      <w:r w:rsidRPr="00457F7D">
                        <w:rPr>
                          <w:b/>
                          <w:bCs/>
                          <w:sz w:val="18"/>
                          <w:szCs w:val="18"/>
                          <w:u w:val="single"/>
                        </w:rPr>
                        <w:t>Agency theory</w:t>
                      </w:r>
                    </w:p>
                    <w:p w14:paraId="7B4E2B72" w14:textId="46E01B54" w:rsidR="009C0325" w:rsidRPr="00663DA5" w:rsidRDefault="009C0325">
                      <w:pPr>
                        <w:rPr>
                          <w:sz w:val="18"/>
                          <w:szCs w:val="18"/>
                        </w:rPr>
                      </w:pPr>
                      <w:r w:rsidRPr="00663DA5">
                        <w:rPr>
                          <w:sz w:val="18"/>
                          <w:szCs w:val="18"/>
                        </w:rPr>
                        <w:t>Self-interested behaviour of agent</w:t>
                      </w:r>
                    </w:p>
                    <w:p w14:paraId="4F5B9796" w14:textId="0B581429" w:rsidR="009C0325" w:rsidRDefault="009C0325">
                      <w:r w:rsidRPr="00663DA5">
                        <w:rPr>
                          <w:sz w:val="18"/>
                          <w:szCs w:val="18"/>
                        </w:rPr>
                        <w:t>Asymmetry of knowledge/ principal lacks knowledge so cannot manage the agent</w:t>
                      </w:r>
                    </w:p>
                  </w:txbxContent>
                </v:textbox>
              </v:shape>
            </w:pict>
          </mc:Fallback>
        </mc:AlternateContent>
      </w:r>
      <w:r w:rsidR="00457F7D" w:rsidRPr="00A77AF6">
        <w:rPr>
          <w:noProof/>
        </w:rPr>
        <mc:AlternateContent>
          <mc:Choice Requires="wps">
            <w:drawing>
              <wp:anchor distT="0" distB="0" distL="114300" distR="114300" simplePos="0" relativeHeight="251984384" behindDoc="0" locked="0" layoutInCell="1" allowOverlap="1" wp14:anchorId="5329B923" wp14:editId="1FC923A9">
                <wp:simplePos x="0" y="0"/>
                <wp:positionH relativeFrom="column">
                  <wp:posOffset>1182370</wp:posOffset>
                </wp:positionH>
                <wp:positionV relativeFrom="paragraph">
                  <wp:posOffset>-326831</wp:posOffset>
                </wp:positionV>
                <wp:extent cx="4690855" cy="2760980"/>
                <wp:effectExtent l="0" t="0" r="14605" b="20320"/>
                <wp:wrapNone/>
                <wp:docPr id="201" name="Oval 201"/>
                <wp:cNvGraphicFramePr/>
                <a:graphic xmlns:a="http://schemas.openxmlformats.org/drawingml/2006/main">
                  <a:graphicData uri="http://schemas.microsoft.com/office/word/2010/wordprocessingShape">
                    <wps:wsp>
                      <wps:cNvSpPr/>
                      <wps:spPr>
                        <a:xfrm>
                          <a:off x="0" y="0"/>
                          <a:ext cx="4690855" cy="27609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0696AB" id="Oval 201" o:spid="_x0000_s1026" style="position:absolute;margin-left:93.1pt;margin-top:-25.75pt;width:369.35pt;height:217.4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" filled="f" strokecolor="#1f4d78 [1604]" strokeweight="1pt">
                <v:stroke joinstyle="miter"/>
              </v:oval>
            </w:pict>
          </mc:Fallback>
        </mc:AlternateContent>
      </w:r>
      <w:r w:rsidR="00457F7D" w:rsidRPr="00A77AF6">
        <w:rPr>
          <w:noProof/>
        </w:rPr>
        <mc:AlternateContent>
          <mc:Choice Requires="wps">
            <w:drawing>
              <wp:anchor distT="0" distB="0" distL="114300" distR="114300" simplePos="0" relativeHeight="251289088" behindDoc="0" locked="0" layoutInCell="1" allowOverlap="1" wp14:anchorId="59870C01" wp14:editId="08F76BCD">
                <wp:simplePos x="0" y="0"/>
                <wp:positionH relativeFrom="column">
                  <wp:posOffset>3110865</wp:posOffset>
                </wp:positionH>
                <wp:positionV relativeFrom="paragraph">
                  <wp:posOffset>-326472</wp:posOffset>
                </wp:positionV>
                <wp:extent cx="4561785" cy="2820670"/>
                <wp:effectExtent l="0" t="0" r="10795" b="17780"/>
                <wp:wrapNone/>
                <wp:docPr id="203" name="Oval 203"/>
                <wp:cNvGraphicFramePr/>
                <a:graphic xmlns:a="http://schemas.openxmlformats.org/drawingml/2006/main">
                  <a:graphicData uri="http://schemas.microsoft.com/office/word/2010/wordprocessingShape">
                    <wps:wsp>
                      <wps:cNvSpPr/>
                      <wps:spPr>
                        <a:xfrm>
                          <a:off x="0" y="0"/>
                          <a:ext cx="4561785" cy="282067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7A6E8D" id="Oval 203" o:spid="_x0000_s1026" style="position:absolute;margin-left:244.95pt;margin-top:-25.7pt;width:359.2pt;height:222.1pt;z-index:2512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" filled="f" strokecolor="#1f4d78 [1604]" strokeweight="1pt">
                <v:stroke joinstyle="miter"/>
              </v:oval>
            </w:pict>
          </mc:Fallback>
        </mc:AlternateContent>
      </w:r>
    </w:p>
    <w:p w14:paraId="14DC8800" w14:textId="02797972" w:rsidR="00457F7D" w:rsidRPr="00A77AF6" w:rsidRDefault="00457F7D" w:rsidP="00B94D39"/>
    <w:p w14:paraId="7DF09C8E" w14:textId="77881CA7" w:rsidR="00457F7D" w:rsidRPr="00A77AF6" w:rsidRDefault="00457F7D" w:rsidP="00B94D39"/>
    <w:p w14:paraId="7816C8EB" w14:textId="764E5BCF" w:rsidR="00457F7D" w:rsidRPr="00A77AF6" w:rsidRDefault="00457F7D" w:rsidP="00B94D39"/>
    <w:p w14:paraId="74C999D6" w14:textId="1E0277B9" w:rsidR="00457F7D" w:rsidRPr="00A77AF6" w:rsidRDefault="00457F7D" w:rsidP="00B94D39"/>
    <w:p w14:paraId="5A0C86F8" w14:textId="444E8260" w:rsidR="00457F7D" w:rsidRPr="00A77AF6" w:rsidRDefault="00457F7D" w:rsidP="00B94D39"/>
    <w:p w14:paraId="55CA6CE9" w14:textId="28AC791E" w:rsidR="00457F7D" w:rsidRPr="00A77AF6" w:rsidRDefault="00457F7D" w:rsidP="00B94D39"/>
    <w:p w14:paraId="7350B152" w14:textId="003B6781" w:rsidR="00457F7D" w:rsidRPr="00A77AF6" w:rsidRDefault="000A13DC" w:rsidP="00B94D39">
      <w:r w:rsidRPr="00A77AF6">
        <w:rPr>
          <w:noProof/>
        </w:rPr>
        <mc:AlternateContent>
          <mc:Choice Requires="wps">
            <w:drawing>
              <wp:anchor distT="0" distB="0" distL="114300" distR="114300" simplePos="0" relativeHeight="251999744" behindDoc="0" locked="0" layoutInCell="1" allowOverlap="1" wp14:anchorId="2C61A85E" wp14:editId="16EF4DA6">
                <wp:simplePos x="0" y="0"/>
                <wp:positionH relativeFrom="column">
                  <wp:posOffset>4383157</wp:posOffset>
                </wp:positionH>
                <wp:positionV relativeFrom="paragraph">
                  <wp:posOffset>178048</wp:posOffset>
                </wp:positionV>
                <wp:extent cx="0" cy="1182370"/>
                <wp:effectExtent l="76200" t="0" r="57150" b="55880"/>
                <wp:wrapNone/>
                <wp:docPr id="12293" name="Straight Arrow Connector 12293"/>
                <wp:cNvGraphicFramePr/>
                <a:graphic xmlns:a="http://schemas.openxmlformats.org/drawingml/2006/main">
                  <a:graphicData uri="http://schemas.microsoft.com/office/word/2010/wordprocessingShape">
                    <wps:wsp>
                      <wps:cNvCnPr/>
                      <wps:spPr>
                        <a:xfrm>
                          <a:off x="0" y="0"/>
                          <a:ext cx="0" cy="118237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5C7EF79" id="_x0000_t32" coordsize="21600,21600" o:spt="32" o:oned="t" path="m,l21600,21600e" filled="f">
                <v:path arrowok="t" fillok="f" o:connecttype="none"/>
                <o:lock v:ext="edit" shapetype="t"/>
              </v:shapetype>
              <v:shape id="Straight Arrow Connector 12293" o:spid="_x0000_s1026" type="#_x0000_t32" style="position:absolute;margin-left:345.15pt;margin-top:14pt;width:0;height:93.1pt;z-index:25199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" strokecolor="black [3200]">
                <v:stroke endarrow="block" joinstyle="miter"/>
              </v:shape>
            </w:pict>
          </mc:Fallback>
        </mc:AlternateContent>
      </w:r>
      <w:r w:rsidRPr="00A77AF6">
        <w:rPr>
          <w:noProof/>
        </w:rPr>
        <mc:AlternateContent>
          <mc:Choice Requires="wps">
            <w:drawing>
              <wp:anchor distT="0" distB="0" distL="114300" distR="114300" simplePos="0" relativeHeight="251994624" behindDoc="0" locked="0" layoutInCell="1" allowOverlap="1" wp14:anchorId="3BBC76F0" wp14:editId="7582994A">
                <wp:simplePos x="0" y="0"/>
                <wp:positionH relativeFrom="column">
                  <wp:posOffset>4379842</wp:posOffset>
                </wp:positionH>
                <wp:positionV relativeFrom="paragraph">
                  <wp:posOffset>178048</wp:posOffset>
                </wp:positionV>
                <wp:extent cx="2527853" cy="1182370"/>
                <wp:effectExtent l="0" t="0" r="82550" b="55880"/>
                <wp:wrapNone/>
                <wp:docPr id="12291" name="Straight Arrow Connector 12291"/>
                <wp:cNvGraphicFramePr/>
                <a:graphic xmlns:a="http://schemas.openxmlformats.org/drawingml/2006/main">
                  <a:graphicData uri="http://schemas.microsoft.com/office/word/2010/wordprocessingShape">
                    <wps:wsp>
                      <wps:cNvCnPr/>
                      <wps:spPr>
                        <a:xfrm>
                          <a:off x="0" y="0"/>
                          <a:ext cx="2527853" cy="118237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956E9F" id="Straight Arrow Connector 12291" o:spid="_x0000_s1026" type="#_x0000_t32" style="position:absolute;margin-left:344.85pt;margin-top:14pt;width:199.05pt;height:93.1pt;z-index:25199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" strokecolor="black [3200]">
                <v:stroke endarrow="block" joinstyle="miter"/>
              </v:shape>
            </w:pict>
          </mc:Fallback>
        </mc:AlternateContent>
      </w:r>
      <w:r w:rsidRPr="00A77AF6">
        <w:rPr>
          <w:noProof/>
        </w:rPr>
        <mc:AlternateContent>
          <mc:Choice Requires="wps">
            <w:drawing>
              <wp:anchor distT="0" distB="0" distL="114300" distR="114300" simplePos="0" relativeHeight="251989504" behindDoc="0" locked="0" layoutInCell="1" allowOverlap="1" wp14:anchorId="7086E2FD" wp14:editId="2E3FB0BB">
                <wp:simplePos x="0" y="0"/>
                <wp:positionH relativeFrom="column">
                  <wp:posOffset>1958009</wp:posOffset>
                </wp:positionH>
                <wp:positionV relativeFrom="paragraph">
                  <wp:posOffset>178047</wp:posOffset>
                </wp:positionV>
                <wp:extent cx="2421834" cy="1182757"/>
                <wp:effectExtent l="38100" t="0" r="17145" b="55880"/>
                <wp:wrapNone/>
                <wp:docPr id="12288" name="Straight Arrow Connector 12288"/>
                <wp:cNvGraphicFramePr/>
                <a:graphic xmlns:a="http://schemas.openxmlformats.org/drawingml/2006/main">
                  <a:graphicData uri="http://schemas.microsoft.com/office/word/2010/wordprocessingShape">
                    <wps:wsp>
                      <wps:cNvCnPr/>
                      <wps:spPr>
                        <a:xfrm flipH="1">
                          <a:off x="0" y="0"/>
                          <a:ext cx="2421834" cy="1182757"/>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C49187" id="Straight Arrow Connector 12288" o:spid="_x0000_s1026" type="#_x0000_t32" style="position:absolute;margin-left:154.15pt;margin-top:14pt;width:190.7pt;height:93.15pt;flip:x;z-index:25198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" strokecolor="black [3200]">
                <v:stroke endarrow="block" joinstyle="miter"/>
              </v:shape>
            </w:pict>
          </mc:Fallback>
        </mc:AlternateContent>
      </w:r>
    </w:p>
    <w:p w14:paraId="5F156D78" w14:textId="0306ED77" w:rsidR="00457F7D" w:rsidRPr="00A77AF6" w:rsidRDefault="00236C13" w:rsidP="00B94D39">
      <w:r w:rsidRPr="00A77AF6">
        <w:rPr>
          <w:noProof/>
        </w:rPr>
        <mc:AlternateContent>
          <mc:Choice Requires="wps">
            <w:drawing>
              <wp:anchor distT="0" distB="0" distL="114300" distR="114300" simplePos="0" relativeHeight="252009984" behindDoc="0" locked="0" layoutInCell="1" allowOverlap="1" wp14:anchorId="7F00889C" wp14:editId="5C6BD1B8">
                <wp:simplePos x="0" y="0"/>
                <wp:positionH relativeFrom="column">
                  <wp:posOffset>8328660</wp:posOffset>
                </wp:positionH>
                <wp:positionV relativeFrom="paragraph">
                  <wp:posOffset>165100</wp:posOffset>
                </wp:positionV>
                <wp:extent cx="335970" cy="0"/>
                <wp:effectExtent l="0" t="76200" r="26035" b="95250"/>
                <wp:wrapNone/>
                <wp:docPr id="12312" name="Straight Arrow Connector 12312"/>
                <wp:cNvGraphicFramePr/>
                <a:graphic xmlns:a="http://schemas.openxmlformats.org/drawingml/2006/main">
                  <a:graphicData uri="http://schemas.microsoft.com/office/word/2010/wordprocessingShape">
                    <wps:wsp>
                      <wps:cNvCnPr/>
                      <wps:spPr>
                        <a:xfrm>
                          <a:off x="0" y="0"/>
                          <a:ext cx="33597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64CFFC" id="Straight Arrow Connector 12312" o:spid="_x0000_s1026" type="#_x0000_t32" style="position:absolute;margin-left:655.8pt;margin-top:13pt;width:26.45pt;height:0;z-index:25200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" strokecolor="black [3200]" strokeweight=".5pt">
                <v:stroke endarrow="block" joinstyle="miter"/>
              </v:shape>
            </w:pict>
          </mc:Fallback>
        </mc:AlternateContent>
      </w:r>
      <w:r w:rsidRPr="00A77AF6">
        <w:rPr>
          <w:noProof/>
        </w:rPr>
        <mc:AlternateContent>
          <mc:Choice Requires="wps">
            <w:drawing>
              <wp:anchor distT="0" distB="0" distL="114300" distR="114300" simplePos="0" relativeHeight="252004864" behindDoc="0" locked="0" layoutInCell="1" allowOverlap="1" wp14:anchorId="3686237C" wp14:editId="2F596D3E">
                <wp:simplePos x="0" y="0"/>
                <wp:positionH relativeFrom="column">
                  <wp:posOffset>7226217</wp:posOffset>
                </wp:positionH>
                <wp:positionV relativeFrom="paragraph">
                  <wp:posOffset>50745</wp:posOffset>
                </wp:positionV>
                <wp:extent cx="1532586" cy="615618"/>
                <wp:effectExtent l="0" t="0" r="10795" b="13335"/>
                <wp:wrapNone/>
                <wp:docPr id="12311" name="Text Box 12311"/>
                <wp:cNvGraphicFramePr/>
                <a:graphic xmlns:a="http://schemas.openxmlformats.org/drawingml/2006/main">
                  <a:graphicData uri="http://schemas.microsoft.com/office/word/2010/wordprocessingShape">
                    <wps:wsp>
                      <wps:cNvSpPr txBox="1"/>
                      <wps:spPr>
                        <a:xfrm>
                          <a:off x="0" y="0"/>
                          <a:ext cx="1532586" cy="615618"/>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123EDC59" w14:textId="3C0F61E3" w:rsidR="009C0325" w:rsidRDefault="009C0325">
                            <w:pPr>
                              <w:rPr>
                                <w:sz w:val="18"/>
                                <w:szCs w:val="18"/>
                              </w:rPr>
                            </w:pPr>
                            <w:r w:rsidRPr="00D30698">
                              <w:rPr>
                                <w:sz w:val="18"/>
                                <w:szCs w:val="18"/>
                              </w:rPr>
                              <w:t xml:space="preserve">Project </w:t>
                            </w:r>
                            <w:r>
                              <w:rPr>
                                <w:sz w:val="18"/>
                                <w:szCs w:val="18"/>
                              </w:rPr>
                              <w:t xml:space="preserve">governance          </w:t>
                            </w:r>
                          </w:p>
                          <w:p w14:paraId="2934AA9D" w14:textId="3B1C6E2F" w:rsidR="009C0325" w:rsidRPr="00D30698" w:rsidRDefault="009C0325">
                            <w:pPr>
                              <w:rPr>
                                <w:sz w:val="18"/>
                                <w:szCs w:val="18"/>
                              </w:rPr>
                            </w:pPr>
                            <w:r>
                              <w:rPr>
                                <w:sz w:val="18"/>
                                <w:szCs w:val="18"/>
                              </w:rPr>
                              <w:t>Project progression</w:t>
                            </w:r>
                          </w:p>
                          <w:p w14:paraId="6671B566" w14:textId="77777777" w:rsidR="009C0325" w:rsidRDefault="009C03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6237C" id="Text Box 12311" o:spid="_x0000_s1058" type="#_x0000_t202" style="position:absolute;margin-left:569pt;margin-top:4pt;width:120.7pt;height:48.45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" fillcolor="white [3201]" strokecolor="#70ad47 [3209]" strokeweight="1pt">
                <v:textbox>
                  <w:txbxContent>
                    <w:p w14:paraId="123EDC59" w14:textId="3C0F61E3" w:rsidR="009C0325" w:rsidRDefault="009C0325">
                      <w:pPr>
                        <w:rPr>
                          <w:sz w:val="18"/>
                          <w:szCs w:val="18"/>
                        </w:rPr>
                      </w:pPr>
                      <w:r w:rsidRPr="00D30698">
                        <w:rPr>
                          <w:sz w:val="18"/>
                          <w:szCs w:val="18"/>
                        </w:rPr>
                        <w:t xml:space="preserve">Project </w:t>
                      </w:r>
                      <w:r>
                        <w:rPr>
                          <w:sz w:val="18"/>
                          <w:szCs w:val="18"/>
                        </w:rPr>
                        <w:t xml:space="preserve">governance          </w:t>
                      </w:r>
                    </w:p>
                    <w:p w14:paraId="2934AA9D" w14:textId="3B1C6E2F" w:rsidR="009C0325" w:rsidRPr="00D30698" w:rsidRDefault="009C0325">
                      <w:pPr>
                        <w:rPr>
                          <w:sz w:val="18"/>
                          <w:szCs w:val="18"/>
                        </w:rPr>
                      </w:pPr>
                      <w:r>
                        <w:rPr>
                          <w:sz w:val="18"/>
                          <w:szCs w:val="18"/>
                        </w:rPr>
                        <w:t>Project progression</w:t>
                      </w:r>
                    </w:p>
                    <w:p w14:paraId="6671B566" w14:textId="77777777" w:rsidR="009C0325" w:rsidRDefault="009C0325"/>
                  </w:txbxContent>
                </v:textbox>
              </v:shape>
            </w:pict>
          </mc:Fallback>
        </mc:AlternateContent>
      </w:r>
    </w:p>
    <w:p w14:paraId="5734533C" w14:textId="12B6FECE" w:rsidR="00457F7D" w:rsidRPr="00A77AF6" w:rsidRDefault="00730EE3" w:rsidP="00B94D39">
      <w:r w:rsidRPr="00A77AF6">
        <w:rPr>
          <w:noProof/>
        </w:rPr>
        <mc:AlternateContent>
          <mc:Choice Requires="wps">
            <w:drawing>
              <wp:anchor distT="0" distB="0" distL="114300" distR="114300" simplePos="0" relativeHeight="252015104" behindDoc="0" locked="0" layoutInCell="1" allowOverlap="1" wp14:anchorId="6313B75F" wp14:editId="14C09E7F">
                <wp:simplePos x="0" y="0"/>
                <wp:positionH relativeFrom="column">
                  <wp:posOffset>8331835</wp:posOffset>
                </wp:positionH>
                <wp:positionV relativeFrom="paragraph">
                  <wp:posOffset>133239</wp:posOffset>
                </wp:positionV>
                <wp:extent cx="335970" cy="0"/>
                <wp:effectExtent l="0" t="76200" r="26035" b="95250"/>
                <wp:wrapNone/>
                <wp:docPr id="12313" name="Straight Arrow Connector 12313"/>
                <wp:cNvGraphicFramePr/>
                <a:graphic xmlns:a="http://schemas.openxmlformats.org/drawingml/2006/main">
                  <a:graphicData uri="http://schemas.microsoft.com/office/word/2010/wordprocessingShape">
                    <wps:wsp>
                      <wps:cNvCnPr/>
                      <wps:spPr>
                        <a:xfrm>
                          <a:off x="0" y="0"/>
                          <a:ext cx="335970" cy="0"/>
                        </a:xfrm>
                        <a:prstGeom prst="straightConnector1">
                          <a:avLst/>
                        </a:prstGeom>
                        <a:ln w="12700">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3A1135" id="Straight Arrow Connector 12313" o:spid="_x0000_s1026" type="#_x0000_t32" style="position:absolute;margin-left:656.05pt;margin-top:10.5pt;width:26.45pt;height:0;z-index:25201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" strokecolor="black [3200]" strokeweight="1pt">
                <v:stroke dashstyle="dash" endarrow="block" joinstyle="miter"/>
              </v:shape>
            </w:pict>
          </mc:Fallback>
        </mc:AlternateContent>
      </w:r>
    </w:p>
    <w:p w14:paraId="36D33F75" w14:textId="3A963E4D" w:rsidR="00457F7D" w:rsidRPr="00A77AF6" w:rsidRDefault="00305148" w:rsidP="00B94D39">
      <w:r w:rsidRPr="00A77AF6">
        <w:rPr>
          <w:noProof/>
        </w:rPr>
        <mc:AlternateContent>
          <mc:Choice Requires="wps">
            <w:drawing>
              <wp:anchor distT="0" distB="0" distL="114300" distR="114300" simplePos="0" relativeHeight="251958784" behindDoc="0" locked="0" layoutInCell="1" allowOverlap="1" wp14:anchorId="66414E6F" wp14:editId="3C8D1FBD">
                <wp:simplePos x="0" y="0"/>
                <wp:positionH relativeFrom="column">
                  <wp:posOffset>228600</wp:posOffset>
                </wp:positionH>
                <wp:positionV relativeFrom="paragraph">
                  <wp:posOffset>206016</wp:posOffset>
                </wp:positionV>
                <wp:extent cx="8530542" cy="1888380"/>
                <wp:effectExtent l="0" t="0" r="23495" b="17145"/>
                <wp:wrapNone/>
                <wp:docPr id="12413" name="Rectangle 12413"/>
                <wp:cNvGraphicFramePr/>
                <a:graphic xmlns:a="http://schemas.openxmlformats.org/drawingml/2006/main">
                  <a:graphicData uri="http://schemas.microsoft.com/office/word/2010/wordprocessingShape">
                    <wps:wsp>
                      <wps:cNvSpPr/>
                      <wps:spPr>
                        <a:xfrm>
                          <a:off x="0" y="0"/>
                          <a:ext cx="8530542" cy="1888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8AC239" id="Rectangle 12413" o:spid="_x0000_s1026" style="position:absolute;margin-left:18pt;margin-top:16.2pt;width:671.7pt;height:148.7pt;z-index:25195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" filled="f" strokecolor="#1f4d78 [1604]" strokeweight="1pt"/>
            </w:pict>
          </mc:Fallback>
        </mc:AlternateContent>
      </w:r>
    </w:p>
    <w:p w14:paraId="770CB54C" w14:textId="09D1FEFD" w:rsidR="00457F7D" w:rsidRPr="00A77AF6" w:rsidRDefault="009553D6" w:rsidP="00B94D39">
      <w:r w:rsidRPr="00A77AF6">
        <w:rPr>
          <w:noProof/>
        </w:rPr>
        <mc:AlternateContent>
          <mc:Choice Requires="wps">
            <w:drawing>
              <wp:anchor distT="0" distB="0" distL="114300" distR="114300" simplePos="0" relativeHeight="251963904" behindDoc="0" locked="0" layoutInCell="1" allowOverlap="1" wp14:anchorId="63278869" wp14:editId="0D0778F2">
                <wp:simplePos x="0" y="0"/>
                <wp:positionH relativeFrom="column">
                  <wp:posOffset>6042991</wp:posOffset>
                </wp:positionH>
                <wp:positionV relativeFrom="paragraph">
                  <wp:posOffset>218440</wp:posOffset>
                </wp:positionV>
                <wp:extent cx="2453005" cy="1311910"/>
                <wp:effectExtent l="0" t="0" r="23495" b="21590"/>
                <wp:wrapNone/>
                <wp:docPr id="12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005" cy="1311910"/>
                        </a:xfrm>
                        <a:prstGeom prst="rect">
                          <a:avLst/>
                        </a:prstGeom>
                        <a:solidFill>
                          <a:srgbClr val="FFFFFF"/>
                        </a:solidFill>
                        <a:ln w="9525">
                          <a:solidFill>
                            <a:srgbClr val="000000"/>
                          </a:solidFill>
                          <a:miter lim="800000"/>
                          <a:headEnd/>
                          <a:tailEnd/>
                        </a:ln>
                      </wps:spPr>
                      <wps:txbx>
                        <w:txbxContent>
                          <w:p w14:paraId="4111AF22" w14:textId="77777777" w:rsidR="009C0325" w:rsidRPr="007D4E00" w:rsidRDefault="009C0325" w:rsidP="0021750E">
                            <w:pPr>
                              <w:rPr>
                                <w:b/>
                                <w:bCs/>
                                <w:sz w:val="18"/>
                                <w:szCs w:val="18"/>
                                <w:u w:val="single"/>
                              </w:rPr>
                            </w:pPr>
                            <w:r w:rsidRPr="007D4E00">
                              <w:rPr>
                                <w:b/>
                                <w:bCs/>
                                <w:sz w:val="18"/>
                                <w:szCs w:val="18"/>
                                <w:u w:val="single"/>
                              </w:rPr>
                              <w:t>End of project management phase</w:t>
                            </w:r>
                          </w:p>
                          <w:p w14:paraId="5E7870E2" w14:textId="77777777" w:rsidR="009C0325" w:rsidRDefault="009C0325" w:rsidP="0021750E">
                            <w:pPr>
                              <w:rPr>
                                <w:sz w:val="18"/>
                                <w:szCs w:val="18"/>
                              </w:rPr>
                            </w:pPr>
                            <w:r>
                              <w:rPr>
                                <w:sz w:val="18"/>
                                <w:szCs w:val="18"/>
                              </w:rPr>
                              <w:t>Review of operational governance</w:t>
                            </w:r>
                          </w:p>
                          <w:p w14:paraId="4D8F7D85" w14:textId="77777777" w:rsidR="009C0325" w:rsidRDefault="009C0325" w:rsidP="0021750E">
                            <w:pPr>
                              <w:rPr>
                                <w:sz w:val="18"/>
                                <w:szCs w:val="18"/>
                              </w:rPr>
                            </w:pPr>
                            <w:r>
                              <w:rPr>
                                <w:sz w:val="18"/>
                                <w:szCs w:val="18"/>
                              </w:rPr>
                              <w:t>Are relevant KPIs being achieved?</w:t>
                            </w:r>
                          </w:p>
                          <w:p w14:paraId="28CC6BB9" w14:textId="14E27876" w:rsidR="009C0325" w:rsidRDefault="009C0325" w:rsidP="0021750E">
                            <w:r>
                              <w:rPr>
                                <w:sz w:val="18"/>
                                <w:szCs w:val="18"/>
                              </w:rPr>
                              <w:t>Are project benefits being realised?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3278869" id="_x0000_s1059" type="#_x0000_t202" style="position:absolute;margin-left:475.85pt;margin-top:17.2pt;width:193.15pt;height:103.3pt;z-index:25196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">
                <v:textbox>
                  <w:txbxContent>
                    <w:p w14:paraId="4111AF22" w14:textId="77777777" w:rsidR="009C0325" w:rsidRPr="007D4E00" w:rsidRDefault="009C0325" w:rsidP="0021750E">
                      <w:pPr>
                        <w:rPr>
                          <w:b/>
                          <w:bCs/>
                          <w:sz w:val="18"/>
                          <w:szCs w:val="18"/>
                          <w:u w:val="single"/>
                        </w:rPr>
                      </w:pPr>
                      <w:r w:rsidRPr="007D4E00">
                        <w:rPr>
                          <w:b/>
                          <w:bCs/>
                          <w:sz w:val="18"/>
                          <w:szCs w:val="18"/>
                          <w:u w:val="single"/>
                        </w:rPr>
                        <w:t>End of project management phase</w:t>
                      </w:r>
                    </w:p>
                    <w:p w14:paraId="5E7870E2" w14:textId="77777777" w:rsidR="009C0325" w:rsidRDefault="009C0325" w:rsidP="0021750E">
                      <w:pPr>
                        <w:rPr>
                          <w:sz w:val="18"/>
                          <w:szCs w:val="18"/>
                        </w:rPr>
                      </w:pPr>
                      <w:r>
                        <w:rPr>
                          <w:sz w:val="18"/>
                          <w:szCs w:val="18"/>
                        </w:rPr>
                        <w:t>Review of operational governance</w:t>
                      </w:r>
                    </w:p>
                    <w:p w14:paraId="4D8F7D85" w14:textId="77777777" w:rsidR="009C0325" w:rsidRDefault="009C0325" w:rsidP="0021750E">
                      <w:pPr>
                        <w:rPr>
                          <w:sz w:val="18"/>
                          <w:szCs w:val="18"/>
                        </w:rPr>
                      </w:pPr>
                      <w:r>
                        <w:rPr>
                          <w:sz w:val="18"/>
                          <w:szCs w:val="18"/>
                        </w:rPr>
                        <w:t>Are relevant KPIs being achieved?</w:t>
                      </w:r>
                    </w:p>
                    <w:p w14:paraId="28CC6BB9" w14:textId="14E27876" w:rsidR="009C0325" w:rsidRDefault="009C0325" w:rsidP="0021750E">
                      <w:r>
                        <w:rPr>
                          <w:sz w:val="18"/>
                          <w:szCs w:val="18"/>
                        </w:rPr>
                        <w:t>Are project benefits being realised?</w:t>
                      </w:r>
                    </w:p>
                  </w:txbxContent>
                </v:textbox>
              </v:shape>
            </w:pict>
          </mc:Fallback>
        </mc:AlternateContent>
      </w:r>
      <w:r w:rsidRPr="00A77AF6">
        <w:rPr>
          <w:noProof/>
        </w:rPr>
        <mc:AlternateContent>
          <mc:Choice Requires="wps">
            <w:drawing>
              <wp:anchor distT="0" distB="0" distL="114300" distR="114300" simplePos="0" relativeHeight="251953664" behindDoc="0" locked="0" layoutInCell="1" allowOverlap="1" wp14:anchorId="45AE2E5B" wp14:editId="72B782E0">
                <wp:simplePos x="0" y="0"/>
                <wp:positionH relativeFrom="column">
                  <wp:posOffset>3319670</wp:posOffset>
                </wp:positionH>
                <wp:positionV relativeFrom="paragraph">
                  <wp:posOffset>218440</wp:posOffset>
                </wp:positionV>
                <wp:extent cx="2453005" cy="1311910"/>
                <wp:effectExtent l="0" t="0" r="23495" b="21590"/>
                <wp:wrapNone/>
                <wp:docPr id="12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005" cy="1311910"/>
                        </a:xfrm>
                        <a:prstGeom prst="rect">
                          <a:avLst/>
                        </a:prstGeom>
                        <a:solidFill>
                          <a:srgbClr val="FFFFFF"/>
                        </a:solidFill>
                        <a:ln w="9525">
                          <a:solidFill>
                            <a:srgbClr val="000000"/>
                          </a:solidFill>
                          <a:miter lim="800000"/>
                          <a:headEnd/>
                          <a:tailEnd/>
                        </a:ln>
                      </wps:spPr>
                      <wps:txbx>
                        <w:txbxContent>
                          <w:p w14:paraId="5644491C" w14:textId="77777777" w:rsidR="009C0325" w:rsidRPr="007D4E00" w:rsidRDefault="009C0325" w:rsidP="0021750E">
                            <w:pPr>
                              <w:rPr>
                                <w:b/>
                                <w:bCs/>
                                <w:sz w:val="18"/>
                                <w:szCs w:val="18"/>
                                <w:u w:val="single"/>
                              </w:rPr>
                            </w:pPr>
                            <w:r w:rsidRPr="007D4E00">
                              <w:rPr>
                                <w:b/>
                                <w:bCs/>
                                <w:sz w:val="18"/>
                                <w:szCs w:val="18"/>
                                <w:u w:val="single"/>
                              </w:rPr>
                              <w:t>End of project management phase</w:t>
                            </w:r>
                          </w:p>
                          <w:p w14:paraId="14B5979C" w14:textId="77777777" w:rsidR="009C0325" w:rsidRDefault="009C0325" w:rsidP="0021750E">
                            <w:pPr>
                              <w:rPr>
                                <w:sz w:val="18"/>
                                <w:szCs w:val="18"/>
                              </w:rPr>
                            </w:pPr>
                            <w:r w:rsidRPr="001D6D31">
                              <w:rPr>
                                <w:sz w:val="18"/>
                                <w:szCs w:val="18"/>
                              </w:rPr>
                              <w:t>Governance</w:t>
                            </w:r>
                            <w:r>
                              <w:rPr>
                                <w:sz w:val="18"/>
                                <w:szCs w:val="18"/>
                              </w:rPr>
                              <w:t xml:space="preserve"> review</w:t>
                            </w:r>
                          </w:p>
                          <w:p w14:paraId="1585E662" w14:textId="628BF7AB" w:rsidR="009C0325" w:rsidRDefault="009C0325" w:rsidP="0021750E">
                            <w:pPr>
                              <w:rPr>
                                <w:sz w:val="18"/>
                                <w:szCs w:val="18"/>
                              </w:rPr>
                            </w:pPr>
                            <w:r>
                              <w:rPr>
                                <w:sz w:val="18"/>
                                <w:szCs w:val="18"/>
                              </w:rPr>
                              <w:t>Have relevant KPIs been achieved?</w:t>
                            </w:r>
                          </w:p>
                          <w:p w14:paraId="2EA9522F" w14:textId="23ECBC38" w:rsidR="009C0325" w:rsidRDefault="009C0325" w:rsidP="001560E0">
                            <w:pPr>
                              <w:spacing w:after="120"/>
                              <w:rPr>
                                <w:sz w:val="18"/>
                                <w:szCs w:val="18"/>
                              </w:rPr>
                            </w:pPr>
                            <w:r>
                              <w:rPr>
                                <w:sz w:val="18"/>
                                <w:szCs w:val="18"/>
                              </w:rPr>
                              <w:t>Did the project meet iron triangle constraints?</w:t>
                            </w:r>
                          </w:p>
                          <w:p w14:paraId="4711EF9E" w14:textId="189660C5" w:rsidR="009C0325" w:rsidRDefault="009C0325" w:rsidP="0021750E">
                            <w:r>
                              <w:rPr>
                                <w:sz w:val="18"/>
                                <w:szCs w:val="18"/>
                              </w:rPr>
                              <w:t>Have project benefits been realised?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5AE2E5B" id="_x0000_s1060" type="#_x0000_t202" style="position:absolute;margin-left:261.4pt;margin-top:17.2pt;width:193.15pt;height:103.3pt;z-index:25195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">
                <v:textbox>
                  <w:txbxContent>
                    <w:p w14:paraId="5644491C" w14:textId="77777777" w:rsidR="009C0325" w:rsidRPr="007D4E00" w:rsidRDefault="009C0325" w:rsidP="0021750E">
                      <w:pPr>
                        <w:rPr>
                          <w:b/>
                          <w:bCs/>
                          <w:sz w:val="18"/>
                          <w:szCs w:val="18"/>
                          <w:u w:val="single"/>
                        </w:rPr>
                      </w:pPr>
                      <w:r w:rsidRPr="007D4E00">
                        <w:rPr>
                          <w:b/>
                          <w:bCs/>
                          <w:sz w:val="18"/>
                          <w:szCs w:val="18"/>
                          <w:u w:val="single"/>
                        </w:rPr>
                        <w:t>End of project management phase</w:t>
                      </w:r>
                    </w:p>
                    <w:p w14:paraId="14B5979C" w14:textId="77777777" w:rsidR="009C0325" w:rsidRDefault="009C0325" w:rsidP="0021750E">
                      <w:pPr>
                        <w:rPr>
                          <w:sz w:val="18"/>
                          <w:szCs w:val="18"/>
                        </w:rPr>
                      </w:pPr>
                      <w:r w:rsidRPr="001D6D31">
                        <w:rPr>
                          <w:sz w:val="18"/>
                          <w:szCs w:val="18"/>
                        </w:rPr>
                        <w:t>Governance</w:t>
                      </w:r>
                      <w:r>
                        <w:rPr>
                          <w:sz w:val="18"/>
                          <w:szCs w:val="18"/>
                        </w:rPr>
                        <w:t xml:space="preserve"> review</w:t>
                      </w:r>
                    </w:p>
                    <w:p w14:paraId="1585E662" w14:textId="628BF7AB" w:rsidR="009C0325" w:rsidRDefault="009C0325" w:rsidP="0021750E">
                      <w:pPr>
                        <w:rPr>
                          <w:sz w:val="18"/>
                          <w:szCs w:val="18"/>
                        </w:rPr>
                      </w:pPr>
                      <w:r>
                        <w:rPr>
                          <w:sz w:val="18"/>
                          <w:szCs w:val="18"/>
                        </w:rPr>
                        <w:t>Have relevant KPIs been achieved?</w:t>
                      </w:r>
                    </w:p>
                    <w:p w14:paraId="2EA9522F" w14:textId="23ECBC38" w:rsidR="009C0325" w:rsidRDefault="009C0325" w:rsidP="001560E0">
                      <w:pPr>
                        <w:spacing w:after="120"/>
                        <w:rPr>
                          <w:sz w:val="18"/>
                          <w:szCs w:val="18"/>
                        </w:rPr>
                      </w:pPr>
                      <w:r>
                        <w:rPr>
                          <w:sz w:val="18"/>
                          <w:szCs w:val="18"/>
                        </w:rPr>
                        <w:t>Did the project meet iron triangle constraints?</w:t>
                      </w:r>
                    </w:p>
                    <w:p w14:paraId="4711EF9E" w14:textId="189660C5" w:rsidR="009C0325" w:rsidRDefault="009C0325" w:rsidP="0021750E">
                      <w:r>
                        <w:rPr>
                          <w:sz w:val="18"/>
                          <w:szCs w:val="18"/>
                        </w:rPr>
                        <w:t>Have project benefits been realised?</w:t>
                      </w:r>
                    </w:p>
                  </w:txbxContent>
                </v:textbox>
              </v:shape>
            </w:pict>
          </mc:Fallback>
        </mc:AlternateContent>
      </w:r>
      <w:r w:rsidR="00305148" w:rsidRPr="00A77AF6">
        <w:rPr>
          <w:noProof/>
        </w:rPr>
        <mc:AlternateContent>
          <mc:Choice Requires="wps">
            <w:drawing>
              <wp:anchor distT="0" distB="0" distL="114300" distR="114300" simplePos="0" relativeHeight="251948544" behindDoc="0" locked="0" layoutInCell="1" allowOverlap="1" wp14:anchorId="35C9C092" wp14:editId="0524B69A">
                <wp:simplePos x="0" y="0"/>
                <wp:positionH relativeFrom="column">
                  <wp:posOffset>586409</wp:posOffset>
                </wp:positionH>
                <wp:positionV relativeFrom="paragraph">
                  <wp:posOffset>218439</wp:posOffset>
                </wp:positionV>
                <wp:extent cx="2453005" cy="1311965"/>
                <wp:effectExtent l="0" t="0" r="23495" b="21590"/>
                <wp:wrapNone/>
                <wp:docPr id="12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005" cy="1311965"/>
                        </a:xfrm>
                        <a:prstGeom prst="rect">
                          <a:avLst/>
                        </a:prstGeom>
                        <a:solidFill>
                          <a:srgbClr val="FFFFFF"/>
                        </a:solidFill>
                        <a:ln w="9525">
                          <a:solidFill>
                            <a:srgbClr val="000000"/>
                          </a:solidFill>
                          <a:miter lim="800000"/>
                          <a:headEnd/>
                          <a:tailEnd/>
                        </a:ln>
                      </wps:spPr>
                      <wps:txbx>
                        <w:txbxContent>
                          <w:p w14:paraId="7D427A85" w14:textId="77777777" w:rsidR="009C0325" w:rsidRPr="007D4E00" w:rsidRDefault="009C0325" w:rsidP="0021750E">
                            <w:pPr>
                              <w:rPr>
                                <w:b/>
                                <w:bCs/>
                                <w:sz w:val="18"/>
                                <w:szCs w:val="18"/>
                                <w:u w:val="single"/>
                              </w:rPr>
                            </w:pPr>
                            <w:r w:rsidRPr="007D4E00">
                              <w:rPr>
                                <w:b/>
                                <w:bCs/>
                                <w:sz w:val="18"/>
                                <w:szCs w:val="18"/>
                                <w:u w:val="single"/>
                              </w:rPr>
                              <w:t>Project start-up</w:t>
                            </w:r>
                          </w:p>
                          <w:p w14:paraId="7A634C34" w14:textId="77777777" w:rsidR="009C0325" w:rsidRDefault="009C0325" w:rsidP="009553D6">
                            <w:pPr>
                              <w:spacing w:after="120"/>
                              <w:rPr>
                                <w:sz w:val="18"/>
                                <w:szCs w:val="18"/>
                              </w:rPr>
                            </w:pPr>
                            <w:r w:rsidRPr="001D6D31">
                              <w:rPr>
                                <w:sz w:val="18"/>
                                <w:szCs w:val="18"/>
                              </w:rPr>
                              <w:t>Establish</w:t>
                            </w:r>
                            <w:r>
                              <w:rPr>
                                <w:sz w:val="18"/>
                                <w:szCs w:val="18"/>
                              </w:rPr>
                              <w:t xml:space="preserve"> presence of</w:t>
                            </w:r>
                            <w:r w:rsidRPr="001D6D31">
                              <w:rPr>
                                <w:sz w:val="18"/>
                                <w:szCs w:val="18"/>
                              </w:rPr>
                              <w:t xml:space="preserve"> relevant governance knowledge and behaviours</w:t>
                            </w:r>
                          </w:p>
                          <w:p w14:paraId="4E6F6BE3" w14:textId="38EA57DE" w:rsidR="009C0325" w:rsidRDefault="009C0325" w:rsidP="009553D6">
                            <w:pPr>
                              <w:spacing w:after="120"/>
                              <w:rPr>
                                <w:sz w:val="18"/>
                                <w:szCs w:val="18"/>
                              </w:rPr>
                            </w:pPr>
                            <w:r>
                              <w:rPr>
                                <w:sz w:val="18"/>
                                <w:szCs w:val="18"/>
                              </w:rPr>
                              <w:t>Establish relevant KPIs</w:t>
                            </w:r>
                          </w:p>
                          <w:p w14:paraId="1139BC1D" w14:textId="0670818C" w:rsidR="009C0325" w:rsidRDefault="009C0325" w:rsidP="009553D6">
                            <w:pPr>
                              <w:spacing w:after="120"/>
                              <w:rPr>
                                <w:sz w:val="18"/>
                                <w:szCs w:val="18"/>
                              </w:rPr>
                            </w:pPr>
                            <w:r>
                              <w:rPr>
                                <w:sz w:val="18"/>
                                <w:szCs w:val="18"/>
                              </w:rPr>
                              <w:t>Weighted iron triangle</w:t>
                            </w:r>
                          </w:p>
                          <w:p w14:paraId="238ACD31" w14:textId="4953C35A" w:rsidR="009C0325" w:rsidRDefault="009C0325" w:rsidP="009553D6">
                            <w:pPr>
                              <w:spacing w:after="120"/>
                              <w:rPr>
                                <w:sz w:val="18"/>
                                <w:szCs w:val="18"/>
                              </w:rPr>
                            </w:pPr>
                            <w:r>
                              <w:rPr>
                                <w:sz w:val="18"/>
                                <w:szCs w:val="18"/>
                              </w:rPr>
                              <w:t>Confirm expected benefits</w:t>
                            </w:r>
                          </w:p>
                          <w:p w14:paraId="2D7A1FD3" w14:textId="77777777" w:rsidR="009C0325" w:rsidRDefault="009C0325" w:rsidP="009553D6">
                            <w:pPr>
                              <w:spacing w:after="120"/>
                              <w:rPr>
                                <w:sz w:val="18"/>
                                <w:szCs w:val="18"/>
                              </w:rPr>
                            </w:pPr>
                          </w:p>
                          <w:p w14:paraId="1EEE8F98" w14:textId="77777777" w:rsidR="009C0325" w:rsidRPr="001D6D31" w:rsidRDefault="009C0325" w:rsidP="0021750E">
                            <w:pPr>
                              <w:rPr>
                                <w:sz w:val="18"/>
                                <w:szCs w:val="18"/>
                              </w:rPr>
                            </w:pPr>
                          </w:p>
                          <w:p w14:paraId="410775F0" w14:textId="77777777" w:rsidR="009C0325" w:rsidRDefault="009C0325" w:rsidP="0021750E"/>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5C9C092" id="_x0000_s1061" type="#_x0000_t202" style="position:absolute;margin-left:46.15pt;margin-top:17.2pt;width:193.15pt;height:103.3pt;z-index:25194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">
                <v:textbox>
                  <w:txbxContent>
                    <w:p w14:paraId="7D427A85" w14:textId="77777777" w:rsidR="009C0325" w:rsidRPr="007D4E00" w:rsidRDefault="009C0325" w:rsidP="0021750E">
                      <w:pPr>
                        <w:rPr>
                          <w:b/>
                          <w:bCs/>
                          <w:sz w:val="18"/>
                          <w:szCs w:val="18"/>
                          <w:u w:val="single"/>
                        </w:rPr>
                      </w:pPr>
                      <w:r w:rsidRPr="007D4E00">
                        <w:rPr>
                          <w:b/>
                          <w:bCs/>
                          <w:sz w:val="18"/>
                          <w:szCs w:val="18"/>
                          <w:u w:val="single"/>
                        </w:rPr>
                        <w:t>Project start-up</w:t>
                      </w:r>
                    </w:p>
                    <w:p w14:paraId="7A634C34" w14:textId="77777777" w:rsidR="009C0325" w:rsidRDefault="009C0325" w:rsidP="009553D6">
                      <w:pPr>
                        <w:spacing w:after="120"/>
                        <w:rPr>
                          <w:sz w:val="18"/>
                          <w:szCs w:val="18"/>
                        </w:rPr>
                      </w:pPr>
                      <w:r w:rsidRPr="001D6D31">
                        <w:rPr>
                          <w:sz w:val="18"/>
                          <w:szCs w:val="18"/>
                        </w:rPr>
                        <w:t>Establish</w:t>
                      </w:r>
                      <w:r>
                        <w:rPr>
                          <w:sz w:val="18"/>
                          <w:szCs w:val="18"/>
                        </w:rPr>
                        <w:t xml:space="preserve"> presence of</w:t>
                      </w:r>
                      <w:r w:rsidRPr="001D6D31">
                        <w:rPr>
                          <w:sz w:val="18"/>
                          <w:szCs w:val="18"/>
                        </w:rPr>
                        <w:t xml:space="preserve"> relevant governance knowledge and behaviours</w:t>
                      </w:r>
                    </w:p>
                    <w:p w14:paraId="4E6F6BE3" w14:textId="38EA57DE" w:rsidR="009C0325" w:rsidRDefault="009C0325" w:rsidP="009553D6">
                      <w:pPr>
                        <w:spacing w:after="120"/>
                        <w:rPr>
                          <w:sz w:val="18"/>
                          <w:szCs w:val="18"/>
                        </w:rPr>
                      </w:pPr>
                      <w:r>
                        <w:rPr>
                          <w:sz w:val="18"/>
                          <w:szCs w:val="18"/>
                        </w:rPr>
                        <w:t>Establish relevant KPIs</w:t>
                      </w:r>
                    </w:p>
                    <w:p w14:paraId="1139BC1D" w14:textId="0670818C" w:rsidR="009C0325" w:rsidRDefault="009C0325" w:rsidP="009553D6">
                      <w:pPr>
                        <w:spacing w:after="120"/>
                        <w:rPr>
                          <w:sz w:val="18"/>
                          <w:szCs w:val="18"/>
                        </w:rPr>
                      </w:pPr>
                      <w:r>
                        <w:rPr>
                          <w:sz w:val="18"/>
                          <w:szCs w:val="18"/>
                        </w:rPr>
                        <w:t>Weighted iron triangle</w:t>
                      </w:r>
                    </w:p>
                    <w:p w14:paraId="238ACD31" w14:textId="4953C35A" w:rsidR="009C0325" w:rsidRDefault="009C0325" w:rsidP="009553D6">
                      <w:pPr>
                        <w:spacing w:after="120"/>
                        <w:rPr>
                          <w:sz w:val="18"/>
                          <w:szCs w:val="18"/>
                        </w:rPr>
                      </w:pPr>
                      <w:r>
                        <w:rPr>
                          <w:sz w:val="18"/>
                          <w:szCs w:val="18"/>
                        </w:rPr>
                        <w:t>Confirm expected benefits</w:t>
                      </w:r>
                    </w:p>
                    <w:p w14:paraId="2D7A1FD3" w14:textId="77777777" w:rsidR="009C0325" w:rsidRDefault="009C0325" w:rsidP="009553D6">
                      <w:pPr>
                        <w:spacing w:after="120"/>
                        <w:rPr>
                          <w:sz w:val="18"/>
                          <w:szCs w:val="18"/>
                        </w:rPr>
                      </w:pPr>
                    </w:p>
                    <w:p w14:paraId="1EEE8F98" w14:textId="77777777" w:rsidR="009C0325" w:rsidRPr="001D6D31" w:rsidRDefault="009C0325" w:rsidP="0021750E">
                      <w:pPr>
                        <w:rPr>
                          <w:sz w:val="18"/>
                          <w:szCs w:val="18"/>
                        </w:rPr>
                      </w:pPr>
                    </w:p>
                    <w:p w14:paraId="410775F0" w14:textId="77777777" w:rsidR="009C0325" w:rsidRDefault="009C0325" w:rsidP="0021750E"/>
                  </w:txbxContent>
                </v:textbox>
              </v:shape>
            </w:pict>
          </mc:Fallback>
        </mc:AlternateContent>
      </w:r>
    </w:p>
    <w:p w14:paraId="760D600D" w14:textId="43D2FBED" w:rsidR="00457F7D" w:rsidRPr="00A77AF6" w:rsidRDefault="00457F7D" w:rsidP="00B94D39"/>
    <w:p w14:paraId="548F2670" w14:textId="6B8F4523" w:rsidR="00457F7D" w:rsidRPr="00A77AF6" w:rsidRDefault="00305148" w:rsidP="00B94D39">
      <w:r w:rsidRPr="00A77AF6">
        <w:rPr>
          <w:noProof/>
        </w:rPr>
        <mc:AlternateContent>
          <mc:Choice Requires="wps">
            <w:drawing>
              <wp:anchor distT="0" distB="0" distL="114300" distR="114300" simplePos="0" relativeHeight="251969024" behindDoc="0" locked="0" layoutInCell="1" allowOverlap="1" wp14:anchorId="252FA543" wp14:editId="6C7DE2B9">
                <wp:simplePos x="0" y="0"/>
                <wp:positionH relativeFrom="column">
                  <wp:posOffset>3041248</wp:posOffset>
                </wp:positionH>
                <wp:positionV relativeFrom="paragraph">
                  <wp:posOffset>267904</wp:posOffset>
                </wp:positionV>
                <wp:extent cx="278620" cy="0"/>
                <wp:effectExtent l="0" t="76200" r="26670" b="95250"/>
                <wp:wrapNone/>
                <wp:docPr id="195" name="Straight Arrow Connector 195"/>
                <wp:cNvGraphicFramePr/>
                <a:graphic xmlns:a="http://schemas.openxmlformats.org/drawingml/2006/main">
                  <a:graphicData uri="http://schemas.microsoft.com/office/word/2010/wordprocessingShape">
                    <wps:wsp>
                      <wps:cNvCnPr/>
                      <wps:spPr>
                        <a:xfrm>
                          <a:off x="0" y="0"/>
                          <a:ext cx="278620" cy="0"/>
                        </a:xfrm>
                        <a:prstGeom prst="straightConnector1">
                          <a:avLst/>
                        </a:prstGeom>
                        <a:ln w="12700">
                          <a:prstDash val="dashDot"/>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AB21BA" id="Straight Arrow Connector 195" o:spid="_x0000_s1026" type="#_x0000_t32" style="position:absolute;margin-left:239.45pt;margin-top:21.1pt;width:21.95pt;height:0;z-index:25196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" strokecolor="black [3200]" strokeweight="1pt">
                <v:stroke dashstyle="dashDot" endarrow="block" joinstyle="miter"/>
              </v:shape>
            </w:pict>
          </mc:Fallback>
        </mc:AlternateContent>
      </w:r>
      <w:r w:rsidRPr="00A77AF6">
        <w:rPr>
          <w:noProof/>
        </w:rPr>
        <mc:AlternateContent>
          <mc:Choice Requires="wps">
            <w:drawing>
              <wp:anchor distT="0" distB="0" distL="114300" distR="114300" simplePos="0" relativeHeight="251974144" behindDoc="0" locked="0" layoutInCell="1" allowOverlap="1" wp14:anchorId="1CB15BDB" wp14:editId="346FB690">
                <wp:simplePos x="0" y="0"/>
                <wp:positionH relativeFrom="column">
                  <wp:posOffset>5772873</wp:posOffset>
                </wp:positionH>
                <wp:positionV relativeFrom="paragraph">
                  <wp:posOffset>267904</wp:posOffset>
                </wp:positionV>
                <wp:extent cx="267046" cy="0"/>
                <wp:effectExtent l="0" t="76200" r="19050" b="95250"/>
                <wp:wrapNone/>
                <wp:docPr id="196" name="Straight Arrow Connector 196"/>
                <wp:cNvGraphicFramePr/>
                <a:graphic xmlns:a="http://schemas.openxmlformats.org/drawingml/2006/main">
                  <a:graphicData uri="http://schemas.microsoft.com/office/word/2010/wordprocessingShape">
                    <wps:wsp>
                      <wps:cNvCnPr/>
                      <wps:spPr>
                        <a:xfrm>
                          <a:off x="0" y="0"/>
                          <a:ext cx="267046" cy="0"/>
                        </a:xfrm>
                        <a:prstGeom prst="straightConnector1">
                          <a:avLst/>
                        </a:prstGeom>
                        <a:ln w="12700">
                          <a:prstDash val="dashDot"/>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893A8C" id="Straight Arrow Connector 196" o:spid="_x0000_s1026" type="#_x0000_t32" style="position:absolute;margin-left:454.55pt;margin-top:21.1pt;width:21.05pt;height:0;z-index:25197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" strokecolor="black [3200]" strokeweight="1pt">
                <v:stroke dashstyle="dashDot" endarrow="block" joinstyle="miter"/>
              </v:shape>
            </w:pict>
          </mc:Fallback>
        </mc:AlternateContent>
      </w:r>
    </w:p>
    <w:p w14:paraId="4904B579" w14:textId="1FB2B801" w:rsidR="00457F7D" w:rsidRPr="00A77AF6" w:rsidRDefault="00457F7D" w:rsidP="00B94D39"/>
    <w:p w14:paraId="67D97197" w14:textId="0C17FD2F" w:rsidR="00457F7D" w:rsidRPr="00A77AF6" w:rsidRDefault="00457F7D" w:rsidP="00B94D39"/>
    <w:p w14:paraId="1F21E8C0" w14:textId="4D1090B0" w:rsidR="00457F7D" w:rsidRPr="00A77AF6" w:rsidRDefault="00305148" w:rsidP="00B94D39">
      <w:r w:rsidRPr="00A77AF6">
        <w:rPr>
          <w:noProof/>
        </w:rPr>
        <mc:AlternateContent>
          <mc:Choice Requires="wps">
            <w:drawing>
              <wp:anchor distT="0" distB="0" distL="114300" distR="114300" simplePos="0" relativeHeight="251979264" behindDoc="0" locked="0" layoutInCell="1" allowOverlap="1" wp14:anchorId="4DC6A032" wp14:editId="3CBB86C2">
                <wp:simplePos x="0" y="0"/>
                <wp:positionH relativeFrom="column">
                  <wp:posOffset>2728595</wp:posOffset>
                </wp:positionH>
                <wp:positionV relativeFrom="paragraph">
                  <wp:posOffset>104554</wp:posOffset>
                </wp:positionV>
                <wp:extent cx="3414395" cy="254000"/>
                <wp:effectExtent l="0" t="0" r="0" b="0"/>
                <wp:wrapNone/>
                <wp:docPr id="12414" name="Text Box 12414"/>
                <wp:cNvGraphicFramePr/>
                <a:graphic xmlns:a="http://schemas.openxmlformats.org/drawingml/2006/main">
                  <a:graphicData uri="http://schemas.microsoft.com/office/word/2010/wordprocessingShape">
                    <wps:wsp>
                      <wps:cNvSpPr txBox="1"/>
                      <wps:spPr>
                        <a:xfrm>
                          <a:off x="0" y="0"/>
                          <a:ext cx="3414395" cy="254000"/>
                        </a:xfrm>
                        <a:prstGeom prst="rect">
                          <a:avLst/>
                        </a:prstGeom>
                        <a:noFill/>
                        <a:ln w="6350">
                          <a:noFill/>
                        </a:ln>
                      </wps:spPr>
                      <wps:txbx>
                        <w:txbxContent>
                          <w:p w14:paraId="46D52B44" w14:textId="3D30FEED" w:rsidR="009C0325" w:rsidRPr="001D6D31" w:rsidRDefault="009C0325" w:rsidP="0021750E">
                            <w:pPr>
                              <w:jc w:val="center"/>
                              <w:rPr>
                                <w:b/>
                                <w:bCs/>
                                <w:u w:val="single"/>
                              </w:rPr>
                            </w:pPr>
                            <w:r w:rsidRPr="001D6D31">
                              <w:rPr>
                                <w:b/>
                                <w:bCs/>
                                <w:u w:val="single"/>
                              </w:rPr>
                              <w:t>Measure</w:t>
                            </w:r>
                            <w:r>
                              <w:rPr>
                                <w:b/>
                                <w:bCs/>
                                <w:u w:val="single"/>
                              </w:rPr>
                              <w:t>s</w:t>
                            </w:r>
                            <w:r w:rsidRPr="001D6D31">
                              <w:rPr>
                                <w:b/>
                                <w:bCs/>
                                <w:u w:val="single"/>
                              </w:rPr>
                              <w:t xml:space="preserve"> of project 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C6A032" id="Text Box 12414" o:spid="_x0000_s1062" type="#_x0000_t202" style="position:absolute;margin-left:214.85pt;margin-top:8.25pt;width:268.85pt;height:20pt;z-index:25197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" filled="f" stroked="f" strokeweight=".5pt">
                <v:textbox>
                  <w:txbxContent>
                    <w:p w14:paraId="46D52B44" w14:textId="3D30FEED" w:rsidR="009C0325" w:rsidRPr="001D6D31" w:rsidRDefault="009C0325" w:rsidP="0021750E">
                      <w:pPr>
                        <w:jc w:val="center"/>
                        <w:rPr>
                          <w:b/>
                          <w:bCs/>
                          <w:u w:val="single"/>
                        </w:rPr>
                      </w:pPr>
                      <w:r w:rsidRPr="001D6D31">
                        <w:rPr>
                          <w:b/>
                          <w:bCs/>
                          <w:u w:val="single"/>
                        </w:rPr>
                        <w:t>Measure</w:t>
                      </w:r>
                      <w:r>
                        <w:rPr>
                          <w:b/>
                          <w:bCs/>
                          <w:u w:val="single"/>
                        </w:rPr>
                        <w:t>s</w:t>
                      </w:r>
                      <w:r w:rsidRPr="001D6D31">
                        <w:rPr>
                          <w:b/>
                          <w:bCs/>
                          <w:u w:val="single"/>
                        </w:rPr>
                        <w:t xml:space="preserve"> of project success</w:t>
                      </w:r>
                    </w:p>
                  </w:txbxContent>
                </v:textbox>
              </v:shape>
            </w:pict>
          </mc:Fallback>
        </mc:AlternateContent>
      </w:r>
    </w:p>
    <w:p w14:paraId="328AE52D" w14:textId="0029EE15" w:rsidR="00457F7D" w:rsidRPr="00A77AF6" w:rsidRDefault="00BB09F2" w:rsidP="00B94D39">
      <w:r w:rsidRPr="00A77AF6">
        <w:rPr>
          <w:noProof/>
        </w:rPr>
        <mc:AlternateContent>
          <mc:Choice Requires="wps">
            <w:drawing>
              <wp:anchor distT="0" distB="0" distL="114300" distR="114300" simplePos="0" relativeHeight="252020224" behindDoc="0" locked="0" layoutInCell="1" allowOverlap="1" wp14:anchorId="01BA892D" wp14:editId="012D8F28">
                <wp:simplePos x="0" y="0"/>
                <wp:positionH relativeFrom="column">
                  <wp:posOffset>79126</wp:posOffset>
                </wp:positionH>
                <wp:positionV relativeFrom="paragraph">
                  <wp:posOffset>220069</wp:posOffset>
                </wp:positionV>
                <wp:extent cx="4690745" cy="635"/>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4690745" cy="635"/>
                        </a:xfrm>
                        <a:prstGeom prst="rect">
                          <a:avLst/>
                        </a:prstGeom>
                        <a:solidFill>
                          <a:prstClr val="white"/>
                        </a:solidFill>
                        <a:ln>
                          <a:noFill/>
                        </a:ln>
                      </wps:spPr>
                      <wps:txbx>
                        <w:txbxContent>
                          <w:p w14:paraId="2E02A20B" w14:textId="365E2E5E" w:rsidR="009C0325" w:rsidRPr="005C706E" w:rsidRDefault="009C0325" w:rsidP="00BB09F2">
                            <w:pPr>
                              <w:pStyle w:val="Caption"/>
                              <w:rPr>
                                <w:noProof/>
                              </w:rPr>
                            </w:pPr>
                            <w:bookmarkStart w:id="106" w:name="_Toc36186974"/>
                            <w:r>
                              <w:t xml:space="preserve">Figure </w:t>
                            </w:r>
                            <w:fldSimple w:instr=" STYLEREF 1 \s ">
                              <w:r>
                                <w:rPr>
                                  <w:noProof/>
                                </w:rPr>
                                <w:t>4</w:t>
                              </w:r>
                            </w:fldSimple>
                            <w:r>
                              <w:noBreakHyphen/>
                            </w:r>
                            <w:fldSimple w:instr=" SEQ Figure \* ARABIC \s 1 ">
                              <w:r>
                                <w:rPr>
                                  <w:noProof/>
                                </w:rPr>
                                <w:t>10</w:t>
                              </w:r>
                            </w:fldSimple>
                            <w:r>
                              <w:t>: Conceptual framework</w:t>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BA892D" id="Text Box 288" o:spid="_x0000_s1063" type="#_x0000_t202" style="position:absolute;margin-left:6.25pt;margin-top:17.35pt;width:369.35pt;height:.05pt;z-index:25202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" stroked="f">
                <v:textbox style="mso-fit-shape-to-text:t" inset="0,0,0,0">
                  <w:txbxContent>
                    <w:p w14:paraId="2E02A20B" w14:textId="365E2E5E" w:rsidR="009C0325" w:rsidRPr="005C706E" w:rsidRDefault="009C0325" w:rsidP="00BB09F2">
                      <w:pPr>
                        <w:pStyle w:val="Caption"/>
                        <w:rPr>
                          <w:noProof/>
                        </w:rPr>
                      </w:pPr>
                      <w:bookmarkStart w:id="107" w:name="_Toc36186974"/>
                      <w:r>
                        <w:t xml:space="preserve">Figure </w:t>
                      </w:r>
                      <w:fldSimple w:instr=" STYLEREF 1 \s ">
                        <w:r>
                          <w:rPr>
                            <w:noProof/>
                          </w:rPr>
                          <w:t>4</w:t>
                        </w:r>
                      </w:fldSimple>
                      <w:r>
                        <w:noBreakHyphen/>
                      </w:r>
                      <w:fldSimple w:instr=" SEQ Figure \* ARABIC \s 1 ">
                        <w:r>
                          <w:rPr>
                            <w:noProof/>
                          </w:rPr>
                          <w:t>10</w:t>
                        </w:r>
                      </w:fldSimple>
                      <w:r>
                        <w:t>: Conceptual framework</w:t>
                      </w:r>
                      <w:bookmarkEnd w:id="107"/>
                    </w:p>
                  </w:txbxContent>
                </v:textbox>
              </v:shape>
            </w:pict>
          </mc:Fallback>
        </mc:AlternateContent>
      </w:r>
    </w:p>
    <w:p w14:paraId="79A936C4" w14:textId="72EABE13" w:rsidR="002E7B0D" w:rsidRPr="00A77AF6" w:rsidRDefault="002E7B0D" w:rsidP="00B94D39">
      <w:pPr>
        <w:sectPr w:rsidR="002E7B0D" w:rsidRPr="00A77AF6" w:rsidSect="002E7B0D">
          <w:pgSz w:w="16838" w:h="11906" w:orient="landscape"/>
          <w:pgMar w:top="2268" w:right="1440" w:bottom="851" w:left="1440" w:header="709" w:footer="709" w:gutter="0"/>
          <w:cols w:space="708"/>
          <w:docGrid w:linePitch="360"/>
        </w:sectPr>
      </w:pPr>
      <w:r w:rsidRPr="00A77AF6">
        <w:rPr>
          <w:noProof/>
          <w:lang w:eastAsia="en-GB"/>
        </w:rPr>
        <mc:AlternateContent>
          <mc:Choice Requires="wps">
            <w:drawing>
              <wp:anchor distT="0" distB="0" distL="114300" distR="114300" simplePos="0" relativeHeight="251568640" behindDoc="0" locked="0" layoutInCell="1" allowOverlap="1" wp14:anchorId="51419B95" wp14:editId="4BD99A5E">
                <wp:simplePos x="0" y="0"/>
                <wp:positionH relativeFrom="column">
                  <wp:posOffset>7181850</wp:posOffset>
                </wp:positionH>
                <wp:positionV relativeFrom="paragraph">
                  <wp:posOffset>1191260</wp:posOffset>
                </wp:positionV>
                <wp:extent cx="0" cy="0"/>
                <wp:effectExtent l="0" t="0" r="0" b="0"/>
                <wp:wrapNone/>
                <wp:docPr id="12332" name="Straight Arrow Connector 12332"/>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66DD88" id="Straight Arrow Connector 12332" o:spid="_x0000_s1026" type="#_x0000_t32" style="position:absolute;margin-left:565.5pt;margin-top:93.8pt;width:0;height:0;z-index:25156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" strokecolor="#5b9bd5 [3204]" strokeweight=".5pt">
                <v:stroke endarrow="block" joinstyle="miter"/>
              </v:shape>
            </w:pict>
          </mc:Fallback>
        </mc:AlternateContent>
      </w:r>
    </w:p>
    <w:bookmarkStart w:id="108" w:name="_Toc36275090"/>
    <w:p w14:paraId="227A2959" w14:textId="5AF3EA29" w:rsidR="005710F5" w:rsidRPr="00A77AF6" w:rsidRDefault="002E7B0D" w:rsidP="00D22A15">
      <w:pPr>
        <w:pStyle w:val="Heading1"/>
        <w:rPr>
          <w:lang w:val="en-GB"/>
        </w:rPr>
      </w:pPr>
      <w:r w:rsidRPr="00A77AF6">
        <w:rPr>
          <w:noProof/>
          <w:lang w:val="en-GB" w:eastAsia="en-GB"/>
        </w:rPr>
        <w:lastRenderedPageBreak/>
        <mc:AlternateContent>
          <mc:Choice Requires="wps">
            <w:drawing>
              <wp:anchor distT="0" distB="0" distL="114300" distR="114300" simplePos="0" relativeHeight="251557376" behindDoc="0" locked="0" layoutInCell="1" allowOverlap="1" wp14:anchorId="7E30511D" wp14:editId="7603E1C3">
                <wp:simplePos x="0" y="0"/>
                <wp:positionH relativeFrom="column">
                  <wp:posOffset>7181850</wp:posOffset>
                </wp:positionH>
                <wp:positionV relativeFrom="paragraph">
                  <wp:posOffset>1191260</wp:posOffset>
                </wp:positionV>
                <wp:extent cx="0" cy="0"/>
                <wp:effectExtent l="0" t="0" r="0" b="0"/>
                <wp:wrapNone/>
                <wp:docPr id="34" name="Straight Arrow Connector 34"/>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CE211C" id="Straight Arrow Connector 34" o:spid="_x0000_s1026" type="#_x0000_t32" style="position:absolute;margin-left:565.5pt;margin-top:93.8pt;width:0;height:0;z-index:25155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" strokecolor="#5b9bd5 [3204]" strokeweight=".5pt">
                <v:stroke endarrow="block" joinstyle="miter"/>
              </v:shape>
            </w:pict>
          </mc:Fallback>
        </mc:AlternateContent>
      </w:r>
      <w:r w:rsidRPr="00A77AF6">
        <w:rPr>
          <w:noProof/>
          <w:lang w:val="en-GB" w:eastAsia="en-GB"/>
        </w:rPr>
        <mc:AlternateContent>
          <mc:Choice Requires="wps">
            <w:drawing>
              <wp:anchor distT="0" distB="0" distL="114300" distR="114300" simplePos="0" relativeHeight="251546112" behindDoc="0" locked="0" layoutInCell="1" allowOverlap="1" wp14:anchorId="5D00A643" wp14:editId="0DF8E470">
                <wp:simplePos x="0" y="0"/>
                <wp:positionH relativeFrom="column">
                  <wp:posOffset>7181850</wp:posOffset>
                </wp:positionH>
                <wp:positionV relativeFrom="paragraph">
                  <wp:posOffset>1191260</wp:posOffset>
                </wp:positionV>
                <wp:extent cx="0" cy="0"/>
                <wp:effectExtent l="0" t="0" r="0" b="0"/>
                <wp:wrapNone/>
                <wp:docPr id="53" name="Straight Arrow Connector 53"/>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9FE00D" id="Straight Arrow Connector 53" o:spid="_x0000_s1026" type="#_x0000_t32" style="position:absolute;margin-left:565.5pt;margin-top:93.8pt;width:0;height:0;z-index:25154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" strokecolor="#5b9bd5 [3204]" strokeweight=".5pt">
                <v:stroke endarrow="block" joinstyle="miter"/>
              </v:shape>
            </w:pict>
          </mc:Fallback>
        </mc:AlternateContent>
      </w:r>
      <w:r w:rsidR="005710F5" w:rsidRPr="00A77AF6">
        <w:rPr>
          <w:lang w:val="en-GB"/>
        </w:rPr>
        <w:t>Research Method</w:t>
      </w:r>
      <w:r w:rsidR="00010378" w:rsidRPr="00A77AF6">
        <w:rPr>
          <w:lang w:val="en-GB"/>
        </w:rPr>
        <w:t>ology</w:t>
      </w:r>
      <w:bookmarkEnd w:id="108"/>
      <w:r w:rsidR="00010378" w:rsidRPr="00A77AF6">
        <w:rPr>
          <w:lang w:val="en-GB"/>
        </w:rPr>
        <w:t xml:space="preserve"> </w:t>
      </w:r>
    </w:p>
    <w:p w14:paraId="3BC225B7" w14:textId="77777777" w:rsidR="00333AFD" w:rsidRPr="00A77AF6" w:rsidRDefault="00333AFD" w:rsidP="009843F4">
      <w:pPr>
        <w:pStyle w:val="Heading2"/>
        <w:spacing w:after="120"/>
      </w:pPr>
      <w:bookmarkStart w:id="109" w:name="_Toc36275091"/>
      <w:r w:rsidRPr="00A77AF6">
        <w:t>Introduction</w:t>
      </w:r>
      <w:bookmarkEnd w:id="109"/>
    </w:p>
    <w:p w14:paraId="5BD622D1" w14:textId="72FF80B3" w:rsidR="001934DF" w:rsidRPr="00A77AF6" w:rsidRDefault="00333AFD" w:rsidP="001934DF">
      <w:pPr>
        <w:spacing w:line="360" w:lineRule="auto"/>
      </w:pPr>
      <w:r w:rsidRPr="00A77AF6">
        <w:t xml:space="preserve">This chapter discusses the </w:t>
      </w:r>
      <w:r w:rsidR="00010378" w:rsidRPr="00A77AF6">
        <w:t>research paradigm</w:t>
      </w:r>
      <w:r w:rsidR="00AB7270" w:rsidRPr="00A77AF6">
        <w:t xml:space="preserve">, </w:t>
      </w:r>
      <w:r w:rsidRPr="00A77AF6">
        <w:t>choice of research methodology</w:t>
      </w:r>
      <w:r w:rsidR="00AB7270" w:rsidRPr="00A77AF6">
        <w:t xml:space="preserve">, the selection and development of data collection tools and the data analysis adopted for this study. </w:t>
      </w:r>
      <w:r w:rsidR="00C92231" w:rsidRPr="00A77AF6">
        <w:t>The choice of research method</w:t>
      </w:r>
      <w:r w:rsidR="008E24D5" w:rsidRPr="00A77AF6">
        <w:t>ology</w:t>
      </w:r>
      <w:r w:rsidR="00C92231" w:rsidRPr="00A77AF6">
        <w:t xml:space="preserve"> is partly determined by the type of research question that is being asked</w:t>
      </w:r>
      <w:sdt>
        <w:sdtPr>
          <w:id w:val="1784234713"/>
          <w:citation/>
        </w:sdtPr>
        <w:sdtEndPr/>
        <w:sdtContent>
          <w:r w:rsidR="0028298C" w:rsidRPr="00A77AF6">
            <w:fldChar w:fldCharType="begin"/>
          </w:r>
          <w:r w:rsidR="0028298C" w:rsidRPr="00A77AF6">
            <w:instrText xml:space="preserve"> CITATION Bry881 \l 2057 </w:instrText>
          </w:r>
          <w:r w:rsidR="0028298C" w:rsidRPr="00A77AF6">
            <w:fldChar w:fldCharType="separate"/>
          </w:r>
          <w:r w:rsidR="008E653F" w:rsidRPr="00A77AF6">
            <w:t xml:space="preserve"> (Bryman, 1988)</w:t>
          </w:r>
          <w:r w:rsidR="0028298C" w:rsidRPr="00A77AF6">
            <w:fldChar w:fldCharType="end"/>
          </w:r>
        </w:sdtContent>
      </w:sdt>
      <w:r w:rsidR="009A7091" w:rsidRPr="00A77AF6">
        <w:t xml:space="preserve"> and </w:t>
      </w:r>
      <w:r w:rsidR="00C92231" w:rsidRPr="00A77AF6">
        <w:t xml:space="preserve">partly by </w:t>
      </w:r>
      <w:r w:rsidR="00BE6F6C" w:rsidRPr="00A77AF6">
        <w:t xml:space="preserve">the </w:t>
      </w:r>
      <w:r w:rsidR="00C92231" w:rsidRPr="00A77AF6">
        <w:t xml:space="preserve">researcher’s </w:t>
      </w:r>
      <w:r w:rsidR="003055F4" w:rsidRPr="00A77AF6">
        <w:t xml:space="preserve">ontological </w:t>
      </w:r>
      <w:r w:rsidR="00565AB4" w:rsidRPr="00A77AF6">
        <w:t xml:space="preserve">judgement of what </w:t>
      </w:r>
      <w:r w:rsidR="009E2E1D" w:rsidRPr="00A77AF6">
        <w:t xml:space="preserve">is valid </w:t>
      </w:r>
      <w:r w:rsidR="00565AB4" w:rsidRPr="00A77AF6">
        <w:t>knowledge.</w:t>
      </w:r>
      <w:r w:rsidR="00C92231" w:rsidRPr="00A77AF6">
        <w:t xml:space="preserve">  </w:t>
      </w:r>
      <w:r w:rsidR="0086768E" w:rsidRPr="00A77AF6">
        <w:t xml:space="preserve"> </w:t>
      </w:r>
      <w:r w:rsidR="00DA5CA0" w:rsidRPr="00A77AF6">
        <w:t>T</w:t>
      </w:r>
      <w:r w:rsidR="00C437B3" w:rsidRPr="00A77AF6">
        <w:t xml:space="preserve">he </w:t>
      </w:r>
      <w:r w:rsidR="0068502C" w:rsidRPr="00A77AF6">
        <w:t xml:space="preserve">choice of research methodology </w:t>
      </w:r>
      <w:r w:rsidR="00C437B3" w:rsidRPr="00A77AF6">
        <w:t xml:space="preserve">can </w:t>
      </w:r>
      <w:r w:rsidR="00DA5CA0" w:rsidRPr="00A77AF6">
        <w:t xml:space="preserve">also </w:t>
      </w:r>
      <w:r w:rsidR="00C437B3" w:rsidRPr="00A77AF6">
        <w:t xml:space="preserve">be influenced </w:t>
      </w:r>
      <w:r w:rsidR="0068502C" w:rsidRPr="00A77AF6">
        <w:t xml:space="preserve">by the </w:t>
      </w:r>
      <w:r w:rsidR="00DA5CA0" w:rsidRPr="00A77AF6">
        <w:t xml:space="preserve">approaches used </w:t>
      </w:r>
      <w:r w:rsidR="0086768E" w:rsidRPr="00A77AF6">
        <w:t>in previous studies</w:t>
      </w:r>
      <w:r w:rsidR="00565AB4" w:rsidRPr="00A77AF6">
        <w:t xml:space="preserve">. </w:t>
      </w:r>
      <w:r w:rsidR="009E2E1D" w:rsidRPr="00A77AF6">
        <w:t xml:space="preserve">  </w:t>
      </w:r>
      <w:r w:rsidR="00754CD5" w:rsidRPr="00A77AF6">
        <w:t>It is important for the researcher to understand different research traditions so that the most suitable one can be used. Research approaches matter because they represent the epistemological and ontological view of the researcher but, importantly they impact on the types of question that are being asked, the method of data collection and analysis and the general applicability of results.</w:t>
      </w:r>
      <w:r w:rsidR="00AB7270" w:rsidRPr="00A77AF6">
        <w:t xml:space="preserve"> </w:t>
      </w:r>
      <w:r w:rsidR="009E2E1D" w:rsidRPr="00A77AF6">
        <w:t>T</w:t>
      </w:r>
      <w:r w:rsidR="001934DF" w:rsidRPr="00A77AF6">
        <w:t xml:space="preserve">he intention of this study was </w:t>
      </w:r>
      <w:r w:rsidR="009E2E1D" w:rsidRPr="00A77AF6">
        <w:t>to collect quantifiable data</w:t>
      </w:r>
      <w:r w:rsidR="00AB7270" w:rsidRPr="00A77AF6">
        <w:t xml:space="preserve"> and to explain these through </w:t>
      </w:r>
      <w:r w:rsidR="001934DF" w:rsidRPr="00A77AF6">
        <w:t>interviews with industry experts</w:t>
      </w:r>
      <w:r w:rsidR="00AB7270" w:rsidRPr="00A77AF6">
        <w:t xml:space="preserve"> to achieve a deeper understanding and to develop a project assurance model to assist practitioners.  To achieve these aims </w:t>
      </w:r>
      <w:r w:rsidR="001934DF" w:rsidRPr="00A77AF6">
        <w:t>a mixed methods explanatory approach</w:t>
      </w:r>
      <w:r w:rsidR="00AB7270" w:rsidRPr="00A77AF6">
        <w:t xml:space="preserve"> was adopted</w:t>
      </w:r>
      <w:r w:rsidR="001934DF" w:rsidRPr="00A77AF6">
        <w:t xml:space="preserve">.  </w:t>
      </w:r>
    </w:p>
    <w:p w14:paraId="59842448" w14:textId="2F0291A5" w:rsidR="00F37DF9" w:rsidRPr="00A77AF6" w:rsidRDefault="00F37DF9" w:rsidP="007E0FA8">
      <w:pPr>
        <w:pStyle w:val="Heading2"/>
        <w:spacing w:after="120" w:line="240" w:lineRule="auto"/>
      </w:pPr>
      <w:bookmarkStart w:id="110" w:name="_Toc36275092"/>
      <w:r w:rsidRPr="00A77AF6">
        <w:t xml:space="preserve">Research </w:t>
      </w:r>
      <w:r w:rsidR="00DA5CA0" w:rsidRPr="00A77AF6">
        <w:t>Paradigm</w:t>
      </w:r>
      <w:bookmarkEnd w:id="110"/>
      <w:r w:rsidR="00DA5CA0" w:rsidRPr="00A77AF6">
        <w:t xml:space="preserve"> </w:t>
      </w:r>
      <w:r w:rsidRPr="00A77AF6">
        <w:t xml:space="preserve"> </w:t>
      </w:r>
    </w:p>
    <w:p w14:paraId="45129749" w14:textId="2AEA5BC7" w:rsidR="007E0FA8" w:rsidRPr="00A77AF6" w:rsidRDefault="007E0FA8" w:rsidP="00DA5CA0">
      <w:pPr>
        <w:spacing w:line="360" w:lineRule="auto"/>
      </w:pPr>
      <w:r w:rsidRPr="00A77AF6">
        <w:t xml:space="preserve">This section </w:t>
      </w:r>
      <w:r w:rsidR="00DA5CA0" w:rsidRPr="00A77AF6">
        <w:t xml:space="preserve">disuses the ontological and epistemological approach of this study, it </w:t>
      </w:r>
      <w:r w:rsidRPr="00A77AF6">
        <w:t>summarises the differences between quantitative, qualitative and mixed methodologies</w:t>
      </w:r>
      <w:r w:rsidR="00DA5CA0" w:rsidRPr="00A77AF6">
        <w:t xml:space="preserve"> and </w:t>
      </w:r>
      <w:r w:rsidRPr="00A77AF6">
        <w:t xml:space="preserve">discusses each in turn.  It provides the justification for the selection of mixed methods for this study. </w:t>
      </w:r>
    </w:p>
    <w:p w14:paraId="506A25B4" w14:textId="1E1F157F" w:rsidR="00333AFD" w:rsidRPr="00A77AF6" w:rsidRDefault="00333AFD" w:rsidP="007E0FA8">
      <w:pPr>
        <w:pStyle w:val="Heading3"/>
        <w:spacing w:after="120"/>
      </w:pPr>
      <w:bookmarkStart w:id="111" w:name="_Toc36275093"/>
      <w:r w:rsidRPr="00A77AF6">
        <w:t xml:space="preserve">Research </w:t>
      </w:r>
      <w:r w:rsidR="00632AF2" w:rsidRPr="00A77AF6">
        <w:t>m</w:t>
      </w:r>
      <w:r w:rsidRPr="00A77AF6">
        <w:t xml:space="preserve">ethodology </w:t>
      </w:r>
      <w:r w:rsidR="00632AF2" w:rsidRPr="00A77AF6">
        <w:t>d</w:t>
      </w:r>
      <w:r w:rsidRPr="00A77AF6">
        <w:t>ebate</w:t>
      </w:r>
      <w:bookmarkEnd w:id="111"/>
    </w:p>
    <w:p w14:paraId="6C6A43EA" w14:textId="79C7BB0F" w:rsidR="00CF6928" w:rsidRPr="00A77AF6" w:rsidRDefault="00CF6928" w:rsidP="001934DF">
      <w:pPr>
        <w:spacing w:line="360" w:lineRule="auto"/>
      </w:pPr>
      <w:r w:rsidRPr="00A77AF6">
        <w:t xml:space="preserve">The debate between the merits of qualitative and quantitative research methodologies is based on the answer to the question: what knowledge is valid?  If </w:t>
      </w:r>
      <w:r w:rsidR="001934DF" w:rsidRPr="00A77AF6">
        <w:t xml:space="preserve">the </w:t>
      </w:r>
      <w:r w:rsidR="00222FDE" w:rsidRPr="00A77AF6">
        <w:t xml:space="preserve">ontological </w:t>
      </w:r>
      <w:r w:rsidR="001934DF" w:rsidRPr="00A77AF6">
        <w:t xml:space="preserve">view is that </w:t>
      </w:r>
      <w:r w:rsidRPr="00A77AF6">
        <w:t xml:space="preserve">knowledge </w:t>
      </w:r>
      <w:r w:rsidR="001934DF" w:rsidRPr="00A77AF6">
        <w:t xml:space="preserve">must be </w:t>
      </w:r>
      <w:r w:rsidRPr="00A77AF6">
        <w:t xml:space="preserve">objectively determined and tested to find answers </w:t>
      </w:r>
      <w:r w:rsidR="001934DF" w:rsidRPr="00A77AF6">
        <w:t xml:space="preserve">that </w:t>
      </w:r>
      <w:r w:rsidRPr="00A77AF6">
        <w:t xml:space="preserve">can be generalised, then the quantitative method is more likely to be suitable.  If on the other hand, </w:t>
      </w:r>
      <w:r w:rsidR="00EE04AB" w:rsidRPr="00A77AF6">
        <w:t>the</w:t>
      </w:r>
      <w:r w:rsidR="00AB7270" w:rsidRPr="00A77AF6">
        <w:t xml:space="preserve"> ontological</w:t>
      </w:r>
      <w:r w:rsidR="00EE04AB" w:rsidRPr="00A77AF6">
        <w:t xml:space="preserve"> view is that </w:t>
      </w:r>
      <w:r w:rsidRPr="00A77AF6">
        <w:t xml:space="preserve">knowledge is subjective, for example one person’s experience of an event may differ from another’s but both can be true, then the qualitative method may be more useful </w:t>
      </w:r>
      <w:sdt>
        <w:sdtPr>
          <w:id w:val="-311484155"/>
          <w:citation/>
        </w:sdtPr>
        <w:sdtEndPr/>
        <w:sdtContent>
          <w:r w:rsidR="008A2BE5" w:rsidRPr="00A77AF6">
            <w:fldChar w:fldCharType="begin"/>
          </w:r>
          <w:r w:rsidR="008A2BE5" w:rsidRPr="00A77AF6">
            <w:instrText xml:space="preserve"> CITATION Bry881 \l 2057 </w:instrText>
          </w:r>
          <w:r w:rsidR="008A2BE5" w:rsidRPr="00A77AF6">
            <w:fldChar w:fldCharType="separate"/>
          </w:r>
          <w:r w:rsidR="008E653F" w:rsidRPr="00A77AF6">
            <w:t>(Bryman, 1988)</w:t>
          </w:r>
          <w:r w:rsidR="008A2BE5" w:rsidRPr="00A77AF6">
            <w:fldChar w:fldCharType="end"/>
          </w:r>
        </w:sdtContent>
      </w:sdt>
    </w:p>
    <w:p w14:paraId="590C7B5C" w14:textId="0FD2D0A8" w:rsidR="00EF0F3D" w:rsidRPr="00A77AF6" w:rsidRDefault="00CF6928" w:rsidP="00D22A15">
      <w:pPr>
        <w:spacing w:after="0" w:line="360" w:lineRule="auto"/>
      </w:pPr>
      <w:r w:rsidRPr="00A77AF6">
        <w:t>The debate between proponents of quantitative and qualitative methods has been fierce in some instances</w:t>
      </w:r>
      <w:r w:rsidR="004E1A21" w:rsidRPr="00A77AF6">
        <w:t xml:space="preserve"> </w:t>
      </w:r>
      <w:sdt>
        <w:sdtPr>
          <w:id w:val="960773432"/>
          <w:citation/>
        </w:sdtPr>
        <w:sdtEndPr/>
        <w:sdtContent>
          <w:r w:rsidR="004E1A21" w:rsidRPr="00A77AF6">
            <w:fldChar w:fldCharType="begin"/>
          </w:r>
          <w:r w:rsidR="004E1A21" w:rsidRPr="00A77AF6">
            <w:instrText xml:space="preserve">CITATION kel06 \l 2057 </w:instrText>
          </w:r>
          <w:r w:rsidR="004E1A21" w:rsidRPr="00A77AF6">
            <w:fldChar w:fldCharType="separate"/>
          </w:r>
          <w:r w:rsidR="008E653F" w:rsidRPr="00A77AF6">
            <w:t>(Kelle, 2006)</w:t>
          </w:r>
          <w:r w:rsidR="004E1A21" w:rsidRPr="00A77AF6">
            <w:fldChar w:fldCharType="end"/>
          </w:r>
        </w:sdtContent>
      </w:sdt>
      <w:r w:rsidRPr="00A77AF6">
        <w:t xml:space="preserve"> and </w:t>
      </w:r>
      <w:r w:rsidR="00C91CD6" w:rsidRPr="00A77AF6">
        <w:t xml:space="preserve">divisive </w:t>
      </w:r>
      <w:sdt>
        <w:sdtPr>
          <w:id w:val="2072928152"/>
          <w:citation/>
        </w:sdtPr>
        <w:sdtEndPr/>
        <w:sdtContent>
          <w:r w:rsidR="00E33BF2" w:rsidRPr="00A77AF6">
            <w:fldChar w:fldCharType="begin"/>
          </w:r>
          <w:r w:rsidR="003E5115" w:rsidRPr="00A77AF6">
            <w:instrText xml:space="preserve">CITATION Onw05 \l 2057 </w:instrText>
          </w:r>
          <w:r w:rsidR="00E33BF2" w:rsidRPr="00A77AF6">
            <w:fldChar w:fldCharType="separate"/>
          </w:r>
          <w:r w:rsidR="003E5115" w:rsidRPr="00A77AF6">
            <w:t>(Onwuegbuzie &amp; Leech, 2005)</w:t>
          </w:r>
          <w:r w:rsidR="00E33BF2" w:rsidRPr="00A77AF6">
            <w:fldChar w:fldCharType="end"/>
          </w:r>
        </w:sdtContent>
      </w:sdt>
      <w:r w:rsidR="00767A40" w:rsidRPr="00A77AF6">
        <w:t xml:space="preserve">. </w:t>
      </w:r>
      <w:r w:rsidRPr="00A77AF6">
        <w:t>For some</w:t>
      </w:r>
      <w:r w:rsidR="004F0B06">
        <w:t>,</w:t>
      </w:r>
      <w:r w:rsidR="009B6927" w:rsidRPr="00A77AF6">
        <w:t xml:space="preserve"> the two </w:t>
      </w:r>
      <w:r w:rsidR="00965150" w:rsidRPr="00A77AF6">
        <w:t>paradigms</w:t>
      </w:r>
      <w:r w:rsidR="0037014E" w:rsidRPr="00A77AF6">
        <w:t xml:space="preserve"> are mutually exclusive</w:t>
      </w:r>
      <w:r w:rsidR="006E62B3" w:rsidRPr="00A77AF6">
        <w:t xml:space="preserve"> </w:t>
      </w:r>
      <w:sdt>
        <w:sdtPr>
          <w:id w:val="117580689"/>
          <w:citation/>
        </w:sdtPr>
        <w:sdtEndPr/>
        <w:sdtContent>
          <w:r w:rsidR="00700C0F" w:rsidRPr="00A77AF6">
            <w:fldChar w:fldCharType="begin"/>
          </w:r>
          <w:r w:rsidR="003E5115" w:rsidRPr="00A77AF6">
            <w:instrText xml:space="preserve">CITATION Onw05 \l 2057 </w:instrText>
          </w:r>
          <w:r w:rsidR="00700C0F" w:rsidRPr="00A77AF6">
            <w:fldChar w:fldCharType="separate"/>
          </w:r>
          <w:r w:rsidR="003E5115" w:rsidRPr="00A77AF6">
            <w:t>(Onwuegbuzie &amp; Leech, 2005)</w:t>
          </w:r>
          <w:r w:rsidR="00700C0F" w:rsidRPr="00A77AF6">
            <w:fldChar w:fldCharType="end"/>
          </w:r>
        </w:sdtContent>
      </w:sdt>
      <w:r w:rsidR="00965150" w:rsidRPr="00A77AF6">
        <w:t xml:space="preserve">.  </w:t>
      </w:r>
      <w:r w:rsidR="00EF0F3D" w:rsidRPr="00A77AF6">
        <w:t xml:space="preserve">Quantitative research has its roots in the natural sciences, a term used to cover disciplines such as physics, chemistry, botany, zoology, astronomy and materials science and is equivalent to what is called ‘science’ in the present day.  Because quantitative research is rooted in the natural sciences it maintains that there is an </w:t>
      </w:r>
      <w:r w:rsidR="00EF0F3D" w:rsidRPr="00A77AF6">
        <w:lastRenderedPageBreak/>
        <w:t xml:space="preserve">external reality that can be tested, discovered and observed.  </w:t>
      </w:r>
      <w:r w:rsidR="00980220" w:rsidRPr="00A77AF6">
        <w:t>S</w:t>
      </w:r>
      <w:r w:rsidR="00EF0F3D" w:rsidRPr="00A77AF6">
        <w:t>cience is linked with positivism</w:t>
      </w:r>
      <w:r w:rsidR="00980220" w:rsidRPr="00A77AF6">
        <w:t xml:space="preserve"> which is </w:t>
      </w:r>
      <w:r w:rsidR="00EF0F3D" w:rsidRPr="00A77AF6">
        <w:t xml:space="preserve">the idea that </w:t>
      </w:r>
    </w:p>
    <w:p w14:paraId="4EE56E6F" w14:textId="2CF542EF" w:rsidR="00EF0F3D" w:rsidRPr="00A77AF6" w:rsidRDefault="00EF0F3D" w:rsidP="00D22A15">
      <w:pPr>
        <w:spacing w:after="120" w:line="240" w:lineRule="auto"/>
        <w:ind w:left="720"/>
      </w:pPr>
      <w:r w:rsidRPr="00A77AF6">
        <w:rPr>
          <w:i/>
        </w:rPr>
        <w:t>‘the social world exists externally, and that its properties should be measured through objective methods, rather than being inferred subjectively through sensation, reflection or intuition.</w:t>
      </w:r>
      <w:r w:rsidRPr="00A77AF6">
        <w:t>’</w:t>
      </w:r>
      <w:sdt>
        <w:sdtPr>
          <w:id w:val="338052673"/>
          <w:citation/>
        </w:sdtPr>
        <w:sdtEndPr/>
        <w:sdtContent>
          <w:r w:rsidRPr="00A77AF6">
            <w:fldChar w:fldCharType="begin"/>
          </w:r>
          <w:r w:rsidRPr="00A77AF6">
            <w:instrText xml:space="preserve">CITATION Eas911 \p 22 \l 2057 </w:instrText>
          </w:r>
          <w:r w:rsidRPr="00A77AF6">
            <w:fldChar w:fldCharType="separate"/>
          </w:r>
          <w:r w:rsidR="008E653F" w:rsidRPr="00A77AF6">
            <w:t xml:space="preserve"> (Easterby-Smith, et al., 1991, p. 22)</w:t>
          </w:r>
          <w:r w:rsidRPr="00A77AF6">
            <w:fldChar w:fldCharType="end"/>
          </w:r>
        </w:sdtContent>
      </w:sdt>
    </w:p>
    <w:p w14:paraId="49753BF7" w14:textId="1646706C" w:rsidR="00CF6928" w:rsidRPr="00A77AF6" w:rsidRDefault="00EF0F3D" w:rsidP="00EE04AB">
      <w:pPr>
        <w:spacing w:line="360" w:lineRule="auto"/>
      </w:pPr>
      <w:r w:rsidRPr="00A77AF6">
        <w:t xml:space="preserve">Some of the language associated with quantitative approaches </w:t>
      </w:r>
      <w:r w:rsidR="00EE04AB" w:rsidRPr="00A77AF6">
        <w:t>includes</w:t>
      </w:r>
      <w:r w:rsidRPr="00A77AF6">
        <w:t xml:space="preserve"> rationalism, positivism, objectiv</w:t>
      </w:r>
      <w:r w:rsidR="007E0FA8" w:rsidRPr="00A77AF6">
        <w:t>ity</w:t>
      </w:r>
      <w:r w:rsidRPr="00A77AF6">
        <w:t xml:space="preserve">, the scientific method.  For others, this method might give </w:t>
      </w:r>
      <w:r w:rsidR="00565AB4" w:rsidRPr="00A77AF6">
        <w:t>quantity,</w:t>
      </w:r>
      <w:r w:rsidRPr="00A77AF6">
        <w:t xml:space="preserve"> but it does not provide nuance or understanding.  T</w:t>
      </w:r>
      <w:r w:rsidR="007E0FA8" w:rsidRPr="00A77AF6">
        <w:t>h</w:t>
      </w:r>
      <w:r w:rsidRPr="00A77AF6">
        <w:t>ese</w:t>
      </w:r>
      <w:r w:rsidR="007E0FA8" w:rsidRPr="00A77AF6">
        <w:t xml:space="preserve">, the argument </w:t>
      </w:r>
      <w:r w:rsidR="00B24BBD" w:rsidRPr="00A77AF6">
        <w:t>goes, can</w:t>
      </w:r>
      <w:r w:rsidRPr="00A77AF6">
        <w:t xml:space="preserve"> be achieved though </w:t>
      </w:r>
      <w:r w:rsidR="0004542B" w:rsidRPr="00A77AF6">
        <w:t xml:space="preserve">qualitative </w:t>
      </w:r>
      <w:r w:rsidR="00565AB4" w:rsidRPr="00A77AF6">
        <w:t>research,</w:t>
      </w:r>
      <w:r w:rsidR="0004542B" w:rsidRPr="00A77AF6">
        <w:t xml:space="preserve"> an</w:t>
      </w:r>
      <w:r w:rsidR="007E0FA8" w:rsidRPr="00A77AF6">
        <w:t xml:space="preserve"> approach that </w:t>
      </w:r>
      <w:r w:rsidR="0004542B" w:rsidRPr="00A77AF6">
        <w:t>is widely used in research in the social sciences</w:t>
      </w:r>
    </w:p>
    <w:p w14:paraId="42FC174D" w14:textId="573B6AF1" w:rsidR="007E0FA8" w:rsidRPr="00A77AF6" w:rsidRDefault="00EF0F3D" w:rsidP="00D22A15">
      <w:pPr>
        <w:spacing w:after="0" w:line="360" w:lineRule="auto"/>
      </w:pPr>
      <w:r w:rsidRPr="00A77AF6">
        <w:t>Qu</w:t>
      </w:r>
      <w:r w:rsidR="00EE1CAF" w:rsidRPr="00A77AF6">
        <w:t xml:space="preserve">alitative research is a way of </w:t>
      </w:r>
      <w:r w:rsidRPr="00A77AF6">
        <w:t xml:space="preserve">exploring the meaning individuals or groups </w:t>
      </w:r>
      <w:r w:rsidR="00EE1CAF" w:rsidRPr="00A77AF6">
        <w:t>give</w:t>
      </w:r>
      <w:r w:rsidRPr="00A77AF6">
        <w:t xml:space="preserve"> to a social or human problem.   Some of the vocabulary associated with the qualitative approach is subjectivity, phenomenology, induction, interpretivist, unstructured and case studies.  Th</w:t>
      </w:r>
      <w:r w:rsidR="00F627CF" w:rsidRPr="00A77AF6">
        <w:t xml:space="preserve">is </w:t>
      </w:r>
      <w:r w:rsidRPr="00A77AF6">
        <w:t xml:space="preserve">viewpoint </w:t>
      </w:r>
      <w:r w:rsidR="00F627CF" w:rsidRPr="00A77AF6">
        <w:t xml:space="preserve">argues that </w:t>
      </w:r>
      <w:r w:rsidRPr="00A77AF6">
        <w:t xml:space="preserve">reality is subjective and can be interpreted in different ways. The epistemological underpinning is that </w:t>
      </w:r>
    </w:p>
    <w:p w14:paraId="3C2A3A22" w14:textId="4A561D9A" w:rsidR="00EF0F3D" w:rsidRPr="00A77AF6" w:rsidRDefault="00EF0F3D" w:rsidP="007E0FA8">
      <w:pPr>
        <w:spacing w:line="240" w:lineRule="auto"/>
        <w:ind w:left="720"/>
      </w:pPr>
      <w:r w:rsidRPr="00A77AF6">
        <w:rPr>
          <w:i/>
        </w:rPr>
        <w:t>‘knowledge is subjective, formed by the knower(s) reflecting his, her or their viewpoints, attachments and values.’</w:t>
      </w:r>
      <w:r w:rsidRPr="00A77AF6">
        <w:t xml:space="preserve"> </w:t>
      </w:r>
      <w:sdt>
        <w:sdtPr>
          <w:id w:val="-462968552"/>
          <w:citation/>
        </w:sdtPr>
        <w:sdtEndPr/>
        <w:sdtContent>
          <w:r w:rsidR="00BE1DB4">
            <w:fldChar w:fldCharType="begin"/>
          </w:r>
          <w:r w:rsidR="00BE1DB4">
            <w:instrText xml:space="preserve">CITATION Run08 \p 76 \l 2057 </w:instrText>
          </w:r>
          <w:r w:rsidR="00BE1DB4">
            <w:fldChar w:fldCharType="separate"/>
          </w:r>
          <w:r w:rsidR="00BE1DB4" w:rsidRPr="00BE1DB4">
            <w:rPr>
              <w:noProof/>
            </w:rPr>
            <w:t>(Runeson &amp; Skitmore, 2008, p. 76)</w:t>
          </w:r>
          <w:r w:rsidR="00BE1DB4">
            <w:fldChar w:fldCharType="end"/>
          </w:r>
        </w:sdtContent>
      </w:sdt>
    </w:p>
    <w:p w14:paraId="4DADFBD3" w14:textId="083E99F8" w:rsidR="00EF0F3D" w:rsidRPr="00A77AF6" w:rsidRDefault="00BE0F0E" w:rsidP="00EE04AB">
      <w:pPr>
        <w:spacing w:before="240" w:after="0" w:line="360" w:lineRule="auto"/>
      </w:pPr>
      <w:r w:rsidRPr="00A77AF6">
        <w:t xml:space="preserve">Quantitative research seeks to confirm the existence of relationships or facts and requires the researcher to be distant from their subjects.  </w:t>
      </w:r>
      <w:r w:rsidR="00EF0F3D" w:rsidRPr="00A77AF6">
        <w:t xml:space="preserve">Qualitative research </w:t>
      </w:r>
      <w:r w:rsidRPr="00A77AF6">
        <w:t xml:space="preserve">on the other hand, </w:t>
      </w:r>
      <w:r w:rsidR="001676B2" w:rsidRPr="00A77AF6">
        <w:t>can</w:t>
      </w:r>
      <w:r w:rsidR="00EF0F3D" w:rsidRPr="00A77AF6">
        <w:t xml:space="preserve"> </w:t>
      </w:r>
      <w:r w:rsidR="00E366A5">
        <w:t xml:space="preserve">be </w:t>
      </w:r>
      <w:r w:rsidR="00EF0F3D" w:rsidRPr="00A77AF6">
        <w:t xml:space="preserve">exploratory in a way that quantitative research </w:t>
      </w:r>
      <w:r w:rsidR="001676B2" w:rsidRPr="00A77AF6">
        <w:t>can</w:t>
      </w:r>
      <w:r w:rsidR="00EF0F3D" w:rsidRPr="00A77AF6">
        <w:t xml:space="preserve">not. </w:t>
      </w:r>
      <w:r w:rsidRPr="00A77AF6">
        <w:t xml:space="preserve">It </w:t>
      </w:r>
      <w:r w:rsidR="00EF0F3D" w:rsidRPr="00A77AF6">
        <w:t xml:space="preserve">requires a different relationship between the researcher and their subjects. In contrast to quantitative research, qualitative research ‘entails much more sustained contact’ </w:t>
      </w:r>
      <w:sdt>
        <w:sdtPr>
          <w:id w:val="1378287676"/>
          <w:citation/>
        </w:sdtPr>
        <w:sdtEndPr/>
        <w:sdtContent>
          <w:r w:rsidR="00EF0F3D" w:rsidRPr="00A77AF6">
            <w:fldChar w:fldCharType="begin"/>
          </w:r>
          <w:r w:rsidR="00EF0F3D" w:rsidRPr="00A77AF6">
            <w:instrText xml:space="preserve">CITATION Bry881 \p 95 \l 2057 </w:instrText>
          </w:r>
          <w:r w:rsidR="00EF0F3D" w:rsidRPr="00A77AF6">
            <w:fldChar w:fldCharType="separate"/>
          </w:r>
          <w:r w:rsidR="008E653F" w:rsidRPr="00A77AF6">
            <w:t>(Bryman, 1988, p. 95)</w:t>
          </w:r>
          <w:r w:rsidR="00EF0F3D" w:rsidRPr="00A77AF6">
            <w:fldChar w:fldCharType="end"/>
          </w:r>
        </w:sdtContent>
      </w:sdt>
      <w:r w:rsidR="00EF0F3D" w:rsidRPr="00A77AF6">
        <w:t xml:space="preserve">. This brings its own problems, such as the possibility of influencing subjects and ‘contaminating’ the results.  This requires researchers to be mindful of the lens through which they see the world </w:t>
      </w:r>
      <w:r w:rsidR="00BC58F8" w:rsidRPr="00A77AF6">
        <w:t>because it</w:t>
      </w:r>
      <w:r w:rsidR="00EF0F3D" w:rsidRPr="00A77AF6">
        <w:t xml:space="preserve"> may colour their interpretation of the results</w:t>
      </w:r>
      <w:r w:rsidR="00461471" w:rsidRPr="00A77AF6">
        <w:t xml:space="preserve"> so</w:t>
      </w:r>
    </w:p>
    <w:p w14:paraId="3B04F67B" w14:textId="039DECAA" w:rsidR="00EF0F3D" w:rsidRPr="00A77AF6" w:rsidRDefault="00EF0F3D" w:rsidP="00F627CF">
      <w:pPr>
        <w:spacing w:after="240" w:line="240" w:lineRule="auto"/>
        <w:ind w:left="720"/>
      </w:pPr>
      <w:r w:rsidRPr="00A77AF6">
        <w:rPr>
          <w:i/>
        </w:rPr>
        <w:t>‘inquirers explicitly identify reflexively their biases, values and personal background, such as gender, history and culture, and socioeconomic status that may shape their interpretations formed during a study’</w:t>
      </w:r>
      <w:r w:rsidR="00461471" w:rsidRPr="00A77AF6">
        <w:t xml:space="preserve"> </w:t>
      </w:r>
      <w:sdt>
        <w:sdtPr>
          <w:id w:val="1393464784"/>
          <w:citation/>
        </w:sdtPr>
        <w:sdtEndPr/>
        <w:sdtContent>
          <w:r w:rsidR="00461471" w:rsidRPr="00A77AF6">
            <w:fldChar w:fldCharType="begin"/>
          </w:r>
          <w:r w:rsidR="00461471" w:rsidRPr="00A77AF6">
            <w:instrText xml:space="preserve">CITATION Cre09 \p 177 \l 2057 </w:instrText>
          </w:r>
          <w:r w:rsidR="00461471" w:rsidRPr="00A77AF6">
            <w:fldChar w:fldCharType="separate"/>
          </w:r>
          <w:r w:rsidR="00461471" w:rsidRPr="00A77AF6">
            <w:t>(Creswell, 2009, p. 177)</w:t>
          </w:r>
          <w:r w:rsidR="00461471" w:rsidRPr="00A77AF6">
            <w:fldChar w:fldCharType="end"/>
          </w:r>
        </w:sdtContent>
      </w:sdt>
    </w:p>
    <w:p w14:paraId="7D39678C" w14:textId="3D321938" w:rsidR="00EE04AB" w:rsidRPr="00A77AF6" w:rsidRDefault="00030D27" w:rsidP="00152F1D">
      <w:pPr>
        <w:spacing w:line="360" w:lineRule="auto"/>
      </w:pPr>
      <w:r w:rsidRPr="00A77AF6">
        <w:t>Easterby-Smith, et al (1991, p</w:t>
      </w:r>
      <w:r w:rsidR="00461471" w:rsidRPr="00A77AF6">
        <w:t xml:space="preserve">. </w:t>
      </w:r>
      <w:r w:rsidRPr="00A77AF6">
        <w:t>27)</w:t>
      </w:r>
      <w:r w:rsidR="00562F5F" w:rsidRPr="00A77AF6">
        <w:t xml:space="preserve"> summarise </w:t>
      </w:r>
      <w:r w:rsidR="00B24BBD" w:rsidRPr="00A77AF6">
        <w:t xml:space="preserve">the differences between </w:t>
      </w:r>
      <w:r w:rsidR="00562F5F" w:rsidRPr="00A77AF6">
        <w:t xml:space="preserve">quantitative and qualitative </w:t>
      </w:r>
      <w:r w:rsidR="00B24BBD" w:rsidRPr="00A77AF6">
        <w:t xml:space="preserve">methodologies </w:t>
      </w:r>
      <w:r w:rsidR="00562F5F" w:rsidRPr="00A77AF6">
        <w:t xml:space="preserve">in </w:t>
      </w:r>
      <w:r w:rsidR="00033265" w:rsidRPr="00A77AF6">
        <w:t>T</w:t>
      </w:r>
      <w:r w:rsidR="00562F5F" w:rsidRPr="00A77AF6">
        <w:t xml:space="preserve">able </w:t>
      </w:r>
      <w:r w:rsidR="00BC58F8" w:rsidRPr="00A77AF6">
        <w:t>5-1</w:t>
      </w:r>
      <w:r w:rsidR="00EE04AB" w:rsidRPr="00A77AF6">
        <w:br w:type="page"/>
      </w:r>
    </w:p>
    <w:p w14:paraId="053FD287" w14:textId="6248C892" w:rsidR="00030D27" w:rsidRPr="00A77AF6" w:rsidRDefault="00030D27" w:rsidP="0007452B">
      <w:pPr>
        <w:pStyle w:val="Caption"/>
        <w:keepNext/>
        <w:spacing w:after="120"/>
      </w:pPr>
      <w:r w:rsidRPr="00A77AF6">
        <w:lastRenderedPageBreak/>
        <w:t xml:space="preserve">Table </w:t>
      </w:r>
      <w:fldSimple w:instr=" STYLEREF 1 \s ">
        <w:r w:rsidR="000441F7">
          <w:rPr>
            <w:noProof/>
          </w:rPr>
          <w:t>5</w:t>
        </w:r>
      </w:fldSimple>
      <w:r w:rsidR="00804112">
        <w:noBreakHyphen/>
      </w:r>
      <w:fldSimple w:instr=" SEQ Table \* ARABIC \s 1 ">
        <w:r w:rsidR="000441F7">
          <w:rPr>
            <w:noProof/>
          </w:rPr>
          <w:t>1</w:t>
        </w:r>
      </w:fldSimple>
      <w:r w:rsidRPr="00A77AF6">
        <w:t>: Key Features of Quantitative and Qualitative methodologies</w:t>
      </w:r>
    </w:p>
    <w:tbl>
      <w:tblPr>
        <w:tblStyle w:val="TableGrid"/>
        <w:tblW w:w="0" w:type="auto"/>
        <w:tblLook w:val="04A0" w:firstRow="1" w:lastRow="0" w:firstColumn="1" w:lastColumn="0" w:noHBand="0" w:noVBand="1"/>
      </w:tblPr>
      <w:tblGrid>
        <w:gridCol w:w="1696"/>
        <w:gridCol w:w="3261"/>
        <w:gridCol w:w="3820"/>
      </w:tblGrid>
      <w:tr w:rsidR="00562F5F" w:rsidRPr="00A77AF6" w14:paraId="0ACEE007" w14:textId="77777777" w:rsidTr="00BC58F8">
        <w:trPr>
          <w:trHeight w:val="564"/>
        </w:trPr>
        <w:tc>
          <w:tcPr>
            <w:tcW w:w="1696" w:type="dxa"/>
            <w:shd w:val="clear" w:color="auto" w:fill="F2F2F2" w:themeFill="background1" w:themeFillShade="F2"/>
          </w:tcPr>
          <w:p w14:paraId="4E247AF1" w14:textId="77777777" w:rsidR="00562F5F" w:rsidRPr="00A77AF6" w:rsidRDefault="00562F5F" w:rsidP="00030D27">
            <w:pPr>
              <w:rPr>
                <w:sz w:val="20"/>
                <w:szCs w:val="20"/>
              </w:rPr>
            </w:pPr>
          </w:p>
        </w:tc>
        <w:tc>
          <w:tcPr>
            <w:tcW w:w="3261" w:type="dxa"/>
            <w:tcBorders>
              <w:bottom w:val="single" w:sz="4" w:space="0" w:color="auto"/>
            </w:tcBorders>
            <w:shd w:val="clear" w:color="auto" w:fill="F2F2F2" w:themeFill="background1" w:themeFillShade="F2"/>
          </w:tcPr>
          <w:p w14:paraId="7D0907CD" w14:textId="77777777" w:rsidR="00030D27" w:rsidRPr="00A77AF6" w:rsidRDefault="00562F5F" w:rsidP="00BC58F8">
            <w:pPr>
              <w:spacing w:after="60"/>
              <w:jc w:val="center"/>
              <w:rPr>
                <w:sz w:val="20"/>
                <w:szCs w:val="20"/>
              </w:rPr>
            </w:pPr>
            <w:r w:rsidRPr="00A77AF6">
              <w:rPr>
                <w:sz w:val="20"/>
                <w:szCs w:val="20"/>
              </w:rPr>
              <w:t>Quantitative</w:t>
            </w:r>
          </w:p>
          <w:p w14:paraId="591AA96E" w14:textId="4A9BCC4B" w:rsidR="00030D27" w:rsidRPr="00A77AF6" w:rsidRDefault="00030D27" w:rsidP="00BC58F8">
            <w:pPr>
              <w:spacing w:after="60"/>
              <w:jc w:val="center"/>
              <w:rPr>
                <w:sz w:val="20"/>
                <w:szCs w:val="20"/>
              </w:rPr>
            </w:pPr>
            <w:r w:rsidRPr="00A77AF6">
              <w:rPr>
                <w:sz w:val="20"/>
                <w:szCs w:val="20"/>
              </w:rPr>
              <w:t>Positivist paradigm</w:t>
            </w:r>
          </w:p>
        </w:tc>
        <w:tc>
          <w:tcPr>
            <w:tcW w:w="3820" w:type="dxa"/>
            <w:tcBorders>
              <w:bottom w:val="single" w:sz="4" w:space="0" w:color="auto"/>
            </w:tcBorders>
            <w:shd w:val="clear" w:color="auto" w:fill="F2F2F2" w:themeFill="background1" w:themeFillShade="F2"/>
          </w:tcPr>
          <w:p w14:paraId="78D3E5D9" w14:textId="77777777" w:rsidR="00562F5F" w:rsidRPr="00A77AF6" w:rsidRDefault="00562F5F" w:rsidP="00BC58F8">
            <w:pPr>
              <w:spacing w:after="60"/>
              <w:jc w:val="center"/>
              <w:rPr>
                <w:sz w:val="20"/>
                <w:szCs w:val="20"/>
              </w:rPr>
            </w:pPr>
            <w:r w:rsidRPr="00A77AF6">
              <w:rPr>
                <w:sz w:val="20"/>
                <w:szCs w:val="20"/>
              </w:rPr>
              <w:t>Qualitative</w:t>
            </w:r>
          </w:p>
          <w:p w14:paraId="6EE2B88D" w14:textId="55F946CA" w:rsidR="00030D27" w:rsidRPr="00A77AF6" w:rsidRDefault="00030D27" w:rsidP="00BC58F8">
            <w:pPr>
              <w:spacing w:after="60"/>
              <w:jc w:val="center"/>
              <w:rPr>
                <w:sz w:val="20"/>
                <w:szCs w:val="20"/>
              </w:rPr>
            </w:pPr>
            <w:r w:rsidRPr="00A77AF6">
              <w:rPr>
                <w:sz w:val="20"/>
                <w:szCs w:val="20"/>
              </w:rPr>
              <w:t>Phenomenological paradigm</w:t>
            </w:r>
          </w:p>
        </w:tc>
      </w:tr>
      <w:tr w:rsidR="00562F5F" w:rsidRPr="00A77AF6" w14:paraId="11DE0DFF" w14:textId="77777777" w:rsidTr="00562F5F">
        <w:tc>
          <w:tcPr>
            <w:tcW w:w="1696" w:type="dxa"/>
            <w:vMerge w:val="restart"/>
          </w:tcPr>
          <w:p w14:paraId="1070458E" w14:textId="6D87B8CD" w:rsidR="00562F5F" w:rsidRPr="00A77AF6" w:rsidRDefault="00562F5F" w:rsidP="00562F5F">
            <w:pPr>
              <w:rPr>
                <w:sz w:val="20"/>
                <w:szCs w:val="20"/>
              </w:rPr>
            </w:pPr>
            <w:r w:rsidRPr="00A77AF6">
              <w:rPr>
                <w:sz w:val="20"/>
                <w:szCs w:val="20"/>
              </w:rPr>
              <w:t>Basic Beliefs</w:t>
            </w:r>
          </w:p>
        </w:tc>
        <w:tc>
          <w:tcPr>
            <w:tcW w:w="3261" w:type="dxa"/>
            <w:tcBorders>
              <w:bottom w:val="dotted" w:sz="4" w:space="0" w:color="auto"/>
            </w:tcBorders>
          </w:tcPr>
          <w:p w14:paraId="3D75281D" w14:textId="5DB2E3D5" w:rsidR="00562F5F" w:rsidRPr="00A77AF6" w:rsidRDefault="00562F5F" w:rsidP="00BC58F8">
            <w:pPr>
              <w:spacing w:after="60"/>
              <w:rPr>
                <w:sz w:val="20"/>
                <w:szCs w:val="20"/>
              </w:rPr>
            </w:pPr>
            <w:r w:rsidRPr="00A77AF6">
              <w:rPr>
                <w:sz w:val="20"/>
                <w:szCs w:val="20"/>
              </w:rPr>
              <w:t>The world is external and objective</w:t>
            </w:r>
          </w:p>
        </w:tc>
        <w:tc>
          <w:tcPr>
            <w:tcW w:w="3820" w:type="dxa"/>
            <w:tcBorders>
              <w:bottom w:val="dotted" w:sz="4" w:space="0" w:color="auto"/>
            </w:tcBorders>
          </w:tcPr>
          <w:p w14:paraId="5290A385" w14:textId="571DC73C" w:rsidR="00562F5F" w:rsidRPr="00A77AF6" w:rsidRDefault="00562F5F" w:rsidP="00BC58F8">
            <w:pPr>
              <w:spacing w:after="60"/>
              <w:rPr>
                <w:sz w:val="20"/>
                <w:szCs w:val="20"/>
              </w:rPr>
            </w:pPr>
            <w:r w:rsidRPr="00A77AF6">
              <w:rPr>
                <w:sz w:val="20"/>
                <w:szCs w:val="20"/>
              </w:rPr>
              <w:t>The world is socially constructed and subjective</w:t>
            </w:r>
          </w:p>
        </w:tc>
      </w:tr>
      <w:tr w:rsidR="00562F5F" w:rsidRPr="00A77AF6" w14:paraId="59D87F87" w14:textId="77777777" w:rsidTr="00562F5F">
        <w:tc>
          <w:tcPr>
            <w:tcW w:w="1696" w:type="dxa"/>
            <w:vMerge/>
          </w:tcPr>
          <w:p w14:paraId="46B25FA4" w14:textId="77777777" w:rsidR="00562F5F" w:rsidRPr="00A77AF6" w:rsidRDefault="00562F5F" w:rsidP="00562F5F">
            <w:pPr>
              <w:rPr>
                <w:sz w:val="20"/>
                <w:szCs w:val="20"/>
              </w:rPr>
            </w:pPr>
          </w:p>
        </w:tc>
        <w:tc>
          <w:tcPr>
            <w:tcW w:w="3261" w:type="dxa"/>
            <w:tcBorders>
              <w:top w:val="dotted" w:sz="4" w:space="0" w:color="auto"/>
              <w:bottom w:val="dotted" w:sz="4" w:space="0" w:color="auto"/>
            </w:tcBorders>
          </w:tcPr>
          <w:p w14:paraId="0ECB999A" w14:textId="2E6F015C" w:rsidR="00562F5F" w:rsidRPr="00A77AF6" w:rsidRDefault="00562F5F" w:rsidP="00BC58F8">
            <w:pPr>
              <w:spacing w:after="60"/>
              <w:rPr>
                <w:sz w:val="20"/>
                <w:szCs w:val="20"/>
              </w:rPr>
            </w:pPr>
            <w:r w:rsidRPr="00A77AF6">
              <w:rPr>
                <w:sz w:val="20"/>
                <w:szCs w:val="20"/>
              </w:rPr>
              <w:t>Observer is independent</w:t>
            </w:r>
          </w:p>
        </w:tc>
        <w:tc>
          <w:tcPr>
            <w:tcW w:w="3820" w:type="dxa"/>
            <w:tcBorders>
              <w:top w:val="dotted" w:sz="4" w:space="0" w:color="auto"/>
              <w:bottom w:val="dotted" w:sz="4" w:space="0" w:color="auto"/>
            </w:tcBorders>
          </w:tcPr>
          <w:p w14:paraId="33D051A2" w14:textId="745DB213" w:rsidR="00562F5F" w:rsidRPr="00A77AF6" w:rsidRDefault="00562F5F" w:rsidP="00BC58F8">
            <w:pPr>
              <w:spacing w:after="60"/>
              <w:rPr>
                <w:sz w:val="20"/>
                <w:szCs w:val="20"/>
              </w:rPr>
            </w:pPr>
            <w:r w:rsidRPr="00A77AF6">
              <w:rPr>
                <w:sz w:val="20"/>
                <w:szCs w:val="20"/>
              </w:rPr>
              <w:t>Observer is part of what is observed</w:t>
            </w:r>
          </w:p>
        </w:tc>
      </w:tr>
      <w:tr w:rsidR="00562F5F" w:rsidRPr="00A77AF6" w14:paraId="6BA611BB" w14:textId="77777777" w:rsidTr="001F4DE6">
        <w:tc>
          <w:tcPr>
            <w:tcW w:w="1696" w:type="dxa"/>
            <w:vMerge/>
          </w:tcPr>
          <w:p w14:paraId="199184DB" w14:textId="77777777" w:rsidR="00562F5F" w:rsidRPr="00A77AF6" w:rsidRDefault="00562F5F" w:rsidP="00562F5F">
            <w:pPr>
              <w:rPr>
                <w:sz w:val="20"/>
                <w:szCs w:val="20"/>
              </w:rPr>
            </w:pPr>
          </w:p>
        </w:tc>
        <w:tc>
          <w:tcPr>
            <w:tcW w:w="3261" w:type="dxa"/>
            <w:tcBorders>
              <w:top w:val="dotted" w:sz="4" w:space="0" w:color="auto"/>
              <w:bottom w:val="single" w:sz="4" w:space="0" w:color="auto"/>
            </w:tcBorders>
          </w:tcPr>
          <w:p w14:paraId="61A1496A" w14:textId="414B3C48" w:rsidR="00562F5F" w:rsidRPr="00A77AF6" w:rsidRDefault="00562F5F" w:rsidP="00BC58F8">
            <w:pPr>
              <w:spacing w:after="60"/>
              <w:rPr>
                <w:sz w:val="20"/>
                <w:szCs w:val="20"/>
              </w:rPr>
            </w:pPr>
            <w:r w:rsidRPr="00A77AF6">
              <w:rPr>
                <w:sz w:val="20"/>
                <w:szCs w:val="20"/>
              </w:rPr>
              <w:t>Science is value-free</w:t>
            </w:r>
          </w:p>
        </w:tc>
        <w:tc>
          <w:tcPr>
            <w:tcW w:w="3820" w:type="dxa"/>
            <w:tcBorders>
              <w:top w:val="dotted" w:sz="4" w:space="0" w:color="auto"/>
              <w:bottom w:val="single" w:sz="4" w:space="0" w:color="auto"/>
            </w:tcBorders>
          </w:tcPr>
          <w:p w14:paraId="038A4C84" w14:textId="2D2D75DF" w:rsidR="00562F5F" w:rsidRPr="00A77AF6" w:rsidRDefault="00562F5F" w:rsidP="00BC58F8">
            <w:pPr>
              <w:spacing w:after="60"/>
              <w:rPr>
                <w:sz w:val="20"/>
                <w:szCs w:val="20"/>
              </w:rPr>
            </w:pPr>
            <w:r w:rsidRPr="00A77AF6">
              <w:rPr>
                <w:sz w:val="20"/>
                <w:szCs w:val="20"/>
              </w:rPr>
              <w:t xml:space="preserve">Science is driven by human interests </w:t>
            </w:r>
          </w:p>
        </w:tc>
      </w:tr>
      <w:tr w:rsidR="001F4DE6" w:rsidRPr="00A77AF6" w14:paraId="2FC19115" w14:textId="77777777" w:rsidTr="001F4DE6">
        <w:tc>
          <w:tcPr>
            <w:tcW w:w="1696" w:type="dxa"/>
            <w:vMerge w:val="restart"/>
          </w:tcPr>
          <w:p w14:paraId="3B8B4E9D" w14:textId="46CBD83A" w:rsidR="001F4DE6" w:rsidRPr="00A77AF6" w:rsidRDefault="001F4DE6" w:rsidP="00562F5F">
            <w:pPr>
              <w:rPr>
                <w:sz w:val="20"/>
                <w:szCs w:val="20"/>
              </w:rPr>
            </w:pPr>
            <w:r w:rsidRPr="00A77AF6">
              <w:rPr>
                <w:sz w:val="20"/>
                <w:szCs w:val="20"/>
              </w:rPr>
              <w:t>Researcher should</w:t>
            </w:r>
          </w:p>
        </w:tc>
        <w:tc>
          <w:tcPr>
            <w:tcW w:w="3261" w:type="dxa"/>
            <w:tcBorders>
              <w:bottom w:val="dotted" w:sz="4" w:space="0" w:color="auto"/>
            </w:tcBorders>
          </w:tcPr>
          <w:p w14:paraId="5D033276" w14:textId="3063B9CB" w:rsidR="001F4DE6" w:rsidRPr="00A77AF6" w:rsidRDefault="001F4DE6" w:rsidP="00BC58F8">
            <w:pPr>
              <w:spacing w:after="60"/>
              <w:rPr>
                <w:sz w:val="20"/>
                <w:szCs w:val="20"/>
              </w:rPr>
            </w:pPr>
            <w:r w:rsidRPr="00A77AF6">
              <w:rPr>
                <w:sz w:val="20"/>
                <w:szCs w:val="20"/>
              </w:rPr>
              <w:t>Focus on facts</w:t>
            </w:r>
          </w:p>
        </w:tc>
        <w:tc>
          <w:tcPr>
            <w:tcW w:w="3820" w:type="dxa"/>
            <w:tcBorders>
              <w:bottom w:val="dotted" w:sz="4" w:space="0" w:color="auto"/>
            </w:tcBorders>
          </w:tcPr>
          <w:p w14:paraId="5EB3B8B3" w14:textId="4406D1A1" w:rsidR="001F4DE6" w:rsidRPr="00A77AF6" w:rsidRDefault="001F4DE6" w:rsidP="00BC58F8">
            <w:pPr>
              <w:spacing w:after="60"/>
              <w:rPr>
                <w:sz w:val="20"/>
                <w:szCs w:val="20"/>
              </w:rPr>
            </w:pPr>
            <w:r w:rsidRPr="00A77AF6">
              <w:rPr>
                <w:sz w:val="20"/>
                <w:szCs w:val="20"/>
              </w:rPr>
              <w:t>Focus on meanings</w:t>
            </w:r>
          </w:p>
        </w:tc>
      </w:tr>
      <w:tr w:rsidR="001F4DE6" w:rsidRPr="00A77AF6" w14:paraId="795354FC" w14:textId="77777777" w:rsidTr="001F4DE6">
        <w:tc>
          <w:tcPr>
            <w:tcW w:w="1696" w:type="dxa"/>
            <w:vMerge/>
          </w:tcPr>
          <w:p w14:paraId="26459BF3" w14:textId="77777777" w:rsidR="001F4DE6" w:rsidRPr="00A77AF6" w:rsidRDefault="001F4DE6" w:rsidP="00562F5F">
            <w:pPr>
              <w:rPr>
                <w:sz w:val="20"/>
                <w:szCs w:val="20"/>
              </w:rPr>
            </w:pPr>
          </w:p>
        </w:tc>
        <w:tc>
          <w:tcPr>
            <w:tcW w:w="3261" w:type="dxa"/>
            <w:tcBorders>
              <w:top w:val="dotted" w:sz="4" w:space="0" w:color="auto"/>
              <w:bottom w:val="dotted" w:sz="4" w:space="0" w:color="auto"/>
            </w:tcBorders>
          </w:tcPr>
          <w:p w14:paraId="2FE7953E" w14:textId="444D3922" w:rsidR="001F4DE6" w:rsidRPr="00A77AF6" w:rsidRDefault="001F4DE6" w:rsidP="00BC58F8">
            <w:pPr>
              <w:spacing w:after="60"/>
              <w:rPr>
                <w:sz w:val="20"/>
                <w:szCs w:val="20"/>
              </w:rPr>
            </w:pPr>
            <w:r w:rsidRPr="00A77AF6">
              <w:rPr>
                <w:sz w:val="20"/>
                <w:szCs w:val="20"/>
              </w:rPr>
              <w:t>Look for causality and fundamental laws</w:t>
            </w:r>
          </w:p>
        </w:tc>
        <w:tc>
          <w:tcPr>
            <w:tcW w:w="3820" w:type="dxa"/>
            <w:tcBorders>
              <w:top w:val="dotted" w:sz="4" w:space="0" w:color="auto"/>
              <w:bottom w:val="dotted" w:sz="4" w:space="0" w:color="auto"/>
            </w:tcBorders>
          </w:tcPr>
          <w:p w14:paraId="6255315B" w14:textId="586F4B54" w:rsidR="001F4DE6" w:rsidRPr="00A77AF6" w:rsidRDefault="001F4DE6" w:rsidP="00BC58F8">
            <w:pPr>
              <w:spacing w:after="60"/>
              <w:rPr>
                <w:sz w:val="20"/>
                <w:szCs w:val="20"/>
              </w:rPr>
            </w:pPr>
            <w:r w:rsidRPr="00A77AF6">
              <w:rPr>
                <w:sz w:val="20"/>
                <w:szCs w:val="20"/>
              </w:rPr>
              <w:t>Try to understand what is happening</w:t>
            </w:r>
          </w:p>
        </w:tc>
      </w:tr>
      <w:tr w:rsidR="001F4DE6" w:rsidRPr="00A77AF6" w14:paraId="5F3F7AD7" w14:textId="77777777" w:rsidTr="001F4DE6">
        <w:tc>
          <w:tcPr>
            <w:tcW w:w="1696" w:type="dxa"/>
            <w:vMerge/>
          </w:tcPr>
          <w:p w14:paraId="5D4DA3CC" w14:textId="77777777" w:rsidR="001F4DE6" w:rsidRPr="00A77AF6" w:rsidRDefault="001F4DE6" w:rsidP="00562F5F">
            <w:pPr>
              <w:rPr>
                <w:sz w:val="20"/>
                <w:szCs w:val="20"/>
              </w:rPr>
            </w:pPr>
          </w:p>
        </w:tc>
        <w:tc>
          <w:tcPr>
            <w:tcW w:w="3261" w:type="dxa"/>
            <w:tcBorders>
              <w:top w:val="dotted" w:sz="4" w:space="0" w:color="auto"/>
              <w:bottom w:val="dotted" w:sz="4" w:space="0" w:color="auto"/>
            </w:tcBorders>
          </w:tcPr>
          <w:p w14:paraId="0CF03B17" w14:textId="3372FB08" w:rsidR="001F4DE6" w:rsidRPr="00A77AF6" w:rsidRDefault="001F4DE6" w:rsidP="00BC58F8">
            <w:pPr>
              <w:spacing w:after="60"/>
              <w:rPr>
                <w:sz w:val="20"/>
                <w:szCs w:val="20"/>
              </w:rPr>
            </w:pPr>
            <w:r w:rsidRPr="00A77AF6">
              <w:rPr>
                <w:sz w:val="20"/>
                <w:szCs w:val="20"/>
              </w:rPr>
              <w:t>Reduce phenomena to simplest elements</w:t>
            </w:r>
          </w:p>
        </w:tc>
        <w:tc>
          <w:tcPr>
            <w:tcW w:w="3820" w:type="dxa"/>
            <w:tcBorders>
              <w:top w:val="dotted" w:sz="4" w:space="0" w:color="auto"/>
              <w:bottom w:val="dotted" w:sz="4" w:space="0" w:color="auto"/>
            </w:tcBorders>
          </w:tcPr>
          <w:p w14:paraId="7717986D" w14:textId="41388C34" w:rsidR="001F4DE6" w:rsidRPr="00A77AF6" w:rsidRDefault="001F4DE6" w:rsidP="00BC58F8">
            <w:pPr>
              <w:spacing w:after="60"/>
              <w:rPr>
                <w:sz w:val="20"/>
                <w:szCs w:val="20"/>
              </w:rPr>
            </w:pPr>
            <w:r w:rsidRPr="00A77AF6">
              <w:rPr>
                <w:sz w:val="20"/>
                <w:szCs w:val="20"/>
              </w:rPr>
              <w:t>Look at the totality of each situation</w:t>
            </w:r>
          </w:p>
        </w:tc>
      </w:tr>
      <w:tr w:rsidR="001F4DE6" w:rsidRPr="00A77AF6" w14:paraId="6F4BB915" w14:textId="77777777" w:rsidTr="00030D27">
        <w:tc>
          <w:tcPr>
            <w:tcW w:w="1696" w:type="dxa"/>
            <w:vMerge/>
          </w:tcPr>
          <w:p w14:paraId="205265D8" w14:textId="77777777" w:rsidR="001F4DE6" w:rsidRPr="00A77AF6" w:rsidRDefault="001F4DE6" w:rsidP="00562F5F">
            <w:pPr>
              <w:rPr>
                <w:sz w:val="20"/>
                <w:szCs w:val="20"/>
              </w:rPr>
            </w:pPr>
          </w:p>
        </w:tc>
        <w:tc>
          <w:tcPr>
            <w:tcW w:w="3261" w:type="dxa"/>
            <w:tcBorders>
              <w:top w:val="dotted" w:sz="4" w:space="0" w:color="auto"/>
              <w:bottom w:val="single" w:sz="4" w:space="0" w:color="auto"/>
            </w:tcBorders>
          </w:tcPr>
          <w:p w14:paraId="21588404" w14:textId="730C22E4" w:rsidR="001F4DE6" w:rsidRPr="00A77AF6" w:rsidRDefault="001F4DE6" w:rsidP="00BC58F8">
            <w:pPr>
              <w:spacing w:after="60"/>
              <w:rPr>
                <w:sz w:val="20"/>
                <w:szCs w:val="20"/>
              </w:rPr>
            </w:pPr>
            <w:r w:rsidRPr="00A77AF6">
              <w:rPr>
                <w:sz w:val="20"/>
                <w:szCs w:val="20"/>
              </w:rPr>
              <w:t>Formulate hypotheses and then them</w:t>
            </w:r>
          </w:p>
        </w:tc>
        <w:tc>
          <w:tcPr>
            <w:tcW w:w="3820" w:type="dxa"/>
            <w:tcBorders>
              <w:top w:val="dotted" w:sz="4" w:space="0" w:color="auto"/>
              <w:bottom w:val="single" w:sz="4" w:space="0" w:color="auto"/>
            </w:tcBorders>
          </w:tcPr>
          <w:p w14:paraId="5BCD553C" w14:textId="009B2572" w:rsidR="001F4DE6" w:rsidRPr="00A77AF6" w:rsidRDefault="001F4DE6" w:rsidP="00BC58F8">
            <w:pPr>
              <w:spacing w:after="60"/>
              <w:rPr>
                <w:sz w:val="20"/>
                <w:szCs w:val="20"/>
              </w:rPr>
            </w:pPr>
            <w:r w:rsidRPr="00A77AF6">
              <w:rPr>
                <w:sz w:val="20"/>
                <w:szCs w:val="20"/>
              </w:rPr>
              <w:t>Develop ideas through induction from data</w:t>
            </w:r>
          </w:p>
        </w:tc>
      </w:tr>
      <w:tr w:rsidR="00030D27" w:rsidRPr="00A77AF6" w14:paraId="163D2959" w14:textId="77777777" w:rsidTr="00030D27">
        <w:tc>
          <w:tcPr>
            <w:tcW w:w="1696" w:type="dxa"/>
            <w:vMerge w:val="restart"/>
          </w:tcPr>
          <w:p w14:paraId="3B80CDC7" w14:textId="2D488A2C" w:rsidR="00030D27" w:rsidRPr="00A77AF6" w:rsidRDefault="00030D27" w:rsidP="00562F5F">
            <w:pPr>
              <w:rPr>
                <w:sz w:val="20"/>
                <w:szCs w:val="20"/>
              </w:rPr>
            </w:pPr>
            <w:r w:rsidRPr="00A77AF6">
              <w:rPr>
                <w:sz w:val="20"/>
                <w:szCs w:val="20"/>
              </w:rPr>
              <w:t>Preferred methods include</w:t>
            </w:r>
          </w:p>
        </w:tc>
        <w:tc>
          <w:tcPr>
            <w:tcW w:w="3261" w:type="dxa"/>
            <w:tcBorders>
              <w:bottom w:val="dotted" w:sz="4" w:space="0" w:color="auto"/>
            </w:tcBorders>
          </w:tcPr>
          <w:p w14:paraId="110A1001" w14:textId="397E525F" w:rsidR="00030D27" w:rsidRPr="00A77AF6" w:rsidRDefault="00030D27" w:rsidP="00BC58F8">
            <w:pPr>
              <w:spacing w:after="60"/>
              <w:rPr>
                <w:sz w:val="20"/>
                <w:szCs w:val="20"/>
              </w:rPr>
            </w:pPr>
            <w:r w:rsidRPr="00A77AF6">
              <w:rPr>
                <w:sz w:val="20"/>
                <w:szCs w:val="20"/>
              </w:rPr>
              <w:t>Operationalising concepts so that they can be measured</w:t>
            </w:r>
          </w:p>
        </w:tc>
        <w:tc>
          <w:tcPr>
            <w:tcW w:w="3820" w:type="dxa"/>
            <w:tcBorders>
              <w:bottom w:val="dotted" w:sz="4" w:space="0" w:color="auto"/>
            </w:tcBorders>
          </w:tcPr>
          <w:p w14:paraId="4A14ACFC" w14:textId="7CC6E599" w:rsidR="00030D27" w:rsidRPr="00A77AF6" w:rsidRDefault="00030D27" w:rsidP="00BC58F8">
            <w:pPr>
              <w:spacing w:after="60"/>
              <w:rPr>
                <w:sz w:val="20"/>
                <w:szCs w:val="20"/>
              </w:rPr>
            </w:pPr>
            <w:r w:rsidRPr="00A77AF6">
              <w:rPr>
                <w:sz w:val="20"/>
                <w:szCs w:val="20"/>
              </w:rPr>
              <w:t>Using multiple methods to establish different views of phenomena</w:t>
            </w:r>
          </w:p>
        </w:tc>
      </w:tr>
      <w:tr w:rsidR="00030D27" w:rsidRPr="00A77AF6" w14:paraId="73F0D4BA" w14:textId="77777777" w:rsidTr="00030D27">
        <w:tc>
          <w:tcPr>
            <w:tcW w:w="1696" w:type="dxa"/>
            <w:vMerge/>
          </w:tcPr>
          <w:p w14:paraId="0E9D7D2B" w14:textId="77777777" w:rsidR="00030D27" w:rsidRPr="00A77AF6" w:rsidRDefault="00030D27" w:rsidP="00562F5F">
            <w:pPr>
              <w:rPr>
                <w:sz w:val="20"/>
                <w:szCs w:val="20"/>
              </w:rPr>
            </w:pPr>
          </w:p>
        </w:tc>
        <w:tc>
          <w:tcPr>
            <w:tcW w:w="3261" w:type="dxa"/>
            <w:tcBorders>
              <w:top w:val="dotted" w:sz="4" w:space="0" w:color="auto"/>
            </w:tcBorders>
          </w:tcPr>
          <w:p w14:paraId="504BCDB9" w14:textId="776BD0FE" w:rsidR="00030D27" w:rsidRPr="00A77AF6" w:rsidRDefault="00030D27" w:rsidP="00BC58F8">
            <w:pPr>
              <w:spacing w:after="60"/>
              <w:rPr>
                <w:sz w:val="20"/>
                <w:szCs w:val="20"/>
              </w:rPr>
            </w:pPr>
            <w:r w:rsidRPr="00A77AF6">
              <w:rPr>
                <w:sz w:val="20"/>
                <w:szCs w:val="20"/>
              </w:rPr>
              <w:t>Taking large samples</w:t>
            </w:r>
          </w:p>
        </w:tc>
        <w:tc>
          <w:tcPr>
            <w:tcW w:w="3820" w:type="dxa"/>
            <w:tcBorders>
              <w:top w:val="dotted" w:sz="4" w:space="0" w:color="auto"/>
            </w:tcBorders>
          </w:tcPr>
          <w:p w14:paraId="07200F1F" w14:textId="1AD026B7" w:rsidR="00030D27" w:rsidRPr="00A77AF6" w:rsidRDefault="00030D27" w:rsidP="00BC58F8">
            <w:pPr>
              <w:spacing w:after="60"/>
              <w:rPr>
                <w:sz w:val="20"/>
                <w:szCs w:val="20"/>
              </w:rPr>
            </w:pPr>
            <w:r w:rsidRPr="00A77AF6">
              <w:rPr>
                <w:sz w:val="20"/>
                <w:szCs w:val="20"/>
              </w:rPr>
              <w:t>Small samples investigated in depth or over time</w:t>
            </w:r>
          </w:p>
        </w:tc>
      </w:tr>
    </w:tbl>
    <w:p w14:paraId="37F6D800" w14:textId="641655CB" w:rsidR="00562F5F" w:rsidRPr="00A77AF6" w:rsidRDefault="00030D27" w:rsidP="00562F5F">
      <w:pPr>
        <w:spacing w:line="480" w:lineRule="auto"/>
        <w:rPr>
          <w:sz w:val="20"/>
        </w:rPr>
      </w:pPr>
      <w:r w:rsidRPr="00A77AF6">
        <w:rPr>
          <w:sz w:val="20"/>
        </w:rPr>
        <w:t>Source: Adapted from Easterby-Smith, et al</w:t>
      </w:r>
      <w:r w:rsidR="00B719CF" w:rsidRPr="00A77AF6">
        <w:rPr>
          <w:sz w:val="20"/>
        </w:rPr>
        <w:t xml:space="preserve"> </w:t>
      </w:r>
      <w:r w:rsidRPr="00A77AF6">
        <w:rPr>
          <w:sz w:val="20"/>
        </w:rPr>
        <w:t>(1991, p. 27)</w:t>
      </w:r>
    </w:p>
    <w:p w14:paraId="74CF9C5E" w14:textId="08C10080" w:rsidR="0004542B" w:rsidRPr="00A77AF6" w:rsidRDefault="0004542B" w:rsidP="00EE04AB">
      <w:pPr>
        <w:spacing w:line="360" w:lineRule="auto"/>
      </w:pPr>
      <w:r w:rsidRPr="00A77AF6">
        <w:t xml:space="preserve">To understand </w:t>
      </w:r>
      <w:r w:rsidR="001676B2" w:rsidRPr="00A77AF6">
        <w:t>the reasons why these methods are different</w:t>
      </w:r>
      <w:r w:rsidR="00F627CF" w:rsidRPr="00A77AF6">
        <w:t xml:space="preserve"> the </w:t>
      </w:r>
      <w:r w:rsidR="001676B2" w:rsidRPr="00A77AF6">
        <w:t>history of the development of research methodologies</w:t>
      </w:r>
      <w:r w:rsidR="001429DF" w:rsidRPr="00A77AF6">
        <w:t xml:space="preserve"> will be discussed</w:t>
      </w:r>
      <w:r w:rsidR="001676B2" w:rsidRPr="00A77AF6">
        <w:t xml:space="preserve">. </w:t>
      </w:r>
    </w:p>
    <w:p w14:paraId="565D3AA1" w14:textId="6DAEBB9A" w:rsidR="00EF0F3D" w:rsidRPr="00A77AF6" w:rsidRDefault="0086768E" w:rsidP="001429DF">
      <w:pPr>
        <w:pStyle w:val="Heading3"/>
        <w:spacing w:after="120"/>
      </w:pPr>
      <w:bookmarkStart w:id="112" w:name="_Toc36275094"/>
      <w:r w:rsidRPr="00A77AF6">
        <w:t>Q</w:t>
      </w:r>
      <w:r w:rsidR="00DA4DAC" w:rsidRPr="00A77AF6">
        <w:t>uantitative approach</w:t>
      </w:r>
      <w:bookmarkEnd w:id="112"/>
      <w:r w:rsidR="00DA4DAC" w:rsidRPr="00A77AF6">
        <w:t xml:space="preserve"> </w:t>
      </w:r>
    </w:p>
    <w:p w14:paraId="3264D90B" w14:textId="7C3FCEFC" w:rsidR="00487769" w:rsidRPr="00A77AF6" w:rsidRDefault="00DA4DAC" w:rsidP="00EE04AB">
      <w:pPr>
        <w:spacing w:line="360" w:lineRule="auto"/>
      </w:pPr>
      <w:r w:rsidRPr="00A77AF6">
        <w:t>Quantitative research is based in the rational approach developed at the time of rising scientific knowledge in the early 17</w:t>
      </w:r>
      <w:r w:rsidRPr="00A77AF6">
        <w:rPr>
          <w:vertAlign w:val="superscript"/>
        </w:rPr>
        <w:t>th</w:t>
      </w:r>
      <w:r w:rsidRPr="00A77AF6">
        <w:t xml:space="preserve"> century in Europe </w:t>
      </w:r>
      <w:r w:rsidR="00BC58F8" w:rsidRPr="00A77AF6">
        <w:t>during</w:t>
      </w:r>
      <w:r w:rsidRPr="00A77AF6">
        <w:t xml:space="preserve"> the Enlightenment, when the authority of the Church started to be challenged by scientific discovery. </w:t>
      </w:r>
      <w:r w:rsidR="00482629" w:rsidRPr="00A77AF6">
        <w:t xml:space="preserve"> Rationalism arose in opposition to the prevailing belief that God was responsible for everything.  Rationalists argued that knowledge gained through a scientific approach was more valid than belief in the influence of an unseen </w:t>
      </w:r>
      <w:r w:rsidR="003C75B4" w:rsidRPr="00A77AF6">
        <w:t xml:space="preserve">supernatural </w:t>
      </w:r>
      <w:r w:rsidR="00482629" w:rsidRPr="00A77AF6">
        <w:t xml:space="preserve">being.  These thoughts and principles were also applied to political philosophy and </w:t>
      </w:r>
      <w:r w:rsidR="003C75B4" w:rsidRPr="00A77AF6">
        <w:t xml:space="preserve">underpin concept and </w:t>
      </w:r>
      <w:r w:rsidR="00482629" w:rsidRPr="00A77AF6">
        <w:t>development</w:t>
      </w:r>
      <w:r w:rsidR="003C75B4" w:rsidRPr="00A77AF6">
        <w:t xml:space="preserve"> of natural rights which could also </w:t>
      </w:r>
      <w:r w:rsidR="00482629" w:rsidRPr="00A77AF6">
        <w:t xml:space="preserve">be discovered by reason and </w:t>
      </w:r>
      <w:r w:rsidR="003C75B4" w:rsidRPr="00A77AF6">
        <w:t xml:space="preserve">then </w:t>
      </w:r>
      <w:r w:rsidR="00482629" w:rsidRPr="00A77AF6">
        <w:t xml:space="preserve">reflected in natural law.  </w:t>
      </w:r>
      <w:r w:rsidR="00487769" w:rsidRPr="00A77AF6">
        <w:t xml:space="preserve">There are two main concepts to consider in quantitative research: rational certainty and empiricism.  Empiricism includes induction, ‘falsification’ </w:t>
      </w:r>
      <w:r w:rsidR="00B24BBD" w:rsidRPr="00A77AF6">
        <w:t>and cause</w:t>
      </w:r>
      <w:r w:rsidR="00487769" w:rsidRPr="00A77AF6">
        <w:t xml:space="preserve"> and effect all of which are concerned with </w:t>
      </w:r>
      <w:r w:rsidR="0071149E" w:rsidRPr="00A77AF6">
        <w:t>generalisation</w:t>
      </w:r>
      <w:r w:rsidR="00487769" w:rsidRPr="00A77AF6">
        <w:t>.</w:t>
      </w:r>
    </w:p>
    <w:p w14:paraId="63FF5848" w14:textId="4B1F008B" w:rsidR="00F627CF" w:rsidRPr="00A77AF6" w:rsidRDefault="00F627CF" w:rsidP="009843F4">
      <w:pPr>
        <w:pStyle w:val="Heading4"/>
        <w:spacing w:after="120"/>
        <w:ind w:left="862" w:hanging="862"/>
      </w:pPr>
      <w:r w:rsidRPr="00A77AF6">
        <w:t xml:space="preserve">Rational certainty </w:t>
      </w:r>
    </w:p>
    <w:p w14:paraId="4E90FDFB" w14:textId="46C08D73" w:rsidR="00DA4DAC" w:rsidRPr="00A77AF6" w:rsidRDefault="00DA4DAC" w:rsidP="00BC58F8">
      <w:pPr>
        <w:spacing w:after="0" w:line="360" w:lineRule="auto"/>
      </w:pPr>
      <w:r w:rsidRPr="00A77AF6">
        <w:t>Descartes (1596 – 1650),</w:t>
      </w:r>
      <w:r w:rsidR="00B74AC2" w:rsidRPr="00A77AF6">
        <w:t xml:space="preserve"> </w:t>
      </w:r>
      <w:r w:rsidRPr="00A77AF6">
        <w:t xml:space="preserve">the father of rational </w:t>
      </w:r>
      <w:r w:rsidR="00A8330C" w:rsidRPr="00A77AF6">
        <w:t>certainty</w:t>
      </w:r>
      <w:r w:rsidRPr="00A77AF6">
        <w:t>, argued that</w:t>
      </w:r>
    </w:p>
    <w:p w14:paraId="0A4201DF" w14:textId="3D112473" w:rsidR="00A8330C" w:rsidRPr="00A77AF6" w:rsidRDefault="00A8330C" w:rsidP="00487769">
      <w:pPr>
        <w:spacing w:after="240" w:line="240" w:lineRule="auto"/>
        <w:ind w:left="720"/>
      </w:pPr>
      <w:r w:rsidRPr="00A77AF6">
        <w:rPr>
          <w:i/>
        </w:rPr>
        <w:t>‘there was a rational method for uncovering forms of certain knowledge that science requires; a method premised on the idea that if any idea or claim could stand the most extreme of doubts then we can justifiably claim that we know that claim for certain.’</w:t>
      </w:r>
      <w:r w:rsidRPr="00A77AF6">
        <w:t xml:space="preserve"> </w:t>
      </w:r>
      <w:sdt>
        <w:sdtPr>
          <w:id w:val="158970187"/>
          <w:citation/>
        </w:sdtPr>
        <w:sdtEndPr/>
        <w:sdtContent>
          <w:r w:rsidRPr="00A77AF6">
            <w:fldChar w:fldCharType="begin"/>
          </w:r>
          <w:r w:rsidRPr="00A77AF6">
            <w:instrText xml:space="preserve">CITATION Kni08 \p 68 \l 2057 </w:instrText>
          </w:r>
          <w:r w:rsidRPr="00A77AF6">
            <w:fldChar w:fldCharType="separate"/>
          </w:r>
          <w:r w:rsidR="008E653F" w:rsidRPr="00A77AF6">
            <w:t>(Knight &amp; Ruddock, 2008, p. 68)</w:t>
          </w:r>
          <w:r w:rsidRPr="00A77AF6">
            <w:fldChar w:fldCharType="end"/>
          </w:r>
        </w:sdtContent>
      </w:sdt>
    </w:p>
    <w:p w14:paraId="0D5358A9" w14:textId="7E76E60F" w:rsidR="00482629" w:rsidRPr="00A77AF6" w:rsidRDefault="00482629" w:rsidP="00EE04AB">
      <w:pPr>
        <w:spacing w:line="360" w:lineRule="auto"/>
      </w:pPr>
      <w:r w:rsidRPr="00A77AF6">
        <w:lastRenderedPageBreak/>
        <w:t xml:space="preserve">This </w:t>
      </w:r>
      <w:r w:rsidR="00487769" w:rsidRPr="00A77AF6">
        <w:t>idea</w:t>
      </w:r>
      <w:r w:rsidRPr="00A77AF6">
        <w:t xml:space="preserve"> that certainties can be discovered by reasoned thinking, has been highly influential in western thinking and underpins </w:t>
      </w:r>
      <w:r w:rsidR="00B74FEB" w:rsidRPr="00A77AF6">
        <w:t>many</w:t>
      </w:r>
      <w:r w:rsidRPr="00A77AF6">
        <w:t xml:space="preserve"> western academic traditions.  </w:t>
      </w:r>
    </w:p>
    <w:p w14:paraId="5A969F93" w14:textId="539ED07C" w:rsidR="00A8330C" w:rsidRPr="00A77AF6" w:rsidRDefault="00A8330C" w:rsidP="00EE04AB">
      <w:pPr>
        <w:spacing w:line="360" w:lineRule="auto"/>
      </w:pPr>
      <w:r w:rsidRPr="00A77AF6">
        <w:t xml:space="preserve">To get to ‘certainty’ Descartes applied two tests: the first was the method of doubt. All beliefs should be subjected to the test of the severest doubt.  If they fail the test, they are discarded.  Those beliefs that pass the test are considered undeniable.  </w:t>
      </w:r>
      <w:r w:rsidR="00406BE9" w:rsidRPr="00A77AF6">
        <w:t>T</w:t>
      </w:r>
      <w:r w:rsidRPr="00A77AF6">
        <w:t xml:space="preserve">he second stage which is the ‘systematic rebuilding of knowledge based upon those certainties’ </w:t>
      </w:r>
      <w:sdt>
        <w:sdtPr>
          <w:id w:val="-710807385"/>
          <w:citation/>
        </w:sdtPr>
        <w:sdtEndPr/>
        <w:sdtContent>
          <w:r w:rsidRPr="00A77AF6">
            <w:fldChar w:fldCharType="begin"/>
          </w:r>
          <w:r w:rsidRPr="00A77AF6">
            <w:instrText xml:space="preserve">CITATION LAw07 \p 65 \l 2057 </w:instrText>
          </w:r>
          <w:r w:rsidRPr="00A77AF6">
            <w:fldChar w:fldCharType="separate"/>
          </w:r>
          <w:r w:rsidR="008E653F" w:rsidRPr="00A77AF6">
            <w:t>(Law, 2007, p. 65)</w:t>
          </w:r>
          <w:r w:rsidRPr="00A77AF6">
            <w:fldChar w:fldCharType="end"/>
          </w:r>
        </w:sdtContent>
      </w:sdt>
      <w:r w:rsidRPr="00A77AF6">
        <w:t>. After applying his tests</w:t>
      </w:r>
      <w:r w:rsidR="00F627CF" w:rsidRPr="00A77AF6">
        <w:t>,</w:t>
      </w:r>
      <w:r w:rsidRPr="00A77AF6">
        <w:t xml:space="preserve"> Descartes believed that the one thing could not be doubted, the fact that he could think, hence ‘Cogito ergo sum (I think therefore I am).  </w:t>
      </w:r>
      <w:r w:rsidR="00F627CF" w:rsidRPr="00A77AF6">
        <w:t xml:space="preserve"> </w:t>
      </w:r>
      <w:r w:rsidRPr="00A77AF6">
        <w:t>Descartes ideas are labelled ‘rational certainty’ and his views were shared by other rationalists such as Leibniz (1646 - 1716) and Spinoza (1632-1677)</w:t>
      </w:r>
      <w:sdt>
        <w:sdtPr>
          <w:id w:val="146633344"/>
          <w:citation/>
        </w:sdtPr>
        <w:sdtEndPr/>
        <w:sdtContent>
          <w:r w:rsidRPr="00A77AF6">
            <w:fldChar w:fldCharType="begin"/>
          </w:r>
          <w:r w:rsidRPr="00A77AF6">
            <w:instrText xml:space="preserve"> CITATION Kni08 \l 2057 </w:instrText>
          </w:r>
          <w:r w:rsidRPr="00A77AF6">
            <w:fldChar w:fldCharType="separate"/>
          </w:r>
          <w:r w:rsidR="008E653F" w:rsidRPr="00A77AF6">
            <w:t xml:space="preserve"> (Knight &amp; Ruddock, 2008)</w:t>
          </w:r>
          <w:r w:rsidRPr="00A77AF6">
            <w:fldChar w:fldCharType="end"/>
          </w:r>
        </w:sdtContent>
      </w:sdt>
    </w:p>
    <w:p w14:paraId="36ED06AB" w14:textId="44659926" w:rsidR="00F627CF" w:rsidRPr="00A77AF6" w:rsidRDefault="00F627CF" w:rsidP="009843F4">
      <w:pPr>
        <w:pStyle w:val="Heading4"/>
        <w:spacing w:after="120"/>
        <w:ind w:left="862" w:hanging="862"/>
      </w:pPr>
      <w:r w:rsidRPr="00A77AF6">
        <w:t>Empiricism</w:t>
      </w:r>
    </w:p>
    <w:p w14:paraId="778B3434" w14:textId="0E118431" w:rsidR="00A8330C" w:rsidRPr="00A77AF6" w:rsidRDefault="00CB46A1" w:rsidP="00EE04AB">
      <w:pPr>
        <w:spacing w:after="0" w:line="360" w:lineRule="auto"/>
      </w:pPr>
      <w:r w:rsidRPr="00A77AF6">
        <w:t>In this discussion empiricism is divided in to three approaches, all of which rely on observation:   induction (extrapolation from the particular to the general); falsification (that a finding can only be true until it is disproved) and cause and effect</w:t>
      </w:r>
      <w:r w:rsidR="0071149E" w:rsidRPr="00A77AF6">
        <w:t xml:space="preserve"> (one thing leads to another)</w:t>
      </w:r>
      <w:r w:rsidRPr="00A77AF6">
        <w:t>.   E</w:t>
      </w:r>
      <w:r w:rsidR="00A8330C" w:rsidRPr="00A77AF6">
        <w:t>mpiricism relies on actual or possible experiences to determine knowledge.  Philosophers such as Francis Bacon (1561 – 1626), Thomas Hobbes (1588 – 1679), John Locke (1632-1704), George Berkeley (1685 – 1753), and David Hume (1711-76) were empiricists and they argued that knowledge comes from experience not rational thought as Descartes argued.  In relation to knowledge Hume argued that</w:t>
      </w:r>
    </w:p>
    <w:p w14:paraId="325EA2A8" w14:textId="49940772" w:rsidR="00A8330C" w:rsidRPr="00A77AF6" w:rsidRDefault="00A8330C" w:rsidP="00F627CF">
      <w:pPr>
        <w:spacing w:after="240" w:line="240" w:lineRule="auto"/>
        <w:ind w:left="720"/>
      </w:pPr>
      <w:r w:rsidRPr="00A77AF6">
        <w:rPr>
          <w:i/>
        </w:rPr>
        <w:t>‘all substantive, non-trivial knowledge of the world around us – the world outside our minds – is ultimately founded on sense experience.  Our five senses – sight, hearing, touch, taste and smell – provide us with our only window on external reality.’</w:t>
      </w:r>
      <w:r w:rsidRPr="00A77AF6">
        <w:t xml:space="preserve"> </w:t>
      </w:r>
      <w:sdt>
        <w:sdtPr>
          <w:id w:val="2101374474"/>
          <w:citation/>
        </w:sdtPr>
        <w:sdtEndPr/>
        <w:sdtContent>
          <w:r w:rsidRPr="00A77AF6">
            <w:fldChar w:fldCharType="begin"/>
          </w:r>
          <w:r w:rsidRPr="00A77AF6">
            <w:instrText xml:space="preserve">CITATION LAw07 \p 93 \l 2057 </w:instrText>
          </w:r>
          <w:r w:rsidRPr="00A77AF6">
            <w:fldChar w:fldCharType="separate"/>
          </w:r>
          <w:r w:rsidR="008E653F" w:rsidRPr="00A77AF6">
            <w:t>(Law, 2007, p. 93)</w:t>
          </w:r>
          <w:r w:rsidRPr="00A77AF6">
            <w:fldChar w:fldCharType="end"/>
          </w:r>
        </w:sdtContent>
      </w:sdt>
    </w:p>
    <w:p w14:paraId="53BB66B4" w14:textId="09C79CE3" w:rsidR="00A8330C" w:rsidRPr="00A77AF6" w:rsidRDefault="005D36EB" w:rsidP="00EE04AB">
      <w:pPr>
        <w:spacing w:after="0" w:line="360" w:lineRule="auto"/>
      </w:pPr>
      <w:r w:rsidRPr="00A77AF6">
        <w:t xml:space="preserve">Whilst </w:t>
      </w:r>
      <w:r w:rsidR="00A8330C" w:rsidRPr="00A77AF6">
        <w:t>an empiricist</w:t>
      </w:r>
      <w:r w:rsidRPr="00A77AF6">
        <w:t xml:space="preserve"> regard</w:t>
      </w:r>
      <w:r w:rsidR="0071149E" w:rsidRPr="00A77AF6">
        <w:t>s</w:t>
      </w:r>
      <w:r w:rsidRPr="00A77AF6">
        <w:t xml:space="preserve"> ‘</w:t>
      </w:r>
      <w:r w:rsidR="00A8330C" w:rsidRPr="00A77AF6">
        <w:t>certainty</w:t>
      </w:r>
      <w:r w:rsidRPr="00A77AF6">
        <w:t xml:space="preserve">’ as coming </w:t>
      </w:r>
      <w:r w:rsidR="00A8330C" w:rsidRPr="00A77AF6">
        <w:t>from actual or possible experiences</w:t>
      </w:r>
      <w:r w:rsidRPr="00A77AF6">
        <w:t xml:space="preserve">, they are faced with the </w:t>
      </w:r>
      <w:r w:rsidR="00A8330C" w:rsidRPr="00A77AF6">
        <w:t xml:space="preserve">difficulty </w:t>
      </w:r>
      <w:r w:rsidRPr="00A77AF6">
        <w:t xml:space="preserve">of being able to link </w:t>
      </w:r>
      <w:r w:rsidR="00A8330C" w:rsidRPr="00A77AF6">
        <w:t xml:space="preserve">experience to theory or to general knowledge </w:t>
      </w:r>
      <w:sdt>
        <w:sdtPr>
          <w:id w:val="717171051"/>
          <w:citation/>
        </w:sdtPr>
        <w:sdtEndPr/>
        <w:sdtContent>
          <w:r w:rsidR="00A8330C" w:rsidRPr="00A77AF6">
            <w:fldChar w:fldCharType="begin"/>
          </w:r>
          <w:r w:rsidR="00A8330C" w:rsidRPr="00A77AF6">
            <w:instrText xml:space="preserve"> CITATION Kni08 \l 2057 </w:instrText>
          </w:r>
          <w:r w:rsidR="00A8330C" w:rsidRPr="00A77AF6">
            <w:fldChar w:fldCharType="separate"/>
          </w:r>
          <w:r w:rsidR="008E653F" w:rsidRPr="00A77AF6">
            <w:t>(Knight &amp; Ruddock, 2008)</w:t>
          </w:r>
          <w:r w:rsidR="00A8330C" w:rsidRPr="00A77AF6">
            <w:fldChar w:fldCharType="end"/>
          </w:r>
        </w:sdtContent>
      </w:sdt>
      <w:r w:rsidR="00A8330C" w:rsidRPr="00A77AF6">
        <w:t>.  The difficulty in creating generally applicable results is a difficulty shared with qualitative research.</w:t>
      </w:r>
      <w:r w:rsidR="00776EAB" w:rsidRPr="00A77AF6">
        <w:t xml:space="preserve"> </w:t>
      </w:r>
      <w:r w:rsidR="00A8330C" w:rsidRPr="00A77AF6">
        <w:t xml:space="preserve">Francis Bacon (1561- 1621) thought that induction, the ability to extrapolate from the particular to the general, would solve this problem.  </w:t>
      </w:r>
    </w:p>
    <w:p w14:paraId="575FE38D" w14:textId="795228AB" w:rsidR="00A8330C" w:rsidRPr="00A77AF6" w:rsidRDefault="00A8330C" w:rsidP="00776EAB">
      <w:pPr>
        <w:spacing w:after="240" w:line="240" w:lineRule="auto"/>
        <w:ind w:left="720"/>
      </w:pPr>
      <w:r w:rsidRPr="00A77AF6">
        <w:rPr>
          <w:i/>
        </w:rPr>
        <w:t>‘For example, if from a position of ignorance, I see thirty people from a particular culture behaving in a particular way, I may feel warranted in concluding that all people from that culture behave in that way’</w:t>
      </w:r>
      <w:r w:rsidRPr="00A77AF6">
        <w:t xml:space="preserve"> </w:t>
      </w:r>
      <w:sdt>
        <w:sdtPr>
          <w:id w:val="-303690996"/>
          <w:citation/>
        </w:sdtPr>
        <w:sdtEndPr/>
        <w:sdtContent>
          <w:r w:rsidRPr="00A77AF6">
            <w:fldChar w:fldCharType="begin"/>
          </w:r>
          <w:r w:rsidRPr="00A77AF6">
            <w:instrText xml:space="preserve">CITATION Kni08 \p 69 \l 2057 </w:instrText>
          </w:r>
          <w:r w:rsidRPr="00A77AF6">
            <w:fldChar w:fldCharType="separate"/>
          </w:r>
          <w:r w:rsidR="008E653F" w:rsidRPr="00A77AF6">
            <w:t>(Knight &amp; Ruddock, 2008, p. 69)</w:t>
          </w:r>
          <w:r w:rsidRPr="00A77AF6">
            <w:fldChar w:fldCharType="end"/>
          </w:r>
        </w:sdtContent>
      </w:sdt>
    </w:p>
    <w:p w14:paraId="047B6AE5" w14:textId="67B1258F" w:rsidR="00776EAB" w:rsidRPr="00A77AF6" w:rsidRDefault="00D71883" w:rsidP="00EE04AB">
      <w:pPr>
        <w:spacing w:after="0" w:line="360" w:lineRule="auto"/>
      </w:pPr>
      <w:r w:rsidRPr="00A77AF6">
        <w:t xml:space="preserve">However, this view </w:t>
      </w:r>
      <w:r w:rsidR="00CB46A1" w:rsidRPr="00A77AF6">
        <w:t>was famously</w:t>
      </w:r>
      <w:r w:rsidRPr="00A77AF6">
        <w:t xml:space="preserve"> criticised</w:t>
      </w:r>
      <w:r w:rsidR="00CB46A1" w:rsidRPr="00A77AF6">
        <w:t xml:space="preserve"> by </w:t>
      </w:r>
      <w:r w:rsidRPr="00A77AF6">
        <w:t xml:space="preserve">Popper </w:t>
      </w:r>
      <w:r w:rsidR="00CB46A1" w:rsidRPr="00A77AF6">
        <w:t xml:space="preserve">who argued that </w:t>
      </w:r>
      <w:r w:rsidRPr="00A77AF6">
        <w:t>claims of certainty cannot be based on observation</w:t>
      </w:r>
      <w:r w:rsidR="00CB46A1" w:rsidRPr="00A77AF6">
        <w:t xml:space="preserve"> and must be based on ‘falsification’</w:t>
      </w:r>
      <w:r w:rsidRPr="00A77AF6">
        <w:t xml:space="preserve">. </w:t>
      </w:r>
    </w:p>
    <w:p w14:paraId="4EBEEDED" w14:textId="2F997430" w:rsidR="00776EAB" w:rsidRPr="00A77AF6" w:rsidRDefault="00D71883" w:rsidP="00776EAB">
      <w:pPr>
        <w:spacing w:after="240" w:line="240" w:lineRule="auto"/>
        <w:ind w:left="720"/>
      </w:pPr>
      <w:r w:rsidRPr="00A77AF6">
        <w:rPr>
          <w:i/>
        </w:rPr>
        <w:t xml:space="preserve"> ‘Any number of observations of white swans doesn’t prove that the statement “All swans are white” is true.  However, one single observation of a black swan is proof that is false.’</w:t>
      </w:r>
      <w:r w:rsidRPr="00A77AF6">
        <w:t xml:space="preserve"> </w:t>
      </w:r>
      <w:sdt>
        <w:sdtPr>
          <w:id w:val="72244617"/>
          <w:citation/>
        </w:sdtPr>
        <w:sdtEndPr/>
        <w:sdtContent>
          <w:r w:rsidRPr="00A77AF6">
            <w:fldChar w:fldCharType="begin"/>
          </w:r>
          <w:r w:rsidRPr="00A77AF6">
            <w:instrText xml:space="preserve">CITATION Run08 \p 77 \l 2057 </w:instrText>
          </w:r>
          <w:r w:rsidRPr="00A77AF6">
            <w:fldChar w:fldCharType="separate"/>
          </w:r>
          <w:r w:rsidR="008E653F" w:rsidRPr="00A77AF6">
            <w:t>(Runeson &amp; Skitmore, 2008, p. 77)</w:t>
          </w:r>
          <w:r w:rsidRPr="00A77AF6">
            <w:fldChar w:fldCharType="end"/>
          </w:r>
        </w:sdtContent>
      </w:sdt>
      <w:r w:rsidRPr="00A77AF6">
        <w:t xml:space="preserve">.  </w:t>
      </w:r>
    </w:p>
    <w:p w14:paraId="2BA1D1A6" w14:textId="77777777" w:rsidR="00CB46A1" w:rsidRPr="00A77AF6" w:rsidRDefault="00CB46A1" w:rsidP="005D36EB">
      <w:pPr>
        <w:spacing w:line="240" w:lineRule="auto"/>
      </w:pPr>
      <w:r w:rsidRPr="00A77AF6">
        <w:t>Popper argued that science</w:t>
      </w:r>
    </w:p>
    <w:p w14:paraId="79F4959B" w14:textId="4A7E5C4D" w:rsidR="00CB46A1" w:rsidRPr="00A77AF6" w:rsidRDefault="00CB46A1" w:rsidP="005D36EB">
      <w:pPr>
        <w:spacing w:line="240" w:lineRule="auto"/>
        <w:ind w:left="720"/>
      </w:pPr>
      <w:r w:rsidRPr="00A77AF6">
        <w:rPr>
          <w:i/>
        </w:rPr>
        <w:lastRenderedPageBreak/>
        <w:t>‘progresses by theories being falsified. Scientists construct their theories about the world. They then test their theories. Deductively, they derive certain observable conclusions from their theories and then check to see if their theories are true.  The theories that remain unfalsified are retained, while those that are falsified are discarded and replaced by new theories that are in turn tested, and so on.</w:t>
      </w:r>
      <w:r w:rsidRPr="00A77AF6">
        <w:t xml:space="preserve">’ </w:t>
      </w:r>
      <w:sdt>
        <w:sdtPr>
          <w:id w:val="1666745133"/>
          <w:citation/>
        </w:sdtPr>
        <w:sdtEndPr/>
        <w:sdtContent>
          <w:r w:rsidRPr="00A77AF6">
            <w:fldChar w:fldCharType="begin"/>
          </w:r>
          <w:r w:rsidRPr="00A77AF6">
            <w:instrText xml:space="preserve">CITATION LAw07 \p 172 \l 2057 </w:instrText>
          </w:r>
          <w:r w:rsidRPr="00A77AF6">
            <w:fldChar w:fldCharType="separate"/>
          </w:r>
          <w:r w:rsidR="008E653F" w:rsidRPr="00A77AF6">
            <w:t>(Law, 2007, p. 172)</w:t>
          </w:r>
          <w:r w:rsidRPr="00A77AF6">
            <w:fldChar w:fldCharType="end"/>
          </w:r>
        </w:sdtContent>
      </w:sdt>
      <w:r w:rsidRPr="00A77AF6">
        <w:t xml:space="preserve">.  </w:t>
      </w:r>
    </w:p>
    <w:p w14:paraId="33EEE253" w14:textId="052FF368" w:rsidR="00D71883" w:rsidRPr="00A77AF6" w:rsidRDefault="00D71883" w:rsidP="003055F4">
      <w:pPr>
        <w:spacing w:before="240" w:line="360" w:lineRule="auto"/>
      </w:pPr>
      <w:r w:rsidRPr="00A77AF6">
        <w:t>The other aspect of quantitative methodology is cause and effect.  This will be familiar to medical scientists</w:t>
      </w:r>
      <w:r w:rsidR="0071149E" w:rsidRPr="00A77AF6">
        <w:t xml:space="preserve"> who may test whether a drug cures a disease</w:t>
      </w:r>
      <w:r w:rsidRPr="00A77AF6">
        <w:t>.  Hume argued (</w:t>
      </w:r>
      <w:r w:rsidR="005D36EB" w:rsidRPr="00A77AF6">
        <w:t>1738</w:t>
      </w:r>
      <w:r w:rsidRPr="00A77AF6">
        <w:t xml:space="preserve">) that it is not possible to determine cause and effect from </w:t>
      </w:r>
      <w:r w:rsidR="0071149E" w:rsidRPr="00A77AF6">
        <w:t xml:space="preserve">single examples </w:t>
      </w:r>
      <w:r w:rsidRPr="00A77AF6">
        <w:t>or small numbers</w:t>
      </w:r>
      <w:r w:rsidR="0071149E" w:rsidRPr="00A77AF6">
        <w:t>,</w:t>
      </w:r>
      <w:r w:rsidRPr="00A77AF6">
        <w:t xml:space="preserve"> because causal connection is not visible.  Law </w:t>
      </w:r>
      <w:r w:rsidR="00211A12" w:rsidRPr="00A77AF6">
        <w:t>(</w:t>
      </w:r>
      <w:r w:rsidRPr="00A77AF6">
        <w:t>2007</w:t>
      </w:r>
      <w:r w:rsidR="00211A12" w:rsidRPr="00A77AF6">
        <w:t>)</w:t>
      </w:r>
      <w:r w:rsidRPr="00A77AF6">
        <w:t xml:space="preserve"> gives the example of a billiard ball striking another causing the second ball to move</w:t>
      </w:r>
      <w:r w:rsidR="006F518D">
        <w:t xml:space="preserve"> and </w:t>
      </w:r>
      <w:r w:rsidR="00F816A9" w:rsidRPr="00A77AF6">
        <w:t xml:space="preserve">suggests </w:t>
      </w:r>
      <w:r w:rsidRPr="00A77AF6">
        <w:t>that Hume (1738) would not accept that there was a causal relationship between these two events</w:t>
      </w:r>
      <w:r w:rsidR="00F816A9" w:rsidRPr="00A77AF6">
        <w:t xml:space="preserve"> because the </w:t>
      </w:r>
      <w:r w:rsidRPr="00A77AF6">
        <w:t xml:space="preserve">movement of the second ball might be co-incidental.  To be sure that there is a causal relationship it would be necessary to observe many such occurrences so that the possibility of co-incidence can be excluded. </w:t>
      </w:r>
      <w:r w:rsidR="00F816A9" w:rsidRPr="00A77AF6">
        <w:t xml:space="preserve"> </w:t>
      </w:r>
      <w:r w:rsidR="0071149E" w:rsidRPr="00A77AF6">
        <w:t xml:space="preserve">The removal of chance or co-incidence is one of the major strengths of the quantitative methodologies. </w:t>
      </w:r>
    </w:p>
    <w:p w14:paraId="319F6EB7" w14:textId="5A7C3476" w:rsidR="00F816A9" w:rsidRPr="00A77AF6" w:rsidRDefault="00406BE9" w:rsidP="003055F4">
      <w:pPr>
        <w:spacing w:line="360" w:lineRule="auto"/>
      </w:pPr>
      <w:r w:rsidRPr="00A77AF6">
        <w:t xml:space="preserve">Whilst there has been discussion about which </w:t>
      </w:r>
      <w:r w:rsidR="00F816A9" w:rsidRPr="00A77AF6">
        <w:t>quantitative method</w:t>
      </w:r>
      <w:r w:rsidR="00D16E8A">
        <w:t xml:space="preserve"> is </w:t>
      </w:r>
      <w:r w:rsidRPr="00A77AF6">
        <w:t>most appropriate, the strength of quantitative methodology is that i</w:t>
      </w:r>
      <w:r w:rsidR="00D16E8A">
        <w:t>t</w:t>
      </w:r>
      <w:r w:rsidRPr="00A77AF6">
        <w:t xml:space="preserve"> </w:t>
      </w:r>
      <w:r w:rsidR="00F816A9" w:rsidRPr="00A77AF6">
        <w:t xml:space="preserve">allows the testing of hypotheses and </w:t>
      </w:r>
      <w:r w:rsidRPr="00A77AF6">
        <w:t xml:space="preserve">it </w:t>
      </w:r>
      <w:r w:rsidR="00B24BBD" w:rsidRPr="00A77AF6">
        <w:t>allows results</w:t>
      </w:r>
      <w:r w:rsidR="00F816A9" w:rsidRPr="00A77AF6">
        <w:t xml:space="preserve"> to be generalised.  However, it is not so useful in exploring why or how something occurs.  For </w:t>
      </w:r>
      <w:r w:rsidR="0086768E" w:rsidRPr="00A77AF6">
        <w:t>example,</w:t>
      </w:r>
      <w:r w:rsidR="00F816A9" w:rsidRPr="00A77AF6">
        <w:t xml:space="preserve"> quantitative research may show that a particular drug cures an illness but may not be able to show the impact on the lived experience of people using that drug or their families, for example how people feel about </w:t>
      </w:r>
      <w:r w:rsidR="006F6782" w:rsidRPr="00A77AF6">
        <w:t xml:space="preserve">any </w:t>
      </w:r>
      <w:r w:rsidR="00F816A9" w:rsidRPr="00A77AF6">
        <w:t>side effects</w:t>
      </w:r>
      <w:r w:rsidR="002B1352" w:rsidRPr="00A77AF6">
        <w:t xml:space="preserve"> and in </w:t>
      </w:r>
      <w:r w:rsidR="00211A12" w:rsidRPr="00A77AF6">
        <w:t>such a</w:t>
      </w:r>
      <w:r w:rsidR="002B1352" w:rsidRPr="00A77AF6">
        <w:t xml:space="preserve"> case</w:t>
      </w:r>
      <w:r w:rsidR="0071149E" w:rsidRPr="00A77AF6">
        <w:t xml:space="preserve"> qualitative research </w:t>
      </w:r>
      <w:r w:rsidR="00B24BBD" w:rsidRPr="00A77AF6">
        <w:t>would be</w:t>
      </w:r>
      <w:r w:rsidR="00F816A9" w:rsidRPr="00A77AF6">
        <w:t xml:space="preserve"> </w:t>
      </w:r>
      <w:r w:rsidR="002B1352" w:rsidRPr="00A77AF6">
        <w:t>more appropriate.</w:t>
      </w:r>
    </w:p>
    <w:p w14:paraId="2EBFDCE3" w14:textId="0AEF2446" w:rsidR="00BD2750" w:rsidRPr="00A77AF6" w:rsidRDefault="00BD2750" w:rsidP="00632AF2">
      <w:pPr>
        <w:pStyle w:val="Heading3"/>
        <w:spacing w:after="120"/>
      </w:pPr>
      <w:bookmarkStart w:id="113" w:name="_Toc36275095"/>
      <w:r w:rsidRPr="00A77AF6">
        <w:t xml:space="preserve">Qualitative </w:t>
      </w:r>
      <w:r w:rsidR="00632AF2" w:rsidRPr="00A77AF6">
        <w:t>r</w:t>
      </w:r>
      <w:r w:rsidR="006F6782" w:rsidRPr="00A77AF6">
        <w:t>esearch</w:t>
      </w:r>
      <w:bookmarkEnd w:id="113"/>
    </w:p>
    <w:p w14:paraId="4615856A" w14:textId="2F346AF3" w:rsidR="0071149E" w:rsidRPr="00A77AF6" w:rsidRDefault="00BD2750" w:rsidP="00D22A15">
      <w:pPr>
        <w:spacing w:after="0" w:line="360" w:lineRule="auto"/>
      </w:pPr>
      <w:r w:rsidRPr="00A77AF6">
        <w:t xml:space="preserve">Qualitative research </w:t>
      </w:r>
      <w:r w:rsidR="006F6782" w:rsidRPr="00A77AF6">
        <w:t xml:space="preserve">differs from quantitative research because it is </w:t>
      </w:r>
      <w:r w:rsidRPr="00A77AF6">
        <w:t xml:space="preserve">subjective </w:t>
      </w:r>
      <w:r w:rsidR="006F6782" w:rsidRPr="00A77AF6">
        <w:t>and ‘</w:t>
      </w:r>
      <w:r w:rsidRPr="00A77AF6">
        <w:t xml:space="preserve">emphasises meanings, experiences (often verbally described), description and so on’ </w:t>
      </w:r>
      <w:sdt>
        <w:sdtPr>
          <w:id w:val="1519735205"/>
          <w:citation/>
        </w:sdtPr>
        <w:sdtEndPr/>
        <w:sdtContent>
          <w:r w:rsidR="000573D4" w:rsidRPr="00A77AF6">
            <w:fldChar w:fldCharType="begin"/>
          </w:r>
          <w:r w:rsidR="000573D4" w:rsidRPr="00A77AF6">
            <w:instrText xml:space="preserve">CITATION SGN98 \p 40 \l 2057 </w:instrText>
          </w:r>
          <w:r w:rsidR="000573D4" w:rsidRPr="00A77AF6">
            <w:fldChar w:fldCharType="separate"/>
          </w:r>
          <w:r w:rsidR="008E653F" w:rsidRPr="00A77AF6">
            <w:t>(Naoum, 1998, p. 40)</w:t>
          </w:r>
          <w:r w:rsidR="000573D4" w:rsidRPr="00A77AF6">
            <w:fldChar w:fldCharType="end"/>
          </w:r>
        </w:sdtContent>
      </w:sdt>
      <w:r w:rsidR="000573D4" w:rsidRPr="00A77AF6">
        <w:t>.</w:t>
      </w:r>
      <w:r w:rsidR="00632AF2" w:rsidRPr="00A77AF6">
        <w:t xml:space="preserve"> </w:t>
      </w:r>
      <w:r w:rsidR="00AC4E9D" w:rsidRPr="00A77AF6">
        <w:t xml:space="preserve">Qualitative research takes an interpretivist </w:t>
      </w:r>
      <w:r w:rsidR="00EE1CAF" w:rsidRPr="00A77AF6">
        <w:t>of the</w:t>
      </w:r>
      <w:r w:rsidR="00AC4E9D" w:rsidRPr="00A77AF6">
        <w:t xml:space="preserve"> world</w:t>
      </w:r>
      <w:r w:rsidR="0071149E" w:rsidRPr="00A77AF6">
        <w:t xml:space="preserve">, meaning that reality </w:t>
      </w:r>
      <w:r w:rsidR="002B1352" w:rsidRPr="00A77AF6">
        <w:t xml:space="preserve">or truth is not independent of research subjects or the </w:t>
      </w:r>
      <w:r w:rsidR="00B24BBD" w:rsidRPr="00A77AF6">
        <w:t>researcher, and</w:t>
      </w:r>
      <w:r w:rsidR="002B1352" w:rsidRPr="00A77AF6">
        <w:t xml:space="preserve"> </w:t>
      </w:r>
      <w:r w:rsidR="0071149E" w:rsidRPr="00A77AF6">
        <w:t>can be constructed or interpreted</w:t>
      </w:r>
      <w:r w:rsidR="00EE1CAF" w:rsidRPr="00A77AF6">
        <w:t xml:space="preserve">. </w:t>
      </w:r>
      <w:r w:rsidR="00AC4E9D" w:rsidRPr="00A77AF6">
        <w:t xml:space="preserve"> </w:t>
      </w:r>
      <w:r w:rsidR="000573D4" w:rsidRPr="00A77AF6">
        <w:t xml:space="preserve">Whilst some </w:t>
      </w:r>
      <w:r w:rsidRPr="00A77AF6">
        <w:t xml:space="preserve">have argued that </w:t>
      </w:r>
      <w:r w:rsidR="006F6782" w:rsidRPr="00A77AF6">
        <w:t>quantitative research or the scientific method are ‘</w:t>
      </w:r>
      <w:r w:rsidRPr="00A77AF6">
        <w:t xml:space="preserve">appropriate to the social sciences’ </w:t>
      </w:r>
      <w:sdt>
        <w:sdtPr>
          <w:id w:val="-1929957886"/>
          <w:citation/>
        </w:sdtPr>
        <w:sdtEndPr/>
        <w:sdtContent>
          <w:r w:rsidRPr="00A77AF6">
            <w:fldChar w:fldCharType="begin"/>
          </w:r>
          <w:r w:rsidRPr="00A77AF6">
            <w:instrText xml:space="preserve">CITATION Bry881 \p 14 \l 2057 </w:instrText>
          </w:r>
          <w:r w:rsidRPr="00A77AF6">
            <w:fldChar w:fldCharType="separate"/>
          </w:r>
          <w:r w:rsidR="008E653F" w:rsidRPr="00A77AF6">
            <w:t>(Bryman, 1988, p. 14)</w:t>
          </w:r>
          <w:r w:rsidRPr="00A77AF6">
            <w:fldChar w:fldCharType="end"/>
          </w:r>
        </w:sdtContent>
      </w:sdt>
      <w:r w:rsidR="000573D4" w:rsidRPr="00A77AF6">
        <w:t xml:space="preserve"> </w:t>
      </w:r>
      <w:r w:rsidR="006F6782" w:rsidRPr="00A77AF6">
        <w:t xml:space="preserve">this view is contested by those who </w:t>
      </w:r>
      <w:r w:rsidRPr="00A77AF6">
        <w:t xml:space="preserve">argue that </w:t>
      </w:r>
      <w:r w:rsidR="00DA386F" w:rsidRPr="00A77AF6">
        <w:t xml:space="preserve">investigation into </w:t>
      </w:r>
      <w:r w:rsidR="006F6782" w:rsidRPr="00A77AF6">
        <w:t xml:space="preserve">how or why something </w:t>
      </w:r>
      <w:r w:rsidR="00DA386F" w:rsidRPr="00A77AF6">
        <w:t xml:space="preserve">occurs needs a qualitative approach.  </w:t>
      </w:r>
    </w:p>
    <w:p w14:paraId="69885907" w14:textId="17A387F1" w:rsidR="00BD2750" w:rsidRPr="00A77AF6" w:rsidRDefault="00DA386F" w:rsidP="00D22A15">
      <w:pPr>
        <w:spacing w:after="120" w:line="240" w:lineRule="auto"/>
        <w:ind w:left="720"/>
      </w:pPr>
      <w:r w:rsidRPr="00A77AF6">
        <w:rPr>
          <w:i/>
        </w:rPr>
        <w:t>‘</w:t>
      </w:r>
      <w:r w:rsidR="00BD2750" w:rsidRPr="00A77AF6">
        <w:rPr>
          <w:i/>
        </w:rPr>
        <w:t>Qualitative research allows participants to question and amend the researcher’s assumptions about the meanings investigated by the research.</w:t>
      </w:r>
      <w:r w:rsidRPr="00A77AF6">
        <w:rPr>
          <w:i/>
        </w:rPr>
        <w:t>’</w:t>
      </w:r>
      <w:r w:rsidR="00BD2750" w:rsidRPr="00A77AF6">
        <w:t xml:space="preserve">  </w:t>
      </w:r>
      <w:sdt>
        <w:sdtPr>
          <w:id w:val="-71036965"/>
          <w:citation/>
        </w:sdtPr>
        <w:sdtEndPr/>
        <w:sdtContent>
          <w:r w:rsidR="00BD2750" w:rsidRPr="00A77AF6">
            <w:fldChar w:fldCharType="begin"/>
          </w:r>
          <w:r w:rsidR="00BD2750" w:rsidRPr="00A77AF6">
            <w:instrText xml:space="preserve">CITATION Wil13 \p 24 \l 2057 </w:instrText>
          </w:r>
          <w:r w:rsidR="00BD2750" w:rsidRPr="00A77AF6">
            <w:fldChar w:fldCharType="separate"/>
          </w:r>
          <w:r w:rsidR="008E653F" w:rsidRPr="00A77AF6">
            <w:t>(Willig, 2013, p. 24)</w:t>
          </w:r>
          <w:r w:rsidR="00BD2750" w:rsidRPr="00A77AF6">
            <w:fldChar w:fldCharType="end"/>
          </w:r>
        </w:sdtContent>
      </w:sdt>
      <w:r w:rsidR="00BD2750" w:rsidRPr="00A77AF6">
        <w:t xml:space="preserve">.  </w:t>
      </w:r>
    </w:p>
    <w:p w14:paraId="7175CDD0" w14:textId="49E35540" w:rsidR="0071149E" w:rsidRPr="00A77AF6" w:rsidRDefault="00184FEF" w:rsidP="001012D3">
      <w:pPr>
        <w:spacing w:after="0" w:line="360" w:lineRule="auto"/>
      </w:pPr>
      <w:r w:rsidRPr="00A77AF6">
        <w:t>Qualitative research</w:t>
      </w:r>
      <w:r w:rsidR="00DA386F" w:rsidRPr="00A77AF6">
        <w:t xml:space="preserve"> has </w:t>
      </w:r>
      <w:r w:rsidRPr="00A77AF6">
        <w:t>important strengths. Firstly, it allows research to take place in a natural setting rather than a laboratory or other contrived setting.  The researcher can build up a picture using observation or interviews where they themselves have collected the data</w:t>
      </w:r>
      <w:r w:rsidR="002B1352" w:rsidRPr="00A77AF6">
        <w:t>. T</w:t>
      </w:r>
      <w:r w:rsidRPr="00A77AF6">
        <w:t xml:space="preserve">his personal </w:t>
      </w:r>
      <w:r w:rsidRPr="00A77AF6">
        <w:lastRenderedPageBreak/>
        <w:t xml:space="preserve">involvement and the ability to find several sources of </w:t>
      </w:r>
      <w:r w:rsidR="00EE1CAF" w:rsidRPr="00A77AF6">
        <w:t>information</w:t>
      </w:r>
      <w:r w:rsidRPr="00A77AF6">
        <w:t xml:space="preserve"> allows a rich data set to be created and for the researcher to learn what the participants’ reality is. </w:t>
      </w:r>
    </w:p>
    <w:p w14:paraId="4C4F038D" w14:textId="1A40AC17" w:rsidR="00184FEF" w:rsidRPr="00A77AF6" w:rsidRDefault="00184FEF" w:rsidP="0071149E">
      <w:pPr>
        <w:spacing w:after="240" w:line="240" w:lineRule="auto"/>
        <w:ind w:left="720"/>
      </w:pPr>
      <w:r w:rsidRPr="00A77AF6">
        <w:rPr>
          <w:i/>
        </w:rPr>
        <w:t>‘The key idea behind qualitative research is to learn about the problem or issue from participants and to address the research to obtain that information.’</w:t>
      </w:r>
      <w:r w:rsidRPr="00A77AF6">
        <w:t xml:space="preserve"> </w:t>
      </w:r>
      <w:sdt>
        <w:sdtPr>
          <w:id w:val="103469254"/>
          <w:citation/>
        </w:sdtPr>
        <w:sdtEndPr/>
        <w:sdtContent>
          <w:r w:rsidRPr="00A77AF6">
            <w:fldChar w:fldCharType="begin"/>
          </w:r>
          <w:r w:rsidRPr="00A77AF6">
            <w:instrText xml:space="preserve">CITATION Cre09 \p 176 \l 2057 </w:instrText>
          </w:r>
          <w:r w:rsidRPr="00A77AF6">
            <w:fldChar w:fldCharType="separate"/>
          </w:r>
          <w:r w:rsidR="008E653F" w:rsidRPr="00A77AF6">
            <w:t>(Creswell, 2009, p. 176)</w:t>
          </w:r>
          <w:r w:rsidRPr="00A77AF6">
            <w:fldChar w:fldCharType="end"/>
          </w:r>
        </w:sdtContent>
      </w:sdt>
      <w:r w:rsidRPr="00A77AF6">
        <w:t xml:space="preserve">.  </w:t>
      </w:r>
    </w:p>
    <w:p w14:paraId="33635F18" w14:textId="195C20DC" w:rsidR="00DA386F" w:rsidRPr="00A77AF6" w:rsidRDefault="00184FEF" w:rsidP="003055F4">
      <w:pPr>
        <w:spacing w:before="120" w:after="0" w:line="360" w:lineRule="auto"/>
      </w:pPr>
      <w:r w:rsidRPr="00A77AF6">
        <w:t xml:space="preserve">Bryman (1988) gives an example of this which at once shows two sides of qualitative research: a researcher getting too close to their subjects </w:t>
      </w:r>
      <w:r w:rsidR="002B1352" w:rsidRPr="00A77AF6">
        <w:t>whilst</w:t>
      </w:r>
      <w:r w:rsidRPr="00A77AF6">
        <w:t xml:space="preserve"> </w:t>
      </w:r>
      <w:r w:rsidR="006F518D">
        <w:t>simultaneously</w:t>
      </w:r>
      <w:r w:rsidR="00DA386F" w:rsidRPr="00A77AF6">
        <w:t xml:space="preserve"> </w:t>
      </w:r>
      <w:r w:rsidRPr="00A77AF6">
        <w:t>gaining an understanding of their</w:t>
      </w:r>
      <w:r w:rsidR="00DA386F" w:rsidRPr="00A77AF6">
        <w:t xml:space="preserve"> work pressures.  </w:t>
      </w:r>
      <w:r w:rsidR="002B1352" w:rsidRPr="00A77AF6">
        <w:t xml:space="preserve">The example below shows how a researcher started to understand their research subjects, but also became arguably too involved. </w:t>
      </w:r>
    </w:p>
    <w:p w14:paraId="60D2523E" w14:textId="0D4B6B5A" w:rsidR="00DA386F" w:rsidRPr="00A77AF6" w:rsidRDefault="00184FEF" w:rsidP="00D22A15">
      <w:pPr>
        <w:spacing w:after="120" w:line="240" w:lineRule="auto"/>
        <w:ind w:left="720"/>
      </w:pPr>
      <w:r w:rsidRPr="00A77AF6">
        <w:rPr>
          <w:i/>
        </w:rPr>
        <w:t xml:space="preserve"> ‘At two in the morning I wanted someone to get in there quickly and do a forceps delivery so I could (like them) go home to bed’</w:t>
      </w:r>
      <w:r w:rsidRPr="00A77AF6">
        <w:t xml:space="preserve"> (Oakley 1984 p</w:t>
      </w:r>
      <w:r w:rsidR="00461471" w:rsidRPr="00A77AF6">
        <w:t xml:space="preserve">. </w:t>
      </w:r>
      <w:r w:rsidRPr="00A77AF6">
        <w:t>128 cited in Bryman 1988 p</w:t>
      </w:r>
      <w:r w:rsidR="00461471" w:rsidRPr="00A77AF6">
        <w:t xml:space="preserve">. </w:t>
      </w:r>
      <w:r w:rsidRPr="00A77AF6">
        <w:t xml:space="preserve">97).  </w:t>
      </w:r>
    </w:p>
    <w:p w14:paraId="7D93557F" w14:textId="39BE79C8" w:rsidR="002B1352" w:rsidRPr="00A77AF6" w:rsidRDefault="00184FEF" w:rsidP="003055F4">
      <w:pPr>
        <w:spacing w:line="360" w:lineRule="auto"/>
      </w:pPr>
      <w:r w:rsidRPr="00A77AF6">
        <w:t>Bryman (1998) argue</w:t>
      </w:r>
      <w:r w:rsidR="003C6770" w:rsidRPr="00A77AF6">
        <w:t>d</w:t>
      </w:r>
      <w:r w:rsidRPr="00A77AF6">
        <w:t xml:space="preserve"> that this was not </w:t>
      </w:r>
      <w:r w:rsidR="002B1352" w:rsidRPr="00A77AF6">
        <w:t>necessarily</w:t>
      </w:r>
      <w:r w:rsidRPr="00A77AF6">
        <w:t xml:space="preserve"> negative as it allowed the researcher to understand the pressure of work from the point of view of busy obstetricians.  However, it is important that researchers recognise the dangers of getting too involved </w:t>
      </w:r>
      <w:r w:rsidR="003C6770" w:rsidRPr="00A77AF6">
        <w:t xml:space="preserve">so that they can </w:t>
      </w:r>
      <w:r w:rsidRPr="00A77AF6">
        <w:t>guard against bias.</w:t>
      </w:r>
      <w:r w:rsidR="002B1352" w:rsidRPr="00A77AF6">
        <w:t xml:space="preserve"> </w:t>
      </w:r>
      <w:r w:rsidR="003C6770" w:rsidRPr="00A77AF6">
        <w:t xml:space="preserve"> </w:t>
      </w:r>
    </w:p>
    <w:p w14:paraId="420C1570" w14:textId="335E5A48" w:rsidR="00184FEF" w:rsidRPr="00A77AF6" w:rsidRDefault="00184FEF" w:rsidP="003055F4">
      <w:pPr>
        <w:spacing w:line="360" w:lineRule="auto"/>
      </w:pPr>
      <w:r w:rsidRPr="00A77AF6">
        <w:t>Qualitative research is also useful when the variables in a stud</w:t>
      </w:r>
      <w:r w:rsidR="00DA386F" w:rsidRPr="00A77AF6">
        <w:t xml:space="preserve">y are not well defined or known and need to </w:t>
      </w:r>
      <w:r w:rsidRPr="00A77AF6">
        <w:t xml:space="preserve">be explored  </w:t>
      </w:r>
      <w:sdt>
        <w:sdtPr>
          <w:id w:val="1351140766"/>
          <w:citation/>
        </w:sdtPr>
        <w:sdtEndPr/>
        <w:sdtContent>
          <w:r w:rsidRPr="00A77AF6">
            <w:fldChar w:fldCharType="begin"/>
          </w:r>
          <w:r w:rsidRPr="00A77AF6">
            <w:instrText xml:space="preserve"> CITATION Cre09 \l 2057 </w:instrText>
          </w:r>
          <w:r w:rsidRPr="00A77AF6">
            <w:fldChar w:fldCharType="separate"/>
          </w:r>
          <w:r w:rsidR="008E653F" w:rsidRPr="00A77AF6">
            <w:t>(Creswell, 2009)</w:t>
          </w:r>
          <w:r w:rsidRPr="00A77AF6">
            <w:fldChar w:fldCharType="end"/>
          </w:r>
        </w:sdtContent>
      </w:sdt>
      <w:r w:rsidR="00DA386F" w:rsidRPr="00A77AF6">
        <w:t>.  The researcher make</w:t>
      </w:r>
      <w:r w:rsidR="002B1352" w:rsidRPr="00A77AF6">
        <w:t>s</w:t>
      </w:r>
      <w:r w:rsidR="00DA386F" w:rsidRPr="00A77AF6">
        <w:t xml:space="preserve"> sense of the data by coding </w:t>
      </w:r>
      <w:r w:rsidR="00F64C0E">
        <w:t xml:space="preserve">it </w:t>
      </w:r>
      <w:r w:rsidR="00DA386F" w:rsidRPr="00A77AF6">
        <w:t xml:space="preserve">into themes so that findings can be discussed and understood.   Grounded </w:t>
      </w:r>
      <w:r w:rsidR="00211A12" w:rsidRPr="00A77AF6">
        <w:t>t</w:t>
      </w:r>
      <w:r w:rsidR="00DA386F" w:rsidRPr="00A77AF6">
        <w:t>heory</w:t>
      </w:r>
      <w:r w:rsidR="002B1352" w:rsidRPr="00A77AF6">
        <w:t xml:space="preserve"> is a specific technique </w:t>
      </w:r>
      <w:r w:rsidRPr="00A77AF6">
        <w:t>based on a ‘bottom-up’ approach where</w:t>
      </w:r>
      <w:r w:rsidR="002B1352" w:rsidRPr="00A77AF6">
        <w:t>by</w:t>
      </w:r>
      <w:r w:rsidRPr="00A77AF6">
        <w:t xml:space="preserve"> information is collected using open interviews which are </w:t>
      </w:r>
      <w:r w:rsidR="006D2305" w:rsidRPr="00A77AF6">
        <w:t>coded,</w:t>
      </w:r>
      <w:r w:rsidRPr="00A77AF6">
        <w:t xml:space="preserve"> and emergent themes a</w:t>
      </w:r>
      <w:r w:rsidR="00DA386F" w:rsidRPr="00A77AF6">
        <w:t>re clustered to make new theories</w:t>
      </w:r>
      <w:r w:rsidR="002B1352" w:rsidRPr="00A77AF6">
        <w:t xml:space="preserve">. </w:t>
      </w:r>
      <w:r w:rsidRPr="00A77AF6">
        <w:t>Glazer and Strauss (2009)</w:t>
      </w:r>
      <w:r w:rsidR="003C6770" w:rsidRPr="00A77AF6">
        <w:t xml:space="preserve"> argued that </w:t>
      </w:r>
      <w:r w:rsidR="00211A12" w:rsidRPr="00A77AF6">
        <w:t xml:space="preserve">its </w:t>
      </w:r>
      <w:r w:rsidR="003C6770" w:rsidRPr="00A77AF6">
        <w:t>advantage</w:t>
      </w:r>
      <w:r w:rsidRPr="00A77AF6">
        <w:t xml:space="preserve"> is </w:t>
      </w:r>
      <w:r w:rsidR="00584A17" w:rsidRPr="00A77AF6">
        <w:t xml:space="preserve">that researchers </w:t>
      </w:r>
      <w:r w:rsidR="006061F7" w:rsidRPr="00A77AF6">
        <w:t>can</w:t>
      </w:r>
      <w:r w:rsidR="00584A17" w:rsidRPr="00A77AF6">
        <w:t xml:space="preserve"> explore data for patterns which </w:t>
      </w:r>
      <w:r w:rsidR="006061F7" w:rsidRPr="00A77AF6">
        <w:t>may</w:t>
      </w:r>
      <w:r w:rsidR="00584A17" w:rsidRPr="00A77AF6">
        <w:t xml:space="preserve"> lead to the development of new theories or can challenge existing ones.  Glaser and St</w:t>
      </w:r>
      <w:r w:rsidR="003C6770" w:rsidRPr="00A77AF6">
        <w:t>r</w:t>
      </w:r>
      <w:r w:rsidR="00584A17" w:rsidRPr="00A77AF6">
        <w:t>a</w:t>
      </w:r>
      <w:r w:rsidR="003C6770" w:rsidRPr="00A77AF6">
        <w:t xml:space="preserve">uss (2009) argued that </w:t>
      </w:r>
      <w:r w:rsidRPr="00A77AF6">
        <w:t>theories based on data</w:t>
      </w:r>
      <w:r w:rsidR="00DA386F" w:rsidRPr="00A77AF6">
        <w:t>, such as those obtained through the qua</w:t>
      </w:r>
      <w:r w:rsidR="00211A12" w:rsidRPr="00A77AF6">
        <w:t>litative</w:t>
      </w:r>
      <w:r w:rsidR="00DA386F" w:rsidRPr="00A77AF6">
        <w:t xml:space="preserve"> approach, </w:t>
      </w:r>
      <w:r w:rsidRPr="00A77AF6">
        <w:t>are difficult to refute and they point</w:t>
      </w:r>
      <w:r w:rsidR="003C6770" w:rsidRPr="00A77AF6">
        <w:t>ed</w:t>
      </w:r>
      <w:r w:rsidRPr="00A77AF6">
        <w:t xml:space="preserve"> to the longevity of Weber’s theory of bureaucracy </w:t>
      </w:r>
      <w:r w:rsidR="00EE1CAF" w:rsidRPr="00A77AF6">
        <w:t>as evidence of this</w:t>
      </w:r>
      <w:r w:rsidR="003C6770" w:rsidRPr="00A77AF6">
        <w:t>. Whilst n</w:t>
      </w:r>
      <w:r w:rsidR="00DA386F" w:rsidRPr="00A77AF6">
        <w:t xml:space="preserve">ot all qualitative research seeks to make new theories </w:t>
      </w:r>
      <w:r w:rsidR="00584A17" w:rsidRPr="00A77AF6">
        <w:t xml:space="preserve">it </w:t>
      </w:r>
      <w:r w:rsidR="009037A1" w:rsidRPr="00A77AF6">
        <w:t xml:space="preserve">can help to explain or modify existing theories or explain behaviour in a way that quantitative methods cannot. </w:t>
      </w:r>
    </w:p>
    <w:p w14:paraId="2ECC62F2" w14:textId="11A35EC1" w:rsidR="00BD2750" w:rsidRPr="00A77AF6" w:rsidRDefault="003055F4" w:rsidP="003055F4">
      <w:pPr>
        <w:spacing w:after="0" w:line="360" w:lineRule="auto"/>
      </w:pPr>
      <w:r w:rsidRPr="00A77AF6">
        <w:t>Q</w:t>
      </w:r>
      <w:r w:rsidR="00BD2750" w:rsidRPr="00A77AF6">
        <w:t>ualitative method</w:t>
      </w:r>
      <w:r w:rsidR="009037A1" w:rsidRPr="00A77AF6">
        <w:t>ology</w:t>
      </w:r>
      <w:r w:rsidR="00BD2750" w:rsidRPr="00A77AF6">
        <w:t xml:space="preserve"> has been criticised for weaknesses</w:t>
      </w:r>
      <w:r w:rsidR="00AC4E9D" w:rsidRPr="00A77AF6">
        <w:t xml:space="preserve"> which ha</w:t>
      </w:r>
      <w:r w:rsidR="009037A1" w:rsidRPr="00A77AF6">
        <w:t>ve been refuted by proponents.  The first</w:t>
      </w:r>
      <w:r w:rsidR="00AC4E9D" w:rsidRPr="00A77AF6">
        <w:t xml:space="preserve">, which was highlighted earlier, </w:t>
      </w:r>
      <w:r w:rsidR="009037A1" w:rsidRPr="00A77AF6">
        <w:t xml:space="preserve">is that </w:t>
      </w:r>
      <w:r w:rsidR="00184FEF" w:rsidRPr="00A77AF6">
        <w:t xml:space="preserve">researchers </w:t>
      </w:r>
      <w:r w:rsidR="009037A1" w:rsidRPr="00A77AF6">
        <w:t>can become t</w:t>
      </w:r>
      <w:r w:rsidR="00184FEF" w:rsidRPr="00A77AF6">
        <w:t>oo involved with their subjects</w:t>
      </w:r>
      <w:r w:rsidR="00AC4E9D" w:rsidRPr="00A77AF6">
        <w:t xml:space="preserve"> and this can lead to bias. </w:t>
      </w:r>
      <w:r w:rsidR="009037A1" w:rsidRPr="00A77AF6">
        <w:t xml:space="preserve"> </w:t>
      </w:r>
      <w:r w:rsidR="00BD2750" w:rsidRPr="00A77AF6">
        <w:t>It is also criticised for not being generalizable</w:t>
      </w:r>
      <w:r w:rsidR="009037A1" w:rsidRPr="00A77AF6">
        <w:t xml:space="preserve"> </w:t>
      </w:r>
      <w:r w:rsidR="001C7558" w:rsidRPr="00A77AF6">
        <w:t xml:space="preserve">either because numbers are too small or </w:t>
      </w:r>
      <w:r w:rsidR="009037A1" w:rsidRPr="00A77AF6">
        <w:t xml:space="preserve">samples may be unrepresentative; this, it is argued, </w:t>
      </w:r>
      <w:r w:rsidR="00BD2750" w:rsidRPr="00A77AF6">
        <w:t xml:space="preserve">undermines confidence in the validity of </w:t>
      </w:r>
      <w:r w:rsidR="00184FEF" w:rsidRPr="00A77AF6">
        <w:t>results</w:t>
      </w:r>
      <w:r w:rsidR="009037A1" w:rsidRPr="00A77AF6">
        <w:t xml:space="preserve">. </w:t>
      </w:r>
      <w:r w:rsidR="00184FEF" w:rsidRPr="00A77AF6">
        <w:t xml:space="preserve"> </w:t>
      </w:r>
      <w:r w:rsidR="00BD2750" w:rsidRPr="00A77AF6">
        <w:t xml:space="preserve">Whilst some argue that this is not the case and that rigorously </w:t>
      </w:r>
      <w:r w:rsidR="00184FEF" w:rsidRPr="00A77AF6">
        <w:t xml:space="preserve">conducted </w:t>
      </w:r>
      <w:r w:rsidR="00BD2750" w:rsidRPr="00A77AF6">
        <w:t>qualitative research should be able to generate reliable results (Silverman 1993 cited in Willig 2</w:t>
      </w:r>
      <w:r w:rsidR="00AC4E9D" w:rsidRPr="00A77AF6">
        <w:t xml:space="preserve">013), it is argued by </w:t>
      </w:r>
      <w:r w:rsidR="003329F1" w:rsidRPr="00A77AF6">
        <w:t>Creswell</w:t>
      </w:r>
      <w:r w:rsidR="00AC4E9D" w:rsidRPr="00A77AF6">
        <w:t xml:space="preserve"> </w:t>
      </w:r>
      <w:r w:rsidR="00BD2750" w:rsidRPr="00A77AF6">
        <w:t>(2009 p</w:t>
      </w:r>
      <w:r w:rsidR="00461471" w:rsidRPr="00A77AF6">
        <w:t xml:space="preserve">. </w:t>
      </w:r>
      <w:r w:rsidR="00BD2750" w:rsidRPr="00A77AF6">
        <w:t xml:space="preserve">190) that validity ‘does not </w:t>
      </w:r>
      <w:r w:rsidR="00BD2750" w:rsidRPr="00A77AF6">
        <w:lastRenderedPageBreak/>
        <w:t xml:space="preserve">carry the same connotations in qualitative research as it does </w:t>
      </w:r>
      <w:r w:rsidR="00184FEF" w:rsidRPr="00A77AF6">
        <w:t>in</w:t>
      </w:r>
      <w:r w:rsidR="00BD2750" w:rsidRPr="00A77AF6">
        <w:t xml:space="preserve"> quantitative research, nor is it a companion of reliability…or generalizability’. </w:t>
      </w:r>
    </w:p>
    <w:p w14:paraId="71FCABFD" w14:textId="2468B7A1" w:rsidR="00BD2750" w:rsidRPr="00A77AF6" w:rsidRDefault="00BD2750" w:rsidP="001C7558">
      <w:pPr>
        <w:spacing w:line="240" w:lineRule="auto"/>
        <w:ind w:left="720"/>
      </w:pPr>
      <w:r w:rsidRPr="00A77AF6">
        <w:rPr>
          <w:i/>
        </w:rPr>
        <w:t xml:space="preserve">‘Qualitative validity means that </w:t>
      </w:r>
      <w:r w:rsidR="00184FEF" w:rsidRPr="00A77AF6">
        <w:rPr>
          <w:i/>
        </w:rPr>
        <w:t>t</w:t>
      </w:r>
      <w:r w:rsidRPr="00A77AF6">
        <w:rPr>
          <w:i/>
        </w:rPr>
        <w:t xml:space="preserve">he researcher checks for the accuracy of the findings by employing certain procedures while qualitative </w:t>
      </w:r>
      <w:r w:rsidR="00211A12" w:rsidRPr="00A77AF6">
        <w:rPr>
          <w:i/>
        </w:rPr>
        <w:t>reliability</w:t>
      </w:r>
      <w:r w:rsidRPr="00A77AF6">
        <w:rPr>
          <w:i/>
        </w:rPr>
        <w:t xml:space="preserve"> indicates that the researcher’s approach is consistent across different researchers and different projects’</w:t>
      </w:r>
      <w:r w:rsidRPr="00A77AF6">
        <w:t xml:space="preserve"> (Gibb 2007, cited in Creswell 2009 p</w:t>
      </w:r>
      <w:r w:rsidR="00461471" w:rsidRPr="00A77AF6">
        <w:t xml:space="preserve">. </w:t>
      </w:r>
      <w:r w:rsidRPr="00A77AF6">
        <w:t xml:space="preserve">190) </w:t>
      </w:r>
    </w:p>
    <w:p w14:paraId="25BA5FA7" w14:textId="66082D11" w:rsidR="00BD2750" w:rsidRPr="00A77AF6" w:rsidRDefault="00BD2750" w:rsidP="003055F4">
      <w:pPr>
        <w:spacing w:after="0" w:line="360" w:lineRule="auto"/>
      </w:pPr>
      <w:r w:rsidRPr="00A77AF6">
        <w:t xml:space="preserve">Another criticism of qualitative research </w:t>
      </w:r>
      <w:r w:rsidR="00476DDF" w:rsidRPr="00A77AF6">
        <w:t xml:space="preserve">concerns the </w:t>
      </w:r>
      <w:r w:rsidRPr="00A77AF6">
        <w:t xml:space="preserve">ability </w:t>
      </w:r>
      <w:r w:rsidR="00476DDF" w:rsidRPr="00A77AF6">
        <w:t xml:space="preserve">of the qualitative methodology to </w:t>
      </w:r>
      <w:r w:rsidRPr="00A77AF6">
        <w:t>replicate research</w:t>
      </w:r>
      <w:r w:rsidR="009037A1" w:rsidRPr="00A77AF6">
        <w:t xml:space="preserve">.  Replication is </w:t>
      </w:r>
      <w:r w:rsidRPr="00A77AF6">
        <w:t xml:space="preserve">important because </w:t>
      </w:r>
      <w:r w:rsidR="009037A1" w:rsidRPr="00A77AF6">
        <w:t>it</w:t>
      </w:r>
      <w:r w:rsidR="00184FEF" w:rsidRPr="00A77AF6">
        <w:t xml:space="preserve"> </w:t>
      </w:r>
      <w:r w:rsidRPr="00A77AF6">
        <w:t>contribute</w:t>
      </w:r>
      <w:r w:rsidR="00184FEF" w:rsidRPr="00A77AF6">
        <w:t>s</w:t>
      </w:r>
      <w:r w:rsidRPr="00A77AF6">
        <w:t xml:space="preserve"> towards generalization and the removal of researcher bias </w:t>
      </w:r>
      <w:sdt>
        <w:sdtPr>
          <w:id w:val="-939145806"/>
          <w:citation/>
        </w:sdtPr>
        <w:sdtEndPr/>
        <w:sdtContent>
          <w:r w:rsidRPr="00A77AF6">
            <w:fldChar w:fldCharType="begin"/>
          </w:r>
          <w:r w:rsidRPr="00A77AF6">
            <w:instrText xml:space="preserve">CITATION Bry881 \p 37 \l 2057 </w:instrText>
          </w:r>
          <w:r w:rsidRPr="00A77AF6">
            <w:fldChar w:fldCharType="separate"/>
          </w:r>
          <w:r w:rsidR="008E653F" w:rsidRPr="00A77AF6">
            <w:t>(Bryman, 1988, p. 37)</w:t>
          </w:r>
          <w:r w:rsidRPr="00A77AF6">
            <w:fldChar w:fldCharType="end"/>
          </w:r>
        </w:sdtContent>
      </w:sdt>
      <w:r w:rsidRPr="00A77AF6">
        <w:t xml:space="preserve">.  </w:t>
      </w:r>
      <w:r w:rsidR="009037A1" w:rsidRPr="00A77AF6">
        <w:t>Q</w:t>
      </w:r>
      <w:r w:rsidRPr="00A77AF6">
        <w:t>ualitative research tends to be based on smaller studies where the researcher has a closer relationship with the subjects</w:t>
      </w:r>
      <w:r w:rsidR="009037A1" w:rsidRPr="00A77AF6">
        <w:t xml:space="preserve"> and </w:t>
      </w:r>
      <w:r w:rsidRPr="00A77AF6">
        <w:t>data is collected through observation and</w:t>
      </w:r>
      <w:r w:rsidR="009037A1" w:rsidRPr="00A77AF6">
        <w:t xml:space="preserve">/ or interviews, </w:t>
      </w:r>
      <w:r w:rsidRPr="00A77AF6">
        <w:t xml:space="preserve">the subject can influence the assumptions of the researcher </w:t>
      </w:r>
      <w:r w:rsidR="009037A1" w:rsidRPr="00A77AF6">
        <w:t>and vice versa, the research is</w:t>
      </w:r>
      <w:r w:rsidR="00476DDF" w:rsidRPr="00A77AF6">
        <w:t xml:space="preserve"> therefore</w:t>
      </w:r>
      <w:r w:rsidR="009037A1" w:rsidRPr="00A77AF6">
        <w:t xml:space="preserve"> mo</w:t>
      </w:r>
      <w:r w:rsidRPr="00A77AF6">
        <w:t>re difficult to replicate.</w:t>
      </w:r>
      <w:r w:rsidR="009037A1" w:rsidRPr="00A77AF6">
        <w:t xml:space="preserve"> </w:t>
      </w:r>
      <w:r w:rsidR="00EE1CAF" w:rsidRPr="00A77AF6">
        <w:t>Yin (</w:t>
      </w:r>
      <w:r w:rsidRPr="00A77AF6">
        <w:t>2003</w:t>
      </w:r>
      <w:r w:rsidR="00EE1CAF" w:rsidRPr="00A77AF6">
        <w:t>)</w:t>
      </w:r>
      <w:r w:rsidRPr="00A77AF6">
        <w:t xml:space="preserve"> argue</w:t>
      </w:r>
      <w:r w:rsidR="00476DDF" w:rsidRPr="00A77AF6">
        <w:t>d</w:t>
      </w:r>
      <w:r w:rsidRPr="00A77AF6">
        <w:t xml:space="preserve"> that this ca</w:t>
      </w:r>
      <w:r w:rsidR="00AC4E9D" w:rsidRPr="00A77AF6">
        <w:t>n be overcome to some extent by developing ‘</w:t>
      </w:r>
      <w:r w:rsidRPr="00A77AF6">
        <w:t>consistent findings, over multiple cases or even multiple studies</w:t>
      </w:r>
      <w:r w:rsidR="00AC4E9D" w:rsidRPr="00A77AF6">
        <w:t xml:space="preserve">’ which can provide strong findings. </w:t>
      </w:r>
      <w:r w:rsidR="00184FEF" w:rsidRPr="00A77AF6">
        <w:rPr>
          <w:color w:val="FF0000"/>
        </w:rPr>
        <w:t xml:space="preserve"> </w:t>
      </w:r>
      <w:r w:rsidR="00184FEF" w:rsidRPr="00A77AF6">
        <w:t>Y</w:t>
      </w:r>
      <w:r w:rsidRPr="00A77AF6">
        <w:t xml:space="preserve">in </w:t>
      </w:r>
      <w:r w:rsidR="00AC4E9D" w:rsidRPr="00A77AF6">
        <w:t>(</w:t>
      </w:r>
      <w:r w:rsidRPr="00A77AF6">
        <w:t>2003</w:t>
      </w:r>
      <w:r w:rsidR="00AC4E9D" w:rsidRPr="00A77AF6">
        <w:t>)</w:t>
      </w:r>
      <w:r w:rsidRPr="00A77AF6">
        <w:t xml:space="preserve"> </w:t>
      </w:r>
      <w:r w:rsidR="00AC4E9D" w:rsidRPr="00A77AF6">
        <w:t xml:space="preserve">noted </w:t>
      </w:r>
      <w:r w:rsidRPr="00A77AF6">
        <w:t>the unfavourable comparison of qualitative and quantitative</w:t>
      </w:r>
      <w:r w:rsidR="00AC4E9D" w:rsidRPr="00A77AF6">
        <w:t xml:space="preserve"> data:</w:t>
      </w:r>
    </w:p>
    <w:p w14:paraId="79F44A67" w14:textId="649DC6A3" w:rsidR="00BD2750" w:rsidRPr="00A77AF6" w:rsidRDefault="00BD2750" w:rsidP="00476DDF">
      <w:pPr>
        <w:spacing w:line="240" w:lineRule="auto"/>
        <w:ind w:left="720"/>
      </w:pPr>
      <w:r w:rsidRPr="00A77AF6">
        <w:t>‘</w:t>
      </w:r>
      <w:r w:rsidRPr="00A77AF6">
        <w:rPr>
          <w:i/>
        </w:rPr>
        <w:t>Qualitative research, including case studies is characterised as being “soft” social science, dealing with inadequate evidence.  Quantitative research is considered to be hard-nosed, data-driven, outcome orientated, and truly scientific.’</w:t>
      </w:r>
      <w:r w:rsidRPr="00A77AF6">
        <w:t xml:space="preserve"> </w:t>
      </w:r>
      <w:sdt>
        <w:sdtPr>
          <w:id w:val="-1598786871"/>
          <w:citation/>
        </w:sdtPr>
        <w:sdtEndPr/>
        <w:sdtContent>
          <w:r w:rsidRPr="00A77AF6">
            <w:fldChar w:fldCharType="begin"/>
          </w:r>
          <w:r w:rsidRPr="00A77AF6">
            <w:instrText xml:space="preserve">CITATION Yin03 \p 33 \l 2057 </w:instrText>
          </w:r>
          <w:r w:rsidRPr="00A77AF6">
            <w:fldChar w:fldCharType="separate"/>
          </w:r>
          <w:r w:rsidR="008E653F" w:rsidRPr="00A77AF6">
            <w:t>(Yin, 2003, p. 33)</w:t>
          </w:r>
          <w:r w:rsidRPr="00A77AF6">
            <w:fldChar w:fldCharType="end"/>
          </w:r>
        </w:sdtContent>
      </w:sdt>
      <w:r w:rsidRPr="00A77AF6">
        <w:t xml:space="preserve">.  </w:t>
      </w:r>
    </w:p>
    <w:p w14:paraId="2BD74F39" w14:textId="139E3FF8" w:rsidR="00BD2750" w:rsidRPr="00A77AF6" w:rsidRDefault="00BD2750" w:rsidP="003055F4">
      <w:pPr>
        <w:spacing w:after="0" w:line="360" w:lineRule="auto"/>
      </w:pPr>
      <w:r w:rsidRPr="00A77AF6">
        <w:t>However, Yin (2</w:t>
      </w:r>
      <w:r w:rsidR="00AC4E9D" w:rsidRPr="00A77AF6">
        <w:t>0</w:t>
      </w:r>
      <w:r w:rsidRPr="00A77AF6">
        <w:t>03) argue</w:t>
      </w:r>
      <w:r w:rsidR="00AC4E9D" w:rsidRPr="00A77AF6">
        <w:t>d</w:t>
      </w:r>
      <w:r w:rsidRPr="00A77AF6">
        <w:t xml:space="preserve"> that the debate about the difference between quantitative and qualitative data i</w:t>
      </w:r>
      <w:r w:rsidR="00476DDF" w:rsidRPr="00A77AF6">
        <w:t>s</w:t>
      </w:r>
      <w:r w:rsidRPr="00A77AF6">
        <w:t xml:space="preserve"> ultimately unproductive and that </w:t>
      </w:r>
      <w:r w:rsidR="009F4A65" w:rsidRPr="00A77AF6">
        <w:t xml:space="preserve">all </w:t>
      </w:r>
      <w:r w:rsidRPr="00A77AF6">
        <w:t>data quality is achieved through competent research</w:t>
      </w:r>
    </w:p>
    <w:p w14:paraId="7E0716A5" w14:textId="45654786" w:rsidR="00BD2750" w:rsidRPr="00A77AF6" w:rsidRDefault="00BD2750" w:rsidP="00476DDF">
      <w:pPr>
        <w:spacing w:after="240" w:line="240" w:lineRule="auto"/>
        <w:ind w:left="720"/>
      </w:pPr>
      <w:r w:rsidRPr="00A77AF6">
        <w:rPr>
          <w:i/>
        </w:rPr>
        <w:t>‘Qualitative research also can be hard-nosed, data driven, outcome-orientated, and truly scientific. Similarly, quantitative research can be soft because of inappropriate numbers; it may be based on inadequate evidence.  These are the attributes of good a</w:t>
      </w:r>
      <w:r w:rsidR="00ED029E" w:rsidRPr="00A77AF6">
        <w:rPr>
          <w:i/>
        </w:rPr>
        <w:t>nd</w:t>
      </w:r>
      <w:r w:rsidRPr="00A77AF6">
        <w:rPr>
          <w:i/>
        </w:rPr>
        <w:t xml:space="preserve"> poor research and not of a dichotomy between two different types of research</w:t>
      </w:r>
      <w:r w:rsidRPr="00A77AF6">
        <w:t xml:space="preserve"> </w:t>
      </w:r>
      <w:sdt>
        <w:sdtPr>
          <w:id w:val="377284790"/>
          <w:citation/>
        </w:sdtPr>
        <w:sdtEndPr/>
        <w:sdtContent>
          <w:r w:rsidRPr="00A77AF6">
            <w:fldChar w:fldCharType="begin"/>
          </w:r>
          <w:r w:rsidRPr="00A77AF6">
            <w:instrText xml:space="preserve">CITATION Yin03 \p 33 \l 2057 </w:instrText>
          </w:r>
          <w:r w:rsidRPr="00A77AF6">
            <w:fldChar w:fldCharType="separate"/>
          </w:r>
          <w:r w:rsidR="008E653F" w:rsidRPr="00A77AF6">
            <w:t>(Yin, 2003, p. 33)</w:t>
          </w:r>
          <w:r w:rsidRPr="00A77AF6">
            <w:fldChar w:fldCharType="end"/>
          </w:r>
        </w:sdtContent>
      </w:sdt>
    </w:p>
    <w:p w14:paraId="287A0D5C" w14:textId="1FED77AF" w:rsidR="0012048B" w:rsidRPr="00A77AF6" w:rsidRDefault="00AC4E9D" w:rsidP="003055F4">
      <w:pPr>
        <w:spacing w:line="360" w:lineRule="auto"/>
      </w:pPr>
      <w:r w:rsidRPr="00A77AF6">
        <w:t>In summary, q</w:t>
      </w:r>
      <w:r w:rsidR="00E6547B" w:rsidRPr="00A77AF6">
        <w:t>ualitative research has some significant strengths and is widely used in the social sciences.  It challenges the assumption that the quantitative methodology is always suitable for research in the natural sciences and social sciences</w:t>
      </w:r>
      <w:r w:rsidRPr="00A77AF6">
        <w:t xml:space="preserve"> and </w:t>
      </w:r>
      <w:r w:rsidR="00E6547B" w:rsidRPr="00A77AF6">
        <w:t xml:space="preserve">has its roots in the view that the world is something that </w:t>
      </w:r>
      <w:r w:rsidRPr="00A77AF6">
        <w:t>must</w:t>
      </w:r>
      <w:r w:rsidR="00E6547B" w:rsidRPr="00A77AF6">
        <w:t xml:space="preserve"> be </w:t>
      </w:r>
      <w:r w:rsidR="00565AB4" w:rsidRPr="00A77AF6">
        <w:t>interpreted,</w:t>
      </w:r>
      <w:r w:rsidR="00E6547B" w:rsidRPr="00A77AF6">
        <w:t xml:space="preserve"> and that language and reality are closely linked. People have subjective views of their experiences and the meaning</w:t>
      </w:r>
      <w:r w:rsidR="00EE1CAF" w:rsidRPr="00A77AF6">
        <w:t>s</w:t>
      </w:r>
      <w:r w:rsidR="00E6547B" w:rsidRPr="00A77AF6">
        <w:t xml:space="preserve"> </w:t>
      </w:r>
      <w:r w:rsidR="009F4A65" w:rsidRPr="00A77AF6">
        <w:t>may be</w:t>
      </w:r>
      <w:r w:rsidR="00E6547B" w:rsidRPr="00A77AF6">
        <w:t xml:space="preserve"> diverse </w:t>
      </w:r>
      <w:r w:rsidR="00EE1CAF" w:rsidRPr="00A77AF6">
        <w:t>which permits the</w:t>
      </w:r>
      <w:r w:rsidR="00E6547B" w:rsidRPr="00A77AF6">
        <w:t xml:space="preserve"> researcher ‘to look for complexity of views rather than narrowing meaning to a few categories or ideas’ </w:t>
      </w:r>
      <w:sdt>
        <w:sdtPr>
          <w:id w:val="-1110816050"/>
          <w:citation/>
        </w:sdtPr>
        <w:sdtEndPr/>
        <w:sdtContent>
          <w:r w:rsidR="00E6547B" w:rsidRPr="00A77AF6">
            <w:fldChar w:fldCharType="begin"/>
          </w:r>
          <w:r w:rsidR="00E6547B" w:rsidRPr="00A77AF6">
            <w:instrText xml:space="preserve">CITATION Cre09 \p 8 \l 2057 </w:instrText>
          </w:r>
          <w:r w:rsidR="00E6547B" w:rsidRPr="00A77AF6">
            <w:fldChar w:fldCharType="separate"/>
          </w:r>
          <w:r w:rsidR="008E653F" w:rsidRPr="00A77AF6">
            <w:t>(Creswell, 2009, p. 8)</w:t>
          </w:r>
          <w:r w:rsidR="00E6547B" w:rsidRPr="00A77AF6">
            <w:fldChar w:fldCharType="end"/>
          </w:r>
        </w:sdtContent>
      </w:sdt>
      <w:r w:rsidR="00E6547B" w:rsidRPr="00A77AF6">
        <w:t xml:space="preserve">. Its epistemological underpinning is that reality </w:t>
      </w:r>
      <w:r w:rsidRPr="00A77AF6">
        <w:t>is</w:t>
      </w:r>
      <w:r w:rsidR="00E6547B" w:rsidRPr="00A77AF6">
        <w:t xml:space="preserve"> interpreted or constructed rather than discovered by the researcher who in the process recognises that their own experiences and place in society influences the way that they interpret data and takes account of this.  </w:t>
      </w:r>
      <w:r w:rsidRPr="00A77AF6">
        <w:t xml:space="preserve">Its weaknesses are </w:t>
      </w:r>
      <w:r w:rsidR="0012048B" w:rsidRPr="00A77AF6">
        <w:t xml:space="preserve">the difficulty in generalising results, replicability of research and the possibility of bias because of the close involvement of the researcher with research subjects.  </w:t>
      </w:r>
    </w:p>
    <w:p w14:paraId="1F2179B0" w14:textId="78AC88A6" w:rsidR="009E48D6" w:rsidRPr="00A77AF6" w:rsidRDefault="009E48D6" w:rsidP="000D619C">
      <w:pPr>
        <w:spacing w:line="360" w:lineRule="auto"/>
      </w:pPr>
      <w:r w:rsidRPr="00A77AF6">
        <w:lastRenderedPageBreak/>
        <w:t xml:space="preserve">The next section discusses mixed methods, which employs quantitative and qualitative approaches. </w:t>
      </w:r>
    </w:p>
    <w:p w14:paraId="618914BB" w14:textId="645826D7" w:rsidR="0086768E" w:rsidRPr="00A77AF6" w:rsidRDefault="0086768E" w:rsidP="00B90FB7">
      <w:pPr>
        <w:pStyle w:val="Heading3"/>
        <w:spacing w:after="120"/>
      </w:pPr>
      <w:bookmarkStart w:id="114" w:name="_Toc36275096"/>
      <w:r w:rsidRPr="00A77AF6">
        <w:t xml:space="preserve">Mixed </w:t>
      </w:r>
      <w:r w:rsidR="00632AF2" w:rsidRPr="00A77AF6">
        <w:t>m</w:t>
      </w:r>
      <w:r w:rsidRPr="00A77AF6">
        <w:t>ethods</w:t>
      </w:r>
      <w:bookmarkEnd w:id="114"/>
    </w:p>
    <w:p w14:paraId="3849B043" w14:textId="4591B2A5" w:rsidR="009F4A65" w:rsidRPr="00A77AF6" w:rsidRDefault="00CF6928" w:rsidP="006B687E">
      <w:pPr>
        <w:spacing w:after="0" w:line="360" w:lineRule="auto"/>
      </w:pPr>
      <w:r w:rsidRPr="00A77AF6">
        <w:t>Th</w:t>
      </w:r>
      <w:r w:rsidR="0086768E" w:rsidRPr="00A77AF6">
        <w:t xml:space="preserve">e advantage and disadvantages of quantitative and qualitative research can </w:t>
      </w:r>
      <w:r w:rsidRPr="00A77AF6">
        <w:t>make it difficult for researchers to know which method to use</w:t>
      </w:r>
      <w:r w:rsidR="008734CC" w:rsidRPr="00A77AF6">
        <w:t xml:space="preserve">. </w:t>
      </w:r>
      <w:r w:rsidRPr="00A77AF6">
        <w:t xml:space="preserve">Creswell (2009), </w:t>
      </w:r>
      <w:r w:rsidR="009F4A65" w:rsidRPr="00A77AF6">
        <w:t xml:space="preserve">Dainty (2008) </w:t>
      </w:r>
      <w:r w:rsidRPr="00A77AF6">
        <w:t>and</w:t>
      </w:r>
      <w:r w:rsidR="009F4A65" w:rsidRPr="00A77AF6">
        <w:t xml:space="preserve"> Mingers (1997)</w:t>
      </w:r>
      <w:r w:rsidRPr="00A77AF6">
        <w:t xml:space="preserve"> </w:t>
      </w:r>
      <w:r w:rsidR="009F4A65" w:rsidRPr="00A77AF6">
        <w:t>make</w:t>
      </w:r>
      <w:r w:rsidRPr="00A77AF6">
        <w:t xml:space="preserve"> the case for a multimethodology approach and they offer this as a way of enhancing both more traditional approaches. In this way, they argue that the often the polarised </w:t>
      </w:r>
      <w:r w:rsidR="00222FDE" w:rsidRPr="00A77AF6">
        <w:t>ontological</w:t>
      </w:r>
      <w:r w:rsidRPr="00A77AF6">
        <w:t xml:space="preserve"> positions can be bridged. </w:t>
      </w:r>
      <w:r w:rsidR="005E22C5">
        <w:t xml:space="preserve"> </w:t>
      </w:r>
      <w:r w:rsidR="0086768E" w:rsidRPr="00A77AF6">
        <w:t>Creswell (2009) argue</w:t>
      </w:r>
      <w:r w:rsidR="00222FDE" w:rsidRPr="00A77AF6">
        <w:t>d</w:t>
      </w:r>
      <w:r w:rsidR="0086768E" w:rsidRPr="00A77AF6">
        <w:t xml:space="preserve"> that</w:t>
      </w:r>
      <w:r w:rsidR="008734CC" w:rsidRPr="00A77AF6">
        <w:t>, rather than two methodologies</w:t>
      </w:r>
      <w:r w:rsidR="0086768E" w:rsidRPr="00A77AF6">
        <w:t xml:space="preserve"> there are three</w:t>
      </w:r>
      <w:r w:rsidR="00217881" w:rsidRPr="00A77AF6">
        <w:t xml:space="preserve"> which can be used by researchers</w:t>
      </w:r>
      <w:r w:rsidR="008734CC" w:rsidRPr="00A77AF6">
        <w:t xml:space="preserve">: </w:t>
      </w:r>
      <w:r w:rsidR="0086768E" w:rsidRPr="00A77AF6">
        <w:t>qualitative, quantitative and mixed methods</w:t>
      </w:r>
      <w:r w:rsidR="008734CC" w:rsidRPr="00A77AF6">
        <w:t>.  A</w:t>
      </w:r>
      <w:r w:rsidR="00B751E2" w:rsidRPr="00A77AF6">
        <w:t>lthough the</w:t>
      </w:r>
      <w:r w:rsidR="0086768E" w:rsidRPr="00A77AF6">
        <w:t xml:space="preserve"> debate between the two ontological and epistemological positions </w:t>
      </w:r>
      <w:r w:rsidR="00B751E2" w:rsidRPr="00A77AF6">
        <w:t>has been</w:t>
      </w:r>
      <w:r w:rsidR="0086768E" w:rsidRPr="00A77AF6">
        <w:t xml:space="preserve"> presented as dichotomous</w:t>
      </w:r>
      <w:r w:rsidR="008734CC" w:rsidRPr="00A77AF6">
        <w:t>, Bryman (1988) argued</w:t>
      </w:r>
      <w:r w:rsidR="0086768E" w:rsidRPr="00A77AF6">
        <w:t xml:space="preserve"> that this is to exaggerate the differences</w:t>
      </w:r>
      <w:r w:rsidR="008734CC" w:rsidRPr="00A77AF6">
        <w:t>. Creswell (2009) argued</w:t>
      </w:r>
      <w:r w:rsidR="0086768E" w:rsidRPr="00A77AF6">
        <w:t xml:space="preserve"> that the mixed methods approach is more than</w:t>
      </w:r>
    </w:p>
    <w:p w14:paraId="6796A24E" w14:textId="77D67937" w:rsidR="0086768E" w:rsidRPr="00A77AF6" w:rsidRDefault="0086768E" w:rsidP="009F4A65">
      <w:pPr>
        <w:spacing w:line="240" w:lineRule="auto"/>
        <w:ind w:left="720"/>
      </w:pPr>
      <w:r w:rsidRPr="00A77AF6">
        <w:rPr>
          <w:i/>
          <w:iCs/>
        </w:rPr>
        <w:t>‘simply collecting and analysing both kinds of data: it also involves the use of both approaches in tandem so that the overall strength of the study is greater than either qualitative or quantitative research’</w:t>
      </w:r>
      <w:r w:rsidRPr="00A77AF6">
        <w:t xml:space="preserve"> (Creswell &amp; Plano Clark 2007 cited in Creswell 2009 </w:t>
      </w:r>
      <w:r w:rsidR="00BE1DB4">
        <w:t xml:space="preserve"> </w:t>
      </w:r>
      <w:r w:rsidRPr="00A77AF6">
        <w:t>p</w:t>
      </w:r>
      <w:r w:rsidR="00BE1DB4">
        <w:t xml:space="preserve">. </w:t>
      </w:r>
      <w:r w:rsidRPr="00A77AF6">
        <w:t xml:space="preserve">4). </w:t>
      </w:r>
    </w:p>
    <w:p w14:paraId="6112D6E9" w14:textId="71614BCE" w:rsidR="003055F4" w:rsidRPr="00A77AF6" w:rsidRDefault="00B751E2" w:rsidP="003055F4">
      <w:pPr>
        <w:spacing w:line="360" w:lineRule="auto"/>
      </w:pPr>
      <w:r w:rsidRPr="00A77AF6">
        <w:t xml:space="preserve">Mixed methods </w:t>
      </w:r>
      <w:r w:rsidR="005D5C47" w:rsidRPr="00A77AF6">
        <w:t>are</w:t>
      </w:r>
      <w:r w:rsidRPr="00A77AF6">
        <w:t xml:space="preserve"> a way of</w:t>
      </w:r>
      <w:r w:rsidR="009F4A65" w:rsidRPr="00A77AF6">
        <w:t xml:space="preserve"> </w:t>
      </w:r>
      <w:r w:rsidRPr="00A77AF6">
        <w:t xml:space="preserve">collecting, </w:t>
      </w:r>
      <w:r w:rsidR="009F4A65" w:rsidRPr="00A77AF6">
        <w:t>analysing</w:t>
      </w:r>
      <w:r w:rsidRPr="00A77AF6">
        <w:t xml:space="preserve"> and interpreting </w:t>
      </w:r>
      <w:r w:rsidR="009F4A65" w:rsidRPr="00A77AF6">
        <w:t xml:space="preserve"> different types of</w:t>
      </w:r>
      <w:r w:rsidRPr="00A77AF6">
        <w:t xml:space="preserve"> quantitative and qualitative data </w:t>
      </w:r>
      <w:sdt>
        <w:sdtPr>
          <w:id w:val="765040100"/>
          <w:citation/>
        </w:sdtPr>
        <w:sdtEndPr/>
        <w:sdtContent>
          <w:r w:rsidRPr="00A77AF6">
            <w:fldChar w:fldCharType="begin"/>
          </w:r>
          <w:r w:rsidRPr="00A77AF6">
            <w:instrText xml:space="preserve"> CITATION Cre072 \l 2057 </w:instrText>
          </w:r>
          <w:r w:rsidRPr="00A77AF6">
            <w:fldChar w:fldCharType="separate"/>
          </w:r>
          <w:r w:rsidR="008E653F" w:rsidRPr="00A77AF6">
            <w:t>(Creswell, 2007)</w:t>
          </w:r>
          <w:r w:rsidRPr="00A77AF6">
            <w:fldChar w:fldCharType="end"/>
          </w:r>
        </w:sdtContent>
      </w:sdt>
      <w:r w:rsidRPr="00A77AF6">
        <w:t xml:space="preserve"> </w:t>
      </w:r>
      <w:r w:rsidR="009F4A65" w:rsidRPr="00A77AF6">
        <w:t>to take</w:t>
      </w:r>
      <w:r w:rsidRPr="00A77AF6">
        <w:t xml:space="preserve"> advantage of the strengths of each. The characteristics of mixed methods are: the collection and analysis of quantitative and qualitative data, the use of rigorous quantitative and qualitative methods and the combination or integration of quantitative and qualitative data and the interpretation of this integration </w:t>
      </w:r>
      <w:sdt>
        <w:sdtPr>
          <w:id w:val="1165364365"/>
          <w:citation/>
        </w:sdtPr>
        <w:sdtEndPr/>
        <w:sdtContent>
          <w:r w:rsidRPr="00A77AF6">
            <w:fldChar w:fldCharType="begin"/>
          </w:r>
          <w:r w:rsidR="00452BF0" w:rsidRPr="00A77AF6">
            <w:instrText xml:space="preserve">CITATION Joh15 \l 2057 </w:instrText>
          </w:r>
          <w:r w:rsidRPr="00A77AF6">
            <w:fldChar w:fldCharType="separate"/>
          </w:r>
          <w:r w:rsidR="008E653F" w:rsidRPr="00A77AF6">
            <w:t>(Creswell, 2015)</w:t>
          </w:r>
          <w:r w:rsidRPr="00A77AF6">
            <w:fldChar w:fldCharType="end"/>
          </w:r>
        </w:sdtContent>
      </w:sdt>
      <w:r w:rsidRPr="00A77AF6">
        <w:t xml:space="preserve">. </w:t>
      </w:r>
      <w:r w:rsidR="00475D01" w:rsidRPr="00A77AF6">
        <w:t xml:space="preserve"> </w:t>
      </w:r>
      <w:r w:rsidR="00452BF0" w:rsidRPr="00A77AF6">
        <w:t>The m</w:t>
      </w:r>
      <w:r w:rsidRPr="00A77AF6">
        <w:t xml:space="preserve">ixed methods </w:t>
      </w:r>
      <w:r w:rsidR="00452BF0" w:rsidRPr="00A77AF6">
        <w:t xml:space="preserve">approach </w:t>
      </w:r>
      <w:r w:rsidRPr="00A77AF6">
        <w:t xml:space="preserve">has </w:t>
      </w:r>
      <w:r w:rsidR="00202F41" w:rsidRPr="00A77AF6">
        <w:t xml:space="preserve">four </w:t>
      </w:r>
      <w:r w:rsidRPr="00A77AF6">
        <w:t>designs: the convergent design,</w:t>
      </w:r>
      <w:r w:rsidR="005D5C47" w:rsidRPr="00A77AF6">
        <w:t xml:space="preserve"> the exploratory sequential design</w:t>
      </w:r>
      <w:r w:rsidR="00202F41" w:rsidRPr="00A77AF6">
        <w:t>, sequential transformative</w:t>
      </w:r>
      <w:r w:rsidR="005D5C47" w:rsidRPr="00A77AF6">
        <w:t xml:space="preserve"> and the</w:t>
      </w:r>
      <w:r w:rsidRPr="00A77AF6">
        <w:t xml:space="preserve"> explanatory sequential design. </w:t>
      </w:r>
      <w:r w:rsidR="003055F4" w:rsidRPr="00A77AF6">
        <w:t>C</w:t>
      </w:r>
      <w:r w:rsidR="00452BF0" w:rsidRPr="00A77AF6">
        <w:t xml:space="preserve">onvergent design </w:t>
      </w:r>
      <w:r w:rsidR="004B6E21" w:rsidRPr="00A77AF6">
        <w:t xml:space="preserve">(Figure </w:t>
      </w:r>
      <w:r w:rsidR="009F4A65" w:rsidRPr="00A77AF6">
        <w:t>5-1</w:t>
      </w:r>
      <w:r w:rsidR="004B6E21" w:rsidRPr="00A77AF6">
        <w:t xml:space="preserve">) </w:t>
      </w:r>
      <w:r w:rsidR="00452BF0" w:rsidRPr="00A77AF6">
        <w:t xml:space="preserve">involves the separate collection and </w:t>
      </w:r>
      <w:r w:rsidR="00DE4651" w:rsidRPr="00A77AF6">
        <w:t xml:space="preserve">analysis of </w:t>
      </w:r>
      <w:r w:rsidR="00525F99" w:rsidRPr="00A77AF6">
        <w:t>qualitative and q</w:t>
      </w:r>
      <w:r w:rsidR="00452BF0" w:rsidRPr="00A77AF6">
        <w:t>uantitative data</w:t>
      </w:r>
      <w:r w:rsidR="00525F99" w:rsidRPr="00A77AF6">
        <w:t xml:space="preserve"> which are merged together and analysed </w:t>
      </w:r>
      <w:sdt>
        <w:sdtPr>
          <w:id w:val="-661084035"/>
          <w:citation/>
        </w:sdtPr>
        <w:sdtEndPr/>
        <w:sdtContent>
          <w:r w:rsidR="00DE4651" w:rsidRPr="00A77AF6">
            <w:fldChar w:fldCharType="begin"/>
          </w:r>
          <w:r w:rsidR="00DE4651" w:rsidRPr="00A77AF6">
            <w:instrText xml:space="preserve">CITATION Joh15 \l 2057 </w:instrText>
          </w:r>
          <w:r w:rsidR="00DE4651" w:rsidRPr="00A77AF6">
            <w:fldChar w:fldCharType="separate"/>
          </w:r>
          <w:r w:rsidR="008E653F" w:rsidRPr="00A77AF6">
            <w:t>(Creswell, 2015)</w:t>
          </w:r>
          <w:r w:rsidR="00DE4651" w:rsidRPr="00A77AF6">
            <w:fldChar w:fldCharType="end"/>
          </w:r>
        </w:sdtContent>
      </w:sdt>
      <w:r w:rsidR="00DE4651" w:rsidRPr="00A77AF6">
        <w:t>.</w:t>
      </w:r>
    </w:p>
    <w:p w14:paraId="05C4CAF6" w14:textId="5D80E228" w:rsidR="003055F4" w:rsidRPr="00A77AF6" w:rsidRDefault="003055F4"/>
    <w:p w14:paraId="34710B3F" w14:textId="6FC94D3F" w:rsidR="003055F4" w:rsidRPr="00A77AF6" w:rsidRDefault="003055F4"/>
    <w:p w14:paraId="18A5502B" w14:textId="190132DA" w:rsidR="003055F4" w:rsidRPr="00A77AF6" w:rsidRDefault="003055F4"/>
    <w:p w14:paraId="5E0895A2" w14:textId="07612490" w:rsidR="003055F4" w:rsidRPr="00A77AF6" w:rsidRDefault="003055F4"/>
    <w:p w14:paraId="34C46647" w14:textId="5B2478EC" w:rsidR="000D619C" w:rsidRPr="00A77AF6" w:rsidRDefault="000D619C"/>
    <w:p w14:paraId="213FD006" w14:textId="77777777" w:rsidR="009F4A65" w:rsidRPr="00A77AF6" w:rsidRDefault="009F4A65"/>
    <w:p w14:paraId="1F1517E1" w14:textId="77777777" w:rsidR="00E6547B" w:rsidRPr="00A77AF6" w:rsidRDefault="00E6547B" w:rsidP="003055F4">
      <w:pPr>
        <w:spacing w:line="360" w:lineRule="auto"/>
      </w:pPr>
    </w:p>
    <w:p w14:paraId="286AF66A" w14:textId="77777777" w:rsidR="00DC0992" w:rsidRDefault="00DC0992" w:rsidP="00194221"/>
    <w:p w14:paraId="68D481E3" w14:textId="58B4BAB1" w:rsidR="00194221" w:rsidRPr="00A77AF6" w:rsidRDefault="00194221" w:rsidP="00194221">
      <w:r w:rsidRPr="00A77AF6">
        <w:rPr>
          <w:noProof/>
        </w:rPr>
        <w:lastRenderedPageBreak/>
        <mc:AlternateContent>
          <mc:Choice Requires="wps">
            <w:drawing>
              <wp:anchor distT="0" distB="0" distL="114300" distR="114300" simplePos="0" relativeHeight="251830784" behindDoc="0" locked="0" layoutInCell="1" allowOverlap="1" wp14:anchorId="76FB03A3" wp14:editId="20605410">
                <wp:simplePos x="0" y="0"/>
                <wp:positionH relativeFrom="column">
                  <wp:posOffset>2715895</wp:posOffset>
                </wp:positionH>
                <wp:positionV relativeFrom="paragraph">
                  <wp:posOffset>98688</wp:posOffset>
                </wp:positionV>
                <wp:extent cx="1271752" cy="746234"/>
                <wp:effectExtent l="0" t="0" r="24130" b="15875"/>
                <wp:wrapNone/>
                <wp:docPr id="12349" name="Rectangle 12349"/>
                <wp:cNvGraphicFramePr/>
                <a:graphic xmlns:a="http://schemas.openxmlformats.org/drawingml/2006/main">
                  <a:graphicData uri="http://schemas.microsoft.com/office/word/2010/wordprocessingShape">
                    <wps:wsp>
                      <wps:cNvSpPr/>
                      <wps:spPr>
                        <a:xfrm>
                          <a:off x="0" y="0"/>
                          <a:ext cx="1271752" cy="746234"/>
                        </a:xfrm>
                        <a:prstGeom prst="rect">
                          <a:avLst/>
                        </a:prstGeom>
                      </wps:spPr>
                      <wps:style>
                        <a:lnRef idx="2">
                          <a:schemeClr val="dk1"/>
                        </a:lnRef>
                        <a:fillRef idx="1">
                          <a:schemeClr val="lt1"/>
                        </a:fillRef>
                        <a:effectRef idx="0">
                          <a:schemeClr val="dk1"/>
                        </a:effectRef>
                        <a:fontRef idx="minor">
                          <a:schemeClr val="dk1"/>
                        </a:fontRef>
                      </wps:style>
                      <wps:txbx>
                        <w:txbxContent>
                          <w:p w14:paraId="0CDD8AA8" w14:textId="27043613" w:rsidR="009C0325" w:rsidRDefault="009C0325" w:rsidP="00194221">
                            <w:pPr>
                              <w:jc w:val="center"/>
                            </w:pPr>
                            <w:r>
                              <w:t xml:space="preserve">Quantitative Data Collection and Analysis </w:t>
                            </w:r>
                          </w:p>
                          <w:p w14:paraId="6C3EC433" w14:textId="77777777" w:rsidR="009C0325" w:rsidRDefault="009C0325" w:rsidP="001942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FB03A3" id="Rectangle 12349" o:spid="_x0000_s1064" style="position:absolute;margin-left:213.85pt;margin-top:7.75pt;width:100.15pt;height:58.75pt;z-index:25183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" fillcolor="white [3201]" strokecolor="black [3200]" strokeweight="1pt">
                <v:textbox>
                  <w:txbxContent>
                    <w:p w14:paraId="0CDD8AA8" w14:textId="27043613" w:rsidR="009C0325" w:rsidRDefault="009C0325" w:rsidP="00194221">
                      <w:pPr>
                        <w:jc w:val="center"/>
                      </w:pPr>
                      <w:r>
                        <w:t xml:space="preserve">Quantitative Data Collection and Analysis </w:t>
                      </w:r>
                    </w:p>
                    <w:p w14:paraId="6C3EC433" w14:textId="77777777" w:rsidR="009C0325" w:rsidRDefault="009C0325" w:rsidP="00194221">
                      <w:pPr>
                        <w:jc w:val="center"/>
                      </w:pPr>
                    </w:p>
                  </w:txbxContent>
                </v:textbox>
              </v:rect>
            </w:pict>
          </mc:Fallback>
        </mc:AlternateContent>
      </w:r>
      <w:r w:rsidRPr="00A77AF6">
        <w:rPr>
          <w:noProof/>
        </w:rPr>
        <mc:AlternateContent>
          <mc:Choice Requires="wps">
            <w:drawing>
              <wp:anchor distT="0" distB="0" distL="114300" distR="114300" simplePos="0" relativeHeight="251825664" behindDoc="0" locked="0" layoutInCell="1" allowOverlap="1" wp14:anchorId="6DFA6969" wp14:editId="2A85A635">
                <wp:simplePos x="0" y="0"/>
                <wp:positionH relativeFrom="column">
                  <wp:posOffset>356870</wp:posOffset>
                </wp:positionH>
                <wp:positionV relativeFrom="paragraph">
                  <wp:posOffset>94067</wp:posOffset>
                </wp:positionV>
                <wp:extent cx="1271752" cy="746234"/>
                <wp:effectExtent l="0" t="0" r="24130" b="15875"/>
                <wp:wrapNone/>
                <wp:docPr id="243" name="Rectangle 243"/>
                <wp:cNvGraphicFramePr/>
                <a:graphic xmlns:a="http://schemas.openxmlformats.org/drawingml/2006/main">
                  <a:graphicData uri="http://schemas.microsoft.com/office/word/2010/wordprocessingShape">
                    <wps:wsp>
                      <wps:cNvSpPr/>
                      <wps:spPr>
                        <a:xfrm>
                          <a:off x="0" y="0"/>
                          <a:ext cx="1271752" cy="746234"/>
                        </a:xfrm>
                        <a:prstGeom prst="rect">
                          <a:avLst/>
                        </a:prstGeom>
                      </wps:spPr>
                      <wps:style>
                        <a:lnRef idx="2">
                          <a:schemeClr val="dk1"/>
                        </a:lnRef>
                        <a:fillRef idx="1">
                          <a:schemeClr val="lt1"/>
                        </a:fillRef>
                        <a:effectRef idx="0">
                          <a:schemeClr val="dk1"/>
                        </a:effectRef>
                        <a:fontRef idx="minor">
                          <a:schemeClr val="dk1"/>
                        </a:fontRef>
                      </wps:style>
                      <wps:txbx>
                        <w:txbxContent>
                          <w:p w14:paraId="1C504102" w14:textId="4A6FDE4E" w:rsidR="009C0325" w:rsidRDefault="009C0325" w:rsidP="00194221">
                            <w:pPr>
                              <w:jc w:val="center"/>
                            </w:pPr>
                            <w:r>
                              <w:t xml:space="preserve">Qualitative Data Collection and Analysis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FA6969" id="Rectangle 243" o:spid="_x0000_s1065" style="position:absolute;margin-left:28.1pt;margin-top:7.4pt;width:100.15pt;height:58.75pt;z-index:25182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" fillcolor="white [3201]" strokecolor="black [3200]" strokeweight="1pt">
                <v:textbox>
                  <w:txbxContent>
                    <w:p w14:paraId="1C504102" w14:textId="4A6FDE4E" w:rsidR="009C0325" w:rsidRDefault="009C0325" w:rsidP="00194221">
                      <w:pPr>
                        <w:jc w:val="center"/>
                      </w:pPr>
                      <w:r>
                        <w:t xml:space="preserve">Qualitative Data Collection and Analysis </w:t>
                      </w:r>
                    </w:p>
                  </w:txbxContent>
                </v:textbox>
              </v:rect>
            </w:pict>
          </mc:Fallback>
        </mc:AlternateContent>
      </w:r>
    </w:p>
    <w:p w14:paraId="63349978" w14:textId="0199DCAF" w:rsidR="00194221" w:rsidRPr="00A77AF6" w:rsidRDefault="00194221" w:rsidP="00194221"/>
    <w:p w14:paraId="6BB3D906" w14:textId="0223CDC0" w:rsidR="00194221" w:rsidRPr="00A77AF6" w:rsidRDefault="0090418A" w:rsidP="00194221">
      <w:r w:rsidRPr="00A77AF6">
        <w:rPr>
          <w:noProof/>
        </w:rPr>
        <mc:AlternateContent>
          <mc:Choice Requires="wps">
            <w:drawing>
              <wp:anchor distT="0" distB="0" distL="114300" distR="114300" simplePos="0" relativeHeight="251846144" behindDoc="0" locked="0" layoutInCell="1" allowOverlap="1" wp14:anchorId="5BC870E4" wp14:editId="6446022A">
                <wp:simplePos x="0" y="0"/>
                <wp:positionH relativeFrom="column">
                  <wp:posOffset>1166834</wp:posOffset>
                </wp:positionH>
                <wp:positionV relativeFrom="paragraph">
                  <wp:posOffset>267064</wp:posOffset>
                </wp:positionV>
                <wp:extent cx="398834" cy="377825"/>
                <wp:effectExtent l="0" t="0" r="58420" b="60325"/>
                <wp:wrapNone/>
                <wp:docPr id="40" name="Straight Arrow Connector 40"/>
                <wp:cNvGraphicFramePr/>
                <a:graphic xmlns:a="http://schemas.openxmlformats.org/drawingml/2006/main">
                  <a:graphicData uri="http://schemas.microsoft.com/office/word/2010/wordprocessingShape">
                    <wps:wsp>
                      <wps:cNvCnPr/>
                      <wps:spPr>
                        <a:xfrm>
                          <a:off x="0" y="0"/>
                          <a:ext cx="398834" cy="377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8C6110" id="Straight Arrow Connector 40" o:spid="_x0000_s1026" type="#_x0000_t32" style="position:absolute;margin-left:91.9pt;margin-top:21.05pt;width:31.4pt;height:29.7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" strokecolor="black [3200]" strokeweight=".5pt">
                <v:stroke endarrow="block" joinstyle="miter"/>
              </v:shape>
            </w:pict>
          </mc:Fallback>
        </mc:AlternateContent>
      </w:r>
      <w:r w:rsidR="009843F4" w:rsidRPr="00A77AF6">
        <w:rPr>
          <w:noProof/>
        </w:rPr>
        <mc:AlternateContent>
          <mc:Choice Requires="wps">
            <w:drawing>
              <wp:anchor distT="0" distB="0" distL="114300" distR="114300" simplePos="0" relativeHeight="251851264" behindDoc="0" locked="0" layoutInCell="1" allowOverlap="1" wp14:anchorId="50A9061D" wp14:editId="6CCDE6F6">
                <wp:simplePos x="0" y="0"/>
                <wp:positionH relativeFrom="column">
                  <wp:posOffset>2654913</wp:posOffset>
                </wp:positionH>
                <wp:positionV relativeFrom="paragraph">
                  <wp:posOffset>269526</wp:posOffset>
                </wp:positionV>
                <wp:extent cx="420370" cy="378306"/>
                <wp:effectExtent l="38100" t="0" r="17780" b="60325"/>
                <wp:wrapNone/>
                <wp:docPr id="45" name="Straight Arrow Connector 45"/>
                <wp:cNvGraphicFramePr/>
                <a:graphic xmlns:a="http://schemas.openxmlformats.org/drawingml/2006/main">
                  <a:graphicData uri="http://schemas.microsoft.com/office/word/2010/wordprocessingShape">
                    <wps:wsp>
                      <wps:cNvCnPr/>
                      <wps:spPr>
                        <a:xfrm flipH="1">
                          <a:off x="0" y="0"/>
                          <a:ext cx="420370" cy="3783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FE0F5F7" id="Straight Arrow Connector 45" o:spid="_x0000_s1026" type="#_x0000_t32" style="position:absolute;margin-left:209.05pt;margin-top:21.2pt;width:33.1pt;height:29.8pt;flip:x;z-index:25185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" strokecolor="black [3200]" strokeweight=".5pt">
                <v:stroke endarrow="block" joinstyle="miter"/>
              </v:shape>
            </w:pict>
          </mc:Fallback>
        </mc:AlternateContent>
      </w:r>
      <w:r w:rsidR="00194221" w:rsidRPr="00A77AF6">
        <w:rPr>
          <w:noProof/>
        </w:rPr>
        <mc:AlternateContent>
          <mc:Choice Requires="wps">
            <w:drawing>
              <wp:anchor distT="45720" distB="45720" distL="114300" distR="114300" simplePos="0" relativeHeight="251861504" behindDoc="0" locked="0" layoutInCell="1" allowOverlap="1" wp14:anchorId="52EE9A8F" wp14:editId="3222662D">
                <wp:simplePos x="0" y="0"/>
                <wp:positionH relativeFrom="column">
                  <wp:posOffset>1807320</wp:posOffset>
                </wp:positionH>
                <wp:positionV relativeFrom="paragraph">
                  <wp:posOffset>59777</wp:posOffset>
                </wp:positionV>
                <wp:extent cx="725170" cy="262255"/>
                <wp:effectExtent l="0" t="0" r="0" b="4445"/>
                <wp:wrapSquare wrapText="bothSides"/>
                <wp:docPr id="12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262255"/>
                        </a:xfrm>
                        <a:prstGeom prst="rect">
                          <a:avLst/>
                        </a:prstGeom>
                        <a:solidFill>
                          <a:srgbClr val="FFFFFF"/>
                        </a:solidFill>
                        <a:ln w="9525">
                          <a:noFill/>
                          <a:miter lim="800000"/>
                          <a:headEnd/>
                          <a:tailEnd/>
                        </a:ln>
                      </wps:spPr>
                      <wps:txbx>
                        <w:txbxContent>
                          <w:p w14:paraId="3F16B4F0" w14:textId="16285F27" w:rsidR="009C0325" w:rsidRDefault="009C0325">
                            <w:r>
                              <w:t>Phase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E9A8F" id="_x0000_s1066" type="#_x0000_t202" style="position:absolute;margin-left:142.3pt;margin-top:4.7pt;width:57.1pt;height:20.65pt;z-index:25186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" stroked="f">
                <v:textbox>
                  <w:txbxContent>
                    <w:p w14:paraId="3F16B4F0" w14:textId="16285F27" w:rsidR="009C0325" w:rsidRDefault="009C0325">
                      <w:r>
                        <w:t>Phase 1</w:t>
                      </w:r>
                    </w:p>
                  </w:txbxContent>
                </v:textbox>
                <w10:wrap type="square"/>
              </v:shape>
            </w:pict>
          </mc:Fallback>
        </mc:AlternateContent>
      </w:r>
    </w:p>
    <w:p w14:paraId="3D4EF501" w14:textId="1265AB94" w:rsidR="00194221" w:rsidRPr="00A77AF6" w:rsidRDefault="00194221" w:rsidP="00194221">
      <w:r w:rsidRPr="00A77AF6">
        <w:rPr>
          <w:noProof/>
        </w:rPr>
        <mc:AlternateContent>
          <mc:Choice Requires="wps">
            <w:drawing>
              <wp:anchor distT="0" distB="0" distL="114300" distR="114300" simplePos="0" relativeHeight="251841024" behindDoc="0" locked="0" layoutInCell="1" allowOverlap="1" wp14:anchorId="6F1A7684" wp14:editId="6CB69B18">
                <wp:simplePos x="0" y="0"/>
                <wp:positionH relativeFrom="column">
                  <wp:posOffset>1423802</wp:posOffset>
                </wp:positionH>
                <wp:positionV relativeFrom="paragraph">
                  <wp:posOffset>209725</wp:posOffset>
                </wp:positionV>
                <wp:extent cx="1387365" cy="767255"/>
                <wp:effectExtent l="0" t="0" r="22860" b="13970"/>
                <wp:wrapNone/>
                <wp:docPr id="39" name="Oval 39"/>
                <wp:cNvGraphicFramePr/>
                <a:graphic xmlns:a="http://schemas.openxmlformats.org/drawingml/2006/main">
                  <a:graphicData uri="http://schemas.microsoft.com/office/word/2010/wordprocessingShape">
                    <wps:wsp>
                      <wps:cNvSpPr/>
                      <wps:spPr>
                        <a:xfrm>
                          <a:off x="0" y="0"/>
                          <a:ext cx="1387365" cy="767255"/>
                        </a:xfrm>
                        <a:prstGeom prst="ellipse">
                          <a:avLst/>
                        </a:prstGeom>
                      </wps:spPr>
                      <wps:style>
                        <a:lnRef idx="2">
                          <a:schemeClr val="dk1"/>
                        </a:lnRef>
                        <a:fillRef idx="1">
                          <a:schemeClr val="lt1"/>
                        </a:fillRef>
                        <a:effectRef idx="0">
                          <a:schemeClr val="dk1"/>
                        </a:effectRef>
                        <a:fontRef idx="minor">
                          <a:schemeClr val="dk1"/>
                        </a:fontRef>
                      </wps:style>
                      <wps:txbx>
                        <w:txbxContent>
                          <w:p w14:paraId="679B4D5E" w14:textId="21EEEDBE" w:rsidR="009C0325" w:rsidRDefault="009C0325" w:rsidP="00194221">
                            <w:pPr>
                              <w:jc w:val="center"/>
                            </w:pPr>
                            <w:r>
                              <w:t>Merge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1A7684" id="Oval 39" o:spid="_x0000_s1067" style="position:absolute;margin-left:112.1pt;margin-top:16.5pt;width:109.25pt;height:60.4pt;z-index:25184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" fillcolor="white [3201]" strokecolor="black [3200]" strokeweight="1pt">
                <v:stroke joinstyle="miter"/>
                <v:textbox>
                  <w:txbxContent>
                    <w:p w14:paraId="679B4D5E" w14:textId="21EEEDBE" w:rsidR="009C0325" w:rsidRDefault="009C0325" w:rsidP="00194221">
                      <w:pPr>
                        <w:jc w:val="center"/>
                      </w:pPr>
                      <w:r>
                        <w:t>Merge</w:t>
                      </w:r>
                    </w:p>
                  </w:txbxContent>
                </v:textbox>
              </v:oval>
            </w:pict>
          </mc:Fallback>
        </mc:AlternateContent>
      </w:r>
    </w:p>
    <w:p w14:paraId="5ABCBE53" w14:textId="65A874BE" w:rsidR="00194221" w:rsidRPr="00A77AF6" w:rsidRDefault="00194221" w:rsidP="00194221"/>
    <w:p w14:paraId="0EB7DD8A" w14:textId="371B05CF" w:rsidR="00194221" w:rsidRPr="00A77AF6" w:rsidRDefault="00194221" w:rsidP="00194221"/>
    <w:p w14:paraId="1D51F044" w14:textId="2ED36E2D" w:rsidR="00194221" w:rsidRPr="00A77AF6" w:rsidRDefault="00194221" w:rsidP="00194221">
      <w:r w:rsidRPr="00A77AF6">
        <w:rPr>
          <w:noProof/>
        </w:rPr>
        <mc:AlternateContent>
          <mc:Choice Requires="wps">
            <w:drawing>
              <wp:anchor distT="0" distB="0" distL="114300" distR="114300" simplePos="0" relativeHeight="251856384" behindDoc="0" locked="0" layoutInCell="1" allowOverlap="1" wp14:anchorId="75BBCDEE" wp14:editId="3468E440">
                <wp:simplePos x="0" y="0"/>
                <wp:positionH relativeFrom="column">
                  <wp:posOffset>2101653</wp:posOffset>
                </wp:positionH>
                <wp:positionV relativeFrom="paragraph">
                  <wp:posOffset>114300</wp:posOffset>
                </wp:positionV>
                <wp:extent cx="0" cy="357527"/>
                <wp:effectExtent l="76200" t="0" r="76200" b="61595"/>
                <wp:wrapNone/>
                <wp:docPr id="47" name="Straight Arrow Connector 47"/>
                <wp:cNvGraphicFramePr/>
                <a:graphic xmlns:a="http://schemas.openxmlformats.org/drawingml/2006/main">
                  <a:graphicData uri="http://schemas.microsoft.com/office/word/2010/wordprocessingShape">
                    <wps:wsp>
                      <wps:cNvCnPr/>
                      <wps:spPr>
                        <a:xfrm>
                          <a:off x="0" y="0"/>
                          <a:ext cx="0" cy="3575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524BEA" id="Straight Arrow Connector 47" o:spid="_x0000_s1026" type="#_x0000_t32" style="position:absolute;margin-left:165.5pt;margin-top:9pt;width:0;height:28.15pt;z-index:25185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" strokecolor="black [3200]" strokeweight=".5pt">
                <v:stroke endarrow="block" joinstyle="miter"/>
              </v:shape>
            </w:pict>
          </mc:Fallback>
        </mc:AlternateContent>
      </w:r>
    </w:p>
    <w:p w14:paraId="6BDBD937" w14:textId="464D73F8" w:rsidR="00194221" w:rsidRPr="00A77AF6" w:rsidRDefault="00194221" w:rsidP="00194221">
      <w:r w:rsidRPr="00A77AF6">
        <w:rPr>
          <w:noProof/>
        </w:rPr>
        <mc:AlternateContent>
          <mc:Choice Requires="wps">
            <w:drawing>
              <wp:anchor distT="0" distB="0" distL="114300" distR="114300" simplePos="0" relativeHeight="251835904" behindDoc="0" locked="0" layoutInCell="1" allowOverlap="1" wp14:anchorId="0C69EE10" wp14:editId="370940E5">
                <wp:simplePos x="0" y="0"/>
                <wp:positionH relativeFrom="column">
                  <wp:posOffset>1418546</wp:posOffset>
                </wp:positionH>
                <wp:positionV relativeFrom="paragraph">
                  <wp:posOffset>186537</wp:posOffset>
                </wp:positionV>
                <wp:extent cx="1387365" cy="767255"/>
                <wp:effectExtent l="0" t="0" r="22860" b="13970"/>
                <wp:wrapNone/>
                <wp:docPr id="37" name="Oval 37"/>
                <wp:cNvGraphicFramePr/>
                <a:graphic xmlns:a="http://schemas.openxmlformats.org/drawingml/2006/main">
                  <a:graphicData uri="http://schemas.microsoft.com/office/word/2010/wordprocessingShape">
                    <wps:wsp>
                      <wps:cNvSpPr/>
                      <wps:spPr>
                        <a:xfrm>
                          <a:off x="0" y="0"/>
                          <a:ext cx="1387365" cy="767255"/>
                        </a:xfrm>
                        <a:prstGeom prst="ellipse">
                          <a:avLst/>
                        </a:prstGeom>
                      </wps:spPr>
                      <wps:style>
                        <a:lnRef idx="2">
                          <a:schemeClr val="dk1"/>
                        </a:lnRef>
                        <a:fillRef idx="1">
                          <a:schemeClr val="lt1"/>
                        </a:fillRef>
                        <a:effectRef idx="0">
                          <a:schemeClr val="dk1"/>
                        </a:effectRef>
                        <a:fontRef idx="minor">
                          <a:schemeClr val="dk1"/>
                        </a:fontRef>
                      </wps:style>
                      <wps:txbx>
                        <w:txbxContent>
                          <w:p w14:paraId="662359A7" w14:textId="2098EC84" w:rsidR="009C0325" w:rsidRPr="00194221" w:rsidRDefault="009C0325" w:rsidP="00194221">
                            <w:pPr>
                              <w:jc w:val="center"/>
                              <w:rPr>
                                <w:sz w:val="21"/>
                                <w:szCs w:val="21"/>
                              </w:rPr>
                            </w:pPr>
                            <w:r w:rsidRPr="00194221">
                              <w:rPr>
                                <w:sz w:val="21"/>
                                <w:szCs w:val="21"/>
                              </w:rPr>
                              <w:t xml:space="preserve">Interpretation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69EE10" id="Oval 37" o:spid="_x0000_s1068" style="position:absolute;margin-left:111.7pt;margin-top:14.7pt;width:109.25pt;height:60.4pt;z-index:25183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" fillcolor="white [3201]" strokecolor="black [3200]" strokeweight="1pt">
                <v:stroke joinstyle="miter"/>
                <v:textbox>
                  <w:txbxContent>
                    <w:p w14:paraId="662359A7" w14:textId="2098EC84" w:rsidR="009C0325" w:rsidRPr="00194221" w:rsidRDefault="009C0325" w:rsidP="00194221">
                      <w:pPr>
                        <w:jc w:val="center"/>
                        <w:rPr>
                          <w:sz w:val="21"/>
                          <w:szCs w:val="21"/>
                        </w:rPr>
                      </w:pPr>
                      <w:r w:rsidRPr="00194221">
                        <w:rPr>
                          <w:sz w:val="21"/>
                          <w:szCs w:val="21"/>
                        </w:rPr>
                        <w:t xml:space="preserve">Interpretation </w:t>
                      </w:r>
                    </w:p>
                  </w:txbxContent>
                </v:textbox>
              </v:oval>
            </w:pict>
          </mc:Fallback>
        </mc:AlternateContent>
      </w:r>
    </w:p>
    <w:p w14:paraId="7EF44244" w14:textId="7B9F2668" w:rsidR="00194221" w:rsidRPr="00A77AF6" w:rsidRDefault="00194221" w:rsidP="00194221"/>
    <w:p w14:paraId="23915FCA" w14:textId="77777777" w:rsidR="00194221" w:rsidRPr="00A77AF6" w:rsidRDefault="00194221" w:rsidP="00194221"/>
    <w:p w14:paraId="15E676FB" w14:textId="456F2884" w:rsidR="00194221" w:rsidRPr="00A77AF6" w:rsidRDefault="00194221" w:rsidP="00194221"/>
    <w:p w14:paraId="6A6A3D8D" w14:textId="32A86E61" w:rsidR="0007452B" w:rsidRPr="00A77AF6" w:rsidRDefault="0007452B" w:rsidP="0007452B">
      <w:pPr>
        <w:pStyle w:val="Caption"/>
        <w:spacing w:after="120"/>
      </w:pPr>
      <w:bookmarkStart w:id="115" w:name="_Toc526967353"/>
      <w:bookmarkStart w:id="116" w:name="_Toc36186975"/>
      <w:r w:rsidRPr="00A77AF6">
        <w:t xml:space="preserve">Figure </w:t>
      </w:r>
      <w:fldSimple w:instr=" STYLEREF 1 \s ">
        <w:r w:rsidR="000441F7">
          <w:rPr>
            <w:noProof/>
          </w:rPr>
          <w:t>5</w:t>
        </w:r>
      </w:fldSimple>
      <w:r w:rsidR="00BA5DC4">
        <w:noBreakHyphen/>
      </w:r>
      <w:fldSimple w:instr=" SEQ Figure \* ARABIC \s 1 ">
        <w:r w:rsidR="000441F7">
          <w:rPr>
            <w:noProof/>
          </w:rPr>
          <w:t>1</w:t>
        </w:r>
      </w:fldSimple>
      <w:r w:rsidRPr="00A77AF6">
        <w:t>: Convergent Design</w:t>
      </w:r>
      <w:bookmarkEnd w:id="115"/>
      <w:r w:rsidRPr="00A77AF6">
        <w:t xml:space="preserve"> in Mixed Methods</w:t>
      </w:r>
      <w:bookmarkEnd w:id="116"/>
    </w:p>
    <w:p w14:paraId="78E0C2AA" w14:textId="5D7C284C" w:rsidR="00977167" w:rsidRPr="00A77AF6" w:rsidRDefault="009F4A65" w:rsidP="003055F4">
      <w:pPr>
        <w:spacing w:after="360"/>
        <w:rPr>
          <w:sz w:val="20"/>
        </w:rPr>
      </w:pPr>
      <w:r w:rsidRPr="00A77AF6">
        <w:rPr>
          <w:sz w:val="20"/>
        </w:rPr>
        <w:t>Source: a</w:t>
      </w:r>
      <w:r w:rsidR="00194221" w:rsidRPr="00A77AF6">
        <w:rPr>
          <w:sz w:val="20"/>
        </w:rPr>
        <w:t>dapted from</w:t>
      </w:r>
      <w:r w:rsidR="00977167" w:rsidRPr="00A77AF6">
        <w:rPr>
          <w:sz w:val="20"/>
        </w:rPr>
        <w:t xml:space="preserve"> Creswell, 2015 p</w:t>
      </w:r>
      <w:r w:rsidR="00461471" w:rsidRPr="00A77AF6">
        <w:rPr>
          <w:sz w:val="20"/>
        </w:rPr>
        <w:t xml:space="preserve">. </w:t>
      </w:r>
      <w:r w:rsidR="00977167" w:rsidRPr="00A77AF6">
        <w:rPr>
          <w:sz w:val="20"/>
        </w:rPr>
        <w:t>37</w:t>
      </w:r>
    </w:p>
    <w:p w14:paraId="24FB421F" w14:textId="14DFE06D" w:rsidR="003055F4" w:rsidRPr="00A77AF6" w:rsidRDefault="005D5C47" w:rsidP="003055F4">
      <w:pPr>
        <w:spacing w:line="360" w:lineRule="auto"/>
      </w:pPr>
      <w:r w:rsidRPr="00A77AF6">
        <w:t xml:space="preserve">The </w:t>
      </w:r>
      <w:r w:rsidR="00475D01" w:rsidRPr="00A77AF6">
        <w:t xml:space="preserve">second </w:t>
      </w:r>
      <w:r w:rsidRPr="00A77AF6">
        <w:t>type of design</w:t>
      </w:r>
      <w:r w:rsidR="00475D01" w:rsidRPr="00A77AF6">
        <w:t xml:space="preserve"> </w:t>
      </w:r>
      <w:r w:rsidRPr="00A77AF6">
        <w:t xml:space="preserve">is the </w:t>
      </w:r>
      <w:r w:rsidR="00475D01" w:rsidRPr="00A77AF6">
        <w:t xml:space="preserve">sequential </w:t>
      </w:r>
      <w:r w:rsidRPr="00A77AF6">
        <w:t>explanatory design</w:t>
      </w:r>
      <w:r w:rsidR="00977167" w:rsidRPr="00A77AF6">
        <w:t xml:space="preserve"> (Figure</w:t>
      </w:r>
      <w:r w:rsidR="009F4A65" w:rsidRPr="00A77AF6">
        <w:t xml:space="preserve"> </w:t>
      </w:r>
      <w:r w:rsidR="00525F99" w:rsidRPr="00A77AF6">
        <w:t>5</w:t>
      </w:r>
      <w:r w:rsidR="009F4A65" w:rsidRPr="00A77AF6">
        <w:t>-2</w:t>
      </w:r>
      <w:r w:rsidR="00977167" w:rsidRPr="00A77AF6">
        <w:t>). In t</w:t>
      </w:r>
      <w:r w:rsidR="009D757A" w:rsidRPr="00A77AF6">
        <w:t>h</w:t>
      </w:r>
      <w:r w:rsidR="00977167" w:rsidRPr="00A77AF6">
        <w:t xml:space="preserve">is approach a problem is </w:t>
      </w:r>
      <w:r w:rsidRPr="00A77AF6">
        <w:t>researche</w:t>
      </w:r>
      <w:r w:rsidR="00977167" w:rsidRPr="00A77AF6">
        <w:t xml:space="preserve">d </w:t>
      </w:r>
      <w:r w:rsidRPr="00A77AF6">
        <w:t>by collecting and analysing quantitative data, then collecting</w:t>
      </w:r>
      <w:r w:rsidR="00977167" w:rsidRPr="00A77AF6">
        <w:t xml:space="preserve"> and analysing</w:t>
      </w:r>
      <w:r w:rsidRPr="00A77AF6">
        <w:t xml:space="preserve"> qualitative data to help explain the results of the quantitative research.  Creswell (2015) argues that this has the advantage of two distinct stages which can build, one on the other.  The difficulties associated with this method, are the length of time a sequential study takes to complete and </w:t>
      </w:r>
      <w:r w:rsidR="00475D01" w:rsidRPr="00A77AF6">
        <w:t xml:space="preserve">how to </w:t>
      </w:r>
      <w:r w:rsidRPr="00A77AF6">
        <w:t>determin</w:t>
      </w:r>
      <w:r w:rsidR="00475D01" w:rsidRPr="00A77AF6">
        <w:t>e</w:t>
      </w:r>
      <w:r w:rsidRPr="00A77AF6">
        <w:t xml:space="preserve"> which results from the quantitative </w:t>
      </w:r>
      <w:r w:rsidR="00475D01" w:rsidRPr="00A77AF6">
        <w:t>phase</w:t>
      </w:r>
      <w:r w:rsidRPr="00A77AF6">
        <w:t xml:space="preserve"> need exploration in the qualitative </w:t>
      </w:r>
      <w:r w:rsidR="00475D01" w:rsidRPr="00A77AF6">
        <w:t>phase</w:t>
      </w:r>
      <w:r w:rsidR="00977167" w:rsidRPr="00A77AF6">
        <w:t xml:space="preserve"> (Creswell, 2015)</w:t>
      </w:r>
      <w:r w:rsidRPr="00A77AF6">
        <w:t xml:space="preserve">.  </w:t>
      </w:r>
      <w:r w:rsidR="00475D01" w:rsidRPr="00A77AF6">
        <w:t xml:space="preserve">The third type of design is the sequential exploratory design (Figure </w:t>
      </w:r>
      <w:r w:rsidR="009F4A65" w:rsidRPr="00A77AF6">
        <w:t>5-2</w:t>
      </w:r>
      <w:r w:rsidR="00475D01" w:rsidRPr="00A77AF6">
        <w:t xml:space="preserve">).  In this </w:t>
      </w:r>
      <w:r w:rsidR="00B24BBD" w:rsidRPr="00A77AF6">
        <w:t>approach, a problem</w:t>
      </w:r>
      <w:r w:rsidR="00475D01" w:rsidRPr="00A77AF6">
        <w:t xml:space="preserve"> is first studied by collecting and analysing qualitative data. The qualitative results are then used to develop a new quantitative data collection tool.   The whole of the analysis is then interpreted.  </w:t>
      </w:r>
    </w:p>
    <w:p w14:paraId="41D2083F" w14:textId="77777777" w:rsidR="003055F4" w:rsidRPr="00A77AF6" w:rsidRDefault="003055F4">
      <w:r w:rsidRPr="00A77AF6">
        <w:br w:type="page"/>
      </w:r>
    </w:p>
    <w:p w14:paraId="2F2D5E05" w14:textId="7A7CB683" w:rsidR="00E543FB" w:rsidRPr="00A77AF6" w:rsidRDefault="00E543FB" w:rsidP="00E543FB">
      <w:r w:rsidRPr="00A77AF6">
        <w:rPr>
          <w:noProof/>
          <w:lang w:eastAsia="en-GB"/>
        </w:rPr>
        <w:lastRenderedPageBreak/>
        <w:drawing>
          <wp:inline distT="0" distB="0" distL="0" distR="0" wp14:anchorId="1D72B17C" wp14:editId="6D8D938F">
            <wp:extent cx="5499476" cy="1905000"/>
            <wp:effectExtent l="0" t="0" r="6350" b="0"/>
            <wp:docPr id="12361" name="Picture 1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2862" t="37677" r="36165" b="43249"/>
                    <a:stretch/>
                  </pic:blipFill>
                  <pic:spPr bwMode="auto">
                    <a:xfrm>
                      <a:off x="0" y="0"/>
                      <a:ext cx="5499476" cy="1905000"/>
                    </a:xfrm>
                    <a:prstGeom prst="rect">
                      <a:avLst/>
                    </a:prstGeom>
                    <a:ln>
                      <a:noFill/>
                    </a:ln>
                    <a:extLst>
                      <a:ext uri="{53640926-AAD7-44D8-BBD7-CCE9431645EC}">
                        <a14:shadowObscured xmlns:a14="http://schemas.microsoft.com/office/drawing/2010/main"/>
                      </a:ext>
                    </a:extLst>
                  </pic:spPr>
                </pic:pic>
              </a:graphicData>
            </a:graphic>
          </wp:inline>
        </w:drawing>
      </w:r>
    </w:p>
    <w:p w14:paraId="730794D9" w14:textId="7D38ECAB" w:rsidR="0007452B" w:rsidRPr="00A77AF6" w:rsidRDefault="0007452B" w:rsidP="0007452B">
      <w:pPr>
        <w:pStyle w:val="Caption"/>
        <w:spacing w:after="120"/>
      </w:pPr>
      <w:bookmarkStart w:id="117" w:name="_Toc36186976"/>
      <w:bookmarkStart w:id="118" w:name="_Toc526967354"/>
      <w:r w:rsidRPr="00A77AF6">
        <w:t xml:space="preserve">Figure </w:t>
      </w:r>
      <w:fldSimple w:instr=" STYLEREF 1 \s ">
        <w:r w:rsidR="000441F7">
          <w:rPr>
            <w:noProof/>
          </w:rPr>
          <w:t>5</w:t>
        </w:r>
      </w:fldSimple>
      <w:r w:rsidR="00BA5DC4">
        <w:noBreakHyphen/>
      </w:r>
      <w:fldSimple w:instr=" SEQ Figure \* ARABIC \s 1 ">
        <w:r w:rsidR="000441F7">
          <w:rPr>
            <w:noProof/>
          </w:rPr>
          <w:t>2</w:t>
        </w:r>
      </w:fldSimple>
      <w:r w:rsidRPr="00A77AF6">
        <w:t>: Sequential Explanatory designs in Mixed Methods</w:t>
      </w:r>
      <w:bookmarkEnd w:id="117"/>
      <w:r w:rsidRPr="00A77AF6">
        <w:t xml:space="preserve">  </w:t>
      </w:r>
      <w:bookmarkEnd w:id="118"/>
    </w:p>
    <w:p w14:paraId="68210957" w14:textId="777B0B63" w:rsidR="009D757A" w:rsidRPr="00A77AF6" w:rsidRDefault="009D757A" w:rsidP="009F4A65">
      <w:pPr>
        <w:spacing w:after="240"/>
        <w:rPr>
          <w:sz w:val="20"/>
        </w:rPr>
      </w:pPr>
      <w:r w:rsidRPr="00A77AF6">
        <w:rPr>
          <w:sz w:val="20"/>
        </w:rPr>
        <w:t>Source: Creswell</w:t>
      </w:r>
      <w:r w:rsidR="00F878A8" w:rsidRPr="00A77AF6">
        <w:rPr>
          <w:sz w:val="20"/>
        </w:rPr>
        <w:t xml:space="preserve"> (</w:t>
      </w:r>
      <w:r w:rsidRPr="00A77AF6">
        <w:rPr>
          <w:sz w:val="20"/>
        </w:rPr>
        <w:t>2009 p</w:t>
      </w:r>
      <w:r w:rsidR="00F878A8" w:rsidRPr="00A77AF6">
        <w:rPr>
          <w:sz w:val="20"/>
        </w:rPr>
        <w:t xml:space="preserve">. </w:t>
      </w:r>
      <w:r w:rsidRPr="00A77AF6">
        <w:rPr>
          <w:sz w:val="20"/>
        </w:rPr>
        <w:t>209</w:t>
      </w:r>
      <w:r w:rsidR="00F878A8" w:rsidRPr="00A77AF6">
        <w:rPr>
          <w:sz w:val="20"/>
        </w:rPr>
        <w:t>)</w:t>
      </w:r>
    </w:p>
    <w:p w14:paraId="355CF7D3" w14:textId="73A7658F" w:rsidR="00E6547B" w:rsidRPr="00A77AF6" w:rsidRDefault="00E6547B" w:rsidP="00B90FB7">
      <w:pPr>
        <w:pStyle w:val="Heading3"/>
        <w:spacing w:after="120"/>
      </w:pPr>
      <w:bookmarkStart w:id="119" w:name="_Toc36275097"/>
      <w:r w:rsidRPr="00A77AF6">
        <w:t>Justification for mixed methods</w:t>
      </w:r>
      <w:r w:rsidR="001F7794" w:rsidRPr="00A77AF6">
        <w:t xml:space="preserve"> adopted in the study</w:t>
      </w:r>
      <w:bookmarkEnd w:id="119"/>
    </w:p>
    <w:p w14:paraId="6706C668" w14:textId="1E8718E6" w:rsidR="002F6A67" w:rsidRPr="00A77AF6" w:rsidRDefault="002F6A67" w:rsidP="002F6A67">
      <w:pPr>
        <w:spacing w:line="360" w:lineRule="auto"/>
      </w:pPr>
      <w:r w:rsidRPr="00A77AF6">
        <w:t>Previous work on ethical predisposition has been quantitative based on surveys or vignette</w:t>
      </w:r>
      <w:r w:rsidR="009F4A65" w:rsidRPr="00A77AF6">
        <w:t>s</w:t>
      </w:r>
      <w:r w:rsidRPr="00A77AF6">
        <w:t xml:space="preserve"> to find if there were correlations between ethic</w:t>
      </w:r>
      <w:r w:rsidR="00195397" w:rsidRPr="00A77AF6">
        <w:t>al value</w:t>
      </w:r>
      <w:r w:rsidRPr="00A77AF6">
        <w:t xml:space="preserve">s and variables such as age and gender.  Research into project performance and CSF has also relied on quantitative methods.  This study added a qualitative element to try to offer explanations for findings.  </w:t>
      </w:r>
    </w:p>
    <w:p w14:paraId="1FF1767F" w14:textId="48CFC37D" w:rsidR="002F6A67" w:rsidRPr="00A77AF6" w:rsidRDefault="002A26A7" w:rsidP="002F6A67">
      <w:pPr>
        <w:spacing w:line="360" w:lineRule="auto"/>
      </w:pPr>
      <w:r w:rsidRPr="00A77AF6">
        <w:t xml:space="preserve">To answer the research </w:t>
      </w:r>
      <w:r w:rsidR="00D06F90" w:rsidRPr="00A77AF6">
        <w:t>question</w:t>
      </w:r>
      <w:r w:rsidR="002F6A67" w:rsidRPr="00A77AF6">
        <w:t>, a</w:t>
      </w:r>
      <w:r w:rsidR="008734CC" w:rsidRPr="00A77AF6">
        <w:t xml:space="preserve"> </w:t>
      </w:r>
      <w:r w:rsidR="00977167" w:rsidRPr="00A77AF6">
        <w:t>‘</w:t>
      </w:r>
      <w:r w:rsidR="008734CC" w:rsidRPr="00A77AF6">
        <w:t>sequential expl</w:t>
      </w:r>
      <w:r w:rsidR="00977167" w:rsidRPr="00A77AF6">
        <w:t>ana</w:t>
      </w:r>
      <w:r w:rsidR="008734CC" w:rsidRPr="00A77AF6">
        <w:t>tory design (a)</w:t>
      </w:r>
      <w:r w:rsidR="00977167" w:rsidRPr="00A77AF6">
        <w:t>’</w:t>
      </w:r>
      <w:r w:rsidR="002F6A67" w:rsidRPr="00A77AF6">
        <w:t xml:space="preserve"> was adopted </w:t>
      </w:r>
      <w:r w:rsidR="008734CC" w:rsidRPr="00A77AF6">
        <w:t xml:space="preserve">(Figure </w:t>
      </w:r>
      <w:r w:rsidR="00481A82" w:rsidRPr="00A77AF6">
        <w:t>5</w:t>
      </w:r>
      <w:r w:rsidR="00195397" w:rsidRPr="00A77AF6">
        <w:t>-2</w:t>
      </w:r>
      <w:r w:rsidR="008734CC" w:rsidRPr="00A77AF6">
        <w:t xml:space="preserve">).  Quantitative </w:t>
      </w:r>
      <w:r w:rsidR="002F6A67" w:rsidRPr="00A77AF6">
        <w:t xml:space="preserve">then qualitative data </w:t>
      </w:r>
      <w:r w:rsidR="008734CC" w:rsidRPr="00A77AF6">
        <w:t>was collected and analysed</w:t>
      </w:r>
      <w:r w:rsidR="002F6A67" w:rsidRPr="00A77AF6">
        <w:t>.</w:t>
      </w:r>
      <w:r w:rsidR="007736F0" w:rsidRPr="00A77AF6">
        <w:t xml:space="preserve">  </w:t>
      </w:r>
      <w:r w:rsidR="002F6A67" w:rsidRPr="00A77AF6">
        <w:t>T</w:t>
      </w:r>
      <w:r w:rsidR="007736F0" w:rsidRPr="00A77AF6">
        <w:t xml:space="preserve">his </w:t>
      </w:r>
      <w:r w:rsidR="003D7112" w:rsidRPr="00A77AF6">
        <w:t>meant the issuing of a survey</w:t>
      </w:r>
      <w:r w:rsidR="007736F0" w:rsidRPr="00A77AF6">
        <w:t>, analysis of the results</w:t>
      </w:r>
      <w:r w:rsidR="00217881" w:rsidRPr="00A77AF6">
        <w:t xml:space="preserve"> and the subsequent</w:t>
      </w:r>
      <w:r w:rsidR="007736F0" w:rsidRPr="00A77AF6">
        <w:t xml:space="preserve"> development of semi structured interview questions for use in 6 face-to-face interviews. </w:t>
      </w:r>
      <w:r w:rsidR="003055F4" w:rsidRPr="00A77AF6">
        <w:t xml:space="preserve"> </w:t>
      </w:r>
      <w:r w:rsidR="002F6A67" w:rsidRPr="00A77AF6">
        <w:t>Creswell (2009, p</w:t>
      </w:r>
      <w:r w:rsidR="00461471" w:rsidRPr="00A77AF6">
        <w:t xml:space="preserve">. </w:t>
      </w:r>
      <w:r w:rsidR="002F6A67" w:rsidRPr="00A77AF6">
        <w:t xml:space="preserve">211) argued that </w:t>
      </w:r>
    </w:p>
    <w:p w14:paraId="0D5BB14B" w14:textId="77777777" w:rsidR="002F6A67" w:rsidRPr="00A77AF6" w:rsidRDefault="002F6A67" w:rsidP="002F6A67">
      <w:pPr>
        <w:spacing w:after="240" w:line="240" w:lineRule="auto"/>
        <w:ind w:left="720"/>
      </w:pPr>
      <w:r w:rsidRPr="00A77AF6">
        <w:rPr>
          <w:i/>
        </w:rPr>
        <w:t>‘A sequential explanatory design is typically used to explain and interpret quantitative results by collecting and analyzing follow-up qualitative data.’</w:t>
      </w:r>
    </w:p>
    <w:p w14:paraId="7669D0F9" w14:textId="4294EE53" w:rsidR="00A3785B" w:rsidRPr="00A77AF6" w:rsidRDefault="002806B6" w:rsidP="002F6A67">
      <w:pPr>
        <w:spacing w:line="360" w:lineRule="auto"/>
      </w:pPr>
      <w:r w:rsidRPr="00A77AF6">
        <w:t>The m</w:t>
      </w:r>
      <w:r w:rsidR="00222FDE" w:rsidRPr="00A77AF6">
        <w:t xml:space="preserve">ixed methods </w:t>
      </w:r>
      <w:r w:rsidRPr="00A77AF6">
        <w:t xml:space="preserve">approach </w:t>
      </w:r>
      <w:r w:rsidR="00222FDE" w:rsidRPr="00A77AF6">
        <w:t xml:space="preserve">is ontologically pragmatic and </w:t>
      </w:r>
      <w:r w:rsidRPr="00A77AF6">
        <w:t xml:space="preserve">accepts that valid knowledge is both quantitative and qualitative. </w:t>
      </w:r>
      <w:r w:rsidR="002F6A67" w:rsidRPr="00A77AF6">
        <w:t xml:space="preserve"> ‘F</w:t>
      </w:r>
      <w:r w:rsidR="008A0271" w:rsidRPr="00A77AF6">
        <w:t xml:space="preserve">acts’ </w:t>
      </w:r>
      <w:r w:rsidR="004E1F69" w:rsidRPr="00A77AF6">
        <w:t>about ethical predisposition, governance and the measurement of project success</w:t>
      </w:r>
      <w:r w:rsidR="002F6A67" w:rsidRPr="00A77AF6">
        <w:t xml:space="preserve"> do not o</w:t>
      </w:r>
      <w:r w:rsidR="004E1F69" w:rsidRPr="00A77AF6">
        <w:t xml:space="preserve">n their own </w:t>
      </w:r>
      <w:r w:rsidR="002F6A67" w:rsidRPr="00A77AF6">
        <w:t xml:space="preserve">offer an explanation to explain and understand findings </w:t>
      </w:r>
      <w:r w:rsidR="006F518D">
        <w:t xml:space="preserve">therefore, </w:t>
      </w:r>
      <w:r w:rsidR="009B078D" w:rsidRPr="00A77AF6">
        <w:t xml:space="preserve">it was </w:t>
      </w:r>
      <w:r w:rsidR="004E1F69" w:rsidRPr="00A77AF6">
        <w:t xml:space="preserve">necessary to </w:t>
      </w:r>
      <w:r w:rsidR="009B078D" w:rsidRPr="00A77AF6">
        <w:t>carry out face-to-face interviews</w:t>
      </w:r>
      <w:r w:rsidR="002F6A67" w:rsidRPr="00A77AF6">
        <w:t xml:space="preserve">. Table </w:t>
      </w:r>
      <w:r w:rsidR="00195397" w:rsidRPr="00A77AF6">
        <w:t>5-2</w:t>
      </w:r>
      <w:r w:rsidR="003F4CA9" w:rsidRPr="00A77AF6">
        <w:t xml:space="preserve"> </w:t>
      </w:r>
      <w:r w:rsidR="007736F0" w:rsidRPr="00A77AF6">
        <w:t xml:space="preserve">shows how the research was apportioned between quantitative and qualitative approaches in order to </w:t>
      </w:r>
      <w:r w:rsidR="003F4CA9" w:rsidRPr="00A77AF6">
        <w:t xml:space="preserve">meet the objectives of the study. </w:t>
      </w:r>
    </w:p>
    <w:p w14:paraId="44D8218B" w14:textId="328BBBD2" w:rsidR="00D532DE" w:rsidRPr="00A77AF6" w:rsidRDefault="00D532DE" w:rsidP="002F6A67">
      <w:pPr>
        <w:spacing w:line="360" w:lineRule="auto"/>
      </w:pPr>
    </w:p>
    <w:p w14:paraId="35B13777" w14:textId="6AA99157" w:rsidR="00D532DE" w:rsidRPr="00A77AF6" w:rsidRDefault="00D532DE" w:rsidP="002F6A67">
      <w:pPr>
        <w:spacing w:line="360" w:lineRule="auto"/>
      </w:pPr>
    </w:p>
    <w:p w14:paraId="0639B0E4" w14:textId="6E43DF16" w:rsidR="00D532DE" w:rsidRPr="00A77AF6" w:rsidRDefault="00D532DE" w:rsidP="002F6A67">
      <w:pPr>
        <w:spacing w:line="360" w:lineRule="auto"/>
      </w:pPr>
    </w:p>
    <w:p w14:paraId="3CD23B0A" w14:textId="77777777" w:rsidR="00D532DE" w:rsidRPr="00A77AF6" w:rsidRDefault="00D532DE" w:rsidP="002F6A67">
      <w:pPr>
        <w:spacing w:line="360" w:lineRule="auto"/>
      </w:pPr>
    </w:p>
    <w:p w14:paraId="68B259B9" w14:textId="48A595D3" w:rsidR="00EF4948" w:rsidRPr="00A77AF6" w:rsidRDefault="00EF4948" w:rsidP="00195397">
      <w:pPr>
        <w:pStyle w:val="Caption"/>
        <w:keepNext/>
        <w:spacing w:after="120"/>
      </w:pPr>
      <w:r w:rsidRPr="00A77AF6">
        <w:lastRenderedPageBreak/>
        <w:t xml:space="preserve">Table </w:t>
      </w:r>
      <w:fldSimple w:instr=" STYLEREF 1 \s ">
        <w:r w:rsidR="000441F7">
          <w:rPr>
            <w:noProof/>
          </w:rPr>
          <w:t>5</w:t>
        </w:r>
      </w:fldSimple>
      <w:r w:rsidR="00804112">
        <w:noBreakHyphen/>
      </w:r>
      <w:fldSimple w:instr=" SEQ Table \* ARABIC \s 1 ">
        <w:r w:rsidR="000441F7">
          <w:rPr>
            <w:noProof/>
          </w:rPr>
          <w:t>2</w:t>
        </w:r>
      </w:fldSimple>
      <w:r w:rsidRPr="00A77AF6">
        <w:t xml:space="preserve"> Summary of application of mixed methods methodology</w:t>
      </w:r>
    </w:p>
    <w:tbl>
      <w:tblPr>
        <w:tblStyle w:val="TableGrid"/>
        <w:tblW w:w="0" w:type="auto"/>
        <w:tblLook w:val="04A0" w:firstRow="1" w:lastRow="0" w:firstColumn="1" w:lastColumn="0" w:noHBand="0" w:noVBand="1"/>
      </w:tblPr>
      <w:tblGrid>
        <w:gridCol w:w="1555"/>
        <w:gridCol w:w="3292"/>
        <w:gridCol w:w="3930"/>
      </w:tblGrid>
      <w:tr w:rsidR="00A17457" w:rsidRPr="00A77AF6" w14:paraId="1C55D321" w14:textId="77777777" w:rsidTr="00F878A8">
        <w:tc>
          <w:tcPr>
            <w:tcW w:w="1555" w:type="dxa"/>
            <w:shd w:val="clear" w:color="auto" w:fill="D9D9D9" w:themeFill="background1" w:themeFillShade="D9"/>
          </w:tcPr>
          <w:p w14:paraId="7DE3D892" w14:textId="77777777" w:rsidR="00A17457" w:rsidRPr="00A77AF6" w:rsidRDefault="00A17457" w:rsidP="005C07BE">
            <w:pPr>
              <w:rPr>
                <w:rFonts w:cstheme="minorHAnsi"/>
                <w:sz w:val="20"/>
                <w:szCs w:val="20"/>
              </w:rPr>
            </w:pPr>
            <w:r w:rsidRPr="00A77AF6">
              <w:rPr>
                <w:rFonts w:cstheme="minorHAnsi"/>
                <w:sz w:val="20"/>
                <w:szCs w:val="20"/>
              </w:rPr>
              <w:t>Subject</w:t>
            </w:r>
          </w:p>
        </w:tc>
        <w:tc>
          <w:tcPr>
            <w:tcW w:w="3292" w:type="dxa"/>
            <w:shd w:val="clear" w:color="auto" w:fill="D9D9D9" w:themeFill="background1" w:themeFillShade="D9"/>
          </w:tcPr>
          <w:p w14:paraId="28F850A0" w14:textId="77777777" w:rsidR="00A17457" w:rsidRPr="00A77AF6" w:rsidRDefault="00A17457" w:rsidP="005C07BE">
            <w:pPr>
              <w:rPr>
                <w:rFonts w:cstheme="minorHAnsi"/>
                <w:sz w:val="20"/>
                <w:szCs w:val="20"/>
              </w:rPr>
            </w:pPr>
            <w:r w:rsidRPr="00A77AF6">
              <w:rPr>
                <w:rFonts w:cstheme="minorHAnsi"/>
                <w:sz w:val="20"/>
                <w:szCs w:val="20"/>
              </w:rPr>
              <w:t xml:space="preserve">Research methodology and analysis </w:t>
            </w:r>
          </w:p>
        </w:tc>
        <w:tc>
          <w:tcPr>
            <w:tcW w:w="3930" w:type="dxa"/>
            <w:shd w:val="clear" w:color="auto" w:fill="D9D9D9" w:themeFill="background1" w:themeFillShade="D9"/>
          </w:tcPr>
          <w:p w14:paraId="5939E011" w14:textId="77777777" w:rsidR="00A17457" w:rsidRPr="00A77AF6" w:rsidRDefault="00A17457" w:rsidP="005C07BE">
            <w:pPr>
              <w:rPr>
                <w:rFonts w:cstheme="minorHAnsi"/>
                <w:sz w:val="20"/>
                <w:szCs w:val="20"/>
              </w:rPr>
            </w:pPr>
            <w:r w:rsidRPr="00A77AF6">
              <w:rPr>
                <w:rFonts w:cstheme="minorHAnsi"/>
                <w:sz w:val="20"/>
                <w:szCs w:val="20"/>
              </w:rPr>
              <w:t xml:space="preserve">Justification for selection </w:t>
            </w:r>
          </w:p>
        </w:tc>
      </w:tr>
      <w:tr w:rsidR="00A17457" w:rsidRPr="00A77AF6" w14:paraId="5459F9BD" w14:textId="77777777" w:rsidTr="00F878A8">
        <w:tc>
          <w:tcPr>
            <w:tcW w:w="1555" w:type="dxa"/>
          </w:tcPr>
          <w:p w14:paraId="2391627F" w14:textId="77777777" w:rsidR="00A17457" w:rsidRPr="00A77AF6" w:rsidRDefault="00A17457" w:rsidP="005C07BE">
            <w:pPr>
              <w:rPr>
                <w:rFonts w:cstheme="minorHAnsi"/>
                <w:sz w:val="20"/>
                <w:szCs w:val="20"/>
              </w:rPr>
            </w:pPr>
            <w:r w:rsidRPr="00A77AF6">
              <w:rPr>
                <w:rFonts w:cstheme="minorHAnsi"/>
                <w:sz w:val="20"/>
                <w:szCs w:val="20"/>
              </w:rPr>
              <w:t xml:space="preserve">ethical predisposition </w:t>
            </w:r>
          </w:p>
        </w:tc>
        <w:tc>
          <w:tcPr>
            <w:tcW w:w="3292" w:type="dxa"/>
          </w:tcPr>
          <w:p w14:paraId="4ECB7F8D" w14:textId="69BDB4ED" w:rsidR="005C07BE" w:rsidRPr="00A77AF6" w:rsidRDefault="00857AC0" w:rsidP="00857AC0">
            <w:pPr>
              <w:rPr>
                <w:rFonts w:cstheme="minorHAnsi"/>
                <w:sz w:val="20"/>
                <w:szCs w:val="20"/>
              </w:rPr>
            </w:pPr>
            <w:r w:rsidRPr="00A77AF6">
              <w:rPr>
                <w:rFonts w:cstheme="minorHAnsi"/>
                <w:sz w:val="20"/>
                <w:szCs w:val="20"/>
              </w:rPr>
              <w:t xml:space="preserve">Stage 1 - </w:t>
            </w:r>
            <w:r w:rsidR="00A17457" w:rsidRPr="00A77AF6">
              <w:rPr>
                <w:rFonts w:cstheme="minorHAnsi"/>
                <w:sz w:val="20"/>
                <w:szCs w:val="20"/>
              </w:rPr>
              <w:t>Quantitative.  E-survey.</w:t>
            </w:r>
          </w:p>
          <w:p w14:paraId="1812F121" w14:textId="77777777" w:rsidR="00C84571" w:rsidRPr="00A77AF6" w:rsidRDefault="00C84571" w:rsidP="005C07BE">
            <w:pPr>
              <w:rPr>
                <w:rFonts w:cstheme="minorHAnsi"/>
                <w:sz w:val="20"/>
                <w:szCs w:val="20"/>
              </w:rPr>
            </w:pPr>
          </w:p>
          <w:p w14:paraId="38D661D4" w14:textId="1E7182F5" w:rsidR="005C07BE" w:rsidRPr="00A77AF6" w:rsidRDefault="00A17457" w:rsidP="005C07BE">
            <w:pPr>
              <w:rPr>
                <w:rFonts w:cstheme="minorHAnsi"/>
                <w:sz w:val="20"/>
                <w:szCs w:val="20"/>
              </w:rPr>
            </w:pPr>
            <w:r w:rsidRPr="00A77AF6">
              <w:rPr>
                <w:rFonts w:cstheme="minorHAnsi"/>
                <w:sz w:val="20"/>
                <w:szCs w:val="20"/>
              </w:rPr>
              <w:t>Descriptive</w:t>
            </w:r>
            <w:r w:rsidR="00501899" w:rsidRPr="00A77AF6">
              <w:rPr>
                <w:rFonts w:cstheme="minorHAnsi"/>
                <w:sz w:val="20"/>
                <w:szCs w:val="20"/>
              </w:rPr>
              <w:t xml:space="preserve">: The </w:t>
            </w:r>
            <w:r w:rsidR="00900EBA" w:rsidRPr="00A77AF6">
              <w:rPr>
                <w:rFonts w:cstheme="minorHAnsi"/>
                <w:sz w:val="20"/>
                <w:szCs w:val="20"/>
              </w:rPr>
              <w:t xml:space="preserve">overall </w:t>
            </w:r>
            <w:r w:rsidR="00501899" w:rsidRPr="00A77AF6">
              <w:rPr>
                <w:rFonts w:cstheme="minorHAnsi"/>
                <w:sz w:val="20"/>
                <w:szCs w:val="20"/>
              </w:rPr>
              <w:t>number of formalists and utilitarians</w:t>
            </w:r>
            <w:r w:rsidR="00900EBA" w:rsidRPr="00A77AF6">
              <w:rPr>
                <w:rFonts w:cstheme="minorHAnsi"/>
                <w:sz w:val="20"/>
                <w:szCs w:val="20"/>
              </w:rPr>
              <w:t xml:space="preserve"> and split between age and gender</w:t>
            </w:r>
            <w:r w:rsidRPr="00A77AF6">
              <w:rPr>
                <w:rFonts w:cstheme="minorHAnsi"/>
                <w:sz w:val="20"/>
                <w:szCs w:val="20"/>
              </w:rPr>
              <w:t>.</w:t>
            </w:r>
          </w:p>
          <w:p w14:paraId="1F7916A4" w14:textId="7B004D65" w:rsidR="00792B9E" w:rsidRPr="00A77AF6" w:rsidRDefault="00792B9E" w:rsidP="005C07BE">
            <w:pPr>
              <w:rPr>
                <w:rFonts w:cstheme="minorHAnsi"/>
                <w:sz w:val="20"/>
                <w:szCs w:val="20"/>
              </w:rPr>
            </w:pPr>
          </w:p>
          <w:p w14:paraId="1B7C5CE2" w14:textId="63AEB939" w:rsidR="00A17457" w:rsidRPr="00A77AF6" w:rsidRDefault="00A17457" w:rsidP="005C07BE">
            <w:pPr>
              <w:rPr>
                <w:rFonts w:cstheme="minorHAnsi"/>
                <w:sz w:val="20"/>
                <w:szCs w:val="20"/>
              </w:rPr>
            </w:pPr>
          </w:p>
          <w:p w14:paraId="56730F96" w14:textId="77777777" w:rsidR="00740183" w:rsidRPr="00A77AF6" w:rsidRDefault="00740183" w:rsidP="00857AC0">
            <w:pPr>
              <w:rPr>
                <w:rFonts w:cstheme="minorHAnsi"/>
                <w:sz w:val="20"/>
                <w:szCs w:val="20"/>
              </w:rPr>
            </w:pPr>
          </w:p>
          <w:p w14:paraId="7E5D00F7" w14:textId="77777777" w:rsidR="00740183" w:rsidRPr="00A77AF6" w:rsidRDefault="00740183" w:rsidP="00857AC0">
            <w:pPr>
              <w:rPr>
                <w:rFonts w:cstheme="minorHAnsi"/>
                <w:sz w:val="20"/>
                <w:szCs w:val="20"/>
              </w:rPr>
            </w:pPr>
          </w:p>
          <w:p w14:paraId="17AF395E" w14:textId="1B410215" w:rsidR="00C84571" w:rsidRPr="00A77AF6" w:rsidRDefault="00857AC0" w:rsidP="00857AC0">
            <w:pPr>
              <w:rPr>
                <w:rFonts w:cstheme="minorHAnsi"/>
                <w:sz w:val="20"/>
                <w:szCs w:val="20"/>
              </w:rPr>
            </w:pPr>
            <w:r w:rsidRPr="00A77AF6">
              <w:rPr>
                <w:rFonts w:cstheme="minorHAnsi"/>
                <w:sz w:val="20"/>
                <w:szCs w:val="20"/>
              </w:rPr>
              <w:t xml:space="preserve">Stage 2 - </w:t>
            </w:r>
            <w:r w:rsidR="00C84571" w:rsidRPr="00A77AF6">
              <w:rPr>
                <w:rFonts w:cstheme="minorHAnsi"/>
                <w:sz w:val="20"/>
                <w:szCs w:val="20"/>
              </w:rPr>
              <w:t>Qualitative. Face-to-face semi-structured interviews</w:t>
            </w:r>
          </w:p>
          <w:p w14:paraId="0E8BD45E" w14:textId="77777777" w:rsidR="00C84571" w:rsidRPr="00A77AF6" w:rsidRDefault="00C84571" w:rsidP="005C07BE">
            <w:pPr>
              <w:rPr>
                <w:rFonts w:cstheme="minorHAnsi"/>
                <w:sz w:val="20"/>
                <w:szCs w:val="20"/>
              </w:rPr>
            </w:pPr>
          </w:p>
          <w:p w14:paraId="0D040D2A" w14:textId="17D93723" w:rsidR="005C07BE" w:rsidRPr="00A77AF6" w:rsidRDefault="005C07BE" w:rsidP="00195397">
            <w:pPr>
              <w:rPr>
                <w:rFonts w:cstheme="minorHAnsi"/>
                <w:sz w:val="20"/>
                <w:szCs w:val="20"/>
              </w:rPr>
            </w:pPr>
            <w:r w:rsidRPr="00A77AF6">
              <w:rPr>
                <w:rFonts w:cstheme="minorHAnsi"/>
                <w:sz w:val="20"/>
                <w:szCs w:val="20"/>
              </w:rPr>
              <w:t>Thematic coding to find out why formalism was predominant.</w:t>
            </w:r>
          </w:p>
        </w:tc>
        <w:tc>
          <w:tcPr>
            <w:tcW w:w="3930" w:type="dxa"/>
          </w:tcPr>
          <w:p w14:paraId="48F25E36" w14:textId="396158A1" w:rsidR="00900EBA" w:rsidRPr="00A77AF6" w:rsidRDefault="00A17457" w:rsidP="003D2A57">
            <w:pPr>
              <w:pStyle w:val="ListParagraph"/>
              <w:numPr>
                <w:ilvl w:val="0"/>
                <w:numId w:val="6"/>
              </w:numPr>
              <w:rPr>
                <w:rFonts w:cstheme="minorHAnsi"/>
                <w:sz w:val="20"/>
                <w:szCs w:val="20"/>
              </w:rPr>
            </w:pPr>
            <w:r w:rsidRPr="00A77AF6">
              <w:rPr>
                <w:rFonts w:cstheme="minorHAnsi"/>
                <w:sz w:val="20"/>
                <w:szCs w:val="20"/>
              </w:rPr>
              <w:t xml:space="preserve">Quantitative methodology has been used in </w:t>
            </w:r>
            <w:r w:rsidR="00857AC0" w:rsidRPr="00A77AF6">
              <w:rPr>
                <w:rFonts w:cstheme="minorHAnsi"/>
                <w:sz w:val="20"/>
                <w:szCs w:val="20"/>
              </w:rPr>
              <w:t>management</w:t>
            </w:r>
            <w:r w:rsidRPr="00A77AF6">
              <w:rPr>
                <w:rFonts w:cstheme="minorHAnsi"/>
                <w:sz w:val="20"/>
                <w:szCs w:val="20"/>
              </w:rPr>
              <w:t xml:space="preserve"> research to establish whether differences in gender, age and organisational culture affect make a difference to ethical predisposition. This study</w:t>
            </w:r>
            <w:r w:rsidR="00950A46" w:rsidRPr="00A77AF6">
              <w:rPr>
                <w:rFonts w:cstheme="minorHAnsi"/>
                <w:sz w:val="20"/>
                <w:szCs w:val="20"/>
              </w:rPr>
              <w:t xml:space="preserve"> adopted </w:t>
            </w:r>
            <w:r w:rsidRPr="00A77AF6">
              <w:rPr>
                <w:rFonts w:cstheme="minorHAnsi"/>
                <w:sz w:val="20"/>
                <w:szCs w:val="20"/>
              </w:rPr>
              <w:t>the quantitative approach</w:t>
            </w:r>
            <w:r w:rsidR="00857AC0" w:rsidRPr="00A77AF6">
              <w:rPr>
                <w:rFonts w:cstheme="minorHAnsi"/>
                <w:sz w:val="20"/>
                <w:szCs w:val="20"/>
              </w:rPr>
              <w:t xml:space="preserve"> to </w:t>
            </w:r>
            <w:r w:rsidR="00950A46" w:rsidRPr="00A77AF6">
              <w:rPr>
                <w:rFonts w:cstheme="minorHAnsi"/>
                <w:sz w:val="20"/>
                <w:szCs w:val="20"/>
              </w:rPr>
              <w:t xml:space="preserve">establish </w:t>
            </w:r>
            <w:r w:rsidR="00857AC0" w:rsidRPr="00A77AF6">
              <w:rPr>
                <w:rFonts w:cstheme="minorHAnsi"/>
                <w:sz w:val="20"/>
                <w:szCs w:val="20"/>
              </w:rPr>
              <w:t>if project personnel were formalists or utilitarians</w:t>
            </w:r>
            <w:r w:rsidR="00900EBA" w:rsidRPr="00A77AF6">
              <w:rPr>
                <w:rFonts w:cstheme="minorHAnsi"/>
                <w:sz w:val="20"/>
                <w:szCs w:val="20"/>
              </w:rPr>
              <w:t xml:space="preserve">. </w:t>
            </w:r>
            <w:r w:rsidR="00857AC0" w:rsidRPr="00A77AF6">
              <w:rPr>
                <w:rFonts w:cstheme="minorHAnsi"/>
                <w:sz w:val="20"/>
                <w:szCs w:val="20"/>
              </w:rPr>
              <w:t xml:space="preserve"> </w:t>
            </w:r>
          </w:p>
          <w:p w14:paraId="2ECEF356" w14:textId="21772C6A" w:rsidR="00A17457" w:rsidRPr="00A77AF6" w:rsidRDefault="00A17457" w:rsidP="003D2A57">
            <w:pPr>
              <w:pStyle w:val="ListParagraph"/>
              <w:numPr>
                <w:ilvl w:val="0"/>
                <w:numId w:val="6"/>
              </w:numPr>
              <w:rPr>
                <w:rFonts w:cstheme="minorHAnsi"/>
                <w:sz w:val="20"/>
                <w:szCs w:val="20"/>
              </w:rPr>
            </w:pPr>
            <w:r w:rsidRPr="00A77AF6">
              <w:rPr>
                <w:rFonts w:cstheme="minorHAnsi"/>
                <w:sz w:val="20"/>
                <w:szCs w:val="20"/>
              </w:rPr>
              <w:t xml:space="preserve">A qualitative approach </w:t>
            </w:r>
            <w:r w:rsidR="002806B6" w:rsidRPr="00A77AF6">
              <w:rPr>
                <w:rFonts w:cstheme="minorHAnsi"/>
                <w:sz w:val="20"/>
                <w:szCs w:val="20"/>
              </w:rPr>
              <w:t>explore</w:t>
            </w:r>
            <w:r w:rsidR="00950A46" w:rsidRPr="00A77AF6">
              <w:rPr>
                <w:rFonts w:cstheme="minorHAnsi"/>
                <w:sz w:val="20"/>
                <w:szCs w:val="20"/>
              </w:rPr>
              <w:t>d</w:t>
            </w:r>
            <w:r w:rsidRPr="00A77AF6">
              <w:rPr>
                <w:rFonts w:cstheme="minorHAnsi"/>
                <w:sz w:val="20"/>
                <w:szCs w:val="20"/>
              </w:rPr>
              <w:t xml:space="preserve"> why formalism was predominant</w:t>
            </w:r>
            <w:r w:rsidR="00501899" w:rsidRPr="00A77AF6">
              <w:rPr>
                <w:rFonts w:cstheme="minorHAnsi"/>
                <w:sz w:val="20"/>
                <w:szCs w:val="20"/>
              </w:rPr>
              <w:t xml:space="preserve">. </w:t>
            </w:r>
            <w:r w:rsidRPr="00A77AF6">
              <w:rPr>
                <w:rFonts w:cstheme="minorHAnsi"/>
                <w:sz w:val="20"/>
                <w:szCs w:val="20"/>
              </w:rPr>
              <w:t xml:space="preserve">Previous research has not qualitatively explored why people have </w:t>
            </w:r>
            <w:r w:rsidR="00950A46" w:rsidRPr="00A77AF6">
              <w:rPr>
                <w:rFonts w:cstheme="minorHAnsi"/>
                <w:sz w:val="20"/>
                <w:szCs w:val="20"/>
              </w:rPr>
              <w:t xml:space="preserve">a </w:t>
            </w:r>
            <w:r w:rsidR="00434810" w:rsidRPr="00A77AF6">
              <w:rPr>
                <w:rFonts w:cstheme="minorHAnsi"/>
                <w:sz w:val="20"/>
                <w:szCs w:val="20"/>
              </w:rPr>
              <w:t>specific</w:t>
            </w:r>
            <w:r w:rsidR="00950A46" w:rsidRPr="00A77AF6">
              <w:rPr>
                <w:rFonts w:cstheme="minorHAnsi"/>
                <w:sz w:val="20"/>
                <w:szCs w:val="20"/>
              </w:rPr>
              <w:t xml:space="preserve"> </w:t>
            </w:r>
            <w:r w:rsidRPr="00A77AF6">
              <w:rPr>
                <w:rFonts w:cstheme="minorHAnsi"/>
                <w:sz w:val="20"/>
                <w:szCs w:val="20"/>
              </w:rPr>
              <w:t>ethical predisposition</w:t>
            </w:r>
            <w:r w:rsidR="00950A46" w:rsidRPr="00A77AF6">
              <w:rPr>
                <w:rFonts w:cstheme="minorHAnsi"/>
                <w:sz w:val="20"/>
                <w:szCs w:val="20"/>
              </w:rPr>
              <w:t xml:space="preserve">. </w:t>
            </w:r>
            <w:r w:rsidRPr="00A77AF6">
              <w:rPr>
                <w:rFonts w:cstheme="minorHAnsi"/>
                <w:sz w:val="20"/>
                <w:szCs w:val="20"/>
              </w:rPr>
              <w:t xml:space="preserve"> </w:t>
            </w:r>
          </w:p>
        </w:tc>
      </w:tr>
      <w:tr w:rsidR="00A17457" w:rsidRPr="00A77AF6" w14:paraId="27E1FDEC" w14:textId="77777777" w:rsidTr="00F878A8">
        <w:tc>
          <w:tcPr>
            <w:tcW w:w="1555" w:type="dxa"/>
          </w:tcPr>
          <w:p w14:paraId="1ACEBD26" w14:textId="3E56CB34" w:rsidR="00A17457" w:rsidRPr="00A77AF6" w:rsidRDefault="002F723C" w:rsidP="005C07BE">
            <w:pPr>
              <w:rPr>
                <w:rFonts w:cstheme="minorHAnsi"/>
                <w:sz w:val="20"/>
                <w:szCs w:val="20"/>
              </w:rPr>
            </w:pPr>
            <w:r w:rsidRPr="00A77AF6">
              <w:rPr>
                <w:rFonts w:cstheme="minorHAnsi"/>
                <w:sz w:val="20"/>
                <w:szCs w:val="20"/>
              </w:rPr>
              <w:t>E</w:t>
            </w:r>
            <w:r w:rsidR="00A17457" w:rsidRPr="00A77AF6">
              <w:rPr>
                <w:rFonts w:cstheme="minorHAnsi"/>
                <w:sz w:val="20"/>
                <w:szCs w:val="20"/>
              </w:rPr>
              <w:t>thical</w:t>
            </w:r>
            <w:r w:rsidRPr="00A77AF6">
              <w:rPr>
                <w:rFonts w:cstheme="minorHAnsi"/>
                <w:sz w:val="20"/>
                <w:szCs w:val="20"/>
              </w:rPr>
              <w:t xml:space="preserve"> predisposition and</w:t>
            </w:r>
            <w:r w:rsidR="00A17457" w:rsidRPr="00A77AF6">
              <w:rPr>
                <w:rFonts w:cstheme="minorHAnsi"/>
                <w:sz w:val="20"/>
                <w:szCs w:val="20"/>
              </w:rPr>
              <w:t xml:space="preserve"> project </w:t>
            </w:r>
            <w:r w:rsidR="00F11234" w:rsidRPr="00A77AF6">
              <w:rPr>
                <w:rFonts w:cstheme="minorHAnsi"/>
                <w:sz w:val="20"/>
                <w:szCs w:val="20"/>
              </w:rPr>
              <w:t>success</w:t>
            </w:r>
          </w:p>
        </w:tc>
        <w:tc>
          <w:tcPr>
            <w:tcW w:w="3292" w:type="dxa"/>
          </w:tcPr>
          <w:p w14:paraId="61B76C99" w14:textId="77777777" w:rsidR="005C07BE" w:rsidRPr="00A77AF6" w:rsidRDefault="00A17457" w:rsidP="003D2A57">
            <w:pPr>
              <w:pStyle w:val="ListParagraph"/>
              <w:numPr>
                <w:ilvl w:val="0"/>
                <w:numId w:val="6"/>
              </w:numPr>
              <w:ind w:left="357" w:hanging="357"/>
              <w:contextualSpacing w:val="0"/>
              <w:rPr>
                <w:rFonts w:cstheme="minorHAnsi"/>
                <w:sz w:val="20"/>
                <w:szCs w:val="20"/>
              </w:rPr>
            </w:pPr>
            <w:r w:rsidRPr="00A77AF6">
              <w:rPr>
                <w:rFonts w:cstheme="minorHAnsi"/>
                <w:sz w:val="20"/>
                <w:szCs w:val="20"/>
              </w:rPr>
              <w:t>Quantitative. E-survey</w:t>
            </w:r>
            <w:r w:rsidR="005C07BE" w:rsidRPr="00A77AF6">
              <w:rPr>
                <w:rFonts w:cstheme="minorHAnsi"/>
                <w:sz w:val="20"/>
                <w:szCs w:val="20"/>
              </w:rPr>
              <w:t>.</w:t>
            </w:r>
            <w:r w:rsidRPr="00A77AF6">
              <w:rPr>
                <w:rFonts w:cstheme="minorHAnsi"/>
                <w:sz w:val="20"/>
                <w:szCs w:val="20"/>
              </w:rPr>
              <w:t xml:space="preserve"> </w:t>
            </w:r>
          </w:p>
          <w:p w14:paraId="6F9DB9B7" w14:textId="77777777" w:rsidR="00900EBA" w:rsidRPr="00A77AF6" w:rsidRDefault="00900EBA" w:rsidP="00E016D7">
            <w:pPr>
              <w:ind w:left="357"/>
              <w:rPr>
                <w:rFonts w:cstheme="minorHAnsi"/>
                <w:sz w:val="20"/>
                <w:szCs w:val="20"/>
              </w:rPr>
            </w:pPr>
            <w:r w:rsidRPr="00A77AF6">
              <w:rPr>
                <w:rFonts w:cstheme="minorHAnsi"/>
                <w:sz w:val="20"/>
                <w:szCs w:val="20"/>
              </w:rPr>
              <w:t>Correlation to find out if ethical predisposition can be associated with project success</w:t>
            </w:r>
          </w:p>
          <w:p w14:paraId="083B2D74" w14:textId="2DD215DE" w:rsidR="00A17457" w:rsidRPr="00A77AF6" w:rsidRDefault="00A17457" w:rsidP="005C07BE">
            <w:pPr>
              <w:rPr>
                <w:rFonts w:cstheme="minorHAnsi"/>
                <w:sz w:val="20"/>
                <w:szCs w:val="20"/>
              </w:rPr>
            </w:pPr>
          </w:p>
        </w:tc>
        <w:tc>
          <w:tcPr>
            <w:tcW w:w="3930" w:type="dxa"/>
          </w:tcPr>
          <w:p w14:paraId="402015AE" w14:textId="7B736B26" w:rsidR="00900EBA" w:rsidRPr="00A77AF6" w:rsidRDefault="00A17457" w:rsidP="003D2A57">
            <w:pPr>
              <w:pStyle w:val="ListParagraph"/>
              <w:numPr>
                <w:ilvl w:val="0"/>
                <w:numId w:val="6"/>
              </w:numPr>
              <w:rPr>
                <w:rFonts w:cstheme="minorHAnsi"/>
                <w:sz w:val="20"/>
                <w:szCs w:val="20"/>
              </w:rPr>
            </w:pPr>
            <w:r w:rsidRPr="00A77AF6">
              <w:rPr>
                <w:rFonts w:cstheme="minorHAnsi"/>
                <w:sz w:val="20"/>
                <w:szCs w:val="20"/>
              </w:rPr>
              <w:t xml:space="preserve">Previous quantitative research indicated that formalism correlates to compliance with company rules. </w:t>
            </w:r>
            <w:r w:rsidR="00950A46" w:rsidRPr="00A77AF6">
              <w:rPr>
                <w:rFonts w:cstheme="minorHAnsi"/>
                <w:sz w:val="20"/>
                <w:szCs w:val="20"/>
              </w:rPr>
              <w:t xml:space="preserve">Compliance </w:t>
            </w:r>
            <w:r w:rsidRPr="00A77AF6">
              <w:rPr>
                <w:rFonts w:cstheme="minorHAnsi"/>
                <w:sz w:val="20"/>
                <w:szCs w:val="20"/>
              </w:rPr>
              <w:t xml:space="preserve">is </w:t>
            </w:r>
            <w:r w:rsidR="00900EBA" w:rsidRPr="00A77AF6">
              <w:rPr>
                <w:rFonts w:cstheme="minorHAnsi"/>
                <w:sz w:val="20"/>
                <w:szCs w:val="20"/>
              </w:rPr>
              <w:t xml:space="preserve">judged as </w:t>
            </w:r>
            <w:r w:rsidRPr="00A77AF6">
              <w:rPr>
                <w:rFonts w:cstheme="minorHAnsi"/>
                <w:sz w:val="20"/>
                <w:szCs w:val="20"/>
              </w:rPr>
              <w:t>moral based on the premise that</w:t>
            </w:r>
            <w:r w:rsidR="00950A46" w:rsidRPr="00A77AF6">
              <w:rPr>
                <w:rFonts w:cstheme="minorHAnsi"/>
                <w:sz w:val="20"/>
                <w:szCs w:val="20"/>
              </w:rPr>
              <w:t xml:space="preserve"> it</w:t>
            </w:r>
            <w:r w:rsidRPr="00A77AF6">
              <w:rPr>
                <w:rFonts w:cstheme="minorHAnsi"/>
                <w:sz w:val="20"/>
                <w:szCs w:val="20"/>
              </w:rPr>
              <w:t xml:space="preserve"> is</w:t>
            </w:r>
            <w:r w:rsidR="00900EBA" w:rsidRPr="00A77AF6">
              <w:rPr>
                <w:rFonts w:cstheme="minorHAnsi"/>
                <w:sz w:val="20"/>
                <w:szCs w:val="20"/>
              </w:rPr>
              <w:t xml:space="preserve"> more open and </w:t>
            </w:r>
            <w:r w:rsidRPr="00A77AF6">
              <w:rPr>
                <w:rFonts w:cstheme="minorHAnsi"/>
                <w:sz w:val="20"/>
                <w:szCs w:val="20"/>
              </w:rPr>
              <w:t xml:space="preserve">better for companies.  </w:t>
            </w:r>
          </w:p>
          <w:p w14:paraId="614B7C07" w14:textId="24B541B7" w:rsidR="00900EBA" w:rsidRPr="00A77AF6" w:rsidRDefault="00A17457" w:rsidP="003D2A57">
            <w:pPr>
              <w:pStyle w:val="ListParagraph"/>
              <w:numPr>
                <w:ilvl w:val="0"/>
                <w:numId w:val="6"/>
              </w:numPr>
              <w:rPr>
                <w:rFonts w:cstheme="minorHAnsi"/>
                <w:sz w:val="20"/>
                <w:szCs w:val="20"/>
              </w:rPr>
            </w:pPr>
            <w:r w:rsidRPr="00A77AF6">
              <w:rPr>
                <w:rFonts w:cstheme="minorHAnsi"/>
                <w:sz w:val="20"/>
                <w:szCs w:val="20"/>
              </w:rPr>
              <w:t xml:space="preserve">Correlation analysis was carried out to find out if ethical predisposition leads to </w:t>
            </w:r>
            <w:r w:rsidR="00F11234" w:rsidRPr="00A77AF6">
              <w:rPr>
                <w:rFonts w:cstheme="minorHAnsi"/>
                <w:sz w:val="20"/>
                <w:szCs w:val="20"/>
              </w:rPr>
              <w:t>project success</w:t>
            </w:r>
          </w:p>
        </w:tc>
      </w:tr>
      <w:tr w:rsidR="00A17457" w:rsidRPr="00A77AF6" w14:paraId="51F9BD7E" w14:textId="77777777" w:rsidTr="00F878A8">
        <w:tc>
          <w:tcPr>
            <w:tcW w:w="1555" w:type="dxa"/>
          </w:tcPr>
          <w:p w14:paraId="23D7175C" w14:textId="77777777" w:rsidR="00A17457" w:rsidRPr="00A77AF6" w:rsidRDefault="00A17457" w:rsidP="005C07BE">
            <w:pPr>
              <w:rPr>
                <w:rFonts w:cstheme="minorHAnsi"/>
                <w:sz w:val="20"/>
                <w:szCs w:val="20"/>
              </w:rPr>
            </w:pPr>
            <w:r w:rsidRPr="00A77AF6">
              <w:rPr>
                <w:rFonts w:cstheme="minorHAnsi"/>
                <w:sz w:val="20"/>
                <w:szCs w:val="20"/>
              </w:rPr>
              <w:t xml:space="preserve">Relationship between corporate and project governance </w:t>
            </w:r>
          </w:p>
        </w:tc>
        <w:tc>
          <w:tcPr>
            <w:tcW w:w="3292" w:type="dxa"/>
          </w:tcPr>
          <w:p w14:paraId="1B53F67C" w14:textId="77777777" w:rsidR="005C07BE" w:rsidRPr="00A77AF6" w:rsidRDefault="00A17457" w:rsidP="003D2A57">
            <w:pPr>
              <w:pStyle w:val="ListParagraph"/>
              <w:numPr>
                <w:ilvl w:val="0"/>
                <w:numId w:val="7"/>
              </w:numPr>
              <w:ind w:left="357" w:hanging="357"/>
              <w:contextualSpacing w:val="0"/>
              <w:rPr>
                <w:rFonts w:cstheme="minorHAnsi"/>
                <w:sz w:val="20"/>
                <w:szCs w:val="20"/>
              </w:rPr>
            </w:pPr>
            <w:r w:rsidRPr="00A77AF6">
              <w:rPr>
                <w:rFonts w:cstheme="minorHAnsi"/>
                <w:sz w:val="20"/>
                <w:szCs w:val="20"/>
              </w:rPr>
              <w:t xml:space="preserve">Quantitative. </w:t>
            </w:r>
            <w:r w:rsidR="005C07BE" w:rsidRPr="00A77AF6">
              <w:rPr>
                <w:rFonts w:cstheme="minorHAnsi"/>
                <w:sz w:val="20"/>
                <w:szCs w:val="20"/>
              </w:rPr>
              <w:t xml:space="preserve">E-survey. </w:t>
            </w:r>
          </w:p>
          <w:p w14:paraId="52251182" w14:textId="5443955F" w:rsidR="00900EBA" w:rsidRPr="00A77AF6" w:rsidRDefault="00900EBA" w:rsidP="00E016D7">
            <w:pPr>
              <w:ind w:left="357"/>
              <w:rPr>
                <w:rFonts w:cstheme="minorHAnsi"/>
                <w:sz w:val="20"/>
                <w:szCs w:val="20"/>
              </w:rPr>
            </w:pPr>
            <w:r w:rsidRPr="00A77AF6">
              <w:rPr>
                <w:rFonts w:cstheme="minorHAnsi"/>
                <w:sz w:val="20"/>
                <w:szCs w:val="20"/>
              </w:rPr>
              <w:t>Descriptive statistics to show relative effectiveness of corporate and project governance</w:t>
            </w:r>
          </w:p>
          <w:p w14:paraId="3FC6370D" w14:textId="77777777" w:rsidR="00900EBA" w:rsidRPr="00A77AF6" w:rsidRDefault="00900EBA" w:rsidP="00E016D7">
            <w:pPr>
              <w:ind w:left="357"/>
              <w:rPr>
                <w:rFonts w:cstheme="minorHAnsi"/>
                <w:sz w:val="20"/>
                <w:szCs w:val="20"/>
              </w:rPr>
            </w:pPr>
          </w:p>
          <w:p w14:paraId="1C410AAC" w14:textId="2D19F1DD" w:rsidR="00501899" w:rsidRDefault="00501899" w:rsidP="005C07BE">
            <w:pPr>
              <w:rPr>
                <w:rFonts w:cstheme="minorHAnsi"/>
                <w:sz w:val="20"/>
                <w:szCs w:val="20"/>
              </w:rPr>
            </w:pPr>
          </w:p>
          <w:p w14:paraId="57606E32" w14:textId="297055DF" w:rsidR="00DC0992" w:rsidRDefault="00DC0992" w:rsidP="005C07BE">
            <w:pPr>
              <w:rPr>
                <w:rFonts w:cstheme="minorHAnsi"/>
                <w:sz w:val="20"/>
                <w:szCs w:val="20"/>
              </w:rPr>
            </w:pPr>
          </w:p>
          <w:p w14:paraId="559B2074" w14:textId="3B38F72E" w:rsidR="00DC0992" w:rsidRDefault="00DC0992" w:rsidP="005C07BE">
            <w:pPr>
              <w:rPr>
                <w:rFonts w:cstheme="minorHAnsi"/>
                <w:sz w:val="20"/>
                <w:szCs w:val="20"/>
              </w:rPr>
            </w:pPr>
          </w:p>
          <w:p w14:paraId="136F6EEA" w14:textId="77777777" w:rsidR="00DC0992" w:rsidRPr="00A77AF6" w:rsidRDefault="00DC0992" w:rsidP="005C07BE">
            <w:pPr>
              <w:rPr>
                <w:rFonts w:cstheme="minorHAnsi"/>
                <w:sz w:val="20"/>
                <w:szCs w:val="20"/>
              </w:rPr>
            </w:pPr>
          </w:p>
          <w:p w14:paraId="512FE572" w14:textId="77777777" w:rsidR="00C84571" w:rsidRPr="00A77AF6" w:rsidRDefault="00C84571" w:rsidP="003D2A57">
            <w:pPr>
              <w:pStyle w:val="ListParagraph"/>
              <w:numPr>
                <w:ilvl w:val="0"/>
                <w:numId w:val="7"/>
              </w:numPr>
              <w:ind w:left="357" w:hanging="357"/>
              <w:contextualSpacing w:val="0"/>
              <w:rPr>
                <w:rFonts w:cstheme="minorHAnsi"/>
                <w:sz w:val="20"/>
                <w:szCs w:val="20"/>
              </w:rPr>
            </w:pPr>
            <w:r w:rsidRPr="00A77AF6">
              <w:rPr>
                <w:rFonts w:cstheme="minorHAnsi"/>
                <w:sz w:val="20"/>
                <w:szCs w:val="20"/>
              </w:rPr>
              <w:t>Qualitative. Face-to-face semi-structured interviews</w:t>
            </w:r>
          </w:p>
          <w:p w14:paraId="7DA1C6BD" w14:textId="7A7D0228" w:rsidR="00A17457" w:rsidRPr="00A77AF6" w:rsidRDefault="004923E3" w:rsidP="00E016D7">
            <w:pPr>
              <w:ind w:left="357"/>
              <w:rPr>
                <w:rFonts w:cstheme="minorHAnsi"/>
                <w:sz w:val="20"/>
                <w:szCs w:val="20"/>
              </w:rPr>
            </w:pPr>
            <w:r w:rsidRPr="00A77AF6">
              <w:rPr>
                <w:rFonts w:cstheme="minorHAnsi"/>
                <w:sz w:val="20"/>
                <w:szCs w:val="20"/>
              </w:rPr>
              <w:t xml:space="preserve"> </w:t>
            </w:r>
            <w:r w:rsidR="005C07BE" w:rsidRPr="00A77AF6">
              <w:rPr>
                <w:rFonts w:cstheme="minorHAnsi"/>
                <w:sz w:val="20"/>
                <w:szCs w:val="20"/>
              </w:rPr>
              <w:t>Thematic coding</w:t>
            </w:r>
            <w:r w:rsidR="00C84571" w:rsidRPr="00A77AF6">
              <w:rPr>
                <w:rFonts w:cstheme="minorHAnsi"/>
                <w:sz w:val="20"/>
                <w:szCs w:val="20"/>
              </w:rPr>
              <w:t xml:space="preserve"> </w:t>
            </w:r>
            <w:r w:rsidR="005C07BE" w:rsidRPr="00A77AF6">
              <w:rPr>
                <w:rFonts w:cstheme="minorHAnsi"/>
                <w:sz w:val="20"/>
                <w:szCs w:val="20"/>
              </w:rPr>
              <w:t>to find out how</w:t>
            </w:r>
            <w:r w:rsidR="00A17457" w:rsidRPr="00A77AF6">
              <w:rPr>
                <w:rFonts w:cstheme="minorHAnsi"/>
                <w:sz w:val="20"/>
                <w:szCs w:val="20"/>
              </w:rPr>
              <w:t xml:space="preserve"> corporate and project governance relate to each other and why? </w:t>
            </w:r>
          </w:p>
        </w:tc>
        <w:tc>
          <w:tcPr>
            <w:tcW w:w="3930" w:type="dxa"/>
          </w:tcPr>
          <w:p w14:paraId="42522D88" w14:textId="5DC949B8" w:rsidR="00A17457" w:rsidRPr="00A77AF6" w:rsidRDefault="00A17457" w:rsidP="003D2A57">
            <w:pPr>
              <w:pStyle w:val="ListParagraph"/>
              <w:numPr>
                <w:ilvl w:val="0"/>
                <w:numId w:val="7"/>
              </w:numPr>
              <w:rPr>
                <w:rFonts w:cstheme="minorHAnsi"/>
                <w:sz w:val="20"/>
                <w:szCs w:val="20"/>
              </w:rPr>
            </w:pPr>
            <w:r w:rsidRPr="00A77AF6">
              <w:rPr>
                <w:rFonts w:cstheme="minorHAnsi"/>
                <w:sz w:val="20"/>
                <w:szCs w:val="20"/>
              </w:rPr>
              <w:t xml:space="preserve">Literature shows that corporate governance establishes and oversees project governance.  Correlation analyses tested whether more effective corporate governance leads to better project governance. </w:t>
            </w:r>
          </w:p>
          <w:p w14:paraId="0E1E0731" w14:textId="614C3EAA" w:rsidR="00F878A8" w:rsidRPr="00A77AF6" w:rsidRDefault="00F878A8" w:rsidP="00F878A8">
            <w:pPr>
              <w:rPr>
                <w:rFonts w:cstheme="minorHAnsi"/>
                <w:sz w:val="20"/>
                <w:szCs w:val="20"/>
              </w:rPr>
            </w:pPr>
          </w:p>
          <w:p w14:paraId="450CDEB1" w14:textId="19C80B76" w:rsidR="00F878A8" w:rsidRPr="00A77AF6" w:rsidRDefault="00F878A8" w:rsidP="00F878A8">
            <w:pPr>
              <w:rPr>
                <w:rFonts w:cstheme="minorHAnsi"/>
                <w:sz w:val="20"/>
                <w:szCs w:val="20"/>
              </w:rPr>
            </w:pPr>
          </w:p>
          <w:p w14:paraId="2A6C7B92" w14:textId="1ECD5161" w:rsidR="00F878A8" w:rsidRPr="00A77AF6" w:rsidRDefault="00F878A8" w:rsidP="00F878A8">
            <w:pPr>
              <w:rPr>
                <w:rFonts w:cstheme="minorHAnsi"/>
                <w:sz w:val="20"/>
                <w:szCs w:val="20"/>
              </w:rPr>
            </w:pPr>
          </w:p>
          <w:p w14:paraId="45B7B8B3" w14:textId="77777777" w:rsidR="00F878A8" w:rsidRPr="00A77AF6" w:rsidRDefault="00F878A8" w:rsidP="00F878A8">
            <w:pPr>
              <w:rPr>
                <w:rFonts w:cstheme="minorHAnsi"/>
                <w:sz w:val="20"/>
                <w:szCs w:val="20"/>
              </w:rPr>
            </w:pPr>
          </w:p>
          <w:p w14:paraId="353BCB79" w14:textId="0324E9E6" w:rsidR="00A17457" w:rsidRPr="00A77AF6" w:rsidRDefault="00A17457" w:rsidP="00195397">
            <w:pPr>
              <w:pStyle w:val="ListParagraph"/>
              <w:numPr>
                <w:ilvl w:val="0"/>
                <w:numId w:val="7"/>
              </w:numPr>
              <w:rPr>
                <w:rFonts w:cstheme="minorHAnsi"/>
                <w:sz w:val="20"/>
                <w:szCs w:val="20"/>
              </w:rPr>
            </w:pPr>
            <w:r w:rsidRPr="00A77AF6">
              <w:rPr>
                <w:rFonts w:cstheme="minorHAnsi"/>
                <w:sz w:val="20"/>
                <w:szCs w:val="20"/>
              </w:rPr>
              <w:t>Interviews explored how corporate</w:t>
            </w:r>
            <w:r w:rsidR="006D2305" w:rsidRPr="00A77AF6">
              <w:rPr>
                <w:rFonts w:cstheme="minorHAnsi"/>
                <w:sz w:val="20"/>
                <w:szCs w:val="20"/>
              </w:rPr>
              <w:t xml:space="preserve"> and project</w:t>
            </w:r>
            <w:r w:rsidRPr="00A77AF6">
              <w:rPr>
                <w:rFonts w:cstheme="minorHAnsi"/>
                <w:sz w:val="20"/>
                <w:szCs w:val="20"/>
              </w:rPr>
              <w:t xml:space="preserve"> governance relate to each other, and why.</w:t>
            </w:r>
            <w:r w:rsidR="00501899" w:rsidRPr="00A77AF6">
              <w:rPr>
                <w:rFonts w:cstheme="minorHAnsi"/>
                <w:sz w:val="20"/>
                <w:szCs w:val="20"/>
              </w:rPr>
              <w:t xml:space="preserve"> This has not been extensively researched generally and no research could be found at all in UK healthcare projects</w:t>
            </w:r>
          </w:p>
        </w:tc>
      </w:tr>
      <w:tr w:rsidR="00A17457" w:rsidRPr="00A77AF6" w14:paraId="557F0C79" w14:textId="77777777" w:rsidTr="00F878A8">
        <w:tc>
          <w:tcPr>
            <w:tcW w:w="1555" w:type="dxa"/>
          </w:tcPr>
          <w:p w14:paraId="74E7711F" w14:textId="77777777" w:rsidR="00A17457" w:rsidRPr="00A77AF6" w:rsidRDefault="00A17457" w:rsidP="005C07BE">
            <w:pPr>
              <w:rPr>
                <w:rFonts w:cstheme="minorHAnsi"/>
                <w:sz w:val="20"/>
                <w:szCs w:val="20"/>
              </w:rPr>
            </w:pPr>
            <w:r w:rsidRPr="00A77AF6">
              <w:rPr>
                <w:rFonts w:cstheme="minorHAnsi"/>
                <w:sz w:val="20"/>
                <w:szCs w:val="20"/>
              </w:rPr>
              <w:t>Project governance and outcome</w:t>
            </w:r>
          </w:p>
        </w:tc>
        <w:tc>
          <w:tcPr>
            <w:tcW w:w="3292" w:type="dxa"/>
          </w:tcPr>
          <w:p w14:paraId="154E546F" w14:textId="3BF77554" w:rsidR="005C07BE" w:rsidRPr="00A77AF6" w:rsidRDefault="00A17457" w:rsidP="003D2A57">
            <w:pPr>
              <w:pStyle w:val="ListParagraph"/>
              <w:numPr>
                <w:ilvl w:val="0"/>
                <w:numId w:val="7"/>
              </w:numPr>
              <w:rPr>
                <w:rFonts w:cstheme="minorHAnsi"/>
                <w:sz w:val="20"/>
                <w:szCs w:val="20"/>
              </w:rPr>
            </w:pPr>
            <w:r w:rsidRPr="00A77AF6">
              <w:rPr>
                <w:rFonts w:cstheme="minorHAnsi"/>
                <w:sz w:val="20"/>
                <w:szCs w:val="20"/>
              </w:rPr>
              <w:t xml:space="preserve">Quantitative.  </w:t>
            </w:r>
            <w:r w:rsidR="005C07BE" w:rsidRPr="00A77AF6">
              <w:rPr>
                <w:rFonts w:cstheme="minorHAnsi"/>
                <w:sz w:val="20"/>
                <w:szCs w:val="20"/>
              </w:rPr>
              <w:t xml:space="preserve">E-survey. </w:t>
            </w:r>
          </w:p>
          <w:p w14:paraId="6DEBB71B" w14:textId="3A2DC82A" w:rsidR="00900EBA" w:rsidRPr="00A77AF6" w:rsidRDefault="00A17457" w:rsidP="00195397">
            <w:pPr>
              <w:ind w:left="360"/>
              <w:rPr>
                <w:rFonts w:cstheme="minorHAnsi"/>
                <w:sz w:val="20"/>
                <w:szCs w:val="20"/>
              </w:rPr>
            </w:pPr>
            <w:r w:rsidRPr="00A77AF6">
              <w:rPr>
                <w:rFonts w:cstheme="minorHAnsi"/>
                <w:sz w:val="20"/>
                <w:szCs w:val="20"/>
              </w:rPr>
              <w:t xml:space="preserve">Correlation analysis to find out if project governance leads to successful outcome </w:t>
            </w:r>
          </w:p>
        </w:tc>
        <w:tc>
          <w:tcPr>
            <w:tcW w:w="3930" w:type="dxa"/>
          </w:tcPr>
          <w:p w14:paraId="06DC88F6" w14:textId="7EC0BAFB" w:rsidR="00A17457" w:rsidRPr="00A77AF6" w:rsidRDefault="00A17457" w:rsidP="003D2A57">
            <w:pPr>
              <w:pStyle w:val="ListParagraph"/>
              <w:numPr>
                <w:ilvl w:val="0"/>
                <w:numId w:val="7"/>
              </w:numPr>
              <w:rPr>
                <w:rFonts w:cstheme="minorHAnsi"/>
                <w:sz w:val="20"/>
                <w:szCs w:val="20"/>
              </w:rPr>
            </w:pPr>
            <w:r w:rsidRPr="00A77AF6">
              <w:rPr>
                <w:rFonts w:cstheme="minorHAnsi"/>
                <w:sz w:val="20"/>
                <w:szCs w:val="20"/>
              </w:rPr>
              <w:t xml:space="preserve">Literature suggests project governance is an important factor for project success.  Correlation analyses tested </w:t>
            </w:r>
            <w:r w:rsidR="00501899" w:rsidRPr="00A77AF6">
              <w:rPr>
                <w:rFonts w:cstheme="minorHAnsi"/>
                <w:sz w:val="20"/>
                <w:szCs w:val="20"/>
              </w:rPr>
              <w:t xml:space="preserve">whether </w:t>
            </w:r>
            <w:r w:rsidR="00950A46" w:rsidRPr="00A77AF6">
              <w:rPr>
                <w:rFonts w:cstheme="minorHAnsi"/>
                <w:sz w:val="20"/>
                <w:szCs w:val="20"/>
              </w:rPr>
              <w:t>effective</w:t>
            </w:r>
            <w:r w:rsidRPr="00A77AF6">
              <w:rPr>
                <w:rFonts w:cstheme="minorHAnsi"/>
                <w:sz w:val="20"/>
                <w:szCs w:val="20"/>
              </w:rPr>
              <w:t xml:space="preserve"> project governance led to better outcome</w:t>
            </w:r>
          </w:p>
        </w:tc>
      </w:tr>
      <w:tr w:rsidR="00A17457" w:rsidRPr="00A77AF6" w14:paraId="56252E34" w14:textId="77777777" w:rsidTr="00F878A8">
        <w:tc>
          <w:tcPr>
            <w:tcW w:w="1555" w:type="dxa"/>
          </w:tcPr>
          <w:p w14:paraId="060E6643" w14:textId="77777777" w:rsidR="00A17457" w:rsidRPr="00A77AF6" w:rsidRDefault="00A17457" w:rsidP="005C07BE">
            <w:pPr>
              <w:rPr>
                <w:rFonts w:cstheme="minorHAnsi"/>
                <w:sz w:val="20"/>
                <w:szCs w:val="20"/>
              </w:rPr>
            </w:pPr>
            <w:r w:rsidRPr="00A77AF6">
              <w:rPr>
                <w:rFonts w:cstheme="minorHAnsi"/>
                <w:sz w:val="20"/>
                <w:szCs w:val="20"/>
              </w:rPr>
              <w:t>Project success</w:t>
            </w:r>
          </w:p>
        </w:tc>
        <w:tc>
          <w:tcPr>
            <w:tcW w:w="3292" w:type="dxa"/>
          </w:tcPr>
          <w:p w14:paraId="428F2EE8" w14:textId="57DB6E48" w:rsidR="005C07BE" w:rsidRPr="00A77AF6" w:rsidRDefault="00A17457" w:rsidP="003D2A57">
            <w:pPr>
              <w:pStyle w:val="ListParagraph"/>
              <w:numPr>
                <w:ilvl w:val="0"/>
                <w:numId w:val="7"/>
              </w:numPr>
              <w:ind w:left="357" w:hanging="357"/>
              <w:contextualSpacing w:val="0"/>
              <w:rPr>
                <w:rFonts w:cstheme="minorHAnsi"/>
                <w:sz w:val="20"/>
                <w:szCs w:val="20"/>
              </w:rPr>
            </w:pPr>
            <w:r w:rsidRPr="00A77AF6">
              <w:rPr>
                <w:rFonts w:cstheme="minorHAnsi"/>
                <w:sz w:val="20"/>
                <w:szCs w:val="20"/>
              </w:rPr>
              <w:t xml:space="preserve">Quantitative. </w:t>
            </w:r>
            <w:r w:rsidR="005C07BE" w:rsidRPr="00A77AF6">
              <w:rPr>
                <w:rFonts w:cstheme="minorHAnsi"/>
                <w:sz w:val="20"/>
                <w:szCs w:val="20"/>
              </w:rPr>
              <w:t>E-survey.</w:t>
            </w:r>
          </w:p>
          <w:p w14:paraId="7175C5D2" w14:textId="6D4B8935" w:rsidR="00A17457" w:rsidRPr="00A77AF6" w:rsidRDefault="005C07BE" w:rsidP="00E016D7">
            <w:pPr>
              <w:ind w:left="357"/>
              <w:rPr>
                <w:rFonts w:cstheme="minorHAnsi"/>
                <w:sz w:val="20"/>
                <w:szCs w:val="20"/>
              </w:rPr>
            </w:pPr>
            <w:r w:rsidRPr="00A77AF6">
              <w:rPr>
                <w:rFonts w:cstheme="minorHAnsi"/>
                <w:sz w:val="20"/>
                <w:szCs w:val="20"/>
              </w:rPr>
              <w:t>Descriptive</w:t>
            </w:r>
            <w:r w:rsidR="00501899" w:rsidRPr="00A77AF6">
              <w:rPr>
                <w:rFonts w:cstheme="minorHAnsi"/>
                <w:sz w:val="20"/>
                <w:szCs w:val="20"/>
              </w:rPr>
              <w:t>. T</w:t>
            </w:r>
            <w:r w:rsidRPr="00A77AF6">
              <w:rPr>
                <w:rFonts w:cstheme="minorHAnsi"/>
                <w:sz w:val="20"/>
                <w:szCs w:val="20"/>
              </w:rPr>
              <w:t xml:space="preserve">he number of ‘claimed’ successful </w:t>
            </w:r>
            <w:r w:rsidR="00501899" w:rsidRPr="00A77AF6">
              <w:rPr>
                <w:rFonts w:cstheme="minorHAnsi"/>
                <w:sz w:val="20"/>
                <w:szCs w:val="20"/>
              </w:rPr>
              <w:t>projects</w:t>
            </w:r>
            <w:r w:rsidRPr="00A77AF6">
              <w:rPr>
                <w:rFonts w:cstheme="minorHAnsi"/>
                <w:sz w:val="20"/>
                <w:szCs w:val="20"/>
              </w:rPr>
              <w:t xml:space="preserve"> and </w:t>
            </w:r>
            <w:r w:rsidR="00501899" w:rsidRPr="00A77AF6">
              <w:rPr>
                <w:rFonts w:cstheme="minorHAnsi"/>
                <w:sz w:val="20"/>
                <w:szCs w:val="20"/>
              </w:rPr>
              <w:t>n</w:t>
            </w:r>
            <w:r w:rsidR="00A17457" w:rsidRPr="00A77AF6">
              <w:rPr>
                <w:rFonts w:cstheme="minorHAnsi"/>
                <w:sz w:val="20"/>
                <w:szCs w:val="20"/>
              </w:rPr>
              <w:t xml:space="preserve">umber of successful/ unsuccessful </w:t>
            </w:r>
            <w:r w:rsidRPr="00A77AF6">
              <w:rPr>
                <w:rFonts w:cstheme="minorHAnsi"/>
                <w:sz w:val="20"/>
                <w:szCs w:val="20"/>
              </w:rPr>
              <w:t xml:space="preserve">projects </w:t>
            </w:r>
            <w:r w:rsidR="00A17457" w:rsidRPr="00A77AF6">
              <w:rPr>
                <w:rFonts w:cstheme="minorHAnsi"/>
                <w:sz w:val="20"/>
                <w:szCs w:val="20"/>
              </w:rPr>
              <w:t>measure</w:t>
            </w:r>
            <w:r w:rsidRPr="00A77AF6">
              <w:rPr>
                <w:rFonts w:cstheme="minorHAnsi"/>
                <w:sz w:val="20"/>
                <w:szCs w:val="20"/>
              </w:rPr>
              <w:t xml:space="preserve">d </w:t>
            </w:r>
            <w:r w:rsidR="00A17457" w:rsidRPr="00A77AF6">
              <w:rPr>
                <w:rFonts w:cstheme="minorHAnsi"/>
                <w:sz w:val="20"/>
                <w:szCs w:val="20"/>
              </w:rPr>
              <w:t xml:space="preserve">against time, cost and quality criteria.  </w:t>
            </w:r>
          </w:p>
          <w:p w14:paraId="5685245D" w14:textId="379964AC" w:rsidR="001D3FFB" w:rsidRPr="00A77AF6" w:rsidRDefault="00A17457" w:rsidP="003D2A57">
            <w:pPr>
              <w:pStyle w:val="ListParagraph"/>
              <w:numPr>
                <w:ilvl w:val="0"/>
                <w:numId w:val="7"/>
              </w:numPr>
              <w:ind w:left="357" w:hanging="357"/>
              <w:contextualSpacing w:val="0"/>
              <w:rPr>
                <w:rFonts w:cstheme="minorHAnsi"/>
                <w:sz w:val="20"/>
                <w:szCs w:val="20"/>
              </w:rPr>
            </w:pPr>
            <w:r w:rsidRPr="00A77AF6">
              <w:rPr>
                <w:rFonts w:cstheme="minorHAnsi"/>
                <w:sz w:val="20"/>
                <w:szCs w:val="20"/>
              </w:rPr>
              <w:t>Qualitative.</w:t>
            </w:r>
            <w:r w:rsidR="00C84571" w:rsidRPr="00A77AF6">
              <w:rPr>
                <w:rFonts w:cstheme="minorHAnsi"/>
                <w:sz w:val="20"/>
                <w:szCs w:val="20"/>
              </w:rPr>
              <w:t xml:space="preserve"> Face-to-face semi-structured interviews</w:t>
            </w:r>
          </w:p>
          <w:p w14:paraId="4E32ECF1" w14:textId="7FB309F7" w:rsidR="00A17457" w:rsidRPr="00A77AF6" w:rsidRDefault="001D3FFB" w:rsidP="00E016D7">
            <w:pPr>
              <w:ind w:left="357"/>
              <w:rPr>
                <w:rFonts w:cstheme="minorHAnsi"/>
                <w:sz w:val="20"/>
                <w:szCs w:val="20"/>
              </w:rPr>
            </w:pPr>
            <w:r w:rsidRPr="00A77AF6">
              <w:rPr>
                <w:rFonts w:cstheme="minorHAnsi"/>
                <w:sz w:val="20"/>
                <w:szCs w:val="20"/>
              </w:rPr>
              <w:lastRenderedPageBreak/>
              <w:t xml:space="preserve">Thematic coding. </w:t>
            </w:r>
            <w:r w:rsidR="00C84571" w:rsidRPr="00A77AF6">
              <w:rPr>
                <w:rFonts w:cstheme="minorHAnsi"/>
                <w:sz w:val="20"/>
                <w:szCs w:val="20"/>
              </w:rPr>
              <w:t>Exploration of</w:t>
            </w:r>
            <w:r w:rsidR="00A17457" w:rsidRPr="00A77AF6">
              <w:rPr>
                <w:rFonts w:cstheme="minorHAnsi"/>
                <w:sz w:val="20"/>
                <w:szCs w:val="20"/>
              </w:rPr>
              <w:t xml:space="preserve"> why project success was not solely measured by time, cost and quality in the project management phase. </w:t>
            </w:r>
          </w:p>
        </w:tc>
        <w:tc>
          <w:tcPr>
            <w:tcW w:w="3930" w:type="dxa"/>
          </w:tcPr>
          <w:p w14:paraId="12B8C9DF" w14:textId="77777777" w:rsidR="00A17457" w:rsidRPr="00A77AF6" w:rsidRDefault="00A17457" w:rsidP="003D2A57">
            <w:pPr>
              <w:pStyle w:val="ListParagraph"/>
              <w:numPr>
                <w:ilvl w:val="0"/>
                <w:numId w:val="7"/>
              </w:numPr>
              <w:rPr>
                <w:rFonts w:cstheme="minorHAnsi"/>
                <w:sz w:val="20"/>
                <w:szCs w:val="20"/>
              </w:rPr>
            </w:pPr>
            <w:r w:rsidRPr="00A77AF6">
              <w:rPr>
                <w:rFonts w:cstheme="minorHAnsi"/>
                <w:sz w:val="20"/>
                <w:szCs w:val="20"/>
              </w:rPr>
              <w:lastRenderedPageBreak/>
              <w:t xml:space="preserve">Literature suggests that whilst the iron triangle, or variants are widely used there is debate about whether the iron triangle is the right measure; whether time, cost or quality should be weighted to reflect relative importance, when success should be measured and by whom.   </w:t>
            </w:r>
          </w:p>
        </w:tc>
      </w:tr>
    </w:tbl>
    <w:p w14:paraId="572FCFF9" w14:textId="77777777" w:rsidR="00A17457" w:rsidRPr="00A77AF6" w:rsidRDefault="00A17457" w:rsidP="00A17457"/>
    <w:p w14:paraId="777B4E4E" w14:textId="26ECD564" w:rsidR="00FF0ADA" w:rsidRPr="00A77AF6" w:rsidRDefault="00E6547B" w:rsidP="00E016D7">
      <w:pPr>
        <w:spacing w:line="360" w:lineRule="auto"/>
      </w:pPr>
      <w:r w:rsidRPr="00A77AF6">
        <w:t xml:space="preserve">Brady and Wheeler’s </w:t>
      </w:r>
      <w:r w:rsidR="003D7112" w:rsidRPr="00A77AF6">
        <w:t xml:space="preserve">MEV </w:t>
      </w:r>
      <w:r w:rsidRPr="00A77AF6">
        <w:t xml:space="preserve">(1996) model </w:t>
      </w:r>
      <w:r w:rsidR="00A035C1" w:rsidRPr="00A77AF6">
        <w:t>could</w:t>
      </w:r>
      <w:r w:rsidR="002F723C" w:rsidRPr="00A77AF6">
        <w:t xml:space="preserve"> establish</w:t>
      </w:r>
      <w:r w:rsidR="00A3785B" w:rsidRPr="00A77AF6">
        <w:t xml:space="preserve"> the predominance </w:t>
      </w:r>
      <w:r w:rsidR="00B24BBD" w:rsidRPr="00A77AF6">
        <w:t>of ethical</w:t>
      </w:r>
      <w:r w:rsidRPr="00A77AF6">
        <w:t xml:space="preserve"> pr</w:t>
      </w:r>
      <w:r w:rsidR="003D7112" w:rsidRPr="00A77AF6">
        <w:t xml:space="preserve">edisposition </w:t>
      </w:r>
      <w:r w:rsidR="00A3785B" w:rsidRPr="00A77AF6">
        <w:t xml:space="preserve">amongst respondents </w:t>
      </w:r>
      <w:r w:rsidR="002F723C" w:rsidRPr="00A77AF6">
        <w:t>but c</w:t>
      </w:r>
      <w:r w:rsidR="00EE4EFA" w:rsidRPr="00A77AF6">
        <w:t xml:space="preserve">ould not </w:t>
      </w:r>
      <w:r w:rsidR="002F723C" w:rsidRPr="00A77AF6">
        <w:t xml:space="preserve">explain why </w:t>
      </w:r>
      <w:r w:rsidR="00900EBA" w:rsidRPr="00A77AF6">
        <w:t>formalism was so strongly prevalent</w:t>
      </w:r>
      <w:r w:rsidR="00195397" w:rsidRPr="00A77AF6">
        <w:t>, nor what its impact was</w:t>
      </w:r>
      <w:r w:rsidR="002F723C" w:rsidRPr="00A77AF6">
        <w:t xml:space="preserve">.  </w:t>
      </w:r>
      <w:r w:rsidR="00EE4EFA" w:rsidRPr="00A77AF6">
        <w:t>The e-survey establish</w:t>
      </w:r>
      <w:r w:rsidR="00E016D7" w:rsidRPr="00A77AF6">
        <w:t>ed</w:t>
      </w:r>
      <w:r w:rsidR="00EE4EFA" w:rsidRPr="00A77AF6">
        <w:t xml:space="preserve"> the effectiveness of project and corporate governance in the opinion of project teams a</w:t>
      </w:r>
      <w:r w:rsidR="00E016D7" w:rsidRPr="00A77AF6">
        <w:t xml:space="preserve">nd </w:t>
      </w:r>
      <w:r w:rsidR="00EE4EFA" w:rsidRPr="00A77AF6">
        <w:t>establish</w:t>
      </w:r>
      <w:r w:rsidR="00E016D7" w:rsidRPr="00A77AF6">
        <w:t>ed that</w:t>
      </w:r>
      <w:r w:rsidR="00EE4EFA" w:rsidRPr="00A77AF6">
        <w:t xml:space="preserve"> project teams had heard of </w:t>
      </w:r>
      <w:r w:rsidR="00E016D7" w:rsidRPr="00A77AF6">
        <w:t xml:space="preserve">both </w:t>
      </w:r>
      <w:r w:rsidR="00EE4EFA" w:rsidRPr="00A77AF6">
        <w:t>project and corporate governance</w:t>
      </w:r>
      <w:r w:rsidR="00FA522F" w:rsidRPr="00A77AF6">
        <w:t xml:space="preserve">.  However, it could not explain why </w:t>
      </w:r>
      <w:r w:rsidR="00900EBA" w:rsidRPr="00A77AF6">
        <w:t xml:space="preserve">project governance was perceived to be more effective than corporate governance, so </w:t>
      </w:r>
      <w:r w:rsidR="00FA522F" w:rsidRPr="00A77AF6">
        <w:t xml:space="preserve">follow-up interviews were needed to find an explanation. </w:t>
      </w:r>
      <w:r w:rsidR="00EE4EFA" w:rsidRPr="00A77AF6">
        <w:t xml:space="preserve"> </w:t>
      </w:r>
      <w:r w:rsidR="00FA522F" w:rsidRPr="00A77AF6">
        <w:t>Finally</w:t>
      </w:r>
      <w:r w:rsidR="00217881" w:rsidRPr="00A77AF6">
        <w:t>,</w:t>
      </w:r>
      <w:r w:rsidR="00FA522F" w:rsidRPr="00A77AF6">
        <w:t xml:space="preserve"> the e-survey </w:t>
      </w:r>
      <w:r w:rsidR="00217881" w:rsidRPr="00A77AF6">
        <w:t>could</w:t>
      </w:r>
      <w:r w:rsidR="00FA522F" w:rsidRPr="00A77AF6">
        <w:t xml:space="preserve"> show that project success was not being measured by compliance to all t</w:t>
      </w:r>
      <w:r w:rsidR="00900EBA" w:rsidRPr="00A77AF6">
        <w:t>h</w:t>
      </w:r>
      <w:r w:rsidR="00FA522F" w:rsidRPr="00A77AF6">
        <w:t xml:space="preserve">ree </w:t>
      </w:r>
      <w:r w:rsidR="00900EBA" w:rsidRPr="00A77AF6">
        <w:t xml:space="preserve">of </w:t>
      </w:r>
      <w:r w:rsidR="00FA522F" w:rsidRPr="00A77AF6">
        <w:t>time, cost and quality criteria</w:t>
      </w:r>
      <w:r w:rsidR="00217881" w:rsidRPr="00A77AF6">
        <w:t xml:space="preserve"> but could not identify t</w:t>
      </w:r>
      <w:r w:rsidR="00FA522F" w:rsidRPr="00A77AF6">
        <w:t>he reasons for this</w:t>
      </w:r>
      <w:r w:rsidR="00195397" w:rsidRPr="00A77AF6">
        <w:t>, n</w:t>
      </w:r>
      <w:r w:rsidR="00217881" w:rsidRPr="00A77AF6">
        <w:t xml:space="preserve">or </w:t>
      </w:r>
      <w:r w:rsidR="00195397" w:rsidRPr="00A77AF6">
        <w:t xml:space="preserve">could it </w:t>
      </w:r>
      <w:r w:rsidR="00217881" w:rsidRPr="00A77AF6">
        <w:t xml:space="preserve">understand </w:t>
      </w:r>
      <w:r w:rsidR="00FA522F" w:rsidRPr="00A77AF6">
        <w:t>the measure</w:t>
      </w:r>
      <w:r w:rsidR="00900EBA" w:rsidRPr="00A77AF6">
        <w:t>s</w:t>
      </w:r>
      <w:r w:rsidR="00FA522F" w:rsidRPr="00A77AF6">
        <w:t xml:space="preserve"> </w:t>
      </w:r>
      <w:r w:rsidR="00FF0ADA" w:rsidRPr="00A77AF6">
        <w:t>being</w:t>
      </w:r>
      <w:r w:rsidR="00FA522F" w:rsidRPr="00A77AF6">
        <w:t xml:space="preserve"> used by project personnel</w:t>
      </w:r>
      <w:r w:rsidR="00195397" w:rsidRPr="00A77AF6">
        <w:t>, so</w:t>
      </w:r>
      <w:r w:rsidR="00900EBA" w:rsidRPr="00A77AF6">
        <w:t xml:space="preserve"> </w:t>
      </w:r>
      <w:r w:rsidR="00217881" w:rsidRPr="00A77AF6">
        <w:t xml:space="preserve">interviews were </w:t>
      </w:r>
      <w:r w:rsidR="00195397" w:rsidRPr="00A77AF6">
        <w:t xml:space="preserve">needed to gather </w:t>
      </w:r>
      <w:r w:rsidR="00217881" w:rsidRPr="00A77AF6">
        <w:t xml:space="preserve">this information. </w:t>
      </w:r>
      <w:r w:rsidR="00900EBA" w:rsidRPr="00A77AF6">
        <w:t xml:space="preserve"> </w:t>
      </w:r>
      <w:r w:rsidR="00FF0ADA" w:rsidRPr="00A77AF6">
        <w:t xml:space="preserve">The advantage of the e-survey was that it was possible to </w:t>
      </w:r>
      <w:r w:rsidR="00195397" w:rsidRPr="00A77AF6">
        <w:t>verify if there were correlations</w:t>
      </w:r>
      <w:r w:rsidR="00FF0ADA" w:rsidRPr="00A77AF6">
        <w:t xml:space="preserve"> between </w:t>
      </w:r>
      <w:r w:rsidR="00195397" w:rsidRPr="00A77AF6">
        <w:t xml:space="preserve">the </w:t>
      </w:r>
      <w:r w:rsidR="00FF0ADA" w:rsidRPr="00A77AF6">
        <w:t>variables</w:t>
      </w:r>
      <w:r w:rsidR="00195397" w:rsidRPr="00A77AF6">
        <w:t xml:space="preserve"> </w:t>
      </w:r>
      <w:r w:rsidR="00FF0ADA" w:rsidRPr="00A77AF6">
        <w:t xml:space="preserve">such as ethical predisposition and project </w:t>
      </w:r>
      <w:r w:rsidR="00F11234" w:rsidRPr="00A77AF6">
        <w:t>success</w:t>
      </w:r>
      <w:r w:rsidR="00195397" w:rsidRPr="00A77AF6">
        <w:t>,</w:t>
      </w:r>
      <w:r w:rsidR="00FF0ADA" w:rsidRPr="00A77AF6">
        <w:t xml:space="preserve"> and project governance and </w:t>
      </w:r>
      <w:r w:rsidR="00F11234" w:rsidRPr="00A77AF6">
        <w:t xml:space="preserve">project success. </w:t>
      </w:r>
      <w:r w:rsidR="00FF0ADA" w:rsidRPr="00A77AF6">
        <w:t xml:space="preserve">  </w:t>
      </w:r>
    </w:p>
    <w:p w14:paraId="11AB6C33" w14:textId="5CBBED25" w:rsidR="00FF0ADA" w:rsidRPr="00A77AF6" w:rsidRDefault="00FC3FB1" w:rsidP="003907C7">
      <w:pPr>
        <w:spacing w:line="360" w:lineRule="auto"/>
      </w:pPr>
      <w:r w:rsidRPr="00A77AF6">
        <w:t xml:space="preserve">Further </w:t>
      </w:r>
      <w:r w:rsidR="00960488" w:rsidRPr="00A77AF6">
        <w:t>justification for the quantitative element of this study was that</w:t>
      </w:r>
      <w:r w:rsidR="003907C7" w:rsidRPr="00A77AF6">
        <w:t xml:space="preserve"> previous </w:t>
      </w:r>
      <w:r w:rsidR="00960488" w:rsidRPr="00A77AF6">
        <w:t xml:space="preserve">research </w:t>
      </w:r>
      <w:r w:rsidR="00632AF2" w:rsidRPr="00A77AF6">
        <w:t>into</w:t>
      </w:r>
      <w:r w:rsidR="00960488" w:rsidRPr="00A77AF6">
        <w:t xml:space="preserve"> ethical predisposition</w:t>
      </w:r>
      <w:r w:rsidR="00195397" w:rsidRPr="00A77AF6">
        <w:t xml:space="preserve">, </w:t>
      </w:r>
      <w:r w:rsidR="005E288E" w:rsidRPr="00A77AF6">
        <w:t>the iron triangle</w:t>
      </w:r>
      <w:r w:rsidR="003907C7" w:rsidRPr="00A77AF6">
        <w:t xml:space="preserve"> and CSFs</w:t>
      </w:r>
      <w:r w:rsidR="005E288E" w:rsidRPr="00A77AF6">
        <w:t xml:space="preserve"> has </w:t>
      </w:r>
      <w:r w:rsidR="00195397" w:rsidRPr="00A77AF6">
        <w:t xml:space="preserve">almost entirely </w:t>
      </w:r>
      <w:r w:rsidR="005E288E" w:rsidRPr="00A77AF6">
        <w:t xml:space="preserve">relied on quantitative data, so in this regard the use of quantitative research in this study is mainstream.  However, </w:t>
      </w:r>
      <w:r w:rsidR="003907C7" w:rsidRPr="00A77AF6">
        <w:t xml:space="preserve">there is relatively little research which goes </w:t>
      </w:r>
      <w:r w:rsidR="005E288E" w:rsidRPr="00A77AF6">
        <w:t xml:space="preserve">beyond the description </w:t>
      </w:r>
      <w:r w:rsidR="00B24BBD" w:rsidRPr="00A77AF6">
        <w:t>of findings</w:t>
      </w:r>
      <w:r w:rsidR="005E288E" w:rsidRPr="00A77AF6">
        <w:t xml:space="preserve"> to </w:t>
      </w:r>
      <w:r w:rsidR="00195397" w:rsidRPr="00A77AF6">
        <w:t>uncover</w:t>
      </w:r>
      <w:r w:rsidR="003907C7" w:rsidRPr="00A77AF6">
        <w:t xml:space="preserve"> meanings</w:t>
      </w:r>
      <w:r w:rsidR="005E288E" w:rsidRPr="00A77AF6">
        <w:t xml:space="preserve"> and to th</w:t>
      </w:r>
      <w:r w:rsidR="003907C7" w:rsidRPr="00A77AF6">
        <w:t xml:space="preserve">is </w:t>
      </w:r>
      <w:r w:rsidR="003F4CA9" w:rsidRPr="00A77AF6">
        <w:t>extent,</w:t>
      </w:r>
      <w:r w:rsidR="005E288E" w:rsidRPr="00A77AF6">
        <w:t xml:space="preserve"> this research </w:t>
      </w:r>
      <w:r w:rsidR="003907C7" w:rsidRPr="00A77AF6">
        <w:t>expands</w:t>
      </w:r>
      <w:r w:rsidR="005E288E" w:rsidRPr="00A77AF6">
        <w:t xml:space="preserve"> boundaries. </w:t>
      </w:r>
      <w:r w:rsidR="00195397" w:rsidRPr="00A77AF6">
        <w:t xml:space="preserve"> </w:t>
      </w:r>
      <w:r w:rsidR="003907C7" w:rsidRPr="00A77AF6">
        <w:t>A</w:t>
      </w:r>
      <w:r w:rsidR="00FF0ADA" w:rsidRPr="00A77AF6">
        <w:t xml:space="preserve"> mixed methods approach </w:t>
      </w:r>
      <w:r w:rsidR="003907C7" w:rsidRPr="00A77AF6">
        <w:t>allowed a</w:t>
      </w:r>
      <w:r w:rsidR="00FF0ADA" w:rsidRPr="00A77AF6">
        <w:t xml:space="preserve"> more </w:t>
      </w:r>
      <w:r w:rsidR="00DE71E0" w:rsidRPr="00A77AF6">
        <w:t>c</w:t>
      </w:r>
      <w:r w:rsidR="00FF0ADA" w:rsidRPr="00A77AF6">
        <w:t>omplete picture</w:t>
      </w:r>
      <w:r w:rsidR="00195397" w:rsidRPr="00A77AF6">
        <w:t xml:space="preserve">, as described above, but a </w:t>
      </w:r>
      <w:r w:rsidR="00FF0ADA" w:rsidRPr="00A77AF6">
        <w:t xml:space="preserve"> disadvantage of this approach was that it took many months due to its sequential nature</w:t>
      </w:r>
      <w:r w:rsidR="00531E3D" w:rsidRPr="00A77AF6">
        <w:t>.</w:t>
      </w:r>
      <w:r w:rsidR="003907C7" w:rsidRPr="00A77AF6">
        <w:t xml:space="preserve"> </w:t>
      </w:r>
      <w:r w:rsidR="00531E3D" w:rsidRPr="00A77AF6">
        <w:t xml:space="preserve"> </w:t>
      </w:r>
      <w:r w:rsidR="00FF0ADA" w:rsidRPr="00A77AF6">
        <w:t xml:space="preserve">  </w:t>
      </w:r>
    </w:p>
    <w:p w14:paraId="67E320FA" w14:textId="4C63BEF0" w:rsidR="00F50509" w:rsidRPr="00A77AF6" w:rsidRDefault="00390A62" w:rsidP="00FC3FB1">
      <w:pPr>
        <w:pStyle w:val="p"/>
        <w:shd w:val="clear" w:color="auto" w:fill="FFFFFF"/>
        <w:spacing w:before="120" w:beforeAutospacing="0" w:after="0" w:afterAutospacing="0" w:line="360" w:lineRule="auto"/>
        <w:rPr>
          <w:rFonts w:asciiTheme="minorHAnsi" w:hAnsiTheme="minorHAnsi" w:cstheme="minorHAnsi"/>
          <w:sz w:val="22"/>
          <w:szCs w:val="22"/>
        </w:rPr>
      </w:pPr>
      <w:r w:rsidRPr="00A77AF6">
        <w:rPr>
          <w:rFonts w:asciiTheme="minorHAnsi" w:hAnsiTheme="minorHAnsi" w:cstheme="minorHAnsi"/>
          <w:sz w:val="22"/>
          <w:szCs w:val="22"/>
        </w:rPr>
        <w:t xml:space="preserve">The possibility of adopting a case study approach was considered because of </w:t>
      </w:r>
      <w:r w:rsidR="0046451A" w:rsidRPr="00A77AF6">
        <w:rPr>
          <w:rFonts w:asciiTheme="minorHAnsi" w:hAnsiTheme="minorHAnsi" w:cstheme="minorHAnsi"/>
          <w:sz w:val="22"/>
          <w:szCs w:val="22"/>
        </w:rPr>
        <w:t xml:space="preserve">its </w:t>
      </w:r>
      <w:r w:rsidRPr="00A77AF6">
        <w:rPr>
          <w:rFonts w:asciiTheme="minorHAnsi" w:hAnsiTheme="minorHAnsi" w:cstheme="minorHAnsi"/>
          <w:sz w:val="22"/>
          <w:szCs w:val="22"/>
        </w:rPr>
        <w:t xml:space="preserve">advantages </w:t>
      </w:r>
      <w:r w:rsidR="009013BA" w:rsidRPr="00A77AF6">
        <w:rPr>
          <w:rFonts w:asciiTheme="minorHAnsi" w:hAnsiTheme="minorHAnsi" w:cstheme="minorHAnsi"/>
          <w:sz w:val="22"/>
          <w:szCs w:val="22"/>
        </w:rPr>
        <w:t>in</w:t>
      </w:r>
      <w:r w:rsidRPr="00A77AF6">
        <w:rPr>
          <w:rFonts w:asciiTheme="minorHAnsi" w:hAnsiTheme="minorHAnsi" w:cstheme="minorHAnsi"/>
          <w:sz w:val="22"/>
          <w:szCs w:val="22"/>
        </w:rPr>
        <w:t xml:space="preserve"> </w:t>
      </w:r>
      <w:r w:rsidR="00225BDB" w:rsidRPr="00A77AF6">
        <w:rPr>
          <w:rFonts w:asciiTheme="minorHAnsi" w:hAnsiTheme="minorHAnsi" w:cstheme="minorHAnsi"/>
          <w:sz w:val="22"/>
          <w:szCs w:val="22"/>
        </w:rPr>
        <w:t xml:space="preserve">exploring why and how questions (Yin 2009). </w:t>
      </w:r>
      <w:r w:rsidR="00F50509" w:rsidRPr="00A77AF6">
        <w:rPr>
          <w:rFonts w:asciiTheme="minorHAnsi" w:hAnsiTheme="minorHAnsi" w:cstheme="minorHAnsi"/>
          <w:sz w:val="22"/>
          <w:szCs w:val="22"/>
        </w:rPr>
        <w:t xml:space="preserve"> However, </w:t>
      </w:r>
      <w:r w:rsidR="00195397" w:rsidRPr="00A77AF6">
        <w:rPr>
          <w:rFonts w:asciiTheme="minorHAnsi" w:hAnsiTheme="minorHAnsi" w:cstheme="minorHAnsi"/>
          <w:sz w:val="22"/>
          <w:szCs w:val="22"/>
        </w:rPr>
        <w:t xml:space="preserve">a mixed methods approach was adopted because it was considered that a case study, which would examine cases in depth would distract from </w:t>
      </w:r>
      <w:r w:rsidR="004A7E98" w:rsidRPr="00A77AF6">
        <w:rPr>
          <w:rFonts w:asciiTheme="minorHAnsi" w:hAnsiTheme="minorHAnsi" w:cstheme="minorHAnsi"/>
          <w:sz w:val="22"/>
          <w:szCs w:val="22"/>
        </w:rPr>
        <w:t xml:space="preserve">the purpose of this study which was to explain </w:t>
      </w:r>
      <w:r w:rsidR="00274E93">
        <w:rPr>
          <w:rFonts w:asciiTheme="minorHAnsi" w:hAnsiTheme="minorHAnsi" w:cstheme="minorHAnsi"/>
          <w:sz w:val="22"/>
          <w:szCs w:val="22"/>
        </w:rPr>
        <w:t>the role of</w:t>
      </w:r>
      <w:r w:rsidR="004A7E98" w:rsidRPr="00A77AF6">
        <w:rPr>
          <w:rFonts w:asciiTheme="minorHAnsi" w:hAnsiTheme="minorHAnsi" w:cstheme="minorHAnsi"/>
          <w:sz w:val="22"/>
          <w:szCs w:val="22"/>
        </w:rPr>
        <w:t xml:space="preserve"> ethics and governance </w:t>
      </w:r>
      <w:r w:rsidR="00274E93">
        <w:rPr>
          <w:rFonts w:asciiTheme="minorHAnsi" w:hAnsiTheme="minorHAnsi" w:cstheme="minorHAnsi"/>
          <w:sz w:val="22"/>
          <w:szCs w:val="22"/>
        </w:rPr>
        <w:t xml:space="preserve">in projects and to explore whether they </w:t>
      </w:r>
      <w:r w:rsidR="004A7E98" w:rsidRPr="00A77AF6">
        <w:rPr>
          <w:rFonts w:asciiTheme="minorHAnsi" w:hAnsiTheme="minorHAnsi" w:cstheme="minorHAnsi"/>
          <w:sz w:val="22"/>
          <w:szCs w:val="22"/>
        </w:rPr>
        <w:t>lead to project success.  The specific details of each project were not required for this investigation and interviews with experts were to obtain general explanations for the survey findings, not specific project-based explanations.  T</w:t>
      </w:r>
      <w:r w:rsidR="00F50509" w:rsidRPr="00A77AF6">
        <w:rPr>
          <w:rFonts w:asciiTheme="minorHAnsi" w:hAnsiTheme="minorHAnsi" w:cstheme="minorHAnsi"/>
          <w:sz w:val="22"/>
          <w:szCs w:val="22"/>
        </w:rPr>
        <w:t xml:space="preserve">he meaning of mixed methods adopted for </w:t>
      </w:r>
      <w:r w:rsidR="0046451A" w:rsidRPr="00A77AF6">
        <w:rPr>
          <w:rFonts w:asciiTheme="minorHAnsi" w:hAnsiTheme="minorHAnsi" w:cstheme="minorHAnsi"/>
          <w:sz w:val="22"/>
          <w:szCs w:val="22"/>
        </w:rPr>
        <w:t xml:space="preserve">this study </w:t>
      </w:r>
      <w:r w:rsidR="00F50509" w:rsidRPr="00A77AF6">
        <w:rPr>
          <w:rFonts w:asciiTheme="minorHAnsi" w:hAnsiTheme="minorHAnsi" w:cstheme="minorHAnsi"/>
          <w:sz w:val="22"/>
          <w:szCs w:val="22"/>
        </w:rPr>
        <w:t xml:space="preserve">was </w:t>
      </w:r>
      <w:r w:rsidR="0046451A" w:rsidRPr="00A77AF6">
        <w:rPr>
          <w:rFonts w:asciiTheme="minorHAnsi" w:hAnsiTheme="minorHAnsi" w:cstheme="minorHAnsi"/>
          <w:sz w:val="22"/>
          <w:szCs w:val="22"/>
        </w:rPr>
        <w:t>that given</w:t>
      </w:r>
      <w:r w:rsidR="00F50509" w:rsidRPr="00A77AF6">
        <w:rPr>
          <w:rFonts w:asciiTheme="minorHAnsi" w:hAnsiTheme="minorHAnsi" w:cstheme="minorHAnsi"/>
          <w:sz w:val="22"/>
          <w:szCs w:val="22"/>
        </w:rPr>
        <w:t xml:space="preserve"> by Johnson et al (2007 p</w:t>
      </w:r>
      <w:r w:rsidR="00461471" w:rsidRPr="00A77AF6">
        <w:rPr>
          <w:rFonts w:asciiTheme="minorHAnsi" w:hAnsiTheme="minorHAnsi" w:cstheme="minorHAnsi"/>
          <w:sz w:val="22"/>
          <w:szCs w:val="22"/>
        </w:rPr>
        <w:t xml:space="preserve">. </w:t>
      </w:r>
      <w:r w:rsidR="00F50509" w:rsidRPr="00A77AF6">
        <w:rPr>
          <w:rFonts w:asciiTheme="minorHAnsi" w:hAnsiTheme="minorHAnsi" w:cstheme="minorHAnsi"/>
          <w:sz w:val="22"/>
          <w:szCs w:val="22"/>
        </w:rPr>
        <w:t>123</w:t>
      </w:r>
      <w:r w:rsidR="001D1C93" w:rsidRPr="00A77AF6">
        <w:rPr>
          <w:rFonts w:asciiTheme="minorHAnsi" w:hAnsiTheme="minorHAnsi" w:cstheme="minorHAnsi"/>
          <w:sz w:val="22"/>
          <w:szCs w:val="22"/>
        </w:rPr>
        <w:t>)</w:t>
      </w:r>
      <w:r w:rsidR="00F50509" w:rsidRPr="00A77AF6">
        <w:rPr>
          <w:rFonts w:asciiTheme="minorHAnsi" w:hAnsiTheme="minorHAnsi" w:cstheme="minorHAnsi"/>
          <w:sz w:val="22"/>
          <w:szCs w:val="22"/>
        </w:rPr>
        <w:t xml:space="preserve"> cited in </w:t>
      </w:r>
      <w:r w:rsidR="001D1C93" w:rsidRPr="00A77AF6">
        <w:rPr>
          <w:rFonts w:asciiTheme="minorHAnsi" w:hAnsiTheme="minorHAnsi" w:cstheme="minorHAnsi"/>
          <w:sz w:val="22"/>
          <w:szCs w:val="22"/>
        </w:rPr>
        <w:t>Schooneboom &amp; Burke Johnson (2017)</w:t>
      </w:r>
      <w:r w:rsidR="00F50509" w:rsidRPr="00A77AF6">
        <w:rPr>
          <w:rFonts w:asciiTheme="minorHAnsi" w:hAnsiTheme="minorHAnsi" w:cstheme="minorHAnsi"/>
          <w:sz w:val="22"/>
          <w:szCs w:val="22"/>
        </w:rPr>
        <w:t xml:space="preserve"> </w:t>
      </w:r>
    </w:p>
    <w:p w14:paraId="33C0E8A8" w14:textId="4D70AFA8" w:rsidR="00F50509" w:rsidRPr="00A77AF6" w:rsidRDefault="00F50509" w:rsidP="00FC3FB1">
      <w:pPr>
        <w:pStyle w:val="NormalWeb"/>
        <w:shd w:val="clear" w:color="auto" w:fill="FFFFFF"/>
        <w:spacing w:before="0" w:beforeAutospacing="0" w:after="240" w:afterAutospacing="0"/>
        <w:ind w:left="720"/>
        <w:rPr>
          <w:rFonts w:asciiTheme="minorHAnsi" w:hAnsiTheme="minorHAnsi" w:cstheme="minorHAnsi"/>
          <w:i/>
          <w:iCs/>
          <w:color w:val="000000"/>
          <w:sz w:val="22"/>
          <w:szCs w:val="22"/>
        </w:rPr>
      </w:pPr>
      <w:r w:rsidRPr="00A77AF6">
        <w:rPr>
          <w:rFonts w:asciiTheme="minorHAnsi" w:hAnsiTheme="minorHAnsi" w:cstheme="minorHAnsi"/>
          <w:i/>
          <w:iCs/>
          <w:color w:val="000000"/>
          <w:sz w:val="22"/>
          <w:szCs w:val="22"/>
        </w:rPr>
        <w:lastRenderedPageBreak/>
        <w:t xml:space="preserve">‘Mixed methods research is the type of research in which a researcher … combines elements of qualitative and quantitative research approaches </w:t>
      </w:r>
      <w:r w:rsidR="001D1C93" w:rsidRPr="00A77AF6">
        <w:rPr>
          <w:rFonts w:asciiTheme="minorHAnsi" w:hAnsiTheme="minorHAnsi" w:cstheme="minorHAnsi"/>
          <w:i/>
          <w:iCs/>
          <w:color w:val="000000"/>
          <w:sz w:val="22"/>
          <w:szCs w:val="22"/>
        </w:rPr>
        <w:t>…</w:t>
      </w:r>
      <w:r w:rsidRPr="00A77AF6">
        <w:rPr>
          <w:rFonts w:asciiTheme="minorHAnsi" w:hAnsiTheme="minorHAnsi" w:cstheme="minorHAnsi"/>
          <w:i/>
          <w:iCs/>
          <w:color w:val="000000"/>
          <w:sz w:val="22"/>
          <w:szCs w:val="22"/>
        </w:rPr>
        <w:t xml:space="preserve"> for the broad purposes of breadth and depth of understanding and corroboration.’</w:t>
      </w:r>
    </w:p>
    <w:p w14:paraId="0DB6376B" w14:textId="19022170" w:rsidR="00F50509" w:rsidRPr="00A77AF6" w:rsidRDefault="001D1C93" w:rsidP="00390A62">
      <w:pPr>
        <w:spacing w:line="360" w:lineRule="auto"/>
        <w:rPr>
          <w:color w:val="000000"/>
          <w:shd w:val="clear" w:color="auto" w:fill="FFFFFF"/>
        </w:rPr>
      </w:pPr>
      <w:r w:rsidRPr="00A77AF6">
        <w:rPr>
          <w:color w:val="000000"/>
          <w:shd w:val="clear" w:color="auto" w:fill="FFFFFF"/>
        </w:rPr>
        <w:t>M</w:t>
      </w:r>
      <w:r w:rsidR="00F50509" w:rsidRPr="00A77AF6">
        <w:rPr>
          <w:color w:val="000000"/>
          <w:shd w:val="clear" w:color="auto" w:fill="FFFFFF"/>
        </w:rPr>
        <w:t xml:space="preserve">ixed methods research </w:t>
      </w:r>
      <w:r w:rsidRPr="00A77AF6">
        <w:rPr>
          <w:color w:val="000000"/>
          <w:shd w:val="clear" w:color="auto" w:fill="FFFFFF"/>
        </w:rPr>
        <w:t xml:space="preserve">is concerned with </w:t>
      </w:r>
      <w:r w:rsidR="00F50509" w:rsidRPr="00A77AF6">
        <w:rPr>
          <w:color w:val="000000"/>
          <w:shd w:val="clear" w:color="auto" w:fill="FFFFFF"/>
        </w:rPr>
        <w:t xml:space="preserve">heightened knowledge and </w:t>
      </w:r>
      <w:r w:rsidRPr="00A77AF6">
        <w:rPr>
          <w:color w:val="000000"/>
          <w:shd w:val="clear" w:color="auto" w:fill="FFFFFF"/>
        </w:rPr>
        <w:t xml:space="preserve">research </w:t>
      </w:r>
      <w:r w:rsidR="00F50509" w:rsidRPr="00A77AF6">
        <w:rPr>
          <w:color w:val="000000"/>
          <w:shd w:val="clear" w:color="auto" w:fill="FFFFFF"/>
        </w:rPr>
        <w:t>validity</w:t>
      </w:r>
      <w:r w:rsidR="0046451A" w:rsidRPr="00A77AF6">
        <w:rPr>
          <w:color w:val="000000"/>
          <w:shd w:val="clear" w:color="auto" w:fill="FFFFFF"/>
        </w:rPr>
        <w:t xml:space="preserve">.  In this study this required the </w:t>
      </w:r>
      <w:r w:rsidRPr="00A77AF6">
        <w:rPr>
          <w:color w:val="000000"/>
          <w:shd w:val="clear" w:color="auto" w:fill="FFFFFF"/>
        </w:rPr>
        <w:t>explanation of quantitative data</w:t>
      </w:r>
      <w:r w:rsidR="0046451A" w:rsidRPr="00A77AF6">
        <w:rPr>
          <w:color w:val="000000"/>
          <w:shd w:val="clear" w:color="auto" w:fill="FFFFFF"/>
        </w:rPr>
        <w:t xml:space="preserve"> t</w:t>
      </w:r>
      <w:r w:rsidR="00FB4809" w:rsidRPr="00A77AF6">
        <w:rPr>
          <w:color w:val="000000"/>
          <w:shd w:val="clear" w:color="auto" w:fill="FFFFFF"/>
        </w:rPr>
        <w:t xml:space="preserve">o </w:t>
      </w:r>
      <w:r w:rsidR="0046451A" w:rsidRPr="00A77AF6">
        <w:rPr>
          <w:color w:val="000000"/>
          <w:shd w:val="clear" w:color="auto" w:fill="FFFFFF"/>
        </w:rPr>
        <w:t>make the findings about</w:t>
      </w:r>
      <w:r w:rsidRPr="00A77AF6">
        <w:rPr>
          <w:color w:val="000000"/>
          <w:shd w:val="clear" w:color="auto" w:fill="FFFFFF"/>
        </w:rPr>
        <w:t xml:space="preserve"> </w:t>
      </w:r>
      <w:r w:rsidR="00FB4809" w:rsidRPr="00A77AF6">
        <w:rPr>
          <w:color w:val="000000"/>
          <w:shd w:val="clear" w:color="auto" w:fill="FFFFFF"/>
        </w:rPr>
        <w:t>ethical predisposition, governance and the measurement of project success more meaningful</w:t>
      </w:r>
      <w:r w:rsidR="004A7E98" w:rsidRPr="00A77AF6">
        <w:rPr>
          <w:color w:val="000000"/>
          <w:shd w:val="clear" w:color="auto" w:fill="FFFFFF"/>
        </w:rPr>
        <w:t>, so t</w:t>
      </w:r>
      <w:r w:rsidR="00CC0026" w:rsidRPr="00A77AF6">
        <w:rPr>
          <w:color w:val="000000"/>
          <w:shd w:val="clear" w:color="auto" w:fill="FFFFFF"/>
        </w:rPr>
        <w:t>o</w:t>
      </w:r>
      <w:r w:rsidR="0046451A" w:rsidRPr="00A77AF6">
        <w:rPr>
          <w:color w:val="000000"/>
          <w:shd w:val="clear" w:color="auto" w:fill="FFFFFF"/>
        </w:rPr>
        <w:t xml:space="preserve"> answer the research questions and to meet the objectives of the study</w:t>
      </w:r>
      <w:r w:rsidR="00CC0026" w:rsidRPr="00A77AF6">
        <w:rPr>
          <w:color w:val="000000"/>
          <w:shd w:val="clear" w:color="auto" w:fill="FFFFFF"/>
        </w:rPr>
        <w:t xml:space="preserve"> including the development of the project assurance model, </w:t>
      </w:r>
      <w:r w:rsidR="00FB4809" w:rsidRPr="00A77AF6">
        <w:rPr>
          <w:color w:val="000000"/>
          <w:shd w:val="clear" w:color="auto" w:fill="FFFFFF"/>
        </w:rPr>
        <w:t xml:space="preserve">it was necessary to </w:t>
      </w:r>
      <w:r w:rsidR="0046451A" w:rsidRPr="00A77AF6">
        <w:rPr>
          <w:color w:val="000000"/>
          <w:shd w:val="clear" w:color="auto" w:fill="FFFFFF"/>
        </w:rPr>
        <w:t>ask experts to offer explanations for the findings</w:t>
      </w:r>
      <w:r w:rsidR="00CC0026" w:rsidRPr="00A77AF6">
        <w:rPr>
          <w:color w:val="000000"/>
          <w:shd w:val="clear" w:color="auto" w:fill="FFFFFF"/>
        </w:rPr>
        <w:t xml:space="preserve"> in the survey. </w:t>
      </w:r>
      <w:r w:rsidR="0046451A" w:rsidRPr="00A77AF6">
        <w:rPr>
          <w:color w:val="000000"/>
          <w:shd w:val="clear" w:color="auto" w:fill="FFFFFF"/>
        </w:rPr>
        <w:t xml:space="preserve">    </w:t>
      </w:r>
    </w:p>
    <w:p w14:paraId="02624191" w14:textId="6D6B69F5" w:rsidR="00EE4EE9" w:rsidRPr="00A77AF6" w:rsidRDefault="00B46DAD" w:rsidP="009D757A">
      <w:pPr>
        <w:pStyle w:val="Heading2"/>
        <w:spacing w:after="240"/>
      </w:pPr>
      <w:bookmarkStart w:id="120" w:name="_Toc36275098"/>
      <w:r w:rsidRPr="00A77AF6">
        <w:t>Data collection</w:t>
      </w:r>
      <w:bookmarkEnd w:id="120"/>
    </w:p>
    <w:p w14:paraId="0B7D8D1C" w14:textId="121D9B0A" w:rsidR="0073758C" w:rsidRPr="00A77AF6" w:rsidRDefault="002E1009" w:rsidP="003907C7">
      <w:pPr>
        <w:spacing w:line="360" w:lineRule="auto"/>
      </w:pPr>
      <w:r w:rsidRPr="00A77AF6">
        <w:t xml:space="preserve">This section describes the design the </w:t>
      </w:r>
      <w:r w:rsidR="00CB0150" w:rsidRPr="00A77AF6">
        <w:t>of the study and the subsequent data collection</w:t>
      </w:r>
      <w:r w:rsidRPr="00A77AF6">
        <w:t xml:space="preserve">. </w:t>
      </w:r>
      <w:r w:rsidR="0073758C" w:rsidRPr="00A77AF6">
        <w:t xml:space="preserve"> </w:t>
      </w:r>
      <w:r w:rsidR="003907C7" w:rsidRPr="00A77AF6">
        <w:t>I</w:t>
      </w:r>
      <w:r w:rsidR="0073758C" w:rsidRPr="00A77AF6">
        <w:t xml:space="preserve">t discusses </w:t>
      </w:r>
      <w:r w:rsidR="003907C7" w:rsidRPr="00A77AF6">
        <w:t>ethics, the</w:t>
      </w:r>
      <w:r w:rsidR="0073758C" w:rsidRPr="00A77AF6">
        <w:t xml:space="preserve"> pilot study, </w:t>
      </w:r>
      <w:r w:rsidR="00CB0150" w:rsidRPr="00A77AF6">
        <w:t xml:space="preserve">the </w:t>
      </w:r>
      <w:r w:rsidR="0073758C" w:rsidRPr="00A77AF6">
        <w:t xml:space="preserve">stages of the study </w:t>
      </w:r>
      <w:r w:rsidR="00CB0150" w:rsidRPr="00A77AF6">
        <w:t>which</w:t>
      </w:r>
      <w:r w:rsidR="0073758C" w:rsidRPr="00A77AF6">
        <w:t xml:space="preserve"> address</w:t>
      </w:r>
      <w:r w:rsidR="00A05486" w:rsidRPr="00A77AF6">
        <w:t>ed</w:t>
      </w:r>
      <w:r w:rsidR="0073758C" w:rsidRPr="00A77AF6">
        <w:t xml:space="preserve"> the research questions</w:t>
      </w:r>
      <w:r w:rsidR="00CB0150" w:rsidRPr="00A77AF6">
        <w:t>, the M</w:t>
      </w:r>
      <w:r w:rsidR="004A7E98" w:rsidRPr="00A77AF6">
        <w:t xml:space="preserve">EV </w:t>
      </w:r>
      <w:r w:rsidR="00CB0150" w:rsidRPr="00A77AF6">
        <w:t xml:space="preserve"> tool (Brady and Wheeler 1996) </w:t>
      </w:r>
      <w:r w:rsidR="0073758C" w:rsidRPr="00A77AF6">
        <w:t xml:space="preserve">and the limitations of the research. </w:t>
      </w:r>
      <w:r w:rsidR="00005402" w:rsidRPr="00A77AF6">
        <w:t xml:space="preserve"> </w:t>
      </w:r>
    </w:p>
    <w:p w14:paraId="77695000" w14:textId="5185F266" w:rsidR="001447FF" w:rsidRPr="00A77AF6" w:rsidRDefault="001447FF" w:rsidP="007E6EAF">
      <w:pPr>
        <w:pStyle w:val="Heading3"/>
        <w:spacing w:after="120"/>
      </w:pPr>
      <w:bookmarkStart w:id="121" w:name="_Toc36275099"/>
      <w:r w:rsidRPr="00A77AF6">
        <w:t>Ethics</w:t>
      </w:r>
      <w:r w:rsidR="00CF6F71" w:rsidRPr="00A77AF6">
        <w:t xml:space="preserve"> approval</w:t>
      </w:r>
      <w:bookmarkEnd w:id="121"/>
    </w:p>
    <w:p w14:paraId="68EB4B5B" w14:textId="1FC0C4CC" w:rsidR="001447FF" w:rsidRPr="00A77AF6" w:rsidRDefault="00F25978" w:rsidP="00A05486">
      <w:pPr>
        <w:spacing w:line="360" w:lineRule="auto"/>
        <w:rPr>
          <w:color w:val="FF0000"/>
        </w:rPr>
      </w:pPr>
      <w:r w:rsidRPr="00A77AF6">
        <w:t xml:space="preserve">It is important to ensure the rights of participants taking part in a study and care was taken to </w:t>
      </w:r>
      <w:r w:rsidR="003F2307" w:rsidRPr="00A77AF6">
        <w:t xml:space="preserve">ensure that no-one came to harm.  </w:t>
      </w:r>
      <w:r w:rsidR="00EB4B2C" w:rsidRPr="00A77AF6">
        <w:t xml:space="preserve">To achieve this, </w:t>
      </w:r>
      <w:r w:rsidR="00C40D9D" w:rsidRPr="00A77AF6">
        <w:t>a</w:t>
      </w:r>
      <w:r w:rsidR="003F2307" w:rsidRPr="00A77AF6">
        <w:t xml:space="preserve">n experienced Director of Studies was appointed as supervisor and the study was reviewed twice by the Ethics Panel of the School of Architecture and the Built Environment of </w:t>
      </w:r>
      <w:r w:rsidR="001C029F" w:rsidRPr="00A77AF6">
        <w:t>LSBU</w:t>
      </w:r>
      <w:r w:rsidR="003F2307" w:rsidRPr="00A77AF6">
        <w:t>.  Approval was given on 28</w:t>
      </w:r>
      <w:r w:rsidR="003F2307" w:rsidRPr="00A77AF6">
        <w:rPr>
          <w:vertAlign w:val="superscript"/>
        </w:rPr>
        <w:t>th</w:t>
      </w:r>
      <w:r w:rsidR="003F2307" w:rsidRPr="00A77AF6">
        <w:t xml:space="preserve"> June 2017 </w:t>
      </w:r>
      <w:r w:rsidR="007E6EAF" w:rsidRPr="00A77AF6">
        <w:t xml:space="preserve">(Appendix </w:t>
      </w:r>
      <w:r w:rsidR="00CC142D">
        <w:t>B</w:t>
      </w:r>
      <w:r w:rsidR="007E6EAF" w:rsidRPr="00A77AF6">
        <w:t>)</w:t>
      </w:r>
      <w:r w:rsidR="003F2307" w:rsidRPr="00A77AF6">
        <w:t xml:space="preserve">.  </w:t>
      </w:r>
      <w:r w:rsidR="001C029F" w:rsidRPr="00A77AF6">
        <w:t>Each respondent gave their consent for participation and use and storage of data as part of the e-survey</w:t>
      </w:r>
      <w:r w:rsidR="00C40D9D" w:rsidRPr="00A77AF6">
        <w:t xml:space="preserve"> (Appendix </w:t>
      </w:r>
      <w:r w:rsidR="00CC142D">
        <w:t>C</w:t>
      </w:r>
      <w:r w:rsidR="00C40D9D" w:rsidRPr="00A77AF6">
        <w:t>)</w:t>
      </w:r>
      <w:r w:rsidR="001C029F" w:rsidRPr="00A77AF6">
        <w:t xml:space="preserve">.  Participants who took part in the face-to-face interviews were asked to sign another consent form.  </w:t>
      </w:r>
      <w:r w:rsidR="00DE71E0" w:rsidRPr="00A77AF6">
        <w:t>Respondents were informed that they could withdraw from the research at any time</w:t>
      </w:r>
      <w:r w:rsidR="007E6EAF" w:rsidRPr="00A77AF6">
        <w:t xml:space="preserve">.  The e-survey </w:t>
      </w:r>
      <w:r w:rsidR="003F2307" w:rsidRPr="00A77AF6">
        <w:t xml:space="preserve">software </w:t>
      </w:r>
      <w:r w:rsidR="007E6EAF" w:rsidRPr="00A77AF6">
        <w:t xml:space="preserve">was paid for </w:t>
      </w:r>
      <w:r w:rsidR="003F2307" w:rsidRPr="00A77AF6">
        <w:t xml:space="preserve">(not a free download) </w:t>
      </w:r>
      <w:r w:rsidR="007E6EAF" w:rsidRPr="00A77AF6">
        <w:t xml:space="preserve">and </w:t>
      </w:r>
      <w:r w:rsidR="003F2307" w:rsidRPr="00A77AF6">
        <w:t xml:space="preserve">was </w:t>
      </w:r>
      <w:r w:rsidR="007E6EAF" w:rsidRPr="00A77AF6">
        <w:t>provided by a well-known established e-survey company whose policy it is not to sell or pass on</w:t>
      </w:r>
      <w:r w:rsidRPr="00A77AF6">
        <w:t xml:space="preserve"> respondents’ data to third parties unless it is required </w:t>
      </w:r>
      <w:r w:rsidR="003F2307" w:rsidRPr="00A77AF6">
        <w:t xml:space="preserve">to release data in compliance with the </w:t>
      </w:r>
      <w:r w:rsidRPr="00A77AF6">
        <w:t xml:space="preserve">law. The company </w:t>
      </w:r>
      <w:r w:rsidR="003F2307" w:rsidRPr="00A77AF6">
        <w:t>does</w:t>
      </w:r>
      <w:r w:rsidRPr="00A77AF6">
        <w:t xml:space="preserve"> not re-use the emails of respondents and data was covered by EU law.  </w:t>
      </w:r>
      <w:r w:rsidR="003F2307" w:rsidRPr="00A77AF6">
        <w:t xml:space="preserve">Data was accessed by a unique name and password.  </w:t>
      </w:r>
      <w:r w:rsidRPr="00A77AF6">
        <w:t xml:space="preserve">Now that the account is no longer active, data is archived and no longer accessible.  Interview data was transcribed and held </w:t>
      </w:r>
      <w:r w:rsidR="003F2307" w:rsidRPr="00A77AF6">
        <w:t>o</w:t>
      </w:r>
      <w:r w:rsidRPr="00A77AF6">
        <w:t xml:space="preserve">n a personal </w:t>
      </w:r>
      <w:r w:rsidR="003F2307" w:rsidRPr="00A77AF6">
        <w:t>computer</w:t>
      </w:r>
      <w:r w:rsidR="00FA1D75" w:rsidRPr="00A77AF6">
        <w:t xml:space="preserve"> which was protected by anti-virus software and a firewall.  The name of the respondent or organisation was not included in the study.   </w:t>
      </w:r>
      <w:r w:rsidR="003F2307" w:rsidRPr="00A77AF6">
        <w:t xml:space="preserve">   </w:t>
      </w:r>
    </w:p>
    <w:p w14:paraId="37E45DC1" w14:textId="530ED8DD" w:rsidR="00770032" w:rsidRPr="00A77AF6" w:rsidRDefault="00A05486" w:rsidP="00F878A8">
      <w:pPr>
        <w:pStyle w:val="Heading3"/>
        <w:spacing w:after="120"/>
      </w:pPr>
      <w:bookmarkStart w:id="122" w:name="_Toc36275100"/>
      <w:r w:rsidRPr="00A77AF6">
        <w:t>Pre-testing</w:t>
      </w:r>
      <w:bookmarkEnd w:id="122"/>
    </w:p>
    <w:p w14:paraId="4EED7A59" w14:textId="4A281910" w:rsidR="00770032" w:rsidRPr="00A77AF6" w:rsidRDefault="00FA1D75" w:rsidP="00A05486">
      <w:pPr>
        <w:spacing w:line="360" w:lineRule="auto"/>
        <w:rPr>
          <w:rFonts w:cstheme="minorHAnsi"/>
        </w:rPr>
      </w:pPr>
      <w:r w:rsidRPr="00A77AF6">
        <w:t xml:space="preserve">Following the </w:t>
      </w:r>
      <w:r w:rsidR="00770032" w:rsidRPr="00A77AF6">
        <w:t xml:space="preserve">literature </w:t>
      </w:r>
      <w:r w:rsidR="00B24BBD" w:rsidRPr="00A77AF6">
        <w:t>review the</w:t>
      </w:r>
      <w:r w:rsidR="00770032" w:rsidRPr="00A77AF6">
        <w:t xml:space="preserve"> research framework and </w:t>
      </w:r>
      <w:r w:rsidRPr="00A77AF6">
        <w:t xml:space="preserve">pilot </w:t>
      </w:r>
      <w:r w:rsidR="00770032" w:rsidRPr="00A77AF6">
        <w:t xml:space="preserve">survey questionnaire were developed.  </w:t>
      </w:r>
      <w:r w:rsidR="00770032" w:rsidRPr="00A77AF6">
        <w:rPr>
          <w:rFonts w:cstheme="minorHAnsi"/>
        </w:rPr>
        <w:t xml:space="preserve">The e-survey was </w:t>
      </w:r>
      <w:r w:rsidR="00A05486" w:rsidRPr="00A77AF6">
        <w:rPr>
          <w:rFonts w:cstheme="minorHAnsi"/>
        </w:rPr>
        <w:t xml:space="preserve">pre-tested </w:t>
      </w:r>
      <w:r w:rsidR="00770032" w:rsidRPr="00A77AF6">
        <w:rPr>
          <w:rFonts w:cstheme="minorHAnsi"/>
        </w:rPr>
        <w:t xml:space="preserve">by three practicing project personnel working on NHS projects. Feedback was provided which resulted in the correction of some typographical errors </w:t>
      </w:r>
      <w:r w:rsidR="00770032" w:rsidRPr="00A77AF6">
        <w:rPr>
          <w:rFonts w:cstheme="minorHAnsi"/>
        </w:rPr>
        <w:lastRenderedPageBreak/>
        <w:t xml:space="preserve">and the removal of </w:t>
      </w:r>
      <w:r w:rsidRPr="00A77AF6">
        <w:rPr>
          <w:rFonts w:cstheme="minorHAnsi"/>
        </w:rPr>
        <w:t xml:space="preserve">a </w:t>
      </w:r>
      <w:r w:rsidR="00770032" w:rsidRPr="00A77AF6">
        <w:rPr>
          <w:rFonts w:cstheme="minorHAnsi"/>
        </w:rPr>
        <w:t xml:space="preserve">question </w:t>
      </w:r>
      <w:r w:rsidRPr="00A77AF6">
        <w:rPr>
          <w:rFonts w:cstheme="minorHAnsi"/>
        </w:rPr>
        <w:t xml:space="preserve">on the </w:t>
      </w:r>
      <w:r w:rsidR="00EB4B2C" w:rsidRPr="00A77AF6">
        <w:rPr>
          <w:rFonts w:cstheme="minorHAnsi"/>
        </w:rPr>
        <w:t>‘</w:t>
      </w:r>
      <w:r w:rsidRPr="00A77AF6">
        <w:rPr>
          <w:rFonts w:cstheme="minorHAnsi"/>
        </w:rPr>
        <w:t>8 Common Causes of Project Failure</w:t>
      </w:r>
      <w:r w:rsidR="00EB4B2C" w:rsidRPr="00A77AF6">
        <w:rPr>
          <w:rFonts w:cstheme="minorHAnsi"/>
        </w:rPr>
        <w:t>’</w:t>
      </w:r>
      <w:r w:rsidRPr="00A77AF6">
        <w:rPr>
          <w:rFonts w:cstheme="minorHAnsi"/>
        </w:rPr>
        <w:t xml:space="preserve"> </w:t>
      </w:r>
      <w:r w:rsidR="00977167" w:rsidRPr="00A77AF6">
        <w:rPr>
          <w:rFonts w:cstheme="minorHAnsi"/>
        </w:rPr>
        <w:t>because</w:t>
      </w:r>
      <w:r w:rsidR="00770032" w:rsidRPr="00A77AF6">
        <w:rPr>
          <w:rFonts w:cstheme="minorHAnsi"/>
        </w:rPr>
        <w:t xml:space="preserve"> feedback suggested that this was too confusing, too difficult to answer and lengthened the questionnaire</w:t>
      </w:r>
      <w:r w:rsidR="00195BA0" w:rsidRPr="00A77AF6">
        <w:rPr>
          <w:rFonts w:cstheme="minorHAnsi"/>
        </w:rPr>
        <w:t>.</w:t>
      </w:r>
    </w:p>
    <w:p w14:paraId="2D3989B7" w14:textId="56524405" w:rsidR="00FC3FB1" w:rsidRPr="00A77AF6" w:rsidRDefault="00FC3FB1" w:rsidP="00FC3FB1">
      <w:pPr>
        <w:pStyle w:val="Heading3"/>
        <w:spacing w:after="120"/>
      </w:pPr>
      <w:bookmarkStart w:id="123" w:name="_Toc36275101"/>
      <w:r w:rsidRPr="00A77AF6">
        <w:t>Data collection</w:t>
      </w:r>
      <w:bookmarkEnd w:id="123"/>
      <w:r w:rsidRPr="00A77AF6">
        <w:t xml:space="preserve">  </w:t>
      </w:r>
    </w:p>
    <w:p w14:paraId="1BBFEED1" w14:textId="5D017907" w:rsidR="00FC3FB1" w:rsidRPr="00A77AF6" w:rsidRDefault="00FC3FB1" w:rsidP="00FC3FB1">
      <w:pPr>
        <w:spacing w:line="360" w:lineRule="auto"/>
      </w:pPr>
      <w:r w:rsidRPr="00A77AF6">
        <w:t xml:space="preserve">The instruments for the collection of data, the survey and interview, are discussed and linked to the literature in this research area. Where possible data was collected with instruments that had been validated through publication.   These were, Brady and Wheeler’s (1996) MEV and Pinto’s </w:t>
      </w:r>
      <w:r w:rsidR="00D96E33" w:rsidRPr="00A77AF6">
        <w:t xml:space="preserve">Project Implementation Profile (1990). </w:t>
      </w:r>
      <w:r w:rsidRPr="00A77AF6">
        <w:t xml:space="preserve"> Where measures were not available, they were created specifically for this study.  These included the measures for the effectiveness of corporate and project governance and project success.  Semi structure interviews with three questions were developed for the qualitative phase. </w:t>
      </w:r>
    </w:p>
    <w:p w14:paraId="113F4B08" w14:textId="237D5F5B" w:rsidR="00265647" w:rsidRPr="00A77AF6" w:rsidRDefault="003E3145" w:rsidP="004A7E98">
      <w:pPr>
        <w:pStyle w:val="Heading4"/>
        <w:numPr>
          <w:ilvl w:val="0"/>
          <w:numId w:val="0"/>
        </w:numPr>
        <w:spacing w:after="120"/>
        <w:ind w:left="862" w:hanging="862"/>
      </w:pPr>
      <w:r w:rsidRPr="00A77AF6">
        <w:t>E</w:t>
      </w:r>
      <w:r w:rsidR="009E5133" w:rsidRPr="00A77AF6">
        <w:t>-s</w:t>
      </w:r>
      <w:r w:rsidR="00265647" w:rsidRPr="00A77AF6">
        <w:t>urvey</w:t>
      </w:r>
    </w:p>
    <w:p w14:paraId="153E4BA9" w14:textId="54B0EF15" w:rsidR="00952CB1" w:rsidRPr="00A77AF6" w:rsidRDefault="00A05486" w:rsidP="00A05486">
      <w:pPr>
        <w:spacing w:line="360" w:lineRule="auto"/>
      </w:pPr>
      <w:r w:rsidRPr="00A77AF6">
        <w:t>The</w:t>
      </w:r>
      <w:r w:rsidR="00AA5915" w:rsidRPr="00A77AF6">
        <w:t xml:space="preserve"> </w:t>
      </w:r>
      <w:r w:rsidRPr="00A77AF6">
        <w:t>e-s</w:t>
      </w:r>
      <w:r w:rsidR="00C05C32" w:rsidRPr="00A77AF6">
        <w:t xml:space="preserve">urvey </w:t>
      </w:r>
      <w:r w:rsidR="00EB4B2C" w:rsidRPr="00A77AF6">
        <w:t xml:space="preserve">was </w:t>
      </w:r>
      <w:r w:rsidR="00C05C32" w:rsidRPr="00A77AF6">
        <w:t>developed using commercially available software</w:t>
      </w:r>
      <w:r w:rsidR="009E5133" w:rsidRPr="00A77AF6">
        <w:t xml:space="preserve"> to establish t</w:t>
      </w:r>
      <w:r w:rsidR="00272720" w:rsidRPr="00A77AF6">
        <w:t xml:space="preserve">he ethical predisposition of respondents, demographic information, </w:t>
      </w:r>
      <w:r w:rsidR="004A7E98" w:rsidRPr="00A77AF6">
        <w:t xml:space="preserve">some </w:t>
      </w:r>
      <w:r w:rsidRPr="00A77AF6">
        <w:t xml:space="preserve">project </w:t>
      </w:r>
      <w:r w:rsidR="00272720" w:rsidRPr="00A77AF6">
        <w:t>information</w:t>
      </w:r>
      <w:r w:rsidRPr="00A77AF6">
        <w:t xml:space="preserve">, </w:t>
      </w:r>
      <w:r w:rsidR="009E5133" w:rsidRPr="00A77AF6">
        <w:t xml:space="preserve">project </w:t>
      </w:r>
      <w:r w:rsidR="00F11234" w:rsidRPr="00A77AF6">
        <w:t>success</w:t>
      </w:r>
      <w:r w:rsidR="004A7E98" w:rsidRPr="00A77AF6">
        <w:t xml:space="preserve"> data</w:t>
      </w:r>
      <w:r w:rsidR="009E5133" w:rsidRPr="00A77AF6">
        <w:t xml:space="preserve">, </w:t>
      </w:r>
      <w:r w:rsidR="00272720" w:rsidRPr="00A77AF6">
        <w:t xml:space="preserve">the effectiveness of corporate </w:t>
      </w:r>
      <w:r w:rsidR="00F11234" w:rsidRPr="00A77AF6">
        <w:t xml:space="preserve">and project </w:t>
      </w:r>
      <w:r w:rsidR="00272720" w:rsidRPr="00A77AF6">
        <w:t>governance</w:t>
      </w:r>
      <w:r w:rsidR="00F11234" w:rsidRPr="00A77AF6">
        <w:t xml:space="preserve"> </w:t>
      </w:r>
      <w:r w:rsidR="00272720" w:rsidRPr="00A77AF6">
        <w:t>and opinions about wh</w:t>
      </w:r>
      <w:r w:rsidRPr="00A77AF6">
        <w:t xml:space="preserve">ich </w:t>
      </w:r>
      <w:r w:rsidR="00272720" w:rsidRPr="00A77AF6">
        <w:t>factors ma</w:t>
      </w:r>
      <w:r w:rsidRPr="00A77AF6">
        <w:t>de</w:t>
      </w:r>
      <w:r w:rsidR="00272720" w:rsidRPr="00A77AF6">
        <w:t xml:space="preserve"> project</w:t>
      </w:r>
      <w:r w:rsidRPr="00A77AF6">
        <w:t>s</w:t>
      </w:r>
      <w:r w:rsidR="00272720" w:rsidRPr="00A77AF6">
        <w:t xml:space="preserve"> successful. </w:t>
      </w:r>
      <w:r w:rsidR="00952CB1" w:rsidRPr="00A77AF6">
        <w:t xml:space="preserve"> The survey consisted of 2</w:t>
      </w:r>
      <w:r w:rsidRPr="00A77AF6">
        <w:t>3</w:t>
      </w:r>
      <w:r w:rsidR="00952CB1" w:rsidRPr="00A77AF6">
        <w:t xml:space="preserve"> questions </w:t>
      </w:r>
      <w:r w:rsidR="00CC142D" w:rsidRPr="00CC142D">
        <w:t>(Appendix C)</w:t>
      </w:r>
      <w:r w:rsidR="00CC142D">
        <w:t xml:space="preserve"> </w:t>
      </w:r>
      <w:r w:rsidR="00952CB1" w:rsidRPr="00A77AF6">
        <w:t xml:space="preserve">and the rationale for each question in Stage 1 is in </w:t>
      </w:r>
      <w:r w:rsidR="00033265" w:rsidRPr="00A77AF6">
        <w:t>T</w:t>
      </w:r>
      <w:r w:rsidR="00952CB1" w:rsidRPr="00A77AF6">
        <w:t xml:space="preserve">able </w:t>
      </w:r>
      <w:r w:rsidR="004A7E98" w:rsidRPr="00A77AF6">
        <w:t>5-</w:t>
      </w:r>
      <w:r w:rsidR="004A7E98" w:rsidRPr="00CC142D">
        <w:t>3</w:t>
      </w:r>
      <w:r w:rsidR="00CC142D">
        <w:t xml:space="preserve">. </w:t>
      </w:r>
    </w:p>
    <w:p w14:paraId="075635AE" w14:textId="1830C3AD" w:rsidR="00322CD9" w:rsidRPr="00A77AF6" w:rsidRDefault="001069AD" w:rsidP="00A05486">
      <w:pPr>
        <w:spacing w:line="360" w:lineRule="auto"/>
      </w:pPr>
      <w:r w:rsidRPr="00A77AF6">
        <w:t>Respondents were contacted individually</w:t>
      </w:r>
      <w:r w:rsidR="00B52C01" w:rsidRPr="00A77AF6">
        <w:t xml:space="preserve"> through email or LinkedIn</w:t>
      </w:r>
      <w:r w:rsidRPr="00A77AF6">
        <w:t xml:space="preserve">.  </w:t>
      </w:r>
      <w:r w:rsidR="000B0847" w:rsidRPr="00A77AF6">
        <w:t xml:space="preserve">NHS staff were contacted </w:t>
      </w:r>
      <w:r w:rsidR="003329F1" w:rsidRPr="00A77AF6">
        <w:t>by</w:t>
      </w:r>
      <w:r w:rsidR="000B0847" w:rsidRPr="00A77AF6">
        <w:t xml:space="preserve"> telephone to obtain an email address to which the e-survey could be sent.  </w:t>
      </w:r>
      <w:r w:rsidR="00B52C01" w:rsidRPr="00A77AF6">
        <w:t xml:space="preserve">This approach was necessary </w:t>
      </w:r>
      <w:r w:rsidRPr="00A77AF6">
        <w:t xml:space="preserve">because email addresses for NHS staff are not </w:t>
      </w:r>
      <w:r w:rsidR="00B52C01" w:rsidRPr="00A77AF6">
        <w:t>publicly available</w:t>
      </w:r>
      <w:r w:rsidR="007D6CC5" w:rsidRPr="00A77AF6">
        <w:t>,</w:t>
      </w:r>
      <w:r w:rsidR="00B52C01" w:rsidRPr="00A77AF6">
        <w:t xml:space="preserve"> so to get an email address </w:t>
      </w:r>
      <w:r w:rsidR="00A05486" w:rsidRPr="00A77AF6">
        <w:t>each</w:t>
      </w:r>
      <w:r w:rsidR="00B52C01" w:rsidRPr="00A77AF6">
        <w:t xml:space="preserve"> Trust had to be telephoned individually</w:t>
      </w:r>
      <w:r w:rsidR="004E226D" w:rsidRPr="00A77AF6">
        <w:t xml:space="preserve"> and email addresses requested from a relevant department. </w:t>
      </w:r>
      <w:r w:rsidR="008568BE" w:rsidRPr="00A77AF6">
        <w:t xml:space="preserve"> To do this a list of 437 NHS Trusts was obtained from</w:t>
      </w:r>
      <w:r w:rsidR="00855186" w:rsidRPr="00A77AF6">
        <w:t xml:space="preserve"> NHS Digital </w:t>
      </w:r>
      <w:r w:rsidR="00B24BBD" w:rsidRPr="00A77AF6">
        <w:t>via the</w:t>
      </w:r>
      <w:r w:rsidR="008568BE" w:rsidRPr="00A77AF6">
        <w:t xml:space="preserve"> intern</w:t>
      </w:r>
      <w:r w:rsidR="00295627" w:rsidRPr="00A77AF6">
        <w:t xml:space="preserve">et, </w:t>
      </w:r>
      <w:r w:rsidR="008568BE" w:rsidRPr="00A77AF6">
        <w:t>of those, 236 were provider Trusts and therefore eligible to take part.  Each Trust</w:t>
      </w:r>
      <w:r w:rsidR="00EB4B2C" w:rsidRPr="00A77AF6">
        <w:t>’s</w:t>
      </w:r>
      <w:r w:rsidR="008568BE" w:rsidRPr="00A77AF6">
        <w:t xml:space="preserve"> phone number was found from the Trust’s website, the switchboard was contacted and then the Estates Department</w:t>
      </w:r>
      <w:r w:rsidR="007D71A3" w:rsidRPr="00A77AF6">
        <w:t xml:space="preserve"> or Project Department</w:t>
      </w:r>
      <w:r w:rsidR="008568BE" w:rsidRPr="00A77AF6">
        <w:t xml:space="preserve">.  </w:t>
      </w:r>
      <w:r w:rsidR="008A6071" w:rsidRPr="00A77AF6">
        <w:t>(</w:t>
      </w:r>
      <w:r w:rsidR="00855186" w:rsidRPr="00A77AF6">
        <w:t xml:space="preserve">Appendix </w:t>
      </w:r>
      <w:r w:rsidR="00F21C3D" w:rsidRPr="00A77AF6">
        <w:t>D</w:t>
      </w:r>
      <w:r w:rsidR="008A6071" w:rsidRPr="00A77AF6">
        <w:t xml:space="preserve"> for list of NHS </w:t>
      </w:r>
      <w:r w:rsidR="00BB71A2" w:rsidRPr="00A77AF6">
        <w:t>trusts</w:t>
      </w:r>
      <w:r w:rsidR="008A6071" w:rsidRPr="00A77AF6">
        <w:t>)</w:t>
      </w:r>
      <w:r w:rsidR="00855186" w:rsidRPr="00A77AF6">
        <w:t xml:space="preserve">.  </w:t>
      </w:r>
      <w:r w:rsidR="008568BE" w:rsidRPr="00A77AF6">
        <w:t>The purpose of the study was explained to the operative</w:t>
      </w:r>
      <w:r w:rsidR="00CB0F88" w:rsidRPr="00A77AF6">
        <w:t xml:space="preserve"> who then either provided an email address for a potential respondent </w:t>
      </w:r>
      <w:r w:rsidR="00541CEF" w:rsidRPr="00A77AF6">
        <w:t>or declined to do so.</w:t>
      </w:r>
      <w:r w:rsidR="009C2927" w:rsidRPr="00A77AF6">
        <w:t xml:space="preserve">  </w:t>
      </w:r>
      <w:r w:rsidR="005A10F2" w:rsidRPr="00A77AF6">
        <w:t xml:space="preserve">This </w:t>
      </w:r>
      <w:r w:rsidR="00541CEF" w:rsidRPr="00A77AF6">
        <w:t xml:space="preserve">process </w:t>
      </w:r>
      <w:r w:rsidR="005A10F2" w:rsidRPr="00A77AF6">
        <w:t xml:space="preserve">took several </w:t>
      </w:r>
      <w:r w:rsidR="00F777E0" w:rsidRPr="00A77AF6">
        <w:t>weeks,</w:t>
      </w:r>
      <w:r w:rsidR="005A10F2" w:rsidRPr="00A77AF6">
        <w:t xml:space="preserve"> </w:t>
      </w:r>
      <w:r w:rsidR="00FA60B9" w:rsidRPr="00A77AF6">
        <w:t>some requests were</w:t>
      </w:r>
      <w:r w:rsidR="005A10F2" w:rsidRPr="00A77AF6">
        <w:t xml:space="preserve"> </w:t>
      </w:r>
      <w:r w:rsidR="00A05486" w:rsidRPr="00A77AF6">
        <w:t>refused,</w:t>
      </w:r>
      <w:r w:rsidR="009C2927" w:rsidRPr="00A77AF6">
        <w:t xml:space="preserve"> and </w:t>
      </w:r>
      <w:r w:rsidR="00A05486" w:rsidRPr="00A77AF6">
        <w:t>some</w:t>
      </w:r>
      <w:r w:rsidR="009C2927" w:rsidRPr="00A77AF6">
        <w:t xml:space="preserve"> email addresses </w:t>
      </w:r>
      <w:r w:rsidR="00E131C4" w:rsidRPr="00A77AF6">
        <w:t xml:space="preserve">provided </w:t>
      </w:r>
      <w:r w:rsidR="009C2927" w:rsidRPr="00A77AF6">
        <w:t xml:space="preserve">were not valid.  </w:t>
      </w:r>
      <w:r w:rsidR="00632AF2" w:rsidRPr="00A77AF6">
        <w:t>Often</w:t>
      </w:r>
      <w:r w:rsidR="005A10F2" w:rsidRPr="00A77AF6">
        <w:t xml:space="preserve"> it was not possible to get through to departments, </w:t>
      </w:r>
      <w:r w:rsidR="00632AF2" w:rsidRPr="00A77AF6">
        <w:t xml:space="preserve">so </w:t>
      </w:r>
      <w:r w:rsidR="005A10F2" w:rsidRPr="00A77AF6">
        <w:t>a maxim</w:t>
      </w:r>
      <w:r w:rsidR="00FA60B9" w:rsidRPr="00A77AF6">
        <w:t>um</w:t>
      </w:r>
      <w:r w:rsidR="005A10F2" w:rsidRPr="00A77AF6">
        <w:t xml:space="preserve"> of 5 attempts w</w:t>
      </w:r>
      <w:r w:rsidR="00FA60B9" w:rsidRPr="00A77AF6">
        <w:t xml:space="preserve">ere </w:t>
      </w:r>
      <w:r w:rsidR="005A10F2" w:rsidRPr="00A77AF6">
        <w:t>made</w:t>
      </w:r>
      <w:r w:rsidR="00FA60B9" w:rsidRPr="00A77AF6">
        <w:t xml:space="preserve"> for each Trust</w:t>
      </w:r>
      <w:r w:rsidR="005A10F2" w:rsidRPr="00A77AF6">
        <w:t xml:space="preserve">.  </w:t>
      </w:r>
      <w:r w:rsidR="00A05486" w:rsidRPr="00A77AF6">
        <w:t xml:space="preserve">An email containing a link to the e-survey was sent to 138 NHS email addresses. </w:t>
      </w:r>
      <w:r w:rsidR="008568BE" w:rsidRPr="00A77AF6">
        <w:t xml:space="preserve">Sixty-five LinkedIn contacts were </w:t>
      </w:r>
      <w:r w:rsidR="00A05486" w:rsidRPr="00A77AF6">
        <w:t xml:space="preserve">also </w:t>
      </w:r>
      <w:r w:rsidR="008568BE" w:rsidRPr="00A77AF6">
        <w:t xml:space="preserve">approached.  </w:t>
      </w:r>
    </w:p>
    <w:p w14:paraId="4B22F15A" w14:textId="79F518BB" w:rsidR="00A62E36" w:rsidRPr="00A77AF6" w:rsidRDefault="00C931EA" w:rsidP="00A05486">
      <w:pPr>
        <w:spacing w:line="360" w:lineRule="auto"/>
      </w:pPr>
      <w:r w:rsidRPr="00A77AF6">
        <w:t>O</w:t>
      </w:r>
      <w:r w:rsidR="008568BE" w:rsidRPr="00A77AF6">
        <w:t>f 20</w:t>
      </w:r>
      <w:r w:rsidR="009C2927" w:rsidRPr="00A77AF6">
        <w:t>3</w:t>
      </w:r>
      <w:r w:rsidR="008568BE" w:rsidRPr="00A77AF6">
        <w:t xml:space="preserve"> approaches </w:t>
      </w:r>
      <w:r w:rsidR="009C2927" w:rsidRPr="00A77AF6">
        <w:t xml:space="preserve">(138 </w:t>
      </w:r>
      <w:r w:rsidR="00F50A9B" w:rsidRPr="00A77AF6">
        <w:t xml:space="preserve">NHS </w:t>
      </w:r>
      <w:r w:rsidR="009C2927" w:rsidRPr="00A77AF6">
        <w:t xml:space="preserve">emails and 65 LinkedIn requests), </w:t>
      </w:r>
      <w:r w:rsidR="00322CD9" w:rsidRPr="00A77AF6">
        <w:t xml:space="preserve">87 were attempted, and </w:t>
      </w:r>
      <w:r w:rsidR="008568BE" w:rsidRPr="00A77AF6">
        <w:t>5</w:t>
      </w:r>
      <w:r w:rsidR="00FA60B9" w:rsidRPr="00A77AF6">
        <w:t>1</w:t>
      </w:r>
      <w:r w:rsidR="008568BE" w:rsidRPr="00A77AF6">
        <w:t xml:space="preserve"> usable surveys wer</w:t>
      </w:r>
      <w:r w:rsidR="009C2927" w:rsidRPr="00A77AF6">
        <w:t>e obtained</w:t>
      </w:r>
      <w:r w:rsidR="000D2BFF" w:rsidRPr="00A77AF6">
        <w:t xml:space="preserve"> from NHS employees and professionals who</w:t>
      </w:r>
      <w:r w:rsidR="00322CD9" w:rsidRPr="00A77AF6">
        <w:t xml:space="preserve"> had</w:t>
      </w:r>
      <w:r w:rsidR="000D2BFF" w:rsidRPr="00A77AF6">
        <w:t xml:space="preserve"> worked on NHS construction projects</w:t>
      </w:r>
      <w:r w:rsidR="00322CD9" w:rsidRPr="00A77AF6">
        <w:t xml:space="preserve"> on the client-side</w:t>
      </w:r>
      <w:r w:rsidR="00A05486" w:rsidRPr="00A77AF6">
        <w:t>.  T</w:t>
      </w:r>
      <w:r w:rsidR="000D2BFF" w:rsidRPr="00A77AF6">
        <w:t xml:space="preserve">his was </w:t>
      </w:r>
      <w:r w:rsidR="009C2927" w:rsidRPr="00A77AF6">
        <w:t xml:space="preserve">a </w:t>
      </w:r>
      <w:r w:rsidRPr="00A77AF6">
        <w:t>response</w:t>
      </w:r>
      <w:r w:rsidR="009C2927" w:rsidRPr="00A77AF6">
        <w:t xml:space="preserve"> rate of 2</w:t>
      </w:r>
      <w:r w:rsidR="00FA60B9" w:rsidRPr="00A77AF6">
        <w:t>5</w:t>
      </w:r>
      <w:r w:rsidR="008568BE" w:rsidRPr="00A77AF6">
        <w:t>%</w:t>
      </w:r>
      <w:r w:rsidR="00A05486" w:rsidRPr="00A77AF6">
        <w:t xml:space="preserve"> and meant that 20% </w:t>
      </w:r>
      <w:r w:rsidR="00A05486" w:rsidRPr="00A77AF6">
        <w:lastRenderedPageBreak/>
        <w:t>(one fifth) of all NHS provider Trusts in England took part in the survey</w:t>
      </w:r>
      <w:r w:rsidR="008E588C" w:rsidRPr="00A77AF6">
        <w:t>.</w:t>
      </w:r>
      <w:r w:rsidR="00855186" w:rsidRPr="00A77AF6">
        <w:t xml:space="preserve"> </w:t>
      </w:r>
      <w:r w:rsidRPr="00A77AF6">
        <w:t xml:space="preserve"> </w:t>
      </w:r>
      <w:r w:rsidR="00E131C4" w:rsidRPr="00A77AF6">
        <w:t>It is well documented that online surveys have a poorer response rate tha</w:t>
      </w:r>
      <w:r w:rsidR="00A62E36" w:rsidRPr="00A77AF6">
        <w:t>n</w:t>
      </w:r>
      <w:r w:rsidR="00E131C4" w:rsidRPr="00A77AF6">
        <w:t xml:space="preserve"> paper surveys </w:t>
      </w:r>
      <w:sdt>
        <w:sdtPr>
          <w:id w:val="-486397083"/>
          <w:citation/>
        </w:sdtPr>
        <w:sdtEndPr/>
        <w:sdtContent>
          <w:r w:rsidR="00E131C4" w:rsidRPr="00A77AF6">
            <w:fldChar w:fldCharType="begin"/>
          </w:r>
          <w:r w:rsidR="00E131C4" w:rsidRPr="00A77AF6">
            <w:instrText xml:space="preserve"> CITATION Nul08 \l 2057 </w:instrText>
          </w:r>
          <w:r w:rsidR="00E131C4" w:rsidRPr="00A77AF6">
            <w:fldChar w:fldCharType="separate"/>
          </w:r>
          <w:r w:rsidR="008E653F" w:rsidRPr="00A77AF6">
            <w:t>(Nulty, 2008)</w:t>
          </w:r>
          <w:r w:rsidR="00E131C4" w:rsidRPr="00A77AF6">
            <w:fldChar w:fldCharType="end"/>
          </w:r>
        </w:sdtContent>
      </w:sdt>
      <w:r w:rsidR="00C20818" w:rsidRPr="00A77AF6">
        <w:t xml:space="preserve"> and</w:t>
      </w:r>
      <w:r w:rsidR="00A62E36" w:rsidRPr="00A77AF6">
        <w:t xml:space="preserve"> q</w:t>
      </w:r>
      <w:r w:rsidRPr="00A77AF6">
        <w:t xml:space="preserve">uestions </w:t>
      </w:r>
      <w:r w:rsidR="00A62E36" w:rsidRPr="00A77AF6">
        <w:t xml:space="preserve">of </w:t>
      </w:r>
      <w:r w:rsidRPr="00A77AF6">
        <w:t xml:space="preserve">response rates </w:t>
      </w:r>
      <w:r w:rsidR="00E131C4" w:rsidRPr="00A77AF6">
        <w:t xml:space="preserve">are </w:t>
      </w:r>
      <w:r w:rsidRPr="00A77AF6">
        <w:t xml:space="preserve">addressed here because response rates </w:t>
      </w:r>
      <w:r w:rsidR="00322CD9" w:rsidRPr="00A77AF6">
        <w:t>can be used to</w:t>
      </w:r>
      <w:r w:rsidRPr="00A77AF6">
        <w:t xml:space="preserve"> assess data quality</w:t>
      </w:r>
      <w:r w:rsidR="00E131C4" w:rsidRPr="00A77AF6">
        <w:t xml:space="preserve"> </w:t>
      </w:r>
      <w:sdt>
        <w:sdtPr>
          <w:id w:val="-323820498"/>
          <w:citation/>
        </w:sdtPr>
        <w:sdtEndPr/>
        <w:sdtContent>
          <w:r w:rsidR="00E131C4" w:rsidRPr="00A77AF6">
            <w:fldChar w:fldCharType="begin"/>
          </w:r>
          <w:r w:rsidR="00E131C4" w:rsidRPr="00A77AF6">
            <w:instrText xml:space="preserve"> CITATION Sal12 \l 2057 </w:instrText>
          </w:r>
          <w:r w:rsidR="00E131C4" w:rsidRPr="00A77AF6">
            <w:fldChar w:fldCharType="separate"/>
          </w:r>
          <w:r w:rsidR="008E653F" w:rsidRPr="00A77AF6">
            <w:t>(Salvidar, 2012)</w:t>
          </w:r>
          <w:r w:rsidR="00E131C4" w:rsidRPr="00A77AF6">
            <w:fldChar w:fldCharType="end"/>
          </w:r>
        </w:sdtContent>
      </w:sdt>
      <w:r w:rsidR="007A3803" w:rsidRPr="00A77AF6">
        <w:t xml:space="preserve"> a</w:t>
      </w:r>
      <w:r w:rsidR="00C20818" w:rsidRPr="00A77AF6">
        <w:t xml:space="preserve">s </w:t>
      </w:r>
      <w:r w:rsidR="007A3803" w:rsidRPr="00A77AF6">
        <w:t xml:space="preserve">higher non-responses </w:t>
      </w:r>
      <w:r w:rsidR="00322CD9" w:rsidRPr="00A77AF6">
        <w:t xml:space="preserve">rates </w:t>
      </w:r>
      <w:r w:rsidR="00A62E36" w:rsidRPr="00A77AF6">
        <w:t xml:space="preserve">can </w:t>
      </w:r>
      <w:r w:rsidR="00C20818" w:rsidRPr="00A77AF6">
        <w:t xml:space="preserve">sometime </w:t>
      </w:r>
      <w:r w:rsidR="00A62E36" w:rsidRPr="00A77AF6">
        <w:t xml:space="preserve">be assumed to result in </w:t>
      </w:r>
      <w:r w:rsidR="007A3803" w:rsidRPr="00A77AF6">
        <w:t xml:space="preserve">less </w:t>
      </w:r>
      <w:r w:rsidR="00322CD9" w:rsidRPr="00A77AF6">
        <w:t xml:space="preserve">reliable </w:t>
      </w:r>
      <w:r w:rsidR="007A3803" w:rsidRPr="00A77AF6">
        <w:t>data</w:t>
      </w:r>
      <w:r w:rsidR="00322CD9" w:rsidRPr="00A77AF6">
        <w:t xml:space="preserve">. </w:t>
      </w:r>
      <w:r w:rsidR="007A3803" w:rsidRPr="00A77AF6">
        <w:t xml:space="preserve"> </w:t>
      </w:r>
      <w:r w:rsidR="003B725B" w:rsidRPr="00A77AF6">
        <w:t xml:space="preserve">This view has been challenged </w:t>
      </w:r>
      <w:r w:rsidR="00A458E1" w:rsidRPr="00A77AF6">
        <w:t xml:space="preserve">and </w:t>
      </w:r>
      <w:r w:rsidR="00E131C4" w:rsidRPr="00A77AF6">
        <w:t xml:space="preserve">Fosnacht, et al (2017) </w:t>
      </w:r>
      <w:r w:rsidR="00A458E1" w:rsidRPr="00A77AF6">
        <w:t>found</w:t>
      </w:r>
      <w:r w:rsidR="00E131C4" w:rsidRPr="00A77AF6">
        <w:t xml:space="preserve"> </w:t>
      </w:r>
      <w:r w:rsidR="00A458E1" w:rsidRPr="00A77AF6">
        <w:t xml:space="preserve">little difference in nonresponse bias between </w:t>
      </w:r>
      <w:r w:rsidR="00E131C4" w:rsidRPr="00A77AF6">
        <w:t xml:space="preserve">rates as diverse as </w:t>
      </w:r>
      <w:r w:rsidR="00A458E1" w:rsidRPr="00A77AF6">
        <w:t xml:space="preserve">5% and 75% and concluded that researchers </w:t>
      </w:r>
      <w:r w:rsidR="00E131C4" w:rsidRPr="00A77AF6">
        <w:t xml:space="preserve">should </w:t>
      </w:r>
      <w:r w:rsidR="00590363" w:rsidRPr="00A77AF6">
        <w:t xml:space="preserve">focus their </w:t>
      </w:r>
      <w:r w:rsidR="00A458E1" w:rsidRPr="00A77AF6">
        <w:t xml:space="preserve">effort </w:t>
      </w:r>
      <w:r w:rsidR="00590363" w:rsidRPr="00A77AF6">
        <w:t xml:space="preserve">on </w:t>
      </w:r>
      <w:r w:rsidR="00A458E1" w:rsidRPr="00A77AF6">
        <w:t xml:space="preserve">evaluating data rather </w:t>
      </w:r>
      <w:r w:rsidR="00E131C4" w:rsidRPr="00A77AF6">
        <w:t xml:space="preserve">trying to </w:t>
      </w:r>
      <w:r w:rsidR="00A458E1" w:rsidRPr="00A77AF6">
        <w:t xml:space="preserve">get a high response rate. </w:t>
      </w:r>
      <w:r w:rsidR="007A3803" w:rsidRPr="00A77AF6">
        <w:t>Wåhlberg &amp; Poom (2015)</w:t>
      </w:r>
      <w:r w:rsidR="00B22370" w:rsidRPr="00A77AF6">
        <w:t xml:space="preserve"> </w:t>
      </w:r>
      <w:r w:rsidR="00E131C4" w:rsidRPr="00A77AF6">
        <w:t xml:space="preserve">also </w:t>
      </w:r>
      <w:r w:rsidR="007A3803" w:rsidRPr="00A77AF6">
        <w:t xml:space="preserve">showed that the effects </w:t>
      </w:r>
      <w:r w:rsidR="00B22370" w:rsidRPr="00A77AF6">
        <w:t>o</w:t>
      </w:r>
      <w:r w:rsidR="007A3803" w:rsidRPr="00A77AF6">
        <w:t>f non-</w:t>
      </w:r>
      <w:r w:rsidR="00B22370" w:rsidRPr="00A77AF6">
        <w:t>response</w:t>
      </w:r>
      <w:r w:rsidR="007A3803" w:rsidRPr="00A77AF6">
        <w:t xml:space="preserve"> were small</w:t>
      </w:r>
      <w:r w:rsidR="00B22370" w:rsidRPr="00A77AF6">
        <w:t xml:space="preserve">. </w:t>
      </w:r>
      <w:r w:rsidR="00A62E36" w:rsidRPr="00A77AF6">
        <w:t xml:space="preserve"> A large enough number (30) is needed to do </w:t>
      </w:r>
      <w:r w:rsidR="003E1151" w:rsidRPr="00A77AF6">
        <w:t>reliable</w:t>
      </w:r>
      <w:r w:rsidR="00A62E36" w:rsidRPr="00A77AF6">
        <w:t xml:space="preserve"> </w:t>
      </w:r>
      <w:r w:rsidR="003E1151" w:rsidRPr="00A77AF6">
        <w:t>analysis</w:t>
      </w:r>
      <w:r w:rsidR="00A62E36" w:rsidRPr="00A77AF6">
        <w:t xml:space="preserve"> </w:t>
      </w:r>
      <w:sdt>
        <w:sdtPr>
          <w:id w:val="-1230847598"/>
          <w:citation/>
        </w:sdtPr>
        <w:sdtEndPr/>
        <w:sdtContent>
          <w:r w:rsidR="003E1151" w:rsidRPr="00A77AF6">
            <w:fldChar w:fldCharType="begin"/>
          </w:r>
          <w:r w:rsidR="003E1151" w:rsidRPr="00A77AF6">
            <w:instrText xml:space="preserve"> CITATION Dai08 \l 2057 </w:instrText>
          </w:r>
          <w:r w:rsidR="003E1151" w:rsidRPr="00A77AF6">
            <w:fldChar w:fldCharType="separate"/>
          </w:r>
          <w:r w:rsidR="008E653F" w:rsidRPr="00A77AF6">
            <w:t>(Dainty, 2008)</w:t>
          </w:r>
          <w:r w:rsidR="003E1151" w:rsidRPr="00A77AF6">
            <w:fldChar w:fldCharType="end"/>
          </w:r>
        </w:sdtContent>
      </w:sdt>
      <w:r w:rsidR="007D0E73" w:rsidRPr="00A77AF6">
        <w:t xml:space="preserve"> and an example of </w:t>
      </w:r>
      <w:r w:rsidR="00590363" w:rsidRPr="00A77AF6">
        <w:t xml:space="preserve">published work </w:t>
      </w:r>
      <w:r w:rsidR="007D0E73" w:rsidRPr="00A77AF6">
        <w:t xml:space="preserve">in this field has a response rate of 19.42% described by the authors as ‘acceptable’ </w:t>
      </w:r>
      <w:sdt>
        <w:sdtPr>
          <w:id w:val="817226887"/>
          <w:citation/>
        </w:sdtPr>
        <w:sdtEndPr/>
        <w:sdtContent>
          <w:r w:rsidR="007D0E73" w:rsidRPr="00A77AF6">
            <w:fldChar w:fldCharType="begin"/>
          </w:r>
          <w:r w:rsidR="007D0E73" w:rsidRPr="00A77AF6">
            <w:instrText xml:space="preserve">CITATION Yeu13 \p 706 \l 2057 </w:instrText>
          </w:r>
          <w:r w:rsidR="007D0E73" w:rsidRPr="00A77AF6">
            <w:fldChar w:fldCharType="separate"/>
          </w:r>
          <w:r w:rsidR="008E653F" w:rsidRPr="00A77AF6">
            <w:t>(Yeung, et al., 2013, p. 706)</w:t>
          </w:r>
          <w:r w:rsidR="007D0E73" w:rsidRPr="00A77AF6">
            <w:fldChar w:fldCharType="end"/>
          </w:r>
        </w:sdtContent>
      </w:sdt>
      <w:r w:rsidR="007D0E73" w:rsidRPr="00A77AF6">
        <w:t>.</w:t>
      </w:r>
      <w:r w:rsidR="00590363" w:rsidRPr="00A77AF6">
        <w:t xml:space="preserve"> </w:t>
      </w:r>
      <w:r w:rsidR="003E1151" w:rsidRPr="00A77AF6">
        <w:t>The</w:t>
      </w:r>
      <w:r w:rsidR="00A62E36" w:rsidRPr="00A77AF6">
        <w:t xml:space="preserve"> e-survey findings were tested in the interviews and no interviewee challenged the assumptions of the interview questions</w:t>
      </w:r>
      <w:r w:rsidR="003E1151" w:rsidRPr="00A77AF6">
        <w:t xml:space="preserve">, so it is argued here that enough surveys were obtained, that a 25% response rate is acceptable and that </w:t>
      </w:r>
      <w:r w:rsidR="00152F1D" w:rsidRPr="00A77AF6">
        <w:t xml:space="preserve">the impact of </w:t>
      </w:r>
      <w:r w:rsidR="003E1151" w:rsidRPr="00A77AF6">
        <w:t>non-response bias</w:t>
      </w:r>
      <w:r w:rsidR="00152F1D" w:rsidRPr="00A77AF6">
        <w:t xml:space="preserve"> is minimal. </w:t>
      </w:r>
    </w:p>
    <w:p w14:paraId="161EC5F9" w14:textId="6EC08B4B" w:rsidR="00300DF6" w:rsidRPr="00A77AF6" w:rsidRDefault="00C931EA" w:rsidP="0007452B">
      <w:pPr>
        <w:spacing w:after="120" w:line="240" w:lineRule="auto"/>
        <w:rPr>
          <w:i/>
          <w:iCs/>
        </w:rPr>
      </w:pPr>
      <w:r w:rsidRPr="00A77AF6">
        <w:br w:type="page"/>
      </w:r>
      <w:r w:rsidR="00300DF6" w:rsidRPr="00A77AF6">
        <w:rPr>
          <w:i/>
          <w:iCs/>
          <w:sz w:val="18"/>
          <w:szCs w:val="18"/>
        </w:rPr>
        <w:lastRenderedPageBreak/>
        <w:t xml:space="preserve">Table </w:t>
      </w:r>
      <w:r w:rsidR="00804112">
        <w:rPr>
          <w:i/>
          <w:iCs/>
          <w:sz w:val="18"/>
          <w:szCs w:val="18"/>
        </w:rPr>
        <w:fldChar w:fldCharType="begin"/>
      </w:r>
      <w:r w:rsidR="00804112">
        <w:rPr>
          <w:i/>
          <w:iCs/>
          <w:sz w:val="18"/>
          <w:szCs w:val="18"/>
        </w:rPr>
        <w:instrText xml:space="preserve"> STYLEREF 1 \s </w:instrText>
      </w:r>
      <w:r w:rsidR="00804112">
        <w:rPr>
          <w:i/>
          <w:iCs/>
          <w:sz w:val="18"/>
          <w:szCs w:val="18"/>
        </w:rPr>
        <w:fldChar w:fldCharType="separate"/>
      </w:r>
      <w:r w:rsidR="000441F7">
        <w:rPr>
          <w:i/>
          <w:iCs/>
          <w:noProof/>
          <w:sz w:val="18"/>
          <w:szCs w:val="18"/>
        </w:rPr>
        <w:t>5</w:t>
      </w:r>
      <w:r w:rsidR="00804112">
        <w:rPr>
          <w:i/>
          <w:iCs/>
          <w:sz w:val="18"/>
          <w:szCs w:val="18"/>
        </w:rPr>
        <w:fldChar w:fldCharType="end"/>
      </w:r>
      <w:r w:rsidR="00804112">
        <w:rPr>
          <w:i/>
          <w:iCs/>
          <w:sz w:val="18"/>
          <w:szCs w:val="18"/>
        </w:rPr>
        <w:noBreakHyphen/>
      </w:r>
      <w:r w:rsidR="00804112">
        <w:rPr>
          <w:i/>
          <w:iCs/>
          <w:sz w:val="18"/>
          <w:szCs w:val="18"/>
        </w:rPr>
        <w:fldChar w:fldCharType="begin"/>
      </w:r>
      <w:r w:rsidR="00804112">
        <w:rPr>
          <w:i/>
          <w:iCs/>
          <w:sz w:val="18"/>
          <w:szCs w:val="18"/>
        </w:rPr>
        <w:instrText xml:space="preserve"> SEQ Table \* ARABIC \s 1 </w:instrText>
      </w:r>
      <w:r w:rsidR="00804112">
        <w:rPr>
          <w:i/>
          <w:iCs/>
          <w:sz w:val="18"/>
          <w:szCs w:val="18"/>
        </w:rPr>
        <w:fldChar w:fldCharType="separate"/>
      </w:r>
      <w:r w:rsidR="000441F7">
        <w:rPr>
          <w:i/>
          <w:iCs/>
          <w:noProof/>
          <w:sz w:val="18"/>
          <w:szCs w:val="18"/>
        </w:rPr>
        <w:t>3</w:t>
      </w:r>
      <w:r w:rsidR="00804112">
        <w:rPr>
          <w:i/>
          <w:iCs/>
          <w:sz w:val="18"/>
          <w:szCs w:val="18"/>
        </w:rPr>
        <w:fldChar w:fldCharType="end"/>
      </w:r>
      <w:r w:rsidR="00300DF6" w:rsidRPr="00A77AF6">
        <w:rPr>
          <w:i/>
          <w:iCs/>
          <w:sz w:val="18"/>
          <w:szCs w:val="18"/>
        </w:rPr>
        <w:t>: Rationale for Phase 1 e-survey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4409"/>
        <w:gridCol w:w="3821"/>
      </w:tblGrid>
      <w:tr w:rsidR="00300DF6" w:rsidRPr="00A77AF6" w14:paraId="7C122465" w14:textId="77777777" w:rsidTr="000239E2">
        <w:tc>
          <w:tcPr>
            <w:tcW w:w="547" w:type="dxa"/>
            <w:shd w:val="clear" w:color="auto" w:fill="F2F2F2" w:themeFill="background1" w:themeFillShade="F2"/>
          </w:tcPr>
          <w:p w14:paraId="359D9DDA" w14:textId="77777777" w:rsidR="00300DF6" w:rsidRPr="00A77AF6" w:rsidRDefault="00300DF6" w:rsidP="00DE71E0">
            <w:pPr>
              <w:spacing w:after="0" w:line="240" w:lineRule="auto"/>
              <w:rPr>
                <w:rFonts w:cstheme="minorHAnsi"/>
                <w:sz w:val="20"/>
                <w:szCs w:val="20"/>
              </w:rPr>
            </w:pPr>
          </w:p>
        </w:tc>
        <w:tc>
          <w:tcPr>
            <w:tcW w:w="4409" w:type="dxa"/>
            <w:shd w:val="clear" w:color="auto" w:fill="F2F2F2" w:themeFill="background1" w:themeFillShade="F2"/>
          </w:tcPr>
          <w:p w14:paraId="7ABD771A" w14:textId="77777777" w:rsidR="00300DF6" w:rsidRPr="00A77AF6" w:rsidRDefault="00300DF6" w:rsidP="00DE71E0">
            <w:pPr>
              <w:spacing w:after="0" w:line="240" w:lineRule="auto"/>
              <w:rPr>
                <w:rFonts w:cstheme="minorHAnsi"/>
                <w:sz w:val="20"/>
                <w:szCs w:val="20"/>
              </w:rPr>
            </w:pPr>
            <w:r w:rsidRPr="00A77AF6">
              <w:rPr>
                <w:rFonts w:cstheme="minorHAnsi"/>
                <w:sz w:val="20"/>
                <w:szCs w:val="20"/>
              </w:rPr>
              <w:t xml:space="preserve">Question </w:t>
            </w:r>
          </w:p>
        </w:tc>
        <w:tc>
          <w:tcPr>
            <w:tcW w:w="3821" w:type="dxa"/>
            <w:shd w:val="clear" w:color="auto" w:fill="F2F2F2" w:themeFill="background1" w:themeFillShade="F2"/>
          </w:tcPr>
          <w:p w14:paraId="518F2884" w14:textId="77777777" w:rsidR="00300DF6" w:rsidRPr="00A77AF6" w:rsidRDefault="00300DF6" w:rsidP="00DE71E0">
            <w:pPr>
              <w:spacing w:after="0" w:line="240" w:lineRule="auto"/>
              <w:rPr>
                <w:rFonts w:cstheme="minorHAnsi"/>
                <w:sz w:val="20"/>
                <w:szCs w:val="20"/>
              </w:rPr>
            </w:pPr>
            <w:r w:rsidRPr="00A77AF6">
              <w:rPr>
                <w:rFonts w:cstheme="minorHAnsi"/>
                <w:sz w:val="20"/>
                <w:szCs w:val="20"/>
              </w:rPr>
              <w:t>Rationale</w:t>
            </w:r>
          </w:p>
        </w:tc>
      </w:tr>
      <w:tr w:rsidR="00300DF6" w:rsidRPr="00A77AF6" w14:paraId="60295BA4" w14:textId="77777777" w:rsidTr="000239E2">
        <w:tc>
          <w:tcPr>
            <w:tcW w:w="547" w:type="dxa"/>
          </w:tcPr>
          <w:p w14:paraId="5F0B2BBA" w14:textId="77777777" w:rsidR="00300DF6" w:rsidRPr="00A77AF6" w:rsidRDefault="00300DF6" w:rsidP="003D2A57">
            <w:pPr>
              <w:pStyle w:val="ListParagraph"/>
              <w:numPr>
                <w:ilvl w:val="0"/>
                <w:numId w:val="3"/>
              </w:numPr>
              <w:spacing w:after="0" w:line="240" w:lineRule="auto"/>
              <w:rPr>
                <w:rFonts w:eastAsia="Times New Roman" w:cstheme="minorHAnsi"/>
                <w:sz w:val="20"/>
                <w:szCs w:val="20"/>
              </w:rPr>
            </w:pPr>
          </w:p>
        </w:tc>
        <w:tc>
          <w:tcPr>
            <w:tcW w:w="4409" w:type="dxa"/>
          </w:tcPr>
          <w:p w14:paraId="4A997448" w14:textId="77777777" w:rsidR="00300DF6" w:rsidRPr="00A77AF6" w:rsidRDefault="00300DF6" w:rsidP="00DE71E0">
            <w:pPr>
              <w:spacing w:after="0" w:line="240" w:lineRule="auto"/>
              <w:rPr>
                <w:rFonts w:cstheme="minorHAnsi"/>
                <w:sz w:val="20"/>
                <w:szCs w:val="20"/>
              </w:rPr>
            </w:pPr>
            <w:r w:rsidRPr="00A77AF6">
              <w:rPr>
                <w:rFonts w:eastAsia="Times New Roman" w:cstheme="minorHAnsi"/>
                <w:sz w:val="20"/>
                <w:szCs w:val="20"/>
              </w:rPr>
              <w:t>What is your name?</w:t>
            </w:r>
          </w:p>
        </w:tc>
        <w:tc>
          <w:tcPr>
            <w:tcW w:w="3821" w:type="dxa"/>
          </w:tcPr>
          <w:p w14:paraId="7C0ED5B4" w14:textId="77777777" w:rsidR="00300DF6" w:rsidRPr="00A77AF6" w:rsidRDefault="00300DF6" w:rsidP="00DE71E0">
            <w:pPr>
              <w:spacing w:after="0" w:line="240" w:lineRule="auto"/>
              <w:rPr>
                <w:rFonts w:cstheme="minorHAnsi"/>
                <w:sz w:val="20"/>
                <w:szCs w:val="20"/>
              </w:rPr>
            </w:pPr>
            <w:r w:rsidRPr="00A77AF6">
              <w:rPr>
                <w:rFonts w:cstheme="minorHAnsi"/>
                <w:sz w:val="20"/>
                <w:szCs w:val="20"/>
              </w:rPr>
              <w:t>Demographic information</w:t>
            </w:r>
          </w:p>
        </w:tc>
      </w:tr>
      <w:tr w:rsidR="00300DF6" w:rsidRPr="00A77AF6" w14:paraId="04A2843D" w14:textId="77777777" w:rsidTr="000239E2">
        <w:tc>
          <w:tcPr>
            <w:tcW w:w="547" w:type="dxa"/>
          </w:tcPr>
          <w:p w14:paraId="2DAD8928" w14:textId="77777777" w:rsidR="00300DF6" w:rsidRPr="00A77AF6" w:rsidRDefault="00300DF6" w:rsidP="003D2A57">
            <w:pPr>
              <w:pStyle w:val="ListParagraph"/>
              <w:numPr>
                <w:ilvl w:val="0"/>
                <w:numId w:val="3"/>
              </w:numPr>
              <w:spacing w:after="0" w:line="240" w:lineRule="auto"/>
              <w:rPr>
                <w:rFonts w:eastAsia="Times New Roman" w:cstheme="minorHAnsi"/>
                <w:sz w:val="20"/>
                <w:szCs w:val="20"/>
              </w:rPr>
            </w:pPr>
          </w:p>
        </w:tc>
        <w:tc>
          <w:tcPr>
            <w:tcW w:w="4409" w:type="dxa"/>
          </w:tcPr>
          <w:p w14:paraId="7573908E" w14:textId="77777777" w:rsidR="00300DF6" w:rsidRPr="00A77AF6" w:rsidRDefault="00300DF6" w:rsidP="00DE71E0">
            <w:pPr>
              <w:spacing w:after="0" w:line="240" w:lineRule="auto"/>
              <w:rPr>
                <w:rFonts w:eastAsia="Times New Roman" w:cstheme="minorHAnsi"/>
                <w:sz w:val="20"/>
                <w:szCs w:val="20"/>
              </w:rPr>
            </w:pPr>
            <w:r w:rsidRPr="00A77AF6">
              <w:rPr>
                <w:rFonts w:eastAsia="Times New Roman" w:cstheme="minorHAnsi"/>
                <w:sz w:val="20"/>
                <w:szCs w:val="20"/>
              </w:rPr>
              <w:t>Please indicate what age range you are in</w:t>
            </w:r>
          </w:p>
        </w:tc>
        <w:tc>
          <w:tcPr>
            <w:tcW w:w="3821" w:type="dxa"/>
          </w:tcPr>
          <w:p w14:paraId="6D7D8D4C" w14:textId="25BD5FFD" w:rsidR="00300DF6" w:rsidRPr="00A77AF6" w:rsidRDefault="00300DF6" w:rsidP="00DE71E0">
            <w:pPr>
              <w:spacing w:after="0" w:line="240" w:lineRule="auto"/>
              <w:rPr>
                <w:sz w:val="20"/>
                <w:szCs w:val="20"/>
              </w:rPr>
            </w:pPr>
            <w:r w:rsidRPr="00A77AF6">
              <w:rPr>
                <w:rFonts w:cstheme="minorHAnsi"/>
                <w:sz w:val="20"/>
                <w:szCs w:val="20"/>
              </w:rPr>
              <w:t xml:space="preserve">To find out if age influences ethical </w:t>
            </w:r>
            <w:r w:rsidR="00DE71E0" w:rsidRPr="00A77AF6">
              <w:rPr>
                <w:rFonts w:cstheme="minorHAnsi"/>
                <w:sz w:val="20"/>
                <w:szCs w:val="20"/>
              </w:rPr>
              <w:t>predisposition</w:t>
            </w:r>
            <w:r w:rsidRPr="00A77AF6">
              <w:rPr>
                <w:rFonts w:cstheme="minorHAnsi"/>
                <w:sz w:val="20"/>
                <w:szCs w:val="20"/>
              </w:rPr>
              <w:t xml:space="preserve"> in NHS projects. Literature indicates that increasing age is the most </w:t>
            </w:r>
            <w:r w:rsidR="00DE71E0" w:rsidRPr="00A77AF6">
              <w:rPr>
                <w:rFonts w:cstheme="minorHAnsi"/>
                <w:sz w:val="20"/>
                <w:szCs w:val="20"/>
              </w:rPr>
              <w:t>influential</w:t>
            </w:r>
            <w:r w:rsidRPr="00A77AF6">
              <w:rPr>
                <w:rFonts w:cstheme="minorHAnsi"/>
                <w:sz w:val="20"/>
                <w:szCs w:val="20"/>
              </w:rPr>
              <w:t xml:space="preserve"> factor for formalism. </w:t>
            </w:r>
            <w:r w:rsidRPr="00A77AF6">
              <w:rPr>
                <w:sz w:val="20"/>
                <w:szCs w:val="20"/>
              </w:rPr>
              <w:t>Fritzsche and Becker (1984) Brady and Wheeler (1996)</w:t>
            </w:r>
          </w:p>
        </w:tc>
      </w:tr>
      <w:tr w:rsidR="00300DF6" w:rsidRPr="00A77AF6" w14:paraId="5D6663AE" w14:textId="77777777" w:rsidTr="000239E2">
        <w:tc>
          <w:tcPr>
            <w:tcW w:w="547" w:type="dxa"/>
          </w:tcPr>
          <w:p w14:paraId="69B7D3BA" w14:textId="77777777" w:rsidR="00300DF6" w:rsidRPr="00A77AF6" w:rsidRDefault="00300DF6" w:rsidP="003D2A57">
            <w:pPr>
              <w:pStyle w:val="ListParagraph"/>
              <w:numPr>
                <w:ilvl w:val="0"/>
                <w:numId w:val="3"/>
              </w:numPr>
              <w:spacing w:after="0" w:line="240" w:lineRule="auto"/>
              <w:rPr>
                <w:rFonts w:eastAsia="Times New Roman" w:cstheme="minorHAnsi"/>
                <w:sz w:val="20"/>
                <w:szCs w:val="20"/>
              </w:rPr>
            </w:pPr>
          </w:p>
        </w:tc>
        <w:tc>
          <w:tcPr>
            <w:tcW w:w="4409" w:type="dxa"/>
          </w:tcPr>
          <w:p w14:paraId="4C426FEB" w14:textId="77777777" w:rsidR="00300DF6" w:rsidRPr="00A77AF6" w:rsidRDefault="00300DF6" w:rsidP="00DE71E0">
            <w:pPr>
              <w:spacing w:after="0" w:line="240" w:lineRule="auto"/>
              <w:rPr>
                <w:rFonts w:cstheme="minorHAnsi"/>
                <w:sz w:val="20"/>
                <w:szCs w:val="20"/>
              </w:rPr>
            </w:pPr>
            <w:r w:rsidRPr="00A77AF6">
              <w:rPr>
                <w:rFonts w:eastAsia="Times New Roman" w:cstheme="minorHAnsi"/>
                <w:sz w:val="20"/>
                <w:szCs w:val="20"/>
              </w:rPr>
              <w:t>What is your gender?</w:t>
            </w:r>
          </w:p>
        </w:tc>
        <w:tc>
          <w:tcPr>
            <w:tcW w:w="3821" w:type="dxa"/>
          </w:tcPr>
          <w:p w14:paraId="2BCC730C" w14:textId="67FFD429" w:rsidR="00300DF6" w:rsidRPr="00A77AF6" w:rsidRDefault="00300DF6" w:rsidP="00DE71E0">
            <w:pPr>
              <w:spacing w:after="0" w:line="240" w:lineRule="auto"/>
              <w:rPr>
                <w:rFonts w:cstheme="minorHAnsi"/>
                <w:sz w:val="20"/>
                <w:szCs w:val="20"/>
              </w:rPr>
            </w:pPr>
            <w:r w:rsidRPr="00A77AF6">
              <w:rPr>
                <w:rFonts w:cstheme="minorHAnsi"/>
                <w:sz w:val="20"/>
                <w:szCs w:val="20"/>
              </w:rPr>
              <w:t xml:space="preserve">To find out if gender influences ethical </w:t>
            </w:r>
            <w:r w:rsidR="00DE71E0" w:rsidRPr="00A77AF6">
              <w:rPr>
                <w:rFonts w:cstheme="minorHAnsi"/>
                <w:sz w:val="20"/>
                <w:szCs w:val="20"/>
              </w:rPr>
              <w:t>predisposition</w:t>
            </w:r>
            <w:r w:rsidRPr="00A77AF6">
              <w:rPr>
                <w:rFonts w:cstheme="minorHAnsi"/>
                <w:sz w:val="20"/>
                <w:szCs w:val="20"/>
              </w:rPr>
              <w:t xml:space="preserve"> in NHS proj</w:t>
            </w:r>
            <w:r w:rsidR="001C68BC" w:rsidRPr="00A77AF6">
              <w:rPr>
                <w:rFonts w:cstheme="minorHAnsi"/>
                <w:sz w:val="20"/>
                <w:szCs w:val="20"/>
              </w:rPr>
              <w:t>e</w:t>
            </w:r>
            <w:r w:rsidRPr="00A77AF6">
              <w:rPr>
                <w:rFonts w:cstheme="minorHAnsi"/>
                <w:sz w:val="20"/>
                <w:szCs w:val="20"/>
              </w:rPr>
              <w:t xml:space="preserve">cts. The literature is divided about whether gender influences ethical </w:t>
            </w:r>
            <w:r w:rsidR="00DE71E0" w:rsidRPr="00A77AF6">
              <w:rPr>
                <w:rFonts w:cstheme="minorHAnsi"/>
                <w:sz w:val="20"/>
                <w:szCs w:val="20"/>
              </w:rPr>
              <w:t>predisposition</w:t>
            </w:r>
            <w:r w:rsidRPr="00A77AF6">
              <w:rPr>
                <w:rFonts w:cstheme="minorHAnsi"/>
                <w:sz w:val="20"/>
                <w:szCs w:val="20"/>
              </w:rPr>
              <w:t>.  Ruegger and King’s 1992; Beltramini, et al (1994)</w:t>
            </w:r>
            <w:r w:rsidRPr="00A77AF6">
              <w:rPr>
                <w:sz w:val="20"/>
                <w:szCs w:val="20"/>
              </w:rPr>
              <w:t xml:space="preserve"> Schminke and Ambrose (1997)</w:t>
            </w:r>
          </w:p>
        </w:tc>
      </w:tr>
      <w:tr w:rsidR="00300DF6" w:rsidRPr="00A77AF6" w14:paraId="54F82279" w14:textId="77777777" w:rsidTr="000239E2">
        <w:tc>
          <w:tcPr>
            <w:tcW w:w="547" w:type="dxa"/>
          </w:tcPr>
          <w:p w14:paraId="3C0AFFA0" w14:textId="77777777" w:rsidR="00300DF6" w:rsidRPr="00A77AF6" w:rsidRDefault="00300DF6" w:rsidP="003D2A57">
            <w:pPr>
              <w:pStyle w:val="ListParagraph"/>
              <w:numPr>
                <w:ilvl w:val="0"/>
                <w:numId w:val="3"/>
              </w:numPr>
              <w:spacing w:after="0" w:line="240" w:lineRule="auto"/>
              <w:rPr>
                <w:rFonts w:eastAsia="Times New Roman" w:cstheme="minorHAnsi"/>
                <w:sz w:val="20"/>
                <w:szCs w:val="20"/>
              </w:rPr>
            </w:pPr>
          </w:p>
        </w:tc>
        <w:tc>
          <w:tcPr>
            <w:tcW w:w="4409" w:type="dxa"/>
          </w:tcPr>
          <w:p w14:paraId="0CFD68CE" w14:textId="5EF48FBD" w:rsidR="00300DF6" w:rsidRPr="00A77AF6" w:rsidRDefault="00300DF6" w:rsidP="00DE71E0">
            <w:pPr>
              <w:spacing w:after="0" w:line="240" w:lineRule="auto"/>
              <w:rPr>
                <w:rFonts w:cstheme="minorHAnsi"/>
                <w:sz w:val="20"/>
                <w:szCs w:val="20"/>
              </w:rPr>
            </w:pPr>
            <w:r w:rsidRPr="00A77AF6">
              <w:rPr>
                <w:rFonts w:eastAsia="Times New Roman" w:cstheme="minorHAnsi"/>
                <w:sz w:val="20"/>
                <w:szCs w:val="20"/>
              </w:rPr>
              <w:t xml:space="preserve">Please can you indicate the relative importance to you of each of the following traits? </w:t>
            </w:r>
          </w:p>
        </w:tc>
        <w:tc>
          <w:tcPr>
            <w:tcW w:w="3821" w:type="dxa"/>
          </w:tcPr>
          <w:p w14:paraId="70AA6BD8" w14:textId="77777777" w:rsidR="00300DF6" w:rsidRPr="00A77AF6" w:rsidRDefault="00300DF6" w:rsidP="00DE71E0">
            <w:pPr>
              <w:spacing w:after="0" w:line="240" w:lineRule="auto"/>
              <w:rPr>
                <w:rFonts w:cstheme="minorHAnsi"/>
                <w:sz w:val="20"/>
                <w:szCs w:val="20"/>
              </w:rPr>
            </w:pPr>
            <w:r w:rsidRPr="00A77AF6">
              <w:rPr>
                <w:rFonts w:cstheme="minorHAnsi"/>
                <w:sz w:val="20"/>
                <w:szCs w:val="20"/>
              </w:rPr>
              <w:t>To measure the ethical predisposition of respondents using Brady and Wheeler’s (1996) Measure of Ethical Viewpoint tool</w:t>
            </w:r>
          </w:p>
        </w:tc>
      </w:tr>
      <w:tr w:rsidR="00300DF6" w:rsidRPr="00A77AF6" w14:paraId="253D792D" w14:textId="77777777" w:rsidTr="000239E2">
        <w:tc>
          <w:tcPr>
            <w:tcW w:w="547" w:type="dxa"/>
          </w:tcPr>
          <w:p w14:paraId="4E4F501A" w14:textId="77777777" w:rsidR="00300DF6" w:rsidRPr="00A77AF6" w:rsidRDefault="00300DF6" w:rsidP="003D2A57">
            <w:pPr>
              <w:pStyle w:val="ListParagraph"/>
              <w:numPr>
                <w:ilvl w:val="0"/>
                <w:numId w:val="3"/>
              </w:numPr>
              <w:spacing w:after="0" w:line="240" w:lineRule="auto"/>
              <w:rPr>
                <w:rFonts w:eastAsia="Times New Roman" w:cstheme="minorHAnsi"/>
                <w:sz w:val="20"/>
                <w:szCs w:val="20"/>
              </w:rPr>
            </w:pPr>
          </w:p>
        </w:tc>
        <w:tc>
          <w:tcPr>
            <w:tcW w:w="4409" w:type="dxa"/>
          </w:tcPr>
          <w:p w14:paraId="53C0CE9C" w14:textId="77777777" w:rsidR="00300DF6" w:rsidRPr="00A77AF6" w:rsidRDefault="00300DF6" w:rsidP="00DE71E0">
            <w:pPr>
              <w:spacing w:after="0" w:line="240" w:lineRule="auto"/>
              <w:rPr>
                <w:rFonts w:cstheme="minorHAnsi"/>
                <w:sz w:val="20"/>
                <w:szCs w:val="20"/>
              </w:rPr>
            </w:pPr>
            <w:r w:rsidRPr="00A77AF6">
              <w:rPr>
                <w:rFonts w:eastAsia="Times New Roman" w:cstheme="minorHAnsi"/>
                <w:sz w:val="20"/>
                <w:szCs w:val="20"/>
              </w:rPr>
              <w:t>What is/ was the name of the NHS organisation which 'owned' the project?</w:t>
            </w:r>
          </w:p>
        </w:tc>
        <w:tc>
          <w:tcPr>
            <w:tcW w:w="3821" w:type="dxa"/>
          </w:tcPr>
          <w:p w14:paraId="26C3165B" w14:textId="77777777" w:rsidR="00300DF6" w:rsidRPr="00A77AF6" w:rsidRDefault="00300DF6" w:rsidP="00DE71E0">
            <w:pPr>
              <w:spacing w:after="0" w:line="240" w:lineRule="auto"/>
              <w:rPr>
                <w:rFonts w:cstheme="minorHAnsi"/>
                <w:sz w:val="20"/>
                <w:szCs w:val="20"/>
              </w:rPr>
            </w:pPr>
            <w:r w:rsidRPr="00A77AF6">
              <w:rPr>
                <w:rFonts w:cstheme="minorHAnsi"/>
                <w:sz w:val="20"/>
                <w:szCs w:val="20"/>
              </w:rPr>
              <w:t xml:space="preserve">To collect information about the procuring organisation for identification. </w:t>
            </w:r>
          </w:p>
        </w:tc>
      </w:tr>
      <w:tr w:rsidR="00300DF6" w:rsidRPr="00A77AF6" w14:paraId="0B44D4FD" w14:textId="77777777" w:rsidTr="000239E2">
        <w:tc>
          <w:tcPr>
            <w:tcW w:w="547" w:type="dxa"/>
          </w:tcPr>
          <w:p w14:paraId="425E7E34" w14:textId="77777777" w:rsidR="00300DF6" w:rsidRPr="00A77AF6" w:rsidRDefault="00300DF6" w:rsidP="003D2A57">
            <w:pPr>
              <w:pStyle w:val="ListParagraph"/>
              <w:numPr>
                <w:ilvl w:val="0"/>
                <w:numId w:val="3"/>
              </w:numPr>
              <w:spacing w:after="0" w:line="240" w:lineRule="auto"/>
              <w:rPr>
                <w:rFonts w:eastAsia="Times New Roman" w:cstheme="minorHAnsi"/>
                <w:sz w:val="20"/>
                <w:szCs w:val="20"/>
              </w:rPr>
            </w:pPr>
          </w:p>
        </w:tc>
        <w:tc>
          <w:tcPr>
            <w:tcW w:w="4409" w:type="dxa"/>
          </w:tcPr>
          <w:p w14:paraId="3E1C55FA" w14:textId="77777777" w:rsidR="00300DF6" w:rsidRPr="00A77AF6" w:rsidRDefault="00300DF6" w:rsidP="00DE71E0">
            <w:pPr>
              <w:spacing w:after="0" w:line="240" w:lineRule="auto"/>
              <w:rPr>
                <w:rFonts w:eastAsia="Times New Roman" w:cstheme="minorHAnsi"/>
                <w:sz w:val="20"/>
                <w:szCs w:val="20"/>
              </w:rPr>
            </w:pPr>
            <w:r w:rsidRPr="00A77AF6">
              <w:rPr>
                <w:rFonts w:eastAsia="Times New Roman" w:cstheme="minorHAnsi"/>
                <w:sz w:val="20"/>
                <w:szCs w:val="20"/>
              </w:rPr>
              <w:t>What was the purpose of the project?</w:t>
            </w:r>
          </w:p>
        </w:tc>
        <w:tc>
          <w:tcPr>
            <w:tcW w:w="3821" w:type="dxa"/>
          </w:tcPr>
          <w:p w14:paraId="601B1D6D" w14:textId="17598CFC" w:rsidR="00300DF6" w:rsidRPr="00A77AF6" w:rsidRDefault="00300DF6" w:rsidP="00DE71E0">
            <w:pPr>
              <w:spacing w:after="0" w:line="240" w:lineRule="auto"/>
              <w:rPr>
                <w:rFonts w:cstheme="minorHAnsi"/>
                <w:sz w:val="20"/>
                <w:szCs w:val="20"/>
              </w:rPr>
            </w:pPr>
            <w:r w:rsidRPr="00A77AF6">
              <w:rPr>
                <w:rFonts w:cstheme="minorHAnsi"/>
                <w:sz w:val="20"/>
                <w:szCs w:val="20"/>
              </w:rPr>
              <w:t>To collect information about the purpose of the project</w:t>
            </w:r>
            <w:r w:rsidR="001447FF" w:rsidRPr="00A77AF6">
              <w:rPr>
                <w:rFonts w:cstheme="minorHAnsi"/>
                <w:sz w:val="20"/>
                <w:szCs w:val="20"/>
              </w:rPr>
              <w:t xml:space="preserve"> </w:t>
            </w:r>
            <w:r w:rsidRPr="00A77AF6">
              <w:rPr>
                <w:rFonts w:cstheme="minorHAnsi"/>
                <w:sz w:val="20"/>
                <w:szCs w:val="20"/>
              </w:rPr>
              <w:t xml:space="preserve">This contributes to understanding the size and scope of the project. </w:t>
            </w:r>
          </w:p>
        </w:tc>
      </w:tr>
      <w:tr w:rsidR="00300DF6" w:rsidRPr="00A77AF6" w14:paraId="1D0479BA" w14:textId="77777777" w:rsidTr="000239E2">
        <w:tc>
          <w:tcPr>
            <w:tcW w:w="547" w:type="dxa"/>
          </w:tcPr>
          <w:p w14:paraId="6AABA115" w14:textId="77777777" w:rsidR="00300DF6" w:rsidRPr="00A77AF6" w:rsidRDefault="00300DF6" w:rsidP="003D2A57">
            <w:pPr>
              <w:pStyle w:val="ListParagraph"/>
              <w:numPr>
                <w:ilvl w:val="0"/>
                <w:numId w:val="3"/>
              </w:numPr>
              <w:spacing w:after="0" w:line="240" w:lineRule="auto"/>
              <w:rPr>
                <w:rFonts w:eastAsia="Times New Roman" w:cstheme="minorHAnsi"/>
                <w:sz w:val="20"/>
                <w:szCs w:val="20"/>
              </w:rPr>
            </w:pPr>
          </w:p>
        </w:tc>
        <w:tc>
          <w:tcPr>
            <w:tcW w:w="4409" w:type="dxa"/>
          </w:tcPr>
          <w:p w14:paraId="554FA527" w14:textId="77777777" w:rsidR="00300DF6" w:rsidRPr="00A77AF6" w:rsidRDefault="00300DF6" w:rsidP="00DE71E0">
            <w:pPr>
              <w:spacing w:after="0" w:line="240" w:lineRule="auto"/>
              <w:rPr>
                <w:rFonts w:cstheme="minorHAnsi"/>
                <w:sz w:val="20"/>
                <w:szCs w:val="20"/>
              </w:rPr>
            </w:pPr>
            <w:r w:rsidRPr="00A77AF6">
              <w:rPr>
                <w:rFonts w:eastAsia="Times New Roman" w:cstheme="minorHAnsi"/>
                <w:sz w:val="20"/>
                <w:szCs w:val="20"/>
              </w:rPr>
              <w:t>What was your role in the project?</w:t>
            </w:r>
          </w:p>
        </w:tc>
        <w:tc>
          <w:tcPr>
            <w:tcW w:w="3821" w:type="dxa"/>
          </w:tcPr>
          <w:p w14:paraId="6B7FB30A" w14:textId="3493BB48" w:rsidR="00300DF6" w:rsidRPr="00A77AF6" w:rsidRDefault="00300DF6" w:rsidP="00DE71E0">
            <w:pPr>
              <w:spacing w:after="0" w:line="240" w:lineRule="auto"/>
              <w:rPr>
                <w:rFonts w:cstheme="minorHAnsi"/>
                <w:sz w:val="20"/>
                <w:szCs w:val="20"/>
              </w:rPr>
            </w:pPr>
            <w:r w:rsidRPr="00A77AF6">
              <w:rPr>
                <w:rFonts w:cstheme="minorHAnsi"/>
                <w:sz w:val="20"/>
                <w:szCs w:val="20"/>
              </w:rPr>
              <w:t xml:space="preserve">To find out the respondent’s position in the </w:t>
            </w:r>
            <w:r w:rsidR="0091123E" w:rsidRPr="00A77AF6">
              <w:rPr>
                <w:rFonts w:cstheme="minorHAnsi"/>
                <w:sz w:val="20"/>
                <w:szCs w:val="20"/>
              </w:rPr>
              <w:t>project</w:t>
            </w:r>
          </w:p>
        </w:tc>
      </w:tr>
      <w:tr w:rsidR="00300DF6" w:rsidRPr="00A77AF6" w14:paraId="711343D5" w14:textId="77777777" w:rsidTr="000239E2">
        <w:tc>
          <w:tcPr>
            <w:tcW w:w="547" w:type="dxa"/>
          </w:tcPr>
          <w:p w14:paraId="4FBE880C" w14:textId="77777777" w:rsidR="00300DF6" w:rsidRPr="00A77AF6" w:rsidRDefault="00300DF6" w:rsidP="003D2A57">
            <w:pPr>
              <w:pStyle w:val="ListParagraph"/>
              <w:numPr>
                <w:ilvl w:val="0"/>
                <w:numId w:val="3"/>
              </w:numPr>
              <w:spacing w:after="0" w:line="240" w:lineRule="auto"/>
              <w:rPr>
                <w:rFonts w:eastAsia="Times New Roman" w:cstheme="minorHAnsi"/>
                <w:sz w:val="20"/>
                <w:szCs w:val="20"/>
              </w:rPr>
            </w:pPr>
          </w:p>
        </w:tc>
        <w:tc>
          <w:tcPr>
            <w:tcW w:w="4409" w:type="dxa"/>
          </w:tcPr>
          <w:p w14:paraId="5B760608" w14:textId="77777777" w:rsidR="00300DF6" w:rsidRPr="00A77AF6" w:rsidRDefault="00300DF6" w:rsidP="00DE71E0">
            <w:pPr>
              <w:spacing w:after="0" w:line="240" w:lineRule="auto"/>
              <w:rPr>
                <w:rFonts w:cstheme="minorHAnsi"/>
                <w:sz w:val="20"/>
                <w:szCs w:val="20"/>
              </w:rPr>
            </w:pPr>
            <w:r w:rsidRPr="00A77AF6">
              <w:rPr>
                <w:rFonts w:eastAsia="Times New Roman" w:cstheme="minorHAnsi"/>
                <w:sz w:val="20"/>
                <w:szCs w:val="20"/>
              </w:rPr>
              <w:t>When did the project finish?</w:t>
            </w:r>
          </w:p>
        </w:tc>
        <w:tc>
          <w:tcPr>
            <w:tcW w:w="3821" w:type="dxa"/>
          </w:tcPr>
          <w:p w14:paraId="59D23A4B" w14:textId="77777777" w:rsidR="00300DF6" w:rsidRPr="00A77AF6" w:rsidRDefault="00300DF6" w:rsidP="00DE71E0">
            <w:pPr>
              <w:spacing w:after="0" w:line="240" w:lineRule="auto"/>
              <w:rPr>
                <w:rFonts w:cstheme="minorHAnsi"/>
                <w:sz w:val="20"/>
                <w:szCs w:val="20"/>
              </w:rPr>
            </w:pPr>
            <w:r w:rsidRPr="00A77AF6">
              <w:rPr>
                <w:rFonts w:cstheme="minorHAnsi"/>
                <w:sz w:val="20"/>
                <w:szCs w:val="20"/>
              </w:rPr>
              <w:t xml:space="preserve">To find out how old the project is.  </w:t>
            </w:r>
          </w:p>
        </w:tc>
      </w:tr>
      <w:tr w:rsidR="0097280F" w:rsidRPr="00A77AF6" w14:paraId="10D37449" w14:textId="77777777" w:rsidTr="000239E2">
        <w:tc>
          <w:tcPr>
            <w:tcW w:w="547" w:type="dxa"/>
          </w:tcPr>
          <w:p w14:paraId="0B1E3480" w14:textId="77777777" w:rsidR="0097280F" w:rsidRPr="00A77AF6" w:rsidRDefault="0097280F" w:rsidP="003D2A57">
            <w:pPr>
              <w:pStyle w:val="ListParagraph"/>
              <w:numPr>
                <w:ilvl w:val="0"/>
                <w:numId w:val="3"/>
              </w:numPr>
              <w:spacing w:after="0" w:line="240" w:lineRule="auto"/>
              <w:rPr>
                <w:rFonts w:eastAsia="Times New Roman" w:cstheme="minorHAnsi"/>
                <w:sz w:val="20"/>
                <w:szCs w:val="20"/>
              </w:rPr>
            </w:pPr>
          </w:p>
        </w:tc>
        <w:tc>
          <w:tcPr>
            <w:tcW w:w="4409" w:type="dxa"/>
          </w:tcPr>
          <w:p w14:paraId="20D0B831" w14:textId="77777777" w:rsidR="0097280F" w:rsidRPr="00A77AF6" w:rsidRDefault="0097280F" w:rsidP="00DE71E0">
            <w:pPr>
              <w:spacing w:after="0" w:line="240" w:lineRule="auto"/>
              <w:rPr>
                <w:rFonts w:cstheme="minorHAnsi"/>
                <w:sz w:val="20"/>
                <w:szCs w:val="20"/>
              </w:rPr>
            </w:pPr>
            <w:r w:rsidRPr="00A77AF6">
              <w:rPr>
                <w:rFonts w:eastAsia="Times New Roman" w:cstheme="minorHAnsi"/>
                <w:sz w:val="20"/>
                <w:szCs w:val="20"/>
              </w:rPr>
              <w:t>Please choose 1 category that best describes the </w:t>
            </w:r>
            <w:r w:rsidRPr="00A77AF6">
              <w:rPr>
                <w:rStyle w:val="Strong"/>
                <w:rFonts w:eastAsia="Times New Roman" w:cstheme="minorHAnsi"/>
                <w:sz w:val="20"/>
                <w:szCs w:val="20"/>
              </w:rPr>
              <w:t>length </w:t>
            </w:r>
            <w:r w:rsidRPr="00A77AF6">
              <w:rPr>
                <w:rFonts w:eastAsia="Times New Roman" w:cstheme="minorHAnsi"/>
                <w:sz w:val="20"/>
                <w:szCs w:val="20"/>
              </w:rPr>
              <w:t>of build</w:t>
            </w:r>
          </w:p>
        </w:tc>
        <w:tc>
          <w:tcPr>
            <w:tcW w:w="3821" w:type="dxa"/>
            <w:vMerge w:val="restart"/>
          </w:tcPr>
          <w:p w14:paraId="403B3176" w14:textId="34E6B36E" w:rsidR="0097280F" w:rsidRPr="00A77AF6" w:rsidRDefault="0097280F" w:rsidP="00DE71E0">
            <w:pPr>
              <w:spacing w:after="0" w:line="240" w:lineRule="auto"/>
              <w:rPr>
                <w:rFonts w:cstheme="minorHAnsi"/>
                <w:sz w:val="20"/>
                <w:szCs w:val="20"/>
              </w:rPr>
            </w:pPr>
            <w:r w:rsidRPr="00A77AF6">
              <w:rPr>
                <w:rFonts w:cstheme="minorHAnsi"/>
                <w:sz w:val="20"/>
                <w:szCs w:val="20"/>
              </w:rPr>
              <w:t xml:space="preserve">Questions 9 – 17 are taken from the DH’s Risk Potential Assessment </w:t>
            </w:r>
            <w:r w:rsidR="005D5C47" w:rsidRPr="00A77AF6">
              <w:rPr>
                <w:rFonts w:cstheme="minorHAnsi"/>
                <w:sz w:val="20"/>
                <w:szCs w:val="20"/>
              </w:rPr>
              <w:t xml:space="preserve">(RPA) </w:t>
            </w:r>
            <w:r w:rsidRPr="00A77AF6">
              <w:rPr>
                <w:rFonts w:cstheme="minorHAnsi"/>
                <w:sz w:val="20"/>
                <w:szCs w:val="20"/>
              </w:rPr>
              <w:t xml:space="preserve">tool.  </w:t>
            </w:r>
          </w:p>
          <w:p w14:paraId="0236F14B" w14:textId="65259925" w:rsidR="0097280F" w:rsidRPr="00A77AF6" w:rsidRDefault="0097280F" w:rsidP="003F4CA9">
            <w:pPr>
              <w:spacing w:after="0" w:line="240" w:lineRule="auto"/>
              <w:rPr>
                <w:rFonts w:cstheme="minorHAnsi"/>
                <w:sz w:val="20"/>
                <w:szCs w:val="20"/>
              </w:rPr>
            </w:pPr>
            <w:r w:rsidRPr="00A77AF6">
              <w:rPr>
                <w:rFonts w:cstheme="minorHAnsi"/>
                <w:sz w:val="20"/>
                <w:szCs w:val="20"/>
              </w:rPr>
              <w:t xml:space="preserve">This tool </w:t>
            </w:r>
            <w:r w:rsidR="00E57341" w:rsidRPr="00A77AF6">
              <w:rPr>
                <w:rFonts w:cstheme="minorHAnsi"/>
                <w:sz w:val="20"/>
                <w:szCs w:val="20"/>
              </w:rPr>
              <w:t>provides a</w:t>
            </w:r>
            <w:r w:rsidRPr="00A77AF6">
              <w:rPr>
                <w:rFonts w:cstheme="minorHAnsi"/>
                <w:sz w:val="20"/>
                <w:szCs w:val="20"/>
              </w:rPr>
              <w:t xml:space="preserve"> risk score why is applied to each project.  Risk may negatively impact</w:t>
            </w:r>
            <w:r w:rsidR="003F4CA9" w:rsidRPr="00A77AF6">
              <w:rPr>
                <w:rFonts w:cstheme="minorHAnsi"/>
                <w:sz w:val="20"/>
                <w:szCs w:val="20"/>
              </w:rPr>
              <w:t xml:space="preserve"> </w:t>
            </w:r>
            <w:r w:rsidRPr="00A77AF6">
              <w:rPr>
                <w:rFonts w:cstheme="minorHAnsi"/>
                <w:sz w:val="20"/>
                <w:szCs w:val="20"/>
              </w:rPr>
              <w:t xml:space="preserve">on the successful completion of projects to time, cost, quality.  It was necessary to establish the risk profile of each project to avoid the assumption that project success was only due to ethical predisposition or effective governance, when a project might have failed partly because of its risk profile.  </w:t>
            </w:r>
          </w:p>
        </w:tc>
      </w:tr>
      <w:tr w:rsidR="0097280F" w:rsidRPr="00A77AF6" w14:paraId="5B7A5DAC" w14:textId="77777777" w:rsidTr="000239E2">
        <w:tc>
          <w:tcPr>
            <w:tcW w:w="547" w:type="dxa"/>
          </w:tcPr>
          <w:p w14:paraId="1B20C42E" w14:textId="77777777" w:rsidR="0097280F" w:rsidRPr="00A77AF6" w:rsidRDefault="0097280F" w:rsidP="003D2A57">
            <w:pPr>
              <w:pStyle w:val="ListParagraph"/>
              <w:numPr>
                <w:ilvl w:val="0"/>
                <w:numId w:val="3"/>
              </w:numPr>
              <w:spacing w:after="0" w:line="240" w:lineRule="auto"/>
              <w:rPr>
                <w:rFonts w:eastAsia="Times New Roman" w:cstheme="minorHAnsi"/>
                <w:sz w:val="20"/>
                <w:szCs w:val="20"/>
              </w:rPr>
            </w:pPr>
          </w:p>
        </w:tc>
        <w:tc>
          <w:tcPr>
            <w:tcW w:w="4409" w:type="dxa"/>
          </w:tcPr>
          <w:p w14:paraId="5312D0E8" w14:textId="77777777" w:rsidR="0097280F" w:rsidRPr="00A77AF6" w:rsidRDefault="0097280F" w:rsidP="00DE71E0">
            <w:pPr>
              <w:spacing w:after="0" w:line="240" w:lineRule="auto"/>
              <w:rPr>
                <w:rFonts w:eastAsia="Times New Roman" w:cstheme="minorHAnsi"/>
                <w:sz w:val="20"/>
                <w:szCs w:val="20"/>
              </w:rPr>
            </w:pPr>
            <w:r w:rsidRPr="00A77AF6">
              <w:rPr>
                <w:rFonts w:eastAsia="Times New Roman" w:cstheme="minorHAnsi"/>
                <w:sz w:val="20"/>
                <w:szCs w:val="20"/>
              </w:rPr>
              <w:t xml:space="preserve">Please choose 1 category that best describes the </w:t>
            </w:r>
            <w:r w:rsidRPr="00A77AF6">
              <w:rPr>
                <w:rStyle w:val="Strong"/>
                <w:rFonts w:eastAsia="Times New Roman" w:cstheme="minorHAnsi"/>
                <w:sz w:val="20"/>
                <w:szCs w:val="20"/>
              </w:rPr>
              <w:t>number</w:t>
            </w:r>
            <w:r w:rsidRPr="00A77AF6">
              <w:rPr>
                <w:rFonts w:eastAsia="Times New Roman" w:cstheme="minorHAnsi"/>
                <w:sz w:val="20"/>
                <w:szCs w:val="20"/>
              </w:rPr>
              <w:t xml:space="preserve"> of phases </w:t>
            </w:r>
          </w:p>
        </w:tc>
        <w:tc>
          <w:tcPr>
            <w:tcW w:w="3821" w:type="dxa"/>
            <w:vMerge/>
            <w:vAlign w:val="center"/>
          </w:tcPr>
          <w:p w14:paraId="13E536F7" w14:textId="21903449" w:rsidR="0097280F" w:rsidRPr="00A77AF6" w:rsidRDefault="0097280F" w:rsidP="00DE71E0">
            <w:pPr>
              <w:spacing w:after="0" w:line="240" w:lineRule="auto"/>
              <w:rPr>
                <w:rFonts w:cstheme="minorHAnsi"/>
                <w:sz w:val="20"/>
                <w:szCs w:val="20"/>
              </w:rPr>
            </w:pPr>
          </w:p>
        </w:tc>
      </w:tr>
      <w:tr w:rsidR="0097280F" w:rsidRPr="00A77AF6" w14:paraId="2D9B510D" w14:textId="77777777" w:rsidTr="000239E2">
        <w:tc>
          <w:tcPr>
            <w:tcW w:w="547" w:type="dxa"/>
          </w:tcPr>
          <w:p w14:paraId="00687551" w14:textId="77777777" w:rsidR="0097280F" w:rsidRPr="00A77AF6" w:rsidRDefault="0097280F" w:rsidP="003D2A57">
            <w:pPr>
              <w:pStyle w:val="ListParagraph"/>
              <w:numPr>
                <w:ilvl w:val="0"/>
                <w:numId w:val="3"/>
              </w:numPr>
              <w:spacing w:after="0" w:line="240" w:lineRule="auto"/>
              <w:rPr>
                <w:rFonts w:eastAsia="Times New Roman" w:cstheme="minorHAnsi"/>
                <w:sz w:val="20"/>
                <w:szCs w:val="20"/>
              </w:rPr>
            </w:pPr>
          </w:p>
        </w:tc>
        <w:tc>
          <w:tcPr>
            <w:tcW w:w="4409" w:type="dxa"/>
          </w:tcPr>
          <w:p w14:paraId="42695222" w14:textId="77777777" w:rsidR="0097280F" w:rsidRPr="00A77AF6" w:rsidRDefault="0097280F" w:rsidP="00DE71E0">
            <w:pPr>
              <w:spacing w:after="0" w:line="240" w:lineRule="auto"/>
              <w:rPr>
                <w:rFonts w:eastAsia="Times New Roman" w:cstheme="minorHAnsi"/>
                <w:sz w:val="20"/>
                <w:szCs w:val="20"/>
              </w:rPr>
            </w:pPr>
            <w:r w:rsidRPr="00A77AF6">
              <w:rPr>
                <w:rFonts w:eastAsia="Times New Roman" w:cstheme="minorHAnsi"/>
                <w:sz w:val="20"/>
                <w:szCs w:val="20"/>
              </w:rPr>
              <w:t xml:space="preserve">Please choose 1 category that best describes the </w:t>
            </w:r>
            <w:r w:rsidRPr="00A77AF6">
              <w:rPr>
                <w:rStyle w:val="Strong"/>
                <w:rFonts w:eastAsia="Times New Roman" w:cstheme="minorHAnsi"/>
                <w:sz w:val="20"/>
                <w:szCs w:val="20"/>
              </w:rPr>
              <w:t xml:space="preserve">number of sites </w:t>
            </w:r>
            <w:r w:rsidRPr="00A77AF6">
              <w:rPr>
                <w:rFonts w:eastAsia="Times New Roman" w:cstheme="minorHAnsi"/>
                <w:sz w:val="20"/>
                <w:szCs w:val="20"/>
              </w:rPr>
              <w:t>involved</w:t>
            </w:r>
          </w:p>
        </w:tc>
        <w:tc>
          <w:tcPr>
            <w:tcW w:w="3821" w:type="dxa"/>
            <w:vMerge/>
          </w:tcPr>
          <w:p w14:paraId="5D80B48C" w14:textId="4090628B" w:rsidR="0097280F" w:rsidRPr="00A77AF6" w:rsidRDefault="0097280F" w:rsidP="00DE71E0">
            <w:pPr>
              <w:spacing w:after="0" w:line="240" w:lineRule="auto"/>
              <w:rPr>
                <w:rFonts w:cstheme="minorHAnsi"/>
                <w:sz w:val="20"/>
                <w:szCs w:val="20"/>
              </w:rPr>
            </w:pPr>
          </w:p>
        </w:tc>
      </w:tr>
      <w:tr w:rsidR="0097280F" w:rsidRPr="00A77AF6" w14:paraId="71EF08C1" w14:textId="77777777" w:rsidTr="000239E2">
        <w:tc>
          <w:tcPr>
            <w:tcW w:w="547" w:type="dxa"/>
          </w:tcPr>
          <w:p w14:paraId="3A8132AB" w14:textId="77777777" w:rsidR="0097280F" w:rsidRPr="00A77AF6" w:rsidRDefault="0097280F" w:rsidP="003D2A57">
            <w:pPr>
              <w:pStyle w:val="ListParagraph"/>
              <w:numPr>
                <w:ilvl w:val="0"/>
                <w:numId w:val="3"/>
              </w:numPr>
              <w:spacing w:after="0" w:line="240" w:lineRule="auto"/>
              <w:rPr>
                <w:rFonts w:eastAsia="Times New Roman" w:cstheme="minorHAnsi"/>
                <w:sz w:val="20"/>
                <w:szCs w:val="20"/>
              </w:rPr>
            </w:pPr>
          </w:p>
        </w:tc>
        <w:tc>
          <w:tcPr>
            <w:tcW w:w="4409" w:type="dxa"/>
          </w:tcPr>
          <w:p w14:paraId="0981A6E3" w14:textId="77777777" w:rsidR="0097280F" w:rsidRPr="00A77AF6" w:rsidRDefault="0097280F" w:rsidP="00DE71E0">
            <w:pPr>
              <w:spacing w:after="0" w:line="240" w:lineRule="auto"/>
              <w:rPr>
                <w:rFonts w:eastAsia="Times New Roman" w:cstheme="minorHAnsi"/>
                <w:sz w:val="20"/>
                <w:szCs w:val="20"/>
              </w:rPr>
            </w:pPr>
            <w:r w:rsidRPr="00A77AF6">
              <w:rPr>
                <w:rFonts w:eastAsia="Times New Roman" w:cstheme="minorHAnsi"/>
                <w:sz w:val="20"/>
                <w:szCs w:val="20"/>
              </w:rPr>
              <w:t>Please choose 1 category that best describes the type and location of the project</w:t>
            </w:r>
          </w:p>
        </w:tc>
        <w:tc>
          <w:tcPr>
            <w:tcW w:w="3821" w:type="dxa"/>
            <w:vMerge/>
          </w:tcPr>
          <w:p w14:paraId="4DEC00FF" w14:textId="4C848CB3" w:rsidR="0097280F" w:rsidRPr="00A77AF6" w:rsidRDefault="0097280F" w:rsidP="00DE71E0">
            <w:pPr>
              <w:spacing w:after="0" w:line="240" w:lineRule="auto"/>
              <w:rPr>
                <w:rFonts w:cstheme="minorHAnsi"/>
                <w:sz w:val="20"/>
                <w:szCs w:val="20"/>
              </w:rPr>
            </w:pPr>
          </w:p>
        </w:tc>
      </w:tr>
      <w:tr w:rsidR="0097280F" w:rsidRPr="00A77AF6" w14:paraId="53F47B0E" w14:textId="77777777" w:rsidTr="000239E2">
        <w:tc>
          <w:tcPr>
            <w:tcW w:w="547" w:type="dxa"/>
          </w:tcPr>
          <w:p w14:paraId="7A2FD74F" w14:textId="77777777" w:rsidR="0097280F" w:rsidRPr="00A77AF6" w:rsidRDefault="0097280F" w:rsidP="003D2A57">
            <w:pPr>
              <w:pStyle w:val="ListParagraph"/>
              <w:numPr>
                <w:ilvl w:val="0"/>
                <w:numId w:val="3"/>
              </w:numPr>
              <w:spacing w:after="0" w:line="240" w:lineRule="auto"/>
              <w:rPr>
                <w:rFonts w:eastAsia="Times New Roman" w:cstheme="minorHAnsi"/>
                <w:sz w:val="20"/>
                <w:szCs w:val="20"/>
              </w:rPr>
            </w:pPr>
          </w:p>
        </w:tc>
        <w:tc>
          <w:tcPr>
            <w:tcW w:w="4409" w:type="dxa"/>
          </w:tcPr>
          <w:p w14:paraId="1863F401" w14:textId="77777777" w:rsidR="0097280F" w:rsidRPr="00A77AF6" w:rsidRDefault="0097280F" w:rsidP="00DE71E0">
            <w:pPr>
              <w:spacing w:after="0" w:line="240" w:lineRule="auto"/>
              <w:rPr>
                <w:rFonts w:eastAsia="Times New Roman" w:cstheme="minorHAnsi"/>
                <w:sz w:val="20"/>
                <w:szCs w:val="20"/>
              </w:rPr>
            </w:pPr>
            <w:r w:rsidRPr="00A77AF6">
              <w:rPr>
                <w:rFonts w:eastAsia="Times New Roman" w:cstheme="minorHAnsi"/>
                <w:sz w:val="20"/>
                <w:szCs w:val="20"/>
              </w:rPr>
              <w:t>Please can you indicate which of the following apply in terms of facilities management </w:t>
            </w:r>
          </w:p>
        </w:tc>
        <w:tc>
          <w:tcPr>
            <w:tcW w:w="3821" w:type="dxa"/>
            <w:vMerge/>
          </w:tcPr>
          <w:p w14:paraId="4D94790B" w14:textId="7E8CBDFB" w:rsidR="0097280F" w:rsidRPr="00A77AF6" w:rsidRDefault="0097280F" w:rsidP="00DE71E0">
            <w:pPr>
              <w:spacing w:after="0" w:line="240" w:lineRule="auto"/>
              <w:rPr>
                <w:rFonts w:cstheme="minorHAnsi"/>
                <w:sz w:val="20"/>
                <w:szCs w:val="20"/>
              </w:rPr>
            </w:pPr>
          </w:p>
        </w:tc>
      </w:tr>
      <w:tr w:rsidR="0097280F" w:rsidRPr="00A77AF6" w14:paraId="41CF9F09" w14:textId="77777777" w:rsidTr="000239E2">
        <w:tc>
          <w:tcPr>
            <w:tcW w:w="547" w:type="dxa"/>
          </w:tcPr>
          <w:p w14:paraId="65219CAE" w14:textId="77777777" w:rsidR="0097280F" w:rsidRPr="00A77AF6" w:rsidRDefault="0097280F" w:rsidP="003D2A57">
            <w:pPr>
              <w:pStyle w:val="ListParagraph"/>
              <w:numPr>
                <w:ilvl w:val="0"/>
                <w:numId w:val="3"/>
              </w:numPr>
              <w:spacing w:after="0" w:line="240" w:lineRule="auto"/>
              <w:rPr>
                <w:rFonts w:eastAsia="Times New Roman" w:cstheme="minorHAnsi"/>
                <w:sz w:val="20"/>
                <w:szCs w:val="20"/>
              </w:rPr>
            </w:pPr>
          </w:p>
        </w:tc>
        <w:tc>
          <w:tcPr>
            <w:tcW w:w="4409" w:type="dxa"/>
          </w:tcPr>
          <w:p w14:paraId="55849BD2" w14:textId="77777777" w:rsidR="0097280F" w:rsidRPr="00A77AF6" w:rsidRDefault="0097280F" w:rsidP="00DE71E0">
            <w:pPr>
              <w:spacing w:after="0" w:line="240" w:lineRule="auto"/>
              <w:rPr>
                <w:rFonts w:eastAsia="Times New Roman" w:cstheme="minorHAnsi"/>
                <w:sz w:val="20"/>
                <w:szCs w:val="20"/>
              </w:rPr>
            </w:pPr>
            <w:r w:rsidRPr="00A77AF6">
              <w:rPr>
                <w:rFonts w:eastAsia="Times New Roman" w:cstheme="minorHAnsi"/>
                <w:sz w:val="20"/>
                <w:szCs w:val="20"/>
              </w:rPr>
              <w:t>Please can you indicate which 1 category of equipment was included in the project?</w:t>
            </w:r>
          </w:p>
        </w:tc>
        <w:tc>
          <w:tcPr>
            <w:tcW w:w="3821" w:type="dxa"/>
            <w:vMerge/>
          </w:tcPr>
          <w:p w14:paraId="5B5AB49C" w14:textId="65603E7F" w:rsidR="0097280F" w:rsidRPr="00A77AF6" w:rsidRDefault="0097280F" w:rsidP="00DE71E0">
            <w:pPr>
              <w:spacing w:after="0" w:line="240" w:lineRule="auto"/>
              <w:rPr>
                <w:rFonts w:cstheme="minorHAnsi"/>
                <w:sz w:val="20"/>
                <w:szCs w:val="20"/>
              </w:rPr>
            </w:pPr>
          </w:p>
        </w:tc>
      </w:tr>
      <w:tr w:rsidR="0097280F" w:rsidRPr="00A77AF6" w14:paraId="6BE1503A" w14:textId="77777777" w:rsidTr="000239E2">
        <w:tc>
          <w:tcPr>
            <w:tcW w:w="547" w:type="dxa"/>
          </w:tcPr>
          <w:p w14:paraId="5514F85B" w14:textId="77777777" w:rsidR="0097280F" w:rsidRPr="00A77AF6" w:rsidRDefault="0097280F" w:rsidP="003D2A57">
            <w:pPr>
              <w:pStyle w:val="ListParagraph"/>
              <w:numPr>
                <w:ilvl w:val="0"/>
                <w:numId w:val="3"/>
              </w:numPr>
              <w:spacing w:after="0" w:line="240" w:lineRule="auto"/>
              <w:rPr>
                <w:rFonts w:cstheme="minorHAnsi"/>
                <w:sz w:val="20"/>
                <w:szCs w:val="20"/>
              </w:rPr>
            </w:pPr>
          </w:p>
        </w:tc>
        <w:tc>
          <w:tcPr>
            <w:tcW w:w="4409" w:type="dxa"/>
          </w:tcPr>
          <w:p w14:paraId="20889DF7" w14:textId="77777777" w:rsidR="0097280F" w:rsidRPr="00A77AF6" w:rsidRDefault="0097280F" w:rsidP="00DE71E0">
            <w:pPr>
              <w:spacing w:after="0" w:line="240" w:lineRule="auto"/>
              <w:rPr>
                <w:rFonts w:eastAsia="Times New Roman" w:cstheme="minorHAnsi"/>
                <w:sz w:val="20"/>
                <w:szCs w:val="20"/>
              </w:rPr>
            </w:pPr>
            <w:r w:rsidRPr="00A77AF6">
              <w:rPr>
                <w:rFonts w:cstheme="minorHAnsi"/>
                <w:sz w:val="20"/>
                <w:szCs w:val="20"/>
              </w:rPr>
              <w:t>Please can you indicate which 1 category best describes the IT included in the project</w:t>
            </w:r>
          </w:p>
        </w:tc>
        <w:tc>
          <w:tcPr>
            <w:tcW w:w="3821" w:type="dxa"/>
            <w:vMerge/>
          </w:tcPr>
          <w:p w14:paraId="3420DD94" w14:textId="47D12A81" w:rsidR="0097280F" w:rsidRPr="00A77AF6" w:rsidRDefault="0097280F" w:rsidP="00DE71E0">
            <w:pPr>
              <w:spacing w:after="0" w:line="240" w:lineRule="auto"/>
              <w:rPr>
                <w:rFonts w:cstheme="minorHAnsi"/>
                <w:sz w:val="20"/>
                <w:szCs w:val="20"/>
              </w:rPr>
            </w:pPr>
          </w:p>
        </w:tc>
      </w:tr>
      <w:tr w:rsidR="0097280F" w:rsidRPr="00A77AF6" w14:paraId="10B7AF4A" w14:textId="77777777" w:rsidTr="000239E2">
        <w:tc>
          <w:tcPr>
            <w:tcW w:w="547" w:type="dxa"/>
          </w:tcPr>
          <w:p w14:paraId="3DCFBCA1" w14:textId="77777777" w:rsidR="0097280F" w:rsidRPr="00A77AF6" w:rsidRDefault="0097280F" w:rsidP="003D2A57">
            <w:pPr>
              <w:pStyle w:val="ListParagraph"/>
              <w:numPr>
                <w:ilvl w:val="0"/>
                <w:numId w:val="3"/>
              </w:numPr>
              <w:spacing w:after="0" w:line="240" w:lineRule="auto"/>
              <w:rPr>
                <w:rFonts w:eastAsia="Times New Roman" w:cstheme="minorHAnsi"/>
                <w:sz w:val="20"/>
                <w:szCs w:val="20"/>
              </w:rPr>
            </w:pPr>
          </w:p>
        </w:tc>
        <w:tc>
          <w:tcPr>
            <w:tcW w:w="4409" w:type="dxa"/>
          </w:tcPr>
          <w:p w14:paraId="65843431" w14:textId="77777777" w:rsidR="0097280F" w:rsidRPr="00A77AF6" w:rsidRDefault="0097280F" w:rsidP="00DE71E0">
            <w:pPr>
              <w:spacing w:after="0" w:line="240" w:lineRule="auto"/>
              <w:rPr>
                <w:rFonts w:cstheme="minorHAnsi"/>
                <w:sz w:val="20"/>
                <w:szCs w:val="20"/>
              </w:rPr>
            </w:pPr>
            <w:r w:rsidRPr="00A77AF6">
              <w:rPr>
                <w:rFonts w:eastAsia="Times New Roman" w:cstheme="minorHAnsi"/>
                <w:sz w:val="20"/>
                <w:szCs w:val="20"/>
              </w:rPr>
              <w:t>Please can you indicate which of the categories applied to the project regarding stakeholders?  </w:t>
            </w:r>
          </w:p>
        </w:tc>
        <w:tc>
          <w:tcPr>
            <w:tcW w:w="3821" w:type="dxa"/>
            <w:vMerge/>
          </w:tcPr>
          <w:p w14:paraId="1BD3357D" w14:textId="019233F6" w:rsidR="0097280F" w:rsidRPr="00A77AF6" w:rsidRDefault="0097280F" w:rsidP="00DE71E0">
            <w:pPr>
              <w:spacing w:after="0" w:line="240" w:lineRule="auto"/>
              <w:rPr>
                <w:rFonts w:cstheme="minorHAnsi"/>
                <w:sz w:val="20"/>
                <w:szCs w:val="20"/>
              </w:rPr>
            </w:pPr>
          </w:p>
        </w:tc>
      </w:tr>
      <w:tr w:rsidR="0097280F" w:rsidRPr="00A77AF6" w14:paraId="2EEB60F1" w14:textId="77777777" w:rsidTr="000239E2">
        <w:tc>
          <w:tcPr>
            <w:tcW w:w="547" w:type="dxa"/>
          </w:tcPr>
          <w:p w14:paraId="71CC6A2B" w14:textId="77777777" w:rsidR="0097280F" w:rsidRPr="00A77AF6" w:rsidRDefault="0097280F" w:rsidP="003D2A57">
            <w:pPr>
              <w:pStyle w:val="ListParagraph"/>
              <w:numPr>
                <w:ilvl w:val="0"/>
                <w:numId w:val="3"/>
              </w:numPr>
              <w:spacing w:after="0" w:line="240" w:lineRule="auto"/>
              <w:rPr>
                <w:rFonts w:eastAsia="Times New Roman" w:cstheme="minorHAnsi"/>
                <w:sz w:val="20"/>
                <w:szCs w:val="20"/>
              </w:rPr>
            </w:pPr>
          </w:p>
        </w:tc>
        <w:tc>
          <w:tcPr>
            <w:tcW w:w="4409" w:type="dxa"/>
          </w:tcPr>
          <w:p w14:paraId="4A11EDFB" w14:textId="77777777" w:rsidR="0097280F" w:rsidRPr="00A77AF6" w:rsidRDefault="0097280F" w:rsidP="00DE71E0">
            <w:pPr>
              <w:spacing w:after="0" w:line="240" w:lineRule="auto"/>
              <w:rPr>
                <w:rFonts w:eastAsia="Times New Roman" w:cstheme="minorHAnsi"/>
                <w:sz w:val="20"/>
                <w:szCs w:val="20"/>
              </w:rPr>
            </w:pPr>
            <w:r w:rsidRPr="00A77AF6">
              <w:rPr>
                <w:rFonts w:eastAsia="Times New Roman" w:cstheme="minorHAnsi"/>
                <w:sz w:val="20"/>
                <w:szCs w:val="20"/>
              </w:rPr>
              <w:t>Which category of service change best fits with the project you are thinking about?</w:t>
            </w:r>
          </w:p>
        </w:tc>
        <w:tc>
          <w:tcPr>
            <w:tcW w:w="3821" w:type="dxa"/>
            <w:vMerge/>
          </w:tcPr>
          <w:p w14:paraId="2CE3817D" w14:textId="1CDF1409" w:rsidR="0097280F" w:rsidRPr="00A77AF6" w:rsidRDefault="0097280F" w:rsidP="00DE71E0">
            <w:pPr>
              <w:spacing w:after="0" w:line="240" w:lineRule="auto"/>
              <w:rPr>
                <w:rFonts w:cstheme="minorHAnsi"/>
                <w:sz w:val="20"/>
                <w:szCs w:val="20"/>
              </w:rPr>
            </w:pPr>
          </w:p>
        </w:tc>
      </w:tr>
      <w:tr w:rsidR="00300DF6" w:rsidRPr="00A77AF6" w14:paraId="1661FECA" w14:textId="77777777" w:rsidTr="000239E2">
        <w:tc>
          <w:tcPr>
            <w:tcW w:w="547" w:type="dxa"/>
          </w:tcPr>
          <w:p w14:paraId="16F2D0CD" w14:textId="77777777" w:rsidR="00300DF6" w:rsidRPr="00A77AF6" w:rsidRDefault="00300DF6" w:rsidP="003D2A57">
            <w:pPr>
              <w:pStyle w:val="ListParagraph"/>
              <w:numPr>
                <w:ilvl w:val="0"/>
                <w:numId w:val="3"/>
              </w:numPr>
              <w:spacing w:after="0" w:line="240" w:lineRule="auto"/>
              <w:rPr>
                <w:rFonts w:eastAsia="Times New Roman" w:cstheme="minorHAnsi"/>
                <w:sz w:val="20"/>
                <w:szCs w:val="20"/>
              </w:rPr>
            </w:pPr>
          </w:p>
        </w:tc>
        <w:tc>
          <w:tcPr>
            <w:tcW w:w="4409" w:type="dxa"/>
          </w:tcPr>
          <w:p w14:paraId="7C40F461" w14:textId="77777777" w:rsidR="00300DF6" w:rsidRPr="00A77AF6" w:rsidRDefault="00300DF6" w:rsidP="00DE71E0">
            <w:pPr>
              <w:spacing w:after="0" w:line="240" w:lineRule="auto"/>
              <w:rPr>
                <w:rFonts w:eastAsia="Times New Roman" w:cstheme="minorHAnsi"/>
                <w:sz w:val="20"/>
                <w:szCs w:val="20"/>
              </w:rPr>
            </w:pPr>
            <w:r w:rsidRPr="00A77AF6">
              <w:rPr>
                <w:rFonts w:eastAsia="Times New Roman" w:cstheme="minorHAnsi"/>
                <w:sz w:val="20"/>
                <w:szCs w:val="20"/>
              </w:rPr>
              <w:t>Who was the project sponsor/ owner</w:t>
            </w:r>
          </w:p>
        </w:tc>
        <w:tc>
          <w:tcPr>
            <w:tcW w:w="3821" w:type="dxa"/>
          </w:tcPr>
          <w:p w14:paraId="62EC1802" w14:textId="77777777" w:rsidR="00300DF6" w:rsidRPr="00A77AF6" w:rsidRDefault="00300DF6" w:rsidP="00DE71E0">
            <w:pPr>
              <w:spacing w:after="0" w:line="240" w:lineRule="auto"/>
              <w:rPr>
                <w:rFonts w:cstheme="minorHAnsi"/>
                <w:sz w:val="20"/>
                <w:szCs w:val="20"/>
              </w:rPr>
            </w:pPr>
            <w:r w:rsidRPr="00A77AF6">
              <w:rPr>
                <w:rFonts w:cstheme="minorHAnsi"/>
                <w:sz w:val="20"/>
                <w:szCs w:val="20"/>
              </w:rPr>
              <w:t xml:space="preserve">To find out the organisation’s view about the importance of the project.  This was based on the theory that the more senior the project sponsor is the more important the project is to the organisation. </w:t>
            </w:r>
          </w:p>
        </w:tc>
      </w:tr>
      <w:tr w:rsidR="00300DF6" w:rsidRPr="00A77AF6" w14:paraId="1B911ABF" w14:textId="77777777" w:rsidTr="000239E2">
        <w:trPr>
          <w:trHeight w:val="1125"/>
        </w:trPr>
        <w:tc>
          <w:tcPr>
            <w:tcW w:w="547" w:type="dxa"/>
          </w:tcPr>
          <w:p w14:paraId="48783ABD" w14:textId="77777777" w:rsidR="00300DF6" w:rsidRPr="00A77AF6" w:rsidRDefault="00300DF6" w:rsidP="003D2A57">
            <w:pPr>
              <w:pStyle w:val="ListParagraph"/>
              <w:numPr>
                <w:ilvl w:val="0"/>
                <w:numId w:val="3"/>
              </w:numPr>
              <w:spacing w:after="0" w:line="240" w:lineRule="auto"/>
              <w:rPr>
                <w:rFonts w:eastAsia="Times New Roman" w:cstheme="minorHAnsi"/>
                <w:sz w:val="20"/>
                <w:szCs w:val="20"/>
              </w:rPr>
            </w:pPr>
          </w:p>
        </w:tc>
        <w:tc>
          <w:tcPr>
            <w:tcW w:w="4409" w:type="dxa"/>
          </w:tcPr>
          <w:p w14:paraId="477236B5" w14:textId="77777777" w:rsidR="00300DF6" w:rsidRPr="00A77AF6" w:rsidRDefault="00300DF6" w:rsidP="00DE71E0">
            <w:pPr>
              <w:spacing w:after="0" w:line="240" w:lineRule="auto"/>
              <w:rPr>
                <w:rFonts w:eastAsia="Times New Roman" w:cstheme="minorHAnsi"/>
                <w:sz w:val="20"/>
                <w:szCs w:val="20"/>
              </w:rPr>
            </w:pPr>
            <w:r w:rsidRPr="00A77AF6">
              <w:rPr>
                <w:rFonts w:eastAsia="Times New Roman" w:cstheme="minorHAnsi"/>
                <w:sz w:val="20"/>
                <w:szCs w:val="20"/>
              </w:rPr>
              <w:t>In your opinion, how effective were these people or groups in the project?</w:t>
            </w:r>
          </w:p>
        </w:tc>
        <w:tc>
          <w:tcPr>
            <w:tcW w:w="3821" w:type="dxa"/>
          </w:tcPr>
          <w:p w14:paraId="446D5400" w14:textId="29035DD1" w:rsidR="00300DF6" w:rsidRPr="00A77AF6" w:rsidRDefault="00300DF6" w:rsidP="00DE71E0">
            <w:pPr>
              <w:spacing w:after="0" w:line="240" w:lineRule="auto"/>
              <w:rPr>
                <w:rFonts w:cstheme="minorHAnsi"/>
                <w:sz w:val="20"/>
                <w:szCs w:val="20"/>
              </w:rPr>
            </w:pPr>
            <w:r w:rsidRPr="00A77AF6">
              <w:rPr>
                <w:rFonts w:cstheme="minorHAnsi"/>
                <w:sz w:val="20"/>
                <w:szCs w:val="20"/>
              </w:rPr>
              <w:t xml:space="preserve">To find out the effectiveness of corporate and project governance.  The </w:t>
            </w:r>
            <w:r w:rsidR="00AA46D6" w:rsidRPr="00A77AF6">
              <w:rPr>
                <w:rFonts w:cstheme="minorHAnsi"/>
                <w:sz w:val="20"/>
                <w:szCs w:val="20"/>
              </w:rPr>
              <w:t xml:space="preserve">project </w:t>
            </w:r>
            <w:r w:rsidRPr="00A77AF6">
              <w:rPr>
                <w:rFonts w:cstheme="minorHAnsi"/>
                <w:sz w:val="20"/>
                <w:szCs w:val="20"/>
              </w:rPr>
              <w:t>groups</w:t>
            </w:r>
            <w:r w:rsidR="00AA46D6" w:rsidRPr="00A77AF6">
              <w:rPr>
                <w:rFonts w:cstheme="minorHAnsi"/>
                <w:sz w:val="20"/>
                <w:szCs w:val="20"/>
              </w:rPr>
              <w:t xml:space="preserve"> </w:t>
            </w:r>
            <w:r w:rsidRPr="00A77AF6">
              <w:rPr>
                <w:rFonts w:cstheme="minorHAnsi"/>
                <w:sz w:val="20"/>
                <w:szCs w:val="20"/>
              </w:rPr>
              <w:t xml:space="preserve">were derived from Axelos (2009) Müller (2009) and </w:t>
            </w:r>
            <w:r w:rsidR="00AA46D6" w:rsidRPr="00A77AF6">
              <w:rPr>
                <w:rFonts w:cstheme="minorHAnsi"/>
                <w:sz w:val="20"/>
                <w:szCs w:val="20"/>
              </w:rPr>
              <w:t xml:space="preserve">industry experience. The corporate governance groups were taken </w:t>
            </w:r>
            <w:r w:rsidR="00AA46D6" w:rsidRPr="00A77AF6">
              <w:rPr>
                <w:rFonts w:cstheme="minorHAnsi"/>
                <w:sz w:val="20"/>
                <w:szCs w:val="20"/>
              </w:rPr>
              <w:lastRenderedPageBreak/>
              <w:t xml:space="preserve">from </w:t>
            </w:r>
            <w:r w:rsidRPr="00A77AF6">
              <w:rPr>
                <w:rFonts w:cstheme="minorHAnsi"/>
                <w:sz w:val="20"/>
                <w:szCs w:val="20"/>
              </w:rPr>
              <w:t>Chambers (2014)</w:t>
            </w:r>
            <w:r w:rsidR="00FA1D75" w:rsidRPr="00A77AF6">
              <w:rPr>
                <w:rFonts w:cstheme="minorHAnsi"/>
                <w:sz w:val="20"/>
                <w:szCs w:val="20"/>
              </w:rPr>
              <w:t>. The people/ groups were:</w:t>
            </w:r>
          </w:p>
          <w:p w14:paraId="0A97C870" w14:textId="16183422" w:rsidR="00AA46D6" w:rsidRPr="00A77AF6" w:rsidRDefault="00AA46D6" w:rsidP="00DE71E0">
            <w:pPr>
              <w:spacing w:after="0" w:line="240" w:lineRule="auto"/>
              <w:rPr>
                <w:rFonts w:cstheme="minorHAnsi"/>
                <w:sz w:val="20"/>
                <w:szCs w:val="20"/>
              </w:rPr>
            </w:pPr>
            <w:r w:rsidRPr="00A77AF6">
              <w:rPr>
                <w:rFonts w:cstheme="minorHAnsi"/>
                <w:sz w:val="20"/>
                <w:szCs w:val="20"/>
              </w:rPr>
              <w:t>Project sponsor</w:t>
            </w:r>
          </w:p>
          <w:p w14:paraId="0564C755" w14:textId="515FBBF2" w:rsidR="00AA46D6" w:rsidRPr="00A77AF6" w:rsidRDefault="00AA46D6" w:rsidP="00DE71E0">
            <w:pPr>
              <w:spacing w:after="0" w:line="240" w:lineRule="auto"/>
              <w:rPr>
                <w:rFonts w:cstheme="minorHAnsi"/>
                <w:sz w:val="20"/>
                <w:szCs w:val="20"/>
              </w:rPr>
            </w:pPr>
            <w:r w:rsidRPr="00A77AF6">
              <w:rPr>
                <w:rFonts w:cstheme="minorHAnsi"/>
                <w:sz w:val="20"/>
                <w:szCs w:val="20"/>
              </w:rPr>
              <w:t>Project Board</w:t>
            </w:r>
          </w:p>
          <w:p w14:paraId="2E7CFB35" w14:textId="3A784DE0" w:rsidR="00AA46D6" w:rsidRPr="00A77AF6" w:rsidRDefault="00AA46D6" w:rsidP="00DE71E0">
            <w:pPr>
              <w:spacing w:after="0" w:line="240" w:lineRule="auto"/>
              <w:rPr>
                <w:rFonts w:cstheme="minorHAnsi"/>
                <w:sz w:val="20"/>
                <w:szCs w:val="20"/>
              </w:rPr>
            </w:pPr>
            <w:r w:rsidRPr="00A77AF6">
              <w:rPr>
                <w:rFonts w:cstheme="minorHAnsi"/>
                <w:sz w:val="20"/>
                <w:szCs w:val="20"/>
              </w:rPr>
              <w:t>Project Risk management</w:t>
            </w:r>
          </w:p>
          <w:p w14:paraId="3450553B" w14:textId="4A1D30F7" w:rsidR="00AA46D6" w:rsidRPr="00A77AF6" w:rsidRDefault="00AA46D6" w:rsidP="00DE71E0">
            <w:pPr>
              <w:spacing w:after="0" w:line="240" w:lineRule="auto"/>
              <w:rPr>
                <w:rFonts w:cstheme="minorHAnsi"/>
                <w:sz w:val="20"/>
                <w:szCs w:val="20"/>
              </w:rPr>
            </w:pPr>
            <w:r w:rsidRPr="00A77AF6">
              <w:rPr>
                <w:rFonts w:cstheme="minorHAnsi"/>
                <w:sz w:val="20"/>
                <w:szCs w:val="20"/>
              </w:rPr>
              <w:t>Project Quality Assurance</w:t>
            </w:r>
          </w:p>
          <w:p w14:paraId="5CEC4075" w14:textId="01D4E4C1" w:rsidR="00AA46D6" w:rsidRPr="00A77AF6" w:rsidRDefault="00AA46D6" w:rsidP="00DE71E0">
            <w:pPr>
              <w:spacing w:after="0" w:line="240" w:lineRule="auto"/>
              <w:rPr>
                <w:rFonts w:cstheme="minorHAnsi"/>
                <w:sz w:val="20"/>
                <w:szCs w:val="20"/>
              </w:rPr>
            </w:pPr>
            <w:r w:rsidRPr="00A77AF6">
              <w:rPr>
                <w:rFonts w:cstheme="minorHAnsi"/>
                <w:sz w:val="20"/>
                <w:szCs w:val="20"/>
              </w:rPr>
              <w:t>Project Financial Control</w:t>
            </w:r>
          </w:p>
          <w:p w14:paraId="5F586979" w14:textId="5923D319" w:rsidR="00AA46D6" w:rsidRPr="00A77AF6" w:rsidRDefault="00AA46D6" w:rsidP="00DE71E0">
            <w:pPr>
              <w:spacing w:after="0" w:line="240" w:lineRule="auto"/>
              <w:rPr>
                <w:rFonts w:cstheme="minorHAnsi"/>
                <w:sz w:val="20"/>
                <w:szCs w:val="20"/>
              </w:rPr>
            </w:pPr>
            <w:r w:rsidRPr="00A77AF6">
              <w:rPr>
                <w:rFonts w:cstheme="minorHAnsi"/>
                <w:sz w:val="20"/>
                <w:szCs w:val="20"/>
              </w:rPr>
              <w:t>Project user groups</w:t>
            </w:r>
            <w:r w:rsidRPr="00A77AF6">
              <w:rPr>
                <w:rFonts w:cstheme="minorHAnsi"/>
                <w:sz w:val="20"/>
                <w:szCs w:val="20"/>
              </w:rPr>
              <w:br/>
              <w:t>Project stakeholder groups</w:t>
            </w:r>
          </w:p>
          <w:p w14:paraId="2133FAD0" w14:textId="06CDC564" w:rsidR="00AA46D6" w:rsidRPr="00A77AF6" w:rsidRDefault="00AA46D6" w:rsidP="00DE71E0">
            <w:pPr>
              <w:spacing w:after="0" w:line="240" w:lineRule="auto"/>
              <w:rPr>
                <w:rFonts w:cstheme="minorHAnsi"/>
                <w:sz w:val="20"/>
                <w:szCs w:val="20"/>
              </w:rPr>
            </w:pPr>
            <w:r w:rsidRPr="00A77AF6">
              <w:rPr>
                <w:rFonts w:cstheme="minorHAnsi"/>
                <w:sz w:val="20"/>
                <w:szCs w:val="20"/>
              </w:rPr>
              <w:t>Corporat</w:t>
            </w:r>
            <w:r w:rsidR="00666694" w:rsidRPr="00A77AF6">
              <w:rPr>
                <w:rFonts w:cstheme="minorHAnsi"/>
                <w:sz w:val="20"/>
                <w:szCs w:val="20"/>
              </w:rPr>
              <w:t>e</w:t>
            </w:r>
            <w:r w:rsidRPr="00A77AF6">
              <w:rPr>
                <w:rFonts w:cstheme="minorHAnsi"/>
                <w:sz w:val="20"/>
                <w:szCs w:val="20"/>
              </w:rPr>
              <w:t xml:space="preserve"> governance</w:t>
            </w:r>
          </w:p>
          <w:p w14:paraId="5E0918E9" w14:textId="466455A6" w:rsidR="00AA46D6" w:rsidRPr="00A77AF6" w:rsidRDefault="00AA46D6" w:rsidP="00DE71E0">
            <w:pPr>
              <w:spacing w:after="0" w:line="240" w:lineRule="auto"/>
              <w:rPr>
                <w:rFonts w:cstheme="minorHAnsi"/>
                <w:sz w:val="20"/>
                <w:szCs w:val="20"/>
              </w:rPr>
            </w:pPr>
            <w:r w:rsidRPr="00A77AF6">
              <w:rPr>
                <w:rFonts w:cstheme="minorHAnsi"/>
                <w:sz w:val="20"/>
                <w:szCs w:val="20"/>
              </w:rPr>
              <w:t>Trust Board</w:t>
            </w:r>
          </w:p>
          <w:p w14:paraId="1236A809" w14:textId="6FA4219C" w:rsidR="00AA46D6" w:rsidRPr="00A77AF6" w:rsidRDefault="00AA46D6" w:rsidP="00DE71E0">
            <w:pPr>
              <w:spacing w:after="0" w:line="240" w:lineRule="auto"/>
              <w:rPr>
                <w:rFonts w:cstheme="minorHAnsi"/>
                <w:sz w:val="20"/>
                <w:szCs w:val="20"/>
              </w:rPr>
            </w:pPr>
            <w:r w:rsidRPr="00A77AF6">
              <w:rPr>
                <w:rFonts w:cstheme="minorHAnsi"/>
                <w:sz w:val="20"/>
                <w:szCs w:val="20"/>
              </w:rPr>
              <w:t>Chairperson</w:t>
            </w:r>
          </w:p>
          <w:p w14:paraId="06AA594F" w14:textId="02BAACA0" w:rsidR="00AA46D6" w:rsidRPr="00A77AF6" w:rsidRDefault="00AA46D6" w:rsidP="00DE71E0">
            <w:pPr>
              <w:spacing w:after="0" w:line="240" w:lineRule="auto"/>
              <w:rPr>
                <w:rFonts w:cstheme="minorHAnsi"/>
                <w:sz w:val="20"/>
                <w:szCs w:val="20"/>
              </w:rPr>
            </w:pPr>
            <w:r w:rsidRPr="00A77AF6">
              <w:rPr>
                <w:rFonts w:cstheme="minorHAnsi"/>
                <w:sz w:val="20"/>
                <w:szCs w:val="20"/>
              </w:rPr>
              <w:t>Non-executive directors</w:t>
            </w:r>
          </w:p>
          <w:p w14:paraId="4E7D282D" w14:textId="119B5FC7" w:rsidR="00AA46D6" w:rsidRPr="00A77AF6" w:rsidRDefault="00AA46D6" w:rsidP="00DE71E0">
            <w:pPr>
              <w:spacing w:after="0" w:line="240" w:lineRule="auto"/>
              <w:rPr>
                <w:rFonts w:cstheme="minorHAnsi"/>
                <w:sz w:val="20"/>
                <w:szCs w:val="20"/>
              </w:rPr>
            </w:pPr>
            <w:r w:rsidRPr="00A77AF6">
              <w:rPr>
                <w:rFonts w:cstheme="minorHAnsi"/>
                <w:sz w:val="20"/>
                <w:szCs w:val="20"/>
              </w:rPr>
              <w:t>Chief Executive</w:t>
            </w:r>
          </w:p>
          <w:p w14:paraId="03A993A0" w14:textId="07CB7DE2" w:rsidR="00AA46D6" w:rsidRPr="00A77AF6" w:rsidRDefault="00FA1D75" w:rsidP="00DE71E0">
            <w:pPr>
              <w:spacing w:after="0" w:line="240" w:lineRule="auto"/>
              <w:rPr>
                <w:rFonts w:cstheme="minorHAnsi"/>
                <w:sz w:val="20"/>
                <w:szCs w:val="20"/>
              </w:rPr>
            </w:pPr>
            <w:r w:rsidRPr="00A77AF6">
              <w:rPr>
                <w:rFonts w:cstheme="minorHAnsi"/>
                <w:sz w:val="20"/>
                <w:szCs w:val="20"/>
              </w:rPr>
              <w:t>Executive</w:t>
            </w:r>
            <w:r w:rsidR="00AA46D6" w:rsidRPr="00A77AF6">
              <w:rPr>
                <w:rFonts w:cstheme="minorHAnsi"/>
                <w:sz w:val="20"/>
                <w:szCs w:val="20"/>
              </w:rPr>
              <w:t xml:space="preserve"> Directors</w:t>
            </w:r>
          </w:p>
        </w:tc>
      </w:tr>
      <w:tr w:rsidR="00300DF6" w:rsidRPr="00A77AF6" w14:paraId="70D512AE" w14:textId="77777777" w:rsidTr="000239E2">
        <w:tc>
          <w:tcPr>
            <w:tcW w:w="547" w:type="dxa"/>
          </w:tcPr>
          <w:p w14:paraId="28BBDF04" w14:textId="77777777" w:rsidR="00300DF6" w:rsidRPr="00A77AF6" w:rsidRDefault="00300DF6" w:rsidP="003D2A57">
            <w:pPr>
              <w:pStyle w:val="ListParagraph"/>
              <w:numPr>
                <w:ilvl w:val="0"/>
                <w:numId w:val="3"/>
              </w:numPr>
              <w:spacing w:after="0" w:line="240" w:lineRule="auto"/>
              <w:rPr>
                <w:rFonts w:eastAsia="Times New Roman" w:cstheme="minorHAnsi"/>
                <w:sz w:val="20"/>
                <w:szCs w:val="20"/>
              </w:rPr>
            </w:pPr>
          </w:p>
        </w:tc>
        <w:tc>
          <w:tcPr>
            <w:tcW w:w="4409" w:type="dxa"/>
          </w:tcPr>
          <w:p w14:paraId="4A6756D2" w14:textId="1B011828" w:rsidR="00300DF6" w:rsidRPr="00A77AF6" w:rsidRDefault="00300DF6" w:rsidP="00DE71E0">
            <w:pPr>
              <w:spacing w:after="0" w:line="240" w:lineRule="auto"/>
              <w:rPr>
                <w:rFonts w:eastAsia="Times New Roman" w:cstheme="minorHAnsi"/>
                <w:sz w:val="20"/>
                <w:szCs w:val="20"/>
              </w:rPr>
            </w:pPr>
            <w:r w:rsidRPr="00A77AF6">
              <w:rPr>
                <w:rFonts w:eastAsia="Times New Roman" w:cstheme="minorHAnsi"/>
                <w:sz w:val="20"/>
                <w:szCs w:val="20"/>
              </w:rPr>
              <w:t xml:space="preserve">How effective were the following </w:t>
            </w:r>
            <w:r w:rsidR="00EB4B2C" w:rsidRPr="00A77AF6">
              <w:rPr>
                <w:rFonts w:eastAsia="Times New Roman" w:cstheme="minorHAnsi"/>
                <w:sz w:val="20"/>
                <w:szCs w:val="20"/>
              </w:rPr>
              <w:t xml:space="preserve">CSF </w:t>
            </w:r>
            <w:r w:rsidRPr="00A77AF6">
              <w:rPr>
                <w:rFonts w:eastAsia="Times New Roman" w:cstheme="minorHAnsi"/>
                <w:sz w:val="20"/>
                <w:szCs w:val="20"/>
              </w:rPr>
              <w:t>in the project you are thinking about?</w:t>
            </w:r>
          </w:p>
        </w:tc>
        <w:tc>
          <w:tcPr>
            <w:tcW w:w="3821" w:type="dxa"/>
          </w:tcPr>
          <w:p w14:paraId="5122C62D" w14:textId="00817367" w:rsidR="00300DF6" w:rsidRPr="00A77AF6" w:rsidRDefault="001447FF" w:rsidP="00DE71E0">
            <w:pPr>
              <w:spacing w:after="0" w:line="240" w:lineRule="auto"/>
              <w:rPr>
                <w:rFonts w:cstheme="minorHAnsi"/>
                <w:sz w:val="20"/>
                <w:szCs w:val="20"/>
              </w:rPr>
            </w:pPr>
            <w:r w:rsidRPr="00A77AF6">
              <w:rPr>
                <w:rFonts w:cstheme="minorHAnsi"/>
                <w:sz w:val="20"/>
                <w:szCs w:val="20"/>
              </w:rPr>
              <w:t xml:space="preserve">According to the literature </w:t>
            </w:r>
            <w:r w:rsidR="00300DF6" w:rsidRPr="00A77AF6">
              <w:rPr>
                <w:rFonts w:cstheme="minorHAnsi"/>
                <w:sz w:val="20"/>
                <w:szCs w:val="20"/>
              </w:rPr>
              <w:t xml:space="preserve">the 10 CSF’s identified by Slevin &amp; Pinto (1987) are </w:t>
            </w:r>
            <w:r w:rsidR="005D5C47" w:rsidRPr="00A77AF6">
              <w:rPr>
                <w:rFonts w:cstheme="minorHAnsi"/>
                <w:sz w:val="20"/>
                <w:szCs w:val="20"/>
              </w:rPr>
              <w:t>important</w:t>
            </w:r>
            <w:r w:rsidRPr="00A77AF6">
              <w:rPr>
                <w:rFonts w:cstheme="minorHAnsi"/>
                <w:sz w:val="20"/>
                <w:szCs w:val="20"/>
              </w:rPr>
              <w:t xml:space="preserve"> for proj</w:t>
            </w:r>
            <w:r w:rsidR="001C68BC" w:rsidRPr="00A77AF6">
              <w:rPr>
                <w:rFonts w:cstheme="minorHAnsi"/>
                <w:sz w:val="20"/>
                <w:szCs w:val="20"/>
              </w:rPr>
              <w:t>e</w:t>
            </w:r>
            <w:r w:rsidRPr="00A77AF6">
              <w:rPr>
                <w:rFonts w:cstheme="minorHAnsi"/>
                <w:sz w:val="20"/>
                <w:szCs w:val="20"/>
              </w:rPr>
              <w:t xml:space="preserve">ct success.  For this </w:t>
            </w:r>
            <w:r w:rsidR="005D5C47" w:rsidRPr="00A77AF6">
              <w:rPr>
                <w:rFonts w:cstheme="minorHAnsi"/>
                <w:sz w:val="20"/>
                <w:szCs w:val="20"/>
              </w:rPr>
              <w:t>reason,</w:t>
            </w:r>
            <w:r w:rsidRPr="00A77AF6">
              <w:rPr>
                <w:rFonts w:cstheme="minorHAnsi"/>
                <w:sz w:val="20"/>
                <w:szCs w:val="20"/>
              </w:rPr>
              <w:t xml:space="preserve"> th</w:t>
            </w:r>
            <w:r w:rsidR="00AA46D6" w:rsidRPr="00A77AF6">
              <w:rPr>
                <w:rFonts w:cstheme="minorHAnsi"/>
                <w:sz w:val="20"/>
                <w:szCs w:val="20"/>
              </w:rPr>
              <w:t>ey were identified as influenci</w:t>
            </w:r>
            <w:r w:rsidRPr="00A77AF6">
              <w:rPr>
                <w:rFonts w:cstheme="minorHAnsi"/>
                <w:sz w:val="20"/>
                <w:szCs w:val="20"/>
              </w:rPr>
              <w:t>n</w:t>
            </w:r>
            <w:r w:rsidR="00AA46D6" w:rsidRPr="00A77AF6">
              <w:rPr>
                <w:rFonts w:cstheme="minorHAnsi"/>
                <w:sz w:val="20"/>
                <w:szCs w:val="20"/>
              </w:rPr>
              <w:t>g</w:t>
            </w:r>
            <w:r w:rsidRPr="00A77AF6">
              <w:rPr>
                <w:rFonts w:cstheme="minorHAnsi"/>
                <w:sz w:val="20"/>
                <w:szCs w:val="20"/>
              </w:rPr>
              <w:t xml:space="preserve"> variables and needed to be taken account of. </w:t>
            </w:r>
            <w:r w:rsidR="00CA4C10" w:rsidRPr="00A77AF6">
              <w:rPr>
                <w:rFonts w:cstheme="minorHAnsi"/>
                <w:sz w:val="20"/>
                <w:szCs w:val="20"/>
              </w:rPr>
              <w:t>The 10 CSFs are</w:t>
            </w:r>
          </w:p>
          <w:p w14:paraId="3493F7C6" w14:textId="77777777" w:rsidR="00CA4C10" w:rsidRPr="00A77AF6" w:rsidRDefault="00CA4C10" w:rsidP="00DE71E0">
            <w:pPr>
              <w:spacing w:after="0" w:line="240" w:lineRule="auto"/>
              <w:rPr>
                <w:rFonts w:cstheme="minorHAnsi"/>
                <w:sz w:val="20"/>
                <w:szCs w:val="20"/>
              </w:rPr>
            </w:pPr>
            <w:r w:rsidRPr="00A77AF6">
              <w:rPr>
                <w:rFonts w:cstheme="minorHAnsi"/>
                <w:sz w:val="20"/>
                <w:szCs w:val="20"/>
              </w:rPr>
              <w:t>Project mission</w:t>
            </w:r>
          </w:p>
          <w:p w14:paraId="2B953741" w14:textId="77777777" w:rsidR="00CA4C10" w:rsidRPr="00A77AF6" w:rsidRDefault="00CA4C10" w:rsidP="00DE71E0">
            <w:pPr>
              <w:spacing w:after="0" w:line="240" w:lineRule="auto"/>
              <w:rPr>
                <w:rFonts w:cstheme="minorHAnsi"/>
                <w:sz w:val="20"/>
                <w:szCs w:val="20"/>
              </w:rPr>
            </w:pPr>
            <w:r w:rsidRPr="00A77AF6">
              <w:rPr>
                <w:rFonts w:cstheme="minorHAnsi"/>
                <w:sz w:val="20"/>
                <w:szCs w:val="20"/>
              </w:rPr>
              <w:t>Top management support</w:t>
            </w:r>
          </w:p>
          <w:p w14:paraId="167587AA" w14:textId="55C10567" w:rsidR="00CA4C10" w:rsidRPr="00A77AF6" w:rsidRDefault="00CA4C10" w:rsidP="00DE71E0">
            <w:pPr>
              <w:spacing w:after="0" w:line="240" w:lineRule="auto"/>
              <w:rPr>
                <w:rFonts w:cstheme="minorHAnsi"/>
                <w:sz w:val="20"/>
                <w:szCs w:val="20"/>
              </w:rPr>
            </w:pPr>
            <w:r w:rsidRPr="00A77AF6">
              <w:rPr>
                <w:rFonts w:cstheme="minorHAnsi"/>
                <w:sz w:val="20"/>
                <w:szCs w:val="20"/>
              </w:rPr>
              <w:t>Pro</w:t>
            </w:r>
            <w:r w:rsidR="001C68BC" w:rsidRPr="00A77AF6">
              <w:rPr>
                <w:rFonts w:cstheme="minorHAnsi"/>
                <w:sz w:val="20"/>
                <w:szCs w:val="20"/>
              </w:rPr>
              <w:t>ject</w:t>
            </w:r>
            <w:r w:rsidRPr="00A77AF6">
              <w:rPr>
                <w:rFonts w:cstheme="minorHAnsi"/>
                <w:sz w:val="20"/>
                <w:szCs w:val="20"/>
              </w:rPr>
              <w:t xml:space="preserve"> schedule/ plan</w:t>
            </w:r>
          </w:p>
          <w:p w14:paraId="35E25070" w14:textId="77777777" w:rsidR="00CA4C10" w:rsidRPr="00A77AF6" w:rsidRDefault="00CA4C10" w:rsidP="00DE71E0">
            <w:pPr>
              <w:spacing w:after="0" w:line="240" w:lineRule="auto"/>
              <w:rPr>
                <w:rFonts w:cstheme="minorHAnsi"/>
                <w:sz w:val="20"/>
                <w:szCs w:val="20"/>
              </w:rPr>
            </w:pPr>
            <w:r w:rsidRPr="00A77AF6">
              <w:rPr>
                <w:rFonts w:cstheme="minorHAnsi"/>
                <w:sz w:val="20"/>
                <w:szCs w:val="20"/>
              </w:rPr>
              <w:t>Client consultation</w:t>
            </w:r>
          </w:p>
          <w:p w14:paraId="6D8E28BF" w14:textId="05179DE2" w:rsidR="00CA4C10" w:rsidRPr="00A77AF6" w:rsidRDefault="00CA4C10" w:rsidP="00DE71E0">
            <w:pPr>
              <w:spacing w:after="0" w:line="240" w:lineRule="auto"/>
              <w:rPr>
                <w:rFonts w:cstheme="minorHAnsi"/>
                <w:sz w:val="20"/>
                <w:szCs w:val="20"/>
              </w:rPr>
            </w:pPr>
            <w:r w:rsidRPr="00A77AF6">
              <w:rPr>
                <w:rFonts w:cstheme="minorHAnsi"/>
                <w:sz w:val="20"/>
                <w:szCs w:val="20"/>
              </w:rPr>
              <w:t>Personnel</w:t>
            </w:r>
          </w:p>
          <w:p w14:paraId="3499223B" w14:textId="4203C218" w:rsidR="00CA4C10" w:rsidRPr="00A77AF6" w:rsidRDefault="00CA4C10" w:rsidP="00DE71E0">
            <w:pPr>
              <w:spacing w:after="0" w:line="240" w:lineRule="auto"/>
              <w:rPr>
                <w:rFonts w:cstheme="minorHAnsi"/>
                <w:sz w:val="20"/>
                <w:szCs w:val="20"/>
              </w:rPr>
            </w:pPr>
            <w:r w:rsidRPr="00A77AF6">
              <w:rPr>
                <w:rFonts w:cstheme="minorHAnsi"/>
                <w:sz w:val="20"/>
                <w:szCs w:val="20"/>
              </w:rPr>
              <w:t>Technical tasks</w:t>
            </w:r>
          </w:p>
          <w:p w14:paraId="1266DFEA" w14:textId="6E89F85E" w:rsidR="00CA4C10" w:rsidRPr="00A77AF6" w:rsidRDefault="00CA4C10" w:rsidP="00DE71E0">
            <w:pPr>
              <w:spacing w:after="0" w:line="240" w:lineRule="auto"/>
              <w:rPr>
                <w:rFonts w:cstheme="minorHAnsi"/>
                <w:sz w:val="20"/>
                <w:szCs w:val="20"/>
              </w:rPr>
            </w:pPr>
            <w:r w:rsidRPr="00A77AF6">
              <w:rPr>
                <w:rFonts w:cstheme="minorHAnsi"/>
                <w:sz w:val="20"/>
                <w:szCs w:val="20"/>
              </w:rPr>
              <w:t>Client acceptance</w:t>
            </w:r>
          </w:p>
          <w:p w14:paraId="4B450CA3" w14:textId="679035C2" w:rsidR="00AA46D6" w:rsidRPr="00A77AF6" w:rsidRDefault="005D5C47" w:rsidP="00DE71E0">
            <w:pPr>
              <w:spacing w:after="0" w:line="240" w:lineRule="auto"/>
              <w:rPr>
                <w:rFonts w:cstheme="minorHAnsi"/>
                <w:sz w:val="20"/>
                <w:szCs w:val="20"/>
              </w:rPr>
            </w:pPr>
            <w:r w:rsidRPr="00A77AF6">
              <w:rPr>
                <w:rFonts w:cstheme="minorHAnsi"/>
                <w:sz w:val="20"/>
                <w:szCs w:val="20"/>
              </w:rPr>
              <w:t>Monitoring</w:t>
            </w:r>
            <w:r w:rsidR="00AA46D6" w:rsidRPr="00A77AF6">
              <w:rPr>
                <w:rFonts w:cstheme="minorHAnsi"/>
                <w:sz w:val="20"/>
                <w:szCs w:val="20"/>
              </w:rPr>
              <w:t xml:space="preserve"> and feedback</w:t>
            </w:r>
          </w:p>
          <w:p w14:paraId="7906A662" w14:textId="40A3908C" w:rsidR="00AA46D6" w:rsidRPr="00A77AF6" w:rsidRDefault="005D5C47" w:rsidP="00DE71E0">
            <w:pPr>
              <w:spacing w:after="0" w:line="240" w:lineRule="auto"/>
              <w:rPr>
                <w:rFonts w:cstheme="minorHAnsi"/>
                <w:sz w:val="20"/>
                <w:szCs w:val="20"/>
              </w:rPr>
            </w:pPr>
            <w:r w:rsidRPr="00A77AF6">
              <w:rPr>
                <w:rFonts w:cstheme="minorHAnsi"/>
                <w:sz w:val="20"/>
                <w:szCs w:val="20"/>
              </w:rPr>
              <w:t>Communication</w:t>
            </w:r>
          </w:p>
          <w:p w14:paraId="797AA33B" w14:textId="7050BCEC" w:rsidR="00AA46D6" w:rsidRPr="00A77AF6" w:rsidRDefault="00AA46D6" w:rsidP="00DE71E0">
            <w:pPr>
              <w:spacing w:after="0" w:line="240" w:lineRule="auto"/>
              <w:rPr>
                <w:rFonts w:cstheme="minorHAnsi"/>
                <w:sz w:val="20"/>
                <w:szCs w:val="20"/>
              </w:rPr>
            </w:pPr>
            <w:r w:rsidRPr="00A77AF6">
              <w:rPr>
                <w:rFonts w:cstheme="minorHAnsi"/>
                <w:sz w:val="20"/>
                <w:szCs w:val="20"/>
              </w:rPr>
              <w:t>Trouble shooting</w:t>
            </w:r>
          </w:p>
        </w:tc>
      </w:tr>
      <w:tr w:rsidR="00300DF6" w:rsidRPr="00A77AF6" w14:paraId="3C88FECB" w14:textId="77777777" w:rsidTr="000239E2">
        <w:tc>
          <w:tcPr>
            <w:tcW w:w="547" w:type="dxa"/>
          </w:tcPr>
          <w:p w14:paraId="393A8DFB" w14:textId="77777777" w:rsidR="00300DF6" w:rsidRPr="00A77AF6" w:rsidRDefault="00300DF6" w:rsidP="003D2A57">
            <w:pPr>
              <w:pStyle w:val="ListParagraph"/>
              <w:numPr>
                <w:ilvl w:val="0"/>
                <w:numId w:val="3"/>
              </w:numPr>
              <w:spacing w:after="0" w:line="240" w:lineRule="auto"/>
              <w:rPr>
                <w:rFonts w:eastAsia="Times New Roman" w:cstheme="minorHAnsi"/>
                <w:sz w:val="20"/>
                <w:szCs w:val="20"/>
              </w:rPr>
            </w:pPr>
          </w:p>
        </w:tc>
        <w:tc>
          <w:tcPr>
            <w:tcW w:w="4409" w:type="dxa"/>
          </w:tcPr>
          <w:p w14:paraId="166597E6" w14:textId="35985D8A" w:rsidR="00300DF6" w:rsidRPr="00A77AF6" w:rsidRDefault="00300DF6" w:rsidP="00DE71E0">
            <w:pPr>
              <w:spacing w:after="0" w:line="240" w:lineRule="auto"/>
              <w:rPr>
                <w:rFonts w:eastAsia="Times New Roman" w:cstheme="minorHAnsi"/>
                <w:sz w:val="20"/>
                <w:szCs w:val="20"/>
              </w:rPr>
            </w:pPr>
            <w:r w:rsidRPr="00A77AF6">
              <w:rPr>
                <w:rFonts w:eastAsia="Times New Roman" w:cstheme="minorHAnsi"/>
                <w:sz w:val="20"/>
                <w:szCs w:val="20"/>
              </w:rPr>
              <w:t>Do you consider the project to be successful?</w:t>
            </w:r>
            <w:r w:rsidR="00AE75A8" w:rsidRPr="00A77AF6">
              <w:rPr>
                <w:rFonts w:eastAsia="Times New Roman" w:cstheme="minorHAnsi"/>
                <w:sz w:val="20"/>
                <w:szCs w:val="20"/>
              </w:rPr>
              <w:t xml:space="preserve"> Yes/ No</w:t>
            </w:r>
          </w:p>
        </w:tc>
        <w:tc>
          <w:tcPr>
            <w:tcW w:w="3821" w:type="dxa"/>
          </w:tcPr>
          <w:p w14:paraId="5281117E" w14:textId="3A7445B2" w:rsidR="00300DF6" w:rsidRPr="00A77AF6" w:rsidRDefault="00300DF6" w:rsidP="00AE75A8">
            <w:pPr>
              <w:spacing w:after="0" w:line="240" w:lineRule="auto"/>
              <w:rPr>
                <w:rFonts w:cstheme="minorHAnsi"/>
                <w:sz w:val="20"/>
                <w:szCs w:val="20"/>
              </w:rPr>
            </w:pPr>
            <w:r w:rsidRPr="00A77AF6">
              <w:rPr>
                <w:rFonts w:cstheme="minorHAnsi"/>
                <w:sz w:val="20"/>
                <w:szCs w:val="20"/>
              </w:rPr>
              <w:t xml:space="preserve">To find out if project personnel thought their project was successful.   </w:t>
            </w:r>
            <w:r w:rsidR="001447FF" w:rsidRPr="00A77AF6">
              <w:rPr>
                <w:rFonts w:cstheme="minorHAnsi"/>
                <w:sz w:val="20"/>
                <w:szCs w:val="20"/>
              </w:rPr>
              <w:t>Answers to this question could be compared to 2 other measures of project success</w:t>
            </w:r>
            <w:r w:rsidR="00AE75A8" w:rsidRPr="00A77AF6">
              <w:rPr>
                <w:rFonts w:cstheme="minorHAnsi"/>
                <w:sz w:val="20"/>
                <w:szCs w:val="20"/>
              </w:rPr>
              <w:t xml:space="preserve"> (see 22 </w:t>
            </w:r>
            <w:r w:rsidR="005F7CDD" w:rsidRPr="00A77AF6">
              <w:rPr>
                <w:rFonts w:cstheme="minorHAnsi"/>
                <w:sz w:val="20"/>
                <w:szCs w:val="20"/>
              </w:rPr>
              <w:t xml:space="preserve">below)  </w:t>
            </w:r>
          </w:p>
        </w:tc>
      </w:tr>
      <w:tr w:rsidR="00300DF6" w:rsidRPr="00A77AF6" w14:paraId="65CD46F7" w14:textId="77777777" w:rsidTr="000239E2">
        <w:tc>
          <w:tcPr>
            <w:tcW w:w="547" w:type="dxa"/>
          </w:tcPr>
          <w:p w14:paraId="6EA37A6D" w14:textId="77777777" w:rsidR="00300DF6" w:rsidRPr="00A77AF6" w:rsidRDefault="00300DF6" w:rsidP="003D2A57">
            <w:pPr>
              <w:pStyle w:val="ListParagraph"/>
              <w:numPr>
                <w:ilvl w:val="0"/>
                <w:numId w:val="3"/>
              </w:numPr>
              <w:spacing w:after="0" w:line="240" w:lineRule="auto"/>
              <w:rPr>
                <w:rFonts w:eastAsia="Times New Roman" w:cstheme="minorHAnsi"/>
                <w:sz w:val="20"/>
                <w:szCs w:val="20"/>
              </w:rPr>
            </w:pPr>
          </w:p>
        </w:tc>
        <w:tc>
          <w:tcPr>
            <w:tcW w:w="4409" w:type="dxa"/>
          </w:tcPr>
          <w:p w14:paraId="109C88C8" w14:textId="19790AC8" w:rsidR="00300DF6" w:rsidRPr="00A77AF6" w:rsidRDefault="00300DF6" w:rsidP="00DE71E0">
            <w:pPr>
              <w:spacing w:after="0" w:line="240" w:lineRule="auto"/>
              <w:rPr>
                <w:rFonts w:eastAsia="Times New Roman" w:cstheme="minorHAnsi"/>
                <w:sz w:val="20"/>
                <w:szCs w:val="20"/>
              </w:rPr>
            </w:pPr>
            <w:r w:rsidRPr="00A77AF6">
              <w:rPr>
                <w:rFonts w:eastAsia="Times New Roman" w:cstheme="minorHAnsi"/>
                <w:sz w:val="20"/>
                <w:szCs w:val="20"/>
              </w:rPr>
              <w:t xml:space="preserve">Did the project meet </w:t>
            </w:r>
            <w:r w:rsidR="001447FF" w:rsidRPr="00A77AF6">
              <w:rPr>
                <w:rFonts w:eastAsia="Times New Roman" w:cstheme="minorHAnsi"/>
                <w:sz w:val="20"/>
                <w:szCs w:val="20"/>
              </w:rPr>
              <w:t xml:space="preserve">time, cost, quality targets </w:t>
            </w:r>
            <w:r w:rsidRPr="00A77AF6">
              <w:rPr>
                <w:rFonts w:eastAsia="Times New Roman" w:cstheme="minorHAnsi"/>
                <w:sz w:val="20"/>
                <w:szCs w:val="20"/>
              </w:rPr>
              <w:t>at the end of the project phase?</w:t>
            </w:r>
          </w:p>
        </w:tc>
        <w:tc>
          <w:tcPr>
            <w:tcW w:w="3821" w:type="dxa"/>
          </w:tcPr>
          <w:p w14:paraId="2230F117" w14:textId="77777777" w:rsidR="00300DF6" w:rsidRPr="00A77AF6" w:rsidRDefault="00300DF6" w:rsidP="00DE71E0">
            <w:pPr>
              <w:spacing w:after="0" w:line="240" w:lineRule="auto"/>
              <w:rPr>
                <w:rFonts w:cstheme="minorHAnsi"/>
                <w:sz w:val="20"/>
                <w:szCs w:val="20"/>
              </w:rPr>
            </w:pPr>
            <w:r w:rsidRPr="00A77AF6">
              <w:rPr>
                <w:rFonts w:cstheme="minorHAnsi"/>
                <w:sz w:val="20"/>
                <w:szCs w:val="20"/>
              </w:rPr>
              <w:t xml:space="preserve">To find out to what extent the project met time, cost and quality targets at the end of the project management phase to determine if project success was the same as meeting the targets of the iron triangle. </w:t>
            </w:r>
          </w:p>
          <w:p w14:paraId="4A9DCFE7" w14:textId="77777777" w:rsidR="00AE75A8" w:rsidRPr="00A77AF6" w:rsidRDefault="00AE75A8" w:rsidP="003D2A57">
            <w:pPr>
              <w:pStyle w:val="ListParagraph"/>
              <w:numPr>
                <w:ilvl w:val="0"/>
                <w:numId w:val="7"/>
              </w:numPr>
              <w:spacing w:after="0" w:line="240" w:lineRule="auto"/>
              <w:rPr>
                <w:rFonts w:cstheme="minorHAnsi"/>
                <w:sz w:val="20"/>
                <w:szCs w:val="20"/>
              </w:rPr>
            </w:pPr>
            <w:r w:rsidRPr="00A77AF6">
              <w:rPr>
                <w:rFonts w:cstheme="minorHAnsi"/>
                <w:sz w:val="20"/>
                <w:szCs w:val="20"/>
              </w:rPr>
              <w:t xml:space="preserve">project score </w:t>
            </w:r>
          </w:p>
          <w:p w14:paraId="60382AC2" w14:textId="233DB4E0" w:rsidR="00AE75A8" w:rsidRPr="00A77AF6" w:rsidRDefault="00AE75A8" w:rsidP="003D2A57">
            <w:pPr>
              <w:pStyle w:val="ListParagraph"/>
              <w:numPr>
                <w:ilvl w:val="0"/>
                <w:numId w:val="7"/>
              </w:numPr>
              <w:spacing w:after="0" w:line="240" w:lineRule="auto"/>
              <w:rPr>
                <w:rFonts w:cstheme="minorHAnsi"/>
                <w:sz w:val="20"/>
                <w:szCs w:val="20"/>
              </w:rPr>
            </w:pPr>
            <w:r w:rsidRPr="00A77AF6">
              <w:rPr>
                <w:rFonts w:cstheme="minorHAnsi"/>
                <w:sz w:val="20"/>
                <w:szCs w:val="20"/>
              </w:rPr>
              <w:t>compliance to time, cost and quality parameters</w:t>
            </w:r>
          </w:p>
        </w:tc>
      </w:tr>
      <w:tr w:rsidR="00300DF6" w:rsidRPr="00A77AF6" w14:paraId="59CE7E3A" w14:textId="77777777" w:rsidTr="000239E2">
        <w:tc>
          <w:tcPr>
            <w:tcW w:w="547" w:type="dxa"/>
          </w:tcPr>
          <w:p w14:paraId="0F28608D" w14:textId="77777777" w:rsidR="00300DF6" w:rsidRPr="00A77AF6" w:rsidRDefault="00300DF6" w:rsidP="003D2A57">
            <w:pPr>
              <w:pStyle w:val="ListParagraph"/>
              <w:numPr>
                <w:ilvl w:val="0"/>
                <w:numId w:val="3"/>
              </w:numPr>
              <w:spacing w:after="0" w:line="240" w:lineRule="auto"/>
              <w:rPr>
                <w:rFonts w:eastAsia="Times New Roman" w:cstheme="minorHAnsi"/>
                <w:sz w:val="20"/>
                <w:szCs w:val="20"/>
              </w:rPr>
            </w:pPr>
          </w:p>
        </w:tc>
        <w:tc>
          <w:tcPr>
            <w:tcW w:w="4409" w:type="dxa"/>
          </w:tcPr>
          <w:p w14:paraId="1B0CCD81" w14:textId="0671CFF5" w:rsidR="00300DF6" w:rsidRPr="00A77AF6" w:rsidRDefault="00300DF6" w:rsidP="00DE71E0">
            <w:pPr>
              <w:spacing w:after="0" w:line="240" w:lineRule="auto"/>
              <w:rPr>
                <w:rFonts w:eastAsia="Times New Roman" w:cstheme="minorHAnsi"/>
                <w:sz w:val="20"/>
                <w:szCs w:val="20"/>
              </w:rPr>
            </w:pPr>
            <w:r w:rsidRPr="00A77AF6">
              <w:rPr>
                <w:rFonts w:eastAsia="Times New Roman" w:cstheme="minorHAnsi"/>
                <w:sz w:val="20"/>
                <w:szCs w:val="20"/>
              </w:rPr>
              <w:t xml:space="preserve">Has the project met </w:t>
            </w:r>
            <w:r w:rsidR="001447FF" w:rsidRPr="00A77AF6">
              <w:rPr>
                <w:rFonts w:eastAsia="Times New Roman" w:cstheme="minorHAnsi"/>
                <w:sz w:val="20"/>
                <w:szCs w:val="20"/>
              </w:rPr>
              <w:t>cost</w:t>
            </w:r>
            <w:r w:rsidR="00AE75A8" w:rsidRPr="00A77AF6">
              <w:rPr>
                <w:rFonts w:eastAsia="Times New Roman" w:cstheme="minorHAnsi"/>
                <w:sz w:val="20"/>
                <w:szCs w:val="20"/>
              </w:rPr>
              <w:t xml:space="preserve"> and </w:t>
            </w:r>
            <w:r w:rsidR="001447FF" w:rsidRPr="00A77AF6">
              <w:rPr>
                <w:rFonts w:eastAsia="Times New Roman" w:cstheme="minorHAnsi"/>
                <w:sz w:val="20"/>
                <w:szCs w:val="20"/>
              </w:rPr>
              <w:t>quality</w:t>
            </w:r>
            <w:r w:rsidRPr="00A77AF6">
              <w:rPr>
                <w:rFonts w:eastAsia="Times New Roman" w:cstheme="minorHAnsi"/>
                <w:sz w:val="20"/>
                <w:szCs w:val="20"/>
              </w:rPr>
              <w:t xml:space="preserve"> targets in the operational phase</w:t>
            </w:r>
            <w:r w:rsidR="001447FF" w:rsidRPr="00A77AF6">
              <w:rPr>
                <w:rFonts w:eastAsia="Times New Roman" w:cstheme="minorHAnsi"/>
                <w:sz w:val="20"/>
                <w:szCs w:val="20"/>
              </w:rPr>
              <w:t>?</w:t>
            </w:r>
          </w:p>
        </w:tc>
        <w:tc>
          <w:tcPr>
            <w:tcW w:w="3821" w:type="dxa"/>
          </w:tcPr>
          <w:p w14:paraId="55347DE4" w14:textId="77777777" w:rsidR="00300DF6" w:rsidRPr="00A77AF6" w:rsidRDefault="00300DF6" w:rsidP="00DE71E0">
            <w:pPr>
              <w:spacing w:after="0" w:line="240" w:lineRule="auto"/>
              <w:rPr>
                <w:rFonts w:cstheme="minorHAnsi"/>
                <w:sz w:val="20"/>
                <w:szCs w:val="20"/>
              </w:rPr>
            </w:pPr>
            <w:r w:rsidRPr="00A77AF6">
              <w:rPr>
                <w:rFonts w:cstheme="minorHAnsi"/>
                <w:sz w:val="20"/>
                <w:szCs w:val="20"/>
              </w:rPr>
              <w:t>To find out to what extent the project met cost and quality targets during the operational phase</w:t>
            </w:r>
          </w:p>
        </w:tc>
      </w:tr>
    </w:tbl>
    <w:p w14:paraId="28D79015" w14:textId="77777777" w:rsidR="00300DF6" w:rsidRPr="00A77AF6" w:rsidRDefault="00300DF6" w:rsidP="00300DF6"/>
    <w:p w14:paraId="6629F222" w14:textId="4C070CF7" w:rsidR="007B0757" w:rsidRPr="00A77AF6" w:rsidRDefault="00156538" w:rsidP="007073C4">
      <w:pPr>
        <w:spacing w:line="360" w:lineRule="auto"/>
      </w:pPr>
      <w:r w:rsidRPr="00A77AF6">
        <w:t xml:space="preserve">Following receipt of e-survey </w:t>
      </w:r>
      <w:r w:rsidR="009E5133" w:rsidRPr="00A77AF6">
        <w:t xml:space="preserve">responses, </w:t>
      </w:r>
      <w:r w:rsidR="006F518D">
        <w:t xml:space="preserve">correlation analyses were carried out </w:t>
      </w:r>
      <w:r w:rsidRPr="00A77AF6">
        <w:t xml:space="preserve">to </w:t>
      </w:r>
      <w:r w:rsidR="006F518D">
        <w:t xml:space="preserve">test whether there were relationships between ethical theory and governance and project success.  These relationships appeared to be weak.  In the absence of strong correlations </w:t>
      </w:r>
      <w:r w:rsidR="005B3DF7">
        <w:t xml:space="preserve">the </w:t>
      </w:r>
      <w:r w:rsidR="00DB1019" w:rsidRPr="00A77AF6">
        <w:t>number of formalist</w:t>
      </w:r>
      <w:r w:rsidR="006F518D">
        <w:t xml:space="preserve"> and</w:t>
      </w:r>
      <w:r w:rsidR="00DB1019" w:rsidRPr="00A77AF6">
        <w:t xml:space="preserve"> utilitarian respondents</w:t>
      </w:r>
      <w:r w:rsidR="006F518D">
        <w:t xml:space="preserve"> were counted, the attitudes </w:t>
      </w:r>
      <w:r w:rsidR="00DB1019" w:rsidRPr="00A77AF6">
        <w:t xml:space="preserve">of respondents </w:t>
      </w:r>
      <w:r w:rsidR="009E16BB" w:rsidRPr="00A77AF6">
        <w:t xml:space="preserve">toward </w:t>
      </w:r>
      <w:r w:rsidR="00DB1019" w:rsidRPr="00A77AF6">
        <w:t xml:space="preserve">the effectiveness </w:t>
      </w:r>
      <w:r w:rsidR="009E16BB" w:rsidRPr="00A77AF6">
        <w:t xml:space="preserve">of </w:t>
      </w:r>
      <w:r w:rsidR="00DB1019" w:rsidRPr="00A77AF6">
        <w:t xml:space="preserve">corporate and project governance </w:t>
      </w:r>
      <w:r w:rsidR="00D50FC7" w:rsidRPr="00A77AF6">
        <w:t xml:space="preserve">identified </w:t>
      </w:r>
      <w:r w:rsidR="005C052D" w:rsidRPr="00A77AF6">
        <w:t xml:space="preserve">from the </w:t>
      </w:r>
      <w:r w:rsidR="00DB1019" w:rsidRPr="00A77AF6">
        <w:t>Likert scales</w:t>
      </w:r>
      <w:r w:rsidR="006F518D">
        <w:t xml:space="preserve"> were compared</w:t>
      </w:r>
      <w:r w:rsidR="00DB1019" w:rsidRPr="00A77AF6">
        <w:t xml:space="preserve">, and </w:t>
      </w:r>
      <w:r w:rsidR="006F518D">
        <w:t xml:space="preserve">the </w:t>
      </w:r>
      <w:r w:rsidR="006F518D">
        <w:lastRenderedPageBreak/>
        <w:t xml:space="preserve">number of </w:t>
      </w:r>
      <w:r w:rsidR="00DB1019" w:rsidRPr="00A77AF6">
        <w:t xml:space="preserve">projects that met all three time, cost and quality criteria </w:t>
      </w:r>
      <w:r w:rsidR="006F518D">
        <w:t xml:space="preserve">was compared </w:t>
      </w:r>
      <w:r w:rsidR="007073C4" w:rsidRPr="00A77AF6">
        <w:t xml:space="preserve">with the number of projects that respondents claimed had been successful.  </w:t>
      </w:r>
      <w:r w:rsidRPr="00A77AF6">
        <w:t xml:space="preserve">Three findings were identified: </w:t>
      </w:r>
      <w:r w:rsidR="00CB0150" w:rsidRPr="00A77AF6">
        <w:t xml:space="preserve">first, </w:t>
      </w:r>
      <w:r w:rsidRPr="00A77AF6">
        <w:t xml:space="preserve">that NHS project personnel were mainly predisposed to formalism; </w:t>
      </w:r>
      <w:r w:rsidR="00CB0150" w:rsidRPr="00A77AF6">
        <w:t xml:space="preserve">second, </w:t>
      </w:r>
      <w:r w:rsidRPr="00A77AF6">
        <w:t xml:space="preserve">that there appeared to be a disconnection between corporate and project governance and </w:t>
      </w:r>
      <w:r w:rsidR="00CB0150" w:rsidRPr="00A77AF6">
        <w:t xml:space="preserve">third, </w:t>
      </w:r>
      <w:r w:rsidRPr="00A77AF6">
        <w:t xml:space="preserve">that projects are </w:t>
      </w:r>
      <w:r w:rsidR="00F04BE8" w:rsidRPr="00A77AF6">
        <w:t xml:space="preserve">‘claimed’ as being </w:t>
      </w:r>
      <w:r w:rsidRPr="00A77AF6">
        <w:t xml:space="preserve">successful </w:t>
      </w:r>
      <w:r w:rsidR="00CB0150" w:rsidRPr="00A77AF6">
        <w:t>even when they miss time, cost or</w:t>
      </w:r>
      <w:r w:rsidRPr="00A77AF6">
        <w:t xml:space="preserve"> quality targets</w:t>
      </w:r>
      <w:r w:rsidR="007B0757" w:rsidRPr="00A77AF6">
        <w:t xml:space="preserve">. </w:t>
      </w:r>
      <w:r w:rsidR="007073C4" w:rsidRPr="00A77AF6">
        <w:t xml:space="preserve"> </w:t>
      </w:r>
      <w:r w:rsidR="00E53690">
        <w:t>As a result, a</w:t>
      </w:r>
      <w:r w:rsidR="007073C4" w:rsidRPr="00A77AF6">
        <w:t xml:space="preserve"> semi structured interview was developed to explore the</w:t>
      </w:r>
      <w:r w:rsidR="00E53690">
        <w:t xml:space="preserve"> three </w:t>
      </w:r>
      <w:r w:rsidR="003716DA" w:rsidRPr="00A77AF6">
        <w:t>findings</w:t>
      </w:r>
      <w:r w:rsidR="007073C4" w:rsidRPr="00A77AF6">
        <w:t xml:space="preserve"> </w:t>
      </w:r>
      <w:r w:rsidR="00E53690">
        <w:t xml:space="preserve">in more detail. </w:t>
      </w:r>
    </w:p>
    <w:p w14:paraId="5D433351" w14:textId="17103E5C" w:rsidR="00FA60B9" w:rsidRPr="00A77AF6" w:rsidRDefault="00821CD2" w:rsidP="00F878A8">
      <w:pPr>
        <w:pStyle w:val="Heading4"/>
        <w:numPr>
          <w:ilvl w:val="0"/>
          <w:numId w:val="0"/>
        </w:numPr>
        <w:spacing w:after="120"/>
        <w:ind w:left="862" w:hanging="862"/>
      </w:pPr>
      <w:r w:rsidRPr="00A77AF6">
        <w:t>F</w:t>
      </w:r>
      <w:r w:rsidR="009E5133" w:rsidRPr="00A77AF6">
        <w:t>ace-to-face interviews</w:t>
      </w:r>
    </w:p>
    <w:p w14:paraId="09421FAC" w14:textId="4DF87915" w:rsidR="00B001B1" w:rsidRPr="00A77AF6" w:rsidRDefault="007073C4" w:rsidP="00F878A8">
      <w:pPr>
        <w:pStyle w:val="NormalWeb"/>
        <w:spacing w:before="0" w:beforeAutospacing="0" w:after="0" w:afterAutospacing="0" w:line="360" w:lineRule="auto"/>
        <w:rPr>
          <w:rFonts w:asciiTheme="minorHAnsi" w:hAnsiTheme="minorHAnsi" w:cstheme="minorHAnsi"/>
          <w:sz w:val="22"/>
          <w:szCs w:val="22"/>
        </w:rPr>
      </w:pPr>
      <w:r w:rsidRPr="00A77AF6">
        <w:rPr>
          <w:rFonts w:asciiTheme="minorHAnsi" w:hAnsiTheme="minorHAnsi" w:cstheme="minorHAnsi"/>
          <w:sz w:val="22"/>
          <w:szCs w:val="22"/>
        </w:rPr>
        <w:t>F</w:t>
      </w:r>
      <w:r w:rsidR="00821CD2" w:rsidRPr="00A77AF6">
        <w:rPr>
          <w:rFonts w:asciiTheme="minorHAnsi" w:hAnsiTheme="minorHAnsi" w:cstheme="minorHAnsi"/>
          <w:sz w:val="22"/>
          <w:szCs w:val="22"/>
        </w:rPr>
        <w:t>ace-to-face interviews</w:t>
      </w:r>
      <w:r w:rsidRPr="00A77AF6">
        <w:rPr>
          <w:rFonts w:asciiTheme="minorHAnsi" w:hAnsiTheme="minorHAnsi" w:cstheme="minorHAnsi"/>
          <w:sz w:val="22"/>
          <w:szCs w:val="22"/>
        </w:rPr>
        <w:t xml:space="preserve"> lasting between</w:t>
      </w:r>
      <w:r w:rsidR="00131FC5" w:rsidRPr="00A77AF6">
        <w:rPr>
          <w:rFonts w:asciiTheme="minorHAnsi" w:hAnsiTheme="minorHAnsi" w:cstheme="minorHAnsi"/>
          <w:sz w:val="22"/>
          <w:szCs w:val="22"/>
        </w:rPr>
        <w:t xml:space="preserve"> </w:t>
      </w:r>
      <w:r w:rsidR="00626FB5" w:rsidRPr="00A77AF6">
        <w:rPr>
          <w:rFonts w:asciiTheme="minorHAnsi" w:hAnsiTheme="minorHAnsi" w:cstheme="minorHAnsi"/>
          <w:sz w:val="22"/>
          <w:szCs w:val="22"/>
        </w:rPr>
        <w:t>30</w:t>
      </w:r>
      <w:r w:rsidRPr="00A77AF6">
        <w:rPr>
          <w:rFonts w:asciiTheme="minorHAnsi" w:hAnsiTheme="minorHAnsi" w:cstheme="minorHAnsi"/>
          <w:sz w:val="22"/>
          <w:szCs w:val="22"/>
        </w:rPr>
        <w:t xml:space="preserve"> and </w:t>
      </w:r>
      <w:r w:rsidR="00626FB5" w:rsidRPr="00A77AF6">
        <w:rPr>
          <w:rFonts w:asciiTheme="minorHAnsi" w:hAnsiTheme="minorHAnsi" w:cstheme="minorHAnsi"/>
          <w:sz w:val="22"/>
          <w:szCs w:val="22"/>
        </w:rPr>
        <w:t xml:space="preserve">40 minutes </w:t>
      </w:r>
      <w:r w:rsidR="00131FC5" w:rsidRPr="00A77AF6">
        <w:rPr>
          <w:rFonts w:asciiTheme="minorHAnsi" w:hAnsiTheme="minorHAnsi" w:cstheme="minorHAnsi"/>
          <w:sz w:val="22"/>
          <w:szCs w:val="22"/>
        </w:rPr>
        <w:t xml:space="preserve">and were conducted with </w:t>
      </w:r>
      <w:r w:rsidR="00704632" w:rsidRPr="00A77AF6">
        <w:rPr>
          <w:rFonts w:asciiTheme="minorHAnsi" w:hAnsiTheme="minorHAnsi" w:cstheme="minorHAnsi"/>
          <w:sz w:val="22"/>
          <w:szCs w:val="22"/>
        </w:rPr>
        <w:t xml:space="preserve">six </w:t>
      </w:r>
      <w:r w:rsidR="00EB4B2C" w:rsidRPr="00A77AF6">
        <w:rPr>
          <w:rFonts w:asciiTheme="minorHAnsi" w:hAnsiTheme="minorHAnsi" w:cstheme="minorHAnsi"/>
          <w:sz w:val="22"/>
          <w:szCs w:val="22"/>
        </w:rPr>
        <w:t xml:space="preserve">expert </w:t>
      </w:r>
      <w:r w:rsidR="00704632" w:rsidRPr="00A77AF6">
        <w:rPr>
          <w:rFonts w:asciiTheme="minorHAnsi" w:hAnsiTheme="minorHAnsi" w:cstheme="minorHAnsi"/>
          <w:sz w:val="22"/>
          <w:szCs w:val="22"/>
        </w:rPr>
        <w:t xml:space="preserve">practitioners </w:t>
      </w:r>
      <w:r w:rsidR="004B14F5" w:rsidRPr="00A77AF6">
        <w:rPr>
          <w:rFonts w:asciiTheme="minorHAnsi" w:hAnsiTheme="minorHAnsi" w:cstheme="minorHAnsi"/>
          <w:sz w:val="22"/>
          <w:szCs w:val="22"/>
        </w:rPr>
        <w:t xml:space="preserve">who had </w:t>
      </w:r>
      <w:r w:rsidR="00626FB5" w:rsidRPr="00A77AF6">
        <w:rPr>
          <w:rFonts w:asciiTheme="minorHAnsi" w:hAnsiTheme="minorHAnsi" w:cstheme="minorHAnsi"/>
          <w:sz w:val="22"/>
          <w:szCs w:val="22"/>
        </w:rPr>
        <w:t>attempted the e-survey</w:t>
      </w:r>
      <w:r w:rsidR="00300DF6" w:rsidRPr="00A77AF6">
        <w:rPr>
          <w:rFonts w:asciiTheme="minorHAnsi" w:hAnsiTheme="minorHAnsi" w:cstheme="minorHAnsi"/>
          <w:sz w:val="22"/>
          <w:szCs w:val="22"/>
        </w:rPr>
        <w:t xml:space="preserve">. </w:t>
      </w:r>
      <w:r w:rsidR="00A400CB" w:rsidRPr="00A77AF6">
        <w:rPr>
          <w:rFonts w:asciiTheme="minorHAnsi" w:hAnsiTheme="minorHAnsi" w:cstheme="minorHAnsi"/>
          <w:sz w:val="22"/>
          <w:szCs w:val="22"/>
        </w:rPr>
        <w:t xml:space="preserve"> </w:t>
      </w:r>
      <w:r w:rsidR="001447FF" w:rsidRPr="00A77AF6">
        <w:rPr>
          <w:rFonts w:asciiTheme="minorHAnsi" w:hAnsiTheme="minorHAnsi" w:cstheme="minorHAnsi"/>
          <w:sz w:val="22"/>
          <w:szCs w:val="22"/>
        </w:rPr>
        <w:t>Interviews were carried out</w:t>
      </w:r>
      <w:r w:rsidR="006B5EEE" w:rsidRPr="00A77AF6">
        <w:rPr>
          <w:rFonts w:asciiTheme="minorHAnsi" w:hAnsiTheme="minorHAnsi" w:cstheme="minorHAnsi"/>
          <w:sz w:val="22"/>
          <w:szCs w:val="22"/>
        </w:rPr>
        <w:t xml:space="preserve"> at a time and </w:t>
      </w:r>
      <w:r w:rsidR="001447FF" w:rsidRPr="00A77AF6">
        <w:rPr>
          <w:rFonts w:asciiTheme="minorHAnsi" w:hAnsiTheme="minorHAnsi" w:cstheme="minorHAnsi"/>
          <w:sz w:val="22"/>
          <w:szCs w:val="22"/>
        </w:rPr>
        <w:t>in a location convenient to the interviewee.  Interviews were recorded with permission and later transcribed</w:t>
      </w:r>
      <w:r w:rsidR="00281CF6" w:rsidRPr="00A77AF6">
        <w:rPr>
          <w:rFonts w:asciiTheme="minorHAnsi" w:hAnsiTheme="minorHAnsi" w:cstheme="minorHAnsi"/>
          <w:sz w:val="22"/>
          <w:szCs w:val="22"/>
        </w:rPr>
        <w:t>, coded</w:t>
      </w:r>
      <w:r w:rsidR="004C0754" w:rsidRPr="00A77AF6">
        <w:rPr>
          <w:rFonts w:asciiTheme="minorHAnsi" w:hAnsiTheme="minorHAnsi" w:cstheme="minorHAnsi"/>
          <w:sz w:val="22"/>
          <w:szCs w:val="22"/>
        </w:rPr>
        <w:t xml:space="preserve"> into themes</w:t>
      </w:r>
      <w:r w:rsidR="00281CF6" w:rsidRPr="00A77AF6">
        <w:rPr>
          <w:rFonts w:asciiTheme="minorHAnsi" w:hAnsiTheme="minorHAnsi" w:cstheme="minorHAnsi"/>
          <w:sz w:val="22"/>
          <w:szCs w:val="22"/>
        </w:rPr>
        <w:t xml:space="preserve"> and analysed</w:t>
      </w:r>
      <w:r w:rsidR="001447FF" w:rsidRPr="00A77AF6">
        <w:rPr>
          <w:rFonts w:asciiTheme="minorHAnsi" w:hAnsiTheme="minorHAnsi" w:cstheme="minorHAnsi"/>
          <w:sz w:val="22"/>
          <w:szCs w:val="22"/>
        </w:rPr>
        <w:t>.</w:t>
      </w:r>
      <w:r w:rsidR="00AA7299" w:rsidRPr="00A77AF6">
        <w:rPr>
          <w:rFonts w:asciiTheme="minorHAnsi" w:hAnsiTheme="minorHAnsi" w:cstheme="minorHAnsi"/>
          <w:sz w:val="22"/>
          <w:szCs w:val="22"/>
        </w:rPr>
        <w:t xml:space="preserve"> Six face-to-face interviews </w:t>
      </w:r>
      <w:r w:rsidR="00E53690">
        <w:rPr>
          <w:rFonts w:asciiTheme="minorHAnsi" w:hAnsiTheme="minorHAnsi" w:cstheme="minorHAnsi"/>
          <w:sz w:val="22"/>
          <w:szCs w:val="22"/>
        </w:rPr>
        <w:t xml:space="preserve">were </w:t>
      </w:r>
      <w:r w:rsidR="00FC3FB1" w:rsidRPr="00A77AF6">
        <w:rPr>
          <w:rFonts w:asciiTheme="minorHAnsi" w:hAnsiTheme="minorHAnsi" w:cstheme="minorHAnsi"/>
          <w:sz w:val="22"/>
          <w:szCs w:val="22"/>
        </w:rPr>
        <w:t xml:space="preserve">judged to be </w:t>
      </w:r>
      <w:r w:rsidR="007E599D" w:rsidRPr="00A77AF6">
        <w:rPr>
          <w:rFonts w:asciiTheme="minorHAnsi" w:hAnsiTheme="minorHAnsi" w:cstheme="minorHAnsi"/>
          <w:sz w:val="22"/>
          <w:szCs w:val="22"/>
        </w:rPr>
        <w:t>enough</w:t>
      </w:r>
      <w:r w:rsidR="00434810" w:rsidRPr="00A77AF6">
        <w:rPr>
          <w:rFonts w:asciiTheme="minorHAnsi" w:hAnsiTheme="minorHAnsi" w:cstheme="minorHAnsi"/>
          <w:sz w:val="22"/>
          <w:szCs w:val="22"/>
        </w:rPr>
        <w:t xml:space="preserve"> as</w:t>
      </w:r>
      <w:r w:rsidR="00FC3FB1" w:rsidRPr="00A77AF6">
        <w:rPr>
          <w:rFonts w:asciiTheme="minorHAnsi" w:hAnsiTheme="minorHAnsi" w:cstheme="minorHAnsi"/>
          <w:sz w:val="22"/>
          <w:szCs w:val="22"/>
        </w:rPr>
        <w:t xml:space="preserve"> </w:t>
      </w:r>
      <w:r w:rsidR="00AA7299" w:rsidRPr="00A77AF6">
        <w:rPr>
          <w:rFonts w:asciiTheme="minorHAnsi" w:hAnsiTheme="minorHAnsi" w:cstheme="minorHAnsi"/>
          <w:sz w:val="22"/>
          <w:szCs w:val="22"/>
        </w:rPr>
        <w:t xml:space="preserve">similar answers were being given to questions and </w:t>
      </w:r>
      <w:r w:rsidR="004C0754" w:rsidRPr="00A77AF6">
        <w:rPr>
          <w:rFonts w:asciiTheme="minorHAnsi" w:hAnsiTheme="minorHAnsi" w:cstheme="minorHAnsi"/>
          <w:sz w:val="22"/>
          <w:szCs w:val="22"/>
        </w:rPr>
        <w:t xml:space="preserve">arguably </w:t>
      </w:r>
      <w:r w:rsidR="00AA7299" w:rsidRPr="00A77AF6">
        <w:rPr>
          <w:rFonts w:asciiTheme="minorHAnsi" w:hAnsiTheme="minorHAnsi" w:cstheme="minorHAnsi"/>
          <w:sz w:val="22"/>
          <w:szCs w:val="22"/>
        </w:rPr>
        <w:t xml:space="preserve">saturation point had been reached. </w:t>
      </w:r>
      <w:r w:rsidR="00B001B1" w:rsidRPr="00A77AF6">
        <w:rPr>
          <w:rFonts w:asciiTheme="minorHAnsi" w:hAnsiTheme="minorHAnsi" w:cstheme="minorHAnsi"/>
          <w:sz w:val="22"/>
          <w:szCs w:val="22"/>
        </w:rPr>
        <w:t xml:space="preserve">  </w:t>
      </w:r>
      <w:r w:rsidR="00AA7299" w:rsidRPr="00A77AF6">
        <w:rPr>
          <w:rFonts w:asciiTheme="minorHAnsi" w:hAnsiTheme="minorHAnsi" w:cstheme="minorHAnsi"/>
          <w:sz w:val="22"/>
          <w:szCs w:val="22"/>
        </w:rPr>
        <w:t xml:space="preserve"> </w:t>
      </w:r>
      <w:r w:rsidR="00B001B1" w:rsidRPr="00A77AF6">
        <w:rPr>
          <w:rFonts w:asciiTheme="minorHAnsi" w:hAnsiTheme="minorHAnsi" w:cstheme="minorHAnsi"/>
          <w:sz w:val="22"/>
          <w:szCs w:val="22"/>
        </w:rPr>
        <w:t>Saturation point</w:t>
      </w:r>
      <w:r w:rsidR="00E947B6" w:rsidRPr="00A77AF6">
        <w:rPr>
          <w:rFonts w:asciiTheme="minorHAnsi" w:hAnsiTheme="minorHAnsi" w:cstheme="minorHAnsi"/>
          <w:sz w:val="22"/>
          <w:szCs w:val="22"/>
        </w:rPr>
        <w:t>, however, is</w:t>
      </w:r>
      <w:r w:rsidR="00B001B1" w:rsidRPr="00A77AF6">
        <w:rPr>
          <w:rFonts w:asciiTheme="minorHAnsi" w:hAnsiTheme="minorHAnsi" w:cstheme="minorHAnsi"/>
          <w:sz w:val="22"/>
          <w:szCs w:val="22"/>
        </w:rPr>
        <w:t xml:space="preserve"> difficult to define and</w:t>
      </w:r>
      <w:r w:rsidR="00E947B6" w:rsidRPr="00A77AF6">
        <w:rPr>
          <w:rFonts w:asciiTheme="minorHAnsi" w:hAnsiTheme="minorHAnsi" w:cstheme="minorHAnsi"/>
          <w:sz w:val="22"/>
          <w:szCs w:val="22"/>
        </w:rPr>
        <w:t xml:space="preserve"> the</w:t>
      </w:r>
      <w:r w:rsidR="00B001B1" w:rsidRPr="00A77AF6">
        <w:rPr>
          <w:rFonts w:asciiTheme="minorHAnsi" w:hAnsiTheme="minorHAnsi" w:cstheme="minorHAnsi"/>
          <w:sz w:val="22"/>
          <w:szCs w:val="22"/>
        </w:rPr>
        <w:t xml:space="preserve"> </w:t>
      </w:r>
      <w:r w:rsidR="00C45247" w:rsidRPr="00A77AF6">
        <w:rPr>
          <w:rFonts w:asciiTheme="minorHAnsi" w:hAnsiTheme="minorHAnsi" w:cstheme="minorHAnsi"/>
          <w:sz w:val="22"/>
          <w:szCs w:val="22"/>
        </w:rPr>
        <w:t xml:space="preserve">literature does not agree </w:t>
      </w:r>
      <w:r w:rsidR="00804240" w:rsidRPr="00A77AF6">
        <w:rPr>
          <w:rFonts w:asciiTheme="minorHAnsi" w:hAnsiTheme="minorHAnsi" w:cstheme="minorHAnsi"/>
          <w:sz w:val="22"/>
          <w:szCs w:val="22"/>
        </w:rPr>
        <w:t xml:space="preserve">exactly </w:t>
      </w:r>
      <w:r w:rsidR="00E947B6" w:rsidRPr="00A77AF6">
        <w:rPr>
          <w:rFonts w:asciiTheme="minorHAnsi" w:hAnsiTheme="minorHAnsi" w:cstheme="minorHAnsi"/>
          <w:sz w:val="22"/>
          <w:szCs w:val="22"/>
        </w:rPr>
        <w:t xml:space="preserve">what it is </w:t>
      </w:r>
      <w:r w:rsidR="00B001B1" w:rsidRPr="00A77AF6">
        <w:rPr>
          <w:rFonts w:asciiTheme="minorHAnsi" w:hAnsiTheme="minorHAnsi" w:cstheme="minorHAnsi"/>
          <w:sz w:val="22"/>
          <w:szCs w:val="22"/>
        </w:rPr>
        <w:t>or whether it can ever be proved to have been reached (Morse 1995, Bowen, 2008 cited in Mason, 2</w:t>
      </w:r>
      <w:r w:rsidR="00E53690">
        <w:rPr>
          <w:rFonts w:asciiTheme="minorHAnsi" w:hAnsiTheme="minorHAnsi" w:cstheme="minorHAnsi"/>
          <w:sz w:val="22"/>
          <w:szCs w:val="22"/>
        </w:rPr>
        <w:t>0</w:t>
      </w:r>
      <w:r w:rsidR="00B001B1" w:rsidRPr="00A77AF6">
        <w:rPr>
          <w:rFonts w:asciiTheme="minorHAnsi" w:hAnsiTheme="minorHAnsi" w:cstheme="minorHAnsi"/>
          <w:sz w:val="22"/>
          <w:szCs w:val="22"/>
        </w:rPr>
        <w:t>10).  Strauss and Corbin (1998 p</w:t>
      </w:r>
      <w:r w:rsidR="00461471" w:rsidRPr="00A77AF6">
        <w:rPr>
          <w:rFonts w:asciiTheme="minorHAnsi" w:hAnsiTheme="minorHAnsi" w:cstheme="minorHAnsi"/>
          <w:sz w:val="22"/>
          <w:szCs w:val="22"/>
        </w:rPr>
        <w:t xml:space="preserve">. </w:t>
      </w:r>
      <w:r w:rsidR="00B001B1" w:rsidRPr="00A77AF6">
        <w:rPr>
          <w:rFonts w:asciiTheme="minorHAnsi" w:hAnsiTheme="minorHAnsi" w:cstheme="minorHAnsi"/>
          <w:sz w:val="22"/>
          <w:szCs w:val="22"/>
        </w:rPr>
        <w:t xml:space="preserve">136) cited in </w:t>
      </w:r>
      <w:sdt>
        <w:sdtPr>
          <w:rPr>
            <w:rFonts w:asciiTheme="minorHAnsi" w:hAnsiTheme="minorHAnsi" w:cstheme="minorHAnsi"/>
            <w:sz w:val="22"/>
            <w:szCs w:val="22"/>
          </w:rPr>
          <w:id w:val="1291481407"/>
          <w:citation/>
        </w:sdtPr>
        <w:sdtEndPr/>
        <w:sdtContent>
          <w:r w:rsidR="00B001B1" w:rsidRPr="00A77AF6">
            <w:rPr>
              <w:rFonts w:asciiTheme="minorHAnsi" w:hAnsiTheme="minorHAnsi" w:cstheme="minorHAnsi"/>
              <w:sz w:val="22"/>
              <w:szCs w:val="22"/>
            </w:rPr>
            <w:fldChar w:fldCharType="begin"/>
          </w:r>
          <w:r w:rsidR="00B001B1" w:rsidRPr="00A77AF6">
            <w:rPr>
              <w:rFonts w:asciiTheme="minorHAnsi" w:hAnsiTheme="minorHAnsi" w:cstheme="minorHAnsi"/>
              <w:sz w:val="22"/>
              <w:szCs w:val="22"/>
            </w:rPr>
            <w:instrText xml:space="preserve"> CITATION Mas10 \l 2057 </w:instrText>
          </w:r>
          <w:r w:rsidR="00B001B1" w:rsidRPr="00A77AF6">
            <w:rPr>
              <w:rFonts w:asciiTheme="minorHAnsi" w:hAnsiTheme="minorHAnsi" w:cstheme="minorHAnsi"/>
              <w:sz w:val="22"/>
              <w:szCs w:val="22"/>
            </w:rPr>
            <w:fldChar w:fldCharType="separate"/>
          </w:r>
          <w:r w:rsidR="008E653F" w:rsidRPr="00A77AF6">
            <w:rPr>
              <w:rFonts w:asciiTheme="minorHAnsi" w:hAnsiTheme="minorHAnsi" w:cstheme="minorHAnsi"/>
              <w:sz w:val="22"/>
              <w:szCs w:val="22"/>
            </w:rPr>
            <w:t>(Mason, 2010)</w:t>
          </w:r>
          <w:r w:rsidR="00B001B1" w:rsidRPr="00A77AF6">
            <w:rPr>
              <w:rFonts w:asciiTheme="minorHAnsi" w:hAnsiTheme="minorHAnsi" w:cstheme="minorHAnsi"/>
              <w:sz w:val="22"/>
              <w:szCs w:val="22"/>
            </w:rPr>
            <w:fldChar w:fldCharType="end"/>
          </w:r>
        </w:sdtContent>
      </w:sdt>
      <w:r w:rsidR="00B001B1" w:rsidRPr="00A77AF6">
        <w:rPr>
          <w:rFonts w:asciiTheme="minorHAnsi" w:hAnsiTheme="minorHAnsi" w:cstheme="minorHAnsi"/>
          <w:sz w:val="22"/>
          <w:szCs w:val="22"/>
        </w:rPr>
        <w:t xml:space="preserve"> argue that saturation is a ‘matter of degree’. However, Glaser and Strauss (1967) argue that researchers should continue to collect data until the point at which no more new data is being obtained.   For this study, this point was </w:t>
      </w:r>
      <w:r w:rsidR="00E947B6" w:rsidRPr="00A77AF6">
        <w:rPr>
          <w:rFonts w:asciiTheme="minorHAnsi" w:hAnsiTheme="minorHAnsi" w:cstheme="minorHAnsi"/>
          <w:sz w:val="22"/>
          <w:szCs w:val="22"/>
        </w:rPr>
        <w:t xml:space="preserve">finally </w:t>
      </w:r>
      <w:r w:rsidR="00B001B1" w:rsidRPr="00A77AF6">
        <w:rPr>
          <w:rFonts w:asciiTheme="minorHAnsi" w:hAnsiTheme="minorHAnsi" w:cstheme="minorHAnsi"/>
          <w:sz w:val="22"/>
          <w:szCs w:val="22"/>
        </w:rPr>
        <w:t xml:space="preserve">judged to have been reached </w:t>
      </w:r>
      <w:r w:rsidR="00E947B6" w:rsidRPr="00A77AF6">
        <w:rPr>
          <w:rFonts w:asciiTheme="minorHAnsi" w:hAnsiTheme="minorHAnsi" w:cstheme="minorHAnsi"/>
          <w:sz w:val="22"/>
          <w:szCs w:val="22"/>
        </w:rPr>
        <w:t xml:space="preserve">after six interviews. </w:t>
      </w:r>
    </w:p>
    <w:p w14:paraId="05C91F23" w14:textId="3FC20C90" w:rsidR="00F142BB" w:rsidRPr="00A77AF6" w:rsidRDefault="00704632" w:rsidP="00F878A8">
      <w:pPr>
        <w:pStyle w:val="Heading3"/>
        <w:spacing w:before="120" w:after="120"/>
      </w:pPr>
      <w:bookmarkStart w:id="124" w:name="_Toc36275102"/>
      <w:r w:rsidRPr="00A77AF6">
        <w:t>Approach to a</w:t>
      </w:r>
      <w:r w:rsidR="00F142BB" w:rsidRPr="00A77AF6">
        <w:t xml:space="preserve">nalysis of the </w:t>
      </w:r>
      <w:r w:rsidR="00632AF2" w:rsidRPr="00A77AF6">
        <w:t>r</w:t>
      </w:r>
      <w:r w:rsidR="00F142BB" w:rsidRPr="00A77AF6">
        <w:t>esults</w:t>
      </w:r>
      <w:bookmarkEnd w:id="124"/>
    </w:p>
    <w:p w14:paraId="3F559DC1" w14:textId="1F462603" w:rsidR="00C43B88" w:rsidRPr="00A77AF6" w:rsidRDefault="00704632" w:rsidP="003716DA">
      <w:pPr>
        <w:spacing w:line="360" w:lineRule="auto"/>
      </w:pPr>
      <w:r w:rsidRPr="00A77AF6">
        <w:t xml:space="preserve">Descriptive </w:t>
      </w:r>
      <w:r w:rsidR="00595B52" w:rsidRPr="00A77AF6">
        <w:t xml:space="preserve">statistics and </w:t>
      </w:r>
      <w:r w:rsidR="004C0754" w:rsidRPr="00A77AF6">
        <w:t xml:space="preserve">simple </w:t>
      </w:r>
      <w:r w:rsidRPr="00A77AF6">
        <w:t>correlation</w:t>
      </w:r>
      <w:r w:rsidR="004C0754" w:rsidRPr="00A77AF6">
        <w:t xml:space="preserve"> and regressions studies </w:t>
      </w:r>
      <w:r w:rsidR="00595B52" w:rsidRPr="00A77AF6">
        <w:t>were used to analyse the e-surveys</w:t>
      </w:r>
      <w:r w:rsidR="004C0754" w:rsidRPr="00A77AF6">
        <w:t xml:space="preserve"> which investigated: </w:t>
      </w:r>
      <w:r w:rsidRPr="00A77AF6">
        <w:t xml:space="preserve">i) demographic and project information including, gender, role of the respondent within the project and project completion dates; ii) project personnel’s opinion of whether their project was successful (claimed success); iii) performance of projects against time, cost and quality criteria in the project management phase; iv) performance of projects in the operational phase; v) the ethical predisposition of respondents and the link to project </w:t>
      </w:r>
      <w:r w:rsidR="00F11234" w:rsidRPr="00A77AF6">
        <w:t>success</w:t>
      </w:r>
      <w:r w:rsidRPr="00A77AF6">
        <w:t xml:space="preserve">; vi) the relationship between effective corporate governance and project governance; vii) project governance and its link to project success and viii) the critical success factors for NHS project identified by project personnel.   </w:t>
      </w:r>
    </w:p>
    <w:p w14:paraId="5A41A26D" w14:textId="77777777" w:rsidR="00585B36" w:rsidRPr="00A77AF6" w:rsidRDefault="00C43B88" w:rsidP="00585B36">
      <w:pPr>
        <w:spacing w:line="360" w:lineRule="auto"/>
      </w:pPr>
      <w:r w:rsidRPr="00A77AF6">
        <w:br w:type="page"/>
      </w:r>
      <w:r w:rsidR="00585B36" w:rsidRPr="00A77AF6">
        <w:lastRenderedPageBreak/>
        <w:t>The formulae used were</w:t>
      </w:r>
    </w:p>
    <w:p w14:paraId="23010B3D" w14:textId="77777777" w:rsidR="00585B36" w:rsidRPr="00A77AF6" w:rsidRDefault="00585B36" w:rsidP="00585B36">
      <w:pPr>
        <w:spacing w:line="360" w:lineRule="auto"/>
      </w:pPr>
      <w:r w:rsidRPr="00A77AF6">
        <w:t xml:space="preserve">Correlation R </w:t>
      </w:r>
      <w:r w:rsidRPr="00A77AF6">
        <w:tab/>
        <w:t xml:space="preserve">r =  </w:t>
      </w:r>
      <m:oMath>
        <m:f>
          <m:fPr>
            <m:ctrlPr>
              <w:rPr>
                <w:rFonts w:ascii="Cambria Math" w:hAnsi="Cambria Math"/>
                <w:i/>
              </w:rPr>
            </m:ctrlPr>
          </m:fPr>
          <m:num>
            <m:r>
              <w:rPr>
                <w:rFonts w:ascii="Cambria Math" w:hAnsi="Cambria Math"/>
              </w:rPr>
              <m:t>1</m:t>
            </m:r>
          </m:num>
          <m:den>
            <m:r>
              <w:rPr>
                <w:rFonts w:ascii="Cambria Math" w:hAnsi="Cambria Math"/>
              </w:rPr>
              <m:t>n-1</m:t>
            </m:r>
          </m:den>
        </m:f>
        <m:d>
          <m:dPr>
            <m:ctrlPr>
              <w:rPr>
                <w:rFonts w:ascii="Cambria Math" w:hAnsi="Cambria Math"/>
                <w:i/>
              </w:rPr>
            </m:ctrlPr>
          </m:dPr>
          <m:e>
            <m:f>
              <m:fPr>
                <m:ctrlPr>
                  <w:rPr>
                    <w:rFonts w:ascii="Cambria Math" w:hAnsi="Cambria Math"/>
                    <w:i/>
                  </w:rPr>
                </m:ctrlPr>
              </m:fPr>
              <m:num>
                <m:nary>
                  <m:naryPr>
                    <m:chr m:val="∑"/>
                    <m:limLoc m:val="undOvr"/>
                    <m:grow m:val="1"/>
                    <m:supHide m:val="1"/>
                    <m:ctrlPr>
                      <w:rPr>
                        <w:rFonts w:ascii="Cambria Math" w:hAnsi="Cambria Math"/>
                        <w:i/>
                      </w:rPr>
                    </m:ctrlPr>
                  </m:naryPr>
                  <m:sub>
                    <m:r>
                      <w:rPr>
                        <w:rFonts w:ascii="Cambria Math" w:hAnsi="Cambria Math"/>
                      </w:rPr>
                      <m:t>x</m:t>
                    </m:r>
                  </m:sub>
                  <m:sup/>
                  <m:e>
                    <m:nary>
                      <m:naryPr>
                        <m:chr m:val="∑"/>
                        <m:limLoc m:val="undOvr"/>
                        <m:grow m:val="1"/>
                        <m:supHide m:val="1"/>
                        <m:ctrlPr>
                          <w:rPr>
                            <w:rFonts w:ascii="Cambria Math" w:hAnsi="Cambria Math"/>
                            <w:i/>
                          </w:rPr>
                        </m:ctrlPr>
                      </m:naryPr>
                      <m:sub>
                        <m:r>
                          <w:rPr>
                            <w:rFonts w:ascii="Cambria Math" w:hAnsi="Cambria Math"/>
                          </w:rPr>
                          <m:t>y</m:t>
                        </m:r>
                      </m:sub>
                      <m:sup/>
                      <m:e>
                        <m:d>
                          <m:dPr>
                            <m:ctrlPr>
                              <w:rPr>
                                <w:rFonts w:ascii="Cambria Math" w:hAnsi="Cambria Math"/>
                                <w:i/>
                              </w:rPr>
                            </m:ctrlPr>
                          </m:dPr>
                          <m:e>
                            <m:r>
                              <w:rPr>
                                <w:rFonts w:ascii="Cambria Math" w:hAnsi="Cambria Math"/>
                              </w:rPr>
                              <m:t>x-</m:t>
                            </m:r>
                            <m:acc>
                              <m:accPr>
                                <m:chr m:val="̅"/>
                                <m:ctrlPr>
                                  <w:rPr>
                                    <w:rFonts w:ascii="Cambria Math" w:hAnsi="Cambria Math"/>
                                    <w:i/>
                                  </w:rPr>
                                </m:ctrlPr>
                              </m:accPr>
                              <m:e>
                                <m:r>
                                  <w:rPr>
                                    <w:rFonts w:ascii="Cambria Math" w:hAnsi="Cambria Math"/>
                                  </w:rPr>
                                  <m:t>x</m:t>
                                </m:r>
                              </m:e>
                            </m:acc>
                          </m:e>
                        </m:d>
                        <m:d>
                          <m:dPr>
                            <m:ctrlPr>
                              <w:rPr>
                                <w:rFonts w:ascii="Cambria Math" w:hAnsi="Cambria Math"/>
                                <w:i/>
                              </w:rPr>
                            </m:ctrlPr>
                          </m:dPr>
                          <m:e>
                            <m:r>
                              <w:rPr>
                                <w:rFonts w:ascii="Cambria Math" w:hAnsi="Cambria Math"/>
                              </w:rPr>
                              <m:t>y-</m:t>
                            </m:r>
                            <m:acc>
                              <m:accPr>
                                <m:chr m:val="̅"/>
                                <m:ctrlPr>
                                  <w:rPr>
                                    <w:rFonts w:ascii="Cambria Math" w:hAnsi="Cambria Math"/>
                                    <w:i/>
                                  </w:rPr>
                                </m:ctrlPr>
                              </m:accPr>
                              <m:e>
                                <m:r>
                                  <w:rPr>
                                    <w:rFonts w:ascii="Cambria Math" w:hAnsi="Cambria Math"/>
                                  </w:rPr>
                                  <m:t>y</m:t>
                                </m:r>
                              </m:e>
                            </m:acc>
                          </m:e>
                        </m:d>
                      </m:e>
                    </m:nary>
                  </m:e>
                </m:nary>
              </m:num>
              <m:den>
                <m:sSub>
                  <m:sSubPr>
                    <m:ctrlPr>
                      <w:rPr>
                        <w:rFonts w:ascii="Cambria Math" w:hAnsi="Cambria Math"/>
                        <w:i/>
                      </w:rPr>
                    </m:ctrlPr>
                  </m:sSubPr>
                  <m:e>
                    <m:r>
                      <w:rPr>
                        <w:rFonts w:ascii="Cambria Math" w:hAnsi="Cambria Math"/>
                      </w:rPr>
                      <m:t>s</m:t>
                    </m:r>
                  </m:e>
                  <m:sub>
                    <m:r>
                      <w:rPr>
                        <w:rFonts w:ascii="Cambria Math" w:hAnsi="Cambria Math"/>
                      </w:rPr>
                      <m:t>x</m:t>
                    </m:r>
                  </m:sub>
                </m:sSub>
                <m:sSub>
                  <m:sSubPr>
                    <m:ctrlPr>
                      <w:rPr>
                        <w:rFonts w:ascii="Cambria Math" w:hAnsi="Cambria Math"/>
                        <w:i/>
                      </w:rPr>
                    </m:ctrlPr>
                  </m:sSubPr>
                  <m:e>
                    <m:r>
                      <w:rPr>
                        <w:rFonts w:ascii="Cambria Math" w:hAnsi="Cambria Math"/>
                      </w:rPr>
                      <m:t>s</m:t>
                    </m:r>
                  </m:e>
                  <m:sub>
                    <m:r>
                      <w:rPr>
                        <w:rFonts w:ascii="Cambria Math" w:hAnsi="Cambria Math"/>
                      </w:rPr>
                      <m:t>y</m:t>
                    </m:r>
                  </m:sub>
                </m:sSub>
              </m:den>
            </m:f>
          </m:e>
        </m:d>
      </m:oMath>
    </w:p>
    <w:p w14:paraId="7A18DC41" w14:textId="77777777" w:rsidR="00585B36" w:rsidRPr="00A77AF6" w:rsidRDefault="00585B36" w:rsidP="00585B36">
      <w:pPr>
        <w:spacing w:line="360" w:lineRule="auto"/>
        <w:rPr>
          <w:rFonts w:eastAsiaTheme="minorEastAsia"/>
        </w:rPr>
      </w:pPr>
      <w:r w:rsidRPr="00A77AF6">
        <w:t xml:space="preserve">R squared </w:t>
      </w:r>
      <w:r w:rsidRPr="00A77AF6">
        <w:tab/>
        <w:t>r</w:t>
      </w:r>
      <w:r w:rsidRPr="00A77AF6">
        <w:rPr>
          <w:vertAlign w:val="superscript"/>
        </w:rPr>
        <w:t>2</w:t>
      </w:r>
      <w:r w:rsidRPr="00A77AF6">
        <w:t xml:space="preserve"> = </w:t>
      </w:r>
      <m:oMath>
        <m:f>
          <m:fPr>
            <m:ctrlPr>
              <w:rPr>
                <w:rFonts w:ascii="Cambria Math" w:hAnsi="Cambria Math"/>
                <w:i/>
              </w:rPr>
            </m:ctrlPr>
          </m:fPr>
          <m:num>
            <m:r>
              <w:rPr>
                <w:rFonts w:ascii="Cambria Math" w:hAnsi="Cambria Math"/>
              </w:rPr>
              <m:t>n</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r>
                  <w:rPr>
                    <w:rFonts w:ascii="Cambria Math" w:hAnsi="Cambria Math"/>
                  </w:rPr>
                  <m:t>∑x</m:t>
                </m:r>
              </m:e>
            </m:d>
            <m:d>
              <m:dPr>
                <m:ctrlPr>
                  <w:rPr>
                    <w:rFonts w:ascii="Cambria Math" w:hAnsi="Cambria Math"/>
                    <w:i/>
                  </w:rPr>
                </m:ctrlPr>
              </m:dPr>
              <m:e>
                <m:r>
                  <w:rPr>
                    <w:rFonts w:ascii="Cambria Math" w:hAnsi="Cambria Math"/>
                  </w:rPr>
                  <m:t>Σy</m:t>
                </m:r>
              </m:e>
            </m:d>
          </m:num>
          <m:den>
            <m:rad>
              <m:radPr>
                <m:degHide m:val="1"/>
                <m:ctrlPr>
                  <w:rPr>
                    <w:rFonts w:ascii="Cambria Math" w:hAnsi="Cambria Math"/>
                    <w:i/>
                  </w:rPr>
                </m:ctrlPr>
              </m:radPr>
              <m:deg/>
              <m:e>
                <m:d>
                  <m:dPr>
                    <m:begChr m:val="["/>
                    <m:endChr m:val="]"/>
                    <m:ctrlPr>
                      <w:rPr>
                        <w:rFonts w:ascii="Cambria Math" w:hAnsi="Cambria Math"/>
                        <w:i/>
                      </w:rPr>
                    </m:ctrlPr>
                  </m:dPr>
                  <m:e>
                    <m:r>
                      <w:rPr>
                        <w:rFonts w:ascii="Cambria Math" w:hAnsi="Cambria Math"/>
                      </w:rPr>
                      <m:t>nΣ</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m:t>
                            </m:r>
                          </m:e>
                        </m:d>
                      </m:e>
                      <m:sup>
                        <m:r>
                          <w:rPr>
                            <w:rFonts w:ascii="Cambria Math" w:hAnsi="Cambria Math"/>
                          </w:rPr>
                          <m:t>2</m:t>
                        </m:r>
                      </m:sup>
                    </m:sSup>
                  </m:e>
                </m:d>
              </m:e>
            </m:rad>
            <m:d>
              <m:dPr>
                <m:begChr m:val="["/>
                <m:endChr m:val="]"/>
                <m:ctrlPr>
                  <w:rPr>
                    <w:rFonts w:ascii="Cambria Math" w:hAnsi="Cambria Math"/>
                    <w:i/>
                  </w:rPr>
                </m:ctrlPr>
              </m:dPr>
              <m:e>
                <m:r>
                  <w:rPr>
                    <w:rFonts w:ascii="Cambria Math" w:hAnsi="Cambria Math"/>
                  </w:rPr>
                  <m:t>n∑</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y</m:t>
                            </m:r>
                          </m:sub>
                        </m:sSub>
                      </m:e>
                    </m:d>
                  </m:e>
                  <m:sup>
                    <m:r>
                      <w:rPr>
                        <w:rFonts w:ascii="Cambria Math" w:hAnsi="Cambria Math"/>
                      </w:rPr>
                      <m:t>2</m:t>
                    </m:r>
                  </m:sup>
                </m:sSup>
              </m:e>
            </m:d>
          </m:den>
        </m:f>
      </m:oMath>
    </w:p>
    <w:p w14:paraId="26C69330" w14:textId="77777777" w:rsidR="00585B36" w:rsidRPr="00A77AF6" w:rsidRDefault="00585B36" w:rsidP="00585B36">
      <w:pPr>
        <w:spacing w:after="360" w:line="360" w:lineRule="auto"/>
        <w:rPr>
          <w:rFonts w:eastAsiaTheme="minorEastAsia"/>
          <w:lang w:eastAsia="en-GB"/>
        </w:rPr>
      </w:pPr>
      <w:r w:rsidRPr="00A77AF6">
        <w:rPr>
          <w:rFonts w:eastAsiaTheme="minorEastAsia"/>
        </w:rPr>
        <w:t xml:space="preserve">Standard deviation </w:t>
      </w:r>
      <w:r w:rsidRPr="00A77AF6">
        <w:rPr>
          <w:rFonts w:eastAsiaTheme="minorEastAsia"/>
        </w:rPr>
        <w:tab/>
        <w:t xml:space="preserve">SD =  </w:t>
      </w:r>
      <m:oMath>
        <m:rad>
          <m:radPr>
            <m:degHide m:val="1"/>
            <m:ctrlPr>
              <w:rPr>
                <w:rFonts w:ascii="Cambria Math" w:eastAsia="Times New Roman" w:hAnsi="Cambria Math" w:cstheme="minorHAnsi"/>
                <w:i/>
                <w:lang w:eastAsia="en-GB"/>
              </w:rPr>
            </m:ctrlPr>
          </m:radPr>
          <m:deg/>
          <m:e>
            <m:f>
              <m:fPr>
                <m:ctrlPr>
                  <w:rPr>
                    <w:rFonts w:ascii="Cambria Math" w:eastAsia="Times New Roman" w:hAnsi="Cambria Math" w:cstheme="minorHAnsi"/>
                    <w:i/>
                    <w:lang w:eastAsia="en-GB"/>
                  </w:rPr>
                </m:ctrlPr>
              </m:fPr>
              <m:num>
                <m:r>
                  <w:rPr>
                    <w:rFonts w:ascii="Cambria Math" w:eastAsia="Times New Roman" w:hAnsi="Cambria Math" w:cstheme="minorHAnsi"/>
                    <w:lang w:eastAsia="en-GB"/>
                  </w:rPr>
                  <m:t>1-</m:t>
                </m:r>
                <m:sSup>
                  <m:sSupPr>
                    <m:ctrlPr>
                      <w:rPr>
                        <w:rFonts w:ascii="Cambria Math" w:eastAsia="Times New Roman" w:hAnsi="Cambria Math" w:cstheme="minorHAnsi"/>
                        <w:i/>
                        <w:lang w:eastAsia="en-GB"/>
                      </w:rPr>
                    </m:ctrlPr>
                  </m:sSupPr>
                  <m:e>
                    <m:r>
                      <w:rPr>
                        <w:rFonts w:ascii="Cambria Math" w:eastAsia="Times New Roman" w:hAnsi="Cambria Math" w:cstheme="minorHAnsi"/>
                        <w:lang w:eastAsia="en-GB"/>
                      </w:rPr>
                      <m:t>r</m:t>
                    </m:r>
                  </m:e>
                  <m:sup>
                    <m:r>
                      <w:rPr>
                        <w:rFonts w:ascii="Cambria Math" w:eastAsia="Times New Roman" w:hAnsi="Cambria Math" w:cstheme="minorHAnsi"/>
                        <w:lang w:eastAsia="en-GB"/>
                      </w:rPr>
                      <m:t>2</m:t>
                    </m:r>
                  </m:sup>
                </m:sSup>
              </m:num>
              <m:den>
                <m:r>
                  <w:rPr>
                    <w:rFonts w:ascii="Cambria Math" w:eastAsia="Times New Roman" w:hAnsi="Cambria Math" w:cstheme="minorHAnsi"/>
                    <w:lang w:eastAsia="en-GB"/>
                  </w:rPr>
                  <m:t>n-2</m:t>
                </m:r>
              </m:den>
            </m:f>
          </m:e>
        </m:rad>
      </m:oMath>
    </w:p>
    <w:p w14:paraId="2B096FBB" w14:textId="77777777" w:rsidR="00585B36" w:rsidRPr="00A77AF6" w:rsidRDefault="00585B36" w:rsidP="00585B36">
      <w:pPr>
        <w:spacing w:line="360" w:lineRule="auto"/>
      </w:pPr>
      <w:r w:rsidRPr="00A77AF6">
        <w:t>Confidence in r</w:t>
      </w:r>
      <w:r w:rsidRPr="00A77AF6">
        <w:tab/>
      </w:r>
      <w:r w:rsidRPr="00A77AF6">
        <w:tab/>
      </w:r>
      <m:oMath>
        <m:r>
          <w:rPr>
            <w:rFonts w:ascii="Cambria Math" w:hAnsi="Cambria Math"/>
          </w:rPr>
          <m:t>t=</m:t>
        </m:r>
        <m:f>
          <m:fPr>
            <m:ctrlPr>
              <w:rPr>
                <w:rFonts w:ascii="Cambria Math" w:hAnsi="Cambria Math"/>
                <w:i/>
              </w:rPr>
            </m:ctrlPr>
          </m:fPr>
          <m:num>
            <m:r>
              <w:rPr>
                <w:rFonts w:ascii="Cambria Math" w:hAnsi="Cambria Math"/>
              </w:rPr>
              <m:t>r</m:t>
            </m:r>
          </m:num>
          <m:den>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sSup>
                      <m:sSupPr>
                        <m:ctrlPr>
                          <w:rPr>
                            <w:rFonts w:ascii="Cambria Math" w:hAnsi="Cambria Math"/>
                            <w:i/>
                          </w:rPr>
                        </m:ctrlPr>
                      </m:sSupPr>
                      <m:e>
                        <m:r>
                          <w:rPr>
                            <w:rFonts w:ascii="Cambria Math" w:hAnsi="Cambria Math"/>
                          </w:rPr>
                          <m:t>r</m:t>
                        </m:r>
                      </m:e>
                      <m:sup>
                        <m:r>
                          <w:rPr>
                            <w:rFonts w:ascii="Cambria Math" w:hAnsi="Cambria Math"/>
                          </w:rPr>
                          <m:t>2</m:t>
                        </m:r>
                      </m:sup>
                    </m:sSup>
                  </m:num>
                  <m:den>
                    <m:r>
                      <w:rPr>
                        <w:rFonts w:ascii="Cambria Math" w:hAnsi="Cambria Math"/>
                      </w:rPr>
                      <m:t>n-2</m:t>
                    </m:r>
                  </m:den>
                </m:f>
              </m:e>
            </m:rad>
          </m:den>
        </m:f>
      </m:oMath>
    </w:p>
    <w:p w14:paraId="241023DD" w14:textId="77777777" w:rsidR="00585B36" w:rsidRPr="00A77AF6" w:rsidRDefault="00585B36" w:rsidP="00585B36">
      <w:pPr>
        <w:spacing w:line="360" w:lineRule="auto"/>
      </w:pPr>
      <w:r w:rsidRPr="00A77AF6">
        <w:t xml:space="preserve">Confidence interval for r (95%) </w:t>
      </w:r>
      <w:r w:rsidRPr="00A77AF6">
        <w:tab/>
        <w:t xml:space="preserve">  </w:t>
      </w:r>
      <m:oMath>
        <m:d>
          <m:dPr>
            <m:begChr m:val="["/>
            <m:endChr m:val="]"/>
            <m:ctrlPr>
              <w:rPr>
                <w:rFonts w:ascii="Cambria Math" w:hAnsi="Cambria Math"/>
                <w:i/>
              </w:rPr>
            </m:ctrlPr>
          </m:dPr>
          <m:e>
            <m:r>
              <w:rPr>
                <w:rFonts w:ascii="Cambria Math" w:hAnsi="Cambria Math"/>
              </w:rPr>
              <m:t>r-1⋅96xδ,r+1⋅96×δ</m:t>
            </m:r>
          </m:e>
        </m:d>
      </m:oMath>
    </w:p>
    <w:p w14:paraId="1A3CA157" w14:textId="77777777" w:rsidR="00585B36" w:rsidRPr="00A77AF6" w:rsidRDefault="00585B36" w:rsidP="00585B36">
      <w:pPr>
        <w:spacing w:line="360" w:lineRule="auto"/>
      </w:pPr>
      <w:r w:rsidRPr="00A77AF6">
        <w:t xml:space="preserve">Face-to-face interviews were analysed and coded thematically to explain why formalism was more prevalent, why the effectiveness of project and corporate governance were viewed differently and why the iron triangle did not appear to be use as a measure of project success. </w:t>
      </w:r>
    </w:p>
    <w:p w14:paraId="612CF6E3" w14:textId="23064818" w:rsidR="00C43B88" w:rsidRPr="00A77AF6" w:rsidRDefault="00C43B88"/>
    <w:p w14:paraId="5CDD82C3" w14:textId="56658B44" w:rsidR="008919C2" w:rsidRPr="00A77AF6" w:rsidRDefault="008919C2" w:rsidP="007D3650">
      <w:pPr>
        <w:pStyle w:val="Heading3"/>
        <w:spacing w:after="240"/>
      </w:pPr>
      <w:bookmarkStart w:id="125" w:name="_Toc36275103"/>
      <w:r w:rsidRPr="00A77AF6">
        <w:t xml:space="preserve">Limitations of the </w:t>
      </w:r>
      <w:r w:rsidR="00632AF2" w:rsidRPr="00A77AF6">
        <w:t>r</w:t>
      </w:r>
      <w:r w:rsidRPr="00A77AF6">
        <w:t>esearch</w:t>
      </w:r>
      <w:bookmarkEnd w:id="125"/>
    </w:p>
    <w:p w14:paraId="3B44240C" w14:textId="77777777" w:rsidR="003716DA" w:rsidRPr="00A77AF6" w:rsidRDefault="00ED3D7E" w:rsidP="003716DA">
      <w:pPr>
        <w:spacing w:line="360" w:lineRule="auto"/>
      </w:pPr>
      <w:r w:rsidRPr="00A77AF6">
        <w:t>The</w:t>
      </w:r>
      <w:r w:rsidR="004C0754" w:rsidRPr="00A77AF6">
        <w:t xml:space="preserve"> </w:t>
      </w:r>
      <w:r w:rsidRPr="00A77AF6">
        <w:t>limitations to this study</w:t>
      </w:r>
      <w:r w:rsidR="004C0754" w:rsidRPr="00A77AF6">
        <w:t xml:space="preserve"> are</w:t>
      </w:r>
      <w:r w:rsidR="00C45247" w:rsidRPr="00A77AF6">
        <w:t xml:space="preserve"> </w:t>
      </w:r>
      <w:r w:rsidR="003716DA" w:rsidRPr="00A77AF6">
        <w:t xml:space="preserve">divided into limitation of scope and limitation of the study. </w:t>
      </w:r>
      <w:r w:rsidR="004C0754" w:rsidRPr="00A77AF6">
        <w:t>as follows</w:t>
      </w:r>
      <w:r w:rsidRPr="00A77AF6">
        <w:t xml:space="preserve">.  </w:t>
      </w:r>
      <w:r w:rsidR="003716DA" w:rsidRPr="00A77AF6">
        <w:t xml:space="preserve"> Limitations of scope were: </w:t>
      </w:r>
    </w:p>
    <w:p w14:paraId="29DE2EE1" w14:textId="6FC4D9A1" w:rsidR="003716DA" w:rsidRPr="00A77AF6" w:rsidRDefault="00F47B4C" w:rsidP="003D2A57">
      <w:pPr>
        <w:pStyle w:val="ListParagraph"/>
        <w:numPr>
          <w:ilvl w:val="0"/>
          <w:numId w:val="15"/>
        </w:numPr>
        <w:spacing w:line="360" w:lineRule="auto"/>
      </w:pPr>
      <w:r w:rsidRPr="00A77AF6">
        <w:t>T</w:t>
      </w:r>
      <w:r w:rsidR="003716DA" w:rsidRPr="00A77AF6">
        <w:t xml:space="preserve">he narrow </w:t>
      </w:r>
      <w:r w:rsidR="00ED3D7E" w:rsidRPr="00A77AF6">
        <w:t xml:space="preserve">definition of project success </w:t>
      </w:r>
      <w:r w:rsidR="003716DA" w:rsidRPr="00A77AF6">
        <w:t xml:space="preserve">which was </w:t>
      </w:r>
      <w:r w:rsidR="00ED3D7E" w:rsidRPr="00A77AF6">
        <w:t xml:space="preserve"> confined to time, cost and quality</w:t>
      </w:r>
      <w:r w:rsidR="009235B5" w:rsidRPr="00A77AF6">
        <w:t xml:space="preserve"> and </w:t>
      </w:r>
      <w:r w:rsidR="00696CC3">
        <w:t>excluded</w:t>
      </w:r>
      <w:r w:rsidR="009235B5" w:rsidRPr="00A77AF6">
        <w:t xml:space="preserve"> </w:t>
      </w:r>
      <w:r w:rsidR="004C0754" w:rsidRPr="00A77AF6">
        <w:t xml:space="preserve">other measures such as health and safety in the project management phase or </w:t>
      </w:r>
      <w:r w:rsidR="009235B5" w:rsidRPr="00A77AF6">
        <w:t xml:space="preserve">the realisation of benefits </w:t>
      </w:r>
      <w:r w:rsidR="00ED3D7E" w:rsidRPr="00A77AF6">
        <w:t xml:space="preserve">in the </w:t>
      </w:r>
      <w:r w:rsidR="009235B5" w:rsidRPr="00A77AF6">
        <w:t>operational phase</w:t>
      </w:r>
      <w:r w:rsidR="004C0754" w:rsidRPr="00A77AF6">
        <w:t>, for example</w:t>
      </w:r>
      <w:r w:rsidR="009235B5" w:rsidRPr="00A77AF6">
        <w:t xml:space="preserve">. </w:t>
      </w:r>
    </w:p>
    <w:p w14:paraId="516C0DF1" w14:textId="445A9C3F" w:rsidR="00F47B4C" w:rsidRPr="00A77AF6" w:rsidRDefault="00F47B4C" w:rsidP="003D2A57">
      <w:pPr>
        <w:pStyle w:val="ListParagraph"/>
        <w:numPr>
          <w:ilvl w:val="0"/>
          <w:numId w:val="15"/>
        </w:numPr>
        <w:spacing w:line="360" w:lineRule="auto"/>
      </w:pPr>
      <w:r w:rsidRPr="00A77AF6">
        <w:t>T</w:t>
      </w:r>
      <w:r w:rsidR="00725A99" w:rsidRPr="00A77AF6">
        <w:t xml:space="preserve">he research </w:t>
      </w:r>
      <w:r w:rsidRPr="00A77AF6">
        <w:t xml:space="preserve">limited the definition of </w:t>
      </w:r>
      <w:r w:rsidR="004C0754" w:rsidRPr="00A77AF6">
        <w:t>project</w:t>
      </w:r>
      <w:r w:rsidR="00CE5FF7" w:rsidRPr="00A77AF6">
        <w:t xml:space="preserve"> governance</w:t>
      </w:r>
      <w:r w:rsidR="004C0754" w:rsidRPr="00A77AF6">
        <w:t xml:space="preserve"> </w:t>
      </w:r>
      <w:r w:rsidRPr="00A77AF6">
        <w:t xml:space="preserve">to structure, roles and processes and excluded the governance that </w:t>
      </w:r>
      <w:r w:rsidR="00AE6F52" w:rsidRPr="00A77AF6">
        <w:t xml:space="preserve">organisations </w:t>
      </w:r>
      <w:r w:rsidRPr="00A77AF6">
        <w:t>adopt when deciding whether to admit projects to the project portfolio</w:t>
      </w:r>
    </w:p>
    <w:p w14:paraId="7CC7AF9E" w14:textId="44C5E903" w:rsidR="003716DA" w:rsidRPr="00A77AF6" w:rsidRDefault="00F47B4C" w:rsidP="003D2A57">
      <w:pPr>
        <w:pStyle w:val="ListParagraph"/>
        <w:numPr>
          <w:ilvl w:val="0"/>
          <w:numId w:val="15"/>
        </w:numPr>
        <w:spacing w:line="360" w:lineRule="auto"/>
      </w:pPr>
      <w:r w:rsidRPr="00A77AF6">
        <w:t xml:space="preserve">Only the views of client-side project professionals were </w:t>
      </w:r>
      <w:r w:rsidR="006B687E" w:rsidRPr="00A77AF6">
        <w:t>researched,</w:t>
      </w:r>
      <w:r w:rsidR="00696CC3">
        <w:t xml:space="preserve"> </w:t>
      </w:r>
      <w:r w:rsidR="001A25AB" w:rsidRPr="00A77AF6">
        <w:t>and</w:t>
      </w:r>
      <w:r w:rsidR="004C0754" w:rsidRPr="00A77AF6">
        <w:t xml:space="preserve"> the data </w:t>
      </w:r>
      <w:r w:rsidR="00696CC3">
        <w:t xml:space="preserve">collected </w:t>
      </w:r>
      <w:r w:rsidR="004C0754" w:rsidRPr="00A77AF6">
        <w:t>on</w:t>
      </w:r>
      <w:r w:rsidR="001A25AB" w:rsidRPr="00A77AF6">
        <w:t>l</w:t>
      </w:r>
      <w:r w:rsidR="004C0754" w:rsidRPr="00A77AF6">
        <w:t xml:space="preserve">y </w:t>
      </w:r>
      <w:r w:rsidR="00696CC3">
        <w:t xml:space="preserve">records the </w:t>
      </w:r>
      <w:r w:rsidR="001A25AB" w:rsidRPr="00A77AF6">
        <w:t>views of project personnel</w:t>
      </w:r>
      <w:r w:rsidR="006B687E">
        <w:t xml:space="preserve"> working in the project delivery phase, such as project managers</w:t>
      </w:r>
      <w:r w:rsidRPr="00A77AF6">
        <w:t xml:space="preserve">. </w:t>
      </w:r>
      <w:r w:rsidR="006B687E" w:rsidRPr="00A77AF6">
        <w:t>. The views of the corporate board or the contractor were excluded</w:t>
      </w:r>
      <w:r w:rsidR="006B687E">
        <w:t>.</w:t>
      </w:r>
    </w:p>
    <w:p w14:paraId="0700970A" w14:textId="09059E79" w:rsidR="003716DA" w:rsidRPr="00A77AF6" w:rsidRDefault="003716DA" w:rsidP="00F878A8">
      <w:pPr>
        <w:spacing w:after="0" w:line="360" w:lineRule="auto"/>
      </w:pPr>
      <w:r w:rsidRPr="00A77AF6">
        <w:t>Limitations of the study were</w:t>
      </w:r>
    </w:p>
    <w:p w14:paraId="3933427B" w14:textId="00FC2E41" w:rsidR="003716DA" w:rsidRPr="00A77AF6" w:rsidRDefault="00EC0F03" w:rsidP="003D2A57">
      <w:pPr>
        <w:pStyle w:val="ListParagraph"/>
        <w:numPr>
          <w:ilvl w:val="0"/>
          <w:numId w:val="16"/>
        </w:numPr>
        <w:spacing w:line="360" w:lineRule="auto"/>
      </w:pPr>
      <w:r w:rsidRPr="00A77AF6">
        <w:t>The difficulty of obtaining a</w:t>
      </w:r>
      <w:r w:rsidR="00F47B4C" w:rsidRPr="00A77AF6">
        <w:t xml:space="preserve">ccess to </w:t>
      </w:r>
      <w:r w:rsidR="003F4CA9" w:rsidRPr="00A77AF6">
        <w:t>respondents</w:t>
      </w:r>
      <w:r w:rsidRPr="00A77AF6">
        <w:t>. C</w:t>
      </w:r>
      <w:r w:rsidR="00AE6F52" w:rsidRPr="00A77AF6">
        <w:t>ontact details of NHS staff are not available on the internet or through</w:t>
      </w:r>
      <w:r w:rsidR="00F47B4C" w:rsidRPr="00A77AF6">
        <w:t xml:space="preserve"> </w:t>
      </w:r>
      <w:r w:rsidR="00AE6F52" w:rsidRPr="00A77AF6">
        <w:t>NHS Trusts</w:t>
      </w:r>
      <w:r w:rsidR="00F47B4C" w:rsidRPr="00A77AF6">
        <w:t xml:space="preserve">’ </w:t>
      </w:r>
      <w:r w:rsidR="00AE6F52" w:rsidRPr="00A77AF6">
        <w:t>website</w:t>
      </w:r>
    </w:p>
    <w:p w14:paraId="7199966A" w14:textId="11C09BC5" w:rsidR="003716DA" w:rsidRPr="00A77AF6" w:rsidRDefault="00F47B4C" w:rsidP="003D2A57">
      <w:pPr>
        <w:pStyle w:val="ListParagraph"/>
        <w:numPr>
          <w:ilvl w:val="0"/>
          <w:numId w:val="16"/>
        </w:numPr>
        <w:spacing w:line="360" w:lineRule="auto"/>
      </w:pPr>
      <w:r w:rsidRPr="00A77AF6">
        <w:lastRenderedPageBreak/>
        <w:t>T</w:t>
      </w:r>
      <w:r w:rsidR="009E5955" w:rsidRPr="00A77AF6">
        <w:t>he</w:t>
      </w:r>
      <w:r w:rsidR="00AE6F52" w:rsidRPr="00A77AF6">
        <w:t xml:space="preserve"> meaning of ‘effective’ </w:t>
      </w:r>
      <w:r w:rsidRPr="00A77AF6">
        <w:t xml:space="preserve">as measure was not precisely defined </w:t>
      </w:r>
      <w:r w:rsidR="009235B5" w:rsidRPr="00A77AF6">
        <w:t xml:space="preserve">which </w:t>
      </w:r>
      <w:r w:rsidR="00E93E10" w:rsidRPr="00A77AF6">
        <w:t xml:space="preserve">may have led to some inconsistency. </w:t>
      </w:r>
      <w:r w:rsidR="00AE6F52" w:rsidRPr="00A77AF6">
        <w:t xml:space="preserve"> </w:t>
      </w:r>
    </w:p>
    <w:p w14:paraId="19231C91" w14:textId="77777777" w:rsidR="00F47B4C" w:rsidRPr="00A77AF6" w:rsidRDefault="00F47B4C" w:rsidP="003D2A57">
      <w:pPr>
        <w:pStyle w:val="ListParagraph"/>
        <w:numPr>
          <w:ilvl w:val="0"/>
          <w:numId w:val="16"/>
        </w:numPr>
        <w:spacing w:line="360" w:lineRule="auto"/>
      </w:pPr>
      <w:r w:rsidRPr="00A77AF6">
        <w:t>The meaning of</w:t>
      </w:r>
      <w:r w:rsidR="009E5955" w:rsidRPr="00A77AF6">
        <w:t xml:space="preserve"> ‘</w:t>
      </w:r>
      <w:r w:rsidR="00AE6F52" w:rsidRPr="00A77AF6">
        <w:t>slightly</w:t>
      </w:r>
      <w:r w:rsidR="005B3A5A" w:rsidRPr="00A77AF6">
        <w:t>’</w:t>
      </w:r>
      <w:r w:rsidRPr="00A77AF6">
        <w:t xml:space="preserve">, </w:t>
      </w:r>
      <w:r w:rsidR="005B3A5A" w:rsidRPr="00A77AF6">
        <w:t>‘</w:t>
      </w:r>
      <w:r w:rsidR="00AE6F52" w:rsidRPr="00A77AF6">
        <w:t>significantly exceeded</w:t>
      </w:r>
      <w:r w:rsidR="005B3A5A" w:rsidRPr="00A77AF6">
        <w:t>’</w:t>
      </w:r>
      <w:r w:rsidRPr="00A77AF6">
        <w:t xml:space="preserve">, </w:t>
      </w:r>
      <w:r w:rsidR="005B3A5A" w:rsidRPr="00A77AF6">
        <w:t>‘</w:t>
      </w:r>
      <w:r w:rsidR="00AE6F52" w:rsidRPr="00A77AF6">
        <w:t>slightly</w:t>
      </w:r>
      <w:r w:rsidR="005B3A5A" w:rsidRPr="00A77AF6">
        <w:t>’</w:t>
      </w:r>
      <w:r w:rsidR="00AE6F52" w:rsidRPr="00A77AF6">
        <w:t xml:space="preserve"> or </w:t>
      </w:r>
      <w:r w:rsidR="005B3A5A" w:rsidRPr="00A77AF6">
        <w:t>‘</w:t>
      </w:r>
      <w:r w:rsidR="00AE6F52" w:rsidRPr="00A77AF6">
        <w:t>significantly missed</w:t>
      </w:r>
      <w:r w:rsidR="005B3A5A" w:rsidRPr="00A77AF6">
        <w:t>’</w:t>
      </w:r>
      <w:r w:rsidR="00AE6F52" w:rsidRPr="00A77AF6">
        <w:t xml:space="preserve"> were not quantified </w:t>
      </w:r>
      <w:r w:rsidRPr="00A77AF6">
        <w:t xml:space="preserve">which may have led to some inconsistency.  </w:t>
      </w:r>
    </w:p>
    <w:p w14:paraId="001F296C" w14:textId="775C35F4" w:rsidR="0058461D" w:rsidRPr="00A77AF6" w:rsidRDefault="00F47B4C" w:rsidP="003D2A57">
      <w:pPr>
        <w:pStyle w:val="ListParagraph"/>
        <w:numPr>
          <w:ilvl w:val="0"/>
          <w:numId w:val="16"/>
        </w:numPr>
        <w:spacing w:line="360" w:lineRule="auto"/>
      </w:pPr>
      <w:r w:rsidRPr="00A77AF6">
        <w:t>T</w:t>
      </w:r>
      <w:r w:rsidR="006B5773" w:rsidRPr="00A77AF6">
        <w:t xml:space="preserve">here were no </w:t>
      </w:r>
      <w:r w:rsidR="005364CA" w:rsidRPr="00A77AF6">
        <w:t>high-risk</w:t>
      </w:r>
      <w:r w:rsidR="006B5773" w:rsidRPr="00A77AF6">
        <w:t xml:space="preserve"> projects in the </w:t>
      </w:r>
      <w:r w:rsidR="00D8325A" w:rsidRPr="00A77AF6">
        <w:t>sample,</w:t>
      </w:r>
      <w:r w:rsidR="006B5773" w:rsidRPr="00A77AF6">
        <w:t xml:space="preserve"> and it is possible that </w:t>
      </w:r>
      <w:r w:rsidR="003F4CA9" w:rsidRPr="00A77AF6">
        <w:t>high-risk</w:t>
      </w:r>
      <w:r w:rsidR="006B5773" w:rsidRPr="00A77AF6">
        <w:t xml:space="preserve"> projects may </w:t>
      </w:r>
      <w:r w:rsidR="003D7235" w:rsidRPr="00A77AF6">
        <w:t xml:space="preserve">be </w:t>
      </w:r>
      <w:r w:rsidR="00081524" w:rsidRPr="00A77AF6">
        <w:t xml:space="preserve">significantly different from medium and low risk projects, but this </w:t>
      </w:r>
      <w:r w:rsidR="009E5955" w:rsidRPr="00A77AF6">
        <w:t>was</w:t>
      </w:r>
      <w:r w:rsidR="00081524" w:rsidRPr="00A77AF6">
        <w:t xml:space="preserve"> not tested. </w:t>
      </w:r>
    </w:p>
    <w:p w14:paraId="2A6AB72A" w14:textId="00E6DCD6" w:rsidR="00CB764A" w:rsidRPr="00A77AF6" w:rsidRDefault="00CB764A" w:rsidP="009A3D42">
      <w:pPr>
        <w:pStyle w:val="Heading3"/>
        <w:spacing w:after="120"/>
      </w:pPr>
      <w:bookmarkStart w:id="126" w:name="_Toc36275104"/>
      <w:r w:rsidRPr="00A77AF6">
        <w:t>Concluding remarks</w:t>
      </w:r>
      <w:bookmarkEnd w:id="126"/>
    </w:p>
    <w:p w14:paraId="47EB1A37" w14:textId="32C75750" w:rsidR="004A7E98" w:rsidRPr="00A77AF6" w:rsidRDefault="004A7E98" w:rsidP="004A7E98">
      <w:pPr>
        <w:spacing w:line="360" w:lineRule="auto"/>
      </w:pPr>
      <w:r w:rsidRPr="00A77AF6">
        <w:t xml:space="preserve">Quantitative research is the process by which theories are tested and falsified.  This involves measuring, correlating and analysing and allows relationships to be investigated.  To do this large numbers of subjects or tests are needed to reduce the impact of coincidence and researchers actively ‘control for bias, alternative explanations and being able to generalize and replicate the findings’ </w:t>
      </w:r>
      <w:sdt>
        <w:sdtPr>
          <w:id w:val="823859803"/>
          <w:citation/>
        </w:sdtPr>
        <w:sdtEndPr/>
        <w:sdtContent>
          <w:r w:rsidRPr="00A77AF6">
            <w:fldChar w:fldCharType="begin"/>
          </w:r>
          <w:r w:rsidRPr="00A77AF6">
            <w:instrText xml:space="preserve">CITATION Cre09 \p 4 \l 2057 </w:instrText>
          </w:r>
          <w:r w:rsidRPr="00A77AF6">
            <w:fldChar w:fldCharType="separate"/>
          </w:r>
          <w:r w:rsidR="008E653F" w:rsidRPr="00A77AF6">
            <w:t>(Creswell, 2009, p. 4)</w:t>
          </w:r>
          <w:r w:rsidRPr="00A77AF6">
            <w:fldChar w:fldCharType="end"/>
          </w:r>
        </w:sdtContent>
      </w:sdt>
      <w:r w:rsidRPr="00A77AF6">
        <w:t xml:space="preserve">.  It is based in the ontological position that reality exists objectively and can be discovered or explained and the epistemological position that knowledge is gained by gathering facts in a systematic and objective way.  This is done by experimentation, testing theories, building laws and making them applicable in a general way.  Qualitative research allows the experiences of participants to be understood in context.  It is based on the views of participants and gives them a voice.  It has the disadvantages of limited generalisability, providing ‘soft’ rather than ‘hard’ data and can be subjective. Mixed methods bring the advantages and disadvantages of quantitative and qualitative methodologies.  In this study, the advantages were the ability to explain findings from the quantitative study using qualitative approaches. Creswell (2015) argued that the combined strength of quantitative data and qualitative data provides a better understanding of the research question than either form of data on their own. </w:t>
      </w:r>
    </w:p>
    <w:p w14:paraId="4182C3BC" w14:textId="5BF010DC" w:rsidR="0055689E" w:rsidRPr="00A77AF6" w:rsidRDefault="00F47B4C" w:rsidP="0055689E">
      <w:pPr>
        <w:spacing w:line="360" w:lineRule="auto"/>
      </w:pPr>
      <w:r w:rsidRPr="00A77AF6">
        <w:t>A m</w:t>
      </w:r>
      <w:r w:rsidR="00961297" w:rsidRPr="00A77AF6">
        <w:t xml:space="preserve">ixed methods </w:t>
      </w:r>
      <w:r w:rsidRPr="00A77AF6">
        <w:t xml:space="preserve">explanatory design was adopted </w:t>
      </w:r>
      <w:r w:rsidR="0055689E" w:rsidRPr="00A77AF6">
        <w:t xml:space="preserve">because mixing quantitative and qualitative approaches was </w:t>
      </w:r>
      <w:r w:rsidRPr="00A77AF6">
        <w:t>judged to the</w:t>
      </w:r>
      <w:r w:rsidR="00961297" w:rsidRPr="00A77AF6">
        <w:t xml:space="preserve"> most effective way of meeting the objectives of the study</w:t>
      </w:r>
      <w:r w:rsidR="0055689E" w:rsidRPr="00A77AF6">
        <w:t xml:space="preserve">. </w:t>
      </w:r>
      <w:r w:rsidRPr="00A77AF6">
        <w:t xml:space="preserve">This pragmatic </w:t>
      </w:r>
      <w:r w:rsidR="0055689E" w:rsidRPr="00A77AF6">
        <w:t>paradigm</w:t>
      </w:r>
      <w:r w:rsidRPr="00A77AF6">
        <w:t xml:space="preserve"> </w:t>
      </w:r>
      <w:r w:rsidR="0055689E" w:rsidRPr="00A77AF6">
        <w:t xml:space="preserve">accepts positivist and interpretivist methods as valid and used together they can enhance the validity and soundness of a study.  </w:t>
      </w:r>
      <w:r w:rsidR="00274986">
        <w:t xml:space="preserve"> </w:t>
      </w:r>
    </w:p>
    <w:p w14:paraId="114E33A7" w14:textId="769F11B0" w:rsidR="005D5C47" w:rsidRPr="00A77AF6" w:rsidRDefault="0055689E" w:rsidP="0055689E">
      <w:pPr>
        <w:spacing w:line="360" w:lineRule="auto"/>
      </w:pPr>
      <w:r w:rsidRPr="00A77AF6">
        <w:t>T</w:t>
      </w:r>
      <w:r w:rsidR="00014A49" w:rsidRPr="00A77AF6">
        <w:t xml:space="preserve">he prevalence of formalism, which was different from the profile of business managers and </w:t>
      </w:r>
      <w:r w:rsidR="009E5955" w:rsidRPr="00A77AF6">
        <w:t>students;</w:t>
      </w:r>
      <w:r w:rsidR="00014A49" w:rsidRPr="00A77AF6">
        <w:t xml:space="preserve"> the difference in effectiveness between corporate and project governance and the apparent disregard for the iron triangle as a measure of success by project personnel merited explanation which qualitative research allows. </w:t>
      </w:r>
      <w:r w:rsidR="008D40C1">
        <w:t xml:space="preserve"> </w:t>
      </w:r>
    </w:p>
    <w:p w14:paraId="5CEADD9E" w14:textId="14B1CD6A" w:rsidR="004E1B7B" w:rsidRPr="00A77AF6" w:rsidRDefault="00835F41" w:rsidP="00C20818">
      <w:pPr>
        <w:spacing w:line="360" w:lineRule="auto"/>
      </w:pPr>
      <w:r>
        <w:t>In summary, t</w:t>
      </w:r>
      <w:r w:rsidR="00014A49" w:rsidRPr="00A77AF6">
        <w:t xml:space="preserve">he importance of </w:t>
      </w:r>
      <w:r w:rsidR="0055689E" w:rsidRPr="00A77AF6">
        <w:t xml:space="preserve">research </w:t>
      </w:r>
      <w:r w:rsidR="00014A49" w:rsidRPr="00A77AF6">
        <w:t xml:space="preserve">ethics </w:t>
      </w:r>
      <w:r w:rsidR="0055689E" w:rsidRPr="00A77AF6">
        <w:t xml:space="preserve">were </w:t>
      </w:r>
      <w:r w:rsidR="00014A49" w:rsidRPr="00A77AF6">
        <w:t>discussed and the measures taken to protect subjects from harm, including consent, the secure storage of data and the ability for subjects to remove themselves from the study at any time were safeguards in this study</w:t>
      </w:r>
      <w:r w:rsidR="0055689E" w:rsidRPr="00A77AF6">
        <w:t xml:space="preserve"> were outlined</w:t>
      </w:r>
      <w:r w:rsidR="00014A49" w:rsidRPr="00A77AF6">
        <w:t xml:space="preserve">.  The </w:t>
      </w:r>
      <w:r w:rsidR="00014A49" w:rsidRPr="00A77AF6">
        <w:lastRenderedPageBreak/>
        <w:t xml:space="preserve">methods of data </w:t>
      </w:r>
      <w:r w:rsidR="00AA5513" w:rsidRPr="00A77AF6">
        <w:t>collection, the development and p</w:t>
      </w:r>
      <w:r w:rsidR="0055689E" w:rsidRPr="00A77AF6">
        <w:t xml:space="preserve">re-testing </w:t>
      </w:r>
      <w:r w:rsidR="00AA5513" w:rsidRPr="00A77AF6">
        <w:t>of the e-survey, the need to contact every provider Trust by telephone to obtain e-mail addresses, often on more than one occasion was described.  The selecti</w:t>
      </w:r>
      <w:r w:rsidR="0055689E" w:rsidRPr="00A77AF6">
        <w:t>o</w:t>
      </w:r>
      <w:r w:rsidR="00AA5513" w:rsidRPr="00A77AF6">
        <w:t xml:space="preserve">n of the </w:t>
      </w:r>
      <w:r>
        <w:t>six</w:t>
      </w:r>
      <w:r w:rsidR="00AA5513" w:rsidRPr="00A77AF6">
        <w:t xml:space="preserve"> interviewees was based </w:t>
      </w:r>
      <w:r>
        <w:t xml:space="preserve">on </w:t>
      </w:r>
      <w:r w:rsidR="00C45247" w:rsidRPr="00A77AF6">
        <w:t>convenience, and</w:t>
      </w:r>
      <w:r w:rsidR="00AA5513" w:rsidRPr="00A77AF6">
        <w:t xml:space="preserve"> the final number of </w:t>
      </w:r>
      <w:r>
        <w:t>six</w:t>
      </w:r>
      <w:r w:rsidR="00AA5513" w:rsidRPr="00A77AF6">
        <w:t xml:space="preserve"> interviews was </w:t>
      </w:r>
      <w:r w:rsidR="0055689E" w:rsidRPr="00A77AF6">
        <w:t xml:space="preserve">judged to where </w:t>
      </w:r>
      <w:r w:rsidR="00AA5513" w:rsidRPr="00A77AF6">
        <w:t>saturation point had been reached</w:t>
      </w:r>
      <w:r w:rsidR="0055689E" w:rsidRPr="00A77AF6">
        <w:t xml:space="preserve">. </w:t>
      </w:r>
      <w:r w:rsidR="00AA5513" w:rsidRPr="00A77AF6">
        <w:t xml:space="preserve">The limitations of the reach </w:t>
      </w:r>
      <w:r w:rsidR="003236E6" w:rsidRPr="00A77AF6">
        <w:t xml:space="preserve">have been </w:t>
      </w:r>
      <w:r w:rsidR="00AA5513" w:rsidRPr="00A77AF6">
        <w:t>acknowledged</w:t>
      </w:r>
      <w:r w:rsidR="003236E6" w:rsidRPr="00A77AF6">
        <w:t xml:space="preserve">.  </w:t>
      </w:r>
      <w:r w:rsidR="004E1B7B" w:rsidRPr="00A77AF6">
        <w:br w:type="page"/>
      </w:r>
    </w:p>
    <w:p w14:paraId="050D3903" w14:textId="35568762" w:rsidR="0073034F" w:rsidRPr="00A77AF6" w:rsidRDefault="008C4760" w:rsidP="006E2147">
      <w:pPr>
        <w:pStyle w:val="Heading1"/>
        <w:spacing w:after="120"/>
        <w:ind w:left="431" w:hanging="431"/>
        <w:rPr>
          <w:lang w:val="en-GB"/>
        </w:rPr>
      </w:pPr>
      <w:bookmarkStart w:id="127" w:name="_Toc36275105"/>
      <w:r w:rsidRPr="00A77AF6">
        <w:rPr>
          <w:lang w:val="en-GB"/>
        </w:rPr>
        <w:lastRenderedPageBreak/>
        <w:t xml:space="preserve">Survey </w:t>
      </w:r>
      <w:r w:rsidR="00A0188C" w:rsidRPr="00A77AF6">
        <w:rPr>
          <w:lang w:val="en-GB"/>
        </w:rPr>
        <w:t>Results</w:t>
      </w:r>
      <w:bookmarkEnd w:id="127"/>
    </w:p>
    <w:p w14:paraId="23B0BF1A" w14:textId="42979F5A" w:rsidR="0073034F" w:rsidRPr="00A77AF6" w:rsidRDefault="00894CAC" w:rsidP="00226E4C">
      <w:pPr>
        <w:pStyle w:val="Heading2"/>
        <w:spacing w:after="120"/>
      </w:pPr>
      <w:bookmarkStart w:id="128" w:name="_Toc36275106"/>
      <w:r w:rsidRPr="00A77AF6">
        <w:t>Introduction</w:t>
      </w:r>
      <w:bookmarkEnd w:id="128"/>
    </w:p>
    <w:p w14:paraId="0D779286" w14:textId="29CD95CF" w:rsidR="006E2147" w:rsidRPr="00A77AF6" w:rsidRDefault="006E2147" w:rsidP="00112A90">
      <w:pPr>
        <w:spacing w:line="360" w:lineRule="auto"/>
      </w:pPr>
      <w:r w:rsidRPr="00A77AF6">
        <w:t>Phase one of the study obtained f</w:t>
      </w:r>
      <w:r w:rsidR="00695779" w:rsidRPr="00A77AF6">
        <w:t xml:space="preserve">ifty-one (51) usable surveys from respondents </w:t>
      </w:r>
      <w:r w:rsidR="0073034F" w:rsidRPr="00A77AF6">
        <w:t xml:space="preserve">who had worked </w:t>
      </w:r>
      <w:r w:rsidR="00112A90" w:rsidRPr="00A77AF6">
        <w:t xml:space="preserve">on the client-side </w:t>
      </w:r>
      <w:r w:rsidR="0073034F" w:rsidRPr="00A77AF6">
        <w:t>on a completed NHS construction project.</w:t>
      </w:r>
      <w:r w:rsidR="003F3C74" w:rsidRPr="00A77AF6">
        <w:t xml:space="preserve"> </w:t>
      </w:r>
      <w:r w:rsidR="0073034F" w:rsidRPr="00A77AF6">
        <w:t xml:space="preserve"> </w:t>
      </w:r>
      <w:r w:rsidR="00873ADA" w:rsidRPr="00A77AF6">
        <w:t>Two hundred and three (</w:t>
      </w:r>
      <w:r w:rsidR="00901BD7" w:rsidRPr="00A77AF6">
        <w:t>203</w:t>
      </w:r>
      <w:r w:rsidR="00873ADA" w:rsidRPr="00A77AF6">
        <w:t>)</w:t>
      </w:r>
      <w:r w:rsidR="005A36A3" w:rsidRPr="00A77AF6">
        <w:t xml:space="preserve"> contacts were </w:t>
      </w:r>
      <w:r w:rsidR="003F3C74" w:rsidRPr="00A77AF6">
        <w:t>made, and</w:t>
      </w:r>
      <w:r w:rsidR="00873ADA" w:rsidRPr="00A77AF6">
        <w:t xml:space="preserve"> eighty-seven (</w:t>
      </w:r>
      <w:r w:rsidR="003F3C74" w:rsidRPr="00A77AF6">
        <w:t>87</w:t>
      </w:r>
      <w:r w:rsidR="00873ADA" w:rsidRPr="00A77AF6">
        <w:t>)</w:t>
      </w:r>
      <w:r w:rsidR="0073034F" w:rsidRPr="00A77AF6">
        <w:t xml:space="preserve"> surveys were attempted</w:t>
      </w:r>
      <w:r w:rsidR="00155406" w:rsidRPr="00A77AF6">
        <w:t xml:space="preserve">.  </w:t>
      </w:r>
      <w:r w:rsidR="00873ADA" w:rsidRPr="00A77AF6">
        <w:t>Thirty-five (</w:t>
      </w:r>
      <w:r w:rsidR="00942407" w:rsidRPr="00A77AF6">
        <w:t>3</w:t>
      </w:r>
      <w:r w:rsidR="00155406" w:rsidRPr="00A77AF6">
        <w:t>5</w:t>
      </w:r>
      <w:r w:rsidR="00873ADA" w:rsidRPr="00A77AF6">
        <w:t>)</w:t>
      </w:r>
      <w:r w:rsidR="00155406" w:rsidRPr="00A77AF6">
        <w:t xml:space="preserve"> were excluded because they were substantially </w:t>
      </w:r>
      <w:r w:rsidR="003F3C74" w:rsidRPr="00A77AF6">
        <w:t xml:space="preserve">incomplete, and one survey was excluded because it did not refer to an NHS construction project.  </w:t>
      </w:r>
      <w:r w:rsidR="00873ADA" w:rsidRPr="00A77AF6">
        <w:t xml:space="preserve">The e-survey </w:t>
      </w:r>
      <w:r w:rsidR="00112A90" w:rsidRPr="00A77AF6">
        <w:t xml:space="preserve">was designed </w:t>
      </w:r>
      <w:r w:rsidR="008D69F1" w:rsidRPr="00A77AF6">
        <w:t>to establish the ethical predisposition of</w:t>
      </w:r>
      <w:r w:rsidR="00900238" w:rsidRPr="00A77AF6">
        <w:t xml:space="preserve"> respondents</w:t>
      </w:r>
      <w:r w:rsidR="008D69F1" w:rsidRPr="00A77AF6">
        <w:t xml:space="preserve">, how </w:t>
      </w:r>
      <w:r w:rsidR="00900238" w:rsidRPr="00A77AF6">
        <w:t xml:space="preserve">effective project and corporate governance was </w:t>
      </w:r>
      <w:r w:rsidR="005C7102" w:rsidRPr="00A77AF6">
        <w:t>perceived</w:t>
      </w:r>
      <w:r w:rsidR="00900238" w:rsidRPr="00A77AF6">
        <w:t xml:space="preserve"> to have been </w:t>
      </w:r>
      <w:r w:rsidR="008D69F1" w:rsidRPr="00A77AF6">
        <w:t xml:space="preserve">when measured </w:t>
      </w:r>
      <w:r w:rsidR="00900238" w:rsidRPr="00A77AF6">
        <w:t xml:space="preserve">by ‘claimed success’, the iron triangle and project success score.  </w:t>
      </w:r>
      <w:r w:rsidR="005C7102" w:rsidRPr="00A77AF6">
        <w:t>Two</w:t>
      </w:r>
      <w:r w:rsidR="008D69F1" w:rsidRPr="00A77AF6">
        <w:t xml:space="preserve"> variables </w:t>
      </w:r>
      <w:r w:rsidR="005C7102" w:rsidRPr="00A77AF6">
        <w:t xml:space="preserve">that </w:t>
      </w:r>
      <w:r w:rsidR="008D69F1" w:rsidRPr="00A77AF6">
        <w:t xml:space="preserve">could </w:t>
      </w:r>
      <w:r w:rsidR="005C7102" w:rsidRPr="00A77AF6">
        <w:t>affect project success were also measured: t</w:t>
      </w:r>
      <w:r w:rsidR="00900238" w:rsidRPr="00A77AF6">
        <w:t>he level of risk and the effectiveness of CSF</w:t>
      </w:r>
      <w:r w:rsidR="008D69F1" w:rsidRPr="00A77AF6">
        <w:t xml:space="preserve"> to </w:t>
      </w:r>
      <w:r w:rsidR="00986984" w:rsidRPr="00A77AF6">
        <w:t xml:space="preserve">account </w:t>
      </w:r>
      <w:r w:rsidR="008D69F1" w:rsidRPr="00A77AF6">
        <w:t xml:space="preserve">for any impact these might have on </w:t>
      </w:r>
      <w:r w:rsidR="00986984" w:rsidRPr="00A77AF6">
        <w:t>project success</w:t>
      </w:r>
      <w:r w:rsidR="005C7102" w:rsidRPr="00A77AF6">
        <w:t xml:space="preserve">.  </w:t>
      </w:r>
      <w:r w:rsidR="00900238" w:rsidRPr="00A77AF6">
        <w:t xml:space="preserve">  </w:t>
      </w:r>
    </w:p>
    <w:p w14:paraId="4D4B2A61" w14:textId="77777777" w:rsidR="008D69F1" w:rsidRPr="00A77AF6" w:rsidRDefault="008D69F1" w:rsidP="008D69F1">
      <w:pPr>
        <w:pStyle w:val="Heading2"/>
        <w:spacing w:after="120"/>
      </w:pPr>
      <w:bookmarkStart w:id="129" w:name="_Toc36275107"/>
      <w:r w:rsidRPr="00A77AF6">
        <w:t>Validity and reliability</w:t>
      </w:r>
      <w:bookmarkEnd w:id="129"/>
    </w:p>
    <w:p w14:paraId="57A5B9FB" w14:textId="32B1D482" w:rsidR="008D69F1" w:rsidRPr="00A77AF6" w:rsidRDefault="008D69F1" w:rsidP="008D69F1">
      <w:pPr>
        <w:spacing w:line="360" w:lineRule="auto"/>
      </w:pPr>
      <w:r w:rsidRPr="00A77AF6">
        <w:t xml:space="preserve">Content validity was achieved using measurement elements based on the literature: the iron triangle, ethical predisposition and governance components. </w:t>
      </w:r>
      <w:r w:rsidR="00D47231">
        <w:t>Content validity was also achieved through the experience and quality</w:t>
      </w:r>
      <w:r w:rsidR="001920AA">
        <w:t xml:space="preserve"> of the survey respondents.  Similarly, </w:t>
      </w:r>
      <w:r w:rsidR="00D47231">
        <w:t xml:space="preserve">the interviewees were highly experienced and senior.  </w:t>
      </w:r>
      <w:r w:rsidRPr="00A77AF6">
        <w:t xml:space="preserve">Construct validity achieved by the use of  Brady and Wheeler’s (1996) published MEV and the published CSF </w:t>
      </w:r>
      <w:sdt>
        <w:sdtPr>
          <w:id w:val="-1366833077"/>
          <w:citation/>
        </w:sdtPr>
        <w:sdtEndPr/>
        <w:sdtContent>
          <w:r w:rsidRPr="00A77AF6">
            <w:fldChar w:fldCharType="begin"/>
          </w:r>
          <w:r w:rsidRPr="00A77AF6">
            <w:instrText xml:space="preserve"> CITATION Pin90 \l 2057 </w:instrText>
          </w:r>
          <w:r w:rsidRPr="00A77AF6">
            <w:fldChar w:fldCharType="separate"/>
          </w:r>
          <w:r w:rsidR="008E653F" w:rsidRPr="00A77AF6">
            <w:t>(Pinto, 1990)</w:t>
          </w:r>
          <w:r w:rsidRPr="00A77AF6">
            <w:fldChar w:fldCharType="end"/>
          </w:r>
        </w:sdtContent>
      </w:sdt>
      <w:r w:rsidRPr="00A77AF6">
        <w:t xml:space="preserve"> .  </w:t>
      </w:r>
    </w:p>
    <w:p w14:paraId="4276CC76" w14:textId="3B8F7114" w:rsidR="00927E1D" w:rsidRPr="00A77AF6" w:rsidRDefault="008D69F1" w:rsidP="008D69F1">
      <w:pPr>
        <w:spacing w:line="360" w:lineRule="auto"/>
      </w:pPr>
      <w:r w:rsidRPr="00A77AF6">
        <w:t xml:space="preserve">Reliability was achieved through the testing of the surveys prior to distribution.  The reliability of each scale which tested independent variations was tested using Cronbach’s alpha.  The project governance scale was 0.7, the corporate governance scale was 0.86, the CSF scale was 0.80 and the MEV (1996) scale was 0.8.  Reliability can be assumed with scores above 0.7 (Hair, et al., 2010 cited in Joslin &amp; Müller, 2016).  </w:t>
      </w:r>
      <w:r w:rsidR="001B6632" w:rsidRPr="00A77AF6">
        <w:t>Mixed methods</w:t>
      </w:r>
      <w:r w:rsidR="006E2147" w:rsidRPr="00A77AF6">
        <w:t xml:space="preserve"> </w:t>
      </w:r>
      <w:r w:rsidR="00D47231">
        <w:t xml:space="preserve">research </w:t>
      </w:r>
      <w:r w:rsidR="006E2147" w:rsidRPr="00A77AF6">
        <w:t xml:space="preserve">is an established and </w:t>
      </w:r>
      <w:r w:rsidR="00585B36" w:rsidRPr="00A77AF6">
        <w:t>repeatable</w:t>
      </w:r>
      <w:r w:rsidR="006E2147" w:rsidRPr="00A77AF6">
        <w:t xml:space="preserve"> research method. </w:t>
      </w:r>
      <w:r w:rsidRPr="00A77AF6">
        <w:t xml:space="preserve">Extracts of findings </w:t>
      </w:r>
      <w:r w:rsidR="006E2147" w:rsidRPr="00A77AF6">
        <w:t xml:space="preserve">from the e-survey and interviews </w:t>
      </w:r>
      <w:r w:rsidRPr="00A77AF6">
        <w:t xml:space="preserve">were presented at a conference on </w:t>
      </w:r>
      <w:r w:rsidR="00585B36" w:rsidRPr="00A77AF6">
        <w:t>professionalism</w:t>
      </w:r>
      <w:r w:rsidRPr="00A77AF6">
        <w:t xml:space="preserve"> and ethics (2018) and to clinical staff and industry professionals at a London teaching </w:t>
      </w:r>
      <w:r w:rsidR="00585B36" w:rsidRPr="00A77AF6">
        <w:t>hospital</w:t>
      </w:r>
      <w:r w:rsidRPr="00A77AF6">
        <w:t xml:space="preserve"> in </w:t>
      </w:r>
      <w:r w:rsidR="00585B36" w:rsidRPr="00A77AF6">
        <w:t>December</w:t>
      </w:r>
      <w:r w:rsidRPr="00A77AF6">
        <w:t xml:space="preserve"> 2019.</w:t>
      </w:r>
    </w:p>
    <w:p w14:paraId="7CF0FAB0" w14:textId="590B6FE5" w:rsidR="00860B66" w:rsidRPr="00A77AF6" w:rsidRDefault="00860B66" w:rsidP="00901BD7">
      <w:pPr>
        <w:pStyle w:val="Heading2"/>
        <w:spacing w:after="120"/>
        <w:rPr>
          <w:b w:val="0"/>
        </w:rPr>
      </w:pPr>
      <w:bookmarkStart w:id="130" w:name="_Toc36275108"/>
      <w:r w:rsidRPr="00A77AF6">
        <w:t>Demographic</w:t>
      </w:r>
      <w:r w:rsidR="009A45E9" w:rsidRPr="00A77AF6">
        <w:t xml:space="preserve"> and project information</w:t>
      </w:r>
      <w:bookmarkEnd w:id="130"/>
    </w:p>
    <w:p w14:paraId="363E6D22" w14:textId="13ED7670" w:rsidR="006A06BA" w:rsidRPr="00A77AF6" w:rsidRDefault="005C7102" w:rsidP="00112A90">
      <w:pPr>
        <w:spacing w:line="360" w:lineRule="auto"/>
      </w:pPr>
      <w:r w:rsidRPr="00A77AF6">
        <w:t xml:space="preserve">Information on age and gender was collected because the literature identified these as the most important influences on ethical predisposition.  Project information and respondents’ roles within the projects were recorded to provide context.  </w:t>
      </w:r>
      <w:r w:rsidR="009A45E9" w:rsidRPr="00A77AF6">
        <w:t xml:space="preserve">  </w:t>
      </w:r>
    </w:p>
    <w:p w14:paraId="3E6E221B" w14:textId="01EE3CE9" w:rsidR="0073034F" w:rsidRPr="00A77AF6" w:rsidRDefault="0073034F" w:rsidP="00A54E54">
      <w:pPr>
        <w:pStyle w:val="Heading3"/>
        <w:spacing w:after="120"/>
      </w:pPr>
      <w:bookmarkStart w:id="131" w:name="_Toc36275109"/>
      <w:r w:rsidRPr="00A77AF6">
        <w:t>Gender</w:t>
      </w:r>
      <w:bookmarkEnd w:id="131"/>
    </w:p>
    <w:p w14:paraId="221F44AC" w14:textId="5A02E640" w:rsidR="0073034F" w:rsidRPr="00A77AF6" w:rsidRDefault="006A06BA" w:rsidP="00112A90">
      <w:pPr>
        <w:spacing w:line="360" w:lineRule="auto"/>
      </w:pPr>
      <w:r>
        <w:t>Fifty-one</w:t>
      </w:r>
      <w:r w:rsidR="009F74F6" w:rsidRPr="00A77AF6">
        <w:t xml:space="preserve"> respondents gave their gender</w:t>
      </w:r>
      <w:r w:rsidR="00901BD7" w:rsidRPr="00A77AF6">
        <w:t xml:space="preserve">: </w:t>
      </w:r>
      <w:r w:rsidR="008C0F08" w:rsidRPr="00A77AF6">
        <w:t>37</w:t>
      </w:r>
      <w:r w:rsidR="001B6632">
        <w:t xml:space="preserve"> (</w:t>
      </w:r>
      <w:r w:rsidR="008C0F08" w:rsidRPr="00A77AF6">
        <w:t xml:space="preserve">73%) </w:t>
      </w:r>
      <w:r w:rsidR="00901BD7" w:rsidRPr="00A77AF6">
        <w:t xml:space="preserve">were </w:t>
      </w:r>
      <w:r w:rsidR="009F74F6" w:rsidRPr="00A77AF6">
        <w:t xml:space="preserve">male and </w:t>
      </w:r>
      <w:r w:rsidR="008C0F08" w:rsidRPr="00A77AF6">
        <w:t>14</w:t>
      </w:r>
      <w:r w:rsidR="001B6632">
        <w:t xml:space="preserve"> (</w:t>
      </w:r>
      <w:r w:rsidR="008C0F08" w:rsidRPr="00A77AF6">
        <w:t>27%)</w:t>
      </w:r>
      <w:r w:rsidR="009F74F6" w:rsidRPr="00A77AF6">
        <w:t xml:space="preserve"> </w:t>
      </w:r>
      <w:r w:rsidR="00901BD7" w:rsidRPr="00A77AF6">
        <w:t xml:space="preserve">were </w:t>
      </w:r>
      <w:r w:rsidR="009F74F6" w:rsidRPr="00A77AF6">
        <w:t>female</w:t>
      </w:r>
      <w:r>
        <w:t xml:space="preserve">. </w:t>
      </w:r>
    </w:p>
    <w:p w14:paraId="607D37A2" w14:textId="1404C226" w:rsidR="0073034F" w:rsidRPr="00A77AF6" w:rsidRDefault="0073034F" w:rsidP="00A54E54">
      <w:pPr>
        <w:pStyle w:val="Heading3"/>
        <w:spacing w:before="120" w:after="120"/>
      </w:pPr>
      <w:bookmarkStart w:id="132" w:name="_Toc36275110"/>
      <w:r w:rsidRPr="00A77AF6">
        <w:lastRenderedPageBreak/>
        <w:t>Age</w:t>
      </w:r>
      <w:bookmarkEnd w:id="132"/>
    </w:p>
    <w:p w14:paraId="27820163" w14:textId="220A6CDA" w:rsidR="0065401B" w:rsidRPr="00A77AF6" w:rsidRDefault="006A06BA" w:rsidP="00112A90">
      <w:pPr>
        <w:spacing w:line="360" w:lineRule="auto"/>
      </w:pPr>
      <w:r>
        <w:t>Fifty</w:t>
      </w:r>
      <w:r w:rsidR="001920AA">
        <w:t>-one</w:t>
      </w:r>
      <w:r w:rsidR="008E4124" w:rsidRPr="00A77AF6">
        <w:t xml:space="preserve"> responses were received for this question</w:t>
      </w:r>
      <w:r w:rsidR="008C0F08" w:rsidRPr="00A77AF6">
        <w:t xml:space="preserve">.  </w:t>
      </w:r>
      <w:r w:rsidR="0073034F" w:rsidRPr="00A77AF6">
        <w:t>The sample was predominately over 40 years old</w:t>
      </w:r>
      <w:r w:rsidR="008E4124" w:rsidRPr="00A77AF6">
        <w:t xml:space="preserve"> with</w:t>
      </w:r>
      <w:r w:rsidR="0073034F" w:rsidRPr="00A77AF6">
        <w:t xml:space="preserve"> 45</w:t>
      </w:r>
      <w:r w:rsidR="00AE04EB">
        <w:t xml:space="preserve"> (</w:t>
      </w:r>
      <w:r w:rsidR="0073034F" w:rsidRPr="00A77AF6">
        <w:t xml:space="preserve">88%) people </w:t>
      </w:r>
      <w:r w:rsidR="008E4124" w:rsidRPr="00A77AF6">
        <w:t xml:space="preserve">being </w:t>
      </w:r>
      <w:r w:rsidR="0073034F" w:rsidRPr="00A77AF6">
        <w:t xml:space="preserve">40 years old or above and only </w:t>
      </w:r>
      <w:r w:rsidR="00396BC9" w:rsidRPr="00A77AF6">
        <w:t>six (</w:t>
      </w:r>
      <w:r w:rsidR="0073034F" w:rsidRPr="00A77AF6">
        <w:t xml:space="preserve">12%) </w:t>
      </w:r>
      <w:r w:rsidR="00396BC9" w:rsidRPr="00A77AF6">
        <w:t>being</w:t>
      </w:r>
      <w:r w:rsidR="0073034F" w:rsidRPr="00A77AF6">
        <w:t xml:space="preserve"> 39 years or under</w:t>
      </w:r>
      <w:r w:rsidR="00A0188C" w:rsidRPr="00A77AF6">
        <w:t xml:space="preserve">. </w:t>
      </w:r>
      <w:bookmarkStart w:id="133" w:name="_Toc526967356"/>
    </w:p>
    <w:p w14:paraId="083EC4D0" w14:textId="560E2677" w:rsidR="00377388" w:rsidRPr="00A77AF6" w:rsidRDefault="00377388" w:rsidP="009A45E9">
      <w:pPr>
        <w:pStyle w:val="Heading3"/>
      </w:pPr>
      <w:bookmarkStart w:id="134" w:name="_Toc36275111"/>
      <w:bookmarkEnd w:id="133"/>
      <w:r w:rsidRPr="00A77AF6">
        <w:t>Role</w:t>
      </w:r>
      <w:bookmarkEnd w:id="134"/>
      <w:r w:rsidRPr="00A77AF6">
        <w:t xml:space="preserve"> </w:t>
      </w:r>
    </w:p>
    <w:p w14:paraId="179C840B" w14:textId="5C293D0B" w:rsidR="00377388" w:rsidRPr="00A77AF6" w:rsidRDefault="008E4124" w:rsidP="00112A90">
      <w:pPr>
        <w:spacing w:before="120" w:line="360" w:lineRule="auto"/>
      </w:pPr>
      <w:bookmarkStart w:id="135" w:name="_Toc519071675"/>
      <w:r w:rsidRPr="00A77AF6">
        <w:t xml:space="preserve">Respondents were asked to indicate their role within the project.  Most respondents </w:t>
      </w:r>
      <w:r w:rsidR="00713AFA" w:rsidRPr="00A77AF6">
        <w:t>(</w:t>
      </w:r>
      <w:r w:rsidR="0094007D" w:rsidRPr="00A77AF6">
        <w:t>n=</w:t>
      </w:r>
      <w:r w:rsidR="00691A84" w:rsidRPr="00A77AF6">
        <w:t>3</w:t>
      </w:r>
      <w:r w:rsidR="00713AFA" w:rsidRPr="00A77AF6">
        <w:t>9</w:t>
      </w:r>
      <w:r w:rsidR="00112A90" w:rsidRPr="00A77AF6">
        <w:t xml:space="preserve">, </w:t>
      </w:r>
      <w:r w:rsidR="00713AFA" w:rsidRPr="00A77AF6">
        <w:t xml:space="preserve">76%) </w:t>
      </w:r>
      <w:r w:rsidRPr="00A77AF6">
        <w:t>were project managers</w:t>
      </w:r>
      <w:r w:rsidR="00112A90" w:rsidRPr="00A77AF6">
        <w:t xml:space="preserve">/ </w:t>
      </w:r>
      <w:r w:rsidRPr="00A77AF6">
        <w:t xml:space="preserve">project directors. </w:t>
      </w:r>
      <w:r w:rsidR="00713AFA" w:rsidRPr="00A77AF6">
        <w:t xml:space="preserve"> Other roles were project team members, estate representatives and </w:t>
      </w:r>
      <w:r w:rsidR="0094007D" w:rsidRPr="00A77AF6">
        <w:t xml:space="preserve">a </w:t>
      </w:r>
      <w:r w:rsidR="00713AFA" w:rsidRPr="00A77AF6">
        <w:t xml:space="preserve">commissioning manager.  Four respondents did not provide details.  </w:t>
      </w:r>
      <w:r w:rsidR="00112A90" w:rsidRPr="00A77AF6">
        <w:t>Project role</w:t>
      </w:r>
      <w:r w:rsidR="00713AFA" w:rsidRPr="00A77AF6">
        <w:t xml:space="preserve"> might not indicate seniority </w:t>
      </w:r>
      <w:r w:rsidR="0094007D" w:rsidRPr="00A77AF6">
        <w:t>with</w:t>
      </w:r>
      <w:r w:rsidR="00713AFA" w:rsidRPr="00A77AF6">
        <w:t xml:space="preserve">in </w:t>
      </w:r>
      <w:r w:rsidR="0094007D" w:rsidRPr="00A77AF6">
        <w:t>an</w:t>
      </w:r>
      <w:r w:rsidR="00713AFA" w:rsidRPr="00A77AF6">
        <w:t xml:space="preserve"> organisation</w:t>
      </w:r>
      <w:r w:rsidR="0094007D" w:rsidRPr="00A77AF6">
        <w:t xml:space="preserve">, but it does </w:t>
      </w:r>
      <w:r w:rsidR="00112A90" w:rsidRPr="00A77AF6">
        <w:t>indicate seniority</w:t>
      </w:r>
      <w:r w:rsidR="0094007D" w:rsidRPr="00A77AF6">
        <w:t xml:space="preserve"> within the project governance structure</w:t>
      </w:r>
      <w:r w:rsidR="00713AFA" w:rsidRPr="00A77AF6">
        <w:t xml:space="preserve">.  </w:t>
      </w:r>
      <w:r w:rsidR="0094007D" w:rsidRPr="00A77AF6">
        <w:t xml:space="preserve">A project director or project manager is more senior than a project team member within the project environment, for instance.  </w:t>
      </w:r>
      <w:r w:rsidR="00377388" w:rsidRPr="00A77AF6">
        <w:t xml:space="preserve">The roles of the respondents are shown in </w:t>
      </w:r>
      <w:r w:rsidR="00033265" w:rsidRPr="00A77AF6">
        <w:t>T</w:t>
      </w:r>
      <w:r w:rsidR="00377388" w:rsidRPr="00A77AF6">
        <w:t xml:space="preserve">able </w:t>
      </w:r>
      <w:r w:rsidR="00A54E54" w:rsidRPr="00A77AF6">
        <w:t>6-1</w:t>
      </w:r>
      <w:r w:rsidR="00377388" w:rsidRPr="00A77AF6">
        <w:t xml:space="preserve">, below </w:t>
      </w:r>
    </w:p>
    <w:p w14:paraId="143B031A" w14:textId="5A45100E" w:rsidR="0073034F" w:rsidRPr="00A77AF6" w:rsidRDefault="0073034F" w:rsidP="00A54E54">
      <w:pPr>
        <w:pStyle w:val="Caption"/>
        <w:keepNext/>
        <w:spacing w:after="120"/>
      </w:pPr>
      <w:r w:rsidRPr="00A77AF6">
        <w:t xml:space="preserve">Table </w:t>
      </w:r>
      <w:fldSimple w:instr=" STYLEREF 1 \s ">
        <w:r w:rsidR="000441F7">
          <w:rPr>
            <w:noProof/>
          </w:rPr>
          <w:t>6</w:t>
        </w:r>
      </w:fldSimple>
      <w:r w:rsidR="00804112">
        <w:noBreakHyphen/>
      </w:r>
      <w:fldSimple w:instr=" SEQ Table \* ARABIC \s 1 ">
        <w:r w:rsidR="000441F7">
          <w:rPr>
            <w:noProof/>
          </w:rPr>
          <w:t>1</w:t>
        </w:r>
      </w:fldSimple>
      <w:r w:rsidRPr="00A77AF6">
        <w:t>: Project Role</w:t>
      </w:r>
      <w:bookmarkEnd w:id="135"/>
      <w:r w:rsidR="00F66AE9" w:rsidRPr="00A77AF6">
        <w:t xml:space="preserve"> (sample size =51)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17"/>
        <w:gridCol w:w="992"/>
      </w:tblGrid>
      <w:tr w:rsidR="0073034F" w:rsidRPr="00A77AF6" w14:paraId="59CDB7C3" w14:textId="77777777" w:rsidTr="00AF7C46">
        <w:tc>
          <w:tcPr>
            <w:tcW w:w="2689" w:type="dxa"/>
            <w:shd w:val="clear" w:color="auto" w:fill="D9D9D9" w:themeFill="background1" w:themeFillShade="D9"/>
          </w:tcPr>
          <w:p w14:paraId="36F2AEA6" w14:textId="77777777" w:rsidR="0073034F" w:rsidRPr="00A77AF6" w:rsidRDefault="0073034F" w:rsidP="008B788E">
            <w:pPr>
              <w:spacing w:after="120" w:line="240" w:lineRule="auto"/>
              <w:rPr>
                <w:b/>
                <w:sz w:val="20"/>
              </w:rPr>
            </w:pPr>
            <w:r w:rsidRPr="00A77AF6">
              <w:rPr>
                <w:b/>
                <w:sz w:val="20"/>
              </w:rPr>
              <w:t>Role</w:t>
            </w:r>
          </w:p>
        </w:tc>
        <w:tc>
          <w:tcPr>
            <w:tcW w:w="1417" w:type="dxa"/>
            <w:shd w:val="clear" w:color="auto" w:fill="D9D9D9" w:themeFill="background1" w:themeFillShade="D9"/>
          </w:tcPr>
          <w:p w14:paraId="1722E49C" w14:textId="77777777" w:rsidR="0073034F" w:rsidRPr="00A77AF6" w:rsidRDefault="0073034F" w:rsidP="008B788E">
            <w:pPr>
              <w:spacing w:after="120" w:line="240" w:lineRule="auto"/>
              <w:rPr>
                <w:b/>
                <w:sz w:val="20"/>
              </w:rPr>
            </w:pPr>
            <w:r w:rsidRPr="00A77AF6">
              <w:rPr>
                <w:b/>
                <w:sz w:val="20"/>
              </w:rPr>
              <w:t>Number</w:t>
            </w:r>
          </w:p>
        </w:tc>
        <w:tc>
          <w:tcPr>
            <w:tcW w:w="992" w:type="dxa"/>
            <w:shd w:val="clear" w:color="auto" w:fill="D9D9D9" w:themeFill="background1" w:themeFillShade="D9"/>
          </w:tcPr>
          <w:p w14:paraId="30A8E108" w14:textId="77777777" w:rsidR="0073034F" w:rsidRPr="00A77AF6" w:rsidRDefault="0073034F" w:rsidP="008B788E">
            <w:pPr>
              <w:spacing w:after="120" w:line="240" w:lineRule="auto"/>
              <w:rPr>
                <w:b/>
                <w:sz w:val="20"/>
              </w:rPr>
            </w:pPr>
            <w:r w:rsidRPr="00A77AF6">
              <w:rPr>
                <w:b/>
                <w:sz w:val="20"/>
              </w:rPr>
              <w:t>%</w:t>
            </w:r>
          </w:p>
        </w:tc>
      </w:tr>
      <w:tr w:rsidR="0073034F" w:rsidRPr="00A77AF6" w14:paraId="0617F414" w14:textId="77777777" w:rsidTr="00AF7C46">
        <w:tc>
          <w:tcPr>
            <w:tcW w:w="2689" w:type="dxa"/>
          </w:tcPr>
          <w:p w14:paraId="440F9519" w14:textId="77777777" w:rsidR="0073034F" w:rsidRPr="00A77AF6" w:rsidRDefault="0073034F" w:rsidP="008B788E">
            <w:pPr>
              <w:spacing w:after="120" w:line="240" w:lineRule="auto"/>
              <w:rPr>
                <w:sz w:val="20"/>
              </w:rPr>
            </w:pPr>
            <w:r w:rsidRPr="00A77AF6">
              <w:rPr>
                <w:sz w:val="20"/>
              </w:rPr>
              <w:t>Project Manager</w:t>
            </w:r>
          </w:p>
        </w:tc>
        <w:tc>
          <w:tcPr>
            <w:tcW w:w="1417" w:type="dxa"/>
          </w:tcPr>
          <w:p w14:paraId="24D7B115" w14:textId="77777777" w:rsidR="0073034F" w:rsidRPr="00A77AF6" w:rsidRDefault="0073034F" w:rsidP="008B788E">
            <w:pPr>
              <w:spacing w:after="120" w:line="240" w:lineRule="auto"/>
              <w:rPr>
                <w:sz w:val="20"/>
              </w:rPr>
            </w:pPr>
            <w:r w:rsidRPr="00A77AF6">
              <w:rPr>
                <w:sz w:val="20"/>
              </w:rPr>
              <w:t>23</w:t>
            </w:r>
          </w:p>
        </w:tc>
        <w:tc>
          <w:tcPr>
            <w:tcW w:w="992" w:type="dxa"/>
          </w:tcPr>
          <w:p w14:paraId="01B133AC" w14:textId="77777777" w:rsidR="0073034F" w:rsidRPr="00A77AF6" w:rsidRDefault="0073034F" w:rsidP="008B788E">
            <w:pPr>
              <w:spacing w:after="120" w:line="240" w:lineRule="auto"/>
              <w:rPr>
                <w:sz w:val="20"/>
              </w:rPr>
            </w:pPr>
            <w:r w:rsidRPr="00A77AF6">
              <w:rPr>
                <w:sz w:val="20"/>
              </w:rPr>
              <w:t>45</w:t>
            </w:r>
          </w:p>
        </w:tc>
      </w:tr>
      <w:tr w:rsidR="0073034F" w:rsidRPr="00A77AF6" w14:paraId="28A67950" w14:textId="77777777" w:rsidTr="00AF7C46">
        <w:tc>
          <w:tcPr>
            <w:tcW w:w="2689" w:type="dxa"/>
          </w:tcPr>
          <w:p w14:paraId="5FFB4549" w14:textId="77777777" w:rsidR="0073034F" w:rsidRPr="00A77AF6" w:rsidRDefault="0073034F" w:rsidP="008B788E">
            <w:pPr>
              <w:spacing w:after="120" w:line="240" w:lineRule="auto"/>
              <w:rPr>
                <w:sz w:val="20"/>
              </w:rPr>
            </w:pPr>
            <w:r w:rsidRPr="00A77AF6">
              <w:rPr>
                <w:sz w:val="20"/>
              </w:rPr>
              <w:t>Project Director</w:t>
            </w:r>
          </w:p>
        </w:tc>
        <w:tc>
          <w:tcPr>
            <w:tcW w:w="1417" w:type="dxa"/>
          </w:tcPr>
          <w:p w14:paraId="459DDDD2" w14:textId="77777777" w:rsidR="0073034F" w:rsidRPr="00A77AF6" w:rsidRDefault="0073034F" w:rsidP="008B788E">
            <w:pPr>
              <w:spacing w:after="120" w:line="240" w:lineRule="auto"/>
              <w:rPr>
                <w:sz w:val="20"/>
              </w:rPr>
            </w:pPr>
            <w:r w:rsidRPr="00A77AF6">
              <w:rPr>
                <w:sz w:val="20"/>
              </w:rPr>
              <w:t>16</w:t>
            </w:r>
          </w:p>
        </w:tc>
        <w:tc>
          <w:tcPr>
            <w:tcW w:w="992" w:type="dxa"/>
          </w:tcPr>
          <w:p w14:paraId="5453A9D0" w14:textId="77777777" w:rsidR="0073034F" w:rsidRPr="00A77AF6" w:rsidRDefault="0073034F" w:rsidP="008B788E">
            <w:pPr>
              <w:spacing w:after="120" w:line="240" w:lineRule="auto"/>
              <w:rPr>
                <w:sz w:val="20"/>
              </w:rPr>
            </w:pPr>
            <w:r w:rsidRPr="00A77AF6">
              <w:rPr>
                <w:sz w:val="20"/>
              </w:rPr>
              <w:t>31</w:t>
            </w:r>
          </w:p>
        </w:tc>
      </w:tr>
      <w:tr w:rsidR="0073034F" w:rsidRPr="00A77AF6" w14:paraId="14680839" w14:textId="77777777" w:rsidTr="00AF7C46">
        <w:tc>
          <w:tcPr>
            <w:tcW w:w="2689" w:type="dxa"/>
          </w:tcPr>
          <w:p w14:paraId="1588C95B" w14:textId="77777777" w:rsidR="0073034F" w:rsidRPr="00A77AF6" w:rsidRDefault="0073034F" w:rsidP="008B788E">
            <w:pPr>
              <w:spacing w:after="120" w:line="240" w:lineRule="auto"/>
              <w:rPr>
                <w:sz w:val="20"/>
              </w:rPr>
            </w:pPr>
            <w:r w:rsidRPr="00A77AF6">
              <w:rPr>
                <w:sz w:val="20"/>
              </w:rPr>
              <w:t>Project team member</w:t>
            </w:r>
          </w:p>
        </w:tc>
        <w:tc>
          <w:tcPr>
            <w:tcW w:w="1417" w:type="dxa"/>
          </w:tcPr>
          <w:p w14:paraId="3BA172FD" w14:textId="77777777" w:rsidR="0073034F" w:rsidRPr="00A77AF6" w:rsidRDefault="0073034F" w:rsidP="008B788E">
            <w:pPr>
              <w:spacing w:after="120" w:line="240" w:lineRule="auto"/>
              <w:rPr>
                <w:sz w:val="20"/>
              </w:rPr>
            </w:pPr>
            <w:r w:rsidRPr="00A77AF6">
              <w:rPr>
                <w:sz w:val="20"/>
              </w:rPr>
              <w:t>4</w:t>
            </w:r>
          </w:p>
        </w:tc>
        <w:tc>
          <w:tcPr>
            <w:tcW w:w="992" w:type="dxa"/>
          </w:tcPr>
          <w:p w14:paraId="3BC51FF7" w14:textId="77777777" w:rsidR="0073034F" w:rsidRPr="00A77AF6" w:rsidRDefault="0073034F" w:rsidP="008B788E">
            <w:pPr>
              <w:spacing w:after="120" w:line="240" w:lineRule="auto"/>
              <w:rPr>
                <w:sz w:val="20"/>
              </w:rPr>
            </w:pPr>
            <w:r w:rsidRPr="00A77AF6">
              <w:rPr>
                <w:sz w:val="20"/>
              </w:rPr>
              <w:t>8</w:t>
            </w:r>
          </w:p>
        </w:tc>
      </w:tr>
      <w:tr w:rsidR="0073034F" w:rsidRPr="00A77AF6" w14:paraId="4F8038F8" w14:textId="77777777" w:rsidTr="00AF7C46">
        <w:tc>
          <w:tcPr>
            <w:tcW w:w="2689" w:type="dxa"/>
          </w:tcPr>
          <w:p w14:paraId="76101CBD" w14:textId="77777777" w:rsidR="0073034F" w:rsidRPr="00A77AF6" w:rsidRDefault="0073034F" w:rsidP="008B788E">
            <w:pPr>
              <w:spacing w:after="120" w:line="240" w:lineRule="auto"/>
              <w:rPr>
                <w:sz w:val="20"/>
              </w:rPr>
            </w:pPr>
            <w:r w:rsidRPr="00A77AF6">
              <w:rPr>
                <w:sz w:val="20"/>
              </w:rPr>
              <w:t>Estate representative</w:t>
            </w:r>
          </w:p>
        </w:tc>
        <w:tc>
          <w:tcPr>
            <w:tcW w:w="1417" w:type="dxa"/>
          </w:tcPr>
          <w:p w14:paraId="632B7B0A" w14:textId="77777777" w:rsidR="0073034F" w:rsidRPr="00A77AF6" w:rsidRDefault="0073034F" w:rsidP="008B788E">
            <w:pPr>
              <w:spacing w:after="120" w:line="240" w:lineRule="auto"/>
              <w:rPr>
                <w:sz w:val="20"/>
              </w:rPr>
            </w:pPr>
            <w:r w:rsidRPr="00A77AF6">
              <w:rPr>
                <w:sz w:val="20"/>
              </w:rPr>
              <w:t>3</w:t>
            </w:r>
          </w:p>
        </w:tc>
        <w:tc>
          <w:tcPr>
            <w:tcW w:w="992" w:type="dxa"/>
          </w:tcPr>
          <w:p w14:paraId="161C1C8E" w14:textId="77777777" w:rsidR="0073034F" w:rsidRPr="00A77AF6" w:rsidRDefault="0073034F" w:rsidP="008B788E">
            <w:pPr>
              <w:spacing w:after="120" w:line="240" w:lineRule="auto"/>
              <w:rPr>
                <w:sz w:val="20"/>
              </w:rPr>
            </w:pPr>
            <w:r w:rsidRPr="00A77AF6">
              <w:rPr>
                <w:sz w:val="20"/>
              </w:rPr>
              <w:t>6</w:t>
            </w:r>
          </w:p>
        </w:tc>
      </w:tr>
      <w:tr w:rsidR="0073034F" w:rsidRPr="00A77AF6" w14:paraId="31D4B3F4" w14:textId="77777777" w:rsidTr="00AF7C46">
        <w:tc>
          <w:tcPr>
            <w:tcW w:w="2689" w:type="dxa"/>
          </w:tcPr>
          <w:p w14:paraId="05166394" w14:textId="77777777" w:rsidR="0073034F" w:rsidRPr="00A77AF6" w:rsidRDefault="0073034F" w:rsidP="008B788E">
            <w:pPr>
              <w:spacing w:after="120" w:line="240" w:lineRule="auto"/>
              <w:rPr>
                <w:sz w:val="20"/>
              </w:rPr>
            </w:pPr>
            <w:r w:rsidRPr="00A77AF6">
              <w:rPr>
                <w:sz w:val="20"/>
              </w:rPr>
              <w:t>Commissioning manager</w:t>
            </w:r>
          </w:p>
        </w:tc>
        <w:tc>
          <w:tcPr>
            <w:tcW w:w="1417" w:type="dxa"/>
          </w:tcPr>
          <w:p w14:paraId="46F6E44E" w14:textId="77777777" w:rsidR="0073034F" w:rsidRPr="00A77AF6" w:rsidRDefault="0073034F" w:rsidP="008B788E">
            <w:pPr>
              <w:spacing w:after="120" w:line="240" w:lineRule="auto"/>
              <w:rPr>
                <w:sz w:val="20"/>
              </w:rPr>
            </w:pPr>
            <w:r w:rsidRPr="00A77AF6">
              <w:rPr>
                <w:sz w:val="20"/>
              </w:rPr>
              <w:t>1</w:t>
            </w:r>
          </w:p>
        </w:tc>
        <w:tc>
          <w:tcPr>
            <w:tcW w:w="992" w:type="dxa"/>
          </w:tcPr>
          <w:p w14:paraId="08A15F61" w14:textId="77777777" w:rsidR="0073034F" w:rsidRPr="00A77AF6" w:rsidRDefault="0073034F" w:rsidP="008B788E">
            <w:pPr>
              <w:spacing w:after="120" w:line="240" w:lineRule="auto"/>
              <w:rPr>
                <w:sz w:val="20"/>
              </w:rPr>
            </w:pPr>
            <w:r w:rsidRPr="00A77AF6">
              <w:rPr>
                <w:sz w:val="20"/>
              </w:rPr>
              <w:t>2</w:t>
            </w:r>
          </w:p>
        </w:tc>
      </w:tr>
      <w:tr w:rsidR="0073034F" w:rsidRPr="00A77AF6" w14:paraId="51E35F2B" w14:textId="77777777" w:rsidTr="00AF7C46">
        <w:tc>
          <w:tcPr>
            <w:tcW w:w="2689" w:type="dxa"/>
          </w:tcPr>
          <w:p w14:paraId="48085575" w14:textId="77777777" w:rsidR="0073034F" w:rsidRPr="00A77AF6" w:rsidRDefault="0073034F" w:rsidP="008B788E">
            <w:pPr>
              <w:spacing w:after="120" w:line="240" w:lineRule="auto"/>
              <w:rPr>
                <w:sz w:val="20"/>
              </w:rPr>
            </w:pPr>
            <w:r w:rsidRPr="00A77AF6">
              <w:rPr>
                <w:sz w:val="20"/>
              </w:rPr>
              <w:t>Other (unspecified)</w:t>
            </w:r>
          </w:p>
        </w:tc>
        <w:tc>
          <w:tcPr>
            <w:tcW w:w="1417" w:type="dxa"/>
          </w:tcPr>
          <w:p w14:paraId="02C33DBA" w14:textId="77777777" w:rsidR="0073034F" w:rsidRPr="00A77AF6" w:rsidRDefault="0073034F" w:rsidP="008B788E">
            <w:pPr>
              <w:spacing w:after="120" w:line="240" w:lineRule="auto"/>
              <w:rPr>
                <w:sz w:val="20"/>
              </w:rPr>
            </w:pPr>
            <w:r w:rsidRPr="00A77AF6">
              <w:rPr>
                <w:sz w:val="20"/>
              </w:rPr>
              <w:t>4</w:t>
            </w:r>
          </w:p>
        </w:tc>
        <w:tc>
          <w:tcPr>
            <w:tcW w:w="992" w:type="dxa"/>
          </w:tcPr>
          <w:p w14:paraId="1723C258" w14:textId="77777777" w:rsidR="0073034F" w:rsidRPr="00A77AF6" w:rsidRDefault="0073034F" w:rsidP="008B788E">
            <w:pPr>
              <w:spacing w:after="120" w:line="240" w:lineRule="auto"/>
              <w:rPr>
                <w:sz w:val="20"/>
              </w:rPr>
            </w:pPr>
            <w:r w:rsidRPr="00A77AF6">
              <w:rPr>
                <w:sz w:val="20"/>
              </w:rPr>
              <w:t>8</w:t>
            </w:r>
          </w:p>
        </w:tc>
      </w:tr>
      <w:tr w:rsidR="0073034F" w:rsidRPr="00A77AF6" w14:paraId="19C3FE82" w14:textId="77777777" w:rsidTr="00AF7C46">
        <w:tc>
          <w:tcPr>
            <w:tcW w:w="2689" w:type="dxa"/>
          </w:tcPr>
          <w:p w14:paraId="1AC6E41E" w14:textId="77777777" w:rsidR="0073034F" w:rsidRPr="00A77AF6" w:rsidRDefault="0073034F" w:rsidP="008B788E">
            <w:pPr>
              <w:spacing w:after="120" w:line="240" w:lineRule="auto"/>
              <w:rPr>
                <w:sz w:val="20"/>
              </w:rPr>
            </w:pPr>
            <w:r w:rsidRPr="00A77AF6">
              <w:rPr>
                <w:sz w:val="20"/>
              </w:rPr>
              <w:t xml:space="preserve">Total </w:t>
            </w:r>
          </w:p>
        </w:tc>
        <w:tc>
          <w:tcPr>
            <w:tcW w:w="1417" w:type="dxa"/>
          </w:tcPr>
          <w:p w14:paraId="5B2A112A" w14:textId="77777777" w:rsidR="0073034F" w:rsidRPr="00A77AF6" w:rsidRDefault="0073034F" w:rsidP="008B788E">
            <w:pPr>
              <w:spacing w:after="120" w:line="240" w:lineRule="auto"/>
              <w:rPr>
                <w:sz w:val="20"/>
              </w:rPr>
            </w:pPr>
            <w:r w:rsidRPr="00A77AF6">
              <w:rPr>
                <w:sz w:val="20"/>
              </w:rPr>
              <w:t>51</w:t>
            </w:r>
          </w:p>
        </w:tc>
        <w:tc>
          <w:tcPr>
            <w:tcW w:w="992" w:type="dxa"/>
          </w:tcPr>
          <w:p w14:paraId="77E14FEC" w14:textId="77777777" w:rsidR="0073034F" w:rsidRPr="00A77AF6" w:rsidRDefault="0073034F" w:rsidP="008B788E">
            <w:pPr>
              <w:spacing w:after="120" w:line="240" w:lineRule="auto"/>
              <w:rPr>
                <w:sz w:val="20"/>
              </w:rPr>
            </w:pPr>
            <w:r w:rsidRPr="00A77AF6">
              <w:rPr>
                <w:sz w:val="20"/>
              </w:rPr>
              <w:t>100</w:t>
            </w:r>
          </w:p>
        </w:tc>
      </w:tr>
    </w:tbl>
    <w:p w14:paraId="23D86FBC" w14:textId="1F96BA55" w:rsidR="006A7527" w:rsidRPr="00A77AF6" w:rsidRDefault="006A7527" w:rsidP="006A7527"/>
    <w:p w14:paraId="2E655EC8" w14:textId="64A32D3E" w:rsidR="009A45E9" w:rsidRPr="00A77AF6" w:rsidRDefault="00481A82" w:rsidP="00112A90">
      <w:pPr>
        <w:pStyle w:val="Heading3"/>
        <w:spacing w:after="120"/>
      </w:pPr>
      <w:bookmarkStart w:id="136" w:name="_Toc36275112"/>
      <w:bookmarkStart w:id="137" w:name="_Toc519071676"/>
      <w:r w:rsidRPr="00A77AF6">
        <w:t>Project c</w:t>
      </w:r>
      <w:r w:rsidR="009A45E9" w:rsidRPr="00A77AF6">
        <w:t>ompletion date</w:t>
      </w:r>
      <w:bookmarkEnd w:id="136"/>
    </w:p>
    <w:p w14:paraId="5E1580F2" w14:textId="7B238E43" w:rsidR="00A54E54" w:rsidRPr="00A77AF6" w:rsidRDefault="004E0D02" w:rsidP="002D2211">
      <w:pPr>
        <w:spacing w:line="360" w:lineRule="auto"/>
      </w:pPr>
      <w:r w:rsidRPr="00A77AF6">
        <w:t>Respondents were asked to state when the</w:t>
      </w:r>
      <w:r w:rsidR="00354EE1" w:rsidRPr="00A77AF6">
        <w:t xml:space="preserve">ir </w:t>
      </w:r>
      <w:r w:rsidRPr="00A77AF6">
        <w:t xml:space="preserve">project </w:t>
      </w:r>
      <w:r w:rsidR="00354EE1" w:rsidRPr="00A77AF6">
        <w:t xml:space="preserve">was </w:t>
      </w:r>
      <w:r w:rsidRPr="00A77AF6">
        <w:t>completed</w:t>
      </w:r>
      <w:r w:rsidR="004D53BF" w:rsidRPr="00A77AF6">
        <w:t xml:space="preserve"> in order to </w:t>
      </w:r>
      <w:r w:rsidR="0043341F" w:rsidRPr="00A77AF6">
        <w:t xml:space="preserve">know the </w:t>
      </w:r>
      <w:r w:rsidR="004C2058" w:rsidRPr="00A77AF6">
        <w:t xml:space="preserve">age of projects and </w:t>
      </w:r>
      <w:r w:rsidR="0043341F" w:rsidRPr="00A77AF6">
        <w:t xml:space="preserve">to know </w:t>
      </w:r>
      <w:r w:rsidR="004C2058" w:rsidRPr="00A77AF6">
        <w:t xml:space="preserve">how far back respondents were remembering facts about their project.  </w:t>
      </w:r>
      <w:r w:rsidR="004D53BF" w:rsidRPr="00A77AF6">
        <w:t xml:space="preserve"> </w:t>
      </w:r>
      <w:r w:rsidR="0022048C" w:rsidRPr="00A77AF6">
        <w:t xml:space="preserve"> </w:t>
      </w:r>
      <w:r w:rsidR="00A54E54" w:rsidRPr="00A77AF6">
        <w:t xml:space="preserve">Thirty-nine </w:t>
      </w:r>
      <w:r w:rsidR="002D2211" w:rsidRPr="00A77AF6">
        <w:t>(</w:t>
      </w:r>
      <w:r w:rsidR="00A54E54" w:rsidRPr="00A77AF6">
        <w:t xml:space="preserve">77%) projects were completed </w:t>
      </w:r>
      <w:r w:rsidR="002D2211" w:rsidRPr="00A77AF6">
        <w:t xml:space="preserve">between </w:t>
      </w:r>
      <w:r w:rsidR="00A54E54" w:rsidRPr="00A77AF6">
        <w:t>2014</w:t>
      </w:r>
      <w:r w:rsidR="002D2211" w:rsidRPr="00A77AF6">
        <w:t xml:space="preserve"> and 20</w:t>
      </w:r>
      <w:r w:rsidR="00A54E54" w:rsidRPr="00A77AF6">
        <w:t xml:space="preserve">18 inclusive, so are relatively new.  </w:t>
      </w:r>
      <w:r w:rsidR="00EB2A8E">
        <w:t>Ten</w:t>
      </w:r>
      <w:r w:rsidR="00A54E54" w:rsidRPr="00A77AF6">
        <w:t xml:space="preserve"> (20%) were completed between 2000 and 2013 (inclusive) and details were not provided for </w:t>
      </w:r>
      <w:r w:rsidR="00B41627">
        <w:t>three</w:t>
      </w:r>
      <w:r w:rsidR="00A54E54" w:rsidRPr="00A77AF6">
        <w:t xml:space="preserve"> projects</w:t>
      </w:r>
      <w:r w:rsidR="002D2211" w:rsidRPr="00A77AF6">
        <w:t xml:space="preserve"> (Table 6-2)</w:t>
      </w:r>
      <w:r w:rsidR="00A54E54" w:rsidRPr="00A77AF6">
        <w:t xml:space="preserve">.  </w:t>
      </w:r>
    </w:p>
    <w:p w14:paraId="0C2D5D81" w14:textId="77777777" w:rsidR="00112A90" w:rsidRPr="00A77AF6" w:rsidRDefault="00112A90">
      <w:r w:rsidRPr="00A77AF6">
        <w:br w:type="page"/>
      </w:r>
    </w:p>
    <w:p w14:paraId="2CB02815" w14:textId="009C1B62" w:rsidR="0073034F" w:rsidRPr="00A77AF6" w:rsidRDefault="0073034F" w:rsidP="0007452B">
      <w:pPr>
        <w:pStyle w:val="Caption"/>
        <w:keepNext/>
        <w:spacing w:after="120"/>
      </w:pPr>
      <w:r w:rsidRPr="00A77AF6">
        <w:lastRenderedPageBreak/>
        <w:t xml:space="preserve">Table </w:t>
      </w:r>
      <w:fldSimple w:instr=" STYLEREF 1 \s ">
        <w:r w:rsidR="000441F7">
          <w:rPr>
            <w:noProof/>
          </w:rPr>
          <w:t>6</w:t>
        </w:r>
      </w:fldSimple>
      <w:r w:rsidR="00804112">
        <w:noBreakHyphen/>
      </w:r>
      <w:fldSimple w:instr=" SEQ Table \* ARABIC \s 1 ">
        <w:r w:rsidR="000441F7">
          <w:rPr>
            <w:noProof/>
          </w:rPr>
          <w:t>2</w:t>
        </w:r>
      </w:fldSimple>
      <w:r w:rsidRPr="00A77AF6">
        <w:t>: Project completion date</w:t>
      </w:r>
      <w:bookmarkEnd w:id="137"/>
      <w:r w:rsidR="00F66AE9" w:rsidRPr="00A77AF6">
        <w:t xml:space="preserve"> (sample size =51)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126"/>
        <w:gridCol w:w="1417"/>
      </w:tblGrid>
      <w:tr w:rsidR="0073034F" w:rsidRPr="00A77AF6" w14:paraId="0CE70C56" w14:textId="77777777" w:rsidTr="001B5BF4">
        <w:tc>
          <w:tcPr>
            <w:tcW w:w="2689" w:type="dxa"/>
            <w:shd w:val="clear" w:color="auto" w:fill="D9D9D9" w:themeFill="background1" w:themeFillShade="D9"/>
          </w:tcPr>
          <w:p w14:paraId="7CFE684B" w14:textId="77777777" w:rsidR="0073034F" w:rsidRPr="00A77AF6" w:rsidRDefault="0073034F" w:rsidP="008B788E">
            <w:pPr>
              <w:spacing w:after="120" w:line="240" w:lineRule="auto"/>
              <w:rPr>
                <w:rFonts w:cstheme="minorHAnsi"/>
                <w:b/>
                <w:sz w:val="18"/>
                <w:szCs w:val="20"/>
              </w:rPr>
            </w:pPr>
            <w:r w:rsidRPr="00A77AF6">
              <w:rPr>
                <w:rFonts w:cstheme="minorHAnsi"/>
                <w:b/>
                <w:sz w:val="18"/>
                <w:szCs w:val="20"/>
              </w:rPr>
              <w:t>Project completion date</w:t>
            </w:r>
          </w:p>
        </w:tc>
        <w:tc>
          <w:tcPr>
            <w:tcW w:w="2126" w:type="dxa"/>
            <w:shd w:val="clear" w:color="auto" w:fill="D9D9D9" w:themeFill="background1" w:themeFillShade="D9"/>
          </w:tcPr>
          <w:p w14:paraId="46F40E11" w14:textId="3B8C163E" w:rsidR="0073034F" w:rsidRPr="00A77AF6" w:rsidRDefault="0073034F" w:rsidP="008B788E">
            <w:pPr>
              <w:spacing w:after="120" w:line="240" w:lineRule="auto"/>
              <w:rPr>
                <w:rFonts w:cstheme="minorHAnsi"/>
                <w:b/>
                <w:sz w:val="18"/>
                <w:szCs w:val="20"/>
              </w:rPr>
            </w:pPr>
            <w:r w:rsidRPr="00A77AF6">
              <w:rPr>
                <w:rFonts w:cstheme="minorHAnsi"/>
                <w:b/>
                <w:sz w:val="18"/>
                <w:szCs w:val="20"/>
              </w:rPr>
              <w:t>Number</w:t>
            </w:r>
            <w:r w:rsidR="001B5BF4" w:rsidRPr="00A77AF6">
              <w:rPr>
                <w:rFonts w:cstheme="minorHAnsi"/>
                <w:b/>
                <w:sz w:val="18"/>
                <w:szCs w:val="20"/>
              </w:rPr>
              <w:t xml:space="preserve"> of projects</w:t>
            </w:r>
          </w:p>
        </w:tc>
        <w:tc>
          <w:tcPr>
            <w:tcW w:w="1417" w:type="dxa"/>
            <w:shd w:val="clear" w:color="auto" w:fill="D9D9D9" w:themeFill="background1" w:themeFillShade="D9"/>
          </w:tcPr>
          <w:p w14:paraId="1BCC6FBB" w14:textId="77777777" w:rsidR="0073034F" w:rsidRPr="00A77AF6" w:rsidRDefault="0073034F" w:rsidP="008B788E">
            <w:pPr>
              <w:spacing w:after="120" w:line="240" w:lineRule="auto"/>
              <w:rPr>
                <w:rFonts w:cstheme="minorHAnsi"/>
                <w:b/>
                <w:sz w:val="18"/>
                <w:szCs w:val="20"/>
              </w:rPr>
            </w:pPr>
            <w:r w:rsidRPr="00A77AF6">
              <w:rPr>
                <w:rFonts w:cstheme="minorHAnsi"/>
                <w:b/>
                <w:sz w:val="18"/>
                <w:szCs w:val="20"/>
              </w:rPr>
              <w:t>%</w:t>
            </w:r>
          </w:p>
        </w:tc>
      </w:tr>
      <w:tr w:rsidR="0073034F" w:rsidRPr="00A77AF6" w14:paraId="31F2D821" w14:textId="77777777" w:rsidTr="001B5BF4">
        <w:tc>
          <w:tcPr>
            <w:tcW w:w="2689" w:type="dxa"/>
          </w:tcPr>
          <w:p w14:paraId="16D109F3"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2000</w:t>
            </w:r>
          </w:p>
        </w:tc>
        <w:tc>
          <w:tcPr>
            <w:tcW w:w="2126" w:type="dxa"/>
          </w:tcPr>
          <w:p w14:paraId="6C77666C"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1</w:t>
            </w:r>
          </w:p>
        </w:tc>
        <w:tc>
          <w:tcPr>
            <w:tcW w:w="1417" w:type="dxa"/>
          </w:tcPr>
          <w:p w14:paraId="3BA13173"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2</w:t>
            </w:r>
          </w:p>
        </w:tc>
      </w:tr>
      <w:tr w:rsidR="0073034F" w:rsidRPr="00A77AF6" w14:paraId="73971C07" w14:textId="77777777" w:rsidTr="001B5BF4">
        <w:tc>
          <w:tcPr>
            <w:tcW w:w="2689" w:type="dxa"/>
          </w:tcPr>
          <w:p w14:paraId="4C5A2B2D"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2006</w:t>
            </w:r>
          </w:p>
        </w:tc>
        <w:tc>
          <w:tcPr>
            <w:tcW w:w="2126" w:type="dxa"/>
          </w:tcPr>
          <w:p w14:paraId="3A37383D"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1</w:t>
            </w:r>
          </w:p>
        </w:tc>
        <w:tc>
          <w:tcPr>
            <w:tcW w:w="1417" w:type="dxa"/>
          </w:tcPr>
          <w:p w14:paraId="73753C4C"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2</w:t>
            </w:r>
          </w:p>
        </w:tc>
      </w:tr>
      <w:tr w:rsidR="0073034F" w:rsidRPr="00A77AF6" w14:paraId="50B3A830" w14:textId="77777777" w:rsidTr="001B5BF4">
        <w:tc>
          <w:tcPr>
            <w:tcW w:w="2689" w:type="dxa"/>
          </w:tcPr>
          <w:p w14:paraId="071B3275"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2008</w:t>
            </w:r>
          </w:p>
        </w:tc>
        <w:tc>
          <w:tcPr>
            <w:tcW w:w="2126" w:type="dxa"/>
          </w:tcPr>
          <w:p w14:paraId="396B53FF"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1</w:t>
            </w:r>
          </w:p>
        </w:tc>
        <w:tc>
          <w:tcPr>
            <w:tcW w:w="1417" w:type="dxa"/>
          </w:tcPr>
          <w:p w14:paraId="65823EE4"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2</w:t>
            </w:r>
          </w:p>
        </w:tc>
      </w:tr>
      <w:tr w:rsidR="0073034F" w:rsidRPr="00A77AF6" w14:paraId="261EC8B1" w14:textId="77777777" w:rsidTr="001B5BF4">
        <w:tc>
          <w:tcPr>
            <w:tcW w:w="2689" w:type="dxa"/>
          </w:tcPr>
          <w:p w14:paraId="174820D7"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2009</w:t>
            </w:r>
          </w:p>
        </w:tc>
        <w:tc>
          <w:tcPr>
            <w:tcW w:w="2126" w:type="dxa"/>
          </w:tcPr>
          <w:p w14:paraId="4520A50F"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1</w:t>
            </w:r>
          </w:p>
        </w:tc>
        <w:tc>
          <w:tcPr>
            <w:tcW w:w="1417" w:type="dxa"/>
          </w:tcPr>
          <w:p w14:paraId="1068F8D5"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2</w:t>
            </w:r>
          </w:p>
        </w:tc>
      </w:tr>
      <w:tr w:rsidR="0073034F" w:rsidRPr="00A77AF6" w14:paraId="1561EE51" w14:textId="77777777" w:rsidTr="001B5BF4">
        <w:tc>
          <w:tcPr>
            <w:tcW w:w="2689" w:type="dxa"/>
          </w:tcPr>
          <w:p w14:paraId="0605E274"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2010</w:t>
            </w:r>
          </w:p>
        </w:tc>
        <w:tc>
          <w:tcPr>
            <w:tcW w:w="2126" w:type="dxa"/>
          </w:tcPr>
          <w:p w14:paraId="2ACD3FCD"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1</w:t>
            </w:r>
          </w:p>
        </w:tc>
        <w:tc>
          <w:tcPr>
            <w:tcW w:w="1417" w:type="dxa"/>
          </w:tcPr>
          <w:p w14:paraId="1F157623"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2</w:t>
            </w:r>
          </w:p>
        </w:tc>
      </w:tr>
      <w:tr w:rsidR="0073034F" w:rsidRPr="00A77AF6" w14:paraId="0F25300B" w14:textId="77777777" w:rsidTr="001B5BF4">
        <w:tc>
          <w:tcPr>
            <w:tcW w:w="2689" w:type="dxa"/>
          </w:tcPr>
          <w:p w14:paraId="6900457B"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2011</w:t>
            </w:r>
          </w:p>
        </w:tc>
        <w:tc>
          <w:tcPr>
            <w:tcW w:w="2126" w:type="dxa"/>
          </w:tcPr>
          <w:p w14:paraId="4A767865"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1</w:t>
            </w:r>
          </w:p>
        </w:tc>
        <w:tc>
          <w:tcPr>
            <w:tcW w:w="1417" w:type="dxa"/>
          </w:tcPr>
          <w:p w14:paraId="3DF58612"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2</w:t>
            </w:r>
          </w:p>
        </w:tc>
      </w:tr>
      <w:tr w:rsidR="0073034F" w:rsidRPr="00A77AF6" w14:paraId="7A21E5F7" w14:textId="77777777" w:rsidTr="001B5BF4">
        <w:tc>
          <w:tcPr>
            <w:tcW w:w="2689" w:type="dxa"/>
          </w:tcPr>
          <w:p w14:paraId="20B0BEC2"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2012</w:t>
            </w:r>
          </w:p>
        </w:tc>
        <w:tc>
          <w:tcPr>
            <w:tcW w:w="2126" w:type="dxa"/>
          </w:tcPr>
          <w:p w14:paraId="3792EB20"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1</w:t>
            </w:r>
          </w:p>
        </w:tc>
        <w:tc>
          <w:tcPr>
            <w:tcW w:w="1417" w:type="dxa"/>
          </w:tcPr>
          <w:p w14:paraId="1A52EB84"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2</w:t>
            </w:r>
          </w:p>
        </w:tc>
      </w:tr>
      <w:tr w:rsidR="0073034F" w:rsidRPr="00A77AF6" w14:paraId="465B7ED4" w14:textId="77777777" w:rsidTr="001B5BF4">
        <w:tc>
          <w:tcPr>
            <w:tcW w:w="2689" w:type="dxa"/>
          </w:tcPr>
          <w:p w14:paraId="01802BB9"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2013</w:t>
            </w:r>
          </w:p>
        </w:tc>
        <w:tc>
          <w:tcPr>
            <w:tcW w:w="2126" w:type="dxa"/>
          </w:tcPr>
          <w:p w14:paraId="2D19F668"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2</w:t>
            </w:r>
          </w:p>
        </w:tc>
        <w:tc>
          <w:tcPr>
            <w:tcW w:w="1417" w:type="dxa"/>
          </w:tcPr>
          <w:p w14:paraId="580EAEFA"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4</w:t>
            </w:r>
          </w:p>
        </w:tc>
      </w:tr>
      <w:tr w:rsidR="0073034F" w:rsidRPr="00A77AF6" w14:paraId="72D97BB6" w14:textId="77777777" w:rsidTr="001B5BF4">
        <w:tc>
          <w:tcPr>
            <w:tcW w:w="2689" w:type="dxa"/>
          </w:tcPr>
          <w:p w14:paraId="3F1D709E"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2014</w:t>
            </w:r>
          </w:p>
        </w:tc>
        <w:tc>
          <w:tcPr>
            <w:tcW w:w="2126" w:type="dxa"/>
          </w:tcPr>
          <w:p w14:paraId="677642ED"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6</w:t>
            </w:r>
          </w:p>
        </w:tc>
        <w:tc>
          <w:tcPr>
            <w:tcW w:w="1417" w:type="dxa"/>
          </w:tcPr>
          <w:p w14:paraId="3EF25CA8"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12</w:t>
            </w:r>
          </w:p>
        </w:tc>
      </w:tr>
      <w:tr w:rsidR="0073034F" w:rsidRPr="00A77AF6" w14:paraId="22961573" w14:textId="77777777" w:rsidTr="001B5BF4">
        <w:tc>
          <w:tcPr>
            <w:tcW w:w="2689" w:type="dxa"/>
          </w:tcPr>
          <w:p w14:paraId="1C6BD76D"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2015</w:t>
            </w:r>
          </w:p>
        </w:tc>
        <w:tc>
          <w:tcPr>
            <w:tcW w:w="2126" w:type="dxa"/>
          </w:tcPr>
          <w:p w14:paraId="7034300F"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4</w:t>
            </w:r>
          </w:p>
        </w:tc>
        <w:tc>
          <w:tcPr>
            <w:tcW w:w="1417" w:type="dxa"/>
          </w:tcPr>
          <w:p w14:paraId="1D24A9E2"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8</w:t>
            </w:r>
          </w:p>
        </w:tc>
      </w:tr>
      <w:tr w:rsidR="0073034F" w:rsidRPr="00A77AF6" w14:paraId="5A55A56C" w14:textId="77777777" w:rsidTr="001B5BF4">
        <w:tc>
          <w:tcPr>
            <w:tcW w:w="2689" w:type="dxa"/>
          </w:tcPr>
          <w:p w14:paraId="72C1A827"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2016</w:t>
            </w:r>
          </w:p>
        </w:tc>
        <w:tc>
          <w:tcPr>
            <w:tcW w:w="2126" w:type="dxa"/>
          </w:tcPr>
          <w:p w14:paraId="0A5CD609"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5</w:t>
            </w:r>
          </w:p>
        </w:tc>
        <w:tc>
          <w:tcPr>
            <w:tcW w:w="1417" w:type="dxa"/>
          </w:tcPr>
          <w:p w14:paraId="268BC01B"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10</w:t>
            </w:r>
          </w:p>
        </w:tc>
      </w:tr>
      <w:tr w:rsidR="0073034F" w:rsidRPr="00A77AF6" w14:paraId="59C3CF1D" w14:textId="77777777" w:rsidTr="001B5BF4">
        <w:tc>
          <w:tcPr>
            <w:tcW w:w="2689" w:type="dxa"/>
          </w:tcPr>
          <w:p w14:paraId="22B8035E"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2017</w:t>
            </w:r>
          </w:p>
        </w:tc>
        <w:tc>
          <w:tcPr>
            <w:tcW w:w="2126" w:type="dxa"/>
          </w:tcPr>
          <w:p w14:paraId="0865EC8B"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22</w:t>
            </w:r>
          </w:p>
        </w:tc>
        <w:tc>
          <w:tcPr>
            <w:tcW w:w="1417" w:type="dxa"/>
          </w:tcPr>
          <w:p w14:paraId="4930373C"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43</w:t>
            </w:r>
          </w:p>
        </w:tc>
      </w:tr>
      <w:tr w:rsidR="0073034F" w:rsidRPr="00A77AF6" w14:paraId="694B5081" w14:textId="77777777" w:rsidTr="001B5BF4">
        <w:tc>
          <w:tcPr>
            <w:tcW w:w="2689" w:type="dxa"/>
          </w:tcPr>
          <w:p w14:paraId="47ED6EF7"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2018</w:t>
            </w:r>
          </w:p>
        </w:tc>
        <w:tc>
          <w:tcPr>
            <w:tcW w:w="2126" w:type="dxa"/>
          </w:tcPr>
          <w:p w14:paraId="7AC6D4FD"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2</w:t>
            </w:r>
          </w:p>
        </w:tc>
        <w:tc>
          <w:tcPr>
            <w:tcW w:w="1417" w:type="dxa"/>
          </w:tcPr>
          <w:p w14:paraId="38E5F741"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4</w:t>
            </w:r>
          </w:p>
        </w:tc>
      </w:tr>
      <w:tr w:rsidR="0073034F" w:rsidRPr="00A77AF6" w14:paraId="21296BCF" w14:textId="77777777" w:rsidTr="001B5BF4">
        <w:tc>
          <w:tcPr>
            <w:tcW w:w="2689" w:type="dxa"/>
          </w:tcPr>
          <w:p w14:paraId="095C412E"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Not given</w:t>
            </w:r>
          </w:p>
        </w:tc>
        <w:tc>
          <w:tcPr>
            <w:tcW w:w="2126" w:type="dxa"/>
          </w:tcPr>
          <w:p w14:paraId="333D2CCC"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3</w:t>
            </w:r>
          </w:p>
        </w:tc>
        <w:tc>
          <w:tcPr>
            <w:tcW w:w="1417" w:type="dxa"/>
          </w:tcPr>
          <w:p w14:paraId="4CEC5298"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5</w:t>
            </w:r>
          </w:p>
        </w:tc>
      </w:tr>
      <w:tr w:rsidR="0073034F" w:rsidRPr="00A77AF6" w14:paraId="70E028C8" w14:textId="77777777" w:rsidTr="001B5BF4">
        <w:tc>
          <w:tcPr>
            <w:tcW w:w="2689" w:type="dxa"/>
          </w:tcPr>
          <w:p w14:paraId="4D19AED4"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 xml:space="preserve">Total </w:t>
            </w:r>
          </w:p>
        </w:tc>
        <w:tc>
          <w:tcPr>
            <w:tcW w:w="2126" w:type="dxa"/>
          </w:tcPr>
          <w:p w14:paraId="6D54D18E"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51</w:t>
            </w:r>
          </w:p>
        </w:tc>
        <w:tc>
          <w:tcPr>
            <w:tcW w:w="1417" w:type="dxa"/>
          </w:tcPr>
          <w:p w14:paraId="69F82CEB" w14:textId="77777777" w:rsidR="0073034F" w:rsidRPr="00A77AF6" w:rsidRDefault="0073034F" w:rsidP="008B788E">
            <w:pPr>
              <w:spacing w:after="120" w:line="240" w:lineRule="auto"/>
              <w:rPr>
                <w:rFonts w:cstheme="minorHAnsi"/>
                <w:sz w:val="18"/>
                <w:szCs w:val="20"/>
              </w:rPr>
            </w:pPr>
            <w:r w:rsidRPr="00A77AF6">
              <w:rPr>
                <w:rFonts w:cstheme="minorHAnsi"/>
                <w:sz w:val="18"/>
                <w:szCs w:val="20"/>
              </w:rPr>
              <w:t>100</w:t>
            </w:r>
          </w:p>
        </w:tc>
      </w:tr>
    </w:tbl>
    <w:p w14:paraId="2246DE39" w14:textId="26C91BC7" w:rsidR="009A45E9" w:rsidRPr="00A77AF6" w:rsidRDefault="009A45E9" w:rsidP="002D2211">
      <w:pPr>
        <w:pStyle w:val="Heading3"/>
        <w:spacing w:before="240" w:after="120"/>
      </w:pPr>
      <w:bookmarkStart w:id="138" w:name="_Toc36275113"/>
      <w:r w:rsidRPr="00A77AF6">
        <w:t>Risk profile</w:t>
      </w:r>
      <w:bookmarkEnd w:id="138"/>
    </w:p>
    <w:p w14:paraId="35F5102A" w14:textId="15D5A50F" w:rsidR="006618E9" w:rsidRPr="00A77AF6" w:rsidRDefault="008F176C" w:rsidP="00112A90">
      <w:pPr>
        <w:spacing w:line="360" w:lineRule="auto"/>
      </w:pPr>
      <w:r w:rsidRPr="00A77AF6">
        <w:t xml:space="preserve">Each project was assessed for its risk </w:t>
      </w:r>
      <w:r w:rsidR="00C22C19">
        <w:t xml:space="preserve">potential </w:t>
      </w:r>
      <w:r w:rsidRPr="00A77AF6">
        <w:t xml:space="preserve">profile </w:t>
      </w:r>
      <w:r w:rsidR="0098659B" w:rsidRPr="00A77AF6">
        <w:t xml:space="preserve">by using the </w:t>
      </w:r>
      <w:r w:rsidR="00A05827" w:rsidRPr="00A77AF6">
        <w:t xml:space="preserve">DH’s </w:t>
      </w:r>
      <w:r w:rsidR="0098659B" w:rsidRPr="00A77AF6">
        <w:t xml:space="preserve">Optimism Bias </w:t>
      </w:r>
      <w:r w:rsidR="00CF4565" w:rsidRPr="00A77AF6">
        <w:t>assessment tool</w:t>
      </w:r>
      <w:r w:rsidR="00C22C19">
        <w:t xml:space="preserve"> as</w:t>
      </w:r>
      <w:r w:rsidR="00CF4565" w:rsidRPr="00A77AF6">
        <w:t xml:space="preserve"> a proxy measure for risk.   </w:t>
      </w:r>
      <w:r w:rsidR="0094007D" w:rsidRPr="00A77AF6">
        <w:t xml:space="preserve">The literature review noted that </w:t>
      </w:r>
      <w:r w:rsidR="00D86F7C" w:rsidRPr="00A77AF6">
        <w:t>an</w:t>
      </w:r>
      <w:r w:rsidR="0094007D" w:rsidRPr="00A77AF6">
        <w:t xml:space="preserve"> initial risk profile </w:t>
      </w:r>
      <w:r w:rsidR="00D86F7C" w:rsidRPr="00A77AF6">
        <w:t>is</w:t>
      </w:r>
      <w:r w:rsidR="0094007D" w:rsidRPr="00A77AF6">
        <w:t xml:space="preserve"> assessed to calculate the ‘upper bound’ </w:t>
      </w:r>
      <w:r w:rsidR="00D86F7C" w:rsidRPr="00A77AF6">
        <w:t xml:space="preserve">(the highest level of cost risk) </w:t>
      </w:r>
      <w:r w:rsidR="00372C7D" w:rsidRPr="00A77AF6">
        <w:t xml:space="preserve">which </w:t>
      </w:r>
      <w:r w:rsidR="00D86F7C" w:rsidRPr="00A77AF6">
        <w:t>can then be</w:t>
      </w:r>
      <w:r w:rsidR="00372C7D" w:rsidRPr="00A77AF6">
        <w:t xml:space="preserve"> mitigated down by risk management activities.  </w:t>
      </w:r>
      <w:r w:rsidR="008C0285" w:rsidRPr="00A77AF6">
        <w:t>It was not possible to carry this out in full for each pro</w:t>
      </w:r>
      <w:r w:rsidR="003F4CA9" w:rsidRPr="00A77AF6">
        <w:t xml:space="preserve">ject in this study, </w:t>
      </w:r>
      <w:r w:rsidR="008C0285" w:rsidRPr="00A77AF6">
        <w:t>as th</w:t>
      </w:r>
      <w:r w:rsidR="00372C7D" w:rsidRPr="00A77AF6">
        <w:t xml:space="preserve">e retrieval of detailed risk mitigation </w:t>
      </w:r>
      <w:r w:rsidR="005C7102" w:rsidRPr="00A77AF6">
        <w:t xml:space="preserve">for historical projects </w:t>
      </w:r>
      <w:r w:rsidR="00372C7D" w:rsidRPr="00A77AF6">
        <w:t>would have been too onerous for respondents.  Instead</w:t>
      </w:r>
      <w:r w:rsidR="003F4CA9" w:rsidRPr="00A77AF6">
        <w:t>,</w:t>
      </w:r>
      <w:r w:rsidR="00372C7D" w:rsidRPr="00A77AF6">
        <w:t xml:space="preserve"> the </w:t>
      </w:r>
      <w:r w:rsidR="00D90913" w:rsidRPr="00A77AF6">
        <w:t>‘</w:t>
      </w:r>
      <w:r w:rsidR="00372C7D" w:rsidRPr="00A77AF6">
        <w:t>unmitigated</w:t>
      </w:r>
      <w:r w:rsidR="00D90913" w:rsidRPr="00A77AF6">
        <w:t>’</w:t>
      </w:r>
      <w:r w:rsidR="00372C7D" w:rsidRPr="00A77AF6">
        <w:t xml:space="preserve"> upper bound was used to assess the riskiness of a project, so this </w:t>
      </w:r>
      <w:r w:rsidR="0043341F" w:rsidRPr="00A77AF6">
        <w:t>represents the</w:t>
      </w:r>
      <w:r w:rsidR="00372C7D" w:rsidRPr="00A77AF6">
        <w:t xml:space="preserve"> worst-case position for each project</w:t>
      </w:r>
      <w:r w:rsidR="006618E9" w:rsidRPr="00A77AF6">
        <w:t xml:space="preserve"> as it </w:t>
      </w:r>
      <w:r w:rsidR="0043341F" w:rsidRPr="00A77AF6">
        <w:t xml:space="preserve">is likely that this risk score would have been </w:t>
      </w:r>
      <w:r w:rsidR="006618E9" w:rsidRPr="00A77AF6">
        <w:t xml:space="preserve">reduced </w:t>
      </w:r>
      <w:r w:rsidR="00C67F11" w:rsidRPr="00A77AF6">
        <w:t>by the project team during the project</w:t>
      </w:r>
      <w:r w:rsidR="0043341F" w:rsidRPr="00A77AF6">
        <w:t xml:space="preserve"> </w:t>
      </w:r>
      <w:r w:rsidR="00C67F11" w:rsidRPr="00A77AF6">
        <w:t xml:space="preserve">by the application of </w:t>
      </w:r>
      <w:r w:rsidR="006618E9" w:rsidRPr="00A77AF6">
        <w:t>risk management actions</w:t>
      </w:r>
      <w:r w:rsidR="00C67F11" w:rsidRPr="00A77AF6">
        <w:t xml:space="preserve">. </w:t>
      </w:r>
      <w:r w:rsidR="006618E9" w:rsidRPr="00A77AF6">
        <w:t xml:space="preserve">In this sample the mean upper bound was 36%, the mode was 34% and median was 36%.  </w:t>
      </w:r>
      <w:r w:rsidR="008C0285" w:rsidRPr="00A77AF6">
        <w:t>For NHS construction projects the ‘unmitigated upper bound is 80%</w:t>
      </w:r>
      <w:r w:rsidR="00ED66B3" w:rsidRPr="00A77AF6">
        <w:t xml:space="preserve">.  </w:t>
      </w:r>
      <w:r w:rsidR="00607756" w:rsidRPr="00A77AF6">
        <w:t>Thirty-two</w:t>
      </w:r>
      <w:r w:rsidR="00112A90" w:rsidRPr="00A77AF6">
        <w:t xml:space="preserve"> (63%) </w:t>
      </w:r>
      <w:r w:rsidR="00183EC8" w:rsidRPr="00A77AF6">
        <w:t xml:space="preserve">projects </w:t>
      </w:r>
      <w:r w:rsidR="00112A90" w:rsidRPr="00A77AF6">
        <w:t xml:space="preserve">were low risk and 19 (37%) were medium risk. </w:t>
      </w:r>
      <w:r w:rsidR="00183EC8" w:rsidRPr="00A77AF6">
        <w:t xml:space="preserve"> No project was high-risk.</w:t>
      </w:r>
      <w:r w:rsidR="002D2211" w:rsidRPr="00A77AF6">
        <w:t xml:space="preserve"> </w:t>
      </w:r>
      <w:r w:rsidR="00D90913" w:rsidRPr="00A77AF6">
        <w:t xml:space="preserve">Table </w:t>
      </w:r>
      <w:r w:rsidR="002D2211" w:rsidRPr="00A77AF6">
        <w:t>6-3</w:t>
      </w:r>
      <w:r w:rsidR="00D90913" w:rsidRPr="00A77AF6">
        <w:t xml:space="preserve"> shows the mean, mode and median upper bounds for risk in this sample</w:t>
      </w:r>
    </w:p>
    <w:p w14:paraId="1579E451" w14:textId="0910DD38" w:rsidR="006618E9" w:rsidRPr="00A77AF6" w:rsidRDefault="006618E9" w:rsidP="00042ADC">
      <w:pPr>
        <w:pStyle w:val="Caption"/>
        <w:keepNext/>
        <w:spacing w:after="120"/>
      </w:pPr>
      <w:r w:rsidRPr="00A77AF6">
        <w:t xml:space="preserve">Table </w:t>
      </w:r>
      <w:fldSimple w:instr=" STYLEREF 1 \s ">
        <w:r w:rsidR="000441F7">
          <w:rPr>
            <w:noProof/>
          </w:rPr>
          <w:t>6</w:t>
        </w:r>
      </w:fldSimple>
      <w:r w:rsidR="00804112">
        <w:noBreakHyphen/>
      </w:r>
      <w:fldSimple w:instr=" SEQ Table \* ARABIC \s 1 ">
        <w:r w:rsidR="000441F7">
          <w:rPr>
            <w:noProof/>
          </w:rPr>
          <w:t>3</w:t>
        </w:r>
      </w:fldSimple>
      <w:r w:rsidRPr="00A77AF6">
        <w:t xml:space="preserve">: mean, mode and median </w:t>
      </w:r>
      <w:r w:rsidR="00112A90" w:rsidRPr="00A77AF6">
        <w:t>risk scores (unmitigated</w:t>
      </w:r>
      <w:r w:rsidR="00042ADC" w:rsidRPr="00A77AF6">
        <w:t xml:space="preserve"> optimism bias</w:t>
      </w:r>
      <w:r w:rsidR="00112A90" w:rsidRPr="00A77AF6">
        <w:t>)</w:t>
      </w:r>
    </w:p>
    <w:tbl>
      <w:tblPr>
        <w:tblW w:w="3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843"/>
      </w:tblGrid>
      <w:tr w:rsidR="006618E9" w:rsidRPr="00A77AF6" w14:paraId="756612D1" w14:textId="77777777" w:rsidTr="00963F23">
        <w:trPr>
          <w:trHeight w:val="255"/>
        </w:trPr>
        <w:tc>
          <w:tcPr>
            <w:tcW w:w="1980" w:type="dxa"/>
            <w:shd w:val="clear" w:color="auto" w:fill="auto"/>
            <w:noWrap/>
            <w:hideMark/>
          </w:tcPr>
          <w:p w14:paraId="1993CAFF" w14:textId="6AEB2DEA" w:rsidR="006618E9" w:rsidRPr="00A77AF6" w:rsidRDefault="006618E9" w:rsidP="00042ADC">
            <w:pPr>
              <w:spacing w:after="60" w:line="240" w:lineRule="auto"/>
              <w:rPr>
                <w:rFonts w:eastAsia="Times New Roman" w:cstheme="minorHAnsi"/>
                <w:sz w:val="20"/>
                <w:szCs w:val="20"/>
                <w:lang w:eastAsia="en-GB"/>
              </w:rPr>
            </w:pPr>
            <w:r w:rsidRPr="00A77AF6">
              <w:rPr>
                <w:rFonts w:eastAsia="Times New Roman" w:cstheme="minorHAnsi"/>
                <w:sz w:val="20"/>
                <w:szCs w:val="20"/>
                <w:lang w:eastAsia="en-GB"/>
              </w:rPr>
              <w:t>Mean</w:t>
            </w:r>
          </w:p>
        </w:tc>
        <w:tc>
          <w:tcPr>
            <w:tcW w:w="1843" w:type="dxa"/>
            <w:shd w:val="clear" w:color="auto" w:fill="auto"/>
            <w:noWrap/>
            <w:hideMark/>
          </w:tcPr>
          <w:p w14:paraId="55DF5FAB" w14:textId="77777777" w:rsidR="006618E9" w:rsidRPr="00A77AF6" w:rsidRDefault="006618E9" w:rsidP="00042ADC">
            <w:pPr>
              <w:spacing w:after="60" w:line="240" w:lineRule="auto"/>
              <w:jc w:val="right"/>
              <w:rPr>
                <w:rFonts w:eastAsia="Times New Roman" w:cstheme="minorHAnsi"/>
                <w:sz w:val="20"/>
                <w:szCs w:val="20"/>
                <w:lang w:eastAsia="en-GB"/>
              </w:rPr>
            </w:pPr>
            <w:r w:rsidRPr="00A77AF6">
              <w:rPr>
                <w:rFonts w:eastAsia="Times New Roman" w:cstheme="minorHAnsi"/>
                <w:sz w:val="20"/>
                <w:szCs w:val="20"/>
                <w:lang w:eastAsia="en-GB"/>
              </w:rPr>
              <w:t>36%</w:t>
            </w:r>
          </w:p>
        </w:tc>
      </w:tr>
      <w:tr w:rsidR="006618E9" w:rsidRPr="00A77AF6" w14:paraId="5F3F12BF" w14:textId="77777777" w:rsidTr="00E947B6">
        <w:trPr>
          <w:trHeight w:val="255"/>
        </w:trPr>
        <w:tc>
          <w:tcPr>
            <w:tcW w:w="1980" w:type="dxa"/>
            <w:shd w:val="clear" w:color="auto" w:fill="auto"/>
            <w:noWrap/>
            <w:hideMark/>
          </w:tcPr>
          <w:p w14:paraId="04F3ADAB" w14:textId="411EEBC0" w:rsidR="006618E9" w:rsidRPr="00A77AF6" w:rsidRDefault="006618E9" w:rsidP="00042ADC">
            <w:pPr>
              <w:spacing w:after="60" w:line="240" w:lineRule="auto"/>
              <w:rPr>
                <w:rFonts w:eastAsia="Times New Roman" w:cstheme="minorHAnsi"/>
                <w:sz w:val="20"/>
                <w:szCs w:val="20"/>
                <w:lang w:eastAsia="en-GB"/>
              </w:rPr>
            </w:pPr>
            <w:r w:rsidRPr="00A77AF6">
              <w:rPr>
                <w:rFonts w:eastAsia="Times New Roman" w:cstheme="minorHAnsi"/>
                <w:sz w:val="20"/>
                <w:szCs w:val="20"/>
                <w:lang w:eastAsia="en-GB"/>
              </w:rPr>
              <w:t>Mode</w:t>
            </w:r>
          </w:p>
        </w:tc>
        <w:tc>
          <w:tcPr>
            <w:tcW w:w="1843" w:type="dxa"/>
            <w:shd w:val="clear" w:color="auto" w:fill="auto"/>
            <w:noWrap/>
            <w:hideMark/>
          </w:tcPr>
          <w:p w14:paraId="0805BD62" w14:textId="5A46FCB7" w:rsidR="006618E9" w:rsidRPr="00A77AF6" w:rsidRDefault="006618E9" w:rsidP="00042ADC">
            <w:pPr>
              <w:spacing w:after="60" w:line="240" w:lineRule="auto"/>
              <w:jc w:val="right"/>
              <w:rPr>
                <w:rFonts w:eastAsia="Times New Roman" w:cstheme="minorHAnsi"/>
                <w:sz w:val="20"/>
                <w:szCs w:val="20"/>
                <w:lang w:eastAsia="en-GB"/>
              </w:rPr>
            </w:pPr>
            <w:r w:rsidRPr="00A77AF6">
              <w:rPr>
                <w:rFonts w:eastAsia="Times New Roman" w:cstheme="minorHAnsi"/>
                <w:sz w:val="20"/>
                <w:szCs w:val="20"/>
                <w:lang w:eastAsia="en-GB"/>
              </w:rPr>
              <w:t>34%</w:t>
            </w:r>
          </w:p>
        </w:tc>
      </w:tr>
      <w:tr w:rsidR="006618E9" w:rsidRPr="00A77AF6" w14:paraId="7DDBFA09" w14:textId="77777777" w:rsidTr="00E947B6">
        <w:trPr>
          <w:trHeight w:val="299"/>
        </w:trPr>
        <w:tc>
          <w:tcPr>
            <w:tcW w:w="1980" w:type="dxa"/>
            <w:shd w:val="clear" w:color="auto" w:fill="auto"/>
            <w:noWrap/>
            <w:hideMark/>
          </w:tcPr>
          <w:p w14:paraId="11BF016E" w14:textId="7059DBC2" w:rsidR="00E947B6" w:rsidRPr="00A77AF6" w:rsidRDefault="006618E9" w:rsidP="00042ADC">
            <w:pPr>
              <w:spacing w:after="60" w:line="240" w:lineRule="auto"/>
              <w:rPr>
                <w:rFonts w:eastAsia="Times New Roman" w:cstheme="minorHAnsi"/>
                <w:sz w:val="20"/>
                <w:szCs w:val="20"/>
                <w:lang w:eastAsia="en-GB"/>
              </w:rPr>
            </w:pPr>
            <w:r w:rsidRPr="00A77AF6">
              <w:rPr>
                <w:rFonts w:eastAsia="Times New Roman" w:cstheme="minorHAnsi"/>
                <w:sz w:val="20"/>
                <w:szCs w:val="20"/>
                <w:lang w:eastAsia="en-GB"/>
              </w:rPr>
              <w:t>Median</w:t>
            </w:r>
          </w:p>
        </w:tc>
        <w:tc>
          <w:tcPr>
            <w:tcW w:w="1843" w:type="dxa"/>
            <w:shd w:val="clear" w:color="auto" w:fill="auto"/>
            <w:noWrap/>
            <w:hideMark/>
          </w:tcPr>
          <w:p w14:paraId="67A69CD8" w14:textId="7083C5D9" w:rsidR="006618E9" w:rsidRPr="00A77AF6" w:rsidRDefault="006618E9" w:rsidP="00042ADC">
            <w:pPr>
              <w:spacing w:after="60" w:line="240" w:lineRule="auto"/>
              <w:jc w:val="right"/>
              <w:rPr>
                <w:rFonts w:eastAsia="Times New Roman" w:cstheme="minorHAnsi"/>
                <w:sz w:val="20"/>
                <w:szCs w:val="20"/>
                <w:lang w:eastAsia="en-GB"/>
              </w:rPr>
            </w:pPr>
            <w:r w:rsidRPr="00A77AF6">
              <w:rPr>
                <w:rFonts w:eastAsia="Times New Roman" w:cstheme="minorHAnsi"/>
                <w:sz w:val="20"/>
                <w:szCs w:val="20"/>
                <w:lang w:eastAsia="en-GB"/>
              </w:rPr>
              <w:t>36%</w:t>
            </w:r>
          </w:p>
        </w:tc>
      </w:tr>
    </w:tbl>
    <w:p w14:paraId="26E13BC2" w14:textId="77777777" w:rsidR="00E16A50" w:rsidRPr="00A77AF6" w:rsidRDefault="00E16A50" w:rsidP="00183EC8">
      <w:pPr>
        <w:spacing w:line="360" w:lineRule="auto"/>
      </w:pPr>
    </w:p>
    <w:p w14:paraId="4BAF3E53" w14:textId="7AFD1BDA" w:rsidR="00B17B11" w:rsidRPr="00A77AF6" w:rsidRDefault="0043341F" w:rsidP="00183EC8">
      <w:pPr>
        <w:spacing w:line="360" w:lineRule="auto"/>
      </w:pPr>
      <w:r w:rsidRPr="00A77AF6">
        <w:lastRenderedPageBreak/>
        <w:t>For the purposes of this study i</w:t>
      </w:r>
      <w:r w:rsidR="00512BAC" w:rsidRPr="00A77AF6">
        <w:t>t has been assumed that the similar risk profiles in this sample mean tha</w:t>
      </w:r>
      <w:r w:rsidR="00A765CE" w:rsidRPr="00A77AF6">
        <w:t xml:space="preserve">t </w:t>
      </w:r>
      <w:r w:rsidR="00512BAC" w:rsidRPr="00A77AF6">
        <w:t xml:space="preserve">risk did not play a part in </w:t>
      </w:r>
      <w:r w:rsidRPr="00A77AF6">
        <w:t xml:space="preserve">differentiating projects from each other or </w:t>
      </w:r>
      <w:r w:rsidR="00512BAC" w:rsidRPr="00A77AF6">
        <w:t>caus</w:t>
      </w:r>
      <w:r w:rsidRPr="00A77AF6">
        <w:t xml:space="preserve">e them </w:t>
      </w:r>
      <w:r w:rsidR="00477208" w:rsidRPr="00A77AF6">
        <w:t>t</w:t>
      </w:r>
      <w:r w:rsidRPr="00A77AF6">
        <w:t xml:space="preserve">o </w:t>
      </w:r>
      <w:r w:rsidR="00512BAC" w:rsidRPr="00A77AF6">
        <w:t>perform differently from each other</w:t>
      </w:r>
      <w:r w:rsidR="00E16A50" w:rsidRPr="00A77AF6">
        <w:t xml:space="preserve">. </w:t>
      </w:r>
      <w:r w:rsidR="00512BAC" w:rsidRPr="00A77AF6">
        <w:t xml:space="preserve">  </w:t>
      </w:r>
    </w:p>
    <w:p w14:paraId="49F7E7C5" w14:textId="60DC8517" w:rsidR="00354EE1" w:rsidRPr="00A77AF6" w:rsidRDefault="00354EE1" w:rsidP="00E16A50">
      <w:pPr>
        <w:pStyle w:val="Heading2"/>
        <w:spacing w:after="120"/>
      </w:pPr>
      <w:bookmarkStart w:id="139" w:name="_Toc36275114"/>
      <w:r w:rsidRPr="00A77AF6">
        <w:t xml:space="preserve">Ethical </w:t>
      </w:r>
      <w:r w:rsidR="00632AF2" w:rsidRPr="00A77AF6">
        <w:t>p</w:t>
      </w:r>
      <w:r w:rsidRPr="00A77AF6">
        <w:t>redisposition</w:t>
      </w:r>
      <w:bookmarkEnd w:id="139"/>
      <w:r w:rsidRPr="00A77AF6">
        <w:t xml:space="preserve"> </w:t>
      </w:r>
    </w:p>
    <w:p w14:paraId="32DAA164" w14:textId="41D5383D" w:rsidR="00974E04" w:rsidRPr="00A77AF6" w:rsidRDefault="00974E04" w:rsidP="00183EC8">
      <w:pPr>
        <w:spacing w:line="360" w:lineRule="auto"/>
      </w:pPr>
      <w:r w:rsidRPr="00A77AF6">
        <w:t>Ethical predisposition consists of both a formalist and utilitarian score</w:t>
      </w:r>
      <w:r w:rsidR="00FA6A8B" w:rsidRPr="00A77AF6">
        <w:t xml:space="preserve"> based on Brady and Wheeler’s MEV (1996).  </w:t>
      </w:r>
      <w:r w:rsidRPr="00A77AF6">
        <w:t xml:space="preserve">The largest </w:t>
      </w:r>
      <w:r w:rsidR="00C67F11" w:rsidRPr="00A77AF6">
        <w:t xml:space="preserve">possible </w:t>
      </w:r>
      <w:r w:rsidRPr="00A77AF6">
        <w:t>difference between utilitarian and formalist score is 6</w:t>
      </w:r>
      <w:r w:rsidR="00C67F11" w:rsidRPr="00A77AF6">
        <w:t xml:space="preserve"> </w:t>
      </w:r>
      <w:r w:rsidR="00183EC8" w:rsidRPr="00A77AF6">
        <w:t xml:space="preserve">as </w:t>
      </w:r>
      <w:r w:rsidR="00C67F11" w:rsidRPr="00A77AF6">
        <w:t xml:space="preserve">the MEV gives a maximum score of </w:t>
      </w:r>
      <w:r w:rsidR="00401E7E">
        <w:t>seven</w:t>
      </w:r>
      <w:r w:rsidR="00C67F11" w:rsidRPr="00A77AF6">
        <w:t xml:space="preserve"> for each element</w:t>
      </w:r>
      <w:r w:rsidR="00183EC8" w:rsidRPr="00A77AF6">
        <w:t>.  I</w:t>
      </w:r>
      <w:r w:rsidR="00C67F11" w:rsidRPr="00A77AF6">
        <w:t xml:space="preserve">t is possible </w:t>
      </w:r>
      <w:r w:rsidRPr="00A77AF6">
        <w:t xml:space="preserve">for each </w:t>
      </w:r>
      <w:r w:rsidR="00C67F11" w:rsidRPr="00A77AF6">
        <w:t xml:space="preserve">respondent </w:t>
      </w:r>
      <w:r w:rsidRPr="00A77AF6">
        <w:t xml:space="preserve">to have an overall score of </w:t>
      </w:r>
      <w:r w:rsidR="00401E7E">
        <w:t>seven</w:t>
      </w:r>
      <w:r w:rsidRPr="00A77AF6">
        <w:t xml:space="preserve"> for utilitarianism and</w:t>
      </w:r>
      <w:r w:rsidR="00401E7E">
        <w:t xml:space="preserve"> one</w:t>
      </w:r>
      <w:r w:rsidRPr="00A77AF6">
        <w:t xml:space="preserve"> for formalism or vice versa</w:t>
      </w:r>
      <w:r w:rsidR="005832F9">
        <w:t>,</w:t>
      </w:r>
      <w:r w:rsidR="00183EC8" w:rsidRPr="00A77AF6">
        <w:t xml:space="preserve"> and scores in-between these two extremes.  </w:t>
      </w:r>
      <w:r w:rsidRPr="00A77AF6">
        <w:t>In this sample, the largest difference was 1.98 towards formalism</w:t>
      </w:r>
      <w:r w:rsidR="003F4CA9" w:rsidRPr="00A77AF6">
        <w:t>,</w:t>
      </w:r>
      <w:r w:rsidRPr="00A77AF6">
        <w:t xml:space="preserve"> which occurred in </w:t>
      </w:r>
      <w:r w:rsidR="00401E7E">
        <w:t>two</w:t>
      </w:r>
      <w:r w:rsidRPr="00A77AF6">
        <w:t xml:space="preserve"> of 51 respondents.  Two respondents had equal scores.  </w:t>
      </w:r>
      <w:r w:rsidR="002D2211" w:rsidRPr="00A77AF6">
        <w:t>T</w:t>
      </w:r>
      <w:r w:rsidRPr="00A77AF6">
        <w:t xml:space="preserve">he sample group is predisposed to formalism. </w:t>
      </w:r>
      <w:r w:rsidR="00396BC9" w:rsidRPr="00A77AF6">
        <w:t xml:space="preserve">Forty-five </w:t>
      </w:r>
      <w:r w:rsidR="00A97DDB">
        <w:t>(</w:t>
      </w:r>
      <w:r w:rsidRPr="00A77AF6">
        <w:t xml:space="preserve">88%) </w:t>
      </w:r>
      <w:r w:rsidR="00183EC8" w:rsidRPr="00A77AF6">
        <w:t xml:space="preserve">respondents tended </w:t>
      </w:r>
      <w:r w:rsidR="003B6DF0" w:rsidRPr="00A77AF6">
        <w:t xml:space="preserve">toward </w:t>
      </w:r>
      <w:r w:rsidRPr="00A77AF6">
        <w:t>formalis</w:t>
      </w:r>
      <w:r w:rsidR="003B6DF0" w:rsidRPr="00A77AF6">
        <w:t xml:space="preserve">m and </w:t>
      </w:r>
      <w:r w:rsidR="00396BC9" w:rsidRPr="00A77AF6">
        <w:t>four (</w:t>
      </w:r>
      <w:r w:rsidRPr="00A77AF6">
        <w:t xml:space="preserve">8%) </w:t>
      </w:r>
      <w:r w:rsidR="00183EC8" w:rsidRPr="00A77AF6">
        <w:t>tended</w:t>
      </w:r>
      <w:r w:rsidR="003B6DF0" w:rsidRPr="00A77AF6">
        <w:t xml:space="preserve"> toward </w:t>
      </w:r>
      <w:r w:rsidRPr="00A77AF6">
        <w:t>utilitarian</w:t>
      </w:r>
      <w:r w:rsidR="003B6DF0" w:rsidRPr="00A77AF6">
        <w:t>ism</w:t>
      </w:r>
      <w:r w:rsidR="00183EC8" w:rsidRPr="00A77AF6">
        <w:t xml:space="preserve"> and t</w:t>
      </w:r>
      <w:r w:rsidR="00396BC9" w:rsidRPr="00A77AF6">
        <w:t>wo (4%)</w:t>
      </w:r>
      <w:r w:rsidRPr="00A77AF6">
        <w:t xml:space="preserve"> had an equal scor</w:t>
      </w:r>
      <w:r w:rsidR="00396BC9" w:rsidRPr="00A77AF6">
        <w:t>e</w:t>
      </w:r>
      <w:r w:rsidRPr="00A77AF6">
        <w:t xml:space="preserve"> for </w:t>
      </w:r>
      <w:r w:rsidR="00396BC9" w:rsidRPr="00A77AF6">
        <w:t xml:space="preserve">both </w:t>
      </w:r>
      <w:r w:rsidRPr="00A77AF6">
        <w:t>formalism and utilitarianism</w:t>
      </w:r>
      <w:r w:rsidR="002D2211" w:rsidRPr="00A77AF6">
        <w:t xml:space="preserve"> (Table 6-4)</w:t>
      </w:r>
      <w:r w:rsidRPr="00A77AF6">
        <w:t>.</w:t>
      </w:r>
    </w:p>
    <w:p w14:paraId="0C15DBBC" w14:textId="5ED700E8" w:rsidR="00512BAC" w:rsidRPr="00A77AF6" w:rsidRDefault="00512BAC" w:rsidP="00042ADC">
      <w:pPr>
        <w:spacing w:after="120" w:line="360" w:lineRule="auto"/>
      </w:pPr>
      <w:r w:rsidRPr="00A77AF6">
        <w:t xml:space="preserve">The literature review suggested that </w:t>
      </w:r>
      <w:r w:rsidR="00183EC8" w:rsidRPr="00A77AF6">
        <w:t>businesspeople</w:t>
      </w:r>
      <w:r w:rsidRPr="00A77AF6">
        <w:t xml:space="preserve"> </w:t>
      </w:r>
      <w:r w:rsidR="00292BDC" w:rsidRPr="00A77AF6">
        <w:t>may be</w:t>
      </w:r>
      <w:r w:rsidRPr="00A77AF6">
        <w:t xml:space="preserve"> more likely to be utilitarian than </w:t>
      </w:r>
      <w:r w:rsidR="00BE0169" w:rsidRPr="00A77AF6">
        <w:t xml:space="preserve">formalist, however, this sample </w:t>
      </w:r>
      <w:r w:rsidR="0005351B" w:rsidRPr="00A77AF6">
        <w:t>tende</w:t>
      </w:r>
      <w:r w:rsidR="00042ADC" w:rsidRPr="00A77AF6">
        <w:t xml:space="preserve">d </w:t>
      </w:r>
      <w:r w:rsidR="0005351B" w:rsidRPr="00A77AF6">
        <w:t xml:space="preserve">towards </w:t>
      </w:r>
      <w:r w:rsidR="00BE0169" w:rsidRPr="00A77AF6">
        <w:t>formalism</w:t>
      </w:r>
      <w:r w:rsidR="00042ADC" w:rsidRPr="00A77AF6">
        <w:t xml:space="preserve">, so </w:t>
      </w:r>
      <w:r w:rsidR="00BE0169" w:rsidRPr="00A77AF6">
        <w:t xml:space="preserve">project </w:t>
      </w:r>
      <w:r w:rsidR="00396BC9" w:rsidRPr="00A77AF6">
        <w:t>personnel</w:t>
      </w:r>
      <w:r w:rsidR="00BE0169" w:rsidRPr="00A77AF6">
        <w:t xml:space="preserve"> on NHS construction projects </w:t>
      </w:r>
      <w:r w:rsidR="00396BC9" w:rsidRPr="00A77AF6">
        <w:t>were</w:t>
      </w:r>
      <w:r w:rsidR="00BE0169" w:rsidRPr="00A77AF6">
        <w:t xml:space="preserve"> </w:t>
      </w:r>
      <w:r w:rsidR="00E947B6" w:rsidRPr="00A77AF6">
        <w:t>most likely</w:t>
      </w:r>
      <w:r w:rsidR="00BE0169" w:rsidRPr="00A77AF6">
        <w:t xml:space="preserve"> to be rules followers</w:t>
      </w:r>
      <w:r w:rsidR="00812175" w:rsidRPr="00A77AF6">
        <w:t xml:space="preserve">. </w:t>
      </w:r>
    </w:p>
    <w:p w14:paraId="3F24691B" w14:textId="4A8A726A" w:rsidR="00974E04" w:rsidRPr="00A77AF6" w:rsidRDefault="00974E04" w:rsidP="00042ADC">
      <w:pPr>
        <w:pStyle w:val="Caption"/>
        <w:keepNext/>
        <w:spacing w:after="120"/>
      </w:pPr>
      <w:r w:rsidRPr="00A77AF6">
        <w:t xml:space="preserve">Table </w:t>
      </w:r>
      <w:fldSimple w:instr=" STYLEREF 1 \s ">
        <w:r w:rsidR="000441F7">
          <w:rPr>
            <w:noProof/>
          </w:rPr>
          <w:t>6</w:t>
        </w:r>
      </w:fldSimple>
      <w:r w:rsidR="00804112">
        <w:noBreakHyphen/>
      </w:r>
      <w:fldSimple w:instr=" SEQ Table \* ARABIC \s 1 ">
        <w:r w:rsidR="000441F7">
          <w:rPr>
            <w:noProof/>
          </w:rPr>
          <w:t>4</w:t>
        </w:r>
      </w:fldSimple>
      <w:r w:rsidR="003F4CA9" w:rsidRPr="00A77AF6">
        <w:t>: Ethical predisposition of</w:t>
      </w:r>
      <w:r w:rsidRPr="00A77AF6">
        <w:t xml:space="preserve"> respondents</w:t>
      </w:r>
    </w:p>
    <w:tbl>
      <w:tblPr>
        <w:tblW w:w="4254" w:type="dxa"/>
        <w:shd w:val="clear" w:color="auto" w:fill="FFFFFF" w:themeFill="background1"/>
        <w:tblLayout w:type="fixed"/>
        <w:tblLook w:val="04A0" w:firstRow="1" w:lastRow="0" w:firstColumn="1" w:lastColumn="0" w:noHBand="0" w:noVBand="1"/>
      </w:tblPr>
      <w:tblGrid>
        <w:gridCol w:w="2268"/>
        <w:gridCol w:w="993"/>
        <w:gridCol w:w="993"/>
      </w:tblGrid>
      <w:tr w:rsidR="00974E04" w:rsidRPr="00A77AF6" w14:paraId="1CFC6CB4" w14:textId="77777777" w:rsidTr="00EA6D93">
        <w:trPr>
          <w:trHeight w:val="300"/>
        </w:trPr>
        <w:tc>
          <w:tcPr>
            <w:tcW w:w="2268" w:type="dxa"/>
            <w:tcBorders>
              <w:top w:val="single" w:sz="4" w:space="0" w:color="auto"/>
              <w:left w:val="single" w:sz="4" w:space="0" w:color="auto"/>
              <w:bottom w:val="single" w:sz="4" w:space="0" w:color="000000"/>
              <w:right w:val="single" w:sz="4" w:space="0" w:color="auto"/>
            </w:tcBorders>
            <w:shd w:val="clear" w:color="auto" w:fill="D9D9D9" w:themeFill="background1" w:themeFillShade="D9"/>
          </w:tcPr>
          <w:p w14:paraId="72E104E0" w14:textId="77777777" w:rsidR="00974E04" w:rsidRPr="00A77AF6" w:rsidRDefault="00974E04" w:rsidP="00EA6D93">
            <w:pPr>
              <w:spacing w:after="0" w:line="240" w:lineRule="auto"/>
              <w:rPr>
                <w:rFonts w:ascii="Calibri" w:eastAsia="Times New Roman" w:hAnsi="Calibri" w:cs="Times New Roman"/>
                <w:b/>
                <w:bCs/>
                <w:color w:val="000000"/>
                <w:sz w:val="20"/>
                <w:lang w:eastAsia="en-GB"/>
              </w:rPr>
            </w:pPr>
            <w:r w:rsidRPr="00A77AF6">
              <w:rPr>
                <w:rFonts w:ascii="Calibri" w:eastAsia="Times New Roman" w:hAnsi="Calibri" w:cs="Times New Roman"/>
                <w:b/>
                <w:bCs/>
                <w:color w:val="000000"/>
                <w:sz w:val="20"/>
                <w:lang w:eastAsia="en-GB"/>
              </w:rPr>
              <w:t xml:space="preserve">Ethical predisposition </w:t>
            </w:r>
          </w:p>
        </w:tc>
        <w:tc>
          <w:tcPr>
            <w:tcW w:w="993"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bottom"/>
          </w:tcPr>
          <w:p w14:paraId="3D84FDEF" w14:textId="77777777" w:rsidR="00974E04" w:rsidRPr="00A77AF6" w:rsidRDefault="00974E04" w:rsidP="00EA6D93">
            <w:pPr>
              <w:spacing w:after="0" w:line="240" w:lineRule="auto"/>
              <w:rPr>
                <w:rFonts w:ascii="Calibri" w:eastAsia="Times New Roman" w:hAnsi="Calibri" w:cs="Times New Roman"/>
                <w:b/>
                <w:bCs/>
                <w:color w:val="000000"/>
                <w:sz w:val="20"/>
                <w:lang w:eastAsia="en-GB"/>
              </w:rPr>
            </w:pPr>
            <w:r w:rsidRPr="00A77AF6">
              <w:rPr>
                <w:rFonts w:ascii="Calibri" w:eastAsia="Times New Roman" w:hAnsi="Calibri" w:cs="Times New Roman"/>
                <w:b/>
                <w:bCs/>
                <w:color w:val="000000"/>
                <w:sz w:val="20"/>
                <w:lang w:eastAsia="en-GB"/>
              </w:rPr>
              <w:t>Number</w:t>
            </w:r>
          </w:p>
          <w:p w14:paraId="320E9DB4" w14:textId="77777777" w:rsidR="00974E04" w:rsidRPr="00A77AF6" w:rsidRDefault="00974E04" w:rsidP="00EA6D93">
            <w:pPr>
              <w:spacing w:after="0" w:line="240" w:lineRule="auto"/>
              <w:rPr>
                <w:rFonts w:ascii="Calibri" w:eastAsia="Times New Roman" w:hAnsi="Calibri" w:cs="Times New Roman"/>
                <w:b/>
                <w:bCs/>
                <w:color w:val="000000"/>
                <w:sz w:val="20"/>
                <w:lang w:eastAsia="en-GB"/>
              </w:rPr>
            </w:pPr>
          </w:p>
        </w:tc>
        <w:tc>
          <w:tcPr>
            <w:tcW w:w="993" w:type="dxa"/>
            <w:tcBorders>
              <w:top w:val="single" w:sz="4" w:space="0" w:color="auto"/>
              <w:left w:val="single" w:sz="4" w:space="0" w:color="auto"/>
              <w:bottom w:val="single" w:sz="4" w:space="0" w:color="000000"/>
              <w:right w:val="single" w:sz="4" w:space="0" w:color="auto"/>
            </w:tcBorders>
            <w:shd w:val="clear" w:color="auto" w:fill="D9D9D9" w:themeFill="background1" w:themeFillShade="D9"/>
          </w:tcPr>
          <w:p w14:paraId="75C4E119" w14:textId="77777777" w:rsidR="00974E04" w:rsidRPr="00A77AF6" w:rsidRDefault="00974E04" w:rsidP="00EA6D93">
            <w:pPr>
              <w:spacing w:after="0" w:line="240" w:lineRule="auto"/>
              <w:rPr>
                <w:rFonts w:ascii="Calibri" w:eastAsia="Times New Roman" w:hAnsi="Calibri" w:cs="Times New Roman"/>
                <w:b/>
                <w:bCs/>
                <w:color w:val="000000"/>
                <w:sz w:val="20"/>
                <w:lang w:eastAsia="en-GB"/>
              </w:rPr>
            </w:pPr>
            <w:r w:rsidRPr="00A77AF6">
              <w:rPr>
                <w:rFonts w:ascii="Calibri" w:eastAsia="Times New Roman" w:hAnsi="Calibri" w:cs="Times New Roman"/>
                <w:b/>
                <w:bCs/>
                <w:color w:val="000000"/>
                <w:sz w:val="20"/>
                <w:lang w:eastAsia="en-GB"/>
              </w:rPr>
              <w:t>%</w:t>
            </w:r>
          </w:p>
        </w:tc>
      </w:tr>
      <w:tr w:rsidR="00974E04" w:rsidRPr="00A77AF6" w14:paraId="06B478C0" w14:textId="77777777" w:rsidTr="00EA6D93">
        <w:trPr>
          <w:trHeight w:val="300"/>
        </w:trPr>
        <w:tc>
          <w:tcPr>
            <w:tcW w:w="2268" w:type="dxa"/>
            <w:tcBorders>
              <w:top w:val="single" w:sz="4" w:space="0" w:color="000000"/>
              <w:left w:val="single" w:sz="4" w:space="0" w:color="auto"/>
              <w:right w:val="single" w:sz="4" w:space="0" w:color="auto"/>
            </w:tcBorders>
            <w:shd w:val="clear" w:color="auto" w:fill="FFFFFF" w:themeFill="background1"/>
            <w:vAlign w:val="center"/>
          </w:tcPr>
          <w:p w14:paraId="1AE2E92B" w14:textId="77777777" w:rsidR="00974E04" w:rsidRPr="00A77AF6" w:rsidRDefault="00974E04" w:rsidP="00EA6D93">
            <w:pPr>
              <w:spacing w:after="0" w:line="240"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Formalist</w:t>
            </w:r>
          </w:p>
        </w:tc>
        <w:tc>
          <w:tcPr>
            <w:tcW w:w="993" w:type="dxa"/>
            <w:tcBorders>
              <w:top w:val="single" w:sz="4" w:space="0" w:color="000000"/>
              <w:left w:val="single" w:sz="4" w:space="0" w:color="auto"/>
              <w:right w:val="single" w:sz="4" w:space="0" w:color="auto"/>
            </w:tcBorders>
            <w:shd w:val="clear" w:color="auto" w:fill="FFFFFF" w:themeFill="background1"/>
            <w:vAlign w:val="center"/>
          </w:tcPr>
          <w:p w14:paraId="0E17DDCE" w14:textId="77777777" w:rsidR="00974E04" w:rsidRPr="00A77AF6" w:rsidRDefault="00974E04" w:rsidP="00EA6D93">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45</w:t>
            </w:r>
          </w:p>
        </w:tc>
        <w:tc>
          <w:tcPr>
            <w:tcW w:w="993" w:type="dxa"/>
            <w:tcBorders>
              <w:top w:val="single" w:sz="4" w:space="0" w:color="000000"/>
              <w:left w:val="single" w:sz="4" w:space="0" w:color="auto"/>
              <w:right w:val="single" w:sz="4" w:space="0" w:color="auto"/>
            </w:tcBorders>
            <w:shd w:val="clear" w:color="auto" w:fill="FFFFFF" w:themeFill="background1"/>
            <w:vAlign w:val="center"/>
          </w:tcPr>
          <w:p w14:paraId="44A4F0BE" w14:textId="77777777" w:rsidR="00974E04" w:rsidRPr="00A77AF6" w:rsidRDefault="00974E04" w:rsidP="00EA6D93">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88</w:t>
            </w:r>
          </w:p>
        </w:tc>
      </w:tr>
      <w:tr w:rsidR="00974E04" w:rsidRPr="00A77AF6" w14:paraId="3DA87D4F" w14:textId="77777777" w:rsidTr="00EA6D93">
        <w:trPr>
          <w:trHeight w:val="300"/>
        </w:trPr>
        <w:tc>
          <w:tcPr>
            <w:tcW w:w="2268" w:type="dxa"/>
            <w:tcBorders>
              <w:top w:val="nil"/>
              <w:left w:val="single" w:sz="4" w:space="0" w:color="auto"/>
              <w:right w:val="single" w:sz="4" w:space="0" w:color="auto"/>
            </w:tcBorders>
            <w:shd w:val="clear" w:color="auto" w:fill="FFFFFF" w:themeFill="background1"/>
            <w:vAlign w:val="center"/>
          </w:tcPr>
          <w:p w14:paraId="54891B6A" w14:textId="77777777" w:rsidR="00974E04" w:rsidRPr="00A77AF6" w:rsidRDefault="00974E04" w:rsidP="00EA6D93">
            <w:pPr>
              <w:spacing w:after="0" w:line="240"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Utilitarian</w:t>
            </w:r>
          </w:p>
        </w:tc>
        <w:tc>
          <w:tcPr>
            <w:tcW w:w="993" w:type="dxa"/>
            <w:tcBorders>
              <w:top w:val="nil"/>
              <w:left w:val="single" w:sz="4" w:space="0" w:color="auto"/>
              <w:right w:val="single" w:sz="4" w:space="0" w:color="auto"/>
            </w:tcBorders>
            <w:shd w:val="clear" w:color="auto" w:fill="FFFFFF" w:themeFill="background1"/>
            <w:vAlign w:val="center"/>
          </w:tcPr>
          <w:p w14:paraId="2AED9E28" w14:textId="77777777" w:rsidR="00974E04" w:rsidRPr="00A77AF6" w:rsidRDefault="00974E04" w:rsidP="00EA6D93">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4</w:t>
            </w:r>
          </w:p>
        </w:tc>
        <w:tc>
          <w:tcPr>
            <w:tcW w:w="993" w:type="dxa"/>
            <w:tcBorders>
              <w:top w:val="nil"/>
              <w:left w:val="single" w:sz="4" w:space="0" w:color="auto"/>
              <w:right w:val="single" w:sz="4" w:space="0" w:color="auto"/>
            </w:tcBorders>
            <w:shd w:val="clear" w:color="auto" w:fill="FFFFFF" w:themeFill="background1"/>
            <w:vAlign w:val="center"/>
          </w:tcPr>
          <w:p w14:paraId="78D9268A" w14:textId="77777777" w:rsidR="00974E04" w:rsidRPr="00A77AF6" w:rsidRDefault="00974E04" w:rsidP="00EA6D93">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8</w:t>
            </w:r>
          </w:p>
        </w:tc>
      </w:tr>
      <w:tr w:rsidR="00974E04" w:rsidRPr="00A77AF6" w14:paraId="5CD35AB4" w14:textId="77777777" w:rsidTr="00EA6D93">
        <w:trPr>
          <w:trHeight w:val="300"/>
        </w:trPr>
        <w:tc>
          <w:tcPr>
            <w:tcW w:w="2268" w:type="dxa"/>
            <w:tcBorders>
              <w:top w:val="nil"/>
              <w:left w:val="single" w:sz="4" w:space="0" w:color="auto"/>
              <w:bottom w:val="single" w:sz="4" w:space="0" w:color="auto"/>
              <w:right w:val="single" w:sz="4" w:space="0" w:color="auto"/>
            </w:tcBorders>
            <w:shd w:val="clear" w:color="auto" w:fill="FFFFFF" w:themeFill="background1"/>
            <w:vAlign w:val="center"/>
          </w:tcPr>
          <w:p w14:paraId="03DC1F3D" w14:textId="77777777" w:rsidR="00974E04" w:rsidRPr="00A77AF6" w:rsidRDefault="00974E04" w:rsidP="00EA6D93">
            <w:pPr>
              <w:spacing w:after="0" w:line="240"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Equal</w:t>
            </w:r>
          </w:p>
        </w:tc>
        <w:tc>
          <w:tcPr>
            <w:tcW w:w="993" w:type="dxa"/>
            <w:tcBorders>
              <w:top w:val="nil"/>
              <w:left w:val="single" w:sz="4" w:space="0" w:color="auto"/>
              <w:bottom w:val="single" w:sz="4" w:space="0" w:color="auto"/>
              <w:right w:val="single" w:sz="4" w:space="0" w:color="auto"/>
            </w:tcBorders>
            <w:shd w:val="clear" w:color="auto" w:fill="FFFFFF" w:themeFill="background1"/>
            <w:vAlign w:val="center"/>
          </w:tcPr>
          <w:p w14:paraId="2EA70AFA" w14:textId="77777777" w:rsidR="00974E04" w:rsidRPr="00A77AF6" w:rsidRDefault="00974E04" w:rsidP="00EA6D93">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2</w:t>
            </w:r>
          </w:p>
        </w:tc>
        <w:tc>
          <w:tcPr>
            <w:tcW w:w="993" w:type="dxa"/>
            <w:tcBorders>
              <w:top w:val="nil"/>
              <w:left w:val="single" w:sz="4" w:space="0" w:color="auto"/>
              <w:bottom w:val="single" w:sz="4" w:space="0" w:color="auto"/>
              <w:right w:val="single" w:sz="4" w:space="0" w:color="auto"/>
            </w:tcBorders>
            <w:shd w:val="clear" w:color="auto" w:fill="FFFFFF" w:themeFill="background1"/>
            <w:vAlign w:val="center"/>
          </w:tcPr>
          <w:p w14:paraId="595CEBEA" w14:textId="77777777" w:rsidR="00974E04" w:rsidRPr="00A77AF6" w:rsidRDefault="00974E04" w:rsidP="00EA6D93">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4</w:t>
            </w:r>
          </w:p>
        </w:tc>
      </w:tr>
      <w:tr w:rsidR="00974E04" w:rsidRPr="00A77AF6" w14:paraId="3E8731F5" w14:textId="77777777" w:rsidTr="00EA6D93">
        <w:trPr>
          <w:trHeight w:val="300"/>
        </w:trPr>
        <w:tc>
          <w:tcPr>
            <w:tcW w:w="2268" w:type="dxa"/>
            <w:tcBorders>
              <w:top w:val="single" w:sz="4" w:space="0" w:color="auto"/>
              <w:right w:val="single" w:sz="4" w:space="0" w:color="auto"/>
            </w:tcBorders>
            <w:shd w:val="clear" w:color="auto" w:fill="FFFFFF" w:themeFill="background1"/>
          </w:tcPr>
          <w:p w14:paraId="334B9E68" w14:textId="77777777" w:rsidR="00974E04" w:rsidRPr="00A77AF6" w:rsidRDefault="00974E04" w:rsidP="00EA6D93">
            <w:pPr>
              <w:spacing w:after="0" w:line="240"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 xml:space="preserve">Total </w:t>
            </w:r>
          </w:p>
        </w:tc>
        <w:tc>
          <w:tcPr>
            <w:tcW w:w="993" w:type="dxa"/>
            <w:tcBorders>
              <w:top w:val="single" w:sz="4" w:space="0" w:color="auto"/>
              <w:left w:val="single" w:sz="4" w:space="0" w:color="auto"/>
              <w:bottom w:val="single" w:sz="4" w:space="0" w:color="000000"/>
              <w:right w:val="single" w:sz="4" w:space="0" w:color="auto"/>
            </w:tcBorders>
            <w:shd w:val="clear" w:color="auto" w:fill="FFFFFF" w:themeFill="background1"/>
          </w:tcPr>
          <w:p w14:paraId="7708CEA6" w14:textId="77777777" w:rsidR="00974E04" w:rsidRPr="00A77AF6" w:rsidRDefault="00974E04" w:rsidP="00EA6D93">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51</w:t>
            </w:r>
          </w:p>
        </w:tc>
        <w:tc>
          <w:tcPr>
            <w:tcW w:w="993" w:type="dxa"/>
            <w:tcBorders>
              <w:top w:val="single" w:sz="4" w:space="0" w:color="auto"/>
              <w:left w:val="single" w:sz="4" w:space="0" w:color="auto"/>
              <w:bottom w:val="single" w:sz="4" w:space="0" w:color="000000"/>
              <w:right w:val="single" w:sz="4" w:space="0" w:color="auto"/>
            </w:tcBorders>
            <w:shd w:val="clear" w:color="auto" w:fill="FFFFFF" w:themeFill="background1"/>
          </w:tcPr>
          <w:p w14:paraId="27ECB276" w14:textId="77777777" w:rsidR="00974E04" w:rsidRPr="00A77AF6" w:rsidRDefault="00974E04" w:rsidP="00EA6D93">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100</w:t>
            </w:r>
          </w:p>
        </w:tc>
      </w:tr>
    </w:tbl>
    <w:p w14:paraId="3283AB8A" w14:textId="0058A314" w:rsidR="00812175" w:rsidRPr="00A77AF6" w:rsidRDefault="00812175" w:rsidP="00512BAC">
      <w:pPr>
        <w:spacing w:line="480" w:lineRule="auto"/>
      </w:pPr>
    </w:p>
    <w:p w14:paraId="5E8206B3" w14:textId="4CA856EB" w:rsidR="003B237B" w:rsidRPr="00A77AF6" w:rsidRDefault="00C548C9" w:rsidP="00E16A50">
      <w:pPr>
        <w:pStyle w:val="Heading3"/>
        <w:spacing w:line="360" w:lineRule="auto"/>
      </w:pPr>
      <w:bookmarkStart w:id="140" w:name="_Toc36275115"/>
      <w:r w:rsidRPr="00A77AF6">
        <w:t>E</w:t>
      </w:r>
      <w:r w:rsidR="003B237B" w:rsidRPr="00A77AF6">
        <w:t>thical predisposition</w:t>
      </w:r>
      <w:r w:rsidRPr="00A77AF6">
        <w:t xml:space="preserve"> and gender</w:t>
      </w:r>
      <w:bookmarkEnd w:id="140"/>
    </w:p>
    <w:p w14:paraId="3D47ECED" w14:textId="7AB46BEF" w:rsidR="002D31A4" w:rsidRPr="00A77AF6" w:rsidRDefault="00183EC8" w:rsidP="00E16A50">
      <w:pPr>
        <w:spacing w:after="0" w:line="360" w:lineRule="auto"/>
      </w:pPr>
      <w:r w:rsidRPr="00A77AF6">
        <w:t>In this sample, b</w:t>
      </w:r>
      <w:r w:rsidR="003B237B" w:rsidRPr="00A77AF6">
        <w:t xml:space="preserve">oth men </w:t>
      </w:r>
      <w:r w:rsidR="007D741F" w:rsidRPr="00A77AF6">
        <w:t xml:space="preserve">and </w:t>
      </w:r>
      <w:r w:rsidR="003B237B" w:rsidRPr="00A77AF6">
        <w:t xml:space="preserve">women </w:t>
      </w:r>
      <w:r w:rsidR="00396BC9" w:rsidRPr="00A77AF6">
        <w:t xml:space="preserve">were more predominantly </w:t>
      </w:r>
      <w:r w:rsidR="003B237B" w:rsidRPr="00A77AF6">
        <w:t>formalist</w:t>
      </w:r>
      <w:r w:rsidR="00E16A50" w:rsidRPr="00A77AF6">
        <w:t xml:space="preserve">. </w:t>
      </w:r>
      <w:r w:rsidR="002D2211" w:rsidRPr="00A77AF6">
        <w:t>T</w:t>
      </w:r>
      <w:r w:rsidR="00396BC9" w:rsidRPr="00A77AF6">
        <w:t>hirty-three (</w:t>
      </w:r>
      <w:r w:rsidR="003B237B" w:rsidRPr="00A77AF6">
        <w:t xml:space="preserve">89%) men and </w:t>
      </w:r>
      <w:r w:rsidR="00EF78B0">
        <w:t>1</w:t>
      </w:r>
      <w:r w:rsidR="003B237B" w:rsidRPr="00A77AF6">
        <w:t>2</w:t>
      </w:r>
      <w:r w:rsidR="00EF78B0">
        <w:t xml:space="preserve"> (</w:t>
      </w:r>
      <w:r w:rsidR="003B237B" w:rsidRPr="00A77AF6">
        <w:t>86%) women</w:t>
      </w:r>
      <w:r w:rsidR="00E84AE1" w:rsidRPr="00A77AF6">
        <w:t xml:space="preserve"> </w:t>
      </w:r>
      <w:r w:rsidRPr="00A77AF6">
        <w:t xml:space="preserve">tended </w:t>
      </w:r>
      <w:r w:rsidR="00396BC9" w:rsidRPr="00A77AF6">
        <w:t>towards formalism</w:t>
      </w:r>
      <w:r w:rsidR="002D2211" w:rsidRPr="00A77AF6">
        <w:t xml:space="preserve"> (Table 6-5)</w:t>
      </w:r>
      <w:r w:rsidR="003B237B" w:rsidRPr="00A77AF6">
        <w:t xml:space="preserve">. </w:t>
      </w:r>
      <w:r w:rsidR="00B13D72" w:rsidRPr="00A77AF6">
        <w:t xml:space="preserve"> </w:t>
      </w:r>
      <w:r w:rsidR="003B237B" w:rsidRPr="00A77AF6">
        <w:t xml:space="preserve">The literature is </w:t>
      </w:r>
      <w:r w:rsidR="00304105" w:rsidRPr="00A77AF6">
        <w:t xml:space="preserve">equivocal </w:t>
      </w:r>
      <w:r w:rsidR="003B237B" w:rsidRPr="00A77AF6">
        <w:t xml:space="preserve">about the influence of gender on ethical </w:t>
      </w:r>
      <w:r w:rsidR="003514C4" w:rsidRPr="00A77AF6">
        <w:t>predisposition,</w:t>
      </w:r>
      <w:r w:rsidR="003B237B" w:rsidRPr="00A77AF6">
        <w:t xml:space="preserve"> but some research</w:t>
      </w:r>
      <w:r w:rsidR="00304105" w:rsidRPr="00A77AF6">
        <w:t>ers</w:t>
      </w:r>
      <w:r w:rsidR="003B237B" w:rsidRPr="00A77AF6">
        <w:t xml:space="preserve"> </w:t>
      </w:r>
      <w:r w:rsidR="001B5BF4" w:rsidRPr="00A77AF6">
        <w:t>ha</w:t>
      </w:r>
      <w:r w:rsidR="00304105" w:rsidRPr="00A77AF6">
        <w:t>ve</w:t>
      </w:r>
      <w:r w:rsidR="001B5BF4" w:rsidRPr="00A77AF6">
        <w:t xml:space="preserve"> </w:t>
      </w:r>
      <w:r w:rsidR="003B237B" w:rsidRPr="00A77AF6">
        <w:t xml:space="preserve">suggested that men </w:t>
      </w:r>
      <w:r w:rsidR="001B5BF4" w:rsidRPr="00A77AF6">
        <w:t xml:space="preserve">are </w:t>
      </w:r>
      <w:r w:rsidR="003B237B" w:rsidRPr="00A77AF6">
        <w:t xml:space="preserve">more likely </w:t>
      </w:r>
      <w:r w:rsidRPr="00A77AF6">
        <w:t xml:space="preserve">than women </w:t>
      </w:r>
      <w:r w:rsidR="003B237B" w:rsidRPr="00A77AF6">
        <w:t xml:space="preserve">to be utilitarians (Fritzsche &amp; Becker, 1984, Betz, et al., 1989, Ruegger &amp; King, 1992, Schminke &amp; Ambrose, 1997).  The results in this study indicate that there is little difference between the sexes and these findings are supported by the work of </w:t>
      </w:r>
      <w:r w:rsidR="002140C5" w:rsidRPr="00A77AF6">
        <w:t>Beltramini, et al (1984)</w:t>
      </w:r>
    </w:p>
    <w:p w14:paraId="17F586B1" w14:textId="77777777" w:rsidR="00E16A50" w:rsidRPr="00A77AF6" w:rsidRDefault="00E16A50" w:rsidP="00E16A50">
      <w:pPr>
        <w:spacing w:after="0" w:line="360" w:lineRule="auto"/>
      </w:pPr>
    </w:p>
    <w:p w14:paraId="0B590928" w14:textId="61F34F72" w:rsidR="003B237B" w:rsidRPr="00A77AF6" w:rsidRDefault="003B237B" w:rsidP="002D2211">
      <w:pPr>
        <w:pStyle w:val="Caption"/>
        <w:keepNext/>
        <w:spacing w:after="120"/>
      </w:pPr>
      <w:bookmarkStart w:id="141" w:name="_Toc518913145"/>
      <w:bookmarkStart w:id="142" w:name="_Toc519071683"/>
      <w:r w:rsidRPr="00A77AF6">
        <w:lastRenderedPageBreak/>
        <w:t xml:space="preserve">Table </w:t>
      </w:r>
      <w:fldSimple w:instr=" STYLEREF 1 \s ">
        <w:r w:rsidR="000441F7">
          <w:rPr>
            <w:noProof/>
          </w:rPr>
          <w:t>6</w:t>
        </w:r>
      </w:fldSimple>
      <w:r w:rsidR="00804112">
        <w:noBreakHyphen/>
      </w:r>
      <w:fldSimple w:instr=" SEQ Table \* ARABIC \s 1 ">
        <w:r w:rsidR="000441F7">
          <w:rPr>
            <w:noProof/>
          </w:rPr>
          <w:t>5</w:t>
        </w:r>
      </w:fldSimple>
      <w:r w:rsidRPr="00A77AF6">
        <w:t xml:space="preserve"> Gender and Ethical Predisposition</w:t>
      </w:r>
      <w:bookmarkEnd w:id="141"/>
      <w:bookmarkEnd w:id="142"/>
    </w:p>
    <w:tbl>
      <w:tblPr>
        <w:tblW w:w="7225" w:type="dxa"/>
        <w:shd w:val="clear" w:color="auto" w:fill="FFFFFF" w:themeFill="background1"/>
        <w:tblLayout w:type="fixed"/>
        <w:tblLook w:val="04A0" w:firstRow="1" w:lastRow="0" w:firstColumn="1" w:lastColumn="0" w:noHBand="0" w:noVBand="1"/>
      </w:tblPr>
      <w:tblGrid>
        <w:gridCol w:w="1413"/>
        <w:gridCol w:w="1843"/>
        <w:gridCol w:w="1417"/>
        <w:gridCol w:w="567"/>
        <w:gridCol w:w="1985"/>
      </w:tblGrid>
      <w:tr w:rsidR="003B237B" w:rsidRPr="00A77AF6" w14:paraId="13082A3B" w14:textId="77777777" w:rsidTr="00F878A8">
        <w:trPr>
          <w:trHeight w:val="300"/>
        </w:trPr>
        <w:tc>
          <w:tcPr>
            <w:tcW w:w="1413" w:type="dxa"/>
            <w:tcBorders>
              <w:top w:val="single" w:sz="4" w:space="0" w:color="auto"/>
              <w:left w:val="single" w:sz="4" w:space="0" w:color="auto"/>
              <w:bottom w:val="single" w:sz="4" w:space="0" w:color="000000"/>
              <w:right w:val="single" w:sz="4" w:space="0" w:color="auto"/>
            </w:tcBorders>
            <w:shd w:val="clear" w:color="auto" w:fill="D9D9D9" w:themeFill="background1" w:themeFillShade="D9"/>
            <w:noWrap/>
            <w:hideMark/>
          </w:tcPr>
          <w:p w14:paraId="71C0FAD3" w14:textId="77777777" w:rsidR="003B237B" w:rsidRPr="00A77AF6" w:rsidRDefault="003B237B" w:rsidP="00B34D41">
            <w:pPr>
              <w:spacing w:after="0" w:line="240" w:lineRule="auto"/>
              <w:rPr>
                <w:rFonts w:ascii="Calibri" w:eastAsia="Times New Roman" w:hAnsi="Calibri" w:cs="Times New Roman"/>
                <w:b/>
                <w:color w:val="000000"/>
                <w:sz w:val="20"/>
                <w:lang w:eastAsia="en-GB"/>
              </w:rPr>
            </w:pPr>
            <w:r w:rsidRPr="00A77AF6">
              <w:rPr>
                <w:rFonts w:ascii="Calibri" w:eastAsia="Times New Roman" w:hAnsi="Calibri" w:cs="Times New Roman"/>
                <w:b/>
                <w:color w:val="000000"/>
                <w:sz w:val="20"/>
                <w:lang w:eastAsia="en-GB"/>
              </w:rPr>
              <w:t>Gender</w:t>
            </w:r>
          </w:p>
          <w:p w14:paraId="69380FF1" w14:textId="77777777" w:rsidR="003B237B" w:rsidRPr="00A77AF6" w:rsidRDefault="003B237B" w:rsidP="00B34D41">
            <w:pPr>
              <w:spacing w:after="0" w:line="240" w:lineRule="auto"/>
              <w:rPr>
                <w:rFonts w:ascii="Calibri" w:eastAsia="Times New Roman" w:hAnsi="Calibri" w:cs="Times New Roman"/>
                <w:b/>
                <w:bCs/>
                <w:color w:val="000000"/>
                <w:sz w:val="20"/>
                <w:lang w:eastAsia="en-GB"/>
              </w:rPr>
            </w:pPr>
          </w:p>
        </w:tc>
        <w:tc>
          <w:tcPr>
            <w:tcW w:w="1843" w:type="dxa"/>
            <w:tcBorders>
              <w:top w:val="single" w:sz="4" w:space="0" w:color="auto"/>
              <w:left w:val="single" w:sz="4" w:space="0" w:color="auto"/>
              <w:bottom w:val="single" w:sz="4" w:space="0" w:color="000000"/>
              <w:right w:val="single" w:sz="4" w:space="0" w:color="auto"/>
            </w:tcBorders>
            <w:shd w:val="clear" w:color="auto" w:fill="D9D9D9" w:themeFill="background1" w:themeFillShade="D9"/>
          </w:tcPr>
          <w:p w14:paraId="26C878DA" w14:textId="77777777" w:rsidR="003B237B" w:rsidRPr="00A77AF6" w:rsidRDefault="003B237B" w:rsidP="00B34D41">
            <w:pPr>
              <w:spacing w:after="0" w:line="240" w:lineRule="auto"/>
              <w:rPr>
                <w:rFonts w:ascii="Calibri" w:eastAsia="Times New Roman" w:hAnsi="Calibri" w:cs="Times New Roman"/>
                <w:b/>
                <w:bCs/>
                <w:color w:val="000000"/>
                <w:sz w:val="20"/>
                <w:lang w:eastAsia="en-GB"/>
              </w:rPr>
            </w:pPr>
            <w:r w:rsidRPr="00A77AF6">
              <w:rPr>
                <w:rFonts w:ascii="Calibri" w:eastAsia="Times New Roman" w:hAnsi="Calibri" w:cs="Times New Roman"/>
                <w:b/>
                <w:bCs/>
                <w:color w:val="000000"/>
                <w:sz w:val="20"/>
                <w:lang w:eastAsia="en-GB"/>
              </w:rPr>
              <w:t xml:space="preserve">Ethical predisposition </w:t>
            </w:r>
          </w:p>
        </w:tc>
        <w:tc>
          <w:tcPr>
            <w:tcW w:w="1417"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bottom"/>
          </w:tcPr>
          <w:p w14:paraId="73D1170A" w14:textId="410CC80E" w:rsidR="003B237B" w:rsidRPr="00A77AF6" w:rsidRDefault="003B237B" w:rsidP="00B34D41">
            <w:pPr>
              <w:spacing w:after="0" w:line="240" w:lineRule="auto"/>
              <w:rPr>
                <w:rFonts w:ascii="Calibri" w:eastAsia="Times New Roman" w:hAnsi="Calibri" w:cs="Times New Roman"/>
                <w:b/>
                <w:bCs/>
                <w:color w:val="000000"/>
                <w:sz w:val="20"/>
                <w:lang w:eastAsia="en-GB"/>
              </w:rPr>
            </w:pPr>
            <w:r w:rsidRPr="00A77AF6">
              <w:rPr>
                <w:rFonts w:ascii="Calibri" w:eastAsia="Times New Roman" w:hAnsi="Calibri" w:cs="Times New Roman"/>
                <w:b/>
                <w:bCs/>
                <w:color w:val="000000"/>
                <w:sz w:val="20"/>
                <w:lang w:eastAsia="en-GB"/>
              </w:rPr>
              <w:t>Number</w:t>
            </w:r>
          </w:p>
          <w:p w14:paraId="226389B2" w14:textId="47B1848E" w:rsidR="002D31A4" w:rsidRPr="00A77AF6" w:rsidRDefault="002D31A4" w:rsidP="00B34D41">
            <w:pPr>
              <w:spacing w:after="0" w:line="240" w:lineRule="auto"/>
              <w:rPr>
                <w:rFonts w:ascii="Calibri" w:eastAsia="Times New Roman" w:hAnsi="Calibri" w:cs="Times New Roman"/>
                <w:b/>
                <w:bCs/>
                <w:color w:val="000000"/>
                <w:sz w:val="20"/>
                <w:lang w:eastAsia="en-GB"/>
              </w:rPr>
            </w:pPr>
            <w:r w:rsidRPr="00A77AF6">
              <w:rPr>
                <w:rFonts w:ascii="Calibri" w:eastAsia="Times New Roman" w:hAnsi="Calibri" w:cs="Times New Roman"/>
                <w:b/>
                <w:bCs/>
                <w:color w:val="000000"/>
                <w:sz w:val="20"/>
                <w:lang w:eastAsia="en-GB"/>
              </w:rPr>
              <w:t>(n=51)</w:t>
            </w:r>
          </w:p>
          <w:p w14:paraId="0829E6D7" w14:textId="77777777" w:rsidR="003B237B" w:rsidRPr="00A77AF6" w:rsidRDefault="003B237B" w:rsidP="00B34D41">
            <w:pPr>
              <w:spacing w:after="0" w:line="240" w:lineRule="auto"/>
              <w:rPr>
                <w:rFonts w:ascii="Calibri" w:eastAsia="Times New Roman" w:hAnsi="Calibri" w:cs="Times New Roman"/>
                <w:b/>
                <w:bCs/>
                <w:color w:val="000000"/>
                <w:sz w:val="20"/>
                <w:lang w:eastAsia="en-GB"/>
              </w:rPr>
            </w:pPr>
          </w:p>
        </w:tc>
        <w:tc>
          <w:tcPr>
            <w:tcW w:w="567" w:type="dxa"/>
            <w:tcBorders>
              <w:top w:val="single" w:sz="4" w:space="0" w:color="auto"/>
              <w:left w:val="single" w:sz="4" w:space="0" w:color="auto"/>
              <w:bottom w:val="single" w:sz="4" w:space="0" w:color="000000"/>
              <w:right w:val="single" w:sz="4" w:space="0" w:color="auto"/>
            </w:tcBorders>
            <w:shd w:val="clear" w:color="auto" w:fill="D9D9D9" w:themeFill="background1" w:themeFillShade="D9"/>
          </w:tcPr>
          <w:p w14:paraId="4A89844C" w14:textId="77777777" w:rsidR="003B237B" w:rsidRPr="00A77AF6" w:rsidRDefault="003B237B" w:rsidP="00B34D41">
            <w:pPr>
              <w:spacing w:after="0" w:line="240" w:lineRule="auto"/>
              <w:rPr>
                <w:rFonts w:ascii="Calibri" w:eastAsia="Times New Roman" w:hAnsi="Calibri" w:cs="Times New Roman"/>
                <w:b/>
                <w:bCs/>
                <w:color w:val="000000"/>
                <w:sz w:val="20"/>
                <w:lang w:eastAsia="en-GB"/>
              </w:rPr>
            </w:pPr>
            <w:r w:rsidRPr="00A77AF6">
              <w:rPr>
                <w:rFonts w:ascii="Calibri" w:eastAsia="Times New Roman" w:hAnsi="Calibri" w:cs="Times New Roman"/>
                <w:b/>
                <w:bCs/>
                <w:color w:val="000000"/>
                <w:sz w:val="20"/>
                <w:lang w:eastAsia="en-GB"/>
              </w:rPr>
              <w:t xml:space="preserve">% </w:t>
            </w:r>
          </w:p>
        </w:tc>
        <w:tc>
          <w:tcPr>
            <w:tcW w:w="1985" w:type="dxa"/>
            <w:tcBorders>
              <w:top w:val="single" w:sz="4" w:space="0" w:color="auto"/>
              <w:left w:val="single" w:sz="4" w:space="0" w:color="auto"/>
              <w:bottom w:val="single" w:sz="4" w:space="0" w:color="000000"/>
              <w:right w:val="single" w:sz="4" w:space="0" w:color="auto"/>
            </w:tcBorders>
            <w:shd w:val="clear" w:color="auto" w:fill="D9D9D9" w:themeFill="background1" w:themeFillShade="D9"/>
          </w:tcPr>
          <w:p w14:paraId="18A5284F" w14:textId="77777777" w:rsidR="003B237B" w:rsidRPr="00A77AF6" w:rsidRDefault="003B237B" w:rsidP="00B34D41">
            <w:pPr>
              <w:spacing w:after="0" w:line="240" w:lineRule="auto"/>
              <w:rPr>
                <w:rFonts w:ascii="Calibri" w:eastAsia="Times New Roman" w:hAnsi="Calibri" w:cs="Times New Roman"/>
                <w:b/>
                <w:bCs/>
                <w:color w:val="000000"/>
                <w:sz w:val="20"/>
                <w:lang w:eastAsia="en-GB"/>
              </w:rPr>
            </w:pPr>
            <w:r w:rsidRPr="00A77AF6">
              <w:rPr>
                <w:rFonts w:ascii="Calibri" w:eastAsia="Times New Roman" w:hAnsi="Calibri" w:cs="Times New Roman"/>
                <w:b/>
                <w:bCs/>
                <w:color w:val="000000"/>
                <w:sz w:val="20"/>
                <w:lang w:eastAsia="en-GB"/>
              </w:rPr>
              <w:t xml:space="preserve">% of male population and % of female population </w:t>
            </w:r>
          </w:p>
        </w:tc>
      </w:tr>
      <w:tr w:rsidR="003B237B" w:rsidRPr="00A77AF6" w14:paraId="270DBA1D" w14:textId="77777777" w:rsidTr="00F878A8">
        <w:trPr>
          <w:trHeight w:val="300"/>
        </w:trPr>
        <w:tc>
          <w:tcPr>
            <w:tcW w:w="1413" w:type="dxa"/>
            <w:tcBorders>
              <w:top w:val="single" w:sz="4" w:space="0" w:color="000000"/>
              <w:left w:val="single" w:sz="4" w:space="0" w:color="000000"/>
              <w:right w:val="single" w:sz="4" w:space="0" w:color="auto"/>
            </w:tcBorders>
            <w:shd w:val="clear" w:color="auto" w:fill="FFFFFF" w:themeFill="background1"/>
            <w:noWrap/>
            <w:vAlign w:val="center"/>
          </w:tcPr>
          <w:p w14:paraId="3B48D082" w14:textId="77777777" w:rsidR="003B237B" w:rsidRPr="00A77AF6" w:rsidRDefault="003B237B" w:rsidP="00B34D41">
            <w:pPr>
              <w:spacing w:after="0" w:line="240"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Male</w:t>
            </w:r>
          </w:p>
        </w:tc>
        <w:tc>
          <w:tcPr>
            <w:tcW w:w="1843" w:type="dxa"/>
            <w:tcBorders>
              <w:top w:val="single" w:sz="4" w:space="0" w:color="000000"/>
              <w:left w:val="single" w:sz="4" w:space="0" w:color="auto"/>
              <w:right w:val="single" w:sz="4" w:space="0" w:color="auto"/>
            </w:tcBorders>
            <w:shd w:val="clear" w:color="auto" w:fill="FFFFFF" w:themeFill="background1"/>
            <w:vAlign w:val="center"/>
          </w:tcPr>
          <w:p w14:paraId="7373D21B" w14:textId="77777777" w:rsidR="003B237B" w:rsidRPr="00A77AF6" w:rsidRDefault="003B237B" w:rsidP="00B34D41">
            <w:pPr>
              <w:spacing w:after="0" w:line="240"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formalist</w:t>
            </w:r>
          </w:p>
        </w:tc>
        <w:tc>
          <w:tcPr>
            <w:tcW w:w="1417" w:type="dxa"/>
            <w:tcBorders>
              <w:top w:val="single" w:sz="4" w:space="0" w:color="000000"/>
              <w:left w:val="single" w:sz="4" w:space="0" w:color="auto"/>
              <w:right w:val="single" w:sz="4" w:space="0" w:color="auto"/>
            </w:tcBorders>
            <w:shd w:val="clear" w:color="auto" w:fill="FFFFFF" w:themeFill="background1"/>
            <w:vAlign w:val="center"/>
          </w:tcPr>
          <w:p w14:paraId="3D504F91" w14:textId="77777777" w:rsidR="003B237B" w:rsidRPr="00A77AF6" w:rsidRDefault="003B237B" w:rsidP="00B34D41">
            <w:pPr>
              <w:spacing w:after="0" w:line="240" w:lineRule="auto"/>
              <w:jc w:val="right"/>
              <w:rPr>
                <w:rFonts w:ascii="Calibri" w:eastAsia="Times New Roman" w:hAnsi="Calibri" w:cs="Times New Roman"/>
                <w:b/>
                <w:color w:val="000000"/>
                <w:sz w:val="20"/>
                <w:lang w:eastAsia="en-GB"/>
              </w:rPr>
            </w:pPr>
            <w:r w:rsidRPr="00A77AF6">
              <w:rPr>
                <w:rFonts w:ascii="Calibri" w:eastAsia="Times New Roman" w:hAnsi="Calibri" w:cs="Times New Roman"/>
                <w:b/>
                <w:color w:val="000000"/>
                <w:sz w:val="20"/>
                <w:lang w:eastAsia="en-GB"/>
              </w:rPr>
              <w:t>33</w:t>
            </w:r>
          </w:p>
        </w:tc>
        <w:tc>
          <w:tcPr>
            <w:tcW w:w="567" w:type="dxa"/>
            <w:tcBorders>
              <w:top w:val="single" w:sz="4" w:space="0" w:color="000000"/>
              <w:left w:val="single" w:sz="4" w:space="0" w:color="auto"/>
              <w:right w:val="single" w:sz="4" w:space="0" w:color="auto"/>
            </w:tcBorders>
            <w:shd w:val="clear" w:color="auto" w:fill="FFFFFF" w:themeFill="background1"/>
            <w:vAlign w:val="center"/>
          </w:tcPr>
          <w:p w14:paraId="4D094DF5" w14:textId="77777777" w:rsidR="003B237B" w:rsidRPr="00A77AF6" w:rsidRDefault="003B237B" w:rsidP="00B34D41">
            <w:pPr>
              <w:spacing w:after="0" w:line="240" w:lineRule="auto"/>
              <w:jc w:val="right"/>
              <w:rPr>
                <w:rFonts w:ascii="Calibri" w:eastAsia="Times New Roman" w:hAnsi="Calibri" w:cs="Times New Roman"/>
                <w:b/>
                <w:color w:val="000000"/>
                <w:sz w:val="20"/>
                <w:lang w:eastAsia="en-GB"/>
              </w:rPr>
            </w:pPr>
            <w:r w:rsidRPr="00A77AF6">
              <w:rPr>
                <w:rFonts w:ascii="Calibri" w:eastAsia="Times New Roman" w:hAnsi="Calibri" w:cs="Times New Roman"/>
                <w:b/>
                <w:color w:val="000000"/>
                <w:sz w:val="20"/>
                <w:lang w:eastAsia="en-GB"/>
              </w:rPr>
              <w:t>65</w:t>
            </w:r>
          </w:p>
        </w:tc>
        <w:tc>
          <w:tcPr>
            <w:tcW w:w="1985" w:type="dxa"/>
            <w:tcBorders>
              <w:top w:val="single" w:sz="4" w:space="0" w:color="000000"/>
              <w:left w:val="single" w:sz="4" w:space="0" w:color="auto"/>
              <w:right w:val="single" w:sz="4" w:space="0" w:color="auto"/>
            </w:tcBorders>
            <w:shd w:val="clear" w:color="auto" w:fill="FFFFFF" w:themeFill="background1"/>
            <w:vAlign w:val="center"/>
          </w:tcPr>
          <w:p w14:paraId="79009980" w14:textId="77777777" w:rsidR="003B237B" w:rsidRPr="00A77AF6" w:rsidRDefault="003B237B" w:rsidP="00B34D41">
            <w:pPr>
              <w:spacing w:after="0" w:line="240" w:lineRule="auto"/>
              <w:jc w:val="right"/>
              <w:rPr>
                <w:rFonts w:ascii="Calibri" w:eastAsia="Times New Roman" w:hAnsi="Calibri" w:cs="Times New Roman"/>
                <w:b/>
                <w:color w:val="000000"/>
                <w:sz w:val="20"/>
                <w:lang w:eastAsia="en-GB"/>
              </w:rPr>
            </w:pPr>
            <w:r w:rsidRPr="00A77AF6">
              <w:rPr>
                <w:rFonts w:ascii="Calibri" w:eastAsia="Times New Roman" w:hAnsi="Calibri" w:cs="Times New Roman"/>
                <w:b/>
                <w:color w:val="000000"/>
                <w:sz w:val="20"/>
                <w:lang w:eastAsia="en-GB"/>
              </w:rPr>
              <w:t>89</w:t>
            </w:r>
          </w:p>
        </w:tc>
      </w:tr>
      <w:tr w:rsidR="003B237B" w:rsidRPr="00A77AF6" w14:paraId="05B7940A" w14:textId="77777777" w:rsidTr="00F878A8">
        <w:trPr>
          <w:trHeight w:val="300"/>
        </w:trPr>
        <w:tc>
          <w:tcPr>
            <w:tcW w:w="1413" w:type="dxa"/>
            <w:tcBorders>
              <w:top w:val="nil"/>
              <w:left w:val="single" w:sz="4" w:space="0" w:color="000000"/>
              <w:right w:val="single" w:sz="4" w:space="0" w:color="auto"/>
            </w:tcBorders>
            <w:shd w:val="clear" w:color="auto" w:fill="FFFFFF" w:themeFill="background1"/>
            <w:noWrap/>
            <w:vAlign w:val="center"/>
          </w:tcPr>
          <w:p w14:paraId="54A9B2B1" w14:textId="77777777" w:rsidR="003B237B" w:rsidRPr="00A77AF6" w:rsidRDefault="003B237B" w:rsidP="00B34D41">
            <w:pPr>
              <w:spacing w:after="0" w:line="240" w:lineRule="auto"/>
              <w:rPr>
                <w:rFonts w:ascii="Calibri" w:eastAsia="Times New Roman" w:hAnsi="Calibri" w:cs="Times New Roman"/>
                <w:color w:val="000000"/>
                <w:sz w:val="20"/>
                <w:lang w:eastAsia="en-GB"/>
              </w:rPr>
            </w:pPr>
          </w:p>
        </w:tc>
        <w:tc>
          <w:tcPr>
            <w:tcW w:w="1843" w:type="dxa"/>
            <w:tcBorders>
              <w:top w:val="nil"/>
              <w:left w:val="single" w:sz="4" w:space="0" w:color="auto"/>
              <w:right w:val="single" w:sz="4" w:space="0" w:color="auto"/>
            </w:tcBorders>
            <w:shd w:val="clear" w:color="auto" w:fill="FFFFFF" w:themeFill="background1"/>
            <w:vAlign w:val="center"/>
          </w:tcPr>
          <w:p w14:paraId="0D390712" w14:textId="77777777" w:rsidR="003B237B" w:rsidRPr="00A77AF6" w:rsidRDefault="003B237B" w:rsidP="00B34D41">
            <w:pPr>
              <w:spacing w:after="0" w:line="240"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utilitarian</w:t>
            </w:r>
          </w:p>
        </w:tc>
        <w:tc>
          <w:tcPr>
            <w:tcW w:w="1417" w:type="dxa"/>
            <w:tcBorders>
              <w:top w:val="nil"/>
              <w:left w:val="single" w:sz="4" w:space="0" w:color="auto"/>
              <w:right w:val="single" w:sz="4" w:space="0" w:color="auto"/>
            </w:tcBorders>
            <w:shd w:val="clear" w:color="auto" w:fill="FFFFFF" w:themeFill="background1"/>
            <w:vAlign w:val="center"/>
          </w:tcPr>
          <w:p w14:paraId="5FD0FE0D" w14:textId="77777777" w:rsidR="003B237B" w:rsidRPr="00A77AF6" w:rsidRDefault="003B237B" w:rsidP="00B34D41">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3</w:t>
            </w:r>
          </w:p>
        </w:tc>
        <w:tc>
          <w:tcPr>
            <w:tcW w:w="567" w:type="dxa"/>
            <w:tcBorders>
              <w:top w:val="nil"/>
              <w:left w:val="single" w:sz="4" w:space="0" w:color="auto"/>
              <w:right w:val="single" w:sz="4" w:space="0" w:color="auto"/>
            </w:tcBorders>
            <w:shd w:val="clear" w:color="auto" w:fill="FFFFFF" w:themeFill="background1"/>
            <w:vAlign w:val="center"/>
          </w:tcPr>
          <w:p w14:paraId="6FAF219F" w14:textId="77777777" w:rsidR="003B237B" w:rsidRPr="00A77AF6" w:rsidRDefault="003B237B" w:rsidP="00B34D41">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6</w:t>
            </w:r>
          </w:p>
        </w:tc>
        <w:tc>
          <w:tcPr>
            <w:tcW w:w="1985" w:type="dxa"/>
            <w:tcBorders>
              <w:top w:val="nil"/>
              <w:left w:val="single" w:sz="4" w:space="0" w:color="auto"/>
              <w:right w:val="single" w:sz="4" w:space="0" w:color="auto"/>
            </w:tcBorders>
            <w:shd w:val="clear" w:color="auto" w:fill="FFFFFF" w:themeFill="background1"/>
            <w:vAlign w:val="center"/>
          </w:tcPr>
          <w:p w14:paraId="2CA9B5FE" w14:textId="77777777" w:rsidR="003B237B" w:rsidRPr="00A77AF6" w:rsidRDefault="003B237B" w:rsidP="00B34D41">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8</w:t>
            </w:r>
          </w:p>
        </w:tc>
      </w:tr>
      <w:tr w:rsidR="003B237B" w:rsidRPr="00A77AF6" w14:paraId="5476D899" w14:textId="77777777" w:rsidTr="00F878A8">
        <w:trPr>
          <w:trHeight w:val="300"/>
        </w:trPr>
        <w:tc>
          <w:tcPr>
            <w:tcW w:w="1413" w:type="dxa"/>
            <w:tcBorders>
              <w:top w:val="nil"/>
              <w:left w:val="single" w:sz="4" w:space="0" w:color="000000"/>
              <w:bottom w:val="single" w:sz="4" w:space="0" w:color="000000"/>
              <w:right w:val="single" w:sz="4" w:space="0" w:color="auto"/>
            </w:tcBorders>
            <w:shd w:val="clear" w:color="auto" w:fill="FFFFFF" w:themeFill="background1"/>
            <w:noWrap/>
            <w:vAlign w:val="center"/>
          </w:tcPr>
          <w:p w14:paraId="6EB6F109" w14:textId="77777777" w:rsidR="003B237B" w:rsidRPr="00A77AF6" w:rsidRDefault="003B237B" w:rsidP="00B34D41">
            <w:pPr>
              <w:spacing w:after="0" w:line="240" w:lineRule="auto"/>
              <w:rPr>
                <w:rFonts w:ascii="Calibri" w:eastAsia="Times New Roman" w:hAnsi="Calibri" w:cs="Times New Roman"/>
                <w:color w:val="000000"/>
                <w:sz w:val="20"/>
                <w:lang w:eastAsia="en-GB"/>
              </w:rPr>
            </w:pPr>
          </w:p>
        </w:tc>
        <w:tc>
          <w:tcPr>
            <w:tcW w:w="1843" w:type="dxa"/>
            <w:tcBorders>
              <w:top w:val="nil"/>
              <w:left w:val="single" w:sz="4" w:space="0" w:color="auto"/>
              <w:bottom w:val="single" w:sz="4" w:space="0" w:color="000000"/>
              <w:right w:val="single" w:sz="4" w:space="0" w:color="auto"/>
            </w:tcBorders>
            <w:shd w:val="clear" w:color="auto" w:fill="FFFFFF" w:themeFill="background1"/>
            <w:vAlign w:val="center"/>
          </w:tcPr>
          <w:p w14:paraId="7B49E951" w14:textId="176B71AE" w:rsidR="003B237B" w:rsidRPr="00A77AF6" w:rsidRDefault="00EF28E2" w:rsidP="00B34D41">
            <w:pPr>
              <w:spacing w:after="0" w:line="240"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neither</w:t>
            </w:r>
          </w:p>
        </w:tc>
        <w:tc>
          <w:tcPr>
            <w:tcW w:w="1417" w:type="dxa"/>
            <w:tcBorders>
              <w:top w:val="nil"/>
              <w:left w:val="single" w:sz="4" w:space="0" w:color="auto"/>
              <w:bottom w:val="single" w:sz="4" w:space="0" w:color="000000"/>
              <w:right w:val="single" w:sz="4" w:space="0" w:color="auto"/>
            </w:tcBorders>
            <w:shd w:val="clear" w:color="auto" w:fill="FFFFFF" w:themeFill="background1"/>
            <w:vAlign w:val="center"/>
          </w:tcPr>
          <w:p w14:paraId="5D88BCCA" w14:textId="77777777" w:rsidR="003B237B" w:rsidRPr="00A77AF6" w:rsidRDefault="003B237B" w:rsidP="00B34D41">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1</w:t>
            </w:r>
          </w:p>
        </w:tc>
        <w:tc>
          <w:tcPr>
            <w:tcW w:w="567" w:type="dxa"/>
            <w:tcBorders>
              <w:top w:val="nil"/>
              <w:left w:val="single" w:sz="4" w:space="0" w:color="auto"/>
              <w:bottom w:val="single" w:sz="4" w:space="0" w:color="000000"/>
              <w:right w:val="single" w:sz="4" w:space="0" w:color="auto"/>
            </w:tcBorders>
            <w:shd w:val="clear" w:color="auto" w:fill="FFFFFF" w:themeFill="background1"/>
            <w:vAlign w:val="center"/>
          </w:tcPr>
          <w:p w14:paraId="61BF6EAB" w14:textId="77777777" w:rsidR="003B237B" w:rsidRPr="00A77AF6" w:rsidRDefault="003B237B" w:rsidP="00B34D41">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2</w:t>
            </w:r>
          </w:p>
        </w:tc>
        <w:tc>
          <w:tcPr>
            <w:tcW w:w="1985" w:type="dxa"/>
            <w:tcBorders>
              <w:top w:val="nil"/>
              <w:left w:val="single" w:sz="4" w:space="0" w:color="auto"/>
              <w:bottom w:val="single" w:sz="4" w:space="0" w:color="000000"/>
              <w:right w:val="single" w:sz="4" w:space="0" w:color="auto"/>
            </w:tcBorders>
            <w:shd w:val="clear" w:color="auto" w:fill="FFFFFF" w:themeFill="background1"/>
            <w:vAlign w:val="center"/>
          </w:tcPr>
          <w:p w14:paraId="0805756F" w14:textId="77777777" w:rsidR="003B237B" w:rsidRPr="00A77AF6" w:rsidRDefault="003B237B" w:rsidP="00B34D41">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3</w:t>
            </w:r>
          </w:p>
        </w:tc>
      </w:tr>
      <w:tr w:rsidR="003B237B" w:rsidRPr="00A77AF6" w14:paraId="4A6E1A8C" w14:textId="77777777" w:rsidTr="00B34D41">
        <w:trPr>
          <w:trHeight w:val="300"/>
        </w:trPr>
        <w:tc>
          <w:tcPr>
            <w:tcW w:w="5240" w:type="dxa"/>
            <w:gridSpan w:val="4"/>
            <w:tcBorders>
              <w:top w:val="nil"/>
              <w:left w:val="single" w:sz="4" w:space="0" w:color="000000"/>
              <w:bottom w:val="single" w:sz="4" w:space="0" w:color="000000"/>
              <w:right w:val="single" w:sz="4" w:space="0" w:color="auto"/>
            </w:tcBorders>
            <w:shd w:val="clear" w:color="auto" w:fill="FFFFFF" w:themeFill="background1"/>
            <w:noWrap/>
            <w:vAlign w:val="center"/>
          </w:tcPr>
          <w:p w14:paraId="6E60450A" w14:textId="7563B7B1" w:rsidR="003B237B" w:rsidRPr="00A77AF6" w:rsidRDefault="003B237B" w:rsidP="00F878A8">
            <w:pPr>
              <w:spacing w:after="0" w:line="240" w:lineRule="auto"/>
              <w:rPr>
                <w:rFonts w:ascii="Calibri" w:eastAsia="Times New Roman" w:hAnsi="Calibri" w:cs="Times New Roman"/>
                <w:color w:val="000000"/>
                <w:sz w:val="20"/>
                <w:lang w:eastAsia="en-GB"/>
              </w:rPr>
            </w:pPr>
          </w:p>
        </w:tc>
        <w:tc>
          <w:tcPr>
            <w:tcW w:w="1985" w:type="dxa"/>
            <w:tcBorders>
              <w:top w:val="nil"/>
              <w:left w:val="single" w:sz="4" w:space="0" w:color="auto"/>
              <w:bottom w:val="single" w:sz="4" w:space="0" w:color="000000"/>
              <w:right w:val="single" w:sz="4" w:space="0" w:color="auto"/>
            </w:tcBorders>
            <w:shd w:val="clear" w:color="auto" w:fill="FFFFFF" w:themeFill="background1"/>
            <w:vAlign w:val="center"/>
          </w:tcPr>
          <w:p w14:paraId="7E457A34" w14:textId="2F3374CA" w:rsidR="003B237B" w:rsidRPr="00A77AF6" w:rsidRDefault="00F878A8" w:rsidP="00B34D41">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 xml:space="preserve">                     </w:t>
            </w:r>
            <w:r w:rsidR="003B237B" w:rsidRPr="00A77AF6">
              <w:rPr>
                <w:rFonts w:ascii="Calibri" w:eastAsia="Times New Roman" w:hAnsi="Calibri" w:cs="Times New Roman"/>
                <w:color w:val="000000"/>
                <w:sz w:val="20"/>
                <w:lang w:eastAsia="en-GB"/>
              </w:rPr>
              <w:t>100</w:t>
            </w:r>
          </w:p>
        </w:tc>
      </w:tr>
      <w:tr w:rsidR="003B237B" w:rsidRPr="00A77AF6" w14:paraId="15541D3F" w14:textId="77777777" w:rsidTr="00F878A8">
        <w:trPr>
          <w:trHeight w:val="300"/>
        </w:trPr>
        <w:tc>
          <w:tcPr>
            <w:tcW w:w="1413" w:type="dxa"/>
            <w:tcBorders>
              <w:top w:val="nil"/>
              <w:left w:val="single" w:sz="4" w:space="0" w:color="auto"/>
              <w:right w:val="single" w:sz="4" w:space="0" w:color="auto"/>
            </w:tcBorders>
            <w:shd w:val="clear" w:color="auto" w:fill="FFFFFF" w:themeFill="background1"/>
            <w:noWrap/>
            <w:vAlign w:val="center"/>
            <w:hideMark/>
          </w:tcPr>
          <w:p w14:paraId="7CFD37DC" w14:textId="77777777" w:rsidR="003B237B" w:rsidRPr="00A77AF6" w:rsidRDefault="003B237B" w:rsidP="00B34D41">
            <w:pPr>
              <w:spacing w:after="0" w:line="240"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Female</w:t>
            </w:r>
          </w:p>
        </w:tc>
        <w:tc>
          <w:tcPr>
            <w:tcW w:w="1843" w:type="dxa"/>
            <w:tcBorders>
              <w:top w:val="nil"/>
              <w:left w:val="single" w:sz="4" w:space="0" w:color="auto"/>
              <w:right w:val="single" w:sz="4" w:space="0" w:color="auto"/>
            </w:tcBorders>
            <w:shd w:val="clear" w:color="auto" w:fill="FFFFFF" w:themeFill="background1"/>
            <w:vAlign w:val="center"/>
          </w:tcPr>
          <w:p w14:paraId="1954EC4F" w14:textId="77777777" w:rsidR="003B237B" w:rsidRPr="00A77AF6" w:rsidRDefault="003B237B" w:rsidP="00B34D41">
            <w:pPr>
              <w:spacing w:after="0" w:line="240"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formalist</w:t>
            </w:r>
          </w:p>
        </w:tc>
        <w:tc>
          <w:tcPr>
            <w:tcW w:w="1417" w:type="dxa"/>
            <w:tcBorders>
              <w:top w:val="nil"/>
              <w:left w:val="single" w:sz="4" w:space="0" w:color="auto"/>
              <w:right w:val="single" w:sz="4" w:space="0" w:color="auto"/>
            </w:tcBorders>
            <w:shd w:val="clear" w:color="auto" w:fill="FFFFFF" w:themeFill="background1"/>
            <w:vAlign w:val="center"/>
          </w:tcPr>
          <w:p w14:paraId="69FA5010" w14:textId="77777777" w:rsidR="003B237B" w:rsidRPr="00A77AF6" w:rsidRDefault="003B237B" w:rsidP="00B34D41">
            <w:pPr>
              <w:spacing w:after="0" w:line="240" w:lineRule="auto"/>
              <w:jc w:val="right"/>
              <w:rPr>
                <w:rFonts w:ascii="Calibri" w:eastAsia="Times New Roman" w:hAnsi="Calibri" w:cs="Times New Roman"/>
                <w:b/>
                <w:color w:val="000000"/>
                <w:sz w:val="20"/>
                <w:lang w:eastAsia="en-GB"/>
              </w:rPr>
            </w:pPr>
            <w:r w:rsidRPr="00A77AF6">
              <w:rPr>
                <w:rFonts w:ascii="Calibri" w:eastAsia="Times New Roman" w:hAnsi="Calibri" w:cs="Times New Roman"/>
                <w:b/>
                <w:color w:val="000000"/>
                <w:sz w:val="20"/>
                <w:lang w:eastAsia="en-GB"/>
              </w:rPr>
              <w:t>12</w:t>
            </w:r>
          </w:p>
        </w:tc>
        <w:tc>
          <w:tcPr>
            <w:tcW w:w="567" w:type="dxa"/>
            <w:tcBorders>
              <w:top w:val="nil"/>
              <w:left w:val="single" w:sz="4" w:space="0" w:color="auto"/>
              <w:right w:val="single" w:sz="4" w:space="0" w:color="auto"/>
            </w:tcBorders>
            <w:shd w:val="clear" w:color="auto" w:fill="FFFFFF" w:themeFill="background1"/>
            <w:vAlign w:val="center"/>
          </w:tcPr>
          <w:p w14:paraId="42DE6CF3" w14:textId="77777777" w:rsidR="003B237B" w:rsidRPr="00A77AF6" w:rsidRDefault="003B237B" w:rsidP="00B34D41">
            <w:pPr>
              <w:spacing w:after="0" w:line="240" w:lineRule="auto"/>
              <w:jc w:val="right"/>
              <w:rPr>
                <w:rFonts w:ascii="Calibri" w:eastAsia="Times New Roman" w:hAnsi="Calibri" w:cs="Times New Roman"/>
                <w:b/>
                <w:color w:val="000000"/>
                <w:sz w:val="20"/>
                <w:lang w:eastAsia="en-GB"/>
              </w:rPr>
            </w:pPr>
            <w:r w:rsidRPr="00A77AF6">
              <w:rPr>
                <w:rFonts w:ascii="Calibri" w:eastAsia="Times New Roman" w:hAnsi="Calibri" w:cs="Times New Roman"/>
                <w:b/>
                <w:color w:val="000000"/>
                <w:sz w:val="20"/>
                <w:lang w:eastAsia="en-GB"/>
              </w:rPr>
              <w:t>24</w:t>
            </w:r>
          </w:p>
        </w:tc>
        <w:tc>
          <w:tcPr>
            <w:tcW w:w="1985" w:type="dxa"/>
            <w:tcBorders>
              <w:top w:val="nil"/>
              <w:left w:val="single" w:sz="4" w:space="0" w:color="auto"/>
              <w:right w:val="single" w:sz="4" w:space="0" w:color="auto"/>
            </w:tcBorders>
            <w:shd w:val="clear" w:color="auto" w:fill="FFFFFF" w:themeFill="background1"/>
            <w:vAlign w:val="center"/>
          </w:tcPr>
          <w:p w14:paraId="6A0678C5" w14:textId="77777777" w:rsidR="003B237B" w:rsidRPr="00A77AF6" w:rsidRDefault="003B237B" w:rsidP="00B34D41">
            <w:pPr>
              <w:spacing w:after="0" w:line="240" w:lineRule="auto"/>
              <w:jc w:val="right"/>
              <w:rPr>
                <w:rFonts w:ascii="Calibri" w:eastAsia="Times New Roman" w:hAnsi="Calibri" w:cs="Times New Roman"/>
                <w:b/>
                <w:color w:val="000000"/>
                <w:sz w:val="20"/>
                <w:lang w:eastAsia="en-GB"/>
              </w:rPr>
            </w:pPr>
            <w:r w:rsidRPr="00A77AF6">
              <w:rPr>
                <w:rFonts w:ascii="Calibri" w:eastAsia="Times New Roman" w:hAnsi="Calibri" w:cs="Times New Roman"/>
                <w:b/>
                <w:color w:val="000000"/>
                <w:sz w:val="20"/>
                <w:lang w:eastAsia="en-GB"/>
              </w:rPr>
              <w:t>86</w:t>
            </w:r>
          </w:p>
        </w:tc>
      </w:tr>
      <w:tr w:rsidR="003B237B" w:rsidRPr="00A77AF6" w14:paraId="2F01BF67" w14:textId="77777777" w:rsidTr="00F878A8">
        <w:trPr>
          <w:trHeight w:val="300"/>
        </w:trPr>
        <w:tc>
          <w:tcPr>
            <w:tcW w:w="1413" w:type="dxa"/>
            <w:tcBorders>
              <w:top w:val="nil"/>
              <w:left w:val="single" w:sz="4" w:space="0" w:color="auto"/>
              <w:right w:val="single" w:sz="4" w:space="0" w:color="auto"/>
            </w:tcBorders>
            <w:shd w:val="clear" w:color="auto" w:fill="FFFFFF" w:themeFill="background1"/>
            <w:noWrap/>
            <w:vAlign w:val="center"/>
          </w:tcPr>
          <w:p w14:paraId="56F2C124" w14:textId="77777777" w:rsidR="003B237B" w:rsidRPr="00A77AF6" w:rsidRDefault="003B237B" w:rsidP="00B34D41">
            <w:pPr>
              <w:spacing w:after="0" w:line="240" w:lineRule="auto"/>
              <w:rPr>
                <w:rFonts w:ascii="Calibri" w:eastAsia="Times New Roman" w:hAnsi="Calibri" w:cs="Times New Roman"/>
                <w:color w:val="000000"/>
                <w:sz w:val="20"/>
                <w:lang w:eastAsia="en-GB"/>
              </w:rPr>
            </w:pPr>
          </w:p>
        </w:tc>
        <w:tc>
          <w:tcPr>
            <w:tcW w:w="1843" w:type="dxa"/>
            <w:tcBorders>
              <w:top w:val="nil"/>
              <w:left w:val="single" w:sz="4" w:space="0" w:color="auto"/>
              <w:right w:val="single" w:sz="4" w:space="0" w:color="auto"/>
            </w:tcBorders>
            <w:shd w:val="clear" w:color="auto" w:fill="FFFFFF" w:themeFill="background1"/>
            <w:vAlign w:val="center"/>
          </w:tcPr>
          <w:p w14:paraId="39E87851" w14:textId="77777777" w:rsidR="003B237B" w:rsidRPr="00A77AF6" w:rsidRDefault="003B237B" w:rsidP="00B34D41">
            <w:pPr>
              <w:spacing w:after="0" w:line="240"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utilitarian</w:t>
            </w:r>
          </w:p>
        </w:tc>
        <w:tc>
          <w:tcPr>
            <w:tcW w:w="1417" w:type="dxa"/>
            <w:tcBorders>
              <w:top w:val="nil"/>
              <w:left w:val="single" w:sz="4" w:space="0" w:color="auto"/>
              <w:right w:val="single" w:sz="4" w:space="0" w:color="auto"/>
            </w:tcBorders>
            <w:shd w:val="clear" w:color="auto" w:fill="FFFFFF" w:themeFill="background1"/>
            <w:vAlign w:val="center"/>
          </w:tcPr>
          <w:p w14:paraId="265C8708" w14:textId="77777777" w:rsidR="003B237B" w:rsidRPr="00A77AF6" w:rsidRDefault="003B237B" w:rsidP="00B34D41">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1</w:t>
            </w:r>
          </w:p>
        </w:tc>
        <w:tc>
          <w:tcPr>
            <w:tcW w:w="567" w:type="dxa"/>
            <w:tcBorders>
              <w:top w:val="nil"/>
              <w:left w:val="single" w:sz="4" w:space="0" w:color="auto"/>
              <w:right w:val="single" w:sz="4" w:space="0" w:color="auto"/>
            </w:tcBorders>
            <w:shd w:val="clear" w:color="auto" w:fill="FFFFFF" w:themeFill="background1"/>
            <w:vAlign w:val="center"/>
          </w:tcPr>
          <w:p w14:paraId="46B4FBF2" w14:textId="77777777" w:rsidR="003B237B" w:rsidRPr="00A77AF6" w:rsidRDefault="003B237B" w:rsidP="00B34D41">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2</w:t>
            </w:r>
          </w:p>
        </w:tc>
        <w:tc>
          <w:tcPr>
            <w:tcW w:w="1985" w:type="dxa"/>
            <w:tcBorders>
              <w:top w:val="nil"/>
              <w:left w:val="single" w:sz="4" w:space="0" w:color="auto"/>
              <w:right w:val="single" w:sz="4" w:space="0" w:color="auto"/>
            </w:tcBorders>
            <w:shd w:val="clear" w:color="auto" w:fill="FFFFFF" w:themeFill="background1"/>
            <w:vAlign w:val="center"/>
          </w:tcPr>
          <w:p w14:paraId="28325C0A" w14:textId="77777777" w:rsidR="003B237B" w:rsidRPr="00A77AF6" w:rsidRDefault="003B237B" w:rsidP="00B34D41">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7</w:t>
            </w:r>
          </w:p>
        </w:tc>
      </w:tr>
      <w:tr w:rsidR="003B237B" w:rsidRPr="00A77AF6" w14:paraId="45BDD48D" w14:textId="77777777" w:rsidTr="00F878A8">
        <w:trPr>
          <w:trHeight w:val="300"/>
        </w:trPr>
        <w:tc>
          <w:tcPr>
            <w:tcW w:w="1413" w:type="dxa"/>
            <w:tcBorders>
              <w:left w:val="single" w:sz="4" w:space="0" w:color="auto"/>
              <w:bottom w:val="single" w:sz="4" w:space="0" w:color="auto"/>
              <w:right w:val="single" w:sz="4" w:space="0" w:color="auto"/>
            </w:tcBorders>
            <w:shd w:val="clear" w:color="auto" w:fill="FFFFFF" w:themeFill="background1"/>
            <w:noWrap/>
            <w:vAlign w:val="center"/>
          </w:tcPr>
          <w:p w14:paraId="7118AF1A" w14:textId="77777777" w:rsidR="003B237B" w:rsidRPr="00A77AF6" w:rsidRDefault="003B237B" w:rsidP="00B34D41">
            <w:pPr>
              <w:spacing w:after="0" w:line="240" w:lineRule="auto"/>
              <w:rPr>
                <w:rFonts w:ascii="Calibri" w:eastAsia="Times New Roman" w:hAnsi="Calibri" w:cs="Times New Roman"/>
                <w:color w:val="000000"/>
                <w:sz w:val="20"/>
                <w:lang w:eastAsia="en-GB"/>
              </w:rPr>
            </w:pPr>
          </w:p>
        </w:tc>
        <w:tc>
          <w:tcPr>
            <w:tcW w:w="1843" w:type="dxa"/>
            <w:tcBorders>
              <w:left w:val="single" w:sz="4" w:space="0" w:color="auto"/>
              <w:bottom w:val="single" w:sz="4" w:space="0" w:color="auto"/>
              <w:right w:val="single" w:sz="4" w:space="0" w:color="auto"/>
            </w:tcBorders>
            <w:shd w:val="clear" w:color="auto" w:fill="FFFFFF" w:themeFill="background1"/>
            <w:vAlign w:val="center"/>
          </w:tcPr>
          <w:p w14:paraId="5B026CBC" w14:textId="145F5BBD" w:rsidR="003B237B" w:rsidRPr="00A77AF6" w:rsidRDefault="00EF28E2" w:rsidP="00B34D41">
            <w:pPr>
              <w:spacing w:after="0" w:line="240"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neither</w:t>
            </w:r>
          </w:p>
        </w:tc>
        <w:tc>
          <w:tcPr>
            <w:tcW w:w="1417" w:type="dxa"/>
            <w:tcBorders>
              <w:left w:val="single" w:sz="4" w:space="0" w:color="auto"/>
              <w:bottom w:val="single" w:sz="4" w:space="0" w:color="auto"/>
              <w:right w:val="single" w:sz="4" w:space="0" w:color="auto"/>
            </w:tcBorders>
            <w:shd w:val="clear" w:color="auto" w:fill="FFFFFF" w:themeFill="background1"/>
            <w:vAlign w:val="center"/>
          </w:tcPr>
          <w:p w14:paraId="07123E8B" w14:textId="77777777" w:rsidR="003B237B" w:rsidRPr="00A77AF6" w:rsidRDefault="003B237B" w:rsidP="00B34D41">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1</w:t>
            </w:r>
          </w:p>
        </w:tc>
        <w:tc>
          <w:tcPr>
            <w:tcW w:w="567" w:type="dxa"/>
            <w:tcBorders>
              <w:left w:val="single" w:sz="4" w:space="0" w:color="auto"/>
              <w:bottom w:val="single" w:sz="4" w:space="0" w:color="auto"/>
              <w:right w:val="single" w:sz="4" w:space="0" w:color="auto"/>
            </w:tcBorders>
            <w:shd w:val="clear" w:color="auto" w:fill="FFFFFF" w:themeFill="background1"/>
            <w:vAlign w:val="center"/>
          </w:tcPr>
          <w:p w14:paraId="61F61098" w14:textId="77777777" w:rsidR="003B237B" w:rsidRPr="00A77AF6" w:rsidRDefault="003B237B" w:rsidP="00B34D41">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2</w:t>
            </w:r>
          </w:p>
        </w:tc>
        <w:tc>
          <w:tcPr>
            <w:tcW w:w="1985" w:type="dxa"/>
            <w:tcBorders>
              <w:left w:val="single" w:sz="4" w:space="0" w:color="auto"/>
              <w:bottom w:val="single" w:sz="4" w:space="0" w:color="auto"/>
              <w:right w:val="single" w:sz="4" w:space="0" w:color="auto"/>
            </w:tcBorders>
            <w:shd w:val="clear" w:color="auto" w:fill="FFFFFF" w:themeFill="background1"/>
            <w:vAlign w:val="center"/>
          </w:tcPr>
          <w:p w14:paraId="37E7769A" w14:textId="77777777" w:rsidR="003B237B" w:rsidRPr="00A77AF6" w:rsidRDefault="003B237B" w:rsidP="00B34D41">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7</w:t>
            </w:r>
          </w:p>
        </w:tc>
      </w:tr>
      <w:tr w:rsidR="003B237B" w:rsidRPr="00A77AF6" w14:paraId="7CD810F1" w14:textId="77777777" w:rsidTr="00F878A8">
        <w:trPr>
          <w:trHeight w:val="300"/>
        </w:trPr>
        <w:tc>
          <w:tcPr>
            <w:tcW w:w="1413" w:type="dxa"/>
            <w:tcBorders>
              <w:top w:val="single" w:sz="4" w:space="0" w:color="auto"/>
            </w:tcBorders>
            <w:shd w:val="clear" w:color="auto" w:fill="FFFFFF" w:themeFill="background1"/>
            <w:noWrap/>
            <w:vAlign w:val="bottom"/>
          </w:tcPr>
          <w:p w14:paraId="1E900090" w14:textId="77777777" w:rsidR="003B237B" w:rsidRPr="00A77AF6" w:rsidRDefault="003B237B" w:rsidP="00B34D41">
            <w:pPr>
              <w:spacing w:after="0" w:line="240" w:lineRule="auto"/>
              <w:rPr>
                <w:rFonts w:ascii="Calibri" w:eastAsia="Times New Roman" w:hAnsi="Calibri" w:cs="Times New Roman"/>
                <w:color w:val="000000"/>
                <w:sz w:val="20"/>
                <w:lang w:eastAsia="en-GB"/>
              </w:rPr>
            </w:pPr>
          </w:p>
        </w:tc>
        <w:tc>
          <w:tcPr>
            <w:tcW w:w="1843" w:type="dxa"/>
            <w:tcBorders>
              <w:top w:val="single" w:sz="4" w:space="0" w:color="auto"/>
              <w:right w:val="single" w:sz="4" w:space="0" w:color="auto"/>
            </w:tcBorders>
            <w:shd w:val="clear" w:color="auto" w:fill="FFFFFF" w:themeFill="background1"/>
          </w:tcPr>
          <w:p w14:paraId="157257E7" w14:textId="77777777" w:rsidR="003B237B" w:rsidRPr="00A77AF6" w:rsidRDefault="003B237B" w:rsidP="00B34D41">
            <w:pPr>
              <w:spacing w:after="0" w:line="240"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 xml:space="preserve">Total </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EA2E63F" w14:textId="77777777" w:rsidR="003B237B" w:rsidRPr="00A77AF6" w:rsidRDefault="003B237B" w:rsidP="00B34D41">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51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A67FAF8" w14:textId="77777777" w:rsidR="003B237B" w:rsidRPr="00A77AF6" w:rsidRDefault="003B237B" w:rsidP="00B34D41">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101</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7213CE23" w14:textId="0D8AE808" w:rsidR="003B237B" w:rsidRPr="00A77AF6" w:rsidRDefault="00F878A8" w:rsidP="00B34D41">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 xml:space="preserve">                    100</w:t>
            </w:r>
          </w:p>
        </w:tc>
      </w:tr>
    </w:tbl>
    <w:p w14:paraId="080EF40D" w14:textId="77777777" w:rsidR="003B237B" w:rsidRPr="00A77AF6" w:rsidRDefault="003B237B" w:rsidP="003B237B"/>
    <w:p w14:paraId="3B7D43EB" w14:textId="4C59EB50" w:rsidR="00354EE1" w:rsidRPr="00A77AF6" w:rsidRDefault="00C548C9" w:rsidP="00F878A8">
      <w:pPr>
        <w:pStyle w:val="Heading3"/>
        <w:spacing w:after="120"/>
      </w:pPr>
      <w:bookmarkStart w:id="143" w:name="_Toc36275116"/>
      <w:r w:rsidRPr="00A77AF6">
        <w:t>E</w:t>
      </w:r>
      <w:r w:rsidR="00354EE1" w:rsidRPr="00A77AF6">
        <w:t xml:space="preserve">thical predisposition </w:t>
      </w:r>
      <w:r w:rsidRPr="00A77AF6">
        <w:t>and age</w:t>
      </w:r>
      <w:bookmarkEnd w:id="143"/>
    </w:p>
    <w:p w14:paraId="4FA3753F" w14:textId="3F4B300C" w:rsidR="00354EE1" w:rsidRPr="00A77AF6" w:rsidRDefault="00183EC8" w:rsidP="00183EC8">
      <w:pPr>
        <w:spacing w:line="360" w:lineRule="auto"/>
      </w:pPr>
      <w:r w:rsidRPr="00A77AF6">
        <w:t>L</w:t>
      </w:r>
      <w:r w:rsidR="00BE0169" w:rsidRPr="00A77AF6">
        <w:t>iterature suggest</w:t>
      </w:r>
      <w:r w:rsidR="00F2454B" w:rsidRPr="00A77AF6">
        <w:t>s</w:t>
      </w:r>
      <w:r w:rsidR="00BE0169" w:rsidRPr="00A77AF6">
        <w:t xml:space="preserve"> that older people</w:t>
      </w:r>
      <w:r w:rsidRPr="00A77AF6">
        <w:t xml:space="preserve"> (</w:t>
      </w:r>
      <w:r w:rsidR="00BE0169" w:rsidRPr="00A77AF6">
        <w:t>40 years old or above</w:t>
      </w:r>
      <w:r w:rsidRPr="00A77AF6">
        <w:t>)</w:t>
      </w:r>
      <w:r w:rsidR="00136150" w:rsidRPr="00A77AF6">
        <w:t>,</w:t>
      </w:r>
      <w:r w:rsidR="00BE0169" w:rsidRPr="00A77AF6">
        <w:t xml:space="preserve"> are more likely to be formalist than younger people</w:t>
      </w:r>
      <w:r w:rsidR="00136150" w:rsidRPr="00A77AF6">
        <w:t xml:space="preserve"> </w:t>
      </w:r>
      <w:r w:rsidR="009C479E" w:rsidRPr="00A77AF6">
        <w:t>(</w:t>
      </w:r>
      <w:r w:rsidR="00F51ABF" w:rsidRPr="00A77AF6">
        <w:t xml:space="preserve">Ruegger </w:t>
      </w:r>
      <w:r w:rsidR="00042ADC" w:rsidRPr="00A77AF6">
        <w:t>&amp;</w:t>
      </w:r>
      <w:r w:rsidR="00F51ABF" w:rsidRPr="00A77AF6">
        <w:t xml:space="preserve"> King</w:t>
      </w:r>
      <w:r w:rsidR="009C479E" w:rsidRPr="00A77AF6">
        <w:t xml:space="preserve">, </w:t>
      </w:r>
      <w:r w:rsidR="00F51ABF" w:rsidRPr="00A77AF6">
        <w:t>1992</w:t>
      </w:r>
      <w:r w:rsidR="009C479E" w:rsidRPr="00A77AF6">
        <w:t xml:space="preserve">, Fritzsche </w:t>
      </w:r>
      <w:r w:rsidR="00042ADC" w:rsidRPr="00A77AF6">
        <w:t>&amp;</w:t>
      </w:r>
      <w:r w:rsidR="009C479E" w:rsidRPr="00A77AF6">
        <w:t xml:space="preserve"> Becker</w:t>
      </w:r>
      <w:r w:rsidR="00963F23" w:rsidRPr="00A77AF6">
        <w:t xml:space="preserve">, </w:t>
      </w:r>
      <w:r w:rsidR="009C479E" w:rsidRPr="00A77AF6">
        <w:t xml:space="preserve">1984 and Brady </w:t>
      </w:r>
      <w:r w:rsidR="00042ADC" w:rsidRPr="00A77AF6">
        <w:t>&amp;</w:t>
      </w:r>
      <w:r w:rsidR="009C479E" w:rsidRPr="00A77AF6">
        <w:t xml:space="preserve"> Wheeler, 1</w:t>
      </w:r>
      <w:r w:rsidR="00136150" w:rsidRPr="00A77AF6">
        <w:t>99</w:t>
      </w:r>
      <w:r w:rsidR="009C479E" w:rsidRPr="00A77AF6">
        <w:t>6</w:t>
      </w:r>
      <w:r w:rsidR="00E24AA1" w:rsidRPr="00A77AF6">
        <w:t>)</w:t>
      </w:r>
      <w:r w:rsidR="005D7BE5" w:rsidRPr="00A77AF6">
        <w:t xml:space="preserve">. </w:t>
      </w:r>
      <w:r w:rsidR="00863328" w:rsidRPr="00A77AF6">
        <w:t xml:space="preserve"> T</w:t>
      </w:r>
      <w:r w:rsidR="005D7BE5" w:rsidRPr="00A77AF6">
        <w:t xml:space="preserve">he literature was more </w:t>
      </w:r>
      <w:r w:rsidR="005D7BE5" w:rsidRPr="00A77AF6">
        <w:rPr>
          <w:color w:val="000000" w:themeColor="text1"/>
        </w:rPr>
        <w:t xml:space="preserve">certain about </w:t>
      </w:r>
      <w:r w:rsidR="00CD1724" w:rsidRPr="00A77AF6">
        <w:rPr>
          <w:color w:val="000000" w:themeColor="text1"/>
        </w:rPr>
        <w:t>age</w:t>
      </w:r>
      <w:r w:rsidR="005D7BE5" w:rsidRPr="00A77AF6">
        <w:rPr>
          <w:color w:val="000000" w:themeColor="text1"/>
        </w:rPr>
        <w:t xml:space="preserve"> than any other factor as a predictor of </w:t>
      </w:r>
      <w:r w:rsidR="00142742" w:rsidRPr="00A77AF6">
        <w:rPr>
          <w:color w:val="000000" w:themeColor="text1"/>
        </w:rPr>
        <w:t xml:space="preserve">formalism as an </w:t>
      </w:r>
      <w:r w:rsidR="005D7BE5" w:rsidRPr="00A77AF6">
        <w:rPr>
          <w:color w:val="000000" w:themeColor="text1"/>
        </w:rPr>
        <w:t>ethical predisposition</w:t>
      </w:r>
      <w:r w:rsidR="00245BE9" w:rsidRPr="00A77AF6">
        <w:rPr>
          <w:color w:val="000000" w:themeColor="text1"/>
        </w:rPr>
        <w:t>.</w:t>
      </w:r>
      <w:r w:rsidR="005D7BE5" w:rsidRPr="00A77AF6">
        <w:rPr>
          <w:color w:val="000000" w:themeColor="text1"/>
        </w:rPr>
        <w:t xml:space="preserve">  </w:t>
      </w:r>
      <w:r w:rsidR="00CD1724" w:rsidRPr="00A77AF6">
        <w:rPr>
          <w:color w:val="000000" w:themeColor="text1"/>
        </w:rPr>
        <w:t>The</w:t>
      </w:r>
      <w:r w:rsidR="00BE0169" w:rsidRPr="00A77AF6">
        <w:rPr>
          <w:color w:val="000000" w:themeColor="text1"/>
        </w:rPr>
        <w:t xml:space="preserve"> results of this study </w:t>
      </w:r>
      <w:r w:rsidR="00142742" w:rsidRPr="00A77AF6">
        <w:rPr>
          <w:color w:val="000000" w:themeColor="text1"/>
        </w:rPr>
        <w:t>challenged the literature</w:t>
      </w:r>
      <w:r w:rsidR="003F4CA9" w:rsidRPr="00A77AF6">
        <w:rPr>
          <w:color w:val="000000" w:themeColor="text1"/>
        </w:rPr>
        <w:t>,</w:t>
      </w:r>
      <w:r w:rsidR="00142742" w:rsidRPr="00A77AF6">
        <w:rPr>
          <w:color w:val="000000" w:themeColor="text1"/>
        </w:rPr>
        <w:t xml:space="preserve"> as</w:t>
      </w:r>
      <w:r w:rsidR="00CD1724" w:rsidRPr="00A77AF6">
        <w:rPr>
          <w:color w:val="000000" w:themeColor="text1"/>
        </w:rPr>
        <w:t xml:space="preserve"> </w:t>
      </w:r>
      <w:r w:rsidR="00BE0169" w:rsidRPr="00A77AF6">
        <w:rPr>
          <w:color w:val="000000" w:themeColor="text1"/>
        </w:rPr>
        <w:t>f</w:t>
      </w:r>
      <w:r w:rsidR="00354EE1" w:rsidRPr="00A77AF6">
        <w:rPr>
          <w:color w:val="000000" w:themeColor="text1"/>
        </w:rPr>
        <w:t>ormalism is predominant in both age group</w:t>
      </w:r>
      <w:r w:rsidR="00BE0169" w:rsidRPr="00A77AF6">
        <w:rPr>
          <w:color w:val="000000" w:themeColor="text1"/>
        </w:rPr>
        <w:t>s</w:t>
      </w:r>
      <w:r w:rsidR="00CC7B3B" w:rsidRPr="00A77AF6">
        <w:t xml:space="preserve">, </w:t>
      </w:r>
      <w:r w:rsidR="00136150" w:rsidRPr="00A77AF6">
        <w:t xml:space="preserve">not just older people, </w:t>
      </w:r>
      <w:r w:rsidR="00CC7B3B" w:rsidRPr="00A77AF6">
        <w:t xml:space="preserve">although the </w:t>
      </w:r>
      <w:r w:rsidR="00286C4C" w:rsidRPr="00A77AF6">
        <w:t>younger age group is rather small</w:t>
      </w:r>
      <w:r w:rsidR="00986984" w:rsidRPr="00A77AF6">
        <w:t xml:space="preserve"> in this sample</w:t>
      </w:r>
      <w:r w:rsidR="00286C4C" w:rsidRPr="00A77AF6">
        <w:t xml:space="preserve">. </w:t>
      </w:r>
      <w:r w:rsidR="00963F23" w:rsidRPr="00A77AF6">
        <w:t xml:space="preserve"> </w:t>
      </w:r>
      <w:r w:rsidRPr="00A77AF6">
        <w:t>F</w:t>
      </w:r>
      <w:r w:rsidR="00142742" w:rsidRPr="00A77AF6">
        <w:t>orty-</w:t>
      </w:r>
      <w:r w:rsidR="00E947B6" w:rsidRPr="00A77AF6">
        <w:t>five (</w:t>
      </w:r>
      <w:r w:rsidR="00E84AE1" w:rsidRPr="00A77AF6">
        <w:t>88%) of the sample was formalist regardless of age</w:t>
      </w:r>
      <w:r w:rsidRPr="00A77AF6">
        <w:t xml:space="preserve"> (Table </w:t>
      </w:r>
      <w:r w:rsidR="00F42B34" w:rsidRPr="00A77AF6">
        <w:t>6-6</w:t>
      </w:r>
      <w:r w:rsidRPr="00A77AF6">
        <w:t>)</w:t>
      </w:r>
      <w:r w:rsidR="00E84AE1" w:rsidRPr="00A77AF6">
        <w:t xml:space="preserve">. </w:t>
      </w:r>
      <w:r w:rsidR="00963F23" w:rsidRPr="00A77AF6">
        <w:t xml:space="preserve">The </w:t>
      </w:r>
      <w:r w:rsidR="00335C3C" w:rsidRPr="00A77AF6">
        <w:t>strength</w:t>
      </w:r>
      <w:r w:rsidR="00963F23" w:rsidRPr="00A77AF6">
        <w:t xml:space="preserve"> of formalism </w:t>
      </w:r>
      <w:r w:rsidR="00292BDC" w:rsidRPr="00A77AF6">
        <w:t xml:space="preserve">in </w:t>
      </w:r>
      <w:r w:rsidR="00963F23" w:rsidRPr="00A77AF6">
        <w:t>the older age group could be expected based on</w:t>
      </w:r>
      <w:r w:rsidRPr="00A77AF6">
        <w:t xml:space="preserve"> previous research, </w:t>
      </w:r>
      <w:r w:rsidR="00963F23" w:rsidRPr="00A77AF6">
        <w:t xml:space="preserve">but the predominance of formalism in younger people was not expected. </w:t>
      </w:r>
      <w:r w:rsidR="00E84AE1" w:rsidRPr="00A77AF6">
        <w:t>T</w:t>
      </w:r>
      <w:r w:rsidR="00DD1AAF" w:rsidRPr="00A77AF6">
        <w:t xml:space="preserve">here </w:t>
      </w:r>
      <w:r w:rsidR="00681C1A" w:rsidRPr="00A77AF6">
        <w:t>was</w:t>
      </w:r>
      <w:r w:rsidR="00DD1AAF" w:rsidRPr="00A77AF6">
        <w:t xml:space="preserve"> only </w:t>
      </w:r>
      <w:r w:rsidR="00354EE1" w:rsidRPr="00A77AF6">
        <w:t xml:space="preserve">one utilitarian in the </w:t>
      </w:r>
      <w:r w:rsidR="00292BDC" w:rsidRPr="00A77AF6">
        <w:t>younger age group,</w:t>
      </w:r>
      <w:r w:rsidR="00E84AE1" w:rsidRPr="00A77AF6">
        <w:t xml:space="preserve"> when more might have been expected.  </w:t>
      </w:r>
      <w:r w:rsidR="00292BDC" w:rsidRPr="00A77AF6">
        <w:t xml:space="preserve"> Only</w:t>
      </w:r>
      <w:r w:rsidR="00142742" w:rsidRPr="00A77AF6">
        <w:t xml:space="preserve"> three</w:t>
      </w:r>
      <w:r w:rsidR="00E84AE1" w:rsidRPr="00A77AF6">
        <w:t xml:space="preserve"> </w:t>
      </w:r>
      <w:r w:rsidR="00292BDC" w:rsidRPr="00A77AF6">
        <w:t>people in the 40+ age group ha</w:t>
      </w:r>
      <w:r w:rsidR="00E84AE1" w:rsidRPr="00A77AF6">
        <w:t>d</w:t>
      </w:r>
      <w:r w:rsidR="00292BDC" w:rsidRPr="00A77AF6">
        <w:t xml:space="preserve"> a predisposition to </w:t>
      </w:r>
      <w:r w:rsidR="00EF28E2" w:rsidRPr="00A77AF6">
        <w:t>utilitarianism,</w:t>
      </w:r>
      <w:r w:rsidR="00292BDC" w:rsidRPr="00A77AF6">
        <w:t xml:space="preserve"> </w:t>
      </w:r>
      <w:r w:rsidR="00681C1A" w:rsidRPr="00A77AF6">
        <w:t>and this</w:t>
      </w:r>
      <w:r w:rsidR="00292BDC" w:rsidRPr="00A77AF6">
        <w:t xml:space="preserve"> </w:t>
      </w:r>
      <w:r w:rsidR="00E84AE1" w:rsidRPr="00A77AF6">
        <w:t>wa</w:t>
      </w:r>
      <w:r w:rsidR="00292BDC" w:rsidRPr="00A77AF6">
        <w:t>s to be expected based on the literature.</w:t>
      </w:r>
    </w:p>
    <w:p w14:paraId="4CD5DAC9" w14:textId="1DFCB7ED" w:rsidR="00354EE1" w:rsidRPr="00A77AF6" w:rsidRDefault="00354EE1" w:rsidP="002D2211">
      <w:pPr>
        <w:pStyle w:val="Caption"/>
        <w:keepNext/>
        <w:spacing w:after="120"/>
      </w:pPr>
      <w:bookmarkStart w:id="144" w:name="_Toc519071682"/>
      <w:r w:rsidRPr="00A77AF6">
        <w:t xml:space="preserve">Table </w:t>
      </w:r>
      <w:fldSimple w:instr=" STYLEREF 1 \s ">
        <w:r w:rsidR="000441F7">
          <w:rPr>
            <w:noProof/>
          </w:rPr>
          <w:t>6</w:t>
        </w:r>
      </w:fldSimple>
      <w:r w:rsidR="00804112">
        <w:noBreakHyphen/>
      </w:r>
      <w:fldSimple w:instr=" SEQ Table \* ARABIC \s 1 ">
        <w:r w:rsidR="000441F7">
          <w:rPr>
            <w:noProof/>
          </w:rPr>
          <w:t>6</w:t>
        </w:r>
      </w:fldSimple>
      <w:r w:rsidRPr="00A77AF6">
        <w:t xml:space="preserve"> Age and ethical predisposition</w:t>
      </w:r>
      <w:bookmarkEnd w:id="144"/>
      <w:r w:rsidR="00F66AE9" w:rsidRPr="00A77AF6">
        <w:t xml:space="preserve"> (</w:t>
      </w:r>
      <w:r w:rsidR="00F878A8" w:rsidRPr="00A77AF6">
        <w:t>n</w:t>
      </w:r>
      <w:r w:rsidR="00F66AE9" w:rsidRPr="00A77AF6">
        <w:t xml:space="preserve"> = 51)</w:t>
      </w:r>
    </w:p>
    <w:tbl>
      <w:tblPr>
        <w:tblW w:w="5665" w:type="dxa"/>
        <w:shd w:val="clear" w:color="auto" w:fill="FFFFFF" w:themeFill="background1"/>
        <w:tblLayout w:type="fixed"/>
        <w:tblLook w:val="04A0" w:firstRow="1" w:lastRow="0" w:firstColumn="1" w:lastColumn="0" w:noHBand="0" w:noVBand="1"/>
      </w:tblPr>
      <w:tblGrid>
        <w:gridCol w:w="2263"/>
        <w:gridCol w:w="1560"/>
        <w:gridCol w:w="921"/>
        <w:gridCol w:w="921"/>
      </w:tblGrid>
      <w:tr w:rsidR="00354EE1" w:rsidRPr="00A77AF6" w14:paraId="37A70F35" w14:textId="77777777" w:rsidTr="0021659F">
        <w:trPr>
          <w:trHeight w:val="300"/>
        </w:trPr>
        <w:tc>
          <w:tcPr>
            <w:tcW w:w="2263" w:type="dxa"/>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bottom"/>
            <w:hideMark/>
          </w:tcPr>
          <w:p w14:paraId="4337363F" w14:textId="77777777" w:rsidR="00354EE1" w:rsidRPr="00A77AF6" w:rsidRDefault="00354EE1" w:rsidP="0021659F">
            <w:pPr>
              <w:spacing w:after="0" w:line="240" w:lineRule="auto"/>
              <w:rPr>
                <w:rFonts w:ascii="Calibri" w:eastAsia="Times New Roman" w:hAnsi="Calibri" w:cs="Times New Roman"/>
                <w:b/>
                <w:color w:val="000000"/>
                <w:sz w:val="20"/>
                <w:lang w:eastAsia="en-GB"/>
              </w:rPr>
            </w:pPr>
            <w:r w:rsidRPr="00A77AF6">
              <w:rPr>
                <w:rFonts w:ascii="Calibri" w:eastAsia="Times New Roman" w:hAnsi="Calibri" w:cs="Times New Roman"/>
                <w:b/>
                <w:color w:val="000000"/>
                <w:sz w:val="20"/>
                <w:lang w:eastAsia="en-GB"/>
              </w:rPr>
              <w:t>Age</w:t>
            </w:r>
          </w:p>
          <w:p w14:paraId="3828F7F0" w14:textId="77777777" w:rsidR="00354EE1" w:rsidRPr="00A77AF6" w:rsidRDefault="00354EE1" w:rsidP="0021659F">
            <w:pPr>
              <w:spacing w:after="0" w:line="240" w:lineRule="auto"/>
              <w:rPr>
                <w:rFonts w:ascii="Calibri" w:eastAsia="Times New Roman" w:hAnsi="Calibri" w:cs="Times New Roman"/>
                <w:b/>
                <w:bCs/>
                <w:color w:val="000000"/>
                <w:sz w:val="20"/>
                <w:lang w:eastAsia="en-GB"/>
              </w:rPr>
            </w:pPr>
          </w:p>
        </w:tc>
        <w:tc>
          <w:tcPr>
            <w:tcW w:w="1560" w:type="dxa"/>
            <w:tcBorders>
              <w:top w:val="single" w:sz="4" w:space="0" w:color="auto"/>
              <w:left w:val="single" w:sz="4" w:space="0" w:color="auto"/>
              <w:bottom w:val="single" w:sz="4" w:space="0" w:color="000000"/>
              <w:right w:val="single" w:sz="4" w:space="0" w:color="auto"/>
            </w:tcBorders>
            <w:shd w:val="clear" w:color="auto" w:fill="D9D9D9" w:themeFill="background1" w:themeFillShade="D9"/>
          </w:tcPr>
          <w:p w14:paraId="16BC7EFE" w14:textId="77777777" w:rsidR="00354EE1" w:rsidRPr="00A77AF6" w:rsidRDefault="00354EE1" w:rsidP="0021659F">
            <w:pPr>
              <w:spacing w:after="0" w:line="240" w:lineRule="auto"/>
              <w:rPr>
                <w:rFonts w:ascii="Calibri" w:eastAsia="Times New Roman" w:hAnsi="Calibri" w:cs="Times New Roman"/>
                <w:b/>
                <w:bCs/>
                <w:color w:val="000000"/>
                <w:sz w:val="20"/>
                <w:lang w:eastAsia="en-GB"/>
              </w:rPr>
            </w:pPr>
            <w:r w:rsidRPr="00A77AF6">
              <w:rPr>
                <w:rFonts w:ascii="Calibri" w:eastAsia="Times New Roman" w:hAnsi="Calibri" w:cs="Times New Roman"/>
                <w:b/>
                <w:bCs/>
                <w:color w:val="000000"/>
                <w:sz w:val="20"/>
                <w:lang w:eastAsia="en-GB"/>
              </w:rPr>
              <w:t xml:space="preserve">Ethical predisposition </w:t>
            </w:r>
          </w:p>
        </w:tc>
        <w:tc>
          <w:tcPr>
            <w:tcW w:w="921"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bottom"/>
          </w:tcPr>
          <w:p w14:paraId="586090B7" w14:textId="77777777" w:rsidR="00354EE1" w:rsidRPr="00A77AF6" w:rsidRDefault="00354EE1" w:rsidP="0021659F">
            <w:pPr>
              <w:spacing w:after="0" w:line="240" w:lineRule="auto"/>
              <w:rPr>
                <w:rFonts w:ascii="Calibri" w:eastAsia="Times New Roman" w:hAnsi="Calibri" w:cs="Times New Roman"/>
                <w:b/>
                <w:bCs/>
                <w:color w:val="000000"/>
                <w:sz w:val="20"/>
                <w:lang w:eastAsia="en-GB"/>
              </w:rPr>
            </w:pPr>
            <w:r w:rsidRPr="00A77AF6">
              <w:rPr>
                <w:rFonts w:ascii="Calibri" w:eastAsia="Times New Roman" w:hAnsi="Calibri" w:cs="Times New Roman"/>
                <w:b/>
                <w:bCs/>
                <w:color w:val="000000"/>
                <w:sz w:val="20"/>
                <w:lang w:eastAsia="en-GB"/>
              </w:rPr>
              <w:t>Number</w:t>
            </w:r>
          </w:p>
          <w:p w14:paraId="0B9CB066" w14:textId="77777777" w:rsidR="00354EE1" w:rsidRPr="00A77AF6" w:rsidRDefault="00354EE1" w:rsidP="0021659F">
            <w:pPr>
              <w:spacing w:after="0" w:line="240" w:lineRule="auto"/>
              <w:rPr>
                <w:rFonts w:ascii="Calibri" w:eastAsia="Times New Roman" w:hAnsi="Calibri" w:cs="Times New Roman"/>
                <w:b/>
                <w:bCs/>
                <w:color w:val="000000"/>
                <w:sz w:val="20"/>
                <w:lang w:eastAsia="en-GB"/>
              </w:rPr>
            </w:pPr>
          </w:p>
        </w:tc>
        <w:tc>
          <w:tcPr>
            <w:tcW w:w="921" w:type="dxa"/>
            <w:tcBorders>
              <w:top w:val="single" w:sz="4" w:space="0" w:color="auto"/>
              <w:left w:val="single" w:sz="4" w:space="0" w:color="auto"/>
              <w:bottom w:val="single" w:sz="4" w:space="0" w:color="000000"/>
              <w:right w:val="single" w:sz="4" w:space="0" w:color="auto"/>
            </w:tcBorders>
            <w:shd w:val="clear" w:color="auto" w:fill="D9D9D9" w:themeFill="background1" w:themeFillShade="D9"/>
          </w:tcPr>
          <w:p w14:paraId="1527EC75" w14:textId="77777777" w:rsidR="00354EE1" w:rsidRPr="00A77AF6" w:rsidRDefault="00354EE1" w:rsidP="0021659F">
            <w:pPr>
              <w:spacing w:after="0" w:line="240" w:lineRule="auto"/>
              <w:jc w:val="right"/>
              <w:rPr>
                <w:rFonts w:ascii="Calibri" w:eastAsia="Times New Roman" w:hAnsi="Calibri" w:cs="Times New Roman"/>
                <w:b/>
                <w:bCs/>
                <w:color w:val="000000"/>
                <w:sz w:val="20"/>
                <w:lang w:eastAsia="en-GB"/>
              </w:rPr>
            </w:pPr>
            <w:r w:rsidRPr="00A77AF6">
              <w:rPr>
                <w:rFonts w:ascii="Calibri" w:eastAsia="Times New Roman" w:hAnsi="Calibri" w:cs="Times New Roman"/>
                <w:b/>
                <w:bCs/>
                <w:color w:val="000000"/>
                <w:sz w:val="20"/>
                <w:lang w:eastAsia="en-GB"/>
              </w:rPr>
              <w:t>%</w:t>
            </w:r>
          </w:p>
        </w:tc>
      </w:tr>
      <w:tr w:rsidR="00354EE1" w:rsidRPr="00A77AF6" w14:paraId="747AE15F" w14:textId="77777777" w:rsidTr="0021659F">
        <w:trPr>
          <w:trHeight w:val="300"/>
        </w:trPr>
        <w:tc>
          <w:tcPr>
            <w:tcW w:w="2263" w:type="dxa"/>
            <w:tcBorders>
              <w:top w:val="single" w:sz="4" w:space="0" w:color="000000"/>
              <w:left w:val="single" w:sz="4" w:space="0" w:color="000000"/>
              <w:right w:val="single" w:sz="4" w:space="0" w:color="auto"/>
            </w:tcBorders>
            <w:shd w:val="clear" w:color="auto" w:fill="FFFFFF" w:themeFill="background1"/>
            <w:noWrap/>
            <w:vAlign w:val="center"/>
            <w:hideMark/>
          </w:tcPr>
          <w:p w14:paraId="1EFF41C4" w14:textId="77777777" w:rsidR="00354EE1" w:rsidRPr="00A77AF6" w:rsidRDefault="00354EE1" w:rsidP="0062786D">
            <w:pPr>
              <w:spacing w:after="0" w:line="276"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40+ years old</w:t>
            </w:r>
          </w:p>
        </w:tc>
        <w:tc>
          <w:tcPr>
            <w:tcW w:w="1560" w:type="dxa"/>
            <w:tcBorders>
              <w:top w:val="single" w:sz="4" w:space="0" w:color="000000"/>
              <w:left w:val="single" w:sz="4" w:space="0" w:color="auto"/>
              <w:right w:val="single" w:sz="4" w:space="0" w:color="auto"/>
            </w:tcBorders>
            <w:shd w:val="clear" w:color="auto" w:fill="FFFFFF" w:themeFill="background1"/>
            <w:vAlign w:val="center"/>
          </w:tcPr>
          <w:p w14:paraId="418ACA0E" w14:textId="3E3D5AD9" w:rsidR="00354EE1" w:rsidRPr="00A77AF6" w:rsidRDefault="00E16A50" w:rsidP="0062786D">
            <w:pPr>
              <w:spacing w:after="0" w:line="276"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F</w:t>
            </w:r>
            <w:r w:rsidR="00354EE1" w:rsidRPr="00A77AF6">
              <w:rPr>
                <w:rFonts w:ascii="Calibri" w:eastAsia="Times New Roman" w:hAnsi="Calibri" w:cs="Times New Roman"/>
                <w:color w:val="000000"/>
                <w:sz w:val="20"/>
                <w:lang w:eastAsia="en-GB"/>
              </w:rPr>
              <w:t>ormalist</w:t>
            </w:r>
          </w:p>
        </w:tc>
        <w:tc>
          <w:tcPr>
            <w:tcW w:w="921" w:type="dxa"/>
            <w:tcBorders>
              <w:top w:val="single" w:sz="4" w:space="0" w:color="000000"/>
              <w:left w:val="single" w:sz="4" w:space="0" w:color="auto"/>
              <w:right w:val="single" w:sz="4" w:space="0" w:color="auto"/>
            </w:tcBorders>
            <w:shd w:val="clear" w:color="auto" w:fill="FFFFFF" w:themeFill="background1"/>
            <w:vAlign w:val="center"/>
          </w:tcPr>
          <w:p w14:paraId="04764A5D" w14:textId="77777777" w:rsidR="00354EE1" w:rsidRPr="00A77AF6" w:rsidRDefault="00354EE1" w:rsidP="0062786D">
            <w:pPr>
              <w:spacing w:after="0" w:line="276"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40</w:t>
            </w:r>
          </w:p>
        </w:tc>
        <w:tc>
          <w:tcPr>
            <w:tcW w:w="921" w:type="dxa"/>
            <w:tcBorders>
              <w:top w:val="single" w:sz="4" w:space="0" w:color="000000"/>
              <w:left w:val="single" w:sz="4" w:space="0" w:color="auto"/>
              <w:right w:val="single" w:sz="4" w:space="0" w:color="auto"/>
            </w:tcBorders>
            <w:shd w:val="clear" w:color="auto" w:fill="FFFFFF" w:themeFill="background1"/>
            <w:vAlign w:val="center"/>
          </w:tcPr>
          <w:p w14:paraId="490F8C01" w14:textId="77777777" w:rsidR="00354EE1" w:rsidRPr="00A77AF6" w:rsidRDefault="00354EE1" w:rsidP="0062786D">
            <w:pPr>
              <w:spacing w:after="0" w:line="276"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78</w:t>
            </w:r>
          </w:p>
        </w:tc>
      </w:tr>
      <w:tr w:rsidR="00354EE1" w:rsidRPr="00A77AF6" w14:paraId="530459F7" w14:textId="77777777" w:rsidTr="0062786D">
        <w:trPr>
          <w:trHeight w:val="300"/>
        </w:trPr>
        <w:tc>
          <w:tcPr>
            <w:tcW w:w="2263" w:type="dxa"/>
            <w:tcBorders>
              <w:top w:val="nil"/>
              <w:left w:val="single" w:sz="4" w:space="0" w:color="000000"/>
              <w:right w:val="single" w:sz="4" w:space="0" w:color="auto"/>
            </w:tcBorders>
            <w:shd w:val="clear" w:color="auto" w:fill="FFFFFF" w:themeFill="background1"/>
            <w:noWrap/>
            <w:vAlign w:val="center"/>
          </w:tcPr>
          <w:p w14:paraId="2924DFA4" w14:textId="4E27783D" w:rsidR="00354EE1" w:rsidRPr="00A77AF6" w:rsidRDefault="00354EE1" w:rsidP="0062786D">
            <w:pPr>
              <w:spacing w:after="0" w:line="276" w:lineRule="auto"/>
              <w:rPr>
                <w:rFonts w:ascii="Calibri" w:eastAsia="Times New Roman" w:hAnsi="Calibri" w:cs="Times New Roman"/>
                <w:color w:val="000000"/>
                <w:sz w:val="20"/>
                <w:lang w:eastAsia="en-GB"/>
              </w:rPr>
            </w:pPr>
          </w:p>
        </w:tc>
        <w:tc>
          <w:tcPr>
            <w:tcW w:w="1560" w:type="dxa"/>
            <w:tcBorders>
              <w:top w:val="nil"/>
              <w:left w:val="single" w:sz="4" w:space="0" w:color="auto"/>
              <w:right w:val="single" w:sz="4" w:space="0" w:color="auto"/>
            </w:tcBorders>
            <w:shd w:val="clear" w:color="auto" w:fill="FFFFFF" w:themeFill="background1"/>
            <w:vAlign w:val="center"/>
          </w:tcPr>
          <w:p w14:paraId="06A4603D" w14:textId="054D7282" w:rsidR="00354EE1" w:rsidRPr="00A77AF6" w:rsidRDefault="00E16A50" w:rsidP="0062786D">
            <w:pPr>
              <w:spacing w:after="0" w:line="276"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U</w:t>
            </w:r>
            <w:r w:rsidR="00354EE1" w:rsidRPr="00A77AF6">
              <w:rPr>
                <w:rFonts w:ascii="Calibri" w:eastAsia="Times New Roman" w:hAnsi="Calibri" w:cs="Times New Roman"/>
                <w:color w:val="000000"/>
                <w:sz w:val="20"/>
                <w:lang w:eastAsia="en-GB"/>
              </w:rPr>
              <w:t>tilitarian</w:t>
            </w:r>
          </w:p>
        </w:tc>
        <w:tc>
          <w:tcPr>
            <w:tcW w:w="921" w:type="dxa"/>
            <w:tcBorders>
              <w:top w:val="nil"/>
              <w:left w:val="single" w:sz="4" w:space="0" w:color="auto"/>
              <w:right w:val="single" w:sz="4" w:space="0" w:color="auto"/>
            </w:tcBorders>
            <w:shd w:val="clear" w:color="auto" w:fill="FFFFFF" w:themeFill="background1"/>
            <w:vAlign w:val="center"/>
          </w:tcPr>
          <w:p w14:paraId="6B0CA67A" w14:textId="77777777" w:rsidR="00354EE1" w:rsidRPr="00A77AF6" w:rsidRDefault="00354EE1" w:rsidP="0062786D">
            <w:pPr>
              <w:spacing w:after="0" w:line="276"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3</w:t>
            </w:r>
          </w:p>
        </w:tc>
        <w:tc>
          <w:tcPr>
            <w:tcW w:w="921" w:type="dxa"/>
            <w:tcBorders>
              <w:top w:val="nil"/>
              <w:left w:val="single" w:sz="4" w:space="0" w:color="auto"/>
              <w:right w:val="single" w:sz="4" w:space="0" w:color="auto"/>
            </w:tcBorders>
            <w:shd w:val="clear" w:color="auto" w:fill="FFFFFF" w:themeFill="background1"/>
            <w:vAlign w:val="center"/>
          </w:tcPr>
          <w:p w14:paraId="5F5B7780" w14:textId="77777777" w:rsidR="00354EE1" w:rsidRPr="00A77AF6" w:rsidRDefault="00354EE1" w:rsidP="0062786D">
            <w:pPr>
              <w:spacing w:after="0" w:line="276"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6</w:t>
            </w:r>
          </w:p>
        </w:tc>
      </w:tr>
      <w:tr w:rsidR="00354EE1" w:rsidRPr="00A77AF6" w14:paraId="1E871E4C" w14:textId="77777777" w:rsidTr="0021659F">
        <w:trPr>
          <w:trHeight w:val="300"/>
        </w:trPr>
        <w:tc>
          <w:tcPr>
            <w:tcW w:w="2263" w:type="dxa"/>
            <w:tcBorders>
              <w:top w:val="nil"/>
              <w:left w:val="single" w:sz="4" w:space="0" w:color="000000"/>
              <w:bottom w:val="single" w:sz="4" w:space="0" w:color="000000"/>
              <w:right w:val="single" w:sz="4" w:space="0" w:color="auto"/>
            </w:tcBorders>
            <w:shd w:val="clear" w:color="auto" w:fill="FFFFFF" w:themeFill="background1"/>
            <w:noWrap/>
            <w:vAlign w:val="center"/>
          </w:tcPr>
          <w:p w14:paraId="68FC4B38" w14:textId="5B3CAAFA" w:rsidR="00354EE1" w:rsidRPr="00A77AF6" w:rsidRDefault="00354EE1" w:rsidP="0062786D">
            <w:pPr>
              <w:spacing w:after="0" w:line="276" w:lineRule="auto"/>
              <w:rPr>
                <w:rFonts w:ascii="Calibri" w:eastAsia="Times New Roman" w:hAnsi="Calibri" w:cs="Times New Roman"/>
                <w:color w:val="000000"/>
                <w:sz w:val="20"/>
                <w:lang w:eastAsia="en-GB"/>
              </w:rPr>
            </w:pPr>
          </w:p>
        </w:tc>
        <w:tc>
          <w:tcPr>
            <w:tcW w:w="1560" w:type="dxa"/>
            <w:tcBorders>
              <w:top w:val="nil"/>
              <w:left w:val="single" w:sz="4" w:space="0" w:color="auto"/>
              <w:bottom w:val="single" w:sz="4" w:space="0" w:color="000000"/>
              <w:right w:val="single" w:sz="4" w:space="0" w:color="auto"/>
            </w:tcBorders>
            <w:shd w:val="clear" w:color="auto" w:fill="FFFFFF" w:themeFill="background1"/>
            <w:vAlign w:val="center"/>
          </w:tcPr>
          <w:p w14:paraId="31DE922A" w14:textId="1F3DDEBE" w:rsidR="00354EE1" w:rsidRPr="00A77AF6" w:rsidRDefault="00E16A50" w:rsidP="0062786D">
            <w:pPr>
              <w:spacing w:after="0" w:line="276"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N</w:t>
            </w:r>
            <w:r w:rsidR="00EF28E2" w:rsidRPr="00A77AF6">
              <w:rPr>
                <w:rFonts w:ascii="Calibri" w:eastAsia="Times New Roman" w:hAnsi="Calibri" w:cs="Times New Roman"/>
                <w:color w:val="000000"/>
                <w:sz w:val="20"/>
                <w:lang w:eastAsia="en-GB"/>
              </w:rPr>
              <w:t>either</w:t>
            </w:r>
          </w:p>
        </w:tc>
        <w:tc>
          <w:tcPr>
            <w:tcW w:w="921" w:type="dxa"/>
            <w:tcBorders>
              <w:top w:val="nil"/>
              <w:left w:val="single" w:sz="4" w:space="0" w:color="auto"/>
              <w:bottom w:val="single" w:sz="4" w:space="0" w:color="000000"/>
              <w:right w:val="single" w:sz="4" w:space="0" w:color="auto"/>
            </w:tcBorders>
            <w:shd w:val="clear" w:color="auto" w:fill="FFFFFF" w:themeFill="background1"/>
            <w:vAlign w:val="center"/>
          </w:tcPr>
          <w:p w14:paraId="429A2189" w14:textId="77777777" w:rsidR="00354EE1" w:rsidRPr="00A77AF6" w:rsidRDefault="00354EE1" w:rsidP="0062786D">
            <w:pPr>
              <w:spacing w:after="0" w:line="276"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2</w:t>
            </w:r>
          </w:p>
        </w:tc>
        <w:tc>
          <w:tcPr>
            <w:tcW w:w="921" w:type="dxa"/>
            <w:tcBorders>
              <w:top w:val="nil"/>
              <w:left w:val="single" w:sz="4" w:space="0" w:color="auto"/>
              <w:bottom w:val="single" w:sz="4" w:space="0" w:color="000000"/>
              <w:right w:val="single" w:sz="4" w:space="0" w:color="auto"/>
            </w:tcBorders>
            <w:shd w:val="clear" w:color="auto" w:fill="FFFFFF" w:themeFill="background1"/>
            <w:vAlign w:val="center"/>
          </w:tcPr>
          <w:p w14:paraId="2E055B2A" w14:textId="77777777" w:rsidR="00354EE1" w:rsidRPr="00A77AF6" w:rsidRDefault="00354EE1" w:rsidP="0062786D">
            <w:pPr>
              <w:spacing w:after="0" w:line="276"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4</w:t>
            </w:r>
          </w:p>
        </w:tc>
      </w:tr>
      <w:tr w:rsidR="00354EE1" w:rsidRPr="00A77AF6" w14:paraId="60897E60" w14:textId="77777777" w:rsidTr="0021659F">
        <w:trPr>
          <w:trHeight w:val="300"/>
        </w:trPr>
        <w:tc>
          <w:tcPr>
            <w:tcW w:w="2263" w:type="dxa"/>
            <w:tcBorders>
              <w:top w:val="single" w:sz="4" w:space="0" w:color="auto"/>
              <w:left w:val="single" w:sz="4" w:space="0" w:color="auto"/>
              <w:right w:val="single" w:sz="4" w:space="0" w:color="auto"/>
            </w:tcBorders>
            <w:shd w:val="clear" w:color="auto" w:fill="FFFFFF" w:themeFill="background1"/>
            <w:noWrap/>
            <w:vAlign w:val="center"/>
            <w:hideMark/>
          </w:tcPr>
          <w:p w14:paraId="40A1FA63" w14:textId="4CC6CA28" w:rsidR="00354EE1" w:rsidRPr="00A77AF6" w:rsidRDefault="00354EE1" w:rsidP="0062786D">
            <w:pPr>
              <w:spacing w:after="0" w:line="276"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 xml:space="preserve">39 years old </w:t>
            </w:r>
            <w:r w:rsidR="00BE1946" w:rsidRPr="00A77AF6">
              <w:rPr>
                <w:rFonts w:ascii="Calibri" w:eastAsia="Times New Roman" w:hAnsi="Calibri" w:cs="Times New Roman"/>
                <w:color w:val="000000"/>
                <w:sz w:val="20"/>
                <w:lang w:eastAsia="en-GB"/>
              </w:rPr>
              <w:t>or less</w:t>
            </w:r>
          </w:p>
        </w:tc>
        <w:tc>
          <w:tcPr>
            <w:tcW w:w="1560" w:type="dxa"/>
            <w:tcBorders>
              <w:top w:val="single" w:sz="4" w:space="0" w:color="auto"/>
              <w:left w:val="single" w:sz="4" w:space="0" w:color="auto"/>
              <w:right w:val="single" w:sz="4" w:space="0" w:color="auto"/>
            </w:tcBorders>
            <w:shd w:val="clear" w:color="auto" w:fill="FFFFFF" w:themeFill="background1"/>
            <w:vAlign w:val="center"/>
          </w:tcPr>
          <w:p w14:paraId="210F8B52" w14:textId="6BF3CBB9" w:rsidR="00354EE1" w:rsidRPr="00A77AF6" w:rsidRDefault="00E16A50" w:rsidP="0062786D">
            <w:pPr>
              <w:spacing w:after="0" w:line="276"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F</w:t>
            </w:r>
            <w:r w:rsidR="00354EE1" w:rsidRPr="00A77AF6">
              <w:rPr>
                <w:rFonts w:ascii="Calibri" w:eastAsia="Times New Roman" w:hAnsi="Calibri" w:cs="Times New Roman"/>
                <w:color w:val="000000"/>
                <w:sz w:val="20"/>
                <w:lang w:eastAsia="en-GB"/>
              </w:rPr>
              <w:t>ormalist</w:t>
            </w:r>
          </w:p>
        </w:tc>
        <w:tc>
          <w:tcPr>
            <w:tcW w:w="921" w:type="dxa"/>
            <w:tcBorders>
              <w:top w:val="single" w:sz="4" w:space="0" w:color="auto"/>
              <w:left w:val="single" w:sz="4" w:space="0" w:color="auto"/>
              <w:right w:val="single" w:sz="4" w:space="0" w:color="auto"/>
            </w:tcBorders>
            <w:shd w:val="clear" w:color="auto" w:fill="FFFFFF" w:themeFill="background1"/>
            <w:vAlign w:val="center"/>
          </w:tcPr>
          <w:p w14:paraId="6C609D15" w14:textId="77777777" w:rsidR="00354EE1" w:rsidRPr="00A77AF6" w:rsidRDefault="00354EE1" w:rsidP="0062786D">
            <w:pPr>
              <w:spacing w:after="0" w:line="276"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5</w:t>
            </w:r>
          </w:p>
        </w:tc>
        <w:tc>
          <w:tcPr>
            <w:tcW w:w="921" w:type="dxa"/>
            <w:tcBorders>
              <w:top w:val="single" w:sz="4" w:space="0" w:color="auto"/>
              <w:left w:val="single" w:sz="4" w:space="0" w:color="auto"/>
              <w:right w:val="single" w:sz="4" w:space="0" w:color="auto"/>
            </w:tcBorders>
            <w:shd w:val="clear" w:color="auto" w:fill="FFFFFF" w:themeFill="background1"/>
            <w:vAlign w:val="center"/>
          </w:tcPr>
          <w:p w14:paraId="517715BB" w14:textId="77777777" w:rsidR="00354EE1" w:rsidRPr="00A77AF6" w:rsidRDefault="00354EE1" w:rsidP="0062786D">
            <w:pPr>
              <w:spacing w:after="0" w:line="276"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10</w:t>
            </w:r>
          </w:p>
        </w:tc>
      </w:tr>
      <w:tr w:rsidR="00354EE1" w:rsidRPr="00A77AF6" w14:paraId="7705374D" w14:textId="77777777" w:rsidTr="0062786D">
        <w:trPr>
          <w:trHeight w:val="300"/>
        </w:trPr>
        <w:tc>
          <w:tcPr>
            <w:tcW w:w="2263" w:type="dxa"/>
            <w:tcBorders>
              <w:top w:val="nil"/>
              <w:left w:val="single" w:sz="4" w:space="0" w:color="auto"/>
              <w:right w:val="single" w:sz="4" w:space="0" w:color="auto"/>
            </w:tcBorders>
            <w:shd w:val="clear" w:color="auto" w:fill="FFFFFF" w:themeFill="background1"/>
            <w:noWrap/>
            <w:vAlign w:val="center"/>
          </w:tcPr>
          <w:p w14:paraId="15C201BE" w14:textId="41782B76" w:rsidR="00354EE1" w:rsidRPr="00A77AF6" w:rsidRDefault="00354EE1" w:rsidP="0062786D">
            <w:pPr>
              <w:spacing w:after="0" w:line="276" w:lineRule="auto"/>
              <w:rPr>
                <w:rFonts w:ascii="Calibri" w:eastAsia="Times New Roman" w:hAnsi="Calibri" w:cs="Times New Roman"/>
                <w:color w:val="000000"/>
                <w:sz w:val="20"/>
                <w:lang w:eastAsia="en-GB"/>
              </w:rPr>
            </w:pPr>
          </w:p>
        </w:tc>
        <w:tc>
          <w:tcPr>
            <w:tcW w:w="1560" w:type="dxa"/>
            <w:tcBorders>
              <w:top w:val="nil"/>
              <w:left w:val="single" w:sz="4" w:space="0" w:color="auto"/>
              <w:right w:val="single" w:sz="4" w:space="0" w:color="auto"/>
            </w:tcBorders>
            <w:shd w:val="clear" w:color="auto" w:fill="FFFFFF" w:themeFill="background1"/>
            <w:vAlign w:val="center"/>
          </w:tcPr>
          <w:p w14:paraId="4EC999D5" w14:textId="347F95BE" w:rsidR="00354EE1" w:rsidRPr="00A77AF6" w:rsidRDefault="00E16A50" w:rsidP="0062786D">
            <w:pPr>
              <w:spacing w:after="0" w:line="276"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U</w:t>
            </w:r>
            <w:r w:rsidR="00354EE1" w:rsidRPr="00A77AF6">
              <w:rPr>
                <w:rFonts w:ascii="Calibri" w:eastAsia="Times New Roman" w:hAnsi="Calibri" w:cs="Times New Roman"/>
                <w:color w:val="000000"/>
                <w:sz w:val="20"/>
                <w:lang w:eastAsia="en-GB"/>
              </w:rPr>
              <w:t>tilitarian</w:t>
            </w:r>
          </w:p>
        </w:tc>
        <w:tc>
          <w:tcPr>
            <w:tcW w:w="921" w:type="dxa"/>
            <w:tcBorders>
              <w:top w:val="nil"/>
              <w:left w:val="single" w:sz="4" w:space="0" w:color="auto"/>
              <w:right w:val="single" w:sz="4" w:space="0" w:color="auto"/>
            </w:tcBorders>
            <w:shd w:val="clear" w:color="auto" w:fill="FFFFFF" w:themeFill="background1"/>
            <w:vAlign w:val="center"/>
          </w:tcPr>
          <w:p w14:paraId="271F68FB" w14:textId="77777777" w:rsidR="00354EE1" w:rsidRPr="00A77AF6" w:rsidRDefault="00354EE1" w:rsidP="0062786D">
            <w:pPr>
              <w:spacing w:after="0" w:line="276"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1</w:t>
            </w:r>
          </w:p>
        </w:tc>
        <w:tc>
          <w:tcPr>
            <w:tcW w:w="921" w:type="dxa"/>
            <w:tcBorders>
              <w:top w:val="nil"/>
              <w:left w:val="single" w:sz="4" w:space="0" w:color="auto"/>
              <w:right w:val="single" w:sz="4" w:space="0" w:color="auto"/>
            </w:tcBorders>
            <w:shd w:val="clear" w:color="auto" w:fill="FFFFFF" w:themeFill="background1"/>
            <w:vAlign w:val="center"/>
          </w:tcPr>
          <w:p w14:paraId="7B0B2E89" w14:textId="77777777" w:rsidR="00354EE1" w:rsidRPr="00A77AF6" w:rsidRDefault="00354EE1" w:rsidP="0062786D">
            <w:pPr>
              <w:spacing w:after="0" w:line="276"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0</w:t>
            </w:r>
          </w:p>
        </w:tc>
      </w:tr>
      <w:tr w:rsidR="00354EE1" w:rsidRPr="00A77AF6" w14:paraId="23FDAC89" w14:textId="77777777" w:rsidTr="0062786D">
        <w:trPr>
          <w:trHeight w:val="300"/>
        </w:trPr>
        <w:tc>
          <w:tcPr>
            <w:tcW w:w="2263" w:type="dxa"/>
            <w:tcBorders>
              <w:left w:val="single" w:sz="4" w:space="0" w:color="auto"/>
              <w:bottom w:val="single" w:sz="4" w:space="0" w:color="auto"/>
              <w:right w:val="single" w:sz="4" w:space="0" w:color="auto"/>
            </w:tcBorders>
            <w:shd w:val="clear" w:color="auto" w:fill="FFFFFF" w:themeFill="background1"/>
            <w:noWrap/>
            <w:vAlign w:val="center"/>
          </w:tcPr>
          <w:p w14:paraId="1E2776CB" w14:textId="3A282443" w:rsidR="00354EE1" w:rsidRPr="00A77AF6" w:rsidRDefault="00354EE1" w:rsidP="0062786D">
            <w:pPr>
              <w:spacing w:after="0" w:line="276" w:lineRule="auto"/>
              <w:rPr>
                <w:rFonts w:ascii="Calibri" w:eastAsia="Times New Roman" w:hAnsi="Calibri" w:cs="Times New Roman"/>
                <w:color w:val="000000"/>
                <w:sz w:val="20"/>
                <w:lang w:eastAsia="en-GB"/>
              </w:rPr>
            </w:pPr>
          </w:p>
        </w:tc>
        <w:tc>
          <w:tcPr>
            <w:tcW w:w="1560" w:type="dxa"/>
            <w:tcBorders>
              <w:left w:val="single" w:sz="4" w:space="0" w:color="auto"/>
              <w:bottom w:val="single" w:sz="4" w:space="0" w:color="auto"/>
              <w:right w:val="single" w:sz="4" w:space="0" w:color="auto"/>
            </w:tcBorders>
            <w:shd w:val="clear" w:color="auto" w:fill="FFFFFF" w:themeFill="background1"/>
            <w:vAlign w:val="center"/>
          </w:tcPr>
          <w:p w14:paraId="6B04F9EC" w14:textId="2F0E3386" w:rsidR="00354EE1" w:rsidRPr="00A77AF6" w:rsidRDefault="00E16A50" w:rsidP="0062786D">
            <w:pPr>
              <w:spacing w:after="0" w:line="276"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N</w:t>
            </w:r>
            <w:r w:rsidR="00EF28E2" w:rsidRPr="00A77AF6">
              <w:rPr>
                <w:rFonts w:ascii="Calibri" w:eastAsia="Times New Roman" w:hAnsi="Calibri" w:cs="Times New Roman"/>
                <w:color w:val="000000"/>
                <w:sz w:val="20"/>
                <w:lang w:eastAsia="en-GB"/>
              </w:rPr>
              <w:t>either</w:t>
            </w:r>
          </w:p>
        </w:tc>
        <w:tc>
          <w:tcPr>
            <w:tcW w:w="921" w:type="dxa"/>
            <w:tcBorders>
              <w:left w:val="single" w:sz="4" w:space="0" w:color="auto"/>
              <w:bottom w:val="single" w:sz="4" w:space="0" w:color="auto"/>
              <w:right w:val="single" w:sz="4" w:space="0" w:color="auto"/>
            </w:tcBorders>
            <w:shd w:val="clear" w:color="auto" w:fill="FFFFFF" w:themeFill="background1"/>
            <w:vAlign w:val="center"/>
          </w:tcPr>
          <w:p w14:paraId="38F4CB12" w14:textId="77777777" w:rsidR="00354EE1" w:rsidRPr="00A77AF6" w:rsidRDefault="00354EE1" w:rsidP="0062786D">
            <w:pPr>
              <w:spacing w:after="0" w:line="276"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0</w:t>
            </w:r>
          </w:p>
        </w:tc>
        <w:tc>
          <w:tcPr>
            <w:tcW w:w="921" w:type="dxa"/>
            <w:tcBorders>
              <w:left w:val="single" w:sz="4" w:space="0" w:color="auto"/>
              <w:bottom w:val="single" w:sz="4" w:space="0" w:color="auto"/>
              <w:right w:val="single" w:sz="4" w:space="0" w:color="auto"/>
            </w:tcBorders>
            <w:shd w:val="clear" w:color="auto" w:fill="FFFFFF" w:themeFill="background1"/>
            <w:vAlign w:val="center"/>
          </w:tcPr>
          <w:p w14:paraId="221F4097" w14:textId="77777777" w:rsidR="00354EE1" w:rsidRPr="00A77AF6" w:rsidRDefault="00354EE1" w:rsidP="0062786D">
            <w:pPr>
              <w:spacing w:after="0" w:line="276"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0</w:t>
            </w:r>
          </w:p>
        </w:tc>
      </w:tr>
      <w:tr w:rsidR="00354EE1" w:rsidRPr="00A77AF6" w14:paraId="27D91E7A" w14:textId="77777777" w:rsidTr="0021659F">
        <w:trPr>
          <w:trHeight w:val="300"/>
        </w:trPr>
        <w:tc>
          <w:tcPr>
            <w:tcW w:w="2263" w:type="dxa"/>
            <w:tcBorders>
              <w:top w:val="single" w:sz="4" w:space="0" w:color="auto"/>
            </w:tcBorders>
            <w:shd w:val="clear" w:color="auto" w:fill="FFFFFF" w:themeFill="background1"/>
            <w:noWrap/>
            <w:vAlign w:val="bottom"/>
          </w:tcPr>
          <w:p w14:paraId="55D0C8C7" w14:textId="77777777" w:rsidR="00354EE1" w:rsidRPr="00A77AF6" w:rsidRDefault="00354EE1" w:rsidP="0021659F">
            <w:pPr>
              <w:spacing w:after="0" w:line="240" w:lineRule="auto"/>
              <w:rPr>
                <w:rFonts w:ascii="Calibri" w:eastAsia="Times New Roman" w:hAnsi="Calibri" w:cs="Times New Roman"/>
                <w:color w:val="000000"/>
                <w:sz w:val="20"/>
                <w:lang w:eastAsia="en-GB"/>
              </w:rPr>
            </w:pPr>
          </w:p>
        </w:tc>
        <w:tc>
          <w:tcPr>
            <w:tcW w:w="1560" w:type="dxa"/>
            <w:tcBorders>
              <w:top w:val="single" w:sz="4" w:space="0" w:color="auto"/>
              <w:right w:val="single" w:sz="4" w:space="0" w:color="auto"/>
            </w:tcBorders>
            <w:shd w:val="clear" w:color="auto" w:fill="FFFFFF" w:themeFill="background1"/>
          </w:tcPr>
          <w:p w14:paraId="45B35F4C" w14:textId="77777777" w:rsidR="00354EE1" w:rsidRPr="00A77AF6" w:rsidRDefault="00354EE1" w:rsidP="0021659F">
            <w:pPr>
              <w:spacing w:after="0" w:line="240"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 xml:space="preserve">Total </w:t>
            </w:r>
          </w:p>
        </w:tc>
        <w:tc>
          <w:tcPr>
            <w:tcW w:w="921" w:type="dxa"/>
            <w:tcBorders>
              <w:top w:val="single" w:sz="4" w:space="0" w:color="auto"/>
              <w:left w:val="single" w:sz="4" w:space="0" w:color="auto"/>
              <w:bottom w:val="single" w:sz="4" w:space="0" w:color="auto"/>
              <w:right w:val="single" w:sz="4" w:space="0" w:color="auto"/>
            </w:tcBorders>
            <w:shd w:val="clear" w:color="auto" w:fill="FFFFFF" w:themeFill="background1"/>
          </w:tcPr>
          <w:p w14:paraId="0D5BBAC2" w14:textId="77777777" w:rsidR="00354EE1" w:rsidRPr="00A77AF6" w:rsidRDefault="00354EE1" w:rsidP="0021659F">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51</w:t>
            </w:r>
          </w:p>
        </w:tc>
        <w:tc>
          <w:tcPr>
            <w:tcW w:w="921" w:type="dxa"/>
            <w:tcBorders>
              <w:top w:val="single" w:sz="4" w:space="0" w:color="auto"/>
              <w:left w:val="single" w:sz="4" w:space="0" w:color="auto"/>
              <w:bottom w:val="single" w:sz="4" w:space="0" w:color="auto"/>
              <w:right w:val="single" w:sz="4" w:space="0" w:color="auto"/>
            </w:tcBorders>
            <w:shd w:val="clear" w:color="auto" w:fill="FFFFFF" w:themeFill="background1"/>
          </w:tcPr>
          <w:p w14:paraId="13185748" w14:textId="77777777" w:rsidR="00354EE1" w:rsidRPr="00A77AF6" w:rsidRDefault="00354EE1" w:rsidP="0021659F">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100</w:t>
            </w:r>
          </w:p>
        </w:tc>
      </w:tr>
    </w:tbl>
    <w:p w14:paraId="4F73066F" w14:textId="77777777" w:rsidR="00354EE1" w:rsidRPr="00A77AF6" w:rsidRDefault="00354EE1" w:rsidP="00354EE1"/>
    <w:p w14:paraId="2C2ACDA1" w14:textId="34002362" w:rsidR="0066273C" w:rsidRPr="00A77AF6" w:rsidRDefault="0066273C" w:rsidP="00183EC8">
      <w:pPr>
        <w:spacing w:line="360" w:lineRule="auto"/>
      </w:pPr>
      <w:r w:rsidRPr="00A77AF6">
        <w:t xml:space="preserve">In summary, approximately 70% respondents were male and 30% were female; </w:t>
      </w:r>
      <w:r w:rsidR="00C628DE" w:rsidRPr="00A77AF6">
        <w:t xml:space="preserve">respondents were </w:t>
      </w:r>
      <w:r w:rsidRPr="00A77AF6">
        <w:t xml:space="preserve">project managers or directors, over forty years of age with </w:t>
      </w:r>
      <w:r w:rsidR="00ED4E7E" w:rsidRPr="00A77AF6">
        <w:t>stronger</w:t>
      </w:r>
      <w:r w:rsidR="00C628DE" w:rsidRPr="00A77AF6">
        <w:t xml:space="preserve"> </w:t>
      </w:r>
      <w:r w:rsidRPr="00A77AF6">
        <w:t>formalist</w:t>
      </w:r>
      <w:r w:rsidR="00BD7C59" w:rsidRPr="00A77AF6">
        <w:t xml:space="preserve">, than </w:t>
      </w:r>
      <w:r w:rsidR="00CD0F34" w:rsidRPr="00A77AF6">
        <w:t>utilitarian</w:t>
      </w:r>
      <w:r w:rsidRPr="00A77AF6">
        <w:t xml:space="preserve"> predisposition and most projects had been completed within the last </w:t>
      </w:r>
      <w:r w:rsidR="00E16D76" w:rsidRPr="00A77AF6">
        <w:t>five</w:t>
      </w:r>
      <w:r w:rsidRPr="00A77AF6">
        <w:t xml:space="preserve"> years. The findings suggest that age and gender are not predictors of ethical predisposition in this sample group.  This </w:t>
      </w:r>
      <w:r w:rsidRPr="00A77AF6">
        <w:lastRenderedPageBreak/>
        <w:t xml:space="preserve">may point to an influence of other factors, possibly the expectation </w:t>
      </w:r>
      <w:r w:rsidR="00142742" w:rsidRPr="00A77AF6">
        <w:t xml:space="preserve">of </w:t>
      </w:r>
      <w:r w:rsidRPr="00A77AF6">
        <w:t xml:space="preserve">conduct that the NHS may have. This </w:t>
      </w:r>
      <w:r w:rsidR="00142742" w:rsidRPr="00A77AF6">
        <w:t xml:space="preserve">suggestion </w:t>
      </w:r>
      <w:r w:rsidRPr="00A77AF6">
        <w:t xml:space="preserve">is explored </w:t>
      </w:r>
      <w:r w:rsidR="00142742" w:rsidRPr="00A77AF6">
        <w:t>later</w:t>
      </w:r>
      <w:r w:rsidR="00975A44" w:rsidRPr="00A77AF6">
        <w:t xml:space="preserve">. </w:t>
      </w:r>
      <w:r w:rsidRPr="00A77AF6">
        <w:t xml:space="preserve"> </w:t>
      </w:r>
    </w:p>
    <w:p w14:paraId="1B5DFDF8" w14:textId="2B42592B" w:rsidR="00C548C9" w:rsidRPr="00A77AF6" w:rsidRDefault="00C548C9" w:rsidP="00990C84">
      <w:pPr>
        <w:pStyle w:val="Heading2"/>
        <w:spacing w:after="120"/>
      </w:pPr>
      <w:bookmarkStart w:id="145" w:name="_Toc36275117"/>
      <w:r w:rsidRPr="00A77AF6">
        <w:t>Ethical predisposition and project success</w:t>
      </w:r>
      <w:bookmarkEnd w:id="145"/>
    </w:p>
    <w:p w14:paraId="2F42CD34" w14:textId="183EBE95" w:rsidR="00DD2123" w:rsidRPr="00A77AF6" w:rsidRDefault="00C548C9" w:rsidP="0015492F">
      <w:pPr>
        <w:spacing w:line="360" w:lineRule="auto"/>
      </w:pPr>
      <w:r w:rsidRPr="00A77AF6">
        <w:t xml:space="preserve">This section presents the findings on ethical predisposition and its relationship to </w:t>
      </w:r>
      <w:r w:rsidR="00990C84" w:rsidRPr="00A77AF6">
        <w:t>project success</w:t>
      </w:r>
      <w:r w:rsidRPr="00A77AF6">
        <w:t xml:space="preserve">.  </w:t>
      </w:r>
      <w:r w:rsidR="00F42B34" w:rsidRPr="00A77AF6">
        <w:t>P</w:t>
      </w:r>
      <w:r w:rsidR="000E093C" w:rsidRPr="00A77AF6">
        <w:t xml:space="preserve">roject success </w:t>
      </w:r>
      <w:r w:rsidR="00F42B34" w:rsidRPr="00A77AF6">
        <w:t>in the project management phase was described in three ways</w:t>
      </w:r>
      <w:r w:rsidR="0015492F" w:rsidRPr="00A77AF6">
        <w:t>,</w:t>
      </w:r>
      <w:r w:rsidR="000E093C" w:rsidRPr="00A77AF6">
        <w:t xml:space="preserve"> ‘claimed success’, ‘iron triangle’ success </w:t>
      </w:r>
      <w:r w:rsidR="005F7CDD" w:rsidRPr="00A77AF6">
        <w:t>and ‘</w:t>
      </w:r>
      <w:r w:rsidR="000E093C" w:rsidRPr="00A77AF6">
        <w:t xml:space="preserve">project success score’.  </w:t>
      </w:r>
      <w:r w:rsidR="00D4345A" w:rsidRPr="00A77AF6">
        <w:t xml:space="preserve">Correlation analyses were performed to establish if there was a relationship between ethical predisposition and success measured by the iron triangle and project success score. </w:t>
      </w:r>
    </w:p>
    <w:p w14:paraId="4D5B7A17" w14:textId="23FE7EA2" w:rsidR="000E093C" w:rsidRPr="00A77AF6" w:rsidRDefault="00F42B34" w:rsidP="0015492F">
      <w:pPr>
        <w:spacing w:line="360" w:lineRule="auto"/>
      </w:pPr>
      <w:r w:rsidRPr="00A77AF6">
        <w:t>The three measures of p</w:t>
      </w:r>
      <w:r w:rsidR="000E093C" w:rsidRPr="00A77AF6">
        <w:t xml:space="preserve">roject success </w:t>
      </w:r>
      <w:r w:rsidRPr="00A77AF6">
        <w:t xml:space="preserve">were obtained from </w:t>
      </w:r>
      <w:r w:rsidR="0022636E" w:rsidRPr="00A77AF6">
        <w:t>two scales</w:t>
      </w:r>
      <w:r w:rsidR="00990C84" w:rsidRPr="00A77AF6">
        <w:t xml:space="preserve">.  </w:t>
      </w:r>
      <w:r w:rsidRPr="00A77AF6">
        <w:t xml:space="preserve">The first was </w:t>
      </w:r>
      <w:r w:rsidR="00990C84" w:rsidRPr="00A77AF6">
        <w:t xml:space="preserve">a </w:t>
      </w:r>
      <w:r w:rsidR="00E15058" w:rsidRPr="00A77AF6">
        <w:t xml:space="preserve">categorical </w:t>
      </w:r>
      <w:r w:rsidRPr="00A77AF6">
        <w:t xml:space="preserve">scale </w:t>
      </w:r>
      <w:r w:rsidR="00E15058" w:rsidRPr="00A77AF6">
        <w:t xml:space="preserve">of </w:t>
      </w:r>
      <w:r w:rsidR="000E093C" w:rsidRPr="00A77AF6">
        <w:t>yes/ no</w:t>
      </w:r>
      <w:r w:rsidR="00990C84" w:rsidRPr="00A77AF6">
        <w:t xml:space="preserve">. </w:t>
      </w:r>
      <w:r w:rsidR="00E15058" w:rsidRPr="00A77AF6">
        <w:t xml:space="preserve"> </w:t>
      </w:r>
      <w:r w:rsidRPr="00A77AF6">
        <w:t>The second was a Likert scale which r</w:t>
      </w:r>
      <w:r w:rsidR="00E15058" w:rsidRPr="00A77AF6">
        <w:t xml:space="preserve">espondents </w:t>
      </w:r>
      <w:r w:rsidRPr="00A77AF6">
        <w:t>could use to a</w:t>
      </w:r>
      <w:r w:rsidR="00E15058" w:rsidRPr="00A77AF6">
        <w:t xml:space="preserve">ssess the extent to which their project met time, cost </w:t>
      </w:r>
      <w:r w:rsidRPr="00A77AF6">
        <w:t>and</w:t>
      </w:r>
      <w:r w:rsidR="00E15058" w:rsidRPr="00A77AF6">
        <w:t xml:space="preserve"> quality</w:t>
      </w:r>
      <w:r w:rsidRPr="00A77AF6">
        <w:t xml:space="preserve">. </w:t>
      </w:r>
      <w:r w:rsidR="00E16A50" w:rsidRPr="00A77AF6">
        <w:t xml:space="preserve">The measures of </w:t>
      </w:r>
      <w:r w:rsidR="00033265" w:rsidRPr="00A77AF6">
        <w:t xml:space="preserve">project success </w:t>
      </w:r>
      <w:r w:rsidR="00975A44" w:rsidRPr="00A77AF6">
        <w:t>a</w:t>
      </w:r>
      <w:r w:rsidR="00E16A50" w:rsidRPr="00A77AF6">
        <w:t xml:space="preserve">re </w:t>
      </w:r>
      <w:r w:rsidRPr="00A77AF6">
        <w:t xml:space="preserve">shown in </w:t>
      </w:r>
      <w:r w:rsidR="00E16A50" w:rsidRPr="00A77AF6">
        <w:t xml:space="preserve">Table 6-7 and the </w:t>
      </w:r>
      <w:r w:rsidR="00033265" w:rsidRPr="00A77AF6">
        <w:t>Liker</w:t>
      </w:r>
      <w:r w:rsidR="00E16A50" w:rsidRPr="00A77AF6">
        <w:t>t</w:t>
      </w:r>
      <w:r w:rsidR="00033265" w:rsidRPr="00A77AF6">
        <w:t xml:space="preserve"> scale used for measurement</w:t>
      </w:r>
      <w:r w:rsidR="00E16A50" w:rsidRPr="00A77AF6">
        <w:t xml:space="preserve"> is shown in Table 6-8</w:t>
      </w:r>
      <w:r w:rsidR="00E15058" w:rsidRPr="00A77AF6">
        <w:t xml:space="preserve">. </w:t>
      </w:r>
      <w:r w:rsidR="000E093C" w:rsidRPr="00A77AF6">
        <w:t xml:space="preserve"> </w:t>
      </w:r>
    </w:p>
    <w:p w14:paraId="49679CD8" w14:textId="50BC2476" w:rsidR="000E093C" w:rsidRPr="00A77AF6" w:rsidRDefault="000E093C" w:rsidP="00D4345A">
      <w:pPr>
        <w:pStyle w:val="Caption"/>
        <w:keepNext/>
        <w:spacing w:after="120"/>
      </w:pPr>
      <w:r w:rsidRPr="00A77AF6">
        <w:t xml:space="preserve">Table </w:t>
      </w:r>
      <w:fldSimple w:instr=" STYLEREF 1 \s ">
        <w:r w:rsidR="000441F7">
          <w:rPr>
            <w:noProof/>
          </w:rPr>
          <w:t>6</w:t>
        </w:r>
      </w:fldSimple>
      <w:r w:rsidR="00804112">
        <w:noBreakHyphen/>
      </w:r>
      <w:fldSimple w:instr=" SEQ Table \* ARABIC \s 1 ">
        <w:r w:rsidR="000441F7">
          <w:rPr>
            <w:noProof/>
          </w:rPr>
          <w:t>7</w:t>
        </w:r>
      </w:fldSimple>
      <w:r w:rsidRPr="00A77AF6">
        <w:t xml:space="preserve">: </w:t>
      </w:r>
      <w:r w:rsidR="001B5BF4" w:rsidRPr="00A77AF6">
        <w:t xml:space="preserve">Three </w:t>
      </w:r>
      <w:r w:rsidRPr="00A77AF6">
        <w:t>measures of project success in the project management phase</w:t>
      </w:r>
    </w:p>
    <w:tbl>
      <w:tblPr>
        <w:tblStyle w:val="TableGrid"/>
        <w:tblW w:w="0" w:type="auto"/>
        <w:tblLook w:val="04A0" w:firstRow="1" w:lastRow="0" w:firstColumn="1" w:lastColumn="0" w:noHBand="0" w:noVBand="1"/>
      </w:tblPr>
      <w:tblGrid>
        <w:gridCol w:w="1980"/>
        <w:gridCol w:w="3189"/>
        <w:gridCol w:w="3190"/>
      </w:tblGrid>
      <w:tr w:rsidR="000E093C" w:rsidRPr="00A77AF6" w14:paraId="56836EE0" w14:textId="77777777" w:rsidTr="004512E9">
        <w:tc>
          <w:tcPr>
            <w:tcW w:w="1980" w:type="dxa"/>
            <w:shd w:val="clear" w:color="auto" w:fill="D9D9D9" w:themeFill="background1" w:themeFillShade="D9"/>
          </w:tcPr>
          <w:p w14:paraId="26F8F82A" w14:textId="2663F209" w:rsidR="000E093C" w:rsidRPr="00A77AF6" w:rsidRDefault="000E093C" w:rsidP="004512E9">
            <w:pPr>
              <w:rPr>
                <w:sz w:val="20"/>
                <w:szCs w:val="20"/>
              </w:rPr>
            </w:pPr>
            <w:r w:rsidRPr="00A77AF6">
              <w:rPr>
                <w:sz w:val="20"/>
                <w:szCs w:val="20"/>
              </w:rPr>
              <w:t>Claimed success</w:t>
            </w:r>
            <w:r w:rsidR="00C25789" w:rsidRPr="00A77AF6">
              <w:rPr>
                <w:sz w:val="20"/>
                <w:szCs w:val="20"/>
              </w:rPr>
              <w:t xml:space="preserve"> (n=45)</w:t>
            </w:r>
          </w:p>
        </w:tc>
        <w:tc>
          <w:tcPr>
            <w:tcW w:w="3189" w:type="dxa"/>
            <w:shd w:val="clear" w:color="auto" w:fill="D9D9D9" w:themeFill="background1" w:themeFillShade="D9"/>
          </w:tcPr>
          <w:p w14:paraId="01B8C8DB" w14:textId="77777777" w:rsidR="000E093C" w:rsidRPr="00A77AF6" w:rsidRDefault="000E093C" w:rsidP="004512E9">
            <w:pPr>
              <w:rPr>
                <w:sz w:val="20"/>
                <w:szCs w:val="20"/>
              </w:rPr>
            </w:pPr>
            <w:r w:rsidRPr="00A77AF6">
              <w:rPr>
                <w:sz w:val="20"/>
                <w:szCs w:val="20"/>
              </w:rPr>
              <w:t>Iron triangle</w:t>
            </w:r>
          </w:p>
          <w:p w14:paraId="38553A1A" w14:textId="4DC824CA" w:rsidR="00C25789" w:rsidRPr="00A77AF6" w:rsidRDefault="00C25789" w:rsidP="004512E9">
            <w:pPr>
              <w:rPr>
                <w:sz w:val="20"/>
                <w:szCs w:val="20"/>
              </w:rPr>
            </w:pPr>
            <w:r w:rsidRPr="00A77AF6">
              <w:rPr>
                <w:sz w:val="20"/>
                <w:szCs w:val="20"/>
              </w:rPr>
              <w:t>(n=11)</w:t>
            </w:r>
          </w:p>
        </w:tc>
        <w:tc>
          <w:tcPr>
            <w:tcW w:w="3190" w:type="dxa"/>
            <w:shd w:val="clear" w:color="auto" w:fill="D9D9D9" w:themeFill="background1" w:themeFillShade="D9"/>
          </w:tcPr>
          <w:p w14:paraId="13C3C458" w14:textId="77777777" w:rsidR="000E093C" w:rsidRPr="00A77AF6" w:rsidRDefault="000E093C" w:rsidP="004512E9">
            <w:pPr>
              <w:rPr>
                <w:sz w:val="20"/>
                <w:szCs w:val="20"/>
              </w:rPr>
            </w:pPr>
            <w:r w:rsidRPr="00A77AF6">
              <w:rPr>
                <w:sz w:val="20"/>
                <w:szCs w:val="20"/>
              </w:rPr>
              <w:t xml:space="preserve">Project success score </w:t>
            </w:r>
          </w:p>
          <w:p w14:paraId="38A2BEED" w14:textId="6056B875" w:rsidR="00C25789" w:rsidRPr="00A77AF6" w:rsidRDefault="00C25789" w:rsidP="004512E9">
            <w:pPr>
              <w:rPr>
                <w:sz w:val="20"/>
                <w:szCs w:val="20"/>
              </w:rPr>
            </w:pPr>
            <w:r w:rsidRPr="00A77AF6">
              <w:rPr>
                <w:sz w:val="20"/>
                <w:szCs w:val="20"/>
              </w:rPr>
              <w:t>(n=51)</w:t>
            </w:r>
          </w:p>
        </w:tc>
      </w:tr>
      <w:tr w:rsidR="000E093C" w:rsidRPr="00A77AF6" w14:paraId="19D5E289" w14:textId="77777777" w:rsidTr="004512E9">
        <w:tc>
          <w:tcPr>
            <w:tcW w:w="1980" w:type="dxa"/>
          </w:tcPr>
          <w:p w14:paraId="0B416CFB" w14:textId="150420AE" w:rsidR="000E093C" w:rsidRPr="00A77AF6" w:rsidRDefault="000E093C" w:rsidP="004512E9">
            <w:pPr>
              <w:rPr>
                <w:sz w:val="20"/>
                <w:szCs w:val="20"/>
              </w:rPr>
            </w:pPr>
            <w:r w:rsidRPr="00A77AF6">
              <w:rPr>
                <w:sz w:val="20"/>
                <w:szCs w:val="20"/>
              </w:rPr>
              <w:t>Yes/ no</w:t>
            </w:r>
            <w:r w:rsidR="00E15058" w:rsidRPr="00A77AF6">
              <w:rPr>
                <w:sz w:val="20"/>
                <w:szCs w:val="20"/>
              </w:rPr>
              <w:t xml:space="preserve"> </w:t>
            </w:r>
          </w:p>
          <w:p w14:paraId="67FE9859" w14:textId="77777777" w:rsidR="000E093C" w:rsidRPr="00A77AF6" w:rsidRDefault="000E093C" w:rsidP="004512E9">
            <w:pPr>
              <w:rPr>
                <w:sz w:val="20"/>
                <w:szCs w:val="20"/>
              </w:rPr>
            </w:pPr>
          </w:p>
        </w:tc>
        <w:tc>
          <w:tcPr>
            <w:tcW w:w="3189" w:type="dxa"/>
          </w:tcPr>
          <w:p w14:paraId="2D276CE5" w14:textId="77777777" w:rsidR="000E093C" w:rsidRPr="00A77AF6" w:rsidRDefault="000E093C" w:rsidP="004512E9">
            <w:pPr>
              <w:rPr>
                <w:sz w:val="20"/>
                <w:szCs w:val="20"/>
              </w:rPr>
            </w:pPr>
            <w:r w:rsidRPr="00A77AF6">
              <w:rPr>
                <w:sz w:val="20"/>
                <w:szCs w:val="20"/>
              </w:rPr>
              <w:t>Time, cost and quality judged by the iron triangle.  A failure in one criterion means a failure overall</w:t>
            </w:r>
          </w:p>
        </w:tc>
        <w:tc>
          <w:tcPr>
            <w:tcW w:w="3190" w:type="dxa"/>
          </w:tcPr>
          <w:p w14:paraId="5C894982" w14:textId="77777777" w:rsidR="000E093C" w:rsidRPr="00A77AF6" w:rsidRDefault="000E093C" w:rsidP="004512E9">
            <w:pPr>
              <w:keepNext/>
              <w:rPr>
                <w:sz w:val="20"/>
                <w:szCs w:val="20"/>
              </w:rPr>
            </w:pPr>
            <w:r w:rsidRPr="00A77AF6">
              <w:rPr>
                <w:sz w:val="20"/>
                <w:szCs w:val="20"/>
              </w:rPr>
              <w:t xml:space="preserve">Time, cost and quality measured on a Likert scale. Each project has a score based on the extent to which is met time, cost and quality criteria.  A project can achieve a high score even if one element of time, cost or quality is missed.  </w:t>
            </w:r>
          </w:p>
        </w:tc>
      </w:tr>
    </w:tbl>
    <w:p w14:paraId="4467DB0F" w14:textId="39E065D9" w:rsidR="002D2211" w:rsidRPr="00A77AF6" w:rsidRDefault="0022636E" w:rsidP="0022636E">
      <w:pPr>
        <w:spacing w:before="240" w:line="360" w:lineRule="auto"/>
      </w:pPr>
      <w:r w:rsidRPr="00A77AF6">
        <w:t xml:space="preserve">These measures meant that it was possible to </w:t>
      </w:r>
      <w:r w:rsidR="00753A1B">
        <w:t xml:space="preserve">ascertain </w:t>
      </w:r>
      <w:r w:rsidRPr="00A77AF6">
        <w:t xml:space="preserve">whether respondents thought that their project was successful (yes/ no); to understand </w:t>
      </w:r>
      <w:r w:rsidR="00990C84" w:rsidRPr="00A77AF6">
        <w:t xml:space="preserve">how many </w:t>
      </w:r>
      <w:r w:rsidRPr="00A77AF6">
        <w:t>projects achiev</w:t>
      </w:r>
      <w:r w:rsidR="00990C84" w:rsidRPr="00A77AF6">
        <w:t>ed iron triangle success by s</w:t>
      </w:r>
      <w:r w:rsidRPr="00A77AF6">
        <w:t xml:space="preserve">coring </w:t>
      </w:r>
      <w:r w:rsidR="00C03789">
        <w:t>three</w:t>
      </w:r>
      <w:r w:rsidRPr="00A77AF6">
        <w:t xml:space="preserve"> </w:t>
      </w:r>
      <w:r w:rsidR="00E16A50" w:rsidRPr="00A77AF6">
        <w:t xml:space="preserve">or more </w:t>
      </w:r>
      <w:r w:rsidRPr="00A77AF6">
        <w:t>points for each of time, cost and quality</w:t>
      </w:r>
      <w:r w:rsidR="00E16A50" w:rsidRPr="00A77AF6">
        <w:t xml:space="preserve"> and </w:t>
      </w:r>
      <w:r w:rsidRPr="00A77AF6">
        <w:t xml:space="preserve">to </w:t>
      </w:r>
      <w:r w:rsidR="00990C84" w:rsidRPr="00A77AF6">
        <w:t xml:space="preserve">establish how many projects achieved a success score of </w:t>
      </w:r>
      <w:r w:rsidR="00C03789">
        <w:t>nine</w:t>
      </w:r>
      <w:r w:rsidRPr="00A77AF6">
        <w:t xml:space="preserve"> points, even if they had missed one or more target</w:t>
      </w:r>
      <w:r w:rsidR="00990C84" w:rsidRPr="00A77AF6">
        <w:t xml:space="preserve">. </w:t>
      </w:r>
      <w:r w:rsidR="00E16A50" w:rsidRPr="00A77AF6">
        <w:t xml:space="preserve">This last measure meant that </w:t>
      </w:r>
      <w:r w:rsidRPr="00A77AF6">
        <w:t xml:space="preserve">a project could be </w:t>
      </w:r>
      <w:r w:rsidR="00E16A50" w:rsidRPr="00A77AF6">
        <w:t xml:space="preserve">slightly late </w:t>
      </w:r>
      <w:r w:rsidRPr="00A77AF6">
        <w:t>(</w:t>
      </w:r>
      <w:r w:rsidR="00F33E44">
        <w:t>two</w:t>
      </w:r>
      <w:r w:rsidRPr="00A77AF6">
        <w:t xml:space="preserve"> points), </w:t>
      </w:r>
      <w:r w:rsidR="00E16A50" w:rsidRPr="00A77AF6">
        <w:t>on cost</w:t>
      </w:r>
      <w:r w:rsidRPr="00A77AF6">
        <w:t xml:space="preserve"> (</w:t>
      </w:r>
      <w:r w:rsidR="00F33E44">
        <w:t>three</w:t>
      </w:r>
      <w:r w:rsidRPr="00A77AF6">
        <w:t xml:space="preserve"> points) and s</w:t>
      </w:r>
      <w:r w:rsidR="00D024A4" w:rsidRPr="00A77AF6">
        <w:t xml:space="preserve">ignificantly exceed </w:t>
      </w:r>
      <w:r w:rsidRPr="00A77AF6">
        <w:t>its quality targets (</w:t>
      </w:r>
      <w:r w:rsidR="00F33E44">
        <w:t>five</w:t>
      </w:r>
      <w:r w:rsidRPr="00A77AF6">
        <w:t xml:space="preserve"> points).  This would give a project score of </w:t>
      </w:r>
      <w:r w:rsidR="00753A1B">
        <w:t>ten</w:t>
      </w:r>
      <w:r w:rsidRPr="00A77AF6">
        <w:t xml:space="preserve"> points.  These three project success measures are used throughout the analysis of success in the project management phase.  For ease of reference they are called: ‘claimed success’, ‘iron triangle success’ and ‘project success score’</w:t>
      </w:r>
      <w:r w:rsidR="00F42B34" w:rsidRPr="00A77AF6">
        <w:t xml:space="preserve">. </w:t>
      </w:r>
    </w:p>
    <w:p w14:paraId="3181BFCB" w14:textId="77777777" w:rsidR="002D2211" w:rsidRPr="00A77AF6" w:rsidRDefault="002D2211">
      <w:r w:rsidRPr="00A77AF6">
        <w:br w:type="page"/>
      </w:r>
    </w:p>
    <w:p w14:paraId="4DABCCF2" w14:textId="1F1A3A90" w:rsidR="0022636E" w:rsidRPr="00A77AF6" w:rsidRDefault="0022636E" w:rsidP="002D2211">
      <w:pPr>
        <w:spacing w:after="120" w:line="240" w:lineRule="auto"/>
        <w:rPr>
          <w:sz w:val="20"/>
          <w:szCs w:val="20"/>
        </w:rPr>
      </w:pPr>
      <w:r w:rsidRPr="00A77AF6">
        <w:rPr>
          <w:sz w:val="20"/>
          <w:szCs w:val="20"/>
        </w:rPr>
        <w:lastRenderedPageBreak/>
        <w:t xml:space="preserve">Table </w:t>
      </w:r>
      <w:r w:rsidR="00804112">
        <w:rPr>
          <w:sz w:val="20"/>
          <w:szCs w:val="20"/>
        </w:rPr>
        <w:fldChar w:fldCharType="begin"/>
      </w:r>
      <w:r w:rsidR="00804112">
        <w:rPr>
          <w:sz w:val="20"/>
          <w:szCs w:val="20"/>
        </w:rPr>
        <w:instrText xml:space="preserve"> STYLEREF 1 \s </w:instrText>
      </w:r>
      <w:r w:rsidR="00804112">
        <w:rPr>
          <w:sz w:val="20"/>
          <w:szCs w:val="20"/>
        </w:rPr>
        <w:fldChar w:fldCharType="separate"/>
      </w:r>
      <w:r w:rsidR="000441F7">
        <w:rPr>
          <w:noProof/>
          <w:sz w:val="20"/>
          <w:szCs w:val="20"/>
        </w:rPr>
        <w:t>6</w:t>
      </w:r>
      <w:r w:rsidR="00804112">
        <w:rPr>
          <w:sz w:val="20"/>
          <w:szCs w:val="20"/>
        </w:rPr>
        <w:fldChar w:fldCharType="end"/>
      </w:r>
      <w:r w:rsidR="00804112">
        <w:rPr>
          <w:sz w:val="20"/>
          <w:szCs w:val="20"/>
        </w:rPr>
        <w:noBreakHyphen/>
      </w:r>
      <w:r w:rsidR="00804112">
        <w:rPr>
          <w:sz w:val="20"/>
          <w:szCs w:val="20"/>
        </w:rPr>
        <w:fldChar w:fldCharType="begin"/>
      </w:r>
      <w:r w:rsidR="00804112">
        <w:rPr>
          <w:sz w:val="20"/>
          <w:szCs w:val="20"/>
        </w:rPr>
        <w:instrText xml:space="preserve"> SEQ Table \* ARABIC \s 1 </w:instrText>
      </w:r>
      <w:r w:rsidR="00804112">
        <w:rPr>
          <w:sz w:val="20"/>
          <w:szCs w:val="20"/>
        </w:rPr>
        <w:fldChar w:fldCharType="separate"/>
      </w:r>
      <w:r w:rsidR="000441F7">
        <w:rPr>
          <w:noProof/>
          <w:sz w:val="20"/>
          <w:szCs w:val="20"/>
        </w:rPr>
        <w:t>8</w:t>
      </w:r>
      <w:r w:rsidR="00804112">
        <w:rPr>
          <w:sz w:val="20"/>
          <w:szCs w:val="20"/>
        </w:rPr>
        <w:fldChar w:fldCharType="end"/>
      </w:r>
      <w:r w:rsidRPr="00A77AF6">
        <w:rPr>
          <w:sz w:val="20"/>
          <w:szCs w:val="20"/>
        </w:rPr>
        <w:t xml:space="preserve">: Likert scale for evaluation of project performance </w:t>
      </w:r>
    </w:p>
    <w:tbl>
      <w:tblPr>
        <w:tblW w:w="8642" w:type="dxa"/>
        <w:tblLayout w:type="fixed"/>
        <w:tblLook w:val="04A0" w:firstRow="1" w:lastRow="0" w:firstColumn="1" w:lastColumn="0" w:noHBand="0" w:noVBand="1"/>
      </w:tblPr>
      <w:tblGrid>
        <w:gridCol w:w="988"/>
        <w:gridCol w:w="1329"/>
        <w:gridCol w:w="1329"/>
        <w:gridCol w:w="1329"/>
        <w:gridCol w:w="1329"/>
        <w:gridCol w:w="1204"/>
        <w:gridCol w:w="1134"/>
      </w:tblGrid>
      <w:tr w:rsidR="0022636E" w:rsidRPr="00A77AF6" w14:paraId="6F32387A" w14:textId="77777777" w:rsidTr="00990C84">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E2460A" w14:textId="77777777" w:rsidR="0022636E" w:rsidRPr="00A77AF6" w:rsidRDefault="0022636E" w:rsidP="00293F45">
            <w:pPr>
              <w:spacing w:after="0" w:line="240" w:lineRule="auto"/>
              <w:rPr>
                <w:sz w:val="20"/>
              </w:rPr>
            </w:pPr>
            <w:r w:rsidRPr="00A77AF6">
              <w:rPr>
                <w:sz w:val="20"/>
              </w:rPr>
              <w:t>Success criteria</w:t>
            </w:r>
          </w:p>
        </w:tc>
        <w:tc>
          <w:tcPr>
            <w:tcW w:w="765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A5DD93" w14:textId="77777777" w:rsidR="0022636E" w:rsidRPr="00A77AF6" w:rsidRDefault="0022636E" w:rsidP="00293F45">
            <w:pPr>
              <w:spacing w:after="0" w:line="240" w:lineRule="auto"/>
              <w:jc w:val="center"/>
              <w:rPr>
                <w:sz w:val="20"/>
              </w:rPr>
            </w:pPr>
            <w:r w:rsidRPr="00A77AF6">
              <w:rPr>
                <w:sz w:val="20"/>
              </w:rPr>
              <w:t>Likert scale</w:t>
            </w:r>
          </w:p>
        </w:tc>
      </w:tr>
      <w:tr w:rsidR="0022636E" w:rsidRPr="00A77AF6" w14:paraId="3F2275E9" w14:textId="77777777" w:rsidTr="006F72A1">
        <w:tc>
          <w:tcPr>
            <w:tcW w:w="988" w:type="dxa"/>
            <w:tcBorders>
              <w:top w:val="single" w:sz="4" w:space="0" w:color="auto"/>
              <w:left w:val="single" w:sz="4" w:space="0" w:color="auto"/>
              <w:bottom w:val="single" w:sz="4" w:space="0" w:color="auto"/>
              <w:right w:val="single" w:sz="4" w:space="0" w:color="auto"/>
            </w:tcBorders>
          </w:tcPr>
          <w:p w14:paraId="74AD859F" w14:textId="77777777" w:rsidR="0022636E" w:rsidRPr="00A77AF6" w:rsidRDefault="0022636E" w:rsidP="00990C84">
            <w:pPr>
              <w:spacing w:after="0" w:line="240" w:lineRule="auto"/>
              <w:rPr>
                <w:sz w:val="20"/>
              </w:rPr>
            </w:pPr>
          </w:p>
        </w:tc>
        <w:tc>
          <w:tcPr>
            <w:tcW w:w="1329" w:type="dxa"/>
            <w:tcBorders>
              <w:top w:val="single" w:sz="4" w:space="0" w:color="auto"/>
              <w:left w:val="single" w:sz="4" w:space="0" w:color="auto"/>
              <w:bottom w:val="single" w:sz="4" w:space="0" w:color="auto"/>
              <w:right w:val="single" w:sz="4" w:space="0" w:color="auto"/>
            </w:tcBorders>
          </w:tcPr>
          <w:p w14:paraId="3FEC14C8" w14:textId="77777777" w:rsidR="0022636E" w:rsidRPr="00A77AF6" w:rsidRDefault="0022636E" w:rsidP="00990C84">
            <w:pPr>
              <w:spacing w:after="0" w:line="240" w:lineRule="auto"/>
              <w:jc w:val="center"/>
              <w:rPr>
                <w:sz w:val="20"/>
              </w:rPr>
            </w:pPr>
            <w:r w:rsidRPr="00A77AF6">
              <w:rPr>
                <w:sz w:val="20"/>
              </w:rPr>
              <w:t>5</w:t>
            </w:r>
          </w:p>
        </w:tc>
        <w:tc>
          <w:tcPr>
            <w:tcW w:w="1329" w:type="dxa"/>
            <w:tcBorders>
              <w:top w:val="single" w:sz="4" w:space="0" w:color="auto"/>
              <w:left w:val="single" w:sz="4" w:space="0" w:color="auto"/>
              <w:bottom w:val="single" w:sz="4" w:space="0" w:color="auto"/>
              <w:right w:val="single" w:sz="4" w:space="0" w:color="auto"/>
            </w:tcBorders>
          </w:tcPr>
          <w:p w14:paraId="5EE60569" w14:textId="77777777" w:rsidR="0022636E" w:rsidRPr="00A77AF6" w:rsidRDefault="0022636E" w:rsidP="00990C84">
            <w:pPr>
              <w:spacing w:after="0" w:line="240" w:lineRule="auto"/>
              <w:jc w:val="center"/>
              <w:rPr>
                <w:sz w:val="20"/>
              </w:rPr>
            </w:pPr>
            <w:r w:rsidRPr="00A77AF6">
              <w:rPr>
                <w:sz w:val="20"/>
              </w:rPr>
              <w:t>4</w:t>
            </w:r>
          </w:p>
        </w:tc>
        <w:tc>
          <w:tcPr>
            <w:tcW w:w="13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6A754C" w14:textId="77777777" w:rsidR="0022636E" w:rsidRPr="00A77AF6" w:rsidRDefault="0022636E" w:rsidP="00990C84">
            <w:pPr>
              <w:spacing w:after="0" w:line="240" w:lineRule="auto"/>
              <w:jc w:val="center"/>
              <w:rPr>
                <w:sz w:val="20"/>
              </w:rPr>
            </w:pPr>
            <w:r w:rsidRPr="00A77AF6">
              <w:rPr>
                <w:sz w:val="20"/>
              </w:rPr>
              <w:t>3</w:t>
            </w:r>
          </w:p>
        </w:tc>
        <w:tc>
          <w:tcPr>
            <w:tcW w:w="1329" w:type="dxa"/>
            <w:tcBorders>
              <w:top w:val="single" w:sz="4" w:space="0" w:color="auto"/>
              <w:left w:val="single" w:sz="4" w:space="0" w:color="auto"/>
              <w:bottom w:val="single" w:sz="4" w:space="0" w:color="auto"/>
              <w:right w:val="single" w:sz="4" w:space="0" w:color="auto"/>
            </w:tcBorders>
          </w:tcPr>
          <w:p w14:paraId="4422AA84" w14:textId="77777777" w:rsidR="0022636E" w:rsidRPr="00A77AF6" w:rsidRDefault="0022636E" w:rsidP="00990C84">
            <w:pPr>
              <w:spacing w:after="0" w:line="240" w:lineRule="auto"/>
              <w:jc w:val="center"/>
              <w:rPr>
                <w:sz w:val="20"/>
              </w:rPr>
            </w:pPr>
            <w:r w:rsidRPr="00A77AF6">
              <w:rPr>
                <w:sz w:val="20"/>
              </w:rPr>
              <w:t>2</w:t>
            </w:r>
          </w:p>
        </w:tc>
        <w:tc>
          <w:tcPr>
            <w:tcW w:w="1204" w:type="dxa"/>
            <w:tcBorders>
              <w:top w:val="single" w:sz="4" w:space="0" w:color="auto"/>
              <w:left w:val="single" w:sz="4" w:space="0" w:color="auto"/>
              <w:bottom w:val="single" w:sz="4" w:space="0" w:color="auto"/>
              <w:right w:val="single" w:sz="4" w:space="0" w:color="auto"/>
            </w:tcBorders>
          </w:tcPr>
          <w:p w14:paraId="00F475DB" w14:textId="77777777" w:rsidR="0022636E" w:rsidRPr="00A77AF6" w:rsidRDefault="0022636E" w:rsidP="00990C84">
            <w:pPr>
              <w:spacing w:after="0" w:line="240" w:lineRule="auto"/>
              <w:jc w:val="center"/>
              <w:rPr>
                <w:sz w:val="20"/>
              </w:rPr>
            </w:pPr>
            <w:r w:rsidRPr="00A77AF6">
              <w:rPr>
                <w:sz w:val="20"/>
              </w:rPr>
              <w:t>1</w:t>
            </w:r>
          </w:p>
        </w:tc>
        <w:tc>
          <w:tcPr>
            <w:tcW w:w="1134" w:type="dxa"/>
            <w:tcBorders>
              <w:top w:val="single" w:sz="4" w:space="0" w:color="auto"/>
              <w:left w:val="single" w:sz="4" w:space="0" w:color="auto"/>
              <w:bottom w:val="single" w:sz="4" w:space="0" w:color="auto"/>
              <w:right w:val="single" w:sz="4" w:space="0" w:color="auto"/>
            </w:tcBorders>
          </w:tcPr>
          <w:p w14:paraId="3D59F540" w14:textId="77777777" w:rsidR="0022636E" w:rsidRPr="00A77AF6" w:rsidRDefault="0022636E" w:rsidP="00990C84">
            <w:pPr>
              <w:spacing w:after="0" w:line="240" w:lineRule="auto"/>
              <w:jc w:val="center"/>
              <w:rPr>
                <w:sz w:val="20"/>
              </w:rPr>
            </w:pPr>
            <w:r w:rsidRPr="00A77AF6">
              <w:rPr>
                <w:sz w:val="20"/>
              </w:rPr>
              <w:t>0</w:t>
            </w:r>
          </w:p>
        </w:tc>
      </w:tr>
      <w:tr w:rsidR="0022636E" w:rsidRPr="00A77AF6" w14:paraId="4139C538" w14:textId="77777777" w:rsidTr="006F72A1">
        <w:tc>
          <w:tcPr>
            <w:tcW w:w="988" w:type="dxa"/>
            <w:tcBorders>
              <w:top w:val="single" w:sz="4" w:space="0" w:color="auto"/>
              <w:left w:val="single" w:sz="4" w:space="0" w:color="auto"/>
              <w:bottom w:val="single" w:sz="4" w:space="0" w:color="auto"/>
              <w:right w:val="single" w:sz="4" w:space="0" w:color="auto"/>
            </w:tcBorders>
          </w:tcPr>
          <w:p w14:paraId="281252E6" w14:textId="77777777" w:rsidR="0022636E" w:rsidRPr="00A77AF6" w:rsidRDefault="0022636E" w:rsidP="00990C84">
            <w:pPr>
              <w:spacing w:after="0" w:line="240" w:lineRule="auto"/>
              <w:rPr>
                <w:sz w:val="20"/>
              </w:rPr>
            </w:pPr>
            <w:r w:rsidRPr="00A77AF6">
              <w:rPr>
                <w:b/>
                <w:sz w:val="20"/>
              </w:rPr>
              <w:t>Time</w:t>
            </w:r>
          </w:p>
        </w:tc>
        <w:tc>
          <w:tcPr>
            <w:tcW w:w="1329" w:type="dxa"/>
            <w:tcBorders>
              <w:top w:val="single" w:sz="4" w:space="0" w:color="auto"/>
              <w:left w:val="single" w:sz="4" w:space="0" w:color="auto"/>
              <w:bottom w:val="single" w:sz="4" w:space="0" w:color="auto"/>
              <w:right w:val="single" w:sz="4" w:space="0" w:color="auto"/>
            </w:tcBorders>
          </w:tcPr>
          <w:p w14:paraId="62030091" w14:textId="77777777" w:rsidR="0022636E" w:rsidRPr="00A77AF6" w:rsidRDefault="0022636E" w:rsidP="00990C84">
            <w:pPr>
              <w:spacing w:after="0" w:line="240" w:lineRule="auto"/>
              <w:jc w:val="center"/>
              <w:rPr>
                <w:sz w:val="20"/>
              </w:rPr>
            </w:pPr>
            <w:r w:rsidRPr="00A77AF6">
              <w:rPr>
                <w:sz w:val="20"/>
              </w:rPr>
              <w:t>significantly early</w:t>
            </w:r>
          </w:p>
        </w:tc>
        <w:tc>
          <w:tcPr>
            <w:tcW w:w="1329" w:type="dxa"/>
            <w:tcBorders>
              <w:top w:val="single" w:sz="4" w:space="0" w:color="auto"/>
              <w:left w:val="single" w:sz="4" w:space="0" w:color="auto"/>
              <w:bottom w:val="single" w:sz="4" w:space="0" w:color="auto"/>
              <w:right w:val="single" w:sz="4" w:space="0" w:color="auto"/>
            </w:tcBorders>
          </w:tcPr>
          <w:p w14:paraId="2839B1AA" w14:textId="77777777" w:rsidR="0022636E" w:rsidRPr="00A77AF6" w:rsidRDefault="0022636E" w:rsidP="00990C84">
            <w:pPr>
              <w:spacing w:after="0" w:line="240" w:lineRule="auto"/>
              <w:jc w:val="center"/>
              <w:rPr>
                <w:sz w:val="20"/>
              </w:rPr>
            </w:pPr>
            <w:r w:rsidRPr="00A77AF6">
              <w:rPr>
                <w:sz w:val="20"/>
              </w:rPr>
              <w:t>slightly early</w:t>
            </w:r>
          </w:p>
        </w:tc>
        <w:tc>
          <w:tcPr>
            <w:tcW w:w="13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618B51" w14:textId="77777777" w:rsidR="0022636E" w:rsidRPr="00A77AF6" w:rsidRDefault="0022636E" w:rsidP="00990C84">
            <w:pPr>
              <w:spacing w:after="0" w:line="240" w:lineRule="auto"/>
              <w:jc w:val="center"/>
              <w:rPr>
                <w:sz w:val="20"/>
              </w:rPr>
            </w:pPr>
            <w:r w:rsidRPr="00A77AF6">
              <w:rPr>
                <w:sz w:val="20"/>
              </w:rPr>
              <w:t>on time</w:t>
            </w:r>
          </w:p>
          <w:p w14:paraId="612A83FB" w14:textId="77777777" w:rsidR="0022636E" w:rsidRPr="00A77AF6" w:rsidRDefault="0022636E" w:rsidP="00990C84">
            <w:pPr>
              <w:spacing w:after="0" w:line="240" w:lineRule="auto"/>
              <w:jc w:val="center"/>
              <w:rPr>
                <w:sz w:val="20"/>
              </w:rPr>
            </w:pPr>
          </w:p>
        </w:tc>
        <w:tc>
          <w:tcPr>
            <w:tcW w:w="1329" w:type="dxa"/>
            <w:tcBorders>
              <w:top w:val="single" w:sz="4" w:space="0" w:color="auto"/>
              <w:left w:val="single" w:sz="4" w:space="0" w:color="auto"/>
              <w:bottom w:val="single" w:sz="4" w:space="0" w:color="auto"/>
              <w:right w:val="single" w:sz="4" w:space="0" w:color="auto"/>
            </w:tcBorders>
          </w:tcPr>
          <w:p w14:paraId="3716210E" w14:textId="77777777" w:rsidR="0022636E" w:rsidRPr="00A77AF6" w:rsidRDefault="0022636E" w:rsidP="00990C84">
            <w:pPr>
              <w:spacing w:after="0" w:line="240" w:lineRule="auto"/>
              <w:jc w:val="center"/>
              <w:rPr>
                <w:sz w:val="20"/>
              </w:rPr>
            </w:pPr>
            <w:r w:rsidRPr="00A77AF6">
              <w:rPr>
                <w:sz w:val="20"/>
              </w:rPr>
              <w:t>slightly late</w:t>
            </w:r>
          </w:p>
        </w:tc>
        <w:tc>
          <w:tcPr>
            <w:tcW w:w="1204" w:type="dxa"/>
            <w:tcBorders>
              <w:top w:val="single" w:sz="4" w:space="0" w:color="auto"/>
              <w:left w:val="single" w:sz="4" w:space="0" w:color="auto"/>
              <w:bottom w:val="single" w:sz="4" w:space="0" w:color="auto"/>
              <w:right w:val="single" w:sz="4" w:space="0" w:color="auto"/>
            </w:tcBorders>
          </w:tcPr>
          <w:p w14:paraId="66FEED00" w14:textId="6BADDFC5" w:rsidR="0022636E" w:rsidRPr="00A77AF6" w:rsidRDefault="00EF5339" w:rsidP="00990C84">
            <w:pPr>
              <w:spacing w:after="0" w:line="240" w:lineRule="auto"/>
              <w:jc w:val="center"/>
              <w:rPr>
                <w:sz w:val="20"/>
              </w:rPr>
            </w:pPr>
            <w:r w:rsidRPr="00A77AF6">
              <w:rPr>
                <w:sz w:val="20"/>
              </w:rPr>
              <w:t>s</w:t>
            </w:r>
            <w:r w:rsidR="0022636E" w:rsidRPr="00A77AF6">
              <w:rPr>
                <w:sz w:val="20"/>
              </w:rPr>
              <w:t>ignificantly late</w:t>
            </w:r>
          </w:p>
        </w:tc>
        <w:tc>
          <w:tcPr>
            <w:tcW w:w="1134" w:type="dxa"/>
            <w:tcBorders>
              <w:top w:val="single" w:sz="4" w:space="0" w:color="auto"/>
              <w:left w:val="single" w:sz="4" w:space="0" w:color="auto"/>
              <w:bottom w:val="single" w:sz="4" w:space="0" w:color="auto"/>
              <w:right w:val="single" w:sz="4" w:space="0" w:color="auto"/>
            </w:tcBorders>
          </w:tcPr>
          <w:p w14:paraId="5CD70DD0" w14:textId="77777777" w:rsidR="0022636E" w:rsidRPr="00A77AF6" w:rsidRDefault="0022636E" w:rsidP="00990C84">
            <w:pPr>
              <w:spacing w:after="0" w:line="240" w:lineRule="auto"/>
              <w:jc w:val="center"/>
              <w:rPr>
                <w:sz w:val="20"/>
              </w:rPr>
            </w:pPr>
            <w:r w:rsidRPr="00A77AF6">
              <w:rPr>
                <w:sz w:val="20"/>
              </w:rPr>
              <w:t>don’t know</w:t>
            </w:r>
          </w:p>
        </w:tc>
      </w:tr>
      <w:tr w:rsidR="0022636E" w:rsidRPr="00A77AF6" w14:paraId="067AD20C" w14:textId="77777777" w:rsidTr="006F72A1">
        <w:tc>
          <w:tcPr>
            <w:tcW w:w="988" w:type="dxa"/>
            <w:tcBorders>
              <w:top w:val="single" w:sz="4" w:space="0" w:color="auto"/>
              <w:left w:val="single" w:sz="4" w:space="0" w:color="auto"/>
              <w:bottom w:val="single" w:sz="4" w:space="0" w:color="auto"/>
              <w:right w:val="single" w:sz="4" w:space="0" w:color="auto"/>
            </w:tcBorders>
          </w:tcPr>
          <w:p w14:paraId="604FDB52" w14:textId="77777777" w:rsidR="0022636E" w:rsidRPr="00A77AF6" w:rsidRDefault="0022636E" w:rsidP="00990C84">
            <w:pPr>
              <w:spacing w:after="0" w:line="240" w:lineRule="auto"/>
              <w:rPr>
                <w:sz w:val="20"/>
              </w:rPr>
            </w:pPr>
            <w:r w:rsidRPr="00A77AF6">
              <w:rPr>
                <w:b/>
                <w:sz w:val="20"/>
              </w:rPr>
              <w:t>Cost</w:t>
            </w:r>
          </w:p>
        </w:tc>
        <w:tc>
          <w:tcPr>
            <w:tcW w:w="1329" w:type="dxa"/>
            <w:tcBorders>
              <w:top w:val="single" w:sz="4" w:space="0" w:color="auto"/>
              <w:left w:val="single" w:sz="4" w:space="0" w:color="auto"/>
              <w:bottom w:val="single" w:sz="4" w:space="0" w:color="auto"/>
              <w:right w:val="single" w:sz="4" w:space="0" w:color="auto"/>
            </w:tcBorders>
          </w:tcPr>
          <w:p w14:paraId="729DBACB" w14:textId="77777777" w:rsidR="0022636E" w:rsidRPr="00A77AF6" w:rsidRDefault="0022636E" w:rsidP="00990C84">
            <w:pPr>
              <w:spacing w:after="0" w:line="240" w:lineRule="auto"/>
              <w:jc w:val="center"/>
              <w:rPr>
                <w:sz w:val="20"/>
              </w:rPr>
            </w:pPr>
            <w:r w:rsidRPr="00A77AF6">
              <w:rPr>
                <w:sz w:val="20"/>
              </w:rPr>
              <w:t>significantly under cost</w:t>
            </w:r>
          </w:p>
        </w:tc>
        <w:tc>
          <w:tcPr>
            <w:tcW w:w="1329" w:type="dxa"/>
            <w:tcBorders>
              <w:top w:val="single" w:sz="4" w:space="0" w:color="auto"/>
              <w:left w:val="single" w:sz="4" w:space="0" w:color="auto"/>
              <w:bottom w:val="single" w:sz="4" w:space="0" w:color="auto"/>
              <w:right w:val="single" w:sz="4" w:space="0" w:color="auto"/>
            </w:tcBorders>
          </w:tcPr>
          <w:p w14:paraId="2813EE11" w14:textId="77777777" w:rsidR="0022636E" w:rsidRPr="00A77AF6" w:rsidRDefault="0022636E" w:rsidP="00990C84">
            <w:pPr>
              <w:spacing w:after="0" w:line="240" w:lineRule="auto"/>
              <w:jc w:val="center"/>
              <w:rPr>
                <w:sz w:val="20"/>
              </w:rPr>
            </w:pPr>
            <w:r w:rsidRPr="00A77AF6">
              <w:rPr>
                <w:sz w:val="20"/>
              </w:rPr>
              <w:t>slightly under cost</w:t>
            </w:r>
          </w:p>
        </w:tc>
        <w:tc>
          <w:tcPr>
            <w:tcW w:w="132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FA0C072" w14:textId="337B5DAD" w:rsidR="0022636E" w:rsidRPr="00A77AF6" w:rsidRDefault="00EF5339" w:rsidP="00990C84">
            <w:pPr>
              <w:spacing w:after="0" w:line="240" w:lineRule="auto"/>
              <w:jc w:val="center"/>
              <w:rPr>
                <w:sz w:val="20"/>
              </w:rPr>
            </w:pPr>
            <w:r w:rsidRPr="00A77AF6">
              <w:rPr>
                <w:sz w:val="20"/>
              </w:rPr>
              <w:t>o</w:t>
            </w:r>
            <w:r w:rsidR="0022636E" w:rsidRPr="00A77AF6">
              <w:rPr>
                <w:sz w:val="20"/>
              </w:rPr>
              <w:t>n cost</w:t>
            </w:r>
          </w:p>
        </w:tc>
        <w:tc>
          <w:tcPr>
            <w:tcW w:w="1329" w:type="dxa"/>
            <w:tcBorders>
              <w:top w:val="single" w:sz="4" w:space="0" w:color="auto"/>
              <w:left w:val="single" w:sz="4" w:space="0" w:color="auto"/>
              <w:bottom w:val="single" w:sz="4" w:space="0" w:color="auto"/>
              <w:right w:val="single" w:sz="4" w:space="0" w:color="auto"/>
            </w:tcBorders>
          </w:tcPr>
          <w:p w14:paraId="750386B7" w14:textId="77777777" w:rsidR="0022636E" w:rsidRPr="00A77AF6" w:rsidRDefault="0022636E" w:rsidP="00990C84">
            <w:pPr>
              <w:spacing w:after="0" w:line="240" w:lineRule="auto"/>
              <w:jc w:val="center"/>
              <w:rPr>
                <w:sz w:val="20"/>
              </w:rPr>
            </w:pPr>
            <w:r w:rsidRPr="00A77AF6">
              <w:rPr>
                <w:sz w:val="20"/>
              </w:rPr>
              <w:t>slightly over cost</w:t>
            </w:r>
          </w:p>
        </w:tc>
        <w:tc>
          <w:tcPr>
            <w:tcW w:w="1204" w:type="dxa"/>
            <w:tcBorders>
              <w:top w:val="single" w:sz="4" w:space="0" w:color="auto"/>
              <w:left w:val="single" w:sz="4" w:space="0" w:color="auto"/>
              <w:bottom w:val="single" w:sz="4" w:space="0" w:color="auto"/>
              <w:right w:val="single" w:sz="4" w:space="0" w:color="auto"/>
            </w:tcBorders>
          </w:tcPr>
          <w:p w14:paraId="23540841" w14:textId="0ED5F51E" w:rsidR="0022636E" w:rsidRPr="00A77AF6" w:rsidRDefault="00EF5339" w:rsidP="00990C84">
            <w:pPr>
              <w:spacing w:after="0" w:line="240" w:lineRule="auto"/>
              <w:jc w:val="center"/>
              <w:rPr>
                <w:sz w:val="20"/>
              </w:rPr>
            </w:pPr>
            <w:r w:rsidRPr="00A77AF6">
              <w:rPr>
                <w:sz w:val="20"/>
              </w:rPr>
              <w:t>s</w:t>
            </w:r>
            <w:r w:rsidR="0022636E" w:rsidRPr="00A77AF6">
              <w:rPr>
                <w:sz w:val="20"/>
              </w:rPr>
              <w:t>ignificantly over cost</w:t>
            </w:r>
          </w:p>
        </w:tc>
        <w:tc>
          <w:tcPr>
            <w:tcW w:w="1134" w:type="dxa"/>
            <w:tcBorders>
              <w:top w:val="single" w:sz="4" w:space="0" w:color="auto"/>
              <w:left w:val="single" w:sz="4" w:space="0" w:color="auto"/>
              <w:bottom w:val="single" w:sz="4" w:space="0" w:color="auto"/>
              <w:right w:val="single" w:sz="4" w:space="0" w:color="auto"/>
            </w:tcBorders>
          </w:tcPr>
          <w:p w14:paraId="69CD5D22" w14:textId="77777777" w:rsidR="0022636E" w:rsidRPr="00A77AF6" w:rsidRDefault="0022636E" w:rsidP="00990C84">
            <w:pPr>
              <w:spacing w:after="0" w:line="240" w:lineRule="auto"/>
              <w:jc w:val="center"/>
              <w:rPr>
                <w:sz w:val="20"/>
              </w:rPr>
            </w:pPr>
            <w:r w:rsidRPr="00A77AF6">
              <w:rPr>
                <w:sz w:val="20"/>
              </w:rPr>
              <w:t>don’t know</w:t>
            </w:r>
          </w:p>
        </w:tc>
      </w:tr>
      <w:tr w:rsidR="0022636E" w:rsidRPr="00A77AF6" w14:paraId="18E85E66" w14:textId="77777777" w:rsidTr="006F72A1">
        <w:tc>
          <w:tcPr>
            <w:tcW w:w="988" w:type="dxa"/>
            <w:tcBorders>
              <w:top w:val="single" w:sz="4" w:space="0" w:color="auto"/>
              <w:left w:val="single" w:sz="4" w:space="0" w:color="auto"/>
              <w:bottom w:val="single" w:sz="4" w:space="0" w:color="auto"/>
              <w:right w:val="single" w:sz="4" w:space="0" w:color="auto"/>
            </w:tcBorders>
          </w:tcPr>
          <w:p w14:paraId="30D8D108" w14:textId="77777777" w:rsidR="0022636E" w:rsidRPr="00A77AF6" w:rsidRDefault="0022636E" w:rsidP="00990C84">
            <w:pPr>
              <w:spacing w:after="0" w:line="240" w:lineRule="auto"/>
              <w:rPr>
                <w:sz w:val="20"/>
              </w:rPr>
            </w:pPr>
            <w:r w:rsidRPr="00A77AF6">
              <w:rPr>
                <w:b/>
                <w:sz w:val="20"/>
              </w:rPr>
              <w:t>Quality</w:t>
            </w:r>
          </w:p>
        </w:tc>
        <w:tc>
          <w:tcPr>
            <w:tcW w:w="1329" w:type="dxa"/>
            <w:tcBorders>
              <w:top w:val="single" w:sz="4" w:space="0" w:color="auto"/>
              <w:left w:val="single" w:sz="4" w:space="0" w:color="auto"/>
              <w:bottom w:val="single" w:sz="4" w:space="0" w:color="auto"/>
              <w:right w:val="single" w:sz="4" w:space="0" w:color="auto"/>
            </w:tcBorders>
          </w:tcPr>
          <w:p w14:paraId="08D7DC01" w14:textId="77777777" w:rsidR="0022636E" w:rsidRPr="00A77AF6" w:rsidRDefault="0022636E" w:rsidP="00990C84">
            <w:pPr>
              <w:spacing w:after="0" w:line="240" w:lineRule="auto"/>
              <w:jc w:val="center"/>
              <w:rPr>
                <w:sz w:val="20"/>
              </w:rPr>
            </w:pPr>
            <w:r w:rsidRPr="00A77AF6">
              <w:rPr>
                <w:sz w:val="20"/>
              </w:rPr>
              <w:t>significantly exceeded quality targets</w:t>
            </w:r>
          </w:p>
        </w:tc>
        <w:tc>
          <w:tcPr>
            <w:tcW w:w="1329" w:type="dxa"/>
            <w:tcBorders>
              <w:top w:val="single" w:sz="4" w:space="0" w:color="auto"/>
              <w:left w:val="single" w:sz="4" w:space="0" w:color="auto"/>
              <w:bottom w:val="single" w:sz="4" w:space="0" w:color="auto"/>
              <w:right w:val="single" w:sz="4" w:space="0" w:color="auto"/>
            </w:tcBorders>
          </w:tcPr>
          <w:p w14:paraId="5C1FB966" w14:textId="77777777" w:rsidR="0022636E" w:rsidRPr="00A77AF6" w:rsidRDefault="0022636E" w:rsidP="00990C84">
            <w:pPr>
              <w:spacing w:after="0" w:line="240" w:lineRule="auto"/>
              <w:jc w:val="center"/>
              <w:rPr>
                <w:sz w:val="20"/>
              </w:rPr>
            </w:pPr>
            <w:r w:rsidRPr="00A77AF6">
              <w:rPr>
                <w:sz w:val="20"/>
              </w:rPr>
              <w:t>slightly exceeded quality targets</w:t>
            </w:r>
          </w:p>
        </w:tc>
        <w:tc>
          <w:tcPr>
            <w:tcW w:w="132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818703F" w14:textId="77777777" w:rsidR="0022636E" w:rsidRPr="00A77AF6" w:rsidRDefault="0022636E" w:rsidP="00990C84">
            <w:pPr>
              <w:spacing w:after="0" w:line="240" w:lineRule="auto"/>
              <w:jc w:val="center"/>
              <w:rPr>
                <w:sz w:val="20"/>
              </w:rPr>
            </w:pPr>
            <w:r w:rsidRPr="00A77AF6">
              <w:rPr>
                <w:sz w:val="20"/>
              </w:rPr>
              <w:t>met quality targets</w:t>
            </w:r>
          </w:p>
        </w:tc>
        <w:tc>
          <w:tcPr>
            <w:tcW w:w="1329" w:type="dxa"/>
            <w:tcBorders>
              <w:top w:val="single" w:sz="4" w:space="0" w:color="auto"/>
              <w:left w:val="single" w:sz="4" w:space="0" w:color="auto"/>
              <w:bottom w:val="single" w:sz="4" w:space="0" w:color="auto"/>
              <w:right w:val="single" w:sz="4" w:space="0" w:color="auto"/>
            </w:tcBorders>
          </w:tcPr>
          <w:p w14:paraId="6C96F3D4" w14:textId="1851F0B6" w:rsidR="0022636E" w:rsidRPr="00A77AF6" w:rsidRDefault="00EF5339" w:rsidP="00990C84">
            <w:pPr>
              <w:spacing w:after="0" w:line="240" w:lineRule="auto"/>
              <w:jc w:val="center"/>
              <w:rPr>
                <w:sz w:val="20"/>
              </w:rPr>
            </w:pPr>
            <w:r w:rsidRPr="00A77AF6">
              <w:rPr>
                <w:sz w:val="20"/>
              </w:rPr>
              <w:t>s</w:t>
            </w:r>
            <w:r w:rsidR="0022636E" w:rsidRPr="00A77AF6">
              <w:rPr>
                <w:sz w:val="20"/>
              </w:rPr>
              <w:t>lightly missed quality targets</w:t>
            </w:r>
          </w:p>
        </w:tc>
        <w:tc>
          <w:tcPr>
            <w:tcW w:w="1204" w:type="dxa"/>
            <w:tcBorders>
              <w:top w:val="single" w:sz="4" w:space="0" w:color="auto"/>
              <w:left w:val="single" w:sz="4" w:space="0" w:color="auto"/>
              <w:bottom w:val="single" w:sz="4" w:space="0" w:color="auto"/>
              <w:right w:val="single" w:sz="4" w:space="0" w:color="auto"/>
            </w:tcBorders>
          </w:tcPr>
          <w:p w14:paraId="76150F23" w14:textId="63D2E4FC" w:rsidR="0022636E" w:rsidRPr="00A77AF6" w:rsidRDefault="00EF5339" w:rsidP="00990C84">
            <w:pPr>
              <w:spacing w:after="0" w:line="240" w:lineRule="auto"/>
              <w:jc w:val="center"/>
              <w:rPr>
                <w:sz w:val="20"/>
              </w:rPr>
            </w:pPr>
            <w:r w:rsidRPr="00A77AF6">
              <w:rPr>
                <w:sz w:val="20"/>
              </w:rPr>
              <w:t>s</w:t>
            </w:r>
            <w:r w:rsidR="0022636E" w:rsidRPr="00A77AF6">
              <w:rPr>
                <w:sz w:val="20"/>
              </w:rPr>
              <w:t>ignificantly missed quality targets</w:t>
            </w:r>
          </w:p>
        </w:tc>
        <w:tc>
          <w:tcPr>
            <w:tcW w:w="1134" w:type="dxa"/>
            <w:tcBorders>
              <w:top w:val="single" w:sz="4" w:space="0" w:color="auto"/>
              <w:left w:val="single" w:sz="4" w:space="0" w:color="auto"/>
              <w:bottom w:val="single" w:sz="4" w:space="0" w:color="auto"/>
              <w:right w:val="single" w:sz="4" w:space="0" w:color="auto"/>
            </w:tcBorders>
          </w:tcPr>
          <w:p w14:paraId="20F2AD20" w14:textId="77777777" w:rsidR="0022636E" w:rsidRPr="00A77AF6" w:rsidRDefault="0022636E" w:rsidP="00990C84">
            <w:pPr>
              <w:spacing w:after="0" w:line="240" w:lineRule="auto"/>
              <w:jc w:val="center"/>
              <w:rPr>
                <w:sz w:val="20"/>
              </w:rPr>
            </w:pPr>
            <w:r w:rsidRPr="00A77AF6">
              <w:rPr>
                <w:sz w:val="20"/>
              </w:rPr>
              <w:t>don’t know</w:t>
            </w:r>
          </w:p>
        </w:tc>
      </w:tr>
      <w:tr w:rsidR="0022636E" w:rsidRPr="00A77AF6" w14:paraId="680583CB" w14:textId="77777777" w:rsidTr="006F72A1">
        <w:tc>
          <w:tcPr>
            <w:tcW w:w="988" w:type="dxa"/>
            <w:tcBorders>
              <w:top w:val="single" w:sz="4" w:space="0" w:color="auto"/>
              <w:left w:val="single" w:sz="4" w:space="0" w:color="auto"/>
              <w:bottom w:val="single" w:sz="4" w:space="0" w:color="auto"/>
              <w:right w:val="single" w:sz="4" w:space="0" w:color="auto"/>
            </w:tcBorders>
          </w:tcPr>
          <w:p w14:paraId="257A2441" w14:textId="77777777" w:rsidR="0022636E" w:rsidRPr="00A77AF6" w:rsidRDefault="0022636E" w:rsidP="00990C84">
            <w:pPr>
              <w:spacing w:after="0" w:line="240" w:lineRule="auto"/>
              <w:rPr>
                <w:b/>
                <w:sz w:val="20"/>
              </w:rPr>
            </w:pPr>
            <w:r w:rsidRPr="00A77AF6">
              <w:rPr>
                <w:b/>
                <w:sz w:val="20"/>
              </w:rPr>
              <w:t>Total points</w:t>
            </w:r>
          </w:p>
        </w:tc>
        <w:tc>
          <w:tcPr>
            <w:tcW w:w="1329" w:type="dxa"/>
            <w:tcBorders>
              <w:top w:val="single" w:sz="4" w:space="0" w:color="auto"/>
              <w:left w:val="single" w:sz="4" w:space="0" w:color="auto"/>
              <w:bottom w:val="single" w:sz="4" w:space="0" w:color="auto"/>
              <w:right w:val="single" w:sz="4" w:space="0" w:color="auto"/>
            </w:tcBorders>
          </w:tcPr>
          <w:p w14:paraId="59CDAA1A" w14:textId="77777777" w:rsidR="0022636E" w:rsidRPr="00A77AF6" w:rsidRDefault="0022636E" w:rsidP="00990C84">
            <w:pPr>
              <w:spacing w:after="0" w:line="240" w:lineRule="auto"/>
              <w:jc w:val="center"/>
              <w:rPr>
                <w:sz w:val="20"/>
              </w:rPr>
            </w:pPr>
            <w:r w:rsidRPr="00A77AF6">
              <w:rPr>
                <w:sz w:val="20"/>
              </w:rPr>
              <w:t>15</w:t>
            </w:r>
          </w:p>
        </w:tc>
        <w:tc>
          <w:tcPr>
            <w:tcW w:w="1329" w:type="dxa"/>
            <w:tcBorders>
              <w:top w:val="single" w:sz="4" w:space="0" w:color="auto"/>
              <w:left w:val="single" w:sz="4" w:space="0" w:color="auto"/>
              <w:bottom w:val="single" w:sz="4" w:space="0" w:color="auto"/>
              <w:right w:val="single" w:sz="4" w:space="0" w:color="auto"/>
            </w:tcBorders>
          </w:tcPr>
          <w:p w14:paraId="42039524" w14:textId="77777777" w:rsidR="0022636E" w:rsidRPr="00A77AF6" w:rsidRDefault="0022636E" w:rsidP="00990C84">
            <w:pPr>
              <w:spacing w:after="0" w:line="240" w:lineRule="auto"/>
              <w:jc w:val="center"/>
              <w:rPr>
                <w:sz w:val="20"/>
              </w:rPr>
            </w:pPr>
            <w:r w:rsidRPr="00A77AF6">
              <w:rPr>
                <w:sz w:val="20"/>
              </w:rPr>
              <w:t>12</w:t>
            </w:r>
          </w:p>
        </w:tc>
        <w:tc>
          <w:tcPr>
            <w:tcW w:w="132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E7D5CEC" w14:textId="77777777" w:rsidR="0022636E" w:rsidRPr="00A77AF6" w:rsidRDefault="0022636E" w:rsidP="00990C84">
            <w:pPr>
              <w:spacing w:after="0" w:line="240" w:lineRule="auto"/>
              <w:jc w:val="center"/>
              <w:rPr>
                <w:sz w:val="20"/>
              </w:rPr>
            </w:pPr>
            <w:r w:rsidRPr="00A77AF6">
              <w:rPr>
                <w:sz w:val="20"/>
              </w:rPr>
              <w:t>9</w:t>
            </w:r>
          </w:p>
        </w:tc>
        <w:tc>
          <w:tcPr>
            <w:tcW w:w="1329" w:type="dxa"/>
            <w:tcBorders>
              <w:top w:val="single" w:sz="4" w:space="0" w:color="auto"/>
              <w:left w:val="single" w:sz="4" w:space="0" w:color="auto"/>
              <w:bottom w:val="single" w:sz="4" w:space="0" w:color="auto"/>
              <w:right w:val="single" w:sz="4" w:space="0" w:color="auto"/>
            </w:tcBorders>
          </w:tcPr>
          <w:p w14:paraId="4A629137" w14:textId="77777777" w:rsidR="0022636E" w:rsidRPr="00A77AF6" w:rsidRDefault="0022636E" w:rsidP="00990C84">
            <w:pPr>
              <w:spacing w:after="0" w:line="240" w:lineRule="auto"/>
              <w:jc w:val="center"/>
              <w:rPr>
                <w:sz w:val="20"/>
              </w:rPr>
            </w:pPr>
            <w:r w:rsidRPr="00A77AF6">
              <w:rPr>
                <w:sz w:val="20"/>
              </w:rPr>
              <w:t>6</w:t>
            </w:r>
          </w:p>
        </w:tc>
        <w:tc>
          <w:tcPr>
            <w:tcW w:w="1204" w:type="dxa"/>
            <w:tcBorders>
              <w:top w:val="single" w:sz="4" w:space="0" w:color="auto"/>
              <w:left w:val="single" w:sz="4" w:space="0" w:color="auto"/>
              <w:bottom w:val="single" w:sz="4" w:space="0" w:color="auto"/>
              <w:right w:val="single" w:sz="4" w:space="0" w:color="auto"/>
            </w:tcBorders>
          </w:tcPr>
          <w:p w14:paraId="4269CFC2" w14:textId="77777777" w:rsidR="0022636E" w:rsidRPr="00A77AF6" w:rsidRDefault="0022636E" w:rsidP="00990C84">
            <w:pPr>
              <w:spacing w:after="0" w:line="240" w:lineRule="auto"/>
              <w:jc w:val="center"/>
              <w:rPr>
                <w:sz w:val="20"/>
              </w:rPr>
            </w:pPr>
            <w:r w:rsidRPr="00A77AF6">
              <w:rPr>
                <w:sz w:val="20"/>
              </w:rPr>
              <w:t>3</w:t>
            </w:r>
          </w:p>
        </w:tc>
        <w:tc>
          <w:tcPr>
            <w:tcW w:w="1134" w:type="dxa"/>
            <w:tcBorders>
              <w:top w:val="single" w:sz="4" w:space="0" w:color="auto"/>
              <w:left w:val="single" w:sz="4" w:space="0" w:color="auto"/>
              <w:bottom w:val="single" w:sz="4" w:space="0" w:color="auto"/>
              <w:right w:val="single" w:sz="4" w:space="0" w:color="auto"/>
            </w:tcBorders>
          </w:tcPr>
          <w:p w14:paraId="70542B14" w14:textId="77777777" w:rsidR="0022636E" w:rsidRPr="00A77AF6" w:rsidRDefault="0022636E" w:rsidP="00990C84">
            <w:pPr>
              <w:spacing w:after="0" w:line="240" w:lineRule="auto"/>
              <w:jc w:val="center"/>
              <w:rPr>
                <w:sz w:val="20"/>
              </w:rPr>
            </w:pPr>
            <w:r w:rsidRPr="00A77AF6">
              <w:rPr>
                <w:sz w:val="20"/>
              </w:rPr>
              <w:t>0</w:t>
            </w:r>
          </w:p>
        </w:tc>
      </w:tr>
    </w:tbl>
    <w:p w14:paraId="065AC3F3" w14:textId="655763D0" w:rsidR="00C548C9" w:rsidRPr="00A77AF6" w:rsidRDefault="00293F45" w:rsidP="002D2211">
      <w:pPr>
        <w:pStyle w:val="Heading3"/>
        <w:spacing w:before="360" w:after="120"/>
      </w:pPr>
      <w:bookmarkStart w:id="146" w:name="_Toc36275118"/>
      <w:r w:rsidRPr="00A77AF6">
        <w:t>Ethical predisposition and c</w:t>
      </w:r>
      <w:r w:rsidR="00C548C9" w:rsidRPr="00A77AF6">
        <w:t xml:space="preserve">laimed </w:t>
      </w:r>
      <w:r w:rsidR="00EE7D1A" w:rsidRPr="00A77AF6">
        <w:t>s</w:t>
      </w:r>
      <w:r w:rsidR="00C548C9" w:rsidRPr="00A77AF6">
        <w:t>uccess</w:t>
      </w:r>
      <w:r w:rsidR="00F66AE9" w:rsidRPr="00A77AF6">
        <w:t xml:space="preserve"> (n=45)</w:t>
      </w:r>
      <w:bookmarkEnd w:id="146"/>
    </w:p>
    <w:p w14:paraId="631BE850" w14:textId="02F9F2E9" w:rsidR="000D04CD" w:rsidRPr="00A77AF6" w:rsidRDefault="00332842" w:rsidP="00293F45">
      <w:pPr>
        <w:spacing w:line="360" w:lineRule="auto"/>
      </w:pPr>
      <w:r w:rsidRPr="00A77AF6">
        <w:rPr>
          <w:color w:val="000000" w:themeColor="text1"/>
        </w:rPr>
        <w:t>Forty-five</w:t>
      </w:r>
      <w:r w:rsidR="00C548C9" w:rsidRPr="00A77AF6">
        <w:rPr>
          <w:color w:val="000000" w:themeColor="text1"/>
        </w:rPr>
        <w:t xml:space="preserve"> respondents claimed that their project was successful.  There were</w:t>
      </w:r>
      <w:r w:rsidR="008829BD">
        <w:rPr>
          <w:color w:val="000000" w:themeColor="text1"/>
        </w:rPr>
        <w:t xml:space="preserve"> five</w:t>
      </w:r>
      <w:r w:rsidR="00C548C9" w:rsidRPr="00A77AF6">
        <w:rPr>
          <w:color w:val="000000" w:themeColor="text1"/>
        </w:rPr>
        <w:t xml:space="preserve"> ‘caveated’ responses all of whom were formalists.  In the caveated cases, respondents had elected not to define their </w:t>
      </w:r>
      <w:r w:rsidR="00C548C9" w:rsidRPr="00A77AF6">
        <w:t xml:space="preserve">project </w:t>
      </w:r>
      <w:r w:rsidR="00293F45" w:rsidRPr="00A77AF6">
        <w:t xml:space="preserve">either </w:t>
      </w:r>
      <w:r w:rsidR="00C548C9" w:rsidRPr="00A77AF6">
        <w:t xml:space="preserve">as a success or failure but </w:t>
      </w:r>
      <w:r w:rsidR="00293F45" w:rsidRPr="00A77AF6">
        <w:t xml:space="preserve">rather </w:t>
      </w:r>
      <w:r w:rsidR="00E16D76" w:rsidRPr="00A77AF6">
        <w:t>made</w:t>
      </w:r>
      <w:r w:rsidR="00C548C9" w:rsidRPr="00A77AF6">
        <w:t xml:space="preserve"> a comment about the project. </w:t>
      </w:r>
      <w:r w:rsidR="00293F45" w:rsidRPr="00A77AF6">
        <w:t xml:space="preserve"> Neither </w:t>
      </w:r>
      <w:r w:rsidR="00486628" w:rsidRPr="00A77AF6">
        <w:t xml:space="preserve"> they, nor their projects </w:t>
      </w:r>
      <w:r w:rsidR="00C548C9" w:rsidRPr="00A77AF6">
        <w:t>were included for the purposes of this analysis</w:t>
      </w:r>
      <w:r w:rsidR="00486628" w:rsidRPr="00A77AF6">
        <w:t xml:space="preserve"> because of doubt about their view</w:t>
      </w:r>
      <w:r w:rsidR="00AE51F7" w:rsidRPr="00A77AF6">
        <w:t xml:space="preserve"> of success</w:t>
      </w:r>
      <w:r w:rsidR="008926A0" w:rsidRPr="00A77AF6">
        <w:t xml:space="preserve">. </w:t>
      </w:r>
      <w:r w:rsidR="002D2211" w:rsidRPr="00A77AF6">
        <w:t>Of the f</w:t>
      </w:r>
      <w:r w:rsidR="00A36A92" w:rsidRPr="00A77AF6">
        <w:t xml:space="preserve">orty-five respondents who claimed </w:t>
      </w:r>
      <w:r w:rsidR="005F7CDD" w:rsidRPr="00A77AF6">
        <w:t xml:space="preserve">success, </w:t>
      </w:r>
      <w:r w:rsidR="00E16D76" w:rsidRPr="00A77AF6">
        <w:t>39</w:t>
      </w:r>
      <w:r w:rsidR="00A36A92" w:rsidRPr="00A77AF6">
        <w:t xml:space="preserve"> (</w:t>
      </w:r>
      <w:r w:rsidR="00AE683E" w:rsidRPr="00A77AF6">
        <w:t xml:space="preserve">87%) </w:t>
      </w:r>
      <w:r w:rsidR="00A36A92" w:rsidRPr="00A77AF6">
        <w:t xml:space="preserve">were </w:t>
      </w:r>
      <w:r w:rsidR="00AE683E" w:rsidRPr="00A77AF6">
        <w:t xml:space="preserve">formalists, </w:t>
      </w:r>
      <w:r w:rsidR="00A36A92" w:rsidRPr="00A77AF6">
        <w:t>four (</w:t>
      </w:r>
      <w:r w:rsidR="00AE683E" w:rsidRPr="00A77AF6">
        <w:t xml:space="preserve">9%) </w:t>
      </w:r>
      <w:r w:rsidR="00A36A92" w:rsidRPr="00A77AF6">
        <w:t xml:space="preserve">were </w:t>
      </w:r>
      <w:r w:rsidR="00AE683E" w:rsidRPr="00A77AF6">
        <w:t xml:space="preserve">utilitarians and </w:t>
      </w:r>
      <w:r w:rsidR="00A36A92" w:rsidRPr="00A77AF6">
        <w:t>two</w:t>
      </w:r>
      <w:r w:rsidR="000D04CD" w:rsidRPr="00A77AF6">
        <w:t xml:space="preserve"> </w:t>
      </w:r>
      <w:r w:rsidR="00A36A92" w:rsidRPr="00A77AF6">
        <w:t>(</w:t>
      </w:r>
      <w:r w:rsidR="00AE683E" w:rsidRPr="00A77AF6">
        <w:t>4%) were equally predisposed between formalism and utilitarianism</w:t>
      </w:r>
      <w:r w:rsidR="002D2211" w:rsidRPr="00A77AF6">
        <w:t xml:space="preserve"> (Table 6-9)</w:t>
      </w:r>
      <w:r w:rsidR="00A36A92" w:rsidRPr="00A77AF6">
        <w:t xml:space="preserve">. </w:t>
      </w:r>
      <w:r w:rsidR="00AE683E" w:rsidRPr="00A77AF6">
        <w:t xml:space="preserve"> </w:t>
      </w:r>
    </w:p>
    <w:p w14:paraId="40AC3741" w14:textId="34C84435" w:rsidR="00C548C9" w:rsidRPr="00A77AF6" w:rsidRDefault="00C548C9" w:rsidP="002D2211">
      <w:pPr>
        <w:spacing w:after="120"/>
        <w:rPr>
          <w:sz w:val="20"/>
          <w:szCs w:val="20"/>
        </w:rPr>
      </w:pPr>
      <w:bookmarkStart w:id="147" w:name="_Toc518913146"/>
      <w:bookmarkStart w:id="148" w:name="_Toc519071684"/>
      <w:r w:rsidRPr="00A77AF6">
        <w:rPr>
          <w:sz w:val="20"/>
          <w:szCs w:val="20"/>
        </w:rPr>
        <w:t xml:space="preserve">Table </w:t>
      </w:r>
      <w:r w:rsidR="00804112">
        <w:rPr>
          <w:sz w:val="20"/>
          <w:szCs w:val="20"/>
        </w:rPr>
        <w:fldChar w:fldCharType="begin"/>
      </w:r>
      <w:r w:rsidR="00804112">
        <w:rPr>
          <w:sz w:val="20"/>
          <w:szCs w:val="20"/>
        </w:rPr>
        <w:instrText xml:space="preserve"> STYLEREF 1 \s </w:instrText>
      </w:r>
      <w:r w:rsidR="00804112">
        <w:rPr>
          <w:sz w:val="20"/>
          <w:szCs w:val="20"/>
        </w:rPr>
        <w:fldChar w:fldCharType="separate"/>
      </w:r>
      <w:r w:rsidR="000441F7">
        <w:rPr>
          <w:noProof/>
          <w:sz w:val="20"/>
          <w:szCs w:val="20"/>
        </w:rPr>
        <w:t>6</w:t>
      </w:r>
      <w:r w:rsidR="00804112">
        <w:rPr>
          <w:sz w:val="20"/>
          <w:szCs w:val="20"/>
        </w:rPr>
        <w:fldChar w:fldCharType="end"/>
      </w:r>
      <w:r w:rsidR="00804112">
        <w:rPr>
          <w:sz w:val="20"/>
          <w:szCs w:val="20"/>
        </w:rPr>
        <w:noBreakHyphen/>
      </w:r>
      <w:r w:rsidR="00804112">
        <w:rPr>
          <w:sz w:val="20"/>
          <w:szCs w:val="20"/>
        </w:rPr>
        <w:fldChar w:fldCharType="begin"/>
      </w:r>
      <w:r w:rsidR="00804112">
        <w:rPr>
          <w:sz w:val="20"/>
          <w:szCs w:val="20"/>
        </w:rPr>
        <w:instrText xml:space="preserve"> SEQ Table \* ARABIC \s 1 </w:instrText>
      </w:r>
      <w:r w:rsidR="00804112">
        <w:rPr>
          <w:sz w:val="20"/>
          <w:szCs w:val="20"/>
        </w:rPr>
        <w:fldChar w:fldCharType="separate"/>
      </w:r>
      <w:r w:rsidR="000441F7">
        <w:rPr>
          <w:noProof/>
          <w:sz w:val="20"/>
          <w:szCs w:val="20"/>
        </w:rPr>
        <w:t>9</w:t>
      </w:r>
      <w:r w:rsidR="00804112">
        <w:rPr>
          <w:sz w:val="20"/>
          <w:szCs w:val="20"/>
        </w:rPr>
        <w:fldChar w:fldCharType="end"/>
      </w:r>
      <w:r w:rsidRPr="00A77AF6">
        <w:rPr>
          <w:sz w:val="20"/>
          <w:szCs w:val="20"/>
        </w:rPr>
        <w:t xml:space="preserve"> Ethical Predisposition and Claimed Success</w:t>
      </w:r>
      <w:bookmarkEnd w:id="147"/>
      <w:bookmarkEnd w:id="148"/>
    </w:p>
    <w:tbl>
      <w:tblPr>
        <w:tblW w:w="5524" w:type="dxa"/>
        <w:shd w:val="clear" w:color="auto" w:fill="FFFFFF" w:themeFill="background1"/>
        <w:tblLayout w:type="fixed"/>
        <w:tblLook w:val="04A0" w:firstRow="1" w:lastRow="0" w:firstColumn="1" w:lastColumn="0" w:noHBand="0" w:noVBand="1"/>
      </w:tblPr>
      <w:tblGrid>
        <w:gridCol w:w="3823"/>
        <w:gridCol w:w="1701"/>
      </w:tblGrid>
      <w:tr w:rsidR="00C548C9" w:rsidRPr="00A77AF6" w14:paraId="353B2574" w14:textId="77777777" w:rsidTr="00AE683E">
        <w:trPr>
          <w:trHeight w:val="300"/>
        </w:trPr>
        <w:tc>
          <w:tcPr>
            <w:tcW w:w="3823" w:type="dxa"/>
            <w:tcBorders>
              <w:top w:val="single" w:sz="4" w:space="0" w:color="auto"/>
              <w:left w:val="single" w:sz="4" w:space="0" w:color="auto"/>
              <w:bottom w:val="single" w:sz="4" w:space="0" w:color="000000"/>
              <w:right w:val="single" w:sz="4" w:space="0" w:color="auto"/>
            </w:tcBorders>
            <w:shd w:val="clear" w:color="auto" w:fill="D9D9D9" w:themeFill="background1" w:themeFillShade="D9"/>
            <w:noWrap/>
          </w:tcPr>
          <w:p w14:paraId="29D08B90" w14:textId="53AEA244" w:rsidR="00C548C9" w:rsidRPr="00A77AF6" w:rsidRDefault="00C548C9" w:rsidP="00AE683E">
            <w:pPr>
              <w:spacing w:after="0" w:line="240" w:lineRule="auto"/>
              <w:rPr>
                <w:rFonts w:ascii="Calibri" w:eastAsia="Times New Roman" w:hAnsi="Calibri" w:cs="Times New Roman"/>
                <w:b/>
                <w:bCs/>
                <w:color w:val="000000"/>
                <w:sz w:val="20"/>
                <w:lang w:eastAsia="en-GB"/>
              </w:rPr>
            </w:pPr>
            <w:r w:rsidRPr="00A77AF6">
              <w:rPr>
                <w:rFonts w:ascii="Calibri" w:eastAsia="Times New Roman" w:hAnsi="Calibri" w:cs="Times New Roman"/>
                <w:b/>
                <w:bCs/>
                <w:color w:val="000000"/>
                <w:sz w:val="20"/>
                <w:lang w:eastAsia="en-GB"/>
              </w:rPr>
              <w:t>Ethical Predisposition of project managers claiming success (</w:t>
            </w:r>
            <w:r w:rsidR="002D31A4" w:rsidRPr="00A77AF6">
              <w:rPr>
                <w:rFonts w:ascii="Calibri" w:eastAsia="Times New Roman" w:hAnsi="Calibri" w:cs="Times New Roman"/>
                <w:b/>
                <w:bCs/>
                <w:color w:val="000000"/>
                <w:sz w:val="20"/>
                <w:lang w:eastAsia="en-GB"/>
              </w:rPr>
              <w:t xml:space="preserve">sample size </w:t>
            </w:r>
            <w:r w:rsidRPr="00A77AF6">
              <w:rPr>
                <w:rFonts w:ascii="Calibri" w:eastAsia="Times New Roman" w:hAnsi="Calibri" w:cs="Times New Roman"/>
                <w:b/>
                <w:bCs/>
                <w:color w:val="000000"/>
                <w:sz w:val="20"/>
                <w:lang w:eastAsia="en-GB"/>
              </w:rPr>
              <w:t>n=45)</w:t>
            </w:r>
          </w:p>
        </w:tc>
        <w:tc>
          <w:tcPr>
            <w:tcW w:w="1701"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bottom"/>
          </w:tcPr>
          <w:p w14:paraId="4086C9B6" w14:textId="1DF823D8" w:rsidR="00C548C9" w:rsidRPr="00A77AF6" w:rsidRDefault="00F524B6" w:rsidP="00AE683E">
            <w:pPr>
              <w:spacing w:after="0" w:line="240" w:lineRule="auto"/>
              <w:rPr>
                <w:rFonts w:ascii="Calibri" w:eastAsia="Times New Roman" w:hAnsi="Calibri" w:cs="Times New Roman"/>
                <w:b/>
                <w:bCs/>
                <w:color w:val="000000"/>
                <w:sz w:val="20"/>
                <w:lang w:eastAsia="en-GB"/>
              </w:rPr>
            </w:pPr>
            <w:r w:rsidRPr="00A77AF6">
              <w:rPr>
                <w:rFonts w:ascii="Calibri" w:eastAsia="Times New Roman" w:hAnsi="Calibri" w:cs="Times New Roman"/>
                <w:b/>
                <w:bCs/>
                <w:color w:val="000000"/>
                <w:sz w:val="20"/>
                <w:lang w:eastAsia="en-GB"/>
              </w:rPr>
              <w:t>‘</w:t>
            </w:r>
            <w:r w:rsidR="00C548C9" w:rsidRPr="00A77AF6">
              <w:rPr>
                <w:rFonts w:ascii="Calibri" w:eastAsia="Times New Roman" w:hAnsi="Calibri" w:cs="Times New Roman"/>
                <w:b/>
                <w:bCs/>
                <w:color w:val="000000"/>
                <w:sz w:val="20"/>
                <w:lang w:eastAsia="en-GB"/>
              </w:rPr>
              <w:t>Claim</w:t>
            </w:r>
            <w:r w:rsidRPr="00A77AF6">
              <w:rPr>
                <w:rFonts w:ascii="Calibri" w:eastAsia="Times New Roman" w:hAnsi="Calibri" w:cs="Times New Roman"/>
                <w:b/>
                <w:bCs/>
                <w:color w:val="000000"/>
                <w:sz w:val="20"/>
                <w:lang w:eastAsia="en-GB"/>
              </w:rPr>
              <w:t>ed’</w:t>
            </w:r>
            <w:r w:rsidR="00C548C9" w:rsidRPr="00A77AF6">
              <w:rPr>
                <w:rFonts w:ascii="Calibri" w:eastAsia="Times New Roman" w:hAnsi="Calibri" w:cs="Times New Roman"/>
                <w:b/>
                <w:bCs/>
                <w:color w:val="000000"/>
                <w:sz w:val="20"/>
                <w:lang w:eastAsia="en-GB"/>
              </w:rPr>
              <w:t xml:space="preserve"> project success</w:t>
            </w:r>
          </w:p>
          <w:p w14:paraId="0DF52004" w14:textId="77777777" w:rsidR="00C548C9" w:rsidRPr="00A77AF6" w:rsidRDefault="00C548C9" w:rsidP="00AE683E">
            <w:pPr>
              <w:spacing w:after="0" w:line="240" w:lineRule="auto"/>
              <w:rPr>
                <w:rFonts w:ascii="Calibri" w:eastAsia="Times New Roman" w:hAnsi="Calibri" w:cs="Times New Roman"/>
                <w:b/>
                <w:bCs/>
                <w:color w:val="000000"/>
                <w:sz w:val="20"/>
                <w:lang w:eastAsia="en-GB"/>
              </w:rPr>
            </w:pPr>
            <w:r w:rsidRPr="00A77AF6">
              <w:rPr>
                <w:rFonts w:ascii="Calibri" w:eastAsia="Times New Roman" w:hAnsi="Calibri" w:cs="Times New Roman"/>
                <w:b/>
                <w:bCs/>
                <w:color w:val="000000"/>
                <w:sz w:val="20"/>
                <w:lang w:eastAsia="en-GB"/>
              </w:rPr>
              <w:t>Number (%)</w:t>
            </w:r>
          </w:p>
          <w:p w14:paraId="0FD9E537" w14:textId="77777777" w:rsidR="00C548C9" w:rsidRPr="00A77AF6" w:rsidRDefault="00C548C9" w:rsidP="00AE683E">
            <w:pPr>
              <w:spacing w:after="0" w:line="240" w:lineRule="auto"/>
              <w:rPr>
                <w:rFonts w:ascii="Calibri" w:eastAsia="Times New Roman" w:hAnsi="Calibri" w:cs="Times New Roman"/>
                <w:b/>
                <w:bCs/>
                <w:color w:val="000000"/>
                <w:sz w:val="20"/>
                <w:lang w:eastAsia="en-GB"/>
              </w:rPr>
            </w:pPr>
          </w:p>
        </w:tc>
      </w:tr>
      <w:tr w:rsidR="00C548C9" w:rsidRPr="00A77AF6" w14:paraId="799BD7FE" w14:textId="77777777" w:rsidTr="00AE683E">
        <w:trPr>
          <w:trHeight w:val="300"/>
        </w:trPr>
        <w:tc>
          <w:tcPr>
            <w:tcW w:w="3823" w:type="dxa"/>
            <w:tcBorders>
              <w:top w:val="single" w:sz="4" w:space="0" w:color="000000"/>
              <w:left w:val="single" w:sz="4" w:space="0" w:color="000000"/>
              <w:right w:val="single" w:sz="4" w:space="0" w:color="auto"/>
            </w:tcBorders>
            <w:shd w:val="clear" w:color="auto" w:fill="FFFFFF" w:themeFill="background1"/>
            <w:noWrap/>
          </w:tcPr>
          <w:p w14:paraId="3918AF01" w14:textId="77777777" w:rsidR="00C548C9" w:rsidRPr="00A77AF6" w:rsidRDefault="00C548C9" w:rsidP="00AE683E">
            <w:pPr>
              <w:spacing w:after="0" w:line="240"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Formalism</w:t>
            </w:r>
          </w:p>
        </w:tc>
        <w:tc>
          <w:tcPr>
            <w:tcW w:w="1701" w:type="dxa"/>
            <w:tcBorders>
              <w:top w:val="single" w:sz="4" w:space="0" w:color="000000"/>
              <w:left w:val="single" w:sz="4" w:space="0" w:color="auto"/>
              <w:right w:val="single" w:sz="4" w:space="0" w:color="auto"/>
            </w:tcBorders>
            <w:shd w:val="clear" w:color="auto" w:fill="FFFFFF" w:themeFill="background1"/>
          </w:tcPr>
          <w:p w14:paraId="02FE875E" w14:textId="77777777" w:rsidR="00C548C9" w:rsidRPr="00A77AF6" w:rsidRDefault="00C548C9" w:rsidP="00AE683E">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39 (87%)</w:t>
            </w:r>
          </w:p>
        </w:tc>
      </w:tr>
      <w:tr w:rsidR="00C548C9" w:rsidRPr="00A77AF6" w14:paraId="4C11F425" w14:textId="77777777" w:rsidTr="00AE683E">
        <w:trPr>
          <w:trHeight w:val="300"/>
        </w:trPr>
        <w:tc>
          <w:tcPr>
            <w:tcW w:w="3823" w:type="dxa"/>
            <w:tcBorders>
              <w:top w:val="nil"/>
              <w:left w:val="single" w:sz="4" w:space="0" w:color="000000"/>
              <w:right w:val="single" w:sz="4" w:space="0" w:color="auto"/>
            </w:tcBorders>
            <w:shd w:val="clear" w:color="auto" w:fill="FFFFFF" w:themeFill="background1"/>
            <w:noWrap/>
          </w:tcPr>
          <w:p w14:paraId="6ABA29FA" w14:textId="77777777" w:rsidR="00C548C9" w:rsidRPr="00A77AF6" w:rsidRDefault="00C548C9" w:rsidP="00AE683E">
            <w:pPr>
              <w:spacing w:after="0" w:line="240"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Utilitarianism</w:t>
            </w:r>
          </w:p>
        </w:tc>
        <w:tc>
          <w:tcPr>
            <w:tcW w:w="1701" w:type="dxa"/>
            <w:tcBorders>
              <w:top w:val="nil"/>
              <w:left w:val="single" w:sz="4" w:space="0" w:color="auto"/>
              <w:right w:val="single" w:sz="4" w:space="0" w:color="auto"/>
            </w:tcBorders>
            <w:shd w:val="clear" w:color="auto" w:fill="FFFFFF" w:themeFill="background1"/>
          </w:tcPr>
          <w:p w14:paraId="02E95296" w14:textId="77777777" w:rsidR="00C548C9" w:rsidRPr="00A77AF6" w:rsidRDefault="00C548C9" w:rsidP="00AE683E">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4 (9%)</w:t>
            </w:r>
          </w:p>
        </w:tc>
      </w:tr>
      <w:tr w:rsidR="00C548C9" w:rsidRPr="00A77AF6" w14:paraId="38E75167" w14:textId="77777777" w:rsidTr="00AE683E">
        <w:trPr>
          <w:trHeight w:val="300"/>
        </w:trPr>
        <w:tc>
          <w:tcPr>
            <w:tcW w:w="3823" w:type="dxa"/>
            <w:tcBorders>
              <w:top w:val="nil"/>
              <w:left w:val="single" w:sz="4" w:space="0" w:color="000000"/>
              <w:bottom w:val="single" w:sz="4" w:space="0" w:color="000000"/>
              <w:right w:val="single" w:sz="4" w:space="0" w:color="auto"/>
            </w:tcBorders>
            <w:shd w:val="clear" w:color="auto" w:fill="FFFFFF" w:themeFill="background1"/>
            <w:noWrap/>
          </w:tcPr>
          <w:p w14:paraId="67D01D5D" w14:textId="64FB8266" w:rsidR="00C548C9" w:rsidRPr="00A77AF6" w:rsidRDefault="00DB2488" w:rsidP="00AE683E">
            <w:pPr>
              <w:spacing w:after="0" w:line="240"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Equal formalism/ utilitarianism</w:t>
            </w:r>
          </w:p>
        </w:tc>
        <w:tc>
          <w:tcPr>
            <w:tcW w:w="1701" w:type="dxa"/>
            <w:tcBorders>
              <w:top w:val="nil"/>
              <w:left w:val="single" w:sz="4" w:space="0" w:color="auto"/>
              <w:bottom w:val="single" w:sz="4" w:space="0" w:color="000000"/>
              <w:right w:val="single" w:sz="4" w:space="0" w:color="auto"/>
            </w:tcBorders>
            <w:shd w:val="clear" w:color="auto" w:fill="FFFFFF" w:themeFill="background1"/>
          </w:tcPr>
          <w:p w14:paraId="3603552C" w14:textId="77777777" w:rsidR="00C548C9" w:rsidRPr="00A77AF6" w:rsidRDefault="00C548C9" w:rsidP="00AE683E">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2 (4%)</w:t>
            </w:r>
          </w:p>
        </w:tc>
      </w:tr>
      <w:tr w:rsidR="00C548C9" w:rsidRPr="00A77AF6" w14:paraId="14A5BDDF" w14:textId="77777777" w:rsidTr="00AE683E">
        <w:trPr>
          <w:trHeight w:val="300"/>
        </w:trPr>
        <w:tc>
          <w:tcPr>
            <w:tcW w:w="3823" w:type="dxa"/>
            <w:tcBorders>
              <w:top w:val="nil"/>
              <w:left w:val="single" w:sz="4" w:space="0" w:color="000000"/>
              <w:bottom w:val="single" w:sz="4" w:space="0" w:color="auto"/>
              <w:right w:val="single" w:sz="4" w:space="0" w:color="auto"/>
            </w:tcBorders>
            <w:shd w:val="clear" w:color="auto" w:fill="FFFFFF" w:themeFill="background1"/>
            <w:noWrap/>
          </w:tcPr>
          <w:p w14:paraId="1D2A9CC9" w14:textId="77777777" w:rsidR="00C548C9" w:rsidRPr="00A77AF6" w:rsidRDefault="00C548C9" w:rsidP="00AE683E">
            <w:pPr>
              <w:spacing w:after="0" w:line="240"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Utilitarian no response</w:t>
            </w:r>
          </w:p>
        </w:tc>
        <w:tc>
          <w:tcPr>
            <w:tcW w:w="1701" w:type="dxa"/>
            <w:tcBorders>
              <w:top w:val="nil"/>
              <w:left w:val="single" w:sz="4" w:space="0" w:color="auto"/>
              <w:bottom w:val="single" w:sz="4" w:space="0" w:color="auto"/>
              <w:right w:val="single" w:sz="4" w:space="0" w:color="auto"/>
            </w:tcBorders>
            <w:shd w:val="clear" w:color="auto" w:fill="FFFFFF" w:themeFill="background1"/>
          </w:tcPr>
          <w:p w14:paraId="06CD7F9F" w14:textId="77777777" w:rsidR="00C548C9" w:rsidRPr="00A77AF6" w:rsidRDefault="00C548C9" w:rsidP="00AE683E">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0</w:t>
            </w:r>
          </w:p>
        </w:tc>
      </w:tr>
      <w:tr w:rsidR="00C548C9" w:rsidRPr="00A77AF6" w14:paraId="36CA4BEB" w14:textId="77777777" w:rsidTr="00AE683E">
        <w:trPr>
          <w:trHeight w:val="300"/>
        </w:trPr>
        <w:tc>
          <w:tcPr>
            <w:tcW w:w="3823" w:type="dxa"/>
            <w:tcBorders>
              <w:top w:val="single" w:sz="4" w:space="0" w:color="auto"/>
            </w:tcBorders>
            <w:shd w:val="clear" w:color="auto" w:fill="FFFFFF" w:themeFill="background1"/>
            <w:noWrap/>
            <w:vAlign w:val="bottom"/>
          </w:tcPr>
          <w:p w14:paraId="3571D5F3" w14:textId="77777777" w:rsidR="00C548C9" w:rsidRPr="00A77AF6" w:rsidRDefault="00C548C9" w:rsidP="00AE683E">
            <w:pPr>
              <w:spacing w:after="0" w:line="240"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 xml:space="preserve">Total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B299F1F" w14:textId="77777777" w:rsidR="00C548C9" w:rsidRPr="00A77AF6" w:rsidRDefault="00C548C9" w:rsidP="00AE683E">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45 (100%)</w:t>
            </w:r>
          </w:p>
        </w:tc>
      </w:tr>
    </w:tbl>
    <w:p w14:paraId="5FD0331F" w14:textId="3C9FA58E" w:rsidR="00C548C9" w:rsidRPr="00A77AF6" w:rsidRDefault="00AE51F7" w:rsidP="002D2211">
      <w:pPr>
        <w:pStyle w:val="Heading3"/>
        <w:spacing w:before="480" w:after="120"/>
      </w:pPr>
      <w:bookmarkStart w:id="149" w:name="_Toc36275119"/>
      <w:r w:rsidRPr="00A77AF6">
        <w:t>Ethical predisposition and i</w:t>
      </w:r>
      <w:r w:rsidR="00C548C9" w:rsidRPr="00A77AF6">
        <w:t>ron triangl</w:t>
      </w:r>
      <w:r w:rsidR="00F0161D" w:rsidRPr="00A77AF6">
        <w:t>e</w:t>
      </w:r>
      <w:r w:rsidR="00C548C9" w:rsidRPr="00A77AF6">
        <w:t xml:space="preserve"> </w:t>
      </w:r>
      <w:r w:rsidR="00F0161D" w:rsidRPr="00A77AF6">
        <w:t>s</w:t>
      </w:r>
      <w:r w:rsidR="00C548C9" w:rsidRPr="00A77AF6">
        <w:t>uccess</w:t>
      </w:r>
      <w:r w:rsidR="00F66AE9" w:rsidRPr="00A77AF6">
        <w:t xml:space="preserve"> (n=11)</w:t>
      </w:r>
      <w:bookmarkEnd w:id="149"/>
      <w:r w:rsidR="00F66AE9" w:rsidRPr="00A77AF6">
        <w:t xml:space="preserve"> </w:t>
      </w:r>
    </w:p>
    <w:p w14:paraId="234793CE" w14:textId="58986030" w:rsidR="002D2211" w:rsidRPr="00A77AF6" w:rsidRDefault="002D2211" w:rsidP="00AE51F7">
      <w:pPr>
        <w:spacing w:line="360" w:lineRule="auto"/>
      </w:pPr>
      <w:r w:rsidRPr="00A77AF6">
        <w:t>Eleven</w:t>
      </w:r>
      <w:r w:rsidR="00AE51F7" w:rsidRPr="00A77AF6">
        <w:t xml:space="preserve"> projects met all three of the iron-triangle measures of time, cost and quality measures. </w:t>
      </w:r>
      <w:r w:rsidR="00AE683E" w:rsidRPr="00A77AF6">
        <w:t xml:space="preserve"> </w:t>
      </w:r>
      <w:r w:rsidR="00C548C9" w:rsidRPr="00A77AF6">
        <w:t>Of th</w:t>
      </w:r>
      <w:r w:rsidR="00AE51F7" w:rsidRPr="00A77AF6">
        <w:t>ese, ten</w:t>
      </w:r>
      <w:r w:rsidR="00C548C9" w:rsidRPr="00A77AF6">
        <w:t xml:space="preserve"> </w:t>
      </w:r>
      <w:r w:rsidR="00AE51F7" w:rsidRPr="00A77AF6">
        <w:t xml:space="preserve">respondents </w:t>
      </w:r>
      <w:r w:rsidR="00C548C9" w:rsidRPr="00A77AF6">
        <w:t xml:space="preserve">were </w:t>
      </w:r>
      <w:r w:rsidR="00E16D76" w:rsidRPr="00A77AF6">
        <w:t>formalist,</w:t>
      </w:r>
      <w:r w:rsidR="00C548C9" w:rsidRPr="00A77AF6">
        <w:t xml:space="preserve"> and </w:t>
      </w:r>
      <w:r w:rsidR="008B09A2" w:rsidRPr="00A77AF6">
        <w:t xml:space="preserve">one </w:t>
      </w:r>
      <w:r w:rsidR="00C548C9" w:rsidRPr="00A77AF6">
        <w:t>was ‘neither’</w:t>
      </w:r>
      <w:r w:rsidR="0041304F" w:rsidRPr="00A77AF6">
        <w:t xml:space="preserve"> (</w:t>
      </w:r>
      <w:r w:rsidR="00033265" w:rsidRPr="00A77AF6">
        <w:t>T</w:t>
      </w:r>
      <w:r w:rsidR="0041304F" w:rsidRPr="00A77AF6">
        <w:t xml:space="preserve">able </w:t>
      </w:r>
      <w:r w:rsidRPr="00A77AF6">
        <w:t>6-10</w:t>
      </w:r>
      <w:r w:rsidR="00AE51F7" w:rsidRPr="00A77AF6">
        <w:t>)</w:t>
      </w:r>
      <w:r w:rsidR="0041304F" w:rsidRPr="00A77AF6">
        <w:t xml:space="preserve"> </w:t>
      </w:r>
      <w:r w:rsidR="00C548C9" w:rsidRPr="00A77AF6">
        <w:t xml:space="preserve">There were no utilitarians in this group. </w:t>
      </w:r>
    </w:p>
    <w:p w14:paraId="319D50F5" w14:textId="77777777" w:rsidR="002D2211" w:rsidRPr="00A77AF6" w:rsidRDefault="002D2211">
      <w:r w:rsidRPr="00A77AF6">
        <w:br w:type="page"/>
      </w:r>
    </w:p>
    <w:p w14:paraId="7ADDCB16" w14:textId="284655CD" w:rsidR="0041304F" w:rsidRPr="00A77AF6" w:rsidRDefault="0041304F" w:rsidP="002F4528">
      <w:pPr>
        <w:spacing w:after="0" w:line="480" w:lineRule="auto"/>
        <w:rPr>
          <w:i/>
          <w:iCs/>
          <w:color w:val="000000" w:themeColor="text1"/>
          <w:sz w:val="18"/>
          <w:szCs w:val="18"/>
        </w:rPr>
      </w:pPr>
      <w:r w:rsidRPr="00A77AF6">
        <w:rPr>
          <w:i/>
          <w:iCs/>
          <w:color w:val="000000" w:themeColor="text1"/>
          <w:sz w:val="18"/>
          <w:szCs w:val="18"/>
        </w:rPr>
        <w:lastRenderedPageBreak/>
        <w:t xml:space="preserve">Table </w:t>
      </w:r>
      <w:r w:rsidR="00804112">
        <w:rPr>
          <w:i/>
          <w:iCs/>
          <w:color w:val="000000" w:themeColor="text1"/>
          <w:sz w:val="18"/>
          <w:szCs w:val="18"/>
        </w:rPr>
        <w:fldChar w:fldCharType="begin"/>
      </w:r>
      <w:r w:rsidR="00804112">
        <w:rPr>
          <w:i/>
          <w:iCs/>
          <w:color w:val="000000" w:themeColor="text1"/>
          <w:sz w:val="18"/>
          <w:szCs w:val="18"/>
        </w:rPr>
        <w:instrText xml:space="preserve"> STYLEREF 1 \s </w:instrText>
      </w:r>
      <w:r w:rsidR="00804112">
        <w:rPr>
          <w:i/>
          <w:iCs/>
          <w:color w:val="000000" w:themeColor="text1"/>
          <w:sz w:val="18"/>
          <w:szCs w:val="18"/>
        </w:rPr>
        <w:fldChar w:fldCharType="separate"/>
      </w:r>
      <w:r w:rsidR="000441F7">
        <w:rPr>
          <w:i/>
          <w:iCs/>
          <w:noProof/>
          <w:color w:val="000000" w:themeColor="text1"/>
          <w:sz w:val="18"/>
          <w:szCs w:val="18"/>
        </w:rPr>
        <w:t>6</w:t>
      </w:r>
      <w:r w:rsidR="00804112">
        <w:rPr>
          <w:i/>
          <w:iCs/>
          <w:color w:val="000000" w:themeColor="text1"/>
          <w:sz w:val="18"/>
          <w:szCs w:val="18"/>
        </w:rPr>
        <w:fldChar w:fldCharType="end"/>
      </w:r>
      <w:r w:rsidR="00804112">
        <w:rPr>
          <w:i/>
          <w:iCs/>
          <w:color w:val="000000" w:themeColor="text1"/>
          <w:sz w:val="18"/>
          <w:szCs w:val="18"/>
        </w:rPr>
        <w:noBreakHyphen/>
      </w:r>
      <w:r w:rsidR="00804112">
        <w:rPr>
          <w:i/>
          <w:iCs/>
          <w:color w:val="000000" w:themeColor="text1"/>
          <w:sz w:val="18"/>
          <w:szCs w:val="18"/>
        </w:rPr>
        <w:fldChar w:fldCharType="begin"/>
      </w:r>
      <w:r w:rsidR="00804112">
        <w:rPr>
          <w:i/>
          <w:iCs/>
          <w:color w:val="000000" w:themeColor="text1"/>
          <w:sz w:val="18"/>
          <w:szCs w:val="18"/>
        </w:rPr>
        <w:instrText xml:space="preserve"> SEQ Table \* ARABIC \s 1 </w:instrText>
      </w:r>
      <w:r w:rsidR="00804112">
        <w:rPr>
          <w:i/>
          <w:iCs/>
          <w:color w:val="000000" w:themeColor="text1"/>
          <w:sz w:val="18"/>
          <w:szCs w:val="18"/>
        </w:rPr>
        <w:fldChar w:fldCharType="separate"/>
      </w:r>
      <w:r w:rsidR="000441F7">
        <w:rPr>
          <w:i/>
          <w:iCs/>
          <w:noProof/>
          <w:color w:val="000000" w:themeColor="text1"/>
          <w:sz w:val="18"/>
          <w:szCs w:val="18"/>
        </w:rPr>
        <w:t>10</w:t>
      </w:r>
      <w:r w:rsidR="00804112">
        <w:rPr>
          <w:i/>
          <w:iCs/>
          <w:color w:val="000000" w:themeColor="text1"/>
          <w:sz w:val="18"/>
          <w:szCs w:val="18"/>
        </w:rPr>
        <w:fldChar w:fldCharType="end"/>
      </w:r>
      <w:r w:rsidRPr="00A77AF6">
        <w:rPr>
          <w:i/>
          <w:iCs/>
          <w:color w:val="000000" w:themeColor="text1"/>
          <w:sz w:val="18"/>
          <w:szCs w:val="18"/>
        </w:rPr>
        <w:t xml:space="preserve">: Ethical </w:t>
      </w:r>
      <w:r w:rsidR="00285D5B" w:rsidRPr="00A77AF6">
        <w:rPr>
          <w:i/>
          <w:iCs/>
          <w:color w:val="000000" w:themeColor="text1"/>
          <w:sz w:val="18"/>
          <w:szCs w:val="18"/>
        </w:rPr>
        <w:t>p</w:t>
      </w:r>
      <w:r w:rsidRPr="00A77AF6">
        <w:rPr>
          <w:i/>
          <w:iCs/>
          <w:color w:val="000000" w:themeColor="text1"/>
          <w:sz w:val="18"/>
          <w:szCs w:val="18"/>
        </w:rPr>
        <w:t>redisposition of project managers</w:t>
      </w:r>
      <w:r w:rsidR="00F66AE9" w:rsidRPr="00A77AF6">
        <w:rPr>
          <w:i/>
          <w:iCs/>
          <w:color w:val="000000" w:themeColor="text1"/>
          <w:sz w:val="18"/>
          <w:szCs w:val="18"/>
        </w:rPr>
        <w:t xml:space="preserve"> achieving </w:t>
      </w:r>
      <w:r w:rsidRPr="00A77AF6">
        <w:rPr>
          <w:i/>
          <w:iCs/>
          <w:color w:val="000000" w:themeColor="text1"/>
          <w:sz w:val="18"/>
          <w:szCs w:val="18"/>
        </w:rPr>
        <w:t>iron triangle success</w:t>
      </w:r>
      <w:r w:rsidR="00F66AE9" w:rsidRPr="00A77AF6">
        <w:rPr>
          <w:i/>
          <w:iCs/>
          <w:color w:val="000000" w:themeColor="text1"/>
          <w:sz w:val="18"/>
          <w:szCs w:val="18"/>
        </w:rPr>
        <w:t xml:space="preserve"> (sample size = 11)</w:t>
      </w:r>
    </w:p>
    <w:tbl>
      <w:tblPr>
        <w:tblW w:w="5524" w:type="dxa"/>
        <w:shd w:val="clear" w:color="auto" w:fill="FFFFFF" w:themeFill="background1"/>
        <w:tblLayout w:type="fixed"/>
        <w:tblLook w:val="04A0" w:firstRow="1" w:lastRow="0" w:firstColumn="1" w:lastColumn="0" w:noHBand="0" w:noVBand="1"/>
      </w:tblPr>
      <w:tblGrid>
        <w:gridCol w:w="3823"/>
        <w:gridCol w:w="1701"/>
      </w:tblGrid>
      <w:tr w:rsidR="0041304F" w:rsidRPr="00A77AF6" w14:paraId="53886320" w14:textId="77777777" w:rsidTr="004512E9">
        <w:trPr>
          <w:trHeight w:val="300"/>
        </w:trPr>
        <w:tc>
          <w:tcPr>
            <w:tcW w:w="3823" w:type="dxa"/>
            <w:tcBorders>
              <w:top w:val="single" w:sz="4" w:space="0" w:color="auto"/>
              <w:left w:val="single" w:sz="4" w:space="0" w:color="auto"/>
              <w:bottom w:val="single" w:sz="4" w:space="0" w:color="000000"/>
              <w:right w:val="single" w:sz="4" w:space="0" w:color="auto"/>
            </w:tcBorders>
            <w:shd w:val="clear" w:color="auto" w:fill="D9D9D9" w:themeFill="background1" w:themeFillShade="D9"/>
            <w:noWrap/>
          </w:tcPr>
          <w:p w14:paraId="3DE1F7D1" w14:textId="3BBC7E6C" w:rsidR="0041304F" w:rsidRPr="00A77AF6" w:rsidRDefault="0041304F" w:rsidP="004512E9">
            <w:pPr>
              <w:spacing w:after="0" w:line="240" w:lineRule="auto"/>
              <w:rPr>
                <w:rFonts w:ascii="Calibri" w:eastAsia="Times New Roman" w:hAnsi="Calibri" w:cs="Times New Roman"/>
                <w:b/>
                <w:bCs/>
                <w:color w:val="000000"/>
                <w:sz w:val="20"/>
                <w:lang w:eastAsia="en-GB"/>
              </w:rPr>
            </w:pPr>
            <w:r w:rsidRPr="00A77AF6">
              <w:rPr>
                <w:rFonts w:ascii="Calibri" w:eastAsia="Times New Roman" w:hAnsi="Calibri" w:cs="Times New Roman"/>
                <w:b/>
                <w:bCs/>
                <w:color w:val="000000"/>
                <w:sz w:val="20"/>
                <w:lang w:eastAsia="en-GB"/>
              </w:rPr>
              <w:t>Ethical Predisposition of project managers iron triangle success (n=11)</w:t>
            </w:r>
          </w:p>
        </w:tc>
        <w:tc>
          <w:tcPr>
            <w:tcW w:w="1701"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bottom"/>
          </w:tcPr>
          <w:p w14:paraId="3C91510A" w14:textId="77777777" w:rsidR="0041304F" w:rsidRPr="00A77AF6" w:rsidRDefault="0041304F" w:rsidP="004512E9">
            <w:pPr>
              <w:spacing w:after="0" w:line="240" w:lineRule="auto"/>
              <w:rPr>
                <w:rFonts w:ascii="Calibri" w:eastAsia="Times New Roman" w:hAnsi="Calibri" w:cs="Times New Roman"/>
                <w:b/>
                <w:bCs/>
                <w:color w:val="000000"/>
                <w:sz w:val="20"/>
                <w:lang w:eastAsia="en-GB"/>
              </w:rPr>
            </w:pPr>
            <w:r w:rsidRPr="00A77AF6">
              <w:rPr>
                <w:rFonts w:ascii="Calibri" w:eastAsia="Times New Roman" w:hAnsi="Calibri" w:cs="Times New Roman"/>
                <w:b/>
                <w:bCs/>
                <w:color w:val="000000"/>
                <w:sz w:val="20"/>
                <w:lang w:eastAsia="en-GB"/>
              </w:rPr>
              <w:t>Number (%)</w:t>
            </w:r>
          </w:p>
          <w:p w14:paraId="2DDEB311" w14:textId="77777777" w:rsidR="0041304F" w:rsidRPr="00A77AF6" w:rsidRDefault="0041304F" w:rsidP="004512E9">
            <w:pPr>
              <w:spacing w:after="0" w:line="240" w:lineRule="auto"/>
              <w:rPr>
                <w:rFonts w:ascii="Calibri" w:eastAsia="Times New Roman" w:hAnsi="Calibri" w:cs="Times New Roman"/>
                <w:b/>
                <w:bCs/>
                <w:color w:val="000000"/>
                <w:sz w:val="20"/>
                <w:lang w:eastAsia="en-GB"/>
              </w:rPr>
            </w:pPr>
          </w:p>
        </w:tc>
      </w:tr>
      <w:tr w:rsidR="0041304F" w:rsidRPr="00A77AF6" w14:paraId="63F521E9" w14:textId="77777777" w:rsidTr="004512E9">
        <w:trPr>
          <w:trHeight w:val="300"/>
        </w:trPr>
        <w:tc>
          <w:tcPr>
            <w:tcW w:w="3823" w:type="dxa"/>
            <w:tcBorders>
              <w:top w:val="single" w:sz="4" w:space="0" w:color="000000"/>
              <w:left w:val="single" w:sz="4" w:space="0" w:color="000000"/>
              <w:right w:val="single" w:sz="4" w:space="0" w:color="auto"/>
            </w:tcBorders>
            <w:shd w:val="clear" w:color="auto" w:fill="FFFFFF" w:themeFill="background1"/>
            <w:noWrap/>
          </w:tcPr>
          <w:p w14:paraId="324F9532" w14:textId="77777777" w:rsidR="0041304F" w:rsidRPr="00A77AF6" w:rsidRDefault="0041304F" w:rsidP="004512E9">
            <w:pPr>
              <w:spacing w:after="0" w:line="240"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Formalism</w:t>
            </w:r>
          </w:p>
        </w:tc>
        <w:tc>
          <w:tcPr>
            <w:tcW w:w="1701" w:type="dxa"/>
            <w:tcBorders>
              <w:top w:val="single" w:sz="4" w:space="0" w:color="000000"/>
              <w:left w:val="single" w:sz="4" w:space="0" w:color="auto"/>
              <w:right w:val="single" w:sz="4" w:space="0" w:color="auto"/>
            </w:tcBorders>
            <w:shd w:val="clear" w:color="auto" w:fill="FFFFFF" w:themeFill="background1"/>
          </w:tcPr>
          <w:p w14:paraId="321B7F73" w14:textId="4E3720D4" w:rsidR="0041304F" w:rsidRPr="00A77AF6" w:rsidRDefault="0041304F" w:rsidP="004512E9">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10 (91%)</w:t>
            </w:r>
          </w:p>
        </w:tc>
      </w:tr>
      <w:tr w:rsidR="0041304F" w:rsidRPr="00A77AF6" w14:paraId="0919D940" w14:textId="77777777" w:rsidTr="004512E9">
        <w:trPr>
          <w:trHeight w:val="300"/>
        </w:trPr>
        <w:tc>
          <w:tcPr>
            <w:tcW w:w="3823" w:type="dxa"/>
            <w:tcBorders>
              <w:top w:val="nil"/>
              <w:left w:val="single" w:sz="4" w:space="0" w:color="000000"/>
              <w:right w:val="single" w:sz="4" w:space="0" w:color="auto"/>
            </w:tcBorders>
            <w:shd w:val="clear" w:color="auto" w:fill="FFFFFF" w:themeFill="background1"/>
            <w:noWrap/>
          </w:tcPr>
          <w:p w14:paraId="4E22DE41" w14:textId="77777777" w:rsidR="0041304F" w:rsidRPr="00A77AF6" w:rsidRDefault="0041304F" w:rsidP="004512E9">
            <w:pPr>
              <w:spacing w:after="0" w:line="240"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Utilitarianism</w:t>
            </w:r>
          </w:p>
        </w:tc>
        <w:tc>
          <w:tcPr>
            <w:tcW w:w="1701" w:type="dxa"/>
            <w:tcBorders>
              <w:top w:val="nil"/>
              <w:left w:val="single" w:sz="4" w:space="0" w:color="auto"/>
              <w:right w:val="single" w:sz="4" w:space="0" w:color="auto"/>
            </w:tcBorders>
            <w:shd w:val="clear" w:color="auto" w:fill="FFFFFF" w:themeFill="background1"/>
          </w:tcPr>
          <w:p w14:paraId="2AB5520F" w14:textId="34748E5A" w:rsidR="0041304F" w:rsidRPr="00A77AF6" w:rsidRDefault="0041304F" w:rsidP="004512E9">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 xml:space="preserve">0 (0%) </w:t>
            </w:r>
          </w:p>
        </w:tc>
      </w:tr>
      <w:tr w:rsidR="0041304F" w:rsidRPr="00A77AF6" w14:paraId="514C80E0" w14:textId="77777777" w:rsidTr="004512E9">
        <w:trPr>
          <w:trHeight w:val="300"/>
        </w:trPr>
        <w:tc>
          <w:tcPr>
            <w:tcW w:w="3823" w:type="dxa"/>
            <w:tcBorders>
              <w:top w:val="nil"/>
              <w:left w:val="single" w:sz="4" w:space="0" w:color="000000"/>
              <w:bottom w:val="single" w:sz="4" w:space="0" w:color="000000"/>
              <w:right w:val="single" w:sz="4" w:space="0" w:color="auto"/>
            </w:tcBorders>
            <w:shd w:val="clear" w:color="auto" w:fill="FFFFFF" w:themeFill="background1"/>
            <w:noWrap/>
          </w:tcPr>
          <w:p w14:paraId="3FB030E2" w14:textId="77777777" w:rsidR="0041304F" w:rsidRPr="00A77AF6" w:rsidRDefault="0041304F" w:rsidP="004512E9">
            <w:pPr>
              <w:spacing w:after="0" w:line="240"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Equal formalism/ utilitarianism</w:t>
            </w:r>
          </w:p>
        </w:tc>
        <w:tc>
          <w:tcPr>
            <w:tcW w:w="1701" w:type="dxa"/>
            <w:tcBorders>
              <w:top w:val="nil"/>
              <w:left w:val="single" w:sz="4" w:space="0" w:color="auto"/>
              <w:bottom w:val="single" w:sz="4" w:space="0" w:color="000000"/>
              <w:right w:val="single" w:sz="4" w:space="0" w:color="auto"/>
            </w:tcBorders>
            <w:shd w:val="clear" w:color="auto" w:fill="FFFFFF" w:themeFill="background1"/>
          </w:tcPr>
          <w:p w14:paraId="655036A0" w14:textId="26207FEC" w:rsidR="0041304F" w:rsidRPr="00A77AF6" w:rsidRDefault="0041304F" w:rsidP="004512E9">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 xml:space="preserve">1 (9%) </w:t>
            </w:r>
          </w:p>
        </w:tc>
      </w:tr>
      <w:tr w:rsidR="0041304F" w:rsidRPr="00A77AF6" w14:paraId="389BC5C7" w14:textId="77777777" w:rsidTr="004512E9">
        <w:trPr>
          <w:trHeight w:val="300"/>
        </w:trPr>
        <w:tc>
          <w:tcPr>
            <w:tcW w:w="3823" w:type="dxa"/>
            <w:tcBorders>
              <w:top w:val="nil"/>
              <w:left w:val="single" w:sz="4" w:space="0" w:color="000000"/>
              <w:bottom w:val="single" w:sz="4" w:space="0" w:color="auto"/>
              <w:right w:val="single" w:sz="4" w:space="0" w:color="auto"/>
            </w:tcBorders>
            <w:shd w:val="clear" w:color="auto" w:fill="FFFFFF" w:themeFill="background1"/>
            <w:noWrap/>
          </w:tcPr>
          <w:p w14:paraId="7EF8E8AA" w14:textId="77777777" w:rsidR="0041304F" w:rsidRPr="00A77AF6" w:rsidRDefault="0041304F" w:rsidP="004512E9">
            <w:pPr>
              <w:spacing w:after="0" w:line="240"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Utilitarian no response</w:t>
            </w:r>
          </w:p>
        </w:tc>
        <w:tc>
          <w:tcPr>
            <w:tcW w:w="1701" w:type="dxa"/>
            <w:tcBorders>
              <w:top w:val="nil"/>
              <w:left w:val="single" w:sz="4" w:space="0" w:color="auto"/>
              <w:bottom w:val="single" w:sz="4" w:space="0" w:color="auto"/>
              <w:right w:val="single" w:sz="4" w:space="0" w:color="auto"/>
            </w:tcBorders>
            <w:shd w:val="clear" w:color="auto" w:fill="FFFFFF" w:themeFill="background1"/>
          </w:tcPr>
          <w:p w14:paraId="2E02B30D" w14:textId="77777777" w:rsidR="0041304F" w:rsidRPr="00A77AF6" w:rsidRDefault="0041304F" w:rsidP="004512E9">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0</w:t>
            </w:r>
          </w:p>
        </w:tc>
      </w:tr>
      <w:tr w:rsidR="0041304F" w:rsidRPr="00A77AF6" w14:paraId="6F57381A" w14:textId="77777777" w:rsidTr="004512E9">
        <w:trPr>
          <w:trHeight w:val="300"/>
        </w:trPr>
        <w:tc>
          <w:tcPr>
            <w:tcW w:w="3823" w:type="dxa"/>
            <w:tcBorders>
              <w:top w:val="single" w:sz="4" w:space="0" w:color="auto"/>
            </w:tcBorders>
            <w:shd w:val="clear" w:color="auto" w:fill="FFFFFF" w:themeFill="background1"/>
            <w:noWrap/>
            <w:vAlign w:val="bottom"/>
          </w:tcPr>
          <w:p w14:paraId="4AFF24C8" w14:textId="77777777" w:rsidR="0041304F" w:rsidRPr="00A77AF6" w:rsidRDefault="0041304F" w:rsidP="004512E9">
            <w:pPr>
              <w:spacing w:after="0" w:line="240"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 xml:space="preserve">Total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932DD0E" w14:textId="49424F7E" w:rsidR="0041304F" w:rsidRPr="00A77AF6" w:rsidRDefault="0041304F" w:rsidP="004512E9">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11 (100%)</w:t>
            </w:r>
          </w:p>
        </w:tc>
      </w:tr>
    </w:tbl>
    <w:p w14:paraId="7FEFE88B" w14:textId="273711DB" w:rsidR="0041304F" w:rsidRPr="00A77AF6" w:rsidRDefault="0041304F" w:rsidP="00C548C9">
      <w:pPr>
        <w:spacing w:line="480" w:lineRule="auto"/>
      </w:pPr>
    </w:p>
    <w:p w14:paraId="538A3556" w14:textId="6CF5DEF9" w:rsidR="00AE51F7" w:rsidRPr="00A77AF6" w:rsidRDefault="00C548C9" w:rsidP="00332842">
      <w:pPr>
        <w:spacing w:after="120" w:line="360" w:lineRule="auto"/>
      </w:pPr>
      <w:r w:rsidRPr="00A77AF6">
        <w:t xml:space="preserve">Of the </w:t>
      </w:r>
      <w:r w:rsidR="00E16D76" w:rsidRPr="00A77AF6">
        <w:t>40</w:t>
      </w:r>
      <w:r w:rsidR="008B09A2" w:rsidRPr="00A77AF6">
        <w:t xml:space="preserve"> </w:t>
      </w:r>
      <w:r w:rsidR="00AE51F7" w:rsidRPr="00A77AF6">
        <w:t xml:space="preserve">respondents whose </w:t>
      </w:r>
      <w:r w:rsidR="0067607D" w:rsidRPr="00A77AF6">
        <w:t xml:space="preserve">project </w:t>
      </w:r>
      <w:r w:rsidR="00AE51F7" w:rsidRPr="00A77AF6">
        <w:t xml:space="preserve">missed </w:t>
      </w:r>
      <w:r w:rsidRPr="00A77AF6">
        <w:t>time</w:t>
      </w:r>
      <w:r w:rsidR="00AE51F7" w:rsidRPr="00A77AF6">
        <w:t xml:space="preserve">, </w:t>
      </w:r>
      <w:r w:rsidRPr="00A77AF6">
        <w:t xml:space="preserve">cost </w:t>
      </w:r>
      <w:r w:rsidR="00AE51F7" w:rsidRPr="00A77AF6">
        <w:t xml:space="preserve">or </w:t>
      </w:r>
      <w:r w:rsidRPr="00A77AF6">
        <w:t xml:space="preserve">quality </w:t>
      </w:r>
      <w:r w:rsidR="00AE51F7" w:rsidRPr="00A77AF6">
        <w:t xml:space="preserve">measures, </w:t>
      </w:r>
      <w:r w:rsidR="000606BB">
        <w:t>35</w:t>
      </w:r>
      <w:r w:rsidR="008B09A2" w:rsidRPr="00A77AF6">
        <w:t xml:space="preserve"> </w:t>
      </w:r>
      <w:r w:rsidR="00AE51F7" w:rsidRPr="00A77AF6">
        <w:t xml:space="preserve">were </w:t>
      </w:r>
      <w:r w:rsidRPr="00A77AF6">
        <w:t xml:space="preserve">formalist, </w:t>
      </w:r>
      <w:r w:rsidR="008B09A2" w:rsidRPr="00A77AF6">
        <w:t xml:space="preserve">four </w:t>
      </w:r>
      <w:r w:rsidR="00AE51F7" w:rsidRPr="00A77AF6">
        <w:t xml:space="preserve">were </w:t>
      </w:r>
      <w:r w:rsidRPr="00A77AF6">
        <w:t xml:space="preserve">utilitarian and </w:t>
      </w:r>
      <w:r w:rsidR="008B09A2" w:rsidRPr="00A77AF6">
        <w:t xml:space="preserve">one </w:t>
      </w:r>
      <w:r w:rsidR="00AE51F7" w:rsidRPr="00A77AF6">
        <w:t xml:space="preserve">was </w:t>
      </w:r>
      <w:r w:rsidRPr="00A77AF6">
        <w:t xml:space="preserve">‘neither’. </w:t>
      </w:r>
    </w:p>
    <w:p w14:paraId="0C008F80" w14:textId="3E51D643" w:rsidR="00C548C9" w:rsidRPr="00A77AF6" w:rsidRDefault="006508A5" w:rsidP="00A11338">
      <w:pPr>
        <w:pStyle w:val="Heading3"/>
        <w:spacing w:after="120"/>
      </w:pPr>
      <w:bookmarkStart w:id="150" w:name="_Toc36275120"/>
      <w:r w:rsidRPr="00A77AF6">
        <w:t>Ethical predisposition and p</w:t>
      </w:r>
      <w:r w:rsidR="00C548C9" w:rsidRPr="00A77AF6">
        <w:t>roject success score</w:t>
      </w:r>
      <w:r w:rsidR="00F66AE9" w:rsidRPr="00A77AF6">
        <w:t xml:space="preserve"> (n=51)</w:t>
      </w:r>
      <w:bookmarkEnd w:id="150"/>
    </w:p>
    <w:p w14:paraId="05727ED7" w14:textId="7E25BE31" w:rsidR="00EC6DD7" w:rsidRDefault="00A36A92" w:rsidP="00CC142D">
      <w:pPr>
        <w:spacing w:after="0" w:line="360" w:lineRule="auto"/>
      </w:pPr>
      <w:r w:rsidRPr="00A77AF6">
        <w:t xml:space="preserve">Projects </w:t>
      </w:r>
      <w:r w:rsidR="002D2211" w:rsidRPr="00A77AF6">
        <w:t>allocated</w:t>
      </w:r>
      <w:r w:rsidRPr="00A77AF6">
        <w:t xml:space="preserve"> a project score based on the extent to which they met their time, cost and quality criteria</w:t>
      </w:r>
      <w:r w:rsidR="00A11338" w:rsidRPr="00A77AF6">
        <w:t>, so no projects were excluded from this set</w:t>
      </w:r>
      <w:r w:rsidRPr="00A77AF6">
        <w:t xml:space="preserve">.  Forty-five respondents of </w:t>
      </w:r>
      <w:r w:rsidR="00E16D76" w:rsidRPr="00A77AF6">
        <w:t>51</w:t>
      </w:r>
      <w:r w:rsidR="008B09A2" w:rsidRPr="00A77AF6">
        <w:t xml:space="preserve"> </w:t>
      </w:r>
      <w:r w:rsidRPr="00A77AF6">
        <w:t xml:space="preserve">had a </w:t>
      </w:r>
      <w:r w:rsidR="005850AF" w:rsidRPr="00A77AF6">
        <w:t xml:space="preserve">formalist </w:t>
      </w:r>
      <w:r w:rsidRPr="00A77AF6">
        <w:t>predisposition</w:t>
      </w:r>
      <w:r w:rsidR="00A11338" w:rsidRPr="00A77AF6">
        <w:t xml:space="preserve">. </w:t>
      </w:r>
      <w:r w:rsidR="002D2211" w:rsidRPr="00A77AF6">
        <w:t xml:space="preserve">Of these </w:t>
      </w:r>
      <w:r w:rsidR="00E16D76" w:rsidRPr="00A77AF6">
        <w:t>45</w:t>
      </w:r>
      <w:r w:rsidR="002D2211" w:rsidRPr="00A77AF6">
        <w:t xml:space="preserve">, project scores ranged from </w:t>
      </w:r>
      <w:r w:rsidR="005850AF" w:rsidRPr="00A77AF6">
        <w:t>three</w:t>
      </w:r>
      <w:r w:rsidR="002D2211" w:rsidRPr="00A77AF6">
        <w:t xml:space="preserve"> to 11, which accounts for both the lowest and highest project scores of the entire </w:t>
      </w:r>
      <w:r w:rsidR="00753A1B">
        <w:t xml:space="preserve">sample </w:t>
      </w:r>
      <w:r w:rsidR="002D2211" w:rsidRPr="00A77AF6">
        <w:t>(Figure 6-</w:t>
      </w:r>
      <w:r w:rsidR="00753A1B">
        <w:t>1</w:t>
      </w:r>
      <w:r w:rsidR="002D2211" w:rsidRPr="00A77AF6">
        <w:t xml:space="preserve">).  </w:t>
      </w:r>
      <w:r w:rsidR="007313B4" w:rsidRPr="00A77AF6">
        <w:t>P</w:t>
      </w:r>
      <w:r w:rsidR="00533495" w:rsidRPr="00A77AF6">
        <w:t xml:space="preserve">roject </w:t>
      </w:r>
      <w:r w:rsidR="002D2211" w:rsidRPr="00A77AF6">
        <w:t xml:space="preserve">No. 9 </w:t>
      </w:r>
      <w:r w:rsidR="00533495" w:rsidRPr="00A77AF6">
        <w:t xml:space="preserve">scored </w:t>
      </w:r>
      <w:r w:rsidR="00EC6DD7">
        <w:t xml:space="preserve"> three</w:t>
      </w:r>
      <w:r w:rsidR="00F66AE9" w:rsidRPr="00A77AF6">
        <w:t xml:space="preserve"> success </w:t>
      </w:r>
      <w:r w:rsidR="00E947B6" w:rsidRPr="00A77AF6">
        <w:t>points</w:t>
      </w:r>
      <w:r w:rsidR="002D2211" w:rsidRPr="00A77AF6">
        <w:t xml:space="preserve"> by </w:t>
      </w:r>
      <w:r w:rsidR="00E947B6" w:rsidRPr="00A77AF6">
        <w:t xml:space="preserve"> significantly</w:t>
      </w:r>
      <w:r w:rsidR="00533495" w:rsidRPr="00A77AF6">
        <w:t xml:space="preserve"> miss</w:t>
      </w:r>
      <w:r w:rsidR="002D2211" w:rsidRPr="00A77AF6">
        <w:t xml:space="preserve">ing </w:t>
      </w:r>
      <w:r w:rsidR="00533495" w:rsidRPr="00A77AF6">
        <w:t>all its targets</w:t>
      </w:r>
      <w:r w:rsidR="007313B4" w:rsidRPr="00A77AF6">
        <w:t xml:space="preserve"> and p</w:t>
      </w:r>
      <w:r w:rsidR="008B09A2" w:rsidRPr="00A77AF6">
        <w:t xml:space="preserve">roject no. 40 </w:t>
      </w:r>
      <w:r w:rsidR="00533495" w:rsidRPr="00A77AF6">
        <w:t>score</w:t>
      </w:r>
      <w:r w:rsidR="00201F57" w:rsidRPr="00A77AF6">
        <w:t>d</w:t>
      </w:r>
      <w:r w:rsidR="00533495" w:rsidRPr="00A77AF6">
        <w:t xml:space="preserve"> </w:t>
      </w:r>
      <w:r w:rsidR="00B671F6" w:rsidRPr="00A77AF6">
        <w:t xml:space="preserve">the highest score of </w:t>
      </w:r>
      <w:r w:rsidR="00533495" w:rsidRPr="00A77AF6">
        <w:t>1</w:t>
      </w:r>
      <w:r w:rsidR="00201F57" w:rsidRPr="00A77AF6">
        <w:t>1</w:t>
      </w:r>
      <w:r w:rsidR="00533495" w:rsidRPr="00A77AF6">
        <w:t xml:space="preserve"> </w:t>
      </w:r>
      <w:r w:rsidR="00201F57" w:rsidRPr="00A77AF6">
        <w:t>points</w:t>
      </w:r>
      <w:r w:rsidR="008B09A2" w:rsidRPr="00A77AF6">
        <w:t xml:space="preserve"> by</w:t>
      </w:r>
      <w:r w:rsidR="00201F57" w:rsidRPr="00A77AF6">
        <w:t xml:space="preserve"> slightly miss</w:t>
      </w:r>
      <w:r w:rsidR="008B09A2" w:rsidRPr="00A77AF6">
        <w:t xml:space="preserve">ing </w:t>
      </w:r>
      <w:r w:rsidR="00201F57" w:rsidRPr="00A77AF6">
        <w:t xml:space="preserve">its time </w:t>
      </w:r>
      <w:r w:rsidR="008B09A2" w:rsidRPr="00A77AF6">
        <w:t>target</w:t>
      </w:r>
      <w:r w:rsidR="00201F57" w:rsidRPr="00A77AF6">
        <w:t xml:space="preserve"> (</w:t>
      </w:r>
      <w:r w:rsidR="00EC6DD7">
        <w:t>two</w:t>
      </w:r>
      <w:r w:rsidR="00201F57" w:rsidRPr="00A77AF6">
        <w:t xml:space="preserve"> points), </w:t>
      </w:r>
      <w:r w:rsidR="008B09A2" w:rsidRPr="00A77AF6">
        <w:t xml:space="preserve">being </w:t>
      </w:r>
      <w:r w:rsidR="00201F57" w:rsidRPr="00A77AF6">
        <w:t>slightly under budget (</w:t>
      </w:r>
      <w:r w:rsidR="00EC6DD7">
        <w:t>four</w:t>
      </w:r>
      <w:r w:rsidR="00201F57" w:rsidRPr="00A77AF6">
        <w:t xml:space="preserve"> points) and significantly exceed</w:t>
      </w:r>
      <w:r w:rsidR="008B09A2" w:rsidRPr="00A77AF6">
        <w:t xml:space="preserve">ing </w:t>
      </w:r>
      <w:r w:rsidR="00201F57" w:rsidRPr="00A77AF6">
        <w:t>its quality targets (</w:t>
      </w:r>
      <w:r w:rsidR="00EC6DD7">
        <w:t>five</w:t>
      </w:r>
      <w:r w:rsidR="00201F57" w:rsidRPr="00A77AF6">
        <w:t xml:space="preserve"> points)</w:t>
      </w:r>
      <w:r w:rsidR="009C5621">
        <w:t>.</w:t>
      </w:r>
      <w:r w:rsidR="001128F5" w:rsidRPr="00A77AF6">
        <w:t xml:space="preserve"> </w:t>
      </w:r>
      <w:r w:rsidR="006D0B95" w:rsidRPr="00A77AF6">
        <w:t>(</w:t>
      </w:r>
      <w:r w:rsidR="00113EEA" w:rsidRPr="00A77AF6">
        <w:t xml:space="preserve">Appendix E for project success </w:t>
      </w:r>
    </w:p>
    <w:p w14:paraId="4E7EAAC1" w14:textId="06E83B4B" w:rsidR="0007452B" w:rsidRPr="00A77AF6" w:rsidRDefault="00113EEA" w:rsidP="00CC142D">
      <w:pPr>
        <w:spacing w:line="360" w:lineRule="auto"/>
      </w:pPr>
      <w:r w:rsidRPr="00A77AF6">
        <w:t>scores</w:t>
      </w:r>
      <w:r w:rsidR="00DD215D" w:rsidRPr="00A77AF6">
        <w:t xml:space="preserve">). </w:t>
      </w:r>
    </w:p>
    <w:p w14:paraId="6E65B975" w14:textId="77777777" w:rsidR="00CC142D" w:rsidRDefault="00CC142D" w:rsidP="0007452B">
      <w:pPr>
        <w:pStyle w:val="Caption"/>
      </w:pPr>
      <w:bookmarkStart w:id="151" w:name="_Toc36186977"/>
      <w:r w:rsidRPr="00A77AF6">
        <w:rPr>
          <w:noProof/>
          <w:lang w:eastAsia="en-GB"/>
        </w:rPr>
        <w:drawing>
          <wp:inline distT="0" distB="0" distL="0" distR="0" wp14:anchorId="1B41B7D2" wp14:editId="061F71BE">
            <wp:extent cx="4800600" cy="3110865"/>
            <wp:effectExtent l="0" t="0" r="0" b="13335"/>
            <wp:docPr id="199" name="Chart 199">
              <a:extLst xmlns:a="http://schemas.openxmlformats.org/drawingml/2006/main">
                <a:ext uri="{FF2B5EF4-FFF2-40B4-BE49-F238E27FC236}">
                  <a16:creationId xmlns:a16="http://schemas.microsoft.com/office/drawing/2014/main" id="{7A3EA491-7594-4CA8-8D3F-3137DC87DF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139B35B" w14:textId="0B44EDDC" w:rsidR="00B62CCC" w:rsidRPr="00A77AF6" w:rsidRDefault="0007452B" w:rsidP="0007452B">
      <w:pPr>
        <w:pStyle w:val="Caption"/>
      </w:pPr>
      <w:r w:rsidRPr="00A77AF6">
        <w:t xml:space="preserve">Figure </w:t>
      </w:r>
      <w:fldSimple w:instr=" STYLEREF 1 \s ">
        <w:r w:rsidR="000441F7">
          <w:rPr>
            <w:noProof/>
          </w:rPr>
          <w:t>6</w:t>
        </w:r>
      </w:fldSimple>
      <w:r w:rsidR="00BA5DC4">
        <w:noBreakHyphen/>
      </w:r>
      <w:fldSimple w:instr=" SEQ Figure \* ARABIC \s 1 ">
        <w:r w:rsidR="000441F7">
          <w:rPr>
            <w:noProof/>
          </w:rPr>
          <w:t>1</w:t>
        </w:r>
      </w:fldSimple>
      <w:r w:rsidRPr="00A77AF6">
        <w:t>: Formalist predisposition and project success score</w:t>
      </w:r>
      <w:bookmarkEnd w:id="151"/>
    </w:p>
    <w:p w14:paraId="0978FA0B" w14:textId="690D69EB" w:rsidR="00F878A8" w:rsidRPr="00A77AF6" w:rsidRDefault="0067607D" w:rsidP="0067607D">
      <w:pPr>
        <w:spacing w:before="480" w:line="360" w:lineRule="auto"/>
      </w:pPr>
      <w:r w:rsidRPr="00A77AF6">
        <w:lastRenderedPageBreak/>
        <w:t>I</w:t>
      </w:r>
      <w:r w:rsidR="00C1795C" w:rsidRPr="00A77AF6">
        <w:t xml:space="preserve">n </w:t>
      </w:r>
      <w:r w:rsidR="00623F9A" w:rsidRPr="00A77AF6">
        <w:t xml:space="preserve">the </w:t>
      </w:r>
      <w:r w:rsidR="00B671F6" w:rsidRPr="00A77AF6">
        <w:t xml:space="preserve">four </w:t>
      </w:r>
      <w:r w:rsidR="00C1795C" w:rsidRPr="00A77AF6">
        <w:t xml:space="preserve">projects </w:t>
      </w:r>
      <w:r w:rsidR="00623F9A" w:rsidRPr="00A77AF6">
        <w:t xml:space="preserve">that had </w:t>
      </w:r>
      <w:r w:rsidR="00C1795C" w:rsidRPr="00A77AF6">
        <w:t>utilitarian respondents</w:t>
      </w:r>
      <w:r w:rsidRPr="00A77AF6">
        <w:t xml:space="preserve">, </w:t>
      </w:r>
      <w:r w:rsidR="007313B4" w:rsidRPr="00A77AF6">
        <w:t xml:space="preserve">the </w:t>
      </w:r>
      <w:r w:rsidR="00623F9A" w:rsidRPr="00A77AF6">
        <w:t xml:space="preserve">range of project scores </w:t>
      </w:r>
      <w:r w:rsidRPr="00A77AF6">
        <w:t xml:space="preserve">was </w:t>
      </w:r>
      <w:r w:rsidR="007313B4" w:rsidRPr="00A77AF6">
        <w:t xml:space="preserve">between </w:t>
      </w:r>
      <w:r w:rsidR="00332842" w:rsidRPr="00A77AF6">
        <w:t>eight</w:t>
      </w:r>
      <w:r w:rsidR="00623F9A" w:rsidRPr="00A77AF6">
        <w:t xml:space="preserve"> points </w:t>
      </w:r>
      <w:r w:rsidR="007313B4" w:rsidRPr="00A77AF6">
        <w:t>and</w:t>
      </w:r>
      <w:r w:rsidR="00623F9A" w:rsidRPr="00A77AF6">
        <w:t xml:space="preserve"> </w:t>
      </w:r>
      <w:r w:rsidR="00332842" w:rsidRPr="00A77AF6">
        <w:t xml:space="preserve">ten </w:t>
      </w:r>
      <w:r w:rsidR="00623F9A" w:rsidRPr="00A77AF6">
        <w:t>points</w:t>
      </w:r>
      <w:r w:rsidRPr="00A77AF6">
        <w:t xml:space="preserve">; </w:t>
      </w:r>
      <w:r w:rsidR="00F524B6" w:rsidRPr="00A77AF6">
        <w:t>no project scored less than eight points</w:t>
      </w:r>
      <w:r w:rsidR="00D024A4" w:rsidRPr="00A77AF6">
        <w:t xml:space="preserve"> (Table 6-11)</w:t>
      </w:r>
      <w:r w:rsidR="00623F9A" w:rsidRPr="00A77AF6">
        <w:t xml:space="preserve">.  </w:t>
      </w:r>
      <w:r w:rsidR="00135513" w:rsidRPr="00A77AF6">
        <w:t>This group</w:t>
      </w:r>
      <w:r w:rsidR="00F524B6" w:rsidRPr="00A77AF6">
        <w:t xml:space="preserve"> had a </w:t>
      </w:r>
      <w:r w:rsidR="00623F9A" w:rsidRPr="00A77AF6">
        <w:t xml:space="preserve">smaller </w:t>
      </w:r>
      <w:r w:rsidR="00F66AE9" w:rsidRPr="00A77AF6">
        <w:t xml:space="preserve">spread of scores </w:t>
      </w:r>
      <w:r w:rsidR="00623F9A" w:rsidRPr="00A77AF6">
        <w:t xml:space="preserve">than </w:t>
      </w:r>
      <w:r w:rsidR="00F524B6" w:rsidRPr="00A77AF6">
        <w:t xml:space="preserve">that </w:t>
      </w:r>
      <w:r w:rsidR="00F66AE9" w:rsidRPr="00A77AF6">
        <w:t xml:space="preserve">found in </w:t>
      </w:r>
      <w:r w:rsidR="00623F9A" w:rsidRPr="00A77AF6">
        <w:t>the formalist category</w:t>
      </w:r>
      <w:r w:rsidR="00F524B6" w:rsidRPr="00A77AF6">
        <w:t>,</w:t>
      </w:r>
      <w:r w:rsidR="00623F9A" w:rsidRPr="00A77AF6">
        <w:t xml:space="preserve"> but with a sample size of </w:t>
      </w:r>
      <w:r w:rsidR="00E16D76" w:rsidRPr="00A77AF6">
        <w:t>four</w:t>
      </w:r>
      <w:r w:rsidR="00623F9A" w:rsidRPr="00A77AF6">
        <w:t xml:space="preserve"> it is </w:t>
      </w:r>
      <w:r w:rsidRPr="00A77AF6">
        <w:t xml:space="preserve">not possible </w:t>
      </w:r>
      <w:r w:rsidR="00623F9A" w:rsidRPr="00A77AF6">
        <w:t xml:space="preserve">to draw conclusions about the </w:t>
      </w:r>
      <w:r w:rsidR="00106BA1" w:rsidRPr="00A77AF6">
        <w:t>reliability of these results</w:t>
      </w:r>
      <w:r w:rsidR="00F0161D" w:rsidRPr="00A77AF6">
        <w:t xml:space="preserve">. </w:t>
      </w:r>
    </w:p>
    <w:p w14:paraId="3FACEB77" w14:textId="26E91416" w:rsidR="0067607D" w:rsidRPr="00A77AF6" w:rsidRDefault="0067607D" w:rsidP="0007452B">
      <w:pPr>
        <w:pStyle w:val="Caption"/>
        <w:keepNext/>
        <w:spacing w:after="120"/>
      </w:pPr>
      <w:r w:rsidRPr="00A77AF6">
        <w:t xml:space="preserve">Table </w:t>
      </w:r>
      <w:fldSimple w:instr=" STYLEREF 1 \s ">
        <w:r w:rsidR="000441F7">
          <w:rPr>
            <w:noProof/>
          </w:rPr>
          <w:t>6</w:t>
        </w:r>
      </w:fldSimple>
      <w:r w:rsidR="00804112">
        <w:noBreakHyphen/>
      </w:r>
      <w:fldSimple w:instr=" SEQ Table \* ARABIC \s 1 ">
        <w:r w:rsidR="000441F7">
          <w:rPr>
            <w:noProof/>
          </w:rPr>
          <w:t>11</w:t>
        </w:r>
      </w:fldSimple>
      <w:r w:rsidRPr="00A77AF6">
        <w:t>: Utilitarian disposition and project score</w:t>
      </w:r>
    </w:p>
    <w:tbl>
      <w:tblPr>
        <w:tblW w:w="3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1"/>
        <w:gridCol w:w="1912"/>
      </w:tblGrid>
      <w:tr w:rsidR="0067607D" w:rsidRPr="00A77AF6" w14:paraId="38DFA349" w14:textId="77777777" w:rsidTr="00E16D76">
        <w:trPr>
          <w:trHeight w:val="300"/>
        </w:trPr>
        <w:tc>
          <w:tcPr>
            <w:tcW w:w="1911" w:type="dxa"/>
            <w:shd w:val="clear" w:color="auto" w:fill="D9D9D9" w:themeFill="background1" w:themeFillShade="D9"/>
            <w:noWrap/>
          </w:tcPr>
          <w:p w14:paraId="3D19B7CD" w14:textId="07CA9905" w:rsidR="0067607D" w:rsidRPr="00A77AF6" w:rsidRDefault="0067607D" w:rsidP="00D532DE">
            <w:pPr>
              <w:spacing w:after="12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Unique project ID</w:t>
            </w:r>
            <w:r w:rsidR="00E16D76" w:rsidRPr="00A77AF6">
              <w:rPr>
                <w:rFonts w:ascii="Calibri" w:eastAsia="Times New Roman" w:hAnsi="Calibri" w:cs="Calibri"/>
                <w:color w:val="000000"/>
                <w:sz w:val="20"/>
                <w:szCs w:val="20"/>
                <w:lang w:eastAsia="en-GB"/>
              </w:rPr>
              <w:t xml:space="preserve"> (n=4)</w:t>
            </w:r>
          </w:p>
        </w:tc>
        <w:tc>
          <w:tcPr>
            <w:tcW w:w="1912" w:type="dxa"/>
            <w:shd w:val="clear" w:color="auto" w:fill="D9D9D9" w:themeFill="background1" w:themeFillShade="D9"/>
          </w:tcPr>
          <w:p w14:paraId="1EAD13C2" w14:textId="1B4BE907" w:rsidR="0067607D" w:rsidRPr="00A77AF6" w:rsidRDefault="0067607D" w:rsidP="00D532DE">
            <w:pPr>
              <w:spacing w:after="120"/>
              <w:rPr>
                <w:rFonts w:ascii="Times New Roman" w:eastAsia="Times New Roman" w:hAnsi="Times New Roman" w:cs="Times New Roman"/>
                <w:sz w:val="20"/>
                <w:szCs w:val="20"/>
                <w:lang w:eastAsia="en-GB"/>
              </w:rPr>
            </w:pPr>
            <w:r w:rsidRPr="00A77AF6">
              <w:rPr>
                <w:rFonts w:ascii="Calibri" w:hAnsi="Calibri" w:cs="Calibri"/>
                <w:color w:val="000000"/>
                <w:sz w:val="20"/>
                <w:szCs w:val="20"/>
              </w:rPr>
              <w:t>Project score</w:t>
            </w:r>
          </w:p>
        </w:tc>
      </w:tr>
      <w:tr w:rsidR="0067607D" w:rsidRPr="00A77AF6" w14:paraId="4C64F249" w14:textId="77777777" w:rsidTr="00E16D76">
        <w:trPr>
          <w:trHeight w:val="300"/>
        </w:trPr>
        <w:tc>
          <w:tcPr>
            <w:tcW w:w="1911" w:type="dxa"/>
            <w:shd w:val="clear" w:color="auto" w:fill="auto"/>
            <w:noWrap/>
          </w:tcPr>
          <w:p w14:paraId="7687EFAC" w14:textId="497F46B9" w:rsidR="0067607D" w:rsidRPr="00A77AF6" w:rsidRDefault="0067607D" w:rsidP="00D532DE">
            <w:pPr>
              <w:spacing w:after="12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111</w:t>
            </w:r>
          </w:p>
        </w:tc>
        <w:tc>
          <w:tcPr>
            <w:tcW w:w="1912" w:type="dxa"/>
          </w:tcPr>
          <w:p w14:paraId="5802969D" w14:textId="75F4F8E4" w:rsidR="0067607D" w:rsidRPr="00A77AF6" w:rsidRDefault="0067607D" w:rsidP="00D532DE">
            <w:pPr>
              <w:spacing w:after="120"/>
              <w:rPr>
                <w:rFonts w:ascii="Times New Roman" w:eastAsia="Times New Roman" w:hAnsi="Times New Roman" w:cs="Times New Roman"/>
                <w:sz w:val="20"/>
                <w:szCs w:val="20"/>
                <w:lang w:eastAsia="en-GB"/>
              </w:rPr>
            </w:pPr>
            <w:r w:rsidRPr="00A77AF6">
              <w:rPr>
                <w:rFonts w:ascii="Times New Roman" w:eastAsia="Times New Roman" w:hAnsi="Times New Roman" w:cs="Times New Roman"/>
                <w:sz w:val="20"/>
                <w:szCs w:val="20"/>
                <w:lang w:eastAsia="en-GB"/>
              </w:rPr>
              <w:t>9</w:t>
            </w:r>
          </w:p>
        </w:tc>
      </w:tr>
      <w:tr w:rsidR="0067607D" w:rsidRPr="00A77AF6" w14:paraId="5A756A51" w14:textId="77777777" w:rsidTr="00E16D76">
        <w:trPr>
          <w:trHeight w:val="300"/>
        </w:trPr>
        <w:tc>
          <w:tcPr>
            <w:tcW w:w="1911" w:type="dxa"/>
            <w:shd w:val="clear" w:color="auto" w:fill="auto"/>
            <w:noWrap/>
          </w:tcPr>
          <w:p w14:paraId="57AFB7A7" w14:textId="0CCC262E" w:rsidR="0067607D" w:rsidRPr="00A77AF6" w:rsidRDefault="0067607D" w:rsidP="00D532DE">
            <w:pPr>
              <w:spacing w:after="12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126</w:t>
            </w:r>
          </w:p>
        </w:tc>
        <w:tc>
          <w:tcPr>
            <w:tcW w:w="1912" w:type="dxa"/>
          </w:tcPr>
          <w:p w14:paraId="0B257968" w14:textId="51FD4354" w:rsidR="0067607D" w:rsidRPr="00A77AF6" w:rsidRDefault="0067607D" w:rsidP="00D532DE">
            <w:pPr>
              <w:spacing w:after="120"/>
              <w:rPr>
                <w:rFonts w:ascii="Times New Roman" w:eastAsia="Times New Roman" w:hAnsi="Times New Roman" w:cs="Times New Roman"/>
                <w:sz w:val="20"/>
                <w:szCs w:val="20"/>
                <w:lang w:eastAsia="en-GB"/>
              </w:rPr>
            </w:pPr>
            <w:r w:rsidRPr="00A77AF6">
              <w:rPr>
                <w:rFonts w:ascii="Times New Roman" w:eastAsia="Times New Roman" w:hAnsi="Times New Roman" w:cs="Times New Roman"/>
                <w:sz w:val="20"/>
                <w:szCs w:val="20"/>
                <w:lang w:eastAsia="en-GB"/>
              </w:rPr>
              <w:t>8</w:t>
            </w:r>
          </w:p>
        </w:tc>
      </w:tr>
      <w:tr w:rsidR="0067607D" w:rsidRPr="00A77AF6" w14:paraId="14B415A6" w14:textId="77777777" w:rsidTr="00E16D76">
        <w:trPr>
          <w:trHeight w:val="300"/>
        </w:trPr>
        <w:tc>
          <w:tcPr>
            <w:tcW w:w="1911" w:type="dxa"/>
            <w:tcBorders>
              <w:bottom w:val="single" w:sz="4" w:space="0" w:color="auto"/>
            </w:tcBorders>
            <w:shd w:val="clear" w:color="auto" w:fill="auto"/>
            <w:noWrap/>
          </w:tcPr>
          <w:p w14:paraId="657C960B" w14:textId="5BC47061" w:rsidR="0067607D" w:rsidRPr="00A77AF6" w:rsidRDefault="0067607D" w:rsidP="00D532DE">
            <w:pPr>
              <w:spacing w:after="12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140</w:t>
            </w:r>
          </w:p>
        </w:tc>
        <w:tc>
          <w:tcPr>
            <w:tcW w:w="1912" w:type="dxa"/>
          </w:tcPr>
          <w:p w14:paraId="7794FE0F" w14:textId="7C0CDB22" w:rsidR="0067607D" w:rsidRPr="00A77AF6" w:rsidRDefault="0067607D" w:rsidP="00D532DE">
            <w:pPr>
              <w:spacing w:after="120"/>
              <w:rPr>
                <w:rFonts w:ascii="Calibri" w:hAnsi="Calibri" w:cs="Calibri"/>
                <w:color w:val="000000"/>
                <w:sz w:val="20"/>
                <w:szCs w:val="20"/>
              </w:rPr>
            </w:pPr>
            <w:r w:rsidRPr="00A77AF6">
              <w:rPr>
                <w:rFonts w:ascii="Calibri" w:hAnsi="Calibri" w:cs="Calibri"/>
                <w:color w:val="000000"/>
                <w:sz w:val="20"/>
                <w:szCs w:val="20"/>
              </w:rPr>
              <w:t>8</w:t>
            </w:r>
          </w:p>
        </w:tc>
      </w:tr>
      <w:tr w:rsidR="0067607D" w:rsidRPr="00A77AF6" w14:paraId="7FACA2CB" w14:textId="77777777" w:rsidTr="00E16D76">
        <w:trPr>
          <w:trHeight w:val="300"/>
        </w:trPr>
        <w:tc>
          <w:tcPr>
            <w:tcW w:w="1911" w:type="dxa"/>
            <w:tcBorders>
              <w:bottom w:val="single" w:sz="4" w:space="0" w:color="auto"/>
            </w:tcBorders>
            <w:shd w:val="clear" w:color="auto" w:fill="auto"/>
            <w:noWrap/>
          </w:tcPr>
          <w:p w14:paraId="21FD0909" w14:textId="1917E77D" w:rsidR="0067607D" w:rsidRPr="00A77AF6" w:rsidRDefault="0067607D" w:rsidP="00D532DE">
            <w:pPr>
              <w:spacing w:after="12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169</w:t>
            </w:r>
          </w:p>
        </w:tc>
        <w:tc>
          <w:tcPr>
            <w:tcW w:w="1912" w:type="dxa"/>
          </w:tcPr>
          <w:p w14:paraId="0350756A" w14:textId="678D759B" w:rsidR="0067607D" w:rsidRPr="00A77AF6" w:rsidRDefault="0067607D" w:rsidP="00D532DE">
            <w:pPr>
              <w:spacing w:after="120"/>
              <w:rPr>
                <w:rFonts w:ascii="Calibri" w:hAnsi="Calibri" w:cs="Calibri"/>
                <w:color w:val="000000"/>
                <w:sz w:val="20"/>
                <w:szCs w:val="20"/>
              </w:rPr>
            </w:pPr>
            <w:r w:rsidRPr="00A77AF6">
              <w:rPr>
                <w:rFonts w:ascii="Calibri" w:hAnsi="Calibri" w:cs="Calibri"/>
                <w:color w:val="000000"/>
                <w:sz w:val="20"/>
                <w:szCs w:val="20"/>
              </w:rPr>
              <w:t>10</w:t>
            </w:r>
          </w:p>
        </w:tc>
      </w:tr>
    </w:tbl>
    <w:p w14:paraId="42926663" w14:textId="4CA6F427" w:rsidR="00826FC5" w:rsidRPr="00A77AF6" w:rsidRDefault="00F300CC" w:rsidP="00F300CC">
      <w:pPr>
        <w:spacing w:before="240" w:line="360" w:lineRule="auto"/>
      </w:pPr>
      <w:r w:rsidRPr="00A77AF6">
        <w:t>T</w:t>
      </w:r>
      <w:r w:rsidR="001128F5" w:rsidRPr="00A77AF6">
        <w:t>wo projects</w:t>
      </w:r>
      <w:r w:rsidR="007313B4" w:rsidRPr="00A77AF6">
        <w:t xml:space="preserve"> had </w:t>
      </w:r>
      <w:r w:rsidR="001128F5" w:rsidRPr="00A77AF6">
        <w:t xml:space="preserve">respondents </w:t>
      </w:r>
      <w:r w:rsidR="007313B4" w:rsidRPr="00A77AF6">
        <w:t xml:space="preserve">with </w:t>
      </w:r>
      <w:r w:rsidR="001128F5" w:rsidRPr="00A77AF6">
        <w:t xml:space="preserve">equal predisposition toward formalism and utilitarianism. </w:t>
      </w:r>
      <w:r w:rsidR="0067607D" w:rsidRPr="00A77AF6">
        <w:t>O</w:t>
      </w:r>
      <w:r w:rsidR="00EC393F" w:rsidRPr="00A77AF6">
        <w:t xml:space="preserve">ne project scored </w:t>
      </w:r>
      <w:r w:rsidR="005850AF" w:rsidRPr="00A77AF6">
        <w:t>eight</w:t>
      </w:r>
      <w:r w:rsidR="00EC393F" w:rsidRPr="00A77AF6">
        <w:t xml:space="preserve"> success points and the other scored </w:t>
      </w:r>
      <w:r w:rsidR="005850AF" w:rsidRPr="00A77AF6">
        <w:t>ten</w:t>
      </w:r>
      <w:r w:rsidRPr="00A77AF6">
        <w:t xml:space="preserve"> (Table </w:t>
      </w:r>
      <w:r w:rsidR="00D024A4" w:rsidRPr="00A77AF6">
        <w:t>6-12</w:t>
      </w:r>
      <w:r w:rsidRPr="00A77AF6">
        <w:t>)</w:t>
      </w:r>
      <w:r w:rsidR="00EC393F" w:rsidRPr="00A77AF6">
        <w:t xml:space="preserve">.  The sample size is too small to draw conclusions about the implication of these findings. </w:t>
      </w:r>
    </w:p>
    <w:p w14:paraId="505ABDEC" w14:textId="67B2F0A6" w:rsidR="00F300CC" w:rsidRPr="00A77AF6" w:rsidRDefault="00F300CC" w:rsidP="0007452B">
      <w:pPr>
        <w:pStyle w:val="Caption"/>
        <w:keepNext/>
        <w:spacing w:after="120"/>
      </w:pPr>
      <w:r w:rsidRPr="00A77AF6">
        <w:t xml:space="preserve">Table </w:t>
      </w:r>
      <w:fldSimple w:instr=" STYLEREF 1 \s ">
        <w:r w:rsidR="000441F7">
          <w:rPr>
            <w:noProof/>
          </w:rPr>
          <w:t>6</w:t>
        </w:r>
      </w:fldSimple>
      <w:r w:rsidR="00804112">
        <w:noBreakHyphen/>
      </w:r>
      <w:fldSimple w:instr=" SEQ Table \* ARABIC \s 1 ">
        <w:r w:rsidR="000441F7">
          <w:rPr>
            <w:noProof/>
          </w:rPr>
          <w:t>12</w:t>
        </w:r>
      </w:fldSimple>
      <w:r w:rsidRPr="00A77AF6">
        <w:t>: : Equal formalist/ utilitarian disposition and project score</w:t>
      </w:r>
    </w:p>
    <w:tbl>
      <w:tblPr>
        <w:tblW w:w="3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1"/>
        <w:gridCol w:w="1912"/>
      </w:tblGrid>
      <w:tr w:rsidR="0067607D" w:rsidRPr="00A77AF6" w14:paraId="3D522963" w14:textId="77777777" w:rsidTr="00E16D76">
        <w:trPr>
          <w:trHeight w:val="300"/>
        </w:trPr>
        <w:tc>
          <w:tcPr>
            <w:tcW w:w="1911" w:type="dxa"/>
            <w:shd w:val="clear" w:color="auto" w:fill="D9D9D9" w:themeFill="background1" w:themeFillShade="D9"/>
            <w:noWrap/>
          </w:tcPr>
          <w:p w14:paraId="449E47BB" w14:textId="77777777" w:rsidR="0067607D" w:rsidRPr="00A77AF6" w:rsidRDefault="0067607D" w:rsidP="0067607D">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Unique project ID</w:t>
            </w:r>
          </w:p>
          <w:p w14:paraId="00CBFE35" w14:textId="5414CE27" w:rsidR="00E16D76" w:rsidRPr="00A77AF6" w:rsidRDefault="00E16D76" w:rsidP="0067607D">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(n=2)</w:t>
            </w:r>
          </w:p>
        </w:tc>
        <w:tc>
          <w:tcPr>
            <w:tcW w:w="1912" w:type="dxa"/>
            <w:shd w:val="clear" w:color="auto" w:fill="D9D9D9" w:themeFill="background1" w:themeFillShade="D9"/>
          </w:tcPr>
          <w:p w14:paraId="2CE3E197" w14:textId="77777777" w:rsidR="0067607D" w:rsidRPr="00A77AF6" w:rsidRDefault="0067607D" w:rsidP="0067607D">
            <w:pPr>
              <w:rPr>
                <w:rFonts w:ascii="Times New Roman" w:eastAsia="Times New Roman" w:hAnsi="Times New Roman" w:cs="Times New Roman"/>
                <w:sz w:val="20"/>
                <w:szCs w:val="20"/>
                <w:lang w:eastAsia="en-GB"/>
              </w:rPr>
            </w:pPr>
            <w:r w:rsidRPr="00A77AF6">
              <w:rPr>
                <w:rFonts w:ascii="Calibri" w:hAnsi="Calibri" w:cs="Calibri"/>
                <w:color w:val="000000"/>
                <w:sz w:val="20"/>
                <w:szCs w:val="20"/>
              </w:rPr>
              <w:t>Project score</w:t>
            </w:r>
          </w:p>
        </w:tc>
      </w:tr>
      <w:tr w:rsidR="0067607D" w:rsidRPr="00A77AF6" w14:paraId="2D4B7980" w14:textId="77777777" w:rsidTr="00E16D76">
        <w:trPr>
          <w:trHeight w:val="300"/>
        </w:trPr>
        <w:tc>
          <w:tcPr>
            <w:tcW w:w="1911" w:type="dxa"/>
            <w:shd w:val="clear" w:color="auto" w:fill="auto"/>
            <w:noWrap/>
          </w:tcPr>
          <w:p w14:paraId="140A7D8B" w14:textId="22A9B5AC" w:rsidR="0067607D" w:rsidRPr="00A77AF6" w:rsidRDefault="00F300CC" w:rsidP="0067607D">
            <w:pPr>
              <w:spacing w:after="0" w:line="240" w:lineRule="auto"/>
              <w:rPr>
                <w:rFonts w:eastAsia="Times New Roman" w:cstheme="minorHAnsi"/>
                <w:color w:val="000000"/>
                <w:sz w:val="20"/>
                <w:szCs w:val="20"/>
                <w:lang w:eastAsia="en-GB"/>
              </w:rPr>
            </w:pPr>
            <w:r w:rsidRPr="00A77AF6">
              <w:rPr>
                <w:rFonts w:eastAsia="Times New Roman" w:cstheme="minorHAnsi"/>
                <w:color w:val="000000"/>
                <w:sz w:val="20"/>
                <w:szCs w:val="20"/>
                <w:lang w:eastAsia="en-GB"/>
              </w:rPr>
              <w:t>85</w:t>
            </w:r>
          </w:p>
        </w:tc>
        <w:tc>
          <w:tcPr>
            <w:tcW w:w="1912" w:type="dxa"/>
          </w:tcPr>
          <w:p w14:paraId="717EECB3" w14:textId="68F58828" w:rsidR="0067607D" w:rsidRPr="00A77AF6" w:rsidRDefault="0067607D" w:rsidP="0067607D">
            <w:pPr>
              <w:rPr>
                <w:rFonts w:eastAsia="Times New Roman" w:cstheme="minorHAnsi"/>
                <w:sz w:val="20"/>
                <w:szCs w:val="20"/>
                <w:lang w:eastAsia="en-GB"/>
              </w:rPr>
            </w:pPr>
            <w:r w:rsidRPr="00A77AF6">
              <w:rPr>
                <w:rFonts w:eastAsia="Times New Roman" w:cstheme="minorHAnsi"/>
                <w:sz w:val="20"/>
                <w:szCs w:val="20"/>
                <w:lang w:eastAsia="en-GB"/>
              </w:rPr>
              <w:t>8</w:t>
            </w:r>
          </w:p>
        </w:tc>
      </w:tr>
      <w:tr w:rsidR="0067607D" w:rsidRPr="00A77AF6" w14:paraId="4401AED7" w14:textId="77777777" w:rsidTr="00E16D76">
        <w:trPr>
          <w:trHeight w:val="240"/>
        </w:trPr>
        <w:tc>
          <w:tcPr>
            <w:tcW w:w="1911" w:type="dxa"/>
            <w:shd w:val="clear" w:color="auto" w:fill="auto"/>
            <w:noWrap/>
          </w:tcPr>
          <w:p w14:paraId="438101AF" w14:textId="3D84C3FA" w:rsidR="0067607D" w:rsidRPr="00A77AF6" w:rsidRDefault="00F300CC" w:rsidP="0067607D">
            <w:pPr>
              <w:spacing w:after="0" w:line="240" w:lineRule="auto"/>
              <w:rPr>
                <w:rFonts w:eastAsia="Times New Roman" w:cstheme="minorHAnsi"/>
                <w:color w:val="000000"/>
                <w:sz w:val="20"/>
                <w:szCs w:val="20"/>
                <w:lang w:eastAsia="en-GB"/>
              </w:rPr>
            </w:pPr>
            <w:r w:rsidRPr="00A77AF6">
              <w:rPr>
                <w:rFonts w:eastAsia="Times New Roman" w:cstheme="minorHAnsi"/>
                <w:color w:val="000000"/>
                <w:sz w:val="20"/>
                <w:szCs w:val="20"/>
                <w:lang w:eastAsia="en-GB"/>
              </w:rPr>
              <w:t>103</w:t>
            </w:r>
          </w:p>
        </w:tc>
        <w:tc>
          <w:tcPr>
            <w:tcW w:w="1912" w:type="dxa"/>
          </w:tcPr>
          <w:p w14:paraId="472A7CC7" w14:textId="3DA38CA4" w:rsidR="0067607D" w:rsidRPr="00A77AF6" w:rsidRDefault="0067607D" w:rsidP="0067607D">
            <w:pPr>
              <w:rPr>
                <w:rFonts w:eastAsia="Times New Roman" w:cstheme="minorHAnsi"/>
                <w:sz w:val="20"/>
                <w:szCs w:val="20"/>
                <w:lang w:eastAsia="en-GB"/>
              </w:rPr>
            </w:pPr>
            <w:r w:rsidRPr="00A77AF6">
              <w:rPr>
                <w:rFonts w:eastAsia="Times New Roman" w:cstheme="minorHAnsi"/>
                <w:sz w:val="20"/>
                <w:szCs w:val="20"/>
                <w:lang w:eastAsia="en-GB"/>
              </w:rPr>
              <w:t>10</w:t>
            </w:r>
          </w:p>
        </w:tc>
      </w:tr>
    </w:tbl>
    <w:p w14:paraId="5019185F" w14:textId="763382A1" w:rsidR="006628FF" w:rsidRPr="00A77AF6" w:rsidRDefault="007313B4" w:rsidP="00F878A8">
      <w:pPr>
        <w:spacing w:before="240" w:line="360" w:lineRule="auto"/>
      </w:pPr>
      <w:r w:rsidRPr="00A77AF6">
        <w:t>Using a project success score</w:t>
      </w:r>
      <w:r w:rsidR="00F300CC" w:rsidRPr="00A77AF6">
        <w:t xml:space="preserve"> meant that there was no absolute measure of success, just relative levels of success. A test was carried out to establish if more projects would be considered </w:t>
      </w:r>
      <w:r w:rsidR="005462DC" w:rsidRPr="00A77AF6">
        <w:t>successful</w:t>
      </w:r>
      <w:r w:rsidR="00F300CC" w:rsidRPr="00A77AF6">
        <w:t xml:space="preserve"> </w:t>
      </w:r>
      <w:r w:rsidRPr="00A77AF6">
        <w:t>by scoring</w:t>
      </w:r>
      <w:r w:rsidR="005462DC" w:rsidRPr="00A77AF6">
        <w:t xml:space="preserve"> </w:t>
      </w:r>
      <w:r w:rsidR="00E16D76" w:rsidRPr="00A77AF6">
        <w:t>nine</w:t>
      </w:r>
      <w:r w:rsidR="005462DC" w:rsidRPr="00A77AF6">
        <w:t xml:space="preserve"> points, even if they failed to score </w:t>
      </w:r>
      <w:r w:rsidR="00E16D76" w:rsidRPr="00A77AF6">
        <w:t>three</w:t>
      </w:r>
      <w:r w:rsidR="005462DC" w:rsidRPr="00A77AF6">
        <w:t xml:space="preserve"> points for each of the criteria of time, cost and quality.  </w:t>
      </w:r>
      <w:r w:rsidR="00D024A4" w:rsidRPr="00A77AF6">
        <w:t xml:space="preserve">The line was </w:t>
      </w:r>
      <w:r w:rsidR="006628FF" w:rsidRPr="00A77AF6">
        <w:t>‘draw</w:t>
      </w:r>
      <w:r w:rsidR="00D024A4" w:rsidRPr="00A77AF6">
        <w:t xml:space="preserve">n’ </w:t>
      </w:r>
      <w:r w:rsidR="006628FF" w:rsidRPr="00A77AF6">
        <w:t xml:space="preserve">at </w:t>
      </w:r>
      <w:r w:rsidRPr="00A77AF6">
        <w:t>nine</w:t>
      </w:r>
      <w:r w:rsidR="00D024A4" w:rsidRPr="00A77AF6">
        <w:t xml:space="preserve"> </w:t>
      </w:r>
      <w:r w:rsidR="006628FF" w:rsidRPr="00A77AF6">
        <w:t xml:space="preserve">points </w:t>
      </w:r>
      <w:r w:rsidR="00D024A4" w:rsidRPr="00A77AF6">
        <w:t>because this</w:t>
      </w:r>
      <w:r w:rsidR="006628FF" w:rsidRPr="00A77AF6">
        <w:t xml:space="preserve"> is the score that a project </w:t>
      </w:r>
      <w:r w:rsidR="00D024A4" w:rsidRPr="00A77AF6">
        <w:t>which exactly</w:t>
      </w:r>
      <w:r w:rsidR="006628FF" w:rsidRPr="00A77AF6">
        <w:t xml:space="preserve"> met all three </w:t>
      </w:r>
      <w:r w:rsidR="00D024A4" w:rsidRPr="00A77AF6">
        <w:t xml:space="preserve">of its </w:t>
      </w:r>
      <w:r w:rsidR="006628FF" w:rsidRPr="00A77AF6">
        <w:t xml:space="preserve">time, cost and quality targets, would achieve. </w:t>
      </w:r>
      <w:r w:rsidR="005462DC" w:rsidRPr="00A77AF6">
        <w:t xml:space="preserve">Using this measure 18 projects scored </w:t>
      </w:r>
      <w:r w:rsidR="00E16D76" w:rsidRPr="00A77AF6">
        <w:t xml:space="preserve">nine </w:t>
      </w:r>
      <w:r w:rsidR="005462DC" w:rsidRPr="00A77AF6">
        <w:t xml:space="preserve">points.   </w:t>
      </w:r>
    </w:p>
    <w:p w14:paraId="5B70388C" w14:textId="40E811B7" w:rsidR="007F4BB1" w:rsidRPr="00A77AF6" w:rsidRDefault="007313B4" w:rsidP="005462DC">
      <w:pPr>
        <w:spacing w:line="360" w:lineRule="auto"/>
      </w:pPr>
      <w:r w:rsidRPr="00A77AF6">
        <w:t xml:space="preserve">In summary, </w:t>
      </w:r>
      <w:r w:rsidR="00D90913" w:rsidRPr="00A77AF6">
        <w:t>T</w:t>
      </w:r>
      <w:r w:rsidR="00D73FBA" w:rsidRPr="00A77AF6">
        <w:t xml:space="preserve">able </w:t>
      </w:r>
      <w:r w:rsidR="00D024A4" w:rsidRPr="00A77AF6">
        <w:t>6</w:t>
      </w:r>
      <w:r w:rsidR="00F878A8" w:rsidRPr="00A77AF6">
        <w:t>-13</w:t>
      </w:r>
      <w:r w:rsidR="00D73FBA" w:rsidRPr="00A77AF6">
        <w:t xml:space="preserve"> </w:t>
      </w:r>
      <w:r w:rsidR="005462DC" w:rsidRPr="00A77AF6">
        <w:t>show</w:t>
      </w:r>
      <w:r w:rsidR="00D024A4" w:rsidRPr="00A77AF6">
        <w:t xml:space="preserve">s </w:t>
      </w:r>
      <w:r w:rsidR="00D73FBA" w:rsidRPr="00A77AF6">
        <w:t xml:space="preserve">that of 45 projects where success was </w:t>
      </w:r>
      <w:r w:rsidR="00E947B6" w:rsidRPr="00A77AF6">
        <w:t>claimed, 39</w:t>
      </w:r>
      <w:r w:rsidR="00D73FBA" w:rsidRPr="00A77AF6">
        <w:t xml:space="preserve"> (87%) were claimed by formalists; </w:t>
      </w:r>
      <w:r w:rsidR="00E16D76" w:rsidRPr="00A77AF6">
        <w:t>four</w:t>
      </w:r>
      <w:r w:rsidR="00D73FBA" w:rsidRPr="00A77AF6">
        <w:t xml:space="preserve"> (9%) by utilitarians and </w:t>
      </w:r>
      <w:r w:rsidR="00E16D76" w:rsidRPr="00A77AF6">
        <w:t>two</w:t>
      </w:r>
      <w:r w:rsidR="00D73FBA" w:rsidRPr="00A77AF6">
        <w:t xml:space="preserve"> (4%) by people where neither predisposition predominated.  For</w:t>
      </w:r>
      <w:r w:rsidR="00EC393F" w:rsidRPr="00A77AF6">
        <w:t xml:space="preserve"> the 11 </w:t>
      </w:r>
      <w:r w:rsidR="00D73FBA" w:rsidRPr="00A77AF6">
        <w:t xml:space="preserve">projects that met all three criteria of time, cost and quality, </w:t>
      </w:r>
      <w:r w:rsidR="00D76353">
        <w:t>ten</w:t>
      </w:r>
      <w:r w:rsidR="00D73FBA" w:rsidRPr="00A77AF6">
        <w:t xml:space="preserve"> (91%) were reported by formalists and </w:t>
      </w:r>
      <w:r w:rsidR="00E16D76" w:rsidRPr="00A77AF6">
        <w:t>one</w:t>
      </w:r>
      <w:r w:rsidR="00D73FBA" w:rsidRPr="00A77AF6">
        <w:t xml:space="preserve"> (</w:t>
      </w:r>
      <w:r w:rsidR="007F0E1F" w:rsidRPr="00A77AF6">
        <w:t>9</w:t>
      </w:r>
      <w:r w:rsidR="00D73FBA" w:rsidRPr="00A77AF6">
        <w:t xml:space="preserve">%) by someone </w:t>
      </w:r>
      <w:r w:rsidR="00EC393F" w:rsidRPr="00A77AF6">
        <w:t xml:space="preserve">of equal formalist/ utilitarian disposition.  </w:t>
      </w:r>
      <w:r w:rsidR="004C556C">
        <w:t>I</w:t>
      </w:r>
      <w:r w:rsidR="00E947B6" w:rsidRPr="00A77AF6">
        <w:t>n</w:t>
      </w:r>
      <w:r w:rsidR="00F75D96" w:rsidRPr="00A77AF6">
        <w:t xml:space="preserve"> projects given a success score of </w:t>
      </w:r>
      <w:r w:rsidR="00E16D76" w:rsidRPr="00A77AF6">
        <w:t>nine</w:t>
      </w:r>
      <w:r w:rsidR="00F75D96" w:rsidRPr="00A77AF6">
        <w:t xml:space="preserve"> or above, 15 (</w:t>
      </w:r>
      <w:r w:rsidR="0037512C" w:rsidRPr="00A77AF6">
        <w:t>83</w:t>
      </w:r>
      <w:r w:rsidR="00F75D96" w:rsidRPr="00A77AF6">
        <w:t xml:space="preserve">%) involved formalists, </w:t>
      </w:r>
      <w:r w:rsidR="00E16D76" w:rsidRPr="00A77AF6">
        <w:t>two</w:t>
      </w:r>
      <w:r w:rsidR="00F75D96" w:rsidRPr="00A77AF6">
        <w:t xml:space="preserve"> (</w:t>
      </w:r>
      <w:r w:rsidR="0037512C" w:rsidRPr="00A77AF6">
        <w:t>11</w:t>
      </w:r>
      <w:r w:rsidR="00F75D96" w:rsidRPr="00A77AF6">
        <w:t xml:space="preserve">%) involved utilitarians and </w:t>
      </w:r>
      <w:r w:rsidR="00E16D76" w:rsidRPr="00A77AF6">
        <w:t xml:space="preserve">one </w:t>
      </w:r>
      <w:r w:rsidR="00F75D96" w:rsidRPr="00A77AF6">
        <w:t>(</w:t>
      </w:r>
      <w:r w:rsidR="0037512C" w:rsidRPr="00A77AF6">
        <w:t>7</w:t>
      </w:r>
      <w:r w:rsidR="00F75D96" w:rsidRPr="00A77AF6">
        <w:t xml:space="preserve">%) involved someone where neither predisposition predominated.  </w:t>
      </w:r>
    </w:p>
    <w:p w14:paraId="24E19BDC" w14:textId="77777777" w:rsidR="007F4BB1" w:rsidRPr="00A77AF6" w:rsidRDefault="007F4BB1">
      <w:r w:rsidRPr="00A77AF6">
        <w:br w:type="page"/>
      </w:r>
    </w:p>
    <w:p w14:paraId="0E3EF60F" w14:textId="499393B8" w:rsidR="005526B7" w:rsidRPr="00A77AF6" w:rsidRDefault="005526B7" w:rsidP="0007452B">
      <w:pPr>
        <w:pStyle w:val="Caption"/>
        <w:keepNext/>
        <w:spacing w:after="120"/>
      </w:pPr>
      <w:r w:rsidRPr="00A77AF6">
        <w:lastRenderedPageBreak/>
        <w:t xml:space="preserve">Table </w:t>
      </w:r>
      <w:fldSimple w:instr=" STYLEREF 1 \s ">
        <w:r w:rsidR="000441F7">
          <w:rPr>
            <w:noProof/>
          </w:rPr>
          <w:t>6</w:t>
        </w:r>
      </w:fldSimple>
      <w:r w:rsidR="00804112">
        <w:noBreakHyphen/>
      </w:r>
      <w:fldSimple w:instr=" SEQ Table \* ARABIC \s 1 ">
        <w:r w:rsidR="000441F7">
          <w:rPr>
            <w:noProof/>
          </w:rPr>
          <w:t>13</w:t>
        </w:r>
      </w:fldSimple>
      <w:r w:rsidRPr="00A77AF6">
        <w:t xml:space="preserve">: </w:t>
      </w:r>
      <w:r w:rsidR="00D90913" w:rsidRPr="00A77AF6">
        <w:t xml:space="preserve">Summary of </w:t>
      </w:r>
      <w:r w:rsidR="004E1B7B" w:rsidRPr="00A77AF6">
        <w:t>P</w:t>
      </w:r>
      <w:r w:rsidRPr="00A77AF6">
        <w:t>roject success and ethical predisposition</w:t>
      </w:r>
    </w:p>
    <w:tbl>
      <w:tblPr>
        <w:tblStyle w:val="TableGrid"/>
        <w:tblW w:w="0" w:type="auto"/>
        <w:tblLook w:val="04A0" w:firstRow="1" w:lastRow="0" w:firstColumn="1" w:lastColumn="0" w:noHBand="0" w:noVBand="1"/>
      </w:tblPr>
      <w:tblGrid>
        <w:gridCol w:w="2336"/>
        <w:gridCol w:w="1345"/>
        <w:gridCol w:w="1417"/>
        <w:gridCol w:w="1560"/>
        <w:gridCol w:w="1560"/>
      </w:tblGrid>
      <w:tr w:rsidR="00786A7A" w:rsidRPr="00A77AF6" w14:paraId="34F83F9B" w14:textId="054CC982" w:rsidTr="00786A7A">
        <w:tc>
          <w:tcPr>
            <w:tcW w:w="2336" w:type="dxa"/>
            <w:shd w:val="clear" w:color="auto" w:fill="D9D9D9" w:themeFill="background1" w:themeFillShade="D9"/>
          </w:tcPr>
          <w:p w14:paraId="0DBB6B90" w14:textId="77777777" w:rsidR="00786A7A" w:rsidRPr="00A77AF6" w:rsidRDefault="00786A7A" w:rsidP="004512E9">
            <w:pPr>
              <w:spacing w:line="480" w:lineRule="auto"/>
              <w:rPr>
                <w:sz w:val="20"/>
              </w:rPr>
            </w:pPr>
            <w:r w:rsidRPr="00A77AF6">
              <w:rPr>
                <w:sz w:val="20"/>
              </w:rPr>
              <w:t>Sample</w:t>
            </w:r>
          </w:p>
        </w:tc>
        <w:tc>
          <w:tcPr>
            <w:tcW w:w="1345" w:type="dxa"/>
            <w:shd w:val="clear" w:color="auto" w:fill="D9D9D9" w:themeFill="background1" w:themeFillShade="D9"/>
          </w:tcPr>
          <w:p w14:paraId="6A1A26C9" w14:textId="3D90EBE1" w:rsidR="00786A7A" w:rsidRPr="00A77AF6" w:rsidRDefault="00786A7A" w:rsidP="004512E9">
            <w:pPr>
              <w:rPr>
                <w:sz w:val="20"/>
              </w:rPr>
            </w:pPr>
            <w:r w:rsidRPr="00A77AF6">
              <w:rPr>
                <w:sz w:val="20"/>
              </w:rPr>
              <w:t>Formalist</w:t>
            </w:r>
          </w:p>
          <w:p w14:paraId="55B62379" w14:textId="36D3AE70" w:rsidR="00786A7A" w:rsidRPr="00A77AF6" w:rsidRDefault="00786A7A" w:rsidP="004512E9">
            <w:pPr>
              <w:rPr>
                <w:sz w:val="20"/>
              </w:rPr>
            </w:pPr>
          </w:p>
        </w:tc>
        <w:tc>
          <w:tcPr>
            <w:tcW w:w="1417" w:type="dxa"/>
            <w:shd w:val="clear" w:color="auto" w:fill="D9D9D9" w:themeFill="background1" w:themeFillShade="D9"/>
          </w:tcPr>
          <w:p w14:paraId="477BCD8C" w14:textId="7A48EAF0" w:rsidR="00786A7A" w:rsidRPr="00A77AF6" w:rsidRDefault="00786A7A" w:rsidP="004512E9">
            <w:pPr>
              <w:rPr>
                <w:sz w:val="20"/>
              </w:rPr>
            </w:pPr>
            <w:r w:rsidRPr="00A77AF6">
              <w:rPr>
                <w:sz w:val="20"/>
              </w:rPr>
              <w:t>Utilitarian</w:t>
            </w:r>
          </w:p>
          <w:p w14:paraId="735A3602" w14:textId="71D7DB12" w:rsidR="00786A7A" w:rsidRPr="00A77AF6" w:rsidRDefault="00786A7A" w:rsidP="004512E9">
            <w:pPr>
              <w:rPr>
                <w:sz w:val="20"/>
              </w:rPr>
            </w:pPr>
          </w:p>
        </w:tc>
        <w:tc>
          <w:tcPr>
            <w:tcW w:w="1560" w:type="dxa"/>
            <w:shd w:val="clear" w:color="auto" w:fill="D9D9D9" w:themeFill="background1" w:themeFillShade="D9"/>
          </w:tcPr>
          <w:p w14:paraId="66D6F21F" w14:textId="4ABDD54F" w:rsidR="00786A7A" w:rsidRPr="00A77AF6" w:rsidRDefault="00786A7A" w:rsidP="004512E9">
            <w:pPr>
              <w:rPr>
                <w:sz w:val="20"/>
              </w:rPr>
            </w:pPr>
            <w:r w:rsidRPr="00A77AF6">
              <w:rPr>
                <w:sz w:val="20"/>
              </w:rPr>
              <w:t>Neither</w:t>
            </w:r>
          </w:p>
          <w:p w14:paraId="08014D1E" w14:textId="00FC4052" w:rsidR="00786A7A" w:rsidRPr="00A77AF6" w:rsidRDefault="00786A7A" w:rsidP="004512E9">
            <w:pPr>
              <w:rPr>
                <w:sz w:val="20"/>
              </w:rPr>
            </w:pPr>
          </w:p>
        </w:tc>
        <w:tc>
          <w:tcPr>
            <w:tcW w:w="1560" w:type="dxa"/>
            <w:shd w:val="clear" w:color="auto" w:fill="D9D9D9" w:themeFill="background1" w:themeFillShade="D9"/>
          </w:tcPr>
          <w:p w14:paraId="6DDB2D68" w14:textId="1E41C261" w:rsidR="00786A7A" w:rsidRPr="00A77AF6" w:rsidRDefault="00786A7A" w:rsidP="004512E9">
            <w:pPr>
              <w:rPr>
                <w:sz w:val="20"/>
              </w:rPr>
            </w:pPr>
            <w:r w:rsidRPr="00A77AF6">
              <w:rPr>
                <w:sz w:val="20"/>
              </w:rPr>
              <w:t>Total</w:t>
            </w:r>
            <w:r w:rsidR="0037512C" w:rsidRPr="00A77AF6">
              <w:rPr>
                <w:sz w:val="20"/>
              </w:rPr>
              <w:t xml:space="preserve"> sample</w:t>
            </w:r>
          </w:p>
        </w:tc>
      </w:tr>
      <w:tr w:rsidR="00786A7A" w:rsidRPr="00A77AF6" w14:paraId="5E112DB1" w14:textId="0C69DCEE" w:rsidTr="00A3795B">
        <w:tc>
          <w:tcPr>
            <w:tcW w:w="2336" w:type="dxa"/>
          </w:tcPr>
          <w:p w14:paraId="32ACF0A1" w14:textId="04A6D6F9" w:rsidR="00786A7A" w:rsidRPr="00A77AF6" w:rsidRDefault="00786A7A" w:rsidP="004512E9">
            <w:pPr>
              <w:spacing w:line="480" w:lineRule="auto"/>
              <w:rPr>
                <w:sz w:val="20"/>
              </w:rPr>
            </w:pPr>
            <w:r w:rsidRPr="00A77AF6">
              <w:rPr>
                <w:sz w:val="20"/>
              </w:rPr>
              <w:t xml:space="preserve">Claimed success </w:t>
            </w:r>
            <w:r w:rsidR="000D04CD" w:rsidRPr="00A77AF6">
              <w:rPr>
                <w:sz w:val="20"/>
              </w:rPr>
              <w:t>(n=45)</w:t>
            </w:r>
          </w:p>
        </w:tc>
        <w:tc>
          <w:tcPr>
            <w:tcW w:w="1345" w:type="dxa"/>
          </w:tcPr>
          <w:p w14:paraId="2F9829BB" w14:textId="63AC9B8B" w:rsidR="00786A7A" w:rsidRPr="00A77AF6" w:rsidRDefault="00786A7A" w:rsidP="004512E9">
            <w:pPr>
              <w:spacing w:line="480" w:lineRule="auto"/>
              <w:rPr>
                <w:sz w:val="20"/>
              </w:rPr>
            </w:pPr>
            <w:r w:rsidRPr="00A77AF6">
              <w:rPr>
                <w:rFonts w:ascii="Calibri" w:eastAsia="Times New Roman" w:hAnsi="Calibri" w:cs="Times New Roman"/>
                <w:color w:val="000000"/>
                <w:sz w:val="20"/>
                <w:lang w:eastAsia="en-GB"/>
              </w:rPr>
              <w:t>39 (87%)</w:t>
            </w:r>
          </w:p>
        </w:tc>
        <w:tc>
          <w:tcPr>
            <w:tcW w:w="1417" w:type="dxa"/>
          </w:tcPr>
          <w:p w14:paraId="7B85AB38" w14:textId="23C96435" w:rsidR="00786A7A" w:rsidRPr="00A77AF6" w:rsidRDefault="00786A7A" w:rsidP="004512E9">
            <w:pPr>
              <w:spacing w:line="480" w:lineRule="auto"/>
              <w:rPr>
                <w:sz w:val="20"/>
              </w:rPr>
            </w:pPr>
            <w:r w:rsidRPr="00A77AF6">
              <w:rPr>
                <w:rFonts w:ascii="Calibri" w:eastAsia="Times New Roman" w:hAnsi="Calibri" w:cs="Times New Roman"/>
                <w:color w:val="000000"/>
                <w:sz w:val="20"/>
                <w:lang w:eastAsia="en-GB"/>
              </w:rPr>
              <w:t>4 (9%)</w:t>
            </w:r>
          </w:p>
        </w:tc>
        <w:tc>
          <w:tcPr>
            <w:tcW w:w="1560" w:type="dxa"/>
          </w:tcPr>
          <w:p w14:paraId="52067DB3" w14:textId="54B820EB" w:rsidR="00786A7A" w:rsidRPr="00A77AF6" w:rsidRDefault="00786A7A" w:rsidP="004512E9">
            <w:pPr>
              <w:spacing w:line="480" w:lineRule="auto"/>
              <w:rPr>
                <w:sz w:val="20"/>
              </w:rPr>
            </w:pPr>
            <w:r w:rsidRPr="00A77AF6">
              <w:rPr>
                <w:rFonts w:ascii="Calibri" w:eastAsia="Times New Roman" w:hAnsi="Calibri" w:cs="Times New Roman"/>
                <w:color w:val="000000"/>
                <w:sz w:val="20"/>
                <w:lang w:eastAsia="en-GB"/>
              </w:rPr>
              <w:t>2 (4%)</w:t>
            </w:r>
          </w:p>
        </w:tc>
        <w:tc>
          <w:tcPr>
            <w:tcW w:w="1560" w:type="dxa"/>
          </w:tcPr>
          <w:p w14:paraId="544D4A89" w14:textId="7E0A62AA" w:rsidR="00786A7A" w:rsidRPr="00A77AF6" w:rsidRDefault="00786A7A" w:rsidP="004512E9">
            <w:pPr>
              <w:spacing w:line="480"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45</w:t>
            </w:r>
            <w:r w:rsidR="0037512C" w:rsidRPr="00A77AF6">
              <w:rPr>
                <w:rFonts w:ascii="Calibri" w:eastAsia="Times New Roman" w:hAnsi="Calibri" w:cs="Times New Roman"/>
                <w:color w:val="000000"/>
                <w:sz w:val="20"/>
                <w:lang w:eastAsia="en-GB"/>
              </w:rPr>
              <w:t xml:space="preserve"> (100%)</w:t>
            </w:r>
          </w:p>
        </w:tc>
      </w:tr>
      <w:tr w:rsidR="00786A7A" w:rsidRPr="00A77AF6" w14:paraId="292D1785" w14:textId="34314CD3" w:rsidTr="007F0E1F">
        <w:tc>
          <w:tcPr>
            <w:tcW w:w="2336" w:type="dxa"/>
            <w:tcBorders>
              <w:bottom w:val="single" w:sz="4" w:space="0" w:color="auto"/>
            </w:tcBorders>
          </w:tcPr>
          <w:p w14:paraId="5412CE32" w14:textId="692CFBAD" w:rsidR="00786A7A" w:rsidRPr="00A77AF6" w:rsidRDefault="00786A7A" w:rsidP="004512E9">
            <w:pPr>
              <w:spacing w:line="480" w:lineRule="auto"/>
              <w:rPr>
                <w:sz w:val="20"/>
              </w:rPr>
            </w:pPr>
            <w:r w:rsidRPr="00A77AF6">
              <w:rPr>
                <w:sz w:val="20"/>
              </w:rPr>
              <w:t>Iron triangle</w:t>
            </w:r>
            <w:r w:rsidR="000D04CD" w:rsidRPr="00A77AF6">
              <w:rPr>
                <w:sz w:val="20"/>
              </w:rPr>
              <w:t xml:space="preserve"> (n=11)</w:t>
            </w:r>
          </w:p>
        </w:tc>
        <w:tc>
          <w:tcPr>
            <w:tcW w:w="1345" w:type="dxa"/>
            <w:tcBorders>
              <w:bottom w:val="single" w:sz="4" w:space="0" w:color="auto"/>
            </w:tcBorders>
          </w:tcPr>
          <w:p w14:paraId="707D2768" w14:textId="59F19EA7" w:rsidR="00786A7A" w:rsidRPr="00A77AF6" w:rsidRDefault="00786A7A" w:rsidP="004512E9">
            <w:pPr>
              <w:spacing w:line="480" w:lineRule="auto"/>
              <w:rPr>
                <w:sz w:val="20"/>
              </w:rPr>
            </w:pPr>
            <w:r w:rsidRPr="00A77AF6">
              <w:rPr>
                <w:sz w:val="20"/>
              </w:rPr>
              <w:t>10 (91%)</w:t>
            </w:r>
          </w:p>
        </w:tc>
        <w:tc>
          <w:tcPr>
            <w:tcW w:w="1417" w:type="dxa"/>
            <w:tcBorders>
              <w:bottom w:val="single" w:sz="4" w:space="0" w:color="auto"/>
            </w:tcBorders>
          </w:tcPr>
          <w:p w14:paraId="0C5DB96B" w14:textId="02A4D4E5" w:rsidR="00786A7A" w:rsidRPr="00A77AF6" w:rsidRDefault="00786A7A" w:rsidP="004512E9">
            <w:pPr>
              <w:spacing w:line="480" w:lineRule="auto"/>
              <w:rPr>
                <w:sz w:val="20"/>
              </w:rPr>
            </w:pPr>
            <w:r w:rsidRPr="00A77AF6">
              <w:rPr>
                <w:sz w:val="20"/>
              </w:rPr>
              <w:t>0 (0%)</w:t>
            </w:r>
          </w:p>
        </w:tc>
        <w:tc>
          <w:tcPr>
            <w:tcW w:w="1560" w:type="dxa"/>
            <w:tcBorders>
              <w:bottom w:val="single" w:sz="4" w:space="0" w:color="auto"/>
            </w:tcBorders>
          </w:tcPr>
          <w:p w14:paraId="029F026F" w14:textId="034D25D2" w:rsidR="00786A7A" w:rsidRPr="00A77AF6" w:rsidRDefault="00786A7A" w:rsidP="004512E9">
            <w:pPr>
              <w:spacing w:line="480" w:lineRule="auto"/>
              <w:rPr>
                <w:sz w:val="20"/>
              </w:rPr>
            </w:pPr>
            <w:r w:rsidRPr="00A77AF6">
              <w:rPr>
                <w:sz w:val="20"/>
              </w:rPr>
              <w:t>1 (</w:t>
            </w:r>
            <w:r w:rsidR="00B02ABE" w:rsidRPr="00A77AF6">
              <w:rPr>
                <w:sz w:val="20"/>
              </w:rPr>
              <w:t>9</w:t>
            </w:r>
            <w:r w:rsidRPr="00A77AF6">
              <w:rPr>
                <w:sz w:val="20"/>
              </w:rPr>
              <w:t>%)</w:t>
            </w:r>
          </w:p>
        </w:tc>
        <w:tc>
          <w:tcPr>
            <w:tcW w:w="1560" w:type="dxa"/>
            <w:tcBorders>
              <w:bottom w:val="single" w:sz="4" w:space="0" w:color="auto"/>
            </w:tcBorders>
          </w:tcPr>
          <w:p w14:paraId="625D196F" w14:textId="12892671" w:rsidR="00786A7A" w:rsidRPr="00A77AF6" w:rsidRDefault="00786A7A" w:rsidP="004512E9">
            <w:pPr>
              <w:spacing w:line="480" w:lineRule="auto"/>
              <w:rPr>
                <w:sz w:val="20"/>
              </w:rPr>
            </w:pPr>
            <w:r w:rsidRPr="00A77AF6">
              <w:rPr>
                <w:sz w:val="20"/>
              </w:rPr>
              <w:t>11</w:t>
            </w:r>
            <w:r w:rsidR="0037512C" w:rsidRPr="00A77AF6">
              <w:rPr>
                <w:sz w:val="20"/>
              </w:rPr>
              <w:t xml:space="preserve"> (100%)</w:t>
            </w:r>
          </w:p>
        </w:tc>
      </w:tr>
      <w:tr w:rsidR="00786A7A" w:rsidRPr="00A77AF6" w14:paraId="73AD3B66" w14:textId="28A5AEE9" w:rsidTr="007F0E1F">
        <w:tc>
          <w:tcPr>
            <w:tcW w:w="2336" w:type="dxa"/>
            <w:tcBorders>
              <w:bottom w:val="single" w:sz="4" w:space="0" w:color="auto"/>
            </w:tcBorders>
          </w:tcPr>
          <w:p w14:paraId="41EC0FD4" w14:textId="6C5EE063" w:rsidR="00786A7A" w:rsidRPr="00A77AF6" w:rsidRDefault="00786A7A" w:rsidP="004512E9">
            <w:pPr>
              <w:rPr>
                <w:sz w:val="20"/>
              </w:rPr>
            </w:pPr>
            <w:r w:rsidRPr="00A77AF6">
              <w:rPr>
                <w:sz w:val="20"/>
              </w:rPr>
              <w:t xml:space="preserve">Project Success score </w:t>
            </w:r>
            <w:r w:rsidR="00BA79F8" w:rsidRPr="00A77AF6">
              <w:rPr>
                <w:rFonts w:cstheme="minorHAnsi"/>
                <w:sz w:val="20"/>
              </w:rPr>
              <w:t>≥</w:t>
            </w:r>
            <w:r w:rsidR="00BA79F8" w:rsidRPr="00A77AF6">
              <w:rPr>
                <w:sz w:val="20"/>
              </w:rPr>
              <w:t xml:space="preserve"> </w:t>
            </w:r>
            <w:r w:rsidRPr="00A77AF6">
              <w:rPr>
                <w:sz w:val="20"/>
              </w:rPr>
              <w:t xml:space="preserve">9 points </w:t>
            </w:r>
            <w:r w:rsidR="000D04CD" w:rsidRPr="00A77AF6">
              <w:rPr>
                <w:sz w:val="20"/>
              </w:rPr>
              <w:t>(n=18)</w:t>
            </w:r>
          </w:p>
        </w:tc>
        <w:tc>
          <w:tcPr>
            <w:tcW w:w="1345" w:type="dxa"/>
            <w:tcBorders>
              <w:bottom w:val="single" w:sz="4" w:space="0" w:color="auto"/>
            </w:tcBorders>
          </w:tcPr>
          <w:p w14:paraId="1827FF93" w14:textId="16152988" w:rsidR="00786A7A" w:rsidRPr="00A77AF6" w:rsidRDefault="00786A7A" w:rsidP="004512E9">
            <w:pPr>
              <w:spacing w:line="480" w:lineRule="auto"/>
              <w:rPr>
                <w:sz w:val="20"/>
              </w:rPr>
            </w:pPr>
            <w:r w:rsidRPr="00A77AF6">
              <w:rPr>
                <w:sz w:val="20"/>
              </w:rPr>
              <w:t>15 (</w:t>
            </w:r>
            <w:r w:rsidR="0037512C" w:rsidRPr="00A77AF6">
              <w:rPr>
                <w:sz w:val="20"/>
              </w:rPr>
              <w:t>83</w:t>
            </w:r>
            <w:r w:rsidRPr="00A77AF6">
              <w:rPr>
                <w:sz w:val="20"/>
              </w:rPr>
              <w:t>%)</w:t>
            </w:r>
          </w:p>
        </w:tc>
        <w:tc>
          <w:tcPr>
            <w:tcW w:w="1417" w:type="dxa"/>
            <w:tcBorders>
              <w:bottom w:val="single" w:sz="4" w:space="0" w:color="auto"/>
            </w:tcBorders>
          </w:tcPr>
          <w:p w14:paraId="51846FC9" w14:textId="394EAC11" w:rsidR="00786A7A" w:rsidRPr="00A77AF6" w:rsidRDefault="00786A7A" w:rsidP="004512E9">
            <w:pPr>
              <w:spacing w:line="480" w:lineRule="auto"/>
              <w:rPr>
                <w:sz w:val="20"/>
              </w:rPr>
            </w:pPr>
            <w:r w:rsidRPr="00A77AF6">
              <w:rPr>
                <w:sz w:val="20"/>
              </w:rPr>
              <w:t>2 (</w:t>
            </w:r>
            <w:r w:rsidR="0037512C" w:rsidRPr="00A77AF6">
              <w:rPr>
                <w:sz w:val="20"/>
              </w:rPr>
              <w:t>11</w:t>
            </w:r>
            <w:r w:rsidRPr="00A77AF6">
              <w:rPr>
                <w:sz w:val="20"/>
              </w:rPr>
              <w:t>%)</w:t>
            </w:r>
          </w:p>
        </w:tc>
        <w:tc>
          <w:tcPr>
            <w:tcW w:w="1560" w:type="dxa"/>
            <w:tcBorders>
              <w:bottom w:val="single" w:sz="4" w:space="0" w:color="auto"/>
            </w:tcBorders>
          </w:tcPr>
          <w:p w14:paraId="60C15380" w14:textId="13F34CC4" w:rsidR="00786A7A" w:rsidRPr="00A77AF6" w:rsidRDefault="00786A7A" w:rsidP="004512E9">
            <w:pPr>
              <w:spacing w:line="480" w:lineRule="auto"/>
              <w:rPr>
                <w:sz w:val="20"/>
              </w:rPr>
            </w:pPr>
            <w:r w:rsidRPr="00A77AF6">
              <w:rPr>
                <w:sz w:val="20"/>
              </w:rPr>
              <w:t>1 (</w:t>
            </w:r>
            <w:r w:rsidR="0037512C" w:rsidRPr="00A77AF6">
              <w:rPr>
                <w:sz w:val="20"/>
              </w:rPr>
              <w:t>7</w:t>
            </w:r>
            <w:r w:rsidRPr="00A77AF6">
              <w:rPr>
                <w:sz w:val="20"/>
              </w:rPr>
              <w:t>%)</w:t>
            </w:r>
          </w:p>
        </w:tc>
        <w:tc>
          <w:tcPr>
            <w:tcW w:w="1560" w:type="dxa"/>
            <w:tcBorders>
              <w:bottom w:val="single" w:sz="4" w:space="0" w:color="auto"/>
            </w:tcBorders>
          </w:tcPr>
          <w:p w14:paraId="7733F696" w14:textId="42FF70E9" w:rsidR="00786A7A" w:rsidRPr="00A77AF6" w:rsidRDefault="00786A7A" w:rsidP="00786A7A">
            <w:pPr>
              <w:rPr>
                <w:sz w:val="20"/>
              </w:rPr>
            </w:pPr>
            <w:r w:rsidRPr="00A77AF6">
              <w:rPr>
                <w:sz w:val="20"/>
              </w:rPr>
              <w:t xml:space="preserve">18 </w:t>
            </w:r>
            <w:r w:rsidR="0037512C" w:rsidRPr="00A77AF6">
              <w:rPr>
                <w:sz w:val="20"/>
              </w:rPr>
              <w:t>(101%) rounding error</w:t>
            </w:r>
          </w:p>
        </w:tc>
      </w:tr>
    </w:tbl>
    <w:p w14:paraId="0DBF8C6E" w14:textId="429E78B0" w:rsidR="0041304F" w:rsidRPr="00A77AF6" w:rsidRDefault="0041304F" w:rsidP="00354EE1"/>
    <w:p w14:paraId="0D243DDD" w14:textId="79FE4AFD" w:rsidR="00A54E54" w:rsidRPr="00A77AF6" w:rsidRDefault="00D024A4" w:rsidP="006508A5">
      <w:pPr>
        <w:spacing w:line="360" w:lineRule="auto"/>
      </w:pPr>
      <w:r w:rsidRPr="00A77AF6">
        <w:t>I</w:t>
      </w:r>
      <w:r w:rsidR="006508A5" w:rsidRPr="00A77AF6">
        <w:t xml:space="preserve">t </w:t>
      </w:r>
      <w:r w:rsidRPr="00A77AF6">
        <w:t xml:space="preserve">has been </w:t>
      </w:r>
      <w:r w:rsidR="006508A5" w:rsidRPr="00A77AF6">
        <w:t xml:space="preserve">possible to </w:t>
      </w:r>
      <w:r w:rsidRPr="00A77AF6">
        <w:t xml:space="preserve">show </w:t>
      </w:r>
      <w:r w:rsidR="006508A5" w:rsidRPr="00A77AF6">
        <w:t xml:space="preserve">that </w:t>
      </w:r>
      <w:r w:rsidR="00135513" w:rsidRPr="00A77AF6">
        <w:t xml:space="preserve">if a score of </w:t>
      </w:r>
      <w:r w:rsidR="00E16D76" w:rsidRPr="00A77AF6">
        <w:t>nine</w:t>
      </w:r>
      <w:r w:rsidR="00135513" w:rsidRPr="00A77AF6">
        <w:t xml:space="preserve"> or above </w:t>
      </w:r>
      <w:r w:rsidRPr="00A77AF6">
        <w:t xml:space="preserve">is </w:t>
      </w:r>
      <w:r w:rsidR="00135513" w:rsidRPr="00A77AF6">
        <w:t>accepted as success, then the number of successful projects rises from 11 to 18</w:t>
      </w:r>
      <w:r w:rsidR="00E16D76" w:rsidRPr="00A77AF6">
        <w:t xml:space="preserve"> (Table 6-13)</w:t>
      </w:r>
      <w:r w:rsidR="00135513" w:rsidRPr="00A77AF6">
        <w:t xml:space="preserve">. </w:t>
      </w:r>
      <w:r w:rsidR="00786A7A" w:rsidRPr="00A77AF6">
        <w:t xml:space="preserve"> It </w:t>
      </w:r>
      <w:r w:rsidRPr="00A77AF6">
        <w:t xml:space="preserve">was also possible to show that </w:t>
      </w:r>
      <w:r w:rsidR="00786A7A" w:rsidRPr="00A77AF6">
        <w:t xml:space="preserve">no utilitarian </w:t>
      </w:r>
      <w:r w:rsidRPr="00A77AF6">
        <w:t>thought</w:t>
      </w:r>
      <w:r w:rsidR="00786A7A" w:rsidRPr="00A77AF6">
        <w:t xml:space="preserve"> that their project had met all three ‘iron triangle’ measures.  </w:t>
      </w:r>
      <w:r w:rsidR="00A54E54" w:rsidRPr="00A77AF6">
        <w:t>Descriptive statistics cannot show the influence of ethical predisposition on project success, to do this correlation analyses were performed</w:t>
      </w:r>
    </w:p>
    <w:p w14:paraId="0B629262" w14:textId="77777777" w:rsidR="001B0DB8" w:rsidRPr="00A77AF6" w:rsidRDefault="001B0DB8" w:rsidP="001B0DB8">
      <w:pPr>
        <w:pStyle w:val="Heading3"/>
        <w:spacing w:after="120"/>
      </w:pPr>
      <w:bookmarkStart w:id="152" w:name="_Toc36275121"/>
      <w:r w:rsidRPr="00A77AF6">
        <w:t>Correlation of ethical predisposition and iron triangle success  (n=11)</w:t>
      </w:r>
      <w:bookmarkEnd w:id="152"/>
    </w:p>
    <w:p w14:paraId="5F967086" w14:textId="7C279CD2" w:rsidR="001B0DB8" w:rsidRPr="00A77AF6" w:rsidRDefault="001B0DB8" w:rsidP="001B0DB8">
      <w:pPr>
        <w:spacing w:line="360" w:lineRule="auto"/>
      </w:pPr>
      <w:r w:rsidRPr="00A77AF6">
        <w:t>Correlation analysis between ethical predisposition and ‘iron triangle success’ show very weak correlation of r= 0.</w:t>
      </w:r>
      <w:r w:rsidRPr="00770AC0">
        <w:t>04 (Figure 6-</w:t>
      </w:r>
      <w:r w:rsidR="00770AC0" w:rsidRPr="00770AC0">
        <w:t>2</w:t>
      </w:r>
      <w:r w:rsidRPr="00770AC0">
        <w:t xml:space="preserve"> and Table 6-1</w:t>
      </w:r>
      <w:r w:rsidR="00804112" w:rsidRPr="00770AC0">
        <w:t>4</w:t>
      </w:r>
      <w:r w:rsidRPr="00770AC0">
        <w:t xml:space="preserve">)  </w:t>
      </w:r>
    </w:p>
    <w:p w14:paraId="2967A3FD" w14:textId="77777777" w:rsidR="001B0DB8" w:rsidRPr="00A77AF6" w:rsidRDefault="001B0DB8" w:rsidP="001B0DB8">
      <w:pPr>
        <w:keepNext/>
        <w:spacing w:after="120" w:line="360" w:lineRule="auto"/>
      </w:pPr>
      <w:r w:rsidRPr="00A77AF6">
        <w:rPr>
          <w:noProof/>
        </w:rPr>
        <w:drawing>
          <wp:inline distT="0" distB="0" distL="0" distR="0" wp14:anchorId="23F5BD28" wp14:editId="25667F80">
            <wp:extent cx="4572000" cy="2743200"/>
            <wp:effectExtent l="0" t="0" r="0" b="0"/>
            <wp:docPr id="6" name="Chart 6">
              <a:extLst xmlns:a="http://schemas.openxmlformats.org/drawingml/2006/main">
                <a:ext uri="{FF2B5EF4-FFF2-40B4-BE49-F238E27FC236}">
                  <a16:creationId xmlns:a16="http://schemas.microsoft.com/office/drawing/2014/main" id="{F4029FBD-39F4-4FA7-B15A-A309ADC20B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80AFC8D" w14:textId="29B8C8D6" w:rsidR="001B0DB8" w:rsidRPr="00A77AF6" w:rsidRDefault="001B0DB8" w:rsidP="001B0DB8">
      <w:pPr>
        <w:pStyle w:val="Caption"/>
      </w:pPr>
      <w:bookmarkStart w:id="153" w:name="_Toc36186978"/>
      <w:r w:rsidRPr="00A77AF6">
        <w:t xml:space="preserve">Figure </w:t>
      </w:r>
      <w:fldSimple w:instr=" STYLEREF 1 \s ">
        <w:r w:rsidR="000441F7">
          <w:rPr>
            <w:noProof/>
          </w:rPr>
          <w:t>6</w:t>
        </w:r>
      </w:fldSimple>
      <w:r w:rsidR="00BA5DC4">
        <w:noBreakHyphen/>
      </w:r>
      <w:fldSimple w:instr=" SEQ Figure \* ARABIC \s 1 ">
        <w:r w:rsidR="000441F7">
          <w:rPr>
            <w:noProof/>
          </w:rPr>
          <w:t>2</w:t>
        </w:r>
      </w:fldSimple>
      <w:r w:rsidRPr="00A77AF6">
        <w:t>: Correlation of ethical predisposition and iron triangle success</w:t>
      </w:r>
      <w:bookmarkEnd w:id="153"/>
    </w:p>
    <w:p w14:paraId="0DB1A638" w14:textId="79CF9C1D" w:rsidR="005275A4" w:rsidRPr="00A77AF6" w:rsidRDefault="001B0DB8" w:rsidP="004912EA">
      <w:pPr>
        <w:spacing w:after="240" w:line="360" w:lineRule="auto"/>
      </w:pPr>
      <w:r w:rsidRPr="00A77AF6">
        <w:t>R-squared shows that the coefficient of determination is low (Table 6-14) so approximately 0.2% of the variation in project success is due to ethical predisposition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×100). </m:t>
        </m:r>
      </m:oMath>
      <w:r w:rsidRPr="00A77AF6">
        <w:t xml:space="preserve">  The P value indicates that there is a 0.3% likelihood that the results happened by chance </w:t>
      </w:r>
      <m:oMath>
        <m:r>
          <w:rPr>
            <w:rFonts w:ascii="Cambria Math" w:hAnsi="Cambria Math"/>
          </w:rPr>
          <m:t>(1-P×100</m:t>
        </m:r>
      </m:oMath>
      <w:r w:rsidRPr="00A77AF6">
        <w:t xml:space="preserve">).  There is 95% confidence that the correlation coefficient (r) lies between -0.126 and 0. 6774.  Results indicate that  there is a very weak relationship between project governance and iron triangle success.  </w:t>
      </w:r>
      <w:r w:rsidRPr="00A77AF6">
        <w:rPr>
          <w:rFonts w:eastAsiaTheme="minorEastAsia"/>
        </w:rPr>
        <w:t xml:space="preserve">The P value suggests that it is unlikely that </w:t>
      </w:r>
      <w:r w:rsidRPr="00A77AF6">
        <w:t xml:space="preserve">this result happened by chance </w:t>
      </w:r>
      <w:r w:rsidRPr="00A77AF6">
        <w:lastRenderedPageBreak/>
        <w:t xml:space="preserve">(0.3%), calculated as </w:t>
      </w:r>
      <m:oMath>
        <m:r>
          <m:rPr>
            <m:sty m:val="p"/>
          </m:rPr>
          <w:rPr>
            <w:rFonts w:ascii="Cambria Math" w:eastAsiaTheme="minorEastAsia" w:hAnsi="Cambria Math"/>
          </w:rPr>
          <m:t>.</m:t>
        </m:r>
      </m:oMath>
      <w:r w:rsidRPr="00A77AF6">
        <w:rPr>
          <w:rFonts w:eastAsiaTheme="minorEastAsia"/>
        </w:rPr>
        <w:t xml:space="preserve"> </w:t>
      </w:r>
      <w:r w:rsidRPr="00A77AF6">
        <w:t xml:space="preserve">There is 95% confidence that the correlation coefficient (r) lies between 0.134 and 0.276  </w:t>
      </w:r>
    </w:p>
    <w:p w14:paraId="5B5085E9" w14:textId="5EAE7D14" w:rsidR="00804112" w:rsidRDefault="00804112" w:rsidP="00E42E89">
      <w:pPr>
        <w:pStyle w:val="Caption"/>
        <w:keepNext/>
        <w:spacing w:after="120"/>
      </w:pPr>
      <w:r>
        <w:t xml:space="preserve">Table </w:t>
      </w:r>
      <w:fldSimple w:instr=" STYLEREF 1 \s ">
        <w:r w:rsidR="000441F7">
          <w:rPr>
            <w:noProof/>
          </w:rPr>
          <w:t>6</w:t>
        </w:r>
      </w:fldSimple>
      <w:r>
        <w:noBreakHyphen/>
      </w:r>
      <w:fldSimple w:instr=" SEQ Table \* ARABIC \s 1 ">
        <w:r w:rsidR="000441F7">
          <w:rPr>
            <w:noProof/>
          </w:rPr>
          <w:t>14</w:t>
        </w:r>
      </w:fldSimple>
      <w:r>
        <w:t xml:space="preserve">: </w:t>
      </w:r>
      <w:r w:rsidRPr="00BE4204">
        <w:t xml:space="preserve">Correlation of ethical predisposition and </w:t>
      </w:r>
      <w:r w:rsidR="00770AC0">
        <w:t>iron triangle</w:t>
      </w:r>
    </w:p>
    <w:tbl>
      <w:tblPr>
        <w:tblStyle w:val="TableGrid"/>
        <w:tblW w:w="8075" w:type="dxa"/>
        <w:tblLayout w:type="fixed"/>
        <w:tblLook w:val="04A0" w:firstRow="1" w:lastRow="0" w:firstColumn="1" w:lastColumn="0" w:noHBand="0" w:noVBand="1"/>
      </w:tblPr>
      <w:tblGrid>
        <w:gridCol w:w="2122"/>
        <w:gridCol w:w="993"/>
        <w:gridCol w:w="850"/>
        <w:gridCol w:w="1133"/>
        <w:gridCol w:w="1134"/>
        <w:gridCol w:w="1843"/>
      </w:tblGrid>
      <w:tr w:rsidR="001B0DB8" w:rsidRPr="00A77AF6" w14:paraId="2AB6F97A" w14:textId="77777777" w:rsidTr="008C3A13">
        <w:trPr>
          <w:trHeight w:val="595"/>
        </w:trPr>
        <w:tc>
          <w:tcPr>
            <w:tcW w:w="2122" w:type="dxa"/>
            <w:shd w:val="clear" w:color="auto" w:fill="F2F2F2" w:themeFill="background1" w:themeFillShade="F2"/>
          </w:tcPr>
          <w:p w14:paraId="57C15E82" w14:textId="77777777" w:rsidR="001B0DB8" w:rsidRPr="00A77AF6" w:rsidRDefault="001B0DB8" w:rsidP="008C3A13">
            <w:pPr>
              <w:rPr>
                <w:b/>
                <w:bCs/>
                <w:sz w:val="20"/>
                <w:szCs w:val="20"/>
              </w:rPr>
            </w:pPr>
          </w:p>
        </w:tc>
        <w:tc>
          <w:tcPr>
            <w:tcW w:w="993" w:type="dxa"/>
            <w:shd w:val="clear" w:color="auto" w:fill="F2F2F2" w:themeFill="background1" w:themeFillShade="F2"/>
          </w:tcPr>
          <w:p w14:paraId="305388DB" w14:textId="77777777" w:rsidR="001B0DB8" w:rsidRPr="00A77AF6" w:rsidRDefault="001B0DB8" w:rsidP="008C3A13">
            <w:pPr>
              <w:rPr>
                <w:b/>
                <w:bCs/>
                <w:sz w:val="20"/>
                <w:szCs w:val="20"/>
              </w:rPr>
            </w:pPr>
            <w:r w:rsidRPr="00A77AF6">
              <w:rPr>
                <w:b/>
                <w:bCs/>
                <w:sz w:val="20"/>
                <w:szCs w:val="20"/>
              </w:rPr>
              <w:t>r</w:t>
            </w:r>
          </w:p>
        </w:tc>
        <w:tc>
          <w:tcPr>
            <w:tcW w:w="850" w:type="dxa"/>
            <w:shd w:val="clear" w:color="auto" w:fill="F2F2F2" w:themeFill="background1" w:themeFillShade="F2"/>
          </w:tcPr>
          <w:p w14:paraId="0FB5F50E" w14:textId="77777777" w:rsidR="001B0DB8" w:rsidRPr="00A77AF6" w:rsidRDefault="001B0DB8" w:rsidP="008C3A13">
            <w:pPr>
              <w:rPr>
                <w:b/>
                <w:bCs/>
                <w:sz w:val="20"/>
                <w:szCs w:val="20"/>
              </w:rPr>
            </w:pPr>
            <w:r w:rsidRPr="00A77AF6">
              <w:rPr>
                <w:b/>
                <w:bCs/>
                <w:sz w:val="20"/>
                <w:szCs w:val="20"/>
              </w:rPr>
              <w:t>r</w:t>
            </w:r>
            <w:r w:rsidRPr="00A77AF6">
              <w:rPr>
                <w:b/>
                <w:bCs/>
                <w:sz w:val="20"/>
                <w:szCs w:val="20"/>
                <w:vertAlign w:val="superscript"/>
              </w:rPr>
              <w:t>2</w:t>
            </w:r>
          </w:p>
        </w:tc>
        <w:tc>
          <w:tcPr>
            <w:tcW w:w="1133" w:type="dxa"/>
            <w:shd w:val="clear" w:color="auto" w:fill="F2F2F2" w:themeFill="background1" w:themeFillShade="F2"/>
          </w:tcPr>
          <w:p w14:paraId="5286D61A" w14:textId="77777777" w:rsidR="001B0DB8" w:rsidRPr="00A77AF6" w:rsidRDefault="001B0DB8" w:rsidP="008C3A13">
            <w:pPr>
              <w:rPr>
                <w:sz w:val="20"/>
                <w:szCs w:val="20"/>
              </w:rPr>
            </w:pPr>
            <w:r w:rsidRPr="00A77AF6">
              <w:rPr>
                <w:b/>
                <w:bCs/>
                <w:sz w:val="20"/>
                <w:szCs w:val="20"/>
              </w:rPr>
              <w:t>Probability (P)</w:t>
            </w:r>
          </w:p>
        </w:tc>
        <w:tc>
          <w:tcPr>
            <w:tcW w:w="1134" w:type="dxa"/>
            <w:shd w:val="clear" w:color="auto" w:fill="F2F2F2" w:themeFill="background1" w:themeFillShade="F2"/>
          </w:tcPr>
          <w:p w14:paraId="19D0903E" w14:textId="77777777" w:rsidR="001B0DB8" w:rsidRPr="00A77AF6" w:rsidRDefault="001B0DB8" w:rsidP="008C3A13">
            <w:pPr>
              <w:rPr>
                <w:b/>
                <w:bCs/>
                <w:sz w:val="20"/>
                <w:szCs w:val="20"/>
              </w:rPr>
            </w:pPr>
            <w:r w:rsidRPr="00A77AF6">
              <w:rPr>
                <w:b/>
                <w:bCs/>
                <w:sz w:val="20"/>
                <w:szCs w:val="20"/>
              </w:rPr>
              <w:t>Standard deviation</w:t>
            </w:r>
          </w:p>
        </w:tc>
        <w:tc>
          <w:tcPr>
            <w:tcW w:w="1843" w:type="dxa"/>
            <w:shd w:val="clear" w:color="auto" w:fill="F2F2F2" w:themeFill="background1" w:themeFillShade="F2"/>
          </w:tcPr>
          <w:p w14:paraId="713A6A78" w14:textId="77777777" w:rsidR="001B0DB8" w:rsidRPr="00A77AF6" w:rsidRDefault="001B0DB8" w:rsidP="008C3A13">
            <w:pPr>
              <w:rPr>
                <w:b/>
                <w:bCs/>
                <w:sz w:val="20"/>
                <w:szCs w:val="20"/>
              </w:rPr>
            </w:pPr>
            <w:r w:rsidRPr="00A77AF6">
              <w:rPr>
                <w:b/>
                <w:bCs/>
                <w:sz w:val="20"/>
                <w:szCs w:val="20"/>
              </w:rPr>
              <w:t xml:space="preserve">Confidence in r </w:t>
            </w:r>
          </w:p>
          <w:p w14:paraId="69137687" w14:textId="77777777" w:rsidR="001B0DB8" w:rsidRPr="00A77AF6" w:rsidRDefault="001B0DB8" w:rsidP="008C3A13">
            <w:pPr>
              <w:rPr>
                <w:b/>
                <w:bCs/>
                <w:sz w:val="20"/>
                <w:szCs w:val="20"/>
              </w:rPr>
            </w:pPr>
            <w:r w:rsidRPr="00A77AF6">
              <w:rPr>
                <w:b/>
                <w:bCs/>
                <w:sz w:val="20"/>
                <w:szCs w:val="20"/>
              </w:rPr>
              <w:t>95%</w:t>
            </w:r>
          </w:p>
        </w:tc>
      </w:tr>
      <w:tr w:rsidR="001B0DB8" w:rsidRPr="00A77AF6" w14:paraId="48100812" w14:textId="77777777" w:rsidTr="008C3A13">
        <w:tc>
          <w:tcPr>
            <w:tcW w:w="2122" w:type="dxa"/>
          </w:tcPr>
          <w:p w14:paraId="488D8E64" w14:textId="77777777" w:rsidR="001B0DB8" w:rsidRPr="00A77AF6" w:rsidRDefault="001B0DB8" w:rsidP="008C3A13">
            <w:pPr>
              <w:rPr>
                <w:rFonts w:cstheme="minorHAnsi"/>
                <w:sz w:val="20"/>
                <w:szCs w:val="20"/>
              </w:rPr>
            </w:pPr>
            <w:r w:rsidRPr="00A77AF6">
              <w:rPr>
                <w:rFonts w:cstheme="minorHAnsi"/>
                <w:sz w:val="20"/>
                <w:szCs w:val="20"/>
              </w:rPr>
              <w:t xml:space="preserve">Ethical predisposition  and iron triangle  </w:t>
            </w:r>
          </w:p>
          <w:p w14:paraId="799C80B2" w14:textId="77777777" w:rsidR="001B0DB8" w:rsidRPr="00A77AF6" w:rsidRDefault="001B0DB8" w:rsidP="008C3A13">
            <w:pPr>
              <w:rPr>
                <w:rFonts w:cstheme="minorHAnsi"/>
                <w:sz w:val="20"/>
                <w:szCs w:val="20"/>
              </w:rPr>
            </w:pPr>
            <w:r w:rsidRPr="00A77AF6">
              <w:rPr>
                <w:rFonts w:cstheme="minorHAnsi"/>
                <w:sz w:val="20"/>
                <w:szCs w:val="20"/>
              </w:rPr>
              <w:t>(n=11)</w:t>
            </w:r>
          </w:p>
        </w:tc>
        <w:tc>
          <w:tcPr>
            <w:tcW w:w="993" w:type="dxa"/>
          </w:tcPr>
          <w:p w14:paraId="04021BDD" w14:textId="77777777" w:rsidR="001B0DB8" w:rsidRPr="00A77AF6" w:rsidRDefault="001B0DB8" w:rsidP="008C3A13">
            <w:pPr>
              <w:rPr>
                <w:rFonts w:cstheme="minorHAnsi"/>
                <w:sz w:val="20"/>
                <w:szCs w:val="20"/>
              </w:rPr>
            </w:pPr>
            <w:r w:rsidRPr="00A77AF6">
              <w:rPr>
                <w:rFonts w:cstheme="minorHAnsi"/>
                <w:sz w:val="20"/>
                <w:szCs w:val="20"/>
              </w:rPr>
              <w:t>0.04</w:t>
            </w:r>
          </w:p>
        </w:tc>
        <w:tc>
          <w:tcPr>
            <w:tcW w:w="850" w:type="dxa"/>
          </w:tcPr>
          <w:p w14:paraId="5FF38FAD" w14:textId="77777777" w:rsidR="001B0DB8" w:rsidRPr="00A77AF6" w:rsidRDefault="001B0DB8" w:rsidP="008C3A13">
            <w:pPr>
              <w:rPr>
                <w:rFonts w:cstheme="minorHAnsi"/>
                <w:sz w:val="20"/>
                <w:szCs w:val="20"/>
              </w:rPr>
            </w:pPr>
            <w:r w:rsidRPr="00A77AF6">
              <w:rPr>
                <w:rFonts w:cstheme="minorHAnsi"/>
                <w:sz w:val="20"/>
                <w:szCs w:val="20"/>
              </w:rPr>
              <w:t>0.002</w:t>
            </w:r>
          </w:p>
          <w:p w14:paraId="1DDBC800" w14:textId="77777777" w:rsidR="001B0DB8" w:rsidRPr="00A77AF6" w:rsidRDefault="001B0DB8" w:rsidP="008C3A13">
            <w:pPr>
              <w:rPr>
                <w:rFonts w:cstheme="minorHAnsi"/>
                <w:sz w:val="20"/>
                <w:szCs w:val="20"/>
              </w:rPr>
            </w:pPr>
          </w:p>
          <w:p w14:paraId="13946DE9" w14:textId="77777777" w:rsidR="001B0DB8" w:rsidRPr="00A77AF6" w:rsidRDefault="001B0DB8" w:rsidP="008C3A13">
            <w:pPr>
              <w:rPr>
                <w:rFonts w:cstheme="minorHAnsi"/>
                <w:sz w:val="20"/>
                <w:szCs w:val="20"/>
              </w:rPr>
            </w:pPr>
          </w:p>
        </w:tc>
        <w:tc>
          <w:tcPr>
            <w:tcW w:w="1133" w:type="dxa"/>
          </w:tcPr>
          <w:p w14:paraId="4049492E" w14:textId="77777777" w:rsidR="001B0DB8" w:rsidRPr="00A77AF6" w:rsidRDefault="001B0DB8" w:rsidP="008C3A13">
            <w:pPr>
              <w:rPr>
                <w:rFonts w:cstheme="minorHAnsi"/>
                <w:sz w:val="20"/>
                <w:szCs w:val="20"/>
              </w:rPr>
            </w:pPr>
            <w:r w:rsidRPr="00A77AF6">
              <w:rPr>
                <w:rFonts w:cstheme="minorHAnsi"/>
                <w:sz w:val="20"/>
                <w:szCs w:val="20"/>
              </w:rPr>
              <w:t>0.997</w:t>
            </w:r>
          </w:p>
        </w:tc>
        <w:tc>
          <w:tcPr>
            <w:tcW w:w="1134" w:type="dxa"/>
          </w:tcPr>
          <w:p w14:paraId="568932C4" w14:textId="77777777" w:rsidR="001B0DB8" w:rsidRPr="00A77AF6" w:rsidRDefault="001B0DB8" w:rsidP="008C3A13">
            <w:pPr>
              <w:rPr>
                <w:rFonts w:cstheme="minorHAnsi"/>
                <w:sz w:val="20"/>
                <w:szCs w:val="20"/>
              </w:rPr>
            </w:pPr>
            <w:r w:rsidRPr="00A77AF6">
              <w:rPr>
                <w:rFonts w:cstheme="minorHAnsi"/>
                <w:sz w:val="20"/>
                <w:szCs w:val="20"/>
              </w:rPr>
              <w:t>0.143</w:t>
            </w:r>
          </w:p>
        </w:tc>
        <w:tc>
          <w:tcPr>
            <w:tcW w:w="1843" w:type="dxa"/>
          </w:tcPr>
          <w:p w14:paraId="260623F2" w14:textId="77777777" w:rsidR="005275A4" w:rsidRPr="00A77AF6" w:rsidRDefault="001B0DB8" w:rsidP="008C3A13">
            <w:pPr>
              <w:rPr>
                <w:rFonts w:cstheme="minorHAnsi"/>
                <w:sz w:val="20"/>
                <w:szCs w:val="20"/>
              </w:rPr>
            </w:pPr>
            <w:r w:rsidRPr="00A77AF6">
              <w:rPr>
                <w:rFonts w:cstheme="minorHAnsi"/>
                <w:sz w:val="20"/>
                <w:szCs w:val="20"/>
              </w:rPr>
              <w:t>95% confidence that r is between</w:t>
            </w:r>
          </w:p>
          <w:p w14:paraId="30ADA503" w14:textId="70DA9D3D" w:rsidR="001B0DB8" w:rsidRDefault="001B0DB8" w:rsidP="008C3A13">
            <w:pPr>
              <w:rPr>
                <w:rFonts w:cstheme="minorHAnsi"/>
                <w:sz w:val="20"/>
                <w:szCs w:val="20"/>
              </w:rPr>
            </w:pPr>
            <w:r w:rsidRPr="00A77AF6">
              <w:rPr>
                <w:rFonts w:cstheme="minorHAnsi"/>
                <w:sz w:val="20"/>
                <w:szCs w:val="20"/>
              </w:rPr>
              <w:t xml:space="preserve"> -0.126 and 0.67</w:t>
            </w:r>
            <w:r w:rsidR="00770AC0">
              <w:rPr>
                <w:rFonts w:cstheme="minorHAnsi"/>
                <w:sz w:val="20"/>
                <w:szCs w:val="20"/>
              </w:rPr>
              <w:t>7</w:t>
            </w:r>
            <w:r w:rsidRPr="00A77AF6">
              <w:rPr>
                <w:rFonts w:cstheme="minorHAnsi"/>
                <w:sz w:val="20"/>
                <w:szCs w:val="20"/>
              </w:rPr>
              <w:t>4</w:t>
            </w:r>
          </w:p>
          <w:p w14:paraId="686D66DD" w14:textId="46F49965" w:rsidR="00942A69" w:rsidRPr="00A77AF6" w:rsidRDefault="00942A69" w:rsidP="008C3A13">
            <w:pPr>
              <w:rPr>
                <w:rFonts w:cstheme="minorHAnsi"/>
                <w:sz w:val="20"/>
                <w:szCs w:val="20"/>
              </w:rPr>
            </w:pPr>
          </w:p>
        </w:tc>
      </w:tr>
    </w:tbl>
    <w:p w14:paraId="2A1287F0" w14:textId="7F015ABD" w:rsidR="002F441E" w:rsidRDefault="002F441E" w:rsidP="001B0DB8">
      <w:pPr>
        <w:spacing w:line="360" w:lineRule="auto"/>
      </w:pPr>
    </w:p>
    <w:p w14:paraId="0B818542" w14:textId="77777777" w:rsidR="002F441E" w:rsidRPr="00A77AF6" w:rsidRDefault="002F441E" w:rsidP="00770AC0">
      <w:pPr>
        <w:pStyle w:val="Heading3"/>
        <w:spacing w:before="0" w:line="360" w:lineRule="auto"/>
      </w:pPr>
      <w:bookmarkStart w:id="154" w:name="_Toc36275122"/>
      <w:r w:rsidRPr="00A77AF6">
        <w:t>Correlation of ethical predisposition and project success score (n=51)</w:t>
      </w:r>
      <w:bookmarkEnd w:id="154"/>
    </w:p>
    <w:p w14:paraId="77FE2E1E" w14:textId="7B03D06A" w:rsidR="002F441E" w:rsidRDefault="002F441E" w:rsidP="00770AC0">
      <w:pPr>
        <w:spacing w:after="240" w:line="360" w:lineRule="auto"/>
      </w:pPr>
      <w:r w:rsidRPr="00A77AF6">
        <w:t>A weak correlation (r=0.15) was identified between ethical predisposition and project success score (Figure 6-3 and Table 6-15). R-squared shows that the coefficient of determination is low; this result suggests that 2.26% of the variation in success can be explained by ethical predisposition</w:t>
      </w:r>
      <w:r w:rsidR="0027240D">
        <w:t xml:space="preserve"> </w:t>
      </w:r>
      <w:r w:rsidR="0027240D" w:rsidRPr="00A77AF6">
        <w:t>(</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×100).</m:t>
        </m:r>
      </m:oMath>
      <w:r w:rsidRPr="00A77AF6">
        <w:t xml:space="preserve">  </w:t>
      </w:r>
      <w:r w:rsidR="0027240D" w:rsidRPr="00D145F2">
        <w:t>The P value indicates that there is an 14% probability that the results were achieved by chance</w:t>
      </w:r>
      <w:r w:rsidR="00770AC0">
        <w:t xml:space="preserve"> </w:t>
      </w:r>
      <m:oMath>
        <m:r>
          <w:rPr>
            <w:rFonts w:ascii="Cambria Math" w:hAnsi="Cambria Math"/>
          </w:rPr>
          <m:t>(1-P×100</m:t>
        </m:r>
      </m:oMath>
      <w:r w:rsidR="00770AC0" w:rsidRPr="00A77AF6">
        <w:t>)</w:t>
      </w:r>
      <w:r w:rsidR="0027240D" w:rsidRPr="00D145F2">
        <w:t xml:space="preserve">, so the result is not significant.  </w:t>
      </w:r>
      <w:r w:rsidRPr="00D145F2">
        <w:t xml:space="preserve">There is 95% confidence that the correlation </w:t>
      </w:r>
      <w:r w:rsidR="00D145F2" w:rsidRPr="00D145F2">
        <w:t>coefficient (r)</w:t>
      </w:r>
      <w:r w:rsidRPr="00D145F2">
        <w:t xml:space="preserve"> lies between -0.1267 and 0.4267.</w:t>
      </w:r>
      <w:r w:rsidRPr="00A77AF6">
        <w:t xml:space="preserve">  </w:t>
      </w:r>
    </w:p>
    <w:p w14:paraId="68AE5856" w14:textId="77777777" w:rsidR="00BA5DC4" w:rsidRDefault="002F441E" w:rsidP="00BA5DC4">
      <w:pPr>
        <w:keepNext/>
        <w:spacing w:after="0" w:line="360" w:lineRule="auto"/>
      </w:pPr>
      <w:r w:rsidRPr="00A77AF6">
        <w:rPr>
          <w:noProof/>
        </w:rPr>
        <w:drawing>
          <wp:inline distT="0" distB="0" distL="0" distR="0" wp14:anchorId="64F61A51" wp14:editId="505C740F">
            <wp:extent cx="4572000" cy="2743200"/>
            <wp:effectExtent l="0" t="0" r="0" b="0"/>
            <wp:docPr id="3" name="Chart 3">
              <a:extLst xmlns:a="http://schemas.openxmlformats.org/drawingml/2006/main">
                <a:ext uri="{FF2B5EF4-FFF2-40B4-BE49-F238E27FC236}">
                  <a16:creationId xmlns:a16="http://schemas.microsoft.com/office/drawing/2014/main" id="{96871C51-D533-4085-BB30-11AB0D6A31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D3C23DD" w14:textId="31B5D2BB" w:rsidR="002F441E" w:rsidRPr="00A77AF6" w:rsidRDefault="00BA5DC4" w:rsidP="00BA5DC4">
      <w:pPr>
        <w:pStyle w:val="Caption"/>
      </w:pPr>
      <w:bookmarkStart w:id="155" w:name="_Toc36186979"/>
      <w:r>
        <w:t xml:space="preserve">Figure </w:t>
      </w:r>
      <w:fldSimple w:instr=" STYLEREF 1 \s ">
        <w:r w:rsidR="000441F7">
          <w:rPr>
            <w:noProof/>
          </w:rPr>
          <w:t>6</w:t>
        </w:r>
      </w:fldSimple>
      <w:r>
        <w:noBreakHyphen/>
      </w:r>
      <w:fldSimple w:instr=" SEQ Figure \* ARABIC \s 1 ">
        <w:r w:rsidR="000441F7">
          <w:rPr>
            <w:noProof/>
          </w:rPr>
          <w:t>3</w:t>
        </w:r>
      </w:fldSimple>
      <w:r>
        <w:t xml:space="preserve">: </w:t>
      </w:r>
      <w:r w:rsidRPr="00C771EC">
        <w:t>Correlation of ethical predisposition and project success score</w:t>
      </w:r>
      <w:bookmarkEnd w:id="155"/>
    </w:p>
    <w:p w14:paraId="060F8C86" w14:textId="77777777" w:rsidR="00770AC0" w:rsidRDefault="00770AC0" w:rsidP="002F441E">
      <w:pPr>
        <w:pStyle w:val="Caption"/>
        <w:keepNext/>
        <w:spacing w:after="120"/>
      </w:pPr>
    </w:p>
    <w:p w14:paraId="75FDD03B" w14:textId="47C70B81" w:rsidR="002F441E" w:rsidRPr="00A77AF6" w:rsidRDefault="002F441E" w:rsidP="002F441E">
      <w:pPr>
        <w:pStyle w:val="Caption"/>
        <w:keepNext/>
        <w:spacing w:after="120"/>
      </w:pPr>
      <w:r w:rsidRPr="00A77AF6">
        <w:t xml:space="preserve">Table </w:t>
      </w:r>
      <w:fldSimple w:instr=" STYLEREF 1 \s ">
        <w:r w:rsidR="000441F7">
          <w:rPr>
            <w:noProof/>
          </w:rPr>
          <w:t>6</w:t>
        </w:r>
      </w:fldSimple>
      <w:r w:rsidR="00804112">
        <w:noBreakHyphen/>
      </w:r>
      <w:fldSimple w:instr=" SEQ Table \* ARABIC \s 1 ">
        <w:r w:rsidR="000441F7">
          <w:rPr>
            <w:noProof/>
          </w:rPr>
          <w:t>15</w:t>
        </w:r>
      </w:fldSimple>
      <w:r w:rsidRPr="00A77AF6">
        <w:t>: Correlation of ethical predisposition and project success score</w:t>
      </w:r>
    </w:p>
    <w:tbl>
      <w:tblPr>
        <w:tblStyle w:val="TableGrid"/>
        <w:tblW w:w="8075" w:type="dxa"/>
        <w:tblLayout w:type="fixed"/>
        <w:tblLook w:val="04A0" w:firstRow="1" w:lastRow="0" w:firstColumn="1" w:lastColumn="0" w:noHBand="0" w:noVBand="1"/>
      </w:tblPr>
      <w:tblGrid>
        <w:gridCol w:w="2122"/>
        <w:gridCol w:w="993"/>
        <w:gridCol w:w="850"/>
        <w:gridCol w:w="1133"/>
        <w:gridCol w:w="1134"/>
        <w:gridCol w:w="1843"/>
      </w:tblGrid>
      <w:tr w:rsidR="002F441E" w:rsidRPr="00A77AF6" w14:paraId="1CF804A5" w14:textId="77777777" w:rsidTr="00676F46">
        <w:trPr>
          <w:trHeight w:val="595"/>
        </w:trPr>
        <w:tc>
          <w:tcPr>
            <w:tcW w:w="2122" w:type="dxa"/>
            <w:shd w:val="clear" w:color="auto" w:fill="F2F2F2" w:themeFill="background1" w:themeFillShade="F2"/>
          </w:tcPr>
          <w:p w14:paraId="252A5A27" w14:textId="77777777" w:rsidR="002F441E" w:rsidRPr="00A77AF6" w:rsidRDefault="002F441E" w:rsidP="00676F46">
            <w:pPr>
              <w:rPr>
                <w:b/>
                <w:bCs/>
                <w:sz w:val="20"/>
                <w:szCs w:val="20"/>
              </w:rPr>
            </w:pPr>
          </w:p>
        </w:tc>
        <w:tc>
          <w:tcPr>
            <w:tcW w:w="993" w:type="dxa"/>
            <w:shd w:val="clear" w:color="auto" w:fill="F2F2F2" w:themeFill="background1" w:themeFillShade="F2"/>
          </w:tcPr>
          <w:p w14:paraId="64D1413D" w14:textId="77777777" w:rsidR="002F441E" w:rsidRPr="00A77AF6" w:rsidRDefault="002F441E" w:rsidP="00676F46">
            <w:pPr>
              <w:rPr>
                <w:b/>
                <w:bCs/>
                <w:sz w:val="20"/>
                <w:szCs w:val="20"/>
              </w:rPr>
            </w:pPr>
            <w:r w:rsidRPr="00A77AF6">
              <w:rPr>
                <w:b/>
                <w:bCs/>
                <w:sz w:val="20"/>
                <w:szCs w:val="20"/>
              </w:rPr>
              <w:t>r</w:t>
            </w:r>
          </w:p>
        </w:tc>
        <w:tc>
          <w:tcPr>
            <w:tcW w:w="850" w:type="dxa"/>
            <w:shd w:val="clear" w:color="auto" w:fill="F2F2F2" w:themeFill="background1" w:themeFillShade="F2"/>
          </w:tcPr>
          <w:p w14:paraId="4AC0AE68" w14:textId="77777777" w:rsidR="002F441E" w:rsidRPr="00A77AF6" w:rsidRDefault="002F441E" w:rsidP="00676F46">
            <w:pPr>
              <w:rPr>
                <w:b/>
                <w:bCs/>
                <w:sz w:val="20"/>
                <w:szCs w:val="20"/>
              </w:rPr>
            </w:pPr>
            <w:r w:rsidRPr="00A77AF6">
              <w:rPr>
                <w:b/>
                <w:bCs/>
                <w:sz w:val="20"/>
                <w:szCs w:val="20"/>
              </w:rPr>
              <w:t>r</w:t>
            </w:r>
            <w:r w:rsidRPr="00A77AF6">
              <w:rPr>
                <w:b/>
                <w:bCs/>
                <w:sz w:val="20"/>
                <w:szCs w:val="20"/>
                <w:vertAlign w:val="superscript"/>
              </w:rPr>
              <w:t>2</w:t>
            </w:r>
          </w:p>
        </w:tc>
        <w:tc>
          <w:tcPr>
            <w:tcW w:w="1133" w:type="dxa"/>
            <w:shd w:val="clear" w:color="auto" w:fill="F2F2F2" w:themeFill="background1" w:themeFillShade="F2"/>
          </w:tcPr>
          <w:p w14:paraId="5CEF9F2D" w14:textId="77777777" w:rsidR="002F441E" w:rsidRPr="00A77AF6" w:rsidRDefault="002F441E" w:rsidP="00676F46">
            <w:pPr>
              <w:rPr>
                <w:sz w:val="20"/>
                <w:szCs w:val="20"/>
              </w:rPr>
            </w:pPr>
            <w:r w:rsidRPr="00A77AF6">
              <w:rPr>
                <w:b/>
                <w:bCs/>
                <w:sz w:val="20"/>
                <w:szCs w:val="20"/>
              </w:rPr>
              <w:t>Probability (P)</w:t>
            </w:r>
          </w:p>
        </w:tc>
        <w:tc>
          <w:tcPr>
            <w:tcW w:w="1134" w:type="dxa"/>
            <w:shd w:val="clear" w:color="auto" w:fill="F2F2F2" w:themeFill="background1" w:themeFillShade="F2"/>
          </w:tcPr>
          <w:p w14:paraId="6FBA618E" w14:textId="77777777" w:rsidR="002F441E" w:rsidRPr="00A77AF6" w:rsidRDefault="002F441E" w:rsidP="00676F46">
            <w:pPr>
              <w:rPr>
                <w:b/>
                <w:bCs/>
                <w:sz w:val="20"/>
                <w:szCs w:val="20"/>
              </w:rPr>
            </w:pPr>
            <w:r w:rsidRPr="00A77AF6">
              <w:rPr>
                <w:b/>
                <w:bCs/>
                <w:sz w:val="20"/>
                <w:szCs w:val="20"/>
              </w:rPr>
              <w:t>Standard deviation</w:t>
            </w:r>
          </w:p>
        </w:tc>
        <w:tc>
          <w:tcPr>
            <w:tcW w:w="1843" w:type="dxa"/>
            <w:shd w:val="clear" w:color="auto" w:fill="F2F2F2" w:themeFill="background1" w:themeFillShade="F2"/>
          </w:tcPr>
          <w:p w14:paraId="5C3D671E" w14:textId="77777777" w:rsidR="002F441E" w:rsidRPr="00A77AF6" w:rsidRDefault="002F441E" w:rsidP="00676F46">
            <w:pPr>
              <w:rPr>
                <w:b/>
                <w:bCs/>
                <w:sz w:val="20"/>
                <w:szCs w:val="20"/>
              </w:rPr>
            </w:pPr>
            <w:r w:rsidRPr="00A77AF6">
              <w:rPr>
                <w:b/>
                <w:bCs/>
                <w:sz w:val="20"/>
                <w:szCs w:val="20"/>
              </w:rPr>
              <w:t xml:space="preserve">Confidence in r </w:t>
            </w:r>
          </w:p>
          <w:p w14:paraId="3AA9BE58" w14:textId="77777777" w:rsidR="002F441E" w:rsidRPr="00A77AF6" w:rsidRDefault="002F441E" w:rsidP="00676F46">
            <w:pPr>
              <w:rPr>
                <w:b/>
                <w:bCs/>
                <w:sz w:val="20"/>
                <w:szCs w:val="20"/>
              </w:rPr>
            </w:pPr>
            <w:r w:rsidRPr="00A77AF6">
              <w:rPr>
                <w:b/>
                <w:bCs/>
                <w:sz w:val="20"/>
                <w:szCs w:val="20"/>
              </w:rPr>
              <w:t>95%</w:t>
            </w:r>
          </w:p>
        </w:tc>
      </w:tr>
      <w:tr w:rsidR="002F441E" w:rsidRPr="00A77AF6" w14:paraId="724BE752" w14:textId="77777777" w:rsidTr="00676F46">
        <w:tc>
          <w:tcPr>
            <w:tcW w:w="2122" w:type="dxa"/>
          </w:tcPr>
          <w:p w14:paraId="71D6FD23" w14:textId="77777777" w:rsidR="002F441E" w:rsidRPr="00A77AF6" w:rsidRDefault="002F441E" w:rsidP="00676F46">
            <w:pPr>
              <w:rPr>
                <w:rFonts w:cstheme="minorHAnsi"/>
                <w:sz w:val="20"/>
                <w:szCs w:val="20"/>
              </w:rPr>
            </w:pPr>
            <w:r w:rsidRPr="00A77AF6">
              <w:rPr>
                <w:rFonts w:cstheme="minorHAnsi"/>
                <w:sz w:val="20"/>
                <w:szCs w:val="20"/>
              </w:rPr>
              <w:t xml:space="preserve">Ethical predisposition  and [project success  </w:t>
            </w:r>
          </w:p>
          <w:p w14:paraId="5FBA27B1" w14:textId="77777777" w:rsidR="002F441E" w:rsidRPr="00A77AF6" w:rsidRDefault="002F441E" w:rsidP="00676F46">
            <w:pPr>
              <w:rPr>
                <w:rFonts w:cstheme="minorHAnsi"/>
                <w:sz w:val="20"/>
                <w:szCs w:val="20"/>
              </w:rPr>
            </w:pPr>
            <w:r w:rsidRPr="00A77AF6">
              <w:rPr>
                <w:rFonts w:cstheme="minorHAnsi"/>
                <w:sz w:val="20"/>
                <w:szCs w:val="20"/>
              </w:rPr>
              <w:t>(n=51)</w:t>
            </w:r>
          </w:p>
        </w:tc>
        <w:tc>
          <w:tcPr>
            <w:tcW w:w="993" w:type="dxa"/>
          </w:tcPr>
          <w:p w14:paraId="0391946F" w14:textId="77777777" w:rsidR="002F441E" w:rsidRPr="00A77AF6" w:rsidRDefault="002F441E" w:rsidP="00676F46">
            <w:pPr>
              <w:rPr>
                <w:rFonts w:cstheme="minorHAnsi"/>
                <w:sz w:val="20"/>
                <w:szCs w:val="20"/>
              </w:rPr>
            </w:pPr>
            <w:r w:rsidRPr="00A77AF6">
              <w:rPr>
                <w:rFonts w:cstheme="minorHAnsi"/>
                <w:sz w:val="20"/>
                <w:szCs w:val="20"/>
              </w:rPr>
              <w:t>0.15</w:t>
            </w:r>
          </w:p>
        </w:tc>
        <w:tc>
          <w:tcPr>
            <w:tcW w:w="850" w:type="dxa"/>
          </w:tcPr>
          <w:p w14:paraId="02F825B8" w14:textId="77777777" w:rsidR="002F441E" w:rsidRPr="00A77AF6" w:rsidRDefault="002F441E" w:rsidP="00676F46">
            <w:pPr>
              <w:rPr>
                <w:rFonts w:cstheme="minorHAnsi"/>
                <w:sz w:val="20"/>
                <w:szCs w:val="20"/>
              </w:rPr>
            </w:pPr>
            <w:r w:rsidRPr="00A77AF6">
              <w:rPr>
                <w:rFonts w:cstheme="minorHAnsi"/>
                <w:sz w:val="20"/>
                <w:szCs w:val="20"/>
              </w:rPr>
              <w:t>0.0226</w:t>
            </w:r>
          </w:p>
          <w:p w14:paraId="04CBAA96" w14:textId="77777777" w:rsidR="002F441E" w:rsidRPr="00A77AF6" w:rsidRDefault="002F441E" w:rsidP="00676F46">
            <w:pPr>
              <w:rPr>
                <w:rFonts w:cstheme="minorHAnsi"/>
                <w:sz w:val="20"/>
                <w:szCs w:val="20"/>
              </w:rPr>
            </w:pPr>
          </w:p>
          <w:p w14:paraId="145BEC74" w14:textId="77777777" w:rsidR="002F441E" w:rsidRPr="00A77AF6" w:rsidRDefault="002F441E" w:rsidP="00676F46">
            <w:pPr>
              <w:rPr>
                <w:rFonts w:cstheme="minorHAnsi"/>
                <w:sz w:val="20"/>
                <w:szCs w:val="20"/>
              </w:rPr>
            </w:pPr>
          </w:p>
        </w:tc>
        <w:tc>
          <w:tcPr>
            <w:tcW w:w="1133" w:type="dxa"/>
          </w:tcPr>
          <w:p w14:paraId="258ACBD7" w14:textId="77777777" w:rsidR="002F441E" w:rsidRPr="00A77AF6" w:rsidRDefault="002F441E" w:rsidP="00676F46">
            <w:pPr>
              <w:rPr>
                <w:rFonts w:cstheme="minorHAnsi"/>
                <w:sz w:val="20"/>
                <w:szCs w:val="20"/>
              </w:rPr>
            </w:pPr>
            <w:r w:rsidRPr="00A77AF6">
              <w:rPr>
                <w:rFonts w:cstheme="minorHAnsi"/>
                <w:sz w:val="20"/>
                <w:szCs w:val="20"/>
              </w:rPr>
              <w:t>0.8537</w:t>
            </w:r>
          </w:p>
        </w:tc>
        <w:tc>
          <w:tcPr>
            <w:tcW w:w="1134" w:type="dxa"/>
          </w:tcPr>
          <w:p w14:paraId="58BABA0D" w14:textId="77777777" w:rsidR="002F441E" w:rsidRPr="00A77AF6" w:rsidRDefault="002F441E" w:rsidP="00676F46">
            <w:pPr>
              <w:rPr>
                <w:rFonts w:cstheme="minorHAnsi"/>
                <w:sz w:val="20"/>
                <w:szCs w:val="20"/>
              </w:rPr>
            </w:pPr>
            <w:r w:rsidRPr="00A77AF6">
              <w:rPr>
                <w:rFonts w:cstheme="minorHAnsi"/>
                <w:sz w:val="20"/>
                <w:szCs w:val="20"/>
              </w:rPr>
              <w:t>0.141</w:t>
            </w:r>
          </w:p>
        </w:tc>
        <w:tc>
          <w:tcPr>
            <w:tcW w:w="1843" w:type="dxa"/>
          </w:tcPr>
          <w:p w14:paraId="0E807D19" w14:textId="77777777" w:rsidR="002F441E" w:rsidRPr="00A77AF6" w:rsidRDefault="002F441E" w:rsidP="00676F46">
            <w:pPr>
              <w:rPr>
                <w:rFonts w:cstheme="minorHAnsi"/>
                <w:sz w:val="20"/>
                <w:szCs w:val="20"/>
              </w:rPr>
            </w:pPr>
            <w:r w:rsidRPr="00A77AF6">
              <w:rPr>
                <w:rFonts w:cstheme="minorHAnsi"/>
                <w:sz w:val="20"/>
                <w:szCs w:val="20"/>
              </w:rPr>
              <w:t xml:space="preserve">95% confidence that r is between -0.1267 and 0.4267 </w:t>
            </w:r>
          </w:p>
        </w:tc>
      </w:tr>
    </w:tbl>
    <w:p w14:paraId="2E61F504" w14:textId="77777777" w:rsidR="001B0DB8" w:rsidRPr="00A77AF6" w:rsidRDefault="001B0DB8" w:rsidP="001B0DB8">
      <w:pPr>
        <w:spacing w:line="360" w:lineRule="auto"/>
      </w:pPr>
    </w:p>
    <w:p w14:paraId="6A983B06" w14:textId="0A90CC78" w:rsidR="00B32827" w:rsidRPr="00A77AF6" w:rsidRDefault="00B32827" w:rsidP="00DD78C7">
      <w:pPr>
        <w:pStyle w:val="Heading2"/>
        <w:spacing w:after="120"/>
      </w:pPr>
      <w:bookmarkStart w:id="156" w:name="_Toc36275123"/>
      <w:r w:rsidRPr="00A77AF6">
        <w:lastRenderedPageBreak/>
        <w:t xml:space="preserve">Governance </w:t>
      </w:r>
      <w:r w:rsidR="00A765CE" w:rsidRPr="00A77AF6">
        <w:t>e</w:t>
      </w:r>
      <w:r w:rsidRPr="00A77AF6">
        <w:t>ffectiveness</w:t>
      </w:r>
      <w:bookmarkEnd w:id="156"/>
    </w:p>
    <w:p w14:paraId="7C210965" w14:textId="4852166A" w:rsidR="00B32827" w:rsidRPr="00A77AF6" w:rsidRDefault="0038650B" w:rsidP="00A81A99">
      <w:pPr>
        <w:pStyle w:val="Heading3"/>
        <w:spacing w:after="120"/>
      </w:pPr>
      <w:bookmarkStart w:id="157" w:name="_Toc36275124"/>
      <w:r w:rsidRPr="00A77AF6">
        <w:t>P</w:t>
      </w:r>
      <w:r w:rsidR="00B32827" w:rsidRPr="00A77AF6">
        <w:t>roject governance effectiveness</w:t>
      </w:r>
      <w:r w:rsidR="00927E1D" w:rsidRPr="00A77AF6">
        <w:t xml:space="preserve"> </w:t>
      </w:r>
      <w:r w:rsidR="00D76AB9" w:rsidRPr="00A77AF6">
        <w:t>(n=51)</w:t>
      </w:r>
      <w:bookmarkEnd w:id="157"/>
    </w:p>
    <w:p w14:paraId="1A725889" w14:textId="790CE77F" w:rsidR="00B32827" w:rsidRPr="00A77AF6" w:rsidRDefault="00E04A9F" w:rsidP="00EA1EB4">
      <w:pPr>
        <w:spacing w:line="360" w:lineRule="auto"/>
      </w:pPr>
      <w:r w:rsidRPr="00A77AF6">
        <w:t>T</w:t>
      </w:r>
      <w:r w:rsidR="00522459" w:rsidRPr="00A77AF6">
        <w:t xml:space="preserve">he </w:t>
      </w:r>
      <w:r w:rsidR="00B32827" w:rsidRPr="00A77AF6">
        <w:t>effectiveness of project governance in the project management phase was measured using a 6-point Likert scale. Possible scores were:  very effective (4), quite effective (3), not very effective (2), not at all effective (1), not heard of them (0) and heard of them but don’t know their role in the project (0) (</w:t>
      </w:r>
      <w:r w:rsidR="007F0E1F" w:rsidRPr="00A77AF6">
        <w:t>T</w:t>
      </w:r>
      <w:r w:rsidR="00B32827" w:rsidRPr="00A77AF6">
        <w:t xml:space="preserve">able </w:t>
      </w:r>
      <w:r w:rsidR="00A54E54" w:rsidRPr="00A77AF6">
        <w:t>6-16</w:t>
      </w:r>
      <w:r w:rsidR="00B32827" w:rsidRPr="00A77AF6">
        <w:t xml:space="preserve">). </w:t>
      </w:r>
      <w:r w:rsidR="00EF5339" w:rsidRPr="00A77AF6">
        <w:t>E</w:t>
      </w:r>
      <w:r w:rsidR="00B32827" w:rsidRPr="00A77AF6">
        <w:t xml:space="preserve">ach element of project governance </w:t>
      </w:r>
      <w:r w:rsidR="00EF5339" w:rsidRPr="00A77AF6">
        <w:t>receive</w:t>
      </w:r>
      <w:r w:rsidR="00B32827" w:rsidRPr="00A77AF6">
        <w:t xml:space="preserve"> a score between 0 and 4. The range of corporate effectiveness scores for all projects was between 0 (the respondent did not know about any element of project governance) and 28</w:t>
      </w:r>
      <w:r w:rsidR="00EF5339" w:rsidRPr="00A77AF6">
        <w:t xml:space="preserve"> (</w:t>
      </w:r>
      <w:r w:rsidR="00B32827" w:rsidRPr="00A77AF6">
        <w:t xml:space="preserve">respondents considered every element of corporate governance to be very </w:t>
      </w:r>
      <w:r w:rsidR="00EF5339" w:rsidRPr="00A77AF6">
        <w:t>effective) by</w:t>
      </w:r>
      <w:r w:rsidR="00B32827" w:rsidRPr="00A77AF6">
        <w:t xml:space="preserve"> scoring </w:t>
      </w:r>
      <w:r w:rsidR="00E77EB2">
        <w:t>four</w:t>
      </w:r>
      <w:r w:rsidR="00B32827" w:rsidRPr="00A77AF6">
        <w:t xml:space="preserve"> points for all seven elements.   Project success was measured using the same </w:t>
      </w:r>
      <w:r w:rsidR="00203B88">
        <w:t>six</w:t>
      </w:r>
      <w:r w:rsidR="00B32827" w:rsidRPr="00A77AF6">
        <w:t>-point Likert scales that has been previously described</w:t>
      </w:r>
      <w:r w:rsidRPr="00A77AF6">
        <w:t xml:space="preserve"> (Table 6-8)</w:t>
      </w:r>
      <w:r w:rsidR="00B32827" w:rsidRPr="00A77AF6">
        <w:t xml:space="preserve">.   </w:t>
      </w:r>
    </w:p>
    <w:p w14:paraId="3EDA24D5" w14:textId="72031204" w:rsidR="00B32827" w:rsidRPr="00A77AF6" w:rsidRDefault="00B32827" w:rsidP="00A54E54">
      <w:pPr>
        <w:pStyle w:val="Caption"/>
        <w:keepNext/>
        <w:spacing w:after="120"/>
      </w:pPr>
      <w:r w:rsidRPr="00A77AF6">
        <w:t xml:space="preserve">Table </w:t>
      </w:r>
      <w:fldSimple w:instr=" STYLEREF 1 \s ">
        <w:r w:rsidR="000441F7">
          <w:rPr>
            <w:noProof/>
          </w:rPr>
          <w:t>6</w:t>
        </w:r>
      </w:fldSimple>
      <w:r w:rsidR="00804112">
        <w:noBreakHyphen/>
      </w:r>
      <w:fldSimple w:instr=" SEQ Table \* ARABIC \s 1 ">
        <w:r w:rsidR="000441F7">
          <w:rPr>
            <w:noProof/>
          </w:rPr>
          <w:t>16</w:t>
        </w:r>
      </w:fldSimple>
      <w:r w:rsidRPr="00A77AF6">
        <w:t>: Likert scale for Project governance effectiveness</w:t>
      </w:r>
    </w:p>
    <w:tbl>
      <w:tblPr>
        <w:tblW w:w="8647" w:type="dxa"/>
        <w:tblInd w:w="-5" w:type="dxa"/>
        <w:tblLayout w:type="fixed"/>
        <w:tblLook w:val="04A0" w:firstRow="1" w:lastRow="0" w:firstColumn="1" w:lastColumn="0" w:noHBand="0" w:noVBand="1"/>
      </w:tblPr>
      <w:tblGrid>
        <w:gridCol w:w="421"/>
        <w:gridCol w:w="1559"/>
        <w:gridCol w:w="1134"/>
        <w:gridCol w:w="992"/>
        <w:gridCol w:w="1134"/>
        <w:gridCol w:w="1139"/>
        <w:gridCol w:w="1271"/>
        <w:gridCol w:w="997"/>
      </w:tblGrid>
      <w:tr w:rsidR="00B32827" w:rsidRPr="00A77AF6" w14:paraId="4D7E6543" w14:textId="77777777" w:rsidTr="00B32827">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C3C549" w14:textId="77777777" w:rsidR="00B32827" w:rsidRPr="00A77AF6" w:rsidRDefault="00B32827" w:rsidP="00927E1D">
            <w:pPr>
              <w:spacing w:after="0" w:line="240" w:lineRule="auto"/>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746D6A" w14:textId="77777777" w:rsidR="00B32827" w:rsidRPr="00A77AF6" w:rsidRDefault="00B32827" w:rsidP="00927E1D">
            <w:pPr>
              <w:spacing w:after="0" w:line="240" w:lineRule="auto"/>
              <w:rPr>
                <w:sz w:val="20"/>
                <w:szCs w:val="20"/>
              </w:rPr>
            </w:pPr>
          </w:p>
        </w:tc>
        <w:tc>
          <w:tcPr>
            <w:tcW w:w="6667"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966AED" w14:textId="77777777" w:rsidR="00B32827" w:rsidRPr="00A77AF6" w:rsidRDefault="00B32827" w:rsidP="00927E1D">
            <w:pPr>
              <w:spacing w:after="0" w:line="240" w:lineRule="auto"/>
              <w:jc w:val="center"/>
              <w:rPr>
                <w:sz w:val="20"/>
                <w:szCs w:val="20"/>
              </w:rPr>
            </w:pPr>
            <w:r w:rsidRPr="00A77AF6">
              <w:rPr>
                <w:sz w:val="20"/>
                <w:szCs w:val="20"/>
              </w:rPr>
              <w:t>Likert scale</w:t>
            </w:r>
          </w:p>
          <w:p w14:paraId="2C90E3C2" w14:textId="77777777" w:rsidR="00B32827" w:rsidRPr="00A77AF6" w:rsidRDefault="00B32827" w:rsidP="00927E1D">
            <w:pPr>
              <w:spacing w:after="0" w:line="240" w:lineRule="auto"/>
              <w:jc w:val="center"/>
              <w:rPr>
                <w:sz w:val="20"/>
                <w:szCs w:val="20"/>
              </w:rPr>
            </w:pPr>
          </w:p>
        </w:tc>
      </w:tr>
      <w:tr w:rsidR="00B32827" w:rsidRPr="00A77AF6" w14:paraId="7E5AAFA9" w14:textId="77777777" w:rsidTr="00B32827">
        <w:tc>
          <w:tcPr>
            <w:tcW w:w="421" w:type="dxa"/>
            <w:tcBorders>
              <w:top w:val="single" w:sz="4" w:space="0" w:color="auto"/>
              <w:left w:val="single" w:sz="4" w:space="0" w:color="auto"/>
              <w:bottom w:val="single" w:sz="4" w:space="0" w:color="auto"/>
              <w:right w:val="single" w:sz="4" w:space="0" w:color="auto"/>
            </w:tcBorders>
          </w:tcPr>
          <w:p w14:paraId="04FFA8BD" w14:textId="77777777" w:rsidR="00B32827" w:rsidRPr="00A77AF6" w:rsidRDefault="00B32827" w:rsidP="00927E1D">
            <w:pPr>
              <w:spacing w:after="0" w:line="240" w:lineRule="auto"/>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EF915A1" w14:textId="77777777" w:rsidR="00B32827" w:rsidRPr="00A77AF6" w:rsidRDefault="00B32827" w:rsidP="00927E1D">
            <w:pPr>
              <w:spacing w:after="0" w:line="240" w:lineRule="auto"/>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4BF9975" w14:textId="77777777" w:rsidR="00B32827" w:rsidRPr="00A77AF6" w:rsidRDefault="00B32827" w:rsidP="00927E1D">
            <w:pPr>
              <w:spacing w:after="0" w:line="240" w:lineRule="auto"/>
              <w:rPr>
                <w:sz w:val="20"/>
                <w:szCs w:val="20"/>
              </w:rPr>
            </w:pPr>
            <w:r w:rsidRPr="00A77AF6">
              <w:rPr>
                <w:sz w:val="20"/>
                <w:szCs w:val="20"/>
              </w:rPr>
              <w:t>Very effective</w:t>
            </w:r>
          </w:p>
        </w:tc>
        <w:tc>
          <w:tcPr>
            <w:tcW w:w="992" w:type="dxa"/>
            <w:tcBorders>
              <w:top w:val="single" w:sz="4" w:space="0" w:color="auto"/>
              <w:left w:val="single" w:sz="4" w:space="0" w:color="auto"/>
              <w:bottom w:val="single" w:sz="4" w:space="0" w:color="auto"/>
              <w:right w:val="single" w:sz="4" w:space="0" w:color="auto"/>
            </w:tcBorders>
          </w:tcPr>
          <w:p w14:paraId="156EDA6C" w14:textId="77777777" w:rsidR="00B32827" w:rsidRPr="00A77AF6" w:rsidRDefault="00B32827" w:rsidP="00927E1D">
            <w:pPr>
              <w:spacing w:after="0" w:line="240" w:lineRule="auto"/>
              <w:rPr>
                <w:sz w:val="20"/>
                <w:szCs w:val="20"/>
              </w:rPr>
            </w:pPr>
            <w:r w:rsidRPr="00A77AF6">
              <w:rPr>
                <w:sz w:val="20"/>
                <w:szCs w:val="20"/>
              </w:rPr>
              <w:t>Quite effective</w:t>
            </w:r>
          </w:p>
        </w:tc>
        <w:tc>
          <w:tcPr>
            <w:tcW w:w="1134" w:type="dxa"/>
            <w:tcBorders>
              <w:top w:val="single" w:sz="4" w:space="0" w:color="auto"/>
              <w:left w:val="single" w:sz="4" w:space="0" w:color="auto"/>
              <w:bottom w:val="single" w:sz="4" w:space="0" w:color="auto"/>
              <w:right w:val="single" w:sz="4" w:space="0" w:color="auto"/>
            </w:tcBorders>
          </w:tcPr>
          <w:p w14:paraId="58BE2E8F" w14:textId="77777777" w:rsidR="00B32827" w:rsidRPr="00A77AF6" w:rsidRDefault="00B32827" w:rsidP="00927E1D">
            <w:pPr>
              <w:spacing w:after="0" w:line="240" w:lineRule="auto"/>
              <w:rPr>
                <w:sz w:val="20"/>
                <w:szCs w:val="20"/>
              </w:rPr>
            </w:pPr>
            <w:r w:rsidRPr="00A77AF6">
              <w:rPr>
                <w:sz w:val="20"/>
                <w:szCs w:val="20"/>
              </w:rPr>
              <w:t>Quite ineffective</w:t>
            </w:r>
          </w:p>
        </w:tc>
        <w:tc>
          <w:tcPr>
            <w:tcW w:w="1139" w:type="dxa"/>
            <w:tcBorders>
              <w:top w:val="single" w:sz="4" w:space="0" w:color="auto"/>
              <w:left w:val="single" w:sz="4" w:space="0" w:color="auto"/>
              <w:bottom w:val="single" w:sz="4" w:space="0" w:color="auto"/>
              <w:right w:val="single" w:sz="4" w:space="0" w:color="auto"/>
            </w:tcBorders>
          </w:tcPr>
          <w:p w14:paraId="130D0F2D" w14:textId="77777777" w:rsidR="00B32827" w:rsidRPr="00A77AF6" w:rsidRDefault="00B32827" w:rsidP="00927E1D">
            <w:pPr>
              <w:spacing w:after="0" w:line="240" w:lineRule="auto"/>
              <w:rPr>
                <w:sz w:val="20"/>
                <w:szCs w:val="20"/>
              </w:rPr>
            </w:pPr>
            <w:r w:rsidRPr="00A77AF6">
              <w:rPr>
                <w:sz w:val="20"/>
                <w:szCs w:val="20"/>
              </w:rPr>
              <w:t>Very ineffective</w:t>
            </w:r>
          </w:p>
        </w:tc>
        <w:tc>
          <w:tcPr>
            <w:tcW w:w="1271" w:type="dxa"/>
            <w:tcBorders>
              <w:top w:val="single" w:sz="4" w:space="0" w:color="auto"/>
              <w:left w:val="single" w:sz="4" w:space="0" w:color="auto"/>
              <w:bottom w:val="single" w:sz="4" w:space="0" w:color="auto"/>
              <w:right w:val="single" w:sz="4" w:space="0" w:color="auto"/>
            </w:tcBorders>
          </w:tcPr>
          <w:p w14:paraId="770BE20C" w14:textId="77777777" w:rsidR="00B32827" w:rsidRPr="00A77AF6" w:rsidRDefault="00B32827" w:rsidP="00927E1D">
            <w:pPr>
              <w:spacing w:after="0" w:line="240" w:lineRule="auto"/>
              <w:rPr>
                <w:sz w:val="20"/>
                <w:szCs w:val="20"/>
              </w:rPr>
            </w:pPr>
            <w:r w:rsidRPr="00A77AF6">
              <w:rPr>
                <w:sz w:val="20"/>
                <w:szCs w:val="20"/>
              </w:rPr>
              <w:t xml:space="preserve">Heard of them/ don’t know their role </w:t>
            </w:r>
          </w:p>
        </w:tc>
        <w:tc>
          <w:tcPr>
            <w:tcW w:w="997" w:type="dxa"/>
            <w:tcBorders>
              <w:top w:val="single" w:sz="4" w:space="0" w:color="auto"/>
              <w:left w:val="single" w:sz="4" w:space="0" w:color="auto"/>
              <w:bottom w:val="single" w:sz="4" w:space="0" w:color="auto"/>
              <w:right w:val="single" w:sz="4" w:space="0" w:color="auto"/>
            </w:tcBorders>
          </w:tcPr>
          <w:p w14:paraId="1DEBE91D" w14:textId="77777777" w:rsidR="00B32827" w:rsidRPr="00A77AF6" w:rsidRDefault="00B32827" w:rsidP="00927E1D">
            <w:pPr>
              <w:spacing w:after="0" w:line="240" w:lineRule="auto"/>
              <w:rPr>
                <w:sz w:val="20"/>
                <w:szCs w:val="20"/>
              </w:rPr>
            </w:pPr>
            <w:r w:rsidRPr="00A77AF6">
              <w:rPr>
                <w:sz w:val="20"/>
                <w:szCs w:val="20"/>
              </w:rPr>
              <w:t>Not heard of them</w:t>
            </w:r>
          </w:p>
        </w:tc>
      </w:tr>
      <w:tr w:rsidR="00B32827" w:rsidRPr="00A77AF6" w14:paraId="44C3997A" w14:textId="77777777" w:rsidTr="00B32827">
        <w:trPr>
          <w:trHeight w:val="488"/>
        </w:trPr>
        <w:tc>
          <w:tcPr>
            <w:tcW w:w="421" w:type="dxa"/>
            <w:tcBorders>
              <w:top w:val="single" w:sz="4" w:space="0" w:color="auto"/>
              <w:left w:val="single" w:sz="4" w:space="0" w:color="auto"/>
              <w:bottom w:val="single" w:sz="4" w:space="0" w:color="auto"/>
              <w:right w:val="single" w:sz="4" w:space="0" w:color="auto"/>
            </w:tcBorders>
          </w:tcPr>
          <w:p w14:paraId="7811D416" w14:textId="77777777" w:rsidR="00B32827" w:rsidRPr="00A77AF6" w:rsidRDefault="00B32827" w:rsidP="00927E1D">
            <w:pPr>
              <w:spacing w:after="0" w:line="240" w:lineRule="auto"/>
              <w:rPr>
                <w:sz w:val="20"/>
                <w:szCs w:val="20"/>
              </w:rPr>
            </w:pPr>
            <w:r w:rsidRPr="00A77AF6">
              <w:rPr>
                <w:sz w:val="20"/>
                <w:szCs w:val="20"/>
              </w:rPr>
              <w:t>1</w:t>
            </w:r>
          </w:p>
        </w:tc>
        <w:tc>
          <w:tcPr>
            <w:tcW w:w="1559" w:type="dxa"/>
            <w:tcBorders>
              <w:top w:val="single" w:sz="4" w:space="0" w:color="auto"/>
              <w:left w:val="single" w:sz="4" w:space="0" w:color="auto"/>
              <w:bottom w:val="single" w:sz="4" w:space="0" w:color="auto"/>
              <w:right w:val="single" w:sz="4" w:space="0" w:color="auto"/>
            </w:tcBorders>
          </w:tcPr>
          <w:p w14:paraId="5F024D32" w14:textId="77777777" w:rsidR="00B32827" w:rsidRPr="00A77AF6" w:rsidRDefault="00B32827" w:rsidP="00927E1D">
            <w:pPr>
              <w:spacing w:after="0" w:line="240" w:lineRule="auto"/>
              <w:rPr>
                <w:sz w:val="20"/>
                <w:szCs w:val="20"/>
              </w:rPr>
            </w:pPr>
            <w:r w:rsidRPr="00A77AF6">
              <w:rPr>
                <w:sz w:val="20"/>
                <w:szCs w:val="20"/>
              </w:rPr>
              <w:t>Project Sponsor</w:t>
            </w:r>
          </w:p>
        </w:tc>
        <w:tc>
          <w:tcPr>
            <w:tcW w:w="1134" w:type="dxa"/>
            <w:tcBorders>
              <w:top w:val="single" w:sz="4" w:space="0" w:color="auto"/>
              <w:left w:val="single" w:sz="4" w:space="0" w:color="auto"/>
              <w:bottom w:val="single" w:sz="4" w:space="0" w:color="auto"/>
              <w:right w:val="single" w:sz="4" w:space="0" w:color="auto"/>
            </w:tcBorders>
          </w:tcPr>
          <w:p w14:paraId="76586515" w14:textId="77777777" w:rsidR="00B32827" w:rsidRPr="00A77AF6" w:rsidRDefault="00B32827" w:rsidP="00927E1D">
            <w:pPr>
              <w:spacing w:after="0" w:line="240" w:lineRule="auto"/>
              <w:rPr>
                <w:sz w:val="20"/>
                <w:szCs w:val="20"/>
              </w:rPr>
            </w:pPr>
            <w:r w:rsidRPr="00A77AF6">
              <w:rPr>
                <w:sz w:val="20"/>
                <w:szCs w:val="20"/>
              </w:rPr>
              <w:t>4</w:t>
            </w:r>
          </w:p>
        </w:tc>
        <w:tc>
          <w:tcPr>
            <w:tcW w:w="992" w:type="dxa"/>
            <w:tcBorders>
              <w:top w:val="single" w:sz="4" w:space="0" w:color="auto"/>
              <w:left w:val="single" w:sz="4" w:space="0" w:color="auto"/>
              <w:bottom w:val="single" w:sz="4" w:space="0" w:color="auto"/>
              <w:right w:val="single" w:sz="4" w:space="0" w:color="auto"/>
            </w:tcBorders>
          </w:tcPr>
          <w:p w14:paraId="382AC260" w14:textId="77777777" w:rsidR="00B32827" w:rsidRPr="00A77AF6" w:rsidRDefault="00B32827" w:rsidP="00927E1D">
            <w:pPr>
              <w:spacing w:after="0" w:line="240" w:lineRule="auto"/>
              <w:rPr>
                <w:sz w:val="20"/>
                <w:szCs w:val="20"/>
              </w:rPr>
            </w:pPr>
            <w:r w:rsidRPr="00A77AF6">
              <w:rPr>
                <w:sz w:val="20"/>
                <w:szCs w:val="20"/>
              </w:rPr>
              <w:t>3</w:t>
            </w:r>
          </w:p>
        </w:tc>
        <w:tc>
          <w:tcPr>
            <w:tcW w:w="1134" w:type="dxa"/>
            <w:tcBorders>
              <w:top w:val="single" w:sz="4" w:space="0" w:color="auto"/>
              <w:left w:val="single" w:sz="4" w:space="0" w:color="auto"/>
              <w:bottom w:val="single" w:sz="4" w:space="0" w:color="auto"/>
              <w:right w:val="single" w:sz="4" w:space="0" w:color="auto"/>
            </w:tcBorders>
          </w:tcPr>
          <w:p w14:paraId="5B6FBE81" w14:textId="77777777" w:rsidR="00B32827" w:rsidRPr="00A77AF6" w:rsidRDefault="00B32827" w:rsidP="00927E1D">
            <w:pPr>
              <w:spacing w:after="0" w:line="240" w:lineRule="auto"/>
              <w:rPr>
                <w:sz w:val="20"/>
                <w:szCs w:val="20"/>
              </w:rPr>
            </w:pPr>
            <w:r w:rsidRPr="00A77AF6">
              <w:rPr>
                <w:sz w:val="20"/>
                <w:szCs w:val="20"/>
              </w:rPr>
              <w:t>2</w:t>
            </w:r>
          </w:p>
        </w:tc>
        <w:tc>
          <w:tcPr>
            <w:tcW w:w="1139" w:type="dxa"/>
            <w:tcBorders>
              <w:top w:val="single" w:sz="4" w:space="0" w:color="auto"/>
              <w:left w:val="single" w:sz="4" w:space="0" w:color="auto"/>
              <w:bottom w:val="single" w:sz="4" w:space="0" w:color="auto"/>
              <w:right w:val="single" w:sz="4" w:space="0" w:color="auto"/>
            </w:tcBorders>
          </w:tcPr>
          <w:p w14:paraId="68EC4EB3" w14:textId="77777777" w:rsidR="00B32827" w:rsidRPr="00A77AF6" w:rsidRDefault="00B32827" w:rsidP="00927E1D">
            <w:pPr>
              <w:spacing w:after="0" w:line="240" w:lineRule="auto"/>
              <w:rPr>
                <w:sz w:val="20"/>
                <w:szCs w:val="20"/>
              </w:rPr>
            </w:pPr>
            <w:r w:rsidRPr="00A77AF6">
              <w:rPr>
                <w:sz w:val="20"/>
                <w:szCs w:val="20"/>
              </w:rPr>
              <w:t>1</w:t>
            </w:r>
          </w:p>
        </w:tc>
        <w:tc>
          <w:tcPr>
            <w:tcW w:w="1271" w:type="dxa"/>
            <w:tcBorders>
              <w:top w:val="single" w:sz="4" w:space="0" w:color="auto"/>
              <w:left w:val="single" w:sz="4" w:space="0" w:color="auto"/>
              <w:bottom w:val="single" w:sz="4" w:space="0" w:color="auto"/>
              <w:right w:val="single" w:sz="4" w:space="0" w:color="auto"/>
            </w:tcBorders>
          </w:tcPr>
          <w:p w14:paraId="4C942230" w14:textId="77777777" w:rsidR="00B32827" w:rsidRPr="00A77AF6" w:rsidRDefault="00B32827" w:rsidP="00927E1D">
            <w:pPr>
              <w:spacing w:after="0" w:line="240" w:lineRule="auto"/>
              <w:rPr>
                <w:sz w:val="20"/>
                <w:szCs w:val="20"/>
              </w:rPr>
            </w:pPr>
            <w:r w:rsidRPr="00A77AF6">
              <w:rPr>
                <w:sz w:val="20"/>
                <w:szCs w:val="20"/>
              </w:rPr>
              <w:t>0</w:t>
            </w:r>
          </w:p>
        </w:tc>
        <w:tc>
          <w:tcPr>
            <w:tcW w:w="997" w:type="dxa"/>
            <w:tcBorders>
              <w:top w:val="single" w:sz="4" w:space="0" w:color="auto"/>
              <w:left w:val="single" w:sz="4" w:space="0" w:color="auto"/>
              <w:bottom w:val="single" w:sz="4" w:space="0" w:color="auto"/>
              <w:right w:val="single" w:sz="4" w:space="0" w:color="auto"/>
            </w:tcBorders>
          </w:tcPr>
          <w:p w14:paraId="69F05A43" w14:textId="77777777" w:rsidR="00B32827" w:rsidRPr="00A77AF6" w:rsidRDefault="00B32827" w:rsidP="00927E1D">
            <w:pPr>
              <w:spacing w:after="0" w:line="240" w:lineRule="auto"/>
              <w:rPr>
                <w:sz w:val="20"/>
                <w:szCs w:val="20"/>
              </w:rPr>
            </w:pPr>
            <w:r w:rsidRPr="00A77AF6">
              <w:rPr>
                <w:sz w:val="20"/>
                <w:szCs w:val="20"/>
              </w:rPr>
              <w:t>0</w:t>
            </w:r>
          </w:p>
        </w:tc>
      </w:tr>
      <w:tr w:rsidR="00B32827" w:rsidRPr="00A77AF6" w14:paraId="67ABF56C" w14:textId="77777777" w:rsidTr="00B32827">
        <w:trPr>
          <w:trHeight w:val="488"/>
        </w:trPr>
        <w:tc>
          <w:tcPr>
            <w:tcW w:w="421" w:type="dxa"/>
            <w:tcBorders>
              <w:top w:val="single" w:sz="4" w:space="0" w:color="auto"/>
              <w:left w:val="single" w:sz="4" w:space="0" w:color="auto"/>
              <w:bottom w:val="single" w:sz="4" w:space="0" w:color="auto"/>
              <w:right w:val="single" w:sz="4" w:space="0" w:color="auto"/>
            </w:tcBorders>
          </w:tcPr>
          <w:p w14:paraId="1EE3AEB2" w14:textId="77777777" w:rsidR="00B32827" w:rsidRPr="00A77AF6" w:rsidRDefault="00B32827" w:rsidP="00927E1D">
            <w:pPr>
              <w:spacing w:after="0" w:line="240" w:lineRule="auto"/>
              <w:rPr>
                <w:sz w:val="20"/>
                <w:szCs w:val="20"/>
              </w:rPr>
            </w:pPr>
            <w:r w:rsidRPr="00A77AF6">
              <w:rPr>
                <w:sz w:val="20"/>
                <w:szCs w:val="20"/>
              </w:rPr>
              <w:t>2</w:t>
            </w:r>
          </w:p>
        </w:tc>
        <w:tc>
          <w:tcPr>
            <w:tcW w:w="1559" w:type="dxa"/>
            <w:tcBorders>
              <w:top w:val="single" w:sz="4" w:space="0" w:color="auto"/>
              <w:left w:val="single" w:sz="4" w:space="0" w:color="auto"/>
              <w:bottom w:val="single" w:sz="4" w:space="0" w:color="auto"/>
              <w:right w:val="single" w:sz="4" w:space="0" w:color="auto"/>
            </w:tcBorders>
          </w:tcPr>
          <w:p w14:paraId="1FB1A02F" w14:textId="743E6261" w:rsidR="00B32827" w:rsidRPr="00A77AF6" w:rsidRDefault="008B0E67" w:rsidP="00927E1D">
            <w:pPr>
              <w:spacing w:after="0" w:line="240" w:lineRule="auto"/>
              <w:rPr>
                <w:sz w:val="20"/>
                <w:szCs w:val="20"/>
              </w:rPr>
            </w:pPr>
            <w:r w:rsidRPr="00A77AF6">
              <w:rPr>
                <w:sz w:val="20"/>
                <w:szCs w:val="20"/>
              </w:rPr>
              <w:t>P</w:t>
            </w:r>
            <w:r w:rsidR="00B32827" w:rsidRPr="00A77AF6">
              <w:rPr>
                <w:sz w:val="20"/>
                <w:szCs w:val="20"/>
              </w:rPr>
              <w:t>roject Board</w:t>
            </w:r>
          </w:p>
        </w:tc>
        <w:tc>
          <w:tcPr>
            <w:tcW w:w="1134" w:type="dxa"/>
            <w:tcBorders>
              <w:top w:val="single" w:sz="4" w:space="0" w:color="auto"/>
              <w:left w:val="single" w:sz="4" w:space="0" w:color="auto"/>
              <w:bottom w:val="single" w:sz="4" w:space="0" w:color="auto"/>
              <w:right w:val="single" w:sz="4" w:space="0" w:color="auto"/>
            </w:tcBorders>
          </w:tcPr>
          <w:p w14:paraId="7C5AE36B" w14:textId="77777777" w:rsidR="00B32827" w:rsidRPr="00A77AF6" w:rsidRDefault="00B32827" w:rsidP="00927E1D">
            <w:pPr>
              <w:spacing w:after="0" w:line="240" w:lineRule="auto"/>
              <w:rPr>
                <w:sz w:val="20"/>
                <w:szCs w:val="20"/>
              </w:rPr>
            </w:pPr>
            <w:r w:rsidRPr="00A77AF6">
              <w:rPr>
                <w:sz w:val="20"/>
                <w:szCs w:val="20"/>
              </w:rPr>
              <w:t>4</w:t>
            </w:r>
          </w:p>
        </w:tc>
        <w:tc>
          <w:tcPr>
            <w:tcW w:w="992" w:type="dxa"/>
            <w:tcBorders>
              <w:top w:val="single" w:sz="4" w:space="0" w:color="auto"/>
              <w:left w:val="single" w:sz="4" w:space="0" w:color="auto"/>
              <w:bottom w:val="single" w:sz="4" w:space="0" w:color="auto"/>
              <w:right w:val="single" w:sz="4" w:space="0" w:color="auto"/>
            </w:tcBorders>
          </w:tcPr>
          <w:p w14:paraId="45D3707D" w14:textId="77777777" w:rsidR="00B32827" w:rsidRPr="00A77AF6" w:rsidRDefault="00B32827" w:rsidP="00927E1D">
            <w:pPr>
              <w:spacing w:after="0" w:line="240" w:lineRule="auto"/>
              <w:rPr>
                <w:sz w:val="20"/>
                <w:szCs w:val="20"/>
              </w:rPr>
            </w:pPr>
            <w:r w:rsidRPr="00A77AF6">
              <w:rPr>
                <w:sz w:val="20"/>
                <w:szCs w:val="20"/>
              </w:rPr>
              <w:t>3</w:t>
            </w:r>
          </w:p>
        </w:tc>
        <w:tc>
          <w:tcPr>
            <w:tcW w:w="1134" w:type="dxa"/>
            <w:tcBorders>
              <w:top w:val="single" w:sz="4" w:space="0" w:color="auto"/>
              <w:left w:val="single" w:sz="4" w:space="0" w:color="auto"/>
              <w:bottom w:val="single" w:sz="4" w:space="0" w:color="auto"/>
              <w:right w:val="single" w:sz="4" w:space="0" w:color="auto"/>
            </w:tcBorders>
          </w:tcPr>
          <w:p w14:paraId="5B8F458C" w14:textId="77777777" w:rsidR="00B32827" w:rsidRPr="00A77AF6" w:rsidRDefault="00B32827" w:rsidP="00927E1D">
            <w:pPr>
              <w:spacing w:after="0" w:line="240" w:lineRule="auto"/>
              <w:rPr>
                <w:sz w:val="20"/>
                <w:szCs w:val="20"/>
              </w:rPr>
            </w:pPr>
            <w:r w:rsidRPr="00A77AF6">
              <w:rPr>
                <w:sz w:val="20"/>
                <w:szCs w:val="20"/>
              </w:rPr>
              <w:t>2</w:t>
            </w:r>
          </w:p>
        </w:tc>
        <w:tc>
          <w:tcPr>
            <w:tcW w:w="1139" w:type="dxa"/>
            <w:tcBorders>
              <w:top w:val="single" w:sz="4" w:space="0" w:color="auto"/>
              <w:left w:val="single" w:sz="4" w:space="0" w:color="auto"/>
              <w:bottom w:val="single" w:sz="4" w:space="0" w:color="auto"/>
              <w:right w:val="single" w:sz="4" w:space="0" w:color="auto"/>
            </w:tcBorders>
          </w:tcPr>
          <w:p w14:paraId="226BF968" w14:textId="77777777" w:rsidR="00B32827" w:rsidRPr="00A77AF6" w:rsidRDefault="00B32827" w:rsidP="00927E1D">
            <w:pPr>
              <w:spacing w:after="0" w:line="240" w:lineRule="auto"/>
              <w:rPr>
                <w:sz w:val="20"/>
                <w:szCs w:val="20"/>
              </w:rPr>
            </w:pPr>
            <w:r w:rsidRPr="00A77AF6">
              <w:rPr>
                <w:sz w:val="20"/>
                <w:szCs w:val="20"/>
              </w:rPr>
              <w:t>1</w:t>
            </w:r>
          </w:p>
        </w:tc>
        <w:tc>
          <w:tcPr>
            <w:tcW w:w="1271" w:type="dxa"/>
            <w:tcBorders>
              <w:top w:val="single" w:sz="4" w:space="0" w:color="auto"/>
              <w:left w:val="single" w:sz="4" w:space="0" w:color="auto"/>
              <w:bottom w:val="single" w:sz="4" w:space="0" w:color="auto"/>
              <w:right w:val="single" w:sz="4" w:space="0" w:color="auto"/>
            </w:tcBorders>
          </w:tcPr>
          <w:p w14:paraId="234BD3B0" w14:textId="77777777" w:rsidR="00B32827" w:rsidRPr="00A77AF6" w:rsidRDefault="00B32827" w:rsidP="00927E1D">
            <w:pPr>
              <w:spacing w:after="0" w:line="240" w:lineRule="auto"/>
              <w:rPr>
                <w:sz w:val="20"/>
                <w:szCs w:val="20"/>
              </w:rPr>
            </w:pPr>
            <w:r w:rsidRPr="00A77AF6">
              <w:rPr>
                <w:sz w:val="20"/>
                <w:szCs w:val="20"/>
              </w:rPr>
              <w:t>0</w:t>
            </w:r>
          </w:p>
        </w:tc>
        <w:tc>
          <w:tcPr>
            <w:tcW w:w="997" w:type="dxa"/>
            <w:tcBorders>
              <w:top w:val="single" w:sz="4" w:space="0" w:color="auto"/>
              <w:left w:val="single" w:sz="4" w:space="0" w:color="auto"/>
              <w:bottom w:val="single" w:sz="4" w:space="0" w:color="auto"/>
              <w:right w:val="single" w:sz="4" w:space="0" w:color="auto"/>
            </w:tcBorders>
          </w:tcPr>
          <w:p w14:paraId="2F04D6AA" w14:textId="77777777" w:rsidR="00B32827" w:rsidRPr="00A77AF6" w:rsidRDefault="00B32827" w:rsidP="00927E1D">
            <w:pPr>
              <w:spacing w:after="0" w:line="240" w:lineRule="auto"/>
              <w:rPr>
                <w:sz w:val="20"/>
                <w:szCs w:val="20"/>
              </w:rPr>
            </w:pPr>
            <w:r w:rsidRPr="00A77AF6">
              <w:rPr>
                <w:sz w:val="20"/>
                <w:szCs w:val="20"/>
              </w:rPr>
              <w:t>0</w:t>
            </w:r>
          </w:p>
        </w:tc>
      </w:tr>
      <w:tr w:rsidR="00B32827" w:rsidRPr="00A77AF6" w14:paraId="521471A1" w14:textId="77777777" w:rsidTr="00B32827">
        <w:trPr>
          <w:trHeight w:val="488"/>
        </w:trPr>
        <w:tc>
          <w:tcPr>
            <w:tcW w:w="421" w:type="dxa"/>
            <w:tcBorders>
              <w:top w:val="single" w:sz="4" w:space="0" w:color="auto"/>
              <w:left w:val="single" w:sz="4" w:space="0" w:color="auto"/>
              <w:bottom w:val="single" w:sz="4" w:space="0" w:color="auto"/>
              <w:right w:val="single" w:sz="4" w:space="0" w:color="auto"/>
            </w:tcBorders>
          </w:tcPr>
          <w:p w14:paraId="4AF31CE1" w14:textId="77777777" w:rsidR="00B32827" w:rsidRPr="00A77AF6" w:rsidRDefault="00B32827" w:rsidP="00927E1D">
            <w:pPr>
              <w:spacing w:after="0" w:line="240" w:lineRule="auto"/>
              <w:rPr>
                <w:sz w:val="20"/>
                <w:szCs w:val="20"/>
              </w:rPr>
            </w:pPr>
            <w:r w:rsidRPr="00A77AF6">
              <w:rPr>
                <w:sz w:val="20"/>
                <w:szCs w:val="20"/>
              </w:rPr>
              <w:t>3</w:t>
            </w:r>
          </w:p>
        </w:tc>
        <w:tc>
          <w:tcPr>
            <w:tcW w:w="1559" w:type="dxa"/>
            <w:tcBorders>
              <w:top w:val="single" w:sz="4" w:space="0" w:color="auto"/>
              <w:left w:val="single" w:sz="4" w:space="0" w:color="auto"/>
              <w:bottom w:val="single" w:sz="4" w:space="0" w:color="auto"/>
              <w:right w:val="single" w:sz="4" w:space="0" w:color="auto"/>
            </w:tcBorders>
          </w:tcPr>
          <w:p w14:paraId="6BA7CC1C" w14:textId="77777777" w:rsidR="00B32827" w:rsidRPr="00A77AF6" w:rsidRDefault="00B32827" w:rsidP="00927E1D">
            <w:pPr>
              <w:spacing w:after="0" w:line="240" w:lineRule="auto"/>
              <w:rPr>
                <w:sz w:val="20"/>
                <w:szCs w:val="20"/>
              </w:rPr>
            </w:pPr>
            <w:r w:rsidRPr="00A77AF6">
              <w:rPr>
                <w:sz w:val="20"/>
                <w:szCs w:val="20"/>
              </w:rPr>
              <w:t>Project risk management</w:t>
            </w:r>
          </w:p>
        </w:tc>
        <w:tc>
          <w:tcPr>
            <w:tcW w:w="1134" w:type="dxa"/>
            <w:tcBorders>
              <w:top w:val="single" w:sz="4" w:space="0" w:color="auto"/>
              <w:left w:val="single" w:sz="4" w:space="0" w:color="auto"/>
              <w:bottom w:val="single" w:sz="4" w:space="0" w:color="auto"/>
              <w:right w:val="single" w:sz="4" w:space="0" w:color="auto"/>
            </w:tcBorders>
          </w:tcPr>
          <w:p w14:paraId="1F4E4F5A" w14:textId="77777777" w:rsidR="00B32827" w:rsidRPr="00A77AF6" w:rsidRDefault="00B32827" w:rsidP="00927E1D">
            <w:pPr>
              <w:spacing w:after="0" w:line="240" w:lineRule="auto"/>
              <w:rPr>
                <w:sz w:val="20"/>
                <w:szCs w:val="20"/>
              </w:rPr>
            </w:pPr>
            <w:r w:rsidRPr="00A77AF6">
              <w:rPr>
                <w:sz w:val="20"/>
                <w:szCs w:val="20"/>
              </w:rPr>
              <w:t>4</w:t>
            </w:r>
          </w:p>
        </w:tc>
        <w:tc>
          <w:tcPr>
            <w:tcW w:w="992" w:type="dxa"/>
            <w:tcBorders>
              <w:top w:val="single" w:sz="4" w:space="0" w:color="auto"/>
              <w:left w:val="single" w:sz="4" w:space="0" w:color="auto"/>
              <w:bottom w:val="single" w:sz="4" w:space="0" w:color="auto"/>
              <w:right w:val="single" w:sz="4" w:space="0" w:color="auto"/>
            </w:tcBorders>
          </w:tcPr>
          <w:p w14:paraId="1A46E8DE" w14:textId="77777777" w:rsidR="00B32827" w:rsidRPr="00A77AF6" w:rsidRDefault="00B32827" w:rsidP="00927E1D">
            <w:pPr>
              <w:spacing w:after="0" w:line="240" w:lineRule="auto"/>
              <w:rPr>
                <w:sz w:val="20"/>
                <w:szCs w:val="20"/>
              </w:rPr>
            </w:pPr>
            <w:r w:rsidRPr="00A77AF6">
              <w:rPr>
                <w:sz w:val="20"/>
                <w:szCs w:val="20"/>
              </w:rPr>
              <w:t>3</w:t>
            </w:r>
          </w:p>
        </w:tc>
        <w:tc>
          <w:tcPr>
            <w:tcW w:w="1134" w:type="dxa"/>
            <w:tcBorders>
              <w:top w:val="single" w:sz="4" w:space="0" w:color="auto"/>
              <w:left w:val="single" w:sz="4" w:space="0" w:color="auto"/>
              <w:bottom w:val="single" w:sz="4" w:space="0" w:color="auto"/>
              <w:right w:val="single" w:sz="4" w:space="0" w:color="auto"/>
            </w:tcBorders>
          </w:tcPr>
          <w:p w14:paraId="2D6056D4" w14:textId="77777777" w:rsidR="00B32827" w:rsidRPr="00A77AF6" w:rsidRDefault="00B32827" w:rsidP="00927E1D">
            <w:pPr>
              <w:spacing w:after="0" w:line="240" w:lineRule="auto"/>
              <w:rPr>
                <w:sz w:val="20"/>
                <w:szCs w:val="20"/>
              </w:rPr>
            </w:pPr>
            <w:r w:rsidRPr="00A77AF6">
              <w:rPr>
                <w:sz w:val="20"/>
                <w:szCs w:val="20"/>
              </w:rPr>
              <w:t>2</w:t>
            </w:r>
          </w:p>
        </w:tc>
        <w:tc>
          <w:tcPr>
            <w:tcW w:w="1139" w:type="dxa"/>
            <w:tcBorders>
              <w:top w:val="single" w:sz="4" w:space="0" w:color="auto"/>
              <w:left w:val="single" w:sz="4" w:space="0" w:color="auto"/>
              <w:bottom w:val="single" w:sz="4" w:space="0" w:color="auto"/>
              <w:right w:val="single" w:sz="4" w:space="0" w:color="auto"/>
            </w:tcBorders>
          </w:tcPr>
          <w:p w14:paraId="63EFD61C" w14:textId="77777777" w:rsidR="00B32827" w:rsidRPr="00A77AF6" w:rsidRDefault="00B32827" w:rsidP="00927E1D">
            <w:pPr>
              <w:spacing w:after="0" w:line="240" w:lineRule="auto"/>
              <w:rPr>
                <w:sz w:val="20"/>
                <w:szCs w:val="20"/>
              </w:rPr>
            </w:pPr>
            <w:r w:rsidRPr="00A77AF6">
              <w:rPr>
                <w:sz w:val="20"/>
                <w:szCs w:val="20"/>
              </w:rPr>
              <w:t>1</w:t>
            </w:r>
          </w:p>
        </w:tc>
        <w:tc>
          <w:tcPr>
            <w:tcW w:w="1271" w:type="dxa"/>
            <w:tcBorders>
              <w:top w:val="single" w:sz="4" w:space="0" w:color="auto"/>
              <w:left w:val="single" w:sz="4" w:space="0" w:color="auto"/>
              <w:bottom w:val="single" w:sz="4" w:space="0" w:color="auto"/>
              <w:right w:val="single" w:sz="4" w:space="0" w:color="auto"/>
            </w:tcBorders>
          </w:tcPr>
          <w:p w14:paraId="02F5DAE0" w14:textId="77777777" w:rsidR="00B32827" w:rsidRPr="00A77AF6" w:rsidRDefault="00B32827" w:rsidP="00927E1D">
            <w:pPr>
              <w:spacing w:after="0" w:line="240" w:lineRule="auto"/>
              <w:rPr>
                <w:sz w:val="20"/>
                <w:szCs w:val="20"/>
              </w:rPr>
            </w:pPr>
            <w:r w:rsidRPr="00A77AF6">
              <w:rPr>
                <w:sz w:val="20"/>
                <w:szCs w:val="20"/>
              </w:rPr>
              <w:t>0</w:t>
            </w:r>
          </w:p>
        </w:tc>
        <w:tc>
          <w:tcPr>
            <w:tcW w:w="997" w:type="dxa"/>
            <w:tcBorders>
              <w:top w:val="single" w:sz="4" w:space="0" w:color="auto"/>
              <w:left w:val="single" w:sz="4" w:space="0" w:color="auto"/>
              <w:bottom w:val="single" w:sz="4" w:space="0" w:color="auto"/>
              <w:right w:val="single" w:sz="4" w:space="0" w:color="auto"/>
            </w:tcBorders>
          </w:tcPr>
          <w:p w14:paraId="2CDA69AA" w14:textId="77777777" w:rsidR="00B32827" w:rsidRPr="00A77AF6" w:rsidRDefault="00B32827" w:rsidP="00927E1D">
            <w:pPr>
              <w:spacing w:after="0" w:line="240" w:lineRule="auto"/>
              <w:rPr>
                <w:sz w:val="20"/>
                <w:szCs w:val="20"/>
              </w:rPr>
            </w:pPr>
            <w:r w:rsidRPr="00A77AF6">
              <w:rPr>
                <w:sz w:val="20"/>
                <w:szCs w:val="20"/>
              </w:rPr>
              <w:t>0</w:t>
            </w:r>
          </w:p>
        </w:tc>
      </w:tr>
      <w:tr w:rsidR="00B32827" w:rsidRPr="00A77AF6" w14:paraId="47AE1B42" w14:textId="77777777" w:rsidTr="00B32827">
        <w:trPr>
          <w:trHeight w:val="488"/>
        </w:trPr>
        <w:tc>
          <w:tcPr>
            <w:tcW w:w="421" w:type="dxa"/>
            <w:tcBorders>
              <w:top w:val="single" w:sz="4" w:space="0" w:color="auto"/>
              <w:left w:val="single" w:sz="4" w:space="0" w:color="auto"/>
              <w:bottom w:val="single" w:sz="4" w:space="0" w:color="auto"/>
              <w:right w:val="single" w:sz="4" w:space="0" w:color="auto"/>
            </w:tcBorders>
          </w:tcPr>
          <w:p w14:paraId="75581A48" w14:textId="77777777" w:rsidR="00B32827" w:rsidRPr="00A77AF6" w:rsidRDefault="00B32827" w:rsidP="00927E1D">
            <w:pPr>
              <w:spacing w:after="0" w:line="240" w:lineRule="auto"/>
              <w:rPr>
                <w:sz w:val="20"/>
                <w:szCs w:val="20"/>
              </w:rPr>
            </w:pPr>
            <w:r w:rsidRPr="00A77AF6">
              <w:rPr>
                <w:sz w:val="20"/>
                <w:szCs w:val="20"/>
              </w:rPr>
              <w:t>4</w:t>
            </w:r>
          </w:p>
        </w:tc>
        <w:tc>
          <w:tcPr>
            <w:tcW w:w="1559" w:type="dxa"/>
            <w:tcBorders>
              <w:top w:val="single" w:sz="4" w:space="0" w:color="auto"/>
              <w:left w:val="single" w:sz="4" w:space="0" w:color="auto"/>
              <w:bottom w:val="single" w:sz="4" w:space="0" w:color="auto"/>
              <w:right w:val="single" w:sz="4" w:space="0" w:color="auto"/>
            </w:tcBorders>
          </w:tcPr>
          <w:p w14:paraId="4FF53278" w14:textId="77777777" w:rsidR="00B32827" w:rsidRPr="00A77AF6" w:rsidRDefault="00B32827" w:rsidP="00927E1D">
            <w:pPr>
              <w:spacing w:after="0" w:line="240" w:lineRule="auto"/>
              <w:rPr>
                <w:sz w:val="20"/>
                <w:szCs w:val="20"/>
              </w:rPr>
            </w:pPr>
            <w:r w:rsidRPr="00A77AF6">
              <w:rPr>
                <w:sz w:val="20"/>
                <w:szCs w:val="20"/>
              </w:rPr>
              <w:t>Quality management</w:t>
            </w:r>
          </w:p>
        </w:tc>
        <w:tc>
          <w:tcPr>
            <w:tcW w:w="1134" w:type="dxa"/>
            <w:tcBorders>
              <w:top w:val="single" w:sz="4" w:space="0" w:color="auto"/>
              <w:left w:val="single" w:sz="4" w:space="0" w:color="auto"/>
              <w:bottom w:val="single" w:sz="4" w:space="0" w:color="auto"/>
              <w:right w:val="single" w:sz="4" w:space="0" w:color="auto"/>
            </w:tcBorders>
          </w:tcPr>
          <w:p w14:paraId="0C9DF83E" w14:textId="77777777" w:rsidR="00B32827" w:rsidRPr="00A77AF6" w:rsidRDefault="00B32827" w:rsidP="00927E1D">
            <w:pPr>
              <w:spacing w:after="0" w:line="240" w:lineRule="auto"/>
              <w:rPr>
                <w:sz w:val="20"/>
                <w:szCs w:val="20"/>
              </w:rPr>
            </w:pPr>
            <w:r w:rsidRPr="00A77AF6">
              <w:rPr>
                <w:sz w:val="20"/>
                <w:szCs w:val="20"/>
              </w:rPr>
              <w:t>4</w:t>
            </w:r>
          </w:p>
        </w:tc>
        <w:tc>
          <w:tcPr>
            <w:tcW w:w="992" w:type="dxa"/>
            <w:tcBorders>
              <w:top w:val="single" w:sz="4" w:space="0" w:color="auto"/>
              <w:left w:val="single" w:sz="4" w:space="0" w:color="auto"/>
              <w:bottom w:val="single" w:sz="4" w:space="0" w:color="auto"/>
              <w:right w:val="single" w:sz="4" w:space="0" w:color="auto"/>
            </w:tcBorders>
          </w:tcPr>
          <w:p w14:paraId="2349236A" w14:textId="77777777" w:rsidR="00B32827" w:rsidRPr="00A77AF6" w:rsidRDefault="00B32827" w:rsidP="00927E1D">
            <w:pPr>
              <w:spacing w:after="0" w:line="240" w:lineRule="auto"/>
              <w:rPr>
                <w:sz w:val="20"/>
                <w:szCs w:val="20"/>
              </w:rPr>
            </w:pPr>
            <w:r w:rsidRPr="00A77AF6">
              <w:rPr>
                <w:sz w:val="20"/>
                <w:szCs w:val="20"/>
              </w:rPr>
              <w:t>3</w:t>
            </w:r>
          </w:p>
        </w:tc>
        <w:tc>
          <w:tcPr>
            <w:tcW w:w="1134" w:type="dxa"/>
            <w:tcBorders>
              <w:top w:val="single" w:sz="4" w:space="0" w:color="auto"/>
              <w:left w:val="single" w:sz="4" w:space="0" w:color="auto"/>
              <w:bottom w:val="single" w:sz="4" w:space="0" w:color="auto"/>
              <w:right w:val="single" w:sz="4" w:space="0" w:color="auto"/>
            </w:tcBorders>
          </w:tcPr>
          <w:p w14:paraId="47E05886" w14:textId="77777777" w:rsidR="00B32827" w:rsidRPr="00A77AF6" w:rsidRDefault="00B32827" w:rsidP="00927E1D">
            <w:pPr>
              <w:spacing w:after="0" w:line="240" w:lineRule="auto"/>
              <w:rPr>
                <w:sz w:val="20"/>
                <w:szCs w:val="20"/>
              </w:rPr>
            </w:pPr>
            <w:r w:rsidRPr="00A77AF6">
              <w:rPr>
                <w:sz w:val="20"/>
                <w:szCs w:val="20"/>
              </w:rPr>
              <w:t>2</w:t>
            </w:r>
          </w:p>
        </w:tc>
        <w:tc>
          <w:tcPr>
            <w:tcW w:w="1139" w:type="dxa"/>
            <w:tcBorders>
              <w:top w:val="single" w:sz="4" w:space="0" w:color="auto"/>
              <w:left w:val="single" w:sz="4" w:space="0" w:color="auto"/>
              <w:bottom w:val="single" w:sz="4" w:space="0" w:color="auto"/>
              <w:right w:val="single" w:sz="4" w:space="0" w:color="auto"/>
            </w:tcBorders>
          </w:tcPr>
          <w:p w14:paraId="04B0DD4E" w14:textId="77777777" w:rsidR="00B32827" w:rsidRPr="00A77AF6" w:rsidRDefault="00B32827" w:rsidP="00927E1D">
            <w:pPr>
              <w:spacing w:after="0" w:line="240" w:lineRule="auto"/>
              <w:rPr>
                <w:sz w:val="20"/>
                <w:szCs w:val="20"/>
              </w:rPr>
            </w:pPr>
            <w:r w:rsidRPr="00A77AF6">
              <w:rPr>
                <w:sz w:val="20"/>
                <w:szCs w:val="20"/>
              </w:rPr>
              <w:t>1</w:t>
            </w:r>
          </w:p>
        </w:tc>
        <w:tc>
          <w:tcPr>
            <w:tcW w:w="1271" w:type="dxa"/>
            <w:tcBorders>
              <w:top w:val="single" w:sz="4" w:space="0" w:color="auto"/>
              <w:left w:val="single" w:sz="4" w:space="0" w:color="auto"/>
              <w:bottom w:val="single" w:sz="4" w:space="0" w:color="auto"/>
              <w:right w:val="single" w:sz="4" w:space="0" w:color="auto"/>
            </w:tcBorders>
          </w:tcPr>
          <w:p w14:paraId="1026BDE6" w14:textId="77777777" w:rsidR="00B32827" w:rsidRPr="00A77AF6" w:rsidRDefault="00B32827" w:rsidP="00927E1D">
            <w:pPr>
              <w:spacing w:after="0" w:line="240" w:lineRule="auto"/>
              <w:rPr>
                <w:sz w:val="20"/>
                <w:szCs w:val="20"/>
              </w:rPr>
            </w:pPr>
            <w:r w:rsidRPr="00A77AF6">
              <w:rPr>
                <w:sz w:val="20"/>
                <w:szCs w:val="20"/>
              </w:rPr>
              <w:t>0</w:t>
            </w:r>
          </w:p>
        </w:tc>
        <w:tc>
          <w:tcPr>
            <w:tcW w:w="997" w:type="dxa"/>
            <w:tcBorders>
              <w:top w:val="single" w:sz="4" w:space="0" w:color="auto"/>
              <w:left w:val="single" w:sz="4" w:space="0" w:color="auto"/>
              <w:bottom w:val="single" w:sz="4" w:space="0" w:color="auto"/>
              <w:right w:val="single" w:sz="4" w:space="0" w:color="auto"/>
            </w:tcBorders>
          </w:tcPr>
          <w:p w14:paraId="394FDBC0" w14:textId="77777777" w:rsidR="00B32827" w:rsidRPr="00A77AF6" w:rsidRDefault="00B32827" w:rsidP="00927E1D">
            <w:pPr>
              <w:spacing w:after="0" w:line="240" w:lineRule="auto"/>
              <w:rPr>
                <w:sz w:val="20"/>
                <w:szCs w:val="20"/>
              </w:rPr>
            </w:pPr>
            <w:r w:rsidRPr="00A77AF6">
              <w:rPr>
                <w:sz w:val="20"/>
                <w:szCs w:val="20"/>
              </w:rPr>
              <w:t>0</w:t>
            </w:r>
          </w:p>
        </w:tc>
      </w:tr>
      <w:tr w:rsidR="00B32827" w:rsidRPr="00A77AF6" w14:paraId="0F6418A5" w14:textId="77777777" w:rsidTr="00B32827">
        <w:trPr>
          <w:trHeight w:val="488"/>
        </w:trPr>
        <w:tc>
          <w:tcPr>
            <w:tcW w:w="421" w:type="dxa"/>
            <w:tcBorders>
              <w:top w:val="single" w:sz="4" w:space="0" w:color="auto"/>
              <w:left w:val="single" w:sz="4" w:space="0" w:color="auto"/>
              <w:bottom w:val="single" w:sz="4" w:space="0" w:color="auto"/>
              <w:right w:val="single" w:sz="4" w:space="0" w:color="auto"/>
            </w:tcBorders>
          </w:tcPr>
          <w:p w14:paraId="7D5889E4" w14:textId="77777777" w:rsidR="00B32827" w:rsidRPr="00A77AF6" w:rsidRDefault="00B32827" w:rsidP="00927E1D">
            <w:pPr>
              <w:spacing w:after="0" w:line="240" w:lineRule="auto"/>
              <w:rPr>
                <w:sz w:val="20"/>
                <w:szCs w:val="20"/>
              </w:rPr>
            </w:pPr>
            <w:r w:rsidRPr="00A77AF6">
              <w:rPr>
                <w:sz w:val="20"/>
                <w:szCs w:val="20"/>
              </w:rPr>
              <w:t>5</w:t>
            </w:r>
          </w:p>
        </w:tc>
        <w:tc>
          <w:tcPr>
            <w:tcW w:w="1559" w:type="dxa"/>
            <w:tcBorders>
              <w:top w:val="single" w:sz="4" w:space="0" w:color="auto"/>
              <w:left w:val="single" w:sz="4" w:space="0" w:color="auto"/>
              <w:bottom w:val="single" w:sz="4" w:space="0" w:color="auto"/>
              <w:right w:val="single" w:sz="4" w:space="0" w:color="auto"/>
            </w:tcBorders>
          </w:tcPr>
          <w:p w14:paraId="48AEE4A4" w14:textId="77777777" w:rsidR="00B32827" w:rsidRPr="00A77AF6" w:rsidRDefault="00B32827" w:rsidP="00927E1D">
            <w:pPr>
              <w:spacing w:after="0" w:line="240" w:lineRule="auto"/>
              <w:rPr>
                <w:sz w:val="20"/>
                <w:szCs w:val="20"/>
              </w:rPr>
            </w:pPr>
            <w:r w:rsidRPr="00A77AF6">
              <w:rPr>
                <w:sz w:val="20"/>
                <w:szCs w:val="20"/>
              </w:rPr>
              <w:t>Project Finance</w:t>
            </w:r>
          </w:p>
        </w:tc>
        <w:tc>
          <w:tcPr>
            <w:tcW w:w="1134" w:type="dxa"/>
            <w:tcBorders>
              <w:top w:val="single" w:sz="4" w:space="0" w:color="auto"/>
              <w:left w:val="single" w:sz="4" w:space="0" w:color="auto"/>
              <w:bottom w:val="single" w:sz="4" w:space="0" w:color="auto"/>
              <w:right w:val="single" w:sz="4" w:space="0" w:color="auto"/>
            </w:tcBorders>
          </w:tcPr>
          <w:p w14:paraId="7886484F" w14:textId="77777777" w:rsidR="00B32827" w:rsidRPr="00A77AF6" w:rsidRDefault="00B32827" w:rsidP="00927E1D">
            <w:pPr>
              <w:spacing w:after="0" w:line="240" w:lineRule="auto"/>
              <w:rPr>
                <w:sz w:val="20"/>
                <w:szCs w:val="20"/>
              </w:rPr>
            </w:pPr>
            <w:r w:rsidRPr="00A77AF6">
              <w:rPr>
                <w:sz w:val="20"/>
                <w:szCs w:val="20"/>
              </w:rPr>
              <w:t>4</w:t>
            </w:r>
          </w:p>
        </w:tc>
        <w:tc>
          <w:tcPr>
            <w:tcW w:w="992" w:type="dxa"/>
            <w:tcBorders>
              <w:top w:val="single" w:sz="4" w:space="0" w:color="auto"/>
              <w:left w:val="single" w:sz="4" w:space="0" w:color="auto"/>
              <w:bottom w:val="single" w:sz="4" w:space="0" w:color="auto"/>
              <w:right w:val="single" w:sz="4" w:space="0" w:color="auto"/>
            </w:tcBorders>
          </w:tcPr>
          <w:p w14:paraId="5290EBA5" w14:textId="77777777" w:rsidR="00B32827" w:rsidRPr="00A77AF6" w:rsidRDefault="00B32827" w:rsidP="00927E1D">
            <w:pPr>
              <w:spacing w:after="0" w:line="240" w:lineRule="auto"/>
              <w:rPr>
                <w:sz w:val="20"/>
                <w:szCs w:val="20"/>
              </w:rPr>
            </w:pPr>
            <w:r w:rsidRPr="00A77AF6">
              <w:rPr>
                <w:sz w:val="20"/>
                <w:szCs w:val="20"/>
              </w:rPr>
              <w:t>3</w:t>
            </w:r>
          </w:p>
        </w:tc>
        <w:tc>
          <w:tcPr>
            <w:tcW w:w="1134" w:type="dxa"/>
            <w:tcBorders>
              <w:top w:val="single" w:sz="4" w:space="0" w:color="auto"/>
              <w:left w:val="single" w:sz="4" w:space="0" w:color="auto"/>
              <w:bottom w:val="single" w:sz="4" w:space="0" w:color="auto"/>
              <w:right w:val="single" w:sz="4" w:space="0" w:color="auto"/>
            </w:tcBorders>
          </w:tcPr>
          <w:p w14:paraId="1CACF6FB" w14:textId="77777777" w:rsidR="00B32827" w:rsidRPr="00A77AF6" w:rsidRDefault="00B32827" w:rsidP="00927E1D">
            <w:pPr>
              <w:spacing w:after="0" w:line="240" w:lineRule="auto"/>
              <w:rPr>
                <w:sz w:val="20"/>
                <w:szCs w:val="20"/>
              </w:rPr>
            </w:pPr>
            <w:r w:rsidRPr="00A77AF6">
              <w:rPr>
                <w:sz w:val="20"/>
                <w:szCs w:val="20"/>
              </w:rPr>
              <w:t>2</w:t>
            </w:r>
          </w:p>
        </w:tc>
        <w:tc>
          <w:tcPr>
            <w:tcW w:w="1139" w:type="dxa"/>
            <w:tcBorders>
              <w:top w:val="single" w:sz="4" w:space="0" w:color="auto"/>
              <w:left w:val="single" w:sz="4" w:space="0" w:color="auto"/>
              <w:bottom w:val="single" w:sz="4" w:space="0" w:color="auto"/>
              <w:right w:val="single" w:sz="4" w:space="0" w:color="auto"/>
            </w:tcBorders>
          </w:tcPr>
          <w:p w14:paraId="328BAD16" w14:textId="77777777" w:rsidR="00B32827" w:rsidRPr="00A77AF6" w:rsidRDefault="00B32827" w:rsidP="00927E1D">
            <w:pPr>
              <w:spacing w:after="0" w:line="240" w:lineRule="auto"/>
              <w:rPr>
                <w:sz w:val="20"/>
                <w:szCs w:val="20"/>
              </w:rPr>
            </w:pPr>
            <w:r w:rsidRPr="00A77AF6">
              <w:rPr>
                <w:sz w:val="20"/>
                <w:szCs w:val="20"/>
              </w:rPr>
              <w:t>1</w:t>
            </w:r>
          </w:p>
        </w:tc>
        <w:tc>
          <w:tcPr>
            <w:tcW w:w="1271" w:type="dxa"/>
            <w:tcBorders>
              <w:top w:val="single" w:sz="4" w:space="0" w:color="auto"/>
              <w:left w:val="single" w:sz="4" w:space="0" w:color="auto"/>
              <w:bottom w:val="single" w:sz="4" w:space="0" w:color="auto"/>
              <w:right w:val="single" w:sz="4" w:space="0" w:color="auto"/>
            </w:tcBorders>
          </w:tcPr>
          <w:p w14:paraId="337BFDC9" w14:textId="77777777" w:rsidR="00B32827" w:rsidRPr="00A77AF6" w:rsidRDefault="00B32827" w:rsidP="00927E1D">
            <w:pPr>
              <w:spacing w:after="0" w:line="240" w:lineRule="auto"/>
              <w:rPr>
                <w:sz w:val="20"/>
                <w:szCs w:val="20"/>
              </w:rPr>
            </w:pPr>
            <w:r w:rsidRPr="00A77AF6">
              <w:rPr>
                <w:sz w:val="20"/>
                <w:szCs w:val="20"/>
              </w:rPr>
              <w:t>0</w:t>
            </w:r>
          </w:p>
        </w:tc>
        <w:tc>
          <w:tcPr>
            <w:tcW w:w="997" w:type="dxa"/>
            <w:tcBorders>
              <w:top w:val="single" w:sz="4" w:space="0" w:color="auto"/>
              <w:left w:val="single" w:sz="4" w:space="0" w:color="auto"/>
              <w:bottom w:val="single" w:sz="4" w:space="0" w:color="auto"/>
              <w:right w:val="single" w:sz="4" w:space="0" w:color="auto"/>
            </w:tcBorders>
          </w:tcPr>
          <w:p w14:paraId="36C3C4DD" w14:textId="77777777" w:rsidR="00B32827" w:rsidRPr="00A77AF6" w:rsidRDefault="00B32827" w:rsidP="00927E1D">
            <w:pPr>
              <w:spacing w:after="0" w:line="240" w:lineRule="auto"/>
              <w:rPr>
                <w:sz w:val="20"/>
                <w:szCs w:val="20"/>
              </w:rPr>
            </w:pPr>
            <w:r w:rsidRPr="00A77AF6">
              <w:rPr>
                <w:sz w:val="20"/>
                <w:szCs w:val="20"/>
              </w:rPr>
              <w:t>0</w:t>
            </w:r>
          </w:p>
        </w:tc>
      </w:tr>
      <w:tr w:rsidR="00B32827" w:rsidRPr="00A77AF6" w14:paraId="5E5F34C4" w14:textId="77777777" w:rsidTr="00B32827">
        <w:trPr>
          <w:trHeight w:val="488"/>
        </w:trPr>
        <w:tc>
          <w:tcPr>
            <w:tcW w:w="421" w:type="dxa"/>
            <w:tcBorders>
              <w:top w:val="single" w:sz="4" w:space="0" w:color="auto"/>
              <w:left w:val="single" w:sz="4" w:space="0" w:color="auto"/>
              <w:bottom w:val="single" w:sz="4" w:space="0" w:color="auto"/>
              <w:right w:val="single" w:sz="4" w:space="0" w:color="auto"/>
            </w:tcBorders>
          </w:tcPr>
          <w:p w14:paraId="0E123AED" w14:textId="77777777" w:rsidR="00B32827" w:rsidRPr="00A77AF6" w:rsidRDefault="00B32827" w:rsidP="00927E1D">
            <w:pPr>
              <w:spacing w:after="0" w:line="240" w:lineRule="auto"/>
              <w:rPr>
                <w:sz w:val="20"/>
                <w:szCs w:val="20"/>
              </w:rPr>
            </w:pPr>
            <w:r w:rsidRPr="00A77AF6">
              <w:rPr>
                <w:sz w:val="20"/>
                <w:szCs w:val="20"/>
              </w:rPr>
              <w:t>6</w:t>
            </w:r>
          </w:p>
        </w:tc>
        <w:tc>
          <w:tcPr>
            <w:tcW w:w="1559" w:type="dxa"/>
            <w:tcBorders>
              <w:top w:val="single" w:sz="4" w:space="0" w:color="auto"/>
              <w:left w:val="single" w:sz="4" w:space="0" w:color="auto"/>
              <w:bottom w:val="single" w:sz="4" w:space="0" w:color="auto"/>
              <w:right w:val="single" w:sz="4" w:space="0" w:color="auto"/>
            </w:tcBorders>
          </w:tcPr>
          <w:p w14:paraId="6C6B466D" w14:textId="77777777" w:rsidR="00B32827" w:rsidRPr="00A77AF6" w:rsidRDefault="00B32827" w:rsidP="00927E1D">
            <w:pPr>
              <w:spacing w:after="0" w:line="240" w:lineRule="auto"/>
              <w:rPr>
                <w:sz w:val="20"/>
                <w:szCs w:val="20"/>
              </w:rPr>
            </w:pPr>
            <w:r w:rsidRPr="00A77AF6">
              <w:rPr>
                <w:sz w:val="20"/>
                <w:szCs w:val="20"/>
              </w:rPr>
              <w:t>Project User group</w:t>
            </w:r>
          </w:p>
        </w:tc>
        <w:tc>
          <w:tcPr>
            <w:tcW w:w="1134" w:type="dxa"/>
            <w:tcBorders>
              <w:top w:val="single" w:sz="4" w:space="0" w:color="auto"/>
              <w:left w:val="single" w:sz="4" w:space="0" w:color="auto"/>
              <w:bottom w:val="single" w:sz="4" w:space="0" w:color="auto"/>
              <w:right w:val="single" w:sz="4" w:space="0" w:color="auto"/>
            </w:tcBorders>
          </w:tcPr>
          <w:p w14:paraId="6A79A381" w14:textId="77777777" w:rsidR="00B32827" w:rsidRPr="00A77AF6" w:rsidRDefault="00B32827" w:rsidP="00927E1D">
            <w:pPr>
              <w:spacing w:after="0" w:line="240" w:lineRule="auto"/>
              <w:rPr>
                <w:sz w:val="20"/>
                <w:szCs w:val="20"/>
              </w:rPr>
            </w:pPr>
            <w:r w:rsidRPr="00A77AF6">
              <w:rPr>
                <w:sz w:val="20"/>
                <w:szCs w:val="20"/>
              </w:rPr>
              <w:t>4</w:t>
            </w:r>
          </w:p>
        </w:tc>
        <w:tc>
          <w:tcPr>
            <w:tcW w:w="992" w:type="dxa"/>
            <w:tcBorders>
              <w:top w:val="single" w:sz="4" w:space="0" w:color="auto"/>
              <w:left w:val="single" w:sz="4" w:space="0" w:color="auto"/>
              <w:bottom w:val="single" w:sz="4" w:space="0" w:color="auto"/>
              <w:right w:val="single" w:sz="4" w:space="0" w:color="auto"/>
            </w:tcBorders>
          </w:tcPr>
          <w:p w14:paraId="578278E2" w14:textId="77777777" w:rsidR="00B32827" w:rsidRPr="00A77AF6" w:rsidRDefault="00B32827" w:rsidP="00927E1D">
            <w:pPr>
              <w:spacing w:after="0" w:line="240" w:lineRule="auto"/>
              <w:rPr>
                <w:sz w:val="20"/>
                <w:szCs w:val="20"/>
              </w:rPr>
            </w:pPr>
            <w:r w:rsidRPr="00A77AF6">
              <w:rPr>
                <w:sz w:val="20"/>
                <w:szCs w:val="20"/>
              </w:rPr>
              <w:t>3</w:t>
            </w:r>
          </w:p>
        </w:tc>
        <w:tc>
          <w:tcPr>
            <w:tcW w:w="1134" w:type="dxa"/>
            <w:tcBorders>
              <w:top w:val="single" w:sz="4" w:space="0" w:color="auto"/>
              <w:left w:val="single" w:sz="4" w:space="0" w:color="auto"/>
              <w:bottom w:val="single" w:sz="4" w:space="0" w:color="auto"/>
              <w:right w:val="single" w:sz="4" w:space="0" w:color="auto"/>
            </w:tcBorders>
          </w:tcPr>
          <w:p w14:paraId="43645AF5" w14:textId="77777777" w:rsidR="00B32827" w:rsidRPr="00A77AF6" w:rsidRDefault="00B32827" w:rsidP="00927E1D">
            <w:pPr>
              <w:spacing w:after="0" w:line="240" w:lineRule="auto"/>
              <w:rPr>
                <w:sz w:val="20"/>
                <w:szCs w:val="20"/>
              </w:rPr>
            </w:pPr>
            <w:r w:rsidRPr="00A77AF6">
              <w:rPr>
                <w:sz w:val="20"/>
                <w:szCs w:val="20"/>
              </w:rPr>
              <w:t>2</w:t>
            </w:r>
          </w:p>
        </w:tc>
        <w:tc>
          <w:tcPr>
            <w:tcW w:w="1139" w:type="dxa"/>
            <w:tcBorders>
              <w:top w:val="single" w:sz="4" w:space="0" w:color="auto"/>
              <w:left w:val="single" w:sz="4" w:space="0" w:color="auto"/>
              <w:bottom w:val="single" w:sz="4" w:space="0" w:color="auto"/>
              <w:right w:val="single" w:sz="4" w:space="0" w:color="auto"/>
            </w:tcBorders>
          </w:tcPr>
          <w:p w14:paraId="7C022F35" w14:textId="77777777" w:rsidR="00B32827" w:rsidRPr="00A77AF6" w:rsidRDefault="00B32827" w:rsidP="00927E1D">
            <w:pPr>
              <w:spacing w:after="0" w:line="240" w:lineRule="auto"/>
              <w:rPr>
                <w:sz w:val="20"/>
                <w:szCs w:val="20"/>
              </w:rPr>
            </w:pPr>
            <w:r w:rsidRPr="00A77AF6">
              <w:rPr>
                <w:sz w:val="20"/>
                <w:szCs w:val="20"/>
              </w:rPr>
              <w:t>1</w:t>
            </w:r>
          </w:p>
        </w:tc>
        <w:tc>
          <w:tcPr>
            <w:tcW w:w="1271" w:type="dxa"/>
            <w:tcBorders>
              <w:top w:val="single" w:sz="4" w:space="0" w:color="auto"/>
              <w:left w:val="single" w:sz="4" w:space="0" w:color="auto"/>
              <w:bottom w:val="single" w:sz="4" w:space="0" w:color="auto"/>
              <w:right w:val="single" w:sz="4" w:space="0" w:color="auto"/>
            </w:tcBorders>
          </w:tcPr>
          <w:p w14:paraId="7ADA0C05" w14:textId="77777777" w:rsidR="00B32827" w:rsidRPr="00A77AF6" w:rsidRDefault="00B32827" w:rsidP="00927E1D">
            <w:pPr>
              <w:spacing w:after="0" w:line="240" w:lineRule="auto"/>
              <w:rPr>
                <w:sz w:val="20"/>
                <w:szCs w:val="20"/>
              </w:rPr>
            </w:pPr>
            <w:r w:rsidRPr="00A77AF6">
              <w:rPr>
                <w:sz w:val="20"/>
                <w:szCs w:val="20"/>
              </w:rPr>
              <w:t>0</w:t>
            </w:r>
          </w:p>
        </w:tc>
        <w:tc>
          <w:tcPr>
            <w:tcW w:w="997" w:type="dxa"/>
            <w:tcBorders>
              <w:top w:val="single" w:sz="4" w:space="0" w:color="auto"/>
              <w:left w:val="single" w:sz="4" w:space="0" w:color="auto"/>
              <w:bottom w:val="single" w:sz="4" w:space="0" w:color="auto"/>
              <w:right w:val="single" w:sz="4" w:space="0" w:color="auto"/>
            </w:tcBorders>
          </w:tcPr>
          <w:p w14:paraId="1A0C211E" w14:textId="77777777" w:rsidR="00B32827" w:rsidRPr="00A77AF6" w:rsidRDefault="00B32827" w:rsidP="00927E1D">
            <w:pPr>
              <w:spacing w:after="0" w:line="240" w:lineRule="auto"/>
              <w:rPr>
                <w:sz w:val="20"/>
                <w:szCs w:val="20"/>
              </w:rPr>
            </w:pPr>
            <w:r w:rsidRPr="00A77AF6">
              <w:rPr>
                <w:sz w:val="20"/>
                <w:szCs w:val="20"/>
              </w:rPr>
              <w:t>0</w:t>
            </w:r>
          </w:p>
        </w:tc>
      </w:tr>
      <w:tr w:rsidR="00B32827" w:rsidRPr="00A77AF6" w14:paraId="544958ED" w14:textId="77777777" w:rsidTr="00B32827">
        <w:trPr>
          <w:trHeight w:val="489"/>
        </w:trPr>
        <w:tc>
          <w:tcPr>
            <w:tcW w:w="421" w:type="dxa"/>
            <w:tcBorders>
              <w:top w:val="single" w:sz="4" w:space="0" w:color="auto"/>
              <w:left w:val="single" w:sz="4" w:space="0" w:color="auto"/>
              <w:bottom w:val="single" w:sz="4" w:space="0" w:color="auto"/>
              <w:right w:val="single" w:sz="4" w:space="0" w:color="auto"/>
            </w:tcBorders>
          </w:tcPr>
          <w:p w14:paraId="05783E3D" w14:textId="77777777" w:rsidR="00B32827" w:rsidRPr="00A77AF6" w:rsidRDefault="00B32827" w:rsidP="00927E1D">
            <w:pPr>
              <w:spacing w:after="0" w:line="240" w:lineRule="auto"/>
              <w:rPr>
                <w:sz w:val="20"/>
                <w:szCs w:val="20"/>
              </w:rPr>
            </w:pPr>
            <w:r w:rsidRPr="00A77AF6">
              <w:rPr>
                <w:sz w:val="20"/>
                <w:szCs w:val="20"/>
              </w:rPr>
              <w:t>7</w:t>
            </w:r>
          </w:p>
        </w:tc>
        <w:tc>
          <w:tcPr>
            <w:tcW w:w="1559" w:type="dxa"/>
            <w:tcBorders>
              <w:top w:val="single" w:sz="4" w:space="0" w:color="auto"/>
              <w:left w:val="single" w:sz="4" w:space="0" w:color="auto"/>
              <w:bottom w:val="single" w:sz="4" w:space="0" w:color="auto"/>
              <w:right w:val="single" w:sz="4" w:space="0" w:color="auto"/>
            </w:tcBorders>
          </w:tcPr>
          <w:p w14:paraId="70F86760" w14:textId="782061F4" w:rsidR="00B32827" w:rsidRPr="00A77AF6" w:rsidRDefault="008B0E67" w:rsidP="00927E1D">
            <w:pPr>
              <w:spacing w:after="0" w:line="240" w:lineRule="auto"/>
              <w:rPr>
                <w:sz w:val="20"/>
                <w:szCs w:val="20"/>
              </w:rPr>
            </w:pPr>
            <w:r w:rsidRPr="00A77AF6">
              <w:rPr>
                <w:sz w:val="20"/>
                <w:szCs w:val="20"/>
              </w:rPr>
              <w:t>P</w:t>
            </w:r>
            <w:r w:rsidR="00B32827" w:rsidRPr="00A77AF6">
              <w:rPr>
                <w:sz w:val="20"/>
                <w:szCs w:val="20"/>
              </w:rPr>
              <w:t>roject stakeholders</w:t>
            </w:r>
          </w:p>
        </w:tc>
        <w:tc>
          <w:tcPr>
            <w:tcW w:w="1134" w:type="dxa"/>
            <w:tcBorders>
              <w:top w:val="single" w:sz="4" w:space="0" w:color="auto"/>
              <w:left w:val="single" w:sz="4" w:space="0" w:color="auto"/>
              <w:bottom w:val="single" w:sz="4" w:space="0" w:color="auto"/>
              <w:right w:val="single" w:sz="4" w:space="0" w:color="auto"/>
            </w:tcBorders>
          </w:tcPr>
          <w:p w14:paraId="04A2B714" w14:textId="77777777" w:rsidR="00B32827" w:rsidRPr="00A77AF6" w:rsidRDefault="00B32827" w:rsidP="00927E1D">
            <w:pPr>
              <w:spacing w:after="0" w:line="240" w:lineRule="auto"/>
              <w:rPr>
                <w:sz w:val="20"/>
                <w:szCs w:val="20"/>
              </w:rPr>
            </w:pPr>
            <w:r w:rsidRPr="00A77AF6">
              <w:rPr>
                <w:sz w:val="20"/>
                <w:szCs w:val="20"/>
              </w:rPr>
              <w:t>4</w:t>
            </w:r>
          </w:p>
        </w:tc>
        <w:tc>
          <w:tcPr>
            <w:tcW w:w="992" w:type="dxa"/>
            <w:tcBorders>
              <w:top w:val="single" w:sz="4" w:space="0" w:color="auto"/>
              <w:left w:val="single" w:sz="4" w:space="0" w:color="auto"/>
              <w:bottom w:val="single" w:sz="4" w:space="0" w:color="auto"/>
              <w:right w:val="single" w:sz="4" w:space="0" w:color="auto"/>
            </w:tcBorders>
          </w:tcPr>
          <w:p w14:paraId="71562EA3" w14:textId="77777777" w:rsidR="00B32827" w:rsidRPr="00A77AF6" w:rsidRDefault="00B32827" w:rsidP="00927E1D">
            <w:pPr>
              <w:spacing w:after="0" w:line="240" w:lineRule="auto"/>
              <w:rPr>
                <w:sz w:val="20"/>
                <w:szCs w:val="20"/>
              </w:rPr>
            </w:pPr>
            <w:r w:rsidRPr="00A77AF6">
              <w:rPr>
                <w:sz w:val="20"/>
                <w:szCs w:val="20"/>
              </w:rPr>
              <w:t>3</w:t>
            </w:r>
          </w:p>
        </w:tc>
        <w:tc>
          <w:tcPr>
            <w:tcW w:w="1134" w:type="dxa"/>
            <w:tcBorders>
              <w:top w:val="single" w:sz="4" w:space="0" w:color="auto"/>
              <w:left w:val="single" w:sz="4" w:space="0" w:color="auto"/>
              <w:bottom w:val="single" w:sz="4" w:space="0" w:color="auto"/>
              <w:right w:val="single" w:sz="4" w:space="0" w:color="auto"/>
            </w:tcBorders>
          </w:tcPr>
          <w:p w14:paraId="12482226" w14:textId="77777777" w:rsidR="00B32827" w:rsidRPr="00A77AF6" w:rsidRDefault="00B32827" w:rsidP="00927E1D">
            <w:pPr>
              <w:spacing w:after="0" w:line="240" w:lineRule="auto"/>
              <w:rPr>
                <w:sz w:val="20"/>
                <w:szCs w:val="20"/>
              </w:rPr>
            </w:pPr>
            <w:r w:rsidRPr="00A77AF6">
              <w:rPr>
                <w:sz w:val="20"/>
                <w:szCs w:val="20"/>
              </w:rPr>
              <w:t>2</w:t>
            </w:r>
          </w:p>
        </w:tc>
        <w:tc>
          <w:tcPr>
            <w:tcW w:w="1139" w:type="dxa"/>
            <w:tcBorders>
              <w:top w:val="single" w:sz="4" w:space="0" w:color="auto"/>
              <w:left w:val="single" w:sz="4" w:space="0" w:color="auto"/>
              <w:bottom w:val="single" w:sz="4" w:space="0" w:color="auto"/>
              <w:right w:val="single" w:sz="4" w:space="0" w:color="auto"/>
            </w:tcBorders>
          </w:tcPr>
          <w:p w14:paraId="7452B3E3" w14:textId="77777777" w:rsidR="00B32827" w:rsidRPr="00A77AF6" w:rsidRDefault="00B32827" w:rsidP="00927E1D">
            <w:pPr>
              <w:spacing w:after="0" w:line="240" w:lineRule="auto"/>
              <w:rPr>
                <w:sz w:val="20"/>
                <w:szCs w:val="20"/>
              </w:rPr>
            </w:pPr>
            <w:r w:rsidRPr="00A77AF6">
              <w:rPr>
                <w:sz w:val="20"/>
                <w:szCs w:val="20"/>
              </w:rPr>
              <w:t>1</w:t>
            </w:r>
          </w:p>
        </w:tc>
        <w:tc>
          <w:tcPr>
            <w:tcW w:w="1271" w:type="dxa"/>
            <w:tcBorders>
              <w:top w:val="single" w:sz="4" w:space="0" w:color="auto"/>
              <w:left w:val="single" w:sz="4" w:space="0" w:color="auto"/>
              <w:bottom w:val="single" w:sz="4" w:space="0" w:color="auto"/>
              <w:right w:val="single" w:sz="4" w:space="0" w:color="auto"/>
            </w:tcBorders>
          </w:tcPr>
          <w:p w14:paraId="23CC127D" w14:textId="77777777" w:rsidR="00B32827" w:rsidRPr="00A77AF6" w:rsidRDefault="00B32827" w:rsidP="00927E1D">
            <w:pPr>
              <w:spacing w:after="0" w:line="240" w:lineRule="auto"/>
              <w:rPr>
                <w:sz w:val="20"/>
                <w:szCs w:val="20"/>
              </w:rPr>
            </w:pPr>
            <w:r w:rsidRPr="00A77AF6">
              <w:rPr>
                <w:sz w:val="20"/>
                <w:szCs w:val="20"/>
              </w:rPr>
              <w:t>0</w:t>
            </w:r>
          </w:p>
        </w:tc>
        <w:tc>
          <w:tcPr>
            <w:tcW w:w="997" w:type="dxa"/>
            <w:tcBorders>
              <w:top w:val="single" w:sz="4" w:space="0" w:color="auto"/>
              <w:left w:val="single" w:sz="4" w:space="0" w:color="auto"/>
              <w:bottom w:val="single" w:sz="4" w:space="0" w:color="auto"/>
              <w:right w:val="single" w:sz="4" w:space="0" w:color="auto"/>
            </w:tcBorders>
          </w:tcPr>
          <w:p w14:paraId="66EE052C" w14:textId="77777777" w:rsidR="00B32827" w:rsidRPr="00A77AF6" w:rsidRDefault="00B32827" w:rsidP="00927E1D">
            <w:pPr>
              <w:spacing w:after="0" w:line="240" w:lineRule="auto"/>
              <w:rPr>
                <w:sz w:val="20"/>
                <w:szCs w:val="20"/>
              </w:rPr>
            </w:pPr>
            <w:r w:rsidRPr="00A77AF6">
              <w:rPr>
                <w:sz w:val="20"/>
                <w:szCs w:val="20"/>
              </w:rPr>
              <w:t>0</w:t>
            </w:r>
          </w:p>
        </w:tc>
      </w:tr>
      <w:tr w:rsidR="00B32827" w:rsidRPr="00A77AF6" w14:paraId="2D6C8CB0" w14:textId="77777777" w:rsidTr="00B32827">
        <w:trPr>
          <w:trHeight w:val="489"/>
        </w:trPr>
        <w:tc>
          <w:tcPr>
            <w:tcW w:w="421" w:type="dxa"/>
            <w:tcBorders>
              <w:top w:val="single" w:sz="4" w:space="0" w:color="auto"/>
              <w:left w:val="single" w:sz="4" w:space="0" w:color="auto"/>
              <w:bottom w:val="single" w:sz="4" w:space="0" w:color="auto"/>
              <w:right w:val="single" w:sz="4" w:space="0" w:color="auto"/>
            </w:tcBorders>
          </w:tcPr>
          <w:p w14:paraId="1CE5642D" w14:textId="77777777" w:rsidR="00B32827" w:rsidRPr="00A77AF6" w:rsidRDefault="00B32827" w:rsidP="00927E1D">
            <w:pPr>
              <w:spacing w:after="0" w:line="240" w:lineRule="auto"/>
              <w:rPr>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740D14A" w14:textId="77777777" w:rsidR="00B32827" w:rsidRPr="00A77AF6" w:rsidRDefault="00B32827" w:rsidP="00927E1D">
            <w:pPr>
              <w:spacing w:after="0" w:line="240" w:lineRule="auto"/>
              <w:rPr>
                <w:b/>
                <w:sz w:val="20"/>
                <w:szCs w:val="20"/>
              </w:rPr>
            </w:pPr>
            <w:r w:rsidRPr="00A77AF6">
              <w:rPr>
                <w:b/>
                <w:sz w:val="20"/>
                <w:szCs w:val="20"/>
              </w:rPr>
              <w:t xml:space="preserve">Total </w:t>
            </w:r>
          </w:p>
        </w:tc>
        <w:tc>
          <w:tcPr>
            <w:tcW w:w="1134" w:type="dxa"/>
            <w:tcBorders>
              <w:top w:val="single" w:sz="4" w:space="0" w:color="auto"/>
              <w:left w:val="single" w:sz="4" w:space="0" w:color="auto"/>
              <w:bottom w:val="single" w:sz="4" w:space="0" w:color="auto"/>
              <w:right w:val="single" w:sz="4" w:space="0" w:color="auto"/>
            </w:tcBorders>
          </w:tcPr>
          <w:p w14:paraId="7CA9CD89" w14:textId="77777777" w:rsidR="00B32827" w:rsidRPr="00A77AF6" w:rsidRDefault="00B32827" w:rsidP="00927E1D">
            <w:pPr>
              <w:spacing w:after="0" w:line="240" w:lineRule="auto"/>
              <w:rPr>
                <w:b/>
                <w:sz w:val="20"/>
                <w:szCs w:val="20"/>
              </w:rPr>
            </w:pPr>
            <w:r w:rsidRPr="00A77AF6">
              <w:rPr>
                <w:b/>
                <w:sz w:val="20"/>
                <w:szCs w:val="20"/>
              </w:rPr>
              <w:t>28</w:t>
            </w:r>
          </w:p>
        </w:tc>
        <w:tc>
          <w:tcPr>
            <w:tcW w:w="992" w:type="dxa"/>
            <w:tcBorders>
              <w:top w:val="single" w:sz="4" w:space="0" w:color="auto"/>
              <w:left w:val="single" w:sz="4" w:space="0" w:color="auto"/>
              <w:bottom w:val="single" w:sz="4" w:space="0" w:color="auto"/>
              <w:right w:val="single" w:sz="4" w:space="0" w:color="auto"/>
            </w:tcBorders>
          </w:tcPr>
          <w:p w14:paraId="193EEFD1" w14:textId="77777777" w:rsidR="00B32827" w:rsidRPr="00A77AF6" w:rsidRDefault="00B32827" w:rsidP="00927E1D">
            <w:pPr>
              <w:spacing w:after="0" w:line="240" w:lineRule="auto"/>
              <w:rPr>
                <w:b/>
                <w:sz w:val="20"/>
                <w:szCs w:val="20"/>
              </w:rPr>
            </w:pPr>
            <w:r w:rsidRPr="00A77AF6">
              <w:rPr>
                <w:b/>
                <w:sz w:val="20"/>
                <w:szCs w:val="20"/>
              </w:rPr>
              <w:t>21</w:t>
            </w:r>
          </w:p>
        </w:tc>
        <w:tc>
          <w:tcPr>
            <w:tcW w:w="1134" w:type="dxa"/>
            <w:tcBorders>
              <w:top w:val="single" w:sz="4" w:space="0" w:color="auto"/>
              <w:left w:val="single" w:sz="4" w:space="0" w:color="auto"/>
              <w:bottom w:val="single" w:sz="4" w:space="0" w:color="auto"/>
              <w:right w:val="single" w:sz="4" w:space="0" w:color="auto"/>
            </w:tcBorders>
          </w:tcPr>
          <w:p w14:paraId="1E82DFE6" w14:textId="77777777" w:rsidR="00B32827" w:rsidRPr="00A77AF6" w:rsidRDefault="00B32827" w:rsidP="00927E1D">
            <w:pPr>
              <w:spacing w:after="0" w:line="240" w:lineRule="auto"/>
              <w:rPr>
                <w:b/>
                <w:sz w:val="20"/>
                <w:szCs w:val="20"/>
              </w:rPr>
            </w:pPr>
            <w:r w:rsidRPr="00A77AF6">
              <w:rPr>
                <w:b/>
                <w:sz w:val="20"/>
                <w:szCs w:val="20"/>
              </w:rPr>
              <w:t>14</w:t>
            </w:r>
          </w:p>
        </w:tc>
        <w:tc>
          <w:tcPr>
            <w:tcW w:w="1139" w:type="dxa"/>
            <w:tcBorders>
              <w:top w:val="single" w:sz="4" w:space="0" w:color="auto"/>
              <w:left w:val="single" w:sz="4" w:space="0" w:color="auto"/>
              <w:bottom w:val="single" w:sz="4" w:space="0" w:color="auto"/>
              <w:right w:val="single" w:sz="4" w:space="0" w:color="auto"/>
            </w:tcBorders>
          </w:tcPr>
          <w:p w14:paraId="1DD42C29" w14:textId="77777777" w:rsidR="00B32827" w:rsidRPr="00A77AF6" w:rsidRDefault="00B32827" w:rsidP="00927E1D">
            <w:pPr>
              <w:spacing w:after="0" w:line="240" w:lineRule="auto"/>
              <w:rPr>
                <w:b/>
                <w:sz w:val="20"/>
                <w:szCs w:val="20"/>
              </w:rPr>
            </w:pPr>
            <w:r w:rsidRPr="00A77AF6">
              <w:rPr>
                <w:b/>
                <w:sz w:val="20"/>
                <w:szCs w:val="20"/>
              </w:rPr>
              <w:t>7</w:t>
            </w:r>
          </w:p>
        </w:tc>
        <w:tc>
          <w:tcPr>
            <w:tcW w:w="1271" w:type="dxa"/>
            <w:tcBorders>
              <w:top w:val="single" w:sz="4" w:space="0" w:color="auto"/>
              <w:left w:val="single" w:sz="4" w:space="0" w:color="auto"/>
              <w:bottom w:val="single" w:sz="4" w:space="0" w:color="auto"/>
              <w:right w:val="single" w:sz="4" w:space="0" w:color="auto"/>
            </w:tcBorders>
          </w:tcPr>
          <w:p w14:paraId="6FAEDDCF" w14:textId="77777777" w:rsidR="00B32827" w:rsidRPr="00A77AF6" w:rsidRDefault="00B32827" w:rsidP="00927E1D">
            <w:pPr>
              <w:spacing w:after="0" w:line="240" w:lineRule="auto"/>
              <w:rPr>
                <w:b/>
                <w:sz w:val="20"/>
                <w:szCs w:val="20"/>
              </w:rPr>
            </w:pPr>
            <w:r w:rsidRPr="00A77AF6">
              <w:rPr>
                <w:b/>
                <w:sz w:val="20"/>
                <w:szCs w:val="20"/>
              </w:rPr>
              <w:t>0</w:t>
            </w:r>
          </w:p>
        </w:tc>
        <w:tc>
          <w:tcPr>
            <w:tcW w:w="997" w:type="dxa"/>
            <w:tcBorders>
              <w:top w:val="single" w:sz="4" w:space="0" w:color="auto"/>
              <w:left w:val="single" w:sz="4" w:space="0" w:color="auto"/>
              <w:bottom w:val="single" w:sz="4" w:space="0" w:color="auto"/>
              <w:right w:val="single" w:sz="4" w:space="0" w:color="auto"/>
            </w:tcBorders>
          </w:tcPr>
          <w:p w14:paraId="228041E4" w14:textId="77777777" w:rsidR="00B32827" w:rsidRPr="00A77AF6" w:rsidRDefault="00B32827" w:rsidP="00927E1D">
            <w:pPr>
              <w:spacing w:after="0" w:line="240" w:lineRule="auto"/>
              <w:rPr>
                <w:b/>
                <w:sz w:val="20"/>
                <w:szCs w:val="20"/>
              </w:rPr>
            </w:pPr>
            <w:r w:rsidRPr="00A77AF6">
              <w:rPr>
                <w:b/>
                <w:sz w:val="20"/>
                <w:szCs w:val="20"/>
              </w:rPr>
              <w:t>0</w:t>
            </w:r>
          </w:p>
        </w:tc>
      </w:tr>
    </w:tbl>
    <w:p w14:paraId="0C0BE9C1" w14:textId="403CA7E5" w:rsidR="00A54E54" w:rsidRPr="00A77AF6" w:rsidRDefault="00B17B11" w:rsidP="00EA1EB4">
      <w:pPr>
        <w:spacing w:before="240" w:line="360" w:lineRule="auto"/>
      </w:pPr>
      <w:r w:rsidRPr="00A77AF6">
        <w:t xml:space="preserve">For ease of presentation the data was categorised into </w:t>
      </w:r>
      <w:r w:rsidR="00880EF6" w:rsidRPr="00A77AF6">
        <w:t>three</w:t>
      </w:r>
      <w:r w:rsidRPr="00A77AF6">
        <w:t xml:space="preserve"> new variables.  ‘Very effective’ and ‘quite effective’ were combined to make the variable ‘Effective’. The variable ’Not effective’ was created by combining ‘Not very effective’ and ‘Not at all effective’.   The third variable ‘Don’t know’ was created by combining the options ‘Heard of them but don’t know their role in the project’ and ‘Not heard of them’.  </w:t>
      </w:r>
      <w:r w:rsidR="00B32827" w:rsidRPr="00A77AF6">
        <w:t xml:space="preserve">Each of the </w:t>
      </w:r>
      <w:r w:rsidR="00880EF6" w:rsidRPr="00A77AF6">
        <w:t>seven</w:t>
      </w:r>
      <w:r w:rsidR="00B32827" w:rsidRPr="00A77AF6">
        <w:t xml:space="preserve"> elements of project governance were scored by 51 respondents which gave a total of 357</w:t>
      </w:r>
      <w:r w:rsidR="00B671F6" w:rsidRPr="00A77AF6">
        <w:t xml:space="preserve"> </w:t>
      </w:r>
      <w:r w:rsidR="00EA1EB4" w:rsidRPr="00A77AF6">
        <w:t xml:space="preserve">data elements. </w:t>
      </w:r>
      <w:r w:rsidR="00B32827" w:rsidRPr="00A77AF6">
        <w:t xml:space="preserve"> Of those, 289 scores of </w:t>
      </w:r>
      <w:r w:rsidR="007313B4" w:rsidRPr="00A77AF6">
        <w:t xml:space="preserve">four </w:t>
      </w:r>
      <w:r w:rsidR="00B32827" w:rsidRPr="00A77AF6">
        <w:t xml:space="preserve">or </w:t>
      </w:r>
      <w:r w:rsidR="007313B4" w:rsidRPr="00A77AF6">
        <w:t>three</w:t>
      </w:r>
      <w:r w:rsidR="00B32827" w:rsidRPr="00A77AF6">
        <w:t xml:space="preserve"> were given (very effective or quite effective) across the</w:t>
      </w:r>
      <w:r w:rsidR="00B671F6" w:rsidRPr="00A77AF6">
        <w:t xml:space="preserve"> seven</w:t>
      </w:r>
      <w:r w:rsidR="00B32827" w:rsidRPr="00A77AF6">
        <w:t xml:space="preserve"> </w:t>
      </w:r>
      <w:r w:rsidRPr="00A77AF6">
        <w:t xml:space="preserve">project governance </w:t>
      </w:r>
      <w:r w:rsidR="00B32827" w:rsidRPr="00A77AF6">
        <w:t>elements</w:t>
      </w:r>
      <w:r w:rsidR="00EA1EB4" w:rsidRPr="00A77AF6">
        <w:t xml:space="preserve"> meaning </w:t>
      </w:r>
      <w:r w:rsidR="00B32827" w:rsidRPr="00A77AF6">
        <w:t xml:space="preserve">that </w:t>
      </w:r>
      <w:r w:rsidR="0056655B" w:rsidRPr="00A77AF6">
        <w:t>289</w:t>
      </w:r>
      <w:r w:rsidR="007313B4" w:rsidRPr="00A77AF6">
        <w:t xml:space="preserve"> (</w:t>
      </w:r>
      <w:r w:rsidR="0056655B" w:rsidRPr="00A77AF6">
        <w:t>81</w:t>
      </w:r>
      <w:r w:rsidR="00B32827" w:rsidRPr="00A77AF6">
        <w:t>%</w:t>
      </w:r>
      <w:r w:rsidR="0056655B" w:rsidRPr="00A77AF6">
        <w:t>)</w:t>
      </w:r>
      <w:r w:rsidR="00B32827" w:rsidRPr="00A77AF6">
        <w:t xml:space="preserve"> of responses considered</w:t>
      </w:r>
      <w:r w:rsidR="00B671F6" w:rsidRPr="00A77AF6">
        <w:t xml:space="preserve"> </w:t>
      </w:r>
      <w:r w:rsidR="00B32827" w:rsidRPr="00A77AF6">
        <w:t xml:space="preserve">governance </w:t>
      </w:r>
      <w:r w:rsidR="00EA1EB4" w:rsidRPr="00A77AF6">
        <w:t>to be</w:t>
      </w:r>
      <w:r w:rsidR="00B32827" w:rsidRPr="00A77AF6">
        <w:t xml:space="preserve"> effective.  </w:t>
      </w:r>
      <w:r w:rsidR="00B671F6" w:rsidRPr="00A77AF6">
        <w:t>Fifty-five (</w:t>
      </w:r>
      <w:r w:rsidRPr="00A77AF6">
        <w:t xml:space="preserve">15%) </w:t>
      </w:r>
      <w:r w:rsidR="00B32827" w:rsidRPr="00A77AF6">
        <w:lastRenderedPageBreak/>
        <w:t>scores o</w:t>
      </w:r>
      <w:r w:rsidR="00B671F6" w:rsidRPr="00A77AF6">
        <w:t>f</w:t>
      </w:r>
      <w:r w:rsidR="00B32827" w:rsidRPr="00A77AF6">
        <w:t xml:space="preserve"> </w:t>
      </w:r>
      <w:r w:rsidR="00B671F6" w:rsidRPr="00A77AF6">
        <w:t xml:space="preserve">two </w:t>
      </w:r>
      <w:r w:rsidR="00B32827" w:rsidRPr="00A77AF6">
        <w:t xml:space="preserve">or </w:t>
      </w:r>
      <w:r w:rsidR="00B671F6" w:rsidRPr="00A77AF6">
        <w:t xml:space="preserve">one </w:t>
      </w:r>
      <w:r w:rsidR="00B32827" w:rsidRPr="00A77AF6">
        <w:t>were given (not very effective or not at all effective)</w:t>
      </w:r>
      <w:r w:rsidR="00EA1EB4" w:rsidRPr="00A77AF6">
        <w:t xml:space="preserve"> </w:t>
      </w:r>
      <w:r w:rsidR="00B32827" w:rsidRPr="00A77AF6">
        <w:t>mean</w:t>
      </w:r>
      <w:r w:rsidR="00EA1EB4" w:rsidRPr="00A77AF6">
        <w:t xml:space="preserve">ing  that </w:t>
      </w:r>
      <w:r w:rsidR="00B32827" w:rsidRPr="00A77AF6">
        <w:t xml:space="preserve">15% of responses </w:t>
      </w:r>
      <w:r w:rsidR="00EA1EB4" w:rsidRPr="00A77AF6">
        <w:t>considered</w:t>
      </w:r>
      <w:r w:rsidR="00B671F6" w:rsidRPr="00A77AF6">
        <w:t xml:space="preserve"> </w:t>
      </w:r>
      <w:r w:rsidR="00B32827" w:rsidRPr="00A77AF6">
        <w:t xml:space="preserve">project governance </w:t>
      </w:r>
      <w:r w:rsidR="00EA1EB4" w:rsidRPr="00A77AF6">
        <w:t xml:space="preserve">to </w:t>
      </w:r>
      <w:r w:rsidR="00B671F6" w:rsidRPr="00A77AF6">
        <w:t xml:space="preserve">be </w:t>
      </w:r>
      <w:r w:rsidR="00B32827" w:rsidRPr="00A77AF6">
        <w:t>ineffective</w:t>
      </w:r>
      <w:r w:rsidR="00EA1EB4" w:rsidRPr="00A77AF6">
        <w:t>. T</w:t>
      </w:r>
      <w:r w:rsidR="00B671F6" w:rsidRPr="00A77AF6">
        <w:t>hirteen</w:t>
      </w:r>
      <w:r w:rsidR="007313B4" w:rsidRPr="00A77AF6">
        <w:t xml:space="preserve"> </w:t>
      </w:r>
      <w:r w:rsidR="00B32827" w:rsidRPr="00A77AF6">
        <w:t>scores of ‘Don’t know’ (4%) were given.  The</w:t>
      </w:r>
      <w:r w:rsidR="00EA1EB4" w:rsidRPr="00A77AF6">
        <w:t xml:space="preserve">se results suggest </w:t>
      </w:r>
      <w:r w:rsidR="00B32827" w:rsidRPr="00A77AF6">
        <w:t xml:space="preserve">that respondents thought project governance was effective. </w:t>
      </w:r>
      <w:r w:rsidR="008E5489" w:rsidRPr="00A77AF6">
        <w:t>(</w:t>
      </w:r>
      <w:r w:rsidR="009A6D06" w:rsidRPr="00A77AF6">
        <w:t xml:space="preserve">Appendix </w:t>
      </w:r>
      <w:r w:rsidR="00113EEA" w:rsidRPr="00A77AF6">
        <w:t>F</w:t>
      </w:r>
      <w:r w:rsidR="008E5489" w:rsidRPr="00A77AF6">
        <w:t xml:space="preserve"> for </w:t>
      </w:r>
      <w:r w:rsidR="00113EEA" w:rsidRPr="00A77AF6">
        <w:t>project governance effectiveness scores</w:t>
      </w:r>
      <w:r w:rsidR="008E5489" w:rsidRPr="00A77AF6">
        <w:t>)</w:t>
      </w:r>
      <w:r w:rsidR="009A6D06" w:rsidRPr="00A77AF6">
        <w:t xml:space="preserve">. </w:t>
      </w:r>
      <w:r w:rsidR="00B32827" w:rsidRPr="00A77AF6">
        <w:t xml:space="preserve">The results are summarised in Table </w:t>
      </w:r>
      <w:r w:rsidR="00A54E54" w:rsidRPr="00A77AF6">
        <w:t>6-17</w:t>
      </w:r>
      <w:r w:rsidR="00EA1EB4" w:rsidRPr="00A77AF6">
        <w:t xml:space="preserve">. </w:t>
      </w:r>
    </w:p>
    <w:p w14:paraId="4013432A" w14:textId="498653FA" w:rsidR="00B32827" w:rsidRPr="00A77AF6" w:rsidRDefault="00B32827" w:rsidP="00A54E54">
      <w:pPr>
        <w:pStyle w:val="Caption"/>
        <w:keepNext/>
        <w:spacing w:after="120"/>
      </w:pPr>
      <w:r w:rsidRPr="00A77AF6">
        <w:t xml:space="preserve">Table </w:t>
      </w:r>
      <w:fldSimple w:instr=" STYLEREF 1 \s ">
        <w:r w:rsidR="000441F7">
          <w:rPr>
            <w:noProof/>
          </w:rPr>
          <w:t>6</w:t>
        </w:r>
      </w:fldSimple>
      <w:r w:rsidR="00804112">
        <w:noBreakHyphen/>
      </w:r>
      <w:fldSimple w:instr=" SEQ Table \* ARABIC \s 1 ">
        <w:r w:rsidR="000441F7">
          <w:rPr>
            <w:noProof/>
          </w:rPr>
          <w:t>17</w:t>
        </w:r>
      </w:fldSimple>
      <w:r w:rsidRPr="00A77AF6">
        <w:t>: Project governance effectiveness score (sample = 51 projects)</w:t>
      </w:r>
    </w:p>
    <w:tbl>
      <w:tblP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260"/>
      </w:tblGrid>
      <w:tr w:rsidR="00B32827" w:rsidRPr="00A77AF6" w14:paraId="01EE96B3" w14:textId="77777777" w:rsidTr="007313B4">
        <w:trPr>
          <w:trHeight w:val="300"/>
        </w:trPr>
        <w:tc>
          <w:tcPr>
            <w:tcW w:w="2122" w:type="dxa"/>
            <w:shd w:val="clear" w:color="auto" w:fill="D9D9D9" w:themeFill="background1" w:themeFillShade="D9"/>
            <w:noWrap/>
          </w:tcPr>
          <w:p w14:paraId="3E0488FC" w14:textId="77777777" w:rsidR="00B32827" w:rsidRPr="00A77AF6" w:rsidRDefault="00B32827" w:rsidP="00B32827">
            <w:pPr>
              <w:spacing w:after="0" w:line="240" w:lineRule="auto"/>
              <w:rPr>
                <w:rFonts w:ascii="Calibri" w:eastAsia="Times New Roman" w:hAnsi="Calibri" w:cs="Calibri"/>
                <w:color w:val="000000"/>
                <w:sz w:val="20"/>
                <w:szCs w:val="20"/>
                <w:lang w:eastAsia="en-GB"/>
              </w:rPr>
            </w:pPr>
          </w:p>
        </w:tc>
        <w:tc>
          <w:tcPr>
            <w:tcW w:w="3260" w:type="dxa"/>
            <w:shd w:val="clear" w:color="auto" w:fill="D9D9D9" w:themeFill="background1" w:themeFillShade="D9"/>
          </w:tcPr>
          <w:p w14:paraId="4F080682" w14:textId="5CDE0BF0" w:rsidR="00B32827" w:rsidRPr="00A77AF6" w:rsidRDefault="003F4CA9" w:rsidP="00B32827">
            <w:pPr>
              <w:rPr>
                <w:rFonts w:ascii="Times New Roman" w:eastAsia="Times New Roman" w:hAnsi="Times New Roman" w:cs="Times New Roman"/>
                <w:sz w:val="20"/>
                <w:szCs w:val="20"/>
                <w:lang w:eastAsia="en-GB"/>
              </w:rPr>
            </w:pPr>
            <w:r w:rsidRPr="00A77AF6">
              <w:rPr>
                <w:rFonts w:ascii="Calibri" w:hAnsi="Calibri" w:cs="Calibri"/>
                <w:color w:val="000000"/>
                <w:sz w:val="20"/>
                <w:szCs w:val="20"/>
              </w:rPr>
              <w:t>P</w:t>
            </w:r>
            <w:r w:rsidR="00B32827" w:rsidRPr="00A77AF6">
              <w:rPr>
                <w:rFonts w:ascii="Calibri" w:hAnsi="Calibri" w:cs="Calibri"/>
                <w:color w:val="000000"/>
                <w:sz w:val="20"/>
                <w:szCs w:val="20"/>
              </w:rPr>
              <w:t>roject governance effectiveness score (%)</w:t>
            </w:r>
          </w:p>
        </w:tc>
      </w:tr>
      <w:tr w:rsidR="00B32827" w:rsidRPr="00A77AF6" w14:paraId="69583F0F" w14:textId="77777777" w:rsidTr="007313B4">
        <w:trPr>
          <w:trHeight w:val="300"/>
        </w:trPr>
        <w:tc>
          <w:tcPr>
            <w:tcW w:w="2122" w:type="dxa"/>
            <w:shd w:val="clear" w:color="auto" w:fill="auto"/>
            <w:noWrap/>
          </w:tcPr>
          <w:p w14:paraId="391812F7" w14:textId="137FC82C" w:rsidR="00B32827" w:rsidRPr="00A77AF6" w:rsidRDefault="00E11752" w:rsidP="00B32827">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E</w:t>
            </w:r>
            <w:r w:rsidR="00B32827" w:rsidRPr="00A77AF6">
              <w:rPr>
                <w:rFonts w:ascii="Calibri" w:eastAsia="Times New Roman" w:hAnsi="Calibri" w:cs="Calibri"/>
                <w:color w:val="000000"/>
                <w:sz w:val="20"/>
                <w:szCs w:val="20"/>
                <w:lang w:eastAsia="en-GB"/>
              </w:rPr>
              <w:t>ffective</w:t>
            </w:r>
          </w:p>
        </w:tc>
        <w:tc>
          <w:tcPr>
            <w:tcW w:w="3260" w:type="dxa"/>
          </w:tcPr>
          <w:p w14:paraId="6B9C6193" w14:textId="77777777" w:rsidR="00B32827" w:rsidRPr="00A77AF6" w:rsidRDefault="00B32827" w:rsidP="00B32827">
            <w:pPr>
              <w:rPr>
                <w:rFonts w:ascii="Times New Roman" w:eastAsia="Times New Roman" w:hAnsi="Times New Roman" w:cs="Times New Roman"/>
                <w:sz w:val="20"/>
                <w:szCs w:val="20"/>
                <w:lang w:eastAsia="en-GB"/>
              </w:rPr>
            </w:pPr>
            <w:r w:rsidRPr="00A77AF6">
              <w:rPr>
                <w:rFonts w:ascii="Calibri" w:hAnsi="Calibri" w:cs="Calibri"/>
                <w:color w:val="000000"/>
                <w:sz w:val="20"/>
                <w:szCs w:val="20"/>
              </w:rPr>
              <w:t>289 (81%)</w:t>
            </w:r>
          </w:p>
        </w:tc>
      </w:tr>
      <w:tr w:rsidR="00B32827" w:rsidRPr="00A77AF6" w14:paraId="2477E584" w14:textId="77777777" w:rsidTr="007313B4">
        <w:trPr>
          <w:trHeight w:val="300"/>
        </w:trPr>
        <w:tc>
          <w:tcPr>
            <w:tcW w:w="2122" w:type="dxa"/>
            <w:shd w:val="clear" w:color="auto" w:fill="auto"/>
            <w:noWrap/>
          </w:tcPr>
          <w:p w14:paraId="7978099F" w14:textId="5A5D7AD6" w:rsidR="00B32827" w:rsidRPr="00A77AF6" w:rsidRDefault="00DD215D" w:rsidP="00B32827">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N</w:t>
            </w:r>
            <w:r w:rsidR="00B32827" w:rsidRPr="00A77AF6">
              <w:rPr>
                <w:rFonts w:ascii="Calibri" w:eastAsia="Times New Roman" w:hAnsi="Calibri" w:cs="Calibri"/>
                <w:color w:val="000000"/>
                <w:sz w:val="20"/>
                <w:szCs w:val="20"/>
                <w:lang w:eastAsia="en-GB"/>
              </w:rPr>
              <w:t>ot effective</w:t>
            </w:r>
          </w:p>
        </w:tc>
        <w:tc>
          <w:tcPr>
            <w:tcW w:w="3260" w:type="dxa"/>
          </w:tcPr>
          <w:p w14:paraId="0D161D8A" w14:textId="77777777" w:rsidR="00B32827" w:rsidRPr="00A77AF6" w:rsidRDefault="00B32827" w:rsidP="00B32827">
            <w:pPr>
              <w:rPr>
                <w:rFonts w:ascii="Times New Roman" w:eastAsia="Times New Roman" w:hAnsi="Times New Roman" w:cs="Times New Roman"/>
                <w:sz w:val="20"/>
                <w:szCs w:val="20"/>
                <w:lang w:eastAsia="en-GB"/>
              </w:rPr>
            </w:pPr>
            <w:r w:rsidRPr="00A77AF6">
              <w:rPr>
                <w:rFonts w:ascii="Calibri" w:hAnsi="Calibri" w:cs="Calibri"/>
                <w:color w:val="000000"/>
                <w:sz w:val="20"/>
                <w:szCs w:val="20"/>
              </w:rPr>
              <w:t>55 (15%)</w:t>
            </w:r>
          </w:p>
        </w:tc>
      </w:tr>
      <w:tr w:rsidR="00B32827" w:rsidRPr="00A77AF6" w14:paraId="0A1D62DD" w14:textId="77777777" w:rsidTr="007313B4">
        <w:trPr>
          <w:trHeight w:val="300"/>
        </w:trPr>
        <w:tc>
          <w:tcPr>
            <w:tcW w:w="2122" w:type="dxa"/>
            <w:tcBorders>
              <w:bottom w:val="single" w:sz="4" w:space="0" w:color="auto"/>
            </w:tcBorders>
            <w:shd w:val="clear" w:color="auto" w:fill="auto"/>
            <w:noWrap/>
          </w:tcPr>
          <w:p w14:paraId="26ACBD24" w14:textId="20E19968" w:rsidR="00B32827" w:rsidRPr="00A77AF6" w:rsidRDefault="00DD215D" w:rsidP="00B32827">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D</w:t>
            </w:r>
            <w:r w:rsidR="00B32827" w:rsidRPr="00A77AF6">
              <w:rPr>
                <w:rFonts w:ascii="Calibri" w:eastAsia="Times New Roman" w:hAnsi="Calibri" w:cs="Calibri"/>
                <w:color w:val="000000"/>
                <w:sz w:val="20"/>
                <w:szCs w:val="20"/>
                <w:lang w:eastAsia="en-GB"/>
              </w:rPr>
              <w:t>on't know</w:t>
            </w:r>
          </w:p>
        </w:tc>
        <w:tc>
          <w:tcPr>
            <w:tcW w:w="3260" w:type="dxa"/>
          </w:tcPr>
          <w:p w14:paraId="4BE0CCCB" w14:textId="77777777" w:rsidR="00B32827" w:rsidRPr="00A77AF6" w:rsidRDefault="00B32827" w:rsidP="00B32827">
            <w:pPr>
              <w:rPr>
                <w:rFonts w:ascii="Calibri" w:hAnsi="Calibri" w:cs="Calibri"/>
                <w:color w:val="000000"/>
                <w:sz w:val="20"/>
                <w:szCs w:val="20"/>
              </w:rPr>
            </w:pPr>
            <w:r w:rsidRPr="00A77AF6">
              <w:rPr>
                <w:rFonts w:ascii="Calibri" w:hAnsi="Calibri" w:cs="Calibri"/>
                <w:color w:val="000000"/>
                <w:sz w:val="20"/>
                <w:szCs w:val="20"/>
              </w:rPr>
              <w:t>13 (4%)</w:t>
            </w:r>
          </w:p>
        </w:tc>
      </w:tr>
      <w:tr w:rsidR="00B32827" w:rsidRPr="00A77AF6" w14:paraId="2BB0A6FA" w14:textId="77777777" w:rsidTr="007313B4">
        <w:trPr>
          <w:trHeight w:val="300"/>
        </w:trPr>
        <w:tc>
          <w:tcPr>
            <w:tcW w:w="2122" w:type="dxa"/>
            <w:tcBorders>
              <w:left w:val="nil"/>
              <w:bottom w:val="nil"/>
            </w:tcBorders>
            <w:shd w:val="clear" w:color="auto" w:fill="auto"/>
            <w:noWrap/>
          </w:tcPr>
          <w:p w14:paraId="246666F8" w14:textId="77777777" w:rsidR="00B32827" w:rsidRPr="00A77AF6" w:rsidRDefault="00B32827" w:rsidP="00B32827">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 xml:space="preserve">Total </w:t>
            </w:r>
          </w:p>
        </w:tc>
        <w:tc>
          <w:tcPr>
            <w:tcW w:w="3260" w:type="dxa"/>
          </w:tcPr>
          <w:p w14:paraId="0788F1CB" w14:textId="77777777" w:rsidR="00B32827" w:rsidRPr="00A77AF6" w:rsidRDefault="00B32827" w:rsidP="00B32827">
            <w:pPr>
              <w:rPr>
                <w:rFonts w:ascii="Calibri" w:hAnsi="Calibri" w:cs="Calibri"/>
                <w:color w:val="000000"/>
                <w:sz w:val="20"/>
                <w:szCs w:val="20"/>
              </w:rPr>
            </w:pPr>
            <w:r w:rsidRPr="00A77AF6">
              <w:rPr>
                <w:rFonts w:ascii="Calibri" w:hAnsi="Calibri" w:cs="Calibri"/>
                <w:color w:val="000000"/>
                <w:sz w:val="20"/>
                <w:szCs w:val="20"/>
              </w:rPr>
              <w:t>357 (100%)</w:t>
            </w:r>
          </w:p>
        </w:tc>
      </w:tr>
    </w:tbl>
    <w:p w14:paraId="3302A16F" w14:textId="77777777" w:rsidR="00B32827" w:rsidRPr="00A77AF6" w:rsidRDefault="00B32827" w:rsidP="00B32827">
      <w:pPr>
        <w:spacing w:line="480" w:lineRule="auto"/>
      </w:pPr>
    </w:p>
    <w:p w14:paraId="4A2CF666" w14:textId="4F2EB259" w:rsidR="00B32827" w:rsidRPr="00A77AF6" w:rsidRDefault="00B32827" w:rsidP="00EA1EB4">
      <w:pPr>
        <w:spacing w:line="360" w:lineRule="auto"/>
      </w:pPr>
      <w:r w:rsidRPr="00A77AF6">
        <w:t>Further analysis showed differences in perceptions about the performance of each element of project governance</w:t>
      </w:r>
      <w:r w:rsidR="00DE3FBB" w:rsidRPr="00A77AF6">
        <w:t xml:space="preserve"> (Figure </w:t>
      </w:r>
      <w:r w:rsidR="00E11752" w:rsidRPr="00A77AF6">
        <w:t>6-4</w:t>
      </w:r>
      <w:r w:rsidR="00DE3FBB" w:rsidRPr="00A77AF6">
        <w:t>)</w:t>
      </w:r>
      <w:r w:rsidRPr="00A77AF6">
        <w:t>. Project user groups (n=47</w:t>
      </w:r>
      <w:r w:rsidR="000C2574" w:rsidRPr="00A77AF6">
        <w:t>, 92%</w:t>
      </w:r>
      <w:r w:rsidRPr="00A77AF6">
        <w:t>), project board (n=43</w:t>
      </w:r>
      <w:r w:rsidR="000C2574" w:rsidRPr="00A77AF6">
        <w:t>, 84%</w:t>
      </w:r>
      <w:r w:rsidRPr="00A77AF6">
        <w:t>) and project stakeholder groups (n=42</w:t>
      </w:r>
      <w:r w:rsidR="000C2574" w:rsidRPr="00A77AF6">
        <w:t>, 82%</w:t>
      </w:r>
      <w:r w:rsidRPr="00A77AF6">
        <w:t xml:space="preserve">) were the most frequently identified as being effective.  Project finance </w:t>
      </w:r>
      <w:r w:rsidR="00EA1EB4" w:rsidRPr="00A77AF6">
        <w:t xml:space="preserve">was </w:t>
      </w:r>
      <w:r w:rsidRPr="00A77AF6">
        <w:t>most frequently identified as ineffective (n=10</w:t>
      </w:r>
      <w:r w:rsidR="000C2574" w:rsidRPr="00A77AF6">
        <w:t>, 20%</w:t>
      </w:r>
      <w:r w:rsidRPr="00A77AF6">
        <w:t>), followed by project stakeholders (n=9</w:t>
      </w:r>
      <w:r w:rsidR="000C2574" w:rsidRPr="00A77AF6">
        <w:t>, 18%</w:t>
      </w:r>
      <w:r w:rsidRPr="00A77AF6">
        <w:t>) project risk management (n=9</w:t>
      </w:r>
      <w:r w:rsidR="000C2574" w:rsidRPr="00A77AF6">
        <w:t>, 18%</w:t>
      </w:r>
      <w:r w:rsidRPr="00A77AF6">
        <w:t>) and the project sponsor (n=9</w:t>
      </w:r>
      <w:r w:rsidR="000C2574" w:rsidRPr="00A77AF6">
        <w:t>, 18%</w:t>
      </w:r>
      <w:r w:rsidRPr="00A77AF6">
        <w:t xml:space="preserve">).  6 </w:t>
      </w:r>
      <w:r w:rsidR="000C2574" w:rsidRPr="00A77AF6">
        <w:t xml:space="preserve">(12%) </w:t>
      </w:r>
      <w:r w:rsidRPr="00A77AF6">
        <w:t xml:space="preserve">respondents did not know about the effectiveness of quality assurance, 4 </w:t>
      </w:r>
      <w:r w:rsidR="000C2574" w:rsidRPr="00A77AF6">
        <w:t xml:space="preserve">(8%) </w:t>
      </w:r>
      <w:r w:rsidRPr="00A77AF6">
        <w:t>respondents did not know about the effectiveness of risk management and 2</w:t>
      </w:r>
      <w:r w:rsidR="000C2574" w:rsidRPr="00A77AF6">
        <w:t xml:space="preserve"> (4%)</w:t>
      </w:r>
      <w:r w:rsidRPr="00A77AF6">
        <w:t xml:space="preserve"> respondents did not know about the effectiveness of the project board.  However, the positive views about project governance effectiveness considerably outweighed the negative and overall project governance was thought to be effective.  </w:t>
      </w:r>
    </w:p>
    <w:p w14:paraId="7B504B75" w14:textId="77777777" w:rsidR="0007452B" w:rsidRPr="00A77AF6" w:rsidRDefault="00B32827" w:rsidP="0007452B">
      <w:pPr>
        <w:keepNext/>
      </w:pPr>
      <w:r w:rsidRPr="00A77AF6">
        <w:rPr>
          <w:noProof/>
          <w:lang w:eastAsia="en-GB"/>
        </w:rPr>
        <w:lastRenderedPageBreak/>
        <w:drawing>
          <wp:inline distT="0" distB="0" distL="0" distR="0" wp14:anchorId="0CC7F5B2" wp14:editId="0437966E">
            <wp:extent cx="5442016" cy="3681351"/>
            <wp:effectExtent l="0" t="0" r="6350" b="14605"/>
            <wp:docPr id="48" name="Chart 48">
              <a:extLst xmlns:a="http://schemas.openxmlformats.org/drawingml/2006/main">
                <a:ext uri="{FF2B5EF4-FFF2-40B4-BE49-F238E27FC236}">
                  <a16:creationId xmlns:a16="http://schemas.microsoft.com/office/drawing/2014/main" id="{E8F3DA0A-6C49-41AF-BF00-5DB932DCC7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61CE7E9" w14:textId="4C31E416" w:rsidR="00B32827" w:rsidRPr="00A77AF6" w:rsidRDefault="0007452B" w:rsidP="0007452B">
      <w:pPr>
        <w:pStyle w:val="Caption"/>
      </w:pPr>
      <w:bookmarkStart w:id="158" w:name="_Toc36186980"/>
      <w:r w:rsidRPr="00A77AF6">
        <w:t xml:space="preserve">Figure </w:t>
      </w:r>
      <w:fldSimple w:instr=" STYLEREF 1 \s ">
        <w:r w:rsidR="000441F7">
          <w:rPr>
            <w:noProof/>
          </w:rPr>
          <w:t>6</w:t>
        </w:r>
      </w:fldSimple>
      <w:r w:rsidR="00BA5DC4">
        <w:noBreakHyphen/>
      </w:r>
      <w:fldSimple w:instr=" SEQ Figure \* ARABIC \s 1 ">
        <w:r w:rsidR="000441F7">
          <w:rPr>
            <w:noProof/>
          </w:rPr>
          <w:t>4</w:t>
        </w:r>
      </w:fldSimple>
      <w:r w:rsidRPr="00A77AF6">
        <w:t>: Effectiveness of individual elements of project governance</w:t>
      </w:r>
      <w:bookmarkEnd w:id="158"/>
    </w:p>
    <w:p w14:paraId="6D178536" w14:textId="0DC7209F" w:rsidR="00B32827" w:rsidRPr="00A77AF6" w:rsidRDefault="0038650B" w:rsidP="00C21A49">
      <w:pPr>
        <w:pStyle w:val="Heading3"/>
        <w:spacing w:before="480" w:after="120"/>
      </w:pPr>
      <w:bookmarkStart w:id="159" w:name="_Toc36275125"/>
      <w:r w:rsidRPr="00A77AF6">
        <w:t>C</w:t>
      </w:r>
      <w:r w:rsidR="00B32827" w:rsidRPr="00A77AF6">
        <w:t xml:space="preserve">orporate governance effectiveness </w:t>
      </w:r>
      <w:r w:rsidR="00D76AB9" w:rsidRPr="00A77AF6">
        <w:t>(n=51)</w:t>
      </w:r>
      <w:bookmarkEnd w:id="159"/>
    </w:p>
    <w:p w14:paraId="3A5E47B4" w14:textId="1C345BC4" w:rsidR="002F4528" w:rsidRPr="00A77AF6" w:rsidRDefault="00203B88" w:rsidP="00EA1EB4">
      <w:pPr>
        <w:spacing w:line="360" w:lineRule="auto"/>
      </w:pPr>
      <w:r>
        <w:t>T</w:t>
      </w:r>
      <w:r w:rsidR="00522459" w:rsidRPr="00A77AF6">
        <w:t xml:space="preserve">he perception of </w:t>
      </w:r>
      <w:r w:rsidR="00B32827" w:rsidRPr="00A77AF6">
        <w:t>corporate governance was measured using a 6-point Likert scale</w:t>
      </w:r>
      <w:r w:rsidR="00EC2B41">
        <w:t>.</w:t>
      </w:r>
      <w:r w:rsidR="00B32827" w:rsidRPr="00A77AF6">
        <w:t xml:space="preserve">  Effectiveness scores were obtained for each of </w:t>
      </w:r>
      <w:r w:rsidR="00DB28E1">
        <w:t>eight</w:t>
      </w:r>
      <w:r w:rsidR="00B32827" w:rsidRPr="00A77AF6">
        <w:t xml:space="preserve"> elements of corporate governance for each project which were: i) </w:t>
      </w:r>
      <w:r w:rsidR="008B0E67" w:rsidRPr="00A77AF6">
        <w:t>t</w:t>
      </w:r>
      <w:r w:rsidR="00B32827" w:rsidRPr="00A77AF6">
        <w:t xml:space="preserve">rust </w:t>
      </w:r>
      <w:r w:rsidR="008B0E67" w:rsidRPr="00A77AF6">
        <w:t>b</w:t>
      </w:r>
      <w:r w:rsidR="00B32827" w:rsidRPr="00A77AF6">
        <w:t xml:space="preserve">oard, ii) </w:t>
      </w:r>
      <w:r w:rsidR="008B0E67" w:rsidRPr="00A77AF6">
        <w:t>c</w:t>
      </w:r>
      <w:r w:rsidR="00B32827" w:rsidRPr="00A77AF6">
        <w:t xml:space="preserve">hairperson, iii) non-executive directors, iv) </w:t>
      </w:r>
      <w:r w:rsidR="008B0E67" w:rsidRPr="00A77AF6">
        <w:t>c</w:t>
      </w:r>
      <w:r w:rsidR="00B32827" w:rsidRPr="00A77AF6">
        <w:t xml:space="preserve">hief </w:t>
      </w:r>
      <w:r w:rsidR="008B0E67" w:rsidRPr="00A77AF6">
        <w:t>e</w:t>
      </w:r>
      <w:r w:rsidR="00B32827" w:rsidRPr="00A77AF6">
        <w:t xml:space="preserve">xecutive, v) executive directors, vi) </w:t>
      </w:r>
      <w:r w:rsidR="008B0E67" w:rsidRPr="00A77AF6">
        <w:t>t</w:t>
      </w:r>
      <w:r w:rsidR="00B32827" w:rsidRPr="00A77AF6">
        <w:t xml:space="preserve">rust risk committee, vii) </w:t>
      </w:r>
      <w:r w:rsidR="008B0E67" w:rsidRPr="00A77AF6">
        <w:t>t</w:t>
      </w:r>
      <w:r w:rsidR="00B32827" w:rsidRPr="00A77AF6">
        <w:t xml:space="preserve">rust remuneration committee and viii) </w:t>
      </w:r>
      <w:r w:rsidR="008B0E67" w:rsidRPr="00A77AF6">
        <w:t>t</w:t>
      </w:r>
      <w:r w:rsidR="00B32827" w:rsidRPr="00A77AF6">
        <w:t xml:space="preserve">rust audit committee (Table </w:t>
      </w:r>
      <w:r w:rsidR="00A84D47" w:rsidRPr="00A77AF6">
        <w:t>6-18</w:t>
      </w:r>
      <w:r w:rsidR="00B32827" w:rsidRPr="00A77AF6">
        <w:t xml:space="preserve">).  Each element of corporate governance could be given a score between </w:t>
      </w:r>
      <w:r w:rsidR="00DB28E1">
        <w:t>zero and four</w:t>
      </w:r>
      <w:r w:rsidR="00B32827" w:rsidRPr="00A77AF6">
        <w:t xml:space="preserve">.  Project </w:t>
      </w:r>
      <w:r w:rsidR="00F11234" w:rsidRPr="00A77AF6">
        <w:t>success</w:t>
      </w:r>
      <w:r w:rsidR="00B32827" w:rsidRPr="00A77AF6">
        <w:t xml:space="preserve"> was measured using the same scales </w:t>
      </w:r>
      <w:r w:rsidR="00EC2B41">
        <w:t xml:space="preserve">previously </w:t>
      </w:r>
      <w:r w:rsidR="00B32827" w:rsidRPr="00A77AF6">
        <w:t xml:space="preserve">used in the analysis of ethical predisposition and project </w:t>
      </w:r>
      <w:r w:rsidR="00F11234" w:rsidRPr="00A77AF6">
        <w:t>success</w:t>
      </w:r>
      <w:r w:rsidR="00A84D47" w:rsidRPr="00A77AF6">
        <w:t xml:space="preserve"> (Table 6-8)</w:t>
      </w:r>
      <w:r w:rsidR="00B32827" w:rsidRPr="00A77AF6">
        <w:t>.</w:t>
      </w:r>
      <w:r w:rsidR="0001517E" w:rsidRPr="00A77AF6">
        <w:t xml:space="preserve"> </w:t>
      </w:r>
      <w:r w:rsidR="00073737" w:rsidRPr="00A77AF6">
        <w:t>(</w:t>
      </w:r>
      <w:r w:rsidR="0001517E" w:rsidRPr="009C5621">
        <w:t xml:space="preserve">Appendix </w:t>
      </w:r>
      <w:r w:rsidR="00113EEA" w:rsidRPr="009C5621">
        <w:t>G</w:t>
      </w:r>
      <w:r w:rsidR="00073737" w:rsidRPr="009C5621">
        <w:t xml:space="preserve"> for </w:t>
      </w:r>
      <w:r w:rsidR="00113EEA" w:rsidRPr="009C5621">
        <w:t>corporate governance effectiveness scores</w:t>
      </w:r>
      <w:r w:rsidR="00073737" w:rsidRPr="009C5621">
        <w:t>)</w:t>
      </w:r>
      <w:r w:rsidR="0001517E" w:rsidRPr="009C5621">
        <w:t>.</w:t>
      </w:r>
    </w:p>
    <w:p w14:paraId="34685839" w14:textId="77777777" w:rsidR="002F4528" w:rsidRPr="00A77AF6" w:rsidRDefault="002F4528">
      <w:r w:rsidRPr="00A77AF6">
        <w:br w:type="page"/>
      </w:r>
    </w:p>
    <w:p w14:paraId="4DF18B33" w14:textId="33D741A2" w:rsidR="00B32827" w:rsidRPr="00A77AF6" w:rsidRDefault="00B32827" w:rsidP="0007452B">
      <w:pPr>
        <w:spacing w:after="120"/>
        <w:rPr>
          <w:i/>
          <w:iCs/>
          <w:sz w:val="18"/>
          <w:szCs w:val="18"/>
        </w:rPr>
      </w:pPr>
      <w:r w:rsidRPr="00A77AF6">
        <w:rPr>
          <w:i/>
          <w:iCs/>
          <w:sz w:val="18"/>
          <w:szCs w:val="18"/>
        </w:rPr>
        <w:lastRenderedPageBreak/>
        <w:t xml:space="preserve">Table </w:t>
      </w:r>
      <w:r w:rsidR="00804112">
        <w:rPr>
          <w:i/>
          <w:iCs/>
          <w:sz w:val="18"/>
          <w:szCs w:val="18"/>
        </w:rPr>
        <w:fldChar w:fldCharType="begin"/>
      </w:r>
      <w:r w:rsidR="00804112">
        <w:rPr>
          <w:i/>
          <w:iCs/>
          <w:sz w:val="18"/>
          <w:szCs w:val="18"/>
        </w:rPr>
        <w:instrText xml:space="preserve"> STYLEREF 1 \s </w:instrText>
      </w:r>
      <w:r w:rsidR="00804112">
        <w:rPr>
          <w:i/>
          <w:iCs/>
          <w:sz w:val="18"/>
          <w:szCs w:val="18"/>
        </w:rPr>
        <w:fldChar w:fldCharType="separate"/>
      </w:r>
      <w:r w:rsidR="000441F7">
        <w:rPr>
          <w:i/>
          <w:iCs/>
          <w:noProof/>
          <w:sz w:val="18"/>
          <w:szCs w:val="18"/>
        </w:rPr>
        <w:t>6</w:t>
      </w:r>
      <w:r w:rsidR="00804112">
        <w:rPr>
          <w:i/>
          <w:iCs/>
          <w:sz w:val="18"/>
          <w:szCs w:val="18"/>
        </w:rPr>
        <w:fldChar w:fldCharType="end"/>
      </w:r>
      <w:r w:rsidR="00804112">
        <w:rPr>
          <w:i/>
          <w:iCs/>
          <w:sz w:val="18"/>
          <w:szCs w:val="18"/>
        </w:rPr>
        <w:noBreakHyphen/>
      </w:r>
      <w:r w:rsidR="00804112">
        <w:rPr>
          <w:i/>
          <w:iCs/>
          <w:sz w:val="18"/>
          <w:szCs w:val="18"/>
        </w:rPr>
        <w:fldChar w:fldCharType="begin"/>
      </w:r>
      <w:r w:rsidR="00804112">
        <w:rPr>
          <w:i/>
          <w:iCs/>
          <w:sz w:val="18"/>
          <w:szCs w:val="18"/>
        </w:rPr>
        <w:instrText xml:space="preserve"> SEQ Table \* ARABIC \s 1 </w:instrText>
      </w:r>
      <w:r w:rsidR="00804112">
        <w:rPr>
          <w:i/>
          <w:iCs/>
          <w:sz w:val="18"/>
          <w:szCs w:val="18"/>
        </w:rPr>
        <w:fldChar w:fldCharType="separate"/>
      </w:r>
      <w:r w:rsidR="000441F7">
        <w:rPr>
          <w:i/>
          <w:iCs/>
          <w:noProof/>
          <w:sz w:val="18"/>
          <w:szCs w:val="18"/>
        </w:rPr>
        <w:t>18</w:t>
      </w:r>
      <w:r w:rsidR="00804112">
        <w:rPr>
          <w:i/>
          <w:iCs/>
          <w:sz w:val="18"/>
          <w:szCs w:val="18"/>
        </w:rPr>
        <w:fldChar w:fldCharType="end"/>
      </w:r>
      <w:r w:rsidRPr="00A77AF6">
        <w:rPr>
          <w:i/>
          <w:iCs/>
          <w:sz w:val="18"/>
          <w:szCs w:val="18"/>
        </w:rPr>
        <w:t>: Likert scale for corporate governance effectiveness</w:t>
      </w:r>
    </w:p>
    <w:tbl>
      <w:tblPr>
        <w:tblW w:w="8500" w:type="dxa"/>
        <w:tblLayout w:type="fixed"/>
        <w:tblLook w:val="04A0" w:firstRow="1" w:lastRow="0" w:firstColumn="1" w:lastColumn="0" w:noHBand="0" w:noVBand="1"/>
      </w:tblPr>
      <w:tblGrid>
        <w:gridCol w:w="1696"/>
        <w:gridCol w:w="993"/>
        <w:gridCol w:w="992"/>
        <w:gridCol w:w="1134"/>
        <w:gridCol w:w="1134"/>
        <w:gridCol w:w="1276"/>
        <w:gridCol w:w="1275"/>
      </w:tblGrid>
      <w:tr w:rsidR="00B32827" w:rsidRPr="00A77AF6" w14:paraId="086CD741" w14:textId="77777777" w:rsidTr="00B32827">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75EFF4" w14:textId="77777777" w:rsidR="00B32827" w:rsidRPr="00A77AF6" w:rsidRDefault="00B32827" w:rsidP="00192D26">
            <w:pPr>
              <w:spacing w:after="0" w:line="240" w:lineRule="auto"/>
              <w:rPr>
                <w:sz w:val="20"/>
              </w:rPr>
            </w:pPr>
          </w:p>
        </w:tc>
        <w:tc>
          <w:tcPr>
            <w:tcW w:w="6804"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8347F8" w14:textId="77777777" w:rsidR="00B32827" w:rsidRPr="00A77AF6" w:rsidRDefault="00B32827" w:rsidP="00192D26">
            <w:pPr>
              <w:spacing w:after="0" w:line="240" w:lineRule="auto"/>
              <w:jc w:val="center"/>
              <w:rPr>
                <w:sz w:val="20"/>
              </w:rPr>
            </w:pPr>
            <w:r w:rsidRPr="00A77AF6">
              <w:rPr>
                <w:sz w:val="20"/>
              </w:rPr>
              <w:t>Likert scale</w:t>
            </w:r>
          </w:p>
        </w:tc>
      </w:tr>
      <w:tr w:rsidR="00B32827" w:rsidRPr="00A77AF6" w14:paraId="7B71344A" w14:textId="77777777" w:rsidTr="00B32827">
        <w:tc>
          <w:tcPr>
            <w:tcW w:w="1696" w:type="dxa"/>
            <w:tcBorders>
              <w:top w:val="single" w:sz="4" w:space="0" w:color="auto"/>
              <w:left w:val="single" w:sz="4" w:space="0" w:color="auto"/>
              <w:bottom w:val="single" w:sz="4" w:space="0" w:color="auto"/>
              <w:right w:val="single" w:sz="4" w:space="0" w:color="auto"/>
            </w:tcBorders>
          </w:tcPr>
          <w:p w14:paraId="528A8A24" w14:textId="77777777" w:rsidR="00B32827" w:rsidRPr="00A77AF6" w:rsidRDefault="00B32827" w:rsidP="00192D26">
            <w:pPr>
              <w:spacing w:after="0" w:line="240" w:lineRule="auto"/>
              <w:rPr>
                <w:sz w:val="20"/>
              </w:rPr>
            </w:pPr>
          </w:p>
        </w:tc>
        <w:tc>
          <w:tcPr>
            <w:tcW w:w="993" w:type="dxa"/>
            <w:tcBorders>
              <w:top w:val="single" w:sz="4" w:space="0" w:color="auto"/>
              <w:left w:val="single" w:sz="4" w:space="0" w:color="auto"/>
              <w:bottom w:val="single" w:sz="4" w:space="0" w:color="auto"/>
              <w:right w:val="single" w:sz="4" w:space="0" w:color="auto"/>
            </w:tcBorders>
          </w:tcPr>
          <w:p w14:paraId="27E26364" w14:textId="77777777" w:rsidR="00B32827" w:rsidRPr="00A77AF6" w:rsidRDefault="00B32827" w:rsidP="00192D26">
            <w:pPr>
              <w:spacing w:after="0" w:line="240" w:lineRule="auto"/>
              <w:rPr>
                <w:sz w:val="20"/>
              </w:rPr>
            </w:pPr>
            <w:r w:rsidRPr="00A77AF6">
              <w:rPr>
                <w:sz w:val="20"/>
              </w:rPr>
              <w:t>Very effective</w:t>
            </w:r>
          </w:p>
        </w:tc>
        <w:tc>
          <w:tcPr>
            <w:tcW w:w="992" w:type="dxa"/>
            <w:tcBorders>
              <w:top w:val="single" w:sz="4" w:space="0" w:color="auto"/>
              <w:left w:val="single" w:sz="4" w:space="0" w:color="auto"/>
              <w:bottom w:val="single" w:sz="4" w:space="0" w:color="auto"/>
              <w:right w:val="single" w:sz="4" w:space="0" w:color="auto"/>
            </w:tcBorders>
          </w:tcPr>
          <w:p w14:paraId="330BC4C7" w14:textId="77777777" w:rsidR="00B32827" w:rsidRPr="00A77AF6" w:rsidRDefault="00B32827" w:rsidP="00192D26">
            <w:pPr>
              <w:spacing w:after="0" w:line="240" w:lineRule="auto"/>
              <w:rPr>
                <w:sz w:val="20"/>
              </w:rPr>
            </w:pPr>
            <w:r w:rsidRPr="00A77AF6">
              <w:rPr>
                <w:sz w:val="20"/>
              </w:rPr>
              <w:t>Quite effective</w:t>
            </w:r>
          </w:p>
        </w:tc>
        <w:tc>
          <w:tcPr>
            <w:tcW w:w="1134" w:type="dxa"/>
            <w:tcBorders>
              <w:top w:val="single" w:sz="4" w:space="0" w:color="auto"/>
              <w:left w:val="single" w:sz="4" w:space="0" w:color="auto"/>
              <w:bottom w:val="single" w:sz="4" w:space="0" w:color="auto"/>
              <w:right w:val="single" w:sz="4" w:space="0" w:color="auto"/>
            </w:tcBorders>
          </w:tcPr>
          <w:p w14:paraId="6588CAC7" w14:textId="77777777" w:rsidR="00B32827" w:rsidRPr="00A77AF6" w:rsidRDefault="00B32827" w:rsidP="00192D26">
            <w:pPr>
              <w:spacing w:after="0" w:line="240" w:lineRule="auto"/>
              <w:rPr>
                <w:sz w:val="20"/>
              </w:rPr>
            </w:pPr>
            <w:r w:rsidRPr="00A77AF6">
              <w:rPr>
                <w:sz w:val="20"/>
              </w:rPr>
              <w:t>Quite ineffective</w:t>
            </w:r>
          </w:p>
        </w:tc>
        <w:tc>
          <w:tcPr>
            <w:tcW w:w="1134" w:type="dxa"/>
            <w:tcBorders>
              <w:top w:val="single" w:sz="4" w:space="0" w:color="auto"/>
              <w:left w:val="single" w:sz="4" w:space="0" w:color="auto"/>
              <w:bottom w:val="single" w:sz="4" w:space="0" w:color="auto"/>
              <w:right w:val="single" w:sz="4" w:space="0" w:color="auto"/>
            </w:tcBorders>
          </w:tcPr>
          <w:p w14:paraId="4BD80EE2" w14:textId="77777777" w:rsidR="00B32827" w:rsidRPr="00A77AF6" w:rsidRDefault="00B32827" w:rsidP="00192D26">
            <w:pPr>
              <w:spacing w:after="0" w:line="240" w:lineRule="auto"/>
              <w:rPr>
                <w:sz w:val="20"/>
              </w:rPr>
            </w:pPr>
            <w:r w:rsidRPr="00A77AF6">
              <w:rPr>
                <w:sz w:val="20"/>
              </w:rPr>
              <w:t>Very ineffective</w:t>
            </w:r>
          </w:p>
        </w:tc>
        <w:tc>
          <w:tcPr>
            <w:tcW w:w="1276" w:type="dxa"/>
            <w:tcBorders>
              <w:top w:val="single" w:sz="4" w:space="0" w:color="auto"/>
              <w:left w:val="single" w:sz="4" w:space="0" w:color="auto"/>
              <w:bottom w:val="single" w:sz="4" w:space="0" w:color="auto"/>
              <w:right w:val="single" w:sz="4" w:space="0" w:color="auto"/>
            </w:tcBorders>
          </w:tcPr>
          <w:p w14:paraId="3ABFBEBB" w14:textId="77777777" w:rsidR="00B32827" w:rsidRPr="00A77AF6" w:rsidRDefault="00B32827" w:rsidP="00192D26">
            <w:pPr>
              <w:spacing w:after="0" w:line="240" w:lineRule="auto"/>
              <w:rPr>
                <w:sz w:val="20"/>
              </w:rPr>
            </w:pPr>
            <w:r w:rsidRPr="00A77AF6">
              <w:rPr>
                <w:sz w:val="20"/>
              </w:rPr>
              <w:t>Heard of them, don’t know role</w:t>
            </w:r>
          </w:p>
        </w:tc>
        <w:tc>
          <w:tcPr>
            <w:tcW w:w="1275" w:type="dxa"/>
            <w:tcBorders>
              <w:top w:val="single" w:sz="4" w:space="0" w:color="auto"/>
              <w:left w:val="single" w:sz="4" w:space="0" w:color="auto"/>
              <w:bottom w:val="single" w:sz="4" w:space="0" w:color="auto"/>
              <w:right w:val="single" w:sz="4" w:space="0" w:color="auto"/>
            </w:tcBorders>
          </w:tcPr>
          <w:p w14:paraId="6904E279" w14:textId="77777777" w:rsidR="00B32827" w:rsidRPr="00A77AF6" w:rsidRDefault="00B32827" w:rsidP="00192D26">
            <w:pPr>
              <w:spacing w:after="0" w:line="240" w:lineRule="auto"/>
              <w:rPr>
                <w:sz w:val="20"/>
              </w:rPr>
            </w:pPr>
            <w:r w:rsidRPr="00A77AF6">
              <w:rPr>
                <w:sz w:val="20"/>
              </w:rPr>
              <w:t>Not heard of them</w:t>
            </w:r>
          </w:p>
        </w:tc>
      </w:tr>
      <w:tr w:rsidR="00B32827" w:rsidRPr="00A77AF6" w14:paraId="79429176" w14:textId="77777777" w:rsidTr="00B32827">
        <w:tc>
          <w:tcPr>
            <w:tcW w:w="1696" w:type="dxa"/>
            <w:tcBorders>
              <w:top w:val="single" w:sz="4" w:space="0" w:color="auto"/>
              <w:left w:val="single" w:sz="4" w:space="0" w:color="auto"/>
              <w:bottom w:val="single" w:sz="4" w:space="0" w:color="auto"/>
              <w:right w:val="single" w:sz="4" w:space="0" w:color="auto"/>
            </w:tcBorders>
          </w:tcPr>
          <w:p w14:paraId="40EFF025" w14:textId="77777777" w:rsidR="00B32827" w:rsidRPr="00A77AF6" w:rsidRDefault="00B32827" w:rsidP="00192D26">
            <w:pPr>
              <w:spacing w:after="0" w:line="240" w:lineRule="auto"/>
              <w:rPr>
                <w:sz w:val="20"/>
              </w:rPr>
            </w:pPr>
            <w:r w:rsidRPr="00A77AF6">
              <w:rPr>
                <w:sz w:val="20"/>
              </w:rPr>
              <w:t>Trust Board</w:t>
            </w:r>
          </w:p>
        </w:tc>
        <w:tc>
          <w:tcPr>
            <w:tcW w:w="993" w:type="dxa"/>
            <w:tcBorders>
              <w:top w:val="single" w:sz="4" w:space="0" w:color="auto"/>
              <w:left w:val="single" w:sz="4" w:space="0" w:color="auto"/>
              <w:bottom w:val="single" w:sz="4" w:space="0" w:color="auto"/>
              <w:right w:val="single" w:sz="4" w:space="0" w:color="auto"/>
            </w:tcBorders>
          </w:tcPr>
          <w:p w14:paraId="37923D95" w14:textId="77777777" w:rsidR="00B32827" w:rsidRPr="00A77AF6" w:rsidRDefault="00B32827" w:rsidP="00192D26">
            <w:pPr>
              <w:spacing w:after="0" w:line="240" w:lineRule="auto"/>
              <w:rPr>
                <w:sz w:val="20"/>
              </w:rPr>
            </w:pPr>
            <w:r w:rsidRPr="00A77AF6">
              <w:rPr>
                <w:sz w:val="20"/>
              </w:rPr>
              <w:t>4</w:t>
            </w:r>
          </w:p>
          <w:p w14:paraId="4FDC9F9F" w14:textId="59EB6BC5" w:rsidR="00192D26" w:rsidRPr="00A77AF6" w:rsidRDefault="00192D26" w:rsidP="00192D26">
            <w:pPr>
              <w:spacing w:after="0" w:line="240" w:lineRule="auto"/>
              <w:rPr>
                <w:sz w:val="20"/>
              </w:rPr>
            </w:pPr>
          </w:p>
        </w:tc>
        <w:tc>
          <w:tcPr>
            <w:tcW w:w="992" w:type="dxa"/>
            <w:tcBorders>
              <w:top w:val="single" w:sz="4" w:space="0" w:color="auto"/>
              <w:left w:val="single" w:sz="4" w:space="0" w:color="auto"/>
              <w:bottom w:val="single" w:sz="4" w:space="0" w:color="auto"/>
              <w:right w:val="single" w:sz="4" w:space="0" w:color="auto"/>
            </w:tcBorders>
          </w:tcPr>
          <w:p w14:paraId="5DE46AFB" w14:textId="77777777" w:rsidR="00B32827" w:rsidRPr="00A77AF6" w:rsidRDefault="00B32827" w:rsidP="00192D26">
            <w:pPr>
              <w:spacing w:after="0" w:line="240" w:lineRule="auto"/>
              <w:rPr>
                <w:sz w:val="20"/>
              </w:rPr>
            </w:pPr>
            <w:r w:rsidRPr="00A77AF6">
              <w:rPr>
                <w:sz w:val="20"/>
              </w:rPr>
              <w:t>3</w:t>
            </w:r>
          </w:p>
        </w:tc>
        <w:tc>
          <w:tcPr>
            <w:tcW w:w="1134" w:type="dxa"/>
            <w:tcBorders>
              <w:top w:val="single" w:sz="4" w:space="0" w:color="auto"/>
              <w:left w:val="single" w:sz="4" w:space="0" w:color="auto"/>
              <w:bottom w:val="single" w:sz="4" w:space="0" w:color="auto"/>
              <w:right w:val="single" w:sz="4" w:space="0" w:color="auto"/>
            </w:tcBorders>
          </w:tcPr>
          <w:p w14:paraId="1EE8FF52" w14:textId="77777777" w:rsidR="00B32827" w:rsidRPr="00A77AF6" w:rsidRDefault="00B32827" w:rsidP="00192D26">
            <w:pPr>
              <w:spacing w:after="0" w:line="240" w:lineRule="auto"/>
              <w:rPr>
                <w:sz w:val="20"/>
              </w:rPr>
            </w:pPr>
            <w:r w:rsidRPr="00A77AF6">
              <w:rPr>
                <w:sz w:val="20"/>
              </w:rPr>
              <w:t>2</w:t>
            </w:r>
          </w:p>
        </w:tc>
        <w:tc>
          <w:tcPr>
            <w:tcW w:w="1134" w:type="dxa"/>
            <w:tcBorders>
              <w:top w:val="single" w:sz="4" w:space="0" w:color="auto"/>
              <w:left w:val="single" w:sz="4" w:space="0" w:color="auto"/>
              <w:bottom w:val="single" w:sz="4" w:space="0" w:color="auto"/>
              <w:right w:val="single" w:sz="4" w:space="0" w:color="auto"/>
            </w:tcBorders>
          </w:tcPr>
          <w:p w14:paraId="6B97A1FC" w14:textId="77777777" w:rsidR="00B32827" w:rsidRPr="00A77AF6" w:rsidRDefault="00B32827" w:rsidP="00192D26">
            <w:pPr>
              <w:spacing w:after="0" w:line="240" w:lineRule="auto"/>
              <w:rPr>
                <w:sz w:val="20"/>
              </w:rPr>
            </w:pPr>
            <w:r w:rsidRPr="00A77AF6">
              <w:rPr>
                <w:sz w:val="20"/>
              </w:rPr>
              <w:t>1</w:t>
            </w:r>
          </w:p>
        </w:tc>
        <w:tc>
          <w:tcPr>
            <w:tcW w:w="1276" w:type="dxa"/>
            <w:tcBorders>
              <w:top w:val="single" w:sz="4" w:space="0" w:color="auto"/>
              <w:left w:val="single" w:sz="4" w:space="0" w:color="auto"/>
              <w:bottom w:val="single" w:sz="4" w:space="0" w:color="auto"/>
              <w:right w:val="single" w:sz="4" w:space="0" w:color="auto"/>
            </w:tcBorders>
          </w:tcPr>
          <w:p w14:paraId="332E3F67" w14:textId="77777777" w:rsidR="00B32827" w:rsidRPr="00A77AF6" w:rsidRDefault="00B32827" w:rsidP="00192D26">
            <w:pPr>
              <w:spacing w:after="0" w:line="240" w:lineRule="auto"/>
              <w:rPr>
                <w:sz w:val="20"/>
              </w:rPr>
            </w:pPr>
            <w:r w:rsidRPr="00A77AF6">
              <w:rPr>
                <w:sz w:val="20"/>
              </w:rPr>
              <w:t>0</w:t>
            </w:r>
          </w:p>
        </w:tc>
        <w:tc>
          <w:tcPr>
            <w:tcW w:w="1275" w:type="dxa"/>
            <w:tcBorders>
              <w:top w:val="single" w:sz="4" w:space="0" w:color="auto"/>
              <w:left w:val="single" w:sz="4" w:space="0" w:color="auto"/>
              <w:bottom w:val="single" w:sz="4" w:space="0" w:color="auto"/>
              <w:right w:val="single" w:sz="4" w:space="0" w:color="auto"/>
            </w:tcBorders>
          </w:tcPr>
          <w:p w14:paraId="104319D4" w14:textId="77777777" w:rsidR="00B32827" w:rsidRPr="00A77AF6" w:rsidRDefault="00B32827" w:rsidP="00192D26">
            <w:pPr>
              <w:spacing w:after="0" w:line="240" w:lineRule="auto"/>
              <w:rPr>
                <w:sz w:val="20"/>
              </w:rPr>
            </w:pPr>
            <w:r w:rsidRPr="00A77AF6">
              <w:rPr>
                <w:sz w:val="20"/>
              </w:rPr>
              <w:t>0</w:t>
            </w:r>
          </w:p>
        </w:tc>
      </w:tr>
      <w:tr w:rsidR="00B32827" w:rsidRPr="00A77AF6" w14:paraId="5166641C" w14:textId="77777777" w:rsidTr="00B32827">
        <w:tc>
          <w:tcPr>
            <w:tcW w:w="1696" w:type="dxa"/>
            <w:tcBorders>
              <w:top w:val="single" w:sz="4" w:space="0" w:color="auto"/>
              <w:left w:val="single" w:sz="4" w:space="0" w:color="auto"/>
              <w:bottom w:val="single" w:sz="4" w:space="0" w:color="auto"/>
              <w:right w:val="single" w:sz="4" w:space="0" w:color="auto"/>
            </w:tcBorders>
          </w:tcPr>
          <w:p w14:paraId="09D34598" w14:textId="77777777" w:rsidR="00B32827" w:rsidRPr="00A77AF6" w:rsidRDefault="00B32827" w:rsidP="00192D26">
            <w:pPr>
              <w:spacing w:after="0" w:line="240" w:lineRule="auto"/>
              <w:rPr>
                <w:sz w:val="20"/>
              </w:rPr>
            </w:pPr>
            <w:r w:rsidRPr="00A77AF6">
              <w:rPr>
                <w:sz w:val="20"/>
              </w:rPr>
              <w:t>Chairperson</w:t>
            </w:r>
          </w:p>
        </w:tc>
        <w:tc>
          <w:tcPr>
            <w:tcW w:w="993" w:type="dxa"/>
            <w:tcBorders>
              <w:top w:val="single" w:sz="4" w:space="0" w:color="auto"/>
              <w:left w:val="single" w:sz="4" w:space="0" w:color="auto"/>
              <w:bottom w:val="single" w:sz="4" w:space="0" w:color="auto"/>
              <w:right w:val="single" w:sz="4" w:space="0" w:color="auto"/>
            </w:tcBorders>
          </w:tcPr>
          <w:p w14:paraId="4A4BC7BC" w14:textId="77777777" w:rsidR="00B32827" w:rsidRPr="00A77AF6" w:rsidRDefault="00B32827" w:rsidP="00192D26">
            <w:pPr>
              <w:spacing w:after="0" w:line="240" w:lineRule="auto"/>
              <w:rPr>
                <w:sz w:val="20"/>
              </w:rPr>
            </w:pPr>
            <w:r w:rsidRPr="00A77AF6">
              <w:rPr>
                <w:sz w:val="20"/>
              </w:rPr>
              <w:t>4</w:t>
            </w:r>
          </w:p>
          <w:p w14:paraId="09219716" w14:textId="00514EE1" w:rsidR="00192D26" w:rsidRPr="00A77AF6" w:rsidRDefault="00192D26" w:rsidP="00192D26">
            <w:pPr>
              <w:spacing w:after="0" w:line="240" w:lineRule="auto"/>
              <w:rPr>
                <w:sz w:val="20"/>
              </w:rPr>
            </w:pPr>
          </w:p>
        </w:tc>
        <w:tc>
          <w:tcPr>
            <w:tcW w:w="992" w:type="dxa"/>
            <w:tcBorders>
              <w:top w:val="single" w:sz="4" w:space="0" w:color="auto"/>
              <w:left w:val="single" w:sz="4" w:space="0" w:color="auto"/>
              <w:bottom w:val="single" w:sz="4" w:space="0" w:color="auto"/>
              <w:right w:val="single" w:sz="4" w:space="0" w:color="auto"/>
            </w:tcBorders>
          </w:tcPr>
          <w:p w14:paraId="68ADE9AD" w14:textId="77777777" w:rsidR="00B32827" w:rsidRPr="00A77AF6" w:rsidRDefault="00B32827" w:rsidP="00192D26">
            <w:pPr>
              <w:spacing w:after="0" w:line="240" w:lineRule="auto"/>
              <w:rPr>
                <w:sz w:val="20"/>
              </w:rPr>
            </w:pPr>
            <w:r w:rsidRPr="00A77AF6">
              <w:rPr>
                <w:sz w:val="20"/>
              </w:rPr>
              <w:t>3</w:t>
            </w:r>
          </w:p>
        </w:tc>
        <w:tc>
          <w:tcPr>
            <w:tcW w:w="1134" w:type="dxa"/>
            <w:tcBorders>
              <w:top w:val="single" w:sz="4" w:space="0" w:color="auto"/>
              <w:left w:val="single" w:sz="4" w:space="0" w:color="auto"/>
              <w:bottom w:val="single" w:sz="4" w:space="0" w:color="auto"/>
              <w:right w:val="single" w:sz="4" w:space="0" w:color="auto"/>
            </w:tcBorders>
          </w:tcPr>
          <w:p w14:paraId="72EA8502" w14:textId="77777777" w:rsidR="00B32827" w:rsidRPr="00A77AF6" w:rsidRDefault="00B32827" w:rsidP="00192D26">
            <w:pPr>
              <w:spacing w:after="0" w:line="240" w:lineRule="auto"/>
              <w:rPr>
                <w:sz w:val="20"/>
              </w:rPr>
            </w:pPr>
            <w:r w:rsidRPr="00A77AF6">
              <w:rPr>
                <w:sz w:val="20"/>
              </w:rPr>
              <w:t>2</w:t>
            </w:r>
          </w:p>
        </w:tc>
        <w:tc>
          <w:tcPr>
            <w:tcW w:w="1134" w:type="dxa"/>
            <w:tcBorders>
              <w:top w:val="single" w:sz="4" w:space="0" w:color="auto"/>
              <w:left w:val="single" w:sz="4" w:space="0" w:color="auto"/>
              <w:bottom w:val="single" w:sz="4" w:space="0" w:color="auto"/>
              <w:right w:val="single" w:sz="4" w:space="0" w:color="auto"/>
            </w:tcBorders>
          </w:tcPr>
          <w:p w14:paraId="29FDA4E6" w14:textId="77777777" w:rsidR="00B32827" w:rsidRPr="00A77AF6" w:rsidRDefault="00B32827" w:rsidP="00192D26">
            <w:pPr>
              <w:spacing w:after="0" w:line="240" w:lineRule="auto"/>
              <w:rPr>
                <w:sz w:val="20"/>
              </w:rPr>
            </w:pPr>
            <w:r w:rsidRPr="00A77AF6">
              <w:rPr>
                <w:sz w:val="20"/>
              </w:rPr>
              <w:t>1</w:t>
            </w:r>
          </w:p>
        </w:tc>
        <w:tc>
          <w:tcPr>
            <w:tcW w:w="1276" w:type="dxa"/>
            <w:tcBorders>
              <w:top w:val="single" w:sz="4" w:space="0" w:color="auto"/>
              <w:left w:val="single" w:sz="4" w:space="0" w:color="auto"/>
              <w:bottom w:val="single" w:sz="4" w:space="0" w:color="auto"/>
              <w:right w:val="single" w:sz="4" w:space="0" w:color="auto"/>
            </w:tcBorders>
          </w:tcPr>
          <w:p w14:paraId="02ABD91C" w14:textId="77777777" w:rsidR="00B32827" w:rsidRPr="00A77AF6" w:rsidRDefault="00B32827" w:rsidP="00192D26">
            <w:pPr>
              <w:spacing w:after="0" w:line="240" w:lineRule="auto"/>
              <w:rPr>
                <w:sz w:val="20"/>
              </w:rPr>
            </w:pPr>
            <w:r w:rsidRPr="00A77AF6">
              <w:rPr>
                <w:sz w:val="20"/>
              </w:rPr>
              <w:t>0</w:t>
            </w:r>
          </w:p>
        </w:tc>
        <w:tc>
          <w:tcPr>
            <w:tcW w:w="1275" w:type="dxa"/>
            <w:tcBorders>
              <w:top w:val="single" w:sz="4" w:space="0" w:color="auto"/>
              <w:left w:val="single" w:sz="4" w:space="0" w:color="auto"/>
              <w:bottom w:val="single" w:sz="4" w:space="0" w:color="auto"/>
              <w:right w:val="single" w:sz="4" w:space="0" w:color="auto"/>
            </w:tcBorders>
          </w:tcPr>
          <w:p w14:paraId="15B4BA93" w14:textId="77777777" w:rsidR="00B32827" w:rsidRPr="00A77AF6" w:rsidRDefault="00B32827" w:rsidP="00192D26">
            <w:pPr>
              <w:spacing w:after="0" w:line="240" w:lineRule="auto"/>
              <w:rPr>
                <w:sz w:val="20"/>
              </w:rPr>
            </w:pPr>
            <w:r w:rsidRPr="00A77AF6">
              <w:rPr>
                <w:sz w:val="20"/>
              </w:rPr>
              <w:t>0</w:t>
            </w:r>
          </w:p>
        </w:tc>
      </w:tr>
      <w:tr w:rsidR="00B32827" w:rsidRPr="00A77AF6" w14:paraId="6DC29AA5" w14:textId="77777777" w:rsidTr="00B32827">
        <w:trPr>
          <w:trHeight w:val="499"/>
        </w:trPr>
        <w:tc>
          <w:tcPr>
            <w:tcW w:w="1696" w:type="dxa"/>
            <w:tcBorders>
              <w:top w:val="single" w:sz="4" w:space="0" w:color="auto"/>
              <w:left w:val="single" w:sz="4" w:space="0" w:color="auto"/>
              <w:bottom w:val="single" w:sz="4" w:space="0" w:color="auto"/>
              <w:right w:val="single" w:sz="4" w:space="0" w:color="auto"/>
            </w:tcBorders>
          </w:tcPr>
          <w:p w14:paraId="601B5452" w14:textId="77777777" w:rsidR="00B32827" w:rsidRPr="00A77AF6" w:rsidRDefault="00B32827" w:rsidP="00192D26">
            <w:pPr>
              <w:spacing w:after="0" w:line="240" w:lineRule="auto"/>
              <w:rPr>
                <w:sz w:val="20"/>
              </w:rPr>
            </w:pPr>
            <w:r w:rsidRPr="00A77AF6">
              <w:rPr>
                <w:sz w:val="20"/>
              </w:rPr>
              <w:t>Non-executive directors</w:t>
            </w:r>
          </w:p>
        </w:tc>
        <w:tc>
          <w:tcPr>
            <w:tcW w:w="993" w:type="dxa"/>
            <w:tcBorders>
              <w:top w:val="single" w:sz="4" w:space="0" w:color="auto"/>
              <w:left w:val="single" w:sz="4" w:space="0" w:color="auto"/>
              <w:bottom w:val="single" w:sz="4" w:space="0" w:color="auto"/>
              <w:right w:val="single" w:sz="4" w:space="0" w:color="auto"/>
            </w:tcBorders>
          </w:tcPr>
          <w:p w14:paraId="137EB8F1" w14:textId="77777777" w:rsidR="00B32827" w:rsidRPr="00A77AF6" w:rsidRDefault="00B32827" w:rsidP="00192D26">
            <w:pPr>
              <w:spacing w:after="0" w:line="240" w:lineRule="auto"/>
              <w:rPr>
                <w:sz w:val="20"/>
              </w:rPr>
            </w:pPr>
            <w:r w:rsidRPr="00A77AF6">
              <w:rPr>
                <w:sz w:val="20"/>
              </w:rPr>
              <w:t>4</w:t>
            </w:r>
          </w:p>
        </w:tc>
        <w:tc>
          <w:tcPr>
            <w:tcW w:w="992" w:type="dxa"/>
            <w:tcBorders>
              <w:top w:val="single" w:sz="4" w:space="0" w:color="auto"/>
              <w:left w:val="single" w:sz="4" w:space="0" w:color="auto"/>
              <w:bottom w:val="single" w:sz="4" w:space="0" w:color="auto"/>
              <w:right w:val="single" w:sz="4" w:space="0" w:color="auto"/>
            </w:tcBorders>
          </w:tcPr>
          <w:p w14:paraId="7F899F48" w14:textId="77777777" w:rsidR="00B32827" w:rsidRPr="00A77AF6" w:rsidRDefault="00B32827" w:rsidP="00192D26">
            <w:pPr>
              <w:spacing w:after="0" w:line="240" w:lineRule="auto"/>
              <w:rPr>
                <w:sz w:val="20"/>
              </w:rPr>
            </w:pPr>
            <w:r w:rsidRPr="00A77AF6">
              <w:rPr>
                <w:sz w:val="20"/>
              </w:rPr>
              <w:t>3</w:t>
            </w:r>
          </w:p>
        </w:tc>
        <w:tc>
          <w:tcPr>
            <w:tcW w:w="1134" w:type="dxa"/>
            <w:tcBorders>
              <w:top w:val="single" w:sz="4" w:space="0" w:color="auto"/>
              <w:left w:val="single" w:sz="4" w:space="0" w:color="auto"/>
              <w:bottom w:val="single" w:sz="4" w:space="0" w:color="auto"/>
              <w:right w:val="single" w:sz="4" w:space="0" w:color="auto"/>
            </w:tcBorders>
          </w:tcPr>
          <w:p w14:paraId="5DB09407" w14:textId="77777777" w:rsidR="00B32827" w:rsidRPr="00A77AF6" w:rsidRDefault="00B32827" w:rsidP="00192D26">
            <w:pPr>
              <w:spacing w:after="0" w:line="240" w:lineRule="auto"/>
              <w:rPr>
                <w:sz w:val="20"/>
              </w:rPr>
            </w:pPr>
            <w:r w:rsidRPr="00A77AF6">
              <w:rPr>
                <w:sz w:val="20"/>
              </w:rPr>
              <w:t>2</w:t>
            </w:r>
          </w:p>
        </w:tc>
        <w:tc>
          <w:tcPr>
            <w:tcW w:w="1134" w:type="dxa"/>
            <w:tcBorders>
              <w:top w:val="single" w:sz="4" w:space="0" w:color="auto"/>
              <w:left w:val="single" w:sz="4" w:space="0" w:color="auto"/>
              <w:bottom w:val="single" w:sz="4" w:space="0" w:color="auto"/>
              <w:right w:val="single" w:sz="4" w:space="0" w:color="auto"/>
            </w:tcBorders>
          </w:tcPr>
          <w:p w14:paraId="5A2BA895" w14:textId="77777777" w:rsidR="00B32827" w:rsidRPr="00A77AF6" w:rsidRDefault="00B32827" w:rsidP="00192D26">
            <w:pPr>
              <w:spacing w:after="0" w:line="240" w:lineRule="auto"/>
              <w:rPr>
                <w:sz w:val="20"/>
              </w:rPr>
            </w:pPr>
            <w:r w:rsidRPr="00A77AF6">
              <w:rPr>
                <w:sz w:val="20"/>
              </w:rPr>
              <w:t>1</w:t>
            </w:r>
          </w:p>
        </w:tc>
        <w:tc>
          <w:tcPr>
            <w:tcW w:w="1276" w:type="dxa"/>
            <w:tcBorders>
              <w:top w:val="single" w:sz="4" w:space="0" w:color="auto"/>
              <w:left w:val="single" w:sz="4" w:space="0" w:color="auto"/>
              <w:bottom w:val="single" w:sz="4" w:space="0" w:color="auto"/>
              <w:right w:val="single" w:sz="4" w:space="0" w:color="auto"/>
            </w:tcBorders>
          </w:tcPr>
          <w:p w14:paraId="57EF4660" w14:textId="77777777" w:rsidR="00B32827" w:rsidRPr="00A77AF6" w:rsidRDefault="00B32827" w:rsidP="00192D26">
            <w:pPr>
              <w:spacing w:after="0" w:line="240" w:lineRule="auto"/>
              <w:rPr>
                <w:sz w:val="20"/>
              </w:rPr>
            </w:pPr>
            <w:r w:rsidRPr="00A77AF6">
              <w:rPr>
                <w:sz w:val="20"/>
              </w:rPr>
              <w:t>0</w:t>
            </w:r>
          </w:p>
        </w:tc>
        <w:tc>
          <w:tcPr>
            <w:tcW w:w="1275" w:type="dxa"/>
            <w:tcBorders>
              <w:top w:val="single" w:sz="4" w:space="0" w:color="auto"/>
              <w:left w:val="single" w:sz="4" w:space="0" w:color="auto"/>
              <w:bottom w:val="single" w:sz="4" w:space="0" w:color="auto"/>
              <w:right w:val="single" w:sz="4" w:space="0" w:color="auto"/>
            </w:tcBorders>
          </w:tcPr>
          <w:p w14:paraId="116BC072" w14:textId="77777777" w:rsidR="00B32827" w:rsidRPr="00A77AF6" w:rsidRDefault="00B32827" w:rsidP="00192D26">
            <w:pPr>
              <w:spacing w:after="0" w:line="240" w:lineRule="auto"/>
              <w:rPr>
                <w:sz w:val="20"/>
              </w:rPr>
            </w:pPr>
            <w:r w:rsidRPr="00A77AF6">
              <w:rPr>
                <w:sz w:val="20"/>
              </w:rPr>
              <w:t>0</w:t>
            </w:r>
          </w:p>
        </w:tc>
      </w:tr>
      <w:tr w:rsidR="00B32827" w:rsidRPr="00A77AF6" w14:paraId="56F48644" w14:textId="77777777" w:rsidTr="00B32827">
        <w:tc>
          <w:tcPr>
            <w:tcW w:w="1696" w:type="dxa"/>
            <w:tcBorders>
              <w:top w:val="single" w:sz="4" w:space="0" w:color="auto"/>
              <w:left w:val="single" w:sz="4" w:space="0" w:color="auto"/>
              <w:bottom w:val="single" w:sz="4" w:space="0" w:color="auto"/>
              <w:right w:val="single" w:sz="4" w:space="0" w:color="auto"/>
            </w:tcBorders>
          </w:tcPr>
          <w:p w14:paraId="5DB3A5D9" w14:textId="77777777" w:rsidR="00B32827" w:rsidRPr="00A77AF6" w:rsidRDefault="00B32827" w:rsidP="00192D26">
            <w:pPr>
              <w:spacing w:after="0" w:line="240" w:lineRule="auto"/>
              <w:rPr>
                <w:sz w:val="20"/>
              </w:rPr>
            </w:pPr>
            <w:r w:rsidRPr="00A77AF6">
              <w:rPr>
                <w:sz w:val="20"/>
              </w:rPr>
              <w:t>Chief Executive</w:t>
            </w:r>
          </w:p>
        </w:tc>
        <w:tc>
          <w:tcPr>
            <w:tcW w:w="993" w:type="dxa"/>
            <w:tcBorders>
              <w:top w:val="single" w:sz="4" w:space="0" w:color="auto"/>
              <w:left w:val="single" w:sz="4" w:space="0" w:color="auto"/>
              <w:bottom w:val="single" w:sz="4" w:space="0" w:color="auto"/>
              <w:right w:val="single" w:sz="4" w:space="0" w:color="auto"/>
            </w:tcBorders>
          </w:tcPr>
          <w:p w14:paraId="4DEBE6EE" w14:textId="77777777" w:rsidR="00B32827" w:rsidRPr="00A77AF6" w:rsidRDefault="00B32827" w:rsidP="00192D26">
            <w:pPr>
              <w:spacing w:after="0" w:line="240" w:lineRule="auto"/>
              <w:rPr>
                <w:sz w:val="20"/>
              </w:rPr>
            </w:pPr>
            <w:r w:rsidRPr="00A77AF6">
              <w:rPr>
                <w:sz w:val="20"/>
              </w:rPr>
              <w:t>4</w:t>
            </w:r>
          </w:p>
          <w:p w14:paraId="4FEE640D" w14:textId="583A4167" w:rsidR="00192D26" w:rsidRPr="00A77AF6" w:rsidRDefault="00192D26" w:rsidP="00192D26">
            <w:pPr>
              <w:spacing w:after="0" w:line="240" w:lineRule="auto"/>
              <w:rPr>
                <w:sz w:val="20"/>
              </w:rPr>
            </w:pPr>
          </w:p>
        </w:tc>
        <w:tc>
          <w:tcPr>
            <w:tcW w:w="992" w:type="dxa"/>
            <w:tcBorders>
              <w:top w:val="single" w:sz="4" w:space="0" w:color="auto"/>
              <w:left w:val="single" w:sz="4" w:space="0" w:color="auto"/>
              <w:bottom w:val="single" w:sz="4" w:space="0" w:color="auto"/>
              <w:right w:val="single" w:sz="4" w:space="0" w:color="auto"/>
            </w:tcBorders>
          </w:tcPr>
          <w:p w14:paraId="078127FC" w14:textId="77777777" w:rsidR="00B32827" w:rsidRPr="00A77AF6" w:rsidRDefault="00B32827" w:rsidP="00192D26">
            <w:pPr>
              <w:spacing w:after="0" w:line="240" w:lineRule="auto"/>
              <w:rPr>
                <w:sz w:val="20"/>
              </w:rPr>
            </w:pPr>
            <w:r w:rsidRPr="00A77AF6">
              <w:rPr>
                <w:sz w:val="20"/>
              </w:rPr>
              <w:t>3</w:t>
            </w:r>
          </w:p>
        </w:tc>
        <w:tc>
          <w:tcPr>
            <w:tcW w:w="1134" w:type="dxa"/>
            <w:tcBorders>
              <w:top w:val="single" w:sz="4" w:space="0" w:color="auto"/>
              <w:left w:val="single" w:sz="4" w:space="0" w:color="auto"/>
              <w:bottom w:val="single" w:sz="4" w:space="0" w:color="auto"/>
              <w:right w:val="single" w:sz="4" w:space="0" w:color="auto"/>
            </w:tcBorders>
          </w:tcPr>
          <w:p w14:paraId="00E7992F" w14:textId="77777777" w:rsidR="00B32827" w:rsidRPr="00A77AF6" w:rsidRDefault="00B32827" w:rsidP="00192D26">
            <w:pPr>
              <w:spacing w:after="0" w:line="240" w:lineRule="auto"/>
              <w:rPr>
                <w:sz w:val="20"/>
              </w:rPr>
            </w:pPr>
            <w:r w:rsidRPr="00A77AF6">
              <w:rPr>
                <w:sz w:val="20"/>
              </w:rPr>
              <w:t>2</w:t>
            </w:r>
          </w:p>
        </w:tc>
        <w:tc>
          <w:tcPr>
            <w:tcW w:w="1134" w:type="dxa"/>
            <w:tcBorders>
              <w:top w:val="single" w:sz="4" w:space="0" w:color="auto"/>
              <w:left w:val="single" w:sz="4" w:space="0" w:color="auto"/>
              <w:bottom w:val="single" w:sz="4" w:space="0" w:color="auto"/>
              <w:right w:val="single" w:sz="4" w:space="0" w:color="auto"/>
            </w:tcBorders>
          </w:tcPr>
          <w:p w14:paraId="4FEC611D" w14:textId="77777777" w:rsidR="00B32827" w:rsidRPr="00A77AF6" w:rsidRDefault="00B32827" w:rsidP="00192D26">
            <w:pPr>
              <w:spacing w:after="0" w:line="240" w:lineRule="auto"/>
              <w:rPr>
                <w:sz w:val="20"/>
              </w:rPr>
            </w:pPr>
            <w:r w:rsidRPr="00A77AF6">
              <w:rPr>
                <w:sz w:val="20"/>
              </w:rPr>
              <w:t>1</w:t>
            </w:r>
          </w:p>
        </w:tc>
        <w:tc>
          <w:tcPr>
            <w:tcW w:w="1276" w:type="dxa"/>
            <w:tcBorders>
              <w:top w:val="single" w:sz="4" w:space="0" w:color="auto"/>
              <w:left w:val="single" w:sz="4" w:space="0" w:color="auto"/>
              <w:bottom w:val="single" w:sz="4" w:space="0" w:color="auto"/>
              <w:right w:val="single" w:sz="4" w:space="0" w:color="auto"/>
            </w:tcBorders>
          </w:tcPr>
          <w:p w14:paraId="3A56627D" w14:textId="77777777" w:rsidR="00B32827" w:rsidRPr="00A77AF6" w:rsidRDefault="00B32827" w:rsidP="00192D26">
            <w:pPr>
              <w:spacing w:after="0" w:line="240" w:lineRule="auto"/>
              <w:rPr>
                <w:sz w:val="20"/>
              </w:rPr>
            </w:pPr>
            <w:r w:rsidRPr="00A77AF6">
              <w:rPr>
                <w:sz w:val="20"/>
              </w:rPr>
              <w:t>0</w:t>
            </w:r>
          </w:p>
        </w:tc>
        <w:tc>
          <w:tcPr>
            <w:tcW w:w="1275" w:type="dxa"/>
            <w:tcBorders>
              <w:top w:val="single" w:sz="4" w:space="0" w:color="auto"/>
              <w:left w:val="single" w:sz="4" w:space="0" w:color="auto"/>
              <w:bottom w:val="single" w:sz="4" w:space="0" w:color="auto"/>
              <w:right w:val="single" w:sz="4" w:space="0" w:color="auto"/>
            </w:tcBorders>
          </w:tcPr>
          <w:p w14:paraId="1F0D2942" w14:textId="77777777" w:rsidR="00B32827" w:rsidRPr="00A77AF6" w:rsidRDefault="00B32827" w:rsidP="00192D26">
            <w:pPr>
              <w:spacing w:after="0" w:line="240" w:lineRule="auto"/>
              <w:rPr>
                <w:sz w:val="20"/>
              </w:rPr>
            </w:pPr>
            <w:r w:rsidRPr="00A77AF6">
              <w:rPr>
                <w:sz w:val="20"/>
              </w:rPr>
              <w:t>0</w:t>
            </w:r>
          </w:p>
        </w:tc>
      </w:tr>
      <w:tr w:rsidR="00B32827" w:rsidRPr="00A77AF6" w14:paraId="2EAC8F48" w14:textId="77777777" w:rsidTr="00B32827">
        <w:tc>
          <w:tcPr>
            <w:tcW w:w="1696" w:type="dxa"/>
            <w:tcBorders>
              <w:top w:val="single" w:sz="4" w:space="0" w:color="auto"/>
              <w:left w:val="single" w:sz="4" w:space="0" w:color="auto"/>
              <w:bottom w:val="single" w:sz="4" w:space="0" w:color="auto"/>
              <w:right w:val="single" w:sz="4" w:space="0" w:color="auto"/>
            </w:tcBorders>
          </w:tcPr>
          <w:p w14:paraId="7DCFCEDE" w14:textId="77777777" w:rsidR="00B32827" w:rsidRPr="00A77AF6" w:rsidRDefault="00B32827" w:rsidP="00192D26">
            <w:pPr>
              <w:spacing w:after="0" w:line="240" w:lineRule="auto"/>
              <w:rPr>
                <w:sz w:val="20"/>
              </w:rPr>
            </w:pPr>
            <w:r w:rsidRPr="00A77AF6">
              <w:rPr>
                <w:sz w:val="20"/>
              </w:rPr>
              <w:t>Executive Directors</w:t>
            </w:r>
          </w:p>
        </w:tc>
        <w:tc>
          <w:tcPr>
            <w:tcW w:w="993" w:type="dxa"/>
            <w:tcBorders>
              <w:top w:val="single" w:sz="4" w:space="0" w:color="auto"/>
              <w:left w:val="single" w:sz="4" w:space="0" w:color="auto"/>
              <w:bottom w:val="single" w:sz="4" w:space="0" w:color="auto"/>
              <w:right w:val="single" w:sz="4" w:space="0" w:color="auto"/>
            </w:tcBorders>
          </w:tcPr>
          <w:p w14:paraId="284017A1" w14:textId="77777777" w:rsidR="00B32827" w:rsidRPr="00A77AF6" w:rsidRDefault="00B32827" w:rsidP="00192D26">
            <w:pPr>
              <w:spacing w:after="0" w:line="240" w:lineRule="auto"/>
              <w:rPr>
                <w:sz w:val="20"/>
              </w:rPr>
            </w:pPr>
            <w:r w:rsidRPr="00A77AF6">
              <w:rPr>
                <w:sz w:val="20"/>
              </w:rPr>
              <w:t>4</w:t>
            </w:r>
          </w:p>
        </w:tc>
        <w:tc>
          <w:tcPr>
            <w:tcW w:w="992" w:type="dxa"/>
            <w:tcBorders>
              <w:top w:val="single" w:sz="4" w:space="0" w:color="auto"/>
              <w:left w:val="single" w:sz="4" w:space="0" w:color="auto"/>
              <w:bottom w:val="single" w:sz="4" w:space="0" w:color="auto"/>
              <w:right w:val="single" w:sz="4" w:space="0" w:color="auto"/>
            </w:tcBorders>
          </w:tcPr>
          <w:p w14:paraId="3DD7546E" w14:textId="77777777" w:rsidR="00B32827" w:rsidRPr="00A77AF6" w:rsidRDefault="00B32827" w:rsidP="00192D26">
            <w:pPr>
              <w:spacing w:after="0" w:line="240" w:lineRule="auto"/>
              <w:rPr>
                <w:sz w:val="20"/>
              </w:rPr>
            </w:pPr>
            <w:r w:rsidRPr="00A77AF6">
              <w:rPr>
                <w:sz w:val="20"/>
              </w:rPr>
              <w:t>3</w:t>
            </w:r>
          </w:p>
        </w:tc>
        <w:tc>
          <w:tcPr>
            <w:tcW w:w="1134" w:type="dxa"/>
            <w:tcBorders>
              <w:top w:val="single" w:sz="4" w:space="0" w:color="auto"/>
              <w:left w:val="single" w:sz="4" w:space="0" w:color="auto"/>
              <w:bottom w:val="single" w:sz="4" w:space="0" w:color="auto"/>
              <w:right w:val="single" w:sz="4" w:space="0" w:color="auto"/>
            </w:tcBorders>
          </w:tcPr>
          <w:p w14:paraId="08CECABE" w14:textId="77777777" w:rsidR="00B32827" w:rsidRPr="00A77AF6" w:rsidRDefault="00B32827" w:rsidP="00192D26">
            <w:pPr>
              <w:spacing w:after="0" w:line="240" w:lineRule="auto"/>
              <w:rPr>
                <w:sz w:val="20"/>
              </w:rPr>
            </w:pPr>
            <w:r w:rsidRPr="00A77AF6">
              <w:rPr>
                <w:sz w:val="20"/>
              </w:rPr>
              <w:t>2</w:t>
            </w:r>
          </w:p>
        </w:tc>
        <w:tc>
          <w:tcPr>
            <w:tcW w:w="1134" w:type="dxa"/>
            <w:tcBorders>
              <w:top w:val="single" w:sz="4" w:space="0" w:color="auto"/>
              <w:left w:val="single" w:sz="4" w:space="0" w:color="auto"/>
              <w:bottom w:val="single" w:sz="4" w:space="0" w:color="auto"/>
              <w:right w:val="single" w:sz="4" w:space="0" w:color="auto"/>
            </w:tcBorders>
          </w:tcPr>
          <w:p w14:paraId="00449925" w14:textId="77777777" w:rsidR="00B32827" w:rsidRPr="00A77AF6" w:rsidRDefault="00B32827" w:rsidP="00192D26">
            <w:pPr>
              <w:spacing w:after="0" w:line="240" w:lineRule="auto"/>
              <w:rPr>
                <w:sz w:val="20"/>
              </w:rPr>
            </w:pPr>
            <w:r w:rsidRPr="00A77AF6">
              <w:rPr>
                <w:sz w:val="20"/>
              </w:rPr>
              <w:t>1</w:t>
            </w:r>
          </w:p>
        </w:tc>
        <w:tc>
          <w:tcPr>
            <w:tcW w:w="1276" w:type="dxa"/>
            <w:tcBorders>
              <w:top w:val="single" w:sz="4" w:space="0" w:color="auto"/>
              <w:left w:val="single" w:sz="4" w:space="0" w:color="auto"/>
              <w:bottom w:val="single" w:sz="4" w:space="0" w:color="auto"/>
              <w:right w:val="single" w:sz="4" w:space="0" w:color="auto"/>
            </w:tcBorders>
          </w:tcPr>
          <w:p w14:paraId="62B3C3CE" w14:textId="77777777" w:rsidR="00B32827" w:rsidRPr="00A77AF6" w:rsidRDefault="00B32827" w:rsidP="00192D26">
            <w:pPr>
              <w:spacing w:after="0" w:line="240" w:lineRule="auto"/>
              <w:rPr>
                <w:sz w:val="20"/>
              </w:rPr>
            </w:pPr>
            <w:r w:rsidRPr="00A77AF6">
              <w:rPr>
                <w:sz w:val="20"/>
              </w:rPr>
              <w:t>0</w:t>
            </w:r>
          </w:p>
        </w:tc>
        <w:tc>
          <w:tcPr>
            <w:tcW w:w="1275" w:type="dxa"/>
            <w:tcBorders>
              <w:top w:val="single" w:sz="4" w:space="0" w:color="auto"/>
              <w:left w:val="single" w:sz="4" w:space="0" w:color="auto"/>
              <w:bottom w:val="single" w:sz="4" w:space="0" w:color="auto"/>
              <w:right w:val="single" w:sz="4" w:space="0" w:color="auto"/>
            </w:tcBorders>
          </w:tcPr>
          <w:p w14:paraId="256BABDA" w14:textId="77777777" w:rsidR="00B32827" w:rsidRPr="00A77AF6" w:rsidRDefault="00B32827" w:rsidP="00192D26">
            <w:pPr>
              <w:spacing w:after="0" w:line="240" w:lineRule="auto"/>
              <w:rPr>
                <w:sz w:val="20"/>
              </w:rPr>
            </w:pPr>
            <w:r w:rsidRPr="00A77AF6">
              <w:rPr>
                <w:sz w:val="20"/>
              </w:rPr>
              <w:t>0</w:t>
            </w:r>
          </w:p>
        </w:tc>
      </w:tr>
      <w:tr w:rsidR="00B32827" w:rsidRPr="00A77AF6" w14:paraId="34A1E016" w14:textId="77777777" w:rsidTr="00B32827">
        <w:tc>
          <w:tcPr>
            <w:tcW w:w="1696" w:type="dxa"/>
            <w:tcBorders>
              <w:top w:val="single" w:sz="4" w:space="0" w:color="auto"/>
              <w:left w:val="single" w:sz="4" w:space="0" w:color="auto"/>
              <w:bottom w:val="single" w:sz="4" w:space="0" w:color="auto"/>
              <w:right w:val="single" w:sz="4" w:space="0" w:color="auto"/>
            </w:tcBorders>
          </w:tcPr>
          <w:p w14:paraId="2D0182C4" w14:textId="77777777" w:rsidR="00B32827" w:rsidRPr="00A77AF6" w:rsidRDefault="00B32827" w:rsidP="00192D26">
            <w:pPr>
              <w:spacing w:after="0" w:line="240" w:lineRule="auto"/>
              <w:rPr>
                <w:sz w:val="20"/>
              </w:rPr>
            </w:pPr>
            <w:r w:rsidRPr="00A77AF6">
              <w:rPr>
                <w:sz w:val="20"/>
              </w:rPr>
              <w:t>Trust risk committee</w:t>
            </w:r>
          </w:p>
        </w:tc>
        <w:tc>
          <w:tcPr>
            <w:tcW w:w="993" w:type="dxa"/>
            <w:tcBorders>
              <w:top w:val="single" w:sz="4" w:space="0" w:color="auto"/>
              <w:left w:val="single" w:sz="4" w:space="0" w:color="auto"/>
              <w:bottom w:val="single" w:sz="4" w:space="0" w:color="auto"/>
              <w:right w:val="single" w:sz="4" w:space="0" w:color="auto"/>
            </w:tcBorders>
          </w:tcPr>
          <w:p w14:paraId="2E02693A" w14:textId="77777777" w:rsidR="00B32827" w:rsidRPr="00A77AF6" w:rsidRDefault="00B32827" w:rsidP="00192D26">
            <w:pPr>
              <w:spacing w:after="0" w:line="240" w:lineRule="auto"/>
              <w:rPr>
                <w:sz w:val="20"/>
              </w:rPr>
            </w:pPr>
            <w:r w:rsidRPr="00A77AF6">
              <w:rPr>
                <w:sz w:val="20"/>
              </w:rPr>
              <w:t>4</w:t>
            </w:r>
          </w:p>
        </w:tc>
        <w:tc>
          <w:tcPr>
            <w:tcW w:w="992" w:type="dxa"/>
            <w:tcBorders>
              <w:top w:val="single" w:sz="4" w:space="0" w:color="auto"/>
              <w:left w:val="single" w:sz="4" w:space="0" w:color="auto"/>
              <w:bottom w:val="single" w:sz="4" w:space="0" w:color="auto"/>
              <w:right w:val="single" w:sz="4" w:space="0" w:color="auto"/>
            </w:tcBorders>
          </w:tcPr>
          <w:p w14:paraId="2D8BAF9C" w14:textId="77777777" w:rsidR="00B32827" w:rsidRPr="00A77AF6" w:rsidRDefault="00B32827" w:rsidP="00192D26">
            <w:pPr>
              <w:spacing w:after="0" w:line="240" w:lineRule="auto"/>
              <w:rPr>
                <w:sz w:val="20"/>
              </w:rPr>
            </w:pPr>
            <w:r w:rsidRPr="00A77AF6">
              <w:rPr>
                <w:sz w:val="20"/>
              </w:rPr>
              <w:t>3</w:t>
            </w:r>
          </w:p>
        </w:tc>
        <w:tc>
          <w:tcPr>
            <w:tcW w:w="1134" w:type="dxa"/>
            <w:tcBorders>
              <w:top w:val="single" w:sz="4" w:space="0" w:color="auto"/>
              <w:left w:val="single" w:sz="4" w:space="0" w:color="auto"/>
              <w:bottom w:val="single" w:sz="4" w:space="0" w:color="auto"/>
              <w:right w:val="single" w:sz="4" w:space="0" w:color="auto"/>
            </w:tcBorders>
          </w:tcPr>
          <w:p w14:paraId="62DCCFD5" w14:textId="77777777" w:rsidR="00B32827" w:rsidRPr="00A77AF6" w:rsidRDefault="00B32827" w:rsidP="00192D26">
            <w:pPr>
              <w:spacing w:after="0" w:line="240" w:lineRule="auto"/>
              <w:rPr>
                <w:sz w:val="20"/>
              </w:rPr>
            </w:pPr>
            <w:r w:rsidRPr="00A77AF6">
              <w:rPr>
                <w:sz w:val="20"/>
              </w:rPr>
              <w:t>2</w:t>
            </w:r>
          </w:p>
        </w:tc>
        <w:tc>
          <w:tcPr>
            <w:tcW w:w="1134" w:type="dxa"/>
            <w:tcBorders>
              <w:top w:val="single" w:sz="4" w:space="0" w:color="auto"/>
              <w:left w:val="single" w:sz="4" w:space="0" w:color="auto"/>
              <w:bottom w:val="single" w:sz="4" w:space="0" w:color="auto"/>
              <w:right w:val="single" w:sz="4" w:space="0" w:color="auto"/>
            </w:tcBorders>
          </w:tcPr>
          <w:p w14:paraId="4C1E0841" w14:textId="77777777" w:rsidR="00B32827" w:rsidRPr="00A77AF6" w:rsidRDefault="00B32827" w:rsidP="00192D26">
            <w:pPr>
              <w:spacing w:after="0" w:line="240" w:lineRule="auto"/>
              <w:rPr>
                <w:sz w:val="20"/>
              </w:rPr>
            </w:pPr>
            <w:r w:rsidRPr="00A77AF6">
              <w:rPr>
                <w:sz w:val="20"/>
              </w:rPr>
              <w:t>1</w:t>
            </w:r>
          </w:p>
        </w:tc>
        <w:tc>
          <w:tcPr>
            <w:tcW w:w="1276" w:type="dxa"/>
            <w:tcBorders>
              <w:top w:val="single" w:sz="4" w:space="0" w:color="auto"/>
              <w:left w:val="single" w:sz="4" w:space="0" w:color="auto"/>
              <w:bottom w:val="single" w:sz="4" w:space="0" w:color="auto"/>
              <w:right w:val="single" w:sz="4" w:space="0" w:color="auto"/>
            </w:tcBorders>
          </w:tcPr>
          <w:p w14:paraId="372F7257" w14:textId="77777777" w:rsidR="00B32827" w:rsidRPr="00A77AF6" w:rsidRDefault="00B32827" w:rsidP="00192D26">
            <w:pPr>
              <w:spacing w:after="0" w:line="240" w:lineRule="auto"/>
              <w:rPr>
                <w:sz w:val="20"/>
              </w:rPr>
            </w:pPr>
            <w:r w:rsidRPr="00A77AF6">
              <w:rPr>
                <w:sz w:val="20"/>
              </w:rPr>
              <w:t>0</w:t>
            </w:r>
          </w:p>
        </w:tc>
        <w:tc>
          <w:tcPr>
            <w:tcW w:w="1275" w:type="dxa"/>
            <w:tcBorders>
              <w:top w:val="single" w:sz="4" w:space="0" w:color="auto"/>
              <w:left w:val="single" w:sz="4" w:space="0" w:color="auto"/>
              <w:bottom w:val="single" w:sz="4" w:space="0" w:color="auto"/>
              <w:right w:val="single" w:sz="4" w:space="0" w:color="auto"/>
            </w:tcBorders>
          </w:tcPr>
          <w:p w14:paraId="32424D72" w14:textId="77777777" w:rsidR="00B32827" w:rsidRPr="00A77AF6" w:rsidRDefault="00B32827" w:rsidP="00192D26">
            <w:pPr>
              <w:spacing w:after="0" w:line="240" w:lineRule="auto"/>
              <w:rPr>
                <w:sz w:val="20"/>
              </w:rPr>
            </w:pPr>
            <w:r w:rsidRPr="00A77AF6">
              <w:rPr>
                <w:sz w:val="20"/>
              </w:rPr>
              <w:t>0</w:t>
            </w:r>
          </w:p>
        </w:tc>
      </w:tr>
      <w:tr w:rsidR="00B32827" w:rsidRPr="00A77AF6" w14:paraId="687875BE" w14:textId="77777777" w:rsidTr="00B32827">
        <w:tc>
          <w:tcPr>
            <w:tcW w:w="1696" w:type="dxa"/>
            <w:tcBorders>
              <w:top w:val="single" w:sz="4" w:space="0" w:color="auto"/>
              <w:left w:val="single" w:sz="4" w:space="0" w:color="auto"/>
              <w:bottom w:val="single" w:sz="4" w:space="0" w:color="auto"/>
              <w:right w:val="single" w:sz="4" w:space="0" w:color="auto"/>
            </w:tcBorders>
          </w:tcPr>
          <w:p w14:paraId="411E8562" w14:textId="77777777" w:rsidR="00B32827" w:rsidRPr="00A77AF6" w:rsidRDefault="00B32827" w:rsidP="00192D26">
            <w:pPr>
              <w:spacing w:after="0" w:line="240" w:lineRule="auto"/>
              <w:rPr>
                <w:sz w:val="20"/>
              </w:rPr>
            </w:pPr>
            <w:r w:rsidRPr="00A77AF6">
              <w:rPr>
                <w:sz w:val="20"/>
              </w:rPr>
              <w:t>Trust remuneration committee</w:t>
            </w:r>
          </w:p>
        </w:tc>
        <w:tc>
          <w:tcPr>
            <w:tcW w:w="993" w:type="dxa"/>
            <w:tcBorders>
              <w:top w:val="single" w:sz="4" w:space="0" w:color="auto"/>
              <w:left w:val="single" w:sz="4" w:space="0" w:color="auto"/>
              <w:bottom w:val="single" w:sz="4" w:space="0" w:color="auto"/>
              <w:right w:val="single" w:sz="4" w:space="0" w:color="auto"/>
            </w:tcBorders>
          </w:tcPr>
          <w:p w14:paraId="4AEFCED4" w14:textId="77777777" w:rsidR="00B32827" w:rsidRPr="00A77AF6" w:rsidRDefault="00B32827" w:rsidP="00192D26">
            <w:pPr>
              <w:spacing w:after="0" w:line="240" w:lineRule="auto"/>
              <w:rPr>
                <w:sz w:val="20"/>
              </w:rPr>
            </w:pPr>
            <w:r w:rsidRPr="00A77AF6">
              <w:rPr>
                <w:sz w:val="20"/>
              </w:rPr>
              <w:t>4</w:t>
            </w:r>
          </w:p>
        </w:tc>
        <w:tc>
          <w:tcPr>
            <w:tcW w:w="992" w:type="dxa"/>
            <w:tcBorders>
              <w:top w:val="single" w:sz="4" w:space="0" w:color="auto"/>
              <w:left w:val="single" w:sz="4" w:space="0" w:color="auto"/>
              <w:bottom w:val="single" w:sz="4" w:space="0" w:color="auto"/>
              <w:right w:val="single" w:sz="4" w:space="0" w:color="auto"/>
            </w:tcBorders>
          </w:tcPr>
          <w:p w14:paraId="6CDE66C4" w14:textId="77777777" w:rsidR="00B32827" w:rsidRPr="00A77AF6" w:rsidRDefault="00B32827" w:rsidP="00192D26">
            <w:pPr>
              <w:spacing w:after="0" w:line="240" w:lineRule="auto"/>
              <w:rPr>
                <w:sz w:val="20"/>
              </w:rPr>
            </w:pPr>
            <w:r w:rsidRPr="00A77AF6">
              <w:rPr>
                <w:sz w:val="20"/>
              </w:rPr>
              <w:t>3</w:t>
            </w:r>
          </w:p>
        </w:tc>
        <w:tc>
          <w:tcPr>
            <w:tcW w:w="1134" w:type="dxa"/>
            <w:tcBorders>
              <w:top w:val="single" w:sz="4" w:space="0" w:color="auto"/>
              <w:left w:val="single" w:sz="4" w:space="0" w:color="auto"/>
              <w:bottom w:val="single" w:sz="4" w:space="0" w:color="auto"/>
              <w:right w:val="single" w:sz="4" w:space="0" w:color="auto"/>
            </w:tcBorders>
          </w:tcPr>
          <w:p w14:paraId="2B195F8C" w14:textId="77777777" w:rsidR="00B32827" w:rsidRPr="00A77AF6" w:rsidRDefault="00B32827" w:rsidP="00192D26">
            <w:pPr>
              <w:spacing w:after="0" w:line="240" w:lineRule="auto"/>
              <w:rPr>
                <w:sz w:val="20"/>
              </w:rPr>
            </w:pPr>
            <w:r w:rsidRPr="00A77AF6">
              <w:rPr>
                <w:sz w:val="20"/>
              </w:rPr>
              <w:t>2</w:t>
            </w:r>
          </w:p>
        </w:tc>
        <w:tc>
          <w:tcPr>
            <w:tcW w:w="1134" w:type="dxa"/>
            <w:tcBorders>
              <w:top w:val="single" w:sz="4" w:space="0" w:color="auto"/>
              <w:left w:val="single" w:sz="4" w:space="0" w:color="auto"/>
              <w:bottom w:val="single" w:sz="4" w:space="0" w:color="auto"/>
              <w:right w:val="single" w:sz="4" w:space="0" w:color="auto"/>
            </w:tcBorders>
          </w:tcPr>
          <w:p w14:paraId="07733888" w14:textId="77777777" w:rsidR="00B32827" w:rsidRPr="00A77AF6" w:rsidRDefault="00B32827" w:rsidP="00192D26">
            <w:pPr>
              <w:spacing w:after="0" w:line="240" w:lineRule="auto"/>
              <w:rPr>
                <w:sz w:val="20"/>
              </w:rPr>
            </w:pPr>
            <w:r w:rsidRPr="00A77AF6">
              <w:rPr>
                <w:sz w:val="20"/>
              </w:rPr>
              <w:t>1</w:t>
            </w:r>
          </w:p>
        </w:tc>
        <w:tc>
          <w:tcPr>
            <w:tcW w:w="1276" w:type="dxa"/>
            <w:tcBorders>
              <w:top w:val="single" w:sz="4" w:space="0" w:color="auto"/>
              <w:left w:val="single" w:sz="4" w:space="0" w:color="auto"/>
              <w:bottom w:val="single" w:sz="4" w:space="0" w:color="auto"/>
              <w:right w:val="single" w:sz="4" w:space="0" w:color="auto"/>
            </w:tcBorders>
          </w:tcPr>
          <w:p w14:paraId="6A4C757F" w14:textId="77777777" w:rsidR="00B32827" w:rsidRPr="00A77AF6" w:rsidRDefault="00B32827" w:rsidP="00192D26">
            <w:pPr>
              <w:spacing w:after="0" w:line="240" w:lineRule="auto"/>
              <w:rPr>
                <w:sz w:val="20"/>
              </w:rPr>
            </w:pPr>
            <w:r w:rsidRPr="00A77AF6">
              <w:rPr>
                <w:sz w:val="20"/>
              </w:rPr>
              <w:t>0</w:t>
            </w:r>
          </w:p>
        </w:tc>
        <w:tc>
          <w:tcPr>
            <w:tcW w:w="1275" w:type="dxa"/>
            <w:tcBorders>
              <w:top w:val="single" w:sz="4" w:space="0" w:color="auto"/>
              <w:left w:val="single" w:sz="4" w:space="0" w:color="auto"/>
              <w:bottom w:val="single" w:sz="4" w:space="0" w:color="auto"/>
              <w:right w:val="single" w:sz="4" w:space="0" w:color="auto"/>
            </w:tcBorders>
          </w:tcPr>
          <w:p w14:paraId="12447CE7" w14:textId="77777777" w:rsidR="00B32827" w:rsidRPr="00A77AF6" w:rsidRDefault="00B32827" w:rsidP="00192D26">
            <w:pPr>
              <w:spacing w:after="0" w:line="240" w:lineRule="auto"/>
              <w:rPr>
                <w:sz w:val="20"/>
              </w:rPr>
            </w:pPr>
            <w:r w:rsidRPr="00A77AF6">
              <w:rPr>
                <w:sz w:val="20"/>
              </w:rPr>
              <w:t>0</w:t>
            </w:r>
          </w:p>
        </w:tc>
      </w:tr>
      <w:tr w:rsidR="00B32827" w:rsidRPr="00A77AF6" w14:paraId="6263FB20" w14:textId="77777777" w:rsidTr="00B32827">
        <w:tc>
          <w:tcPr>
            <w:tcW w:w="1696" w:type="dxa"/>
            <w:tcBorders>
              <w:top w:val="single" w:sz="4" w:space="0" w:color="auto"/>
              <w:left w:val="single" w:sz="4" w:space="0" w:color="auto"/>
              <w:bottom w:val="single" w:sz="4" w:space="0" w:color="auto"/>
              <w:right w:val="single" w:sz="4" w:space="0" w:color="auto"/>
            </w:tcBorders>
          </w:tcPr>
          <w:p w14:paraId="7049F354" w14:textId="77777777" w:rsidR="00B32827" w:rsidRPr="00A77AF6" w:rsidRDefault="00B32827" w:rsidP="00192D26">
            <w:pPr>
              <w:spacing w:after="0" w:line="240" w:lineRule="auto"/>
              <w:rPr>
                <w:sz w:val="20"/>
              </w:rPr>
            </w:pPr>
            <w:r w:rsidRPr="00A77AF6">
              <w:rPr>
                <w:sz w:val="20"/>
              </w:rPr>
              <w:t>Trust audit committee</w:t>
            </w:r>
          </w:p>
        </w:tc>
        <w:tc>
          <w:tcPr>
            <w:tcW w:w="993" w:type="dxa"/>
            <w:tcBorders>
              <w:top w:val="single" w:sz="4" w:space="0" w:color="auto"/>
              <w:left w:val="single" w:sz="4" w:space="0" w:color="auto"/>
              <w:bottom w:val="single" w:sz="4" w:space="0" w:color="auto"/>
              <w:right w:val="single" w:sz="4" w:space="0" w:color="auto"/>
            </w:tcBorders>
          </w:tcPr>
          <w:p w14:paraId="6008E0A3" w14:textId="77777777" w:rsidR="00B32827" w:rsidRPr="00A77AF6" w:rsidRDefault="00B32827" w:rsidP="00192D26">
            <w:pPr>
              <w:spacing w:after="0" w:line="240" w:lineRule="auto"/>
              <w:rPr>
                <w:sz w:val="20"/>
              </w:rPr>
            </w:pPr>
            <w:r w:rsidRPr="00A77AF6">
              <w:rPr>
                <w:sz w:val="20"/>
              </w:rPr>
              <w:t>4</w:t>
            </w:r>
          </w:p>
        </w:tc>
        <w:tc>
          <w:tcPr>
            <w:tcW w:w="992" w:type="dxa"/>
            <w:tcBorders>
              <w:top w:val="single" w:sz="4" w:space="0" w:color="auto"/>
              <w:left w:val="single" w:sz="4" w:space="0" w:color="auto"/>
              <w:bottom w:val="single" w:sz="4" w:space="0" w:color="auto"/>
              <w:right w:val="single" w:sz="4" w:space="0" w:color="auto"/>
            </w:tcBorders>
          </w:tcPr>
          <w:p w14:paraId="4F9EC89F" w14:textId="77777777" w:rsidR="00B32827" w:rsidRPr="00A77AF6" w:rsidRDefault="00B32827" w:rsidP="00192D26">
            <w:pPr>
              <w:spacing w:after="0" w:line="240" w:lineRule="auto"/>
              <w:rPr>
                <w:sz w:val="20"/>
              </w:rPr>
            </w:pPr>
            <w:r w:rsidRPr="00A77AF6">
              <w:rPr>
                <w:sz w:val="20"/>
              </w:rPr>
              <w:t>3</w:t>
            </w:r>
          </w:p>
        </w:tc>
        <w:tc>
          <w:tcPr>
            <w:tcW w:w="1134" w:type="dxa"/>
            <w:tcBorders>
              <w:top w:val="single" w:sz="4" w:space="0" w:color="auto"/>
              <w:left w:val="single" w:sz="4" w:space="0" w:color="auto"/>
              <w:bottom w:val="single" w:sz="4" w:space="0" w:color="auto"/>
              <w:right w:val="single" w:sz="4" w:space="0" w:color="auto"/>
            </w:tcBorders>
          </w:tcPr>
          <w:p w14:paraId="19835BD3" w14:textId="77777777" w:rsidR="00B32827" w:rsidRPr="00A77AF6" w:rsidRDefault="00B32827" w:rsidP="00192D26">
            <w:pPr>
              <w:spacing w:after="0" w:line="240" w:lineRule="auto"/>
              <w:rPr>
                <w:sz w:val="20"/>
              </w:rPr>
            </w:pPr>
            <w:r w:rsidRPr="00A77AF6">
              <w:rPr>
                <w:sz w:val="20"/>
              </w:rPr>
              <w:t>2</w:t>
            </w:r>
          </w:p>
        </w:tc>
        <w:tc>
          <w:tcPr>
            <w:tcW w:w="1134" w:type="dxa"/>
            <w:tcBorders>
              <w:top w:val="single" w:sz="4" w:space="0" w:color="auto"/>
              <w:left w:val="single" w:sz="4" w:space="0" w:color="auto"/>
              <w:bottom w:val="single" w:sz="4" w:space="0" w:color="auto"/>
              <w:right w:val="single" w:sz="4" w:space="0" w:color="auto"/>
            </w:tcBorders>
          </w:tcPr>
          <w:p w14:paraId="5F665BE2" w14:textId="77777777" w:rsidR="00B32827" w:rsidRPr="00A77AF6" w:rsidRDefault="00B32827" w:rsidP="00192D26">
            <w:pPr>
              <w:spacing w:after="0" w:line="240" w:lineRule="auto"/>
              <w:rPr>
                <w:sz w:val="20"/>
              </w:rPr>
            </w:pPr>
            <w:r w:rsidRPr="00A77AF6">
              <w:rPr>
                <w:sz w:val="20"/>
              </w:rPr>
              <w:t>1</w:t>
            </w:r>
          </w:p>
        </w:tc>
        <w:tc>
          <w:tcPr>
            <w:tcW w:w="1276" w:type="dxa"/>
            <w:tcBorders>
              <w:top w:val="single" w:sz="4" w:space="0" w:color="auto"/>
              <w:left w:val="single" w:sz="4" w:space="0" w:color="auto"/>
              <w:bottom w:val="single" w:sz="4" w:space="0" w:color="auto"/>
              <w:right w:val="single" w:sz="4" w:space="0" w:color="auto"/>
            </w:tcBorders>
          </w:tcPr>
          <w:p w14:paraId="74DFC9B6" w14:textId="77777777" w:rsidR="00B32827" w:rsidRPr="00A77AF6" w:rsidRDefault="00B32827" w:rsidP="00192D26">
            <w:pPr>
              <w:spacing w:after="0" w:line="240" w:lineRule="auto"/>
              <w:rPr>
                <w:sz w:val="20"/>
              </w:rPr>
            </w:pPr>
            <w:r w:rsidRPr="00A77AF6">
              <w:rPr>
                <w:sz w:val="20"/>
              </w:rPr>
              <w:t>0</w:t>
            </w:r>
          </w:p>
        </w:tc>
        <w:tc>
          <w:tcPr>
            <w:tcW w:w="1275" w:type="dxa"/>
            <w:tcBorders>
              <w:top w:val="single" w:sz="4" w:space="0" w:color="auto"/>
              <w:left w:val="single" w:sz="4" w:space="0" w:color="auto"/>
              <w:bottom w:val="single" w:sz="4" w:space="0" w:color="auto"/>
              <w:right w:val="single" w:sz="4" w:space="0" w:color="auto"/>
            </w:tcBorders>
          </w:tcPr>
          <w:p w14:paraId="484A3870" w14:textId="77777777" w:rsidR="00B32827" w:rsidRPr="00A77AF6" w:rsidRDefault="00B32827" w:rsidP="00192D26">
            <w:pPr>
              <w:spacing w:after="0" w:line="240" w:lineRule="auto"/>
              <w:rPr>
                <w:sz w:val="20"/>
              </w:rPr>
            </w:pPr>
            <w:r w:rsidRPr="00A77AF6">
              <w:rPr>
                <w:sz w:val="20"/>
              </w:rPr>
              <w:t>0</w:t>
            </w:r>
          </w:p>
        </w:tc>
      </w:tr>
      <w:tr w:rsidR="00B32827" w:rsidRPr="00A77AF6" w14:paraId="5F2369B5" w14:textId="77777777" w:rsidTr="00B32827">
        <w:tc>
          <w:tcPr>
            <w:tcW w:w="1696" w:type="dxa"/>
            <w:tcBorders>
              <w:top w:val="single" w:sz="4" w:space="0" w:color="auto"/>
              <w:left w:val="single" w:sz="4" w:space="0" w:color="auto"/>
              <w:bottom w:val="single" w:sz="4" w:space="0" w:color="auto"/>
              <w:right w:val="single" w:sz="4" w:space="0" w:color="auto"/>
            </w:tcBorders>
          </w:tcPr>
          <w:p w14:paraId="30A5DDAE" w14:textId="77777777" w:rsidR="00B32827" w:rsidRPr="00A77AF6" w:rsidRDefault="00B32827" w:rsidP="00192D26">
            <w:pPr>
              <w:spacing w:after="0" w:line="240" w:lineRule="auto"/>
              <w:rPr>
                <w:b/>
                <w:sz w:val="20"/>
              </w:rPr>
            </w:pPr>
            <w:r w:rsidRPr="00A77AF6">
              <w:rPr>
                <w:b/>
                <w:sz w:val="20"/>
              </w:rPr>
              <w:t xml:space="preserve">Total </w:t>
            </w:r>
          </w:p>
        </w:tc>
        <w:tc>
          <w:tcPr>
            <w:tcW w:w="993" w:type="dxa"/>
            <w:tcBorders>
              <w:top w:val="single" w:sz="4" w:space="0" w:color="auto"/>
              <w:left w:val="single" w:sz="4" w:space="0" w:color="auto"/>
              <w:bottom w:val="single" w:sz="4" w:space="0" w:color="auto"/>
              <w:right w:val="single" w:sz="4" w:space="0" w:color="auto"/>
            </w:tcBorders>
          </w:tcPr>
          <w:p w14:paraId="66363AFE" w14:textId="77777777" w:rsidR="00B32827" w:rsidRPr="00A77AF6" w:rsidRDefault="00B32827" w:rsidP="00192D26">
            <w:pPr>
              <w:spacing w:after="0" w:line="240" w:lineRule="auto"/>
              <w:rPr>
                <w:b/>
                <w:sz w:val="20"/>
              </w:rPr>
            </w:pPr>
            <w:r w:rsidRPr="00A77AF6">
              <w:rPr>
                <w:b/>
                <w:sz w:val="20"/>
              </w:rPr>
              <w:t>32</w:t>
            </w:r>
          </w:p>
        </w:tc>
        <w:tc>
          <w:tcPr>
            <w:tcW w:w="992" w:type="dxa"/>
            <w:tcBorders>
              <w:top w:val="single" w:sz="4" w:space="0" w:color="auto"/>
              <w:left w:val="single" w:sz="4" w:space="0" w:color="auto"/>
              <w:bottom w:val="single" w:sz="4" w:space="0" w:color="auto"/>
              <w:right w:val="single" w:sz="4" w:space="0" w:color="auto"/>
            </w:tcBorders>
          </w:tcPr>
          <w:p w14:paraId="498219DC" w14:textId="77777777" w:rsidR="00B32827" w:rsidRPr="00A77AF6" w:rsidRDefault="00B32827" w:rsidP="00192D26">
            <w:pPr>
              <w:spacing w:after="0" w:line="240" w:lineRule="auto"/>
              <w:rPr>
                <w:b/>
                <w:sz w:val="20"/>
              </w:rPr>
            </w:pPr>
            <w:r w:rsidRPr="00A77AF6">
              <w:rPr>
                <w:b/>
                <w:sz w:val="20"/>
              </w:rPr>
              <w:t>24</w:t>
            </w:r>
          </w:p>
        </w:tc>
        <w:tc>
          <w:tcPr>
            <w:tcW w:w="1134" w:type="dxa"/>
            <w:tcBorders>
              <w:top w:val="single" w:sz="4" w:space="0" w:color="auto"/>
              <w:left w:val="single" w:sz="4" w:space="0" w:color="auto"/>
              <w:bottom w:val="single" w:sz="4" w:space="0" w:color="auto"/>
              <w:right w:val="single" w:sz="4" w:space="0" w:color="auto"/>
            </w:tcBorders>
          </w:tcPr>
          <w:p w14:paraId="1F26E2DE" w14:textId="77777777" w:rsidR="00B32827" w:rsidRPr="00A77AF6" w:rsidRDefault="00B32827" w:rsidP="00192D26">
            <w:pPr>
              <w:spacing w:after="0" w:line="240" w:lineRule="auto"/>
              <w:rPr>
                <w:b/>
                <w:sz w:val="20"/>
              </w:rPr>
            </w:pPr>
            <w:r w:rsidRPr="00A77AF6">
              <w:rPr>
                <w:b/>
                <w:sz w:val="20"/>
              </w:rPr>
              <w:t>16</w:t>
            </w:r>
          </w:p>
        </w:tc>
        <w:tc>
          <w:tcPr>
            <w:tcW w:w="1134" w:type="dxa"/>
            <w:tcBorders>
              <w:top w:val="single" w:sz="4" w:space="0" w:color="auto"/>
              <w:left w:val="single" w:sz="4" w:space="0" w:color="auto"/>
              <w:bottom w:val="single" w:sz="4" w:space="0" w:color="auto"/>
              <w:right w:val="single" w:sz="4" w:space="0" w:color="auto"/>
            </w:tcBorders>
          </w:tcPr>
          <w:p w14:paraId="31DA1F3D" w14:textId="77777777" w:rsidR="00B32827" w:rsidRPr="00A77AF6" w:rsidRDefault="00B32827" w:rsidP="00192D26">
            <w:pPr>
              <w:spacing w:after="0" w:line="240" w:lineRule="auto"/>
              <w:rPr>
                <w:b/>
                <w:sz w:val="20"/>
              </w:rPr>
            </w:pPr>
            <w:r w:rsidRPr="00A77AF6">
              <w:rPr>
                <w:b/>
                <w:sz w:val="20"/>
              </w:rPr>
              <w:t>8</w:t>
            </w:r>
          </w:p>
        </w:tc>
        <w:tc>
          <w:tcPr>
            <w:tcW w:w="1276" w:type="dxa"/>
            <w:tcBorders>
              <w:top w:val="single" w:sz="4" w:space="0" w:color="auto"/>
              <w:left w:val="single" w:sz="4" w:space="0" w:color="auto"/>
              <w:bottom w:val="single" w:sz="4" w:space="0" w:color="auto"/>
              <w:right w:val="single" w:sz="4" w:space="0" w:color="auto"/>
            </w:tcBorders>
          </w:tcPr>
          <w:p w14:paraId="17ED30AB" w14:textId="77777777" w:rsidR="00B32827" w:rsidRPr="00A77AF6" w:rsidRDefault="00B32827" w:rsidP="00192D26">
            <w:pPr>
              <w:spacing w:after="0" w:line="240" w:lineRule="auto"/>
              <w:rPr>
                <w:b/>
                <w:sz w:val="20"/>
              </w:rPr>
            </w:pPr>
            <w:r w:rsidRPr="00A77AF6">
              <w:rPr>
                <w:b/>
                <w:sz w:val="20"/>
              </w:rPr>
              <w:t>0</w:t>
            </w:r>
          </w:p>
        </w:tc>
        <w:tc>
          <w:tcPr>
            <w:tcW w:w="1275" w:type="dxa"/>
            <w:tcBorders>
              <w:top w:val="single" w:sz="4" w:space="0" w:color="auto"/>
              <w:left w:val="single" w:sz="4" w:space="0" w:color="auto"/>
              <w:bottom w:val="single" w:sz="4" w:space="0" w:color="auto"/>
              <w:right w:val="single" w:sz="4" w:space="0" w:color="auto"/>
            </w:tcBorders>
          </w:tcPr>
          <w:p w14:paraId="0170CADE" w14:textId="77777777" w:rsidR="00B32827" w:rsidRPr="00A77AF6" w:rsidRDefault="00B32827" w:rsidP="00192D26">
            <w:pPr>
              <w:spacing w:after="0" w:line="240" w:lineRule="auto"/>
              <w:rPr>
                <w:b/>
                <w:sz w:val="20"/>
              </w:rPr>
            </w:pPr>
            <w:r w:rsidRPr="00A77AF6">
              <w:rPr>
                <w:b/>
                <w:sz w:val="20"/>
              </w:rPr>
              <w:t>0</w:t>
            </w:r>
          </w:p>
        </w:tc>
      </w:tr>
    </w:tbl>
    <w:p w14:paraId="193604B9" w14:textId="3702BA0F" w:rsidR="00B32827" w:rsidRPr="00A77AF6" w:rsidRDefault="00B32827" w:rsidP="00574B05">
      <w:pPr>
        <w:spacing w:before="240" w:line="360" w:lineRule="auto"/>
      </w:pPr>
      <w:r w:rsidRPr="00A77AF6">
        <w:t xml:space="preserve">Each of the </w:t>
      </w:r>
      <w:r w:rsidR="00B671F6" w:rsidRPr="00A77AF6">
        <w:t xml:space="preserve">eight </w:t>
      </w:r>
      <w:r w:rsidRPr="00A77AF6">
        <w:t xml:space="preserve">elements of corporate governance were scored by </w:t>
      </w:r>
      <w:r w:rsidR="00F1795F">
        <w:t>5</w:t>
      </w:r>
      <w:r w:rsidRPr="00A77AF6">
        <w:t>1 respondents to give a total of 408</w:t>
      </w:r>
      <w:r w:rsidRPr="00A77AF6">
        <w:rPr>
          <w:color w:val="FF0000"/>
        </w:rPr>
        <w:t xml:space="preserve"> </w:t>
      </w:r>
      <w:r w:rsidRPr="00A77AF6">
        <w:t xml:space="preserve">responses.   If corporate governance was </w:t>
      </w:r>
      <w:r w:rsidR="00EA1EB4" w:rsidRPr="00A77AF6">
        <w:t>very</w:t>
      </w:r>
      <w:r w:rsidRPr="00A77AF6">
        <w:t xml:space="preserve"> effective for each element </w:t>
      </w:r>
      <w:r w:rsidR="00B671F6" w:rsidRPr="00A77AF6">
        <w:t xml:space="preserve">in a project </w:t>
      </w:r>
      <w:r w:rsidRPr="00A77AF6">
        <w:t xml:space="preserve">a total of </w:t>
      </w:r>
      <w:r w:rsidR="00EA1EB4" w:rsidRPr="00A77AF6">
        <w:t>32</w:t>
      </w:r>
      <w:r w:rsidRPr="00A77AF6">
        <w:t xml:space="preserve"> would be scored.  If corporate governance was </w:t>
      </w:r>
      <w:r w:rsidR="00EA1EB4" w:rsidRPr="00A77AF6">
        <w:t>very ineffective</w:t>
      </w:r>
      <w:r w:rsidRPr="00A77AF6">
        <w:t xml:space="preserve"> for each element</w:t>
      </w:r>
      <w:r w:rsidR="00EA1EB4" w:rsidRPr="00A77AF6">
        <w:t xml:space="preserve">, a </w:t>
      </w:r>
      <w:r w:rsidR="00574B05" w:rsidRPr="00A77AF6">
        <w:t xml:space="preserve">total </w:t>
      </w:r>
      <w:r w:rsidR="00EA1EB4" w:rsidRPr="00A77AF6">
        <w:t>of</w:t>
      </w:r>
      <w:r w:rsidRPr="00A77AF6">
        <w:t xml:space="preserve"> 16 points</w:t>
      </w:r>
      <w:r w:rsidR="00574B05" w:rsidRPr="00A77AF6">
        <w:t xml:space="preserve"> would be scored</w:t>
      </w:r>
      <w:r w:rsidRPr="00A77AF6">
        <w:t xml:space="preserve">.  </w:t>
      </w:r>
    </w:p>
    <w:p w14:paraId="485FF4C3" w14:textId="369C9F52" w:rsidR="00B32827" w:rsidRPr="00A77AF6" w:rsidRDefault="00B32827" w:rsidP="00574B05">
      <w:pPr>
        <w:spacing w:line="360" w:lineRule="auto"/>
      </w:pPr>
      <w:r w:rsidRPr="00A77AF6">
        <w:t xml:space="preserve">Of 408 responses, 171 scores of </w:t>
      </w:r>
      <w:r w:rsidR="00F1795F">
        <w:t xml:space="preserve">four </w:t>
      </w:r>
      <w:r w:rsidRPr="00A77AF6">
        <w:t xml:space="preserve">or </w:t>
      </w:r>
      <w:r w:rsidR="00F1795F">
        <w:t>three</w:t>
      </w:r>
      <w:r w:rsidRPr="00A77AF6">
        <w:t xml:space="preserve"> were given (very effective or quite effective) across the </w:t>
      </w:r>
      <w:r w:rsidR="00B671F6" w:rsidRPr="00A77AF6">
        <w:t xml:space="preserve">eight </w:t>
      </w:r>
      <w:r w:rsidRPr="00A77AF6">
        <w:t>elements which meant that corporate governance received a</w:t>
      </w:r>
      <w:r w:rsidR="00A84D47" w:rsidRPr="00A77AF6">
        <w:t xml:space="preserve"> </w:t>
      </w:r>
      <w:r w:rsidRPr="00A77AF6">
        <w:t>42% ‘effective</w:t>
      </w:r>
      <w:r w:rsidR="000E147D" w:rsidRPr="00A77AF6">
        <w:t>ness</w:t>
      </w:r>
      <w:r w:rsidRPr="00A77AF6">
        <w:t xml:space="preserve">’ score </w:t>
      </w:r>
      <w:r w:rsidR="002D53D4" w:rsidRPr="00A77AF6">
        <w:t xml:space="preserve">(Table </w:t>
      </w:r>
      <w:r w:rsidR="00A84D47" w:rsidRPr="00A77AF6">
        <w:t>6-19</w:t>
      </w:r>
      <w:r w:rsidRPr="00A77AF6">
        <w:t>)</w:t>
      </w:r>
      <w:r w:rsidR="002D53D4" w:rsidRPr="00A77AF6">
        <w:t xml:space="preserve">. </w:t>
      </w:r>
      <w:r w:rsidR="000E147D" w:rsidRPr="00A77AF6">
        <w:t xml:space="preserve">One hundred and </w:t>
      </w:r>
      <w:r w:rsidR="00E947B6" w:rsidRPr="00A77AF6">
        <w:t>sixty-eight</w:t>
      </w:r>
      <w:r w:rsidR="000E147D" w:rsidRPr="00A77AF6">
        <w:t xml:space="preserve"> </w:t>
      </w:r>
      <w:r w:rsidRPr="00A77AF6">
        <w:t xml:space="preserve">scores of </w:t>
      </w:r>
      <w:r w:rsidR="00F1795F">
        <w:t>two</w:t>
      </w:r>
      <w:r w:rsidRPr="00A77AF6">
        <w:t xml:space="preserve"> (not very effective) or </w:t>
      </w:r>
      <w:r w:rsidR="00F1795F">
        <w:t>one</w:t>
      </w:r>
      <w:r w:rsidRPr="00A77AF6">
        <w:t xml:space="preserve"> (not at all effective) were given which meant corporate governance received a 41% ‘ineffective</w:t>
      </w:r>
      <w:r w:rsidR="000E147D" w:rsidRPr="00A77AF6">
        <w:t>ness</w:t>
      </w:r>
      <w:r w:rsidRPr="00A77AF6">
        <w:t>’ score.  The remaining scores of ‘heard of them, don’t know their role’ and ‘not heard of them’ were combined and this showed that</w:t>
      </w:r>
      <w:r w:rsidR="000E147D" w:rsidRPr="00A77AF6">
        <w:t xml:space="preserve"> </w:t>
      </w:r>
      <w:r w:rsidRPr="00A77AF6">
        <w:t>69</w:t>
      </w:r>
      <w:r w:rsidR="00A84D47" w:rsidRPr="00A77AF6">
        <w:t xml:space="preserve"> (</w:t>
      </w:r>
      <w:r w:rsidRPr="00A77AF6">
        <w:t xml:space="preserve">17%) elements of corporate governance were classified ‘don’t know’.  The data </w:t>
      </w:r>
      <w:r w:rsidR="000E147D" w:rsidRPr="00A77AF6">
        <w:t xml:space="preserve">then, </w:t>
      </w:r>
      <w:r w:rsidRPr="00A77AF6">
        <w:t>shows that the respondents were evenly split about whether corporate governance had been effective</w:t>
      </w:r>
      <w:r w:rsidR="000E147D" w:rsidRPr="00A77AF6">
        <w:t xml:space="preserve">, </w:t>
      </w:r>
      <w:r w:rsidRPr="00A77AF6">
        <w:t xml:space="preserve">and there was a larger percentage who did not know, than was found in project governance.  Table </w:t>
      </w:r>
      <w:r w:rsidR="00A84D47" w:rsidRPr="00A77AF6">
        <w:t>6-19</w:t>
      </w:r>
      <w:r w:rsidRPr="00A77AF6">
        <w:t xml:space="preserve"> show</w:t>
      </w:r>
      <w:r w:rsidR="00A84D47" w:rsidRPr="00A77AF6">
        <w:t>s</w:t>
      </w:r>
      <w:r w:rsidRPr="00A77AF6">
        <w:t xml:space="preserve"> the more marginal split between ‘effective’ and ‘not effective’.  </w:t>
      </w:r>
    </w:p>
    <w:p w14:paraId="5281998E" w14:textId="29D26951" w:rsidR="007000FC" w:rsidRPr="00A77AF6" w:rsidRDefault="007000FC" w:rsidP="00574B05">
      <w:pPr>
        <w:spacing w:line="360" w:lineRule="auto"/>
      </w:pPr>
    </w:p>
    <w:p w14:paraId="081F0C2A" w14:textId="2A226287" w:rsidR="00A84D47" w:rsidRPr="00A77AF6" w:rsidRDefault="00A84D47" w:rsidP="00574B05">
      <w:pPr>
        <w:spacing w:line="360" w:lineRule="auto"/>
      </w:pPr>
    </w:p>
    <w:p w14:paraId="042AA286" w14:textId="77777777" w:rsidR="00A84D47" w:rsidRPr="00A77AF6" w:rsidRDefault="00A84D47" w:rsidP="00574B05">
      <w:pPr>
        <w:spacing w:line="360" w:lineRule="auto"/>
      </w:pPr>
    </w:p>
    <w:p w14:paraId="243DC897" w14:textId="2D779F17" w:rsidR="00B32827" w:rsidRPr="00A77AF6" w:rsidRDefault="00B32827" w:rsidP="0007452B">
      <w:pPr>
        <w:pStyle w:val="Caption"/>
        <w:keepNext/>
        <w:spacing w:after="120"/>
      </w:pPr>
      <w:r w:rsidRPr="00A77AF6">
        <w:lastRenderedPageBreak/>
        <w:t xml:space="preserve">Table </w:t>
      </w:r>
      <w:fldSimple w:instr=" STYLEREF 1 \s ">
        <w:r w:rsidR="000441F7">
          <w:rPr>
            <w:noProof/>
          </w:rPr>
          <w:t>6</w:t>
        </w:r>
      </w:fldSimple>
      <w:r w:rsidR="00804112">
        <w:noBreakHyphen/>
      </w:r>
      <w:fldSimple w:instr=" SEQ Table \* ARABIC \s 1 ">
        <w:r w:rsidR="000441F7">
          <w:rPr>
            <w:noProof/>
          </w:rPr>
          <w:t>19</w:t>
        </w:r>
      </w:fldSimple>
      <w:r w:rsidRPr="00A77AF6">
        <w:t xml:space="preserve">: Corporate governance </w:t>
      </w:r>
      <w:r w:rsidR="005F7CDD" w:rsidRPr="00A77AF6">
        <w:t>effectiveness rating</w:t>
      </w:r>
    </w:p>
    <w:tbl>
      <w:tblP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260"/>
      </w:tblGrid>
      <w:tr w:rsidR="00B32827" w:rsidRPr="00A77AF6" w14:paraId="0FC29D77" w14:textId="77777777" w:rsidTr="00B32827">
        <w:trPr>
          <w:trHeight w:val="300"/>
        </w:trPr>
        <w:tc>
          <w:tcPr>
            <w:tcW w:w="2122" w:type="dxa"/>
            <w:shd w:val="clear" w:color="auto" w:fill="D9D9D9" w:themeFill="background1" w:themeFillShade="D9"/>
            <w:noWrap/>
            <w:vAlign w:val="bottom"/>
          </w:tcPr>
          <w:p w14:paraId="714503F9" w14:textId="77777777" w:rsidR="00B32827" w:rsidRPr="00A77AF6" w:rsidRDefault="00B32827" w:rsidP="00B32827">
            <w:pPr>
              <w:spacing w:after="0" w:line="240" w:lineRule="auto"/>
              <w:rPr>
                <w:rFonts w:ascii="Calibri" w:eastAsia="Times New Roman" w:hAnsi="Calibri" w:cs="Calibri"/>
                <w:color w:val="000000"/>
                <w:lang w:eastAsia="en-GB"/>
              </w:rPr>
            </w:pPr>
          </w:p>
        </w:tc>
        <w:tc>
          <w:tcPr>
            <w:tcW w:w="3260" w:type="dxa"/>
            <w:shd w:val="clear" w:color="auto" w:fill="D9D9D9" w:themeFill="background1" w:themeFillShade="D9"/>
            <w:vAlign w:val="bottom"/>
          </w:tcPr>
          <w:p w14:paraId="7FB64D5B" w14:textId="77777777" w:rsidR="00B32827" w:rsidRPr="00A77AF6" w:rsidRDefault="00B32827" w:rsidP="00B32827">
            <w:pPr>
              <w:rPr>
                <w:rFonts w:ascii="Times New Roman" w:eastAsia="Times New Roman" w:hAnsi="Times New Roman" w:cs="Times New Roman"/>
                <w:sz w:val="20"/>
                <w:szCs w:val="20"/>
                <w:lang w:eastAsia="en-GB"/>
              </w:rPr>
            </w:pPr>
            <w:r w:rsidRPr="00A77AF6">
              <w:rPr>
                <w:rFonts w:ascii="Calibri" w:hAnsi="Calibri" w:cs="Calibri"/>
                <w:color w:val="000000"/>
              </w:rPr>
              <w:t>Corporate governance effectiveness score (%)</w:t>
            </w:r>
          </w:p>
        </w:tc>
      </w:tr>
      <w:tr w:rsidR="00B32827" w:rsidRPr="00A77AF6" w14:paraId="41530E0B" w14:textId="77777777" w:rsidTr="000C2574">
        <w:trPr>
          <w:trHeight w:val="300"/>
        </w:trPr>
        <w:tc>
          <w:tcPr>
            <w:tcW w:w="2122" w:type="dxa"/>
            <w:shd w:val="clear" w:color="auto" w:fill="auto"/>
            <w:noWrap/>
          </w:tcPr>
          <w:p w14:paraId="381F8605" w14:textId="5190713D" w:rsidR="00B32827" w:rsidRPr="00A77AF6" w:rsidRDefault="00AA2A5A" w:rsidP="00B3282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E</w:t>
            </w:r>
            <w:r w:rsidR="00B32827" w:rsidRPr="00A77AF6">
              <w:rPr>
                <w:rFonts w:ascii="Calibri" w:eastAsia="Times New Roman" w:hAnsi="Calibri" w:cs="Calibri"/>
                <w:color w:val="000000"/>
                <w:lang w:eastAsia="en-GB"/>
              </w:rPr>
              <w:t>ffective</w:t>
            </w:r>
          </w:p>
        </w:tc>
        <w:tc>
          <w:tcPr>
            <w:tcW w:w="3260" w:type="dxa"/>
            <w:vAlign w:val="bottom"/>
          </w:tcPr>
          <w:p w14:paraId="2C65329A" w14:textId="77777777" w:rsidR="00B32827" w:rsidRPr="00A77AF6" w:rsidRDefault="00B32827" w:rsidP="00B32827">
            <w:pPr>
              <w:rPr>
                <w:rFonts w:ascii="Times New Roman" w:eastAsia="Times New Roman" w:hAnsi="Times New Roman" w:cs="Times New Roman"/>
                <w:sz w:val="20"/>
                <w:szCs w:val="20"/>
                <w:lang w:eastAsia="en-GB"/>
              </w:rPr>
            </w:pPr>
            <w:r w:rsidRPr="00A77AF6">
              <w:rPr>
                <w:rFonts w:ascii="Calibri" w:hAnsi="Calibri" w:cs="Calibri"/>
                <w:color w:val="000000"/>
              </w:rPr>
              <w:t>171 (42%)</w:t>
            </w:r>
          </w:p>
        </w:tc>
      </w:tr>
      <w:tr w:rsidR="00B32827" w:rsidRPr="00A77AF6" w14:paraId="614C002A" w14:textId="77777777" w:rsidTr="000C2574">
        <w:trPr>
          <w:trHeight w:val="300"/>
        </w:trPr>
        <w:tc>
          <w:tcPr>
            <w:tcW w:w="2122" w:type="dxa"/>
            <w:shd w:val="clear" w:color="auto" w:fill="auto"/>
            <w:noWrap/>
          </w:tcPr>
          <w:p w14:paraId="2A4E9C81" w14:textId="32A7EFC5" w:rsidR="00B32827" w:rsidRPr="00A77AF6" w:rsidRDefault="00AA2A5A" w:rsidP="00B3282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N</w:t>
            </w:r>
            <w:r w:rsidR="00B32827" w:rsidRPr="00A77AF6">
              <w:rPr>
                <w:rFonts w:ascii="Calibri" w:eastAsia="Times New Roman" w:hAnsi="Calibri" w:cs="Calibri"/>
                <w:color w:val="000000"/>
                <w:lang w:eastAsia="en-GB"/>
              </w:rPr>
              <w:t>ot effective</w:t>
            </w:r>
          </w:p>
        </w:tc>
        <w:tc>
          <w:tcPr>
            <w:tcW w:w="3260" w:type="dxa"/>
            <w:vAlign w:val="bottom"/>
          </w:tcPr>
          <w:p w14:paraId="24D6D8E8" w14:textId="77777777" w:rsidR="00B32827" w:rsidRPr="00A77AF6" w:rsidRDefault="00B32827" w:rsidP="00B32827">
            <w:pPr>
              <w:rPr>
                <w:rFonts w:ascii="Times New Roman" w:eastAsia="Times New Roman" w:hAnsi="Times New Roman" w:cs="Times New Roman"/>
                <w:sz w:val="20"/>
                <w:szCs w:val="20"/>
                <w:lang w:eastAsia="en-GB"/>
              </w:rPr>
            </w:pPr>
            <w:r w:rsidRPr="00A77AF6">
              <w:rPr>
                <w:rFonts w:ascii="Calibri" w:hAnsi="Calibri" w:cs="Calibri"/>
                <w:color w:val="000000"/>
              </w:rPr>
              <w:t>168 (41%)</w:t>
            </w:r>
          </w:p>
        </w:tc>
      </w:tr>
      <w:tr w:rsidR="00B32827" w:rsidRPr="00A77AF6" w14:paraId="172716CC" w14:textId="77777777" w:rsidTr="000C2574">
        <w:trPr>
          <w:trHeight w:val="300"/>
        </w:trPr>
        <w:tc>
          <w:tcPr>
            <w:tcW w:w="2122" w:type="dxa"/>
            <w:tcBorders>
              <w:bottom w:val="single" w:sz="4" w:space="0" w:color="auto"/>
            </w:tcBorders>
            <w:shd w:val="clear" w:color="auto" w:fill="auto"/>
            <w:noWrap/>
          </w:tcPr>
          <w:p w14:paraId="3BAF3AD4" w14:textId="5184A405" w:rsidR="00B32827" w:rsidRPr="00A77AF6" w:rsidRDefault="00AA2A5A" w:rsidP="00B3282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D</w:t>
            </w:r>
            <w:r w:rsidR="00B32827" w:rsidRPr="00A77AF6">
              <w:rPr>
                <w:rFonts w:ascii="Calibri" w:eastAsia="Times New Roman" w:hAnsi="Calibri" w:cs="Calibri"/>
                <w:color w:val="000000"/>
                <w:lang w:eastAsia="en-GB"/>
              </w:rPr>
              <w:t>on</w:t>
            </w:r>
            <w:r w:rsidR="00927E1D" w:rsidRPr="00A77AF6">
              <w:rPr>
                <w:rFonts w:ascii="Calibri" w:eastAsia="Times New Roman" w:hAnsi="Calibri" w:cs="Calibri"/>
                <w:color w:val="000000"/>
                <w:lang w:eastAsia="en-GB"/>
              </w:rPr>
              <w:t>’</w:t>
            </w:r>
            <w:r w:rsidR="00B32827" w:rsidRPr="00A77AF6">
              <w:rPr>
                <w:rFonts w:ascii="Calibri" w:eastAsia="Times New Roman" w:hAnsi="Calibri" w:cs="Calibri"/>
                <w:color w:val="000000"/>
                <w:lang w:eastAsia="en-GB"/>
              </w:rPr>
              <w:t>t know</w:t>
            </w:r>
          </w:p>
        </w:tc>
        <w:tc>
          <w:tcPr>
            <w:tcW w:w="3260" w:type="dxa"/>
            <w:vAlign w:val="bottom"/>
          </w:tcPr>
          <w:p w14:paraId="4C709C40" w14:textId="77777777" w:rsidR="00B32827" w:rsidRPr="00A77AF6" w:rsidRDefault="00B32827" w:rsidP="00B32827">
            <w:pPr>
              <w:rPr>
                <w:rFonts w:ascii="Calibri" w:hAnsi="Calibri" w:cs="Calibri"/>
                <w:color w:val="000000"/>
              </w:rPr>
            </w:pPr>
            <w:r w:rsidRPr="00A77AF6">
              <w:rPr>
                <w:rFonts w:ascii="Calibri" w:hAnsi="Calibri" w:cs="Calibri"/>
                <w:color w:val="000000"/>
              </w:rPr>
              <w:t>69 (17%)</w:t>
            </w:r>
          </w:p>
        </w:tc>
      </w:tr>
      <w:tr w:rsidR="00B32827" w:rsidRPr="00A77AF6" w14:paraId="51957404" w14:textId="77777777" w:rsidTr="00B32827">
        <w:trPr>
          <w:trHeight w:val="300"/>
        </w:trPr>
        <w:tc>
          <w:tcPr>
            <w:tcW w:w="2122" w:type="dxa"/>
            <w:tcBorders>
              <w:left w:val="nil"/>
              <w:bottom w:val="nil"/>
            </w:tcBorders>
            <w:shd w:val="clear" w:color="auto" w:fill="auto"/>
            <w:noWrap/>
            <w:vAlign w:val="bottom"/>
          </w:tcPr>
          <w:p w14:paraId="51A257E4" w14:textId="77777777" w:rsidR="00B32827" w:rsidRPr="00A77AF6" w:rsidRDefault="00B32827" w:rsidP="00B32827">
            <w:pPr>
              <w:spacing w:after="0" w:line="240" w:lineRule="auto"/>
              <w:rPr>
                <w:rFonts w:ascii="Calibri" w:eastAsia="Times New Roman" w:hAnsi="Calibri" w:cs="Calibri"/>
                <w:color w:val="000000"/>
                <w:lang w:eastAsia="en-GB"/>
              </w:rPr>
            </w:pPr>
            <w:r w:rsidRPr="00A77AF6">
              <w:rPr>
                <w:rFonts w:ascii="Calibri" w:eastAsia="Times New Roman" w:hAnsi="Calibri" w:cs="Calibri"/>
                <w:color w:val="000000"/>
                <w:lang w:eastAsia="en-GB"/>
              </w:rPr>
              <w:t xml:space="preserve">Total </w:t>
            </w:r>
          </w:p>
        </w:tc>
        <w:tc>
          <w:tcPr>
            <w:tcW w:w="3260" w:type="dxa"/>
            <w:vAlign w:val="bottom"/>
          </w:tcPr>
          <w:p w14:paraId="5C12A01E" w14:textId="77777777" w:rsidR="00B32827" w:rsidRPr="00A77AF6" w:rsidRDefault="00B32827" w:rsidP="00B32827">
            <w:pPr>
              <w:rPr>
                <w:rFonts w:ascii="Calibri" w:hAnsi="Calibri" w:cs="Calibri"/>
                <w:color w:val="000000"/>
              </w:rPr>
            </w:pPr>
            <w:r w:rsidRPr="00A77AF6">
              <w:rPr>
                <w:rFonts w:ascii="Calibri" w:hAnsi="Calibri" w:cs="Calibri"/>
                <w:color w:val="000000"/>
              </w:rPr>
              <w:t>408 (100%)</w:t>
            </w:r>
          </w:p>
        </w:tc>
      </w:tr>
    </w:tbl>
    <w:p w14:paraId="6D90A47A" w14:textId="77777777" w:rsidR="00B32827" w:rsidRPr="00A77AF6" w:rsidRDefault="00B32827" w:rsidP="00B32827">
      <w:pPr>
        <w:spacing w:line="480" w:lineRule="auto"/>
      </w:pPr>
    </w:p>
    <w:p w14:paraId="6102D328" w14:textId="69163A76" w:rsidR="00B32827" w:rsidRPr="00A77AF6" w:rsidRDefault="00B32827" w:rsidP="00574B05">
      <w:pPr>
        <w:spacing w:line="360" w:lineRule="auto"/>
      </w:pPr>
      <w:r w:rsidRPr="00A77AF6">
        <w:t xml:space="preserve">Three respondents gave </w:t>
      </w:r>
      <w:r w:rsidR="00A84D47" w:rsidRPr="00A77AF6">
        <w:t>zero</w:t>
      </w:r>
      <w:r w:rsidRPr="00A77AF6">
        <w:t xml:space="preserve"> for every element of corporate governance, meaning that they did not know whether any element of corporate governance was effective or not. This </w:t>
      </w:r>
      <w:r w:rsidR="00574B05" w:rsidRPr="00A77AF6">
        <w:t xml:space="preserve">means that </w:t>
      </w:r>
      <w:r w:rsidR="00A84D47" w:rsidRPr="00A77AF6">
        <w:t>three</w:t>
      </w:r>
      <w:r w:rsidR="00574B05" w:rsidRPr="00A77AF6">
        <w:t xml:space="preserve"> respondents were responsible for</w:t>
      </w:r>
      <w:r w:rsidRPr="00A77AF6">
        <w:t xml:space="preserve"> 24 out of 69 responses for corporate governance effectiveness where don’t know was given as an answer.  </w:t>
      </w:r>
    </w:p>
    <w:p w14:paraId="423FE4A7" w14:textId="09266D75" w:rsidR="00B32827" w:rsidRPr="00A77AF6" w:rsidRDefault="00B32827" w:rsidP="00574B05">
      <w:pPr>
        <w:spacing w:line="360" w:lineRule="auto"/>
      </w:pPr>
      <w:r w:rsidRPr="00A77AF6">
        <w:t xml:space="preserve">Further analysis showed differences in perceptions about the relative performance of each element of corporate governance (Figure </w:t>
      </w:r>
      <w:r w:rsidR="00A84D47" w:rsidRPr="00A77AF6">
        <w:t>6-5</w:t>
      </w:r>
      <w:r w:rsidRPr="00A77AF6">
        <w:t xml:space="preserve">).  The most effective corporate governance elements were the </w:t>
      </w:r>
      <w:r w:rsidR="008B0E67" w:rsidRPr="00A77AF6">
        <w:t>e</w:t>
      </w:r>
      <w:r w:rsidRPr="00A77AF6">
        <w:t xml:space="preserve">xecutive </w:t>
      </w:r>
      <w:r w:rsidR="008B0E67" w:rsidRPr="00A77AF6">
        <w:t>d</w:t>
      </w:r>
      <w:r w:rsidRPr="00A77AF6">
        <w:t xml:space="preserve">irectors (n=33), the </w:t>
      </w:r>
      <w:r w:rsidR="008B0E67" w:rsidRPr="00A77AF6">
        <w:t>t</w:t>
      </w:r>
      <w:r w:rsidRPr="00A77AF6">
        <w:t xml:space="preserve">rust </w:t>
      </w:r>
      <w:r w:rsidR="008B0E67" w:rsidRPr="00A77AF6">
        <w:t>b</w:t>
      </w:r>
      <w:r w:rsidRPr="00A77AF6">
        <w:t xml:space="preserve">oard (n=32), the </w:t>
      </w:r>
      <w:r w:rsidR="008B0E67" w:rsidRPr="00A77AF6">
        <w:t>c</w:t>
      </w:r>
      <w:r w:rsidRPr="00A77AF6">
        <w:t xml:space="preserve">hairperson (n=29) and the </w:t>
      </w:r>
      <w:r w:rsidR="008B0E67" w:rsidRPr="00A77AF6">
        <w:t>c</w:t>
      </w:r>
      <w:r w:rsidRPr="00A77AF6">
        <w:t xml:space="preserve">hief </w:t>
      </w:r>
      <w:r w:rsidR="008B0E67" w:rsidRPr="00A77AF6">
        <w:t>e</w:t>
      </w:r>
      <w:r w:rsidRPr="00A77AF6">
        <w:t xml:space="preserve">xecutive (n=29).  The least effective elements of corporate governance were the non-executive directors </w:t>
      </w:r>
      <w:r w:rsidR="00F91B86" w:rsidRPr="00A77AF6">
        <w:t>(</w:t>
      </w:r>
      <w:r w:rsidRPr="00A77AF6">
        <w:t xml:space="preserve">n=29); the audit committee (n=26) and the remuneration committee (n=25).  The least well-known elements of corporate governance were the </w:t>
      </w:r>
      <w:r w:rsidR="008B0E67" w:rsidRPr="00A77AF6">
        <w:t>r</w:t>
      </w:r>
      <w:r w:rsidRPr="00A77AF6">
        <w:t xml:space="preserve">emuneration </w:t>
      </w:r>
      <w:r w:rsidR="008B0E67" w:rsidRPr="00A77AF6">
        <w:t>c</w:t>
      </w:r>
      <w:r w:rsidRPr="00A77AF6">
        <w:t xml:space="preserve">ommittee (n=22), the </w:t>
      </w:r>
      <w:r w:rsidR="008B0E67" w:rsidRPr="00A77AF6">
        <w:t>a</w:t>
      </w:r>
      <w:r w:rsidRPr="00A77AF6">
        <w:t xml:space="preserve">udit </w:t>
      </w:r>
      <w:r w:rsidR="008B0E67" w:rsidRPr="00A77AF6">
        <w:t>c</w:t>
      </w:r>
      <w:r w:rsidRPr="00A77AF6">
        <w:t xml:space="preserve">ommittee (n=13) and the </w:t>
      </w:r>
      <w:r w:rsidR="008B0E67" w:rsidRPr="00A77AF6">
        <w:t>r</w:t>
      </w:r>
      <w:r w:rsidRPr="00A77AF6">
        <w:t xml:space="preserve">isk </w:t>
      </w:r>
      <w:r w:rsidR="008B0E67" w:rsidRPr="00A77AF6">
        <w:t>c</w:t>
      </w:r>
      <w:r w:rsidRPr="00A77AF6">
        <w:t xml:space="preserve">ommittee (n=12). </w:t>
      </w:r>
    </w:p>
    <w:p w14:paraId="5748AAD5" w14:textId="77777777" w:rsidR="00574B05" w:rsidRPr="00A77AF6" w:rsidRDefault="00B32827" w:rsidP="00574B05">
      <w:pPr>
        <w:keepNext/>
      </w:pPr>
      <w:r w:rsidRPr="00A77AF6">
        <w:rPr>
          <w:noProof/>
          <w:lang w:eastAsia="en-GB"/>
        </w:rPr>
        <w:lastRenderedPageBreak/>
        <w:drawing>
          <wp:inline distT="0" distB="0" distL="0" distR="0" wp14:anchorId="564B5F87" wp14:editId="6392BF0B">
            <wp:extent cx="5178056" cy="4242391"/>
            <wp:effectExtent l="0" t="0" r="3810" b="6350"/>
            <wp:docPr id="229" name="Chart 229">
              <a:extLst xmlns:a="http://schemas.openxmlformats.org/drawingml/2006/main">
                <a:ext uri="{FF2B5EF4-FFF2-40B4-BE49-F238E27FC236}">
                  <a16:creationId xmlns:a16="http://schemas.microsoft.com/office/drawing/2014/main" id="{60C78A50-D7FE-4A2D-9A0A-9575AD2E32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35E685C" w14:textId="17B23B72" w:rsidR="00B32827" w:rsidRPr="00A77AF6" w:rsidRDefault="00574B05" w:rsidP="00574B05">
      <w:pPr>
        <w:pStyle w:val="Caption"/>
      </w:pPr>
      <w:bookmarkStart w:id="160" w:name="_Toc36186981"/>
      <w:r w:rsidRPr="00A77AF6">
        <w:t xml:space="preserve">Figure </w:t>
      </w:r>
      <w:fldSimple w:instr=" STYLEREF 1 \s ">
        <w:r w:rsidR="000441F7">
          <w:rPr>
            <w:noProof/>
          </w:rPr>
          <w:t>6</w:t>
        </w:r>
      </w:fldSimple>
      <w:r w:rsidR="00BA5DC4">
        <w:noBreakHyphen/>
      </w:r>
      <w:fldSimple w:instr=" SEQ Figure \* ARABIC \s 1 ">
        <w:r w:rsidR="000441F7">
          <w:rPr>
            <w:noProof/>
          </w:rPr>
          <w:t>5</w:t>
        </w:r>
      </w:fldSimple>
      <w:r w:rsidRPr="00A77AF6">
        <w:t>: Effectiveness of individual elements of corporate governance</w:t>
      </w:r>
      <w:bookmarkEnd w:id="160"/>
    </w:p>
    <w:p w14:paraId="3D07FF86" w14:textId="4ED325C9" w:rsidR="00B32827" w:rsidRPr="00A77AF6" w:rsidRDefault="00B32827" w:rsidP="00132E05">
      <w:pPr>
        <w:spacing w:before="360" w:line="360" w:lineRule="auto"/>
        <w:rPr>
          <w:color w:val="000000" w:themeColor="text1"/>
        </w:rPr>
      </w:pPr>
      <w:r w:rsidRPr="00A77AF6">
        <w:t>There is a clear divi</w:t>
      </w:r>
      <w:r w:rsidR="00574B05" w:rsidRPr="00A77AF6">
        <w:t xml:space="preserve">sion between the effectiveness of elements of </w:t>
      </w:r>
      <w:r w:rsidRPr="00A77AF6">
        <w:t xml:space="preserve">corporate governance. The </w:t>
      </w:r>
      <w:r w:rsidR="008B0E67" w:rsidRPr="00A77AF6">
        <w:t>t</w:t>
      </w:r>
      <w:r w:rsidRPr="00A77AF6">
        <w:t xml:space="preserve">rust </w:t>
      </w:r>
      <w:r w:rsidR="008B0E67" w:rsidRPr="00A77AF6">
        <w:t>b</w:t>
      </w:r>
      <w:r w:rsidRPr="00A77AF6">
        <w:t xml:space="preserve">oard, </w:t>
      </w:r>
      <w:r w:rsidR="008B0E67" w:rsidRPr="00A77AF6">
        <w:t>c</w:t>
      </w:r>
      <w:r w:rsidRPr="00A77AF6">
        <w:t xml:space="preserve">hairperson, </w:t>
      </w:r>
      <w:r w:rsidR="008B0E67" w:rsidRPr="00A77AF6">
        <w:t>c</w:t>
      </w:r>
      <w:r w:rsidRPr="00A77AF6">
        <w:t xml:space="preserve">hief </w:t>
      </w:r>
      <w:r w:rsidR="008B0E67" w:rsidRPr="00A77AF6">
        <w:t>e</w:t>
      </w:r>
      <w:r w:rsidRPr="00A77AF6">
        <w:t xml:space="preserve">xecutive and </w:t>
      </w:r>
      <w:r w:rsidR="008B0E67" w:rsidRPr="00A77AF6">
        <w:t>e</w:t>
      </w:r>
      <w:r w:rsidRPr="00A77AF6">
        <w:t xml:space="preserve">xecutive </w:t>
      </w:r>
      <w:r w:rsidR="008B0E67" w:rsidRPr="00A77AF6">
        <w:t>d</w:t>
      </w:r>
      <w:r w:rsidRPr="00A77AF6">
        <w:t xml:space="preserve">irectors were thought to have </w:t>
      </w:r>
      <w:r w:rsidR="00F7749F" w:rsidRPr="00A77AF6">
        <w:t>performed more</w:t>
      </w:r>
      <w:r w:rsidRPr="00A77AF6">
        <w:t xml:space="preserve"> effectively than the </w:t>
      </w:r>
      <w:r w:rsidR="003F37D9" w:rsidRPr="00A77AF6">
        <w:t>n</w:t>
      </w:r>
      <w:r w:rsidRPr="00A77AF6">
        <w:t xml:space="preserve">on-executives, </w:t>
      </w:r>
      <w:r w:rsidR="003F37D9" w:rsidRPr="00A77AF6">
        <w:t>r</w:t>
      </w:r>
      <w:r w:rsidRPr="00A77AF6">
        <w:t>isk</w:t>
      </w:r>
      <w:r w:rsidR="003F37D9" w:rsidRPr="00A77AF6">
        <w:t>, audit and r</w:t>
      </w:r>
      <w:r w:rsidRPr="00A77AF6">
        <w:t xml:space="preserve">emuneration </w:t>
      </w:r>
      <w:r w:rsidR="003F37D9" w:rsidRPr="00A77AF6">
        <w:t>c</w:t>
      </w:r>
      <w:r w:rsidRPr="00A77AF6">
        <w:t>ommittee</w:t>
      </w:r>
      <w:r w:rsidR="003F37D9" w:rsidRPr="00A77AF6">
        <w:t>s</w:t>
      </w:r>
      <w:r w:rsidRPr="00A77AF6">
        <w:t xml:space="preserve">.  </w:t>
      </w:r>
      <w:r w:rsidRPr="00A77AF6">
        <w:rPr>
          <w:color w:val="000000" w:themeColor="text1"/>
        </w:rPr>
        <w:t>The differences might also be explained by the position of the project sponsor who was present in both the project and corporate governance layers. In</w:t>
      </w:r>
      <w:r w:rsidR="003F37D9" w:rsidRPr="00A77AF6">
        <w:rPr>
          <w:color w:val="000000" w:themeColor="text1"/>
        </w:rPr>
        <w:t xml:space="preserve"> </w:t>
      </w:r>
      <w:r w:rsidRPr="00A77AF6">
        <w:rPr>
          <w:color w:val="000000" w:themeColor="text1"/>
        </w:rPr>
        <w:t xml:space="preserve">13 projects the sponsor was the </w:t>
      </w:r>
      <w:r w:rsidR="008B0E67" w:rsidRPr="00A77AF6">
        <w:rPr>
          <w:color w:val="000000" w:themeColor="text1"/>
        </w:rPr>
        <w:t>c</w:t>
      </w:r>
      <w:r w:rsidRPr="00A77AF6">
        <w:rPr>
          <w:color w:val="000000" w:themeColor="text1"/>
        </w:rPr>
        <w:t xml:space="preserve">hief </w:t>
      </w:r>
      <w:r w:rsidR="008B0E67" w:rsidRPr="00A77AF6">
        <w:rPr>
          <w:color w:val="000000" w:themeColor="text1"/>
        </w:rPr>
        <w:t>e</w:t>
      </w:r>
      <w:r w:rsidRPr="00A77AF6">
        <w:rPr>
          <w:color w:val="000000" w:themeColor="text1"/>
        </w:rPr>
        <w:t xml:space="preserve">xecutive and in 11 it was the </w:t>
      </w:r>
      <w:r w:rsidR="008B0E67" w:rsidRPr="00A77AF6">
        <w:rPr>
          <w:color w:val="000000" w:themeColor="text1"/>
        </w:rPr>
        <w:t>f</w:t>
      </w:r>
      <w:r w:rsidRPr="00A77AF6">
        <w:rPr>
          <w:color w:val="000000" w:themeColor="text1"/>
        </w:rPr>
        <w:t xml:space="preserve">inance </w:t>
      </w:r>
      <w:r w:rsidR="008B0E67" w:rsidRPr="00A77AF6">
        <w:rPr>
          <w:color w:val="000000" w:themeColor="text1"/>
        </w:rPr>
        <w:t>d</w:t>
      </w:r>
      <w:r w:rsidRPr="00A77AF6">
        <w:rPr>
          <w:color w:val="000000" w:themeColor="text1"/>
        </w:rPr>
        <w:t xml:space="preserve">irector; both are </w:t>
      </w:r>
      <w:r w:rsidR="008B0E67" w:rsidRPr="00A77AF6">
        <w:rPr>
          <w:color w:val="000000" w:themeColor="text1"/>
        </w:rPr>
        <w:t>c</w:t>
      </w:r>
      <w:r w:rsidRPr="00A77AF6">
        <w:rPr>
          <w:color w:val="000000" w:themeColor="text1"/>
        </w:rPr>
        <w:t xml:space="preserve">orporate </w:t>
      </w:r>
      <w:r w:rsidR="008B0E67" w:rsidRPr="00A77AF6">
        <w:rPr>
          <w:color w:val="000000" w:themeColor="text1"/>
        </w:rPr>
        <w:t>b</w:t>
      </w:r>
      <w:r w:rsidRPr="00A77AF6">
        <w:rPr>
          <w:color w:val="000000" w:themeColor="text1"/>
        </w:rPr>
        <w:t>oard positions</w:t>
      </w:r>
      <w:r w:rsidR="007F1023" w:rsidRPr="00A77AF6">
        <w:rPr>
          <w:color w:val="000000" w:themeColor="text1"/>
        </w:rPr>
        <w:t xml:space="preserve"> </w:t>
      </w:r>
      <w:r w:rsidRPr="00A77AF6">
        <w:rPr>
          <w:color w:val="000000" w:themeColor="text1"/>
        </w:rPr>
        <w:t>(</w:t>
      </w:r>
      <w:r w:rsidR="003F37D9" w:rsidRPr="00A77AF6">
        <w:rPr>
          <w:color w:val="000000" w:themeColor="text1"/>
        </w:rPr>
        <w:t>Table 6-20</w:t>
      </w:r>
      <w:r w:rsidRPr="00A77AF6">
        <w:rPr>
          <w:color w:val="000000" w:themeColor="text1"/>
        </w:rPr>
        <w:t xml:space="preserve">).  A </w:t>
      </w:r>
      <w:r w:rsidR="003F37D9" w:rsidRPr="00A77AF6">
        <w:rPr>
          <w:color w:val="000000" w:themeColor="text1"/>
        </w:rPr>
        <w:t>m</w:t>
      </w:r>
      <w:r w:rsidRPr="00A77AF6">
        <w:rPr>
          <w:color w:val="000000" w:themeColor="text1"/>
        </w:rPr>
        <w:t xml:space="preserve">edical </w:t>
      </w:r>
      <w:r w:rsidR="003F37D9" w:rsidRPr="00A77AF6">
        <w:rPr>
          <w:color w:val="000000" w:themeColor="text1"/>
        </w:rPr>
        <w:t>d</w:t>
      </w:r>
      <w:r w:rsidRPr="00A77AF6">
        <w:rPr>
          <w:color w:val="000000" w:themeColor="text1"/>
        </w:rPr>
        <w:t xml:space="preserve">irector was project sponsor for </w:t>
      </w:r>
      <w:r w:rsidR="000E147D" w:rsidRPr="00A77AF6">
        <w:rPr>
          <w:color w:val="000000" w:themeColor="text1"/>
        </w:rPr>
        <w:t xml:space="preserve">two </w:t>
      </w:r>
      <w:r w:rsidRPr="00A77AF6">
        <w:rPr>
          <w:color w:val="000000" w:themeColor="text1"/>
        </w:rPr>
        <w:t xml:space="preserve">projects (included in the ‘other’ column), so that means in 26 of projects there was direct involvement by the corporate layer of the </w:t>
      </w:r>
      <w:r w:rsidR="003F37D9" w:rsidRPr="00A77AF6">
        <w:rPr>
          <w:color w:val="000000" w:themeColor="text1"/>
        </w:rPr>
        <w:t>t</w:t>
      </w:r>
      <w:r w:rsidRPr="00A77AF6">
        <w:rPr>
          <w:color w:val="000000" w:themeColor="text1"/>
        </w:rPr>
        <w:t xml:space="preserve">rust (13 </w:t>
      </w:r>
      <w:r w:rsidR="008B0E67" w:rsidRPr="00A77AF6">
        <w:rPr>
          <w:color w:val="000000" w:themeColor="text1"/>
        </w:rPr>
        <w:t>chief</w:t>
      </w:r>
      <w:r w:rsidRPr="00A77AF6">
        <w:rPr>
          <w:color w:val="000000" w:themeColor="text1"/>
        </w:rPr>
        <w:t xml:space="preserve"> Executives, 11 finance Directors and </w:t>
      </w:r>
      <w:r w:rsidR="003F37D9" w:rsidRPr="00A77AF6">
        <w:rPr>
          <w:color w:val="000000" w:themeColor="text1"/>
        </w:rPr>
        <w:t>two</w:t>
      </w:r>
      <w:r w:rsidRPr="00A77AF6">
        <w:rPr>
          <w:color w:val="000000" w:themeColor="text1"/>
        </w:rPr>
        <w:t xml:space="preserve"> Medical Directors), so arguably respondents may have been influenced by their exposure to these people and </w:t>
      </w:r>
      <w:r w:rsidR="00574B05" w:rsidRPr="00A77AF6">
        <w:rPr>
          <w:color w:val="000000" w:themeColor="text1"/>
        </w:rPr>
        <w:t>consequently</w:t>
      </w:r>
      <w:r w:rsidRPr="00A77AF6">
        <w:rPr>
          <w:color w:val="000000" w:themeColor="text1"/>
        </w:rPr>
        <w:t xml:space="preserve"> considered them to be effective. </w:t>
      </w:r>
      <w:r w:rsidR="000E147D" w:rsidRPr="00A77AF6">
        <w:rPr>
          <w:color w:val="000000" w:themeColor="text1"/>
        </w:rPr>
        <w:t>It</w:t>
      </w:r>
      <w:r w:rsidRPr="00A77AF6">
        <w:rPr>
          <w:color w:val="000000" w:themeColor="text1"/>
        </w:rPr>
        <w:t xml:space="preserve"> </w:t>
      </w:r>
      <w:r w:rsidR="00574B05" w:rsidRPr="00A77AF6">
        <w:rPr>
          <w:color w:val="000000" w:themeColor="text1"/>
        </w:rPr>
        <w:t xml:space="preserve">appears </w:t>
      </w:r>
      <w:r w:rsidRPr="00A77AF6">
        <w:rPr>
          <w:color w:val="000000" w:themeColor="text1"/>
        </w:rPr>
        <w:t xml:space="preserve">unlikely that the </w:t>
      </w:r>
      <w:r w:rsidR="003F37D9" w:rsidRPr="00A77AF6">
        <w:rPr>
          <w:color w:val="000000" w:themeColor="text1"/>
        </w:rPr>
        <w:t>r</w:t>
      </w:r>
      <w:r w:rsidRPr="00A77AF6">
        <w:rPr>
          <w:color w:val="000000" w:themeColor="text1"/>
        </w:rPr>
        <w:t xml:space="preserve">emuneration </w:t>
      </w:r>
      <w:r w:rsidR="003F37D9" w:rsidRPr="00A77AF6">
        <w:rPr>
          <w:color w:val="000000" w:themeColor="text1"/>
        </w:rPr>
        <w:t>c</w:t>
      </w:r>
      <w:r w:rsidRPr="00A77AF6">
        <w:rPr>
          <w:color w:val="000000" w:themeColor="text1"/>
        </w:rPr>
        <w:t>ommittee would have direct involvement in projects</w:t>
      </w:r>
      <w:r w:rsidR="00574B05" w:rsidRPr="00A77AF6">
        <w:rPr>
          <w:color w:val="000000" w:themeColor="text1"/>
        </w:rPr>
        <w:t>. T</w:t>
      </w:r>
      <w:r w:rsidRPr="00A77AF6">
        <w:rPr>
          <w:color w:val="000000" w:themeColor="text1"/>
        </w:rPr>
        <w:t xml:space="preserve">he </w:t>
      </w:r>
      <w:r w:rsidR="003F37D9" w:rsidRPr="00A77AF6">
        <w:rPr>
          <w:color w:val="000000" w:themeColor="text1"/>
        </w:rPr>
        <w:t>r</w:t>
      </w:r>
      <w:r w:rsidRPr="00A77AF6">
        <w:rPr>
          <w:color w:val="000000" w:themeColor="text1"/>
        </w:rPr>
        <w:t xml:space="preserve">isk and </w:t>
      </w:r>
      <w:r w:rsidR="003F37D9" w:rsidRPr="00A77AF6">
        <w:rPr>
          <w:color w:val="000000" w:themeColor="text1"/>
        </w:rPr>
        <w:t>a</w:t>
      </w:r>
      <w:r w:rsidRPr="00A77AF6">
        <w:rPr>
          <w:color w:val="000000" w:themeColor="text1"/>
        </w:rPr>
        <w:t xml:space="preserve">udit </w:t>
      </w:r>
      <w:r w:rsidR="003F37D9" w:rsidRPr="00A77AF6">
        <w:rPr>
          <w:color w:val="000000" w:themeColor="text1"/>
        </w:rPr>
        <w:t>c</w:t>
      </w:r>
      <w:r w:rsidRPr="00A77AF6">
        <w:rPr>
          <w:color w:val="000000" w:themeColor="text1"/>
        </w:rPr>
        <w:t>ommittee</w:t>
      </w:r>
      <w:r w:rsidR="00574B05" w:rsidRPr="00A77AF6">
        <w:rPr>
          <w:color w:val="000000" w:themeColor="text1"/>
        </w:rPr>
        <w:t>s</w:t>
      </w:r>
      <w:r w:rsidRPr="00A77AF6">
        <w:rPr>
          <w:color w:val="000000" w:themeColor="text1"/>
        </w:rPr>
        <w:t xml:space="preserve"> may have an indirect monitoring role but are more likely to </w:t>
      </w:r>
      <w:r w:rsidR="00574B05" w:rsidRPr="00A77AF6">
        <w:rPr>
          <w:color w:val="000000" w:themeColor="text1"/>
        </w:rPr>
        <w:t xml:space="preserve">be concerned with </w:t>
      </w:r>
      <w:r w:rsidR="00F7749F" w:rsidRPr="00A77AF6">
        <w:rPr>
          <w:color w:val="000000" w:themeColor="text1"/>
        </w:rPr>
        <w:t>the impact</w:t>
      </w:r>
      <w:r w:rsidRPr="00A77AF6">
        <w:rPr>
          <w:color w:val="000000" w:themeColor="text1"/>
        </w:rPr>
        <w:t xml:space="preserve"> of a project on the Trust rather than </w:t>
      </w:r>
      <w:r w:rsidR="00574B05" w:rsidRPr="00A77AF6">
        <w:rPr>
          <w:color w:val="000000" w:themeColor="text1"/>
        </w:rPr>
        <w:t xml:space="preserve">being </w:t>
      </w:r>
      <w:r w:rsidRPr="00A77AF6">
        <w:rPr>
          <w:color w:val="000000" w:themeColor="text1"/>
        </w:rPr>
        <w:t>directly involved in managing projects</w:t>
      </w:r>
      <w:r w:rsidR="000E147D" w:rsidRPr="00A77AF6">
        <w:rPr>
          <w:color w:val="000000" w:themeColor="text1"/>
        </w:rPr>
        <w:t>, so th</w:t>
      </w:r>
      <w:r w:rsidR="00574B05" w:rsidRPr="00A77AF6">
        <w:rPr>
          <w:color w:val="000000" w:themeColor="text1"/>
        </w:rPr>
        <w:t xml:space="preserve">is </w:t>
      </w:r>
      <w:r w:rsidR="000E147D" w:rsidRPr="00A77AF6">
        <w:rPr>
          <w:color w:val="000000" w:themeColor="text1"/>
        </w:rPr>
        <w:t xml:space="preserve"> may affect people’s knowledge of them</w:t>
      </w:r>
      <w:r w:rsidRPr="00A77AF6">
        <w:rPr>
          <w:color w:val="000000" w:themeColor="text1"/>
        </w:rPr>
        <w:t xml:space="preserve">. </w:t>
      </w:r>
    </w:p>
    <w:p w14:paraId="7FB37B83" w14:textId="7C0B3697" w:rsidR="003F37D9" w:rsidRPr="00A77AF6" w:rsidRDefault="003F37D9" w:rsidP="003F37D9">
      <w:pPr>
        <w:pStyle w:val="Caption"/>
        <w:keepNext/>
        <w:spacing w:after="120"/>
      </w:pPr>
      <w:r w:rsidRPr="00A77AF6">
        <w:lastRenderedPageBreak/>
        <w:t xml:space="preserve">Table </w:t>
      </w:r>
      <w:fldSimple w:instr=" STYLEREF 1 \s ">
        <w:r w:rsidR="000441F7">
          <w:rPr>
            <w:noProof/>
          </w:rPr>
          <w:t>6</w:t>
        </w:r>
      </w:fldSimple>
      <w:r w:rsidR="00804112">
        <w:noBreakHyphen/>
      </w:r>
      <w:fldSimple w:instr=" SEQ Table \* ARABIC \s 1 ">
        <w:r w:rsidR="000441F7">
          <w:rPr>
            <w:noProof/>
          </w:rPr>
          <w:t>20</w:t>
        </w:r>
      </w:fldSimple>
      <w:r w:rsidRPr="00A77AF6">
        <w:t>: Role of Project sponsor in the Trust</w:t>
      </w:r>
    </w:p>
    <w:tbl>
      <w:tblPr>
        <w:tblW w:w="5524" w:type="dxa"/>
        <w:shd w:val="clear" w:color="auto" w:fill="FFFFFF" w:themeFill="background1"/>
        <w:tblLayout w:type="fixed"/>
        <w:tblLook w:val="04A0" w:firstRow="1" w:lastRow="0" w:firstColumn="1" w:lastColumn="0" w:noHBand="0" w:noVBand="1"/>
      </w:tblPr>
      <w:tblGrid>
        <w:gridCol w:w="3823"/>
        <w:gridCol w:w="1701"/>
      </w:tblGrid>
      <w:tr w:rsidR="00574B05" w:rsidRPr="00A77AF6" w14:paraId="36896448" w14:textId="77777777" w:rsidTr="00BB0B76">
        <w:trPr>
          <w:trHeight w:val="300"/>
        </w:trPr>
        <w:tc>
          <w:tcPr>
            <w:tcW w:w="3823" w:type="dxa"/>
            <w:tcBorders>
              <w:top w:val="single" w:sz="4" w:space="0" w:color="auto"/>
              <w:left w:val="single" w:sz="4" w:space="0" w:color="auto"/>
              <w:bottom w:val="single" w:sz="4" w:space="0" w:color="000000"/>
              <w:right w:val="single" w:sz="4" w:space="0" w:color="auto"/>
            </w:tcBorders>
            <w:shd w:val="clear" w:color="auto" w:fill="D9D9D9" w:themeFill="background1" w:themeFillShade="D9"/>
            <w:noWrap/>
          </w:tcPr>
          <w:p w14:paraId="1D6747CD" w14:textId="3DBBA012" w:rsidR="00574B05" w:rsidRPr="00A77AF6" w:rsidRDefault="00574B05" w:rsidP="00BB0B76">
            <w:pPr>
              <w:spacing w:after="120" w:line="240"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Role of the project sponsor in the Trust</w:t>
            </w:r>
          </w:p>
        </w:tc>
        <w:tc>
          <w:tcPr>
            <w:tcW w:w="1701" w:type="dxa"/>
            <w:tcBorders>
              <w:top w:val="single" w:sz="4" w:space="0" w:color="auto"/>
              <w:left w:val="single" w:sz="4" w:space="0" w:color="auto"/>
              <w:bottom w:val="single" w:sz="4" w:space="0" w:color="000000"/>
              <w:right w:val="single" w:sz="4" w:space="0" w:color="auto"/>
            </w:tcBorders>
            <w:shd w:val="clear" w:color="auto" w:fill="D9D9D9" w:themeFill="background1" w:themeFillShade="D9"/>
          </w:tcPr>
          <w:p w14:paraId="3B6BEDAA" w14:textId="61F8A9E7" w:rsidR="00574B05" w:rsidRPr="00A77AF6" w:rsidRDefault="00574B05" w:rsidP="00BB0B76">
            <w:pPr>
              <w:spacing w:after="120" w:line="240"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 xml:space="preserve">Number </w:t>
            </w:r>
          </w:p>
        </w:tc>
      </w:tr>
      <w:tr w:rsidR="00574B05" w:rsidRPr="00A77AF6" w14:paraId="03B81C16" w14:textId="77777777" w:rsidTr="00BB0B76">
        <w:trPr>
          <w:trHeight w:val="300"/>
        </w:trPr>
        <w:tc>
          <w:tcPr>
            <w:tcW w:w="3823" w:type="dxa"/>
            <w:tcBorders>
              <w:top w:val="single" w:sz="4" w:space="0" w:color="000000"/>
              <w:left w:val="single" w:sz="4" w:space="0" w:color="000000"/>
              <w:bottom w:val="single" w:sz="4" w:space="0" w:color="auto"/>
              <w:right w:val="single" w:sz="4" w:space="0" w:color="auto"/>
            </w:tcBorders>
            <w:shd w:val="clear" w:color="auto" w:fill="FFFFFF" w:themeFill="background1"/>
            <w:noWrap/>
          </w:tcPr>
          <w:p w14:paraId="4FD8E99C" w14:textId="1D9F88F1" w:rsidR="00574B05" w:rsidRPr="00A77AF6" w:rsidRDefault="00AA2A5A" w:rsidP="00BB0B76">
            <w:pPr>
              <w:spacing w:after="120" w:line="240" w:lineRule="auto"/>
              <w:rPr>
                <w:rFonts w:ascii="Calibri" w:eastAsia="Times New Roman" w:hAnsi="Calibri" w:cs="Times New Roman"/>
                <w:color w:val="000000"/>
                <w:sz w:val="20"/>
                <w:lang w:eastAsia="en-GB"/>
              </w:rPr>
            </w:pPr>
            <w:r>
              <w:rPr>
                <w:rFonts w:ascii="Calibri" w:eastAsia="Times New Roman" w:hAnsi="Calibri" w:cs="Times New Roman"/>
                <w:color w:val="000000"/>
                <w:sz w:val="20"/>
                <w:lang w:eastAsia="en-GB"/>
              </w:rPr>
              <w:t>C</w:t>
            </w:r>
            <w:r w:rsidR="00574B05" w:rsidRPr="00A77AF6">
              <w:rPr>
                <w:rFonts w:ascii="Calibri" w:eastAsia="Times New Roman" w:hAnsi="Calibri" w:cs="Times New Roman"/>
                <w:color w:val="000000"/>
                <w:sz w:val="20"/>
                <w:lang w:eastAsia="en-GB"/>
              </w:rPr>
              <w:t>hief executive</w:t>
            </w:r>
          </w:p>
        </w:tc>
        <w:tc>
          <w:tcPr>
            <w:tcW w:w="1701" w:type="dxa"/>
            <w:tcBorders>
              <w:top w:val="single" w:sz="4" w:space="0" w:color="000000"/>
              <w:left w:val="single" w:sz="4" w:space="0" w:color="auto"/>
              <w:bottom w:val="single" w:sz="4" w:space="0" w:color="auto"/>
              <w:right w:val="single" w:sz="4" w:space="0" w:color="auto"/>
            </w:tcBorders>
            <w:shd w:val="clear" w:color="auto" w:fill="FFFFFF" w:themeFill="background1"/>
          </w:tcPr>
          <w:p w14:paraId="4F86DC23" w14:textId="00783565" w:rsidR="00574B05" w:rsidRPr="00A77AF6" w:rsidRDefault="00574B05" w:rsidP="00BB0B76">
            <w:pPr>
              <w:spacing w:after="12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13</w:t>
            </w:r>
          </w:p>
        </w:tc>
      </w:tr>
      <w:tr w:rsidR="00574B05" w:rsidRPr="00A77AF6" w14:paraId="20F8A20B" w14:textId="77777777" w:rsidTr="00BB0B76">
        <w:trPr>
          <w:trHeight w:val="300"/>
        </w:trPr>
        <w:tc>
          <w:tcPr>
            <w:tcW w:w="3823" w:type="dxa"/>
            <w:tcBorders>
              <w:top w:val="single" w:sz="4" w:space="0" w:color="auto"/>
              <w:left w:val="single" w:sz="4" w:space="0" w:color="000000"/>
              <w:bottom w:val="single" w:sz="4" w:space="0" w:color="auto"/>
              <w:right w:val="single" w:sz="4" w:space="0" w:color="auto"/>
            </w:tcBorders>
            <w:shd w:val="clear" w:color="auto" w:fill="FFFFFF" w:themeFill="background1"/>
            <w:noWrap/>
          </w:tcPr>
          <w:p w14:paraId="491A24A6" w14:textId="3DAA4582" w:rsidR="00574B05" w:rsidRPr="00A77AF6" w:rsidRDefault="00AA2A5A" w:rsidP="00BB0B76">
            <w:pPr>
              <w:spacing w:after="120" w:line="240" w:lineRule="auto"/>
              <w:rPr>
                <w:rFonts w:ascii="Calibri" w:eastAsia="Times New Roman" w:hAnsi="Calibri" w:cs="Times New Roman"/>
                <w:color w:val="000000"/>
                <w:sz w:val="20"/>
                <w:lang w:eastAsia="en-GB"/>
              </w:rPr>
            </w:pPr>
            <w:r>
              <w:rPr>
                <w:rFonts w:ascii="Calibri" w:eastAsia="Times New Roman" w:hAnsi="Calibri" w:cs="Times New Roman"/>
                <w:color w:val="000000"/>
                <w:sz w:val="20"/>
                <w:lang w:eastAsia="en-GB"/>
              </w:rPr>
              <w:t>F</w:t>
            </w:r>
            <w:r w:rsidR="00574B05" w:rsidRPr="00A77AF6">
              <w:rPr>
                <w:rFonts w:ascii="Calibri" w:eastAsia="Times New Roman" w:hAnsi="Calibri" w:cs="Times New Roman"/>
                <w:color w:val="000000"/>
                <w:sz w:val="20"/>
                <w:lang w:eastAsia="en-GB"/>
              </w:rPr>
              <w:t>inance director</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AFCD80A" w14:textId="01D871C0" w:rsidR="00574B05" w:rsidRPr="00A77AF6" w:rsidRDefault="00574B05" w:rsidP="00BB0B76">
            <w:pPr>
              <w:spacing w:after="12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 xml:space="preserve">11 </w:t>
            </w:r>
          </w:p>
        </w:tc>
      </w:tr>
      <w:tr w:rsidR="00574B05" w:rsidRPr="00A77AF6" w14:paraId="09B88A9E" w14:textId="77777777" w:rsidTr="00BB0B76">
        <w:trPr>
          <w:trHeight w:val="300"/>
        </w:trPr>
        <w:tc>
          <w:tcPr>
            <w:tcW w:w="3823"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D6D527D" w14:textId="5AC3063B" w:rsidR="00574B05" w:rsidRPr="00A77AF6" w:rsidRDefault="00AA2A5A" w:rsidP="00BB0B76">
            <w:pPr>
              <w:spacing w:after="120" w:line="240" w:lineRule="auto"/>
              <w:rPr>
                <w:rFonts w:ascii="Calibri" w:eastAsia="Times New Roman" w:hAnsi="Calibri" w:cs="Times New Roman"/>
                <w:color w:val="000000"/>
                <w:sz w:val="20"/>
                <w:lang w:eastAsia="en-GB"/>
              </w:rPr>
            </w:pPr>
            <w:r>
              <w:rPr>
                <w:rFonts w:ascii="Calibri" w:eastAsia="Times New Roman" w:hAnsi="Calibri" w:cs="Times New Roman"/>
                <w:color w:val="000000"/>
                <w:sz w:val="20"/>
                <w:lang w:eastAsia="en-GB"/>
              </w:rPr>
              <w:t>E</w:t>
            </w:r>
            <w:r w:rsidR="00574B05" w:rsidRPr="00A77AF6">
              <w:rPr>
                <w:rFonts w:ascii="Calibri" w:eastAsia="Times New Roman" w:hAnsi="Calibri" w:cs="Times New Roman"/>
                <w:color w:val="000000"/>
                <w:sz w:val="20"/>
                <w:lang w:eastAsia="en-GB"/>
              </w:rPr>
              <w:t>states director</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6028516" w14:textId="242058A4" w:rsidR="00574B05" w:rsidRPr="00A77AF6" w:rsidRDefault="00574B05" w:rsidP="00BB0B76">
            <w:pPr>
              <w:spacing w:after="12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8</w:t>
            </w:r>
          </w:p>
        </w:tc>
      </w:tr>
      <w:tr w:rsidR="00574B05" w:rsidRPr="00A77AF6" w14:paraId="4E37FAEB" w14:textId="77777777" w:rsidTr="00BB0B76">
        <w:trPr>
          <w:trHeight w:val="300"/>
        </w:trPr>
        <w:tc>
          <w:tcPr>
            <w:tcW w:w="3823"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CF1878F" w14:textId="623C9891" w:rsidR="00574B05" w:rsidRPr="00A77AF6" w:rsidRDefault="00AA2A5A" w:rsidP="00BB0B76">
            <w:pPr>
              <w:spacing w:after="120" w:line="240" w:lineRule="auto"/>
              <w:rPr>
                <w:rFonts w:ascii="Calibri" w:eastAsia="Times New Roman" w:hAnsi="Calibri" w:cs="Times New Roman"/>
                <w:color w:val="000000"/>
                <w:sz w:val="20"/>
                <w:lang w:eastAsia="en-GB"/>
              </w:rPr>
            </w:pPr>
            <w:r>
              <w:rPr>
                <w:rFonts w:ascii="Calibri" w:eastAsia="Times New Roman" w:hAnsi="Calibri" w:cs="Times New Roman"/>
                <w:color w:val="000000"/>
                <w:sz w:val="20"/>
                <w:lang w:eastAsia="en-GB"/>
              </w:rPr>
              <w:t>P</w:t>
            </w:r>
            <w:r w:rsidR="00574B05" w:rsidRPr="00A77AF6">
              <w:rPr>
                <w:rFonts w:ascii="Calibri" w:eastAsia="Times New Roman" w:hAnsi="Calibri" w:cs="Times New Roman"/>
                <w:color w:val="000000"/>
                <w:sz w:val="20"/>
                <w:lang w:eastAsia="en-GB"/>
              </w:rPr>
              <w:t>roject director</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8EA43CD" w14:textId="1EA952CD" w:rsidR="00574B05" w:rsidRPr="00A77AF6" w:rsidRDefault="00574B05" w:rsidP="00BB0B76">
            <w:pPr>
              <w:spacing w:after="12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9</w:t>
            </w:r>
          </w:p>
        </w:tc>
      </w:tr>
      <w:tr w:rsidR="00574B05" w:rsidRPr="00A77AF6" w14:paraId="77DFAB4A" w14:textId="77777777" w:rsidTr="00BB0B76">
        <w:trPr>
          <w:trHeight w:val="300"/>
        </w:trPr>
        <w:tc>
          <w:tcPr>
            <w:tcW w:w="3823"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7AA78EA" w14:textId="60849DD4" w:rsidR="00574B05" w:rsidRPr="00A77AF6" w:rsidRDefault="00AA2A5A" w:rsidP="00BB0B76">
            <w:pPr>
              <w:spacing w:after="120" w:line="240" w:lineRule="auto"/>
              <w:rPr>
                <w:rFonts w:ascii="Calibri" w:eastAsia="Times New Roman" w:hAnsi="Calibri" w:cs="Times New Roman"/>
                <w:color w:val="000000"/>
                <w:sz w:val="20"/>
                <w:lang w:eastAsia="en-GB"/>
              </w:rPr>
            </w:pPr>
            <w:r>
              <w:rPr>
                <w:rFonts w:ascii="Calibri" w:eastAsia="Times New Roman" w:hAnsi="Calibri" w:cs="Times New Roman"/>
                <w:color w:val="000000"/>
                <w:sz w:val="20"/>
                <w:lang w:eastAsia="en-GB"/>
              </w:rPr>
              <w:t>O</w:t>
            </w:r>
            <w:r w:rsidR="00574B05" w:rsidRPr="00A77AF6">
              <w:rPr>
                <w:rFonts w:ascii="Calibri" w:eastAsia="Times New Roman" w:hAnsi="Calibri" w:cs="Times New Roman"/>
                <w:color w:val="000000"/>
                <w:sz w:val="20"/>
                <w:lang w:eastAsia="en-GB"/>
              </w:rPr>
              <w:t>ther</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1ED4E40" w14:textId="6DD792BC" w:rsidR="00574B05" w:rsidRPr="00A77AF6" w:rsidRDefault="00574B05" w:rsidP="00BB0B76">
            <w:pPr>
              <w:spacing w:after="12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9</w:t>
            </w:r>
          </w:p>
        </w:tc>
      </w:tr>
      <w:tr w:rsidR="00574B05" w:rsidRPr="00A77AF6" w14:paraId="07A19140" w14:textId="77777777" w:rsidTr="00BB0B76">
        <w:trPr>
          <w:trHeight w:val="300"/>
        </w:trPr>
        <w:tc>
          <w:tcPr>
            <w:tcW w:w="3823"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13ED8F4" w14:textId="6E26FF7C" w:rsidR="00574B05" w:rsidRPr="00A77AF6" w:rsidRDefault="00AA2A5A" w:rsidP="00BB0B76">
            <w:pPr>
              <w:spacing w:after="120" w:line="240" w:lineRule="auto"/>
              <w:rPr>
                <w:rFonts w:ascii="Calibri" w:eastAsia="Times New Roman" w:hAnsi="Calibri" w:cs="Times New Roman"/>
                <w:color w:val="000000"/>
                <w:sz w:val="20"/>
                <w:lang w:eastAsia="en-GB"/>
              </w:rPr>
            </w:pPr>
            <w:r>
              <w:rPr>
                <w:rFonts w:ascii="Calibri" w:eastAsia="Times New Roman" w:hAnsi="Calibri" w:cs="Times New Roman"/>
                <w:color w:val="000000"/>
                <w:sz w:val="20"/>
                <w:lang w:eastAsia="en-GB"/>
              </w:rPr>
              <w:t>D</w:t>
            </w:r>
            <w:r w:rsidR="00574B05" w:rsidRPr="00A77AF6">
              <w:rPr>
                <w:rFonts w:ascii="Calibri" w:eastAsia="Times New Roman" w:hAnsi="Calibri" w:cs="Times New Roman"/>
                <w:color w:val="000000"/>
                <w:sz w:val="20"/>
                <w:lang w:eastAsia="en-GB"/>
              </w:rPr>
              <w:t>on’t know</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315D537" w14:textId="7CDFD2E2" w:rsidR="00574B05" w:rsidRPr="00A77AF6" w:rsidRDefault="00574B05" w:rsidP="00BB0B76">
            <w:pPr>
              <w:spacing w:after="12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1</w:t>
            </w:r>
          </w:p>
        </w:tc>
      </w:tr>
      <w:tr w:rsidR="00574B05" w:rsidRPr="00A77AF6" w14:paraId="6575BBB1" w14:textId="77777777" w:rsidTr="00DA5823">
        <w:trPr>
          <w:trHeight w:val="300"/>
        </w:trPr>
        <w:tc>
          <w:tcPr>
            <w:tcW w:w="3823" w:type="dxa"/>
            <w:tcBorders>
              <w:top w:val="single" w:sz="4" w:space="0" w:color="auto"/>
            </w:tcBorders>
            <w:shd w:val="clear" w:color="auto" w:fill="FFFFFF" w:themeFill="background1"/>
            <w:noWrap/>
            <w:vAlign w:val="bottom"/>
          </w:tcPr>
          <w:p w14:paraId="5ABB1F02" w14:textId="77777777" w:rsidR="00574B05" w:rsidRPr="00A77AF6" w:rsidRDefault="00574B05" w:rsidP="00BB0B76">
            <w:pPr>
              <w:spacing w:after="120" w:line="240"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 xml:space="preserve">Total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7A16392" w14:textId="5BBB6727" w:rsidR="00574B05" w:rsidRPr="00A77AF6" w:rsidRDefault="00DA5823" w:rsidP="00BB0B76">
            <w:pPr>
              <w:spacing w:after="12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51</w:t>
            </w:r>
          </w:p>
        </w:tc>
      </w:tr>
    </w:tbl>
    <w:p w14:paraId="0DE7FAE8" w14:textId="3D8E56A4" w:rsidR="00B32827" w:rsidRPr="00A77AF6" w:rsidRDefault="00B32827" w:rsidP="00C51ED0">
      <w:pPr>
        <w:pStyle w:val="Heading3"/>
        <w:spacing w:before="480"/>
        <w:rPr>
          <w:color w:val="000000" w:themeColor="text1"/>
          <w:szCs w:val="26"/>
        </w:rPr>
      </w:pPr>
      <w:bookmarkStart w:id="161" w:name="_Toc36275126"/>
      <w:r w:rsidRPr="00A77AF6">
        <w:t xml:space="preserve">Comparison </w:t>
      </w:r>
      <w:r w:rsidR="00B81E8D" w:rsidRPr="00A77AF6">
        <w:t xml:space="preserve">of </w:t>
      </w:r>
      <w:r w:rsidR="00EE7D1A" w:rsidRPr="00A77AF6">
        <w:t>p</w:t>
      </w:r>
      <w:r w:rsidRPr="00A77AF6">
        <w:t xml:space="preserve">roject and </w:t>
      </w:r>
      <w:r w:rsidR="00EE7D1A" w:rsidRPr="00A77AF6">
        <w:t>c</w:t>
      </w:r>
      <w:r w:rsidRPr="00A77AF6">
        <w:t xml:space="preserve">orporate </w:t>
      </w:r>
      <w:r w:rsidR="00EE7D1A" w:rsidRPr="00A77AF6">
        <w:t>g</w:t>
      </w:r>
      <w:r w:rsidRPr="00A77AF6">
        <w:t xml:space="preserve">overnance </w:t>
      </w:r>
      <w:r w:rsidR="00D76AB9" w:rsidRPr="00A77AF6">
        <w:t>effectiveness (n=51)</w:t>
      </w:r>
      <w:bookmarkEnd w:id="161"/>
    </w:p>
    <w:p w14:paraId="7B70C377" w14:textId="7E67257E" w:rsidR="004904A5" w:rsidRPr="00A77AF6" w:rsidRDefault="004904A5" w:rsidP="00BB0B76">
      <w:pPr>
        <w:spacing w:before="120" w:line="360" w:lineRule="auto"/>
      </w:pPr>
      <w:r w:rsidRPr="00A77AF6">
        <w:rPr>
          <w:rFonts w:eastAsiaTheme="majorEastAsia" w:cstheme="minorHAnsi"/>
          <w:color w:val="000000" w:themeColor="text1"/>
          <w:szCs w:val="26"/>
        </w:rPr>
        <w:t xml:space="preserve">This section compares the </w:t>
      </w:r>
      <w:r w:rsidR="00522459" w:rsidRPr="00A77AF6">
        <w:rPr>
          <w:rFonts w:eastAsiaTheme="majorEastAsia" w:cstheme="minorHAnsi"/>
          <w:color w:val="000000" w:themeColor="text1"/>
          <w:szCs w:val="26"/>
        </w:rPr>
        <w:t xml:space="preserve">perception of the </w:t>
      </w:r>
      <w:r w:rsidRPr="00A77AF6">
        <w:rPr>
          <w:rFonts w:eastAsiaTheme="majorEastAsia" w:cstheme="minorHAnsi"/>
          <w:color w:val="000000" w:themeColor="text1"/>
          <w:szCs w:val="26"/>
        </w:rPr>
        <w:t xml:space="preserve">performance of project and corporate governance </w:t>
      </w:r>
      <w:r w:rsidR="00EB071A" w:rsidRPr="00A77AF6">
        <w:rPr>
          <w:rFonts w:eastAsiaTheme="majorEastAsia" w:cstheme="minorHAnsi"/>
          <w:color w:val="000000" w:themeColor="text1"/>
          <w:szCs w:val="26"/>
        </w:rPr>
        <w:t>and shows that there is a clear difference in their performance.</w:t>
      </w:r>
      <w:r w:rsidR="00EB071A" w:rsidRPr="00A77AF6">
        <w:rPr>
          <w:rFonts w:asciiTheme="majorHAnsi" w:eastAsiaTheme="majorEastAsia" w:hAnsiTheme="majorHAnsi" w:cstheme="majorBidi"/>
          <w:color w:val="000000" w:themeColor="text1"/>
          <w:szCs w:val="26"/>
        </w:rPr>
        <w:t xml:space="preserve"> </w:t>
      </w:r>
      <w:r w:rsidR="00EB071A" w:rsidRPr="00A77AF6">
        <w:rPr>
          <w:rFonts w:eastAsiaTheme="majorEastAsia" w:cstheme="minorHAnsi"/>
          <w:color w:val="000000" w:themeColor="text1"/>
          <w:szCs w:val="26"/>
        </w:rPr>
        <w:t xml:space="preserve">Project </w:t>
      </w:r>
      <w:r w:rsidR="00F7749F" w:rsidRPr="00A77AF6">
        <w:rPr>
          <w:rFonts w:eastAsiaTheme="majorEastAsia" w:cstheme="minorHAnsi"/>
          <w:color w:val="000000" w:themeColor="text1"/>
          <w:szCs w:val="26"/>
        </w:rPr>
        <w:t>governance is</w:t>
      </w:r>
      <w:r w:rsidR="00EB071A" w:rsidRPr="00A77AF6">
        <w:rPr>
          <w:rFonts w:eastAsiaTheme="majorEastAsia" w:cstheme="minorHAnsi"/>
          <w:color w:val="000000" w:themeColor="text1"/>
          <w:szCs w:val="26"/>
        </w:rPr>
        <w:t xml:space="preserve"> </w:t>
      </w:r>
      <w:r w:rsidR="00522459" w:rsidRPr="00A77AF6">
        <w:rPr>
          <w:rFonts w:eastAsiaTheme="majorEastAsia" w:cstheme="minorHAnsi"/>
          <w:color w:val="000000" w:themeColor="text1"/>
          <w:szCs w:val="26"/>
        </w:rPr>
        <w:t>perceived</w:t>
      </w:r>
      <w:r w:rsidR="00EB071A" w:rsidRPr="00A77AF6">
        <w:rPr>
          <w:rFonts w:eastAsiaTheme="majorEastAsia" w:cstheme="minorHAnsi"/>
          <w:color w:val="000000" w:themeColor="text1"/>
          <w:szCs w:val="26"/>
        </w:rPr>
        <w:t xml:space="preserve"> to be more effective, with an 88% effectiveness score compared to corporate governance which has a score of 42% (Table </w:t>
      </w:r>
      <w:r w:rsidR="005F2E02" w:rsidRPr="00A77AF6">
        <w:rPr>
          <w:rFonts w:eastAsiaTheme="majorEastAsia" w:cstheme="minorHAnsi"/>
          <w:color w:val="000000" w:themeColor="text1"/>
          <w:szCs w:val="26"/>
        </w:rPr>
        <w:t>6-21</w:t>
      </w:r>
      <w:r w:rsidR="00F91B86" w:rsidRPr="00A77AF6">
        <w:rPr>
          <w:rFonts w:eastAsiaTheme="majorEastAsia" w:cstheme="minorHAnsi"/>
          <w:color w:val="000000" w:themeColor="text1"/>
          <w:szCs w:val="26"/>
        </w:rPr>
        <w:t>).</w:t>
      </w:r>
      <w:r w:rsidR="00EB071A" w:rsidRPr="00A77AF6">
        <w:rPr>
          <w:rFonts w:eastAsiaTheme="majorEastAsia" w:cstheme="minorHAnsi"/>
          <w:color w:val="000000" w:themeColor="text1"/>
          <w:szCs w:val="26"/>
        </w:rPr>
        <w:t xml:space="preserve">  </w:t>
      </w:r>
      <w:r w:rsidR="00AE3C48" w:rsidRPr="00A77AF6">
        <w:rPr>
          <w:rFonts w:eastAsiaTheme="majorEastAsia" w:cstheme="minorHAnsi"/>
          <w:color w:val="000000" w:themeColor="text1"/>
          <w:szCs w:val="26"/>
        </w:rPr>
        <w:t xml:space="preserve">(Appendix </w:t>
      </w:r>
      <w:r w:rsidR="004B7EB7" w:rsidRPr="00A77AF6">
        <w:rPr>
          <w:rFonts w:eastAsiaTheme="majorEastAsia" w:cstheme="minorHAnsi"/>
          <w:color w:val="000000" w:themeColor="text1"/>
          <w:szCs w:val="26"/>
        </w:rPr>
        <w:t>H</w:t>
      </w:r>
      <w:r w:rsidR="00AE3C48" w:rsidRPr="00A77AF6">
        <w:rPr>
          <w:rFonts w:eastAsiaTheme="majorEastAsia" w:cstheme="minorHAnsi"/>
          <w:color w:val="000000" w:themeColor="text1"/>
          <w:szCs w:val="26"/>
        </w:rPr>
        <w:t xml:space="preserve"> for </w:t>
      </w:r>
      <w:r w:rsidR="004B7EB7" w:rsidRPr="00A77AF6">
        <w:rPr>
          <w:rFonts w:eastAsiaTheme="majorEastAsia" w:cstheme="minorHAnsi"/>
          <w:color w:val="000000" w:themeColor="text1"/>
          <w:szCs w:val="26"/>
        </w:rPr>
        <w:t>project</w:t>
      </w:r>
      <w:r w:rsidR="009C5621">
        <w:rPr>
          <w:rFonts w:eastAsiaTheme="majorEastAsia" w:cstheme="minorHAnsi"/>
          <w:color w:val="000000" w:themeColor="text1"/>
          <w:szCs w:val="26"/>
        </w:rPr>
        <w:t xml:space="preserve"> success, project governance, </w:t>
      </w:r>
      <w:r w:rsidR="004B7EB7" w:rsidRPr="00A77AF6">
        <w:rPr>
          <w:rFonts w:eastAsiaTheme="majorEastAsia" w:cstheme="minorHAnsi"/>
          <w:color w:val="000000" w:themeColor="text1"/>
          <w:szCs w:val="26"/>
        </w:rPr>
        <w:t>corporate governance</w:t>
      </w:r>
      <w:r w:rsidR="009C5621">
        <w:rPr>
          <w:rFonts w:eastAsiaTheme="majorEastAsia" w:cstheme="minorHAnsi"/>
          <w:color w:val="000000" w:themeColor="text1"/>
          <w:szCs w:val="26"/>
        </w:rPr>
        <w:t xml:space="preserve">, RPA and CSF </w:t>
      </w:r>
      <w:r w:rsidR="004B7EB7" w:rsidRPr="00A77AF6">
        <w:rPr>
          <w:rFonts w:eastAsiaTheme="majorEastAsia" w:cstheme="minorHAnsi"/>
          <w:color w:val="000000" w:themeColor="text1"/>
          <w:szCs w:val="26"/>
        </w:rPr>
        <w:t>scores)</w:t>
      </w:r>
      <w:r w:rsidR="00445467" w:rsidRPr="00A77AF6">
        <w:rPr>
          <w:color w:val="000000" w:themeColor="text1"/>
        </w:rPr>
        <w:t>.</w:t>
      </w:r>
    </w:p>
    <w:p w14:paraId="727AD9AE" w14:textId="3D2613D9" w:rsidR="00EB071A" w:rsidRPr="00A77AF6" w:rsidRDefault="00EB071A" w:rsidP="0007452B">
      <w:pPr>
        <w:pStyle w:val="Caption"/>
        <w:keepNext/>
        <w:spacing w:after="120"/>
      </w:pPr>
      <w:r w:rsidRPr="00A77AF6">
        <w:t xml:space="preserve">Table </w:t>
      </w:r>
      <w:fldSimple w:instr=" STYLEREF 1 \s ">
        <w:r w:rsidR="000441F7">
          <w:rPr>
            <w:noProof/>
          </w:rPr>
          <w:t>6</w:t>
        </w:r>
      </w:fldSimple>
      <w:r w:rsidR="00804112">
        <w:noBreakHyphen/>
      </w:r>
      <w:fldSimple w:instr=" SEQ Table \* ARABIC \s 1 ">
        <w:r w:rsidR="000441F7">
          <w:rPr>
            <w:noProof/>
          </w:rPr>
          <w:t>21</w:t>
        </w:r>
      </w:fldSimple>
      <w:r w:rsidRPr="00A77AF6">
        <w:t>: Comparison of project and corporate governance performance</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260"/>
        <w:gridCol w:w="2551"/>
      </w:tblGrid>
      <w:tr w:rsidR="00750D7B" w:rsidRPr="00A77AF6" w14:paraId="071EB97D" w14:textId="613E4B52" w:rsidTr="00750D7B">
        <w:trPr>
          <w:trHeight w:val="300"/>
        </w:trPr>
        <w:tc>
          <w:tcPr>
            <w:tcW w:w="2122" w:type="dxa"/>
            <w:shd w:val="clear" w:color="auto" w:fill="D9D9D9" w:themeFill="background1" w:themeFillShade="D9"/>
            <w:noWrap/>
            <w:vAlign w:val="bottom"/>
          </w:tcPr>
          <w:p w14:paraId="55B119C8" w14:textId="77777777" w:rsidR="00750D7B" w:rsidRPr="00A77AF6" w:rsidRDefault="00750D7B" w:rsidP="00750D7B">
            <w:pPr>
              <w:spacing w:after="0" w:line="240" w:lineRule="auto"/>
              <w:rPr>
                <w:rFonts w:ascii="Calibri" w:eastAsia="Times New Roman" w:hAnsi="Calibri" w:cs="Calibri"/>
                <w:color w:val="000000"/>
                <w:lang w:eastAsia="en-GB"/>
              </w:rPr>
            </w:pPr>
          </w:p>
        </w:tc>
        <w:tc>
          <w:tcPr>
            <w:tcW w:w="3260" w:type="dxa"/>
            <w:shd w:val="clear" w:color="auto" w:fill="D9D9D9" w:themeFill="background1" w:themeFillShade="D9"/>
            <w:vAlign w:val="bottom"/>
          </w:tcPr>
          <w:p w14:paraId="0637009A" w14:textId="77777777" w:rsidR="00750D7B" w:rsidRPr="00A77AF6" w:rsidRDefault="00750D7B" w:rsidP="00750D7B">
            <w:pPr>
              <w:rPr>
                <w:rFonts w:ascii="Times New Roman" w:eastAsia="Times New Roman" w:hAnsi="Times New Roman" w:cs="Times New Roman"/>
                <w:sz w:val="20"/>
                <w:szCs w:val="20"/>
                <w:lang w:eastAsia="en-GB"/>
              </w:rPr>
            </w:pPr>
            <w:r w:rsidRPr="00A77AF6">
              <w:rPr>
                <w:rFonts w:ascii="Calibri" w:hAnsi="Calibri" w:cs="Calibri"/>
                <w:color w:val="000000"/>
              </w:rPr>
              <w:t>project governance effectiveness score (%)</w:t>
            </w:r>
          </w:p>
        </w:tc>
        <w:tc>
          <w:tcPr>
            <w:tcW w:w="2551" w:type="dxa"/>
            <w:shd w:val="clear" w:color="auto" w:fill="D9D9D9" w:themeFill="background1" w:themeFillShade="D9"/>
            <w:vAlign w:val="bottom"/>
          </w:tcPr>
          <w:p w14:paraId="2DDC7D87" w14:textId="34975B88" w:rsidR="00750D7B" w:rsidRPr="00A77AF6" w:rsidRDefault="00750D7B" w:rsidP="00750D7B">
            <w:pPr>
              <w:rPr>
                <w:rFonts w:ascii="Calibri" w:hAnsi="Calibri" w:cs="Calibri"/>
                <w:color w:val="000000"/>
              </w:rPr>
            </w:pPr>
            <w:r w:rsidRPr="00A77AF6">
              <w:rPr>
                <w:rFonts w:ascii="Calibri" w:hAnsi="Calibri" w:cs="Calibri"/>
                <w:color w:val="000000"/>
              </w:rPr>
              <w:t>Corporate governance effectiveness score (%)</w:t>
            </w:r>
          </w:p>
        </w:tc>
      </w:tr>
      <w:tr w:rsidR="00750D7B" w:rsidRPr="00A77AF6" w14:paraId="0E253B00" w14:textId="7EC87DBB" w:rsidTr="00750D7B">
        <w:trPr>
          <w:trHeight w:val="300"/>
        </w:trPr>
        <w:tc>
          <w:tcPr>
            <w:tcW w:w="2122" w:type="dxa"/>
            <w:shd w:val="clear" w:color="auto" w:fill="auto"/>
            <w:noWrap/>
            <w:vAlign w:val="bottom"/>
          </w:tcPr>
          <w:p w14:paraId="40BEA3F6" w14:textId="2C135212" w:rsidR="00750D7B" w:rsidRPr="00A77AF6" w:rsidRDefault="00AA2A5A" w:rsidP="00750D7B">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E</w:t>
            </w:r>
            <w:r w:rsidR="00750D7B" w:rsidRPr="00A77AF6">
              <w:rPr>
                <w:rFonts w:ascii="Calibri" w:eastAsia="Times New Roman" w:hAnsi="Calibri" w:cs="Calibri"/>
                <w:color w:val="000000"/>
                <w:lang w:eastAsia="en-GB"/>
              </w:rPr>
              <w:t>ffective</w:t>
            </w:r>
          </w:p>
        </w:tc>
        <w:tc>
          <w:tcPr>
            <w:tcW w:w="3260" w:type="dxa"/>
            <w:vAlign w:val="bottom"/>
          </w:tcPr>
          <w:p w14:paraId="6CA4ED01" w14:textId="77777777" w:rsidR="00750D7B" w:rsidRPr="00A77AF6" w:rsidRDefault="00750D7B" w:rsidP="00750D7B">
            <w:pPr>
              <w:rPr>
                <w:rFonts w:ascii="Times New Roman" w:eastAsia="Times New Roman" w:hAnsi="Times New Roman" w:cs="Times New Roman"/>
                <w:sz w:val="20"/>
                <w:szCs w:val="20"/>
                <w:lang w:eastAsia="en-GB"/>
              </w:rPr>
            </w:pPr>
            <w:r w:rsidRPr="00A77AF6">
              <w:rPr>
                <w:rFonts w:ascii="Calibri" w:hAnsi="Calibri" w:cs="Calibri"/>
                <w:color w:val="000000"/>
              </w:rPr>
              <w:t>289 (81%)</w:t>
            </w:r>
          </w:p>
        </w:tc>
        <w:tc>
          <w:tcPr>
            <w:tcW w:w="2551" w:type="dxa"/>
            <w:vAlign w:val="bottom"/>
          </w:tcPr>
          <w:p w14:paraId="6C8C5908" w14:textId="2D9F3FC2" w:rsidR="00750D7B" w:rsidRPr="00A77AF6" w:rsidRDefault="00750D7B" w:rsidP="00750D7B">
            <w:pPr>
              <w:rPr>
                <w:rFonts w:ascii="Calibri" w:hAnsi="Calibri" w:cs="Calibri"/>
                <w:color w:val="000000"/>
              </w:rPr>
            </w:pPr>
            <w:r w:rsidRPr="00A77AF6">
              <w:rPr>
                <w:rFonts w:ascii="Calibri" w:hAnsi="Calibri" w:cs="Calibri"/>
                <w:color w:val="000000"/>
              </w:rPr>
              <w:t>171 (42%)</w:t>
            </w:r>
          </w:p>
        </w:tc>
      </w:tr>
      <w:tr w:rsidR="00750D7B" w:rsidRPr="00A77AF6" w14:paraId="7A7178D7" w14:textId="5F406989" w:rsidTr="00750D7B">
        <w:trPr>
          <w:trHeight w:val="300"/>
        </w:trPr>
        <w:tc>
          <w:tcPr>
            <w:tcW w:w="2122" w:type="dxa"/>
            <w:shd w:val="clear" w:color="auto" w:fill="auto"/>
            <w:noWrap/>
            <w:vAlign w:val="bottom"/>
          </w:tcPr>
          <w:p w14:paraId="45551763" w14:textId="478163FA" w:rsidR="00750D7B" w:rsidRPr="00A77AF6" w:rsidRDefault="00AA2A5A" w:rsidP="00750D7B">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N</w:t>
            </w:r>
            <w:r w:rsidR="00750D7B" w:rsidRPr="00A77AF6">
              <w:rPr>
                <w:rFonts w:ascii="Calibri" w:eastAsia="Times New Roman" w:hAnsi="Calibri" w:cs="Calibri"/>
                <w:color w:val="000000"/>
                <w:lang w:eastAsia="en-GB"/>
              </w:rPr>
              <w:t>ot effective</w:t>
            </w:r>
          </w:p>
        </w:tc>
        <w:tc>
          <w:tcPr>
            <w:tcW w:w="3260" w:type="dxa"/>
            <w:vAlign w:val="bottom"/>
          </w:tcPr>
          <w:p w14:paraId="6C6F0721" w14:textId="77777777" w:rsidR="00750D7B" w:rsidRPr="00A77AF6" w:rsidRDefault="00750D7B" w:rsidP="00750D7B">
            <w:pPr>
              <w:rPr>
                <w:rFonts w:ascii="Times New Roman" w:eastAsia="Times New Roman" w:hAnsi="Times New Roman" w:cs="Times New Roman"/>
                <w:sz w:val="20"/>
                <w:szCs w:val="20"/>
                <w:lang w:eastAsia="en-GB"/>
              </w:rPr>
            </w:pPr>
            <w:r w:rsidRPr="00A77AF6">
              <w:rPr>
                <w:rFonts w:ascii="Calibri" w:hAnsi="Calibri" w:cs="Calibri"/>
                <w:color w:val="000000"/>
              </w:rPr>
              <w:t>55 (15%)</w:t>
            </w:r>
          </w:p>
        </w:tc>
        <w:tc>
          <w:tcPr>
            <w:tcW w:w="2551" w:type="dxa"/>
            <w:vAlign w:val="bottom"/>
          </w:tcPr>
          <w:p w14:paraId="451DA0AF" w14:textId="515DB6AA" w:rsidR="00750D7B" w:rsidRPr="00A77AF6" w:rsidRDefault="00750D7B" w:rsidP="00750D7B">
            <w:pPr>
              <w:rPr>
                <w:rFonts w:ascii="Calibri" w:hAnsi="Calibri" w:cs="Calibri"/>
                <w:color w:val="000000"/>
              </w:rPr>
            </w:pPr>
            <w:r w:rsidRPr="00A77AF6">
              <w:rPr>
                <w:rFonts w:ascii="Calibri" w:hAnsi="Calibri" w:cs="Calibri"/>
                <w:color w:val="000000"/>
              </w:rPr>
              <w:t>168 (41%)</w:t>
            </w:r>
          </w:p>
        </w:tc>
      </w:tr>
      <w:tr w:rsidR="00750D7B" w:rsidRPr="00A77AF6" w14:paraId="0E9513A3" w14:textId="1CAA3357" w:rsidTr="00750D7B">
        <w:trPr>
          <w:trHeight w:val="300"/>
        </w:trPr>
        <w:tc>
          <w:tcPr>
            <w:tcW w:w="2122" w:type="dxa"/>
            <w:tcBorders>
              <w:bottom w:val="single" w:sz="4" w:space="0" w:color="auto"/>
            </w:tcBorders>
            <w:shd w:val="clear" w:color="auto" w:fill="auto"/>
            <w:noWrap/>
            <w:vAlign w:val="bottom"/>
          </w:tcPr>
          <w:p w14:paraId="6E35DA0C" w14:textId="7A9C3FD7" w:rsidR="00750D7B" w:rsidRPr="00A77AF6" w:rsidRDefault="00AA2A5A" w:rsidP="00750D7B">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D</w:t>
            </w:r>
            <w:r w:rsidR="00750D7B" w:rsidRPr="00A77AF6">
              <w:rPr>
                <w:rFonts w:ascii="Calibri" w:eastAsia="Times New Roman" w:hAnsi="Calibri" w:cs="Calibri"/>
                <w:color w:val="000000"/>
                <w:lang w:eastAsia="en-GB"/>
              </w:rPr>
              <w:t>on</w:t>
            </w:r>
            <w:r w:rsidR="00927E1D" w:rsidRPr="00A77AF6">
              <w:rPr>
                <w:rFonts w:ascii="Calibri" w:eastAsia="Times New Roman" w:hAnsi="Calibri" w:cs="Calibri"/>
                <w:color w:val="000000"/>
                <w:lang w:eastAsia="en-GB"/>
              </w:rPr>
              <w:t>’</w:t>
            </w:r>
            <w:r w:rsidR="00750D7B" w:rsidRPr="00A77AF6">
              <w:rPr>
                <w:rFonts w:ascii="Calibri" w:eastAsia="Times New Roman" w:hAnsi="Calibri" w:cs="Calibri"/>
                <w:color w:val="000000"/>
                <w:lang w:eastAsia="en-GB"/>
              </w:rPr>
              <w:t>t know</w:t>
            </w:r>
          </w:p>
        </w:tc>
        <w:tc>
          <w:tcPr>
            <w:tcW w:w="3260" w:type="dxa"/>
            <w:vAlign w:val="bottom"/>
          </w:tcPr>
          <w:p w14:paraId="22FAE7A3" w14:textId="77777777" w:rsidR="00750D7B" w:rsidRPr="00A77AF6" w:rsidRDefault="00750D7B" w:rsidP="00750D7B">
            <w:pPr>
              <w:rPr>
                <w:rFonts w:ascii="Calibri" w:hAnsi="Calibri" w:cs="Calibri"/>
                <w:color w:val="000000"/>
              </w:rPr>
            </w:pPr>
            <w:r w:rsidRPr="00A77AF6">
              <w:rPr>
                <w:rFonts w:ascii="Calibri" w:hAnsi="Calibri" w:cs="Calibri"/>
                <w:color w:val="000000"/>
              </w:rPr>
              <w:t>13 (4%)</w:t>
            </w:r>
          </w:p>
        </w:tc>
        <w:tc>
          <w:tcPr>
            <w:tcW w:w="2551" w:type="dxa"/>
            <w:vAlign w:val="bottom"/>
          </w:tcPr>
          <w:p w14:paraId="48805B4F" w14:textId="133572A6" w:rsidR="00750D7B" w:rsidRPr="00A77AF6" w:rsidRDefault="00750D7B" w:rsidP="00750D7B">
            <w:pPr>
              <w:rPr>
                <w:rFonts w:ascii="Calibri" w:hAnsi="Calibri" w:cs="Calibri"/>
                <w:color w:val="000000"/>
              </w:rPr>
            </w:pPr>
            <w:r w:rsidRPr="00A77AF6">
              <w:rPr>
                <w:rFonts w:ascii="Calibri" w:hAnsi="Calibri" w:cs="Calibri"/>
                <w:color w:val="000000"/>
              </w:rPr>
              <w:t>69 (17%)</w:t>
            </w:r>
          </w:p>
        </w:tc>
      </w:tr>
      <w:tr w:rsidR="00750D7B" w:rsidRPr="00A77AF6" w14:paraId="5CB4F38D" w14:textId="7F3BC335" w:rsidTr="00750D7B">
        <w:trPr>
          <w:trHeight w:val="300"/>
        </w:trPr>
        <w:tc>
          <w:tcPr>
            <w:tcW w:w="2122" w:type="dxa"/>
            <w:tcBorders>
              <w:left w:val="nil"/>
              <w:bottom w:val="nil"/>
            </w:tcBorders>
            <w:shd w:val="clear" w:color="auto" w:fill="auto"/>
            <w:noWrap/>
            <w:vAlign w:val="bottom"/>
          </w:tcPr>
          <w:p w14:paraId="081F0945" w14:textId="77777777" w:rsidR="00750D7B" w:rsidRPr="00A77AF6" w:rsidRDefault="00750D7B" w:rsidP="00750D7B">
            <w:pPr>
              <w:spacing w:after="0" w:line="240" w:lineRule="auto"/>
              <w:rPr>
                <w:rFonts w:ascii="Calibri" w:eastAsia="Times New Roman" w:hAnsi="Calibri" w:cs="Calibri"/>
                <w:color w:val="000000"/>
                <w:lang w:eastAsia="en-GB"/>
              </w:rPr>
            </w:pPr>
            <w:r w:rsidRPr="00A77AF6">
              <w:rPr>
                <w:rFonts w:ascii="Calibri" w:eastAsia="Times New Roman" w:hAnsi="Calibri" w:cs="Calibri"/>
                <w:color w:val="000000"/>
                <w:lang w:eastAsia="en-GB"/>
              </w:rPr>
              <w:t xml:space="preserve">Total </w:t>
            </w:r>
          </w:p>
        </w:tc>
        <w:tc>
          <w:tcPr>
            <w:tcW w:w="3260" w:type="dxa"/>
            <w:vAlign w:val="bottom"/>
          </w:tcPr>
          <w:p w14:paraId="29B34042" w14:textId="77777777" w:rsidR="00750D7B" w:rsidRPr="00A77AF6" w:rsidRDefault="00750D7B" w:rsidP="00750D7B">
            <w:pPr>
              <w:rPr>
                <w:rFonts w:ascii="Calibri" w:hAnsi="Calibri" w:cs="Calibri"/>
                <w:color w:val="000000"/>
              </w:rPr>
            </w:pPr>
            <w:r w:rsidRPr="00A77AF6">
              <w:rPr>
                <w:rFonts w:ascii="Calibri" w:hAnsi="Calibri" w:cs="Calibri"/>
                <w:color w:val="000000"/>
              </w:rPr>
              <w:t>357 (100%)</w:t>
            </w:r>
          </w:p>
        </w:tc>
        <w:tc>
          <w:tcPr>
            <w:tcW w:w="2551" w:type="dxa"/>
            <w:vAlign w:val="bottom"/>
          </w:tcPr>
          <w:p w14:paraId="32BCBC78" w14:textId="047C0A73" w:rsidR="00750D7B" w:rsidRPr="00A77AF6" w:rsidRDefault="00750D7B" w:rsidP="00750D7B">
            <w:pPr>
              <w:rPr>
                <w:rFonts w:ascii="Calibri" w:hAnsi="Calibri" w:cs="Calibri"/>
                <w:color w:val="000000"/>
              </w:rPr>
            </w:pPr>
            <w:r w:rsidRPr="00A77AF6">
              <w:rPr>
                <w:rFonts w:ascii="Calibri" w:hAnsi="Calibri" w:cs="Calibri"/>
                <w:color w:val="000000"/>
              </w:rPr>
              <w:t>408 (100%)</w:t>
            </w:r>
          </w:p>
        </w:tc>
      </w:tr>
    </w:tbl>
    <w:p w14:paraId="16CF04A7" w14:textId="1EF22874" w:rsidR="004904A5" w:rsidRPr="00A77AF6" w:rsidRDefault="004904A5">
      <w:pPr>
        <w:rPr>
          <w:rFonts w:asciiTheme="majorHAnsi" w:eastAsiaTheme="majorEastAsia" w:hAnsiTheme="majorHAnsi" w:cstheme="majorBidi"/>
          <w:color w:val="000000" w:themeColor="text1"/>
          <w:szCs w:val="26"/>
        </w:rPr>
      </w:pPr>
    </w:p>
    <w:p w14:paraId="34791462" w14:textId="730CAB04" w:rsidR="00E03FD3" w:rsidRPr="00A77AF6" w:rsidRDefault="00750D7B" w:rsidP="00BB0B76">
      <w:pPr>
        <w:spacing w:line="360" w:lineRule="auto"/>
      </w:pPr>
      <w:r w:rsidRPr="00A77AF6">
        <w:rPr>
          <w:rFonts w:eastAsiaTheme="majorEastAsia" w:cstheme="minorHAnsi"/>
          <w:color w:val="000000" w:themeColor="text1"/>
          <w:szCs w:val="26"/>
        </w:rPr>
        <w:t xml:space="preserve">Corporate governance </w:t>
      </w:r>
      <w:r w:rsidR="00BB0B76" w:rsidRPr="00A77AF6">
        <w:rPr>
          <w:rFonts w:eastAsiaTheme="majorEastAsia" w:cstheme="minorHAnsi"/>
          <w:color w:val="000000" w:themeColor="text1"/>
          <w:szCs w:val="26"/>
        </w:rPr>
        <w:t>was</w:t>
      </w:r>
      <w:r w:rsidRPr="00A77AF6">
        <w:rPr>
          <w:rFonts w:eastAsiaTheme="majorEastAsia" w:cstheme="minorHAnsi"/>
          <w:color w:val="000000" w:themeColor="text1"/>
          <w:szCs w:val="26"/>
        </w:rPr>
        <w:t xml:space="preserve"> </w:t>
      </w:r>
      <w:r w:rsidR="00BB0B76" w:rsidRPr="00A77AF6">
        <w:rPr>
          <w:rFonts w:eastAsiaTheme="majorEastAsia" w:cstheme="minorHAnsi"/>
          <w:color w:val="000000" w:themeColor="text1"/>
          <w:szCs w:val="26"/>
        </w:rPr>
        <w:t>considered</w:t>
      </w:r>
      <w:r w:rsidRPr="00A77AF6">
        <w:rPr>
          <w:rFonts w:eastAsiaTheme="majorEastAsia" w:cstheme="minorHAnsi"/>
          <w:color w:val="000000" w:themeColor="text1"/>
          <w:szCs w:val="26"/>
        </w:rPr>
        <w:t xml:space="preserve"> almost equally effective as ineffective</w:t>
      </w:r>
      <w:r w:rsidR="00BB0B76" w:rsidRPr="00A77AF6">
        <w:rPr>
          <w:rFonts w:eastAsiaTheme="majorEastAsia" w:cstheme="minorHAnsi"/>
          <w:color w:val="000000" w:themeColor="text1"/>
          <w:szCs w:val="26"/>
        </w:rPr>
        <w:t>. F</w:t>
      </w:r>
      <w:r w:rsidR="00E12087" w:rsidRPr="00A77AF6">
        <w:rPr>
          <w:rFonts w:eastAsiaTheme="majorEastAsia" w:cstheme="minorHAnsi"/>
          <w:color w:val="000000" w:themeColor="text1"/>
          <w:szCs w:val="26"/>
        </w:rPr>
        <w:t>orty-two</w:t>
      </w:r>
      <w:r w:rsidR="00E03FD3" w:rsidRPr="00A77AF6">
        <w:rPr>
          <w:rFonts w:eastAsiaTheme="majorEastAsia" w:cstheme="minorHAnsi"/>
          <w:color w:val="000000" w:themeColor="text1"/>
          <w:szCs w:val="26"/>
        </w:rPr>
        <w:t xml:space="preserve"> </w:t>
      </w:r>
      <w:r w:rsidR="00E12087" w:rsidRPr="00A77AF6">
        <w:rPr>
          <w:rFonts w:eastAsiaTheme="majorEastAsia" w:cstheme="minorHAnsi"/>
          <w:color w:val="000000" w:themeColor="text1"/>
          <w:szCs w:val="26"/>
        </w:rPr>
        <w:t xml:space="preserve">per cent </w:t>
      </w:r>
      <w:r w:rsidR="00E03FD3" w:rsidRPr="00A77AF6">
        <w:rPr>
          <w:rFonts w:eastAsiaTheme="majorEastAsia" w:cstheme="minorHAnsi"/>
          <w:color w:val="000000" w:themeColor="text1"/>
          <w:szCs w:val="26"/>
        </w:rPr>
        <w:t>of respondents perceiv</w:t>
      </w:r>
      <w:r w:rsidR="00BB0B76" w:rsidRPr="00A77AF6">
        <w:rPr>
          <w:rFonts w:eastAsiaTheme="majorEastAsia" w:cstheme="minorHAnsi"/>
          <w:color w:val="000000" w:themeColor="text1"/>
          <w:szCs w:val="26"/>
        </w:rPr>
        <w:t>ed</w:t>
      </w:r>
      <w:r w:rsidR="00E03FD3" w:rsidRPr="00A77AF6">
        <w:rPr>
          <w:rFonts w:eastAsiaTheme="majorEastAsia" w:cstheme="minorHAnsi"/>
          <w:color w:val="000000" w:themeColor="text1"/>
          <w:szCs w:val="26"/>
        </w:rPr>
        <w:t xml:space="preserve"> </w:t>
      </w:r>
      <w:r w:rsidR="00E03FD3" w:rsidRPr="00A77AF6">
        <w:t>corporate governance to be effective and 41%</w:t>
      </w:r>
      <w:r w:rsidR="00E12087" w:rsidRPr="00A77AF6">
        <w:t xml:space="preserve"> </w:t>
      </w:r>
      <w:r w:rsidR="00E03FD3" w:rsidRPr="00A77AF6">
        <w:t>perceiv</w:t>
      </w:r>
      <w:r w:rsidR="005F2E02" w:rsidRPr="00A77AF6">
        <w:t xml:space="preserve">ed </w:t>
      </w:r>
      <w:r w:rsidR="00E03FD3" w:rsidRPr="00A77AF6">
        <w:t xml:space="preserve">it as ineffective.  The remaining 17% </w:t>
      </w:r>
      <w:r w:rsidR="00E12087" w:rsidRPr="00A77AF6">
        <w:rPr>
          <w:rFonts w:eastAsiaTheme="majorEastAsia" w:cstheme="minorHAnsi"/>
          <w:color w:val="000000" w:themeColor="text1"/>
          <w:szCs w:val="26"/>
        </w:rPr>
        <w:t xml:space="preserve">per cent </w:t>
      </w:r>
      <w:r w:rsidR="00E03FD3" w:rsidRPr="00A77AF6">
        <w:t xml:space="preserve">were not sure.  These headline figures disguise some </w:t>
      </w:r>
      <w:r w:rsidR="00AE3C48" w:rsidRPr="00A77AF6">
        <w:t xml:space="preserve">specific differences </w:t>
      </w:r>
      <w:r w:rsidR="00132E05">
        <w:t>because</w:t>
      </w:r>
      <w:r w:rsidR="00E03FD3" w:rsidRPr="00A77AF6">
        <w:t xml:space="preserve"> some </w:t>
      </w:r>
      <w:r w:rsidR="00BB0B76" w:rsidRPr="00A77AF6">
        <w:t>elements</w:t>
      </w:r>
      <w:r w:rsidR="00E03FD3" w:rsidRPr="00A77AF6">
        <w:t xml:space="preserve"> of corporate governance were perceived to be more effective than others. For </w:t>
      </w:r>
      <w:r w:rsidR="00F7749F" w:rsidRPr="00A77AF6">
        <w:t>example, executive</w:t>
      </w:r>
      <w:r w:rsidR="00E03FD3" w:rsidRPr="00A77AF6">
        <w:t xml:space="preserve"> directors were effective in 33</w:t>
      </w:r>
      <w:r w:rsidR="005656E3" w:rsidRPr="00A77AF6">
        <w:t xml:space="preserve"> (</w:t>
      </w:r>
      <w:r w:rsidR="00E03FD3" w:rsidRPr="00A77AF6">
        <w:t xml:space="preserve">65%) of projects and the </w:t>
      </w:r>
      <w:r w:rsidR="008B0E67" w:rsidRPr="00A77AF6">
        <w:t>chief executive</w:t>
      </w:r>
      <w:r w:rsidR="00E03FD3" w:rsidRPr="00A77AF6">
        <w:t xml:space="preserve"> was effective in</w:t>
      </w:r>
      <w:r w:rsidR="00E12087" w:rsidRPr="00A77AF6">
        <w:t xml:space="preserve"> </w:t>
      </w:r>
      <w:r w:rsidR="00E03FD3" w:rsidRPr="00A77AF6">
        <w:t>29</w:t>
      </w:r>
      <w:r w:rsidR="005656E3" w:rsidRPr="00A77AF6">
        <w:t xml:space="preserve"> (</w:t>
      </w:r>
      <w:r w:rsidR="00E03FD3" w:rsidRPr="00A77AF6">
        <w:t>57%)</w:t>
      </w:r>
      <w:r w:rsidR="005656E3" w:rsidRPr="00A77AF6">
        <w:t xml:space="preserve">. </w:t>
      </w:r>
      <w:r w:rsidR="00E03FD3" w:rsidRPr="00A77AF6">
        <w:t xml:space="preserve"> The</w:t>
      </w:r>
      <w:r w:rsidR="00BB0B76" w:rsidRPr="00A77AF6">
        <w:t xml:space="preserve"> </w:t>
      </w:r>
      <w:r w:rsidR="00E03FD3" w:rsidRPr="00A77AF6">
        <w:t xml:space="preserve">favourable ratings could be explained by the fact that </w:t>
      </w:r>
      <w:r w:rsidR="00F7749F" w:rsidRPr="00A77AF6">
        <w:t>26</w:t>
      </w:r>
      <w:r w:rsidR="005656E3" w:rsidRPr="00A77AF6">
        <w:t xml:space="preserve"> (</w:t>
      </w:r>
      <w:r w:rsidR="00F7749F" w:rsidRPr="00A77AF6">
        <w:t>51</w:t>
      </w:r>
      <w:r w:rsidR="00E03FD3" w:rsidRPr="00A77AF6">
        <w:t xml:space="preserve">%) projects had a ‘sponsor’ from the corporate governance layer of the </w:t>
      </w:r>
      <w:r w:rsidR="005656E3" w:rsidRPr="00A77AF6">
        <w:t>t</w:t>
      </w:r>
      <w:r w:rsidR="00E03FD3" w:rsidRPr="00A77AF6">
        <w:t xml:space="preserve">rust so visibility and direct experience </w:t>
      </w:r>
      <w:r w:rsidR="00F7749F" w:rsidRPr="00A77AF6">
        <w:t>of the</w:t>
      </w:r>
      <w:r w:rsidR="00E03FD3" w:rsidRPr="00A77AF6">
        <w:t xml:space="preserve"> corporate governance l</w:t>
      </w:r>
      <w:r w:rsidR="00E12087" w:rsidRPr="00A77AF6">
        <w:t>evel</w:t>
      </w:r>
      <w:r w:rsidR="00E03FD3" w:rsidRPr="00A77AF6">
        <w:t xml:space="preserve"> may account for more positive </w:t>
      </w:r>
      <w:r w:rsidR="00BB0B76" w:rsidRPr="00A77AF6">
        <w:t>opinions</w:t>
      </w:r>
      <w:r w:rsidR="00E03FD3" w:rsidRPr="00A77AF6">
        <w:t xml:space="preserve">.  The least well-known elements of corporate governance were the </w:t>
      </w:r>
      <w:r w:rsidR="005656E3" w:rsidRPr="00A77AF6">
        <w:t>r</w:t>
      </w:r>
      <w:r w:rsidR="00E03FD3" w:rsidRPr="00A77AF6">
        <w:t xml:space="preserve">emuneration </w:t>
      </w:r>
      <w:r w:rsidR="005656E3" w:rsidRPr="00A77AF6">
        <w:t>c</w:t>
      </w:r>
      <w:r w:rsidR="00E03FD3" w:rsidRPr="00A77AF6">
        <w:t>ommittee (n=22</w:t>
      </w:r>
      <w:r w:rsidR="00E12087" w:rsidRPr="00A77AF6">
        <w:t>, 43%</w:t>
      </w:r>
      <w:r w:rsidR="00E03FD3" w:rsidRPr="00A77AF6">
        <w:t xml:space="preserve">), the </w:t>
      </w:r>
      <w:r w:rsidR="005656E3" w:rsidRPr="00A77AF6">
        <w:t>a</w:t>
      </w:r>
      <w:r w:rsidR="00E03FD3" w:rsidRPr="00A77AF6">
        <w:t xml:space="preserve">udit </w:t>
      </w:r>
      <w:r w:rsidR="005656E3" w:rsidRPr="00A77AF6">
        <w:t>c</w:t>
      </w:r>
      <w:r w:rsidR="00E03FD3" w:rsidRPr="00A77AF6">
        <w:t>ommittee (n=13</w:t>
      </w:r>
      <w:r w:rsidR="00E12087" w:rsidRPr="00A77AF6">
        <w:t>, 26%</w:t>
      </w:r>
      <w:r w:rsidR="00E03FD3" w:rsidRPr="00A77AF6">
        <w:t xml:space="preserve">) and the </w:t>
      </w:r>
      <w:r w:rsidR="005656E3" w:rsidRPr="00A77AF6">
        <w:t>r</w:t>
      </w:r>
      <w:r w:rsidR="00E03FD3" w:rsidRPr="00A77AF6">
        <w:t xml:space="preserve">isk </w:t>
      </w:r>
      <w:r w:rsidR="005656E3" w:rsidRPr="00A77AF6">
        <w:t>c</w:t>
      </w:r>
      <w:r w:rsidR="00E03FD3" w:rsidRPr="00A77AF6">
        <w:t>ommittee (n=12</w:t>
      </w:r>
      <w:r w:rsidR="00E12087" w:rsidRPr="00A77AF6">
        <w:t>, 24%</w:t>
      </w:r>
      <w:r w:rsidR="00E03FD3" w:rsidRPr="00A77AF6">
        <w:t xml:space="preserve">) and </w:t>
      </w:r>
      <w:r w:rsidR="00E03FD3" w:rsidRPr="00A77AF6">
        <w:lastRenderedPageBreak/>
        <w:t xml:space="preserve">the perception of their lack of effectiveness may come from the fact they these committees were not directly involved with the project and so project teams were less exposed to them. </w:t>
      </w:r>
    </w:p>
    <w:p w14:paraId="3226DFEA" w14:textId="6B03F8BA" w:rsidR="00445467" w:rsidRPr="00A77AF6" w:rsidRDefault="00522A98" w:rsidP="00445467">
      <w:pPr>
        <w:spacing w:before="240" w:line="360" w:lineRule="auto"/>
        <w:rPr>
          <w:color w:val="000000" w:themeColor="text1"/>
        </w:rPr>
      </w:pPr>
      <w:r w:rsidRPr="00A77AF6">
        <w:rPr>
          <w:color w:val="000000" w:themeColor="text1"/>
        </w:rPr>
        <w:t xml:space="preserve">Differences in perception </w:t>
      </w:r>
      <w:r w:rsidR="00E03FD3" w:rsidRPr="00A77AF6">
        <w:rPr>
          <w:color w:val="000000" w:themeColor="text1"/>
        </w:rPr>
        <w:t xml:space="preserve">between project and corporate governance </w:t>
      </w:r>
      <w:r w:rsidRPr="00A77AF6">
        <w:rPr>
          <w:color w:val="000000" w:themeColor="text1"/>
        </w:rPr>
        <w:t xml:space="preserve">do not necessarily mean differences in competence, although they might do, but the difference might also be explained by the distance that project personnel are from corporate governance compared to their closeness to project governance.  </w:t>
      </w:r>
      <w:r w:rsidR="00F7749F" w:rsidRPr="00A77AF6">
        <w:rPr>
          <w:color w:val="000000" w:themeColor="text1"/>
        </w:rPr>
        <w:t>The difference</w:t>
      </w:r>
      <w:r w:rsidRPr="00A77AF6">
        <w:rPr>
          <w:color w:val="000000" w:themeColor="text1"/>
        </w:rPr>
        <w:t xml:space="preserve"> might also be explained by considering the role of the </w:t>
      </w:r>
      <w:r w:rsidR="00445467" w:rsidRPr="00A77AF6">
        <w:rPr>
          <w:color w:val="000000" w:themeColor="text1"/>
        </w:rPr>
        <w:t>p</w:t>
      </w:r>
      <w:r w:rsidRPr="00A77AF6">
        <w:rPr>
          <w:color w:val="000000" w:themeColor="text1"/>
        </w:rPr>
        <w:t xml:space="preserve">roject </w:t>
      </w:r>
      <w:r w:rsidR="00445467" w:rsidRPr="00A77AF6">
        <w:rPr>
          <w:color w:val="000000" w:themeColor="text1"/>
        </w:rPr>
        <w:t>d</w:t>
      </w:r>
      <w:r w:rsidRPr="00A77AF6">
        <w:rPr>
          <w:color w:val="000000" w:themeColor="text1"/>
        </w:rPr>
        <w:t>irectors</w:t>
      </w:r>
      <w:r w:rsidR="00445467" w:rsidRPr="00A77AF6">
        <w:rPr>
          <w:color w:val="000000" w:themeColor="text1"/>
        </w:rPr>
        <w:t>/ managers</w:t>
      </w:r>
      <w:r w:rsidRPr="00A77AF6">
        <w:rPr>
          <w:color w:val="000000" w:themeColor="text1"/>
        </w:rPr>
        <w:t xml:space="preserve"> in reference to </w:t>
      </w:r>
      <w:r w:rsidR="005656E3" w:rsidRPr="00A77AF6">
        <w:rPr>
          <w:color w:val="000000" w:themeColor="text1"/>
        </w:rPr>
        <w:t>a</w:t>
      </w:r>
      <w:r w:rsidRPr="00A77AF6">
        <w:rPr>
          <w:color w:val="000000" w:themeColor="text1"/>
        </w:rPr>
        <w:t xml:space="preserve">gency </w:t>
      </w:r>
      <w:r w:rsidR="005656E3" w:rsidRPr="00A77AF6">
        <w:rPr>
          <w:color w:val="000000" w:themeColor="text1"/>
        </w:rPr>
        <w:t>t</w:t>
      </w:r>
      <w:r w:rsidRPr="00A77AF6">
        <w:rPr>
          <w:color w:val="000000" w:themeColor="text1"/>
        </w:rPr>
        <w:t xml:space="preserve">heory.  If the </w:t>
      </w:r>
      <w:r w:rsidR="00445467" w:rsidRPr="00A77AF6">
        <w:rPr>
          <w:color w:val="000000" w:themeColor="text1"/>
        </w:rPr>
        <w:t>p</w:t>
      </w:r>
      <w:r w:rsidRPr="00A77AF6">
        <w:rPr>
          <w:color w:val="000000" w:themeColor="text1"/>
        </w:rPr>
        <w:t xml:space="preserve">roject </w:t>
      </w:r>
      <w:r w:rsidR="00445467" w:rsidRPr="00A77AF6">
        <w:rPr>
          <w:color w:val="000000" w:themeColor="text1"/>
        </w:rPr>
        <w:t>d</w:t>
      </w:r>
      <w:r w:rsidRPr="00A77AF6">
        <w:rPr>
          <w:color w:val="000000" w:themeColor="text1"/>
        </w:rPr>
        <w:t xml:space="preserve">irector is the agent </w:t>
      </w:r>
      <w:r w:rsidR="00445467" w:rsidRPr="00A77AF6">
        <w:rPr>
          <w:color w:val="000000" w:themeColor="text1"/>
        </w:rPr>
        <w:t xml:space="preserve">between the </w:t>
      </w:r>
      <w:r w:rsidRPr="00A77AF6">
        <w:rPr>
          <w:color w:val="000000" w:themeColor="text1"/>
        </w:rPr>
        <w:t xml:space="preserve">project </w:t>
      </w:r>
      <w:r w:rsidR="00445467" w:rsidRPr="00A77AF6">
        <w:rPr>
          <w:color w:val="000000" w:themeColor="text1"/>
        </w:rPr>
        <w:t>and</w:t>
      </w:r>
      <w:r w:rsidRPr="00A77AF6">
        <w:rPr>
          <w:color w:val="000000" w:themeColor="text1"/>
        </w:rPr>
        <w:t xml:space="preserve"> corporate </w:t>
      </w:r>
      <w:r w:rsidR="00445467" w:rsidRPr="00A77AF6">
        <w:rPr>
          <w:color w:val="000000" w:themeColor="text1"/>
        </w:rPr>
        <w:t xml:space="preserve">layers, they can control the flow of information or even blame the corporate layer when things go </w:t>
      </w:r>
      <w:r w:rsidR="005656E3" w:rsidRPr="00A77AF6">
        <w:rPr>
          <w:color w:val="000000" w:themeColor="text1"/>
        </w:rPr>
        <w:t>wrong,</w:t>
      </w:r>
      <w:r w:rsidR="00445467" w:rsidRPr="00A77AF6">
        <w:rPr>
          <w:color w:val="000000" w:themeColor="text1"/>
        </w:rPr>
        <w:t xml:space="preserve"> and this may account for the differences in perception.  </w:t>
      </w:r>
    </w:p>
    <w:p w14:paraId="01441502" w14:textId="5EDA2DCE" w:rsidR="00927E1D" w:rsidRPr="00A77AF6" w:rsidRDefault="005656E3" w:rsidP="00AA6CEA">
      <w:pPr>
        <w:spacing w:before="240" w:line="360" w:lineRule="auto"/>
        <w:rPr>
          <w:color w:val="000000" w:themeColor="text1"/>
        </w:rPr>
      </w:pPr>
      <w:r w:rsidRPr="00A77AF6">
        <w:t>It</w:t>
      </w:r>
      <w:r w:rsidR="00E03FD3" w:rsidRPr="00A77AF6">
        <w:t xml:space="preserve"> </w:t>
      </w:r>
      <w:r w:rsidR="00AE3C48" w:rsidRPr="00A77AF6">
        <w:t xml:space="preserve">could be argued that </w:t>
      </w:r>
      <w:r w:rsidR="00E03FD3" w:rsidRPr="00A77AF6">
        <w:t xml:space="preserve">the </w:t>
      </w:r>
      <w:r w:rsidRPr="00A77AF6">
        <w:t>r</w:t>
      </w:r>
      <w:r w:rsidR="00E03FD3" w:rsidRPr="00A77AF6">
        <w:t xml:space="preserve">emuneration </w:t>
      </w:r>
      <w:r w:rsidRPr="00A77AF6">
        <w:t>c</w:t>
      </w:r>
      <w:r w:rsidR="00E03FD3" w:rsidRPr="00A77AF6">
        <w:t xml:space="preserve">ommittee’s role was not considered very effective </w:t>
      </w:r>
      <w:r w:rsidR="00AE3C48" w:rsidRPr="00A77AF6">
        <w:t>because</w:t>
      </w:r>
      <w:r w:rsidR="00E03FD3" w:rsidRPr="00A77AF6">
        <w:t xml:space="preserve"> its work may not </w:t>
      </w:r>
      <w:r w:rsidR="00AA2A5A">
        <w:t xml:space="preserve">be very </w:t>
      </w:r>
      <w:r w:rsidR="00E03FD3" w:rsidRPr="00A77AF6">
        <w:t>evident to project personnel</w:t>
      </w:r>
      <w:r w:rsidRPr="00A77AF6">
        <w:t xml:space="preserve">.  Respondents </w:t>
      </w:r>
      <w:r w:rsidR="00E03FD3" w:rsidRPr="00A77AF6">
        <w:t xml:space="preserve">did not appear to rate highly or </w:t>
      </w:r>
      <w:r w:rsidR="00445467" w:rsidRPr="00A77AF6">
        <w:t xml:space="preserve">even </w:t>
      </w:r>
      <w:r w:rsidR="00E03FD3" w:rsidRPr="00A77AF6">
        <w:t>appear to know the role</w:t>
      </w:r>
      <w:r w:rsidR="00445467" w:rsidRPr="00A77AF6">
        <w:t>s of</w:t>
      </w:r>
      <w:r w:rsidR="00E03FD3" w:rsidRPr="00A77AF6">
        <w:t xml:space="preserve"> the </w:t>
      </w:r>
      <w:r w:rsidRPr="00A77AF6">
        <w:t>a</w:t>
      </w:r>
      <w:r w:rsidR="00E03FD3" w:rsidRPr="00A77AF6">
        <w:t xml:space="preserve">udit </w:t>
      </w:r>
      <w:r w:rsidRPr="00A77AF6">
        <w:t>and risk c</w:t>
      </w:r>
      <w:r w:rsidR="00E03FD3" w:rsidRPr="00A77AF6">
        <w:t>ommittee</w:t>
      </w:r>
      <w:r w:rsidRPr="00A77AF6">
        <w:t xml:space="preserve">s </w:t>
      </w:r>
      <w:r w:rsidR="00E03FD3" w:rsidRPr="00A77AF6">
        <w:t xml:space="preserve">in project oversight. Financial and risk management are important functions of the </w:t>
      </w:r>
      <w:r w:rsidRPr="00A77AF6">
        <w:t>b</w:t>
      </w:r>
      <w:r w:rsidR="00E03FD3" w:rsidRPr="00A77AF6">
        <w:t xml:space="preserve">oard as projects consume resources and generate risk, so perhaps more knowledge of these committees or roles might have been expected.  As Chambers (2012) </w:t>
      </w:r>
      <w:r w:rsidR="00F7749F" w:rsidRPr="00A77AF6">
        <w:t>noted, the</w:t>
      </w:r>
      <w:r w:rsidR="00E03FD3" w:rsidRPr="00A77AF6">
        <w:t xml:space="preserve"> role of the </w:t>
      </w:r>
      <w:r w:rsidRPr="00A77AF6">
        <w:t>b</w:t>
      </w:r>
      <w:r w:rsidR="00E03FD3" w:rsidRPr="00A77AF6">
        <w:t xml:space="preserve">oard must include the </w:t>
      </w:r>
      <w:r w:rsidR="00E03FD3" w:rsidRPr="00A77AF6">
        <w:rPr>
          <w:rFonts w:cstheme="minorHAnsi"/>
        </w:rPr>
        <w:t xml:space="preserve">close examination of financial </w:t>
      </w:r>
      <w:r w:rsidR="00F7749F" w:rsidRPr="00A77AF6">
        <w:rPr>
          <w:rFonts w:cstheme="minorHAnsi"/>
        </w:rPr>
        <w:t>statements; oversight</w:t>
      </w:r>
      <w:r w:rsidR="00E03FD3" w:rsidRPr="00A77AF6">
        <w:rPr>
          <w:rFonts w:cstheme="minorHAnsi"/>
        </w:rPr>
        <w:t xml:space="preserve"> of internal control and risk management; oversight of the work of external auditors and oversight of internal audit and these roles may be exercised through </w:t>
      </w:r>
      <w:r w:rsidRPr="00A77AF6">
        <w:rPr>
          <w:rFonts w:cstheme="minorHAnsi"/>
        </w:rPr>
        <w:t>a</w:t>
      </w:r>
      <w:r w:rsidR="00E03FD3" w:rsidRPr="00A77AF6">
        <w:rPr>
          <w:rFonts w:cstheme="minorHAnsi"/>
        </w:rPr>
        <w:t xml:space="preserve">udit </w:t>
      </w:r>
      <w:r w:rsidRPr="00A77AF6">
        <w:rPr>
          <w:rFonts w:cstheme="minorHAnsi"/>
        </w:rPr>
        <w:t>c</w:t>
      </w:r>
      <w:r w:rsidR="00E03FD3" w:rsidRPr="00A77AF6">
        <w:rPr>
          <w:rFonts w:cstheme="minorHAnsi"/>
        </w:rPr>
        <w:t xml:space="preserve">ommittee, the </w:t>
      </w:r>
      <w:r w:rsidRPr="00A77AF6">
        <w:rPr>
          <w:rFonts w:cstheme="minorHAnsi"/>
        </w:rPr>
        <w:t>r</w:t>
      </w:r>
      <w:r w:rsidR="00E03FD3" w:rsidRPr="00A77AF6">
        <w:rPr>
          <w:rFonts w:cstheme="minorHAnsi"/>
        </w:rPr>
        <w:t xml:space="preserve">isk </w:t>
      </w:r>
      <w:r w:rsidRPr="00A77AF6">
        <w:rPr>
          <w:rFonts w:cstheme="minorHAnsi"/>
        </w:rPr>
        <w:t>c</w:t>
      </w:r>
      <w:r w:rsidR="00E03FD3" w:rsidRPr="00A77AF6">
        <w:rPr>
          <w:rFonts w:cstheme="minorHAnsi"/>
        </w:rPr>
        <w:t xml:space="preserve">ommittee or both.  </w:t>
      </w:r>
    </w:p>
    <w:p w14:paraId="13873FDA" w14:textId="38153753" w:rsidR="009A45E9" w:rsidRPr="00A77AF6" w:rsidRDefault="00F43631" w:rsidP="00776918">
      <w:pPr>
        <w:pStyle w:val="Heading2"/>
        <w:spacing w:after="120"/>
      </w:pPr>
      <w:bookmarkStart w:id="162" w:name="_Toc36275127"/>
      <w:r w:rsidRPr="00A77AF6">
        <w:t>P</w:t>
      </w:r>
      <w:r w:rsidR="00F0161D" w:rsidRPr="00A77AF6">
        <w:t>roject success</w:t>
      </w:r>
      <w:bookmarkEnd w:id="162"/>
      <w:r w:rsidR="00F0161D" w:rsidRPr="00A77AF6">
        <w:t xml:space="preserve"> </w:t>
      </w:r>
    </w:p>
    <w:p w14:paraId="15C98B5D" w14:textId="7FE32A8E" w:rsidR="00E0173A" w:rsidRPr="00A77AF6" w:rsidRDefault="00333016" w:rsidP="00445467">
      <w:pPr>
        <w:spacing w:line="360" w:lineRule="auto"/>
      </w:pPr>
      <w:r w:rsidRPr="00A77AF6">
        <w:t xml:space="preserve">This section </w:t>
      </w:r>
      <w:r w:rsidR="00E0173A" w:rsidRPr="00A77AF6">
        <w:t>pr</w:t>
      </w:r>
      <w:r w:rsidR="00445467" w:rsidRPr="00A77AF6">
        <w:t xml:space="preserve">esents </w:t>
      </w:r>
      <w:r w:rsidR="00E0173A" w:rsidRPr="00A77AF6">
        <w:t xml:space="preserve">the findings </w:t>
      </w:r>
      <w:r w:rsidR="00445467" w:rsidRPr="00A77AF6">
        <w:t xml:space="preserve">on </w:t>
      </w:r>
      <w:r w:rsidR="00E0173A" w:rsidRPr="00A77AF6">
        <w:t>project</w:t>
      </w:r>
      <w:r w:rsidR="00445467" w:rsidRPr="00A77AF6">
        <w:t xml:space="preserve"> </w:t>
      </w:r>
      <w:r w:rsidR="00E0173A" w:rsidRPr="00A77AF6">
        <w:t>s</w:t>
      </w:r>
      <w:r w:rsidR="00445467" w:rsidRPr="00A77AF6">
        <w:t>uccess</w:t>
      </w:r>
      <w:r w:rsidR="00E0173A" w:rsidRPr="00A77AF6">
        <w:t xml:space="preserve"> in the project management and operational phases</w:t>
      </w:r>
      <w:r w:rsidR="005A7A0F" w:rsidRPr="00A77AF6">
        <w:t xml:space="preserve"> and the </w:t>
      </w:r>
      <w:r w:rsidR="00776918" w:rsidRPr="00A77AF6">
        <w:t xml:space="preserve">results of correlation analyses for the </w:t>
      </w:r>
      <w:r w:rsidR="005A7A0F" w:rsidRPr="00A77AF6">
        <w:t xml:space="preserve">relationship between governance effectiveness and project success.  </w:t>
      </w:r>
      <w:r w:rsidR="00E0173A" w:rsidRPr="00A77AF6">
        <w:t xml:space="preserve"> </w:t>
      </w:r>
    </w:p>
    <w:p w14:paraId="27736605" w14:textId="78DC6C68" w:rsidR="00226E4C" w:rsidRPr="00A77AF6" w:rsidRDefault="00206C07" w:rsidP="00CB1605">
      <w:pPr>
        <w:pStyle w:val="Heading3"/>
        <w:spacing w:after="120"/>
      </w:pPr>
      <w:bookmarkStart w:id="163" w:name="_Toc36275128"/>
      <w:r w:rsidRPr="00A77AF6">
        <w:t>P</w:t>
      </w:r>
      <w:r w:rsidR="00377388" w:rsidRPr="00A77AF6">
        <w:t xml:space="preserve">roject </w:t>
      </w:r>
      <w:r w:rsidRPr="00A77AF6">
        <w:t xml:space="preserve">success in the project </w:t>
      </w:r>
      <w:r w:rsidR="00377388" w:rsidRPr="00A77AF6">
        <w:t>management phase</w:t>
      </w:r>
      <w:bookmarkEnd w:id="163"/>
    </w:p>
    <w:p w14:paraId="3B37C6E5" w14:textId="0D585CE1" w:rsidR="00027530" w:rsidRPr="00A77AF6" w:rsidRDefault="00027530" w:rsidP="008E2090">
      <w:pPr>
        <w:spacing w:line="360" w:lineRule="auto"/>
      </w:pPr>
      <w:r w:rsidRPr="00A77AF6">
        <w:t xml:space="preserve">This section presents the results for project success in the project management phase judged by the three measures of success: claimed success, iron triangle success, project success score. </w:t>
      </w:r>
    </w:p>
    <w:p w14:paraId="37685E71" w14:textId="4705B138" w:rsidR="00AF4A79" w:rsidRPr="00A77AF6" w:rsidRDefault="00AF4A79" w:rsidP="00AF4A79">
      <w:pPr>
        <w:spacing w:after="0" w:line="360" w:lineRule="auto"/>
      </w:pPr>
      <w:r w:rsidRPr="00A77AF6">
        <w:t xml:space="preserve">The seven elements of project governance are: </w:t>
      </w:r>
    </w:p>
    <w:p w14:paraId="39FBD8C9" w14:textId="57BAD3F5" w:rsidR="00AF4A79" w:rsidRPr="00A77AF6" w:rsidRDefault="00AF4A79" w:rsidP="004A79C9">
      <w:pPr>
        <w:pStyle w:val="ListParagraph"/>
        <w:numPr>
          <w:ilvl w:val="0"/>
          <w:numId w:val="17"/>
        </w:numPr>
        <w:spacing w:line="240" w:lineRule="auto"/>
      </w:pPr>
      <w:r w:rsidRPr="00A77AF6">
        <w:t xml:space="preserve">Project sponsor </w:t>
      </w:r>
    </w:p>
    <w:p w14:paraId="0DB878A8" w14:textId="65A2FC1D" w:rsidR="00AF4A79" w:rsidRPr="00A77AF6" w:rsidRDefault="00AF4A79" w:rsidP="004A79C9">
      <w:pPr>
        <w:pStyle w:val="ListParagraph"/>
        <w:numPr>
          <w:ilvl w:val="0"/>
          <w:numId w:val="17"/>
        </w:numPr>
        <w:spacing w:line="240" w:lineRule="auto"/>
      </w:pPr>
      <w:r w:rsidRPr="00A77AF6">
        <w:t>Project board</w:t>
      </w:r>
    </w:p>
    <w:p w14:paraId="78F96C24" w14:textId="2E905F2C" w:rsidR="00AF4A79" w:rsidRPr="00A77AF6" w:rsidRDefault="00AF4A79" w:rsidP="004A79C9">
      <w:pPr>
        <w:pStyle w:val="ListParagraph"/>
        <w:numPr>
          <w:ilvl w:val="0"/>
          <w:numId w:val="17"/>
        </w:numPr>
        <w:spacing w:line="240" w:lineRule="auto"/>
      </w:pPr>
      <w:r w:rsidRPr="00A77AF6">
        <w:t xml:space="preserve">Project risk management </w:t>
      </w:r>
    </w:p>
    <w:p w14:paraId="13B69A3D" w14:textId="7508187F" w:rsidR="00AF4A79" w:rsidRPr="00A77AF6" w:rsidRDefault="00AF4A79" w:rsidP="004A79C9">
      <w:pPr>
        <w:pStyle w:val="ListParagraph"/>
        <w:numPr>
          <w:ilvl w:val="0"/>
          <w:numId w:val="17"/>
        </w:numPr>
        <w:spacing w:line="240" w:lineRule="auto"/>
      </w:pPr>
      <w:r w:rsidRPr="00A77AF6">
        <w:t>Quality management</w:t>
      </w:r>
    </w:p>
    <w:p w14:paraId="5F47E50F" w14:textId="6A28B7B9" w:rsidR="00AF4A79" w:rsidRPr="00A77AF6" w:rsidRDefault="00AF4A79" w:rsidP="004A79C9">
      <w:pPr>
        <w:pStyle w:val="ListParagraph"/>
        <w:numPr>
          <w:ilvl w:val="0"/>
          <w:numId w:val="17"/>
        </w:numPr>
        <w:spacing w:line="240" w:lineRule="auto"/>
      </w:pPr>
      <w:r w:rsidRPr="00A77AF6">
        <w:t xml:space="preserve">Project finance </w:t>
      </w:r>
    </w:p>
    <w:p w14:paraId="642B548D" w14:textId="4C3DF538" w:rsidR="00AF4A79" w:rsidRPr="00A77AF6" w:rsidRDefault="00AF4A79" w:rsidP="004A79C9">
      <w:pPr>
        <w:pStyle w:val="ListParagraph"/>
        <w:numPr>
          <w:ilvl w:val="0"/>
          <w:numId w:val="17"/>
        </w:numPr>
        <w:spacing w:line="240" w:lineRule="auto"/>
      </w:pPr>
      <w:r w:rsidRPr="00A77AF6">
        <w:t xml:space="preserve">Project user group </w:t>
      </w:r>
    </w:p>
    <w:p w14:paraId="6D5798D6" w14:textId="2ABDEBF8" w:rsidR="00AF4A79" w:rsidRPr="00A77AF6" w:rsidRDefault="00AF4A79" w:rsidP="004A79C9">
      <w:pPr>
        <w:pStyle w:val="ListParagraph"/>
        <w:numPr>
          <w:ilvl w:val="0"/>
          <w:numId w:val="17"/>
        </w:numPr>
        <w:spacing w:after="240" w:line="240" w:lineRule="auto"/>
      </w:pPr>
      <w:r w:rsidRPr="00A77AF6">
        <w:t xml:space="preserve">Project stakeholders   </w:t>
      </w:r>
    </w:p>
    <w:p w14:paraId="11EFCBC1" w14:textId="77777777" w:rsidR="00AF4A79" w:rsidRPr="00A77AF6" w:rsidRDefault="00AF4A79" w:rsidP="008E2090">
      <w:pPr>
        <w:spacing w:line="360" w:lineRule="auto"/>
      </w:pPr>
    </w:p>
    <w:p w14:paraId="1C941A1A" w14:textId="146830AF" w:rsidR="0073034F" w:rsidRPr="00A77AF6" w:rsidRDefault="00377388" w:rsidP="00C21A49">
      <w:pPr>
        <w:pStyle w:val="Heading4"/>
        <w:numPr>
          <w:ilvl w:val="0"/>
          <w:numId w:val="0"/>
        </w:numPr>
        <w:spacing w:after="120"/>
      </w:pPr>
      <w:r w:rsidRPr="00A77AF6">
        <w:lastRenderedPageBreak/>
        <w:t>Claimed success</w:t>
      </w:r>
      <w:r w:rsidR="00E27141" w:rsidRPr="00A77AF6">
        <w:t xml:space="preserve"> </w:t>
      </w:r>
      <w:r w:rsidR="0073034F" w:rsidRPr="00A77AF6">
        <w:t xml:space="preserve"> </w:t>
      </w:r>
      <w:r w:rsidR="00D76AB9" w:rsidRPr="00A77AF6">
        <w:t>(n=50)</w:t>
      </w:r>
    </w:p>
    <w:p w14:paraId="140280C9" w14:textId="7FD412DD" w:rsidR="00722DE3" w:rsidRPr="00A77AF6" w:rsidRDefault="00D76AB9" w:rsidP="00961EDE">
      <w:pPr>
        <w:spacing w:line="360" w:lineRule="auto"/>
      </w:pPr>
      <w:r w:rsidRPr="00A77AF6">
        <w:t>Fifty</w:t>
      </w:r>
      <w:r w:rsidR="0073034F" w:rsidRPr="00A77AF6">
        <w:t xml:space="preserve"> respondents answered th</w:t>
      </w:r>
      <w:r w:rsidR="00F43631" w:rsidRPr="00A77AF6">
        <w:t>e</w:t>
      </w:r>
      <w:r w:rsidR="00942407" w:rsidRPr="00A77AF6">
        <w:t xml:space="preserve"> question</w:t>
      </w:r>
      <w:r w:rsidR="00F43631" w:rsidRPr="00A77AF6">
        <w:t>, was your project successful, yes or no?</w:t>
      </w:r>
      <w:r w:rsidR="00942407" w:rsidRPr="00A77AF6">
        <w:t xml:space="preserve">  </w:t>
      </w:r>
      <w:r w:rsidR="00F43631" w:rsidRPr="00A77AF6">
        <w:t>Forty-five</w:t>
      </w:r>
      <w:r w:rsidR="00942407" w:rsidRPr="00A77AF6">
        <w:t xml:space="preserve"> </w:t>
      </w:r>
      <w:r w:rsidR="00F402E3" w:rsidRPr="00A77AF6">
        <w:t xml:space="preserve">(90%) </w:t>
      </w:r>
      <w:r w:rsidR="00F43631" w:rsidRPr="00A77AF6">
        <w:t>thought</w:t>
      </w:r>
      <w:r w:rsidR="00511EBF" w:rsidRPr="00A77AF6">
        <w:t xml:space="preserve"> </w:t>
      </w:r>
      <w:r w:rsidR="0073034F" w:rsidRPr="00A77AF6">
        <w:t>their project had been successful.</w:t>
      </w:r>
      <w:r w:rsidR="00942407" w:rsidRPr="00A77AF6">
        <w:t xml:space="preserve">  </w:t>
      </w:r>
      <w:r w:rsidR="00F43631" w:rsidRPr="00A77AF6">
        <w:t>Five</w:t>
      </w:r>
      <w:r w:rsidR="002D5D78" w:rsidRPr="00A77AF6">
        <w:t xml:space="preserve"> </w:t>
      </w:r>
      <w:r w:rsidR="0073034F" w:rsidRPr="00A77AF6">
        <w:t>respondents caveated their answer</w:t>
      </w:r>
      <w:r w:rsidR="00044380" w:rsidRPr="00A77AF6">
        <w:t xml:space="preserve"> to suggest that project success had been partly</w:t>
      </w:r>
      <w:r w:rsidR="00EB3B3E" w:rsidRPr="00A77AF6">
        <w:t xml:space="preserve"> but not </w:t>
      </w:r>
      <w:r w:rsidR="00044380" w:rsidRPr="00A77AF6">
        <w:t>completely, achieved</w:t>
      </w:r>
      <w:r w:rsidR="0073034F" w:rsidRPr="00A77AF6">
        <w:t xml:space="preserve">.  </w:t>
      </w:r>
      <w:r w:rsidR="00044380" w:rsidRPr="00A77AF6">
        <w:t xml:space="preserve">No project was identified has being an outright failure (Table </w:t>
      </w:r>
      <w:r w:rsidR="00F43631" w:rsidRPr="00A77AF6">
        <w:t>6-</w:t>
      </w:r>
      <w:r w:rsidR="00776918" w:rsidRPr="00A77AF6">
        <w:t>2</w:t>
      </w:r>
      <w:r w:rsidR="00F43631" w:rsidRPr="00A77AF6">
        <w:t>2</w:t>
      </w:r>
      <w:r w:rsidR="00466EFB" w:rsidRPr="00A77AF6">
        <w:t>)</w:t>
      </w:r>
      <w:r w:rsidR="00044380" w:rsidRPr="00A77AF6">
        <w:t xml:space="preserve">.  </w:t>
      </w:r>
      <w:r w:rsidR="0073034F" w:rsidRPr="00A77AF6">
        <w:t xml:space="preserve">The comments </w:t>
      </w:r>
      <w:r w:rsidR="00EB3B3E" w:rsidRPr="00A77AF6">
        <w:t xml:space="preserve">made about the </w:t>
      </w:r>
      <w:r w:rsidR="00044380" w:rsidRPr="00A77AF6">
        <w:t xml:space="preserve">partly successful </w:t>
      </w:r>
      <w:r w:rsidR="0073034F" w:rsidRPr="00A77AF6">
        <w:t xml:space="preserve">projects </w:t>
      </w:r>
      <w:r w:rsidR="00466EFB" w:rsidRPr="00A77AF6">
        <w:t>(‘</w:t>
      </w:r>
      <w:r w:rsidRPr="00A77AF6">
        <w:t>o</w:t>
      </w:r>
      <w:r w:rsidR="00466EFB" w:rsidRPr="00A77AF6">
        <w:t>ther’</w:t>
      </w:r>
      <w:r w:rsidR="00961EDE" w:rsidRPr="00A77AF6">
        <w:t xml:space="preserve">) </w:t>
      </w:r>
      <w:r w:rsidR="0073034F" w:rsidRPr="00A77AF6">
        <w:t xml:space="preserve">were: that the project was delivered but there were significant issues during delivery and construction; the project was only partly successful because of </w:t>
      </w:r>
      <w:r w:rsidR="00777D34" w:rsidRPr="00A77AF6">
        <w:t xml:space="preserve">the </w:t>
      </w:r>
      <w:r w:rsidR="0073034F" w:rsidRPr="00A77AF6">
        <w:t xml:space="preserve">procrastination of the client and </w:t>
      </w:r>
      <w:r w:rsidR="008B0E67" w:rsidRPr="00A77AF6">
        <w:t>t</w:t>
      </w:r>
      <w:r w:rsidR="0073034F" w:rsidRPr="00A77AF6">
        <w:t xml:space="preserve">rust </w:t>
      </w:r>
      <w:r w:rsidR="008B0E67" w:rsidRPr="00A77AF6">
        <w:t>b</w:t>
      </w:r>
      <w:r w:rsidR="0073034F" w:rsidRPr="00A77AF6">
        <w:t xml:space="preserve">oard; the facility was superb but the build quality </w:t>
      </w:r>
      <w:r w:rsidR="00466EFB" w:rsidRPr="00A77AF6">
        <w:t>was</w:t>
      </w:r>
      <w:r w:rsidR="0073034F" w:rsidRPr="00A77AF6">
        <w:t xml:space="preserve"> poor, the performance of the contractor was poor and that the project would be successful if teething problems could be overcome.</w:t>
      </w:r>
    </w:p>
    <w:p w14:paraId="0AD6BCEC" w14:textId="404FEE9B" w:rsidR="00AA64D7" w:rsidRPr="00A77AF6" w:rsidRDefault="00AA64D7" w:rsidP="0007452B">
      <w:pPr>
        <w:pStyle w:val="Caption"/>
        <w:keepNext/>
        <w:spacing w:after="120"/>
      </w:pPr>
      <w:r w:rsidRPr="00A77AF6">
        <w:t xml:space="preserve">Table </w:t>
      </w:r>
      <w:fldSimple w:instr=" STYLEREF 1 \s ">
        <w:r w:rsidR="000441F7">
          <w:rPr>
            <w:noProof/>
          </w:rPr>
          <w:t>6</w:t>
        </w:r>
      </w:fldSimple>
      <w:r w:rsidR="00804112">
        <w:noBreakHyphen/>
      </w:r>
      <w:fldSimple w:instr=" SEQ Table \* ARABIC \s 1 ">
        <w:r w:rsidR="000441F7">
          <w:rPr>
            <w:noProof/>
          </w:rPr>
          <w:t>22</w:t>
        </w:r>
      </w:fldSimple>
      <w:r w:rsidRPr="00A77AF6">
        <w:t>: Claimed success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01"/>
      </w:tblGrid>
      <w:tr w:rsidR="00F90280" w:rsidRPr="00A77AF6" w14:paraId="523BF55D" w14:textId="77777777" w:rsidTr="00F90280">
        <w:tc>
          <w:tcPr>
            <w:tcW w:w="2830" w:type="dxa"/>
            <w:shd w:val="clear" w:color="auto" w:fill="D9D9D9" w:themeFill="background1" w:themeFillShade="D9"/>
          </w:tcPr>
          <w:p w14:paraId="580F45C0" w14:textId="77777777" w:rsidR="00F90280" w:rsidRPr="00A77AF6" w:rsidRDefault="00F90280" w:rsidP="00777D34">
            <w:pPr>
              <w:spacing w:line="240" w:lineRule="auto"/>
              <w:rPr>
                <w:b/>
                <w:sz w:val="20"/>
              </w:rPr>
            </w:pPr>
            <w:r w:rsidRPr="00A77AF6">
              <w:rPr>
                <w:b/>
                <w:sz w:val="20"/>
              </w:rPr>
              <w:t xml:space="preserve">Claimed success </w:t>
            </w:r>
          </w:p>
        </w:tc>
        <w:tc>
          <w:tcPr>
            <w:tcW w:w="1701" w:type="dxa"/>
            <w:shd w:val="clear" w:color="auto" w:fill="D9D9D9" w:themeFill="background1" w:themeFillShade="D9"/>
          </w:tcPr>
          <w:p w14:paraId="5CF3C066" w14:textId="1ECA8328" w:rsidR="00F90280" w:rsidRPr="00A77AF6" w:rsidRDefault="00F90280" w:rsidP="00777D34">
            <w:pPr>
              <w:spacing w:line="240" w:lineRule="auto"/>
              <w:rPr>
                <w:b/>
                <w:sz w:val="20"/>
              </w:rPr>
            </w:pPr>
            <w:r w:rsidRPr="00A77AF6">
              <w:rPr>
                <w:b/>
                <w:sz w:val="20"/>
              </w:rPr>
              <w:t>Number (%)</w:t>
            </w:r>
          </w:p>
        </w:tc>
      </w:tr>
      <w:tr w:rsidR="00F90280" w:rsidRPr="00A77AF6" w14:paraId="43A75795" w14:textId="77777777" w:rsidTr="00F90280">
        <w:tc>
          <w:tcPr>
            <w:tcW w:w="2830" w:type="dxa"/>
          </w:tcPr>
          <w:p w14:paraId="6140C155" w14:textId="77777777" w:rsidR="00F90280" w:rsidRPr="00A77AF6" w:rsidRDefault="00F90280" w:rsidP="00776918">
            <w:pPr>
              <w:spacing w:after="120" w:line="240" w:lineRule="auto"/>
              <w:rPr>
                <w:sz w:val="20"/>
              </w:rPr>
            </w:pPr>
            <w:r w:rsidRPr="00A77AF6">
              <w:rPr>
                <w:sz w:val="20"/>
              </w:rPr>
              <w:t>Yes</w:t>
            </w:r>
          </w:p>
        </w:tc>
        <w:tc>
          <w:tcPr>
            <w:tcW w:w="1701" w:type="dxa"/>
          </w:tcPr>
          <w:p w14:paraId="0C45BDD6" w14:textId="0484F800" w:rsidR="00F90280" w:rsidRPr="00A77AF6" w:rsidRDefault="00F90280" w:rsidP="00776918">
            <w:pPr>
              <w:spacing w:after="120" w:line="240" w:lineRule="auto"/>
              <w:rPr>
                <w:sz w:val="20"/>
              </w:rPr>
            </w:pPr>
            <w:r w:rsidRPr="00A77AF6">
              <w:rPr>
                <w:sz w:val="20"/>
              </w:rPr>
              <w:t>45 (90%)</w:t>
            </w:r>
          </w:p>
        </w:tc>
      </w:tr>
      <w:tr w:rsidR="00F90280" w:rsidRPr="00A77AF6" w14:paraId="67306A10" w14:textId="77777777" w:rsidTr="00F90280">
        <w:tc>
          <w:tcPr>
            <w:tcW w:w="2830" w:type="dxa"/>
          </w:tcPr>
          <w:p w14:paraId="05D7C992" w14:textId="77777777" w:rsidR="00F90280" w:rsidRPr="00A77AF6" w:rsidRDefault="00F90280" w:rsidP="00776918">
            <w:pPr>
              <w:spacing w:after="120" w:line="240" w:lineRule="auto"/>
              <w:rPr>
                <w:sz w:val="20"/>
              </w:rPr>
            </w:pPr>
            <w:r w:rsidRPr="00A77AF6">
              <w:rPr>
                <w:sz w:val="20"/>
              </w:rPr>
              <w:t>No</w:t>
            </w:r>
          </w:p>
        </w:tc>
        <w:tc>
          <w:tcPr>
            <w:tcW w:w="1701" w:type="dxa"/>
          </w:tcPr>
          <w:p w14:paraId="425CA2BB" w14:textId="1B1D572D" w:rsidR="00F90280" w:rsidRPr="00A77AF6" w:rsidRDefault="00F90280" w:rsidP="00776918">
            <w:pPr>
              <w:spacing w:after="120" w:line="240" w:lineRule="auto"/>
              <w:rPr>
                <w:sz w:val="20"/>
              </w:rPr>
            </w:pPr>
            <w:r w:rsidRPr="00A77AF6">
              <w:rPr>
                <w:sz w:val="20"/>
              </w:rPr>
              <w:t>0 (0%)</w:t>
            </w:r>
          </w:p>
        </w:tc>
      </w:tr>
      <w:tr w:rsidR="00F90280" w:rsidRPr="00A77AF6" w14:paraId="78259922" w14:textId="77777777" w:rsidTr="00F90280">
        <w:tc>
          <w:tcPr>
            <w:tcW w:w="2830" w:type="dxa"/>
            <w:tcBorders>
              <w:bottom w:val="single" w:sz="4" w:space="0" w:color="auto"/>
            </w:tcBorders>
          </w:tcPr>
          <w:p w14:paraId="4761E41E" w14:textId="77777777" w:rsidR="00F90280" w:rsidRPr="00A77AF6" w:rsidRDefault="00F90280" w:rsidP="00776918">
            <w:pPr>
              <w:spacing w:after="120" w:line="240" w:lineRule="auto"/>
              <w:rPr>
                <w:sz w:val="20"/>
              </w:rPr>
            </w:pPr>
            <w:r w:rsidRPr="00A77AF6">
              <w:rPr>
                <w:sz w:val="20"/>
              </w:rPr>
              <w:t>Other</w:t>
            </w:r>
          </w:p>
        </w:tc>
        <w:tc>
          <w:tcPr>
            <w:tcW w:w="1701" w:type="dxa"/>
          </w:tcPr>
          <w:p w14:paraId="117939DA" w14:textId="35A7C443" w:rsidR="00F90280" w:rsidRPr="00A77AF6" w:rsidRDefault="00F90280" w:rsidP="00776918">
            <w:pPr>
              <w:spacing w:after="120" w:line="240" w:lineRule="auto"/>
              <w:rPr>
                <w:sz w:val="20"/>
              </w:rPr>
            </w:pPr>
            <w:r w:rsidRPr="00A77AF6">
              <w:rPr>
                <w:sz w:val="20"/>
              </w:rPr>
              <w:t>5 (10%</w:t>
            </w:r>
          </w:p>
        </w:tc>
      </w:tr>
      <w:tr w:rsidR="00F90280" w:rsidRPr="00A77AF6" w14:paraId="40A8BBA0" w14:textId="77777777" w:rsidTr="00F90280">
        <w:tc>
          <w:tcPr>
            <w:tcW w:w="2830" w:type="dxa"/>
            <w:tcBorders>
              <w:left w:val="nil"/>
              <w:bottom w:val="nil"/>
            </w:tcBorders>
          </w:tcPr>
          <w:p w14:paraId="557096C6" w14:textId="77777777" w:rsidR="00F90280" w:rsidRPr="00A77AF6" w:rsidRDefault="00F90280" w:rsidP="00776918">
            <w:pPr>
              <w:spacing w:after="120" w:line="240" w:lineRule="auto"/>
              <w:rPr>
                <w:sz w:val="20"/>
              </w:rPr>
            </w:pPr>
            <w:r w:rsidRPr="00A77AF6">
              <w:rPr>
                <w:sz w:val="20"/>
              </w:rPr>
              <w:t xml:space="preserve">Total </w:t>
            </w:r>
          </w:p>
        </w:tc>
        <w:tc>
          <w:tcPr>
            <w:tcW w:w="1701" w:type="dxa"/>
          </w:tcPr>
          <w:p w14:paraId="5B5519A5" w14:textId="129AF877" w:rsidR="00F90280" w:rsidRPr="00A77AF6" w:rsidRDefault="00F90280" w:rsidP="00776918">
            <w:pPr>
              <w:spacing w:after="120" w:line="240" w:lineRule="auto"/>
              <w:rPr>
                <w:sz w:val="20"/>
              </w:rPr>
            </w:pPr>
            <w:r w:rsidRPr="00A77AF6">
              <w:rPr>
                <w:sz w:val="20"/>
              </w:rPr>
              <w:t xml:space="preserve">50 (100%) </w:t>
            </w:r>
          </w:p>
        </w:tc>
      </w:tr>
    </w:tbl>
    <w:p w14:paraId="12B7047E" w14:textId="731C18B7" w:rsidR="00BF2B15" w:rsidRPr="00A77AF6" w:rsidRDefault="007F0371" w:rsidP="007F0371">
      <w:pPr>
        <w:spacing w:before="240" w:line="360" w:lineRule="auto"/>
      </w:pPr>
      <w:r w:rsidRPr="00A77AF6">
        <w:t xml:space="preserve">Forty-five </w:t>
      </w:r>
      <w:r w:rsidR="00466EFB" w:rsidRPr="00A77AF6">
        <w:t>(90%) respondents claiming success s</w:t>
      </w:r>
      <w:r w:rsidR="0010454C" w:rsidRPr="00A77AF6">
        <w:t>uggests that project personnel are satisfied with the outcome of their project</w:t>
      </w:r>
      <w:r w:rsidR="002611B4" w:rsidRPr="00A77AF6">
        <w:t xml:space="preserve"> at the end of the project management phase. This contrasts with </w:t>
      </w:r>
      <w:r w:rsidR="00961EDE" w:rsidRPr="00A77AF6">
        <w:t xml:space="preserve">actual </w:t>
      </w:r>
      <w:r w:rsidR="002611B4" w:rsidRPr="00A77AF6">
        <w:t xml:space="preserve">performance of projects against time cost and quality targets, which </w:t>
      </w:r>
      <w:r w:rsidR="00377223" w:rsidRPr="00A77AF6">
        <w:t>is shown below.</w:t>
      </w:r>
      <w:r w:rsidR="0010454C" w:rsidRPr="00A77AF6">
        <w:t xml:space="preserve"> </w:t>
      </w:r>
    </w:p>
    <w:p w14:paraId="576438A8" w14:textId="2CABB941" w:rsidR="00982A15" w:rsidRPr="00A77AF6" w:rsidRDefault="00AB5B55" w:rsidP="00C21A49">
      <w:pPr>
        <w:pStyle w:val="Heading4"/>
        <w:numPr>
          <w:ilvl w:val="0"/>
          <w:numId w:val="0"/>
        </w:numPr>
        <w:spacing w:after="120"/>
      </w:pPr>
      <w:r w:rsidRPr="00A77AF6">
        <w:t>I</w:t>
      </w:r>
      <w:r w:rsidR="00AE18DB" w:rsidRPr="00A77AF6">
        <w:t>ron triangle</w:t>
      </w:r>
      <w:r w:rsidR="0032690B" w:rsidRPr="00A77AF6">
        <w:t xml:space="preserve"> (n=11)</w:t>
      </w:r>
    </w:p>
    <w:p w14:paraId="2EA0B2EF" w14:textId="5943E23A" w:rsidR="00B445B3" w:rsidRPr="00A77AF6" w:rsidRDefault="00F43631" w:rsidP="00B445B3">
      <w:pPr>
        <w:spacing w:line="360" w:lineRule="auto"/>
      </w:pPr>
      <w:r w:rsidRPr="00A77AF6">
        <w:t>O</w:t>
      </w:r>
      <w:r w:rsidR="00BD4D4B" w:rsidRPr="00A77AF6">
        <w:t>f</w:t>
      </w:r>
      <w:r w:rsidRPr="00A77AF6">
        <w:t xml:space="preserve"> 51 </w:t>
      </w:r>
      <w:r w:rsidR="002A6074" w:rsidRPr="00A77AF6">
        <w:t xml:space="preserve">projects measured </w:t>
      </w:r>
      <w:r w:rsidRPr="00A77AF6">
        <w:t xml:space="preserve">against the </w:t>
      </w:r>
      <w:r w:rsidR="002A6074" w:rsidRPr="00A77AF6">
        <w:t>iron triangle</w:t>
      </w:r>
      <w:r w:rsidR="00AE3C48" w:rsidRPr="00A77AF6">
        <w:t>,</w:t>
      </w:r>
      <w:r w:rsidR="00961EDE" w:rsidRPr="00A77AF6">
        <w:t xml:space="preserve"> </w:t>
      </w:r>
      <w:r w:rsidR="00111475" w:rsidRPr="00A77AF6">
        <w:t xml:space="preserve">11 </w:t>
      </w:r>
      <w:r w:rsidR="00396A53" w:rsidRPr="00A77AF6">
        <w:t>(22%) met</w:t>
      </w:r>
      <w:r w:rsidR="00466EFB" w:rsidRPr="00A77AF6">
        <w:t xml:space="preserve"> each of</w:t>
      </w:r>
      <w:r w:rsidR="00396A53" w:rsidRPr="00A77AF6">
        <w:t xml:space="preserve"> their time, cost and quality criteria</w:t>
      </w:r>
      <w:r w:rsidR="00AE3C48" w:rsidRPr="00A77AF6">
        <w:t xml:space="preserve">, </w:t>
      </w:r>
      <w:r w:rsidR="00961EDE" w:rsidRPr="00A77AF6">
        <w:t xml:space="preserve"> so </w:t>
      </w:r>
      <w:r w:rsidR="002D1F23" w:rsidRPr="00A77AF6">
        <w:t xml:space="preserve">78% of projects would be judged to have failed to some degree.  </w:t>
      </w:r>
      <w:r w:rsidR="002944F7" w:rsidRPr="00A77AF6">
        <w:t>T</w:t>
      </w:r>
      <w:r w:rsidR="008834D0" w:rsidRPr="00A77AF6">
        <w:t>ime was met least often with 22 (43%) meeting scheduling targets</w:t>
      </w:r>
      <w:r w:rsidR="008A3897" w:rsidRPr="00A77AF6">
        <w:t xml:space="preserve">; cost targets were met </w:t>
      </w:r>
      <w:r w:rsidRPr="00A77AF6">
        <w:t>in</w:t>
      </w:r>
      <w:r w:rsidR="008834D0" w:rsidRPr="00A77AF6">
        <w:t xml:space="preserve"> 24 (47%) </w:t>
      </w:r>
      <w:r w:rsidRPr="00A77AF6">
        <w:t>project</w:t>
      </w:r>
      <w:r w:rsidR="00547EC1" w:rsidRPr="00A77AF6">
        <w:t>. Q</w:t>
      </w:r>
      <w:r w:rsidR="008A3897" w:rsidRPr="00A77AF6">
        <w:t xml:space="preserve">uality </w:t>
      </w:r>
      <w:r w:rsidR="009A1606" w:rsidRPr="00A77AF6">
        <w:t xml:space="preserve">targets were met </w:t>
      </w:r>
      <w:r w:rsidRPr="00A77AF6">
        <w:t xml:space="preserve">often </w:t>
      </w:r>
      <w:r w:rsidR="009A1606" w:rsidRPr="00A77AF6">
        <w:t xml:space="preserve">most </w:t>
      </w:r>
      <w:r w:rsidR="00F111F3" w:rsidRPr="00A77AF6">
        <w:t xml:space="preserve">with </w:t>
      </w:r>
      <w:r w:rsidR="008834D0" w:rsidRPr="00A77AF6">
        <w:t xml:space="preserve">41 (80%) </w:t>
      </w:r>
      <w:r w:rsidR="00F111F3" w:rsidRPr="00A77AF6">
        <w:t xml:space="preserve">achieving </w:t>
      </w:r>
      <w:r w:rsidR="008834D0" w:rsidRPr="00A77AF6">
        <w:t xml:space="preserve">quality </w:t>
      </w:r>
      <w:r w:rsidR="00FB5E99" w:rsidRPr="00A77AF6">
        <w:t>criteria at the end of the project management phase</w:t>
      </w:r>
      <w:r w:rsidR="00C523C5" w:rsidRPr="00A77AF6">
        <w:t xml:space="preserve"> </w:t>
      </w:r>
      <w:r w:rsidR="004D68A7" w:rsidRPr="00A77AF6">
        <w:t xml:space="preserve">(Table </w:t>
      </w:r>
      <w:r w:rsidRPr="00A77AF6">
        <w:t>6-23</w:t>
      </w:r>
      <w:r w:rsidR="00961EDE" w:rsidRPr="00A77AF6">
        <w:t xml:space="preserve">) </w:t>
      </w:r>
      <w:r w:rsidR="00FB5E99" w:rsidRPr="00A77AF6">
        <w:t xml:space="preserve"> </w:t>
      </w:r>
    </w:p>
    <w:p w14:paraId="712C6497" w14:textId="387D2B97" w:rsidR="00D76AB9" w:rsidRPr="00A77AF6" w:rsidRDefault="00D76AB9" w:rsidP="00D76AB9">
      <w:pPr>
        <w:pStyle w:val="Caption"/>
        <w:keepNext/>
        <w:spacing w:after="120"/>
      </w:pPr>
      <w:r w:rsidRPr="00A77AF6">
        <w:t xml:space="preserve">Table </w:t>
      </w:r>
      <w:fldSimple w:instr=" STYLEREF 1 \s ">
        <w:r w:rsidR="000441F7">
          <w:rPr>
            <w:noProof/>
          </w:rPr>
          <w:t>6</w:t>
        </w:r>
      </w:fldSimple>
      <w:r w:rsidR="00804112">
        <w:noBreakHyphen/>
      </w:r>
      <w:fldSimple w:instr=" SEQ Table \* ARABIC \s 1 ">
        <w:r w:rsidR="000441F7">
          <w:rPr>
            <w:noProof/>
          </w:rPr>
          <w:t>23</w:t>
        </w:r>
      </w:fldSimple>
      <w:r w:rsidRPr="00A77AF6">
        <w:t>: Time, cost and quality in the project management phase</w:t>
      </w:r>
    </w:p>
    <w:tbl>
      <w:tblPr>
        <w:tblStyle w:val="TableGrid"/>
        <w:tblW w:w="0" w:type="auto"/>
        <w:tblLook w:val="04A0" w:firstRow="1" w:lastRow="0" w:firstColumn="1" w:lastColumn="0" w:noHBand="0" w:noVBand="1"/>
      </w:tblPr>
      <w:tblGrid>
        <w:gridCol w:w="2441"/>
        <w:gridCol w:w="1594"/>
        <w:gridCol w:w="1595"/>
        <w:gridCol w:w="1595"/>
      </w:tblGrid>
      <w:tr w:rsidR="008834D0" w:rsidRPr="00A77AF6" w14:paraId="7588857E" w14:textId="77777777" w:rsidTr="00C523C5">
        <w:tc>
          <w:tcPr>
            <w:tcW w:w="2441" w:type="dxa"/>
            <w:shd w:val="clear" w:color="auto" w:fill="D9D9D9" w:themeFill="background1" w:themeFillShade="D9"/>
          </w:tcPr>
          <w:p w14:paraId="5F460D3F" w14:textId="77777777" w:rsidR="008834D0" w:rsidRPr="00A77AF6" w:rsidRDefault="008834D0" w:rsidP="00CC10AF">
            <w:pPr>
              <w:rPr>
                <w:sz w:val="20"/>
                <w:szCs w:val="20"/>
              </w:rPr>
            </w:pPr>
          </w:p>
        </w:tc>
        <w:tc>
          <w:tcPr>
            <w:tcW w:w="1594" w:type="dxa"/>
            <w:shd w:val="clear" w:color="auto" w:fill="D9D9D9" w:themeFill="background1" w:themeFillShade="D9"/>
          </w:tcPr>
          <w:p w14:paraId="1D771AF5" w14:textId="77777777" w:rsidR="008834D0" w:rsidRPr="00A77AF6" w:rsidRDefault="008834D0" w:rsidP="00CC10AF">
            <w:pPr>
              <w:spacing w:after="120"/>
              <w:jc w:val="both"/>
              <w:rPr>
                <w:sz w:val="20"/>
                <w:szCs w:val="20"/>
              </w:rPr>
            </w:pPr>
            <w:r w:rsidRPr="00A77AF6">
              <w:rPr>
                <w:sz w:val="20"/>
                <w:szCs w:val="20"/>
              </w:rPr>
              <w:t>Time</w:t>
            </w:r>
          </w:p>
          <w:p w14:paraId="7D51E026" w14:textId="77777777" w:rsidR="008834D0" w:rsidRPr="00A77AF6" w:rsidRDefault="008834D0" w:rsidP="00CC10AF">
            <w:pPr>
              <w:spacing w:after="120"/>
              <w:jc w:val="both"/>
              <w:rPr>
                <w:sz w:val="20"/>
                <w:szCs w:val="20"/>
              </w:rPr>
            </w:pPr>
            <w:r w:rsidRPr="00A77AF6">
              <w:rPr>
                <w:sz w:val="20"/>
                <w:szCs w:val="20"/>
              </w:rPr>
              <w:t>No (%)</w:t>
            </w:r>
          </w:p>
        </w:tc>
        <w:tc>
          <w:tcPr>
            <w:tcW w:w="1595" w:type="dxa"/>
            <w:shd w:val="clear" w:color="auto" w:fill="D9D9D9" w:themeFill="background1" w:themeFillShade="D9"/>
          </w:tcPr>
          <w:p w14:paraId="49110605" w14:textId="77777777" w:rsidR="008834D0" w:rsidRPr="00A77AF6" w:rsidRDefault="008834D0" w:rsidP="00CC10AF">
            <w:pPr>
              <w:spacing w:after="120"/>
              <w:jc w:val="both"/>
              <w:rPr>
                <w:sz w:val="20"/>
                <w:szCs w:val="20"/>
              </w:rPr>
            </w:pPr>
            <w:r w:rsidRPr="00A77AF6">
              <w:rPr>
                <w:sz w:val="20"/>
                <w:szCs w:val="20"/>
              </w:rPr>
              <w:t>Cost</w:t>
            </w:r>
          </w:p>
          <w:p w14:paraId="2D20BD2B" w14:textId="77777777" w:rsidR="008834D0" w:rsidRPr="00A77AF6" w:rsidRDefault="008834D0" w:rsidP="00CC10AF">
            <w:pPr>
              <w:spacing w:after="120"/>
              <w:jc w:val="both"/>
              <w:rPr>
                <w:sz w:val="20"/>
                <w:szCs w:val="20"/>
              </w:rPr>
            </w:pPr>
            <w:r w:rsidRPr="00A77AF6">
              <w:rPr>
                <w:sz w:val="20"/>
                <w:szCs w:val="20"/>
              </w:rPr>
              <w:t>No (%)</w:t>
            </w:r>
          </w:p>
        </w:tc>
        <w:tc>
          <w:tcPr>
            <w:tcW w:w="1595" w:type="dxa"/>
            <w:shd w:val="clear" w:color="auto" w:fill="D9D9D9" w:themeFill="background1" w:themeFillShade="D9"/>
          </w:tcPr>
          <w:p w14:paraId="5C05DBCF" w14:textId="77777777" w:rsidR="008834D0" w:rsidRPr="00A77AF6" w:rsidRDefault="008834D0" w:rsidP="00CC10AF">
            <w:pPr>
              <w:spacing w:after="120"/>
              <w:jc w:val="both"/>
              <w:rPr>
                <w:sz w:val="20"/>
                <w:szCs w:val="20"/>
              </w:rPr>
            </w:pPr>
            <w:r w:rsidRPr="00A77AF6">
              <w:rPr>
                <w:sz w:val="20"/>
                <w:szCs w:val="20"/>
              </w:rPr>
              <w:t>Quality</w:t>
            </w:r>
          </w:p>
          <w:p w14:paraId="67CE6F16" w14:textId="77777777" w:rsidR="008834D0" w:rsidRPr="00A77AF6" w:rsidRDefault="008834D0" w:rsidP="00CC10AF">
            <w:pPr>
              <w:spacing w:after="120"/>
              <w:jc w:val="both"/>
              <w:rPr>
                <w:sz w:val="20"/>
                <w:szCs w:val="20"/>
              </w:rPr>
            </w:pPr>
            <w:r w:rsidRPr="00A77AF6">
              <w:rPr>
                <w:sz w:val="20"/>
                <w:szCs w:val="20"/>
              </w:rPr>
              <w:t>No (%)</w:t>
            </w:r>
          </w:p>
        </w:tc>
      </w:tr>
      <w:tr w:rsidR="008834D0" w:rsidRPr="00A77AF6" w14:paraId="6A0A7954" w14:textId="77777777" w:rsidTr="00C523C5">
        <w:tc>
          <w:tcPr>
            <w:tcW w:w="2441" w:type="dxa"/>
            <w:shd w:val="clear" w:color="auto" w:fill="auto"/>
          </w:tcPr>
          <w:p w14:paraId="11761F33" w14:textId="48777A08" w:rsidR="008834D0" w:rsidRPr="00A77AF6" w:rsidRDefault="00D76AB9" w:rsidP="00CC10AF">
            <w:pPr>
              <w:spacing w:after="120"/>
              <w:rPr>
                <w:sz w:val="20"/>
                <w:szCs w:val="20"/>
              </w:rPr>
            </w:pPr>
            <w:r w:rsidRPr="00A77AF6">
              <w:rPr>
                <w:sz w:val="20"/>
                <w:szCs w:val="20"/>
              </w:rPr>
              <w:t>M</w:t>
            </w:r>
            <w:r w:rsidR="008834D0" w:rsidRPr="00A77AF6">
              <w:rPr>
                <w:sz w:val="20"/>
                <w:szCs w:val="20"/>
              </w:rPr>
              <w:t xml:space="preserve">et/ </w:t>
            </w:r>
            <w:r w:rsidR="00A3795B" w:rsidRPr="00A77AF6">
              <w:rPr>
                <w:sz w:val="20"/>
                <w:szCs w:val="20"/>
              </w:rPr>
              <w:t>bettered</w:t>
            </w:r>
          </w:p>
        </w:tc>
        <w:tc>
          <w:tcPr>
            <w:tcW w:w="1594" w:type="dxa"/>
            <w:shd w:val="clear" w:color="auto" w:fill="auto"/>
          </w:tcPr>
          <w:p w14:paraId="7B9794B5" w14:textId="77777777" w:rsidR="008834D0" w:rsidRPr="00A77AF6" w:rsidRDefault="008834D0" w:rsidP="00CC10AF">
            <w:pPr>
              <w:spacing w:after="120"/>
              <w:rPr>
                <w:sz w:val="20"/>
                <w:szCs w:val="20"/>
              </w:rPr>
            </w:pPr>
            <w:r w:rsidRPr="00A77AF6">
              <w:rPr>
                <w:sz w:val="20"/>
                <w:szCs w:val="20"/>
              </w:rPr>
              <w:t>22 (43%)</w:t>
            </w:r>
          </w:p>
        </w:tc>
        <w:tc>
          <w:tcPr>
            <w:tcW w:w="1595" w:type="dxa"/>
            <w:shd w:val="clear" w:color="auto" w:fill="auto"/>
          </w:tcPr>
          <w:p w14:paraId="0130D1E7" w14:textId="77777777" w:rsidR="008834D0" w:rsidRPr="00A77AF6" w:rsidRDefault="008834D0" w:rsidP="00CC10AF">
            <w:pPr>
              <w:spacing w:after="120"/>
              <w:rPr>
                <w:sz w:val="20"/>
                <w:szCs w:val="20"/>
              </w:rPr>
            </w:pPr>
            <w:r w:rsidRPr="00A77AF6">
              <w:rPr>
                <w:sz w:val="20"/>
                <w:szCs w:val="20"/>
              </w:rPr>
              <w:t>24 (47%)</w:t>
            </w:r>
          </w:p>
        </w:tc>
        <w:tc>
          <w:tcPr>
            <w:tcW w:w="1595" w:type="dxa"/>
            <w:shd w:val="clear" w:color="auto" w:fill="auto"/>
          </w:tcPr>
          <w:p w14:paraId="48F13EFE" w14:textId="77777777" w:rsidR="008834D0" w:rsidRPr="00A77AF6" w:rsidRDefault="008834D0" w:rsidP="00CC10AF">
            <w:pPr>
              <w:spacing w:after="120"/>
              <w:rPr>
                <w:sz w:val="20"/>
                <w:szCs w:val="20"/>
              </w:rPr>
            </w:pPr>
            <w:r w:rsidRPr="00A77AF6">
              <w:rPr>
                <w:sz w:val="20"/>
                <w:szCs w:val="20"/>
              </w:rPr>
              <w:t>41 (80%)</w:t>
            </w:r>
          </w:p>
        </w:tc>
      </w:tr>
      <w:tr w:rsidR="008834D0" w:rsidRPr="00A77AF6" w14:paraId="0353F445" w14:textId="77777777" w:rsidTr="00C523C5">
        <w:tc>
          <w:tcPr>
            <w:tcW w:w="2441" w:type="dxa"/>
            <w:shd w:val="clear" w:color="auto" w:fill="auto"/>
          </w:tcPr>
          <w:p w14:paraId="2EDD75C4" w14:textId="2784C4B2" w:rsidR="008834D0" w:rsidRPr="00A77AF6" w:rsidRDefault="00D76AB9" w:rsidP="00CC10AF">
            <w:pPr>
              <w:spacing w:after="120"/>
              <w:rPr>
                <w:sz w:val="20"/>
                <w:szCs w:val="20"/>
              </w:rPr>
            </w:pPr>
            <w:r w:rsidRPr="00A77AF6">
              <w:rPr>
                <w:sz w:val="20"/>
                <w:szCs w:val="20"/>
              </w:rPr>
              <w:t>M</w:t>
            </w:r>
            <w:r w:rsidR="008834D0" w:rsidRPr="00A77AF6">
              <w:rPr>
                <w:sz w:val="20"/>
                <w:szCs w:val="20"/>
              </w:rPr>
              <w:t>issed</w:t>
            </w:r>
          </w:p>
        </w:tc>
        <w:tc>
          <w:tcPr>
            <w:tcW w:w="1594" w:type="dxa"/>
            <w:shd w:val="clear" w:color="auto" w:fill="auto"/>
          </w:tcPr>
          <w:p w14:paraId="00FBA96A" w14:textId="77777777" w:rsidR="008834D0" w:rsidRPr="00A77AF6" w:rsidRDefault="008834D0" w:rsidP="00CC10AF">
            <w:pPr>
              <w:spacing w:after="120"/>
              <w:rPr>
                <w:sz w:val="20"/>
                <w:szCs w:val="20"/>
              </w:rPr>
            </w:pPr>
            <w:r w:rsidRPr="00A77AF6">
              <w:rPr>
                <w:sz w:val="20"/>
                <w:szCs w:val="20"/>
              </w:rPr>
              <w:t>29 (57%)</w:t>
            </w:r>
          </w:p>
        </w:tc>
        <w:tc>
          <w:tcPr>
            <w:tcW w:w="1595" w:type="dxa"/>
            <w:shd w:val="clear" w:color="auto" w:fill="auto"/>
          </w:tcPr>
          <w:p w14:paraId="519EE661" w14:textId="77777777" w:rsidR="008834D0" w:rsidRPr="00A77AF6" w:rsidRDefault="008834D0" w:rsidP="00CC10AF">
            <w:pPr>
              <w:spacing w:after="120"/>
              <w:rPr>
                <w:sz w:val="20"/>
                <w:szCs w:val="20"/>
              </w:rPr>
            </w:pPr>
            <w:r w:rsidRPr="00A77AF6">
              <w:rPr>
                <w:sz w:val="20"/>
                <w:szCs w:val="20"/>
              </w:rPr>
              <w:t>27 (53%)</w:t>
            </w:r>
          </w:p>
        </w:tc>
        <w:tc>
          <w:tcPr>
            <w:tcW w:w="1595" w:type="dxa"/>
            <w:shd w:val="clear" w:color="auto" w:fill="auto"/>
          </w:tcPr>
          <w:p w14:paraId="57F8EAC9" w14:textId="77777777" w:rsidR="008834D0" w:rsidRPr="00A77AF6" w:rsidRDefault="008834D0" w:rsidP="00CC10AF">
            <w:pPr>
              <w:spacing w:after="120"/>
              <w:rPr>
                <w:sz w:val="20"/>
                <w:szCs w:val="20"/>
              </w:rPr>
            </w:pPr>
            <w:r w:rsidRPr="00A77AF6">
              <w:rPr>
                <w:sz w:val="20"/>
                <w:szCs w:val="20"/>
              </w:rPr>
              <w:t>9 (18%)</w:t>
            </w:r>
          </w:p>
        </w:tc>
      </w:tr>
      <w:tr w:rsidR="008834D0" w:rsidRPr="00A77AF6" w14:paraId="5726CAE2" w14:textId="77777777" w:rsidTr="00C523C5">
        <w:tc>
          <w:tcPr>
            <w:tcW w:w="2441" w:type="dxa"/>
            <w:shd w:val="clear" w:color="auto" w:fill="auto"/>
          </w:tcPr>
          <w:p w14:paraId="46CEA6F9" w14:textId="1CCACA20" w:rsidR="008834D0" w:rsidRPr="00A77AF6" w:rsidRDefault="00D76AB9" w:rsidP="00CC10AF">
            <w:pPr>
              <w:spacing w:after="120"/>
              <w:rPr>
                <w:sz w:val="20"/>
                <w:szCs w:val="20"/>
              </w:rPr>
            </w:pPr>
            <w:r w:rsidRPr="00A77AF6">
              <w:rPr>
                <w:sz w:val="20"/>
                <w:szCs w:val="20"/>
              </w:rPr>
              <w:t>D</w:t>
            </w:r>
            <w:r w:rsidR="00CC72DE" w:rsidRPr="00A77AF6">
              <w:rPr>
                <w:sz w:val="20"/>
                <w:szCs w:val="20"/>
              </w:rPr>
              <w:t>on’t know (D</w:t>
            </w:r>
            <w:r w:rsidR="008834D0" w:rsidRPr="00A77AF6">
              <w:rPr>
                <w:sz w:val="20"/>
                <w:szCs w:val="20"/>
              </w:rPr>
              <w:t>/K</w:t>
            </w:r>
            <w:r w:rsidR="00CC72DE" w:rsidRPr="00A77AF6">
              <w:rPr>
                <w:sz w:val="20"/>
                <w:szCs w:val="20"/>
              </w:rPr>
              <w:t>)</w:t>
            </w:r>
          </w:p>
        </w:tc>
        <w:tc>
          <w:tcPr>
            <w:tcW w:w="1594" w:type="dxa"/>
            <w:shd w:val="clear" w:color="auto" w:fill="auto"/>
          </w:tcPr>
          <w:p w14:paraId="00E8893D" w14:textId="77777777" w:rsidR="008834D0" w:rsidRPr="00A77AF6" w:rsidRDefault="008834D0" w:rsidP="00CC10AF">
            <w:pPr>
              <w:spacing w:after="120"/>
              <w:rPr>
                <w:sz w:val="20"/>
                <w:szCs w:val="20"/>
              </w:rPr>
            </w:pPr>
            <w:r w:rsidRPr="00A77AF6">
              <w:rPr>
                <w:sz w:val="20"/>
                <w:szCs w:val="20"/>
              </w:rPr>
              <w:t>-</w:t>
            </w:r>
          </w:p>
        </w:tc>
        <w:tc>
          <w:tcPr>
            <w:tcW w:w="1595" w:type="dxa"/>
            <w:shd w:val="clear" w:color="auto" w:fill="auto"/>
          </w:tcPr>
          <w:p w14:paraId="73E5870E" w14:textId="77777777" w:rsidR="008834D0" w:rsidRPr="00A77AF6" w:rsidRDefault="008834D0" w:rsidP="00CC10AF">
            <w:pPr>
              <w:spacing w:after="120"/>
              <w:rPr>
                <w:sz w:val="20"/>
                <w:szCs w:val="20"/>
              </w:rPr>
            </w:pPr>
            <w:r w:rsidRPr="00A77AF6">
              <w:rPr>
                <w:sz w:val="20"/>
                <w:szCs w:val="20"/>
              </w:rPr>
              <w:t>-</w:t>
            </w:r>
          </w:p>
        </w:tc>
        <w:tc>
          <w:tcPr>
            <w:tcW w:w="1595" w:type="dxa"/>
            <w:shd w:val="clear" w:color="auto" w:fill="auto"/>
          </w:tcPr>
          <w:p w14:paraId="477B1022" w14:textId="77777777" w:rsidR="008834D0" w:rsidRPr="00A77AF6" w:rsidRDefault="008834D0" w:rsidP="00CC10AF">
            <w:pPr>
              <w:spacing w:after="120"/>
              <w:rPr>
                <w:sz w:val="20"/>
                <w:szCs w:val="20"/>
              </w:rPr>
            </w:pPr>
            <w:r w:rsidRPr="00A77AF6">
              <w:rPr>
                <w:sz w:val="20"/>
                <w:szCs w:val="20"/>
              </w:rPr>
              <w:t>1</w:t>
            </w:r>
          </w:p>
        </w:tc>
      </w:tr>
      <w:tr w:rsidR="008834D0" w:rsidRPr="00A77AF6" w14:paraId="3F7E0984" w14:textId="77777777" w:rsidTr="00C523C5">
        <w:tc>
          <w:tcPr>
            <w:tcW w:w="2441" w:type="dxa"/>
            <w:shd w:val="clear" w:color="auto" w:fill="auto"/>
          </w:tcPr>
          <w:p w14:paraId="0642147A" w14:textId="64A427DC" w:rsidR="008834D0" w:rsidRPr="00A77AF6" w:rsidRDefault="008834D0" w:rsidP="00CC10AF">
            <w:pPr>
              <w:spacing w:after="120"/>
              <w:rPr>
                <w:sz w:val="20"/>
                <w:szCs w:val="20"/>
              </w:rPr>
            </w:pPr>
            <w:r w:rsidRPr="00A77AF6">
              <w:rPr>
                <w:sz w:val="20"/>
                <w:szCs w:val="20"/>
              </w:rPr>
              <w:t>Tot</w:t>
            </w:r>
            <w:r w:rsidR="0048396B" w:rsidRPr="00A77AF6">
              <w:rPr>
                <w:sz w:val="20"/>
                <w:szCs w:val="20"/>
              </w:rPr>
              <w:t>a</w:t>
            </w:r>
            <w:r w:rsidRPr="00A77AF6">
              <w:rPr>
                <w:sz w:val="20"/>
                <w:szCs w:val="20"/>
              </w:rPr>
              <w:t xml:space="preserve">l </w:t>
            </w:r>
            <w:r w:rsidR="00EB071A" w:rsidRPr="00A77AF6">
              <w:rPr>
                <w:sz w:val="20"/>
                <w:szCs w:val="20"/>
              </w:rPr>
              <w:t>(n=51)</w:t>
            </w:r>
          </w:p>
        </w:tc>
        <w:tc>
          <w:tcPr>
            <w:tcW w:w="1594" w:type="dxa"/>
            <w:shd w:val="clear" w:color="auto" w:fill="auto"/>
          </w:tcPr>
          <w:p w14:paraId="30182DAA" w14:textId="2AEC4E66" w:rsidR="008834D0" w:rsidRPr="00A77AF6" w:rsidRDefault="00FB5E99" w:rsidP="00CC10AF">
            <w:pPr>
              <w:spacing w:after="120"/>
              <w:rPr>
                <w:sz w:val="20"/>
                <w:szCs w:val="20"/>
              </w:rPr>
            </w:pPr>
            <w:r w:rsidRPr="00A77AF6">
              <w:rPr>
                <w:sz w:val="20"/>
                <w:szCs w:val="20"/>
              </w:rPr>
              <w:t>51 (100)</w:t>
            </w:r>
          </w:p>
        </w:tc>
        <w:tc>
          <w:tcPr>
            <w:tcW w:w="1595" w:type="dxa"/>
            <w:shd w:val="clear" w:color="auto" w:fill="auto"/>
          </w:tcPr>
          <w:p w14:paraId="2A9CA614" w14:textId="2060D4E5" w:rsidR="008834D0" w:rsidRPr="00A77AF6" w:rsidRDefault="0048396B" w:rsidP="00CC10AF">
            <w:pPr>
              <w:spacing w:after="120"/>
              <w:rPr>
                <w:sz w:val="20"/>
                <w:szCs w:val="20"/>
              </w:rPr>
            </w:pPr>
            <w:r w:rsidRPr="00A77AF6">
              <w:rPr>
                <w:sz w:val="20"/>
                <w:szCs w:val="20"/>
              </w:rPr>
              <w:t>51 (100%)</w:t>
            </w:r>
          </w:p>
        </w:tc>
        <w:tc>
          <w:tcPr>
            <w:tcW w:w="1595" w:type="dxa"/>
            <w:shd w:val="clear" w:color="auto" w:fill="auto"/>
          </w:tcPr>
          <w:p w14:paraId="569C2681" w14:textId="704867BF" w:rsidR="008834D0" w:rsidRPr="00A77AF6" w:rsidRDefault="0048396B" w:rsidP="00CC10AF">
            <w:pPr>
              <w:spacing w:after="120"/>
              <w:rPr>
                <w:sz w:val="20"/>
                <w:szCs w:val="20"/>
              </w:rPr>
            </w:pPr>
            <w:r w:rsidRPr="00A77AF6">
              <w:rPr>
                <w:sz w:val="20"/>
                <w:szCs w:val="20"/>
              </w:rPr>
              <w:t>51 (100%)</w:t>
            </w:r>
          </w:p>
        </w:tc>
      </w:tr>
    </w:tbl>
    <w:p w14:paraId="7EA4703C" w14:textId="77777777" w:rsidR="0070371D" w:rsidRPr="00A77AF6" w:rsidRDefault="0070371D" w:rsidP="0070371D">
      <w:pPr>
        <w:pStyle w:val="Caption"/>
      </w:pPr>
      <w:bookmarkStart w:id="164" w:name="_Toc526967357"/>
    </w:p>
    <w:bookmarkEnd w:id="164"/>
    <w:p w14:paraId="639B357A" w14:textId="754A72A8" w:rsidR="00D76AB9" w:rsidRPr="00A77AF6" w:rsidRDefault="0070371D" w:rsidP="00961EDE">
      <w:pPr>
        <w:spacing w:line="360" w:lineRule="auto"/>
      </w:pPr>
      <w:r w:rsidRPr="00A77AF6">
        <w:lastRenderedPageBreak/>
        <w:t>Of 11 ‘successful projects</w:t>
      </w:r>
      <w:r w:rsidR="00563618" w:rsidRPr="00A77AF6">
        <w:t>’</w:t>
      </w:r>
      <w:r w:rsidRPr="00A77AF6">
        <w:t xml:space="preserve">, no project </w:t>
      </w:r>
      <w:r w:rsidR="00333C28" w:rsidRPr="00A77AF6">
        <w:t>bettered</w:t>
      </w:r>
      <w:r w:rsidRPr="00A77AF6">
        <w:t xml:space="preserve"> its time targets</w:t>
      </w:r>
      <w:r w:rsidR="00F43631" w:rsidRPr="00A77AF6">
        <w:t xml:space="preserve"> and </w:t>
      </w:r>
      <w:r w:rsidRPr="00A77AF6">
        <w:t>only</w:t>
      </w:r>
      <w:r w:rsidR="00F43631" w:rsidRPr="00A77AF6">
        <w:t xml:space="preserve"> two</w:t>
      </w:r>
      <w:r w:rsidRPr="00A77AF6">
        <w:t xml:space="preserve"> projects </w:t>
      </w:r>
      <w:r w:rsidR="00333C28" w:rsidRPr="00A77AF6">
        <w:t>bettered</w:t>
      </w:r>
      <w:r w:rsidRPr="00A77AF6">
        <w:t xml:space="preserve"> their cost targets and quality targets</w:t>
      </w:r>
      <w:r w:rsidR="00547EC1" w:rsidRPr="00A77AF6">
        <w:t>, highlighted in red (</w:t>
      </w:r>
      <w:r w:rsidR="006C06B4" w:rsidRPr="00A77AF6">
        <w:t>T</w:t>
      </w:r>
      <w:r w:rsidR="00547EC1" w:rsidRPr="00A77AF6">
        <w:t xml:space="preserve">able </w:t>
      </w:r>
      <w:r w:rsidR="00F43631" w:rsidRPr="00A77AF6">
        <w:t>6-24</w:t>
      </w:r>
      <w:r w:rsidR="00547EC1" w:rsidRPr="00A77AF6">
        <w:t>)</w:t>
      </w:r>
      <w:r w:rsidR="006712BA" w:rsidRPr="00A77AF6">
        <w:t>.</w:t>
      </w:r>
      <w:r w:rsidRPr="00A77AF6">
        <w:t xml:space="preserve"> </w:t>
      </w:r>
    </w:p>
    <w:p w14:paraId="36AB028A" w14:textId="5800709B" w:rsidR="00547EC1" w:rsidRPr="00A77AF6" w:rsidRDefault="00547EC1" w:rsidP="00F43631">
      <w:pPr>
        <w:pStyle w:val="Caption"/>
        <w:keepNext/>
        <w:spacing w:after="120"/>
      </w:pPr>
      <w:r w:rsidRPr="00A77AF6">
        <w:t xml:space="preserve">Table </w:t>
      </w:r>
      <w:fldSimple w:instr=" STYLEREF 1 \s ">
        <w:r w:rsidR="000441F7">
          <w:rPr>
            <w:noProof/>
          </w:rPr>
          <w:t>6</w:t>
        </w:r>
      </w:fldSimple>
      <w:r w:rsidR="00804112">
        <w:noBreakHyphen/>
      </w:r>
      <w:fldSimple w:instr=" SEQ Table \* ARABIC \s 1 ">
        <w:r w:rsidR="000441F7">
          <w:rPr>
            <w:noProof/>
          </w:rPr>
          <w:t>24</w:t>
        </w:r>
      </w:fldSimple>
      <w:r w:rsidRPr="00A77AF6">
        <w:t xml:space="preserve">: </w:t>
      </w:r>
      <w:r w:rsidR="006270DF" w:rsidRPr="00A77AF6">
        <w:t xml:space="preserve">Time, cost and </w:t>
      </w:r>
      <w:r w:rsidR="00F91B86" w:rsidRPr="00A77AF6">
        <w:t>quality performance</w:t>
      </w:r>
      <w:r w:rsidRPr="00A77AF6">
        <w:t xml:space="preserve"> of 11 successful projects against the iron triangle</w:t>
      </w:r>
      <w:r w:rsidR="006270DF" w:rsidRPr="00A77AF6">
        <w:t xml:space="preserve"> </w:t>
      </w:r>
    </w:p>
    <w:tbl>
      <w:tblPr>
        <w:tblW w:w="6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6"/>
        <w:gridCol w:w="1559"/>
        <w:gridCol w:w="1701"/>
        <w:gridCol w:w="1134"/>
      </w:tblGrid>
      <w:tr w:rsidR="00A3795B" w:rsidRPr="00A77AF6" w14:paraId="12209A0D" w14:textId="351F3A80" w:rsidTr="00A3795B">
        <w:trPr>
          <w:trHeight w:val="300"/>
        </w:trPr>
        <w:tc>
          <w:tcPr>
            <w:tcW w:w="1134" w:type="dxa"/>
            <w:shd w:val="clear" w:color="auto" w:fill="D9D9D9" w:themeFill="background1" w:themeFillShade="D9"/>
          </w:tcPr>
          <w:p w14:paraId="7DB54FCD" w14:textId="43046DB6" w:rsidR="00A3795B" w:rsidRPr="00A77AF6" w:rsidRDefault="00A3795B" w:rsidP="002C7E00">
            <w:pPr>
              <w:spacing w:after="0" w:line="240" w:lineRule="auto"/>
              <w:rPr>
                <w:rFonts w:ascii="Calibri" w:eastAsia="Times New Roman" w:hAnsi="Calibri" w:cs="Calibri"/>
                <w:color w:val="000000"/>
                <w:lang w:eastAsia="en-GB"/>
              </w:rPr>
            </w:pPr>
            <w:r w:rsidRPr="00A77AF6">
              <w:rPr>
                <w:rFonts w:ascii="Calibri" w:eastAsia="Times New Roman" w:hAnsi="Calibri" w:cs="Calibri"/>
                <w:color w:val="000000"/>
                <w:lang w:eastAsia="en-GB"/>
              </w:rPr>
              <w:t xml:space="preserve">Unique Project id </w:t>
            </w:r>
          </w:p>
        </w:tc>
        <w:tc>
          <w:tcPr>
            <w:tcW w:w="1276" w:type="dxa"/>
            <w:shd w:val="clear" w:color="auto" w:fill="D9D9D9" w:themeFill="background1" w:themeFillShade="D9"/>
            <w:noWrap/>
            <w:hideMark/>
          </w:tcPr>
          <w:p w14:paraId="52F41149" w14:textId="453A3746" w:rsidR="00A3795B" w:rsidRPr="00A77AF6" w:rsidRDefault="00A3795B" w:rsidP="00F212D6">
            <w:pPr>
              <w:spacing w:after="0" w:line="240" w:lineRule="auto"/>
              <w:jc w:val="center"/>
              <w:rPr>
                <w:rFonts w:ascii="Calibri" w:eastAsia="Times New Roman" w:hAnsi="Calibri" w:cs="Calibri"/>
                <w:color w:val="000000"/>
                <w:lang w:eastAsia="en-GB"/>
              </w:rPr>
            </w:pPr>
            <w:r w:rsidRPr="00A77AF6">
              <w:rPr>
                <w:rFonts w:ascii="Calibri" w:eastAsia="Times New Roman" w:hAnsi="Calibri" w:cs="Calibri"/>
                <w:color w:val="000000"/>
                <w:lang w:eastAsia="en-GB"/>
              </w:rPr>
              <w:t>Time score</w:t>
            </w:r>
          </w:p>
        </w:tc>
        <w:tc>
          <w:tcPr>
            <w:tcW w:w="1559" w:type="dxa"/>
            <w:shd w:val="clear" w:color="auto" w:fill="D9D9D9" w:themeFill="background1" w:themeFillShade="D9"/>
            <w:noWrap/>
            <w:hideMark/>
          </w:tcPr>
          <w:p w14:paraId="7847FFAC" w14:textId="7C5D36AA" w:rsidR="00A3795B" w:rsidRPr="00A77AF6" w:rsidRDefault="00A3795B" w:rsidP="00F212D6">
            <w:pPr>
              <w:spacing w:after="0" w:line="240" w:lineRule="auto"/>
              <w:jc w:val="center"/>
              <w:rPr>
                <w:rFonts w:ascii="Calibri" w:eastAsia="Times New Roman" w:hAnsi="Calibri" w:cs="Calibri"/>
                <w:color w:val="000000"/>
                <w:lang w:eastAsia="en-GB"/>
              </w:rPr>
            </w:pPr>
            <w:r w:rsidRPr="00A77AF6">
              <w:rPr>
                <w:rFonts w:ascii="Calibri" w:eastAsia="Times New Roman" w:hAnsi="Calibri" w:cs="Calibri"/>
                <w:color w:val="000000"/>
                <w:lang w:eastAsia="en-GB"/>
              </w:rPr>
              <w:t>Cost score</w:t>
            </w:r>
          </w:p>
        </w:tc>
        <w:tc>
          <w:tcPr>
            <w:tcW w:w="1701" w:type="dxa"/>
            <w:shd w:val="clear" w:color="auto" w:fill="D9D9D9" w:themeFill="background1" w:themeFillShade="D9"/>
            <w:noWrap/>
            <w:hideMark/>
          </w:tcPr>
          <w:p w14:paraId="7D2867BC" w14:textId="3BD11C55" w:rsidR="00A3795B" w:rsidRPr="00A77AF6" w:rsidRDefault="00A3795B" w:rsidP="00F212D6">
            <w:pPr>
              <w:spacing w:after="0" w:line="240" w:lineRule="auto"/>
              <w:jc w:val="center"/>
              <w:rPr>
                <w:rFonts w:ascii="Calibri" w:eastAsia="Times New Roman" w:hAnsi="Calibri" w:cs="Calibri"/>
                <w:color w:val="000000"/>
                <w:lang w:eastAsia="en-GB"/>
              </w:rPr>
            </w:pPr>
            <w:r w:rsidRPr="00A77AF6">
              <w:rPr>
                <w:rFonts w:ascii="Calibri" w:eastAsia="Times New Roman" w:hAnsi="Calibri" w:cs="Calibri"/>
                <w:color w:val="000000"/>
                <w:lang w:eastAsia="en-GB"/>
              </w:rPr>
              <w:t>Quality score</w:t>
            </w:r>
          </w:p>
        </w:tc>
        <w:tc>
          <w:tcPr>
            <w:tcW w:w="1134" w:type="dxa"/>
            <w:shd w:val="clear" w:color="auto" w:fill="D9D9D9" w:themeFill="background1" w:themeFillShade="D9"/>
          </w:tcPr>
          <w:p w14:paraId="0A141FBD" w14:textId="0D36638F" w:rsidR="00A3795B" w:rsidRPr="00A77AF6" w:rsidRDefault="00A3795B" w:rsidP="00F212D6">
            <w:pPr>
              <w:spacing w:after="0" w:line="240" w:lineRule="auto"/>
              <w:jc w:val="center"/>
              <w:rPr>
                <w:rFonts w:ascii="Calibri" w:eastAsia="Times New Roman" w:hAnsi="Calibri" w:cs="Calibri"/>
                <w:color w:val="000000"/>
                <w:lang w:eastAsia="en-GB"/>
              </w:rPr>
            </w:pPr>
            <w:r w:rsidRPr="00A77AF6">
              <w:rPr>
                <w:rFonts w:ascii="Calibri" w:eastAsia="Times New Roman" w:hAnsi="Calibri" w:cs="Calibri"/>
                <w:color w:val="000000"/>
                <w:lang w:eastAsia="en-GB"/>
              </w:rPr>
              <w:t xml:space="preserve">Total </w:t>
            </w:r>
          </w:p>
        </w:tc>
      </w:tr>
      <w:tr w:rsidR="00A3795B" w:rsidRPr="00A77AF6" w14:paraId="1E8D68F3" w14:textId="411243F7" w:rsidTr="00A3795B">
        <w:trPr>
          <w:trHeight w:val="300"/>
        </w:trPr>
        <w:tc>
          <w:tcPr>
            <w:tcW w:w="1134" w:type="dxa"/>
            <w:vAlign w:val="bottom"/>
          </w:tcPr>
          <w:p w14:paraId="294C3C8D" w14:textId="47D9D18A" w:rsidR="00A3795B" w:rsidRPr="00A77AF6" w:rsidRDefault="00A3795B" w:rsidP="000C0EEA">
            <w:pPr>
              <w:spacing w:after="0" w:line="240" w:lineRule="auto"/>
              <w:rPr>
                <w:rFonts w:ascii="Calibri" w:eastAsia="Times New Roman" w:hAnsi="Calibri" w:cs="Calibri"/>
                <w:b/>
                <w:bCs/>
                <w:color w:val="FF0000"/>
                <w:lang w:eastAsia="en-GB"/>
              </w:rPr>
            </w:pPr>
            <w:r w:rsidRPr="00A77AF6">
              <w:rPr>
                <w:rFonts w:ascii="Calibri" w:hAnsi="Calibri" w:cs="Calibri"/>
                <w:color w:val="000000"/>
              </w:rPr>
              <w:t>67</w:t>
            </w:r>
          </w:p>
        </w:tc>
        <w:tc>
          <w:tcPr>
            <w:tcW w:w="1276" w:type="dxa"/>
            <w:shd w:val="clear" w:color="auto" w:fill="auto"/>
            <w:noWrap/>
            <w:vAlign w:val="bottom"/>
            <w:hideMark/>
          </w:tcPr>
          <w:p w14:paraId="07C296DA" w14:textId="5C2EEF79" w:rsidR="00A3795B" w:rsidRPr="00A77AF6" w:rsidRDefault="00A3795B" w:rsidP="00F212D6">
            <w:pPr>
              <w:spacing w:after="0" w:line="240" w:lineRule="auto"/>
              <w:jc w:val="center"/>
              <w:rPr>
                <w:rFonts w:ascii="Calibri" w:eastAsia="Times New Roman" w:hAnsi="Calibri" w:cs="Calibri"/>
                <w:b/>
                <w:bCs/>
                <w:lang w:eastAsia="en-GB"/>
              </w:rPr>
            </w:pPr>
            <w:r w:rsidRPr="00A77AF6">
              <w:rPr>
                <w:rFonts w:ascii="Calibri" w:eastAsia="Times New Roman" w:hAnsi="Calibri" w:cs="Calibri"/>
                <w:b/>
                <w:bCs/>
                <w:lang w:eastAsia="en-GB"/>
              </w:rPr>
              <w:t>3</w:t>
            </w:r>
          </w:p>
        </w:tc>
        <w:tc>
          <w:tcPr>
            <w:tcW w:w="1559" w:type="dxa"/>
            <w:shd w:val="clear" w:color="auto" w:fill="auto"/>
            <w:noWrap/>
            <w:vAlign w:val="bottom"/>
            <w:hideMark/>
          </w:tcPr>
          <w:p w14:paraId="4F21F087" w14:textId="77777777" w:rsidR="00A3795B" w:rsidRPr="00A77AF6" w:rsidRDefault="00A3795B" w:rsidP="00F212D6">
            <w:pPr>
              <w:spacing w:after="0" w:line="240" w:lineRule="auto"/>
              <w:jc w:val="center"/>
              <w:rPr>
                <w:rFonts w:ascii="Calibri" w:eastAsia="Times New Roman" w:hAnsi="Calibri" w:cs="Calibri"/>
                <w:b/>
                <w:bCs/>
                <w:lang w:eastAsia="en-GB"/>
              </w:rPr>
            </w:pPr>
            <w:r w:rsidRPr="00A77AF6">
              <w:rPr>
                <w:rFonts w:ascii="Calibri" w:eastAsia="Times New Roman" w:hAnsi="Calibri" w:cs="Calibri"/>
                <w:b/>
                <w:bCs/>
                <w:lang w:eastAsia="en-GB"/>
              </w:rPr>
              <w:t>3</w:t>
            </w:r>
          </w:p>
        </w:tc>
        <w:tc>
          <w:tcPr>
            <w:tcW w:w="1701" w:type="dxa"/>
            <w:shd w:val="clear" w:color="auto" w:fill="auto"/>
            <w:noWrap/>
            <w:vAlign w:val="bottom"/>
            <w:hideMark/>
          </w:tcPr>
          <w:p w14:paraId="641541E2" w14:textId="77777777" w:rsidR="00A3795B" w:rsidRPr="00A77AF6" w:rsidRDefault="00A3795B" w:rsidP="00F212D6">
            <w:pPr>
              <w:spacing w:after="0" w:line="240" w:lineRule="auto"/>
              <w:jc w:val="center"/>
              <w:rPr>
                <w:rFonts w:ascii="Calibri" w:eastAsia="Times New Roman" w:hAnsi="Calibri" w:cs="Calibri"/>
                <w:b/>
                <w:bCs/>
                <w:lang w:eastAsia="en-GB"/>
              </w:rPr>
            </w:pPr>
            <w:r w:rsidRPr="00A77AF6">
              <w:rPr>
                <w:rFonts w:ascii="Calibri" w:eastAsia="Times New Roman" w:hAnsi="Calibri" w:cs="Calibri"/>
                <w:b/>
                <w:bCs/>
                <w:lang w:eastAsia="en-GB"/>
              </w:rPr>
              <w:t>3</w:t>
            </w:r>
          </w:p>
        </w:tc>
        <w:tc>
          <w:tcPr>
            <w:tcW w:w="1134" w:type="dxa"/>
          </w:tcPr>
          <w:p w14:paraId="74C63E4F" w14:textId="7A961234" w:rsidR="00A3795B" w:rsidRPr="00A77AF6" w:rsidRDefault="00A3795B" w:rsidP="00F212D6">
            <w:pPr>
              <w:spacing w:after="0" w:line="240" w:lineRule="auto"/>
              <w:jc w:val="center"/>
              <w:rPr>
                <w:rFonts w:ascii="Calibri" w:eastAsia="Times New Roman" w:hAnsi="Calibri" w:cs="Calibri"/>
                <w:b/>
                <w:bCs/>
                <w:color w:val="000000" w:themeColor="text1"/>
                <w:lang w:eastAsia="en-GB"/>
              </w:rPr>
            </w:pPr>
            <w:r w:rsidRPr="00A77AF6">
              <w:rPr>
                <w:rFonts w:ascii="Calibri" w:eastAsia="Times New Roman" w:hAnsi="Calibri" w:cs="Calibri"/>
                <w:b/>
                <w:bCs/>
                <w:color w:val="000000" w:themeColor="text1"/>
                <w:lang w:eastAsia="en-GB"/>
              </w:rPr>
              <w:t>9</w:t>
            </w:r>
          </w:p>
        </w:tc>
      </w:tr>
      <w:tr w:rsidR="00A3795B" w:rsidRPr="00A77AF6" w14:paraId="6FA3E2AA" w14:textId="745145E5" w:rsidTr="00A3795B">
        <w:trPr>
          <w:trHeight w:val="300"/>
        </w:trPr>
        <w:tc>
          <w:tcPr>
            <w:tcW w:w="1134" w:type="dxa"/>
            <w:vAlign w:val="bottom"/>
          </w:tcPr>
          <w:p w14:paraId="57AD0A48" w14:textId="09C87BD7" w:rsidR="00A3795B" w:rsidRPr="00A77AF6" w:rsidRDefault="00A3795B" w:rsidP="000C0EEA">
            <w:pPr>
              <w:spacing w:after="0" w:line="240" w:lineRule="auto"/>
              <w:rPr>
                <w:rFonts w:ascii="Calibri" w:eastAsia="Times New Roman" w:hAnsi="Calibri" w:cs="Calibri"/>
                <w:b/>
                <w:bCs/>
                <w:color w:val="FF0000"/>
                <w:lang w:eastAsia="en-GB"/>
              </w:rPr>
            </w:pPr>
            <w:r w:rsidRPr="00A77AF6">
              <w:rPr>
                <w:rFonts w:ascii="Calibri" w:hAnsi="Calibri" w:cs="Calibri"/>
                <w:color w:val="FF0000"/>
              </w:rPr>
              <w:t>84</w:t>
            </w:r>
          </w:p>
        </w:tc>
        <w:tc>
          <w:tcPr>
            <w:tcW w:w="1276" w:type="dxa"/>
            <w:shd w:val="clear" w:color="auto" w:fill="auto"/>
            <w:noWrap/>
            <w:vAlign w:val="bottom"/>
            <w:hideMark/>
          </w:tcPr>
          <w:p w14:paraId="0367D133" w14:textId="23E80643" w:rsidR="00A3795B" w:rsidRPr="00A77AF6" w:rsidRDefault="00A3795B" w:rsidP="00F212D6">
            <w:pPr>
              <w:spacing w:after="0" w:line="240" w:lineRule="auto"/>
              <w:jc w:val="center"/>
              <w:rPr>
                <w:rFonts w:ascii="Calibri" w:eastAsia="Times New Roman" w:hAnsi="Calibri" w:cs="Calibri"/>
                <w:b/>
                <w:bCs/>
                <w:color w:val="FF0000"/>
                <w:lang w:eastAsia="en-GB"/>
              </w:rPr>
            </w:pPr>
            <w:r w:rsidRPr="00A77AF6">
              <w:rPr>
                <w:rFonts w:ascii="Calibri" w:eastAsia="Times New Roman" w:hAnsi="Calibri" w:cs="Calibri"/>
                <w:b/>
                <w:bCs/>
                <w:color w:val="FF0000"/>
                <w:lang w:eastAsia="en-GB"/>
              </w:rPr>
              <w:t>3</w:t>
            </w:r>
          </w:p>
        </w:tc>
        <w:tc>
          <w:tcPr>
            <w:tcW w:w="1559" w:type="dxa"/>
            <w:shd w:val="clear" w:color="auto" w:fill="auto"/>
            <w:noWrap/>
            <w:vAlign w:val="bottom"/>
            <w:hideMark/>
          </w:tcPr>
          <w:p w14:paraId="40D15364" w14:textId="77777777" w:rsidR="00A3795B" w:rsidRPr="00A77AF6" w:rsidRDefault="00A3795B" w:rsidP="00F212D6">
            <w:pPr>
              <w:spacing w:after="0" w:line="240" w:lineRule="auto"/>
              <w:jc w:val="center"/>
              <w:rPr>
                <w:rFonts w:ascii="Calibri" w:eastAsia="Times New Roman" w:hAnsi="Calibri" w:cs="Calibri"/>
                <w:b/>
                <w:bCs/>
                <w:color w:val="FF0000"/>
                <w:lang w:eastAsia="en-GB"/>
              </w:rPr>
            </w:pPr>
            <w:r w:rsidRPr="00A77AF6">
              <w:rPr>
                <w:rFonts w:ascii="Calibri" w:eastAsia="Times New Roman" w:hAnsi="Calibri" w:cs="Calibri"/>
                <w:b/>
                <w:bCs/>
                <w:color w:val="FF0000"/>
                <w:lang w:eastAsia="en-GB"/>
              </w:rPr>
              <w:t>4</w:t>
            </w:r>
          </w:p>
        </w:tc>
        <w:tc>
          <w:tcPr>
            <w:tcW w:w="1701" w:type="dxa"/>
            <w:shd w:val="clear" w:color="auto" w:fill="auto"/>
            <w:noWrap/>
            <w:vAlign w:val="bottom"/>
            <w:hideMark/>
          </w:tcPr>
          <w:p w14:paraId="3978F035" w14:textId="77777777" w:rsidR="00A3795B" w:rsidRPr="00A77AF6" w:rsidRDefault="00A3795B" w:rsidP="00F212D6">
            <w:pPr>
              <w:spacing w:after="0" w:line="240" w:lineRule="auto"/>
              <w:jc w:val="center"/>
              <w:rPr>
                <w:rFonts w:ascii="Calibri" w:eastAsia="Times New Roman" w:hAnsi="Calibri" w:cs="Calibri"/>
                <w:b/>
                <w:bCs/>
                <w:color w:val="FF0000"/>
                <w:lang w:eastAsia="en-GB"/>
              </w:rPr>
            </w:pPr>
            <w:r w:rsidRPr="00A77AF6">
              <w:rPr>
                <w:rFonts w:ascii="Calibri" w:eastAsia="Times New Roman" w:hAnsi="Calibri" w:cs="Calibri"/>
                <w:b/>
                <w:bCs/>
                <w:color w:val="FF0000"/>
                <w:lang w:eastAsia="en-GB"/>
              </w:rPr>
              <w:t>3</w:t>
            </w:r>
          </w:p>
        </w:tc>
        <w:tc>
          <w:tcPr>
            <w:tcW w:w="1134" w:type="dxa"/>
          </w:tcPr>
          <w:p w14:paraId="6CF3634A" w14:textId="7F34DE9A" w:rsidR="00A3795B" w:rsidRPr="00A77AF6" w:rsidRDefault="00A3795B" w:rsidP="00F212D6">
            <w:pPr>
              <w:spacing w:after="0" w:line="240" w:lineRule="auto"/>
              <w:jc w:val="center"/>
              <w:rPr>
                <w:rFonts w:ascii="Calibri" w:eastAsia="Times New Roman" w:hAnsi="Calibri" w:cs="Calibri"/>
                <w:b/>
                <w:bCs/>
                <w:color w:val="FF0000"/>
                <w:lang w:eastAsia="en-GB"/>
              </w:rPr>
            </w:pPr>
            <w:r w:rsidRPr="00A77AF6">
              <w:rPr>
                <w:rFonts w:ascii="Calibri" w:eastAsia="Times New Roman" w:hAnsi="Calibri" w:cs="Calibri"/>
                <w:b/>
                <w:bCs/>
                <w:color w:val="FF0000"/>
                <w:lang w:eastAsia="en-GB"/>
              </w:rPr>
              <w:t>10</w:t>
            </w:r>
          </w:p>
        </w:tc>
      </w:tr>
      <w:tr w:rsidR="00A3795B" w:rsidRPr="00A77AF6" w14:paraId="13CFF97A" w14:textId="50350CE3" w:rsidTr="00A3795B">
        <w:trPr>
          <w:trHeight w:val="300"/>
        </w:trPr>
        <w:tc>
          <w:tcPr>
            <w:tcW w:w="1134" w:type="dxa"/>
            <w:vAlign w:val="bottom"/>
          </w:tcPr>
          <w:p w14:paraId="50CB793B" w14:textId="772C753A" w:rsidR="00A3795B" w:rsidRPr="00A77AF6" w:rsidRDefault="00A3795B" w:rsidP="000C0EEA">
            <w:pPr>
              <w:spacing w:after="0" w:line="240" w:lineRule="auto"/>
              <w:rPr>
                <w:rFonts w:ascii="Calibri" w:eastAsia="Times New Roman" w:hAnsi="Calibri" w:cs="Calibri"/>
                <w:b/>
                <w:bCs/>
                <w:color w:val="FF0000"/>
                <w:lang w:eastAsia="en-GB"/>
              </w:rPr>
            </w:pPr>
            <w:r w:rsidRPr="00A77AF6">
              <w:rPr>
                <w:rFonts w:ascii="Calibri" w:hAnsi="Calibri" w:cs="Calibri"/>
                <w:color w:val="000000"/>
              </w:rPr>
              <w:t>87</w:t>
            </w:r>
          </w:p>
        </w:tc>
        <w:tc>
          <w:tcPr>
            <w:tcW w:w="1276" w:type="dxa"/>
            <w:shd w:val="clear" w:color="auto" w:fill="auto"/>
            <w:noWrap/>
            <w:vAlign w:val="bottom"/>
            <w:hideMark/>
          </w:tcPr>
          <w:p w14:paraId="13B34E00" w14:textId="664C80B8" w:rsidR="00A3795B" w:rsidRPr="00A77AF6" w:rsidRDefault="00A3795B" w:rsidP="00F212D6">
            <w:pPr>
              <w:spacing w:after="0" w:line="240" w:lineRule="auto"/>
              <w:jc w:val="center"/>
              <w:rPr>
                <w:rFonts w:ascii="Calibri" w:eastAsia="Times New Roman" w:hAnsi="Calibri" w:cs="Calibri"/>
                <w:b/>
                <w:bCs/>
                <w:lang w:eastAsia="en-GB"/>
              </w:rPr>
            </w:pPr>
            <w:r w:rsidRPr="00A77AF6">
              <w:rPr>
                <w:rFonts w:ascii="Calibri" w:eastAsia="Times New Roman" w:hAnsi="Calibri" w:cs="Calibri"/>
                <w:b/>
                <w:bCs/>
                <w:lang w:eastAsia="en-GB"/>
              </w:rPr>
              <w:t>3</w:t>
            </w:r>
          </w:p>
        </w:tc>
        <w:tc>
          <w:tcPr>
            <w:tcW w:w="1559" w:type="dxa"/>
            <w:shd w:val="clear" w:color="auto" w:fill="auto"/>
            <w:noWrap/>
            <w:vAlign w:val="bottom"/>
            <w:hideMark/>
          </w:tcPr>
          <w:p w14:paraId="60C42246" w14:textId="77777777" w:rsidR="00A3795B" w:rsidRPr="00A77AF6" w:rsidRDefault="00A3795B" w:rsidP="00F212D6">
            <w:pPr>
              <w:spacing w:after="0" w:line="240" w:lineRule="auto"/>
              <w:jc w:val="center"/>
              <w:rPr>
                <w:rFonts w:ascii="Calibri" w:eastAsia="Times New Roman" w:hAnsi="Calibri" w:cs="Calibri"/>
                <w:b/>
                <w:bCs/>
                <w:lang w:eastAsia="en-GB"/>
              </w:rPr>
            </w:pPr>
            <w:r w:rsidRPr="00A77AF6">
              <w:rPr>
                <w:rFonts w:ascii="Calibri" w:eastAsia="Times New Roman" w:hAnsi="Calibri" w:cs="Calibri"/>
                <w:b/>
                <w:bCs/>
                <w:lang w:eastAsia="en-GB"/>
              </w:rPr>
              <w:t>3</w:t>
            </w:r>
          </w:p>
        </w:tc>
        <w:tc>
          <w:tcPr>
            <w:tcW w:w="1701" w:type="dxa"/>
            <w:shd w:val="clear" w:color="auto" w:fill="auto"/>
            <w:noWrap/>
            <w:vAlign w:val="bottom"/>
            <w:hideMark/>
          </w:tcPr>
          <w:p w14:paraId="5F63D42F" w14:textId="77777777" w:rsidR="00A3795B" w:rsidRPr="00A77AF6" w:rsidRDefault="00A3795B" w:rsidP="00F212D6">
            <w:pPr>
              <w:spacing w:after="0" w:line="240" w:lineRule="auto"/>
              <w:jc w:val="center"/>
              <w:rPr>
                <w:rFonts w:ascii="Calibri" w:eastAsia="Times New Roman" w:hAnsi="Calibri" w:cs="Calibri"/>
                <w:b/>
                <w:bCs/>
                <w:lang w:eastAsia="en-GB"/>
              </w:rPr>
            </w:pPr>
            <w:r w:rsidRPr="00A77AF6">
              <w:rPr>
                <w:rFonts w:ascii="Calibri" w:eastAsia="Times New Roman" w:hAnsi="Calibri" w:cs="Calibri"/>
                <w:b/>
                <w:bCs/>
                <w:lang w:eastAsia="en-GB"/>
              </w:rPr>
              <w:t>3</w:t>
            </w:r>
          </w:p>
        </w:tc>
        <w:tc>
          <w:tcPr>
            <w:tcW w:w="1134" w:type="dxa"/>
          </w:tcPr>
          <w:p w14:paraId="1E3C35D0" w14:textId="2A4CBCC6" w:rsidR="00A3795B" w:rsidRPr="00A77AF6" w:rsidRDefault="00A3795B" w:rsidP="00F212D6">
            <w:pPr>
              <w:spacing w:after="0" w:line="240" w:lineRule="auto"/>
              <w:jc w:val="center"/>
              <w:rPr>
                <w:rFonts w:ascii="Calibri" w:eastAsia="Times New Roman" w:hAnsi="Calibri" w:cs="Calibri"/>
                <w:b/>
                <w:bCs/>
                <w:color w:val="000000" w:themeColor="text1"/>
                <w:lang w:eastAsia="en-GB"/>
              </w:rPr>
            </w:pPr>
            <w:r w:rsidRPr="00A77AF6">
              <w:rPr>
                <w:rFonts w:ascii="Calibri" w:eastAsia="Times New Roman" w:hAnsi="Calibri" w:cs="Calibri"/>
                <w:b/>
                <w:bCs/>
                <w:color w:val="000000" w:themeColor="text1"/>
                <w:lang w:eastAsia="en-GB"/>
              </w:rPr>
              <w:t>9</w:t>
            </w:r>
          </w:p>
        </w:tc>
      </w:tr>
      <w:tr w:rsidR="00A3795B" w:rsidRPr="00A77AF6" w14:paraId="31CB387B" w14:textId="06E91BC5" w:rsidTr="00A3795B">
        <w:trPr>
          <w:trHeight w:val="300"/>
        </w:trPr>
        <w:tc>
          <w:tcPr>
            <w:tcW w:w="1134" w:type="dxa"/>
            <w:vAlign w:val="bottom"/>
          </w:tcPr>
          <w:p w14:paraId="04F40680" w14:textId="6DB0E147" w:rsidR="00A3795B" w:rsidRPr="00A77AF6" w:rsidRDefault="00A3795B" w:rsidP="000C0EEA">
            <w:pPr>
              <w:spacing w:after="0" w:line="240" w:lineRule="auto"/>
              <w:rPr>
                <w:rFonts w:ascii="Calibri" w:eastAsia="Times New Roman" w:hAnsi="Calibri" w:cs="Calibri"/>
                <w:b/>
                <w:bCs/>
                <w:color w:val="FF0000"/>
                <w:lang w:eastAsia="en-GB"/>
              </w:rPr>
            </w:pPr>
            <w:r w:rsidRPr="00A77AF6">
              <w:rPr>
                <w:rFonts w:ascii="Calibri" w:hAnsi="Calibri" w:cs="Calibri"/>
                <w:color w:val="000000"/>
              </w:rPr>
              <w:t>93</w:t>
            </w:r>
          </w:p>
        </w:tc>
        <w:tc>
          <w:tcPr>
            <w:tcW w:w="1276" w:type="dxa"/>
            <w:shd w:val="clear" w:color="auto" w:fill="auto"/>
            <w:noWrap/>
            <w:vAlign w:val="bottom"/>
            <w:hideMark/>
          </w:tcPr>
          <w:p w14:paraId="1D390FE9" w14:textId="6E0548A9" w:rsidR="00A3795B" w:rsidRPr="00A77AF6" w:rsidRDefault="00A3795B" w:rsidP="00F212D6">
            <w:pPr>
              <w:spacing w:after="0" w:line="240" w:lineRule="auto"/>
              <w:jc w:val="center"/>
              <w:rPr>
                <w:rFonts w:ascii="Calibri" w:eastAsia="Times New Roman" w:hAnsi="Calibri" w:cs="Calibri"/>
                <w:b/>
                <w:bCs/>
                <w:lang w:eastAsia="en-GB"/>
              </w:rPr>
            </w:pPr>
            <w:r w:rsidRPr="00A77AF6">
              <w:rPr>
                <w:rFonts w:ascii="Calibri" w:eastAsia="Times New Roman" w:hAnsi="Calibri" w:cs="Calibri"/>
                <w:b/>
                <w:bCs/>
                <w:lang w:eastAsia="en-GB"/>
              </w:rPr>
              <w:t>3</w:t>
            </w:r>
          </w:p>
        </w:tc>
        <w:tc>
          <w:tcPr>
            <w:tcW w:w="1559" w:type="dxa"/>
            <w:shd w:val="clear" w:color="auto" w:fill="auto"/>
            <w:noWrap/>
            <w:vAlign w:val="bottom"/>
            <w:hideMark/>
          </w:tcPr>
          <w:p w14:paraId="312412FF" w14:textId="77777777" w:rsidR="00A3795B" w:rsidRPr="00A77AF6" w:rsidRDefault="00A3795B" w:rsidP="00F212D6">
            <w:pPr>
              <w:spacing w:after="0" w:line="240" w:lineRule="auto"/>
              <w:jc w:val="center"/>
              <w:rPr>
                <w:rFonts w:ascii="Calibri" w:eastAsia="Times New Roman" w:hAnsi="Calibri" w:cs="Calibri"/>
                <w:b/>
                <w:bCs/>
                <w:lang w:eastAsia="en-GB"/>
              </w:rPr>
            </w:pPr>
            <w:r w:rsidRPr="00A77AF6">
              <w:rPr>
                <w:rFonts w:ascii="Calibri" w:eastAsia="Times New Roman" w:hAnsi="Calibri" w:cs="Calibri"/>
                <w:b/>
                <w:bCs/>
                <w:lang w:eastAsia="en-GB"/>
              </w:rPr>
              <w:t>3</w:t>
            </w:r>
          </w:p>
        </w:tc>
        <w:tc>
          <w:tcPr>
            <w:tcW w:w="1701" w:type="dxa"/>
            <w:shd w:val="clear" w:color="auto" w:fill="auto"/>
            <w:noWrap/>
            <w:vAlign w:val="bottom"/>
            <w:hideMark/>
          </w:tcPr>
          <w:p w14:paraId="4FF980B3" w14:textId="77777777" w:rsidR="00A3795B" w:rsidRPr="00A77AF6" w:rsidRDefault="00A3795B" w:rsidP="00F212D6">
            <w:pPr>
              <w:spacing w:after="0" w:line="240" w:lineRule="auto"/>
              <w:jc w:val="center"/>
              <w:rPr>
                <w:rFonts w:ascii="Calibri" w:eastAsia="Times New Roman" w:hAnsi="Calibri" w:cs="Calibri"/>
                <w:b/>
                <w:bCs/>
                <w:lang w:eastAsia="en-GB"/>
              </w:rPr>
            </w:pPr>
            <w:r w:rsidRPr="00A77AF6">
              <w:rPr>
                <w:rFonts w:ascii="Calibri" w:eastAsia="Times New Roman" w:hAnsi="Calibri" w:cs="Calibri"/>
                <w:b/>
                <w:bCs/>
                <w:lang w:eastAsia="en-GB"/>
              </w:rPr>
              <w:t>3</w:t>
            </w:r>
          </w:p>
        </w:tc>
        <w:tc>
          <w:tcPr>
            <w:tcW w:w="1134" w:type="dxa"/>
          </w:tcPr>
          <w:p w14:paraId="37DB18AD" w14:textId="5CF2B119" w:rsidR="00A3795B" w:rsidRPr="00A77AF6" w:rsidRDefault="00A3795B" w:rsidP="00F212D6">
            <w:pPr>
              <w:spacing w:after="0" w:line="240" w:lineRule="auto"/>
              <w:jc w:val="center"/>
              <w:rPr>
                <w:rFonts w:ascii="Calibri" w:eastAsia="Times New Roman" w:hAnsi="Calibri" w:cs="Calibri"/>
                <w:b/>
                <w:bCs/>
                <w:color w:val="000000" w:themeColor="text1"/>
                <w:lang w:eastAsia="en-GB"/>
              </w:rPr>
            </w:pPr>
            <w:r w:rsidRPr="00A77AF6">
              <w:rPr>
                <w:rFonts w:ascii="Calibri" w:eastAsia="Times New Roman" w:hAnsi="Calibri" w:cs="Calibri"/>
                <w:b/>
                <w:bCs/>
                <w:color w:val="000000" w:themeColor="text1"/>
                <w:lang w:eastAsia="en-GB"/>
              </w:rPr>
              <w:t>9</w:t>
            </w:r>
          </w:p>
        </w:tc>
      </w:tr>
      <w:tr w:rsidR="00A3795B" w:rsidRPr="00A77AF6" w14:paraId="4939C9F8" w14:textId="6B4E82F5" w:rsidTr="00A3795B">
        <w:trPr>
          <w:trHeight w:val="300"/>
        </w:trPr>
        <w:tc>
          <w:tcPr>
            <w:tcW w:w="1134" w:type="dxa"/>
            <w:vAlign w:val="bottom"/>
          </w:tcPr>
          <w:p w14:paraId="1E738430" w14:textId="55874418" w:rsidR="00A3795B" w:rsidRPr="00A77AF6" w:rsidRDefault="00A3795B" w:rsidP="000C0EEA">
            <w:pPr>
              <w:spacing w:after="0" w:line="240" w:lineRule="auto"/>
              <w:rPr>
                <w:rFonts w:ascii="Calibri" w:eastAsia="Times New Roman" w:hAnsi="Calibri" w:cs="Calibri"/>
                <w:b/>
                <w:bCs/>
                <w:color w:val="FF0000"/>
                <w:lang w:eastAsia="en-GB"/>
              </w:rPr>
            </w:pPr>
            <w:r w:rsidRPr="00A77AF6">
              <w:rPr>
                <w:rFonts w:ascii="Calibri" w:hAnsi="Calibri" w:cs="Calibri"/>
                <w:color w:val="FF0000"/>
              </w:rPr>
              <w:t>103</w:t>
            </w:r>
          </w:p>
        </w:tc>
        <w:tc>
          <w:tcPr>
            <w:tcW w:w="1276" w:type="dxa"/>
            <w:shd w:val="clear" w:color="auto" w:fill="auto"/>
            <w:noWrap/>
            <w:vAlign w:val="bottom"/>
            <w:hideMark/>
          </w:tcPr>
          <w:p w14:paraId="4ABDAAF1" w14:textId="3264610D" w:rsidR="00A3795B" w:rsidRPr="00A77AF6" w:rsidRDefault="00A3795B" w:rsidP="00F212D6">
            <w:pPr>
              <w:spacing w:after="0" w:line="240" w:lineRule="auto"/>
              <w:jc w:val="center"/>
              <w:rPr>
                <w:rFonts w:ascii="Calibri" w:eastAsia="Times New Roman" w:hAnsi="Calibri" w:cs="Calibri"/>
                <w:b/>
                <w:bCs/>
                <w:color w:val="FF0000"/>
                <w:lang w:eastAsia="en-GB"/>
              </w:rPr>
            </w:pPr>
            <w:r w:rsidRPr="00A77AF6">
              <w:rPr>
                <w:rFonts w:ascii="Calibri" w:eastAsia="Times New Roman" w:hAnsi="Calibri" w:cs="Calibri"/>
                <w:b/>
                <w:bCs/>
                <w:color w:val="FF0000"/>
                <w:lang w:eastAsia="en-GB"/>
              </w:rPr>
              <w:t>3</w:t>
            </w:r>
          </w:p>
        </w:tc>
        <w:tc>
          <w:tcPr>
            <w:tcW w:w="1559" w:type="dxa"/>
            <w:shd w:val="clear" w:color="auto" w:fill="auto"/>
            <w:noWrap/>
            <w:vAlign w:val="bottom"/>
            <w:hideMark/>
          </w:tcPr>
          <w:p w14:paraId="6953BF28" w14:textId="77777777" w:rsidR="00A3795B" w:rsidRPr="00A77AF6" w:rsidRDefault="00A3795B" w:rsidP="00F212D6">
            <w:pPr>
              <w:spacing w:after="0" w:line="240" w:lineRule="auto"/>
              <w:jc w:val="center"/>
              <w:rPr>
                <w:rFonts w:ascii="Calibri" w:eastAsia="Times New Roman" w:hAnsi="Calibri" w:cs="Calibri"/>
                <w:b/>
                <w:bCs/>
                <w:color w:val="FF0000"/>
                <w:lang w:eastAsia="en-GB"/>
              </w:rPr>
            </w:pPr>
            <w:r w:rsidRPr="00A77AF6">
              <w:rPr>
                <w:rFonts w:ascii="Calibri" w:eastAsia="Times New Roman" w:hAnsi="Calibri" w:cs="Calibri"/>
                <w:b/>
                <w:bCs/>
                <w:color w:val="FF0000"/>
                <w:lang w:eastAsia="en-GB"/>
              </w:rPr>
              <w:t>3</w:t>
            </w:r>
          </w:p>
        </w:tc>
        <w:tc>
          <w:tcPr>
            <w:tcW w:w="1701" w:type="dxa"/>
            <w:shd w:val="clear" w:color="auto" w:fill="auto"/>
            <w:noWrap/>
            <w:vAlign w:val="bottom"/>
            <w:hideMark/>
          </w:tcPr>
          <w:p w14:paraId="4CD9590B" w14:textId="77777777" w:rsidR="00A3795B" w:rsidRPr="00A77AF6" w:rsidRDefault="00A3795B" w:rsidP="00F212D6">
            <w:pPr>
              <w:spacing w:after="0" w:line="240" w:lineRule="auto"/>
              <w:jc w:val="center"/>
              <w:rPr>
                <w:rFonts w:ascii="Calibri" w:eastAsia="Times New Roman" w:hAnsi="Calibri" w:cs="Calibri"/>
                <w:b/>
                <w:bCs/>
                <w:color w:val="FF0000"/>
                <w:lang w:eastAsia="en-GB"/>
              </w:rPr>
            </w:pPr>
            <w:r w:rsidRPr="00A77AF6">
              <w:rPr>
                <w:rFonts w:ascii="Calibri" w:eastAsia="Times New Roman" w:hAnsi="Calibri" w:cs="Calibri"/>
                <w:b/>
                <w:bCs/>
                <w:color w:val="FF0000"/>
                <w:lang w:eastAsia="en-GB"/>
              </w:rPr>
              <w:t>4</w:t>
            </w:r>
          </w:p>
        </w:tc>
        <w:tc>
          <w:tcPr>
            <w:tcW w:w="1134" w:type="dxa"/>
          </w:tcPr>
          <w:p w14:paraId="3E02D03D" w14:textId="20685939" w:rsidR="00A3795B" w:rsidRPr="00A77AF6" w:rsidRDefault="00A3795B" w:rsidP="00F212D6">
            <w:pPr>
              <w:spacing w:after="0" w:line="240" w:lineRule="auto"/>
              <w:jc w:val="center"/>
              <w:rPr>
                <w:rFonts w:ascii="Calibri" w:eastAsia="Times New Roman" w:hAnsi="Calibri" w:cs="Calibri"/>
                <w:b/>
                <w:bCs/>
                <w:color w:val="FF0000"/>
                <w:lang w:eastAsia="en-GB"/>
              </w:rPr>
            </w:pPr>
            <w:r w:rsidRPr="00A77AF6">
              <w:rPr>
                <w:rFonts w:ascii="Calibri" w:eastAsia="Times New Roman" w:hAnsi="Calibri" w:cs="Calibri"/>
                <w:b/>
                <w:bCs/>
                <w:color w:val="FF0000"/>
                <w:lang w:eastAsia="en-GB"/>
              </w:rPr>
              <w:t>10</w:t>
            </w:r>
          </w:p>
        </w:tc>
      </w:tr>
      <w:tr w:rsidR="00A3795B" w:rsidRPr="00A77AF6" w14:paraId="01D32EE9" w14:textId="0CFB88E8" w:rsidTr="00A3795B">
        <w:trPr>
          <w:trHeight w:val="300"/>
        </w:trPr>
        <w:tc>
          <w:tcPr>
            <w:tcW w:w="1134" w:type="dxa"/>
            <w:vAlign w:val="bottom"/>
          </w:tcPr>
          <w:p w14:paraId="0B3331B2" w14:textId="7BA3FADC" w:rsidR="00A3795B" w:rsidRPr="00A77AF6" w:rsidRDefault="00A3795B" w:rsidP="000C0EEA">
            <w:pPr>
              <w:spacing w:after="0" w:line="240" w:lineRule="auto"/>
              <w:rPr>
                <w:rFonts w:ascii="Calibri" w:eastAsia="Times New Roman" w:hAnsi="Calibri" w:cs="Calibri"/>
                <w:b/>
                <w:bCs/>
                <w:color w:val="FF0000"/>
                <w:lang w:eastAsia="en-GB"/>
              </w:rPr>
            </w:pPr>
            <w:r w:rsidRPr="00A77AF6">
              <w:rPr>
                <w:rFonts w:ascii="Calibri" w:hAnsi="Calibri" w:cs="Calibri"/>
                <w:color w:val="000000"/>
              </w:rPr>
              <w:t>105</w:t>
            </w:r>
          </w:p>
        </w:tc>
        <w:tc>
          <w:tcPr>
            <w:tcW w:w="1276" w:type="dxa"/>
            <w:shd w:val="clear" w:color="auto" w:fill="auto"/>
            <w:noWrap/>
            <w:vAlign w:val="bottom"/>
            <w:hideMark/>
          </w:tcPr>
          <w:p w14:paraId="49061A2B" w14:textId="2E9A03CF" w:rsidR="00A3795B" w:rsidRPr="00A77AF6" w:rsidRDefault="00A3795B" w:rsidP="00F212D6">
            <w:pPr>
              <w:spacing w:after="0" w:line="240" w:lineRule="auto"/>
              <w:jc w:val="center"/>
              <w:rPr>
                <w:rFonts w:ascii="Calibri" w:eastAsia="Times New Roman" w:hAnsi="Calibri" w:cs="Calibri"/>
                <w:b/>
                <w:bCs/>
                <w:lang w:eastAsia="en-GB"/>
              </w:rPr>
            </w:pPr>
            <w:r w:rsidRPr="00A77AF6">
              <w:rPr>
                <w:rFonts w:ascii="Calibri" w:eastAsia="Times New Roman" w:hAnsi="Calibri" w:cs="Calibri"/>
                <w:b/>
                <w:bCs/>
                <w:lang w:eastAsia="en-GB"/>
              </w:rPr>
              <w:t>3</w:t>
            </w:r>
          </w:p>
        </w:tc>
        <w:tc>
          <w:tcPr>
            <w:tcW w:w="1559" w:type="dxa"/>
            <w:shd w:val="clear" w:color="auto" w:fill="auto"/>
            <w:noWrap/>
            <w:vAlign w:val="bottom"/>
            <w:hideMark/>
          </w:tcPr>
          <w:p w14:paraId="0A26ACC1" w14:textId="77777777" w:rsidR="00A3795B" w:rsidRPr="00A77AF6" w:rsidRDefault="00A3795B" w:rsidP="00F212D6">
            <w:pPr>
              <w:spacing w:after="0" w:line="240" w:lineRule="auto"/>
              <w:jc w:val="center"/>
              <w:rPr>
                <w:rFonts w:ascii="Calibri" w:eastAsia="Times New Roman" w:hAnsi="Calibri" w:cs="Calibri"/>
                <w:b/>
                <w:bCs/>
                <w:lang w:eastAsia="en-GB"/>
              </w:rPr>
            </w:pPr>
            <w:r w:rsidRPr="00A77AF6">
              <w:rPr>
                <w:rFonts w:ascii="Calibri" w:eastAsia="Times New Roman" w:hAnsi="Calibri" w:cs="Calibri"/>
                <w:b/>
                <w:bCs/>
                <w:lang w:eastAsia="en-GB"/>
              </w:rPr>
              <w:t>3</w:t>
            </w:r>
          </w:p>
        </w:tc>
        <w:tc>
          <w:tcPr>
            <w:tcW w:w="1701" w:type="dxa"/>
            <w:shd w:val="clear" w:color="auto" w:fill="auto"/>
            <w:noWrap/>
            <w:vAlign w:val="bottom"/>
            <w:hideMark/>
          </w:tcPr>
          <w:p w14:paraId="08BE2662" w14:textId="77777777" w:rsidR="00A3795B" w:rsidRPr="00A77AF6" w:rsidRDefault="00A3795B" w:rsidP="00F212D6">
            <w:pPr>
              <w:spacing w:after="0" w:line="240" w:lineRule="auto"/>
              <w:jc w:val="center"/>
              <w:rPr>
                <w:rFonts w:ascii="Calibri" w:eastAsia="Times New Roman" w:hAnsi="Calibri" w:cs="Calibri"/>
                <w:b/>
                <w:bCs/>
                <w:lang w:eastAsia="en-GB"/>
              </w:rPr>
            </w:pPr>
            <w:r w:rsidRPr="00A77AF6">
              <w:rPr>
                <w:rFonts w:ascii="Calibri" w:eastAsia="Times New Roman" w:hAnsi="Calibri" w:cs="Calibri"/>
                <w:b/>
                <w:bCs/>
                <w:lang w:eastAsia="en-GB"/>
              </w:rPr>
              <w:t>3</w:t>
            </w:r>
          </w:p>
        </w:tc>
        <w:tc>
          <w:tcPr>
            <w:tcW w:w="1134" w:type="dxa"/>
          </w:tcPr>
          <w:p w14:paraId="28BFF078" w14:textId="5E33A40A" w:rsidR="00A3795B" w:rsidRPr="00A77AF6" w:rsidRDefault="00A3795B" w:rsidP="00F212D6">
            <w:pPr>
              <w:spacing w:after="0" w:line="240" w:lineRule="auto"/>
              <w:jc w:val="center"/>
              <w:rPr>
                <w:rFonts w:ascii="Calibri" w:eastAsia="Times New Roman" w:hAnsi="Calibri" w:cs="Calibri"/>
                <w:b/>
                <w:bCs/>
                <w:color w:val="000000" w:themeColor="text1"/>
                <w:lang w:eastAsia="en-GB"/>
              </w:rPr>
            </w:pPr>
            <w:r w:rsidRPr="00A77AF6">
              <w:rPr>
                <w:rFonts w:ascii="Calibri" w:eastAsia="Times New Roman" w:hAnsi="Calibri" w:cs="Calibri"/>
                <w:b/>
                <w:bCs/>
                <w:color w:val="000000" w:themeColor="text1"/>
                <w:lang w:eastAsia="en-GB"/>
              </w:rPr>
              <w:t>9</w:t>
            </w:r>
          </w:p>
        </w:tc>
      </w:tr>
      <w:tr w:rsidR="00A3795B" w:rsidRPr="00A77AF6" w14:paraId="1A0D1CD0" w14:textId="6678EA4F" w:rsidTr="00A3795B">
        <w:trPr>
          <w:trHeight w:val="300"/>
        </w:trPr>
        <w:tc>
          <w:tcPr>
            <w:tcW w:w="1134" w:type="dxa"/>
            <w:vAlign w:val="bottom"/>
          </w:tcPr>
          <w:p w14:paraId="145E7C8F" w14:textId="1BB4B8E7" w:rsidR="00A3795B" w:rsidRPr="00A77AF6" w:rsidRDefault="00A3795B" w:rsidP="000C0EEA">
            <w:pPr>
              <w:spacing w:after="0" w:line="240" w:lineRule="auto"/>
              <w:rPr>
                <w:rFonts w:ascii="Calibri" w:eastAsia="Times New Roman" w:hAnsi="Calibri" w:cs="Calibri"/>
                <w:b/>
                <w:bCs/>
                <w:color w:val="FF0000"/>
                <w:lang w:eastAsia="en-GB"/>
              </w:rPr>
            </w:pPr>
            <w:r w:rsidRPr="00A77AF6">
              <w:rPr>
                <w:rFonts w:ascii="Calibri" w:hAnsi="Calibri" w:cs="Calibri"/>
                <w:color w:val="000000"/>
              </w:rPr>
              <w:t>114</w:t>
            </w:r>
          </w:p>
        </w:tc>
        <w:tc>
          <w:tcPr>
            <w:tcW w:w="1276" w:type="dxa"/>
            <w:shd w:val="clear" w:color="auto" w:fill="auto"/>
            <w:noWrap/>
            <w:vAlign w:val="bottom"/>
            <w:hideMark/>
          </w:tcPr>
          <w:p w14:paraId="0ECDA7FB" w14:textId="6873F147" w:rsidR="00A3795B" w:rsidRPr="00A77AF6" w:rsidRDefault="00A3795B" w:rsidP="00F212D6">
            <w:pPr>
              <w:spacing w:after="0" w:line="240" w:lineRule="auto"/>
              <w:jc w:val="center"/>
              <w:rPr>
                <w:rFonts w:ascii="Calibri" w:eastAsia="Times New Roman" w:hAnsi="Calibri" w:cs="Calibri"/>
                <w:b/>
                <w:bCs/>
                <w:lang w:eastAsia="en-GB"/>
              </w:rPr>
            </w:pPr>
            <w:r w:rsidRPr="00A77AF6">
              <w:rPr>
                <w:rFonts w:ascii="Calibri" w:eastAsia="Times New Roman" w:hAnsi="Calibri" w:cs="Calibri"/>
                <w:b/>
                <w:bCs/>
                <w:lang w:eastAsia="en-GB"/>
              </w:rPr>
              <w:t>3</w:t>
            </w:r>
          </w:p>
        </w:tc>
        <w:tc>
          <w:tcPr>
            <w:tcW w:w="1559" w:type="dxa"/>
            <w:shd w:val="clear" w:color="auto" w:fill="auto"/>
            <w:noWrap/>
            <w:vAlign w:val="bottom"/>
            <w:hideMark/>
          </w:tcPr>
          <w:p w14:paraId="02B1EE7A" w14:textId="77777777" w:rsidR="00A3795B" w:rsidRPr="00A77AF6" w:rsidRDefault="00A3795B" w:rsidP="00F212D6">
            <w:pPr>
              <w:spacing w:after="0" w:line="240" w:lineRule="auto"/>
              <w:jc w:val="center"/>
              <w:rPr>
                <w:rFonts w:ascii="Calibri" w:eastAsia="Times New Roman" w:hAnsi="Calibri" w:cs="Calibri"/>
                <w:b/>
                <w:bCs/>
                <w:lang w:eastAsia="en-GB"/>
              </w:rPr>
            </w:pPr>
            <w:r w:rsidRPr="00A77AF6">
              <w:rPr>
                <w:rFonts w:ascii="Calibri" w:eastAsia="Times New Roman" w:hAnsi="Calibri" w:cs="Calibri"/>
                <w:b/>
                <w:bCs/>
                <w:lang w:eastAsia="en-GB"/>
              </w:rPr>
              <w:t>3</w:t>
            </w:r>
          </w:p>
        </w:tc>
        <w:tc>
          <w:tcPr>
            <w:tcW w:w="1701" w:type="dxa"/>
            <w:shd w:val="clear" w:color="auto" w:fill="auto"/>
            <w:noWrap/>
            <w:vAlign w:val="bottom"/>
            <w:hideMark/>
          </w:tcPr>
          <w:p w14:paraId="7F166AD3" w14:textId="77777777" w:rsidR="00A3795B" w:rsidRPr="00A77AF6" w:rsidRDefault="00A3795B" w:rsidP="00F212D6">
            <w:pPr>
              <w:spacing w:after="0" w:line="240" w:lineRule="auto"/>
              <w:jc w:val="center"/>
              <w:rPr>
                <w:rFonts w:ascii="Calibri" w:eastAsia="Times New Roman" w:hAnsi="Calibri" w:cs="Calibri"/>
                <w:b/>
                <w:bCs/>
                <w:lang w:eastAsia="en-GB"/>
              </w:rPr>
            </w:pPr>
            <w:r w:rsidRPr="00A77AF6">
              <w:rPr>
                <w:rFonts w:ascii="Calibri" w:eastAsia="Times New Roman" w:hAnsi="Calibri" w:cs="Calibri"/>
                <w:b/>
                <w:bCs/>
                <w:lang w:eastAsia="en-GB"/>
              </w:rPr>
              <w:t>3</w:t>
            </w:r>
          </w:p>
        </w:tc>
        <w:tc>
          <w:tcPr>
            <w:tcW w:w="1134" w:type="dxa"/>
          </w:tcPr>
          <w:p w14:paraId="47C1B3D0" w14:textId="7E2906A5" w:rsidR="00A3795B" w:rsidRPr="00A77AF6" w:rsidRDefault="00A3795B" w:rsidP="00F212D6">
            <w:pPr>
              <w:spacing w:after="0" w:line="240" w:lineRule="auto"/>
              <w:jc w:val="center"/>
              <w:rPr>
                <w:rFonts w:ascii="Calibri" w:eastAsia="Times New Roman" w:hAnsi="Calibri" w:cs="Calibri"/>
                <w:b/>
                <w:bCs/>
                <w:color w:val="000000" w:themeColor="text1"/>
                <w:lang w:eastAsia="en-GB"/>
              </w:rPr>
            </w:pPr>
            <w:r w:rsidRPr="00A77AF6">
              <w:rPr>
                <w:rFonts w:ascii="Calibri" w:eastAsia="Times New Roman" w:hAnsi="Calibri" w:cs="Calibri"/>
                <w:b/>
                <w:bCs/>
                <w:color w:val="000000" w:themeColor="text1"/>
                <w:lang w:eastAsia="en-GB"/>
              </w:rPr>
              <w:t>9</w:t>
            </w:r>
          </w:p>
        </w:tc>
      </w:tr>
      <w:tr w:rsidR="00A3795B" w:rsidRPr="00A77AF6" w14:paraId="4CBAFED0" w14:textId="6D1C079B" w:rsidTr="00A3795B">
        <w:trPr>
          <w:trHeight w:val="300"/>
        </w:trPr>
        <w:tc>
          <w:tcPr>
            <w:tcW w:w="1134" w:type="dxa"/>
            <w:vAlign w:val="bottom"/>
          </w:tcPr>
          <w:p w14:paraId="4F6A3CCB" w14:textId="1DF4F3CB" w:rsidR="00A3795B" w:rsidRPr="00A77AF6" w:rsidRDefault="00A3795B" w:rsidP="000C0EEA">
            <w:pPr>
              <w:spacing w:after="0" w:line="240" w:lineRule="auto"/>
              <w:rPr>
                <w:rFonts w:ascii="Calibri" w:eastAsia="Times New Roman" w:hAnsi="Calibri" w:cs="Calibri"/>
                <w:b/>
                <w:bCs/>
                <w:color w:val="FF0000"/>
                <w:lang w:eastAsia="en-GB"/>
              </w:rPr>
            </w:pPr>
            <w:r w:rsidRPr="00A77AF6">
              <w:rPr>
                <w:rFonts w:ascii="Calibri" w:hAnsi="Calibri" w:cs="Calibri"/>
                <w:color w:val="000000"/>
              </w:rPr>
              <w:t>116</w:t>
            </w:r>
          </w:p>
        </w:tc>
        <w:tc>
          <w:tcPr>
            <w:tcW w:w="1276" w:type="dxa"/>
            <w:shd w:val="clear" w:color="auto" w:fill="auto"/>
            <w:noWrap/>
            <w:vAlign w:val="bottom"/>
            <w:hideMark/>
          </w:tcPr>
          <w:p w14:paraId="04172139" w14:textId="6F5D81D7" w:rsidR="00A3795B" w:rsidRPr="00A77AF6" w:rsidRDefault="00A3795B" w:rsidP="00F212D6">
            <w:pPr>
              <w:spacing w:after="0" w:line="240" w:lineRule="auto"/>
              <w:jc w:val="center"/>
              <w:rPr>
                <w:rFonts w:ascii="Calibri" w:eastAsia="Times New Roman" w:hAnsi="Calibri" w:cs="Calibri"/>
                <w:b/>
                <w:bCs/>
                <w:lang w:eastAsia="en-GB"/>
              </w:rPr>
            </w:pPr>
            <w:r w:rsidRPr="00A77AF6">
              <w:rPr>
                <w:rFonts w:ascii="Calibri" w:eastAsia="Times New Roman" w:hAnsi="Calibri" w:cs="Calibri"/>
                <w:b/>
                <w:bCs/>
                <w:lang w:eastAsia="en-GB"/>
              </w:rPr>
              <w:t>3</w:t>
            </w:r>
          </w:p>
        </w:tc>
        <w:tc>
          <w:tcPr>
            <w:tcW w:w="1559" w:type="dxa"/>
            <w:shd w:val="clear" w:color="auto" w:fill="auto"/>
            <w:noWrap/>
            <w:vAlign w:val="bottom"/>
            <w:hideMark/>
          </w:tcPr>
          <w:p w14:paraId="06622A07" w14:textId="77777777" w:rsidR="00A3795B" w:rsidRPr="00A77AF6" w:rsidRDefault="00A3795B" w:rsidP="00F212D6">
            <w:pPr>
              <w:spacing w:after="0" w:line="240" w:lineRule="auto"/>
              <w:jc w:val="center"/>
              <w:rPr>
                <w:rFonts w:ascii="Calibri" w:eastAsia="Times New Roman" w:hAnsi="Calibri" w:cs="Calibri"/>
                <w:b/>
                <w:bCs/>
                <w:lang w:eastAsia="en-GB"/>
              </w:rPr>
            </w:pPr>
            <w:r w:rsidRPr="00A77AF6">
              <w:rPr>
                <w:rFonts w:ascii="Calibri" w:eastAsia="Times New Roman" w:hAnsi="Calibri" w:cs="Calibri"/>
                <w:b/>
                <w:bCs/>
                <w:lang w:eastAsia="en-GB"/>
              </w:rPr>
              <w:t>3</w:t>
            </w:r>
          </w:p>
        </w:tc>
        <w:tc>
          <w:tcPr>
            <w:tcW w:w="1701" w:type="dxa"/>
            <w:shd w:val="clear" w:color="auto" w:fill="auto"/>
            <w:noWrap/>
            <w:vAlign w:val="bottom"/>
            <w:hideMark/>
          </w:tcPr>
          <w:p w14:paraId="7EF3095C" w14:textId="77777777" w:rsidR="00A3795B" w:rsidRPr="00A77AF6" w:rsidRDefault="00A3795B" w:rsidP="00F212D6">
            <w:pPr>
              <w:spacing w:after="0" w:line="240" w:lineRule="auto"/>
              <w:jc w:val="center"/>
              <w:rPr>
                <w:rFonts w:ascii="Calibri" w:eastAsia="Times New Roman" w:hAnsi="Calibri" w:cs="Calibri"/>
                <w:b/>
                <w:bCs/>
                <w:lang w:eastAsia="en-GB"/>
              </w:rPr>
            </w:pPr>
            <w:r w:rsidRPr="00A77AF6">
              <w:rPr>
                <w:rFonts w:ascii="Calibri" w:eastAsia="Times New Roman" w:hAnsi="Calibri" w:cs="Calibri"/>
                <w:b/>
                <w:bCs/>
                <w:lang w:eastAsia="en-GB"/>
              </w:rPr>
              <w:t>3</w:t>
            </w:r>
          </w:p>
        </w:tc>
        <w:tc>
          <w:tcPr>
            <w:tcW w:w="1134" w:type="dxa"/>
          </w:tcPr>
          <w:p w14:paraId="675CA55D" w14:textId="06F0E12E" w:rsidR="00A3795B" w:rsidRPr="00A77AF6" w:rsidRDefault="00A3795B" w:rsidP="00F212D6">
            <w:pPr>
              <w:spacing w:after="0" w:line="240" w:lineRule="auto"/>
              <w:jc w:val="center"/>
              <w:rPr>
                <w:rFonts w:ascii="Calibri" w:eastAsia="Times New Roman" w:hAnsi="Calibri" w:cs="Calibri"/>
                <w:b/>
                <w:bCs/>
                <w:color w:val="000000" w:themeColor="text1"/>
                <w:lang w:eastAsia="en-GB"/>
              </w:rPr>
            </w:pPr>
            <w:r w:rsidRPr="00A77AF6">
              <w:rPr>
                <w:rFonts w:ascii="Calibri" w:eastAsia="Times New Roman" w:hAnsi="Calibri" w:cs="Calibri"/>
                <w:b/>
                <w:bCs/>
                <w:color w:val="000000" w:themeColor="text1"/>
                <w:lang w:eastAsia="en-GB"/>
              </w:rPr>
              <w:t>9</w:t>
            </w:r>
          </w:p>
        </w:tc>
      </w:tr>
      <w:tr w:rsidR="00A3795B" w:rsidRPr="00A77AF6" w14:paraId="47D00952" w14:textId="6840DBE4" w:rsidTr="00A3795B">
        <w:trPr>
          <w:trHeight w:val="300"/>
        </w:trPr>
        <w:tc>
          <w:tcPr>
            <w:tcW w:w="1134" w:type="dxa"/>
            <w:vAlign w:val="bottom"/>
          </w:tcPr>
          <w:p w14:paraId="5A67DC2A" w14:textId="7D3FFC47" w:rsidR="00A3795B" w:rsidRPr="00A77AF6" w:rsidRDefault="00A3795B" w:rsidP="000C0EEA">
            <w:pPr>
              <w:spacing w:after="0" w:line="240" w:lineRule="auto"/>
              <w:rPr>
                <w:rFonts w:ascii="Calibri" w:eastAsia="Times New Roman" w:hAnsi="Calibri" w:cs="Calibri"/>
                <w:b/>
                <w:bCs/>
                <w:color w:val="FF0000"/>
                <w:lang w:eastAsia="en-GB"/>
              </w:rPr>
            </w:pPr>
            <w:r w:rsidRPr="00A77AF6">
              <w:rPr>
                <w:rFonts w:ascii="Calibri" w:hAnsi="Calibri" w:cs="Calibri"/>
                <w:color w:val="000000"/>
              </w:rPr>
              <w:t>141</w:t>
            </w:r>
          </w:p>
        </w:tc>
        <w:tc>
          <w:tcPr>
            <w:tcW w:w="1276" w:type="dxa"/>
            <w:shd w:val="clear" w:color="auto" w:fill="auto"/>
            <w:noWrap/>
            <w:vAlign w:val="bottom"/>
            <w:hideMark/>
          </w:tcPr>
          <w:p w14:paraId="4A72EA2B" w14:textId="17C7CD09" w:rsidR="00A3795B" w:rsidRPr="00A77AF6" w:rsidRDefault="00A3795B" w:rsidP="00F212D6">
            <w:pPr>
              <w:spacing w:after="0" w:line="240" w:lineRule="auto"/>
              <w:jc w:val="center"/>
              <w:rPr>
                <w:rFonts w:ascii="Calibri" w:eastAsia="Times New Roman" w:hAnsi="Calibri" w:cs="Calibri"/>
                <w:b/>
                <w:bCs/>
                <w:lang w:eastAsia="en-GB"/>
              </w:rPr>
            </w:pPr>
            <w:r w:rsidRPr="00A77AF6">
              <w:rPr>
                <w:rFonts w:ascii="Calibri" w:eastAsia="Times New Roman" w:hAnsi="Calibri" w:cs="Calibri"/>
                <w:b/>
                <w:bCs/>
                <w:lang w:eastAsia="en-GB"/>
              </w:rPr>
              <w:t>3</w:t>
            </w:r>
          </w:p>
        </w:tc>
        <w:tc>
          <w:tcPr>
            <w:tcW w:w="1559" w:type="dxa"/>
            <w:shd w:val="clear" w:color="auto" w:fill="auto"/>
            <w:noWrap/>
            <w:vAlign w:val="bottom"/>
            <w:hideMark/>
          </w:tcPr>
          <w:p w14:paraId="358E4E49" w14:textId="77777777" w:rsidR="00A3795B" w:rsidRPr="00A77AF6" w:rsidRDefault="00A3795B" w:rsidP="00F212D6">
            <w:pPr>
              <w:spacing w:after="0" w:line="240" w:lineRule="auto"/>
              <w:jc w:val="center"/>
              <w:rPr>
                <w:rFonts w:ascii="Calibri" w:eastAsia="Times New Roman" w:hAnsi="Calibri" w:cs="Calibri"/>
                <w:b/>
                <w:bCs/>
                <w:lang w:eastAsia="en-GB"/>
              </w:rPr>
            </w:pPr>
            <w:r w:rsidRPr="00A77AF6">
              <w:rPr>
                <w:rFonts w:ascii="Calibri" w:eastAsia="Times New Roman" w:hAnsi="Calibri" w:cs="Calibri"/>
                <w:b/>
                <w:bCs/>
                <w:lang w:eastAsia="en-GB"/>
              </w:rPr>
              <w:t>3</w:t>
            </w:r>
          </w:p>
        </w:tc>
        <w:tc>
          <w:tcPr>
            <w:tcW w:w="1701" w:type="dxa"/>
            <w:shd w:val="clear" w:color="auto" w:fill="auto"/>
            <w:noWrap/>
            <w:vAlign w:val="bottom"/>
            <w:hideMark/>
          </w:tcPr>
          <w:p w14:paraId="2F5E181E" w14:textId="77777777" w:rsidR="00A3795B" w:rsidRPr="00A77AF6" w:rsidRDefault="00A3795B" w:rsidP="00F212D6">
            <w:pPr>
              <w:spacing w:after="0" w:line="240" w:lineRule="auto"/>
              <w:jc w:val="center"/>
              <w:rPr>
                <w:rFonts w:ascii="Calibri" w:eastAsia="Times New Roman" w:hAnsi="Calibri" w:cs="Calibri"/>
                <w:b/>
                <w:bCs/>
                <w:lang w:eastAsia="en-GB"/>
              </w:rPr>
            </w:pPr>
            <w:r w:rsidRPr="00A77AF6">
              <w:rPr>
                <w:rFonts w:ascii="Calibri" w:eastAsia="Times New Roman" w:hAnsi="Calibri" w:cs="Calibri"/>
                <w:b/>
                <w:bCs/>
                <w:lang w:eastAsia="en-GB"/>
              </w:rPr>
              <w:t>3</w:t>
            </w:r>
          </w:p>
        </w:tc>
        <w:tc>
          <w:tcPr>
            <w:tcW w:w="1134" w:type="dxa"/>
          </w:tcPr>
          <w:p w14:paraId="1B40A461" w14:textId="61FB514A" w:rsidR="00A3795B" w:rsidRPr="00A77AF6" w:rsidRDefault="00A3795B" w:rsidP="00F212D6">
            <w:pPr>
              <w:spacing w:after="0" w:line="240" w:lineRule="auto"/>
              <w:jc w:val="center"/>
              <w:rPr>
                <w:rFonts w:ascii="Calibri" w:eastAsia="Times New Roman" w:hAnsi="Calibri" w:cs="Calibri"/>
                <w:b/>
                <w:bCs/>
                <w:color w:val="000000" w:themeColor="text1"/>
                <w:lang w:eastAsia="en-GB"/>
              </w:rPr>
            </w:pPr>
            <w:r w:rsidRPr="00A77AF6">
              <w:rPr>
                <w:rFonts w:ascii="Calibri" w:eastAsia="Times New Roman" w:hAnsi="Calibri" w:cs="Calibri"/>
                <w:b/>
                <w:bCs/>
                <w:color w:val="000000" w:themeColor="text1"/>
                <w:lang w:eastAsia="en-GB"/>
              </w:rPr>
              <w:t>9</w:t>
            </w:r>
          </w:p>
        </w:tc>
      </w:tr>
      <w:tr w:rsidR="00A3795B" w:rsidRPr="00A77AF6" w14:paraId="6ECCFC4E" w14:textId="19EEDBF5" w:rsidTr="00A3795B">
        <w:trPr>
          <w:trHeight w:val="300"/>
        </w:trPr>
        <w:tc>
          <w:tcPr>
            <w:tcW w:w="1134" w:type="dxa"/>
            <w:vAlign w:val="bottom"/>
          </w:tcPr>
          <w:p w14:paraId="333FD419" w14:textId="2CD15A6A" w:rsidR="00A3795B" w:rsidRPr="00A77AF6" w:rsidRDefault="00A3795B" w:rsidP="000C0EEA">
            <w:pPr>
              <w:spacing w:after="0" w:line="240" w:lineRule="auto"/>
              <w:rPr>
                <w:rFonts w:ascii="Calibri" w:eastAsia="Times New Roman" w:hAnsi="Calibri" w:cs="Calibri"/>
                <w:b/>
                <w:bCs/>
                <w:color w:val="FF0000"/>
                <w:lang w:eastAsia="en-GB"/>
              </w:rPr>
            </w:pPr>
            <w:r w:rsidRPr="00A77AF6">
              <w:rPr>
                <w:rFonts w:ascii="Calibri" w:hAnsi="Calibri" w:cs="Calibri"/>
                <w:color w:val="FF0000"/>
              </w:rPr>
              <w:t>145</w:t>
            </w:r>
          </w:p>
        </w:tc>
        <w:tc>
          <w:tcPr>
            <w:tcW w:w="1276" w:type="dxa"/>
            <w:shd w:val="clear" w:color="auto" w:fill="auto"/>
            <w:noWrap/>
            <w:vAlign w:val="bottom"/>
            <w:hideMark/>
          </w:tcPr>
          <w:p w14:paraId="0330603E" w14:textId="67B1ACE6" w:rsidR="00A3795B" w:rsidRPr="00A77AF6" w:rsidRDefault="00A3795B" w:rsidP="00F212D6">
            <w:pPr>
              <w:spacing w:after="0" w:line="240" w:lineRule="auto"/>
              <w:jc w:val="center"/>
              <w:rPr>
                <w:rFonts w:ascii="Calibri" w:eastAsia="Times New Roman" w:hAnsi="Calibri" w:cs="Calibri"/>
                <w:b/>
                <w:bCs/>
                <w:color w:val="FF0000"/>
                <w:lang w:eastAsia="en-GB"/>
              </w:rPr>
            </w:pPr>
            <w:r w:rsidRPr="00A77AF6">
              <w:rPr>
                <w:rFonts w:ascii="Calibri" w:eastAsia="Times New Roman" w:hAnsi="Calibri" w:cs="Calibri"/>
                <w:b/>
                <w:bCs/>
                <w:color w:val="FF0000"/>
                <w:lang w:eastAsia="en-GB"/>
              </w:rPr>
              <w:t>3</w:t>
            </w:r>
          </w:p>
        </w:tc>
        <w:tc>
          <w:tcPr>
            <w:tcW w:w="1559" w:type="dxa"/>
            <w:shd w:val="clear" w:color="auto" w:fill="auto"/>
            <w:noWrap/>
            <w:vAlign w:val="bottom"/>
            <w:hideMark/>
          </w:tcPr>
          <w:p w14:paraId="71E8EB69" w14:textId="77777777" w:rsidR="00A3795B" w:rsidRPr="00A77AF6" w:rsidRDefault="00A3795B" w:rsidP="00F212D6">
            <w:pPr>
              <w:spacing w:after="0" w:line="240" w:lineRule="auto"/>
              <w:jc w:val="center"/>
              <w:rPr>
                <w:rFonts w:ascii="Calibri" w:eastAsia="Times New Roman" w:hAnsi="Calibri" w:cs="Calibri"/>
                <w:b/>
                <w:bCs/>
                <w:color w:val="FF0000"/>
                <w:lang w:eastAsia="en-GB"/>
              </w:rPr>
            </w:pPr>
            <w:r w:rsidRPr="00A77AF6">
              <w:rPr>
                <w:rFonts w:ascii="Calibri" w:eastAsia="Times New Roman" w:hAnsi="Calibri" w:cs="Calibri"/>
                <w:b/>
                <w:bCs/>
                <w:color w:val="FF0000"/>
                <w:lang w:eastAsia="en-GB"/>
              </w:rPr>
              <w:t>4</w:t>
            </w:r>
          </w:p>
        </w:tc>
        <w:tc>
          <w:tcPr>
            <w:tcW w:w="1701" w:type="dxa"/>
            <w:shd w:val="clear" w:color="auto" w:fill="auto"/>
            <w:noWrap/>
            <w:vAlign w:val="bottom"/>
            <w:hideMark/>
          </w:tcPr>
          <w:p w14:paraId="0F9C0087" w14:textId="77777777" w:rsidR="00A3795B" w:rsidRPr="00A77AF6" w:rsidRDefault="00A3795B" w:rsidP="00F212D6">
            <w:pPr>
              <w:spacing w:after="0" w:line="240" w:lineRule="auto"/>
              <w:jc w:val="center"/>
              <w:rPr>
                <w:rFonts w:ascii="Calibri" w:eastAsia="Times New Roman" w:hAnsi="Calibri" w:cs="Calibri"/>
                <w:b/>
                <w:bCs/>
                <w:color w:val="FF0000"/>
                <w:lang w:eastAsia="en-GB"/>
              </w:rPr>
            </w:pPr>
            <w:r w:rsidRPr="00A77AF6">
              <w:rPr>
                <w:rFonts w:ascii="Calibri" w:eastAsia="Times New Roman" w:hAnsi="Calibri" w:cs="Calibri"/>
                <w:b/>
                <w:bCs/>
                <w:color w:val="FF0000"/>
                <w:lang w:eastAsia="en-GB"/>
              </w:rPr>
              <w:t>3</w:t>
            </w:r>
          </w:p>
        </w:tc>
        <w:tc>
          <w:tcPr>
            <w:tcW w:w="1134" w:type="dxa"/>
          </w:tcPr>
          <w:p w14:paraId="7B78FAC0" w14:textId="6A915D3F" w:rsidR="00A3795B" w:rsidRPr="00A77AF6" w:rsidRDefault="00A3795B" w:rsidP="00F212D6">
            <w:pPr>
              <w:spacing w:after="0" w:line="240" w:lineRule="auto"/>
              <w:jc w:val="center"/>
              <w:rPr>
                <w:rFonts w:ascii="Calibri" w:eastAsia="Times New Roman" w:hAnsi="Calibri" w:cs="Calibri"/>
                <w:b/>
                <w:bCs/>
                <w:color w:val="FF0000"/>
                <w:lang w:eastAsia="en-GB"/>
              </w:rPr>
            </w:pPr>
            <w:r w:rsidRPr="00A77AF6">
              <w:rPr>
                <w:rFonts w:ascii="Calibri" w:eastAsia="Times New Roman" w:hAnsi="Calibri" w:cs="Calibri"/>
                <w:b/>
                <w:bCs/>
                <w:color w:val="FF0000"/>
                <w:lang w:eastAsia="en-GB"/>
              </w:rPr>
              <w:t>10</w:t>
            </w:r>
          </w:p>
        </w:tc>
      </w:tr>
      <w:tr w:rsidR="00A3795B" w:rsidRPr="00A77AF6" w14:paraId="61F6AC7E" w14:textId="6B389328" w:rsidTr="00A3795B">
        <w:trPr>
          <w:trHeight w:val="300"/>
        </w:trPr>
        <w:tc>
          <w:tcPr>
            <w:tcW w:w="1134" w:type="dxa"/>
            <w:vAlign w:val="bottom"/>
          </w:tcPr>
          <w:p w14:paraId="25D522A0" w14:textId="7E2FEF93" w:rsidR="00A3795B" w:rsidRPr="00A77AF6" w:rsidRDefault="00A3795B" w:rsidP="000C0EEA">
            <w:pPr>
              <w:spacing w:after="0" w:line="240" w:lineRule="auto"/>
              <w:rPr>
                <w:rFonts w:ascii="Calibri" w:eastAsia="Times New Roman" w:hAnsi="Calibri" w:cs="Calibri"/>
                <w:b/>
                <w:bCs/>
                <w:color w:val="FF0000"/>
                <w:lang w:eastAsia="en-GB"/>
              </w:rPr>
            </w:pPr>
            <w:r w:rsidRPr="00A77AF6">
              <w:rPr>
                <w:rFonts w:ascii="Calibri" w:hAnsi="Calibri" w:cs="Calibri"/>
                <w:color w:val="FF0000"/>
              </w:rPr>
              <w:t>162</w:t>
            </w:r>
          </w:p>
        </w:tc>
        <w:tc>
          <w:tcPr>
            <w:tcW w:w="1276" w:type="dxa"/>
            <w:shd w:val="clear" w:color="auto" w:fill="auto"/>
            <w:noWrap/>
            <w:vAlign w:val="bottom"/>
            <w:hideMark/>
          </w:tcPr>
          <w:p w14:paraId="70A67D69" w14:textId="5F112918" w:rsidR="00A3795B" w:rsidRPr="00A77AF6" w:rsidRDefault="00A3795B" w:rsidP="00F212D6">
            <w:pPr>
              <w:spacing w:after="0" w:line="240" w:lineRule="auto"/>
              <w:jc w:val="center"/>
              <w:rPr>
                <w:rFonts w:ascii="Calibri" w:eastAsia="Times New Roman" w:hAnsi="Calibri" w:cs="Calibri"/>
                <w:b/>
                <w:bCs/>
                <w:color w:val="FF0000"/>
                <w:lang w:eastAsia="en-GB"/>
              </w:rPr>
            </w:pPr>
            <w:r w:rsidRPr="00A77AF6">
              <w:rPr>
                <w:rFonts w:ascii="Calibri" w:eastAsia="Times New Roman" w:hAnsi="Calibri" w:cs="Calibri"/>
                <w:b/>
                <w:bCs/>
                <w:color w:val="FF0000"/>
                <w:lang w:eastAsia="en-GB"/>
              </w:rPr>
              <w:t>3</w:t>
            </w:r>
          </w:p>
        </w:tc>
        <w:tc>
          <w:tcPr>
            <w:tcW w:w="1559" w:type="dxa"/>
            <w:shd w:val="clear" w:color="auto" w:fill="auto"/>
            <w:noWrap/>
            <w:vAlign w:val="bottom"/>
            <w:hideMark/>
          </w:tcPr>
          <w:p w14:paraId="3E261FF4" w14:textId="77777777" w:rsidR="00A3795B" w:rsidRPr="00A77AF6" w:rsidRDefault="00A3795B" w:rsidP="00F212D6">
            <w:pPr>
              <w:spacing w:after="0" w:line="240" w:lineRule="auto"/>
              <w:jc w:val="center"/>
              <w:rPr>
                <w:rFonts w:ascii="Calibri" w:eastAsia="Times New Roman" w:hAnsi="Calibri" w:cs="Calibri"/>
                <w:b/>
                <w:bCs/>
                <w:color w:val="FF0000"/>
                <w:lang w:eastAsia="en-GB"/>
              </w:rPr>
            </w:pPr>
            <w:r w:rsidRPr="00A77AF6">
              <w:rPr>
                <w:rFonts w:ascii="Calibri" w:eastAsia="Times New Roman" w:hAnsi="Calibri" w:cs="Calibri"/>
                <w:b/>
                <w:bCs/>
                <w:color w:val="FF0000"/>
                <w:lang w:eastAsia="en-GB"/>
              </w:rPr>
              <w:t>3</w:t>
            </w:r>
          </w:p>
        </w:tc>
        <w:tc>
          <w:tcPr>
            <w:tcW w:w="1701" w:type="dxa"/>
            <w:shd w:val="clear" w:color="auto" w:fill="auto"/>
            <w:noWrap/>
            <w:vAlign w:val="bottom"/>
            <w:hideMark/>
          </w:tcPr>
          <w:p w14:paraId="57A4A264" w14:textId="77777777" w:rsidR="00A3795B" w:rsidRPr="00A77AF6" w:rsidRDefault="00A3795B" w:rsidP="00F212D6">
            <w:pPr>
              <w:spacing w:after="0" w:line="240" w:lineRule="auto"/>
              <w:jc w:val="center"/>
              <w:rPr>
                <w:rFonts w:ascii="Calibri" w:eastAsia="Times New Roman" w:hAnsi="Calibri" w:cs="Calibri"/>
                <w:b/>
                <w:bCs/>
                <w:color w:val="FF0000"/>
                <w:lang w:eastAsia="en-GB"/>
              </w:rPr>
            </w:pPr>
            <w:r w:rsidRPr="00A77AF6">
              <w:rPr>
                <w:rFonts w:ascii="Calibri" w:eastAsia="Times New Roman" w:hAnsi="Calibri" w:cs="Calibri"/>
                <w:b/>
                <w:bCs/>
                <w:color w:val="FF0000"/>
                <w:lang w:eastAsia="en-GB"/>
              </w:rPr>
              <w:t>4</w:t>
            </w:r>
          </w:p>
        </w:tc>
        <w:tc>
          <w:tcPr>
            <w:tcW w:w="1134" w:type="dxa"/>
          </w:tcPr>
          <w:p w14:paraId="747245A9" w14:textId="231F772A" w:rsidR="00A3795B" w:rsidRPr="00A77AF6" w:rsidRDefault="00A3795B" w:rsidP="00F212D6">
            <w:pPr>
              <w:spacing w:after="0" w:line="240" w:lineRule="auto"/>
              <w:jc w:val="center"/>
              <w:rPr>
                <w:rFonts w:ascii="Calibri" w:eastAsia="Times New Roman" w:hAnsi="Calibri" w:cs="Calibri"/>
                <w:b/>
                <w:bCs/>
                <w:color w:val="FF0000"/>
                <w:lang w:eastAsia="en-GB"/>
              </w:rPr>
            </w:pPr>
            <w:r w:rsidRPr="00A77AF6">
              <w:rPr>
                <w:rFonts w:ascii="Calibri" w:eastAsia="Times New Roman" w:hAnsi="Calibri" w:cs="Calibri"/>
                <w:b/>
                <w:bCs/>
                <w:color w:val="FF0000"/>
                <w:lang w:eastAsia="en-GB"/>
              </w:rPr>
              <w:t>10</w:t>
            </w:r>
          </w:p>
        </w:tc>
      </w:tr>
    </w:tbl>
    <w:p w14:paraId="46D6CE0B" w14:textId="68353603" w:rsidR="00A3795B" w:rsidRPr="00A77AF6" w:rsidRDefault="00A3795B" w:rsidP="00A3795B">
      <w:pPr>
        <w:spacing w:line="240" w:lineRule="auto"/>
        <w:rPr>
          <w:sz w:val="18"/>
        </w:rPr>
      </w:pPr>
      <w:r w:rsidRPr="00A77AF6">
        <w:rPr>
          <w:sz w:val="18"/>
        </w:rPr>
        <w:t>(red highlighted numbers indicate projects that exceeded at least one of time, cost and or quality measures)</w:t>
      </w:r>
    </w:p>
    <w:p w14:paraId="36B19ECF" w14:textId="71E327E6" w:rsidR="00333C28" w:rsidRPr="00A77AF6" w:rsidRDefault="009B167E" w:rsidP="00961EDE">
      <w:pPr>
        <w:spacing w:before="360" w:line="360" w:lineRule="auto"/>
      </w:pPr>
      <w:r w:rsidRPr="00A77AF6">
        <w:t>In summary, p</w:t>
      </w:r>
      <w:r w:rsidR="006E4E35" w:rsidRPr="00A77AF6">
        <w:t xml:space="preserve">rojects performed worst against time targets </w:t>
      </w:r>
      <w:r w:rsidR="00B569F2" w:rsidRPr="00A77AF6">
        <w:t xml:space="preserve">with </w:t>
      </w:r>
      <w:r w:rsidR="00110A3F" w:rsidRPr="00A77AF6">
        <w:t>29 (</w:t>
      </w:r>
      <w:r w:rsidR="00D421AF" w:rsidRPr="00A77AF6">
        <w:t>57%</w:t>
      </w:r>
      <w:r w:rsidR="00110A3F" w:rsidRPr="00A77AF6">
        <w:t>)</w:t>
      </w:r>
      <w:r w:rsidR="00D421AF" w:rsidRPr="00A77AF6">
        <w:t xml:space="preserve"> projects finishing late</w:t>
      </w:r>
      <w:r w:rsidR="00BD4D4B" w:rsidRPr="00A77AF6">
        <w:t xml:space="preserve">; </w:t>
      </w:r>
      <w:r w:rsidR="00FD62D0" w:rsidRPr="00A77AF6">
        <w:t xml:space="preserve">no </w:t>
      </w:r>
      <w:r w:rsidR="001A16D7" w:rsidRPr="00A77AF6">
        <w:t>project</w:t>
      </w:r>
      <w:r w:rsidR="00FD62D0" w:rsidRPr="00A77AF6">
        <w:t xml:space="preserve"> </w:t>
      </w:r>
      <w:r w:rsidR="001A16D7" w:rsidRPr="00A77AF6">
        <w:t>finish</w:t>
      </w:r>
      <w:r w:rsidR="00BD4D4B" w:rsidRPr="00A77AF6">
        <w:t xml:space="preserve">ed </w:t>
      </w:r>
      <w:r w:rsidR="00FD62D0" w:rsidRPr="00A77AF6">
        <w:t>ea</w:t>
      </w:r>
      <w:r w:rsidR="001A16D7" w:rsidRPr="00A77AF6">
        <w:t>rly</w:t>
      </w:r>
      <w:r w:rsidR="00D929CA" w:rsidRPr="00A77AF6">
        <w:t xml:space="preserve">. </w:t>
      </w:r>
      <w:r w:rsidR="00110A3F" w:rsidRPr="00A77AF6">
        <w:t xml:space="preserve"> </w:t>
      </w:r>
      <w:r w:rsidR="00BD4D4B" w:rsidRPr="00A77AF6">
        <w:t>Twenty-seven</w:t>
      </w:r>
      <w:r w:rsidR="00110A3F" w:rsidRPr="00A77AF6">
        <w:t xml:space="preserve"> (</w:t>
      </w:r>
      <w:r w:rsidR="00F968E4" w:rsidRPr="00A77AF6">
        <w:t>53%</w:t>
      </w:r>
      <w:r w:rsidR="00110A3F" w:rsidRPr="00A77AF6">
        <w:t>)</w:t>
      </w:r>
      <w:r w:rsidR="00F968E4" w:rsidRPr="00A77AF6">
        <w:t xml:space="preserve"> projects exceeded the budget</w:t>
      </w:r>
      <w:r w:rsidR="008515BB" w:rsidRPr="00A77AF6">
        <w:t xml:space="preserve"> </w:t>
      </w:r>
      <w:r w:rsidR="00BC319F" w:rsidRPr="00A77AF6">
        <w:t xml:space="preserve">and </w:t>
      </w:r>
      <w:r w:rsidR="00110A3F" w:rsidRPr="00A77AF6">
        <w:t>24 (</w:t>
      </w:r>
      <w:r w:rsidR="00BC319F" w:rsidRPr="00A77AF6">
        <w:t>47%</w:t>
      </w:r>
      <w:r w:rsidR="00110A3F" w:rsidRPr="00A77AF6">
        <w:t>)</w:t>
      </w:r>
      <w:r w:rsidR="00BC319F" w:rsidRPr="00A77AF6">
        <w:t xml:space="preserve"> finish</w:t>
      </w:r>
      <w:r w:rsidR="00110A3F" w:rsidRPr="00A77AF6">
        <w:t xml:space="preserve">ed </w:t>
      </w:r>
      <w:r w:rsidR="00BD4D4B" w:rsidRPr="00A77AF6">
        <w:t xml:space="preserve">within </w:t>
      </w:r>
      <w:r w:rsidR="00BC319F" w:rsidRPr="00A77AF6">
        <w:t>cost</w:t>
      </w:r>
      <w:r w:rsidR="00BD4D4B" w:rsidRPr="00A77AF6">
        <w:t xml:space="preserve"> targets</w:t>
      </w:r>
      <w:r w:rsidR="006F2568" w:rsidRPr="00A77AF6">
        <w:t xml:space="preserve">. </w:t>
      </w:r>
      <w:r w:rsidR="00B2701C" w:rsidRPr="00A77AF6">
        <w:t xml:space="preserve"> </w:t>
      </w:r>
      <w:r w:rsidR="00BD4D4B" w:rsidRPr="00A77AF6">
        <w:t>In</w:t>
      </w:r>
      <w:r w:rsidR="00B32EBC" w:rsidRPr="00A77AF6">
        <w:t xml:space="preserve"> comparison p</w:t>
      </w:r>
      <w:r w:rsidR="006E4E35" w:rsidRPr="00A77AF6">
        <w:t>rojects performed best against quality targets</w:t>
      </w:r>
      <w:r w:rsidR="00F968E4" w:rsidRPr="00A77AF6">
        <w:t xml:space="preserve"> with </w:t>
      </w:r>
      <w:r w:rsidR="00B32EBC" w:rsidRPr="00A77AF6">
        <w:t xml:space="preserve">only </w:t>
      </w:r>
      <w:r w:rsidR="00110A3F" w:rsidRPr="00A77AF6">
        <w:t>9 (18</w:t>
      </w:r>
      <w:r w:rsidR="00B32EBC" w:rsidRPr="00A77AF6">
        <w:t>%</w:t>
      </w:r>
      <w:r w:rsidR="00986B82" w:rsidRPr="00A77AF6">
        <w:t xml:space="preserve">) </w:t>
      </w:r>
      <w:r w:rsidR="00B32EBC" w:rsidRPr="00A77AF6">
        <w:t xml:space="preserve">missing </w:t>
      </w:r>
      <w:r w:rsidR="006E4E35" w:rsidRPr="00A77AF6">
        <w:t>quality targets</w:t>
      </w:r>
      <w:r w:rsidR="00BC319F" w:rsidRPr="00A77AF6">
        <w:t xml:space="preserve"> and </w:t>
      </w:r>
      <w:r w:rsidR="00986B82" w:rsidRPr="00A77AF6">
        <w:t>41 (</w:t>
      </w:r>
      <w:r w:rsidR="00BC319F" w:rsidRPr="00A77AF6">
        <w:t>80%</w:t>
      </w:r>
      <w:r w:rsidR="00986B82" w:rsidRPr="00A77AF6">
        <w:t>)</w:t>
      </w:r>
      <w:r w:rsidR="00BC319F" w:rsidRPr="00A77AF6">
        <w:t xml:space="preserve"> meeting them</w:t>
      </w:r>
      <w:r w:rsidR="006E4E35" w:rsidRPr="00A77AF6">
        <w:t xml:space="preserve">.  </w:t>
      </w:r>
      <w:r w:rsidR="00333C28" w:rsidRPr="00A77AF6">
        <w:t xml:space="preserve">The </w:t>
      </w:r>
      <w:r w:rsidR="00B32EBC" w:rsidRPr="00A77AF6">
        <w:t xml:space="preserve">overall </w:t>
      </w:r>
      <w:r w:rsidR="00800BF3" w:rsidRPr="00A77AF6">
        <w:t xml:space="preserve">project </w:t>
      </w:r>
      <w:r w:rsidR="00333C28" w:rsidRPr="00A77AF6">
        <w:t xml:space="preserve">success rate of 22% </w:t>
      </w:r>
      <w:r w:rsidR="003670DC" w:rsidRPr="00A77AF6">
        <w:t>is</w:t>
      </w:r>
      <w:r w:rsidR="00333C28" w:rsidRPr="00A77AF6">
        <w:t xml:space="preserve"> almost identical to th</w:t>
      </w:r>
      <w:r w:rsidR="00B32EBC" w:rsidRPr="00A77AF6">
        <w:t xml:space="preserve">at </w:t>
      </w:r>
      <w:r w:rsidR="00333C28" w:rsidRPr="00A77AF6">
        <w:t xml:space="preserve">found by the APM (2015) which noted </w:t>
      </w:r>
      <w:r w:rsidR="00BD4D4B" w:rsidRPr="00A77AF6">
        <w:t xml:space="preserve">in </w:t>
      </w:r>
      <w:r w:rsidR="00333C28" w:rsidRPr="00A77AF6">
        <w:t xml:space="preserve">their survey </w:t>
      </w:r>
      <w:r w:rsidR="00811869" w:rsidRPr="00A77AF6">
        <w:t xml:space="preserve">that </w:t>
      </w:r>
      <w:r w:rsidR="00333C28" w:rsidRPr="00A77AF6">
        <w:t xml:space="preserve">‘over 90% considered their project to be, to some degree, successful, just 22% of projects wholly met their original objectives’ </w:t>
      </w:r>
      <w:sdt>
        <w:sdtPr>
          <w:id w:val="1589125483"/>
          <w:citation/>
        </w:sdtPr>
        <w:sdtEndPr/>
        <w:sdtContent>
          <w:r w:rsidR="00333C28" w:rsidRPr="00A77AF6">
            <w:fldChar w:fldCharType="begin"/>
          </w:r>
          <w:r w:rsidR="00333C28" w:rsidRPr="00A77AF6">
            <w:instrText xml:space="preserve">CITATION Placeholder1 \p 6 \l 2057 </w:instrText>
          </w:r>
          <w:r w:rsidR="00333C28" w:rsidRPr="00A77AF6">
            <w:fldChar w:fldCharType="separate"/>
          </w:r>
          <w:r w:rsidR="008E653F" w:rsidRPr="00A77AF6">
            <w:t>(APM, 2015, p. 6)</w:t>
          </w:r>
          <w:r w:rsidR="00333C28" w:rsidRPr="00A77AF6">
            <w:fldChar w:fldCharType="end"/>
          </w:r>
        </w:sdtContent>
      </w:sdt>
      <w:r w:rsidR="00333C28" w:rsidRPr="00A77AF6">
        <w:t xml:space="preserve">. </w:t>
      </w:r>
    </w:p>
    <w:p w14:paraId="2799001B" w14:textId="15356262" w:rsidR="002C7E00" w:rsidRPr="00A77AF6" w:rsidRDefault="00D01713" w:rsidP="00C21A49">
      <w:pPr>
        <w:pStyle w:val="Heading4"/>
        <w:numPr>
          <w:ilvl w:val="0"/>
          <w:numId w:val="0"/>
        </w:numPr>
        <w:spacing w:after="120"/>
      </w:pPr>
      <w:r w:rsidRPr="00A77AF6">
        <w:t xml:space="preserve">Project </w:t>
      </w:r>
      <w:r w:rsidR="00DD2123" w:rsidRPr="00A77AF6">
        <w:t>success score</w:t>
      </w:r>
      <w:r w:rsidR="0032690B" w:rsidRPr="00A77AF6">
        <w:t xml:space="preserve"> (n=51)</w:t>
      </w:r>
    </w:p>
    <w:p w14:paraId="17EC695A" w14:textId="761D55B3" w:rsidR="00874ED6" w:rsidRPr="00A77AF6" w:rsidRDefault="00B00BDF" w:rsidP="00874ED6">
      <w:pPr>
        <w:spacing w:line="360" w:lineRule="auto"/>
      </w:pPr>
      <w:r w:rsidRPr="00A77AF6">
        <w:t xml:space="preserve">The </w:t>
      </w:r>
      <w:r w:rsidR="00B9483C" w:rsidRPr="00A77AF6">
        <w:t xml:space="preserve">mode, median and mean scores were 8 (Table </w:t>
      </w:r>
      <w:r w:rsidR="007F0371" w:rsidRPr="00A77AF6">
        <w:t>6-2</w:t>
      </w:r>
      <w:r w:rsidR="00BD4D4B" w:rsidRPr="00A77AF6">
        <w:t>5</w:t>
      </w:r>
      <w:r w:rsidR="00B9483C" w:rsidRPr="00A77AF6">
        <w:t xml:space="preserve">).  </w:t>
      </w:r>
      <w:r w:rsidR="007F0371" w:rsidRPr="00A77AF6">
        <w:t>A score of e</w:t>
      </w:r>
      <w:r w:rsidR="00874ED6" w:rsidRPr="00A77AF6">
        <w:t>ight (</w:t>
      </w:r>
      <w:r w:rsidR="00B9483C" w:rsidRPr="00A77AF6">
        <w:t>8</w:t>
      </w:r>
      <w:r w:rsidR="00874ED6" w:rsidRPr="00A77AF6">
        <w:t>)</w:t>
      </w:r>
      <w:r w:rsidR="00B9483C" w:rsidRPr="00A77AF6">
        <w:t xml:space="preserve"> </w:t>
      </w:r>
      <w:r w:rsidRPr="00A77AF6">
        <w:t xml:space="preserve">was achieved in </w:t>
      </w:r>
      <w:r w:rsidR="007E6093" w:rsidRPr="00A77AF6">
        <w:t>fifteen (</w:t>
      </w:r>
      <w:r w:rsidRPr="00A77AF6">
        <w:t>15</w:t>
      </w:r>
      <w:r w:rsidR="007B4D0B" w:rsidRPr="00A77AF6">
        <w:t>, 29%</w:t>
      </w:r>
      <w:r w:rsidR="007E6093" w:rsidRPr="00A77AF6">
        <w:t>)</w:t>
      </w:r>
      <w:r w:rsidRPr="00A77AF6">
        <w:t xml:space="preserve"> projects</w:t>
      </w:r>
      <w:r w:rsidR="00874ED6" w:rsidRPr="00A77AF6">
        <w:t>; t</w:t>
      </w:r>
      <w:r w:rsidRPr="00A77AF6">
        <w:t xml:space="preserve">he </w:t>
      </w:r>
      <w:r w:rsidR="003D7CC6" w:rsidRPr="00A77AF6">
        <w:t>second</w:t>
      </w:r>
      <w:r w:rsidRPr="00A77AF6">
        <w:t xml:space="preserve"> most frequent</w:t>
      </w:r>
      <w:r w:rsidR="00874ED6" w:rsidRPr="00A77AF6">
        <w:t xml:space="preserve"> score was</w:t>
      </w:r>
      <w:r w:rsidRPr="00A77AF6">
        <w:t xml:space="preserve"> </w:t>
      </w:r>
      <w:r w:rsidR="007E6093" w:rsidRPr="00A77AF6">
        <w:t>nine (</w:t>
      </w:r>
      <w:r w:rsidRPr="00A77AF6">
        <w:t>9</w:t>
      </w:r>
      <w:r w:rsidR="007E6093" w:rsidRPr="00A77AF6">
        <w:t>)</w:t>
      </w:r>
      <w:r w:rsidRPr="00A77AF6">
        <w:t>, which</w:t>
      </w:r>
      <w:r w:rsidR="007B4D0B" w:rsidRPr="00A77AF6">
        <w:t xml:space="preserve"> eleven (</w:t>
      </w:r>
      <w:r w:rsidRPr="00A77AF6">
        <w:t>11</w:t>
      </w:r>
      <w:r w:rsidR="007B4D0B" w:rsidRPr="00A77AF6">
        <w:t>, 22</w:t>
      </w:r>
      <w:r w:rsidR="00F7749F" w:rsidRPr="00A77AF6">
        <w:t>%) projects</w:t>
      </w:r>
      <w:r w:rsidRPr="00A77AF6">
        <w:t xml:space="preserve"> achieved</w:t>
      </w:r>
      <w:r w:rsidR="00874ED6" w:rsidRPr="00A77AF6">
        <w:t xml:space="preserve"> and t</w:t>
      </w:r>
      <w:r w:rsidRPr="00A77AF6">
        <w:t xml:space="preserve">he third most frequently achieved score was </w:t>
      </w:r>
      <w:r w:rsidR="000D57F3" w:rsidRPr="00A77AF6">
        <w:t xml:space="preserve">seven </w:t>
      </w:r>
      <w:r w:rsidR="003D7CC6" w:rsidRPr="00A77AF6">
        <w:t>(</w:t>
      </w:r>
      <w:r w:rsidRPr="00A77AF6">
        <w:t>7</w:t>
      </w:r>
      <w:r w:rsidR="003D7CC6" w:rsidRPr="00A77AF6">
        <w:t>) which was obtained in nine (9, 18%) projects</w:t>
      </w:r>
      <w:r w:rsidR="00874ED6" w:rsidRPr="00A77AF6">
        <w:t xml:space="preserve"> (Figure </w:t>
      </w:r>
      <w:r w:rsidR="007F0371" w:rsidRPr="00A77AF6">
        <w:t>6-</w:t>
      </w:r>
      <w:r w:rsidR="00283AAB" w:rsidRPr="00A77AF6">
        <w:t>6</w:t>
      </w:r>
      <w:r w:rsidR="00874ED6" w:rsidRPr="00A77AF6">
        <w:t>)</w:t>
      </w:r>
      <w:r w:rsidR="00B9483C" w:rsidRPr="00A77AF6">
        <w:t xml:space="preserve">. </w:t>
      </w:r>
      <w:r w:rsidR="00874ED6" w:rsidRPr="00A77AF6">
        <w:t xml:space="preserve"> </w:t>
      </w:r>
    </w:p>
    <w:p w14:paraId="0D5FA75B" w14:textId="025EB9A6" w:rsidR="00874ED6" w:rsidRPr="00A77AF6" w:rsidRDefault="00874ED6" w:rsidP="0007452B">
      <w:pPr>
        <w:pStyle w:val="Caption"/>
        <w:keepNext/>
        <w:spacing w:after="120"/>
      </w:pPr>
      <w:r w:rsidRPr="00A77AF6">
        <w:t xml:space="preserve">Table </w:t>
      </w:r>
      <w:fldSimple w:instr=" STYLEREF 1 \s ">
        <w:r w:rsidR="000441F7">
          <w:rPr>
            <w:noProof/>
          </w:rPr>
          <w:t>6</w:t>
        </w:r>
      </w:fldSimple>
      <w:r w:rsidR="00804112">
        <w:noBreakHyphen/>
      </w:r>
      <w:fldSimple w:instr=" SEQ Table \* ARABIC \s 1 ">
        <w:r w:rsidR="000441F7">
          <w:rPr>
            <w:noProof/>
          </w:rPr>
          <w:t>25</w:t>
        </w:r>
      </w:fldSimple>
      <w:r w:rsidRPr="00A77AF6">
        <w:t>: Project success score: mode, median, mean</w:t>
      </w:r>
    </w:p>
    <w:tbl>
      <w:tblPr>
        <w:tblW w:w="3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417"/>
      </w:tblGrid>
      <w:tr w:rsidR="00874ED6" w:rsidRPr="00A77AF6" w14:paraId="1C26C132" w14:textId="77777777" w:rsidTr="003250FC">
        <w:trPr>
          <w:trHeight w:val="255"/>
        </w:trPr>
        <w:tc>
          <w:tcPr>
            <w:tcW w:w="1980" w:type="dxa"/>
            <w:shd w:val="clear" w:color="auto" w:fill="auto"/>
            <w:noWrap/>
            <w:hideMark/>
          </w:tcPr>
          <w:p w14:paraId="29A40522" w14:textId="77777777" w:rsidR="00874ED6" w:rsidRPr="00A77AF6" w:rsidRDefault="00874ED6" w:rsidP="003250FC">
            <w:pPr>
              <w:spacing w:after="120" w:line="240" w:lineRule="auto"/>
              <w:rPr>
                <w:rFonts w:ascii="Arial" w:eastAsia="Times New Roman" w:hAnsi="Arial" w:cs="Arial"/>
                <w:sz w:val="20"/>
                <w:szCs w:val="20"/>
                <w:lang w:eastAsia="en-GB"/>
              </w:rPr>
            </w:pPr>
            <w:r w:rsidRPr="00A77AF6">
              <w:rPr>
                <w:rFonts w:ascii="Arial" w:eastAsia="Times New Roman" w:hAnsi="Arial" w:cs="Arial"/>
                <w:sz w:val="20"/>
                <w:szCs w:val="20"/>
                <w:lang w:eastAsia="en-GB"/>
              </w:rPr>
              <w:t xml:space="preserve">Mode </w:t>
            </w:r>
          </w:p>
        </w:tc>
        <w:tc>
          <w:tcPr>
            <w:tcW w:w="1417" w:type="dxa"/>
            <w:shd w:val="clear" w:color="auto" w:fill="auto"/>
            <w:noWrap/>
          </w:tcPr>
          <w:p w14:paraId="1465B03D" w14:textId="77777777" w:rsidR="00874ED6" w:rsidRPr="00A77AF6" w:rsidRDefault="00874ED6" w:rsidP="003250FC">
            <w:pPr>
              <w:spacing w:after="120" w:line="240" w:lineRule="auto"/>
              <w:jc w:val="right"/>
              <w:rPr>
                <w:rFonts w:ascii="Arial" w:eastAsia="Times New Roman" w:hAnsi="Arial" w:cs="Arial"/>
                <w:sz w:val="20"/>
                <w:szCs w:val="20"/>
                <w:lang w:eastAsia="en-GB"/>
              </w:rPr>
            </w:pPr>
            <w:r w:rsidRPr="00A77AF6">
              <w:rPr>
                <w:rFonts w:ascii="Arial" w:eastAsia="Times New Roman" w:hAnsi="Arial" w:cs="Arial"/>
                <w:sz w:val="20"/>
                <w:szCs w:val="20"/>
                <w:lang w:eastAsia="en-GB"/>
              </w:rPr>
              <w:t>8</w:t>
            </w:r>
          </w:p>
        </w:tc>
      </w:tr>
      <w:tr w:rsidR="00874ED6" w:rsidRPr="00A77AF6" w14:paraId="429C8859" w14:textId="77777777" w:rsidTr="003250FC">
        <w:trPr>
          <w:trHeight w:val="255"/>
        </w:trPr>
        <w:tc>
          <w:tcPr>
            <w:tcW w:w="1980" w:type="dxa"/>
            <w:shd w:val="clear" w:color="auto" w:fill="auto"/>
            <w:noWrap/>
            <w:hideMark/>
          </w:tcPr>
          <w:p w14:paraId="15CE5503" w14:textId="77777777" w:rsidR="00874ED6" w:rsidRPr="00A77AF6" w:rsidRDefault="00874ED6" w:rsidP="003250FC">
            <w:pPr>
              <w:spacing w:after="120" w:line="240" w:lineRule="auto"/>
              <w:rPr>
                <w:rFonts w:ascii="Arial" w:eastAsia="Times New Roman" w:hAnsi="Arial" w:cs="Arial"/>
                <w:sz w:val="20"/>
                <w:szCs w:val="20"/>
                <w:lang w:eastAsia="en-GB"/>
              </w:rPr>
            </w:pPr>
            <w:r w:rsidRPr="00A77AF6">
              <w:rPr>
                <w:rFonts w:ascii="Arial" w:eastAsia="Times New Roman" w:hAnsi="Arial" w:cs="Arial"/>
                <w:sz w:val="20"/>
                <w:szCs w:val="20"/>
                <w:lang w:eastAsia="en-GB"/>
              </w:rPr>
              <w:t>Median</w:t>
            </w:r>
          </w:p>
        </w:tc>
        <w:tc>
          <w:tcPr>
            <w:tcW w:w="1417" w:type="dxa"/>
            <w:shd w:val="clear" w:color="auto" w:fill="auto"/>
            <w:noWrap/>
          </w:tcPr>
          <w:p w14:paraId="27A01042" w14:textId="77777777" w:rsidR="00874ED6" w:rsidRPr="00A77AF6" w:rsidRDefault="00874ED6" w:rsidP="003250FC">
            <w:pPr>
              <w:spacing w:after="120" w:line="240" w:lineRule="auto"/>
              <w:jc w:val="right"/>
              <w:rPr>
                <w:rFonts w:ascii="Arial" w:eastAsia="Times New Roman" w:hAnsi="Arial" w:cs="Arial"/>
                <w:sz w:val="20"/>
                <w:szCs w:val="20"/>
                <w:lang w:eastAsia="en-GB"/>
              </w:rPr>
            </w:pPr>
            <w:r w:rsidRPr="00A77AF6">
              <w:rPr>
                <w:rFonts w:ascii="Arial" w:eastAsia="Times New Roman" w:hAnsi="Arial" w:cs="Arial"/>
                <w:sz w:val="20"/>
                <w:szCs w:val="20"/>
                <w:lang w:eastAsia="en-GB"/>
              </w:rPr>
              <w:t>8</w:t>
            </w:r>
          </w:p>
        </w:tc>
      </w:tr>
      <w:tr w:rsidR="00874ED6" w:rsidRPr="00A77AF6" w14:paraId="55F5C364" w14:textId="77777777" w:rsidTr="003250FC">
        <w:trPr>
          <w:trHeight w:val="299"/>
        </w:trPr>
        <w:tc>
          <w:tcPr>
            <w:tcW w:w="1980" w:type="dxa"/>
            <w:shd w:val="clear" w:color="auto" w:fill="auto"/>
            <w:noWrap/>
            <w:hideMark/>
          </w:tcPr>
          <w:p w14:paraId="294E00F4" w14:textId="1993D67A" w:rsidR="00874ED6" w:rsidRPr="00A77AF6" w:rsidRDefault="00874ED6" w:rsidP="007F0371">
            <w:pPr>
              <w:spacing w:after="120" w:line="240" w:lineRule="auto"/>
              <w:rPr>
                <w:rFonts w:ascii="Arial" w:eastAsia="Times New Roman" w:hAnsi="Arial" w:cs="Arial"/>
                <w:sz w:val="20"/>
                <w:szCs w:val="20"/>
                <w:lang w:eastAsia="en-GB"/>
              </w:rPr>
            </w:pPr>
            <w:r w:rsidRPr="00A77AF6">
              <w:rPr>
                <w:rFonts w:ascii="Arial" w:eastAsia="Times New Roman" w:hAnsi="Arial" w:cs="Arial"/>
                <w:sz w:val="20"/>
                <w:szCs w:val="20"/>
                <w:lang w:eastAsia="en-GB"/>
              </w:rPr>
              <w:t>Mean</w:t>
            </w:r>
          </w:p>
        </w:tc>
        <w:tc>
          <w:tcPr>
            <w:tcW w:w="1417" w:type="dxa"/>
            <w:shd w:val="clear" w:color="auto" w:fill="auto"/>
            <w:noWrap/>
          </w:tcPr>
          <w:p w14:paraId="308769E2" w14:textId="77777777" w:rsidR="00874ED6" w:rsidRPr="00A77AF6" w:rsidRDefault="00874ED6" w:rsidP="003250FC">
            <w:pPr>
              <w:spacing w:after="120" w:line="240" w:lineRule="auto"/>
              <w:jc w:val="right"/>
              <w:rPr>
                <w:rFonts w:ascii="Arial" w:eastAsia="Times New Roman" w:hAnsi="Arial" w:cs="Arial"/>
                <w:sz w:val="20"/>
                <w:szCs w:val="20"/>
                <w:lang w:eastAsia="en-GB"/>
              </w:rPr>
            </w:pPr>
            <w:r w:rsidRPr="00A77AF6">
              <w:rPr>
                <w:rFonts w:ascii="Arial" w:eastAsia="Times New Roman" w:hAnsi="Arial" w:cs="Arial"/>
                <w:sz w:val="20"/>
                <w:szCs w:val="20"/>
                <w:lang w:eastAsia="en-GB"/>
              </w:rPr>
              <w:t>8</w:t>
            </w:r>
          </w:p>
        </w:tc>
      </w:tr>
    </w:tbl>
    <w:p w14:paraId="518E8380" w14:textId="77777777" w:rsidR="00283AAB" w:rsidRPr="00A77AF6" w:rsidRDefault="00E848F3" w:rsidP="00283AAB">
      <w:pPr>
        <w:keepNext/>
      </w:pPr>
      <w:r w:rsidRPr="00A77AF6">
        <w:rPr>
          <w:noProof/>
          <w:lang w:eastAsia="en-GB"/>
        </w:rPr>
        <w:lastRenderedPageBreak/>
        <w:drawing>
          <wp:inline distT="0" distB="0" distL="0" distR="0" wp14:anchorId="0CC10095" wp14:editId="0FB7F4F9">
            <wp:extent cx="4572000" cy="2743200"/>
            <wp:effectExtent l="0" t="0" r="0" b="0"/>
            <wp:docPr id="224" name="Chart 224">
              <a:extLst xmlns:a="http://schemas.openxmlformats.org/drawingml/2006/main">
                <a:ext uri="{FF2B5EF4-FFF2-40B4-BE49-F238E27FC236}">
                  <a16:creationId xmlns:a16="http://schemas.microsoft.com/office/drawing/2014/main" id="{B26E264B-F605-4560-A59F-5172CDA1BB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E7CFACC" w14:textId="10107B1B" w:rsidR="00D01713" w:rsidRPr="00A77AF6" w:rsidRDefault="00283AAB" w:rsidP="00283AAB">
      <w:pPr>
        <w:pStyle w:val="Caption"/>
      </w:pPr>
      <w:bookmarkStart w:id="165" w:name="_Toc36186982"/>
      <w:r w:rsidRPr="00A77AF6">
        <w:t xml:space="preserve">Figure </w:t>
      </w:r>
      <w:fldSimple w:instr=" STYLEREF 1 \s ">
        <w:r w:rsidR="000441F7">
          <w:rPr>
            <w:noProof/>
          </w:rPr>
          <w:t>6</w:t>
        </w:r>
      </w:fldSimple>
      <w:r w:rsidR="00BA5DC4">
        <w:noBreakHyphen/>
      </w:r>
      <w:fldSimple w:instr=" SEQ Figure \* ARABIC \s 1 ">
        <w:r w:rsidR="000441F7">
          <w:rPr>
            <w:noProof/>
          </w:rPr>
          <w:t>6</w:t>
        </w:r>
      </w:fldSimple>
      <w:r w:rsidRPr="00A77AF6">
        <w:t>: Distribution of project scores</w:t>
      </w:r>
      <w:bookmarkEnd w:id="165"/>
    </w:p>
    <w:p w14:paraId="5A5B9C56" w14:textId="7016459A" w:rsidR="007F0371" w:rsidRPr="00A77AF6" w:rsidRDefault="007F0371" w:rsidP="007F0371">
      <w:pPr>
        <w:spacing w:before="240" w:line="360" w:lineRule="auto"/>
      </w:pPr>
      <w:r w:rsidRPr="00A77AF6">
        <w:t>Eighteen projects scored 9 or more points and seven of these</w:t>
      </w:r>
      <w:r w:rsidR="00BD4D4B" w:rsidRPr="00A77AF6">
        <w:t xml:space="preserve"> missed at</w:t>
      </w:r>
      <w:r w:rsidRPr="00A77AF6">
        <w:t xml:space="preserve"> least one criterion (</w:t>
      </w:r>
      <w:r w:rsidR="00AE3C48" w:rsidRPr="00A77AF6">
        <w:t xml:space="preserve">highlighted in red </w:t>
      </w:r>
      <w:r w:rsidRPr="00A77AF6">
        <w:t>Table 6-2</w:t>
      </w:r>
      <w:r w:rsidR="00BD4D4B" w:rsidRPr="00A77AF6">
        <w:t>6</w:t>
      </w:r>
      <w:r w:rsidRPr="00A77AF6">
        <w:t xml:space="preserve">). If a threshold of </w:t>
      </w:r>
      <w:r w:rsidR="00BD4D4B" w:rsidRPr="00A77AF6">
        <w:t>ni</w:t>
      </w:r>
      <w:r w:rsidRPr="00A77AF6">
        <w:t xml:space="preserve">ne project success points is adopted as the point at which projects are </w:t>
      </w:r>
      <w:r w:rsidR="00BD4D4B" w:rsidRPr="00A77AF6">
        <w:t xml:space="preserve">considered </w:t>
      </w:r>
      <w:r w:rsidRPr="00A77AF6">
        <w:t>successful (the score achieve</w:t>
      </w:r>
      <w:r w:rsidR="00394D2B" w:rsidRPr="00A77AF6">
        <w:t>d</w:t>
      </w:r>
      <w:r w:rsidRPr="00A77AF6">
        <w:t xml:space="preserve"> if </w:t>
      </w:r>
      <w:r w:rsidR="00394D2B" w:rsidRPr="00A77AF6">
        <w:t xml:space="preserve">time, cost and quality are met exactly) </w:t>
      </w:r>
      <w:r w:rsidRPr="00A77AF6">
        <w:t xml:space="preserve">then the number of successful projects increases from </w:t>
      </w:r>
      <w:r w:rsidR="00BD4D4B" w:rsidRPr="00A77AF6">
        <w:t>11</w:t>
      </w:r>
      <w:r w:rsidRPr="00A77AF6">
        <w:t xml:space="preserve"> (22%) to </w:t>
      </w:r>
      <w:r w:rsidR="00BD4D4B" w:rsidRPr="00A77AF6">
        <w:t>18</w:t>
      </w:r>
      <w:r w:rsidRPr="00A77AF6">
        <w:t xml:space="preserve"> (35%) even though one or more target </w:t>
      </w:r>
      <w:r w:rsidR="00BD4D4B" w:rsidRPr="00A77AF6">
        <w:t>was missed</w:t>
      </w:r>
      <w:r w:rsidRPr="00A77AF6">
        <w:t xml:space="preserve">.  Project 157 is </w:t>
      </w:r>
      <w:r w:rsidR="00394D2B" w:rsidRPr="00A77AF6">
        <w:t xml:space="preserve">an </w:t>
      </w:r>
      <w:r w:rsidRPr="00A77AF6">
        <w:t>example of a project missing iron triangle targets but scoring 11 points by exceeding both quality targets and cost targets but slightly missing its time target</w:t>
      </w:r>
      <w:r w:rsidR="00AE3C48" w:rsidRPr="00A77AF6">
        <w:t xml:space="preserve"> (Table 6-26)</w:t>
      </w:r>
      <w:r w:rsidRPr="00A77AF6">
        <w:t>.  This project would not have wholly successful using the strict scoring of the iron triangle</w:t>
      </w:r>
      <w:r w:rsidR="00AE3C48" w:rsidRPr="00A77AF6">
        <w:t xml:space="preserve">. </w:t>
      </w:r>
      <w:r w:rsidRPr="00A77AF6">
        <w:t xml:space="preserve"> </w:t>
      </w:r>
    </w:p>
    <w:p w14:paraId="35647DFE" w14:textId="2F5E8225" w:rsidR="00874ED6" w:rsidRPr="00A77AF6" w:rsidRDefault="00874ED6">
      <w:pPr>
        <w:rPr>
          <w:i/>
          <w:iCs/>
          <w:sz w:val="18"/>
          <w:szCs w:val="18"/>
        </w:rPr>
      </w:pPr>
      <w:r w:rsidRPr="00A77AF6">
        <w:br w:type="page"/>
      </w:r>
    </w:p>
    <w:p w14:paraId="0159FC26" w14:textId="4A7F42FF" w:rsidR="00E32EC4" w:rsidRPr="00A77AF6" w:rsidRDefault="00E32EC4" w:rsidP="002800C9">
      <w:pPr>
        <w:pStyle w:val="Caption"/>
        <w:keepNext/>
        <w:spacing w:after="120"/>
      </w:pPr>
      <w:r w:rsidRPr="00A77AF6">
        <w:lastRenderedPageBreak/>
        <w:t xml:space="preserve">Table </w:t>
      </w:r>
      <w:fldSimple w:instr=" STYLEREF 1 \s ">
        <w:r w:rsidR="000441F7">
          <w:rPr>
            <w:noProof/>
          </w:rPr>
          <w:t>6</w:t>
        </w:r>
      </w:fldSimple>
      <w:r w:rsidR="00804112">
        <w:noBreakHyphen/>
      </w:r>
      <w:fldSimple w:instr=" SEQ Table \* ARABIC \s 1 ">
        <w:r w:rsidR="000441F7">
          <w:rPr>
            <w:noProof/>
          </w:rPr>
          <w:t>26</w:t>
        </w:r>
      </w:fldSimple>
      <w:r w:rsidRPr="00A77AF6">
        <w:t xml:space="preserve">: </w:t>
      </w:r>
      <w:r w:rsidR="006270DF" w:rsidRPr="00A77AF6">
        <w:t xml:space="preserve">Showing the 18 </w:t>
      </w:r>
      <w:r w:rsidRPr="00A77AF6">
        <w:t xml:space="preserve">Projects </w:t>
      </w:r>
      <w:r w:rsidR="006270DF" w:rsidRPr="00A77AF6">
        <w:t xml:space="preserve">that </w:t>
      </w:r>
      <w:r w:rsidR="00F91B86" w:rsidRPr="00A77AF6">
        <w:t>scored 9</w:t>
      </w:r>
      <w:r w:rsidRPr="00A77AF6">
        <w:t xml:space="preserve"> or more success points:</w:t>
      </w:r>
    </w:p>
    <w:tbl>
      <w:tblPr>
        <w:tblW w:w="7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418"/>
        <w:gridCol w:w="1701"/>
        <w:gridCol w:w="1559"/>
        <w:gridCol w:w="1559"/>
      </w:tblGrid>
      <w:tr w:rsidR="006270DF" w:rsidRPr="00A77AF6" w14:paraId="151C3020" w14:textId="0641CC55" w:rsidTr="006270DF">
        <w:trPr>
          <w:trHeight w:val="300"/>
        </w:trPr>
        <w:tc>
          <w:tcPr>
            <w:tcW w:w="1134" w:type="dxa"/>
            <w:shd w:val="clear" w:color="auto" w:fill="D9D9D9" w:themeFill="background1" w:themeFillShade="D9"/>
          </w:tcPr>
          <w:p w14:paraId="008A88DB" w14:textId="77777777" w:rsidR="006270DF" w:rsidRPr="00A77AF6" w:rsidRDefault="006270DF" w:rsidP="00CC10AF">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 xml:space="preserve">Unique Project id </w:t>
            </w:r>
          </w:p>
        </w:tc>
        <w:tc>
          <w:tcPr>
            <w:tcW w:w="1418" w:type="dxa"/>
            <w:shd w:val="clear" w:color="auto" w:fill="D9D9D9" w:themeFill="background1" w:themeFillShade="D9"/>
            <w:noWrap/>
            <w:hideMark/>
          </w:tcPr>
          <w:p w14:paraId="5DB0DAFA" w14:textId="77777777" w:rsidR="006270DF" w:rsidRPr="00A77AF6" w:rsidRDefault="006270DF" w:rsidP="00CC10AF">
            <w:pPr>
              <w:spacing w:after="0" w:line="240" w:lineRule="auto"/>
              <w:jc w:val="center"/>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Time score</w:t>
            </w:r>
          </w:p>
        </w:tc>
        <w:tc>
          <w:tcPr>
            <w:tcW w:w="1701" w:type="dxa"/>
            <w:shd w:val="clear" w:color="auto" w:fill="D9D9D9" w:themeFill="background1" w:themeFillShade="D9"/>
            <w:noWrap/>
            <w:hideMark/>
          </w:tcPr>
          <w:p w14:paraId="64CD831C" w14:textId="77777777" w:rsidR="006270DF" w:rsidRPr="00A77AF6" w:rsidRDefault="006270DF" w:rsidP="00CC10AF">
            <w:pPr>
              <w:spacing w:after="0" w:line="240" w:lineRule="auto"/>
              <w:jc w:val="center"/>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Cost score</w:t>
            </w:r>
          </w:p>
        </w:tc>
        <w:tc>
          <w:tcPr>
            <w:tcW w:w="1559" w:type="dxa"/>
            <w:shd w:val="clear" w:color="auto" w:fill="D9D9D9" w:themeFill="background1" w:themeFillShade="D9"/>
            <w:noWrap/>
            <w:hideMark/>
          </w:tcPr>
          <w:p w14:paraId="3B2BA9C1" w14:textId="77777777" w:rsidR="006270DF" w:rsidRPr="00A77AF6" w:rsidRDefault="006270DF" w:rsidP="00CC10AF">
            <w:pPr>
              <w:spacing w:after="0" w:line="240" w:lineRule="auto"/>
              <w:jc w:val="center"/>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Quality score</w:t>
            </w:r>
          </w:p>
        </w:tc>
        <w:tc>
          <w:tcPr>
            <w:tcW w:w="1559" w:type="dxa"/>
            <w:shd w:val="clear" w:color="auto" w:fill="D9D9D9" w:themeFill="background1" w:themeFillShade="D9"/>
          </w:tcPr>
          <w:p w14:paraId="25487A26" w14:textId="7744F507" w:rsidR="006270DF" w:rsidRPr="00A77AF6" w:rsidRDefault="006270DF" w:rsidP="00CC10AF">
            <w:pPr>
              <w:spacing w:after="0" w:line="240" w:lineRule="auto"/>
              <w:jc w:val="center"/>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 xml:space="preserve">Points total </w:t>
            </w:r>
          </w:p>
        </w:tc>
      </w:tr>
      <w:tr w:rsidR="006270DF" w:rsidRPr="00A77AF6" w14:paraId="1273A4E2" w14:textId="6882D028" w:rsidTr="008F1B8E">
        <w:trPr>
          <w:trHeight w:val="300"/>
        </w:trPr>
        <w:tc>
          <w:tcPr>
            <w:tcW w:w="1134" w:type="dxa"/>
            <w:vAlign w:val="bottom"/>
          </w:tcPr>
          <w:p w14:paraId="3DAEF4E8" w14:textId="77777777" w:rsidR="006270DF" w:rsidRPr="00A77AF6" w:rsidRDefault="006270DF" w:rsidP="00CC10AF">
            <w:pPr>
              <w:spacing w:after="0" w:line="240" w:lineRule="auto"/>
              <w:rPr>
                <w:rFonts w:ascii="Calibri" w:eastAsia="Times New Roman" w:hAnsi="Calibri" w:cs="Calibri"/>
                <w:b/>
                <w:bCs/>
                <w:color w:val="FF0000"/>
                <w:sz w:val="20"/>
                <w:szCs w:val="20"/>
                <w:lang w:eastAsia="en-GB"/>
              </w:rPr>
            </w:pPr>
            <w:r w:rsidRPr="00A77AF6">
              <w:rPr>
                <w:rFonts w:ascii="Calibri" w:hAnsi="Calibri" w:cs="Calibri"/>
                <w:color w:val="000000"/>
                <w:sz w:val="20"/>
                <w:szCs w:val="20"/>
              </w:rPr>
              <w:t>67</w:t>
            </w:r>
          </w:p>
        </w:tc>
        <w:tc>
          <w:tcPr>
            <w:tcW w:w="1418" w:type="dxa"/>
            <w:shd w:val="clear" w:color="auto" w:fill="auto"/>
            <w:noWrap/>
            <w:vAlign w:val="bottom"/>
            <w:hideMark/>
          </w:tcPr>
          <w:p w14:paraId="7BF65081" w14:textId="77777777"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3</w:t>
            </w:r>
          </w:p>
        </w:tc>
        <w:tc>
          <w:tcPr>
            <w:tcW w:w="1701" w:type="dxa"/>
            <w:shd w:val="clear" w:color="auto" w:fill="auto"/>
            <w:noWrap/>
            <w:vAlign w:val="bottom"/>
            <w:hideMark/>
          </w:tcPr>
          <w:p w14:paraId="337B581B" w14:textId="77777777"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3</w:t>
            </w:r>
          </w:p>
        </w:tc>
        <w:tc>
          <w:tcPr>
            <w:tcW w:w="1559" w:type="dxa"/>
            <w:shd w:val="clear" w:color="auto" w:fill="auto"/>
            <w:noWrap/>
            <w:vAlign w:val="bottom"/>
            <w:hideMark/>
          </w:tcPr>
          <w:p w14:paraId="1DEFC560" w14:textId="77777777"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3</w:t>
            </w:r>
          </w:p>
        </w:tc>
        <w:tc>
          <w:tcPr>
            <w:tcW w:w="1559" w:type="dxa"/>
            <w:vAlign w:val="bottom"/>
          </w:tcPr>
          <w:p w14:paraId="7D786BE3" w14:textId="2B78F77E"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9</w:t>
            </w:r>
          </w:p>
        </w:tc>
      </w:tr>
      <w:tr w:rsidR="006270DF" w:rsidRPr="00A77AF6" w14:paraId="4697E866" w14:textId="0FCFF01C" w:rsidTr="008F1B8E">
        <w:trPr>
          <w:trHeight w:val="300"/>
        </w:trPr>
        <w:tc>
          <w:tcPr>
            <w:tcW w:w="1134" w:type="dxa"/>
            <w:shd w:val="clear" w:color="auto" w:fill="F2F2F2" w:themeFill="background1" w:themeFillShade="F2"/>
            <w:vAlign w:val="bottom"/>
          </w:tcPr>
          <w:p w14:paraId="13D08900" w14:textId="4BC19338" w:rsidR="006270DF" w:rsidRPr="00A77AF6" w:rsidRDefault="006270DF" w:rsidP="00CC10AF">
            <w:pPr>
              <w:spacing w:after="0" w:line="240" w:lineRule="auto"/>
              <w:rPr>
                <w:rFonts w:ascii="Calibri" w:hAnsi="Calibri" w:cs="Calibri"/>
                <w:b/>
                <w:color w:val="FF0000"/>
                <w:sz w:val="20"/>
                <w:szCs w:val="20"/>
              </w:rPr>
            </w:pPr>
            <w:r w:rsidRPr="00A77AF6">
              <w:rPr>
                <w:rFonts w:ascii="Calibri" w:hAnsi="Calibri" w:cs="Calibri"/>
                <w:b/>
                <w:color w:val="FF0000"/>
                <w:sz w:val="20"/>
                <w:szCs w:val="20"/>
              </w:rPr>
              <w:t>74</w:t>
            </w:r>
          </w:p>
        </w:tc>
        <w:tc>
          <w:tcPr>
            <w:tcW w:w="1418" w:type="dxa"/>
            <w:shd w:val="clear" w:color="auto" w:fill="F2F2F2" w:themeFill="background1" w:themeFillShade="F2"/>
            <w:noWrap/>
            <w:vAlign w:val="bottom"/>
          </w:tcPr>
          <w:p w14:paraId="42247375" w14:textId="5C39A1CF" w:rsidR="006270DF" w:rsidRPr="00A77AF6" w:rsidRDefault="006270DF" w:rsidP="00CC10AF">
            <w:pPr>
              <w:spacing w:after="0" w:line="240" w:lineRule="auto"/>
              <w:jc w:val="center"/>
              <w:rPr>
                <w:rFonts w:ascii="Calibri" w:eastAsia="Times New Roman" w:hAnsi="Calibri" w:cs="Calibri"/>
                <w:b/>
                <w:bCs/>
                <w:color w:val="FF0000"/>
                <w:sz w:val="20"/>
                <w:szCs w:val="20"/>
                <w:lang w:eastAsia="en-GB"/>
              </w:rPr>
            </w:pPr>
            <w:r w:rsidRPr="00A77AF6">
              <w:rPr>
                <w:rFonts w:ascii="Calibri" w:eastAsia="Times New Roman" w:hAnsi="Calibri" w:cs="Calibri"/>
                <w:b/>
                <w:bCs/>
                <w:color w:val="FF0000"/>
                <w:sz w:val="20"/>
                <w:szCs w:val="20"/>
                <w:lang w:eastAsia="en-GB"/>
              </w:rPr>
              <w:t>3</w:t>
            </w:r>
          </w:p>
        </w:tc>
        <w:tc>
          <w:tcPr>
            <w:tcW w:w="1701" w:type="dxa"/>
            <w:shd w:val="clear" w:color="auto" w:fill="F2F2F2" w:themeFill="background1" w:themeFillShade="F2"/>
            <w:noWrap/>
            <w:vAlign w:val="bottom"/>
          </w:tcPr>
          <w:p w14:paraId="0B6E1AA9" w14:textId="2A017391" w:rsidR="006270DF" w:rsidRPr="00A77AF6" w:rsidRDefault="006270DF" w:rsidP="00CC10AF">
            <w:pPr>
              <w:spacing w:after="0" w:line="240" w:lineRule="auto"/>
              <w:jc w:val="center"/>
              <w:rPr>
                <w:rFonts w:ascii="Calibri" w:eastAsia="Times New Roman" w:hAnsi="Calibri" w:cs="Calibri"/>
                <w:b/>
                <w:bCs/>
                <w:color w:val="FF0000"/>
                <w:sz w:val="20"/>
                <w:szCs w:val="20"/>
                <w:lang w:eastAsia="en-GB"/>
              </w:rPr>
            </w:pPr>
            <w:r w:rsidRPr="00A77AF6">
              <w:rPr>
                <w:rFonts w:ascii="Calibri" w:eastAsia="Times New Roman" w:hAnsi="Calibri" w:cs="Calibri"/>
                <w:b/>
                <w:bCs/>
                <w:color w:val="FF0000"/>
                <w:sz w:val="20"/>
                <w:szCs w:val="20"/>
                <w:lang w:eastAsia="en-GB"/>
              </w:rPr>
              <w:t>4</w:t>
            </w:r>
          </w:p>
        </w:tc>
        <w:tc>
          <w:tcPr>
            <w:tcW w:w="1559" w:type="dxa"/>
            <w:shd w:val="clear" w:color="auto" w:fill="F2F2F2" w:themeFill="background1" w:themeFillShade="F2"/>
            <w:noWrap/>
            <w:vAlign w:val="bottom"/>
          </w:tcPr>
          <w:p w14:paraId="1A017FFE" w14:textId="14BB54B3" w:rsidR="006270DF" w:rsidRPr="00A77AF6" w:rsidRDefault="006270DF" w:rsidP="00CC10AF">
            <w:pPr>
              <w:spacing w:after="0" w:line="240" w:lineRule="auto"/>
              <w:jc w:val="center"/>
              <w:rPr>
                <w:rFonts w:ascii="Calibri" w:eastAsia="Times New Roman" w:hAnsi="Calibri" w:cs="Calibri"/>
                <w:b/>
                <w:bCs/>
                <w:color w:val="FF0000"/>
                <w:sz w:val="20"/>
                <w:szCs w:val="20"/>
                <w:lang w:eastAsia="en-GB"/>
              </w:rPr>
            </w:pPr>
            <w:r w:rsidRPr="00A77AF6">
              <w:rPr>
                <w:rFonts w:ascii="Calibri" w:eastAsia="Times New Roman" w:hAnsi="Calibri" w:cs="Calibri"/>
                <w:b/>
                <w:bCs/>
                <w:color w:val="FF0000"/>
                <w:sz w:val="20"/>
                <w:szCs w:val="20"/>
                <w:lang w:eastAsia="en-GB"/>
              </w:rPr>
              <w:t>2</w:t>
            </w:r>
          </w:p>
        </w:tc>
        <w:tc>
          <w:tcPr>
            <w:tcW w:w="1559" w:type="dxa"/>
            <w:shd w:val="clear" w:color="auto" w:fill="F2F2F2" w:themeFill="background1" w:themeFillShade="F2"/>
            <w:vAlign w:val="bottom"/>
          </w:tcPr>
          <w:p w14:paraId="373B1367" w14:textId="5ABB709E" w:rsidR="006270DF" w:rsidRPr="00A77AF6" w:rsidRDefault="006270DF" w:rsidP="00CC10AF">
            <w:pPr>
              <w:spacing w:after="0" w:line="240" w:lineRule="auto"/>
              <w:jc w:val="center"/>
              <w:rPr>
                <w:rFonts w:ascii="Calibri" w:eastAsia="Times New Roman" w:hAnsi="Calibri" w:cs="Calibri"/>
                <w:b/>
                <w:bCs/>
                <w:color w:val="FF0000"/>
                <w:sz w:val="20"/>
                <w:szCs w:val="20"/>
                <w:lang w:eastAsia="en-GB"/>
              </w:rPr>
            </w:pPr>
            <w:r w:rsidRPr="00A77AF6">
              <w:rPr>
                <w:rFonts w:ascii="Calibri" w:eastAsia="Times New Roman" w:hAnsi="Calibri" w:cs="Calibri"/>
                <w:b/>
                <w:bCs/>
                <w:color w:val="FF0000"/>
                <w:sz w:val="20"/>
                <w:szCs w:val="20"/>
                <w:lang w:eastAsia="en-GB"/>
              </w:rPr>
              <w:t>9</w:t>
            </w:r>
          </w:p>
        </w:tc>
      </w:tr>
      <w:tr w:rsidR="006270DF" w:rsidRPr="00A77AF6" w14:paraId="64993105" w14:textId="706416DB" w:rsidTr="008F1B8E">
        <w:trPr>
          <w:trHeight w:val="300"/>
        </w:trPr>
        <w:tc>
          <w:tcPr>
            <w:tcW w:w="1134" w:type="dxa"/>
            <w:shd w:val="clear" w:color="auto" w:fill="F2F2F2" w:themeFill="background1" w:themeFillShade="F2"/>
            <w:vAlign w:val="bottom"/>
          </w:tcPr>
          <w:p w14:paraId="7A38622F" w14:textId="32E70E3E" w:rsidR="006270DF" w:rsidRPr="00A77AF6" w:rsidRDefault="006270DF" w:rsidP="00CC10AF">
            <w:pPr>
              <w:spacing w:after="0" w:line="240" w:lineRule="auto"/>
              <w:rPr>
                <w:rFonts w:ascii="Calibri" w:hAnsi="Calibri" w:cs="Calibri"/>
                <w:b/>
                <w:color w:val="FF0000"/>
                <w:sz w:val="20"/>
                <w:szCs w:val="20"/>
              </w:rPr>
            </w:pPr>
            <w:r w:rsidRPr="00A77AF6">
              <w:rPr>
                <w:rFonts w:ascii="Calibri" w:hAnsi="Calibri" w:cs="Calibri"/>
                <w:b/>
                <w:color w:val="FF0000"/>
                <w:sz w:val="20"/>
                <w:szCs w:val="20"/>
              </w:rPr>
              <w:t>77</w:t>
            </w:r>
          </w:p>
        </w:tc>
        <w:tc>
          <w:tcPr>
            <w:tcW w:w="1418" w:type="dxa"/>
            <w:shd w:val="clear" w:color="auto" w:fill="F2F2F2" w:themeFill="background1" w:themeFillShade="F2"/>
            <w:noWrap/>
            <w:vAlign w:val="bottom"/>
          </w:tcPr>
          <w:p w14:paraId="601BAE91" w14:textId="651A3A6F" w:rsidR="006270DF" w:rsidRPr="00A77AF6" w:rsidRDefault="006270DF" w:rsidP="00CC10AF">
            <w:pPr>
              <w:spacing w:after="0" w:line="240" w:lineRule="auto"/>
              <w:jc w:val="center"/>
              <w:rPr>
                <w:rFonts w:ascii="Calibri" w:eastAsia="Times New Roman" w:hAnsi="Calibri" w:cs="Calibri"/>
                <w:b/>
                <w:bCs/>
                <w:color w:val="FF0000"/>
                <w:sz w:val="20"/>
                <w:szCs w:val="20"/>
                <w:lang w:eastAsia="en-GB"/>
              </w:rPr>
            </w:pPr>
            <w:r w:rsidRPr="00A77AF6">
              <w:rPr>
                <w:rFonts w:ascii="Calibri" w:eastAsia="Times New Roman" w:hAnsi="Calibri" w:cs="Calibri"/>
                <w:b/>
                <w:bCs/>
                <w:color w:val="FF0000"/>
                <w:sz w:val="20"/>
                <w:szCs w:val="20"/>
                <w:lang w:eastAsia="en-GB"/>
              </w:rPr>
              <w:t>3</w:t>
            </w:r>
          </w:p>
        </w:tc>
        <w:tc>
          <w:tcPr>
            <w:tcW w:w="1701" w:type="dxa"/>
            <w:shd w:val="clear" w:color="auto" w:fill="F2F2F2" w:themeFill="background1" w:themeFillShade="F2"/>
            <w:noWrap/>
            <w:vAlign w:val="bottom"/>
          </w:tcPr>
          <w:p w14:paraId="2104D681" w14:textId="3A40B354" w:rsidR="006270DF" w:rsidRPr="00A77AF6" w:rsidRDefault="006270DF" w:rsidP="00CC10AF">
            <w:pPr>
              <w:spacing w:after="0" w:line="240" w:lineRule="auto"/>
              <w:jc w:val="center"/>
              <w:rPr>
                <w:rFonts w:ascii="Calibri" w:eastAsia="Times New Roman" w:hAnsi="Calibri" w:cs="Calibri"/>
                <w:b/>
                <w:bCs/>
                <w:color w:val="FF0000"/>
                <w:sz w:val="20"/>
                <w:szCs w:val="20"/>
                <w:lang w:eastAsia="en-GB"/>
              </w:rPr>
            </w:pPr>
            <w:r w:rsidRPr="00A77AF6">
              <w:rPr>
                <w:rFonts w:ascii="Calibri" w:eastAsia="Times New Roman" w:hAnsi="Calibri" w:cs="Calibri"/>
                <w:b/>
                <w:bCs/>
                <w:color w:val="FF0000"/>
                <w:sz w:val="20"/>
                <w:szCs w:val="20"/>
                <w:lang w:eastAsia="en-GB"/>
              </w:rPr>
              <w:t>2</w:t>
            </w:r>
          </w:p>
        </w:tc>
        <w:tc>
          <w:tcPr>
            <w:tcW w:w="1559" w:type="dxa"/>
            <w:shd w:val="clear" w:color="auto" w:fill="F2F2F2" w:themeFill="background1" w:themeFillShade="F2"/>
            <w:noWrap/>
            <w:vAlign w:val="bottom"/>
          </w:tcPr>
          <w:p w14:paraId="51A5E6EF" w14:textId="5F2C72C8" w:rsidR="006270DF" w:rsidRPr="00A77AF6" w:rsidRDefault="006270DF" w:rsidP="00CC10AF">
            <w:pPr>
              <w:spacing w:after="0" w:line="240" w:lineRule="auto"/>
              <w:jc w:val="center"/>
              <w:rPr>
                <w:rFonts w:ascii="Calibri" w:eastAsia="Times New Roman" w:hAnsi="Calibri" w:cs="Calibri"/>
                <w:b/>
                <w:bCs/>
                <w:color w:val="FF0000"/>
                <w:sz w:val="20"/>
                <w:szCs w:val="20"/>
                <w:lang w:eastAsia="en-GB"/>
              </w:rPr>
            </w:pPr>
            <w:r w:rsidRPr="00A77AF6">
              <w:rPr>
                <w:rFonts w:ascii="Calibri" w:eastAsia="Times New Roman" w:hAnsi="Calibri" w:cs="Calibri"/>
                <w:b/>
                <w:bCs/>
                <w:color w:val="FF0000"/>
                <w:sz w:val="20"/>
                <w:szCs w:val="20"/>
                <w:lang w:eastAsia="en-GB"/>
              </w:rPr>
              <w:t>4</w:t>
            </w:r>
          </w:p>
        </w:tc>
        <w:tc>
          <w:tcPr>
            <w:tcW w:w="1559" w:type="dxa"/>
            <w:shd w:val="clear" w:color="auto" w:fill="F2F2F2" w:themeFill="background1" w:themeFillShade="F2"/>
            <w:vAlign w:val="bottom"/>
          </w:tcPr>
          <w:p w14:paraId="4ACDB17D" w14:textId="63DC410D" w:rsidR="006270DF" w:rsidRPr="00A77AF6" w:rsidRDefault="006270DF" w:rsidP="00CC10AF">
            <w:pPr>
              <w:spacing w:after="0" w:line="240" w:lineRule="auto"/>
              <w:jc w:val="center"/>
              <w:rPr>
                <w:rFonts w:ascii="Calibri" w:eastAsia="Times New Roman" w:hAnsi="Calibri" w:cs="Calibri"/>
                <w:b/>
                <w:bCs/>
                <w:color w:val="FF0000"/>
                <w:sz w:val="20"/>
                <w:szCs w:val="20"/>
                <w:lang w:eastAsia="en-GB"/>
              </w:rPr>
            </w:pPr>
            <w:r w:rsidRPr="00A77AF6">
              <w:rPr>
                <w:rFonts w:ascii="Calibri" w:eastAsia="Times New Roman" w:hAnsi="Calibri" w:cs="Calibri"/>
                <w:b/>
                <w:bCs/>
                <w:color w:val="FF0000"/>
                <w:sz w:val="20"/>
                <w:szCs w:val="20"/>
                <w:lang w:eastAsia="en-GB"/>
              </w:rPr>
              <w:t>9</w:t>
            </w:r>
          </w:p>
        </w:tc>
      </w:tr>
      <w:tr w:rsidR="006270DF" w:rsidRPr="00A77AF6" w14:paraId="3D2CBAF0" w14:textId="501EF1D5" w:rsidTr="008F1B8E">
        <w:trPr>
          <w:trHeight w:val="300"/>
        </w:trPr>
        <w:tc>
          <w:tcPr>
            <w:tcW w:w="1134" w:type="dxa"/>
            <w:vAlign w:val="bottom"/>
          </w:tcPr>
          <w:p w14:paraId="1C42BE26" w14:textId="77777777" w:rsidR="006270DF" w:rsidRPr="00A77AF6" w:rsidRDefault="006270DF" w:rsidP="00CC10AF">
            <w:pPr>
              <w:spacing w:after="0" w:line="240" w:lineRule="auto"/>
              <w:rPr>
                <w:rFonts w:ascii="Calibri" w:eastAsia="Times New Roman" w:hAnsi="Calibri" w:cs="Calibri"/>
                <w:b/>
                <w:bCs/>
                <w:color w:val="FF0000"/>
                <w:sz w:val="20"/>
                <w:szCs w:val="20"/>
                <w:lang w:eastAsia="en-GB"/>
              </w:rPr>
            </w:pPr>
            <w:r w:rsidRPr="00A77AF6">
              <w:rPr>
                <w:rFonts w:ascii="Calibri" w:hAnsi="Calibri" w:cs="Calibri"/>
                <w:color w:val="000000"/>
                <w:sz w:val="20"/>
                <w:szCs w:val="20"/>
              </w:rPr>
              <w:t>84</w:t>
            </w:r>
          </w:p>
        </w:tc>
        <w:tc>
          <w:tcPr>
            <w:tcW w:w="1418" w:type="dxa"/>
            <w:shd w:val="clear" w:color="auto" w:fill="auto"/>
            <w:noWrap/>
            <w:vAlign w:val="bottom"/>
            <w:hideMark/>
          </w:tcPr>
          <w:p w14:paraId="478579AB" w14:textId="77777777"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3</w:t>
            </w:r>
          </w:p>
        </w:tc>
        <w:tc>
          <w:tcPr>
            <w:tcW w:w="1701" w:type="dxa"/>
            <w:shd w:val="clear" w:color="auto" w:fill="auto"/>
            <w:noWrap/>
            <w:vAlign w:val="bottom"/>
            <w:hideMark/>
          </w:tcPr>
          <w:p w14:paraId="669961FF" w14:textId="77777777"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4</w:t>
            </w:r>
          </w:p>
        </w:tc>
        <w:tc>
          <w:tcPr>
            <w:tcW w:w="1559" w:type="dxa"/>
            <w:shd w:val="clear" w:color="auto" w:fill="auto"/>
            <w:noWrap/>
            <w:vAlign w:val="bottom"/>
            <w:hideMark/>
          </w:tcPr>
          <w:p w14:paraId="25515B6A" w14:textId="77777777"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3</w:t>
            </w:r>
          </w:p>
        </w:tc>
        <w:tc>
          <w:tcPr>
            <w:tcW w:w="1559" w:type="dxa"/>
            <w:vAlign w:val="bottom"/>
          </w:tcPr>
          <w:p w14:paraId="4E306806" w14:textId="63C527D6"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10</w:t>
            </w:r>
          </w:p>
        </w:tc>
      </w:tr>
      <w:tr w:rsidR="006270DF" w:rsidRPr="00A77AF6" w14:paraId="57863242" w14:textId="32137A62" w:rsidTr="008F1B8E">
        <w:trPr>
          <w:trHeight w:val="300"/>
        </w:trPr>
        <w:tc>
          <w:tcPr>
            <w:tcW w:w="1134" w:type="dxa"/>
            <w:vAlign w:val="bottom"/>
          </w:tcPr>
          <w:p w14:paraId="0E4B54B3" w14:textId="77777777" w:rsidR="006270DF" w:rsidRPr="00A77AF6" w:rsidRDefault="006270DF" w:rsidP="00CC10AF">
            <w:pPr>
              <w:spacing w:after="0" w:line="240" w:lineRule="auto"/>
              <w:rPr>
                <w:rFonts w:ascii="Calibri" w:eastAsia="Times New Roman" w:hAnsi="Calibri" w:cs="Calibri"/>
                <w:b/>
                <w:bCs/>
                <w:color w:val="FF0000"/>
                <w:sz w:val="20"/>
                <w:szCs w:val="20"/>
                <w:lang w:eastAsia="en-GB"/>
              </w:rPr>
            </w:pPr>
            <w:r w:rsidRPr="00A77AF6">
              <w:rPr>
                <w:rFonts w:ascii="Calibri" w:hAnsi="Calibri" w:cs="Calibri"/>
                <w:color w:val="000000"/>
                <w:sz w:val="20"/>
                <w:szCs w:val="20"/>
              </w:rPr>
              <w:t>87</w:t>
            </w:r>
          </w:p>
        </w:tc>
        <w:tc>
          <w:tcPr>
            <w:tcW w:w="1418" w:type="dxa"/>
            <w:shd w:val="clear" w:color="auto" w:fill="auto"/>
            <w:noWrap/>
            <w:vAlign w:val="bottom"/>
            <w:hideMark/>
          </w:tcPr>
          <w:p w14:paraId="7AFD2014" w14:textId="77777777"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3</w:t>
            </w:r>
          </w:p>
        </w:tc>
        <w:tc>
          <w:tcPr>
            <w:tcW w:w="1701" w:type="dxa"/>
            <w:shd w:val="clear" w:color="auto" w:fill="auto"/>
            <w:noWrap/>
            <w:vAlign w:val="bottom"/>
            <w:hideMark/>
          </w:tcPr>
          <w:p w14:paraId="5BC4A34A" w14:textId="77777777"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3</w:t>
            </w:r>
          </w:p>
        </w:tc>
        <w:tc>
          <w:tcPr>
            <w:tcW w:w="1559" w:type="dxa"/>
            <w:shd w:val="clear" w:color="auto" w:fill="auto"/>
            <w:noWrap/>
            <w:vAlign w:val="bottom"/>
            <w:hideMark/>
          </w:tcPr>
          <w:p w14:paraId="21B929D2" w14:textId="77777777"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3</w:t>
            </w:r>
          </w:p>
        </w:tc>
        <w:tc>
          <w:tcPr>
            <w:tcW w:w="1559" w:type="dxa"/>
            <w:vAlign w:val="bottom"/>
          </w:tcPr>
          <w:p w14:paraId="304AD107" w14:textId="1D962139"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9</w:t>
            </w:r>
          </w:p>
        </w:tc>
      </w:tr>
      <w:tr w:rsidR="006270DF" w:rsidRPr="00A77AF6" w14:paraId="62DFDA78" w14:textId="4141C1B3" w:rsidTr="008F1B8E">
        <w:trPr>
          <w:trHeight w:val="300"/>
        </w:trPr>
        <w:tc>
          <w:tcPr>
            <w:tcW w:w="1134" w:type="dxa"/>
            <w:vAlign w:val="bottom"/>
          </w:tcPr>
          <w:p w14:paraId="6BA74FE3" w14:textId="77777777" w:rsidR="006270DF" w:rsidRPr="00A77AF6" w:rsidRDefault="006270DF" w:rsidP="00CC10AF">
            <w:pPr>
              <w:spacing w:after="0" w:line="240" w:lineRule="auto"/>
              <w:rPr>
                <w:rFonts w:ascii="Calibri" w:eastAsia="Times New Roman" w:hAnsi="Calibri" w:cs="Calibri"/>
                <w:b/>
                <w:bCs/>
                <w:color w:val="FF0000"/>
                <w:sz w:val="20"/>
                <w:szCs w:val="20"/>
                <w:lang w:eastAsia="en-GB"/>
              </w:rPr>
            </w:pPr>
            <w:r w:rsidRPr="00A77AF6">
              <w:rPr>
                <w:rFonts w:ascii="Calibri" w:hAnsi="Calibri" w:cs="Calibri"/>
                <w:color w:val="000000"/>
                <w:sz w:val="20"/>
                <w:szCs w:val="20"/>
              </w:rPr>
              <w:t>93</w:t>
            </w:r>
          </w:p>
        </w:tc>
        <w:tc>
          <w:tcPr>
            <w:tcW w:w="1418" w:type="dxa"/>
            <w:shd w:val="clear" w:color="auto" w:fill="auto"/>
            <w:noWrap/>
            <w:vAlign w:val="bottom"/>
            <w:hideMark/>
          </w:tcPr>
          <w:p w14:paraId="0CB0BA11" w14:textId="77777777"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3</w:t>
            </w:r>
          </w:p>
        </w:tc>
        <w:tc>
          <w:tcPr>
            <w:tcW w:w="1701" w:type="dxa"/>
            <w:shd w:val="clear" w:color="auto" w:fill="auto"/>
            <w:noWrap/>
            <w:vAlign w:val="bottom"/>
            <w:hideMark/>
          </w:tcPr>
          <w:p w14:paraId="72DEE8BA" w14:textId="77777777"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3</w:t>
            </w:r>
          </w:p>
        </w:tc>
        <w:tc>
          <w:tcPr>
            <w:tcW w:w="1559" w:type="dxa"/>
            <w:shd w:val="clear" w:color="auto" w:fill="auto"/>
            <w:noWrap/>
            <w:vAlign w:val="bottom"/>
            <w:hideMark/>
          </w:tcPr>
          <w:p w14:paraId="6C931D81" w14:textId="77777777"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3</w:t>
            </w:r>
          </w:p>
        </w:tc>
        <w:tc>
          <w:tcPr>
            <w:tcW w:w="1559" w:type="dxa"/>
            <w:vAlign w:val="bottom"/>
          </w:tcPr>
          <w:p w14:paraId="12B0C6CC" w14:textId="23855170"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9</w:t>
            </w:r>
          </w:p>
        </w:tc>
      </w:tr>
      <w:tr w:rsidR="006270DF" w:rsidRPr="00A77AF6" w14:paraId="5774C366" w14:textId="22C740A0" w:rsidTr="008F1B8E">
        <w:trPr>
          <w:trHeight w:val="300"/>
        </w:trPr>
        <w:tc>
          <w:tcPr>
            <w:tcW w:w="1134" w:type="dxa"/>
            <w:vAlign w:val="bottom"/>
          </w:tcPr>
          <w:p w14:paraId="150A7A58" w14:textId="77777777" w:rsidR="006270DF" w:rsidRPr="00A77AF6" w:rsidRDefault="006270DF" w:rsidP="00CC10AF">
            <w:pPr>
              <w:spacing w:after="0" w:line="240" w:lineRule="auto"/>
              <w:rPr>
                <w:rFonts w:ascii="Calibri" w:eastAsia="Times New Roman" w:hAnsi="Calibri" w:cs="Calibri"/>
                <w:b/>
                <w:bCs/>
                <w:color w:val="FF0000"/>
                <w:sz w:val="20"/>
                <w:szCs w:val="20"/>
                <w:lang w:eastAsia="en-GB"/>
              </w:rPr>
            </w:pPr>
            <w:r w:rsidRPr="00A77AF6">
              <w:rPr>
                <w:rFonts w:ascii="Calibri" w:hAnsi="Calibri" w:cs="Calibri"/>
                <w:color w:val="000000"/>
                <w:sz w:val="20"/>
                <w:szCs w:val="20"/>
              </w:rPr>
              <w:t>103</w:t>
            </w:r>
          </w:p>
        </w:tc>
        <w:tc>
          <w:tcPr>
            <w:tcW w:w="1418" w:type="dxa"/>
            <w:shd w:val="clear" w:color="auto" w:fill="auto"/>
            <w:noWrap/>
            <w:vAlign w:val="bottom"/>
            <w:hideMark/>
          </w:tcPr>
          <w:p w14:paraId="4E043A17" w14:textId="77777777"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3</w:t>
            </w:r>
          </w:p>
        </w:tc>
        <w:tc>
          <w:tcPr>
            <w:tcW w:w="1701" w:type="dxa"/>
            <w:shd w:val="clear" w:color="auto" w:fill="auto"/>
            <w:noWrap/>
            <w:vAlign w:val="bottom"/>
            <w:hideMark/>
          </w:tcPr>
          <w:p w14:paraId="13356012" w14:textId="77777777"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3</w:t>
            </w:r>
          </w:p>
        </w:tc>
        <w:tc>
          <w:tcPr>
            <w:tcW w:w="1559" w:type="dxa"/>
            <w:shd w:val="clear" w:color="auto" w:fill="auto"/>
            <w:noWrap/>
            <w:vAlign w:val="bottom"/>
            <w:hideMark/>
          </w:tcPr>
          <w:p w14:paraId="01B3529B" w14:textId="77777777"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4</w:t>
            </w:r>
          </w:p>
        </w:tc>
        <w:tc>
          <w:tcPr>
            <w:tcW w:w="1559" w:type="dxa"/>
            <w:vAlign w:val="bottom"/>
          </w:tcPr>
          <w:p w14:paraId="5106FCA9" w14:textId="18E3914E"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10</w:t>
            </w:r>
          </w:p>
        </w:tc>
      </w:tr>
      <w:tr w:rsidR="006270DF" w:rsidRPr="00A77AF6" w14:paraId="07F8BD08" w14:textId="1417C4A0" w:rsidTr="008F1B8E">
        <w:trPr>
          <w:trHeight w:val="300"/>
        </w:trPr>
        <w:tc>
          <w:tcPr>
            <w:tcW w:w="1134" w:type="dxa"/>
            <w:vAlign w:val="bottom"/>
          </w:tcPr>
          <w:p w14:paraId="7CC172BE" w14:textId="77777777" w:rsidR="006270DF" w:rsidRPr="00A77AF6" w:rsidRDefault="006270DF" w:rsidP="00CC10AF">
            <w:pPr>
              <w:spacing w:after="0" w:line="240" w:lineRule="auto"/>
              <w:rPr>
                <w:rFonts w:ascii="Calibri" w:eastAsia="Times New Roman" w:hAnsi="Calibri" w:cs="Calibri"/>
                <w:b/>
                <w:bCs/>
                <w:color w:val="FF0000"/>
                <w:sz w:val="20"/>
                <w:szCs w:val="20"/>
                <w:lang w:eastAsia="en-GB"/>
              </w:rPr>
            </w:pPr>
            <w:r w:rsidRPr="00A77AF6">
              <w:rPr>
                <w:rFonts w:ascii="Calibri" w:hAnsi="Calibri" w:cs="Calibri"/>
                <w:color w:val="000000"/>
                <w:sz w:val="20"/>
                <w:szCs w:val="20"/>
              </w:rPr>
              <w:t>105</w:t>
            </w:r>
          </w:p>
        </w:tc>
        <w:tc>
          <w:tcPr>
            <w:tcW w:w="1418" w:type="dxa"/>
            <w:shd w:val="clear" w:color="auto" w:fill="auto"/>
            <w:noWrap/>
            <w:vAlign w:val="bottom"/>
            <w:hideMark/>
          </w:tcPr>
          <w:p w14:paraId="245BE241" w14:textId="77777777"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3</w:t>
            </w:r>
          </w:p>
        </w:tc>
        <w:tc>
          <w:tcPr>
            <w:tcW w:w="1701" w:type="dxa"/>
            <w:shd w:val="clear" w:color="auto" w:fill="auto"/>
            <w:noWrap/>
            <w:vAlign w:val="bottom"/>
            <w:hideMark/>
          </w:tcPr>
          <w:p w14:paraId="74039B92" w14:textId="77777777"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3</w:t>
            </w:r>
          </w:p>
        </w:tc>
        <w:tc>
          <w:tcPr>
            <w:tcW w:w="1559" w:type="dxa"/>
            <w:shd w:val="clear" w:color="auto" w:fill="auto"/>
            <w:noWrap/>
            <w:vAlign w:val="bottom"/>
            <w:hideMark/>
          </w:tcPr>
          <w:p w14:paraId="49742693" w14:textId="77777777"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3</w:t>
            </w:r>
          </w:p>
        </w:tc>
        <w:tc>
          <w:tcPr>
            <w:tcW w:w="1559" w:type="dxa"/>
            <w:vAlign w:val="bottom"/>
          </w:tcPr>
          <w:p w14:paraId="6EDEF0CF" w14:textId="6D4A27BD"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9</w:t>
            </w:r>
          </w:p>
        </w:tc>
      </w:tr>
      <w:tr w:rsidR="006270DF" w:rsidRPr="00A77AF6" w14:paraId="1BAD0D5C" w14:textId="79C9285C" w:rsidTr="008F1B8E">
        <w:trPr>
          <w:trHeight w:val="300"/>
        </w:trPr>
        <w:tc>
          <w:tcPr>
            <w:tcW w:w="1134" w:type="dxa"/>
            <w:shd w:val="clear" w:color="auto" w:fill="F2F2F2" w:themeFill="background1" w:themeFillShade="F2"/>
            <w:vAlign w:val="bottom"/>
          </w:tcPr>
          <w:p w14:paraId="233BA1F9" w14:textId="4113DFA6" w:rsidR="006270DF" w:rsidRPr="00A77AF6" w:rsidRDefault="006270DF" w:rsidP="00CC10AF">
            <w:pPr>
              <w:spacing w:after="0" w:line="240" w:lineRule="auto"/>
              <w:rPr>
                <w:rFonts w:ascii="Calibri" w:hAnsi="Calibri" w:cs="Calibri"/>
                <w:b/>
                <w:color w:val="000000"/>
                <w:sz w:val="20"/>
                <w:szCs w:val="20"/>
              </w:rPr>
            </w:pPr>
            <w:r w:rsidRPr="00A77AF6">
              <w:rPr>
                <w:rFonts w:ascii="Calibri" w:hAnsi="Calibri" w:cs="Calibri"/>
                <w:b/>
                <w:color w:val="FF0000"/>
                <w:sz w:val="20"/>
                <w:szCs w:val="20"/>
              </w:rPr>
              <w:t>111</w:t>
            </w:r>
          </w:p>
        </w:tc>
        <w:tc>
          <w:tcPr>
            <w:tcW w:w="1418" w:type="dxa"/>
            <w:shd w:val="clear" w:color="auto" w:fill="F2F2F2" w:themeFill="background1" w:themeFillShade="F2"/>
            <w:noWrap/>
            <w:vAlign w:val="bottom"/>
          </w:tcPr>
          <w:p w14:paraId="41C188BA" w14:textId="3277C204" w:rsidR="006270DF" w:rsidRPr="00A77AF6" w:rsidRDefault="006270DF" w:rsidP="00CC10AF">
            <w:pPr>
              <w:spacing w:after="0" w:line="240" w:lineRule="auto"/>
              <w:jc w:val="center"/>
              <w:rPr>
                <w:rFonts w:ascii="Calibri" w:eastAsia="Times New Roman" w:hAnsi="Calibri" w:cs="Calibri"/>
                <w:b/>
                <w:bCs/>
                <w:color w:val="FF0000"/>
                <w:sz w:val="20"/>
                <w:szCs w:val="20"/>
                <w:lang w:eastAsia="en-GB"/>
              </w:rPr>
            </w:pPr>
            <w:r w:rsidRPr="00A77AF6">
              <w:rPr>
                <w:rFonts w:ascii="Calibri" w:eastAsia="Times New Roman" w:hAnsi="Calibri" w:cs="Calibri"/>
                <w:b/>
                <w:bCs/>
                <w:color w:val="FF0000"/>
                <w:sz w:val="20"/>
                <w:szCs w:val="20"/>
                <w:lang w:eastAsia="en-GB"/>
              </w:rPr>
              <w:t>2</w:t>
            </w:r>
          </w:p>
        </w:tc>
        <w:tc>
          <w:tcPr>
            <w:tcW w:w="1701" w:type="dxa"/>
            <w:shd w:val="clear" w:color="auto" w:fill="F2F2F2" w:themeFill="background1" w:themeFillShade="F2"/>
            <w:noWrap/>
            <w:vAlign w:val="bottom"/>
          </w:tcPr>
          <w:p w14:paraId="38A7150C" w14:textId="375ADDB5" w:rsidR="006270DF" w:rsidRPr="00A77AF6" w:rsidRDefault="006270DF" w:rsidP="00CC10AF">
            <w:pPr>
              <w:spacing w:after="0" w:line="240" w:lineRule="auto"/>
              <w:jc w:val="center"/>
              <w:rPr>
                <w:rFonts w:ascii="Calibri" w:eastAsia="Times New Roman" w:hAnsi="Calibri" w:cs="Calibri"/>
                <w:b/>
                <w:bCs/>
                <w:color w:val="FF0000"/>
                <w:sz w:val="20"/>
                <w:szCs w:val="20"/>
                <w:lang w:eastAsia="en-GB"/>
              </w:rPr>
            </w:pPr>
            <w:r w:rsidRPr="00A77AF6">
              <w:rPr>
                <w:rFonts w:ascii="Calibri" w:eastAsia="Times New Roman" w:hAnsi="Calibri" w:cs="Calibri"/>
                <w:b/>
                <w:bCs/>
                <w:color w:val="FF0000"/>
                <w:sz w:val="20"/>
                <w:szCs w:val="20"/>
                <w:lang w:eastAsia="en-GB"/>
              </w:rPr>
              <w:t>4</w:t>
            </w:r>
          </w:p>
        </w:tc>
        <w:tc>
          <w:tcPr>
            <w:tcW w:w="1559" w:type="dxa"/>
            <w:shd w:val="clear" w:color="auto" w:fill="F2F2F2" w:themeFill="background1" w:themeFillShade="F2"/>
            <w:noWrap/>
            <w:vAlign w:val="bottom"/>
          </w:tcPr>
          <w:p w14:paraId="7CDF4027" w14:textId="33F842D2" w:rsidR="006270DF" w:rsidRPr="00A77AF6" w:rsidRDefault="006270DF" w:rsidP="00CC10AF">
            <w:pPr>
              <w:spacing w:after="0" w:line="240" w:lineRule="auto"/>
              <w:jc w:val="center"/>
              <w:rPr>
                <w:rFonts w:ascii="Calibri" w:eastAsia="Times New Roman" w:hAnsi="Calibri" w:cs="Calibri"/>
                <w:b/>
                <w:bCs/>
                <w:color w:val="FF0000"/>
                <w:sz w:val="20"/>
                <w:szCs w:val="20"/>
                <w:lang w:eastAsia="en-GB"/>
              </w:rPr>
            </w:pPr>
            <w:r w:rsidRPr="00A77AF6">
              <w:rPr>
                <w:rFonts w:ascii="Calibri" w:eastAsia="Times New Roman" w:hAnsi="Calibri" w:cs="Calibri"/>
                <w:b/>
                <w:bCs/>
                <w:color w:val="FF0000"/>
                <w:sz w:val="20"/>
                <w:szCs w:val="20"/>
                <w:lang w:eastAsia="en-GB"/>
              </w:rPr>
              <w:t>3</w:t>
            </w:r>
          </w:p>
        </w:tc>
        <w:tc>
          <w:tcPr>
            <w:tcW w:w="1559" w:type="dxa"/>
            <w:shd w:val="clear" w:color="auto" w:fill="F2F2F2" w:themeFill="background1" w:themeFillShade="F2"/>
            <w:vAlign w:val="bottom"/>
          </w:tcPr>
          <w:p w14:paraId="351E58AB" w14:textId="50E365A9" w:rsidR="006270DF" w:rsidRPr="00A77AF6" w:rsidRDefault="006270DF" w:rsidP="00CC10AF">
            <w:pPr>
              <w:spacing w:after="0" w:line="240" w:lineRule="auto"/>
              <w:jc w:val="center"/>
              <w:rPr>
                <w:rFonts w:ascii="Calibri" w:eastAsia="Times New Roman" w:hAnsi="Calibri" w:cs="Calibri"/>
                <w:b/>
                <w:bCs/>
                <w:color w:val="FF0000"/>
                <w:sz w:val="20"/>
                <w:szCs w:val="20"/>
                <w:lang w:eastAsia="en-GB"/>
              </w:rPr>
            </w:pPr>
            <w:r w:rsidRPr="00A77AF6">
              <w:rPr>
                <w:rFonts w:ascii="Calibri" w:eastAsia="Times New Roman" w:hAnsi="Calibri" w:cs="Calibri"/>
                <w:b/>
                <w:bCs/>
                <w:color w:val="FF0000"/>
                <w:sz w:val="20"/>
                <w:szCs w:val="20"/>
                <w:lang w:eastAsia="en-GB"/>
              </w:rPr>
              <w:t>9</w:t>
            </w:r>
          </w:p>
        </w:tc>
      </w:tr>
      <w:tr w:rsidR="006270DF" w:rsidRPr="00A77AF6" w14:paraId="6EEAF1EC" w14:textId="683C6CB7" w:rsidTr="008F1B8E">
        <w:trPr>
          <w:trHeight w:val="300"/>
        </w:trPr>
        <w:tc>
          <w:tcPr>
            <w:tcW w:w="1134" w:type="dxa"/>
            <w:vAlign w:val="bottom"/>
          </w:tcPr>
          <w:p w14:paraId="6955066F" w14:textId="77777777" w:rsidR="006270DF" w:rsidRPr="00A77AF6" w:rsidRDefault="006270DF" w:rsidP="00CC10AF">
            <w:pPr>
              <w:spacing w:after="0" w:line="240" w:lineRule="auto"/>
              <w:rPr>
                <w:rFonts w:ascii="Calibri" w:eastAsia="Times New Roman" w:hAnsi="Calibri" w:cs="Calibri"/>
                <w:b/>
                <w:bCs/>
                <w:color w:val="FF0000"/>
                <w:sz w:val="20"/>
                <w:szCs w:val="20"/>
                <w:lang w:eastAsia="en-GB"/>
              </w:rPr>
            </w:pPr>
            <w:r w:rsidRPr="00A77AF6">
              <w:rPr>
                <w:rFonts w:ascii="Calibri" w:hAnsi="Calibri" w:cs="Calibri"/>
                <w:color w:val="000000"/>
                <w:sz w:val="20"/>
                <w:szCs w:val="20"/>
              </w:rPr>
              <w:t>114</w:t>
            </w:r>
          </w:p>
        </w:tc>
        <w:tc>
          <w:tcPr>
            <w:tcW w:w="1418" w:type="dxa"/>
            <w:shd w:val="clear" w:color="auto" w:fill="auto"/>
            <w:noWrap/>
            <w:vAlign w:val="bottom"/>
            <w:hideMark/>
          </w:tcPr>
          <w:p w14:paraId="7DE4BD31" w14:textId="77777777"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3</w:t>
            </w:r>
          </w:p>
        </w:tc>
        <w:tc>
          <w:tcPr>
            <w:tcW w:w="1701" w:type="dxa"/>
            <w:shd w:val="clear" w:color="auto" w:fill="auto"/>
            <w:noWrap/>
            <w:vAlign w:val="bottom"/>
            <w:hideMark/>
          </w:tcPr>
          <w:p w14:paraId="4B3AFE15" w14:textId="77777777"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3</w:t>
            </w:r>
          </w:p>
        </w:tc>
        <w:tc>
          <w:tcPr>
            <w:tcW w:w="1559" w:type="dxa"/>
            <w:shd w:val="clear" w:color="auto" w:fill="auto"/>
            <w:noWrap/>
            <w:vAlign w:val="bottom"/>
            <w:hideMark/>
          </w:tcPr>
          <w:p w14:paraId="31323A14" w14:textId="77777777"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3</w:t>
            </w:r>
          </w:p>
        </w:tc>
        <w:tc>
          <w:tcPr>
            <w:tcW w:w="1559" w:type="dxa"/>
            <w:vAlign w:val="bottom"/>
          </w:tcPr>
          <w:p w14:paraId="71238517" w14:textId="3EBFE2BB"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9</w:t>
            </w:r>
          </w:p>
        </w:tc>
      </w:tr>
      <w:tr w:rsidR="006270DF" w:rsidRPr="00A77AF6" w14:paraId="4FD21375" w14:textId="7AB5B0AC" w:rsidTr="008F1B8E">
        <w:trPr>
          <w:trHeight w:val="300"/>
        </w:trPr>
        <w:tc>
          <w:tcPr>
            <w:tcW w:w="1134" w:type="dxa"/>
            <w:vAlign w:val="bottom"/>
          </w:tcPr>
          <w:p w14:paraId="7F06B832" w14:textId="77777777" w:rsidR="006270DF" w:rsidRPr="00A77AF6" w:rsidRDefault="006270DF" w:rsidP="00CC10AF">
            <w:pPr>
              <w:spacing w:after="0" w:line="240" w:lineRule="auto"/>
              <w:rPr>
                <w:rFonts w:ascii="Calibri" w:eastAsia="Times New Roman" w:hAnsi="Calibri" w:cs="Calibri"/>
                <w:b/>
                <w:bCs/>
                <w:color w:val="FF0000"/>
                <w:sz w:val="20"/>
                <w:szCs w:val="20"/>
                <w:lang w:eastAsia="en-GB"/>
              </w:rPr>
            </w:pPr>
            <w:r w:rsidRPr="00A77AF6">
              <w:rPr>
                <w:rFonts w:ascii="Calibri" w:hAnsi="Calibri" w:cs="Calibri"/>
                <w:color w:val="000000"/>
                <w:sz w:val="20"/>
                <w:szCs w:val="20"/>
              </w:rPr>
              <w:t>116</w:t>
            </w:r>
          </w:p>
        </w:tc>
        <w:tc>
          <w:tcPr>
            <w:tcW w:w="1418" w:type="dxa"/>
            <w:shd w:val="clear" w:color="auto" w:fill="auto"/>
            <w:noWrap/>
            <w:vAlign w:val="bottom"/>
            <w:hideMark/>
          </w:tcPr>
          <w:p w14:paraId="3FD54D73" w14:textId="77777777"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3</w:t>
            </w:r>
          </w:p>
        </w:tc>
        <w:tc>
          <w:tcPr>
            <w:tcW w:w="1701" w:type="dxa"/>
            <w:shd w:val="clear" w:color="auto" w:fill="auto"/>
            <w:noWrap/>
            <w:vAlign w:val="bottom"/>
            <w:hideMark/>
          </w:tcPr>
          <w:p w14:paraId="75091535" w14:textId="77777777"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3</w:t>
            </w:r>
          </w:p>
        </w:tc>
        <w:tc>
          <w:tcPr>
            <w:tcW w:w="1559" w:type="dxa"/>
            <w:shd w:val="clear" w:color="auto" w:fill="auto"/>
            <w:noWrap/>
            <w:vAlign w:val="bottom"/>
            <w:hideMark/>
          </w:tcPr>
          <w:p w14:paraId="787F89B0" w14:textId="77777777"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3</w:t>
            </w:r>
          </w:p>
        </w:tc>
        <w:tc>
          <w:tcPr>
            <w:tcW w:w="1559" w:type="dxa"/>
            <w:vAlign w:val="bottom"/>
          </w:tcPr>
          <w:p w14:paraId="2747B74A" w14:textId="6269EDB5"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9</w:t>
            </w:r>
          </w:p>
        </w:tc>
      </w:tr>
      <w:tr w:rsidR="006270DF" w:rsidRPr="00A77AF6" w14:paraId="503FD4A8" w14:textId="054F4EA7" w:rsidTr="008F1B8E">
        <w:trPr>
          <w:trHeight w:val="300"/>
        </w:trPr>
        <w:tc>
          <w:tcPr>
            <w:tcW w:w="1134" w:type="dxa"/>
            <w:shd w:val="clear" w:color="auto" w:fill="F2F2F2" w:themeFill="background1" w:themeFillShade="F2"/>
            <w:vAlign w:val="bottom"/>
          </w:tcPr>
          <w:p w14:paraId="6C5BD3DD" w14:textId="2CFB14EA" w:rsidR="006270DF" w:rsidRPr="00A77AF6" w:rsidRDefault="006270DF" w:rsidP="00CC10AF">
            <w:pPr>
              <w:spacing w:after="0" w:line="240" w:lineRule="auto"/>
              <w:rPr>
                <w:rFonts w:ascii="Calibri" w:hAnsi="Calibri" w:cs="Calibri"/>
                <w:b/>
                <w:color w:val="FF0000"/>
                <w:sz w:val="20"/>
                <w:szCs w:val="20"/>
              </w:rPr>
            </w:pPr>
            <w:r w:rsidRPr="00A77AF6">
              <w:rPr>
                <w:rFonts w:ascii="Calibri" w:hAnsi="Calibri" w:cs="Calibri"/>
                <w:b/>
                <w:color w:val="FF0000"/>
                <w:sz w:val="20"/>
                <w:szCs w:val="20"/>
              </w:rPr>
              <w:t>128</w:t>
            </w:r>
          </w:p>
        </w:tc>
        <w:tc>
          <w:tcPr>
            <w:tcW w:w="1418" w:type="dxa"/>
            <w:shd w:val="clear" w:color="auto" w:fill="F2F2F2" w:themeFill="background1" w:themeFillShade="F2"/>
            <w:noWrap/>
            <w:vAlign w:val="bottom"/>
          </w:tcPr>
          <w:p w14:paraId="19DBBDFF" w14:textId="375E2781" w:rsidR="006270DF" w:rsidRPr="00A77AF6" w:rsidRDefault="006270DF" w:rsidP="00CC10AF">
            <w:pPr>
              <w:spacing w:after="0" w:line="240" w:lineRule="auto"/>
              <w:jc w:val="center"/>
              <w:rPr>
                <w:rFonts w:ascii="Calibri" w:eastAsia="Times New Roman" w:hAnsi="Calibri" w:cs="Calibri"/>
                <w:b/>
                <w:bCs/>
                <w:color w:val="FF0000"/>
                <w:sz w:val="20"/>
                <w:szCs w:val="20"/>
                <w:lang w:eastAsia="en-GB"/>
              </w:rPr>
            </w:pPr>
            <w:r w:rsidRPr="00A77AF6">
              <w:rPr>
                <w:rFonts w:ascii="Calibri" w:eastAsia="Times New Roman" w:hAnsi="Calibri" w:cs="Calibri"/>
                <w:b/>
                <w:bCs/>
                <w:color w:val="FF0000"/>
                <w:sz w:val="20"/>
                <w:szCs w:val="20"/>
                <w:lang w:eastAsia="en-GB"/>
              </w:rPr>
              <w:t>2</w:t>
            </w:r>
          </w:p>
        </w:tc>
        <w:tc>
          <w:tcPr>
            <w:tcW w:w="1701" w:type="dxa"/>
            <w:shd w:val="clear" w:color="auto" w:fill="F2F2F2" w:themeFill="background1" w:themeFillShade="F2"/>
            <w:noWrap/>
            <w:vAlign w:val="bottom"/>
          </w:tcPr>
          <w:p w14:paraId="1E14AB18" w14:textId="321E592E" w:rsidR="006270DF" w:rsidRPr="00A77AF6" w:rsidRDefault="006270DF" w:rsidP="00CC10AF">
            <w:pPr>
              <w:spacing w:after="0" w:line="240" w:lineRule="auto"/>
              <w:jc w:val="center"/>
              <w:rPr>
                <w:rFonts w:ascii="Calibri" w:eastAsia="Times New Roman" w:hAnsi="Calibri" w:cs="Calibri"/>
                <w:b/>
                <w:bCs/>
                <w:color w:val="FF0000"/>
                <w:sz w:val="20"/>
                <w:szCs w:val="20"/>
                <w:lang w:eastAsia="en-GB"/>
              </w:rPr>
            </w:pPr>
            <w:r w:rsidRPr="00A77AF6">
              <w:rPr>
                <w:rFonts w:ascii="Calibri" w:eastAsia="Times New Roman" w:hAnsi="Calibri" w:cs="Calibri"/>
                <w:b/>
                <w:bCs/>
                <w:color w:val="FF0000"/>
                <w:sz w:val="20"/>
                <w:szCs w:val="20"/>
                <w:lang w:eastAsia="en-GB"/>
              </w:rPr>
              <w:t>4</w:t>
            </w:r>
          </w:p>
        </w:tc>
        <w:tc>
          <w:tcPr>
            <w:tcW w:w="1559" w:type="dxa"/>
            <w:shd w:val="clear" w:color="auto" w:fill="F2F2F2" w:themeFill="background1" w:themeFillShade="F2"/>
            <w:noWrap/>
            <w:vAlign w:val="bottom"/>
          </w:tcPr>
          <w:p w14:paraId="19F467D3" w14:textId="515000F8" w:rsidR="006270DF" w:rsidRPr="00A77AF6" w:rsidRDefault="006270DF" w:rsidP="00CC10AF">
            <w:pPr>
              <w:spacing w:after="0" w:line="240" w:lineRule="auto"/>
              <w:jc w:val="center"/>
              <w:rPr>
                <w:rFonts w:ascii="Calibri" w:eastAsia="Times New Roman" w:hAnsi="Calibri" w:cs="Calibri"/>
                <w:b/>
                <w:bCs/>
                <w:color w:val="FF0000"/>
                <w:sz w:val="20"/>
                <w:szCs w:val="20"/>
                <w:lang w:eastAsia="en-GB"/>
              </w:rPr>
            </w:pPr>
            <w:r w:rsidRPr="00A77AF6">
              <w:rPr>
                <w:rFonts w:ascii="Calibri" w:eastAsia="Times New Roman" w:hAnsi="Calibri" w:cs="Calibri"/>
                <w:b/>
                <w:bCs/>
                <w:color w:val="FF0000"/>
                <w:sz w:val="20"/>
                <w:szCs w:val="20"/>
                <w:lang w:eastAsia="en-GB"/>
              </w:rPr>
              <w:t>3</w:t>
            </w:r>
          </w:p>
        </w:tc>
        <w:tc>
          <w:tcPr>
            <w:tcW w:w="1559" w:type="dxa"/>
            <w:shd w:val="clear" w:color="auto" w:fill="F2F2F2" w:themeFill="background1" w:themeFillShade="F2"/>
            <w:vAlign w:val="bottom"/>
          </w:tcPr>
          <w:p w14:paraId="4E891C0F" w14:textId="14D1276D" w:rsidR="006270DF" w:rsidRPr="00A77AF6" w:rsidRDefault="006270DF" w:rsidP="00CC10AF">
            <w:pPr>
              <w:spacing w:after="0" w:line="240" w:lineRule="auto"/>
              <w:jc w:val="center"/>
              <w:rPr>
                <w:rFonts w:ascii="Calibri" w:eastAsia="Times New Roman" w:hAnsi="Calibri" w:cs="Calibri"/>
                <w:b/>
                <w:bCs/>
                <w:color w:val="FF0000"/>
                <w:sz w:val="20"/>
                <w:szCs w:val="20"/>
                <w:lang w:eastAsia="en-GB"/>
              </w:rPr>
            </w:pPr>
            <w:r w:rsidRPr="00A77AF6">
              <w:rPr>
                <w:rFonts w:ascii="Calibri" w:eastAsia="Times New Roman" w:hAnsi="Calibri" w:cs="Calibri"/>
                <w:b/>
                <w:bCs/>
                <w:color w:val="FF0000"/>
                <w:sz w:val="20"/>
                <w:szCs w:val="20"/>
                <w:lang w:eastAsia="en-GB"/>
              </w:rPr>
              <w:t>9</w:t>
            </w:r>
          </w:p>
        </w:tc>
      </w:tr>
      <w:tr w:rsidR="006270DF" w:rsidRPr="00A77AF6" w14:paraId="6F0876CF" w14:textId="7D06388C" w:rsidTr="008F1B8E">
        <w:trPr>
          <w:trHeight w:val="300"/>
        </w:trPr>
        <w:tc>
          <w:tcPr>
            <w:tcW w:w="1134" w:type="dxa"/>
            <w:shd w:val="clear" w:color="auto" w:fill="F2F2F2" w:themeFill="background1" w:themeFillShade="F2"/>
            <w:vAlign w:val="bottom"/>
          </w:tcPr>
          <w:p w14:paraId="3E8EDB6B" w14:textId="0D2BF11A" w:rsidR="006270DF" w:rsidRPr="00A77AF6" w:rsidRDefault="006270DF" w:rsidP="00CC10AF">
            <w:pPr>
              <w:spacing w:after="0" w:line="240" w:lineRule="auto"/>
              <w:rPr>
                <w:rFonts w:ascii="Calibri" w:hAnsi="Calibri" w:cs="Calibri"/>
                <w:b/>
                <w:color w:val="FF0000"/>
                <w:sz w:val="20"/>
                <w:szCs w:val="20"/>
              </w:rPr>
            </w:pPr>
            <w:r w:rsidRPr="00A77AF6">
              <w:rPr>
                <w:rFonts w:ascii="Calibri" w:hAnsi="Calibri" w:cs="Calibri"/>
                <w:b/>
                <w:color w:val="FF0000"/>
                <w:sz w:val="20"/>
                <w:szCs w:val="20"/>
              </w:rPr>
              <w:t>139</w:t>
            </w:r>
          </w:p>
        </w:tc>
        <w:tc>
          <w:tcPr>
            <w:tcW w:w="1418" w:type="dxa"/>
            <w:shd w:val="clear" w:color="auto" w:fill="F2F2F2" w:themeFill="background1" w:themeFillShade="F2"/>
            <w:noWrap/>
            <w:vAlign w:val="bottom"/>
          </w:tcPr>
          <w:p w14:paraId="0984789B" w14:textId="69CD3A4D" w:rsidR="006270DF" w:rsidRPr="00A77AF6" w:rsidRDefault="006270DF" w:rsidP="00CC10AF">
            <w:pPr>
              <w:spacing w:after="0" w:line="240" w:lineRule="auto"/>
              <w:jc w:val="center"/>
              <w:rPr>
                <w:rFonts w:ascii="Calibri" w:eastAsia="Times New Roman" w:hAnsi="Calibri" w:cs="Calibri"/>
                <w:b/>
                <w:bCs/>
                <w:color w:val="FF0000"/>
                <w:sz w:val="20"/>
                <w:szCs w:val="20"/>
                <w:lang w:eastAsia="en-GB"/>
              </w:rPr>
            </w:pPr>
            <w:r w:rsidRPr="00A77AF6">
              <w:rPr>
                <w:rFonts w:ascii="Calibri" w:eastAsia="Times New Roman" w:hAnsi="Calibri" w:cs="Calibri"/>
                <w:b/>
                <w:bCs/>
                <w:color w:val="FF0000"/>
                <w:sz w:val="20"/>
                <w:szCs w:val="20"/>
                <w:lang w:eastAsia="en-GB"/>
              </w:rPr>
              <w:t>2</w:t>
            </w:r>
          </w:p>
        </w:tc>
        <w:tc>
          <w:tcPr>
            <w:tcW w:w="1701" w:type="dxa"/>
            <w:shd w:val="clear" w:color="auto" w:fill="F2F2F2" w:themeFill="background1" w:themeFillShade="F2"/>
            <w:noWrap/>
            <w:vAlign w:val="bottom"/>
          </w:tcPr>
          <w:p w14:paraId="3A1398E4" w14:textId="01427D3C" w:rsidR="006270DF" w:rsidRPr="00A77AF6" w:rsidRDefault="006270DF" w:rsidP="00CC10AF">
            <w:pPr>
              <w:spacing w:after="0" w:line="240" w:lineRule="auto"/>
              <w:jc w:val="center"/>
              <w:rPr>
                <w:rFonts w:ascii="Calibri" w:eastAsia="Times New Roman" w:hAnsi="Calibri" w:cs="Calibri"/>
                <w:b/>
                <w:bCs/>
                <w:color w:val="FF0000"/>
                <w:sz w:val="20"/>
                <w:szCs w:val="20"/>
                <w:lang w:eastAsia="en-GB"/>
              </w:rPr>
            </w:pPr>
            <w:r w:rsidRPr="00A77AF6">
              <w:rPr>
                <w:rFonts w:ascii="Calibri" w:eastAsia="Times New Roman" w:hAnsi="Calibri" w:cs="Calibri"/>
                <w:b/>
                <w:bCs/>
                <w:color w:val="FF0000"/>
                <w:sz w:val="20"/>
                <w:szCs w:val="20"/>
                <w:lang w:eastAsia="en-GB"/>
              </w:rPr>
              <w:t>4</w:t>
            </w:r>
          </w:p>
        </w:tc>
        <w:tc>
          <w:tcPr>
            <w:tcW w:w="1559" w:type="dxa"/>
            <w:shd w:val="clear" w:color="auto" w:fill="F2F2F2" w:themeFill="background1" w:themeFillShade="F2"/>
            <w:noWrap/>
            <w:vAlign w:val="bottom"/>
          </w:tcPr>
          <w:p w14:paraId="1CDD40B7" w14:textId="6ECB116E" w:rsidR="006270DF" w:rsidRPr="00A77AF6" w:rsidRDefault="006270DF" w:rsidP="00CC10AF">
            <w:pPr>
              <w:spacing w:after="0" w:line="240" w:lineRule="auto"/>
              <w:jc w:val="center"/>
              <w:rPr>
                <w:rFonts w:ascii="Calibri" w:eastAsia="Times New Roman" w:hAnsi="Calibri" w:cs="Calibri"/>
                <w:b/>
                <w:bCs/>
                <w:color w:val="FF0000"/>
                <w:sz w:val="20"/>
                <w:szCs w:val="20"/>
                <w:lang w:eastAsia="en-GB"/>
              </w:rPr>
            </w:pPr>
            <w:r w:rsidRPr="00A77AF6">
              <w:rPr>
                <w:rFonts w:ascii="Calibri" w:eastAsia="Times New Roman" w:hAnsi="Calibri" w:cs="Calibri"/>
                <w:b/>
                <w:bCs/>
                <w:color w:val="FF0000"/>
                <w:sz w:val="20"/>
                <w:szCs w:val="20"/>
                <w:lang w:eastAsia="en-GB"/>
              </w:rPr>
              <w:t>4</w:t>
            </w:r>
          </w:p>
        </w:tc>
        <w:tc>
          <w:tcPr>
            <w:tcW w:w="1559" w:type="dxa"/>
            <w:shd w:val="clear" w:color="auto" w:fill="F2F2F2" w:themeFill="background1" w:themeFillShade="F2"/>
            <w:vAlign w:val="bottom"/>
          </w:tcPr>
          <w:p w14:paraId="72B44F8A" w14:textId="20955BD3" w:rsidR="006270DF" w:rsidRPr="00A77AF6" w:rsidRDefault="006270DF" w:rsidP="00CC10AF">
            <w:pPr>
              <w:spacing w:after="0" w:line="240" w:lineRule="auto"/>
              <w:jc w:val="center"/>
              <w:rPr>
                <w:rFonts w:ascii="Calibri" w:eastAsia="Times New Roman" w:hAnsi="Calibri" w:cs="Calibri"/>
                <w:b/>
                <w:bCs/>
                <w:color w:val="FF0000"/>
                <w:sz w:val="20"/>
                <w:szCs w:val="20"/>
                <w:lang w:eastAsia="en-GB"/>
              </w:rPr>
            </w:pPr>
            <w:r w:rsidRPr="00A77AF6">
              <w:rPr>
                <w:rFonts w:ascii="Calibri" w:eastAsia="Times New Roman" w:hAnsi="Calibri" w:cs="Calibri"/>
                <w:b/>
                <w:bCs/>
                <w:color w:val="FF0000"/>
                <w:sz w:val="20"/>
                <w:szCs w:val="20"/>
                <w:lang w:eastAsia="en-GB"/>
              </w:rPr>
              <w:t>10</w:t>
            </w:r>
          </w:p>
        </w:tc>
      </w:tr>
      <w:tr w:rsidR="006270DF" w:rsidRPr="00A77AF6" w14:paraId="027F0738" w14:textId="0A5C4491" w:rsidTr="008F1B8E">
        <w:trPr>
          <w:trHeight w:val="300"/>
        </w:trPr>
        <w:tc>
          <w:tcPr>
            <w:tcW w:w="1134" w:type="dxa"/>
            <w:vAlign w:val="bottom"/>
          </w:tcPr>
          <w:p w14:paraId="68348BD0" w14:textId="77777777" w:rsidR="006270DF" w:rsidRPr="00A77AF6" w:rsidRDefault="006270DF" w:rsidP="00CC10AF">
            <w:pPr>
              <w:spacing w:after="0" w:line="240" w:lineRule="auto"/>
              <w:rPr>
                <w:rFonts w:ascii="Calibri" w:eastAsia="Times New Roman" w:hAnsi="Calibri" w:cs="Calibri"/>
                <w:b/>
                <w:bCs/>
                <w:color w:val="FF0000"/>
                <w:sz w:val="20"/>
                <w:szCs w:val="20"/>
                <w:lang w:eastAsia="en-GB"/>
              </w:rPr>
            </w:pPr>
            <w:r w:rsidRPr="00A77AF6">
              <w:rPr>
                <w:rFonts w:ascii="Calibri" w:hAnsi="Calibri" w:cs="Calibri"/>
                <w:color w:val="000000"/>
                <w:sz w:val="20"/>
                <w:szCs w:val="20"/>
              </w:rPr>
              <w:t>141</w:t>
            </w:r>
          </w:p>
        </w:tc>
        <w:tc>
          <w:tcPr>
            <w:tcW w:w="1418" w:type="dxa"/>
            <w:shd w:val="clear" w:color="auto" w:fill="auto"/>
            <w:noWrap/>
            <w:vAlign w:val="bottom"/>
            <w:hideMark/>
          </w:tcPr>
          <w:p w14:paraId="42E48F57" w14:textId="77777777"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3</w:t>
            </w:r>
          </w:p>
        </w:tc>
        <w:tc>
          <w:tcPr>
            <w:tcW w:w="1701" w:type="dxa"/>
            <w:shd w:val="clear" w:color="auto" w:fill="auto"/>
            <w:noWrap/>
            <w:vAlign w:val="bottom"/>
            <w:hideMark/>
          </w:tcPr>
          <w:p w14:paraId="555BE235" w14:textId="77777777"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3</w:t>
            </w:r>
          </w:p>
        </w:tc>
        <w:tc>
          <w:tcPr>
            <w:tcW w:w="1559" w:type="dxa"/>
            <w:shd w:val="clear" w:color="auto" w:fill="auto"/>
            <w:noWrap/>
            <w:vAlign w:val="bottom"/>
            <w:hideMark/>
          </w:tcPr>
          <w:p w14:paraId="4101F0C8" w14:textId="77777777"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3</w:t>
            </w:r>
          </w:p>
        </w:tc>
        <w:tc>
          <w:tcPr>
            <w:tcW w:w="1559" w:type="dxa"/>
            <w:vAlign w:val="bottom"/>
          </w:tcPr>
          <w:p w14:paraId="10BF23A7" w14:textId="1CF070F1"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9</w:t>
            </w:r>
          </w:p>
        </w:tc>
      </w:tr>
      <w:tr w:rsidR="006270DF" w:rsidRPr="00A77AF6" w14:paraId="5ADECE7F" w14:textId="0FC78142" w:rsidTr="008F1B8E">
        <w:trPr>
          <w:trHeight w:val="300"/>
        </w:trPr>
        <w:tc>
          <w:tcPr>
            <w:tcW w:w="1134" w:type="dxa"/>
            <w:vAlign w:val="bottom"/>
          </w:tcPr>
          <w:p w14:paraId="0B7A54B5" w14:textId="77777777" w:rsidR="006270DF" w:rsidRPr="00A77AF6" w:rsidRDefault="006270DF" w:rsidP="00CC10AF">
            <w:pPr>
              <w:spacing w:after="0" w:line="240" w:lineRule="auto"/>
              <w:rPr>
                <w:rFonts w:ascii="Calibri" w:eastAsia="Times New Roman" w:hAnsi="Calibri" w:cs="Calibri"/>
                <w:b/>
                <w:bCs/>
                <w:color w:val="FF0000"/>
                <w:sz w:val="20"/>
                <w:szCs w:val="20"/>
                <w:lang w:eastAsia="en-GB"/>
              </w:rPr>
            </w:pPr>
            <w:r w:rsidRPr="00A77AF6">
              <w:rPr>
                <w:rFonts w:ascii="Calibri" w:hAnsi="Calibri" w:cs="Calibri"/>
                <w:color w:val="000000"/>
                <w:sz w:val="20"/>
                <w:szCs w:val="20"/>
              </w:rPr>
              <w:t>145</w:t>
            </w:r>
          </w:p>
        </w:tc>
        <w:tc>
          <w:tcPr>
            <w:tcW w:w="1418" w:type="dxa"/>
            <w:shd w:val="clear" w:color="auto" w:fill="auto"/>
            <w:noWrap/>
            <w:vAlign w:val="bottom"/>
            <w:hideMark/>
          </w:tcPr>
          <w:p w14:paraId="6F1053DB" w14:textId="77777777"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3</w:t>
            </w:r>
          </w:p>
        </w:tc>
        <w:tc>
          <w:tcPr>
            <w:tcW w:w="1701" w:type="dxa"/>
            <w:shd w:val="clear" w:color="auto" w:fill="auto"/>
            <w:noWrap/>
            <w:vAlign w:val="bottom"/>
            <w:hideMark/>
          </w:tcPr>
          <w:p w14:paraId="606DE9EC" w14:textId="77777777"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4</w:t>
            </w:r>
          </w:p>
        </w:tc>
        <w:tc>
          <w:tcPr>
            <w:tcW w:w="1559" w:type="dxa"/>
            <w:shd w:val="clear" w:color="auto" w:fill="auto"/>
            <w:noWrap/>
            <w:vAlign w:val="bottom"/>
            <w:hideMark/>
          </w:tcPr>
          <w:p w14:paraId="73B3FC31" w14:textId="77777777"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3</w:t>
            </w:r>
          </w:p>
        </w:tc>
        <w:tc>
          <w:tcPr>
            <w:tcW w:w="1559" w:type="dxa"/>
            <w:vAlign w:val="bottom"/>
          </w:tcPr>
          <w:p w14:paraId="73B66E4E" w14:textId="06EE73B8" w:rsidR="006270DF" w:rsidRPr="00A77AF6" w:rsidRDefault="006270DF" w:rsidP="00CC10AF">
            <w:pPr>
              <w:spacing w:after="0" w:line="240" w:lineRule="auto"/>
              <w:jc w:val="center"/>
              <w:rPr>
                <w:rFonts w:ascii="Calibri" w:eastAsia="Times New Roman" w:hAnsi="Calibri" w:cs="Calibri"/>
                <w:bCs/>
                <w:sz w:val="20"/>
                <w:szCs w:val="20"/>
                <w:lang w:eastAsia="en-GB"/>
              </w:rPr>
            </w:pPr>
            <w:r w:rsidRPr="00A77AF6">
              <w:rPr>
                <w:rFonts w:ascii="Calibri" w:eastAsia="Times New Roman" w:hAnsi="Calibri" w:cs="Calibri"/>
                <w:bCs/>
                <w:sz w:val="20"/>
                <w:szCs w:val="20"/>
                <w:lang w:eastAsia="en-GB"/>
              </w:rPr>
              <w:t>10</w:t>
            </w:r>
          </w:p>
        </w:tc>
      </w:tr>
      <w:tr w:rsidR="006270DF" w:rsidRPr="00A77AF6" w14:paraId="0B478780" w14:textId="38B2A26B" w:rsidTr="008F1B8E">
        <w:trPr>
          <w:trHeight w:val="300"/>
        </w:trPr>
        <w:tc>
          <w:tcPr>
            <w:tcW w:w="1134" w:type="dxa"/>
            <w:shd w:val="clear" w:color="auto" w:fill="F2F2F2" w:themeFill="background1" w:themeFillShade="F2"/>
            <w:vAlign w:val="bottom"/>
          </w:tcPr>
          <w:p w14:paraId="557817D4" w14:textId="532DA838" w:rsidR="006270DF" w:rsidRPr="00A77AF6" w:rsidRDefault="006270DF" w:rsidP="00CC10AF">
            <w:pPr>
              <w:spacing w:after="0" w:line="240" w:lineRule="auto"/>
              <w:rPr>
                <w:rFonts w:ascii="Calibri" w:hAnsi="Calibri" w:cs="Calibri"/>
                <w:b/>
                <w:color w:val="FF0000"/>
                <w:sz w:val="20"/>
                <w:szCs w:val="20"/>
              </w:rPr>
            </w:pPr>
            <w:r w:rsidRPr="00A77AF6">
              <w:rPr>
                <w:rFonts w:ascii="Calibri" w:hAnsi="Calibri" w:cs="Calibri"/>
                <w:b/>
                <w:color w:val="FF0000"/>
                <w:sz w:val="20"/>
                <w:szCs w:val="20"/>
              </w:rPr>
              <w:t>157</w:t>
            </w:r>
          </w:p>
        </w:tc>
        <w:tc>
          <w:tcPr>
            <w:tcW w:w="1418" w:type="dxa"/>
            <w:shd w:val="clear" w:color="auto" w:fill="F2F2F2" w:themeFill="background1" w:themeFillShade="F2"/>
            <w:noWrap/>
            <w:vAlign w:val="bottom"/>
          </w:tcPr>
          <w:p w14:paraId="7B36F4E8" w14:textId="199B4CDB" w:rsidR="006270DF" w:rsidRPr="00A77AF6" w:rsidRDefault="006270DF" w:rsidP="00CC10AF">
            <w:pPr>
              <w:spacing w:after="0" w:line="240" w:lineRule="auto"/>
              <w:jc w:val="center"/>
              <w:rPr>
                <w:rFonts w:ascii="Calibri" w:eastAsia="Times New Roman" w:hAnsi="Calibri" w:cs="Calibri"/>
                <w:b/>
                <w:bCs/>
                <w:color w:val="FF0000"/>
                <w:sz w:val="20"/>
                <w:szCs w:val="20"/>
                <w:lang w:eastAsia="en-GB"/>
              </w:rPr>
            </w:pPr>
            <w:r w:rsidRPr="00A77AF6">
              <w:rPr>
                <w:rFonts w:ascii="Calibri" w:eastAsia="Times New Roman" w:hAnsi="Calibri" w:cs="Calibri"/>
                <w:b/>
                <w:bCs/>
                <w:color w:val="FF0000"/>
                <w:sz w:val="20"/>
                <w:szCs w:val="20"/>
                <w:lang w:eastAsia="en-GB"/>
              </w:rPr>
              <w:t>2</w:t>
            </w:r>
          </w:p>
        </w:tc>
        <w:tc>
          <w:tcPr>
            <w:tcW w:w="1701" w:type="dxa"/>
            <w:shd w:val="clear" w:color="auto" w:fill="F2F2F2" w:themeFill="background1" w:themeFillShade="F2"/>
            <w:noWrap/>
            <w:vAlign w:val="bottom"/>
          </w:tcPr>
          <w:p w14:paraId="065E60C5" w14:textId="75E01F3C" w:rsidR="006270DF" w:rsidRPr="00A77AF6" w:rsidRDefault="006270DF" w:rsidP="00CC10AF">
            <w:pPr>
              <w:spacing w:after="0" w:line="240" w:lineRule="auto"/>
              <w:jc w:val="center"/>
              <w:rPr>
                <w:rFonts w:ascii="Calibri" w:eastAsia="Times New Roman" w:hAnsi="Calibri" w:cs="Calibri"/>
                <w:b/>
                <w:bCs/>
                <w:color w:val="FF0000"/>
                <w:sz w:val="20"/>
                <w:szCs w:val="20"/>
                <w:lang w:eastAsia="en-GB"/>
              </w:rPr>
            </w:pPr>
            <w:r w:rsidRPr="00A77AF6">
              <w:rPr>
                <w:rFonts w:ascii="Calibri" w:eastAsia="Times New Roman" w:hAnsi="Calibri" w:cs="Calibri"/>
                <w:b/>
                <w:bCs/>
                <w:color w:val="FF0000"/>
                <w:sz w:val="20"/>
                <w:szCs w:val="20"/>
                <w:lang w:eastAsia="en-GB"/>
              </w:rPr>
              <w:t>4</w:t>
            </w:r>
          </w:p>
        </w:tc>
        <w:tc>
          <w:tcPr>
            <w:tcW w:w="1559" w:type="dxa"/>
            <w:shd w:val="clear" w:color="auto" w:fill="F2F2F2" w:themeFill="background1" w:themeFillShade="F2"/>
            <w:noWrap/>
            <w:vAlign w:val="bottom"/>
          </w:tcPr>
          <w:p w14:paraId="6DB31C09" w14:textId="3C780B71" w:rsidR="006270DF" w:rsidRPr="00A77AF6" w:rsidRDefault="006270DF" w:rsidP="00CC10AF">
            <w:pPr>
              <w:spacing w:after="0" w:line="240" w:lineRule="auto"/>
              <w:jc w:val="center"/>
              <w:rPr>
                <w:rFonts w:ascii="Calibri" w:eastAsia="Times New Roman" w:hAnsi="Calibri" w:cs="Calibri"/>
                <w:b/>
                <w:bCs/>
                <w:color w:val="FF0000"/>
                <w:sz w:val="20"/>
                <w:szCs w:val="20"/>
                <w:lang w:eastAsia="en-GB"/>
              </w:rPr>
            </w:pPr>
            <w:r w:rsidRPr="00A77AF6">
              <w:rPr>
                <w:rFonts w:ascii="Calibri" w:eastAsia="Times New Roman" w:hAnsi="Calibri" w:cs="Calibri"/>
                <w:b/>
                <w:bCs/>
                <w:color w:val="FF0000"/>
                <w:sz w:val="20"/>
                <w:szCs w:val="20"/>
                <w:lang w:eastAsia="en-GB"/>
              </w:rPr>
              <w:t>5</w:t>
            </w:r>
          </w:p>
        </w:tc>
        <w:tc>
          <w:tcPr>
            <w:tcW w:w="1559" w:type="dxa"/>
            <w:shd w:val="clear" w:color="auto" w:fill="F2F2F2" w:themeFill="background1" w:themeFillShade="F2"/>
            <w:vAlign w:val="bottom"/>
          </w:tcPr>
          <w:p w14:paraId="380DB4EB" w14:textId="3AD9647F" w:rsidR="006270DF" w:rsidRPr="00A77AF6" w:rsidRDefault="006270DF" w:rsidP="00CC10AF">
            <w:pPr>
              <w:spacing w:after="0" w:line="240" w:lineRule="auto"/>
              <w:jc w:val="center"/>
              <w:rPr>
                <w:rFonts w:ascii="Calibri" w:eastAsia="Times New Roman" w:hAnsi="Calibri" w:cs="Calibri"/>
                <w:b/>
                <w:bCs/>
                <w:color w:val="FF0000"/>
                <w:sz w:val="20"/>
                <w:szCs w:val="20"/>
                <w:lang w:eastAsia="en-GB"/>
              </w:rPr>
            </w:pPr>
            <w:r w:rsidRPr="00A77AF6">
              <w:rPr>
                <w:rFonts w:ascii="Calibri" w:eastAsia="Times New Roman" w:hAnsi="Calibri" w:cs="Calibri"/>
                <w:b/>
                <w:bCs/>
                <w:color w:val="FF0000"/>
                <w:sz w:val="20"/>
                <w:szCs w:val="20"/>
                <w:lang w:eastAsia="en-GB"/>
              </w:rPr>
              <w:t>11</w:t>
            </w:r>
          </w:p>
        </w:tc>
      </w:tr>
      <w:tr w:rsidR="006270DF" w:rsidRPr="00A77AF6" w14:paraId="6919B003" w14:textId="00E2713E" w:rsidTr="008F1B8E">
        <w:trPr>
          <w:trHeight w:val="300"/>
        </w:trPr>
        <w:tc>
          <w:tcPr>
            <w:tcW w:w="1134" w:type="dxa"/>
            <w:vAlign w:val="bottom"/>
          </w:tcPr>
          <w:p w14:paraId="3DF8980A" w14:textId="77777777" w:rsidR="006270DF" w:rsidRPr="00A77AF6" w:rsidRDefault="006270DF" w:rsidP="00CC10AF">
            <w:pPr>
              <w:spacing w:after="0" w:line="240" w:lineRule="auto"/>
              <w:rPr>
                <w:rFonts w:ascii="Calibri" w:eastAsia="Times New Roman" w:hAnsi="Calibri" w:cs="Calibri"/>
                <w:bCs/>
                <w:color w:val="000000" w:themeColor="text1"/>
                <w:sz w:val="20"/>
                <w:szCs w:val="20"/>
                <w:lang w:eastAsia="en-GB"/>
              </w:rPr>
            </w:pPr>
            <w:r w:rsidRPr="00A77AF6">
              <w:rPr>
                <w:rFonts w:ascii="Calibri" w:hAnsi="Calibri" w:cs="Calibri"/>
                <w:bCs/>
                <w:color w:val="000000" w:themeColor="text1"/>
                <w:sz w:val="20"/>
                <w:szCs w:val="20"/>
              </w:rPr>
              <w:t>162</w:t>
            </w:r>
          </w:p>
        </w:tc>
        <w:tc>
          <w:tcPr>
            <w:tcW w:w="1418" w:type="dxa"/>
            <w:shd w:val="clear" w:color="auto" w:fill="auto"/>
            <w:noWrap/>
            <w:vAlign w:val="bottom"/>
            <w:hideMark/>
          </w:tcPr>
          <w:p w14:paraId="04ED8D6E" w14:textId="77777777" w:rsidR="006270DF" w:rsidRPr="00A77AF6" w:rsidRDefault="006270DF" w:rsidP="00CC10AF">
            <w:pPr>
              <w:spacing w:after="0" w:line="240" w:lineRule="auto"/>
              <w:jc w:val="center"/>
              <w:rPr>
                <w:rFonts w:ascii="Calibri" w:eastAsia="Times New Roman" w:hAnsi="Calibri" w:cs="Calibri"/>
                <w:bCs/>
                <w:color w:val="000000" w:themeColor="text1"/>
                <w:sz w:val="20"/>
                <w:szCs w:val="20"/>
                <w:lang w:eastAsia="en-GB"/>
              </w:rPr>
            </w:pPr>
            <w:r w:rsidRPr="00A77AF6">
              <w:rPr>
                <w:rFonts w:ascii="Calibri" w:eastAsia="Times New Roman" w:hAnsi="Calibri" w:cs="Calibri"/>
                <w:bCs/>
                <w:color w:val="000000" w:themeColor="text1"/>
                <w:sz w:val="20"/>
                <w:szCs w:val="20"/>
                <w:lang w:eastAsia="en-GB"/>
              </w:rPr>
              <w:t>3</w:t>
            </w:r>
          </w:p>
        </w:tc>
        <w:tc>
          <w:tcPr>
            <w:tcW w:w="1701" w:type="dxa"/>
            <w:shd w:val="clear" w:color="auto" w:fill="auto"/>
            <w:noWrap/>
            <w:vAlign w:val="bottom"/>
            <w:hideMark/>
          </w:tcPr>
          <w:p w14:paraId="2857679D" w14:textId="77777777" w:rsidR="006270DF" w:rsidRPr="00A77AF6" w:rsidRDefault="006270DF" w:rsidP="00CC10AF">
            <w:pPr>
              <w:spacing w:after="0" w:line="240" w:lineRule="auto"/>
              <w:jc w:val="center"/>
              <w:rPr>
                <w:rFonts w:ascii="Calibri" w:eastAsia="Times New Roman" w:hAnsi="Calibri" w:cs="Calibri"/>
                <w:bCs/>
                <w:color w:val="000000" w:themeColor="text1"/>
                <w:sz w:val="20"/>
                <w:szCs w:val="20"/>
                <w:lang w:eastAsia="en-GB"/>
              </w:rPr>
            </w:pPr>
            <w:r w:rsidRPr="00A77AF6">
              <w:rPr>
                <w:rFonts w:ascii="Calibri" w:eastAsia="Times New Roman" w:hAnsi="Calibri" w:cs="Calibri"/>
                <w:bCs/>
                <w:color w:val="000000" w:themeColor="text1"/>
                <w:sz w:val="20"/>
                <w:szCs w:val="20"/>
                <w:lang w:eastAsia="en-GB"/>
              </w:rPr>
              <w:t>3</w:t>
            </w:r>
          </w:p>
        </w:tc>
        <w:tc>
          <w:tcPr>
            <w:tcW w:w="1559" w:type="dxa"/>
            <w:shd w:val="clear" w:color="auto" w:fill="auto"/>
            <w:noWrap/>
            <w:vAlign w:val="bottom"/>
            <w:hideMark/>
          </w:tcPr>
          <w:p w14:paraId="3C2EC3C8" w14:textId="77777777" w:rsidR="006270DF" w:rsidRPr="00A77AF6" w:rsidRDefault="006270DF" w:rsidP="00CC10AF">
            <w:pPr>
              <w:spacing w:after="0" w:line="240" w:lineRule="auto"/>
              <w:jc w:val="center"/>
              <w:rPr>
                <w:rFonts w:ascii="Calibri" w:eastAsia="Times New Roman" w:hAnsi="Calibri" w:cs="Calibri"/>
                <w:bCs/>
                <w:color w:val="000000" w:themeColor="text1"/>
                <w:sz w:val="20"/>
                <w:szCs w:val="20"/>
                <w:lang w:eastAsia="en-GB"/>
              </w:rPr>
            </w:pPr>
            <w:r w:rsidRPr="00A77AF6">
              <w:rPr>
                <w:rFonts w:ascii="Calibri" w:eastAsia="Times New Roman" w:hAnsi="Calibri" w:cs="Calibri"/>
                <w:bCs/>
                <w:color w:val="000000" w:themeColor="text1"/>
                <w:sz w:val="20"/>
                <w:szCs w:val="20"/>
                <w:lang w:eastAsia="en-GB"/>
              </w:rPr>
              <w:t>4</w:t>
            </w:r>
          </w:p>
        </w:tc>
        <w:tc>
          <w:tcPr>
            <w:tcW w:w="1559" w:type="dxa"/>
            <w:vAlign w:val="bottom"/>
          </w:tcPr>
          <w:p w14:paraId="0A1F1126" w14:textId="0276B510" w:rsidR="006270DF" w:rsidRPr="00A77AF6" w:rsidRDefault="006270DF" w:rsidP="00CC10AF">
            <w:pPr>
              <w:spacing w:after="0" w:line="240" w:lineRule="auto"/>
              <w:jc w:val="center"/>
              <w:rPr>
                <w:rFonts w:ascii="Calibri" w:eastAsia="Times New Roman" w:hAnsi="Calibri" w:cs="Calibri"/>
                <w:bCs/>
                <w:color w:val="000000" w:themeColor="text1"/>
                <w:sz w:val="20"/>
                <w:szCs w:val="20"/>
                <w:lang w:eastAsia="en-GB"/>
              </w:rPr>
            </w:pPr>
            <w:r w:rsidRPr="00A77AF6">
              <w:rPr>
                <w:rFonts w:ascii="Calibri" w:eastAsia="Times New Roman" w:hAnsi="Calibri" w:cs="Calibri"/>
                <w:bCs/>
                <w:color w:val="000000" w:themeColor="text1"/>
                <w:sz w:val="20"/>
                <w:szCs w:val="20"/>
                <w:lang w:eastAsia="en-GB"/>
              </w:rPr>
              <w:t>10</w:t>
            </w:r>
          </w:p>
        </w:tc>
      </w:tr>
      <w:tr w:rsidR="006270DF" w:rsidRPr="00A77AF6" w14:paraId="43FAE14E" w14:textId="64E18611" w:rsidTr="008F1B8E">
        <w:trPr>
          <w:trHeight w:val="300"/>
        </w:trPr>
        <w:tc>
          <w:tcPr>
            <w:tcW w:w="1134" w:type="dxa"/>
            <w:vAlign w:val="bottom"/>
          </w:tcPr>
          <w:p w14:paraId="0A46B9E5" w14:textId="22E2D7F0" w:rsidR="006270DF" w:rsidRPr="00A77AF6" w:rsidRDefault="006270DF" w:rsidP="00CC10AF">
            <w:pPr>
              <w:spacing w:after="0" w:line="240" w:lineRule="auto"/>
              <w:rPr>
                <w:rFonts w:ascii="Calibri" w:hAnsi="Calibri" w:cs="Calibri"/>
                <w:b/>
                <w:color w:val="FF0000"/>
                <w:sz w:val="20"/>
                <w:szCs w:val="20"/>
              </w:rPr>
            </w:pPr>
            <w:r w:rsidRPr="00A77AF6">
              <w:rPr>
                <w:rFonts w:ascii="Calibri" w:hAnsi="Calibri" w:cs="Calibri"/>
                <w:b/>
                <w:color w:val="FF0000"/>
                <w:sz w:val="20"/>
                <w:szCs w:val="20"/>
              </w:rPr>
              <w:t>169</w:t>
            </w:r>
          </w:p>
        </w:tc>
        <w:tc>
          <w:tcPr>
            <w:tcW w:w="1418" w:type="dxa"/>
            <w:shd w:val="clear" w:color="auto" w:fill="auto"/>
            <w:noWrap/>
            <w:vAlign w:val="bottom"/>
          </w:tcPr>
          <w:p w14:paraId="565638B1" w14:textId="7382E56E" w:rsidR="006270DF" w:rsidRPr="00A77AF6" w:rsidRDefault="006270DF" w:rsidP="00CC10AF">
            <w:pPr>
              <w:spacing w:after="0" w:line="240" w:lineRule="auto"/>
              <w:jc w:val="center"/>
              <w:rPr>
                <w:rFonts w:ascii="Calibri" w:eastAsia="Times New Roman" w:hAnsi="Calibri" w:cs="Calibri"/>
                <w:b/>
                <w:bCs/>
                <w:color w:val="FF0000"/>
                <w:sz w:val="20"/>
                <w:szCs w:val="20"/>
                <w:lang w:eastAsia="en-GB"/>
              </w:rPr>
            </w:pPr>
            <w:r w:rsidRPr="00A77AF6">
              <w:rPr>
                <w:rFonts w:ascii="Calibri" w:eastAsia="Times New Roman" w:hAnsi="Calibri" w:cs="Calibri"/>
                <w:b/>
                <w:bCs/>
                <w:color w:val="FF0000"/>
                <w:sz w:val="20"/>
                <w:szCs w:val="20"/>
                <w:lang w:eastAsia="en-GB"/>
              </w:rPr>
              <w:t>2</w:t>
            </w:r>
          </w:p>
        </w:tc>
        <w:tc>
          <w:tcPr>
            <w:tcW w:w="1701" w:type="dxa"/>
            <w:shd w:val="clear" w:color="auto" w:fill="auto"/>
            <w:noWrap/>
            <w:vAlign w:val="bottom"/>
          </w:tcPr>
          <w:p w14:paraId="44C9C879" w14:textId="7FA8A598" w:rsidR="006270DF" w:rsidRPr="00A77AF6" w:rsidRDefault="006270DF" w:rsidP="00CC10AF">
            <w:pPr>
              <w:spacing w:after="0" w:line="240" w:lineRule="auto"/>
              <w:jc w:val="center"/>
              <w:rPr>
                <w:rFonts w:ascii="Calibri" w:eastAsia="Times New Roman" w:hAnsi="Calibri" w:cs="Calibri"/>
                <w:b/>
                <w:bCs/>
                <w:color w:val="FF0000"/>
                <w:sz w:val="20"/>
                <w:szCs w:val="20"/>
                <w:lang w:eastAsia="en-GB"/>
              </w:rPr>
            </w:pPr>
            <w:r w:rsidRPr="00A77AF6">
              <w:rPr>
                <w:rFonts w:ascii="Calibri" w:eastAsia="Times New Roman" w:hAnsi="Calibri" w:cs="Calibri"/>
                <w:b/>
                <w:bCs/>
                <w:color w:val="FF0000"/>
                <w:sz w:val="20"/>
                <w:szCs w:val="20"/>
                <w:lang w:eastAsia="en-GB"/>
              </w:rPr>
              <w:t>4</w:t>
            </w:r>
          </w:p>
        </w:tc>
        <w:tc>
          <w:tcPr>
            <w:tcW w:w="1559" w:type="dxa"/>
            <w:shd w:val="clear" w:color="auto" w:fill="auto"/>
            <w:noWrap/>
            <w:vAlign w:val="bottom"/>
          </w:tcPr>
          <w:p w14:paraId="0C1CB28F" w14:textId="03E5A325" w:rsidR="006270DF" w:rsidRPr="00A77AF6" w:rsidRDefault="006270DF" w:rsidP="00CC10AF">
            <w:pPr>
              <w:spacing w:after="0" w:line="240" w:lineRule="auto"/>
              <w:jc w:val="center"/>
              <w:rPr>
                <w:rFonts w:ascii="Calibri" w:eastAsia="Times New Roman" w:hAnsi="Calibri" w:cs="Calibri"/>
                <w:b/>
                <w:bCs/>
                <w:color w:val="FF0000"/>
                <w:sz w:val="20"/>
                <w:szCs w:val="20"/>
                <w:lang w:eastAsia="en-GB"/>
              </w:rPr>
            </w:pPr>
            <w:r w:rsidRPr="00A77AF6">
              <w:rPr>
                <w:rFonts w:ascii="Calibri" w:eastAsia="Times New Roman" w:hAnsi="Calibri" w:cs="Calibri"/>
                <w:b/>
                <w:bCs/>
                <w:color w:val="FF0000"/>
                <w:sz w:val="20"/>
                <w:szCs w:val="20"/>
                <w:lang w:eastAsia="en-GB"/>
              </w:rPr>
              <w:t>4</w:t>
            </w:r>
          </w:p>
        </w:tc>
        <w:tc>
          <w:tcPr>
            <w:tcW w:w="1559" w:type="dxa"/>
            <w:vAlign w:val="bottom"/>
          </w:tcPr>
          <w:p w14:paraId="3AE12669" w14:textId="4B361986" w:rsidR="006270DF" w:rsidRPr="00A77AF6" w:rsidRDefault="006270DF" w:rsidP="00CC10AF">
            <w:pPr>
              <w:spacing w:after="0" w:line="240" w:lineRule="auto"/>
              <w:jc w:val="center"/>
              <w:rPr>
                <w:rFonts w:ascii="Calibri" w:eastAsia="Times New Roman" w:hAnsi="Calibri" w:cs="Calibri"/>
                <w:b/>
                <w:bCs/>
                <w:color w:val="FF0000"/>
                <w:sz w:val="20"/>
                <w:szCs w:val="20"/>
                <w:lang w:eastAsia="en-GB"/>
              </w:rPr>
            </w:pPr>
            <w:r w:rsidRPr="00A77AF6">
              <w:rPr>
                <w:rFonts w:ascii="Calibri" w:eastAsia="Times New Roman" w:hAnsi="Calibri" w:cs="Calibri"/>
                <w:b/>
                <w:bCs/>
                <w:color w:val="FF0000"/>
                <w:sz w:val="20"/>
                <w:szCs w:val="20"/>
                <w:lang w:eastAsia="en-GB"/>
              </w:rPr>
              <w:t>10</w:t>
            </w:r>
          </w:p>
        </w:tc>
      </w:tr>
    </w:tbl>
    <w:p w14:paraId="30410B72" w14:textId="0431E539" w:rsidR="00A73E9C" w:rsidRPr="00A77AF6" w:rsidRDefault="00A3795B" w:rsidP="00A3795B">
      <w:pPr>
        <w:spacing w:line="240" w:lineRule="auto"/>
        <w:rPr>
          <w:sz w:val="18"/>
        </w:rPr>
      </w:pPr>
      <w:r w:rsidRPr="00A77AF6">
        <w:rPr>
          <w:sz w:val="18"/>
        </w:rPr>
        <w:t>(red highlighted numbers indicate projects that ‘failed’ at least one of time, cost and or quality measures)</w:t>
      </w:r>
    </w:p>
    <w:p w14:paraId="1CB229FD" w14:textId="4CA09084" w:rsidR="00CD29BF" w:rsidRPr="00A77AF6" w:rsidRDefault="00CD29BF" w:rsidP="00B37740">
      <w:pPr>
        <w:spacing w:before="360" w:after="120" w:line="360" w:lineRule="auto"/>
        <w:rPr>
          <w:rFonts w:cstheme="minorHAnsi"/>
        </w:rPr>
      </w:pPr>
      <w:r w:rsidRPr="00A77AF6">
        <w:t xml:space="preserve">One further test was </w:t>
      </w:r>
      <w:r w:rsidR="00394D2B" w:rsidRPr="00A77AF6">
        <w:t>undertaken</w:t>
      </w:r>
      <w:r w:rsidRPr="00A77AF6">
        <w:t xml:space="preserve"> to find out whether a change in the weighting of each of the </w:t>
      </w:r>
      <w:r w:rsidR="00B24BBD" w:rsidRPr="00A77AF6">
        <w:t>parameter</w:t>
      </w:r>
      <w:r w:rsidRPr="00A77AF6">
        <w:t xml:space="preserve">s of the iron triangle would alter the number of projects what would achieve a project success score equivalent to the iron triangle score even though one or more parameter may have been missed.  The weightings adopted here were those identified by </w:t>
      </w:r>
      <w:r w:rsidRPr="00A77AF6">
        <w:rPr>
          <w:rFonts w:cstheme="minorHAnsi"/>
        </w:rPr>
        <w:t xml:space="preserve">Might </w:t>
      </w:r>
      <w:r w:rsidR="002800C9" w:rsidRPr="00A77AF6">
        <w:rPr>
          <w:rFonts w:cstheme="minorHAnsi"/>
        </w:rPr>
        <w:t>&amp;</w:t>
      </w:r>
      <w:r w:rsidRPr="00A77AF6">
        <w:rPr>
          <w:rFonts w:cstheme="minorHAnsi"/>
        </w:rPr>
        <w:t xml:space="preserve"> Fisher (1985) cited in De Wit (1988). </w:t>
      </w:r>
      <w:r w:rsidR="002800C9" w:rsidRPr="00A77AF6">
        <w:rPr>
          <w:rFonts w:cstheme="minorHAnsi"/>
        </w:rPr>
        <w:t>T</w:t>
      </w:r>
      <w:r w:rsidRPr="00A77AF6">
        <w:rPr>
          <w:rFonts w:cstheme="minorHAnsi"/>
        </w:rPr>
        <w:t xml:space="preserve">ime was weighted at 22%, cost at 23% and technical performance (quality) was weighted at 54%. </w:t>
      </w:r>
      <w:r w:rsidR="003B35DA" w:rsidRPr="00A77AF6">
        <w:rPr>
          <w:rFonts w:cstheme="minorHAnsi"/>
        </w:rPr>
        <w:t xml:space="preserve">Might </w:t>
      </w:r>
      <w:r w:rsidR="00C428D8" w:rsidRPr="00A77AF6">
        <w:rPr>
          <w:rFonts w:cstheme="minorHAnsi"/>
        </w:rPr>
        <w:t>&amp;</w:t>
      </w:r>
      <w:r w:rsidR="003B35DA" w:rsidRPr="00A77AF6">
        <w:rPr>
          <w:rFonts w:cstheme="minorHAnsi"/>
        </w:rPr>
        <w:t xml:space="preserve"> Fisher’s (1885) study s</w:t>
      </w:r>
      <w:r w:rsidRPr="00A77AF6">
        <w:rPr>
          <w:rFonts w:cstheme="minorHAnsi"/>
        </w:rPr>
        <w:t>uggest</w:t>
      </w:r>
      <w:r w:rsidR="003B35DA" w:rsidRPr="00A77AF6">
        <w:rPr>
          <w:rFonts w:cstheme="minorHAnsi"/>
        </w:rPr>
        <w:t>ed</w:t>
      </w:r>
      <w:r w:rsidRPr="00A77AF6">
        <w:rPr>
          <w:rFonts w:cstheme="minorHAnsi"/>
        </w:rPr>
        <w:t xml:space="preserve"> that quality is over twice as important as either time or cost.  </w:t>
      </w:r>
    </w:p>
    <w:p w14:paraId="6E2F483C" w14:textId="5AC83503" w:rsidR="007F0E1F" w:rsidRPr="00A77AF6" w:rsidRDefault="00391687" w:rsidP="00B37740">
      <w:pPr>
        <w:spacing w:line="360" w:lineRule="auto"/>
        <w:rPr>
          <w:rFonts w:cstheme="minorHAnsi"/>
        </w:rPr>
      </w:pPr>
      <w:r w:rsidRPr="00A77AF6">
        <w:rPr>
          <w:rFonts w:cstheme="minorHAnsi"/>
        </w:rPr>
        <w:t xml:space="preserve">To </w:t>
      </w:r>
      <w:r w:rsidR="008326F9" w:rsidRPr="00A77AF6">
        <w:rPr>
          <w:rFonts w:cstheme="minorHAnsi"/>
          <w:color w:val="000000" w:themeColor="text1"/>
        </w:rPr>
        <w:t>calculate the new project success score</w:t>
      </w:r>
      <w:r w:rsidR="007C0E68" w:rsidRPr="00A77AF6">
        <w:rPr>
          <w:rFonts w:cstheme="minorHAnsi"/>
          <w:color w:val="000000" w:themeColor="text1"/>
        </w:rPr>
        <w:t xml:space="preserve">, </w:t>
      </w:r>
      <w:r w:rsidR="008326F9" w:rsidRPr="00A77AF6">
        <w:rPr>
          <w:rFonts w:cstheme="minorHAnsi"/>
          <w:color w:val="000000" w:themeColor="text1"/>
        </w:rPr>
        <w:t>time was weighted at 22%, cost at 23% and quality at 54</w:t>
      </w:r>
      <w:r w:rsidR="008326F9" w:rsidRPr="00A77AF6">
        <w:rPr>
          <w:rFonts w:cstheme="minorHAnsi"/>
        </w:rPr>
        <w:t>%</w:t>
      </w:r>
      <w:r w:rsidR="002800C9" w:rsidRPr="00A77AF6">
        <w:rPr>
          <w:rFonts w:cstheme="minorHAnsi"/>
        </w:rPr>
        <w:t>, the same weightings that Might &amp; Fisher (1985) used</w:t>
      </w:r>
      <w:r w:rsidR="008326F9" w:rsidRPr="00A77AF6">
        <w:rPr>
          <w:rFonts w:cstheme="minorHAnsi"/>
        </w:rPr>
        <w:t>.  For example, project 67 has score 3 points for each criterion (</w:t>
      </w:r>
      <w:r w:rsidR="007F0E1F" w:rsidRPr="00A77AF6">
        <w:rPr>
          <w:rFonts w:cstheme="minorHAnsi"/>
        </w:rPr>
        <w:t>T</w:t>
      </w:r>
      <w:r w:rsidR="008326F9" w:rsidRPr="00A77AF6">
        <w:rPr>
          <w:rFonts w:cstheme="minorHAnsi"/>
        </w:rPr>
        <w:t xml:space="preserve">able </w:t>
      </w:r>
      <w:r w:rsidR="002800C9" w:rsidRPr="00A77AF6">
        <w:rPr>
          <w:rFonts w:cstheme="minorHAnsi"/>
        </w:rPr>
        <w:t>6-2</w:t>
      </w:r>
      <w:r w:rsidR="00D54148" w:rsidRPr="00A77AF6">
        <w:rPr>
          <w:rFonts w:cstheme="minorHAnsi"/>
        </w:rPr>
        <w:t>7</w:t>
      </w:r>
      <w:r w:rsidR="008326F9" w:rsidRPr="00A77AF6">
        <w:rPr>
          <w:rFonts w:cstheme="minorHAnsi"/>
        </w:rPr>
        <w:t xml:space="preserve">).  When each criterion was multiplied by the new </w:t>
      </w:r>
      <w:r w:rsidR="00F7749F" w:rsidRPr="00A77AF6">
        <w:rPr>
          <w:rFonts w:cstheme="minorHAnsi"/>
        </w:rPr>
        <w:t>weighting, time</w:t>
      </w:r>
      <w:r w:rsidR="008326F9" w:rsidRPr="00A77AF6">
        <w:rPr>
          <w:rFonts w:cstheme="minorHAnsi"/>
        </w:rPr>
        <w:t xml:space="preserve"> </w:t>
      </w:r>
      <w:r w:rsidR="007C0E68" w:rsidRPr="00A77AF6">
        <w:rPr>
          <w:rFonts w:cstheme="minorHAnsi"/>
        </w:rPr>
        <w:t>was</w:t>
      </w:r>
      <w:r w:rsidR="008326F9" w:rsidRPr="00A77AF6">
        <w:rPr>
          <w:rFonts w:cstheme="minorHAnsi"/>
        </w:rPr>
        <w:t xml:space="preserve"> </w:t>
      </w:r>
      <w:r w:rsidR="00B76F66" w:rsidRPr="00A77AF6">
        <w:rPr>
          <w:rFonts w:cstheme="minorHAnsi"/>
        </w:rPr>
        <w:t xml:space="preserve">weighted at </w:t>
      </w:r>
      <w:r w:rsidR="008326F9" w:rsidRPr="00A77AF6">
        <w:rPr>
          <w:rFonts w:cstheme="minorHAnsi"/>
        </w:rPr>
        <w:t>0.66</w:t>
      </w:r>
      <w:r w:rsidR="00B76F66" w:rsidRPr="00A77AF6">
        <w:rPr>
          <w:rFonts w:cstheme="minorHAnsi"/>
        </w:rPr>
        <w:t xml:space="preserve"> (3 x 0.22)</w:t>
      </w:r>
      <w:r w:rsidR="008326F9" w:rsidRPr="00A77AF6">
        <w:rPr>
          <w:rFonts w:cstheme="minorHAnsi"/>
        </w:rPr>
        <w:t xml:space="preserve">, cost </w:t>
      </w:r>
      <w:r w:rsidR="00B76F66" w:rsidRPr="00A77AF6">
        <w:rPr>
          <w:rFonts w:cstheme="minorHAnsi"/>
        </w:rPr>
        <w:t xml:space="preserve">at </w:t>
      </w:r>
      <w:r w:rsidR="008326F9" w:rsidRPr="00A77AF6">
        <w:rPr>
          <w:rFonts w:cstheme="minorHAnsi"/>
        </w:rPr>
        <w:t xml:space="preserve">0.69 </w:t>
      </w:r>
      <w:r w:rsidR="00B76F66" w:rsidRPr="00A77AF6">
        <w:rPr>
          <w:rFonts w:cstheme="minorHAnsi"/>
        </w:rPr>
        <w:t xml:space="preserve">(3 x 0.23) </w:t>
      </w:r>
      <w:r w:rsidR="008326F9" w:rsidRPr="00A77AF6">
        <w:rPr>
          <w:rFonts w:cstheme="minorHAnsi"/>
        </w:rPr>
        <w:t xml:space="preserve">and quality </w:t>
      </w:r>
      <w:r w:rsidR="00B76F66" w:rsidRPr="00A77AF6">
        <w:rPr>
          <w:rFonts w:cstheme="minorHAnsi"/>
        </w:rPr>
        <w:t xml:space="preserve">at </w:t>
      </w:r>
      <w:r w:rsidR="008326F9" w:rsidRPr="00A77AF6">
        <w:rPr>
          <w:rFonts w:cstheme="minorHAnsi"/>
        </w:rPr>
        <w:t>1.62</w:t>
      </w:r>
      <w:r w:rsidR="00B76F66" w:rsidRPr="00A77AF6">
        <w:rPr>
          <w:rFonts w:cstheme="minorHAnsi"/>
        </w:rPr>
        <w:t xml:space="preserve"> (3 x 0.54%</w:t>
      </w:r>
      <w:r w:rsidR="008326F9" w:rsidRPr="00A77AF6">
        <w:rPr>
          <w:rFonts w:cstheme="minorHAnsi"/>
        </w:rPr>
        <w:t>.</w:t>
      </w:r>
      <w:r w:rsidR="00B76F66" w:rsidRPr="00A77AF6">
        <w:rPr>
          <w:rFonts w:cstheme="minorHAnsi"/>
        </w:rPr>
        <w:t>)</w:t>
      </w:r>
      <w:r w:rsidR="002800C9" w:rsidRPr="00A77AF6">
        <w:rPr>
          <w:rFonts w:cstheme="minorHAnsi"/>
        </w:rPr>
        <w:t>.</w:t>
      </w:r>
      <w:r w:rsidR="008326F9" w:rsidRPr="00A77AF6">
        <w:rPr>
          <w:rFonts w:cstheme="minorHAnsi"/>
        </w:rPr>
        <w:t xml:space="preserve">  The score which indicates project success in this new calculation is 2.97</w:t>
      </w:r>
      <w:r w:rsidR="007C0E68" w:rsidRPr="00A77AF6">
        <w:rPr>
          <w:rFonts w:cstheme="minorHAnsi"/>
        </w:rPr>
        <w:t xml:space="preserve"> (0.66 added to 0.69 and 1.62)</w:t>
      </w:r>
      <w:r w:rsidR="008326F9" w:rsidRPr="00A77AF6">
        <w:rPr>
          <w:rFonts w:cstheme="minorHAnsi"/>
        </w:rPr>
        <w:t xml:space="preserve">.  </w:t>
      </w:r>
      <w:r w:rsidR="00E60A7A" w:rsidRPr="00A77AF6">
        <w:t>The</w:t>
      </w:r>
      <w:r w:rsidR="008326F9" w:rsidRPr="00A77AF6">
        <w:t xml:space="preserve"> new</w:t>
      </w:r>
      <w:r w:rsidR="00E60A7A" w:rsidRPr="00A77AF6">
        <w:t xml:space="preserve"> weighting </w:t>
      </w:r>
      <w:r w:rsidR="00870587" w:rsidRPr="00A77AF6">
        <w:t>added</w:t>
      </w:r>
      <w:r w:rsidR="00E60A7A" w:rsidRPr="00A77AF6">
        <w:t xml:space="preserve"> </w:t>
      </w:r>
      <w:r w:rsidR="00540C45" w:rsidRPr="00A77AF6">
        <w:t xml:space="preserve">four </w:t>
      </w:r>
      <w:r w:rsidR="00E60A7A" w:rsidRPr="00A77AF6">
        <w:t xml:space="preserve">projects </w:t>
      </w:r>
      <w:r w:rsidR="00870587" w:rsidRPr="00A77AF6">
        <w:t>(</w:t>
      </w:r>
      <w:r w:rsidR="00D54148" w:rsidRPr="00A77AF6">
        <w:t xml:space="preserve">No. </w:t>
      </w:r>
      <w:r w:rsidR="00870587" w:rsidRPr="00A77AF6">
        <w:t xml:space="preserve">140, 147, 149 and 155) </w:t>
      </w:r>
      <w:r w:rsidR="00E60A7A" w:rsidRPr="00A77AF6">
        <w:t xml:space="preserve">to </w:t>
      </w:r>
      <w:r w:rsidR="00870587" w:rsidRPr="00A77AF6">
        <w:t>the successful category, as they scored</w:t>
      </w:r>
      <w:r w:rsidR="008326F9" w:rsidRPr="00A77AF6">
        <w:t xml:space="preserve"> 2.97 or above</w:t>
      </w:r>
      <w:r w:rsidR="00870587" w:rsidRPr="00A77AF6">
        <w:t xml:space="preserve">.  This analysis </w:t>
      </w:r>
      <w:r w:rsidR="00B37740" w:rsidRPr="00A77AF6">
        <w:t xml:space="preserve">allows </w:t>
      </w:r>
      <w:r w:rsidR="00870587" w:rsidRPr="00A77AF6">
        <w:t>22 projects, rather than 18</w:t>
      </w:r>
      <w:r w:rsidR="00540C45" w:rsidRPr="00A77AF6">
        <w:t xml:space="preserve"> projects which scored nine points or more</w:t>
      </w:r>
      <w:r w:rsidR="00870587" w:rsidRPr="00A77AF6">
        <w:t xml:space="preserve"> </w:t>
      </w:r>
      <w:r w:rsidR="00B37740" w:rsidRPr="00A77AF6">
        <w:t xml:space="preserve">to </w:t>
      </w:r>
      <w:r w:rsidR="00870587" w:rsidRPr="00A77AF6">
        <w:t>be judged as successful</w:t>
      </w:r>
      <w:r w:rsidR="00B37740" w:rsidRPr="00A77AF6">
        <w:t>. (</w:t>
      </w:r>
      <w:r w:rsidR="007F0E1F" w:rsidRPr="00A77AF6">
        <w:t>T</w:t>
      </w:r>
      <w:r w:rsidR="00870587" w:rsidRPr="00A77AF6">
        <w:t xml:space="preserve">able </w:t>
      </w:r>
      <w:r w:rsidR="002800C9" w:rsidRPr="00A77AF6">
        <w:t>6-2</w:t>
      </w:r>
      <w:r w:rsidR="00D54148" w:rsidRPr="00A77AF6">
        <w:t>7</w:t>
      </w:r>
      <w:r w:rsidR="00870587" w:rsidRPr="00A77AF6">
        <w:t xml:space="preserve"> shows the new successful projects in red</w:t>
      </w:r>
      <w:r w:rsidR="00870587" w:rsidRPr="009C5621">
        <w:rPr>
          <w:shd w:val="clear" w:color="auto" w:fill="FFFFFF" w:themeFill="background1"/>
        </w:rPr>
        <w:t>)</w:t>
      </w:r>
      <w:r w:rsidR="0032690B" w:rsidRPr="009C5621">
        <w:rPr>
          <w:rFonts w:cstheme="minorHAnsi"/>
          <w:shd w:val="clear" w:color="auto" w:fill="FFFFFF" w:themeFill="background1"/>
        </w:rPr>
        <w:t xml:space="preserve"> (Appendix </w:t>
      </w:r>
      <w:r w:rsidR="00F25765" w:rsidRPr="009C5621">
        <w:rPr>
          <w:rFonts w:cstheme="minorHAnsi"/>
          <w:shd w:val="clear" w:color="auto" w:fill="FFFFFF" w:themeFill="background1"/>
        </w:rPr>
        <w:t>I</w:t>
      </w:r>
      <w:r w:rsidR="0032690B" w:rsidRPr="009C5621">
        <w:rPr>
          <w:rFonts w:cstheme="minorHAnsi"/>
          <w:shd w:val="clear" w:color="auto" w:fill="FFFFFF" w:themeFill="background1"/>
        </w:rPr>
        <w:t xml:space="preserve"> for full</w:t>
      </w:r>
      <w:r w:rsidR="0032690B" w:rsidRPr="00A77AF6">
        <w:rPr>
          <w:rFonts w:cstheme="minorHAnsi"/>
        </w:rPr>
        <w:t xml:space="preserve"> data set)</w:t>
      </w:r>
      <w:r w:rsidR="00E60A7A" w:rsidRPr="00A77AF6">
        <w:t xml:space="preserve">.  </w:t>
      </w:r>
      <w:r w:rsidR="00540C45" w:rsidRPr="00A77AF6">
        <w:t>Of these newly categorised projects, p</w:t>
      </w:r>
      <w:r w:rsidR="00E60A7A" w:rsidRPr="00A77AF6">
        <w:t>rojects 140, 147 and 149</w:t>
      </w:r>
      <w:r w:rsidR="00540C45" w:rsidRPr="00A77AF6">
        <w:t xml:space="preserve"> </w:t>
      </w:r>
      <w:r w:rsidR="00E60A7A" w:rsidRPr="00A77AF6">
        <w:t>were all slightly late, significantly over budget and significantly exceeded quality targets</w:t>
      </w:r>
      <w:r w:rsidR="00540C45" w:rsidRPr="00A77AF6">
        <w:t xml:space="preserve">, whilst </w:t>
      </w:r>
      <w:r w:rsidR="00540C45" w:rsidRPr="00A77AF6">
        <w:lastRenderedPageBreak/>
        <w:t>p</w:t>
      </w:r>
      <w:r w:rsidR="00E60A7A" w:rsidRPr="00A77AF6">
        <w:t xml:space="preserve">roject 155 was significantly late, slightly over budget and significantly exceeded quality targets.  All four projects significantly exceeded their quality targets whilst missing </w:t>
      </w:r>
      <w:r w:rsidR="00540C45" w:rsidRPr="00A77AF6">
        <w:t>one</w:t>
      </w:r>
      <w:r w:rsidR="00E60A7A" w:rsidRPr="00A77AF6">
        <w:t xml:space="preserve"> parameter </w:t>
      </w:r>
      <w:r w:rsidR="00166927" w:rsidRPr="00A77AF6">
        <w:t xml:space="preserve">either </w:t>
      </w:r>
      <w:r w:rsidR="00E60A7A" w:rsidRPr="00A77AF6">
        <w:t xml:space="preserve">slightly </w:t>
      </w:r>
      <w:r w:rsidR="00166927" w:rsidRPr="00A77AF6">
        <w:t xml:space="preserve">or </w:t>
      </w:r>
      <w:r w:rsidR="00E60A7A" w:rsidRPr="00A77AF6">
        <w:t>significantly</w:t>
      </w:r>
      <w:r w:rsidR="00870587" w:rsidRPr="00A77AF6">
        <w:t xml:space="preserve">, so the additional weighting given to quality meant that </w:t>
      </w:r>
      <w:r w:rsidR="00B37740" w:rsidRPr="00A77AF6">
        <w:t xml:space="preserve">these </w:t>
      </w:r>
      <w:r w:rsidR="00870587" w:rsidRPr="00A77AF6">
        <w:t xml:space="preserve">four projects could </w:t>
      </w:r>
      <w:r w:rsidR="00B37740" w:rsidRPr="00A77AF6">
        <w:t xml:space="preserve">now </w:t>
      </w:r>
      <w:r w:rsidR="00870587" w:rsidRPr="00A77AF6">
        <w:t xml:space="preserve">be categorised as </w:t>
      </w:r>
      <w:r w:rsidR="00F7749F" w:rsidRPr="00A77AF6">
        <w:t>successful.</w:t>
      </w:r>
      <w:r w:rsidR="00E60A7A" w:rsidRPr="00A77AF6">
        <w:t xml:space="preserve"> </w:t>
      </w:r>
      <w:r w:rsidR="00F7749F" w:rsidRPr="00A77AF6">
        <w:t xml:space="preserve"> </w:t>
      </w:r>
      <w:r w:rsidR="00E60A7A" w:rsidRPr="00A77AF6">
        <w:t xml:space="preserve">De Wit (1988) suggested that it </w:t>
      </w:r>
      <w:r w:rsidR="00F7749F" w:rsidRPr="00A77AF6">
        <w:t xml:space="preserve">is </w:t>
      </w:r>
      <w:r w:rsidR="00E60A7A" w:rsidRPr="00A77AF6">
        <w:t>feasible to count projects as successful</w:t>
      </w:r>
      <w:r w:rsidR="007F0E1F" w:rsidRPr="00A77AF6">
        <w:t>,</w:t>
      </w:r>
      <w:r w:rsidR="00E60A7A" w:rsidRPr="00A77AF6">
        <w:t xml:space="preserve"> which miss</w:t>
      </w:r>
      <w:r w:rsidR="00540C45" w:rsidRPr="00A77AF6">
        <w:t xml:space="preserve"> </w:t>
      </w:r>
      <w:r w:rsidR="00E60A7A" w:rsidRPr="00A77AF6">
        <w:t>time and cost targets as he noted that</w:t>
      </w:r>
      <w:r w:rsidR="00E60A7A" w:rsidRPr="00A77AF6">
        <w:rPr>
          <w:rFonts w:cstheme="minorHAnsi"/>
        </w:rPr>
        <w:t xml:space="preserve"> time and cost overruns were not included in a list of </w:t>
      </w:r>
      <w:r w:rsidR="00217078">
        <w:rPr>
          <w:rFonts w:cstheme="minorHAnsi"/>
        </w:rPr>
        <w:t>29</w:t>
      </w:r>
      <w:r w:rsidR="00E60A7A" w:rsidRPr="00A77AF6">
        <w:rPr>
          <w:rFonts w:cstheme="minorHAnsi"/>
        </w:rPr>
        <w:t xml:space="preserve"> characteristics associated with project failure, nor were they included in a list of </w:t>
      </w:r>
      <w:r w:rsidR="00217078">
        <w:rPr>
          <w:rFonts w:cstheme="minorHAnsi"/>
        </w:rPr>
        <w:t>23</w:t>
      </w:r>
      <w:r w:rsidR="00E60A7A" w:rsidRPr="00A77AF6">
        <w:rPr>
          <w:rFonts w:cstheme="minorHAnsi"/>
        </w:rPr>
        <w:t xml:space="preserve"> characteristics related to project success</w:t>
      </w:r>
      <w:r w:rsidR="00166927" w:rsidRPr="00A77AF6">
        <w:rPr>
          <w:rFonts w:cstheme="minorHAnsi"/>
        </w:rPr>
        <w:t xml:space="preserve"> and these figures suggest De Witt’s (1988) conclusions are valid. </w:t>
      </w:r>
    </w:p>
    <w:p w14:paraId="62C8880A" w14:textId="61D6B40C" w:rsidR="008326F9" w:rsidRPr="00A77AF6" w:rsidRDefault="008326F9" w:rsidP="0007452B">
      <w:pPr>
        <w:pStyle w:val="Caption"/>
        <w:keepNext/>
        <w:spacing w:after="120"/>
      </w:pPr>
      <w:r w:rsidRPr="00A77AF6">
        <w:t xml:space="preserve">Table </w:t>
      </w:r>
      <w:fldSimple w:instr=" STYLEREF 1 \s ">
        <w:r w:rsidR="000441F7">
          <w:rPr>
            <w:noProof/>
          </w:rPr>
          <w:t>6</w:t>
        </w:r>
      </w:fldSimple>
      <w:r w:rsidR="00804112">
        <w:noBreakHyphen/>
      </w:r>
      <w:fldSimple w:instr=" SEQ Table \* ARABIC \s 1 ">
        <w:r w:rsidR="000441F7">
          <w:rPr>
            <w:noProof/>
          </w:rPr>
          <w:t>27</w:t>
        </w:r>
      </w:fldSimple>
      <w:r w:rsidRPr="00A77AF6">
        <w:t>: Table showing successful projects measured with weighted iron triangle</w:t>
      </w:r>
    </w:p>
    <w:tbl>
      <w:tblPr>
        <w:tblW w:w="7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418"/>
        <w:gridCol w:w="1276"/>
        <w:gridCol w:w="1417"/>
        <w:gridCol w:w="1418"/>
        <w:gridCol w:w="704"/>
      </w:tblGrid>
      <w:tr w:rsidR="00A42026" w:rsidRPr="00A77AF6" w14:paraId="55315EEA" w14:textId="77777777" w:rsidTr="008326F9">
        <w:trPr>
          <w:trHeight w:val="300"/>
        </w:trPr>
        <w:tc>
          <w:tcPr>
            <w:tcW w:w="1696" w:type="dxa"/>
            <w:shd w:val="clear" w:color="auto" w:fill="D9D9D9" w:themeFill="background1" w:themeFillShade="D9"/>
          </w:tcPr>
          <w:p w14:paraId="24F5A3FD" w14:textId="7B3FE8CA" w:rsidR="008326F9" w:rsidRPr="00A77AF6" w:rsidRDefault="008326F9" w:rsidP="00147EE2">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 xml:space="preserve">Unique id </w:t>
            </w:r>
          </w:p>
          <w:p w14:paraId="6CBD5CBC" w14:textId="5CAC2371" w:rsidR="00A42026" w:rsidRPr="00A77AF6" w:rsidRDefault="008326F9" w:rsidP="00147EE2">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(projects scoring 9</w:t>
            </w:r>
            <w:r w:rsidR="007C0E68" w:rsidRPr="00A77AF6">
              <w:rPr>
                <w:rFonts w:ascii="Calibri" w:eastAsia="Times New Roman" w:hAnsi="Calibri" w:cs="Calibri"/>
                <w:color w:val="000000"/>
                <w:sz w:val="20"/>
                <w:szCs w:val="20"/>
                <w:lang w:eastAsia="en-GB"/>
              </w:rPr>
              <w:t xml:space="preserve"> </w:t>
            </w:r>
            <w:r w:rsidRPr="00A77AF6">
              <w:rPr>
                <w:rFonts w:ascii="Calibri" w:eastAsia="Times New Roman" w:hAnsi="Calibri" w:cs="Calibri"/>
                <w:color w:val="000000"/>
                <w:sz w:val="20"/>
                <w:szCs w:val="20"/>
                <w:lang w:eastAsia="en-GB"/>
              </w:rPr>
              <w:t>or above)</w:t>
            </w:r>
          </w:p>
        </w:tc>
        <w:tc>
          <w:tcPr>
            <w:tcW w:w="1418" w:type="dxa"/>
            <w:shd w:val="clear" w:color="auto" w:fill="D9D9D9" w:themeFill="background1" w:themeFillShade="D9"/>
          </w:tcPr>
          <w:p w14:paraId="795AADD9" w14:textId="77777777" w:rsidR="00A42026" w:rsidRPr="00A77AF6" w:rsidRDefault="00A42026" w:rsidP="00147EE2">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Unique id</w:t>
            </w:r>
          </w:p>
          <w:p w14:paraId="5DFEEB91" w14:textId="084E3879" w:rsidR="0008273D" w:rsidRPr="00A77AF6" w:rsidRDefault="0008273D" w:rsidP="00147EE2">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(additional projects)</w:t>
            </w:r>
          </w:p>
        </w:tc>
        <w:tc>
          <w:tcPr>
            <w:tcW w:w="1276" w:type="dxa"/>
            <w:shd w:val="clear" w:color="auto" w:fill="D9D9D9" w:themeFill="background1" w:themeFillShade="D9"/>
            <w:noWrap/>
            <w:hideMark/>
          </w:tcPr>
          <w:p w14:paraId="0CB4D1A6" w14:textId="77777777" w:rsidR="00A42026" w:rsidRPr="00A77AF6" w:rsidRDefault="00A42026" w:rsidP="00147EE2">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 xml:space="preserve">Time </w:t>
            </w:r>
          </w:p>
          <w:p w14:paraId="19D4CD89" w14:textId="1D2E1A54" w:rsidR="00A42026" w:rsidRPr="00A77AF6" w:rsidRDefault="00A42026" w:rsidP="00147EE2">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 xml:space="preserve">(weight 22%) </w:t>
            </w:r>
          </w:p>
        </w:tc>
        <w:tc>
          <w:tcPr>
            <w:tcW w:w="1417" w:type="dxa"/>
            <w:shd w:val="clear" w:color="auto" w:fill="D9D9D9" w:themeFill="background1" w:themeFillShade="D9"/>
            <w:noWrap/>
            <w:hideMark/>
          </w:tcPr>
          <w:p w14:paraId="0296E933" w14:textId="77777777" w:rsidR="00A42026" w:rsidRPr="00A77AF6" w:rsidRDefault="00A42026" w:rsidP="00147EE2">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 xml:space="preserve">cost score </w:t>
            </w:r>
          </w:p>
          <w:p w14:paraId="13DDB67F" w14:textId="7096B6A5" w:rsidR="00A42026" w:rsidRPr="00A77AF6" w:rsidRDefault="00A42026" w:rsidP="00147EE2">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(weight 23%)</w:t>
            </w:r>
          </w:p>
        </w:tc>
        <w:tc>
          <w:tcPr>
            <w:tcW w:w="1418" w:type="dxa"/>
            <w:shd w:val="clear" w:color="auto" w:fill="D9D9D9" w:themeFill="background1" w:themeFillShade="D9"/>
            <w:noWrap/>
            <w:hideMark/>
          </w:tcPr>
          <w:p w14:paraId="682B9210" w14:textId="77777777" w:rsidR="00A42026" w:rsidRPr="00A77AF6" w:rsidRDefault="00A42026" w:rsidP="00147EE2">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Technical/ quality</w:t>
            </w:r>
          </w:p>
          <w:p w14:paraId="3BAEE2AE" w14:textId="6A8F5D81" w:rsidR="00A42026" w:rsidRPr="00A77AF6" w:rsidRDefault="00A42026" w:rsidP="00147EE2">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(weight 54%)</w:t>
            </w:r>
          </w:p>
        </w:tc>
        <w:tc>
          <w:tcPr>
            <w:tcW w:w="704" w:type="dxa"/>
            <w:shd w:val="clear" w:color="auto" w:fill="D9D9D9" w:themeFill="background1" w:themeFillShade="D9"/>
            <w:noWrap/>
            <w:hideMark/>
          </w:tcPr>
          <w:p w14:paraId="3F3AFE0F" w14:textId="77777777" w:rsidR="00A42026" w:rsidRPr="00A77AF6" w:rsidRDefault="00A42026" w:rsidP="00147EE2">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total</w:t>
            </w:r>
          </w:p>
        </w:tc>
      </w:tr>
      <w:tr w:rsidR="00A42026" w:rsidRPr="00A77AF6" w14:paraId="2D1BB5B4" w14:textId="77777777" w:rsidTr="008326F9">
        <w:trPr>
          <w:trHeight w:val="300"/>
        </w:trPr>
        <w:tc>
          <w:tcPr>
            <w:tcW w:w="1696" w:type="dxa"/>
            <w:vAlign w:val="bottom"/>
          </w:tcPr>
          <w:p w14:paraId="66280467" w14:textId="56A6153A" w:rsidR="00A42026" w:rsidRPr="00A77AF6" w:rsidRDefault="00A42026" w:rsidP="008914E0">
            <w:pPr>
              <w:spacing w:after="0" w:line="240" w:lineRule="auto"/>
              <w:rPr>
                <w:rFonts w:ascii="Calibri" w:hAnsi="Calibri" w:cs="Calibri"/>
                <w:sz w:val="20"/>
                <w:szCs w:val="20"/>
              </w:rPr>
            </w:pPr>
            <w:r w:rsidRPr="00A77AF6">
              <w:rPr>
                <w:rFonts w:ascii="Calibri" w:hAnsi="Calibri" w:cs="Calibri"/>
                <w:sz w:val="20"/>
                <w:szCs w:val="20"/>
              </w:rPr>
              <w:t>67</w:t>
            </w:r>
          </w:p>
        </w:tc>
        <w:tc>
          <w:tcPr>
            <w:tcW w:w="1418" w:type="dxa"/>
            <w:vAlign w:val="bottom"/>
          </w:tcPr>
          <w:p w14:paraId="5008A041" w14:textId="379B9175"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hAnsi="Calibri" w:cs="Calibri"/>
                <w:color w:val="000000"/>
                <w:sz w:val="20"/>
                <w:szCs w:val="20"/>
              </w:rPr>
              <w:t>67</w:t>
            </w:r>
          </w:p>
        </w:tc>
        <w:tc>
          <w:tcPr>
            <w:tcW w:w="1276" w:type="dxa"/>
            <w:shd w:val="clear" w:color="auto" w:fill="auto"/>
            <w:noWrap/>
            <w:vAlign w:val="bottom"/>
            <w:hideMark/>
          </w:tcPr>
          <w:p w14:paraId="62130C33" w14:textId="21944430"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0.66</w:t>
            </w:r>
          </w:p>
        </w:tc>
        <w:tc>
          <w:tcPr>
            <w:tcW w:w="1417" w:type="dxa"/>
            <w:shd w:val="clear" w:color="auto" w:fill="auto"/>
            <w:noWrap/>
            <w:vAlign w:val="bottom"/>
            <w:hideMark/>
          </w:tcPr>
          <w:p w14:paraId="0FC7EE86"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0.69</w:t>
            </w:r>
          </w:p>
        </w:tc>
        <w:tc>
          <w:tcPr>
            <w:tcW w:w="1418" w:type="dxa"/>
            <w:shd w:val="clear" w:color="auto" w:fill="auto"/>
            <w:noWrap/>
            <w:vAlign w:val="bottom"/>
            <w:hideMark/>
          </w:tcPr>
          <w:p w14:paraId="04165709"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1.62</w:t>
            </w:r>
          </w:p>
        </w:tc>
        <w:tc>
          <w:tcPr>
            <w:tcW w:w="704" w:type="dxa"/>
            <w:shd w:val="clear" w:color="auto" w:fill="auto"/>
            <w:noWrap/>
            <w:vAlign w:val="bottom"/>
            <w:hideMark/>
          </w:tcPr>
          <w:p w14:paraId="225835FB" w14:textId="77777777" w:rsidR="00A42026" w:rsidRPr="00A77AF6" w:rsidRDefault="00A42026" w:rsidP="008914E0">
            <w:pPr>
              <w:spacing w:after="0" w:line="240" w:lineRule="auto"/>
              <w:rPr>
                <w:rFonts w:ascii="Calibri" w:eastAsia="Times New Roman" w:hAnsi="Calibri" w:cs="Calibri"/>
                <w:sz w:val="20"/>
                <w:szCs w:val="20"/>
                <w:lang w:eastAsia="en-GB"/>
              </w:rPr>
            </w:pPr>
            <w:r w:rsidRPr="00A77AF6">
              <w:rPr>
                <w:rFonts w:ascii="Calibri" w:eastAsia="Times New Roman" w:hAnsi="Calibri" w:cs="Calibri"/>
                <w:sz w:val="20"/>
                <w:szCs w:val="20"/>
                <w:lang w:eastAsia="en-GB"/>
              </w:rPr>
              <w:t>2.97</w:t>
            </w:r>
          </w:p>
        </w:tc>
      </w:tr>
      <w:tr w:rsidR="00A42026" w:rsidRPr="00A77AF6" w14:paraId="4E6FEF31" w14:textId="77777777" w:rsidTr="008326F9">
        <w:trPr>
          <w:trHeight w:val="300"/>
        </w:trPr>
        <w:tc>
          <w:tcPr>
            <w:tcW w:w="1696" w:type="dxa"/>
            <w:vAlign w:val="bottom"/>
          </w:tcPr>
          <w:p w14:paraId="651C2CEE" w14:textId="3C8940F7" w:rsidR="00A42026" w:rsidRPr="00A77AF6" w:rsidRDefault="00A42026" w:rsidP="008914E0">
            <w:pPr>
              <w:spacing w:after="0" w:line="240" w:lineRule="auto"/>
              <w:rPr>
                <w:rFonts w:ascii="Calibri" w:hAnsi="Calibri" w:cs="Calibri"/>
                <w:sz w:val="20"/>
                <w:szCs w:val="20"/>
              </w:rPr>
            </w:pPr>
            <w:r w:rsidRPr="00A77AF6">
              <w:rPr>
                <w:rFonts w:ascii="Calibri" w:hAnsi="Calibri" w:cs="Calibri"/>
                <w:sz w:val="20"/>
                <w:szCs w:val="20"/>
              </w:rPr>
              <w:t>74</w:t>
            </w:r>
          </w:p>
        </w:tc>
        <w:tc>
          <w:tcPr>
            <w:tcW w:w="1418" w:type="dxa"/>
            <w:vAlign w:val="bottom"/>
          </w:tcPr>
          <w:p w14:paraId="0A2A8741" w14:textId="283DC786"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hAnsi="Calibri" w:cs="Calibri"/>
                <w:color w:val="000000"/>
                <w:sz w:val="20"/>
                <w:szCs w:val="20"/>
              </w:rPr>
              <w:t>77</w:t>
            </w:r>
          </w:p>
        </w:tc>
        <w:tc>
          <w:tcPr>
            <w:tcW w:w="1276" w:type="dxa"/>
            <w:shd w:val="clear" w:color="auto" w:fill="auto"/>
            <w:noWrap/>
            <w:vAlign w:val="bottom"/>
            <w:hideMark/>
          </w:tcPr>
          <w:p w14:paraId="60565CC3" w14:textId="0D301F39"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0.66</w:t>
            </w:r>
          </w:p>
        </w:tc>
        <w:tc>
          <w:tcPr>
            <w:tcW w:w="1417" w:type="dxa"/>
            <w:shd w:val="clear" w:color="auto" w:fill="auto"/>
            <w:noWrap/>
            <w:vAlign w:val="bottom"/>
            <w:hideMark/>
          </w:tcPr>
          <w:p w14:paraId="6C319754"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0.46</w:t>
            </w:r>
          </w:p>
        </w:tc>
        <w:tc>
          <w:tcPr>
            <w:tcW w:w="1418" w:type="dxa"/>
            <w:shd w:val="clear" w:color="auto" w:fill="auto"/>
            <w:noWrap/>
            <w:vAlign w:val="bottom"/>
            <w:hideMark/>
          </w:tcPr>
          <w:p w14:paraId="45876056"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2.16</w:t>
            </w:r>
          </w:p>
        </w:tc>
        <w:tc>
          <w:tcPr>
            <w:tcW w:w="704" w:type="dxa"/>
            <w:tcBorders>
              <w:left w:val="nil"/>
            </w:tcBorders>
            <w:shd w:val="clear" w:color="auto" w:fill="auto"/>
            <w:noWrap/>
            <w:vAlign w:val="bottom"/>
            <w:hideMark/>
          </w:tcPr>
          <w:p w14:paraId="6C9C9794" w14:textId="77777777" w:rsidR="00A42026" w:rsidRPr="00A77AF6" w:rsidRDefault="00A42026" w:rsidP="008914E0">
            <w:pPr>
              <w:spacing w:after="0" w:line="240" w:lineRule="auto"/>
              <w:rPr>
                <w:rFonts w:ascii="Calibri" w:eastAsia="Times New Roman" w:hAnsi="Calibri" w:cs="Calibri"/>
                <w:sz w:val="20"/>
                <w:szCs w:val="20"/>
                <w:lang w:eastAsia="en-GB"/>
              </w:rPr>
            </w:pPr>
            <w:r w:rsidRPr="00A77AF6">
              <w:rPr>
                <w:rFonts w:ascii="Calibri" w:eastAsia="Times New Roman" w:hAnsi="Calibri" w:cs="Calibri"/>
                <w:sz w:val="20"/>
                <w:szCs w:val="20"/>
                <w:lang w:eastAsia="en-GB"/>
              </w:rPr>
              <w:t>3.28</w:t>
            </w:r>
          </w:p>
        </w:tc>
      </w:tr>
      <w:tr w:rsidR="00A42026" w:rsidRPr="00A77AF6" w14:paraId="714C8D15" w14:textId="77777777" w:rsidTr="008326F9">
        <w:trPr>
          <w:trHeight w:val="300"/>
        </w:trPr>
        <w:tc>
          <w:tcPr>
            <w:tcW w:w="1696" w:type="dxa"/>
            <w:vAlign w:val="bottom"/>
          </w:tcPr>
          <w:p w14:paraId="347A69AB" w14:textId="788E16F9" w:rsidR="00A42026" w:rsidRPr="00A77AF6" w:rsidRDefault="00A42026" w:rsidP="008914E0">
            <w:pPr>
              <w:spacing w:after="0" w:line="240" w:lineRule="auto"/>
              <w:rPr>
                <w:rFonts w:ascii="Calibri" w:hAnsi="Calibri" w:cs="Calibri"/>
                <w:sz w:val="20"/>
                <w:szCs w:val="20"/>
              </w:rPr>
            </w:pPr>
            <w:r w:rsidRPr="00A77AF6">
              <w:rPr>
                <w:rFonts w:ascii="Calibri" w:hAnsi="Calibri" w:cs="Calibri"/>
                <w:sz w:val="20"/>
                <w:szCs w:val="20"/>
              </w:rPr>
              <w:t>77</w:t>
            </w:r>
          </w:p>
        </w:tc>
        <w:tc>
          <w:tcPr>
            <w:tcW w:w="1418" w:type="dxa"/>
            <w:vAlign w:val="bottom"/>
          </w:tcPr>
          <w:p w14:paraId="14D90DB0" w14:textId="04F48AB8"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hAnsi="Calibri" w:cs="Calibri"/>
                <w:color w:val="000000"/>
                <w:sz w:val="20"/>
                <w:szCs w:val="20"/>
              </w:rPr>
              <w:t>84</w:t>
            </w:r>
          </w:p>
        </w:tc>
        <w:tc>
          <w:tcPr>
            <w:tcW w:w="1276" w:type="dxa"/>
            <w:shd w:val="clear" w:color="auto" w:fill="auto"/>
            <w:noWrap/>
            <w:vAlign w:val="bottom"/>
            <w:hideMark/>
          </w:tcPr>
          <w:p w14:paraId="3136248F" w14:textId="21640323"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0.66</w:t>
            </w:r>
          </w:p>
        </w:tc>
        <w:tc>
          <w:tcPr>
            <w:tcW w:w="1417" w:type="dxa"/>
            <w:shd w:val="clear" w:color="auto" w:fill="auto"/>
            <w:noWrap/>
            <w:vAlign w:val="bottom"/>
            <w:hideMark/>
          </w:tcPr>
          <w:p w14:paraId="05256263"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0.92</w:t>
            </w:r>
          </w:p>
        </w:tc>
        <w:tc>
          <w:tcPr>
            <w:tcW w:w="1418" w:type="dxa"/>
            <w:shd w:val="clear" w:color="auto" w:fill="auto"/>
            <w:noWrap/>
            <w:vAlign w:val="bottom"/>
            <w:hideMark/>
          </w:tcPr>
          <w:p w14:paraId="063C1AAE"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1.62</w:t>
            </w:r>
          </w:p>
        </w:tc>
        <w:tc>
          <w:tcPr>
            <w:tcW w:w="704" w:type="dxa"/>
            <w:tcBorders>
              <w:left w:val="nil"/>
            </w:tcBorders>
            <w:shd w:val="clear" w:color="auto" w:fill="auto"/>
            <w:noWrap/>
            <w:vAlign w:val="bottom"/>
            <w:hideMark/>
          </w:tcPr>
          <w:p w14:paraId="61576863" w14:textId="77777777" w:rsidR="00A42026" w:rsidRPr="00A77AF6" w:rsidRDefault="00A42026" w:rsidP="008914E0">
            <w:pPr>
              <w:spacing w:after="0" w:line="240" w:lineRule="auto"/>
              <w:rPr>
                <w:rFonts w:ascii="Calibri" w:eastAsia="Times New Roman" w:hAnsi="Calibri" w:cs="Calibri"/>
                <w:sz w:val="20"/>
                <w:szCs w:val="20"/>
                <w:lang w:eastAsia="en-GB"/>
              </w:rPr>
            </w:pPr>
            <w:r w:rsidRPr="00A77AF6">
              <w:rPr>
                <w:rFonts w:ascii="Calibri" w:eastAsia="Times New Roman" w:hAnsi="Calibri" w:cs="Calibri"/>
                <w:sz w:val="20"/>
                <w:szCs w:val="20"/>
                <w:lang w:eastAsia="en-GB"/>
              </w:rPr>
              <w:t>3.2</w:t>
            </w:r>
          </w:p>
        </w:tc>
      </w:tr>
      <w:tr w:rsidR="00A42026" w:rsidRPr="00A77AF6" w14:paraId="22AD3414" w14:textId="77777777" w:rsidTr="008326F9">
        <w:trPr>
          <w:trHeight w:val="300"/>
        </w:trPr>
        <w:tc>
          <w:tcPr>
            <w:tcW w:w="1696" w:type="dxa"/>
            <w:vAlign w:val="bottom"/>
          </w:tcPr>
          <w:p w14:paraId="1916714B" w14:textId="7E144717" w:rsidR="00A42026" w:rsidRPr="00A77AF6" w:rsidRDefault="00A42026" w:rsidP="008914E0">
            <w:pPr>
              <w:spacing w:after="0" w:line="240" w:lineRule="auto"/>
              <w:rPr>
                <w:rFonts w:ascii="Calibri" w:hAnsi="Calibri" w:cs="Calibri"/>
                <w:sz w:val="20"/>
                <w:szCs w:val="20"/>
              </w:rPr>
            </w:pPr>
            <w:r w:rsidRPr="00A77AF6">
              <w:rPr>
                <w:rFonts w:ascii="Calibri" w:hAnsi="Calibri" w:cs="Calibri"/>
                <w:sz w:val="20"/>
                <w:szCs w:val="20"/>
              </w:rPr>
              <w:t>84</w:t>
            </w:r>
          </w:p>
        </w:tc>
        <w:tc>
          <w:tcPr>
            <w:tcW w:w="1418" w:type="dxa"/>
            <w:vAlign w:val="bottom"/>
          </w:tcPr>
          <w:p w14:paraId="6B2D0FA7" w14:textId="5734A122"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hAnsi="Calibri" w:cs="Calibri"/>
                <w:color w:val="000000"/>
                <w:sz w:val="20"/>
                <w:szCs w:val="20"/>
              </w:rPr>
              <w:t>87</w:t>
            </w:r>
          </w:p>
        </w:tc>
        <w:tc>
          <w:tcPr>
            <w:tcW w:w="1276" w:type="dxa"/>
            <w:shd w:val="clear" w:color="auto" w:fill="auto"/>
            <w:noWrap/>
            <w:vAlign w:val="bottom"/>
            <w:hideMark/>
          </w:tcPr>
          <w:p w14:paraId="0EA9FFED" w14:textId="495C0B5F"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0.66</w:t>
            </w:r>
          </w:p>
        </w:tc>
        <w:tc>
          <w:tcPr>
            <w:tcW w:w="1417" w:type="dxa"/>
            <w:shd w:val="clear" w:color="auto" w:fill="auto"/>
            <w:noWrap/>
            <w:vAlign w:val="bottom"/>
            <w:hideMark/>
          </w:tcPr>
          <w:p w14:paraId="2ACBE810"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0.69</w:t>
            </w:r>
          </w:p>
        </w:tc>
        <w:tc>
          <w:tcPr>
            <w:tcW w:w="1418" w:type="dxa"/>
            <w:shd w:val="clear" w:color="auto" w:fill="auto"/>
            <w:noWrap/>
            <w:vAlign w:val="bottom"/>
            <w:hideMark/>
          </w:tcPr>
          <w:p w14:paraId="6B9273CB"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1.62</w:t>
            </w:r>
          </w:p>
        </w:tc>
        <w:tc>
          <w:tcPr>
            <w:tcW w:w="704" w:type="dxa"/>
            <w:tcBorders>
              <w:left w:val="nil"/>
            </w:tcBorders>
            <w:shd w:val="clear" w:color="auto" w:fill="auto"/>
            <w:noWrap/>
            <w:vAlign w:val="bottom"/>
            <w:hideMark/>
          </w:tcPr>
          <w:p w14:paraId="4BBCBD0B" w14:textId="77777777" w:rsidR="00A42026" w:rsidRPr="00A77AF6" w:rsidRDefault="00A42026" w:rsidP="008914E0">
            <w:pPr>
              <w:spacing w:after="0" w:line="240" w:lineRule="auto"/>
              <w:rPr>
                <w:rFonts w:ascii="Calibri" w:eastAsia="Times New Roman" w:hAnsi="Calibri" w:cs="Calibri"/>
                <w:sz w:val="20"/>
                <w:szCs w:val="20"/>
                <w:lang w:eastAsia="en-GB"/>
              </w:rPr>
            </w:pPr>
            <w:r w:rsidRPr="00A77AF6">
              <w:rPr>
                <w:rFonts w:ascii="Calibri" w:eastAsia="Times New Roman" w:hAnsi="Calibri" w:cs="Calibri"/>
                <w:sz w:val="20"/>
                <w:szCs w:val="20"/>
                <w:lang w:eastAsia="en-GB"/>
              </w:rPr>
              <w:t>2.97</w:t>
            </w:r>
          </w:p>
        </w:tc>
      </w:tr>
      <w:tr w:rsidR="00A42026" w:rsidRPr="00A77AF6" w14:paraId="10095D14" w14:textId="77777777" w:rsidTr="008326F9">
        <w:trPr>
          <w:trHeight w:val="300"/>
        </w:trPr>
        <w:tc>
          <w:tcPr>
            <w:tcW w:w="1696" w:type="dxa"/>
            <w:vAlign w:val="bottom"/>
          </w:tcPr>
          <w:p w14:paraId="12CB9C4A" w14:textId="6AF82847" w:rsidR="00A42026" w:rsidRPr="00A77AF6" w:rsidRDefault="00A42026" w:rsidP="008914E0">
            <w:pPr>
              <w:spacing w:after="0" w:line="240" w:lineRule="auto"/>
              <w:rPr>
                <w:rFonts w:ascii="Calibri" w:hAnsi="Calibri" w:cs="Calibri"/>
                <w:sz w:val="20"/>
                <w:szCs w:val="20"/>
              </w:rPr>
            </w:pPr>
            <w:r w:rsidRPr="00A77AF6">
              <w:rPr>
                <w:rFonts w:ascii="Calibri" w:hAnsi="Calibri" w:cs="Calibri"/>
                <w:sz w:val="20"/>
                <w:szCs w:val="20"/>
              </w:rPr>
              <w:t>87</w:t>
            </w:r>
          </w:p>
        </w:tc>
        <w:tc>
          <w:tcPr>
            <w:tcW w:w="1418" w:type="dxa"/>
            <w:vAlign w:val="bottom"/>
          </w:tcPr>
          <w:p w14:paraId="7D57F427" w14:textId="0D04F8DB"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hAnsi="Calibri" w:cs="Calibri"/>
                <w:color w:val="000000"/>
                <w:sz w:val="20"/>
                <w:szCs w:val="20"/>
              </w:rPr>
              <w:t>93</w:t>
            </w:r>
          </w:p>
        </w:tc>
        <w:tc>
          <w:tcPr>
            <w:tcW w:w="1276" w:type="dxa"/>
            <w:shd w:val="clear" w:color="auto" w:fill="auto"/>
            <w:noWrap/>
            <w:vAlign w:val="bottom"/>
            <w:hideMark/>
          </w:tcPr>
          <w:p w14:paraId="4DEDE36D" w14:textId="3AF8FEE9"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0.66</w:t>
            </w:r>
          </w:p>
        </w:tc>
        <w:tc>
          <w:tcPr>
            <w:tcW w:w="1417" w:type="dxa"/>
            <w:shd w:val="clear" w:color="auto" w:fill="auto"/>
            <w:noWrap/>
            <w:vAlign w:val="bottom"/>
            <w:hideMark/>
          </w:tcPr>
          <w:p w14:paraId="3A3AA8AF"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0.69</w:t>
            </w:r>
          </w:p>
        </w:tc>
        <w:tc>
          <w:tcPr>
            <w:tcW w:w="1418" w:type="dxa"/>
            <w:shd w:val="clear" w:color="auto" w:fill="auto"/>
            <w:noWrap/>
            <w:vAlign w:val="bottom"/>
            <w:hideMark/>
          </w:tcPr>
          <w:p w14:paraId="7766247A"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1.62</w:t>
            </w:r>
          </w:p>
        </w:tc>
        <w:tc>
          <w:tcPr>
            <w:tcW w:w="704" w:type="dxa"/>
            <w:tcBorders>
              <w:left w:val="nil"/>
            </w:tcBorders>
            <w:shd w:val="clear" w:color="auto" w:fill="auto"/>
            <w:noWrap/>
            <w:vAlign w:val="bottom"/>
            <w:hideMark/>
          </w:tcPr>
          <w:p w14:paraId="1C9B61F3" w14:textId="77777777" w:rsidR="00A42026" w:rsidRPr="00A77AF6" w:rsidRDefault="00A42026" w:rsidP="008914E0">
            <w:pPr>
              <w:spacing w:after="0" w:line="240" w:lineRule="auto"/>
              <w:rPr>
                <w:rFonts w:ascii="Calibri" w:eastAsia="Times New Roman" w:hAnsi="Calibri" w:cs="Calibri"/>
                <w:sz w:val="20"/>
                <w:szCs w:val="20"/>
                <w:lang w:eastAsia="en-GB"/>
              </w:rPr>
            </w:pPr>
            <w:r w:rsidRPr="00A77AF6">
              <w:rPr>
                <w:rFonts w:ascii="Calibri" w:eastAsia="Times New Roman" w:hAnsi="Calibri" w:cs="Calibri"/>
                <w:sz w:val="20"/>
                <w:szCs w:val="20"/>
                <w:lang w:eastAsia="en-GB"/>
              </w:rPr>
              <w:t>2.97</w:t>
            </w:r>
          </w:p>
        </w:tc>
      </w:tr>
      <w:tr w:rsidR="00A42026" w:rsidRPr="00A77AF6" w14:paraId="68C66C09" w14:textId="77777777" w:rsidTr="008326F9">
        <w:trPr>
          <w:trHeight w:val="300"/>
        </w:trPr>
        <w:tc>
          <w:tcPr>
            <w:tcW w:w="1696" w:type="dxa"/>
            <w:vAlign w:val="bottom"/>
          </w:tcPr>
          <w:p w14:paraId="72995B08" w14:textId="4D2E0D6D" w:rsidR="00A42026" w:rsidRPr="00A77AF6" w:rsidRDefault="00A42026" w:rsidP="008914E0">
            <w:pPr>
              <w:spacing w:after="0" w:line="240" w:lineRule="auto"/>
              <w:rPr>
                <w:rFonts w:ascii="Calibri" w:hAnsi="Calibri" w:cs="Calibri"/>
                <w:sz w:val="20"/>
                <w:szCs w:val="20"/>
              </w:rPr>
            </w:pPr>
            <w:r w:rsidRPr="00A77AF6">
              <w:rPr>
                <w:rFonts w:ascii="Calibri" w:hAnsi="Calibri" w:cs="Calibri"/>
                <w:sz w:val="20"/>
                <w:szCs w:val="20"/>
              </w:rPr>
              <w:t>93</w:t>
            </w:r>
          </w:p>
        </w:tc>
        <w:tc>
          <w:tcPr>
            <w:tcW w:w="1418" w:type="dxa"/>
            <w:vAlign w:val="bottom"/>
          </w:tcPr>
          <w:p w14:paraId="3277D1C0" w14:textId="2837753D"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hAnsi="Calibri" w:cs="Calibri"/>
                <w:color w:val="000000"/>
                <w:sz w:val="20"/>
                <w:szCs w:val="20"/>
              </w:rPr>
              <w:t>103</w:t>
            </w:r>
          </w:p>
        </w:tc>
        <w:tc>
          <w:tcPr>
            <w:tcW w:w="1276" w:type="dxa"/>
            <w:shd w:val="clear" w:color="auto" w:fill="auto"/>
            <w:noWrap/>
            <w:vAlign w:val="bottom"/>
            <w:hideMark/>
          </w:tcPr>
          <w:p w14:paraId="5AB0B769" w14:textId="1E2FFFDF"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0.66</w:t>
            </w:r>
          </w:p>
        </w:tc>
        <w:tc>
          <w:tcPr>
            <w:tcW w:w="1417" w:type="dxa"/>
            <w:shd w:val="clear" w:color="auto" w:fill="auto"/>
            <w:noWrap/>
            <w:vAlign w:val="bottom"/>
            <w:hideMark/>
          </w:tcPr>
          <w:p w14:paraId="4879145B"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0.69</w:t>
            </w:r>
          </w:p>
        </w:tc>
        <w:tc>
          <w:tcPr>
            <w:tcW w:w="1418" w:type="dxa"/>
            <w:shd w:val="clear" w:color="auto" w:fill="auto"/>
            <w:noWrap/>
            <w:vAlign w:val="bottom"/>
            <w:hideMark/>
          </w:tcPr>
          <w:p w14:paraId="680EBF66"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2.16</w:t>
            </w:r>
          </w:p>
        </w:tc>
        <w:tc>
          <w:tcPr>
            <w:tcW w:w="704" w:type="dxa"/>
            <w:tcBorders>
              <w:left w:val="nil"/>
            </w:tcBorders>
            <w:shd w:val="clear" w:color="auto" w:fill="auto"/>
            <w:noWrap/>
            <w:vAlign w:val="bottom"/>
            <w:hideMark/>
          </w:tcPr>
          <w:p w14:paraId="39ED89A6" w14:textId="77777777" w:rsidR="00A42026" w:rsidRPr="00A77AF6" w:rsidRDefault="00A42026" w:rsidP="008914E0">
            <w:pPr>
              <w:spacing w:after="0" w:line="240" w:lineRule="auto"/>
              <w:rPr>
                <w:rFonts w:ascii="Calibri" w:eastAsia="Times New Roman" w:hAnsi="Calibri" w:cs="Calibri"/>
                <w:sz w:val="20"/>
                <w:szCs w:val="20"/>
                <w:lang w:eastAsia="en-GB"/>
              </w:rPr>
            </w:pPr>
            <w:r w:rsidRPr="00A77AF6">
              <w:rPr>
                <w:rFonts w:ascii="Calibri" w:eastAsia="Times New Roman" w:hAnsi="Calibri" w:cs="Calibri"/>
                <w:sz w:val="20"/>
                <w:szCs w:val="20"/>
                <w:lang w:eastAsia="en-GB"/>
              </w:rPr>
              <w:t>3.51</w:t>
            </w:r>
          </w:p>
        </w:tc>
      </w:tr>
      <w:tr w:rsidR="00A42026" w:rsidRPr="00A77AF6" w14:paraId="1F111B7A" w14:textId="77777777" w:rsidTr="008326F9">
        <w:trPr>
          <w:trHeight w:val="300"/>
        </w:trPr>
        <w:tc>
          <w:tcPr>
            <w:tcW w:w="1696" w:type="dxa"/>
            <w:vAlign w:val="bottom"/>
          </w:tcPr>
          <w:p w14:paraId="2015B882" w14:textId="7AC5DC25" w:rsidR="00A42026" w:rsidRPr="00A77AF6" w:rsidRDefault="00A42026" w:rsidP="008914E0">
            <w:pPr>
              <w:spacing w:after="0" w:line="240" w:lineRule="auto"/>
              <w:rPr>
                <w:rFonts w:ascii="Calibri" w:hAnsi="Calibri" w:cs="Calibri"/>
                <w:sz w:val="20"/>
                <w:szCs w:val="20"/>
              </w:rPr>
            </w:pPr>
            <w:r w:rsidRPr="00A77AF6">
              <w:rPr>
                <w:rFonts w:ascii="Calibri" w:hAnsi="Calibri" w:cs="Calibri"/>
                <w:sz w:val="20"/>
                <w:szCs w:val="20"/>
              </w:rPr>
              <w:t>103</w:t>
            </w:r>
          </w:p>
        </w:tc>
        <w:tc>
          <w:tcPr>
            <w:tcW w:w="1418" w:type="dxa"/>
            <w:vAlign w:val="bottom"/>
          </w:tcPr>
          <w:p w14:paraId="26F6986D" w14:textId="004632C1"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hAnsi="Calibri" w:cs="Calibri"/>
                <w:color w:val="000000"/>
                <w:sz w:val="20"/>
                <w:szCs w:val="20"/>
              </w:rPr>
              <w:t>105</w:t>
            </w:r>
          </w:p>
        </w:tc>
        <w:tc>
          <w:tcPr>
            <w:tcW w:w="1276" w:type="dxa"/>
            <w:shd w:val="clear" w:color="auto" w:fill="auto"/>
            <w:noWrap/>
            <w:vAlign w:val="bottom"/>
            <w:hideMark/>
          </w:tcPr>
          <w:p w14:paraId="1F2B8118" w14:textId="47691FD2"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0.66</w:t>
            </w:r>
          </w:p>
        </w:tc>
        <w:tc>
          <w:tcPr>
            <w:tcW w:w="1417" w:type="dxa"/>
            <w:shd w:val="clear" w:color="auto" w:fill="auto"/>
            <w:noWrap/>
            <w:vAlign w:val="bottom"/>
            <w:hideMark/>
          </w:tcPr>
          <w:p w14:paraId="630437CE"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0.69</w:t>
            </w:r>
          </w:p>
        </w:tc>
        <w:tc>
          <w:tcPr>
            <w:tcW w:w="1418" w:type="dxa"/>
            <w:shd w:val="clear" w:color="auto" w:fill="auto"/>
            <w:noWrap/>
            <w:vAlign w:val="bottom"/>
            <w:hideMark/>
          </w:tcPr>
          <w:p w14:paraId="33DDBB9E"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1.62</w:t>
            </w:r>
          </w:p>
        </w:tc>
        <w:tc>
          <w:tcPr>
            <w:tcW w:w="704" w:type="dxa"/>
            <w:tcBorders>
              <w:left w:val="nil"/>
            </w:tcBorders>
            <w:shd w:val="clear" w:color="auto" w:fill="auto"/>
            <w:noWrap/>
            <w:vAlign w:val="bottom"/>
            <w:hideMark/>
          </w:tcPr>
          <w:p w14:paraId="54C8311D" w14:textId="77777777" w:rsidR="00A42026" w:rsidRPr="00A77AF6" w:rsidRDefault="00A42026" w:rsidP="008914E0">
            <w:pPr>
              <w:spacing w:after="0" w:line="240" w:lineRule="auto"/>
              <w:rPr>
                <w:rFonts w:ascii="Calibri" w:eastAsia="Times New Roman" w:hAnsi="Calibri" w:cs="Calibri"/>
                <w:sz w:val="20"/>
                <w:szCs w:val="20"/>
                <w:lang w:eastAsia="en-GB"/>
              </w:rPr>
            </w:pPr>
            <w:r w:rsidRPr="00A77AF6">
              <w:rPr>
                <w:rFonts w:ascii="Calibri" w:eastAsia="Times New Roman" w:hAnsi="Calibri" w:cs="Calibri"/>
                <w:sz w:val="20"/>
                <w:szCs w:val="20"/>
                <w:lang w:eastAsia="en-GB"/>
              </w:rPr>
              <w:t>2.97</w:t>
            </w:r>
          </w:p>
        </w:tc>
      </w:tr>
      <w:tr w:rsidR="00A42026" w:rsidRPr="00A77AF6" w14:paraId="3349C4E8" w14:textId="77777777" w:rsidTr="008326F9">
        <w:trPr>
          <w:trHeight w:val="300"/>
        </w:trPr>
        <w:tc>
          <w:tcPr>
            <w:tcW w:w="1696" w:type="dxa"/>
            <w:vAlign w:val="bottom"/>
          </w:tcPr>
          <w:p w14:paraId="40B70EBF" w14:textId="139B7792" w:rsidR="00A42026" w:rsidRPr="00A77AF6" w:rsidRDefault="00A42026" w:rsidP="008914E0">
            <w:pPr>
              <w:spacing w:after="0" w:line="240" w:lineRule="auto"/>
              <w:rPr>
                <w:rFonts w:ascii="Calibri" w:hAnsi="Calibri" w:cs="Calibri"/>
                <w:sz w:val="20"/>
                <w:szCs w:val="20"/>
              </w:rPr>
            </w:pPr>
            <w:r w:rsidRPr="00A77AF6">
              <w:rPr>
                <w:rFonts w:ascii="Calibri" w:hAnsi="Calibri" w:cs="Calibri"/>
                <w:sz w:val="20"/>
                <w:szCs w:val="20"/>
              </w:rPr>
              <w:t>105</w:t>
            </w:r>
          </w:p>
        </w:tc>
        <w:tc>
          <w:tcPr>
            <w:tcW w:w="1418" w:type="dxa"/>
            <w:vAlign w:val="bottom"/>
          </w:tcPr>
          <w:p w14:paraId="4A79616A" w14:textId="7C541503"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hAnsi="Calibri" w:cs="Calibri"/>
                <w:color w:val="000000"/>
                <w:sz w:val="20"/>
                <w:szCs w:val="20"/>
              </w:rPr>
              <w:t>109</w:t>
            </w:r>
          </w:p>
        </w:tc>
        <w:tc>
          <w:tcPr>
            <w:tcW w:w="1276" w:type="dxa"/>
            <w:shd w:val="clear" w:color="auto" w:fill="auto"/>
            <w:noWrap/>
            <w:vAlign w:val="bottom"/>
            <w:hideMark/>
          </w:tcPr>
          <w:p w14:paraId="61867729" w14:textId="06D23CF6"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0.44</w:t>
            </w:r>
          </w:p>
        </w:tc>
        <w:tc>
          <w:tcPr>
            <w:tcW w:w="1417" w:type="dxa"/>
            <w:shd w:val="clear" w:color="auto" w:fill="auto"/>
            <w:noWrap/>
            <w:vAlign w:val="bottom"/>
            <w:hideMark/>
          </w:tcPr>
          <w:p w14:paraId="7E964CC3"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0.46</w:t>
            </w:r>
          </w:p>
        </w:tc>
        <w:tc>
          <w:tcPr>
            <w:tcW w:w="1418" w:type="dxa"/>
            <w:shd w:val="clear" w:color="auto" w:fill="auto"/>
            <w:noWrap/>
            <w:vAlign w:val="bottom"/>
            <w:hideMark/>
          </w:tcPr>
          <w:p w14:paraId="670BD21E"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2.16</w:t>
            </w:r>
          </w:p>
        </w:tc>
        <w:tc>
          <w:tcPr>
            <w:tcW w:w="704" w:type="dxa"/>
            <w:tcBorders>
              <w:left w:val="nil"/>
            </w:tcBorders>
            <w:shd w:val="clear" w:color="auto" w:fill="auto"/>
            <w:noWrap/>
            <w:vAlign w:val="bottom"/>
            <w:hideMark/>
          </w:tcPr>
          <w:p w14:paraId="57E2CFC6" w14:textId="77777777" w:rsidR="00A42026" w:rsidRPr="00A77AF6" w:rsidRDefault="00A42026" w:rsidP="008914E0">
            <w:pPr>
              <w:spacing w:after="0" w:line="240" w:lineRule="auto"/>
              <w:rPr>
                <w:rFonts w:ascii="Calibri" w:eastAsia="Times New Roman" w:hAnsi="Calibri" w:cs="Calibri"/>
                <w:sz w:val="20"/>
                <w:szCs w:val="20"/>
                <w:lang w:eastAsia="en-GB"/>
              </w:rPr>
            </w:pPr>
            <w:r w:rsidRPr="00A77AF6">
              <w:rPr>
                <w:rFonts w:ascii="Calibri" w:eastAsia="Times New Roman" w:hAnsi="Calibri" w:cs="Calibri"/>
                <w:sz w:val="20"/>
                <w:szCs w:val="20"/>
                <w:lang w:eastAsia="en-GB"/>
              </w:rPr>
              <w:t>3.06</w:t>
            </w:r>
          </w:p>
        </w:tc>
      </w:tr>
      <w:tr w:rsidR="00A42026" w:rsidRPr="00A77AF6" w14:paraId="38F51D27" w14:textId="77777777" w:rsidTr="008326F9">
        <w:trPr>
          <w:trHeight w:val="300"/>
        </w:trPr>
        <w:tc>
          <w:tcPr>
            <w:tcW w:w="1696" w:type="dxa"/>
            <w:vAlign w:val="bottom"/>
          </w:tcPr>
          <w:p w14:paraId="0A2C1EBA" w14:textId="4E46E6E4" w:rsidR="00A42026" w:rsidRPr="00A77AF6" w:rsidRDefault="00A42026" w:rsidP="008914E0">
            <w:pPr>
              <w:spacing w:after="0" w:line="240" w:lineRule="auto"/>
              <w:rPr>
                <w:rFonts w:ascii="Calibri" w:hAnsi="Calibri" w:cs="Calibri"/>
                <w:sz w:val="20"/>
                <w:szCs w:val="20"/>
              </w:rPr>
            </w:pPr>
            <w:r w:rsidRPr="00A77AF6">
              <w:rPr>
                <w:rFonts w:ascii="Calibri" w:hAnsi="Calibri" w:cs="Calibri"/>
                <w:sz w:val="20"/>
                <w:szCs w:val="20"/>
              </w:rPr>
              <w:t>111</w:t>
            </w:r>
          </w:p>
        </w:tc>
        <w:tc>
          <w:tcPr>
            <w:tcW w:w="1418" w:type="dxa"/>
            <w:vAlign w:val="bottom"/>
          </w:tcPr>
          <w:p w14:paraId="7B079CCD" w14:textId="49BD9C90"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hAnsi="Calibri" w:cs="Calibri"/>
                <w:color w:val="000000"/>
                <w:sz w:val="20"/>
                <w:szCs w:val="20"/>
              </w:rPr>
              <w:t>111</w:t>
            </w:r>
          </w:p>
        </w:tc>
        <w:tc>
          <w:tcPr>
            <w:tcW w:w="1276" w:type="dxa"/>
            <w:shd w:val="clear" w:color="auto" w:fill="auto"/>
            <w:noWrap/>
            <w:vAlign w:val="bottom"/>
            <w:hideMark/>
          </w:tcPr>
          <w:p w14:paraId="3E6C8E1C" w14:textId="5D28A325"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0.44</w:t>
            </w:r>
          </w:p>
        </w:tc>
        <w:tc>
          <w:tcPr>
            <w:tcW w:w="1417" w:type="dxa"/>
            <w:shd w:val="clear" w:color="auto" w:fill="auto"/>
            <w:noWrap/>
            <w:vAlign w:val="bottom"/>
            <w:hideMark/>
          </w:tcPr>
          <w:p w14:paraId="65949BB7"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0.92</w:t>
            </w:r>
          </w:p>
        </w:tc>
        <w:tc>
          <w:tcPr>
            <w:tcW w:w="1418" w:type="dxa"/>
            <w:shd w:val="clear" w:color="auto" w:fill="auto"/>
            <w:noWrap/>
            <w:vAlign w:val="bottom"/>
            <w:hideMark/>
          </w:tcPr>
          <w:p w14:paraId="1126A9A1"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1.62</w:t>
            </w:r>
          </w:p>
        </w:tc>
        <w:tc>
          <w:tcPr>
            <w:tcW w:w="704" w:type="dxa"/>
            <w:tcBorders>
              <w:left w:val="nil"/>
            </w:tcBorders>
            <w:shd w:val="clear" w:color="auto" w:fill="auto"/>
            <w:noWrap/>
            <w:vAlign w:val="bottom"/>
            <w:hideMark/>
          </w:tcPr>
          <w:p w14:paraId="08156CA1" w14:textId="77777777" w:rsidR="00A42026" w:rsidRPr="00A77AF6" w:rsidRDefault="00A42026" w:rsidP="008914E0">
            <w:pPr>
              <w:spacing w:after="0" w:line="240" w:lineRule="auto"/>
              <w:rPr>
                <w:rFonts w:ascii="Calibri" w:eastAsia="Times New Roman" w:hAnsi="Calibri" w:cs="Calibri"/>
                <w:sz w:val="20"/>
                <w:szCs w:val="20"/>
                <w:lang w:eastAsia="en-GB"/>
              </w:rPr>
            </w:pPr>
            <w:r w:rsidRPr="00A77AF6">
              <w:rPr>
                <w:rFonts w:ascii="Calibri" w:eastAsia="Times New Roman" w:hAnsi="Calibri" w:cs="Calibri"/>
                <w:sz w:val="20"/>
                <w:szCs w:val="20"/>
                <w:lang w:eastAsia="en-GB"/>
              </w:rPr>
              <w:t>2.98</w:t>
            </w:r>
          </w:p>
        </w:tc>
      </w:tr>
      <w:tr w:rsidR="00A42026" w:rsidRPr="00A77AF6" w14:paraId="6B2DEC4A" w14:textId="77777777" w:rsidTr="008326F9">
        <w:trPr>
          <w:trHeight w:val="315"/>
        </w:trPr>
        <w:tc>
          <w:tcPr>
            <w:tcW w:w="1696" w:type="dxa"/>
            <w:vAlign w:val="bottom"/>
          </w:tcPr>
          <w:p w14:paraId="6EA41BD3" w14:textId="1114A447" w:rsidR="00A42026" w:rsidRPr="00A77AF6" w:rsidRDefault="00A42026" w:rsidP="008914E0">
            <w:pPr>
              <w:spacing w:after="0" w:line="240" w:lineRule="auto"/>
              <w:rPr>
                <w:rFonts w:ascii="Calibri" w:hAnsi="Calibri" w:cs="Calibri"/>
                <w:sz w:val="20"/>
                <w:szCs w:val="20"/>
              </w:rPr>
            </w:pPr>
            <w:r w:rsidRPr="00A77AF6">
              <w:rPr>
                <w:rFonts w:ascii="Calibri" w:hAnsi="Calibri" w:cs="Calibri"/>
                <w:sz w:val="20"/>
                <w:szCs w:val="20"/>
              </w:rPr>
              <w:t>114</w:t>
            </w:r>
          </w:p>
        </w:tc>
        <w:tc>
          <w:tcPr>
            <w:tcW w:w="1418" w:type="dxa"/>
            <w:vAlign w:val="bottom"/>
          </w:tcPr>
          <w:p w14:paraId="44AEBE22" w14:textId="59A373F3"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hAnsi="Calibri" w:cs="Calibri"/>
                <w:color w:val="000000"/>
                <w:sz w:val="20"/>
                <w:szCs w:val="20"/>
              </w:rPr>
              <w:t>114</w:t>
            </w:r>
          </w:p>
        </w:tc>
        <w:tc>
          <w:tcPr>
            <w:tcW w:w="1276" w:type="dxa"/>
            <w:shd w:val="clear" w:color="auto" w:fill="auto"/>
            <w:noWrap/>
            <w:vAlign w:val="bottom"/>
            <w:hideMark/>
          </w:tcPr>
          <w:p w14:paraId="4B4457E0" w14:textId="7BDF683C"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0.66</w:t>
            </w:r>
          </w:p>
        </w:tc>
        <w:tc>
          <w:tcPr>
            <w:tcW w:w="1417" w:type="dxa"/>
            <w:shd w:val="clear" w:color="auto" w:fill="auto"/>
            <w:noWrap/>
            <w:vAlign w:val="bottom"/>
            <w:hideMark/>
          </w:tcPr>
          <w:p w14:paraId="17EC06F7"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0.69</w:t>
            </w:r>
          </w:p>
        </w:tc>
        <w:tc>
          <w:tcPr>
            <w:tcW w:w="1418" w:type="dxa"/>
            <w:shd w:val="clear" w:color="auto" w:fill="auto"/>
            <w:noWrap/>
            <w:vAlign w:val="bottom"/>
            <w:hideMark/>
          </w:tcPr>
          <w:p w14:paraId="54D3FC5C"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1.62</w:t>
            </w:r>
          </w:p>
        </w:tc>
        <w:tc>
          <w:tcPr>
            <w:tcW w:w="704" w:type="dxa"/>
            <w:tcBorders>
              <w:left w:val="nil"/>
            </w:tcBorders>
            <w:shd w:val="clear" w:color="auto" w:fill="auto"/>
            <w:noWrap/>
            <w:vAlign w:val="bottom"/>
            <w:hideMark/>
          </w:tcPr>
          <w:p w14:paraId="06F474B5" w14:textId="77777777" w:rsidR="00A42026" w:rsidRPr="00A77AF6" w:rsidRDefault="00A42026" w:rsidP="008914E0">
            <w:pPr>
              <w:spacing w:after="0" w:line="240" w:lineRule="auto"/>
              <w:rPr>
                <w:rFonts w:ascii="Calibri" w:eastAsia="Times New Roman" w:hAnsi="Calibri" w:cs="Calibri"/>
                <w:sz w:val="20"/>
                <w:szCs w:val="20"/>
                <w:lang w:eastAsia="en-GB"/>
              </w:rPr>
            </w:pPr>
            <w:r w:rsidRPr="00A77AF6">
              <w:rPr>
                <w:rFonts w:ascii="Calibri" w:eastAsia="Times New Roman" w:hAnsi="Calibri" w:cs="Calibri"/>
                <w:sz w:val="20"/>
                <w:szCs w:val="20"/>
                <w:lang w:eastAsia="en-GB"/>
              </w:rPr>
              <w:t>2.97</w:t>
            </w:r>
          </w:p>
        </w:tc>
      </w:tr>
      <w:tr w:rsidR="00A42026" w:rsidRPr="00A77AF6" w14:paraId="40046654" w14:textId="77777777" w:rsidTr="008326F9">
        <w:trPr>
          <w:trHeight w:val="315"/>
        </w:trPr>
        <w:tc>
          <w:tcPr>
            <w:tcW w:w="1696" w:type="dxa"/>
            <w:vAlign w:val="bottom"/>
          </w:tcPr>
          <w:p w14:paraId="418EAB1F" w14:textId="5FEEFD66" w:rsidR="00A42026" w:rsidRPr="00A77AF6" w:rsidRDefault="00A42026" w:rsidP="008914E0">
            <w:pPr>
              <w:spacing w:after="0" w:line="240" w:lineRule="auto"/>
              <w:rPr>
                <w:rFonts w:ascii="Calibri" w:hAnsi="Calibri" w:cs="Calibri"/>
                <w:sz w:val="20"/>
                <w:szCs w:val="20"/>
              </w:rPr>
            </w:pPr>
            <w:r w:rsidRPr="00A77AF6">
              <w:rPr>
                <w:rFonts w:ascii="Calibri" w:hAnsi="Calibri" w:cs="Calibri"/>
                <w:sz w:val="20"/>
                <w:szCs w:val="20"/>
              </w:rPr>
              <w:t>116</w:t>
            </w:r>
          </w:p>
        </w:tc>
        <w:tc>
          <w:tcPr>
            <w:tcW w:w="1418" w:type="dxa"/>
            <w:vAlign w:val="bottom"/>
          </w:tcPr>
          <w:p w14:paraId="186E5480" w14:textId="28CC52BB"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hAnsi="Calibri" w:cs="Calibri"/>
                <w:color w:val="000000"/>
                <w:sz w:val="20"/>
                <w:szCs w:val="20"/>
              </w:rPr>
              <w:t>116</w:t>
            </w:r>
          </w:p>
        </w:tc>
        <w:tc>
          <w:tcPr>
            <w:tcW w:w="1276" w:type="dxa"/>
            <w:shd w:val="clear" w:color="auto" w:fill="auto"/>
            <w:noWrap/>
            <w:vAlign w:val="bottom"/>
            <w:hideMark/>
          </w:tcPr>
          <w:p w14:paraId="5BCEB6FC" w14:textId="1353FF1A"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0.66</w:t>
            </w:r>
          </w:p>
        </w:tc>
        <w:tc>
          <w:tcPr>
            <w:tcW w:w="1417" w:type="dxa"/>
            <w:shd w:val="clear" w:color="auto" w:fill="auto"/>
            <w:noWrap/>
            <w:vAlign w:val="bottom"/>
            <w:hideMark/>
          </w:tcPr>
          <w:p w14:paraId="244ED52A"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0.69</w:t>
            </w:r>
          </w:p>
        </w:tc>
        <w:tc>
          <w:tcPr>
            <w:tcW w:w="1418" w:type="dxa"/>
            <w:shd w:val="clear" w:color="auto" w:fill="auto"/>
            <w:noWrap/>
            <w:vAlign w:val="bottom"/>
            <w:hideMark/>
          </w:tcPr>
          <w:p w14:paraId="7F546A25"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1.62</w:t>
            </w:r>
          </w:p>
        </w:tc>
        <w:tc>
          <w:tcPr>
            <w:tcW w:w="704" w:type="dxa"/>
            <w:tcBorders>
              <w:left w:val="nil"/>
            </w:tcBorders>
            <w:shd w:val="clear" w:color="auto" w:fill="auto"/>
            <w:noWrap/>
            <w:vAlign w:val="bottom"/>
            <w:hideMark/>
          </w:tcPr>
          <w:p w14:paraId="1341025D" w14:textId="77777777" w:rsidR="00A42026" w:rsidRPr="00A77AF6" w:rsidRDefault="00A42026" w:rsidP="008914E0">
            <w:pPr>
              <w:spacing w:after="0" w:line="240" w:lineRule="auto"/>
              <w:rPr>
                <w:rFonts w:ascii="Calibri" w:eastAsia="Times New Roman" w:hAnsi="Calibri" w:cs="Calibri"/>
                <w:sz w:val="20"/>
                <w:szCs w:val="20"/>
                <w:lang w:eastAsia="en-GB"/>
              </w:rPr>
            </w:pPr>
            <w:r w:rsidRPr="00A77AF6">
              <w:rPr>
                <w:rFonts w:ascii="Calibri" w:eastAsia="Times New Roman" w:hAnsi="Calibri" w:cs="Calibri"/>
                <w:sz w:val="20"/>
                <w:szCs w:val="20"/>
                <w:lang w:eastAsia="en-GB"/>
              </w:rPr>
              <w:t>2.97</w:t>
            </w:r>
          </w:p>
        </w:tc>
      </w:tr>
      <w:tr w:rsidR="00A42026" w:rsidRPr="00A77AF6" w14:paraId="0251EF86" w14:textId="77777777" w:rsidTr="008326F9">
        <w:trPr>
          <w:trHeight w:val="315"/>
        </w:trPr>
        <w:tc>
          <w:tcPr>
            <w:tcW w:w="1696" w:type="dxa"/>
            <w:vAlign w:val="bottom"/>
          </w:tcPr>
          <w:p w14:paraId="6BDC795D" w14:textId="6E7C2870" w:rsidR="00A42026" w:rsidRPr="00A77AF6" w:rsidRDefault="00A42026" w:rsidP="008914E0">
            <w:pPr>
              <w:spacing w:after="0" w:line="240" w:lineRule="auto"/>
              <w:rPr>
                <w:rFonts w:ascii="Calibri" w:hAnsi="Calibri" w:cs="Calibri"/>
                <w:sz w:val="20"/>
                <w:szCs w:val="20"/>
              </w:rPr>
            </w:pPr>
            <w:r w:rsidRPr="00A77AF6">
              <w:rPr>
                <w:rFonts w:ascii="Calibri" w:hAnsi="Calibri" w:cs="Calibri"/>
                <w:sz w:val="20"/>
                <w:szCs w:val="20"/>
              </w:rPr>
              <w:t>128</w:t>
            </w:r>
          </w:p>
        </w:tc>
        <w:tc>
          <w:tcPr>
            <w:tcW w:w="1418" w:type="dxa"/>
            <w:vAlign w:val="bottom"/>
          </w:tcPr>
          <w:p w14:paraId="1DA0FEE2" w14:textId="1947A04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hAnsi="Calibri" w:cs="Calibri"/>
                <w:color w:val="000000"/>
                <w:sz w:val="20"/>
                <w:szCs w:val="20"/>
              </w:rPr>
              <w:t>128</w:t>
            </w:r>
          </w:p>
        </w:tc>
        <w:tc>
          <w:tcPr>
            <w:tcW w:w="1276" w:type="dxa"/>
            <w:shd w:val="clear" w:color="auto" w:fill="auto"/>
            <w:noWrap/>
            <w:vAlign w:val="bottom"/>
            <w:hideMark/>
          </w:tcPr>
          <w:p w14:paraId="24DF6A29" w14:textId="6D6A2F2F"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0.44</w:t>
            </w:r>
          </w:p>
        </w:tc>
        <w:tc>
          <w:tcPr>
            <w:tcW w:w="1417" w:type="dxa"/>
            <w:shd w:val="clear" w:color="auto" w:fill="auto"/>
            <w:noWrap/>
            <w:vAlign w:val="bottom"/>
            <w:hideMark/>
          </w:tcPr>
          <w:p w14:paraId="29F87C8A"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0.92</w:t>
            </w:r>
          </w:p>
        </w:tc>
        <w:tc>
          <w:tcPr>
            <w:tcW w:w="1418" w:type="dxa"/>
            <w:shd w:val="clear" w:color="auto" w:fill="auto"/>
            <w:noWrap/>
            <w:vAlign w:val="bottom"/>
            <w:hideMark/>
          </w:tcPr>
          <w:p w14:paraId="3CCE8536"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1.62</w:t>
            </w:r>
          </w:p>
        </w:tc>
        <w:tc>
          <w:tcPr>
            <w:tcW w:w="704" w:type="dxa"/>
            <w:tcBorders>
              <w:left w:val="nil"/>
            </w:tcBorders>
            <w:shd w:val="clear" w:color="auto" w:fill="auto"/>
            <w:noWrap/>
            <w:vAlign w:val="bottom"/>
            <w:hideMark/>
          </w:tcPr>
          <w:p w14:paraId="7EDD13EA" w14:textId="77777777" w:rsidR="00A42026" w:rsidRPr="00A77AF6" w:rsidRDefault="00A42026" w:rsidP="008914E0">
            <w:pPr>
              <w:spacing w:after="0" w:line="240" w:lineRule="auto"/>
              <w:rPr>
                <w:rFonts w:ascii="Calibri" w:eastAsia="Times New Roman" w:hAnsi="Calibri" w:cs="Calibri"/>
                <w:sz w:val="20"/>
                <w:szCs w:val="20"/>
                <w:lang w:eastAsia="en-GB"/>
              </w:rPr>
            </w:pPr>
            <w:r w:rsidRPr="00A77AF6">
              <w:rPr>
                <w:rFonts w:ascii="Calibri" w:eastAsia="Times New Roman" w:hAnsi="Calibri" w:cs="Calibri"/>
                <w:sz w:val="20"/>
                <w:szCs w:val="20"/>
                <w:lang w:eastAsia="en-GB"/>
              </w:rPr>
              <w:t>2.98</w:t>
            </w:r>
          </w:p>
        </w:tc>
      </w:tr>
      <w:tr w:rsidR="00A42026" w:rsidRPr="00A77AF6" w14:paraId="708D2068" w14:textId="77777777" w:rsidTr="008326F9">
        <w:trPr>
          <w:trHeight w:val="315"/>
        </w:trPr>
        <w:tc>
          <w:tcPr>
            <w:tcW w:w="1696" w:type="dxa"/>
            <w:vAlign w:val="bottom"/>
          </w:tcPr>
          <w:p w14:paraId="2F2AB824" w14:textId="2C285097" w:rsidR="00A42026" w:rsidRPr="00A77AF6" w:rsidRDefault="00A42026" w:rsidP="008914E0">
            <w:pPr>
              <w:spacing w:after="0" w:line="240" w:lineRule="auto"/>
              <w:rPr>
                <w:rFonts w:ascii="Calibri" w:hAnsi="Calibri" w:cs="Calibri"/>
                <w:sz w:val="20"/>
                <w:szCs w:val="20"/>
              </w:rPr>
            </w:pPr>
            <w:r w:rsidRPr="00A77AF6">
              <w:rPr>
                <w:rFonts w:ascii="Calibri" w:hAnsi="Calibri" w:cs="Calibri"/>
                <w:sz w:val="20"/>
                <w:szCs w:val="20"/>
              </w:rPr>
              <w:t>139</w:t>
            </w:r>
          </w:p>
        </w:tc>
        <w:tc>
          <w:tcPr>
            <w:tcW w:w="1418" w:type="dxa"/>
            <w:vAlign w:val="bottom"/>
          </w:tcPr>
          <w:p w14:paraId="472F7080" w14:textId="0428E01F"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hAnsi="Calibri" w:cs="Calibri"/>
                <w:color w:val="000000"/>
                <w:sz w:val="20"/>
                <w:szCs w:val="20"/>
              </w:rPr>
              <w:t>139</w:t>
            </w:r>
          </w:p>
        </w:tc>
        <w:tc>
          <w:tcPr>
            <w:tcW w:w="1276" w:type="dxa"/>
            <w:shd w:val="clear" w:color="auto" w:fill="auto"/>
            <w:noWrap/>
            <w:vAlign w:val="bottom"/>
            <w:hideMark/>
          </w:tcPr>
          <w:p w14:paraId="05131850" w14:textId="27496EE1"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0.44</w:t>
            </w:r>
          </w:p>
        </w:tc>
        <w:tc>
          <w:tcPr>
            <w:tcW w:w="1417" w:type="dxa"/>
            <w:shd w:val="clear" w:color="auto" w:fill="auto"/>
            <w:noWrap/>
            <w:vAlign w:val="bottom"/>
            <w:hideMark/>
          </w:tcPr>
          <w:p w14:paraId="489859ED"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0.92</w:t>
            </w:r>
          </w:p>
        </w:tc>
        <w:tc>
          <w:tcPr>
            <w:tcW w:w="1418" w:type="dxa"/>
            <w:shd w:val="clear" w:color="auto" w:fill="auto"/>
            <w:noWrap/>
            <w:vAlign w:val="bottom"/>
            <w:hideMark/>
          </w:tcPr>
          <w:p w14:paraId="17BEC107"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2.16</w:t>
            </w:r>
          </w:p>
        </w:tc>
        <w:tc>
          <w:tcPr>
            <w:tcW w:w="704" w:type="dxa"/>
            <w:tcBorders>
              <w:left w:val="nil"/>
            </w:tcBorders>
            <w:shd w:val="clear" w:color="auto" w:fill="auto"/>
            <w:noWrap/>
            <w:vAlign w:val="bottom"/>
            <w:hideMark/>
          </w:tcPr>
          <w:p w14:paraId="716FFEC1" w14:textId="77777777" w:rsidR="00A42026" w:rsidRPr="00A77AF6" w:rsidRDefault="00A42026" w:rsidP="008914E0">
            <w:pPr>
              <w:spacing w:after="0" w:line="240" w:lineRule="auto"/>
              <w:rPr>
                <w:rFonts w:ascii="Calibri" w:eastAsia="Times New Roman" w:hAnsi="Calibri" w:cs="Calibri"/>
                <w:sz w:val="20"/>
                <w:szCs w:val="20"/>
                <w:lang w:eastAsia="en-GB"/>
              </w:rPr>
            </w:pPr>
            <w:r w:rsidRPr="00A77AF6">
              <w:rPr>
                <w:rFonts w:ascii="Calibri" w:eastAsia="Times New Roman" w:hAnsi="Calibri" w:cs="Calibri"/>
                <w:sz w:val="20"/>
                <w:szCs w:val="20"/>
                <w:lang w:eastAsia="en-GB"/>
              </w:rPr>
              <w:t>3.52</w:t>
            </w:r>
          </w:p>
        </w:tc>
      </w:tr>
      <w:tr w:rsidR="00A42026" w:rsidRPr="00A77AF6" w14:paraId="342184D0" w14:textId="77777777" w:rsidTr="008326F9">
        <w:trPr>
          <w:trHeight w:val="315"/>
        </w:trPr>
        <w:tc>
          <w:tcPr>
            <w:tcW w:w="1696" w:type="dxa"/>
            <w:vAlign w:val="bottom"/>
          </w:tcPr>
          <w:p w14:paraId="7C92D324" w14:textId="7529F309" w:rsidR="00A42026" w:rsidRPr="00A77AF6" w:rsidRDefault="007F0E1F" w:rsidP="008914E0">
            <w:pPr>
              <w:spacing w:after="0" w:line="240" w:lineRule="auto"/>
              <w:rPr>
                <w:rFonts w:ascii="Calibri" w:hAnsi="Calibri" w:cs="Calibri"/>
                <w:sz w:val="20"/>
                <w:szCs w:val="20"/>
              </w:rPr>
            </w:pPr>
            <w:r w:rsidRPr="00A77AF6">
              <w:rPr>
                <w:rFonts w:ascii="Calibri" w:hAnsi="Calibri" w:cs="Calibri"/>
                <w:sz w:val="20"/>
                <w:szCs w:val="20"/>
              </w:rPr>
              <w:t xml:space="preserve">score </w:t>
            </w:r>
            <w:r w:rsidR="00CB2157" w:rsidRPr="00A77AF6">
              <w:rPr>
                <w:rFonts w:ascii="Calibri" w:hAnsi="Calibri" w:cs="Calibri"/>
                <w:sz w:val="20"/>
                <w:szCs w:val="20"/>
              </w:rPr>
              <w:t xml:space="preserve">less than </w:t>
            </w:r>
            <w:r w:rsidRPr="00A77AF6">
              <w:rPr>
                <w:rFonts w:ascii="Calibri" w:hAnsi="Calibri" w:cs="Calibri"/>
                <w:sz w:val="20"/>
                <w:szCs w:val="20"/>
              </w:rPr>
              <w:t xml:space="preserve">9 </w:t>
            </w:r>
          </w:p>
        </w:tc>
        <w:tc>
          <w:tcPr>
            <w:tcW w:w="1418" w:type="dxa"/>
            <w:vAlign w:val="bottom"/>
          </w:tcPr>
          <w:p w14:paraId="4EEF2222" w14:textId="14E6FD5F" w:rsidR="00A42026" w:rsidRPr="00A77AF6" w:rsidRDefault="00A42026" w:rsidP="008914E0">
            <w:pPr>
              <w:spacing w:after="0" w:line="240" w:lineRule="auto"/>
              <w:rPr>
                <w:rFonts w:ascii="Calibri" w:eastAsia="Times New Roman" w:hAnsi="Calibri" w:cs="Calibri"/>
                <w:b/>
                <w:color w:val="000000"/>
                <w:sz w:val="20"/>
                <w:szCs w:val="20"/>
                <w:lang w:eastAsia="en-GB"/>
              </w:rPr>
            </w:pPr>
            <w:r w:rsidRPr="00A77AF6">
              <w:rPr>
                <w:rFonts w:ascii="Calibri" w:hAnsi="Calibri" w:cs="Calibri"/>
                <w:b/>
                <w:color w:val="FF0000"/>
                <w:sz w:val="20"/>
                <w:szCs w:val="20"/>
              </w:rPr>
              <w:t>140</w:t>
            </w:r>
          </w:p>
        </w:tc>
        <w:tc>
          <w:tcPr>
            <w:tcW w:w="1276" w:type="dxa"/>
            <w:shd w:val="clear" w:color="auto" w:fill="auto"/>
            <w:noWrap/>
            <w:vAlign w:val="bottom"/>
            <w:hideMark/>
          </w:tcPr>
          <w:p w14:paraId="71211E01" w14:textId="00AB83E2" w:rsidR="00A42026" w:rsidRPr="00A77AF6" w:rsidRDefault="00A42026" w:rsidP="008914E0">
            <w:pPr>
              <w:spacing w:after="0" w:line="240" w:lineRule="auto"/>
              <w:rPr>
                <w:rFonts w:ascii="Calibri" w:eastAsia="Times New Roman" w:hAnsi="Calibri" w:cs="Calibri"/>
                <w:b/>
                <w:color w:val="FF0000"/>
                <w:sz w:val="20"/>
                <w:szCs w:val="20"/>
                <w:lang w:eastAsia="en-GB"/>
              </w:rPr>
            </w:pPr>
            <w:r w:rsidRPr="00A77AF6">
              <w:rPr>
                <w:rFonts w:ascii="Calibri" w:eastAsia="Times New Roman" w:hAnsi="Calibri" w:cs="Calibri"/>
                <w:b/>
                <w:color w:val="FF0000"/>
                <w:sz w:val="20"/>
                <w:szCs w:val="20"/>
                <w:lang w:eastAsia="en-GB"/>
              </w:rPr>
              <w:t>0.44</w:t>
            </w:r>
          </w:p>
        </w:tc>
        <w:tc>
          <w:tcPr>
            <w:tcW w:w="1417" w:type="dxa"/>
            <w:shd w:val="clear" w:color="auto" w:fill="auto"/>
            <w:noWrap/>
            <w:vAlign w:val="bottom"/>
            <w:hideMark/>
          </w:tcPr>
          <w:p w14:paraId="1E88FFAE" w14:textId="77777777" w:rsidR="00A42026" w:rsidRPr="00A77AF6" w:rsidRDefault="00A42026" w:rsidP="008914E0">
            <w:pPr>
              <w:spacing w:after="0" w:line="240" w:lineRule="auto"/>
              <w:rPr>
                <w:rFonts w:ascii="Calibri" w:eastAsia="Times New Roman" w:hAnsi="Calibri" w:cs="Calibri"/>
                <w:b/>
                <w:color w:val="FF0000"/>
                <w:sz w:val="20"/>
                <w:szCs w:val="20"/>
                <w:lang w:eastAsia="en-GB"/>
              </w:rPr>
            </w:pPr>
            <w:r w:rsidRPr="00A77AF6">
              <w:rPr>
                <w:rFonts w:ascii="Calibri" w:eastAsia="Times New Roman" w:hAnsi="Calibri" w:cs="Calibri"/>
                <w:b/>
                <w:color w:val="FF0000"/>
                <w:sz w:val="20"/>
                <w:szCs w:val="20"/>
                <w:lang w:eastAsia="en-GB"/>
              </w:rPr>
              <w:t>0.23</w:t>
            </w:r>
          </w:p>
        </w:tc>
        <w:tc>
          <w:tcPr>
            <w:tcW w:w="1418" w:type="dxa"/>
            <w:shd w:val="clear" w:color="auto" w:fill="auto"/>
            <w:noWrap/>
            <w:vAlign w:val="bottom"/>
            <w:hideMark/>
          </w:tcPr>
          <w:p w14:paraId="08C57EAC" w14:textId="77777777" w:rsidR="00A42026" w:rsidRPr="00A77AF6" w:rsidRDefault="00A42026" w:rsidP="008914E0">
            <w:pPr>
              <w:spacing w:after="0" w:line="240" w:lineRule="auto"/>
              <w:rPr>
                <w:rFonts w:ascii="Calibri" w:eastAsia="Times New Roman" w:hAnsi="Calibri" w:cs="Calibri"/>
                <w:b/>
                <w:color w:val="FF0000"/>
                <w:sz w:val="20"/>
                <w:szCs w:val="20"/>
                <w:lang w:eastAsia="en-GB"/>
              </w:rPr>
            </w:pPr>
            <w:r w:rsidRPr="00A77AF6">
              <w:rPr>
                <w:rFonts w:ascii="Calibri" w:eastAsia="Times New Roman" w:hAnsi="Calibri" w:cs="Calibri"/>
                <w:b/>
                <w:color w:val="FF0000"/>
                <w:sz w:val="20"/>
                <w:szCs w:val="20"/>
                <w:lang w:eastAsia="en-GB"/>
              </w:rPr>
              <w:t>2.7</w:t>
            </w:r>
          </w:p>
        </w:tc>
        <w:tc>
          <w:tcPr>
            <w:tcW w:w="704" w:type="dxa"/>
            <w:tcBorders>
              <w:left w:val="nil"/>
            </w:tcBorders>
            <w:shd w:val="clear" w:color="auto" w:fill="auto"/>
            <w:noWrap/>
            <w:vAlign w:val="bottom"/>
            <w:hideMark/>
          </w:tcPr>
          <w:p w14:paraId="5F2F4972" w14:textId="77777777" w:rsidR="00A42026" w:rsidRPr="00A77AF6" w:rsidRDefault="00A42026" w:rsidP="008914E0">
            <w:pPr>
              <w:spacing w:after="0" w:line="240" w:lineRule="auto"/>
              <w:rPr>
                <w:rFonts w:ascii="Calibri" w:eastAsia="Times New Roman" w:hAnsi="Calibri" w:cs="Calibri"/>
                <w:b/>
                <w:color w:val="FF0000"/>
                <w:sz w:val="20"/>
                <w:szCs w:val="20"/>
                <w:lang w:eastAsia="en-GB"/>
              </w:rPr>
            </w:pPr>
            <w:r w:rsidRPr="00A77AF6">
              <w:rPr>
                <w:rFonts w:ascii="Calibri" w:eastAsia="Times New Roman" w:hAnsi="Calibri" w:cs="Calibri"/>
                <w:b/>
                <w:color w:val="FF0000"/>
                <w:sz w:val="20"/>
                <w:szCs w:val="20"/>
                <w:lang w:eastAsia="en-GB"/>
              </w:rPr>
              <w:t>3.37</w:t>
            </w:r>
          </w:p>
        </w:tc>
      </w:tr>
      <w:tr w:rsidR="00A42026" w:rsidRPr="00A77AF6" w14:paraId="643B14BA" w14:textId="77777777" w:rsidTr="008326F9">
        <w:trPr>
          <w:trHeight w:val="315"/>
        </w:trPr>
        <w:tc>
          <w:tcPr>
            <w:tcW w:w="1696" w:type="dxa"/>
            <w:vAlign w:val="bottom"/>
          </w:tcPr>
          <w:p w14:paraId="4BA2710C" w14:textId="6B5C3753" w:rsidR="00A42026" w:rsidRPr="00A77AF6" w:rsidRDefault="00A42026" w:rsidP="008914E0">
            <w:pPr>
              <w:spacing w:after="0" w:line="240" w:lineRule="auto"/>
              <w:rPr>
                <w:rFonts w:ascii="Calibri" w:hAnsi="Calibri" w:cs="Calibri"/>
                <w:sz w:val="20"/>
                <w:szCs w:val="20"/>
              </w:rPr>
            </w:pPr>
            <w:r w:rsidRPr="00A77AF6">
              <w:rPr>
                <w:rFonts w:ascii="Calibri" w:hAnsi="Calibri" w:cs="Calibri"/>
                <w:sz w:val="20"/>
                <w:szCs w:val="20"/>
              </w:rPr>
              <w:t>141</w:t>
            </w:r>
          </w:p>
        </w:tc>
        <w:tc>
          <w:tcPr>
            <w:tcW w:w="1418" w:type="dxa"/>
            <w:vAlign w:val="bottom"/>
          </w:tcPr>
          <w:p w14:paraId="616D8AF6" w14:textId="27BAFDAC"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hAnsi="Calibri" w:cs="Calibri"/>
                <w:color w:val="000000"/>
                <w:sz w:val="20"/>
                <w:szCs w:val="20"/>
              </w:rPr>
              <w:t>141</w:t>
            </w:r>
          </w:p>
        </w:tc>
        <w:tc>
          <w:tcPr>
            <w:tcW w:w="1276" w:type="dxa"/>
            <w:shd w:val="clear" w:color="auto" w:fill="auto"/>
            <w:noWrap/>
            <w:vAlign w:val="bottom"/>
            <w:hideMark/>
          </w:tcPr>
          <w:p w14:paraId="04F0F6B5" w14:textId="3574EB24"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0.66</w:t>
            </w:r>
          </w:p>
        </w:tc>
        <w:tc>
          <w:tcPr>
            <w:tcW w:w="1417" w:type="dxa"/>
            <w:shd w:val="clear" w:color="auto" w:fill="auto"/>
            <w:noWrap/>
            <w:vAlign w:val="bottom"/>
            <w:hideMark/>
          </w:tcPr>
          <w:p w14:paraId="2B353ABF"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0.69</w:t>
            </w:r>
          </w:p>
        </w:tc>
        <w:tc>
          <w:tcPr>
            <w:tcW w:w="1418" w:type="dxa"/>
            <w:shd w:val="clear" w:color="auto" w:fill="auto"/>
            <w:noWrap/>
            <w:vAlign w:val="bottom"/>
            <w:hideMark/>
          </w:tcPr>
          <w:p w14:paraId="341B85AF"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1.62</w:t>
            </w:r>
          </w:p>
        </w:tc>
        <w:tc>
          <w:tcPr>
            <w:tcW w:w="704" w:type="dxa"/>
            <w:tcBorders>
              <w:left w:val="nil"/>
            </w:tcBorders>
            <w:shd w:val="clear" w:color="auto" w:fill="auto"/>
            <w:noWrap/>
            <w:vAlign w:val="bottom"/>
            <w:hideMark/>
          </w:tcPr>
          <w:p w14:paraId="372A1381" w14:textId="77777777" w:rsidR="00A42026" w:rsidRPr="00A77AF6" w:rsidRDefault="00A42026" w:rsidP="008914E0">
            <w:pPr>
              <w:spacing w:after="0" w:line="240" w:lineRule="auto"/>
              <w:rPr>
                <w:rFonts w:ascii="Calibri" w:eastAsia="Times New Roman" w:hAnsi="Calibri" w:cs="Calibri"/>
                <w:sz w:val="20"/>
                <w:szCs w:val="20"/>
                <w:lang w:eastAsia="en-GB"/>
              </w:rPr>
            </w:pPr>
            <w:r w:rsidRPr="00A77AF6">
              <w:rPr>
                <w:rFonts w:ascii="Calibri" w:eastAsia="Times New Roman" w:hAnsi="Calibri" w:cs="Calibri"/>
                <w:sz w:val="20"/>
                <w:szCs w:val="20"/>
                <w:lang w:eastAsia="en-GB"/>
              </w:rPr>
              <w:t>2.97</w:t>
            </w:r>
          </w:p>
        </w:tc>
      </w:tr>
      <w:tr w:rsidR="00A42026" w:rsidRPr="00A77AF6" w14:paraId="682318D7" w14:textId="77777777" w:rsidTr="008326F9">
        <w:trPr>
          <w:trHeight w:val="315"/>
        </w:trPr>
        <w:tc>
          <w:tcPr>
            <w:tcW w:w="1696" w:type="dxa"/>
            <w:vAlign w:val="bottom"/>
          </w:tcPr>
          <w:p w14:paraId="3AA3A178" w14:textId="4BC35EEB" w:rsidR="00A42026" w:rsidRPr="00A77AF6" w:rsidRDefault="00A42026" w:rsidP="008914E0">
            <w:pPr>
              <w:spacing w:after="0" w:line="240" w:lineRule="auto"/>
              <w:rPr>
                <w:rFonts w:ascii="Calibri" w:hAnsi="Calibri" w:cs="Calibri"/>
                <w:sz w:val="20"/>
                <w:szCs w:val="20"/>
              </w:rPr>
            </w:pPr>
            <w:r w:rsidRPr="00A77AF6">
              <w:rPr>
                <w:rFonts w:ascii="Calibri" w:hAnsi="Calibri" w:cs="Calibri"/>
                <w:sz w:val="20"/>
                <w:szCs w:val="20"/>
              </w:rPr>
              <w:t>145</w:t>
            </w:r>
          </w:p>
        </w:tc>
        <w:tc>
          <w:tcPr>
            <w:tcW w:w="1418" w:type="dxa"/>
            <w:vAlign w:val="bottom"/>
          </w:tcPr>
          <w:p w14:paraId="61335E59" w14:textId="31D7B0BA"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hAnsi="Calibri" w:cs="Calibri"/>
                <w:color w:val="000000"/>
                <w:sz w:val="20"/>
                <w:szCs w:val="20"/>
              </w:rPr>
              <w:t>145</w:t>
            </w:r>
          </w:p>
        </w:tc>
        <w:tc>
          <w:tcPr>
            <w:tcW w:w="1276" w:type="dxa"/>
            <w:shd w:val="clear" w:color="auto" w:fill="auto"/>
            <w:noWrap/>
            <w:vAlign w:val="bottom"/>
            <w:hideMark/>
          </w:tcPr>
          <w:p w14:paraId="2CAFB92C" w14:textId="76EC4581"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0.66</w:t>
            </w:r>
          </w:p>
        </w:tc>
        <w:tc>
          <w:tcPr>
            <w:tcW w:w="1417" w:type="dxa"/>
            <w:shd w:val="clear" w:color="auto" w:fill="auto"/>
            <w:noWrap/>
            <w:vAlign w:val="bottom"/>
            <w:hideMark/>
          </w:tcPr>
          <w:p w14:paraId="6C5F9F54"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0.92</w:t>
            </w:r>
          </w:p>
        </w:tc>
        <w:tc>
          <w:tcPr>
            <w:tcW w:w="1418" w:type="dxa"/>
            <w:shd w:val="clear" w:color="auto" w:fill="auto"/>
            <w:noWrap/>
            <w:vAlign w:val="bottom"/>
            <w:hideMark/>
          </w:tcPr>
          <w:p w14:paraId="2B704B42"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1.62</w:t>
            </w:r>
          </w:p>
        </w:tc>
        <w:tc>
          <w:tcPr>
            <w:tcW w:w="704" w:type="dxa"/>
            <w:tcBorders>
              <w:left w:val="nil"/>
            </w:tcBorders>
            <w:shd w:val="clear" w:color="auto" w:fill="auto"/>
            <w:noWrap/>
            <w:vAlign w:val="bottom"/>
            <w:hideMark/>
          </w:tcPr>
          <w:p w14:paraId="487FC130" w14:textId="77777777" w:rsidR="00A42026" w:rsidRPr="00A77AF6" w:rsidRDefault="00A42026" w:rsidP="008914E0">
            <w:pPr>
              <w:spacing w:after="0" w:line="240" w:lineRule="auto"/>
              <w:rPr>
                <w:rFonts w:ascii="Calibri" w:eastAsia="Times New Roman" w:hAnsi="Calibri" w:cs="Calibri"/>
                <w:sz w:val="20"/>
                <w:szCs w:val="20"/>
                <w:lang w:eastAsia="en-GB"/>
              </w:rPr>
            </w:pPr>
            <w:r w:rsidRPr="00A77AF6">
              <w:rPr>
                <w:rFonts w:ascii="Calibri" w:eastAsia="Times New Roman" w:hAnsi="Calibri" w:cs="Calibri"/>
                <w:sz w:val="20"/>
                <w:szCs w:val="20"/>
                <w:lang w:eastAsia="en-GB"/>
              </w:rPr>
              <w:t>3.2</w:t>
            </w:r>
          </w:p>
        </w:tc>
      </w:tr>
      <w:tr w:rsidR="00A42026" w:rsidRPr="00A77AF6" w14:paraId="5E2C075C" w14:textId="77777777" w:rsidTr="008326F9">
        <w:trPr>
          <w:trHeight w:val="315"/>
        </w:trPr>
        <w:tc>
          <w:tcPr>
            <w:tcW w:w="1696" w:type="dxa"/>
            <w:vAlign w:val="bottom"/>
          </w:tcPr>
          <w:p w14:paraId="7D963CE7" w14:textId="2786FA48" w:rsidR="00A42026" w:rsidRPr="00A77AF6" w:rsidRDefault="00CB2157" w:rsidP="008914E0">
            <w:pPr>
              <w:spacing w:after="0" w:line="240" w:lineRule="auto"/>
              <w:rPr>
                <w:rFonts w:ascii="Calibri" w:hAnsi="Calibri" w:cs="Calibri"/>
                <w:sz w:val="20"/>
                <w:szCs w:val="20"/>
              </w:rPr>
            </w:pPr>
            <w:r w:rsidRPr="00A77AF6">
              <w:rPr>
                <w:rFonts w:ascii="Calibri" w:hAnsi="Calibri" w:cs="Calibri"/>
                <w:sz w:val="20"/>
                <w:szCs w:val="20"/>
              </w:rPr>
              <w:t>score less than 9</w:t>
            </w:r>
          </w:p>
        </w:tc>
        <w:tc>
          <w:tcPr>
            <w:tcW w:w="1418" w:type="dxa"/>
            <w:vAlign w:val="bottom"/>
          </w:tcPr>
          <w:p w14:paraId="284F0362" w14:textId="32764087" w:rsidR="00A42026" w:rsidRPr="00A77AF6" w:rsidRDefault="00A42026" w:rsidP="008914E0">
            <w:pPr>
              <w:spacing w:after="0" w:line="240" w:lineRule="auto"/>
              <w:rPr>
                <w:rFonts w:ascii="Calibri" w:eastAsia="Times New Roman" w:hAnsi="Calibri" w:cs="Calibri"/>
                <w:b/>
                <w:color w:val="FF0000"/>
                <w:sz w:val="20"/>
                <w:szCs w:val="20"/>
                <w:lang w:eastAsia="en-GB"/>
              </w:rPr>
            </w:pPr>
            <w:r w:rsidRPr="00A77AF6">
              <w:rPr>
                <w:rFonts w:ascii="Calibri" w:hAnsi="Calibri" w:cs="Calibri"/>
                <w:b/>
                <w:color w:val="FF0000"/>
                <w:sz w:val="20"/>
                <w:szCs w:val="20"/>
              </w:rPr>
              <w:t>147</w:t>
            </w:r>
          </w:p>
        </w:tc>
        <w:tc>
          <w:tcPr>
            <w:tcW w:w="1276" w:type="dxa"/>
            <w:shd w:val="clear" w:color="auto" w:fill="auto"/>
            <w:noWrap/>
            <w:vAlign w:val="bottom"/>
            <w:hideMark/>
          </w:tcPr>
          <w:p w14:paraId="257CD81C" w14:textId="6144D292" w:rsidR="00A42026" w:rsidRPr="00A77AF6" w:rsidRDefault="00A42026" w:rsidP="008914E0">
            <w:pPr>
              <w:spacing w:after="0" w:line="240" w:lineRule="auto"/>
              <w:rPr>
                <w:rFonts w:ascii="Calibri" w:eastAsia="Times New Roman" w:hAnsi="Calibri" w:cs="Calibri"/>
                <w:b/>
                <w:color w:val="FF0000"/>
                <w:sz w:val="20"/>
                <w:szCs w:val="20"/>
                <w:lang w:eastAsia="en-GB"/>
              </w:rPr>
            </w:pPr>
            <w:r w:rsidRPr="00A77AF6">
              <w:rPr>
                <w:rFonts w:ascii="Calibri" w:eastAsia="Times New Roman" w:hAnsi="Calibri" w:cs="Calibri"/>
                <w:b/>
                <w:color w:val="FF0000"/>
                <w:sz w:val="20"/>
                <w:szCs w:val="20"/>
                <w:lang w:eastAsia="en-GB"/>
              </w:rPr>
              <w:t>0.44</w:t>
            </w:r>
          </w:p>
        </w:tc>
        <w:tc>
          <w:tcPr>
            <w:tcW w:w="1417" w:type="dxa"/>
            <w:shd w:val="clear" w:color="auto" w:fill="auto"/>
            <w:noWrap/>
            <w:vAlign w:val="bottom"/>
            <w:hideMark/>
          </w:tcPr>
          <w:p w14:paraId="417B6225" w14:textId="77777777" w:rsidR="00A42026" w:rsidRPr="00A77AF6" w:rsidRDefault="00A42026" w:rsidP="008914E0">
            <w:pPr>
              <w:spacing w:after="0" w:line="240" w:lineRule="auto"/>
              <w:rPr>
                <w:rFonts w:ascii="Calibri" w:eastAsia="Times New Roman" w:hAnsi="Calibri" w:cs="Calibri"/>
                <w:b/>
                <w:color w:val="FF0000"/>
                <w:sz w:val="20"/>
                <w:szCs w:val="20"/>
                <w:lang w:eastAsia="en-GB"/>
              </w:rPr>
            </w:pPr>
            <w:r w:rsidRPr="00A77AF6">
              <w:rPr>
                <w:rFonts w:ascii="Calibri" w:eastAsia="Times New Roman" w:hAnsi="Calibri" w:cs="Calibri"/>
                <w:b/>
                <w:color w:val="FF0000"/>
                <w:sz w:val="20"/>
                <w:szCs w:val="20"/>
                <w:lang w:eastAsia="en-GB"/>
              </w:rPr>
              <w:t>0.23</w:t>
            </w:r>
          </w:p>
        </w:tc>
        <w:tc>
          <w:tcPr>
            <w:tcW w:w="1418" w:type="dxa"/>
            <w:shd w:val="clear" w:color="auto" w:fill="auto"/>
            <w:noWrap/>
            <w:vAlign w:val="bottom"/>
            <w:hideMark/>
          </w:tcPr>
          <w:p w14:paraId="3570F338" w14:textId="77777777" w:rsidR="00A42026" w:rsidRPr="00A77AF6" w:rsidRDefault="00A42026" w:rsidP="008914E0">
            <w:pPr>
              <w:spacing w:after="0" w:line="240" w:lineRule="auto"/>
              <w:rPr>
                <w:rFonts w:ascii="Calibri" w:eastAsia="Times New Roman" w:hAnsi="Calibri" w:cs="Calibri"/>
                <w:b/>
                <w:color w:val="FF0000"/>
                <w:sz w:val="20"/>
                <w:szCs w:val="20"/>
                <w:lang w:eastAsia="en-GB"/>
              </w:rPr>
            </w:pPr>
            <w:r w:rsidRPr="00A77AF6">
              <w:rPr>
                <w:rFonts w:ascii="Calibri" w:eastAsia="Times New Roman" w:hAnsi="Calibri" w:cs="Calibri"/>
                <w:b/>
                <w:color w:val="FF0000"/>
                <w:sz w:val="20"/>
                <w:szCs w:val="20"/>
                <w:lang w:eastAsia="en-GB"/>
              </w:rPr>
              <w:t>2.7</w:t>
            </w:r>
          </w:p>
        </w:tc>
        <w:tc>
          <w:tcPr>
            <w:tcW w:w="704" w:type="dxa"/>
            <w:tcBorders>
              <w:left w:val="nil"/>
            </w:tcBorders>
            <w:shd w:val="clear" w:color="auto" w:fill="auto"/>
            <w:noWrap/>
            <w:vAlign w:val="bottom"/>
            <w:hideMark/>
          </w:tcPr>
          <w:p w14:paraId="3C748C02" w14:textId="77777777" w:rsidR="00A42026" w:rsidRPr="00A77AF6" w:rsidRDefault="00A42026" w:rsidP="008914E0">
            <w:pPr>
              <w:spacing w:after="0" w:line="240" w:lineRule="auto"/>
              <w:rPr>
                <w:rFonts w:ascii="Calibri" w:eastAsia="Times New Roman" w:hAnsi="Calibri" w:cs="Calibri"/>
                <w:b/>
                <w:color w:val="FF0000"/>
                <w:sz w:val="20"/>
                <w:szCs w:val="20"/>
                <w:lang w:eastAsia="en-GB"/>
              </w:rPr>
            </w:pPr>
            <w:r w:rsidRPr="00A77AF6">
              <w:rPr>
                <w:rFonts w:ascii="Calibri" w:eastAsia="Times New Roman" w:hAnsi="Calibri" w:cs="Calibri"/>
                <w:b/>
                <w:color w:val="FF0000"/>
                <w:sz w:val="20"/>
                <w:szCs w:val="20"/>
                <w:lang w:eastAsia="en-GB"/>
              </w:rPr>
              <w:t>3.37</w:t>
            </w:r>
          </w:p>
        </w:tc>
      </w:tr>
      <w:tr w:rsidR="00A42026" w:rsidRPr="00A77AF6" w14:paraId="5A9C622E" w14:textId="77777777" w:rsidTr="008326F9">
        <w:trPr>
          <w:trHeight w:val="315"/>
        </w:trPr>
        <w:tc>
          <w:tcPr>
            <w:tcW w:w="1696" w:type="dxa"/>
            <w:vAlign w:val="bottom"/>
          </w:tcPr>
          <w:p w14:paraId="5421AF75" w14:textId="2A98C889" w:rsidR="00A42026" w:rsidRPr="00A77AF6" w:rsidRDefault="00CB2157" w:rsidP="008914E0">
            <w:pPr>
              <w:spacing w:after="0" w:line="240" w:lineRule="auto"/>
              <w:rPr>
                <w:rFonts w:ascii="Calibri" w:hAnsi="Calibri" w:cs="Calibri"/>
                <w:sz w:val="20"/>
                <w:szCs w:val="20"/>
              </w:rPr>
            </w:pPr>
            <w:r w:rsidRPr="00A77AF6">
              <w:rPr>
                <w:rFonts w:ascii="Calibri" w:hAnsi="Calibri" w:cs="Calibri"/>
                <w:sz w:val="20"/>
                <w:szCs w:val="20"/>
              </w:rPr>
              <w:t>score less than 9</w:t>
            </w:r>
          </w:p>
        </w:tc>
        <w:tc>
          <w:tcPr>
            <w:tcW w:w="1418" w:type="dxa"/>
            <w:vAlign w:val="bottom"/>
          </w:tcPr>
          <w:p w14:paraId="683FBE7E" w14:textId="07AB5D29" w:rsidR="00A42026" w:rsidRPr="00A77AF6" w:rsidRDefault="00A42026" w:rsidP="008914E0">
            <w:pPr>
              <w:spacing w:after="0" w:line="240" w:lineRule="auto"/>
              <w:rPr>
                <w:rFonts w:ascii="Calibri" w:eastAsia="Times New Roman" w:hAnsi="Calibri" w:cs="Calibri"/>
                <w:b/>
                <w:color w:val="FF0000"/>
                <w:sz w:val="20"/>
                <w:szCs w:val="20"/>
                <w:lang w:eastAsia="en-GB"/>
              </w:rPr>
            </w:pPr>
            <w:r w:rsidRPr="00A77AF6">
              <w:rPr>
                <w:rFonts w:ascii="Calibri" w:hAnsi="Calibri" w:cs="Calibri"/>
                <w:b/>
                <w:color w:val="FF0000"/>
                <w:sz w:val="20"/>
                <w:szCs w:val="20"/>
              </w:rPr>
              <w:t>149</w:t>
            </w:r>
          </w:p>
        </w:tc>
        <w:tc>
          <w:tcPr>
            <w:tcW w:w="1276" w:type="dxa"/>
            <w:shd w:val="clear" w:color="auto" w:fill="auto"/>
            <w:noWrap/>
            <w:vAlign w:val="bottom"/>
            <w:hideMark/>
          </w:tcPr>
          <w:p w14:paraId="6DC25D60" w14:textId="5E7FCF47" w:rsidR="00A42026" w:rsidRPr="00A77AF6" w:rsidRDefault="00A42026" w:rsidP="008914E0">
            <w:pPr>
              <w:spacing w:after="0" w:line="240" w:lineRule="auto"/>
              <w:rPr>
                <w:rFonts w:ascii="Calibri" w:eastAsia="Times New Roman" w:hAnsi="Calibri" w:cs="Calibri"/>
                <w:b/>
                <w:color w:val="FF0000"/>
                <w:sz w:val="20"/>
                <w:szCs w:val="20"/>
                <w:lang w:eastAsia="en-GB"/>
              </w:rPr>
            </w:pPr>
            <w:r w:rsidRPr="00A77AF6">
              <w:rPr>
                <w:rFonts w:ascii="Calibri" w:eastAsia="Times New Roman" w:hAnsi="Calibri" w:cs="Calibri"/>
                <w:b/>
                <w:color w:val="FF0000"/>
                <w:sz w:val="20"/>
                <w:szCs w:val="20"/>
                <w:lang w:eastAsia="en-GB"/>
              </w:rPr>
              <w:t>0.44</w:t>
            </w:r>
          </w:p>
        </w:tc>
        <w:tc>
          <w:tcPr>
            <w:tcW w:w="1417" w:type="dxa"/>
            <w:shd w:val="clear" w:color="auto" w:fill="auto"/>
            <w:noWrap/>
            <w:vAlign w:val="bottom"/>
            <w:hideMark/>
          </w:tcPr>
          <w:p w14:paraId="54852CAD" w14:textId="77777777" w:rsidR="00A42026" w:rsidRPr="00A77AF6" w:rsidRDefault="00A42026" w:rsidP="008914E0">
            <w:pPr>
              <w:spacing w:after="0" w:line="240" w:lineRule="auto"/>
              <w:rPr>
                <w:rFonts w:ascii="Calibri" w:eastAsia="Times New Roman" w:hAnsi="Calibri" w:cs="Calibri"/>
                <w:b/>
                <w:color w:val="FF0000"/>
                <w:sz w:val="20"/>
                <w:szCs w:val="20"/>
                <w:lang w:eastAsia="en-GB"/>
              </w:rPr>
            </w:pPr>
            <w:r w:rsidRPr="00A77AF6">
              <w:rPr>
                <w:rFonts w:ascii="Calibri" w:eastAsia="Times New Roman" w:hAnsi="Calibri" w:cs="Calibri"/>
                <w:b/>
                <w:color w:val="FF0000"/>
                <w:sz w:val="20"/>
                <w:szCs w:val="20"/>
                <w:lang w:eastAsia="en-GB"/>
              </w:rPr>
              <w:t>0.23</w:t>
            </w:r>
          </w:p>
        </w:tc>
        <w:tc>
          <w:tcPr>
            <w:tcW w:w="1418" w:type="dxa"/>
            <w:shd w:val="clear" w:color="auto" w:fill="auto"/>
            <w:noWrap/>
            <w:vAlign w:val="bottom"/>
            <w:hideMark/>
          </w:tcPr>
          <w:p w14:paraId="140FCBFB" w14:textId="77777777" w:rsidR="00A42026" w:rsidRPr="00A77AF6" w:rsidRDefault="00A42026" w:rsidP="008914E0">
            <w:pPr>
              <w:spacing w:after="0" w:line="240" w:lineRule="auto"/>
              <w:rPr>
                <w:rFonts w:ascii="Calibri" w:eastAsia="Times New Roman" w:hAnsi="Calibri" w:cs="Calibri"/>
                <w:b/>
                <w:color w:val="FF0000"/>
                <w:sz w:val="20"/>
                <w:szCs w:val="20"/>
                <w:lang w:eastAsia="en-GB"/>
              </w:rPr>
            </w:pPr>
            <w:r w:rsidRPr="00A77AF6">
              <w:rPr>
                <w:rFonts w:ascii="Calibri" w:eastAsia="Times New Roman" w:hAnsi="Calibri" w:cs="Calibri"/>
                <w:b/>
                <w:color w:val="FF0000"/>
                <w:sz w:val="20"/>
                <w:szCs w:val="20"/>
                <w:lang w:eastAsia="en-GB"/>
              </w:rPr>
              <w:t>2.7</w:t>
            </w:r>
          </w:p>
        </w:tc>
        <w:tc>
          <w:tcPr>
            <w:tcW w:w="704" w:type="dxa"/>
            <w:tcBorders>
              <w:left w:val="nil"/>
            </w:tcBorders>
            <w:shd w:val="clear" w:color="auto" w:fill="auto"/>
            <w:noWrap/>
            <w:vAlign w:val="bottom"/>
            <w:hideMark/>
          </w:tcPr>
          <w:p w14:paraId="545BA381" w14:textId="77777777" w:rsidR="00A42026" w:rsidRPr="00A77AF6" w:rsidRDefault="00A42026" w:rsidP="008914E0">
            <w:pPr>
              <w:spacing w:after="0" w:line="240" w:lineRule="auto"/>
              <w:rPr>
                <w:rFonts w:ascii="Calibri" w:eastAsia="Times New Roman" w:hAnsi="Calibri" w:cs="Calibri"/>
                <w:b/>
                <w:color w:val="FF0000"/>
                <w:sz w:val="20"/>
                <w:szCs w:val="20"/>
                <w:lang w:eastAsia="en-GB"/>
              </w:rPr>
            </w:pPr>
            <w:r w:rsidRPr="00A77AF6">
              <w:rPr>
                <w:rFonts w:ascii="Calibri" w:eastAsia="Times New Roman" w:hAnsi="Calibri" w:cs="Calibri"/>
                <w:b/>
                <w:color w:val="FF0000"/>
                <w:sz w:val="20"/>
                <w:szCs w:val="20"/>
                <w:lang w:eastAsia="en-GB"/>
              </w:rPr>
              <w:t>3.37</w:t>
            </w:r>
          </w:p>
        </w:tc>
      </w:tr>
      <w:tr w:rsidR="00A42026" w:rsidRPr="00A77AF6" w14:paraId="3874AF15" w14:textId="77777777" w:rsidTr="008326F9">
        <w:trPr>
          <w:trHeight w:val="300"/>
        </w:trPr>
        <w:tc>
          <w:tcPr>
            <w:tcW w:w="1696" w:type="dxa"/>
            <w:vAlign w:val="bottom"/>
          </w:tcPr>
          <w:p w14:paraId="74F626E8" w14:textId="5C81B12F" w:rsidR="00A42026" w:rsidRPr="00A77AF6" w:rsidRDefault="00CB2157" w:rsidP="008914E0">
            <w:pPr>
              <w:spacing w:after="0" w:line="240" w:lineRule="auto"/>
              <w:rPr>
                <w:rFonts w:ascii="Calibri" w:hAnsi="Calibri" w:cs="Calibri"/>
                <w:sz w:val="20"/>
                <w:szCs w:val="20"/>
              </w:rPr>
            </w:pPr>
            <w:r w:rsidRPr="00A77AF6">
              <w:rPr>
                <w:rFonts w:ascii="Calibri" w:hAnsi="Calibri" w:cs="Calibri"/>
                <w:sz w:val="20"/>
                <w:szCs w:val="20"/>
              </w:rPr>
              <w:t>score less than 9</w:t>
            </w:r>
          </w:p>
        </w:tc>
        <w:tc>
          <w:tcPr>
            <w:tcW w:w="1418" w:type="dxa"/>
            <w:vAlign w:val="bottom"/>
          </w:tcPr>
          <w:p w14:paraId="1A1D994F" w14:textId="2B54F2DF" w:rsidR="00A42026" w:rsidRPr="00A77AF6" w:rsidRDefault="00A42026" w:rsidP="008914E0">
            <w:pPr>
              <w:spacing w:after="0" w:line="240" w:lineRule="auto"/>
              <w:rPr>
                <w:rFonts w:ascii="Calibri" w:eastAsia="Times New Roman" w:hAnsi="Calibri" w:cs="Calibri"/>
                <w:b/>
                <w:color w:val="FF0000"/>
                <w:sz w:val="20"/>
                <w:szCs w:val="20"/>
                <w:lang w:eastAsia="en-GB"/>
              </w:rPr>
            </w:pPr>
            <w:r w:rsidRPr="00A77AF6">
              <w:rPr>
                <w:rFonts w:ascii="Calibri" w:hAnsi="Calibri" w:cs="Calibri"/>
                <w:b/>
                <w:color w:val="FF0000"/>
                <w:sz w:val="20"/>
                <w:szCs w:val="20"/>
              </w:rPr>
              <w:t>155</w:t>
            </w:r>
          </w:p>
        </w:tc>
        <w:tc>
          <w:tcPr>
            <w:tcW w:w="1276" w:type="dxa"/>
            <w:shd w:val="clear" w:color="auto" w:fill="auto"/>
            <w:noWrap/>
            <w:vAlign w:val="bottom"/>
            <w:hideMark/>
          </w:tcPr>
          <w:p w14:paraId="724651C8" w14:textId="6890E7E8" w:rsidR="00A42026" w:rsidRPr="00A77AF6" w:rsidRDefault="00A42026" w:rsidP="008914E0">
            <w:pPr>
              <w:spacing w:after="0" w:line="240" w:lineRule="auto"/>
              <w:rPr>
                <w:rFonts w:ascii="Calibri" w:eastAsia="Times New Roman" w:hAnsi="Calibri" w:cs="Calibri"/>
                <w:b/>
                <w:color w:val="FF0000"/>
                <w:sz w:val="20"/>
                <w:szCs w:val="20"/>
                <w:lang w:eastAsia="en-GB"/>
              </w:rPr>
            </w:pPr>
            <w:r w:rsidRPr="00A77AF6">
              <w:rPr>
                <w:rFonts w:ascii="Calibri" w:eastAsia="Times New Roman" w:hAnsi="Calibri" w:cs="Calibri"/>
                <w:b/>
                <w:color w:val="FF0000"/>
                <w:sz w:val="20"/>
                <w:szCs w:val="20"/>
                <w:lang w:eastAsia="en-GB"/>
              </w:rPr>
              <w:t>0.22</w:t>
            </w:r>
          </w:p>
        </w:tc>
        <w:tc>
          <w:tcPr>
            <w:tcW w:w="1417" w:type="dxa"/>
            <w:shd w:val="clear" w:color="auto" w:fill="auto"/>
            <w:noWrap/>
            <w:vAlign w:val="bottom"/>
            <w:hideMark/>
          </w:tcPr>
          <w:p w14:paraId="0EBC6A22" w14:textId="77777777" w:rsidR="00A42026" w:rsidRPr="00A77AF6" w:rsidRDefault="00A42026" w:rsidP="008914E0">
            <w:pPr>
              <w:spacing w:after="0" w:line="240" w:lineRule="auto"/>
              <w:rPr>
                <w:rFonts w:ascii="Calibri" w:eastAsia="Times New Roman" w:hAnsi="Calibri" w:cs="Calibri"/>
                <w:b/>
                <w:color w:val="FF0000"/>
                <w:sz w:val="20"/>
                <w:szCs w:val="20"/>
                <w:lang w:eastAsia="en-GB"/>
              </w:rPr>
            </w:pPr>
            <w:r w:rsidRPr="00A77AF6">
              <w:rPr>
                <w:rFonts w:ascii="Calibri" w:eastAsia="Times New Roman" w:hAnsi="Calibri" w:cs="Calibri"/>
                <w:b/>
                <w:color w:val="FF0000"/>
                <w:sz w:val="20"/>
                <w:szCs w:val="20"/>
                <w:lang w:eastAsia="en-GB"/>
              </w:rPr>
              <w:t>0.46</w:t>
            </w:r>
          </w:p>
        </w:tc>
        <w:tc>
          <w:tcPr>
            <w:tcW w:w="1418" w:type="dxa"/>
            <w:shd w:val="clear" w:color="auto" w:fill="auto"/>
            <w:noWrap/>
            <w:vAlign w:val="bottom"/>
            <w:hideMark/>
          </w:tcPr>
          <w:p w14:paraId="6D405338" w14:textId="77777777" w:rsidR="00A42026" w:rsidRPr="00A77AF6" w:rsidRDefault="00A42026" w:rsidP="008914E0">
            <w:pPr>
              <w:spacing w:after="0" w:line="240" w:lineRule="auto"/>
              <w:rPr>
                <w:rFonts w:ascii="Calibri" w:eastAsia="Times New Roman" w:hAnsi="Calibri" w:cs="Calibri"/>
                <w:b/>
                <w:color w:val="FF0000"/>
                <w:sz w:val="20"/>
                <w:szCs w:val="20"/>
                <w:lang w:eastAsia="en-GB"/>
              </w:rPr>
            </w:pPr>
            <w:r w:rsidRPr="00A77AF6">
              <w:rPr>
                <w:rFonts w:ascii="Calibri" w:eastAsia="Times New Roman" w:hAnsi="Calibri" w:cs="Calibri"/>
                <w:b/>
                <w:color w:val="FF0000"/>
                <w:sz w:val="20"/>
                <w:szCs w:val="20"/>
                <w:lang w:eastAsia="en-GB"/>
              </w:rPr>
              <w:t>2.7</w:t>
            </w:r>
          </w:p>
        </w:tc>
        <w:tc>
          <w:tcPr>
            <w:tcW w:w="704" w:type="dxa"/>
            <w:tcBorders>
              <w:left w:val="nil"/>
            </w:tcBorders>
            <w:shd w:val="clear" w:color="auto" w:fill="auto"/>
            <w:noWrap/>
            <w:vAlign w:val="bottom"/>
            <w:hideMark/>
          </w:tcPr>
          <w:p w14:paraId="4FC0F49B" w14:textId="77777777" w:rsidR="00A42026" w:rsidRPr="00A77AF6" w:rsidRDefault="00A42026" w:rsidP="008914E0">
            <w:pPr>
              <w:spacing w:after="0" w:line="240" w:lineRule="auto"/>
              <w:rPr>
                <w:rFonts w:ascii="Calibri" w:eastAsia="Times New Roman" w:hAnsi="Calibri" w:cs="Calibri"/>
                <w:b/>
                <w:color w:val="FF0000"/>
                <w:sz w:val="20"/>
                <w:szCs w:val="20"/>
                <w:lang w:eastAsia="en-GB"/>
              </w:rPr>
            </w:pPr>
            <w:r w:rsidRPr="00A77AF6">
              <w:rPr>
                <w:rFonts w:ascii="Calibri" w:eastAsia="Times New Roman" w:hAnsi="Calibri" w:cs="Calibri"/>
                <w:b/>
                <w:color w:val="FF0000"/>
                <w:sz w:val="20"/>
                <w:szCs w:val="20"/>
                <w:lang w:eastAsia="en-GB"/>
              </w:rPr>
              <w:t>3.38</w:t>
            </w:r>
          </w:p>
        </w:tc>
      </w:tr>
      <w:tr w:rsidR="00A42026" w:rsidRPr="00A77AF6" w14:paraId="4BC71144" w14:textId="77777777" w:rsidTr="008326F9">
        <w:trPr>
          <w:trHeight w:val="300"/>
        </w:trPr>
        <w:tc>
          <w:tcPr>
            <w:tcW w:w="1696" w:type="dxa"/>
            <w:vAlign w:val="bottom"/>
          </w:tcPr>
          <w:p w14:paraId="79346FA0" w14:textId="266AC2A2" w:rsidR="00A42026" w:rsidRPr="00A77AF6" w:rsidRDefault="00A42026" w:rsidP="008914E0">
            <w:pPr>
              <w:spacing w:after="0" w:line="240" w:lineRule="auto"/>
              <w:rPr>
                <w:rFonts w:ascii="Calibri" w:hAnsi="Calibri" w:cs="Calibri"/>
                <w:sz w:val="20"/>
                <w:szCs w:val="20"/>
              </w:rPr>
            </w:pPr>
            <w:r w:rsidRPr="00A77AF6">
              <w:rPr>
                <w:rFonts w:ascii="Calibri" w:hAnsi="Calibri" w:cs="Calibri"/>
                <w:sz w:val="20"/>
                <w:szCs w:val="20"/>
              </w:rPr>
              <w:t>157</w:t>
            </w:r>
          </w:p>
        </w:tc>
        <w:tc>
          <w:tcPr>
            <w:tcW w:w="1418" w:type="dxa"/>
            <w:vAlign w:val="bottom"/>
          </w:tcPr>
          <w:p w14:paraId="52078863" w14:textId="223F8094"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hAnsi="Calibri" w:cs="Calibri"/>
                <w:color w:val="000000"/>
                <w:sz w:val="20"/>
                <w:szCs w:val="20"/>
              </w:rPr>
              <w:t>157</w:t>
            </w:r>
          </w:p>
        </w:tc>
        <w:tc>
          <w:tcPr>
            <w:tcW w:w="1276" w:type="dxa"/>
            <w:shd w:val="clear" w:color="auto" w:fill="auto"/>
            <w:noWrap/>
            <w:vAlign w:val="bottom"/>
            <w:hideMark/>
          </w:tcPr>
          <w:p w14:paraId="6F6D8B1F" w14:textId="07B55195"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0.44</w:t>
            </w:r>
          </w:p>
        </w:tc>
        <w:tc>
          <w:tcPr>
            <w:tcW w:w="1417" w:type="dxa"/>
            <w:shd w:val="clear" w:color="auto" w:fill="auto"/>
            <w:noWrap/>
            <w:vAlign w:val="bottom"/>
            <w:hideMark/>
          </w:tcPr>
          <w:p w14:paraId="587F23F0"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0.92</w:t>
            </w:r>
          </w:p>
        </w:tc>
        <w:tc>
          <w:tcPr>
            <w:tcW w:w="1418" w:type="dxa"/>
            <w:shd w:val="clear" w:color="auto" w:fill="auto"/>
            <w:noWrap/>
            <w:vAlign w:val="bottom"/>
            <w:hideMark/>
          </w:tcPr>
          <w:p w14:paraId="20929BCF"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2.7</w:t>
            </w:r>
          </w:p>
        </w:tc>
        <w:tc>
          <w:tcPr>
            <w:tcW w:w="704" w:type="dxa"/>
            <w:tcBorders>
              <w:left w:val="nil"/>
            </w:tcBorders>
            <w:shd w:val="clear" w:color="auto" w:fill="auto"/>
            <w:noWrap/>
            <w:vAlign w:val="bottom"/>
            <w:hideMark/>
          </w:tcPr>
          <w:p w14:paraId="7024B881" w14:textId="77777777" w:rsidR="00A42026" w:rsidRPr="00A77AF6" w:rsidRDefault="00A42026" w:rsidP="008914E0">
            <w:pPr>
              <w:spacing w:after="0" w:line="240" w:lineRule="auto"/>
              <w:rPr>
                <w:rFonts w:ascii="Calibri" w:eastAsia="Times New Roman" w:hAnsi="Calibri" w:cs="Calibri"/>
                <w:sz w:val="20"/>
                <w:szCs w:val="20"/>
                <w:lang w:eastAsia="en-GB"/>
              </w:rPr>
            </w:pPr>
            <w:r w:rsidRPr="00A77AF6">
              <w:rPr>
                <w:rFonts w:ascii="Calibri" w:eastAsia="Times New Roman" w:hAnsi="Calibri" w:cs="Calibri"/>
                <w:sz w:val="20"/>
                <w:szCs w:val="20"/>
                <w:lang w:eastAsia="en-GB"/>
              </w:rPr>
              <w:t>4.06</w:t>
            </w:r>
          </w:p>
        </w:tc>
      </w:tr>
      <w:tr w:rsidR="00A42026" w:rsidRPr="00A77AF6" w14:paraId="58DCDBB5" w14:textId="77777777" w:rsidTr="008326F9">
        <w:trPr>
          <w:trHeight w:val="300"/>
        </w:trPr>
        <w:tc>
          <w:tcPr>
            <w:tcW w:w="1696" w:type="dxa"/>
            <w:vAlign w:val="bottom"/>
          </w:tcPr>
          <w:p w14:paraId="23D117B6" w14:textId="68B98C27" w:rsidR="00A42026" w:rsidRPr="00A77AF6" w:rsidRDefault="00A42026" w:rsidP="008914E0">
            <w:pPr>
              <w:spacing w:after="0" w:line="240" w:lineRule="auto"/>
              <w:rPr>
                <w:rFonts w:ascii="Calibri" w:hAnsi="Calibri" w:cs="Calibri"/>
                <w:sz w:val="20"/>
                <w:szCs w:val="20"/>
              </w:rPr>
            </w:pPr>
            <w:r w:rsidRPr="00A77AF6">
              <w:rPr>
                <w:rFonts w:ascii="Calibri" w:hAnsi="Calibri" w:cs="Calibri"/>
                <w:sz w:val="20"/>
                <w:szCs w:val="20"/>
              </w:rPr>
              <w:t>162</w:t>
            </w:r>
          </w:p>
        </w:tc>
        <w:tc>
          <w:tcPr>
            <w:tcW w:w="1418" w:type="dxa"/>
            <w:vAlign w:val="bottom"/>
          </w:tcPr>
          <w:p w14:paraId="0B5D0909" w14:textId="6BAB405D"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hAnsi="Calibri" w:cs="Calibri"/>
                <w:color w:val="000000"/>
                <w:sz w:val="20"/>
                <w:szCs w:val="20"/>
              </w:rPr>
              <w:t>162</w:t>
            </w:r>
          </w:p>
        </w:tc>
        <w:tc>
          <w:tcPr>
            <w:tcW w:w="1276" w:type="dxa"/>
            <w:shd w:val="clear" w:color="auto" w:fill="auto"/>
            <w:noWrap/>
            <w:vAlign w:val="bottom"/>
            <w:hideMark/>
          </w:tcPr>
          <w:p w14:paraId="01F78455" w14:textId="1D9229DF"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0.66</w:t>
            </w:r>
          </w:p>
        </w:tc>
        <w:tc>
          <w:tcPr>
            <w:tcW w:w="1417" w:type="dxa"/>
            <w:shd w:val="clear" w:color="auto" w:fill="auto"/>
            <w:noWrap/>
            <w:vAlign w:val="bottom"/>
            <w:hideMark/>
          </w:tcPr>
          <w:p w14:paraId="0F9C6D33"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0.69</w:t>
            </w:r>
          </w:p>
        </w:tc>
        <w:tc>
          <w:tcPr>
            <w:tcW w:w="1418" w:type="dxa"/>
            <w:shd w:val="clear" w:color="auto" w:fill="auto"/>
            <w:noWrap/>
            <w:vAlign w:val="bottom"/>
            <w:hideMark/>
          </w:tcPr>
          <w:p w14:paraId="7F15F978"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2.16</w:t>
            </w:r>
          </w:p>
        </w:tc>
        <w:tc>
          <w:tcPr>
            <w:tcW w:w="704" w:type="dxa"/>
            <w:tcBorders>
              <w:left w:val="nil"/>
            </w:tcBorders>
            <w:shd w:val="clear" w:color="auto" w:fill="auto"/>
            <w:noWrap/>
            <w:vAlign w:val="bottom"/>
            <w:hideMark/>
          </w:tcPr>
          <w:p w14:paraId="5642B9C0" w14:textId="77777777" w:rsidR="00A42026" w:rsidRPr="00A77AF6" w:rsidRDefault="00A42026" w:rsidP="008914E0">
            <w:pPr>
              <w:spacing w:after="0" w:line="240" w:lineRule="auto"/>
              <w:rPr>
                <w:rFonts w:ascii="Calibri" w:eastAsia="Times New Roman" w:hAnsi="Calibri" w:cs="Calibri"/>
                <w:sz w:val="20"/>
                <w:szCs w:val="20"/>
                <w:lang w:eastAsia="en-GB"/>
              </w:rPr>
            </w:pPr>
            <w:r w:rsidRPr="00A77AF6">
              <w:rPr>
                <w:rFonts w:ascii="Calibri" w:eastAsia="Times New Roman" w:hAnsi="Calibri" w:cs="Calibri"/>
                <w:sz w:val="20"/>
                <w:szCs w:val="20"/>
                <w:lang w:eastAsia="en-GB"/>
              </w:rPr>
              <w:t>3.51</w:t>
            </w:r>
          </w:p>
        </w:tc>
      </w:tr>
      <w:tr w:rsidR="00A42026" w:rsidRPr="00A77AF6" w14:paraId="442D2849" w14:textId="77777777" w:rsidTr="008326F9">
        <w:trPr>
          <w:trHeight w:val="300"/>
        </w:trPr>
        <w:tc>
          <w:tcPr>
            <w:tcW w:w="1696" w:type="dxa"/>
            <w:vAlign w:val="bottom"/>
          </w:tcPr>
          <w:p w14:paraId="1328DED1" w14:textId="3142A310" w:rsidR="00A42026" w:rsidRPr="00A77AF6" w:rsidRDefault="00A42026" w:rsidP="008914E0">
            <w:pPr>
              <w:spacing w:after="0" w:line="240" w:lineRule="auto"/>
              <w:rPr>
                <w:rFonts w:ascii="Calibri" w:hAnsi="Calibri" w:cs="Calibri"/>
                <w:sz w:val="20"/>
                <w:szCs w:val="20"/>
              </w:rPr>
            </w:pPr>
            <w:r w:rsidRPr="00A77AF6">
              <w:rPr>
                <w:rFonts w:ascii="Calibri" w:hAnsi="Calibri" w:cs="Calibri"/>
                <w:sz w:val="20"/>
                <w:szCs w:val="20"/>
              </w:rPr>
              <w:t>169</w:t>
            </w:r>
          </w:p>
        </w:tc>
        <w:tc>
          <w:tcPr>
            <w:tcW w:w="1418" w:type="dxa"/>
            <w:vAlign w:val="bottom"/>
          </w:tcPr>
          <w:p w14:paraId="3D36CADD" w14:textId="2787788F"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hAnsi="Calibri" w:cs="Calibri"/>
                <w:color w:val="000000"/>
                <w:sz w:val="20"/>
                <w:szCs w:val="20"/>
              </w:rPr>
              <w:t>169</w:t>
            </w:r>
          </w:p>
        </w:tc>
        <w:tc>
          <w:tcPr>
            <w:tcW w:w="1276" w:type="dxa"/>
            <w:shd w:val="clear" w:color="auto" w:fill="auto"/>
            <w:noWrap/>
            <w:vAlign w:val="bottom"/>
            <w:hideMark/>
          </w:tcPr>
          <w:p w14:paraId="58FDF03A" w14:textId="133040E8"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0.44</w:t>
            </w:r>
          </w:p>
        </w:tc>
        <w:tc>
          <w:tcPr>
            <w:tcW w:w="1417" w:type="dxa"/>
            <w:shd w:val="clear" w:color="auto" w:fill="auto"/>
            <w:noWrap/>
            <w:vAlign w:val="bottom"/>
            <w:hideMark/>
          </w:tcPr>
          <w:p w14:paraId="20F5C148"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0.92</w:t>
            </w:r>
          </w:p>
        </w:tc>
        <w:tc>
          <w:tcPr>
            <w:tcW w:w="1418" w:type="dxa"/>
            <w:shd w:val="clear" w:color="auto" w:fill="auto"/>
            <w:noWrap/>
            <w:vAlign w:val="bottom"/>
            <w:hideMark/>
          </w:tcPr>
          <w:p w14:paraId="0F04A354" w14:textId="77777777" w:rsidR="00A42026" w:rsidRPr="00A77AF6" w:rsidRDefault="00A42026" w:rsidP="008914E0">
            <w:pPr>
              <w:spacing w:after="0" w:line="240" w:lineRule="auto"/>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2.16</w:t>
            </w:r>
          </w:p>
        </w:tc>
        <w:tc>
          <w:tcPr>
            <w:tcW w:w="704" w:type="dxa"/>
            <w:tcBorders>
              <w:left w:val="nil"/>
            </w:tcBorders>
            <w:shd w:val="clear" w:color="auto" w:fill="auto"/>
            <w:noWrap/>
            <w:vAlign w:val="bottom"/>
            <w:hideMark/>
          </w:tcPr>
          <w:p w14:paraId="07618B64" w14:textId="77777777" w:rsidR="00A42026" w:rsidRPr="00A77AF6" w:rsidRDefault="00A42026" w:rsidP="008914E0">
            <w:pPr>
              <w:spacing w:after="0" w:line="240" w:lineRule="auto"/>
              <w:rPr>
                <w:rFonts w:ascii="Calibri" w:eastAsia="Times New Roman" w:hAnsi="Calibri" w:cs="Calibri"/>
                <w:sz w:val="20"/>
                <w:szCs w:val="20"/>
                <w:lang w:eastAsia="en-GB"/>
              </w:rPr>
            </w:pPr>
            <w:r w:rsidRPr="00A77AF6">
              <w:rPr>
                <w:rFonts w:ascii="Calibri" w:eastAsia="Times New Roman" w:hAnsi="Calibri" w:cs="Calibri"/>
                <w:sz w:val="20"/>
                <w:szCs w:val="20"/>
                <w:lang w:eastAsia="en-GB"/>
              </w:rPr>
              <w:t>3.52</w:t>
            </w:r>
          </w:p>
        </w:tc>
      </w:tr>
    </w:tbl>
    <w:p w14:paraId="36F100C0" w14:textId="55057173" w:rsidR="0073034F" w:rsidRPr="00A77AF6" w:rsidRDefault="00AA2301" w:rsidP="00166927">
      <w:pPr>
        <w:pStyle w:val="Heading4"/>
        <w:numPr>
          <w:ilvl w:val="0"/>
          <w:numId w:val="0"/>
        </w:numPr>
        <w:tabs>
          <w:tab w:val="left" w:pos="7635"/>
        </w:tabs>
        <w:spacing w:before="240" w:after="120"/>
        <w:ind w:left="862" w:hanging="862"/>
      </w:pPr>
      <w:r w:rsidRPr="00A77AF6">
        <w:t xml:space="preserve">Comparison of </w:t>
      </w:r>
      <w:r w:rsidR="00F7749F" w:rsidRPr="00A77AF6">
        <w:t>the measures</w:t>
      </w:r>
      <w:r w:rsidRPr="00A77AF6">
        <w:t xml:space="preserve"> of success</w:t>
      </w:r>
      <w:r w:rsidR="006C06B4" w:rsidRPr="00A77AF6">
        <w:tab/>
      </w:r>
    </w:p>
    <w:p w14:paraId="4EBE937A" w14:textId="00360D73" w:rsidR="00F501F4" w:rsidRPr="00A77AF6" w:rsidRDefault="002800C9" w:rsidP="003250FC">
      <w:pPr>
        <w:spacing w:line="360" w:lineRule="auto"/>
      </w:pPr>
      <w:r w:rsidRPr="00A77AF6">
        <w:t>F</w:t>
      </w:r>
      <w:r w:rsidR="00F501F4" w:rsidRPr="00A77AF6">
        <w:t xml:space="preserve">or both </w:t>
      </w:r>
      <w:r w:rsidR="00AC3BB8" w:rsidRPr="00A77AF6">
        <w:t>‘</w:t>
      </w:r>
      <w:r w:rsidR="00F501F4" w:rsidRPr="00A77AF6">
        <w:t>claimed success</w:t>
      </w:r>
      <w:r w:rsidR="00AC3BB8" w:rsidRPr="00A77AF6">
        <w:t>’</w:t>
      </w:r>
      <w:r w:rsidR="00F501F4" w:rsidRPr="00A77AF6">
        <w:t xml:space="preserve"> and for </w:t>
      </w:r>
      <w:r w:rsidR="0077243E" w:rsidRPr="00A77AF6">
        <w:t>‘project success score</w:t>
      </w:r>
      <w:r w:rsidR="00F91B86" w:rsidRPr="00A77AF6">
        <w:t>’, quality</w:t>
      </w:r>
      <w:r w:rsidR="00F501F4" w:rsidRPr="00A77AF6">
        <w:t xml:space="preserve"> was the most frequently met target</w:t>
      </w:r>
      <w:r w:rsidR="008A3C80" w:rsidRPr="00A77AF6">
        <w:t xml:space="preserve"> by a considerable margin</w:t>
      </w:r>
      <w:r w:rsidRPr="00A77AF6">
        <w:t xml:space="preserve"> (Table 6-2</w:t>
      </w:r>
      <w:r w:rsidR="0007452B" w:rsidRPr="00A77AF6">
        <w:t>8</w:t>
      </w:r>
      <w:r w:rsidRPr="00A77AF6">
        <w:t>).</w:t>
      </w:r>
      <w:r w:rsidR="008A3C80" w:rsidRPr="00A77AF6">
        <w:t xml:space="preserve"> </w:t>
      </w:r>
      <w:r w:rsidR="003250FC" w:rsidRPr="00A77AF6">
        <w:t xml:space="preserve">The percentage scores for the ‘iron triangle’ are 100% because the achievement of each target was a condition for being included in this definition of project success.  </w:t>
      </w:r>
    </w:p>
    <w:p w14:paraId="118AED8C" w14:textId="2FAF2DC0" w:rsidR="00F501F4" w:rsidRPr="00A77AF6" w:rsidRDefault="00F501F4" w:rsidP="006B6988">
      <w:pPr>
        <w:pStyle w:val="Caption"/>
        <w:keepNext/>
        <w:spacing w:after="120"/>
      </w:pPr>
      <w:r w:rsidRPr="00A77AF6">
        <w:lastRenderedPageBreak/>
        <w:t xml:space="preserve">Table </w:t>
      </w:r>
      <w:fldSimple w:instr=" STYLEREF 1 \s ">
        <w:r w:rsidR="000441F7">
          <w:rPr>
            <w:noProof/>
          </w:rPr>
          <w:t>6</w:t>
        </w:r>
      </w:fldSimple>
      <w:r w:rsidR="00804112">
        <w:noBreakHyphen/>
      </w:r>
      <w:fldSimple w:instr=" SEQ Table \* ARABIC \s 1 ">
        <w:r w:rsidR="000441F7">
          <w:rPr>
            <w:noProof/>
          </w:rPr>
          <w:t>28</w:t>
        </w:r>
      </w:fldSimple>
      <w:r w:rsidRPr="00A77AF6">
        <w:t>: Summary of performance of projects for time, cost and quality</w:t>
      </w:r>
    </w:p>
    <w:tbl>
      <w:tblPr>
        <w:tblStyle w:val="TableGrid"/>
        <w:tblW w:w="0" w:type="auto"/>
        <w:tblLook w:val="04A0" w:firstRow="1" w:lastRow="0" w:firstColumn="1" w:lastColumn="0" w:noHBand="0" w:noVBand="1"/>
      </w:tblPr>
      <w:tblGrid>
        <w:gridCol w:w="2547"/>
        <w:gridCol w:w="2126"/>
        <w:gridCol w:w="1960"/>
        <w:gridCol w:w="2144"/>
      </w:tblGrid>
      <w:tr w:rsidR="00F501F4" w:rsidRPr="00A77AF6" w14:paraId="32915D0E" w14:textId="0C6156C1" w:rsidTr="00D54148">
        <w:tc>
          <w:tcPr>
            <w:tcW w:w="2547" w:type="dxa"/>
            <w:shd w:val="clear" w:color="auto" w:fill="D9D9D9" w:themeFill="background1" w:themeFillShade="D9"/>
          </w:tcPr>
          <w:p w14:paraId="6002C23F" w14:textId="2489E118" w:rsidR="00F501F4" w:rsidRPr="00A77AF6" w:rsidRDefault="00F501F4" w:rsidP="00F501F4">
            <w:pPr>
              <w:spacing w:line="480" w:lineRule="auto"/>
              <w:rPr>
                <w:sz w:val="20"/>
              </w:rPr>
            </w:pPr>
            <w:r w:rsidRPr="00A77AF6">
              <w:rPr>
                <w:sz w:val="20"/>
              </w:rPr>
              <w:t>Sample</w:t>
            </w:r>
          </w:p>
        </w:tc>
        <w:tc>
          <w:tcPr>
            <w:tcW w:w="2126" w:type="dxa"/>
            <w:shd w:val="clear" w:color="auto" w:fill="D9D9D9" w:themeFill="background1" w:themeFillShade="D9"/>
          </w:tcPr>
          <w:p w14:paraId="04B5A2FD" w14:textId="3F86E24F" w:rsidR="00F501F4" w:rsidRPr="00A77AF6" w:rsidRDefault="00F501F4" w:rsidP="00D54148">
            <w:pPr>
              <w:spacing w:after="60"/>
              <w:rPr>
                <w:sz w:val="20"/>
              </w:rPr>
            </w:pPr>
            <w:r w:rsidRPr="00A77AF6">
              <w:rPr>
                <w:sz w:val="20"/>
              </w:rPr>
              <w:t>Time</w:t>
            </w:r>
          </w:p>
          <w:p w14:paraId="64E2C5FF" w14:textId="7971256C" w:rsidR="00F501F4" w:rsidRPr="00A77AF6" w:rsidRDefault="00F501F4" w:rsidP="00F501F4">
            <w:pPr>
              <w:rPr>
                <w:sz w:val="20"/>
              </w:rPr>
            </w:pPr>
            <w:r w:rsidRPr="00A77AF6">
              <w:rPr>
                <w:sz w:val="20"/>
              </w:rPr>
              <w:t>No (%) projects meeting time criteria</w:t>
            </w:r>
          </w:p>
        </w:tc>
        <w:tc>
          <w:tcPr>
            <w:tcW w:w="1960" w:type="dxa"/>
            <w:shd w:val="clear" w:color="auto" w:fill="D9D9D9" w:themeFill="background1" w:themeFillShade="D9"/>
          </w:tcPr>
          <w:p w14:paraId="76192356" w14:textId="7F74CB3E" w:rsidR="00F501F4" w:rsidRPr="00A77AF6" w:rsidRDefault="00F501F4" w:rsidP="00D54148">
            <w:pPr>
              <w:spacing w:after="60"/>
              <w:rPr>
                <w:sz w:val="20"/>
              </w:rPr>
            </w:pPr>
            <w:r w:rsidRPr="00A77AF6">
              <w:rPr>
                <w:sz w:val="20"/>
              </w:rPr>
              <w:t>Cost</w:t>
            </w:r>
          </w:p>
          <w:p w14:paraId="6AD2C30B" w14:textId="091141E2" w:rsidR="00F501F4" w:rsidRPr="00A77AF6" w:rsidRDefault="00F501F4" w:rsidP="00F501F4">
            <w:pPr>
              <w:rPr>
                <w:sz w:val="20"/>
              </w:rPr>
            </w:pPr>
            <w:r w:rsidRPr="00A77AF6">
              <w:rPr>
                <w:sz w:val="20"/>
              </w:rPr>
              <w:t>No (%) projects meeting cost criteria</w:t>
            </w:r>
          </w:p>
        </w:tc>
        <w:tc>
          <w:tcPr>
            <w:tcW w:w="2144" w:type="dxa"/>
            <w:shd w:val="clear" w:color="auto" w:fill="D9D9D9" w:themeFill="background1" w:themeFillShade="D9"/>
          </w:tcPr>
          <w:p w14:paraId="67C82AE1" w14:textId="56739C3E" w:rsidR="00F501F4" w:rsidRPr="00A77AF6" w:rsidRDefault="00F501F4" w:rsidP="00D54148">
            <w:pPr>
              <w:spacing w:after="60"/>
              <w:rPr>
                <w:sz w:val="20"/>
              </w:rPr>
            </w:pPr>
            <w:r w:rsidRPr="00A77AF6">
              <w:rPr>
                <w:sz w:val="20"/>
              </w:rPr>
              <w:t>Quality</w:t>
            </w:r>
          </w:p>
          <w:p w14:paraId="0D49D14E" w14:textId="2A6D4860" w:rsidR="00F501F4" w:rsidRPr="00A77AF6" w:rsidRDefault="00F501F4" w:rsidP="00F501F4">
            <w:pPr>
              <w:rPr>
                <w:sz w:val="20"/>
              </w:rPr>
            </w:pPr>
            <w:r w:rsidRPr="00A77AF6">
              <w:rPr>
                <w:sz w:val="20"/>
              </w:rPr>
              <w:t>No (%) projects meeting quality criteria</w:t>
            </w:r>
          </w:p>
        </w:tc>
      </w:tr>
      <w:tr w:rsidR="006F612E" w:rsidRPr="00A77AF6" w14:paraId="65BFE768" w14:textId="77777777" w:rsidTr="00D54148">
        <w:tc>
          <w:tcPr>
            <w:tcW w:w="2547" w:type="dxa"/>
          </w:tcPr>
          <w:p w14:paraId="73727303" w14:textId="77777777" w:rsidR="006F612E" w:rsidRPr="00A77AF6" w:rsidRDefault="006F612E" w:rsidP="00D54148">
            <w:pPr>
              <w:spacing w:after="60"/>
              <w:rPr>
                <w:sz w:val="20"/>
              </w:rPr>
            </w:pPr>
            <w:r w:rsidRPr="00A77AF6">
              <w:rPr>
                <w:sz w:val="20"/>
              </w:rPr>
              <w:t>Claimed success (n=45)</w:t>
            </w:r>
          </w:p>
        </w:tc>
        <w:tc>
          <w:tcPr>
            <w:tcW w:w="2126" w:type="dxa"/>
          </w:tcPr>
          <w:p w14:paraId="08B330DB" w14:textId="77777777" w:rsidR="006F612E" w:rsidRPr="00A77AF6" w:rsidRDefault="006F612E" w:rsidP="00D54148">
            <w:pPr>
              <w:spacing w:after="60"/>
              <w:rPr>
                <w:sz w:val="20"/>
              </w:rPr>
            </w:pPr>
            <w:r w:rsidRPr="00A77AF6">
              <w:rPr>
                <w:sz w:val="20"/>
              </w:rPr>
              <w:t>20 (44%)</w:t>
            </w:r>
          </w:p>
        </w:tc>
        <w:tc>
          <w:tcPr>
            <w:tcW w:w="1960" w:type="dxa"/>
          </w:tcPr>
          <w:p w14:paraId="5D65F149" w14:textId="77777777" w:rsidR="006F612E" w:rsidRPr="00A77AF6" w:rsidRDefault="006F612E" w:rsidP="00D54148">
            <w:pPr>
              <w:spacing w:after="60"/>
              <w:rPr>
                <w:sz w:val="20"/>
              </w:rPr>
            </w:pPr>
            <w:r w:rsidRPr="00A77AF6">
              <w:rPr>
                <w:sz w:val="20"/>
              </w:rPr>
              <w:t>23 (51%)</w:t>
            </w:r>
          </w:p>
        </w:tc>
        <w:tc>
          <w:tcPr>
            <w:tcW w:w="2144" w:type="dxa"/>
          </w:tcPr>
          <w:p w14:paraId="2AE67269" w14:textId="77777777" w:rsidR="006F612E" w:rsidRPr="00A77AF6" w:rsidRDefault="006F612E" w:rsidP="00D54148">
            <w:pPr>
              <w:spacing w:after="60"/>
              <w:rPr>
                <w:sz w:val="20"/>
              </w:rPr>
            </w:pPr>
            <w:r w:rsidRPr="00A77AF6">
              <w:rPr>
                <w:sz w:val="20"/>
              </w:rPr>
              <w:t>39 (86%)</w:t>
            </w:r>
          </w:p>
        </w:tc>
      </w:tr>
      <w:tr w:rsidR="00F501F4" w:rsidRPr="00A77AF6" w14:paraId="2EF13589" w14:textId="77777777" w:rsidTr="00D54148">
        <w:tc>
          <w:tcPr>
            <w:tcW w:w="2547" w:type="dxa"/>
          </w:tcPr>
          <w:p w14:paraId="43C51B80" w14:textId="523344C7" w:rsidR="00F501F4" w:rsidRPr="00A77AF6" w:rsidRDefault="006F612E" w:rsidP="00D54148">
            <w:pPr>
              <w:spacing w:after="60"/>
              <w:rPr>
                <w:sz w:val="20"/>
              </w:rPr>
            </w:pPr>
            <w:r w:rsidRPr="00A77AF6">
              <w:rPr>
                <w:sz w:val="20"/>
              </w:rPr>
              <w:t xml:space="preserve">Iron triangle </w:t>
            </w:r>
            <w:r w:rsidR="00F501F4" w:rsidRPr="00A77AF6">
              <w:rPr>
                <w:sz w:val="20"/>
              </w:rPr>
              <w:t>(n=11)</w:t>
            </w:r>
          </w:p>
        </w:tc>
        <w:tc>
          <w:tcPr>
            <w:tcW w:w="2126" w:type="dxa"/>
          </w:tcPr>
          <w:p w14:paraId="7BBCD65D" w14:textId="410DDB22" w:rsidR="00F501F4" w:rsidRPr="00A77AF6" w:rsidRDefault="00F501F4" w:rsidP="00D54148">
            <w:pPr>
              <w:spacing w:after="60"/>
              <w:rPr>
                <w:sz w:val="20"/>
              </w:rPr>
            </w:pPr>
            <w:r w:rsidRPr="00A77AF6">
              <w:rPr>
                <w:sz w:val="20"/>
              </w:rPr>
              <w:t>11 (100%)</w:t>
            </w:r>
          </w:p>
        </w:tc>
        <w:tc>
          <w:tcPr>
            <w:tcW w:w="1960" w:type="dxa"/>
          </w:tcPr>
          <w:p w14:paraId="167897F6" w14:textId="43EB9A3C" w:rsidR="00F501F4" w:rsidRPr="00A77AF6" w:rsidRDefault="00F501F4" w:rsidP="00D54148">
            <w:pPr>
              <w:spacing w:after="60"/>
              <w:rPr>
                <w:sz w:val="20"/>
              </w:rPr>
            </w:pPr>
            <w:r w:rsidRPr="00A77AF6">
              <w:rPr>
                <w:sz w:val="20"/>
              </w:rPr>
              <w:t>11 (100%)</w:t>
            </w:r>
          </w:p>
        </w:tc>
        <w:tc>
          <w:tcPr>
            <w:tcW w:w="2144" w:type="dxa"/>
          </w:tcPr>
          <w:p w14:paraId="2B6A7AAE" w14:textId="25D33353" w:rsidR="00F501F4" w:rsidRPr="00A77AF6" w:rsidRDefault="00F501F4" w:rsidP="00D54148">
            <w:pPr>
              <w:spacing w:after="60"/>
              <w:rPr>
                <w:sz w:val="20"/>
              </w:rPr>
            </w:pPr>
            <w:r w:rsidRPr="00A77AF6">
              <w:rPr>
                <w:sz w:val="20"/>
              </w:rPr>
              <w:t>11 (100%)</w:t>
            </w:r>
          </w:p>
        </w:tc>
      </w:tr>
      <w:tr w:rsidR="006F612E" w:rsidRPr="00A77AF6" w14:paraId="68F4FF2C" w14:textId="77777777" w:rsidTr="00D54148">
        <w:tc>
          <w:tcPr>
            <w:tcW w:w="2547" w:type="dxa"/>
          </w:tcPr>
          <w:p w14:paraId="748AFE1D" w14:textId="59F02688" w:rsidR="006F612E" w:rsidRPr="00A77AF6" w:rsidRDefault="0077243E" w:rsidP="00D54148">
            <w:pPr>
              <w:spacing w:after="60"/>
              <w:rPr>
                <w:sz w:val="20"/>
              </w:rPr>
            </w:pPr>
            <w:r w:rsidRPr="00A77AF6">
              <w:rPr>
                <w:sz w:val="20"/>
              </w:rPr>
              <w:t>Project success score</w:t>
            </w:r>
            <w:r w:rsidR="006F612E" w:rsidRPr="00A77AF6">
              <w:rPr>
                <w:sz w:val="20"/>
              </w:rPr>
              <w:t xml:space="preserve"> (n=51)</w:t>
            </w:r>
          </w:p>
        </w:tc>
        <w:tc>
          <w:tcPr>
            <w:tcW w:w="2126" w:type="dxa"/>
          </w:tcPr>
          <w:p w14:paraId="13438664" w14:textId="77777777" w:rsidR="006F612E" w:rsidRPr="00A77AF6" w:rsidRDefault="006F612E" w:rsidP="00D54148">
            <w:pPr>
              <w:spacing w:after="60"/>
              <w:rPr>
                <w:sz w:val="20"/>
              </w:rPr>
            </w:pPr>
            <w:r w:rsidRPr="00A77AF6">
              <w:rPr>
                <w:sz w:val="20"/>
              </w:rPr>
              <w:t>22 (43%)</w:t>
            </w:r>
          </w:p>
        </w:tc>
        <w:tc>
          <w:tcPr>
            <w:tcW w:w="1960" w:type="dxa"/>
          </w:tcPr>
          <w:p w14:paraId="20875484" w14:textId="77777777" w:rsidR="006F612E" w:rsidRPr="00A77AF6" w:rsidRDefault="006F612E" w:rsidP="00D54148">
            <w:pPr>
              <w:spacing w:after="60"/>
              <w:rPr>
                <w:sz w:val="20"/>
              </w:rPr>
            </w:pPr>
            <w:r w:rsidRPr="00A77AF6">
              <w:rPr>
                <w:sz w:val="20"/>
              </w:rPr>
              <w:t>24 (47%)</w:t>
            </w:r>
          </w:p>
        </w:tc>
        <w:tc>
          <w:tcPr>
            <w:tcW w:w="2144" w:type="dxa"/>
          </w:tcPr>
          <w:p w14:paraId="02C2098C" w14:textId="77777777" w:rsidR="006F612E" w:rsidRPr="00A77AF6" w:rsidRDefault="006F612E" w:rsidP="00D54148">
            <w:pPr>
              <w:spacing w:after="60"/>
              <w:rPr>
                <w:sz w:val="20"/>
              </w:rPr>
            </w:pPr>
            <w:r w:rsidRPr="00A77AF6">
              <w:rPr>
                <w:sz w:val="20"/>
              </w:rPr>
              <w:t>41 (80%)</w:t>
            </w:r>
          </w:p>
        </w:tc>
      </w:tr>
    </w:tbl>
    <w:p w14:paraId="1CB1F0E4" w14:textId="07130787" w:rsidR="009F2F05" w:rsidRPr="00A77AF6" w:rsidRDefault="003250FC" w:rsidP="003250FC">
      <w:pPr>
        <w:spacing w:before="240" w:line="360" w:lineRule="auto"/>
      </w:pPr>
      <w:r w:rsidRPr="00A77AF6">
        <w:t>N</w:t>
      </w:r>
      <w:r w:rsidR="009F2F05" w:rsidRPr="00A77AF6">
        <w:t>o project in the ‘iron triangle’ category significantly bettered any target.  Only 44% of ‘claimed success’ projects achieved their time targets and only 51</w:t>
      </w:r>
      <w:r w:rsidR="00F7749F" w:rsidRPr="00A77AF6">
        <w:t>% achieved</w:t>
      </w:r>
      <w:r w:rsidR="009F2F05" w:rsidRPr="00A77AF6">
        <w:t xml:space="preserve"> their cost targets.  Project achieved quality targets more frequently than either time or cost targets, with 41 (80%) of the total sample meeting quality criteria</w:t>
      </w:r>
      <w:r w:rsidR="00F25765" w:rsidRPr="00A77AF6">
        <w:t xml:space="preserve">. </w:t>
      </w:r>
    </w:p>
    <w:p w14:paraId="4423549A" w14:textId="58F85BE5" w:rsidR="009F2F05" w:rsidRPr="00A77AF6" w:rsidRDefault="009F2F05" w:rsidP="003250FC">
      <w:pPr>
        <w:spacing w:before="240" w:line="360" w:lineRule="auto"/>
      </w:pPr>
      <w:r w:rsidRPr="00A77AF6">
        <w:t xml:space="preserve">Different success criteria yield different success rates. </w:t>
      </w:r>
      <w:r w:rsidR="003250FC" w:rsidRPr="00A77AF6">
        <w:t>The</w:t>
      </w:r>
      <w:r w:rsidRPr="00A77AF6">
        <w:t xml:space="preserve"> strict </w:t>
      </w:r>
      <w:r w:rsidR="003250FC" w:rsidRPr="00A77AF6">
        <w:t xml:space="preserve">application of </w:t>
      </w:r>
      <w:r w:rsidRPr="00A77AF6">
        <w:t xml:space="preserve">the iron triangle </w:t>
      </w:r>
      <w:r w:rsidR="003250FC" w:rsidRPr="00A77AF6">
        <w:t>means that</w:t>
      </w:r>
      <w:r w:rsidRPr="00A77AF6">
        <w:t xml:space="preserve"> 11 (22%) </w:t>
      </w:r>
      <w:r w:rsidR="00DF5E5B" w:rsidRPr="00A77AF6">
        <w:t xml:space="preserve">projects </w:t>
      </w:r>
      <w:r w:rsidRPr="00A77AF6">
        <w:t xml:space="preserve">were </w:t>
      </w:r>
      <w:r w:rsidR="00F7749F" w:rsidRPr="00A77AF6">
        <w:t xml:space="preserve">successful; </w:t>
      </w:r>
      <w:r w:rsidR="008909EC" w:rsidRPr="00A77AF6">
        <w:t xml:space="preserve">the inclusion of </w:t>
      </w:r>
      <w:r w:rsidR="00DF5E5B" w:rsidRPr="00A77AF6">
        <w:t xml:space="preserve">projects </w:t>
      </w:r>
      <w:r w:rsidR="008909EC" w:rsidRPr="00A77AF6">
        <w:t xml:space="preserve">that </w:t>
      </w:r>
      <w:r w:rsidR="00DF5E5B" w:rsidRPr="00A77AF6">
        <w:t>score</w:t>
      </w:r>
      <w:r w:rsidR="003250FC" w:rsidRPr="00A77AF6">
        <w:t>d</w:t>
      </w:r>
      <w:r w:rsidR="00DF5E5B" w:rsidRPr="00A77AF6">
        <w:t xml:space="preserve"> 9 points </w:t>
      </w:r>
      <w:r w:rsidR="00352D5D" w:rsidRPr="00A77AF6">
        <w:t xml:space="preserve">or more </w:t>
      </w:r>
      <w:r w:rsidR="008909EC" w:rsidRPr="00A77AF6">
        <w:t>raised the</w:t>
      </w:r>
      <w:r w:rsidR="00DF5E5B" w:rsidRPr="00A77AF6">
        <w:t xml:space="preserve"> success rate</w:t>
      </w:r>
      <w:r w:rsidR="00D1402B" w:rsidRPr="00A77AF6">
        <w:t xml:space="preserve"> </w:t>
      </w:r>
      <w:r w:rsidR="008909EC" w:rsidRPr="00A77AF6">
        <w:t>to</w:t>
      </w:r>
      <w:r w:rsidR="00D1402B" w:rsidRPr="00A77AF6">
        <w:t xml:space="preserve"> 18 (35%); when each criterion was weighted using</w:t>
      </w:r>
      <w:r w:rsidR="00042ADC" w:rsidRPr="00A77AF6">
        <w:t xml:space="preserve"> </w:t>
      </w:r>
      <w:r w:rsidR="00D1402B" w:rsidRPr="00A77AF6">
        <w:t xml:space="preserve"> Might </w:t>
      </w:r>
      <w:r w:rsidR="00042ADC" w:rsidRPr="00A77AF6">
        <w:t>&amp;</w:t>
      </w:r>
      <w:r w:rsidR="00D1402B" w:rsidRPr="00A77AF6">
        <w:t xml:space="preserve"> Fisher (1985) </w:t>
      </w:r>
      <w:r w:rsidR="008909EC" w:rsidRPr="00A77AF6">
        <w:t xml:space="preserve">adapted iron triangle, </w:t>
      </w:r>
      <w:r w:rsidR="003250FC" w:rsidRPr="00A77AF6">
        <w:t xml:space="preserve">then </w:t>
      </w:r>
      <w:r w:rsidR="00D1402B" w:rsidRPr="00A77AF6">
        <w:t xml:space="preserve">22 (43%) of projects were successful.  When project personnel were asked to give their opinion the success rate was 45 (90%) (Table </w:t>
      </w:r>
      <w:r w:rsidR="0007452B" w:rsidRPr="00A77AF6">
        <w:t>6-29</w:t>
      </w:r>
      <w:r w:rsidR="00D1402B" w:rsidRPr="00A77AF6">
        <w:t xml:space="preserve">). </w:t>
      </w:r>
    </w:p>
    <w:p w14:paraId="4CAC7553" w14:textId="6716286E" w:rsidR="00B76F66" w:rsidRPr="00A77AF6" w:rsidRDefault="00B76F66" w:rsidP="006B6988">
      <w:pPr>
        <w:pStyle w:val="Caption"/>
        <w:keepNext/>
        <w:spacing w:after="120"/>
      </w:pPr>
      <w:r w:rsidRPr="00A77AF6">
        <w:t xml:space="preserve">Table </w:t>
      </w:r>
      <w:fldSimple w:instr=" STYLEREF 1 \s ">
        <w:r w:rsidR="000441F7">
          <w:rPr>
            <w:noProof/>
          </w:rPr>
          <w:t>6</w:t>
        </w:r>
      </w:fldSimple>
      <w:r w:rsidR="00804112">
        <w:noBreakHyphen/>
      </w:r>
      <w:fldSimple w:instr=" SEQ Table \* ARABIC \s 1 ">
        <w:r w:rsidR="000441F7">
          <w:rPr>
            <w:noProof/>
          </w:rPr>
          <w:t>29</w:t>
        </w:r>
      </w:fldSimple>
      <w:r w:rsidRPr="00A77AF6">
        <w:t xml:space="preserve">: </w:t>
      </w:r>
      <w:r w:rsidR="009F2F05" w:rsidRPr="00A77AF6">
        <w:t>Comparison</w:t>
      </w:r>
      <w:r w:rsidRPr="00A77AF6">
        <w:t xml:space="preserve"> of project success by success measure</w:t>
      </w:r>
    </w:p>
    <w:tbl>
      <w:tblPr>
        <w:tblStyle w:val="TableGrid"/>
        <w:tblW w:w="0" w:type="auto"/>
        <w:tblLook w:val="04A0" w:firstRow="1" w:lastRow="0" w:firstColumn="1" w:lastColumn="0" w:noHBand="0" w:noVBand="1"/>
      </w:tblPr>
      <w:tblGrid>
        <w:gridCol w:w="2346"/>
        <w:gridCol w:w="2143"/>
      </w:tblGrid>
      <w:tr w:rsidR="00B76F66" w:rsidRPr="00A77AF6" w14:paraId="6D76667F" w14:textId="77777777" w:rsidTr="00B76F66">
        <w:tc>
          <w:tcPr>
            <w:tcW w:w="2346" w:type="dxa"/>
            <w:shd w:val="clear" w:color="auto" w:fill="D9D9D9" w:themeFill="background1" w:themeFillShade="D9"/>
          </w:tcPr>
          <w:p w14:paraId="0D1549E5" w14:textId="77777777" w:rsidR="00B76F66" w:rsidRPr="00A77AF6" w:rsidRDefault="00B76F66" w:rsidP="00B76F66">
            <w:pPr>
              <w:rPr>
                <w:sz w:val="20"/>
              </w:rPr>
            </w:pPr>
            <w:r w:rsidRPr="00A77AF6">
              <w:rPr>
                <w:sz w:val="20"/>
              </w:rPr>
              <w:t>Success measure (n=sample size)</w:t>
            </w:r>
          </w:p>
          <w:p w14:paraId="1DD29C6B" w14:textId="4E76EB51" w:rsidR="00B76F66" w:rsidRPr="00A77AF6" w:rsidRDefault="00B76F66" w:rsidP="00B76F66">
            <w:pPr>
              <w:spacing w:line="480" w:lineRule="auto"/>
              <w:rPr>
                <w:sz w:val="20"/>
              </w:rPr>
            </w:pPr>
          </w:p>
        </w:tc>
        <w:tc>
          <w:tcPr>
            <w:tcW w:w="2143" w:type="dxa"/>
            <w:shd w:val="clear" w:color="auto" w:fill="D9D9D9" w:themeFill="background1" w:themeFillShade="D9"/>
          </w:tcPr>
          <w:p w14:paraId="3EAC278F" w14:textId="55D9C198" w:rsidR="00B76F66" w:rsidRPr="00A77AF6" w:rsidRDefault="00B76F66" w:rsidP="00B76F66">
            <w:pPr>
              <w:rPr>
                <w:sz w:val="20"/>
              </w:rPr>
            </w:pPr>
            <w:r w:rsidRPr="00A77AF6">
              <w:rPr>
                <w:sz w:val="20"/>
              </w:rPr>
              <w:t>Success</w:t>
            </w:r>
          </w:p>
        </w:tc>
      </w:tr>
      <w:tr w:rsidR="00B76F66" w:rsidRPr="00A77AF6" w14:paraId="7ACBA81B" w14:textId="77777777" w:rsidTr="00B76F66">
        <w:tc>
          <w:tcPr>
            <w:tcW w:w="2346" w:type="dxa"/>
          </w:tcPr>
          <w:p w14:paraId="72471643" w14:textId="4790DA29" w:rsidR="00B76F66" w:rsidRPr="00A77AF6" w:rsidRDefault="00B76F66" w:rsidP="00B76F66">
            <w:pPr>
              <w:spacing w:line="480" w:lineRule="auto"/>
              <w:rPr>
                <w:sz w:val="20"/>
              </w:rPr>
            </w:pPr>
            <w:r w:rsidRPr="00A77AF6">
              <w:rPr>
                <w:sz w:val="20"/>
              </w:rPr>
              <w:t>Claimed success (n=50)</w:t>
            </w:r>
          </w:p>
        </w:tc>
        <w:tc>
          <w:tcPr>
            <w:tcW w:w="2143" w:type="dxa"/>
          </w:tcPr>
          <w:p w14:paraId="2C2DF98F" w14:textId="019054F7" w:rsidR="00B76F66" w:rsidRPr="00A77AF6" w:rsidRDefault="00B76F66" w:rsidP="00B76F66">
            <w:pPr>
              <w:spacing w:line="480" w:lineRule="auto"/>
              <w:rPr>
                <w:sz w:val="20"/>
              </w:rPr>
            </w:pPr>
            <w:r w:rsidRPr="00A77AF6">
              <w:rPr>
                <w:sz w:val="20"/>
              </w:rPr>
              <w:t>45 (90%)</w:t>
            </w:r>
          </w:p>
        </w:tc>
      </w:tr>
      <w:tr w:rsidR="00B76F66" w:rsidRPr="00A77AF6" w14:paraId="6BE30365" w14:textId="77777777" w:rsidTr="00B76F66">
        <w:tc>
          <w:tcPr>
            <w:tcW w:w="2346" w:type="dxa"/>
          </w:tcPr>
          <w:p w14:paraId="71FD06BF" w14:textId="2764AE54" w:rsidR="00B76F66" w:rsidRPr="00A77AF6" w:rsidRDefault="00B76F66" w:rsidP="00B76F66">
            <w:pPr>
              <w:spacing w:line="480" w:lineRule="auto"/>
              <w:rPr>
                <w:sz w:val="20"/>
              </w:rPr>
            </w:pPr>
            <w:r w:rsidRPr="00A77AF6">
              <w:rPr>
                <w:sz w:val="20"/>
              </w:rPr>
              <w:t>Iron triangle (n=</w:t>
            </w:r>
            <w:r w:rsidR="009F2F05" w:rsidRPr="00A77AF6">
              <w:rPr>
                <w:sz w:val="20"/>
              </w:rPr>
              <w:t>5</w:t>
            </w:r>
            <w:r w:rsidRPr="00A77AF6">
              <w:rPr>
                <w:sz w:val="20"/>
              </w:rPr>
              <w:t>1)</w:t>
            </w:r>
          </w:p>
        </w:tc>
        <w:tc>
          <w:tcPr>
            <w:tcW w:w="2143" w:type="dxa"/>
          </w:tcPr>
          <w:p w14:paraId="12F8BFCE" w14:textId="78A86C71" w:rsidR="00B76F66" w:rsidRPr="00A77AF6" w:rsidRDefault="00B76F66" w:rsidP="00B76F66">
            <w:pPr>
              <w:spacing w:line="480" w:lineRule="auto"/>
              <w:rPr>
                <w:sz w:val="20"/>
              </w:rPr>
            </w:pPr>
            <w:r w:rsidRPr="00A77AF6">
              <w:rPr>
                <w:sz w:val="20"/>
              </w:rPr>
              <w:t>11 (22%)</w:t>
            </w:r>
          </w:p>
        </w:tc>
      </w:tr>
      <w:tr w:rsidR="00B76F66" w:rsidRPr="00A77AF6" w14:paraId="1E432C1A" w14:textId="77777777" w:rsidTr="00B76F66">
        <w:tc>
          <w:tcPr>
            <w:tcW w:w="2346" w:type="dxa"/>
          </w:tcPr>
          <w:p w14:paraId="7F06376B" w14:textId="149F04C9" w:rsidR="00B76F66" w:rsidRPr="00A77AF6" w:rsidRDefault="00B76F66" w:rsidP="00B76F66">
            <w:pPr>
              <w:rPr>
                <w:sz w:val="20"/>
              </w:rPr>
            </w:pPr>
            <w:r w:rsidRPr="00A77AF6">
              <w:rPr>
                <w:sz w:val="20"/>
              </w:rPr>
              <w:t xml:space="preserve">Project success score </w:t>
            </w:r>
            <w:r w:rsidR="009F2F05" w:rsidRPr="00A77AF6">
              <w:rPr>
                <w:sz w:val="20"/>
              </w:rPr>
              <w:t>=</w:t>
            </w:r>
            <w:r w:rsidRPr="00A77AF6">
              <w:rPr>
                <w:sz w:val="20"/>
              </w:rPr>
              <w:t xml:space="preserve"> 9 p</w:t>
            </w:r>
            <w:r w:rsidR="009F2F05" w:rsidRPr="00A77AF6">
              <w:rPr>
                <w:sz w:val="20"/>
              </w:rPr>
              <w:t>o</w:t>
            </w:r>
            <w:r w:rsidRPr="00A77AF6">
              <w:rPr>
                <w:sz w:val="20"/>
              </w:rPr>
              <w:t>ints o</w:t>
            </w:r>
            <w:r w:rsidR="009F2F05" w:rsidRPr="00A77AF6">
              <w:rPr>
                <w:sz w:val="20"/>
              </w:rPr>
              <w:t>r</w:t>
            </w:r>
            <w:r w:rsidRPr="00A77AF6">
              <w:rPr>
                <w:sz w:val="20"/>
              </w:rPr>
              <w:t xml:space="preserve"> above (n=51)</w:t>
            </w:r>
          </w:p>
        </w:tc>
        <w:tc>
          <w:tcPr>
            <w:tcW w:w="2143" w:type="dxa"/>
          </w:tcPr>
          <w:p w14:paraId="2C88FC48" w14:textId="273865B2" w:rsidR="00B76F66" w:rsidRPr="00A77AF6" w:rsidRDefault="00B76F66" w:rsidP="00B76F66">
            <w:pPr>
              <w:spacing w:line="480" w:lineRule="auto"/>
              <w:rPr>
                <w:sz w:val="20"/>
              </w:rPr>
            </w:pPr>
            <w:r w:rsidRPr="00A77AF6">
              <w:rPr>
                <w:sz w:val="20"/>
              </w:rPr>
              <w:t>18 (35%)</w:t>
            </w:r>
          </w:p>
        </w:tc>
      </w:tr>
      <w:tr w:rsidR="00B76F66" w:rsidRPr="00A77AF6" w14:paraId="42A91909" w14:textId="77777777" w:rsidTr="00B76F66">
        <w:tc>
          <w:tcPr>
            <w:tcW w:w="2346" w:type="dxa"/>
          </w:tcPr>
          <w:p w14:paraId="11FFA209" w14:textId="3397A38A" w:rsidR="00B76F66" w:rsidRPr="00A77AF6" w:rsidRDefault="00B76F66" w:rsidP="00B76F66">
            <w:pPr>
              <w:rPr>
                <w:sz w:val="20"/>
              </w:rPr>
            </w:pPr>
            <w:r w:rsidRPr="00A77AF6">
              <w:rPr>
                <w:sz w:val="20"/>
              </w:rPr>
              <w:t>Weighted project success score</w:t>
            </w:r>
            <w:r w:rsidR="009F2F05" w:rsidRPr="00A77AF6">
              <w:rPr>
                <w:sz w:val="20"/>
              </w:rPr>
              <w:t xml:space="preserve"> = 2.97 or above</w:t>
            </w:r>
            <w:r w:rsidRPr="00A77AF6">
              <w:rPr>
                <w:sz w:val="20"/>
              </w:rPr>
              <w:t xml:space="preserve"> (n=51)</w:t>
            </w:r>
          </w:p>
        </w:tc>
        <w:tc>
          <w:tcPr>
            <w:tcW w:w="2143" w:type="dxa"/>
          </w:tcPr>
          <w:p w14:paraId="16F7FCC7" w14:textId="3B97FC20" w:rsidR="00B76F66" w:rsidRPr="00A77AF6" w:rsidRDefault="00B76F66" w:rsidP="00B76F66">
            <w:pPr>
              <w:spacing w:line="480" w:lineRule="auto"/>
              <w:rPr>
                <w:sz w:val="20"/>
              </w:rPr>
            </w:pPr>
            <w:r w:rsidRPr="00A77AF6">
              <w:rPr>
                <w:sz w:val="20"/>
              </w:rPr>
              <w:t>22 (43%)</w:t>
            </w:r>
          </w:p>
        </w:tc>
      </w:tr>
    </w:tbl>
    <w:p w14:paraId="192AC292" w14:textId="5E831E06" w:rsidR="00A248AF" w:rsidRPr="00A77AF6" w:rsidRDefault="00512B8D" w:rsidP="00B759B0">
      <w:pPr>
        <w:spacing w:before="240" w:line="360" w:lineRule="auto"/>
      </w:pPr>
      <w:r w:rsidRPr="00A77AF6">
        <w:t xml:space="preserve">In conclusion </w:t>
      </w:r>
      <w:r w:rsidR="008A2619" w:rsidRPr="00A77AF6">
        <w:t xml:space="preserve">the </w:t>
      </w:r>
      <w:r w:rsidR="00D1402B" w:rsidRPr="00A77AF6">
        <w:t xml:space="preserve">iron triangle </w:t>
      </w:r>
      <w:r w:rsidR="008A2619" w:rsidRPr="00A77AF6">
        <w:t>success rate for projects w</w:t>
      </w:r>
      <w:r w:rsidR="008909EC" w:rsidRPr="00A77AF6">
        <w:t>as</w:t>
      </w:r>
      <w:r w:rsidR="00AA2A5A">
        <w:t xml:space="preserve"> </w:t>
      </w:r>
      <w:r w:rsidR="008909EC" w:rsidRPr="00A77AF6">
        <w:t>low</w:t>
      </w:r>
      <w:r w:rsidR="00DE34F8" w:rsidRPr="00A77AF6">
        <w:t xml:space="preserve">.  </w:t>
      </w:r>
      <w:r w:rsidR="008909EC" w:rsidRPr="00A77AF6">
        <w:t>T</w:t>
      </w:r>
      <w:r w:rsidR="001C5A97" w:rsidRPr="00A77AF6">
        <w:t xml:space="preserve">ime was met in only </w:t>
      </w:r>
      <w:r w:rsidR="006270DF" w:rsidRPr="00A77AF6">
        <w:t>22 (</w:t>
      </w:r>
      <w:r w:rsidR="001C5A97" w:rsidRPr="00A77AF6">
        <w:t>43%</w:t>
      </w:r>
      <w:r w:rsidR="006270DF" w:rsidRPr="00A77AF6">
        <w:t>)</w:t>
      </w:r>
      <w:r w:rsidR="001C5A97" w:rsidRPr="00A77AF6">
        <w:t xml:space="preserve"> of projects; cost was met in </w:t>
      </w:r>
      <w:r w:rsidR="006270DF" w:rsidRPr="00A77AF6">
        <w:t>24 (</w:t>
      </w:r>
      <w:r w:rsidR="001C5A97" w:rsidRPr="00A77AF6">
        <w:t>47%</w:t>
      </w:r>
      <w:r w:rsidR="006270DF" w:rsidRPr="00A77AF6">
        <w:t>)</w:t>
      </w:r>
      <w:r w:rsidR="001C5A97" w:rsidRPr="00A77AF6">
        <w:t xml:space="preserve"> of projects and quality was met in </w:t>
      </w:r>
      <w:r w:rsidR="00DE4767" w:rsidRPr="00A77AF6">
        <w:t>41 (</w:t>
      </w:r>
      <w:r w:rsidR="00F93B4E" w:rsidRPr="00A77AF6">
        <w:t>80%</w:t>
      </w:r>
      <w:r w:rsidR="00DE4767" w:rsidRPr="00A77AF6">
        <w:t>)</w:t>
      </w:r>
      <w:r w:rsidR="00F93B4E" w:rsidRPr="00A77AF6">
        <w:t xml:space="preserve"> of projects.  This apparent poor performance did not prevent managers from claiming that their project had been successful</w:t>
      </w:r>
      <w:r w:rsidR="008909EC" w:rsidRPr="00A77AF6">
        <w:t xml:space="preserve">.  Success rates were </w:t>
      </w:r>
      <w:r w:rsidR="00D1402B" w:rsidRPr="00A77AF6">
        <w:t xml:space="preserve">improved by having a less strict measure or </w:t>
      </w:r>
      <w:r w:rsidR="008909EC" w:rsidRPr="00A77AF6">
        <w:t xml:space="preserve">by modifying the </w:t>
      </w:r>
      <w:r w:rsidR="00D1402B" w:rsidRPr="00A77AF6">
        <w:t>weighting</w:t>
      </w:r>
      <w:r w:rsidR="008909EC" w:rsidRPr="00A77AF6">
        <w:t xml:space="preserve"> of</w:t>
      </w:r>
      <w:r w:rsidR="00D1402B" w:rsidRPr="00A77AF6">
        <w:t xml:space="preserve"> the iron triangle criteria. </w:t>
      </w:r>
      <w:r w:rsidR="00F93B4E" w:rsidRPr="00A77AF6">
        <w:t xml:space="preserve"> </w:t>
      </w:r>
      <w:r w:rsidR="00510BEF" w:rsidRPr="00A77AF6">
        <w:t xml:space="preserve">The results </w:t>
      </w:r>
      <w:r w:rsidR="00D1402B" w:rsidRPr="00A77AF6">
        <w:t xml:space="preserve">strongly </w:t>
      </w:r>
      <w:r w:rsidR="00F93B4E" w:rsidRPr="00A77AF6">
        <w:t>suggest</w:t>
      </w:r>
      <w:r w:rsidR="00510BEF" w:rsidRPr="00A77AF6">
        <w:t xml:space="preserve"> a </w:t>
      </w:r>
      <w:r w:rsidR="0073034F" w:rsidRPr="00A77AF6">
        <w:t xml:space="preserve">difference in perception between the </w:t>
      </w:r>
      <w:r w:rsidR="00394F70" w:rsidRPr="00A77AF6">
        <w:t>opinion</w:t>
      </w:r>
      <w:r w:rsidR="0073034F" w:rsidRPr="00A77AF6">
        <w:t xml:space="preserve"> of project </w:t>
      </w:r>
      <w:r w:rsidR="00F93B4E" w:rsidRPr="00A77AF6">
        <w:t xml:space="preserve">managers </w:t>
      </w:r>
      <w:r w:rsidR="003B1697" w:rsidRPr="00A77AF6">
        <w:t xml:space="preserve">about </w:t>
      </w:r>
      <w:r w:rsidR="0073034F" w:rsidRPr="00A77AF6">
        <w:t xml:space="preserve">success and </w:t>
      </w:r>
      <w:r w:rsidR="00246CB5" w:rsidRPr="00A77AF6">
        <w:t xml:space="preserve">the </w:t>
      </w:r>
      <w:r w:rsidR="003B1697" w:rsidRPr="00A77AF6">
        <w:t xml:space="preserve">actual </w:t>
      </w:r>
      <w:r w:rsidR="0073034F" w:rsidRPr="00A77AF6">
        <w:t>completion of projects to time, cost and quality targets.</w:t>
      </w:r>
      <w:r w:rsidR="003B1697" w:rsidRPr="00A77AF6">
        <w:t xml:space="preserve">  </w:t>
      </w:r>
      <w:r w:rsidR="00DE4767" w:rsidRPr="00A77AF6">
        <w:t xml:space="preserve">A </w:t>
      </w:r>
      <w:r w:rsidR="008909EC" w:rsidRPr="00A77AF6">
        <w:t xml:space="preserve">noticeable </w:t>
      </w:r>
      <w:r w:rsidR="00DE4767" w:rsidRPr="00A77AF6">
        <w:t>feature</w:t>
      </w:r>
      <w:r w:rsidR="003B1697" w:rsidRPr="00A77AF6">
        <w:t xml:space="preserve"> is the </w:t>
      </w:r>
      <w:r w:rsidR="002B6813" w:rsidRPr="00A77AF6">
        <w:t xml:space="preserve">good </w:t>
      </w:r>
      <w:r w:rsidR="003B1697" w:rsidRPr="00A77AF6">
        <w:t>performance of projects against quality criteria</w:t>
      </w:r>
      <w:r w:rsidR="002B6813" w:rsidRPr="00A77AF6">
        <w:t xml:space="preserve">.  It is conceivable </w:t>
      </w:r>
      <w:r w:rsidR="00F7749F" w:rsidRPr="00A77AF6">
        <w:t xml:space="preserve">that </w:t>
      </w:r>
      <w:r w:rsidR="008909EC" w:rsidRPr="00A77AF6">
        <w:t xml:space="preserve">in NHS construction projects </w:t>
      </w:r>
      <w:r w:rsidR="00F7749F" w:rsidRPr="00A77AF6">
        <w:t>quality</w:t>
      </w:r>
      <w:r w:rsidR="002B6813" w:rsidRPr="00A77AF6">
        <w:t xml:space="preserve"> is </w:t>
      </w:r>
      <w:r w:rsidR="00963DEC" w:rsidRPr="00A77AF6">
        <w:t xml:space="preserve">perceived to be the most important measure and that </w:t>
      </w:r>
      <w:r w:rsidR="00406C7B" w:rsidRPr="00A77AF6">
        <w:t>project</w:t>
      </w:r>
      <w:r w:rsidR="00963DEC" w:rsidRPr="00A77AF6">
        <w:t xml:space="preserve"> managers are effectively weighting this more highly </w:t>
      </w:r>
      <w:r w:rsidR="00963DEC" w:rsidRPr="00A77AF6">
        <w:lastRenderedPageBreak/>
        <w:t xml:space="preserve">than the other facets of time and cost.  </w:t>
      </w:r>
      <w:r w:rsidR="00510BEF" w:rsidRPr="00A77AF6">
        <w:t>This finding</w:t>
      </w:r>
      <w:r w:rsidR="00E35A16" w:rsidRPr="00A77AF6">
        <w:t xml:space="preserve"> is</w:t>
      </w:r>
      <w:r w:rsidR="00510BEF" w:rsidRPr="00A77AF6">
        <w:t xml:space="preserve"> explored </w:t>
      </w:r>
      <w:r w:rsidR="00E35A16" w:rsidRPr="00A77AF6">
        <w:t xml:space="preserve">more fully </w:t>
      </w:r>
      <w:r w:rsidR="00510BEF" w:rsidRPr="00A77AF6">
        <w:t xml:space="preserve">in the qualitative </w:t>
      </w:r>
      <w:r w:rsidR="00CA6D9A" w:rsidRPr="00A77AF6">
        <w:t xml:space="preserve">phase of the study. </w:t>
      </w:r>
      <w:r w:rsidR="00BD29CF" w:rsidRPr="00A77AF6">
        <w:t xml:space="preserve"> </w:t>
      </w:r>
    </w:p>
    <w:p w14:paraId="2C593F5A" w14:textId="4088321D" w:rsidR="00B445B3" w:rsidRPr="00A77AF6" w:rsidRDefault="00B445B3" w:rsidP="00776918">
      <w:pPr>
        <w:pStyle w:val="Heading3"/>
        <w:spacing w:after="120"/>
      </w:pPr>
      <w:bookmarkStart w:id="166" w:name="_Toc36275129"/>
      <w:r w:rsidRPr="00A77AF6">
        <w:t xml:space="preserve">Project governance and </w:t>
      </w:r>
      <w:r w:rsidR="00776918" w:rsidRPr="00A77AF6">
        <w:t xml:space="preserve">project </w:t>
      </w:r>
      <w:r w:rsidRPr="00A77AF6">
        <w:t>success</w:t>
      </w:r>
      <w:bookmarkEnd w:id="166"/>
      <w:r w:rsidRPr="00A77AF6">
        <w:t xml:space="preserve"> </w:t>
      </w:r>
    </w:p>
    <w:p w14:paraId="76E024C7" w14:textId="51BA1B99" w:rsidR="00B445B3" w:rsidRPr="00A77AF6" w:rsidRDefault="00B445B3" w:rsidP="00B445B3">
      <w:pPr>
        <w:spacing w:line="360" w:lineRule="auto"/>
      </w:pPr>
      <w:r w:rsidRPr="00A77AF6">
        <w:t xml:space="preserve">This section presents </w:t>
      </w:r>
      <w:r w:rsidR="000919BC" w:rsidRPr="00A77AF6">
        <w:t xml:space="preserve">the </w:t>
      </w:r>
      <w:r w:rsidR="00D54148" w:rsidRPr="00A77AF6">
        <w:t xml:space="preserve">results for </w:t>
      </w:r>
      <w:r w:rsidRPr="00A77AF6">
        <w:t xml:space="preserve">the effectiveness of project governance in the project management phase </w:t>
      </w:r>
    </w:p>
    <w:p w14:paraId="43F76477" w14:textId="3B2E13C9" w:rsidR="00776918" w:rsidRPr="00A77AF6" w:rsidRDefault="00776918" w:rsidP="00776918">
      <w:pPr>
        <w:pStyle w:val="Heading4"/>
        <w:numPr>
          <w:ilvl w:val="0"/>
          <w:numId w:val="0"/>
        </w:numPr>
        <w:spacing w:after="120"/>
        <w:ind w:left="862" w:hanging="862"/>
      </w:pPr>
      <w:r w:rsidRPr="00A77AF6">
        <w:t xml:space="preserve">Project governance and claimed success </w:t>
      </w:r>
    </w:p>
    <w:p w14:paraId="02609183" w14:textId="018C2C7B" w:rsidR="00776918" w:rsidRPr="00A77AF6" w:rsidRDefault="00DE3198" w:rsidP="00776918">
      <w:pPr>
        <w:spacing w:line="360" w:lineRule="auto"/>
        <w:rPr>
          <w:color w:val="000000" w:themeColor="text1"/>
        </w:rPr>
      </w:pPr>
      <w:r w:rsidRPr="00A77AF6">
        <w:rPr>
          <w:color w:val="000000" w:themeColor="text1"/>
        </w:rPr>
        <w:t>Respondents</w:t>
      </w:r>
      <w:r w:rsidR="00776918" w:rsidRPr="00A77AF6">
        <w:rPr>
          <w:color w:val="000000" w:themeColor="text1"/>
        </w:rPr>
        <w:t xml:space="preserve"> stated whether their project had been successful (yes/ no).  In the absence of a numerical value for project success, each project was allocated a score of nine</w:t>
      </w:r>
      <w:r w:rsidRPr="00A77AF6">
        <w:rPr>
          <w:color w:val="000000" w:themeColor="text1"/>
        </w:rPr>
        <w:t>,</w:t>
      </w:r>
      <w:r w:rsidR="00776918" w:rsidRPr="00A77AF6">
        <w:rPr>
          <w:color w:val="000000" w:themeColor="text1"/>
        </w:rPr>
        <w:t xml:space="preserve"> the point at which a project would have been judged as successful</w:t>
      </w:r>
      <w:r w:rsidRPr="00A77AF6">
        <w:rPr>
          <w:color w:val="000000" w:themeColor="text1"/>
        </w:rPr>
        <w:t xml:space="preserve"> </w:t>
      </w:r>
      <w:r w:rsidR="00776918" w:rsidRPr="00A77AF6">
        <w:rPr>
          <w:color w:val="000000" w:themeColor="text1"/>
        </w:rPr>
        <w:t xml:space="preserve">if all three measures of time, cost and quality were met.  Fifty people answered this question. Five projects are excluded where respondents caveated their answer. The data suggests is that project success is not influenced by project governance. For example, Project 4 had a governance score of 11, the lowest of this sample, but was still considered to be successful by the respondent who had worked on the project (Figure 6-7). (Appendix </w:t>
      </w:r>
      <w:r w:rsidR="00133FC8" w:rsidRPr="00A77AF6">
        <w:rPr>
          <w:color w:val="000000" w:themeColor="text1"/>
        </w:rPr>
        <w:t>J</w:t>
      </w:r>
      <w:r w:rsidR="00776918" w:rsidRPr="00A77AF6">
        <w:rPr>
          <w:color w:val="000000" w:themeColor="text1"/>
        </w:rPr>
        <w:t xml:space="preserve"> for full data set).</w:t>
      </w:r>
    </w:p>
    <w:p w14:paraId="5636AE25" w14:textId="77777777" w:rsidR="00776918" w:rsidRPr="00A77AF6" w:rsidRDefault="002800C9" w:rsidP="00776918">
      <w:pPr>
        <w:keepNext/>
      </w:pPr>
      <w:r w:rsidRPr="00A77AF6">
        <w:rPr>
          <w:noProof/>
        </w:rPr>
        <w:drawing>
          <wp:inline distT="0" distB="0" distL="0" distR="0" wp14:anchorId="219F989B" wp14:editId="1F3D9E1F">
            <wp:extent cx="4521573" cy="2719187"/>
            <wp:effectExtent l="0" t="0" r="12700" b="5080"/>
            <wp:docPr id="13" name="Chart 13">
              <a:extLst xmlns:a="http://schemas.openxmlformats.org/drawingml/2006/main">
                <a:ext uri="{FF2B5EF4-FFF2-40B4-BE49-F238E27FC236}">
                  <a16:creationId xmlns:a16="http://schemas.microsoft.com/office/drawing/2014/main" id="{7BE37F1E-72DB-4FBC-A63E-DD543454D4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9E0D9BB" w14:textId="5A8D8525" w:rsidR="002800C9" w:rsidRPr="00A77AF6" w:rsidRDefault="00776918" w:rsidP="00DE3198">
      <w:pPr>
        <w:pStyle w:val="Caption"/>
        <w:spacing w:after="240"/>
        <w:rPr>
          <w:highlight w:val="yellow"/>
        </w:rPr>
      </w:pPr>
      <w:bookmarkStart w:id="167" w:name="_Toc36186983"/>
      <w:r w:rsidRPr="00A77AF6">
        <w:t xml:space="preserve">Figure </w:t>
      </w:r>
      <w:fldSimple w:instr=" STYLEREF 1 \s ">
        <w:r w:rsidR="000441F7">
          <w:rPr>
            <w:noProof/>
          </w:rPr>
          <w:t>6</w:t>
        </w:r>
      </w:fldSimple>
      <w:r w:rsidR="00BA5DC4">
        <w:noBreakHyphen/>
      </w:r>
      <w:fldSimple w:instr=" SEQ Figure \* ARABIC \s 1 ">
        <w:r w:rsidR="000441F7">
          <w:rPr>
            <w:noProof/>
          </w:rPr>
          <w:t>7</w:t>
        </w:r>
      </w:fldSimple>
      <w:r w:rsidRPr="00A77AF6">
        <w:t>: Project Governance and claimed success</w:t>
      </w:r>
      <w:bookmarkEnd w:id="167"/>
    </w:p>
    <w:p w14:paraId="18770A52" w14:textId="56E56E43" w:rsidR="00A248AF" w:rsidRPr="00A77AF6" w:rsidRDefault="00AA6CEA" w:rsidP="00035719">
      <w:pPr>
        <w:pStyle w:val="Heading4"/>
        <w:numPr>
          <w:ilvl w:val="0"/>
          <w:numId w:val="0"/>
        </w:numPr>
        <w:shd w:val="clear" w:color="auto" w:fill="FFFFFF" w:themeFill="background1"/>
        <w:spacing w:after="120"/>
        <w:ind w:left="862" w:hanging="862"/>
      </w:pPr>
      <w:r w:rsidRPr="00A77AF6">
        <w:t xml:space="preserve">Correlation </w:t>
      </w:r>
      <w:r w:rsidR="001C10B5" w:rsidRPr="00A77AF6">
        <w:t>of</w:t>
      </w:r>
      <w:r w:rsidRPr="00A77AF6">
        <w:t xml:space="preserve"> project governance and i</w:t>
      </w:r>
      <w:r w:rsidR="00A248AF" w:rsidRPr="00A77AF6">
        <w:t xml:space="preserve">ron </w:t>
      </w:r>
      <w:r w:rsidRPr="00A77AF6">
        <w:t>t</w:t>
      </w:r>
      <w:r w:rsidR="00A248AF" w:rsidRPr="00A77AF6">
        <w:t>riangle</w:t>
      </w:r>
      <w:r w:rsidRPr="00A77AF6">
        <w:t xml:space="preserve"> success</w:t>
      </w:r>
      <w:r w:rsidR="00A248AF" w:rsidRPr="00A77AF6">
        <w:t xml:space="preserve"> </w:t>
      </w:r>
      <w:r w:rsidR="00082B0A" w:rsidRPr="00A77AF6">
        <w:t>(n=11)</w:t>
      </w:r>
    </w:p>
    <w:p w14:paraId="243518F1" w14:textId="3E6781E4" w:rsidR="00B81E8D" w:rsidRPr="00A77AF6" w:rsidRDefault="006E2330" w:rsidP="00B81E8D">
      <w:pPr>
        <w:spacing w:after="240" w:line="360" w:lineRule="auto"/>
      </w:pPr>
      <w:r w:rsidRPr="00A77AF6">
        <w:t>T</w:t>
      </w:r>
      <w:r w:rsidR="00B81E8D" w:rsidRPr="00A77AF6">
        <w:t>he project success score and the project governance effectiveness score for the 11 project</w:t>
      </w:r>
      <w:r w:rsidR="00D76AB9" w:rsidRPr="00A77AF6">
        <w:t>s</w:t>
      </w:r>
      <w:r w:rsidR="00B81E8D" w:rsidRPr="00A77AF6">
        <w:t xml:space="preserve"> that met the success criteria of the iron triangle</w:t>
      </w:r>
      <w:r w:rsidRPr="00A77AF6">
        <w:t xml:space="preserve"> are in Table 6-30. </w:t>
      </w:r>
      <w:r w:rsidR="00B81E8D" w:rsidRPr="00A77AF6">
        <w:t xml:space="preserve">These results were correlated to establish whether there was a linear relationship between them </w:t>
      </w:r>
      <w:r w:rsidR="00FF59BC" w:rsidRPr="00A77AF6">
        <w:t xml:space="preserve">(Figure 6-8).  </w:t>
      </w:r>
    </w:p>
    <w:p w14:paraId="7FE13C55" w14:textId="77777777" w:rsidR="00DE3198" w:rsidRPr="00A77AF6" w:rsidRDefault="00DE3198" w:rsidP="00B81E8D">
      <w:pPr>
        <w:spacing w:after="240" w:line="360" w:lineRule="auto"/>
      </w:pPr>
    </w:p>
    <w:p w14:paraId="43B9E993" w14:textId="77777777" w:rsidR="00DE3198" w:rsidRPr="00A77AF6" w:rsidRDefault="00DE3198" w:rsidP="00B81E8D">
      <w:pPr>
        <w:spacing w:after="240" w:line="360" w:lineRule="auto"/>
      </w:pPr>
    </w:p>
    <w:p w14:paraId="14C10AC0" w14:textId="04868FAC" w:rsidR="00B81E8D" w:rsidRPr="00A77AF6" w:rsidRDefault="00B81E8D" w:rsidP="00B81E8D">
      <w:pPr>
        <w:spacing w:after="0" w:line="360" w:lineRule="auto"/>
        <w:rPr>
          <w:i/>
          <w:iCs/>
          <w:sz w:val="18"/>
          <w:szCs w:val="18"/>
        </w:rPr>
      </w:pPr>
      <w:r w:rsidRPr="00A77AF6">
        <w:rPr>
          <w:i/>
          <w:iCs/>
          <w:sz w:val="18"/>
          <w:szCs w:val="18"/>
        </w:rPr>
        <w:lastRenderedPageBreak/>
        <w:t xml:space="preserve">Table </w:t>
      </w:r>
      <w:r w:rsidR="00804112">
        <w:rPr>
          <w:i/>
          <w:iCs/>
          <w:sz w:val="18"/>
          <w:szCs w:val="18"/>
        </w:rPr>
        <w:fldChar w:fldCharType="begin"/>
      </w:r>
      <w:r w:rsidR="00804112">
        <w:rPr>
          <w:i/>
          <w:iCs/>
          <w:sz w:val="18"/>
          <w:szCs w:val="18"/>
        </w:rPr>
        <w:instrText xml:space="preserve"> STYLEREF 1 \s </w:instrText>
      </w:r>
      <w:r w:rsidR="00804112">
        <w:rPr>
          <w:i/>
          <w:iCs/>
          <w:sz w:val="18"/>
          <w:szCs w:val="18"/>
        </w:rPr>
        <w:fldChar w:fldCharType="separate"/>
      </w:r>
      <w:r w:rsidR="000441F7">
        <w:rPr>
          <w:i/>
          <w:iCs/>
          <w:noProof/>
          <w:sz w:val="18"/>
          <w:szCs w:val="18"/>
        </w:rPr>
        <w:t>6</w:t>
      </w:r>
      <w:r w:rsidR="00804112">
        <w:rPr>
          <w:i/>
          <w:iCs/>
          <w:sz w:val="18"/>
          <w:szCs w:val="18"/>
        </w:rPr>
        <w:fldChar w:fldCharType="end"/>
      </w:r>
      <w:r w:rsidR="00804112">
        <w:rPr>
          <w:i/>
          <w:iCs/>
          <w:sz w:val="18"/>
          <w:szCs w:val="18"/>
        </w:rPr>
        <w:noBreakHyphen/>
      </w:r>
      <w:r w:rsidR="00804112">
        <w:rPr>
          <w:i/>
          <w:iCs/>
          <w:sz w:val="18"/>
          <w:szCs w:val="18"/>
        </w:rPr>
        <w:fldChar w:fldCharType="begin"/>
      </w:r>
      <w:r w:rsidR="00804112">
        <w:rPr>
          <w:i/>
          <w:iCs/>
          <w:sz w:val="18"/>
          <w:szCs w:val="18"/>
        </w:rPr>
        <w:instrText xml:space="preserve"> SEQ Table \* ARABIC \s 1 </w:instrText>
      </w:r>
      <w:r w:rsidR="00804112">
        <w:rPr>
          <w:i/>
          <w:iCs/>
          <w:sz w:val="18"/>
          <w:szCs w:val="18"/>
        </w:rPr>
        <w:fldChar w:fldCharType="separate"/>
      </w:r>
      <w:r w:rsidR="000441F7">
        <w:rPr>
          <w:i/>
          <w:iCs/>
          <w:noProof/>
          <w:sz w:val="18"/>
          <w:szCs w:val="18"/>
        </w:rPr>
        <w:t>30</w:t>
      </w:r>
      <w:r w:rsidR="00804112">
        <w:rPr>
          <w:i/>
          <w:iCs/>
          <w:sz w:val="18"/>
          <w:szCs w:val="18"/>
        </w:rPr>
        <w:fldChar w:fldCharType="end"/>
      </w:r>
      <w:r w:rsidRPr="00A77AF6">
        <w:rPr>
          <w:i/>
          <w:iCs/>
          <w:sz w:val="18"/>
          <w:szCs w:val="18"/>
        </w:rPr>
        <w:t>: Project governance and iron triangle success scores (n=11)</w:t>
      </w:r>
    </w:p>
    <w:tbl>
      <w:tblPr>
        <w:tblW w:w="5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2037"/>
        <w:gridCol w:w="2126"/>
      </w:tblGrid>
      <w:tr w:rsidR="00B81E8D" w:rsidRPr="00A77AF6" w14:paraId="2DA91A39" w14:textId="77777777" w:rsidTr="00860FB0">
        <w:trPr>
          <w:trHeight w:val="300"/>
        </w:trPr>
        <w:tc>
          <w:tcPr>
            <w:tcW w:w="1224" w:type="dxa"/>
            <w:shd w:val="clear" w:color="auto" w:fill="D9D9D9" w:themeFill="background1" w:themeFillShade="D9"/>
          </w:tcPr>
          <w:p w14:paraId="4CC61D9F" w14:textId="77777777" w:rsidR="00B81E8D" w:rsidRPr="00A77AF6" w:rsidRDefault="00B81E8D" w:rsidP="00860FB0">
            <w:pPr>
              <w:spacing w:after="0" w:line="240" w:lineRule="auto"/>
              <w:jc w:val="center"/>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Unique Project id</w:t>
            </w:r>
          </w:p>
        </w:tc>
        <w:tc>
          <w:tcPr>
            <w:tcW w:w="2037" w:type="dxa"/>
            <w:shd w:val="clear" w:color="auto" w:fill="D9D9D9" w:themeFill="background1" w:themeFillShade="D9"/>
            <w:noWrap/>
          </w:tcPr>
          <w:p w14:paraId="676B4D9A" w14:textId="77777777" w:rsidR="00B81E8D" w:rsidRPr="00A77AF6" w:rsidRDefault="00B81E8D" w:rsidP="00860FB0">
            <w:pPr>
              <w:spacing w:after="0" w:line="240" w:lineRule="auto"/>
              <w:jc w:val="center"/>
              <w:rPr>
                <w:rFonts w:ascii="Calibri" w:eastAsia="Times New Roman" w:hAnsi="Calibri" w:cs="Calibri"/>
                <w:color w:val="FF0000"/>
                <w:sz w:val="20"/>
                <w:szCs w:val="20"/>
                <w:lang w:eastAsia="en-GB"/>
              </w:rPr>
            </w:pPr>
            <w:r w:rsidRPr="00A77AF6">
              <w:rPr>
                <w:rFonts w:ascii="Calibri" w:eastAsia="Times New Roman" w:hAnsi="Calibri" w:cs="Calibri"/>
                <w:color w:val="000000"/>
                <w:sz w:val="20"/>
                <w:szCs w:val="20"/>
                <w:lang w:eastAsia="en-GB"/>
              </w:rPr>
              <w:t>Project success score</w:t>
            </w:r>
          </w:p>
        </w:tc>
        <w:tc>
          <w:tcPr>
            <w:tcW w:w="2126" w:type="dxa"/>
            <w:shd w:val="clear" w:color="auto" w:fill="D9D9D9" w:themeFill="background1" w:themeFillShade="D9"/>
          </w:tcPr>
          <w:p w14:paraId="1A8CFBEB" w14:textId="77777777" w:rsidR="00B81E8D" w:rsidRPr="00A77AF6" w:rsidRDefault="00B81E8D" w:rsidP="00860FB0">
            <w:pPr>
              <w:spacing w:after="0" w:line="240" w:lineRule="auto"/>
              <w:jc w:val="center"/>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Perceived project governance effectiveness score</w:t>
            </w:r>
          </w:p>
        </w:tc>
      </w:tr>
      <w:tr w:rsidR="00B81E8D" w:rsidRPr="00A77AF6" w14:paraId="118CECB5" w14:textId="77777777" w:rsidTr="00860FB0">
        <w:trPr>
          <w:trHeight w:val="300"/>
        </w:trPr>
        <w:tc>
          <w:tcPr>
            <w:tcW w:w="1224" w:type="dxa"/>
            <w:vAlign w:val="bottom"/>
          </w:tcPr>
          <w:p w14:paraId="4B5FCADB" w14:textId="77777777" w:rsidR="00B81E8D" w:rsidRPr="00A77AF6" w:rsidRDefault="00B81E8D"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themeColor="text1"/>
                <w:sz w:val="20"/>
                <w:szCs w:val="20"/>
              </w:rPr>
              <w:t>67</w:t>
            </w:r>
          </w:p>
        </w:tc>
        <w:tc>
          <w:tcPr>
            <w:tcW w:w="2037" w:type="dxa"/>
            <w:shd w:val="clear" w:color="auto" w:fill="auto"/>
            <w:noWrap/>
            <w:vAlign w:val="bottom"/>
          </w:tcPr>
          <w:p w14:paraId="34F61EB5" w14:textId="77777777" w:rsidR="00B81E8D" w:rsidRPr="00A77AF6" w:rsidRDefault="00B81E8D"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sz w:val="20"/>
                <w:szCs w:val="20"/>
              </w:rPr>
              <w:t>9</w:t>
            </w:r>
          </w:p>
        </w:tc>
        <w:tc>
          <w:tcPr>
            <w:tcW w:w="2126" w:type="dxa"/>
            <w:vAlign w:val="bottom"/>
          </w:tcPr>
          <w:p w14:paraId="6104D5DA" w14:textId="77777777" w:rsidR="00B81E8D" w:rsidRPr="00A77AF6" w:rsidRDefault="00B81E8D"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eastAsia="Times New Roman" w:hAnsi="Calibri" w:cs="Calibri"/>
                <w:color w:val="000000" w:themeColor="text1"/>
                <w:sz w:val="20"/>
                <w:szCs w:val="20"/>
                <w:lang w:eastAsia="en-GB"/>
              </w:rPr>
              <w:t>25</w:t>
            </w:r>
          </w:p>
        </w:tc>
      </w:tr>
      <w:tr w:rsidR="00B81E8D" w:rsidRPr="00A77AF6" w14:paraId="10749AE4" w14:textId="77777777" w:rsidTr="00860FB0">
        <w:trPr>
          <w:trHeight w:val="300"/>
        </w:trPr>
        <w:tc>
          <w:tcPr>
            <w:tcW w:w="1224" w:type="dxa"/>
            <w:vAlign w:val="bottom"/>
          </w:tcPr>
          <w:p w14:paraId="66618D6E" w14:textId="77777777" w:rsidR="00B81E8D" w:rsidRPr="00A77AF6" w:rsidRDefault="00B81E8D"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themeColor="text1"/>
                <w:sz w:val="20"/>
                <w:szCs w:val="20"/>
              </w:rPr>
              <w:t>84</w:t>
            </w:r>
          </w:p>
        </w:tc>
        <w:tc>
          <w:tcPr>
            <w:tcW w:w="2037" w:type="dxa"/>
            <w:shd w:val="clear" w:color="auto" w:fill="auto"/>
            <w:noWrap/>
            <w:vAlign w:val="bottom"/>
          </w:tcPr>
          <w:p w14:paraId="477B9F36" w14:textId="77777777" w:rsidR="00B81E8D" w:rsidRPr="00A77AF6" w:rsidRDefault="00B81E8D"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sz w:val="20"/>
                <w:szCs w:val="20"/>
              </w:rPr>
              <w:t>10</w:t>
            </w:r>
          </w:p>
        </w:tc>
        <w:tc>
          <w:tcPr>
            <w:tcW w:w="2126" w:type="dxa"/>
            <w:vAlign w:val="bottom"/>
          </w:tcPr>
          <w:p w14:paraId="6C97A3D2" w14:textId="77777777" w:rsidR="00B81E8D" w:rsidRPr="00A77AF6" w:rsidRDefault="00B81E8D"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eastAsia="Times New Roman" w:hAnsi="Calibri" w:cs="Calibri"/>
                <w:color w:val="000000" w:themeColor="text1"/>
                <w:sz w:val="20"/>
                <w:szCs w:val="20"/>
                <w:lang w:eastAsia="en-GB"/>
              </w:rPr>
              <w:t>22</w:t>
            </w:r>
          </w:p>
        </w:tc>
      </w:tr>
      <w:tr w:rsidR="00B81E8D" w:rsidRPr="00A77AF6" w14:paraId="622BEC17" w14:textId="77777777" w:rsidTr="00860FB0">
        <w:trPr>
          <w:trHeight w:val="300"/>
        </w:trPr>
        <w:tc>
          <w:tcPr>
            <w:tcW w:w="1224" w:type="dxa"/>
            <w:vAlign w:val="bottom"/>
          </w:tcPr>
          <w:p w14:paraId="6466CA02" w14:textId="77777777" w:rsidR="00B81E8D" w:rsidRPr="00A77AF6" w:rsidRDefault="00B81E8D"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themeColor="text1"/>
                <w:sz w:val="20"/>
                <w:szCs w:val="20"/>
              </w:rPr>
              <w:t>87</w:t>
            </w:r>
          </w:p>
        </w:tc>
        <w:tc>
          <w:tcPr>
            <w:tcW w:w="2037" w:type="dxa"/>
            <w:shd w:val="clear" w:color="auto" w:fill="auto"/>
            <w:noWrap/>
            <w:vAlign w:val="bottom"/>
          </w:tcPr>
          <w:p w14:paraId="56609CDF" w14:textId="77777777" w:rsidR="00B81E8D" w:rsidRPr="00A77AF6" w:rsidRDefault="00B81E8D"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sz w:val="20"/>
                <w:szCs w:val="20"/>
              </w:rPr>
              <w:t>9</w:t>
            </w:r>
          </w:p>
        </w:tc>
        <w:tc>
          <w:tcPr>
            <w:tcW w:w="2126" w:type="dxa"/>
            <w:vAlign w:val="bottom"/>
          </w:tcPr>
          <w:p w14:paraId="536EF14D" w14:textId="77777777" w:rsidR="00B81E8D" w:rsidRPr="00A77AF6" w:rsidRDefault="00B81E8D"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eastAsia="Times New Roman" w:hAnsi="Calibri" w:cs="Calibri"/>
                <w:color w:val="000000" w:themeColor="text1"/>
                <w:sz w:val="20"/>
                <w:szCs w:val="20"/>
                <w:lang w:eastAsia="en-GB"/>
              </w:rPr>
              <w:t>23</w:t>
            </w:r>
          </w:p>
        </w:tc>
      </w:tr>
      <w:tr w:rsidR="00B81E8D" w:rsidRPr="00A77AF6" w14:paraId="54829856" w14:textId="77777777" w:rsidTr="00860FB0">
        <w:trPr>
          <w:trHeight w:val="300"/>
        </w:trPr>
        <w:tc>
          <w:tcPr>
            <w:tcW w:w="1224" w:type="dxa"/>
            <w:vAlign w:val="bottom"/>
          </w:tcPr>
          <w:p w14:paraId="4A0D1562" w14:textId="77777777" w:rsidR="00B81E8D" w:rsidRPr="00A77AF6" w:rsidRDefault="00B81E8D"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themeColor="text1"/>
                <w:sz w:val="20"/>
                <w:szCs w:val="20"/>
              </w:rPr>
              <w:t>93</w:t>
            </w:r>
          </w:p>
        </w:tc>
        <w:tc>
          <w:tcPr>
            <w:tcW w:w="2037" w:type="dxa"/>
            <w:shd w:val="clear" w:color="auto" w:fill="auto"/>
            <w:noWrap/>
            <w:vAlign w:val="bottom"/>
          </w:tcPr>
          <w:p w14:paraId="72FA2112" w14:textId="77777777" w:rsidR="00B81E8D" w:rsidRPr="00A77AF6" w:rsidRDefault="00B81E8D"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sz w:val="20"/>
                <w:szCs w:val="20"/>
              </w:rPr>
              <w:t>9</w:t>
            </w:r>
          </w:p>
        </w:tc>
        <w:tc>
          <w:tcPr>
            <w:tcW w:w="2126" w:type="dxa"/>
            <w:vAlign w:val="bottom"/>
          </w:tcPr>
          <w:p w14:paraId="00D3B2E4" w14:textId="77777777" w:rsidR="00B81E8D" w:rsidRPr="00A77AF6" w:rsidRDefault="00B81E8D"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eastAsia="Times New Roman" w:hAnsi="Calibri" w:cs="Calibri"/>
                <w:color w:val="000000" w:themeColor="text1"/>
                <w:sz w:val="20"/>
                <w:szCs w:val="20"/>
                <w:lang w:eastAsia="en-GB"/>
              </w:rPr>
              <w:t>23</w:t>
            </w:r>
          </w:p>
        </w:tc>
      </w:tr>
      <w:tr w:rsidR="00B81E8D" w:rsidRPr="00A77AF6" w14:paraId="17064AB1" w14:textId="77777777" w:rsidTr="00860FB0">
        <w:trPr>
          <w:trHeight w:val="300"/>
        </w:trPr>
        <w:tc>
          <w:tcPr>
            <w:tcW w:w="1224" w:type="dxa"/>
            <w:vAlign w:val="bottom"/>
          </w:tcPr>
          <w:p w14:paraId="311B0E56" w14:textId="77777777" w:rsidR="00B81E8D" w:rsidRPr="00A77AF6" w:rsidRDefault="00B81E8D"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themeColor="text1"/>
                <w:sz w:val="20"/>
                <w:szCs w:val="20"/>
              </w:rPr>
              <w:t>103</w:t>
            </w:r>
          </w:p>
        </w:tc>
        <w:tc>
          <w:tcPr>
            <w:tcW w:w="2037" w:type="dxa"/>
            <w:shd w:val="clear" w:color="auto" w:fill="auto"/>
            <w:noWrap/>
            <w:vAlign w:val="bottom"/>
          </w:tcPr>
          <w:p w14:paraId="7601B82E" w14:textId="77777777" w:rsidR="00B81E8D" w:rsidRPr="00A77AF6" w:rsidRDefault="00B81E8D"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sz w:val="20"/>
                <w:szCs w:val="20"/>
              </w:rPr>
              <w:t>10</w:t>
            </w:r>
          </w:p>
        </w:tc>
        <w:tc>
          <w:tcPr>
            <w:tcW w:w="2126" w:type="dxa"/>
            <w:vAlign w:val="bottom"/>
          </w:tcPr>
          <w:p w14:paraId="3B03ACBB" w14:textId="77777777" w:rsidR="00B81E8D" w:rsidRPr="00A77AF6" w:rsidRDefault="00B81E8D"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eastAsia="Times New Roman" w:hAnsi="Calibri" w:cs="Calibri"/>
                <w:color w:val="000000" w:themeColor="text1"/>
                <w:sz w:val="20"/>
                <w:szCs w:val="20"/>
                <w:lang w:eastAsia="en-GB"/>
              </w:rPr>
              <w:t>21</w:t>
            </w:r>
          </w:p>
        </w:tc>
      </w:tr>
      <w:tr w:rsidR="00B81E8D" w:rsidRPr="00A77AF6" w14:paraId="7FF21536" w14:textId="77777777" w:rsidTr="00860FB0">
        <w:trPr>
          <w:trHeight w:val="300"/>
        </w:trPr>
        <w:tc>
          <w:tcPr>
            <w:tcW w:w="1224" w:type="dxa"/>
            <w:vAlign w:val="bottom"/>
          </w:tcPr>
          <w:p w14:paraId="676C2A16" w14:textId="77777777" w:rsidR="00B81E8D" w:rsidRPr="00A77AF6" w:rsidRDefault="00B81E8D"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themeColor="text1"/>
                <w:sz w:val="20"/>
                <w:szCs w:val="20"/>
              </w:rPr>
              <w:t>105</w:t>
            </w:r>
          </w:p>
        </w:tc>
        <w:tc>
          <w:tcPr>
            <w:tcW w:w="2037" w:type="dxa"/>
            <w:shd w:val="clear" w:color="auto" w:fill="auto"/>
            <w:noWrap/>
            <w:vAlign w:val="bottom"/>
          </w:tcPr>
          <w:p w14:paraId="3B977A44" w14:textId="77777777" w:rsidR="00B81E8D" w:rsidRPr="00A77AF6" w:rsidRDefault="00B81E8D"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sz w:val="20"/>
                <w:szCs w:val="20"/>
              </w:rPr>
              <w:t>9</w:t>
            </w:r>
          </w:p>
        </w:tc>
        <w:tc>
          <w:tcPr>
            <w:tcW w:w="2126" w:type="dxa"/>
            <w:vAlign w:val="bottom"/>
          </w:tcPr>
          <w:p w14:paraId="3D3A483D" w14:textId="77777777" w:rsidR="00B81E8D" w:rsidRPr="00A77AF6" w:rsidRDefault="00B81E8D"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eastAsia="Times New Roman" w:hAnsi="Calibri" w:cs="Calibri"/>
                <w:color w:val="000000" w:themeColor="text1"/>
                <w:sz w:val="20"/>
                <w:szCs w:val="20"/>
                <w:lang w:eastAsia="en-GB"/>
              </w:rPr>
              <w:t>25</w:t>
            </w:r>
          </w:p>
        </w:tc>
      </w:tr>
      <w:tr w:rsidR="00B81E8D" w:rsidRPr="00A77AF6" w14:paraId="521FB5F9" w14:textId="77777777" w:rsidTr="00860FB0">
        <w:trPr>
          <w:trHeight w:val="300"/>
        </w:trPr>
        <w:tc>
          <w:tcPr>
            <w:tcW w:w="1224" w:type="dxa"/>
            <w:vAlign w:val="bottom"/>
          </w:tcPr>
          <w:p w14:paraId="0524BCA5" w14:textId="77777777" w:rsidR="00B81E8D" w:rsidRPr="00A77AF6" w:rsidRDefault="00B81E8D"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themeColor="text1"/>
                <w:sz w:val="20"/>
                <w:szCs w:val="20"/>
              </w:rPr>
              <w:t>114</w:t>
            </w:r>
          </w:p>
        </w:tc>
        <w:tc>
          <w:tcPr>
            <w:tcW w:w="2037" w:type="dxa"/>
            <w:shd w:val="clear" w:color="auto" w:fill="auto"/>
            <w:noWrap/>
            <w:vAlign w:val="bottom"/>
          </w:tcPr>
          <w:p w14:paraId="6D65BB83" w14:textId="77777777" w:rsidR="00B81E8D" w:rsidRPr="00A77AF6" w:rsidRDefault="00B81E8D"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sz w:val="20"/>
                <w:szCs w:val="20"/>
              </w:rPr>
              <w:t>9</w:t>
            </w:r>
          </w:p>
        </w:tc>
        <w:tc>
          <w:tcPr>
            <w:tcW w:w="2126" w:type="dxa"/>
            <w:vAlign w:val="bottom"/>
          </w:tcPr>
          <w:p w14:paraId="72D78BEB" w14:textId="77777777" w:rsidR="00B81E8D" w:rsidRPr="00A77AF6" w:rsidRDefault="00B81E8D"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eastAsia="Times New Roman" w:hAnsi="Calibri" w:cs="Calibri"/>
                <w:color w:val="000000" w:themeColor="text1"/>
                <w:sz w:val="20"/>
                <w:szCs w:val="20"/>
                <w:lang w:eastAsia="en-GB"/>
              </w:rPr>
              <w:t>24</w:t>
            </w:r>
          </w:p>
        </w:tc>
      </w:tr>
      <w:tr w:rsidR="00B81E8D" w:rsidRPr="00A77AF6" w14:paraId="20D316F6" w14:textId="77777777" w:rsidTr="00860FB0">
        <w:trPr>
          <w:trHeight w:val="300"/>
        </w:trPr>
        <w:tc>
          <w:tcPr>
            <w:tcW w:w="1224" w:type="dxa"/>
            <w:vAlign w:val="bottom"/>
          </w:tcPr>
          <w:p w14:paraId="2594F830" w14:textId="77777777" w:rsidR="00B81E8D" w:rsidRPr="00A77AF6" w:rsidRDefault="00B81E8D"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themeColor="text1"/>
                <w:sz w:val="20"/>
                <w:szCs w:val="20"/>
              </w:rPr>
              <w:t>116</w:t>
            </w:r>
          </w:p>
        </w:tc>
        <w:tc>
          <w:tcPr>
            <w:tcW w:w="2037" w:type="dxa"/>
            <w:shd w:val="clear" w:color="auto" w:fill="auto"/>
            <w:noWrap/>
            <w:vAlign w:val="bottom"/>
          </w:tcPr>
          <w:p w14:paraId="5F01FE09" w14:textId="77777777" w:rsidR="00B81E8D" w:rsidRPr="00A77AF6" w:rsidRDefault="00B81E8D"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sz w:val="20"/>
                <w:szCs w:val="20"/>
              </w:rPr>
              <w:t>9</w:t>
            </w:r>
          </w:p>
        </w:tc>
        <w:tc>
          <w:tcPr>
            <w:tcW w:w="2126" w:type="dxa"/>
            <w:vAlign w:val="bottom"/>
          </w:tcPr>
          <w:p w14:paraId="6A7B8CBD" w14:textId="77777777" w:rsidR="00B81E8D" w:rsidRPr="00A77AF6" w:rsidRDefault="00B81E8D"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eastAsia="Times New Roman" w:hAnsi="Calibri" w:cs="Calibri"/>
                <w:color w:val="000000" w:themeColor="text1"/>
                <w:sz w:val="20"/>
                <w:szCs w:val="20"/>
                <w:lang w:eastAsia="en-GB"/>
              </w:rPr>
              <w:t>23</w:t>
            </w:r>
          </w:p>
        </w:tc>
      </w:tr>
      <w:tr w:rsidR="00B81E8D" w:rsidRPr="00A77AF6" w14:paraId="244C1D6A" w14:textId="77777777" w:rsidTr="00860FB0">
        <w:trPr>
          <w:trHeight w:val="300"/>
        </w:trPr>
        <w:tc>
          <w:tcPr>
            <w:tcW w:w="1224" w:type="dxa"/>
            <w:vAlign w:val="bottom"/>
          </w:tcPr>
          <w:p w14:paraId="5D24AF36" w14:textId="77777777" w:rsidR="00B81E8D" w:rsidRPr="00A77AF6" w:rsidRDefault="00B81E8D"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themeColor="text1"/>
                <w:sz w:val="20"/>
                <w:szCs w:val="20"/>
              </w:rPr>
              <w:t>141</w:t>
            </w:r>
          </w:p>
        </w:tc>
        <w:tc>
          <w:tcPr>
            <w:tcW w:w="2037" w:type="dxa"/>
            <w:shd w:val="clear" w:color="auto" w:fill="auto"/>
            <w:noWrap/>
            <w:vAlign w:val="bottom"/>
          </w:tcPr>
          <w:p w14:paraId="63628E45" w14:textId="77777777" w:rsidR="00B81E8D" w:rsidRPr="00A77AF6" w:rsidRDefault="00B81E8D"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sz w:val="20"/>
                <w:szCs w:val="20"/>
              </w:rPr>
              <w:t>9</w:t>
            </w:r>
          </w:p>
        </w:tc>
        <w:tc>
          <w:tcPr>
            <w:tcW w:w="2126" w:type="dxa"/>
            <w:vAlign w:val="bottom"/>
          </w:tcPr>
          <w:p w14:paraId="56F8DD3C" w14:textId="77777777" w:rsidR="00B81E8D" w:rsidRPr="00A77AF6" w:rsidRDefault="00B81E8D"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eastAsia="Times New Roman" w:hAnsi="Calibri" w:cs="Calibri"/>
                <w:color w:val="000000" w:themeColor="text1"/>
                <w:sz w:val="20"/>
                <w:szCs w:val="20"/>
                <w:lang w:eastAsia="en-GB"/>
              </w:rPr>
              <w:t>19</w:t>
            </w:r>
          </w:p>
        </w:tc>
      </w:tr>
      <w:tr w:rsidR="00B81E8D" w:rsidRPr="00A77AF6" w14:paraId="74785BE7" w14:textId="77777777" w:rsidTr="00860FB0">
        <w:trPr>
          <w:trHeight w:val="300"/>
        </w:trPr>
        <w:tc>
          <w:tcPr>
            <w:tcW w:w="1224" w:type="dxa"/>
            <w:vAlign w:val="bottom"/>
          </w:tcPr>
          <w:p w14:paraId="17114473" w14:textId="77777777" w:rsidR="00B81E8D" w:rsidRPr="00A77AF6" w:rsidRDefault="00B81E8D"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themeColor="text1"/>
                <w:sz w:val="20"/>
                <w:szCs w:val="20"/>
              </w:rPr>
              <w:t>145</w:t>
            </w:r>
          </w:p>
        </w:tc>
        <w:tc>
          <w:tcPr>
            <w:tcW w:w="2037" w:type="dxa"/>
            <w:shd w:val="clear" w:color="auto" w:fill="auto"/>
            <w:noWrap/>
            <w:vAlign w:val="bottom"/>
          </w:tcPr>
          <w:p w14:paraId="0C7BBA8F" w14:textId="77777777" w:rsidR="00B81E8D" w:rsidRPr="00A77AF6" w:rsidRDefault="00B81E8D"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sz w:val="20"/>
                <w:szCs w:val="20"/>
              </w:rPr>
              <w:t>10</w:t>
            </w:r>
          </w:p>
        </w:tc>
        <w:tc>
          <w:tcPr>
            <w:tcW w:w="2126" w:type="dxa"/>
            <w:vAlign w:val="bottom"/>
          </w:tcPr>
          <w:p w14:paraId="01B0BE12" w14:textId="77777777" w:rsidR="00B81E8D" w:rsidRPr="00A77AF6" w:rsidRDefault="00B81E8D"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eastAsia="Times New Roman" w:hAnsi="Calibri" w:cs="Calibri"/>
                <w:color w:val="000000" w:themeColor="text1"/>
                <w:sz w:val="20"/>
                <w:szCs w:val="20"/>
                <w:lang w:eastAsia="en-GB"/>
              </w:rPr>
              <w:t>23</w:t>
            </w:r>
          </w:p>
        </w:tc>
      </w:tr>
      <w:tr w:rsidR="00B81E8D" w:rsidRPr="00A77AF6" w14:paraId="39F63610" w14:textId="77777777" w:rsidTr="00860FB0">
        <w:trPr>
          <w:trHeight w:val="300"/>
        </w:trPr>
        <w:tc>
          <w:tcPr>
            <w:tcW w:w="1224" w:type="dxa"/>
            <w:vAlign w:val="bottom"/>
          </w:tcPr>
          <w:p w14:paraId="486AA2EF" w14:textId="77777777" w:rsidR="00B81E8D" w:rsidRPr="00A77AF6" w:rsidRDefault="00B81E8D"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themeColor="text1"/>
                <w:sz w:val="20"/>
                <w:szCs w:val="20"/>
              </w:rPr>
              <w:t>162</w:t>
            </w:r>
          </w:p>
        </w:tc>
        <w:tc>
          <w:tcPr>
            <w:tcW w:w="2037" w:type="dxa"/>
            <w:shd w:val="clear" w:color="auto" w:fill="auto"/>
            <w:noWrap/>
            <w:vAlign w:val="bottom"/>
          </w:tcPr>
          <w:p w14:paraId="3DF97886" w14:textId="77777777" w:rsidR="00B81E8D" w:rsidRPr="00A77AF6" w:rsidRDefault="00B81E8D"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sz w:val="20"/>
                <w:szCs w:val="20"/>
              </w:rPr>
              <w:t>10</w:t>
            </w:r>
          </w:p>
        </w:tc>
        <w:tc>
          <w:tcPr>
            <w:tcW w:w="2126" w:type="dxa"/>
            <w:vAlign w:val="bottom"/>
          </w:tcPr>
          <w:p w14:paraId="26919462" w14:textId="77777777" w:rsidR="00B81E8D" w:rsidRPr="00A77AF6" w:rsidRDefault="00B81E8D"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eastAsia="Times New Roman" w:hAnsi="Calibri" w:cs="Calibri"/>
                <w:color w:val="000000" w:themeColor="text1"/>
                <w:sz w:val="20"/>
                <w:szCs w:val="20"/>
                <w:lang w:eastAsia="en-GB"/>
              </w:rPr>
              <w:t>21</w:t>
            </w:r>
          </w:p>
        </w:tc>
      </w:tr>
    </w:tbl>
    <w:p w14:paraId="3A1B3CA3" w14:textId="75EDDFFD" w:rsidR="00A248AF" w:rsidRPr="00A77AF6" w:rsidRDefault="00A248AF" w:rsidP="00FF59BC">
      <w:pPr>
        <w:pStyle w:val="Caption"/>
        <w:keepNext/>
        <w:spacing w:before="480"/>
      </w:pPr>
      <w:bookmarkStart w:id="168" w:name="_Toc36186984"/>
      <w:r w:rsidRPr="00A77AF6">
        <w:t xml:space="preserve">Figure </w:t>
      </w:r>
      <w:fldSimple w:instr=" STYLEREF 1 \s ">
        <w:r w:rsidR="000441F7">
          <w:rPr>
            <w:noProof/>
          </w:rPr>
          <w:t>6</w:t>
        </w:r>
      </w:fldSimple>
      <w:r w:rsidR="00BA5DC4">
        <w:noBreakHyphen/>
      </w:r>
      <w:fldSimple w:instr=" SEQ Figure \* ARABIC \s 1 ">
        <w:r w:rsidR="000441F7">
          <w:rPr>
            <w:noProof/>
          </w:rPr>
          <w:t>8</w:t>
        </w:r>
      </w:fldSimple>
      <w:r w:rsidRPr="00A77AF6">
        <w:t xml:space="preserve">: </w:t>
      </w:r>
      <w:r w:rsidR="00DE3198" w:rsidRPr="00A77AF6">
        <w:t>C</w:t>
      </w:r>
      <w:r w:rsidRPr="00A77AF6">
        <w:t>orrelation of perceived project governance and iron triangle scores</w:t>
      </w:r>
      <w:bookmarkEnd w:id="168"/>
    </w:p>
    <w:p w14:paraId="41F218D3" w14:textId="77777777" w:rsidR="00A248AF" w:rsidRPr="00A77AF6" w:rsidRDefault="00A248AF" w:rsidP="00A248AF">
      <w:pPr>
        <w:pStyle w:val="Caption"/>
      </w:pPr>
      <w:r w:rsidRPr="00A77AF6">
        <w:rPr>
          <w:noProof/>
          <w:lang w:eastAsia="en-GB"/>
        </w:rPr>
        <w:drawing>
          <wp:inline distT="0" distB="0" distL="0" distR="0" wp14:anchorId="65D403E4" wp14:editId="4AFD12C5">
            <wp:extent cx="4514370" cy="2731193"/>
            <wp:effectExtent l="0" t="0" r="635" b="12065"/>
            <wp:docPr id="234" name="Chart 234">
              <a:extLst xmlns:a="http://schemas.openxmlformats.org/drawingml/2006/main">
                <a:ext uri="{FF2B5EF4-FFF2-40B4-BE49-F238E27FC236}">
                  <a16:creationId xmlns:a16="http://schemas.microsoft.com/office/drawing/2014/main" id="{A2A19DC7-40A9-40FB-AE41-40D275CF3E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82B3F98" w14:textId="03A4AF56" w:rsidR="00035C16" w:rsidRPr="00A77AF6" w:rsidRDefault="006E2330" w:rsidP="00035C16">
      <w:pPr>
        <w:spacing w:line="360" w:lineRule="auto"/>
      </w:pPr>
      <w:r w:rsidRPr="00A77AF6">
        <w:rPr>
          <w:color w:val="000000" w:themeColor="text1"/>
        </w:rPr>
        <w:t>R</w:t>
      </w:r>
      <w:r w:rsidR="00DB03AC" w:rsidRPr="00A77AF6">
        <w:rPr>
          <w:color w:val="000000" w:themeColor="text1"/>
        </w:rPr>
        <w:t>esults show</w:t>
      </w:r>
      <w:r w:rsidRPr="00A77AF6">
        <w:rPr>
          <w:color w:val="000000" w:themeColor="text1"/>
        </w:rPr>
        <w:t xml:space="preserve"> </w:t>
      </w:r>
      <w:r w:rsidR="00DB03AC" w:rsidRPr="00A77AF6">
        <w:t>weak correlation (r=0.26)</w:t>
      </w:r>
      <w:r w:rsidR="00035C16" w:rsidRPr="00A77AF6">
        <w:t xml:space="preserve"> between project governance and iron triangle success. </w:t>
      </w:r>
      <w:r w:rsidR="00FF59BC" w:rsidRPr="00A77AF6">
        <w:t xml:space="preserve"> </w:t>
      </w:r>
      <w:r w:rsidR="00DB03AC" w:rsidRPr="00A77AF6">
        <w:t>R-squared</w:t>
      </w:r>
      <w:r w:rsidR="00035C16" w:rsidRPr="00A77AF6">
        <w:t xml:space="preserve"> (0.069)</w:t>
      </w:r>
      <w:r w:rsidR="00DB03AC" w:rsidRPr="00A77AF6">
        <w:t xml:space="preserve"> shows that the coefficient of determination is low (Table 6-31),</w:t>
      </w:r>
      <w:r w:rsidRPr="00A77AF6">
        <w:t xml:space="preserve"> so</w:t>
      </w:r>
      <w:r w:rsidR="00DB03AC" w:rsidRPr="00A77AF6">
        <w:t xml:space="preserve"> approximately 6.</w:t>
      </w:r>
      <w:r w:rsidR="00E27CC9">
        <w:t>83</w:t>
      </w:r>
      <w:r w:rsidR="00DB03AC" w:rsidRPr="00A77AF6">
        <w:t>% of the variation in project success is due to project governance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×100). </m:t>
        </m:r>
      </m:oMath>
      <w:r w:rsidR="00DB03AC" w:rsidRPr="00A77AF6">
        <w:rPr>
          <w:rFonts w:eastAsiaTheme="minorEastAsia"/>
        </w:rPr>
        <w:t>The P value suggest</w:t>
      </w:r>
      <w:r w:rsidRPr="00A77AF6">
        <w:rPr>
          <w:rFonts w:eastAsiaTheme="minorEastAsia"/>
        </w:rPr>
        <w:t xml:space="preserve">s </w:t>
      </w:r>
      <w:r w:rsidR="00DB03AC" w:rsidRPr="00A77AF6">
        <w:rPr>
          <w:rFonts w:eastAsiaTheme="minorEastAsia"/>
        </w:rPr>
        <w:t xml:space="preserve">that it is unlikely that </w:t>
      </w:r>
      <w:r w:rsidR="00DB03AC" w:rsidRPr="00A77AF6">
        <w:t xml:space="preserve">this result happened by chance (3.3%), calculated as </w:t>
      </w:r>
      <m:oMath>
        <m:r>
          <w:rPr>
            <w:rFonts w:ascii="Cambria Math" w:hAnsi="Cambria Math"/>
          </w:rPr>
          <m:t>1-P×100</m:t>
        </m:r>
        <m:r>
          <m:rPr>
            <m:sty m:val="p"/>
          </m:rPr>
          <w:rPr>
            <w:rFonts w:ascii="Cambria Math" w:eastAsiaTheme="minorEastAsia" w:hAnsi="Cambria Math"/>
          </w:rPr>
          <m:t>.</m:t>
        </m:r>
      </m:oMath>
      <w:r w:rsidR="00035C16" w:rsidRPr="00A77AF6">
        <w:rPr>
          <w:rFonts w:eastAsiaTheme="minorEastAsia"/>
        </w:rPr>
        <w:t xml:space="preserve"> </w:t>
      </w:r>
      <w:r w:rsidR="00035C16" w:rsidRPr="00A77AF6">
        <w:t xml:space="preserve">There is 95% confidence that the correlation coefficient (r) lies between 0.134 and 0.276  </w:t>
      </w:r>
    </w:p>
    <w:p w14:paraId="7D96B272" w14:textId="581EEA72" w:rsidR="00A248AF" w:rsidRPr="00A77AF6" w:rsidRDefault="00A248AF" w:rsidP="00DE3198">
      <w:pPr>
        <w:pStyle w:val="Caption"/>
        <w:keepNext/>
        <w:spacing w:after="120"/>
      </w:pPr>
      <w:r w:rsidRPr="00A77AF6">
        <w:t xml:space="preserve">Table </w:t>
      </w:r>
      <w:fldSimple w:instr=" STYLEREF 1 \s ">
        <w:r w:rsidR="000441F7">
          <w:rPr>
            <w:noProof/>
          </w:rPr>
          <w:t>6</w:t>
        </w:r>
      </w:fldSimple>
      <w:r w:rsidR="00804112">
        <w:noBreakHyphen/>
      </w:r>
      <w:fldSimple w:instr=" SEQ Table \* ARABIC \s 1 ">
        <w:r w:rsidR="000441F7">
          <w:rPr>
            <w:noProof/>
          </w:rPr>
          <w:t>31</w:t>
        </w:r>
      </w:fldSimple>
      <w:r w:rsidRPr="00A77AF6">
        <w:t xml:space="preserve">: </w:t>
      </w:r>
      <w:r w:rsidR="00FE03D4" w:rsidRPr="00A77AF6">
        <w:t>Correlation of p</w:t>
      </w:r>
      <w:r w:rsidRPr="00A77AF6">
        <w:t xml:space="preserve">roject governance and iron triangle </w:t>
      </w:r>
      <w:r w:rsidR="00FE03D4" w:rsidRPr="00A77AF6">
        <w:t>success</w:t>
      </w:r>
      <w:r w:rsidRPr="00A77AF6">
        <w:t xml:space="preserve"> </w:t>
      </w:r>
    </w:p>
    <w:tbl>
      <w:tblPr>
        <w:tblStyle w:val="TableGrid"/>
        <w:tblW w:w="8075" w:type="dxa"/>
        <w:tblLayout w:type="fixed"/>
        <w:tblLook w:val="04A0" w:firstRow="1" w:lastRow="0" w:firstColumn="1" w:lastColumn="0" w:noHBand="0" w:noVBand="1"/>
      </w:tblPr>
      <w:tblGrid>
        <w:gridCol w:w="2122"/>
        <w:gridCol w:w="993"/>
        <w:gridCol w:w="850"/>
        <w:gridCol w:w="1133"/>
        <w:gridCol w:w="1134"/>
        <w:gridCol w:w="1843"/>
      </w:tblGrid>
      <w:tr w:rsidR="006E2330" w:rsidRPr="00A77AF6" w14:paraId="5EF9450D" w14:textId="77777777" w:rsidTr="006E2330">
        <w:trPr>
          <w:trHeight w:val="595"/>
        </w:trPr>
        <w:tc>
          <w:tcPr>
            <w:tcW w:w="2122" w:type="dxa"/>
            <w:shd w:val="clear" w:color="auto" w:fill="F2F2F2" w:themeFill="background1" w:themeFillShade="F2"/>
          </w:tcPr>
          <w:p w14:paraId="1948AAA4" w14:textId="77777777" w:rsidR="006E2330" w:rsidRPr="00A77AF6" w:rsidRDefault="006E2330" w:rsidP="00A248AF">
            <w:pPr>
              <w:rPr>
                <w:b/>
                <w:bCs/>
                <w:sz w:val="20"/>
                <w:szCs w:val="20"/>
              </w:rPr>
            </w:pPr>
          </w:p>
        </w:tc>
        <w:tc>
          <w:tcPr>
            <w:tcW w:w="993" w:type="dxa"/>
            <w:shd w:val="clear" w:color="auto" w:fill="F2F2F2" w:themeFill="background1" w:themeFillShade="F2"/>
          </w:tcPr>
          <w:p w14:paraId="13C7065C" w14:textId="77777777" w:rsidR="006E2330" w:rsidRPr="00A77AF6" w:rsidRDefault="006E2330" w:rsidP="00A248AF">
            <w:pPr>
              <w:rPr>
                <w:b/>
                <w:bCs/>
                <w:sz w:val="20"/>
                <w:szCs w:val="20"/>
              </w:rPr>
            </w:pPr>
            <w:r w:rsidRPr="00A77AF6">
              <w:rPr>
                <w:b/>
                <w:bCs/>
                <w:sz w:val="20"/>
                <w:szCs w:val="20"/>
              </w:rPr>
              <w:t>r</w:t>
            </w:r>
          </w:p>
        </w:tc>
        <w:tc>
          <w:tcPr>
            <w:tcW w:w="850" w:type="dxa"/>
            <w:shd w:val="clear" w:color="auto" w:fill="F2F2F2" w:themeFill="background1" w:themeFillShade="F2"/>
          </w:tcPr>
          <w:p w14:paraId="554BB46A" w14:textId="77777777" w:rsidR="006E2330" w:rsidRPr="00A77AF6" w:rsidRDefault="006E2330" w:rsidP="00A248AF">
            <w:pPr>
              <w:rPr>
                <w:b/>
                <w:bCs/>
                <w:sz w:val="20"/>
                <w:szCs w:val="20"/>
              </w:rPr>
            </w:pPr>
            <w:r w:rsidRPr="00A77AF6">
              <w:rPr>
                <w:b/>
                <w:bCs/>
                <w:sz w:val="20"/>
                <w:szCs w:val="20"/>
              </w:rPr>
              <w:t>r</w:t>
            </w:r>
            <w:r w:rsidRPr="00A77AF6">
              <w:rPr>
                <w:b/>
                <w:bCs/>
                <w:sz w:val="20"/>
                <w:szCs w:val="20"/>
                <w:vertAlign w:val="superscript"/>
              </w:rPr>
              <w:t>2</w:t>
            </w:r>
          </w:p>
        </w:tc>
        <w:tc>
          <w:tcPr>
            <w:tcW w:w="1133" w:type="dxa"/>
            <w:shd w:val="clear" w:color="auto" w:fill="F2F2F2" w:themeFill="background1" w:themeFillShade="F2"/>
          </w:tcPr>
          <w:p w14:paraId="5FF21193" w14:textId="58FFF9D1" w:rsidR="006E2330" w:rsidRPr="00A77AF6" w:rsidRDefault="006E2330" w:rsidP="00DE3198">
            <w:pPr>
              <w:rPr>
                <w:sz w:val="20"/>
                <w:szCs w:val="20"/>
              </w:rPr>
            </w:pPr>
            <w:r w:rsidRPr="00A77AF6">
              <w:rPr>
                <w:b/>
                <w:bCs/>
                <w:sz w:val="20"/>
                <w:szCs w:val="20"/>
              </w:rPr>
              <w:t>Probability (P)</w:t>
            </w:r>
          </w:p>
        </w:tc>
        <w:tc>
          <w:tcPr>
            <w:tcW w:w="1134" w:type="dxa"/>
            <w:shd w:val="clear" w:color="auto" w:fill="F2F2F2" w:themeFill="background1" w:themeFillShade="F2"/>
          </w:tcPr>
          <w:p w14:paraId="688368DC" w14:textId="5AAB1782" w:rsidR="006E2330" w:rsidRPr="00A77AF6" w:rsidRDefault="006E2330" w:rsidP="00A248AF">
            <w:pPr>
              <w:rPr>
                <w:b/>
                <w:bCs/>
                <w:sz w:val="20"/>
                <w:szCs w:val="20"/>
              </w:rPr>
            </w:pPr>
            <w:r w:rsidRPr="00A77AF6">
              <w:rPr>
                <w:b/>
                <w:bCs/>
                <w:sz w:val="20"/>
                <w:szCs w:val="20"/>
              </w:rPr>
              <w:t>Standard deviation</w:t>
            </w:r>
          </w:p>
        </w:tc>
        <w:tc>
          <w:tcPr>
            <w:tcW w:w="1843" w:type="dxa"/>
            <w:shd w:val="clear" w:color="auto" w:fill="F2F2F2" w:themeFill="background1" w:themeFillShade="F2"/>
          </w:tcPr>
          <w:p w14:paraId="64990BD7" w14:textId="7F512EF5" w:rsidR="006E2330" w:rsidRPr="00A77AF6" w:rsidRDefault="006E2330" w:rsidP="00A248AF">
            <w:pPr>
              <w:rPr>
                <w:b/>
                <w:bCs/>
                <w:sz w:val="20"/>
                <w:szCs w:val="20"/>
              </w:rPr>
            </w:pPr>
            <w:r w:rsidRPr="00A77AF6">
              <w:rPr>
                <w:b/>
                <w:bCs/>
                <w:sz w:val="20"/>
                <w:szCs w:val="20"/>
              </w:rPr>
              <w:t xml:space="preserve">Confidence in r </w:t>
            </w:r>
          </w:p>
          <w:p w14:paraId="5E683655" w14:textId="77777777" w:rsidR="006E2330" w:rsidRPr="00A77AF6" w:rsidRDefault="006E2330" w:rsidP="00A248AF">
            <w:pPr>
              <w:rPr>
                <w:b/>
                <w:bCs/>
                <w:sz w:val="20"/>
                <w:szCs w:val="20"/>
              </w:rPr>
            </w:pPr>
            <w:r w:rsidRPr="00A77AF6">
              <w:rPr>
                <w:b/>
                <w:bCs/>
                <w:sz w:val="20"/>
                <w:szCs w:val="20"/>
              </w:rPr>
              <w:t>95%</w:t>
            </w:r>
          </w:p>
        </w:tc>
      </w:tr>
      <w:tr w:rsidR="006E2330" w:rsidRPr="00A77AF6" w14:paraId="55E63E5F" w14:textId="77777777" w:rsidTr="006E2330">
        <w:tc>
          <w:tcPr>
            <w:tcW w:w="2122" w:type="dxa"/>
          </w:tcPr>
          <w:p w14:paraId="1BDAEC53" w14:textId="77777777" w:rsidR="006E2330" w:rsidRPr="00A77AF6" w:rsidRDefault="006E2330" w:rsidP="00A248AF">
            <w:pPr>
              <w:rPr>
                <w:rFonts w:cstheme="minorHAnsi"/>
                <w:sz w:val="20"/>
                <w:szCs w:val="20"/>
              </w:rPr>
            </w:pPr>
            <w:r w:rsidRPr="00A77AF6">
              <w:rPr>
                <w:rFonts w:cstheme="minorHAnsi"/>
                <w:sz w:val="20"/>
                <w:szCs w:val="20"/>
              </w:rPr>
              <w:t xml:space="preserve">Project governance  and iron triangle  </w:t>
            </w:r>
          </w:p>
          <w:p w14:paraId="38A8F582" w14:textId="77777777" w:rsidR="006E2330" w:rsidRPr="00A77AF6" w:rsidRDefault="006E2330" w:rsidP="00A248AF">
            <w:pPr>
              <w:rPr>
                <w:rFonts w:cstheme="minorHAnsi"/>
                <w:sz w:val="20"/>
                <w:szCs w:val="20"/>
              </w:rPr>
            </w:pPr>
            <w:r w:rsidRPr="00A77AF6">
              <w:rPr>
                <w:rFonts w:cstheme="minorHAnsi"/>
                <w:sz w:val="20"/>
                <w:szCs w:val="20"/>
              </w:rPr>
              <w:t>(n=11)</w:t>
            </w:r>
          </w:p>
        </w:tc>
        <w:tc>
          <w:tcPr>
            <w:tcW w:w="993" w:type="dxa"/>
          </w:tcPr>
          <w:p w14:paraId="44DF4F66" w14:textId="6028FB8B" w:rsidR="006E2330" w:rsidRPr="00A77AF6" w:rsidRDefault="006E2330" w:rsidP="00A248AF">
            <w:pPr>
              <w:rPr>
                <w:rFonts w:cstheme="minorHAnsi"/>
                <w:sz w:val="20"/>
                <w:szCs w:val="20"/>
              </w:rPr>
            </w:pPr>
            <w:r w:rsidRPr="00A77AF6">
              <w:rPr>
                <w:rFonts w:cstheme="minorHAnsi"/>
                <w:sz w:val="20"/>
                <w:szCs w:val="20"/>
              </w:rPr>
              <w:t>0.26</w:t>
            </w:r>
          </w:p>
        </w:tc>
        <w:tc>
          <w:tcPr>
            <w:tcW w:w="850" w:type="dxa"/>
          </w:tcPr>
          <w:p w14:paraId="00EDDCF5" w14:textId="7F51B6B8" w:rsidR="006E2330" w:rsidRPr="00A77AF6" w:rsidRDefault="006E2330" w:rsidP="00A248AF">
            <w:pPr>
              <w:rPr>
                <w:rFonts w:cstheme="minorHAnsi"/>
                <w:sz w:val="20"/>
                <w:szCs w:val="20"/>
              </w:rPr>
            </w:pPr>
            <w:r w:rsidRPr="00A77AF6">
              <w:rPr>
                <w:rFonts w:cstheme="minorHAnsi"/>
                <w:sz w:val="20"/>
                <w:szCs w:val="20"/>
              </w:rPr>
              <w:t>0.06</w:t>
            </w:r>
            <w:r w:rsidR="00080A45">
              <w:rPr>
                <w:rFonts w:cstheme="minorHAnsi"/>
                <w:sz w:val="20"/>
                <w:szCs w:val="20"/>
              </w:rPr>
              <w:t>8</w:t>
            </w:r>
            <w:r w:rsidR="00E27CC9">
              <w:rPr>
                <w:rFonts w:cstheme="minorHAnsi"/>
                <w:sz w:val="20"/>
                <w:szCs w:val="20"/>
              </w:rPr>
              <w:t>3</w:t>
            </w:r>
          </w:p>
          <w:p w14:paraId="40424FE3" w14:textId="77777777" w:rsidR="006E2330" w:rsidRPr="00A77AF6" w:rsidRDefault="006E2330" w:rsidP="00A248AF">
            <w:pPr>
              <w:rPr>
                <w:rFonts w:cstheme="minorHAnsi"/>
                <w:sz w:val="20"/>
                <w:szCs w:val="20"/>
              </w:rPr>
            </w:pPr>
          </w:p>
        </w:tc>
        <w:tc>
          <w:tcPr>
            <w:tcW w:w="1133" w:type="dxa"/>
          </w:tcPr>
          <w:p w14:paraId="4AFF89BD" w14:textId="3A829D1E" w:rsidR="006E2330" w:rsidRPr="00A77AF6" w:rsidRDefault="006E2330" w:rsidP="00A248AF">
            <w:pPr>
              <w:rPr>
                <w:rFonts w:cstheme="minorHAnsi"/>
                <w:sz w:val="20"/>
                <w:szCs w:val="20"/>
              </w:rPr>
            </w:pPr>
            <w:r w:rsidRPr="00A77AF6">
              <w:rPr>
                <w:rFonts w:cstheme="minorHAnsi"/>
                <w:sz w:val="20"/>
                <w:szCs w:val="20"/>
              </w:rPr>
              <w:t>0.9670</w:t>
            </w:r>
          </w:p>
        </w:tc>
        <w:tc>
          <w:tcPr>
            <w:tcW w:w="1134" w:type="dxa"/>
          </w:tcPr>
          <w:p w14:paraId="743F4EB2" w14:textId="5D758FBE" w:rsidR="006E2330" w:rsidRPr="00A77AF6" w:rsidRDefault="006E2330" w:rsidP="00A248AF">
            <w:pPr>
              <w:rPr>
                <w:rFonts w:cstheme="minorHAnsi"/>
                <w:sz w:val="20"/>
                <w:szCs w:val="20"/>
              </w:rPr>
            </w:pPr>
            <w:r w:rsidRPr="00A77AF6">
              <w:rPr>
                <w:rFonts w:cstheme="minorHAnsi"/>
                <w:sz w:val="20"/>
                <w:szCs w:val="20"/>
              </w:rPr>
              <w:t>0.138</w:t>
            </w:r>
          </w:p>
        </w:tc>
        <w:tc>
          <w:tcPr>
            <w:tcW w:w="1843" w:type="dxa"/>
          </w:tcPr>
          <w:p w14:paraId="4853E789" w14:textId="5C600494" w:rsidR="006E2330" w:rsidRPr="00A77AF6" w:rsidRDefault="006E2330" w:rsidP="00A248AF">
            <w:pPr>
              <w:rPr>
                <w:rFonts w:cstheme="minorHAnsi"/>
                <w:sz w:val="20"/>
                <w:szCs w:val="20"/>
              </w:rPr>
            </w:pPr>
            <w:r w:rsidRPr="00A77AF6">
              <w:rPr>
                <w:rFonts w:cstheme="minorHAnsi"/>
                <w:sz w:val="20"/>
                <w:szCs w:val="20"/>
              </w:rPr>
              <w:t xml:space="preserve">95% confidence that r is between </w:t>
            </w:r>
            <w:r w:rsidR="00AE7DDB">
              <w:rPr>
                <w:rFonts w:cstheme="minorHAnsi"/>
                <w:sz w:val="20"/>
                <w:szCs w:val="20"/>
              </w:rPr>
              <w:t xml:space="preserve">    </w:t>
            </w:r>
            <w:r w:rsidRPr="00A77AF6">
              <w:rPr>
                <w:rFonts w:cstheme="minorHAnsi"/>
                <w:sz w:val="20"/>
                <w:szCs w:val="20"/>
              </w:rPr>
              <w:t xml:space="preserve">-0.134 and 0.276 </w:t>
            </w:r>
          </w:p>
        </w:tc>
      </w:tr>
    </w:tbl>
    <w:p w14:paraId="30A6CC77" w14:textId="68FD7C9D" w:rsidR="00AA6CEA" w:rsidRPr="00A77AF6" w:rsidRDefault="00AA6CEA" w:rsidP="00D76AB9">
      <w:pPr>
        <w:pStyle w:val="Heading4"/>
        <w:numPr>
          <w:ilvl w:val="0"/>
          <w:numId w:val="0"/>
        </w:numPr>
        <w:spacing w:after="120"/>
        <w:ind w:left="862" w:hanging="862"/>
      </w:pPr>
      <w:r w:rsidRPr="00A77AF6">
        <w:lastRenderedPageBreak/>
        <w:t xml:space="preserve">Correlation </w:t>
      </w:r>
      <w:r w:rsidR="001C10B5" w:rsidRPr="00A77AF6">
        <w:t xml:space="preserve">of </w:t>
      </w:r>
      <w:r w:rsidRPr="00A77AF6">
        <w:t xml:space="preserve"> project governance and project success score </w:t>
      </w:r>
      <w:r w:rsidR="00082B0A" w:rsidRPr="00A77AF6">
        <w:t>(n=51)</w:t>
      </w:r>
      <w:r w:rsidRPr="00A77AF6">
        <w:t xml:space="preserve"> </w:t>
      </w:r>
    </w:p>
    <w:p w14:paraId="14D8B636" w14:textId="1FDF5FF1" w:rsidR="00977F74" w:rsidRPr="00A77AF6" w:rsidRDefault="00A248AF" w:rsidP="00B445B3">
      <w:pPr>
        <w:spacing w:line="360" w:lineRule="auto"/>
      </w:pPr>
      <w:r w:rsidRPr="00A77AF6">
        <w:t>Project governance</w:t>
      </w:r>
      <w:r w:rsidR="00AC5CD7" w:rsidRPr="00A77AF6">
        <w:t xml:space="preserve"> effectiveness</w:t>
      </w:r>
      <w:r w:rsidRPr="00A77AF6">
        <w:t xml:space="preserve"> scores were correlated with </w:t>
      </w:r>
      <w:r w:rsidR="00965749" w:rsidRPr="00A77AF6">
        <w:t>project</w:t>
      </w:r>
      <w:r w:rsidRPr="00A77AF6">
        <w:t xml:space="preserve"> success scores (Figure </w:t>
      </w:r>
      <w:r w:rsidR="00AC5CD7" w:rsidRPr="00A77AF6">
        <w:t>6-</w:t>
      </w:r>
      <w:r w:rsidR="00035719" w:rsidRPr="00A77AF6">
        <w:t>9</w:t>
      </w:r>
      <w:r w:rsidRPr="00A77AF6">
        <w:t xml:space="preserve">).  </w:t>
      </w:r>
      <w:r w:rsidR="006E2330" w:rsidRPr="00A77AF6">
        <w:t>Results s</w:t>
      </w:r>
      <w:r w:rsidRPr="00A77AF6">
        <w:rPr>
          <w:color w:val="000000" w:themeColor="text1"/>
        </w:rPr>
        <w:t>how</w:t>
      </w:r>
      <w:r w:rsidR="00035719" w:rsidRPr="00A77AF6">
        <w:rPr>
          <w:color w:val="000000" w:themeColor="text1"/>
        </w:rPr>
        <w:t>s</w:t>
      </w:r>
      <w:r w:rsidRPr="00A77AF6">
        <w:rPr>
          <w:color w:val="000000" w:themeColor="text1"/>
        </w:rPr>
        <w:t xml:space="preserve"> </w:t>
      </w:r>
      <w:r w:rsidR="006E2330" w:rsidRPr="00A77AF6">
        <w:rPr>
          <w:color w:val="000000" w:themeColor="text1"/>
        </w:rPr>
        <w:t>a</w:t>
      </w:r>
      <w:r w:rsidRPr="00A77AF6">
        <w:t xml:space="preserve"> weak correlation (r=0.1</w:t>
      </w:r>
      <w:r w:rsidR="00965749" w:rsidRPr="00A77AF6">
        <w:t>2</w:t>
      </w:r>
      <w:r w:rsidRPr="00A77AF6">
        <w:t xml:space="preserve">) between </w:t>
      </w:r>
      <w:r w:rsidR="00965749" w:rsidRPr="00A77AF6">
        <w:t xml:space="preserve">project governance and project success score. </w:t>
      </w:r>
      <w:r w:rsidRPr="00A77AF6">
        <w:t xml:space="preserve"> R-squared </w:t>
      </w:r>
      <w:r w:rsidR="00035C16" w:rsidRPr="00A77AF6">
        <w:t xml:space="preserve">(0.014) </w:t>
      </w:r>
      <w:r w:rsidRPr="00A77AF6">
        <w:t xml:space="preserve">shows that the coefficient of determination is low (Table </w:t>
      </w:r>
      <w:r w:rsidR="00AC5CD7" w:rsidRPr="00A77AF6">
        <w:t>6-</w:t>
      </w:r>
      <w:r w:rsidR="00965749" w:rsidRPr="00A77AF6">
        <w:t>3</w:t>
      </w:r>
      <w:r w:rsidR="009D6034" w:rsidRPr="00A77AF6">
        <w:t>2</w:t>
      </w:r>
      <w:r w:rsidRPr="00A77AF6">
        <w:t>)</w:t>
      </w:r>
      <w:r w:rsidR="00035719" w:rsidRPr="00A77AF6">
        <w:t>, so a</w:t>
      </w:r>
      <w:r w:rsidRPr="00A77AF6">
        <w:t>pproximately 1.4% of the variation in project success is due to project governance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×100). </m:t>
        </m:r>
      </m:oMath>
      <w:r w:rsidR="00035719" w:rsidRPr="00A77AF6">
        <w:rPr>
          <w:rFonts w:eastAsiaTheme="minorEastAsia"/>
        </w:rPr>
        <w:t xml:space="preserve"> </w:t>
      </w:r>
      <w:r w:rsidR="006E2330" w:rsidRPr="00A77AF6">
        <w:rPr>
          <w:rFonts w:eastAsiaTheme="minorEastAsia"/>
        </w:rPr>
        <w:t xml:space="preserve">The P value suggests </w:t>
      </w:r>
      <w:r w:rsidR="00035719" w:rsidRPr="00A77AF6">
        <w:rPr>
          <w:rFonts w:eastAsiaTheme="minorEastAsia"/>
        </w:rPr>
        <w:t xml:space="preserve">that </w:t>
      </w:r>
      <w:r w:rsidR="006E2330" w:rsidRPr="00A77AF6">
        <w:rPr>
          <w:rFonts w:eastAsiaTheme="minorEastAsia"/>
        </w:rPr>
        <w:t>is unlikely that this</w:t>
      </w:r>
      <w:r w:rsidR="00035719" w:rsidRPr="00A77AF6">
        <w:rPr>
          <w:rFonts w:eastAsiaTheme="minorEastAsia"/>
        </w:rPr>
        <w:t xml:space="preserve"> result </w:t>
      </w:r>
      <w:r w:rsidRPr="00A77AF6">
        <w:t xml:space="preserve">happened </w:t>
      </w:r>
      <w:r w:rsidR="00A14342" w:rsidRPr="00A77AF6">
        <w:t>by chance (3.52%)</w:t>
      </w:r>
      <w:r w:rsidR="00035719" w:rsidRPr="00A77AF6">
        <w:t xml:space="preserve">, calculated </w:t>
      </w:r>
      <w:r w:rsidRPr="00A77AF6">
        <w:t xml:space="preserve">as </w:t>
      </w:r>
      <m:oMath>
        <m:r>
          <w:rPr>
            <w:rFonts w:ascii="Cambria Math" w:hAnsi="Cambria Math"/>
          </w:rPr>
          <m:t>1-P×100</m:t>
        </m:r>
      </m:oMath>
      <w:r w:rsidR="00B445B3" w:rsidRPr="00A77AF6">
        <w:rPr>
          <w:rFonts w:eastAsiaTheme="minorEastAsia"/>
        </w:rPr>
        <w:t xml:space="preserve">. </w:t>
      </w:r>
      <w:r w:rsidR="00977F74" w:rsidRPr="00A77AF6">
        <w:t xml:space="preserve">There is 95% confidence that the correlation </w:t>
      </w:r>
      <w:r w:rsidR="00B445B3" w:rsidRPr="00A77AF6">
        <w:t xml:space="preserve">coefficient </w:t>
      </w:r>
      <w:r w:rsidR="00035C16" w:rsidRPr="00A77AF6">
        <w:t xml:space="preserve">(r) </w:t>
      </w:r>
      <w:r w:rsidR="00977F74" w:rsidRPr="00A77AF6">
        <w:t>lies between -0.126 and 0.</w:t>
      </w:r>
      <w:r w:rsidR="00B445B3" w:rsidRPr="00A77AF6">
        <w:t xml:space="preserve">293 </w:t>
      </w:r>
      <w:r w:rsidR="00977F74" w:rsidRPr="00A77AF6">
        <w:t xml:space="preserve"> </w:t>
      </w:r>
    </w:p>
    <w:p w14:paraId="4883B5D9" w14:textId="77777777" w:rsidR="00283AAB" w:rsidRPr="00A77AF6" w:rsidRDefault="00965749" w:rsidP="00283AAB">
      <w:pPr>
        <w:pStyle w:val="ListParagraph"/>
        <w:keepNext/>
        <w:spacing w:after="0" w:line="480" w:lineRule="auto"/>
        <w:ind w:left="0"/>
      </w:pPr>
      <w:r w:rsidRPr="00A77AF6">
        <w:rPr>
          <w:noProof/>
        </w:rPr>
        <w:drawing>
          <wp:inline distT="0" distB="0" distL="0" distR="0" wp14:anchorId="0B95C1C3" wp14:editId="6A81AAD9">
            <wp:extent cx="4572000" cy="2743200"/>
            <wp:effectExtent l="0" t="0" r="0" b="0"/>
            <wp:docPr id="7" name="Chart 7">
              <a:extLst xmlns:a="http://schemas.openxmlformats.org/drawingml/2006/main">
                <a:ext uri="{FF2B5EF4-FFF2-40B4-BE49-F238E27FC236}">
                  <a16:creationId xmlns:a16="http://schemas.microsoft.com/office/drawing/2014/main" id="{BE6C9A03-6F1A-43AB-A3E1-8728E6E223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49351E0" w14:textId="44142FE8" w:rsidR="00965749" w:rsidRPr="00A77AF6" w:rsidRDefault="00283AAB" w:rsidP="00283AAB">
      <w:pPr>
        <w:pStyle w:val="Caption"/>
        <w:rPr>
          <w:sz w:val="24"/>
        </w:rPr>
      </w:pPr>
      <w:bookmarkStart w:id="169" w:name="_Toc36186985"/>
      <w:r w:rsidRPr="00A77AF6">
        <w:t xml:space="preserve">Figure </w:t>
      </w:r>
      <w:fldSimple w:instr=" STYLEREF 1 \s ">
        <w:r w:rsidR="000441F7">
          <w:rPr>
            <w:noProof/>
          </w:rPr>
          <w:t>6</w:t>
        </w:r>
      </w:fldSimple>
      <w:r w:rsidR="00BA5DC4">
        <w:noBreakHyphen/>
      </w:r>
      <w:fldSimple w:instr=" SEQ Figure \* ARABIC \s 1 ">
        <w:r w:rsidR="000441F7">
          <w:rPr>
            <w:noProof/>
          </w:rPr>
          <w:t>9</w:t>
        </w:r>
      </w:fldSimple>
      <w:r w:rsidRPr="00A77AF6">
        <w:t>:</w:t>
      </w:r>
      <w:r w:rsidR="005275A4" w:rsidRPr="00A77AF6">
        <w:t xml:space="preserve"> </w:t>
      </w:r>
      <w:r w:rsidRPr="00A77AF6">
        <w:t>Correlation of project governance effectiveness and project success scores</w:t>
      </w:r>
      <w:bookmarkEnd w:id="169"/>
    </w:p>
    <w:p w14:paraId="015CAD44" w14:textId="77777777" w:rsidR="00283AAB" w:rsidRPr="00A77AF6" w:rsidRDefault="00283AAB" w:rsidP="00283AAB">
      <w:pPr>
        <w:spacing w:before="240" w:line="360" w:lineRule="auto"/>
      </w:pPr>
      <w:r w:rsidRPr="00A77AF6">
        <w:t>The results show that the effectiveness of project governance is only weakly correlated to project success scores (Figure 6-9 and Table 6-32) but it is clear from the data presented earlier that project governance was judged to be effective by respondents.</w:t>
      </w:r>
    </w:p>
    <w:p w14:paraId="643C333E" w14:textId="79CB7991" w:rsidR="00A248AF" w:rsidRPr="00A77AF6" w:rsidRDefault="00A248AF" w:rsidP="0007452B">
      <w:pPr>
        <w:pStyle w:val="Caption"/>
        <w:keepNext/>
        <w:spacing w:after="120"/>
      </w:pPr>
      <w:r w:rsidRPr="00A77AF6">
        <w:t xml:space="preserve">Table </w:t>
      </w:r>
      <w:fldSimple w:instr=" STYLEREF 1 \s ">
        <w:r w:rsidR="000441F7">
          <w:rPr>
            <w:noProof/>
          </w:rPr>
          <w:t>6</w:t>
        </w:r>
      </w:fldSimple>
      <w:r w:rsidR="00804112">
        <w:noBreakHyphen/>
      </w:r>
      <w:fldSimple w:instr=" SEQ Table \* ARABIC \s 1 ">
        <w:r w:rsidR="000441F7">
          <w:rPr>
            <w:noProof/>
          </w:rPr>
          <w:t>32</w:t>
        </w:r>
      </w:fldSimple>
      <w:r w:rsidRPr="00A77AF6">
        <w:t xml:space="preserve">: </w:t>
      </w:r>
      <w:r w:rsidR="00A14342" w:rsidRPr="00A77AF6">
        <w:t xml:space="preserve">Correlation of </w:t>
      </w:r>
      <w:r w:rsidR="00963255" w:rsidRPr="00A77AF6">
        <w:t>p</w:t>
      </w:r>
      <w:r w:rsidRPr="00A77AF6">
        <w:t xml:space="preserve">roject governance and project success score </w:t>
      </w:r>
    </w:p>
    <w:tbl>
      <w:tblPr>
        <w:tblStyle w:val="TableGrid"/>
        <w:tblW w:w="0" w:type="auto"/>
        <w:tblLook w:val="04A0" w:firstRow="1" w:lastRow="0" w:firstColumn="1" w:lastColumn="0" w:noHBand="0" w:noVBand="1"/>
      </w:tblPr>
      <w:tblGrid>
        <w:gridCol w:w="2110"/>
        <w:gridCol w:w="987"/>
        <w:gridCol w:w="867"/>
        <w:gridCol w:w="1134"/>
        <w:gridCol w:w="1134"/>
        <w:gridCol w:w="1843"/>
      </w:tblGrid>
      <w:tr w:rsidR="00DE3198" w:rsidRPr="00A77AF6" w14:paraId="32BD0006" w14:textId="77777777" w:rsidTr="00082B0A">
        <w:tc>
          <w:tcPr>
            <w:tcW w:w="2110" w:type="dxa"/>
            <w:shd w:val="clear" w:color="auto" w:fill="F2F2F2" w:themeFill="background1" w:themeFillShade="F2"/>
          </w:tcPr>
          <w:p w14:paraId="7486B613" w14:textId="77777777" w:rsidR="00DE3198" w:rsidRPr="00A77AF6" w:rsidRDefault="00DE3198" w:rsidP="00A248AF">
            <w:pPr>
              <w:rPr>
                <w:b/>
                <w:bCs/>
                <w:sz w:val="20"/>
                <w:szCs w:val="20"/>
              </w:rPr>
            </w:pPr>
          </w:p>
        </w:tc>
        <w:tc>
          <w:tcPr>
            <w:tcW w:w="987" w:type="dxa"/>
            <w:shd w:val="clear" w:color="auto" w:fill="F2F2F2" w:themeFill="background1" w:themeFillShade="F2"/>
          </w:tcPr>
          <w:p w14:paraId="6F03FC59" w14:textId="77777777" w:rsidR="00DE3198" w:rsidRPr="00A77AF6" w:rsidRDefault="00DE3198" w:rsidP="00A248AF">
            <w:pPr>
              <w:rPr>
                <w:b/>
                <w:bCs/>
                <w:sz w:val="20"/>
                <w:szCs w:val="20"/>
              </w:rPr>
            </w:pPr>
            <w:r w:rsidRPr="00A77AF6">
              <w:rPr>
                <w:b/>
                <w:bCs/>
                <w:sz w:val="20"/>
                <w:szCs w:val="20"/>
              </w:rPr>
              <w:t>r</w:t>
            </w:r>
          </w:p>
        </w:tc>
        <w:tc>
          <w:tcPr>
            <w:tcW w:w="867" w:type="dxa"/>
            <w:shd w:val="clear" w:color="auto" w:fill="F2F2F2" w:themeFill="background1" w:themeFillShade="F2"/>
          </w:tcPr>
          <w:p w14:paraId="06F4CF82" w14:textId="77777777" w:rsidR="00DE3198" w:rsidRPr="00A77AF6" w:rsidRDefault="00DE3198" w:rsidP="00A248AF">
            <w:pPr>
              <w:rPr>
                <w:b/>
                <w:bCs/>
                <w:sz w:val="20"/>
                <w:szCs w:val="20"/>
              </w:rPr>
            </w:pPr>
            <w:r w:rsidRPr="00A77AF6">
              <w:rPr>
                <w:b/>
                <w:bCs/>
                <w:sz w:val="20"/>
                <w:szCs w:val="20"/>
              </w:rPr>
              <w:t>r</w:t>
            </w:r>
            <w:r w:rsidRPr="00A77AF6">
              <w:rPr>
                <w:b/>
                <w:bCs/>
                <w:sz w:val="20"/>
                <w:szCs w:val="20"/>
                <w:vertAlign w:val="superscript"/>
              </w:rPr>
              <w:t>2</w:t>
            </w:r>
          </w:p>
        </w:tc>
        <w:tc>
          <w:tcPr>
            <w:tcW w:w="1134" w:type="dxa"/>
            <w:shd w:val="clear" w:color="auto" w:fill="F2F2F2" w:themeFill="background1" w:themeFillShade="F2"/>
          </w:tcPr>
          <w:p w14:paraId="78C9545D" w14:textId="77777777" w:rsidR="00DE3198" w:rsidRPr="00A77AF6" w:rsidRDefault="00DE3198" w:rsidP="00A248AF">
            <w:pPr>
              <w:rPr>
                <w:b/>
                <w:bCs/>
                <w:sz w:val="20"/>
                <w:szCs w:val="20"/>
              </w:rPr>
            </w:pPr>
            <w:r w:rsidRPr="00A77AF6">
              <w:rPr>
                <w:b/>
                <w:bCs/>
                <w:sz w:val="20"/>
                <w:szCs w:val="20"/>
              </w:rPr>
              <w:t>Probability (P)</w:t>
            </w:r>
          </w:p>
          <w:p w14:paraId="5EB65F15" w14:textId="77777777" w:rsidR="00DE3198" w:rsidRPr="00A77AF6" w:rsidRDefault="00DE3198" w:rsidP="00A248AF">
            <w:pPr>
              <w:rPr>
                <w:sz w:val="20"/>
                <w:szCs w:val="20"/>
              </w:rPr>
            </w:pPr>
          </w:p>
        </w:tc>
        <w:tc>
          <w:tcPr>
            <w:tcW w:w="1134" w:type="dxa"/>
            <w:shd w:val="clear" w:color="auto" w:fill="F2F2F2" w:themeFill="background1" w:themeFillShade="F2"/>
          </w:tcPr>
          <w:p w14:paraId="6BA29F8D" w14:textId="03045A11" w:rsidR="00DE3198" w:rsidRPr="00A77AF6" w:rsidRDefault="00DE3198" w:rsidP="00A248AF">
            <w:pPr>
              <w:rPr>
                <w:b/>
                <w:bCs/>
                <w:sz w:val="20"/>
                <w:szCs w:val="20"/>
              </w:rPr>
            </w:pPr>
            <w:r w:rsidRPr="00A77AF6">
              <w:rPr>
                <w:b/>
                <w:bCs/>
                <w:sz w:val="20"/>
                <w:szCs w:val="20"/>
              </w:rPr>
              <w:t>Standard deviation</w:t>
            </w:r>
          </w:p>
        </w:tc>
        <w:tc>
          <w:tcPr>
            <w:tcW w:w="1843" w:type="dxa"/>
            <w:shd w:val="clear" w:color="auto" w:fill="F2F2F2" w:themeFill="background1" w:themeFillShade="F2"/>
          </w:tcPr>
          <w:p w14:paraId="259A6FCB" w14:textId="77777777" w:rsidR="00082B0A" w:rsidRPr="00A77AF6" w:rsidRDefault="00082B0A" w:rsidP="00082B0A">
            <w:pPr>
              <w:rPr>
                <w:b/>
                <w:bCs/>
                <w:sz w:val="20"/>
                <w:szCs w:val="20"/>
              </w:rPr>
            </w:pPr>
            <w:r w:rsidRPr="00A77AF6">
              <w:rPr>
                <w:b/>
                <w:bCs/>
                <w:sz w:val="20"/>
                <w:szCs w:val="20"/>
              </w:rPr>
              <w:t xml:space="preserve">Confidence in r </w:t>
            </w:r>
          </w:p>
          <w:p w14:paraId="156A86AB" w14:textId="30BF9298" w:rsidR="00DE3198" w:rsidRPr="00A77AF6" w:rsidRDefault="00082B0A" w:rsidP="00082B0A">
            <w:pPr>
              <w:rPr>
                <w:b/>
                <w:bCs/>
                <w:sz w:val="20"/>
                <w:szCs w:val="20"/>
              </w:rPr>
            </w:pPr>
            <w:r w:rsidRPr="00A77AF6">
              <w:rPr>
                <w:b/>
                <w:bCs/>
                <w:sz w:val="20"/>
                <w:szCs w:val="20"/>
              </w:rPr>
              <w:t>95%</w:t>
            </w:r>
          </w:p>
        </w:tc>
      </w:tr>
      <w:tr w:rsidR="00DE3198" w:rsidRPr="00A77AF6" w14:paraId="7C265691" w14:textId="77777777" w:rsidTr="00082B0A">
        <w:trPr>
          <w:trHeight w:val="73"/>
        </w:trPr>
        <w:tc>
          <w:tcPr>
            <w:tcW w:w="2110" w:type="dxa"/>
          </w:tcPr>
          <w:p w14:paraId="17B6BEF9" w14:textId="69668F74" w:rsidR="00DE3198" w:rsidRPr="00A77AF6" w:rsidRDefault="00DE3198" w:rsidP="00A248AF">
            <w:pPr>
              <w:rPr>
                <w:rFonts w:cstheme="minorHAnsi"/>
                <w:sz w:val="20"/>
                <w:szCs w:val="20"/>
              </w:rPr>
            </w:pPr>
            <w:r w:rsidRPr="00A77AF6">
              <w:rPr>
                <w:rFonts w:cstheme="minorHAnsi"/>
                <w:sz w:val="20"/>
                <w:szCs w:val="20"/>
              </w:rPr>
              <w:t>Project governance  and project success score</w:t>
            </w:r>
          </w:p>
        </w:tc>
        <w:tc>
          <w:tcPr>
            <w:tcW w:w="987" w:type="dxa"/>
          </w:tcPr>
          <w:p w14:paraId="58C9134C" w14:textId="482FF568" w:rsidR="00DE3198" w:rsidRPr="00A77AF6" w:rsidRDefault="00DE3198" w:rsidP="00A248AF">
            <w:pPr>
              <w:rPr>
                <w:rFonts w:cstheme="minorHAnsi"/>
                <w:sz w:val="20"/>
                <w:szCs w:val="20"/>
              </w:rPr>
            </w:pPr>
            <w:r w:rsidRPr="00A77AF6">
              <w:rPr>
                <w:rFonts w:cstheme="minorHAnsi"/>
                <w:sz w:val="20"/>
                <w:szCs w:val="20"/>
              </w:rPr>
              <w:t>0.12</w:t>
            </w:r>
          </w:p>
        </w:tc>
        <w:tc>
          <w:tcPr>
            <w:tcW w:w="867" w:type="dxa"/>
          </w:tcPr>
          <w:p w14:paraId="34F63755" w14:textId="6C365822" w:rsidR="00DE3198" w:rsidRPr="00A77AF6" w:rsidRDefault="00DE3198" w:rsidP="00A248AF">
            <w:pPr>
              <w:rPr>
                <w:rFonts w:cstheme="minorHAnsi"/>
                <w:sz w:val="20"/>
                <w:szCs w:val="20"/>
              </w:rPr>
            </w:pPr>
            <w:r w:rsidRPr="00A77AF6">
              <w:rPr>
                <w:rFonts w:cstheme="minorHAnsi"/>
                <w:sz w:val="20"/>
                <w:szCs w:val="20"/>
              </w:rPr>
              <w:t>0.014</w:t>
            </w:r>
          </w:p>
          <w:p w14:paraId="64B580DB" w14:textId="77777777" w:rsidR="00DE3198" w:rsidRPr="00A77AF6" w:rsidRDefault="00DE3198" w:rsidP="00A248AF">
            <w:pPr>
              <w:rPr>
                <w:rFonts w:cstheme="minorHAnsi"/>
                <w:sz w:val="20"/>
                <w:szCs w:val="20"/>
              </w:rPr>
            </w:pPr>
          </w:p>
        </w:tc>
        <w:tc>
          <w:tcPr>
            <w:tcW w:w="1134" w:type="dxa"/>
          </w:tcPr>
          <w:p w14:paraId="221D4E9E" w14:textId="573E6A45" w:rsidR="00DE3198" w:rsidRPr="00A77AF6" w:rsidRDefault="00DE3198" w:rsidP="00A248AF">
            <w:pPr>
              <w:rPr>
                <w:rFonts w:cstheme="minorHAnsi"/>
                <w:sz w:val="20"/>
                <w:szCs w:val="20"/>
              </w:rPr>
            </w:pPr>
            <w:r w:rsidRPr="00A77AF6">
              <w:rPr>
                <w:rFonts w:cstheme="minorHAnsi"/>
                <w:sz w:val="20"/>
                <w:szCs w:val="20"/>
              </w:rPr>
              <w:t>0.9648</w:t>
            </w:r>
          </w:p>
        </w:tc>
        <w:tc>
          <w:tcPr>
            <w:tcW w:w="1134" w:type="dxa"/>
            <w:shd w:val="clear" w:color="auto" w:fill="FFFFFF" w:themeFill="background1"/>
          </w:tcPr>
          <w:p w14:paraId="3A4A1D9E" w14:textId="5EC9775B" w:rsidR="00DE3198" w:rsidRPr="00A77AF6" w:rsidRDefault="00082B0A" w:rsidP="00A248AF">
            <w:pPr>
              <w:rPr>
                <w:rFonts w:cstheme="minorHAnsi"/>
                <w:sz w:val="20"/>
                <w:szCs w:val="20"/>
              </w:rPr>
            </w:pPr>
            <w:r w:rsidRPr="00A77AF6">
              <w:rPr>
                <w:rFonts w:cstheme="minorHAnsi"/>
                <w:sz w:val="20"/>
                <w:szCs w:val="20"/>
              </w:rPr>
              <w:t>0.142</w:t>
            </w:r>
          </w:p>
        </w:tc>
        <w:tc>
          <w:tcPr>
            <w:tcW w:w="1843" w:type="dxa"/>
            <w:shd w:val="clear" w:color="auto" w:fill="FFFFFF" w:themeFill="background1"/>
          </w:tcPr>
          <w:p w14:paraId="0D2EB58E" w14:textId="77777777" w:rsidR="009D6034" w:rsidRPr="00A77AF6" w:rsidRDefault="00DE3198" w:rsidP="00A248AF">
            <w:pPr>
              <w:rPr>
                <w:rFonts w:cstheme="minorHAnsi"/>
                <w:sz w:val="20"/>
                <w:szCs w:val="20"/>
              </w:rPr>
            </w:pPr>
            <w:r w:rsidRPr="00A77AF6">
              <w:rPr>
                <w:rFonts w:cstheme="minorHAnsi"/>
                <w:sz w:val="20"/>
                <w:szCs w:val="20"/>
              </w:rPr>
              <w:t>95% confidence that r is between</w:t>
            </w:r>
          </w:p>
          <w:p w14:paraId="595DBCF1" w14:textId="53F7C92C" w:rsidR="00DE3198" w:rsidRPr="00A77AF6" w:rsidRDefault="009D6034" w:rsidP="00A248AF">
            <w:pPr>
              <w:rPr>
                <w:rFonts w:cstheme="minorHAnsi"/>
                <w:sz w:val="20"/>
                <w:szCs w:val="20"/>
              </w:rPr>
            </w:pPr>
            <w:r w:rsidRPr="00A77AF6">
              <w:rPr>
                <w:rFonts w:cstheme="minorHAnsi"/>
                <w:sz w:val="20"/>
                <w:szCs w:val="20"/>
              </w:rPr>
              <w:t>-</w:t>
            </w:r>
            <w:r w:rsidR="00DE3198" w:rsidRPr="00A77AF6">
              <w:rPr>
                <w:rFonts w:cstheme="minorHAnsi"/>
                <w:sz w:val="20"/>
                <w:szCs w:val="20"/>
              </w:rPr>
              <w:t>0.259 and 0.293</w:t>
            </w:r>
          </w:p>
        </w:tc>
      </w:tr>
    </w:tbl>
    <w:p w14:paraId="166A8593" w14:textId="38E3CD37" w:rsidR="00B445B3" w:rsidRPr="00A77AF6" w:rsidRDefault="00B445B3"/>
    <w:p w14:paraId="76F7E10B" w14:textId="726C988D" w:rsidR="00B445B3" w:rsidRPr="00A77AF6" w:rsidRDefault="00B445B3" w:rsidP="00035C16">
      <w:pPr>
        <w:pStyle w:val="Heading2"/>
        <w:spacing w:after="120"/>
      </w:pPr>
      <w:bookmarkStart w:id="170" w:name="_Toc36275130"/>
      <w:r w:rsidRPr="00A77AF6">
        <w:t>Corporate governance and project success</w:t>
      </w:r>
      <w:bookmarkEnd w:id="170"/>
    </w:p>
    <w:p w14:paraId="2D95B6EA" w14:textId="77777777" w:rsidR="00963255" w:rsidRPr="00A77AF6" w:rsidRDefault="00B445B3" w:rsidP="008651E9">
      <w:pPr>
        <w:spacing w:after="0" w:line="360" w:lineRule="auto"/>
      </w:pPr>
      <w:r w:rsidRPr="00A77AF6">
        <w:t xml:space="preserve">The relationship between corporate governance and project success was evaluated to understand whether there appeared to be a relationship between them.  The literature </w:t>
      </w:r>
      <w:r w:rsidR="00963255" w:rsidRPr="00A77AF6">
        <w:t xml:space="preserve">review showed that </w:t>
      </w:r>
      <w:r w:rsidRPr="00A77AF6">
        <w:t xml:space="preserve"> corporate governance establishes project governance to deliver projects (HM Treasury, 2007, </w:t>
      </w:r>
      <w:r w:rsidRPr="00A77AF6">
        <w:lastRenderedPageBreak/>
        <w:t xml:space="preserve">Müller, 2009) so it is possible that there is a relationship between corporate governance and project success. The eight elements of corporate governance are: </w:t>
      </w:r>
    </w:p>
    <w:p w14:paraId="33FC015A" w14:textId="65CC9AA8" w:rsidR="00963255" w:rsidRPr="00A77AF6" w:rsidRDefault="00B445B3" w:rsidP="004A79C9">
      <w:pPr>
        <w:pStyle w:val="ListParagraph"/>
        <w:numPr>
          <w:ilvl w:val="0"/>
          <w:numId w:val="20"/>
        </w:numPr>
        <w:spacing w:line="240" w:lineRule="auto"/>
      </w:pPr>
      <w:r w:rsidRPr="00A77AF6">
        <w:t xml:space="preserve">Trust Board, </w:t>
      </w:r>
    </w:p>
    <w:p w14:paraId="3A6EE203" w14:textId="73F4C0A5" w:rsidR="00963255" w:rsidRPr="00A77AF6" w:rsidRDefault="00B445B3" w:rsidP="004A79C9">
      <w:pPr>
        <w:pStyle w:val="ListParagraph"/>
        <w:numPr>
          <w:ilvl w:val="0"/>
          <w:numId w:val="20"/>
        </w:numPr>
        <w:spacing w:line="240" w:lineRule="auto"/>
      </w:pPr>
      <w:r w:rsidRPr="00A77AF6">
        <w:t>Chairperson,</w:t>
      </w:r>
    </w:p>
    <w:p w14:paraId="41EF0463" w14:textId="600E70D1" w:rsidR="00963255" w:rsidRPr="00A77AF6" w:rsidRDefault="00963255" w:rsidP="004A79C9">
      <w:pPr>
        <w:pStyle w:val="ListParagraph"/>
        <w:numPr>
          <w:ilvl w:val="0"/>
          <w:numId w:val="20"/>
        </w:numPr>
        <w:spacing w:line="240" w:lineRule="auto"/>
      </w:pPr>
      <w:r w:rsidRPr="00A77AF6">
        <w:t>N</w:t>
      </w:r>
      <w:r w:rsidR="00B445B3" w:rsidRPr="00A77AF6">
        <w:t xml:space="preserve">on-executive directors, </w:t>
      </w:r>
    </w:p>
    <w:p w14:paraId="45A49516" w14:textId="16859F8A" w:rsidR="00963255" w:rsidRPr="00A77AF6" w:rsidRDefault="00B445B3" w:rsidP="004A79C9">
      <w:pPr>
        <w:pStyle w:val="ListParagraph"/>
        <w:numPr>
          <w:ilvl w:val="0"/>
          <w:numId w:val="20"/>
        </w:numPr>
        <w:spacing w:line="240" w:lineRule="auto"/>
      </w:pPr>
      <w:r w:rsidRPr="00A77AF6">
        <w:t>Chief Executive,</w:t>
      </w:r>
    </w:p>
    <w:p w14:paraId="7DB91724" w14:textId="49EED12B" w:rsidR="00963255" w:rsidRPr="00A77AF6" w:rsidRDefault="00963255" w:rsidP="004A79C9">
      <w:pPr>
        <w:pStyle w:val="ListParagraph"/>
        <w:numPr>
          <w:ilvl w:val="0"/>
          <w:numId w:val="20"/>
        </w:numPr>
        <w:spacing w:line="240" w:lineRule="auto"/>
      </w:pPr>
      <w:r w:rsidRPr="00A77AF6">
        <w:t>E</w:t>
      </w:r>
      <w:r w:rsidR="00B445B3" w:rsidRPr="00A77AF6">
        <w:t xml:space="preserve">xecutive directors, </w:t>
      </w:r>
    </w:p>
    <w:p w14:paraId="1D48006A" w14:textId="77777777" w:rsidR="00963255" w:rsidRPr="00A77AF6" w:rsidRDefault="00B445B3" w:rsidP="004A79C9">
      <w:pPr>
        <w:pStyle w:val="ListParagraph"/>
        <w:numPr>
          <w:ilvl w:val="0"/>
          <w:numId w:val="20"/>
        </w:numPr>
        <w:spacing w:line="240" w:lineRule="auto"/>
      </w:pPr>
      <w:r w:rsidRPr="00A77AF6">
        <w:t xml:space="preserve">Trust risk committee, </w:t>
      </w:r>
    </w:p>
    <w:p w14:paraId="30CAE4AD" w14:textId="77777777" w:rsidR="00AF4A79" w:rsidRPr="00A77AF6" w:rsidRDefault="00B445B3" w:rsidP="004A79C9">
      <w:pPr>
        <w:pStyle w:val="ListParagraph"/>
        <w:numPr>
          <w:ilvl w:val="0"/>
          <w:numId w:val="20"/>
        </w:numPr>
        <w:spacing w:after="240" w:line="240" w:lineRule="auto"/>
      </w:pPr>
      <w:r w:rsidRPr="00A77AF6">
        <w:t>Trust remuneration committee</w:t>
      </w:r>
    </w:p>
    <w:p w14:paraId="1E814F32" w14:textId="13DC372C" w:rsidR="00B445B3" w:rsidRPr="00A77AF6" w:rsidRDefault="00B445B3" w:rsidP="004A79C9">
      <w:pPr>
        <w:pStyle w:val="ListParagraph"/>
        <w:numPr>
          <w:ilvl w:val="0"/>
          <w:numId w:val="20"/>
        </w:numPr>
        <w:spacing w:after="240" w:line="240" w:lineRule="auto"/>
      </w:pPr>
      <w:r w:rsidRPr="00A77AF6">
        <w:t xml:space="preserve">Trust audit committee.   </w:t>
      </w:r>
    </w:p>
    <w:p w14:paraId="61C7EFBA" w14:textId="1CF956DC" w:rsidR="00B445B3" w:rsidRPr="00A77AF6" w:rsidRDefault="00776918" w:rsidP="00035C16">
      <w:pPr>
        <w:pStyle w:val="Heading4"/>
        <w:numPr>
          <w:ilvl w:val="0"/>
          <w:numId w:val="0"/>
        </w:numPr>
        <w:spacing w:before="120" w:after="120"/>
        <w:ind w:left="862" w:hanging="862"/>
      </w:pPr>
      <w:r w:rsidRPr="00A77AF6">
        <w:t>Corporate governance and c</w:t>
      </w:r>
      <w:r w:rsidR="00B445B3" w:rsidRPr="00A77AF6">
        <w:t>laimed success</w:t>
      </w:r>
    </w:p>
    <w:p w14:paraId="4E44A61C" w14:textId="6A04074A" w:rsidR="00B445B3" w:rsidRPr="00A77AF6" w:rsidRDefault="00B445B3" w:rsidP="00963255">
      <w:pPr>
        <w:spacing w:line="360" w:lineRule="auto"/>
      </w:pPr>
      <w:r w:rsidRPr="00A77AF6">
        <w:t>For the purposes of this analysis, project success was set at 9 points, as this is the threshold for project success for projects that met all three iron triangle constraints.  The black ‘up and down’ bars indicate the projects that scored lower governance scores than project success score. Three (3) projects (projects 2, 31 and 37) scored 0 for corporate governance, which means that respondents did not know how corporate governance had performed (</w:t>
      </w:r>
      <w:r w:rsidR="008651E9" w:rsidRPr="00A77AF6">
        <w:t>F</w:t>
      </w:r>
      <w:r w:rsidRPr="00A77AF6">
        <w:t xml:space="preserve">igure </w:t>
      </w:r>
      <w:r w:rsidR="008651E9" w:rsidRPr="00A77AF6">
        <w:t>6-</w:t>
      </w:r>
      <w:r w:rsidR="00283AAB" w:rsidRPr="00A77AF6">
        <w:t>10</w:t>
      </w:r>
      <w:r w:rsidRPr="00A77AF6">
        <w:t xml:space="preserve">).  </w:t>
      </w:r>
    </w:p>
    <w:p w14:paraId="29B4907B" w14:textId="77777777" w:rsidR="00283AAB" w:rsidRPr="00A77AF6" w:rsidRDefault="00B445B3" w:rsidP="00283AAB">
      <w:pPr>
        <w:keepNext/>
        <w:spacing w:after="120"/>
      </w:pPr>
      <w:r w:rsidRPr="00A77AF6">
        <w:rPr>
          <w:noProof/>
          <w:lang w:eastAsia="en-GB"/>
        </w:rPr>
        <w:drawing>
          <wp:inline distT="0" distB="0" distL="0" distR="0" wp14:anchorId="3648DB21" wp14:editId="4050C089">
            <wp:extent cx="5011387" cy="3158837"/>
            <wp:effectExtent l="0" t="0" r="18415" b="3810"/>
            <wp:docPr id="33" name="Chart 33">
              <a:extLst xmlns:a="http://schemas.openxmlformats.org/drawingml/2006/main">
                <a:ext uri="{FF2B5EF4-FFF2-40B4-BE49-F238E27FC236}">
                  <a16:creationId xmlns:a16="http://schemas.microsoft.com/office/drawing/2014/main" id="{2EF722AF-569E-4881-9858-78DAF7FA54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66CD805" w14:textId="19C8E7C5" w:rsidR="00283AAB" w:rsidRPr="00A77AF6" w:rsidRDefault="00283AAB" w:rsidP="00283AAB">
      <w:pPr>
        <w:pStyle w:val="Caption"/>
      </w:pPr>
      <w:bookmarkStart w:id="171" w:name="_Toc36186986"/>
      <w:r w:rsidRPr="00A77AF6">
        <w:t xml:space="preserve">Figure </w:t>
      </w:r>
      <w:fldSimple w:instr=" STYLEREF 1 \s ">
        <w:r w:rsidR="000441F7">
          <w:rPr>
            <w:noProof/>
          </w:rPr>
          <w:t>6</w:t>
        </w:r>
      </w:fldSimple>
      <w:r w:rsidR="00BA5DC4">
        <w:noBreakHyphen/>
      </w:r>
      <w:fldSimple w:instr=" SEQ Figure \* ARABIC \s 1 ">
        <w:r w:rsidR="000441F7">
          <w:rPr>
            <w:noProof/>
          </w:rPr>
          <w:t>10</w:t>
        </w:r>
      </w:fldSimple>
      <w:r w:rsidRPr="00A77AF6">
        <w:t>: Corporate governance effectiveness and claimed success</w:t>
      </w:r>
      <w:bookmarkEnd w:id="171"/>
    </w:p>
    <w:p w14:paraId="7992B0FA" w14:textId="335ADEBA" w:rsidR="00B1062D" w:rsidRPr="00A77AF6" w:rsidRDefault="00B445B3" w:rsidP="00B1062D">
      <w:pPr>
        <w:spacing w:before="120" w:line="360" w:lineRule="auto"/>
        <w:rPr>
          <w:color w:val="000000" w:themeColor="text1"/>
        </w:rPr>
      </w:pPr>
      <w:r w:rsidRPr="00A77AF6">
        <w:rPr>
          <w:color w:val="000000" w:themeColor="text1"/>
        </w:rPr>
        <w:t xml:space="preserve">There does not appear to be a pattern which links corporate governance to claimed project success.  For example, Project 11 has a corporate governance score of 11 whilst Project 34 has a corporate governance score of 26 but were both claimed as successful by their respective respondents.  The projects for which projects were claimed to be successful had a mean corporate governance score of 15.8 (Appendix </w:t>
      </w:r>
      <w:r w:rsidR="00133FC8" w:rsidRPr="00A77AF6">
        <w:rPr>
          <w:color w:val="000000" w:themeColor="text1"/>
        </w:rPr>
        <w:t>J</w:t>
      </w:r>
      <w:r w:rsidR="009C5621">
        <w:rPr>
          <w:color w:val="000000" w:themeColor="text1"/>
        </w:rPr>
        <w:t>)</w:t>
      </w:r>
      <w:r w:rsidRPr="00A77AF6">
        <w:rPr>
          <w:color w:val="000000" w:themeColor="text1"/>
        </w:rPr>
        <w:t xml:space="preserve">. </w:t>
      </w:r>
    </w:p>
    <w:p w14:paraId="43539311" w14:textId="07BC3EDD" w:rsidR="00B445B3" w:rsidRPr="00A77AF6" w:rsidRDefault="008A33F7" w:rsidP="00B445B3">
      <w:pPr>
        <w:pStyle w:val="Heading4"/>
        <w:numPr>
          <w:ilvl w:val="0"/>
          <w:numId w:val="0"/>
        </w:numPr>
        <w:spacing w:after="120"/>
        <w:ind w:left="862" w:hanging="862"/>
      </w:pPr>
      <w:r w:rsidRPr="00A77AF6">
        <w:lastRenderedPageBreak/>
        <w:t>Correlation of corporate governance to i</w:t>
      </w:r>
      <w:r w:rsidR="00B445B3" w:rsidRPr="00A77AF6">
        <w:t>ron triangle</w:t>
      </w:r>
      <w:r w:rsidR="00A4268A" w:rsidRPr="00A77AF6">
        <w:t xml:space="preserve"> </w:t>
      </w:r>
      <w:r w:rsidRPr="00A77AF6">
        <w:t xml:space="preserve">success </w:t>
      </w:r>
      <w:r w:rsidR="00A4268A" w:rsidRPr="00A77AF6">
        <w:t>(n=11)</w:t>
      </w:r>
    </w:p>
    <w:p w14:paraId="629311E0" w14:textId="6ED09259" w:rsidR="00AF4A79" w:rsidRPr="00A77AF6" w:rsidRDefault="001C10B5" w:rsidP="001C10B5">
      <w:pPr>
        <w:spacing w:line="360" w:lineRule="auto"/>
      </w:pPr>
      <w:r w:rsidRPr="00A77AF6">
        <w:t>This section presents the finding on corporate governance effectiveness in the 11 projects which achieved iron triangle success</w:t>
      </w:r>
      <w:r w:rsidR="00E27CC9">
        <w:t xml:space="preserve"> (Table 6-33)</w:t>
      </w:r>
      <w:r w:rsidRPr="00A77AF6">
        <w:t xml:space="preserve">. Project success was achieved by a score of 3 or more project success points for each element of time, cost and quality. Two projects scored 0 for corporate governance effectiveness.  </w:t>
      </w:r>
    </w:p>
    <w:p w14:paraId="2D215038" w14:textId="39E3F370" w:rsidR="008A33F7" w:rsidRPr="00A77AF6" w:rsidRDefault="008A33F7" w:rsidP="008651E9">
      <w:pPr>
        <w:pStyle w:val="Caption"/>
        <w:keepNext/>
        <w:spacing w:after="120"/>
      </w:pPr>
      <w:r w:rsidRPr="00A77AF6">
        <w:t xml:space="preserve">Table </w:t>
      </w:r>
      <w:fldSimple w:instr=" STYLEREF 1 \s ">
        <w:r w:rsidR="000441F7">
          <w:rPr>
            <w:noProof/>
          </w:rPr>
          <w:t>6</w:t>
        </w:r>
      </w:fldSimple>
      <w:r w:rsidR="00804112">
        <w:noBreakHyphen/>
      </w:r>
      <w:fldSimple w:instr=" SEQ Table \* ARABIC \s 1 ">
        <w:r w:rsidR="000441F7">
          <w:rPr>
            <w:noProof/>
          </w:rPr>
          <w:t>33</w:t>
        </w:r>
      </w:fldSimple>
      <w:r w:rsidRPr="00A77AF6">
        <w:t>: Iron triangle projects and corporate governance effectiveness score</w:t>
      </w:r>
    </w:p>
    <w:tbl>
      <w:tblPr>
        <w:tblW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2037"/>
        <w:gridCol w:w="2409"/>
      </w:tblGrid>
      <w:tr w:rsidR="008A33F7" w:rsidRPr="00A77AF6" w14:paraId="32A6DD32" w14:textId="77777777" w:rsidTr="00860FB0">
        <w:trPr>
          <w:trHeight w:val="300"/>
        </w:trPr>
        <w:tc>
          <w:tcPr>
            <w:tcW w:w="1224" w:type="dxa"/>
            <w:shd w:val="clear" w:color="auto" w:fill="D9D9D9" w:themeFill="background1" w:themeFillShade="D9"/>
          </w:tcPr>
          <w:p w14:paraId="720F4D22" w14:textId="77777777" w:rsidR="008A33F7" w:rsidRPr="00A77AF6" w:rsidRDefault="008A33F7" w:rsidP="00860FB0">
            <w:pPr>
              <w:spacing w:after="0" w:line="240" w:lineRule="auto"/>
              <w:jc w:val="center"/>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Unique Project id</w:t>
            </w:r>
          </w:p>
          <w:p w14:paraId="500F0B8F" w14:textId="77777777" w:rsidR="008A33F7" w:rsidRPr="00A77AF6" w:rsidRDefault="008A33F7" w:rsidP="00860FB0">
            <w:pPr>
              <w:spacing w:after="0" w:line="240" w:lineRule="auto"/>
              <w:jc w:val="center"/>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(n=11)</w:t>
            </w:r>
          </w:p>
        </w:tc>
        <w:tc>
          <w:tcPr>
            <w:tcW w:w="2037" w:type="dxa"/>
            <w:shd w:val="clear" w:color="auto" w:fill="D9D9D9" w:themeFill="background1" w:themeFillShade="D9"/>
            <w:noWrap/>
          </w:tcPr>
          <w:p w14:paraId="6C3B50AD" w14:textId="77777777" w:rsidR="008A33F7" w:rsidRPr="00A77AF6" w:rsidRDefault="008A33F7" w:rsidP="00860FB0">
            <w:pPr>
              <w:spacing w:after="0" w:line="240" w:lineRule="auto"/>
              <w:jc w:val="center"/>
              <w:rPr>
                <w:rFonts w:ascii="Calibri" w:eastAsia="Times New Roman" w:hAnsi="Calibri" w:cs="Calibri"/>
                <w:color w:val="FF0000"/>
                <w:sz w:val="20"/>
                <w:szCs w:val="20"/>
                <w:lang w:eastAsia="en-GB"/>
              </w:rPr>
            </w:pPr>
            <w:r w:rsidRPr="00A77AF6">
              <w:rPr>
                <w:rFonts w:ascii="Calibri" w:eastAsia="Times New Roman" w:hAnsi="Calibri" w:cs="Calibri"/>
                <w:color w:val="000000"/>
                <w:sz w:val="20"/>
                <w:szCs w:val="20"/>
                <w:lang w:eastAsia="en-GB"/>
              </w:rPr>
              <w:t>Project success score</w:t>
            </w:r>
          </w:p>
        </w:tc>
        <w:tc>
          <w:tcPr>
            <w:tcW w:w="2409" w:type="dxa"/>
            <w:shd w:val="clear" w:color="auto" w:fill="D9D9D9" w:themeFill="background1" w:themeFillShade="D9"/>
          </w:tcPr>
          <w:p w14:paraId="3A92F3FC" w14:textId="77777777" w:rsidR="008A33F7" w:rsidRPr="00A77AF6" w:rsidRDefault="008A33F7" w:rsidP="00860FB0">
            <w:pPr>
              <w:spacing w:after="0" w:line="240" w:lineRule="auto"/>
              <w:jc w:val="center"/>
              <w:rPr>
                <w:rFonts w:ascii="Calibri" w:eastAsia="Times New Roman" w:hAnsi="Calibri" w:cs="Calibri"/>
                <w:color w:val="000000"/>
                <w:sz w:val="20"/>
                <w:szCs w:val="20"/>
                <w:lang w:eastAsia="en-GB"/>
              </w:rPr>
            </w:pPr>
            <w:r w:rsidRPr="00A77AF6">
              <w:rPr>
                <w:rFonts w:ascii="Calibri" w:eastAsia="Times New Roman" w:hAnsi="Calibri" w:cs="Calibri"/>
                <w:color w:val="000000"/>
                <w:sz w:val="20"/>
                <w:szCs w:val="20"/>
                <w:lang w:eastAsia="en-GB"/>
              </w:rPr>
              <w:t>Corporate governance score</w:t>
            </w:r>
          </w:p>
        </w:tc>
      </w:tr>
      <w:tr w:rsidR="008A33F7" w:rsidRPr="00A77AF6" w14:paraId="2A07D51A" w14:textId="77777777" w:rsidTr="00860FB0">
        <w:trPr>
          <w:trHeight w:val="300"/>
        </w:trPr>
        <w:tc>
          <w:tcPr>
            <w:tcW w:w="1224" w:type="dxa"/>
            <w:vAlign w:val="bottom"/>
          </w:tcPr>
          <w:p w14:paraId="4680880D" w14:textId="77777777" w:rsidR="008A33F7" w:rsidRPr="00A77AF6" w:rsidRDefault="008A33F7"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themeColor="text1"/>
                <w:sz w:val="20"/>
                <w:szCs w:val="20"/>
              </w:rPr>
              <w:t>67</w:t>
            </w:r>
          </w:p>
        </w:tc>
        <w:tc>
          <w:tcPr>
            <w:tcW w:w="2037" w:type="dxa"/>
            <w:shd w:val="clear" w:color="auto" w:fill="auto"/>
            <w:noWrap/>
            <w:vAlign w:val="bottom"/>
            <w:hideMark/>
          </w:tcPr>
          <w:p w14:paraId="4BF0401A" w14:textId="77777777" w:rsidR="008A33F7" w:rsidRPr="00A77AF6" w:rsidRDefault="008A33F7"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eastAsia="Times New Roman" w:hAnsi="Calibri" w:cs="Calibri"/>
                <w:color w:val="000000" w:themeColor="text1"/>
                <w:sz w:val="20"/>
                <w:szCs w:val="20"/>
                <w:lang w:eastAsia="en-GB"/>
              </w:rPr>
              <w:t>9</w:t>
            </w:r>
          </w:p>
        </w:tc>
        <w:tc>
          <w:tcPr>
            <w:tcW w:w="2409" w:type="dxa"/>
            <w:vAlign w:val="bottom"/>
          </w:tcPr>
          <w:p w14:paraId="5AD7F611" w14:textId="77777777" w:rsidR="008A33F7" w:rsidRPr="00A77AF6" w:rsidRDefault="008A33F7"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sz w:val="20"/>
                <w:szCs w:val="20"/>
              </w:rPr>
              <w:t>16</w:t>
            </w:r>
          </w:p>
        </w:tc>
      </w:tr>
      <w:tr w:rsidR="008A33F7" w:rsidRPr="00A77AF6" w14:paraId="5A48C218" w14:textId="77777777" w:rsidTr="00860FB0">
        <w:trPr>
          <w:trHeight w:val="300"/>
        </w:trPr>
        <w:tc>
          <w:tcPr>
            <w:tcW w:w="1224" w:type="dxa"/>
            <w:vAlign w:val="bottom"/>
          </w:tcPr>
          <w:p w14:paraId="098701A4" w14:textId="77777777" w:rsidR="008A33F7" w:rsidRPr="00A77AF6" w:rsidRDefault="008A33F7"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themeColor="text1"/>
                <w:sz w:val="20"/>
                <w:szCs w:val="20"/>
              </w:rPr>
              <w:t>84</w:t>
            </w:r>
          </w:p>
        </w:tc>
        <w:tc>
          <w:tcPr>
            <w:tcW w:w="2037" w:type="dxa"/>
            <w:shd w:val="clear" w:color="auto" w:fill="auto"/>
            <w:noWrap/>
            <w:vAlign w:val="bottom"/>
            <w:hideMark/>
          </w:tcPr>
          <w:p w14:paraId="1B56B717" w14:textId="77777777" w:rsidR="008A33F7" w:rsidRPr="00A77AF6" w:rsidRDefault="008A33F7"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eastAsia="Times New Roman" w:hAnsi="Calibri" w:cs="Calibri"/>
                <w:color w:val="000000" w:themeColor="text1"/>
                <w:sz w:val="20"/>
                <w:szCs w:val="20"/>
                <w:lang w:eastAsia="en-GB"/>
              </w:rPr>
              <w:t>9</w:t>
            </w:r>
          </w:p>
        </w:tc>
        <w:tc>
          <w:tcPr>
            <w:tcW w:w="2409" w:type="dxa"/>
            <w:vAlign w:val="bottom"/>
          </w:tcPr>
          <w:p w14:paraId="68BA9DE8" w14:textId="77777777" w:rsidR="008A33F7" w:rsidRPr="00A77AF6" w:rsidRDefault="008A33F7"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sz w:val="20"/>
                <w:szCs w:val="20"/>
              </w:rPr>
              <w:t>25</w:t>
            </w:r>
          </w:p>
        </w:tc>
      </w:tr>
      <w:tr w:rsidR="008A33F7" w:rsidRPr="00A77AF6" w14:paraId="3E7114D8" w14:textId="77777777" w:rsidTr="00860FB0">
        <w:trPr>
          <w:trHeight w:val="300"/>
        </w:trPr>
        <w:tc>
          <w:tcPr>
            <w:tcW w:w="1224" w:type="dxa"/>
            <w:vAlign w:val="bottom"/>
          </w:tcPr>
          <w:p w14:paraId="344AF361" w14:textId="77777777" w:rsidR="008A33F7" w:rsidRPr="00A77AF6" w:rsidRDefault="008A33F7"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themeColor="text1"/>
                <w:sz w:val="20"/>
                <w:szCs w:val="20"/>
              </w:rPr>
              <w:t>87</w:t>
            </w:r>
          </w:p>
        </w:tc>
        <w:tc>
          <w:tcPr>
            <w:tcW w:w="2037" w:type="dxa"/>
            <w:shd w:val="clear" w:color="auto" w:fill="auto"/>
            <w:noWrap/>
            <w:vAlign w:val="bottom"/>
            <w:hideMark/>
          </w:tcPr>
          <w:p w14:paraId="3A678FDA" w14:textId="77777777" w:rsidR="008A33F7" w:rsidRPr="00A77AF6" w:rsidRDefault="008A33F7"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eastAsia="Times New Roman" w:hAnsi="Calibri" w:cs="Calibri"/>
                <w:color w:val="000000" w:themeColor="text1"/>
                <w:sz w:val="20"/>
                <w:szCs w:val="20"/>
                <w:lang w:eastAsia="en-GB"/>
              </w:rPr>
              <w:t>10</w:t>
            </w:r>
          </w:p>
        </w:tc>
        <w:tc>
          <w:tcPr>
            <w:tcW w:w="2409" w:type="dxa"/>
            <w:vAlign w:val="bottom"/>
          </w:tcPr>
          <w:p w14:paraId="32068034" w14:textId="77777777" w:rsidR="008A33F7" w:rsidRPr="00A77AF6" w:rsidRDefault="008A33F7"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sz w:val="20"/>
                <w:szCs w:val="20"/>
              </w:rPr>
              <w:t>10</w:t>
            </w:r>
          </w:p>
        </w:tc>
      </w:tr>
      <w:tr w:rsidR="008A33F7" w:rsidRPr="00A77AF6" w14:paraId="20282E24" w14:textId="77777777" w:rsidTr="00860FB0">
        <w:trPr>
          <w:trHeight w:val="300"/>
        </w:trPr>
        <w:tc>
          <w:tcPr>
            <w:tcW w:w="1224" w:type="dxa"/>
            <w:vAlign w:val="bottom"/>
          </w:tcPr>
          <w:p w14:paraId="13398707" w14:textId="77777777" w:rsidR="008A33F7" w:rsidRPr="00A77AF6" w:rsidRDefault="008A33F7"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themeColor="text1"/>
                <w:sz w:val="20"/>
                <w:szCs w:val="20"/>
              </w:rPr>
              <w:t>93</w:t>
            </w:r>
          </w:p>
        </w:tc>
        <w:tc>
          <w:tcPr>
            <w:tcW w:w="2037" w:type="dxa"/>
            <w:shd w:val="clear" w:color="auto" w:fill="auto"/>
            <w:noWrap/>
            <w:vAlign w:val="bottom"/>
            <w:hideMark/>
          </w:tcPr>
          <w:p w14:paraId="20FDC1E1" w14:textId="77777777" w:rsidR="008A33F7" w:rsidRPr="00A77AF6" w:rsidRDefault="008A33F7"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eastAsia="Times New Roman" w:hAnsi="Calibri" w:cs="Calibri"/>
                <w:color w:val="000000" w:themeColor="text1"/>
                <w:sz w:val="20"/>
                <w:szCs w:val="20"/>
                <w:lang w:eastAsia="en-GB"/>
              </w:rPr>
              <w:t>9</w:t>
            </w:r>
          </w:p>
        </w:tc>
        <w:tc>
          <w:tcPr>
            <w:tcW w:w="2409" w:type="dxa"/>
            <w:vAlign w:val="bottom"/>
          </w:tcPr>
          <w:p w14:paraId="4203A044" w14:textId="77777777" w:rsidR="008A33F7" w:rsidRPr="00A77AF6" w:rsidRDefault="008A33F7"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sz w:val="20"/>
                <w:szCs w:val="20"/>
              </w:rPr>
              <w:t>17</w:t>
            </w:r>
          </w:p>
        </w:tc>
      </w:tr>
      <w:tr w:rsidR="008A33F7" w:rsidRPr="00A77AF6" w14:paraId="674558E3" w14:textId="77777777" w:rsidTr="00860FB0">
        <w:trPr>
          <w:trHeight w:val="300"/>
        </w:trPr>
        <w:tc>
          <w:tcPr>
            <w:tcW w:w="1224" w:type="dxa"/>
            <w:vAlign w:val="bottom"/>
          </w:tcPr>
          <w:p w14:paraId="407EE1F6" w14:textId="77777777" w:rsidR="008A33F7" w:rsidRPr="00A77AF6" w:rsidRDefault="008A33F7"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themeColor="text1"/>
                <w:sz w:val="20"/>
                <w:szCs w:val="20"/>
              </w:rPr>
              <w:t>103</w:t>
            </w:r>
          </w:p>
        </w:tc>
        <w:tc>
          <w:tcPr>
            <w:tcW w:w="2037" w:type="dxa"/>
            <w:shd w:val="clear" w:color="auto" w:fill="auto"/>
            <w:noWrap/>
            <w:vAlign w:val="bottom"/>
            <w:hideMark/>
          </w:tcPr>
          <w:p w14:paraId="5EAF6DC3" w14:textId="77777777" w:rsidR="008A33F7" w:rsidRPr="00A77AF6" w:rsidRDefault="008A33F7"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eastAsia="Times New Roman" w:hAnsi="Calibri" w:cs="Calibri"/>
                <w:color w:val="000000" w:themeColor="text1"/>
                <w:sz w:val="20"/>
                <w:szCs w:val="20"/>
                <w:lang w:eastAsia="en-GB"/>
              </w:rPr>
              <w:t>9</w:t>
            </w:r>
          </w:p>
        </w:tc>
        <w:tc>
          <w:tcPr>
            <w:tcW w:w="2409" w:type="dxa"/>
            <w:vAlign w:val="bottom"/>
          </w:tcPr>
          <w:p w14:paraId="0B12B20D" w14:textId="77777777" w:rsidR="008A33F7" w:rsidRPr="00A77AF6" w:rsidRDefault="008A33F7"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sz w:val="20"/>
                <w:szCs w:val="20"/>
              </w:rPr>
              <w:t>24</w:t>
            </w:r>
          </w:p>
        </w:tc>
      </w:tr>
      <w:tr w:rsidR="008A33F7" w:rsidRPr="00A77AF6" w14:paraId="3BF0E423" w14:textId="77777777" w:rsidTr="00860FB0">
        <w:trPr>
          <w:trHeight w:val="300"/>
        </w:trPr>
        <w:tc>
          <w:tcPr>
            <w:tcW w:w="1224" w:type="dxa"/>
            <w:vAlign w:val="bottom"/>
          </w:tcPr>
          <w:p w14:paraId="6A6FF732" w14:textId="77777777" w:rsidR="008A33F7" w:rsidRPr="00A77AF6" w:rsidRDefault="008A33F7"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themeColor="text1"/>
                <w:sz w:val="20"/>
                <w:szCs w:val="20"/>
              </w:rPr>
              <w:t>105</w:t>
            </w:r>
          </w:p>
        </w:tc>
        <w:tc>
          <w:tcPr>
            <w:tcW w:w="2037" w:type="dxa"/>
            <w:shd w:val="clear" w:color="auto" w:fill="auto"/>
            <w:noWrap/>
            <w:vAlign w:val="bottom"/>
            <w:hideMark/>
          </w:tcPr>
          <w:p w14:paraId="646B273B" w14:textId="77777777" w:rsidR="008A33F7" w:rsidRPr="00A77AF6" w:rsidRDefault="008A33F7"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eastAsia="Times New Roman" w:hAnsi="Calibri" w:cs="Calibri"/>
                <w:color w:val="000000" w:themeColor="text1"/>
                <w:sz w:val="20"/>
                <w:szCs w:val="20"/>
                <w:lang w:eastAsia="en-GB"/>
              </w:rPr>
              <w:t>10</w:t>
            </w:r>
          </w:p>
        </w:tc>
        <w:tc>
          <w:tcPr>
            <w:tcW w:w="2409" w:type="dxa"/>
            <w:vAlign w:val="bottom"/>
          </w:tcPr>
          <w:p w14:paraId="7DCCFC1D" w14:textId="77777777" w:rsidR="008A33F7" w:rsidRPr="00A77AF6" w:rsidRDefault="008A33F7"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sz w:val="20"/>
                <w:szCs w:val="20"/>
              </w:rPr>
              <w:t>24</w:t>
            </w:r>
          </w:p>
        </w:tc>
      </w:tr>
      <w:tr w:rsidR="008A33F7" w:rsidRPr="00A77AF6" w14:paraId="786CAD3F" w14:textId="77777777" w:rsidTr="00860FB0">
        <w:trPr>
          <w:trHeight w:val="300"/>
        </w:trPr>
        <w:tc>
          <w:tcPr>
            <w:tcW w:w="1224" w:type="dxa"/>
            <w:vAlign w:val="bottom"/>
          </w:tcPr>
          <w:p w14:paraId="236CF972" w14:textId="77777777" w:rsidR="008A33F7" w:rsidRPr="00A77AF6" w:rsidRDefault="008A33F7"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themeColor="text1"/>
                <w:sz w:val="20"/>
                <w:szCs w:val="20"/>
              </w:rPr>
              <w:t>114</w:t>
            </w:r>
          </w:p>
        </w:tc>
        <w:tc>
          <w:tcPr>
            <w:tcW w:w="2037" w:type="dxa"/>
            <w:shd w:val="clear" w:color="auto" w:fill="auto"/>
            <w:noWrap/>
            <w:vAlign w:val="bottom"/>
            <w:hideMark/>
          </w:tcPr>
          <w:p w14:paraId="26AA3F04" w14:textId="77777777" w:rsidR="008A33F7" w:rsidRPr="00A77AF6" w:rsidRDefault="008A33F7"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eastAsia="Times New Roman" w:hAnsi="Calibri" w:cs="Calibri"/>
                <w:color w:val="000000" w:themeColor="text1"/>
                <w:sz w:val="20"/>
                <w:szCs w:val="20"/>
                <w:lang w:eastAsia="en-GB"/>
              </w:rPr>
              <w:t>9</w:t>
            </w:r>
          </w:p>
        </w:tc>
        <w:tc>
          <w:tcPr>
            <w:tcW w:w="2409" w:type="dxa"/>
            <w:vAlign w:val="bottom"/>
          </w:tcPr>
          <w:p w14:paraId="6C40438F" w14:textId="77777777" w:rsidR="008A33F7" w:rsidRPr="00A77AF6" w:rsidRDefault="008A33F7"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sz w:val="20"/>
                <w:szCs w:val="20"/>
              </w:rPr>
              <w:t>17</w:t>
            </w:r>
          </w:p>
        </w:tc>
      </w:tr>
      <w:tr w:rsidR="008A33F7" w:rsidRPr="00A77AF6" w14:paraId="40B0DF97" w14:textId="77777777" w:rsidTr="00860FB0">
        <w:trPr>
          <w:trHeight w:val="300"/>
        </w:trPr>
        <w:tc>
          <w:tcPr>
            <w:tcW w:w="1224" w:type="dxa"/>
            <w:vAlign w:val="bottom"/>
          </w:tcPr>
          <w:p w14:paraId="7C3F4417" w14:textId="77777777" w:rsidR="008A33F7" w:rsidRPr="00A77AF6" w:rsidRDefault="008A33F7"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themeColor="text1"/>
                <w:sz w:val="20"/>
                <w:szCs w:val="20"/>
              </w:rPr>
              <w:t>116</w:t>
            </w:r>
          </w:p>
        </w:tc>
        <w:tc>
          <w:tcPr>
            <w:tcW w:w="2037" w:type="dxa"/>
            <w:shd w:val="clear" w:color="auto" w:fill="auto"/>
            <w:noWrap/>
            <w:vAlign w:val="bottom"/>
            <w:hideMark/>
          </w:tcPr>
          <w:p w14:paraId="22243073" w14:textId="77777777" w:rsidR="008A33F7" w:rsidRPr="00A77AF6" w:rsidRDefault="008A33F7"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eastAsia="Times New Roman" w:hAnsi="Calibri" w:cs="Calibri"/>
                <w:color w:val="000000" w:themeColor="text1"/>
                <w:sz w:val="20"/>
                <w:szCs w:val="20"/>
                <w:lang w:eastAsia="en-GB"/>
              </w:rPr>
              <w:t>9</w:t>
            </w:r>
          </w:p>
        </w:tc>
        <w:tc>
          <w:tcPr>
            <w:tcW w:w="2409" w:type="dxa"/>
            <w:vAlign w:val="bottom"/>
          </w:tcPr>
          <w:p w14:paraId="61637CA0" w14:textId="77777777" w:rsidR="008A33F7" w:rsidRPr="00A77AF6" w:rsidRDefault="008A33F7"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sz w:val="20"/>
                <w:szCs w:val="20"/>
              </w:rPr>
              <w:t>21</w:t>
            </w:r>
          </w:p>
        </w:tc>
      </w:tr>
      <w:tr w:rsidR="008A33F7" w:rsidRPr="00A77AF6" w14:paraId="1C135395" w14:textId="77777777" w:rsidTr="00860FB0">
        <w:trPr>
          <w:trHeight w:val="300"/>
        </w:trPr>
        <w:tc>
          <w:tcPr>
            <w:tcW w:w="1224" w:type="dxa"/>
            <w:vAlign w:val="bottom"/>
          </w:tcPr>
          <w:p w14:paraId="5C7E790C" w14:textId="77777777" w:rsidR="008A33F7" w:rsidRPr="00A77AF6" w:rsidRDefault="008A33F7"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themeColor="text1"/>
                <w:sz w:val="20"/>
                <w:szCs w:val="20"/>
              </w:rPr>
              <w:t>141</w:t>
            </w:r>
          </w:p>
        </w:tc>
        <w:tc>
          <w:tcPr>
            <w:tcW w:w="2037" w:type="dxa"/>
            <w:shd w:val="clear" w:color="auto" w:fill="auto"/>
            <w:noWrap/>
            <w:vAlign w:val="bottom"/>
            <w:hideMark/>
          </w:tcPr>
          <w:p w14:paraId="7AF6AF5A" w14:textId="77777777" w:rsidR="008A33F7" w:rsidRPr="00A77AF6" w:rsidRDefault="008A33F7"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eastAsia="Times New Roman" w:hAnsi="Calibri" w:cs="Calibri"/>
                <w:color w:val="000000" w:themeColor="text1"/>
                <w:sz w:val="20"/>
                <w:szCs w:val="20"/>
                <w:lang w:eastAsia="en-GB"/>
              </w:rPr>
              <w:t>9</w:t>
            </w:r>
          </w:p>
        </w:tc>
        <w:tc>
          <w:tcPr>
            <w:tcW w:w="2409" w:type="dxa"/>
            <w:vAlign w:val="bottom"/>
          </w:tcPr>
          <w:p w14:paraId="64B20269" w14:textId="77777777" w:rsidR="008A33F7" w:rsidRPr="00A77AF6" w:rsidRDefault="008A33F7"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sz w:val="20"/>
                <w:szCs w:val="20"/>
              </w:rPr>
              <w:t>0</w:t>
            </w:r>
          </w:p>
        </w:tc>
      </w:tr>
      <w:tr w:rsidR="008A33F7" w:rsidRPr="00A77AF6" w14:paraId="2CEF6125" w14:textId="77777777" w:rsidTr="00860FB0">
        <w:trPr>
          <w:trHeight w:val="300"/>
        </w:trPr>
        <w:tc>
          <w:tcPr>
            <w:tcW w:w="1224" w:type="dxa"/>
            <w:vAlign w:val="bottom"/>
          </w:tcPr>
          <w:p w14:paraId="2C7A4203" w14:textId="77777777" w:rsidR="008A33F7" w:rsidRPr="00A77AF6" w:rsidRDefault="008A33F7"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themeColor="text1"/>
                <w:sz w:val="20"/>
                <w:szCs w:val="20"/>
              </w:rPr>
              <w:t>145</w:t>
            </w:r>
          </w:p>
        </w:tc>
        <w:tc>
          <w:tcPr>
            <w:tcW w:w="2037" w:type="dxa"/>
            <w:shd w:val="clear" w:color="auto" w:fill="auto"/>
            <w:noWrap/>
            <w:vAlign w:val="bottom"/>
            <w:hideMark/>
          </w:tcPr>
          <w:p w14:paraId="6943407C" w14:textId="77777777" w:rsidR="008A33F7" w:rsidRPr="00A77AF6" w:rsidRDefault="008A33F7"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eastAsia="Times New Roman" w:hAnsi="Calibri" w:cs="Calibri"/>
                <w:color w:val="000000" w:themeColor="text1"/>
                <w:sz w:val="20"/>
                <w:szCs w:val="20"/>
                <w:lang w:eastAsia="en-GB"/>
              </w:rPr>
              <w:t>10</w:t>
            </w:r>
          </w:p>
        </w:tc>
        <w:tc>
          <w:tcPr>
            <w:tcW w:w="2409" w:type="dxa"/>
            <w:vAlign w:val="bottom"/>
          </w:tcPr>
          <w:p w14:paraId="540DB541" w14:textId="77777777" w:rsidR="008A33F7" w:rsidRPr="00A77AF6" w:rsidRDefault="008A33F7"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sz w:val="20"/>
                <w:szCs w:val="20"/>
              </w:rPr>
              <w:t>16</w:t>
            </w:r>
          </w:p>
        </w:tc>
      </w:tr>
      <w:tr w:rsidR="008A33F7" w:rsidRPr="00A77AF6" w14:paraId="45B6A813" w14:textId="77777777" w:rsidTr="00860FB0">
        <w:trPr>
          <w:trHeight w:val="300"/>
        </w:trPr>
        <w:tc>
          <w:tcPr>
            <w:tcW w:w="1224" w:type="dxa"/>
            <w:vAlign w:val="bottom"/>
          </w:tcPr>
          <w:p w14:paraId="766E9CCF" w14:textId="77777777" w:rsidR="008A33F7" w:rsidRPr="00A77AF6" w:rsidRDefault="008A33F7"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themeColor="text1"/>
                <w:sz w:val="20"/>
                <w:szCs w:val="20"/>
              </w:rPr>
              <w:t>162</w:t>
            </w:r>
          </w:p>
        </w:tc>
        <w:tc>
          <w:tcPr>
            <w:tcW w:w="2037" w:type="dxa"/>
            <w:shd w:val="clear" w:color="auto" w:fill="auto"/>
            <w:noWrap/>
            <w:vAlign w:val="bottom"/>
            <w:hideMark/>
          </w:tcPr>
          <w:p w14:paraId="0C829F46" w14:textId="77777777" w:rsidR="008A33F7" w:rsidRPr="00A77AF6" w:rsidRDefault="008A33F7"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eastAsia="Times New Roman" w:hAnsi="Calibri" w:cs="Calibri"/>
                <w:color w:val="000000" w:themeColor="text1"/>
                <w:sz w:val="20"/>
                <w:szCs w:val="20"/>
                <w:lang w:eastAsia="en-GB"/>
              </w:rPr>
              <w:t>10</w:t>
            </w:r>
          </w:p>
        </w:tc>
        <w:tc>
          <w:tcPr>
            <w:tcW w:w="2409" w:type="dxa"/>
            <w:vAlign w:val="bottom"/>
          </w:tcPr>
          <w:p w14:paraId="0A24ED77" w14:textId="77777777" w:rsidR="008A33F7" w:rsidRPr="00A77AF6" w:rsidRDefault="008A33F7" w:rsidP="00860FB0">
            <w:pPr>
              <w:spacing w:after="0" w:line="240" w:lineRule="auto"/>
              <w:jc w:val="center"/>
              <w:rPr>
                <w:rFonts w:ascii="Calibri" w:eastAsia="Times New Roman" w:hAnsi="Calibri" w:cs="Calibri"/>
                <w:color w:val="000000" w:themeColor="text1"/>
                <w:sz w:val="20"/>
                <w:szCs w:val="20"/>
                <w:lang w:eastAsia="en-GB"/>
              </w:rPr>
            </w:pPr>
            <w:r w:rsidRPr="00A77AF6">
              <w:rPr>
                <w:rFonts w:ascii="Calibri" w:hAnsi="Calibri" w:cs="Calibri"/>
                <w:color w:val="000000"/>
                <w:sz w:val="20"/>
                <w:szCs w:val="20"/>
              </w:rPr>
              <w:t>0</w:t>
            </w:r>
          </w:p>
        </w:tc>
      </w:tr>
    </w:tbl>
    <w:p w14:paraId="1D35D468" w14:textId="20084613" w:rsidR="008A33F7" w:rsidRPr="00A77AF6" w:rsidRDefault="008A33F7" w:rsidP="008A33F7"/>
    <w:p w14:paraId="78750D8E" w14:textId="48E67E24" w:rsidR="003528CA" w:rsidRPr="00A77AF6" w:rsidRDefault="003528CA" w:rsidP="003528CA">
      <w:pPr>
        <w:spacing w:line="360" w:lineRule="auto"/>
      </w:pPr>
      <w:r w:rsidRPr="00A77AF6">
        <w:t>Correlation analysis was carried out to establish if there was a linear relationship between corporate governance and iron triangle success</w:t>
      </w:r>
      <w:r w:rsidR="00E27CC9">
        <w:t xml:space="preserve"> (Figure 6-11)</w:t>
      </w:r>
    </w:p>
    <w:p w14:paraId="538548D4" w14:textId="77777777" w:rsidR="00283AAB" w:rsidRPr="00A77AF6" w:rsidRDefault="00B445B3" w:rsidP="00283AAB">
      <w:pPr>
        <w:pStyle w:val="Caption"/>
        <w:keepNext/>
        <w:spacing w:after="120"/>
      </w:pPr>
      <w:r w:rsidRPr="00A77AF6">
        <w:rPr>
          <w:noProof/>
          <w:lang w:eastAsia="en-GB"/>
        </w:rPr>
        <w:drawing>
          <wp:inline distT="0" distB="0" distL="0" distR="0" wp14:anchorId="5FEAE83E" wp14:editId="694D5C7A">
            <wp:extent cx="5305425" cy="3062288"/>
            <wp:effectExtent l="0" t="0" r="9525" b="5080"/>
            <wp:docPr id="242" name="Chart 242">
              <a:extLst xmlns:a="http://schemas.openxmlformats.org/drawingml/2006/main">
                <a:ext uri="{FF2B5EF4-FFF2-40B4-BE49-F238E27FC236}">
                  <a16:creationId xmlns:a16="http://schemas.microsoft.com/office/drawing/2014/main" id="{704FEDF3-4970-4564-A1E3-FB71A51474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385B6C3" w14:textId="212054B9" w:rsidR="00B445B3" w:rsidRPr="00A77AF6" w:rsidRDefault="00283AAB" w:rsidP="00283AAB">
      <w:pPr>
        <w:pStyle w:val="Caption"/>
      </w:pPr>
      <w:bookmarkStart w:id="172" w:name="_Toc36186987"/>
      <w:r w:rsidRPr="00A77AF6">
        <w:t xml:space="preserve">Figure </w:t>
      </w:r>
      <w:fldSimple w:instr=" STYLEREF 1 \s ">
        <w:r w:rsidR="000441F7">
          <w:rPr>
            <w:noProof/>
          </w:rPr>
          <w:t>6</w:t>
        </w:r>
      </w:fldSimple>
      <w:r w:rsidR="00BA5DC4">
        <w:noBreakHyphen/>
      </w:r>
      <w:fldSimple w:instr=" SEQ Figure \* ARABIC \s 1 ">
        <w:r w:rsidR="000441F7">
          <w:rPr>
            <w:noProof/>
          </w:rPr>
          <w:t>11</w:t>
        </w:r>
      </w:fldSimple>
      <w:r w:rsidRPr="00A77AF6">
        <w:t>: Correlation of corporate governance and iron triangle success</w:t>
      </w:r>
      <w:bookmarkEnd w:id="172"/>
    </w:p>
    <w:p w14:paraId="5268BB87" w14:textId="633FB577" w:rsidR="003528CA" w:rsidRPr="00A77AF6" w:rsidRDefault="003528CA" w:rsidP="003528CA">
      <w:pPr>
        <w:spacing w:line="360" w:lineRule="auto"/>
      </w:pPr>
      <w:r w:rsidRPr="00A77AF6">
        <w:rPr>
          <w:color w:val="000000" w:themeColor="text1"/>
        </w:rPr>
        <w:lastRenderedPageBreak/>
        <w:t>Results show a</w:t>
      </w:r>
      <w:r w:rsidRPr="00A77AF6">
        <w:t xml:space="preserve"> weak correlation (r=0.071) between corporate governance effectiveness and iron triangle success.  R-squared (0.0051) shows that the coefficient of determination is low, so approximately 0.51% of the variation in project success is due to corporate governance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×100). </m:t>
        </m:r>
      </m:oMath>
      <w:r w:rsidRPr="00A77AF6">
        <w:rPr>
          <w:rFonts w:eastAsiaTheme="minorEastAsia"/>
        </w:rPr>
        <w:t xml:space="preserve">The P value suggests that it is quite likely that </w:t>
      </w:r>
      <w:r w:rsidRPr="00A77AF6">
        <w:t xml:space="preserve">this result happened by chance (30.86%), calculated as </w:t>
      </w:r>
      <m:oMath>
        <m:r>
          <w:rPr>
            <w:rFonts w:ascii="Cambria Math" w:hAnsi="Cambria Math"/>
          </w:rPr>
          <m:t>1-P×100</m:t>
        </m:r>
      </m:oMath>
      <w:r w:rsidRPr="00A77AF6">
        <w:t>, so is not significant</w:t>
      </w:r>
      <w:r w:rsidR="00E27CC9">
        <w:t xml:space="preserve"> (Table 6-34)</w:t>
      </w:r>
      <w:r w:rsidRPr="00A77AF6">
        <w:t xml:space="preserve">. </w:t>
      </w:r>
    </w:p>
    <w:p w14:paraId="3D933A4E" w14:textId="772B1120" w:rsidR="003528CA" w:rsidRPr="00A77AF6" w:rsidRDefault="003528CA" w:rsidP="0007452B">
      <w:pPr>
        <w:pStyle w:val="Caption"/>
        <w:keepNext/>
        <w:spacing w:after="120"/>
      </w:pPr>
      <w:r w:rsidRPr="00A77AF6">
        <w:t xml:space="preserve">Table </w:t>
      </w:r>
      <w:fldSimple w:instr=" STYLEREF 1 \s ">
        <w:r w:rsidR="000441F7">
          <w:rPr>
            <w:noProof/>
          </w:rPr>
          <w:t>6</w:t>
        </w:r>
      </w:fldSimple>
      <w:r w:rsidR="00804112">
        <w:noBreakHyphen/>
      </w:r>
      <w:fldSimple w:instr=" SEQ Table \* ARABIC \s 1 ">
        <w:r w:rsidR="000441F7">
          <w:rPr>
            <w:noProof/>
          </w:rPr>
          <w:t>34</w:t>
        </w:r>
      </w:fldSimple>
      <w:r w:rsidRPr="00A77AF6">
        <w:t xml:space="preserve">: Correlation of </w:t>
      </w:r>
      <w:r w:rsidR="002C3888" w:rsidRPr="00A77AF6">
        <w:t>corporate</w:t>
      </w:r>
      <w:r w:rsidRPr="00A77AF6">
        <w:t xml:space="preserve"> governance and </w:t>
      </w:r>
      <w:r w:rsidR="002C3888" w:rsidRPr="00A77AF6">
        <w:t>iron triangle</w:t>
      </w:r>
      <w:r w:rsidRPr="00A77AF6">
        <w:t xml:space="preserve"> success score</w:t>
      </w:r>
    </w:p>
    <w:tbl>
      <w:tblPr>
        <w:tblStyle w:val="TableGrid"/>
        <w:tblW w:w="0" w:type="auto"/>
        <w:tblLook w:val="04A0" w:firstRow="1" w:lastRow="0" w:firstColumn="1" w:lastColumn="0" w:noHBand="0" w:noVBand="1"/>
      </w:tblPr>
      <w:tblGrid>
        <w:gridCol w:w="2110"/>
        <w:gridCol w:w="987"/>
        <w:gridCol w:w="867"/>
        <w:gridCol w:w="1134"/>
        <w:gridCol w:w="1134"/>
        <w:gridCol w:w="1843"/>
      </w:tblGrid>
      <w:tr w:rsidR="0001696E" w:rsidRPr="00A77AF6" w14:paraId="24AD82E4" w14:textId="77777777" w:rsidTr="006028F1">
        <w:tc>
          <w:tcPr>
            <w:tcW w:w="2110" w:type="dxa"/>
            <w:shd w:val="clear" w:color="auto" w:fill="F2F2F2" w:themeFill="background1" w:themeFillShade="F2"/>
          </w:tcPr>
          <w:p w14:paraId="3E7E6E2C" w14:textId="77777777" w:rsidR="0001696E" w:rsidRPr="00A77AF6" w:rsidRDefault="0001696E" w:rsidP="006028F1">
            <w:pPr>
              <w:rPr>
                <w:b/>
                <w:bCs/>
                <w:sz w:val="20"/>
                <w:szCs w:val="20"/>
              </w:rPr>
            </w:pPr>
          </w:p>
        </w:tc>
        <w:tc>
          <w:tcPr>
            <w:tcW w:w="987" w:type="dxa"/>
            <w:shd w:val="clear" w:color="auto" w:fill="F2F2F2" w:themeFill="background1" w:themeFillShade="F2"/>
          </w:tcPr>
          <w:p w14:paraId="135560B5" w14:textId="41FF3F39" w:rsidR="0001696E" w:rsidRPr="00A77AF6" w:rsidRDefault="00A11A2F" w:rsidP="006028F1">
            <w:pPr>
              <w:rPr>
                <w:b/>
                <w:bCs/>
                <w:sz w:val="20"/>
                <w:szCs w:val="20"/>
              </w:rPr>
            </w:pPr>
            <w:r w:rsidRPr="00A77AF6">
              <w:rPr>
                <w:b/>
                <w:bCs/>
                <w:sz w:val="20"/>
                <w:szCs w:val="20"/>
              </w:rPr>
              <w:t>R</w:t>
            </w:r>
          </w:p>
        </w:tc>
        <w:tc>
          <w:tcPr>
            <w:tcW w:w="867" w:type="dxa"/>
            <w:shd w:val="clear" w:color="auto" w:fill="F2F2F2" w:themeFill="background1" w:themeFillShade="F2"/>
          </w:tcPr>
          <w:p w14:paraId="4D6BC79C" w14:textId="77777777" w:rsidR="0001696E" w:rsidRPr="00A77AF6" w:rsidRDefault="0001696E" w:rsidP="006028F1">
            <w:pPr>
              <w:rPr>
                <w:b/>
                <w:bCs/>
                <w:sz w:val="20"/>
                <w:szCs w:val="20"/>
              </w:rPr>
            </w:pPr>
            <w:r w:rsidRPr="00A77AF6">
              <w:rPr>
                <w:b/>
                <w:bCs/>
                <w:sz w:val="20"/>
                <w:szCs w:val="20"/>
              </w:rPr>
              <w:t>r</w:t>
            </w:r>
            <w:r w:rsidRPr="00A77AF6">
              <w:rPr>
                <w:b/>
                <w:bCs/>
                <w:sz w:val="20"/>
                <w:szCs w:val="20"/>
                <w:vertAlign w:val="superscript"/>
              </w:rPr>
              <w:t>2</w:t>
            </w:r>
          </w:p>
        </w:tc>
        <w:tc>
          <w:tcPr>
            <w:tcW w:w="1134" w:type="dxa"/>
            <w:shd w:val="clear" w:color="auto" w:fill="F2F2F2" w:themeFill="background1" w:themeFillShade="F2"/>
          </w:tcPr>
          <w:p w14:paraId="3AD58CEE" w14:textId="77777777" w:rsidR="0001696E" w:rsidRPr="00A77AF6" w:rsidRDefault="0001696E" w:rsidP="006028F1">
            <w:pPr>
              <w:rPr>
                <w:b/>
                <w:bCs/>
                <w:sz w:val="20"/>
                <w:szCs w:val="20"/>
              </w:rPr>
            </w:pPr>
            <w:r w:rsidRPr="00A77AF6">
              <w:rPr>
                <w:b/>
                <w:bCs/>
                <w:sz w:val="20"/>
                <w:szCs w:val="20"/>
              </w:rPr>
              <w:t>Probability (P)</w:t>
            </w:r>
          </w:p>
          <w:p w14:paraId="2D8C5776" w14:textId="77777777" w:rsidR="0001696E" w:rsidRPr="00A77AF6" w:rsidRDefault="0001696E" w:rsidP="006028F1">
            <w:pPr>
              <w:rPr>
                <w:sz w:val="20"/>
                <w:szCs w:val="20"/>
              </w:rPr>
            </w:pPr>
          </w:p>
        </w:tc>
        <w:tc>
          <w:tcPr>
            <w:tcW w:w="1134" w:type="dxa"/>
            <w:shd w:val="clear" w:color="auto" w:fill="F2F2F2" w:themeFill="background1" w:themeFillShade="F2"/>
          </w:tcPr>
          <w:p w14:paraId="7C040AE7" w14:textId="77777777" w:rsidR="0001696E" w:rsidRPr="00A77AF6" w:rsidRDefault="0001696E" w:rsidP="006028F1">
            <w:pPr>
              <w:rPr>
                <w:b/>
                <w:bCs/>
                <w:sz w:val="20"/>
                <w:szCs w:val="20"/>
              </w:rPr>
            </w:pPr>
            <w:r w:rsidRPr="00A77AF6">
              <w:rPr>
                <w:b/>
                <w:bCs/>
                <w:sz w:val="20"/>
                <w:szCs w:val="20"/>
              </w:rPr>
              <w:t>Standard deviation</w:t>
            </w:r>
          </w:p>
        </w:tc>
        <w:tc>
          <w:tcPr>
            <w:tcW w:w="1843" w:type="dxa"/>
            <w:shd w:val="clear" w:color="auto" w:fill="F2F2F2" w:themeFill="background1" w:themeFillShade="F2"/>
          </w:tcPr>
          <w:p w14:paraId="5B714D40" w14:textId="18D06245" w:rsidR="0001696E" w:rsidRPr="00A77AF6" w:rsidRDefault="0001696E" w:rsidP="006028F1">
            <w:pPr>
              <w:rPr>
                <w:b/>
                <w:bCs/>
                <w:sz w:val="20"/>
                <w:szCs w:val="20"/>
              </w:rPr>
            </w:pPr>
            <w:r w:rsidRPr="00A77AF6">
              <w:rPr>
                <w:b/>
                <w:bCs/>
                <w:sz w:val="20"/>
                <w:szCs w:val="20"/>
              </w:rPr>
              <w:t>95%</w:t>
            </w:r>
            <w:r w:rsidR="00314147" w:rsidRPr="00A77AF6">
              <w:rPr>
                <w:b/>
                <w:bCs/>
                <w:sz w:val="20"/>
                <w:szCs w:val="20"/>
              </w:rPr>
              <w:t xml:space="preserve"> CI</w:t>
            </w:r>
          </w:p>
        </w:tc>
      </w:tr>
      <w:tr w:rsidR="0001696E" w:rsidRPr="00A77AF6" w14:paraId="7BBA03F8" w14:textId="77777777" w:rsidTr="006028F1">
        <w:trPr>
          <w:trHeight w:val="73"/>
        </w:trPr>
        <w:tc>
          <w:tcPr>
            <w:tcW w:w="2110" w:type="dxa"/>
          </w:tcPr>
          <w:p w14:paraId="723128CE" w14:textId="77405E1D" w:rsidR="003528CA" w:rsidRPr="00A77AF6" w:rsidRDefault="003528CA" w:rsidP="003528CA">
            <w:pPr>
              <w:rPr>
                <w:rFonts w:cstheme="minorHAnsi"/>
                <w:sz w:val="20"/>
                <w:szCs w:val="20"/>
              </w:rPr>
            </w:pPr>
            <w:r w:rsidRPr="00A77AF6">
              <w:rPr>
                <w:rFonts w:cstheme="minorHAnsi"/>
                <w:sz w:val="20"/>
                <w:szCs w:val="20"/>
              </w:rPr>
              <w:t xml:space="preserve">Corporate governance  and iron triangle  </w:t>
            </w:r>
          </w:p>
          <w:p w14:paraId="2F833B39" w14:textId="62F75F52" w:rsidR="0001696E" w:rsidRPr="00A77AF6" w:rsidRDefault="003528CA" w:rsidP="003528CA">
            <w:pPr>
              <w:rPr>
                <w:rFonts w:cstheme="minorHAnsi"/>
                <w:sz w:val="20"/>
                <w:szCs w:val="20"/>
              </w:rPr>
            </w:pPr>
            <w:r w:rsidRPr="00A77AF6">
              <w:rPr>
                <w:rFonts w:cstheme="minorHAnsi"/>
                <w:sz w:val="20"/>
                <w:szCs w:val="20"/>
              </w:rPr>
              <w:t>(n=11)</w:t>
            </w:r>
          </w:p>
        </w:tc>
        <w:tc>
          <w:tcPr>
            <w:tcW w:w="987" w:type="dxa"/>
          </w:tcPr>
          <w:p w14:paraId="5883BDBE" w14:textId="5A8B305C" w:rsidR="0001696E" w:rsidRPr="00A77AF6" w:rsidRDefault="0001696E" w:rsidP="006028F1">
            <w:pPr>
              <w:rPr>
                <w:rFonts w:cstheme="minorHAnsi"/>
                <w:sz w:val="20"/>
                <w:szCs w:val="20"/>
              </w:rPr>
            </w:pPr>
            <w:r w:rsidRPr="00A77AF6">
              <w:rPr>
                <w:rFonts w:cstheme="minorHAnsi"/>
                <w:sz w:val="20"/>
                <w:szCs w:val="20"/>
              </w:rPr>
              <w:t>0.071</w:t>
            </w:r>
          </w:p>
        </w:tc>
        <w:tc>
          <w:tcPr>
            <w:tcW w:w="867" w:type="dxa"/>
          </w:tcPr>
          <w:p w14:paraId="5FEDA39C" w14:textId="643465D0" w:rsidR="0001696E" w:rsidRPr="00A77AF6" w:rsidRDefault="0001696E" w:rsidP="006028F1">
            <w:pPr>
              <w:rPr>
                <w:rFonts w:cstheme="minorHAnsi"/>
                <w:sz w:val="20"/>
                <w:szCs w:val="20"/>
              </w:rPr>
            </w:pPr>
            <w:r w:rsidRPr="00A77AF6">
              <w:rPr>
                <w:rFonts w:cstheme="minorHAnsi"/>
                <w:sz w:val="20"/>
                <w:szCs w:val="20"/>
              </w:rPr>
              <w:t>0.005</w:t>
            </w:r>
            <w:r w:rsidR="00A11A2F">
              <w:rPr>
                <w:rFonts w:cstheme="minorHAnsi"/>
                <w:sz w:val="20"/>
                <w:szCs w:val="20"/>
              </w:rPr>
              <w:t>1</w:t>
            </w:r>
          </w:p>
        </w:tc>
        <w:tc>
          <w:tcPr>
            <w:tcW w:w="1134" w:type="dxa"/>
          </w:tcPr>
          <w:p w14:paraId="3AAA9255" w14:textId="4C6793F0" w:rsidR="0001696E" w:rsidRPr="00A77AF6" w:rsidRDefault="0001696E" w:rsidP="006028F1">
            <w:pPr>
              <w:rPr>
                <w:rFonts w:cstheme="minorHAnsi"/>
                <w:sz w:val="20"/>
                <w:szCs w:val="20"/>
              </w:rPr>
            </w:pPr>
            <w:r w:rsidRPr="00A77AF6">
              <w:rPr>
                <w:rFonts w:cstheme="minorHAnsi"/>
                <w:sz w:val="20"/>
                <w:szCs w:val="20"/>
              </w:rPr>
              <w:t>0.6</w:t>
            </w:r>
            <w:r w:rsidR="000934D5" w:rsidRPr="00A77AF6">
              <w:rPr>
                <w:rFonts w:cstheme="minorHAnsi"/>
                <w:sz w:val="20"/>
                <w:szCs w:val="20"/>
              </w:rPr>
              <w:t>898</w:t>
            </w:r>
          </w:p>
        </w:tc>
        <w:tc>
          <w:tcPr>
            <w:tcW w:w="1134" w:type="dxa"/>
            <w:shd w:val="clear" w:color="auto" w:fill="FFFFFF" w:themeFill="background1"/>
          </w:tcPr>
          <w:p w14:paraId="3CBC879E" w14:textId="4096005F" w:rsidR="0001696E" w:rsidRPr="00A77AF6" w:rsidRDefault="0001696E" w:rsidP="006028F1">
            <w:pPr>
              <w:rPr>
                <w:rFonts w:cstheme="minorHAnsi"/>
                <w:sz w:val="20"/>
                <w:szCs w:val="20"/>
              </w:rPr>
            </w:pPr>
            <w:r w:rsidRPr="00A77AF6">
              <w:rPr>
                <w:rFonts w:cstheme="minorHAnsi"/>
                <w:sz w:val="20"/>
                <w:szCs w:val="20"/>
              </w:rPr>
              <w:t>0.142</w:t>
            </w:r>
          </w:p>
        </w:tc>
        <w:tc>
          <w:tcPr>
            <w:tcW w:w="1843" w:type="dxa"/>
            <w:shd w:val="clear" w:color="auto" w:fill="FFFFFF" w:themeFill="background1"/>
          </w:tcPr>
          <w:p w14:paraId="32F21867" w14:textId="77777777" w:rsidR="00095155" w:rsidRPr="00A77AF6" w:rsidRDefault="0001696E" w:rsidP="006028F1">
            <w:pPr>
              <w:rPr>
                <w:rFonts w:cstheme="minorHAnsi"/>
                <w:sz w:val="20"/>
                <w:szCs w:val="20"/>
              </w:rPr>
            </w:pPr>
            <w:r w:rsidRPr="00A77AF6">
              <w:rPr>
                <w:rFonts w:cstheme="minorHAnsi"/>
                <w:sz w:val="20"/>
                <w:szCs w:val="20"/>
              </w:rPr>
              <w:t xml:space="preserve">95% confidence that r is between </w:t>
            </w:r>
          </w:p>
          <w:p w14:paraId="27AB8FD7" w14:textId="5B75029D" w:rsidR="0001696E" w:rsidRPr="00A77AF6" w:rsidRDefault="0001696E" w:rsidP="006028F1">
            <w:pPr>
              <w:rPr>
                <w:rFonts w:cstheme="minorHAnsi"/>
                <w:sz w:val="20"/>
                <w:szCs w:val="20"/>
              </w:rPr>
            </w:pPr>
            <w:r w:rsidRPr="00A77AF6">
              <w:rPr>
                <w:rFonts w:cstheme="minorHAnsi"/>
                <w:sz w:val="20"/>
                <w:szCs w:val="20"/>
              </w:rPr>
              <w:t>-0.207 and 0.349</w:t>
            </w:r>
          </w:p>
        </w:tc>
      </w:tr>
    </w:tbl>
    <w:p w14:paraId="2BC12D3C" w14:textId="7A844528" w:rsidR="003528CA" w:rsidRPr="00A77AF6" w:rsidRDefault="003528CA" w:rsidP="00E27CC9">
      <w:pPr>
        <w:spacing w:before="360" w:after="240" w:line="360" w:lineRule="auto"/>
        <w:rPr>
          <w:color w:val="000000" w:themeColor="text1"/>
        </w:rPr>
      </w:pPr>
      <w:r w:rsidRPr="00A77AF6">
        <w:rPr>
          <w:color w:val="000000" w:themeColor="text1"/>
        </w:rPr>
        <w:t xml:space="preserve">These results suggest that there is no correlation between </w:t>
      </w:r>
      <w:r w:rsidR="006028F1" w:rsidRPr="00A77AF6">
        <w:rPr>
          <w:color w:val="000000" w:themeColor="text1"/>
        </w:rPr>
        <w:t xml:space="preserve">corporate governance and project success measured by the iron triangle. </w:t>
      </w:r>
    </w:p>
    <w:p w14:paraId="46A43828" w14:textId="75D6D8E9" w:rsidR="00B445B3" w:rsidRPr="00A77AF6" w:rsidRDefault="001E17C1" w:rsidP="00A4268A">
      <w:pPr>
        <w:pStyle w:val="Heading4"/>
        <w:numPr>
          <w:ilvl w:val="0"/>
          <w:numId w:val="0"/>
        </w:numPr>
        <w:spacing w:after="120"/>
        <w:ind w:left="862" w:hanging="862"/>
      </w:pPr>
      <w:r w:rsidRPr="00A77AF6">
        <w:t>Correlation of corporate governance and p</w:t>
      </w:r>
      <w:r w:rsidR="00B445B3" w:rsidRPr="00A77AF6">
        <w:t>roject success score</w:t>
      </w:r>
      <w:r w:rsidR="00A4268A" w:rsidRPr="00A77AF6">
        <w:t xml:space="preserve"> (n=51)</w:t>
      </w:r>
    </w:p>
    <w:p w14:paraId="250B3F0F" w14:textId="253BD15F" w:rsidR="00B445B3" w:rsidRPr="00A77AF6" w:rsidRDefault="006028F1" w:rsidP="00E27CC9">
      <w:pPr>
        <w:spacing w:line="360" w:lineRule="auto"/>
      </w:pPr>
      <w:r w:rsidRPr="00A77AF6">
        <w:t xml:space="preserve">Correlation analysis was carried out to test whether there was a linear relationship between governance and project success scores (Figure 6-12).  </w:t>
      </w:r>
    </w:p>
    <w:p w14:paraId="25E9CD33" w14:textId="77777777" w:rsidR="00B445B3" w:rsidRPr="00A77AF6" w:rsidRDefault="00B445B3" w:rsidP="00B445B3">
      <w:r w:rsidRPr="00A77AF6">
        <w:rPr>
          <w:noProof/>
          <w:lang w:eastAsia="en-GB"/>
        </w:rPr>
        <w:drawing>
          <wp:inline distT="0" distB="0" distL="0" distR="0" wp14:anchorId="115B3045" wp14:editId="57E1B485">
            <wp:extent cx="4776716" cy="2947916"/>
            <wp:effectExtent l="0" t="0" r="5080" b="5080"/>
            <wp:docPr id="249" name="Chart 249">
              <a:extLst xmlns:a="http://schemas.openxmlformats.org/drawingml/2006/main">
                <a:ext uri="{FF2B5EF4-FFF2-40B4-BE49-F238E27FC236}">
                  <a16:creationId xmlns:a16="http://schemas.microsoft.com/office/drawing/2014/main" id="{93859AD2-2DBD-471E-9BD4-A68A3A4F36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D7117B0" w14:textId="1238F686" w:rsidR="00283AAB" w:rsidRPr="00A77AF6" w:rsidRDefault="00283AAB" w:rsidP="00283AAB">
      <w:pPr>
        <w:pStyle w:val="Caption"/>
      </w:pPr>
      <w:bookmarkStart w:id="173" w:name="_Toc36186988"/>
      <w:r w:rsidRPr="00A77AF6">
        <w:t xml:space="preserve">Figure </w:t>
      </w:r>
      <w:fldSimple w:instr=" STYLEREF 1 \s ">
        <w:r w:rsidR="000441F7">
          <w:rPr>
            <w:noProof/>
          </w:rPr>
          <w:t>6</w:t>
        </w:r>
      </w:fldSimple>
      <w:r w:rsidR="00BA5DC4">
        <w:noBreakHyphen/>
      </w:r>
      <w:fldSimple w:instr=" SEQ Figure \* ARABIC \s 1 ">
        <w:r w:rsidR="000441F7">
          <w:rPr>
            <w:noProof/>
          </w:rPr>
          <w:t>12</w:t>
        </w:r>
      </w:fldSimple>
      <w:r w:rsidRPr="00A77AF6">
        <w:t>: Correlation of corporate governance and project success scores (n=51)</w:t>
      </w:r>
      <w:bookmarkEnd w:id="173"/>
    </w:p>
    <w:p w14:paraId="7D5F8690" w14:textId="0AAA8047" w:rsidR="006028F1" w:rsidRPr="00A77AF6" w:rsidRDefault="006028F1" w:rsidP="006028F1">
      <w:pPr>
        <w:spacing w:line="360" w:lineRule="auto"/>
      </w:pPr>
      <w:r w:rsidRPr="00A77AF6">
        <w:t>Corporate governance effectiveness scores were correlated with project success scores (Figure 6-12).  Results s</w:t>
      </w:r>
      <w:r w:rsidRPr="00A77AF6">
        <w:rPr>
          <w:color w:val="000000" w:themeColor="text1"/>
        </w:rPr>
        <w:t>hows a</w:t>
      </w:r>
      <w:r w:rsidRPr="00A77AF6">
        <w:t xml:space="preserve"> </w:t>
      </w:r>
      <w:r w:rsidR="00AE7DDB">
        <w:t xml:space="preserve">very </w:t>
      </w:r>
      <w:r w:rsidRPr="00A77AF6">
        <w:t>weak correlation (r=0.05) between project governance and project success score.  R-</w:t>
      </w:r>
      <w:r w:rsidRPr="00AE7DDB">
        <w:t>squared (0.0</w:t>
      </w:r>
      <w:r w:rsidR="00AE7DDB" w:rsidRPr="00AE7DDB">
        <w:t>0</w:t>
      </w:r>
      <w:r w:rsidRPr="00AE7DDB">
        <w:t xml:space="preserve">26) shows that the coefficient of determination is low (Table 6-35), so approximately </w:t>
      </w:r>
      <w:r w:rsidR="00AE7DDB" w:rsidRPr="00AE7DDB">
        <w:t>0.26</w:t>
      </w:r>
      <w:r w:rsidRPr="00AE7DDB">
        <w:t>% of the</w:t>
      </w:r>
      <w:r w:rsidRPr="00A77AF6">
        <w:t xml:space="preserve"> variation in project success is due to corporate governance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×100). </m:t>
        </m:r>
      </m:oMath>
      <w:r w:rsidRPr="00A77AF6">
        <w:rPr>
          <w:rFonts w:eastAsiaTheme="minorEastAsia"/>
        </w:rPr>
        <w:t xml:space="preserve"> The P value suggests that is </w:t>
      </w:r>
      <w:r w:rsidR="009034C2" w:rsidRPr="00A77AF6">
        <w:rPr>
          <w:rFonts w:eastAsiaTheme="minorEastAsia"/>
        </w:rPr>
        <w:t>likely</w:t>
      </w:r>
      <w:r w:rsidRPr="00A77AF6">
        <w:rPr>
          <w:rFonts w:eastAsiaTheme="minorEastAsia"/>
        </w:rPr>
        <w:t xml:space="preserve"> that this result </w:t>
      </w:r>
      <w:r w:rsidRPr="00A77AF6">
        <w:t>happened by chance (</w:t>
      </w:r>
      <w:r w:rsidR="002C3888" w:rsidRPr="00A77AF6">
        <w:t>30.97</w:t>
      </w:r>
      <w:r w:rsidRPr="00A77AF6">
        <w:t xml:space="preserve">%), </w:t>
      </w:r>
      <w:r w:rsidRPr="00A77AF6">
        <w:lastRenderedPageBreak/>
        <w:t xml:space="preserve">calculated as </w:t>
      </w:r>
      <m:oMath>
        <m:r>
          <w:rPr>
            <w:rFonts w:ascii="Cambria Math" w:hAnsi="Cambria Math"/>
          </w:rPr>
          <m:t>1-P×100</m:t>
        </m:r>
      </m:oMath>
      <w:r w:rsidR="00D3190F">
        <w:rPr>
          <w:rFonts w:eastAsiaTheme="minorEastAsia"/>
        </w:rPr>
        <w:t xml:space="preserve">, so the results are not significant.  </w:t>
      </w:r>
      <w:r w:rsidRPr="00A77AF6">
        <w:rPr>
          <w:rFonts w:eastAsiaTheme="minorEastAsia"/>
        </w:rPr>
        <w:t xml:space="preserve"> </w:t>
      </w:r>
      <w:r w:rsidRPr="00A77AF6">
        <w:t xml:space="preserve">There is 95% confidence that the correlation coefficient (r) lies </w:t>
      </w:r>
      <w:r w:rsidRPr="0003016B">
        <w:t>between -0.</w:t>
      </w:r>
      <w:r w:rsidR="0003016B" w:rsidRPr="0003016B">
        <w:t>2</w:t>
      </w:r>
      <w:r w:rsidRPr="0003016B">
        <w:t>26 and 0.</w:t>
      </w:r>
      <w:r w:rsidR="0003016B" w:rsidRPr="0003016B">
        <w:t>326</w:t>
      </w:r>
      <w:r w:rsidRPr="0003016B">
        <w:t xml:space="preserve">  </w:t>
      </w:r>
    </w:p>
    <w:p w14:paraId="21515546" w14:textId="05F028E4" w:rsidR="00A00EAD" w:rsidRPr="00A77AF6" w:rsidRDefault="00A00EAD" w:rsidP="0007452B">
      <w:pPr>
        <w:pStyle w:val="Caption"/>
        <w:keepNext/>
        <w:spacing w:after="120"/>
      </w:pPr>
      <w:r w:rsidRPr="00A77AF6">
        <w:t xml:space="preserve">Table </w:t>
      </w:r>
      <w:fldSimple w:instr=" STYLEREF 1 \s ">
        <w:r w:rsidR="000441F7">
          <w:rPr>
            <w:noProof/>
          </w:rPr>
          <w:t>6</w:t>
        </w:r>
      </w:fldSimple>
      <w:r w:rsidR="00804112">
        <w:noBreakHyphen/>
      </w:r>
      <w:fldSimple w:instr=" SEQ Table \* ARABIC \s 1 ">
        <w:r w:rsidR="000441F7">
          <w:rPr>
            <w:noProof/>
          </w:rPr>
          <w:t>35</w:t>
        </w:r>
      </w:fldSimple>
      <w:r w:rsidRPr="00A77AF6">
        <w:t>: Correlation of corporate governance and project success scores</w:t>
      </w:r>
    </w:p>
    <w:tbl>
      <w:tblPr>
        <w:tblStyle w:val="TableGrid"/>
        <w:tblW w:w="0" w:type="auto"/>
        <w:tblLook w:val="04A0" w:firstRow="1" w:lastRow="0" w:firstColumn="1" w:lastColumn="0" w:noHBand="0" w:noVBand="1"/>
      </w:tblPr>
      <w:tblGrid>
        <w:gridCol w:w="2110"/>
        <w:gridCol w:w="987"/>
        <w:gridCol w:w="867"/>
        <w:gridCol w:w="1134"/>
        <w:gridCol w:w="1134"/>
        <w:gridCol w:w="1843"/>
      </w:tblGrid>
      <w:tr w:rsidR="006028F1" w:rsidRPr="00A77AF6" w14:paraId="6DBE645D" w14:textId="77777777" w:rsidTr="006028F1">
        <w:tc>
          <w:tcPr>
            <w:tcW w:w="2110" w:type="dxa"/>
            <w:shd w:val="clear" w:color="auto" w:fill="F2F2F2" w:themeFill="background1" w:themeFillShade="F2"/>
          </w:tcPr>
          <w:p w14:paraId="570F35FE" w14:textId="77777777" w:rsidR="006028F1" w:rsidRPr="00A77AF6" w:rsidRDefault="006028F1" w:rsidP="006028F1">
            <w:pPr>
              <w:rPr>
                <w:b/>
                <w:bCs/>
                <w:sz w:val="20"/>
                <w:szCs w:val="20"/>
              </w:rPr>
            </w:pPr>
          </w:p>
        </w:tc>
        <w:tc>
          <w:tcPr>
            <w:tcW w:w="987" w:type="dxa"/>
            <w:shd w:val="clear" w:color="auto" w:fill="F2F2F2" w:themeFill="background1" w:themeFillShade="F2"/>
          </w:tcPr>
          <w:p w14:paraId="7D972A96" w14:textId="40B6490F" w:rsidR="006028F1" w:rsidRPr="00A77AF6" w:rsidRDefault="005B277C" w:rsidP="006028F1">
            <w:pPr>
              <w:rPr>
                <w:b/>
                <w:bCs/>
                <w:sz w:val="20"/>
                <w:szCs w:val="20"/>
              </w:rPr>
            </w:pPr>
            <w:r w:rsidRPr="00A77AF6">
              <w:rPr>
                <w:b/>
                <w:bCs/>
                <w:sz w:val="20"/>
                <w:szCs w:val="20"/>
              </w:rPr>
              <w:t>R</w:t>
            </w:r>
          </w:p>
        </w:tc>
        <w:tc>
          <w:tcPr>
            <w:tcW w:w="867" w:type="dxa"/>
            <w:shd w:val="clear" w:color="auto" w:fill="F2F2F2" w:themeFill="background1" w:themeFillShade="F2"/>
          </w:tcPr>
          <w:p w14:paraId="2B49AA1D" w14:textId="77777777" w:rsidR="006028F1" w:rsidRPr="00A77AF6" w:rsidRDefault="006028F1" w:rsidP="006028F1">
            <w:pPr>
              <w:rPr>
                <w:b/>
                <w:bCs/>
                <w:sz w:val="20"/>
                <w:szCs w:val="20"/>
              </w:rPr>
            </w:pPr>
            <w:r w:rsidRPr="00A77AF6">
              <w:rPr>
                <w:b/>
                <w:bCs/>
                <w:sz w:val="20"/>
                <w:szCs w:val="20"/>
              </w:rPr>
              <w:t>r</w:t>
            </w:r>
            <w:r w:rsidRPr="00A77AF6">
              <w:rPr>
                <w:b/>
                <w:bCs/>
                <w:sz w:val="20"/>
                <w:szCs w:val="20"/>
                <w:vertAlign w:val="superscript"/>
              </w:rPr>
              <w:t>2</w:t>
            </w:r>
          </w:p>
        </w:tc>
        <w:tc>
          <w:tcPr>
            <w:tcW w:w="1134" w:type="dxa"/>
            <w:shd w:val="clear" w:color="auto" w:fill="F2F2F2" w:themeFill="background1" w:themeFillShade="F2"/>
          </w:tcPr>
          <w:p w14:paraId="440FEA7C" w14:textId="77777777" w:rsidR="006028F1" w:rsidRPr="00A77AF6" w:rsidRDefault="006028F1" w:rsidP="006028F1">
            <w:pPr>
              <w:rPr>
                <w:b/>
                <w:bCs/>
                <w:sz w:val="20"/>
                <w:szCs w:val="20"/>
              </w:rPr>
            </w:pPr>
            <w:r w:rsidRPr="00A77AF6">
              <w:rPr>
                <w:b/>
                <w:bCs/>
                <w:sz w:val="20"/>
                <w:szCs w:val="20"/>
              </w:rPr>
              <w:t>Probability (P)</w:t>
            </w:r>
          </w:p>
          <w:p w14:paraId="31A3699E" w14:textId="77777777" w:rsidR="006028F1" w:rsidRPr="00A77AF6" w:rsidRDefault="006028F1" w:rsidP="006028F1">
            <w:pPr>
              <w:rPr>
                <w:sz w:val="20"/>
                <w:szCs w:val="20"/>
              </w:rPr>
            </w:pPr>
          </w:p>
        </w:tc>
        <w:tc>
          <w:tcPr>
            <w:tcW w:w="1134" w:type="dxa"/>
            <w:shd w:val="clear" w:color="auto" w:fill="F2F2F2" w:themeFill="background1" w:themeFillShade="F2"/>
          </w:tcPr>
          <w:p w14:paraId="6517B2AE" w14:textId="77777777" w:rsidR="006028F1" w:rsidRPr="00A77AF6" w:rsidRDefault="006028F1" w:rsidP="006028F1">
            <w:pPr>
              <w:rPr>
                <w:b/>
                <w:bCs/>
                <w:sz w:val="20"/>
                <w:szCs w:val="20"/>
              </w:rPr>
            </w:pPr>
            <w:r w:rsidRPr="00A77AF6">
              <w:rPr>
                <w:b/>
                <w:bCs/>
                <w:sz w:val="20"/>
                <w:szCs w:val="20"/>
              </w:rPr>
              <w:t>Standard deviation</w:t>
            </w:r>
          </w:p>
        </w:tc>
        <w:tc>
          <w:tcPr>
            <w:tcW w:w="1843" w:type="dxa"/>
            <w:shd w:val="clear" w:color="auto" w:fill="F2F2F2" w:themeFill="background1" w:themeFillShade="F2"/>
          </w:tcPr>
          <w:p w14:paraId="592EA6B5" w14:textId="77777777" w:rsidR="006028F1" w:rsidRPr="00A77AF6" w:rsidRDefault="006028F1" w:rsidP="006028F1">
            <w:pPr>
              <w:rPr>
                <w:b/>
                <w:bCs/>
                <w:sz w:val="20"/>
                <w:szCs w:val="20"/>
              </w:rPr>
            </w:pPr>
            <w:r w:rsidRPr="00A77AF6">
              <w:rPr>
                <w:b/>
                <w:bCs/>
                <w:sz w:val="20"/>
                <w:szCs w:val="20"/>
              </w:rPr>
              <w:t>95% CI</w:t>
            </w:r>
          </w:p>
        </w:tc>
      </w:tr>
      <w:tr w:rsidR="006028F1" w:rsidRPr="00A77AF6" w14:paraId="4C783DD8" w14:textId="77777777" w:rsidTr="006028F1">
        <w:trPr>
          <w:trHeight w:val="73"/>
        </w:trPr>
        <w:tc>
          <w:tcPr>
            <w:tcW w:w="2110" w:type="dxa"/>
          </w:tcPr>
          <w:p w14:paraId="26720566" w14:textId="77777777" w:rsidR="006028F1" w:rsidRPr="00A77AF6" w:rsidRDefault="006028F1" w:rsidP="006028F1">
            <w:pPr>
              <w:rPr>
                <w:rFonts w:cstheme="minorHAnsi"/>
                <w:sz w:val="20"/>
                <w:szCs w:val="20"/>
              </w:rPr>
            </w:pPr>
            <w:r w:rsidRPr="00A77AF6">
              <w:rPr>
                <w:rFonts w:cstheme="minorHAnsi"/>
                <w:sz w:val="20"/>
                <w:szCs w:val="20"/>
              </w:rPr>
              <w:t xml:space="preserve">Corporate governance and project success </w:t>
            </w:r>
          </w:p>
          <w:p w14:paraId="471CD162" w14:textId="7F45D193" w:rsidR="006028F1" w:rsidRPr="00A77AF6" w:rsidRDefault="006028F1" w:rsidP="006028F1">
            <w:pPr>
              <w:rPr>
                <w:rFonts w:cstheme="minorHAnsi"/>
                <w:sz w:val="20"/>
                <w:szCs w:val="20"/>
              </w:rPr>
            </w:pPr>
            <w:r w:rsidRPr="00A77AF6">
              <w:rPr>
                <w:rFonts w:cstheme="minorHAnsi"/>
                <w:sz w:val="20"/>
                <w:szCs w:val="20"/>
              </w:rPr>
              <w:t>(n=51)</w:t>
            </w:r>
          </w:p>
        </w:tc>
        <w:tc>
          <w:tcPr>
            <w:tcW w:w="987" w:type="dxa"/>
          </w:tcPr>
          <w:p w14:paraId="37996F2C" w14:textId="73ED38DB" w:rsidR="006028F1" w:rsidRPr="00AE7DDB" w:rsidRDefault="006028F1" w:rsidP="006028F1">
            <w:pPr>
              <w:rPr>
                <w:rFonts w:cstheme="minorHAnsi"/>
                <w:sz w:val="20"/>
                <w:szCs w:val="20"/>
              </w:rPr>
            </w:pPr>
            <w:r w:rsidRPr="00AE7DDB">
              <w:rPr>
                <w:rFonts w:cstheme="minorHAnsi"/>
                <w:sz w:val="20"/>
                <w:szCs w:val="20"/>
              </w:rPr>
              <w:t>0.05</w:t>
            </w:r>
          </w:p>
        </w:tc>
        <w:tc>
          <w:tcPr>
            <w:tcW w:w="867" w:type="dxa"/>
          </w:tcPr>
          <w:p w14:paraId="06BADB85" w14:textId="09F82520" w:rsidR="006028F1" w:rsidRPr="00AE7DDB" w:rsidRDefault="006028F1" w:rsidP="006028F1">
            <w:pPr>
              <w:rPr>
                <w:rFonts w:cstheme="minorHAnsi"/>
                <w:sz w:val="20"/>
                <w:szCs w:val="20"/>
              </w:rPr>
            </w:pPr>
            <w:r w:rsidRPr="00AE7DDB">
              <w:rPr>
                <w:rFonts w:cstheme="minorHAnsi"/>
                <w:sz w:val="20"/>
                <w:szCs w:val="20"/>
              </w:rPr>
              <w:t>0.0</w:t>
            </w:r>
            <w:r w:rsidR="00AE7DDB" w:rsidRPr="00AE7DDB">
              <w:rPr>
                <w:rFonts w:cstheme="minorHAnsi"/>
                <w:sz w:val="20"/>
                <w:szCs w:val="20"/>
              </w:rPr>
              <w:t>0</w:t>
            </w:r>
            <w:r w:rsidRPr="00AE7DDB">
              <w:rPr>
                <w:rFonts w:cstheme="minorHAnsi"/>
                <w:sz w:val="20"/>
                <w:szCs w:val="20"/>
              </w:rPr>
              <w:t>26</w:t>
            </w:r>
          </w:p>
          <w:p w14:paraId="144ACB45" w14:textId="6E3F1FFB" w:rsidR="006028F1" w:rsidRPr="00AE7DDB" w:rsidRDefault="006028F1" w:rsidP="006028F1">
            <w:pPr>
              <w:rPr>
                <w:rFonts w:cstheme="minorHAnsi"/>
                <w:sz w:val="20"/>
                <w:szCs w:val="20"/>
              </w:rPr>
            </w:pPr>
          </w:p>
        </w:tc>
        <w:tc>
          <w:tcPr>
            <w:tcW w:w="1134" w:type="dxa"/>
          </w:tcPr>
          <w:p w14:paraId="1464D935" w14:textId="2D53C009" w:rsidR="006028F1" w:rsidRPr="00AE7DDB" w:rsidRDefault="006028F1" w:rsidP="006028F1">
            <w:pPr>
              <w:rPr>
                <w:rFonts w:cstheme="minorHAnsi"/>
                <w:sz w:val="20"/>
                <w:szCs w:val="20"/>
              </w:rPr>
            </w:pPr>
            <w:r w:rsidRPr="00AE7DDB">
              <w:rPr>
                <w:rFonts w:cstheme="minorHAnsi"/>
                <w:sz w:val="20"/>
                <w:szCs w:val="20"/>
              </w:rPr>
              <w:t>0.</w:t>
            </w:r>
            <w:r w:rsidR="002C3888" w:rsidRPr="00AE7DDB">
              <w:rPr>
                <w:rFonts w:cstheme="minorHAnsi"/>
                <w:sz w:val="20"/>
                <w:szCs w:val="20"/>
              </w:rPr>
              <w:t>6</w:t>
            </w:r>
            <w:r w:rsidR="009D6034" w:rsidRPr="00AE7DDB">
              <w:rPr>
                <w:rFonts w:cstheme="minorHAnsi"/>
                <w:sz w:val="20"/>
                <w:szCs w:val="20"/>
              </w:rPr>
              <w:t>378</w:t>
            </w:r>
          </w:p>
        </w:tc>
        <w:tc>
          <w:tcPr>
            <w:tcW w:w="1134" w:type="dxa"/>
            <w:shd w:val="clear" w:color="auto" w:fill="FFFFFF" w:themeFill="background1"/>
          </w:tcPr>
          <w:p w14:paraId="7BED7023" w14:textId="64C633B8" w:rsidR="006028F1" w:rsidRPr="00A77AF6" w:rsidRDefault="009034C2" w:rsidP="006028F1">
            <w:pPr>
              <w:rPr>
                <w:rFonts w:cstheme="minorHAnsi"/>
                <w:sz w:val="20"/>
                <w:szCs w:val="20"/>
              </w:rPr>
            </w:pPr>
            <w:r w:rsidRPr="00A77AF6">
              <w:rPr>
                <w:rFonts w:cstheme="minorHAnsi"/>
                <w:sz w:val="20"/>
                <w:szCs w:val="20"/>
              </w:rPr>
              <w:t>0.14</w:t>
            </w:r>
            <w:r w:rsidR="00AE7DDB">
              <w:rPr>
                <w:rFonts w:cstheme="minorHAnsi"/>
                <w:sz w:val="20"/>
                <w:szCs w:val="20"/>
              </w:rPr>
              <w:t>3</w:t>
            </w:r>
          </w:p>
        </w:tc>
        <w:tc>
          <w:tcPr>
            <w:tcW w:w="1843" w:type="dxa"/>
            <w:shd w:val="clear" w:color="auto" w:fill="FFFFFF" w:themeFill="background1"/>
          </w:tcPr>
          <w:p w14:paraId="5EF3DD28" w14:textId="54BCC97E" w:rsidR="006028F1" w:rsidRPr="00A77AF6" w:rsidRDefault="009034C2" w:rsidP="006028F1">
            <w:pPr>
              <w:rPr>
                <w:rFonts w:cstheme="minorHAnsi"/>
                <w:sz w:val="20"/>
                <w:szCs w:val="20"/>
              </w:rPr>
            </w:pPr>
            <w:r w:rsidRPr="00A77AF6">
              <w:rPr>
                <w:rFonts w:cstheme="minorHAnsi"/>
                <w:sz w:val="20"/>
                <w:szCs w:val="20"/>
              </w:rPr>
              <w:t xml:space="preserve">95% confidence that r is between </w:t>
            </w:r>
            <w:r w:rsidR="005B277C" w:rsidRPr="00A77AF6">
              <w:rPr>
                <w:rFonts w:cstheme="minorHAnsi"/>
                <w:sz w:val="20"/>
                <w:szCs w:val="20"/>
              </w:rPr>
              <w:t xml:space="preserve">    </w:t>
            </w:r>
            <w:r w:rsidR="0003016B" w:rsidRPr="0003016B">
              <w:rPr>
                <w:sz w:val="20"/>
                <w:szCs w:val="20"/>
              </w:rPr>
              <w:t>-0.2</w:t>
            </w:r>
            <w:r w:rsidR="00AE7DDB">
              <w:rPr>
                <w:sz w:val="20"/>
                <w:szCs w:val="20"/>
              </w:rPr>
              <w:t>3</w:t>
            </w:r>
            <w:r w:rsidR="0003016B" w:rsidRPr="0003016B">
              <w:rPr>
                <w:sz w:val="20"/>
                <w:szCs w:val="20"/>
              </w:rPr>
              <w:t xml:space="preserve"> and 0.3</w:t>
            </w:r>
            <w:r w:rsidR="00AE7DDB">
              <w:rPr>
                <w:sz w:val="20"/>
                <w:szCs w:val="20"/>
              </w:rPr>
              <w:t>3</w:t>
            </w:r>
            <w:r w:rsidR="0003016B" w:rsidRPr="0003016B">
              <w:rPr>
                <w:sz w:val="20"/>
                <w:szCs w:val="20"/>
              </w:rPr>
              <w:t xml:space="preserve">  </w:t>
            </w:r>
          </w:p>
        </w:tc>
      </w:tr>
    </w:tbl>
    <w:p w14:paraId="5508DC8F" w14:textId="50023E81" w:rsidR="006028F1" w:rsidRPr="00A77AF6" w:rsidRDefault="006028F1" w:rsidP="006028F1"/>
    <w:p w14:paraId="43B08C76" w14:textId="50357511" w:rsidR="00394F70" w:rsidRPr="00A77AF6" w:rsidRDefault="00C31CD0" w:rsidP="008F1B8E">
      <w:pPr>
        <w:pStyle w:val="Heading3"/>
        <w:spacing w:line="360" w:lineRule="auto"/>
      </w:pPr>
      <w:bookmarkStart w:id="174" w:name="_Toc36275131"/>
      <w:r w:rsidRPr="00A77AF6">
        <w:t xml:space="preserve">Project success in the </w:t>
      </w:r>
      <w:r w:rsidR="00044380" w:rsidRPr="00A77AF6">
        <w:t>operational phase</w:t>
      </w:r>
      <w:bookmarkEnd w:id="174"/>
    </w:p>
    <w:p w14:paraId="461D9B52" w14:textId="3FCB8975" w:rsidR="00027530" w:rsidRPr="00A77AF6" w:rsidRDefault="0073034F" w:rsidP="008F1B8E">
      <w:pPr>
        <w:spacing w:line="360" w:lineRule="auto"/>
      </w:pPr>
      <w:r w:rsidRPr="00A77AF6">
        <w:t>Th</w:t>
      </w:r>
      <w:r w:rsidR="00044380" w:rsidRPr="00A77AF6">
        <w:t xml:space="preserve">is section </w:t>
      </w:r>
      <w:r w:rsidRPr="00A77AF6">
        <w:t xml:space="preserve">presents the findings for </w:t>
      </w:r>
      <w:r w:rsidR="00044380" w:rsidRPr="00A77AF6">
        <w:t xml:space="preserve">project </w:t>
      </w:r>
      <w:r w:rsidRPr="00A77AF6">
        <w:t>success in the operational phase</w:t>
      </w:r>
      <w:r w:rsidR="006F2E90" w:rsidRPr="00A77AF6">
        <w:t xml:space="preserve">. </w:t>
      </w:r>
      <w:r w:rsidR="00027530" w:rsidRPr="00A77AF6">
        <w:t xml:space="preserve">This question was asked to test whether respondents knew about project success in the long run.  The </w:t>
      </w:r>
      <w:r w:rsidR="008909EC" w:rsidRPr="00A77AF6">
        <w:t xml:space="preserve">focus of this study is the </w:t>
      </w:r>
      <w:r w:rsidR="00027530" w:rsidRPr="00A77AF6">
        <w:t xml:space="preserve">project management </w:t>
      </w:r>
      <w:r w:rsidR="003E440F" w:rsidRPr="00A77AF6">
        <w:t>phase,</w:t>
      </w:r>
      <w:r w:rsidR="00027530" w:rsidRPr="00A77AF6">
        <w:t xml:space="preserve"> but this question was included because some of the literature discussed project success as encompassing both the project management and operational phases</w:t>
      </w:r>
      <w:r w:rsidR="00166927" w:rsidRPr="00A77AF6">
        <w:t xml:space="preserve"> </w:t>
      </w:r>
      <w:r w:rsidR="00A367F2" w:rsidRPr="00A77AF6">
        <w:t>(Atkinson, 1999, Cooke-Davies, 2002, Chan &amp; Cahn, 2004, Toor &amp; Ogunlana, 2010)</w:t>
      </w:r>
      <w:r w:rsidR="00027530" w:rsidRPr="00A77AF6">
        <w:t xml:space="preserve">.  </w:t>
      </w:r>
    </w:p>
    <w:p w14:paraId="46AADBF4" w14:textId="4521EEDC" w:rsidR="0073034F" w:rsidRPr="00A77AF6" w:rsidRDefault="006F2E90" w:rsidP="008909EC">
      <w:pPr>
        <w:spacing w:line="360" w:lineRule="auto"/>
      </w:pPr>
      <w:r w:rsidRPr="00A77AF6">
        <w:t>Respondents were asked to rate project success</w:t>
      </w:r>
      <w:r w:rsidR="00CA6D9A" w:rsidRPr="00A77AF6">
        <w:t xml:space="preserve"> using a similar Likert scale to the one used for measurement of success in the </w:t>
      </w:r>
      <w:r w:rsidRPr="00A77AF6">
        <w:t>project management</w:t>
      </w:r>
      <w:r w:rsidR="00CA6D9A" w:rsidRPr="00A77AF6">
        <w:t xml:space="preserve"> phase</w:t>
      </w:r>
      <w:r w:rsidRPr="00A77AF6">
        <w:t xml:space="preserve"> which was reported above</w:t>
      </w:r>
      <w:r w:rsidR="008909EC" w:rsidRPr="00A77AF6">
        <w:t>. Only cost and quality were measured; t</w:t>
      </w:r>
      <w:r w:rsidR="00CA6D9A" w:rsidRPr="00A77AF6">
        <w:t xml:space="preserve">ime was excluded </w:t>
      </w:r>
      <w:r w:rsidR="008909EC" w:rsidRPr="00A77AF6">
        <w:t>because it is</w:t>
      </w:r>
      <w:r w:rsidR="00CA6D9A" w:rsidRPr="00A77AF6">
        <w:t xml:space="preserve"> not a relevant in the operational phase</w:t>
      </w:r>
      <w:r w:rsidR="008909EC" w:rsidRPr="00A77AF6">
        <w:t xml:space="preserve"> </w:t>
      </w:r>
      <w:r w:rsidR="005E3382" w:rsidRPr="00A77AF6">
        <w:t>(</w:t>
      </w:r>
      <w:r w:rsidR="007F0E1F" w:rsidRPr="00A77AF6">
        <w:t>T</w:t>
      </w:r>
      <w:r w:rsidR="005E3382" w:rsidRPr="00A77AF6">
        <w:t>able</w:t>
      </w:r>
      <w:r w:rsidR="005B277C" w:rsidRPr="00A77AF6">
        <w:t xml:space="preserve"> 6-36</w:t>
      </w:r>
      <w:r w:rsidR="005E3382" w:rsidRPr="00A77AF6">
        <w:t>)</w:t>
      </w:r>
      <w:r w:rsidR="00930FC5" w:rsidRPr="00A77AF6">
        <w:t>.</w:t>
      </w:r>
      <w:r w:rsidR="00CA6D9A" w:rsidRPr="00A77AF6">
        <w:t xml:space="preserve">  </w:t>
      </w:r>
    </w:p>
    <w:p w14:paraId="6FCB2FDF" w14:textId="220D75EE" w:rsidR="00CA6D9A" w:rsidRPr="00A77AF6" w:rsidRDefault="00CA6D9A" w:rsidP="0007452B">
      <w:pPr>
        <w:pStyle w:val="Caption"/>
        <w:keepNext/>
        <w:spacing w:after="120"/>
      </w:pPr>
      <w:r w:rsidRPr="00A77AF6">
        <w:t xml:space="preserve">Table </w:t>
      </w:r>
      <w:fldSimple w:instr=" STYLEREF 1 \s ">
        <w:r w:rsidR="000441F7">
          <w:rPr>
            <w:noProof/>
          </w:rPr>
          <w:t>6</w:t>
        </w:r>
      </w:fldSimple>
      <w:r w:rsidR="00804112">
        <w:noBreakHyphen/>
      </w:r>
      <w:fldSimple w:instr=" SEQ Table \* ARABIC \s 1 ">
        <w:r w:rsidR="000441F7">
          <w:rPr>
            <w:noProof/>
          </w:rPr>
          <w:t>36</w:t>
        </w:r>
      </w:fldSimple>
      <w:r w:rsidRPr="00A77AF6">
        <w:t>: Likert scale for evaluation of project performance against time, cost and quality in the operational phase</w:t>
      </w:r>
    </w:p>
    <w:tbl>
      <w:tblPr>
        <w:tblW w:w="8963" w:type="dxa"/>
        <w:tblLayout w:type="fixed"/>
        <w:tblLook w:val="04A0" w:firstRow="1" w:lastRow="0" w:firstColumn="1" w:lastColumn="0" w:noHBand="0" w:noVBand="1"/>
      </w:tblPr>
      <w:tblGrid>
        <w:gridCol w:w="988"/>
        <w:gridCol w:w="1329"/>
        <w:gridCol w:w="1329"/>
        <w:gridCol w:w="1329"/>
        <w:gridCol w:w="1329"/>
        <w:gridCol w:w="1329"/>
        <w:gridCol w:w="1330"/>
      </w:tblGrid>
      <w:tr w:rsidR="00CA6D9A" w:rsidRPr="00A77AF6" w14:paraId="1B6D4924" w14:textId="77777777" w:rsidTr="00BE3CEA">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1A5146" w14:textId="77777777" w:rsidR="00CA6D9A" w:rsidRPr="00A77AF6" w:rsidRDefault="00CA6D9A" w:rsidP="00BD29CF">
            <w:pPr>
              <w:spacing w:after="120" w:line="240" w:lineRule="auto"/>
              <w:rPr>
                <w:sz w:val="20"/>
              </w:rPr>
            </w:pPr>
            <w:r w:rsidRPr="00A77AF6">
              <w:rPr>
                <w:sz w:val="20"/>
              </w:rPr>
              <w:t>Success criteria</w:t>
            </w:r>
          </w:p>
        </w:tc>
        <w:tc>
          <w:tcPr>
            <w:tcW w:w="797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ACE229" w14:textId="77777777" w:rsidR="00CA6D9A" w:rsidRPr="00A77AF6" w:rsidRDefault="00CA6D9A" w:rsidP="00BD29CF">
            <w:pPr>
              <w:spacing w:after="120" w:line="240" w:lineRule="auto"/>
              <w:jc w:val="center"/>
              <w:rPr>
                <w:sz w:val="20"/>
              </w:rPr>
            </w:pPr>
            <w:r w:rsidRPr="00A77AF6">
              <w:rPr>
                <w:sz w:val="20"/>
              </w:rPr>
              <w:t>Likert scale</w:t>
            </w:r>
          </w:p>
        </w:tc>
      </w:tr>
      <w:tr w:rsidR="00CA6D9A" w:rsidRPr="00A77AF6" w14:paraId="5D5D80FA" w14:textId="77777777" w:rsidTr="00CA6D9A">
        <w:tc>
          <w:tcPr>
            <w:tcW w:w="988" w:type="dxa"/>
            <w:tcBorders>
              <w:top w:val="single" w:sz="4" w:space="0" w:color="auto"/>
              <w:left w:val="single" w:sz="4" w:space="0" w:color="auto"/>
              <w:bottom w:val="single" w:sz="4" w:space="0" w:color="auto"/>
              <w:right w:val="single" w:sz="4" w:space="0" w:color="auto"/>
            </w:tcBorders>
          </w:tcPr>
          <w:p w14:paraId="4A9BA280" w14:textId="77777777" w:rsidR="00CA6D9A" w:rsidRPr="00A77AF6" w:rsidRDefault="00CA6D9A" w:rsidP="00BD29CF">
            <w:pPr>
              <w:spacing w:after="120" w:line="240" w:lineRule="auto"/>
              <w:rPr>
                <w:sz w:val="20"/>
              </w:rPr>
            </w:pPr>
          </w:p>
        </w:tc>
        <w:tc>
          <w:tcPr>
            <w:tcW w:w="1329" w:type="dxa"/>
            <w:tcBorders>
              <w:top w:val="single" w:sz="4" w:space="0" w:color="auto"/>
              <w:left w:val="single" w:sz="4" w:space="0" w:color="auto"/>
              <w:bottom w:val="single" w:sz="4" w:space="0" w:color="auto"/>
              <w:right w:val="single" w:sz="4" w:space="0" w:color="auto"/>
            </w:tcBorders>
          </w:tcPr>
          <w:p w14:paraId="4FB5D9B9" w14:textId="77777777" w:rsidR="00CA6D9A" w:rsidRPr="00A77AF6" w:rsidRDefault="00CA6D9A" w:rsidP="00BD29CF">
            <w:pPr>
              <w:spacing w:after="120" w:line="240" w:lineRule="auto"/>
              <w:rPr>
                <w:sz w:val="20"/>
              </w:rPr>
            </w:pPr>
            <w:r w:rsidRPr="00A77AF6">
              <w:rPr>
                <w:sz w:val="20"/>
              </w:rPr>
              <w:t>5</w:t>
            </w:r>
          </w:p>
        </w:tc>
        <w:tc>
          <w:tcPr>
            <w:tcW w:w="1329" w:type="dxa"/>
            <w:tcBorders>
              <w:top w:val="single" w:sz="4" w:space="0" w:color="auto"/>
              <w:left w:val="single" w:sz="4" w:space="0" w:color="auto"/>
              <w:bottom w:val="single" w:sz="4" w:space="0" w:color="auto"/>
              <w:right w:val="single" w:sz="4" w:space="0" w:color="auto"/>
            </w:tcBorders>
          </w:tcPr>
          <w:p w14:paraId="0E6E6427" w14:textId="77777777" w:rsidR="00CA6D9A" w:rsidRPr="00A77AF6" w:rsidRDefault="00CA6D9A" w:rsidP="00BD29CF">
            <w:pPr>
              <w:spacing w:after="120" w:line="240" w:lineRule="auto"/>
              <w:rPr>
                <w:sz w:val="20"/>
              </w:rPr>
            </w:pPr>
            <w:r w:rsidRPr="00A77AF6">
              <w:rPr>
                <w:sz w:val="20"/>
              </w:rPr>
              <w:t>4</w:t>
            </w:r>
          </w:p>
        </w:tc>
        <w:tc>
          <w:tcPr>
            <w:tcW w:w="1329" w:type="dxa"/>
            <w:tcBorders>
              <w:top w:val="single" w:sz="4" w:space="0" w:color="auto"/>
              <w:left w:val="single" w:sz="4" w:space="0" w:color="auto"/>
              <w:bottom w:val="single" w:sz="4" w:space="0" w:color="auto"/>
              <w:right w:val="single" w:sz="4" w:space="0" w:color="auto"/>
            </w:tcBorders>
          </w:tcPr>
          <w:p w14:paraId="3C04ECC2" w14:textId="77777777" w:rsidR="00CA6D9A" w:rsidRPr="00A77AF6" w:rsidRDefault="00CA6D9A" w:rsidP="00BD29CF">
            <w:pPr>
              <w:spacing w:after="120" w:line="240" w:lineRule="auto"/>
              <w:rPr>
                <w:sz w:val="20"/>
              </w:rPr>
            </w:pPr>
            <w:r w:rsidRPr="00A77AF6">
              <w:rPr>
                <w:sz w:val="20"/>
              </w:rPr>
              <w:t>3</w:t>
            </w:r>
          </w:p>
        </w:tc>
        <w:tc>
          <w:tcPr>
            <w:tcW w:w="1329" w:type="dxa"/>
            <w:tcBorders>
              <w:top w:val="single" w:sz="4" w:space="0" w:color="auto"/>
              <w:left w:val="single" w:sz="4" w:space="0" w:color="auto"/>
              <w:bottom w:val="single" w:sz="4" w:space="0" w:color="auto"/>
              <w:right w:val="single" w:sz="4" w:space="0" w:color="auto"/>
            </w:tcBorders>
          </w:tcPr>
          <w:p w14:paraId="23FB97FC" w14:textId="77777777" w:rsidR="00CA6D9A" w:rsidRPr="00A77AF6" w:rsidRDefault="00CA6D9A" w:rsidP="00BD29CF">
            <w:pPr>
              <w:spacing w:after="120" w:line="240" w:lineRule="auto"/>
              <w:rPr>
                <w:sz w:val="20"/>
              </w:rPr>
            </w:pPr>
            <w:r w:rsidRPr="00A77AF6">
              <w:rPr>
                <w:sz w:val="20"/>
              </w:rPr>
              <w:t>2</w:t>
            </w:r>
          </w:p>
        </w:tc>
        <w:tc>
          <w:tcPr>
            <w:tcW w:w="1329" w:type="dxa"/>
            <w:tcBorders>
              <w:top w:val="single" w:sz="4" w:space="0" w:color="auto"/>
              <w:left w:val="single" w:sz="4" w:space="0" w:color="auto"/>
              <w:bottom w:val="single" w:sz="4" w:space="0" w:color="auto"/>
              <w:right w:val="single" w:sz="4" w:space="0" w:color="auto"/>
            </w:tcBorders>
          </w:tcPr>
          <w:p w14:paraId="0602594B" w14:textId="77777777" w:rsidR="00CA6D9A" w:rsidRPr="00A77AF6" w:rsidRDefault="00CA6D9A" w:rsidP="00BD29CF">
            <w:pPr>
              <w:spacing w:after="120" w:line="240" w:lineRule="auto"/>
              <w:rPr>
                <w:sz w:val="20"/>
              </w:rPr>
            </w:pPr>
            <w:r w:rsidRPr="00A77AF6">
              <w:rPr>
                <w:sz w:val="20"/>
              </w:rPr>
              <w:t>1</w:t>
            </w:r>
          </w:p>
        </w:tc>
        <w:tc>
          <w:tcPr>
            <w:tcW w:w="1330" w:type="dxa"/>
            <w:tcBorders>
              <w:top w:val="single" w:sz="4" w:space="0" w:color="auto"/>
              <w:left w:val="single" w:sz="4" w:space="0" w:color="auto"/>
              <w:bottom w:val="single" w:sz="4" w:space="0" w:color="auto"/>
              <w:right w:val="single" w:sz="4" w:space="0" w:color="auto"/>
            </w:tcBorders>
          </w:tcPr>
          <w:p w14:paraId="2328554F" w14:textId="77777777" w:rsidR="00CA6D9A" w:rsidRPr="00A77AF6" w:rsidRDefault="00CA6D9A" w:rsidP="00BD29CF">
            <w:pPr>
              <w:spacing w:after="120" w:line="240" w:lineRule="auto"/>
              <w:rPr>
                <w:sz w:val="20"/>
              </w:rPr>
            </w:pPr>
            <w:r w:rsidRPr="00A77AF6">
              <w:rPr>
                <w:sz w:val="20"/>
              </w:rPr>
              <w:t>0</w:t>
            </w:r>
          </w:p>
        </w:tc>
      </w:tr>
      <w:tr w:rsidR="00CA6D9A" w:rsidRPr="00A77AF6" w14:paraId="27BC8AED" w14:textId="77777777" w:rsidTr="00CA6D9A">
        <w:tc>
          <w:tcPr>
            <w:tcW w:w="988" w:type="dxa"/>
            <w:tcBorders>
              <w:top w:val="single" w:sz="4" w:space="0" w:color="auto"/>
              <w:left w:val="single" w:sz="4" w:space="0" w:color="auto"/>
              <w:bottom w:val="single" w:sz="4" w:space="0" w:color="auto"/>
              <w:right w:val="single" w:sz="4" w:space="0" w:color="auto"/>
            </w:tcBorders>
          </w:tcPr>
          <w:p w14:paraId="31CBE3D3" w14:textId="77777777" w:rsidR="00CA6D9A" w:rsidRPr="00A77AF6" w:rsidRDefault="00CA6D9A" w:rsidP="00BD29CF">
            <w:pPr>
              <w:spacing w:after="120" w:line="240" w:lineRule="auto"/>
              <w:rPr>
                <w:sz w:val="20"/>
              </w:rPr>
            </w:pPr>
            <w:r w:rsidRPr="00A77AF6">
              <w:rPr>
                <w:b/>
                <w:sz w:val="20"/>
              </w:rPr>
              <w:t>Cost</w:t>
            </w:r>
          </w:p>
        </w:tc>
        <w:tc>
          <w:tcPr>
            <w:tcW w:w="1329" w:type="dxa"/>
            <w:tcBorders>
              <w:top w:val="single" w:sz="4" w:space="0" w:color="auto"/>
              <w:left w:val="single" w:sz="4" w:space="0" w:color="auto"/>
              <w:bottom w:val="single" w:sz="4" w:space="0" w:color="auto"/>
              <w:right w:val="single" w:sz="4" w:space="0" w:color="auto"/>
            </w:tcBorders>
          </w:tcPr>
          <w:p w14:paraId="75EFDAF6" w14:textId="173906C8" w:rsidR="00CA6D9A" w:rsidRPr="00A77AF6" w:rsidRDefault="00BA7AEF" w:rsidP="00BD29CF">
            <w:pPr>
              <w:spacing w:after="120" w:line="240" w:lineRule="auto"/>
              <w:rPr>
                <w:sz w:val="20"/>
              </w:rPr>
            </w:pPr>
            <w:r>
              <w:rPr>
                <w:sz w:val="20"/>
              </w:rPr>
              <w:t>S</w:t>
            </w:r>
            <w:r w:rsidR="00CA6D9A" w:rsidRPr="00A77AF6">
              <w:rPr>
                <w:sz w:val="20"/>
              </w:rPr>
              <w:t>ignificantly under cost</w:t>
            </w:r>
          </w:p>
        </w:tc>
        <w:tc>
          <w:tcPr>
            <w:tcW w:w="1329" w:type="dxa"/>
            <w:tcBorders>
              <w:top w:val="single" w:sz="4" w:space="0" w:color="auto"/>
              <w:left w:val="single" w:sz="4" w:space="0" w:color="auto"/>
              <w:bottom w:val="single" w:sz="4" w:space="0" w:color="auto"/>
              <w:right w:val="single" w:sz="4" w:space="0" w:color="auto"/>
            </w:tcBorders>
          </w:tcPr>
          <w:p w14:paraId="0DAFF563" w14:textId="22A689FA" w:rsidR="00CA6D9A" w:rsidRPr="00A77AF6" w:rsidRDefault="00BA7AEF" w:rsidP="00BD29CF">
            <w:pPr>
              <w:spacing w:after="120" w:line="240" w:lineRule="auto"/>
              <w:rPr>
                <w:sz w:val="20"/>
              </w:rPr>
            </w:pPr>
            <w:r>
              <w:rPr>
                <w:sz w:val="20"/>
              </w:rPr>
              <w:t>S</w:t>
            </w:r>
            <w:r w:rsidR="00CA6D9A" w:rsidRPr="00A77AF6">
              <w:rPr>
                <w:sz w:val="20"/>
              </w:rPr>
              <w:t>lightly under cost</w:t>
            </w:r>
          </w:p>
        </w:tc>
        <w:tc>
          <w:tcPr>
            <w:tcW w:w="1329" w:type="dxa"/>
            <w:tcBorders>
              <w:top w:val="single" w:sz="4" w:space="0" w:color="auto"/>
              <w:left w:val="single" w:sz="4" w:space="0" w:color="auto"/>
              <w:bottom w:val="single" w:sz="4" w:space="0" w:color="auto"/>
              <w:right w:val="single" w:sz="4" w:space="0" w:color="auto"/>
            </w:tcBorders>
          </w:tcPr>
          <w:p w14:paraId="326582F3" w14:textId="77777777" w:rsidR="00CA6D9A" w:rsidRPr="00A77AF6" w:rsidRDefault="00CA6D9A" w:rsidP="00BD29CF">
            <w:pPr>
              <w:spacing w:after="120" w:line="240" w:lineRule="auto"/>
              <w:rPr>
                <w:sz w:val="20"/>
              </w:rPr>
            </w:pPr>
            <w:r w:rsidRPr="00A77AF6">
              <w:rPr>
                <w:sz w:val="20"/>
              </w:rPr>
              <w:t>On cost</w:t>
            </w:r>
          </w:p>
        </w:tc>
        <w:tc>
          <w:tcPr>
            <w:tcW w:w="1329" w:type="dxa"/>
            <w:tcBorders>
              <w:top w:val="single" w:sz="4" w:space="0" w:color="auto"/>
              <w:left w:val="single" w:sz="4" w:space="0" w:color="auto"/>
              <w:bottom w:val="single" w:sz="4" w:space="0" w:color="auto"/>
              <w:right w:val="single" w:sz="4" w:space="0" w:color="auto"/>
            </w:tcBorders>
          </w:tcPr>
          <w:p w14:paraId="7B5D6FA7" w14:textId="4FD863BD" w:rsidR="00CA6D9A" w:rsidRPr="00A77AF6" w:rsidRDefault="00BA7AEF" w:rsidP="00BD29CF">
            <w:pPr>
              <w:spacing w:after="120" w:line="240" w:lineRule="auto"/>
              <w:rPr>
                <w:sz w:val="20"/>
              </w:rPr>
            </w:pPr>
            <w:r>
              <w:rPr>
                <w:sz w:val="20"/>
              </w:rPr>
              <w:t>S</w:t>
            </w:r>
            <w:r w:rsidR="00CA6D9A" w:rsidRPr="00A77AF6">
              <w:rPr>
                <w:sz w:val="20"/>
              </w:rPr>
              <w:t>lightly over cost</w:t>
            </w:r>
          </w:p>
        </w:tc>
        <w:tc>
          <w:tcPr>
            <w:tcW w:w="1329" w:type="dxa"/>
            <w:tcBorders>
              <w:top w:val="single" w:sz="4" w:space="0" w:color="auto"/>
              <w:left w:val="single" w:sz="4" w:space="0" w:color="auto"/>
              <w:bottom w:val="single" w:sz="4" w:space="0" w:color="auto"/>
              <w:right w:val="single" w:sz="4" w:space="0" w:color="auto"/>
            </w:tcBorders>
          </w:tcPr>
          <w:p w14:paraId="4A914F88" w14:textId="77777777" w:rsidR="00CA6D9A" w:rsidRPr="00A77AF6" w:rsidRDefault="00CA6D9A" w:rsidP="00BD29CF">
            <w:pPr>
              <w:spacing w:after="120" w:line="240" w:lineRule="auto"/>
              <w:rPr>
                <w:sz w:val="20"/>
              </w:rPr>
            </w:pPr>
            <w:r w:rsidRPr="00A77AF6">
              <w:rPr>
                <w:sz w:val="20"/>
              </w:rPr>
              <w:t>Significantly over cost</w:t>
            </w:r>
          </w:p>
        </w:tc>
        <w:tc>
          <w:tcPr>
            <w:tcW w:w="1330" w:type="dxa"/>
            <w:tcBorders>
              <w:top w:val="single" w:sz="4" w:space="0" w:color="auto"/>
              <w:left w:val="single" w:sz="4" w:space="0" w:color="auto"/>
              <w:bottom w:val="single" w:sz="4" w:space="0" w:color="auto"/>
              <w:right w:val="single" w:sz="4" w:space="0" w:color="auto"/>
            </w:tcBorders>
          </w:tcPr>
          <w:p w14:paraId="43A4E39B" w14:textId="63DBFFB5" w:rsidR="00CA6D9A" w:rsidRPr="00A77AF6" w:rsidRDefault="00BA7AEF" w:rsidP="00BD29CF">
            <w:pPr>
              <w:spacing w:after="120" w:line="240" w:lineRule="auto"/>
              <w:rPr>
                <w:sz w:val="20"/>
              </w:rPr>
            </w:pPr>
            <w:r>
              <w:rPr>
                <w:sz w:val="20"/>
              </w:rPr>
              <w:t>D</w:t>
            </w:r>
            <w:r w:rsidR="00CA6D9A" w:rsidRPr="00A77AF6">
              <w:rPr>
                <w:sz w:val="20"/>
              </w:rPr>
              <w:t>on’t know</w:t>
            </w:r>
          </w:p>
        </w:tc>
      </w:tr>
      <w:tr w:rsidR="00CA6D9A" w:rsidRPr="00A77AF6" w14:paraId="2B678C9A" w14:textId="77777777" w:rsidTr="00CA6D9A">
        <w:tc>
          <w:tcPr>
            <w:tcW w:w="988" w:type="dxa"/>
            <w:tcBorders>
              <w:top w:val="single" w:sz="4" w:space="0" w:color="auto"/>
              <w:left w:val="single" w:sz="4" w:space="0" w:color="auto"/>
              <w:bottom w:val="single" w:sz="4" w:space="0" w:color="auto"/>
              <w:right w:val="single" w:sz="4" w:space="0" w:color="auto"/>
            </w:tcBorders>
          </w:tcPr>
          <w:p w14:paraId="072A62DE" w14:textId="77777777" w:rsidR="00CA6D9A" w:rsidRPr="00A77AF6" w:rsidRDefault="00CA6D9A" w:rsidP="00BD29CF">
            <w:pPr>
              <w:spacing w:after="120" w:line="240" w:lineRule="auto"/>
              <w:rPr>
                <w:sz w:val="20"/>
              </w:rPr>
            </w:pPr>
            <w:r w:rsidRPr="00A77AF6">
              <w:rPr>
                <w:b/>
                <w:sz w:val="20"/>
              </w:rPr>
              <w:t>Quality</w:t>
            </w:r>
          </w:p>
        </w:tc>
        <w:tc>
          <w:tcPr>
            <w:tcW w:w="1329" w:type="dxa"/>
            <w:tcBorders>
              <w:top w:val="single" w:sz="4" w:space="0" w:color="auto"/>
              <w:left w:val="single" w:sz="4" w:space="0" w:color="auto"/>
              <w:bottom w:val="single" w:sz="4" w:space="0" w:color="auto"/>
              <w:right w:val="single" w:sz="4" w:space="0" w:color="auto"/>
            </w:tcBorders>
          </w:tcPr>
          <w:p w14:paraId="001F9E0B" w14:textId="7C103FB7" w:rsidR="00CA6D9A" w:rsidRPr="00A77AF6" w:rsidRDefault="00BA7AEF" w:rsidP="00BD29CF">
            <w:pPr>
              <w:spacing w:after="120" w:line="240" w:lineRule="auto"/>
              <w:rPr>
                <w:sz w:val="20"/>
              </w:rPr>
            </w:pPr>
            <w:r>
              <w:rPr>
                <w:sz w:val="20"/>
              </w:rPr>
              <w:t>S</w:t>
            </w:r>
            <w:r w:rsidR="00CA6D9A" w:rsidRPr="00A77AF6">
              <w:rPr>
                <w:sz w:val="20"/>
              </w:rPr>
              <w:t>ignificantly exceeded quality targets</w:t>
            </w:r>
          </w:p>
        </w:tc>
        <w:tc>
          <w:tcPr>
            <w:tcW w:w="1329" w:type="dxa"/>
            <w:tcBorders>
              <w:top w:val="single" w:sz="4" w:space="0" w:color="auto"/>
              <w:left w:val="single" w:sz="4" w:space="0" w:color="auto"/>
              <w:bottom w:val="single" w:sz="4" w:space="0" w:color="auto"/>
              <w:right w:val="single" w:sz="4" w:space="0" w:color="auto"/>
            </w:tcBorders>
          </w:tcPr>
          <w:p w14:paraId="57FEB2BC" w14:textId="5F5C92C1" w:rsidR="00CA6D9A" w:rsidRPr="00A77AF6" w:rsidRDefault="00BA7AEF" w:rsidP="00BD29CF">
            <w:pPr>
              <w:spacing w:after="120" w:line="240" w:lineRule="auto"/>
              <w:rPr>
                <w:sz w:val="20"/>
              </w:rPr>
            </w:pPr>
            <w:r>
              <w:rPr>
                <w:sz w:val="20"/>
              </w:rPr>
              <w:t>S</w:t>
            </w:r>
            <w:r w:rsidR="00CA6D9A" w:rsidRPr="00A77AF6">
              <w:rPr>
                <w:sz w:val="20"/>
              </w:rPr>
              <w:t>lightly exceeded quality targets</w:t>
            </w:r>
          </w:p>
        </w:tc>
        <w:tc>
          <w:tcPr>
            <w:tcW w:w="1329" w:type="dxa"/>
            <w:tcBorders>
              <w:top w:val="single" w:sz="4" w:space="0" w:color="auto"/>
              <w:left w:val="single" w:sz="4" w:space="0" w:color="auto"/>
              <w:bottom w:val="single" w:sz="4" w:space="0" w:color="auto"/>
              <w:right w:val="single" w:sz="4" w:space="0" w:color="auto"/>
            </w:tcBorders>
          </w:tcPr>
          <w:p w14:paraId="611BAC9D" w14:textId="52E66BDF" w:rsidR="00CA6D9A" w:rsidRPr="00A77AF6" w:rsidRDefault="00BA7AEF" w:rsidP="00BD29CF">
            <w:pPr>
              <w:spacing w:after="120" w:line="240" w:lineRule="auto"/>
              <w:rPr>
                <w:sz w:val="20"/>
              </w:rPr>
            </w:pPr>
            <w:r>
              <w:rPr>
                <w:sz w:val="20"/>
              </w:rPr>
              <w:t>M</w:t>
            </w:r>
            <w:r w:rsidR="00CA6D9A" w:rsidRPr="00A77AF6">
              <w:rPr>
                <w:sz w:val="20"/>
              </w:rPr>
              <w:t>et quality targets</w:t>
            </w:r>
          </w:p>
        </w:tc>
        <w:tc>
          <w:tcPr>
            <w:tcW w:w="1329" w:type="dxa"/>
            <w:tcBorders>
              <w:top w:val="single" w:sz="4" w:space="0" w:color="auto"/>
              <w:left w:val="single" w:sz="4" w:space="0" w:color="auto"/>
              <w:bottom w:val="single" w:sz="4" w:space="0" w:color="auto"/>
              <w:right w:val="single" w:sz="4" w:space="0" w:color="auto"/>
            </w:tcBorders>
          </w:tcPr>
          <w:p w14:paraId="7DB9F4D9" w14:textId="62D7AA09" w:rsidR="00CA6D9A" w:rsidRPr="00A77AF6" w:rsidRDefault="00BA7AEF" w:rsidP="00BD29CF">
            <w:pPr>
              <w:spacing w:after="120" w:line="240" w:lineRule="auto"/>
              <w:rPr>
                <w:sz w:val="20"/>
              </w:rPr>
            </w:pPr>
            <w:r>
              <w:rPr>
                <w:sz w:val="20"/>
              </w:rPr>
              <w:t>S</w:t>
            </w:r>
            <w:r w:rsidR="00CA6D9A" w:rsidRPr="00A77AF6">
              <w:rPr>
                <w:sz w:val="20"/>
              </w:rPr>
              <w:t>lightly missed quality targets</w:t>
            </w:r>
          </w:p>
        </w:tc>
        <w:tc>
          <w:tcPr>
            <w:tcW w:w="1329" w:type="dxa"/>
            <w:tcBorders>
              <w:top w:val="single" w:sz="4" w:space="0" w:color="auto"/>
              <w:left w:val="single" w:sz="4" w:space="0" w:color="auto"/>
              <w:bottom w:val="single" w:sz="4" w:space="0" w:color="auto"/>
              <w:right w:val="single" w:sz="4" w:space="0" w:color="auto"/>
            </w:tcBorders>
          </w:tcPr>
          <w:p w14:paraId="61F325A9" w14:textId="77777777" w:rsidR="00CA6D9A" w:rsidRPr="00A77AF6" w:rsidRDefault="00CA6D9A" w:rsidP="00BD29CF">
            <w:pPr>
              <w:spacing w:after="120" w:line="240" w:lineRule="auto"/>
              <w:rPr>
                <w:sz w:val="20"/>
              </w:rPr>
            </w:pPr>
            <w:r w:rsidRPr="00A77AF6">
              <w:rPr>
                <w:sz w:val="20"/>
              </w:rPr>
              <w:t>Significantly missed quality targets</w:t>
            </w:r>
          </w:p>
        </w:tc>
        <w:tc>
          <w:tcPr>
            <w:tcW w:w="1330" w:type="dxa"/>
            <w:tcBorders>
              <w:top w:val="single" w:sz="4" w:space="0" w:color="auto"/>
              <w:left w:val="single" w:sz="4" w:space="0" w:color="auto"/>
              <w:bottom w:val="single" w:sz="4" w:space="0" w:color="auto"/>
              <w:right w:val="single" w:sz="4" w:space="0" w:color="auto"/>
            </w:tcBorders>
          </w:tcPr>
          <w:p w14:paraId="47F8B5E9" w14:textId="3964CE03" w:rsidR="00CA6D9A" w:rsidRPr="00A77AF6" w:rsidRDefault="00BA7AEF" w:rsidP="00BD29CF">
            <w:pPr>
              <w:spacing w:after="120" w:line="240" w:lineRule="auto"/>
              <w:rPr>
                <w:sz w:val="20"/>
              </w:rPr>
            </w:pPr>
            <w:r>
              <w:rPr>
                <w:sz w:val="20"/>
              </w:rPr>
              <w:t>D</w:t>
            </w:r>
            <w:r w:rsidR="00CA6D9A" w:rsidRPr="00A77AF6">
              <w:rPr>
                <w:sz w:val="20"/>
              </w:rPr>
              <w:t>on’t know</w:t>
            </w:r>
          </w:p>
        </w:tc>
      </w:tr>
    </w:tbl>
    <w:p w14:paraId="08F37E91" w14:textId="1E3CEDFD" w:rsidR="008909EC" w:rsidRPr="00A77AF6" w:rsidRDefault="008909EC">
      <w:pPr>
        <w:rPr>
          <w:rFonts w:asciiTheme="majorHAnsi" w:eastAsiaTheme="majorEastAsia" w:hAnsiTheme="majorHAnsi" w:cstheme="majorBidi"/>
          <w:b/>
          <w:i/>
          <w:iCs/>
          <w:color w:val="000000" w:themeColor="text1"/>
        </w:rPr>
      </w:pPr>
    </w:p>
    <w:p w14:paraId="23C4FCEE" w14:textId="0001D507" w:rsidR="0073034F" w:rsidRPr="00A77AF6" w:rsidRDefault="00CA6D9A" w:rsidP="00C21A49">
      <w:pPr>
        <w:pStyle w:val="Heading4"/>
        <w:numPr>
          <w:ilvl w:val="0"/>
          <w:numId w:val="0"/>
        </w:numPr>
        <w:spacing w:after="120"/>
      </w:pPr>
      <w:r w:rsidRPr="00A77AF6">
        <w:t>C</w:t>
      </w:r>
      <w:r w:rsidR="0073034F" w:rsidRPr="00A77AF6">
        <w:t>ost</w:t>
      </w:r>
    </w:p>
    <w:p w14:paraId="0553B319" w14:textId="03C96B26" w:rsidR="006F2E90" w:rsidRPr="00A77AF6" w:rsidRDefault="0073034F" w:rsidP="0072547B">
      <w:pPr>
        <w:spacing w:line="360" w:lineRule="auto"/>
      </w:pPr>
      <w:r w:rsidRPr="00A77AF6">
        <w:t>Respondents were asked whether</w:t>
      </w:r>
      <w:r w:rsidR="00C25A0F" w:rsidRPr="00A77AF6">
        <w:t xml:space="preserve"> their</w:t>
      </w:r>
      <w:r w:rsidRPr="00A77AF6">
        <w:t xml:space="preserve"> project had </w:t>
      </w:r>
      <w:r w:rsidR="006F2E90" w:rsidRPr="00A77AF6">
        <w:t xml:space="preserve">met </w:t>
      </w:r>
      <w:r w:rsidRPr="00A77AF6">
        <w:t xml:space="preserve">cost </w:t>
      </w:r>
      <w:r w:rsidR="006F2E90" w:rsidRPr="00A77AF6">
        <w:t xml:space="preserve">targets in the operational phase. </w:t>
      </w:r>
      <w:r w:rsidR="0072547B" w:rsidRPr="00A77AF6">
        <w:t>For the purposes of this analysis the categories ‘significantly under cost’, ‘slightly under cost’ and ‘on cost’ were merged to create the variable: on/under running cost.  The categories ‘slightly over cost’ and ‘significantly over cost’ were merged into the variable ‘over running cost’. The variable ‘</w:t>
      </w:r>
      <w:r w:rsidR="00EF5339" w:rsidRPr="00A77AF6">
        <w:t>D</w:t>
      </w:r>
      <w:r w:rsidR="0072547B" w:rsidRPr="00A77AF6">
        <w:t>on’t know’ was unchanged.</w:t>
      </w:r>
      <w:r w:rsidR="008F1B8E" w:rsidRPr="00A77AF6">
        <w:t xml:space="preserve"> </w:t>
      </w:r>
      <w:r w:rsidR="00323EE7" w:rsidRPr="00A77AF6">
        <w:t xml:space="preserve">Nineteen </w:t>
      </w:r>
      <w:r w:rsidR="0072547B" w:rsidRPr="00A77AF6">
        <w:t xml:space="preserve">respondents thought that </w:t>
      </w:r>
      <w:r w:rsidR="006F2E90" w:rsidRPr="00A77AF6">
        <w:t xml:space="preserve">projects met running cost </w:t>
      </w:r>
      <w:r w:rsidR="006F2E90" w:rsidRPr="00A77AF6">
        <w:lastRenderedPageBreak/>
        <w:t xml:space="preserve">targets in the operational phase, </w:t>
      </w:r>
      <w:r w:rsidR="005B277C" w:rsidRPr="00A77AF6">
        <w:t>1</w:t>
      </w:r>
      <w:r w:rsidR="006F2E90" w:rsidRPr="00A77AF6">
        <w:t>3</w:t>
      </w:r>
      <w:r w:rsidR="00352D5D" w:rsidRPr="00A77AF6">
        <w:t xml:space="preserve"> </w:t>
      </w:r>
      <w:r w:rsidR="0072547B" w:rsidRPr="00A77AF6">
        <w:t>thought they e</w:t>
      </w:r>
      <w:r w:rsidR="006F2E90" w:rsidRPr="00A77AF6">
        <w:t xml:space="preserve">xceeded </w:t>
      </w:r>
      <w:r w:rsidR="0072547B" w:rsidRPr="00A77AF6">
        <w:t>cost targets a</w:t>
      </w:r>
      <w:r w:rsidR="006F2E90" w:rsidRPr="00A77AF6">
        <w:t>nd</w:t>
      </w:r>
      <w:r w:rsidR="005B277C" w:rsidRPr="00A77AF6">
        <w:t xml:space="preserve"> 1</w:t>
      </w:r>
      <w:r w:rsidR="006F2E90" w:rsidRPr="00A77AF6">
        <w:t>9</w:t>
      </w:r>
      <w:r w:rsidR="005B277C" w:rsidRPr="00A77AF6">
        <w:t xml:space="preserve"> </w:t>
      </w:r>
      <w:r w:rsidR="006F2E90" w:rsidRPr="00A77AF6">
        <w:t>did not know</w:t>
      </w:r>
      <w:r w:rsidR="0072547B" w:rsidRPr="00A77AF6">
        <w:t xml:space="preserve"> (</w:t>
      </w:r>
      <w:r w:rsidR="007F0E1F" w:rsidRPr="00A77AF6">
        <w:t>T</w:t>
      </w:r>
      <w:r w:rsidR="006F2E90" w:rsidRPr="00A77AF6">
        <w:t xml:space="preserve">able </w:t>
      </w:r>
      <w:r w:rsidR="005B277C" w:rsidRPr="00A77AF6">
        <w:t>6-37</w:t>
      </w:r>
      <w:r w:rsidR="006F2E90" w:rsidRPr="00A77AF6">
        <w:t xml:space="preserve">). </w:t>
      </w:r>
    </w:p>
    <w:p w14:paraId="757406E2" w14:textId="755C0E6B" w:rsidR="006F2E90" w:rsidRPr="00A77AF6" w:rsidRDefault="006F2E90" w:rsidP="005B277C">
      <w:pPr>
        <w:pStyle w:val="Caption"/>
        <w:keepNext/>
        <w:spacing w:after="120"/>
      </w:pPr>
      <w:r w:rsidRPr="00A77AF6">
        <w:t xml:space="preserve">Table </w:t>
      </w:r>
      <w:fldSimple w:instr=" STYLEREF 1 \s ">
        <w:r w:rsidR="000441F7">
          <w:rPr>
            <w:noProof/>
          </w:rPr>
          <w:t>6</w:t>
        </w:r>
      </w:fldSimple>
      <w:r w:rsidR="00804112">
        <w:noBreakHyphen/>
      </w:r>
      <w:fldSimple w:instr=" SEQ Table \* ARABIC \s 1 ">
        <w:r w:rsidR="000441F7">
          <w:rPr>
            <w:noProof/>
          </w:rPr>
          <w:t>37</w:t>
        </w:r>
      </w:fldSimple>
      <w:r w:rsidRPr="00A77AF6">
        <w:t>: Number</w:t>
      </w:r>
      <w:r w:rsidR="00793105" w:rsidRPr="00A77AF6">
        <w:t xml:space="preserve"> (%)</w:t>
      </w:r>
      <w:r w:rsidRPr="00A77AF6">
        <w:t xml:space="preserve"> of projects meeting cost parameters in the operational phase</w:t>
      </w:r>
    </w:p>
    <w:tbl>
      <w:tblPr>
        <w:tblW w:w="0" w:type="auto"/>
        <w:tblLook w:val="04A0" w:firstRow="1" w:lastRow="0" w:firstColumn="1" w:lastColumn="0" w:noHBand="0" w:noVBand="1"/>
      </w:tblPr>
      <w:tblGrid>
        <w:gridCol w:w="2972"/>
        <w:gridCol w:w="2693"/>
      </w:tblGrid>
      <w:tr w:rsidR="00930FC5" w:rsidRPr="00A77AF6" w14:paraId="707DF36D" w14:textId="77777777" w:rsidTr="00581D66">
        <w:tc>
          <w:tcPr>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3902EF" w14:textId="544E08D5" w:rsidR="00930FC5" w:rsidRPr="00A77AF6" w:rsidRDefault="00930FC5" w:rsidP="00EA6D93">
            <w:pPr>
              <w:spacing w:after="120" w:line="240" w:lineRule="auto"/>
              <w:rPr>
                <w:sz w:val="20"/>
              </w:rPr>
            </w:pPr>
            <w:r w:rsidRPr="00A77AF6">
              <w:rPr>
                <w:sz w:val="20"/>
              </w:rPr>
              <w:t xml:space="preserve">Cost </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E360AC" w14:textId="77777777" w:rsidR="006C7968" w:rsidRPr="00A77AF6" w:rsidRDefault="006C7968" w:rsidP="006C7968">
            <w:pPr>
              <w:spacing w:after="0" w:line="240" w:lineRule="auto"/>
              <w:rPr>
                <w:sz w:val="20"/>
              </w:rPr>
            </w:pPr>
            <w:r w:rsidRPr="00A77AF6">
              <w:rPr>
                <w:sz w:val="20"/>
              </w:rPr>
              <w:t>Operational Phase</w:t>
            </w:r>
          </w:p>
          <w:p w14:paraId="49328E53" w14:textId="7C0062F3" w:rsidR="00930FC5" w:rsidRPr="00A77AF6" w:rsidRDefault="006C7968" w:rsidP="006C7968">
            <w:pPr>
              <w:spacing w:after="120" w:line="240" w:lineRule="auto"/>
              <w:rPr>
                <w:sz w:val="20"/>
              </w:rPr>
            </w:pPr>
            <w:r w:rsidRPr="00A77AF6">
              <w:rPr>
                <w:sz w:val="20"/>
              </w:rPr>
              <w:t>No. (%)</w:t>
            </w:r>
          </w:p>
        </w:tc>
      </w:tr>
      <w:tr w:rsidR="00930FC5" w:rsidRPr="00A77AF6" w14:paraId="0F98FF87" w14:textId="77777777" w:rsidTr="00581D66">
        <w:tc>
          <w:tcPr>
            <w:tcW w:w="2972" w:type="dxa"/>
            <w:tcBorders>
              <w:top w:val="single" w:sz="4" w:space="0" w:color="auto"/>
              <w:left w:val="single" w:sz="4" w:space="0" w:color="auto"/>
              <w:bottom w:val="single" w:sz="4" w:space="0" w:color="auto"/>
              <w:right w:val="single" w:sz="4" w:space="0" w:color="auto"/>
            </w:tcBorders>
          </w:tcPr>
          <w:p w14:paraId="2AF09D8D" w14:textId="5946EBA9" w:rsidR="00930FC5" w:rsidRPr="00A77AF6" w:rsidRDefault="005B277C" w:rsidP="00EA6D93">
            <w:pPr>
              <w:spacing w:after="120" w:line="240" w:lineRule="auto"/>
              <w:rPr>
                <w:sz w:val="20"/>
              </w:rPr>
            </w:pPr>
            <w:r w:rsidRPr="00A77AF6">
              <w:rPr>
                <w:sz w:val="20"/>
              </w:rPr>
              <w:t>O</w:t>
            </w:r>
            <w:r w:rsidR="00930FC5" w:rsidRPr="00A77AF6">
              <w:rPr>
                <w:sz w:val="20"/>
              </w:rPr>
              <w:t xml:space="preserve">n/ under running cost </w:t>
            </w:r>
          </w:p>
        </w:tc>
        <w:tc>
          <w:tcPr>
            <w:tcW w:w="2693" w:type="dxa"/>
            <w:tcBorders>
              <w:top w:val="single" w:sz="4" w:space="0" w:color="auto"/>
              <w:left w:val="single" w:sz="4" w:space="0" w:color="auto"/>
              <w:bottom w:val="single" w:sz="4" w:space="0" w:color="auto"/>
              <w:right w:val="single" w:sz="4" w:space="0" w:color="auto"/>
            </w:tcBorders>
          </w:tcPr>
          <w:p w14:paraId="6BD8F4EC" w14:textId="02934520" w:rsidR="00930FC5" w:rsidRPr="00A77AF6" w:rsidRDefault="00930FC5" w:rsidP="00EA6D93">
            <w:pPr>
              <w:spacing w:after="120" w:line="240" w:lineRule="auto"/>
              <w:rPr>
                <w:sz w:val="20"/>
              </w:rPr>
            </w:pPr>
            <w:r w:rsidRPr="00A77AF6">
              <w:rPr>
                <w:sz w:val="20"/>
              </w:rPr>
              <w:t>19 (37%)</w:t>
            </w:r>
          </w:p>
        </w:tc>
      </w:tr>
      <w:tr w:rsidR="00930FC5" w:rsidRPr="00A77AF6" w14:paraId="4893DE8D" w14:textId="77777777" w:rsidTr="00581D66">
        <w:tc>
          <w:tcPr>
            <w:tcW w:w="2972" w:type="dxa"/>
            <w:tcBorders>
              <w:top w:val="single" w:sz="4" w:space="0" w:color="auto"/>
              <w:left w:val="single" w:sz="4" w:space="0" w:color="auto"/>
              <w:bottom w:val="single" w:sz="4" w:space="0" w:color="auto"/>
              <w:right w:val="single" w:sz="4" w:space="0" w:color="auto"/>
            </w:tcBorders>
          </w:tcPr>
          <w:p w14:paraId="7B8F8707" w14:textId="70675692" w:rsidR="00930FC5" w:rsidRPr="00A77AF6" w:rsidRDefault="005B277C" w:rsidP="00EA6D93">
            <w:pPr>
              <w:spacing w:after="120" w:line="240" w:lineRule="auto"/>
              <w:rPr>
                <w:sz w:val="20"/>
              </w:rPr>
            </w:pPr>
            <w:r w:rsidRPr="00A77AF6">
              <w:rPr>
                <w:sz w:val="20"/>
              </w:rPr>
              <w:t>O</w:t>
            </w:r>
            <w:r w:rsidR="00930FC5" w:rsidRPr="00A77AF6">
              <w:rPr>
                <w:sz w:val="20"/>
              </w:rPr>
              <w:t xml:space="preserve">ver running cost </w:t>
            </w:r>
          </w:p>
        </w:tc>
        <w:tc>
          <w:tcPr>
            <w:tcW w:w="2693" w:type="dxa"/>
            <w:tcBorders>
              <w:top w:val="single" w:sz="4" w:space="0" w:color="auto"/>
              <w:left w:val="single" w:sz="4" w:space="0" w:color="auto"/>
              <w:bottom w:val="single" w:sz="4" w:space="0" w:color="auto"/>
              <w:right w:val="single" w:sz="4" w:space="0" w:color="auto"/>
            </w:tcBorders>
          </w:tcPr>
          <w:p w14:paraId="4C3BFF18" w14:textId="577A776F" w:rsidR="00930FC5" w:rsidRPr="00A77AF6" w:rsidRDefault="00930FC5" w:rsidP="00EA6D93">
            <w:pPr>
              <w:spacing w:after="120" w:line="240" w:lineRule="auto"/>
              <w:rPr>
                <w:sz w:val="20"/>
              </w:rPr>
            </w:pPr>
            <w:r w:rsidRPr="00A77AF6">
              <w:rPr>
                <w:sz w:val="20"/>
              </w:rPr>
              <w:t>13 (25%)</w:t>
            </w:r>
          </w:p>
        </w:tc>
      </w:tr>
      <w:tr w:rsidR="00930FC5" w:rsidRPr="00A77AF6" w14:paraId="5E591CE5" w14:textId="77777777" w:rsidTr="00581D66">
        <w:tc>
          <w:tcPr>
            <w:tcW w:w="2972" w:type="dxa"/>
            <w:tcBorders>
              <w:top w:val="single" w:sz="4" w:space="0" w:color="auto"/>
              <w:left w:val="single" w:sz="4" w:space="0" w:color="auto"/>
              <w:bottom w:val="single" w:sz="4" w:space="0" w:color="auto"/>
              <w:right w:val="single" w:sz="4" w:space="0" w:color="auto"/>
            </w:tcBorders>
          </w:tcPr>
          <w:p w14:paraId="6BCDAB66" w14:textId="5A15FBDA" w:rsidR="00930FC5" w:rsidRPr="00A77AF6" w:rsidRDefault="005B277C" w:rsidP="00EA6D93">
            <w:pPr>
              <w:spacing w:after="120" w:line="240" w:lineRule="auto"/>
              <w:rPr>
                <w:sz w:val="20"/>
              </w:rPr>
            </w:pPr>
            <w:r w:rsidRPr="00A77AF6">
              <w:rPr>
                <w:sz w:val="20"/>
              </w:rPr>
              <w:t>D</w:t>
            </w:r>
            <w:r w:rsidR="00930FC5" w:rsidRPr="00A77AF6">
              <w:rPr>
                <w:sz w:val="20"/>
              </w:rPr>
              <w:t>on’t know</w:t>
            </w:r>
          </w:p>
        </w:tc>
        <w:tc>
          <w:tcPr>
            <w:tcW w:w="2693" w:type="dxa"/>
            <w:tcBorders>
              <w:top w:val="single" w:sz="4" w:space="0" w:color="auto"/>
              <w:left w:val="single" w:sz="4" w:space="0" w:color="auto"/>
              <w:bottom w:val="single" w:sz="4" w:space="0" w:color="auto"/>
              <w:right w:val="single" w:sz="4" w:space="0" w:color="auto"/>
            </w:tcBorders>
          </w:tcPr>
          <w:p w14:paraId="4C3562A3" w14:textId="4F0E1833" w:rsidR="00930FC5" w:rsidRPr="00A77AF6" w:rsidRDefault="00930FC5" w:rsidP="00EA6D93">
            <w:pPr>
              <w:spacing w:after="120" w:line="240" w:lineRule="auto"/>
              <w:rPr>
                <w:sz w:val="20"/>
              </w:rPr>
            </w:pPr>
            <w:r w:rsidRPr="00A77AF6">
              <w:rPr>
                <w:sz w:val="20"/>
              </w:rPr>
              <w:t>19 (37%)</w:t>
            </w:r>
          </w:p>
        </w:tc>
      </w:tr>
      <w:tr w:rsidR="00930FC5" w:rsidRPr="00A77AF6" w14:paraId="34F58B1C" w14:textId="77777777" w:rsidTr="00930FC5">
        <w:tc>
          <w:tcPr>
            <w:tcW w:w="2972" w:type="dxa"/>
            <w:tcBorders>
              <w:top w:val="single" w:sz="4" w:space="0" w:color="auto"/>
              <w:right w:val="single" w:sz="4" w:space="0" w:color="auto"/>
            </w:tcBorders>
          </w:tcPr>
          <w:p w14:paraId="1BB655AF" w14:textId="77777777" w:rsidR="00930FC5" w:rsidRPr="00A77AF6" w:rsidRDefault="00930FC5" w:rsidP="00EA6D93">
            <w:pPr>
              <w:spacing w:after="120" w:line="240" w:lineRule="auto"/>
              <w:rPr>
                <w:sz w:val="20"/>
              </w:rPr>
            </w:pPr>
            <w:r w:rsidRPr="00A77AF6">
              <w:rPr>
                <w:sz w:val="20"/>
              </w:rPr>
              <w:t xml:space="preserve">Total </w:t>
            </w:r>
          </w:p>
        </w:tc>
        <w:tc>
          <w:tcPr>
            <w:tcW w:w="2693" w:type="dxa"/>
            <w:tcBorders>
              <w:top w:val="single" w:sz="4" w:space="0" w:color="auto"/>
              <w:left w:val="single" w:sz="4" w:space="0" w:color="auto"/>
              <w:bottom w:val="single" w:sz="4" w:space="0" w:color="auto"/>
              <w:right w:val="single" w:sz="4" w:space="0" w:color="auto"/>
            </w:tcBorders>
          </w:tcPr>
          <w:p w14:paraId="3D01E1E8" w14:textId="56CE51FB" w:rsidR="00930FC5" w:rsidRPr="00A77AF6" w:rsidRDefault="00930FC5" w:rsidP="00EA6D93">
            <w:pPr>
              <w:spacing w:after="120" w:line="240" w:lineRule="auto"/>
              <w:rPr>
                <w:sz w:val="20"/>
              </w:rPr>
            </w:pPr>
            <w:r w:rsidRPr="00A77AF6">
              <w:rPr>
                <w:sz w:val="20"/>
              </w:rPr>
              <w:t xml:space="preserve">51 </w:t>
            </w:r>
            <w:r w:rsidR="00581D66" w:rsidRPr="00A77AF6">
              <w:rPr>
                <w:sz w:val="20"/>
              </w:rPr>
              <w:t>(</w:t>
            </w:r>
            <w:r w:rsidRPr="00A77AF6">
              <w:rPr>
                <w:sz w:val="20"/>
              </w:rPr>
              <w:t>99%</w:t>
            </w:r>
            <w:r w:rsidR="00581D66" w:rsidRPr="00A77AF6">
              <w:rPr>
                <w:sz w:val="20"/>
              </w:rPr>
              <w:t>)</w:t>
            </w:r>
            <w:r w:rsidRPr="00A77AF6">
              <w:rPr>
                <w:sz w:val="20"/>
              </w:rPr>
              <w:t xml:space="preserve"> (rounding error)</w:t>
            </w:r>
          </w:p>
        </w:tc>
      </w:tr>
    </w:tbl>
    <w:p w14:paraId="34B1C712" w14:textId="4C60CC80" w:rsidR="0072547B" w:rsidRPr="00A77AF6" w:rsidRDefault="00581D66" w:rsidP="0072547B">
      <w:pPr>
        <w:spacing w:before="360" w:line="360" w:lineRule="auto"/>
      </w:pPr>
      <w:r w:rsidRPr="00A77AF6">
        <w:t xml:space="preserve">These results </w:t>
      </w:r>
      <w:r w:rsidR="00434810" w:rsidRPr="00A77AF6">
        <w:t>contrast with</w:t>
      </w:r>
      <w:r w:rsidRPr="00A77AF6">
        <w:t xml:space="preserve"> the results from the </w:t>
      </w:r>
      <w:r w:rsidR="006F020B" w:rsidRPr="00A77AF6">
        <w:t xml:space="preserve">project management </w:t>
      </w:r>
      <w:r w:rsidRPr="00A77AF6">
        <w:t>phase</w:t>
      </w:r>
      <w:r w:rsidR="0072547B" w:rsidRPr="00A77AF6">
        <w:t xml:space="preserve"> (</w:t>
      </w:r>
      <w:r w:rsidR="007F0E1F" w:rsidRPr="00A77AF6">
        <w:t>T</w:t>
      </w:r>
      <w:r w:rsidRPr="00A77AF6">
        <w:t>able</w:t>
      </w:r>
      <w:r w:rsidR="00AC5BEE" w:rsidRPr="00A77AF6">
        <w:t xml:space="preserve"> </w:t>
      </w:r>
      <w:r w:rsidR="005B277C" w:rsidRPr="00A77AF6">
        <w:t>6-38</w:t>
      </w:r>
      <w:r w:rsidR="0072547B" w:rsidRPr="00A77AF6">
        <w:t>)</w:t>
      </w:r>
      <w:r w:rsidR="005B277C" w:rsidRPr="00A77AF6">
        <w:t xml:space="preserve"> and </w:t>
      </w:r>
      <w:r w:rsidR="0072547B" w:rsidRPr="00A77AF6">
        <w:t>results suggest that project personnel have less knowledge about the performance of the project in the operational phase.  This raises a question about the transfer of knowledge between the operational and project ma</w:t>
      </w:r>
      <w:r w:rsidR="003D49C1" w:rsidRPr="00A77AF6">
        <w:t>n</w:t>
      </w:r>
      <w:r w:rsidR="0072547B" w:rsidRPr="00A77AF6">
        <w:t>age</w:t>
      </w:r>
      <w:r w:rsidR="003D49C1" w:rsidRPr="00A77AF6">
        <w:t>ment</w:t>
      </w:r>
      <w:r w:rsidR="0072547B" w:rsidRPr="00A77AF6">
        <w:t xml:space="preserve"> phases</w:t>
      </w:r>
      <w:r w:rsidR="003D49C1" w:rsidRPr="00A77AF6">
        <w:t xml:space="preserve"> and the role of post occupancy evaluations </w:t>
      </w:r>
    </w:p>
    <w:p w14:paraId="1F65579F" w14:textId="26B239BF" w:rsidR="00AC5BEE" w:rsidRPr="00A77AF6" w:rsidRDefault="00AC5BEE" w:rsidP="0007452B">
      <w:pPr>
        <w:pStyle w:val="Caption"/>
        <w:keepNext/>
        <w:spacing w:after="120"/>
      </w:pPr>
      <w:r w:rsidRPr="00A77AF6">
        <w:t xml:space="preserve">Table </w:t>
      </w:r>
      <w:fldSimple w:instr=" STYLEREF 1 \s ">
        <w:r w:rsidR="000441F7">
          <w:rPr>
            <w:noProof/>
          </w:rPr>
          <w:t>6</w:t>
        </w:r>
      </w:fldSimple>
      <w:r w:rsidR="00804112">
        <w:noBreakHyphen/>
      </w:r>
      <w:fldSimple w:instr=" SEQ Table \* ARABIC \s 1 ">
        <w:r w:rsidR="000441F7">
          <w:rPr>
            <w:noProof/>
          </w:rPr>
          <w:t>38</w:t>
        </w:r>
      </w:fldSimple>
      <w:r w:rsidRPr="00A77AF6">
        <w:t xml:space="preserve">: </w:t>
      </w:r>
      <w:r w:rsidRPr="00A77AF6">
        <w:rPr>
          <w:sz w:val="20"/>
        </w:rPr>
        <w:t xml:space="preserve">Comparison of </w:t>
      </w:r>
      <w:r w:rsidR="00793105" w:rsidRPr="00A77AF6">
        <w:rPr>
          <w:sz w:val="20"/>
        </w:rPr>
        <w:t xml:space="preserve">projects meeting </w:t>
      </w:r>
      <w:r w:rsidRPr="00A77AF6">
        <w:rPr>
          <w:sz w:val="20"/>
        </w:rPr>
        <w:t>cost</w:t>
      </w:r>
      <w:r w:rsidR="00793105" w:rsidRPr="00A77AF6">
        <w:rPr>
          <w:sz w:val="20"/>
        </w:rPr>
        <w:t xml:space="preserve"> targets</w:t>
      </w:r>
      <w:r w:rsidRPr="00A77AF6">
        <w:rPr>
          <w:sz w:val="20"/>
        </w:rPr>
        <w:t xml:space="preserve"> in project management and operational phases</w:t>
      </w:r>
    </w:p>
    <w:tbl>
      <w:tblPr>
        <w:tblW w:w="0" w:type="auto"/>
        <w:tblLook w:val="04A0" w:firstRow="1" w:lastRow="0" w:firstColumn="1" w:lastColumn="0" w:noHBand="0" w:noVBand="1"/>
      </w:tblPr>
      <w:tblGrid>
        <w:gridCol w:w="2972"/>
        <w:gridCol w:w="2693"/>
        <w:gridCol w:w="2693"/>
      </w:tblGrid>
      <w:tr w:rsidR="00A52DA3" w:rsidRPr="00A77AF6" w14:paraId="141A8BD9" w14:textId="794F5D1E" w:rsidTr="00EA6D93">
        <w:tc>
          <w:tcPr>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36D44E" w14:textId="77777777" w:rsidR="00A52DA3" w:rsidRPr="00A77AF6" w:rsidRDefault="00A52DA3" w:rsidP="00A52DA3">
            <w:pPr>
              <w:spacing w:after="0" w:line="240" w:lineRule="auto"/>
              <w:rPr>
                <w:sz w:val="20"/>
              </w:rPr>
            </w:pPr>
            <w:r w:rsidRPr="00A77AF6">
              <w:rPr>
                <w:sz w:val="20"/>
              </w:rPr>
              <w:t xml:space="preserve">Cost </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D7A2AA" w14:textId="77777777" w:rsidR="00A52DA3" w:rsidRPr="00A77AF6" w:rsidRDefault="00A52DA3" w:rsidP="00A52DA3">
            <w:pPr>
              <w:spacing w:after="0" w:line="240" w:lineRule="auto"/>
              <w:rPr>
                <w:sz w:val="20"/>
              </w:rPr>
            </w:pPr>
            <w:r w:rsidRPr="00A77AF6">
              <w:rPr>
                <w:sz w:val="20"/>
              </w:rPr>
              <w:t>Project Management Phase</w:t>
            </w:r>
          </w:p>
          <w:p w14:paraId="702D6318" w14:textId="340B17D3" w:rsidR="00A52DA3" w:rsidRPr="00A77AF6" w:rsidRDefault="00A52DA3" w:rsidP="00A52DA3">
            <w:pPr>
              <w:spacing w:after="0" w:line="240" w:lineRule="auto"/>
              <w:rPr>
                <w:sz w:val="20"/>
              </w:rPr>
            </w:pPr>
            <w:r w:rsidRPr="00A77AF6">
              <w:rPr>
                <w:sz w:val="20"/>
              </w:rPr>
              <w:t>No. (%)</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26E438" w14:textId="77777777" w:rsidR="00A52DA3" w:rsidRPr="00A77AF6" w:rsidRDefault="00A52DA3" w:rsidP="00A52DA3">
            <w:pPr>
              <w:spacing w:after="0" w:line="240" w:lineRule="auto"/>
              <w:rPr>
                <w:sz w:val="20"/>
              </w:rPr>
            </w:pPr>
            <w:r w:rsidRPr="00A77AF6">
              <w:rPr>
                <w:sz w:val="20"/>
              </w:rPr>
              <w:t>Operational Phase</w:t>
            </w:r>
          </w:p>
          <w:p w14:paraId="74B449F9" w14:textId="1D9D8FDC" w:rsidR="00A52DA3" w:rsidRPr="00A77AF6" w:rsidRDefault="00A52DA3" w:rsidP="00A52DA3">
            <w:pPr>
              <w:spacing w:after="0" w:line="240" w:lineRule="auto"/>
              <w:rPr>
                <w:sz w:val="20"/>
              </w:rPr>
            </w:pPr>
            <w:r w:rsidRPr="00A77AF6">
              <w:rPr>
                <w:sz w:val="20"/>
              </w:rPr>
              <w:t>No. (%)</w:t>
            </w:r>
          </w:p>
        </w:tc>
      </w:tr>
      <w:tr w:rsidR="00A52DA3" w:rsidRPr="00A77AF6" w14:paraId="337B8843" w14:textId="4386BBE2" w:rsidTr="00EA6D93">
        <w:tc>
          <w:tcPr>
            <w:tcW w:w="2972" w:type="dxa"/>
            <w:tcBorders>
              <w:top w:val="single" w:sz="4" w:space="0" w:color="auto"/>
              <w:left w:val="single" w:sz="4" w:space="0" w:color="auto"/>
              <w:bottom w:val="single" w:sz="4" w:space="0" w:color="auto"/>
              <w:right w:val="single" w:sz="4" w:space="0" w:color="auto"/>
            </w:tcBorders>
          </w:tcPr>
          <w:p w14:paraId="5973B3A3" w14:textId="797E9110" w:rsidR="00A52DA3" w:rsidRPr="00A77AF6" w:rsidRDefault="005B277C" w:rsidP="00A52DA3">
            <w:pPr>
              <w:spacing w:after="120" w:line="240" w:lineRule="auto"/>
              <w:rPr>
                <w:sz w:val="20"/>
              </w:rPr>
            </w:pPr>
            <w:r w:rsidRPr="00A77AF6">
              <w:rPr>
                <w:sz w:val="20"/>
              </w:rPr>
              <w:t>O</w:t>
            </w:r>
            <w:r w:rsidR="00A52DA3" w:rsidRPr="00A77AF6">
              <w:rPr>
                <w:sz w:val="20"/>
              </w:rPr>
              <w:t xml:space="preserve">n/ under running cost </w:t>
            </w:r>
          </w:p>
        </w:tc>
        <w:tc>
          <w:tcPr>
            <w:tcW w:w="2693" w:type="dxa"/>
            <w:tcBorders>
              <w:top w:val="single" w:sz="4" w:space="0" w:color="auto"/>
              <w:left w:val="single" w:sz="4" w:space="0" w:color="auto"/>
              <w:bottom w:val="single" w:sz="4" w:space="0" w:color="auto"/>
              <w:right w:val="single" w:sz="4" w:space="0" w:color="auto"/>
            </w:tcBorders>
          </w:tcPr>
          <w:p w14:paraId="55E0AC2D" w14:textId="755C0B8F" w:rsidR="00A52DA3" w:rsidRPr="00A77AF6" w:rsidRDefault="00A52DA3" w:rsidP="006C7968">
            <w:pPr>
              <w:spacing w:after="120" w:line="240" w:lineRule="auto"/>
              <w:rPr>
                <w:sz w:val="20"/>
              </w:rPr>
            </w:pPr>
            <w:r w:rsidRPr="00A77AF6">
              <w:rPr>
                <w:sz w:val="20"/>
              </w:rPr>
              <w:t>24 (47%)</w:t>
            </w:r>
          </w:p>
        </w:tc>
        <w:tc>
          <w:tcPr>
            <w:tcW w:w="2693" w:type="dxa"/>
            <w:tcBorders>
              <w:top w:val="single" w:sz="4" w:space="0" w:color="auto"/>
              <w:left w:val="single" w:sz="4" w:space="0" w:color="auto"/>
              <w:bottom w:val="single" w:sz="4" w:space="0" w:color="auto"/>
              <w:right w:val="single" w:sz="4" w:space="0" w:color="auto"/>
            </w:tcBorders>
          </w:tcPr>
          <w:p w14:paraId="22E2B2A2" w14:textId="4C8788D8" w:rsidR="00A52DA3" w:rsidRPr="00A77AF6" w:rsidRDefault="00A52DA3" w:rsidP="006C7968">
            <w:pPr>
              <w:spacing w:after="120" w:line="240" w:lineRule="auto"/>
              <w:rPr>
                <w:sz w:val="20"/>
              </w:rPr>
            </w:pPr>
            <w:r w:rsidRPr="00A77AF6">
              <w:rPr>
                <w:sz w:val="20"/>
              </w:rPr>
              <w:t>19 (37%)</w:t>
            </w:r>
          </w:p>
        </w:tc>
      </w:tr>
      <w:tr w:rsidR="00A52DA3" w:rsidRPr="00A77AF6" w14:paraId="7339DEB9" w14:textId="6DEBA90C" w:rsidTr="00EA6D93">
        <w:tc>
          <w:tcPr>
            <w:tcW w:w="2972" w:type="dxa"/>
            <w:tcBorders>
              <w:top w:val="single" w:sz="4" w:space="0" w:color="auto"/>
              <w:left w:val="single" w:sz="4" w:space="0" w:color="auto"/>
              <w:bottom w:val="single" w:sz="4" w:space="0" w:color="auto"/>
              <w:right w:val="single" w:sz="4" w:space="0" w:color="auto"/>
            </w:tcBorders>
          </w:tcPr>
          <w:p w14:paraId="25272E36" w14:textId="3E36269E" w:rsidR="00A52DA3" w:rsidRPr="00A77AF6" w:rsidRDefault="005B277C" w:rsidP="00A52DA3">
            <w:pPr>
              <w:spacing w:after="120" w:line="240" w:lineRule="auto"/>
              <w:rPr>
                <w:sz w:val="20"/>
              </w:rPr>
            </w:pPr>
            <w:r w:rsidRPr="00A77AF6">
              <w:rPr>
                <w:sz w:val="20"/>
              </w:rPr>
              <w:t>O</w:t>
            </w:r>
            <w:r w:rsidR="00A52DA3" w:rsidRPr="00A77AF6">
              <w:rPr>
                <w:sz w:val="20"/>
              </w:rPr>
              <w:t xml:space="preserve">ver running cost </w:t>
            </w:r>
          </w:p>
        </w:tc>
        <w:tc>
          <w:tcPr>
            <w:tcW w:w="2693" w:type="dxa"/>
            <w:tcBorders>
              <w:top w:val="single" w:sz="4" w:space="0" w:color="auto"/>
              <w:left w:val="single" w:sz="4" w:space="0" w:color="auto"/>
              <w:bottom w:val="single" w:sz="4" w:space="0" w:color="auto"/>
              <w:right w:val="single" w:sz="4" w:space="0" w:color="auto"/>
            </w:tcBorders>
          </w:tcPr>
          <w:p w14:paraId="7E1639B6" w14:textId="67345E50" w:rsidR="00A52DA3" w:rsidRPr="00A77AF6" w:rsidRDefault="00A52DA3" w:rsidP="006C7968">
            <w:pPr>
              <w:spacing w:after="120" w:line="240" w:lineRule="auto"/>
              <w:rPr>
                <w:sz w:val="20"/>
              </w:rPr>
            </w:pPr>
            <w:r w:rsidRPr="00A77AF6">
              <w:rPr>
                <w:sz w:val="20"/>
              </w:rPr>
              <w:t>27 (53%)</w:t>
            </w:r>
          </w:p>
        </w:tc>
        <w:tc>
          <w:tcPr>
            <w:tcW w:w="2693" w:type="dxa"/>
            <w:tcBorders>
              <w:top w:val="single" w:sz="4" w:space="0" w:color="auto"/>
              <w:left w:val="single" w:sz="4" w:space="0" w:color="auto"/>
              <w:bottom w:val="single" w:sz="4" w:space="0" w:color="auto"/>
              <w:right w:val="single" w:sz="4" w:space="0" w:color="auto"/>
            </w:tcBorders>
          </w:tcPr>
          <w:p w14:paraId="04C1140B" w14:textId="0699AF72" w:rsidR="00A52DA3" w:rsidRPr="00A77AF6" w:rsidRDefault="00A52DA3" w:rsidP="006C7968">
            <w:pPr>
              <w:spacing w:after="120" w:line="240" w:lineRule="auto"/>
              <w:rPr>
                <w:sz w:val="20"/>
              </w:rPr>
            </w:pPr>
            <w:r w:rsidRPr="00A77AF6">
              <w:rPr>
                <w:sz w:val="20"/>
              </w:rPr>
              <w:t>13 (25%)</w:t>
            </w:r>
          </w:p>
        </w:tc>
      </w:tr>
      <w:tr w:rsidR="00A52DA3" w:rsidRPr="00A77AF6" w14:paraId="627402C6" w14:textId="7E2AA603" w:rsidTr="00EA6D93">
        <w:tc>
          <w:tcPr>
            <w:tcW w:w="2972" w:type="dxa"/>
            <w:tcBorders>
              <w:top w:val="single" w:sz="4" w:space="0" w:color="auto"/>
              <w:left w:val="single" w:sz="4" w:space="0" w:color="auto"/>
              <w:bottom w:val="single" w:sz="4" w:space="0" w:color="auto"/>
              <w:right w:val="single" w:sz="4" w:space="0" w:color="auto"/>
            </w:tcBorders>
          </w:tcPr>
          <w:p w14:paraId="0E225778" w14:textId="0CAC9CBA" w:rsidR="00A52DA3" w:rsidRPr="00A77AF6" w:rsidRDefault="005B277C" w:rsidP="00A52DA3">
            <w:pPr>
              <w:spacing w:after="120" w:line="240" w:lineRule="auto"/>
              <w:rPr>
                <w:sz w:val="20"/>
              </w:rPr>
            </w:pPr>
            <w:r w:rsidRPr="00A77AF6">
              <w:rPr>
                <w:sz w:val="20"/>
              </w:rPr>
              <w:t>D</w:t>
            </w:r>
            <w:r w:rsidR="00A52DA3" w:rsidRPr="00A77AF6">
              <w:rPr>
                <w:sz w:val="20"/>
              </w:rPr>
              <w:t>on’t know</w:t>
            </w:r>
          </w:p>
        </w:tc>
        <w:tc>
          <w:tcPr>
            <w:tcW w:w="2693" w:type="dxa"/>
            <w:tcBorders>
              <w:top w:val="single" w:sz="4" w:space="0" w:color="auto"/>
              <w:left w:val="single" w:sz="4" w:space="0" w:color="auto"/>
              <w:bottom w:val="single" w:sz="4" w:space="0" w:color="auto"/>
              <w:right w:val="single" w:sz="4" w:space="0" w:color="auto"/>
            </w:tcBorders>
          </w:tcPr>
          <w:p w14:paraId="634717B5" w14:textId="5F131C85" w:rsidR="00A52DA3" w:rsidRPr="00A77AF6" w:rsidRDefault="00A52DA3" w:rsidP="006C7968">
            <w:pPr>
              <w:spacing w:after="120" w:line="240" w:lineRule="auto"/>
              <w:rPr>
                <w:sz w:val="20"/>
              </w:rPr>
            </w:pPr>
            <w:r w:rsidRPr="00A77AF6">
              <w:rPr>
                <w:sz w:val="20"/>
              </w:rPr>
              <w:t>0 (0%)</w:t>
            </w:r>
          </w:p>
        </w:tc>
        <w:tc>
          <w:tcPr>
            <w:tcW w:w="2693" w:type="dxa"/>
            <w:tcBorders>
              <w:top w:val="single" w:sz="4" w:space="0" w:color="auto"/>
              <w:left w:val="single" w:sz="4" w:space="0" w:color="auto"/>
              <w:bottom w:val="single" w:sz="4" w:space="0" w:color="auto"/>
              <w:right w:val="single" w:sz="4" w:space="0" w:color="auto"/>
            </w:tcBorders>
          </w:tcPr>
          <w:p w14:paraId="452FADE3" w14:textId="50EC6E3F" w:rsidR="00A52DA3" w:rsidRPr="00A77AF6" w:rsidRDefault="00A52DA3" w:rsidP="006C7968">
            <w:pPr>
              <w:spacing w:after="120" w:line="240" w:lineRule="auto"/>
              <w:rPr>
                <w:sz w:val="20"/>
              </w:rPr>
            </w:pPr>
            <w:r w:rsidRPr="00A77AF6">
              <w:rPr>
                <w:sz w:val="20"/>
              </w:rPr>
              <w:t>19 (37%)</w:t>
            </w:r>
          </w:p>
        </w:tc>
      </w:tr>
      <w:tr w:rsidR="00A52DA3" w:rsidRPr="00A77AF6" w14:paraId="3FE68880" w14:textId="512EAD6A" w:rsidTr="00EA6D93">
        <w:tc>
          <w:tcPr>
            <w:tcW w:w="2972" w:type="dxa"/>
            <w:tcBorders>
              <w:top w:val="single" w:sz="4" w:space="0" w:color="auto"/>
              <w:right w:val="single" w:sz="4" w:space="0" w:color="auto"/>
            </w:tcBorders>
          </w:tcPr>
          <w:p w14:paraId="179B550D" w14:textId="77777777" w:rsidR="00A52DA3" w:rsidRPr="00A77AF6" w:rsidRDefault="00A52DA3" w:rsidP="00A52DA3">
            <w:pPr>
              <w:spacing w:after="120" w:line="240" w:lineRule="auto"/>
              <w:rPr>
                <w:sz w:val="20"/>
              </w:rPr>
            </w:pPr>
            <w:r w:rsidRPr="00A77AF6">
              <w:rPr>
                <w:sz w:val="20"/>
              </w:rPr>
              <w:t xml:space="preserve">Total </w:t>
            </w:r>
          </w:p>
        </w:tc>
        <w:tc>
          <w:tcPr>
            <w:tcW w:w="2693" w:type="dxa"/>
            <w:tcBorders>
              <w:top w:val="single" w:sz="4" w:space="0" w:color="auto"/>
              <w:left w:val="single" w:sz="4" w:space="0" w:color="auto"/>
              <w:bottom w:val="single" w:sz="4" w:space="0" w:color="auto"/>
              <w:right w:val="single" w:sz="4" w:space="0" w:color="auto"/>
            </w:tcBorders>
          </w:tcPr>
          <w:p w14:paraId="01C9A19B" w14:textId="59FDCA2F" w:rsidR="00A52DA3" w:rsidRPr="00A77AF6" w:rsidRDefault="00A52DA3" w:rsidP="006C7968">
            <w:pPr>
              <w:spacing w:after="120" w:line="240" w:lineRule="auto"/>
              <w:rPr>
                <w:sz w:val="20"/>
              </w:rPr>
            </w:pPr>
            <w:r w:rsidRPr="00A77AF6">
              <w:rPr>
                <w:sz w:val="20"/>
              </w:rPr>
              <w:t>51 (100%)</w:t>
            </w:r>
          </w:p>
        </w:tc>
        <w:tc>
          <w:tcPr>
            <w:tcW w:w="2693" w:type="dxa"/>
            <w:tcBorders>
              <w:top w:val="single" w:sz="4" w:space="0" w:color="auto"/>
              <w:left w:val="single" w:sz="4" w:space="0" w:color="auto"/>
              <w:bottom w:val="single" w:sz="4" w:space="0" w:color="auto"/>
              <w:right w:val="single" w:sz="4" w:space="0" w:color="auto"/>
            </w:tcBorders>
          </w:tcPr>
          <w:p w14:paraId="06BF8E15" w14:textId="194E4BD1" w:rsidR="00A52DA3" w:rsidRPr="00A77AF6" w:rsidRDefault="00A52DA3" w:rsidP="006C7968">
            <w:pPr>
              <w:spacing w:after="120" w:line="240" w:lineRule="auto"/>
              <w:rPr>
                <w:sz w:val="20"/>
              </w:rPr>
            </w:pPr>
            <w:r w:rsidRPr="00A77AF6">
              <w:rPr>
                <w:sz w:val="20"/>
              </w:rPr>
              <w:t>51 (99%) (rounding error)</w:t>
            </w:r>
          </w:p>
        </w:tc>
      </w:tr>
    </w:tbl>
    <w:p w14:paraId="56292CF4" w14:textId="4996BCA3" w:rsidR="006F2E90" w:rsidRPr="00A77AF6" w:rsidRDefault="006F2E90" w:rsidP="00C01568">
      <w:pPr>
        <w:pStyle w:val="Heading4"/>
        <w:numPr>
          <w:ilvl w:val="0"/>
          <w:numId w:val="0"/>
        </w:numPr>
        <w:spacing w:before="480" w:after="120"/>
      </w:pPr>
      <w:r w:rsidRPr="00A77AF6">
        <w:t xml:space="preserve">Quality in the operational phase </w:t>
      </w:r>
    </w:p>
    <w:p w14:paraId="064EC33D" w14:textId="68E7AC43" w:rsidR="00000DBF" w:rsidRPr="00A77AF6" w:rsidRDefault="00000DBF" w:rsidP="00A367F2">
      <w:pPr>
        <w:spacing w:line="360" w:lineRule="auto"/>
      </w:pPr>
      <w:r w:rsidRPr="00A77AF6">
        <w:t xml:space="preserve">Twenty-eight (55%) of projects were thought to meet or exceed quality targets in the operational phase, while </w:t>
      </w:r>
      <w:r w:rsidR="005B277C" w:rsidRPr="00A77AF6">
        <w:t>nine</w:t>
      </w:r>
      <w:r w:rsidRPr="00A77AF6">
        <w:t xml:space="preserve"> (18%) missed quality targets </w:t>
      </w:r>
      <w:r w:rsidR="009B2EB6" w:rsidRPr="00A77AF6">
        <w:t>and 14 (27%) respondents did not know</w:t>
      </w:r>
      <w:r w:rsidR="005B277C" w:rsidRPr="00A77AF6">
        <w:t xml:space="preserve"> (Table 6-39)</w:t>
      </w:r>
      <w:r w:rsidRPr="00A77AF6">
        <w:t xml:space="preserve">.  </w:t>
      </w:r>
    </w:p>
    <w:p w14:paraId="12694245" w14:textId="63F032F9" w:rsidR="00793105" w:rsidRPr="00A77AF6" w:rsidRDefault="00793105" w:rsidP="00A367F2">
      <w:pPr>
        <w:pStyle w:val="Caption"/>
        <w:keepNext/>
        <w:spacing w:after="120"/>
      </w:pPr>
      <w:r w:rsidRPr="00A77AF6">
        <w:t xml:space="preserve">Table </w:t>
      </w:r>
      <w:fldSimple w:instr=" STYLEREF 1 \s ">
        <w:r w:rsidR="000441F7">
          <w:rPr>
            <w:noProof/>
          </w:rPr>
          <w:t>6</w:t>
        </w:r>
      </w:fldSimple>
      <w:r w:rsidR="00804112">
        <w:noBreakHyphen/>
      </w:r>
      <w:fldSimple w:instr=" SEQ Table \* ARABIC \s 1 ">
        <w:r w:rsidR="000441F7">
          <w:rPr>
            <w:noProof/>
          </w:rPr>
          <w:t>39</w:t>
        </w:r>
      </w:fldSimple>
      <w:r w:rsidRPr="00A77AF6">
        <w:t>: Number (%) of projects meeting cost parameters in the operational phase</w:t>
      </w:r>
    </w:p>
    <w:tbl>
      <w:tblPr>
        <w:tblW w:w="0" w:type="auto"/>
        <w:tblLook w:val="04A0" w:firstRow="1" w:lastRow="0" w:firstColumn="1" w:lastColumn="0" w:noHBand="0" w:noVBand="1"/>
      </w:tblPr>
      <w:tblGrid>
        <w:gridCol w:w="2972"/>
        <w:gridCol w:w="2972"/>
      </w:tblGrid>
      <w:tr w:rsidR="00793105" w:rsidRPr="00A77AF6" w14:paraId="52EF7A01" w14:textId="06473710" w:rsidTr="004512E9">
        <w:tc>
          <w:tcPr>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559986" w14:textId="77777777" w:rsidR="00793105" w:rsidRPr="00A77AF6" w:rsidRDefault="00793105" w:rsidP="00793105">
            <w:pPr>
              <w:spacing w:after="120" w:line="240" w:lineRule="auto"/>
              <w:rPr>
                <w:sz w:val="20"/>
              </w:rPr>
            </w:pPr>
            <w:r w:rsidRPr="00A77AF6">
              <w:rPr>
                <w:sz w:val="20"/>
              </w:rPr>
              <w:t>Quality</w:t>
            </w:r>
          </w:p>
        </w:tc>
        <w:tc>
          <w:tcPr>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3F2E4F" w14:textId="77777777" w:rsidR="00793105" w:rsidRPr="00A77AF6" w:rsidRDefault="00793105" w:rsidP="00793105">
            <w:pPr>
              <w:spacing w:after="0" w:line="240" w:lineRule="auto"/>
              <w:rPr>
                <w:sz w:val="20"/>
              </w:rPr>
            </w:pPr>
            <w:r w:rsidRPr="00A77AF6">
              <w:rPr>
                <w:sz w:val="20"/>
              </w:rPr>
              <w:t>Operational Phase</w:t>
            </w:r>
          </w:p>
          <w:p w14:paraId="751823B8" w14:textId="27E03B9B" w:rsidR="00793105" w:rsidRPr="00A77AF6" w:rsidRDefault="00793105" w:rsidP="00793105">
            <w:pPr>
              <w:spacing w:after="120" w:line="240" w:lineRule="auto"/>
              <w:rPr>
                <w:sz w:val="20"/>
              </w:rPr>
            </w:pPr>
            <w:r w:rsidRPr="00A77AF6">
              <w:rPr>
                <w:sz w:val="20"/>
              </w:rPr>
              <w:t>No. (%)</w:t>
            </w:r>
          </w:p>
        </w:tc>
      </w:tr>
      <w:tr w:rsidR="00793105" w:rsidRPr="00A77AF6" w14:paraId="4C48792F" w14:textId="3A1F51EA" w:rsidTr="004512E9">
        <w:tc>
          <w:tcPr>
            <w:tcW w:w="2972" w:type="dxa"/>
            <w:tcBorders>
              <w:top w:val="single" w:sz="4" w:space="0" w:color="auto"/>
              <w:left w:val="single" w:sz="4" w:space="0" w:color="auto"/>
              <w:bottom w:val="single" w:sz="4" w:space="0" w:color="auto"/>
              <w:right w:val="single" w:sz="4" w:space="0" w:color="auto"/>
            </w:tcBorders>
          </w:tcPr>
          <w:p w14:paraId="4828476A" w14:textId="47F9C261" w:rsidR="00793105" w:rsidRPr="00A77AF6" w:rsidRDefault="005B277C" w:rsidP="00793105">
            <w:pPr>
              <w:spacing w:after="120" w:line="240" w:lineRule="auto"/>
              <w:rPr>
                <w:sz w:val="20"/>
              </w:rPr>
            </w:pPr>
            <w:r w:rsidRPr="00A77AF6">
              <w:rPr>
                <w:sz w:val="20"/>
              </w:rPr>
              <w:t>M</w:t>
            </w:r>
            <w:r w:rsidR="00793105" w:rsidRPr="00A77AF6">
              <w:rPr>
                <w:sz w:val="20"/>
              </w:rPr>
              <w:t>et/ exceeded quality targets</w:t>
            </w:r>
          </w:p>
        </w:tc>
        <w:tc>
          <w:tcPr>
            <w:tcW w:w="2972" w:type="dxa"/>
            <w:tcBorders>
              <w:top w:val="single" w:sz="4" w:space="0" w:color="auto"/>
              <w:left w:val="single" w:sz="4" w:space="0" w:color="auto"/>
              <w:bottom w:val="single" w:sz="4" w:space="0" w:color="auto"/>
              <w:right w:val="single" w:sz="4" w:space="0" w:color="auto"/>
            </w:tcBorders>
          </w:tcPr>
          <w:p w14:paraId="5E965273" w14:textId="605B77E8" w:rsidR="00793105" w:rsidRPr="00A77AF6" w:rsidRDefault="00793105" w:rsidP="00793105">
            <w:pPr>
              <w:spacing w:after="120" w:line="240" w:lineRule="auto"/>
              <w:rPr>
                <w:sz w:val="20"/>
              </w:rPr>
            </w:pPr>
            <w:r w:rsidRPr="00A77AF6">
              <w:rPr>
                <w:sz w:val="20"/>
              </w:rPr>
              <w:t>28 (55%)</w:t>
            </w:r>
          </w:p>
        </w:tc>
      </w:tr>
      <w:tr w:rsidR="00793105" w:rsidRPr="00A77AF6" w14:paraId="151E596C" w14:textId="47E5FAD1" w:rsidTr="004512E9">
        <w:tc>
          <w:tcPr>
            <w:tcW w:w="2972" w:type="dxa"/>
            <w:tcBorders>
              <w:top w:val="single" w:sz="4" w:space="0" w:color="auto"/>
              <w:left w:val="single" w:sz="4" w:space="0" w:color="auto"/>
              <w:bottom w:val="single" w:sz="4" w:space="0" w:color="auto"/>
              <w:right w:val="single" w:sz="4" w:space="0" w:color="auto"/>
            </w:tcBorders>
          </w:tcPr>
          <w:p w14:paraId="135DEB73" w14:textId="2D1316E4" w:rsidR="00793105" w:rsidRPr="00A77AF6" w:rsidRDefault="005B277C" w:rsidP="00793105">
            <w:pPr>
              <w:spacing w:after="120" w:line="240" w:lineRule="auto"/>
              <w:rPr>
                <w:sz w:val="20"/>
              </w:rPr>
            </w:pPr>
            <w:r w:rsidRPr="00A77AF6">
              <w:rPr>
                <w:sz w:val="20"/>
              </w:rPr>
              <w:t>M</w:t>
            </w:r>
            <w:r w:rsidR="00793105" w:rsidRPr="00A77AF6">
              <w:rPr>
                <w:sz w:val="20"/>
              </w:rPr>
              <w:t>issed quality targets</w:t>
            </w:r>
          </w:p>
        </w:tc>
        <w:tc>
          <w:tcPr>
            <w:tcW w:w="2972" w:type="dxa"/>
            <w:tcBorders>
              <w:top w:val="single" w:sz="4" w:space="0" w:color="auto"/>
              <w:left w:val="single" w:sz="4" w:space="0" w:color="auto"/>
              <w:bottom w:val="single" w:sz="4" w:space="0" w:color="auto"/>
              <w:right w:val="single" w:sz="4" w:space="0" w:color="auto"/>
            </w:tcBorders>
          </w:tcPr>
          <w:p w14:paraId="5CD3F320" w14:textId="3013EDE0" w:rsidR="00793105" w:rsidRPr="00A77AF6" w:rsidRDefault="00793105" w:rsidP="00793105">
            <w:pPr>
              <w:spacing w:after="120" w:line="240" w:lineRule="auto"/>
              <w:rPr>
                <w:sz w:val="20"/>
              </w:rPr>
            </w:pPr>
            <w:r w:rsidRPr="00A77AF6">
              <w:rPr>
                <w:sz w:val="20"/>
              </w:rPr>
              <w:t>9 (18%)</w:t>
            </w:r>
          </w:p>
        </w:tc>
      </w:tr>
      <w:tr w:rsidR="00793105" w:rsidRPr="00A77AF6" w14:paraId="20E09C9F" w14:textId="4A22EC3D" w:rsidTr="00793105">
        <w:tc>
          <w:tcPr>
            <w:tcW w:w="2972" w:type="dxa"/>
            <w:tcBorders>
              <w:top w:val="single" w:sz="4" w:space="0" w:color="auto"/>
              <w:left w:val="single" w:sz="4" w:space="0" w:color="auto"/>
              <w:bottom w:val="single" w:sz="4" w:space="0" w:color="auto"/>
              <w:right w:val="single" w:sz="4" w:space="0" w:color="auto"/>
            </w:tcBorders>
          </w:tcPr>
          <w:p w14:paraId="48593204" w14:textId="5A5813F0" w:rsidR="00793105" w:rsidRPr="00A77AF6" w:rsidRDefault="005B277C" w:rsidP="00793105">
            <w:pPr>
              <w:spacing w:after="120" w:line="240" w:lineRule="auto"/>
              <w:rPr>
                <w:sz w:val="20"/>
              </w:rPr>
            </w:pPr>
            <w:r w:rsidRPr="00A77AF6">
              <w:rPr>
                <w:sz w:val="20"/>
              </w:rPr>
              <w:t>D</w:t>
            </w:r>
            <w:r w:rsidR="00793105" w:rsidRPr="00A77AF6">
              <w:rPr>
                <w:sz w:val="20"/>
              </w:rPr>
              <w:t>on’t know</w:t>
            </w:r>
          </w:p>
        </w:tc>
        <w:tc>
          <w:tcPr>
            <w:tcW w:w="2972" w:type="dxa"/>
            <w:tcBorders>
              <w:top w:val="single" w:sz="4" w:space="0" w:color="auto"/>
              <w:left w:val="single" w:sz="4" w:space="0" w:color="auto"/>
              <w:bottom w:val="single" w:sz="4" w:space="0" w:color="auto"/>
              <w:right w:val="single" w:sz="4" w:space="0" w:color="auto"/>
            </w:tcBorders>
          </w:tcPr>
          <w:p w14:paraId="38CDC34B" w14:textId="0799881D" w:rsidR="00793105" w:rsidRPr="00A77AF6" w:rsidRDefault="00793105" w:rsidP="00793105">
            <w:pPr>
              <w:spacing w:after="120" w:line="240" w:lineRule="auto"/>
              <w:rPr>
                <w:sz w:val="20"/>
              </w:rPr>
            </w:pPr>
            <w:r w:rsidRPr="00A77AF6">
              <w:rPr>
                <w:sz w:val="20"/>
              </w:rPr>
              <w:t>14 (27%)</w:t>
            </w:r>
          </w:p>
        </w:tc>
      </w:tr>
      <w:tr w:rsidR="00793105" w:rsidRPr="00A77AF6" w14:paraId="6BCBB2BE" w14:textId="48C9D3A3" w:rsidTr="00793105">
        <w:tc>
          <w:tcPr>
            <w:tcW w:w="2972" w:type="dxa"/>
            <w:tcBorders>
              <w:top w:val="single" w:sz="4" w:space="0" w:color="auto"/>
              <w:right w:val="single" w:sz="4" w:space="0" w:color="auto"/>
            </w:tcBorders>
          </w:tcPr>
          <w:p w14:paraId="63E53914" w14:textId="77777777" w:rsidR="00793105" w:rsidRPr="00A77AF6" w:rsidRDefault="00793105" w:rsidP="00793105">
            <w:pPr>
              <w:spacing w:after="120" w:line="240" w:lineRule="auto"/>
              <w:rPr>
                <w:sz w:val="20"/>
              </w:rPr>
            </w:pPr>
            <w:r w:rsidRPr="00A77AF6">
              <w:rPr>
                <w:sz w:val="20"/>
              </w:rPr>
              <w:t xml:space="preserve">Total </w:t>
            </w:r>
          </w:p>
        </w:tc>
        <w:tc>
          <w:tcPr>
            <w:tcW w:w="2972" w:type="dxa"/>
            <w:tcBorders>
              <w:top w:val="single" w:sz="4" w:space="0" w:color="auto"/>
              <w:bottom w:val="single" w:sz="4" w:space="0" w:color="auto"/>
              <w:right w:val="single" w:sz="4" w:space="0" w:color="auto"/>
            </w:tcBorders>
          </w:tcPr>
          <w:p w14:paraId="01C8E152" w14:textId="28077CEE" w:rsidR="00793105" w:rsidRPr="00A77AF6" w:rsidRDefault="00793105" w:rsidP="00793105">
            <w:pPr>
              <w:spacing w:after="120" w:line="240" w:lineRule="auto"/>
              <w:rPr>
                <w:sz w:val="20"/>
              </w:rPr>
            </w:pPr>
            <w:r w:rsidRPr="00A77AF6">
              <w:rPr>
                <w:sz w:val="20"/>
              </w:rPr>
              <w:t>51 (100%)</w:t>
            </w:r>
          </w:p>
        </w:tc>
      </w:tr>
    </w:tbl>
    <w:p w14:paraId="6816F305" w14:textId="0C847323" w:rsidR="00793105" w:rsidRPr="00A77AF6" w:rsidRDefault="00793105" w:rsidP="0073034F">
      <w:pPr>
        <w:spacing w:line="480" w:lineRule="auto"/>
      </w:pPr>
    </w:p>
    <w:p w14:paraId="6E86ECB2" w14:textId="3627FC0A" w:rsidR="008F1B8E" w:rsidRPr="00A77AF6" w:rsidRDefault="009B2EB6" w:rsidP="009B2EB6">
      <w:pPr>
        <w:spacing w:line="360" w:lineRule="auto"/>
      </w:pPr>
      <w:r w:rsidRPr="00A77AF6">
        <w:lastRenderedPageBreak/>
        <w:t xml:space="preserve">Like </w:t>
      </w:r>
      <w:r w:rsidR="005B277C" w:rsidRPr="00A77AF6">
        <w:t xml:space="preserve">the knowledge of </w:t>
      </w:r>
      <w:r w:rsidR="00206C07" w:rsidRPr="00A77AF6">
        <w:t xml:space="preserve">cost </w:t>
      </w:r>
      <w:r w:rsidR="005B277C" w:rsidRPr="00A77AF6">
        <w:t xml:space="preserve">data, </w:t>
      </w:r>
      <w:r w:rsidRPr="00A77AF6">
        <w:t xml:space="preserve">fewer people knew </w:t>
      </w:r>
      <w:r w:rsidR="00206C07" w:rsidRPr="00A77AF6">
        <w:t xml:space="preserve">how the building was performing against quality targets in the operational phase.  </w:t>
      </w:r>
      <w:r w:rsidRPr="00A77AF6">
        <w:t xml:space="preserve">A comparison between the project management and operational phases shows that project personnel knew less about performance in the operational phase than they did about performance in the project management phase (Table </w:t>
      </w:r>
      <w:r w:rsidR="005B277C" w:rsidRPr="00A77AF6">
        <w:t>6-40</w:t>
      </w:r>
      <w:r w:rsidRPr="00A77AF6">
        <w:t xml:space="preserve">).  </w:t>
      </w:r>
    </w:p>
    <w:p w14:paraId="6F742B63" w14:textId="0BAB51A2" w:rsidR="00793105" w:rsidRPr="00A77AF6" w:rsidRDefault="00793105" w:rsidP="0007452B">
      <w:pPr>
        <w:pStyle w:val="Caption"/>
        <w:keepNext/>
        <w:spacing w:after="120"/>
      </w:pPr>
      <w:r w:rsidRPr="00A77AF6">
        <w:t xml:space="preserve">Table </w:t>
      </w:r>
      <w:fldSimple w:instr=" STYLEREF 1 \s ">
        <w:r w:rsidR="000441F7">
          <w:rPr>
            <w:noProof/>
          </w:rPr>
          <w:t>6</w:t>
        </w:r>
      </w:fldSimple>
      <w:r w:rsidR="00804112">
        <w:noBreakHyphen/>
      </w:r>
      <w:fldSimple w:instr=" SEQ Table \* ARABIC \s 1 ">
        <w:r w:rsidR="000441F7">
          <w:rPr>
            <w:noProof/>
          </w:rPr>
          <w:t>40</w:t>
        </w:r>
      </w:fldSimple>
      <w:r w:rsidRPr="00A77AF6">
        <w:t>: Comparison of quality in project management and operational phases</w:t>
      </w:r>
    </w:p>
    <w:tbl>
      <w:tblPr>
        <w:tblW w:w="0" w:type="auto"/>
        <w:tblLook w:val="04A0" w:firstRow="1" w:lastRow="0" w:firstColumn="1" w:lastColumn="0" w:noHBand="0" w:noVBand="1"/>
      </w:tblPr>
      <w:tblGrid>
        <w:gridCol w:w="2972"/>
        <w:gridCol w:w="2552"/>
        <w:gridCol w:w="2268"/>
      </w:tblGrid>
      <w:tr w:rsidR="0003548A" w:rsidRPr="00A77AF6" w14:paraId="4B3FC27C" w14:textId="04E51FCC" w:rsidTr="00206C07">
        <w:tc>
          <w:tcPr>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FAB37B" w14:textId="50C46265" w:rsidR="0003548A" w:rsidRPr="00A77AF6" w:rsidRDefault="0003548A" w:rsidP="0003548A">
            <w:pPr>
              <w:spacing w:after="120" w:line="240" w:lineRule="auto"/>
              <w:rPr>
                <w:sz w:val="20"/>
              </w:rPr>
            </w:pPr>
            <w:r w:rsidRPr="00A77AF6">
              <w:rPr>
                <w:sz w:val="20"/>
              </w:rPr>
              <w:t>Quality</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8E463" w14:textId="77777777" w:rsidR="00320B24" w:rsidRPr="00A77AF6" w:rsidRDefault="00320B24" w:rsidP="00320B24">
            <w:pPr>
              <w:spacing w:after="0" w:line="240" w:lineRule="auto"/>
              <w:rPr>
                <w:sz w:val="20"/>
              </w:rPr>
            </w:pPr>
            <w:r w:rsidRPr="00A77AF6">
              <w:rPr>
                <w:sz w:val="20"/>
              </w:rPr>
              <w:t>Project Management Phase</w:t>
            </w:r>
          </w:p>
          <w:p w14:paraId="1A388D9C" w14:textId="69FE6395" w:rsidR="0003548A" w:rsidRPr="00A77AF6" w:rsidRDefault="00320B24" w:rsidP="00320B24">
            <w:pPr>
              <w:spacing w:after="0" w:line="240" w:lineRule="auto"/>
              <w:rPr>
                <w:sz w:val="20"/>
              </w:rPr>
            </w:pPr>
            <w:r w:rsidRPr="00A77AF6">
              <w:rPr>
                <w:sz w:val="20"/>
              </w:rPr>
              <w:t>No. (%)</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4CF7AF" w14:textId="77777777" w:rsidR="0003548A" w:rsidRPr="00A77AF6" w:rsidRDefault="0003548A" w:rsidP="0003548A">
            <w:pPr>
              <w:spacing w:after="0" w:line="240" w:lineRule="auto"/>
              <w:rPr>
                <w:sz w:val="20"/>
              </w:rPr>
            </w:pPr>
            <w:r w:rsidRPr="00A77AF6">
              <w:rPr>
                <w:sz w:val="20"/>
              </w:rPr>
              <w:t>Operational Phase</w:t>
            </w:r>
          </w:p>
          <w:p w14:paraId="65018A4E" w14:textId="52C6FEBE" w:rsidR="0003548A" w:rsidRPr="00A77AF6" w:rsidRDefault="0003548A" w:rsidP="0003548A">
            <w:pPr>
              <w:spacing w:after="0" w:line="240" w:lineRule="auto"/>
              <w:rPr>
                <w:sz w:val="20"/>
              </w:rPr>
            </w:pPr>
            <w:r w:rsidRPr="00A77AF6">
              <w:rPr>
                <w:sz w:val="20"/>
              </w:rPr>
              <w:t>No. (%)</w:t>
            </w:r>
          </w:p>
        </w:tc>
      </w:tr>
      <w:tr w:rsidR="0003548A" w:rsidRPr="00A77AF6" w14:paraId="76DCC62D" w14:textId="0723D131" w:rsidTr="00206C07">
        <w:tc>
          <w:tcPr>
            <w:tcW w:w="2972" w:type="dxa"/>
            <w:tcBorders>
              <w:top w:val="single" w:sz="4" w:space="0" w:color="auto"/>
              <w:left w:val="single" w:sz="4" w:space="0" w:color="auto"/>
              <w:bottom w:val="single" w:sz="4" w:space="0" w:color="auto"/>
              <w:right w:val="single" w:sz="4" w:space="0" w:color="auto"/>
            </w:tcBorders>
          </w:tcPr>
          <w:p w14:paraId="6814FEC3" w14:textId="345A9654" w:rsidR="0003548A" w:rsidRPr="00A77AF6" w:rsidRDefault="005B277C" w:rsidP="0003548A">
            <w:pPr>
              <w:spacing w:after="120" w:line="240" w:lineRule="auto"/>
              <w:rPr>
                <w:sz w:val="20"/>
              </w:rPr>
            </w:pPr>
            <w:r w:rsidRPr="00A77AF6">
              <w:rPr>
                <w:sz w:val="20"/>
              </w:rPr>
              <w:t>M</w:t>
            </w:r>
            <w:r w:rsidR="0003548A" w:rsidRPr="00A77AF6">
              <w:rPr>
                <w:sz w:val="20"/>
              </w:rPr>
              <w:t>et/ exceeded quality targets</w:t>
            </w:r>
          </w:p>
        </w:tc>
        <w:tc>
          <w:tcPr>
            <w:tcW w:w="2552" w:type="dxa"/>
            <w:tcBorders>
              <w:top w:val="single" w:sz="4" w:space="0" w:color="auto"/>
              <w:left w:val="single" w:sz="4" w:space="0" w:color="auto"/>
              <w:bottom w:val="single" w:sz="4" w:space="0" w:color="auto"/>
              <w:right w:val="single" w:sz="4" w:space="0" w:color="auto"/>
            </w:tcBorders>
          </w:tcPr>
          <w:p w14:paraId="5B1B82AF" w14:textId="668D161E" w:rsidR="0003548A" w:rsidRPr="00A77AF6" w:rsidRDefault="0003548A" w:rsidP="0003548A">
            <w:pPr>
              <w:spacing w:after="120" w:line="240" w:lineRule="auto"/>
              <w:rPr>
                <w:sz w:val="20"/>
              </w:rPr>
            </w:pPr>
            <w:r w:rsidRPr="00A77AF6">
              <w:rPr>
                <w:sz w:val="20"/>
              </w:rPr>
              <w:t>41 (80%)</w:t>
            </w:r>
          </w:p>
        </w:tc>
        <w:tc>
          <w:tcPr>
            <w:tcW w:w="2268" w:type="dxa"/>
            <w:tcBorders>
              <w:top w:val="single" w:sz="4" w:space="0" w:color="auto"/>
              <w:left w:val="single" w:sz="4" w:space="0" w:color="auto"/>
              <w:bottom w:val="single" w:sz="4" w:space="0" w:color="auto"/>
              <w:right w:val="single" w:sz="4" w:space="0" w:color="auto"/>
            </w:tcBorders>
          </w:tcPr>
          <w:p w14:paraId="041D0C23" w14:textId="372796C4" w:rsidR="0003548A" w:rsidRPr="00A77AF6" w:rsidRDefault="0003548A" w:rsidP="0003548A">
            <w:pPr>
              <w:spacing w:after="120" w:line="240" w:lineRule="auto"/>
              <w:rPr>
                <w:sz w:val="20"/>
              </w:rPr>
            </w:pPr>
            <w:r w:rsidRPr="00A77AF6">
              <w:rPr>
                <w:sz w:val="20"/>
              </w:rPr>
              <w:t>28 (55%)</w:t>
            </w:r>
          </w:p>
        </w:tc>
      </w:tr>
      <w:tr w:rsidR="0003548A" w:rsidRPr="00A77AF6" w14:paraId="15AC93D7" w14:textId="69674B31" w:rsidTr="00206C07">
        <w:tc>
          <w:tcPr>
            <w:tcW w:w="2972" w:type="dxa"/>
            <w:tcBorders>
              <w:top w:val="single" w:sz="4" w:space="0" w:color="auto"/>
              <w:left w:val="single" w:sz="4" w:space="0" w:color="auto"/>
              <w:bottom w:val="single" w:sz="4" w:space="0" w:color="auto"/>
              <w:right w:val="single" w:sz="4" w:space="0" w:color="auto"/>
            </w:tcBorders>
          </w:tcPr>
          <w:p w14:paraId="0EAB9B3F" w14:textId="1CD0AD86" w:rsidR="0003548A" w:rsidRPr="00A77AF6" w:rsidRDefault="005B277C" w:rsidP="0003548A">
            <w:pPr>
              <w:spacing w:after="120" w:line="240" w:lineRule="auto"/>
              <w:rPr>
                <w:sz w:val="20"/>
              </w:rPr>
            </w:pPr>
            <w:r w:rsidRPr="00A77AF6">
              <w:rPr>
                <w:sz w:val="20"/>
              </w:rPr>
              <w:t>M</w:t>
            </w:r>
            <w:r w:rsidR="0003548A" w:rsidRPr="00A77AF6">
              <w:rPr>
                <w:sz w:val="20"/>
              </w:rPr>
              <w:t>issed quality targets</w:t>
            </w:r>
          </w:p>
        </w:tc>
        <w:tc>
          <w:tcPr>
            <w:tcW w:w="2552" w:type="dxa"/>
            <w:tcBorders>
              <w:top w:val="single" w:sz="4" w:space="0" w:color="auto"/>
              <w:left w:val="single" w:sz="4" w:space="0" w:color="auto"/>
              <w:bottom w:val="single" w:sz="4" w:space="0" w:color="auto"/>
              <w:right w:val="single" w:sz="4" w:space="0" w:color="auto"/>
            </w:tcBorders>
          </w:tcPr>
          <w:p w14:paraId="1B88639D" w14:textId="1E9B7C13" w:rsidR="0003548A" w:rsidRPr="00A77AF6" w:rsidRDefault="0003548A" w:rsidP="0003548A">
            <w:pPr>
              <w:spacing w:after="120" w:line="240" w:lineRule="auto"/>
              <w:rPr>
                <w:sz w:val="20"/>
              </w:rPr>
            </w:pPr>
            <w:r w:rsidRPr="00A77AF6">
              <w:rPr>
                <w:sz w:val="20"/>
              </w:rPr>
              <w:t>9 (18%)</w:t>
            </w:r>
          </w:p>
        </w:tc>
        <w:tc>
          <w:tcPr>
            <w:tcW w:w="2268" w:type="dxa"/>
            <w:tcBorders>
              <w:top w:val="single" w:sz="4" w:space="0" w:color="auto"/>
              <w:left w:val="single" w:sz="4" w:space="0" w:color="auto"/>
              <w:bottom w:val="single" w:sz="4" w:space="0" w:color="auto"/>
              <w:right w:val="single" w:sz="4" w:space="0" w:color="auto"/>
            </w:tcBorders>
          </w:tcPr>
          <w:p w14:paraId="3ABC84A5" w14:textId="04CFAB95" w:rsidR="0003548A" w:rsidRPr="00A77AF6" w:rsidRDefault="0003548A" w:rsidP="0003548A">
            <w:pPr>
              <w:spacing w:after="120" w:line="240" w:lineRule="auto"/>
              <w:rPr>
                <w:sz w:val="20"/>
              </w:rPr>
            </w:pPr>
            <w:r w:rsidRPr="00A77AF6">
              <w:rPr>
                <w:sz w:val="20"/>
              </w:rPr>
              <w:t>9 (18%)</w:t>
            </w:r>
          </w:p>
        </w:tc>
      </w:tr>
      <w:tr w:rsidR="0003548A" w:rsidRPr="00A77AF6" w14:paraId="4591E027" w14:textId="6D3992B8" w:rsidTr="00206C07">
        <w:tc>
          <w:tcPr>
            <w:tcW w:w="2972" w:type="dxa"/>
            <w:tcBorders>
              <w:top w:val="single" w:sz="4" w:space="0" w:color="auto"/>
              <w:left w:val="single" w:sz="4" w:space="0" w:color="auto"/>
              <w:bottom w:val="single" w:sz="4" w:space="0" w:color="auto"/>
              <w:right w:val="single" w:sz="4" w:space="0" w:color="auto"/>
            </w:tcBorders>
          </w:tcPr>
          <w:p w14:paraId="18B06385" w14:textId="1592B4D6" w:rsidR="0003548A" w:rsidRPr="00A77AF6" w:rsidRDefault="005B277C" w:rsidP="0003548A">
            <w:pPr>
              <w:spacing w:after="120" w:line="240" w:lineRule="auto"/>
              <w:rPr>
                <w:sz w:val="20"/>
              </w:rPr>
            </w:pPr>
            <w:r w:rsidRPr="00A77AF6">
              <w:rPr>
                <w:sz w:val="20"/>
              </w:rPr>
              <w:t>D</w:t>
            </w:r>
            <w:r w:rsidR="0003548A" w:rsidRPr="00A77AF6">
              <w:rPr>
                <w:sz w:val="20"/>
              </w:rPr>
              <w:t>on’t know</w:t>
            </w:r>
          </w:p>
        </w:tc>
        <w:tc>
          <w:tcPr>
            <w:tcW w:w="2552" w:type="dxa"/>
            <w:tcBorders>
              <w:top w:val="single" w:sz="4" w:space="0" w:color="auto"/>
              <w:left w:val="single" w:sz="4" w:space="0" w:color="auto"/>
              <w:bottom w:val="single" w:sz="4" w:space="0" w:color="auto"/>
              <w:right w:val="single" w:sz="4" w:space="0" w:color="auto"/>
            </w:tcBorders>
          </w:tcPr>
          <w:p w14:paraId="044BBDAE" w14:textId="2727889F" w:rsidR="0003548A" w:rsidRPr="00A77AF6" w:rsidRDefault="00F91B86" w:rsidP="0003548A">
            <w:pPr>
              <w:spacing w:after="120" w:line="240" w:lineRule="auto"/>
              <w:rPr>
                <w:sz w:val="20"/>
              </w:rPr>
            </w:pPr>
            <w:r w:rsidRPr="00A77AF6">
              <w:rPr>
                <w:sz w:val="20"/>
              </w:rPr>
              <w:t>1 (</w:t>
            </w:r>
            <w:r w:rsidR="00320B24" w:rsidRPr="00A77AF6">
              <w:rPr>
                <w:sz w:val="20"/>
              </w:rPr>
              <w:t>2%)</w:t>
            </w:r>
          </w:p>
        </w:tc>
        <w:tc>
          <w:tcPr>
            <w:tcW w:w="2268" w:type="dxa"/>
            <w:tcBorders>
              <w:top w:val="single" w:sz="4" w:space="0" w:color="auto"/>
              <w:left w:val="single" w:sz="4" w:space="0" w:color="auto"/>
              <w:bottom w:val="single" w:sz="4" w:space="0" w:color="auto"/>
              <w:right w:val="single" w:sz="4" w:space="0" w:color="auto"/>
            </w:tcBorders>
          </w:tcPr>
          <w:p w14:paraId="54BE8272" w14:textId="2DF62675" w:rsidR="0003548A" w:rsidRPr="00A77AF6" w:rsidRDefault="0003548A" w:rsidP="0003548A">
            <w:pPr>
              <w:spacing w:after="120" w:line="240" w:lineRule="auto"/>
              <w:rPr>
                <w:sz w:val="20"/>
              </w:rPr>
            </w:pPr>
            <w:r w:rsidRPr="00A77AF6">
              <w:rPr>
                <w:sz w:val="20"/>
              </w:rPr>
              <w:t>14 (27%)</w:t>
            </w:r>
          </w:p>
        </w:tc>
      </w:tr>
      <w:tr w:rsidR="0003548A" w:rsidRPr="00A77AF6" w14:paraId="15CAE5CE" w14:textId="2B9F34F2" w:rsidTr="00206C07">
        <w:tc>
          <w:tcPr>
            <w:tcW w:w="2972" w:type="dxa"/>
            <w:tcBorders>
              <w:top w:val="single" w:sz="4" w:space="0" w:color="auto"/>
              <w:right w:val="single" w:sz="4" w:space="0" w:color="auto"/>
            </w:tcBorders>
          </w:tcPr>
          <w:p w14:paraId="08510E57" w14:textId="77777777" w:rsidR="0003548A" w:rsidRPr="00A77AF6" w:rsidRDefault="0003548A" w:rsidP="0003548A">
            <w:pPr>
              <w:spacing w:after="120" w:line="240" w:lineRule="auto"/>
              <w:rPr>
                <w:sz w:val="20"/>
              </w:rPr>
            </w:pPr>
            <w:r w:rsidRPr="00A77AF6">
              <w:rPr>
                <w:sz w:val="20"/>
              </w:rPr>
              <w:t xml:space="preserve">Total </w:t>
            </w:r>
          </w:p>
        </w:tc>
        <w:tc>
          <w:tcPr>
            <w:tcW w:w="2552" w:type="dxa"/>
            <w:tcBorders>
              <w:top w:val="single" w:sz="4" w:space="0" w:color="auto"/>
              <w:left w:val="single" w:sz="4" w:space="0" w:color="auto"/>
              <w:bottom w:val="single" w:sz="4" w:space="0" w:color="auto"/>
              <w:right w:val="single" w:sz="4" w:space="0" w:color="auto"/>
            </w:tcBorders>
          </w:tcPr>
          <w:p w14:paraId="05B5CF38" w14:textId="3B706334" w:rsidR="0003548A" w:rsidRPr="00A77AF6" w:rsidRDefault="00320B24" w:rsidP="0003548A">
            <w:pPr>
              <w:spacing w:after="120" w:line="240" w:lineRule="auto"/>
              <w:rPr>
                <w:sz w:val="20"/>
              </w:rPr>
            </w:pPr>
            <w:r w:rsidRPr="00A77AF6">
              <w:rPr>
                <w:sz w:val="20"/>
              </w:rPr>
              <w:t>51 (100%)</w:t>
            </w:r>
          </w:p>
        </w:tc>
        <w:tc>
          <w:tcPr>
            <w:tcW w:w="2268" w:type="dxa"/>
            <w:tcBorders>
              <w:top w:val="single" w:sz="4" w:space="0" w:color="auto"/>
              <w:left w:val="single" w:sz="4" w:space="0" w:color="auto"/>
              <w:bottom w:val="single" w:sz="4" w:space="0" w:color="auto"/>
              <w:right w:val="single" w:sz="4" w:space="0" w:color="auto"/>
            </w:tcBorders>
          </w:tcPr>
          <w:p w14:paraId="15BEE01D" w14:textId="572E1A3D" w:rsidR="0003548A" w:rsidRPr="00A77AF6" w:rsidRDefault="0003548A" w:rsidP="0003548A">
            <w:pPr>
              <w:spacing w:after="120" w:line="240" w:lineRule="auto"/>
              <w:rPr>
                <w:sz w:val="20"/>
              </w:rPr>
            </w:pPr>
            <w:r w:rsidRPr="00A77AF6">
              <w:rPr>
                <w:sz w:val="20"/>
              </w:rPr>
              <w:t>51 (100%)</w:t>
            </w:r>
          </w:p>
        </w:tc>
      </w:tr>
    </w:tbl>
    <w:p w14:paraId="382E2FC1" w14:textId="01BEED87" w:rsidR="00206C07" w:rsidRPr="00A77AF6" w:rsidRDefault="00CB759B" w:rsidP="008F1B8E">
      <w:pPr>
        <w:spacing w:before="240" w:line="360" w:lineRule="auto"/>
      </w:pPr>
      <w:r w:rsidRPr="00A77AF6">
        <w:t>P</w:t>
      </w:r>
      <w:r w:rsidR="008B2620" w:rsidRPr="00A77AF6">
        <w:t xml:space="preserve">roject </w:t>
      </w:r>
      <w:r w:rsidR="008D5624" w:rsidRPr="00A77AF6">
        <w:t>managers</w:t>
      </w:r>
      <w:r w:rsidRPr="00A77AF6">
        <w:t xml:space="preserve"> </w:t>
      </w:r>
      <w:r w:rsidR="00607756" w:rsidRPr="00A77AF6">
        <w:t xml:space="preserve">appear to be less knowledgeable about </w:t>
      </w:r>
      <w:r w:rsidR="008B2620" w:rsidRPr="00A77AF6">
        <w:t xml:space="preserve">the operational phase </w:t>
      </w:r>
      <w:r w:rsidR="00607756" w:rsidRPr="00A77AF6">
        <w:t>than the</w:t>
      </w:r>
      <w:r w:rsidR="008B2620" w:rsidRPr="00A77AF6">
        <w:t xml:space="preserve"> project management phase. </w:t>
      </w:r>
      <w:r w:rsidR="008D5624" w:rsidRPr="00A77AF6">
        <w:t xml:space="preserve"> Perhaps this is to be expected as project </w:t>
      </w:r>
      <w:r w:rsidRPr="00A77AF6">
        <w:t xml:space="preserve">teams may not be involved in the </w:t>
      </w:r>
      <w:r w:rsidR="008D5624" w:rsidRPr="00A77AF6">
        <w:t xml:space="preserve">operational </w:t>
      </w:r>
      <w:r w:rsidRPr="00A77AF6">
        <w:t>phase of a project. T</w:t>
      </w:r>
      <w:r w:rsidR="008D5624" w:rsidRPr="00A77AF6">
        <w:t>here is acknowledgement in the construction industry that problems arise at the interface between the project and handover to operations (RIBA, 2013)</w:t>
      </w:r>
      <w:r w:rsidR="007D6179" w:rsidRPr="00A77AF6">
        <w:t xml:space="preserve">. </w:t>
      </w:r>
    </w:p>
    <w:p w14:paraId="35FBAD29" w14:textId="5F13ACFD" w:rsidR="0073034F" w:rsidRPr="00A77AF6" w:rsidRDefault="008D1DAE" w:rsidP="00CB759B">
      <w:pPr>
        <w:spacing w:line="360" w:lineRule="auto"/>
      </w:pPr>
      <w:r w:rsidRPr="00A77AF6">
        <w:t>Three</w:t>
      </w:r>
      <w:r w:rsidR="00301D68" w:rsidRPr="00A77AF6">
        <w:t xml:space="preserve"> main findings emerged from the data on </w:t>
      </w:r>
      <w:r w:rsidR="0073034F" w:rsidRPr="00A77AF6">
        <w:t xml:space="preserve">project success. The first is </w:t>
      </w:r>
      <w:r w:rsidRPr="00A77AF6">
        <w:t>that a</w:t>
      </w:r>
      <w:r w:rsidR="00CB759B" w:rsidRPr="00A77AF6">
        <w:t>lmost all respondents considered their project to be successfully delivered, but on</w:t>
      </w:r>
      <w:r w:rsidR="0073034F" w:rsidRPr="00A77AF6">
        <w:t xml:space="preserve">ly 11 (22%) of projects met all three </w:t>
      </w:r>
      <w:r w:rsidR="007573E6" w:rsidRPr="00A77AF6">
        <w:t>parameters</w:t>
      </w:r>
      <w:r w:rsidR="0073034F" w:rsidRPr="00A77AF6">
        <w:t xml:space="preserve"> of the iron triangle</w:t>
      </w:r>
      <w:r w:rsidRPr="00A77AF6">
        <w:t>, which suggests that respondents were using a different measure</w:t>
      </w:r>
      <w:r w:rsidR="0073034F" w:rsidRPr="00A77AF6">
        <w:t xml:space="preserve">. </w:t>
      </w:r>
      <w:r w:rsidR="00CB759B" w:rsidRPr="00A77AF6">
        <w:t xml:space="preserve"> </w:t>
      </w:r>
      <w:r w:rsidR="005B277C" w:rsidRPr="00A77AF6">
        <w:t xml:space="preserve">The second, that </w:t>
      </w:r>
      <w:r w:rsidR="00CB759B" w:rsidRPr="00A77AF6">
        <w:t xml:space="preserve">quality was the most frequently met target, whilst projects were more likely to miss time and cost targets than </w:t>
      </w:r>
      <w:r w:rsidR="00854652" w:rsidRPr="00A77AF6">
        <w:t xml:space="preserve">they were </w:t>
      </w:r>
      <w:r w:rsidR="00CB759B" w:rsidRPr="00A77AF6">
        <w:t xml:space="preserve">to meet them.  </w:t>
      </w:r>
      <w:r w:rsidR="00854652" w:rsidRPr="00A77AF6">
        <w:t xml:space="preserve">The third, that </w:t>
      </w:r>
      <w:r w:rsidR="00CB759B" w:rsidRPr="00A77AF6">
        <w:t xml:space="preserve">there was a distinct difference in knowledge about the project </w:t>
      </w:r>
      <w:r w:rsidR="001423BF" w:rsidRPr="00A77AF6">
        <w:t>at the end of</w:t>
      </w:r>
      <w:r w:rsidR="00CB759B" w:rsidRPr="00A77AF6">
        <w:t xml:space="preserve"> project management phase</w:t>
      </w:r>
      <w:r w:rsidR="00854652" w:rsidRPr="00A77AF6">
        <w:t xml:space="preserve"> and during its operational phase</w:t>
      </w:r>
      <w:r w:rsidR="001423BF" w:rsidRPr="00A77AF6">
        <w:t>.  T</w:t>
      </w:r>
      <w:r w:rsidR="007D6179" w:rsidRPr="00A77AF6">
        <w:t>his relative lack of knowledge</w:t>
      </w:r>
      <w:r w:rsidR="00854652" w:rsidRPr="00A77AF6">
        <w:t xml:space="preserve"> about the operational phases</w:t>
      </w:r>
      <w:r w:rsidR="007D6179" w:rsidRPr="00A77AF6">
        <w:t xml:space="preserve"> may suggest that </w:t>
      </w:r>
      <w:r w:rsidR="00854652" w:rsidRPr="00A77AF6">
        <w:t xml:space="preserve">project teams consider their work finished at handover, that </w:t>
      </w:r>
      <w:r w:rsidR="007D6179" w:rsidRPr="00A77AF6">
        <w:t>learning is not being taken</w:t>
      </w:r>
      <w:r w:rsidR="0090565F" w:rsidRPr="00A77AF6">
        <w:t xml:space="preserve"> </w:t>
      </w:r>
      <w:r w:rsidR="007D6179" w:rsidRPr="00A77AF6">
        <w:t>from one project to another</w:t>
      </w:r>
      <w:r w:rsidR="001423BF" w:rsidRPr="00A77AF6">
        <w:t>, or that POEs are not being carried out.</w:t>
      </w:r>
    </w:p>
    <w:p w14:paraId="03D29E9B" w14:textId="77777777" w:rsidR="0073034F" w:rsidRPr="00A77AF6" w:rsidRDefault="0073034F" w:rsidP="008D1DAE">
      <w:pPr>
        <w:spacing w:line="360" w:lineRule="auto"/>
      </w:pPr>
      <w:r w:rsidRPr="00A77AF6">
        <w:t xml:space="preserve">The next section presents the findings about the ethical predisposition of respondents and the relationship between predisposition and project success. </w:t>
      </w:r>
    </w:p>
    <w:p w14:paraId="7FA6029F" w14:textId="178A32BD" w:rsidR="00B45BB7" w:rsidRPr="00A77AF6" w:rsidRDefault="006B6774" w:rsidP="00B45BB7">
      <w:pPr>
        <w:pStyle w:val="Heading3"/>
        <w:spacing w:after="120"/>
      </w:pPr>
      <w:bookmarkStart w:id="175" w:name="_Toc36275132"/>
      <w:r w:rsidRPr="00A77AF6">
        <w:t>Other factors affect</w:t>
      </w:r>
      <w:r w:rsidR="002F30E1" w:rsidRPr="00A77AF6">
        <w:t>ing</w:t>
      </w:r>
      <w:r w:rsidRPr="00A77AF6">
        <w:t xml:space="preserve"> project </w:t>
      </w:r>
      <w:r w:rsidR="00701BB1" w:rsidRPr="00A77AF6">
        <w:t>success</w:t>
      </w:r>
      <w:bookmarkEnd w:id="175"/>
    </w:p>
    <w:p w14:paraId="74864D22" w14:textId="45DEEFB2" w:rsidR="006B6774" w:rsidRPr="00A77AF6" w:rsidRDefault="006B6774" w:rsidP="00A00EAD">
      <w:pPr>
        <w:spacing w:line="360" w:lineRule="auto"/>
      </w:pPr>
      <w:r w:rsidRPr="00A77AF6">
        <w:t xml:space="preserve">Two main variables which might affect project </w:t>
      </w:r>
      <w:r w:rsidR="00701BB1" w:rsidRPr="00A77AF6">
        <w:t>success</w:t>
      </w:r>
      <w:r w:rsidRPr="00A77AF6">
        <w:t xml:space="preserve"> were identified from the literature. The first is project complexity </w:t>
      </w:r>
      <w:sdt>
        <w:sdtPr>
          <w:id w:val="475957000"/>
          <w:citation/>
        </w:sdtPr>
        <w:sdtEndPr/>
        <w:sdtContent>
          <w:r w:rsidRPr="00A77AF6">
            <w:fldChar w:fldCharType="begin"/>
          </w:r>
          <w:r w:rsidRPr="00A77AF6">
            <w:instrText xml:space="preserve"> CITATION Mot02 \l 2057 </w:instrText>
          </w:r>
          <w:r w:rsidRPr="00A77AF6">
            <w:fldChar w:fldCharType="separate"/>
          </w:r>
          <w:r w:rsidR="008E653F" w:rsidRPr="00A77AF6">
            <w:t>(Mott Mac Donald, 2002)</w:t>
          </w:r>
          <w:r w:rsidRPr="00A77AF6">
            <w:fldChar w:fldCharType="end"/>
          </w:r>
        </w:sdtContent>
      </w:sdt>
      <w:r w:rsidRPr="00A77AF6">
        <w:t xml:space="preserve">, which may have a detrimental impact on the ability of projects to meet their success criteria. The second is the influence of Pinto and Slevin’s (1987) 10 Critical Success Factors, which if present, should improve the </w:t>
      </w:r>
      <w:r w:rsidR="00246CB5" w:rsidRPr="00A77AF6">
        <w:t xml:space="preserve">chances </w:t>
      </w:r>
      <w:r w:rsidRPr="00A77AF6">
        <w:t xml:space="preserve">of project success.  Both these factors were analysed to understand what impact they might have had on the projects in this sample. </w:t>
      </w:r>
    </w:p>
    <w:p w14:paraId="5F4A16F2" w14:textId="17D5E1EB" w:rsidR="006B6774" w:rsidRPr="00A77AF6" w:rsidRDefault="00095155" w:rsidP="00C21A49">
      <w:pPr>
        <w:pStyle w:val="Heading4"/>
        <w:numPr>
          <w:ilvl w:val="0"/>
          <w:numId w:val="0"/>
        </w:numPr>
        <w:spacing w:after="120"/>
      </w:pPr>
      <w:r w:rsidRPr="00A77AF6">
        <w:lastRenderedPageBreak/>
        <w:t>Correlation of r</w:t>
      </w:r>
      <w:r w:rsidR="006B6774" w:rsidRPr="00A77AF6">
        <w:t xml:space="preserve">isk </w:t>
      </w:r>
      <w:r w:rsidRPr="00A77AF6">
        <w:t>and project success</w:t>
      </w:r>
    </w:p>
    <w:p w14:paraId="38B4D35D" w14:textId="668BA798" w:rsidR="006B6774" w:rsidRPr="00A77AF6" w:rsidRDefault="006B6774" w:rsidP="007D2CDE">
      <w:pPr>
        <w:spacing w:line="360" w:lineRule="auto"/>
        <w:rPr>
          <w:color w:val="000000" w:themeColor="text1"/>
        </w:rPr>
      </w:pPr>
      <w:r w:rsidRPr="00A77AF6">
        <w:t>Each respondent completed the NHS’s Risk Potential Assessment (RPA)</w:t>
      </w:r>
      <w:r w:rsidR="00C9793A" w:rsidRPr="00A77AF6">
        <w:t xml:space="preserve">. This adds a risk premium (upper </w:t>
      </w:r>
      <w:r w:rsidR="00F7749F" w:rsidRPr="00A77AF6">
        <w:t>bound) to</w:t>
      </w:r>
      <w:r w:rsidR="00C9793A" w:rsidRPr="00A77AF6">
        <w:t xml:space="preserve"> each project which is reflected in the cost of the project.  As discussed earlier the cost can be mitigated down if the NHS Trust can evidence that it has certain measures in place.  The figures used in this study were ‘unmitigated’ so represent the worst-case scenario for each project. It was not reasonable to ask respondents </w:t>
      </w:r>
      <w:r w:rsidR="00C01568">
        <w:t xml:space="preserve">to </w:t>
      </w:r>
      <w:r w:rsidR="00C9793A" w:rsidRPr="00A77AF6">
        <w:t xml:space="preserve">mitigate the risk score as they may not have access to the business case, nor have been involved in the original risk calculations.  However, it was reasonably straight forward to complete the RPA to obtain the risk score. </w:t>
      </w:r>
      <w:r w:rsidRPr="00A77AF6">
        <w:t>In all</w:t>
      </w:r>
      <w:r w:rsidR="00737D2E" w:rsidRPr="00A77AF6">
        <w:t>,</w:t>
      </w:r>
      <w:r w:rsidRPr="00A77AF6">
        <w:t xml:space="preserve"> 32 projects were low risk and 19 projects medium risk.  No project was high risk</w:t>
      </w:r>
      <w:r w:rsidR="00AE02C9" w:rsidRPr="00A77AF6">
        <w:t xml:space="preserve"> (</w:t>
      </w:r>
      <w:r w:rsidR="00283AAB" w:rsidRPr="00A77AF6">
        <w:t>Table</w:t>
      </w:r>
      <w:r w:rsidR="00AE02C9" w:rsidRPr="00A77AF6">
        <w:t xml:space="preserve"> </w:t>
      </w:r>
      <w:r w:rsidR="00854652" w:rsidRPr="00A77AF6">
        <w:t>6-41)</w:t>
      </w:r>
      <w:r w:rsidRPr="00A77AF6">
        <w:t xml:space="preserve">. </w:t>
      </w:r>
      <w:r w:rsidR="00854652" w:rsidRPr="00A77AF6">
        <w:t xml:space="preserve">(Appendix </w:t>
      </w:r>
      <w:r w:rsidR="00133FC8" w:rsidRPr="00A77AF6">
        <w:t xml:space="preserve">H </w:t>
      </w:r>
      <w:r w:rsidR="00854652" w:rsidRPr="00A77AF6">
        <w:t xml:space="preserve">for </w:t>
      </w:r>
      <w:r w:rsidR="00133FC8" w:rsidRPr="00A77AF6">
        <w:t>RPA scores)</w:t>
      </w:r>
      <w:r w:rsidR="0046204B" w:rsidRPr="00A77AF6">
        <w:rPr>
          <w:color w:val="000000" w:themeColor="text1"/>
        </w:rPr>
        <w:t>.</w:t>
      </w:r>
    </w:p>
    <w:p w14:paraId="4955CEDA" w14:textId="6D693077" w:rsidR="007D2CDE" w:rsidRPr="00A77AF6" w:rsidRDefault="007D2CDE" w:rsidP="0007452B">
      <w:pPr>
        <w:pStyle w:val="Caption"/>
        <w:keepNext/>
        <w:spacing w:after="120"/>
      </w:pPr>
      <w:r w:rsidRPr="00A77AF6">
        <w:t xml:space="preserve">Table </w:t>
      </w:r>
      <w:fldSimple w:instr=" STYLEREF 1 \s ">
        <w:r w:rsidR="000441F7">
          <w:rPr>
            <w:noProof/>
          </w:rPr>
          <w:t>6</w:t>
        </w:r>
      </w:fldSimple>
      <w:r w:rsidR="00804112">
        <w:noBreakHyphen/>
      </w:r>
      <w:fldSimple w:instr=" SEQ Table \* ARABIC \s 1 ">
        <w:r w:rsidR="000441F7">
          <w:rPr>
            <w:noProof/>
          </w:rPr>
          <w:t>41</w:t>
        </w:r>
      </w:fldSimple>
      <w:r w:rsidRPr="00A77AF6">
        <w:t>: Risk category of projects</w:t>
      </w:r>
    </w:p>
    <w:tbl>
      <w:tblPr>
        <w:tblW w:w="5524" w:type="dxa"/>
        <w:shd w:val="clear" w:color="auto" w:fill="FFFFFF" w:themeFill="background1"/>
        <w:tblLayout w:type="fixed"/>
        <w:tblLook w:val="04A0" w:firstRow="1" w:lastRow="0" w:firstColumn="1" w:lastColumn="0" w:noHBand="0" w:noVBand="1"/>
      </w:tblPr>
      <w:tblGrid>
        <w:gridCol w:w="2689"/>
        <w:gridCol w:w="2835"/>
      </w:tblGrid>
      <w:tr w:rsidR="007D2CDE" w:rsidRPr="00A77AF6" w14:paraId="59FDA93F" w14:textId="77777777" w:rsidTr="007D2CDE">
        <w:trPr>
          <w:trHeight w:val="300"/>
        </w:trPr>
        <w:tc>
          <w:tcPr>
            <w:tcW w:w="2689" w:type="dxa"/>
            <w:tcBorders>
              <w:top w:val="single" w:sz="4" w:space="0" w:color="auto"/>
              <w:left w:val="single" w:sz="4" w:space="0" w:color="auto"/>
              <w:bottom w:val="single" w:sz="4" w:space="0" w:color="000000"/>
              <w:right w:val="single" w:sz="4" w:space="0" w:color="auto"/>
            </w:tcBorders>
            <w:shd w:val="clear" w:color="auto" w:fill="D9D9D9" w:themeFill="background1" w:themeFillShade="D9"/>
            <w:noWrap/>
          </w:tcPr>
          <w:p w14:paraId="28A9DBD2" w14:textId="77777777" w:rsidR="007D2CDE" w:rsidRPr="00A77AF6" w:rsidRDefault="007D2CDE" w:rsidP="007D2CDE">
            <w:pPr>
              <w:spacing w:after="0" w:line="240" w:lineRule="auto"/>
              <w:rPr>
                <w:rFonts w:ascii="Calibri" w:eastAsia="Times New Roman" w:hAnsi="Calibri" w:cs="Times New Roman"/>
                <w:b/>
                <w:bCs/>
                <w:color w:val="000000"/>
                <w:sz w:val="20"/>
                <w:lang w:eastAsia="en-GB"/>
              </w:rPr>
            </w:pPr>
            <w:r w:rsidRPr="00A77AF6">
              <w:rPr>
                <w:rFonts w:ascii="Calibri" w:eastAsia="Times New Roman" w:hAnsi="Calibri" w:cs="Times New Roman"/>
                <w:b/>
                <w:bCs/>
                <w:color w:val="000000"/>
                <w:sz w:val="20"/>
                <w:lang w:eastAsia="en-GB"/>
              </w:rPr>
              <w:t xml:space="preserve">Risk category </w:t>
            </w:r>
          </w:p>
          <w:p w14:paraId="657109C9" w14:textId="7AA5DCD3" w:rsidR="007D2CDE" w:rsidRPr="00A77AF6" w:rsidRDefault="007D2CDE" w:rsidP="00860FB0">
            <w:pPr>
              <w:spacing w:after="0" w:line="240" w:lineRule="auto"/>
              <w:rPr>
                <w:rFonts w:ascii="Calibri" w:eastAsia="Times New Roman" w:hAnsi="Calibri" w:cs="Times New Roman"/>
                <w:b/>
                <w:bCs/>
                <w:color w:val="000000"/>
                <w:sz w:val="20"/>
                <w:lang w:eastAsia="en-GB"/>
              </w:rPr>
            </w:pPr>
          </w:p>
        </w:tc>
        <w:tc>
          <w:tcPr>
            <w:tcW w:w="2835"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bottom"/>
          </w:tcPr>
          <w:p w14:paraId="7AC8048B" w14:textId="6A71637F" w:rsidR="007D2CDE" w:rsidRPr="00A77AF6" w:rsidRDefault="007D2CDE" w:rsidP="007D2CDE">
            <w:pPr>
              <w:spacing w:after="0" w:line="240" w:lineRule="auto"/>
              <w:rPr>
                <w:rFonts w:ascii="Calibri" w:eastAsia="Times New Roman" w:hAnsi="Calibri" w:cs="Times New Roman"/>
                <w:b/>
                <w:bCs/>
                <w:color w:val="000000"/>
                <w:sz w:val="20"/>
                <w:lang w:eastAsia="en-GB"/>
              </w:rPr>
            </w:pPr>
            <w:r w:rsidRPr="00A77AF6">
              <w:rPr>
                <w:rFonts w:ascii="Calibri" w:eastAsia="Times New Roman" w:hAnsi="Calibri" w:cs="Times New Roman"/>
                <w:b/>
                <w:bCs/>
                <w:color w:val="000000"/>
                <w:sz w:val="20"/>
                <w:lang w:eastAsia="en-GB"/>
              </w:rPr>
              <w:t>No (%) of projects</w:t>
            </w:r>
          </w:p>
          <w:p w14:paraId="4A69DADA" w14:textId="32730E3A" w:rsidR="007D2CDE" w:rsidRPr="00A77AF6" w:rsidRDefault="007D2CDE" w:rsidP="007D2CDE">
            <w:pPr>
              <w:spacing w:after="0" w:line="240" w:lineRule="auto"/>
              <w:rPr>
                <w:rFonts w:ascii="Calibri" w:eastAsia="Times New Roman" w:hAnsi="Calibri" w:cs="Times New Roman"/>
                <w:b/>
                <w:bCs/>
                <w:color w:val="000000"/>
                <w:sz w:val="20"/>
                <w:lang w:eastAsia="en-GB"/>
              </w:rPr>
            </w:pPr>
          </w:p>
        </w:tc>
      </w:tr>
      <w:tr w:rsidR="007D2CDE" w:rsidRPr="00A77AF6" w14:paraId="38B2318B" w14:textId="77777777" w:rsidTr="007D2CDE">
        <w:trPr>
          <w:trHeight w:val="300"/>
        </w:trPr>
        <w:tc>
          <w:tcPr>
            <w:tcW w:w="2689" w:type="dxa"/>
            <w:tcBorders>
              <w:top w:val="single" w:sz="4" w:space="0" w:color="000000"/>
              <w:left w:val="single" w:sz="4" w:space="0" w:color="000000"/>
              <w:right w:val="single" w:sz="4" w:space="0" w:color="auto"/>
            </w:tcBorders>
            <w:shd w:val="clear" w:color="auto" w:fill="FFFFFF" w:themeFill="background1"/>
            <w:noWrap/>
          </w:tcPr>
          <w:p w14:paraId="7352BDBC" w14:textId="2AAC3CB7" w:rsidR="007D2CDE" w:rsidRPr="00A77AF6" w:rsidRDefault="00C01568" w:rsidP="007D2CDE">
            <w:pPr>
              <w:spacing w:after="0" w:line="240"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H</w:t>
            </w:r>
            <w:r w:rsidR="007D2CDE" w:rsidRPr="00A77AF6">
              <w:rPr>
                <w:rFonts w:ascii="Calibri" w:eastAsia="Times New Roman" w:hAnsi="Calibri" w:cs="Times New Roman"/>
                <w:color w:val="000000"/>
                <w:sz w:val="20"/>
                <w:lang w:eastAsia="en-GB"/>
              </w:rPr>
              <w:t>igh</w:t>
            </w:r>
          </w:p>
        </w:tc>
        <w:tc>
          <w:tcPr>
            <w:tcW w:w="2835" w:type="dxa"/>
            <w:tcBorders>
              <w:top w:val="single" w:sz="4" w:space="0" w:color="000000"/>
              <w:left w:val="single" w:sz="4" w:space="0" w:color="auto"/>
              <w:right w:val="single" w:sz="4" w:space="0" w:color="auto"/>
            </w:tcBorders>
            <w:shd w:val="clear" w:color="auto" w:fill="FFFFFF" w:themeFill="background1"/>
          </w:tcPr>
          <w:p w14:paraId="4845CC0F" w14:textId="7AC10333" w:rsidR="007D2CDE" w:rsidRPr="00A77AF6" w:rsidRDefault="007D2CDE" w:rsidP="007D2CDE">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0 (0%)</w:t>
            </w:r>
          </w:p>
        </w:tc>
      </w:tr>
      <w:tr w:rsidR="007D2CDE" w:rsidRPr="00A77AF6" w14:paraId="6A606BE8" w14:textId="77777777" w:rsidTr="007D2CDE">
        <w:trPr>
          <w:trHeight w:val="300"/>
        </w:trPr>
        <w:tc>
          <w:tcPr>
            <w:tcW w:w="2689" w:type="dxa"/>
            <w:tcBorders>
              <w:top w:val="nil"/>
              <w:left w:val="single" w:sz="4" w:space="0" w:color="000000"/>
              <w:right w:val="single" w:sz="4" w:space="0" w:color="auto"/>
            </w:tcBorders>
            <w:shd w:val="clear" w:color="auto" w:fill="FFFFFF" w:themeFill="background1"/>
            <w:noWrap/>
          </w:tcPr>
          <w:p w14:paraId="27237006" w14:textId="5FDF4E62" w:rsidR="007D2CDE" w:rsidRPr="00A77AF6" w:rsidRDefault="00C01568" w:rsidP="007D2CDE">
            <w:pPr>
              <w:spacing w:after="0" w:line="240"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M</w:t>
            </w:r>
            <w:r w:rsidR="007D2CDE" w:rsidRPr="00A77AF6">
              <w:rPr>
                <w:rFonts w:ascii="Calibri" w:eastAsia="Times New Roman" w:hAnsi="Calibri" w:cs="Times New Roman"/>
                <w:color w:val="000000"/>
                <w:sz w:val="20"/>
                <w:lang w:eastAsia="en-GB"/>
              </w:rPr>
              <w:t>edium</w:t>
            </w:r>
          </w:p>
        </w:tc>
        <w:tc>
          <w:tcPr>
            <w:tcW w:w="2835" w:type="dxa"/>
            <w:tcBorders>
              <w:top w:val="nil"/>
              <w:left w:val="single" w:sz="4" w:space="0" w:color="auto"/>
              <w:right w:val="single" w:sz="4" w:space="0" w:color="auto"/>
            </w:tcBorders>
            <w:shd w:val="clear" w:color="auto" w:fill="FFFFFF" w:themeFill="background1"/>
          </w:tcPr>
          <w:p w14:paraId="158D5772" w14:textId="3C3411A3" w:rsidR="007D2CDE" w:rsidRPr="00A77AF6" w:rsidRDefault="007D2CDE" w:rsidP="007D2CDE">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19 (37%)</w:t>
            </w:r>
          </w:p>
        </w:tc>
      </w:tr>
      <w:tr w:rsidR="007D2CDE" w:rsidRPr="00A77AF6" w14:paraId="1DEAD4C0" w14:textId="77777777" w:rsidTr="007D2CDE">
        <w:trPr>
          <w:trHeight w:val="300"/>
        </w:trPr>
        <w:tc>
          <w:tcPr>
            <w:tcW w:w="2689" w:type="dxa"/>
            <w:tcBorders>
              <w:top w:val="nil"/>
              <w:left w:val="single" w:sz="4" w:space="0" w:color="000000"/>
              <w:bottom w:val="single" w:sz="4" w:space="0" w:color="000000"/>
              <w:right w:val="single" w:sz="4" w:space="0" w:color="auto"/>
            </w:tcBorders>
            <w:shd w:val="clear" w:color="auto" w:fill="FFFFFF" w:themeFill="background1"/>
            <w:noWrap/>
          </w:tcPr>
          <w:p w14:paraId="101885AA" w14:textId="61AC0936" w:rsidR="007D2CDE" w:rsidRPr="00A77AF6" w:rsidRDefault="00C01568" w:rsidP="007D2CDE">
            <w:pPr>
              <w:spacing w:after="0" w:line="240"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L</w:t>
            </w:r>
            <w:r w:rsidR="007D2CDE" w:rsidRPr="00A77AF6">
              <w:rPr>
                <w:rFonts w:ascii="Calibri" w:eastAsia="Times New Roman" w:hAnsi="Calibri" w:cs="Times New Roman"/>
                <w:color w:val="000000"/>
                <w:sz w:val="20"/>
                <w:lang w:eastAsia="en-GB"/>
              </w:rPr>
              <w:t>ow</w:t>
            </w:r>
          </w:p>
        </w:tc>
        <w:tc>
          <w:tcPr>
            <w:tcW w:w="2835" w:type="dxa"/>
            <w:tcBorders>
              <w:top w:val="nil"/>
              <w:left w:val="single" w:sz="4" w:space="0" w:color="auto"/>
              <w:bottom w:val="single" w:sz="4" w:space="0" w:color="000000"/>
              <w:right w:val="single" w:sz="4" w:space="0" w:color="auto"/>
            </w:tcBorders>
            <w:shd w:val="clear" w:color="auto" w:fill="FFFFFF" w:themeFill="background1"/>
          </w:tcPr>
          <w:p w14:paraId="17CC9131" w14:textId="178FCD2B" w:rsidR="007D2CDE" w:rsidRPr="00A77AF6" w:rsidRDefault="007D2CDE" w:rsidP="007D2CDE">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32 (63%0</w:t>
            </w:r>
          </w:p>
        </w:tc>
      </w:tr>
      <w:tr w:rsidR="007D2CDE" w:rsidRPr="00A77AF6" w14:paraId="5128F1DF" w14:textId="77777777" w:rsidTr="007D2CDE">
        <w:trPr>
          <w:trHeight w:val="300"/>
        </w:trPr>
        <w:tc>
          <w:tcPr>
            <w:tcW w:w="2689" w:type="dxa"/>
            <w:tcBorders>
              <w:top w:val="single" w:sz="4" w:space="0" w:color="auto"/>
            </w:tcBorders>
            <w:shd w:val="clear" w:color="auto" w:fill="FFFFFF" w:themeFill="background1"/>
            <w:noWrap/>
            <w:vAlign w:val="bottom"/>
          </w:tcPr>
          <w:p w14:paraId="283901E2" w14:textId="77777777" w:rsidR="007D2CDE" w:rsidRPr="00A77AF6" w:rsidRDefault="007D2CDE" w:rsidP="007D2CDE">
            <w:pPr>
              <w:spacing w:after="0" w:line="240" w:lineRule="auto"/>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 xml:space="preserve">Total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2E0A032F" w14:textId="13BB33BD" w:rsidR="007D2CDE" w:rsidRPr="00A77AF6" w:rsidRDefault="007D2CDE" w:rsidP="007D2CDE">
            <w:pPr>
              <w:spacing w:after="0" w:line="240" w:lineRule="auto"/>
              <w:jc w:val="right"/>
              <w:rPr>
                <w:rFonts w:ascii="Calibri" w:eastAsia="Times New Roman" w:hAnsi="Calibri" w:cs="Times New Roman"/>
                <w:color w:val="000000"/>
                <w:sz w:val="20"/>
                <w:lang w:eastAsia="en-GB"/>
              </w:rPr>
            </w:pPr>
            <w:r w:rsidRPr="00A77AF6">
              <w:rPr>
                <w:rFonts w:ascii="Calibri" w:eastAsia="Times New Roman" w:hAnsi="Calibri" w:cs="Times New Roman"/>
                <w:color w:val="000000"/>
                <w:sz w:val="20"/>
                <w:lang w:eastAsia="en-GB"/>
              </w:rPr>
              <w:t>15 (100%)</w:t>
            </w:r>
          </w:p>
        </w:tc>
      </w:tr>
    </w:tbl>
    <w:p w14:paraId="0DBBA280" w14:textId="3A6D242F" w:rsidR="00860FB0" w:rsidRPr="00A77AF6" w:rsidRDefault="00854652" w:rsidP="00854652">
      <w:pPr>
        <w:spacing w:before="240" w:line="360" w:lineRule="auto"/>
      </w:pPr>
      <w:r w:rsidRPr="00A77AF6">
        <w:t>A</w:t>
      </w:r>
      <w:r w:rsidR="0007452B" w:rsidRPr="00A77AF6">
        <w:t>s</w:t>
      </w:r>
      <w:r w:rsidRPr="00A77AF6">
        <w:t xml:space="preserve"> </w:t>
      </w:r>
      <w:r w:rsidR="002F30E1" w:rsidRPr="00A77AF6">
        <w:t>the risk profiles were quite</w:t>
      </w:r>
      <w:r w:rsidR="00A028B6" w:rsidRPr="00A77AF6">
        <w:t xml:space="preserve"> </w:t>
      </w:r>
      <w:r w:rsidR="002F30E1" w:rsidRPr="00A77AF6">
        <w:t xml:space="preserve">similar </w:t>
      </w:r>
      <w:r w:rsidR="00A028B6" w:rsidRPr="00A77AF6">
        <w:t>i</w:t>
      </w:r>
      <w:r w:rsidR="006B6774" w:rsidRPr="00A77AF6">
        <w:t>t appears that risk did not play a significant part in</w:t>
      </w:r>
      <w:r w:rsidR="00A028B6" w:rsidRPr="00A77AF6">
        <w:t xml:space="preserve"> differentiating between projects in</w:t>
      </w:r>
      <w:r w:rsidR="006B6774" w:rsidRPr="00A77AF6">
        <w:t xml:space="preserve"> this sample.  </w:t>
      </w:r>
      <w:r w:rsidR="00860FB0" w:rsidRPr="00A77AF6">
        <w:t xml:space="preserve">Correlation analysis was carried out to </w:t>
      </w:r>
      <w:r w:rsidR="00745A88" w:rsidRPr="00A77AF6">
        <w:t xml:space="preserve">establish a relationship between risk and project success.  The literature </w:t>
      </w:r>
      <w:r w:rsidR="002F7B99" w:rsidRPr="00A77AF6">
        <w:t>suggests</w:t>
      </w:r>
      <w:r w:rsidR="00745A88" w:rsidRPr="00A77AF6">
        <w:t xml:space="preserve"> that the higher the risk, the </w:t>
      </w:r>
      <w:r w:rsidR="002F7B99" w:rsidRPr="00A77AF6">
        <w:t xml:space="preserve">greater the negative impact </w:t>
      </w:r>
      <w:r w:rsidR="00C01568" w:rsidRPr="00A77AF6">
        <w:t xml:space="preserve">might be </w:t>
      </w:r>
      <w:r w:rsidR="002F7B99" w:rsidRPr="00A77AF6">
        <w:t xml:space="preserve">on project success. </w:t>
      </w:r>
    </w:p>
    <w:p w14:paraId="6DB02EC3" w14:textId="3AD269AC" w:rsidR="00877CD2" w:rsidRPr="00A77AF6" w:rsidRDefault="00877CD2" w:rsidP="00877CD2">
      <w:pPr>
        <w:spacing w:after="480" w:line="360" w:lineRule="auto"/>
      </w:pPr>
      <w:r w:rsidRPr="00A77AF6">
        <w:t>A weak inverse correlation of r= 0.19</w:t>
      </w:r>
      <w:r w:rsidR="00C27C01">
        <w:t>5</w:t>
      </w:r>
      <w:r w:rsidRPr="00A77AF6">
        <w:t xml:space="preserve"> was found</w:t>
      </w:r>
      <w:r w:rsidR="00854652" w:rsidRPr="00A77AF6">
        <w:t xml:space="preserve"> between risk and project success score (Figure 6-13)</w:t>
      </w:r>
      <w:r w:rsidRPr="00A77AF6">
        <w:t>.  R-squared shows that the coefficient of determination is low</w:t>
      </w:r>
      <w:r w:rsidR="00854652" w:rsidRPr="00A77AF6">
        <w:t xml:space="preserve"> (</w:t>
      </w:r>
      <w:r w:rsidR="004351A6" w:rsidRPr="00A77AF6">
        <w:t>T</w:t>
      </w:r>
      <w:r w:rsidR="00854652" w:rsidRPr="00A77AF6">
        <w:t xml:space="preserve">able 6-42) so approximately </w:t>
      </w:r>
      <w:r w:rsidRPr="00A77AF6">
        <w:t xml:space="preserve"> 3.7</w:t>
      </w:r>
      <w:r w:rsidR="00C01568">
        <w:t>9</w:t>
      </w:r>
      <w:r w:rsidRPr="00A77AF6">
        <w:t xml:space="preserve">% of the variation </w:t>
      </w:r>
      <w:r w:rsidR="00854652" w:rsidRPr="00A77AF6">
        <w:t xml:space="preserve">in project success </w:t>
      </w:r>
      <w:r w:rsidRPr="00A77AF6">
        <w:t>can be explained by project risk</w:t>
      </w:r>
      <w:r w:rsidR="006D63A0" w:rsidRPr="00A77AF6">
        <w:t xml:space="preserve">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×100). </m:t>
        </m:r>
      </m:oMath>
      <w:r w:rsidR="006D63A0" w:rsidRPr="00A77AF6">
        <w:rPr>
          <w:rFonts w:eastAsiaTheme="minorEastAsia"/>
        </w:rPr>
        <w:t xml:space="preserve"> </w:t>
      </w:r>
      <w:r w:rsidRPr="00A77AF6">
        <w:t xml:space="preserve"> </w:t>
      </w:r>
      <w:r w:rsidR="006D63A0" w:rsidRPr="00A77AF6">
        <w:t xml:space="preserve">The P value indicates that is </w:t>
      </w:r>
      <w:r w:rsidR="002666C0" w:rsidRPr="00A77AF6">
        <w:t>likely</w:t>
      </w:r>
      <w:r w:rsidR="006D63A0" w:rsidRPr="00A77AF6">
        <w:t xml:space="preserve"> that that the results happened by chance (</w:t>
      </w:r>
      <w:r w:rsidR="0008393B" w:rsidRPr="00A77AF6">
        <w:t>8.7</w:t>
      </w:r>
      <w:r w:rsidR="006D63A0" w:rsidRPr="00A77AF6">
        <w:t>%)</w:t>
      </w:r>
      <w:r w:rsidR="004351A6" w:rsidRPr="00A77AF6">
        <w:t xml:space="preserve"> calculated as </w:t>
      </w:r>
      <m:oMath>
        <m:r>
          <w:rPr>
            <w:rFonts w:ascii="Cambria Math" w:hAnsi="Cambria Math"/>
          </w:rPr>
          <m:t>1-P×100</m:t>
        </m:r>
      </m:oMath>
      <w:r w:rsidR="004351A6" w:rsidRPr="00A77AF6">
        <w:rPr>
          <w:rFonts w:eastAsiaTheme="minorEastAsia"/>
        </w:rPr>
        <w:t xml:space="preserve">. </w:t>
      </w:r>
      <w:r w:rsidR="006D63A0" w:rsidRPr="00A77AF6">
        <w:t xml:space="preserve">This P value means that the </w:t>
      </w:r>
      <w:r w:rsidR="004351A6" w:rsidRPr="00A77AF6">
        <w:t>result</w:t>
      </w:r>
      <w:r w:rsidR="006D63A0" w:rsidRPr="00A77AF6">
        <w:t xml:space="preserve"> is not significant as less than 5% is usually considered significant.</w:t>
      </w:r>
      <w:r w:rsidR="004351A6" w:rsidRPr="00A77AF6">
        <w:t xml:space="preserve"> </w:t>
      </w:r>
      <w:r w:rsidRPr="00A77AF6">
        <w:t xml:space="preserve"> </w:t>
      </w:r>
      <w:r w:rsidR="004351A6" w:rsidRPr="00A77AF6">
        <w:t xml:space="preserve"> </w:t>
      </w:r>
      <w:r w:rsidRPr="00A77AF6">
        <w:t>There is 95% confidence that the correlation r=</w:t>
      </w:r>
      <w:r w:rsidR="00C01568">
        <w:t xml:space="preserve"> </w:t>
      </w:r>
      <w:r w:rsidR="00C01568" w:rsidRPr="00A77AF6">
        <w:t xml:space="preserve"> </w:t>
      </w:r>
      <w:r w:rsidR="00C01568" w:rsidRPr="00C01568">
        <w:t>0.0379 lies between -</w:t>
      </w:r>
      <w:r w:rsidR="00C01568" w:rsidRPr="00C01568">
        <w:rPr>
          <w:rFonts w:cstheme="minorHAnsi"/>
          <w:sz w:val="20"/>
          <w:szCs w:val="20"/>
        </w:rPr>
        <w:t>0.0794 and 0.4694</w:t>
      </w:r>
      <w:r w:rsidR="00C01568" w:rsidRPr="00C01568">
        <w:t xml:space="preserve">.  </w:t>
      </w:r>
      <w:r w:rsidRPr="00C01568">
        <w:t xml:space="preserve">Results indicate that there is a very weak inverse relationship between risk and project </w:t>
      </w:r>
      <w:r w:rsidR="004351A6" w:rsidRPr="00A77AF6">
        <w:t>success but are not significant</w:t>
      </w:r>
      <w:r w:rsidRPr="00A77AF6">
        <w:t xml:space="preserve">.  </w:t>
      </w:r>
    </w:p>
    <w:p w14:paraId="47A05CB8" w14:textId="77777777" w:rsidR="002F7B99" w:rsidRPr="00A77AF6" w:rsidRDefault="00745A88" w:rsidP="00D21279">
      <w:pPr>
        <w:keepNext/>
        <w:spacing w:line="240" w:lineRule="auto"/>
      </w:pPr>
      <w:r w:rsidRPr="00A77AF6">
        <w:rPr>
          <w:noProof/>
        </w:rPr>
        <w:lastRenderedPageBreak/>
        <w:drawing>
          <wp:inline distT="0" distB="0" distL="0" distR="0" wp14:anchorId="00FCD390" wp14:editId="364EED4B">
            <wp:extent cx="4572000" cy="2743200"/>
            <wp:effectExtent l="0" t="0" r="0" b="0"/>
            <wp:docPr id="8" name="Chart 8">
              <a:extLst xmlns:a="http://schemas.openxmlformats.org/drawingml/2006/main">
                <a:ext uri="{FF2B5EF4-FFF2-40B4-BE49-F238E27FC236}">
                  <a16:creationId xmlns:a16="http://schemas.microsoft.com/office/drawing/2014/main" id="{32D0E015-043F-4D94-BA3E-D78C976A7E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E975909" w14:textId="39689485" w:rsidR="00745A88" w:rsidRPr="00A77AF6" w:rsidRDefault="002F7B99" w:rsidP="002F7B99">
      <w:pPr>
        <w:pStyle w:val="Caption"/>
      </w:pPr>
      <w:bookmarkStart w:id="176" w:name="_Toc36186989"/>
      <w:r w:rsidRPr="00A77AF6">
        <w:t xml:space="preserve">Figure </w:t>
      </w:r>
      <w:fldSimple w:instr=" STYLEREF 1 \s ">
        <w:r w:rsidR="000441F7">
          <w:rPr>
            <w:noProof/>
          </w:rPr>
          <w:t>6</w:t>
        </w:r>
      </w:fldSimple>
      <w:r w:rsidR="00BA5DC4">
        <w:noBreakHyphen/>
      </w:r>
      <w:fldSimple w:instr=" SEQ Figure \* ARABIC \s 1 ">
        <w:r w:rsidR="000441F7">
          <w:rPr>
            <w:noProof/>
          </w:rPr>
          <w:t>13</w:t>
        </w:r>
      </w:fldSimple>
      <w:r w:rsidRPr="00A77AF6">
        <w:t>: Correlation of risk and project success scores</w:t>
      </w:r>
      <w:bookmarkEnd w:id="176"/>
    </w:p>
    <w:p w14:paraId="1E8DC147" w14:textId="33B210A9" w:rsidR="002F7B99" w:rsidRPr="00A77AF6" w:rsidRDefault="002F7B99">
      <w:pPr>
        <w:rPr>
          <w:rFonts w:asciiTheme="majorHAnsi" w:eastAsiaTheme="majorEastAsia" w:hAnsiTheme="majorHAnsi" w:cstheme="majorBidi"/>
          <w:b/>
          <w:i/>
          <w:iCs/>
          <w:color w:val="000000" w:themeColor="text1"/>
        </w:rPr>
      </w:pPr>
    </w:p>
    <w:p w14:paraId="6CFB0C22" w14:textId="082A32D5" w:rsidR="00877CD2" w:rsidRPr="00A77AF6" w:rsidRDefault="00877CD2" w:rsidP="00D21279">
      <w:pPr>
        <w:pStyle w:val="Caption"/>
        <w:keepNext/>
        <w:spacing w:after="120"/>
      </w:pPr>
      <w:r w:rsidRPr="00A77AF6">
        <w:t xml:space="preserve">Table </w:t>
      </w:r>
      <w:fldSimple w:instr=" STYLEREF 1 \s ">
        <w:r w:rsidR="000441F7">
          <w:rPr>
            <w:noProof/>
          </w:rPr>
          <w:t>6</w:t>
        </w:r>
      </w:fldSimple>
      <w:r w:rsidR="00804112">
        <w:noBreakHyphen/>
      </w:r>
      <w:fldSimple w:instr=" SEQ Table \* ARABIC \s 1 ">
        <w:r w:rsidR="000441F7">
          <w:rPr>
            <w:noProof/>
          </w:rPr>
          <w:t>42</w:t>
        </w:r>
      </w:fldSimple>
      <w:r w:rsidRPr="00A77AF6">
        <w:t>: Correlation of risk and project success scores</w:t>
      </w:r>
    </w:p>
    <w:tbl>
      <w:tblPr>
        <w:tblStyle w:val="TableGrid"/>
        <w:tblW w:w="0" w:type="auto"/>
        <w:tblLook w:val="04A0" w:firstRow="1" w:lastRow="0" w:firstColumn="1" w:lastColumn="0" w:noHBand="0" w:noVBand="1"/>
      </w:tblPr>
      <w:tblGrid>
        <w:gridCol w:w="2110"/>
        <w:gridCol w:w="987"/>
        <w:gridCol w:w="867"/>
        <w:gridCol w:w="1134"/>
        <w:gridCol w:w="1134"/>
        <w:gridCol w:w="1843"/>
      </w:tblGrid>
      <w:tr w:rsidR="004351A6" w:rsidRPr="00A77AF6" w14:paraId="5EF32CE1" w14:textId="77777777" w:rsidTr="009D6034">
        <w:tc>
          <w:tcPr>
            <w:tcW w:w="2110" w:type="dxa"/>
            <w:shd w:val="clear" w:color="auto" w:fill="F2F2F2" w:themeFill="background1" w:themeFillShade="F2"/>
          </w:tcPr>
          <w:p w14:paraId="79480B07" w14:textId="77777777" w:rsidR="004351A6" w:rsidRPr="00A77AF6" w:rsidRDefault="004351A6" w:rsidP="009D6034">
            <w:pPr>
              <w:rPr>
                <w:b/>
                <w:bCs/>
                <w:sz w:val="20"/>
                <w:szCs w:val="20"/>
              </w:rPr>
            </w:pPr>
          </w:p>
        </w:tc>
        <w:tc>
          <w:tcPr>
            <w:tcW w:w="987" w:type="dxa"/>
            <w:shd w:val="clear" w:color="auto" w:fill="F2F2F2" w:themeFill="background1" w:themeFillShade="F2"/>
          </w:tcPr>
          <w:p w14:paraId="5BDC1303" w14:textId="77777777" w:rsidR="004351A6" w:rsidRPr="00A77AF6" w:rsidRDefault="004351A6" w:rsidP="009D6034">
            <w:pPr>
              <w:rPr>
                <w:b/>
                <w:bCs/>
                <w:sz w:val="20"/>
                <w:szCs w:val="20"/>
              </w:rPr>
            </w:pPr>
            <w:r w:rsidRPr="00A77AF6">
              <w:rPr>
                <w:b/>
                <w:bCs/>
                <w:sz w:val="20"/>
                <w:szCs w:val="20"/>
              </w:rPr>
              <w:t>R</w:t>
            </w:r>
          </w:p>
        </w:tc>
        <w:tc>
          <w:tcPr>
            <w:tcW w:w="867" w:type="dxa"/>
            <w:shd w:val="clear" w:color="auto" w:fill="F2F2F2" w:themeFill="background1" w:themeFillShade="F2"/>
          </w:tcPr>
          <w:p w14:paraId="24D24384" w14:textId="77777777" w:rsidR="004351A6" w:rsidRPr="00A77AF6" w:rsidRDefault="004351A6" w:rsidP="009D6034">
            <w:pPr>
              <w:rPr>
                <w:b/>
                <w:bCs/>
                <w:sz w:val="20"/>
                <w:szCs w:val="20"/>
              </w:rPr>
            </w:pPr>
            <w:r w:rsidRPr="00A77AF6">
              <w:rPr>
                <w:b/>
                <w:bCs/>
                <w:sz w:val="20"/>
                <w:szCs w:val="20"/>
              </w:rPr>
              <w:t>r</w:t>
            </w:r>
            <w:r w:rsidRPr="00A77AF6">
              <w:rPr>
                <w:b/>
                <w:bCs/>
                <w:sz w:val="20"/>
                <w:szCs w:val="20"/>
                <w:vertAlign w:val="superscript"/>
              </w:rPr>
              <w:t>2</w:t>
            </w:r>
          </w:p>
        </w:tc>
        <w:tc>
          <w:tcPr>
            <w:tcW w:w="1134" w:type="dxa"/>
            <w:shd w:val="clear" w:color="auto" w:fill="F2F2F2" w:themeFill="background1" w:themeFillShade="F2"/>
          </w:tcPr>
          <w:p w14:paraId="3174E83C" w14:textId="77777777" w:rsidR="004351A6" w:rsidRPr="00A77AF6" w:rsidRDefault="004351A6" w:rsidP="009D6034">
            <w:pPr>
              <w:rPr>
                <w:b/>
                <w:bCs/>
                <w:sz w:val="20"/>
                <w:szCs w:val="20"/>
              </w:rPr>
            </w:pPr>
            <w:r w:rsidRPr="00A77AF6">
              <w:rPr>
                <w:b/>
                <w:bCs/>
                <w:sz w:val="20"/>
                <w:szCs w:val="20"/>
              </w:rPr>
              <w:t>Probability (P)</w:t>
            </w:r>
          </w:p>
          <w:p w14:paraId="6CFE11FF" w14:textId="77777777" w:rsidR="004351A6" w:rsidRPr="00A77AF6" w:rsidRDefault="004351A6" w:rsidP="009D6034">
            <w:pPr>
              <w:rPr>
                <w:sz w:val="20"/>
                <w:szCs w:val="20"/>
              </w:rPr>
            </w:pPr>
          </w:p>
        </w:tc>
        <w:tc>
          <w:tcPr>
            <w:tcW w:w="1134" w:type="dxa"/>
            <w:shd w:val="clear" w:color="auto" w:fill="F2F2F2" w:themeFill="background1" w:themeFillShade="F2"/>
          </w:tcPr>
          <w:p w14:paraId="6A05596C" w14:textId="77777777" w:rsidR="004351A6" w:rsidRPr="00A77AF6" w:rsidRDefault="004351A6" w:rsidP="009D6034">
            <w:pPr>
              <w:rPr>
                <w:b/>
                <w:bCs/>
                <w:sz w:val="20"/>
                <w:szCs w:val="20"/>
              </w:rPr>
            </w:pPr>
            <w:r w:rsidRPr="00A77AF6">
              <w:rPr>
                <w:b/>
                <w:bCs/>
                <w:sz w:val="20"/>
                <w:szCs w:val="20"/>
              </w:rPr>
              <w:t>Standard deviation</w:t>
            </w:r>
          </w:p>
        </w:tc>
        <w:tc>
          <w:tcPr>
            <w:tcW w:w="1843" w:type="dxa"/>
            <w:shd w:val="clear" w:color="auto" w:fill="F2F2F2" w:themeFill="background1" w:themeFillShade="F2"/>
          </w:tcPr>
          <w:p w14:paraId="6A4472C0" w14:textId="77777777" w:rsidR="004351A6" w:rsidRPr="00A77AF6" w:rsidRDefault="004351A6" w:rsidP="009D6034">
            <w:pPr>
              <w:rPr>
                <w:b/>
                <w:bCs/>
                <w:sz w:val="20"/>
                <w:szCs w:val="20"/>
              </w:rPr>
            </w:pPr>
            <w:r w:rsidRPr="00A77AF6">
              <w:rPr>
                <w:b/>
                <w:bCs/>
                <w:sz w:val="20"/>
                <w:szCs w:val="20"/>
              </w:rPr>
              <w:t>95% CI</w:t>
            </w:r>
          </w:p>
        </w:tc>
      </w:tr>
      <w:tr w:rsidR="004351A6" w:rsidRPr="00A77AF6" w14:paraId="0B9DDF54" w14:textId="77777777" w:rsidTr="009D6034">
        <w:trPr>
          <w:trHeight w:val="73"/>
        </w:trPr>
        <w:tc>
          <w:tcPr>
            <w:tcW w:w="2110" w:type="dxa"/>
          </w:tcPr>
          <w:p w14:paraId="320D9A9E" w14:textId="5F631E83" w:rsidR="004351A6" w:rsidRPr="00A77AF6" w:rsidRDefault="004351A6" w:rsidP="009D6034">
            <w:pPr>
              <w:rPr>
                <w:rFonts w:cstheme="minorHAnsi"/>
                <w:sz w:val="20"/>
                <w:szCs w:val="20"/>
              </w:rPr>
            </w:pPr>
            <w:r w:rsidRPr="00A77AF6">
              <w:rPr>
                <w:rFonts w:cstheme="minorHAnsi"/>
                <w:sz w:val="20"/>
                <w:szCs w:val="20"/>
              </w:rPr>
              <w:t xml:space="preserve">Risk and project success </w:t>
            </w:r>
          </w:p>
          <w:p w14:paraId="4EF161EF" w14:textId="77777777" w:rsidR="004351A6" w:rsidRPr="00A77AF6" w:rsidRDefault="004351A6" w:rsidP="009D6034">
            <w:pPr>
              <w:rPr>
                <w:rFonts w:cstheme="minorHAnsi"/>
                <w:sz w:val="20"/>
                <w:szCs w:val="20"/>
              </w:rPr>
            </w:pPr>
            <w:r w:rsidRPr="00A77AF6">
              <w:rPr>
                <w:rFonts w:cstheme="minorHAnsi"/>
                <w:sz w:val="20"/>
                <w:szCs w:val="20"/>
              </w:rPr>
              <w:t>(n=51)</w:t>
            </w:r>
          </w:p>
        </w:tc>
        <w:tc>
          <w:tcPr>
            <w:tcW w:w="987" w:type="dxa"/>
          </w:tcPr>
          <w:p w14:paraId="1D46F30E" w14:textId="1516FBE0" w:rsidR="004351A6" w:rsidRPr="00A77AF6" w:rsidRDefault="004351A6" w:rsidP="009D6034">
            <w:pPr>
              <w:rPr>
                <w:rFonts w:cstheme="minorHAnsi"/>
                <w:sz w:val="20"/>
                <w:szCs w:val="20"/>
              </w:rPr>
            </w:pPr>
            <w:r w:rsidRPr="00A77AF6">
              <w:rPr>
                <w:rFonts w:cstheme="minorHAnsi"/>
                <w:sz w:val="20"/>
                <w:szCs w:val="20"/>
              </w:rPr>
              <w:t>0.195</w:t>
            </w:r>
          </w:p>
        </w:tc>
        <w:tc>
          <w:tcPr>
            <w:tcW w:w="867" w:type="dxa"/>
          </w:tcPr>
          <w:p w14:paraId="4F2DD2BB" w14:textId="3BAFCDB5" w:rsidR="004351A6" w:rsidRPr="00A77AF6" w:rsidRDefault="004351A6" w:rsidP="009D6034">
            <w:pPr>
              <w:rPr>
                <w:rFonts w:cstheme="minorHAnsi"/>
                <w:sz w:val="20"/>
                <w:szCs w:val="20"/>
              </w:rPr>
            </w:pPr>
            <w:r w:rsidRPr="00A77AF6">
              <w:rPr>
                <w:rFonts w:cstheme="minorHAnsi"/>
                <w:sz w:val="20"/>
                <w:szCs w:val="20"/>
              </w:rPr>
              <w:t>0.0379</w:t>
            </w:r>
          </w:p>
        </w:tc>
        <w:tc>
          <w:tcPr>
            <w:tcW w:w="1134" w:type="dxa"/>
          </w:tcPr>
          <w:p w14:paraId="2BFA30BE" w14:textId="34F347DC" w:rsidR="004351A6" w:rsidRPr="00A77AF6" w:rsidRDefault="0008393B" w:rsidP="009D6034">
            <w:pPr>
              <w:rPr>
                <w:rFonts w:cstheme="minorHAnsi"/>
                <w:sz w:val="20"/>
                <w:szCs w:val="20"/>
              </w:rPr>
            </w:pPr>
            <w:r w:rsidRPr="00A77AF6">
              <w:rPr>
                <w:rFonts w:cstheme="minorHAnsi"/>
                <w:sz w:val="20"/>
                <w:szCs w:val="20"/>
              </w:rPr>
              <w:t>0.913</w:t>
            </w:r>
          </w:p>
        </w:tc>
        <w:tc>
          <w:tcPr>
            <w:tcW w:w="1134" w:type="dxa"/>
            <w:shd w:val="clear" w:color="auto" w:fill="FFFFFF" w:themeFill="background1"/>
          </w:tcPr>
          <w:p w14:paraId="382CB693" w14:textId="14645B98" w:rsidR="004351A6" w:rsidRPr="00A77AF6" w:rsidRDefault="004351A6" w:rsidP="009D6034">
            <w:pPr>
              <w:rPr>
                <w:rFonts w:cstheme="minorHAnsi"/>
                <w:sz w:val="20"/>
                <w:szCs w:val="20"/>
              </w:rPr>
            </w:pPr>
            <w:r w:rsidRPr="00A77AF6">
              <w:rPr>
                <w:rFonts w:cstheme="minorHAnsi"/>
                <w:sz w:val="20"/>
                <w:szCs w:val="20"/>
              </w:rPr>
              <w:t>0.14</w:t>
            </w:r>
            <w:r w:rsidR="000934D5" w:rsidRPr="00A77AF6">
              <w:rPr>
                <w:rFonts w:cstheme="minorHAnsi"/>
                <w:sz w:val="20"/>
                <w:szCs w:val="20"/>
              </w:rPr>
              <w:t>0</w:t>
            </w:r>
          </w:p>
        </w:tc>
        <w:tc>
          <w:tcPr>
            <w:tcW w:w="1843" w:type="dxa"/>
            <w:shd w:val="clear" w:color="auto" w:fill="FFFFFF" w:themeFill="background1"/>
          </w:tcPr>
          <w:p w14:paraId="03ED4BAA" w14:textId="77777777" w:rsidR="004351A6" w:rsidRPr="00A77AF6" w:rsidRDefault="004351A6" w:rsidP="009D6034">
            <w:pPr>
              <w:rPr>
                <w:rFonts w:cstheme="minorHAnsi"/>
                <w:sz w:val="20"/>
                <w:szCs w:val="20"/>
              </w:rPr>
            </w:pPr>
            <w:r w:rsidRPr="00A77AF6">
              <w:rPr>
                <w:rFonts w:cstheme="minorHAnsi"/>
                <w:sz w:val="20"/>
                <w:szCs w:val="20"/>
              </w:rPr>
              <w:t>95% confidence that r is between</w:t>
            </w:r>
          </w:p>
          <w:p w14:paraId="2664FF2B" w14:textId="74CCF7E5" w:rsidR="004351A6" w:rsidRPr="00A77AF6" w:rsidRDefault="004351A6" w:rsidP="009D6034">
            <w:pPr>
              <w:rPr>
                <w:rFonts w:cstheme="minorHAnsi"/>
                <w:sz w:val="20"/>
                <w:szCs w:val="20"/>
              </w:rPr>
            </w:pPr>
            <w:r w:rsidRPr="00A77AF6">
              <w:rPr>
                <w:rFonts w:cstheme="minorHAnsi"/>
                <w:sz w:val="20"/>
                <w:szCs w:val="20"/>
              </w:rPr>
              <w:t>-</w:t>
            </w:r>
            <w:r w:rsidRPr="00C01568">
              <w:rPr>
                <w:rFonts w:cstheme="minorHAnsi"/>
                <w:color w:val="FF0000"/>
                <w:sz w:val="20"/>
                <w:szCs w:val="20"/>
              </w:rPr>
              <w:t>0.0</w:t>
            </w:r>
            <w:r w:rsidR="00C01568">
              <w:rPr>
                <w:rFonts w:cstheme="minorHAnsi"/>
                <w:color w:val="FF0000"/>
                <w:sz w:val="20"/>
                <w:szCs w:val="20"/>
              </w:rPr>
              <w:t>794</w:t>
            </w:r>
            <w:r w:rsidRPr="00C01568">
              <w:rPr>
                <w:rFonts w:cstheme="minorHAnsi"/>
                <w:color w:val="FF0000"/>
                <w:sz w:val="20"/>
                <w:szCs w:val="20"/>
              </w:rPr>
              <w:t xml:space="preserve"> and 0.46</w:t>
            </w:r>
            <w:r w:rsidR="00C01568">
              <w:rPr>
                <w:rFonts w:cstheme="minorHAnsi"/>
                <w:color w:val="FF0000"/>
                <w:sz w:val="20"/>
                <w:szCs w:val="20"/>
              </w:rPr>
              <w:t>9</w:t>
            </w:r>
            <w:r w:rsidRPr="00C01568">
              <w:rPr>
                <w:rFonts w:cstheme="minorHAnsi"/>
                <w:color w:val="FF0000"/>
                <w:sz w:val="20"/>
                <w:szCs w:val="20"/>
              </w:rPr>
              <w:t>4</w:t>
            </w:r>
          </w:p>
        </w:tc>
      </w:tr>
    </w:tbl>
    <w:p w14:paraId="680B9A25" w14:textId="20255D80" w:rsidR="004351A6" w:rsidRPr="00A77AF6" w:rsidRDefault="004351A6">
      <w:pPr>
        <w:rPr>
          <w:rFonts w:asciiTheme="majorHAnsi" w:eastAsiaTheme="majorEastAsia" w:hAnsiTheme="majorHAnsi" w:cstheme="majorBidi"/>
          <w:b/>
          <w:i/>
          <w:iCs/>
          <w:color w:val="000000" w:themeColor="text1"/>
        </w:rPr>
      </w:pPr>
    </w:p>
    <w:p w14:paraId="31A43EBA" w14:textId="213C3F13" w:rsidR="006B6774" w:rsidRPr="00A77AF6" w:rsidRDefault="00095155" w:rsidP="00C21A49">
      <w:pPr>
        <w:pStyle w:val="Heading4"/>
        <w:numPr>
          <w:ilvl w:val="0"/>
          <w:numId w:val="0"/>
        </w:numPr>
        <w:spacing w:after="120"/>
      </w:pPr>
      <w:r w:rsidRPr="00A77AF6">
        <w:t>Correlation of CSF and project success</w:t>
      </w:r>
    </w:p>
    <w:p w14:paraId="092963F0" w14:textId="4EAF7247" w:rsidR="0007452B" w:rsidRPr="00A77AF6" w:rsidRDefault="006B6774" w:rsidP="0049155F">
      <w:pPr>
        <w:spacing w:line="360" w:lineRule="auto"/>
      </w:pPr>
      <w:r w:rsidRPr="00A77AF6">
        <w:t xml:space="preserve">CSF </w:t>
      </w:r>
      <w:r w:rsidR="00877CD2" w:rsidRPr="00A77AF6">
        <w:t xml:space="preserve">were correlated to project success to establish if they contributed to project success.  </w:t>
      </w:r>
      <w:r w:rsidR="002F7B34" w:rsidRPr="00A77AF6">
        <w:t xml:space="preserve">The effectiveness of </w:t>
      </w:r>
      <w:r w:rsidR="0049155F" w:rsidRPr="00A77AF6">
        <w:t xml:space="preserve">CSF was </w:t>
      </w:r>
      <w:r w:rsidR="002F7B34" w:rsidRPr="00A77AF6">
        <w:t xml:space="preserve"> measured using a 6-point Likert scale</w:t>
      </w:r>
      <w:r w:rsidR="0049155F" w:rsidRPr="00A77AF6">
        <w:t xml:space="preserve"> (Table </w:t>
      </w:r>
      <w:r w:rsidR="002666C0" w:rsidRPr="00A77AF6">
        <w:t>6-43</w:t>
      </w:r>
      <w:r w:rsidR="0049155F" w:rsidRPr="00A77AF6">
        <w:t>)</w:t>
      </w:r>
      <w:r w:rsidR="002F7B34" w:rsidRPr="00A77AF6">
        <w:t>. Possible scores were:  very effective (4), quite effective (3), not very effective (2), not at all effective (1), not part of the</w:t>
      </w:r>
      <w:r w:rsidR="00BC5EE3" w:rsidRPr="00A77AF6">
        <w:t xml:space="preserve"> project</w:t>
      </w:r>
      <w:r w:rsidR="002F7B34" w:rsidRPr="00A77AF6">
        <w:t xml:space="preserve"> (0) and heard of them but don’t know their role in the project (0). This means each</w:t>
      </w:r>
      <w:r w:rsidR="00BC5EE3" w:rsidRPr="00A77AF6">
        <w:t xml:space="preserve"> CSF</w:t>
      </w:r>
      <w:r w:rsidR="002F7B34" w:rsidRPr="00A77AF6">
        <w:t xml:space="preserve"> could be given a score between 0 and 4. The range of scores for </w:t>
      </w:r>
      <w:r w:rsidR="00DB2CD1" w:rsidRPr="00A77AF6">
        <w:t>eac</w:t>
      </w:r>
      <w:r w:rsidR="0022457A" w:rsidRPr="00A77AF6">
        <w:t xml:space="preserve">h </w:t>
      </w:r>
      <w:r w:rsidR="00B85C32" w:rsidRPr="00A77AF6">
        <w:t xml:space="preserve">CSFs </w:t>
      </w:r>
      <w:r w:rsidR="002F7B34" w:rsidRPr="00A77AF6">
        <w:t xml:space="preserve">was between </w:t>
      </w:r>
      <w:r w:rsidR="00F7749F" w:rsidRPr="00A77AF6">
        <w:t>14 and</w:t>
      </w:r>
      <w:r w:rsidR="002F7B34" w:rsidRPr="00A77AF6">
        <w:t xml:space="preserve"> </w:t>
      </w:r>
      <w:r w:rsidR="00AE53E6" w:rsidRPr="00A77AF6">
        <w:t xml:space="preserve">39. </w:t>
      </w:r>
      <w:r w:rsidR="002F7B34" w:rsidRPr="00A77AF6">
        <w:t xml:space="preserve">Project success was measured using the same 6-point Likert scales that has been previously described.   </w:t>
      </w:r>
    </w:p>
    <w:p w14:paraId="3BBFFA5D" w14:textId="77777777" w:rsidR="0007452B" w:rsidRPr="00A77AF6" w:rsidRDefault="0007452B">
      <w:r w:rsidRPr="00A77AF6">
        <w:br w:type="page"/>
      </w:r>
    </w:p>
    <w:p w14:paraId="5738C438" w14:textId="461F8478" w:rsidR="00BC5EE3" w:rsidRPr="00A77AF6" w:rsidRDefault="00BC5EE3" w:rsidP="0007452B">
      <w:pPr>
        <w:pStyle w:val="Caption"/>
        <w:keepNext/>
        <w:spacing w:after="120"/>
      </w:pPr>
      <w:r w:rsidRPr="00A77AF6">
        <w:lastRenderedPageBreak/>
        <w:t xml:space="preserve">Table </w:t>
      </w:r>
      <w:fldSimple w:instr=" STYLEREF 1 \s ">
        <w:r w:rsidR="000441F7">
          <w:rPr>
            <w:noProof/>
          </w:rPr>
          <w:t>6</w:t>
        </w:r>
      </w:fldSimple>
      <w:r w:rsidR="00804112">
        <w:noBreakHyphen/>
      </w:r>
      <w:fldSimple w:instr=" SEQ Table \* ARABIC \s 1 ">
        <w:r w:rsidR="000441F7">
          <w:rPr>
            <w:noProof/>
          </w:rPr>
          <w:t>43</w:t>
        </w:r>
      </w:fldSimple>
      <w:r w:rsidRPr="00A77AF6">
        <w:t>: Critical Success Factor Likert scale</w:t>
      </w:r>
    </w:p>
    <w:tbl>
      <w:tblPr>
        <w:tblW w:w="8080" w:type="dxa"/>
        <w:tblInd w:w="-5" w:type="dxa"/>
        <w:tblLayout w:type="fixed"/>
        <w:tblLook w:val="04A0" w:firstRow="1" w:lastRow="0" w:firstColumn="1" w:lastColumn="0" w:noHBand="0" w:noVBand="1"/>
      </w:tblPr>
      <w:tblGrid>
        <w:gridCol w:w="421"/>
        <w:gridCol w:w="1280"/>
        <w:gridCol w:w="993"/>
        <w:gridCol w:w="1134"/>
        <w:gridCol w:w="992"/>
        <w:gridCol w:w="992"/>
        <w:gridCol w:w="1134"/>
        <w:gridCol w:w="1134"/>
      </w:tblGrid>
      <w:tr w:rsidR="004C5002" w:rsidRPr="00A77AF6" w14:paraId="4A63BED3" w14:textId="77777777" w:rsidTr="009D6034">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0E671B" w14:textId="77777777" w:rsidR="004C5002" w:rsidRPr="00A77AF6" w:rsidRDefault="004C5002" w:rsidP="009D6034">
            <w:pPr>
              <w:spacing w:after="0" w:line="240" w:lineRule="auto"/>
              <w:rPr>
                <w:rFonts w:cstheme="minorHAnsi"/>
                <w:sz w:val="18"/>
                <w:szCs w:val="20"/>
              </w:rPr>
            </w:pPr>
          </w:p>
        </w:tc>
        <w:tc>
          <w:tcPr>
            <w:tcW w:w="1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964ABB" w14:textId="77777777" w:rsidR="004C5002" w:rsidRPr="00A77AF6" w:rsidRDefault="004C5002" w:rsidP="009D6034">
            <w:pPr>
              <w:spacing w:after="0" w:line="240" w:lineRule="auto"/>
              <w:rPr>
                <w:rFonts w:cstheme="minorHAnsi"/>
                <w:sz w:val="18"/>
                <w:szCs w:val="20"/>
              </w:rPr>
            </w:pPr>
          </w:p>
        </w:tc>
        <w:tc>
          <w:tcPr>
            <w:tcW w:w="6379"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BDAC32"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Likert scale</w:t>
            </w:r>
          </w:p>
          <w:p w14:paraId="2583BFD9" w14:textId="77777777" w:rsidR="004C5002" w:rsidRPr="00A77AF6" w:rsidRDefault="004C5002" w:rsidP="009D6034">
            <w:pPr>
              <w:spacing w:after="0" w:line="240" w:lineRule="auto"/>
              <w:rPr>
                <w:rFonts w:cstheme="minorHAnsi"/>
                <w:sz w:val="18"/>
                <w:szCs w:val="20"/>
              </w:rPr>
            </w:pPr>
          </w:p>
        </w:tc>
      </w:tr>
      <w:tr w:rsidR="004C5002" w:rsidRPr="00A77AF6" w14:paraId="2D78EE45" w14:textId="77777777" w:rsidTr="009D6034">
        <w:tc>
          <w:tcPr>
            <w:tcW w:w="421" w:type="dxa"/>
            <w:tcBorders>
              <w:top w:val="single" w:sz="4" w:space="0" w:color="auto"/>
              <w:left w:val="single" w:sz="4" w:space="0" w:color="auto"/>
              <w:bottom w:val="single" w:sz="4" w:space="0" w:color="auto"/>
              <w:right w:val="single" w:sz="4" w:space="0" w:color="auto"/>
            </w:tcBorders>
          </w:tcPr>
          <w:p w14:paraId="6F9C7A11" w14:textId="77777777" w:rsidR="004C5002" w:rsidRPr="00A77AF6" w:rsidRDefault="004C5002" w:rsidP="009D6034">
            <w:pPr>
              <w:spacing w:after="0" w:line="240" w:lineRule="auto"/>
              <w:rPr>
                <w:rFonts w:cstheme="minorHAnsi"/>
                <w:sz w:val="18"/>
                <w:szCs w:val="20"/>
              </w:rPr>
            </w:pPr>
          </w:p>
        </w:tc>
        <w:tc>
          <w:tcPr>
            <w:tcW w:w="1280" w:type="dxa"/>
            <w:tcBorders>
              <w:top w:val="single" w:sz="4" w:space="0" w:color="auto"/>
              <w:left w:val="single" w:sz="4" w:space="0" w:color="auto"/>
              <w:bottom w:val="single" w:sz="4" w:space="0" w:color="auto"/>
              <w:right w:val="single" w:sz="4" w:space="0" w:color="auto"/>
            </w:tcBorders>
          </w:tcPr>
          <w:p w14:paraId="6103E113"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CSF</w:t>
            </w:r>
          </w:p>
        </w:tc>
        <w:tc>
          <w:tcPr>
            <w:tcW w:w="993" w:type="dxa"/>
            <w:tcBorders>
              <w:top w:val="single" w:sz="4" w:space="0" w:color="auto"/>
              <w:left w:val="single" w:sz="4" w:space="0" w:color="auto"/>
              <w:bottom w:val="single" w:sz="4" w:space="0" w:color="auto"/>
              <w:right w:val="single" w:sz="4" w:space="0" w:color="auto"/>
            </w:tcBorders>
          </w:tcPr>
          <w:p w14:paraId="6CDE7C54"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Very effective</w:t>
            </w:r>
          </w:p>
        </w:tc>
        <w:tc>
          <w:tcPr>
            <w:tcW w:w="1134" w:type="dxa"/>
            <w:tcBorders>
              <w:top w:val="single" w:sz="4" w:space="0" w:color="auto"/>
              <w:left w:val="single" w:sz="4" w:space="0" w:color="auto"/>
              <w:bottom w:val="single" w:sz="4" w:space="0" w:color="auto"/>
              <w:right w:val="single" w:sz="4" w:space="0" w:color="auto"/>
            </w:tcBorders>
          </w:tcPr>
          <w:p w14:paraId="2E5487F8"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Quite effective</w:t>
            </w:r>
          </w:p>
        </w:tc>
        <w:tc>
          <w:tcPr>
            <w:tcW w:w="992" w:type="dxa"/>
            <w:tcBorders>
              <w:top w:val="single" w:sz="4" w:space="0" w:color="auto"/>
              <w:left w:val="single" w:sz="4" w:space="0" w:color="auto"/>
              <w:bottom w:val="single" w:sz="4" w:space="0" w:color="auto"/>
              <w:right w:val="single" w:sz="4" w:space="0" w:color="auto"/>
            </w:tcBorders>
          </w:tcPr>
          <w:p w14:paraId="7BF10CD5"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Not very effective</w:t>
            </w:r>
          </w:p>
        </w:tc>
        <w:tc>
          <w:tcPr>
            <w:tcW w:w="992" w:type="dxa"/>
            <w:tcBorders>
              <w:top w:val="single" w:sz="4" w:space="0" w:color="auto"/>
              <w:left w:val="single" w:sz="4" w:space="0" w:color="auto"/>
              <w:bottom w:val="single" w:sz="4" w:space="0" w:color="auto"/>
              <w:right w:val="single" w:sz="4" w:space="0" w:color="auto"/>
            </w:tcBorders>
          </w:tcPr>
          <w:p w14:paraId="69863C1D"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Very ineffective</w:t>
            </w:r>
          </w:p>
        </w:tc>
        <w:tc>
          <w:tcPr>
            <w:tcW w:w="1134" w:type="dxa"/>
            <w:tcBorders>
              <w:top w:val="single" w:sz="4" w:space="0" w:color="auto"/>
              <w:left w:val="single" w:sz="4" w:space="0" w:color="auto"/>
              <w:bottom w:val="single" w:sz="4" w:space="0" w:color="auto"/>
              <w:right w:val="single" w:sz="4" w:space="0" w:color="auto"/>
            </w:tcBorders>
          </w:tcPr>
          <w:p w14:paraId="5DBD24BC"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Not part of the project</w:t>
            </w:r>
          </w:p>
        </w:tc>
        <w:tc>
          <w:tcPr>
            <w:tcW w:w="1134" w:type="dxa"/>
            <w:tcBorders>
              <w:top w:val="single" w:sz="4" w:space="0" w:color="auto"/>
              <w:left w:val="single" w:sz="4" w:space="0" w:color="auto"/>
              <w:bottom w:val="single" w:sz="4" w:space="0" w:color="auto"/>
              <w:right w:val="single" w:sz="4" w:space="0" w:color="auto"/>
            </w:tcBorders>
          </w:tcPr>
          <w:p w14:paraId="3C373855"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Don’t know/ can’t say</w:t>
            </w:r>
          </w:p>
        </w:tc>
      </w:tr>
      <w:tr w:rsidR="004C5002" w:rsidRPr="00A77AF6" w14:paraId="21FCED9B" w14:textId="77777777" w:rsidTr="009D6034">
        <w:trPr>
          <w:trHeight w:val="488"/>
        </w:trPr>
        <w:tc>
          <w:tcPr>
            <w:tcW w:w="421" w:type="dxa"/>
            <w:tcBorders>
              <w:top w:val="single" w:sz="4" w:space="0" w:color="auto"/>
              <w:left w:val="single" w:sz="4" w:space="0" w:color="auto"/>
              <w:bottom w:val="single" w:sz="4" w:space="0" w:color="auto"/>
              <w:right w:val="single" w:sz="4" w:space="0" w:color="auto"/>
            </w:tcBorders>
          </w:tcPr>
          <w:p w14:paraId="13599B4B"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1</w:t>
            </w:r>
          </w:p>
        </w:tc>
        <w:tc>
          <w:tcPr>
            <w:tcW w:w="1280" w:type="dxa"/>
            <w:tcBorders>
              <w:top w:val="single" w:sz="4" w:space="0" w:color="auto"/>
              <w:left w:val="single" w:sz="4" w:space="0" w:color="auto"/>
              <w:bottom w:val="single" w:sz="4" w:space="0" w:color="auto"/>
              <w:right w:val="single" w:sz="4" w:space="0" w:color="auto"/>
            </w:tcBorders>
          </w:tcPr>
          <w:p w14:paraId="6FA757FF"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Project Mission</w:t>
            </w:r>
          </w:p>
        </w:tc>
        <w:tc>
          <w:tcPr>
            <w:tcW w:w="993" w:type="dxa"/>
            <w:tcBorders>
              <w:top w:val="single" w:sz="4" w:space="0" w:color="auto"/>
              <w:left w:val="single" w:sz="4" w:space="0" w:color="auto"/>
              <w:bottom w:val="single" w:sz="4" w:space="0" w:color="auto"/>
              <w:right w:val="single" w:sz="4" w:space="0" w:color="auto"/>
            </w:tcBorders>
          </w:tcPr>
          <w:p w14:paraId="01E7C3FB"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4</w:t>
            </w:r>
          </w:p>
        </w:tc>
        <w:tc>
          <w:tcPr>
            <w:tcW w:w="1134" w:type="dxa"/>
            <w:tcBorders>
              <w:top w:val="single" w:sz="4" w:space="0" w:color="auto"/>
              <w:left w:val="single" w:sz="4" w:space="0" w:color="auto"/>
              <w:bottom w:val="single" w:sz="4" w:space="0" w:color="auto"/>
              <w:right w:val="single" w:sz="4" w:space="0" w:color="auto"/>
            </w:tcBorders>
          </w:tcPr>
          <w:p w14:paraId="33562EDB"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3</w:t>
            </w:r>
          </w:p>
        </w:tc>
        <w:tc>
          <w:tcPr>
            <w:tcW w:w="992" w:type="dxa"/>
            <w:tcBorders>
              <w:top w:val="single" w:sz="4" w:space="0" w:color="auto"/>
              <w:left w:val="single" w:sz="4" w:space="0" w:color="auto"/>
              <w:bottom w:val="single" w:sz="4" w:space="0" w:color="auto"/>
              <w:right w:val="single" w:sz="4" w:space="0" w:color="auto"/>
            </w:tcBorders>
          </w:tcPr>
          <w:p w14:paraId="0C5043A8"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2</w:t>
            </w:r>
          </w:p>
        </w:tc>
        <w:tc>
          <w:tcPr>
            <w:tcW w:w="992" w:type="dxa"/>
            <w:tcBorders>
              <w:top w:val="single" w:sz="4" w:space="0" w:color="auto"/>
              <w:left w:val="single" w:sz="4" w:space="0" w:color="auto"/>
              <w:bottom w:val="single" w:sz="4" w:space="0" w:color="auto"/>
              <w:right w:val="single" w:sz="4" w:space="0" w:color="auto"/>
            </w:tcBorders>
          </w:tcPr>
          <w:p w14:paraId="7E404212"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1</w:t>
            </w:r>
          </w:p>
        </w:tc>
        <w:tc>
          <w:tcPr>
            <w:tcW w:w="1134" w:type="dxa"/>
            <w:tcBorders>
              <w:top w:val="single" w:sz="4" w:space="0" w:color="auto"/>
              <w:left w:val="single" w:sz="4" w:space="0" w:color="auto"/>
              <w:bottom w:val="single" w:sz="4" w:space="0" w:color="auto"/>
              <w:right w:val="single" w:sz="4" w:space="0" w:color="auto"/>
            </w:tcBorders>
          </w:tcPr>
          <w:p w14:paraId="023395AB"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0</w:t>
            </w:r>
          </w:p>
        </w:tc>
        <w:tc>
          <w:tcPr>
            <w:tcW w:w="1134" w:type="dxa"/>
            <w:tcBorders>
              <w:top w:val="single" w:sz="4" w:space="0" w:color="auto"/>
              <w:left w:val="single" w:sz="4" w:space="0" w:color="auto"/>
              <w:bottom w:val="single" w:sz="4" w:space="0" w:color="auto"/>
              <w:right w:val="single" w:sz="4" w:space="0" w:color="auto"/>
            </w:tcBorders>
          </w:tcPr>
          <w:p w14:paraId="10016E9B"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0</w:t>
            </w:r>
          </w:p>
        </w:tc>
      </w:tr>
      <w:tr w:rsidR="004C5002" w:rsidRPr="00A77AF6" w14:paraId="5B31DC30" w14:textId="77777777" w:rsidTr="009D6034">
        <w:trPr>
          <w:trHeight w:val="488"/>
        </w:trPr>
        <w:tc>
          <w:tcPr>
            <w:tcW w:w="421" w:type="dxa"/>
            <w:tcBorders>
              <w:top w:val="single" w:sz="4" w:space="0" w:color="auto"/>
              <w:left w:val="single" w:sz="4" w:space="0" w:color="auto"/>
              <w:bottom w:val="single" w:sz="4" w:space="0" w:color="auto"/>
              <w:right w:val="single" w:sz="4" w:space="0" w:color="auto"/>
            </w:tcBorders>
          </w:tcPr>
          <w:p w14:paraId="7F340DC0"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2</w:t>
            </w:r>
          </w:p>
        </w:tc>
        <w:tc>
          <w:tcPr>
            <w:tcW w:w="1280" w:type="dxa"/>
            <w:tcBorders>
              <w:top w:val="single" w:sz="4" w:space="0" w:color="auto"/>
              <w:left w:val="single" w:sz="4" w:space="0" w:color="auto"/>
              <w:bottom w:val="single" w:sz="4" w:space="0" w:color="auto"/>
              <w:right w:val="single" w:sz="4" w:space="0" w:color="auto"/>
            </w:tcBorders>
          </w:tcPr>
          <w:p w14:paraId="0B0072AB"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Top Management support</w:t>
            </w:r>
          </w:p>
        </w:tc>
        <w:tc>
          <w:tcPr>
            <w:tcW w:w="993" w:type="dxa"/>
            <w:tcBorders>
              <w:top w:val="single" w:sz="4" w:space="0" w:color="auto"/>
              <w:left w:val="single" w:sz="4" w:space="0" w:color="auto"/>
              <w:bottom w:val="single" w:sz="4" w:space="0" w:color="auto"/>
              <w:right w:val="single" w:sz="4" w:space="0" w:color="auto"/>
            </w:tcBorders>
          </w:tcPr>
          <w:p w14:paraId="2B3BBD99"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4</w:t>
            </w:r>
          </w:p>
        </w:tc>
        <w:tc>
          <w:tcPr>
            <w:tcW w:w="1134" w:type="dxa"/>
            <w:tcBorders>
              <w:top w:val="single" w:sz="4" w:space="0" w:color="auto"/>
              <w:left w:val="single" w:sz="4" w:space="0" w:color="auto"/>
              <w:bottom w:val="single" w:sz="4" w:space="0" w:color="auto"/>
              <w:right w:val="single" w:sz="4" w:space="0" w:color="auto"/>
            </w:tcBorders>
          </w:tcPr>
          <w:p w14:paraId="2DE56841"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3</w:t>
            </w:r>
          </w:p>
        </w:tc>
        <w:tc>
          <w:tcPr>
            <w:tcW w:w="992" w:type="dxa"/>
            <w:tcBorders>
              <w:top w:val="single" w:sz="4" w:space="0" w:color="auto"/>
              <w:left w:val="single" w:sz="4" w:space="0" w:color="auto"/>
              <w:bottom w:val="single" w:sz="4" w:space="0" w:color="auto"/>
              <w:right w:val="single" w:sz="4" w:space="0" w:color="auto"/>
            </w:tcBorders>
          </w:tcPr>
          <w:p w14:paraId="54DD5F00"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2</w:t>
            </w:r>
          </w:p>
        </w:tc>
        <w:tc>
          <w:tcPr>
            <w:tcW w:w="992" w:type="dxa"/>
            <w:tcBorders>
              <w:top w:val="single" w:sz="4" w:space="0" w:color="auto"/>
              <w:left w:val="single" w:sz="4" w:space="0" w:color="auto"/>
              <w:bottom w:val="single" w:sz="4" w:space="0" w:color="auto"/>
              <w:right w:val="single" w:sz="4" w:space="0" w:color="auto"/>
            </w:tcBorders>
          </w:tcPr>
          <w:p w14:paraId="4B927797"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1</w:t>
            </w:r>
          </w:p>
        </w:tc>
        <w:tc>
          <w:tcPr>
            <w:tcW w:w="1134" w:type="dxa"/>
            <w:tcBorders>
              <w:top w:val="single" w:sz="4" w:space="0" w:color="auto"/>
              <w:left w:val="single" w:sz="4" w:space="0" w:color="auto"/>
              <w:bottom w:val="single" w:sz="4" w:space="0" w:color="auto"/>
              <w:right w:val="single" w:sz="4" w:space="0" w:color="auto"/>
            </w:tcBorders>
          </w:tcPr>
          <w:p w14:paraId="4D02A79C"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0</w:t>
            </w:r>
          </w:p>
        </w:tc>
        <w:tc>
          <w:tcPr>
            <w:tcW w:w="1134" w:type="dxa"/>
            <w:tcBorders>
              <w:top w:val="single" w:sz="4" w:space="0" w:color="auto"/>
              <w:left w:val="single" w:sz="4" w:space="0" w:color="auto"/>
              <w:bottom w:val="single" w:sz="4" w:space="0" w:color="auto"/>
              <w:right w:val="single" w:sz="4" w:space="0" w:color="auto"/>
            </w:tcBorders>
          </w:tcPr>
          <w:p w14:paraId="79E4D7A5"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0</w:t>
            </w:r>
          </w:p>
        </w:tc>
      </w:tr>
      <w:tr w:rsidR="004C5002" w:rsidRPr="00A77AF6" w14:paraId="18D09D23" w14:textId="77777777" w:rsidTr="009D6034">
        <w:trPr>
          <w:trHeight w:val="488"/>
        </w:trPr>
        <w:tc>
          <w:tcPr>
            <w:tcW w:w="421" w:type="dxa"/>
            <w:tcBorders>
              <w:top w:val="single" w:sz="4" w:space="0" w:color="auto"/>
              <w:left w:val="single" w:sz="4" w:space="0" w:color="auto"/>
              <w:bottom w:val="single" w:sz="4" w:space="0" w:color="auto"/>
              <w:right w:val="single" w:sz="4" w:space="0" w:color="auto"/>
            </w:tcBorders>
          </w:tcPr>
          <w:p w14:paraId="22D8F209"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3</w:t>
            </w:r>
          </w:p>
        </w:tc>
        <w:tc>
          <w:tcPr>
            <w:tcW w:w="1280" w:type="dxa"/>
            <w:tcBorders>
              <w:top w:val="single" w:sz="4" w:space="0" w:color="auto"/>
              <w:left w:val="single" w:sz="4" w:space="0" w:color="auto"/>
              <w:bottom w:val="single" w:sz="4" w:space="0" w:color="auto"/>
              <w:right w:val="single" w:sz="4" w:space="0" w:color="auto"/>
            </w:tcBorders>
          </w:tcPr>
          <w:p w14:paraId="77C9F984"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Project schedules</w:t>
            </w:r>
          </w:p>
        </w:tc>
        <w:tc>
          <w:tcPr>
            <w:tcW w:w="993" w:type="dxa"/>
            <w:tcBorders>
              <w:top w:val="single" w:sz="4" w:space="0" w:color="auto"/>
              <w:left w:val="single" w:sz="4" w:space="0" w:color="auto"/>
              <w:bottom w:val="single" w:sz="4" w:space="0" w:color="auto"/>
              <w:right w:val="single" w:sz="4" w:space="0" w:color="auto"/>
            </w:tcBorders>
          </w:tcPr>
          <w:p w14:paraId="1A762A47"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4</w:t>
            </w:r>
          </w:p>
        </w:tc>
        <w:tc>
          <w:tcPr>
            <w:tcW w:w="1134" w:type="dxa"/>
            <w:tcBorders>
              <w:top w:val="single" w:sz="4" w:space="0" w:color="auto"/>
              <w:left w:val="single" w:sz="4" w:space="0" w:color="auto"/>
              <w:bottom w:val="single" w:sz="4" w:space="0" w:color="auto"/>
              <w:right w:val="single" w:sz="4" w:space="0" w:color="auto"/>
            </w:tcBorders>
          </w:tcPr>
          <w:p w14:paraId="424099DE"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3</w:t>
            </w:r>
          </w:p>
        </w:tc>
        <w:tc>
          <w:tcPr>
            <w:tcW w:w="992" w:type="dxa"/>
            <w:tcBorders>
              <w:top w:val="single" w:sz="4" w:space="0" w:color="auto"/>
              <w:left w:val="single" w:sz="4" w:space="0" w:color="auto"/>
              <w:bottom w:val="single" w:sz="4" w:space="0" w:color="auto"/>
              <w:right w:val="single" w:sz="4" w:space="0" w:color="auto"/>
            </w:tcBorders>
          </w:tcPr>
          <w:p w14:paraId="435BBCB4"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2</w:t>
            </w:r>
          </w:p>
        </w:tc>
        <w:tc>
          <w:tcPr>
            <w:tcW w:w="992" w:type="dxa"/>
            <w:tcBorders>
              <w:top w:val="single" w:sz="4" w:space="0" w:color="auto"/>
              <w:left w:val="single" w:sz="4" w:space="0" w:color="auto"/>
              <w:bottom w:val="single" w:sz="4" w:space="0" w:color="auto"/>
              <w:right w:val="single" w:sz="4" w:space="0" w:color="auto"/>
            </w:tcBorders>
          </w:tcPr>
          <w:p w14:paraId="3163242D"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1</w:t>
            </w:r>
          </w:p>
        </w:tc>
        <w:tc>
          <w:tcPr>
            <w:tcW w:w="1134" w:type="dxa"/>
            <w:tcBorders>
              <w:top w:val="single" w:sz="4" w:space="0" w:color="auto"/>
              <w:left w:val="single" w:sz="4" w:space="0" w:color="auto"/>
              <w:bottom w:val="single" w:sz="4" w:space="0" w:color="auto"/>
              <w:right w:val="single" w:sz="4" w:space="0" w:color="auto"/>
            </w:tcBorders>
          </w:tcPr>
          <w:p w14:paraId="436FA392"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0</w:t>
            </w:r>
          </w:p>
        </w:tc>
        <w:tc>
          <w:tcPr>
            <w:tcW w:w="1134" w:type="dxa"/>
            <w:tcBorders>
              <w:top w:val="single" w:sz="4" w:space="0" w:color="auto"/>
              <w:left w:val="single" w:sz="4" w:space="0" w:color="auto"/>
              <w:bottom w:val="single" w:sz="4" w:space="0" w:color="auto"/>
              <w:right w:val="single" w:sz="4" w:space="0" w:color="auto"/>
            </w:tcBorders>
          </w:tcPr>
          <w:p w14:paraId="2CE2EDFC"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0</w:t>
            </w:r>
          </w:p>
        </w:tc>
      </w:tr>
      <w:tr w:rsidR="004C5002" w:rsidRPr="00A77AF6" w14:paraId="2816EDD4" w14:textId="77777777" w:rsidTr="009D6034">
        <w:trPr>
          <w:trHeight w:val="488"/>
        </w:trPr>
        <w:tc>
          <w:tcPr>
            <w:tcW w:w="421" w:type="dxa"/>
            <w:tcBorders>
              <w:top w:val="single" w:sz="4" w:space="0" w:color="auto"/>
              <w:left w:val="single" w:sz="4" w:space="0" w:color="auto"/>
              <w:bottom w:val="single" w:sz="4" w:space="0" w:color="auto"/>
              <w:right w:val="single" w:sz="4" w:space="0" w:color="auto"/>
            </w:tcBorders>
          </w:tcPr>
          <w:p w14:paraId="16291139"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4</w:t>
            </w:r>
          </w:p>
        </w:tc>
        <w:tc>
          <w:tcPr>
            <w:tcW w:w="1280" w:type="dxa"/>
            <w:tcBorders>
              <w:top w:val="single" w:sz="4" w:space="0" w:color="auto"/>
              <w:left w:val="single" w:sz="4" w:space="0" w:color="auto"/>
              <w:bottom w:val="single" w:sz="4" w:space="0" w:color="auto"/>
              <w:right w:val="single" w:sz="4" w:space="0" w:color="auto"/>
            </w:tcBorders>
          </w:tcPr>
          <w:p w14:paraId="40867273"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Client consultation</w:t>
            </w:r>
          </w:p>
        </w:tc>
        <w:tc>
          <w:tcPr>
            <w:tcW w:w="993" w:type="dxa"/>
            <w:tcBorders>
              <w:top w:val="single" w:sz="4" w:space="0" w:color="auto"/>
              <w:left w:val="single" w:sz="4" w:space="0" w:color="auto"/>
              <w:bottom w:val="single" w:sz="4" w:space="0" w:color="auto"/>
              <w:right w:val="single" w:sz="4" w:space="0" w:color="auto"/>
            </w:tcBorders>
          </w:tcPr>
          <w:p w14:paraId="00E18F35"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4</w:t>
            </w:r>
          </w:p>
        </w:tc>
        <w:tc>
          <w:tcPr>
            <w:tcW w:w="1134" w:type="dxa"/>
            <w:tcBorders>
              <w:top w:val="single" w:sz="4" w:space="0" w:color="auto"/>
              <w:left w:val="single" w:sz="4" w:space="0" w:color="auto"/>
              <w:bottom w:val="single" w:sz="4" w:space="0" w:color="auto"/>
              <w:right w:val="single" w:sz="4" w:space="0" w:color="auto"/>
            </w:tcBorders>
          </w:tcPr>
          <w:p w14:paraId="683F872B"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3</w:t>
            </w:r>
          </w:p>
        </w:tc>
        <w:tc>
          <w:tcPr>
            <w:tcW w:w="992" w:type="dxa"/>
            <w:tcBorders>
              <w:top w:val="single" w:sz="4" w:space="0" w:color="auto"/>
              <w:left w:val="single" w:sz="4" w:space="0" w:color="auto"/>
              <w:bottom w:val="single" w:sz="4" w:space="0" w:color="auto"/>
              <w:right w:val="single" w:sz="4" w:space="0" w:color="auto"/>
            </w:tcBorders>
          </w:tcPr>
          <w:p w14:paraId="68316F2F"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2</w:t>
            </w:r>
          </w:p>
        </w:tc>
        <w:tc>
          <w:tcPr>
            <w:tcW w:w="992" w:type="dxa"/>
            <w:tcBorders>
              <w:top w:val="single" w:sz="4" w:space="0" w:color="auto"/>
              <w:left w:val="single" w:sz="4" w:space="0" w:color="auto"/>
              <w:bottom w:val="single" w:sz="4" w:space="0" w:color="auto"/>
              <w:right w:val="single" w:sz="4" w:space="0" w:color="auto"/>
            </w:tcBorders>
          </w:tcPr>
          <w:p w14:paraId="4B835F53"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1</w:t>
            </w:r>
          </w:p>
        </w:tc>
        <w:tc>
          <w:tcPr>
            <w:tcW w:w="1134" w:type="dxa"/>
            <w:tcBorders>
              <w:top w:val="single" w:sz="4" w:space="0" w:color="auto"/>
              <w:left w:val="single" w:sz="4" w:space="0" w:color="auto"/>
              <w:bottom w:val="single" w:sz="4" w:space="0" w:color="auto"/>
              <w:right w:val="single" w:sz="4" w:space="0" w:color="auto"/>
            </w:tcBorders>
          </w:tcPr>
          <w:p w14:paraId="09ECD9A8"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0</w:t>
            </w:r>
          </w:p>
        </w:tc>
        <w:tc>
          <w:tcPr>
            <w:tcW w:w="1134" w:type="dxa"/>
            <w:tcBorders>
              <w:top w:val="single" w:sz="4" w:space="0" w:color="auto"/>
              <w:left w:val="single" w:sz="4" w:space="0" w:color="auto"/>
              <w:bottom w:val="single" w:sz="4" w:space="0" w:color="auto"/>
              <w:right w:val="single" w:sz="4" w:space="0" w:color="auto"/>
            </w:tcBorders>
          </w:tcPr>
          <w:p w14:paraId="5E66C816"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0</w:t>
            </w:r>
          </w:p>
        </w:tc>
      </w:tr>
      <w:tr w:rsidR="004C5002" w:rsidRPr="00A77AF6" w14:paraId="3FFC5CAE" w14:textId="77777777" w:rsidTr="009D6034">
        <w:trPr>
          <w:trHeight w:val="488"/>
        </w:trPr>
        <w:tc>
          <w:tcPr>
            <w:tcW w:w="421" w:type="dxa"/>
            <w:tcBorders>
              <w:top w:val="single" w:sz="4" w:space="0" w:color="auto"/>
              <w:left w:val="single" w:sz="4" w:space="0" w:color="auto"/>
              <w:bottom w:val="single" w:sz="4" w:space="0" w:color="auto"/>
              <w:right w:val="single" w:sz="4" w:space="0" w:color="auto"/>
            </w:tcBorders>
          </w:tcPr>
          <w:p w14:paraId="12AE9ED5"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5</w:t>
            </w:r>
          </w:p>
        </w:tc>
        <w:tc>
          <w:tcPr>
            <w:tcW w:w="1280" w:type="dxa"/>
            <w:tcBorders>
              <w:top w:val="single" w:sz="4" w:space="0" w:color="auto"/>
              <w:left w:val="single" w:sz="4" w:space="0" w:color="auto"/>
              <w:bottom w:val="single" w:sz="4" w:space="0" w:color="auto"/>
              <w:right w:val="single" w:sz="4" w:space="0" w:color="auto"/>
            </w:tcBorders>
          </w:tcPr>
          <w:p w14:paraId="5010096D"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 xml:space="preserve">Personnel </w:t>
            </w:r>
          </w:p>
        </w:tc>
        <w:tc>
          <w:tcPr>
            <w:tcW w:w="993" w:type="dxa"/>
            <w:tcBorders>
              <w:top w:val="single" w:sz="4" w:space="0" w:color="auto"/>
              <w:left w:val="single" w:sz="4" w:space="0" w:color="auto"/>
              <w:bottom w:val="single" w:sz="4" w:space="0" w:color="auto"/>
              <w:right w:val="single" w:sz="4" w:space="0" w:color="auto"/>
            </w:tcBorders>
          </w:tcPr>
          <w:p w14:paraId="12466F58"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4</w:t>
            </w:r>
          </w:p>
        </w:tc>
        <w:tc>
          <w:tcPr>
            <w:tcW w:w="1134" w:type="dxa"/>
            <w:tcBorders>
              <w:top w:val="single" w:sz="4" w:space="0" w:color="auto"/>
              <w:left w:val="single" w:sz="4" w:space="0" w:color="auto"/>
              <w:bottom w:val="single" w:sz="4" w:space="0" w:color="auto"/>
              <w:right w:val="single" w:sz="4" w:space="0" w:color="auto"/>
            </w:tcBorders>
          </w:tcPr>
          <w:p w14:paraId="332A4728"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3</w:t>
            </w:r>
          </w:p>
        </w:tc>
        <w:tc>
          <w:tcPr>
            <w:tcW w:w="992" w:type="dxa"/>
            <w:tcBorders>
              <w:top w:val="single" w:sz="4" w:space="0" w:color="auto"/>
              <w:left w:val="single" w:sz="4" w:space="0" w:color="auto"/>
              <w:bottom w:val="single" w:sz="4" w:space="0" w:color="auto"/>
              <w:right w:val="single" w:sz="4" w:space="0" w:color="auto"/>
            </w:tcBorders>
          </w:tcPr>
          <w:p w14:paraId="77F8883E"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2</w:t>
            </w:r>
          </w:p>
        </w:tc>
        <w:tc>
          <w:tcPr>
            <w:tcW w:w="992" w:type="dxa"/>
            <w:tcBorders>
              <w:top w:val="single" w:sz="4" w:space="0" w:color="auto"/>
              <w:left w:val="single" w:sz="4" w:space="0" w:color="auto"/>
              <w:bottom w:val="single" w:sz="4" w:space="0" w:color="auto"/>
              <w:right w:val="single" w:sz="4" w:space="0" w:color="auto"/>
            </w:tcBorders>
          </w:tcPr>
          <w:p w14:paraId="148FB401"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1</w:t>
            </w:r>
          </w:p>
        </w:tc>
        <w:tc>
          <w:tcPr>
            <w:tcW w:w="1134" w:type="dxa"/>
            <w:tcBorders>
              <w:top w:val="single" w:sz="4" w:space="0" w:color="auto"/>
              <w:left w:val="single" w:sz="4" w:space="0" w:color="auto"/>
              <w:bottom w:val="single" w:sz="4" w:space="0" w:color="auto"/>
              <w:right w:val="single" w:sz="4" w:space="0" w:color="auto"/>
            </w:tcBorders>
          </w:tcPr>
          <w:p w14:paraId="67F9390B"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0</w:t>
            </w:r>
          </w:p>
        </w:tc>
        <w:tc>
          <w:tcPr>
            <w:tcW w:w="1134" w:type="dxa"/>
            <w:tcBorders>
              <w:top w:val="single" w:sz="4" w:space="0" w:color="auto"/>
              <w:left w:val="single" w:sz="4" w:space="0" w:color="auto"/>
              <w:bottom w:val="single" w:sz="4" w:space="0" w:color="auto"/>
              <w:right w:val="single" w:sz="4" w:space="0" w:color="auto"/>
            </w:tcBorders>
          </w:tcPr>
          <w:p w14:paraId="5F0E3B0D"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0</w:t>
            </w:r>
          </w:p>
        </w:tc>
      </w:tr>
      <w:tr w:rsidR="004C5002" w:rsidRPr="00A77AF6" w14:paraId="752079EE" w14:textId="77777777" w:rsidTr="009D6034">
        <w:trPr>
          <w:trHeight w:val="488"/>
        </w:trPr>
        <w:tc>
          <w:tcPr>
            <w:tcW w:w="421" w:type="dxa"/>
            <w:tcBorders>
              <w:top w:val="single" w:sz="4" w:space="0" w:color="auto"/>
              <w:left w:val="single" w:sz="4" w:space="0" w:color="auto"/>
              <w:bottom w:val="single" w:sz="4" w:space="0" w:color="auto"/>
              <w:right w:val="single" w:sz="4" w:space="0" w:color="auto"/>
            </w:tcBorders>
          </w:tcPr>
          <w:p w14:paraId="4F7C5BD2" w14:textId="77777777" w:rsidR="004C5002" w:rsidRPr="00A77AF6" w:rsidRDefault="004C5002" w:rsidP="009D6034">
            <w:pPr>
              <w:spacing w:after="0" w:line="240" w:lineRule="auto"/>
              <w:rPr>
                <w:rFonts w:cstheme="minorHAnsi"/>
                <w:sz w:val="18"/>
                <w:szCs w:val="20"/>
              </w:rPr>
            </w:pPr>
          </w:p>
        </w:tc>
        <w:tc>
          <w:tcPr>
            <w:tcW w:w="1280" w:type="dxa"/>
            <w:tcBorders>
              <w:top w:val="single" w:sz="4" w:space="0" w:color="auto"/>
              <w:left w:val="single" w:sz="4" w:space="0" w:color="auto"/>
              <w:bottom w:val="single" w:sz="4" w:space="0" w:color="auto"/>
              <w:right w:val="single" w:sz="4" w:space="0" w:color="auto"/>
            </w:tcBorders>
          </w:tcPr>
          <w:p w14:paraId="70DB749B"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Technical tasks</w:t>
            </w:r>
          </w:p>
        </w:tc>
        <w:tc>
          <w:tcPr>
            <w:tcW w:w="993" w:type="dxa"/>
            <w:tcBorders>
              <w:top w:val="single" w:sz="4" w:space="0" w:color="auto"/>
              <w:left w:val="single" w:sz="4" w:space="0" w:color="auto"/>
              <w:bottom w:val="single" w:sz="4" w:space="0" w:color="auto"/>
              <w:right w:val="single" w:sz="4" w:space="0" w:color="auto"/>
            </w:tcBorders>
          </w:tcPr>
          <w:p w14:paraId="2E155F09"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4</w:t>
            </w:r>
          </w:p>
        </w:tc>
        <w:tc>
          <w:tcPr>
            <w:tcW w:w="1134" w:type="dxa"/>
            <w:tcBorders>
              <w:top w:val="single" w:sz="4" w:space="0" w:color="auto"/>
              <w:left w:val="single" w:sz="4" w:space="0" w:color="auto"/>
              <w:bottom w:val="single" w:sz="4" w:space="0" w:color="auto"/>
              <w:right w:val="single" w:sz="4" w:space="0" w:color="auto"/>
            </w:tcBorders>
          </w:tcPr>
          <w:p w14:paraId="04EBB883"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3</w:t>
            </w:r>
          </w:p>
        </w:tc>
        <w:tc>
          <w:tcPr>
            <w:tcW w:w="992" w:type="dxa"/>
            <w:tcBorders>
              <w:top w:val="single" w:sz="4" w:space="0" w:color="auto"/>
              <w:left w:val="single" w:sz="4" w:space="0" w:color="auto"/>
              <w:bottom w:val="single" w:sz="4" w:space="0" w:color="auto"/>
              <w:right w:val="single" w:sz="4" w:space="0" w:color="auto"/>
            </w:tcBorders>
          </w:tcPr>
          <w:p w14:paraId="62121DB4"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2</w:t>
            </w:r>
          </w:p>
        </w:tc>
        <w:tc>
          <w:tcPr>
            <w:tcW w:w="992" w:type="dxa"/>
            <w:tcBorders>
              <w:top w:val="single" w:sz="4" w:space="0" w:color="auto"/>
              <w:left w:val="single" w:sz="4" w:space="0" w:color="auto"/>
              <w:bottom w:val="single" w:sz="4" w:space="0" w:color="auto"/>
              <w:right w:val="single" w:sz="4" w:space="0" w:color="auto"/>
            </w:tcBorders>
          </w:tcPr>
          <w:p w14:paraId="6C0A715B"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1</w:t>
            </w:r>
          </w:p>
        </w:tc>
        <w:tc>
          <w:tcPr>
            <w:tcW w:w="1134" w:type="dxa"/>
            <w:tcBorders>
              <w:top w:val="single" w:sz="4" w:space="0" w:color="auto"/>
              <w:left w:val="single" w:sz="4" w:space="0" w:color="auto"/>
              <w:bottom w:val="single" w:sz="4" w:space="0" w:color="auto"/>
              <w:right w:val="single" w:sz="4" w:space="0" w:color="auto"/>
            </w:tcBorders>
          </w:tcPr>
          <w:p w14:paraId="67ABB0A2"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0</w:t>
            </w:r>
          </w:p>
        </w:tc>
        <w:tc>
          <w:tcPr>
            <w:tcW w:w="1134" w:type="dxa"/>
            <w:tcBorders>
              <w:top w:val="single" w:sz="4" w:space="0" w:color="auto"/>
              <w:left w:val="single" w:sz="4" w:space="0" w:color="auto"/>
              <w:bottom w:val="single" w:sz="4" w:space="0" w:color="auto"/>
              <w:right w:val="single" w:sz="4" w:space="0" w:color="auto"/>
            </w:tcBorders>
          </w:tcPr>
          <w:p w14:paraId="40A42B5E"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0</w:t>
            </w:r>
          </w:p>
        </w:tc>
      </w:tr>
      <w:tr w:rsidR="004C5002" w:rsidRPr="00A77AF6" w14:paraId="556A59B2" w14:textId="77777777" w:rsidTr="009D6034">
        <w:trPr>
          <w:trHeight w:val="489"/>
        </w:trPr>
        <w:tc>
          <w:tcPr>
            <w:tcW w:w="421" w:type="dxa"/>
            <w:tcBorders>
              <w:top w:val="single" w:sz="4" w:space="0" w:color="auto"/>
              <w:left w:val="single" w:sz="4" w:space="0" w:color="auto"/>
              <w:bottom w:val="single" w:sz="4" w:space="0" w:color="auto"/>
              <w:right w:val="single" w:sz="4" w:space="0" w:color="auto"/>
            </w:tcBorders>
          </w:tcPr>
          <w:p w14:paraId="79F295EB"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7</w:t>
            </w:r>
          </w:p>
        </w:tc>
        <w:tc>
          <w:tcPr>
            <w:tcW w:w="1280" w:type="dxa"/>
            <w:tcBorders>
              <w:top w:val="single" w:sz="4" w:space="0" w:color="auto"/>
              <w:left w:val="single" w:sz="4" w:space="0" w:color="auto"/>
              <w:bottom w:val="single" w:sz="4" w:space="0" w:color="auto"/>
              <w:right w:val="single" w:sz="4" w:space="0" w:color="auto"/>
            </w:tcBorders>
          </w:tcPr>
          <w:p w14:paraId="6A6E5F51"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Client acceptance</w:t>
            </w:r>
          </w:p>
        </w:tc>
        <w:tc>
          <w:tcPr>
            <w:tcW w:w="993" w:type="dxa"/>
            <w:tcBorders>
              <w:top w:val="single" w:sz="4" w:space="0" w:color="auto"/>
              <w:left w:val="single" w:sz="4" w:space="0" w:color="auto"/>
              <w:bottom w:val="single" w:sz="4" w:space="0" w:color="auto"/>
              <w:right w:val="single" w:sz="4" w:space="0" w:color="auto"/>
            </w:tcBorders>
          </w:tcPr>
          <w:p w14:paraId="274B8583"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4</w:t>
            </w:r>
          </w:p>
        </w:tc>
        <w:tc>
          <w:tcPr>
            <w:tcW w:w="1134" w:type="dxa"/>
            <w:tcBorders>
              <w:top w:val="single" w:sz="4" w:space="0" w:color="auto"/>
              <w:left w:val="single" w:sz="4" w:space="0" w:color="auto"/>
              <w:bottom w:val="single" w:sz="4" w:space="0" w:color="auto"/>
              <w:right w:val="single" w:sz="4" w:space="0" w:color="auto"/>
            </w:tcBorders>
          </w:tcPr>
          <w:p w14:paraId="174DB953"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3</w:t>
            </w:r>
          </w:p>
        </w:tc>
        <w:tc>
          <w:tcPr>
            <w:tcW w:w="992" w:type="dxa"/>
            <w:tcBorders>
              <w:top w:val="single" w:sz="4" w:space="0" w:color="auto"/>
              <w:left w:val="single" w:sz="4" w:space="0" w:color="auto"/>
              <w:bottom w:val="single" w:sz="4" w:space="0" w:color="auto"/>
              <w:right w:val="single" w:sz="4" w:space="0" w:color="auto"/>
            </w:tcBorders>
          </w:tcPr>
          <w:p w14:paraId="1BCB6A9D"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2</w:t>
            </w:r>
          </w:p>
        </w:tc>
        <w:tc>
          <w:tcPr>
            <w:tcW w:w="992" w:type="dxa"/>
            <w:tcBorders>
              <w:top w:val="single" w:sz="4" w:space="0" w:color="auto"/>
              <w:left w:val="single" w:sz="4" w:space="0" w:color="auto"/>
              <w:bottom w:val="single" w:sz="4" w:space="0" w:color="auto"/>
              <w:right w:val="single" w:sz="4" w:space="0" w:color="auto"/>
            </w:tcBorders>
          </w:tcPr>
          <w:p w14:paraId="65C5CB1F"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1</w:t>
            </w:r>
          </w:p>
        </w:tc>
        <w:tc>
          <w:tcPr>
            <w:tcW w:w="1134" w:type="dxa"/>
            <w:tcBorders>
              <w:top w:val="single" w:sz="4" w:space="0" w:color="auto"/>
              <w:left w:val="single" w:sz="4" w:space="0" w:color="auto"/>
              <w:bottom w:val="single" w:sz="4" w:space="0" w:color="auto"/>
              <w:right w:val="single" w:sz="4" w:space="0" w:color="auto"/>
            </w:tcBorders>
          </w:tcPr>
          <w:p w14:paraId="700E460A"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0</w:t>
            </w:r>
          </w:p>
        </w:tc>
        <w:tc>
          <w:tcPr>
            <w:tcW w:w="1134" w:type="dxa"/>
            <w:tcBorders>
              <w:top w:val="single" w:sz="4" w:space="0" w:color="auto"/>
              <w:left w:val="single" w:sz="4" w:space="0" w:color="auto"/>
              <w:bottom w:val="single" w:sz="4" w:space="0" w:color="auto"/>
              <w:right w:val="single" w:sz="4" w:space="0" w:color="auto"/>
            </w:tcBorders>
          </w:tcPr>
          <w:p w14:paraId="6EA1EF68"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0</w:t>
            </w:r>
          </w:p>
        </w:tc>
      </w:tr>
      <w:tr w:rsidR="004C5002" w:rsidRPr="00A77AF6" w14:paraId="689CACD8" w14:textId="77777777" w:rsidTr="009D6034">
        <w:trPr>
          <w:trHeight w:val="489"/>
        </w:trPr>
        <w:tc>
          <w:tcPr>
            <w:tcW w:w="421" w:type="dxa"/>
            <w:tcBorders>
              <w:top w:val="single" w:sz="4" w:space="0" w:color="auto"/>
              <w:left w:val="single" w:sz="4" w:space="0" w:color="auto"/>
              <w:bottom w:val="single" w:sz="4" w:space="0" w:color="auto"/>
              <w:right w:val="single" w:sz="4" w:space="0" w:color="auto"/>
            </w:tcBorders>
          </w:tcPr>
          <w:p w14:paraId="6BFFF7AC"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8</w:t>
            </w:r>
          </w:p>
        </w:tc>
        <w:tc>
          <w:tcPr>
            <w:tcW w:w="1280" w:type="dxa"/>
            <w:tcBorders>
              <w:top w:val="single" w:sz="4" w:space="0" w:color="auto"/>
              <w:left w:val="single" w:sz="4" w:space="0" w:color="auto"/>
              <w:bottom w:val="single" w:sz="4" w:space="0" w:color="auto"/>
              <w:right w:val="single" w:sz="4" w:space="0" w:color="auto"/>
            </w:tcBorders>
          </w:tcPr>
          <w:p w14:paraId="55CD84E8"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Monitoring and feedback</w:t>
            </w:r>
          </w:p>
        </w:tc>
        <w:tc>
          <w:tcPr>
            <w:tcW w:w="993" w:type="dxa"/>
            <w:tcBorders>
              <w:top w:val="single" w:sz="4" w:space="0" w:color="auto"/>
              <w:left w:val="single" w:sz="4" w:space="0" w:color="auto"/>
              <w:bottom w:val="single" w:sz="4" w:space="0" w:color="auto"/>
              <w:right w:val="single" w:sz="4" w:space="0" w:color="auto"/>
            </w:tcBorders>
          </w:tcPr>
          <w:p w14:paraId="4870A933"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4</w:t>
            </w:r>
          </w:p>
        </w:tc>
        <w:tc>
          <w:tcPr>
            <w:tcW w:w="1134" w:type="dxa"/>
            <w:tcBorders>
              <w:top w:val="single" w:sz="4" w:space="0" w:color="auto"/>
              <w:left w:val="single" w:sz="4" w:space="0" w:color="auto"/>
              <w:bottom w:val="single" w:sz="4" w:space="0" w:color="auto"/>
              <w:right w:val="single" w:sz="4" w:space="0" w:color="auto"/>
            </w:tcBorders>
          </w:tcPr>
          <w:p w14:paraId="2517D91A"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3</w:t>
            </w:r>
          </w:p>
        </w:tc>
        <w:tc>
          <w:tcPr>
            <w:tcW w:w="992" w:type="dxa"/>
            <w:tcBorders>
              <w:top w:val="single" w:sz="4" w:space="0" w:color="auto"/>
              <w:left w:val="single" w:sz="4" w:space="0" w:color="auto"/>
              <w:bottom w:val="single" w:sz="4" w:space="0" w:color="auto"/>
              <w:right w:val="single" w:sz="4" w:space="0" w:color="auto"/>
            </w:tcBorders>
          </w:tcPr>
          <w:p w14:paraId="1EF0908A"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2</w:t>
            </w:r>
          </w:p>
        </w:tc>
        <w:tc>
          <w:tcPr>
            <w:tcW w:w="992" w:type="dxa"/>
            <w:tcBorders>
              <w:top w:val="single" w:sz="4" w:space="0" w:color="auto"/>
              <w:left w:val="single" w:sz="4" w:space="0" w:color="auto"/>
              <w:bottom w:val="single" w:sz="4" w:space="0" w:color="auto"/>
              <w:right w:val="single" w:sz="4" w:space="0" w:color="auto"/>
            </w:tcBorders>
          </w:tcPr>
          <w:p w14:paraId="0DE5CCA9"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1</w:t>
            </w:r>
          </w:p>
        </w:tc>
        <w:tc>
          <w:tcPr>
            <w:tcW w:w="1134" w:type="dxa"/>
            <w:tcBorders>
              <w:top w:val="single" w:sz="4" w:space="0" w:color="auto"/>
              <w:left w:val="single" w:sz="4" w:space="0" w:color="auto"/>
              <w:bottom w:val="single" w:sz="4" w:space="0" w:color="auto"/>
              <w:right w:val="single" w:sz="4" w:space="0" w:color="auto"/>
            </w:tcBorders>
          </w:tcPr>
          <w:p w14:paraId="43E930A8"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0</w:t>
            </w:r>
          </w:p>
        </w:tc>
        <w:tc>
          <w:tcPr>
            <w:tcW w:w="1134" w:type="dxa"/>
            <w:tcBorders>
              <w:top w:val="single" w:sz="4" w:space="0" w:color="auto"/>
              <w:left w:val="single" w:sz="4" w:space="0" w:color="auto"/>
              <w:bottom w:val="single" w:sz="4" w:space="0" w:color="auto"/>
              <w:right w:val="single" w:sz="4" w:space="0" w:color="auto"/>
            </w:tcBorders>
          </w:tcPr>
          <w:p w14:paraId="63FC7EE3"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0</w:t>
            </w:r>
          </w:p>
        </w:tc>
      </w:tr>
      <w:tr w:rsidR="004C5002" w:rsidRPr="00A77AF6" w14:paraId="2257C944" w14:textId="77777777" w:rsidTr="009D6034">
        <w:trPr>
          <w:trHeight w:val="489"/>
        </w:trPr>
        <w:tc>
          <w:tcPr>
            <w:tcW w:w="421" w:type="dxa"/>
            <w:tcBorders>
              <w:top w:val="single" w:sz="4" w:space="0" w:color="auto"/>
              <w:left w:val="single" w:sz="4" w:space="0" w:color="auto"/>
              <w:bottom w:val="single" w:sz="4" w:space="0" w:color="auto"/>
              <w:right w:val="single" w:sz="4" w:space="0" w:color="auto"/>
            </w:tcBorders>
          </w:tcPr>
          <w:p w14:paraId="5D9FC743"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9</w:t>
            </w:r>
          </w:p>
        </w:tc>
        <w:tc>
          <w:tcPr>
            <w:tcW w:w="1280" w:type="dxa"/>
            <w:tcBorders>
              <w:top w:val="single" w:sz="4" w:space="0" w:color="auto"/>
              <w:left w:val="single" w:sz="4" w:space="0" w:color="auto"/>
              <w:bottom w:val="single" w:sz="4" w:space="0" w:color="auto"/>
              <w:right w:val="single" w:sz="4" w:space="0" w:color="auto"/>
            </w:tcBorders>
          </w:tcPr>
          <w:p w14:paraId="55AC4BA7"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 xml:space="preserve">Communication </w:t>
            </w:r>
          </w:p>
        </w:tc>
        <w:tc>
          <w:tcPr>
            <w:tcW w:w="993" w:type="dxa"/>
            <w:tcBorders>
              <w:top w:val="single" w:sz="4" w:space="0" w:color="auto"/>
              <w:left w:val="single" w:sz="4" w:space="0" w:color="auto"/>
              <w:bottom w:val="single" w:sz="4" w:space="0" w:color="auto"/>
              <w:right w:val="single" w:sz="4" w:space="0" w:color="auto"/>
            </w:tcBorders>
          </w:tcPr>
          <w:p w14:paraId="4DDF183D"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4</w:t>
            </w:r>
          </w:p>
        </w:tc>
        <w:tc>
          <w:tcPr>
            <w:tcW w:w="1134" w:type="dxa"/>
            <w:tcBorders>
              <w:top w:val="single" w:sz="4" w:space="0" w:color="auto"/>
              <w:left w:val="single" w:sz="4" w:space="0" w:color="auto"/>
              <w:bottom w:val="single" w:sz="4" w:space="0" w:color="auto"/>
              <w:right w:val="single" w:sz="4" w:space="0" w:color="auto"/>
            </w:tcBorders>
          </w:tcPr>
          <w:p w14:paraId="02B1BC72"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3</w:t>
            </w:r>
          </w:p>
        </w:tc>
        <w:tc>
          <w:tcPr>
            <w:tcW w:w="992" w:type="dxa"/>
            <w:tcBorders>
              <w:top w:val="single" w:sz="4" w:space="0" w:color="auto"/>
              <w:left w:val="single" w:sz="4" w:space="0" w:color="auto"/>
              <w:bottom w:val="single" w:sz="4" w:space="0" w:color="auto"/>
              <w:right w:val="single" w:sz="4" w:space="0" w:color="auto"/>
            </w:tcBorders>
          </w:tcPr>
          <w:p w14:paraId="7797248C"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2</w:t>
            </w:r>
          </w:p>
        </w:tc>
        <w:tc>
          <w:tcPr>
            <w:tcW w:w="992" w:type="dxa"/>
            <w:tcBorders>
              <w:top w:val="single" w:sz="4" w:space="0" w:color="auto"/>
              <w:left w:val="single" w:sz="4" w:space="0" w:color="auto"/>
              <w:bottom w:val="single" w:sz="4" w:space="0" w:color="auto"/>
              <w:right w:val="single" w:sz="4" w:space="0" w:color="auto"/>
            </w:tcBorders>
          </w:tcPr>
          <w:p w14:paraId="7C620578"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1</w:t>
            </w:r>
          </w:p>
        </w:tc>
        <w:tc>
          <w:tcPr>
            <w:tcW w:w="1134" w:type="dxa"/>
            <w:tcBorders>
              <w:top w:val="single" w:sz="4" w:space="0" w:color="auto"/>
              <w:left w:val="single" w:sz="4" w:space="0" w:color="auto"/>
              <w:bottom w:val="single" w:sz="4" w:space="0" w:color="auto"/>
              <w:right w:val="single" w:sz="4" w:space="0" w:color="auto"/>
            </w:tcBorders>
          </w:tcPr>
          <w:p w14:paraId="5778D20A"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0</w:t>
            </w:r>
          </w:p>
        </w:tc>
        <w:tc>
          <w:tcPr>
            <w:tcW w:w="1134" w:type="dxa"/>
            <w:tcBorders>
              <w:top w:val="single" w:sz="4" w:space="0" w:color="auto"/>
              <w:left w:val="single" w:sz="4" w:space="0" w:color="auto"/>
              <w:bottom w:val="single" w:sz="4" w:space="0" w:color="auto"/>
              <w:right w:val="single" w:sz="4" w:space="0" w:color="auto"/>
            </w:tcBorders>
          </w:tcPr>
          <w:p w14:paraId="511EB6CD"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0</w:t>
            </w:r>
          </w:p>
        </w:tc>
      </w:tr>
      <w:tr w:rsidR="004C5002" w:rsidRPr="00A77AF6" w14:paraId="47F7E60D" w14:textId="77777777" w:rsidTr="009D6034">
        <w:trPr>
          <w:trHeight w:val="489"/>
        </w:trPr>
        <w:tc>
          <w:tcPr>
            <w:tcW w:w="421" w:type="dxa"/>
            <w:tcBorders>
              <w:top w:val="single" w:sz="4" w:space="0" w:color="auto"/>
              <w:left w:val="single" w:sz="4" w:space="0" w:color="auto"/>
              <w:bottom w:val="single" w:sz="4" w:space="0" w:color="auto"/>
              <w:right w:val="single" w:sz="4" w:space="0" w:color="auto"/>
            </w:tcBorders>
          </w:tcPr>
          <w:p w14:paraId="1CD0F3AC"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10</w:t>
            </w:r>
          </w:p>
        </w:tc>
        <w:tc>
          <w:tcPr>
            <w:tcW w:w="1280" w:type="dxa"/>
            <w:tcBorders>
              <w:top w:val="single" w:sz="4" w:space="0" w:color="auto"/>
              <w:left w:val="single" w:sz="4" w:space="0" w:color="auto"/>
              <w:bottom w:val="single" w:sz="4" w:space="0" w:color="auto"/>
              <w:right w:val="single" w:sz="4" w:space="0" w:color="auto"/>
            </w:tcBorders>
          </w:tcPr>
          <w:p w14:paraId="1720C948"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Trouble shooting</w:t>
            </w:r>
          </w:p>
        </w:tc>
        <w:tc>
          <w:tcPr>
            <w:tcW w:w="993" w:type="dxa"/>
            <w:tcBorders>
              <w:top w:val="single" w:sz="4" w:space="0" w:color="auto"/>
              <w:left w:val="single" w:sz="4" w:space="0" w:color="auto"/>
              <w:bottom w:val="single" w:sz="4" w:space="0" w:color="auto"/>
              <w:right w:val="single" w:sz="4" w:space="0" w:color="auto"/>
            </w:tcBorders>
          </w:tcPr>
          <w:p w14:paraId="5FD680AF"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4</w:t>
            </w:r>
          </w:p>
        </w:tc>
        <w:tc>
          <w:tcPr>
            <w:tcW w:w="1134" w:type="dxa"/>
            <w:tcBorders>
              <w:top w:val="single" w:sz="4" w:space="0" w:color="auto"/>
              <w:left w:val="single" w:sz="4" w:space="0" w:color="auto"/>
              <w:bottom w:val="single" w:sz="4" w:space="0" w:color="auto"/>
              <w:right w:val="single" w:sz="4" w:space="0" w:color="auto"/>
            </w:tcBorders>
          </w:tcPr>
          <w:p w14:paraId="431395E3"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3</w:t>
            </w:r>
          </w:p>
        </w:tc>
        <w:tc>
          <w:tcPr>
            <w:tcW w:w="992" w:type="dxa"/>
            <w:tcBorders>
              <w:top w:val="single" w:sz="4" w:space="0" w:color="auto"/>
              <w:left w:val="single" w:sz="4" w:space="0" w:color="auto"/>
              <w:bottom w:val="single" w:sz="4" w:space="0" w:color="auto"/>
              <w:right w:val="single" w:sz="4" w:space="0" w:color="auto"/>
            </w:tcBorders>
          </w:tcPr>
          <w:p w14:paraId="6169F6E9"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2</w:t>
            </w:r>
          </w:p>
        </w:tc>
        <w:tc>
          <w:tcPr>
            <w:tcW w:w="992" w:type="dxa"/>
            <w:tcBorders>
              <w:top w:val="single" w:sz="4" w:space="0" w:color="auto"/>
              <w:left w:val="single" w:sz="4" w:space="0" w:color="auto"/>
              <w:bottom w:val="single" w:sz="4" w:space="0" w:color="auto"/>
              <w:right w:val="single" w:sz="4" w:space="0" w:color="auto"/>
            </w:tcBorders>
          </w:tcPr>
          <w:p w14:paraId="3932337E"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1</w:t>
            </w:r>
          </w:p>
        </w:tc>
        <w:tc>
          <w:tcPr>
            <w:tcW w:w="1134" w:type="dxa"/>
            <w:tcBorders>
              <w:top w:val="single" w:sz="4" w:space="0" w:color="auto"/>
              <w:left w:val="single" w:sz="4" w:space="0" w:color="auto"/>
              <w:bottom w:val="single" w:sz="4" w:space="0" w:color="auto"/>
              <w:right w:val="single" w:sz="4" w:space="0" w:color="auto"/>
            </w:tcBorders>
          </w:tcPr>
          <w:p w14:paraId="55EE435C"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0</w:t>
            </w:r>
          </w:p>
        </w:tc>
        <w:tc>
          <w:tcPr>
            <w:tcW w:w="1134" w:type="dxa"/>
            <w:tcBorders>
              <w:top w:val="single" w:sz="4" w:space="0" w:color="auto"/>
              <w:left w:val="single" w:sz="4" w:space="0" w:color="auto"/>
              <w:bottom w:val="single" w:sz="4" w:space="0" w:color="auto"/>
              <w:right w:val="single" w:sz="4" w:space="0" w:color="auto"/>
            </w:tcBorders>
          </w:tcPr>
          <w:p w14:paraId="309B116A" w14:textId="77777777" w:rsidR="004C5002" w:rsidRPr="00A77AF6" w:rsidRDefault="004C5002" w:rsidP="009D6034">
            <w:pPr>
              <w:spacing w:after="0" w:line="240" w:lineRule="auto"/>
              <w:rPr>
                <w:rFonts w:cstheme="minorHAnsi"/>
                <w:sz w:val="18"/>
                <w:szCs w:val="20"/>
              </w:rPr>
            </w:pPr>
            <w:r w:rsidRPr="00A77AF6">
              <w:rPr>
                <w:rFonts w:cstheme="minorHAnsi"/>
                <w:sz w:val="18"/>
                <w:szCs w:val="20"/>
              </w:rPr>
              <w:t>0</w:t>
            </w:r>
          </w:p>
        </w:tc>
      </w:tr>
    </w:tbl>
    <w:p w14:paraId="2C207295" w14:textId="73D89771" w:rsidR="004C5002" w:rsidRPr="00A77AF6" w:rsidRDefault="004C5002" w:rsidP="004C5002"/>
    <w:p w14:paraId="153B8778" w14:textId="77777777" w:rsidR="00F04DC7" w:rsidRPr="00A77AF6" w:rsidRDefault="00216DBC" w:rsidP="00F04DC7">
      <w:pPr>
        <w:keepNext/>
      </w:pPr>
      <w:r w:rsidRPr="00A77AF6">
        <w:rPr>
          <w:noProof/>
          <w:lang w:eastAsia="en-GB"/>
        </w:rPr>
        <w:drawing>
          <wp:inline distT="0" distB="0" distL="0" distR="0" wp14:anchorId="5D2F0B03" wp14:editId="464C3816">
            <wp:extent cx="4899546" cy="2947917"/>
            <wp:effectExtent l="0" t="0" r="15875" b="5080"/>
            <wp:docPr id="252" name="Chart 252">
              <a:extLst xmlns:a="http://schemas.openxmlformats.org/drawingml/2006/main">
                <a:ext uri="{FF2B5EF4-FFF2-40B4-BE49-F238E27FC236}">
                  <a16:creationId xmlns:a16="http://schemas.microsoft.com/office/drawing/2014/main" id="{28719B10-2BFF-47C3-8100-C89F343ED6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10D1C6C" w14:textId="31ED1FF5" w:rsidR="00216DBC" w:rsidRPr="00A77AF6" w:rsidRDefault="00F04DC7" w:rsidP="00F04DC7">
      <w:pPr>
        <w:pStyle w:val="Caption"/>
      </w:pPr>
      <w:bookmarkStart w:id="177" w:name="_Toc36186990"/>
      <w:r w:rsidRPr="00A77AF6">
        <w:t xml:space="preserve">Figure </w:t>
      </w:r>
      <w:fldSimple w:instr=" STYLEREF 1 \s ">
        <w:r w:rsidR="000441F7">
          <w:rPr>
            <w:noProof/>
          </w:rPr>
          <w:t>6</w:t>
        </w:r>
      </w:fldSimple>
      <w:r w:rsidR="00BA5DC4">
        <w:noBreakHyphen/>
      </w:r>
      <w:fldSimple w:instr=" SEQ Figure \* ARABIC \s 1 ">
        <w:r w:rsidR="000441F7">
          <w:rPr>
            <w:noProof/>
          </w:rPr>
          <w:t>14</w:t>
        </w:r>
      </w:fldSimple>
      <w:r w:rsidRPr="00A77AF6">
        <w:t xml:space="preserve">: Correlation of CSF and project </w:t>
      </w:r>
      <w:r w:rsidR="00283AAB" w:rsidRPr="00A77AF6">
        <w:t xml:space="preserve">success </w:t>
      </w:r>
      <w:r w:rsidRPr="00A77AF6">
        <w:t>scores</w:t>
      </w:r>
      <w:bookmarkEnd w:id="177"/>
    </w:p>
    <w:p w14:paraId="597B3AAF" w14:textId="582BBB91" w:rsidR="00E458EC" w:rsidRPr="00A77AF6" w:rsidRDefault="002666C0" w:rsidP="002666C0">
      <w:pPr>
        <w:spacing w:line="360" w:lineRule="auto"/>
      </w:pPr>
      <w:r w:rsidRPr="00A77AF6">
        <w:t>CSF were correlated with project success scores (Figure 6-1</w:t>
      </w:r>
      <w:r w:rsidR="00283AAB" w:rsidRPr="00A77AF6">
        <w:t>4</w:t>
      </w:r>
      <w:r w:rsidRPr="00A77AF6">
        <w:t>).  Results s</w:t>
      </w:r>
      <w:r w:rsidRPr="00A77AF6">
        <w:rPr>
          <w:color w:val="000000" w:themeColor="text1"/>
        </w:rPr>
        <w:t>hows a</w:t>
      </w:r>
      <w:r w:rsidRPr="00A77AF6">
        <w:t xml:space="preserve"> weak correlation (r=0.31) between CSF and project success score.  R-squared (0.096</w:t>
      </w:r>
      <w:r w:rsidR="00501C04">
        <w:t>5</w:t>
      </w:r>
      <w:r w:rsidRPr="00A77AF6">
        <w:t>) shows that the coefficient of determination is quite low (Table 6-44), so approximately 9.6</w:t>
      </w:r>
      <w:r w:rsidR="00501C04">
        <w:t>5</w:t>
      </w:r>
      <w:r w:rsidRPr="00A77AF6">
        <w:t xml:space="preserve">% of the variation in project success is due to </w:t>
      </w:r>
      <w:r w:rsidR="004C5002" w:rsidRPr="00A77AF6">
        <w:t>CSF</w:t>
      </w:r>
      <w:r w:rsidRPr="00A77AF6">
        <w:t xml:space="preserve">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×100). </m:t>
        </m:r>
      </m:oMath>
      <w:r w:rsidRPr="00A77AF6">
        <w:rPr>
          <w:rFonts w:eastAsiaTheme="minorEastAsia"/>
        </w:rPr>
        <w:t xml:space="preserve"> The P value suggests that i</w:t>
      </w:r>
      <w:r w:rsidR="00501C04">
        <w:rPr>
          <w:rFonts w:eastAsiaTheme="minorEastAsia"/>
        </w:rPr>
        <w:t>t i</w:t>
      </w:r>
      <w:r w:rsidRPr="00A77AF6">
        <w:rPr>
          <w:rFonts w:eastAsiaTheme="minorEastAsia"/>
        </w:rPr>
        <w:t xml:space="preserve">s </w:t>
      </w:r>
      <w:r w:rsidR="00501C04">
        <w:rPr>
          <w:rFonts w:eastAsiaTheme="minorEastAsia"/>
        </w:rPr>
        <w:t>un</w:t>
      </w:r>
      <w:r w:rsidRPr="00A77AF6">
        <w:rPr>
          <w:rFonts w:eastAsiaTheme="minorEastAsia"/>
        </w:rPr>
        <w:t xml:space="preserve">likely that this result </w:t>
      </w:r>
      <w:r w:rsidRPr="00A77AF6">
        <w:t xml:space="preserve">happened by </w:t>
      </w:r>
      <w:r w:rsidRPr="00A77AF6">
        <w:lastRenderedPageBreak/>
        <w:t>chance (</w:t>
      </w:r>
      <w:r w:rsidR="004C5002" w:rsidRPr="00A77AF6">
        <w:t>1</w:t>
      </w:r>
      <w:r w:rsidRPr="00A77AF6">
        <w:t>.</w:t>
      </w:r>
      <w:r w:rsidR="004C5002" w:rsidRPr="00A77AF6">
        <w:t>35</w:t>
      </w:r>
      <w:r w:rsidRPr="00A77AF6">
        <w:t xml:space="preserve">%), calculated as </w:t>
      </w:r>
      <m:oMath>
        <m:r>
          <w:rPr>
            <w:rFonts w:ascii="Cambria Math" w:hAnsi="Cambria Math"/>
          </w:rPr>
          <m:t>1-P×100</m:t>
        </m:r>
      </m:oMath>
      <w:r w:rsidRPr="00A77AF6">
        <w:rPr>
          <w:rFonts w:eastAsiaTheme="minorEastAsia"/>
        </w:rPr>
        <w:t xml:space="preserve">. </w:t>
      </w:r>
      <w:r w:rsidRPr="00A77AF6">
        <w:t xml:space="preserve">There is 95% confidence that the correlation coefficient (r) lies between </w:t>
      </w:r>
      <w:r w:rsidR="00E458EC" w:rsidRPr="00A77AF6">
        <w:rPr>
          <w:rFonts w:cstheme="minorHAnsi"/>
        </w:rPr>
        <w:t>0.0434 and 0.5766</w:t>
      </w:r>
    </w:p>
    <w:p w14:paraId="35E1E01F" w14:textId="017096E1" w:rsidR="002666C0" w:rsidRPr="00A77AF6" w:rsidRDefault="00E458EC" w:rsidP="00E458EC">
      <w:pPr>
        <w:spacing w:after="0" w:line="360" w:lineRule="auto"/>
        <w:rPr>
          <w:i/>
          <w:iCs/>
          <w:sz w:val="18"/>
          <w:szCs w:val="18"/>
        </w:rPr>
      </w:pPr>
      <w:r w:rsidRPr="00A77AF6">
        <w:rPr>
          <w:i/>
          <w:iCs/>
          <w:sz w:val="18"/>
          <w:szCs w:val="18"/>
        </w:rPr>
        <w:t xml:space="preserve">Table </w:t>
      </w:r>
      <w:r w:rsidR="00804112">
        <w:rPr>
          <w:i/>
          <w:iCs/>
          <w:sz w:val="18"/>
          <w:szCs w:val="18"/>
        </w:rPr>
        <w:fldChar w:fldCharType="begin"/>
      </w:r>
      <w:r w:rsidR="00804112">
        <w:rPr>
          <w:i/>
          <w:iCs/>
          <w:sz w:val="18"/>
          <w:szCs w:val="18"/>
        </w:rPr>
        <w:instrText xml:space="preserve"> STYLEREF 1 \s </w:instrText>
      </w:r>
      <w:r w:rsidR="00804112">
        <w:rPr>
          <w:i/>
          <w:iCs/>
          <w:sz w:val="18"/>
          <w:szCs w:val="18"/>
        </w:rPr>
        <w:fldChar w:fldCharType="separate"/>
      </w:r>
      <w:r w:rsidR="000441F7">
        <w:rPr>
          <w:i/>
          <w:iCs/>
          <w:noProof/>
          <w:sz w:val="18"/>
          <w:szCs w:val="18"/>
        </w:rPr>
        <w:t>6</w:t>
      </w:r>
      <w:r w:rsidR="00804112">
        <w:rPr>
          <w:i/>
          <w:iCs/>
          <w:sz w:val="18"/>
          <w:szCs w:val="18"/>
        </w:rPr>
        <w:fldChar w:fldCharType="end"/>
      </w:r>
      <w:r w:rsidR="00804112">
        <w:rPr>
          <w:i/>
          <w:iCs/>
          <w:sz w:val="18"/>
          <w:szCs w:val="18"/>
        </w:rPr>
        <w:noBreakHyphen/>
      </w:r>
      <w:r w:rsidR="00804112">
        <w:rPr>
          <w:i/>
          <w:iCs/>
          <w:sz w:val="18"/>
          <w:szCs w:val="18"/>
        </w:rPr>
        <w:fldChar w:fldCharType="begin"/>
      </w:r>
      <w:r w:rsidR="00804112">
        <w:rPr>
          <w:i/>
          <w:iCs/>
          <w:sz w:val="18"/>
          <w:szCs w:val="18"/>
        </w:rPr>
        <w:instrText xml:space="preserve"> SEQ Table \* ARABIC \s 1 </w:instrText>
      </w:r>
      <w:r w:rsidR="00804112">
        <w:rPr>
          <w:i/>
          <w:iCs/>
          <w:sz w:val="18"/>
          <w:szCs w:val="18"/>
        </w:rPr>
        <w:fldChar w:fldCharType="separate"/>
      </w:r>
      <w:r w:rsidR="000441F7">
        <w:rPr>
          <w:i/>
          <w:iCs/>
          <w:noProof/>
          <w:sz w:val="18"/>
          <w:szCs w:val="18"/>
        </w:rPr>
        <w:t>44</w:t>
      </w:r>
      <w:r w:rsidR="00804112">
        <w:rPr>
          <w:i/>
          <w:iCs/>
          <w:sz w:val="18"/>
          <w:szCs w:val="18"/>
        </w:rPr>
        <w:fldChar w:fldCharType="end"/>
      </w:r>
      <w:r w:rsidRPr="00A77AF6">
        <w:rPr>
          <w:i/>
          <w:iCs/>
          <w:sz w:val="18"/>
          <w:szCs w:val="18"/>
        </w:rPr>
        <w:t>: Correlation of CSF and project scores</w:t>
      </w:r>
      <w:r w:rsidR="002666C0" w:rsidRPr="00A77AF6">
        <w:rPr>
          <w:i/>
          <w:iCs/>
          <w:sz w:val="18"/>
          <w:szCs w:val="18"/>
        </w:rPr>
        <w:t xml:space="preserve"> </w:t>
      </w:r>
    </w:p>
    <w:tbl>
      <w:tblPr>
        <w:tblStyle w:val="TableGrid"/>
        <w:tblW w:w="0" w:type="auto"/>
        <w:tblLook w:val="04A0" w:firstRow="1" w:lastRow="0" w:firstColumn="1" w:lastColumn="0" w:noHBand="0" w:noVBand="1"/>
      </w:tblPr>
      <w:tblGrid>
        <w:gridCol w:w="2110"/>
        <w:gridCol w:w="987"/>
        <w:gridCol w:w="867"/>
        <w:gridCol w:w="1134"/>
        <w:gridCol w:w="1134"/>
        <w:gridCol w:w="1843"/>
      </w:tblGrid>
      <w:tr w:rsidR="00E458EC" w:rsidRPr="00A77AF6" w14:paraId="0C4EE9CB" w14:textId="77777777" w:rsidTr="009D6034">
        <w:tc>
          <w:tcPr>
            <w:tcW w:w="2110" w:type="dxa"/>
            <w:shd w:val="clear" w:color="auto" w:fill="F2F2F2" w:themeFill="background1" w:themeFillShade="F2"/>
          </w:tcPr>
          <w:p w14:paraId="33C9A31E" w14:textId="77777777" w:rsidR="00E458EC" w:rsidRPr="00A77AF6" w:rsidRDefault="00E458EC" w:rsidP="009D6034">
            <w:pPr>
              <w:rPr>
                <w:b/>
                <w:bCs/>
                <w:sz w:val="20"/>
                <w:szCs w:val="20"/>
              </w:rPr>
            </w:pPr>
          </w:p>
        </w:tc>
        <w:tc>
          <w:tcPr>
            <w:tcW w:w="987" w:type="dxa"/>
            <w:shd w:val="clear" w:color="auto" w:fill="F2F2F2" w:themeFill="background1" w:themeFillShade="F2"/>
          </w:tcPr>
          <w:p w14:paraId="5983749D" w14:textId="77777777" w:rsidR="00E458EC" w:rsidRPr="00A77AF6" w:rsidRDefault="00E458EC" w:rsidP="009D6034">
            <w:pPr>
              <w:rPr>
                <w:b/>
                <w:bCs/>
                <w:sz w:val="20"/>
                <w:szCs w:val="20"/>
              </w:rPr>
            </w:pPr>
            <w:r w:rsidRPr="00A77AF6">
              <w:rPr>
                <w:b/>
                <w:bCs/>
                <w:sz w:val="20"/>
                <w:szCs w:val="20"/>
              </w:rPr>
              <w:t>R</w:t>
            </w:r>
          </w:p>
        </w:tc>
        <w:tc>
          <w:tcPr>
            <w:tcW w:w="867" w:type="dxa"/>
            <w:shd w:val="clear" w:color="auto" w:fill="F2F2F2" w:themeFill="background1" w:themeFillShade="F2"/>
          </w:tcPr>
          <w:p w14:paraId="231D8626" w14:textId="77777777" w:rsidR="00E458EC" w:rsidRPr="00A77AF6" w:rsidRDefault="00E458EC" w:rsidP="009D6034">
            <w:pPr>
              <w:rPr>
                <w:b/>
                <w:bCs/>
                <w:sz w:val="20"/>
                <w:szCs w:val="20"/>
              </w:rPr>
            </w:pPr>
            <w:r w:rsidRPr="00A77AF6">
              <w:rPr>
                <w:b/>
                <w:bCs/>
                <w:sz w:val="20"/>
                <w:szCs w:val="20"/>
              </w:rPr>
              <w:t>r</w:t>
            </w:r>
            <w:r w:rsidRPr="00A77AF6">
              <w:rPr>
                <w:b/>
                <w:bCs/>
                <w:sz w:val="20"/>
                <w:szCs w:val="20"/>
                <w:vertAlign w:val="superscript"/>
              </w:rPr>
              <w:t>2</w:t>
            </w:r>
          </w:p>
        </w:tc>
        <w:tc>
          <w:tcPr>
            <w:tcW w:w="1134" w:type="dxa"/>
            <w:shd w:val="clear" w:color="auto" w:fill="F2F2F2" w:themeFill="background1" w:themeFillShade="F2"/>
          </w:tcPr>
          <w:p w14:paraId="3EB034D9" w14:textId="77777777" w:rsidR="00E458EC" w:rsidRPr="00A77AF6" w:rsidRDefault="00E458EC" w:rsidP="009D6034">
            <w:pPr>
              <w:rPr>
                <w:b/>
                <w:bCs/>
                <w:sz w:val="20"/>
                <w:szCs w:val="20"/>
              </w:rPr>
            </w:pPr>
            <w:r w:rsidRPr="00A77AF6">
              <w:rPr>
                <w:b/>
                <w:bCs/>
                <w:sz w:val="20"/>
                <w:szCs w:val="20"/>
              </w:rPr>
              <w:t>Probability (P)</w:t>
            </w:r>
          </w:p>
          <w:p w14:paraId="08E848E5" w14:textId="77777777" w:rsidR="00E458EC" w:rsidRPr="00A77AF6" w:rsidRDefault="00E458EC" w:rsidP="009D6034">
            <w:pPr>
              <w:rPr>
                <w:sz w:val="20"/>
                <w:szCs w:val="20"/>
              </w:rPr>
            </w:pPr>
          </w:p>
        </w:tc>
        <w:tc>
          <w:tcPr>
            <w:tcW w:w="1134" w:type="dxa"/>
            <w:shd w:val="clear" w:color="auto" w:fill="F2F2F2" w:themeFill="background1" w:themeFillShade="F2"/>
          </w:tcPr>
          <w:p w14:paraId="5241276C" w14:textId="77777777" w:rsidR="00E458EC" w:rsidRPr="00A77AF6" w:rsidRDefault="00E458EC" w:rsidP="009D6034">
            <w:pPr>
              <w:rPr>
                <w:b/>
                <w:bCs/>
                <w:sz w:val="20"/>
                <w:szCs w:val="20"/>
              </w:rPr>
            </w:pPr>
            <w:r w:rsidRPr="00A77AF6">
              <w:rPr>
                <w:b/>
                <w:bCs/>
                <w:sz w:val="20"/>
                <w:szCs w:val="20"/>
              </w:rPr>
              <w:t>Standard deviation</w:t>
            </w:r>
          </w:p>
        </w:tc>
        <w:tc>
          <w:tcPr>
            <w:tcW w:w="1843" w:type="dxa"/>
            <w:shd w:val="clear" w:color="auto" w:fill="F2F2F2" w:themeFill="background1" w:themeFillShade="F2"/>
          </w:tcPr>
          <w:p w14:paraId="289236D9" w14:textId="77777777" w:rsidR="00E458EC" w:rsidRPr="00A77AF6" w:rsidRDefault="00E458EC" w:rsidP="009D6034">
            <w:pPr>
              <w:rPr>
                <w:b/>
                <w:bCs/>
                <w:sz w:val="20"/>
                <w:szCs w:val="20"/>
              </w:rPr>
            </w:pPr>
            <w:r w:rsidRPr="00A77AF6">
              <w:rPr>
                <w:b/>
                <w:bCs/>
                <w:sz w:val="20"/>
                <w:szCs w:val="20"/>
              </w:rPr>
              <w:t>95% CI</w:t>
            </w:r>
          </w:p>
        </w:tc>
      </w:tr>
      <w:tr w:rsidR="00E458EC" w:rsidRPr="00A77AF6" w14:paraId="79552D42" w14:textId="77777777" w:rsidTr="009D6034">
        <w:trPr>
          <w:trHeight w:val="73"/>
        </w:trPr>
        <w:tc>
          <w:tcPr>
            <w:tcW w:w="2110" w:type="dxa"/>
          </w:tcPr>
          <w:p w14:paraId="4A6BC4BF" w14:textId="1E2F0991" w:rsidR="00E458EC" w:rsidRPr="00A77AF6" w:rsidRDefault="00E458EC" w:rsidP="00E458EC">
            <w:pPr>
              <w:rPr>
                <w:rFonts w:cstheme="minorHAnsi"/>
                <w:sz w:val="20"/>
                <w:szCs w:val="20"/>
              </w:rPr>
            </w:pPr>
            <w:r w:rsidRPr="00A77AF6">
              <w:rPr>
                <w:rFonts w:cstheme="minorHAnsi"/>
                <w:sz w:val="20"/>
                <w:szCs w:val="20"/>
              </w:rPr>
              <w:t xml:space="preserve">CSF and project success </w:t>
            </w:r>
          </w:p>
          <w:p w14:paraId="2367AF7A" w14:textId="77777777" w:rsidR="00E458EC" w:rsidRPr="00A77AF6" w:rsidRDefault="00E458EC" w:rsidP="00E458EC">
            <w:pPr>
              <w:rPr>
                <w:rFonts w:cstheme="minorHAnsi"/>
                <w:sz w:val="20"/>
                <w:szCs w:val="20"/>
              </w:rPr>
            </w:pPr>
            <w:r w:rsidRPr="00A77AF6">
              <w:rPr>
                <w:rFonts w:cstheme="minorHAnsi"/>
                <w:sz w:val="20"/>
                <w:szCs w:val="20"/>
              </w:rPr>
              <w:t>(n=51)</w:t>
            </w:r>
          </w:p>
        </w:tc>
        <w:tc>
          <w:tcPr>
            <w:tcW w:w="987" w:type="dxa"/>
          </w:tcPr>
          <w:p w14:paraId="5BC397DC" w14:textId="1D1F862F" w:rsidR="00E458EC" w:rsidRPr="00A77AF6" w:rsidRDefault="00E458EC" w:rsidP="00E458EC">
            <w:pPr>
              <w:rPr>
                <w:rFonts w:cstheme="minorHAnsi"/>
                <w:sz w:val="20"/>
                <w:szCs w:val="20"/>
              </w:rPr>
            </w:pPr>
            <w:r w:rsidRPr="00A77AF6">
              <w:rPr>
                <w:rFonts w:cstheme="minorHAnsi"/>
                <w:sz w:val="20"/>
                <w:szCs w:val="20"/>
              </w:rPr>
              <w:t>0.31</w:t>
            </w:r>
          </w:p>
        </w:tc>
        <w:tc>
          <w:tcPr>
            <w:tcW w:w="867" w:type="dxa"/>
          </w:tcPr>
          <w:p w14:paraId="79A5CA21" w14:textId="5D6B6C8C" w:rsidR="00E458EC" w:rsidRPr="00A77AF6" w:rsidRDefault="00E458EC" w:rsidP="00E458EC">
            <w:pPr>
              <w:rPr>
                <w:rFonts w:cstheme="minorHAnsi"/>
                <w:sz w:val="20"/>
                <w:szCs w:val="20"/>
              </w:rPr>
            </w:pPr>
            <w:r w:rsidRPr="00A77AF6">
              <w:rPr>
                <w:rFonts w:cstheme="minorHAnsi"/>
                <w:sz w:val="20"/>
                <w:szCs w:val="20"/>
              </w:rPr>
              <w:t>0.0965</w:t>
            </w:r>
          </w:p>
        </w:tc>
        <w:tc>
          <w:tcPr>
            <w:tcW w:w="1134" w:type="dxa"/>
          </w:tcPr>
          <w:p w14:paraId="684853D0" w14:textId="7D302EE4" w:rsidR="00E458EC" w:rsidRPr="00A77AF6" w:rsidRDefault="00E458EC" w:rsidP="00E458EC">
            <w:pPr>
              <w:rPr>
                <w:rFonts w:cstheme="minorHAnsi"/>
                <w:sz w:val="20"/>
                <w:szCs w:val="20"/>
              </w:rPr>
            </w:pPr>
            <w:r w:rsidRPr="00A77AF6">
              <w:rPr>
                <w:rFonts w:cstheme="minorHAnsi"/>
                <w:sz w:val="20"/>
                <w:szCs w:val="20"/>
              </w:rPr>
              <w:t>0.9865</w:t>
            </w:r>
          </w:p>
        </w:tc>
        <w:tc>
          <w:tcPr>
            <w:tcW w:w="1134" w:type="dxa"/>
            <w:shd w:val="clear" w:color="auto" w:fill="FFFFFF" w:themeFill="background1"/>
          </w:tcPr>
          <w:p w14:paraId="39C44E45" w14:textId="58108237" w:rsidR="00E458EC" w:rsidRPr="00A77AF6" w:rsidRDefault="00E458EC" w:rsidP="00E458EC">
            <w:pPr>
              <w:rPr>
                <w:rFonts w:cstheme="minorHAnsi"/>
                <w:sz w:val="20"/>
                <w:szCs w:val="20"/>
              </w:rPr>
            </w:pPr>
            <w:r w:rsidRPr="00A77AF6">
              <w:rPr>
                <w:rFonts w:cstheme="minorHAnsi"/>
                <w:sz w:val="20"/>
                <w:szCs w:val="20"/>
              </w:rPr>
              <w:t>0.136</w:t>
            </w:r>
          </w:p>
        </w:tc>
        <w:tc>
          <w:tcPr>
            <w:tcW w:w="1843" w:type="dxa"/>
            <w:shd w:val="clear" w:color="auto" w:fill="FFFFFF" w:themeFill="background1"/>
          </w:tcPr>
          <w:p w14:paraId="3AFB82A3" w14:textId="77777777" w:rsidR="00E458EC" w:rsidRPr="00A77AF6" w:rsidRDefault="00E458EC" w:rsidP="00E458EC">
            <w:pPr>
              <w:rPr>
                <w:rFonts w:cstheme="minorHAnsi"/>
                <w:sz w:val="20"/>
                <w:szCs w:val="20"/>
              </w:rPr>
            </w:pPr>
            <w:r w:rsidRPr="00A77AF6">
              <w:rPr>
                <w:rFonts w:cstheme="minorHAnsi"/>
                <w:sz w:val="20"/>
                <w:szCs w:val="20"/>
              </w:rPr>
              <w:t>95% confidence that r is between</w:t>
            </w:r>
          </w:p>
          <w:p w14:paraId="5DCF6B53" w14:textId="167D6A7A" w:rsidR="00E458EC" w:rsidRPr="00A77AF6" w:rsidRDefault="00E458EC" w:rsidP="00E458EC">
            <w:pPr>
              <w:rPr>
                <w:rFonts w:cstheme="minorHAnsi"/>
                <w:sz w:val="20"/>
                <w:szCs w:val="20"/>
              </w:rPr>
            </w:pPr>
            <w:r w:rsidRPr="00A77AF6">
              <w:rPr>
                <w:rFonts w:cstheme="minorHAnsi"/>
                <w:sz w:val="20"/>
                <w:szCs w:val="20"/>
              </w:rPr>
              <w:t>0.0434 and 0.5766</w:t>
            </w:r>
          </w:p>
        </w:tc>
      </w:tr>
    </w:tbl>
    <w:p w14:paraId="64EB672C" w14:textId="7C81A83C" w:rsidR="002666C0" w:rsidRPr="00A77AF6" w:rsidRDefault="002666C0" w:rsidP="00E458EC">
      <w:pPr>
        <w:spacing w:after="120" w:line="360" w:lineRule="auto"/>
      </w:pPr>
    </w:p>
    <w:p w14:paraId="5C4993AE" w14:textId="69DAE6AF" w:rsidR="00F82413" w:rsidRDefault="00023CAC" w:rsidP="00303986">
      <w:pPr>
        <w:spacing w:line="360" w:lineRule="auto"/>
        <w:rPr>
          <w:color w:val="000000" w:themeColor="text1"/>
        </w:rPr>
      </w:pPr>
      <w:r>
        <w:rPr>
          <w:color w:val="000000" w:themeColor="text1"/>
        </w:rPr>
        <w:t xml:space="preserve">The </w:t>
      </w:r>
      <w:r w:rsidR="00F82413">
        <w:rPr>
          <w:color w:val="000000" w:themeColor="text1"/>
        </w:rPr>
        <w:t>results of the correlation analyses a</w:t>
      </w:r>
      <w:r>
        <w:rPr>
          <w:color w:val="000000" w:themeColor="text1"/>
        </w:rPr>
        <w:t>re</w:t>
      </w:r>
      <w:r w:rsidR="00F82413">
        <w:rPr>
          <w:color w:val="000000" w:themeColor="text1"/>
        </w:rPr>
        <w:t xml:space="preserve"> summarised in Table</w:t>
      </w:r>
      <w:r w:rsidR="0082076F">
        <w:rPr>
          <w:color w:val="000000" w:themeColor="text1"/>
        </w:rPr>
        <w:t xml:space="preserve"> 6.45.  </w:t>
      </w:r>
    </w:p>
    <w:p w14:paraId="4681DFB7" w14:textId="5160944B" w:rsidR="00CD62BD" w:rsidRPr="00A77AF6" w:rsidRDefault="00E458EC" w:rsidP="00E458EC">
      <w:pPr>
        <w:pStyle w:val="Heading3"/>
      </w:pPr>
      <w:bookmarkStart w:id="178" w:name="_Toc36275133"/>
      <w:r w:rsidRPr="00A77AF6">
        <w:t xml:space="preserve">Summary </w:t>
      </w:r>
      <w:r w:rsidR="00132350" w:rsidRPr="00A77AF6">
        <w:t>table</w:t>
      </w:r>
      <w:bookmarkEnd w:id="178"/>
    </w:p>
    <w:p w14:paraId="066BC5B3" w14:textId="77777777" w:rsidR="00C03A28" w:rsidRPr="00A77AF6" w:rsidRDefault="00C03A28" w:rsidP="004D1CAF">
      <w:pPr>
        <w:rPr>
          <w:color w:val="000000" w:themeColor="text1"/>
        </w:rPr>
      </w:pPr>
    </w:p>
    <w:p w14:paraId="78035FD7" w14:textId="23BF9009" w:rsidR="00105D8D" w:rsidRPr="00A77AF6" w:rsidRDefault="00105D8D" w:rsidP="00105D8D">
      <w:pPr>
        <w:pStyle w:val="Caption"/>
        <w:keepNext/>
        <w:spacing w:after="120"/>
      </w:pPr>
      <w:r w:rsidRPr="00A77AF6">
        <w:t xml:space="preserve">Table </w:t>
      </w:r>
      <w:fldSimple w:instr=" STYLEREF 1 \s ">
        <w:r w:rsidR="000441F7">
          <w:rPr>
            <w:noProof/>
          </w:rPr>
          <w:t>6</w:t>
        </w:r>
      </w:fldSimple>
      <w:r w:rsidR="00804112">
        <w:noBreakHyphen/>
      </w:r>
      <w:fldSimple w:instr=" SEQ Table \* ARABIC \s 1 ">
        <w:r w:rsidR="000441F7">
          <w:rPr>
            <w:noProof/>
          </w:rPr>
          <w:t>45</w:t>
        </w:r>
      </w:fldSimple>
      <w:r w:rsidRPr="00A77AF6">
        <w:t>: summary of correlation analyses</w:t>
      </w:r>
    </w:p>
    <w:tbl>
      <w:tblPr>
        <w:tblStyle w:val="TableGrid"/>
        <w:tblW w:w="8075" w:type="dxa"/>
        <w:tblLayout w:type="fixed"/>
        <w:tblLook w:val="04A0" w:firstRow="1" w:lastRow="0" w:firstColumn="1" w:lastColumn="0" w:noHBand="0" w:noVBand="1"/>
      </w:tblPr>
      <w:tblGrid>
        <w:gridCol w:w="2121"/>
        <w:gridCol w:w="851"/>
        <w:gridCol w:w="992"/>
        <w:gridCol w:w="1134"/>
        <w:gridCol w:w="1134"/>
        <w:gridCol w:w="1843"/>
      </w:tblGrid>
      <w:tr w:rsidR="00E458EC" w:rsidRPr="00A77AF6" w14:paraId="333D3EFF" w14:textId="77777777" w:rsidTr="00DE1348">
        <w:trPr>
          <w:trHeight w:val="595"/>
        </w:trPr>
        <w:tc>
          <w:tcPr>
            <w:tcW w:w="2121" w:type="dxa"/>
            <w:shd w:val="clear" w:color="auto" w:fill="F2F2F2" w:themeFill="background1" w:themeFillShade="F2"/>
          </w:tcPr>
          <w:p w14:paraId="3E619D04" w14:textId="77777777" w:rsidR="00E458EC" w:rsidRPr="00A77AF6" w:rsidRDefault="00E458EC" w:rsidP="009D6034">
            <w:pPr>
              <w:rPr>
                <w:b/>
                <w:bCs/>
                <w:sz w:val="20"/>
                <w:szCs w:val="20"/>
              </w:rPr>
            </w:pPr>
          </w:p>
        </w:tc>
        <w:tc>
          <w:tcPr>
            <w:tcW w:w="851" w:type="dxa"/>
            <w:shd w:val="clear" w:color="auto" w:fill="F2F2F2" w:themeFill="background1" w:themeFillShade="F2"/>
          </w:tcPr>
          <w:p w14:paraId="41D16E6E" w14:textId="77777777" w:rsidR="00E458EC" w:rsidRPr="00A77AF6" w:rsidRDefault="00E458EC" w:rsidP="009D6034">
            <w:pPr>
              <w:rPr>
                <w:b/>
                <w:bCs/>
                <w:sz w:val="20"/>
                <w:szCs w:val="20"/>
              </w:rPr>
            </w:pPr>
            <w:r w:rsidRPr="00A77AF6">
              <w:rPr>
                <w:b/>
                <w:bCs/>
                <w:sz w:val="20"/>
                <w:szCs w:val="20"/>
              </w:rPr>
              <w:t>r</w:t>
            </w:r>
          </w:p>
        </w:tc>
        <w:tc>
          <w:tcPr>
            <w:tcW w:w="992" w:type="dxa"/>
            <w:shd w:val="clear" w:color="auto" w:fill="F2F2F2" w:themeFill="background1" w:themeFillShade="F2"/>
          </w:tcPr>
          <w:p w14:paraId="1A8652D9" w14:textId="77777777" w:rsidR="00E458EC" w:rsidRPr="00A77AF6" w:rsidRDefault="00E458EC" w:rsidP="009D6034">
            <w:pPr>
              <w:rPr>
                <w:b/>
                <w:bCs/>
                <w:sz w:val="20"/>
                <w:szCs w:val="20"/>
              </w:rPr>
            </w:pPr>
            <w:r w:rsidRPr="00A77AF6">
              <w:rPr>
                <w:b/>
                <w:bCs/>
                <w:sz w:val="20"/>
                <w:szCs w:val="20"/>
              </w:rPr>
              <w:t>r</w:t>
            </w:r>
            <w:r w:rsidRPr="00A77AF6">
              <w:rPr>
                <w:b/>
                <w:bCs/>
                <w:sz w:val="20"/>
                <w:szCs w:val="20"/>
                <w:vertAlign w:val="superscript"/>
              </w:rPr>
              <w:t>2</w:t>
            </w:r>
          </w:p>
        </w:tc>
        <w:tc>
          <w:tcPr>
            <w:tcW w:w="1134" w:type="dxa"/>
            <w:shd w:val="clear" w:color="auto" w:fill="F2F2F2" w:themeFill="background1" w:themeFillShade="F2"/>
          </w:tcPr>
          <w:p w14:paraId="2E24FCFD" w14:textId="77777777" w:rsidR="00E458EC" w:rsidRPr="00A77AF6" w:rsidRDefault="00E458EC" w:rsidP="009D6034">
            <w:pPr>
              <w:rPr>
                <w:sz w:val="20"/>
                <w:szCs w:val="20"/>
              </w:rPr>
            </w:pPr>
            <w:r w:rsidRPr="00A77AF6">
              <w:rPr>
                <w:b/>
                <w:bCs/>
                <w:sz w:val="20"/>
                <w:szCs w:val="20"/>
              </w:rPr>
              <w:t>Probability (P)</w:t>
            </w:r>
          </w:p>
        </w:tc>
        <w:tc>
          <w:tcPr>
            <w:tcW w:w="1134" w:type="dxa"/>
            <w:shd w:val="clear" w:color="auto" w:fill="F2F2F2" w:themeFill="background1" w:themeFillShade="F2"/>
          </w:tcPr>
          <w:p w14:paraId="5C0A4B8D" w14:textId="77777777" w:rsidR="00E458EC" w:rsidRPr="00A77AF6" w:rsidRDefault="00E458EC" w:rsidP="009D6034">
            <w:pPr>
              <w:rPr>
                <w:b/>
                <w:bCs/>
                <w:sz w:val="20"/>
                <w:szCs w:val="20"/>
              </w:rPr>
            </w:pPr>
            <w:r w:rsidRPr="00A77AF6">
              <w:rPr>
                <w:b/>
                <w:bCs/>
                <w:sz w:val="20"/>
                <w:szCs w:val="20"/>
              </w:rPr>
              <w:t>Standard deviation</w:t>
            </w:r>
          </w:p>
        </w:tc>
        <w:tc>
          <w:tcPr>
            <w:tcW w:w="1843" w:type="dxa"/>
            <w:shd w:val="clear" w:color="auto" w:fill="F2F2F2" w:themeFill="background1" w:themeFillShade="F2"/>
          </w:tcPr>
          <w:p w14:paraId="120151AB" w14:textId="77777777" w:rsidR="00E458EC" w:rsidRPr="00A77AF6" w:rsidRDefault="00E458EC" w:rsidP="009D6034">
            <w:pPr>
              <w:rPr>
                <w:b/>
                <w:bCs/>
                <w:sz w:val="20"/>
                <w:szCs w:val="20"/>
              </w:rPr>
            </w:pPr>
            <w:r w:rsidRPr="00A77AF6">
              <w:rPr>
                <w:b/>
                <w:bCs/>
                <w:sz w:val="20"/>
                <w:szCs w:val="20"/>
              </w:rPr>
              <w:t xml:space="preserve">Confidence in r </w:t>
            </w:r>
          </w:p>
          <w:p w14:paraId="57A6C0BF" w14:textId="0B02A28F" w:rsidR="00E458EC" w:rsidRPr="00A77AF6" w:rsidRDefault="00197875" w:rsidP="009D6034">
            <w:pPr>
              <w:rPr>
                <w:b/>
                <w:bCs/>
                <w:sz w:val="20"/>
                <w:szCs w:val="20"/>
              </w:rPr>
            </w:pPr>
            <w:r w:rsidRPr="00A77AF6">
              <w:rPr>
                <w:b/>
                <w:bCs/>
                <w:sz w:val="20"/>
                <w:szCs w:val="20"/>
              </w:rPr>
              <w:t xml:space="preserve">CI </w:t>
            </w:r>
            <w:r w:rsidR="00E458EC" w:rsidRPr="00A77AF6">
              <w:rPr>
                <w:b/>
                <w:bCs/>
                <w:sz w:val="20"/>
                <w:szCs w:val="20"/>
              </w:rPr>
              <w:t>95%</w:t>
            </w:r>
          </w:p>
        </w:tc>
      </w:tr>
      <w:tr w:rsidR="00DE1348" w:rsidRPr="00A77AF6" w14:paraId="2421CB4F" w14:textId="77777777" w:rsidTr="00DE1348">
        <w:tc>
          <w:tcPr>
            <w:tcW w:w="2121" w:type="dxa"/>
          </w:tcPr>
          <w:p w14:paraId="6FC88EBA" w14:textId="77777777" w:rsidR="00DE1348" w:rsidRPr="00A77AF6" w:rsidRDefault="00DE1348" w:rsidP="00105D8D">
            <w:pPr>
              <w:rPr>
                <w:rFonts w:cstheme="minorHAnsi"/>
                <w:sz w:val="20"/>
                <w:szCs w:val="20"/>
              </w:rPr>
            </w:pPr>
            <w:r w:rsidRPr="00A77AF6">
              <w:rPr>
                <w:rFonts w:cstheme="minorHAnsi"/>
                <w:sz w:val="20"/>
                <w:szCs w:val="20"/>
              </w:rPr>
              <w:t xml:space="preserve">Ethical predisposition  and iron triangle  </w:t>
            </w:r>
          </w:p>
          <w:p w14:paraId="7C185C72" w14:textId="77777777" w:rsidR="00DE1348" w:rsidRPr="00A77AF6" w:rsidRDefault="00DE1348" w:rsidP="00105D8D">
            <w:pPr>
              <w:rPr>
                <w:rFonts w:cstheme="minorHAnsi"/>
                <w:sz w:val="20"/>
                <w:szCs w:val="20"/>
              </w:rPr>
            </w:pPr>
            <w:r w:rsidRPr="00A77AF6">
              <w:rPr>
                <w:rFonts w:cstheme="minorHAnsi"/>
                <w:sz w:val="20"/>
                <w:szCs w:val="20"/>
              </w:rPr>
              <w:t>(n=11)</w:t>
            </w:r>
          </w:p>
        </w:tc>
        <w:tc>
          <w:tcPr>
            <w:tcW w:w="851" w:type="dxa"/>
          </w:tcPr>
          <w:p w14:paraId="4D9F6A63" w14:textId="77777777" w:rsidR="00DE1348" w:rsidRPr="00A77AF6" w:rsidRDefault="00DE1348" w:rsidP="00105D8D">
            <w:pPr>
              <w:rPr>
                <w:rFonts w:cstheme="minorHAnsi"/>
                <w:sz w:val="20"/>
                <w:szCs w:val="20"/>
              </w:rPr>
            </w:pPr>
            <w:r w:rsidRPr="00A77AF6">
              <w:rPr>
                <w:rFonts w:cstheme="minorHAnsi"/>
                <w:sz w:val="20"/>
                <w:szCs w:val="20"/>
              </w:rPr>
              <w:t>0.04</w:t>
            </w:r>
          </w:p>
        </w:tc>
        <w:tc>
          <w:tcPr>
            <w:tcW w:w="992" w:type="dxa"/>
          </w:tcPr>
          <w:p w14:paraId="77C1443C" w14:textId="77777777" w:rsidR="00DE1348" w:rsidRPr="00A77AF6" w:rsidRDefault="00DE1348" w:rsidP="00105D8D">
            <w:pPr>
              <w:rPr>
                <w:rFonts w:cstheme="minorHAnsi"/>
                <w:sz w:val="20"/>
                <w:szCs w:val="20"/>
              </w:rPr>
            </w:pPr>
            <w:r w:rsidRPr="00A77AF6">
              <w:rPr>
                <w:rFonts w:cstheme="minorHAnsi"/>
                <w:sz w:val="20"/>
                <w:szCs w:val="20"/>
              </w:rPr>
              <w:t>0.002</w:t>
            </w:r>
          </w:p>
          <w:p w14:paraId="4C639DB1" w14:textId="77777777" w:rsidR="00DE1348" w:rsidRPr="00A77AF6" w:rsidRDefault="00DE1348" w:rsidP="00105D8D">
            <w:pPr>
              <w:rPr>
                <w:rFonts w:cstheme="minorHAnsi"/>
                <w:sz w:val="20"/>
                <w:szCs w:val="20"/>
              </w:rPr>
            </w:pPr>
          </w:p>
          <w:p w14:paraId="24A57EB9" w14:textId="77777777" w:rsidR="00DE1348" w:rsidRPr="00A77AF6" w:rsidRDefault="00DE1348" w:rsidP="00105D8D">
            <w:pPr>
              <w:rPr>
                <w:rFonts w:cstheme="minorHAnsi"/>
                <w:sz w:val="20"/>
                <w:szCs w:val="20"/>
              </w:rPr>
            </w:pPr>
          </w:p>
        </w:tc>
        <w:tc>
          <w:tcPr>
            <w:tcW w:w="1134" w:type="dxa"/>
          </w:tcPr>
          <w:p w14:paraId="7BFB3680" w14:textId="77777777" w:rsidR="00DE1348" w:rsidRPr="00A77AF6" w:rsidRDefault="00DE1348" w:rsidP="00105D8D">
            <w:pPr>
              <w:rPr>
                <w:rFonts w:cstheme="minorHAnsi"/>
                <w:sz w:val="20"/>
                <w:szCs w:val="20"/>
              </w:rPr>
            </w:pPr>
            <w:r w:rsidRPr="00A77AF6">
              <w:rPr>
                <w:rFonts w:cstheme="minorHAnsi"/>
                <w:sz w:val="20"/>
                <w:szCs w:val="20"/>
              </w:rPr>
              <w:t>0.997</w:t>
            </w:r>
          </w:p>
        </w:tc>
        <w:tc>
          <w:tcPr>
            <w:tcW w:w="1134" w:type="dxa"/>
          </w:tcPr>
          <w:p w14:paraId="6F66CEA6" w14:textId="77777777" w:rsidR="00DE1348" w:rsidRPr="00A77AF6" w:rsidRDefault="00DE1348" w:rsidP="00105D8D">
            <w:pPr>
              <w:rPr>
                <w:rFonts w:cstheme="minorHAnsi"/>
                <w:sz w:val="20"/>
                <w:szCs w:val="20"/>
              </w:rPr>
            </w:pPr>
            <w:r w:rsidRPr="00A77AF6">
              <w:rPr>
                <w:rFonts w:cstheme="minorHAnsi"/>
                <w:sz w:val="20"/>
                <w:szCs w:val="20"/>
              </w:rPr>
              <w:t>0.143</w:t>
            </w:r>
          </w:p>
        </w:tc>
        <w:tc>
          <w:tcPr>
            <w:tcW w:w="1843" w:type="dxa"/>
          </w:tcPr>
          <w:p w14:paraId="5612A3C6" w14:textId="3DC8AB7D" w:rsidR="00DE1348" w:rsidRPr="00A77AF6" w:rsidRDefault="00DE1348" w:rsidP="00105D8D">
            <w:pPr>
              <w:rPr>
                <w:rFonts w:cstheme="minorHAnsi"/>
                <w:sz w:val="20"/>
                <w:szCs w:val="20"/>
              </w:rPr>
            </w:pPr>
            <w:r w:rsidRPr="00A77AF6">
              <w:rPr>
                <w:rFonts w:cstheme="minorHAnsi"/>
                <w:sz w:val="20"/>
                <w:szCs w:val="20"/>
              </w:rPr>
              <w:t>-0.126 , 0.67</w:t>
            </w:r>
            <w:r w:rsidR="00154973">
              <w:rPr>
                <w:rFonts w:cstheme="minorHAnsi"/>
                <w:sz w:val="20"/>
                <w:szCs w:val="20"/>
              </w:rPr>
              <w:t>75</w:t>
            </w:r>
          </w:p>
        </w:tc>
      </w:tr>
      <w:tr w:rsidR="00095155" w:rsidRPr="00A77AF6" w14:paraId="7A7B7755" w14:textId="77777777" w:rsidTr="00095155">
        <w:tc>
          <w:tcPr>
            <w:tcW w:w="2121" w:type="dxa"/>
          </w:tcPr>
          <w:p w14:paraId="2659B1BA" w14:textId="77777777" w:rsidR="00095155" w:rsidRPr="00A77AF6" w:rsidRDefault="00095155" w:rsidP="00105D8D">
            <w:pPr>
              <w:rPr>
                <w:rFonts w:cstheme="minorHAnsi"/>
                <w:sz w:val="20"/>
                <w:szCs w:val="20"/>
              </w:rPr>
            </w:pPr>
            <w:r w:rsidRPr="00A77AF6">
              <w:rPr>
                <w:rFonts w:cstheme="minorHAnsi"/>
                <w:sz w:val="20"/>
                <w:szCs w:val="20"/>
              </w:rPr>
              <w:t xml:space="preserve">Ethical predisposition  and [project success  </w:t>
            </w:r>
          </w:p>
          <w:p w14:paraId="5A04064C" w14:textId="77777777" w:rsidR="00095155" w:rsidRPr="00A77AF6" w:rsidRDefault="00095155" w:rsidP="00105D8D">
            <w:pPr>
              <w:rPr>
                <w:rFonts w:cstheme="minorHAnsi"/>
                <w:sz w:val="20"/>
                <w:szCs w:val="20"/>
              </w:rPr>
            </w:pPr>
            <w:r w:rsidRPr="00A77AF6">
              <w:rPr>
                <w:rFonts w:cstheme="minorHAnsi"/>
                <w:sz w:val="20"/>
                <w:szCs w:val="20"/>
              </w:rPr>
              <w:t>(n=51)</w:t>
            </w:r>
          </w:p>
        </w:tc>
        <w:tc>
          <w:tcPr>
            <w:tcW w:w="851" w:type="dxa"/>
          </w:tcPr>
          <w:p w14:paraId="67726C02" w14:textId="77777777" w:rsidR="00095155" w:rsidRPr="00A77AF6" w:rsidRDefault="00095155" w:rsidP="00105D8D">
            <w:pPr>
              <w:rPr>
                <w:rFonts w:cstheme="minorHAnsi"/>
                <w:sz w:val="20"/>
                <w:szCs w:val="20"/>
              </w:rPr>
            </w:pPr>
            <w:r w:rsidRPr="00A77AF6">
              <w:rPr>
                <w:rFonts w:cstheme="minorHAnsi"/>
                <w:sz w:val="20"/>
                <w:szCs w:val="20"/>
              </w:rPr>
              <w:t>0.15</w:t>
            </w:r>
          </w:p>
        </w:tc>
        <w:tc>
          <w:tcPr>
            <w:tcW w:w="992" w:type="dxa"/>
          </w:tcPr>
          <w:p w14:paraId="2BA67B85" w14:textId="77777777" w:rsidR="00095155" w:rsidRPr="00A77AF6" w:rsidRDefault="00095155" w:rsidP="00105D8D">
            <w:pPr>
              <w:rPr>
                <w:rFonts w:cstheme="minorHAnsi"/>
                <w:sz w:val="20"/>
                <w:szCs w:val="20"/>
              </w:rPr>
            </w:pPr>
            <w:r w:rsidRPr="00A77AF6">
              <w:rPr>
                <w:rFonts w:cstheme="minorHAnsi"/>
                <w:sz w:val="20"/>
                <w:szCs w:val="20"/>
              </w:rPr>
              <w:t>0.0226</w:t>
            </w:r>
          </w:p>
          <w:p w14:paraId="2CDD5B49" w14:textId="77777777" w:rsidR="00095155" w:rsidRPr="00A77AF6" w:rsidRDefault="00095155" w:rsidP="00105D8D">
            <w:pPr>
              <w:rPr>
                <w:rFonts w:cstheme="minorHAnsi"/>
                <w:sz w:val="20"/>
                <w:szCs w:val="20"/>
              </w:rPr>
            </w:pPr>
          </w:p>
          <w:p w14:paraId="4303BB50" w14:textId="77777777" w:rsidR="00095155" w:rsidRPr="00A77AF6" w:rsidRDefault="00095155" w:rsidP="00105D8D">
            <w:pPr>
              <w:rPr>
                <w:rFonts w:cstheme="minorHAnsi"/>
                <w:sz w:val="20"/>
                <w:szCs w:val="20"/>
              </w:rPr>
            </w:pPr>
          </w:p>
        </w:tc>
        <w:tc>
          <w:tcPr>
            <w:tcW w:w="1134" w:type="dxa"/>
          </w:tcPr>
          <w:p w14:paraId="0135C3F5" w14:textId="77777777" w:rsidR="00095155" w:rsidRPr="00A77AF6" w:rsidRDefault="00095155" w:rsidP="00105D8D">
            <w:pPr>
              <w:rPr>
                <w:rFonts w:cstheme="minorHAnsi"/>
                <w:sz w:val="20"/>
                <w:szCs w:val="20"/>
              </w:rPr>
            </w:pPr>
            <w:r w:rsidRPr="00A77AF6">
              <w:rPr>
                <w:rFonts w:cstheme="minorHAnsi"/>
                <w:sz w:val="20"/>
                <w:szCs w:val="20"/>
              </w:rPr>
              <w:t>0.8537</w:t>
            </w:r>
          </w:p>
        </w:tc>
        <w:tc>
          <w:tcPr>
            <w:tcW w:w="1134" w:type="dxa"/>
          </w:tcPr>
          <w:p w14:paraId="06AB43F5" w14:textId="77777777" w:rsidR="00095155" w:rsidRPr="00A77AF6" w:rsidRDefault="00095155" w:rsidP="00105D8D">
            <w:pPr>
              <w:rPr>
                <w:rFonts w:cstheme="minorHAnsi"/>
                <w:sz w:val="20"/>
                <w:szCs w:val="20"/>
              </w:rPr>
            </w:pPr>
            <w:r w:rsidRPr="00A77AF6">
              <w:rPr>
                <w:rFonts w:cstheme="minorHAnsi"/>
                <w:sz w:val="20"/>
                <w:szCs w:val="20"/>
              </w:rPr>
              <w:t>0.141</w:t>
            </w:r>
          </w:p>
        </w:tc>
        <w:tc>
          <w:tcPr>
            <w:tcW w:w="1843" w:type="dxa"/>
          </w:tcPr>
          <w:p w14:paraId="735AB916" w14:textId="12E41BDE" w:rsidR="00095155" w:rsidRPr="00A77AF6" w:rsidRDefault="00095155" w:rsidP="00105D8D">
            <w:pPr>
              <w:rPr>
                <w:rFonts w:cstheme="minorHAnsi"/>
                <w:sz w:val="20"/>
                <w:szCs w:val="20"/>
              </w:rPr>
            </w:pPr>
            <w:r w:rsidRPr="00A77AF6">
              <w:rPr>
                <w:rFonts w:cstheme="minorHAnsi"/>
                <w:sz w:val="20"/>
                <w:szCs w:val="20"/>
              </w:rPr>
              <w:t xml:space="preserve">-0.1267, 0.4267 </w:t>
            </w:r>
          </w:p>
        </w:tc>
      </w:tr>
      <w:tr w:rsidR="00E458EC" w:rsidRPr="00A77AF6" w14:paraId="2118369B" w14:textId="77777777" w:rsidTr="00DE1348">
        <w:tc>
          <w:tcPr>
            <w:tcW w:w="2121" w:type="dxa"/>
          </w:tcPr>
          <w:p w14:paraId="4FA68DC9" w14:textId="77777777" w:rsidR="00E458EC" w:rsidRPr="00A77AF6" w:rsidRDefault="00E458EC" w:rsidP="009D6034">
            <w:pPr>
              <w:rPr>
                <w:rFonts w:cstheme="minorHAnsi"/>
                <w:sz w:val="20"/>
                <w:szCs w:val="20"/>
              </w:rPr>
            </w:pPr>
            <w:r w:rsidRPr="00A77AF6">
              <w:rPr>
                <w:rFonts w:cstheme="minorHAnsi"/>
                <w:sz w:val="20"/>
                <w:szCs w:val="20"/>
              </w:rPr>
              <w:t xml:space="preserve">Project governance  and iron triangle  </w:t>
            </w:r>
          </w:p>
          <w:p w14:paraId="439A26FE" w14:textId="77777777" w:rsidR="00E458EC" w:rsidRPr="00A77AF6" w:rsidRDefault="00E458EC" w:rsidP="009D6034">
            <w:pPr>
              <w:rPr>
                <w:rFonts w:cstheme="minorHAnsi"/>
                <w:sz w:val="20"/>
                <w:szCs w:val="20"/>
              </w:rPr>
            </w:pPr>
            <w:r w:rsidRPr="00A77AF6">
              <w:rPr>
                <w:rFonts w:cstheme="minorHAnsi"/>
                <w:sz w:val="20"/>
                <w:szCs w:val="20"/>
              </w:rPr>
              <w:t>(n=11)</w:t>
            </w:r>
          </w:p>
        </w:tc>
        <w:tc>
          <w:tcPr>
            <w:tcW w:w="851" w:type="dxa"/>
          </w:tcPr>
          <w:p w14:paraId="0BD6C959" w14:textId="77777777" w:rsidR="00E458EC" w:rsidRPr="00A77AF6" w:rsidRDefault="00E458EC" w:rsidP="009D6034">
            <w:pPr>
              <w:rPr>
                <w:rFonts w:cstheme="minorHAnsi"/>
                <w:sz w:val="20"/>
                <w:szCs w:val="20"/>
              </w:rPr>
            </w:pPr>
            <w:r w:rsidRPr="00A77AF6">
              <w:rPr>
                <w:rFonts w:cstheme="minorHAnsi"/>
                <w:sz w:val="20"/>
                <w:szCs w:val="20"/>
              </w:rPr>
              <w:t>0.26</w:t>
            </w:r>
          </w:p>
        </w:tc>
        <w:tc>
          <w:tcPr>
            <w:tcW w:w="992" w:type="dxa"/>
          </w:tcPr>
          <w:p w14:paraId="49F72476" w14:textId="77777777" w:rsidR="00E458EC" w:rsidRPr="00A77AF6" w:rsidRDefault="00E458EC" w:rsidP="009D6034">
            <w:pPr>
              <w:rPr>
                <w:rFonts w:cstheme="minorHAnsi"/>
                <w:sz w:val="20"/>
                <w:szCs w:val="20"/>
              </w:rPr>
            </w:pPr>
            <w:r w:rsidRPr="00A77AF6">
              <w:rPr>
                <w:rFonts w:cstheme="minorHAnsi"/>
                <w:sz w:val="20"/>
                <w:szCs w:val="20"/>
              </w:rPr>
              <w:t>0.069</w:t>
            </w:r>
          </w:p>
          <w:p w14:paraId="293EA77F" w14:textId="77777777" w:rsidR="00E458EC" w:rsidRPr="00A77AF6" w:rsidRDefault="00E458EC" w:rsidP="009D6034">
            <w:pPr>
              <w:rPr>
                <w:rFonts w:cstheme="minorHAnsi"/>
                <w:sz w:val="20"/>
                <w:szCs w:val="20"/>
              </w:rPr>
            </w:pPr>
          </w:p>
        </w:tc>
        <w:tc>
          <w:tcPr>
            <w:tcW w:w="1134" w:type="dxa"/>
          </w:tcPr>
          <w:p w14:paraId="63AC8ACD" w14:textId="77777777" w:rsidR="00E458EC" w:rsidRPr="00A77AF6" w:rsidRDefault="00E458EC" w:rsidP="009D6034">
            <w:pPr>
              <w:rPr>
                <w:rFonts w:cstheme="minorHAnsi"/>
                <w:sz w:val="20"/>
                <w:szCs w:val="20"/>
              </w:rPr>
            </w:pPr>
            <w:r w:rsidRPr="00A77AF6">
              <w:rPr>
                <w:rFonts w:cstheme="minorHAnsi"/>
                <w:sz w:val="20"/>
                <w:szCs w:val="20"/>
              </w:rPr>
              <w:t>0.9670</w:t>
            </w:r>
          </w:p>
        </w:tc>
        <w:tc>
          <w:tcPr>
            <w:tcW w:w="1134" w:type="dxa"/>
          </w:tcPr>
          <w:p w14:paraId="6D55C83D" w14:textId="77777777" w:rsidR="00E458EC" w:rsidRPr="00A77AF6" w:rsidRDefault="00E458EC" w:rsidP="009D6034">
            <w:pPr>
              <w:rPr>
                <w:rFonts w:cstheme="minorHAnsi"/>
                <w:sz w:val="20"/>
                <w:szCs w:val="20"/>
              </w:rPr>
            </w:pPr>
            <w:r w:rsidRPr="00A77AF6">
              <w:rPr>
                <w:rFonts w:cstheme="minorHAnsi"/>
                <w:sz w:val="20"/>
                <w:szCs w:val="20"/>
              </w:rPr>
              <w:t>0.138</w:t>
            </w:r>
          </w:p>
        </w:tc>
        <w:tc>
          <w:tcPr>
            <w:tcW w:w="1843" w:type="dxa"/>
          </w:tcPr>
          <w:p w14:paraId="0EEFD056" w14:textId="368E1806" w:rsidR="00E458EC" w:rsidRPr="00A77AF6" w:rsidRDefault="00E458EC" w:rsidP="009D6034">
            <w:pPr>
              <w:rPr>
                <w:rFonts w:cstheme="minorHAnsi"/>
                <w:sz w:val="20"/>
                <w:szCs w:val="20"/>
              </w:rPr>
            </w:pPr>
            <w:r w:rsidRPr="00A77AF6">
              <w:rPr>
                <w:rFonts w:cstheme="minorHAnsi"/>
                <w:sz w:val="20"/>
                <w:szCs w:val="20"/>
              </w:rPr>
              <w:t>-0.134</w:t>
            </w:r>
            <w:r w:rsidR="00197875" w:rsidRPr="00A77AF6">
              <w:rPr>
                <w:rFonts w:cstheme="minorHAnsi"/>
                <w:sz w:val="20"/>
                <w:szCs w:val="20"/>
              </w:rPr>
              <w:t xml:space="preserve">, </w:t>
            </w:r>
            <w:r w:rsidRPr="00A77AF6">
              <w:rPr>
                <w:rFonts w:cstheme="minorHAnsi"/>
                <w:sz w:val="20"/>
                <w:szCs w:val="20"/>
              </w:rPr>
              <w:t xml:space="preserve">0.276 </w:t>
            </w:r>
          </w:p>
        </w:tc>
      </w:tr>
      <w:tr w:rsidR="00197875" w:rsidRPr="00A77AF6" w14:paraId="64CBD7A4" w14:textId="77777777" w:rsidTr="00DE1348">
        <w:trPr>
          <w:trHeight w:val="73"/>
        </w:trPr>
        <w:tc>
          <w:tcPr>
            <w:tcW w:w="2121" w:type="dxa"/>
          </w:tcPr>
          <w:p w14:paraId="122EFD4F" w14:textId="30932496" w:rsidR="00197875" w:rsidRPr="00A77AF6" w:rsidRDefault="00197875" w:rsidP="009D6034">
            <w:pPr>
              <w:rPr>
                <w:rFonts w:cstheme="minorHAnsi"/>
                <w:sz w:val="20"/>
                <w:szCs w:val="20"/>
              </w:rPr>
            </w:pPr>
            <w:r w:rsidRPr="00A77AF6">
              <w:rPr>
                <w:rFonts w:cstheme="minorHAnsi"/>
                <w:sz w:val="20"/>
                <w:szCs w:val="20"/>
              </w:rPr>
              <w:t>Project governance  and project success score n=51</w:t>
            </w:r>
          </w:p>
        </w:tc>
        <w:tc>
          <w:tcPr>
            <w:tcW w:w="851" w:type="dxa"/>
          </w:tcPr>
          <w:p w14:paraId="2FB8732D" w14:textId="77777777" w:rsidR="00197875" w:rsidRPr="00A77AF6" w:rsidRDefault="00197875" w:rsidP="009D6034">
            <w:pPr>
              <w:rPr>
                <w:rFonts w:cstheme="minorHAnsi"/>
                <w:sz w:val="20"/>
                <w:szCs w:val="20"/>
              </w:rPr>
            </w:pPr>
            <w:r w:rsidRPr="00A77AF6">
              <w:rPr>
                <w:rFonts w:cstheme="minorHAnsi"/>
                <w:sz w:val="20"/>
                <w:szCs w:val="20"/>
              </w:rPr>
              <w:t>0.12</w:t>
            </w:r>
          </w:p>
        </w:tc>
        <w:tc>
          <w:tcPr>
            <w:tcW w:w="992" w:type="dxa"/>
          </w:tcPr>
          <w:p w14:paraId="52275705" w14:textId="77777777" w:rsidR="00197875" w:rsidRPr="00A77AF6" w:rsidRDefault="00197875" w:rsidP="009D6034">
            <w:pPr>
              <w:rPr>
                <w:rFonts w:cstheme="minorHAnsi"/>
                <w:sz w:val="20"/>
                <w:szCs w:val="20"/>
              </w:rPr>
            </w:pPr>
            <w:r w:rsidRPr="00A77AF6">
              <w:rPr>
                <w:rFonts w:cstheme="minorHAnsi"/>
                <w:sz w:val="20"/>
                <w:szCs w:val="20"/>
              </w:rPr>
              <w:t>0.014</w:t>
            </w:r>
          </w:p>
          <w:p w14:paraId="4A423435" w14:textId="77777777" w:rsidR="00197875" w:rsidRPr="00A77AF6" w:rsidRDefault="00197875" w:rsidP="009D6034">
            <w:pPr>
              <w:rPr>
                <w:rFonts w:cstheme="minorHAnsi"/>
                <w:sz w:val="20"/>
                <w:szCs w:val="20"/>
              </w:rPr>
            </w:pPr>
          </w:p>
        </w:tc>
        <w:tc>
          <w:tcPr>
            <w:tcW w:w="1134" w:type="dxa"/>
          </w:tcPr>
          <w:p w14:paraId="68D9A37A" w14:textId="77777777" w:rsidR="00197875" w:rsidRPr="00A77AF6" w:rsidRDefault="00197875" w:rsidP="009D6034">
            <w:pPr>
              <w:rPr>
                <w:rFonts w:cstheme="minorHAnsi"/>
                <w:sz w:val="20"/>
                <w:szCs w:val="20"/>
              </w:rPr>
            </w:pPr>
            <w:r w:rsidRPr="00A77AF6">
              <w:rPr>
                <w:rFonts w:cstheme="minorHAnsi"/>
                <w:sz w:val="20"/>
                <w:szCs w:val="20"/>
              </w:rPr>
              <w:t>0.9648</w:t>
            </w:r>
          </w:p>
        </w:tc>
        <w:tc>
          <w:tcPr>
            <w:tcW w:w="1134" w:type="dxa"/>
          </w:tcPr>
          <w:p w14:paraId="00617171" w14:textId="77777777" w:rsidR="00197875" w:rsidRPr="00A77AF6" w:rsidRDefault="00197875" w:rsidP="009D6034">
            <w:pPr>
              <w:rPr>
                <w:rFonts w:cstheme="minorHAnsi"/>
                <w:sz w:val="20"/>
                <w:szCs w:val="20"/>
              </w:rPr>
            </w:pPr>
            <w:r w:rsidRPr="00A77AF6">
              <w:rPr>
                <w:rFonts w:cstheme="minorHAnsi"/>
                <w:sz w:val="20"/>
                <w:szCs w:val="20"/>
              </w:rPr>
              <w:t>0.142</w:t>
            </w:r>
          </w:p>
        </w:tc>
        <w:tc>
          <w:tcPr>
            <w:tcW w:w="1843" w:type="dxa"/>
          </w:tcPr>
          <w:p w14:paraId="3549A1AA" w14:textId="42DB09EC" w:rsidR="00197875" w:rsidRPr="00A77AF6" w:rsidRDefault="00197875" w:rsidP="009D6034">
            <w:pPr>
              <w:rPr>
                <w:rFonts w:cstheme="minorHAnsi"/>
                <w:sz w:val="20"/>
                <w:szCs w:val="20"/>
              </w:rPr>
            </w:pPr>
            <w:r w:rsidRPr="00A77AF6">
              <w:rPr>
                <w:rFonts w:cstheme="minorHAnsi"/>
                <w:sz w:val="20"/>
                <w:szCs w:val="20"/>
              </w:rPr>
              <w:t>-0.259, 0.293</w:t>
            </w:r>
          </w:p>
        </w:tc>
      </w:tr>
      <w:tr w:rsidR="00DE1348" w:rsidRPr="00A77AF6" w14:paraId="5D17A9B9" w14:textId="77777777" w:rsidTr="00DE1348">
        <w:trPr>
          <w:trHeight w:val="73"/>
        </w:trPr>
        <w:tc>
          <w:tcPr>
            <w:tcW w:w="2121" w:type="dxa"/>
          </w:tcPr>
          <w:p w14:paraId="282312A9" w14:textId="77777777" w:rsidR="000934D5" w:rsidRPr="00A77AF6" w:rsidRDefault="000934D5" w:rsidP="00105D8D">
            <w:pPr>
              <w:rPr>
                <w:rFonts w:cstheme="minorHAnsi"/>
                <w:sz w:val="20"/>
                <w:szCs w:val="20"/>
              </w:rPr>
            </w:pPr>
            <w:r w:rsidRPr="00A77AF6">
              <w:rPr>
                <w:rFonts w:cstheme="minorHAnsi"/>
                <w:sz w:val="20"/>
                <w:szCs w:val="20"/>
              </w:rPr>
              <w:t xml:space="preserve">Corporate governance  and iron triangle  </w:t>
            </w:r>
          </w:p>
          <w:p w14:paraId="648FA8FF" w14:textId="77777777" w:rsidR="000934D5" w:rsidRPr="00A77AF6" w:rsidRDefault="000934D5" w:rsidP="00105D8D">
            <w:pPr>
              <w:rPr>
                <w:rFonts w:cstheme="minorHAnsi"/>
                <w:sz w:val="20"/>
                <w:szCs w:val="20"/>
              </w:rPr>
            </w:pPr>
            <w:r w:rsidRPr="00A77AF6">
              <w:rPr>
                <w:rFonts w:cstheme="minorHAnsi"/>
                <w:sz w:val="20"/>
                <w:szCs w:val="20"/>
              </w:rPr>
              <w:t>(n=11)</w:t>
            </w:r>
          </w:p>
        </w:tc>
        <w:tc>
          <w:tcPr>
            <w:tcW w:w="851" w:type="dxa"/>
          </w:tcPr>
          <w:p w14:paraId="7653230A" w14:textId="77777777" w:rsidR="000934D5" w:rsidRPr="00A77AF6" w:rsidRDefault="000934D5" w:rsidP="00105D8D">
            <w:pPr>
              <w:rPr>
                <w:rFonts w:cstheme="minorHAnsi"/>
                <w:sz w:val="20"/>
                <w:szCs w:val="20"/>
              </w:rPr>
            </w:pPr>
            <w:r w:rsidRPr="00A77AF6">
              <w:rPr>
                <w:rFonts w:cstheme="minorHAnsi"/>
                <w:sz w:val="20"/>
                <w:szCs w:val="20"/>
              </w:rPr>
              <w:t>0.071</w:t>
            </w:r>
          </w:p>
        </w:tc>
        <w:tc>
          <w:tcPr>
            <w:tcW w:w="992" w:type="dxa"/>
          </w:tcPr>
          <w:p w14:paraId="6E741FC1" w14:textId="244A3DCB" w:rsidR="000934D5" w:rsidRPr="00A77AF6" w:rsidRDefault="000934D5" w:rsidP="00105D8D">
            <w:pPr>
              <w:rPr>
                <w:rFonts w:cstheme="minorHAnsi"/>
                <w:sz w:val="20"/>
                <w:szCs w:val="20"/>
              </w:rPr>
            </w:pPr>
            <w:r w:rsidRPr="00A77AF6">
              <w:rPr>
                <w:rFonts w:cstheme="minorHAnsi"/>
                <w:sz w:val="20"/>
                <w:szCs w:val="20"/>
              </w:rPr>
              <w:t>0.005</w:t>
            </w:r>
          </w:p>
        </w:tc>
        <w:tc>
          <w:tcPr>
            <w:tcW w:w="1134" w:type="dxa"/>
          </w:tcPr>
          <w:p w14:paraId="77F32951" w14:textId="77777777" w:rsidR="000934D5" w:rsidRPr="00A77AF6" w:rsidRDefault="000934D5" w:rsidP="00105D8D">
            <w:pPr>
              <w:rPr>
                <w:rFonts w:cstheme="minorHAnsi"/>
                <w:sz w:val="20"/>
                <w:szCs w:val="20"/>
              </w:rPr>
            </w:pPr>
            <w:r w:rsidRPr="00A77AF6">
              <w:rPr>
                <w:rFonts w:cstheme="minorHAnsi"/>
                <w:sz w:val="20"/>
                <w:szCs w:val="20"/>
              </w:rPr>
              <w:t>0.6898</w:t>
            </w:r>
          </w:p>
        </w:tc>
        <w:tc>
          <w:tcPr>
            <w:tcW w:w="1134" w:type="dxa"/>
            <w:shd w:val="clear" w:color="auto" w:fill="FFFFFF" w:themeFill="background1"/>
          </w:tcPr>
          <w:p w14:paraId="46851285" w14:textId="77777777" w:rsidR="000934D5" w:rsidRPr="00A77AF6" w:rsidRDefault="000934D5" w:rsidP="00105D8D">
            <w:pPr>
              <w:rPr>
                <w:rFonts w:cstheme="minorHAnsi"/>
                <w:sz w:val="20"/>
                <w:szCs w:val="20"/>
              </w:rPr>
            </w:pPr>
            <w:r w:rsidRPr="00A77AF6">
              <w:rPr>
                <w:rFonts w:cstheme="minorHAnsi"/>
                <w:sz w:val="20"/>
                <w:szCs w:val="20"/>
              </w:rPr>
              <w:t>0.142</w:t>
            </w:r>
          </w:p>
        </w:tc>
        <w:tc>
          <w:tcPr>
            <w:tcW w:w="1843" w:type="dxa"/>
            <w:shd w:val="clear" w:color="auto" w:fill="FFFFFF" w:themeFill="background1"/>
          </w:tcPr>
          <w:p w14:paraId="7A244929" w14:textId="285FAB31" w:rsidR="000934D5" w:rsidRPr="00A77AF6" w:rsidRDefault="000934D5" w:rsidP="00105D8D">
            <w:pPr>
              <w:rPr>
                <w:rFonts w:cstheme="minorHAnsi"/>
                <w:sz w:val="20"/>
                <w:szCs w:val="20"/>
              </w:rPr>
            </w:pPr>
            <w:r w:rsidRPr="00A77AF6">
              <w:rPr>
                <w:rFonts w:cstheme="minorHAnsi"/>
                <w:sz w:val="20"/>
                <w:szCs w:val="20"/>
              </w:rPr>
              <w:t>-0.207, 0.349</w:t>
            </w:r>
          </w:p>
        </w:tc>
      </w:tr>
      <w:tr w:rsidR="00197875" w:rsidRPr="00A77AF6" w14:paraId="7A53398F" w14:textId="77777777" w:rsidTr="00DE1348">
        <w:trPr>
          <w:trHeight w:val="73"/>
        </w:trPr>
        <w:tc>
          <w:tcPr>
            <w:tcW w:w="2121" w:type="dxa"/>
          </w:tcPr>
          <w:p w14:paraId="2D92EF94" w14:textId="77777777" w:rsidR="00197875" w:rsidRPr="00A77AF6" w:rsidRDefault="00197875" w:rsidP="009D6034">
            <w:pPr>
              <w:rPr>
                <w:rFonts w:cstheme="minorHAnsi"/>
                <w:sz w:val="20"/>
                <w:szCs w:val="20"/>
              </w:rPr>
            </w:pPr>
            <w:r w:rsidRPr="00A77AF6">
              <w:rPr>
                <w:rFonts w:cstheme="minorHAnsi"/>
                <w:sz w:val="20"/>
                <w:szCs w:val="20"/>
              </w:rPr>
              <w:t xml:space="preserve">Corporate governance and project success </w:t>
            </w:r>
          </w:p>
          <w:p w14:paraId="78FDD249" w14:textId="77777777" w:rsidR="00197875" w:rsidRPr="00A77AF6" w:rsidRDefault="00197875" w:rsidP="009D6034">
            <w:pPr>
              <w:rPr>
                <w:rFonts w:cstheme="minorHAnsi"/>
                <w:sz w:val="20"/>
                <w:szCs w:val="20"/>
              </w:rPr>
            </w:pPr>
            <w:r w:rsidRPr="00A77AF6">
              <w:rPr>
                <w:rFonts w:cstheme="minorHAnsi"/>
                <w:sz w:val="20"/>
                <w:szCs w:val="20"/>
              </w:rPr>
              <w:t>(n=51)</w:t>
            </w:r>
          </w:p>
        </w:tc>
        <w:tc>
          <w:tcPr>
            <w:tcW w:w="851" w:type="dxa"/>
          </w:tcPr>
          <w:p w14:paraId="3C792C56" w14:textId="77777777" w:rsidR="00197875" w:rsidRPr="00A77AF6" w:rsidRDefault="00197875" w:rsidP="009D6034">
            <w:pPr>
              <w:rPr>
                <w:rFonts w:cstheme="minorHAnsi"/>
                <w:sz w:val="20"/>
                <w:szCs w:val="20"/>
              </w:rPr>
            </w:pPr>
            <w:r w:rsidRPr="00A77AF6">
              <w:rPr>
                <w:rFonts w:cstheme="minorHAnsi"/>
                <w:sz w:val="20"/>
                <w:szCs w:val="20"/>
              </w:rPr>
              <w:t>0.05</w:t>
            </w:r>
          </w:p>
        </w:tc>
        <w:tc>
          <w:tcPr>
            <w:tcW w:w="992" w:type="dxa"/>
          </w:tcPr>
          <w:p w14:paraId="0FA6B5CA" w14:textId="627AF86E" w:rsidR="00197875" w:rsidRPr="00A77AF6" w:rsidRDefault="00197875" w:rsidP="009D6034">
            <w:pPr>
              <w:rPr>
                <w:rFonts w:cstheme="minorHAnsi"/>
                <w:sz w:val="20"/>
                <w:szCs w:val="20"/>
              </w:rPr>
            </w:pPr>
            <w:r w:rsidRPr="00A77AF6">
              <w:rPr>
                <w:rFonts w:cstheme="minorHAnsi"/>
                <w:sz w:val="20"/>
                <w:szCs w:val="20"/>
              </w:rPr>
              <w:t>0.0</w:t>
            </w:r>
            <w:r w:rsidR="00154973">
              <w:rPr>
                <w:rFonts w:cstheme="minorHAnsi"/>
                <w:sz w:val="20"/>
                <w:szCs w:val="20"/>
              </w:rPr>
              <w:t>0</w:t>
            </w:r>
            <w:r w:rsidRPr="00A77AF6">
              <w:rPr>
                <w:rFonts w:cstheme="minorHAnsi"/>
                <w:sz w:val="20"/>
                <w:szCs w:val="20"/>
              </w:rPr>
              <w:t>26</w:t>
            </w:r>
          </w:p>
          <w:p w14:paraId="0998B1FF" w14:textId="77777777" w:rsidR="00197875" w:rsidRPr="00A77AF6" w:rsidRDefault="00197875" w:rsidP="009D6034">
            <w:pPr>
              <w:rPr>
                <w:rFonts w:cstheme="minorHAnsi"/>
                <w:sz w:val="20"/>
                <w:szCs w:val="20"/>
              </w:rPr>
            </w:pPr>
          </w:p>
        </w:tc>
        <w:tc>
          <w:tcPr>
            <w:tcW w:w="1134" w:type="dxa"/>
          </w:tcPr>
          <w:p w14:paraId="41F12C2C" w14:textId="48E5C4FD" w:rsidR="00197875" w:rsidRPr="00A77AF6" w:rsidRDefault="009D6034" w:rsidP="009D6034">
            <w:pPr>
              <w:rPr>
                <w:rFonts w:cstheme="minorHAnsi"/>
                <w:sz w:val="20"/>
                <w:szCs w:val="20"/>
                <w:highlight w:val="red"/>
              </w:rPr>
            </w:pPr>
            <w:r w:rsidRPr="00A77AF6">
              <w:rPr>
                <w:rFonts w:cstheme="minorHAnsi"/>
                <w:sz w:val="20"/>
                <w:szCs w:val="20"/>
              </w:rPr>
              <w:t>0.6378</w:t>
            </w:r>
          </w:p>
        </w:tc>
        <w:tc>
          <w:tcPr>
            <w:tcW w:w="1134" w:type="dxa"/>
          </w:tcPr>
          <w:p w14:paraId="5C387816" w14:textId="763DDECD" w:rsidR="00197875" w:rsidRPr="00A77AF6" w:rsidRDefault="00197875" w:rsidP="009D6034">
            <w:pPr>
              <w:rPr>
                <w:rFonts w:cstheme="minorHAnsi"/>
                <w:sz w:val="20"/>
                <w:szCs w:val="20"/>
              </w:rPr>
            </w:pPr>
            <w:r w:rsidRPr="00A77AF6">
              <w:rPr>
                <w:rFonts w:cstheme="minorHAnsi"/>
                <w:sz w:val="20"/>
                <w:szCs w:val="20"/>
              </w:rPr>
              <w:t>0.14</w:t>
            </w:r>
            <w:r w:rsidR="00154973">
              <w:rPr>
                <w:rFonts w:cstheme="minorHAnsi"/>
                <w:sz w:val="20"/>
                <w:szCs w:val="20"/>
              </w:rPr>
              <w:t>3</w:t>
            </w:r>
          </w:p>
        </w:tc>
        <w:tc>
          <w:tcPr>
            <w:tcW w:w="1843" w:type="dxa"/>
          </w:tcPr>
          <w:p w14:paraId="7D63D79A" w14:textId="726C4698" w:rsidR="00197875" w:rsidRPr="00A77AF6" w:rsidRDefault="00197875" w:rsidP="009D6034">
            <w:pPr>
              <w:rPr>
                <w:rFonts w:cstheme="minorHAnsi"/>
                <w:sz w:val="20"/>
                <w:szCs w:val="20"/>
              </w:rPr>
            </w:pPr>
            <w:r w:rsidRPr="00A77AF6">
              <w:rPr>
                <w:rFonts w:cstheme="minorHAnsi"/>
                <w:sz w:val="20"/>
                <w:szCs w:val="20"/>
              </w:rPr>
              <w:t>-</w:t>
            </w:r>
            <w:r w:rsidRPr="00A77AF6">
              <w:rPr>
                <w:sz w:val="20"/>
                <w:szCs w:val="20"/>
              </w:rPr>
              <w:t>0.2</w:t>
            </w:r>
            <w:r w:rsidR="00154973">
              <w:rPr>
                <w:sz w:val="20"/>
                <w:szCs w:val="20"/>
              </w:rPr>
              <w:t>3</w:t>
            </w:r>
            <w:r w:rsidR="0008393B" w:rsidRPr="00A77AF6">
              <w:rPr>
                <w:sz w:val="20"/>
                <w:szCs w:val="20"/>
              </w:rPr>
              <w:t xml:space="preserve">, </w:t>
            </w:r>
            <w:r w:rsidRPr="00A77AF6">
              <w:rPr>
                <w:sz w:val="20"/>
                <w:szCs w:val="20"/>
              </w:rPr>
              <w:t>0.</w:t>
            </w:r>
            <w:r w:rsidR="00154973">
              <w:rPr>
                <w:sz w:val="20"/>
                <w:szCs w:val="20"/>
              </w:rPr>
              <w:t>33</w:t>
            </w:r>
          </w:p>
        </w:tc>
      </w:tr>
      <w:tr w:rsidR="00197875" w:rsidRPr="00A77AF6" w14:paraId="42845049" w14:textId="77777777" w:rsidTr="00DE1348">
        <w:trPr>
          <w:trHeight w:val="73"/>
        </w:trPr>
        <w:tc>
          <w:tcPr>
            <w:tcW w:w="2121" w:type="dxa"/>
          </w:tcPr>
          <w:p w14:paraId="79239E94" w14:textId="77777777" w:rsidR="00197875" w:rsidRPr="00A77AF6" w:rsidRDefault="00197875" w:rsidP="009D6034">
            <w:pPr>
              <w:rPr>
                <w:rFonts w:cstheme="minorHAnsi"/>
                <w:sz w:val="20"/>
                <w:szCs w:val="20"/>
              </w:rPr>
            </w:pPr>
            <w:r w:rsidRPr="00A77AF6">
              <w:rPr>
                <w:rFonts w:cstheme="minorHAnsi"/>
                <w:sz w:val="20"/>
                <w:szCs w:val="20"/>
              </w:rPr>
              <w:t xml:space="preserve">Risk and project success </w:t>
            </w:r>
          </w:p>
          <w:p w14:paraId="66878EB9" w14:textId="77777777" w:rsidR="00197875" w:rsidRPr="00A77AF6" w:rsidRDefault="00197875" w:rsidP="009D6034">
            <w:pPr>
              <w:rPr>
                <w:rFonts w:cstheme="minorHAnsi"/>
                <w:sz w:val="20"/>
                <w:szCs w:val="20"/>
              </w:rPr>
            </w:pPr>
            <w:r w:rsidRPr="00A77AF6">
              <w:rPr>
                <w:rFonts w:cstheme="minorHAnsi"/>
                <w:sz w:val="20"/>
                <w:szCs w:val="20"/>
              </w:rPr>
              <w:t>(n=51)</w:t>
            </w:r>
          </w:p>
        </w:tc>
        <w:tc>
          <w:tcPr>
            <w:tcW w:w="851" w:type="dxa"/>
          </w:tcPr>
          <w:p w14:paraId="797B2BE4" w14:textId="77777777" w:rsidR="00197875" w:rsidRPr="00A77AF6" w:rsidRDefault="00197875" w:rsidP="009D6034">
            <w:pPr>
              <w:rPr>
                <w:rFonts w:cstheme="minorHAnsi"/>
                <w:sz w:val="20"/>
                <w:szCs w:val="20"/>
              </w:rPr>
            </w:pPr>
            <w:r w:rsidRPr="00A77AF6">
              <w:rPr>
                <w:rFonts w:cstheme="minorHAnsi"/>
                <w:sz w:val="20"/>
                <w:szCs w:val="20"/>
              </w:rPr>
              <w:t>0.195</w:t>
            </w:r>
          </w:p>
        </w:tc>
        <w:tc>
          <w:tcPr>
            <w:tcW w:w="992" w:type="dxa"/>
          </w:tcPr>
          <w:p w14:paraId="054FBE1F" w14:textId="77777777" w:rsidR="00197875" w:rsidRPr="00A77AF6" w:rsidRDefault="00197875" w:rsidP="009D6034">
            <w:pPr>
              <w:rPr>
                <w:rFonts w:cstheme="minorHAnsi"/>
                <w:sz w:val="20"/>
                <w:szCs w:val="20"/>
              </w:rPr>
            </w:pPr>
            <w:r w:rsidRPr="00A77AF6">
              <w:rPr>
                <w:rFonts w:cstheme="minorHAnsi"/>
                <w:sz w:val="20"/>
                <w:szCs w:val="20"/>
              </w:rPr>
              <w:t>0.0379</w:t>
            </w:r>
          </w:p>
        </w:tc>
        <w:tc>
          <w:tcPr>
            <w:tcW w:w="1134" w:type="dxa"/>
          </w:tcPr>
          <w:p w14:paraId="5F3D5B24" w14:textId="04321FEB" w:rsidR="00197875" w:rsidRPr="00A77AF6" w:rsidRDefault="0008393B" w:rsidP="009D6034">
            <w:pPr>
              <w:rPr>
                <w:rFonts w:cstheme="minorHAnsi"/>
                <w:sz w:val="20"/>
                <w:szCs w:val="20"/>
              </w:rPr>
            </w:pPr>
            <w:r w:rsidRPr="00A77AF6">
              <w:rPr>
                <w:rFonts w:cstheme="minorHAnsi"/>
                <w:sz w:val="20"/>
                <w:szCs w:val="20"/>
              </w:rPr>
              <w:t>0.913</w:t>
            </w:r>
          </w:p>
        </w:tc>
        <w:tc>
          <w:tcPr>
            <w:tcW w:w="1134" w:type="dxa"/>
            <w:shd w:val="clear" w:color="auto" w:fill="FFFFFF" w:themeFill="background1"/>
          </w:tcPr>
          <w:p w14:paraId="4FDE508A" w14:textId="248A348C" w:rsidR="00197875" w:rsidRPr="00A77AF6" w:rsidRDefault="00197875" w:rsidP="009D6034">
            <w:pPr>
              <w:rPr>
                <w:rFonts w:cstheme="minorHAnsi"/>
                <w:sz w:val="20"/>
                <w:szCs w:val="20"/>
              </w:rPr>
            </w:pPr>
            <w:r w:rsidRPr="00A77AF6">
              <w:rPr>
                <w:rFonts w:cstheme="minorHAnsi"/>
                <w:sz w:val="20"/>
                <w:szCs w:val="20"/>
              </w:rPr>
              <w:t>0.14</w:t>
            </w:r>
            <w:r w:rsidR="0008393B" w:rsidRPr="00A77AF6">
              <w:rPr>
                <w:rFonts w:cstheme="minorHAnsi"/>
                <w:sz w:val="20"/>
                <w:szCs w:val="20"/>
              </w:rPr>
              <w:t>0</w:t>
            </w:r>
          </w:p>
        </w:tc>
        <w:tc>
          <w:tcPr>
            <w:tcW w:w="1843" w:type="dxa"/>
            <w:shd w:val="clear" w:color="auto" w:fill="FFFFFF" w:themeFill="background1"/>
          </w:tcPr>
          <w:p w14:paraId="77DBB38E" w14:textId="100A14A8" w:rsidR="00197875" w:rsidRPr="00A77AF6" w:rsidRDefault="00197875" w:rsidP="009D6034">
            <w:pPr>
              <w:rPr>
                <w:rFonts w:cstheme="minorHAnsi"/>
                <w:sz w:val="20"/>
                <w:szCs w:val="20"/>
              </w:rPr>
            </w:pPr>
            <w:r w:rsidRPr="00A77AF6">
              <w:rPr>
                <w:rFonts w:cstheme="minorHAnsi"/>
                <w:sz w:val="20"/>
                <w:szCs w:val="20"/>
              </w:rPr>
              <w:t>-0.0</w:t>
            </w:r>
            <w:r w:rsidR="00154973">
              <w:rPr>
                <w:rFonts w:cstheme="minorHAnsi"/>
                <w:sz w:val="20"/>
                <w:szCs w:val="20"/>
              </w:rPr>
              <w:t>794</w:t>
            </w:r>
            <w:r w:rsidR="0008393B" w:rsidRPr="00A77AF6">
              <w:rPr>
                <w:rFonts w:cstheme="minorHAnsi"/>
                <w:sz w:val="20"/>
                <w:szCs w:val="20"/>
              </w:rPr>
              <w:t xml:space="preserve">, </w:t>
            </w:r>
            <w:r w:rsidRPr="00A77AF6">
              <w:rPr>
                <w:rFonts w:cstheme="minorHAnsi"/>
                <w:sz w:val="20"/>
                <w:szCs w:val="20"/>
              </w:rPr>
              <w:t>0.46</w:t>
            </w:r>
            <w:r w:rsidR="00154973">
              <w:rPr>
                <w:rFonts w:cstheme="minorHAnsi"/>
                <w:sz w:val="20"/>
                <w:szCs w:val="20"/>
              </w:rPr>
              <w:t>9</w:t>
            </w:r>
            <w:r w:rsidRPr="00A77AF6">
              <w:rPr>
                <w:rFonts w:cstheme="minorHAnsi"/>
                <w:sz w:val="20"/>
                <w:szCs w:val="20"/>
              </w:rPr>
              <w:t>4</w:t>
            </w:r>
          </w:p>
        </w:tc>
      </w:tr>
      <w:tr w:rsidR="0008393B" w:rsidRPr="00A77AF6" w14:paraId="4B234E93" w14:textId="77777777" w:rsidTr="00DE1348">
        <w:trPr>
          <w:trHeight w:val="73"/>
        </w:trPr>
        <w:tc>
          <w:tcPr>
            <w:tcW w:w="2121" w:type="dxa"/>
          </w:tcPr>
          <w:p w14:paraId="1B099EB4" w14:textId="77777777" w:rsidR="0008393B" w:rsidRPr="00A77AF6" w:rsidRDefault="0008393B" w:rsidP="009D6034">
            <w:pPr>
              <w:rPr>
                <w:rFonts w:cstheme="minorHAnsi"/>
                <w:sz w:val="20"/>
                <w:szCs w:val="20"/>
              </w:rPr>
            </w:pPr>
            <w:r w:rsidRPr="00A77AF6">
              <w:rPr>
                <w:rFonts w:cstheme="minorHAnsi"/>
                <w:sz w:val="20"/>
                <w:szCs w:val="20"/>
              </w:rPr>
              <w:t xml:space="preserve">CSF and project success </w:t>
            </w:r>
          </w:p>
          <w:p w14:paraId="5B1A2E10" w14:textId="77777777" w:rsidR="0008393B" w:rsidRPr="00A77AF6" w:rsidRDefault="0008393B" w:rsidP="009D6034">
            <w:pPr>
              <w:rPr>
                <w:rFonts w:cstheme="minorHAnsi"/>
                <w:sz w:val="20"/>
                <w:szCs w:val="20"/>
              </w:rPr>
            </w:pPr>
            <w:r w:rsidRPr="00A77AF6">
              <w:rPr>
                <w:rFonts w:cstheme="minorHAnsi"/>
                <w:sz w:val="20"/>
                <w:szCs w:val="20"/>
              </w:rPr>
              <w:t>(n=51)</w:t>
            </w:r>
          </w:p>
        </w:tc>
        <w:tc>
          <w:tcPr>
            <w:tcW w:w="851" w:type="dxa"/>
          </w:tcPr>
          <w:p w14:paraId="16661161" w14:textId="77777777" w:rsidR="0008393B" w:rsidRPr="00A77AF6" w:rsidRDefault="0008393B" w:rsidP="009D6034">
            <w:pPr>
              <w:rPr>
                <w:rFonts w:cstheme="minorHAnsi"/>
                <w:sz w:val="20"/>
                <w:szCs w:val="20"/>
              </w:rPr>
            </w:pPr>
            <w:r w:rsidRPr="00A77AF6">
              <w:rPr>
                <w:rFonts w:cstheme="minorHAnsi"/>
                <w:sz w:val="20"/>
                <w:szCs w:val="20"/>
              </w:rPr>
              <w:t>0.31</w:t>
            </w:r>
          </w:p>
        </w:tc>
        <w:tc>
          <w:tcPr>
            <w:tcW w:w="992" w:type="dxa"/>
          </w:tcPr>
          <w:p w14:paraId="64B5697D" w14:textId="77777777" w:rsidR="0008393B" w:rsidRPr="00A77AF6" w:rsidRDefault="0008393B" w:rsidP="009D6034">
            <w:pPr>
              <w:rPr>
                <w:rFonts w:cstheme="minorHAnsi"/>
                <w:sz w:val="20"/>
                <w:szCs w:val="20"/>
              </w:rPr>
            </w:pPr>
            <w:r w:rsidRPr="00A77AF6">
              <w:rPr>
                <w:rFonts w:cstheme="minorHAnsi"/>
                <w:sz w:val="20"/>
                <w:szCs w:val="20"/>
              </w:rPr>
              <w:t>0.0965</w:t>
            </w:r>
          </w:p>
        </w:tc>
        <w:tc>
          <w:tcPr>
            <w:tcW w:w="1134" w:type="dxa"/>
          </w:tcPr>
          <w:p w14:paraId="1E9CC38B" w14:textId="77777777" w:rsidR="0008393B" w:rsidRPr="00A77AF6" w:rsidRDefault="0008393B" w:rsidP="009D6034">
            <w:pPr>
              <w:rPr>
                <w:rFonts w:cstheme="minorHAnsi"/>
                <w:sz w:val="20"/>
                <w:szCs w:val="20"/>
              </w:rPr>
            </w:pPr>
            <w:r w:rsidRPr="00A77AF6">
              <w:rPr>
                <w:rFonts w:cstheme="minorHAnsi"/>
                <w:sz w:val="20"/>
                <w:szCs w:val="20"/>
              </w:rPr>
              <w:t>0.9865</w:t>
            </w:r>
          </w:p>
        </w:tc>
        <w:tc>
          <w:tcPr>
            <w:tcW w:w="1134" w:type="dxa"/>
            <w:shd w:val="clear" w:color="auto" w:fill="FFFFFF" w:themeFill="background1"/>
          </w:tcPr>
          <w:p w14:paraId="7F066AE2" w14:textId="77777777" w:rsidR="0008393B" w:rsidRPr="00A77AF6" w:rsidRDefault="0008393B" w:rsidP="009D6034">
            <w:pPr>
              <w:rPr>
                <w:rFonts w:cstheme="minorHAnsi"/>
                <w:sz w:val="20"/>
                <w:szCs w:val="20"/>
              </w:rPr>
            </w:pPr>
            <w:r w:rsidRPr="00A77AF6">
              <w:rPr>
                <w:rFonts w:cstheme="minorHAnsi"/>
                <w:sz w:val="20"/>
                <w:szCs w:val="20"/>
              </w:rPr>
              <w:t>0.136</w:t>
            </w:r>
          </w:p>
        </w:tc>
        <w:tc>
          <w:tcPr>
            <w:tcW w:w="1843" w:type="dxa"/>
            <w:shd w:val="clear" w:color="auto" w:fill="FFFFFF" w:themeFill="background1"/>
          </w:tcPr>
          <w:p w14:paraId="7C75B811" w14:textId="7C79B810" w:rsidR="0008393B" w:rsidRPr="00A77AF6" w:rsidRDefault="0008393B" w:rsidP="009D6034">
            <w:pPr>
              <w:rPr>
                <w:rFonts w:cstheme="minorHAnsi"/>
                <w:sz w:val="20"/>
                <w:szCs w:val="20"/>
              </w:rPr>
            </w:pPr>
            <w:r w:rsidRPr="00A77AF6">
              <w:rPr>
                <w:rFonts w:cstheme="minorHAnsi"/>
                <w:sz w:val="20"/>
                <w:szCs w:val="20"/>
              </w:rPr>
              <w:t>0.0434, 0.5766</w:t>
            </w:r>
          </w:p>
        </w:tc>
      </w:tr>
    </w:tbl>
    <w:p w14:paraId="0916CB18" w14:textId="592EB6FF" w:rsidR="000934D5" w:rsidRDefault="000934D5" w:rsidP="004D1CAF">
      <w:pPr>
        <w:spacing w:line="360" w:lineRule="auto"/>
      </w:pPr>
    </w:p>
    <w:p w14:paraId="702F361E" w14:textId="77777777" w:rsidR="00303986" w:rsidRPr="00A77AF6" w:rsidRDefault="00303986" w:rsidP="004D1CAF">
      <w:pPr>
        <w:spacing w:line="360" w:lineRule="auto"/>
      </w:pPr>
    </w:p>
    <w:p w14:paraId="4F23F28C" w14:textId="2DD4CCFC" w:rsidR="00127D92" w:rsidRPr="00A77AF6" w:rsidRDefault="00127D92" w:rsidP="00565202">
      <w:pPr>
        <w:pStyle w:val="Heading2"/>
        <w:spacing w:after="120"/>
      </w:pPr>
      <w:bookmarkStart w:id="179" w:name="_Toc36275134"/>
      <w:r w:rsidRPr="00A77AF6">
        <w:lastRenderedPageBreak/>
        <w:t>Concluding remarks</w:t>
      </w:r>
      <w:bookmarkEnd w:id="179"/>
    </w:p>
    <w:p w14:paraId="0AB0D4EA" w14:textId="77777777" w:rsidR="00F95A8C" w:rsidRPr="00A77AF6" w:rsidRDefault="00F95A8C" w:rsidP="0007452B">
      <w:pPr>
        <w:pStyle w:val="Heading4"/>
        <w:numPr>
          <w:ilvl w:val="0"/>
          <w:numId w:val="0"/>
        </w:numPr>
        <w:spacing w:after="120"/>
        <w:ind w:left="862" w:hanging="862"/>
      </w:pPr>
      <w:r w:rsidRPr="00A77AF6">
        <w:t>Ethical predisposition</w:t>
      </w:r>
    </w:p>
    <w:p w14:paraId="40EB22FE" w14:textId="6AD0F9A1" w:rsidR="00F95A8C" w:rsidRPr="00A77AF6" w:rsidRDefault="00AA1F0F" w:rsidP="00F95A8C">
      <w:pPr>
        <w:spacing w:after="120" w:line="360" w:lineRule="auto"/>
      </w:pPr>
      <w:r w:rsidRPr="00A77AF6">
        <w:rPr>
          <w:color w:val="000000" w:themeColor="text1"/>
        </w:rPr>
        <w:t>W</w:t>
      </w:r>
      <w:r w:rsidR="00F95A8C" w:rsidRPr="00A77AF6">
        <w:rPr>
          <w:color w:val="000000" w:themeColor="text1"/>
        </w:rPr>
        <w:t xml:space="preserve">eak correlation </w:t>
      </w:r>
      <w:r w:rsidRPr="00A77AF6">
        <w:rPr>
          <w:color w:val="000000" w:themeColor="text1"/>
        </w:rPr>
        <w:t xml:space="preserve">was found </w:t>
      </w:r>
      <w:r w:rsidR="00F95A8C" w:rsidRPr="00A77AF6">
        <w:rPr>
          <w:color w:val="000000" w:themeColor="text1"/>
        </w:rPr>
        <w:t>between ethical predisposition and success measured by the iron triangle and project success score.  These results su</w:t>
      </w:r>
      <w:r w:rsidR="001B2984">
        <w:rPr>
          <w:color w:val="000000" w:themeColor="text1"/>
        </w:rPr>
        <w:t xml:space="preserve">ggest </w:t>
      </w:r>
      <w:r w:rsidR="00F95A8C" w:rsidRPr="00A77AF6">
        <w:rPr>
          <w:color w:val="000000" w:themeColor="text1"/>
        </w:rPr>
        <w:t xml:space="preserve">that ethical predisposition on its own does not make a significant contribution to project success (Table 6-45).  </w:t>
      </w:r>
      <w:r w:rsidR="00F95A8C" w:rsidRPr="00A77AF6">
        <w:t xml:space="preserve">Eighty-eight per cent of respondents were formalist regardless of age or gender.  The </w:t>
      </w:r>
      <w:r w:rsidR="00C47D9A" w:rsidRPr="00A77AF6">
        <w:t>literature review suggested that males may be more predisposed to utilitarianism than females, but this was not the case in this sample as only three men out of 37 were utilitarian.  The literature suggested that older people (above 40 years) are more likely to be formalists and this was the case in this study.  However, of the respondents under the a</w:t>
      </w:r>
      <w:r w:rsidR="00F90673">
        <w:t>g</w:t>
      </w:r>
      <w:r w:rsidR="00C47D9A" w:rsidRPr="00A77AF6">
        <w:t xml:space="preserve">e of 40, five were formalist and one was utilitarian, and this was not expected based on the literature. </w:t>
      </w:r>
    </w:p>
    <w:p w14:paraId="1AFFA809" w14:textId="4E6774AE" w:rsidR="00C47D9A" w:rsidRPr="00A77AF6" w:rsidRDefault="00C47D9A" w:rsidP="00071462">
      <w:pPr>
        <w:pStyle w:val="Heading4"/>
        <w:numPr>
          <w:ilvl w:val="0"/>
          <w:numId w:val="0"/>
        </w:numPr>
        <w:spacing w:after="120"/>
        <w:ind w:left="862" w:hanging="862"/>
      </w:pPr>
      <w:r w:rsidRPr="00A77AF6">
        <w:t>Project success</w:t>
      </w:r>
    </w:p>
    <w:p w14:paraId="680E99FC" w14:textId="546C34B8" w:rsidR="00071462" w:rsidRPr="00A77AF6" w:rsidRDefault="00C47D9A" w:rsidP="00071462">
      <w:pPr>
        <w:spacing w:after="0" w:line="360" w:lineRule="auto"/>
      </w:pPr>
      <w:r w:rsidRPr="00A77AF6">
        <w:t xml:space="preserve">The findings on the performance of projects suggested </w:t>
      </w:r>
      <w:r w:rsidR="001C14D0" w:rsidRPr="00A77AF6">
        <w:t xml:space="preserve">that respondents were not judging whether a project is successful by whether it met the iron triangle criteria.  </w:t>
      </w:r>
      <w:r w:rsidR="00071462" w:rsidRPr="00A77AF6">
        <w:t xml:space="preserve">This study described success in three ways: categorically, using the iron triangle measures and a project success score. </w:t>
      </w:r>
    </w:p>
    <w:p w14:paraId="5B72DCAE" w14:textId="3C459A39" w:rsidR="001C14D0" w:rsidRPr="00A77AF6" w:rsidRDefault="008A79C2" w:rsidP="00071462">
      <w:pPr>
        <w:spacing w:after="0" w:line="360" w:lineRule="auto"/>
      </w:pPr>
      <w:r w:rsidRPr="00A77AF6">
        <w:t>Forty-five</w:t>
      </w:r>
      <w:r w:rsidR="00C47D9A" w:rsidRPr="00A77AF6">
        <w:t xml:space="preserve"> (90%) project managers reported that their project had been successful at the end of the project management phase</w:t>
      </w:r>
      <w:r w:rsidR="001C14D0" w:rsidRPr="00A77AF6">
        <w:t xml:space="preserve">, but only </w:t>
      </w:r>
      <w:r w:rsidR="00C47D9A" w:rsidRPr="00A77AF6">
        <w:t xml:space="preserve">11 (22%) projects met all three criteria of time, cost and quality, the same figure that the APM (2015) found. </w:t>
      </w:r>
      <w:r w:rsidR="001C14D0" w:rsidRPr="00A77AF6">
        <w:t xml:space="preserve"> This suggests other measures are being used. </w:t>
      </w:r>
    </w:p>
    <w:p w14:paraId="1D673F28" w14:textId="3A07CF5F" w:rsidR="00071462" w:rsidRPr="00A77AF6" w:rsidRDefault="00C47D9A" w:rsidP="008A79C2">
      <w:pPr>
        <w:spacing w:after="0" w:line="360" w:lineRule="auto"/>
      </w:pPr>
      <w:r w:rsidRPr="00A77AF6">
        <w:t xml:space="preserve"> The most frequently achieved criteria was quality which 41 (80%) projects met.  The performance of projects to time and cost was significantly poorer.  Only 22 (43%) met their time criteria and 24 (47%) met cost targets.  If project success had been measured using a sliding scale, where a score of 9 was considered a success 18 (35%) projects would have been judged as successful rather than 11 (22%).  </w:t>
      </w:r>
      <w:r w:rsidR="001C14D0" w:rsidRPr="00A77AF6">
        <w:t xml:space="preserve">Respondents were less knowledgeable about the operational phase which, arguably, could be expected. This may suggest project personnel do not have enough operational knowledge to be sure that the building is operating to plan when it is in use, or that POEs are not being carried out, or if they are the information is not being </w:t>
      </w:r>
      <w:r w:rsidR="00434810" w:rsidRPr="00A77AF6">
        <w:t>shared</w:t>
      </w:r>
      <w:r w:rsidR="001C14D0" w:rsidRPr="00A77AF6">
        <w:t xml:space="preserve"> with project teams. </w:t>
      </w:r>
      <w:r w:rsidR="008A79C2" w:rsidRPr="00A77AF6">
        <w:t xml:space="preserve">The results suggested a ‘problem’ with measuring success, which was discussed in the literature. </w:t>
      </w:r>
      <w:r w:rsidR="00071462" w:rsidRPr="00A77AF6">
        <w:t xml:space="preserve">The problem with measuring success has been well-rehearsed in the literature and it been </w:t>
      </w:r>
      <w:r w:rsidR="008A79C2" w:rsidRPr="00A77AF6">
        <w:t>exposed in this study</w:t>
      </w:r>
      <w:r w:rsidR="00071462" w:rsidRPr="00A77AF6">
        <w:t xml:space="preserve">.  </w:t>
      </w:r>
      <w:r w:rsidR="008A79C2" w:rsidRPr="00A77AF6">
        <w:t xml:space="preserve">The problem of how to measure success was therefore explored </w:t>
      </w:r>
      <w:r w:rsidR="00071462" w:rsidRPr="00A77AF6">
        <w:t xml:space="preserve">further in the face-face interviews.   </w:t>
      </w:r>
    </w:p>
    <w:p w14:paraId="31F17771" w14:textId="58909516" w:rsidR="00F95A8C" w:rsidRPr="00A77AF6" w:rsidRDefault="00F95A8C" w:rsidP="008A79C2">
      <w:pPr>
        <w:pStyle w:val="Heading4"/>
        <w:numPr>
          <w:ilvl w:val="0"/>
          <w:numId w:val="0"/>
        </w:numPr>
        <w:spacing w:after="120"/>
        <w:ind w:left="862" w:hanging="862"/>
      </w:pPr>
      <w:r w:rsidRPr="00A77AF6">
        <w:t>Project governance and project success</w:t>
      </w:r>
    </w:p>
    <w:p w14:paraId="47685C0E" w14:textId="397B7506" w:rsidR="001C14D0" w:rsidRPr="00A77AF6" w:rsidRDefault="00F95A8C" w:rsidP="000A398E">
      <w:pPr>
        <w:spacing w:after="120" w:line="360" w:lineRule="auto"/>
        <w:rPr>
          <w:color w:val="000000" w:themeColor="text1"/>
          <w:u w:val="single"/>
        </w:rPr>
      </w:pPr>
      <w:r w:rsidRPr="00A77AF6">
        <w:rPr>
          <w:color w:val="000000" w:themeColor="text1"/>
        </w:rPr>
        <w:t>Weak correlation was found between project governance and project success measured by the iron triangle and project success score. These results su</w:t>
      </w:r>
      <w:r w:rsidR="001C14D0" w:rsidRPr="00A77AF6">
        <w:rPr>
          <w:color w:val="000000" w:themeColor="text1"/>
        </w:rPr>
        <w:t xml:space="preserve">ggest </w:t>
      </w:r>
      <w:r w:rsidRPr="00A77AF6">
        <w:rPr>
          <w:color w:val="000000" w:themeColor="text1"/>
        </w:rPr>
        <w:t>that project governance does not make a significant contribution to project success (Table 6-45).</w:t>
      </w:r>
      <w:r w:rsidR="001C14D0" w:rsidRPr="00A77AF6">
        <w:rPr>
          <w:color w:val="000000" w:themeColor="text1"/>
        </w:rPr>
        <w:t xml:space="preserve">  The literature review suggested </w:t>
      </w:r>
      <w:r w:rsidR="001C14D0" w:rsidRPr="00A77AF6">
        <w:rPr>
          <w:color w:val="000000" w:themeColor="text1"/>
        </w:rPr>
        <w:lastRenderedPageBreak/>
        <w:t xml:space="preserve">that </w:t>
      </w:r>
      <w:r w:rsidR="000A398E" w:rsidRPr="00A77AF6">
        <w:rPr>
          <w:color w:val="000000" w:themeColor="text1"/>
        </w:rPr>
        <w:t>project</w:t>
      </w:r>
      <w:r w:rsidR="001C14D0" w:rsidRPr="00A77AF6">
        <w:rPr>
          <w:color w:val="000000" w:themeColor="text1"/>
        </w:rPr>
        <w:t xml:space="preserve"> governance can </w:t>
      </w:r>
      <w:r w:rsidR="000A398E" w:rsidRPr="00A77AF6">
        <w:rPr>
          <w:color w:val="000000" w:themeColor="text1"/>
        </w:rPr>
        <w:t>improve the chances of project success</w:t>
      </w:r>
      <w:r w:rsidR="00071462" w:rsidRPr="00A77AF6">
        <w:rPr>
          <w:color w:val="000000" w:themeColor="text1"/>
        </w:rPr>
        <w:t xml:space="preserve"> (HMT, 2007, Axelos, 2009)</w:t>
      </w:r>
      <w:r w:rsidR="000A398E" w:rsidRPr="00A77AF6">
        <w:rPr>
          <w:color w:val="000000" w:themeColor="text1"/>
        </w:rPr>
        <w:t xml:space="preserve"> so this result was unexpected.  </w:t>
      </w:r>
      <w:r w:rsidR="001C14D0" w:rsidRPr="00A77AF6">
        <w:t>What can</w:t>
      </w:r>
      <w:r w:rsidR="000A398E" w:rsidRPr="00A77AF6">
        <w:t xml:space="preserve"> be</w:t>
      </w:r>
      <w:r w:rsidR="001C14D0" w:rsidRPr="00A77AF6">
        <w:t xml:space="preserve"> </w:t>
      </w:r>
      <w:r w:rsidR="000A398E" w:rsidRPr="00A77AF6">
        <w:t xml:space="preserve">drawn from this study  is that </w:t>
      </w:r>
      <w:r w:rsidR="001C14D0" w:rsidRPr="00A77AF6">
        <w:t xml:space="preserve">respondents </w:t>
      </w:r>
      <w:r w:rsidR="000A398E" w:rsidRPr="00A77AF6">
        <w:t xml:space="preserve">thought that </w:t>
      </w:r>
      <w:r w:rsidR="001C14D0" w:rsidRPr="00A77AF6">
        <w:t xml:space="preserve">project governance </w:t>
      </w:r>
      <w:r w:rsidR="000A398E" w:rsidRPr="00A77AF6">
        <w:t>was</w:t>
      </w:r>
      <w:r w:rsidR="001C14D0" w:rsidRPr="00A77AF6">
        <w:t xml:space="preserve"> effective</w:t>
      </w:r>
      <w:r w:rsidR="000A398E" w:rsidRPr="00A77AF6">
        <w:t xml:space="preserve">. </w:t>
      </w:r>
      <w:r w:rsidR="001C14D0" w:rsidRPr="00A77AF6">
        <w:t xml:space="preserve"> Project personnel appear</w:t>
      </w:r>
      <w:r w:rsidR="000A398E" w:rsidRPr="00A77AF6">
        <w:t xml:space="preserve">ed </w:t>
      </w:r>
      <w:r w:rsidR="001C14D0" w:rsidRPr="00A77AF6">
        <w:t xml:space="preserve">to be satisfied with the effectiveness of project governance even though </w:t>
      </w:r>
      <w:r w:rsidR="000A398E" w:rsidRPr="00A77AF6">
        <w:t xml:space="preserve">it did not lead to project success. </w:t>
      </w:r>
      <w:r w:rsidR="001C14D0" w:rsidRPr="00A77AF6">
        <w:t xml:space="preserve">The formalist nature of most respondents might </w:t>
      </w:r>
      <w:r w:rsidR="000A398E" w:rsidRPr="00A77AF6">
        <w:t xml:space="preserve">be satisfied that project governance was followed but this does not explain their general satisfaction with it.  The predominance of formalism and the reasons for it were explored in the face-to-face interviews. </w:t>
      </w:r>
    </w:p>
    <w:p w14:paraId="23226A86" w14:textId="579D44E1" w:rsidR="00F95A8C" w:rsidRPr="00A77AF6" w:rsidRDefault="00F95A8C" w:rsidP="008A79C2">
      <w:pPr>
        <w:pStyle w:val="Heading4"/>
        <w:numPr>
          <w:ilvl w:val="0"/>
          <w:numId w:val="0"/>
        </w:numPr>
        <w:spacing w:after="120"/>
        <w:ind w:left="862" w:hanging="862"/>
      </w:pPr>
      <w:r w:rsidRPr="00A77AF6">
        <w:t>Corporate governance and project success</w:t>
      </w:r>
    </w:p>
    <w:p w14:paraId="41E996E4" w14:textId="688A4EAD" w:rsidR="00414143" w:rsidRPr="00A77AF6" w:rsidRDefault="00F95A8C" w:rsidP="000A398E">
      <w:pPr>
        <w:spacing w:line="360" w:lineRule="auto"/>
      </w:pPr>
      <w:r w:rsidRPr="00A77AF6">
        <w:rPr>
          <w:color w:val="000000" w:themeColor="text1"/>
        </w:rPr>
        <w:t xml:space="preserve">The result for correlation analyses between corporate governance and project success were not significant. </w:t>
      </w:r>
      <w:r w:rsidR="000A398E" w:rsidRPr="00A77AF6">
        <w:rPr>
          <w:color w:val="000000" w:themeColor="text1"/>
        </w:rPr>
        <w:t xml:space="preserve"> </w:t>
      </w:r>
      <w:r w:rsidR="00414143" w:rsidRPr="00A77AF6">
        <w:t xml:space="preserve">Corporate </w:t>
      </w:r>
      <w:r w:rsidR="00F7749F" w:rsidRPr="00A77AF6">
        <w:t>governance did</w:t>
      </w:r>
      <w:r w:rsidR="00414143" w:rsidRPr="00A77AF6">
        <w:t xml:space="preserve"> not have a </w:t>
      </w:r>
      <w:r w:rsidR="00483738" w:rsidRPr="00A77AF6">
        <w:t xml:space="preserve">direct link with project </w:t>
      </w:r>
      <w:r w:rsidR="00701BB1" w:rsidRPr="00A77AF6">
        <w:t>success</w:t>
      </w:r>
      <w:r w:rsidR="00A51ACB" w:rsidRPr="00A77AF6">
        <w:t xml:space="preserve">, and </w:t>
      </w:r>
      <w:r w:rsidR="000A398E" w:rsidRPr="00A77AF6">
        <w:t xml:space="preserve">arguably </w:t>
      </w:r>
      <w:r w:rsidR="00A51ACB" w:rsidRPr="00A77AF6">
        <w:t xml:space="preserve">this could be anticipated.  Corporate </w:t>
      </w:r>
      <w:r w:rsidR="000A398E" w:rsidRPr="00A77AF6">
        <w:t>g</w:t>
      </w:r>
      <w:r w:rsidR="00A51ACB" w:rsidRPr="00A77AF6">
        <w:t>overnance</w:t>
      </w:r>
      <w:r w:rsidR="00483738" w:rsidRPr="00A77AF6">
        <w:t xml:space="preserve"> </w:t>
      </w:r>
      <w:r w:rsidR="00A51ACB" w:rsidRPr="00A77AF6">
        <w:t xml:space="preserve">establishes or approves the </w:t>
      </w:r>
      <w:r w:rsidR="00483738" w:rsidRPr="00A77AF6">
        <w:t xml:space="preserve">project governance </w:t>
      </w:r>
      <w:r w:rsidR="00A51ACB" w:rsidRPr="00A77AF6">
        <w:t>structure</w:t>
      </w:r>
      <w:r w:rsidR="000A398E" w:rsidRPr="00A77AF6">
        <w:t xml:space="preserve">, roles and  processes and it </w:t>
      </w:r>
      <w:r w:rsidR="00483738" w:rsidRPr="00A77AF6">
        <w:t>could be argued that effective corporate governance would ensure effective project governance which in turn would lead to project success</w:t>
      </w:r>
      <w:r w:rsidR="00A51ACB" w:rsidRPr="00A77AF6">
        <w:t>.  How</w:t>
      </w:r>
      <w:r w:rsidR="00483738" w:rsidRPr="00A77AF6">
        <w:t xml:space="preserve">ever, </w:t>
      </w:r>
      <w:r w:rsidR="00A51ACB" w:rsidRPr="00A77AF6">
        <w:t xml:space="preserve">the link to project success could not be shown </w:t>
      </w:r>
      <w:r w:rsidR="00483738" w:rsidRPr="00A77AF6">
        <w:t xml:space="preserve">in this study.  </w:t>
      </w:r>
      <w:r w:rsidR="000A398E" w:rsidRPr="00A77AF6">
        <w:t xml:space="preserve">It is evident from the data </w:t>
      </w:r>
      <w:r w:rsidR="00483738" w:rsidRPr="00A77AF6">
        <w:t>that c</w:t>
      </w:r>
      <w:r w:rsidR="00127D92" w:rsidRPr="00A77AF6">
        <w:t xml:space="preserve">orporate governance was judged to be less effective than project governance </w:t>
      </w:r>
      <w:r w:rsidR="00414143" w:rsidRPr="00A77AF6">
        <w:t xml:space="preserve">and this </w:t>
      </w:r>
      <w:r w:rsidR="00127D92" w:rsidRPr="00A77AF6">
        <w:t xml:space="preserve">may have </w:t>
      </w:r>
      <w:r w:rsidR="00414143" w:rsidRPr="00A77AF6">
        <w:t>several</w:t>
      </w:r>
      <w:r w:rsidR="00127D92" w:rsidRPr="00A77AF6">
        <w:t xml:space="preserve"> explanations</w:t>
      </w:r>
      <w:r w:rsidR="000A398E" w:rsidRPr="00A77AF6">
        <w:t>. It may be</w:t>
      </w:r>
      <w:r w:rsidR="00127D92" w:rsidRPr="00A77AF6">
        <w:t xml:space="preserve"> that project personnel are uncertain about the usefulness of corporate governance in projects</w:t>
      </w:r>
      <w:r w:rsidR="000A398E" w:rsidRPr="00A77AF6">
        <w:t>;</w:t>
      </w:r>
      <w:r w:rsidR="00127D92" w:rsidRPr="00A77AF6">
        <w:t xml:space="preserve"> that corporate governance is more focussed on operational matters </w:t>
      </w:r>
      <w:r w:rsidR="00414143" w:rsidRPr="00A77AF6">
        <w:t>so is not so evident in projects</w:t>
      </w:r>
      <w:r w:rsidR="000A398E" w:rsidRPr="00A77AF6">
        <w:t>;</w:t>
      </w:r>
      <w:r w:rsidR="00414143" w:rsidRPr="00A77AF6">
        <w:t xml:space="preserve"> </w:t>
      </w:r>
      <w:r w:rsidR="00127D92" w:rsidRPr="00A77AF6">
        <w:t xml:space="preserve">or that the project director manages the relationship between project and corporate governance and as a result </w:t>
      </w:r>
      <w:r w:rsidR="00414143" w:rsidRPr="00A77AF6">
        <w:t xml:space="preserve">project personnel do not have sight of the corporate layer.  </w:t>
      </w:r>
      <w:r w:rsidR="00483738" w:rsidRPr="00A77AF6">
        <w:t xml:space="preserve">This ambivalence </w:t>
      </w:r>
      <w:r w:rsidR="000A398E" w:rsidRPr="00A77AF6">
        <w:t xml:space="preserve">of respondents to the relative effectiveness of project and corporate governance </w:t>
      </w:r>
      <w:r w:rsidR="00483738" w:rsidRPr="00A77AF6">
        <w:t xml:space="preserve"> was explored further </w:t>
      </w:r>
      <w:r w:rsidR="00F91B86" w:rsidRPr="00A77AF6">
        <w:t>i</w:t>
      </w:r>
      <w:r w:rsidR="00483738" w:rsidRPr="00A77AF6">
        <w:t xml:space="preserve">n the face-to-face interviews.  </w:t>
      </w:r>
    </w:p>
    <w:p w14:paraId="3821D374" w14:textId="5C823F84" w:rsidR="000A398E" w:rsidRPr="00A77AF6" w:rsidRDefault="000A398E" w:rsidP="008A79C2">
      <w:pPr>
        <w:pStyle w:val="Heading4"/>
        <w:numPr>
          <w:ilvl w:val="0"/>
          <w:numId w:val="0"/>
        </w:numPr>
        <w:spacing w:after="120"/>
        <w:ind w:left="862" w:hanging="862"/>
      </w:pPr>
      <w:r w:rsidRPr="00A77AF6">
        <w:t>Risk</w:t>
      </w:r>
    </w:p>
    <w:p w14:paraId="7672A535" w14:textId="2F048829" w:rsidR="000A398E" w:rsidRPr="00A77AF6" w:rsidRDefault="00D56D61" w:rsidP="00C64CF8">
      <w:pPr>
        <w:spacing w:line="360" w:lineRule="auto"/>
      </w:pPr>
      <w:r w:rsidRPr="00A77AF6">
        <w:t>Risk was expected to influence projects negatively, so the greater the risk the less successful a project would be</w:t>
      </w:r>
      <w:r w:rsidR="00071462" w:rsidRPr="00A77AF6">
        <w:t xml:space="preserve"> </w:t>
      </w:r>
      <w:sdt>
        <w:sdtPr>
          <w:id w:val="-2112819774"/>
          <w:citation/>
        </w:sdtPr>
        <w:sdtEndPr/>
        <w:sdtContent>
          <w:r w:rsidR="00071462" w:rsidRPr="00A77AF6">
            <w:fldChar w:fldCharType="begin"/>
          </w:r>
          <w:r w:rsidR="00071462" w:rsidRPr="00A77AF6">
            <w:instrText xml:space="preserve"> CITATION Mot02 \l 2057 </w:instrText>
          </w:r>
          <w:r w:rsidR="00071462" w:rsidRPr="00A77AF6">
            <w:fldChar w:fldCharType="separate"/>
          </w:r>
          <w:r w:rsidR="008E653F" w:rsidRPr="00A77AF6">
            <w:t>(Mott Mac Donald, 2002)</w:t>
          </w:r>
          <w:r w:rsidR="00071462" w:rsidRPr="00A77AF6">
            <w:fldChar w:fldCharType="end"/>
          </w:r>
        </w:sdtContent>
      </w:sdt>
      <w:r w:rsidR="000A398E" w:rsidRPr="00A77AF6">
        <w:t xml:space="preserve">.  There was weak inverse correlation between risk and project success.  </w:t>
      </w:r>
      <w:r w:rsidR="00071462" w:rsidRPr="00A77AF6">
        <w:t xml:space="preserve">Analysis showed that there was relatively little difference between the risk profile of projects measured a standard NHS project tool. </w:t>
      </w:r>
    </w:p>
    <w:p w14:paraId="4A494BCA" w14:textId="24DF4887" w:rsidR="000A398E" w:rsidRPr="00A77AF6" w:rsidRDefault="00071462" w:rsidP="00D440E3">
      <w:pPr>
        <w:pStyle w:val="Heading4"/>
        <w:numPr>
          <w:ilvl w:val="0"/>
          <w:numId w:val="0"/>
        </w:numPr>
        <w:spacing w:after="120"/>
        <w:ind w:left="862" w:hanging="862"/>
      </w:pPr>
      <w:r w:rsidRPr="00A77AF6">
        <w:t>C</w:t>
      </w:r>
      <w:r w:rsidR="00D440E3" w:rsidRPr="00A77AF6">
        <w:t>ritical success factors</w:t>
      </w:r>
    </w:p>
    <w:p w14:paraId="36EAEDF9" w14:textId="6BD7BAE8" w:rsidR="00071462" w:rsidRPr="00A77AF6" w:rsidRDefault="00D56D61" w:rsidP="00C64CF8">
      <w:pPr>
        <w:spacing w:line="360" w:lineRule="auto"/>
      </w:pPr>
      <w:r w:rsidRPr="00A77AF6">
        <w:t>CSF were expected to influence projects positively, so the more effective CSFs were the more successful a project would be</w:t>
      </w:r>
      <w:r w:rsidR="00522163" w:rsidRPr="00A77AF6">
        <w:t xml:space="preserve"> (Pinto &amp; Prescott (1988</w:t>
      </w:r>
      <w:r w:rsidR="00F7749F" w:rsidRPr="00A77AF6">
        <w:t>), Pinto</w:t>
      </w:r>
      <w:r w:rsidR="00522163" w:rsidRPr="00A77AF6">
        <w:t xml:space="preserve"> (1990) and Pinto &amp; Covin (1989</w:t>
      </w:r>
      <w:r w:rsidR="00071462" w:rsidRPr="00A77AF6">
        <w:t xml:space="preserve">.  </w:t>
      </w:r>
      <w:r w:rsidR="00B32855" w:rsidRPr="00A77AF6">
        <w:t xml:space="preserve">CSF were found to have a weak correlation with project </w:t>
      </w:r>
      <w:r w:rsidR="00701BB1" w:rsidRPr="00A77AF6">
        <w:t>success</w:t>
      </w:r>
      <w:r w:rsidR="00071462" w:rsidRPr="00A77AF6">
        <w:t xml:space="preserve">, this </w:t>
      </w:r>
      <w:r w:rsidR="00B32855" w:rsidRPr="00A77AF6">
        <w:t xml:space="preserve">was unexpected </w:t>
      </w:r>
      <w:r w:rsidR="00071462" w:rsidRPr="00A77AF6">
        <w:t xml:space="preserve">because a higher correlation was expected based on previous findings. </w:t>
      </w:r>
    </w:p>
    <w:p w14:paraId="7377104D" w14:textId="2F20F97A" w:rsidR="008A79C2" w:rsidRPr="00A77AF6" w:rsidRDefault="008A79C2" w:rsidP="00C64CF8">
      <w:pPr>
        <w:spacing w:line="360" w:lineRule="auto"/>
      </w:pPr>
      <w:r w:rsidRPr="00A77AF6">
        <w:t>In conclusion, t</w:t>
      </w:r>
      <w:r w:rsidR="00522163" w:rsidRPr="00A77AF6">
        <w:t>hree main findings from this part of the study were taken into the qualitative stage</w:t>
      </w:r>
      <w:r w:rsidRPr="00A77AF6">
        <w:t xml:space="preserve"> for further examination</w:t>
      </w:r>
      <w:r w:rsidR="00C64CF8" w:rsidRPr="00A77AF6">
        <w:t xml:space="preserve">: </w:t>
      </w:r>
      <w:r w:rsidR="00522163" w:rsidRPr="00A77AF6">
        <w:t>the reasons for the predominance of formalism;</w:t>
      </w:r>
      <w:r w:rsidRPr="00A77AF6">
        <w:t xml:space="preserve"> the difference in </w:t>
      </w:r>
      <w:r w:rsidRPr="00A77AF6">
        <w:lastRenderedPageBreak/>
        <w:t xml:space="preserve">perception of project and corporate governance and the measure of </w:t>
      </w:r>
      <w:r w:rsidR="00522163" w:rsidRPr="00A77AF6">
        <w:t>project success</w:t>
      </w:r>
      <w:r w:rsidRPr="00A77AF6">
        <w:t>. Th</w:t>
      </w:r>
      <w:r w:rsidR="00123882" w:rsidRPr="00A77AF6">
        <w:t xml:space="preserve">e next section presents the findings of </w:t>
      </w:r>
      <w:r w:rsidR="00C64CF8" w:rsidRPr="00A77AF6">
        <w:t>the six</w:t>
      </w:r>
      <w:r w:rsidR="00123882" w:rsidRPr="00A77AF6">
        <w:t xml:space="preserve"> face-to-face interviews</w:t>
      </w:r>
      <w:r w:rsidR="00C64CF8" w:rsidRPr="00A77AF6">
        <w:t xml:space="preserve">. </w:t>
      </w:r>
      <w:r w:rsidR="00123882" w:rsidRPr="00A77AF6">
        <w:t xml:space="preserve"> </w:t>
      </w:r>
    </w:p>
    <w:p w14:paraId="1F0F966A" w14:textId="77777777" w:rsidR="008A79C2" w:rsidRPr="00A77AF6" w:rsidRDefault="008A79C2">
      <w:r w:rsidRPr="00A77AF6">
        <w:br w:type="page"/>
      </w:r>
    </w:p>
    <w:p w14:paraId="7F01DFD1" w14:textId="595F28DD" w:rsidR="00894CAC" w:rsidRPr="00A77AF6" w:rsidRDefault="00501DB1" w:rsidP="0077297C">
      <w:pPr>
        <w:pStyle w:val="Heading1"/>
        <w:spacing w:after="120"/>
        <w:ind w:left="431" w:hanging="431"/>
        <w:rPr>
          <w:lang w:val="en-GB"/>
        </w:rPr>
      </w:pPr>
      <w:bookmarkStart w:id="180" w:name="_Toc36275135"/>
      <w:r w:rsidRPr="00A77AF6">
        <w:rPr>
          <w:lang w:val="en-GB"/>
        </w:rPr>
        <w:lastRenderedPageBreak/>
        <w:t>I</w:t>
      </w:r>
      <w:r w:rsidR="00A0188C" w:rsidRPr="00A77AF6">
        <w:rPr>
          <w:lang w:val="en-GB"/>
        </w:rPr>
        <w:t>nterview results</w:t>
      </w:r>
      <w:bookmarkEnd w:id="180"/>
    </w:p>
    <w:p w14:paraId="453E5E9E" w14:textId="65CF47F7" w:rsidR="00565202" w:rsidRPr="00A77AF6" w:rsidRDefault="0077297C" w:rsidP="00A0140C">
      <w:pPr>
        <w:spacing w:line="360" w:lineRule="auto"/>
      </w:pPr>
      <w:r w:rsidRPr="00A77AF6">
        <w:t>Phase 2 consisted of six face-to-face interviews with industry experts to e</w:t>
      </w:r>
      <w:r w:rsidR="008A79C2" w:rsidRPr="00A77AF6">
        <w:t xml:space="preserve">xplain </w:t>
      </w:r>
      <w:r w:rsidRPr="00A77AF6">
        <w:t>the findings of the e-survey</w:t>
      </w:r>
      <w:r w:rsidR="008A79C2" w:rsidRPr="00A77AF6">
        <w:t xml:space="preserve"> and to inform the development of a management tool</w:t>
      </w:r>
      <w:r w:rsidRPr="00A77AF6">
        <w:t xml:space="preserve">. </w:t>
      </w:r>
      <w:r w:rsidR="00002381" w:rsidRPr="00A77AF6">
        <w:t xml:space="preserve">This chapter provides the </w:t>
      </w:r>
      <w:r w:rsidR="00A0140C" w:rsidRPr="00A77AF6">
        <w:t xml:space="preserve">views of respondents </w:t>
      </w:r>
      <w:r w:rsidR="008A79C2" w:rsidRPr="00A77AF6">
        <w:t>on</w:t>
      </w:r>
      <w:r w:rsidR="00A0140C" w:rsidRPr="00A77AF6">
        <w:t xml:space="preserve"> </w:t>
      </w:r>
      <w:r w:rsidR="00002381" w:rsidRPr="00A77AF6">
        <w:t>ethic</w:t>
      </w:r>
      <w:r w:rsidR="00A0140C" w:rsidRPr="00A77AF6">
        <w:t xml:space="preserve">al predisposition, </w:t>
      </w:r>
      <w:r w:rsidR="00002381" w:rsidRPr="00A77AF6">
        <w:t xml:space="preserve">governance and project success.  </w:t>
      </w:r>
      <w:r w:rsidR="00C576D8" w:rsidRPr="00A77AF6">
        <w:t>The interviews were coded thematically to provide a structure for discussion.  The questions were drafted following the analysis of data from e-surveys and were:</w:t>
      </w:r>
    </w:p>
    <w:p w14:paraId="2A96C734" w14:textId="059DF1B4" w:rsidR="00B46DAD" w:rsidRPr="00A77AF6" w:rsidRDefault="008C7F43" w:rsidP="00A0140C">
      <w:pPr>
        <w:spacing w:before="100" w:beforeAutospacing="1" w:after="100" w:afterAutospacing="1" w:line="360" w:lineRule="auto"/>
        <w:rPr>
          <w:rFonts w:eastAsia="Times New Roman" w:cstheme="minorHAnsi"/>
          <w:color w:val="000000"/>
          <w:lang w:eastAsia="en-GB"/>
        </w:rPr>
      </w:pPr>
      <w:r w:rsidRPr="00A77AF6">
        <w:rPr>
          <w:rFonts w:eastAsia="Times New Roman" w:cstheme="minorHAnsi"/>
          <w:color w:val="000000"/>
          <w:lang w:eastAsia="en-GB"/>
        </w:rPr>
        <w:t xml:space="preserve">1. </w:t>
      </w:r>
      <w:r w:rsidR="00B46DAD" w:rsidRPr="00A77AF6">
        <w:rPr>
          <w:rFonts w:eastAsia="Times New Roman" w:cstheme="minorHAnsi"/>
          <w:color w:val="000000"/>
          <w:lang w:eastAsia="en-GB"/>
        </w:rPr>
        <w:t>Why do you think that most people regardless of age and gender were rule followers in NHS capital projects?</w:t>
      </w:r>
    </w:p>
    <w:p w14:paraId="7564DB45" w14:textId="0BF180E7" w:rsidR="00B46DAD" w:rsidRPr="00A77AF6" w:rsidRDefault="00B46DAD" w:rsidP="00A0140C">
      <w:pPr>
        <w:spacing w:before="100" w:beforeAutospacing="1" w:after="100" w:afterAutospacing="1" w:line="360" w:lineRule="auto"/>
        <w:rPr>
          <w:rFonts w:eastAsia="Times New Roman" w:cstheme="minorHAnsi"/>
          <w:color w:val="000000"/>
          <w:lang w:eastAsia="en-GB"/>
        </w:rPr>
      </w:pPr>
      <w:r w:rsidRPr="00A77AF6">
        <w:rPr>
          <w:rFonts w:eastAsia="Times New Roman" w:cstheme="minorHAnsi"/>
          <w:color w:val="000000"/>
          <w:lang w:eastAsia="en-GB"/>
        </w:rPr>
        <w:t xml:space="preserve">2. The literature predicts a relationship between corporate and project </w:t>
      </w:r>
      <w:r w:rsidR="00E60786" w:rsidRPr="00A77AF6">
        <w:rPr>
          <w:rFonts w:eastAsia="Times New Roman" w:cstheme="minorHAnsi"/>
          <w:color w:val="000000"/>
          <w:lang w:eastAsia="en-GB"/>
        </w:rPr>
        <w:t>governance,</w:t>
      </w:r>
      <w:r w:rsidRPr="00A77AF6">
        <w:rPr>
          <w:rFonts w:eastAsia="Times New Roman" w:cstheme="minorHAnsi"/>
          <w:color w:val="000000"/>
          <w:lang w:eastAsia="en-GB"/>
        </w:rPr>
        <w:t xml:space="preserve"> but the results seemed to indicate that protect team members were not as aware of corporate governance as they were of project governance. Why do you think that this is the case?</w:t>
      </w:r>
    </w:p>
    <w:p w14:paraId="393CEDEA" w14:textId="084AD06B" w:rsidR="00B46DAD" w:rsidRPr="00A77AF6" w:rsidRDefault="00B46DAD" w:rsidP="00A0140C">
      <w:pPr>
        <w:spacing w:before="100" w:beforeAutospacing="1" w:after="100" w:afterAutospacing="1" w:line="360" w:lineRule="auto"/>
        <w:rPr>
          <w:rFonts w:eastAsia="Times New Roman" w:cstheme="minorHAnsi"/>
          <w:color w:val="000000"/>
          <w:lang w:eastAsia="en-GB"/>
        </w:rPr>
      </w:pPr>
      <w:r w:rsidRPr="00A77AF6">
        <w:rPr>
          <w:rFonts w:eastAsia="Times New Roman" w:cstheme="minorHAnsi"/>
          <w:color w:val="000000"/>
          <w:lang w:eastAsia="en-GB"/>
        </w:rPr>
        <w:t xml:space="preserve">3. </w:t>
      </w:r>
      <w:r w:rsidR="008C7F43" w:rsidRPr="00A77AF6">
        <w:rPr>
          <w:rFonts w:eastAsia="Times New Roman" w:cstheme="minorHAnsi"/>
          <w:color w:val="000000"/>
          <w:lang w:eastAsia="en-GB"/>
        </w:rPr>
        <w:t>P</w:t>
      </w:r>
      <w:r w:rsidRPr="00A77AF6">
        <w:rPr>
          <w:rFonts w:eastAsia="Times New Roman" w:cstheme="minorHAnsi"/>
          <w:color w:val="000000"/>
          <w:lang w:eastAsia="en-GB"/>
        </w:rPr>
        <w:t>roject team members often considered their project to have been successful even though it missed some or all of time/ cost/ quality targets. What do you think people are measuring when they say that their project has been successful?</w:t>
      </w:r>
    </w:p>
    <w:p w14:paraId="1452AE4D" w14:textId="295C92CB" w:rsidR="00B1355A" w:rsidRPr="00A77AF6" w:rsidRDefault="00B1355A" w:rsidP="0077297C">
      <w:pPr>
        <w:rPr>
          <w:b/>
          <w:bCs/>
        </w:rPr>
      </w:pPr>
      <w:r w:rsidRPr="00A77AF6">
        <w:rPr>
          <w:b/>
          <w:bCs/>
        </w:rPr>
        <w:t>Interviewees</w:t>
      </w:r>
    </w:p>
    <w:p w14:paraId="7F28FD29" w14:textId="2B91F7DA" w:rsidR="008C7F43" w:rsidRPr="00A77AF6" w:rsidRDefault="00C576D8" w:rsidP="00A0140C">
      <w:pPr>
        <w:spacing w:line="360" w:lineRule="auto"/>
      </w:pPr>
      <w:r w:rsidRPr="00A77AF6">
        <w:t>Three</w:t>
      </w:r>
      <w:r w:rsidR="001C3F64" w:rsidRPr="00A77AF6">
        <w:t xml:space="preserve"> people who had been directly employed by the NHS and </w:t>
      </w:r>
      <w:r w:rsidRPr="00A77AF6">
        <w:t>three</w:t>
      </w:r>
      <w:r w:rsidR="001C3F64" w:rsidRPr="00A77AF6">
        <w:t xml:space="preserve"> people who had provided services to NHS projects via an external organisation</w:t>
      </w:r>
      <w:r w:rsidRPr="00A77AF6">
        <w:t xml:space="preserve"> were interviewed</w:t>
      </w:r>
      <w:r w:rsidR="001C3F64" w:rsidRPr="00A77AF6">
        <w:t>.  Five interviewees had a formalist predisposition and one had a utilitarian pre-disposition</w:t>
      </w:r>
      <w:r w:rsidR="00762190">
        <w:t xml:space="preserve"> (Table 7-1)</w:t>
      </w:r>
      <w:r w:rsidR="00535C5B" w:rsidRPr="00A77AF6">
        <w:t xml:space="preserve">. </w:t>
      </w:r>
      <w:r w:rsidR="001C3F64" w:rsidRPr="00A77AF6">
        <w:t xml:space="preserve"> </w:t>
      </w:r>
      <w:r w:rsidR="002209E1" w:rsidRPr="00A77AF6">
        <w:t xml:space="preserve">The results of interviews </w:t>
      </w:r>
      <w:r w:rsidR="00535C5B" w:rsidRPr="00A77AF6">
        <w:t xml:space="preserve">are presented thematically. </w:t>
      </w:r>
      <w:r w:rsidR="002209E1" w:rsidRPr="00A77AF6">
        <w:t xml:space="preserve"> </w:t>
      </w:r>
      <w:r w:rsidR="00535C5B" w:rsidRPr="00A77AF6">
        <w:t xml:space="preserve"> </w:t>
      </w:r>
    </w:p>
    <w:p w14:paraId="26C3B6A4" w14:textId="3CA8F2AE" w:rsidR="00953815" w:rsidRPr="00A77AF6" w:rsidRDefault="00953815" w:rsidP="00C801B9">
      <w:pPr>
        <w:pStyle w:val="Caption"/>
        <w:keepNext/>
        <w:spacing w:after="120"/>
      </w:pPr>
      <w:r w:rsidRPr="00A77AF6">
        <w:t xml:space="preserve">Table </w:t>
      </w:r>
      <w:fldSimple w:instr=" STYLEREF 1 \s ">
        <w:r w:rsidR="000441F7">
          <w:rPr>
            <w:noProof/>
          </w:rPr>
          <w:t>7</w:t>
        </w:r>
      </w:fldSimple>
      <w:r w:rsidR="00804112">
        <w:noBreakHyphen/>
      </w:r>
      <w:fldSimple w:instr=" SEQ Table \* ARABIC \s 1 ">
        <w:r w:rsidR="000441F7">
          <w:rPr>
            <w:noProof/>
          </w:rPr>
          <w:t>1</w:t>
        </w:r>
      </w:fldSimple>
      <w:r w:rsidRPr="00A77AF6">
        <w:t>: Role and ethical predisposition of project experts</w:t>
      </w:r>
    </w:p>
    <w:tbl>
      <w:tblPr>
        <w:tblStyle w:val="TableGrid"/>
        <w:tblW w:w="0" w:type="auto"/>
        <w:tblLook w:val="04A0" w:firstRow="1" w:lastRow="0" w:firstColumn="1" w:lastColumn="0" w:noHBand="0" w:noVBand="1"/>
      </w:tblPr>
      <w:tblGrid>
        <w:gridCol w:w="988"/>
        <w:gridCol w:w="5103"/>
        <w:gridCol w:w="976"/>
        <w:gridCol w:w="1134"/>
      </w:tblGrid>
      <w:tr w:rsidR="005F4640" w:rsidRPr="00A77AF6" w14:paraId="41340E2C" w14:textId="77777777" w:rsidTr="00D440E3">
        <w:tc>
          <w:tcPr>
            <w:tcW w:w="988" w:type="dxa"/>
            <w:vMerge w:val="restart"/>
            <w:shd w:val="clear" w:color="auto" w:fill="D9D9D9" w:themeFill="background1" w:themeFillShade="D9"/>
          </w:tcPr>
          <w:p w14:paraId="7DA8CF0F" w14:textId="77777777" w:rsidR="005F4640" w:rsidRPr="00A77AF6" w:rsidRDefault="005F4640" w:rsidP="00D464F3">
            <w:pPr>
              <w:spacing w:line="360" w:lineRule="auto"/>
              <w:rPr>
                <w:sz w:val="20"/>
                <w:szCs w:val="20"/>
              </w:rPr>
            </w:pPr>
          </w:p>
        </w:tc>
        <w:tc>
          <w:tcPr>
            <w:tcW w:w="5103" w:type="dxa"/>
            <w:vMerge w:val="restart"/>
            <w:shd w:val="clear" w:color="auto" w:fill="D9D9D9" w:themeFill="background1" w:themeFillShade="D9"/>
          </w:tcPr>
          <w:p w14:paraId="264B8E55" w14:textId="0FEAE2F5" w:rsidR="005F4640" w:rsidRPr="00A77AF6" w:rsidRDefault="005F4640" w:rsidP="005F4640">
            <w:pPr>
              <w:spacing w:line="360" w:lineRule="auto"/>
              <w:jc w:val="center"/>
              <w:rPr>
                <w:sz w:val="20"/>
                <w:szCs w:val="20"/>
              </w:rPr>
            </w:pPr>
            <w:r w:rsidRPr="00A77AF6">
              <w:rPr>
                <w:sz w:val="20"/>
                <w:szCs w:val="20"/>
              </w:rPr>
              <w:t>Project role</w:t>
            </w:r>
          </w:p>
        </w:tc>
        <w:tc>
          <w:tcPr>
            <w:tcW w:w="2110" w:type="dxa"/>
            <w:gridSpan w:val="2"/>
            <w:shd w:val="clear" w:color="auto" w:fill="D9D9D9" w:themeFill="background1" w:themeFillShade="D9"/>
          </w:tcPr>
          <w:p w14:paraId="6F1985EF" w14:textId="0C2E2E1B" w:rsidR="005F4640" w:rsidRPr="00A77AF6" w:rsidRDefault="005F4640" w:rsidP="00D464F3">
            <w:pPr>
              <w:spacing w:line="360" w:lineRule="auto"/>
              <w:jc w:val="center"/>
              <w:rPr>
                <w:sz w:val="20"/>
                <w:szCs w:val="20"/>
              </w:rPr>
            </w:pPr>
            <w:r w:rsidRPr="00A77AF6">
              <w:rPr>
                <w:sz w:val="20"/>
                <w:szCs w:val="20"/>
              </w:rPr>
              <w:t>Ethical Predisposition</w:t>
            </w:r>
          </w:p>
        </w:tc>
      </w:tr>
      <w:tr w:rsidR="005F4640" w:rsidRPr="00A77AF6" w14:paraId="601FF303" w14:textId="77777777" w:rsidTr="00D440E3">
        <w:tc>
          <w:tcPr>
            <w:tcW w:w="988" w:type="dxa"/>
            <w:vMerge/>
          </w:tcPr>
          <w:p w14:paraId="1E85C8CA" w14:textId="77777777" w:rsidR="005F4640" w:rsidRPr="00A77AF6" w:rsidRDefault="005F4640" w:rsidP="00D464F3">
            <w:pPr>
              <w:spacing w:line="360" w:lineRule="auto"/>
              <w:rPr>
                <w:sz w:val="20"/>
                <w:szCs w:val="20"/>
              </w:rPr>
            </w:pPr>
          </w:p>
        </w:tc>
        <w:tc>
          <w:tcPr>
            <w:tcW w:w="5103" w:type="dxa"/>
            <w:vMerge/>
          </w:tcPr>
          <w:p w14:paraId="0D74B9AA" w14:textId="77777777" w:rsidR="005F4640" w:rsidRPr="00A77AF6" w:rsidRDefault="005F4640" w:rsidP="00D464F3">
            <w:pPr>
              <w:spacing w:line="360" w:lineRule="auto"/>
              <w:rPr>
                <w:sz w:val="20"/>
                <w:szCs w:val="20"/>
              </w:rPr>
            </w:pPr>
          </w:p>
        </w:tc>
        <w:tc>
          <w:tcPr>
            <w:tcW w:w="976" w:type="dxa"/>
          </w:tcPr>
          <w:p w14:paraId="52035EC9" w14:textId="0E2F1C2D" w:rsidR="005F4640" w:rsidRPr="00A77AF6" w:rsidRDefault="005F4640" w:rsidP="00D464F3">
            <w:pPr>
              <w:spacing w:line="360" w:lineRule="auto"/>
              <w:rPr>
                <w:sz w:val="20"/>
                <w:szCs w:val="20"/>
              </w:rPr>
            </w:pPr>
            <w:r w:rsidRPr="00A77AF6">
              <w:rPr>
                <w:sz w:val="20"/>
                <w:szCs w:val="20"/>
              </w:rPr>
              <w:t>Formalist</w:t>
            </w:r>
          </w:p>
        </w:tc>
        <w:tc>
          <w:tcPr>
            <w:tcW w:w="1134" w:type="dxa"/>
          </w:tcPr>
          <w:p w14:paraId="66582F6A" w14:textId="4B360A0D" w:rsidR="005F4640" w:rsidRPr="00A77AF6" w:rsidRDefault="005F4640" w:rsidP="00D464F3">
            <w:pPr>
              <w:spacing w:line="360" w:lineRule="auto"/>
              <w:rPr>
                <w:sz w:val="20"/>
                <w:szCs w:val="20"/>
              </w:rPr>
            </w:pPr>
            <w:r w:rsidRPr="00A77AF6">
              <w:rPr>
                <w:sz w:val="20"/>
                <w:szCs w:val="20"/>
              </w:rPr>
              <w:t>Utilitarian</w:t>
            </w:r>
          </w:p>
        </w:tc>
      </w:tr>
      <w:tr w:rsidR="006E25CE" w:rsidRPr="00A77AF6" w14:paraId="6C0E9708" w14:textId="77777777" w:rsidTr="00D440E3">
        <w:tc>
          <w:tcPr>
            <w:tcW w:w="988" w:type="dxa"/>
          </w:tcPr>
          <w:p w14:paraId="05107AA4" w14:textId="1EFF468D" w:rsidR="006E25CE" w:rsidRPr="00A77AF6" w:rsidRDefault="006E25CE" w:rsidP="00D464F3">
            <w:pPr>
              <w:spacing w:line="360" w:lineRule="auto"/>
              <w:rPr>
                <w:sz w:val="20"/>
                <w:szCs w:val="20"/>
              </w:rPr>
            </w:pPr>
            <w:r w:rsidRPr="00A77AF6">
              <w:rPr>
                <w:sz w:val="20"/>
                <w:szCs w:val="20"/>
              </w:rPr>
              <w:t>Expert A</w:t>
            </w:r>
          </w:p>
        </w:tc>
        <w:tc>
          <w:tcPr>
            <w:tcW w:w="5103" w:type="dxa"/>
          </w:tcPr>
          <w:p w14:paraId="08D5380E" w14:textId="5FA42FCE" w:rsidR="006E25CE" w:rsidRPr="00A77AF6" w:rsidRDefault="006E25CE" w:rsidP="00535C5B">
            <w:pPr>
              <w:rPr>
                <w:sz w:val="20"/>
                <w:szCs w:val="20"/>
              </w:rPr>
            </w:pPr>
            <w:r w:rsidRPr="00A77AF6">
              <w:rPr>
                <w:sz w:val="20"/>
                <w:szCs w:val="20"/>
              </w:rPr>
              <w:t>Senior NHS project manager</w:t>
            </w:r>
            <w:r w:rsidR="00535C5B" w:rsidRPr="00A77AF6">
              <w:rPr>
                <w:sz w:val="20"/>
                <w:szCs w:val="20"/>
              </w:rPr>
              <w:t xml:space="preserve"> who had  worked on community and large hospital buildings</w:t>
            </w:r>
          </w:p>
        </w:tc>
        <w:tc>
          <w:tcPr>
            <w:tcW w:w="976" w:type="dxa"/>
          </w:tcPr>
          <w:p w14:paraId="643D9215" w14:textId="328BCAC4" w:rsidR="006E25CE" w:rsidRPr="00A77AF6" w:rsidRDefault="006E25CE" w:rsidP="00D464F3">
            <w:pPr>
              <w:spacing w:line="360" w:lineRule="auto"/>
              <w:rPr>
                <w:sz w:val="20"/>
                <w:szCs w:val="20"/>
              </w:rPr>
            </w:pPr>
            <w:r w:rsidRPr="00A77AF6">
              <w:rPr>
                <w:sz w:val="20"/>
                <w:szCs w:val="20"/>
              </w:rPr>
              <w:sym w:font="Wingdings" w:char="F0FC"/>
            </w:r>
          </w:p>
        </w:tc>
        <w:tc>
          <w:tcPr>
            <w:tcW w:w="1134" w:type="dxa"/>
          </w:tcPr>
          <w:p w14:paraId="291A2BC9" w14:textId="77777777" w:rsidR="006E25CE" w:rsidRPr="00A77AF6" w:rsidRDefault="006E25CE" w:rsidP="00D464F3">
            <w:pPr>
              <w:spacing w:line="360" w:lineRule="auto"/>
              <w:rPr>
                <w:sz w:val="20"/>
                <w:szCs w:val="20"/>
              </w:rPr>
            </w:pPr>
          </w:p>
        </w:tc>
      </w:tr>
      <w:tr w:rsidR="006E25CE" w:rsidRPr="00A77AF6" w14:paraId="6634F623" w14:textId="77777777" w:rsidTr="00D440E3">
        <w:tc>
          <w:tcPr>
            <w:tcW w:w="988" w:type="dxa"/>
          </w:tcPr>
          <w:p w14:paraId="06C50605" w14:textId="089A5785" w:rsidR="006E25CE" w:rsidRPr="00A77AF6" w:rsidRDefault="006E25CE" w:rsidP="00D464F3">
            <w:pPr>
              <w:spacing w:line="360" w:lineRule="auto"/>
              <w:rPr>
                <w:sz w:val="20"/>
                <w:szCs w:val="20"/>
              </w:rPr>
            </w:pPr>
            <w:r w:rsidRPr="00A77AF6">
              <w:rPr>
                <w:sz w:val="20"/>
                <w:szCs w:val="20"/>
              </w:rPr>
              <w:t>Expert B</w:t>
            </w:r>
          </w:p>
        </w:tc>
        <w:tc>
          <w:tcPr>
            <w:tcW w:w="5103" w:type="dxa"/>
          </w:tcPr>
          <w:p w14:paraId="46A4D64A" w14:textId="7E13D6F6" w:rsidR="006E25CE" w:rsidRPr="00A77AF6" w:rsidRDefault="006E25CE" w:rsidP="00E67C7D">
            <w:pPr>
              <w:rPr>
                <w:sz w:val="20"/>
                <w:szCs w:val="20"/>
              </w:rPr>
            </w:pPr>
            <w:r w:rsidRPr="00A77AF6">
              <w:rPr>
                <w:sz w:val="20"/>
                <w:szCs w:val="20"/>
              </w:rPr>
              <w:t>Senior private sector supplier</w:t>
            </w:r>
            <w:r w:rsidR="00E67C7D" w:rsidRPr="00A77AF6">
              <w:rPr>
                <w:sz w:val="20"/>
                <w:szCs w:val="20"/>
              </w:rPr>
              <w:t xml:space="preserve"> who had worked </w:t>
            </w:r>
            <w:r w:rsidR="00D440E3" w:rsidRPr="00A77AF6">
              <w:rPr>
                <w:sz w:val="20"/>
                <w:szCs w:val="20"/>
              </w:rPr>
              <w:t>on the</w:t>
            </w:r>
            <w:r w:rsidR="00953815" w:rsidRPr="00A77AF6">
              <w:rPr>
                <w:sz w:val="20"/>
                <w:szCs w:val="20"/>
              </w:rPr>
              <w:t xml:space="preserve"> NHS </w:t>
            </w:r>
            <w:r w:rsidR="00E67C7D" w:rsidRPr="00A77AF6">
              <w:rPr>
                <w:sz w:val="20"/>
                <w:szCs w:val="20"/>
              </w:rPr>
              <w:t>client</w:t>
            </w:r>
            <w:r w:rsidR="00D440E3" w:rsidRPr="00A77AF6">
              <w:rPr>
                <w:sz w:val="20"/>
                <w:szCs w:val="20"/>
              </w:rPr>
              <w:t>-side</w:t>
            </w:r>
            <w:r w:rsidR="00E67C7D" w:rsidRPr="00A77AF6">
              <w:rPr>
                <w:sz w:val="20"/>
                <w:szCs w:val="20"/>
              </w:rPr>
              <w:t xml:space="preserve"> on community and medium sized hospitals</w:t>
            </w:r>
          </w:p>
        </w:tc>
        <w:tc>
          <w:tcPr>
            <w:tcW w:w="976" w:type="dxa"/>
          </w:tcPr>
          <w:p w14:paraId="4F84A7E3" w14:textId="6104A3B7" w:rsidR="006E25CE" w:rsidRPr="00A77AF6" w:rsidRDefault="006E25CE" w:rsidP="00D464F3">
            <w:pPr>
              <w:spacing w:line="360" w:lineRule="auto"/>
              <w:rPr>
                <w:sz w:val="20"/>
                <w:szCs w:val="20"/>
              </w:rPr>
            </w:pPr>
            <w:r w:rsidRPr="00A77AF6">
              <w:rPr>
                <w:sz w:val="20"/>
                <w:szCs w:val="20"/>
              </w:rPr>
              <w:sym w:font="Wingdings" w:char="F0FC"/>
            </w:r>
          </w:p>
        </w:tc>
        <w:tc>
          <w:tcPr>
            <w:tcW w:w="1134" w:type="dxa"/>
          </w:tcPr>
          <w:p w14:paraId="2F29808A" w14:textId="77777777" w:rsidR="006E25CE" w:rsidRPr="00A77AF6" w:rsidRDefault="006E25CE" w:rsidP="00D464F3">
            <w:pPr>
              <w:spacing w:line="360" w:lineRule="auto"/>
              <w:rPr>
                <w:sz w:val="20"/>
                <w:szCs w:val="20"/>
              </w:rPr>
            </w:pPr>
          </w:p>
        </w:tc>
      </w:tr>
      <w:tr w:rsidR="006E25CE" w:rsidRPr="00A77AF6" w14:paraId="11ECC62A" w14:textId="77777777" w:rsidTr="00D440E3">
        <w:tc>
          <w:tcPr>
            <w:tcW w:w="988" w:type="dxa"/>
          </w:tcPr>
          <w:p w14:paraId="18D38BE9" w14:textId="6C463876" w:rsidR="006E25CE" w:rsidRPr="00A77AF6" w:rsidRDefault="006E25CE" w:rsidP="00D464F3">
            <w:pPr>
              <w:spacing w:line="360" w:lineRule="auto"/>
              <w:rPr>
                <w:sz w:val="20"/>
                <w:szCs w:val="20"/>
              </w:rPr>
            </w:pPr>
            <w:r w:rsidRPr="00A77AF6">
              <w:rPr>
                <w:sz w:val="20"/>
                <w:szCs w:val="20"/>
              </w:rPr>
              <w:t>Expert C</w:t>
            </w:r>
          </w:p>
        </w:tc>
        <w:tc>
          <w:tcPr>
            <w:tcW w:w="5103" w:type="dxa"/>
          </w:tcPr>
          <w:p w14:paraId="55DEAA1E" w14:textId="169ACED9" w:rsidR="006E25CE" w:rsidRPr="00A77AF6" w:rsidRDefault="00F03AB2" w:rsidP="00535C5B">
            <w:pPr>
              <w:rPr>
                <w:sz w:val="20"/>
                <w:szCs w:val="20"/>
              </w:rPr>
            </w:pPr>
            <w:r w:rsidRPr="00A77AF6">
              <w:rPr>
                <w:sz w:val="20"/>
                <w:szCs w:val="20"/>
              </w:rPr>
              <w:t>Senior NHS project manager</w:t>
            </w:r>
            <w:r w:rsidR="00535C5B" w:rsidRPr="00A77AF6">
              <w:rPr>
                <w:sz w:val="20"/>
                <w:szCs w:val="20"/>
              </w:rPr>
              <w:t xml:space="preserve"> who had worked on several NHS community projects</w:t>
            </w:r>
          </w:p>
        </w:tc>
        <w:tc>
          <w:tcPr>
            <w:tcW w:w="976" w:type="dxa"/>
          </w:tcPr>
          <w:p w14:paraId="06AB3267" w14:textId="62CC4943" w:rsidR="006E25CE" w:rsidRPr="00A77AF6" w:rsidRDefault="00F03AB2" w:rsidP="00D464F3">
            <w:pPr>
              <w:spacing w:line="360" w:lineRule="auto"/>
              <w:rPr>
                <w:sz w:val="20"/>
                <w:szCs w:val="20"/>
              </w:rPr>
            </w:pPr>
            <w:r w:rsidRPr="00A77AF6">
              <w:rPr>
                <w:sz w:val="20"/>
                <w:szCs w:val="20"/>
              </w:rPr>
              <w:sym w:font="Wingdings" w:char="F0FC"/>
            </w:r>
          </w:p>
        </w:tc>
        <w:tc>
          <w:tcPr>
            <w:tcW w:w="1134" w:type="dxa"/>
          </w:tcPr>
          <w:p w14:paraId="70B95B34" w14:textId="77777777" w:rsidR="006E25CE" w:rsidRPr="00A77AF6" w:rsidRDefault="006E25CE" w:rsidP="00D464F3">
            <w:pPr>
              <w:spacing w:line="360" w:lineRule="auto"/>
              <w:rPr>
                <w:sz w:val="20"/>
                <w:szCs w:val="20"/>
              </w:rPr>
            </w:pPr>
          </w:p>
        </w:tc>
      </w:tr>
      <w:tr w:rsidR="006E25CE" w:rsidRPr="00A77AF6" w14:paraId="3D9E8C58" w14:textId="77777777" w:rsidTr="00D440E3">
        <w:tc>
          <w:tcPr>
            <w:tcW w:w="988" w:type="dxa"/>
          </w:tcPr>
          <w:p w14:paraId="437AFEDE" w14:textId="27D3ED92" w:rsidR="006E25CE" w:rsidRPr="00A77AF6" w:rsidRDefault="006E25CE" w:rsidP="00535C5B">
            <w:pPr>
              <w:rPr>
                <w:sz w:val="20"/>
                <w:szCs w:val="20"/>
              </w:rPr>
            </w:pPr>
            <w:r w:rsidRPr="00A77AF6">
              <w:rPr>
                <w:sz w:val="20"/>
                <w:szCs w:val="20"/>
              </w:rPr>
              <w:t>Expert D</w:t>
            </w:r>
          </w:p>
        </w:tc>
        <w:tc>
          <w:tcPr>
            <w:tcW w:w="5103" w:type="dxa"/>
          </w:tcPr>
          <w:p w14:paraId="295450E7" w14:textId="7C518551" w:rsidR="006E25CE" w:rsidRPr="00A77AF6" w:rsidRDefault="00D464F3" w:rsidP="00535C5B">
            <w:pPr>
              <w:rPr>
                <w:sz w:val="20"/>
                <w:szCs w:val="20"/>
              </w:rPr>
            </w:pPr>
            <w:r w:rsidRPr="00A77AF6">
              <w:rPr>
                <w:sz w:val="20"/>
                <w:szCs w:val="20"/>
              </w:rPr>
              <w:t>Senior private sector consultant</w:t>
            </w:r>
            <w:r w:rsidR="00535C5B" w:rsidRPr="00A77AF6">
              <w:rPr>
                <w:sz w:val="20"/>
                <w:szCs w:val="20"/>
              </w:rPr>
              <w:t xml:space="preserve"> who has worked </w:t>
            </w:r>
            <w:r w:rsidR="00D440E3" w:rsidRPr="00A77AF6">
              <w:rPr>
                <w:sz w:val="20"/>
                <w:szCs w:val="20"/>
              </w:rPr>
              <w:t>on the</w:t>
            </w:r>
            <w:r w:rsidR="00953815" w:rsidRPr="00A77AF6">
              <w:rPr>
                <w:sz w:val="20"/>
                <w:szCs w:val="20"/>
              </w:rPr>
              <w:t xml:space="preserve"> NHS </w:t>
            </w:r>
            <w:r w:rsidR="00535C5B" w:rsidRPr="00A77AF6">
              <w:rPr>
                <w:sz w:val="20"/>
                <w:szCs w:val="20"/>
              </w:rPr>
              <w:t>client side on several projects</w:t>
            </w:r>
          </w:p>
        </w:tc>
        <w:tc>
          <w:tcPr>
            <w:tcW w:w="976" w:type="dxa"/>
          </w:tcPr>
          <w:p w14:paraId="60905AAC" w14:textId="28C3243D" w:rsidR="006E25CE" w:rsidRPr="00A77AF6" w:rsidRDefault="00D464F3" w:rsidP="00D464F3">
            <w:pPr>
              <w:spacing w:line="360" w:lineRule="auto"/>
              <w:rPr>
                <w:sz w:val="20"/>
                <w:szCs w:val="20"/>
              </w:rPr>
            </w:pPr>
            <w:r w:rsidRPr="00A77AF6">
              <w:rPr>
                <w:sz w:val="20"/>
                <w:szCs w:val="20"/>
              </w:rPr>
              <w:sym w:font="Wingdings" w:char="F0FC"/>
            </w:r>
          </w:p>
        </w:tc>
        <w:tc>
          <w:tcPr>
            <w:tcW w:w="1134" w:type="dxa"/>
          </w:tcPr>
          <w:p w14:paraId="1CF35207" w14:textId="77777777" w:rsidR="006E25CE" w:rsidRPr="00A77AF6" w:rsidRDefault="006E25CE" w:rsidP="00D464F3">
            <w:pPr>
              <w:spacing w:line="360" w:lineRule="auto"/>
              <w:rPr>
                <w:sz w:val="20"/>
                <w:szCs w:val="20"/>
              </w:rPr>
            </w:pPr>
          </w:p>
        </w:tc>
      </w:tr>
      <w:tr w:rsidR="00D464F3" w:rsidRPr="00A77AF6" w14:paraId="40E51438" w14:textId="77777777" w:rsidTr="00D440E3">
        <w:tc>
          <w:tcPr>
            <w:tcW w:w="988" w:type="dxa"/>
          </w:tcPr>
          <w:p w14:paraId="067ACF7C" w14:textId="29EB3716" w:rsidR="00D464F3" w:rsidRPr="00A77AF6" w:rsidRDefault="00D464F3" w:rsidP="00D464F3">
            <w:pPr>
              <w:spacing w:line="360" w:lineRule="auto"/>
              <w:rPr>
                <w:sz w:val="20"/>
                <w:szCs w:val="20"/>
              </w:rPr>
            </w:pPr>
            <w:r w:rsidRPr="00A77AF6">
              <w:rPr>
                <w:sz w:val="20"/>
                <w:szCs w:val="20"/>
              </w:rPr>
              <w:t>Expert E</w:t>
            </w:r>
          </w:p>
        </w:tc>
        <w:tc>
          <w:tcPr>
            <w:tcW w:w="5103" w:type="dxa"/>
          </w:tcPr>
          <w:p w14:paraId="665291CE" w14:textId="479722A7" w:rsidR="00D464F3" w:rsidRPr="00A77AF6" w:rsidRDefault="00D464F3" w:rsidP="00535C5B">
            <w:pPr>
              <w:rPr>
                <w:sz w:val="20"/>
                <w:szCs w:val="20"/>
              </w:rPr>
            </w:pPr>
            <w:r w:rsidRPr="00A77AF6">
              <w:rPr>
                <w:sz w:val="20"/>
                <w:szCs w:val="20"/>
              </w:rPr>
              <w:t>Senior NHS project manager</w:t>
            </w:r>
            <w:r w:rsidR="00535C5B" w:rsidRPr="00A77AF6">
              <w:rPr>
                <w:sz w:val="20"/>
                <w:szCs w:val="20"/>
              </w:rPr>
              <w:t xml:space="preserve"> who had worked </w:t>
            </w:r>
            <w:r w:rsidR="00D440E3" w:rsidRPr="00A77AF6">
              <w:rPr>
                <w:sz w:val="20"/>
                <w:szCs w:val="20"/>
              </w:rPr>
              <w:t>on the NHS</w:t>
            </w:r>
            <w:r w:rsidR="00535C5B" w:rsidRPr="00A77AF6">
              <w:rPr>
                <w:sz w:val="20"/>
                <w:szCs w:val="20"/>
              </w:rPr>
              <w:t xml:space="preserve"> client side on community and medium sized hospitals </w:t>
            </w:r>
          </w:p>
        </w:tc>
        <w:tc>
          <w:tcPr>
            <w:tcW w:w="976" w:type="dxa"/>
          </w:tcPr>
          <w:p w14:paraId="30766E69" w14:textId="0FFBFAD4" w:rsidR="00D464F3" w:rsidRPr="00A77AF6" w:rsidRDefault="00D464F3" w:rsidP="00D464F3">
            <w:pPr>
              <w:spacing w:line="360" w:lineRule="auto"/>
              <w:rPr>
                <w:sz w:val="20"/>
                <w:szCs w:val="20"/>
              </w:rPr>
            </w:pPr>
            <w:r w:rsidRPr="00A77AF6">
              <w:rPr>
                <w:sz w:val="20"/>
                <w:szCs w:val="20"/>
              </w:rPr>
              <w:sym w:font="Wingdings" w:char="F0FC"/>
            </w:r>
          </w:p>
        </w:tc>
        <w:tc>
          <w:tcPr>
            <w:tcW w:w="1134" w:type="dxa"/>
          </w:tcPr>
          <w:p w14:paraId="4A768BFC" w14:textId="77777777" w:rsidR="00D464F3" w:rsidRPr="00A77AF6" w:rsidRDefault="00D464F3" w:rsidP="00D464F3">
            <w:pPr>
              <w:spacing w:line="360" w:lineRule="auto"/>
              <w:rPr>
                <w:sz w:val="20"/>
                <w:szCs w:val="20"/>
              </w:rPr>
            </w:pPr>
          </w:p>
        </w:tc>
      </w:tr>
      <w:tr w:rsidR="00D464F3" w:rsidRPr="00A77AF6" w14:paraId="7D309D4C" w14:textId="77777777" w:rsidTr="00D440E3">
        <w:tc>
          <w:tcPr>
            <w:tcW w:w="988" w:type="dxa"/>
          </w:tcPr>
          <w:p w14:paraId="2F4581BC" w14:textId="3EF23800" w:rsidR="00D464F3" w:rsidRPr="00A77AF6" w:rsidRDefault="00D464F3" w:rsidP="00D464F3">
            <w:pPr>
              <w:spacing w:line="360" w:lineRule="auto"/>
              <w:rPr>
                <w:sz w:val="20"/>
                <w:szCs w:val="20"/>
              </w:rPr>
            </w:pPr>
            <w:r w:rsidRPr="00A77AF6">
              <w:rPr>
                <w:sz w:val="20"/>
                <w:szCs w:val="20"/>
              </w:rPr>
              <w:t>Expert F</w:t>
            </w:r>
          </w:p>
        </w:tc>
        <w:tc>
          <w:tcPr>
            <w:tcW w:w="5103" w:type="dxa"/>
          </w:tcPr>
          <w:p w14:paraId="76B17C0B" w14:textId="0A81C608" w:rsidR="00535C5B" w:rsidRPr="00A77AF6" w:rsidRDefault="00D464F3" w:rsidP="00535C5B">
            <w:pPr>
              <w:rPr>
                <w:sz w:val="20"/>
                <w:szCs w:val="20"/>
              </w:rPr>
            </w:pPr>
            <w:r w:rsidRPr="00A77AF6">
              <w:rPr>
                <w:sz w:val="20"/>
                <w:szCs w:val="20"/>
              </w:rPr>
              <w:t>Senior private sector consultant</w:t>
            </w:r>
            <w:r w:rsidR="00535C5B" w:rsidRPr="00A77AF6">
              <w:rPr>
                <w:sz w:val="20"/>
                <w:szCs w:val="20"/>
              </w:rPr>
              <w:t xml:space="preserve"> who has worked for </w:t>
            </w:r>
            <w:r w:rsidR="00953815" w:rsidRPr="00A77AF6">
              <w:rPr>
                <w:sz w:val="20"/>
                <w:szCs w:val="20"/>
              </w:rPr>
              <w:t>an NHS</w:t>
            </w:r>
            <w:r w:rsidR="00535C5B" w:rsidRPr="00A77AF6">
              <w:rPr>
                <w:sz w:val="20"/>
                <w:szCs w:val="20"/>
              </w:rPr>
              <w:t xml:space="preserve"> client side on several projects</w:t>
            </w:r>
          </w:p>
        </w:tc>
        <w:tc>
          <w:tcPr>
            <w:tcW w:w="976" w:type="dxa"/>
          </w:tcPr>
          <w:p w14:paraId="188ED786" w14:textId="08B08380" w:rsidR="00D464F3" w:rsidRPr="00A77AF6" w:rsidRDefault="00D464F3" w:rsidP="00D464F3">
            <w:pPr>
              <w:spacing w:line="360" w:lineRule="auto"/>
              <w:rPr>
                <w:sz w:val="20"/>
                <w:szCs w:val="20"/>
              </w:rPr>
            </w:pPr>
          </w:p>
        </w:tc>
        <w:tc>
          <w:tcPr>
            <w:tcW w:w="1134" w:type="dxa"/>
          </w:tcPr>
          <w:p w14:paraId="3AEEFB6F" w14:textId="4EAB1365" w:rsidR="00D464F3" w:rsidRPr="00A77AF6" w:rsidRDefault="00D464F3" w:rsidP="00D464F3">
            <w:pPr>
              <w:spacing w:line="360" w:lineRule="auto"/>
              <w:rPr>
                <w:sz w:val="20"/>
                <w:szCs w:val="20"/>
              </w:rPr>
            </w:pPr>
            <w:r w:rsidRPr="00A77AF6">
              <w:rPr>
                <w:sz w:val="20"/>
                <w:szCs w:val="20"/>
              </w:rPr>
              <w:sym w:font="Wingdings" w:char="F0FC"/>
            </w:r>
          </w:p>
        </w:tc>
      </w:tr>
    </w:tbl>
    <w:p w14:paraId="1F79CB30" w14:textId="02DEA993" w:rsidR="00C576D8" w:rsidRPr="00A77AF6" w:rsidRDefault="00C576D8" w:rsidP="006E25CE"/>
    <w:p w14:paraId="7D75F978" w14:textId="246D6386" w:rsidR="00DE29C5" w:rsidRPr="00A77AF6" w:rsidRDefault="00D464F3" w:rsidP="00A65AF9">
      <w:pPr>
        <w:pStyle w:val="Heading2"/>
        <w:spacing w:after="240"/>
      </w:pPr>
      <w:bookmarkStart w:id="181" w:name="_Toc36275136"/>
      <w:r w:rsidRPr="00A77AF6">
        <w:lastRenderedPageBreak/>
        <w:t>Ethical predisposition</w:t>
      </w:r>
      <w:bookmarkEnd w:id="181"/>
    </w:p>
    <w:p w14:paraId="01E45434" w14:textId="6A0E8E6F" w:rsidR="00C576D8" w:rsidRPr="00A77AF6" w:rsidRDefault="00C576D8" w:rsidP="00C576D8">
      <w:pPr>
        <w:tabs>
          <w:tab w:val="left" w:pos="1920"/>
        </w:tabs>
        <w:spacing w:line="360" w:lineRule="auto"/>
        <w:rPr>
          <w:rFonts w:eastAsia="Times New Roman" w:cstheme="minorHAnsi"/>
          <w:b/>
          <w:bCs/>
          <w:color w:val="000000"/>
          <w:lang w:eastAsia="en-GB"/>
        </w:rPr>
      </w:pPr>
      <w:r w:rsidRPr="00A77AF6">
        <w:rPr>
          <w:rFonts w:eastAsia="Times New Roman" w:cstheme="minorHAnsi"/>
          <w:b/>
          <w:bCs/>
          <w:color w:val="000000"/>
          <w:lang w:eastAsia="en-GB"/>
        </w:rPr>
        <w:t>Question 1: Why do you think that most people regardless of age and gender were rule followers in NHS capital projects?</w:t>
      </w:r>
    </w:p>
    <w:p w14:paraId="52CA6A4D" w14:textId="2871879A" w:rsidR="00C576D8" w:rsidRPr="00A77AF6" w:rsidRDefault="00B1355A" w:rsidP="00B1355A">
      <w:pPr>
        <w:spacing w:line="360" w:lineRule="auto"/>
      </w:pPr>
      <w:r w:rsidRPr="00A77AF6">
        <w:t xml:space="preserve">Three themes emerged which explained the predominance of ethical formalism: project process, NHS culture and personal values.  Each is discussed below. </w:t>
      </w:r>
    </w:p>
    <w:p w14:paraId="62777F84" w14:textId="77777777" w:rsidR="00DD6B38" w:rsidRPr="00A77AF6" w:rsidRDefault="00DD6B38" w:rsidP="00A65AF9">
      <w:pPr>
        <w:pStyle w:val="Heading3"/>
        <w:spacing w:after="120"/>
      </w:pPr>
      <w:bookmarkStart w:id="182" w:name="_Toc36275137"/>
      <w:r w:rsidRPr="00A77AF6">
        <w:t>Project process</w:t>
      </w:r>
      <w:bookmarkEnd w:id="182"/>
    </w:p>
    <w:p w14:paraId="7C7E58A5" w14:textId="716F7119" w:rsidR="0028398B" w:rsidRPr="00A77AF6" w:rsidRDefault="00B1355A" w:rsidP="0028398B">
      <w:pPr>
        <w:spacing w:line="360" w:lineRule="auto"/>
        <w:rPr>
          <w:rFonts w:ascii="Calibri" w:hAnsi="Calibri" w:cs="Arial"/>
        </w:rPr>
      </w:pPr>
      <w:r w:rsidRPr="00A77AF6">
        <w:t>T</w:t>
      </w:r>
      <w:r w:rsidR="00C02FDE" w:rsidRPr="00A77AF6">
        <w:t xml:space="preserve">able </w:t>
      </w:r>
      <w:r w:rsidR="008A79C2" w:rsidRPr="00A77AF6">
        <w:t>7-2</w:t>
      </w:r>
      <w:r w:rsidR="00C02FDE" w:rsidRPr="00A77AF6">
        <w:t xml:space="preserve"> shows that </w:t>
      </w:r>
      <w:r w:rsidR="008A79C2" w:rsidRPr="00A77AF6">
        <w:t>‘</w:t>
      </w:r>
      <w:r w:rsidR="00C02FDE" w:rsidRPr="00A77AF6">
        <w:t>project process</w:t>
      </w:r>
      <w:r w:rsidR="008A79C2" w:rsidRPr="00A77AF6">
        <w:t>’</w:t>
      </w:r>
      <w:r w:rsidR="00C02FDE" w:rsidRPr="00A77AF6">
        <w:t xml:space="preserve"> </w:t>
      </w:r>
      <w:r w:rsidRPr="00A77AF6">
        <w:t xml:space="preserve">was </w:t>
      </w:r>
      <w:r w:rsidR="00C02FDE" w:rsidRPr="00A77AF6">
        <w:t xml:space="preserve">mentioned </w:t>
      </w:r>
      <w:r w:rsidRPr="00A77AF6">
        <w:t xml:space="preserve">as the reason for the predominance of formalism </w:t>
      </w:r>
      <w:r w:rsidR="008A79C2" w:rsidRPr="00A77AF6">
        <w:rPr>
          <w:rFonts w:ascii="Calibri" w:hAnsi="Calibri" w:cs="Arial"/>
        </w:rPr>
        <w:t>eight</w:t>
      </w:r>
      <w:r w:rsidR="00DD6B38" w:rsidRPr="00A77AF6">
        <w:rPr>
          <w:rFonts w:ascii="Calibri" w:hAnsi="Calibri" w:cs="Arial"/>
        </w:rPr>
        <w:t xml:space="preserve"> times</w:t>
      </w:r>
      <w:r w:rsidR="00C02FDE" w:rsidRPr="00A77AF6">
        <w:rPr>
          <w:rFonts w:ascii="Calibri" w:hAnsi="Calibri" w:cs="Arial"/>
        </w:rPr>
        <w:t xml:space="preserve">. </w:t>
      </w:r>
      <w:r w:rsidR="0028398B" w:rsidRPr="00A77AF6">
        <w:rPr>
          <w:rFonts w:ascii="Calibri" w:hAnsi="Calibri" w:cs="Arial"/>
        </w:rPr>
        <w:t xml:space="preserve"> ‘Project Process’ consisted </w:t>
      </w:r>
      <w:r w:rsidR="008A79C2" w:rsidRPr="00A77AF6">
        <w:rPr>
          <w:rFonts w:ascii="Calibri" w:hAnsi="Calibri" w:cs="Arial"/>
        </w:rPr>
        <w:t>of four</w:t>
      </w:r>
      <w:r w:rsidR="0028398B" w:rsidRPr="00A77AF6">
        <w:rPr>
          <w:rFonts w:ascii="Calibri" w:hAnsi="Calibri" w:cs="Arial"/>
        </w:rPr>
        <w:t xml:space="preserve"> </w:t>
      </w:r>
      <w:r w:rsidR="008A79C2" w:rsidRPr="00A77AF6">
        <w:rPr>
          <w:rFonts w:ascii="Calibri" w:hAnsi="Calibri" w:cs="Arial"/>
        </w:rPr>
        <w:t>sub codes</w:t>
      </w:r>
      <w:r w:rsidR="0028398B" w:rsidRPr="00A77AF6">
        <w:rPr>
          <w:rFonts w:ascii="Calibri" w:hAnsi="Calibri" w:cs="Arial"/>
        </w:rPr>
        <w:t xml:space="preserve"> each of which were mentioned twice. Experts noted that the project process is perceived to be strict and  well-defined and rules driven.  It is broken down into stages which must be completed so approval and funding can be given, and projects can progress.  Breaking the rules or derogating from guidance is considered risky for individuals and for the progression of projects, so it is rare that this happens.  It is safer to follow the rules than to break them.</w:t>
      </w:r>
    </w:p>
    <w:p w14:paraId="29B16441" w14:textId="422B2327" w:rsidR="0028398B" w:rsidRPr="00A77AF6" w:rsidRDefault="0028398B" w:rsidP="00B21C2E">
      <w:pPr>
        <w:pStyle w:val="Caption"/>
        <w:keepNext/>
        <w:spacing w:after="120"/>
      </w:pPr>
      <w:r w:rsidRPr="00A77AF6">
        <w:t xml:space="preserve">Table </w:t>
      </w:r>
      <w:fldSimple w:instr=" STYLEREF 1 \s ">
        <w:r w:rsidR="000441F7">
          <w:rPr>
            <w:noProof/>
          </w:rPr>
          <w:t>7</w:t>
        </w:r>
      </w:fldSimple>
      <w:r w:rsidR="00804112">
        <w:noBreakHyphen/>
      </w:r>
      <w:fldSimple w:instr=" SEQ Table \* ARABIC \s 1 ">
        <w:r w:rsidR="000441F7">
          <w:rPr>
            <w:noProof/>
          </w:rPr>
          <w:t>2</w:t>
        </w:r>
      </w:fldSimple>
      <w:r w:rsidRPr="00A77AF6">
        <w:t>: Coding of  views on project process</w:t>
      </w:r>
    </w:p>
    <w:tbl>
      <w:tblPr>
        <w:tblStyle w:val="TableGrid"/>
        <w:tblW w:w="0" w:type="auto"/>
        <w:tblLook w:val="04A0" w:firstRow="1" w:lastRow="0" w:firstColumn="1" w:lastColumn="0" w:noHBand="0" w:noVBand="1"/>
      </w:tblPr>
      <w:tblGrid>
        <w:gridCol w:w="1696"/>
        <w:gridCol w:w="4111"/>
        <w:gridCol w:w="1701"/>
        <w:gridCol w:w="1269"/>
      </w:tblGrid>
      <w:tr w:rsidR="0028398B" w:rsidRPr="00A77AF6" w14:paraId="5AF33C7A" w14:textId="77777777" w:rsidTr="0028398B">
        <w:tc>
          <w:tcPr>
            <w:tcW w:w="1696" w:type="dxa"/>
            <w:shd w:val="clear" w:color="auto" w:fill="D9D9D9" w:themeFill="background1" w:themeFillShade="D9"/>
          </w:tcPr>
          <w:p w14:paraId="155FE815" w14:textId="77777777" w:rsidR="0028398B" w:rsidRPr="00A77AF6" w:rsidRDefault="0028398B" w:rsidP="008D12F7">
            <w:pPr>
              <w:spacing w:line="276" w:lineRule="auto"/>
              <w:rPr>
                <w:rFonts w:ascii="Calibri" w:hAnsi="Calibri" w:cs="Arial"/>
                <w:sz w:val="20"/>
                <w:szCs w:val="20"/>
              </w:rPr>
            </w:pPr>
            <w:r w:rsidRPr="00A77AF6">
              <w:rPr>
                <w:rFonts w:ascii="Calibri" w:hAnsi="Calibri" w:cs="Arial"/>
                <w:sz w:val="20"/>
                <w:szCs w:val="20"/>
              </w:rPr>
              <w:t>Main Code</w:t>
            </w:r>
          </w:p>
          <w:p w14:paraId="1B5738A2" w14:textId="77777777" w:rsidR="0028398B" w:rsidRPr="00A77AF6" w:rsidRDefault="0028398B" w:rsidP="008D12F7">
            <w:pPr>
              <w:rPr>
                <w:sz w:val="20"/>
                <w:szCs w:val="20"/>
              </w:rPr>
            </w:pPr>
          </w:p>
        </w:tc>
        <w:tc>
          <w:tcPr>
            <w:tcW w:w="4111" w:type="dxa"/>
            <w:shd w:val="clear" w:color="auto" w:fill="D9D9D9" w:themeFill="background1" w:themeFillShade="D9"/>
          </w:tcPr>
          <w:p w14:paraId="7C2471DE" w14:textId="77777777" w:rsidR="0028398B" w:rsidRPr="00A77AF6" w:rsidRDefault="0028398B" w:rsidP="008D12F7">
            <w:pPr>
              <w:rPr>
                <w:sz w:val="20"/>
                <w:szCs w:val="20"/>
              </w:rPr>
            </w:pPr>
            <w:r w:rsidRPr="00A77AF6">
              <w:rPr>
                <w:rFonts w:ascii="Calibri" w:hAnsi="Calibri" w:cs="Arial"/>
                <w:sz w:val="20"/>
                <w:szCs w:val="20"/>
              </w:rPr>
              <w:t>Sub codes</w:t>
            </w:r>
          </w:p>
        </w:tc>
        <w:tc>
          <w:tcPr>
            <w:tcW w:w="1701" w:type="dxa"/>
            <w:shd w:val="clear" w:color="auto" w:fill="D9D9D9" w:themeFill="background1" w:themeFillShade="D9"/>
          </w:tcPr>
          <w:p w14:paraId="1D315BBE" w14:textId="77777777" w:rsidR="0028398B" w:rsidRPr="00A77AF6" w:rsidRDefault="0028398B" w:rsidP="008D12F7">
            <w:pPr>
              <w:rPr>
                <w:sz w:val="20"/>
                <w:szCs w:val="20"/>
              </w:rPr>
            </w:pPr>
            <w:r w:rsidRPr="00A77AF6">
              <w:rPr>
                <w:rFonts w:ascii="Calibri" w:hAnsi="Calibri" w:cs="Arial"/>
                <w:sz w:val="20"/>
                <w:szCs w:val="20"/>
              </w:rPr>
              <w:t>No. of mentions</w:t>
            </w:r>
          </w:p>
        </w:tc>
        <w:tc>
          <w:tcPr>
            <w:tcW w:w="1269" w:type="dxa"/>
            <w:shd w:val="clear" w:color="auto" w:fill="D9D9D9" w:themeFill="background1" w:themeFillShade="D9"/>
          </w:tcPr>
          <w:p w14:paraId="099958E0" w14:textId="77777777" w:rsidR="0028398B" w:rsidRPr="00A77AF6" w:rsidRDefault="0028398B" w:rsidP="008D12F7">
            <w:pPr>
              <w:rPr>
                <w:sz w:val="20"/>
                <w:szCs w:val="20"/>
              </w:rPr>
            </w:pPr>
            <w:r w:rsidRPr="00A77AF6">
              <w:rPr>
                <w:rFonts w:ascii="Calibri" w:hAnsi="Calibri" w:cs="Arial"/>
                <w:sz w:val="20"/>
                <w:szCs w:val="20"/>
              </w:rPr>
              <w:t>Total mentions</w:t>
            </w:r>
          </w:p>
        </w:tc>
      </w:tr>
      <w:tr w:rsidR="0028398B" w:rsidRPr="00A77AF6" w14:paraId="0465FF44" w14:textId="77777777" w:rsidTr="0028398B">
        <w:tc>
          <w:tcPr>
            <w:tcW w:w="1696" w:type="dxa"/>
            <w:vMerge w:val="restart"/>
          </w:tcPr>
          <w:p w14:paraId="4063E984" w14:textId="77777777" w:rsidR="0028398B" w:rsidRPr="00A77AF6" w:rsidRDefault="0028398B" w:rsidP="008D12F7">
            <w:pPr>
              <w:rPr>
                <w:sz w:val="20"/>
                <w:szCs w:val="20"/>
              </w:rPr>
            </w:pPr>
            <w:r w:rsidRPr="00A77AF6">
              <w:rPr>
                <w:rFonts w:ascii="Calibri" w:hAnsi="Calibri" w:cs="Arial"/>
                <w:sz w:val="20"/>
                <w:szCs w:val="20"/>
              </w:rPr>
              <w:t>Project Process</w:t>
            </w:r>
          </w:p>
        </w:tc>
        <w:tc>
          <w:tcPr>
            <w:tcW w:w="4111" w:type="dxa"/>
          </w:tcPr>
          <w:p w14:paraId="73A82AD7" w14:textId="0C194C7E" w:rsidR="0028398B" w:rsidRPr="00A77AF6" w:rsidRDefault="0028398B" w:rsidP="00D440E3">
            <w:pPr>
              <w:spacing w:after="60"/>
              <w:rPr>
                <w:sz w:val="20"/>
                <w:szCs w:val="20"/>
              </w:rPr>
            </w:pPr>
            <w:r w:rsidRPr="00A77AF6">
              <w:rPr>
                <w:rFonts w:ascii="Calibri" w:hAnsi="Calibri" w:cs="Arial"/>
                <w:sz w:val="20"/>
                <w:szCs w:val="20"/>
              </w:rPr>
              <w:t>Strict/ well defined</w:t>
            </w:r>
          </w:p>
        </w:tc>
        <w:tc>
          <w:tcPr>
            <w:tcW w:w="1701" w:type="dxa"/>
          </w:tcPr>
          <w:p w14:paraId="15807DD5" w14:textId="77777777" w:rsidR="0028398B" w:rsidRPr="00A77AF6" w:rsidRDefault="0028398B" w:rsidP="00D440E3">
            <w:pPr>
              <w:spacing w:after="60"/>
              <w:jc w:val="center"/>
              <w:rPr>
                <w:sz w:val="20"/>
                <w:szCs w:val="20"/>
              </w:rPr>
            </w:pPr>
            <w:r w:rsidRPr="00A77AF6">
              <w:rPr>
                <w:sz w:val="20"/>
                <w:szCs w:val="20"/>
              </w:rPr>
              <w:t>2</w:t>
            </w:r>
          </w:p>
        </w:tc>
        <w:tc>
          <w:tcPr>
            <w:tcW w:w="1269" w:type="dxa"/>
            <w:vMerge w:val="restart"/>
          </w:tcPr>
          <w:p w14:paraId="7D681470" w14:textId="77777777" w:rsidR="0028398B" w:rsidRPr="00A77AF6" w:rsidRDefault="0028398B" w:rsidP="008D12F7">
            <w:pPr>
              <w:rPr>
                <w:sz w:val="20"/>
                <w:szCs w:val="20"/>
              </w:rPr>
            </w:pPr>
          </w:p>
          <w:p w14:paraId="1CE51882" w14:textId="77777777" w:rsidR="0028398B" w:rsidRPr="00A77AF6" w:rsidRDefault="0028398B" w:rsidP="008D12F7">
            <w:pPr>
              <w:rPr>
                <w:sz w:val="20"/>
                <w:szCs w:val="20"/>
              </w:rPr>
            </w:pPr>
          </w:p>
          <w:p w14:paraId="76F3DCAE" w14:textId="77777777" w:rsidR="0028398B" w:rsidRPr="00A77AF6" w:rsidRDefault="0028398B" w:rsidP="008D12F7">
            <w:pPr>
              <w:jc w:val="center"/>
              <w:rPr>
                <w:sz w:val="20"/>
                <w:szCs w:val="20"/>
              </w:rPr>
            </w:pPr>
            <w:r w:rsidRPr="00A77AF6">
              <w:rPr>
                <w:sz w:val="20"/>
                <w:szCs w:val="20"/>
              </w:rPr>
              <w:t>8</w:t>
            </w:r>
          </w:p>
        </w:tc>
      </w:tr>
      <w:tr w:rsidR="0028398B" w:rsidRPr="00A77AF6" w14:paraId="513B93D8" w14:textId="77777777" w:rsidTr="0028398B">
        <w:tc>
          <w:tcPr>
            <w:tcW w:w="1696" w:type="dxa"/>
            <w:vMerge/>
          </w:tcPr>
          <w:p w14:paraId="57FE9783" w14:textId="77777777" w:rsidR="0028398B" w:rsidRPr="00A77AF6" w:rsidRDefault="0028398B" w:rsidP="008D12F7">
            <w:pPr>
              <w:rPr>
                <w:sz w:val="20"/>
                <w:szCs w:val="20"/>
              </w:rPr>
            </w:pPr>
          </w:p>
        </w:tc>
        <w:tc>
          <w:tcPr>
            <w:tcW w:w="4111" w:type="dxa"/>
          </w:tcPr>
          <w:p w14:paraId="5D076530" w14:textId="77777777" w:rsidR="0028398B" w:rsidRPr="00A77AF6" w:rsidRDefault="0028398B" w:rsidP="00D440E3">
            <w:pPr>
              <w:spacing w:after="60"/>
              <w:rPr>
                <w:sz w:val="20"/>
                <w:szCs w:val="20"/>
              </w:rPr>
            </w:pPr>
            <w:r w:rsidRPr="00A77AF6">
              <w:rPr>
                <w:rFonts w:ascii="Calibri" w:hAnsi="Calibri" w:cs="Arial"/>
                <w:sz w:val="20"/>
                <w:szCs w:val="20"/>
              </w:rPr>
              <w:t>Must follow rules to get approval &amp; funding</w:t>
            </w:r>
          </w:p>
        </w:tc>
        <w:tc>
          <w:tcPr>
            <w:tcW w:w="1701" w:type="dxa"/>
          </w:tcPr>
          <w:p w14:paraId="7FC1D227" w14:textId="77777777" w:rsidR="0028398B" w:rsidRPr="00A77AF6" w:rsidRDefault="0028398B" w:rsidP="00D440E3">
            <w:pPr>
              <w:spacing w:after="60"/>
              <w:jc w:val="center"/>
              <w:rPr>
                <w:sz w:val="20"/>
                <w:szCs w:val="20"/>
              </w:rPr>
            </w:pPr>
            <w:r w:rsidRPr="00A77AF6">
              <w:rPr>
                <w:sz w:val="20"/>
                <w:szCs w:val="20"/>
              </w:rPr>
              <w:t>2</w:t>
            </w:r>
          </w:p>
        </w:tc>
        <w:tc>
          <w:tcPr>
            <w:tcW w:w="1269" w:type="dxa"/>
            <w:vMerge/>
          </w:tcPr>
          <w:p w14:paraId="49A81BB4" w14:textId="77777777" w:rsidR="0028398B" w:rsidRPr="00A77AF6" w:rsidRDefault="0028398B" w:rsidP="008D12F7">
            <w:pPr>
              <w:rPr>
                <w:sz w:val="20"/>
                <w:szCs w:val="20"/>
              </w:rPr>
            </w:pPr>
          </w:p>
        </w:tc>
      </w:tr>
      <w:tr w:rsidR="0028398B" w:rsidRPr="00A77AF6" w14:paraId="3D62B57B" w14:textId="77777777" w:rsidTr="0028398B">
        <w:tc>
          <w:tcPr>
            <w:tcW w:w="1696" w:type="dxa"/>
            <w:vMerge/>
          </w:tcPr>
          <w:p w14:paraId="75A39BEF" w14:textId="77777777" w:rsidR="0028398B" w:rsidRPr="00A77AF6" w:rsidRDefault="0028398B" w:rsidP="008D12F7">
            <w:pPr>
              <w:rPr>
                <w:sz w:val="20"/>
                <w:szCs w:val="20"/>
              </w:rPr>
            </w:pPr>
          </w:p>
        </w:tc>
        <w:tc>
          <w:tcPr>
            <w:tcW w:w="4111" w:type="dxa"/>
          </w:tcPr>
          <w:p w14:paraId="20A21131" w14:textId="77777777" w:rsidR="0028398B" w:rsidRPr="00A77AF6" w:rsidRDefault="0028398B" w:rsidP="00D440E3">
            <w:pPr>
              <w:spacing w:after="60"/>
              <w:rPr>
                <w:sz w:val="20"/>
                <w:szCs w:val="20"/>
              </w:rPr>
            </w:pPr>
            <w:r w:rsidRPr="00A77AF6">
              <w:rPr>
                <w:rFonts w:ascii="Calibri" w:hAnsi="Calibri" w:cs="Arial"/>
                <w:sz w:val="20"/>
                <w:szCs w:val="20"/>
              </w:rPr>
              <w:t>Breaking the rules/ derogating is risky/ difficult</w:t>
            </w:r>
          </w:p>
        </w:tc>
        <w:tc>
          <w:tcPr>
            <w:tcW w:w="1701" w:type="dxa"/>
          </w:tcPr>
          <w:p w14:paraId="047A57E6" w14:textId="77777777" w:rsidR="0028398B" w:rsidRPr="00A77AF6" w:rsidRDefault="0028398B" w:rsidP="00D440E3">
            <w:pPr>
              <w:spacing w:after="60"/>
              <w:jc w:val="center"/>
              <w:rPr>
                <w:sz w:val="20"/>
                <w:szCs w:val="20"/>
              </w:rPr>
            </w:pPr>
            <w:r w:rsidRPr="00A77AF6">
              <w:rPr>
                <w:sz w:val="20"/>
                <w:szCs w:val="20"/>
              </w:rPr>
              <w:t>2</w:t>
            </w:r>
          </w:p>
        </w:tc>
        <w:tc>
          <w:tcPr>
            <w:tcW w:w="1269" w:type="dxa"/>
            <w:vMerge/>
          </w:tcPr>
          <w:p w14:paraId="648AD6E3" w14:textId="77777777" w:rsidR="0028398B" w:rsidRPr="00A77AF6" w:rsidRDefault="0028398B" w:rsidP="008D12F7">
            <w:pPr>
              <w:rPr>
                <w:sz w:val="20"/>
                <w:szCs w:val="20"/>
              </w:rPr>
            </w:pPr>
          </w:p>
        </w:tc>
      </w:tr>
      <w:tr w:rsidR="0028398B" w:rsidRPr="00A77AF6" w14:paraId="2DABC1C8" w14:textId="77777777" w:rsidTr="0028398B">
        <w:tc>
          <w:tcPr>
            <w:tcW w:w="1696" w:type="dxa"/>
            <w:vMerge/>
          </w:tcPr>
          <w:p w14:paraId="0ED9028F" w14:textId="77777777" w:rsidR="0028398B" w:rsidRPr="00A77AF6" w:rsidRDefault="0028398B" w:rsidP="008D12F7">
            <w:pPr>
              <w:rPr>
                <w:sz w:val="20"/>
                <w:szCs w:val="20"/>
              </w:rPr>
            </w:pPr>
          </w:p>
        </w:tc>
        <w:tc>
          <w:tcPr>
            <w:tcW w:w="4111" w:type="dxa"/>
          </w:tcPr>
          <w:p w14:paraId="3643D761" w14:textId="77777777" w:rsidR="0028398B" w:rsidRPr="00A77AF6" w:rsidRDefault="0028398B" w:rsidP="00D440E3">
            <w:pPr>
              <w:spacing w:after="60"/>
              <w:rPr>
                <w:sz w:val="20"/>
                <w:szCs w:val="20"/>
              </w:rPr>
            </w:pPr>
            <w:r w:rsidRPr="00A77AF6">
              <w:rPr>
                <w:rFonts w:ascii="Calibri" w:hAnsi="Calibri" w:cs="Arial"/>
                <w:sz w:val="20"/>
                <w:szCs w:val="20"/>
              </w:rPr>
              <w:t>Process holds long/ fragmented process together/ Process breaks project into stages</w:t>
            </w:r>
          </w:p>
        </w:tc>
        <w:tc>
          <w:tcPr>
            <w:tcW w:w="1701" w:type="dxa"/>
          </w:tcPr>
          <w:p w14:paraId="63AA7D40" w14:textId="77777777" w:rsidR="0028398B" w:rsidRPr="00A77AF6" w:rsidRDefault="0028398B" w:rsidP="00D440E3">
            <w:pPr>
              <w:spacing w:after="60"/>
              <w:jc w:val="center"/>
              <w:rPr>
                <w:sz w:val="20"/>
                <w:szCs w:val="20"/>
              </w:rPr>
            </w:pPr>
            <w:r w:rsidRPr="00A77AF6">
              <w:rPr>
                <w:sz w:val="20"/>
                <w:szCs w:val="20"/>
              </w:rPr>
              <w:t>2</w:t>
            </w:r>
          </w:p>
        </w:tc>
        <w:tc>
          <w:tcPr>
            <w:tcW w:w="1269" w:type="dxa"/>
            <w:vMerge/>
          </w:tcPr>
          <w:p w14:paraId="1E93F85D" w14:textId="77777777" w:rsidR="0028398B" w:rsidRPr="00A77AF6" w:rsidRDefault="0028398B" w:rsidP="008D12F7">
            <w:pPr>
              <w:rPr>
                <w:sz w:val="20"/>
                <w:szCs w:val="20"/>
              </w:rPr>
            </w:pPr>
          </w:p>
        </w:tc>
      </w:tr>
    </w:tbl>
    <w:p w14:paraId="3135DFC3" w14:textId="77777777" w:rsidR="0028398B" w:rsidRPr="00A77AF6" w:rsidRDefault="0028398B" w:rsidP="0028398B"/>
    <w:p w14:paraId="4CB63179" w14:textId="6AF6991C" w:rsidR="002A5F18" w:rsidRDefault="00153AB7" w:rsidP="002A5F18">
      <w:pPr>
        <w:spacing w:line="360" w:lineRule="auto"/>
        <w:rPr>
          <w:rFonts w:eastAsia="Times New Roman" w:cstheme="minorHAnsi"/>
          <w:color w:val="000000"/>
          <w:lang w:eastAsia="en-GB"/>
        </w:rPr>
      </w:pPr>
      <w:r w:rsidRPr="00A77AF6">
        <w:rPr>
          <w:rFonts w:eastAsia="Times New Roman" w:cstheme="minorHAnsi"/>
          <w:color w:val="000000"/>
          <w:lang w:eastAsia="en-GB"/>
        </w:rPr>
        <w:t>T</w:t>
      </w:r>
      <w:r w:rsidR="00B1355A" w:rsidRPr="00A77AF6">
        <w:rPr>
          <w:rFonts w:eastAsia="Times New Roman" w:cstheme="minorHAnsi"/>
          <w:color w:val="000000"/>
          <w:lang w:eastAsia="en-GB"/>
        </w:rPr>
        <w:t xml:space="preserve">he process for delivering a capital project in the NHS </w:t>
      </w:r>
      <w:r w:rsidR="00676F46">
        <w:rPr>
          <w:rFonts w:eastAsia="Times New Roman" w:cstheme="minorHAnsi"/>
          <w:color w:val="000000"/>
          <w:lang w:eastAsia="en-GB"/>
        </w:rPr>
        <w:t xml:space="preserve">was described as being.  The procurement </w:t>
      </w:r>
      <w:r w:rsidR="00B1355A" w:rsidRPr="00A77AF6">
        <w:rPr>
          <w:rFonts w:eastAsia="Times New Roman" w:cstheme="minorHAnsi"/>
          <w:color w:val="000000"/>
          <w:lang w:eastAsia="en-GB"/>
        </w:rPr>
        <w:t xml:space="preserve">process is structured </w:t>
      </w:r>
      <w:r w:rsidR="00676F46">
        <w:rPr>
          <w:rFonts w:eastAsia="Times New Roman" w:cstheme="minorHAnsi"/>
          <w:color w:val="000000"/>
          <w:lang w:eastAsia="en-GB"/>
        </w:rPr>
        <w:t xml:space="preserve">and divided into </w:t>
      </w:r>
      <w:r w:rsidR="00B1355A" w:rsidRPr="00A77AF6">
        <w:rPr>
          <w:rFonts w:eastAsia="Times New Roman" w:cstheme="minorHAnsi"/>
          <w:color w:val="000000"/>
          <w:lang w:eastAsia="en-GB"/>
        </w:rPr>
        <w:t>several stages</w:t>
      </w:r>
      <w:r w:rsidR="00676F46">
        <w:rPr>
          <w:rFonts w:eastAsia="Times New Roman" w:cstheme="minorHAnsi"/>
          <w:color w:val="000000"/>
          <w:lang w:eastAsia="en-GB"/>
        </w:rPr>
        <w:t xml:space="preserve">, the </w:t>
      </w:r>
      <w:r w:rsidR="00B1355A" w:rsidRPr="00A77AF6">
        <w:rPr>
          <w:rFonts w:eastAsia="Times New Roman" w:cstheme="minorHAnsi"/>
          <w:color w:val="000000"/>
          <w:lang w:eastAsia="en-GB"/>
        </w:rPr>
        <w:t>SOC</w:t>
      </w:r>
      <w:r w:rsidR="00676F46">
        <w:rPr>
          <w:rFonts w:eastAsia="Times New Roman" w:cstheme="minorHAnsi"/>
          <w:color w:val="000000"/>
          <w:lang w:eastAsia="en-GB"/>
        </w:rPr>
        <w:t xml:space="preserve"> </w:t>
      </w:r>
      <w:r w:rsidR="00B1355A" w:rsidRPr="00A77AF6">
        <w:rPr>
          <w:rFonts w:eastAsia="Times New Roman" w:cstheme="minorHAnsi"/>
          <w:color w:val="000000"/>
          <w:lang w:eastAsia="en-GB"/>
        </w:rPr>
        <w:t xml:space="preserve">followed by </w:t>
      </w:r>
      <w:r w:rsidR="00676F46">
        <w:rPr>
          <w:rFonts w:eastAsia="Times New Roman" w:cstheme="minorHAnsi"/>
          <w:color w:val="000000"/>
          <w:lang w:eastAsia="en-GB"/>
        </w:rPr>
        <w:t xml:space="preserve">the </w:t>
      </w:r>
      <w:r w:rsidR="00B1355A" w:rsidRPr="00A77AF6">
        <w:rPr>
          <w:rFonts w:eastAsia="Times New Roman" w:cstheme="minorHAnsi"/>
          <w:color w:val="000000"/>
          <w:lang w:eastAsia="en-GB"/>
        </w:rPr>
        <w:t xml:space="preserve">OBC and then </w:t>
      </w:r>
      <w:r w:rsidR="00676F46">
        <w:rPr>
          <w:rFonts w:eastAsia="Times New Roman" w:cstheme="minorHAnsi"/>
          <w:color w:val="000000"/>
          <w:lang w:eastAsia="en-GB"/>
        </w:rPr>
        <w:t xml:space="preserve">the </w:t>
      </w:r>
      <w:r w:rsidR="00B1355A" w:rsidRPr="00A77AF6">
        <w:rPr>
          <w:rFonts w:eastAsia="Times New Roman" w:cstheme="minorHAnsi"/>
          <w:color w:val="000000"/>
          <w:lang w:eastAsia="en-GB"/>
        </w:rPr>
        <w:t xml:space="preserve">FBC. </w:t>
      </w:r>
      <w:r w:rsidR="00676F46">
        <w:rPr>
          <w:rFonts w:eastAsia="Times New Roman" w:cstheme="minorHAnsi"/>
          <w:color w:val="000000"/>
          <w:lang w:eastAsia="en-GB"/>
        </w:rPr>
        <w:t xml:space="preserve"> </w:t>
      </w:r>
      <w:r w:rsidRPr="00A77AF6">
        <w:rPr>
          <w:rFonts w:eastAsia="Times New Roman" w:cstheme="minorHAnsi"/>
          <w:color w:val="000000"/>
          <w:lang w:eastAsia="en-GB"/>
        </w:rPr>
        <w:t xml:space="preserve">The NHS </w:t>
      </w:r>
      <w:r w:rsidR="002A5F18">
        <w:rPr>
          <w:rFonts w:eastAsia="Times New Roman" w:cstheme="minorHAnsi"/>
          <w:color w:val="000000"/>
          <w:lang w:eastAsia="en-GB"/>
        </w:rPr>
        <w:t xml:space="preserve">itself </w:t>
      </w:r>
      <w:r w:rsidRPr="00A77AF6">
        <w:rPr>
          <w:rFonts w:eastAsia="Times New Roman" w:cstheme="minorHAnsi"/>
          <w:color w:val="000000"/>
          <w:lang w:eastAsia="en-GB"/>
        </w:rPr>
        <w:t xml:space="preserve">is underpinned by financial rules (standing financial instructions)  which govern probity by </w:t>
      </w:r>
      <w:r w:rsidR="000420D1">
        <w:rPr>
          <w:rFonts w:eastAsia="Times New Roman" w:cstheme="minorHAnsi"/>
          <w:color w:val="000000"/>
          <w:lang w:eastAsia="en-GB"/>
        </w:rPr>
        <w:t xml:space="preserve">applying </w:t>
      </w:r>
      <w:r w:rsidRPr="00A77AF6">
        <w:rPr>
          <w:rFonts w:eastAsia="Times New Roman" w:cstheme="minorHAnsi"/>
          <w:color w:val="000000"/>
          <w:lang w:eastAsia="en-GB"/>
        </w:rPr>
        <w:t>limits on the ability</w:t>
      </w:r>
      <w:r w:rsidR="000420D1">
        <w:rPr>
          <w:rFonts w:eastAsia="Times New Roman" w:cstheme="minorHAnsi"/>
          <w:color w:val="000000"/>
          <w:lang w:eastAsia="en-GB"/>
        </w:rPr>
        <w:t xml:space="preserve"> of individuals </w:t>
      </w:r>
      <w:r w:rsidRPr="00A77AF6">
        <w:rPr>
          <w:rFonts w:eastAsia="Times New Roman" w:cstheme="minorHAnsi"/>
          <w:color w:val="000000"/>
          <w:lang w:eastAsia="en-GB"/>
        </w:rPr>
        <w:t>to spend money and make decisions without getting approval</w:t>
      </w:r>
      <w:r w:rsidR="000420D1">
        <w:rPr>
          <w:rFonts w:eastAsia="Times New Roman" w:cstheme="minorHAnsi"/>
          <w:color w:val="000000"/>
          <w:lang w:eastAsia="en-GB"/>
        </w:rPr>
        <w:t xml:space="preserve"> (delegated authority)</w:t>
      </w:r>
      <w:r w:rsidRPr="00A77AF6">
        <w:rPr>
          <w:rFonts w:eastAsia="Times New Roman" w:cstheme="minorHAnsi"/>
          <w:color w:val="000000"/>
          <w:lang w:eastAsia="en-GB"/>
        </w:rPr>
        <w:t xml:space="preserve">, and it is important to comply with these. </w:t>
      </w:r>
      <w:r w:rsidR="002A5F18">
        <w:rPr>
          <w:rFonts w:eastAsia="Times New Roman" w:cstheme="minorHAnsi"/>
          <w:color w:val="000000"/>
          <w:lang w:eastAsia="en-GB"/>
        </w:rPr>
        <w:t xml:space="preserve"> This applied to projects too.  It was suggested that </w:t>
      </w:r>
      <w:r w:rsidR="002A5F18" w:rsidRPr="00A77AF6">
        <w:rPr>
          <w:rFonts w:eastAsia="Times New Roman" w:cstheme="minorHAnsi"/>
          <w:color w:val="000000"/>
          <w:lang w:eastAsia="en-GB"/>
        </w:rPr>
        <w:t xml:space="preserve">NHS project personnel had </w:t>
      </w:r>
      <w:r w:rsidR="002A5F18">
        <w:rPr>
          <w:rFonts w:eastAsia="Times New Roman" w:cstheme="minorHAnsi"/>
          <w:color w:val="000000"/>
          <w:lang w:eastAsia="en-GB"/>
        </w:rPr>
        <w:t>formalistic</w:t>
      </w:r>
      <w:r w:rsidR="002A5F18" w:rsidRPr="00A77AF6">
        <w:rPr>
          <w:rFonts w:eastAsia="Times New Roman" w:cstheme="minorHAnsi"/>
          <w:color w:val="000000"/>
          <w:lang w:eastAsia="en-GB"/>
        </w:rPr>
        <w:t xml:space="preserve"> predisposition</w:t>
      </w:r>
      <w:r w:rsidR="002A5F18">
        <w:rPr>
          <w:rFonts w:eastAsia="Times New Roman" w:cstheme="minorHAnsi"/>
          <w:color w:val="000000"/>
          <w:lang w:eastAsia="en-GB"/>
        </w:rPr>
        <w:t xml:space="preserve">s </w:t>
      </w:r>
      <w:r w:rsidR="002A5F18" w:rsidRPr="00A77AF6">
        <w:rPr>
          <w:rFonts w:eastAsia="Times New Roman" w:cstheme="minorHAnsi"/>
          <w:color w:val="000000"/>
          <w:lang w:eastAsia="en-GB"/>
        </w:rPr>
        <w:t>because the NHS capital approvals process has strict rules which must be followed for the project to be approved and the funding to be provided</w:t>
      </w:r>
      <w:r w:rsidR="002A5F18">
        <w:rPr>
          <w:rFonts w:eastAsia="Times New Roman" w:cstheme="minorHAnsi"/>
          <w:color w:val="000000"/>
          <w:lang w:eastAsia="en-GB"/>
        </w:rPr>
        <w:t xml:space="preserve">. </w:t>
      </w:r>
    </w:p>
    <w:p w14:paraId="252EDF4E" w14:textId="14B6DFD9" w:rsidR="00DC73FA" w:rsidRPr="00A77AF6" w:rsidRDefault="00DC73FA" w:rsidP="00DC73FA">
      <w:pPr>
        <w:spacing w:line="240" w:lineRule="auto"/>
        <w:ind w:left="720"/>
        <w:rPr>
          <w:i/>
          <w:iCs/>
        </w:rPr>
      </w:pPr>
      <w:r w:rsidRPr="00A77AF6">
        <w:rPr>
          <w:i/>
          <w:iCs/>
        </w:rPr>
        <w:t>‘The whole process, the project outline and the project delivery, is based on an approval process so that means you are reading the rules, looking at the rules and following the rules to make sure you are able to actually get the project done.’</w:t>
      </w:r>
    </w:p>
    <w:p w14:paraId="301B3B6D" w14:textId="3265E66E" w:rsidR="00E0271D" w:rsidRPr="00A77AF6" w:rsidRDefault="00DE29C5" w:rsidP="002A5F18">
      <w:pPr>
        <w:spacing w:after="0" w:line="360" w:lineRule="auto"/>
        <w:rPr>
          <w:i/>
        </w:rPr>
      </w:pPr>
      <w:r w:rsidRPr="00A77AF6">
        <w:rPr>
          <w:rFonts w:eastAsia="Times New Roman" w:cstheme="minorHAnsi"/>
          <w:color w:val="000000"/>
          <w:lang w:eastAsia="en-GB"/>
        </w:rPr>
        <w:t>The business case, which justifies the investment, must be approved by internal bodies, the D</w:t>
      </w:r>
      <w:r w:rsidR="002A5F18">
        <w:rPr>
          <w:rFonts w:eastAsia="Times New Roman" w:cstheme="minorHAnsi"/>
          <w:color w:val="000000"/>
          <w:lang w:eastAsia="en-GB"/>
        </w:rPr>
        <w:t>H</w:t>
      </w:r>
      <w:r w:rsidRPr="00A77AF6">
        <w:rPr>
          <w:rFonts w:eastAsia="Times New Roman" w:cstheme="minorHAnsi"/>
          <w:color w:val="000000"/>
          <w:lang w:eastAsia="en-GB"/>
        </w:rPr>
        <w:t xml:space="preserve">, NHS </w:t>
      </w:r>
      <w:r w:rsidR="002A5F18">
        <w:rPr>
          <w:rFonts w:eastAsia="Times New Roman" w:cstheme="minorHAnsi"/>
          <w:color w:val="000000"/>
          <w:lang w:eastAsia="en-GB"/>
        </w:rPr>
        <w:t xml:space="preserve">England, NHS </w:t>
      </w:r>
      <w:r w:rsidRPr="00A77AF6">
        <w:rPr>
          <w:rFonts w:eastAsia="Times New Roman" w:cstheme="minorHAnsi"/>
          <w:color w:val="000000"/>
          <w:lang w:eastAsia="en-GB"/>
        </w:rPr>
        <w:t>London and possibly other bodies</w:t>
      </w:r>
      <w:r w:rsidR="002A5F18">
        <w:rPr>
          <w:rFonts w:eastAsia="Times New Roman" w:cstheme="minorHAnsi"/>
          <w:color w:val="000000"/>
          <w:lang w:eastAsia="en-GB"/>
        </w:rPr>
        <w:t xml:space="preserve">, so it is </w:t>
      </w:r>
      <w:r w:rsidRPr="00A77AF6">
        <w:rPr>
          <w:rFonts w:eastAsia="Times New Roman" w:cstheme="minorHAnsi"/>
          <w:color w:val="000000"/>
          <w:lang w:eastAsia="en-GB"/>
        </w:rPr>
        <w:t xml:space="preserve">necessary to live within the rules, and </w:t>
      </w:r>
      <w:r w:rsidRPr="00A77AF6">
        <w:rPr>
          <w:rFonts w:eastAsia="Times New Roman" w:cstheme="minorHAnsi"/>
          <w:color w:val="000000"/>
          <w:lang w:eastAsia="en-GB"/>
        </w:rPr>
        <w:lastRenderedPageBreak/>
        <w:t xml:space="preserve">learn to </w:t>
      </w:r>
      <w:r w:rsidR="00D85F9C" w:rsidRPr="00A77AF6">
        <w:rPr>
          <w:rFonts w:eastAsia="Times New Roman" w:cstheme="minorHAnsi"/>
          <w:color w:val="000000"/>
          <w:lang w:eastAsia="en-GB"/>
        </w:rPr>
        <w:t xml:space="preserve">use them flexibly </w:t>
      </w:r>
      <w:r w:rsidRPr="00A77AF6">
        <w:rPr>
          <w:rFonts w:eastAsia="Times New Roman" w:cstheme="minorHAnsi"/>
          <w:color w:val="000000"/>
          <w:lang w:eastAsia="en-GB"/>
        </w:rPr>
        <w:t xml:space="preserve">if necessary, but the rules must be followed because there is no alternative.  </w:t>
      </w:r>
      <w:r w:rsidRPr="00A77AF6">
        <w:t>Breaking the rules is risky</w:t>
      </w:r>
      <w:r w:rsidR="002A5F18">
        <w:t xml:space="preserve"> and although it wo</w:t>
      </w:r>
      <w:r w:rsidRPr="00A77AF6">
        <w:t>uld be possible to find ‘rule breakers’ who work within the system,</w:t>
      </w:r>
      <w:r w:rsidR="002A5F18">
        <w:t xml:space="preserve"> </w:t>
      </w:r>
      <w:r w:rsidRPr="00A77AF6">
        <w:t xml:space="preserve">they would need </w:t>
      </w:r>
      <w:r w:rsidR="002A5F18">
        <w:t xml:space="preserve">to have </w:t>
      </w:r>
      <w:r w:rsidRPr="00A77AF6">
        <w:t>a strong personality and the</w:t>
      </w:r>
      <w:r w:rsidR="002A5F18">
        <w:t xml:space="preserve">y would be taking risks by breaking the rules </w:t>
      </w:r>
      <w:r w:rsidRPr="00A77AF6">
        <w:t xml:space="preserve">because the public sector </w:t>
      </w:r>
      <w:r w:rsidR="002A5F18">
        <w:t>has</w:t>
      </w:r>
      <w:r w:rsidRPr="00A77AF6">
        <w:t xml:space="preserve"> adopt</w:t>
      </w:r>
      <w:r w:rsidR="002A5F18">
        <w:t xml:space="preserve">ed </w:t>
      </w:r>
      <w:r w:rsidRPr="00A77AF6">
        <w:t xml:space="preserve">rigorous processes, </w:t>
      </w:r>
      <w:r w:rsidR="002A5F18">
        <w:t xml:space="preserve">with </w:t>
      </w:r>
      <w:r w:rsidRPr="00A77AF6">
        <w:t>more checks and balances</w:t>
      </w:r>
      <w:r w:rsidR="002A5F18">
        <w:t xml:space="preserve">.  </w:t>
      </w:r>
    </w:p>
    <w:p w14:paraId="66B590D3" w14:textId="69EDB074" w:rsidR="00E46855" w:rsidRDefault="004431A3" w:rsidP="00E46855">
      <w:pPr>
        <w:spacing w:after="0" w:line="360" w:lineRule="auto"/>
      </w:pPr>
      <w:r w:rsidRPr="00A77AF6">
        <w:rPr>
          <w:rFonts w:eastAsia="Times New Roman" w:cstheme="minorHAnsi"/>
          <w:color w:val="000000"/>
          <w:lang w:eastAsia="en-GB"/>
        </w:rPr>
        <w:t xml:space="preserve">NHS projects are known for being long, with significant corporate </w:t>
      </w:r>
      <w:r w:rsidR="002A5F18">
        <w:rPr>
          <w:rFonts w:eastAsia="Times New Roman" w:cstheme="minorHAnsi"/>
          <w:color w:val="000000"/>
          <w:lang w:eastAsia="en-GB"/>
        </w:rPr>
        <w:t>governance</w:t>
      </w:r>
      <w:r w:rsidRPr="00A77AF6">
        <w:rPr>
          <w:rFonts w:eastAsia="Times New Roman" w:cstheme="minorHAnsi"/>
          <w:color w:val="000000"/>
          <w:lang w:eastAsia="en-GB"/>
        </w:rPr>
        <w:t xml:space="preserve"> because the </w:t>
      </w:r>
      <w:r w:rsidR="002A5F18">
        <w:rPr>
          <w:rFonts w:eastAsia="Times New Roman" w:cstheme="minorHAnsi"/>
          <w:color w:val="000000"/>
          <w:lang w:eastAsia="en-GB"/>
        </w:rPr>
        <w:t xml:space="preserve">NHS must </w:t>
      </w:r>
      <w:r w:rsidRPr="00A77AF6">
        <w:rPr>
          <w:rFonts w:eastAsia="Times New Roman" w:cstheme="minorHAnsi"/>
          <w:color w:val="000000"/>
          <w:lang w:eastAsia="en-GB"/>
        </w:rPr>
        <w:t xml:space="preserve">demonstrate </w:t>
      </w:r>
      <w:r w:rsidR="002A5F18">
        <w:rPr>
          <w:rFonts w:eastAsia="Times New Roman" w:cstheme="minorHAnsi"/>
          <w:color w:val="000000"/>
          <w:lang w:eastAsia="en-GB"/>
        </w:rPr>
        <w:t xml:space="preserve">that the projects it develops are </w:t>
      </w:r>
      <w:r w:rsidRPr="00A77AF6">
        <w:rPr>
          <w:rFonts w:eastAsia="Times New Roman" w:cstheme="minorHAnsi"/>
          <w:color w:val="000000"/>
          <w:lang w:eastAsia="en-GB"/>
        </w:rPr>
        <w:t xml:space="preserve">value for money beyond doubt and to demonstrate compliance with </w:t>
      </w:r>
      <w:r w:rsidR="00E46855">
        <w:rPr>
          <w:rFonts w:eastAsia="Times New Roman" w:cstheme="minorHAnsi"/>
          <w:color w:val="000000"/>
          <w:lang w:eastAsia="en-GB"/>
        </w:rPr>
        <w:t xml:space="preserve">corporate </w:t>
      </w:r>
      <w:r w:rsidRPr="00A77AF6">
        <w:rPr>
          <w:rFonts w:eastAsia="Times New Roman" w:cstheme="minorHAnsi"/>
          <w:color w:val="000000"/>
          <w:lang w:eastAsia="en-GB"/>
        </w:rPr>
        <w:t xml:space="preserve">strategy (Expert F).  </w:t>
      </w:r>
      <w:r w:rsidR="00EB70D9" w:rsidRPr="00A77AF6">
        <w:rPr>
          <w:rFonts w:eastAsia="Times New Roman" w:cstheme="minorHAnsi"/>
          <w:color w:val="000000"/>
          <w:lang w:eastAsia="en-GB"/>
        </w:rPr>
        <w:t xml:space="preserve">The </w:t>
      </w:r>
      <w:r w:rsidR="00F260DB" w:rsidRPr="00A77AF6">
        <w:rPr>
          <w:rFonts w:eastAsia="Times New Roman" w:cstheme="minorHAnsi"/>
          <w:color w:val="000000"/>
          <w:lang w:eastAsia="en-GB"/>
        </w:rPr>
        <w:t xml:space="preserve">length of projects </w:t>
      </w:r>
      <w:r w:rsidRPr="00A77AF6">
        <w:rPr>
          <w:rFonts w:eastAsia="Times New Roman" w:cstheme="minorHAnsi"/>
          <w:color w:val="000000"/>
          <w:lang w:eastAsia="en-GB"/>
        </w:rPr>
        <w:t>creates short-term thinking, with the focus on navigating trying one stage at a time</w:t>
      </w:r>
      <w:r w:rsidR="00F260DB" w:rsidRPr="00A77AF6">
        <w:rPr>
          <w:rFonts w:eastAsia="Times New Roman" w:cstheme="minorHAnsi"/>
          <w:color w:val="000000"/>
          <w:lang w:eastAsia="en-GB"/>
        </w:rPr>
        <w:t xml:space="preserve">, rather than looking </w:t>
      </w:r>
      <w:r w:rsidR="00EA30F0" w:rsidRPr="00A77AF6">
        <w:rPr>
          <w:rFonts w:eastAsia="Times New Roman" w:cstheme="minorHAnsi"/>
          <w:color w:val="000000"/>
          <w:lang w:eastAsia="en-GB"/>
        </w:rPr>
        <w:t>a long way ahead</w:t>
      </w:r>
      <w:r w:rsidR="00DC3CE2" w:rsidRPr="00A77AF6">
        <w:rPr>
          <w:rFonts w:eastAsia="Times New Roman" w:cstheme="minorHAnsi"/>
          <w:color w:val="000000"/>
          <w:lang w:eastAsia="en-GB"/>
        </w:rPr>
        <w:t xml:space="preserve"> (Expert F).</w:t>
      </w:r>
      <w:r w:rsidR="00915C3D" w:rsidRPr="00A77AF6">
        <w:rPr>
          <w:rFonts w:eastAsia="Times New Roman" w:cstheme="minorHAnsi"/>
          <w:color w:val="000000"/>
          <w:lang w:eastAsia="en-GB"/>
        </w:rPr>
        <w:t xml:space="preserve">  </w:t>
      </w:r>
      <w:r w:rsidR="00E46855">
        <w:rPr>
          <w:rFonts w:eastAsia="Times New Roman" w:cstheme="minorHAnsi"/>
          <w:color w:val="000000"/>
          <w:lang w:eastAsia="en-GB"/>
        </w:rPr>
        <w:t xml:space="preserve"> </w:t>
      </w:r>
      <w:r w:rsidR="00E46855" w:rsidRPr="00A77AF6">
        <w:rPr>
          <w:rFonts w:eastAsia="Times New Roman" w:cstheme="minorHAnsi"/>
          <w:color w:val="000000"/>
          <w:lang w:eastAsia="en-GB"/>
        </w:rPr>
        <w:t>Projects are broken down into stages to make delivery manageable, but they will be assessed at the end on the assumptions made for the business case, so it is important that the long-term benefits are considered too during the project delivery phase (Expert D).</w:t>
      </w:r>
      <w:r w:rsidR="00E46855">
        <w:rPr>
          <w:rFonts w:eastAsia="Times New Roman" w:cstheme="minorHAnsi"/>
          <w:color w:val="000000"/>
          <w:lang w:eastAsia="en-GB"/>
        </w:rPr>
        <w:t xml:space="preserve"> Project teams </w:t>
      </w:r>
      <w:r w:rsidR="00E46855" w:rsidRPr="00A77AF6">
        <w:rPr>
          <w:rFonts w:eastAsia="Times New Roman" w:cstheme="minorHAnsi"/>
          <w:color w:val="000000"/>
          <w:lang w:eastAsia="en-GB"/>
        </w:rPr>
        <w:t xml:space="preserve">focus on achieving one milestone or stage </w:t>
      </w:r>
      <w:r w:rsidR="00E46855">
        <w:rPr>
          <w:rFonts w:eastAsia="Times New Roman" w:cstheme="minorHAnsi"/>
          <w:color w:val="000000"/>
          <w:lang w:eastAsia="en-GB"/>
        </w:rPr>
        <w:t xml:space="preserve">at a time and this was thought to be </w:t>
      </w:r>
      <w:r w:rsidR="00E46855" w:rsidRPr="00A77AF6">
        <w:rPr>
          <w:rFonts w:eastAsia="Times New Roman" w:cstheme="minorHAnsi"/>
          <w:color w:val="000000"/>
          <w:lang w:eastAsia="en-GB"/>
        </w:rPr>
        <w:t>important because projects can be very lengthy and the</w:t>
      </w:r>
      <w:r w:rsidR="00E46855">
        <w:rPr>
          <w:rFonts w:eastAsia="Times New Roman" w:cstheme="minorHAnsi"/>
          <w:color w:val="000000"/>
          <w:lang w:eastAsia="en-GB"/>
        </w:rPr>
        <w:t>ir</w:t>
      </w:r>
      <w:r w:rsidR="00E46855" w:rsidRPr="00A77AF6">
        <w:rPr>
          <w:rFonts w:eastAsia="Times New Roman" w:cstheme="minorHAnsi"/>
          <w:color w:val="000000"/>
          <w:lang w:eastAsia="en-GB"/>
        </w:rPr>
        <w:t xml:space="preserve"> outcome uncertain</w:t>
      </w:r>
      <w:r w:rsidR="00E46855">
        <w:rPr>
          <w:rFonts w:eastAsia="Times New Roman" w:cstheme="minorHAnsi"/>
          <w:color w:val="000000"/>
          <w:lang w:eastAsia="en-GB"/>
        </w:rPr>
        <w:t xml:space="preserve">.  This is </w:t>
      </w:r>
      <w:r w:rsidR="00E46855" w:rsidRPr="00A77AF6">
        <w:rPr>
          <w:rFonts w:eastAsia="Times New Roman" w:cstheme="minorHAnsi"/>
          <w:color w:val="000000"/>
          <w:lang w:eastAsia="en-GB"/>
        </w:rPr>
        <w:t xml:space="preserve">particularly </w:t>
      </w:r>
      <w:r w:rsidR="00E46855">
        <w:rPr>
          <w:rFonts w:eastAsia="Times New Roman" w:cstheme="minorHAnsi"/>
          <w:color w:val="000000"/>
          <w:lang w:eastAsia="en-GB"/>
        </w:rPr>
        <w:t xml:space="preserve">true of </w:t>
      </w:r>
      <w:r w:rsidR="00E46855" w:rsidRPr="00A77AF6">
        <w:rPr>
          <w:rFonts w:eastAsia="Times New Roman" w:cstheme="minorHAnsi"/>
          <w:color w:val="000000"/>
          <w:lang w:eastAsia="en-GB"/>
        </w:rPr>
        <w:t>early stage</w:t>
      </w:r>
      <w:r w:rsidR="00E46855">
        <w:rPr>
          <w:rFonts w:eastAsia="Times New Roman" w:cstheme="minorHAnsi"/>
          <w:color w:val="000000"/>
          <w:lang w:eastAsia="en-GB"/>
        </w:rPr>
        <w:t xml:space="preserve"> work.</w:t>
      </w:r>
      <w:r w:rsidR="00E46855" w:rsidRPr="00A77AF6">
        <w:rPr>
          <w:rFonts w:eastAsia="Times New Roman" w:cstheme="minorHAnsi"/>
          <w:color w:val="000000"/>
          <w:lang w:eastAsia="en-GB"/>
        </w:rPr>
        <w:t xml:space="preserve"> (Expert B).  For example, </w:t>
      </w:r>
      <w:r w:rsidR="00E46855">
        <w:rPr>
          <w:rFonts w:eastAsia="Times New Roman" w:cstheme="minorHAnsi"/>
          <w:color w:val="000000"/>
          <w:lang w:eastAsia="en-GB"/>
        </w:rPr>
        <w:t xml:space="preserve">there is doubt about the timing of planning consent and uncertainty about the impact of planning authorities and </w:t>
      </w:r>
      <w:r w:rsidR="00E46855" w:rsidRPr="00A77AF6">
        <w:rPr>
          <w:rFonts w:eastAsia="Times New Roman" w:cstheme="minorHAnsi"/>
          <w:color w:val="000000"/>
          <w:lang w:eastAsia="en-GB"/>
        </w:rPr>
        <w:t xml:space="preserve">value engineering </w:t>
      </w:r>
      <w:r w:rsidR="00E46855">
        <w:rPr>
          <w:rFonts w:eastAsia="Times New Roman" w:cstheme="minorHAnsi"/>
          <w:color w:val="000000"/>
          <w:lang w:eastAsia="en-GB"/>
        </w:rPr>
        <w:t xml:space="preserve">on the final design, </w:t>
      </w:r>
      <w:r w:rsidR="00E46855" w:rsidRPr="00A77AF6">
        <w:rPr>
          <w:rFonts w:eastAsia="Times New Roman" w:cstheme="minorHAnsi"/>
          <w:color w:val="000000"/>
          <w:lang w:eastAsia="en-GB"/>
        </w:rPr>
        <w:t xml:space="preserve">so the final design could be considerably from </w:t>
      </w:r>
      <w:r w:rsidR="00E46855">
        <w:rPr>
          <w:rFonts w:eastAsia="Times New Roman" w:cstheme="minorHAnsi"/>
          <w:color w:val="000000"/>
          <w:lang w:eastAsia="en-GB"/>
        </w:rPr>
        <w:t xml:space="preserve">that of the early stages. Longer-term uncertainty means that short-term milestones can </w:t>
      </w:r>
      <w:r w:rsidR="00E46855" w:rsidRPr="00A77AF6">
        <w:rPr>
          <w:rFonts w:eastAsia="Times New Roman" w:cstheme="minorHAnsi"/>
          <w:color w:val="000000"/>
          <w:lang w:eastAsia="en-GB"/>
        </w:rPr>
        <w:t xml:space="preserve">become an end </w:t>
      </w:r>
      <w:r w:rsidR="00E46855">
        <w:rPr>
          <w:rFonts w:eastAsia="Times New Roman" w:cstheme="minorHAnsi"/>
          <w:color w:val="000000"/>
          <w:lang w:eastAsia="en-GB"/>
        </w:rPr>
        <w:t xml:space="preserve">in themselves.  For example, </w:t>
      </w:r>
      <w:r w:rsidR="00E46855" w:rsidRPr="00A77AF6">
        <w:rPr>
          <w:rFonts w:eastAsia="Times New Roman" w:cstheme="minorHAnsi"/>
          <w:color w:val="000000"/>
          <w:lang w:eastAsia="en-GB"/>
        </w:rPr>
        <w:t xml:space="preserve">the achievement of the required BREEAM level would not be considered </w:t>
      </w:r>
      <w:r w:rsidR="00E46855">
        <w:rPr>
          <w:rFonts w:eastAsia="Times New Roman" w:cstheme="minorHAnsi"/>
          <w:color w:val="000000"/>
          <w:lang w:eastAsia="en-GB"/>
        </w:rPr>
        <w:t xml:space="preserve">a major event </w:t>
      </w:r>
      <w:r w:rsidR="00E46855" w:rsidRPr="00A77AF6">
        <w:rPr>
          <w:rFonts w:eastAsia="Times New Roman" w:cstheme="minorHAnsi"/>
          <w:color w:val="000000"/>
          <w:lang w:eastAsia="en-GB"/>
        </w:rPr>
        <w:t xml:space="preserve">at the corporate level, </w:t>
      </w:r>
      <w:r w:rsidR="00E46855">
        <w:rPr>
          <w:rFonts w:eastAsia="Times New Roman" w:cstheme="minorHAnsi"/>
          <w:color w:val="000000"/>
          <w:lang w:eastAsia="en-GB"/>
        </w:rPr>
        <w:t xml:space="preserve">is an important milestone for </w:t>
      </w:r>
      <w:r w:rsidR="00E46855" w:rsidRPr="00A77AF6">
        <w:rPr>
          <w:rFonts w:eastAsia="Times New Roman" w:cstheme="minorHAnsi"/>
          <w:color w:val="000000"/>
          <w:lang w:eastAsia="en-GB"/>
        </w:rPr>
        <w:t>project teams</w:t>
      </w:r>
      <w:r w:rsidR="00E46855">
        <w:rPr>
          <w:rFonts w:eastAsia="Times New Roman" w:cstheme="minorHAnsi"/>
          <w:color w:val="000000"/>
          <w:lang w:eastAsia="en-GB"/>
        </w:rPr>
        <w:t xml:space="preserve">, because without it a project cannot progress.  </w:t>
      </w:r>
      <w:r w:rsidR="00E46855" w:rsidRPr="00A77AF6">
        <w:t>These processes</w:t>
      </w:r>
      <w:r w:rsidR="00E46855">
        <w:t xml:space="preserve"> also</w:t>
      </w:r>
      <w:r w:rsidR="00E46855" w:rsidRPr="00A77AF6">
        <w:t xml:space="preserve"> include a complex business case process, the approvals process and other aspects of healthcare projects.  </w:t>
      </w:r>
    </w:p>
    <w:p w14:paraId="4981501D" w14:textId="39F05C1D" w:rsidR="002A5F18" w:rsidRPr="00A77AF6" w:rsidRDefault="00F27B18" w:rsidP="00762190">
      <w:pPr>
        <w:spacing w:after="0" w:line="360" w:lineRule="auto"/>
        <w:rPr>
          <w:rFonts w:eastAsia="Times New Roman" w:cstheme="minorHAnsi"/>
          <w:color w:val="000000"/>
          <w:lang w:eastAsia="en-GB"/>
        </w:rPr>
      </w:pPr>
      <w:r w:rsidRPr="00A77AF6">
        <w:rPr>
          <w:rFonts w:eastAsia="Times New Roman" w:cstheme="minorHAnsi"/>
          <w:color w:val="000000"/>
          <w:lang w:eastAsia="en-GB"/>
        </w:rPr>
        <w:t xml:space="preserve">However, even though </w:t>
      </w:r>
      <w:r w:rsidR="00E46855">
        <w:rPr>
          <w:rFonts w:eastAsia="Times New Roman" w:cstheme="minorHAnsi"/>
          <w:color w:val="000000"/>
          <w:lang w:eastAsia="en-GB"/>
        </w:rPr>
        <w:t xml:space="preserve">the </w:t>
      </w:r>
      <w:r w:rsidR="00762190">
        <w:rPr>
          <w:rFonts w:eastAsia="Times New Roman" w:cstheme="minorHAnsi"/>
          <w:color w:val="000000"/>
          <w:lang w:eastAsia="en-GB"/>
        </w:rPr>
        <w:t>focus</w:t>
      </w:r>
      <w:r w:rsidR="004431A3" w:rsidRPr="00A77AF6">
        <w:rPr>
          <w:rFonts w:eastAsia="Times New Roman" w:cstheme="minorHAnsi"/>
          <w:color w:val="000000"/>
          <w:lang w:eastAsia="en-GB"/>
        </w:rPr>
        <w:t xml:space="preserve"> </w:t>
      </w:r>
      <w:r w:rsidR="00E46855">
        <w:rPr>
          <w:rFonts w:eastAsia="Times New Roman" w:cstheme="minorHAnsi"/>
          <w:color w:val="000000"/>
          <w:lang w:eastAsia="en-GB"/>
        </w:rPr>
        <w:t xml:space="preserve">of project teams </w:t>
      </w:r>
      <w:r w:rsidR="004431A3" w:rsidRPr="00A77AF6">
        <w:rPr>
          <w:rFonts w:eastAsia="Times New Roman" w:cstheme="minorHAnsi"/>
          <w:color w:val="000000"/>
          <w:lang w:eastAsia="en-GB"/>
        </w:rPr>
        <w:t>appears to be on short-term goals</w:t>
      </w:r>
      <w:r w:rsidR="00E46855">
        <w:rPr>
          <w:rFonts w:eastAsia="Times New Roman" w:cstheme="minorHAnsi"/>
          <w:color w:val="000000"/>
          <w:lang w:eastAsia="en-GB"/>
        </w:rPr>
        <w:t xml:space="preserve">, it was noted that </w:t>
      </w:r>
      <w:r w:rsidR="00283219" w:rsidRPr="00A77AF6">
        <w:rPr>
          <w:rFonts w:eastAsia="Times New Roman" w:cstheme="minorHAnsi"/>
          <w:color w:val="000000"/>
          <w:lang w:eastAsia="en-GB"/>
        </w:rPr>
        <w:t>some though</w:t>
      </w:r>
      <w:r w:rsidR="00E46855">
        <w:rPr>
          <w:rFonts w:eastAsia="Times New Roman" w:cstheme="minorHAnsi"/>
          <w:color w:val="000000"/>
          <w:lang w:eastAsia="en-GB"/>
        </w:rPr>
        <w:t>t</w:t>
      </w:r>
      <w:r w:rsidR="00283219" w:rsidRPr="00A77AF6">
        <w:rPr>
          <w:rFonts w:eastAsia="Times New Roman" w:cstheme="minorHAnsi"/>
          <w:color w:val="000000"/>
          <w:lang w:eastAsia="en-GB"/>
        </w:rPr>
        <w:t xml:space="preserve"> is given to longer term outcomes. </w:t>
      </w:r>
      <w:r w:rsidR="002A5F18">
        <w:rPr>
          <w:rFonts w:eastAsia="Times New Roman" w:cstheme="minorHAnsi"/>
          <w:color w:val="000000"/>
          <w:lang w:eastAsia="en-GB"/>
        </w:rPr>
        <w:t>T</w:t>
      </w:r>
      <w:r w:rsidR="002A5F18" w:rsidRPr="00A77AF6">
        <w:rPr>
          <w:rFonts w:eastAsia="Times New Roman" w:cstheme="minorHAnsi"/>
          <w:color w:val="000000"/>
          <w:lang w:eastAsia="en-GB"/>
        </w:rPr>
        <w:t xml:space="preserve">he </w:t>
      </w:r>
      <w:r w:rsidR="002A5F18">
        <w:rPr>
          <w:rFonts w:eastAsia="Times New Roman" w:cstheme="minorHAnsi"/>
          <w:color w:val="000000"/>
          <w:lang w:eastAsia="en-GB"/>
        </w:rPr>
        <w:t xml:space="preserve">formal </w:t>
      </w:r>
      <w:r w:rsidR="00E46855">
        <w:rPr>
          <w:rFonts w:eastAsia="Times New Roman" w:cstheme="minorHAnsi"/>
          <w:color w:val="000000"/>
          <w:lang w:eastAsia="en-GB"/>
        </w:rPr>
        <w:t xml:space="preserve">business case </w:t>
      </w:r>
      <w:r w:rsidR="002A5F18" w:rsidRPr="00A77AF6">
        <w:rPr>
          <w:rFonts w:eastAsia="Times New Roman" w:cstheme="minorHAnsi"/>
          <w:color w:val="000000"/>
          <w:lang w:eastAsia="en-GB"/>
        </w:rPr>
        <w:t xml:space="preserve">process is important because it is </w:t>
      </w:r>
      <w:r w:rsidR="002A5F18">
        <w:rPr>
          <w:rFonts w:eastAsia="Times New Roman" w:cstheme="minorHAnsi"/>
          <w:color w:val="000000"/>
          <w:lang w:eastAsia="en-GB"/>
        </w:rPr>
        <w:t xml:space="preserve">very difficult for project teams </w:t>
      </w:r>
      <w:r w:rsidR="002A5F18" w:rsidRPr="00A77AF6">
        <w:rPr>
          <w:rFonts w:eastAsia="Times New Roman" w:cstheme="minorHAnsi"/>
          <w:color w:val="000000"/>
          <w:lang w:eastAsia="en-GB"/>
        </w:rPr>
        <w:t xml:space="preserve">to visualise the outcome of a project </w:t>
      </w:r>
      <w:r w:rsidR="00762190">
        <w:rPr>
          <w:rFonts w:eastAsia="Times New Roman" w:cstheme="minorHAnsi"/>
          <w:color w:val="000000"/>
          <w:lang w:eastAsia="en-GB"/>
        </w:rPr>
        <w:t>which</w:t>
      </w:r>
      <w:r w:rsidR="002A5F18" w:rsidRPr="00A77AF6">
        <w:rPr>
          <w:rFonts w:eastAsia="Times New Roman" w:cstheme="minorHAnsi"/>
          <w:color w:val="000000"/>
          <w:lang w:eastAsia="en-GB"/>
        </w:rPr>
        <w:t xml:space="preserve"> consists of many </w:t>
      </w:r>
      <w:r w:rsidR="002A5F18">
        <w:rPr>
          <w:rFonts w:eastAsia="Times New Roman" w:cstheme="minorHAnsi"/>
          <w:color w:val="000000"/>
          <w:lang w:eastAsia="en-GB"/>
        </w:rPr>
        <w:t>element</w:t>
      </w:r>
      <w:r w:rsidR="002A5F18" w:rsidRPr="00A77AF6">
        <w:rPr>
          <w:rFonts w:eastAsia="Times New Roman" w:cstheme="minorHAnsi"/>
          <w:color w:val="000000"/>
          <w:lang w:eastAsia="en-GB"/>
        </w:rPr>
        <w:t>s, not just a completed building, but a building fit for service, which supports a new future service configuration, and which considers future IT developments</w:t>
      </w:r>
      <w:r w:rsidR="002A5F18">
        <w:rPr>
          <w:rFonts w:eastAsia="Times New Roman" w:cstheme="minorHAnsi"/>
          <w:color w:val="000000"/>
          <w:lang w:eastAsia="en-GB"/>
        </w:rPr>
        <w:t xml:space="preserve"> and delivers the planned benefits.  </w:t>
      </w:r>
      <w:r w:rsidR="002A5F18" w:rsidRPr="00A77AF6">
        <w:rPr>
          <w:rFonts w:eastAsia="Times New Roman" w:cstheme="minorHAnsi"/>
          <w:color w:val="000000"/>
          <w:lang w:eastAsia="en-GB"/>
        </w:rPr>
        <w:t xml:space="preserve">All these must be planned </w:t>
      </w:r>
      <w:r w:rsidR="002A5F18">
        <w:rPr>
          <w:rFonts w:eastAsia="Times New Roman" w:cstheme="minorHAnsi"/>
          <w:color w:val="000000"/>
          <w:lang w:eastAsia="en-GB"/>
        </w:rPr>
        <w:t xml:space="preserve">for </w:t>
      </w:r>
      <w:r w:rsidR="002A5F18" w:rsidRPr="00A77AF6">
        <w:rPr>
          <w:rFonts w:eastAsia="Times New Roman" w:cstheme="minorHAnsi"/>
          <w:color w:val="000000"/>
          <w:lang w:eastAsia="en-GB"/>
        </w:rPr>
        <w:t xml:space="preserve">when looking into an uncertain future. The process therefore supports the work needed to manage the planning of both the buildings and the service.  </w:t>
      </w:r>
    </w:p>
    <w:p w14:paraId="7224023E" w14:textId="187D156F" w:rsidR="002A5F18" w:rsidRDefault="002A5F18" w:rsidP="00915C3D">
      <w:pPr>
        <w:spacing w:after="0" w:line="360" w:lineRule="auto"/>
        <w:rPr>
          <w:rFonts w:eastAsia="Times New Roman" w:cstheme="minorHAnsi"/>
          <w:color w:val="000000"/>
          <w:lang w:eastAsia="en-GB"/>
        </w:rPr>
      </w:pPr>
    </w:p>
    <w:p w14:paraId="11ABF801" w14:textId="0D55E614" w:rsidR="002A5F18" w:rsidRDefault="002A5F18" w:rsidP="00915C3D">
      <w:pPr>
        <w:spacing w:after="0" w:line="360" w:lineRule="auto"/>
        <w:rPr>
          <w:rFonts w:eastAsia="Times New Roman" w:cstheme="minorHAnsi"/>
          <w:color w:val="000000"/>
          <w:lang w:eastAsia="en-GB"/>
        </w:rPr>
      </w:pPr>
    </w:p>
    <w:p w14:paraId="75CDB4CF" w14:textId="63ECF965" w:rsidR="00DD6B38" w:rsidRPr="00A77AF6" w:rsidRDefault="00DD6B38" w:rsidP="001056D1">
      <w:pPr>
        <w:pStyle w:val="Heading3"/>
        <w:spacing w:line="240" w:lineRule="auto"/>
      </w:pPr>
      <w:bookmarkStart w:id="183" w:name="_Toc36275138"/>
      <w:r w:rsidRPr="00A77AF6">
        <w:lastRenderedPageBreak/>
        <w:t>NHS culture</w:t>
      </w:r>
      <w:bookmarkEnd w:id="183"/>
    </w:p>
    <w:p w14:paraId="73908D44" w14:textId="6FD0E852" w:rsidR="00EA37A0" w:rsidRPr="00A77AF6" w:rsidRDefault="00ED06E2" w:rsidP="00EA37A0">
      <w:pPr>
        <w:spacing w:before="120" w:line="360" w:lineRule="auto"/>
      </w:pPr>
      <w:r w:rsidRPr="00A77AF6">
        <w:rPr>
          <w:rFonts w:ascii="Calibri" w:hAnsi="Calibri" w:cs="Arial"/>
        </w:rPr>
        <w:t xml:space="preserve">NHS </w:t>
      </w:r>
      <w:r w:rsidR="00DD6B38" w:rsidRPr="00A77AF6">
        <w:rPr>
          <w:rFonts w:ascii="Calibri" w:hAnsi="Calibri" w:cs="Arial"/>
        </w:rPr>
        <w:t xml:space="preserve">the culture </w:t>
      </w:r>
      <w:r w:rsidRPr="00A77AF6">
        <w:rPr>
          <w:rFonts w:ascii="Calibri" w:hAnsi="Calibri" w:cs="Arial"/>
        </w:rPr>
        <w:t>was identified as another reason for ethical formalism’s predominance</w:t>
      </w:r>
      <w:r w:rsidR="00EB5FD1">
        <w:rPr>
          <w:rFonts w:ascii="Calibri" w:hAnsi="Calibri" w:cs="Arial"/>
        </w:rPr>
        <w:t xml:space="preserve"> </w:t>
      </w:r>
      <w:r w:rsidR="00DD6B38" w:rsidRPr="00A77AF6">
        <w:rPr>
          <w:rFonts w:ascii="Calibri" w:hAnsi="Calibri" w:cs="Arial"/>
        </w:rPr>
        <w:t xml:space="preserve">(Table </w:t>
      </w:r>
      <w:r w:rsidR="00D85011" w:rsidRPr="00A77AF6">
        <w:rPr>
          <w:rFonts w:ascii="Calibri" w:hAnsi="Calibri" w:cs="Arial"/>
        </w:rPr>
        <w:t>7-</w:t>
      </w:r>
      <w:r w:rsidR="00DD6B38" w:rsidRPr="00A77AF6">
        <w:rPr>
          <w:rFonts w:ascii="Calibri" w:hAnsi="Calibri" w:cs="Arial"/>
        </w:rPr>
        <w:t>3)</w:t>
      </w:r>
      <w:r w:rsidRPr="00A77AF6">
        <w:rPr>
          <w:rFonts w:ascii="Calibri" w:hAnsi="Calibri" w:cs="Arial"/>
        </w:rPr>
        <w:t>.  Respondents suggested that the culture of the NHS is</w:t>
      </w:r>
      <w:r w:rsidR="00EB5FD1">
        <w:rPr>
          <w:rFonts w:ascii="Calibri" w:hAnsi="Calibri" w:cs="Arial"/>
        </w:rPr>
        <w:t xml:space="preserve"> risk averse and ethically</w:t>
      </w:r>
      <w:r w:rsidRPr="00A77AF6">
        <w:rPr>
          <w:rFonts w:ascii="Calibri" w:hAnsi="Calibri" w:cs="Arial"/>
        </w:rPr>
        <w:t xml:space="preserve"> driven</w:t>
      </w:r>
      <w:r w:rsidR="00EB5FD1">
        <w:rPr>
          <w:rFonts w:ascii="Calibri" w:hAnsi="Calibri" w:cs="Arial"/>
        </w:rPr>
        <w:t>.  This culture is supported</w:t>
      </w:r>
      <w:r w:rsidRPr="00A77AF6">
        <w:rPr>
          <w:rFonts w:ascii="Calibri" w:hAnsi="Calibri" w:cs="Arial"/>
        </w:rPr>
        <w:t xml:space="preserve"> by protocols, </w:t>
      </w:r>
      <w:r w:rsidR="00EB5FD1">
        <w:rPr>
          <w:rFonts w:ascii="Calibri" w:hAnsi="Calibri" w:cs="Arial"/>
        </w:rPr>
        <w:t>c</w:t>
      </w:r>
      <w:r w:rsidRPr="00A77AF6">
        <w:rPr>
          <w:rFonts w:ascii="Calibri" w:hAnsi="Calibri" w:cs="Arial"/>
        </w:rPr>
        <w:t>oncern with accountability</w:t>
      </w:r>
      <w:r w:rsidR="00EA37A0" w:rsidRPr="00A77AF6">
        <w:rPr>
          <w:rFonts w:ascii="Calibri" w:hAnsi="Calibri" w:cs="Arial"/>
        </w:rPr>
        <w:t xml:space="preserve"> and </w:t>
      </w:r>
      <w:r w:rsidR="00EB5FD1">
        <w:rPr>
          <w:rFonts w:ascii="Calibri" w:hAnsi="Calibri" w:cs="Arial"/>
        </w:rPr>
        <w:t xml:space="preserve">implementation of </w:t>
      </w:r>
      <w:r w:rsidR="00EA37A0" w:rsidRPr="00A77AF6">
        <w:t>control</w:t>
      </w:r>
      <w:r w:rsidR="00EB5FD1">
        <w:t xml:space="preserve"> </w:t>
      </w:r>
      <w:r w:rsidR="00EA37A0" w:rsidRPr="00A77AF6">
        <w:t xml:space="preserve">and measurement </w:t>
      </w:r>
      <w:r w:rsidR="00EB5FD1">
        <w:t xml:space="preserve">mechanisms for </w:t>
      </w:r>
      <w:r w:rsidR="00EA37A0" w:rsidRPr="00A77AF6">
        <w:t xml:space="preserve">its clinical </w:t>
      </w:r>
      <w:r w:rsidR="00EB5FD1">
        <w:t xml:space="preserve">and project </w:t>
      </w:r>
      <w:r w:rsidR="00EA37A0" w:rsidRPr="00A77AF6">
        <w:t>work</w:t>
      </w:r>
      <w:r w:rsidR="00EB5FD1">
        <w:t>. Th</w:t>
      </w:r>
      <w:r w:rsidR="00EA37A0" w:rsidRPr="00A77AF6">
        <w:t xml:space="preserve">e complex nature of the NHS means </w:t>
      </w:r>
      <w:r w:rsidR="00EB5FD1">
        <w:t xml:space="preserve">that it implements </w:t>
      </w:r>
      <w:r w:rsidR="00EA37A0" w:rsidRPr="00A77AF6">
        <w:t>processes a</w:t>
      </w:r>
      <w:r w:rsidR="00EB5FD1">
        <w:t xml:space="preserve">s a means of </w:t>
      </w:r>
      <w:r w:rsidR="00EA37A0" w:rsidRPr="00A77AF6">
        <w:t>ensuring consistency</w:t>
      </w:r>
      <w:r w:rsidR="00EB5FD1">
        <w:t xml:space="preserve"> in its dealings with patients, staff and other stakeholders</w:t>
      </w:r>
      <w:r w:rsidR="00EA37A0" w:rsidRPr="00A77AF6">
        <w:t>.</w:t>
      </w:r>
      <w:r w:rsidR="00E0271D" w:rsidRPr="00A77AF6">
        <w:t xml:space="preserve"> </w:t>
      </w:r>
      <w:r w:rsidR="00EB5FD1">
        <w:t xml:space="preserve"> Compliance to processes and protocols can be measured.  </w:t>
      </w:r>
    </w:p>
    <w:p w14:paraId="2C2FDB4E" w14:textId="6FAF17A5" w:rsidR="00DD6B38" w:rsidRPr="00A77AF6" w:rsidRDefault="00DD6B38" w:rsidP="0007452B">
      <w:pPr>
        <w:pStyle w:val="Caption"/>
        <w:keepNext/>
        <w:spacing w:after="120"/>
      </w:pPr>
      <w:r w:rsidRPr="00A77AF6">
        <w:t xml:space="preserve">Table </w:t>
      </w:r>
      <w:fldSimple w:instr=" STYLEREF 1 \s ">
        <w:r w:rsidR="000441F7">
          <w:rPr>
            <w:noProof/>
          </w:rPr>
          <w:t>7</w:t>
        </w:r>
      </w:fldSimple>
      <w:r w:rsidR="00804112">
        <w:noBreakHyphen/>
      </w:r>
      <w:fldSimple w:instr=" SEQ Table \* ARABIC \s 1 ">
        <w:r w:rsidR="000441F7">
          <w:rPr>
            <w:noProof/>
          </w:rPr>
          <w:t>3</w:t>
        </w:r>
      </w:fldSimple>
      <w:r w:rsidRPr="00A77AF6">
        <w:t>: Coding of respondents’ views on NHS Culture</w:t>
      </w:r>
    </w:p>
    <w:tbl>
      <w:tblPr>
        <w:tblStyle w:val="TableGrid"/>
        <w:tblW w:w="0" w:type="auto"/>
        <w:tblLook w:val="04A0" w:firstRow="1" w:lastRow="0" w:firstColumn="1" w:lastColumn="0" w:noHBand="0" w:noVBand="1"/>
      </w:tblPr>
      <w:tblGrid>
        <w:gridCol w:w="1696"/>
        <w:gridCol w:w="2552"/>
        <w:gridCol w:w="1843"/>
        <w:gridCol w:w="1417"/>
      </w:tblGrid>
      <w:tr w:rsidR="00DD6B38" w:rsidRPr="00A77AF6" w14:paraId="69DBC658" w14:textId="77777777" w:rsidTr="00ED06E2">
        <w:tc>
          <w:tcPr>
            <w:tcW w:w="1696" w:type="dxa"/>
            <w:tcBorders>
              <w:top w:val="single" w:sz="4" w:space="0" w:color="auto"/>
              <w:left w:val="single" w:sz="4" w:space="0" w:color="auto"/>
            </w:tcBorders>
            <w:shd w:val="clear" w:color="auto" w:fill="D9D9D9" w:themeFill="background1" w:themeFillShade="D9"/>
          </w:tcPr>
          <w:p w14:paraId="42FCF882" w14:textId="77777777" w:rsidR="00DD6B38" w:rsidRPr="00A77AF6" w:rsidRDefault="00DD6B38" w:rsidP="008D12F7">
            <w:pPr>
              <w:spacing w:line="276" w:lineRule="auto"/>
              <w:rPr>
                <w:rFonts w:ascii="Calibri" w:hAnsi="Calibri" w:cs="Arial"/>
                <w:sz w:val="20"/>
                <w:szCs w:val="20"/>
              </w:rPr>
            </w:pPr>
            <w:r w:rsidRPr="00A77AF6">
              <w:rPr>
                <w:rFonts w:ascii="Calibri" w:hAnsi="Calibri" w:cs="Arial"/>
                <w:sz w:val="20"/>
                <w:szCs w:val="20"/>
              </w:rPr>
              <w:t>Main Code</w:t>
            </w:r>
          </w:p>
          <w:p w14:paraId="7DD65D67" w14:textId="77777777" w:rsidR="00DD6B38" w:rsidRPr="00A77AF6" w:rsidRDefault="00DD6B38" w:rsidP="008D12F7">
            <w:pPr>
              <w:spacing w:line="276" w:lineRule="auto"/>
              <w:rPr>
                <w:rFonts w:ascii="Calibri" w:hAnsi="Calibri" w:cs="Arial"/>
                <w:sz w:val="20"/>
                <w:szCs w:val="20"/>
              </w:rPr>
            </w:pPr>
          </w:p>
        </w:tc>
        <w:tc>
          <w:tcPr>
            <w:tcW w:w="2552" w:type="dxa"/>
            <w:tcBorders>
              <w:top w:val="single" w:sz="4" w:space="0" w:color="auto"/>
              <w:bottom w:val="single" w:sz="4" w:space="0" w:color="auto"/>
            </w:tcBorders>
            <w:shd w:val="clear" w:color="auto" w:fill="D9D9D9" w:themeFill="background1" w:themeFillShade="D9"/>
          </w:tcPr>
          <w:p w14:paraId="23CA31E1" w14:textId="77777777" w:rsidR="00DD6B38" w:rsidRPr="00A77AF6" w:rsidRDefault="00DD6B38" w:rsidP="008D12F7">
            <w:pPr>
              <w:spacing w:line="276" w:lineRule="auto"/>
              <w:rPr>
                <w:rFonts w:ascii="Calibri" w:hAnsi="Calibri" w:cs="Arial"/>
                <w:sz w:val="20"/>
                <w:szCs w:val="20"/>
              </w:rPr>
            </w:pPr>
            <w:r w:rsidRPr="00A77AF6">
              <w:rPr>
                <w:rFonts w:ascii="Calibri" w:hAnsi="Calibri" w:cs="Arial"/>
                <w:sz w:val="20"/>
                <w:szCs w:val="20"/>
              </w:rPr>
              <w:t>Sub codes</w:t>
            </w:r>
          </w:p>
        </w:tc>
        <w:tc>
          <w:tcPr>
            <w:tcW w:w="1843" w:type="dxa"/>
            <w:tcBorders>
              <w:top w:val="single" w:sz="4" w:space="0" w:color="auto"/>
              <w:bottom w:val="single" w:sz="4" w:space="0" w:color="auto"/>
            </w:tcBorders>
            <w:shd w:val="clear" w:color="auto" w:fill="D9D9D9" w:themeFill="background1" w:themeFillShade="D9"/>
          </w:tcPr>
          <w:p w14:paraId="1EE84926" w14:textId="77777777" w:rsidR="00DD6B38" w:rsidRPr="00A77AF6" w:rsidRDefault="00DD6B38" w:rsidP="008D12F7">
            <w:pPr>
              <w:spacing w:line="276" w:lineRule="auto"/>
              <w:rPr>
                <w:rFonts w:ascii="Calibri" w:hAnsi="Calibri" w:cs="Arial"/>
                <w:sz w:val="20"/>
                <w:szCs w:val="20"/>
              </w:rPr>
            </w:pPr>
            <w:r w:rsidRPr="00A77AF6">
              <w:rPr>
                <w:rFonts w:ascii="Calibri" w:hAnsi="Calibri" w:cs="Arial"/>
                <w:sz w:val="20"/>
                <w:szCs w:val="20"/>
              </w:rPr>
              <w:t>No. of mentions</w:t>
            </w:r>
          </w:p>
        </w:tc>
        <w:tc>
          <w:tcPr>
            <w:tcW w:w="1417" w:type="dxa"/>
            <w:tcBorders>
              <w:top w:val="single" w:sz="4" w:space="0" w:color="auto"/>
              <w:right w:val="single" w:sz="4" w:space="0" w:color="auto"/>
            </w:tcBorders>
            <w:shd w:val="clear" w:color="auto" w:fill="D9D9D9" w:themeFill="background1" w:themeFillShade="D9"/>
          </w:tcPr>
          <w:p w14:paraId="504B0A6D" w14:textId="77777777" w:rsidR="00DD6B38" w:rsidRPr="00A77AF6" w:rsidRDefault="00DD6B38" w:rsidP="008D12F7">
            <w:pPr>
              <w:spacing w:line="276" w:lineRule="auto"/>
              <w:ind w:right="234"/>
              <w:rPr>
                <w:rFonts w:ascii="Calibri" w:hAnsi="Calibri" w:cs="Arial"/>
                <w:sz w:val="20"/>
                <w:szCs w:val="20"/>
              </w:rPr>
            </w:pPr>
            <w:r w:rsidRPr="00A77AF6">
              <w:rPr>
                <w:rFonts w:ascii="Calibri" w:hAnsi="Calibri" w:cs="Arial"/>
                <w:sz w:val="20"/>
                <w:szCs w:val="20"/>
              </w:rPr>
              <w:t>Total mentions</w:t>
            </w:r>
          </w:p>
        </w:tc>
      </w:tr>
      <w:tr w:rsidR="00DD6B38" w:rsidRPr="00A77AF6" w14:paraId="3AAC6B8A" w14:textId="77777777" w:rsidTr="00ED06E2">
        <w:tc>
          <w:tcPr>
            <w:tcW w:w="1696" w:type="dxa"/>
            <w:vMerge w:val="restart"/>
            <w:tcBorders>
              <w:left w:val="single" w:sz="4" w:space="0" w:color="auto"/>
              <w:right w:val="single" w:sz="4" w:space="0" w:color="auto"/>
            </w:tcBorders>
          </w:tcPr>
          <w:p w14:paraId="2F551A80" w14:textId="77777777" w:rsidR="00DD6B38" w:rsidRPr="00A77AF6" w:rsidRDefault="00DD6B38" w:rsidP="008D12F7">
            <w:pPr>
              <w:spacing w:line="276" w:lineRule="auto"/>
              <w:rPr>
                <w:rFonts w:ascii="Calibri" w:hAnsi="Calibri" w:cs="Arial"/>
                <w:sz w:val="20"/>
                <w:szCs w:val="20"/>
              </w:rPr>
            </w:pPr>
            <w:r w:rsidRPr="00A77AF6">
              <w:rPr>
                <w:rFonts w:ascii="Calibri" w:hAnsi="Calibri" w:cs="Arial"/>
                <w:sz w:val="20"/>
                <w:szCs w:val="20"/>
              </w:rPr>
              <w:t>NHS culture</w:t>
            </w:r>
          </w:p>
        </w:tc>
        <w:tc>
          <w:tcPr>
            <w:tcW w:w="2552" w:type="dxa"/>
            <w:tcBorders>
              <w:left w:val="single" w:sz="4" w:space="0" w:color="auto"/>
              <w:bottom w:val="dotted" w:sz="4" w:space="0" w:color="auto"/>
              <w:right w:val="dotted" w:sz="4" w:space="0" w:color="auto"/>
            </w:tcBorders>
          </w:tcPr>
          <w:p w14:paraId="6EE675FE" w14:textId="77777777" w:rsidR="00DD6B38" w:rsidRPr="00A77AF6" w:rsidRDefault="00DD6B38" w:rsidP="008D12F7">
            <w:pPr>
              <w:spacing w:line="276" w:lineRule="auto"/>
              <w:rPr>
                <w:rFonts w:ascii="Calibri" w:hAnsi="Calibri" w:cs="Arial"/>
                <w:sz w:val="20"/>
                <w:szCs w:val="20"/>
              </w:rPr>
            </w:pPr>
            <w:r w:rsidRPr="00A77AF6">
              <w:rPr>
                <w:rFonts w:ascii="Calibri" w:hAnsi="Calibri" w:cs="Arial"/>
                <w:sz w:val="20"/>
                <w:szCs w:val="20"/>
              </w:rPr>
              <w:t xml:space="preserve">Protocol driven </w:t>
            </w:r>
          </w:p>
        </w:tc>
        <w:tc>
          <w:tcPr>
            <w:tcW w:w="1843" w:type="dxa"/>
            <w:tcBorders>
              <w:left w:val="dotted" w:sz="4" w:space="0" w:color="auto"/>
              <w:bottom w:val="dotted" w:sz="4" w:space="0" w:color="auto"/>
            </w:tcBorders>
          </w:tcPr>
          <w:p w14:paraId="1A4974C8" w14:textId="77777777" w:rsidR="00DD6B38" w:rsidRPr="00A77AF6" w:rsidRDefault="00DD6B38" w:rsidP="008D12F7">
            <w:pPr>
              <w:spacing w:line="276" w:lineRule="auto"/>
              <w:rPr>
                <w:rFonts w:ascii="Calibri" w:hAnsi="Calibri" w:cs="Arial"/>
                <w:sz w:val="20"/>
                <w:szCs w:val="20"/>
              </w:rPr>
            </w:pPr>
            <w:r w:rsidRPr="00A77AF6">
              <w:rPr>
                <w:rFonts w:ascii="Calibri" w:hAnsi="Calibri" w:cs="Arial"/>
                <w:sz w:val="20"/>
                <w:szCs w:val="20"/>
              </w:rPr>
              <w:t>3</w:t>
            </w:r>
          </w:p>
        </w:tc>
        <w:tc>
          <w:tcPr>
            <w:tcW w:w="1417" w:type="dxa"/>
            <w:vMerge w:val="restart"/>
            <w:tcBorders>
              <w:right w:val="single" w:sz="4" w:space="0" w:color="auto"/>
            </w:tcBorders>
            <w:vAlign w:val="center"/>
          </w:tcPr>
          <w:p w14:paraId="0F11D887" w14:textId="77777777" w:rsidR="00DD6B38" w:rsidRPr="00A77AF6" w:rsidRDefault="00DD6B38" w:rsidP="008D12F7">
            <w:pPr>
              <w:spacing w:line="276" w:lineRule="auto"/>
              <w:ind w:right="234"/>
              <w:jc w:val="center"/>
              <w:rPr>
                <w:rFonts w:ascii="Calibri" w:hAnsi="Calibri" w:cs="Arial"/>
                <w:sz w:val="20"/>
                <w:szCs w:val="20"/>
              </w:rPr>
            </w:pPr>
            <w:r w:rsidRPr="00A77AF6">
              <w:rPr>
                <w:rFonts w:ascii="Calibri" w:hAnsi="Calibri" w:cs="Arial"/>
                <w:sz w:val="20"/>
                <w:szCs w:val="20"/>
              </w:rPr>
              <w:t>6</w:t>
            </w:r>
          </w:p>
        </w:tc>
      </w:tr>
      <w:tr w:rsidR="00DD6B38" w:rsidRPr="00A77AF6" w14:paraId="306A0CDE" w14:textId="77777777" w:rsidTr="00ED06E2">
        <w:tc>
          <w:tcPr>
            <w:tcW w:w="1696" w:type="dxa"/>
            <w:vMerge/>
            <w:tcBorders>
              <w:left w:val="single" w:sz="4" w:space="0" w:color="auto"/>
              <w:right w:val="single" w:sz="4" w:space="0" w:color="auto"/>
            </w:tcBorders>
          </w:tcPr>
          <w:p w14:paraId="03A66554" w14:textId="77777777" w:rsidR="00DD6B38" w:rsidRPr="00A77AF6" w:rsidRDefault="00DD6B38" w:rsidP="008D12F7">
            <w:pPr>
              <w:spacing w:line="276" w:lineRule="auto"/>
              <w:rPr>
                <w:rFonts w:ascii="Calibri" w:hAnsi="Calibri" w:cs="Arial"/>
                <w:sz w:val="20"/>
                <w:szCs w:val="20"/>
              </w:rPr>
            </w:pPr>
          </w:p>
        </w:tc>
        <w:tc>
          <w:tcPr>
            <w:tcW w:w="2552" w:type="dxa"/>
            <w:tcBorders>
              <w:top w:val="dotted" w:sz="4" w:space="0" w:color="auto"/>
              <w:left w:val="single" w:sz="4" w:space="0" w:color="auto"/>
              <w:bottom w:val="dotted" w:sz="4" w:space="0" w:color="auto"/>
              <w:right w:val="dotted" w:sz="4" w:space="0" w:color="auto"/>
            </w:tcBorders>
          </w:tcPr>
          <w:p w14:paraId="2189F2FA" w14:textId="77777777" w:rsidR="00DD6B38" w:rsidRPr="00A77AF6" w:rsidRDefault="00DD6B38" w:rsidP="008D12F7">
            <w:pPr>
              <w:spacing w:line="276" w:lineRule="auto"/>
              <w:rPr>
                <w:rFonts w:ascii="Calibri" w:hAnsi="Calibri" w:cs="Arial"/>
                <w:sz w:val="20"/>
                <w:szCs w:val="20"/>
              </w:rPr>
            </w:pPr>
            <w:r w:rsidRPr="00A77AF6">
              <w:rPr>
                <w:rFonts w:ascii="Calibri" w:hAnsi="Calibri" w:cs="Arial"/>
                <w:sz w:val="20"/>
                <w:szCs w:val="20"/>
              </w:rPr>
              <w:t>Risk averse</w:t>
            </w:r>
          </w:p>
        </w:tc>
        <w:tc>
          <w:tcPr>
            <w:tcW w:w="1843" w:type="dxa"/>
            <w:tcBorders>
              <w:top w:val="dotted" w:sz="4" w:space="0" w:color="auto"/>
              <w:left w:val="dotted" w:sz="4" w:space="0" w:color="auto"/>
              <w:bottom w:val="dotted" w:sz="4" w:space="0" w:color="auto"/>
            </w:tcBorders>
          </w:tcPr>
          <w:p w14:paraId="443B21C9" w14:textId="77777777" w:rsidR="00DD6B38" w:rsidRPr="00A77AF6" w:rsidRDefault="00DD6B38" w:rsidP="008D12F7">
            <w:pPr>
              <w:spacing w:line="276" w:lineRule="auto"/>
              <w:rPr>
                <w:rFonts w:ascii="Calibri" w:hAnsi="Calibri" w:cs="Arial"/>
                <w:sz w:val="20"/>
                <w:szCs w:val="20"/>
              </w:rPr>
            </w:pPr>
            <w:r w:rsidRPr="00A77AF6">
              <w:rPr>
                <w:rFonts w:ascii="Calibri" w:hAnsi="Calibri" w:cs="Arial"/>
                <w:sz w:val="20"/>
                <w:szCs w:val="20"/>
              </w:rPr>
              <w:t>1</w:t>
            </w:r>
          </w:p>
        </w:tc>
        <w:tc>
          <w:tcPr>
            <w:tcW w:w="1417" w:type="dxa"/>
            <w:vMerge/>
            <w:tcBorders>
              <w:right w:val="single" w:sz="4" w:space="0" w:color="auto"/>
            </w:tcBorders>
          </w:tcPr>
          <w:p w14:paraId="2B8BE201" w14:textId="77777777" w:rsidR="00DD6B38" w:rsidRPr="00A77AF6" w:rsidRDefault="00DD6B38" w:rsidP="008D12F7">
            <w:pPr>
              <w:spacing w:line="276" w:lineRule="auto"/>
              <w:ind w:right="234"/>
              <w:rPr>
                <w:rFonts w:ascii="Calibri" w:hAnsi="Calibri" w:cs="Arial"/>
                <w:sz w:val="20"/>
                <w:szCs w:val="20"/>
              </w:rPr>
            </w:pPr>
          </w:p>
        </w:tc>
      </w:tr>
      <w:tr w:rsidR="00DD6B38" w:rsidRPr="00A77AF6" w14:paraId="35584BB1" w14:textId="77777777" w:rsidTr="00ED06E2">
        <w:tc>
          <w:tcPr>
            <w:tcW w:w="1696" w:type="dxa"/>
            <w:vMerge/>
            <w:tcBorders>
              <w:left w:val="single" w:sz="4" w:space="0" w:color="auto"/>
              <w:right w:val="single" w:sz="4" w:space="0" w:color="auto"/>
            </w:tcBorders>
          </w:tcPr>
          <w:p w14:paraId="6F7C6594" w14:textId="77777777" w:rsidR="00DD6B38" w:rsidRPr="00A77AF6" w:rsidRDefault="00DD6B38" w:rsidP="008D12F7">
            <w:pPr>
              <w:spacing w:line="276" w:lineRule="auto"/>
              <w:rPr>
                <w:rFonts w:ascii="Calibri" w:hAnsi="Calibri" w:cs="Arial"/>
                <w:sz w:val="20"/>
                <w:szCs w:val="20"/>
              </w:rPr>
            </w:pPr>
          </w:p>
        </w:tc>
        <w:tc>
          <w:tcPr>
            <w:tcW w:w="2552" w:type="dxa"/>
            <w:tcBorders>
              <w:top w:val="dotted" w:sz="4" w:space="0" w:color="auto"/>
              <w:left w:val="single" w:sz="4" w:space="0" w:color="auto"/>
              <w:bottom w:val="dotted" w:sz="4" w:space="0" w:color="auto"/>
              <w:right w:val="dotted" w:sz="4" w:space="0" w:color="auto"/>
            </w:tcBorders>
          </w:tcPr>
          <w:p w14:paraId="1251E32B" w14:textId="77777777" w:rsidR="00DD6B38" w:rsidRPr="00A77AF6" w:rsidRDefault="00DD6B38" w:rsidP="008D12F7">
            <w:pPr>
              <w:spacing w:line="276" w:lineRule="auto"/>
              <w:rPr>
                <w:rFonts w:ascii="Calibri" w:hAnsi="Calibri" w:cs="Arial"/>
                <w:sz w:val="20"/>
                <w:szCs w:val="20"/>
              </w:rPr>
            </w:pPr>
            <w:r w:rsidRPr="00A77AF6">
              <w:rPr>
                <w:rFonts w:ascii="Calibri" w:hAnsi="Calibri" w:cs="Arial"/>
                <w:sz w:val="20"/>
                <w:szCs w:val="20"/>
              </w:rPr>
              <w:t>Ethically driven</w:t>
            </w:r>
          </w:p>
        </w:tc>
        <w:tc>
          <w:tcPr>
            <w:tcW w:w="1843" w:type="dxa"/>
            <w:tcBorders>
              <w:top w:val="dotted" w:sz="4" w:space="0" w:color="auto"/>
              <w:left w:val="dotted" w:sz="4" w:space="0" w:color="auto"/>
              <w:bottom w:val="dotted" w:sz="4" w:space="0" w:color="auto"/>
            </w:tcBorders>
          </w:tcPr>
          <w:p w14:paraId="6A849A99" w14:textId="77777777" w:rsidR="00DD6B38" w:rsidRPr="00A77AF6" w:rsidRDefault="00DD6B38" w:rsidP="008D12F7">
            <w:pPr>
              <w:spacing w:line="276" w:lineRule="auto"/>
              <w:rPr>
                <w:rFonts w:ascii="Calibri" w:hAnsi="Calibri" w:cs="Arial"/>
                <w:sz w:val="20"/>
                <w:szCs w:val="20"/>
              </w:rPr>
            </w:pPr>
            <w:r w:rsidRPr="00A77AF6">
              <w:rPr>
                <w:rFonts w:ascii="Calibri" w:hAnsi="Calibri" w:cs="Arial"/>
                <w:sz w:val="20"/>
                <w:szCs w:val="20"/>
              </w:rPr>
              <w:t>1</w:t>
            </w:r>
          </w:p>
        </w:tc>
        <w:tc>
          <w:tcPr>
            <w:tcW w:w="1417" w:type="dxa"/>
            <w:vMerge/>
            <w:tcBorders>
              <w:right w:val="single" w:sz="4" w:space="0" w:color="auto"/>
            </w:tcBorders>
          </w:tcPr>
          <w:p w14:paraId="7C2BBF56" w14:textId="77777777" w:rsidR="00DD6B38" w:rsidRPr="00A77AF6" w:rsidRDefault="00DD6B38" w:rsidP="008D12F7">
            <w:pPr>
              <w:spacing w:line="276" w:lineRule="auto"/>
              <w:ind w:right="234"/>
              <w:rPr>
                <w:rFonts w:ascii="Calibri" w:hAnsi="Calibri" w:cs="Arial"/>
                <w:sz w:val="20"/>
                <w:szCs w:val="20"/>
              </w:rPr>
            </w:pPr>
          </w:p>
        </w:tc>
      </w:tr>
      <w:tr w:rsidR="00DD6B38" w:rsidRPr="00A77AF6" w14:paraId="39E4075D" w14:textId="77777777" w:rsidTr="00ED06E2">
        <w:tc>
          <w:tcPr>
            <w:tcW w:w="1696" w:type="dxa"/>
            <w:vMerge/>
            <w:tcBorders>
              <w:left w:val="single" w:sz="4" w:space="0" w:color="auto"/>
              <w:bottom w:val="single" w:sz="4" w:space="0" w:color="auto"/>
              <w:right w:val="single" w:sz="4" w:space="0" w:color="auto"/>
            </w:tcBorders>
          </w:tcPr>
          <w:p w14:paraId="175C8C1C" w14:textId="77777777" w:rsidR="00DD6B38" w:rsidRPr="00A77AF6" w:rsidRDefault="00DD6B38" w:rsidP="008D12F7">
            <w:pPr>
              <w:spacing w:line="276" w:lineRule="auto"/>
              <w:rPr>
                <w:rFonts w:ascii="Calibri" w:hAnsi="Calibri" w:cs="Arial"/>
                <w:sz w:val="20"/>
                <w:szCs w:val="20"/>
              </w:rPr>
            </w:pPr>
          </w:p>
        </w:tc>
        <w:tc>
          <w:tcPr>
            <w:tcW w:w="2552" w:type="dxa"/>
            <w:tcBorders>
              <w:top w:val="dotted" w:sz="4" w:space="0" w:color="auto"/>
              <w:left w:val="single" w:sz="4" w:space="0" w:color="auto"/>
              <w:bottom w:val="single" w:sz="4" w:space="0" w:color="auto"/>
              <w:right w:val="dotted" w:sz="4" w:space="0" w:color="auto"/>
            </w:tcBorders>
          </w:tcPr>
          <w:p w14:paraId="5477DA99" w14:textId="77777777" w:rsidR="00DD6B38" w:rsidRPr="00A77AF6" w:rsidRDefault="00DD6B38" w:rsidP="008D12F7">
            <w:pPr>
              <w:spacing w:line="276" w:lineRule="auto"/>
              <w:rPr>
                <w:rFonts w:ascii="Calibri" w:hAnsi="Calibri" w:cs="Arial"/>
                <w:sz w:val="20"/>
                <w:szCs w:val="20"/>
              </w:rPr>
            </w:pPr>
            <w:r w:rsidRPr="00A77AF6">
              <w:rPr>
                <w:rFonts w:ascii="Calibri" w:hAnsi="Calibri" w:cs="Arial"/>
                <w:sz w:val="20"/>
                <w:szCs w:val="20"/>
              </w:rPr>
              <w:t xml:space="preserve">Accountable </w:t>
            </w:r>
          </w:p>
        </w:tc>
        <w:tc>
          <w:tcPr>
            <w:tcW w:w="1843" w:type="dxa"/>
            <w:tcBorders>
              <w:top w:val="dotted" w:sz="4" w:space="0" w:color="auto"/>
              <w:left w:val="dotted" w:sz="4" w:space="0" w:color="auto"/>
              <w:bottom w:val="single" w:sz="4" w:space="0" w:color="auto"/>
            </w:tcBorders>
          </w:tcPr>
          <w:p w14:paraId="150A03EA" w14:textId="77777777" w:rsidR="00DD6B38" w:rsidRPr="00A77AF6" w:rsidRDefault="00DD6B38" w:rsidP="008D12F7">
            <w:pPr>
              <w:spacing w:line="276" w:lineRule="auto"/>
              <w:rPr>
                <w:rFonts w:ascii="Calibri" w:hAnsi="Calibri" w:cs="Arial"/>
                <w:sz w:val="20"/>
                <w:szCs w:val="20"/>
              </w:rPr>
            </w:pPr>
            <w:r w:rsidRPr="00A77AF6">
              <w:rPr>
                <w:rFonts w:ascii="Calibri" w:hAnsi="Calibri" w:cs="Arial"/>
                <w:sz w:val="20"/>
                <w:szCs w:val="20"/>
              </w:rPr>
              <w:t>1</w:t>
            </w:r>
          </w:p>
        </w:tc>
        <w:tc>
          <w:tcPr>
            <w:tcW w:w="1417" w:type="dxa"/>
            <w:vMerge/>
            <w:tcBorders>
              <w:bottom w:val="single" w:sz="4" w:space="0" w:color="auto"/>
              <w:right w:val="single" w:sz="4" w:space="0" w:color="auto"/>
            </w:tcBorders>
          </w:tcPr>
          <w:p w14:paraId="3C44E3CD" w14:textId="77777777" w:rsidR="00DD6B38" w:rsidRPr="00A77AF6" w:rsidRDefault="00DD6B38" w:rsidP="008D12F7">
            <w:pPr>
              <w:spacing w:line="276" w:lineRule="auto"/>
              <w:ind w:right="234"/>
              <w:rPr>
                <w:rFonts w:ascii="Calibri" w:hAnsi="Calibri" w:cs="Arial"/>
                <w:sz w:val="20"/>
                <w:szCs w:val="20"/>
              </w:rPr>
            </w:pPr>
          </w:p>
        </w:tc>
      </w:tr>
    </w:tbl>
    <w:p w14:paraId="5283AF39" w14:textId="77777777" w:rsidR="00EB5FD1" w:rsidRDefault="00EB5FD1" w:rsidP="00C46ACF">
      <w:pPr>
        <w:spacing w:line="360" w:lineRule="auto"/>
        <w:rPr>
          <w:rFonts w:ascii="Calibri" w:hAnsi="Calibri" w:cs="Arial"/>
        </w:rPr>
      </w:pPr>
    </w:p>
    <w:p w14:paraId="552BC1CD" w14:textId="3BD9404B" w:rsidR="00074A18" w:rsidRPr="00A77AF6" w:rsidRDefault="00DD6B38" w:rsidP="00074A18">
      <w:pPr>
        <w:spacing w:before="120" w:line="360" w:lineRule="auto"/>
      </w:pPr>
      <w:r w:rsidRPr="00A77AF6">
        <w:rPr>
          <w:rFonts w:ascii="Calibri" w:hAnsi="Calibri" w:cs="Arial"/>
        </w:rPr>
        <w:t xml:space="preserve">The </w:t>
      </w:r>
      <w:r w:rsidR="00DC73FA" w:rsidRPr="00A77AF6">
        <w:rPr>
          <w:rFonts w:ascii="Calibri" w:hAnsi="Calibri" w:cs="Arial"/>
        </w:rPr>
        <w:t>moral v</w:t>
      </w:r>
      <w:r w:rsidRPr="00A77AF6">
        <w:rPr>
          <w:rFonts w:ascii="Calibri" w:hAnsi="Calibri" w:cs="Arial"/>
        </w:rPr>
        <w:t xml:space="preserve">alue of the NHS </w:t>
      </w:r>
      <w:r w:rsidR="00DC73FA" w:rsidRPr="00A77AF6">
        <w:rPr>
          <w:rFonts w:ascii="Calibri" w:hAnsi="Calibri" w:cs="Arial"/>
        </w:rPr>
        <w:t xml:space="preserve">is in its beneficial contribution to </w:t>
      </w:r>
      <w:r w:rsidRPr="00A77AF6">
        <w:rPr>
          <w:rFonts w:ascii="Calibri" w:hAnsi="Calibri" w:cs="Arial"/>
        </w:rPr>
        <w:t>patients</w:t>
      </w:r>
      <w:r w:rsidR="00EB5FD1">
        <w:rPr>
          <w:rFonts w:ascii="Calibri" w:hAnsi="Calibri" w:cs="Arial"/>
        </w:rPr>
        <w:t xml:space="preserve">.  It is supported in this by a </w:t>
      </w:r>
      <w:r w:rsidRPr="00A77AF6">
        <w:rPr>
          <w:rFonts w:ascii="Calibri" w:hAnsi="Calibri" w:cs="Arial"/>
        </w:rPr>
        <w:t xml:space="preserve"> rules-based culture based in openness</w:t>
      </w:r>
      <w:r w:rsidR="00EB5FD1">
        <w:rPr>
          <w:rFonts w:ascii="Calibri" w:hAnsi="Calibri" w:cs="Arial"/>
        </w:rPr>
        <w:t xml:space="preserve">, transparency </w:t>
      </w:r>
      <w:r w:rsidR="00ED06E2" w:rsidRPr="00A77AF6">
        <w:rPr>
          <w:rFonts w:ascii="Calibri" w:hAnsi="Calibri" w:cs="Arial"/>
        </w:rPr>
        <w:t>and accountability</w:t>
      </w:r>
      <w:r w:rsidR="00DC73FA" w:rsidRPr="00A77AF6">
        <w:rPr>
          <w:rFonts w:ascii="Calibri" w:hAnsi="Calibri" w:cs="Arial"/>
        </w:rPr>
        <w:t xml:space="preserve"> so that consistency and fairness </w:t>
      </w:r>
      <w:r w:rsidR="007705DF">
        <w:rPr>
          <w:rFonts w:ascii="Calibri" w:hAnsi="Calibri" w:cs="Arial"/>
        </w:rPr>
        <w:t xml:space="preserve">of approach </w:t>
      </w:r>
      <w:r w:rsidR="00DC73FA" w:rsidRPr="00A77AF6">
        <w:rPr>
          <w:rFonts w:ascii="Calibri" w:hAnsi="Calibri" w:cs="Arial"/>
        </w:rPr>
        <w:t>can be measured</w:t>
      </w:r>
      <w:r w:rsidRPr="00A77AF6">
        <w:rPr>
          <w:rFonts w:ascii="Calibri" w:hAnsi="Calibri" w:cs="Arial"/>
        </w:rPr>
        <w:t xml:space="preserve">. This culture </w:t>
      </w:r>
      <w:r w:rsidR="00ED06E2" w:rsidRPr="00A77AF6">
        <w:rPr>
          <w:rFonts w:ascii="Calibri" w:hAnsi="Calibri" w:cs="Arial"/>
        </w:rPr>
        <w:t>infuses all aspect of NHS work</w:t>
      </w:r>
      <w:r w:rsidR="007705DF">
        <w:rPr>
          <w:rFonts w:ascii="Calibri" w:hAnsi="Calibri" w:cs="Arial"/>
        </w:rPr>
        <w:t xml:space="preserve"> from clinical work to </w:t>
      </w:r>
      <w:r w:rsidRPr="00A77AF6">
        <w:rPr>
          <w:rFonts w:ascii="Calibri" w:hAnsi="Calibri" w:cs="Arial"/>
        </w:rPr>
        <w:t>c</w:t>
      </w:r>
      <w:r w:rsidR="00ED06E2" w:rsidRPr="00A77AF6">
        <w:rPr>
          <w:rFonts w:ascii="Calibri" w:hAnsi="Calibri" w:cs="Arial"/>
        </w:rPr>
        <w:t xml:space="preserve">onstruction projects. </w:t>
      </w:r>
      <w:r w:rsidRPr="00A77AF6">
        <w:rPr>
          <w:rFonts w:ascii="Calibri" w:hAnsi="Calibri" w:cs="Arial"/>
        </w:rPr>
        <w:t xml:space="preserve"> Rules and processes </w:t>
      </w:r>
      <w:r w:rsidR="00ED06E2" w:rsidRPr="00A77AF6">
        <w:rPr>
          <w:rFonts w:ascii="Calibri" w:hAnsi="Calibri" w:cs="Arial"/>
        </w:rPr>
        <w:t xml:space="preserve">are </w:t>
      </w:r>
      <w:r w:rsidRPr="00A77AF6">
        <w:rPr>
          <w:rFonts w:ascii="Calibri" w:hAnsi="Calibri" w:cs="Arial"/>
        </w:rPr>
        <w:t>followed because the NHS is ethically driven to do the right thing</w:t>
      </w:r>
      <w:r w:rsidR="0012240A" w:rsidRPr="00A77AF6">
        <w:rPr>
          <w:rFonts w:ascii="Calibri" w:hAnsi="Calibri" w:cs="Arial"/>
        </w:rPr>
        <w:t xml:space="preserve">, particularly for patient safety </w:t>
      </w:r>
      <w:r w:rsidR="00DC73FA" w:rsidRPr="00A77AF6">
        <w:rPr>
          <w:rFonts w:ascii="Calibri" w:hAnsi="Calibri" w:cs="Arial"/>
        </w:rPr>
        <w:t xml:space="preserve"> </w:t>
      </w:r>
      <w:r w:rsidR="0012240A" w:rsidRPr="00A77AF6">
        <w:rPr>
          <w:rFonts w:ascii="Calibri" w:hAnsi="Calibri" w:cs="Arial"/>
        </w:rPr>
        <w:t xml:space="preserve">and protocols mean that this can be </w:t>
      </w:r>
      <w:r w:rsidR="0012240A" w:rsidRPr="00074A18">
        <w:rPr>
          <w:rFonts w:ascii="Calibri" w:hAnsi="Calibri" w:cs="Arial"/>
        </w:rPr>
        <w:t xml:space="preserve">measured. </w:t>
      </w:r>
      <w:r w:rsidR="00074A18" w:rsidRPr="00A77AF6">
        <w:t xml:space="preserve">Expert D noted that colleagues outside the NHS find it difficult to understand why such a complex set of rules and processes are needed to secure project funding and noted that the reporting structure needed through the project is more complex than private sector companies would deem necessary.  </w:t>
      </w:r>
    </w:p>
    <w:p w14:paraId="27AA787C" w14:textId="6E037AC5" w:rsidR="00D14D76" w:rsidRPr="00A77AF6" w:rsidRDefault="00074A18" w:rsidP="00F67EEB">
      <w:pPr>
        <w:spacing w:after="0" w:line="360" w:lineRule="auto"/>
        <w:rPr>
          <w:rFonts w:ascii="Calibri" w:hAnsi="Calibri" w:cs="Arial"/>
        </w:rPr>
      </w:pPr>
      <w:r>
        <w:rPr>
          <w:rFonts w:ascii="Calibri" w:hAnsi="Calibri" w:cs="Arial"/>
        </w:rPr>
        <w:t xml:space="preserve">The risk averse nature of the NHS is related to its concern for patient safety.  It was also thought that the construction industry could also be risk averse.   The risk averse nature of the NHS means that it is normal to comply with guidance in full. </w:t>
      </w:r>
    </w:p>
    <w:p w14:paraId="3EE88C2E" w14:textId="77777777" w:rsidR="00074A18" w:rsidRPr="00A77AF6" w:rsidRDefault="00074A18" w:rsidP="00074A18">
      <w:pPr>
        <w:spacing w:line="240" w:lineRule="auto"/>
        <w:ind w:left="720"/>
        <w:rPr>
          <w:rFonts w:eastAsia="Times New Roman" w:cstheme="minorHAnsi"/>
          <w:color w:val="000000"/>
          <w:lang w:eastAsia="en-GB"/>
        </w:rPr>
      </w:pPr>
      <w:r w:rsidRPr="00A77AF6">
        <w:rPr>
          <w:i/>
          <w:iCs/>
        </w:rPr>
        <w:t xml:space="preserve">Derogating is a risky venture.  Who is going to take ultimate responsibility? Who is going to sign it off?... I don’t want to take responsibility for rooms being slightly undersized or wash hand basins in the wrong place in the room. Definitely not.’  </w:t>
      </w:r>
      <w:r w:rsidRPr="00A77AF6">
        <w:t>(Expert B)</w:t>
      </w:r>
    </w:p>
    <w:p w14:paraId="48FE2D96" w14:textId="13519740" w:rsidR="00961A58" w:rsidRDefault="00074A18" w:rsidP="00DA5CA0">
      <w:pPr>
        <w:spacing w:line="360" w:lineRule="auto"/>
        <w:rPr>
          <w:rFonts w:eastAsia="Times New Roman" w:cstheme="minorHAnsi"/>
          <w:color w:val="000000"/>
          <w:lang w:eastAsia="en-GB"/>
        </w:rPr>
      </w:pPr>
      <w:r>
        <w:rPr>
          <w:rFonts w:eastAsia="Times New Roman" w:cstheme="minorHAnsi"/>
          <w:color w:val="000000"/>
          <w:lang w:eastAsia="en-GB"/>
        </w:rPr>
        <w:t xml:space="preserve">The </w:t>
      </w:r>
      <w:r w:rsidR="004E7FEA" w:rsidRPr="00A77AF6">
        <w:rPr>
          <w:rFonts w:eastAsia="Times New Roman" w:cstheme="minorHAnsi"/>
          <w:color w:val="000000"/>
          <w:lang w:eastAsia="en-GB"/>
        </w:rPr>
        <w:t xml:space="preserve">NHS </w:t>
      </w:r>
      <w:r w:rsidR="00ED06E2" w:rsidRPr="00A77AF6">
        <w:rPr>
          <w:rFonts w:eastAsia="Times New Roman" w:cstheme="minorHAnsi"/>
          <w:color w:val="000000"/>
          <w:lang w:eastAsia="en-GB"/>
        </w:rPr>
        <w:t xml:space="preserve">client </w:t>
      </w:r>
      <w:r>
        <w:rPr>
          <w:rFonts w:eastAsia="Times New Roman" w:cstheme="minorHAnsi"/>
          <w:color w:val="000000"/>
          <w:lang w:eastAsia="en-GB"/>
        </w:rPr>
        <w:t xml:space="preserve">was thought to </w:t>
      </w:r>
      <w:r w:rsidR="004E7FEA" w:rsidRPr="00A77AF6">
        <w:rPr>
          <w:rFonts w:eastAsia="Times New Roman" w:cstheme="minorHAnsi"/>
          <w:color w:val="000000"/>
          <w:lang w:eastAsia="en-GB"/>
        </w:rPr>
        <w:t xml:space="preserve">wary of </w:t>
      </w:r>
      <w:r w:rsidR="00ED06E2" w:rsidRPr="00A77AF6">
        <w:rPr>
          <w:rFonts w:eastAsia="Times New Roman" w:cstheme="minorHAnsi"/>
          <w:color w:val="000000"/>
          <w:lang w:eastAsia="en-GB"/>
        </w:rPr>
        <w:t>derogati</w:t>
      </w:r>
      <w:r>
        <w:rPr>
          <w:rFonts w:eastAsia="Times New Roman" w:cstheme="minorHAnsi"/>
          <w:color w:val="000000"/>
          <w:lang w:eastAsia="en-GB"/>
        </w:rPr>
        <w:t xml:space="preserve">ng from guidance </w:t>
      </w:r>
      <w:r w:rsidR="00ED06E2" w:rsidRPr="00A77AF6">
        <w:rPr>
          <w:rFonts w:eastAsia="Times New Roman" w:cstheme="minorHAnsi"/>
          <w:color w:val="000000"/>
          <w:lang w:eastAsia="en-GB"/>
        </w:rPr>
        <w:t xml:space="preserve">because </w:t>
      </w:r>
      <w:r>
        <w:rPr>
          <w:rFonts w:eastAsia="Times New Roman" w:cstheme="minorHAnsi"/>
          <w:color w:val="000000"/>
          <w:lang w:eastAsia="en-GB"/>
        </w:rPr>
        <w:t xml:space="preserve">if it did so it would be </w:t>
      </w:r>
      <w:r w:rsidR="00500020" w:rsidRPr="00A77AF6">
        <w:rPr>
          <w:rFonts w:eastAsia="Times New Roman" w:cstheme="minorHAnsi"/>
          <w:color w:val="000000"/>
          <w:lang w:eastAsia="en-GB"/>
        </w:rPr>
        <w:t>accepting ri</w:t>
      </w:r>
      <w:r w:rsidR="004E7FEA" w:rsidRPr="00A77AF6">
        <w:rPr>
          <w:rFonts w:eastAsia="Times New Roman" w:cstheme="minorHAnsi"/>
          <w:color w:val="000000"/>
          <w:lang w:eastAsia="en-GB"/>
        </w:rPr>
        <w:t xml:space="preserve">sk.  </w:t>
      </w:r>
      <w:r w:rsidR="00ED06E2" w:rsidRPr="00A77AF6">
        <w:rPr>
          <w:rFonts w:eastAsia="Times New Roman" w:cstheme="minorHAnsi"/>
          <w:color w:val="000000"/>
          <w:lang w:eastAsia="en-GB"/>
        </w:rPr>
        <w:t xml:space="preserve">An </w:t>
      </w:r>
      <w:r>
        <w:rPr>
          <w:rFonts w:eastAsia="Times New Roman" w:cstheme="minorHAnsi"/>
          <w:color w:val="000000"/>
          <w:lang w:eastAsia="en-GB"/>
        </w:rPr>
        <w:t xml:space="preserve">interviewee gave the </w:t>
      </w:r>
      <w:r w:rsidR="00ED06E2" w:rsidRPr="00A77AF6">
        <w:rPr>
          <w:rFonts w:eastAsia="Times New Roman" w:cstheme="minorHAnsi"/>
          <w:color w:val="000000"/>
          <w:lang w:eastAsia="en-GB"/>
        </w:rPr>
        <w:t xml:space="preserve">example of dealing with </w:t>
      </w:r>
      <w:r w:rsidR="00500020" w:rsidRPr="00A77AF6">
        <w:rPr>
          <w:rFonts w:eastAsia="Times New Roman" w:cstheme="minorHAnsi"/>
          <w:color w:val="000000"/>
          <w:lang w:eastAsia="en-GB"/>
        </w:rPr>
        <w:t xml:space="preserve">the </w:t>
      </w:r>
      <w:r w:rsidR="00ED06E2" w:rsidRPr="00A77AF6">
        <w:rPr>
          <w:rFonts w:eastAsia="Times New Roman" w:cstheme="minorHAnsi"/>
          <w:color w:val="000000"/>
          <w:lang w:eastAsia="en-GB"/>
        </w:rPr>
        <w:t>sign-off</w:t>
      </w:r>
      <w:r w:rsidR="00500020" w:rsidRPr="00A77AF6">
        <w:rPr>
          <w:rFonts w:eastAsia="Times New Roman" w:cstheme="minorHAnsi"/>
          <w:color w:val="000000"/>
          <w:lang w:eastAsia="en-GB"/>
        </w:rPr>
        <w:t xml:space="preserve"> </w:t>
      </w:r>
      <w:r>
        <w:rPr>
          <w:rFonts w:eastAsia="Times New Roman" w:cstheme="minorHAnsi"/>
          <w:color w:val="000000"/>
          <w:lang w:eastAsia="en-GB"/>
        </w:rPr>
        <w:t xml:space="preserve"> design drawings by</w:t>
      </w:r>
      <w:r w:rsidR="00500020" w:rsidRPr="00A77AF6">
        <w:rPr>
          <w:rFonts w:eastAsia="Times New Roman" w:cstheme="minorHAnsi"/>
          <w:color w:val="000000"/>
          <w:lang w:eastAsia="en-GB"/>
        </w:rPr>
        <w:t xml:space="preserve"> cross-infection staff</w:t>
      </w:r>
      <w:r w:rsidR="00ED06E2" w:rsidRPr="00A77AF6">
        <w:rPr>
          <w:rFonts w:eastAsia="Times New Roman" w:cstheme="minorHAnsi"/>
          <w:color w:val="000000"/>
          <w:lang w:eastAsia="en-GB"/>
        </w:rPr>
        <w:t xml:space="preserve">.  The approvals process requires </w:t>
      </w:r>
      <w:r w:rsidR="005271E6" w:rsidRPr="00A77AF6">
        <w:rPr>
          <w:rFonts w:eastAsia="Times New Roman" w:cstheme="minorHAnsi"/>
          <w:color w:val="000000"/>
          <w:lang w:eastAsia="en-GB"/>
        </w:rPr>
        <w:t xml:space="preserve">evidence of </w:t>
      </w:r>
      <w:r w:rsidR="00ED06E2" w:rsidRPr="00A77AF6">
        <w:rPr>
          <w:rFonts w:eastAsia="Times New Roman" w:cstheme="minorHAnsi"/>
          <w:color w:val="000000"/>
          <w:lang w:eastAsia="en-GB"/>
        </w:rPr>
        <w:t xml:space="preserve">‘sign-off’ </w:t>
      </w:r>
      <w:r w:rsidR="00500020" w:rsidRPr="00A77AF6">
        <w:rPr>
          <w:rFonts w:eastAsia="Times New Roman" w:cstheme="minorHAnsi"/>
          <w:color w:val="000000"/>
          <w:lang w:eastAsia="en-GB"/>
        </w:rPr>
        <w:t xml:space="preserve">in the business case </w:t>
      </w:r>
      <w:r>
        <w:rPr>
          <w:rFonts w:eastAsia="Times New Roman" w:cstheme="minorHAnsi"/>
          <w:color w:val="000000"/>
          <w:lang w:eastAsia="en-GB"/>
        </w:rPr>
        <w:t>to show that the proposed building will c</w:t>
      </w:r>
      <w:r w:rsidR="00ED06E2" w:rsidRPr="00A77AF6">
        <w:rPr>
          <w:rFonts w:eastAsia="Times New Roman" w:cstheme="minorHAnsi"/>
          <w:color w:val="000000"/>
          <w:lang w:eastAsia="en-GB"/>
        </w:rPr>
        <w:t>ompl</w:t>
      </w:r>
      <w:r>
        <w:rPr>
          <w:rFonts w:eastAsia="Times New Roman" w:cstheme="minorHAnsi"/>
          <w:color w:val="000000"/>
          <w:lang w:eastAsia="en-GB"/>
        </w:rPr>
        <w:t xml:space="preserve">y </w:t>
      </w:r>
      <w:r w:rsidR="00ED06E2" w:rsidRPr="00A77AF6">
        <w:rPr>
          <w:rFonts w:eastAsia="Times New Roman" w:cstheme="minorHAnsi"/>
          <w:color w:val="000000"/>
          <w:lang w:eastAsia="en-GB"/>
        </w:rPr>
        <w:t xml:space="preserve">with infection control </w:t>
      </w:r>
      <w:r w:rsidR="00500020" w:rsidRPr="00A77AF6">
        <w:rPr>
          <w:rFonts w:eastAsia="Times New Roman" w:cstheme="minorHAnsi"/>
          <w:color w:val="000000"/>
          <w:lang w:eastAsia="en-GB"/>
        </w:rPr>
        <w:t xml:space="preserve">policies.  However, infection control </w:t>
      </w:r>
      <w:r w:rsidR="00ED06E2" w:rsidRPr="00A77AF6">
        <w:rPr>
          <w:rFonts w:eastAsia="Times New Roman" w:cstheme="minorHAnsi"/>
          <w:color w:val="000000"/>
          <w:lang w:eastAsia="en-GB"/>
        </w:rPr>
        <w:t xml:space="preserve">people who </w:t>
      </w:r>
      <w:r>
        <w:rPr>
          <w:rFonts w:eastAsia="Times New Roman" w:cstheme="minorHAnsi"/>
          <w:color w:val="000000"/>
          <w:lang w:eastAsia="en-GB"/>
        </w:rPr>
        <w:t xml:space="preserve">may </w:t>
      </w:r>
      <w:r w:rsidR="00ED06E2" w:rsidRPr="00A77AF6">
        <w:rPr>
          <w:rFonts w:eastAsia="Times New Roman" w:cstheme="minorHAnsi"/>
          <w:color w:val="000000"/>
          <w:lang w:eastAsia="en-GB"/>
        </w:rPr>
        <w:t xml:space="preserve">know </w:t>
      </w:r>
      <w:r w:rsidR="00500020" w:rsidRPr="00A77AF6">
        <w:rPr>
          <w:rFonts w:eastAsia="Times New Roman" w:cstheme="minorHAnsi"/>
          <w:color w:val="000000"/>
          <w:lang w:eastAsia="en-GB"/>
        </w:rPr>
        <w:t>little a</w:t>
      </w:r>
      <w:r w:rsidR="00ED06E2" w:rsidRPr="00A77AF6">
        <w:rPr>
          <w:rFonts w:eastAsia="Times New Roman" w:cstheme="minorHAnsi"/>
          <w:color w:val="000000"/>
          <w:lang w:eastAsia="en-GB"/>
        </w:rPr>
        <w:t xml:space="preserve">bout the project are asked to sign off the design indicating that the cross-infection requirements have been met.  </w:t>
      </w:r>
      <w:r>
        <w:rPr>
          <w:rFonts w:eastAsia="Times New Roman" w:cstheme="minorHAnsi"/>
          <w:color w:val="000000"/>
          <w:lang w:eastAsia="en-GB"/>
        </w:rPr>
        <w:t xml:space="preserve">Cross-infection staff lack the knowledge or </w:t>
      </w:r>
      <w:r>
        <w:rPr>
          <w:rFonts w:eastAsia="Times New Roman" w:cstheme="minorHAnsi"/>
          <w:color w:val="000000"/>
          <w:lang w:eastAsia="en-GB"/>
        </w:rPr>
        <w:lastRenderedPageBreak/>
        <w:t xml:space="preserve">confidence to know when it is possible to compromise in one element because it is compensated for in another. </w:t>
      </w:r>
      <w:r w:rsidR="00961A58">
        <w:rPr>
          <w:rFonts w:eastAsia="Times New Roman" w:cstheme="minorHAnsi"/>
          <w:color w:val="000000"/>
          <w:lang w:eastAsia="en-GB"/>
        </w:rPr>
        <w:t xml:space="preserve"> This results in a tick-box approach, where every element must be complied with even when it may not be strictly required </w:t>
      </w:r>
      <w:r w:rsidR="00961A58" w:rsidRPr="00A77AF6">
        <w:rPr>
          <w:rFonts w:eastAsia="Times New Roman" w:cstheme="minorHAnsi"/>
          <w:color w:val="000000"/>
          <w:lang w:eastAsia="en-GB"/>
        </w:rPr>
        <w:t xml:space="preserve">(Expert B).  </w:t>
      </w:r>
      <w:r w:rsidR="00961A58">
        <w:rPr>
          <w:rFonts w:eastAsia="Times New Roman" w:cstheme="minorHAnsi"/>
          <w:color w:val="000000"/>
          <w:lang w:eastAsia="en-GB"/>
        </w:rPr>
        <w:t xml:space="preserve"> </w:t>
      </w:r>
    </w:p>
    <w:p w14:paraId="24D64D4D" w14:textId="77777777" w:rsidR="00961A58" w:rsidRDefault="00961A58" w:rsidP="00DA5CA0">
      <w:pPr>
        <w:spacing w:line="360" w:lineRule="auto"/>
        <w:rPr>
          <w:rFonts w:eastAsia="Times New Roman" w:cstheme="minorHAnsi"/>
          <w:color w:val="000000"/>
          <w:lang w:eastAsia="en-GB"/>
        </w:rPr>
      </w:pPr>
      <w:r>
        <w:rPr>
          <w:rFonts w:eastAsia="Times New Roman" w:cstheme="minorHAnsi"/>
          <w:color w:val="000000"/>
          <w:lang w:eastAsia="en-GB"/>
        </w:rPr>
        <w:t xml:space="preserve">Risk averseness also stems from the considerable audit trail that is created in projects, which records the decisions made and the names of those who made them.  This leaves open the possibility that staff may get into trouble in the future for decisions they make during the project because derogations are clearly attributable to individuals, so it is important for them not to take risks by derogating from guidance.   </w:t>
      </w:r>
      <w:r w:rsidR="005271E6" w:rsidRPr="00A77AF6">
        <w:rPr>
          <w:rFonts w:eastAsia="Times New Roman" w:cstheme="minorHAnsi"/>
          <w:color w:val="000000"/>
          <w:lang w:eastAsia="en-GB"/>
        </w:rPr>
        <w:t xml:space="preserve">Contractors </w:t>
      </w:r>
      <w:r w:rsidR="00500020" w:rsidRPr="00A77AF6">
        <w:rPr>
          <w:rFonts w:eastAsia="Times New Roman" w:cstheme="minorHAnsi"/>
          <w:color w:val="000000"/>
          <w:lang w:eastAsia="en-GB"/>
        </w:rPr>
        <w:t>similarly</w:t>
      </w:r>
      <w:r w:rsidR="005271E6" w:rsidRPr="00A77AF6">
        <w:rPr>
          <w:rFonts w:eastAsia="Times New Roman" w:cstheme="minorHAnsi"/>
          <w:color w:val="000000"/>
          <w:lang w:eastAsia="en-GB"/>
        </w:rPr>
        <w:t xml:space="preserve"> </w:t>
      </w:r>
      <w:r w:rsidR="00500020" w:rsidRPr="00A77AF6">
        <w:rPr>
          <w:rFonts w:eastAsia="Times New Roman" w:cstheme="minorHAnsi"/>
          <w:color w:val="000000"/>
          <w:lang w:eastAsia="en-GB"/>
        </w:rPr>
        <w:t>use</w:t>
      </w:r>
      <w:r w:rsidR="005271E6" w:rsidRPr="00A77AF6">
        <w:rPr>
          <w:rFonts w:eastAsia="Times New Roman" w:cstheme="minorHAnsi"/>
          <w:color w:val="000000"/>
          <w:lang w:eastAsia="en-GB"/>
        </w:rPr>
        <w:t xml:space="preserve"> their own robust processes partly because of the types of the risk averse client organisations that they work with</w:t>
      </w:r>
      <w:r w:rsidR="008D12F7" w:rsidRPr="00A77AF6">
        <w:rPr>
          <w:rFonts w:eastAsia="Times New Roman" w:cstheme="minorHAnsi"/>
          <w:color w:val="000000"/>
          <w:lang w:eastAsia="en-GB"/>
        </w:rPr>
        <w:t xml:space="preserve">.  </w:t>
      </w:r>
    </w:p>
    <w:p w14:paraId="038E3347" w14:textId="2D014ADE" w:rsidR="0012240A" w:rsidRPr="00A77AF6" w:rsidRDefault="00961A58" w:rsidP="00DA5CA0">
      <w:pPr>
        <w:spacing w:line="360" w:lineRule="auto"/>
        <w:rPr>
          <w:rFonts w:eastAsia="Times New Roman" w:cstheme="minorHAnsi"/>
          <w:color w:val="000000"/>
          <w:lang w:eastAsia="en-GB"/>
        </w:rPr>
      </w:pPr>
      <w:r>
        <w:rPr>
          <w:rFonts w:eastAsia="Times New Roman" w:cstheme="minorHAnsi"/>
          <w:color w:val="000000"/>
          <w:lang w:eastAsia="en-GB"/>
        </w:rPr>
        <w:t>The e</w:t>
      </w:r>
      <w:r w:rsidR="008D12F7" w:rsidRPr="00A77AF6">
        <w:rPr>
          <w:rFonts w:eastAsia="Times New Roman" w:cstheme="minorHAnsi"/>
          <w:color w:val="000000"/>
          <w:lang w:eastAsia="en-GB"/>
        </w:rPr>
        <w:t xml:space="preserve">xperience </w:t>
      </w:r>
      <w:r>
        <w:rPr>
          <w:rFonts w:eastAsia="Times New Roman" w:cstheme="minorHAnsi"/>
          <w:color w:val="000000"/>
          <w:lang w:eastAsia="en-GB"/>
        </w:rPr>
        <w:t xml:space="preserve">of project staff </w:t>
      </w:r>
      <w:r w:rsidR="008D12F7" w:rsidRPr="00A77AF6">
        <w:rPr>
          <w:rFonts w:eastAsia="Times New Roman" w:cstheme="minorHAnsi"/>
          <w:color w:val="000000"/>
          <w:lang w:eastAsia="en-GB"/>
        </w:rPr>
        <w:t>was identified as a factor that might moderate</w:t>
      </w:r>
      <w:r>
        <w:rPr>
          <w:rFonts w:eastAsia="Times New Roman" w:cstheme="minorHAnsi"/>
          <w:color w:val="000000"/>
          <w:lang w:eastAsia="en-GB"/>
        </w:rPr>
        <w:t xml:space="preserve"> risk averse behaviour. </w:t>
      </w:r>
      <w:r w:rsidR="00DA5CA0" w:rsidRPr="00A77AF6">
        <w:rPr>
          <w:rFonts w:eastAsia="Times New Roman" w:cstheme="minorHAnsi"/>
          <w:color w:val="000000"/>
          <w:lang w:eastAsia="en-GB"/>
        </w:rPr>
        <w:t xml:space="preserve">The positive impact of knowledge was noted by Expert F who suggested that </w:t>
      </w:r>
      <w:r w:rsidR="0012240A" w:rsidRPr="00A77AF6">
        <w:rPr>
          <w:rFonts w:ascii="Calibri" w:hAnsi="Calibri" w:cs="Arial"/>
        </w:rPr>
        <w:t xml:space="preserve">experience might help practitioners exercise judgement about how much time to spend on some processes and </w:t>
      </w:r>
      <w:r>
        <w:rPr>
          <w:rFonts w:ascii="Calibri" w:hAnsi="Calibri" w:cs="Arial"/>
        </w:rPr>
        <w:t>help with decisions about where best to spend their</w:t>
      </w:r>
      <w:r w:rsidR="0012240A" w:rsidRPr="00A77AF6">
        <w:rPr>
          <w:rFonts w:ascii="Calibri" w:hAnsi="Calibri" w:cs="Arial"/>
        </w:rPr>
        <w:t xml:space="preserve"> time.  </w:t>
      </w:r>
    </w:p>
    <w:p w14:paraId="3FBAB3A9" w14:textId="19C08BDD" w:rsidR="00C46ACF" w:rsidRPr="00A77AF6" w:rsidRDefault="00961A58" w:rsidP="00C46ACF">
      <w:pPr>
        <w:spacing w:after="0" w:line="360" w:lineRule="auto"/>
      </w:pPr>
      <w:r>
        <w:t xml:space="preserve">It was suggested that there is </w:t>
      </w:r>
      <w:r w:rsidR="00C46ACF" w:rsidRPr="00A77AF6">
        <w:t>a difference between the cultures of the NHS and the construction industry</w:t>
      </w:r>
      <w:r>
        <w:t xml:space="preserve">. For example, </w:t>
      </w:r>
      <w:r w:rsidR="00C46ACF" w:rsidRPr="00A77AF6">
        <w:t xml:space="preserve">the construction industry may not </w:t>
      </w:r>
      <w:r>
        <w:t>mind</w:t>
      </w:r>
      <w:r w:rsidR="00C46ACF" w:rsidRPr="00A77AF6">
        <w:t xml:space="preserve"> breaking a few rules, cutting corners or being flexible. This behaviour </w:t>
      </w:r>
      <w:r>
        <w:t xml:space="preserve">would not be </w:t>
      </w:r>
      <w:r w:rsidR="00C46ACF" w:rsidRPr="00A77AF6">
        <w:t>culturally acceptable in the NHS</w:t>
      </w:r>
      <w:r>
        <w:t>.  The difference was thought to derive from the need to be mindful of patient care</w:t>
      </w:r>
      <w:r w:rsidR="00C46ACF" w:rsidRPr="00A77AF6">
        <w:t xml:space="preserve">, which is the NHS’ primary function, </w:t>
      </w:r>
      <w:r>
        <w:t xml:space="preserve">which contrasts with the profit motive of the </w:t>
      </w:r>
      <w:r w:rsidR="00C46ACF" w:rsidRPr="00A77AF6">
        <w:t xml:space="preserve">construction industry </w:t>
      </w:r>
    </w:p>
    <w:p w14:paraId="788B1F53" w14:textId="0A45CD1A" w:rsidR="00C46ACF" w:rsidRDefault="00C46ACF" w:rsidP="00C46ACF">
      <w:pPr>
        <w:spacing w:after="360" w:line="240" w:lineRule="auto"/>
        <w:ind w:left="720"/>
        <w:rPr>
          <w:i/>
        </w:rPr>
      </w:pPr>
      <w:r w:rsidRPr="00A77AF6">
        <w:rPr>
          <w:i/>
        </w:rPr>
        <w:t>‘we</w:t>
      </w:r>
      <w:r w:rsidR="001056D1" w:rsidRPr="00A77AF6">
        <w:rPr>
          <w:i/>
        </w:rPr>
        <w:t xml:space="preserve"> (the NHS)</w:t>
      </w:r>
      <w:r w:rsidRPr="00A77AF6">
        <w:rPr>
          <w:i/>
        </w:rPr>
        <w:t xml:space="preserve"> tend to do things the right way and we’ve got a code of ethics and we want to adhere to it and know that all the decisions are made correctly, and everyone is consulted and that we will be true to our word about outcomes’</w:t>
      </w:r>
      <w:r w:rsidR="001056D1" w:rsidRPr="00A77AF6">
        <w:rPr>
          <w:i/>
        </w:rPr>
        <w:t xml:space="preserve"> (Expert A).</w:t>
      </w:r>
      <w:r w:rsidRPr="00A77AF6">
        <w:rPr>
          <w:i/>
        </w:rPr>
        <w:t xml:space="preserve"> </w:t>
      </w:r>
    </w:p>
    <w:p w14:paraId="36B77490" w14:textId="4B70988F" w:rsidR="00C46ACF" w:rsidRDefault="000B4B5E" w:rsidP="00F67EEB">
      <w:pPr>
        <w:spacing w:after="0" w:line="360" w:lineRule="auto"/>
      </w:pPr>
      <w:r w:rsidRPr="00A77AF6">
        <w:t xml:space="preserve">The reason that strict rules are in place is because the NHS is a publicly accountable body.  It must show that it is using taxpayers’ money prudently and is accountable to the public via Parliament.   NHS Boards and Non-executive directors are all bound by rules and this requirement </w:t>
      </w:r>
      <w:r w:rsidR="00C46ACF" w:rsidRPr="00A77AF6">
        <w:t xml:space="preserve">to follow the rules applies to everyone within the </w:t>
      </w:r>
      <w:r w:rsidRPr="00A77AF6">
        <w:t xml:space="preserve">client-side </w:t>
      </w:r>
      <w:r w:rsidR="00C46ACF" w:rsidRPr="00A77AF6">
        <w:t xml:space="preserve">project team. </w:t>
      </w:r>
      <w:r w:rsidR="00F67EEB">
        <w:t xml:space="preserve"> Government scrutiny is </w:t>
      </w:r>
      <w:r w:rsidR="00BE1DB4">
        <w:t>significant,</w:t>
      </w:r>
      <w:r w:rsidR="00F67EEB">
        <w:t xml:space="preserve"> and trusts are performance managed, this requires them to measure and record what they are doing </w:t>
      </w:r>
    </w:p>
    <w:p w14:paraId="6F96C69E" w14:textId="77777777" w:rsidR="00F67EEB" w:rsidRPr="00A77AF6" w:rsidRDefault="00F67EEB" w:rsidP="00F67EEB">
      <w:pPr>
        <w:spacing w:after="240" w:line="240" w:lineRule="auto"/>
        <w:ind w:left="720"/>
        <w:rPr>
          <w:i/>
        </w:rPr>
      </w:pPr>
      <w:r w:rsidRPr="00A77AF6">
        <w:rPr>
          <w:i/>
        </w:rPr>
        <w:t xml:space="preserve">‘whole process of the NHS, it’s more measurement and process and through the whole clinical side, </w:t>
      </w:r>
      <w:bookmarkStart w:id="184" w:name="_Hlk34930520"/>
      <w:r w:rsidRPr="00A77AF6">
        <w:rPr>
          <w:i/>
        </w:rPr>
        <w:t xml:space="preserve">everything is fairly regimented about how </w:t>
      </w:r>
      <w:bookmarkEnd w:id="184"/>
      <w:r w:rsidRPr="00A77AF6">
        <w:rPr>
          <w:i/>
        </w:rPr>
        <w:t>you should treat patients and what the outcomes are’ (Expert D).</w:t>
      </w:r>
    </w:p>
    <w:p w14:paraId="05A4E613" w14:textId="36AA0223" w:rsidR="00ED06E2" w:rsidRPr="00A77AF6" w:rsidRDefault="00F67EEB" w:rsidP="00AB4E19">
      <w:pPr>
        <w:spacing w:after="0" w:line="360" w:lineRule="auto"/>
      </w:pPr>
      <w:r>
        <w:t xml:space="preserve">This measurement of clinical practice is also part of project delivery, it was seen earlier that trusts have to create business plans to justify project development, so in projects, rules must be followed </w:t>
      </w:r>
      <w:r w:rsidRPr="00A77AF6">
        <w:t>if projects are going to be delivered</w:t>
      </w:r>
      <w:r>
        <w:t xml:space="preserve">.  </w:t>
      </w:r>
      <w:r w:rsidR="00ED06E2" w:rsidRPr="00A77AF6">
        <w:t xml:space="preserve">Approvals for capital projects may need to be given by </w:t>
      </w:r>
      <w:r>
        <w:t xml:space="preserve">NHS approving bodies </w:t>
      </w:r>
      <w:r w:rsidR="00ED06E2" w:rsidRPr="00A77AF6">
        <w:t xml:space="preserve">and possibly the </w:t>
      </w:r>
      <w:r>
        <w:t xml:space="preserve">Treasury or </w:t>
      </w:r>
      <w:r w:rsidR="00ED06E2" w:rsidRPr="00A77AF6">
        <w:t xml:space="preserve">Secretary of State for Health, so if </w:t>
      </w:r>
      <w:r w:rsidR="00AB4E19">
        <w:t xml:space="preserve">clear </w:t>
      </w:r>
      <w:r w:rsidR="00AB4E19">
        <w:lastRenderedPageBreak/>
        <w:t xml:space="preserve">measurements are not set out and rules are not followed it may delay indefinitely the start of a project.  </w:t>
      </w:r>
      <w:r w:rsidR="00ED06E2" w:rsidRPr="00A77AF6">
        <w:t xml:space="preserve"> </w:t>
      </w:r>
    </w:p>
    <w:p w14:paraId="221B09E5" w14:textId="1095F450" w:rsidR="00ED06E2" w:rsidRDefault="00ED06E2" w:rsidP="00ED06E2">
      <w:pPr>
        <w:spacing w:after="240" w:line="240" w:lineRule="auto"/>
        <w:ind w:left="720"/>
      </w:pPr>
      <w:r w:rsidRPr="00A77AF6">
        <w:rPr>
          <w:i/>
        </w:rPr>
        <w:t>‘The whole process, the project outline and the project delivery, is based on an approval process so that means you are reading the rules, looking at the rules and following the rules to make sure you are able to actually get the project done’</w:t>
      </w:r>
      <w:r w:rsidR="001056D1" w:rsidRPr="00A77AF6">
        <w:rPr>
          <w:i/>
        </w:rPr>
        <w:t xml:space="preserve"> (</w:t>
      </w:r>
      <w:r w:rsidR="001056D1" w:rsidRPr="00A77AF6">
        <w:t xml:space="preserve"> Expert C)</w:t>
      </w:r>
    </w:p>
    <w:p w14:paraId="74492B87" w14:textId="77777777" w:rsidR="00DD6B38" w:rsidRPr="00A77AF6" w:rsidRDefault="00DD6B38" w:rsidP="001056D1">
      <w:pPr>
        <w:pStyle w:val="Heading3"/>
        <w:spacing w:after="120"/>
      </w:pPr>
      <w:bookmarkStart w:id="185" w:name="_Toc36275139"/>
      <w:r w:rsidRPr="00A77AF6">
        <w:t>Personal values</w:t>
      </w:r>
      <w:bookmarkEnd w:id="185"/>
    </w:p>
    <w:p w14:paraId="559591E6" w14:textId="00F04C38" w:rsidR="001D4FF1" w:rsidRPr="00A77AF6" w:rsidRDefault="00DD6B38" w:rsidP="00EC5318">
      <w:pPr>
        <w:spacing w:after="0" w:line="360" w:lineRule="auto"/>
      </w:pPr>
      <w:r w:rsidRPr="00A77AF6">
        <w:rPr>
          <w:rFonts w:ascii="Calibri" w:hAnsi="Calibri" w:cs="Arial"/>
        </w:rPr>
        <w:t xml:space="preserve">The third theme identified by </w:t>
      </w:r>
      <w:r w:rsidR="00D85011" w:rsidRPr="00A77AF6">
        <w:rPr>
          <w:rFonts w:ascii="Calibri" w:hAnsi="Calibri" w:cs="Arial"/>
        </w:rPr>
        <w:t>e</w:t>
      </w:r>
      <w:r w:rsidRPr="00A77AF6">
        <w:rPr>
          <w:rFonts w:ascii="Calibri" w:hAnsi="Calibri" w:cs="Arial"/>
        </w:rPr>
        <w:t>xperts was personal values</w:t>
      </w:r>
      <w:r w:rsidR="00485D3E">
        <w:rPr>
          <w:rFonts w:ascii="Calibri" w:hAnsi="Calibri" w:cs="Arial"/>
        </w:rPr>
        <w:t xml:space="preserve"> (Table 7-4)</w:t>
      </w:r>
      <w:r w:rsidR="00EC5318">
        <w:rPr>
          <w:rFonts w:ascii="Calibri" w:hAnsi="Calibri" w:cs="Arial"/>
        </w:rPr>
        <w:t xml:space="preserve">.  </w:t>
      </w:r>
      <w:r w:rsidR="00805897" w:rsidRPr="00A77AF6">
        <w:rPr>
          <w:rFonts w:ascii="Calibri" w:hAnsi="Calibri" w:cs="Arial"/>
        </w:rPr>
        <w:t>Respondents suggested follow</w:t>
      </w:r>
      <w:r w:rsidR="00583621" w:rsidRPr="00A77AF6">
        <w:rPr>
          <w:rFonts w:ascii="Calibri" w:hAnsi="Calibri" w:cs="Arial"/>
        </w:rPr>
        <w:t xml:space="preserve">ing </w:t>
      </w:r>
      <w:r w:rsidR="00805897" w:rsidRPr="00A77AF6">
        <w:rPr>
          <w:rFonts w:ascii="Calibri" w:hAnsi="Calibri" w:cs="Arial"/>
        </w:rPr>
        <w:t xml:space="preserve">NHS rules </w:t>
      </w:r>
      <w:r w:rsidR="001D4FF1" w:rsidRPr="00A77AF6">
        <w:rPr>
          <w:rFonts w:ascii="Calibri" w:hAnsi="Calibri" w:cs="Arial"/>
        </w:rPr>
        <w:t>was essential to surviving in the NHS</w:t>
      </w:r>
      <w:r w:rsidR="00EC5318">
        <w:rPr>
          <w:rFonts w:ascii="Calibri" w:hAnsi="Calibri" w:cs="Arial"/>
        </w:rPr>
        <w:t xml:space="preserve">, so </w:t>
      </w:r>
      <w:r w:rsidR="004874DF" w:rsidRPr="00A77AF6">
        <w:rPr>
          <w:rFonts w:ascii="Calibri" w:hAnsi="Calibri" w:cs="Arial"/>
        </w:rPr>
        <w:t xml:space="preserve">if people </w:t>
      </w:r>
      <w:r w:rsidR="00EC5318">
        <w:rPr>
          <w:rFonts w:ascii="Calibri" w:hAnsi="Calibri" w:cs="Arial"/>
        </w:rPr>
        <w:t xml:space="preserve">could not </w:t>
      </w:r>
      <w:r w:rsidR="004874DF" w:rsidRPr="00A77AF6">
        <w:rPr>
          <w:rFonts w:ascii="Calibri" w:hAnsi="Calibri" w:cs="Arial"/>
        </w:rPr>
        <w:t xml:space="preserve">follow </w:t>
      </w:r>
      <w:r w:rsidR="00EC5318">
        <w:rPr>
          <w:rFonts w:ascii="Calibri" w:hAnsi="Calibri" w:cs="Arial"/>
        </w:rPr>
        <w:t xml:space="preserve">NHS </w:t>
      </w:r>
      <w:r w:rsidR="004874DF" w:rsidRPr="00A77AF6">
        <w:rPr>
          <w:rFonts w:ascii="Calibri" w:hAnsi="Calibri" w:cs="Arial"/>
        </w:rPr>
        <w:t>rules</w:t>
      </w:r>
      <w:r w:rsidR="00EC5318">
        <w:rPr>
          <w:rFonts w:ascii="Calibri" w:hAnsi="Calibri" w:cs="Arial"/>
        </w:rPr>
        <w:t xml:space="preserve"> and protocols</w:t>
      </w:r>
      <w:r w:rsidR="00805897" w:rsidRPr="00A77AF6">
        <w:rPr>
          <w:rFonts w:ascii="Calibri" w:hAnsi="Calibri" w:cs="Arial"/>
        </w:rPr>
        <w:t>, then it w</w:t>
      </w:r>
      <w:r w:rsidR="004874DF" w:rsidRPr="00A77AF6">
        <w:rPr>
          <w:rFonts w:ascii="Calibri" w:hAnsi="Calibri" w:cs="Arial"/>
        </w:rPr>
        <w:t xml:space="preserve">ould be difficult </w:t>
      </w:r>
      <w:r w:rsidR="00EC5318">
        <w:rPr>
          <w:rFonts w:ascii="Calibri" w:hAnsi="Calibri" w:cs="Arial"/>
        </w:rPr>
        <w:t xml:space="preserve">for them </w:t>
      </w:r>
      <w:r w:rsidR="00805897" w:rsidRPr="00A77AF6">
        <w:rPr>
          <w:rFonts w:ascii="Calibri" w:hAnsi="Calibri" w:cs="Arial"/>
        </w:rPr>
        <w:t xml:space="preserve">to survive in </w:t>
      </w:r>
      <w:r w:rsidR="00EC5318">
        <w:rPr>
          <w:rFonts w:ascii="Calibri" w:hAnsi="Calibri" w:cs="Arial"/>
        </w:rPr>
        <w:t xml:space="preserve">such </w:t>
      </w:r>
      <w:r w:rsidR="00805897" w:rsidRPr="00A77AF6">
        <w:rPr>
          <w:rFonts w:ascii="Calibri" w:hAnsi="Calibri" w:cs="Arial"/>
        </w:rPr>
        <w:t>a rules-based culture</w:t>
      </w:r>
      <w:r w:rsidR="004874DF" w:rsidRPr="00A77AF6">
        <w:rPr>
          <w:rFonts w:ascii="Calibri" w:hAnsi="Calibri" w:cs="Arial"/>
        </w:rPr>
        <w:t xml:space="preserve">, </w:t>
      </w:r>
      <w:r w:rsidR="00EC5318">
        <w:rPr>
          <w:rFonts w:ascii="Calibri" w:hAnsi="Calibri" w:cs="Arial"/>
        </w:rPr>
        <w:t>because they</w:t>
      </w:r>
      <w:r w:rsidR="001D4FF1" w:rsidRPr="00A77AF6">
        <w:rPr>
          <w:rFonts w:ascii="Calibri" w:hAnsi="Calibri" w:cs="Arial"/>
        </w:rPr>
        <w:t xml:space="preserve"> would be </w:t>
      </w:r>
      <w:r w:rsidR="00805897" w:rsidRPr="00A77AF6">
        <w:rPr>
          <w:rFonts w:ascii="Calibri" w:hAnsi="Calibri" w:cs="Arial"/>
        </w:rPr>
        <w:t>fighting the system all the time</w:t>
      </w:r>
      <w:r w:rsidR="00EC5318">
        <w:rPr>
          <w:rFonts w:ascii="Calibri" w:hAnsi="Calibri" w:cs="Arial"/>
        </w:rPr>
        <w:t xml:space="preserve">.  It was also suggested that </w:t>
      </w:r>
      <w:r w:rsidR="004874DF" w:rsidRPr="00A77AF6">
        <w:rPr>
          <w:rFonts w:ascii="Calibri" w:hAnsi="Calibri" w:cs="Arial"/>
        </w:rPr>
        <w:t xml:space="preserve">‘rules-followers’ </w:t>
      </w:r>
      <w:r w:rsidR="00EC5318">
        <w:rPr>
          <w:rFonts w:ascii="Calibri" w:hAnsi="Calibri" w:cs="Arial"/>
        </w:rPr>
        <w:t>may be drawn to project work as</w:t>
      </w:r>
    </w:p>
    <w:p w14:paraId="660AF5A0" w14:textId="72CEB486" w:rsidR="001D4FF1" w:rsidRPr="00A77AF6" w:rsidRDefault="001D4FF1" w:rsidP="00A83FD1">
      <w:pPr>
        <w:spacing w:after="240" w:line="240" w:lineRule="auto"/>
        <w:ind w:left="720"/>
        <w:rPr>
          <w:i/>
        </w:rPr>
      </w:pPr>
      <w:r w:rsidRPr="00A77AF6">
        <w:rPr>
          <w:i/>
        </w:rPr>
        <w:t xml:space="preserve">‘the nature of the people who go into those sorts of projects are the sort of people who are willing and able to at least understand the rules and follow them as much as they can.’  </w:t>
      </w:r>
      <w:r w:rsidR="004874DF" w:rsidRPr="00A77AF6">
        <w:rPr>
          <w:i/>
        </w:rPr>
        <w:t>(Expert D)</w:t>
      </w:r>
    </w:p>
    <w:p w14:paraId="48EC195D" w14:textId="27ADE974" w:rsidR="00DD6B38" w:rsidRPr="00A77AF6" w:rsidRDefault="00DD6B38" w:rsidP="0007452B">
      <w:pPr>
        <w:pStyle w:val="Caption"/>
        <w:keepNext/>
        <w:spacing w:after="120"/>
      </w:pPr>
      <w:r w:rsidRPr="00A77AF6">
        <w:t xml:space="preserve">Table </w:t>
      </w:r>
      <w:fldSimple w:instr=" STYLEREF 1 \s ">
        <w:r w:rsidR="000441F7">
          <w:rPr>
            <w:noProof/>
          </w:rPr>
          <w:t>7</w:t>
        </w:r>
      </w:fldSimple>
      <w:r w:rsidR="00804112">
        <w:noBreakHyphen/>
      </w:r>
      <w:fldSimple w:instr=" SEQ Table \* ARABIC \s 1 ">
        <w:r w:rsidR="000441F7">
          <w:rPr>
            <w:noProof/>
          </w:rPr>
          <w:t>4</w:t>
        </w:r>
      </w:fldSimple>
      <w:r w:rsidRPr="00A77AF6">
        <w:t>: Coding of respondents’ views on personal values</w:t>
      </w:r>
    </w:p>
    <w:tbl>
      <w:tblPr>
        <w:tblStyle w:val="TableGrid"/>
        <w:tblW w:w="0" w:type="auto"/>
        <w:tblLook w:val="04A0" w:firstRow="1" w:lastRow="0" w:firstColumn="1" w:lastColumn="0" w:noHBand="0" w:noVBand="1"/>
      </w:tblPr>
      <w:tblGrid>
        <w:gridCol w:w="1696"/>
        <w:gridCol w:w="2552"/>
        <w:gridCol w:w="1843"/>
        <w:gridCol w:w="1417"/>
      </w:tblGrid>
      <w:tr w:rsidR="00DD6B38" w:rsidRPr="00A77AF6" w14:paraId="126F6F92" w14:textId="77777777" w:rsidTr="008D12F7">
        <w:tc>
          <w:tcPr>
            <w:tcW w:w="1696" w:type="dxa"/>
            <w:shd w:val="clear" w:color="auto" w:fill="D9D9D9" w:themeFill="background1" w:themeFillShade="D9"/>
          </w:tcPr>
          <w:p w14:paraId="2495D243" w14:textId="77777777" w:rsidR="00DD6B38" w:rsidRPr="00A77AF6" w:rsidRDefault="00DD6B38" w:rsidP="008D12F7">
            <w:pPr>
              <w:spacing w:line="276" w:lineRule="auto"/>
              <w:rPr>
                <w:rFonts w:ascii="Calibri" w:hAnsi="Calibri" w:cs="Arial"/>
                <w:sz w:val="20"/>
                <w:szCs w:val="20"/>
              </w:rPr>
            </w:pPr>
            <w:r w:rsidRPr="00A77AF6">
              <w:rPr>
                <w:rFonts w:ascii="Calibri" w:hAnsi="Calibri" w:cs="Arial"/>
                <w:sz w:val="20"/>
                <w:szCs w:val="20"/>
              </w:rPr>
              <w:t>Main Code</w:t>
            </w:r>
          </w:p>
          <w:p w14:paraId="22B02723" w14:textId="77777777" w:rsidR="00DD6B38" w:rsidRPr="00A77AF6" w:rsidRDefault="00DD6B38" w:rsidP="008D12F7">
            <w:pPr>
              <w:spacing w:line="276" w:lineRule="auto"/>
              <w:rPr>
                <w:rFonts w:ascii="Calibri" w:hAnsi="Calibri" w:cs="Arial"/>
                <w:sz w:val="20"/>
                <w:szCs w:val="20"/>
              </w:rPr>
            </w:pPr>
          </w:p>
        </w:tc>
        <w:tc>
          <w:tcPr>
            <w:tcW w:w="2552" w:type="dxa"/>
            <w:shd w:val="clear" w:color="auto" w:fill="D9D9D9" w:themeFill="background1" w:themeFillShade="D9"/>
          </w:tcPr>
          <w:p w14:paraId="5ADA388A" w14:textId="77777777" w:rsidR="00DD6B38" w:rsidRPr="00A77AF6" w:rsidRDefault="00DD6B38" w:rsidP="008D12F7">
            <w:pPr>
              <w:spacing w:line="276" w:lineRule="auto"/>
              <w:rPr>
                <w:rFonts w:ascii="Calibri" w:hAnsi="Calibri" w:cs="Arial"/>
                <w:sz w:val="20"/>
                <w:szCs w:val="20"/>
              </w:rPr>
            </w:pPr>
            <w:r w:rsidRPr="00A77AF6">
              <w:rPr>
                <w:rFonts w:ascii="Calibri" w:hAnsi="Calibri" w:cs="Arial"/>
                <w:sz w:val="20"/>
                <w:szCs w:val="20"/>
              </w:rPr>
              <w:t>Sub codes</w:t>
            </w:r>
          </w:p>
        </w:tc>
        <w:tc>
          <w:tcPr>
            <w:tcW w:w="1843" w:type="dxa"/>
            <w:shd w:val="clear" w:color="auto" w:fill="D9D9D9" w:themeFill="background1" w:themeFillShade="D9"/>
          </w:tcPr>
          <w:p w14:paraId="00B7E346" w14:textId="77777777" w:rsidR="00DD6B38" w:rsidRPr="00A77AF6" w:rsidRDefault="00DD6B38" w:rsidP="008D12F7">
            <w:pPr>
              <w:spacing w:line="276" w:lineRule="auto"/>
              <w:rPr>
                <w:rFonts w:ascii="Calibri" w:hAnsi="Calibri" w:cs="Arial"/>
                <w:sz w:val="20"/>
                <w:szCs w:val="20"/>
              </w:rPr>
            </w:pPr>
            <w:r w:rsidRPr="00A77AF6">
              <w:rPr>
                <w:rFonts w:ascii="Calibri" w:hAnsi="Calibri" w:cs="Arial"/>
                <w:sz w:val="20"/>
                <w:szCs w:val="20"/>
              </w:rPr>
              <w:t>No. of mentions</w:t>
            </w:r>
          </w:p>
        </w:tc>
        <w:tc>
          <w:tcPr>
            <w:tcW w:w="1417" w:type="dxa"/>
            <w:shd w:val="clear" w:color="auto" w:fill="D9D9D9" w:themeFill="background1" w:themeFillShade="D9"/>
          </w:tcPr>
          <w:p w14:paraId="29969F71" w14:textId="77777777" w:rsidR="00DD6B38" w:rsidRPr="00A77AF6" w:rsidRDefault="00DD6B38" w:rsidP="008D12F7">
            <w:pPr>
              <w:spacing w:line="276" w:lineRule="auto"/>
              <w:rPr>
                <w:rFonts w:ascii="Calibri" w:hAnsi="Calibri" w:cs="Arial"/>
                <w:sz w:val="20"/>
                <w:szCs w:val="20"/>
              </w:rPr>
            </w:pPr>
            <w:r w:rsidRPr="00A77AF6">
              <w:rPr>
                <w:rFonts w:ascii="Calibri" w:hAnsi="Calibri" w:cs="Arial"/>
                <w:sz w:val="20"/>
                <w:szCs w:val="20"/>
              </w:rPr>
              <w:t>Total mentions</w:t>
            </w:r>
          </w:p>
        </w:tc>
      </w:tr>
      <w:tr w:rsidR="00DD6B38" w:rsidRPr="00A77AF6" w14:paraId="1BE97489" w14:textId="77777777" w:rsidTr="008D12F7">
        <w:tc>
          <w:tcPr>
            <w:tcW w:w="1696" w:type="dxa"/>
            <w:vMerge w:val="restart"/>
          </w:tcPr>
          <w:p w14:paraId="5817F7E3" w14:textId="77777777" w:rsidR="00DD6B38" w:rsidRPr="00A77AF6" w:rsidRDefault="00DD6B38" w:rsidP="008D12F7">
            <w:pPr>
              <w:spacing w:line="276" w:lineRule="auto"/>
              <w:rPr>
                <w:rFonts w:ascii="Calibri" w:hAnsi="Calibri" w:cs="Arial"/>
                <w:sz w:val="20"/>
                <w:szCs w:val="20"/>
              </w:rPr>
            </w:pPr>
            <w:r w:rsidRPr="00A77AF6">
              <w:rPr>
                <w:rFonts w:ascii="Calibri" w:hAnsi="Calibri" w:cs="Arial"/>
                <w:sz w:val="20"/>
                <w:szCs w:val="20"/>
              </w:rPr>
              <w:t>Personal values</w:t>
            </w:r>
          </w:p>
        </w:tc>
        <w:tc>
          <w:tcPr>
            <w:tcW w:w="2552" w:type="dxa"/>
            <w:tcBorders>
              <w:bottom w:val="dotted" w:sz="4" w:space="0" w:color="auto"/>
              <w:right w:val="dotted" w:sz="4" w:space="0" w:color="auto"/>
            </w:tcBorders>
          </w:tcPr>
          <w:p w14:paraId="2A8D985E" w14:textId="77777777" w:rsidR="00DD6B38" w:rsidRPr="00A77AF6" w:rsidRDefault="00DD6B38" w:rsidP="008D12F7">
            <w:pPr>
              <w:spacing w:line="276" w:lineRule="auto"/>
              <w:rPr>
                <w:rFonts w:ascii="Calibri" w:hAnsi="Calibri" w:cs="Arial"/>
                <w:sz w:val="20"/>
                <w:szCs w:val="20"/>
              </w:rPr>
            </w:pPr>
            <w:r w:rsidRPr="00A77AF6">
              <w:rPr>
                <w:rFonts w:ascii="Calibri" w:hAnsi="Calibri" w:cs="Arial"/>
                <w:sz w:val="20"/>
                <w:szCs w:val="20"/>
              </w:rPr>
              <w:t>Must follow rules to survive in the NHS</w:t>
            </w:r>
          </w:p>
        </w:tc>
        <w:tc>
          <w:tcPr>
            <w:tcW w:w="1843" w:type="dxa"/>
            <w:tcBorders>
              <w:left w:val="dotted" w:sz="4" w:space="0" w:color="auto"/>
              <w:bottom w:val="dotted" w:sz="4" w:space="0" w:color="auto"/>
            </w:tcBorders>
          </w:tcPr>
          <w:p w14:paraId="151B28AA" w14:textId="77777777" w:rsidR="00DD6B38" w:rsidRPr="00A77AF6" w:rsidRDefault="00DD6B38" w:rsidP="008D12F7">
            <w:pPr>
              <w:spacing w:line="276" w:lineRule="auto"/>
              <w:rPr>
                <w:rFonts w:ascii="Calibri" w:hAnsi="Calibri" w:cs="Arial"/>
                <w:sz w:val="20"/>
                <w:szCs w:val="20"/>
              </w:rPr>
            </w:pPr>
            <w:r w:rsidRPr="00A77AF6">
              <w:rPr>
                <w:rFonts w:ascii="Calibri" w:hAnsi="Calibri" w:cs="Arial"/>
                <w:sz w:val="20"/>
                <w:szCs w:val="20"/>
              </w:rPr>
              <w:t>2</w:t>
            </w:r>
          </w:p>
        </w:tc>
        <w:tc>
          <w:tcPr>
            <w:tcW w:w="1417" w:type="dxa"/>
            <w:vMerge w:val="restart"/>
            <w:vAlign w:val="center"/>
          </w:tcPr>
          <w:p w14:paraId="4DF3C56B" w14:textId="77777777" w:rsidR="00DD6B38" w:rsidRPr="00A77AF6" w:rsidRDefault="00DD6B38" w:rsidP="008D12F7">
            <w:pPr>
              <w:keepNext/>
              <w:spacing w:line="276" w:lineRule="auto"/>
              <w:jc w:val="center"/>
              <w:rPr>
                <w:rFonts w:ascii="Calibri" w:hAnsi="Calibri" w:cs="Arial"/>
                <w:sz w:val="20"/>
                <w:szCs w:val="20"/>
              </w:rPr>
            </w:pPr>
            <w:r w:rsidRPr="00A77AF6">
              <w:rPr>
                <w:rFonts w:ascii="Calibri" w:hAnsi="Calibri" w:cs="Arial"/>
                <w:sz w:val="20"/>
                <w:szCs w:val="20"/>
              </w:rPr>
              <w:t>3</w:t>
            </w:r>
          </w:p>
        </w:tc>
      </w:tr>
      <w:tr w:rsidR="00DD6B38" w:rsidRPr="00A77AF6" w14:paraId="1D8E9C78" w14:textId="77777777" w:rsidTr="008D12F7">
        <w:tc>
          <w:tcPr>
            <w:tcW w:w="1696" w:type="dxa"/>
            <w:vMerge/>
          </w:tcPr>
          <w:p w14:paraId="66287D5D" w14:textId="77777777" w:rsidR="00DD6B38" w:rsidRPr="00A77AF6" w:rsidRDefault="00DD6B38" w:rsidP="008D12F7">
            <w:pPr>
              <w:spacing w:line="276" w:lineRule="auto"/>
              <w:rPr>
                <w:rFonts w:ascii="Calibri" w:hAnsi="Calibri" w:cs="Arial"/>
                <w:sz w:val="20"/>
                <w:szCs w:val="20"/>
              </w:rPr>
            </w:pPr>
          </w:p>
        </w:tc>
        <w:tc>
          <w:tcPr>
            <w:tcW w:w="2552" w:type="dxa"/>
            <w:tcBorders>
              <w:top w:val="dotted" w:sz="4" w:space="0" w:color="auto"/>
              <w:right w:val="dotted" w:sz="4" w:space="0" w:color="auto"/>
            </w:tcBorders>
          </w:tcPr>
          <w:p w14:paraId="3A5E5192" w14:textId="77777777" w:rsidR="00DD6B38" w:rsidRPr="00A77AF6" w:rsidRDefault="00DD6B38" w:rsidP="008D12F7">
            <w:pPr>
              <w:spacing w:line="276" w:lineRule="auto"/>
              <w:rPr>
                <w:rFonts w:ascii="Calibri" w:hAnsi="Calibri" w:cs="Arial"/>
                <w:sz w:val="20"/>
                <w:szCs w:val="20"/>
              </w:rPr>
            </w:pPr>
            <w:r w:rsidRPr="00A77AF6">
              <w:rPr>
                <w:rFonts w:ascii="Calibri" w:hAnsi="Calibri" w:cs="Arial"/>
                <w:sz w:val="20"/>
                <w:szCs w:val="20"/>
              </w:rPr>
              <w:t xml:space="preserve">Culture influences personal values  </w:t>
            </w:r>
          </w:p>
        </w:tc>
        <w:tc>
          <w:tcPr>
            <w:tcW w:w="1843" w:type="dxa"/>
            <w:tcBorders>
              <w:top w:val="dotted" w:sz="4" w:space="0" w:color="auto"/>
              <w:left w:val="dotted" w:sz="4" w:space="0" w:color="auto"/>
            </w:tcBorders>
          </w:tcPr>
          <w:p w14:paraId="4F6C2062" w14:textId="77777777" w:rsidR="00DD6B38" w:rsidRPr="00A77AF6" w:rsidRDefault="00DD6B38" w:rsidP="008D12F7">
            <w:pPr>
              <w:spacing w:line="276" w:lineRule="auto"/>
              <w:rPr>
                <w:rFonts w:ascii="Calibri" w:hAnsi="Calibri" w:cs="Arial"/>
                <w:sz w:val="20"/>
                <w:szCs w:val="20"/>
              </w:rPr>
            </w:pPr>
            <w:r w:rsidRPr="00A77AF6">
              <w:rPr>
                <w:rFonts w:ascii="Calibri" w:hAnsi="Calibri" w:cs="Arial"/>
                <w:sz w:val="20"/>
                <w:szCs w:val="20"/>
              </w:rPr>
              <w:t>1</w:t>
            </w:r>
          </w:p>
        </w:tc>
        <w:tc>
          <w:tcPr>
            <w:tcW w:w="1417" w:type="dxa"/>
            <w:vMerge/>
          </w:tcPr>
          <w:p w14:paraId="02234159" w14:textId="77777777" w:rsidR="00DD6B38" w:rsidRPr="00A77AF6" w:rsidRDefault="00DD6B38" w:rsidP="008D12F7">
            <w:pPr>
              <w:keepNext/>
              <w:spacing w:line="276" w:lineRule="auto"/>
              <w:rPr>
                <w:rFonts w:ascii="Calibri" w:hAnsi="Calibri" w:cs="Arial"/>
                <w:sz w:val="20"/>
                <w:szCs w:val="20"/>
              </w:rPr>
            </w:pPr>
          </w:p>
        </w:tc>
      </w:tr>
    </w:tbl>
    <w:p w14:paraId="2EC66027" w14:textId="77777777" w:rsidR="00DD6B38" w:rsidRPr="00A77AF6" w:rsidRDefault="00DD6B38" w:rsidP="00DD6B38"/>
    <w:p w14:paraId="2CE19D2C" w14:textId="221C4030" w:rsidR="002D3538" w:rsidRPr="00A77AF6" w:rsidRDefault="001D4FF1" w:rsidP="00EC5318">
      <w:pPr>
        <w:spacing w:line="360" w:lineRule="auto"/>
      </w:pPr>
      <w:r w:rsidRPr="00A77AF6">
        <w:t>Expert F suggested that t</w:t>
      </w:r>
      <w:r w:rsidRPr="00A77AF6">
        <w:rPr>
          <w:rFonts w:eastAsia="Times New Roman" w:cstheme="minorHAnsi"/>
          <w:color w:val="000000"/>
          <w:lang w:eastAsia="en-GB"/>
        </w:rPr>
        <w:t xml:space="preserve">here </w:t>
      </w:r>
      <w:r w:rsidR="00EC5318">
        <w:rPr>
          <w:rFonts w:eastAsia="Times New Roman" w:cstheme="minorHAnsi"/>
          <w:color w:val="000000"/>
          <w:lang w:eastAsia="en-GB"/>
        </w:rPr>
        <w:t xml:space="preserve">may be times when there is </w:t>
      </w:r>
      <w:r w:rsidRPr="00A77AF6">
        <w:rPr>
          <w:rFonts w:eastAsia="Times New Roman" w:cstheme="minorHAnsi"/>
          <w:color w:val="000000"/>
          <w:lang w:eastAsia="en-GB"/>
        </w:rPr>
        <w:t>tension between a person’s moral code and the moral code of the organisation</w:t>
      </w:r>
      <w:r w:rsidR="00EC5318">
        <w:rPr>
          <w:rFonts w:eastAsia="Times New Roman" w:cstheme="minorHAnsi"/>
          <w:color w:val="000000"/>
          <w:lang w:eastAsia="en-GB"/>
        </w:rPr>
        <w:t xml:space="preserve"> in</w:t>
      </w:r>
      <w:r w:rsidRPr="00A77AF6">
        <w:rPr>
          <w:rFonts w:eastAsia="Times New Roman" w:cstheme="minorHAnsi"/>
          <w:color w:val="000000"/>
          <w:lang w:eastAsia="en-GB"/>
        </w:rPr>
        <w:t xml:space="preserve"> which </w:t>
      </w:r>
      <w:r w:rsidR="00EC5318">
        <w:rPr>
          <w:rFonts w:eastAsia="Times New Roman" w:cstheme="minorHAnsi"/>
          <w:color w:val="000000"/>
          <w:lang w:eastAsia="en-GB"/>
        </w:rPr>
        <w:t xml:space="preserve">they work, which </w:t>
      </w:r>
      <w:r w:rsidRPr="00A77AF6">
        <w:rPr>
          <w:rFonts w:eastAsia="Times New Roman" w:cstheme="minorHAnsi"/>
          <w:color w:val="000000"/>
          <w:lang w:eastAsia="en-GB"/>
        </w:rPr>
        <w:t xml:space="preserve">might be difficult. On the other hand, </w:t>
      </w:r>
      <w:r w:rsidR="00661757" w:rsidRPr="00A77AF6">
        <w:rPr>
          <w:rFonts w:eastAsia="Times New Roman" w:cstheme="minorHAnsi"/>
          <w:color w:val="000000"/>
          <w:lang w:eastAsia="en-GB"/>
        </w:rPr>
        <w:t>E</w:t>
      </w:r>
      <w:r w:rsidRPr="00A77AF6">
        <w:t xml:space="preserve">xpert E suggested that moral codes are shaped by culture.  </w:t>
      </w:r>
      <w:r w:rsidR="00EC5318">
        <w:t xml:space="preserve"> This difference in view suggests that culture may help to define moral culture, as was argued in the literature </w:t>
      </w:r>
      <w:r w:rsidR="00EC5318" w:rsidRPr="00EC5318">
        <w:rPr>
          <w:noProof/>
        </w:rPr>
        <w:t>(Victor &amp; Cullen</w:t>
      </w:r>
      <w:r w:rsidR="00EC5318">
        <w:rPr>
          <w:noProof/>
        </w:rPr>
        <w:t xml:space="preserve"> (1</w:t>
      </w:r>
      <w:r w:rsidR="00EC5318" w:rsidRPr="00EC5318">
        <w:rPr>
          <w:noProof/>
        </w:rPr>
        <w:t>988)</w:t>
      </w:r>
      <w:r w:rsidR="00EC5318">
        <w:t xml:space="preserve"> but that sometimes personal and moral cultures clash but f</w:t>
      </w:r>
      <w:r w:rsidR="004431A3" w:rsidRPr="00A77AF6">
        <w:rPr>
          <w:rFonts w:eastAsia="Times New Roman" w:cstheme="minorHAnsi"/>
          <w:color w:val="000000"/>
          <w:lang w:eastAsia="en-GB"/>
        </w:rPr>
        <w:t xml:space="preserve">ollowing the rules means that project personnel can fit in with </w:t>
      </w:r>
      <w:r w:rsidR="00EC5318">
        <w:rPr>
          <w:rFonts w:eastAsia="Times New Roman" w:cstheme="minorHAnsi"/>
          <w:color w:val="000000"/>
          <w:lang w:eastAsia="en-GB"/>
        </w:rPr>
        <w:t xml:space="preserve">NHS culture.  </w:t>
      </w:r>
    </w:p>
    <w:p w14:paraId="34820D13" w14:textId="77CD930F" w:rsidR="00D54D63" w:rsidRPr="00A77AF6" w:rsidRDefault="00D54D63" w:rsidP="005275A4">
      <w:pPr>
        <w:pStyle w:val="Heading2"/>
        <w:spacing w:line="360" w:lineRule="auto"/>
      </w:pPr>
      <w:bookmarkStart w:id="186" w:name="_Toc36275140"/>
      <w:r w:rsidRPr="00A77AF6">
        <w:t>Governance</w:t>
      </w:r>
      <w:bookmarkEnd w:id="186"/>
      <w:r w:rsidRPr="00A77AF6">
        <w:t xml:space="preserve"> </w:t>
      </w:r>
    </w:p>
    <w:p w14:paraId="7B93C2FB" w14:textId="401F4E1A" w:rsidR="00D85011" w:rsidRPr="00A77AF6" w:rsidRDefault="00D54D63" w:rsidP="0011600D">
      <w:pPr>
        <w:spacing w:after="120" w:line="360" w:lineRule="auto"/>
        <w:rPr>
          <w:rFonts w:ascii="Calibri" w:hAnsi="Calibri" w:cs="Arial"/>
        </w:rPr>
      </w:pPr>
      <w:r w:rsidRPr="00A77AF6">
        <w:rPr>
          <w:rFonts w:ascii="Calibri" w:hAnsi="Calibri" w:cs="Arial"/>
        </w:rPr>
        <w:t xml:space="preserve">The results were coded, and five categories </w:t>
      </w:r>
      <w:r w:rsidR="00D85011" w:rsidRPr="00A77AF6">
        <w:rPr>
          <w:rFonts w:ascii="Calibri" w:hAnsi="Calibri" w:cs="Arial"/>
        </w:rPr>
        <w:t>developed</w:t>
      </w:r>
      <w:r w:rsidRPr="00A77AF6">
        <w:rPr>
          <w:rFonts w:ascii="Calibri" w:hAnsi="Calibri" w:cs="Arial"/>
        </w:rPr>
        <w:t xml:space="preserve">.  These categories were concerned with structures, roles and processes and were, the </w:t>
      </w:r>
      <w:r w:rsidR="008B0E67" w:rsidRPr="00A77AF6">
        <w:rPr>
          <w:rFonts w:ascii="Calibri" w:hAnsi="Calibri" w:cs="Arial"/>
        </w:rPr>
        <w:t>t</w:t>
      </w:r>
      <w:r w:rsidRPr="00A77AF6">
        <w:rPr>
          <w:rFonts w:ascii="Calibri" w:hAnsi="Calibri" w:cs="Arial"/>
        </w:rPr>
        <w:t xml:space="preserve">rust </w:t>
      </w:r>
      <w:r w:rsidR="008B0E67" w:rsidRPr="00A77AF6">
        <w:rPr>
          <w:rFonts w:ascii="Calibri" w:hAnsi="Calibri" w:cs="Arial"/>
        </w:rPr>
        <w:t>b</w:t>
      </w:r>
      <w:r w:rsidRPr="00A77AF6">
        <w:rPr>
          <w:rFonts w:ascii="Calibri" w:hAnsi="Calibri" w:cs="Arial"/>
        </w:rPr>
        <w:t xml:space="preserve">oard, the </w:t>
      </w:r>
      <w:r w:rsidR="008B0E67" w:rsidRPr="00A77AF6">
        <w:rPr>
          <w:rFonts w:ascii="Calibri" w:hAnsi="Calibri" w:cs="Arial"/>
        </w:rPr>
        <w:t>p</w:t>
      </w:r>
      <w:r w:rsidRPr="00A77AF6">
        <w:rPr>
          <w:rFonts w:ascii="Calibri" w:hAnsi="Calibri" w:cs="Arial"/>
        </w:rPr>
        <w:t xml:space="preserve">roject </w:t>
      </w:r>
      <w:r w:rsidR="008B0E67" w:rsidRPr="00A77AF6">
        <w:rPr>
          <w:rFonts w:ascii="Calibri" w:hAnsi="Calibri" w:cs="Arial"/>
        </w:rPr>
        <w:t>t</w:t>
      </w:r>
      <w:r w:rsidRPr="00A77AF6">
        <w:rPr>
          <w:rFonts w:ascii="Calibri" w:hAnsi="Calibri" w:cs="Arial"/>
        </w:rPr>
        <w:t xml:space="preserve">eam/ </w:t>
      </w:r>
      <w:r w:rsidR="008B0E67" w:rsidRPr="00A77AF6">
        <w:rPr>
          <w:rFonts w:ascii="Calibri" w:hAnsi="Calibri" w:cs="Arial"/>
        </w:rPr>
        <w:t>b</w:t>
      </w:r>
      <w:r w:rsidRPr="00A77AF6">
        <w:rPr>
          <w:rFonts w:ascii="Calibri" w:hAnsi="Calibri" w:cs="Arial"/>
        </w:rPr>
        <w:t xml:space="preserve">oard; the </w:t>
      </w:r>
      <w:r w:rsidR="008B0E67" w:rsidRPr="00A77AF6">
        <w:rPr>
          <w:rFonts w:ascii="Calibri" w:hAnsi="Calibri" w:cs="Arial"/>
        </w:rPr>
        <w:t>p</w:t>
      </w:r>
      <w:r w:rsidRPr="00A77AF6">
        <w:rPr>
          <w:rFonts w:ascii="Calibri" w:hAnsi="Calibri" w:cs="Arial"/>
        </w:rPr>
        <w:t xml:space="preserve">roject </w:t>
      </w:r>
      <w:r w:rsidR="008B0E67" w:rsidRPr="00A77AF6">
        <w:rPr>
          <w:rFonts w:ascii="Calibri" w:hAnsi="Calibri" w:cs="Arial"/>
        </w:rPr>
        <w:t>d</w:t>
      </w:r>
      <w:r w:rsidRPr="00A77AF6">
        <w:rPr>
          <w:rFonts w:ascii="Calibri" w:hAnsi="Calibri" w:cs="Arial"/>
        </w:rPr>
        <w:t xml:space="preserve">irector; the corporate/ project governance interface and communication.  These categories relate to the influence, behaviour, knowledge and skills of the corporate and project governance.   </w:t>
      </w:r>
    </w:p>
    <w:p w14:paraId="40152FE0" w14:textId="62A348A8" w:rsidR="006F061E" w:rsidRPr="00A77AF6" w:rsidRDefault="006F061E" w:rsidP="005275A4">
      <w:pPr>
        <w:pStyle w:val="Heading3"/>
        <w:spacing w:after="120" w:line="240" w:lineRule="auto"/>
      </w:pPr>
      <w:bookmarkStart w:id="187" w:name="_Toc36275141"/>
      <w:r w:rsidRPr="00A77AF6">
        <w:t xml:space="preserve">Trust </w:t>
      </w:r>
      <w:r w:rsidR="008B0E67" w:rsidRPr="00A77AF6">
        <w:t>b</w:t>
      </w:r>
      <w:r w:rsidRPr="00A77AF6">
        <w:t>oard</w:t>
      </w:r>
      <w:bookmarkEnd w:id="187"/>
      <w:r w:rsidRPr="00A77AF6">
        <w:t xml:space="preserve"> </w:t>
      </w:r>
    </w:p>
    <w:p w14:paraId="30F34111" w14:textId="3F0A6B55" w:rsidR="005275A4" w:rsidRPr="00A77AF6" w:rsidRDefault="006F061E" w:rsidP="00485D3E">
      <w:pPr>
        <w:spacing w:after="0" w:line="360" w:lineRule="auto"/>
        <w:rPr>
          <w:rFonts w:ascii="Calibri" w:hAnsi="Calibri" w:cs="Arial"/>
        </w:rPr>
      </w:pPr>
      <w:r w:rsidRPr="00A77AF6">
        <w:rPr>
          <w:rFonts w:ascii="Calibri" w:hAnsi="Calibri" w:cs="Arial"/>
        </w:rPr>
        <w:t xml:space="preserve">Experts mentioned issues with the </w:t>
      </w:r>
      <w:r w:rsidR="008B0E67" w:rsidRPr="00A77AF6">
        <w:rPr>
          <w:rFonts w:ascii="Calibri" w:hAnsi="Calibri" w:cs="Arial"/>
        </w:rPr>
        <w:t>t</w:t>
      </w:r>
      <w:r w:rsidRPr="00A77AF6">
        <w:rPr>
          <w:rFonts w:ascii="Calibri" w:hAnsi="Calibri" w:cs="Arial"/>
        </w:rPr>
        <w:t xml:space="preserve">rust </w:t>
      </w:r>
      <w:r w:rsidR="008B0E67" w:rsidRPr="00A77AF6">
        <w:rPr>
          <w:rFonts w:ascii="Calibri" w:hAnsi="Calibri" w:cs="Arial"/>
        </w:rPr>
        <w:t>b</w:t>
      </w:r>
      <w:r w:rsidRPr="00A77AF6">
        <w:rPr>
          <w:rFonts w:ascii="Calibri" w:hAnsi="Calibri" w:cs="Arial"/>
        </w:rPr>
        <w:t>oard 1</w:t>
      </w:r>
      <w:r w:rsidR="00C414E2" w:rsidRPr="00A77AF6">
        <w:rPr>
          <w:rFonts w:ascii="Calibri" w:hAnsi="Calibri" w:cs="Arial"/>
        </w:rPr>
        <w:t>7</w:t>
      </w:r>
      <w:r w:rsidRPr="00A77AF6">
        <w:rPr>
          <w:rFonts w:ascii="Calibri" w:hAnsi="Calibri" w:cs="Arial"/>
        </w:rPr>
        <w:t xml:space="preserve"> times (Table </w:t>
      </w:r>
      <w:r w:rsidR="00661757" w:rsidRPr="00A77AF6">
        <w:rPr>
          <w:rFonts w:ascii="Calibri" w:hAnsi="Calibri" w:cs="Arial"/>
        </w:rPr>
        <w:t>7-5</w:t>
      </w:r>
      <w:r w:rsidRPr="00A77AF6">
        <w:rPr>
          <w:rFonts w:ascii="Calibri" w:hAnsi="Calibri" w:cs="Arial"/>
        </w:rPr>
        <w:t xml:space="preserve">).  </w:t>
      </w:r>
      <w:r w:rsidR="00BC7D4A" w:rsidRPr="00A77AF6">
        <w:rPr>
          <w:rFonts w:ascii="Calibri" w:hAnsi="Calibri" w:cs="Arial"/>
        </w:rPr>
        <w:t>C</w:t>
      </w:r>
      <w:r w:rsidRPr="00A77AF6">
        <w:rPr>
          <w:rFonts w:ascii="Calibri" w:hAnsi="Calibri" w:cs="Arial"/>
        </w:rPr>
        <w:t xml:space="preserve">oncerns about the </w:t>
      </w:r>
      <w:r w:rsidR="008B0E67" w:rsidRPr="00A77AF6">
        <w:rPr>
          <w:rFonts w:ascii="Calibri" w:hAnsi="Calibri" w:cs="Arial"/>
        </w:rPr>
        <w:t>t</w:t>
      </w:r>
      <w:r w:rsidRPr="00A77AF6">
        <w:rPr>
          <w:rFonts w:ascii="Calibri" w:hAnsi="Calibri" w:cs="Arial"/>
        </w:rPr>
        <w:t xml:space="preserve">rust </w:t>
      </w:r>
      <w:r w:rsidR="008B0E67" w:rsidRPr="00A77AF6">
        <w:rPr>
          <w:rFonts w:ascii="Calibri" w:hAnsi="Calibri" w:cs="Arial"/>
        </w:rPr>
        <w:t>b</w:t>
      </w:r>
      <w:r w:rsidRPr="00A77AF6">
        <w:rPr>
          <w:rFonts w:ascii="Calibri" w:hAnsi="Calibri" w:cs="Arial"/>
        </w:rPr>
        <w:t xml:space="preserve">oard </w:t>
      </w:r>
      <w:r w:rsidR="00BC7D4A" w:rsidRPr="00A77AF6">
        <w:rPr>
          <w:rFonts w:ascii="Calibri" w:hAnsi="Calibri" w:cs="Arial"/>
        </w:rPr>
        <w:t xml:space="preserve">included </w:t>
      </w:r>
      <w:r w:rsidRPr="00A77AF6">
        <w:rPr>
          <w:rFonts w:ascii="Calibri" w:hAnsi="Calibri" w:cs="Arial"/>
        </w:rPr>
        <w:t xml:space="preserve">their lack of understanding </w:t>
      </w:r>
      <w:r w:rsidR="00BC7D4A" w:rsidRPr="00A77AF6">
        <w:rPr>
          <w:rFonts w:ascii="Calibri" w:hAnsi="Calibri" w:cs="Arial"/>
        </w:rPr>
        <w:t>of projects, t</w:t>
      </w:r>
      <w:r w:rsidRPr="00A77AF6">
        <w:rPr>
          <w:rFonts w:ascii="Calibri" w:hAnsi="Calibri" w:cs="Arial"/>
        </w:rPr>
        <w:t xml:space="preserve">heir desire to receive complex </w:t>
      </w:r>
      <w:r w:rsidRPr="00A77AF6">
        <w:rPr>
          <w:rFonts w:ascii="Calibri" w:hAnsi="Calibri" w:cs="Arial"/>
        </w:rPr>
        <w:lastRenderedPageBreak/>
        <w:t>information in an over simplified way, perhaps through dashboard reporting</w:t>
      </w:r>
      <w:r w:rsidR="00254E34" w:rsidRPr="00A77AF6">
        <w:rPr>
          <w:rFonts w:ascii="Calibri" w:hAnsi="Calibri" w:cs="Arial"/>
        </w:rPr>
        <w:t xml:space="preserve"> to show </w:t>
      </w:r>
      <w:r w:rsidR="00434810" w:rsidRPr="00A77AF6">
        <w:rPr>
          <w:rFonts w:ascii="Calibri" w:hAnsi="Calibri" w:cs="Arial"/>
        </w:rPr>
        <w:t>immediately</w:t>
      </w:r>
      <w:r w:rsidRPr="00A77AF6">
        <w:rPr>
          <w:rFonts w:ascii="Calibri" w:hAnsi="Calibri" w:cs="Arial"/>
        </w:rPr>
        <w:t xml:space="preserve"> </w:t>
      </w:r>
      <w:r w:rsidR="00BC7D4A" w:rsidRPr="00A77AF6">
        <w:rPr>
          <w:rFonts w:ascii="Calibri" w:hAnsi="Calibri" w:cs="Arial"/>
        </w:rPr>
        <w:t xml:space="preserve">how </w:t>
      </w:r>
      <w:r w:rsidRPr="00A77AF6">
        <w:rPr>
          <w:rFonts w:ascii="Calibri" w:hAnsi="Calibri" w:cs="Arial"/>
        </w:rPr>
        <w:t xml:space="preserve">key indicators </w:t>
      </w:r>
      <w:r w:rsidR="00BC7D4A" w:rsidRPr="00A77AF6">
        <w:rPr>
          <w:rFonts w:ascii="Calibri" w:hAnsi="Calibri" w:cs="Arial"/>
        </w:rPr>
        <w:t xml:space="preserve">were </w:t>
      </w:r>
      <w:r w:rsidRPr="00A77AF6">
        <w:rPr>
          <w:rFonts w:ascii="Calibri" w:hAnsi="Calibri" w:cs="Arial"/>
        </w:rPr>
        <w:t>performing</w:t>
      </w:r>
      <w:r w:rsidR="00BC7D4A" w:rsidRPr="00A77AF6">
        <w:rPr>
          <w:rFonts w:ascii="Calibri" w:hAnsi="Calibri" w:cs="Arial"/>
        </w:rPr>
        <w:t xml:space="preserve">. </w:t>
      </w:r>
      <w:r w:rsidRPr="00A77AF6">
        <w:rPr>
          <w:rFonts w:ascii="Calibri" w:hAnsi="Calibri" w:cs="Arial"/>
        </w:rPr>
        <w:t xml:space="preserve">Trust </w:t>
      </w:r>
      <w:r w:rsidR="00BC7D4A" w:rsidRPr="00A77AF6">
        <w:rPr>
          <w:rFonts w:ascii="Calibri" w:hAnsi="Calibri" w:cs="Arial"/>
        </w:rPr>
        <w:t>b</w:t>
      </w:r>
      <w:r w:rsidRPr="00A77AF6">
        <w:rPr>
          <w:rFonts w:ascii="Calibri" w:hAnsi="Calibri" w:cs="Arial"/>
        </w:rPr>
        <w:t xml:space="preserve">oards </w:t>
      </w:r>
      <w:r w:rsidR="00BC7D4A" w:rsidRPr="00A77AF6">
        <w:rPr>
          <w:rFonts w:ascii="Calibri" w:hAnsi="Calibri" w:cs="Arial"/>
        </w:rPr>
        <w:t xml:space="preserve">appeared to be inexperienced, </w:t>
      </w:r>
      <w:r w:rsidRPr="00A77AF6">
        <w:rPr>
          <w:rFonts w:ascii="Calibri" w:hAnsi="Calibri" w:cs="Arial"/>
        </w:rPr>
        <w:t xml:space="preserve">want solutions, not problems </w:t>
      </w:r>
      <w:r w:rsidR="00BC7D4A" w:rsidRPr="00A77AF6">
        <w:rPr>
          <w:rFonts w:ascii="Calibri" w:hAnsi="Calibri" w:cs="Arial"/>
        </w:rPr>
        <w:t xml:space="preserve">which </w:t>
      </w:r>
      <w:r w:rsidRPr="00A77AF6">
        <w:rPr>
          <w:rFonts w:ascii="Calibri" w:hAnsi="Calibri" w:cs="Arial"/>
        </w:rPr>
        <w:t xml:space="preserve">suggests that </w:t>
      </w:r>
      <w:r w:rsidR="008B0E67" w:rsidRPr="00A77AF6">
        <w:rPr>
          <w:rFonts w:ascii="Calibri" w:hAnsi="Calibri" w:cs="Arial"/>
        </w:rPr>
        <w:t>t</w:t>
      </w:r>
      <w:r w:rsidRPr="00A77AF6">
        <w:rPr>
          <w:rFonts w:ascii="Calibri" w:hAnsi="Calibri" w:cs="Arial"/>
        </w:rPr>
        <w:t xml:space="preserve">rust </w:t>
      </w:r>
      <w:r w:rsidR="008B0E67" w:rsidRPr="00A77AF6">
        <w:rPr>
          <w:rFonts w:ascii="Calibri" w:hAnsi="Calibri" w:cs="Arial"/>
        </w:rPr>
        <w:t>b</w:t>
      </w:r>
      <w:r w:rsidRPr="00A77AF6">
        <w:rPr>
          <w:rFonts w:ascii="Calibri" w:hAnsi="Calibri" w:cs="Arial"/>
        </w:rPr>
        <w:t xml:space="preserve">oards are not well placed to oversee the development of construction projects which can be costly, and which will have long-term implications for the Trust.  Furthermore, the </w:t>
      </w:r>
      <w:r w:rsidR="008B0E67" w:rsidRPr="00A77AF6">
        <w:rPr>
          <w:rFonts w:ascii="Calibri" w:hAnsi="Calibri" w:cs="Arial"/>
        </w:rPr>
        <w:t>t</w:t>
      </w:r>
      <w:r w:rsidRPr="00A77AF6">
        <w:rPr>
          <w:rFonts w:ascii="Calibri" w:hAnsi="Calibri" w:cs="Arial"/>
        </w:rPr>
        <w:t xml:space="preserve">rust </w:t>
      </w:r>
      <w:r w:rsidR="008B0E67" w:rsidRPr="00A77AF6">
        <w:rPr>
          <w:rFonts w:ascii="Calibri" w:hAnsi="Calibri" w:cs="Arial"/>
        </w:rPr>
        <w:t>b</w:t>
      </w:r>
      <w:r w:rsidRPr="00A77AF6">
        <w:rPr>
          <w:rFonts w:ascii="Calibri" w:hAnsi="Calibri" w:cs="Arial"/>
        </w:rPr>
        <w:t>oard are not always seen as informed clients and this, in the opinion of respondents, makes them less effective than they should be</w:t>
      </w:r>
      <w:r w:rsidR="00BC7D4A" w:rsidRPr="00A77AF6">
        <w:rPr>
          <w:rFonts w:ascii="Calibri" w:hAnsi="Calibri" w:cs="Arial"/>
        </w:rPr>
        <w:t>, they are also sometimes feared by project teams which impairs open dialogue</w:t>
      </w:r>
      <w:r w:rsidRPr="00A77AF6">
        <w:rPr>
          <w:rFonts w:ascii="Calibri" w:hAnsi="Calibri" w:cs="Arial"/>
        </w:rPr>
        <w:t xml:space="preserve">. Finally, </w:t>
      </w:r>
      <w:r w:rsidR="008B0E67" w:rsidRPr="00A77AF6">
        <w:rPr>
          <w:rFonts w:ascii="Calibri" w:hAnsi="Calibri" w:cs="Arial"/>
        </w:rPr>
        <w:t>t</w:t>
      </w:r>
      <w:r w:rsidRPr="00A77AF6">
        <w:rPr>
          <w:rFonts w:ascii="Calibri" w:hAnsi="Calibri" w:cs="Arial"/>
        </w:rPr>
        <w:t xml:space="preserve">rust </w:t>
      </w:r>
      <w:r w:rsidR="008B0E67" w:rsidRPr="00A77AF6">
        <w:rPr>
          <w:rFonts w:ascii="Calibri" w:hAnsi="Calibri" w:cs="Arial"/>
        </w:rPr>
        <w:t>b</w:t>
      </w:r>
      <w:r w:rsidRPr="00A77AF6">
        <w:rPr>
          <w:rFonts w:ascii="Calibri" w:hAnsi="Calibri" w:cs="Arial"/>
        </w:rPr>
        <w:t xml:space="preserve">oards are concerned with managing an operational Trust and have a wide remit of responsibilities so consequently are not focussed on running construction projects. </w:t>
      </w:r>
      <w:r w:rsidR="00254E34" w:rsidRPr="00A77AF6">
        <w:rPr>
          <w:rFonts w:ascii="Calibri" w:hAnsi="Calibri" w:cs="Arial"/>
        </w:rPr>
        <w:t xml:space="preserve">These apparent shortcomings </w:t>
      </w:r>
      <w:r w:rsidR="00BC7D4A" w:rsidRPr="00A77AF6">
        <w:rPr>
          <w:rFonts w:ascii="Calibri" w:hAnsi="Calibri" w:cs="Arial"/>
        </w:rPr>
        <w:t xml:space="preserve">can diminish the ability of the trust board to carry out its governance role effectively. </w:t>
      </w:r>
    </w:p>
    <w:p w14:paraId="41124623" w14:textId="22D1B7CE" w:rsidR="006F061E" w:rsidRPr="00A77AF6" w:rsidRDefault="006F061E" w:rsidP="006F061E">
      <w:pPr>
        <w:spacing w:before="240" w:after="120" w:line="240" w:lineRule="auto"/>
        <w:rPr>
          <w:i/>
          <w:iCs/>
          <w:sz w:val="18"/>
          <w:szCs w:val="18"/>
        </w:rPr>
      </w:pPr>
      <w:r w:rsidRPr="00A77AF6">
        <w:rPr>
          <w:i/>
          <w:iCs/>
          <w:sz w:val="18"/>
          <w:szCs w:val="18"/>
        </w:rPr>
        <w:t xml:space="preserve">Table </w:t>
      </w:r>
      <w:r w:rsidR="00804112">
        <w:rPr>
          <w:i/>
          <w:iCs/>
          <w:sz w:val="18"/>
          <w:szCs w:val="18"/>
        </w:rPr>
        <w:fldChar w:fldCharType="begin"/>
      </w:r>
      <w:r w:rsidR="00804112">
        <w:rPr>
          <w:i/>
          <w:iCs/>
          <w:sz w:val="18"/>
          <w:szCs w:val="18"/>
        </w:rPr>
        <w:instrText xml:space="preserve"> STYLEREF 1 \s </w:instrText>
      </w:r>
      <w:r w:rsidR="00804112">
        <w:rPr>
          <w:i/>
          <w:iCs/>
          <w:sz w:val="18"/>
          <w:szCs w:val="18"/>
        </w:rPr>
        <w:fldChar w:fldCharType="separate"/>
      </w:r>
      <w:r w:rsidR="000441F7">
        <w:rPr>
          <w:i/>
          <w:iCs/>
          <w:noProof/>
          <w:sz w:val="18"/>
          <w:szCs w:val="18"/>
        </w:rPr>
        <w:t>7</w:t>
      </w:r>
      <w:r w:rsidR="00804112">
        <w:rPr>
          <w:i/>
          <w:iCs/>
          <w:sz w:val="18"/>
          <w:szCs w:val="18"/>
        </w:rPr>
        <w:fldChar w:fldCharType="end"/>
      </w:r>
      <w:r w:rsidR="00804112">
        <w:rPr>
          <w:i/>
          <w:iCs/>
          <w:sz w:val="18"/>
          <w:szCs w:val="18"/>
        </w:rPr>
        <w:noBreakHyphen/>
      </w:r>
      <w:r w:rsidR="00804112">
        <w:rPr>
          <w:i/>
          <w:iCs/>
          <w:sz w:val="18"/>
          <w:szCs w:val="18"/>
        </w:rPr>
        <w:fldChar w:fldCharType="begin"/>
      </w:r>
      <w:r w:rsidR="00804112">
        <w:rPr>
          <w:i/>
          <w:iCs/>
          <w:sz w:val="18"/>
          <w:szCs w:val="18"/>
        </w:rPr>
        <w:instrText xml:space="preserve"> SEQ Table \* ARABIC \s 1 </w:instrText>
      </w:r>
      <w:r w:rsidR="00804112">
        <w:rPr>
          <w:i/>
          <w:iCs/>
          <w:sz w:val="18"/>
          <w:szCs w:val="18"/>
        </w:rPr>
        <w:fldChar w:fldCharType="separate"/>
      </w:r>
      <w:r w:rsidR="000441F7">
        <w:rPr>
          <w:i/>
          <w:iCs/>
          <w:noProof/>
          <w:sz w:val="18"/>
          <w:szCs w:val="18"/>
        </w:rPr>
        <w:t>5</w:t>
      </w:r>
      <w:r w:rsidR="00804112">
        <w:rPr>
          <w:i/>
          <w:iCs/>
          <w:sz w:val="18"/>
          <w:szCs w:val="18"/>
        </w:rPr>
        <w:fldChar w:fldCharType="end"/>
      </w:r>
      <w:r w:rsidRPr="00A77AF6">
        <w:rPr>
          <w:i/>
          <w:iCs/>
          <w:sz w:val="18"/>
          <w:szCs w:val="18"/>
        </w:rPr>
        <w:t xml:space="preserve">: Coding of respondents’ views on </w:t>
      </w:r>
      <w:r w:rsidR="008B0E67" w:rsidRPr="00A77AF6">
        <w:rPr>
          <w:i/>
          <w:iCs/>
          <w:sz w:val="18"/>
          <w:szCs w:val="18"/>
        </w:rPr>
        <w:t>t</w:t>
      </w:r>
      <w:r w:rsidRPr="00A77AF6">
        <w:rPr>
          <w:i/>
          <w:iCs/>
          <w:sz w:val="18"/>
          <w:szCs w:val="18"/>
        </w:rPr>
        <w:t xml:space="preserve">rust </w:t>
      </w:r>
      <w:r w:rsidR="008B0E67" w:rsidRPr="00A77AF6">
        <w:rPr>
          <w:i/>
          <w:iCs/>
          <w:sz w:val="18"/>
          <w:szCs w:val="18"/>
        </w:rPr>
        <w:t>b</w:t>
      </w:r>
      <w:r w:rsidRPr="00A77AF6">
        <w:rPr>
          <w:i/>
          <w:iCs/>
          <w:sz w:val="18"/>
          <w:szCs w:val="18"/>
        </w:rPr>
        <w:t>oards</w:t>
      </w:r>
    </w:p>
    <w:tbl>
      <w:tblPr>
        <w:tblStyle w:val="TableGrid"/>
        <w:tblW w:w="0" w:type="auto"/>
        <w:tblLook w:val="04A0" w:firstRow="1" w:lastRow="0" w:firstColumn="1" w:lastColumn="0" w:noHBand="0" w:noVBand="1"/>
      </w:tblPr>
      <w:tblGrid>
        <w:gridCol w:w="1956"/>
        <w:gridCol w:w="4276"/>
        <w:gridCol w:w="983"/>
        <w:gridCol w:w="983"/>
      </w:tblGrid>
      <w:tr w:rsidR="00B97563" w:rsidRPr="00A77AF6" w14:paraId="7F5D5619" w14:textId="77777777" w:rsidTr="00E44E9B">
        <w:trPr>
          <w:trHeight w:val="450"/>
        </w:trPr>
        <w:tc>
          <w:tcPr>
            <w:tcW w:w="1956" w:type="dxa"/>
            <w:shd w:val="clear" w:color="auto" w:fill="D0CECE" w:themeFill="background2" w:themeFillShade="E6"/>
          </w:tcPr>
          <w:p w14:paraId="418D0A38" w14:textId="15DF0888" w:rsidR="00B97563" w:rsidRPr="00A77AF6" w:rsidRDefault="00B97563" w:rsidP="00E44E9B">
            <w:r w:rsidRPr="00A77AF6">
              <w:rPr>
                <w:rFonts w:ascii="Calibri" w:hAnsi="Calibri" w:cs="Arial"/>
                <w:sz w:val="20"/>
              </w:rPr>
              <w:t>Main Code</w:t>
            </w:r>
          </w:p>
        </w:tc>
        <w:tc>
          <w:tcPr>
            <w:tcW w:w="4276" w:type="dxa"/>
            <w:tcBorders>
              <w:bottom w:val="single" w:sz="4" w:space="0" w:color="auto"/>
            </w:tcBorders>
            <w:shd w:val="clear" w:color="auto" w:fill="D0CECE" w:themeFill="background2" w:themeFillShade="E6"/>
          </w:tcPr>
          <w:p w14:paraId="5ACDD4F1" w14:textId="01AD6F41" w:rsidR="00B97563" w:rsidRPr="00A77AF6" w:rsidRDefault="00B97563" w:rsidP="00E44E9B">
            <w:r w:rsidRPr="00A77AF6">
              <w:rPr>
                <w:rFonts w:ascii="Calibri" w:hAnsi="Calibri" w:cs="Arial"/>
                <w:sz w:val="20"/>
              </w:rPr>
              <w:t>Sub codes</w:t>
            </w:r>
          </w:p>
        </w:tc>
        <w:tc>
          <w:tcPr>
            <w:tcW w:w="983" w:type="dxa"/>
            <w:tcBorders>
              <w:bottom w:val="single" w:sz="4" w:space="0" w:color="auto"/>
            </w:tcBorders>
            <w:shd w:val="clear" w:color="auto" w:fill="D0CECE" w:themeFill="background2" w:themeFillShade="E6"/>
          </w:tcPr>
          <w:p w14:paraId="256F1026" w14:textId="011C0D9B" w:rsidR="00B97563" w:rsidRPr="00A77AF6" w:rsidRDefault="00B97563" w:rsidP="00E44E9B">
            <w:r w:rsidRPr="00A77AF6">
              <w:rPr>
                <w:rFonts w:ascii="Calibri" w:hAnsi="Calibri" w:cs="Arial"/>
                <w:sz w:val="20"/>
              </w:rPr>
              <w:t>No. of mentions</w:t>
            </w:r>
          </w:p>
        </w:tc>
        <w:tc>
          <w:tcPr>
            <w:tcW w:w="983" w:type="dxa"/>
            <w:shd w:val="clear" w:color="auto" w:fill="D0CECE" w:themeFill="background2" w:themeFillShade="E6"/>
          </w:tcPr>
          <w:p w14:paraId="30CB392E" w14:textId="0AFC1039" w:rsidR="00B97563" w:rsidRPr="00A77AF6" w:rsidRDefault="00B97563" w:rsidP="00E44E9B">
            <w:r w:rsidRPr="00A77AF6">
              <w:rPr>
                <w:rFonts w:ascii="Calibri" w:hAnsi="Calibri" w:cs="Arial"/>
                <w:sz w:val="20"/>
              </w:rPr>
              <w:t>Total mentions</w:t>
            </w:r>
          </w:p>
        </w:tc>
      </w:tr>
      <w:tr w:rsidR="00D23034" w:rsidRPr="00A77AF6" w14:paraId="1CE12004" w14:textId="77777777" w:rsidTr="00E44E9B">
        <w:tc>
          <w:tcPr>
            <w:tcW w:w="1956" w:type="dxa"/>
            <w:vMerge w:val="restart"/>
          </w:tcPr>
          <w:p w14:paraId="3ABD0CB8" w14:textId="2A96A3B0" w:rsidR="00D23034" w:rsidRPr="00A77AF6" w:rsidRDefault="00D23034" w:rsidP="00E44E9B">
            <w:r w:rsidRPr="00A77AF6">
              <w:rPr>
                <w:rFonts w:ascii="Calibri" w:hAnsi="Calibri" w:cs="Arial"/>
                <w:sz w:val="20"/>
              </w:rPr>
              <w:t>Trust Board (corporate governance)</w:t>
            </w:r>
          </w:p>
        </w:tc>
        <w:tc>
          <w:tcPr>
            <w:tcW w:w="4276" w:type="dxa"/>
            <w:tcBorders>
              <w:bottom w:val="dotted" w:sz="4" w:space="0" w:color="auto"/>
              <w:right w:val="dotted" w:sz="4" w:space="0" w:color="auto"/>
            </w:tcBorders>
          </w:tcPr>
          <w:p w14:paraId="019DD0A1" w14:textId="71A1B5E6" w:rsidR="00D23034" w:rsidRPr="00A77AF6" w:rsidRDefault="00D23034" w:rsidP="00E44E9B">
            <w:pPr>
              <w:rPr>
                <w:sz w:val="20"/>
                <w:szCs w:val="20"/>
              </w:rPr>
            </w:pPr>
            <w:r w:rsidRPr="00A77AF6">
              <w:rPr>
                <w:sz w:val="20"/>
                <w:szCs w:val="20"/>
              </w:rPr>
              <w:t xml:space="preserve">Do not want detail </w:t>
            </w:r>
          </w:p>
        </w:tc>
        <w:tc>
          <w:tcPr>
            <w:tcW w:w="983" w:type="dxa"/>
            <w:tcBorders>
              <w:left w:val="dotted" w:sz="4" w:space="0" w:color="auto"/>
              <w:bottom w:val="dotted" w:sz="4" w:space="0" w:color="auto"/>
            </w:tcBorders>
          </w:tcPr>
          <w:p w14:paraId="1E59658A" w14:textId="2A1519F8" w:rsidR="00D23034" w:rsidRPr="00A77AF6" w:rsidRDefault="00D23034" w:rsidP="00E44E9B">
            <w:pPr>
              <w:rPr>
                <w:sz w:val="20"/>
                <w:szCs w:val="20"/>
              </w:rPr>
            </w:pPr>
            <w:r w:rsidRPr="00A77AF6">
              <w:rPr>
                <w:sz w:val="20"/>
                <w:szCs w:val="20"/>
              </w:rPr>
              <w:t>3</w:t>
            </w:r>
          </w:p>
        </w:tc>
        <w:tc>
          <w:tcPr>
            <w:tcW w:w="983" w:type="dxa"/>
            <w:vMerge w:val="restart"/>
          </w:tcPr>
          <w:p w14:paraId="669929B0" w14:textId="0D96C1BC" w:rsidR="00D23034" w:rsidRPr="00A77AF6" w:rsidRDefault="00D23034" w:rsidP="00E44E9B">
            <w:r w:rsidRPr="00A77AF6">
              <w:rPr>
                <w:rFonts w:ascii="Calibri" w:hAnsi="Calibri" w:cs="Arial"/>
                <w:sz w:val="20"/>
              </w:rPr>
              <w:t>16</w:t>
            </w:r>
          </w:p>
        </w:tc>
      </w:tr>
      <w:tr w:rsidR="00D23034" w:rsidRPr="00A77AF6" w14:paraId="05E87B83" w14:textId="77777777" w:rsidTr="00E44E9B">
        <w:tc>
          <w:tcPr>
            <w:tcW w:w="1956" w:type="dxa"/>
            <w:vMerge/>
          </w:tcPr>
          <w:p w14:paraId="0395F7CC" w14:textId="77777777" w:rsidR="00D23034" w:rsidRPr="00A77AF6" w:rsidRDefault="00D23034" w:rsidP="00E44E9B"/>
        </w:tc>
        <w:tc>
          <w:tcPr>
            <w:tcW w:w="4276" w:type="dxa"/>
            <w:tcBorders>
              <w:top w:val="dotted" w:sz="4" w:space="0" w:color="auto"/>
              <w:bottom w:val="dotted" w:sz="4" w:space="0" w:color="auto"/>
              <w:right w:val="dotted" w:sz="4" w:space="0" w:color="auto"/>
            </w:tcBorders>
          </w:tcPr>
          <w:p w14:paraId="2B500562" w14:textId="357C8582" w:rsidR="00D23034" w:rsidRPr="00A77AF6" w:rsidRDefault="00D23034" w:rsidP="00E44E9B">
            <w:pPr>
              <w:rPr>
                <w:sz w:val="20"/>
                <w:szCs w:val="20"/>
              </w:rPr>
            </w:pPr>
            <w:r w:rsidRPr="00A77AF6">
              <w:rPr>
                <w:rFonts w:ascii="Calibri" w:hAnsi="Calibri" w:cs="Arial"/>
                <w:sz w:val="20"/>
                <w:szCs w:val="20"/>
              </w:rPr>
              <w:t xml:space="preserve">Lack of understanding at corporate level </w:t>
            </w:r>
          </w:p>
        </w:tc>
        <w:tc>
          <w:tcPr>
            <w:tcW w:w="983" w:type="dxa"/>
            <w:tcBorders>
              <w:top w:val="dotted" w:sz="4" w:space="0" w:color="auto"/>
              <w:left w:val="dotted" w:sz="4" w:space="0" w:color="auto"/>
              <w:bottom w:val="dotted" w:sz="4" w:space="0" w:color="auto"/>
            </w:tcBorders>
          </w:tcPr>
          <w:p w14:paraId="37EB43E3" w14:textId="67622E60" w:rsidR="00D23034" w:rsidRPr="00A77AF6" w:rsidRDefault="00D23034" w:rsidP="00E44E9B">
            <w:pPr>
              <w:rPr>
                <w:sz w:val="20"/>
                <w:szCs w:val="20"/>
              </w:rPr>
            </w:pPr>
            <w:r w:rsidRPr="00A77AF6">
              <w:rPr>
                <w:rFonts w:ascii="Calibri" w:hAnsi="Calibri" w:cs="Arial"/>
                <w:sz w:val="20"/>
                <w:szCs w:val="20"/>
              </w:rPr>
              <w:t>3</w:t>
            </w:r>
          </w:p>
        </w:tc>
        <w:tc>
          <w:tcPr>
            <w:tcW w:w="983" w:type="dxa"/>
            <w:vMerge/>
          </w:tcPr>
          <w:p w14:paraId="579839A6" w14:textId="77777777" w:rsidR="00D23034" w:rsidRPr="00A77AF6" w:rsidRDefault="00D23034" w:rsidP="00E44E9B"/>
        </w:tc>
      </w:tr>
      <w:tr w:rsidR="00D23034" w:rsidRPr="00A77AF6" w14:paraId="213925D3" w14:textId="77777777" w:rsidTr="00E44E9B">
        <w:tc>
          <w:tcPr>
            <w:tcW w:w="1956" w:type="dxa"/>
            <w:vMerge/>
          </w:tcPr>
          <w:p w14:paraId="42D6FAC6" w14:textId="77777777" w:rsidR="00D23034" w:rsidRPr="00A77AF6" w:rsidRDefault="00D23034" w:rsidP="00E44E9B"/>
        </w:tc>
        <w:tc>
          <w:tcPr>
            <w:tcW w:w="4276" w:type="dxa"/>
            <w:tcBorders>
              <w:top w:val="dotted" w:sz="4" w:space="0" w:color="auto"/>
              <w:bottom w:val="dotted" w:sz="4" w:space="0" w:color="auto"/>
              <w:right w:val="dotted" w:sz="4" w:space="0" w:color="auto"/>
            </w:tcBorders>
          </w:tcPr>
          <w:p w14:paraId="4C5F61E2" w14:textId="1C05E882" w:rsidR="00D23034" w:rsidRPr="00A77AF6" w:rsidRDefault="00D23034" w:rsidP="00E44E9B">
            <w:pPr>
              <w:rPr>
                <w:sz w:val="20"/>
                <w:szCs w:val="20"/>
              </w:rPr>
            </w:pPr>
            <w:r w:rsidRPr="00A77AF6">
              <w:rPr>
                <w:rFonts w:ascii="Calibri" w:hAnsi="Calibri" w:cs="Arial"/>
                <w:sz w:val="20"/>
                <w:szCs w:val="20"/>
              </w:rPr>
              <w:t>Solutions not problems</w:t>
            </w:r>
          </w:p>
        </w:tc>
        <w:tc>
          <w:tcPr>
            <w:tcW w:w="983" w:type="dxa"/>
            <w:tcBorders>
              <w:top w:val="dotted" w:sz="4" w:space="0" w:color="auto"/>
              <w:left w:val="dotted" w:sz="4" w:space="0" w:color="auto"/>
              <w:bottom w:val="dotted" w:sz="4" w:space="0" w:color="auto"/>
            </w:tcBorders>
          </w:tcPr>
          <w:p w14:paraId="023B00C9" w14:textId="34EA82C8" w:rsidR="00D23034" w:rsidRPr="00A77AF6" w:rsidRDefault="00D23034" w:rsidP="00E44E9B">
            <w:pPr>
              <w:rPr>
                <w:sz w:val="20"/>
                <w:szCs w:val="20"/>
              </w:rPr>
            </w:pPr>
            <w:r w:rsidRPr="00A77AF6">
              <w:rPr>
                <w:rFonts w:ascii="Calibri" w:hAnsi="Calibri" w:cs="Arial"/>
                <w:sz w:val="20"/>
                <w:szCs w:val="20"/>
              </w:rPr>
              <w:t>2</w:t>
            </w:r>
          </w:p>
        </w:tc>
        <w:tc>
          <w:tcPr>
            <w:tcW w:w="983" w:type="dxa"/>
            <w:vMerge/>
          </w:tcPr>
          <w:p w14:paraId="2C99BECA" w14:textId="77777777" w:rsidR="00D23034" w:rsidRPr="00A77AF6" w:rsidRDefault="00D23034" w:rsidP="00E44E9B"/>
        </w:tc>
      </w:tr>
      <w:tr w:rsidR="00D23034" w:rsidRPr="00A77AF6" w14:paraId="126E842E" w14:textId="77777777" w:rsidTr="00E44E9B">
        <w:tc>
          <w:tcPr>
            <w:tcW w:w="1956" w:type="dxa"/>
            <w:vMerge/>
          </w:tcPr>
          <w:p w14:paraId="286CE359" w14:textId="77777777" w:rsidR="00D23034" w:rsidRPr="00A77AF6" w:rsidRDefault="00D23034" w:rsidP="00E44E9B"/>
        </w:tc>
        <w:tc>
          <w:tcPr>
            <w:tcW w:w="4276" w:type="dxa"/>
            <w:tcBorders>
              <w:top w:val="dotted" w:sz="4" w:space="0" w:color="auto"/>
              <w:bottom w:val="dotted" w:sz="4" w:space="0" w:color="auto"/>
              <w:right w:val="dotted" w:sz="4" w:space="0" w:color="auto"/>
            </w:tcBorders>
          </w:tcPr>
          <w:p w14:paraId="745AA30C" w14:textId="1E4B8B90" w:rsidR="00D23034" w:rsidRPr="00A77AF6" w:rsidRDefault="00D23034" w:rsidP="00E44E9B">
            <w:pPr>
              <w:rPr>
                <w:sz w:val="20"/>
                <w:szCs w:val="20"/>
              </w:rPr>
            </w:pPr>
            <w:r w:rsidRPr="00A77AF6">
              <w:rPr>
                <w:sz w:val="20"/>
                <w:szCs w:val="20"/>
              </w:rPr>
              <w:t>Inexperience of large-scale projects</w:t>
            </w:r>
          </w:p>
        </w:tc>
        <w:tc>
          <w:tcPr>
            <w:tcW w:w="983" w:type="dxa"/>
            <w:tcBorders>
              <w:top w:val="dotted" w:sz="4" w:space="0" w:color="auto"/>
              <w:left w:val="dotted" w:sz="4" w:space="0" w:color="auto"/>
              <w:bottom w:val="dotted" w:sz="4" w:space="0" w:color="auto"/>
            </w:tcBorders>
          </w:tcPr>
          <w:p w14:paraId="542DFBC5" w14:textId="4DFA55FC" w:rsidR="00D23034" w:rsidRPr="00A77AF6" w:rsidRDefault="00D23034" w:rsidP="00E44E9B">
            <w:pPr>
              <w:rPr>
                <w:sz w:val="20"/>
                <w:szCs w:val="20"/>
              </w:rPr>
            </w:pPr>
            <w:r w:rsidRPr="00A77AF6">
              <w:rPr>
                <w:sz w:val="20"/>
                <w:szCs w:val="20"/>
              </w:rPr>
              <w:t>2</w:t>
            </w:r>
          </w:p>
        </w:tc>
        <w:tc>
          <w:tcPr>
            <w:tcW w:w="983" w:type="dxa"/>
            <w:vMerge/>
          </w:tcPr>
          <w:p w14:paraId="03208A83" w14:textId="77777777" w:rsidR="00D23034" w:rsidRPr="00A77AF6" w:rsidRDefault="00D23034" w:rsidP="00E44E9B"/>
        </w:tc>
      </w:tr>
      <w:tr w:rsidR="00D23034" w:rsidRPr="00A77AF6" w14:paraId="3E0A969F" w14:textId="77777777" w:rsidTr="00B80F68">
        <w:tc>
          <w:tcPr>
            <w:tcW w:w="1956" w:type="dxa"/>
            <w:vMerge/>
          </w:tcPr>
          <w:p w14:paraId="34D1A238" w14:textId="77777777" w:rsidR="00D23034" w:rsidRPr="00A77AF6" w:rsidRDefault="00D23034" w:rsidP="00E44E9B"/>
        </w:tc>
        <w:tc>
          <w:tcPr>
            <w:tcW w:w="4276" w:type="dxa"/>
            <w:tcBorders>
              <w:top w:val="dotted" w:sz="4" w:space="0" w:color="auto"/>
              <w:bottom w:val="dotted" w:sz="4" w:space="0" w:color="auto"/>
              <w:right w:val="dotted" w:sz="4" w:space="0" w:color="auto"/>
            </w:tcBorders>
          </w:tcPr>
          <w:p w14:paraId="69491017" w14:textId="00479AE5" w:rsidR="00D23034" w:rsidRPr="00A77AF6" w:rsidRDefault="00D23034" w:rsidP="00E44E9B">
            <w:pPr>
              <w:rPr>
                <w:sz w:val="20"/>
                <w:szCs w:val="20"/>
              </w:rPr>
            </w:pPr>
            <w:r w:rsidRPr="00A77AF6">
              <w:rPr>
                <w:sz w:val="20"/>
                <w:szCs w:val="20"/>
              </w:rPr>
              <w:t>Understand risks but not mitigation</w:t>
            </w:r>
          </w:p>
        </w:tc>
        <w:tc>
          <w:tcPr>
            <w:tcW w:w="983" w:type="dxa"/>
            <w:tcBorders>
              <w:top w:val="dotted" w:sz="4" w:space="0" w:color="auto"/>
              <w:left w:val="dotted" w:sz="4" w:space="0" w:color="auto"/>
              <w:bottom w:val="dotted" w:sz="4" w:space="0" w:color="auto"/>
            </w:tcBorders>
          </w:tcPr>
          <w:p w14:paraId="32FB22B7" w14:textId="70C86645" w:rsidR="00D23034" w:rsidRPr="00A77AF6" w:rsidRDefault="00D23034" w:rsidP="00E44E9B">
            <w:pPr>
              <w:rPr>
                <w:sz w:val="20"/>
                <w:szCs w:val="20"/>
              </w:rPr>
            </w:pPr>
            <w:r w:rsidRPr="00A77AF6">
              <w:rPr>
                <w:sz w:val="20"/>
                <w:szCs w:val="20"/>
              </w:rPr>
              <w:t>1</w:t>
            </w:r>
          </w:p>
        </w:tc>
        <w:tc>
          <w:tcPr>
            <w:tcW w:w="983" w:type="dxa"/>
            <w:vMerge/>
          </w:tcPr>
          <w:p w14:paraId="676F9095" w14:textId="77777777" w:rsidR="00D23034" w:rsidRPr="00A77AF6" w:rsidRDefault="00D23034" w:rsidP="00E44E9B"/>
        </w:tc>
      </w:tr>
      <w:tr w:rsidR="00D23034" w:rsidRPr="00A77AF6" w14:paraId="2390AFD2" w14:textId="77777777" w:rsidTr="00D23034">
        <w:tc>
          <w:tcPr>
            <w:tcW w:w="1956" w:type="dxa"/>
            <w:vMerge/>
          </w:tcPr>
          <w:p w14:paraId="37411A38" w14:textId="77777777" w:rsidR="00D23034" w:rsidRPr="00A77AF6" w:rsidRDefault="00D23034" w:rsidP="00E44E9B"/>
        </w:tc>
        <w:tc>
          <w:tcPr>
            <w:tcW w:w="4276" w:type="dxa"/>
            <w:tcBorders>
              <w:top w:val="dotted" w:sz="4" w:space="0" w:color="auto"/>
              <w:bottom w:val="dotted" w:sz="4" w:space="0" w:color="auto"/>
              <w:right w:val="dotted" w:sz="4" w:space="0" w:color="auto"/>
            </w:tcBorders>
          </w:tcPr>
          <w:p w14:paraId="5797A29F" w14:textId="7CB4BAAF" w:rsidR="00D23034" w:rsidRPr="00A77AF6" w:rsidRDefault="00D23034" w:rsidP="00E44E9B">
            <w:pPr>
              <w:rPr>
                <w:sz w:val="20"/>
                <w:szCs w:val="20"/>
              </w:rPr>
            </w:pPr>
            <w:r w:rsidRPr="00A77AF6">
              <w:rPr>
                <w:sz w:val="20"/>
                <w:szCs w:val="20"/>
              </w:rPr>
              <w:t>Public boards result in positive messaging</w:t>
            </w:r>
          </w:p>
        </w:tc>
        <w:tc>
          <w:tcPr>
            <w:tcW w:w="983" w:type="dxa"/>
            <w:tcBorders>
              <w:top w:val="dotted" w:sz="4" w:space="0" w:color="auto"/>
              <w:left w:val="dotted" w:sz="4" w:space="0" w:color="auto"/>
              <w:bottom w:val="dotted" w:sz="4" w:space="0" w:color="auto"/>
            </w:tcBorders>
          </w:tcPr>
          <w:p w14:paraId="6F468427" w14:textId="05F76DFC" w:rsidR="00D23034" w:rsidRPr="00A77AF6" w:rsidRDefault="00D23034" w:rsidP="00E44E9B">
            <w:pPr>
              <w:rPr>
                <w:sz w:val="20"/>
                <w:szCs w:val="20"/>
              </w:rPr>
            </w:pPr>
            <w:r w:rsidRPr="00A77AF6">
              <w:rPr>
                <w:sz w:val="20"/>
                <w:szCs w:val="20"/>
              </w:rPr>
              <w:t>1</w:t>
            </w:r>
          </w:p>
        </w:tc>
        <w:tc>
          <w:tcPr>
            <w:tcW w:w="983" w:type="dxa"/>
            <w:vMerge/>
          </w:tcPr>
          <w:p w14:paraId="7F48B690" w14:textId="77777777" w:rsidR="00D23034" w:rsidRPr="00A77AF6" w:rsidRDefault="00D23034" w:rsidP="00E44E9B"/>
        </w:tc>
      </w:tr>
      <w:tr w:rsidR="00D23034" w:rsidRPr="00A77AF6" w14:paraId="26777252" w14:textId="77777777" w:rsidTr="00D23034">
        <w:tc>
          <w:tcPr>
            <w:tcW w:w="1956" w:type="dxa"/>
            <w:vMerge/>
          </w:tcPr>
          <w:p w14:paraId="24DF06C4" w14:textId="77777777" w:rsidR="00D23034" w:rsidRPr="00A77AF6" w:rsidRDefault="00D23034" w:rsidP="00E44E9B"/>
        </w:tc>
        <w:tc>
          <w:tcPr>
            <w:tcW w:w="4276" w:type="dxa"/>
            <w:tcBorders>
              <w:top w:val="dotted" w:sz="4" w:space="0" w:color="auto"/>
              <w:bottom w:val="dotted" w:sz="4" w:space="0" w:color="auto"/>
              <w:right w:val="dotted" w:sz="4" w:space="0" w:color="auto"/>
            </w:tcBorders>
          </w:tcPr>
          <w:p w14:paraId="1B13598F" w14:textId="04413401" w:rsidR="00D23034" w:rsidRPr="00A77AF6" w:rsidRDefault="00D23034" w:rsidP="00E44E9B">
            <w:pPr>
              <w:rPr>
                <w:rFonts w:ascii="Calibri" w:hAnsi="Calibri" w:cs="Arial"/>
                <w:sz w:val="20"/>
                <w:szCs w:val="20"/>
              </w:rPr>
            </w:pPr>
            <w:r w:rsidRPr="00A77AF6">
              <w:rPr>
                <w:rFonts w:ascii="Calibri" w:hAnsi="Calibri" w:cs="Arial"/>
                <w:sz w:val="20"/>
                <w:szCs w:val="20"/>
              </w:rPr>
              <w:t xml:space="preserve">Act late but </w:t>
            </w:r>
            <w:r w:rsidR="00BC2034" w:rsidRPr="00A77AF6">
              <w:rPr>
                <w:rFonts w:ascii="Calibri" w:hAnsi="Calibri" w:cs="Arial"/>
                <w:sz w:val="20"/>
                <w:szCs w:val="20"/>
              </w:rPr>
              <w:t>blame</w:t>
            </w:r>
            <w:r w:rsidRPr="00A77AF6">
              <w:rPr>
                <w:rFonts w:ascii="Calibri" w:hAnsi="Calibri" w:cs="Arial"/>
                <w:sz w:val="20"/>
                <w:szCs w:val="20"/>
              </w:rPr>
              <w:t xml:space="preserve"> the </w:t>
            </w:r>
            <w:r w:rsidR="00BC2034" w:rsidRPr="00A77AF6">
              <w:rPr>
                <w:rFonts w:ascii="Calibri" w:hAnsi="Calibri" w:cs="Arial"/>
                <w:sz w:val="20"/>
                <w:szCs w:val="20"/>
              </w:rPr>
              <w:t>project</w:t>
            </w:r>
            <w:r w:rsidRPr="00A77AF6">
              <w:rPr>
                <w:rFonts w:ascii="Calibri" w:hAnsi="Calibri" w:cs="Arial"/>
                <w:sz w:val="20"/>
                <w:szCs w:val="20"/>
              </w:rPr>
              <w:t xml:space="preserve"> team</w:t>
            </w:r>
          </w:p>
        </w:tc>
        <w:tc>
          <w:tcPr>
            <w:tcW w:w="983" w:type="dxa"/>
            <w:tcBorders>
              <w:top w:val="dotted" w:sz="4" w:space="0" w:color="auto"/>
              <w:left w:val="dotted" w:sz="4" w:space="0" w:color="auto"/>
              <w:bottom w:val="dotted" w:sz="4" w:space="0" w:color="auto"/>
            </w:tcBorders>
          </w:tcPr>
          <w:p w14:paraId="505F79F2" w14:textId="2EB25609" w:rsidR="00D23034" w:rsidRPr="00A77AF6" w:rsidRDefault="00D23034" w:rsidP="00E44E9B">
            <w:pPr>
              <w:rPr>
                <w:sz w:val="20"/>
                <w:szCs w:val="20"/>
              </w:rPr>
            </w:pPr>
            <w:r w:rsidRPr="00A77AF6">
              <w:rPr>
                <w:sz w:val="20"/>
                <w:szCs w:val="20"/>
              </w:rPr>
              <w:t>1</w:t>
            </w:r>
          </w:p>
        </w:tc>
        <w:tc>
          <w:tcPr>
            <w:tcW w:w="983" w:type="dxa"/>
            <w:vMerge/>
          </w:tcPr>
          <w:p w14:paraId="79D61F30" w14:textId="77777777" w:rsidR="00D23034" w:rsidRPr="00A77AF6" w:rsidRDefault="00D23034" w:rsidP="00E44E9B"/>
        </w:tc>
      </w:tr>
      <w:tr w:rsidR="00D23034" w:rsidRPr="00A77AF6" w14:paraId="0E21E605" w14:textId="77777777" w:rsidTr="00D23034">
        <w:tc>
          <w:tcPr>
            <w:tcW w:w="1956" w:type="dxa"/>
            <w:vMerge/>
          </w:tcPr>
          <w:p w14:paraId="5AB146BB" w14:textId="77777777" w:rsidR="00D23034" w:rsidRPr="00A77AF6" w:rsidRDefault="00D23034" w:rsidP="00E44E9B"/>
        </w:tc>
        <w:tc>
          <w:tcPr>
            <w:tcW w:w="4276" w:type="dxa"/>
            <w:tcBorders>
              <w:top w:val="dotted" w:sz="4" w:space="0" w:color="auto"/>
              <w:bottom w:val="dotted" w:sz="4" w:space="0" w:color="auto"/>
              <w:right w:val="dotted" w:sz="4" w:space="0" w:color="auto"/>
            </w:tcBorders>
          </w:tcPr>
          <w:p w14:paraId="5DF36779" w14:textId="06BA787A" w:rsidR="00D23034" w:rsidRPr="00A77AF6" w:rsidRDefault="00D23034" w:rsidP="00E44E9B">
            <w:pPr>
              <w:rPr>
                <w:rFonts w:ascii="Calibri" w:hAnsi="Calibri" w:cs="Arial"/>
                <w:sz w:val="20"/>
                <w:szCs w:val="20"/>
              </w:rPr>
            </w:pPr>
            <w:r w:rsidRPr="00A77AF6">
              <w:rPr>
                <w:rFonts w:ascii="Calibri" w:hAnsi="Calibri" w:cs="Arial"/>
                <w:sz w:val="20"/>
                <w:szCs w:val="20"/>
              </w:rPr>
              <w:t>Operationally focussed</w:t>
            </w:r>
          </w:p>
        </w:tc>
        <w:tc>
          <w:tcPr>
            <w:tcW w:w="983" w:type="dxa"/>
            <w:tcBorders>
              <w:top w:val="dotted" w:sz="4" w:space="0" w:color="auto"/>
              <w:left w:val="dotted" w:sz="4" w:space="0" w:color="auto"/>
              <w:bottom w:val="dotted" w:sz="4" w:space="0" w:color="auto"/>
            </w:tcBorders>
          </w:tcPr>
          <w:p w14:paraId="5DD56A3E" w14:textId="0A9B5CA8" w:rsidR="00D23034" w:rsidRPr="00A77AF6" w:rsidRDefault="00D23034" w:rsidP="00E44E9B">
            <w:pPr>
              <w:rPr>
                <w:sz w:val="20"/>
                <w:szCs w:val="20"/>
              </w:rPr>
            </w:pPr>
            <w:r w:rsidRPr="00A77AF6">
              <w:rPr>
                <w:sz w:val="20"/>
                <w:szCs w:val="20"/>
              </w:rPr>
              <w:t>1</w:t>
            </w:r>
          </w:p>
        </w:tc>
        <w:tc>
          <w:tcPr>
            <w:tcW w:w="983" w:type="dxa"/>
            <w:vMerge/>
          </w:tcPr>
          <w:p w14:paraId="5F59ABD5" w14:textId="77777777" w:rsidR="00D23034" w:rsidRPr="00A77AF6" w:rsidRDefault="00D23034" w:rsidP="00E44E9B"/>
        </w:tc>
      </w:tr>
      <w:tr w:rsidR="00D23034" w:rsidRPr="00A77AF6" w14:paraId="6F759951" w14:textId="77777777" w:rsidTr="00D23034">
        <w:tc>
          <w:tcPr>
            <w:tcW w:w="1956" w:type="dxa"/>
            <w:vMerge/>
          </w:tcPr>
          <w:p w14:paraId="75FBA29A" w14:textId="77777777" w:rsidR="00D23034" w:rsidRPr="00A77AF6" w:rsidRDefault="00D23034" w:rsidP="00E44E9B"/>
        </w:tc>
        <w:tc>
          <w:tcPr>
            <w:tcW w:w="4276" w:type="dxa"/>
            <w:tcBorders>
              <w:top w:val="dotted" w:sz="4" w:space="0" w:color="auto"/>
              <w:bottom w:val="dotted" w:sz="4" w:space="0" w:color="auto"/>
              <w:right w:val="dotted" w:sz="4" w:space="0" w:color="auto"/>
            </w:tcBorders>
          </w:tcPr>
          <w:p w14:paraId="5199D56C" w14:textId="769F121A" w:rsidR="00D23034" w:rsidRPr="00A77AF6" w:rsidRDefault="00D23034" w:rsidP="00E44E9B">
            <w:pPr>
              <w:rPr>
                <w:rFonts w:ascii="Calibri" w:hAnsi="Calibri" w:cs="Arial"/>
                <w:sz w:val="20"/>
                <w:szCs w:val="20"/>
              </w:rPr>
            </w:pPr>
            <w:r w:rsidRPr="00A77AF6">
              <w:rPr>
                <w:rFonts w:ascii="Calibri" w:hAnsi="Calibri" w:cs="Arial"/>
                <w:sz w:val="20"/>
                <w:szCs w:val="20"/>
              </w:rPr>
              <w:t>Wide remit</w:t>
            </w:r>
          </w:p>
        </w:tc>
        <w:tc>
          <w:tcPr>
            <w:tcW w:w="983" w:type="dxa"/>
            <w:tcBorders>
              <w:top w:val="dotted" w:sz="4" w:space="0" w:color="auto"/>
              <w:left w:val="dotted" w:sz="4" w:space="0" w:color="auto"/>
              <w:bottom w:val="dotted" w:sz="4" w:space="0" w:color="auto"/>
            </w:tcBorders>
          </w:tcPr>
          <w:p w14:paraId="159D643B" w14:textId="053E5FA8" w:rsidR="00D23034" w:rsidRPr="00A77AF6" w:rsidRDefault="00D23034" w:rsidP="00E44E9B">
            <w:pPr>
              <w:rPr>
                <w:sz w:val="20"/>
                <w:szCs w:val="20"/>
              </w:rPr>
            </w:pPr>
            <w:r w:rsidRPr="00A77AF6">
              <w:rPr>
                <w:sz w:val="20"/>
                <w:szCs w:val="20"/>
              </w:rPr>
              <w:t>1</w:t>
            </w:r>
          </w:p>
        </w:tc>
        <w:tc>
          <w:tcPr>
            <w:tcW w:w="983" w:type="dxa"/>
            <w:vMerge/>
          </w:tcPr>
          <w:p w14:paraId="521AF6A9" w14:textId="77777777" w:rsidR="00D23034" w:rsidRPr="00A77AF6" w:rsidRDefault="00D23034" w:rsidP="00E44E9B"/>
        </w:tc>
      </w:tr>
      <w:tr w:rsidR="00D23034" w:rsidRPr="00A77AF6" w14:paraId="30472A73" w14:textId="77777777" w:rsidTr="00B80F68">
        <w:tc>
          <w:tcPr>
            <w:tcW w:w="1956" w:type="dxa"/>
            <w:vMerge/>
          </w:tcPr>
          <w:p w14:paraId="757B1D42" w14:textId="77777777" w:rsidR="00D23034" w:rsidRPr="00A77AF6" w:rsidRDefault="00D23034" w:rsidP="00E44E9B"/>
        </w:tc>
        <w:tc>
          <w:tcPr>
            <w:tcW w:w="4276" w:type="dxa"/>
            <w:tcBorders>
              <w:top w:val="dotted" w:sz="4" w:space="0" w:color="auto"/>
              <w:bottom w:val="single" w:sz="4" w:space="0" w:color="auto"/>
              <w:right w:val="dotted" w:sz="4" w:space="0" w:color="auto"/>
            </w:tcBorders>
          </w:tcPr>
          <w:p w14:paraId="0F1E743A" w14:textId="12A9F85B" w:rsidR="00D23034" w:rsidRPr="00A77AF6" w:rsidRDefault="00BC2034" w:rsidP="00E44E9B">
            <w:pPr>
              <w:rPr>
                <w:rFonts w:ascii="Calibri" w:hAnsi="Calibri" w:cs="Arial"/>
                <w:sz w:val="20"/>
                <w:szCs w:val="20"/>
              </w:rPr>
            </w:pPr>
            <w:r w:rsidRPr="00A77AF6">
              <w:rPr>
                <w:rFonts w:ascii="Calibri" w:hAnsi="Calibri" w:cs="Arial"/>
                <w:sz w:val="20"/>
                <w:szCs w:val="20"/>
              </w:rPr>
              <w:t>Delegates</w:t>
            </w:r>
            <w:r w:rsidR="00D23034" w:rsidRPr="00A77AF6">
              <w:rPr>
                <w:rFonts w:ascii="Calibri" w:hAnsi="Calibri" w:cs="Arial"/>
                <w:sz w:val="20"/>
                <w:szCs w:val="20"/>
              </w:rPr>
              <w:t xml:space="preserve"> to </w:t>
            </w:r>
            <w:r w:rsidRPr="00A77AF6">
              <w:rPr>
                <w:rFonts w:ascii="Calibri" w:hAnsi="Calibri" w:cs="Arial"/>
                <w:sz w:val="20"/>
                <w:szCs w:val="20"/>
              </w:rPr>
              <w:t>project</w:t>
            </w:r>
            <w:r w:rsidR="00D23034" w:rsidRPr="00A77AF6">
              <w:rPr>
                <w:rFonts w:ascii="Calibri" w:hAnsi="Calibri" w:cs="Arial"/>
                <w:sz w:val="20"/>
                <w:szCs w:val="20"/>
              </w:rPr>
              <w:t xml:space="preserve"> teams </w:t>
            </w:r>
          </w:p>
        </w:tc>
        <w:tc>
          <w:tcPr>
            <w:tcW w:w="983" w:type="dxa"/>
            <w:tcBorders>
              <w:top w:val="dotted" w:sz="4" w:space="0" w:color="auto"/>
              <w:left w:val="dotted" w:sz="4" w:space="0" w:color="auto"/>
              <w:bottom w:val="single" w:sz="4" w:space="0" w:color="auto"/>
            </w:tcBorders>
          </w:tcPr>
          <w:p w14:paraId="1E5D834E" w14:textId="44E857DB" w:rsidR="00D23034" w:rsidRPr="00A77AF6" w:rsidRDefault="00D23034" w:rsidP="00E44E9B">
            <w:pPr>
              <w:rPr>
                <w:sz w:val="20"/>
                <w:szCs w:val="20"/>
              </w:rPr>
            </w:pPr>
            <w:r w:rsidRPr="00A77AF6">
              <w:rPr>
                <w:sz w:val="20"/>
                <w:szCs w:val="20"/>
              </w:rPr>
              <w:t>1</w:t>
            </w:r>
          </w:p>
        </w:tc>
        <w:tc>
          <w:tcPr>
            <w:tcW w:w="983" w:type="dxa"/>
            <w:vMerge/>
          </w:tcPr>
          <w:p w14:paraId="0482FD97" w14:textId="77777777" w:rsidR="00D23034" w:rsidRPr="00A77AF6" w:rsidRDefault="00D23034" w:rsidP="00E44E9B"/>
        </w:tc>
      </w:tr>
    </w:tbl>
    <w:p w14:paraId="5F4FAC0A" w14:textId="0199BD1B" w:rsidR="006F061E" w:rsidRPr="00A77AF6" w:rsidRDefault="006F061E" w:rsidP="006F061E"/>
    <w:p w14:paraId="7FB7A1A3" w14:textId="5FB21D9E" w:rsidR="00460681" w:rsidRPr="00A77AF6" w:rsidRDefault="00221F64" w:rsidP="00460681">
      <w:pPr>
        <w:spacing w:line="360" w:lineRule="auto"/>
        <w:rPr>
          <w:rFonts w:eastAsia="Times New Roman" w:cstheme="minorHAnsi"/>
          <w:color w:val="000000"/>
          <w:lang w:eastAsia="en-GB"/>
        </w:rPr>
      </w:pPr>
      <w:r w:rsidRPr="00A77AF6">
        <w:rPr>
          <w:rFonts w:eastAsia="Times New Roman" w:cstheme="minorHAnsi"/>
          <w:color w:val="000000"/>
          <w:lang w:eastAsia="en-GB"/>
        </w:rPr>
        <w:t xml:space="preserve">The </w:t>
      </w:r>
      <w:r w:rsidR="00FE1258" w:rsidRPr="00A77AF6">
        <w:rPr>
          <w:rFonts w:eastAsia="Times New Roman" w:cstheme="minorHAnsi"/>
          <w:color w:val="000000"/>
          <w:lang w:eastAsia="en-GB"/>
        </w:rPr>
        <w:t>t</w:t>
      </w:r>
      <w:r w:rsidRPr="00A77AF6">
        <w:rPr>
          <w:rFonts w:eastAsia="Times New Roman" w:cstheme="minorHAnsi"/>
          <w:color w:val="000000"/>
          <w:lang w:eastAsia="en-GB"/>
        </w:rPr>
        <w:t xml:space="preserve">rust </w:t>
      </w:r>
      <w:r w:rsidR="00FE1258" w:rsidRPr="00A77AF6">
        <w:rPr>
          <w:rFonts w:eastAsia="Times New Roman" w:cstheme="minorHAnsi"/>
          <w:color w:val="000000"/>
          <w:lang w:eastAsia="en-GB"/>
        </w:rPr>
        <w:t>b</w:t>
      </w:r>
      <w:r w:rsidRPr="00A77AF6">
        <w:rPr>
          <w:rFonts w:eastAsia="Times New Roman" w:cstheme="minorHAnsi"/>
          <w:color w:val="000000"/>
          <w:lang w:eastAsia="en-GB"/>
        </w:rPr>
        <w:t xml:space="preserve">oard was </w:t>
      </w:r>
      <w:r w:rsidR="00366BD2">
        <w:rPr>
          <w:rFonts w:eastAsia="Times New Roman" w:cstheme="minorHAnsi"/>
          <w:color w:val="000000"/>
          <w:lang w:eastAsia="en-GB"/>
        </w:rPr>
        <w:t xml:space="preserve">thought to be interested only in </w:t>
      </w:r>
      <w:r w:rsidRPr="00A77AF6">
        <w:rPr>
          <w:rFonts w:eastAsia="Times New Roman" w:cstheme="minorHAnsi"/>
          <w:color w:val="000000"/>
          <w:lang w:eastAsia="en-GB"/>
        </w:rPr>
        <w:t xml:space="preserve">a high-level view </w:t>
      </w:r>
      <w:r w:rsidR="00485D3E">
        <w:rPr>
          <w:rFonts w:eastAsia="Times New Roman" w:cstheme="minorHAnsi"/>
          <w:color w:val="000000"/>
          <w:lang w:eastAsia="en-GB"/>
        </w:rPr>
        <w:t xml:space="preserve">of </w:t>
      </w:r>
      <w:r w:rsidR="00460681" w:rsidRPr="00A77AF6">
        <w:rPr>
          <w:rFonts w:eastAsia="Times New Roman" w:cstheme="minorHAnsi"/>
          <w:color w:val="000000"/>
          <w:lang w:eastAsia="en-GB"/>
        </w:rPr>
        <w:t xml:space="preserve">project delivery.  For </w:t>
      </w:r>
      <w:r w:rsidRPr="00A77AF6">
        <w:rPr>
          <w:rFonts w:eastAsia="Times New Roman" w:cstheme="minorHAnsi"/>
          <w:color w:val="000000"/>
          <w:lang w:eastAsia="en-GB"/>
        </w:rPr>
        <w:t xml:space="preserve">example, </w:t>
      </w:r>
      <w:r w:rsidR="00460681" w:rsidRPr="00A77AF6">
        <w:rPr>
          <w:rFonts w:eastAsia="Times New Roman" w:cstheme="minorHAnsi"/>
          <w:color w:val="000000"/>
          <w:lang w:eastAsia="en-GB"/>
        </w:rPr>
        <w:t xml:space="preserve">it is interested in the </w:t>
      </w:r>
      <w:r w:rsidR="00366BD2">
        <w:rPr>
          <w:rFonts w:eastAsia="Times New Roman" w:cstheme="minorHAnsi"/>
          <w:color w:val="000000"/>
          <w:lang w:eastAsia="en-GB"/>
        </w:rPr>
        <w:t xml:space="preserve">overall </w:t>
      </w:r>
      <w:r w:rsidR="00460681" w:rsidRPr="00A77AF6">
        <w:rPr>
          <w:rFonts w:eastAsia="Times New Roman" w:cstheme="minorHAnsi"/>
          <w:color w:val="000000"/>
          <w:lang w:eastAsia="en-GB"/>
        </w:rPr>
        <w:t>project timescale</w:t>
      </w:r>
      <w:r w:rsidR="00366BD2">
        <w:rPr>
          <w:rFonts w:eastAsia="Times New Roman" w:cstheme="minorHAnsi"/>
          <w:color w:val="000000"/>
          <w:lang w:eastAsia="en-GB"/>
        </w:rPr>
        <w:t xml:space="preserve">, cost, </w:t>
      </w:r>
      <w:r w:rsidR="00460681" w:rsidRPr="00A77AF6">
        <w:rPr>
          <w:rFonts w:eastAsia="Times New Roman" w:cstheme="minorHAnsi"/>
          <w:color w:val="000000"/>
          <w:lang w:eastAsia="en-GB"/>
        </w:rPr>
        <w:t>scope</w:t>
      </w:r>
      <w:r w:rsidR="00366BD2">
        <w:rPr>
          <w:rFonts w:eastAsia="Times New Roman" w:cstheme="minorHAnsi"/>
          <w:color w:val="000000"/>
          <w:lang w:eastAsia="en-GB"/>
        </w:rPr>
        <w:t xml:space="preserve"> and major milestones</w:t>
      </w:r>
      <w:r w:rsidR="00460681" w:rsidRPr="00A77AF6">
        <w:rPr>
          <w:rFonts w:eastAsia="Times New Roman" w:cstheme="minorHAnsi"/>
          <w:color w:val="000000"/>
          <w:lang w:eastAsia="en-GB"/>
        </w:rPr>
        <w:t xml:space="preserve">. </w:t>
      </w:r>
      <w:r w:rsidR="00366BD2">
        <w:rPr>
          <w:rFonts w:eastAsia="Times New Roman" w:cstheme="minorHAnsi"/>
          <w:color w:val="000000"/>
          <w:lang w:eastAsia="en-GB"/>
        </w:rPr>
        <w:t xml:space="preserve">Interviewees gave examples of trust board interest in </w:t>
      </w:r>
      <w:r w:rsidR="00460681" w:rsidRPr="00A77AF6">
        <w:rPr>
          <w:rFonts w:eastAsia="Times New Roman" w:cstheme="minorHAnsi"/>
          <w:color w:val="000000"/>
          <w:lang w:eastAsia="en-GB"/>
        </w:rPr>
        <w:t xml:space="preserve">the overall project outcome, topping off (putting the roof on) or opening the building.  </w:t>
      </w:r>
      <w:r w:rsidR="00366BD2">
        <w:rPr>
          <w:rFonts w:eastAsia="Times New Roman" w:cstheme="minorHAnsi"/>
          <w:color w:val="000000"/>
          <w:lang w:eastAsia="en-GB"/>
        </w:rPr>
        <w:t xml:space="preserve">It was thought that trust boards are </w:t>
      </w:r>
      <w:r w:rsidR="00460681" w:rsidRPr="00A77AF6">
        <w:rPr>
          <w:rFonts w:eastAsia="Times New Roman" w:cstheme="minorHAnsi"/>
          <w:color w:val="000000"/>
          <w:lang w:eastAsia="en-GB"/>
        </w:rPr>
        <w:t xml:space="preserve">not interested in what they see as minutiae such as where taps or door handles are positioned. </w:t>
      </w:r>
      <w:r w:rsidR="00366BD2">
        <w:rPr>
          <w:rFonts w:eastAsia="Times New Roman" w:cstheme="minorHAnsi"/>
          <w:color w:val="000000"/>
          <w:lang w:eastAsia="en-GB"/>
        </w:rPr>
        <w:t xml:space="preserve"> This is in direct contrast with the </w:t>
      </w:r>
      <w:r w:rsidR="00460681" w:rsidRPr="00A77AF6">
        <w:rPr>
          <w:rFonts w:eastAsia="Times New Roman" w:cstheme="minorHAnsi"/>
          <w:color w:val="000000"/>
          <w:lang w:eastAsia="en-GB"/>
        </w:rPr>
        <w:t xml:space="preserve">project team </w:t>
      </w:r>
      <w:r w:rsidR="00366BD2">
        <w:rPr>
          <w:rFonts w:eastAsia="Times New Roman" w:cstheme="minorHAnsi"/>
          <w:color w:val="000000"/>
          <w:lang w:eastAsia="en-GB"/>
        </w:rPr>
        <w:t>who</w:t>
      </w:r>
      <w:r w:rsidR="00460681" w:rsidRPr="00A77AF6">
        <w:rPr>
          <w:rFonts w:eastAsia="Times New Roman" w:cstheme="minorHAnsi"/>
          <w:color w:val="000000"/>
          <w:lang w:eastAsia="en-GB"/>
        </w:rPr>
        <w:t xml:space="preserve"> have a very detailed knowledge of the day-to-day issues in a project</w:t>
      </w:r>
      <w:r w:rsidR="00366BD2">
        <w:rPr>
          <w:rFonts w:eastAsia="Times New Roman" w:cstheme="minorHAnsi"/>
          <w:color w:val="000000"/>
          <w:lang w:eastAsia="en-GB"/>
        </w:rPr>
        <w:t xml:space="preserve">.  This may be expected but </w:t>
      </w:r>
      <w:r w:rsidR="00460681" w:rsidRPr="00A77AF6">
        <w:rPr>
          <w:rFonts w:eastAsia="Times New Roman" w:cstheme="minorHAnsi"/>
          <w:color w:val="000000"/>
          <w:lang w:eastAsia="en-GB"/>
        </w:rPr>
        <w:t xml:space="preserve">the trust board </w:t>
      </w:r>
      <w:r w:rsidR="00366BD2">
        <w:rPr>
          <w:rFonts w:eastAsia="Times New Roman" w:cstheme="minorHAnsi"/>
          <w:color w:val="000000"/>
          <w:lang w:eastAsia="en-GB"/>
        </w:rPr>
        <w:t>is thought to be un</w:t>
      </w:r>
      <w:r w:rsidR="00460681" w:rsidRPr="00A77AF6">
        <w:rPr>
          <w:rFonts w:eastAsia="Times New Roman" w:cstheme="minorHAnsi"/>
          <w:color w:val="000000"/>
          <w:lang w:eastAsia="en-GB"/>
        </w:rPr>
        <w:t xml:space="preserve">interested in the day-to-day activities carried out by the project team. This problem is exemplified by the </w:t>
      </w:r>
      <w:r w:rsidR="00366BD2">
        <w:rPr>
          <w:rFonts w:eastAsia="Times New Roman" w:cstheme="minorHAnsi"/>
          <w:color w:val="000000"/>
          <w:lang w:eastAsia="en-GB"/>
        </w:rPr>
        <w:t xml:space="preserve">what project staff saw as the trust board’s demands for oversimplified, </w:t>
      </w:r>
      <w:r w:rsidR="00460681" w:rsidRPr="00A77AF6">
        <w:rPr>
          <w:rFonts w:eastAsia="Times New Roman" w:cstheme="minorHAnsi"/>
          <w:color w:val="000000"/>
          <w:lang w:eastAsia="en-GB"/>
        </w:rPr>
        <w:t>short, high level reports from project teams</w:t>
      </w:r>
      <w:r w:rsidR="00366BD2">
        <w:rPr>
          <w:rFonts w:eastAsia="Times New Roman" w:cstheme="minorHAnsi"/>
          <w:color w:val="000000"/>
          <w:lang w:eastAsia="en-GB"/>
        </w:rPr>
        <w:t xml:space="preserve">. </w:t>
      </w:r>
      <w:r w:rsidR="00460681" w:rsidRPr="00A77AF6">
        <w:rPr>
          <w:rFonts w:eastAsia="Times New Roman" w:cstheme="minorHAnsi"/>
          <w:color w:val="000000"/>
          <w:lang w:eastAsia="en-GB"/>
        </w:rPr>
        <w:t xml:space="preserve">  </w:t>
      </w:r>
    </w:p>
    <w:p w14:paraId="42C0E792" w14:textId="41457B1C" w:rsidR="00460681" w:rsidRPr="00A77AF6" w:rsidRDefault="00460681" w:rsidP="00366BD2">
      <w:pPr>
        <w:spacing w:before="240" w:after="240" w:line="240" w:lineRule="auto"/>
        <w:ind w:left="720"/>
        <w:rPr>
          <w:rFonts w:ascii="Calibri" w:hAnsi="Calibri" w:cs="Arial"/>
          <w:i/>
        </w:rPr>
      </w:pPr>
      <w:r w:rsidRPr="00A77AF6">
        <w:rPr>
          <w:rFonts w:eastAsia="Times New Roman" w:cstheme="minorHAnsi"/>
          <w:i/>
          <w:color w:val="000000"/>
          <w:lang w:eastAsia="en-GB"/>
        </w:rPr>
        <w:t>‘</w:t>
      </w:r>
      <w:bookmarkStart w:id="188" w:name="_Hlk521421582"/>
      <w:r w:rsidRPr="00A77AF6">
        <w:rPr>
          <w:rFonts w:ascii="Calibri" w:hAnsi="Calibri" w:cs="Arial"/>
          <w:i/>
        </w:rPr>
        <w:t>You get complaints from corporate governance all the time that it’s too long, there’s too much detail, we just want a traffic light system, we want to know are we on time, on budget, is the quality ok</w:t>
      </w:r>
      <w:bookmarkEnd w:id="188"/>
      <w:r w:rsidRPr="00A77AF6">
        <w:rPr>
          <w:rFonts w:ascii="Calibri" w:hAnsi="Calibri" w:cs="Arial"/>
          <w:i/>
        </w:rPr>
        <w:t>.’</w:t>
      </w:r>
      <w:r w:rsidR="00366BD2">
        <w:rPr>
          <w:rFonts w:ascii="Calibri" w:hAnsi="Calibri" w:cs="Arial"/>
          <w:i/>
        </w:rPr>
        <w:t xml:space="preserve"> (</w:t>
      </w:r>
      <w:r w:rsidR="00366BD2" w:rsidRPr="00A77AF6">
        <w:rPr>
          <w:rFonts w:eastAsia="Times New Roman" w:cstheme="minorHAnsi"/>
          <w:color w:val="000000"/>
          <w:lang w:eastAsia="en-GB"/>
        </w:rPr>
        <w:t>Expert C</w:t>
      </w:r>
      <w:r w:rsidR="00366BD2">
        <w:rPr>
          <w:rFonts w:eastAsia="Times New Roman" w:cstheme="minorHAnsi"/>
          <w:color w:val="000000"/>
          <w:lang w:eastAsia="en-GB"/>
        </w:rPr>
        <w:t>)</w:t>
      </w:r>
    </w:p>
    <w:p w14:paraId="46EC8C71" w14:textId="40184454" w:rsidR="00721696" w:rsidRDefault="00460681" w:rsidP="00721696">
      <w:pPr>
        <w:spacing w:after="0" w:line="360" w:lineRule="auto"/>
      </w:pPr>
      <w:r w:rsidRPr="00A77AF6">
        <w:t xml:space="preserve">The inability </w:t>
      </w:r>
      <w:r w:rsidR="00366BD2">
        <w:t xml:space="preserve">or lack of interest in </w:t>
      </w:r>
      <w:r w:rsidRPr="00A77AF6">
        <w:t>detailed project information leads to a lack of oversight</w:t>
      </w:r>
      <w:r w:rsidR="00366BD2">
        <w:t>, because the trust</w:t>
      </w:r>
      <w:r w:rsidRPr="00A77AF6">
        <w:t xml:space="preserve"> board </w:t>
      </w:r>
      <w:r w:rsidR="00366BD2">
        <w:t xml:space="preserve">does not have a </w:t>
      </w:r>
      <w:r w:rsidRPr="00A77AF6">
        <w:t xml:space="preserve">real understanding </w:t>
      </w:r>
      <w:r w:rsidR="007D364D">
        <w:t xml:space="preserve">of </w:t>
      </w:r>
      <w:r w:rsidRPr="00A77AF6">
        <w:t>what they were involved in (Expert C).  T</w:t>
      </w:r>
      <w:r w:rsidRPr="00A77AF6">
        <w:rPr>
          <w:rFonts w:ascii="Calibri" w:hAnsi="Calibri" w:cs="Arial"/>
          <w:iCs/>
        </w:rPr>
        <w:t>he</w:t>
      </w:r>
      <w:r w:rsidR="00366BD2">
        <w:rPr>
          <w:rFonts w:ascii="Calibri" w:hAnsi="Calibri" w:cs="Arial"/>
          <w:iCs/>
        </w:rPr>
        <w:t xml:space="preserve"> </w:t>
      </w:r>
      <w:r w:rsidR="00366BD2">
        <w:rPr>
          <w:rFonts w:ascii="Calibri" w:hAnsi="Calibri" w:cs="Arial"/>
          <w:iCs/>
        </w:rPr>
        <w:lastRenderedPageBreak/>
        <w:t xml:space="preserve">trust board’s </w:t>
      </w:r>
      <w:r w:rsidRPr="00A77AF6">
        <w:rPr>
          <w:rFonts w:ascii="Calibri" w:hAnsi="Calibri" w:cs="Arial"/>
          <w:iCs/>
        </w:rPr>
        <w:t xml:space="preserve">lack of detailed understanding </w:t>
      </w:r>
      <w:r w:rsidR="00366BD2">
        <w:rPr>
          <w:rFonts w:ascii="Calibri" w:hAnsi="Calibri" w:cs="Arial"/>
          <w:iCs/>
        </w:rPr>
        <w:t xml:space="preserve">results in their inability </w:t>
      </w:r>
      <w:r w:rsidRPr="00A77AF6">
        <w:rPr>
          <w:rFonts w:ascii="Calibri" w:hAnsi="Calibri" w:cs="Arial"/>
          <w:iCs/>
        </w:rPr>
        <w:t xml:space="preserve">to interrogate project teams fully and this results in the performance of governance, rather than the achievement of it (Expert A). </w:t>
      </w:r>
      <w:r w:rsidR="007159A2">
        <w:rPr>
          <w:rFonts w:ascii="Calibri" w:hAnsi="Calibri" w:cs="Arial"/>
          <w:iCs/>
        </w:rPr>
        <w:t xml:space="preserve"> </w:t>
      </w:r>
      <w:r w:rsidRPr="00A77AF6">
        <w:rPr>
          <w:rFonts w:ascii="Calibri" w:hAnsi="Calibri" w:cs="Arial"/>
          <w:iCs/>
        </w:rPr>
        <w:t xml:space="preserve">This leads to </w:t>
      </w:r>
      <w:r w:rsidR="007159A2">
        <w:rPr>
          <w:rFonts w:ascii="Calibri" w:hAnsi="Calibri" w:cs="Arial"/>
          <w:iCs/>
        </w:rPr>
        <w:t xml:space="preserve">a related </w:t>
      </w:r>
      <w:r w:rsidRPr="00A77AF6">
        <w:rPr>
          <w:rFonts w:ascii="Calibri" w:hAnsi="Calibri" w:cs="Arial"/>
          <w:iCs/>
        </w:rPr>
        <w:t xml:space="preserve">issue, </w:t>
      </w:r>
      <w:r w:rsidR="007D364D">
        <w:rPr>
          <w:rFonts w:ascii="Calibri" w:hAnsi="Calibri" w:cs="Arial"/>
          <w:iCs/>
        </w:rPr>
        <w:t>which is</w:t>
      </w:r>
      <w:r w:rsidR="007159A2">
        <w:rPr>
          <w:rFonts w:ascii="Calibri" w:hAnsi="Calibri" w:cs="Arial"/>
          <w:iCs/>
        </w:rPr>
        <w:t xml:space="preserve"> that trust boards are not always willing or able to engage </w:t>
      </w:r>
      <w:r w:rsidR="007159A2" w:rsidRPr="00A77AF6">
        <w:t xml:space="preserve">in problem solving with project teams, nor always prepared to hear uncomfortable messages from the project team.   </w:t>
      </w:r>
      <w:r w:rsidR="00721696">
        <w:t xml:space="preserve">Interviewees felt that </w:t>
      </w:r>
      <w:r w:rsidR="00721696" w:rsidRPr="00A77AF6">
        <w:t>trust board</w:t>
      </w:r>
      <w:r w:rsidR="00721696">
        <w:t>s</w:t>
      </w:r>
      <w:r w:rsidR="00721696" w:rsidRPr="00A77AF6">
        <w:t xml:space="preserve"> did not want to hear about problems and at times</w:t>
      </w:r>
      <w:r w:rsidR="00721696">
        <w:t xml:space="preserve">.  </w:t>
      </w:r>
      <w:r w:rsidR="00721696" w:rsidRPr="00A77AF6">
        <w:t xml:space="preserve"> Expert</w:t>
      </w:r>
      <w:r w:rsidR="00721696">
        <w:t xml:space="preserve">s A and E said </w:t>
      </w:r>
      <w:r w:rsidR="00721696" w:rsidRPr="00A77AF6">
        <w:t xml:space="preserve"> </w:t>
      </w:r>
    </w:p>
    <w:p w14:paraId="28678942" w14:textId="59982E9D" w:rsidR="00721696" w:rsidRDefault="00721696" w:rsidP="007D364D">
      <w:pPr>
        <w:spacing w:after="0" w:line="240" w:lineRule="auto"/>
        <w:ind w:left="720"/>
      </w:pPr>
      <w:r w:rsidRPr="00A77AF6">
        <w:rPr>
          <w:i/>
        </w:rPr>
        <w:t>‘it’s that whole thing about “don’t give me problems, give me solutions”.</w:t>
      </w:r>
      <w:r>
        <w:rPr>
          <w:i/>
        </w:rPr>
        <w:t xml:space="preserve">’ and </w:t>
      </w:r>
    </w:p>
    <w:p w14:paraId="7F104B09" w14:textId="0582994A" w:rsidR="00721696" w:rsidRPr="00A77AF6" w:rsidRDefault="00721696" w:rsidP="007D364D">
      <w:pPr>
        <w:spacing w:after="240" w:line="240" w:lineRule="auto"/>
        <w:ind w:left="720"/>
        <w:rPr>
          <w:i/>
        </w:rPr>
      </w:pPr>
      <w:r>
        <w:t>‘</w:t>
      </w:r>
      <w:r w:rsidRPr="00A77AF6">
        <w:rPr>
          <w:i/>
        </w:rPr>
        <w:t>it is only worth reporting a problem if a solution had already been found</w:t>
      </w:r>
    </w:p>
    <w:p w14:paraId="2F756377" w14:textId="44ABBA51" w:rsidR="00104DB1" w:rsidRPr="00A77AF6" w:rsidRDefault="00721696" w:rsidP="00F16494">
      <w:pPr>
        <w:spacing w:after="240" w:line="360" w:lineRule="auto"/>
        <w:rPr>
          <w:rFonts w:eastAsia="Times New Roman" w:cstheme="minorHAnsi"/>
          <w:color w:val="000000"/>
          <w:lang w:eastAsia="en-GB"/>
        </w:rPr>
      </w:pPr>
      <w:r>
        <w:rPr>
          <w:rFonts w:eastAsia="Times New Roman" w:cstheme="minorHAnsi"/>
          <w:color w:val="000000"/>
          <w:lang w:eastAsia="en-GB"/>
        </w:rPr>
        <w:t xml:space="preserve">The trust boards lack of engagement was thought to be in part </w:t>
      </w:r>
      <w:r w:rsidR="00104DB1" w:rsidRPr="00A77AF6">
        <w:rPr>
          <w:rFonts w:eastAsia="Times New Roman" w:cstheme="minorHAnsi"/>
          <w:color w:val="000000"/>
          <w:lang w:eastAsia="en-GB"/>
        </w:rPr>
        <w:t xml:space="preserve">a </w:t>
      </w:r>
      <w:r>
        <w:rPr>
          <w:rFonts w:eastAsia="Times New Roman" w:cstheme="minorHAnsi"/>
          <w:color w:val="000000"/>
          <w:lang w:eastAsia="en-GB"/>
        </w:rPr>
        <w:t>consequence</w:t>
      </w:r>
      <w:r w:rsidR="00104DB1" w:rsidRPr="00A77AF6">
        <w:rPr>
          <w:rFonts w:eastAsia="Times New Roman" w:cstheme="minorHAnsi"/>
          <w:color w:val="000000"/>
          <w:lang w:eastAsia="en-GB"/>
        </w:rPr>
        <w:t xml:space="preserve"> of inexperience, resulting in the</w:t>
      </w:r>
      <w:r>
        <w:rPr>
          <w:rFonts w:eastAsia="Times New Roman" w:cstheme="minorHAnsi"/>
          <w:color w:val="000000"/>
          <w:lang w:eastAsia="en-GB"/>
        </w:rPr>
        <w:t>ir</w:t>
      </w:r>
      <w:r w:rsidR="00104DB1" w:rsidRPr="00A77AF6">
        <w:rPr>
          <w:rFonts w:eastAsia="Times New Roman" w:cstheme="minorHAnsi"/>
          <w:color w:val="000000"/>
          <w:lang w:eastAsia="en-GB"/>
        </w:rPr>
        <w:t xml:space="preserve"> reluctance to make decisions or to take even small risks, resulting in delays for which the project teams get blamed (Expert C). </w:t>
      </w:r>
      <w:r w:rsidR="00104DB1" w:rsidRPr="00A77AF6">
        <w:t xml:space="preserve"> Inexperience </w:t>
      </w:r>
      <w:r>
        <w:t xml:space="preserve">and lack of knowledge was </w:t>
      </w:r>
      <w:r w:rsidR="00104DB1" w:rsidRPr="00A77AF6">
        <w:t xml:space="preserve"> </w:t>
      </w:r>
      <w:r>
        <w:t xml:space="preserve">perceived to be </w:t>
      </w:r>
      <w:r w:rsidR="00104DB1" w:rsidRPr="00A77AF6">
        <w:t xml:space="preserve">a problem for non-executive </w:t>
      </w:r>
      <w:r>
        <w:t xml:space="preserve">and </w:t>
      </w:r>
      <w:r w:rsidR="00104DB1" w:rsidRPr="00A77AF6">
        <w:t>executive directors</w:t>
      </w:r>
      <w:r>
        <w:t xml:space="preserve"> alike</w:t>
      </w:r>
      <w:r w:rsidR="00104DB1" w:rsidRPr="00A77AF6">
        <w:t xml:space="preserve">.  </w:t>
      </w:r>
    </w:p>
    <w:p w14:paraId="178C014E" w14:textId="4AA6E9B2" w:rsidR="00254E34" w:rsidRPr="00A77AF6" w:rsidRDefault="008B0E67" w:rsidP="00254E34">
      <w:pPr>
        <w:spacing w:after="0" w:line="360" w:lineRule="auto"/>
      </w:pPr>
      <w:r w:rsidRPr="00A77AF6">
        <w:t>T</w:t>
      </w:r>
      <w:r w:rsidR="00254E34" w:rsidRPr="00A77AF6">
        <w:t xml:space="preserve">rust </w:t>
      </w:r>
      <w:r w:rsidRPr="00A77AF6">
        <w:t>b</w:t>
      </w:r>
      <w:r w:rsidR="00254E34" w:rsidRPr="00A77AF6">
        <w:t xml:space="preserve">oards were thought to </w:t>
      </w:r>
      <w:r w:rsidR="007F1B5C">
        <w:t xml:space="preserve">be risk averse.  Interviewees reported that </w:t>
      </w:r>
      <w:r w:rsidR="007D364D">
        <w:t xml:space="preserve">trust boards </w:t>
      </w:r>
      <w:r w:rsidR="00254E34" w:rsidRPr="00A77AF6">
        <w:t>understand risk, such as reputational risk, financial risk, clinical risk and patient experience risk but they did not understand how to mitigate those risks, and this ma</w:t>
      </w:r>
      <w:r w:rsidR="005E24DA" w:rsidRPr="00A77AF6">
        <w:t xml:space="preserve">de </w:t>
      </w:r>
      <w:r w:rsidR="007F1B5C">
        <w:t>them</w:t>
      </w:r>
      <w:r w:rsidR="00254E34" w:rsidRPr="00A77AF6">
        <w:t xml:space="preserve"> cautious</w:t>
      </w:r>
      <w:r w:rsidR="005E24DA" w:rsidRPr="00A77AF6">
        <w:t xml:space="preserve"> and slow to act</w:t>
      </w:r>
      <w:r w:rsidR="00254E34" w:rsidRPr="00A77AF6">
        <w:t xml:space="preserve">.  Consequently, projects can be delayed because </w:t>
      </w:r>
      <w:r w:rsidR="00B80F68" w:rsidRPr="00A77AF6">
        <w:t>b</w:t>
      </w:r>
      <w:r w:rsidR="00254E34" w:rsidRPr="00A77AF6">
        <w:t>oards want more reassurance</w:t>
      </w:r>
      <w:r w:rsidR="00B80F68" w:rsidRPr="00A77AF6">
        <w:t>, which delayed decisions, they</w:t>
      </w:r>
      <w:r w:rsidR="00254E34" w:rsidRPr="00A77AF6">
        <w:t xml:space="preserve"> </w:t>
      </w:r>
    </w:p>
    <w:p w14:paraId="711AC6F4" w14:textId="7A009213" w:rsidR="00254E34" w:rsidRPr="00A77AF6" w:rsidRDefault="00254E34" w:rsidP="00254E34">
      <w:pPr>
        <w:spacing w:line="240" w:lineRule="auto"/>
        <w:ind w:left="720"/>
        <w:rPr>
          <w:i/>
        </w:rPr>
      </w:pPr>
      <w:r w:rsidRPr="00A77AF6">
        <w:rPr>
          <w:i/>
        </w:rPr>
        <w:t>‘erred on the side of caution and therefore they were more likely, in my experience, to hold up the project than to sign it off.’ (Expert C)</w:t>
      </w:r>
    </w:p>
    <w:p w14:paraId="026BDC96" w14:textId="4F3E7B6B" w:rsidR="007F1B5C" w:rsidRDefault="007F1B5C" w:rsidP="005E24DA">
      <w:pPr>
        <w:spacing w:line="360" w:lineRule="auto"/>
      </w:pPr>
      <w:r>
        <w:t>T</w:t>
      </w:r>
      <w:r w:rsidR="005E24DA" w:rsidRPr="00A77AF6">
        <w:t xml:space="preserve">rust board </w:t>
      </w:r>
      <w:r>
        <w:t xml:space="preserve">were also though to want to put a positive gloss on projects.  This was thought to stem from the fact that board meetings are public events and there is a reluctance to place bad news in the public domain.  This may also lead to a reduced willingness to deal with bad news from the project team. </w:t>
      </w:r>
    </w:p>
    <w:p w14:paraId="657109D6" w14:textId="3C5E3B10" w:rsidR="0024269D" w:rsidRPr="00E82317" w:rsidRDefault="002628E6" w:rsidP="00661757">
      <w:pPr>
        <w:spacing w:after="0" w:line="360" w:lineRule="auto"/>
      </w:pPr>
      <w:r w:rsidRPr="00A77AF6">
        <w:t xml:space="preserve">Another reason for the disconnection between </w:t>
      </w:r>
      <w:r w:rsidR="008B0E67" w:rsidRPr="00A77AF6">
        <w:t>t</w:t>
      </w:r>
      <w:r w:rsidRPr="00A77AF6">
        <w:t xml:space="preserve">rust </w:t>
      </w:r>
      <w:r w:rsidR="008B0E67" w:rsidRPr="00A77AF6">
        <w:t>b</w:t>
      </w:r>
      <w:r w:rsidRPr="00A77AF6">
        <w:t>oard</w:t>
      </w:r>
      <w:r w:rsidR="00E82317">
        <w:t>s</w:t>
      </w:r>
      <w:r w:rsidRPr="00A77AF6">
        <w:t xml:space="preserve"> and project team</w:t>
      </w:r>
      <w:r w:rsidR="00E82317">
        <w:t>s</w:t>
      </w:r>
      <w:r w:rsidRPr="00A77AF6">
        <w:t xml:space="preserve"> is that the </w:t>
      </w:r>
      <w:r w:rsidR="008B0E67" w:rsidRPr="00A77AF6">
        <w:t>t</w:t>
      </w:r>
      <w:r w:rsidRPr="00A77AF6">
        <w:t xml:space="preserve">rust </w:t>
      </w:r>
      <w:r w:rsidR="008B0E67" w:rsidRPr="00A77AF6">
        <w:t>b</w:t>
      </w:r>
      <w:r w:rsidRPr="00A77AF6">
        <w:t xml:space="preserve">oard </w:t>
      </w:r>
      <w:r w:rsidR="00BD7DC6" w:rsidRPr="00A77AF6">
        <w:t xml:space="preserve">has a very wide remit (Expert D).  </w:t>
      </w:r>
      <w:r w:rsidR="00E82317">
        <w:t>The</w:t>
      </w:r>
      <w:r w:rsidR="007D364D">
        <w:t xml:space="preserve"> trust</w:t>
      </w:r>
      <w:r w:rsidR="00E82317">
        <w:t xml:space="preserve"> board </w:t>
      </w:r>
      <w:r w:rsidR="00BD7DC6" w:rsidRPr="00A77AF6">
        <w:t xml:space="preserve"> is </w:t>
      </w:r>
      <w:r w:rsidRPr="00A77AF6">
        <w:t xml:space="preserve">concerned with strategy and the </w:t>
      </w:r>
      <w:r w:rsidR="007D364D" w:rsidRPr="00A77AF6">
        <w:t>long-term</w:t>
      </w:r>
      <w:r w:rsidR="00E82317">
        <w:t xml:space="preserve"> issues</w:t>
      </w:r>
      <w:r w:rsidRPr="00A77AF6">
        <w:t xml:space="preserve"> </w:t>
      </w:r>
      <w:r w:rsidR="00E82317">
        <w:t>in its running of a multi-</w:t>
      </w:r>
      <w:r w:rsidR="007D364D">
        <w:t>million-pound</w:t>
      </w:r>
      <w:r w:rsidR="00E82317">
        <w:t xml:space="preserve"> operational hospital</w:t>
      </w:r>
      <w:r w:rsidR="007D364D">
        <w:t>,</w:t>
      </w:r>
      <w:r w:rsidR="00E82317">
        <w:t xml:space="preserve"> and projects are a relatively small part of their remit</w:t>
      </w:r>
      <w:r w:rsidR="007D364D">
        <w:t>.  T</w:t>
      </w:r>
      <w:r w:rsidR="00E82317">
        <w:t xml:space="preserve">he </w:t>
      </w:r>
      <w:r w:rsidR="00BD7DC6" w:rsidRPr="00A77AF6">
        <w:t xml:space="preserve">apparent detachment of the trust board </w:t>
      </w:r>
      <w:r w:rsidRPr="00A77AF6">
        <w:rPr>
          <w:rFonts w:eastAsia="Times New Roman" w:cstheme="minorHAnsi"/>
          <w:color w:val="000000"/>
          <w:lang w:eastAsia="en-GB"/>
        </w:rPr>
        <w:t xml:space="preserve">from the day-to-day running of a project </w:t>
      </w:r>
      <w:r w:rsidR="00E82317">
        <w:rPr>
          <w:rFonts w:eastAsia="Times New Roman" w:cstheme="minorHAnsi"/>
          <w:color w:val="000000"/>
          <w:lang w:eastAsia="en-GB"/>
        </w:rPr>
        <w:t xml:space="preserve">may </w:t>
      </w:r>
      <w:r w:rsidR="007D364D">
        <w:rPr>
          <w:rFonts w:eastAsia="Times New Roman" w:cstheme="minorHAnsi"/>
          <w:color w:val="000000"/>
          <w:lang w:eastAsia="en-GB"/>
        </w:rPr>
        <w:t xml:space="preserve">stem from their need to focus on their </w:t>
      </w:r>
      <w:r w:rsidR="00BD7DC6" w:rsidRPr="00A77AF6">
        <w:rPr>
          <w:rFonts w:eastAsia="Times New Roman" w:cstheme="minorHAnsi"/>
          <w:color w:val="000000"/>
          <w:lang w:eastAsia="en-GB"/>
        </w:rPr>
        <w:t xml:space="preserve">extensive responsibilities </w:t>
      </w:r>
      <w:r w:rsidR="00E82317">
        <w:rPr>
          <w:rFonts w:eastAsia="Times New Roman" w:cstheme="minorHAnsi"/>
          <w:color w:val="000000"/>
          <w:lang w:eastAsia="en-GB"/>
        </w:rPr>
        <w:t xml:space="preserve">and </w:t>
      </w:r>
      <w:r w:rsidR="007D364D">
        <w:rPr>
          <w:rFonts w:eastAsia="Times New Roman" w:cstheme="minorHAnsi"/>
          <w:color w:val="000000"/>
          <w:lang w:eastAsia="en-GB"/>
        </w:rPr>
        <w:t xml:space="preserve">because </w:t>
      </w:r>
      <w:r w:rsidR="00E82317">
        <w:rPr>
          <w:rFonts w:eastAsia="Times New Roman" w:cstheme="minorHAnsi"/>
          <w:color w:val="000000"/>
          <w:lang w:eastAsia="en-GB"/>
        </w:rPr>
        <w:t xml:space="preserve">their expertise </w:t>
      </w:r>
      <w:r w:rsidR="007D364D">
        <w:rPr>
          <w:rFonts w:eastAsia="Times New Roman" w:cstheme="minorHAnsi"/>
          <w:color w:val="000000"/>
          <w:lang w:eastAsia="en-GB"/>
        </w:rPr>
        <w:t xml:space="preserve">is </w:t>
      </w:r>
      <w:r w:rsidR="00E82317">
        <w:rPr>
          <w:rFonts w:eastAsia="Times New Roman" w:cstheme="minorHAnsi"/>
          <w:color w:val="000000"/>
          <w:lang w:eastAsia="en-GB"/>
        </w:rPr>
        <w:t>in operational management</w:t>
      </w:r>
      <w:r w:rsidR="007D364D">
        <w:rPr>
          <w:rFonts w:eastAsia="Times New Roman" w:cstheme="minorHAnsi"/>
          <w:color w:val="000000"/>
          <w:lang w:eastAsia="en-GB"/>
        </w:rPr>
        <w:t xml:space="preserve">, therefore </w:t>
      </w:r>
      <w:r w:rsidRPr="00A77AF6">
        <w:rPr>
          <w:rFonts w:eastAsia="Times New Roman" w:cstheme="minorHAnsi"/>
          <w:color w:val="000000"/>
          <w:lang w:eastAsia="en-GB"/>
        </w:rPr>
        <w:t xml:space="preserve">they delegate the detail of the project to </w:t>
      </w:r>
      <w:r w:rsidR="00E82317">
        <w:rPr>
          <w:rFonts w:eastAsia="Times New Roman" w:cstheme="minorHAnsi"/>
          <w:color w:val="000000"/>
          <w:lang w:eastAsia="en-GB"/>
        </w:rPr>
        <w:t>others</w:t>
      </w:r>
      <w:r w:rsidRPr="00A77AF6">
        <w:rPr>
          <w:rFonts w:eastAsia="Times New Roman" w:cstheme="minorHAnsi"/>
          <w:color w:val="000000"/>
          <w:lang w:eastAsia="en-GB"/>
        </w:rPr>
        <w:t xml:space="preserve">.  </w:t>
      </w:r>
      <w:r w:rsidR="00E82317">
        <w:t xml:space="preserve">This delegation </w:t>
      </w:r>
      <w:r w:rsidR="0024269D" w:rsidRPr="00A77AF6">
        <w:t xml:space="preserve">of </w:t>
      </w:r>
      <w:r w:rsidR="007D364D">
        <w:t xml:space="preserve">the </w:t>
      </w:r>
      <w:r w:rsidR="0024269D" w:rsidRPr="00A77AF6">
        <w:t xml:space="preserve">running </w:t>
      </w:r>
      <w:r w:rsidR="007D364D">
        <w:t xml:space="preserve">of </w:t>
      </w:r>
      <w:r w:rsidR="0024269D" w:rsidRPr="00A77AF6">
        <w:t>project</w:t>
      </w:r>
      <w:r w:rsidR="007D364D">
        <w:t>s</w:t>
      </w:r>
      <w:r w:rsidR="0024269D" w:rsidRPr="00A77AF6">
        <w:t xml:space="preserve"> to project teams</w:t>
      </w:r>
      <w:r w:rsidR="00E82317">
        <w:t xml:space="preserve"> brings </w:t>
      </w:r>
      <w:r w:rsidR="007D364D">
        <w:t xml:space="preserve">the problems of agency </w:t>
      </w:r>
      <w:r w:rsidR="00E82317">
        <w:t>to trust boards</w:t>
      </w:r>
      <w:r w:rsidR="007D364D">
        <w:t xml:space="preserve">. </w:t>
      </w:r>
      <w:r w:rsidR="0024269D" w:rsidRPr="00A77AF6">
        <w:t xml:space="preserve"> </w:t>
      </w:r>
      <w:r w:rsidR="00E82317">
        <w:t>The</w:t>
      </w:r>
      <w:r w:rsidR="0024269D" w:rsidRPr="00A77AF6">
        <w:t xml:space="preserve"> trust boards’ </w:t>
      </w:r>
      <w:r w:rsidR="00E82317">
        <w:t xml:space="preserve">relative </w:t>
      </w:r>
      <w:r w:rsidR="0024269D" w:rsidRPr="00A77AF6">
        <w:t xml:space="preserve">lack of knowledge and experience </w:t>
      </w:r>
      <w:r w:rsidR="007D364D">
        <w:t xml:space="preserve">results in the </w:t>
      </w:r>
      <w:r w:rsidR="00E82317">
        <w:t xml:space="preserve">asymmetry of information </w:t>
      </w:r>
      <w:r w:rsidR="007D364D">
        <w:t>described by agency theory. This</w:t>
      </w:r>
      <w:r w:rsidR="00E82317">
        <w:t xml:space="preserve"> </w:t>
      </w:r>
      <w:r w:rsidR="0024269D" w:rsidRPr="00A77AF6">
        <w:t xml:space="preserve">means that they are not able to supervise the  </w:t>
      </w:r>
      <w:r w:rsidR="0024269D" w:rsidRPr="00A77AF6">
        <w:rPr>
          <w:rFonts w:eastAsia="Times New Roman" w:cstheme="minorHAnsi"/>
          <w:color w:val="000000"/>
          <w:lang w:eastAsia="en-GB"/>
        </w:rPr>
        <w:t>day-to-day running of projects</w:t>
      </w:r>
      <w:r w:rsidR="007D364D">
        <w:rPr>
          <w:rFonts w:eastAsia="Times New Roman" w:cstheme="minorHAnsi"/>
          <w:color w:val="000000"/>
          <w:lang w:eastAsia="en-GB"/>
        </w:rPr>
        <w:t xml:space="preserve"> and </w:t>
      </w:r>
      <w:r w:rsidR="0024269D" w:rsidRPr="00A77AF6">
        <w:rPr>
          <w:rFonts w:eastAsia="Times New Roman" w:cstheme="minorHAnsi"/>
          <w:color w:val="000000"/>
          <w:lang w:eastAsia="en-GB"/>
        </w:rPr>
        <w:t xml:space="preserve">this give the appearance of detachment from the project.     </w:t>
      </w:r>
    </w:p>
    <w:p w14:paraId="1F6B8106" w14:textId="77777777" w:rsidR="0024269D" w:rsidRPr="00A77AF6" w:rsidRDefault="0024269D" w:rsidP="00661757">
      <w:pPr>
        <w:pStyle w:val="Heading3"/>
        <w:spacing w:before="120" w:after="120"/>
      </w:pPr>
      <w:bookmarkStart w:id="189" w:name="_Toc36275142"/>
      <w:r w:rsidRPr="00A77AF6">
        <w:lastRenderedPageBreak/>
        <w:t>Project Board/ team</w:t>
      </w:r>
      <w:bookmarkEnd w:id="189"/>
      <w:r w:rsidRPr="00A77AF6">
        <w:t xml:space="preserve"> </w:t>
      </w:r>
    </w:p>
    <w:p w14:paraId="176641D3" w14:textId="5710A3DB" w:rsidR="00D12A07" w:rsidRDefault="0024269D" w:rsidP="00D12A07">
      <w:pPr>
        <w:spacing w:before="240" w:line="360" w:lineRule="auto"/>
        <w:rPr>
          <w:rFonts w:ascii="Calibri" w:hAnsi="Calibri" w:cs="Arial"/>
        </w:rPr>
      </w:pPr>
      <w:r w:rsidRPr="00A77AF6">
        <w:rPr>
          <w:rFonts w:ascii="Calibri" w:hAnsi="Calibri" w:cs="Arial"/>
        </w:rPr>
        <w:t xml:space="preserve"> </w:t>
      </w:r>
      <w:r w:rsidR="00D12A07">
        <w:rPr>
          <w:rFonts w:ascii="Calibri" w:hAnsi="Calibri" w:cs="Arial"/>
        </w:rPr>
        <w:t>The behaviour of the project board and project teams in relation to the trust board was identified several times in the interviews</w:t>
      </w:r>
      <w:r w:rsidR="00D12A07" w:rsidRPr="00D12A07">
        <w:rPr>
          <w:rFonts w:ascii="Calibri" w:hAnsi="Calibri" w:cs="Arial"/>
        </w:rPr>
        <w:t xml:space="preserve"> </w:t>
      </w:r>
      <w:r w:rsidR="00D12A07">
        <w:rPr>
          <w:rFonts w:ascii="Calibri" w:hAnsi="Calibri" w:cs="Arial"/>
        </w:rPr>
        <w:t>(</w:t>
      </w:r>
      <w:r w:rsidR="00D12A07" w:rsidRPr="00A77AF6">
        <w:rPr>
          <w:rFonts w:ascii="Calibri" w:hAnsi="Calibri" w:cs="Arial"/>
        </w:rPr>
        <w:t xml:space="preserve">Table 7-6). </w:t>
      </w:r>
      <w:r w:rsidR="00D12A07">
        <w:rPr>
          <w:rFonts w:ascii="Calibri" w:hAnsi="Calibri" w:cs="Arial"/>
        </w:rPr>
        <w:t xml:space="preserve">  </w:t>
      </w:r>
      <w:r w:rsidR="00D12A07" w:rsidRPr="00A77AF6">
        <w:rPr>
          <w:rFonts w:ascii="Calibri" w:hAnsi="Calibri" w:cs="Arial"/>
        </w:rPr>
        <w:t xml:space="preserve">The interface between the project and the corporate governance layers </w:t>
      </w:r>
      <w:r w:rsidR="00D12A07">
        <w:rPr>
          <w:rFonts w:ascii="Calibri" w:hAnsi="Calibri" w:cs="Arial"/>
        </w:rPr>
        <w:t>was</w:t>
      </w:r>
      <w:r w:rsidR="00D12A07" w:rsidRPr="00A77AF6">
        <w:rPr>
          <w:rFonts w:ascii="Calibri" w:hAnsi="Calibri" w:cs="Arial"/>
        </w:rPr>
        <w:t xml:space="preserve"> described as disconnected.  One respondent summarised the approach to governance as one of performing governance, rather than achieving it.  </w:t>
      </w:r>
    </w:p>
    <w:p w14:paraId="0257DCF4" w14:textId="6D164AF9" w:rsidR="0024269D" w:rsidRPr="00A77AF6" w:rsidRDefault="0024269D" w:rsidP="00F16494">
      <w:pPr>
        <w:pStyle w:val="Caption"/>
        <w:keepNext/>
        <w:spacing w:after="120"/>
      </w:pPr>
      <w:r w:rsidRPr="00A77AF6">
        <w:t xml:space="preserve">Table </w:t>
      </w:r>
      <w:fldSimple w:instr=" STYLEREF 1 \s ">
        <w:r w:rsidR="000441F7">
          <w:rPr>
            <w:noProof/>
          </w:rPr>
          <w:t>7</w:t>
        </w:r>
      </w:fldSimple>
      <w:r w:rsidR="00804112">
        <w:noBreakHyphen/>
      </w:r>
      <w:fldSimple w:instr=" SEQ Table \* ARABIC \s 1 ">
        <w:r w:rsidR="000441F7">
          <w:rPr>
            <w:noProof/>
          </w:rPr>
          <w:t>6</w:t>
        </w:r>
      </w:fldSimple>
      <w:r w:rsidRPr="00A77AF6">
        <w:t xml:space="preserve">: Coding of respondents’ views on </w:t>
      </w:r>
      <w:r w:rsidR="008B0E67" w:rsidRPr="00A77AF6">
        <w:t>p</w:t>
      </w:r>
      <w:r w:rsidRPr="00A77AF6">
        <w:t xml:space="preserve">roject </w:t>
      </w:r>
      <w:r w:rsidR="008B0E67" w:rsidRPr="00A77AF6">
        <w:t>b</w:t>
      </w:r>
      <w:r w:rsidRPr="00A77AF6">
        <w:t>oards/ teams</w:t>
      </w:r>
    </w:p>
    <w:tbl>
      <w:tblPr>
        <w:tblStyle w:val="TableGrid"/>
        <w:tblW w:w="0" w:type="auto"/>
        <w:tblLook w:val="04A0" w:firstRow="1" w:lastRow="0" w:firstColumn="1" w:lastColumn="0" w:noHBand="0" w:noVBand="1"/>
      </w:tblPr>
      <w:tblGrid>
        <w:gridCol w:w="1860"/>
        <w:gridCol w:w="4368"/>
        <w:gridCol w:w="983"/>
        <w:gridCol w:w="1148"/>
      </w:tblGrid>
      <w:tr w:rsidR="0024269D" w:rsidRPr="00A77AF6" w14:paraId="07CEE862" w14:textId="77777777" w:rsidTr="00B50A49">
        <w:tc>
          <w:tcPr>
            <w:tcW w:w="1860" w:type="dxa"/>
            <w:shd w:val="clear" w:color="auto" w:fill="D9D9D9" w:themeFill="background1" w:themeFillShade="D9"/>
          </w:tcPr>
          <w:p w14:paraId="7FC43309" w14:textId="77777777" w:rsidR="0024269D" w:rsidRPr="00A77AF6" w:rsidRDefault="0024269D" w:rsidP="00B50A49">
            <w:pPr>
              <w:spacing w:line="276" w:lineRule="auto"/>
              <w:rPr>
                <w:rFonts w:ascii="Calibri" w:hAnsi="Calibri" w:cs="Arial"/>
                <w:sz w:val="20"/>
              </w:rPr>
            </w:pPr>
            <w:r w:rsidRPr="00A77AF6">
              <w:rPr>
                <w:rFonts w:ascii="Calibri" w:hAnsi="Calibri" w:cs="Arial"/>
                <w:sz w:val="20"/>
              </w:rPr>
              <w:t>Main Code</w:t>
            </w:r>
          </w:p>
          <w:p w14:paraId="24E6DB88" w14:textId="77777777" w:rsidR="0024269D" w:rsidRPr="00A77AF6" w:rsidRDefault="0024269D" w:rsidP="00B50A49">
            <w:pPr>
              <w:spacing w:line="276" w:lineRule="auto"/>
              <w:rPr>
                <w:rFonts w:ascii="Calibri" w:hAnsi="Calibri" w:cs="Arial"/>
                <w:sz w:val="20"/>
              </w:rPr>
            </w:pPr>
          </w:p>
        </w:tc>
        <w:tc>
          <w:tcPr>
            <w:tcW w:w="4368" w:type="dxa"/>
            <w:tcBorders>
              <w:bottom w:val="single" w:sz="4" w:space="0" w:color="auto"/>
            </w:tcBorders>
            <w:shd w:val="clear" w:color="auto" w:fill="D9D9D9" w:themeFill="background1" w:themeFillShade="D9"/>
          </w:tcPr>
          <w:p w14:paraId="4780B32B" w14:textId="77777777" w:rsidR="0024269D" w:rsidRPr="00A77AF6" w:rsidRDefault="0024269D" w:rsidP="00B50A49">
            <w:pPr>
              <w:spacing w:line="276" w:lineRule="auto"/>
              <w:rPr>
                <w:rFonts w:ascii="Calibri" w:hAnsi="Calibri" w:cs="Arial"/>
                <w:sz w:val="20"/>
              </w:rPr>
            </w:pPr>
            <w:r w:rsidRPr="00A77AF6">
              <w:rPr>
                <w:rFonts w:ascii="Calibri" w:hAnsi="Calibri" w:cs="Arial"/>
                <w:sz w:val="20"/>
              </w:rPr>
              <w:t>Sub codes</w:t>
            </w:r>
          </w:p>
        </w:tc>
        <w:tc>
          <w:tcPr>
            <w:tcW w:w="983" w:type="dxa"/>
            <w:tcBorders>
              <w:bottom w:val="single" w:sz="4" w:space="0" w:color="auto"/>
            </w:tcBorders>
            <w:shd w:val="clear" w:color="auto" w:fill="D9D9D9" w:themeFill="background1" w:themeFillShade="D9"/>
          </w:tcPr>
          <w:p w14:paraId="2F664C64" w14:textId="77777777" w:rsidR="0024269D" w:rsidRPr="00A77AF6" w:rsidRDefault="0024269D" w:rsidP="00B50A49">
            <w:pPr>
              <w:spacing w:line="276" w:lineRule="auto"/>
              <w:rPr>
                <w:rFonts w:ascii="Calibri" w:hAnsi="Calibri" w:cs="Arial"/>
                <w:sz w:val="20"/>
              </w:rPr>
            </w:pPr>
            <w:r w:rsidRPr="00A77AF6">
              <w:rPr>
                <w:rFonts w:ascii="Calibri" w:hAnsi="Calibri" w:cs="Arial"/>
                <w:sz w:val="20"/>
              </w:rPr>
              <w:t>No. of mentions</w:t>
            </w:r>
          </w:p>
        </w:tc>
        <w:tc>
          <w:tcPr>
            <w:tcW w:w="1148" w:type="dxa"/>
            <w:shd w:val="clear" w:color="auto" w:fill="D9D9D9" w:themeFill="background1" w:themeFillShade="D9"/>
          </w:tcPr>
          <w:p w14:paraId="028D7505" w14:textId="77777777" w:rsidR="0024269D" w:rsidRPr="00A77AF6" w:rsidRDefault="0024269D" w:rsidP="00B50A49">
            <w:pPr>
              <w:spacing w:line="276" w:lineRule="auto"/>
              <w:rPr>
                <w:rFonts w:ascii="Calibri" w:hAnsi="Calibri" w:cs="Arial"/>
                <w:sz w:val="20"/>
              </w:rPr>
            </w:pPr>
            <w:r w:rsidRPr="00A77AF6">
              <w:rPr>
                <w:rFonts w:ascii="Calibri" w:hAnsi="Calibri" w:cs="Arial"/>
                <w:sz w:val="20"/>
              </w:rPr>
              <w:t>Total mentions</w:t>
            </w:r>
          </w:p>
        </w:tc>
      </w:tr>
      <w:tr w:rsidR="00E74948" w:rsidRPr="00A77AF6" w14:paraId="63B96594" w14:textId="77777777" w:rsidTr="00B50A49">
        <w:trPr>
          <w:trHeight w:val="1685"/>
        </w:trPr>
        <w:tc>
          <w:tcPr>
            <w:tcW w:w="1860" w:type="dxa"/>
            <w:vMerge w:val="restart"/>
            <w:tcBorders>
              <w:right w:val="single" w:sz="4" w:space="0" w:color="auto"/>
            </w:tcBorders>
          </w:tcPr>
          <w:p w14:paraId="27B5A77C" w14:textId="6DB95159" w:rsidR="00E74948" w:rsidRPr="00A77AF6" w:rsidRDefault="00E74948" w:rsidP="00B50A49">
            <w:pPr>
              <w:spacing w:line="276" w:lineRule="auto"/>
              <w:rPr>
                <w:rFonts w:ascii="Calibri" w:hAnsi="Calibri" w:cs="Arial"/>
                <w:sz w:val="20"/>
              </w:rPr>
            </w:pPr>
            <w:r w:rsidRPr="00A77AF6">
              <w:rPr>
                <w:rFonts w:ascii="Calibri" w:hAnsi="Calibri" w:cs="Arial"/>
                <w:sz w:val="20"/>
              </w:rPr>
              <w:t xml:space="preserve">Project </w:t>
            </w:r>
            <w:r w:rsidR="00D12A07">
              <w:rPr>
                <w:rFonts w:ascii="Calibri" w:hAnsi="Calibri" w:cs="Arial"/>
                <w:sz w:val="20"/>
              </w:rPr>
              <w:t>b</w:t>
            </w:r>
            <w:r w:rsidRPr="00A77AF6">
              <w:rPr>
                <w:rFonts w:ascii="Calibri" w:hAnsi="Calibri" w:cs="Arial"/>
                <w:sz w:val="20"/>
              </w:rPr>
              <w:t xml:space="preserve">oard/ </w:t>
            </w:r>
            <w:r w:rsidR="00D12A07">
              <w:rPr>
                <w:rFonts w:ascii="Calibri" w:hAnsi="Calibri" w:cs="Arial"/>
                <w:sz w:val="20"/>
              </w:rPr>
              <w:t>p</w:t>
            </w:r>
            <w:r w:rsidRPr="00A77AF6">
              <w:rPr>
                <w:rFonts w:ascii="Calibri" w:hAnsi="Calibri" w:cs="Arial"/>
                <w:sz w:val="20"/>
              </w:rPr>
              <w:t xml:space="preserve">roject team </w:t>
            </w:r>
          </w:p>
        </w:tc>
        <w:tc>
          <w:tcPr>
            <w:tcW w:w="4368" w:type="dxa"/>
            <w:tcBorders>
              <w:left w:val="single" w:sz="4" w:space="0" w:color="auto"/>
              <w:bottom w:val="nil"/>
              <w:right w:val="single" w:sz="4" w:space="0" w:color="auto"/>
            </w:tcBorders>
          </w:tcPr>
          <w:p w14:paraId="7FA3970D" w14:textId="77777777" w:rsidR="00E74948" w:rsidRPr="00A77AF6" w:rsidRDefault="00E74948" w:rsidP="00B50A49">
            <w:pPr>
              <w:spacing w:line="276" w:lineRule="auto"/>
              <w:rPr>
                <w:rFonts w:ascii="Calibri" w:hAnsi="Calibri" w:cs="Arial"/>
                <w:sz w:val="20"/>
              </w:rPr>
            </w:pPr>
            <w:r w:rsidRPr="00A77AF6">
              <w:rPr>
                <w:rFonts w:ascii="Calibri" w:hAnsi="Calibri" w:cs="Arial"/>
                <w:sz w:val="20"/>
              </w:rPr>
              <w:t xml:space="preserve">Managing upwards </w:t>
            </w:r>
          </w:p>
          <w:p w14:paraId="41E6D02C" w14:textId="77777777" w:rsidR="00E74948" w:rsidRPr="00A77AF6" w:rsidRDefault="00E74948" w:rsidP="00B50A49">
            <w:pPr>
              <w:spacing w:line="276" w:lineRule="auto"/>
              <w:rPr>
                <w:rFonts w:ascii="Calibri" w:hAnsi="Calibri" w:cs="Arial"/>
                <w:sz w:val="20"/>
              </w:rPr>
            </w:pPr>
            <w:r w:rsidRPr="00A77AF6">
              <w:rPr>
                <w:rFonts w:ascii="Calibri" w:hAnsi="Calibri" w:cs="Arial"/>
                <w:sz w:val="20"/>
              </w:rPr>
              <w:t>Positive messaging upwards to protect colleagues</w:t>
            </w:r>
          </w:p>
          <w:p w14:paraId="4ECD0AF7" w14:textId="77777777" w:rsidR="00E74948" w:rsidRPr="00A77AF6" w:rsidRDefault="00E74948" w:rsidP="00B50A49">
            <w:pPr>
              <w:spacing w:line="276" w:lineRule="auto"/>
              <w:rPr>
                <w:rFonts w:ascii="Calibri" w:hAnsi="Calibri" w:cs="Arial"/>
                <w:sz w:val="20"/>
              </w:rPr>
            </w:pPr>
            <w:r w:rsidRPr="00A77AF6">
              <w:rPr>
                <w:rFonts w:ascii="Calibri" w:hAnsi="Calibri" w:cs="Arial"/>
                <w:sz w:val="20"/>
              </w:rPr>
              <w:t>Positive messaging upwards – it’s under control</w:t>
            </w:r>
          </w:p>
          <w:p w14:paraId="2B2A7D8C" w14:textId="49FDD8D1" w:rsidR="00E74948" w:rsidRPr="00A77AF6" w:rsidRDefault="00E74948" w:rsidP="00B50A49">
            <w:pPr>
              <w:spacing w:line="276" w:lineRule="auto"/>
              <w:rPr>
                <w:rFonts w:ascii="Calibri" w:hAnsi="Calibri" w:cs="Arial"/>
                <w:sz w:val="20"/>
              </w:rPr>
            </w:pPr>
            <w:r w:rsidRPr="00A77AF6">
              <w:rPr>
                <w:rFonts w:ascii="Calibri" w:hAnsi="Calibri" w:cs="Arial"/>
                <w:sz w:val="20"/>
              </w:rPr>
              <w:t xml:space="preserve">Managed performance for </w:t>
            </w:r>
            <w:r w:rsidR="008B0E67" w:rsidRPr="00A77AF6">
              <w:rPr>
                <w:rFonts w:ascii="Calibri" w:hAnsi="Calibri" w:cs="Arial"/>
                <w:sz w:val="20"/>
              </w:rPr>
              <w:t>t</w:t>
            </w:r>
            <w:r w:rsidRPr="00A77AF6">
              <w:rPr>
                <w:rFonts w:ascii="Calibri" w:hAnsi="Calibri" w:cs="Arial"/>
                <w:sz w:val="20"/>
              </w:rPr>
              <w:t xml:space="preserve">rust </w:t>
            </w:r>
            <w:r w:rsidR="008B0E67" w:rsidRPr="00A77AF6">
              <w:rPr>
                <w:rFonts w:ascii="Calibri" w:hAnsi="Calibri" w:cs="Arial"/>
                <w:sz w:val="20"/>
              </w:rPr>
              <w:t>b</w:t>
            </w:r>
            <w:r w:rsidRPr="00A77AF6">
              <w:rPr>
                <w:rFonts w:ascii="Calibri" w:hAnsi="Calibri" w:cs="Arial"/>
                <w:sz w:val="20"/>
              </w:rPr>
              <w:t>oard</w:t>
            </w:r>
          </w:p>
          <w:p w14:paraId="7EE70D23" w14:textId="31A4871C" w:rsidR="00E74948" w:rsidRPr="00A77AF6" w:rsidRDefault="00E74948" w:rsidP="00B50A49">
            <w:pPr>
              <w:spacing w:line="276" w:lineRule="auto"/>
              <w:rPr>
                <w:rFonts w:ascii="Calibri" w:hAnsi="Calibri" w:cs="Arial"/>
                <w:sz w:val="20"/>
              </w:rPr>
            </w:pPr>
            <w:r w:rsidRPr="00A77AF6">
              <w:rPr>
                <w:rFonts w:ascii="Calibri" w:hAnsi="Calibri" w:cs="Arial"/>
                <w:sz w:val="20"/>
              </w:rPr>
              <w:t xml:space="preserve">Gives the </w:t>
            </w:r>
            <w:r w:rsidR="008B0E67" w:rsidRPr="00A77AF6">
              <w:rPr>
                <w:rFonts w:ascii="Calibri" w:hAnsi="Calibri" w:cs="Arial"/>
                <w:sz w:val="20"/>
              </w:rPr>
              <w:t>t</w:t>
            </w:r>
            <w:r w:rsidRPr="00A77AF6">
              <w:rPr>
                <w:rFonts w:ascii="Calibri" w:hAnsi="Calibri" w:cs="Arial"/>
                <w:sz w:val="20"/>
              </w:rPr>
              <w:t xml:space="preserve">rust </w:t>
            </w:r>
            <w:r w:rsidR="008B0E67" w:rsidRPr="00A77AF6">
              <w:rPr>
                <w:rFonts w:ascii="Calibri" w:hAnsi="Calibri" w:cs="Arial"/>
                <w:sz w:val="20"/>
              </w:rPr>
              <w:t>b</w:t>
            </w:r>
            <w:r w:rsidRPr="00A77AF6">
              <w:rPr>
                <w:rFonts w:ascii="Calibri" w:hAnsi="Calibri" w:cs="Arial"/>
                <w:sz w:val="20"/>
              </w:rPr>
              <w:t>oard what they want to hear until it’s too late</w:t>
            </w:r>
          </w:p>
        </w:tc>
        <w:tc>
          <w:tcPr>
            <w:tcW w:w="983" w:type="dxa"/>
            <w:tcBorders>
              <w:left w:val="single" w:sz="4" w:space="0" w:color="auto"/>
              <w:bottom w:val="nil"/>
            </w:tcBorders>
          </w:tcPr>
          <w:p w14:paraId="00EFE527" w14:textId="431963A2" w:rsidR="00E74948" w:rsidRPr="00A77AF6" w:rsidRDefault="00B50A49" w:rsidP="00B50A49">
            <w:pPr>
              <w:spacing w:line="276" w:lineRule="auto"/>
              <w:rPr>
                <w:rFonts w:ascii="Calibri" w:hAnsi="Calibri" w:cs="Arial"/>
                <w:sz w:val="20"/>
              </w:rPr>
            </w:pPr>
            <w:r w:rsidRPr="00A77AF6">
              <w:rPr>
                <w:rFonts w:ascii="Calibri" w:hAnsi="Calibri" w:cs="Arial"/>
                <w:sz w:val="20"/>
              </w:rPr>
              <w:t>7</w:t>
            </w:r>
          </w:p>
        </w:tc>
        <w:tc>
          <w:tcPr>
            <w:tcW w:w="1148" w:type="dxa"/>
            <w:vMerge w:val="restart"/>
            <w:vAlign w:val="center"/>
          </w:tcPr>
          <w:p w14:paraId="0E36B48E" w14:textId="6AD2695B" w:rsidR="00E74948" w:rsidRPr="00A77AF6" w:rsidRDefault="00B50A49" w:rsidP="00B50A49">
            <w:pPr>
              <w:spacing w:line="276" w:lineRule="auto"/>
              <w:jc w:val="center"/>
              <w:rPr>
                <w:rFonts w:ascii="Calibri" w:hAnsi="Calibri" w:cs="Arial"/>
                <w:sz w:val="20"/>
              </w:rPr>
            </w:pPr>
            <w:r w:rsidRPr="00A77AF6">
              <w:rPr>
                <w:rFonts w:ascii="Calibri" w:hAnsi="Calibri" w:cs="Arial"/>
                <w:sz w:val="20"/>
              </w:rPr>
              <w:t>9</w:t>
            </w:r>
          </w:p>
        </w:tc>
      </w:tr>
      <w:tr w:rsidR="0024269D" w:rsidRPr="00A77AF6" w14:paraId="40D5A02C" w14:textId="77777777" w:rsidTr="00B50A49">
        <w:tc>
          <w:tcPr>
            <w:tcW w:w="1860" w:type="dxa"/>
            <w:vMerge/>
            <w:tcBorders>
              <w:right w:val="single" w:sz="4" w:space="0" w:color="auto"/>
            </w:tcBorders>
          </w:tcPr>
          <w:p w14:paraId="59B029D9" w14:textId="77777777" w:rsidR="0024269D" w:rsidRPr="00A77AF6" w:rsidRDefault="0024269D" w:rsidP="00B50A49">
            <w:pPr>
              <w:spacing w:line="276" w:lineRule="auto"/>
              <w:rPr>
                <w:rFonts w:ascii="Calibri" w:hAnsi="Calibri" w:cs="Arial"/>
                <w:sz w:val="20"/>
              </w:rPr>
            </w:pPr>
          </w:p>
        </w:tc>
        <w:tc>
          <w:tcPr>
            <w:tcW w:w="4368" w:type="dxa"/>
            <w:tcBorders>
              <w:top w:val="nil"/>
              <w:left w:val="single" w:sz="4" w:space="0" w:color="auto"/>
              <w:bottom w:val="dotted" w:sz="4" w:space="0" w:color="auto"/>
              <w:right w:val="single" w:sz="4" w:space="0" w:color="auto"/>
            </w:tcBorders>
          </w:tcPr>
          <w:p w14:paraId="56423E93" w14:textId="77777777" w:rsidR="0024269D" w:rsidRPr="00A77AF6" w:rsidRDefault="0024269D" w:rsidP="00B50A49">
            <w:pPr>
              <w:spacing w:line="276" w:lineRule="auto"/>
              <w:rPr>
                <w:rFonts w:ascii="Calibri" w:hAnsi="Calibri" w:cs="Arial"/>
                <w:sz w:val="20"/>
              </w:rPr>
            </w:pPr>
            <w:r w:rsidRPr="00A77AF6">
              <w:rPr>
                <w:rFonts w:ascii="Calibri" w:hAnsi="Calibri" w:cs="Arial"/>
                <w:sz w:val="20"/>
              </w:rPr>
              <w:t>Fear of reporting bad news</w:t>
            </w:r>
          </w:p>
        </w:tc>
        <w:tc>
          <w:tcPr>
            <w:tcW w:w="983" w:type="dxa"/>
            <w:tcBorders>
              <w:top w:val="nil"/>
              <w:left w:val="single" w:sz="4" w:space="0" w:color="auto"/>
              <w:bottom w:val="dotted" w:sz="4" w:space="0" w:color="auto"/>
            </w:tcBorders>
          </w:tcPr>
          <w:p w14:paraId="466777F3" w14:textId="4010130C" w:rsidR="0024269D" w:rsidRPr="00A77AF6" w:rsidRDefault="0024269D" w:rsidP="00B50A49">
            <w:pPr>
              <w:spacing w:line="276" w:lineRule="auto"/>
              <w:rPr>
                <w:rFonts w:ascii="Calibri" w:hAnsi="Calibri" w:cs="Arial"/>
                <w:sz w:val="20"/>
              </w:rPr>
            </w:pPr>
          </w:p>
        </w:tc>
        <w:tc>
          <w:tcPr>
            <w:tcW w:w="1148" w:type="dxa"/>
            <w:vMerge/>
          </w:tcPr>
          <w:p w14:paraId="0A718A5C" w14:textId="77777777" w:rsidR="0024269D" w:rsidRPr="00A77AF6" w:rsidRDefault="0024269D" w:rsidP="00B50A49">
            <w:pPr>
              <w:spacing w:line="276" w:lineRule="auto"/>
              <w:rPr>
                <w:rFonts w:ascii="Calibri" w:hAnsi="Calibri" w:cs="Arial"/>
                <w:sz w:val="20"/>
              </w:rPr>
            </w:pPr>
          </w:p>
        </w:tc>
      </w:tr>
      <w:tr w:rsidR="0024269D" w:rsidRPr="00A77AF6" w14:paraId="78EF6957" w14:textId="77777777" w:rsidTr="00B50A49">
        <w:tc>
          <w:tcPr>
            <w:tcW w:w="1860" w:type="dxa"/>
            <w:vMerge/>
            <w:tcBorders>
              <w:right w:val="single" w:sz="4" w:space="0" w:color="auto"/>
            </w:tcBorders>
          </w:tcPr>
          <w:p w14:paraId="5E6E8D07" w14:textId="77777777" w:rsidR="0024269D" w:rsidRPr="00A77AF6" w:rsidRDefault="0024269D" w:rsidP="00B50A49">
            <w:pPr>
              <w:spacing w:line="276" w:lineRule="auto"/>
              <w:rPr>
                <w:rFonts w:ascii="Calibri" w:hAnsi="Calibri" w:cs="Arial"/>
                <w:sz w:val="20"/>
              </w:rPr>
            </w:pPr>
          </w:p>
        </w:tc>
        <w:tc>
          <w:tcPr>
            <w:tcW w:w="4368" w:type="dxa"/>
            <w:tcBorders>
              <w:top w:val="dotted" w:sz="4" w:space="0" w:color="auto"/>
              <w:left w:val="single" w:sz="4" w:space="0" w:color="auto"/>
              <w:bottom w:val="dotted" w:sz="4" w:space="0" w:color="auto"/>
              <w:right w:val="single" w:sz="4" w:space="0" w:color="auto"/>
            </w:tcBorders>
          </w:tcPr>
          <w:p w14:paraId="5225259A" w14:textId="77777777" w:rsidR="0024269D" w:rsidRPr="00A77AF6" w:rsidRDefault="0024269D" w:rsidP="00B50A49">
            <w:pPr>
              <w:spacing w:line="276" w:lineRule="auto"/>
              <w:rPr>
                <w:rFonts w:ascii="Calibri" w:hAnsi="Calibri" w:cs="Arial"/>
                <w:sz w:val="20"/>
              </w:rPr>
            </w:pPr>
            <w:r w:rsidRPr="00A77AF6">
              <w:rPr>
                <w:rFonts w:ascii="Calibri" w:hAnsi="Calibri" w:cs="Arial"/>
                <w:sz w:val="20"/>
              </w:rPr>
              <w:t>Interested in detail</w:t>
            </w:r>
          </w:p>
        </w:tc>
        <w:tc>
          <w:tcPr>
            <w:tcW w:w="983" w:type="dxa"/>
            <w:tcBorders>
              <w:top w:val="dotted" w:sz="4" w:space="0" w:color="auto"/>
              <w:left w:val="single" w:sz="4" w:space="0" w:color="auto"/>
              <w:bottom w:val="dotted" w:sz="4" w:space="0" w:color="auto"/>
            </w:tcBorders>
          </w:tcPr>
          <w:p w14:paraId="76205989" w14:textId="77777777" w:rsidR="0024269D" w:rsidRPr="00A77AF6" w:rsidRDefault="0024269D" w:rsidP="00B50A49">
            <w:pPr>
              <w:spacing w:line="276" w:lineRule="auto"/>
              <w:rPr>
                <w:rFonts w:ascii="Calibri" w:hAnsi="Calibri" w:cs="Arial"/>
                <w:sz w:val="20"/>
              </w:rPr>
            </w:pPr>
            <w:r w:rsidRPr="00A77AF6">
              <w:rPr>
                <w:rFonts w:ascii="Calibri" w:hAnsi="Calibri" w:cs="Arial"/>
                <w:sz w:val="20"/>
              </w:rPr>
              <w:t>1</w:t>
            </w:r>
          </w:p>
        </w:tc>
        <w:tc>
          <w:tcPr>
            <w:tcW w:w="1148" w:type="dxa"/>
            <w:vMerge/>
          </w:tcPr>
          <w:p w14:paraId="5217DFBE" w14:textId="77777777" w:rsidR="0024269D" w:rsidRPr="00A77AF6" w:rsidRDefault="0024269D" w:rsidP="00B50A49">
            <w:pPr>
              <w:spacing w:line="276" w:lineRule="auto"/>
              <w:rPr>
                <w:rFonts w:ascii="Calibri" w:hAnsi="Calibri" w:cs="Arial"/>
                <w:sz w:val="20"/>
              </w:rPr>
            </w:pPr>
          </w:p>
        </w:tc>
      </w:tr>
      <w:tr w:rsidR="0024269D" w:rsidRPr="00A77AF6" w14:paraId="1DA752AF" w14:textId="77777777" w:rsidTr="00B50A49">
        <w:tc>
          <w:tcPr>
            <w:tcW w:w="1860" w:type="dxa"/>
            <w:vMerge/>
            <w:tcBorders>
              <w:right w:val="single" w:sz="4" w:space="0" w:color="auto"/>
            </w:tcBorders>
          </w:tcPr>
          <w:p w14:paraId="13A92F56" w14:textId="77777777" w:rsidR="0024269D" w:rsidRPr="00A77AF6" w:rsidRDefault="0024269D" w:rsidP="00B50A49">
            <w:pPr>
              <w:spacing w:line="276" w:lineRule="auto"/>
              <w:rPr>
                <w:rFonts w:ascii="Calibri" w:hAnsi="Calibri" w:cs="Arial"/>
                <w:sz w:val="20"/>
              </w:rPr>
            </w:pPr>
          </w:p>
        </w:tc>
        <w:tc>
          <w:tcPr>
            <w:tcW w:w="4368" w:type="dxa"/>
            <w:tcBorders>
              <w:top w:val="dotted" w:sz="4" w:space="0" w:color="auto"/>
              <w:left w:val="single" w:sz="4" w:space="0" w:color="auto"/>
              <w:right w:val="single" w:sz="4" w:space="0" w:color="auto"/>
            </w:tcBorders>
          </w:tcPr>
          <w:p w14:paraId="5C89AC1D" w14:textId="77777777" w:rsidR="0024269D" w:rsidRPr="00A77AF6" w:rsidRDefault="0024269D" w:rsidP="00B50A49">
            <w:pPr>
              <w:spacing w:line="276" w:lineRule="auto"/>
              <w:rPr>
                <w:rFonts w:ascii="Calibri" w:hAnsi="Calibri" w:cs="Arial"/>
                <w:sz w:val="20"/>
              </w:rPr>
            </w:pPr>
            <w:r w:rsidRPr="00A77AF6">
              <w:rPr>
                <w:rFonts w:ascii="Calibri" w:hAnsi="Calibri" w:cs="Arial"/>
                <w:sz w:val="20"/>
              </w:rPr>
              <w:t>Younger/ less experienced project personnel do not understand the constraints</w:t>
            </w:r>
          </w:p>
        </w:tc>
        <w:tc>
          <w:tcPr>
            <w:tcW w:w="983" w:type="dxa"/>
            <w:tcBorders>
              <w:top w:val="dotted" w:sz="4" w:space="0" w:color="auto"/>
              <w:left w:val="single" w:sz="4" w:space="0" w:color="auto"/>
            </w:tcBorders>
          </w:tcPr>
          <w:p w14:paraId="289CC561" w14:textId="77777777" w:rsidR="0024269D" w:rsidRPr="00A77AF6" w:rsidRDefault="0024269D" w:rsidP="00B50A49">
            <w:pPr>
              <w:spacing w:line="276" w:lineRule="auto"/>
              <w:rPr>
                <w:rFonts w:ascii="Calibri" w:hAnsi="Calibri" w:cs="Arial"/>
                <w:sz w:val="20"/>
              </w:rPr>
            </w:pPr>
            <w:r w:rsidRPr="00A77AF6">
              <w:rPr>
                <w:rFonts w:ascii="Calibri" w:hAnsi="Calibri" w:cs="Arial"/>
                <w:sz w:val="20"/>
              </w:rPr>
              <w:t>1</w:t>
            </w:r>
          </w:p>
        </w:tc>
        <w:tc>
          <w:tcPr>
            <w:tcW w:w="1148" w:type="dxa"/>
            <w:vMerge/>
          </w:tcPr>
          <w:p w14:paraId="214CE2D9" w14:textId="77777777" w:rsidR="0024269D" w:rsidRPr="00A77AF6" w:rsidRDefault="0024269D" w:rsidP="00B50A49">
            <w:pPr>
              <w:spacing w:line="276" w:lineRule="auto"/>
              <w:rPr>
                <w:rFonts w:ascii="Calibri" w:hAnsi="Calibri" w:cs="Arial"/>
                <w:sz w:val="20"/>
              </w:rPr>
            </w:pPr>
          </w:p>
        </w:tc>
      </w:tr>
    </w:tbl>
    <w:p w14:paraId="7C608B75" w14:textId="089A3AEB" w:rsidR="00EB0BE1" w:rsidRDefault="00D12A07" w:rsidP="00E770E3">
      <w:pPr>
        <w:spacing w:before="240" w:line="360" w:lineRule="auto"/>
        <w:rPr>
          <w:rFonts w:ascii="Calibri" w:hAnsi="Calibri" w:cs="Arial"/>
        </w:rPr>
      </w:pPr>
      <w:r>
        <w:rPr>
          <w:rFonts w:ascii="Calibri" w:hAnsi="Calibri" w:cs="Arial"/>
        </w:rPr>
        <w:t xml:space="preserve">Respondents suggested that the </w:t>
      </w:r>
      <w:r w:rsidR="008B0E67" w:rsidRPr="00A77AF6">
        <w:rPr>
          <w:rFonts w:ascii="Calibri" w:hAnsi="Calibri" w:cs="Arial"/>
        </w:rPr>
        <w:t>p</w:t>
      </w:r>
      <w:r w:rsidR="0024269D" w:rsidRPr="00A77AF6">
        <w:rPr>
          <w:rFonts w:ascii="Calibri" w:hAnsi="Calibri" w:cs="Arial"/>
        </w:rPr>
        <w:t xml:space="preserve">roject </w:t>
      </w:r>
      <w:r w:rsidR="008B0E67" w:rsidRPr="00A77AF6">
        <w:rPr>
          <w:rFonts w:ascii="Calibri" w:hAnsi="Calibri" w:cs="Arial"/>
        </w:rPr>
        <w:t>b</w:t>
      </w:r>
      <w:r w:rsidR="0024269D" w:rsidRPr="00A77AF6">
        <w:rPr>
          <w:rFonts w:ascii="Calibri" w:hAnsi="Calibri" w:cs="Arial"/>
        </w:rPr>
        <w:t xml:space="preserve">oard/ team </w:t>
      </w:r>
      <w:r>
        <w:rPr>
          <w:rFonts w:ascii="Calibri" w:hAnsi="Calibri" w:cs="Arial"/>
        </w:rPr>
        <w:t xml:space="preserve">were active in managing the flow of information upward to the trust board.   </w:t>
      </w:r>
      <w:r w:rsidR="0024269D" w:rsidRPr="00A77AF6">
        <w:rPr>
          <w:rFonts w:ascii="Calibri" w:hAnsi="Calibri" w:cs="Arial"/>
        </w:rPr>
        <w:t xml:space="preserve">Project Boards </w:t>
      </w:r>
      <w:r>
        <w:rPr>
          <w:rFonts w:ascii="Calibri" w:hAnsi="Calibri" w:cs="Arial"/>
        </w:rPr>
        <w:t xml:space="preserve">were said to </w:t>
      </w:r>
      <w:r w:rsidR="0024269D" w:rsidRPr="00A77AF6">
        <w:rPr>
          <w:rFonts w:ascii="Calibri" w:hAnsi="Calibri" w:cs="Arial"/>
        </w:rPr>
        <w:t xml:space="preserve">put a positive slant on </w:t>
      </w:r>
      <w:r>
        <w:rPr>
          <w:rFonts w:ascii="Calibri" w:hAnsi="Calibri" w:cs="Arial"/>
        </w:rPr>
        <w:t xml:space="preserve">their </w:t>
      </w:r>
      <w:r w:rsidR="0024269D" w:rsidRPr="00A77AF6">
        <w:rPr>
          <w:rFonts w:ascii="Calibri" w:hAnsi="Calibri" w:cs="Arial"/>
        </w:rPr>
        <w:t xml:space="preserve">reporting to the trust board in order to convey the message that the project is </w:t>
      </w:r>
      <w:r>
        <w:rPr>
          <w:rFonts w:ascii="Calibri" w:hAnsi="Calibri" w:cs="Arial"/>
        </w:rPr>
        <w:t xml:space="preserve">under control and </w:t>
      </w:r>
      <w:r w:rsidR="0024269D" w:rsidRPr="00A77AF6">
        <w:rPr>
          <w:rFonts w:ascii="Calibri" w:hAnsi="Calibri" w:cs="Arial"/>
        </w:rPr>
        <w:t xml:space="preserve">progressing </w:t>
      </w:r>
      <w:r>
        <w:rPr>
          <w:rFonts w:ascii="Calibri" w:hAnsi="Calibri" w:cs="Arial"/>
        </w:rPr>
        <w:t xml:space="preserve">well.  This was described as </w:t>
      </w:r>
      <w:r w:rsidR="0024269D" w:rsidRPr="00A77AF6">
        <w:rPr>
          <w:rFonts w:ascii="Calibri" w:hAnsi="Calibri" w:cs="Arial"/>
        </w:rPr>
        <w:t xml:space="preserve">giving the </w:t>
      </w:r>
      <w:r w:rsidR="008B0E67" w:rsidRPr="00A77AF6">
        <w:rPr>
          <w:rFonts w:ascii="Calibri" w:hAnsi="Calibri" w:cs="Arial"/>
        </w:rPr>
        <w:t>t</w:t>
      </w:r>
      <w:r w:rsidR="0024269D" w:rsidRPr="00A77AF6">
        <w:rPr>
          <w:rFonts w:ascii="Calibri" w:hAnsi="Calibri" w:cs="Arial"/>
        </w:rPr>
        <w:t xml:space="preserve">rust </w:t>
      </w:r>
      <w:r w:rsidR="008B0E67" w:rsidRPr="00A77AF6">
        <w:rPr>
          <w:rFonts w:ascii="Calibri" w:hAnsi="Calibri" w:cs="Arial"/>
        </w:rPr>
        <w:t>b</w:t>
      </w:r>
      <w:r w:rsidR="0024269D" w:rsidRPr="00A77AF6">
        <w:rPr>
          <w:rFonts w:ascii="Calibri" w:hAnsi="Calibri" w:cs="Arial"/>
        </w:rPr>
        <w:t xml:space="preserve">oard </w:t>
      </w:r>
      <w:r w:rsidR="00055DF4">
        <w:rPr>
          <w:rFonts w:ascii="Calibri" w:hAnsi="Calibri" w:cs="Arial"/>
        </w:rPr>
        <w:t>‘</w:t>
      </w:r>
      <w:r w:rsidR="0024269D" w:rsidRPr="00A77AF6">
        <w:rPr>
          <w:rFonts w:ascii="Calibri" w:hAnsi="Calibri" w:cs="Arial"/>
        </w:rPr>
        <w:t>what they wanted to hear until it was too late</w:t>
      </w:r>
      <w:r w:rsidR="00055DF4">
        <w:rPr>
          <w:rFonts w:ascii="Calibri" w:hAnsi="Calibri" w:cs="Arial"/>
        </w:rPr>
        <w:t>’ for intervention</w:t>
      </w:r>
      <w:r w:rsidR="0024269D" w:rsidRPr="00A77AF6">
        <w:rPr>
          <w:rFonts w:ascii="Calibri" w:hAnsi="Calibri" w:cs="Arial"/>
        </w:rPr>
        <w:t xml:space="preserve">.  </w:t>
      </w:r>
      <w:r>
        <w:rPr>
          <w:rFonts w:ascii="Calibri" w:hAnsi="Calibri" w:cs="Arial"/>
        </w:rPr>
        <w:t xml:space="preserve">Some interviewees reported that this behaviour was driven by the project board/ team’s </w:t>
      </w:r>
      <w:r w:rsidR="0024269D" w:rsidRPr="00A77AF6">
        <w:rPr>
          <w:rFonts w:ascii="Calibri" w:hAnsi="Calibri" w:cs="Arial"/>
        </w:rPr>
        <w:t xml:space="preserve">fear of giving bad news to the </w:t>
      </w:r>
      <w:r w:rsidR="008B0E67" w:rsidRPr="00A77AF6">
        <w:rPr>
          <w:rFonts w:ascii="Calibri" w:hAnsi="Calibri" w:cs="Arial"/>
        </w:rPr>
        <w:t>t</w:t>
      </w:r>
      <w:r w:rsidR="0024269D" w:rsidRPr="00A77AF6">
        <w:rPr>
          <w:rFonts w:ascii="Calibri" w:hAnsi="Calibri" w:cs="Arial"/>
        </w:rPr>
        <w:t xml:space="preserve">rust </w:t>
      </w:r>
      <w:r w:rsidR="008B0E67" w:rsidRPr="00A77AF6">
        <w:rPr>
          <w:rFonts w:ascii="Calibri" w:hAnsi="Calibri" w:cs="Arial"/>
        </w:rPr>
        <w:t>b</w:t>
      </w:r>
      <w:r w:rsidR="0024269D" w:rsidRPr="00A77AF6">
        <w:rPr>
          <w:rFonts w:ascii="Calibri" w:hAnsi="Calibri" w:cs="Arial"/>
        </w:rPr>
        <w:t xml:space="preserve">oard </w:t>
      </w:r>
      <w:r>
        <w:rPr>
          <w:rFonts w:ascii="Calibri" w:hAnsi="Calibri" w:cs="Arial"/>
        </w:rPr>
        <w:t xml:space="preserve">in general (Experts A and </w:t>
      </w:r>
      <w:r w:rsidR="00EB0BE1">
        <w:rPr>
          <w:rFonts w:ascii="Calibri" w:hAnsi="Calibri" w:cs="Arial"/>
        </w:rPr>
        <w:t>F</w:t>
      </w:r>
      <w:r>
        <w:rPr>
          <w:rFonts w:ascii="Calibri" w:hAnsi="Calibri" w:cs="Arial"/>
        </w:rPr>
        <w:t xml:space="preserve">) </w:t>
      </w:r>
      <w:r w:rsidR="0024269D" w:rsidRPr="00A77AF6">
        <w:rPr>
          <w:rFonts w:ascii="Calibri" w:hAnsi="Calibri" w:cs="Arial"/>
        </w:rPr>
        <w:t xml:space="preserve">and </w:t>
      </w:r>
      <w:r>
        <w:rPr>
          <w:rFonts w:ascii="Calibri" w:hAnsi="Calibri" w:cs="Arial"/>
        </w:rPr>
        <w:t xml:space="preserve">specifically </w:t>
      </w:r>
      <w:r w:rsidR="0024269D" w:rsidRPr="00A77AF6">
        <w:rPr>
          <w:rFonts w:ascii="Calibri" w:hAnsi="Calibri" w:cs="Arial"/>
        </w:rPr>
        <w:t xml:space="preserve">the fear that project personnel may be ‘scapegoated’ </w:t>
      </w:r>
      <w:r>
        <w:rPr>
          <w:rFonts w:ascii="Calibri" w:hAnsi="Calibri" w:cs="Arial"/>
        </w:rPr>
        <w:t xml:space="preserve">by the trust board </w:t>
      </w:r>
      <w:r w:rsidR="0024269D" w:rsidRPr="00A77AF6">
        <w:rPr>
          <w:rFonts w:ascii="Calibri" w:hAnsi="Calibri" w:cs="Arial"/>
        </w:rPr>
        <w:t xml:space="preserve">if something has gone wrong with the project.  </w:t>
      </w:r>
      <w:r w:rsidR="00E770E3">
        <w:rPr>
          <w:rFonts w:ascii="Calibri" w:hAnsi="Calibri" w:cs="Arial"/>
        </w:rPr>
        <w:t xml:space="preserve">Interviewees were aware of the </w:t>
      </w:r>
      <w:r w:rsidR="00E770E3" w:rsidRPr="00A77AF6">
        <w:t>tension between reporting problems upwards and protecting colleagues from criticism</w:t>
      </w:r>
      <w:r w:rsidR="00E770E3">
        <w:t xml:space="preserve">.  </w:t>
      </w:r>
      <w:r w:rsidR="00EB0BE1">
        <w:t xml:space="preserve"> </w:t>
      </w:r>
      <w:r w:rsidR="00EB0BE1" w:rsidRPr="00A77AF6">
        <w:t xml:space="preserve">Project teams </w:t>
      </w:r>
      <w:r w:rsidR="00EB0BE1">
        <w:t xml:space="preserve">also </w:t>
      </w:r>
      <w:r w:rsidR="00EB0BE1" w:rsidRPr="00A77AF6">
        <w:t xml:space="preserve">take a pragmatic approach to reporting problems because a problem may be of great concern in one moment,  but a short time later a solution has been found.  Project teams know this so deciding when and which problems to report is not always a straightforward decision to make.  </w:t>
      </w:r>
      <w:r w:rsidR="00EB0BE1">
        <w:rPr>
          <w:rFonts w:ascii="Calibri" w:hAnsi="Calibri" w:cs="Arial"/>
        </w:rPr>
        <w:t xml:space="preserve">The management of information from the project to the trust board was also thought to be driven by the knowledge that the trust board wants to hear solutions, not problems.  Aware of this, project boards, through the project director, report good news about the project.   </w:t>
      </w:r>
    </w:p>
    <w:p w14:paraId="7B6A1DDD" w14:textId="667D9E3A" w:rsidR="00A520D9" w:rsidRDefault="00EB0BE1" w:rsidP="00456682">
      <w:pPr>
        <w:spacing w:before="120" w:after="0" w:line="360" w:lineRule="auto"/>
        <w:rPr>
          <w:rFonts w:ascii="Calibri" w:hAnsi="Calibri" w:cs="Arial"/>
        </w:rPr>
      </w:pPr>
      <w:r w:rsidRPr="00A77AF6">
        <w:t xml:space="preserve">Project directors are </w:t>
      </w:r>
      <w:r>
        <w:t xml:space="preserve">therefore </w:t>
      </w:r>
      <w:r w:rsidRPr="00A77AF6">
        <w:t>careful about the timing of announcing bad news</w:t>
      </w:r>
      <w:r>
        <w:t xml:space="preserve"> and so </w:t>
      </w:r>
      <w:r w:rsidRPr="00A77AF6">
        <w:rPr>
          <w:rFonts w:eastAsia="Times New Roman" w:cstheme="minorHAnsi"/>
          <w:color w:val="000000"/>
          <w:lang w:eastAsia="en-GB"/>
        </w:rPr>
        <w:t xml:space="preserve">choose the timing </w:t>
      </w:r>
      <w:r>
        <w:rPr>
          <w:rFonts w:eastAsia="Times New Roman" w:cstheme="minorHAnsi"/>
          <w:color w:val="000000"/>
          <w:lang w:eastAsia="en-GB"/>
        </w:rPr>
        <w:t xml:space="preserve">of it </w:t>
      </w:r>
      <w:r w:rsidRPr="00A77AF6">
        <w:rPr>
          <w:rFonts w:eastAsia="Times New Roman" w:cstheme="minorHAnsi"/>
          <w:color w:val="000000"/>
          <w:lang w:eastAsia="en-GB"/>
        </w:rPr>
        <w:t>carefully</w:t>
      </w:r>
      <w:r>
        <w:rPr>
          <w:rFonts w:eastAsia="Times New Roman" w:cstheme="minorHAnsi"/>
          <w:color w:val="000000"/>
          <w:lang w:eastAsia="en-GB"/>
        </w:rPr>
        <w:t xml:space="preserve">.  Project directors were thought to </w:t>
      </w:r>
      <w:r w:rsidRPr="00A77AF6">
        <w:rPr>
          <w:rFonts w:eastAsia="Times New Roman" w:cstheme="minorHAnsi"/>
          <w:color w:val="000000"/>
          <w:lang w:eastAsia="en-GB"/>
        </w:rPr>
        <w:t xml:space="preserve">know </w:t>
      </w:r>
      <w:r>
        <w:rPr>
          <w:rFonts w:eastAsia="Times New Roman" w:cstheme="minorHAnsi"/>
          <w:color w:val="000000"/>
          <w:lang w:eastAsia="en-GB"/>
        </w:rPr>
        <w:t xml:space="preserve">and understand the </w:t>
      </w:r>
      <w:r w:rsidRPr="00A77AF6">
        <w:rPr>
          <w:rFonts w:eastAsia="Times New Roman" w:cstheme="minorHAnsi"/>
          <w:color w:val="000000"/>
          <w:lang w:eastAsia="en-GB"/>
        </w:rPr>
        <w:t xml:space="preserve">trust board </w:t>
      </w:r>
      <w:r>
        <w:rPr>
          <w:rFonts w:eastAsia="Times New Roman" w:cstheme="minorHAnsi"/>
          <w:color w:val="000000"/>
          <w:lang w:eastAsia="en-GB"/>
        </w:rPr>
        <w:t xml:space="preserve">well enough to </w:t>
      </w:r>
      <w:r w:rsidRPr="00A77AF6">
        <w:rPr>
          <w:rFonts w:eastAsia="Times New Roman" w:cstheme="minorHAnsi"/>
          <w:color w:val="000000"/>
          <w:lang w:eastAsia="en-GB"/>
        </w:rPr>
        <w:t xml:space="preserve">know when it </w:t>
      </w:r>
      <w:r>
        <w:rPr>
          <w:rFonts w:eastAsia="Times New Roman" w:cstheme="minorHAnsi"/>
          <w:color w:val="000000"/>
          <w:lang w:eastAsia="en-GB"/>
        </w:rPr>
        <w:t xml:space="preserve">can receive bad news. </w:t>
      </w:r>
      <w:r w:rsidRPr="00A77AF6">
        <w:rPr>
          <w:rFonts w:eastAsia="Times New Roman" w:cstheme="minorHAnsi"/>
          <w:color w:val="000000"/>
          <w:lang w:eastAsia="en-GB"/>
        </w:rPr>
        <w:t xml:space="preserve">Even so the </w:t>
      </w:r>
      <w:r w:rsidRPr="00A77AF6">
        <w:t xml:space="preserve">board </w:t>
      </w:r>
      <w:r>
        <w:t xml:space="preserve">was not thought to be </w:t>
      </w:r>
      <w:r w:rsidRPr="00A77AF6">
        <w:lastRenderedPageBreak/>
        <w:t xml:space="preserve">willing always </w:t>
      </w:r>
      <w:r>
        <w:t xml:space="preserve"> </w:t>
      </w:r>
      <w:r w:rsidRPr="00A77AF6">
        <w:t xml:space="preserve">to hear the message, so </w:t>
      </w:r>
      <w:r>
        <w:t xml:space="preserve">it is the case that </w:t>
      </w:r>
      <w:r w:rsidRPr="00A77AF6">
        <w:t xml:space="preserve">at </w:t>
      </w:r>
      <w:r>
        <w:t xml:space="preserve">the </w:t>
      </w:r>
      <w:r w:rsidRPr="00A77AF6">
        <w:t>project level cost and time overruns are known</w:t>
      </w:r>
      <w:r>
        <w:t>,</w:t>
      </w:r>
      <w:r w:rsidRPr="00A77AF6">
        <w:t xml:space="preserve"> but the corporate governance does not encourage the voicing of concerns</w:t>
      </w:r>
      <w:r w:rsidRPr="00A77AF6">
        <w:rPr>
          <w:rFonts w:eastAsia="Times New Roman" w:cstheme="minorHAnsi"/>
          <w:color w:val="000000"/>
          <w:lang w:eastAsia="en-GB"/>
        </w:rPr>
        <w:t xml:space="preserve">. </w:t>
      </w:r>
      <w:r>
        <w:rPr>
          <w:rFonts w:eastAsia="Times New Roman" w:cstheme="minorHAnsi"/>
          <w:color w:val="000000"/>
          <w:lang w:eastAsia="en-GB"/>
        </w:rPr>
        <w:t xml:space="preserve"> This creates a culture which </w:t>
      </w:r>
      <w:r w:rsidR="0024269D" w:rsidRPr="00A77AF6">
        <w:rPr>
          <w:rFonts w:ascii="Calibri" w:hAnsi="Calibri" w:cs="Arial"/>
        </w:rPr>
        <w:t xml:space="preserve">leads to protectionist behaviour and </w:t>
      </w:r>
      <w:r w:rsidR="00E770E3">
        <w:rPr>
          <w:rFonts w:ascii="Calibri" w:hAnsi="Calibri" w:cs="Arial"/>
        </w:rPr>
        <w:t xml:space="preserve">results in </w:t>
      </w:r>
      <w:r w:rsidR="0024269D" w:rsidRPr="00A77AF6">
        <w:rPr>
          <w:rFonts w:ascii="Calibri" w:hAnsi="Calibri" w:cs="Arial"/>
        </w:rPr>
        <w:t>sterile reporting</w:t>
      </w:r>
      <w:r>
        <w:rPr>
          <w:rFonts w:ascii="Calibri" w:hAnsi="Calibri" w:cs="Arial"/>
        </w:rPr>
        <w:t xml:space="preserve"> </w:t>
      </w:r>
      <w:r w:rsidR="0024269D" w:rsidRPr="00A77AF6">
        <w:rPr>
          <w:rFonts w:ascii="Calibri" w:hAnsi="Calibri" w:cs="Arial"/>
        </w:rPr>
        <w:t>aimed at reducing liability</w:t>
      </w:r>
      <w:r>
        <w:rPr>
          <w:rFonts w:ascii="Calibri" w:hAnsi="Calibri" w:cs="Arial"/>
        </w:rPr>
        <w:t xml:space="preserve"> of the trust and project boards</w:t>
      </w:r>
      <w:r w:rsidR="0024269D" w:rsidRPr="00A77AF6">
        <w:rPr>
          <w:rFonts w:ascii="Calibri" w:hAnsi="Calibri" w:cs="Arial"/>
        </w:rPr>
        <w:t>, rather than encouraging a useful discursive dialogue between the</w:t>
      </w:r>
      <w:r>
        <w:rPr>
          <w:rFonts w:ascii="Calibri" w:hAnsi="Calibri" w:cs="Arial"/>
        </w:rPr>
        <w:t xml:space="preserve">m. </w:t>
      </w:r>
      <w:r w:rsidR="0024269D" w:rsidRPr="00A77AF6">
        <w:rPr>
          <w:rFonts w:ascii="Calibri" w:hAnsi="Calibri" w:cs="Arial"/>
        </w:rPr>
        <w:t xml:space="preserve"> </w:t>
      </w:r>
      <w:r w:rsidR="00A520D9">
        <w:rPr>
          <w:rFonts w:ascii="Calibri" w:hAnsi="Calibri" w:cs="Arial"/>
        </w:rPr>
        <w:t xml:space="preserve">This </w:t>
      </w:r>
    </w:p>
    <w:p w14:paraId="196BCBB4" w14:textId="77777777" w:rsidR="00A520D9" w:rsidRPr="00A77AF6" w:rsidRDefault="00A520D9" w:rsidP="00A520D9">
      <w:pPr>
        <w:spacing w:after="240" w:line="240" w:lineRule="auto"/>
        <w:ind w:left="720"/>
        <w:rPr>
          <w:i/>
        </w:rPr>
      </w:pPr>
      <w:r w:rsidRPr="00A77AF6">
        <w:rPr>
          <w:i/>
        </w:rPr>
        <w:t>‘just wastes time and effort and is a sterile reporting structure that is sometimes designed to… reduce people’s liability as opposed to engage in a way for the overall benefit of the project programme that you are working on’ (Expert D)</w:t>
      </w:r>
    </w:p>
    <w:p w14:paraId="62C98440" w14:textId="1A8C6BAF" w:rsidR="0024269D" w:rsidRPr="00A77AF6" w:rsidRDefault="00EB0BE1" w:rsidP="00456682">
      <w:pPr>
        <w:spacing w:before="120" w:after="0" w:line="360" w:lineRule="auto"/>
        <w:rPr>
          <w:rFonts w:eastAsia="Times New Roman" w:cstheme="minorHAnsi"/>
          <w:color w:val="000000"/>
          <w:lang w:eastAsia="en-GB"/>
        </w:rPr>
      </w:pPr>
      <w:r>
        <w:rPr>
          <w:rFonts w:ascii="Calibri" w:hAnsi="Calibri" w:cs="Arial"/>
        </w:rPr>
        <w:t xml:space="preserve">In effect the </w:t>
      </w:r>
      <w:r w:rsidR="00BC2F95" w:rsidRPr="00A77AF6">
        <w:t xml:space="preserve">presentation of information to the board </w:t>
      </w:r>
      <w:r>
        <w:t>becomes a</w:t>
      </w:r>
      <w:r w:rsidR="00BC2F95" w:rsidRPr="00A77AF6">
        <w:t xml:space="preserve"> performance</w:t>
      </w:r>
      <w:r w:rsidR="00456682">
        <w:t xml:space="preserve"> which has been </w:t>
      </w:r>
      <w:r w:rsidR="0024269D" w:rsidRPr="00A77AF6">
        <w:t>rehearsed</w:t>
      </w:r>
      <w:r w:rsidR="00BC2F95" w:rsidRPr="00A77AF6">
        <w:t xml:space="preserve">. </w:t>
      </w:r>
      <w:r w:rsidR="00456682">
        <w:t>Indeed, the experience of the project team was identified as a factor in managing the upward flow of information.</w:t>
      </w:r>
    </w:p>
    <w:p w14:paraId="67E3793E" w14:textId="77777777" w:rsidR="0024269D" w:rsidRPr="00A77AF6" w:rsidRDefault="0024269D" w:rsidP="0024269D">
      <w:pPr>
        <w:spacing w:line="240" w:lineRule="auto"/>
        <w:ind w:left="720"/>
        <w:rPr>
          <w:i/>
        </w:rPr>
      </w:pPr>
      <w:r w:rsidRPr="00A77AF6">
        <w:rPr>
          <w:i/>
        </w:rPr>
        <w:t>‘Anybody with a certain amount of experience knows how to deal with a board, very much you give them what they want to hear until it’s far too late probably which I think is one of the issues with corporate governance approach.’(Expert D)</w:t>
      </w:r>
    </w:p>
    <w:p w14:paraId="7B09EC7B" w14:textId="7E5A84CE" w:rsidR="00456682" w:rsidRDefault="00D359CE" w:rsidP="00F16494">
      <w:pPr>
        <w:spacing w:after="120" w:line="360" w:lineRule="auto"/>
        <w:rPr>
          <w:rFonts w:eastAsia="Times New Roman" w:cstheme="minorHAnsi"/>
          <w:color w:val="000000"/>
          <w:lang w:eastAsia="en-GB"/>
        </w:rPr>
      </w:pPr>
      <w:r w:rsidRPr="00A77AF6">
        <w:rPr>
          <w:rFonts w:eastAsia="Times New Roman" w:cstheme="minorHAnsi"/>
          <w:color w:val="000000"/>
          <w:lang w:eastAsia="en-GB"/>
        </w:rPr>
        <w:t>Th</w:t>
      </w:r>
      <w:r w:rsidR="00456682">
        <w:rPr>
          <w:rFonts w:eastAsia="Times New Roman" w:cstheme="minorHAnsi"/>
          <w:color w:val="000000"/>
          <w:lang w:eastAsia="en-GB"/>
        </w:rPr>
        <w:t xml:space="preserve">e managed information flow, or asymmetry of information in agency theory, limits the ability of the trust board to know about project problems, and its unwillingness to engage with project problems leads to a deficit </w:t>
      </w:r>
      <w:r w:rsidR="00055DF4">
        <w:rPr>
          <w:rFonts w:eastAsia="Times New Roman" w:cstheme="minorHAnsi"/>
          <w:color w:val="000000"/>
          <w:lang w:eastAsia="en-GB"/>
        </w:rPr>
        <w:t xml:space="preserve">of </w:t>
      </w:r>
      <w:r w:rsidR="00456682">
        <w:rPr>
          <w:rFonts w:eastAsia="Times New Roman" w:cstheme="minorHAnsi"/>
          <w:color w:val="000000"/>
          <w:lang w:eastAsia="en-GB"/>
        </w:rPr>
        <w:t xml:space="preserve">project control at the corporate level. </w:t>
      </w:r>
    </w:p>
    <w:p w14:paraId="5380C5C1" w14:textId="0C382939" w:rsidR="00D54D63" w:rsidRPr="00A77AF6" w:rsidRDefault="00D54D63" w:rsidP="006F48EC">
      <w:pPr>
        <w:pStyle w:val="Heading3"/>
        <w:spacing w:after="120"/>
      </w:pPr>
      <w:bookmarkStart w:id="190" w:name="_Toc36275143"/>
      <w:r w:rsidRPr="00A77AF6">
        <w:t>Corporate/ project interface</w:t>
      </w:r>
      <w:bookmarkEnd w:id="190"/>
    </w:p>
    <w:p w14:paraId="1AEAD3F6" w14:textId="39997E5E" w:rsidR="00661757" w:rsidRDefault="00721771" w:rsidP="006F48EC">
      <w:pPr>
        <w:spacing w:line="360" w:lineRule="auto"/>
        <w:rPr>
          <w:rFonts w:eastAsia="Times New Roman" w:cstheme="minorHAnsi"/>
          <w:color w:val="000000"/>
          <w:lang w:eastAsia="en-GB"/>
        </w:rPr>
      </w:pPr>
      <w:r w:rsidRPr="00A77AF6">
        <w:t>Respondents considered governance to be important, but interview</w:t>
      </w:r>
      <w:r w:rsidR="00456682">
        <w:t>ee</w:t>
      </w:r>
      <w:r w:rsidRPr="00A77AF6">
        <w:t xml:space="preserve">s also revealed </w:t>
      </w:r>
      <w:r w:rsidR="00456682">
        <w:t xml:space="preserve">that </w:t>
      </w:r>
      <w:r w:rsidRPr="00A77AF6">
        <w:t xml:space="preserve"> project teams</w:t>
      </w:r>
      <w:r w:rsidR="00456682">
        <w:t xml:space="preserve"> did not </w:t>
      </w:r>
      <w:r w:rsidRPr="00A77AF6">
        <w:t>hav</w:t>
      </w:r>
      <w:r w:rsidR="00456682">
        <w:t xml:space="preserve">e </w:t>
      </w:r>
      <w:r w:rsidRPr="00A77AF6">
        <w:t>visibility of the governance layer</w:t>
      </w:r>
      <w:r w:rsidR="00661757" w:rsidRPr="00A77AF6">
        <w:t xml:space="preserve"> (Table 7-7).</w:t>
      </w:r>
      <w:r w:rsidR="00A520D9">
        <w:t xml:space="preserve"> </w:t>
      </w:r>
      <w:r w:rsidR="00A520D9">
        <w:rPr>
          <w:rFonts w:eastAsia="Times New Roman" w:cstheme="minorHAnsi"/>
          <w:color w:val="000000"/>
          <w:lang w:eastAsia="en-GB"/>
        </w:rPr>
        <w:t>G</w:t>
      </w:r>
      <w:r w:rsidR="00A520D9" w:rsidRPr="00A77AF6">
        <w:rPr>
          <w:rFonts w:eastAsia="Times New Roman" w:cstheme="minorHAnsi"/>
          <w:color w:val="000000"/>
          <w:lang w:eastAsia="en-GB"/>
        </w:rPr>
        <w:t xml:space="preserve">overnance was </w:t>
      </w:r>
      <w:r w:rsidR="00A520D9">
        <w:rPr>
          <w:rFonts w:eastAsia="Times New Roman" w:cstheme="minorHAnsi"/>
          <w:color w:val="000000"/>
          <w:lang w:eastAsia="en-GB"/>
        </w:rPr>
        <w:t xml:space="preserve">thought to be </w:t>
      </w:r>
      <w:r w:rsidR="00A520D9" w:rsidRPr="00A77AF6">
        <w:rPr>
          <w:rFonts w:eastAsia="Times New Roman" w:cstheme="minorHAnsi"/>
          <w:color w:val="000000"/>
          <w:lang w:eastAsia="en-GB"/>
        </w:rPr>
        <w:t>important</w:t>
      </w:r>
      <w:r w:rsidR="00A520D9">
        <w:rPr>
          <w:rFonts w:eastAsia="Times New Roman" w:cstheme="minorHAnsi"/>
          <w:color w:val="000000"/>
          <w:lang w:eastAsia="en-GB"/>
        </w:rPr>
        <w:t xml:space="preserve"> because it is the </w:t>
      </w:r>
      <w:r w:rsidR="00A520D9" w:rsidRPr="00A77AF6">
        <w:rPr>
          <w:rFonts w:eastAsia="Times New Roman" w:cstheme="minorHAnsi"/>
          <w:color w:val="000000"/>
          <w:lang w:eastAsia="en-GB"/>
        </w:rPr>
        <w:t>glue that joins a long procurement and construction process together</w:t>
      </w:r>
      <w:r w:rsidR="00A520D9">
        <w:rPr>
          <w:rFonts w:eastAsia="Times New Roman" w:cstheme="minorHAnsi"/>
          <w:color w:val="000000"/>
          <w:lang w:eastAsia="en-GB"/>
        </w:rPr>
        <w:t xml:space="preserve"> and </w:t>
      </w:r>
      <w:r w:rsidR="00A520D9" w:rsidRPr="00A77AF6">
        <w:rPr>
          <w:rFonts w:eastAsia="Times New Roman" w:cstheme="minorHAnsi"/>
          <w:color w:val="000000"/>
          <w:lang w:eastAsia="en-GB"/>
        </w:rPr>
        <w:t>provid</w:t>
      </w:r>
      <w:r w:rsidR="00A520D9">
        <w:rPr>
          <w:rFonts w:eastAsia="Times New Roman" w:cstheme="minorHAnsi"/>
          <w:color w:val="000000"/>
          <w:lang w:eastAsia="en-GB"/>
        </w:rPr>
        <w:t xml:space="preserve">es </w:t>
      </w:r>
      <w:r w:rsidR="00A520D9" w:rsidRPr="00A77AF6">
        <w:rPr>
          <w:rFonts w:eastAsia="Times New Roman" w:cstheme="minorHAnsi"/>
          <w:color w:val="000000"/>
          <w:lang w:eastAsia="en-GB"/>
        </w:rPr>
        <w:t>a route map through a complicated set of activities.  Universal</w:t>
      </w:r>
      <w:r w:rsidR="00A520D9">
        <w:rPr>
          <w:rFonts w:eastAsia="Times New Roman" w:cstheme="minorHAnsi"/>
          <w:color w:val="000000"/>
          <w:lang w:eastAsia="en-GB"/>
        </w:rPr>
        <w:t xml:space="preserve"> governance </w:t>
      </w:r>
      <w:r w:rsidR="00A520D9" w:rsidRPr="00A77AF6">
        <w:rPr>
          <w:rFonts w:eastAsia="Times New Roman" w:cstheme="minorHAnsi"/>
          <w:color w:val="000000"/>
          <w:lang w:eastAsia="en-GB"/>
        </w:rPr>
        <w:t>rules were thought to be important</w:t>
      </w:r>
      <w:r w:rsidR="00A520D9">
        <w:rPr>
          <w:rFonts w:eastAsia="Times New Roman" w:cstheme="minorHAnsi"/>
          <w:color w:val="000000"/>
          <w:lang w:eastAsia="en-GB"/>
        </w:rPr>
        <w:t xml:space="preserve"> in order to avoid the need to recreate rules </w:t>
      </w:r>
      <w:r w:rsidR="00A520D9" w:rsidRPr="00A77AF6">
        <w:t xml:space="preserve">for every project </w:t>
      </w:r>
      <w:r w:rsidR="00A520D9">
        <w:t xml:space="preserve">which would lead to </w:t>
      </w:r>
      <w:r w:rsidR="00A520D9" w:rsidRPr="00A77AF6">
        <w:t>wasted effort and inconsistency</w:t>
      </w:r>
      <w:r w:rsidR="00A520D9">
        <w:t xml:space="preserve"> across projects</w:t>
      </w:r>
      <w:r w:rsidR="00A520D9" w:rsidRPr="00A77AF6">
        <w:t>.  Knowledge of governance structures and the ‘politics</w:t>
      </w:r>
      <w:r w:rsidR="00A520D9">
        <w:t xml:space="preserve">’ </w:t>
      </w:r>
      <w:r w:rsidR="00A520D9" w:rsidRPr="00A77AF6">
        <w:t xml:space="preserve">of an organisation </w:t>
      </w:r>
      <w:r w:rsidR="00A520D9">
        <w:t xml:space="preserve">was also identified as </w:t>
      </w:r>
      <w:r w:rsidR="00A520D9" w:rsidRPr="00A77AF6">
        <w:t>important because of their impact on</w:t>
      </w:r>
      <w:r w:rsidR="00A520D9">
        <w:t xml:space="preserve"> the ability of project teams to </w:t>
      </w:r>
      <w:r w:rsidR="00A520D9" w:rsidRPr="00A77AF6">
        <w:t>get</w:t>
      </w:r>
      <w:r w:rsidR="00A520D9">
        <w:t xml:space="preserve"> </w:t>
      </w:r>
      <w:r w:rsidR="00A520D9" w:rsidRPr="00A77AF6">
        <w:t xml:space="preserve">things done. </w:t>
      </w:r>
      <w:r w:rsidR="00A520D9" w:rsidRPr="00A77AF6">
        <w:rPr>
          <w:rFonts w:eastAsia="Times New Roman" w:cstheme="minorHAnsi"/>
          <w:color w:val="000000"/>
          <w:lang w:eastAsia="en-GB"/>
        </w:rPr>
        <w:t xml:space="preserve"> </w:t>
      </w:r>
    </w:p>
    <w:p w14:paraId="2A4D5042" w14:textId="77777777" w:rsidR="00A520D9" w:rsidRPr="00A77AF6" w:rsidRDefault="00A520D9" w:rsidP="006F48EC">
      <w:pPr>
        <w:spacing w:line="360" w:lineRule="auto"/>
      </w:pPr>
    </w:p>
    <w:p w14:paraId="2E69EF70" w14:textId="19653B61" w:rsidR="006F48EC" w:rsidRPr="00A77AF6" w:rsidRDefault="006F48EC" w:rsidP="007453EC">
      <w:pPr>
        <w:pStyle w:val="Caption"/>
        <w:keepNext/>
        <w:spacing w:after="120"/>
      </w:pPr>
      <w:r w:rsidRPr="00A77AF6">
        <w:t xml:space="preserve">Table </w:t>
      </w:r>
      <w:fldSimple w:instr=" STYLEREF 1 \s ">
        <w:r w:rsidR="000441F7">
          <w:rPr>
            <w:noProof/>
          </w:rPr>
          <w:t>7</w:t>
        </w:r>
      </w:fldSimple>
      <w:r w:rsidR="00804112">
        <w:noBreakHyphen/>
      </w:r>
      <w:fldSimple w:instr=" SEQ Table \* ARABIC \s 1 ">
        <w:r w:rsidR="000441F7">
          <w:rPr>
            <w:noProof/>
          </w:rPr>
          <w:t>7</w:t>
        </w:r>
      </w:fldSimple>
      <w:r w:rsidRPr="00A77AF6">
        <w:t>: Coding of respondents’ views on the interface between corporate and project governance</w:t>
      </w:r>
    </w:p>
    <w:tbl>
      <w:tblPr>
        <w:tblStyle w:val="TableGrid"/>
        <w:tblW w:w="0" w:type="auto"/>
        <w:tblLook w:val="04A0" w:firstRow="1" w:lastRow="0" w:firstColumn="1" w:lastColumn="0" w:noHBand="0" w:noVBand="1"/>
      </w:tblPr>
      <w:tblGrid>
        <w:gridCol w:w="1860"/>
        <w:gridCol w:w="4368"/>
        <w:gridCol w:w="983"/>
        <w:gridCol w:w="1148"/>
      </w:tblGrid>
      <w:tr w:rsidR="006F48EC" w:rsidRPr="00A77AF6" w14:paraId="6E72CDD1" w14:textId="77777777" w:rsidTr="00E81047">
        <w:tc>
          <w:tcPr>
            <w:tcW w:w="1860" w:type="dxa"/>
            <w:shd w:val="clear" w:color="auto" w:fill="D9D9D9" w:themeFill="background1" w:themeFillShade="D9"/>
          </w:tcPr>
          <w:p w14:paraId="311358D5" w14:textId="77777777" w:rsidR="006F48EC" w:rsidRPr="00A77AF6" w:rsidRDefault="006F48EC" w:rsidP="004874DF">
            <w:pPr>
              <w:spacing w:line="276" w:lineRule="auto"/>
              <w:rPr>
                <w:rFonts w:ascii="Calibri" w:hAnsi="Calibri" w:cs="Arial"/>
                <w:sz w:val="20"/>
              </w:rPr>
            </w:pPr>
            <w:r w:rsidRPr="00A77AF6">
              <w:rPr>
                <w:rFonts w:ascii="Calibri" w:hAnsi="Calibri" w:cs="Arial"/>
                <w:sz w:val="20"/>
              </w:rPr>
              <w:t>Main Code</w:t>
            </w:r>
          </w:p>
          <w:p w14:paraId="4E439F3F" w14:textId="77777777" w:rsidR="006F48EC" w:rsidRPr="00A77AF6" w:rsidRDefault="006F48EC" w:rsidP="004874DF">
            <w:pPr>
              <w:spacing w:line="276" w:lineRule="auto"/>
              <w:rPr>
                <w:rFonts w:ascii="Calibri" w:hAnsi="Calibri" w:cs="Arial"/>
                <w:sz w:val="20"/>
              </w:rPr>
            </w:pPr>
          </w:p>
        </w:tc>
        <w:tc>
          <w:tcPr>
            <w:tcW w:w="4368" w:type="dxa"/>
            <w:tcBorders>
              <w:bottom w:val="single" w:sz="4" w:space="0" w:color="auto"/>
            </w:tcBorders>
            <w:shd w:val="clear" w:color="auto" w:fill="D9D9D9" w:themeFill="background1" w:themeFillShade="D9"/>
          </w:tcPr>
          <w:p w14:paraId="134112C0" w14:textId="77777777" w:rsidR="006F48EC" w:rsidRPr="00A77AF6" w:rsidRDefault="006F48EC" w:rsidP="004874DF">
            <w:pPr>
              <w:spacing w:line="276" w:lineRule="auto"/>
              <w:rPr>
                <w:rFonts w:ascii="Calibri" w:hAnsi="Calibri" w:cs="Arial"/>
                <w:sz w:val="20"/>
              </w:rPr>
            </w:pPr>
            <w:r w:rsidRPr="00A77AF6">
              <w:rPr>
                <w:rFonts w:ascii="Calibri" w:hAnsi="Calibri" w:cs="Arial"/>
                <w:sz w:val="20"/>
              </w:rPr>
              <w:t>Sub codes</w:t>
            </w:r>
          </w:p>
        </w:tc>
        <w:tc>
          <w:tcPr>
            <w:tcW w:w="983" w:type="dxa"/>
            <w:tcBorders>
              <w:bottom w:val="single" w:sz="4" w:space="0" w:color="auto"/>
            </w:tcBorders>
            <w:shd w:val="clear" w:color="auto" w:fill="D9D9D9" w:themeFill="background1" w:themeFillShade="D9"/>
          </w:tcPr>
          <w:p w14:paraId="42790194" w14:textId="77777777" w:rsidR="006F48EC" w:rsidRPr="00A77AF6" w:rsidRDefault="006F48EC" w:rsidP="004874DF">
            <w:pPr>
              <w:spacing w:line="276" w:lineRule="auto"/>
              <w:rPr>
                <w:rFonts w:ascii="Calibri" w:hAnsi="Calibri" w:cs="Arial"/>
                <w:sz w:val="20"/>
              </w:rPr>
            </w:pPr>
            <w:r w:rsidRPr="00A77AF6">
              <w:rPr>
                <w:rFonts w:ascii="Calibri" w:hAnsi="Calibri" w:cs="Arial"/>
                <w:sz w:val="20"/>
              </w:rPr>
              <w:t>No. of mentions</w:t>
            </w:r>
          </w:p>
        </w:tc>
        <w:tc>
          <w:tcPr>
            <w:tcW w:w="1148" w:type="dxa"/>
            <w:tcBorders>
              <w:bottom w:val="single" w:sz="4" w:space="0" w:color="auto"/>
            </w:tcBorders>
            <w:shd w:val="clear" w:color="auto" w:fill="D9D9D9" w:themeFill="background1" w:themeFillShade="D9"/>
          </w:tcPr>
          <w:p w14:paraId="373E5C97" w14:textId="77777777" w:rsidR="006F48EC" w:rsidRPr="00A77AF6" w:rsidRDefault="006F48EC" w:rsidP="004874DF">
            <w:pPr>
              <w:spacing w:line="276" w:lineRule="auto"/>
              <w:rPr>
                <w:rFonts w:ascii="Calibri" w:hAnsi="Calibri" w:cs="Arial"/>
                <w:sz w:val="20"/>
              </w:rPr>
            </w:pPr>
            <w:r w:rsidRPr="00A77AF6">
              <w:rPr>
                <w:rFonts w:ascii="Calibri" w:hAnsi="Calibri" w:cs="Arial"/>
                <w:sz w:val="20"/>
              </w:rPr>
              <w:t>Total mentions</w:t>
            </w:r>
          </w:p>
        </w:tc>
      </w:tr>
      <w:tr w:rsidR="00721771" w:rsidRPr="00A77AF6" w14:paraId="55D24ECF" w14:textId="77777777" w:rsidTr="00E81047">
        <w:tc>
          <w:tcPr>
            <w:tcW w:w="1860" w:type="dxa"/>
            <w:vMerge w:val="restart"/>
            <w:shd w:val="clear" w:color="auto" w:fill="FFFFFF" w:themeFill="background1"/>
          </w:tcPr>
          <w:p w14:paraId="4674E854" w14:textId="77777777" w:rsidR="00721771" w:rsidRPr="00A77AF6" w:rsidRDefault="00721771" w:rsidP="004874DF">
            <w:pPr>
              <w:spacing w:line="276" w:lineRule="auto"/>
              <w:rPr>
                <w:rFonts w:ascii="Calibri" w:hAnsi="Calibri" w:cs="Arial"/>
                <w:sz w:val="20"/>
              </w:rPr>
            </w:pPr>
            <w:r w:rsidRPr="00A77AF6">
              <w:rPr>
                <w:rFonts w:ascii="Calibri" w:hAnsi="Calibri" w:cs="Arial"/>
                <w:sz w:val="20"/>
              </w:rPr>
              <w:t xml:space="preserve">Corporate/ project governance interface </w:t>
            </w:r>
          </w:p>
          <w:p w14:paraId="0E01B92F" w14:textId="77777777" w:rsidR="00721771" w:rsidRPr="00A77AF6" w:rsidRDefault="00721771" w:rsidP="004874DF">
            <w:pPr>
              <w:spacing w:line="276" w:lineRule="auto"/>
              <w:rPr>
                <w:rFonts w:ascii="Calibri" w:hAnsi="Calibri" w:cs="Arial"/>
                <w:sz w:val="20"/>
              </w:rPr>
            </w:pPr>
          </w:p>
          <w:p w14:paraId="276AAC49" w14:textId="03BEDEC5" w:rsidR="00721771" w:rsidRPr="00A77AF6" w:rsidRDefault="00721771" w:rsidP="004874DF">
            <w:pPr>
              <w:spacing w:line="276" w:lineRule="auto"/>
              <w:rPr>
                <w:rFonts w:ascii="Calibri" w:hAnsi="Calibri" w:cs="Arial"/>
                <w:sz w:val="20"/>
              </w:rPr>
            </w:pPr>
          </w:p>
        </w:tc>
        <w:tc>
          <w:tcPr>
            <w:tcW w:w="4368" w:type="dxa"/>
            <w:tcBorders>
              <w:bottom w:val="dotted" w:sz="4" w:space="0" w:color="auto"/>
              <w:right w:val="single" w:sz="4" w:space="0" w:color="auto"/>
            </w:tcBorders>
            <w:shd w:val="clear" w:color="auto" w:fill="FFFFFF" w:themeFill="background1"/>
          </w:tcPr>
          <w:p w14:paraId="42603BCB" w14:textId="01BC369F" w:rsidR="00721771" w:rsidRPr="00A77AF6" w:rsidRDefault="007453EC" w:rsidP="004874DF">
            <w:pPr>
              <w:spacing w:line="276" w:lineRule="auto"/>
              <w:rPr>
                <w:rFonts w:ascii="Calibri" w:hAnsi="Calibri" w:cs="Arial"/>
                <w:sz w:val="20"/>
              </w:rPr>
            </w:pPr>
            <w:r w:rsidRPr="00A77AF6">
              <w:rPr>
                <w:rFonts w:ascii="Calibri" w:hAnsi="Calibri" w:cs="Arial"/>
                <w:sz w:val="20"/>
              </w:rPr>
              <w:t>Importance of governance for</w:t>
            </w:r>
            <w:r w:rsidR="00721771" w:rsidRPr="00A77AF6">
              <w:rPr>
                <w:rFonts w:ascii="Calibri" w:hAnsi="Calibri" w:cs="Arial"/>
                <w:sz w:val="20"/>
              </w:rPr>
              <w:t xml:space="preserve"> accountability to the taxpayer</w:t>
            </w:r>
          </w:p>
        </w:tc>
        <w:tc>
          <w:tcPr>
            <w:tcW w:w="983" w:type="dxa"/>
            <w:tcBorders>
              <w:left w:val="single" w:sz="4" w:space="0" w:color="auto"/>
              <w:bottom w:val="dotted" w:sz="4" w:space="0" w:color="auto"/>
            </w:tcBorders>
            <w:shd w:val="clear" w:color="auto" w:fill="FFFFFF" w:themeFill="background1"/>
          </w:tcPr>
          <w:p w14:paraId="00E2BB55" w14:textId="0E3BB1E5" w:rsidR="00721771" w:rsidRPr="00A77AF6" w:rsidRDefault="00721771" w:rsidP="004874DF">
            <w:pPr>
              <w:spacing w:line="276" w:lineRule="auto"/>
              <w:rPr>
                <w:rFonts w:ascii="Calibri" w:hAnsi="Calibri" w:cs="Arial"/>
                <w:sz w:val="20"/>
              </w:rPr>
            </w:pPr>
            <w:r w:rsidRPr="00A77AF6">
              <w:rPr>
                <w:rFonts w:ascii="Calibri" w:hAnsi="Calibri" w:cs="Arial"/>
                <w:sz w:val="20"/>
              </w:rPr>
              <w:t>1</w:t>
            </w:r>
          </w:p>
        </w:tc>
        <w:tc>
          <w:tcPr>
            <w:tcW w:w="1148" w:type="dxa"/>
            <w:vMerge w:val="restart"/>
            <w:shd w:val="clear" w:color="auto" w:fill="FFFFFF" w:themeFill="background1"/>
          </w:tcPr>
          <w:p w14:paraId="15396487" w14:textId="7621D77F" w:rsidR="00721771" w:rsidRPr="00A77AF6" w:rsidRDefault="00721771" w:rsidP="004874DF">
            <w:pPr>
              <w:keepNext/>
              <w:spacing w:line="276" w:lineRule="auto"/>
              <w:jc w:val="center"/>
              <w:rPr>
                <w:rFonts w:ascii="Calibri" w:hAnsi="Calibri" w:cs="Arial"/>
                <w:sz w:val="20"/>
              </w:rPr>
            </w:pPr>
            <w:r w:rsidRPr="00A77AF6">
              <w:rPr>
                <w:rFonts w:ascii="Calibri" w:hAnsi="Calibri" w:cs="Arial"/>
                <w:sz w:val="20"/>
              </w:rPr>
              <w:t>10</w:t>
            </w:r>
          </w:p>
        </w:tc>
      </w:tr>
      <w:tr w:rsidR="00721771" w:rsidRPr="00A77AF6" w14:paraId="7C064F92" w14:textId="77777777" w:rsidTr="00721771">
        <w:tc>
          <w:tcPr>
            <w:tcW w:w="1860" w:type="dxa"/>
            <w:vMerge/>
          </w:tcPr>
          <w:p w14:paraId="071384BE" w14:textId="77777777" w:rsidR="00721771" w:rsidRPr="00A77AF6" w:rsidRDefault="00721771" w:rsidP="004874DF">
            <w:pPr>
              <w:spacing w:line="276" w:lineRule="auto"/>
              <w:rPr>
                <w:rFonts w:ascii="Calibri" w:hAnsi="Calibri" w:cs="Arial"/>
                <w:sz w:val="20"/>
              </w:rPr>
            </w:pPr>
          </w:p>
        </w:tc>
        <w:tc>
          <w:tcPr>
            <w:tcW w:w="4368" w:type="dxa"/>
            <w:tcBorders>
              <w:top w:val="dotted" w:sz="4" w:space="0" w:color="auto"/>
              <w:bottom w:val="dotted" w:sz="4" w:space="0" w:color="auto"/>
              <w:right w:val="single" w:sz="4" w:space="0" w:color="auto"/>
            </w:tcBorders>
          </w:tcPr>
          <w:p w14:paraId="12D832C9" w14:textId="78AAE049" w:rsidR="00721771" w:rsidRPr="00A77AF6" w:rsidRDefault="009817FF" w:rsidP="004874DF">
            <w:pPr>
              <w:spacing w:line="276" w:lineRule="auto"/>
              <w:rPr>
                <w:rFonts w:ascii="Calibri" w:hAnsi="Calibri" w:cs="Arial"/>
                <w:sz w:val="20"/>
              </w:rPr>
            </w:pPr>
            <w:r w:rsidRPr="00A77AF6">
              <w:rPr>
                <w:rFonts w:ascii="Calibri" w:hAnsi="Calibri" w:cs="Arial"/>
                <w:sz w:val="20"/>
              </w:rPr>
              <w:t>Little understanding</w:t>
            </w:r>
            <w:r w:rsidR="00721771" w:rsidRPr="00A77AF6">
              <w:rPr>
                <w:rFonts w:ascii="Calibri" w:hAnsi="Calibri" w:cs="Arial"/>
                <w:sz w:val="20"/>
              </w:rPr>
              <w:t xml:space="preserve"> of project governance </w:t>
            </w:r>
          </w:p>
        </w:tc>
        <w:tc>
          <w:tcPr>
            <w:tcW w:w="983" w:type="dxa"/>
            <w:tcBorders>
              <w:top w:val="dotted" w:sz="4" w:space="0" w:color="auto"/>
              <w:left w:val="single" w:sz="4" w:space="0" w:color="auto"/>
              <w:bottom w:val="dotted" w:sz="4" w:space="0" w:color="auto"/>
            </w:tcBorders>
          </w:tcPr>
          <w:p w14:paraId="0B21009F" w14:textId="1958C34B" w:rsidR="00721771" w:rsidRPr="00A77AF6" w:rsidRDefault="00163F0C" w:rsidP="004874DF">
            <w:pPr>
              <w:spacing w:line="276" w:lineRule="auto"/>
              <w:rPr>
                <w:rFonts w:ascii="Calibri" w:hAnsi="Calibri" w:cs="Arial"/>
                <w:sz w:val="20"/>
              </w:rPr>
            </w:pPr>
            <w:r w:rsidRPr="00A77AF6">
              <w:rPr>
                <w:rFonts w:ascii="Calibri" w:hAnsi="Calibri" w:cs="Arial"/>
                <w:sz w:val="20"/>
              </w:rPr>
              <w:t>4</w:t>
            </w:r>
          </w:p>
        </w:tc>
        <w:tc>
          <w:tcPr>
            <w:tcW w:w="1148" w:type="dxa"/>
            <w:vMerge/>
            <w:vAlign w:val="center"/>
          </w:tcPr>
          <w:p w14:paraId="0C217EB3" w14:textId="77777777" w:rsidR="00721771" w:rsidRPr="00A77AF6" w:rsidRDefault="00721771" w:rsidP="004874DF">
            <w:pPr>
              <w:keepNext/>
              <w:spacing w:line="276" w:lineRule="auto"/>
              <w:jc w:val="center"/>
              <w:rPr>
                <w:rFonts w:ascii="Calibri" w:hAnsi="Calibri" w:cs="Arial"/>
                <w:sz w:val="20"/>
              </w:rPr>
            </w:pPr>
          </w:p>
        </w:tc>
      </w:tr>
      <w:tr w:rsidR="00721771" w:rsidRPr="00A77AF6" w14:paraId="58B44F18" w14:textId="77777777" w:rsidTr="00721771">
        <w:tc>
          <w:tcPr>
            <w:tcW w:w="1860" w:type="dxa"/>
            <w:vMerge/>
          </w:tcPr>
          <w:p w14:paraId="13021857" w14:textId="77777777" w:rsidR="00721771" w:rsidRPr="00A77AF6" w:rsidRDefault="00721771" w:rsidP="004874DF">
            <w:pPr>
              <w:spacing w:line="276" w:lineRule="auto"/>
              <w:rPr>
                <w:rFonts w:ascii="Calibri" w:hAnsi="Calibri" w:cs="Arial"/>
                <w:sz w:val="20"/>
              </w:rPr>
            </w:pPr>
          </w:p>
        </w:tc>
        <w:tc>
          <w:tcPr>
            <w:tcW w:w="4368" w:type="dxa"/>
            <w:tcBorders>
              <w:top w:val="dotted" w:sz="4" w:space="0" w:color="auto"/>
              <w:bottom w:val="dotted" w:sz="4" w:space="0" w:color="auto"/>
              <w:right w:val="single" w:sz="4" w:space="0" w:color="auto"/>
            </w:tcBorders>
          </w:tcPr>
          <w:p w14:paraId="526C8796" w14:textId="17672C41" w:rsidR="00721771" w:rsidRPr="00A77AF6" w:rsidRDefault="00721771" w:rsidP="004874DF">
            <w:pPr>
              <w:spacing w:line="276" w:lineRule="auto"/>
              <w:rPr>
                <w:rFonts w:ascii="Calibri" w:hAnsi="Calibri" w:cs="Arial"/>
                <w:sz w:val="20"/>
              </w:rPr>
            </w:pPr>
            <w:r w:rsidRPr="00A77AF6">
              <w:rPr>
                <w:rFonts w:ascii="Calibri" w:hAnsi="Calibri" w:cs="Arial"/>
                <w:sz w:val="20"/>
              </w:rPr>
              <w:t>Fragmented process – do</w:t>
            </w:r>
            <w:r w:rsidR="009817FF" w:rsidRPr="00A77AF6">
              <w:rPr>
                <w:rFonts w:ascii="Calibri" w:hAnsi="Calibri" w:cs="Arial"/>
                <w:sz w:val="20"/>
              </w:rPr>
              <w:t xml:space="preserve"> not</w:t>
            </w:r>
            <w:r w:rsidRPr="00A77AF6">
              <w:rPr>
                <w:rFonts w:ascii="Calibri" w:hAnsi="Calibri" w:cs="Arial"/>
                <w:sz w:val="20"/>
              </w:rPr>
              <w:t xml:space="preserve"> see corporate governance/ </w:t>
            </w:r>
            <w:r w:rsidR="009817FF" w:rsidRPr="00A77AF6">
              <w:rPr>
                <w:rFonts w:ascii="Calibri" w:hAnsi="Calibri" w:cs="Arial"/>
                <w:sz w:val="20"/>
              </w:rPr>
              <w:t>n</w:t>
            </w:r>
            <w:r w:rsidRPr="00A77AF6">
              <w:rPr>
                <w:rFonts w:ascii="Calibri" w:hAnsi="Calibri" w:cs="Arial"/>
                <w:sz w:val="20"/>
              </w:rPr>
              <w:t>ot everyone is exposed to corporate governance</w:t>
            </w:r>
            <w:r w:rsidR="00E81047" w:rsidRPr="00A77AF6">
              <w:rPr>
                <w:rFonts w:ascii="Calibri" w:hAnsi="Calibri" w:cs="Arial"/>
                <w:sz w:val="20"/>
              </w:rPr>
              <w:t xml:space="preserve">/ </w:t>
            </w:r>
            <w:r w:rsidR="009817FF" w:rsidRPr="00A77AF6">
              <w:rPr>
                <w:rFonts w:ascii="Calibri" w:hAnsi="Calibri" w:cs="Arial"/>
                <w:sz w:val="20"/>
              </w:rPr>
              <w:t>p</w:t>
            </w:r>
            <w:r w:rsidR="00E81047" w:rsidRPr="00A77AF6">
              <w:rPr>
                <w:rFonts w:ascii="Calibri" w:hAnsi="Calibri" w:cs="Arial"/>
                <w:sz w:val="20"/>
              </w:rPr>
              <w:t>rojects are isolated from each other so may be less effective</w:t>
            </w:r>
          </w:p>
        </w:tc>
        <w:tc>
          <w:tcPr>
            <w:tcW w:w="983" w:type="dxa"/>
            <w:tcBorders>
              <w:top w:val="dotted" w:sz="4" w:space="0" w:color="auto"/>
              <w:left w:val="single" w:sz="4" w:space="0" w:color="auto"/>
              <w:bottom w:val="dotted" w:sz="4" w:space="0" w:color="auto"/>
            </w:tcBorders>
          </w:tcPr>
          <w:p w14:paraId="289A785C" w14:textId="0CF90786" w:rsidR="00721771" w:rsidRPr="00A77AF6" w:rsidRDefault="00E81047" w:rsidP="004874DF">
            <w:pPr>
              <w:spacing w:line="276" w:lineRule="auto"/>
              <w:rPr>
                <w:rFonts w:ascii="Calibri" w:hAnsi="Calibri" w:cs="Arial"/>
                <w:sz w:val="20"/>
              </w:rPr>
            </w:pPr>
            <w:r w:rsidRPr="00A77AF6">
              <w:rPr>
                <w:rFonts w:ascii="Calibri" w:hAnsi="Calibri" w:cs="Arial"/>
                <w:sz w:val="20"/>
              </w:rPr>
              <w:t>3</w:t>
            </w:r>
          </w:p>
        </w:tc>
        <w:tc>
          <w:tcPr>
            <w:tcW w:w="1148" w:type="dxa"/>
            <w:vMerge/>
          </w:tcPr>
          <w:p w14:paraId="4908265B" w14:textId="77777777" w:rsidR="00721771" w:rsidRPr="00A77AF6" w:rsidRDefault="00721771" w:rsidP="004874DF">
            <w:pPr>
              <w:keepNext/>
              <w:spacing w:line="276" w:lineRule="auto"/>
              <w:rPr>
                <w:rFonts w:ascii="Calibri" w:hAnsi="Calibri" w:cs="Arial"/>
                <w:sz w:val="20"/>
              </w:rPr>
            </w:pPr>
          </w:p>
        </w:tc>
      </w:tr>
      <w:tr w:rsidR="00721771" w:rsidRPr="00A77AF6" w14:paraId="577CAD63" w14:textId="77777777" w:rsidTr="00721771">
        <w:tc>
          <w:tcPr>
            <w:tcW w:w="1860" w:type="dxa"/>
            <w:vMerge/>
            <w:tcBorders>
              <w:bottom w:val="single" w:sz="4" w:space="0" w:color="auto"/>
            </w:tcBorders>
          </w:tcPr>
          <w:p w14:paraId="7051415A" w14:textId="77777777" w:rsidR="00721771" w:rsidRPr="00A77AF6" w:rsidRDefault="00721771" w:rsidP="004874DF">
            <w:pPr>
              <w:spacing w:line="276" w:lineRule="auto"/>
              <w:rPr>
                <w:rFonts w:ascii="Calibri" w:hAnsi="Calibri" w:cs="Arial"/>
                <w:sz w:val="20"/>
              </w:rPr>
            </w:pPr>
          </w:p>
        </w:tc>
        <w:tc>
          <w:tcPr>
            <w:tcW w:w="4368" w:type="dxa"/>
            <w:tcBorders>
              <w:top w:val="dotted" w:sz="4" w:space="0" w:color="auto"/>
              <w:bottom w:val="single" w:sz="4" w:space="0" w:color="auto"/>
              <w:right w:val="single" w:sz="4" w:space="0" w:color="auto"/>
            </w:tcBorders>
          </w:tcPr>
          <w:p w14:paraId="78451FF7" w14:textId="77777777" w:rsidR="00721771" w:rsidRPr="00A77AF6" w:rsidRDefault="00721771" w:rsidP="004874DF">
            <w:pPr>
              <w:spacing w:line="276" w:lineRule="auto"/>
              <w:rPr>
                <w:rFonts w:ascii="Calibri" w:hAnsi="Calibri" w:cs="Arial"/>
                <w:sz w:val="20"/>
              </w:rPr>
            </w:pPr>
            <w:r w:rsidRPr="00A77AF6">
              <w:rPr>
                <w:rFonts w:ascii="Calibri" w:hAnsi="Calibri" w:cs="Arial"/>
                <w:sz w:val="20"/>
              </w:rPr>
              <w:t>Disconnection between corporate and project governance</w:t>
            </w:r>
          </w:p>
        </w:tc>
        <w:tc>
          <w:tcPr>
            <w:tcW w:w="983" w:type="dxa"/>
            <w:tcBorders>
              <w:top w:val="dotted" w:sz="4" w:space="0" w:color="auto"/>
              <w:left w:val="single" w:sz="4" w:space="0" w:color="auto"/>
              <w:bottom w:val="single" w:sz="4" w:space="0" w:color="auto"/>
            </w:tcBorders>
          </w:tcPr>
          <w:p w14:paraId="0EE833C1" w14:textId="77777777" w:rsidR="00721771" w:rsidRPr="00A77AF6" w:rsidRDefault="00721771" w:rsidP="004874DF">
            <w:pPr>
              <w:spacing w:line="276" w:lineRule="auto"/>
              <w:rPr>
                <w:rFonts w:ascii="Calibri" w:hAnsi="Calibri" w:cs="Arial"/>
                <w:sz w:val="20"/>
              </w:rPr>
            </w:pPr>
            <w:r w:rsidRPr="00A77AF6">
              <w:rPr>
                <w:rFonts w:ascii="Calibri" w:hAnsi="Calibri" w:cs="Arial"/>
                <w:sz w:val="20"/>
              </w:rPr>
              <w:t>2</w:t>
            </w:r>
          </w:p>
        </w:tc>
        <w:tc>
          <w:tcPr>
            <w:tcW w:w="1148" w:type="dxa"/>
            <w:vMerge/>
            <w:tcBorders>
              <w:bottom w:val="single" w:sz="4" w:space="0" w:color="auto"/>
            </w:tcBorders>
          </w:tcPr>
          <w:p w14:paraId="7D1631AD" w14:textId="77777777" w:rsidR="00721771" w:rsidRPr="00A77AF6" w:rsidRDefault="00721771" w:rsidP="004874DF">
            <w:pPr>
              <w:keepNext/>
              <w:spacing w:line="276" w:lineRule="auto"/>
              <w:rPr>
                <w:rFonts w:ascii="Calibri" w:hAnsi="Calibri" w:cs="Arial"/>
                <w:sz w:val="20"/>
              </w:rPr>
            </w:pPr>
          </w:p>
        </w:tc>
      </w:tr>
    </w:tbl>
    <w:p w14:paraId="473ECDEA" w14:textId="77777777" w:rsidR="006F48EC" w:rsidRPr="00A77AF6" w:rsidRDefault="006F48EC" w:rsidP="00661757">
      <w:pPr>
        <w:spacing w:after="0" w:line="360" w:lineRule="auto"/>
      </w:pPr>
    </w:p>
    <w:p w14:paraId="1C66AAE8" w14:textId="3C0FE27F" w:rsidR="007B1E2B" w:rsidRPr="00A520D9" w:rsidRDefault="00A520D9" w:rsidP="00A520D9">
      <w:pPr>
        <w:spacing w:after="0" w:line="360" w:lineRule="auto"/>
      </w:pPr>
      <w:r>
        <w:t xml:space="preserve">Whilst the usefulness of governance was recognised by interviewees one </w:t>
      </w:r>
      <w:r w:rsidR="00163F0C" w:rsidRPr="00A77AF6">
        <w:t>expert suggested that the corporate level does not understand how project governance works.</w:t>
      </w:r>
      <w:r w:rsidR="007B1E2B" w:rsidRPr="00A77AF6">
        <w:t xml:space="preserve"> </w:t>
      </w:r>
      <w:r>
        <w:t xml:space="preserve"> It was though that this came from the tr</w:t>
      </w:r>
      <w:r w:rsidR="007B1E2B" w:rsidRPr="00A77AF6">
        <w:rPr>
          <w:rFonts w:eastAsia="Times New Roman" w:cstheme="minorHAnsi"/>
          <w:color w:val="000000"/>
          <w:lang w:eastAsia="en-GB"/>
        </w:rPr>
        <w:t>ust board’s lack of experience of working on major projects.</w:t>
      </w:r>
    </w:p>
    <w:p w14:paraId="29B749F1" w14:textId="68405DEA" w:rsidR="007B1E2B" w:rsidRPr="00A77AF6" w:rsidRDefault="007B1E2B" w:rsidP="00A520D9">
      <w:pPr>
        <w:spacing w:after="240" w:line="240" w:lineRule="auto"/>
        <w:ind w:left="720"/>
        <w:rPr>
          <w:i/>
        </w:rPr>
      </w:pPr>
      <w:r w:rsidRPr="00A77AF6">
        <w:rPr>
          <w:rFonts w:eastAsia="Times New Roman" w:cstheme="minorHAnsi"/>
          <w:i/>
          <w:color w:val="000000"/>
          <w:lang w:eastAsia="en-GB"/>
        </w:rPr>
        <w:t>‘</w:t>
      </w:r>
      <w:r w:rsidRPr="00A77AF6">
        <w:rPr>
          <w:i/>
        </w:rPr>
        <w:t>I think they were not used to working on major projects</w:t>
      </w:r>
      <w:r w:rsidR="00A520D9">
        <w:rPr>
          <w:i/>
        </w:rPr>
        <w:t>…</w:t>
      </w:r>
      <w:r w:rsidRPr="00A77AF6">
        <w:rPr>
          <w:i/>
        </w:rPr>
        <w:t xml:space="preserve"> and if you think in the NHS there are few really big projects so they might happen every ten or twenty years within an authority or trust – it’s not an everyday occurrence and I don’t think they understand the implications’ (Expert C)</w:t>
      </w:r>
    </w:p>
    <w:p w14:paraId="61864E83" w14:textId="5C87D7CB" w:rsidR="00163F0C" w:rsidRPr="00A77AF6" w:rsidRDefault="00163F0C" w:rsidP="00A520D9">
      <w:pPr>
        <w:spacing w:before="120" w:after="0" w:line="360" w:lineRule="auto"/>
      </w:pPr>
      <w:r w:rsidRPr="00A77AF6">
        <w:t xml:space="preserve">The </w:t>
      </w:r>
      <w:r w:rsidR="007B1E2B" w:rsidRPr="00A77AF6">
        <w:t>trust</w:t>
      </w:r>
      <w:r w:rsidRPr="00A77AF6">
        <w:t xml:space="preserve"> board</w:t>
      </w:r>
      <w:r w:rsidR="00A520D9">
        <w:t xml:space="preserve">’s perceived lack of understanding </w:t>
      </w:r>
      <w:r w:rsidR="00A916C4">
        <w:t xml:space="preserve"> leads it to </w:t>
      </w:r>
      <w:r w:rsidRPr="00A77AF6">
        <w:t xml:space="preserve">see </w:t>
      </w:r>
      <w:r w:rsidR="007B1E2B" w:rsidRPr="00A77AF6">
        <w:t xml:space="preserve">reporting </w:t>
      </w:r>
      <w:r w:rsidRPr="00A77AF6">
        <w:t xml:space="preserve">lines in a project organisation chart and </w:t>
      </w:r>
      <w:r w:rsidR="00A916C4">
        <w:t xml:space="preserve">believe </w:t>
      </w:r>
      <w:r w:rsidRPr="00A77AF6">
        <w:t xml:space="preserve">that the project manager </w:t>
      </w:r>
      <w:r w:rsidR="00A916C4">
        <w:t>is</w:t>
      </w:r>
      <w:r w:rsidRPr="00A77AF6">
        <w:t xml:space="preserve"> responsible for governance but does not consider how the project manager links back into the organisation. </w:t>
      </w:r>
      <w:r w:rsidR="00A916C4">
        <w:t xml:space="preserve">In a sense the trust board delegates to the project manager the responsibility of governance that should be shared.  </w:t>
      </w:r>
      <w:r w:rsidR="00DB45D1" w:rsidRPr="00A77AF6">
        <w:t xml:space="preserve">This makes it difficult for the </w:t>
      </w:r>
      <w:r w:rsidR="00A916C4">
        <w:t xml:space="preserve">trust </w:t>
      </w:r>
      <w:r w:rsidRPr="00A77AF6">
        <w:t>b</w:t>
      </w:r>
      <w:r w:rsidR="00DB45D1" w:rsidRPr="00A77AF6">
        <w:t xml:space="preserve">oard </w:t>
      </w:r>
      <w:r w:rsidR="00A916C4">
        <w:t xml:space="preserve">and project board </w:t>
      </w:r>
      <w:r w:rsidR="00DB45D1" w:rsidRPr="00A77AF6">
        <w:t xml:space="preserve">to </w:t>
      </w:r>
      <w:r w:rsidR="00A916C4">
        <w:t xml:space="preserve">have </w:t>
      </w:r>
      <w:r w:rsidR="00DB45D1" w:rsidRPr="00A77AF6">
        <w:t>honest and open exchange</w:t>
      </w:r>
      <w:r w:rsidRPr="00A77AF6">
        <w:t>s</w:t>
      </w:r>
      <w:r w:rsidR="00DB45D1" w:rsidRPr="00A77AF6">
        <w:t xml:space="preserve"> of information</w:t>
      </w:r>
      <w:r w:rsidRPr="00A77AF6">
        <w:t xml:space="preserve"> </w:t>
      </w:r>
      <w:r w:rsidR="00A916C4">
        <w:t xml:space="preserve">because the project is treated as though it is a standalone entity, reporting to the trust board but separate from it.  </w:t>
      </w:r>
      <w:r w:rsidRPr="00A77AF6">
        <w:t xml:space="preserve">Furthermore, the exercise of </w:t>
      </w:r>
      <w:r w:rsidR="007B1E2B" w:rsidRPr="00A77AF6">
        <w:t>board</w:t>
      </w:r>
      <w:r w:rsidRPr="00A77AF6">
        <w:t xml:space="preserve"> authority over the project teams</w:t>
      </w:r>
      <w:r w:rsidR="007B1E2B" w:rsidRPr="00A77AF6">
        <w:t xml:space="preserve"> is </w:t>
      </w:r>
      <w:r w:rsidRPr="00A77AF6">
        <w:t xml:space="preserve">based </w:t>
      </w:r>
      <w:r w:rsidR="007B1E2B" w:rsidRPr="00A77AF6">
        <w:t xml:space="preserve">on a </w:t>
      </w:r>
      <w:r w:rsidRPr="00A77AF6">
        <w:t>limited understanding of the ability of project teams</w:t>
      </w:r>
      <w:r w:rsidR="007B1E2B" w:rsidRPr="00A77AF6">
        <w:t xml:space="preserve"> always</w:t>
      </w:r>
      <w:r w:rsidRPr="00A77AF6">
        <w:t xml:space="preserve"> to meet expectations</w:t>
      </w:r>
      <w:r w:rsidR="007B1E2B" w:rsidRPr="00A77AF6">
        <w:t>, and this is</w:t>
      </w:r>
      <w:r w:rsidRPr="00A77AF6">
        <w:t xml:space="preserve"> harmful for projects and project team</w:t>
      </w:r>
      <w:r w:rsidR="007B1E2B" w:rsidRPr="00A77AF6">
        <w:t xml:space="preserve"> because it leads to a blame culture</w:t>
      </w:r>
      <w:r w:rsidRPr="00A77AF6">
        <w:t xml:space="preserve"> </w:t>
      </w:r>
    </w:p>
    <w:p w14:paraId="787EE967" w14:textId="352A46C3" w:rsidR="00163F0C" w:rsidRPr="00A77AF6" w:rsidRDefault="00163F0C" w:rsidP="00163F0C">
      <w:pPr>
        <w:spacing w:line="240" w:lineRule="auto"/>
        <w:ind w:left="720"/>
        <w:rPr>
          <w:rFonts w:eastAsia="Times New Roman" w:cstheme="minorHAnsi"/>
          <w:color w:val="000000"/>
          <w:lang w:eastAsia="en-GB"/>
        </w:rPr>
      </w:pPr>
      <w:r w:rsidRPr="00A77AF6">
        <w:rPr>
          <w:i/>
        </w:rPr>
        <w:t>‘I think there should be a healthy tension between the governances because it should be about reporting, but I think it can easily tip over to be very unhealthy.  It should be a positive tension but really it is not’ (</w:t>
      </w:r>
      <w:r w:rsidRPr="00A77AF6">
        <w:rPr>
          <w:rFonts w:eastAsia="Times New Roman" w:cstheme="minorHAnsi"/>
          <w:color w:val="000000"/>
          <w:lang w:eastAsia="en-GB"/>
        </w:rPr>
        <w:t>Expert C)</w:t>
      </w:r>
    </w:p>
    <w:p w14:paraId="7DC06793" w14:textId="77777777" w:rsidR="00A916C4" w:rsidRDefault="00FF7172" w:rsidP="00083BE8">
      <w:pPr>
        <w:spacing w:line="360" w:lineRule="auto"/>
        <w:rPr>
          <w:rFonts w:eastAsia="Times New Roman" w:cstheme="minorHAnsi"/>
          <w:color w:val="000000"/>
          <w:lang w:eastAsia="en-GB"/>
        </w:rPr>
      </w:pPr>
      <w:r w:rsidRPr="00A77AF6">
        <w:t xml:space="preserve">Unrealistic expectations were compounded by the </w:t>
      </w:r>
      <w:r w:rsidR="00083BE8" w:rsidRPr="00A77AF6">
        <w:t xml:space="preserve">corporate boards perceived inability to understand the implications of what they were being told, as previously described. </w:t>
      </w:r>
      <w:r w:rsidR="007B1E2B" w:rsidRPr="00A77AF6">
        <w:rPr>
          <w:rFonts w:eastAsia="Times New Roman" w:cstheme="minorHAnsi"/>
          <w:color w:val="000000"/>
          <w:lang w:eastAsia="en-GB"/>
        </w:rPr>
        <w:t>S</w:t>
      </w:r>
      <w:r w:rsidR="00661757" w:rsidRPr="00A77AF6">
        <w:rPr>
          <w:rFonts w:eastAsia="Times New Roman" w:cstheme="minorHAnsi"/>
          <w:color w:val="000000"/>
          <w:lang w:eastAsia="en-GB"/>
        </w:rPr>
        <w:t>ome of this c</w:t>
      </w:r>
      <w:r w:rsidR="007B1E2B" w:rsidRPr="00A77AF6">
        <w:rPr>
          <w:rFonts w:eastAsia="Times New Roman" w:cstheme="minorHAnsi"/>
          <w:color w:val="000000"/>
          <w:lang w:eastAsia="en-GB"/>
        </w:rPr>
        <w:t xml:space="preserve">omes from </w:t>
      </w:r>
      <w:r w:rsidR="00661757" w:rsidRPr="00A77AF6">
        <w:rPr>
          <w:rFonts w:eastAsia="Times New Roman" w:cstheme="minorHAnsi"/>
          <w:color w:val="000000"/>
          <w:lang w:eastAsia="en-GB"/>
        </w:rPr>
        <w:t>non-Executive Directors w</w:t>
      </w:r>
      <w:r w:rsidR="007B1E2B" w:rsidRPr="00A77AF6">
        <w:rPr>
          <w:rFonts w:eastAsia="Times New Roman" w:cstheme="minorHAnsi"/>
          <w:color w:val="000000"/>
          <w:lang w:eastAsia="en-GB"/>
        </w:rPr>
        <w:t>ho are</w:t>
      </w:r>
      <w:r w:rsidR="00661757" w:rsidRPr="00A77AF6">
        <w:rPr>
          <w:rFonts w:eastAsia="Times New Roman" w:cstheme="minorHAnsi"/>
          <w:color w:val="000000"/>
          <w:lang w:eastAsia="en-GB"/>
        </w:rPr>
        <w:t xml:space="preserve"> </w:t>
      </w:r>
      <w:r w:rsidR="007B1E2B" w:rsidRPr="00A77AF6">
        <w:rPr>
          <w:rFonts w:eastAsia="Times New Roman" w:cstheme="minorHAnsi"/>
          <w:color w:val="000000"/>
          <w:lang w:eastAsia="en-GB"/>
        </w:rPr>
        <w:t xml:space="preserve">often not </w:t>
      </w:r>
      <w:r w:rsidR="00661757" w:rsidRPr="00A77AF6">
        <w:rPr>
          <w:rFonts w:eastAsia="Times New Roman" w:cstheme="minorHAnsi"/>
          <w:color w:val="000000"/>
          <w:lang w:eastAsia="en-GB"/>
        </w:rPr>
        <w:t xml:space="preserve">NHS employees and </w:t>
      </w:r>
      <w:r w:rsidR="007B1E2B" w:rsidRPr="00A77AF6">
        <w:rPr>
          <w:rFonts w:eastAsia="Times New Roman" w:cstheme="minorHAnsi"/>
          <w:color w:val="000000"/>
          <w:lang w:eastAsia="en-GB"/>
        </w:rPr>
        <w:t xml:space="preserve">so have a </w:t>
      </w:r>
      <w:r w:rsidR="00661757" w:rsidRPr="00A77AF6">
        <w:rPr>
          <w:rFonts w:eastAsia="Times New Roman" w:cstheme="minorHAnsi"/>
          <w:color w:val="000000"/>
          <w:lang w:eastAsia="en-GB"/>
        </w:rPr>
        <w:t xml:space="preserve">different view </w:t>
      </w:r>
      <w:r w:rsidR="007B1E2B" w:rsidRPr="00A77AF6">
        <w:rPr>
          <w:rFonts w:eastAsia="Times New Roman" w:cstheme="minorHAnsi"/>
          <w:color w:val="000000"/>
          <w:lang w:eastAsia="en-GB"/>
        </w:rPr>
        <w:t>about</w:t>
      </w:r>
      <w:r w:rsidR="00661757" w:rsidRPr="00A77AF6">
        <w:rPr>
          <w:rFonts w:eastAsia="Times New Roman" w:cstheme="minorHAnsi"/>
          <w:color w:val="000000"/>
          <w:lang w:eastAsia="en-GB"/>
        </w:rPr>
        <w:t xml:space="preserve"> projects from the </w:t>
      </w:r>
      <w:r w:rsidR="007B1E2B" w:rsidRPr="00A77AF6">
        <w:rPr>
          <w:rFonts w:eastAsia="Times New Roman" w:cstheme="minorHAnsi"/>
          <w:color w:val="000000"/>
          <w:lang w:eastAsia="en-GB"/>
        </w:rPr>
        <w:t>e</w:t>
      </w:r>
      <w:r w:rsidR="00661757" w:rsidRPr="00A77AF6">
        <w:rPr>
          <w:rFonts w:eastAsia="Times New Roman" w:cstheme="minorHAnsi"/>
          <w:color w:val="000000"/>
          <w:lang w:eastAsia="en-GB"/>
        </w:rPr>
        <w:t xml:space="preserve">xecutive </w:t>
      </w:r>
      <w:r w:rsidR="007B1E2B" w:rsidRPr="00A77AF6">
        <w:rPr>
          <w:rFonts w:eastAsia="Times New Roman" w:cstheme="minorHAnsi"/>
          <w:color w:val="000000"/>
          <w:lang w:eastAsia="en-GB"/>
        </w:rPr>
        <w:t>d</w:t>
      </w:r>
      <w:r w:rsidR="00661757" w:rsidRPr="00A77AF6">
        <w:rPr>
          <w:rFonts w:eastAsia="Times New Roman" w:cstheme="minorHAnsi"/>
          <w:color w:val="000000"/>
          <w:lang w:eastAsia="en-GB"/>
        </w:rPr>
        <w:t xml:space="preserve">irectors. </w:t>
      </w:r>
    </w:p>
    <w:p w14:paraId="576789DD" w14:textId="7FE3ECC3" w:rsidR="00E81047" w:rsidRPr="00A916C4" w:rsidRDefault="00661757" w:rsidP="00083BE8">
      <w:pPr>
        <w:spacing w:line="360" w:lineRule="auto"/>
        <w:rPr>
          <w:i/>
        </w:rPr>
      </w:pPr>
      <w:r w:rsidRPr="00A77AF6">
        <w:rPr>
          <w:rFonts w:eastAsia="Times New Roman" w:cstheme="minorHAnsi"/>
          <w:color w:val="000000"/>
          <w:lang w:eastAsia="en-GB"/>
        </w:rPr>
        <w:t xml:space="preserve"> </w:t>
      </w:r>
      <w:r w:rsidR="00083BE8" w:rsidRPr="00A77AF6">
        <w:t xml:space="preserve">Some experts </w:t>
      </w:r>
      <w:r w:rsidR="00A916C4">
        <w:t xml:space="preserve">felt that </w:t>
      </w:r>
      <w:r w:rsidR="00083BE8" w:rsidRPr="00A77AF6">
        <w:t>it was not always possible to have visibility of the governance layer, and this depended on your role in the project</w:t>
      </w:r>
      <w:r w:rsidR="00A916C4">
        <w:t xml:space="preserve"> so p</w:t>
      </w:r>
      <w:r w:rsidR="00083BE8" w:rsidRPr="00A77AF6">
        <w:t>eople were often working in a project without a complete understanding of h</w:t>
      </w:r>
      <w:r w:rsidR="00055DF4">
        <w:t xml:space="preserve">ow </w:t>
      </w:r>
      <w:r w:rsidR="00083BE8" w:rsidRPr="00A77AF6">
        <w:t>they</w:t>
      </w:r>
      <w:r w:rsidR="00055DF4">
        <w:t xml:space="preserve">, </w:t>
      </w:r>
      <w:r w:rsidR="00083BE8" w:rsidRPr="00A77AF6">
        <w:t>or</w:t>
      </w:r>
      <w:r w:rsidR="00055DF4">
        <w:t xml:space="preserve"> </w:t>
      </w:r>
      <w:r w:rsidR="00083BE8" w:rsidRPr="00A77AF6">
        <w:t>other</w:t>
      </w:r>
      <w:r w:rsidR="00055DF4">
        <w:t>s</w:t>
      </w:r>
      <w:r w:rsidR="00083BE8" w:rsidRPr="00A77AF6">
        <w:t xml:space="preserve"> fit in.  The apparent disconnection of the trust board from the project added to the feeling of fragmentation,  </w:t>
      </w:r>
    </w:p>
    <w:p w14:paraId="2FD80B67" w14:textId="17982CEF" w:rsidR="007E599D" w:rsidRPr="00A77AF6" w:rsidRDefault="00A916C4" w:rsidP="005E7C94">
      <w:pPr>
        <w:spacing w:line="360" w:lineRule="auto"/>
        <w:rPr>
          <w:rFonts w:ascii="Calibri" w:hAnsi="Calibri" w:cs="Arial"/>
        </w:rPr>
      </w:pPr>
      <w:r w:rsidRPr="00A77AF6">
        <w:rPr>
          <w:rFonts w:ascii="Calibri" w:hAnsi="Calibri" w:cs="Arial"/>
        </w:rPr>
        <w:t>Project directors have a unique and powerful position allowing them to control the timing and flow of information from the project to the trust board and vice versa</w:t>
      </w:r>
      <w:r w:rsidR="005E7C94">
        <w:rPr>
          <w:rFonts w:ascii="Calibri" w:hAnsi="Calibri" w:cs="Arial"/>
        </w:rPr>
        <w:t xml:space="preserve"> </w:t>
      </w:r>
      <w:r w:rsidR="005E7C94" w:rsidRPr="00A77AF6">
        <w:rPr>
          <w:rFonts w:ascii="Calibri" w:hAnsi="Calibri" w:cs="Arial"/>
        </w:rPr>
        <w:t>(Table 7-8)</w:t>
      </w:r>
      <w:r w:rsidRPr="00A77AF6">
        <w:rPr>
          <w:rFonts w:ascii="Calibri" w:hAnsi="Calibri" w:cs="Arial"/>
        </w:rPr>
        <w:t xml:space="preserve">. </w:t>
      </w:r>
      <w:r w:rsidR="005E7C94" w:rsidRPr="00A77AF6">
        <w:rPr>
          <w:rFonts w:ascii="Calibri" w:hAnsi="Calibri" w:cs="Arial"/>
        </w:rPr>
        <w:t xml:space="preserve">This position of power flows from their position in the project structure </w:t>
      </w:r>
      <w:r w:rsidR="00055DF4">
        <w:rPr>
          <w:rFonts w:ascii="Calibri" w:hAnsi="Calibri" w:cs="Arial"/>
        </w:rPr>
        <w:t xml:space="preserve">acting </w:t>
      </w:r>
      <w:r w:rsidR="005E7C94" w:rsidRPr="00A77AF6">
        <w:rPr>
          <w:rFonts w:ascii="Calibri" w:hAnsi="Calibri" w:cs="Arial"/>
        </w:rPr>
        <w:t xml:space="preserve">as the bridge between the project structure and the trust board.  </w:t>
      </w:r>
    </w:p>
    <w:p w14:paraId="6BC67DAF" w14:textId="44DBA256" w:rsidR="007717CB" w:rsidRPr="00A77AF6" w:rsidRDefault="007717CB" w:rsidP="0007452B">
      <w:pPr>
        <w:pStyle w:val="Caption"/>
        <w:keepNext/>
        <w:spacing w:after="120"/>
      </w:pPr>
      <w:r w:rsidRPr="00A77AF6">
        <w:lastRenderedPageBreak/>
        <w:t xml:space="preserve">Table </w:t>
      </w:r>
      <w:fldSimple w:instr=" STYLEREF 1 \s ">
        <w:r w:rsidR="000441F7">
          <w:rPr>
            <w:noProof/>
          </w:rPr>
          <w:t>7</w:t>
        </w:r>
      </w:fldSimple>
      <w:r w:rsidR="00804112">
        <w:noBreakHyphen/>
      </w:r>
      <w:fldSimple w:instr=" SEQ Table \* ARABIC \s 1 ">
        <w:r w:rsidR="000441F7">
          <w:rPr>
            <w:noProof/>
          </w:rPr>
          <w:t>8</w:t>
        </w:r>
      </w:fldSimple>
      <w:r w:rsidRPr="00A77AF6">
        <w:t xml:space="preserve">: Coding of respondents’ views on the </w:t>
      </w:r>
      <w:r w:rsidR="008B0E67" w:rsidRPr="00A77AF6">
        <w:t>p</w:t>
      </w:r>
      <w:r w:rsidRPr="00A77AF6">
        <w:t xml:space="preserve">roject </w:t>
      </w:r>
      <w:r w:rsidR="008B0E67" w:rsidRPr="00A77AF6">
        <w:t>d</w:t>
      </w:r>
      <w:r w:rsidRPr="00A77AF6">
        <w:t>irector</w:t>
      </w:r>
    </w:p>
    <w:tbl>
      <w:tblPr>
        <w:tblStyle w:val="TableGrid"/>
        <w:tblW w:w="0" w:type="auto"/>
        <w:tblLook w:val="04A0" w:firstRow="1" w:lastRow="0" w:firstColumn="1" w:lastColumn="0" w:noHBand="0" w:noVBand="1"/>
      </w:tblPr>
      <w:tblGrid>
        <w:gridCol w:w="1860"/>
        <w:gridCol w:w="4368"/>
        <w:gridCol w:w="983"/>
        <w:gridCol w:w="1148"/>
      </w:tblGrid>
      <w:tr w:rsidR="007717CB" w:rsidRPr="00A77AF6" w14:paraId="614FA873" w14:textId="77777777" w:rsidTr="004874DF">
        <w:tc>
          <w:tcPr>
            <w:tcW w:w="1860" w:type="dxa"/>
            <w:shd w:val="clear" w:color="auto" w:fill="D9D9D9" w:themeFill="background1" w:themeFillShade="D9"/>
          </w:tcPr>
          <w:p w14:paraId="38D0A639" w14:textId="77777777" w:rsidR="007717CB" w:rsidRPr="00A77AF6" w:rsidRDefault="007717CB" w:rsidP="004874DF">
            <w:pPr>
              <w:spacing w:line="276" w:lineRule="auto"/>
              <w:rPr>
                <w:rFonts w:ascii="Calibri" w:hAnsi="Calibri" w:cs="Arial"/>
                <w:sz w:val="20"/>
              </w:rPr>
            </w:pPr>
            <w:r w:rsidRPr="00A77AF6">
              <w:rPr>
                <w:rFonts w:ascii="Calibri" w:hAnsi="Calibri" w:cs="Arial"/>
                <w:sz w:val="20"/>
              </w:rPr>
              <w:t>Main Code</w:t>
            </w:r>
          </w:p>
          <w:p w14:paraId="3785B817" w14:textId="77777777" w:rsidR="007717CB" w:rsidRPr="00A77AF6" w:rsidRDefault="007717CB" w:rsidP="004874DF">
            <w:pPr>
              <w:spacing w:line="276" w:lineRule="auto"/>
              <w:rPr>
                <w:rFonts w:ascii="Calibri" w:hAnsi="Calibri" w:cs="Arial"/>
                <w:sz w:val="20"/>
              </w:rPr>
            </w:pPr>
          </w:p>
        </w:tc>
        <w:tc>
          <w:tcPr>
            <w:tcW w:w="4368" w:type="dxa"/>
            <w:tcBorders>
              <w:bottom w:val="single" w:sz="4" w:space="0" w:color="auto"/>
            </w:tcBorders>
            <w:shd w:val="clear" w:color="auto" w:fill="D9D9D9" w:themeFill="background1" w:themeFillShade="D9"/>
          </w:tcPr>
          <w:p w14:paraId="1FF42CF7" w14:textId="77777777" w:rsidR="007717CB" w:rsidRPr="00A77AF6" w:rsidRDefault="007717CB" w:rsidP="004874DF">
            <w:pPr>
              <w:spacing w:line="276" w:lineRule="auto"/>
              <w:rPr>
                <w:rFonts w:ascii="Calibri" w:hAnsi="Calibri" w:cs="Arial"/>
                <w:sz w:val="20"/>
              </w:rPr>
            </w:pPr>
            <w:r w:rsidRPr="00A77AF6">
              <w:rPr>
                <w:rFonts w:ascii="Calibri" w:hAnsi="Calibri" w:cs="Arial"/>
                <w:sz w:val="20"/>
              </w:rPr>
              <w:t>Sub codes</w:t>
            </w:r>
          </w:p>
        </w:tc>
        <w:tc>
          <w:tcPr>
            <w:tcW w:w="983" w:type="dxa"/>
            <w:tcBorders>
              <w:bottom w:val="single" w:sz="4" w:space="0" w:color="auto"/>
            </w:tcBorders>
            <w:shd w:val="clear" w:color="auto" w:fill="D9D9D9" w:themeFill="background1" w:themeFillShade="D9"/>
          </w:tcPr>
          <w:p w14:paraId="756DB4B4" w14:textId="77777777" w:rsidR="007717CB" w:rsidRPr="00A77AF6" w:rsidRDefault="007717CB" w:rsidP="004874DF">
            <w:pPr>
              <w:spacing w:line="276" w:lineRule="auto"/>
              <w:rPr>
                <w:rFonts w:ascii="Calibri" w:hAnsi="Calibri" w:cs="Arial"/>
                <w:sz w:val="20"/>
              </w:rPr>
            </w:pPr>
            <w:r w:rsidRPr="00A77AF6">
              <w:rPr>
                <w:rFonts w:ascii="Calibri" w:hAnsi="Calibri" w:cs="Arial"/>
                <w:sz w:val="20"/>
              </w:rPr>
              <w:t>No. of mentions</w:t>
            </w:r>
          </w:p>
        </w:tc>
        <w:tc>
          <w:tcPr>
            <w:tcW w:w="1148" w:type="dxa"/>
            <w:shd w:val="clear" w:color="auto" w:fill="D9D9D9" w:themeFill="background1" w:themeFillShade="D9"/>
          </w:tcPr>
          <w:p w14:paraId="0CBA4758" w14:textId="77777777" w:rsidR="007717CB" w:rsidRPr="00A77AF6" w:rsidRDefault="007717CB" w:rsidP="004874DF">
            <w:pPr>
              <w:spacing w:line="276" w:lineRule="auto"/>
              <w:rPr>
                <w:rFonts w:ascii="Calibri" w:hAnsi="Calibri" w:cs="Arial"/>
                <w:sz w:val="20"/>
              </w:rPr>
            </w:pPr>
            <w:r w:rsidRPr="00A77AF6">
              <w:rPr>
                <w:rFonts w:ascii="Calibri" w:hAnsi="Calibri" w:cs="Arial"/>
                <w:sz w:val="20"/>
              </w:rPr>
              <w:t>Total mentions</w:t>
            </w:r>
          </w:p>
        </w:tc>
      </w:tr>
      <w:tr w:rsidR="007717CB" w:rsidRPr="00A77AF6" w14:paraId="5BC34407" w14:textId="77777777" w:rsidTr="004874DF">
        <w:tc>
          <w:tcPr>
            <w:tcW w:w="1860" w:type="dxa"/>
            <w:vMerge w:val="restart"/>
            <w:tcBorders>
              <w:right w:val="single" w:sz="4" w:space="0" w:color="auto"/>
            </w:tcBorders>
          </w:tcPr>
          <w:p w14:paraId="47FE276F" w14:textId="77777777" w:rsidR="007717CB" w:rsidRPr="00A77AF6" w:rsidRDefault="007717CB" w:rsidP="004874DF">
            <w:pPr>
              <w:spacing w:after="120" w:line="276" w:lineRule="auto"/>
              <w:rPr>
                <w:rFonts w:ascii="Calibri" w:hAnsi="Calibri" w:cs="Arial"/>
                <w:sz w:val="20"/>
              </w:rPr>
            </w:pPr>
            <w:r w:rsidRPr="00A77AF6">
              <w:rPr>
                <w:rFonts w:ascii="Calibri" w:hAnsi="Calibri" w:cs="Arial"/>
                <w:sz w:val="20"/>
              </w:rPr>
              <w:t>Project Director (project/ corporate governance interface)</w:t>
            </w:r>
          </w:p>
        </w:tc>
        <w:tc>
          <w:tcPr>
            <w:tcW w:w="4368" w:type="dxa"/>
            <w:tcBorders>
              <w:top w:val="single" w:sz="4" w:space="0" w:color="auto"/>
              <w:left w:val="single" w:sz="4" w:space="0" w:color="auto"/>
              <w:bottom w:val="dotted" w:sz="4" w:space="0" w:color="auto"/>
              <w:right w:val="dotted" w:sz="4" w:space="0" w:color="auto"/>
            </w:tcBorders>
          </w:tcPr>
          <w:p w14:paraId="7C3B9720" w14:textId="35120177" w:rsidR="007717CB" w:rsidRPr="00A77AF6" w:rsidRDefault="007717CB" w:rsidP="004874DF">
            <w:pPr>
              <w:spacing w:line="276" w:lineRule="auto"/>
              <w:rPr>
                <w:rFonts w:ascii="Calibri" w:hAnsi="Calibri" w:cs="Arial"/>
                <w:sz w:val="20"/>
              </w:rPr>
            </w:pPr>
            <w:r w:rsidRPr="00A77AF6">
              <w:rPr>
                <w:rFonts w:ascii="Calibri" w:hAnsi="Calibri" w:cs="Arial"/>
                <w:sz w:val="20"/>
              </w:rPr>
              <w:t xml:space="preserve">Decide what goes up to the </w:t>
            </w:r>
            <w:r w:rsidR="008B0E67" w:rsidRPr="00A77AF6">
              <w:rPr>
                <w:rFonts w:ascii="Calibri" w:hAnsi="Calibri" w:cs="Arial"/>
                <w:sz w:val="20"/>
              </w:rPr>
              <w:t>t</w:t>
            </w:r>
            <w:r w:rsidRPr="00A77AF6">
              <w:rPr>
                <w:rFonts w:ascii="Calibri" w:hAnsi="Calibri" w:cs="Arial"/>
                <w:sz w:val="20"/>
              </w:rPr>
              <w:t xml:space="preserve">rust </w:t>
            </w:r>
            <w:r w:rsidR="008B0E67" w:rsidRPr="00A77AF6">
              <w:rPr>
                <w:rFonts w:ascii="Calibri" w:hAnsi="Calibri" w:cs="Arial"/>
                <w:sz w:val="20"/>
              </w:rPr>
              <w:t>b</w:t>
            </w:r>
            <w:r w:rsidRPr="00A77AF6">
              <w:rPr>
                <w:rFonts w:ascii="Calibri" w:hAnsi="Calibri" w:cs="Arial"/>
                <w:sz w:val="20"/>
              </w:rPr>
              <w:t>oard</w:t>
            </w:r>
          </w:p>
        </w:tc>
        <w:tc>
          <w:tcPr>
            <w:tcW w:w="983" w:type="dxa"/>
            <w:tcBorders>
              <w:top w:val="single" w:sz="4" w:space="0" w:color="auto"/>
              <w:left w:val="dotted" w:sz="4" w:space="0" w:color="auto"/>
              <w:bottom w:val="dotted" w:sz="4" w:space="0" w:color="auto"/>
              <w:right w:val="single" w:sz="4" w:space="0" w:color="auto"/>
            </w:tcBorders>
          </w:tcPr>
          <w:p w14:paraId="1521A39C" w14:textId="77777777" w:rsidR="007717CB" w:rsidRPr="00A77AF6" w:rsidRDefault="007717CB" w:rsidP="004874DF">
            <w:pPr>
              <w:spacing w:line="276" w:lineRule="auto"/>
              <w:rPr>
                <w:rFonts w:ascii="Calibri" w:hAnsi="Calibri" w:cs="Arial"/>
                <w:sz w:val="20"/>
              </w:rPr>
            </w:pPr>
            <w:r w:rsidRPr="00A77AF6">
              <w:rPr>
                <w:rFonts w:ascii="Calibri" w:hAnsi="Calibri" w:cs="Arial"/>
                <w:sz w:val="20"/>
              </w:rPr>
              <w:t>1</w:t>
            </w:r>
          </w:p>
        </w:tc>
        <w:tc>
          <w:tcPr>
            <w:tcW w:w="1148" w:type="dxa"/>
            <w:vMerge w:val="restart"/>
            <w:tcBorders>
              <w:left w:val="single" w:sz="4" w:space="0" w:color="auto"/>
            </w:tcBorders>
            <w:vAlign w:val="center"/>
          </w:tcPr>
          <w:p w14:paraId="468E4A40" w14:textId="77777777" w:rsidR="007717CB" w:rsidRPr="00A77AF6" w:rsidRDefault="007717CB" w:rsidP="004874DF">
            <w:pPr>
              <w:spacing w:line="276" w:lineRule="auto"/>
              <w:jc w:val="center"/>
              <w:rPr>
                <w:rFonts w:ascii="Calibri" w:hAnsi="Calibri" w:cs="Arial"/>
                <w:sz w:val="20"/>
              </w:rPr>
            </w:pPr>
            <w:r w:rsidRPr="00A77AF6">
              <w:rPr>
                <w:rFonts w:ascii="Calibri" w:hAnsi="Calibri" w:cs="Arial"/>
                <w:sz w:val="20"/>
              </w:rPr>
              <w:t>5</w:t>
            </w:r>
          </w:p>
        </w:tc>
      </w:tr>
      <w:tr w:rsidR="007717CB" w:rsidRPr="00A77AF6" w14:paraId="3A8F1CF9" w14:textId="77777777" w:rsidTr="004874DF">
        <w:tc>
          <w:tcPr>
            <w:tcW w:w="1860" w:type="dxa"/>
            <w:vMerge/>
            <w:tcBorders>
              <w:right w:val="single" w:sz="4" w:space="0" w:color="auto"/>
            </w:tcBorders>
          </w:tcPr>
          <w:p w14:paraId="6D15A505" w14:textId="77777777" w:rsidR="007717CB" w:rsidRPr="00A77AF6" w:rsidRDefault="007717CB" w:rsidP="004874DF">
            <w:pPr>
              <w:spacing w:after="120" w:line="276" w:lineRule="auto"/>
              <w:rPr>
                <w:rFonts w:ascii="Calibri" w:hAnsi="Calibri" w:cs="Arial"/>
                <w:sz w:val="20"/>
              </w:rPr>
            </w:pPr>
          </w:p>
        </w:tc>
        <w:tc>
          <w:tcPr>
            <w:tcW w:w="4368" w:type="dxa"/>
            <w:tcBorders>
              <w:top w:val="dotted" w:sz="4" w:space="0" w:color="auto"/>
              <w:left w:val="single" w:sz="4" w:space="0" w:color="auto"/>
              <w:bottom w:val="dotted" w:sz="4" w:space="0" w:color="auto"/>
              <w:right w:val="dotted" w:sz="4" w:space="0" w:color="auto"/>
            </w:tcBorders>
          </w:tcPr>
          <w:p w14:paraId="7268A0E8" w14:textId="77777777" w:rsidR="007717CB" w:rsidRPr="00A77AF6" w:rsidRDefault="007717CB" w:rsidP="004874DF">
            <w:pPr>
              <w:spacing w:line="276" w:lineRule="auto"/>
              <w:rPr>
                <w:rFonts w:ascii="Calibri" w:hAnsi="Calibri" w:cs="Arial"/>
                <w:sz w:val="20"/>
              </w:rPr>
            </w:pPr>
            <w:r w:rsidRPr="00A77AF6">
              <w:rPr>
                <w:rFonts w:ascii="Calibri" w:hAnsi="Calibri" w:cs="Arial"/>
                <w:sz w:val="20"/>
              </w:rPr>
              <w:t>Governance depends on the project lead</w:t>
            </w:r>
          </w:p>
        </w:tc>
        <w:tc>
          <w:tcPr>
            <w:tcW w:w="983" w:type="dxa"/>
            <w:tcBorders>
              <w:top w:val="dotted" w:sz="4" w:space="0" w:color="auto"/>
              <w:left w:val="dotted" w:sz="4" w:space="0" w:color="auto"/>
              <w:bottom w:val="dotted" w:sz="4" w:space="0" w:color="auto"/>
              <w:right w:val="single" w:sz="4" w:space="0" w:color="auto"/>
            </w:tcBorders>
          </w:tcPr>
          <w:p w14:paraId="32F1DA4B" w14:textId="77777777" w:rsidR="007717CB" w:rsidRPr="00A77AF6" w:rsidRDefault="007717CB" w:rsidP="004874DF">
            <w:pPr>
              <w:spacing w:line="276" w:lineRule="auto"/>
              <w:rPr>
                <w:rFonts w:ascii="Calibri" w:hAnsi="Calibri" w:cs="Arial"/>
                <w:sz w:val="20"/>
              </w:rPr>
            </w:pPr>
            <w:r w:rsidRPr="00A77AF6">
              <w:rPr>
                <w:rFonts w:ascii="Calibri" w:hAnsi="Calibri" w:cs="Arial"/>
                <w:sz w:val="20"/>
              </w:rPr>
              <w:t>1</w:t>
            </w:r>
          </w:p>
        </w:tc>
        <w:tc>
          <w:tcPr>
            <w:tcW w:w="1148" w:type="dxa"/>
            <w:vMerge/>
            <w:tcBorders>
              <w:left w:val="single" w:sz="4" w:space="0" w:color="auto"/>
            </w:tcBorders>
          </w:tcPr>
          <w:p w14:paraId="03504C63" w14:textId="77777777" w:rsidR="007717CB" w:rsidRPr="00A77AF6" w:rsidRDefault="007717CB" w:rsidP="004874DF">
            <w:pPr>
              <w:spacing w:line="276" w:lineRule="auto"/>
              <w:rPr>
                <w:rFonts w:ascii="Calibri" w:hAnsi="Calibri" w:cs="Arial"/>
                <w:sz w:val="20"/>
              </w:rPr>
            </w:pPr>
          </w:p>
        </w:tc>
      </w:tr>
      <w:tr w:rsidR="007717CB" w:rsidRPr="00A77AF6" w14:paraId="5695002E" w14:textId="77777777" w:rsidTr="004874DF">
        <w:tc>
          <w:tcPr>
            <w:tcW w:w="1860" w:type="dxa"/>
            <w:vMerge/>
            <w:tcBorders>
              <w:right w:val="single" w:sz="4" w:space="0" w:color="auto"/>
            </w:tcBorders>
          </w:tcPr>
          <w:p w14:paraId="1F576057" w14:textId="77777777" w:rsidR="007717CB" w:rsidRPr="00A77AF6" w:rsidRDefault="007717CB" w:rsidP="004874DF">
            <w:pPr>
              <w:spacing w:after="120" w:line="276" w:lineRule="auto"/>
              <w:rPr>
                <w:rFonts w:ascii="Calibri" w:hAnsi="Calibri" w:cs="Arial"/>
                <w:sz w:val="20"/>
              </w:rPr>
            </w:pPr>
          </w:p>
        </w:tc>
        <w:tc>
          <w:tcPr>
            <w:tcW w:w="4368" w:type="dxa"/>
            <w:tcBorders>
              <w:top w:val="dotted" w:sz="4" w:space="0" w:color="auto"/>
              <w:left w:val="single" w:sz="4" w:space="0" w:color="auto"/>
              <w:bottom w:val="dotted" w:sz="4" w:space="0" w:color="auto"/>
              <w:right w:val="dotted" w:sz="4" w:space="0" w:color="auto"/>
            </w:tcBorders>
          </w:tcPr>
          <w:p w14:paraId="7617B8F4" w14:textId="77777777" w:rsidR="007717CB" w:rsidRPr="00A77AF6" w:rsidRDefault="007717CB" w:rsidP="004874DF">
            <w:pPr>
              <w:spacing w:line="276" w:lineRule="auto"/>
              <w:rPr>
                <w:rFonts w:ascii="Calibri" w:hAnsi="Calibri" w:cs="Arial"/>
                <w:sz w:val="20"/>
              </w:rPr>
            </w:pPr>
            <w:r w:rsidRPr="00A77AF6">
              <w:rPr>
                <w:rFonts w:ascii="Calibri" w:hAnsi="Calibri" w:cs="Arial"/>
                <w:sz w:val="20"/>
              </w:rPr>
              <w:t>Project director is essential for project success</w:t>
            </w:r>
          </w:p>
        </w:tc>
        <w:tc>
          <w:tcPr>
            <w:tcW w:w="983" w:type="dxa"/>
            <w:tcBorders>
              <w:top w:val="dotted" w:sz="4" w:space="0" w:color="auto"/>
              <w:left w:val="dotted" w:sz="4" w:space="0" w:color="auto"/>
              <w:bottom w:val="dotted" w:sz="4" w:space="0" w:color="auto"/>
              <w:right w:val="single" w:sz="4" w:space="0" w:color="auto"/>
            </w:tcBorders>
          </w:tcPr>
          <w:p w14:paraId="071F5032" w14:textId="77777777" w:rsidR="007717CB" w:rsidRPr="00A77AF6" w:rsidRDefault="007717CB" w:rsidP="004874DF">
            <w:pPr>
              <w:spacing w:line="276" w:lineRule="auto"/>
              <w:rPr>
                <w:rFonts w:ascii="Calibri" w:hAnsi="Calibri" w:cs="Arial"/>
                <w:sz w:val="20"/>
              </w:rPr>
            </w:pPr>
            <w:r w:rsidRPr="00A77AF6">
              <w:rPr>
                <w:rFonts w:ascii="Calibri" w:hAnsi="Calibri" w:cs="Arial"/>
                <w:sz w:val="20"/>
              </w:rPr>
              <w:t>1</w:t>
            </w:r>
          </w:p>
        </w:tc>
        <w:tc>
          <w:tcPr>
            <w:tcW w:w="1148" w:type="dxa"/>
            <w:vMerge/>
            <w:tcBorders>
              <w:left w:val="single" w:sz="4" w:space="0" w:color="auto"/>
            </w:tcBorders>
          </w:tcPr>
          <w:p w14:paraId="575442D6" w14:textId="77777777" w:rsidR="007717CB" w:rsidRPr="00A77AF6" w:rsidRDefault="007717CB" w:rsidP="004874DF">
            <w:pPr>
              <w:spacing w:line="276" w:lineRule="auto"/>
              <w:rPr>
                <w:rFonts w:ascii="Calibri" w:hAnsi="Calibri" w:cs="Arial"/>
                <w:sz w:val="20"/>
              </w:rPr>
            </w:pPr>
          </w:p>
        </w:tc>
      </w:tr>
      <w:tr w:rsidR="007717CB" w:rsidRPr="00A77AF6" w14:paraId="23E2B3BC" w14:textId="77777777" w:rsidTr="004874DF">
        <w:tc>
          <w:tcPr>
            <w:tcW w:w="1860" w:type="dxa"/>
            <w:vMerge/>
            <w:tcBorders>
              <w:right w:val="single" w:sz="4" w:space="0" w:color="auto"/>
            </w:tcBorders>
          </w:tcPr>
          <w:p w14:paraId="2D34C8E4" w14:textId="77777777" w:rsidR="007717CB" w:rsidRPr="00A77AF6" w:rsidRDefault="007717CB" w:rsidP="004874DF">
            <w:pPr>
              <w:spacing w:after="120" w:line="276" w:lineRule="auto"/>
              <w:rPr>
                <w:rFonts w:ascii="Calibri" w:hAnsi="Calibri" w:cs="Arial"/>
                <w:sz w:val="20"/>
              </w:rPr>
            </w:pPr>
          </w:p>
        </w:tc>
        <w:tc>
          <w:tcPr>
            <w:tcW w:w="4368" w:type="dxa"/>
            <w:tcBorders>
              <w:top w:val="dotted" w:sz="4" w:space="0" w:color="auto"/>
              <w:left w:val="single" w:sz="4" w:space="0" w:color="auto"/>
              <w:bottom w:val="dotted" w:sz="4" w:space="0" w:color="auto"/>
              <w:right w:val="dotted" w:sz="4" w:space="0" w:color="auto"/>
            </w:tcBorders>
          </w:tcPr>
          <w:p w14:paraId="5D0BA70C" w14:textId="77777777" w:rsidR="007717CB" w:rsidRPr="00A77AF6" w:rsidRDefault="007717CB" w:rsidP="004874DF">
            <w:pPr>
              <w:spacing w:line="276" w:lineRule="auto"/>
              <w:rPr>
                <w:rFonts w:ascii="Calibri" w:hAnsi="Calibri" w:cs="Arial"/>
                <w:sz w:val="20"/>
              </w:rPr>
            </w:pPr>
            <w:r w:rsidRPr="00A77AF6">
              <w:rPr>
                <w:rFonts w:ascii="Calibri" w:hAnsi="Calibri" w:cs="Arial"/>
                <w:sz w:val="20"/>
              </w:rPr>
              <w:t>Decides what information corporate governance needs to know as they are closer to corporate governance than the project team</w:t>
            </w:r>
          </w:p>
        </w:tc>
        <w:tc>
          <w:tcPr>
            <w:tcW w:w="983" w:type="dxa"/>
            <w:tcBorders>
              <w:top w:val="dotted" w:sz="4" w:space="0" w:color="auto"/>
              <w:left w:val="dotted" w:sz="4" w:space="0" w:color="auto"/>
              <w:bottom w:val="dotted" w:sz="4" w:space="0" w:color="auto"/>
              <w:right w:val="single" w:sz="4" w:space="0" w:color="auto"/>
            </w:tcBorders>
          </w:tcPr>
          <w:p w14:paraId="2314577F" w14:textId="77777777" w:rsidR="007717CB" w:rsidRPr="00A77AF6" w:rsidRDefault="007717CB" w:rsidP="004874DF">
            <w:pPr>
              <w:spacing w:line="276" w:lineRule="auto"/>
              <w:rPr>
                <w:rFonts w:ascii="Calibri" w:hAnsi="Calibri" w:cs="Arial"/>
                <w:sz w:val="20"/>
              </w:rPr>
            </w:pPr>
            <w:r w:rsidRPr="00A77AF6">
              <w:rPr>
                <w:rFonts w:ascii="Calibri" w:hAnsi="Calibri" w:cs="Arial"/>
                <w:sz w:val="20"/>
              </w:rPr>
              <w:t>1</w:t>
            </w:r>
          </w:p>
        </w:tc>
        <w:tc>
          <w:tcPr>
            <w:tcW w:w="1148" w:type="dxa"/>
            <w:vMerge/>
            <w:tcBorders>
              <w:left w:val="single" w:sz="4" w:space="0" w:color="auto"/>
            </w:tcBorders>
          </w:tcPr>
          <w:p w14:paraId="5E6D5856" w14:textId="77777777" w:rsidR="007717CB" w:rsidRPr="00A77AF6" w:rsidRDefault="007717CB" w:rsidP="004874DF">
            <w:pPr>
              <w:spacing w:line="276" w:lineRule="auto"/>
              <w:rPr>
                <w:rFonts w:ascii="Calibri" w:hAnsi="Calibri" w:cs="Arial"/>
                <w:sz w:val="20"/>
              </w:rPr>
            </w:pPr>
          </w:p>
        </w:tc>
      </w:tr>
      <w:tr w:rsidR="007717CB" w:rsidRPr="00A77AF6" w14:paraId="654E5121" w14:textId="77777777" w:rsidTr="004874DF">
        <w:tc>
          <w:tcPr>
            <w:tcW w:w="1860" w:type="dxa"/>
            <w:vMerge/>
            <w:tcBorders>
              <w:right w:val="single" w:sz="4" w:space="0" w:color="auto"/>
            </w:tcBorders>
          </w:tcPr>
          <w:p w14:paraId="4B15FAA1" w14:textId="77777777" w:rsidR="007717CB" w:rsidRPr="00A77AF6" w:rsidRDefault="007717CB" w:rsidP="004874DF">
            <w:pPr>
              <w:spacing w:after="120" w:line="276" w:lineRule="auto"/>
              <w:rPr>
                <w:rFonts w:ascii="Calibri" w:hAnsi="Calibri" w:cs="Arial"/>
                <w:sz w:val="20"/>
              </w:rPr>
            </w:pPr>
          </w:p>
        </w:tc>
        <w:tc>
          <w:tcPr>
            <w:tcW w:w="4368" w:type="dxa"/>
            <w:tcBorders>
              <w:top w:val="dotted" w:sz="4" w:space="0" w:color="auto"/>
              <w:left w:val="single" w:sz="4" w:space="0" w:color="auto"/>
              <w:bottom w:val="single" w:sz="4" w:space="0" w:color="auto"/>
              <w:right w:val="dotted" w:sz="4" w:space="0" w:color="auto"/>
            </w:tcBorders>
          </w:tcPr>
          <w:p w14:paraId="253CC955" w14:textId="77777777" w:rsidR="007717CB" w:rsidRPr="00A77AF6" w:rsidRDefault="007717CB" w:rsidP="004874DF">
            <w:pPr>
              <w:spacing w:line="276" w:lineRule="auto"/>
              <w:rPr>
                <w:rFonts w:ascii="Calibri" w:hAnsi="Calibri" w:cs="Arial"/>
                <w:sz w:val="20"/>
              </w:rPr>
            </w:pPr>
            <w:r w:rsidRPr="00A77AF6">
              <w:rPr>
                <w:rFonts w:ascii="Calibri" w:hAnsi="Calibri" w:cs="Arial"/>
                <w:sz w:val="20"/>
              </w:rPr>
              <w:t>May have their own priorities</w:t>
            </w:r>
          </w:p>
        </w:tc>
        <w:tc>
          <w:tcPr>
            <w:tcW w:w="983" w:type="dxa"/>
            <w:tcBorders>
              <w:top w:val="dotted" w:sz="4" w:space="0" w:color="auto"/>
              <w:left w:val="dotted" w:sz="4" w:space="0" w:color="auto"/>
              <w:bottom w:val="single" w:sz="4" w:space="0" w:color="auto"/>
              <w:right w:val="single" w:sz="4" w:space="0" w:color="auto"/>
            </w:tcBorders>
          </w:tcPr>
          <w:p w14:paraId="2804895D" w14:textId="77777777" w:rsidR="007717CB" w:rsidRPr="00A77AF6" w:rsidRDefault="007717CB" w:rsidP="004874DF">
            <w:pPr>
              <w:spacing w:line="276" w:lineRule="auto"/>
              <w:rPr>
                <w:rFonts w:ascii="Calibri" w:hAnsi="Calibri" w:cs="Arial"/>
                <w:sz w:val="20"/>
              </w:rPr>
            </w:pPr>
            <w:r w:rsidRPr="00A77AF6">
              <w:rPr>
                <w:rFonts w:ascii="Calibri" w:hAnsi="Calibri" w:cs="Arial"/>
                <w:sz w:val="20"/>
              </w:rPr>
              <w:t>1</w:t>
            </w:r>
          </w:p>
        </w:tc>
        <w:tc>
          <w:tcPr>
            <w:tcW w:w="1148" w:type="dxa"/>
            <w:vMerge/>
            <w:tcBorders>
              <w:left w:val="single" w:sz="4" w:space="0" w:color="auto"/>
            </w:tcBorders>
          </w:tcPr>
          <w:p w14:paraId="51167333" w14:textId="77777777" w:rsidR="007717CB" w:rsidRPr="00A77AF6" w:rsidRDefault="007717CB" w:rsidP="004874DF">
            <w:pPr>
              <w:spacing w:line="276" w:lineRule="auto"/>
              <w:rPr>
                <w:rFonts w:ascii="Calibri" w:hAnsi="Calibri" w:cs="Arial"/>
                <w:sz w:val="20"/>
              </w:rPr>
            </w:pPr>
          </w:p>
        </w:tc>
      </w:tr>
    </w:tbl>
    <w:p w14:paraId="2F390F56" w14:textId="6429D16B" w:rsidR="007717CB" w:rsidRPr="00A77AF6" w:rsidRDefault="007717CB" w:rsidP="007717CB">
      <w:pPr>
        <w:spacing w:before="240" w:line="360" w:lineRule="auto"/>
        <w:rPr>
          <w:rFonts w:ascii="Calibri" w:hAnsi="Calibri" w:cs="Arial"/>
        </w:rPr>
      </w:pPr>
      <w:r w:rsidRPr="00A77AF6">
        <w:rPr>
          <w:rFonts w:ascii="Calibri" w:hAnsi="Calibri" w:cs="Arial"/>
        </w:rPr>
        <w:t xml:space="preserve">The project director can be close to the trust board so understands their priorities, they often know </w:t>
      </w:r>
      <w:r w:rsidRPr="00A77AF6">
        <w:rPr>
          <w:rFonts w:eastAsia="Times New Roman" w:cstheme="minorHAnsi"/>
          <w:color w:val="000000"/>
          <w:lang w:eastAsia="en-GB"/>
        </w:rPr>
        <w:t>what the trust board wants to hear</w:t>
      </w:r>
      <w:r w:rsidR="00440992">
        <w:rPr>
          <w:rFonts w:eastAsia="Times New Roman" w:cstheme="minorHAnsi"/>
          <w:color w:val="000000"/>
          <w:lang w:eastAsia="en-GB"/>
        </w:rPr>
        <w:t xml:space="preserve"> but </w:t>
      </w:r>
      <w:r w:rsidRPr="00A77AF6">
        <w:rPr>
          <w:rFonts w:eastAsia="Times New Roman" w:cstheme="minorHAnsi"/>
          <w:color w:val="000000"/>
          <w:lang w:eastAsia="en-GB"/>
        </w:rPr>
        <w:t>they may also have their own priorities.</w:t>
      </w:r>
      <w:r w:rsidR="00A916C4">
        <w:rPr>
          <w:rFonts w:eastAsia="Times New Roman" w:cstheme="minorHAnsi"/>
          <w:color w:val="000000"/>
          <w:lang w:eastAsia="en-GB"/>
        </w:rPr>
        <w:t xml:space="preserve"> </w:t>
      </w:r>
      <w:r w:rsidR="00440992">
        <w:rPr>
          <w:rFonts w:eastAsia="Times New Roman" w:cstheme="minorHAnsi"/>
          <w:color w:val="000000"/>
          <w:lang w:eastAsia="en-GB"/>
        </w:rPr>
        <w:t xml:space="preserve">This was predicted by agency theory. </w:t>
      </w:r>
      <w:r w:rsidR="00440992" w:rsidRPr="00A77AF6">
        <w:rPr>
          <w:rFonts w:eastAsia="Times New Roman" w:cstheme="minorHAnsi"/>
          <w:color w:val="000000"/>
          <w:lang w:eastAsia="en-GB"/>
        </w:rPr>
        <w:t xml:space="preserve"> </w:t>
      </w:r>
      <w:r w:rsidR="00440992" w:rsidRPr="00A77AF6">
        <w:rPr>
          <w:rFonts w:ascii="Calibri" w:hAnsi="Calibri" w:cs="Arial"/>
        </w:rPr>
        <w:t xml:space="preserve">Project </w:t>
      </w:r>
      <w:r w:rsidR="00055DF4">
        <w:rPr>
          <w:rFonts w:ascii="Calibri" w:hAnsi="Calibri" w:cs="Arial"/>
        </w:rPr>
        <w:t>d</w:t>
      </w:r>
      <w:r w:rsidR="00440992" w:rsidRPr="00A77AF6">
        <w:rPr>
          <w:rFonts w:ascii="Calibri" w:hAnsi="Calibri" w:cs="Arial"/>
        </w:rPr>
        <w:t>irectors</w:t>
      </w:r>
      <w:r w:rsidR="00440992">
        <w:rPr>
          <w:rFonts w:ascii="Calibri" w:hAnsi="Calibri" w:cs="Arial"/>
        </w:rPr>
        <w:t>,</w:t>
      </w:r>
      <w:r w:rsidR="00440992" w:rsidRPr="00A77AF6">
        <w:rPr>
          <w:rFonts w:ascii="Calibri" w:hAnsi="Calibri" w:cs="Arial"/>
        </w:rPr>
        <w:t xml:space="preserve"> like trust boards</w:t>
      </w:r>
      <w:r w:rsidR="00440992">
        <w:rPr>
          <w:rFonts w:ascii="Calibri" w:hAnsi="Calibri" w:cs="Arial"/>
        </w:rPr>
        <w:t>,</w:t>
      </w:r>
      <w:r w:rsidR="00440992" w:rsidRPr="00A77AF6">
        <w:rPr>
          <w:rFonts w:ascii="Calibri" w:hAnsi="Calibri" w:cs="Arial"/>
        </w:rPr>
        <w:t xml:space="preserve"> can engage in positive messaging to protect the reputation of the project. </w:t>
      </w:r>
      <w:r w:rsidRPr="00A77AF6">
        <w:rPr>
          <w:rFonts w:eastAsia="Times New Roman" w:cstheme="minorHAnsi"/>
          <w:color w:val="000000"/>
          <w:lang w:eastAsia="en-GB"/>
        </w:rPr>
        <w:t xml:space="preserve">One expert </w:t>
      </w:r>
      <w:r w:rsidRPr="00A77AF6">
        <w:t xml:space="preserve">suggested that project governance depends on the project director and if they have a good relationship and communicate effectively with the corporate and project teams, the project will be run well. The project director is essential to getting projects to work.  </w:t>
      </w:r>
    </w:p>
    <w:p w14:paraId="4F095BBB" w14:textId="2354C7F5" w:rsidR="00661757" w:rsidRPr="00A77AF6" w:rsidRDefault="00BF1786" w:rsidP="00BF1786">
      <w:pPr>
        <w:spacing w:line="360" w:lineRule="auto"/>
        <w:rPr>
          <w:rFonts w:ascii="Calibri" w:hAnsi="Calibri" w:cs="Arial"/>
        </w:rPr>
      </w:pPr>
      <w:r w:rsidRPr="00A77AF6">
        <w:rPr>
          <w:rFonts w:ascii="Calibri" w:hAnsi="Calibri" w:cs="Arial"/>
        </w:rPr>
        <w:t>Whilst the communication between the project and corporate governance layers has been discussed, some more general points were made about the quality of communication</w:t>
      </w:r>
      <w:r w:rsidR="00D12AC9">
        <w:rPr>
          <w:rFonts w:ascii="Calibri" w:hAnsi="Calibri" w:cs="Arial"/>
        </w:rPr>
        <w:t xml:space="preserve"> (Table 7-9)</w:t>
      </w:r>
      <w:r w:rsidRPr="00A77AF6">
        <w:rPr>
          <w:rFonts w:ascii="Calibri" w:hAnsi="Calibri" w:cs="Arial"/>
        </w:rPr>
        <w:t xml:space="preserve">. </w:t>
      </w:r>
    </w:p>
    <w:p w14:paraId="566AC698" w14:textId="78F95643" w:rsidR="00BF1786" w:rsidRPr="00A77AF6" w:rsidRDefault="00BF1786" w:rsidP="007B1E2B">
      <w:pPr>
        <w:pStyle w:val="Caption"/>
        <w:keepNext/>
        <w:spacing w:after="120"/>
      </w:pPr>
      <w:r w:rsidRPr="00A77AF6">
        <w:t xml:space="preserve">Table </w:t>
      </w:r>
      <w:fldSimple w:instr=" STYLEREF 1 \s ">
        <w:r w:rsidR="000441F7">
          <w:rPr>
            <w:noProof/>
          </w:rPr>
          <w:t>7</w:t>
        </w:r>
      </w:fldSimple>
      <w:r w:rsidR="00804112">
        <w:noBreakHyphen/>
      </w:r>
      <w:fldSimple w:instr=" SEQ Table \* ARABIC \s 1 ">
        <w:r w:rsidR="000441F7">
          <w:rPr>
            <w:noProof/>
          </w:rPr>
          <w:t>9</w:t>
        </w:r>
      </w:fldSimple>
      <w:r w:rsidRPr="00A77AF6">
        <w:t>: Coding of respondents’ views on communication</w:t>
      </w:r>
    </w:p>
    <w:tbl>
      <w:tblPr>
        <w:tblStyle w:val="TableGrid"/>
        <w:tblW w:w="0" w:type="auto"/>
        <w:tblLook w:val="04A0" w:firstRow="1" w:lastRow="0" w:firstColumn="1" w:lastColumn="0" w:noHBand="0" w:noVBand="1"/>
      </w:tblPr>
      <w:tblGrid>
        <w:gridCol w:w="1860"/>
        <w:gridCol w:w="4368"/>
        <w:gridCol w:w="983"/>
        <w:gridCol w:w="1148"/>
      </w:tblGrid>
      <w:tr w:rsidR="00BF1786" w:rsidRPr="00A77AF6" w14:paraId="79F3A2F5" w14:textId="77777777" w:rsidTr="004874DF">
        <w:tc>
          <w:tcPr>
            <w:tcW w:w="1860" w:type="dxa"/>
            <w:shd w:val="clear" w:color="auto" w:fill="D9D9D9" w:themeFill="background1" w:themeFillShade="D9"/>
          </w:tcPr>
          <w:p w14:paraId="5951A948" w14:textId="77777777" w:rsidR="00BF1786" w:rsidRPr="00A77AF6" w:rsidRDefault="00BF1786" w:rsidP="004874DF">
            <w:pPr>
              <w:spacing w:line="276" w:lineRule="auto"/>
              <w:rPr>
                <w:rFonts w:ascii="Calibri" w:hAnsi="Calibri" w:cs="Arial"/>
                <w:sz w:val="20"/>
              </w:rPr>
            </w:pPr>
            <w:r w:rsidRPr="00A77AF6">
              <w:rPr>
                <w:rFonts w:ascii="Calibri" w:hAnsi="Calibri" w:cs="Arial"/>
                <w:sz w:val="20"/>
              </w:rPr>
              <w:t>Main Code</w:t>
            </w:r>
          </w:p>
          <w:p w14:paraId="2CD816DC" w14:textId="77777777" w:rsidR="00BF1786" w:rsidRPr="00A77AF6" w:rsidRDefault="00BF1786" w:rsidP="004874DF">
            <w:pPr>
              <w:spacing w:line="276" w:lineRule="auto"/>
              <w:rPr>
                <w:rFonts w:ascii="Calibri" w:hAnsi="Calibri" w:cs="Arial"/>
                <w:sz w:val="20"/>
              </w:rPr>
            </w:pPr>
          </w:p>
        </w:tc>
        <w:tc>
          <w:tcPr>
            <w:tcW w:w="4368" w:type="dxa"/>
            <w:tcBorders>
              <w:bottom w:val="single" w:sz="4" w:space="0" w:color="auto"/>
            </w:tcBorders>
            <w:shd w:val="clear" w:color="auto" w:fill="D9D9D9" w:themeFill="background1" w:themeFillShade="D9"/>
          </w:tcPr>
          <w:p w14:paraId="78F1B861" w14:textId="77777777" w:rsidR="00BF1786" w:rsidRPr="00A77AF6" w:rsidRDefault="00BF1786" w:rsidP="004874DF">
            <w:pPr>
              <w:spacing w:line="276" w:lineRule="auto"/>
              <w:rPr>
                <w:rFonts w:ascii="Calibri" w:hAnsi="Calibri" w:cs="Arial"/>
                <w:sz w:val="20"/>
              </w:rPr>
            </w:pPr>
            <w:r w:rsidRPr="00A77AF6">
              <w:rPr>
                <w:rFonts w:ascii="Calibri" w:hAnsi="Calibri" w:cs="Arial"/>
                <w:sz w:val="20"/>
              </w:rPr>
              <w:t>Sub codes</w:t>
            </w:r>
          </w:p>
        </w:tc>
        <w:tc>
          <w:tcPr>
            <w:tcW w:w="983" w:type="dxa"/>
            <w:tcBorders>
              <w:bottom w:val="single" w:sz="4" w:space="0" w:color="auto"/>
            </w:tcBorders>
            <w:shd w:val="clear" w:color="auto" w:fill="D9D9D9" w:themeFill="background1" w:themeFillShade="D9"/>
          </w:tcPr>
          <w:p w14:paraId="6C3B65DC" w14:textId="77777777" w:rsidR="00BF1786" w:rsidRPr="00A77AF6" w:rsidRDefault="00BF1786" w:rsidP="004874DF">
            <w:pPr>
              <w:spacing w:line="276" w:lineRule="auto"/>
              <w:rPr>
                <w:rFonts w:ascii="Calibri" w:hAnsi="Calibri" w:cs="Arial"/>
                <w:sz w:val="20"/>
              </w:rPr>
            </w:pPr>
            <w:r w:rsidRPr="00A77AF6">
              <w:rPr>
                <w:rFonts w:ascii="Calibri" w:hAnsi="Calibri" w:cs="Arial"/>
                <w:sz w:val="20"/>
              </w:rPr>
              <w:t>No. of mentions</w:t>
            </w:r>
          </w:p>
        </w:tc>
        <w:tc>
          <w:tcPr>
            <w:tcW w:w="1148" w:type="dxa"/>
            <w:shd w:val="clear" w:color="auto" w:fill="D9D9D9" w:themeFill="background1" w:themeFillShade="D9"/>
          </w:tcPr>
          <w:p w14:paraId="3DBF963E" w14:textId="77777777" w:rsidR="00BF1786" w:rsidRPr="00A77AF6" w:rsidRDefault="00BF1786" w:rsidP="004874DF">
            <w:pPr>
              <w:spacing w:line="276" w:lineRule="auto"/>
              <w:rPr>
                <w:rFonts w:ascii="Calibri" w:hAnsi="Calibri" w:cs="Arial"/>
                <w:sz w:val="20"/>
              </w:rPr>
            </w:pPr>
            <w:r w:rsidRPr="00A77AF6">
              <w:rPr>
                <w:rFonts w:ascii="Calibri" w:hAnsi="Calibri" w:cs="Arial"/>
                <w:sz w:val="20"/>
              </w:rPr>
              <w:t>Total mentions</w:t>
            </w:r>
          </w:p>
        </w:tc>
      </w:tr>
      <w:tr w:rsidR="00BF1786" w:rsidRPr="00A77AF6" w14:paraId="712648C2" w14:textId="77777777" w:rsidTr="004874DF">
        <w:tc>
          <w:tcPr>
            <w:tcW w:w="1860" w:type="dxa"/>
            <w:vMerge w:val="restart"/>
          </w:tcPr>
          <w:p w14:paraId="12BF9A6D" w14:textId="77777777" w:rsidR="00BF1786" w:rsidRPr="00A77AF6" w:rsidRDefault="00BF1786" w:rsidP="004874DF">
            <w:pPr>
              <w:spacing w:line="276" w:lineRule="auto"/>
              <w:rPr>
                <w:rFonts w:ascii="Calibri" w:hAnsi="Calibri" w:cs="Arial"/>
                <w:sz w:val="20"/>
              </w:rPr>
            </w:pPr>
            <w:r w:rsidRPr="00A77AF6">
              <w:rPr>
                <w:rFonts w:ascii="Calibri" w:hAnsi="Calibri" w:cs="Arial"/>
                <w:sz w:val="20"/>
              </w:rPr>
              <w:t xml:space="preserve">Communication (between project and corporate governance) </w:t>
            </w:r>
          </w:p>
        </w:tc>
        <w:tc>
          <w:tcPr>
            <w:tcW w:w="4368" w:type="dxa"/>
            <w:tcBorders>
              <w:top w:val="dotted" w:sz="4" w:space="0" w:color="auto"/>
              <w:bottom w:val="dotted" w:sz="4" w:space="0" w:color="auto"/>
              <w:right w:val="dotted" w:sz="4" w:space="0" w:color="auto"/>
            </w:tcBorders>
          </w:tcPr>
          <w:p w14:paraId="5B94002B" w14:textId="77777777" w:rsidR="00BF1786" w:rsidRPr="00A77AF6" w:rsidRDefault="00BF1786" w:rsidP="004874DF">
            <w:pPr>
              <w:spacing w:line="276" w:lineRule="auto"/>
              <w:rPr>
                <w:rFonts w:ascii="Calibri" w:hAnsi="Calibri" w:cs="Arial"/>
                <w:sz w:val="20"/>
              </w:rPr>
            </w:pPr>
            <w:r w:rsidRPr="00A77AF6">
              <w:rPr>
                <w:rFonts w:ascii="Calibri" w:hAnsi="Calibri" w:cs="Arial"/>
                <w:sz w:val="20"/>
              </w:rPr>
              <w:t>Reporting – not discursive relationship</w:t>
            </w:r>
          </w:p>
        </w:tc>
        <w:tc>
          <w:tcPr>
            <w:tcW w:w="983" w:type="dxa"/>
            <w:tcBorders>
              <w:top w:val="dotted" w:sz="4" w:space="0" w:color="auto"/>
              <w:left w:val="dotted" w:sz="4" w:space="0" w:color="auto"/>
              <w:bottom w:val="dotted" w:sz="4" w:space="0" w:color="auto"/>
            </w:tcBorders>
          </w:tcPr>
          <w:p w14:paraId="57D750C7" w14:textId="77777777" w:rsidR="00BF1786" w:rsidRPr="00A77AF6" w:rsidRDefault="00BF1786" w:rsidP="004874DF">
            <w:pPr>
              <w:spacing w:line="276" w:lineRule="auto"/>
              <w:rPr>
                <w:rFonts w:ascii="Calibri" w:hAnsi="Calibri" w:cs="Arial"/>
                <w:sz w:val="20"/>
              </w:rPr>
            </w:pPr>
            <w:r w:rsidRPr="00A77AF6">
              <w:rPr>
                <w:rFonts w:ascii="Calibri" w:hAnsi="Calibri" w:cs="Arial"/>
                <w:sz w:val="20"/>
              </w:rPr>
              <w:t>1</w:t>
            </w:r>
          </w:p>
        </w:tc>
        <w:tc>
          <w:tcPr>
            <w:tcW w:w="1148" w:type="dxa"/>
            <w:vMerge w:val="restart"/>
            <w:vAlign w:val="center"/>
          </w:tcPr>
          <w:p w14:paraId="7A42D65B" w14:textId="77777777" w:rsidR="00BF1786" w:rsidRPr="00A77AF6" w:rsidRDefault="00BF1786" w:rsidP="004874DF">
            <w:pPr>
              <w:keepNext/>
              <w:spacing w:line="276" w:lineRule="auto"/>
              <w:jc w:val="center"/>
              <w:rPr>
                <w:rFonts w:ascii="Calibri" w:hAnsi="Calibri" w:cs="Arial"/>
                <w:sz w:val="20"/>
              </w:rPr>
            </w:pPr>
            <w:r w:rsidRPr="00A77AF6">
              <w:rPr>
                <w:rFonts w:ascii="Calibri" w:hAnsi="Calibri" w:cs="Arial"/>
                <w:sz w:val="20"/>
              </w:rPr>
              <w:t>3</w:t>
            </w:r>
          </w:p>
        </w:tc>
      </w:tr>
      <w:tr w:rsidR="00BF1786" w:rsidRPr="00A77AF6" w14:paraId="74880DD3" w14:textId="77777777" w:rsidTr="004874DF">
        <w:tc>
          <w:tcPr>
            <w:tcW w:w="1860" w:type="dxa"/>
            <w:vMerge/>
          </w:tcPr>
          <w:p w14:paraId="64C2234D" w14:textId="77777777" w:rsidR="00BF1786" w:rsidRPr="00A77AF6" w:rsidRDefault="00BF1786" w:rsidP="004874DF">
            <w:pPr>
              <w:spacing w:line="276" w:lineRule="auto"/>
              <w:rPr>
                <w:rFonts w:ascii="Calibri" w:hAnsi="Calibri" w:cs="Arial"/>
                <w:sz w:val="20"/>
              </w:rPr>
            </w:pPr>
          </w:p>
        </w:tc>
        <w:tc>
          <w:tcPr>
            <w:tcW w:w="4368" w:type="dxa"/>
            <w:tcBorders>
              <w:top w:val="dotted" w:sz="4" w:space="0" w:color="auto"/>
              <w:bottom w:val="dotted" w:sz="4" w:space="0" w:color="auto"/>
              <w:right w:val="dotted" w:sz="4" w:space="0" w:color="auto"/>
            </w:tcBorders>
          </w:tcPr>
          <w:p w14:paraId="06D11F50" w14:textId="77777777" w:rsidR="00BF1786" w:rsidRPr="00A77AF6" w:rsidRDefault="00BF1786" w:rsidP="004874DF">
            <w:pPr>
              <w:spacing w:line="276" w:lineRule="auto"/>
              <w:rPr>
                <w:rFonts w:ascii="Calibri" w:hAnsi="Calibri" w:cs="Arial"/>
                <w:sz w:val="20"/>
              </w:rPr>
            </w:pPr>
            <w:r w:rsidRPr="00A77AF6">
              <w:rPr>
                <w:rFonts w:ascii="Calibri" w:hAnsi="Calibri" w:cs="Arial"/>
                <w:sz w:val="20"/>
              </w:rPr>
              <w:t>Sterile reporting to reduce liability</w:t>
            </w:r>
          </w:p>
        </w:tc>
        <w:tc>
          <w:tcPr>
            <w:tcW w:w="983" w:type="dxa"/>
            <w:tcBorders>
              <w:top w:val="dotted" w:sz="4" w:space="0" w:color="auto"/>
              <w:left w:val="dotted" w:sz="4" w:space="0" w:color="auto"/>
              <w:bottom w:val="dotted" w:sz="4" w:space="0" w:color="auto"/>
            </w:tcBorders>
          </w:tcPr>
          <w:p w14:paraId="1FAAE77A" w14:textId="77777777" w:rsidR="00BF1786" w:rsidRPr="00A77AF6" w:rsidRDefault="00BF1786" w:rsidP="004874DF">
            <w:pPr>
              <w:spacing w:line="276" w:lineRule="auto"/>
              <w:rPr>
                <w:rFonts w:ascii="Calibri" w:hAnsi="Calibri" w:cs="Arial"/>
                <w:sz w:val="20"/>
              </w:rPr>
            </w:pPr>
            <w:r w:rsidRPr="00A77AF6">
              <w:rPr>
                <w:rFonts w:ascii="Calibri" w:hAnsi="Calibri" w:cs="Arial"/>
                <w:sz w:val="20"/>
              </w:rPr>
              <w:t>1</w:t>
            </w:r>
          </w:p>
        </w:tc>
        <w:tc>
          <w:tcPr>
            <w:tcW w:w="1148" w:type="dxa"/>
            <w:vMerge/>
          </w:tcPr>
          <w:p w14:paraId="7A7EFB9F" w14:textId="77777777" w:rsidR="00BF1786" w:rsidRPr="00A77AF6" w:rsidRDefault="00BF1786" w:rsidP="004874DF">
            <w:pPr>
              <w:keepNext/>
              <w:spacing w:line="276" w:lineRule="auto"/>
              <w:rPr>
                <w:rFonts w:ascii="Calibri" w:hAnsi="Calibri" w:cs="Arial"/>
                <w:sz w:val="20"/>
              </w:rPr>
            </w:pPr>
          </w:p>
        </w:tc>
      </w:tr>
      <w:tr w:rsidR="00BF1786" w:rsidRPr="00A77AF6" w14:paraId="618E4D4F" w14:textId="77777777" w:rsidTr="004874DF">
        <w:tc>
          <w:tcPr>
            <w:tcW w:w="1860" w:type="dxa"/>
            <w:vMerge/>
            <w:tcBorders>
              <w:bottom w:val="single" w:sz="4" w:space="0" w:color="auto"/>
            </w:tcBorders>
          </w:tcPr>
          <w:p w14:paraId="22875CA7" w14:textId="77777777" w:rsidR="00BF1786" w:rsidRPr="00A77AF6" w:rsidRDefault="00BF1786" w:rsidP="004874DF">
            <w:pPr>
              <w:spacing w:line="276" w:lineRule="auto"/>
              <w:rPr>
                <w:rFonts w:ascii="Calibri" w:hAnsi="Calibri" w:cs="Arial"/>
                <w:sz w:val="20"/>
              </w:rPr>
            </w:pPr>
          </w:p>
        </w:tc>
        <w:tc>
          <w:tcPr>
            <w:tcW w:w="4368" w:type="dxa"/>
            <w:tcBorders>
              <w:top w:val="dotted" w:sz="4" w:space="0" w:color="auto"/>
              <w:bottom w:val="single" w:sz="4" w:space="0" w:color="auto"/>
              <w:right w:val="dotted" w:sz="4" w:space="0" w:color="auto"/>
            </w:tcBorders>
          </w:tcPr>
          <w:p w14:paraId="3DFA3607" w14:textId="77777777" w:rsidR="00BF1786" w:rsidRPr="00A77AF6" w:rsidRDefault="00BF1786" w:rsidP="004874DF">
            <w:pPr>
              <w:spacing w:line="276" w:lineRule="auto"/>
              <w:rPr>
                <w:rFonts w:ascii="Calibri" w:hAnsi="Calibri" w:cs="Arial"/>
                <w:sz w:val="20"/>
              </w:rPr>
            </w:pPr>
            <w:r w:rsidRPr="00A77AF6">
              <w:rPr>
                <w:rFonts w:ascii="Calibri" w:hAnsi="Calibri" w:cs="Arial"/>
                <w:sz w:val="20"/>
              </w:rPr>
              <w:t>Use of informal networks to smooth governance</w:t>
            </w:r>
          </w:p>
        </w:tc>
        <w:tc>
          <w:tcPr>
            <w:tcW w:w="983" w:type="dxa"/>
            <w:tcBorders>
              <w:top w:val="dotted" w:sz="4" w:space="0" w:color="auto"/>
              <w:left w:val="dotted" w:sz="4" w:space="0" w:color="auto"/>
              <w:bottom w:val="single" w:sz="4" w:space="0" w:color="auto"/>
            </w:tcBorders>
          </w:tcPr>
          <w:p w14:paraId="42F78FB2" w14:textId="77777777" w:rsidR="00BF1786" w:rsidRPr="00A77AF6" w:rsidRDefault="00BF1786" w:rsidP="004874DF">
            <w:pPr>
              <w:spacing w:line="276" w:lineRule="auto"/>
              <w:rPr>
                <w:rFonts w:ascii="Calibri" w:hAnsi="Calibri" w:cs="Arial"/>
                <w:sz w:val="20"/>
              </w:rPr>
            </w:pPr>
            <w:r w:rsidRPr="00A77AF6">
              <w:rPr>
                <w:rFonts w:ascii="Calibri" w:hAnsi="Calibri" w:cs="Arial"/>
                <w:sz w:val="20"/>
              </w:rPr>
              <w:t>1</w:t>
            </w:r>
          </w:p>
        </w:tc>
        <w:tc>
          <w:tcPr>
            <w:tcW w:w="1148" w:type="dxa"/>
            <w:vMerge/>
            <w:tcBorders>
              <w:bottom w:val="single" w:sz="4" w:space="0" w:color="auto"/>
            </w:tcBorders>
          </w:tcPr>
          <w:p w14:paraId="2E5081BF" w14:textId="77777777" w:rsidR="00BF1786" w:rsidRPr="00A77AF6" w:rsidRDefault="00BF1786" w:rsidP="004874DF">
            <w:pPr>
              <w:keepNext/>
              <w:spacing w:line="276" w:lineRule="auto"/>
              <w:rPr>
                <w:rFonts w:ascii="Calibri" w:hAnsi="Calibri" w:cs="Arial"/>
                <w:sz w:val="20"/>
              </w:rPr>
            </w:pPr>
          </w:p>
        </w:tc>
      </w:tr>
    </w:tbl>
    <w:p w14:paraId="793AEBB8" w14:textId="1BB28695" w:rsidR="00BF1786" w:rsidRPr="00A77AF6" w:rsidRDefault="00440992" w:rsidP="0007452B">
      <w:pPr>
        <w:spacing w:before="480" w:after="0" w:line="360" w:lineRule="auto"/>
        <w:rPr>
          <w:rFonts w:eastAsia="Times New Roman" w:cstheme="minorHAnsi"/>
          <w:color w:val="000000"/>
          <w:lang w:eastAsia="en-GB"/>
        </w:rPr>
      </w:pPr>
      <w:r>
        <w:rPr>
          <w:rFonts w:ascii="Calibri" w:hAnsi="Calibri" w:cs="Arial"/>
        </w:rPr>
        <w:t>C</w:t>
      </w:r>
      <w:r w:rsidR="00BF1786" w:rsidRPr="00A77AF6">
        <w:rPr>
          <w:rFonts w:ascii="Calibri" w:hAnsi="Calibri" w:cs="Arial"/>
        </w:rPr>
        <w:t xml:space="preserve">ommunication between the project team and the </w:t>
      </w:r>
      <w:r w:rsidR="008B0E67" w:rsidRPr="00A77AF6">
        <w:rPr>
          <w:rFonts w:ascii="Calibri" w:hAnsi="Calibri" w:cs="Arial"/>
        </w:rPr>
        <w:t>t</w:t>
      </w:r>
      <w:r w:rsidR="00BF1786" w:rsidRPr="00A77AF6">
        <w:rPr>
          <w:rFonts w:ascii="Calibri" w:hAnsi="Calibri" w:cs="Arial"/>
        </w:rPr>
        <w:t xml:space="preserve">rust </w:t>
      </w:r>
      <w:r w:rsidR="008B0E67" w:rsidRPr="00A77AF6">
        <w:rPr>
          <w:rFonts w:ascii="Calibri" w:hAnsi="Calibri" w:cs="Arial"/>
        </w:rPr>
        <w:t>b</w:t>
      </w:r>
      <w:r w:rsidR="00BF1786" w:rsidRPr="00A77AF6">
        <w:rPr>
          <w:rFonts w:ascii="Calibri" w:hAnsi="Calibri" w:cs="Arial"/>
        </w:rPr>
        <w:t xml:space="preserve">oard was not focussed on problem solving </w:t>
      </w:r>
      <w:r>
        <w:rPr>
          <w:rFonts w:ascii="Calibri" w:hAnsi="Calibri" w:cs="Arial"/>
        </w:rPr>
        <w:t xml:space="preserve">so </w:t>
      </w:r>
      <w:r w:rsidR="00BF1786" w:rsidRPr="00A77AF6">
        <w:rPr>
          <w:rFonts w:ascii="Calibri" w:hAnsi="Calibri" w:cs="Arial"/>
        </w:rPr>
        <w:t xml:space="preserve">that informal networks were used, such as ‘corridor conversations’ to help smooth project governance outside the formal governance structures.  </w:t>
      </w:r>
      <w:r w:rsidR="00BF1786" w:rsidRPr="00A77AF6">
        <w:t xml:space="preserve">Effective use of soft informal relationships was perceived as useful for easing project approvals through committee structures. This is especially important as approvals are fundamental to </w:t>
      </w:r>
      <w:r w:rsidR="00BF1786" w:rsidRPr="00A77AF6">
        <w:rPr>
          <w:rFonts w:eastAsia="Times New Roman" w:cstheme="minorHAnsi"/>
          <w:color w:val="000000"/>
          <w:lang w:eastAsia="en-GB"/>
        </w:rPr>
        <w:t>ensuring timely progress (Expert E).  For example, the time gap between approving committees was seen as a barrier to timely project delivery.  This could be frustrating because if a deadline for papers is missed then the project is delayed. However, it is possible to use informal networks to the advantage of the project</w:t>
      </w:r>
    </w:p>
    <w:p w14:paraId="6471E47C" w14:textId="77777777" w:rsidR="00BF1786" w:rsidRPr="00A77AF6" w:rsidRDefault="00BF1786" w:rsidP="00BF1786">
      <w:pPr>
        <w:spacing w:line="240" w:lineRule="auto"/>
        <w:ind w:left="720"/>
        <w:rPr>
          <w:i/>
        </w:rPr>
      </w:pPr>
      <w:r w:rsidRPr="00A77AF6">
        <w:rPr>
          <w:i/>
        </w:rPr>
        <w:t>‘there are actually ways round it [governance]  but what you need to do is make sure you are talking to the right people and having conversations with them to get a level of understanding…’ Expert E</w:t>
      </w:r>
    </w:p>
    <w:p w14:paraId="2D1E454F" w14:textId="663839AA" w:rsidR="007717CB" w:rsidRPr="00A77AF6" w:rsidRDefault="00661757" w:rsidP="00661757">
      <w:pPr>
        <w:spacing w:line="360" w:lineRule="auto"/>
      </w:pPr>
      <w:r w:rsidRPr="00A77AF6">
        <w:lastRenderedPageBreak/>
        <w:t>It was noted that because p</w:t>
      </w:r>
      <w:r w:rsidR="007717CB" w:rsidRPr="00A77AF6">
        <w:t xml:space="preserve">rojects </w:t>
      </w:r>
      <w:r w:rsidRPr="00A77AF6">
        <w:t>are</w:t>
      </w:r>
      <w:r w:rsidR="007717CB" w:rsidRPr="00A77AF6">
        <w:t xml:space="preserve"> often run in isolation from each other, and it is possible to have several hundred projects running at the same time in a trust, effective communication can be difficult to ensure</w:t>
      </w:r>
      <w:r w:rsidR="00F12587" w:rsidRPr="00A77AF6">
        <w:t xml:space="preserve"> between </w:t>
      </w:r>
      <w:r w:rsidR="00CA236E" w:rsidRPr="00A77AF6">
        <w:t>projects</w:t>
      </w:r>
      <w:r w:rsidR="007717CB" w:rsidRPr="00A77AF6">
        <w:t xml:space="preserve">. It </w:t>
      </w:r>
      <w:r w:rsidRPr="00A77AF6">
        <w:t>is</w:t>
      </w:r>
      <w:r w:rsidR="007717CB" w:rsidRPr="00A77AF6">
        <w:t xml:space="preserve"> difficult to get people to talk to each other</w:t>
      </w:r>
      <w:r w:rsidRPr="00A77AF6">
        <w:t xml:space="preserve">, so </w:t>
      </w:r>
      <w:r w:rsidR="007717CB" w:rsidRPr="00A77AF6">
        <w:t>projects will take longer and may be less effective</w:t>
      </w:r>
      <w:r w:rsidR="00535735" w:rsidRPr="00A77AF6">
        <w:t xml:space="preserve"> because</w:t>
      </w:r>
      <w:r w:rsidR="00D12AC9">
        <w:t xml:space="preserve"> of </w:t>
      </w:r>
      <w:r w:rsidR="00535735" w:rsidRPr="00A77AF6">
        <w:t>silo working</w:t>
      </w:r>
      <w:r w:rsidR="00D12AC9">
        <w:t>, meaning that projects are not well-linked</w:t>
      </w:r>
      <w:r w:rsidR="007717CB" w:rsidRPr="00A77AF6">
        <w:t xml:space="preserve">. </w:t>
      </w:r>
    </w:p>
    <w:p w14:paraId="7DAF2C52" w14:textId="27B31765" w:rsidR="006B70BF" w:rsidRPr="00A77AF6" w:rsidRDefault="006B70BF" w:rsidP="00383603">
      <w:pPr>
        <w:pStyle w:val="Heading2"/>
      </w:pPr>
      <w:bookmarkStart w:id="191" w:name="_Toc36275144"/>
      <w:r w:rsidRPr="00A77AF6">
        <w:t>Project success</w:t>
      </w:r>
      <w:bookmarkEnd w:id="191"/>
    </w:p>
    <w:p w14:paraId="6289E022" w14:textId="77777777" w:rsidR="00C25469" w:rsidRPr="00A77AF6" w:rsidRDefault="009817FF" w:rsidP="007B1E2B">
      <w:pPr>
        <w:spacing w:after="120" w:line="360" w:lineRule="auto"/>
      </w:pPr>
      <w:r w:rsidRPr="00A77AF6">
        <w:t>After coding five categories were identified:</w:t>
      </w:r>
    </w:p>
    <w:p w14:paraId="66D71992" w14:textId="4F15BB06" w:rsidR="00C25469" w:rsidRPr="00A77AF6" w:rsidRDefault="00C25469" w:rsidP="004A79C9">
      <w:pPr>
        <w:pStyle w:val="ListParagraph"/>
        <w:numPr>
          <w:ilvl w:val="0"/>
          <w:numId w:val="18"/>
        </w:numPr>
        <w:spacing w:line="360" w:lineRule="auto"/>
        <w:ind w:left="1077"/>
      </w:pPr>
      <w:r w:rsidRPr="00A77AF6">
        <w:t>D</w:t>
      </w:r>
      <w:r w:rsidR="009817FF" w:rsidRPr="00A77AF6">
        <w:t xml:space="preserve">ifficulty in judging project success </w:t>
      </w:r>
    </w:p>
    <w:p w14:paraId="51F659F4" w14:textId="0FB4C02E" w:rsidR="00C25469" w:rsidRPr="00A77AF6" w:rsidRDefault="00C25469" w:rsidP="004A79C9">
      <w:pPr>
        <w:pStyle w:val="ListParagraph"/>
        <w:numPr>
          <w:ilvl w:val="0"/>
          <w:numId w:val="18"/>
        </w:numPr>
        <w:spacing w:line="360" w:lineRule="auto"/>
        <w:ind w:left="1077"/>
      </w:pPr>
      <w:r w:rsidRPr="00A77AF6">
        <w:t>S</w:t>
      </w:r>
      <w:r w:rsidR="009817FF" w:rsidRPr="00A77AF6">
        <w:t xml:space="preserve">uccess </w:t>
      </w:r>
      <w:r w:rsidRPr="00A77AF6">
        <w:t xml:space="preserve">in the short-term </w:t>
      </w:r>
      <w:r w:rsidR="009817FF" w:rsidRPr="00A77AF6">
        <w:t xml:space="preserve">(at the end of the project phase) </w:t>
      </w:r>
    </w:p>
    <w:p w14:paraId="72A206D8" w14:textId="243D66E0" w:rsidR="00C25469" w:rsidRPr="00A77AF6" w:rsidRDefault="00C25469" w:rsidP="004A79C9">
      <w:pPr>
        <w:pStyle w:val="ListParagraph"/>
        <w:numPr>
          <w:ilvl w:val="0"/>
          <w:numId w:val="18"/>
        </w:numPr>
        <w:spacing w:line="360" w:lineRule="auto"/>
        <w:ind w:left="1077"/>
      </w:pPr>
      <w:r w:rsidRPr="00A77AF6">
        <w:t>S</w:t>
      </w:r>
      <w:r w:rsidR="009817FF" w:rsidRPr="00A77AF6">
        <w:t>uccess in the long-term (in the operational phase)</w:t>
      </w:r>
    </w:p>
    <w:p w14:paraId="4E22B1EA" w14:textId="62A061C2" w:rsidR="00C25469" w:rsidRPr="00A77AF6" w:rsidRDefault="00C25469" w:rsidP="004A79C9">
      <w:pPr>
        <w:pStyle w:val="ListParagraph"/>
        <w:numPr>
          <w:ilvl w:val="0"/>
          <w:numId w:val="18"/>
        </w:numPr>
        <w:spacing w:line="360" w:lineRule="auto"/>
        <w:ind w:left="1077"/>
      </w:pPr>
      <w:r w:rsidRPr="00A77AF6">
        <w:t>T</w:t>
      </w:r>
      <w:r w:rsidR="009817FF" w:rsidRPr="00A77AF6">
        <w:t>olerance of missed targets</w:t>
      </w:r>
      <w:r w:rsidRPr="00A77AF6">
        <w:t xml:space="preserve">/ </w:t>
      </w:r>
      <w:r w:rsidR="009817FF" w:rsidRPr="00A77AF6">
        <w:t xml:space="preserve">quality is the most important target  </w:t>
      </w:r>
    </w:p>
    <w:p w14:paraId="65ABD683" w14:textId="198C0838" w:rsidR="009817FF" w:rsidRPr="00A77AF6" w:rsidRDefault="00D12AC9" w:rsidP="004A79C9">
      <w:pPr>
        <w:pStyle w:val="ListParagraph"/>
        <w:numPr>
          <w:ilvl w:val="0"/>
          <w:numId w:val="18"/>
        </w:numPr>
        <w:spacing w:line="360" w:lineRule="auto"/>
        <w:ind w:left="1077"/>
      </w:pPr>
      <w:r>
        <w:t>Weighting the i</w:t>
      </w:r>
      <w:r w:rsidR="009817FF" w:rsidRPr="00A77AF6">
        <w:t xml:space="preserve">ron triangle   </w:t>
      </w:r>
    </w:p>
    <w:p w14:paraId="423E4FAF" w14:textId="367E79FC" w:rsidR="00C25469" w:rsidRPr="00A77AF6" w:rsidRDefault="00C03246" w:rsidP="00C03246">
      <w:pPr>
        <w:spacing w:line="240" w:lineRule="auto"/>
      </w:pPr>
      <w:r w:rsidRPr="00A77AF6">
        <w:t xml:space="preserve">Each category is discussed in the following section. </w:t>
      </w:r>
    </w:p>
    <w:p w14:paraId="7F568E87" w14:textId="31EC8965" w:rsidR="00567FAC" w:rsidRPr="00A77AF6" w:rsidRDefault="00840291" w:rsidP="00974E93">
      <w:pPr>
        <w:spacing w:line="360" w:lineRule="auto"/>
      </w:pPr>
      <w:r w:rsidRPr="00A77AF6">
        <w:t>R</w:t>
      </w:r>
      <w:r w:rsidR="009817FF" w:rsidRPr="00A77AF6">
        <w:t>espondents identified factors that contribute generally to the difficulty in knowing whether a project has been successful</w:t>
      </w:r>
      <w:r w:rsidR="00974E93" w:rsidRPr="00A77AF6">
        <w:t xml:space="preserve"> (</w:t>
      </w:r>
      <w:r w:rsidR="001B6BB9" w:rsidRPr="00A77AF6">
        <w:t xml:space="preserve">Table </w:t>
      </w:r>
      <w:r w:rsidR="007B1E2B" w:rsidRPr="00A77AF6">
        <w:t xml:space="preserve">7-10). </w:t>
      </w:r>
      <w:r w:rsidR="003F298D">
        <w:t>O</w:t>
      </w:r>
      <w:r w:rsidR="00AC450C" w:rsidRPr="00A77AF6">
        <w:t xml:space="preserve">bservations </w:t>
      </w:r>
      <w:r w:rsidR="003F298D">
        <w:t xml:space="preserve">identified </w:t>
      </w:r>
      <w:r w:rsidR="00AC450C" w:rsidRPr="00A77AF6">
        <w:t xml:space="preserve">the lack of retrospective evaluation and </w:t>
      </w:r>
      <w:r w:rsidRPr="00A77AF6">
        <w:t>that</w:t>
      </w:r>
      <w:r w:rsidR="00AC450C" w:rsidRPr="00A77AF6">
        <w:t xml:space="preserve"> different stakeholders</w:t>
      </w:r>
      <w:r w:rsidRPr="00A77AF6">
        <w:t xml:space="preserve"> </w:t>
      </w:r>
      <w:r w:rsidR="00AC450C" w:rsidRPr="00A77AF6">
        <w:t xml:space="preserve">judge success differently. The </w:t>
      </w:r>
      <w:r w:rsidR="00E93A15">
        <w:t xml:space="preserve">evaluation of success by </w:t>
      </w:r>
      <w:r w:rsidR="00AC450C" w:rsidRPr="00A77AF6">
        <w:t xml:space="preserve">different stakeholders suggests that measurement should take place in both the project and operational phases, </w:t>
      </w:r>
      <w:r w:rsidR="00E93A15">
        <w:t xml:space="preserve">and that </w:t>
      </w:r>
      <w:r w:rsidR="00AC450C" w:rsidRPr="00A77AF6">
        <w:t xml:space="preserve">measures of project management success and longer-term </w:t>
      </w:r>
      <w:r w:rsidR="00E93A15">
        <w:t xml:space="preserve">success </w:t>
      </w:r>
      <w:r w:rsidR="00AC450C" w:rsidRPr="00A77AF6">
        <w:t xml:space="preserve">such as running costs, building efficiency and environmental issues should be adopted.  </w:t>
      </w:r>
    </w:p>
    <w:p w14:paraId="7CAEB662" w14:textId="77777777" w:rsidR="00D440E3" w:rsidRPr="00A77AF6" w:rsidRDefault="00D440E3">
      <w:pPr>
        <w:rPr>
          <w:i/>
          <w:iCs/>
          <w:sz w:val="18"/>
          <w:szCs w:val="18"/>
        </w:rPr>
      </w:pPr>
      <w:r w:rsidRPr="00A77AF6">
        <w:rPr>
          <w:i/>
          <w:iCs/>
          <w:sz w:val="18"/>
          <w:szCs w:val="18"/>
        </w:rPr>
        <w:br w:type="page"/>
      </w:r>
    </w:p>
    <w:p w14:paraId="6DF4D462" w14:textId="68471B14" w:rsidR="009817FF" w:rsidRPr="00A77AF6" w:rsidRDefault="009817FF" w:rsidP="00935828">
      <w:pPr>
        <w:spacing w:after="0" w:line="360" w:lineRule="auto"/>
        <w:rPr>
          <w:i/>
          <w:iCs/>
          <w:sz w:val="18"/>
          <w:szCs w:val="18"/>
        </w:rPr>
      </w:pPr>
      <w:r w:rsidRPr="00A77AF6">
        <w:rPr>
          <w:i/>
          <w:iCs/>
          <w:sz w:val="18"/>
          <w:szCs w:val="18"/>
        </w:rPr>
        <w:lastRenderedPageBreak/>
        <w:t xml:space="preserve">Table </w:t>
      </w:r>
      <w:r w:rsidR="00804112">
        <w:rPr>
          <w:i/>
          <w:iCs/>
          <w:sz w:val="18"/>
          <w:szCs w:val="18"/>
        </w:rPr>
        <w:fldChar w:fldCharType="begin"/>
      </w:r>
      <w:r w:rsidR="00804112">
        <w:rPr>
          <w:i/>
          <w:iCs/>
          <w:sz w:val="18"/>
          <w:szCs w:val="18"/>
        </w:rPr>
        <w:instrText xml:space="preserve"> STYLEREF 1 \s </w:instrText>
      </w:r>
      <w:r w:rsidR="00804112">
        <w:rPr>
          <w:i/>
          <w:iCs/>
          <w:sz w:val="18"/>
          <w:szCs w:val="18"/>
        </w:rPr>
        <w:fldChar w:fldCharType="separate"/>
      </w:r>
      <w:r w:rsidR="000441F7">
        <w:rPr>
          <w:i/>
          <w:iCs/>
          <w:noProof/>
          <w:sz w:val="18"/>
          <w:szCs w:val="18"/>
        </w:rPr>
        <w:t>7</w:t>
      </w:r>
      <w:r w:rsidR="00804112">
        <w:rPr>
          <w:i/>
          <w:iCs/>
          <w:sz w:val="18"/>
          <w:szCs w:val="18"/>
        </w:rPr>
        <w:fldChar w:fldCharType="end"/>
      </w:r>
      <w:r w:rsidR="00804112">
        <w:rPr>
          <w:i/>
          <w:iCs/>
          <w:sz w:val="18"/>
          <w:szCs w:val="18"/>
        </w:rPr>
        <w:noBreakHyphen/>
      </w:r>
      <w:r w:rsidR="00804112">
        <w:rPr>
          <w:i/>
          <w:iCs/>
          <w:sz w:val="18"/>
          <w:szCs w:val="18"/>
        </w:rPr>
        <w:fldChar w:fldCharType="begin"/>
      </w:r>
      <w:r w:rsidR="00804112">
        <w:rPr>
          <w:i/>
          <w:iCs/>
          <w:sz w:val="18"/>
          <w:szCs w:val="18"/>
        </w:rPr>
        <w:instrText xml:space="preserve"> SEQ Table \* ARABIC \s 1 </w:instrText>
      </w:r>
      <w:r w:rsidR="00804112">
        <w:rPr>
          <w:i/>
          <w:iCs/>
          <w:sz w:val="18"/>
          <w:szCs w:val="18"/>
        </w:rPr>
        <w:fldChar w:fldCharType="separate"/>
      </w:r>
      <w:r w:rsidR="000441F7">
        <w:rPr>
          <w:i/>
          <w:iCs/>
          <w:noProof/>
          <w:sz w:val="18"/>
          <w:szCs w:val="18"/>
        </w:rPr>
        <w:t>10</w:t>
      </w:r>
      <w:r w:rsidR="00804112">
        <w:rPr>
          <w:i/>
          <w:iCs/>
          <w:sz w:val="18"/>
          <w:szCs w:val="18"/>
        </w:rPr>
        <w:fldChar w:fldCharType="end"/>
      </w:r>
      <w:r w:rsidRPr="00A77AF6">
        <w:rPr>
          <w:i/>
          <w:iCs/>
          <w:sz w:val="18"/>
          <w:szCs w:val="18"/>
        </w:rPr>
        <w:t>: Coding of respondents’ views judging project success</w:t>
      </w:r>
    </w:p>
    <w:tbl>
      <w:tblPr>
        <w:tblStyle w:val="TableGrid"/>
        <w:tblW w:w="0" w:type="auto"/>
        <w:tblLook w:val="04A0" w:firstRow="1" w:lastRow="0" w:firstColumn="1" w:lastColumn="0" w:noHBand="0" w:noVBand="1"/>
      </w:tblPr>
      <w:tblGrid>
        <w:gridCol w:w="1864"/>
        <w:gridCol w:w="4313"/>
        <w:gridCol w:w="983"/>
        <w:gridCol w:w="1057"/>
      </w:tblGrid>
      <w:tr w:rsidR="009817FF" w:rsidRPr="00A77AF6" w14:paraId="5211B2A9" w14:textId="77777777" w:rsidTr="004874DF">
        <w:tc>
          <w:tcPr>
            <w:tcW w:w="1864" w:type="dxa"/>
            <w:shd w:val="clear" w:color="auto" w:fill="D9D9D9" w:themeFill="background1" w:themeFillShade="D9"/>
          </w:tcPr>
          <w:p w14:paraId="6484B826" w14:textId="77777777" w:rsidR="009817FF" w:rsidRPr="00A77AF6" w:rsidRDefault="009817FF" w:rsidP="004874DF">
            <w:pPr>
              <w:spacing w:line="276" w:lineRule="auto"/>
              <w:rPr>
                <w:rFonts w:cs="Arial"/>
                <w:sz w:val="20"/>
                <w:szCs w:val="20"/>
              </w:rPr>
            </w:pPr>
            <w:r w:rsidRPr="00A77AF6">
              <w:rPr>
                <w:rFonts w:cs="Arial"/>
                <w:sz w:val="20"/>
                <w:szCs w:val="20"/>
              </w:rPr>
              <w:t>Main Code</w:t>
            </w:r>
          </w:p>
          <w:p w14:paraId="52997015" w14:textId="77777777" w:rsidR="009817FF" w:rsidRPr="00A77AF6" w:rsidRDefault="009817FF" w:rsidP="004874DF">
            <w:pPr>
              <w:spacing w:line="276" w:lineRule="auto"/>
              <w:rPr>
                <w:rFonts w:cs="Arial"/>
                <w:sz w:val="20"/>
                <w:szCs w:val="20"/>
              </w:rPr>
            </w:pPr>
          </w:p>
        </w:tc>
        <w:tc>
          <w:tcPr>
            <w:tcW w:w="4313" w:type="dxa"/>
            <w:tcBorders>
              <w:bottom w:val="single" w:sz="4" w:space="0" w:color="auto"/>
            </w:tcBorders>
            <w:shd w:val="clear" w:color="auto" w:fill="D9D9D9" w:themeFill="background1" w:themeFillShade="D9"/>
          </w:tcPr>
          <w:p w14:paraId="636DAD25" w14:textId="77777777" w:rsidR="009817FF" w:rsidRPr="00A77AF6" w:rsidRDefault="009817FF" w:rsidP="004874DF">
            <w:pPr>
              <w:spacing w:line="276" w:lineRule="auto"/>
              <w:rPr>
                <w:rFonts w:cs="Arial"/>
                <w:sz w:val="20"/>
                <w:szCs w:val="20"/>
              </w:rPr>
            </w:pPr>
            <w:r w:rsidRPr="00A77AF6">
              <w:rPr>
                <w:rFonts w:cs="Arial"/>
                <w:sz w:val="20"/>
                <w:szCs w:val="20"/>
              </w:rPr>
              <w:t>Sub codes</w:t>
            </w:r>
          </w:p>
        </w:tc>
        <w:tc>
          <w:tcPr>
            <w:tcW w:w="983" w:type="dxa"/>
            <w:tcBorders>
              <w:bottom w:val="single" w:sz="4" w:space="0" w:color="auto"/>
            </w:tcBorders>
            <w:shd w:val="clear" w:color="auto" w:fill="D9D9D9" w:themeFill="background1" w:themeFillShade="D9"/>
          </w:tcPr>
          <w:p w14:paraId="01984447" w14:textId="77777777" w:rsidR="009817FF" w:rsidRPr="00A77AF6" w:rsidRDefault="009817FF" w:rsidP="004874DF">
            <w:pPr>
              <w:spacing w:line="276" w:lineRule="auto"/>
              <w:rPr>
                <w:rFonts w:cs="Arial"/>
                <w:sz w:val="20"/>
                <w:szCs w:val="20"/>
              </w:rPr>
            </w:pPr>
            <w:r w:rsidRPr="00A77AF6">
              <w:rPr>
                <w:rFonts w:ascii="Calibri" w:hAnsi="Calibri" w:cs="Arial"/>
                <w:sz w:val="20"/>
              </w:rPr>
              <w:t>No. of mentions</w:t>
            </w:r>
          </w:p>
        </w:tc>
        <w:tc>
          <w:tcPr>
            <w:tcW w:w="1057" w:type="dxa"/>
            <w:shd w:val="clear" w:color="auto" w:fill="D9D9D9" w:themeFill="background1" w:themeFillShade="D9"/>
          </w:tcPr>
          <w:p w14:paraId="4980177B" w14:textId="77777777" w:rsidR="009817FF" w:rsidRPr="00A77AF6" w:rsidRDefault="009817FF" w:rsidP="004874DF">
            <w:pPr>
              <w:spacing w:line="276" w:lineRule="auto"/>
              <w:rPr>
                <w:rFonts w:cs="Arial"/>
                <w:sz w:val="20"/>
                <w:szCs w:val="20"/>
              </w:rPr>
            </w:pPr>
            <w:r w:rsidRPr="00A77AF6">
              <w:rPr>
                <w:rFonts w:ascii="Calibri" w:hAnsi="Calibri" w:cs="Arial"/>
                <w:sz w:val="20"/>
              </w:rPr>
              <w:t>Total mentions</w:t>
            </w:r>
          </w:p>
        </w:tc>
      </w:tr>
      <w:tr w:rsidR="009817FF" w:rsidRPr="00A77AF6" w14:paraId="0DAF227E" w14:textId="77777777" w:rsidTr="004874DF">
        <w:tc>
          <w:tcPr>
            <w:tcW w:w="1864" w:type="dxa"/>
            <w:vMerge w:val="restart"/>
          </w:tcPr>
          <w:p w14:paraId="0BFFCEB2" w14:textId="77777777" w:rsidR="009817FF" w:rsidRPr="00A77AF6" w:rsidRDefault="009817FF" w:rsidP="004874DF">
            <w:pPr>
              <w:spacing w:line="276" w:lineRule="auto"/>
              <w:rPr>
                <w:rFonts w:cs="Arial"/>
                <w:sz w:val="20"/>
                <w:szCs w:val="20"/>
              </w:rPr>
            </w:pPr>
            <w:r w:rsidRPr="00A77AF6">
              <w:rPr>
                <w:rFonts w:cs="Arial"/>
                <w:sz w:val="20"/>
                <w:szCs w:val="20"/>
              </w:rPr>
              <w:t>Difficulty of judging project success</w:t>
            </w:r>
          </w:p>
        </w:tc>
        <w:tc>
          <w:tcPr>
            <w:tcW w:w="4313" w:type="dxa"/>
            <w:tcBorders>
              <w:top w:val="single" w:sz="4" w:space="0" w:color="auto"/>
              <w:bottom w:val="dotted" w:sz="4" w:space="0" w:color="auto"/>
              <w:right w:val="dotted" w:sz="4" w:space="0" w:color="auto"/>
            </w:tcBorders>
          </w:tcPr>
          <w:p w14:paraId="6FA93936" w14:textId="4F8538CE" w:rsidR="009817FF" w:rsidRPr="00A77AF6" w:rsidRDefault="00495A6A" w:rsidP="004874DF">
            <w:pPr>
              <w:spacing w:line="276" w:lineRule="auto"/>
              <w:rPr>
                <w:rFonts w:cs="Arial"/>
                <w:sz w:val="20"/>
                <w:szCs w:val="20"/>
              </w:rPr>
            </w:pPr>
            <w:r w:rsidRPr="00A77AF6">
              <w:rPr>
                <w:rFonts w:cs="Arial"/>
                <w:sz w:val="20"/>
                <w:szCs w:val="20"/>
              </w:rPr>
              <w:t xml:space="preserve">Lack of </w:t>
            </w:r>
            <w:r w:rsidR="009817FF" w:rsidRPr="00A77AF6">
              <w:rPr>
                <w:rFonts w:cs="Arial"/>
                <w:sz w:val="20"/>
                <w:szCs w:val="20"/>
              </w:rPr>
              <w:t>retrospective</w:t>
            </w:r>
            <w:r w:rsidRPr="00A77AF6">
              <w:rPr>
                <w:rFonts w:cs="Arial"/>
                <w:sz w:val="20"/>
                <w:szCs w:val="20"/>
              </w:rPr>
              <w:t xml:space="preserve"> evaluations</w:t>
            </w:r>
          </w:p>
        </w:tc>
        <w:tc>
          <w:tcPr>
            <w:tcW w:w="983" w:type="dxa"/>
            <w:tcBorders>
              <w:top w:val="single" w:sz="4" w:space="0" w:color="auto"/>
              <w:left w:val="dotted" w:sz="4" w:space="0" w:color="auto"/>
              <w:bottom w:val="dotted" w:sz="4" w:space="0" w:color="auto"/>
            </w:tcBorders>
          </w:tcPr>
          <w:p w14:paraId="4A04AF73" w14:textId="77777777" w:rsidR="009817FF" w:rsidRPr="00A77AF6" w:rsidRDefault="009817FF" w:rsidP="004874DF">
            <w:pPr>
              <w:spacing w:line="276" w:lineRule="auto"/>
              <w:rPr>
                <w:rFonts w:cs="Arial"/>
                <w:sz w:val="20"/>
                <w:szCs w:val="20"/>
              </w:rPr>
            </w:pPr>
            <w:r w:rsidRPr="00A77AF6">
              <w:rPr>
                <w:rFonts w:cs="Arial"/>
                <w:sz w:val="20"/>
                <w:szCs w:val="20"/>
              </w:rPr>
              <w:t>3</w:t>
            </w:r>
          </w:p>
        </w:tc>
        <w:tc>
          <w:tcPr>
            <w:tcW w:w="1057" w:type="dxa"/>
            <w:vMerge w:val="restart"/>
            <w:vAlign w:val="center"/>
          </w:tcPr>
          <w:p w14:paraId="30CB98BC" w14:textId="77777777" w:rsidR="009817FF" w:rsidRPr="00A77AF6" w:rsidRDefault="009817FF" w:rsidP="004874DF">
            <w:pPr>
              <w:keepNext/>
              <w:spacing w:line="276" w:lineRule="auto"/>
              <w:jc w:val="center"/>
              <w:rPr>
                <w:rFonts w:cs="Arial"/>
                <w:sz w:val="20"/>
                <w:szCs w:val="20"/>
              </w:rPr>
            </w:pPr>
            <w:r w:rsidRPr="00A77AF6">
              <w:rPr>
                <w:rFonts w:cs="Arial"/>
                <w:sz w:val="20"/>
                <w:szCs w:val="20"/>
              </w:rPr>
              <w:t>15</w:t>
            </w:r>
          </w:p>
        </w:tc>
      </w:tr>
      <w:tr w:rsidR="009817FF" w:rsidRPr="00A77AF6" w14:paraId="7D9DBEED" w14:textId="77777777" w:rsidTr="004874DF">
        <w:tc>
          <w:tcPr>
            <w:tcW w:w="1864" w:type="dxa"/>
            <w:vMerge/>
          </w:tcPr>
          <w:p w14:paraId="12CAE61C" w14:textId="77777777" w:rsidR="009817FF" w:rsidRPr="00A77AF6" w:rsidRDefault="009817FF" w:rsidP="004874DF">
            <w:pPr>
              <w:spacing w:line="276" w:lineRule="auto"/>
              <w:rPr>
                <w:rFonts w:cs="Arial"/>
                <w:sz w:val="20"/>
                <w:szCs w:val="20"/>
              </w:rPr>
            </w:pPr>
          </w:p>
        </w:tc>
        <w:tc>
          <w:tcPr>
            <w:tcW w:w="4313" w:type="dxa"/>
            <w:tcBorders>
              <w:top w:val="dotted" w:sz="4" w:space="0" w:color="auto"/>
              <w:bottom w:val="dotted" w:sz="4" w:space="0" w:color="auto"/>
              <w:right w:val="dotted" w:sz="4" w:space="0" w:color="auto"/>
            </w:tcBorders>
          </w:tcPr>
          <w:p w14:paraId="0CEA8BB4" w14:textId="77777777" w:rsidR="009817FF" w:rsidRPr="00A77AF6" w:rsidRDefault="009817FF" w:rsidP="004874DF">
            <w:pPr>
              <w:spacing w:line="276" w:lineRule="auto"/>
              <w:rPr>
                <w:rFonts w:cs="Arial"/>
                <w:sz w:val="20"/>
                <w:szCs w:val="20"/>
              </w:rPr>
            </w:pPr>
            <w:r w:rsidRPr="00A77AF6">
              <w:rPr>
                <w:rFonts w:cs="Arial"/>
                <w:sz w:val="20"/>
                <w:szCs w:val="20"/>
              </w:rPr>
              <w:t>People judge success differently</w:t>
            </w:r>
          </w:p>
        </w:tc>
        <w:tc>
          <w:tcPr>
            <w:tcW w:w="983" w:type="dxa"/>
            <w:tcBorders>
              <w:top w:val="dotted" w:sz="4" w:space="0" w:color="auto"/>
              <w:left w:val="dotted" w:sz="4" w:space="0" w:color="auto"/>
              <w:bottom w:val="dotted" w:sz="4" w:space="0" w:color="auto"/>
            </w:tcBorders>
          </w:tcPr>
          <w:p w14:paraId="1CFE2F77" w14:textId="77777777" w:rsidR="009817FF" w:rsidRPr="00A77AF6" w:rsidRDefault="009817FF" w:rsidP="004874DF">
            <w:pPr>
              <w:spacing w:line="276" w:lineRule="auto"/>
              <w:rPr>
                <w:rFonts w:cs="Arial"/>
                <w:sz w:val="20"/>
                <w:szCs w:val="20"/>
              </w:rPr>
            </w:pPr>
            <w:r w:rsidRPr="00A77AF6">
              <w:rPr>
                <w:rFonts w:cs="Arial"/>
                <w:sz w:val="20"/>
                <w:szCs w:val="20"/>
              </w:rPr>
              <w:t>3</w:t>
            </w:r>
          </w:p>
        </w:tc>
        <w:tc>
          <w:tcPr>
            <w:tcW w:w="1057" w:type="dxa"/>
            <w:vMerge/>
          </w:tcPr>
          <w:p w14:paraId="5E6FAF1C" w14:textId="77777777" w:rsidR="009817FF" w:rsidRPr="00A77AF6" w:rsidRDefault="009817FF" w:rsidP="004874DF">
            <w:pPr>
              <w:keepNext/>
              <w:spacing w:line="276" w:lineRule="auto"/>
              <w:rPr>
                <w:rFonts w:cs="Arial"/>
                <w:sz w:val="20"/>
                <w:szCs w:val="20"/>
              </w:rPr>
            </w:pPr>
          </w:p>
        </w:tc>
      </w:tr>
      <w:tr w:rsidR="009817FF" w:rsidRPr="00A77AF6" w14:paraId="3A43B4ED" w14:textId="77777777" w:rsidTr="004874DF">
        <w:tc>
          <w:tcPr>
            <w:tcW w:w="1864" w:type="dxa"/>
            <w:vMerge/>
          </w:tcPr>
          <w:p w14:paraId="27B290AC" w14:textId="77777777" w:rsidR="009817FF" w:rsidRPr="00A77AF6" w:rsidRDefault="009817FF" w:rsidP="004874DF">
            <w:pPr>
              <w:spacing w:line="276" w:lineRule="auto"/>
              <w:rPr>
                <w:rFonts w:cs="Arial"/>
                <w:sz w:val="20"/>
                <w:szCs w:val="20"/>
              </w:rPr>
            </w:pPr>
          </w:p>
        </w:tc>
        <w:tc>
          <w:tcPr>
            <w:tcW w:w="4313" w:type="dxa"/>
            <w:tcBorders>
              <w:top w:val="dotted" w:sz="4" w:space="0" w:color="auto"/>
              <w:bottom w:val="dotted" w:sz="4" w:space="0" w:color="auto"/>
              <w:right w:val="dotted" w:sz="4" w:space="0" w:color="auto"/>
            </w:tcBorders>
          </w:tcPr>
          <w:p w14:paraId="0864D2A8" w14:textId="77777777" w:rsidR="009817FF" w:rsidRPr="00A77AF6" w:rsidRDefault="009817FF" w:rsidP="004874DF">
            <w:pPr>
              <w:spacing w:line="276" w:lineRule="auto"/>
              <w:rPr>
                <w:rFonts w:cs="Arial"/>
                <w:sz w:val="20"/>
                <w:szCs w:val="20"/>
              </w:rPr>
            </w:pPr>
            <w:r w:rsidRPr="00A77AF6">
              <w:rPr>
                <w:rFonts w:cs="Arial"/>
                <w:sz w:val="20"/>
                <w:szCs w:val="20"/>
              </w:rPr>
              <w:t>Difficult for people who work on a project to say it didn’t go well</w:t>
            </w:r>
          </w:p>
        </w:tc>
        <w:tc>
          <w:tcPr>
            <w:tcW w:w="983" w:type="dxa"/>
            <w:tcBorders>
              <w:top w:val="dotted" w:sz="4" w:space="0" w:color="auto"/>
              <w:left w:val="dotted" w:sz="4" w:space="0" w:color="auto"/>
              <w:bottom w:val="dotted" w:sz="4" w:space="0" w:color="auto"/>
            </w:tcBorders>
          </w:tcPr>
          <w:p w14:paraId="1EF2250A" w14:textId="77777777" w:rsidR="009817FF" w:rsidRPr="00A77AF6" w:rsidRDefault="009817FF" w:rsidP="004874DF">
            <w:pPr>
              <w:spacing w:line="276" w:lineRule="auto"/>
              <w:rPr>
                <w:rFonts w:cs="Arial"/>
                <w:sz w:val="20"/>
                <w:szCs w:val="20"/>
              </w:rPr>
            </w:pPr>
            <w:r w:rsidRPr="00A77AF6">
              <w:rPr>
                <w:rFonts w:cs="Arial"/>
                <w:sz w:val="20"/>
                <w:szCs w:val="20"/>
              </w:rPr>
              <w:t>2</w:t>
            </w:r>
          </w:p>
        </w:tc>
        <w:tc>
          <w:tcPr>
            <w:tcW w:w="1057" w:type="dxa"/>
            <w:vMerge/>
          </w:tcPr>
          <w:p w14:paraId="4A83B857" w14:textId="77777777" w:rsidR="009817FF" w:rsidRPr="00A77AF6" w:rsidRDefault="009817FF" w:rsidP="004874DF">
            <w:pPr>
              <w:keepNext/>
              <w:spacing w:line="276" w:lineRule="auto"/>
              <w:rPr>
                <w:rFonts w:cs="Arial"/>
                <w:sz w:val="20"/>
                <w:szCs w:val="20"/>
              </w:rPr>
            </w:pPr>
          </w:p>
        </w:tc>
      </w:tr>
      <w:tr w:rsidR="009817FF" w:rsidRPr="00A77AF6" w14:paraId="4A7378AF" w14:textId="77777777" w:rsidTr="004874DF">
        <w:tc>
          <w:tcPr>
            <w:tcW w:w="1864" w:type="dxa"/>
            <w:vMerge/>
          </w:tcPr>
          <w:p w14:paraId="5280C156" w14:textId="77777777" w:rsidR="009817FF" w:rsidRPr="00A77AF6" w:rsidRDefault="009817FF" w:rsidP="004874DF">
            <w:pPr>
              <w:spacing w:line="276" w:lineRule="auto"/>
              <w:rPr>
                <w:rFonts w:cs="Arial"/>
                <w:sz w:val="20"/>
                <w:szCs w:val="20"/>
              </w:rPr>
            </w:pPr>
          </w:p>
        </w:tc>
        <w:tc>
          <w:tcPr>
            <w:tcW w:w="4313" w:type="dxa"/>
            <w:tcBorders>
              <w:top w:val="dotted" w:sz="4" w:space="0" w:color="auto"/>
              <w:bottom w:val="dotted" w:sz="4" w:space="0" w:color="auto"/>
              <w:right w:val="dotted" w:sz="4" w:space="0" w:color="auto"/>
            </w:tcBorders>
          </w:tcPr>
          <w:p w14:paraId="3085E6E5" w14:textId="3E94A40B" w:rsidR="009817FF" w:rsidRPr="00A77AF6" w:rsidRDefault="009817FF" w:rsidP="004874DF">
            <w:pPr>
              <w:spacing w:line="276" w:lineRule="auto"/>
              <w:rPr>
                <w:rFonts w:cs="Arial"/>
                <w:sz w:val="20"/>
                <w:szCs w:val="20"/>
              </w:rPr>
            </w:pPr>
            <w:r w:rsidRPr="00A77AF6">
              <w:rPr>
                <w:rFonts w:cs="Arial"/>
                <w:sz w:val="20"/>
                <w:szCs w:val="20"/>
              </w:rPr>
              <w:t>Projects change over their lifetime</w:t>
            </w:r>
            <w:r w:rsidR="00DA03E5" w:rsidRPr="00A77AF6">
              <w:rPr>
                <w:rFonts w:cs="Arial"/>
                <w:sz w:val="20"/>
                <w:szCs w:val="20"/>
              </w:rPr>
              <w:t>/ Projects can be re-baselined</w:t>
            </w:r>
          </w:p>
        </w:tc>
        <w:tc>
          <w:tcPr>
            <w:tcW w:w="983" w:type="dxa"/>
            <w:tcBorders>
              <w:top w:val="dotted" w:sz="4" w:space="0" w:color="auto"/>
              <w:left w:val="dotted" w:sz="4" w:space="0" w:color="auto"/>
              <w:bottom w:val="dotted" w:sz="4" w:space="0" w:color="auto"/>
            </w:tcBorders>
          </w:tcPr>
          <w:p w14:paraId="1BF7B330" w14:textId="4F9B66DD" w:rsidR="009817FF" w:rsidRPr="00A77AF6" w:rsidRDefault="00DA03E5" w:rsidP="004874DF">
            <w:pPr>
              <w:spacing w:line="276" w:lineRule="auto"/>
              <w:rPr>
                <w:rFonts w:cs="Arial"/>
                <w:sz w:val="20"/>
                <w:szCs w:val="20"/>
              </w:rPr>
            </w:pPr>
            <w:r w:rsidRPr="00A77AF6">
              <w:rPr>
                <w:rFonts w:cs="Arial"/>
                <w:sz w:val="20"/>
                <w:szCs w:val="20"/>
              </w:rPr>
              <w:t>2</w:t>
            </w:r>
          </w:p>
        </w:tc>
        <w:tc>
          <w:tcPr>
            <w:tcW w:w="1057" w:type="dxa"/>
            <w:vMerge/>
          </w:tcPr>
          <w:p w14:paraId="08A203AB" w14:textId="77777777" w:rsidR="009817FF" w:rsidRPr="00A77AF6" w:rsidRDefault="009817FF" w:rsidP="004874DF">
            <w:pPr>
              <w:keepNext/>
              <w:spacing w:line="276" w:lineRule="auto"/>
              <w:rPr>
                <w:rFonts w:cs="Arial"/>
                <w:sz w:val="20"/>
                <w:szCs w:val="20"/>
              </w:rPr>
            </w:pPr>
          </w:p>
        </w:tc>
      </w:tr>
      <w:tr w:rsidR="009817FF" w:rsidRPr="00A77AF6" w14:paraId="04952E87" w14:textId="77777777" w:rsidTr="004874DF">
        <w:tc>
          <w:tcPr>
            <w:tcW w:w="1864" w:type="dxa"/>
            <w:vMerge/>
          </w:tcPr>
          <w:p w14:paraId="4AE9A8F1" w14:textId="77777777" w:rsidR="009817FF" w:rsidRPr="00A77AF6" w:rsidRDefault="009817FF" w:rsidP="004874DF">
            <w:pPr>
              <w:spacing w:line="276" w:lineRule="auto"/>
              <w:rPr>
                <w:rFonts w:cs="Arial"/>
                <w:sz w:val="20"/>
                <w:szCs w:val="20"/>
              </w:rPr>
            </w:pPr>
          </w:p>
        </w:tc>
        <w:tc>
          <w:tcPr>
            <w:tcW w:w="4313" w:type="dxa"/>
            <w:tcBorders>
              <w:top w:val="dotted" w:sz="4" w:space="0" w:color="auto"/>
              <w:bottom w:val="dotted" w:sz="4" w:space="0" w:color="auto"/>
              <w:right w:val="dotted" w:sz="4" w:space="0" w:color="auto"/>
            </w:tcBorders>
          </w:tcPr>
          <w:p w14:paraId="0102F774" w14:textId="77777777" w:rsidR="009817FF" w:rsidRPr="00A77AF6" w:rsidRDefault="009817FF" w:rsidP="004874DF">
            <w:pPr>
              <w:spacing w:line="276" w:lineRule="auto"/>
              <w:rPr>
                <w:rFonts w:cs="Arial"/>
                <w:sz w:val="20"/>
                <w:szCs w:val="20"/>
              </w:rPr>
            </w:pPr>
            <w:r w:rsidRPr="00A77AF6">
              <w:rPr>
                <w:rFonts w:cs="Arial"/>
                <w:sz w:val="20"/>
                <w:szCs w:val="20"/>
              </w:rPr>
              <w:t>Success may change over the building’s lifetime</w:t>
            </w:r>
          </w:p>
        </w:tc>
        <w:tc>
          <w:tcPr>
            <w:tcW w:w="983" w:type="dxa"/>
            <w:tcBorders>
              <w:top w:val="dotted" w:sz="4" w:space="0" w:color="auto"/>
              <w:left w:val="dotted" w:sz="4" w:space="0" w:color="auto"/>
              <w:bottom w:val="dotted" w:sz="4" w:space="0" w:color="auto"/>
            </w:tcBorders>
          </w:tcPr>
          <w:p w14:paraId="69DBBEB5" w14:textId="77777777" w:rsidR="009817FF" w:rsidRPr="00A77AF6" w:rsidRDefault="009817FF" w:rsidP="004874DF">
            <w:pPr>
              <w:spacing w:line="276" w:lineRule="auto"/>
              <w:rPr>
                <w:rFonts w:cs="Arial"/>
                <w:sz w:val="20"/>
                <w:szCs w:val="20"/>
              </w:rPr>
            </w:pPr>
            <w:r w:rsidRPr="00A77AF6">
              <w:rPr>
                <w:rFonts w:cs="Arial"/>
                <w:sz w:val="20"/>
                <w:szCs w:val="20"/>
              </w:rPr>
              <w:t>1</w:t>
            </w:r>
          </w:p>
        </w:tc>
        <w:tc>
          <w:tcPr>
            <w:tcW w:w="1057" w:type="dxa"/>
            <w:vMerge/>
          </w:tcPr>
          <w:p w14:paraId="2E300DFB" w14:textId="77777777" w:rsidR="009817FF" w:rsidRPr="00A77AF6" w:rsidRDefault="009817FF" w:rsidP="004874DF">
            <w:pPr>
              <w:keepNext/>
              <w:spacing w:line="276" w:lineRule="auto"/>
              <w:rPr>
                <w:rFonts w:cs="Arial"/>
                <w:sz w:val="20"/>
                <w:szCs w:val="20"/>
              </w:rPr>
            </w:pPr>
          </w:p>
        </w:tc>
      </w:tr>
      <w:tr w:rsidR="009817FF" w:rsidRPr="00A77AF6" w14:paraId="2CD4986F" w14:textId="77777777" w:rsidTr="004874DF">
        <w:tc>
          <w:tcPr>
            <w:tcW w:w="1864" w:type="dxa"/>
            <w:vMerge/>
          </w:tcPr>
          <w:p w14:paraId="6A26AA70" w14:textId="77777777" w:rsidR="009817FF" w:rsidRPr="00A77AF6" w:rsidRDefault="009817FF" w:rsidP="004874DF">
            <w:pPr>
              <w:spacing w:line="276" w:lineRule="auto"/>
              <w:rPr>
                <w:rFonts w:cs="Arial"/>
                <w:sz w:val="20"/>
                <w:szCs w:val="20"/>
              </w:rPr>
            </w:pPr>
          </w:p>
        </w:tc>
        <w:tc>
          <w:tcPr>
            <w:tcW w:w="4313" w:type="dxa"/>
            <w:tcBorders>
              <w:top w:val="dotted" w:sz="4" w:space="0" w:color="auto"/>
              <w:bottom w:val="dotted" w:sz="4" w:space="0" w:color="auto"/>
              <w:right w:val="dotted" w:sz="4" w:space="0" w:color="auto"/>
            </w:tcBorders>
          </w:tcPr>
          <w:p w14:paraId="686569C5" w14:textId="77777777" w:rsidR="009817FF" w:rsidRPr="00A77AF6" w:rsidRDefault="009817FF" w:rsidP="004874DF">
            <w:pPr>
              <w:spacing w:line="276" w:lineRule="auto"/>
              <w:rPr>
                <w:rFonts w:cs="Arial"/>
                <w:sz w:val="20"/>
                <w:szCs w:val="20"/>
              </w:rPr>
            </w:pPr>
            <w:r w:rsidRPr="00A77AF6">
              <w:rPr>
                <w:rFonts w:cs="Arial"/>
                <w:sz w:val="20"/>
                <w:szCs w:val="20"/>
              </w:rPr>
              <w:t>Project success should be measured by the people using it e.g. patients and staff</w:t>
            </w:r>
          </w:p>
        </w:tc>
        <w:tc>
          <w:tcPr>
            <w:tcW w:w="983" w:type="dxa"/>
            <w:tcBorders>
              <w:top w:val="dotted" w:sz="4" w:space="0" w:color="auto"/>
              <w:left w:val="dotted" w:sz="4" w:space="0" w:color="auto"/>
              <w:bottom w:val="dotted" w:sz="4" w:space="0" w:color="auto"/>
            </w:tcBorders>
          </w:tcPr>
          <w:p w14:paraId="159797AA" w14:textId="77777777" w:rsidR="009817FF" w:rsidRPr="00A77AF6" w:rsidRDefault="009817FF" w:rsidP="004874DF">
            <w:pPr>
              <w:spacing w:line="276" w:lineRule="auto"/>
              <w:rPr>
                <w:rFonts w:cs="Arial"/>
                <w:sz w:val="20"/>
                <w:szCs w:val="20"/>
              </w:rPr>
            </w:pPr>
            <w:r w:rsidRPr="00A77AF6">
              <w:rPr>
                <w:rFonts w:cs="Arial"/>
                <w:sz w:val="20"/>
                <w:szCs w:val="20"/>
              </w:rPr>
              <w:t>1</w:t>
            </w:r>
          </w:p>
        </w:tc>
        <w:tc>
          <w:tcPr>
            <w:tcW w:w="1057" w:type="dxa"/>
            <w:vMerge/>
          </w:tcPr>
          <w:p w14:paraId="73A21A37" w14:textId="77777777" w:rsidR="009817FF" w:rsidRPr="00A77AF6" w:rsidRDefault="009817FF" w:rsidP="004874DF">
            <w:pPr>
              <w:keepNext/>
              <w:spacing w:line="276" w:lineRule="auto"/>
              <w:rPr>
                <w:rFonts w:cs="Arial"/>
                <w:sz w:val="20"/>
                <w:szCs w:val="20"/>
              </w:rPr>
            </w:pPr>
          </w:p>
        </w:tc>
      </w:tr>
      <w:tr w:rsidR="009817FF" w:rsidRPr="00A77AF6" w14:paraId="01C53DB3" w14:textId="77777777" w:rsidTr="004874DF">
        <w:tc>
          <w:tcPr>
            <w:tcW w:w="1864" w:type="dxa"/>
            <w:vMerge/>
          </w:tcPr>
          <w:p w14:paraId="72E895E4" w14:textId="77777777" w:rsidR="009817FF" w:rsidRPr="00A77AF6" w:rsidRDefault="009817FF" w:rsidP="004874DF">
            <w:pPr>
              <w:spacing w:line="276" w:lineRule="auto"/>
              <w:rPr>
                <w:rFonts w:cs="Arial"/>
                <w:sz w:val="20"/>
                <w:szCs w:val="20"/>
              </w:rPr>
            </w:pPr>
          </w:p>
        </w:tc>
        <w:tc>
          <w:tcPr>
            <w:tcW w:w="4313" w:type="dxa"/>
            <w:tcBorders>
              <w:top w:val="dotted" w:sz="4" w:space="0" w:color="auto"/>
              <w:bottom w:val="dotted" w:sz="4" w:space="0" w:color="auto"/>
              <w:right w:val="dotted" w:sz="4" w:space="0" w:color="auto"/>
            </w:tcBorders>
          </w:tcPr>
          <w:p w14:paraId="5FCB352D" w14:textId="77777777" w:rsidR="009817FF" w:rsidRPr="00A77AF6" w:rsidRDefault="009817FF" w:rsidP="004874DF">
            <w:pPr>
              <w:spacing w:line="276" w:lineRule="auto"/>
              <w:rPr>
                <w:rFonts w:cs="Arial"/>
                <w:sz w:val="20"/>
                <w:szCs w:val="20"/>
              </w:rPr>
            </w:pPr>
            <w:r w:rsidRPr="00A77AF6">
              <w:rPr>
                <w:rFonts w:cs="Arial"/>
                <w:sz w:val="20"/>
                <w:szCs w:val="20"/>
              </w:rPr>
              <w:t>Perception of success can change with time and stakeholders</w:t>
            </w:r>
          </w:p>
        </w:tc>
        <w:tc>
          <w:tcPr>
            <w:tcW w:w="983" w:type="dxa"/>
            <w:tcBorders>
              <w:top w:val="dotted" w:sz="4" w:space="0" w:color="auto"/>
              <w:left w:val="dotted" w:sz="4" w:space="0" w:color="auto"/>
              <w:bottom w:val="dotted" w:sz="4" w:space="0" w:color="auto"/>
            </w:tcBorders>
          </w:tcPr>
          <w:p w14:paraId="11C3E82D" w14:textId="77777777" w:rsidR="009817FF" w:rsidRPr="00A77AF6" w:rsidRDefault="009817FF" w:rsidP="004874DF">
            <w:pPr>
              <w:spacing w:line="276" w:lineRule="auto"/>
              <w:rPr>
                <w:rFonts w:cs="Arial"/>
                <w:sz w:val="20"/>
                <w:szCs w:val="20"/>
              </w:rPr>
            </w:pPr>
            <w:r w:rsidRPr="00A77AF6">
              <w:rPr>
                <w:rFonts w:cs="Arial"/>
                <w:sz w:val="20"/>
                <w:szCs w:val="20"/>
              </w:rPr>
              <w:t>1</w:t>
            </w:r>
          </w:p>
        </w:tc>
        <w:tc>
          <w:tcPr>
            <w:tcW w:w="1057" w:type="dxa"/>
            <w:vMerge/>
          </w:tcPr>
          <w:p w14:paraId="23AEBE3F" w14:textId="77777777" w:rsidR="009817FF" w:rsidRPr="00A77AF6" w:rsidRDefault="009817FF" w:rsidP="004874DF">
            <w:pPr>
              <w:keepNext/>
              <w:spacing w:line="276" w:lineRule="auto"/>
              <w:rPr>
                <w:rFonts w:cs="Arial"/>
                <w:sz w:val="20"/>
                <w:szCs w:val="20"/>
              </w:rPr>
            </w:pPr>
          </w:p>
        </w:tc>
      </w:tr>
      <w:tr w:rsidR="009817FF" w:rsidRPr="00A77AF6" w14:paraId="5BED0236" w14:textId="77777777" w:rsidTr="004874DF">
        <w:tc>
          <w:tcPr>
            <w:tcW w:w="1864" w:type="dxa"/>
            <w:vMerge/>
          </w:tcPr>
          <w:p w14:paraId="06DCA218" w14:textId="77777777" w:rsidR="009817FF" w:rsidRPr="00A77AF6" w:rsidRDefault="009817FF" w:rsidP="004874DF">
            <w:pPr>
              <w:spacing w:line="276" w:lineRule="auto"/>
              <w:rPr>
                <w:rFonts w:cs="Arial"/>
                <w:sz w:val="20"/>
                <w:szCs w:val="20"/>
              </w:rPr>
            </w:pPr>
          </w:p>
        </w:tc>
        <w:tc>
          <w:tcPr>
            <w:tcW w:w="4313" w:type="dxa"/>
            <w:tcBorders>
              <w:top w:val="dotted" w:sz="4" w:space="0" w:color="auto"/>
              <w:bottom w:val="dotted" w:sz="4" w:space="0" w:color="auto"/>
              <w:right w:val="dotted" w:sz="4" w:space="0" w:color="auto"/>
            </w:tcBorders>
          </w:tcPr>
          <w:p w14:paraId="594330B0" w14:textId="77777777" w:rsidR="009817FF" w:rsidRPr="00A77AF6" w:rsidRDefault="009817FF" w:rsidP="004874DF">
            <w:pPr>
              <w:spacing w:line="276" w:lineRule="auto"/>
              <w:rPr>
                <w:rFonts w:cs="Arial"/>
                <w:sz w:val="20"/>
                <w:szCs w:val="20"/>
              </w:rPr>
            </w:pPr>
            <w:r w:rsidRPr="00A77AF6">
              <w:rPr>
                <w:rFonts w:cs="Arial"/>
                <w:sz w:val="20"/>
                <w:szCs w:val="20"/>
              </w:rPr>
              <w:t>Little emphasis on whole life costing</w:t>
            </w:r>
          </w:p>
        </w:tc>
        <w:tc>
          <w:tcPr>
            <w:tcW w:w="983" w:type="dxa"/>
            <w:tcBorders>
              <w:top w:val="dotted" w:sz="4" w:space="0" w:color="auto"/>
              <w:left w:val="dotted" w:sz="4" w:space="0" w:color="auto"/>
              <w:bottom w:val="dotted" w:sz="4" w:space="0" w:color="auto"/>
            </w:tcBorders>
          </w:tcPr>
          <w:p w14:paraId="01AFA2BA" w14:textId="77777777" w:rsidR="009817FF" w:rsidRPr="00A77AF6" w:rsidRDefault="009817FF" w:rsidP="004874DF">
            <w:pPr>
              <w:spacing w:line="276" w:lineRule="auto"/>
              <w:rPr>
                <w:rFonts w:cs="Arial"/>
                <w:sz w:val="20"/>
                <w:szCs w:val="20"/>
              </w:rPr>
            </w:pPr>
            <w:r w:rsidRPr="00A77AF6">
              <w:rPr>
                <w:rFonts w:cs="Arial"/>
                <w:sz w:val="20"/>
                <w:szCs w:val="20"/>
              </w:rPr>
              <w:t>1</w:t>
            </w:r>
          </w:p>
        </w:tc>
        <w:tc>
          <w:tcPr>
            <w:tcW w:w="1057" w:type="dxa"/>
            <w:vMerge/>
          </w:tcPr>
          <w:p w14:paraId="4A02791C" w14:textId="77777777" w:rsidR="009817FF" w:rsidRPr="00A77AF6" w:rsidRDefault="009817FF" w:rsidP="004874DF">
            <w:pPr>
              <w:keepNext/>
              <w:spacing w:line="276" w:lineRule="auto"/>
              <w:rPr>
                <w:rFonts w:cs="Arial"/>
                <w:sz w:val="20"/>
                <w:szCs w:val="20"/>
              </w:rPr>
            </w:pPr>
          </w:p>
        </w:tc>
      </w:tr>
      <w:tr w:rsidR="009817FF" w:rsidRPr="00A77AF6" w14:paraId="3B625431" w14:textId="77777777" w:rsidTr="004874DF">
        <w:tc>
          <w:tcPr>
            <w:tcW w:w="1864" w:type="dxa"/>
            <w:vMerge/>
          </w:tcPr>
          <w:p w14:paraId="2547D04A" w14:textId="77777777" w:rsidR="009817FF" w:rsidRPr="00A77AF6" w:rsidRDefault="009817FF" w:rsidP="004874DF">
            <w:pPr>
              <w:spacing w:line="276" w:lineRule="auto"/>
              <w:rPr>
                <w:rFonts w:cs="Arial"/>
                <w:sz w:val="20"/>
                <w:szCs w:val="20"/>
              </w:rPr>
            </w:pPr>
          </w:p>
        </w:tc>
        <w:tc>
          <w:tcPr>
            <w:tcW w:w="4313" w:type="dxa"/>
            <w:tcBorders>
              <w:top w:val="dotted" w:sz="4" w:space="0" w:color="auto"/>
              <w:bottom w:val="single" w:sz="4" w:space="0" w:color="auto"/>
              <w:right w:val="dotted" w:sz="4" w:space="0" w:color="auto"/>
            </w:tcBorders>
          </w:tcPr>
          <w:p w14:paraId="4F0E6DD7" w14:textId="77777777" w:rsidR="009817FF" w:rsidRPr="00A77AF6" w:rsidRDefault="009817FF" w:rsidP="004874DF">
            <w:pPr>
              <w:spacing w:line="276" w:lineRule="auto"/>
              <w:rPr>
                <w:rFonts w:cs="Arial"/>
                <w:sz w:val="20"/>
                <w:szCs w:val="20"/>
              </w:rPr>
            </w:pPr>
            <w:r w:rsidRPr="00A77AF6">
              <w:rPr>
                <w:rFonts w:cs="Arial"/>
                <w:sz w:val="20"/>
                <w:szCs w:val="20"/>
              </w:rPr>
              <w:t>Depends how success is defined</w:t>
            </w:r>
          </w:p>
        </w:tc>
        <w:tc>
          <w:tcPr>
            <w:tcW w:w="983" w:type="dxa"/>
            <w:tcBorders>
              <w:top w:val="dotted" w:sz="4" w:space="0" w:color="auto"/>
              <w:left w:val="dotted" w:sz="4" w:space="0" w:color="auto"/>
              <w:bottom w:val="single" w:sz="4" w:space="0" w:color="auto"/>
            </w:tcBorders>
          </w:tcPr>
          <w:p w14:paraId="7798AB77" w14:textId="77777777" w:rsidR="009817FF" w:rsidRPr="00A77AF6" w:rsidRDefault="009817FF" w:rsidP="004874DF">
            <w:pPr>
              <w:spacing w:line="276" w:lineRule="auto"/>
              <w:rPr>
                <w:rFonts w:cs="Arial"/>
                <w:sz w:val="20"/>
                <w:szCs w:val="20"/>
              </w:rPr>
            </w:pPr>
            <w:r w:rsidRPr="00A77AF6">
              <w:rPr>
                <w:rFonts w:cs="Arial"/>
                <w:sz w:val="20"/>
                <w:szCs w:val="20"/>
              </w:rPr>
              <w:t>1</w:t>
            </w:r>
          </w:p>
        </w:tc>
        <w:tc>
          <w:tcPr>
            <w:tcW w:w="1057" w:type="dxa"/>
            <w:vMerge/>
          </w:tcPr>
          <w:p w14:paraId="36F6F6AE" w14:textId="77777777" w:rsidR="009817FF" w:rsidRPr="00A77AF6" w:rsidRDefault="009817FF" w:rsidP="004874DF">
            <w:pPr>
              <w:keepNext/>
              <w:spacing w:line="276" w:lineRule="auto"/>
              <w:rPr>
                <w:rFonts w:cs="Arial"/>
                <w:sz w:val="20"/>
                <w:szCs w:val="20"/>
              </w:rPr>
            </w:pPr>
          </w:p>
        </w:tc>
      </w:tr>
    </w:tbl>
    <w:p w14:paraId="7A4D023F" w14:textId="0CB5B181" w:rsidR="00B15330" w:rsidRPr="00A77AF6" w:rsidRDefault="00B6545A" w:rsidP="00B15330">
      <w:pPr>
        <w:spacing w:before="240" w:after="0" w:line="360" w:lineRule="auto"/>
      </w:pPr>
      <w:r w:rsidRPr="00A77AF6">
        <w:rPr>
          <w:rFonts w:eastAsia="Times New Roman" w:cstheme="minorHAnsi"/>
          <w:color w:val="000000"/>
          <w:lang w:eastAsia="en-GB"/>
        </w:rPr>
        <w:t>However, this feasibility of objectively measuring projects was challenged by respondents</w:t>
      </w:r>
      <w:r w:rsidR="00AC450C" w:rsidRPr="00A77AF6">
        <w:rPr>
          <w:rFonts w:eastAsia="Times New Roman" w:cstheme="minorHAnsi"/>
          <w:color w:val="000000"/>
          <w:lang w:eastAsia="en-GB"/>
        </w:rPr>
        <w:t xml:space="preserve"> and t</w:t>
      </w:r>
      <w:r w:rsidR="00AC450C" w:rsidRPr="00A77AF6">
        <w:t xml:space="preserve">he lack of measurement in the longer-term </w:t>
      </w:r>
      <w:r w:rsidR="00E93A15">
        <w:t xml:space="preserve">was thought to </w:t>
      </w:r>
      <w:r w:rsidR="00AC450C" w:rsidRPr="00A77AF6">
        <w:t xml:space="preserve">be a result of the tendency of projects to change over their lifetime </w:t>
      </w:r>
      <w:r w:rsidR="00E93A15">
        <w:t xml:space="preserve">making </w:t>
      </w:r>
      <w:r w:rsidR="00AC450C" w:rsidRPr="00A77AF6">
        <w:t>success difficult to assess against objective criteria</w:t>
      </w:r>
      <w:r w:rsidRPr="00A77AF6">
        <w:rPr>
          <w:rFonts w:eastAsia="Times New Roman" w:cstheme="minorHAnsi"/>
          <w:color w:val="000000"/>
          <w:lang w:eastAsia="en-GB"/>
        </w:rPr>
        <w:t>.</w:t>
      </w:r>
      <w:r w:rsidR="00840291" w:rsidRPr="00A77AF6">
        <w:t xml:space="preserve"> </w:t>
      </w:r>
      <w:r w:rsidR="00C67289" w:rsidRPr="00A77AF6">
        <w:t xml:space="preserve"> For </w:t>
      </w:r>
      <w:r w:rsidR="00B15330" w:rsidRPr="00A77AF6">
        <w:t>some in the</w:t>
      </w:r>
      <w:r w:rsidR="00C67289" w:rsidRPr="00A77AF6">
        <w:t xml:space="preserve"> project team, success is finishing the project; for the </w:t>
      </w:r>
      <w:r w:rsidR="007B1E2B" w:rsidRPr="00A77AF6">
        <w:t>b</w:t>
      </w:r>
      <w:r w:rsidR="00C67289" w:rsidRPr="00A77AF6">
        <w:t>oard, success is more about</w:t>
      </w:r>
      <w:r w:rsidR="00E93A15">
        <w:t xml:space="preserve"> success in </w:t>
      </w:r>
      <w:r w:rsidR="00C67289" w:rsidRPr="00A77AF6">
        <w:t xml:space="preserve"> the long-term</w:t>
      </w:r>
      <w:r w:rsidR="00E93A15">
        <w:t xml:space="preserve"> and </w:t>
      </w:r>
      <w:r w:rsidR="00B15330" w:rsidRPr="00A77AF6">
        <w:t xml:space="preserve">for some success may be judged from their own professional perspective.  </w:t>
      </w:r>
    </w:p>
    <w:p w14:paraId="775C23F8" w14:textId="37DA6682" w:rsidR="00B15330" w:rsidRPr="00A77AF6" w:rsidRDefault="00B15330" w:rsidP="007B1E2B">
      <w:pPr>
        <w:spacing w:after="120" w:line="240" w:lineRule="auto"/>
        <w:ind w:left="720"/>
        <w:rPr>
          <w:rFonts w:eastAsia="Times New Roman" w:cstheme="minorHAnsi"/>
          <w:i/>
          <w:color w:val="000000"/>
          <w:lang w:eastAsia="en-GB"/>
        </w:rPr>
      </w:pPr>
      <w:r w:rsidRPr="00A77AF6">
        <w:rPr>
          <w:rFonts w:eastAsia="Times New Roman" w:cstheme="minorHAnsi"/>
          <w:i/>
          <w:color w:val="000000"/>
          <w:lang w:eastAsia="en-GB"/>
        </w:rPr>
        <w:t>‘I would mainly evaluate it against my concept of quality - time and cost would not be a massive factor for me, I don’t think (Expert B).’</w:t>
      </w:r>
    </w:p>
    <w:p w14:paraId="04B2F0A6" w14:textId="0BD8AAA0" w:rsidR="00250091" w:rsidRPr="00A77AF6" w:rsidRDefault="00F35CBD" w:rsidP="007B1E2B">
      <w:pPr>
        <w:spacing w:before="120" w:after="0" w:line="360" w:lineRule="auto"/>
      </w:pPr>
      <w:r w:rsidRPr="00A77AF6">
        <w:rPr>
          <w:rFonts w:eastAsia="Times New Roman" w:cstheme="minorHAnsi"/>
          <w:color w:val="000000"/>
          <w:lang w:eastAsia="en-GB"/>
        </w:rPr>
        <w:t>P</w:t>
      </w:r>
      <w:r w:rsidR="00B6545A" w:rsidRPr="00A77AF6">
        <w:rPr>
          <w:rFonts w:eastAsia="Times New Roman" w:cstheme="minorHAnsi"/>
          <w:color w:val="000000"/>
          <w:lang w:eastAsia="en-GB"/>
        </w:rPr>
        <w:t>roject</w:t>
      </w:r>
      <w:r w:rsidR="00B15330" w:rsidRPr="00A77AF6">
        <w:rPr>
          <w:rFonts w:eastAsia="Times New Roman" w:cstheme="minorHAnsi"/>
          <w:color w:val="000000"/>
          <w:lang w:eastAsia="en-GB"/>
        </w:rPr>
        <w:t>s</w:t>
      </w:r>
      <w:r w:rsidR="00B6545A" w:rsidRPr="00A77AF6">
        <w:rPr>
          <w:rFonts w:eastAsia="Times New Roman" w:cstheme="minorHAnsi"/>
          <w:color w:val="000000"/>
          <w:lang w:eastAsia="en-GB"/>
        </w:rPr>
        <w:t xml:space="preserve"> might be </w:t>
      </w:r>
      <w:r w:rsidR="00B15330" w:rsidRPr="00A77AF6">
        <w:rPr>
          <w:rFonts w:eastAsia="Times New Roman" w:cstheme="minorHAnsi"/>
          <w:color w:val="000000"/>
          <w:lang w:eastAsia="en-GB"/>
        </w:rPr>
        <w:t xml:space="preserve">judged as </w:t>
      </w:r>
      <w:r w:rsidR="00B6545A" w:rsidRPr="00A77AF6">
        <w:rPr>
          <w:rFonts w:eastAsia="Times New Roman" w:cstheme="minorHAnsi"/>
          <w:color w:val="000000"/>
          <w:lang w:eastAsia="en-GB"/>
        </w:rPr>
        <w:t xml:space="preserve">successful </w:t>
      </w:r>
      <w:r w:rsidRPr="00A77AF6">
        <w:rPr>
          <w:rFonts w:eastAsia="Times New Roman" w:cstheme="minorHAnsi"/>
          <w:color w:val="000000"/>
          <w:lang w:eastAsia="en-GB"/>
        </w:rPr>
        <w:t xml:space="preserve">for several reasons, for example </w:t>
      </w:r>
      <w:r w:rsidR="00B6545A" w:rsidRPr="00A77AF6">
        <w:rPr>
          <w:rFonts w:eastAsia="Times New Roman" w:cstheme="minorHAnsi"/>
          <w:color w:val="000000"/>
          <w:lang w:eastAsia="en-GB"/>
        </w:rPr>
        <w:t xml:space="preserve">against a re-baselined plan; because </w:t>
      </w:r>
      <w:r w:rsidR="00E93A15">
        <w:rPr>
          <w:rFonts w:eastAsia="Times New Roman" w:cstheme="minorHAnsi"/>
          <w:color w:val="000000"/>
          <w:lang w:eastAsia="en-GB"/>
        </w:rPr>
        <w:t xml:space="preserve">the project </w:t>
      </w:r>
      <w:r w:rsidR="00B6545A" w:rsidRPr="00A77AF6">
        <w:rPr>
          <w:rFonts w:eastAsia="Times New Roman" w:cstheme="minorHAnsi"/>
          <w:color w:val="000000"/>
          <w:lang w:eastAsia="en-GB"/>
        </w:rPr>
        <w:t xml:space="preserve">works well in the operational phase, or because the reasons for missing the targets can be explained (Expert E).  This suggests the shifting sands of project measurement come from </w:t>
      </w:r>
      <w:r w:rsidR="00250091" w:rsidRPr="00A77AF6">
        <w:rPr>
          <w:rFonts w:eastAsia="Times New Roman" w:cstheme="minorHAnsi"/>
          <w:color w:val="000000"/>
          <w:lang w:eastAsia="en-GB"/>
        </w:rPr>
        <w:t>chang</w:t>
      </w:r>
      <w:r w:rsidR="00E93A15">
        <w:rPr>
          <w:rFonts w:eastAsia="Times New Roman" w:cstheme="minorHAnsi"/>
          <w:color w:val="000000"/>
          <w:lang w:eastAsia="en-GB"/>
        </w:rPr>
        <w:t xml:space="preserve">es </w:t>
      </w:r>
      <w:r w:rsidR="00250091" w:rsidRPr="00A77AF6">
        <w:rPr>
          <w:rFonts w:eastAsia="Times New Roman" w:cstheme="minorHAnsi"/>
          <w:color w:val="000000"/>
          <w:lang w:eastAsia="en-GB"/>
        </w:rPr>
        <w:t>that take place through a long project lifecycle</w:t>
      </w:r>
      <w:r w:rsidR="00AC450C" w:rsidRPr="00A77AF6">
        <w:rPr>
          <w:rFonts w:eastAsia="Times New Roman" w:cstheme="minorHAnsi"/>
          <w:color w:val="000000"/>
          <w:lang w:eastAsia="en-GB"/>
        </w:rPr>
        <w:t xml:space="preserve"> when</w:t>
      </w:r>
      <w:r w:rsidR="00250091" w:rsidRPr="00A77AF6">
        <w:t xml:space="preserve"> time, cost and quality parameters are re-baselined at various times, </w:t>
      </w:r>
      <w:r w:rsidR="00E93A15">
        <w:t xml:space="preserve">so </w:t>
      </w:r>
      <w:r w:rsidR="00250091" w:rsidRPr="00A77AF6">
        <w:t xml:space="preserve">in effect giving projects a new set of targets.  This means that a new plan is </w:t>
      </w:r>
      <w:r w:rsidR="00AC450C" w:rsidRPr="00A77AF6">
        <w:t xml:space="preserve">created </w:t>
      </w:r>
      <w:r w:rsidR="00250091" w:rsidRPr="00A77AF6">
        <w:t xml:space="preserve">against which the project is now </w:t>
      </w:r>
      <w:r w:rsidRPr="00A77AF6">
        <w:t>measured,</w:t>
      </w:r>
      <w:r w:rsidR="00AC450C" w:rsidRPr="00A77AF6">
        <w:t xml:space="preserve"> and </w:t>
      </w:r>
      <w:r w:rsidR="00250091" w:rsidRPr="00A77AF6">
        <w:t>the project is no</w:t>
      </w:r>
      <w:r w:rsidR="00E93A15">
        <w:t xml:space="preserve"> longer </w:t>
      </w:r>
      <w:r w:rsidRPr="00A77AF6">
        <w:t>judged</w:t>
      </w:r>
      <w:r w:rsidR="00250091" w:rsidRPr="00A77AF6">
        <w:t xml:space="preserve"> against the original target</w:t>
      </w:r>
      <w:r w:rsidR="00E93A15">
        <w:t>s</w:t>
      </w:r>
      <w:r w:rsidRPr="00A77AF6">
        <w:t>.</w:t>
      </w:r>
    </w:p>
    <w:p w14:paraId="341860F5" w14:textId="0211EFBD" w:rsidR="00B6545A" w:rsidRDefault="00B6545A" w:rsidP="00B6545A">
      <w:pPr>
        <w:spacing w:line="240" w:lineRule="auto"/>
        <w:ind w:left="720"/>
        <w:rPr>
          <w:i/>
        </w:rPr>
      </w:pPr>
      <w:r w:rsidRPr="00A77AF6">
        <w:rPr>
          <w:i/>
        </w:rPr>
        <w:t xml:space="preserve">‘I think I have started projects and in the middle of them I have not known the original timeline or the original budget.  Because what you do is submit a new project timeline and a new project budget which is all signed off and agreed and the fact that it has slipped one, two or three years, or gone up by a million pounds, you are not comparing it to that, you are comparing it to the updated project plan.’ </w:t>
      </w:r>
      <w:r w:rsidR="009603DC" w:rsidRPr="00A77AF6">
        <w:rPr>
          <w:i/>
        </w:rPr>
        <w:t>(Expert C)</w:t>
      </w:r>
    </w:p>
    <w:p w14:paraId="0526E0DC" w14:textId="3F8CF812" w:rsidR="00E93A15" w:rsidRDefault="00E93A15" w:rsidP="00B6545A">
      <w:pPr>
        <w:spacing w:line="240" w:lineRule="auto"/>
        <w:ind w:left="720"/>
        <w:rPr>
          <w:i/>
        </w:rPr>
      </w:pPr>
    </w:p>
    <w:p w14:paraId="1E159217" w14:textId="3C923274" w:rsidR="00E93A15" w:rsidRDefault="00E93A15" w:rsidP="00B6545A">
      <w:pPr>
        <w:spacing w:line="240" w:lineRule="auto"/>
        <w:ind w:left="720"/>
        <w:rPr>
          <w:i/>
        </w:rPr>
      </w:pPr>
    </w:p>
    <w:p w14:paraId="4FA66B86" w14:textId="3E77D649" w:rsidR="00E93A15" w:rsidRDefault="00E93A15" w:rsidP="00B6545A">
      <w:pPr>
        <w:spacing w:line="240" w:lineRule="auto"/>
        <w:ind w:left="720"/>
        <w:rPr>
          <w:i/>
        </w:rPr>
      </w:pPr>
    </w:p>
    <w:p w14:paraId="166489DC" w14:textId="2A098082" w:rsidR="00E93A15" w:rsidRDefault="00E93A15" w:rsidP="00B6545A">
      <w:pPr>
        <w:spacing w:line="240" w:lineRule="auto"/>
        <w:ind w:left="720"/>
        <w:rPr>
          <w:i/>
        </w:rPr>
      </w:pPr>
    </w:p>
    <w:p w14:paraId="4993CEEC" w14:textId="46760974" w:rsidR="00E93A15" w:rsidRDefault="00E93A15" w:rsidP="00B6545A">
      <w:pPr>
        <w:spacing w:line="240" w:lineRule="auto"/>
        <w:ind w:left="720"/>
        <w:rPr>
          <w:i/>
        </w:rPr>
      </w:pPr>
    </w:p>
    <w:p w14:paraId="264C5AAB" w14:textId="1E323A56" w:rsidR="00B6545A" w:rsidRPr="00A77AF6" w:rsidRDefault="00B6545A" w:rsidP="00B6545A">
      <w:pPr>
        <w:spacing w:before="240" w:after="0" w:line="360" w:lineRule="auto"/>
      </w:pPr>
      <w:r w:rsidRPr="00A77AF6">
        <w:lastRenderedPageBreak/>
        <w:t xml:space="preserve">Changes can </w:t>
      </w:r>
      <w:r w:rsidR="009603DC" w:rsidRPr="00A77AF6">
        <w:t xml:space="preserve">have many causes </w:t>
      </w:r>
      <w:r w:rsidRPr="00A77AF6">
        <w:t>such as new technology, a change in environmental requirements or risks</w:t>
      </w:r>
      <w:r w:rsidR="00AC450C" w:rsidRPr="00A77AF6">
        <w:t>.</w:t>
      </w:r>
      <w:r w:rsidRPr="00A77AF6">
        <w:t xml:space="preserve">  Expert C thought that there might be limited value in going back to </w:t>
      </w:r>
      <w:r w:rsidR="00E34D90">
        <w:t>an</w:t>
      </w:r>
      <w:r w:rsidRPr="00A77AF6">
        <w:t xml:space="preserve"> original plan to measure project success because there </w:t>
      </w:r>
      <w:r w:rsidR="00E34D90">
        <w:t>is no</w:t>
      </w:r>
      <w:r w:rsidRPr="00A77AF6">
        <w:t xml:space="preserve"> point comparing </w:t>
      </w:r>
      <w:r w:rsidR="00E93A15">
        <w:t>the original</w:t>
      </w:r>
      <w:r w:rsidRPr="00A77AF6">
        <w:t xml:space="preserve"> </w:t>
      </w:r>
      <w:r w:rsidR="00E93A15">
        <w:t xml:space="preserve">out-of-date </w:t>
      </w:r>
      <w:r w:rsidRPr="00A77AF6">
        <w:t xml:space="preserve">project with </w:t>
      </w:r>
      <w:r w:rsidR="00E34D90">
        <w:t>the</w:t>
      </w:r>
      <w:r w:rsidRPr="00A77AF6">
        <w:t xml:space="preserve"> updated project</w:t>
      </w:r>
      <w:r w:rsidR="00E34D90">
        <w:t xml:space="preserve"> which might have changed significantly, </w:t>
      </w:r>
      <w:r w:rsidRPr="00A77AF6">
        <w:t xml:space="preserve">because they are to some extent different projects.  </w:t>
      </w:r>
    </w:p>
    <w:p w14:paraId="5A3F066B" w14:textId="77777777" w:rsidR="00B6545A" w:rsidRPr="00A77AF6" w:rsidRDefault="00B6545A" w:rsidP="00B6545A">
      <w:pPr>
        <w:spacing w:after="240" w:line="240" w:lineRule="auto"/>
        <w:ind w:left="720"/>
        <w:rPr>
          <w:i/>
        </w:rPr>
      </w:pPr>
      <w:r w:rsidRPr="00A77AF6">
        <w:rPr>
          <w:i/>
        </w:rPr>
        <w:t>‘So you start off saying it was going to be one standard, and in the middle of the project you are asked to meet different standards and therefore you cannot possibly compare it to the original and then you are meeting higher standards and then end up with more costs’ (Expert C)</w:t>
      </w:r>
    </w:p>
    <w:p w14:paraId="3DD28AC5" w14:textId="2B1547BD" w:rsidR="001B6BB9" w:rsidRDefault="009A0C3E" w:rsidP="00840291">
      <w:pPr>
        <w:spacing w:line="360" w:lineRule="auto"/>
      </w:pPr>
      <w:r w:rsidRPr="00A77AF6">
        <w:rPr>
          <w:rFonts w:eastAsia="Times New Roman" w:cstheme="minorHAnsi"/>
          <w:color w:val="000000"/>
          <w:lang w:eastAsia="en-GB"/>
        </w:rPr>
        <w:t xml:space="preserve">It was suggested that little attention is given to ‘close out’ reports or post project reviews. These would help project teams to know if the project was successful and learn lessons for subsequent projects. </w:t>
      </w:r>
      <w:r w:rsidR="00AC450C" w:rsidRPr="00A77AF6">
        <w:t xml:space="preserve">It was </w:t>
      </w:r>
      <w:r w:rsidR="00840291" w:rsidRPr="00A77AF6">
        <w:t xml:space="preserve">suggested such evaluations should take place </w:t>
      </w:r>
      <w:r w:rsidR="00B6545A" w:rsidRPr="00A77AF6">
        <w:t>perhaps five years into</w:t>
      </w:r>
      <w:r w:rsidR="00840291" w:rsidRPr="00A77AF6">
        <w:t xml:space="preserve"> the operational phase.  </w:t>
      </w:r>
      <w:r w:rsidR="009817FF" w:rsidRPr="00A77AF6">
        <w:t>NHS Improvement (2016</w:t>
      </w:r>
      <w:r w:rsidR="007B1E2B" w:rsidRPr="00A77AF6">
        <w:t xml:space="preserve">, </w:t>
      </w:r>
      <w:r w:rsidR="009817FF" w:rsidRPr="00A77AF6">
        <w:t>2017) make</w:t>
      </w:r>
      <w:r w:rsidR="00B6545A" w:rsidRPr="00A77AF6">
        <w:t>s</w:t>
      </w:r>
      <w:r w:rsidR="009817FF" w:rsidRPr="00A77AF6">
        <w:t xml:space="preserve"> clear the importance </w:t>
      </w:r>
      <w:r w:rsidR="00974E93" w:rsidRPr="00A77AF6">
        <w:t xml:space="preserve">of post project evaluations </w:t>
      </w:r>
      <w:r w:rsidR="009817FF" w:rsidRPr="00A77AF6">
        <w:t xml:space="preserve">and </w:t>
      </w:r>
      <w:r w:rsidR="00974E93" w:rsidRPr="00A77AF6">
        <w:t>suggest</w:t>
      </w:r>
      <w:r w:rsidR="00495A6A" w:rsidRPr="00A77AF6">
        <w:t>s</w:t>
      </w:r>
      <w:r w:rsidR="00974E93" w:rsidRPr="00A77AF6">
        <w:t xml:space="preserve"> that they are </w:t>
      </w:r>
      <w:r w:rsidR="00495A6A" w:rsidRPr="00A77AF6">
        <w:t>performed</w:t>
      </w:r>
      <w:r w:rsidR="00974E93" w:rsidRPr="00A77AF6">
        <w:t xml:space="preserve"> at 6 and 24-months post occupancy</w:t>
      </w:r>
      <w:r w:rsidR="009817FF" w:rsidRPr="00A77AF6">
        <w:t xml:space="preserve">. </w:t>
      </w:r>
      <w:r w:rsidR="00974E93" w:rsidRPr="00A77AF6">
        <w:t xml:space="preserve">That these have not been completed </w:t>
      </w:r>
      <w:r w:rsidR="009817FF" w:rsidRPr="00A77AF6">
        <w:t xml:space="preserve">may be an issue of timing as 24 projects </w:t>
      </w:r>
      <w:r w:rsidR="00974E93" w:rsidRPr="00A77AF6">
        <w:t xml:space="preserve">in this study </w:t>
      </w:r>
      <w:r w:rsidR="009817FF" w:rsidRPr="00A77AF6">
        <w:t>were completed in 2017 or later</w:t>
      </w:r>
      <w:r w:rsidR="00974E93" w:rsidRPr="00A77AF6">
        <w:t>, so</w:t>
      </w:r>
      <w:r w:rsidR="009817FF" w:rsidRPr="00A77AF6">
        <w:t xml:space="preserve"> may not have had a post occupancy evaluation yet</w:t>
      </w:r>
      <w:r w:rsidR="00495A6A" w:rsidRPr="00A77AF6">
        <w:t xml:space="preserve">. Alternatively, it may indicate a more systemic problem identified by </w:t>
      </w:r>
      <w:r w:rsidR="00974E93" w:rsidRPr="00A77AF6">
        <w:t xml:space="preserve">respondents drawing on </w:t>
      </w:r>
      <w:r w:rsidR="00495A6A" w:rsidRPr="00A77AF6">
        <w:t xml:space="preserve">their </w:t>
      </w:r>
      <w:r w:rsidR="00974E93" w:rsidRPr="00A77AF6">
        <w:t>wider experience of NHS projects</w:t>
      </w:r>
      <w:r w:rsidR="00935828" w:rsidRPr="00A77AF6">
        <w:t xml:space="preserve"> and suggest that </w:t>
      </w:r>
      <w:r w:rsidR="00974E93" w:rsidRPr="00A77AF6">
        <w:t xml:space="preserve">project success is not being </w:t>
      </w:r>
      <w:r w:rsidR="00495A6A" w:rsidRPr="00A77AF6">
        <w:t>assessed</w:t>
      </w:r>
      <w:r w:rsidR="00974E93" w:rsidRPr="00A77AF6">
        <w:t xml:space="preserve"> in the longer-term</w:t>
      </w:r>
      <w:r w:rsidR="00C03246" w:rsidRPr="00A77AF6">
        <w:t xml:space="preserve">.  </w:t>
      </w:r>
    </w:p>
    <w:p w14:paraId="196F5E97" w14:textId="77777777" w:rsidR="00E93A15" w:rsidRPr="00A77AF6" w:rsidRDefault="00E93A15" w:rsidP="00E34D90">
      <w:pPr>
        <w:spacing w:line="360" w:lineRule="auto"/>
        <w:rPr>
          <w:i/>
        </w:rPr>
      </w:pPr>
      <w:r w:rsidRPr="00A77AF6">
        <w:t>Some respondents identified the possibility of prestige bias, as staff may find it difficult staff to suggest that their project was unsuccessful. Expert D suggested that it is psychologically difficult for people who have worked on a project to admit that the project did not go well, whereas it is easier for an outsider to say that a project was unsuccessful.</w:t>
      </w:r>
    </w:p>
    <w:p w14:paraId="5B1CCD8D" w14:textId="4D46CE6F" w:rsidR="00CE469C" w:rsidRPr="00A77AF6" w:rsidRDefault="00E34D90" w:rsidP="009603DC">
      <w:pPr>
        <w:spacing w:line="360" w:lineRule="auto"/>
      </w:pPr>
      <w:r>
        <w:t xml:space="preserve">Experts explained the ways that </w:t>
      </w:r>
      <w:r w:rsidR="009603DC" w:rsidRPr="00A77AF6">
        <w:t xml:space="preserve">project success </w:t>
      </w:r>
      <w:r>
        <w:t xml:space="preserve">might be measured </w:t>
      </w:r>
      <w:r w:rsidR="009603DC" w:rsidRPr="00A77AF6">
        <w:t>at the end of the project management phase</w:t>
      </w:r>
      <w:r>
        <w:t xml:space="preserve"> </w:t>
      </w:r>
      <w:r w:rsidR="009817FF" w:rsidRPr="00A77AF6">
        <w:t xml:space="preserve">(Table </w:t>
      </w:r>
      <w:r w:rsidR="00CE469C" w:rsidRPr="00A77AF6">
        <w:t>7-11</w:t>
      </w:r>
      <w:r w:rsidR="009817FF" w:rsidRPr="00A77AF6">
        <w:t>)</w:t>
      </w:r>
      <w:r>
        <w:t xml:space="preserve">. </w:t>
      </w:r>
    </w:p>
    <w:p w14:paraId="1E9EF3DF" w14:textId="77777777" w:rsidR="00CE469C" w:rsidRPr="00A77AF6" w:rsidRDefault="00CE469C">
      <w:r w:rsidRPr="00A77AF6">
        <w:br w:type="page"/>
      </w:r>
    </w:p>
    <w:p w14:paraId="7B06896A" w14:textId="060BCF8E" w:rsidR="009817FF" w:rsidRPr="00A77AF6" w:rsidRDefault="009817FF" w:rsidP="00CE469C">
      <w:pPr>
        <w:pStyle w:val="Caption"/>
        <w:keepNext/>
        <w:spacing w:after="120"/>
      </w:pPr>
      <w:r w:rsidRPr="00A77AF6">
        <w:lastRenderedPageBreak/>
        <w:t xml:space="preserve">Table </w:t>
      </w:r>
      <w:fldSimple w:instr=" STYLEREF 1 \s ">
        <w:r w:rsidR="000441F7">
          <w:rPr>
            <w:noProof/>
          </w:rPr>
          <w:t>7</w:t>
        </w:r>
      </w:fldSimple>
      <w:r w:rsidR="00804112">
        <w:noBreakHyphen/>
      </w:r>
      <w:fldSimple w:instr=" SEQ Table \* ARABIC \s 1 ">
        <w:r w:rsidR="000441F7">
          <w:rPr>
            <w:noProof/>
          </w:rPr>
          <w:t>11</w:t>
        </w:r>
      </w:fldSimple>
      <w:r w:rsidRPr="00A77AF6">
        <w:t>: Project management success</w:t>
      </w:r>
    </w:p>
    <w:tbl>
      <w:tblPr>
        <w:tblStyle w:val="TableGrid"/>
        <w:tblW w:w="0" w:type="auto"/>
        <w:tblLook w:val="04A0" w:firstRow="1" w:lastRow="0" w:firstColumn="1" w:lastColumn="0" w:noHBand="0" w:noVBand="1"/>
      </w:tblPr>
      <w:tblGrid>
        <w:gridCol w:w="1976"/>
        <w:gridCol w:w="4202"/>
        <w:gridCol w:w="983"/>
        <w:gridCol w:w="1616"/>
      </w:tblGrid>
      <w:tr w:rsidR="009817FF" w:rsidRPr="00A77AF6" w14:paraId="06CC2134" w14:textId="77777777" w:rsidTr="004874DF">
        <w:tc>
          <w:tcPr>
            <w:tcW w:w="1980" w:type="dxa"/>
            <w:shd w:val="clear" w:color="auto" w:fill="D9D9D9" w:themeFill="background1" w:themeFillShade="D9"/>
          </w:tcPr>
          <w:p w14:paraId="44D296A0" w14:textId="77777777" w:rsidR="009817FF" w:rsidRPr="00A77AF6" w:rsidRDefault="009817FF" w:rsidP="004874DF">
            <w:pPr>
              <w:spacing w:line="276" w:lineRule="auto"/>
              <w:rPr>
                <w:rFonts w:cs="Arial"/>
                <w:sz w:val="20"/>
                <w:szCs w:val="20"/>
              </w:rPr>
            </w:pPr>
            <w:r w:rsidRPr="00A77AF6">
              <w:rPr>
                <w:rFonts w:cs="Arial"/>
                <w:sz w:val="20"/>
                <w:szCs w:val="20"/>
              </w:rPr>
              <w:t>Main Code</w:t>
            </w:r>
          </w:p>
          <w:p w14:paraId="5DE96059" w14:textId="77777777" w:rsidR="009817FF" w:rsidRPr="00A77AF6" w:rsidRDefault="009817FF" w:rsidP="004874DF">
            <w:pPr>
              <w:spacing w:line="276" w:lineRule="auto"/>
              <w:rPr>
                <w:rFonts w:cs="Arial"/>
                <w:sz w:val="20"/>
                <w:szCs w:val="20"/>
              </w:rPr>
            </w:pPr>
          </w:p>
        </w:tc>
        <w:tc>
          <w:tcPr>
            <w:tcW w:w="4217" w:type="dxa"/>
            <w:tcBorders>
              <w:bottom w:val="single" w:sz="4" w:space="0" w:color="auto"/>
            </w:tcBorders>
            <w:shd w:val="clear" w:color="auto" w:fill="D9D9D9" w:themeFill="background1" w:themeFillShade="D9"/>
          </w:tcPr>
          <w:p w14:paraId="5D222992" w14:textId="77777777" w:rsidR="009817FF" w:rsidRPr="00A77AF6" w:rsidRDefault="009817FF" w:rsidP="004874DF">
            <w:pPr>
              <w:spacing w:line="276" w:lineRule="auto"/>
              <w:rPr>
                <w:rFonts w:cs="Arial"/>
                <w:sz w:val="20"/>
                <w:szCs w:val="20"/>
              </w:rPr>
            </w:pPr>
            <w:r w:rsidRPr="00A77AF6">
              <w:rPr>
                <w:rFonts w:cs="Arial"/>
                <w:sz w:val="20"/>
                <w:szCs w:val="20"/>
              </w:rPr>
              <w:t>Sub codes</w:t>
            </w:r>
          </w:p>
        </w:tc>
        <w:tc>
          <w:tcPr>
            <w:tcW w:w="961" w:type="dxa"/>
            <w:tcBorders>
              <w:bottom w:val="single" w:sz="4" w:space="0" w:color="auto"/>
            </w:tcBorders>
            <w:shd w:val="clear" w:color="auto" w:fill="D9D9D9" w:themeFill="background1" w:themeFillShade="D9"/>
          </w:tcPr>
          <w:p w14:paraId="02A1ADD2" w14:textId="77777777" w:rsidR="009817FF" w:rsidRPr="00A77AF6" w:rsidRDefault="009817FF" w:rsidP="004874DF">
            <w:pPr>
              <w:spacing w:line="276" w:lineRule="auto"/>
              <w:rPr>
                <w:rFonts w:cs="Arial"/>
                <w:sz w:val="20"/>
                <w:szCs w:val="20"/>
              </w:rPr>
            </w:pPr>
            <w:r w:rsidRPr="00A77AF6">
              <w:rPr>
                <w:rFonts w:ascii="Calibri" w:hAnsi="Calibri" w:cs="Arial"/>
                <w:sz w:val="20"/>
              </w:rPr>
              <w:t>No. of mentions</w:t>
            </w:r>
          </w:p>
        </w:tc>
        <w:tc>
          <w:tcPr>
            <w:tcW w:w="1619" w:type="dxa"/>
            <w:shd w:val="clear" w:color="auto" w:fill="D9D9D9" w:themeFill="background1" w:themeFillShade="D9"/>
          </w:tcPr>
          <w:p w14:paraId="0F95F45C" w14:textId="77777777" w:rsidR="009817FF" w:rsidRPr="00A77AF6" w:rsidRDefault="009817FF" w:rsidP="004874DF">
            <w:pPr>
              <w:spacing w:line="276" w:lineRule="auto"/>
              <w:rPr>
                <w:rFonts w:cs="Arial"/>
                <w:sz w:val="20"/>
                <w:szCs w:val="20"/>
              </w:rPr>
            </w:pPr>
            <w:r w:rsidRPr="00A77AF6">
              <w:rPr>
                <w:rFonts w:ascii="Calibri" w:hAnsi="Calibri" w:cs="Arial"/>
                <w:sz w:val="20"/>
              </w:rPr>
              <w:t>Total mentions</w:t>
            </w:r>
          </w:p>
        </w:tc>
      </w:tr>
      <w:tr w:rsidR="009817FF" w:rsidRPr="00A77AF6" w14:paraId="674EA3D7" w14:textId="77777777" w:rsidTr="004874DF">
        <w:tc>
          <w:tcPr>
            <w:tcW w:w="1980" w:type="dxa"/>
            <w:vMerge w:val="restart"/>
          </w:tcPr>
          <w:p w14:paraId="60227FB6" w14:textId="77777777" w:rsidR="009817FF" w:rsidRPr="00A77AF6" w:rsidRDefault="009817FF" w:rsidP="004874DF">
            <w:pPr>
              <w:spacing w:line="276" w:lineRule="auto"/>
              <w:rPr>
                <w:rFonts w:cs="Arial"/>
                <w:sz w:val="20"/>
                <w:szCs w:val="20"/>
              </w:rPr>
            </w:pPr>
            <w:r w:rsidRPr="00A77AF6">
              <w:rPr>
                <w:rFonts w:cs="Arial"/>
                <w:sz w:val="20"/>
                <w:szCs w:val="20"/>
              </w:rPr>
              <w:t xml:space="preserve">Project management success </w:t>
            </w:r>
          </w:p>
        </w:tc>
        <w:tc>
          <w:tcPr>
            <w:tcW w:w="4217" w:type="dxa"/>
            <w:tcBorders>
              <w:bottom w:val="dotted" w:sz="4" w:space="0" w:color="auto"/>
              <w:right w:val="dotted" w:sz="4" w:space="0" w:color="auto"/>
            </w:tcBorders>
          </w:tcPr>
          <w:p w14:paraId="268A4F52" w14:textId="77777777" w:rsidR="009817FF" w:rsidRPr="00A77AF6" w:rsidRDefault="009817FF" w:rsidP="004874DF">
            <w:pPr>
              <w:spacing w:line="276" w:lineRule="auto"/>
              <w:rPr>
                <w:rFonts w:cs="Arial"/>
                <w:sz w:val="20"/>
                <w:szCs w:val="20"/>
              </w:rPr>
            </w:pPr>
            <w:r w:rsidRPr="00A77AF6">
              <w:rPr>
                <w:rFonts w:cs="Arial"/>
                <w:sz w:val="20"/>
                <w:szCs w:val="20"/>
              </w:rPr>
              <w:t>Success is getting the building built/ getting through a long complex process</w:t>
            </w:r>
          </w:p>
        </w:tc>
        <w:tc>
          <w:tcPr>
            <w:tcW w:w="961" w:type="dxa"/>
            <w:tcBorders>
              <w:left w:val="dotted" w:sz="4" w:space="0" w:color="auto"/>
              <w:bottom w:val="dotted" w:sz="4" w:space="0" w:color="auto"/>
            </w:tcBorders>
          </w:tcPr>
          <w:p w14:paraId="2311CD57" w14:textId="77777777" w:rsidR="009817FF" w:rsidRPr="00A77AF6" w:rsidRDefault="009817FF" w:rsidP="004874DF">
            <w:pPr>
              <w:spacing w:line="276" w:lineRule="auto"/>
              <w:rPr>
                <w:rFonts w:cs="Arial"/>
                <w:sz w:val="20"/>
                <w:szCs w:val="20"/>
              </w:rPr>
            </w:pPr>
            <w:r w:rsidRPr="00A77AF6">
              <w:rPr>
                <w:rFonts w:cs="Arial"/>
                <w:sz w:val="20"/>
                <w:szCs w:val="20"/>
              </w:rPr>
              <w:t>2</w:t>
            </w:r>
          </w:p>
        </w:tc>
        <w:tc>
          <w:tcPr>
            <w:tcW w:w="1619" w:type="dxa"/>
            <w:vMerge w:val="restart"/>
            <w:vAlign w:val="center"/>
          </w:tcPr>
          <w:p w14:paraId="7CFF4031" w14:textId="77777777" w:rsidR="009817FF" w:rsidRPr="00A77AF6" w:rsidRDefault="009817FF" w:rsidP="004874DF">
            <w:pPr>
              <w:keepNext/>
              <w:spacing w:line="276" w:lineRule="auto"/>
              <w:jc w:val="center"/>
              <w:rPr>
                <w:rFonts w:cs="Arial"/>
                <w:sz w:val="20"/>
                <w:szCs w:val="20"/>
              </w:rPr>
            </w:pPr>
            <w:r w:rsidRPr="00A77AF6">
              <w:rPr>
                <w:rFonts w:cs="Arial"/>
                <w:sz w:val="20"/>
                <w:szCs w:val="20"/>
              </w:rPr>
              <w:t>7</w:t>
            </w:r>
          </w:p>
        </w:tc>
      </w:tr>
      <w:tr w:rsidR="009817FF" w:rsidRPr="00A77AF6" w14:paraId="002E6C64" w14:textId="77777777" w:rsidTr="004874DF">
        <w:tc>
          <w:tcPr>
            <w:tcW w:w="1980" w:type="dxa"/>
            <w:vMerge/>
          </w:tcPr>
          <w:p w14:paraId="4EF05BAD" w14:textId="77777777" w:rsidR="009817FF" w:rsidRPr="00A77AF6" w:rsidRDefault="009817FF" w:rsidP="004874DF">
            <w:pPr>
              <w:spacing w:line="276" w:lineRule="auto"/>
              <w:rPr>
                <w:rFonts w:cs="Arial"/>
                <w:sz w:val="20"/>
                <w:szCs w:val="20"/>
              </w:rPr>
            </w:pPr>
          </w:p>
        </w:tc>
        <w:tc>
          <w:tcPr>
            <w:tcW w:w="4217" w:type="dxa"/>
            <w:tcBorders>
              <w:top w:val="dotted" w:sz="4" w:space="0" w:color="auto"/>
              <w:bottom w:val="dotted" w:sz="4" w:space="0" w:color="auto"/>
              <w:right w:val="dotted" w:sz="4" w:space="0" w:color="auto"/>
            </w:tcBorders>
          </w:tcPr>
          <w:p w14:paraId="75F9DD40" w14:textId="77777777" w:rsidR="009817FF" w:rsidRPr="00A77AF6" w:rsidRDefault="009817FF" w:rsidP="004874DF">
            <w:pPr>
              <w:spacing w:line="276" w:lineRule="auto"/>
              <w:rPr>
                <w:rFonts w:cs="Arial"/>
                <w:sz w:val="20"/>
                <w:szCs w:val="20"/>
              </w:rPr>
            </w:pPr>
            <w:r w:rsidRPr="00A77AF6">
              <w:rPr>
                <w:rFonts w:cs="Arial"/>
                <w:sz w:val="20"/>
                <w:szCs w:val="20"/>
              </w:rPr>
              <w:t>A better building can be a measure of success</w:t>
            </w:r>
          </w:p>
        </w:tc>
        <w:tc>
          <w:tcPr>
            <w:tcW w:w="961" w:type="dxa"/>
            <w:tcBorders>
              <w:top w:val="dotted" w:sz="4" w:space="0" w:color="auto"/>
              <w:left w:val="dotted" w:sz="4" w:space="0" w:color="auto"/>
              <w:bottom w:val="dotted" w:sz="4" w:space="0" w:color="auto"/>
            </w:tcBorders>
          </w:tcPr>
          <w:p w14:paraId="0DA9E58D" w14:textId="77777777" w:rsidR="009817FF" w:rsidRPr="00A77AF6" w:rsidRDefault="009817FF" w:rsidP="004874DF">
            <w:pPr>
              <w:spacing w:line="276" w:lineRule="auto"/>
              <w:rPr>
                <w:rFonts w:cs="Arial"/>
                <w:sz w:val="20"/>
                <w:szCs w:val="20"/>
              </w:rPr>
            </w:pPr>
            <w:r w:rsidRPr="00A77AF6">
              <w:rPr>
                <w:rFonts w:cs="Arial"/>
                <w:sz w:val="20"/>
                <w:szCs w:val="20"/>
              </w:rPr>
              <w:t>1</w:t>
            </w:r>
          </w:p>
        </w:tc>
        <w:tc>
          <w:tcPr>
            <w:tcW w:w="1619" w:type="dxa"/>
            <w:vMerge/>
          </w:tcPr>
          <w:p w14:paraId="49D80B18" w14:textId="77777777" w:rsidR="009817FF" w:rsidRPr="00A77AF6" w:rsidRDefault="009817FF" w:rsidP="004874DF">
            <w:pPr>
              <w:keepNext/>
              <w:spacing w:line="276" w:lineRule="auto"/>
              <w:rPr>
                <w:rFonts w:cs="Arial"/>
                <w:sz w:val="20"/>
                <w:szCs w:val="20"/>
              </w:rPr>
            </w:pPr>
          </w:p>
        </w:tc>
      </w:tr>
      <w:tr w:rsidR="009817FF" w:rsidRPr="00A77AF6" w14:paraId="379FE262" w14:textId="77777777" w:rsidTr="004874DF">
        <w:tc>
          <w:tcPr>
            <w:tcW w:w="1980" w:type="dxa"/>
            <w:vMerge/>
          </w:tcPr>
          <w:p w14:paraId="1000F58C" w14:textId="77777777" w:rsidR="009817FF" w:rsidRPr="00A77AF6" w:rsidRDefault="009817FF" w:rsidP="004874DF">
            <w:pPr>
              <w:spacing w:line="276" w:lineRule="auto"/>
              <w:rPr>
                <w:rFonts w:cs="Arial"/>
                <w:sz w:val="20"/>
                <w:szCs w:val="20"/>
              </w:rPr>
            </w:pPr>
          </w:p>
        </w:tc>
        <w:tc>
          <w:tcPr>
            <w:tcW w:w="4217" w:type="dxa"/>
            <w:tcBorders>
              <w:top w:val="dotted" w:sz="4" w:space="0" w:color="auto"/>
              <w:bottom w:val="dotted" w:sz="4" w:space="0" w:color="auto"/>
              <w:right w:val="dotted" w:sz="4" w:space="0" w:color="auto"/>
            </w:tcBorders>
          </w:tcPr>
          <w:p w14:paraId="0FD8BEB3" w14:textId="77777777" w:rsidR="009817FF" w:rsidRPr="00A77AF6" w:rsidRDefault="009817FF" w:rsidP="004874DF">
            <w:pPr>
              <w:spacing w:line="276" w:lineRule="auto"/>
              <w:rPr>
                <w:rFonts w:cs="Arial"/>
                <w:sz w:val="20"/>
                <w:szCs w:val="20"/>
              </w:rPr>
            </w:pPr>
            <w:r w:rsidRPr="00A77AF6">
              <w:rPr>
                <w:rFonts w:cs="Arial"/>
                <w:sz w:val="20"/>
                <w:szCs w:val="20"/>
              </w:rPr>
              <w:t>Cost is immediately available, so projects can be judged on cost</w:t>
            </w:r>
          </w:p>
        </w:tc>
        <w:tc>
          <w:tcPr>
            <w:tcW w:w="961" w:type="dxa"/>
            <w:tcBorders>
              <w:top w:val="dotted" w:sz="4" w:space="0" w:color="auto"/>
              <w:left w:val="dotted" w:sz="4" w:space="0" w:color="auto"/>
              <w:bottom w:val="dotted" w:sz="4" w:space="0" w:color="auto"/>
            </w:tcBorders>
          </w:tcPr>
          <w:p w14:paraId="09189BC6" w14:textId="77777777" w:rsidR="009817FF" w:rsidRPr="00A77AF6" w:rsidRDefault="009817FF" w:rsidP="004874DF">
            <w:pPr>
              <w:spacing w:line="276" w:lineRule="auto"/>
              <w:rPr>
                <w:rFonts w:cs="Arial"/>
                <w:sz w:val="20"/>
                <w:szCs w:val="20"/>
              </w:rPr>
            </w:pPr>
            <w:r w:rsidRPr="00A77AF6">
              <w:rPr>
                <w:rFonts w:cs="Arial"/>
                <w:sz w:val="20"/>
                <w:szCs w:val="20"/>
              </w:rPr>
              <w:t>1</w:t>
            </w:r>
          </w:p>
        </w:tc>
        <w:tc>
          <w:tcPr>
            <w:tcW w:w="1619" w:type="dxa"/>
            <w:vMerge/>
          </w:tcPr>
          <w:p w14:paraId="101CB030" w14:textId="77777777" w:rsidR="009817FF" w:rsidRPr="00A77AF6" w:rsidRDefault="009817FF" w:rsidP="004874DF">
            <w:pPr>
              <w:keepNext/>
              <w:spacing w:line="276" w:lineRule="auto"/>
              <w:rPr>
                <w:rFonts w:cs="Arial"/>
                <w:sz w:val="20"/>
                <w:szCs w:val="20"/>
              </w:rPr>
            </w:pPr>
          </w:p>
        </w:tc>
      </w:tr>
      <w:tr w:rsidR="009817FF" w:rsidRPr="00A77AF6" w14:paraId="145C7833" w14:textId="77777777" w:rsidTr="004874DF">
        <w:tc>
          <w:tcPr>
            <w:tcW w:w="1980" w:type="dxa"/>
            <w:vMerge/>
          </w:tcPr>
          <w:p w14:paraId="0BBC9770" w14:textId="77777777" w:rsidR="009817FF" w:rsidRPr="00A77AF6" w:rsidRDefault="009817FF" w:rsidP="004874DF">
            <w:pPr>
              <w:spacing w:line="276" w:lineRule="auto"/>
              <w:rPr>
                <w:rFonts w:cs="Arial"/>
                <w:sz w:val="20"/>
                <w:szCs w:val="20"/>
              </w:rPr>
            </w:pPr>
          </w:p>
        </w:tc>
        <w:tc>
          <w:tcPr>
            <w:tcW w:w="4217" w:type="dxa"/>
            <w:tcBorders>
              <w:top w:val="dotted" w:sz="4" w:space="0" w:color="auto"/>
              <w:bottom w:val="dotted" w:sz="4" w:space="0" w:color="auto"/>
              <w:right w:val="dotted" w:sz="4" w:space="0" w:color="auto"/>
            </w:tcBorders>
          </w:tcPr>
          <w:p w14:paraId="5D0A5477" w14:textId="77777777" w:rsidR="009817FF" w:rsidRPr="00A77AF6" w:rsidRDefault="009817FF" w:rsidP="004874DF">
            <w:pPr>
              <w:spacing w:line="276" w:lineRule="auto"/>
              <w:rPr>
                <w:rFonts w:cs="Arial"/>
                <w:sz w:val="20"/>
                <w:szCs w:val="20"/>
              </w:rPr>
            </w:pPr>
            <w:r w:rsidRPr="00A77AF6">
              <w:rPr>
                <w:rFonts w:cs="Arial"/>
                <w:sz w:val="20"/>
                <w:szCs w:val="20"/>
              </w:rPr>
              <w:t>Success is that a building works when it is opened</w:t>
            </w:r>
          </w:p>
        </w:tc>
        <w:tc>
          <w:tcPr>
            <w:tcW w:w="961" w:type="dxa"/>
            <w:tcBorders>
              <w:top w:val="dotted" w:sz="4" w:space="0" w:color="auto"/>
              <w:left w:val="dotted" w:sz="4" w:space="0" w:color="auto"/>
              <w:bottom w:val="dotted" w:sz="4" w:space="0" w:color="auto"/>
            </w:tcBorders>
          </w:tcPr>
          <w:p w14:paraId="70573C95" w14:textId="77777777" w:rsidR="009817FF" w:rsidRPr="00A77AF6" w:rsidRDefault="009817FF" w:rsidP="004874DF">
            <w:pPr>
              <w:spacing w:line="276" w:lineRule="auto"/>
              <w:rPr>
                <w:rFonts w:cs="Arial"/>
                <w:sz w:val="20"/>
                <w:szCs w:val="20"/>
              </w:rPr>
            </w:pPr>
            <w:r w:rsidRPr="00A77AF6">
              <w:rPr>
                <w:rFonts w:cs="Arial"/>
                <w:sz w:val="20"/>
                <w:szCs w:val="20"/>
              </w:rPr>
              <w:t>1</w:t>
            </w:r>
          </w:p>
        </w:tc>
        <w:tc>
          <w:tcPr>
            <w:tcW w:w="1619" w:type="dxa"/>
            <w:vMerge/>
          </w:tcPr>
          <w:p w14:paraId="5DBC1AC9" w14:textId="77777777" w:rsidR="009817FF" w:rsidRPr="00A77AF6" w:rsidRDefault="009817FF" w:rsidP="004874DF">
            <w:pPr>
              <w:keepNext/>
              <w:spacing w:line="276" w:lineRule="auto"/>
              <w:rPr>
                <w:rFonts w:cs="Arial"/>
                <w:sz w:val="20"/>
                <w:szCs w:val="20"/>
              </w:rPr>
            </w:pPr>
          </w:p>
        </w:tc>
      </w:tr>
      <w:tr w:rsidR="009817FF" w:rsidRPr="00A77AF6" w14:paraId="6A06F805" w14:textId="77777777" w:rsidTr="004874DF">
        <w:tc>
          <w:tcPr>
            <w:tcW w:w="1980" w:type="dxa"/>
            <w:vMerge/>
          </w:tcPr>
          <w:p w14:paraId="3A7BF493" w14:textId="77777777" w:rsidR="009817FF" w:rsidRPr="00A77AF6" w:rsidRDefault="009817FF" w:rsidP="004874DF">
            <w:pPr>
              <w:spacing w:line="276" w:lineRule="auto"/>
              <w:rPr>
                <w:rFonts w:cs="Arial"/>
                <w:sz w:val="20"/>
                <w:szCs w:val="20"/>
              </w:rPr>
            </w:pPr>
          </w:p>
        </w:tc>
        <w:tc>
          <w:tcPr>
            <w:tcW w:w="4217" w:type="dxa"/>
            <w:tcBorders>
              <w:top w:val="dotted" w:sz="4" w:space="0" w:color="auto"/>
              <w:bottom w:val="dotted" w:sz="4" w:space="0" w:color="auto"/>
              <w:right w:val="dotted" w:sz="4" w:space="0" w:color="auto"/>
            </w:tcBorders>
          </w:tcPr>
          <w:p w14:paraId="40628026" w14:textId="77777777" w:rsidR="009817FF" w:rsidRPr="00A77AF6" w:rsidRDefault="009817FF" w:rsidP="004874DF">
            <w:pPr>
              <w:spacing w:line="276" w:lineRule="auto"/>
              <w:rPr>
                <w:rFonts w:cs="Arial"/>
                <w:sz w:val="20"/>
                <w:szCs w:val="20"/>
              </w:rPr>
            </w:pPr>
            <w:r w:rsidRPr="00A77AF6">
              <w:rPr>
                <w:rFonts w:cs="Arial"/>
                <w:sz w:val="20"/>
                <w:szCs w:val="20"/>
              </w:rPr>
              <w:t>Success is that a building is open and providing a service</w:t>
            </w:r>
          </w:p>
        </w:tc>
        <w:tc>
          <w:tcPr>
            <w:tcW w:w="961" w:type="dxa"/>
            <w:tcBorders>
              <w:top w:val="dotted" w:sz="4" w:space="0" w:color="auto"/>
              <w:left w:val="dotted" w:sz="4" w:space="0" w:color="auto"/>
              <w:bottom w:val="dotted" w:sz="4" w:space="0" w:color="auto"/>
            </w:tcBorders>
          </w:tcPr>
          <w:p w14:paraId="1DDAF5FE" w14:textId="77777777" w:rsidR="009817FF" w:rsidRPr="00A77AF6" w:rsidRDefault="009817FF" w:rsidP="004874DF">
            <w:pPr>
              <w:spacing w:line="276" w:lineRule="auto"/>
              <w:rPr>
                <w:rFonts w:cs="Arial"/>
                <w:sz w:val="20"/>
                <w:szCs w:val="20"/>
              </w:rPr>
            </w:pPr>
            <w:r w:rsidRPr="00A77AF6">
              <w:rPr>
                <w:rFonts w:cs="Arial"/>
                <w:sz w:val="20"/>
                <w:szCs w:val="20"/>
              </w:rPr>
              <w:t>1</w:t>
            </w:r>
          </w:p>
        </w:tc>
        <w:tc>
          <w:tcPr>
            <w:tcW w:w="1619" w:type="dxa"/>
            <w:vMerge/>
          </w:tcPr>
          <w:p w14:paraId="741BCFFC" w14:textId="77777777" w:rsidR="009817FF" w:rsidRPr="00A77AF6" w:rsidRDefault="009817FF" w:rsidP="004874DF">
            <w:pPr>
              <w:keepNext/>
              <w:spacing w:line="276" w:lineRule="auto"/>
              <w:rPr>
                <w:rFonts w:cs="Arial"/>
                <w:sz w:val="20"/>
                <w:szCs w:val="20"/>
              </w:rPr>
            </w:pPr>
          </w:p>
        </w:tc>
      </w:tr>
      <w:tr w:rsidR="009817FF" w:rsidRPr="00A77AF6" w14:paraId="684DD629" w14:textId="77777777" w:rsidTr="004874DF">
        <w:tc>
          <w:tcPr>
            <w:tcW w:w="1980" w:type="dxa"/>
            <w:vMerge/>
            <w:tcBorders>
              <w:bottom w:val="single" w:sz="4" w:space="0" w:color="auto"/>
            </w:tcBorders>
          </w:tcPr>
          <w:p w14:paraId="2865D33A" w14:textId="77777777" w:rsidR="009817FF" w:rsidRPr="00A77AF6" w:rsidRDefault="009817FF" w:rsidP="004874DF">
            <w:pPr>
              <w:spacing w:line="276" w:lineRule="auto"/>
              <w:rPr>
                <w:rFonts w:cs="Arial"/>
                <w:sz w:val="20"/>
                <w:szCs w:val="20"/>
              </w:rPr>
            </w:pPr>
          </w:p>
        </w:tc>
        <w:tc>
          <w:tcPr>
            <w:tcW w:w="4217" w:type="dxa"/>
            <w:tcBorders>
              <w:top w:val="dotted" w:sz="4" w:space="0" w:color="auto"/>
              <w:bottom w:val="single" w:sz="4" w:space="0" w:color="auto"/>
              <w:right w:val="dotted" w:sz="4" w:space="0" w:color="auto"/>
            </w:tcBorders>
          </w:tcPr>
          <w:p w14:paraId="656511C3" w14:textId="77777777" w:rsidR="009817FF" w:rsidRPr="00A77AF6" w:rsidRDefault="009817FF" w:rsidP="004874DF">
            <w:pPr>
              <w:spacing w:line="276" w:lineRule="auto"/>
              <w:rPr>
                <w:rFonts w:cs="Arial"/>
                <w:sz w:val="20"/>
                <w:szCs w:val="20"/>
              </w:rPr>
            </w:pPr>
            <w:r w:rsidRPr="00A77AF6">
              <w:rPr>
                <w:rFonts w:cs="Arial"/>
                <w:sz w:val="20"/>
                <w:szCs w:val="20"/>
              </w:rPr>
              <w:t xml:space="preserve">Success is getting people in </w:t>
            </w:r>
          </w:p>
        </w:tc>
        <w:tc>
          <w:tcPr>
            <w:tcW w:w="961" w:type="dxa"/>
            <w:tcBorders>
              <w:top w:val="dotted" w:sz="4" w:space="0" w:color="auto"/>
              <w:left w:val="dotted" w:sz="4" w:space="0" w:color="auto"/>
              <w:bottom w:val="single" w:sz="4" w:space="0" w:color="auto"/>
            </w:tcBorders>
          </w:tcPr>
          <w:p w14:paraId="716760CB" w14:textId="77777777" w:rsidR="009817FF" w:rsidRPr="00A77AF6" w:rsidRDefault="009817FF" w:rsidP="004874DF">
            <w:pPr>
              <w:spacing w:line="276" w:lineRule="auto"/>
              <w:rPr>
                <w:rFonts w:cs="Arial"/>
                <w:sz w:val="20"/>
                <w:szCs w:val="20"/>
              </w:rPr>
            </w:pPr>
            <w:r w:rsidRPr="00A77AF6">
              <w:rPr>
                <w:rFonts w:cs="Arial"/>
                <w:sz w:val="20"/>
                <w:szCs w:val="20"/>
              </w:rPr>
              <w:t>1</w:t>
            </w:r>
          </w:p>
        </w:tc>
        <w:tc>
          <w:tcPr>
            <w:tcW w:w="1619" w:type="dxa"/>
            <w:vMerge/>
            <w:tcBorders>
              <w:bottom w:val="single" w:sz="4" w:space="0" w:color="auto"/>
            </w:tcBorders>
          </w:tcPr>
          <w:p w14:paraId="25F94EB9" w14:textId="77777777" w:rsidR="009817FF" w:rsidRPr="00A77AF6" w:rsidRDefault="009817FF" w:rsidP="004874DF">
            <w:pPr>
              <w:keepNext/>
              <w:spacing w:line="276" w:lineRule="auto"/>
              <w:rPr>
                <w:rFonts w:cs="Arial"/>
                <w:sz w:val="20"/>
                <w:szCs w:val="20"/>
              </w:rPr>
            </w:pPr>
          </w:p>
        </w:tc>
      </w:tr>
    </w:tbl>
    <w:p w14:paraId="675F347A" w14:textId="21200970" w:rsidR="00DE21AB" w:rsidRPr="00A77AF6" w:rsidRDefault="00E34D90" w:rsidP="00CE469C">
      <w:pPr>
        <w:spacing w:before="240" w:after="0" w:line="360" w:lineRule="auto"/>
      </w:pPr>
      <w:r>
        <w:t xml:space="preserve">Some </w:t>
      </w:r>
      <w:r w:rsidR="00EE006B">
        <w:t xml:space="preserve">experts thought </w:t>
      </w:r>
      <w:r>
        <w:t xml:space="preserve">that success in </w:t>
      </w:r>
      <w:r w:rsidR="00AE0DAB" w:rsidRPr="00A77AF6">
        <w:t>long and complicated</w:t>
      </w:r>
      <w:r>
        <w:t xml:space="preserve"> construction projects can be judged at the end of the project management phase </w:t>
      </w:r>
      <w:r w:rsidR="00AE0DAB" w:rsidRPr="00A77AF6">
        <w:t xml:space="preserve">solely </w:t>
      </w:r>
      <w:r>
        <w:t>on the fact that they had been</w:t>
      </w:r>
      <w:r w:rsidR="00AE0DAB" w:rsidRPr="00A77AF6">
        <w:t xml:space="preserve"> completed</w:t>
      </w:r>
      <w:r>
        <w:t xml:space="preserve"> and that the new buildings </w:t>
      </w:r>
      <w:r w:rsidR="00AE0DAB" w:rsidRPr="00A77AF6">
        <w:t>were better than those they had replaced.</w:t>
      </w:r>
    </w:p>
    <w:p w14:paraId="03B7E6FC" w14:textId="1C436E3A" w:rsidR="00DE21AB" w:rsidRPr="00A77AF6" w:rsidRDefault="00DE21AB" w:rsidP="00DE21AB">
      <w:pPr>
        <w:spacing w:line="240" w:lineRule="auto"/>
        <w:ind w:left="720"/>
        <w:rPr>
          <w:i/>
        </w:rPr>
      </w:pPr>
      <w:r w:rsidRPr="00A77AF6">
        <w:rPr>
          <w:i/>
        </w:rPr>
        <w:t xml:space="preserve"> ‘just the fact that you have managed to complete the project is almost deemed to be successful.’ (Expert C) </w:t>
      </w:r>
    </w:p>
    <w:p w14:paraId="02147FDA" w14:textId="63524618" w:rsidR="00F649EF" w:rsidRPr="00A77AF6" w:rsidRDefault="00890E91" w:rsidP="00F649EF">
      <w:pPr>
        <w:spacing w:line="360" w:lineRule="auto"/>
      </w:pPr>
      <w:r w:rsidRPr="00A77AF6">
        <w:t>In addition to project completion, cost and time were perceived to be easier to measure than quality, so are important measures for project teams</w:t>
      </w:r>
      <w:r w:rsidR="003C2CBA" w:rsidRPr="00A77AF6">
        <w:t xml:space="preserve">. </w:t>
      </w:r>
      <w:r w:rsidR="00DE21AB" w:rsidRPr="00A77AF6">
        <w:t xml:space="preserve">Expert B suggested that even though capital cost is a fraction of the whole life cost of a building, because </w:t>
      </w:r>
      <w:r w:rsidR="00EE006B">
        <w:t xml:space="preserve">it is </w:t>
      </w:r>
      <w:r w:rsidR="00DE21AB" w:rsidRPr="00A77AF6">
        <w:t xml:space="preserve">available </w:t>
      </w:r>
      <w:r w:rsidR="00E34D90" w:rsidRPr="00A77AF6">
        <w:t>immediately,</w:t>
      </w:r>
      <w:r w:rsidR="00DE21AB" w:rsidRPr="00A77AF6">
        <w:t xml:space="preserve"> </w:t>
      </w:r>
      <w:r w:rsidR="00EE006B">
        <w:t>it is</w:t>
      </w:r>
      <w:r w:rsidR="00DE21AB" w:rsidRPr="00A77AF6">
        <w:t xml:space="preserve"> easier to use</w:t>
      </w:r>
      <w:r w:rsidR="00EE006B">
        <w:t xml:space="preserve"> than other measures</w:t>
      </w:r>
      <w:r w:rsidR="00DE21AB" w:rsidRPr="00A77AF6">
        <w:t xml:space="preserve"> when judging project success.  </w:t>
      </w:r>
      <w:r w:rsidR="008A480E" w:rsidRPr="00A77AF6">
        <w:t xml:space="preserve">Expert D </w:t>
      </w:r>
      <w:r w:rsidR="00EE006B">
        <w:t xml:space="preserve">noted the </w:t>
      </w:r>
      <w:r w:rsidR="008A480E" w:rsidRPr="00A77AF6">
        <w:t>tendency to evaluate the cost of projects at the end of the project management phase with much less emphasis being p</w:t>
      </w:r>
      <w:r w:rsidR="00EE006B">
        <w:t>l</w:t>
      </w:r>
      <w:r w:rsidR="008A480E" w:rsidRPr="00A77AF6">
        <w:t xml:space="preserve">aced on the operational costs of a building, even though operational costs significantly outweigh the capital cost.  </w:t>
      </w:r>
      <w:r w:rsidR="003C2CBA" w:rsidRPr="00A77AF6">
        <w:t>Q</w:t>
      </w:r>
      <w:r w:rsidRPr="00A77AF6">
        <w:t xml:space="preserve">uality </w:t>
      </w:r>
      <w:r w:rsidR="003C2CBA" w:rsidRPr="00A77AF6">
        <w:t xml:space="preserve">was thought to be </w:t>
      </w:r>
      <w:r w:rsidRPr="00A77AF6">
        <w:t>important in the operational phase</w:t>
      </w:r>
      <w:r w:rsidR="00E34D90">
        <w:t xml:space="preserve"> and at the end of the project management phase.   </w:t>
      </w:r>
    </w:p>
    <w:p w14:paraId="6367A124" w14:textId="30C256CC" w:rsidR="00CE469C" w:rsidRPr="00A77AF6" w:rsidRDefault="009817FF" w:rsidP="009466D3">
      <w:pPr>
        <w:spacing w:line="360" w:lineRule="auto"/>
      </w:pPr>
      <w:r w:rsidRPr="00A77AF6">
        <w:t xml:space="preserve">Operational success was mentioned </w:t>
      </w:r>
      <w:r w:rsidR="002F0203" w:rsidRPr="00A77AF6">
        <w:t>less often than success in the project management phase</w:t>
      </w:r>
      <w:r w:rsidRPr="00A77AF6">
        <w:t xml:space="preserve"> (Table </w:t>
      </w:r>
      <w:r w:rsidR="00CE469C" w:rsidRPr="00A77AF6">
        <w:t>7-12</w:t>
      </w:r>
      <w:r w:rsidRPr="00A77AF6">
        <w:t xml:space="preserve">). </w:t>
      </w:r>
      <w:r w:rsidR="005F5B62" w:rsidRPr="00A77AF6">
        <w:t xml:space="preserve"> Measures of operational success are long-term </w:t>
      </w:r>
      <w:r w:rsidR="002F0203" w:rsidRPr="00A77AF6">
        <w:t xml:space="preserve">and include </w:t>
      </w:r>
      <w:r w:rsidR="005F5B62" w:rsidRPr="00A77AF6">
        <w:t xml:space="preserve">benefits, service improvement, a better clinical environment or facilitating new models of care delivery.  Operational success </w:t>
      </w:r>
      <w:r w:rsidR="002F0203" w:rsidRPr="00A77AF6">
        <w:t xml:space="preserve">was thought to be the </w:t>
      </w:r>
      <w:r w:rsidR="005F5B62" w:rsidRPr="00A77AF6">
        <w:t>focus of the trust board and is a long-term, operational</w:t>
      </w:r>
      <w:r w:rsidR="00EE006B">
        <w:t xml:space="preserve"> measure</w:t>
      </w:r>
      <w:r w:rsidR="005F5B62" w:rsidRPr="00A77AF6">
        <w:t>, rather than a short-term measure.</w:t>
      </w:r>
      <w:r w:rsidR="009466D3" w:rsidRPr="00A77AF6">
        <w:t xml:space="preserve"> </w:t>
      </w:r>
      <w:r w:rsidR="002F0203" w:rsidRPr="00A77AF6">
        <w:t xml:space="preserve"> </w:t>
      </w:r>
    </w:p>
    <w:p w14:paraId="529697BF" w14:textId="77777777" w:rsidR="00CE469C" w:rsidRPr="00A77AF6" w:rsidRDefault="00CE469C">
      <w:r w:rsidRPr="00A77AF6">
        <w:br w:type="page"/>
      </w:r>
    </w:p>
    <w:p w14:paraId="66E9B49D" w14:textId="0EF9C54D" w:rsidR="00DE21AB" w:rsidRPr="00A77AF6" w:rsidRDefault="00DE21AB" w:rsidP="00CE469C">
      <w:pPr>
        <w:pStyle w:val="Caption"/>
        <w:keepNext/>
        <w:spacing w:after="120"/>
      </w:pPr>
      <w:r w:rsidRPr="00A77AF6">
        <w:lastRenderedPageBreak/>
        <w:t xml:space="preserve">Table </w:t>
      </w:r>
      <w:fldSimple w:instr=" STYLEREF 1 \s ">
        <w:r w:rsidR="000441F7">
          <w:rPr>
            <w:noProof/>
          </w:rPr>
          <w:t>7</w:t>
        </w:r>
      </w:fldSimple>
      <w:r w:rsidR="00804112">
        <w:noBreakHyphen/>
      </w:r>
      <w:fldSimple w:instr=" SEQ Table \* ARABIC \s 1 ">
        <w:r w:rsidR="000441F7">
          <w:rPr>
            <w:noProof/>
          </w:rPr>
          <w:t>12</w:t>
        </w:r>
      </w:fldSimple>
      <w:r w:rsidRPr="00A77AF6">
        <w:t>: Operational success</w:t>
      </w:r>
    </w:p>
    <w:tbl>
      <w:tblPr>
        <w:tblStyle w:val="TableGrid"/>
        <w:tblW w:w="0" w:type="auto"/>
        <w:tblLook w:val="04A0" w:firstRow="1" w:lastRow="0" w:firstColumn="1" w:lastColumn="0" w:noHBand="0" w:noVBand="1"/>
      </w:tblPr>
      <w:tblGrid>
        <w:gridCol w:w="1878"/>
        <w:gridCol w:w="4301"/>
        <w:gridCol w:w="983"/>
        <w:gridCol w:w="1615"/>
      </w:tblGrid>
      <w:tr w:rsidR="00DE21AB" w:rsidRPr="00A77AF6" w14:paraId="4D27CEEE" w14:textId="77777777" w:rsidTr="00B604D5">
        <w:tc>
          <w:tcPr>
            <w:tcW w:w="1882" w:type="dxa"/>
            <w:shd w:val="clear" w:color="auto" w:fill="D9D9D9" w:themeFill="background1" w:themeFillShade="D9"/>
          </w:tcPr>
          <w:p w14:paraId="2EC2D942" w14:textId="77777777" w:rsidR="00DE21AB" w:rsidRPr="00A77AF6" w:rsidRDefault="00DE21AB" w:rsidP="00B604D5">
            <w:pPr>
              <w:spacing w:line="276" w:lineRule="auto"/>
              <w:rPr>
                <w:rFonts w:cs="Arial"/>
                <w:sz w:val="20"/>
                <w:szCs w:val="20"/>
              </w:rPr>
            </w:pPr>
            <w:r w:rsidRPr="00A77AF6">
              <w:rPr>
                <w:rFonts w:cs="Arial"/>
                <w:sz w:val="20"/>
                <w:szCs w:val="20"/>
              </w:rPr>
              <w:t>Main Code</w:t>
            </w:r>
          </w:p>
          <w:p w14:paraId="041573E0" w14:textId="77777777" w:rsidR="00DE21AB" w:rsidRPr="00A77AF6" w:rsidRDefault="00DE21AB" w:rsidP="00B604D5">
            <w:pPr>
              <w:spacing w:line="276" w:lineRule="auto"/>
              <w:rPr>
                <w:rFonts w:cs="Arial"/>
                <w:sz w:val="20"/>
                <w:szCs w:val="20"/>
              </w:rPr>
            </w:pPr>
          </w:p>
        </w:tc>
        <w:tc>
          <w:tcPr>
            <w:tcW w:w="4317" w:type="dxa"/>
            <w:shd w:val="clear" w:color="auto" w:fill="D9D9D9" w:themeFill="background1" w:themeFillShade="D9"/>
          </w:tcPr>
          <w:p w14:paraId="460B0302" w14:textId="77777777" w:rsidR="00DE21AB" w:rsidRPr="00A77AF6" w:rsidRDefault="00DE21AB" w:rsidP="00B604D5">
            <w:pPr>
              <w:spacing w:line="276" w:lineRule="auto"/>
              <w:rPr>
                <w:rFonts w:cs="Arial"/>
                <w:sz w:val="20"/>
                <w:szCs w:val="20"/>
              </w:rPr>
            </w:pPr>
            <w:r w:rsidRPr="00A77AF6">
              <w:rPr>
                <w:rFonts w:cs="Arial"/>
                <w:sz w:val="20"/>
                <w:szCs w:val="20"/>
              </w:rPr>
              <w:t>Sub codes</w:t>
            </w:r>
          </w:p>
        </w:tc>
        <w:tc>
          <w:tcPr>
            <w:tcW w:w="960" w:type="dxa"/>
            <w:shd w:val="clear" w:color="auto" w:fill="D9D9D9" w:themeFill="background1" w:themeFillShade="D9"/>
          </w:tcPr>
          <w:p w14:paraId="2F7F4B21" w14:textId="77777777" w:rsidR="00DE21AB" w:rsidRPr="00A77AF6" w:rsidRDefault="00DE21AB" w:rsidP="00B604D5">
            <w:pPr>
              <w:spacing w:line="276" w:lineRule="auto"/>
              <w:rPr>
                <w:rFonts w:cs="Arial"/>
                <w:sz w:val="20"/>
                <w:szCs w:val="20"/>
              </w:rPr>
            </w:pPr>
            <w:r w:rsidRPr="00A77AF6">
              <w:rPr>
                <w:rFonts w:ascii="Calibri" w:hAnsi="Calibri" w:cs="Arial"/>
                <w:sz w:val="20"/>
              </w:rPr>
              <w:t>No. of mentions</w:t>
            </w:r>
          </w:p>
        </w:tc>
        <w:tc>
          <w:tcPr>
            <w:tcW w:w="1618" w:type="dxa"/>
            <w:shd w:val="clear" w:color="auto" w:fill="D9D9D9" w:themeFill="background1" w:themeFillShade="D9"/>
          </w:tcPr>
          <w:p w14:paraId="4171FDF1" w14:textId="77777777" w:rsidR="00DE21AB" w:rsidRPr="00A77AF6" w:rsidRDefault="00DE21AB" w:rsidP="00B604D5">
            <w:pPr>
              <w:spacing w:line="276" w:lineRule="auto"/>
              <w:rPr>
                <w:rFonts w:cs="Arial"/>
                <w:sz w:val="20"/>
                <w:szCs w:val="20"/>
              </w:rPr>
            </w:pPr>
            <w:r w:rsidRPr="00A77AF6">
              <w:rPr>
                <w:rFonts w:ascii="Calibri" w:hAnsi="Calibri" w:cs="Arial"/>
                <w:sz w:val="20"/>
              </w:rPr>
              <w:t>Total mentions</w:t>
            </w:r>
          </w:p>
        </w:tc>
      </w:tr>
      <w:tr w:rsidR="00DE21AB" w:rsidRPr="00A77AF6" w14:paraId="16F53C63" w14:textId="77777777" w:rsidTr="00B604D5">
        <w:tc>
          <w:tcPr>
            <w:tcW w:w="1882" w:type="dxa"/>
            <w:vMerge w:val="restart"/>
            <w:tcBorders>
              <w:right w:val="single" w:sz="4" w:space="0" w:color="auto"/>
            </w:tcBorders>
          </w:tcPr>
          <w:p w14:paraId="0B3A6C23" w14:textId="77777777" w:rsidR="00DE21AB" w:rsidRPr="00A77AF6" w:rsidRDefault="00DE21AB" w:rsidP="00B604D5">
            <w:pPr>
              <w:spacing w:after="120" w:line="276" w:lineRule="auto"/>
              <w:rPr>
                <w:rFonts w:cs="Arial"/>
                <w:sz w:val="20"/>
                <w:szCs w:val="20"/>
              </w:rPr>
            </w:pPr>
            <w:r w:rsidRPr="00A77AF6">
              <w:rPr>
                <w:rFonts w:cs="Arial"/>
                <w:sz w:val="20"/>
                <w:szCs w:val="20"/>
              </w:rPr>
              <w:t>Operational Success</w:t>
            </w:r>
          </w:p>
        </w:tc>
        <w:tc>
          <w:tcPr>
            <w:tcW w:w="4317" w:type="dxa"/>
            <w:tcBorders>
              <w:top w:val="single" w:sz="4" w:space="0" w:color="auto"/>
              <w:left w:val="single" w:sz="4" w:space="0" w:color="auto"/>
              <w:bottom w:val="dotted" w:sz="4" w:space="0" w:color="auto"/>
              <w:right w:val="dotted" w:sz="4" w:space="0" w:color="auto"/>
            </w:tcBorders>
          </w:tcPr>
          <w:p w14:paraId="5B532EDD" w14:textId="77777777" w:rsidR="00DE21AB" w:rsidRPr="00A77AF6" w:rsidRDefault="00DE21AB" w:rsidP="00B604D5">
            <w:pPr>
              <w:spacing w:line="276" w:lineRule="auto"/>
              <w:rPr>
                <w:rFonts w:cs="Arial"/>
                <w:sz w:val="20"/>
                <w:szCs w:val="20"/>
              </w:rPr>
            </w:pPr>
            <w:r w:rsidRPr="00A77AF6">
              <w:rPr>
                <w:rFonts w:cs="Arial"/>
                <w:sz w:val="20"/>
                <w:szCs w:val="20"/>
              </w:rPr>
              <w:t>Project success should be a long-term consideration</w:t>
            </w:r>
          </w:p>
        </w:tc>
        <w:tc>
          <w:tcPr>
            <w:tcW w:w="960" w:type="dxa"/>
            <w:tcBorders>
              <w:top w:val="single" w:sz="4" w:space="0" w:color="auto"/>
              <w:left w:val="dotted" w:sz="4" w:space="0" w:color="auto"/>
              <w:bottom w:val="dotted" w:sz="4" w:space="0" w:color="auto"/>
              <w:right w:val="single" w:sz="4" w:space="0" w:color="auto"/>
            </w:tcBorders>
          </w:tcPr>
          <w:p w14:paraId="2139BE50" w14:textId="77777777" w:rsidR="00DE21AB" w:rsidRPr="00A77AF6" w:rsidRDefault="00DE21AB" w:rsidP="00B604D5">
            <w:pPr>
              <w:spacing w:line="276" w:lineRule="auto"/>
              <w:rPr>
                <w:rFonts w:cs="Arial"/>
                <w:sz w:val="20"/>
                <w:szCs w:val="20"/>
              </w:rPr>
            </w:pPr>
            <w:r w:rsidRPr="00A77AF6">
              <w:rPr>
                <w:rFonts w:cs="Arial"/>
                <w:sz w:val="20"/>
                <w:szCs w:val="20"/>
              </w:rPr>
              <w:t>1</w:t>
            </w:r>
          </w:p>
        </w:tc>
        <w:tc>
          <w:tcPr>
            <w:tcW w:w="1618" w:type="dxa"/>
            <w:vMerge w:val="restart"/>
            <w:tcBorders>
              <w:left w:val="single" w:sz="4" w:space="0" w:color="auto"/>
            </w:tcBorders>
            <w:vAlign w:val="center"/>
          </w:tcPr>
          <w:p w14:paraId="3F46B75D" w14:textId="77777777" w:rsidR="00DE21AB" w:rsidRPr="00A77AF6" w:rsidRDefault="00DE21AB" w:rsidP="00B604D5">
            <w:pPr>
              <w:spacing w:line="276" w:lineRule="auto"/>
              <w:jc w:val="center"/>
              <w:rPr>
                <w:rFonts w:cs="Arial"/>
                <w:sz w:val="20"/>
                <w:szCs w:val="20"/>
              </w:rPr>
            </w:pPr>
            <w:r w:rsidRPr="00A77AF6">
              <w:rPr>
                <w:rFonts w:cs="Arial"/>
                <w:sz w:val="20"/>
                <w:szCs w:val="20"/>
              </w:rPr>
              <w:t>5</w:t>
            </w:r>
          </w:p>
        </w:tc>
      </w:tr>
      <w:tr w:rsidR="00DE21AB" w:rsidRPr="00A77AF6" w14:paraId="65A13D6B" w14:textId="77777777" w:rsidTr="00B604D5">
        <w:tc>
          <w:tcPr>
            <w:tcW w:w="1882" w:type="dxa"/>
            <w:vMerge/>
            <w:tcBorders>
              <w:right w:val="single" w:sz="4" w:space="0" w:color="auto"/>
            </w:tcBorders>
          </w:tcPr>
          <w:p w14:paraId="591A4E05" w14:textId="77777777" w:rsidR="00DE21AB" w:rsidRPr="00A77AF6" w:rsidRDefault="00DE21AB" w:rsidP="00B604D5">
            <w:pPr>
              <w:spacing w:after="120" w:line="276" w:lineRule="auto"/>
              <w:rPr>
                <w:rFonts w:cs="Arial"/>
                <w:sz w:val="20"/>
                <w:szCs w:val="20"/>
              </w:rPr>
            </w:pPr>
          </w:p>
        </w:tc>
        <w:tc>
          <w:tcPr>
            <w:tcW w:w="4317" w:type="dxa"/>
            <w:tcBorders>
              <w:top w:val="dotted" w:sz="4" w:space="0" w:color="auto"/>
              <w:left w:val="single" w:sz="4" w:space="0" w:color="auto"/>
              <w:bottom w:val="dotted" w:sz="4" w:space="0" w:color="auto"/>
              <w:right w:val="dotted" w:sz="4" w:space="0" w:color="auto"/>
            </w:tcBorders>
          </w:tcPr>
          <w:p w14:paraId="61300E86" w14:textId="77777777" w:rsidR="00DE21AB" w:rsidRPr="00A77AF6" w:rsidRDefault="00DE21AB" w:rsidP="00B604D5">
            <w:pPr>
              <w:spacing w:line="276" w:lineRule="auto"/>
              <w:rPr>
                <w:rFonts w:cs="Arial"/>
                <w:sz w:val="20"/>
                <w:szCs w:val="20"/>
              </w:rPr>
            </w:pPr>
            <w:r w:rsidRPr="00A77AF6">
              <w:rPr>
                <w:rFonts w:cs="Arial"/>
                <w:sz w:val="20"/>
                <w:szCs w:val="20"/>
              </w:rPr>
              <w:t>Failure is a building that doesn’t deliver models of care or a therapeutic environment</w:t>
            </w:r>
          </w:p>
        </w:tc>
        <w:tc>
          <w:tcPr>
            <w:tcW w:w="960" w:type="dxa"/>
            <w:tcBorders>
              <w:top w:val="dotted" w:sz="4" w:space="0" w:color="auto"/>
              <w:left w:val="dotted" w:sz="4" w:space="0" w:color="auto"/>
              <w:bottom w:val="dotted" w:sz="4" w:space="0" w:color="auto"/>
              <w:right w:val="single" w:sz="4" w:space="0" w:color="auto"/>
            </w:tcBorders>
          </w:tcPr>
          <w:p w14:paraId="0BAA1C6D" w14:textId="77777777" w:rsidR="00DE21AB" w:rsidRPr="00A77AF6" w:rsidRDefault="00DE21AB" w:rsidP="00B604D5">
            <w:pPr>
              <w:spacing w:line="276" w:lineRule="auto"/>
              <w:rPr>
                <w:rFonts w:cs="Arial"/>
                <w:sz w:val="20"/>
                <w:szCs w:val="20"/>
              </w:rPr>
            </w:pPr>
            <w:r w:rsidRPr="00A77AF6">
              <w:rPr>
                <w:rFonts w:cs="Arial"/>
                <w:sz w:val="20"/>
                <w:szCs w:val="20"/>
              </w:rPr>
              <w:t>1</w:t>
            </w:r>
          </w:p>
        </w:tc>
        <w:tc>
          <w:tcPr>
            <w:tcW w:w="1618" w:type="dxa"/>
            <w:vMerge/>
            <w:tcBorders>
              <w:left w:val="single" w:sz="4" w:space="0" w:color="auto"/>
            </w:tcBorders>
          </w:tcPr>
          <w:p w14:paraId="18112ABC" w14:textId="77777777" w:rsidR="00DE21AB" w:rsidRPr="00A77AF6" w:rsidRDefault="00DE21AB" w:rsidP="00B604D5">
            <w:pPr>
              <w:spacing w:line="276" w:lineRule="auto"/>
              <w:rPr>
                <w:rFonts w:cs="Arial"/>
                <w:sz w:val="20"/>
                <w:szCs w:val="20"/>
              </w:rPr>
            </w:pPr>
          </w:p>
        </w:tc>
      </w:tr>
      <w:tr w:rsidR="00DE21AB" w:rsidRPr="00A77AF6" w14:paraId="3ADCE591" w14:textId="77777777" w:rsidTr="00B604D5">
        <w:tc>
          <w:tcPr>
            <w:tcW w:w="1882" w:type="dxa"/>
            <w:vMerge/>
            <w:tcBorders>
              <w:right w:val="single" w:sz="4" w:space="0" w:color="auto"/>
            </w:tcBorders>
          </w:tcPr>
          <w:p w14:paraId="75BE2AE1" w14:textId="77777777" w:rsidR="00DE21AB" w:rsidRPr="00A77AF6" w:rsidRDefault="00DE21AB" w:rsidP="00B604D5">
            <w:pPr>
              <w:spacing w:after="120" w:line="276" w:lineRule="auto"/>
              <w:rPr>
                <w:rFonts w:cs="Arial"/>
                <w:sz w:val="20"/>
                <w:szCs w:val="20"/>
              </w:rPr>
            </w:pPr>
          </w:p>
        </w:tc>
        <w:tc>
          <w:tcPr>
            <w:tcW w:w="4317" w:type="dxa"/>
            <w:tcBorders>
              <w:top w:val="dotted" w:sz="4" w:space="0" w:color="auto"/>
              <w:left w:val="single" w:sz="4" w:space="0" w:color="auto"/>
              <w:bottom w:val="dotted" w:sz="4" w:space="0" w:color="auto"/>
              <w:right w:val="dotted" w:sz="4" w:space="0" w:color="auto"/>
            </w:tcBorders>
          </w:tcPr>
          <w:p w14:paraId="1B7FE0FE" w14:textId="77777777" w:rsidR="00DE21AB" w:rsidRPr="00A77AF6" w:rsidRDefault="00DE21AB" w:rsidP="00B604D5">
            <w:pPr>
              <w:spacing w:line="276" w:lineRule="auto"/>
              <w:rPr>
                <w:rFonts w:cs="Arial"/>
                <w:sz w:val="20"/>
                <w:szCs w:val="20"/>
              </w:rPr>
            </w:pPr>
            <w:r w:rsidRPr="00A77AF6">
              <w:rPr>
                <w:rFonts w:cs="Arial"/>
                <w:sz w:val="20"/>
                <w:szCs w:val="20"/>
              </w:rPr>
              <w:t>For the Board, success is about the long-term</w:t>
            </w:r>
          </w:p>
        </w:tc>
        <w:tc>
          <w:tcPr>
            <w:tcW w:w="960" w:type="dxa"/>
            <w:tcBorders>
              <w:top w:val="dotted" w:sz="4" w:space="0" w:color="auto"/>
              <w:left w:val="dotted" w:sz="4" w:space="0" w:color="auto"/>
              <w:bottom w:val="dotted" w:sz="4" w:space="0" w:color="auto"/>
              <w:right w:val="single" w:sz="4" w:space="0" w:color="auto"/>
            </w:tcBorders>
          </w:tcPr>
          <w:p w14:paraId="13E72F71" w14:textId="77777777" w:rsidR="00DE21AB" w:rsidRPr="00A77AF6" w:rsidRDefault="00DE21AB" w:rsidP="00B604D5">
            <w:pPr>
              <w:spacing w:line="276" w:lineRule="auto"/>
              <w:rPr>
                <w:rFonts w:cs="Arial"/>
                <w:sz w:val="20"/>
                <w:szCs w:val="20"/>
              </w:rPr>
            </w:pPr>
            <w:r w:rsidRPr="00A77AF6">
              <w:rPr>
                <w:rFonts w:cs="Arial"/>
                <w:sz w:val="20"/>
                <w:szCs w:val="20"/>
              </w:rPr>
              <w:t>1</w:t>
            </w:r>
          </w:p>
        </w:tc>
        <w:tc>
          <w:tcPr>
            <w:tcW w:w="1618" w:type="dxa"/>
            <w:vMerge/>
            <w:tcBorders>
              <w:left w:val="single" w:sz="4" w:space="0" w:color="auto"/>
            </w:tcBorders>
          </w:tcPr>
          <w:p w14:paraId="2713BA40" w14:textId="77777777" w:rsidR="00DE21AB" w:rsidRPr="00A77AF6" w:rsidRDefault="00DE21AB" w:rsidP="00B604D5">
            <w:pPr>
              <w:spacing w:line="276" w:lineRule="auto"/>
              <w:rPr>
                <w:rFonts w:cs="Arial"/>
                <w:sz w:val="20"/>
                <w:szCs w:val="20"/>
              </w:rPr>
            </w:pPr>
          </w:p>
        </w:tc>
      </w:tr>
      <w:tr w:rsidR="00DE21AB" w:rsidRPr="00A77AF6" w14:paraId="2D7BBC29" w14:textId="77777777" w:rsidTr="00B604D5">
        <w:tc>
          <w:tcPr>
            <w:tcW w:w="1882" w:type="dxa"/>
            <w:vMerge/>
            <w:tcBorders>
              <w:right w:val="single" w:sz="4" w:space="0" w:color="auto"/>
            </w:tcBorders>
          </w:tcPr>
          <w:p w14:paraId="475FCDFB" w14:textId="77777777" w:rsidR="00DE21AB" w:rsidRPr="00A77AF6" w:rsidRDefault="00DE21AB" w:rsidP="00B604D5">
            <w:pPr>
              <w:spacing w:after="120" w:line="276" w:lineRule="auto"/>
              <w:rPr>
                <w:rFonts w:cs="Arial"/>
                <w:sz w:val="20"/>
                <w:szCs w:val="20"/>
              </w:rPr>
            </w:pPr>
          </w:p>
        </w:tc>
        <w:tc>
          <w:tcPr>
            <w:tcW w:w="4317" w:type="dxa"/>
            <w:tcBorders>
              <w:top w:val="dotted" w:sz="4" w:space="0" w:color="auto"/>
              <w:left w:val="single" w:sz="4" w:space="0" w:color="auto"/>
              <w:bottom w:val="dotted" w:sz="4" w:space="0" w:color="auto"/>
              <w:right w:val="dotted" w:sz="4" w:space="0" w:color="auto"/>
            </w:tcBorders>
          </w:tcPr>
          <w:p w14:paraId="416DFC03" w14:textId="77777777" w:rsidR="00DE21AB" w:rsidRPr="00A77AF6" w:rsidRDefault="00DE21AB" w:rsidP="00B604D5">
            <w:pPr>
              <w:spacing w:line="276" w:lineRule="auto"/>
              <w:rPr>
                <w:rFonts w:cs="Arial"/>
                <w:sz w:val="20"/>
                <w:szCs w:val="20"/>
              </w:rPr>
            </w:pPr>
            <w:r w:rsidRPr="00A77AF6">
              <w:rPr>
                <w:rFonts w:cs="Arial"/>
                <w:sz w:val="20"/>
                <w:szCs w:val="20"/>
              </w:rPr>
              <w:t>It operates well</w:t>
            </w:r>
          </w:p>
        </w:tc>
        <w:tc>
          <w:tcPr>
            <w:tcW w:w="960" w:type="dxa"/>
            <w:tcBorders>
              <w:top w:val="dotted" w:sz="4" w:space="0" w:color="auto"/>
              <w:left w:val="dotted" w:sz="4" w:space="0" w:color="auto"/>
              <w:bottom w:val="dotted" w:sz="4" w:space="0" w:color="auto"/>
              <w:right w:val="single" w:sz="4" w:space="0" w:color="auto"/>
            </w:tcBorders>
          </w:tcPr>
          <w:p w14:paraId="3369D329" w14:textId="77777777" w:rsidR="00DE21AB" w:rsidRPr="00A77AF6" w:rsidRDefault="00DE21AB" w:rsidP="00B604D5">
            <w:pPr>
              <w:spacing w:line="276" w:lineRule="auto"/>
              <w:rPr>
                <w:rFonts w:cs="Arial"/>
                <w:sz w:val="20"/>
                <w:szCs w:val="20"/>
              </w:rPr>
            </w:pPr>
            <w:r w:rsidRPr="00A77AF6">
              <w:rPr>
                <w:rFonts w:cs="Arial"/>
                <w:sz w:val="20"/>
                <w:szCs w:val="20"/>
              </w:rPr>
              <w:t>1</w:t>
            </w:r>
          </w:p>
        </w:tc>
        <w:tc>
          <w:tcPr>
            <w:tcW w:w="1618" w:type="dxa"/>
            <w:vMerge/>
            <w:tcBorders>
              <w:left w:val="single" w:sz="4" w:space="0" w:color="auto"/>
            </w:tcBorders>
          </w:tcPr>
          <w:p w14:paraId="7DD69E16" w14:textId="77777777" w:rsidR="00DE21AB" w:rsidRPr="00A77AF6" w:rsidRDefault="00DE21AB" w:rsidP="00B604D5">
            <w:pPr>
              <w:spacing w:line="276" w:lineRule="auto"/>
              <w:rPr>
                <w:rFonts w:cs="Arial"/>
                <w:sz w:val="20"/>
                <w:szCs w:val="20"/>
              </w:rPr>
            </w:pPr>
          </w:p>
        </w:tc>
      </w:tr>
      <w:tr w:rsidR="00DE21AB" w:rsidRPr="00A77AF6" w14:paraId="19663BA2" w14:textId="77777777" w:rsidTr="00B604D5">
        <w:tc>
          <w:tcPr>
            <w:tcW w:w="1882" w:type="dxa"/>
            <w:vMerge/>
            <w:tcBorders>
              <w:right w:val="single" w:sz="4" w:space="0" w:color="auto"/>
            </w:tcBorders>
          </w:tcPr>
          <w:p w14:paraId="7EEE48A2" w14:textId="77777777" w:rsidR="00DE21AB" w:rsidRPr="00A77AF6" w:rsidRDefault="00DE21AB" w:rsidP="00B604D5">
            <w:pPr>
              <w:spacing w:after="120" w:line="276" w:lineRule="auto"/>
              <w:rPr>
                <w:rFonts w:cs="Arial"/>
                <w:sz w:val="20"/>
                <w:szCs w:val="20"/>
              </w:rPr>
            </w:pPr>
          </w:p>
        </w:tc>
        <w:tc>
          <w:tcPr>
            <w:tcW w:w="4317" w:type="dxa"/>
            <w:tcBorders>
              <w:top w:val="dotted" w:sz="4" w:space="0" w:color="auto"/>
              <w:left w:val="single" w:sz="4" w:space="0" w:color="auto"/>
              <w:bottom w:val="single" w:sz="4" w:space="0" w:color="auto"/>
              <w:right w:val="dotted" w:sz="4" w:space="0" w:color="auto"/>
            </w:tcBorders>
          </w:tcPr>
          <w:p w14:paraId="16656398" w14:textId="77777777" w:rsidR="00DE21AB" w:rsidRPr="00A77AF6" w:rsidRDefault="00DE21AB" w:rsidP="00B604D5">
            <w:pPr>
              <w:spacing w:line="276" w:lineRule="auto"/>
              <w:rPr>
                <w:rFonts w:cs="Arial"/>
                <w:sz w:val="20"/>
                <w:szCs w:val="20"/>
              </w:rPr>
            </w:pPr>
            <w:r w:rsidRPr="00A77AF6">
              <w:rPr>
                <w:rFonts w:cs="Arial"/>
                <w:sz w:val="20"/>
                <w:szCs w:val="20"/>
              </w:rPr>
              <w:t>It is the right size, gives patients a better experience and delivers efficiencies</w:t>
            </w:r>
          </w:p>
        </w:tc>
        <w:tc>
          <w:tcPr>
            <w:tcW w:w="960" w:type="dxa"/>
            <w:tcBorders>
              <w:top w:val="dotted" w:sz="4" w:space="0" w:color="auto"/>
              <w:left w:val="dotted" w:sz="4" w:space="0" w:color="auto"/>
              <w:bottom w:val="single" w:sz="4" w:space="0" w:color="auto"/>
              <w:right w:val="single" w:sz="4" w:space="0" w:color="auto"/>
            </w:tcBorders>
          </w:tcPr>
          <w:p w14:paraId="4AAA71B2" w14:textId="77777777" w:rsidR="00DE21AB" w:rsidRPr="00A77AF6" w:rsidRDefault="00DE21AB" w:rsidP="00B604D5">
            <w:pPr>
              <w:spacing w:line="276" w:lineRule="auto"/>
              <w:rPr>
                <w:rFonts w:cs="Arial"/>
                <w:sz w:val="20"/>
                <w:szCs w:val="20"/>
              </w:rPr>
            </w:pPr>
            <w:r w:rsidRPr="00A77AF6">
              <w:rPr>
                <w:rFonts w:cs="Arial"/>
                <w:sz w:val="20"/>
                <w:szCs w:val="20"/>
              </w:rPr>
              <w:t>1</w:t>
            </w:r>
          </w:p>
        </w:tc>
        <w:tc>
          <w:tcPr>
            <w:tcW w:w="1618" w:type="dxa"/>
            <w:vMerge/>
            <w:tcBorders>
              <w:left w:val="single" w:sz="4" w:space="0" w:color="auto"/>
            </w:tcBorders>
          </w:tcPr>
          <w:p w14:paraId="07D88B57" w14:textId="77777777" w:rsidR="00DE21AB" w:rsidRPr="00A77AF6" w:rsidRDefault="00DE21AB" w:rsidP="00B604D5">
            <w:pPr>
              <w:spacing w:line="276" w:lineRule="auto"/>
              <w:rPr>
                <w:rFonts w:cs="Arial"/>
                <w:sz w:val="20"/>
                <w:szCs w:val="20"/>
              </w:rPr>
            </w:pPr>
          </w:p>
        </w:tc>
      </w:tr>
    </w:tbl>
    <w:p w14:paraId="6ED52A77" w14:textId="500D4A6A" w:rsidR="00EE006B" w:rsidRDefault="002F0203" w:rsidP="00EE006B">
      <w:pPr>
        <w:spacing w:before="240" w:after="0" w:line="360" w:lineRule="auto"/>
      </w:pPr>
      <w:r w:rsidRPr="00A77AF6">
        <w:t>The gap between the business case, where project aims and objectives were set, and the time when the impacts can be measured</w:t>
      </w:r>
      <w:r w:rsidR="00EE006B">
        <w:t xml:space="preserve"> was identified by some</w:t>
      </w:r>
      <w:r w:rsidRPr="00A77AF6">
        <w:t xml:space="preserve">. Expert A though that this could take up to 15 years.  </w:t>
      </w:r>
      <w:r w:rsidR="00EE006B">
        <w:t xml:space="preserve">A successful project is one that provides better buildings for patients and staff. </w:t>
      </w:r>
      <w:r w:rsidR="00EE006B" w:rsidRPr="00A77AF6">
        <w:t xml:space="preserve">For </w:t>
      </w:r>
      <w:r w:rsidR="00484126" w:rsidRPr="00A77AF6">
        <w:t>example,</w:t>
      </w:r>
      <w:r w:rsidR="00AE24DE">
        <w:t xml:space="preserve"> a facility that </w:t>
      </w:r>
      <w:r w:rsidR="00EE006B" w:rsidRPr="00A77AF6">
        <w:t>giving access to patients with disabilities to dental services whilst remaining in their own chair</w:t>
      </w:r>
      <w:r w:rsidR="00EE006B">
        <w:t>, when previously a patient would have had to transfer from their own wheelchair to a dentist’s chair</w:t>
      </w:r>
      <w:r w:rsidR="00AE24DE">
        <w:t xml:space="preserve"> would be considered a success</w:t>
      </w:r>
      <w:r w:rsidR="00EE006B" w:rsidRPr="00A77AF6">
        <w:t xml:space="preserve">.  </w:t>
      </w:r>
    </w:p>
    <w:p w14:paraId="074935C0" w14:textId="77777777" w:rsidR="00EE006B" w:rsidRPr="00A77AF6" w:rsidRDefault="00EE006B" w:rsidP="00EE006B">
      <w:pPr>
        <w:spacing w:line="240" w:lineRule="auto"/>
        <w:ind w:left="720"/>
        <w:rPr>
          <w:i/>
        </w:rPr>
      </w:pPr>
      <w:r w:rsidRPr="00A77AF6">
        <w:rPr>
          <w:i/>
        </w:rPr>
        <w:t>‘We sort of do that business case stuff don’t we?  We think “we’ll put this in and we’ll put this in and we’re going to do that” but ultimately we know we’re building a product and whether it achieves everything we said it would achieve, it’s still going to be fantastic compared to what we’ve got now really.’ (Expert A)</w:t>
      </w:r>
    </w:p>
    <w:p w14:paraId="0CB823B4" w14:textId="77777777" w:rsidR="00AE24DE" w:rsidRDefault="00EE006B" w:rsidP="00EE006B">
      <w:pPr>
        <w:spacing w:before="240" w:after="0" w:line="360" w:lineRule="auto"/>
      </w:pPr>
      <w:r w:rsidRPr="00A77AF6">
        <w:t xml:space="preserve">The judgement of project success takes place in the operational phase and that compared to the previous facility any new facility will be an improvement even if it does not meet all the quality criteria set out for it. </w:t>
      </w:r>
    </w:p>
    <w:p w14:paraId="667619BC" w14:textId="3A178128" w:rsidR="00AE24DE" w:rsidRPr="00AE24DE" w:rsidRDefault="009466D3" w:rsidP="00AE24DE">
      <w:pPr>
        <w:spacing w:before="120" w:after="120" w:line="360" w:lineRule="auto"/>
        <w:rPr>
          <w:iCs/>
        </w:rPr>
      </w:pPr>
      <w:r w:rsidRPr="00A77AF6">
        <w:t xml:space="preserve">Operational management can </w:t>
      </w:r>
      <w:r w:rsidR="002F0203" w:rsidRPr="00A77AF6">
        <w:t xml:space="preserve">influence the perception of project success in </w:t>
      </w:r>
      <w:r w:rsidRPr="00A77AF6">
        <w:t>the operational</w:t>
      </w:r>
      <w:r w:rsidR="002F0203" w:rsidRPr="00A77AF6">
        <w:t xml:space="preserve"> phase even though it is not part of the project.  An example is the management of </w:t>
      </w:r>
      <w:r w:rsidRPr="00A77AF6">
        <w:t xml:space="preserve">litter or </w:t>
      </w:r>
      <w:r w:rsidR="00EE006B">
        <w:t xml:space="preserve">the maintenance of </w:t>
      </w:r>
      <w:r w:rsidRPr="00A77AF6">
        <w:t>gardens</w:t>
      </w:r>
      <w:r w:rsidR="00DE21AB" w:rsidRPr="00A77AF6">
        <w:t xml:space="preserve">. These are not related to the </w:t>
      </w:r>
      <w:r w:rsidRPr="00A77AF6">
        <w:t>design of the building</w:t>
      </w:r>
      <w:r w:rsidR="00DE21AB" w:rsidRPr="00A77AF6">
        <w:t xml:space="preserve"> but may impact on the perception of project success. </w:t>
      </w:r>
      <w:r w:rsidRPr="00A77AF6">
        <w:t xml:space="preserve"> </w:t>
      </w:r>
    </w:p>
    <w:p w14:paraId="59A21733" w14:textId="16F3FFFC" w:rsidR="00AE24DE" w:rsidRDefault="00AE24DE" w:rsidP="00870ECF">
      <w:pPr>
        <w:spacing w:after="0" w:line="360" w:lineRule="auto"/>
      </w:pPr>
      <w:r>
        <w:t xml:space="preserve">The measurement of project success has a tolerance to missed </w:t>
      </w:r>
      <w:r w:rsidRPr="00A77AF6">
        <w:t>targets</w:t>
      </w:r>
      <w:r>
        <w:t xml:space="preserve"> </w:t>
      </w:r>
      <w:r w:rsidRPr="00A77AF6">
        <w:t>(Table 7-13). Experts suggested that there is a tolerance around time, cost and quality success criteria</w:t>
      </w:r>
      <w:r>
        <w:t xml:space="preserve"> in the project management phase</w:t>
      </w:r>
      <w:r w:rsidRPr="00A77AF6">
        <w:t xml:space="preserve">, so that even if </w:t>
      </w:r>
      <w:r w:rsidR="00484126">
        <w:t xml:space="preserve">a </w:t>
      </w:r>
      <w:r w:rsidRPr="00A77AF6">
        <w:t xml:space="preserve">project missed its constraints, it might still be successful.   </w:t>
      </w:r>
      <w:r>
        <w:t xml:space="preserve">This tolerance also applied to the operational phase, so if </w:t>
      </w:r>
      <w:r w:rsidR="00EE006B">
        <w:t>projects did not achieve all their benefits</w:t>
      </w:r>
      <w:r>
        <w:t xml:space="preserve"> set out in the business case it </w:t>
      </w:r>
      <w:r w:rsidR="00EE006B">
        <w:t xml:space="preserve">would be considered successful in the operational phase if </w:t>
      </w:r>
      <w:r w:rsidR="00EE006B" w:rsidRPr="00A77AF6">
        <w:t>it provide</w:t>
      </w:r>
      <w:r w:rsidR="00EE006B">
        <w:t>d</w:t>
      </w:r>
      <w:r w:rsidR="00EE006B" w:rsidRPr="00A77AF6">
        <w:t xml:space="preserve"> people with access to a service which they could</w:t>
      </w:r>
      <w:r w:rsidR="00EE006B">
        <w:t xml:space="preserve"> not access before the project was built</w:t>
      </w:r>
      <w:r>
        <w:t xml:space="preserve">. </w:t>
      </w:r>
      <w:r w:rsidRPr="00A77AF6">
        <w:t xml:space="preserve">The missing of targets appears to be less important than completing the project given the long and complex procurement and construction process. </w:t>
      </w:r>
    </w:p>
    <w:p w14:paraId="56C9F21A" w14:textId="77777777" w:rsidR="00AE24DE" w:rsidRDefault="00AE24DE" w:rsidP="00870ECF">
      <w:pPr>
        <w:spacing w:before="120" w:after="120" w:line="360" w:lineRule="auto"/>
        <w:rPr>
          <w:rFonts w:eastAsia="Times New Roman" w:cstheme="minorHAnsi"/>
          <w:color w:val="000000"/>
          <w:lang w:eastAsia="en-GB"/>
        </w:rPr>
      </w:pPr>
      <w:r>
        <w:rPr>
          <w:rFonts w:eastAsia="Times New Roman" w:cstheme="minorHAnsi"/>
          <w:color w:val="000000"/>
          <w:lang w:eastAsia="en-GB"/>
        </w:rPr>
        <w:lastRenderedPageBreak/>
        <w:t>T</w:t>
      </w:r>
      <w:r w:rsidRPr="00A77AF6">
        <w:rPr>
          <w:rFonts w:eastAsia="Times New Roman" w:cstheme="minorHAnsi"/>
          <w:color w:val="000000"/>
          <w:lang w:eastAsia="en-GB"/>
        </w:rPr>
        <w:t>he success or failure of a project depends on how success is measured</w:t>
      </w:r>
      <w:r>
        <w:rPr>
          <w:rFonts w:eastAsia="Times New Roman" w:cstheme="minorHAnsi"/>
          <w:color w:val="000000"/>
          <w:lang w:eastAsia="en-GB"/>
        </w:rPr>
        <w:t xml:space="preserve">, for example </w:t>
      </w:r>
      <w:r w:rsidRPr="00A77AF6">
        <w:rPr>
          <w:rFonts w:eastAsia="Times New Roman" w:cstheme="minorHAnsi"/>
          <w:color w:val="000000"/>
          <w:lang w:eastAsia="en-GB"/>
        </w:rPr>
        <w:t xml:space="preserve">how highly cost, and time are rated. If </w:t>
      </w:r>
      <w:r>
        <w:rPr>
          <w:rFonts w:eastAsia="Times New Roman" w:cstheme="minorHAnsi"/>
          <w:color w:val="000000"/>
          <w:lang w:eastAsia="en-GB"/>
        </w:rPr>
        <w:t>a</w:t>
      </w:r>
      <w:r w:rsidRPr="00A77AF6">
        <w:rPr>
          <w:rFonts w:eastAsia="Times New Roman" w:cstheme="minorHAnsi"/>
          <w:color w:val="000000"/>
          <w:lang w:eastAsia="en-GB"/>
        </w:rPr>
        <w:t xml:space="preserve"> project is slightly late and slightly over budget it might be still be considered a success because </w:t>
      </w:r>
      <w:r>
        <w:rPr>
          <w:rFonts w:eastAsia="Times New Roman" w:cstheme="minorHAnsi"/>
          <w:color w:val="000000"/>
          <w:lang w:eastAsia="en-GB"/>
        </w:rPr>
        <w:t xml:space="preserve">it was completed despite the many problems that it encountered through the project lifecycle and </w:t>
      </w:r>
      <w:r w:rsidRPr="00A77AF6">
        <w:rPr>
          <w:rFonts w:eastAsia="Times New Roman" w:cstheme="minorHAnsi"/>
          <w:color w:val="000000"/>
          <w:lang w:eastAsia="en-GB"/>
        </w:rPr>
        <w:t>a new time and new budget might have been acceptable</w:t>
      </w:r>
      <w:r>
        <w:rPr>
          <w:rFonts w:eastAsia="Times New Roman" w:cstheme="minorHAnsi"/>
          <w:color w:val="000000"/>
          <w:lang w:eastAsia="en-GB"/>
        </w:rPr>
        <w:t xml:space="preserve">. </w:t>
      </w:r>
    </w:p>
    <w:p w14:paraId="39BFA4A9" w14:textId="3CC2DDDE" w:rsidR="00AE24DE" w:rsidRDefault="00870ECF" w:rsidP="00870ECF">
      <w:pPr>
        <w:spacing w:after="240" w:line="240" w:lineRule="auto"/>
        <w:ind w:left="720"/>
        <w:rPr>
          <w:rFonts w:eastAsia="Times New Roman" w:cstheme="minorHAnsi"/>
          <w:color w:val="000000"/>
          <w:lang w:eastAsia="en-GB"/>
        </w:rPr>
      </w:pPr>
      <w:r w:rsidRPr="00A77AF6">
        <w:rPr>
          <w:rFonts w:eastAsia="Times New Roman" w:cstheme="minorHAnsi"/>
          <w:i/>
          <w:color w:val="000000"/>
          <w:lang w:eastAsia="en-GB"/>
        </w:rPr>
        <w:t>If a healthcare building gets through that complex process we have already spoken about, that is a success on its own…If this building reaches financial close even a year late, I think most people would say you made it, that was a success, you got there in the end.  Not, “why has it taken a year?”....If we’re benefiting from it, it was painful, but we got there, so it was a success.’ (Expert B)</w:t>
      </w:r>
    </w:p>
    <w:p w14:paraId="7244FB63" w14:textId="4BBA2962" w:rsidR="009817FF" w:rsidRPr="00A77AF6" w:rsidRDefault="009817FF" w:rsidP="00CE469C">
      <w:pPr>
        <w:pStyle w:val="Caption"/>
        <w:keepNext/>
        <w:spacing w:after="120"/>
      </w:pPr>
      <w:r w:rsidRPr="00A77AF6">
        <w:t xml:space="preserve">Table </w:t>
      </w:r>
      <w:fldSimple w:instr=" STYLEREF 1 \s ">
        <w:r w:rsidR="000441F7">
          <w:rPr>
            <w:noProof/>
          </w:rPr>
          <w:t>7</w:t>
        </w:r>
      </w:fldSimple>
      <w:r w:rsidR="00804112">
        <w:noBreakHyphen/>
      </w:r>
      <w:fldSimple w:instr=" SEQ Table \* ARABIC \s 1 ">
        <w:r w:rsidR="000441F7">
          <w:rPr>
            <w:noProof/>
          </w:rPr>
          <w:t>13</w:t>
        </w:r>
      </w:fldSimple>
      <w:r w:rsidRPr="00A77AF6">
        <w:t>: Tolerance of missed targets</w:t>
      </w:r>
    </w:p>
    <w:tbl>
      <w:tblPr>
        <w:tblStyle w:val="TableGrid"/>
        <w:tblW w:w="0" w:type="auto"/>
        <w:tblLook w:val="04A0" w:firstRow="1" w:lastRow="0" w:firstColumn="1" w:lastColumn="0" w:noHBand="0" w:noVBand="1"/>
      </w:tblPr>
      <w:tblGrid>
        <w:gridCol w:w="1877"/>
        <w:gridCol w:w="4302"/>
        <w:gridCol w:w="983"/>
        <w:gridCol w:w="1615"/>
      </w:tblGrid>
      <w:tr w:rsidR="009817FF" w:rsidRPr="00A77AF6" w14:paraId="2F930056" w14:textId="77777777" w:rsidTr="005F5B62">
        <w:tc>
          <w:tcPr>
            <w:tcW w:w="1877" w:type="dxa"/>
            <w:shd w:val="clear" w:color="auto" w:fill="D9D9D9" w:themeFill="background1" w:themeFillShade="D9"/>
          </w:tcPr>
          <w:p w14:paraId="5B6CF55B" w14:textId="77777777" w:rsidR="009817FF" w:rsidRPr="00A77AF6" w:rsidRDefault="009817FF" w:rsidP="004874DF">
            <w:pPr>
              <w:spacing w:line="276" w:lineRule="auto"/>
              <w:rPr>
                <w:rFonts w:cs="Arial"/>
                <w:sz w:val="20"/>
                <w:szCs w:val="20"/>
              </w:rPr>
            </w:pPr>
            <w:r w:rsidRPr="00A77AF6">
              <w:rPr>
                <w:rFonts w:cs="Arial"/>
                <w:sz w:val="20"/>
                <w:szCs w:val="20"/>
              </w:rPr>
              <w:t>Main Code</w:t>
            </w:r>
          </w:p>
          <w:p w14:paraId="7E0D8F94" w14:textId="77777777" w:rsidR="009817FF" w:rsidRPr="00A77AF6" w:rsidRDefault="009817FF" w:rsidP="004874DF">
            <w:pPr>
              <w:spacing w:line="276" w:lineRule="auto"/>
              <w:rPr>
                <w:rFonts w:cs="Arial"/>
                <w:sz w:val="20"/>
                <w:szCs w:val="20"/>
              </w:rPr>
            </w:pPr>
          </w:p>
        </w:tc>
        <w:tc>
          <w:tcPr>
            <w:tcW w:w="4302" w:type="dxa"/>
            <w:shd w:val="clear" w:color="auto" w:fill="D9D9D9" w:themeFill="background1" w:themeFillShade="D9"/>
          </w:tcPr>
          <w:p w14:paraId="694A13B4" w14:textId="77777777" w:rsidR="009817FF" w:rsidRPr="00A77AF6" w:rsidRDefault="009817FF" w:rsidP="004874DF">
            <w:pPr>
              <w:spacing w:line="276" w:lineRule="auto"/>
              <w:rPr>
                <w:rFonts w:cs="Arial"/>
                <w:sz w:val="20"/>
                <w:szCs w:val="20"/>
              </w:rPr>
            </w:pPr>
            <w:r w:rsidRPr="00A77AF6">
              <w:rPr>
                <w:rFonts w:cs="Arial"/>
                <w:sz w:val="20"/>
                <w:szCs w:val="20"/>
              </w:rPr>
              <w:t>Sub codes</w:t>
            </w:r>
          </w:p>
        </w:tc>
        <w:tc>
          <w:tcPr>
            <w:tcW w:w="983" w:type="dxa"/>
            <w:shd w:val="clear" w:color="auto" w:fill="D9D9D9" w:themeFill="background1" w:themeFillShade="D9"/>
          </w:tcPr>
          <w:p w14:paraId="59E2D2CE" w14:textId="77777777" w:rsidR="009817FF" w:rsidRPr="00A77AF6" w:rsidRDefault="009817FF" w:rsidP="004874DF">
            <w:pPr>
              <w:spacing w:line="276" w:lineRule="auto"/>
              <w:rPr>
                <w:rFonts w:cs="Arial"/>
                <w:sz w:val="20"/>
                <w:szCs w:val="20"/>
              </w:rPr>
            </w:pPr>
            <w:r w:rsidRPr="00A77AF6">
              <w:rPr>
                <w:rFonts w:ascii="Calibri" w:hAnsi="Calibri" w:cs="Arial"/>
                <w:sz w:val="20"/>
              </w:rPr>
              <w:t>No. of mentions</w:t>
            </w:r>
          </w:p>
        </w:tc>
        <w:tc>
          <w:tcPr>
            <w:tcW w:w="1615" w:type="dxa"/>
            <w:shd w:val="clear" w:color="auto" w:fill="D9D9D9" w:themeFill="background1" w:themeFillShade="D9"/>
          </w:tcPr>
          <w:p w14:paraId="6DBE10AF" w14:textId="77777777" w:rsidR="009817FF" w:rsidRPr="00A77AF6" w:rsidRDefault="009817FF" w:rsidP="004874DF">
            <w:pPr>
              <w:spacing w:line="276" w:lineRule="auto"/>
              <w:rPr>
                <w:rFonts w:cs="Arial"/>
                <w:sz w:val="20"/>
                <w:szCs w:val="20"/>
              </w:rPr>
            </w:pPr>
            <w:r w:rsidRPr="00A77AF6">
              <w:rPr>
                <w:rFonts w:ascii="Calibri" w:hAnsi="Calibri" w:cs="Arial"/>
                <w:sz w:val="20"/>
              </w:rPr>
              <w:t>Total mentions</w:t>
            </w:r>
          </w:p>
        </w:tc>
      </w:tr>
      <w:tr w:rsidR="009817FF" w:rsidRPr="00A77AF6" w14:paraId="74380F64" w14:textId="77777777" w:rsidTr="005F5B62">
        <w:tc>
          <w:tcPr>
            <w:tcW w:w="1877" w:type="dxa"/>
            <w:vMerge w:val="restart"/>
            <w:tcBorders>
              <w:top w:val="single" w:sz="4" w:space="0" w:color="auto"/>
            </w:tcBorders>
          </w:tcPr>
          <w:p w14:paraId="3580B956" w14:textId="77777777" w:rsidR="009817FF" w:rsidRPr="00A77AF6" w:rsidRDefault="009817FF" w:rsidP="004874DF">
            <w:pPr>
              <w:spacing w:line="276" w:lineRule="auto"/>
              <w:rPr>
                <w:rFonts w:cs="Arial"/>
                <w:sz w:val="20"/>
                <w:szCs w:val="20"/>
              </w:rPr>
            </w:pPr>
            <w:r w:rsidRPr="00A77AF6">
              <w:rPr>
                <w:rFonts w:cs="Arial"/>
                <w:sz w:val="20"/>
                <w:szCs w:val="20"/>
              </w:rPr>
              <w:t>Tolerance of missed targets</w:t>
            </w:r>
          </w:p>
        </w:tc>
        <w:tc>
          <w:tcPr>
            <w:tcW w:w="4302" w:type="dxa"/>
            <w:tcBorders>
              <w:top w:val="single" w:sz="4" w:space="0" w:color="auto"/>
              <w:bottom w:val="dotted" w:sz="4" w:space="0" w:color="auto"/>
              <w:right w:val="dotted" w:sz="4" w:space="0" w:color="auto"/>
            </w:tcBorders>
          </w:tcPr>
          <w:p w14:paraId="2652E6C5" w14:textId="77777777" w:rsidR="009817FF" w:rsidRPr="00A77AF6" w:rsidRDefault="009817FF" w:rsidP="004874DF">
            <w:pPr>
              <w:spacing w:line="276" w:lineRule="auto"/>
              <w:rPr>
                <w:rFonts w:cs="Arial"/>
                <w:sz w:val="20"/>
                <w:szCs w:val="20"/>
              </w:rPr>
            </w:pPr>
            <w:r w:rsidRPr="00A77AF6">
              <w:rPr>
                <w:rFonts w:cs="Arial"/>
                <w:sz w:val="20"/>
                <w:szCs w:val="20"/>
              </w:rPr>
              <w:t>Missing time, cost, quality targets a little may be OK because of the problems encountered on the way</w:t>
            </w:r>
          </w:p>
        </w:tc>
        <w:tc>
          <w:tcPr>
            <w:tcW w:w="983" w:type="dxa"/>
            <w:tcBorders>
              <w:top w:val="single" w:sz="4" w:space="0" w:color="auto"/>
              <w:left w:val="dotted" w:sz="4" w:space="0" w:color="auto"/>
              <w:bottom w:val="dotted" w:sz="4" w:space="0" w:color="auto"/>
            </w:tcBorders>
          </w:tcPr>
          <w:p w14:paraId="556BD4D4" w14:textId="77777777" w:rsidR="009817FF" w:rsidRPr="00A77AF6" w:rsidRDefault="009817FF" w:rsidP="004874DF">
            <w:pPr>
              <w:spacing w:line="276" w:lineRule="auto"/>
              <w:rPr>
                <w:rFonts w:cs="Arial"/>
                <w:sz w:val="20"/>
                <w:szCs w:val="20"/>
              </w:rPr>
            </w:pPr>
            <w:r w:rsidRPr="00A77AF6">
              <w:rPr>
                <w:rFonts w:cs="Arial"/>
                <w:sz w:val="20"/>
                <w:szCs w:val="20"/>
              </w:rPr>
              <w:t>1</w:t>
            </w:r>
          </w:p>
        </w:tc>
        <w:tc>
          <w:tcPr>
            <w:tcW w:w="1615" w:type="dxa"/>
            <w:vMerge w:val="restart"/>
            <w:tcBorders>
              <w:top w:val="single" w:sz="4" w:space="0" w:color="auto"/>
            </w:tcBorders>
            <w:vAlign w:val="center"/>
          </w:tcPr>
          <w:p w14:paraId="24D0AAE0" w14:textId="77777777" w:rsidR="009817FF" w:rsidRPr="00A77AF6" w:rsidRDefault="009817FF" w:rsidP="004874DF">
            <w:pPr>
              <w:keepNext/>
              <w:spacing w:line="276" w:lineRule="auto"/>
              <w:jc w:val="center"/>
              <w:rPr>
                <w:rFonts w:cs="Arial"/>
                <w:sz w:val="20"/>
                <w:szCs w:val="20"/>
              </w:rPr>
            </w:pPr>
            <w:r w:rsidRPr="00A77AF6">
              <w:rPr>
                <w:rFonts w:cs="Arial"/>
                <w:sz w:val="20"/>
                <w:szCs w:val="20"/>
              </w:rPr>
              <w:t>4</w:t>
            </w:r>
          </w:p>
        </w:tc>
      </w:tr>
      <w:tr w:rsidR="009817FF" w:rsidRPr="00A77AF6" w14:paraId="59FDEFE6" w14:textId="77777777" w:rsidTr="005F5B62">
        <w:tc>
          <w:tcPr>
            <w:tcW w:w="1877" w:type="dxa"/>
            <w:vMerge/>
          </w:tcPr>
          <w:p w14:paraId="25B35C20" w14:textId="77777777" w:rsidR="009817FF" w:rsidRPr="00A77AF6" w:rsidRDefault="009817FF" w:rsidP="004874DF">
            <w:pPr>
              <w:spacing w:line="276" w:lineRule="auto"/>
              <w:rPr>
                <w:rFonts w:cs="Arial"/>
                <w:sz w:val="20"/>
                <w:szCs w:val="20"/>
              </w:rPr>
            </w:pPr>
          </w:p>
        </w:tc>
        <w:tc>
          <w:tcPr>
            <w:tcW w:w="4302" w:type="dxa"/>
            <w:tcBorders>
              <w:top w:val="dotted" w:sz="4" w:space="0" w:color="auto"/>
              <w:bottom w:val="dotted" w:sz="4" w:space="0" w:color="auto"/>
              <w:right w:val="dotted" w:sz="4" w:space="0" w:color="auto"/>
            </w:tcBorders>
          </w:tcPr>
          <w:p w14:paraId="6CE20792" w14:textId="765C8CB1" w:rsidR="009817FF" w:rsidRPr="00A77AF6" w:rsidRDefault="009817FF" w:rsidP="004874DF">
            <w:pPr>
              <w:spacing w:line="276" w:lineRule="auto"/>
              <w:rPr>
                <w:rFonts w:cs="Arial"/>
                <w:sz w:val="20"/>
                <w:szCs w:val="20"/>
              </w:rPr>
            </w:pPr>
            <w:r w:rsidRPr="00A77AF6">
              <w:rPr>
                <w:rFonts w:cs="Arial"/>
                <w:sz w:val="20"/>
                <w:szCs w:val="20"/>
              </w:rPr>
              <w:t>Even 1 year late to financial close, most people would say it is a success</w:t>
            </w:r>
            <w:r w:rsidR="005F5B62" w:rsidRPr="00A77AF6">
              <w:rPr>
                <w:rFonts w:cs="Arial"/>
                <w:sz w:val="20"/>
                <w:szCs w:val="20"/>
              </w:rPr>
              <w:t>/ Missing time and cost targets are not so important</w:t>
            </w:r>
          </w:p>
        </w:tc>
        <w:tc>
          <w:tcPr>
            <w:tcW w:w="983" w:type="dxa"/>
            <w:tcBorders>
              <w:top w:val="dotted" w:sz="4" w:space="0" w:color="auto"/>
              <w:left w:val="dotted" w:sz="4" w:space="0" w:color="auto"/>
              <w:bottom w:val="dotted" w:sz="4" w:space="0" w:color="auto"/>
            </w:tcBorders>
          </w:tcPr>
          <w:p w14:paraId="364964F9" w14:textId="0DDE4FBF" w:rsidR="009817FF" w:rsidRPr="00A77AF6" w:rsidRDefault="005F5B62" w:rsidP="004874DF">
            <w:pPr>
              <w:spacing w:line="276" w:lineRule="auto"/>
              <w:rPr>
                <w:rFonts w:cs="Arial"/>
                <w:sz w:val="20"/>
                <w:szCs w:val="20"/>
              </w:rPr>
            </w:pPr>
            <w:r w:rsidRPr="00A77AF6">
              <w:rPr>
                <w:rFonts w:cs="Arial"/>
                <w:sz w:val="20"/>
                <w:szCs w:val="20"/>
              </w:rPr>
              <w:t>2</w:t>
            </w:r>
          </w:p>
        </w:tc>
        <w:tc>
          <w:tcPr>
            <w:tcW w:w="1615" w:type="dxa"/>
            <w:vMerge/>
          </w:tcPr>
          <w:p w14:paraId="38B384E4" w14:textId="77777777" w:rsidR="009817FF" w:rsidRPr="00A77AF6" w:rsidRDefault="009817FF" w:rsidP="004874DF">
            <w:pPr>
              <w:keepNext/>
              <w:spacing w:line="276" w:lineRule="auto"/>
              <w:rPr>
                <w:rFonts w:cs="Arial"/>
                <w:sz w:val="20"/>
                <w:szCs w:val="20"/>
              </w:rPr>
            </w:pPr>
          </w:p>
        </w:tc>
      </w:tr>
      <w:tr w:rsidR="009817FF" w:rsidRPr="00A77AF6" w14:paraId="08990B35" w14:textId="77777777" w:rsidTr="005F5B62">
        <w:tc>
          <w:tcPr>
            <w:tcW w:w="1877" w:type="dxa"/>
            <w:vMerge/>
          </w:tcPr>
          <w:p w14:paraId="7DE938EC" w14:textId="77777777" w:rsidR="009817FF" w:rsidRPr="00A77AF6" w:rsidRDefault="009817FF" w:rsidP="004874DF">
            <w:pPr>
              <w:spacing w:line="276" w:lineRule="auto"/>
              <w:rPr>
                <w:rFonts w:cs="Arial"/>
                <w:sz w:val="20"/>
                <w:szCs w:val="20"/>
              </w:rPr>
            </w:pPr>
          </w:p>
        </w:tc>
        <w:tc>
          <w:tcPr>
            <w:tcW w:w="4302" w:type="dxa"/>
            <w:tcBorders>
              <w:top w:val="dotted" w:sz="4" w:space="0" w:color="auto"/>
              <w:bottom w:val="single" w:sz="4" w:space="0" w:color="auto"/>
              <w:right w:val="dotted" w:sz="4" w:space="0" w:color="auto"/>
            </w:tcBorders>
          </w:tcPr>
          <w:p w14:paraId="7739A4ED" w14:textId="77777777" w:rsidR="009817FF" w:rsidRPr="00A77AF6" w:rsidRDefault="009817FF" w:rsidP="004874DF">
            <w:pPr>
              <w:spacing w:line="276" w:lineRule="auto"/>
              <w:rPr>
                <w:rFonts w:cs="Arial"/>
                <w:sz w:val="20"/>
                <w:szCs w:val="20"/>
              </w:rPr>
            </w:pPr>
            <w:r w:rsidRPr="00A77AF6">
              <w:rPr>
                <w:rFonts w:cs="Arial"/>
                <w:sz w:val="20"/>
                <w:szCs w:val="20"/>
              </w:rPr>
              <w:t>Reasons for missing targets can be explained</w:t>
            </w:r>
          </w:p>
        </w:tc>
        <w:tc>
          <w:tcPr>
            <w:tcW w:w="983" w:type="dxa"/>
            <w:tcBorders>
              <w:top w:val="dotted" w:sz="4" w:space="0" w:color="auto"/>
              <w:left w:val="dotted" w:sz="4" w:space="0" w:color="auto"/>
              <w:bottom w:val="single" w:sz="4" w:space="0" w:color="auto"/>
            </w:tcBorders>
          </w:tcPr>
          <w:p w14:paraId="79790737" w14:textId="77777777" w:rsidR="009817FF" w:rsidRPr="00A77AF6" w:rsidRDefault="009817FF" w:rsidP="004874DF">
            <w:pPr>
              <w:spacing w:line="276" w:lineRule="auto"/>
              <w:rPr>
                <w:rFonts w:cs="Arial"/>
                <w:sz w:val="20"/>
                <w:szCs w:val="20"/>
              </w:rPr>
            </w:pPr>
            <w:r w:rsidRPr="00A77AF6">
              <w:rPr>
                <w:rFonts w:cs="Arial"/>
                <w:sz w:val="20"/>
                <w:szCs w:val="20"/>
              </w:rPr>
              <w:t>1</w:t>
            </w:r>
          </w:p>
        </w:tc>
        <w:tc>
          <w:tcPr>
            <w:tcW w:w="1615" w:type="dxa"/>
            <w:vMerge/>
          </w:tcPr>
          <w:p w14:paraId="3316B135" w14:textId="77777777" w:rsidR="009817FF" w:rsidRPr="00A77AF6" w:rsidRDefault="009817FF" w:rsidP="004874DF">
            <w:pPr>
              <w:keepNext/>
              <w:spacing w:line="276" w:lineRule="auto"/>
              <w:rPr>
                <w:rFonts w:cs="Arial"/>
                <w:sz w:val="20"/>
                <w:szCs w:val="20"/>
              </w:rPr>
            </w:pPr>
          </w:p>
        </w:tc>
      </w:tr>
    </w:tbl>
    <w:p w14:paraId="4D0DFB6C" w14:textId="734315E0" w:rsidR="00B15330" w:rsidRPr="00870ECF" w:rsidRDefault="00B15330" w:rsidP="00870ECF">
      <w:pPr>
        <w:spacing w:line="240" w:lineRule="auto"/>
        <w:rPr>
          <w:rFonts w:eastAsia="Times New Roman" w:cstheme="minorHAnsi"/>
          <w:iCs/>
          <w:color w:val="000000"/>
          <w:lang w:eastAsia="en-GB"/>
        </w:rPr>
      </w:pPr>
    </w:p>
    <w:p w14:paraId="53F92EE1" w14:textId="6B38863A" w:rsidR="00570328" w:rsidRPr="00A77AF6" w:rsidRDefault="009817FF" w:rsidP="00570328">
      <w:pPr>
        <w:pStyle w:val="Heading4"/>
        <w:numPr>
          <w:ilvl w:val="0"/>
          <w:numId w:val="0"/>
        </w:numPr>
        <w:spacing w:before="240" w:line="360" w:lineRule="auto"/>
        <w:ind w:left="862" w:hanging="862"/>
      </w:pPr>
      <w:r w:rsidRPr="00A77AF6">
        <w:rPr>
          <w:rStyle w:val="Heading4Char"/>
          <w:b/>
          <w:bCs/>
        </w:rPr>
        <w:t>Quality: the most important target</w:t>
      </w:r>
    </w:p>
    <w:p w14:paraId="3B9BF792" w14:textId="68C3026B" w:rsidR="009817FF" w:rsidRPr="00A77AF6" w:rsidRDefault="009817FF" w:rsidP="00570328">
      <w:pPr>
        <w:spacing w:line="360" w:lineRule="auto"/>
      </w:pPr>
      <w:r w:rsidRPr="00A77AF6">
        <w:t xml:space="preserve">Quality was identified explicitly as the more important target 3 times (Table </w:t>
      </w:r>
      <w:r w:rsidR="00CE469C" w:rsidRPr="00A77AF6">
        <w:t>7-14</w:t>
      </w:r>
      <w:r w:rsidRPr="00A77AF6">
        <w:t xml:space="preserve">).  </w:t>
      </w:r>
    </w:p>
    <w:p w14:paraId="697571FB" w14:textId="0C23BE98" w:rsidR="009817FF" w:rsidRPr="00A77AF6" w:rsidRDefault="009817FF" w:rsidP="00CE469C">
      <w:pPr>
        <w:pStyle w:val="Caption"/>
        <w:keepNext/>
        <w:spacing w:after="120"/>
      </w:pPr>
      <w:r w:rsidRPr="00A77AF6">
        <w:t xml:space="preserve">Table </w:t>
      </w:r>
      <w:fldSimple w:instr=" STYLEREF 1 \s ">
        <w:r w:rsidR="000441F7">
          <w:rPr>
            <w:noProof/>
          </w:rPr>
          <w:t>7</w:t>
        </w:r>
      </w:fldSimple>
      <w:r w:rsidR="00804112">
        <w:noBreakHyphen/>
      </w:r>
      <w:fldSimple w:instr=" SEQ Table \* ARABIC \s 1 ">
        <w:r w:rsidR="000441F7">
          <w:rPr>
            <w:noProof/>
          </w:rPr>
          <w:t>14</w:t>
        </w:r>
      </w:fldSimple>
      <w:r w:rsidRPr="00A77AF6">
        <w:t>: Quality - the most important target</w:t>
      </w:r>
    </w:p>
    <w:tbl>
      <w:tblPr>
        <w:tblStyle w:val="TableGrid"/>
        <w:tblW w:w="0" w:type="auto"/>
        <w:tblLook w:val="04A0" w:firstRow="1" w:lastRow="0" w:firstColumn="1" w:lastColumn="0" w:noHBand="0" w:noVBand="1"/>
      </w:tblPr>
      <w:tblGrid>
        <w:gridCol w:w="1878"/>
        <w:gridCol w:w="4301"/>
        <w:gridCol w:w="983"/>
        <w:gridCol w:w="1615"/>
      </w:tblGrid>
      <w:tr w:rsidR="009817FF" w:rsidRPr="00A77AF6" w14:paraId="71C0532F" w14:textId="77777777" w:rsidTr="004874DF">
        <w:tc>
          <w:tcPr>
            <w:tcW w:w="1882" w:type="dxa"/>
            <w:tcBorders>
              <w:bottom w:val="single" w:sz="4" w:space="0" w:color="auto"/>
            </w:tcBorders>
            <w:shd w:val="clear" w:color="auto" w:fill="D9D9D9" w:themeFill="background1" w:themeFillShade="D9"/>
          </w:tcPr>
          <w:p w14:paraId="59A29122" w14:textId="77777777" w:rsidR="009817FF" w:rsidRPr="00A77AF6" w:rsidRDefault="009817FF" w:rsidP="004874DF">
            <w:pPr>
              <w:spacing w:line="276" w:lineRule="auto"/>
              <w:rPr>
                <w:rFonts w:cs="Arial"/>
                <w:sz w:val="20"/>
                <w:szCs w:val="20"/>
              </w:rPr>
            </w:pPr>
            <w:r w:rsidRPr="00A77AF6">
              <w:rPr>
                <w:rFonts w:cs="Arial"/>
                <w:sz w:val="20"/>
                <w:szCs w:val="20"/>
              </w:rPr>
              <w:t>Main Code</w:t>
            </w:r>
          </w:p>
          <w:p w14:paraId="4CA6B538" w14:textId="77777777" w:rsidR="009817FF" w:rsidRPr="00A77AF6" w:rsidRDefault="009817FF" w:rsidP="004874DF">
            <w:pPr>
              <w:spacing w:line="276" w:lineRule="auto"/>
              <w:rPr>
                <w:rFonts w:cs="Arial"/>
                <w:sz w:val="20"/>
                <w:szCs w:val="20"/>
              </w:rPr>
            </w:pPr>
          </w:p>
        </w:tc>
        <w:tc>
          <w:tcPr>
            <w:tcW w:w="4317" w:type="dxa"/>
            <w:tcBorders>
              <w:bottom w:val="single" w:sz="4" w:space="0" w:color="auto"/>
            </w:tcBorders>
            <w:shd w:val="clear" w:color="auto" w:fill="D9D9D9" w:themeFill="background1" w:themeFillShade="D9"/>
          </w:tcPr>
          <w:p w14:paraId="32830674" w14:textId="77777777" w:rsidR="009817FF" w:rsidRPr="00A77AF6" w:rsidRDefault="009817FF" w:rsidP="004874DF">
            <w:pPr>
              <w:spacing w:line="276" w:lineRule="auto"/>
              <w:rPr>
                <w:rFonts w:cs="Arial"/>
                <w:sz w:val="20"/>
                <w:szCs w:val="20"/>
              </w:rPr>
            </w:pPr>
            <w:r w:rsidRPr="00A77AF6">
              <w:rPr>
                <w:rFonts w:cs="Arial"/>
                <w:sz w:val="20"/>
                <w:szCs w:val="20"/>
              </w:rPr>
              <w:t>Sub codes</w:t>
            </w:r>
          </w:p>
        </w:tc>
        <w:tc>
          <w:tcPr>
            <w:tcW w:w="960" w:type="dxa"/>
            <w:tcBorders>
              <w:bottom w:val="single" w:sz="4" w:space="0" w:color="auto"/>
            </w:tcBorders>
            <w:shd w:val="clear" w:color="auto" w:fill="D9D9D9" w:themeFill="background1" w:themeFillShade="D9"/>
          </w:tcPr>
          <w:p w14:paraId="679B5333" w14:textId="77777777" w:rsidR="009817FF" w:rsidRPr="00A77AF6" w:rsidRDefault="009817FF" w:rsidP="004874DF">
            <w:pPr>
              <w:spacing w:line="276" w:lineRule="auto"/>
              <w:rPr>
                <w:rFonts w:cs="Arial"/>
                <w:sz w:val="20"/>
                <w:szCs w:val="20"/>
              </w:rPr>
            </w:pPr>
            <w:r w:rsidRPr="00A77AF6">
              <w:rPr>
                <w:rFonts w:ascii="Calibri" w:hAnsi="Calibri" w:cs="Arial"/>
                <w:sz w:val="20"/>
              </w:rPr>
              <w:t>No. of mentions</w:t>
            </w:r>
          </w:p>
        </w:tc>
        <w:tc>
          <w:tcPr>
            <w:tcW w:w="1618" w:type="dxa"/>
            <w:tcBorders>
              <w:bottom w:val="single" w:sz="4" w:space="0" w:color="auto"/>
            </w:tcBorders>
            <w:shd w:val="clear" w:color="auto" w:fill="D9D9D9" w:themeFill="background1" w:themeFillShade="D9"/>
          </w:tcPr>
          <w:p w14:paraId="4CD3BB2C" w14:textId="77777777" w:rsidR="009817FF" w:rsidRPr="00A77AF6" w:rsidRDefault="009817FF" w:rsidP="004874DF">
            <w:pPr>
              <w:spacing w:line="276" w:lineRule="auto"/>
              <w:rPr>
                <w:rFonts w:cs="Arial"/>
                <w:sz w:val="20"/>
                <w:szCs w:val="20"/>
              </w:rPr>
            </w:pPr>
            <w:r w:rsidRPr="00A77AF6">
              <w:rPr>
                <w:rFonts w:ascii="Calibri" w:hAnsi="Calibri" w:cs="Arial"/>
                <w:sz w:val="20"/>
              </w:rPr>
              <w:t>Total mentions</w:t>
            </w:r>
          </w:p>
        </w:tc>
      </w:tr>
      <w:tr w:rsidR="009817FF" w:rsidRPr="00A77AF6" w14:paraId="4B8D6543" w14:textId="77777777" w:rsidTr="004874DF">
        <w:tc>
          <w:tcPr>
            <w:tcW w:w="1882" w:type="dxa"/>
            <w:tcBorders>
              <w:right w:val="single" w:sz="4" w:space="0" w:color="auto"/>
            </w:tcBorders>
          </w:tcPr>
          <w:p w14:paraId="7A4427DC" w14:textId="77777777" w:rsidR="009817FF" w:rsidRPr="00A77AF6" w:rsidRDefault="009817FF" w:rsidP="004874DF">
            <w:pPr>
              <w:spacing w:line="276" w:lineRule="auto"/>
              <w:rPr>
                <w:rFonts w:cs="Arial"/>
                <w:sz w:val="20"/>
                <w:szCs w:val="20"/>
              </w:rPr>
            </w:pPr>
            <w:r w:rsidRPr="00A77AF6">
              <w:rPr>
                <w:rFonts w:cs="Arial"/>
                <w:sz w:val="20"/>
                <w:szCs w:val="20"/>
              </w:rPr>
              <w:t>Quality is the most important criteria</w:t>
            </w:r>
          </w:p>
        </w:tc>
        <w:tc>
          <w:tcPr>
            <w:tcW w:w="4317" w:type="dxa"/>
            <w:tcBorders>
              <w:top w:val="single" w:sz="4" w:space="0" w:color="auto"/>
              <w:left w:val="single" w:sz="4" w:space="0" w:color="auto"/>
              <w:bottom w:val="single" w:sz="4" w:space="0" w:color="auto"/>
              <w:right w:val="single" w:sz="4" w:space="0" w:color="auto"/>
            </w:tcBorders>
            <w:vAlign w:val="center"/>
          </w:tcPr>
          <w:p w14:paraId="23BA1171" w14:textId="77777777" w:rsidR="009817FF" w:rsidRPr="00A77AF6" w:rsidRDefault="009817FF" w:rsidP="004874DF">
            <w:pPr>
              <w:spacing w:line="276" w:lineRule="auto"/>
              <w:rPr>
                <w:rFonts w:cs="Arial"/>
                <w:sz w:val="20"/>
                <w:szCs w:val="20"/>
              </w:rPr>
            </w:pPr>
            <w:r w:rsidRPr="00A77AF6">
              <w:rPr>
                <w:rFonts w:cs="Arial"/>
                <w:sz w:val="20"/>
                <w:szCs w:val="20"/>
              </w:rPr>
              <w:t>Quality</w:t>
            </w:r>
          </w:p>
        </w:tc>
        <w:tc>
          <w:tcPr>
            <w:tcW w:w="960" w:type="dxa"/>
            <w:tcBorders>
              <w:top w:val="single" w:sz="4" w:space="0" w:color="auto"/>
              <w:left w:val="single" w:sz="4" w:space="0" w:color="auto"/>
              <w:bottom w:val="single" w:sz="4" w:space="0" w:color="auto"/>
              <w:right w:val="single" w:sz="4" w:space="0" w:color="auto"/>
            </w:tcBorders>
            <w:vAlign w:val="center"/>
          </w:tcPr>
          <w:p w14:paraId="343BF2E5" w14:textId="77777777" w:rsidR="009817FF" w:rsidRPr="00A77AF6" w:rsidRDefault="009817FF" w:rsidP="004874DF">
            <w:pPr>
              <w:spacing w:line="276" w:lineRule="auto"/>
              <w:rPr>
                <w:rFonts w:cs="Arial"/>
                <w:sz w:val="20"/>
                <w:szCs w:val="20"/>
              </w:rPr>
            </w:pPr>
            <w:r w:rsidRPr="00A77AF6">
              <w:rPr>
                <w:rFonts w:cs="Arial"/>
                <w:sz w:val="20"/>
                <w:szCs w:val="20"/>
              </w:rPr>
              <w:t>3</w:t>
            </w:r>
          </w:p>
        </w:tc>
        <w:tc>
          <w:tcPr>
            <w:tcW w:w="1618" w:type="dxa"/>
            <w:tcBorders>
              <w:left w:val="single" w:sz="4" w:space="0" w:color="auto"/>
            </w:tcBorders>
            <w:vAlign w:val="center"/>
          </w:tcPr>
          <w:p w14:paraId="7AE202AB" w14:textId="77777777" w:rsidR="009817FF" w:rsidRPr="00A77AF6" w:rsidRDefault="009817FF" w:rsidP="004874DF">
            <w:pPr>
              <w:keepNext/>
              <w:spacing w:line="276" w:lineRule="auto"/>
              <w:jc w:val="center"/>
              <w:rPr>
                <w:rFonts w:cs="Arial"/>
                <w:sz w:val="20"/>
                <w:szCs w:val="20"/>
              </w:rPr>
            </w:pPr>
            <w:r w:rsidRPr="00A77AF6">
              <w:rPr>
                <w:rFonts w:cs="Arial"/>
                <w:sz w:val="20"/>
                <w:szCs w:val="20"/>
              </w:rPr>
              <w:t>3</w:t>
            </w:r>
          </w:p>
        </w:tc>
      </w:tr>
    </w:tbl>
    <w:p w14:paraId="27831973" w14:textId="29B016F4" w:rsidR="005F5B62" w:rsidRPr="00484126" w:rsidRDefault="009817FF" w:rsidP="00484126">
      <w:pPr>
        <w:spacing w:before="240" w:after="0" w:line="360" w:lineRule="auto"/>
      </w:pPr>
      <w:r w:rsidRPr="00A77AF6">
        <w:t xml:space="preserve">This view was borne out in the e-survey which showed that 80% of project met quality criteria. The responses about meeting targets in the project and operational phases point to the pre-eminence of quality as a target.  </w:t>
      </w:r>
      <w:r w:rsidR="00B63654" w:rsidRPr="00A77AF6">
        <w:t>Q</w:t>
      </w:r>
      <w:r w:rsidR="00570328" w:rsidRPr="00A77AF6">
        <w:t>uality of the building was described in several ways: the</w:t>
      </w:r>
      <w:r w:rsidR="00B63654" w:rsidRPr="00A77AF6">
        <w:t xml:space="preserve"> right sized building, a better experience for patients, efficiencies for the NHS and delivering planned benefits.  </w:t>
      </w:r>
      <w:r w:rsidR="005F5B62" w:rsidRPr="00A77AF6">
        <w:rPr>
          <w:rFonts w:ascii="Calibri" w:hAnsi="Calibri" w:cs="Arial"/>
        </w:rPr>
        <w:t xml:space="preserve">Missing cost targets or time targets by a few weeks in the project management phase, is not as important as missing quality targets, because the build period is short compared to an operational phase of perhaps 60 years.  That is not to say that time and cost are unimportant, but they are not equal to the quality of the product you are left with. </w:t>
      </w:r>
    </w:p>
    <w:p w14:paraId="760AB0B2" w14:textId="3696371B" w:rsidR="0038650B" w:rsidRPr="00A77AF6" w:rsidRDefault="005F5B62" w:rsidP="00B63654">
      <w:pPr>
        <w:ind w:left="720"/>
      </w:pPr>
      <w:r w:rsidRPr="00A77AF6">
        <w:rPr>
          <w:rFonts w:ascii="Calibri" w:hAnsi="Calibri" w:cs="Arial"/>
          <w:i/>
        </w:rPr>
        <w:t>‘the focus always has to be on getting the whole hospital working how you envisaged it to work</w:t>
      </w:r>
      <w:r w:rsidR="0089212D" w:rsidRPr="00A77AF6">
        <w:rPr>
          <w:rFonts w:ascii="Calibri" w:hAnsi="Calibri" w:cs="Arial"/>
          <w:i/>
        </w:rPr>
        <w:t>……</w:t>
      </w:r>
      <w:r w:rsidRPr="00A77AF6">
        <w:rPr>
          <w:rFonts w:ascii="Calibri" w:hAnsi="Calibri" w:cs="Arial"/>
          <w:i/>
        </w:rPr>
        <w:t xml:space="preserve"> so you might get that slightly wrong, but if you’re in a better position at the end </w:t>
      </w:r>
      <w:r w:rsidR="0089212D" w:rsidRPr="00A77AF6">
        <w:rPr>
          <w:rFonts w:ascii="Calibri" w:hAnsi="Calibri" w:cs="Arial"/>
          <w:i/>
        </w:rPr>
        <w:t>…</w:t>
      </w:r>
      <w:r w:rsidRPr="00A77AF6">
        <w:rPr>
          <w:rFonts w:ascii="Calibri" w:hAnsi="Calibri" w:cs="Arial"/>
          <w:i/>
        </w:rPr>
        <w:t xml:space="preserve"> I think that’s where we should be</w:t>
      </w:r>
      <w:r w:rsidR="00461471" w:rsidRPr="00A77AF6">
        <w:rPr>
          <w:rFonts w:ascii="Calibri" w:hAnsi="Calibri" w:cs="Arial"/>
          <w:i/>
        </w:rPr>
        <w:t>’</w:t>
      </w:r>
      <w:r w:rsidR="00B63654" w:rsidRPr="00A77AF6">
        <w:rPr>
          <w:rFonts w:ascii="Calibri" w:hAnsi="Calibri" w:cs="Arial"/>
          <w:i/>
        </w:rPr>
        <w:t xml:space="preserve"> (Expert E)</w:t>
      </w:r>
    </w:p>
    <w:p w14:paraId="266477C8" w14:textId="72974B00" w:rsidR="00B63654" w:rsidRPr="00A77AF6" w:rsidRDefault="00870ECF" w:rsidP="00484126">
      <w:pPr>
        <w:spacing w:before="240" w:after="120" w:line="360" w:lineRule="auto"/>
      </w:pPr>
      <w:r w:rsidRPr="00A77AF6">
        <w:rPr>
          <w:rFonts w:eastAsia="Times New Roman" w:cstheme="minorHAnsi"/>
          <w:color w:val="000000"/>
          <w:lang w:eastAsia="en-GB"/>
        </w:rPr>
        <w:lastRenderedPageBreak/>
        <w:t xml:space="preserve">Expert B suggested that from a project failure would be one where a building failed to deliver the model of care or to provide a therapeutic environment, that is a failure to meet quality rather than time and cost.  </w:t>
      </w:r>
      <w:r w:rsidR="00484126">
        <w:rPr>
          <w:rFonts w:eastAsia="Times New Roman" w:cstheme="minorHAnsi"/>
          <w:color w:val="000000"/>
          <w:lang w:eastAsia="en-GB"/>
        </w:rPr>
        <w:t xml:space="preserve">Whilst another </w:t>
      </w:r>
      <w:r w:rsidR="00B63654" w:rsidRPr="00A77AF6">
        <w:t xml:space="preserve">respondent suggested that the relative importance of time, cost and quality should be determined early in the project so that the parameters we known right from the beginning (Table </w:t>
      </w:r>
      <w:r w:rsidR="00CE469C" w:rsidRPr="00A77AF6">
        <w:t>7-15</w:t>
      </w:r>
      <w:r w:rsidR="00B63654" w:rsidRPr="00A77AF6">
        <w:t xml:space="preserve">). </w:t>
      </w:r>
    </w:p>
    <w:p w14:paraId="7753F836" w14:textId="600B02AD" w:rsidR="00B63654" w:rsidRPr="00A77AF6" w:rsidRDefault="00B63654" w:rsidP="00CE469C">
      <w:pPr>
        <w:pStyle w:val="Caption"/>
        <w:keepNext/>
        <w:spacing w:after="120"/>
      </w:pPr>
      <w:r w:rsidRPr="00A77AF6">
        <w:t xml:space="preserve">Table </w:t>
      </w:r>
      <w:fldSimple w:instr=" STYLEREF 1 \s ">
        <w:r w:rsidR="000441F7">
          <w:rPr>
            <w:noProof/>
          </w:rPr>
          <w:t>7</w:t>
        </w:r>
      </w:fldSimple>
      <w:r w:rsidR="00804112">
        <w:noBreakHyphen/>
      </w:r>
      <w:fldSimple w:instr=" SEQ Table \* ARABIC \s 1 ">
        <w:r w:rsidR="000441F7">
          <w:rPr>
            <w:noProof/>
          </w:rPr>
          <w:t>15</w:t>
        </w:r>
      </w:fldSimple>
      <w:r w:rsidRPr="00A77AF6">
        <w:t>: Other</w:t>
      </w:r>
    </w:p>
    <w:tbl>
      <w:tblPr>
        <w:tblStyle w:val="TableGrid"/>
        <w:tblW w:w="0" w:type="auto"/>
        <w:tblLook w:val="04A0" w:firstRow="1" w:lastRow="0" w:firstColumn="1" w:lastColumn="0" w:noHBand="0" w:noVBand="1"/>
      </w:tblPr>
      <w:tblGrid>
        <w:gridCol w:w="1877"/>
        <w:gridCol w:w="4302"/>
        <w:gridCol w:w="983"/>
        <w:gridCol w:w="1615"/>
      </w:tblGrid>
      <w:tr w:rsidR="00B63654" w:rsidRPr="00A77AF6" w14:paraId="5A835CB9" w14:textId="77777777" w:rsidTr="00B604D5">
        <w:tc>
          <w:tcPr>
            <w:tcW w:w="1877" w:type="dxa"/>
            <w:shd w:val="clear" w:color="auto" w:fill="D9D9D9" w:themeFill="background1" w:themeFillShade="D9"/>
          </w:tcPr>
          <w:p w14:paraId="6B663789" w14:textId="77777777" w:rsidR="00B63654" w:rsidRPr="00A77AF6" w:rsidRDefault="00B63654" w:rsidP="00B604D5">
            <w:pPr>
              <w:spacing w:line="276" w:lineRule="auto"/>
              <w:rPr>
                <w:rFonts w:cs="Arial"/>
                <w:sz w:val="20"/>
                <w:szCs w:val="20"/>
              </w:rPr>
            </w:pPr>
            <w:r w:rsidRPr="00A77AF6">
              <w:rPr>
                <w:rFonts w:cs="Arial"/>
                <w:sz w:val="20"/>
                <w:szCs w:val="20"/>
              </w:rPr>
              <w:t>Main Code</w:t>
            </w:r>
          </w:p>
          <w:p w14:paraId="4B6D6FCA" w14:textId="77777777" w:rsidR="00B63654" w:rsidRPr="00A77AF6" w:rsidRDefault="00B63654" w:rsidP="00B604D5">
            <w:pPr>
              <w:spacing w:line="276" w:lineRule="auto"/>
              <w:rPr>
                <w:rFonts w:cs="Arial"/>
                <w:sz w:val="20"/>
                <w:szCs w:val="20"/>
              </w:rPr>
            </w:pPr>
          </w:p>
        </w:tc>
        <w:tc>
          <w:tcPr>
            <w:tcW w:w="4302" w:type="dxa"/>
            <w:tcBorders>
              <w:bottom w:val="single" w:sz="4" w:space="0" w:color="auto"/>
            </w:tcBorders>
            <w:shd w:val="clear" w:color="auto" w:fill="D9D9D9" w:themeFill="background1" w:themeFillShade="D9"/>
          </w:tcPr>
          <w:p w14:paraId="40667D50" w14:textId="77777777" w:rsidR="00B63654" w:rsidRPr="00A77AF6" w:rsidRDefault="00B63654" w:rsidP="00B604D5">
            <w:pPr>
              <w:spacing w:line="276" w:lineRule="auto"/>
              <w:rPr>
                <w:rFonts w:cs="Arial"/>
                <w:sz w:val="20"/>
                <w:szCs w:val="20"/>
              </w:rPr>
            </w:pPr>
            <w:r w:rsidRPr="00A77AF6">
              <w:rPr>
                <w:rFonts w:cs="Arial"/>
                <w:sz w:val="20"/>
                <w:szCs w:val="20"/>
              </w:rPr>
              <w:t>Sub codes</w:t>
            </w:r>
          </w:p>
        </w:tc>
        <w:tc>
          <w:tcPr>
            <w:tcW w:w="983" w:type="dxa"/>
            <w:tcBorders>
              <w:bottom w:val="single" w:sz="4" w:space="0" w:color="auto"/>
            </w:tcBorders>
            <w:shd w:val="clear" w:color="auto" w:fill="D9D9D9" w:themeFill="background1" w:themeFillShade="D9"/>
          </w:tcPr>
          <w:p w14:paraId="36E2333D" w14:textId="77777777" w:rsidR="00B63654" w:rsidRPr="00A77AF6" w:rsidRDefault="00B63654" w:rsidP="00B604D5">
            <w:pPr>
              <w:spacing w:line="276" w:lineRule="auto"/>
              <w:rPr>
                <w:rFonts w:cs="Arial"/>
                <w:sz w:val="20"/>
                <w:szCs w:val="20"/>
              </w:rPr>
            </w:pPr>
            <w:r w:rsidRPr="00A77AF6">
              <w:rPr>
                <w:rFonts w:ascii="Calibri" w:hAnsi="Calibri" w:cs="Arial"/>
                <w:sz w:val="20"/>
              </w:rPr>
              <w:t>No. of mentions</w:t>
            </w:r>
          </w:p>
        </w:tc>
        <w:tc>
          <w:tcPr>
            <w:tcW w:w="1615" w:type="dxa"/>
            <w:shd w:val="clear" w:color="auto" w:fill="D9D9D9" w:themeFill="background1" w:themeFillShade="D9"/>
          </w:tcPr>
          <w:p w14:paraId="1ED48873" w14:textId="77777777" w:rsidR="00B63654" w:rsidRPr="00A77AF6" w:rsidRDefault="00B63654" w:rsidP="00B604D5">
            <w:pPr>
              <w:spacing w:line="276" w:lineRule="auto"/>
              <w:rPr>
                <w:rFonts w:cs="Arial"/>
                <w:sz w:val="20"/>
                <w:szCs w:val="20"/>
              </w:rPr>
            </w:pPr>
            <w:r w:rsidRPr="00A77AF6">
              <w:rPr>
                <w:rFonts w:ascii="Calibri" w:hAnsi="Calibri" w:cs="Arial"/>
                <w:sz w:val="20"/>
              </w:rPr>
              <w:t>Total mentions</w:t>
            </w:r>
          </w:p>
        </w:tc>
      </w:tr>
      <w:tr w:rsidR="00B63654" w:rsidRPr="00A77AF6" w14:paraId="6DEB6021" w14:textId="77777777" w:rsidTr="00B604D5">
        <w:tc>
          <w:tcPr>
            <w:tcW w:w="1877" w:type="dxa"/>
          </w:tcPr>
          <w:p w14:paraId="7C8900D7" w14:textId="448BA952" w:rsidR="00B63654" w:rsidRPr="00A77AF6" w:rsidRDefault="00B63654" w:rsidP="00B604D5">
            <w:pPr>
              <w:spacing w:line="276" w:lineRule="auto"/>
              <w:rPr>
                <w:rFonts w:cs="Arial"/>
                <w:sz w:val="20"/>
                <w:szCs w:val="20"/>
              </w:rPr>
            </w:pPr>
            <w:r w:rsidRPr="00A77AF6">
              <w:rPr>
                <w:rFonts w:cs="Arial"/>
                <w:sz w:val="20"/>
                <w:szCs w:val="20"/>
              </w:rPr>
              <w:t>Weighting the iron triangle</w:t>
            </w:r>
          </w:p>
        </w:tc>
        <w:tc>
          <w:tcPr>
            <w:tcW w:w="4302" w:type="dxa"/>
            <w:tcBorders>
              <w:top w:val="single" w:sz="4" w:space="0" w:color="auto"/>
              <w:bottom w:val="single" w:sz="4" w:space="0" w:color="auto"/>
              <w:right w:val="dotted" w:sz="4" w:space="0" w:color="auto"/>
            </w:tcBorders>
          </w:tcPr>
          <w:p w14:paraId="2EF23DEE" w14:textId="77777777" w:rsidR="00B63654" w:rsidRPr="00A77AF6" w:rsidRDefault="00B63654" w:rsidP="00B604D5">
            <w:pPr>
              <w:spacing w:line="276" w:lineRule="auto"/>
              <w:rPr>
                <w:rFonts w:cs="Arial"/>
                <w:sz w:val="20"/>
                <w:szCs w:val="20"/>
              </w:rPr>
            </w:pPr>
            <w:r w:rsidRPr="00A77AF6">
              <w:rPr>
                <w:rFonts w:cs="Arial"/>
                <w:sz w:val="20"/>
                <w:szCs w:val="20"/>
              </w:rPr>
              <w:t>Time, cost and quality should be weighted at the start of the project to identify which is the most important criteria</w:t>
            </w:r>
          </w:p>
        </w:tc>
        <w:tc>
          <w:tcPr>
            <w:tcW w:w="983" w:type="dxa"/>
            <w:tcBorders>
              <w:top w:val="single" w:sz="4" w:space="0" w:color="auto"/>
              <w:left w:val="dotted" w:sz="4" w:space="0" w:color="auto"/>
              <w:bottom w:val="single" w:sz="4" w:space="0" w:color="auto"/>
            </w:tcBorders>
          </w:tcPr>
          <w:p w14:paraId="1E3E96D3" w14:textId="77777777" w:rsidR="00B63654" w:rsidRPr="00A77AF6" w:rsidRDefault="00B63654" w:rsidP="00B604D5">
            <w:pPr>
              <w:spacing w:line="276" w:lineRule="auto"/>
              <w:rPr>
                <w:rFonts w:cs="Arial"/>
                <w:sz w:val="20"/>
                <w:szCs w:val="20"/>
              </w:rPr>
            </w:pPr>
            <w:r w:rsidRPr="00A77AF6">
              <w:rPr>
                <w:rFonts w:cs="Arial"/>
                <w:sz w:val="20"/>
                <w:szCs w:val="20"/>
              </w:rPr>
              <w:t>1</w:t>
            </w:r>
          </w:p>
        </w:tc>
        <w:tc>
          <w:tcPr>
            <w:tcW w:w="1615" w:type="dxa"/>
            <w:vAlign w:val="center"/>
          </w:tcPr>
          <w:p w14:paraId="622CDB71" w14:textId="77777777" w:rsidR="00B63654" w:rsidRPr="00A77AF6" w:rsidRDefault="00B63654" w:rsidP="00B604D5">
            <w:pPr>
              <w:keepNext/>
              <w:spacing w:line="276" w:lineRule="auto"/>
              <w:jc w:val="center"/>
              <w:rPr>
                <w:rFonts w:cs="Arial"/>
                <w:sz w:val="20"/>
                <w:szCs w:val="20"/>
              </w:rPr>
            </w:pPr>
            <w:r w:rsidRPr="00A77AF6">
              <w:rPr>
                <w:rFonts w:cs="Arial"/>
                <w:sz w:val="20"/>
                <w:szCs w:val="20"/>
              </w:rPr>
              <w:t>1</w:t>
            </w:r>
          </w:p>
        </w:tc>
      </w:tr>
    </w:tbl>
    <w:p w14:paraId="1427675C" w14:textId="31252CEC" w:rsidR="00137A33" w:rsidRPr="00A77AF6" w:rsidRDefault="00B63654" w:rsidP="0089212D">
      <w:pPr>
        <w:spacing w:before="240" w:line="360" w:lineRule="auto"/>
        <w:rPr>
          <w:rFonts w:ascii="Calibri" w:hAnsi="Calibri" w:cs="Arial"/>
          <w:i/>
        </w:rPr>
      </w:pPr>
      <w:r w:rsidRPr="00A77AF6">
        <w:t>Expert D s</w:t>
      </w:r>
      <w:r w:rsidR="00484126">
        <w:t>t</w:t>
      </w:r>
      <w:r w:rsidRPr="00A77AF6">
        <w:t xml:space="preserve">ated that the classic triangle has not changed over time and argued that it is very important to consider the time, cost and quality triangle early in a project.  Expert D suggested that element of the iron triangle should be weighted which means that on some projects time would carry more weight than cost or quality and on other projects the weighting could be different. </w:t>
      </w:r>
      <w:r w:rsidR="00137A33" w:rsidRPr="00A77AF6">
        <w:rPr>
          <w:rFonts w:ascii="Calibri" w:hAnsi="Calibri" w:cs="Arial"/>
          <w:i/>
        </w:rPr>
        <w:t xml:space="preserve"> </w:t>
      </w:r>
    </w:p>
    <w:p w14:paraId="7AB47360" w14:textId="24D5D835" w:rsidR="00137A33" w:rsidRPr="00A77AF6" w:rsidRDefault="00BD5EFE" w:rsidP="0089212D">
      <w:pPr>
        <w:pStyle w:val="Heading2"/>
        <w:spacing w:after="120"/>
      </w:pPr>
      <w:bookmarkStart w:id="192" w:name="_Toc36275145"/>
      <w:r w:rsidRPr="00A77AF6">
        <w:t>Key themes emerging from the interviews</w:t>
      </w:r>
      <w:bookmarkEnd w:id="192"/>
    </w:p>
    <w:p w14:paraId="5F7103B9" w14:textId="7525C44F" w:rsidR="00CE469C" w:rsidRPr="00A77AF6" w:rsidRDefault="00F649EF" w:rsidP="0089212D">
      <w:pPr>
        <w:spacing w:line="360" w:lineRule="auto"/>
        <w:rPr>
          <w:rFonts w:ascii="Calibri" w:hAnsi="Calibri" w:cs="Arial"/>
        </w:rPr>
      </w:pPr>
      <w:r w:rsidRPr="00A77AF6">
        <w:t xml:space="preserve">Table </w:t>
      </w:r>
      <w:r w:rsidR="00CE469C" w:rsidRPr="00A77AF6">
        <w:t>7-16</w:t>
      </w:r>
      <w:r w:rsidRPr="00A77AF6">
        <w:t xml:space="preserve"> summarises the </w:t>
      </w:r>
      <w:r w:rsidR="002C5FE0" w:rsidRPr="00A77AF6">
        <w:t>factors that explain</w:t>
      </w:r>
      <w:r w:rsidRPr="00A77AF6">
        <w:t xml:space="preserve"> ethical predisposition, the relative effectiveness of corporate and project governance and the measure of project success, which have been discussed above.</w:t>
      </w:r>
      <w:r w:rsidR="002C5FE0" w:rsidRPr="00A77AF6">
        <w:t xml:space="preserve"> Experts </w:t>
      </w:r>
      <w:r w:rsidR="0089212D" w:rsidRPr="00A77AF6">
        <w:rPr>
          <w:rFonts w:ascii="Calibri" w:hAnsi="Calibri" w:cs="Arial"/>
        </w:rPr>
        <w:t xml:space="preserve">suggested three reasons </w:t>
      </w:r>
      <w:r w:rsidR="002C5FE0" w:rsidRPr="00A77AF6">
        <w:rPr>
          <w:rFonts w:ascii="Calibri" w:hAnsi="Calibri" w:cs="Arial"/>
        </w:rPr>
        <w:t xml:space="preserve">for the predominance of formalism: </w:t>
      </w:r>
      <w:r w:rsidR="0089212D" w:rsidRPr="00A77AF6">
        <w:rPr>
          <w:rFonts w:ascii="Calibri" w:hAnsi="Calibri" w:cs="Arial"/>
        </w:rPr>
        <w:t xml:space="preserve"> NHS culture, project process</w:t>
      </w:r>
      <w:r w:rsidR="002C5FE0" w:rsidRPr="00A77AF6">
        <w:rPr>
          <w:rFonts w:ascii="Calibri" w:hAnsi="Calibri" w:cs="Arial"/>
        </w:rPr>
        <w:t>es</w:t>
      </w:r>
      <w:r w:rsidR="0089212D" w:rsidRPr="00A77AF6">
        <w:rPr>
          <w:rFonts w:ascii="Calibri" w:hAnsi="Calibri" w:cs="Arial"/>
        </w:rPr>
        <w:t xml:space="preserve"> and personal values.  </w:t>
      </w:r>
      <w:r w:rsidR="002C5FE0" w:rsidRPr="00A77AF6">
        <w:rPr>
          <w:rFonts w:ascii="Calibri" w:hAnsi="Calibri" w:cs="Arial"/>
        </w:rPr>
        <w:t>Explanations fo</w:t>
      </w:r>
      <w:r w:rsidR="0089212D" w:rsidRPr="00A77AF6">
        <w:rPr>
          <w:rFonts w:ascii="Calibri" w:hAnsi="Calibri" w:cs="Arial"/>
        </w:rPr>
        <w:t xml:space="preserve">r the way governance is done </w:t>
      </w:r>
      <w:r w:rsidR="002C5FE0" w:rsidRPr="00A77AF6">
        <w:rPr>
          <w:rFonts w:ascii="Calibri" w:hAnsi="Calibri" w:cs="Arial"/>
        </w:rPr>
        <w:t xml:space="preserve">concentrated </w:t>
      </w:r>
      <w:r w:rsidR="0089212D" w:rsidRPr="00A77AF6">
        <w:rPr>
          <w:rFonts w:ascii="Calibri" w:hAnsi="Calibri" w:cs="Arial"/>
        </w:rPr>
        <w:t xml:space="preserve">on the performance </w:t>
      </w:r>
      <w:r w:rsidR="002C5FE0" w:rsidRPr="00A77AF6">
        <w:rPr>
          <w:rFonts w:ascii="Calibri" w:hAnsi="Calibri" w:cs="Arial"/>
        </w:rPr>
        <w:t xml:space="preserve">of </w:t>
      </w:r>
      <w:r w:rsidR="0089212D" w:rsidRPr="00A77AF6">
        <w:rPr>
          <w:rFonts w:ascii="Calibri" w:hAnsi="Calibri" w:cs="Arial"/>
        </w:rPr>
        <w:t>trust and project boards and the interface between the two, which created the possibility for miscommunication and lack of project effective oversight. The measurement of project success appeared to lack consistency</w:t>
      </w:r>
      <w:r w:rsidR="00C944D5" w:rsidRPr="00A77AF6">
        <w:rPr>
          <w:rFonts w:ascii="Calibri" w:hAnsi="Calibri" w:cs="Arial"/>
        </w:rPr>
        <w:t>, both in definition (what constitutes success), when it should be measured and by whom.  These are well-rehearsed discussions in the literature.  This study suggests that project team members believe that quality is most important factor although cost and time are easier to measure.  The judgment of long-term success is the responsibility of the client but formal reflection on project performance</w:t>
      </w:r>
      <w:r w:rsidR="00E316D8" w:rsidRPr="00A77AF6">
        <w:rPr>
          <w:rFonts w:ascii="Calibri" w:hAnsi="Calibri" w:cs="Arial"/>
        </w:rPr>
        <w:t xml:space="preserve"> through post occupancy evaluations do not appear to be routinely carried out. </w:t>
      </w:r>
      <w:r w:rsidR="00C944D5" w:rsidRPr="00A77AF6">
        <w:rPr>
          <w:rFonts w:ascii="Calibri" w:hAnsi="Calibri" w:cs="Arial"/>
        </w:rPr>
        <w:t xml:space="preserve"> </w:t>
      </w:r>
    </w:p>
    <w:p w14:paraId="3E6CE662" w14:textId="2E687D9D" w:rsidR="00CE469C" w:rsidRPr="00A77AF6" w:rsidRDefault="00CE469C">
      <w:pPr>
        <w:rPr>
          <w:rFonts w:ascii="Calibri" w:hAnsi="Calibri" w:cs="Arial"/>
        </w:rPr>
      </w:pPr>
    </w:p>
    <w:p w14:paraId="7C950EF0" w14:textId="45EA6E29" w:rsidR="002C5FE0" w:rsidRPr="00A77AF6" w:rsidRDefault="002C5FE0" w:rsidP="00CE469C">
      <w:pPr>
        <w:pStyle w:val="Caption"/>
        <w:keepNext/>
        <w:spacing w:after="120"/>
      </w:pPr>
      <w:r w:rsidRPr="00A77AF6">
        <w:t xml:space="preserve">Table </w:t>
      </w:r>
      <w:fldSimple w:instr=" STYLEREF 1 \s ">
        <w:r w:rsidR="000441F7">
          <w:rPr>
            <w:noProof/>
          </w:rPr>
          <w:t>7</w:t>
        </w:r>
      </w:fldSimple>
      <w:r w:rsidR="00804112">
        <w:noBreakHyphen/>
      </w:r>
      <w:fldSimple w:instr=" SEQ Table \* ARABIC \s 1 ">
        <w:r w:rsidR="000441F7">
          <w:rPr>
            <w:noProof/>
          </w:rPr>
          <w:t>16</w:t>
        </w:r>
      </w:fldSimple>
      <w:r w:rsidRPr="00A77AF6">
        <w:t>: Summary of influences on ethics, governance and measures of success</w:t>
      </w:r>
    </w:p>
    <w:tbl>
      <w:tblPr>
        <w:tblStyle w:val="TableGrid"/>
        <w:tblW w:w="8217" w:type="dxa"/>
        <w:tblLayout w:type="fixed"/>
        <w:tblLook w:val="04A0" w:firstRow="1" w:lastRow="0" w:firstColumn="1" w:lastColumn="0" w:noHBand="0" w:noVBand="1"/>
      </w:tblPr>
      <w:tblGrid>
        <w:gridCol w:w="1555"/>
        <w:gridCol w:w="1134"/>
        <w:gridCol w:w="1275"/>
        <w:gridCol w:w="1134"/>
        <w:gridCol w:w="993"/>
        <w:gridCol w:w="992"/>
        <w:gridCol w:w="1134"/>
      </w:tblGrid>
      <w:tr w:rsidR="002C5FE0" w:rsidRPr="00A77AF6" w14:paraId="4B4AA866" w14:textId="77777777" w:rsidTr="00D440E3">
        <w:tc>
          <w:tcPr>
            <w:tcW w:w="1555" w:type="dxa"/>
            <w:shd w:val="clear" w:color="auto" w:fill="D9D9D9" w:themeFill="background1" w:themeFillShade="D9"/>
          </w:tcPr>
          <w:p w14:paraId="7D6B1015" w14:textId="77777777" w:rsidR="002C5FE0" w:rsidRPr="00A77AF6" w:rsidRDefault="002C5FE0" w:rsidP="002C5FE0">
            <w:pPr>
              <w:rPr>
                <w:sz w:val="18"/>
                <w:szCs w:val="18"/>
              </w:rPr>
            </w:pPr>
            <w:r w:rsidRPr="00A77AF6">
              <w:rPr>
                <w:sz w:val="18"/>
                <w:szCs w:val="18"/>
              </w:rPr>
              <w:t>Themes explored with experts</w:t>
            </w:r>
          </w:p>
        </w:tc>
        <w:tc>
          <w:tcPr>
            <w:tcW w:w="6662" w:type="dxa"/>
            <w:gridSpan w:val="6"/>
            <w:shd w:val="clear" w:color="auto" w:fill="D9D9D9" w:themeFill="background1" w:themeFillShade="D9"/>
          </w:tcPr>
          <w:p w14:paraId="0F55026C" w14:textId="77777777" w:rsidR="002C5FE0" w:rsidRPr="00A77AF6" w:rsidRDefault="002C5FE0" w:rsidP="002C5FE0">
            <w:pPr>
              <w:jc w:val="center"/>
              <w:rPr>
                <w:sz w:val="18"/>
                <w:szCs w:val="18"/>
              </w:rPr>
            </w:pPr>
            <w:r w:rsidRPr="00A77AF6">
              <w:rPr>
                <w:sz w:val="18"/>
                <w:szCs w:val="18"/>
              </w:rPr>
              <w:t>Main codes</w:t>
            </w:r>
          </w:p>
        </w:tc>
      </w:tr>
      <w:tr w:rsidR="002C5FE0" w:rsidRPr="00A77AF6" w14:paraId="1A589072" w14:textId="77777777" w:rsidTr="00D440E3">
        <w:tc>
          <w:tcPr>
            <w:tcW w:w="1555" w:type="dxa"/>
          </w:tcPr>
          <w:p w14:paraId="0A2B2F9E" w14:textId="77777777" w:rsidR="002C5FE0" w:rsidRPr="00A77AF6" w:rsidRDefault="002C5FE0" w:rsidP="002C5FE0">
            <w:pPr>
              <w:rPr>
                <w:sz w:val="18"/>
                <w:szCs w:val="18"/>
              </w:rPr>
            </w:pPr>
            <w:r w:rsidRPr="00A77AF6">
              <w:rPr>
                <w:sz w:val="18"/>
                <w:szCs w:val="18"/>
              </w:rPr>
              <w:t>Ethical predisposition</w:t>
            </w:r>
          </w:p>
          <w:p w14:paraId="35CE7CB7" w14:textId="77777777" w:rsidR="002C5FE0" w:rsidRPr="00A77AF6" w:rsidRDefault="002C5FE0" w:rsidP="002C5FE0">
            <w:pPr>
              <w:rPr>
                <w:sz w:val="18"/>
                <w:szCs w:val="18"/>
              </w:rPr>
            </w:pPr>
          </w:p>
        </w:tc>
        <w:tc>
          <w:tcPr>
            <w:tcW w:w="1134" w:type="dxa"/>
          </w:tcPr>
          <w:p w14:paraId="4D935AC9" w14:textId="77777777" w:rsidR="002C5FE0" w:rsidRPr="00A77AF6" w:rsidRDefault="002C5FE0" w:rsidP="002C5FE0">
            <w:pPr>
              <w:rPr>
                <w:sz w:val="18"/>
                <w:szCs w:val="18"/>
              </w:rPr>
            </w:pPr>
            <w:r w:rsidRPr="00A77AF6">
              <w:rPr>
                <w:rFonts w:ascii="Calibri" w:hAnsi="Calibri" w:cs="Arial"/>
                <w:sz w:val="18"/>
                <w:szCs w:val="18"/>
              </w:rPr>
              <w:t>NHS culture</w:t>
            </w:r>
          </w:p>
        </w:tc>
        <w:tc>
          <w:tcPr>
            <w:tcW w:w="1275" w:type="dxa"/>
          </w:tcPr>
          <w:p w14:paraId="290EB6D9" w14:textId="77777777" w:rsidR="002C5FE0" w:rsidRPr="00A77AF6" w:rsidRDefault="002C5FE0" w:rsidP="002C5FE0">
            <w:pPr>
              <w:rPr>
                <w:rFonts w:ascii="Calibri" w:hAnsi="Calibri" w:cs="Arial"/>
                <w:sz w:val="18"/>
                <w:szCs w:val="18"/>
              </w:rPr>
            </w:pPr>
            <w:r w:rsidRPr="00A77AF6">
              <w:rPr>
                <w:rFonts w:ascii="Calibri" w:hAnsi="Calibri" w:cs="Arial"/>
                <w:sz w:val="18"/>
                <w:szCs w:val="18"/>
              </w:rPr>
              <w:t>Project Process</w:t>
            </w:r>
          </w:p>
          <w:p w14:paraId="348976E7" w14:textId="77777777" w:rsidR="002C5FE0" w:rsidRPr="00A77AF6" w:rsidRDefault="002C5FE0" w:rsidP="002C5FE0">
            <w:pPr>
              <w:rPr>
                <w:sz w:val="18"/>
                <w:szCs w:val="18"/>
              </w:rPr>
            </w:pPr>
          </w:p>
        </w:tc>
        <w:tc>
          <w:tcPr>
            <w:tcW w:w="1134" w:type="dxa"/>
          </w:tcPr>
          <w:p w14:paraId="18A34E1E" w14:textId="77777777" w:rsidR="002C5FE0" w:rsidRPr="00A77AF6" w:rsidRDefault="002C5FE0" w:rsidP="002C5FE0">
            <w:pPr>
              <w:rPr>
                <w:sz w:val="18"/>
                <w:szCs w:val="18"/>
              </w:rPr>
            </w:pPr>
            <w:r w:rsidRPr="00A77AF6">
              <w:rPr>
                <w:rFonts w:ascii="Calibri" w:hAnsi="Calibri" w:cs="Arial"/>
                <w:sz w:val="18"/>
                <w:szCs w:val="18"/>
              </w:rPr>
              <w:t>Personal values</w:t>
            </w:r>
          </w:p>
        </w:tc>
        <w:tc>
          <w:tcPr>
            <w:tcW w:w="993" w:type="dxa"/>
          </w:tcPr>
          <w:p w14:paraId="4BF89257" w14:textId="77777777" w:rsidR="002C5FE0" w:rsidRPr="00A77AF6" w:rsidRDefault="002C5FE0" w:rsidP="002C5FE0">
            <w:pPr>
              <w:rPr>
                <w:sz w:val="18"/>
                <w:szCs w:val="18"/>
              </w:rPr>
            </w:pPr>
          </w:p>
        </w:tc>
        <w:tc>
          <w:tcPr>
            <w:tcW w:w="992" w:type="dxa"/>
          </w:tcPr>
          <w:p w14:paraId="1A12EB59" w14:textId="77777777" w:rsidR="002C5FE0" w:rsidRPr="00A77AF6" w:rsidRDefault="002C5FE0" w:rsidP="002C5FE0">
            <w:pPr>
              <w:rPr>
                <w:sz w:val="18"/>
                <w:szCs w:val="18"/>
              </w:rPr>
            </w:pPr>
          </w:p>
        </w:tc>
        <w:tc>
          <w:tcPr>
            <w:tcW w:w="1134" w:type="dxa"/>
          </w:tcPr>
          <w:p w14:paraId="62DB83B5" w14:textId="77777777" w:rsidR="002C5FE0" w:rsidRPr="00A77AF6" w:rsidRDefault="002C5FE0" w:rsidP="002C5FE0">
            <w:pPr>
              <w:rPr>
                <w:sz w:val="18"/>
                <w:szCs w:val="18"/>
              </w:rPr>
            </w:pPr>
          </w:p>
        </w:tc>
      </w:tr>
      <w:tr w:rsidR="002C5FE0" w:rsidRPr="00A77AF6" w14:paraId="35DC2893" w14:textId="77777777" w:rsidTr="00D440E3">
        <w:tc>
          <w:tcPr>
            <w:tcW w:w="1555" w:type="dxa"/>
          </w:tcPr>
          <w:p w14:paraId="52AA2926" w14:textId="77777777" w:rsidR="002C5FE0" w:rsidRPr="00A77AF6" w:rsidRDefault="002C5FE0" w:rsidP="002C5FE0">
            <w:pPr>
              <w:rPr>
                <w:sz w:val="18"/>
                <w:szCs w:val="18"/>
              </w:rPr>
            </w:pPr>
            <w:r w:rsidRPr="00A77AF6">
              <w:rPr>
                <w:sz w:val="18"/>
                <w:szCs w:val="18"/>
              </w:rPr>
              <w:lastRenderedPageBreak/>
              <w:t xml:space="preserve">Corporate and project governance </w:t>
            </w:r>
          </w:p>
        </w:tc>
        <w:tc>
          <w:tcPr>
            <w:tcW w:w="1134" w:type="dxa"/>
          </w:tcPr>
          <w:p w14:paraId="64F9786F" w14:textId="77777777" w:rsidR="002C5FE0" w:rsidRPr="00A77AF6" w:rsidRDefault="002C5FE0" w:rsidP="002C5FE0">
            <w:pPr>
              <w:rPr>
                <w:sz w:val="18"/>
                <w:szCs w:val="18"/>
              </w:rPr>
            </w:pPr>
            <w:r w:rsidRPr="00A77AF6">
              <w:rPr>
                <w:rFonts w:ascii="Calibri" w:hAnsi="Calibri" w:cs="Arial"/>
                <w:sz w:val="18"/>
                <w:szCs w:val="18"/>
              </w:rPr>
              <w:t>Trust Board</w:t>
            </w:r>
          </w:p>
        </w:tc>
        <w:tc>
          <w:tcPr>
            <w:tcW w:w="1275" w:type="dxa"/>
          </w:tcPr>
          <w:p w14:paraId="518E2E2A" w14:textId="77777777" w:rsidR="002C5FE0" w:rsidRPr="00A77AF6" w:rsidRDefault="002C5FE0" w:rsidP="002C5FE0">
            <w:pPr>
              <w:rPr>
                <w:sz w:val="18"/>
                <w:szCs w:val="18"/>
              </w:rPr>
            </w:pPr>
            <w:r w:rsidRPr="00A77AF6">
              <w:rPr>
                <w:rFonts w:ascii="Calibri" w:hAnsi="Calibri" w:cs="Arial"/>
                <w:sz w:val="18"/>
                <w:szCs w:val="18"/>
              </w:rPr>
              <w:t>Project Board/ team</w:t>
            </w:r>
          </w:p>
        </w:tc>
        <w:tc>
          <w:tcPr>
            <w:tcW w:w="1134" w:type="dxa"/>
          </w:tcPr>
          <w:p w14:paraId="568DD40D" w14:textId="77777777" w:rsidR="002C5FE0" w:rsidRPr="00A77AF6" w:rsidRDefault="002C5FE0" w:rsidP="002C5FE0">
            <w:pPr>
              <w:rPr>
                <w:sz w:val="18"/>
                <w:szCs w:val="18"/>
              </w:rPr>
            </w:pPr>
            <w:r w:rsidRPr="00A77AF6">
              <w:rPr>
                <w:rFonts w:ascii="Calibri" w:hAnsi="Calibri" w:cs="Arial"/>
                <w:sz w:val="18"/>
                <w:szCs w:val="18"/>
              </w:rPr>
              <w:t>Corporate/ project governance interface</w:t>
            </w:r>
          </w:p>
        </w:tc>
        <w:tc>
          <w:tcPr>
            <w:tcW w:w="993" w:type="dxa"/>
          </w:tcPr>
          <w:p w14:paraId="1A0CEBEA" w14:textId="77777777" w:rsidR="002C5FE0" w:rsidRPr="00A77AF6" w:rsidRDefault="002C5FE0" w:rsidP="002C5FE0">
            <w:pPr>
              <w:rPr>
                <w:sz w:val="18"/>
                <w:szCs w:val="18"/>
              </w:rPr>
            </w:pPr>
          </w:p>
        </w:tc>
        <w:tc>
          <w:tcPr>
            <w:tcW w:w="992" w:type="dxa"/>
          </w:tcPr>
          <w:p w14:paraId="7CC326C7" w14:textId="77777777" w:rsidR="002C5FE0" w:rsidRPr="00A77AF6" w:rsidRDefault="002C5FE0" w:rsidP="002C5FE0">
            <w:pPr>
              <w:rPr>
                <w:sz w:val="18"/>
                <w:szCs w:val="18"/>
              </w:rPr>
            </w:pPr>
          </w:p>
        </w:tc>
        <w:tc>
          <w:tcPr>
            <w:tcW w:w="1134" w:type="dxa"/>
          </w:tcPr>
          <w:p w14:paraId="65B39807" w14:textId="77777777" w:rsidR="002C5FE0" w:rsidRPr="00A77AF6" w:rsidRDefault="002C5FE0" w:rsidP="002C5FE0">
            <w:pPr>
              <w:rPr>
                <w:rFonts w:ascii="Calibri" w:hAnsi="Calibri" w:cs="Arial"/>
                <w:sz w:val="18"/>
                <w:szCs w:val="18"/>
              </w:rPr>
            </w:pPr>
          </w:p>
        </w:tc>
      </w:tr>
      <w:tr w:rsidR="002C5FE0" w:rsidRPr="00A77AF6" w14:paraId="6688A48F" w14:textId="77777777" w:rsidTr="00D440E3">
        <w:tc>
          <w:tcPr>
            <w:tcW w:w="1555" w:type="dxa"/>
          </w:tcPr>
          <w:p w14:paraId="5A0D55AF" w14:textId="77777777" w:rsidR="002C5FE0" w:rsidRPr="00A77AF6" w:rsidRDefault="002C5FE0" w:rsidP="002C5FE0">
            <w:pPr>
              <w:rPr>
                <w:sz w:val="18"/>
                <w:szCs w:val="18"/>
              </w:rPr>
            </w:pPr>
            <w:r w:rsidRPr="00A77AF6">
              <w:rPr>
                <w:sz w:val="18"/>
                <w:szCs w:val="18"/>
              </w:rPr>
              <w:t>Measure of project success</w:t>
            </w:r>
          </w:p>
        </w:tc>
        <w:tc>
          <w:tcPr>
            <w:tcW w:w="1134" w:type="dxa"/>
          </w:tcPr>
          <w:p w14:paraId="4C9D02F3" w14:textId="77777777" w:rsidR="002C5FE0" w:rsidRPr="00A77AF6" w:rsidRDefault="002C5FE0" w:rsidP="002C5FE0">
            <w:pPr>
              <w:rPr>
                <w:sz w:val="18"/>
                <w:szCs w:val="18"/>
              </w:rPr>
            </w:pPr>
            <w:r w:rsidRPr="00A77AF6">
              <w:rPr>
                <w:rFonts w:ascii="Calibri" w:hAnsi="Calibri" w:cs="Arial"/>
                <w:sz w:val="18"/>
                <w:szCs w:val="18"/>
              </w:rPr>
              <w:t>Difficulty of judging project success</w:t>
            </w:r>
          </w:p>
        </w:tc>
        <w:tc>
          <w:tcPr>
            <w:tcW w:w="1275" w:type="dxa"/>
          </w:tcPr>
          <w:p w14:paraId="3E86FF17" w14:textId="77777777" w:rsidR="002C5FE0" w:rsidRPr="00A77AF6" w:rsidRDefault="002C5FE0" w:rsidP="002C5FE0">
            <w:pPr>
              <w:rPr>
                <w:sz w:val="18"/>
                <w:szCs w:val="18"/>
              </w:rPr>
            </w:pPr>
            <w:r w:rsidRPr="00A77AF6">
              <w:rPr>
                <w:rFonts w:ascii="Calibri" w:hAnsi="Calibri" w:cs="Arial"/>
                <w:sz w:val="18"/>
                <w:szCs w:val="18"/>
              </w:rPr>
              <w:t>Project Management Success</w:t>
            </w:r>
          </w:p>
        </w:tc>
        <w:tc>
          <w:tcPr>
            <w:tcW w:w="1134" w:type="dxa"/>
          </w:tcPr>
          <w:p w14:paraId="5BF4F4E3" w14:textId="77777777" w:rsidR="002C5FE0" w:rsidRPr="00A77AF6" w:rsidRDefault="002C5FE0" w:rsidP="002C5FE0">
            <w:pPr>
              <w:rPr>
                <w:sz w:val="18"/>
                <w:szCs w:val="18"/>
              </w:rPr>
            </w:pPr>
            <w:r w:rsidRPr="00A77AF6">
              <w:rPr>
                <w:rFonts w:ascii="Calibri" w:hAnsi="Calibri" w:cs="Arial"/>
                <w:sz w:val="18"/>
                <w:szCs w:val="18"/>
              </w:rPr>
              <w:t>Operational Success</w:t>
            </w:r>
          </w:p>
        </w:tc>
        <w:tc>
          <w:tcPr>
            <w:tcW w:w="993" w:type="dxa"/>
          </w:tcPr>
          <w:p w14:paraId="5F639901" w14:textId="77777777" w:rsidR="002C5FE0" w:rsidRPr="00A77AF6" w:rsidRDefault="002C5FE0" w:rsidP="002C5FE0">
            <w:pPr>
              <w:rPr>
                <w:sz w:val="18"/>
                <w:szCs w:val="18"/>
              </w:rPr>
            </w:pPr>
            <w:r w:rsidRPr="00A77AF6">
              <w:rPr>
                <w:rFonts w:ascii="Calibri" w:hAnsi="Calibri" w:cs="Arial"/>
                <w:sz w:val="18"/>
                <w:szCs w:val="18"/>
              </w:rPr>
              <w:t>Tolerance of missed targets</w:t>
            </w:r>
          </w:p>
        </w:tc>
        <w:tc>
          <w:tcPr>
            <w:tcW w:w="992" w:type="dxa"/>
          </w:tcPr>
          <w:p w14:paraId="0AF1B4D3" w14:textId="77777777" w:rsidR="002C5FE0" w:rsidRPr="00A77AF6" w:rsidRDefault="002C5FE0" w:rsidP="002C5FE0">
            <w:pPr>
              <w:rPr>
                <w:sz w:val="18"/>
                <w:szCs w:val="18"/>
              </w:rPr>
            </w:pPr>
            <w:r w:rsidRPr="00A77AF6">
              <w:rPr>
                <w:rFonts w:ascii="Calibri" w:hAnsi="Calibri" w:cs="Arial"/>
                <w:sz w:val="18"/>
                <w:szCs w:val="18"/>
              </w:rPr>
              <w:t>Quality is the most important criteria</w:t>
            </w:r>
          </w:p>
        </w:tc>
        <w:tc>
          <w:tcPr>
            <w:tcW w:w="1134" w:type="dxa"/>
          </w:tcPr>
          <w:p w14:paraId="75B2C6FC" w14:textId="77777777" w:rsidR="002C5FE0" w:rsidRPr="00A77AF6" w:rsidRDefault="002C5FE0" w:rsidP="002C5FE0">
            <w:pPr>
              <w:rPr>
                <w:rFonts w:ascii="Calibri" w:hAnsi="Calibri" w:cs="Arial"/>
                <w:sz w:val="18"/>
                <w:szCs w:val="18"/>
              </w:rPr>
            </w:pPr>
            <w:r w:rsidRPr="00A77AF6">
              <w:rPr>
                <w:rFonts w:ascii="Calibri" w:hAnsi="Calibri" w:cs="Arial"/>
                <w:sz w:val="18"/>
                <w:szCs w:val="18"/>
              </w:rPr>
              <w:t>Weighting the iron triangle</w:t>
            </w:r>
          </w:p>
        </w:tc>
      </w:tr>
    </w:tbl>
    <w:p w14:paraId="231DFB43" w14:textId="77777777" w:rsidR="002C5FE0" w:rsidRPr="00A77AF6" w:rsidRDefault="002C5FE0" w:rsidP="002C5FE0"/>
    <w:p w14:paraId="32257893" w14:textId="77777777" w:rsidR="00870ECF" w:rsidRDefault="002C5FE0" w:rsidP="007A2E9D">
      <w:pPr>
        <w:spacing w:line="360" w:lineRule="auto"/>
      </w:pPr>
      <w:r w:rsidRPr="00A77AF6">
        <w:t>The next section discusses the findings of the study and makes recommendations resulting from the data analysis.</w:t>
      </w:r>
    </w:p>
    <w:p w14:paraId="3256B1C9" w14:textId="77777777" w:rsidR="00870ECF" w:rsidRDefault="00870ECF" w:rsidP="007A2E9D">
      <w:pPr>
        <w:spacing w:line="360" w:lineRule="auto"/>
      </w:pPr>
    </w:p>
    <w:p w14:paraId="52167FE5" w14:textId="42EF481B" w:rsidR="0089212D" w:rsidRPr="00A77AF6" w:rsidRDefault="0089212D" w:rsidP="007A2E9D">
      <w:pPr>
        <w:spacing w:line="360" w:lineRule="auto"/>
        <w:rPr>
          <w:rFonts w:ascii="Calibri" w:hAnsi="Calibri" w:cs="Arial"/>
        </w:rPr>
      </w:pPr>
      <w:r w:rsidRPr="00A77AF6">
        <w:rPr>
          <w:rFonts w:ascii="Calibri" w:hAnsi="Calibri" w:cs="Arial"/>
        </w:rPr>
        <w:br w:type="page"/>
      </w:r>
    </w:p>
    <w:p w14:paraId="3300B480" w14:textId="4582D014" w:rsidR="000E6531" w:rsidRPr="00A77AF6" w:rsidRDefault="00D309FF" w:rsidP="00095930">
      <w:pPr>
        <w:pStyle w:val="Heading1"/>
        <w:spacing w:after="120"/>
        <w:ind w:left="431" w:hanging="431"/>
        <w:rPr>
          <w:lang w:val="en-GB"/>
        </w:rPr>
      </w:pPr>
      <w:bookmarkStart w:id="193" w:name="_Toc36275146"/>
      <w:r w:rsidRPr="00A77AF6">
        <w:rPr>
          <w:lang w:val="en-GB"/>
        </w:rPr>
        <w:lastRenderedPageBreak/>
        <w:t>D</w:t>
      </w:r>
      <w:r w:rsidR="008C4760" w:rsidRPr="00A77AF6">
        <w:rPr>
          <w:lang w:val="en-GB"/>
        </w:rPr>
        <w:t>iscussion</w:t>
      </w:r>
      <w:r w:rsidRPr="00A77AF6">
        <w:rPr>
          <w:lang w:val="en-GB"/>
        </w:rPr>
        <w:t xml:space="preserve"> and recommendations</w:t>
      </w:r>
      <w:bookmarkEnd w:id="193"/>
    </w:p>
    <w:p w14:paraId="7D487239" w14:textId="57DB450E" w:rsidR="0077297C" w:rsidRPr="00A77AF6" w:rsidRDefault="00D309FF" w:rsidP="00095930">
      <w:pPr>
        <w:spacing w:line="360" w:lineRule="auto"/>
      </w:pPr>
      <w:r w:rsidRPr="00A77AF6">
        <w:t xml:space="preserve"> This section discusses the findings of the study</w:t>
      </w:r>
      <w:r w:rsidR="00D440E3" w:rsidRPr="00A77AF6">
        <w:t xml:space="preserve">, provides </w:t>
      </w:r>
      <w:r w:rsidRPr="00A77AF6">
        <w:t xml:space="preserve">recommendations </w:t>
      </w:r>
      <w:r w:rsidR="00D440E3" w:rsidRPr="00A77AF6">
        <w:t xml:space="preserve">and flow chart that translates the findings of the study into a </w:t>
      </w:r>
      <w:r w:rsidRPr="00A77AF6">
        <w:t xml:space="preserve">new </w:t>
      </w:r>
      <w:r w:rsidR="00D440E3" w:rsidRPr="00A77AF6">
        <w:t>p</w:t>
      </w:r>
      <w:r w:rsidRPr="00A77AF6">
        <w:t xml:space="preserve">ublic </w:t>
      </w:r>
      <w:r w:rsidR="00D440E3" w:rsidRPr="00A77AF6">
        <w:t>a</w:t>
      </w:r>
      <w:r w:rsidRPr="00A77AF6">
        <w:t xml:space="preserve">ssurance </w:t>
      </w:r>
      <w:r w:rsidR="00D440E3" w:rsidRPr="00A77AF6">
        <w:t>m</w:t>
      </w:r>
      <w:r w:rsidRPr="00A77AF6">
        <w:t>odel</w:t>
      </w:r>
      <w:r w:rsidR="00D440E3" w:rsidRPr="00A77AF6">
        <w:t xml:space="preserve"> (PAM) which can be used by practitioners to asses that the </w:t>
      </w:r>
      <w:r w:rsidR="00E26723" w:rsidRPr="00A77AF6">
        <w:t>factors that contribute to project legitimacy and the assurance of stakeholders are in place.</w:t>
      </w:r>
    </w:p>
    <w:p w14:paraId="5CEC98C7" w14:textId="0D9F6B94" w:rsidR="006E2D78" w:rsidRPr="00A77AF6" w:rsidRDefault="005D1CD8" w:rsidP="00CE469C">
      <w:pPr>
        <w:pStyle w:val="Heading3"/>
        <w:spacing w:after="120"/>
      </w:pPr>
      <w:bookmarkStart w:id="194" w:name="_Toc36275147"/>
      <w:r w:rsidRPr="00A77AF6">
        <w:t xml:space="preserve">Ethical </w:t>
      </w:r>
      <w:r w:rsidR="00B9176E" w:rsidRPr="00A77AF6">
        <w:t>p</w:t>
      </w:r>
      <w:r w:rsidR="00365872" w:rsidRPr="00A77AF6">
        <w:t>redisposition</w:t>
      </w:r>
      <w:r w:rsidRPr="00A77AF6">
        <w:t>.</w:t>
      </w:r>
      <w:bookmarkEnd w:id="194"/>
    </w:p>
    <w:p w14:paraId="664693FE" w14:textId="427D4BEF" w:rsidR="007E6E94" w:rsidRPr="00A77AF6" w:rsidRDefault="00E26723" w:rsidP="00230AD7">
      <w:pPr>
        <w:spacing w:line="360" w:lineRule="auto"/>
      </w:pPr>
      <w:r w:rsidRPr="00A77AF6">
        <w:t>E</w:t>
      </w:r>
      <w:r w:rsidR="007E6E94" w:rsidRPr="00A77AF6">
        <w:t xml:space="preserve">thical theory </w:t>
      </w:r>
      <w:r w:rsidRPr="00A77AF6">
        <w:t>is a long-standing theory that debates how people should decide what i</w:t>
      </w:r>
      <w:r w:rsidR="007E6E94" w:rsidRPr="00A77AF6">
        <w:t>s right or wrong</w:t>
      </w:r>
      <w:r w:rsidRPr="00A77AF6">
        <w:t xml:space="preserve"> and</w:t>
      </w:r>
      <w:r w:rsidR="001B667E" w:rsidRPr="00A77AF6">
        <w:t xml:space="preserve"> comprises two main </w:t>
      </w:r>
      <w:r w:rsidRPr="00A77AF6">
        <w:t>branches</w:t>
      </w:r>
      <w:r w:rsidR="001B667E" w:rsidRPr="00A77AF6">
        <w:t xml:space="preserve">: virtue ethics and ethics of conduct.  Ethics of conduct is further divided into two competing </w:t>
      </w:r>
      <w:r w:rsidR="007E6E94" w:rsidRPr="00A77AF6">
        <w:t>schools</w:t>
      </w:r>
      <w:r w:rsidR="00230AD7" w:rsidRPr="00A77AF6">
        <w:t xml:space="preserve">: formalism and utilitarianism. </w:t>
      </w:r>
      <w:r w:rsidRPr="00A77AF6">
        <w:t>F</w:t>
      </w:r>
      <w:r w:rsidR="001B667E" w:rsidRPr="00A77AF6">
        <w:t xml:space="preserve">ormalism and utilitarianism </w:t>
      </w:r>
      <w:r w:rsidRPr="00A77AF6">
        <w:t xml:space="preserve">give different answers to someone asking how best to judge that an action is moral.  Formalism answers by advocating duty and rules-following, whilst utilitarianism urges judgement to be made based on the best outcome for most </w:t>
      </w:r>
      <w:r w:rsidR="00685424" w:rsidRPr="00A77AF6">
        <w:t xml:space="preserve">people. Ethics of conduct has been </w:t>
      </w:r>
      <w:r w:rsidR="005F4640" w:rsidRPr="00A77AF6">
        <w:t xml:space="preserve">applied </w:t>
      </w:r>
      <w:r w:rsidR="00685424" w:rsidRPr="00A77AF6">
        <w:t>t</w:t>
      </w:r>
      <w:r w:rsidR="005F4640" w:rsidRPr="00A77AF6">
        <w:t xml:space="preserve">o management </w:t>
      </w:r>
      <w:r w:rsidR="001B667E" w:rsidRPr="00A77AF6">
        <w:t xml:space="preserve">studies </w:t>
      </w:r>
      <w:r w:rsidR="00230AD7" w:rsidRPr="00A77AF6">
        <w:t xml:space="preserve">where </w:t>
      </w:r>
      <w:r w:rsidR="00B9047C" w:rsidRPr="00A77AF6">
        <w:t>formalism has been elevated above utilitarianism</w:t>
      </w:r>
      <w:r w:rsidR="00685424" w:rsidRPr="00A77AF6">
        <w:t xml:space="preserve"> as more moral as following rules and processes u</w:t>
      </w:r>
      <w:r w:rsidR="00230AD7" w:rsidRPr="00A77AF6">
        <w:t>nderpins governance</w:t>
      </w:r>
      <w:r w:rsidR="00685424" w:rsidRPr="00A77AF6">
        <w:t>, because this behaviour is open and transparent</w:t>
      </w:r>
      <w:r w:rsidR="00230AD7" w:rsidRPr="00A77AF6">
        <w:t xml:space="preserve">.  </w:t>
      </w:r>
      <w:r w:rsidR="00B9047C" w:rsidRPr="00A77AF6">
        <w:t>R</w:t>
      </w:r>
      <w:r w:rsidR="001B667E" w:rsidRPr="00A77AF6">
        <w:t>esearch has suggested f</w:t>
      </w:r>
      <w:r w:rsidR="007E6E94" w:rsidRPr="00A77AF6">
        <w:t>actors may affect predisposition</w:t>
      </w:r>
      <w:r w:rsidR="00230AD7" w:rsidRPr="00A77AF6">
        <w:t xml:space="preserve"> such as</w:t>
      </w:r>
      <w:r w:rsidR="005F4640" w:rsidRPr="00A77AF6">
        <w:t xml:space="preserve">, </w:t>
      </w:r>
      <w:r w:rsidR="007E6E94" w:rsidRPr="00A77AF6">
        <w:t xml:space="preserve">gender, age and the cultural norms, including that of </w:t>
      </w:r>
      <w:r w:rsidR="001B667E" w:rsidRPr="00A77AF6">
        <w:t xml:space="preserve">an </w:t>
      </w:r>
      <w:r w:rsidR="007E6E94" w:rsidRPr="00A77AF6">
        <w:t xml:space="preserve">employing organisation. </w:t>
      </w:r>
      <w:r w:rsidR="00AC1565" w:rsidRPr="00A77AF6">
        <w:t>The following sections discuss why formalism is more prevalent than utilitarianism, in this sample</w:t>
      </w:r>
      <w:r w:rsidR="00EA7C97" w:rsidRPr="00A77AF6">
        <w:t>.</w:t>
      </w:r>
    </w:p>
    <w:p w14:paraId="4252A5A0" w14:textId="6F3B2CE5" w:rsidR="00F064F1" w:rsidRPr="00A77AF6" w:rsidRDefault="00365872" w:rsidP="00CE469C">
      <w:pPr>
        <w:pStyle w:val="Heading4"/>
        <w:numPr>
          <w:ilvl w:val="0"/>
          <w:numId w:val="0"/>
        </w:numPr>
        <w:spacing w:after="120"/>
        <w:ind w:left="862" w:hanging="862"/>
      </w:pPr>
      <w:r w:rsidRPr="00A77AF6">
        <w:t>Formalism</w:t>
      </w:r>
    </w:p>
    <w:p w14:paraId="600533EF" w14:textId="6357A43C" w:rsidR="00685424" w:rsidRPr="00A77AF6" w:rsidRDefault="007147C7" w:rsidP="00636D1F">
      <w:pPr>
        <w:spacing w:line="360" w:lineRule="auto"/>
      </w:pPr>
      <w:r w:rsidRPr="00A77AF6">
        <w:t>This study found 45 out of 51 NHS project personnel had formalist predisposition</w:t>
      </w:r>
      <w:r w:rsidR="003E4E4E" w:rsidRPr="00A77AF6">
        <w:t xml:space="preserve">, 4 were utilitarian and 2 were equally </w:t>
      </w:r>
      <w:r w:rsidR="00EA7C97" w:rsidRPr="00A77AF6">
        <w:t>p</w:t>
      </w:r>
      <w:r w:rsidR="003E4E4E" w:rsidRPr="00A77AF6">
        <w:t xml:space="preserve">redisposed to formalism and utilitarianism.  </w:t>
      </w:r>
      <w:r w:rsidR="00685424" w:rsidRPr="00A77AF6">
        <w:t>The</w:t>
      </w:r>
      <w:r w:rsidR="00365872" w:rsidRPr="00A77AF6">
        <w:t xml:space="preserve"> </w:t>
      </w:r>
      <w:r w:rsidR="006C28B0" w:rsidRPr="00A77AF6">
        <w:t xml:space="preserve">predominance of formalism in NHS project personnel </w:t>
      </w:r>
      <w:r w:rsidRPr="00A77AF6">
        <w:t>may appear sur</w:t>
      </w:r>
      <w:r w:rsidR="006C28B0" w:rsidRPr="00A77AF6">
        <w:t xml:space="preserve">prising </w:t>
      </w:r>
      <w:r w:rsidR="0051673E" w:rsidRPr="00A77AF6">
        <w:t xml:space="preserve">because </w:t>
      </w:r>
      <w:r w:rsidR="006C28B0" w:rsidRPr="00A77AF6">
        <w:t>the literature suggest</w:t>
      </w:r>
      <w:r w:rsidR="0051673E" w:rsidRPr="00A77AF6">
        <w:t>s</w:t>
      </w:r>
      <w:r w:rsidR="006C28B0" w:rsidRPr="00A77AF6">
        <w:t xml:space="preserve"> that managers tend to be utilitarians </w:t>
      </w:r>
      <w:r w:rsidR="001B667E" w:rsidRPr="00A77AF6">
        <w:t>(</w:t>
      </w:r>
      <w:r w:rsidR="006C28B0" w:rsidRPr="00A77AF6">
        <w:t>Fritzsche &amp; Becker</w:t>
      </w:r>
      <w:r w:rsidR="001B667E" w:rsidRPr="00A77AF6">
        <w:t xml:space="preserve"> </w:t>
      </w:r>
      <w:r w:rsidR="006C28B0" w:rsidRPr="00A77AF6">
        <w:t>1984)</w:t>
      </w:r>
      <w:r w:rsidR="00685424" w:rsidRPr="00A77AF6">
        <w:t xml:space="preserve">, the sample was 73% male who may also tend to utilitarianism </w:t>
      </w:r>
      <w:sdt>
        <w:sdtPr>
          <w:id w:val="-1746417042"/>
          <w:citation/>
        </w:sdtPr>
        <w:sdtEndPr/>
        <w:sdtContent>
          <w:r w:rsidR="00685424" w:rsidRPr="00A77AF6">
            <w:fldChar w:fldCharType="begin"/>
          </w:r>
          <w:r w:rsidR="00685424" w:rsidRPr="00A77AF6">
            <w:instrText xml:space="preserve"> CITATION Rue92 \l 2057 </w:instrText>
          </w:r>
          <w:r w:rsidR="00685424" w:rsidRPr="00A77AF6">
            <w:fldChar w:fldCharType="separate"/>
          </w:r>
          <w:r w:rsidR="008E653F" w:rsidRPr="00A77AF6">
            <w:t>(Ruegger &amp; King, 1992)</w:t>
          </w:r>
          <w:r w:rsidR="00685424" w:rsidRPr="00A77AF6">
            <w:fldChar w:fldCharType="end"/>
          </w:r>
        </w:sdtContent>
      </w:sdt>
      <w:r w:rsidR="006C28B0" w:rsidRPr="00A77AF6">
        <w:t xml:space="preserve"> and </w:t>
      </w:r>
      <w:r w:rsidR="00671777" w:rsidRPr="00A77AF6">
        <w:t>arguably,</w:t>
      </w:r>
      <w:r w:rsidR="006C28B0" w:rsidRPr="00A77AF6">
        <w:t xml:space="preserve"> project personnel </w:t>
      </w:r>
      <w:r w:rsidR="00685424" w:rsidRPr="00A77AF6">
        <w:t xml:space="preserve">tend towards </w:t>
      </w:r>
      <w:r w:rsidR="006C28B0" w:rsidRPr="00A77AF6">
        <w:t>utilitarian</w:t>
      </w:r>
      <w:r w:rsidR="00685424" w:rsidRPr="00A77AF6">
        <w:t>ism</w:t>
      </w:r>
      <w:r w:rsidR="006C28B0" w:rsidRPr="00A77AF6">
        <w:t xml:space="preserve"> because </w:t>
      </w:r>
      <w:r w:rsidR="00685424" w:rsidRPr="00A77AF6">
        <w:t xml:space="preserve">they could be expected to be more </w:t>
      </w:r>
      <w:r w:rsidR="006C28B0" w:rsidRPr="00A77AF6">
        <w:t>interest</w:t>
      </w:r>
      <w:r w:rsidR="00685424" w:rsidRPr="00A77AF6">
        <w:t>ed</w:t>
      </w:r>
      <w:r w:rsidR="006C28B0" w:rsidRPr="00A77AF6">
        <w:t xml:space="preserve"> </w:t>
      </w:r>
      <w:r w:rsidR="0051673E" w:rsidRPr="00A77AF6">
        <w:t>i</w:t>
      </w:r>
      <w:r w:rsidR="006C28B0" w:rsidRPr="00A77AF6">
        <w:t xml:space="preserve">n </w:t>
      </w:r>
      <w:r w:rsidR="00685424" w:rsidRPr="00A77AF6">
        <w:t xml:space="preserve">project outcome than project process.  </w:t>
      </w:r>
    </w:p>
    <w:p w14:paraId="16C8658F" w14:textId="0453A92C" w:rsidR="00114250" w:rsidRPr="00A77AF6" w:rsidRDefault="00685424" w:rsidP="00636D1F">
      <w:pPr>
        <w:spacing w:line="360" w:lineRule="auto"/>
      </w:pPr>
      <w:r w:rsidRPr="00A77AF6">
        <w:t>However, t</w:t>
      </w:r>
      <w:r w:rsidR="007F5D5D" w:rsidRPr="00A77AF6">
        <w:t xml:space="preserve">he predominance of </w:t>
      </w:r>
      <w:r w:rsidR="007D4A7C" w:rsidRPr="00A77AF6">
        <w:t>formalism</w:t>
      </w:r>
      <w:r w:rsidR="007F5D5D" w:rsidRPr="00A77AF6">
        <w:t xml:space="preserve"> in NHS construction project</w:t>
      </w:r>
      <w:r w:rsidR="007D4A7C" w:rsidRPr="00A77AF6">
        <w:t xml:space="preserve"> per</w:t>
      </w:r>
      <w:r w:rsidR="007F5D5D" w:rsidRPr="00A77AF6">
        <w:t>s</w:t>
      </w:r>
      <w:r w:rsidR="007D4A7C" w:rsidRPr="00A77AF6">
        <w:t>onnel</w:t>
      </w:r>
      <w:r w:rsidR="007F5D5D" w:rsidRPr="00A77AF6">
        <w:t xml:space="preserve"> </w:t>
      </w:r>
      <w:r w:rsidR="00910700" w:rsidRPr="00A77AF6">
        <w:t>might</w:t>
      </w:r>
      <w:r w:rsidR="007F5D5D" w:rsidRPr="00A77AF6">
        <w:t xml:space="preserve"> be explained by the ‘older’ age of the sample </w:t>
      </w:r>
      <w:r w:rsidR="008D7E5E" w:rsidRPr="00A77AF6">
        <w:t>and</w:t>
      </w:r>
      <w:r w:rsidR="007F5D5D" w:rsidRPr="00A77AF6">
        <w:t xml:space="preserve"> the formalistic culture of the NHS client.  </w:t>
      </w:r>
      <w:r w:rsidRPr="00A77AF6">
        <w:t>The</w:t>
      </w:r>
      <w:r w:rsidR="00910700" w:rsidRPr="00A77AF6">
        <w:t xml:space="preserve"> literature review noted</w:t>
      </w:r>
      <w:r w:rsidRPr="00A77AF6">
        <w:t xml:space="preserve"> that</w:t>
      </w:r>
      <w:r w:rsidR="00910700" w:rsidRPr="00A77AF6">
        <w:t xml:space="preserve"> </w:t>
      </w:r>
      <w:r w:rsidR="007F5D5D" w:rsidRPr="00A77AF6">
        <w:t xml:space="preserve">utilitarian reasoning and behaviour decreases with age </w:t>
      </w:r>
      <w:r w:rsidR="007D4A7C" w:rsidRPr="00A77AF6">
        <w:t xml:space="preserve">(Fritzsche </w:t>
      </w:r>
      <w:r w:rsidRPr="00A77AF6">
        <w:t>&amp;</w:t>
      </w:r>
      <w:r w:rsidR="007D4A7C" w:rsidRPr="00A77AF6">
        <w:t xml:space="preserve"> Becker</w:t>
      </w:r>
      <w:r w:rsidR="00F837EC" w:rsidRPr="00A77AF6">
        <w:t xml:space="preserve">, </w:t>
      </w:r>
      <w:r w:rsidR="007D4A7C" w:rsidRPr="00A77AF6">
        <w:t>1984)</w:t>
      </w:r>
      <w:r w:rsidR="00F539A6" w:rsidRPr="00A77AF6">
        <w:t xml:space="preserve">. </w:t>
      </w:r>
      <w:r w:rsidR="00636D1F" w:rsidRPr="00A77AF6">
        <w:t>T</w:t>
      </w:r>
      <w:r w:rsidR="007F5D5D" w:rsidRPr="00A77AF6">
        <w:t xml:space="preserve">he sample was </w:t>
      </w:r>
      <w:r w:rsidRPr="00A77AF6">
        <w:t xml:space="preserve">also </w:t>
      </w:r>
      <w:r w:rsidR="00636D1F" w:rsidRPr="00A77AF6">
        <w:t>predominantly</w:t>
      </w:r>
      <w:r w:rsidR="007F5D5D" w:rsidRPr="00A77AF6">
        <w:t xml:space="preserve"> male </w:t>
      </w:r>
      <w:r w:rsidR="00F7592B" w:rsidRPr="00A77AF6">
        <w:t xml:space="preserve">(37, </w:t>
      </w:r>
      <w:r w:rsidR="00DD578E" w:rsidRPr="00A77AF6">
        <w:t>73%) and Ruegger</w:t>
      </w:r>
      <w:r w:rsidRPr="00A77AF6">
        <w:t xml:space="preserve"> &amp;</w:t>
      </w:r>
      <w:r w:rsidR="00DD578E" w:rsidRPr="00A77AF6">
        <w:t xml:space="preserve"> King (1992) </w:t>
      </w:r>
      <w:r w:rsidR="000B2E83" w:rsidRPr="00A77AF6">
        <w:t xml:space="preserve">and Schminke &amp; Ambrose (1997) suggest that men are more likely to be utilitarian than are women.  However, </w:t>
      </w:r>
      <w:r w:rsidR="008D7E5E" w:rsidRPr="00A77AF6">
        <w:t xml:space="preserve">the literature review </w:t>
      </w:r>
      <w:r w:rsidR="000B2E83" w:rsidRPr="00A77AF6">
        <w:t xml:space="preserve">noted that the </w:t>
      </w:r>
      <w:r w:rsidR="008D7E5E" w:rsidRPr="00A77AF6">
        <w:t xml:space="preserve"> influence of gender on ethical predisposition is contested and </w:t>
      </w:r>
      <w:r w:rsidR="00B875BE" w:rsidRPr="00A77AF6">
        <w:t>Brady</w:t>
      </w:r>
      <w:r w:rsidR="000B2E83" w:rsidRPr="00A77AF6">
        <w:t xml:space="preserve"> &amp;</w:t>
      </w:r>
      <w:r w:rsidR="00B875BE" w:rsidRPr="00A77AF6">
        <w:t xml:space="preserve"> Wheeler (1996) found that </w:t>
      </w:r>
      <w:r w:rsidR="008D7E5E" w:rsidRPr="00A77AF6">
        <w:t>it was</w:t>
      </w:r>
      <w:r w:rsidR="00B875BE" w:rsidRPr="00A77AF6">
        <w:t xml:space="preserve"> not a factor for employees except </w:t>
      </w:r>
      <w:r w:rsidR="008907DF" w:rsidRPr="00A77AF6">
        <w:t xml:space="preserve">for </w:t>
      </w:r>
      <w:r w:rsidR="00B875BE" w:rsidRPr="00A77AF6">
        <w:t xml:space="preserve">managers who were more likely to be utilitarian, even with increasing age, when a tendency </w:t>
      </w:r>
      <w:r w:rsidR="00B875BE" w:rsidRPr="00A77AF6">
        <w:lastRenderedPageBreak/>
        <w:t>toward formalism might be expected.  The findings in this study are therefore only partly explained by th</w:t>
      </w:r>
      <w:r w:rsidR="00AC1565" w:rsidRPr="00A77AF6">
        <w:t>is</w:t>
      </w:r>
      <w:r w:rsidR="00B875BE" w:rsidRPr="00A77AF6">
        <w:t xml:space="preserve"> literature.  </w:t>
      </w:r>
      <w:r w:rsidR="000B2E83" w:rsidRPr="00A77AF6">
        <w:t>In this most respondents were over</w:t>
      </w:r>
      <w:r w:rsidR="00B875BE" w:rsidRPr="00A77AF6">
        <w:t xml:space="preserve"> 40 years old so </w:t>
      </w:r>
      <w:r w:rsidR="000B2E83" w:rsidRPr="00A77AF6">
        <w:t xml:space="preserve">would be </w:t>
      </w:r>
      <w:r w:rsidR="00B875BE" w:rsidRPr="00A77AF6">
        <w:t xml:space="preserve">expected </w:t>
      </w:r>
      <w:r w:rsidR="007147C7" w:rsidRPr="00A77AF6">
        <w:t>t</w:t>
      </w:r>
      <w:r w:rsidR="00B875BE" w:rsidRPr="00A77AF6">
        <w:t>o be formalist, which they are.  However, the sample is</w:t>
      </w:r>
      <w:r w:rsidR="007147C7" w:rsidRPr="00A77AF6">
        <w:t xml:space="preserve"> also</w:t>
      </w:r>
      <w:r w:rsidR="00B875BE" w:rsidRPr="00A77AF6">
        <w:t xml:space="preserve"> mainly male so perhaps would be expected to be more utilitarian than it is.</w:t>
      </w:r>
      <w:r w:rsidR="000B2E83" w:rsidRPr="00A77AF6">
        <w:t xml:space="preserve"> This finding suggests that other factors may influence ethical predisposition, such as organisational and professional cultures. </w:t>
      </w:r>
    </w:p>
    <w:p w14:paraId="6AE0585A" w14:textId="77777777" w:rsidR="00DD311D" w:rsidRPr="00A77AF6" w:rsidRDefault="00DD311D" w:rsidP="00DD311D">
      <w:pPr>
        <w:pStyle w:val="Heading4"/>
        <w:numPr>
          <w:ilvl w:val="0"/>
          <w:numId w:val="0"/>
        </w:numPr>
        <w:spacing w:after="120"/>
        <w:ind w:left="862" w:hanging="862"/>
      </w:pPr>
      <w:r w:rsidRPr="00A77AF6">
        <w:t>Utilitarianism</w:t>
      </w:r>
    </w:p>
    <w:p w14:paraId="3BAA6337" w14:textId="588C8292" w:rsidR="00DD311D" w:rsidRPr="00A77AF6" w:rsidRDefault="00DD311D" w:rsidP="00DD311D">
      <w:pPr>
        <w:spacing w:line="360" w:lineRule="auto"/>
      </w:pPr>
      <w:r w:rsidRPr="00A77AF6">
        <w:t xml:space="preserve">The preceding section on formalism has suggested the reasons that formalism is more prevalent in NHS project personnel than utilitarianism.  The literature review explained that utilitarianism is based on the judgement of the actor about the impact that their action may have on others and an action is good if it has the best outcome, judged as the ‘greatest happiness for the greatest number’ </w:t>
      </w:r>
      <w:sdt>
        <w:sdtPr>
          <w:id w:val="-1294825328"/>
          <w:citation/>
        </w:sdtPr>
        <w:sdtEndPr/>
        <w:sdtContent>
          <w:r w:rsidRPr="00A77AF6">
            <w:fldChar w:fldCharType="begin"/>
          </w:r>
          <w:r w:rsidRPr="00A77AF6">
            <w:instrText xml:space="preserve">CITATION Gra84 \p 149 \l 2057 </w:instrText>
          </w:r>
          <w:r w:rsidRPr="00A77AF6">
            <w:fldChar w:fldCharType="separate"/>
          </w:r>
          <w:r w:rsidR="008E653F" w:rsidRPr="00A77AF6">
            <w:t>(Gray, 1984, p. 149)</w:t>
          </w:r>
          <w:r w:rsidRPr="00A77AF6">
            <w:fldChar w:fldCharType="end"/>
          </w:r>
        </w:sdtContent>
      </w:sdt>
      <w:r w:rsidRPr="00A77AF6">
        <w:t xml:space="preserve">. In a rules-based organisation such as the NHS there appears to be limited scope for this type of individual reasoning.  In a medical example, it would seem inconceivable that the judgement about a treatment regime should be made by an individual doctor rather than by following an evidence-based treatment protocol. It was clear in the literature review that utilitarianism is seen as less moral than formalism, because ethical conduct is rules-based.  However, this may be too simplistic a view and Brady (1985) did not perceive utilitarianism to be bad, rather it is forward looking whilst formalism looks backward to precedent and rules.  The utilitarian respondent in this study was clear about the need to look forward beyond the project phase into the operational phase where benefits will be realised, but they also recognised pragmatically, that rules need to be followed in order to complete the building. The conservative nature of the NHS, its clinical protocols and the rules surrounding the capital investment process suggest that there is no benefit to actors in ‘breaking’ the rules because at every level of the NHS and the DH checks are carried out to ensure that rules and processes have been followed.  </w:t>
      </w:r>
    </w:p>
    <w:p w14:paraId="454DFD4D" w14:textId="3E440D32" w:rsidR="00114250" w:rsidRPr="00A77AF6" w:rsidRDefault="00333371" w:rsidP="00CE469C">
      <w:pPr>
        <w:pStyle w:val="Heading4"/>
        <w:numPr>
          <w:ilvl w:val="0"/>
          <w:numId w:val="0"/>
        </w:numPr>
        <w:spacing w:after="120"/>
        <w:ind w:left="862" w:hanging="862"/>
      </w:pPr>
      <w:r w:rsidRPr="00A77AF6">
        <w:t xml:space="preserve">NHS </w:t>
      </w:r>
      <w:r w:rsidR="00114250" w:rsidRPr="00A77AF6">
        <w:t>culture</w:t>
      </w:r>
    </w:p>
    <w:p w14:paraId="4CA319EE" w14:textId="1CB70F85" w:rsidR="0082427E" w:rsidRPr="00A77AF6" w:rsidRDefault="00C66DF0" w:rsidP="00526B15">
      <w:pPr>
        <w:spacing w:line="360" w:lineRule="auto"/>
      </w:pPr>
      <w:r w:rsidRPr="00A77AF6">
        <w:t xml:space="preserve">Two aspects </w:t>
      </w:r>
      <w:r w:rsidR="000B2E83" w:rsidRPr="00A77AF6">
        <w:t>of</w:t>
      </w:r>
      <w:r w:rsidR="00333371" w:rsidRPr="00A77AF6">
        <w:t xml:space="preserve"> NHS </w:t>
      </w:r>
      <w:r w:rsidRPr="00A77AF6">
        <w:t>organisational culture were identified</w:t>
      </w:r>
      <w:r w:rsidR="000B2E83" w:rsidRPr="00A77AF6">
        <w:t xml:space="preserve"> in this study</w:t>
      </w:r>
      <w:r w:rsidRPr="00A77AF6">
        <w:t xml:space="preserve">: values underpinned by rules and </w:t>
      </w:r>
      <w:r w:rsidR="00333371" w:rsidRPr="00A77AF6">
        <w:t xml:space="preserve">an </w:t>
      </w:r>
      <w:r w:rsidRPr="00A77AF6">
        <w:t>aversion to risk</w:t>
      </w:r>
      <w:r w:rsidR="00453367" w:rsidRPr="00A77AF6">
        <w:t xml:space="preserve">. </w:t>
      </w:r>
      <w:r w:rsidR="00365872" w:rsidRPr="00A77AF6">
        <w:t xml:space="preserve">The literature </w:t>
      </w:r>
      <w:r w:rsidR="00453367" w:rsidRPr="00A77AF6">
        <w:t>s</w:t>
      </w:r>
      <w:r w:rsidR="00365872" w:rsidRPr="00A77AF6">
        <w:t xml:space="preserve">howed that the NHS is </w:t>
      </w:r>
      <w:r w:rsidR="00F41278" w:rsidRPr="00A77AF6">
        <w:t xml:space="preserve">an organisation </w:t>
      </w:r>
      <w:r w:rsidR="000B2E83" w:rsidRPr="00A77AF6">
        <w:t xml:space="preserve">based on rules which are set out </w:t>
      </w:r>
      <w:r w:rsidR="00F41278" w:rsidRPr="00A77AF6">
        <w:t>in the NHS C</w:t>
      </w:r>
      <w:r w:rsidR="00365872" w:rsidRPr="00A77AF6">
        <w:t>onstitution</w:t>
      </w:r>
      <w:r w:rsidR="004C009E" w:rsidRPr="00A77AF6">
        <w:t xml:space="preserve"> </w:t>
      </w:r>
      <w:r w:rsidR="00AC2900" w:rsidRPr="00A77AF6">
        <w:t xml:space="preserve">(2015) </w:t>
      </w:r>
      <w:r w:rsidR="00F41278" w:rsidRPr="00A77AF6">
        <w:t xml:space="preserve">which </w:t>
      </w:r>
      <w:r w:rsidR="000B2E83" w:rsidRPr="00A77AF6">
        <w:t xml:space="preserve">in turn </w:t>
      </w:r>
      <w:r w:rsidR="00F41278" w:rsidRPr="00A77AF6">
        <w:t xml:space="preserve">is underpinned by the Nolan Committee’s standards for public life </w:t>
      </w:r>
      <w:sdt>
        <w:sdtPr>
          <w:id w:val="-1229302056"/>
          <w:citation/>
        </w:sdtPr>
        <w:sdtEndPr/>
        <w:sdtContent>
          <w:r w:rsidR="00F41278" w:rsidRPr="00A77AF6">
            <w:fldChar w:fldCharType="begin"/>
          </w:r>
          <w:r w:rsidR="00F41278" w:rsidRPr="00A77AF6">
            <w:instrText xml:space="preserve"> CITATION Nol95 \l 2057 </w:instrText>
          </w:r>
          <w:r w:rsidR="00F41278" w:rsidRPr="00A77AF6">
            <w:fldChar w:fldCharType="separate"/>
          </w:r>
          <w:r w:rsidR="008E653F" w:rsidRPr="00A77AF6">
            <w:t>(Nolan, 1995)</w:t>
          </w:r>
          <w:r w:rsidR="00F41278" w:rsidRPr="00A77AF6">
            <w:fldChar w:fldCharType="end"/>
          </w:r>
        </w:sdtContent>
      </w:sdt>
      <w:r w:rsidR="000B2E83" w:rsidRPr="00A77AF6">
        <w:t xml:space="preserve">.  </w:t>
      </w:r>
      <w:r w:rsidR="00453367" w:rsidRPr="00A77AF6">
        <w:t xml:space="preserve">NHS </w:t>
      </w:r>
      <w:r w:rsidR="008C326A" w:rsidRPr="00A77AF6">
        <w:t xml:space="preserve">culture </w:t>
      </w:r>
      <w:r w:rsidR="00453367" w:rsidRPr="00A77AF6">
        <w:t xml:space="preserve">flows from its </w:t>
      </w:r>
      <w:r w:rsidR="0082427E" w:rsidRPr="00A77AF6">
        <w:t xml:space="preserve">need to be </w:t>
      </w:r>
      <w:r w:rsidR="00E12F6A" w:rsidRPr="00A77AF6">
        <w:t>accountab</w:t>
      </w:r>
      <w:r w:rsidR="0082427E" w:rsidRPr="00A77AF6">
        <w:t xml:space="preserve">le </w:t>
      </w:r>
      <w:r w:rsidR="00E12F6A" w:rsidRPr="00A77AF6">
        <w:t xml:space="preserve">to the public and </w:t>
      </w:r>
      <w:r w:rsidR="008C326A" w:rsidRPr="00A77AF6">
        <w:t>concern for patient safe</w:t>
      </w:r>
      <w:r w:rsidR="00453367" w:rsidRPr="00A77AF6">
        <w:t>t</w:t>
      </w:r>
      <w:r w:rsidR="008C326A" w:rsidRPr="00A77AF6">
        <w:t>y</w:t>
      </w:r>
      <w:r w:rsidR="00453367" w:rsidRPr="00A77AF6">
        <w:t>,</w:t>
      </w:r>
      <w:r w:rsidR="007147C7" w:rsidRPr="00A77AF6">
        <w:t xml:space="preserve"> </w:t>
      </w:r>
      <w:r w:rsidR="008C326A" w:rsidRPr="00A77AF6">
        <w:t>based on the ethical value</w:t>
      </w:r>
      <w:r w:rsidR="00453367" w:rsidRPr="00A77AF6">
        <w:t>s</w:t>
      </w:r>
      <w:r w:rsidR="008C326A" w:rsidRPr="00A77AF6">
        <w:t xml:space="preserve"> of ‘doing good’ </w:t>
      </w:r>
      <w:r w:rsidR="00E12F6A" w:rsidRPr="00A77AF6">
        <w:t>and fair distribution of healthcare services</w:t>
      </w:r>
      <w:r w:rsidR="00453367" w:rsidRPr="00A77AF6">
        <w:t xml:space="preserve">. </w:t>
      </w:r>
      <w:r w:rsidR="008C326A" w:rsidRPr="00A77AF6">
        <w:t xml:space="preserve"> </w:t>
      </w:r>
      <w:r w:rsidR="0082427E" w:rsidRPr="00A77AF6">
        <w:t xml:space="preserve">Public accountability requires openness and transparency to maintain legitimacy and public confidence </w:t>
      </w:r>
      <w:sdt>
        <w:sdtPr>
          <w:id w:val="-1646348204"/>
          <w:citation/>
        </w:sdtPr>
        <w:sdtEndPr/>
        <w:sdtContent>
          <w:r w:rsidR="0082427E" w:rsidRPr="00A77AF6">
            <w:fldChar w:fldCharType="begin"/>
          </w:r>
          <w:r w:rsidR="0082427E" w:rsidRPr="00A77AF6">
            <w:instrText xml:space="preserve"> CITATION Chr07 \l 2057 </w:instrText>
          </w:r>
          <w:r w:rsidR="0082427E" w:rsidRPr="00A77AF6">
            <w:fldChar w:fldCharType="separate"/>
          </w:r>
          <w:r w:rsidR="008E653F" w:rsidRPr="00A77AF6">
            <w:t>(Christensen, et al., 2007)</w:t>
          </w:r>
          <w:r w:rsidR="0082427E" w:rsidRPr="00A77AF6">
            <w:fldChar w:fldCharType="end"/>
          </w:r>
        </w:sdtContent>
      </w:sdt>
      <w:r w:rsidR="0082427E" w:rsidRPr="00A77AF6">
        <w:t xml:space="preserve">.  </w:t>
      </w:r>
    </w:p>
    <w:p w14:paraId="190AEE88" w14:textId="14FBA700" w:rsidR="00136FC3" w:rsidRPr="00A77AF6" w:rsidRDefault="007147C7" w:rsidP="00526B15">
      <w:pPr>
        <w:spacing w:line="360" w:lineRule="auto"/>
        <w:rPr>
          <w:color w:val="000000" w:themeColor="text1"/>
        </w:rPr>
      </w:pPr>
      <w:r w:rsidRPr="00A77AF6">
        <w:lastRenderedPageBreak/>
        <w:t xml:space="preserve"> </w:t>
      </w:r>
      <w:r w:rsidR="00526B15" w:rsidRPr="00A77AF6">
        <w:t>NHS rules exist to ensure that the legal and professional responsibilities of NHS Trusts are met</w:t>
      </w:r>
      <w:r w:rsidR="004C6551" w:rsidRPr="00A77AF6">
        <w:t xml:space="preserve">.  In construction this means that the NHS must </w:t>
      </w:r>
      <w:r w:rsidR="00526B15" w:rsidRPr="00A77AF6">
        <w:t>provi</w:t>
      </w:r>
      <w:r w:rsidR="004C6551" w:rsidRPr="00A77AF6">
        <w:t>de</w:t>
      </w:r>
      <w:r w:rsidR="00526B15" w:rsidRPr="00A77AF6">
        <w:t xml:space="preserve"> safe and therapeutic buildings for patients and this duty of care is linked to professionalism and governance </w:t>
      </w:r>
      <w:sdt>
        <w:sdtPr>
          <w:id w:val="-854112201"/>
          <w:citation/>
        </w:sdtPr>
        <w:sdtEndPr/>
        <w:sdtContent>
          <w:r w:rsidR="00526B15" w:rsidRPr="00A77AF6">
            <w:fldChar w:fldCharType="begin"/>
          </w:r>
          <w:r w:rsidR="00526B15" w:rsidRPr="00A77AF6">
            <w:instrText xml:space="preserve">CITATION Dep141 \l 2057 </w:instrText>
          </w:r>
          <w:r w:rsidR="00526B15" w:rsidRPr="00A77AF6">
            <w:fldChar w:fldCharType="separate"/>
          </w:r>
          <w:r w:rsidR="008E653F" w:rsidRPr="00A77AF6">
            <w:t>(DH, 2014)</w:t>
          </w:r>
          <w:r w:rsidR="00526B15" w:rsidRPr="00A77AF6">
            <w:fldChar w:fldCharType="end"/>
          </w:r>
        </w:sdtContent>
      </w:sdt>
      <w:r w:rsidR="00526B15" w:rsidRPr="00A77AF6">
        <w:t>.  Th</w:t>
      </w:r>
      <w:r w:rsidR="004C6551" w:rsidRPr="00A77AF6">
        <w:t xml:space="preserve">e interview </w:t>
      </w:r>
      <w:r w:rsidR="00526B15" w:rsidRPr="00A77AF6">
        <w:t xml:space="preserve">results suggest a moral, pragmatic and legal approach to decision making in NHS construction projects and a cultural </w:t>
      </w:r>
      <w:r w:rsidR="00526B15" w:rsidRPr="00A77AF6">
        <w:rPr>
          <w:color w:val="000000" w:themeColor="text1"/>
        </w:rPr>
        <w:t xml:space="preserve">expectation about behaviour.  This is consistent with the literature which suggests that organisations  ‘are social actors responsible of the ethical or unethical behaviours of their employees’ </w:t>
      </w:r>
      <w:sdt>
        <w:sdtPr>
          <w:rPr>
            <w:color w:val="000000" w:themeColor="text1"/>
          </w:rPr>
          <w:id w:val="-1087301772"/>
          <w:citation/>
        </w:sdtPr>
        <w:sdtEndPr/>
        <w:sdtContent>
          <w:r w:rsidR="00526B15" w:rsidRPr="00A77AF6">
            <w:rPr>
              <w:color w:val="000000" w:themeColor="text1"/>
            </w:rPr>
            <w:fldChar w:fldCharType="begin"/>
          </w:r>
          <w:r w:rsidR="00526B15" w:rsidRPr="00A77AF6">
            <w:rPr>
              <w:color w:val="000000" w:themeColor="text1"/>
            </w:rPr>
            <w:instrText xml:space="preserve">CITATION Bar88 \p 101 \l 2057 </w:instrText>
          </w:r>
          <w:r w:rsidR="00526B15" w:rsidRPr="00A77AF6">
            <w:rPr>
              <w:color w:val="000000" w:themeColor="text1"/>
            </w:rPr>
            <w:fldChar w:fldCharType="separate"/>
          </w:r>
          <w:r w:rsidR="008E653F" w:rsidRPr="00A77AF6">
            <w:rPr>
              <w:color w:val="000000" w:themeColor="text1"/>
            </w:rPr>
            <w:t>(Victor &amp; Cullen, 1988, p. 101)</w:t>
          </w:r>
          <w:r w:rsidR="00526B15" w:rsidRPr="00A77AF6">
            <w:rPr>
              <w:color w:val="000000" w:themeColor="text1"/>
            </w:rPr>
            <w:fldChar w:fldCharType="end"/>
          </w:r>
        </w:sdtContent>
      </w:sdt>
      <w:r w:rsidR="00526B15" w:rsidRPr="00A77AF6">
        <w:rPr>
          <w:color w:val="000000" w:themeColor="text1"/>
        </w:rPr>
        <w:t xml:space="preserve"> and that firms encourage the desired ethical behaviour in their employees through organizational culture which </w:t>
      </w:r>
      <w:r w:rsidR="0082427E" w:rsidRPr="00A77AF6">
        <w:rPr>
          <w:color w:val="000000" w:themeColor="text1"/>
        </w:rPr>
        <w:t xml:space="preserve">rises above the </w:t>
      </w:r>
      <w:r w:rsidR="00526B15" w:rsidRPr="00A77AF6">
        <w:rPr>
          <w:color w:val="000000" w:themeColor="text1"/>
        </w:rPr>
        <w:t>individuals’ own moral values</w:t>
      </w:r>
      <w:r w:rsidR="0082427E" w:rsidRPr="00A77AF6">
        <w:rPr>
          <w:color w:val="000000" w:themeColor="text1"/>
        </w:rPr>
        <w:t xml:space="preserve"> </w:t>
      </w:r>
      <w:sdt>
        <w:sdtPr>
          <w:rPr>
            <w:color w:val="000000" w:themeColor="text1"/>
          </w:rPr>
          <w:id w:val="936407852"/>
          <w:citation/>
        </w:sdtPr>
        <w:sdtEndPr/>
        <w:sdtContent>
          <w:r w:rsidR="0082427E" w:rsidRPr="00A77AF6">
            <w:rPr>
              <w:color w:val="000000" w:themeColor="text1"/>
            </w:rPr>
            <w:fldChar w:fldCharType="begin"/>
          </w:r>
          <w:r w:rsidR="0082427E" w:rsidRPr="00A77AF6">
            <w:rPr>
              <w:color w:val="000000" w:themeColor="text1"/>
            </w:rPr>
            <w:instrText xml:space="preserve"> CITATION Tic14 \l 2057 </w:instrText>
          </w:r>
          <w:r w:rsidR="0082427E" w:rsidRPr="00A77AF6">
            <w:rPr>
              <w:color w:val="000000" w:themeColor="text1"/>
            </w:rPr>
            <w:fldChar w:fldCharType="separate"/>
          </w:r>
          <w:r w:rsidR="008E653F" w:rsidRPr="00A77AF6">
            <w:rPr>
              <w:color w:val="000000" w:themeColor="text1"/>
            </w:rPr>
            <w:t>(Tricker &amp; Tricker, 2014)</w:t>
          </w:r>
          <w:r w:rsidR="0082427E" w:rsidRPr="00A77AF6">
            <w:rPr>
              <w:color w:val="000000" w:themeColor="text1"/>
            </w:rPr>
            <w:fldChar w:fldCharType="end"/>
          </w:r>
        </w:sdtContent>
      </w:sdt>
      <w:r w:rsidR="00526B15" w:rsidRPr="00A77AF6">
        <w:rPr>
          <w:color w:val="000000" w:themeColor="text1"/>
        </w:rPr>
        <w:t xml:space="preserve">.  </w:t>
      </w:r>
      <w:r w:rsidR="00453367" w:rsidRPr="00A77AF6">
        <w:t>R</w:t>
      </w:r>
      <w:r w:rsidR="00D315B2" w:rsidRPr="00A77AF6">
        <w:t xml:space="preserve">espondents </w:t>
      </w:r>
      <w:r w:rsidR="00E12F6A" w:rsidRPr="00A77AF6">
        <w:t>support</w:t>
      </w:r>
      <w:r w:rsidR="00453367" w:rsidRPr="00A77AF6">
        <w:t>ed</w:t>
      </w:r>
      <w:r w:rsidR="00E12F6A" w:rsidRPr="00A77AF6">
        <w:t xml:space="preserve"> the idea that </w:t>
      </w:r>
      <w:r w:rsidR="00D315B2" w:rsidRPr="00A77AF6">
        <w:t>the NHS is protocol driven</w:t>
      </w:r>
      <w:r w:rsidR="00526B15" w:rsidRPr="00A77AF6">
        <w:t>, that protocols underpin th</w:t>
      </w:r>
      <w:r w:rsidR="00D315B2" w:rsidRPr="00A77AF6">
        <w:t xml:space="preserve">e capital approvals </w:t>
      </w:r>
      <w:r w:rsidR="00E12F6A" w:rsidRPr="00A77AF6">
        <w:t xml:space="preserve">and that </w:t>
      </w:r>
      <w:r w:rsidR="00453367" w:rsidRPr="00A77AF6">
        <w:t xml:space="preserve">there is no benefit </w:t>
      </w:r>
      <w:r w:rsidR="00526B15" w:rsidRPr="00A77AF6">
        <w:t xml:space="preserve">to be gained by </w:t>
      </w:r>
      <w:r w:rsidR="00D315B2" w:rsidRPr="00A77AF6">
        <w:t>break</w:t>
      </w:r>
      <w:r w:rsidR="00C913DE" w:rsidRPr="00A77AF6">
        <w:t>ing</w:t>
      </w:r>
      <w:r w:rsidR="00D315B2" w:rsidRPr="00A77AF6">
        <w:t xml:space="preserve"> the rules</w:t>
      </w:r>
      <w:r w:rsidR="00E12F6A" w:rsidRPr="00A77AF6">
        <w:t xml:space="preserve">.  </w:t>
      </w:r>
      <w:r w:rsidR="00526B15" w:rsidRPr="00A77AF6">
        <w:t xml:space="preserve">Respondents thought that </w:t>
      </w:r>
      <w:r w:rsidR="00D315B2" w:rsidRPr="00A77AF6">
        <w:t>if staff could not work in such a</w:t>
      </w:r>
      <w:r w:rsidR="00E12F6A" w:rsidRPr="00A77AF6">
        <w:t xml:space="preserve"> formalist </w:t>
      </w:r>
      <w:r w:rsidR="00D315B2" w:rsidRPr="00A77AF6">
        <w:t xml:space="preserve">environment they might self-select into another industry. </w:t>
      </w:r>
      <w:r w:rsidR="0051673E" w:rsidRPr="00A77AF6">
        <w:t xml:space="preserve"> </w:t>
      </w:r>
    </w:p>
    <w:p w14:paraId="248867E4" w14:textId="7770B973" w:rsidR="00D315B2" w:rsidRPr="00A77AF6" w:rsidRDefault="00D315B2" w:rsidP="00B604D5">
      <w:pPr>
        <w:spacing w:line="360" w:lineRule="auto"/>
      </w:pPr>
      <w:r w:rsidRPr="00A77AF6">
        <w:t xml:space="preserve">Ethical theory </w:t>
      </w:r>
      <w:r w:rsidR="00B604D5" w:rsidRPr="00A77AF6">
        <w:t xml:space="preserve">and applied ethical theory </w:t>
      </w:r>
      <w:r w:rsidR="004C6551" w:rsidRPr="00A77AF6">
        <w:t>are</w:t>
      </w:r>
      <w:r w:rsidRPr="00A77AF6">
        <w:t xml:space="preserve"> linked to other organisational theories</w:t>
      </w:r>
      <w:r w:rsidR="004C6551" w:rsidRPr="00A77AF6">
        <w:t xml:space="preserve">, such as stakeholder theory, </w:t>
      </w:r>
      <w:r w:rsidRPr="00A77AF6">
        <w:t>through the cultural norms of the NHS</w:t>
      </w:r>
      <w:r w:rsidR="004C6551" w:rsidRPr="00A77AF6">
        <w:t xml:space="preserve">.  Stakeholder theory explains the importance of managing stakeholders </w:t>
      </w:r>
      <w:r w:rsidR="00F45FFA" w:rsidRPr="00A77AF6">
        <w:t xml:space="preserve">both instrumentally and for perception of justice and fairness.  </w:t>
      </w:r>
      <w:r w:rsidRPr="00A77AF6">
        <w:t>Rules following maintain</w:t>
      </w:r>
      <w:r w:rsidR="004C6551" w:rsidRPr="00A77AF6">
        <w:t>s</w:t>
      </w:r>
      <w:r w:rsidRPr="00A77AF6">
        <w:t xml:space="preserve"> legitimacy </w:t>
      </w:r>
      <w:r w:rsidR="00B604D5" w:rsidRPr="00A77AF6">
        <w:t xml:space="preserve">in relation to </w:t>
      </w:r>
      <w:r w:rsidR="004C6551" w:rsidRPr="00A77AF6">
        <w:t xml:space="preserve">stakeholder management </w:t>
      </w:r>
      <w:r w:rsidRPr="00A77AF6">
        <w:t xml:space="preserve">because </w:t>
      </w:r>
      <w:r w:rsidR="00B604D5" w:rsidRPr="00A77AF6">
        <w:t xml:space="preserve">of the transparency </w:t>
      </w:r>
      <w:r w:rsidRPr="00A77AF6">
        <w:t>it provides</w:t>
      </w:r>
      <w:r w:rsidR="00B604D5" w:rsidRPr="00A77AF6">
        <w:t xml:space="preserve">. </w:t>
      </w:r>
      <w:r w:rsidRPr="00A77AF6">
        <w:t xml:space="preserve"> As Christensen (2007) </w:t>
      </w:r>
      <w:r w:rsidR="004C6551" w:rsidRPr="00A77AF6">
        <w:t>noted</w:t>
      </w:r>
      <w:r w:rsidRPr="00A77AF6">
        <w:t xml:space="preserve">, public sector organisations must balance the interests of many people and groups, although it is </w:t>
      </w:r>
      <w:r w:rsidR="00825072" w:rsidRPr="00A77AF6">
        <w:t xml:space="preserve">acknowledged that this is </w:t>
      </w:r>
      <w:r w:rsidRPr="00A77AF6">
        <w:t xml:space="preserve">difficult to do for large numbers of stakeholders.  Open and transparent behaviour underpinned by rules and processes creates an ethical environment where it is possible to monitor </w:t>
      </w:r>
      <w:r w:rsidR="00B604D5" w:rsidRPr="00A77AF6">
        <w:t>that</w:t>
      </w:r>
      <w:r w:rsidRPr="00A77AF6">
        <w:t xml:space="preserve"> this is being done.  It has already been shown that this approach underpins corporate governance.  </w:t>
      </w:r>
      <w:r w:rsidR="0051673E" w:rsidRPr="00A77AF6">
        <w:t>Christensen (2007) considered maint</w:t>
      </w:r>
      <w:r w:rsidR="00544163">
        <w:t xml:space="preserve">aining the </w:t>
      </w:r>
      <w:r w:rsidR="0051673E" w:rsidRPr="00A77AF6">
        <w:t xml:space="preserve">confidence </w:t>
      </w:r>
      <w:r w:rsidR="00544163">
        <w:t>of the</w:t>
      </w:r>
      <w:r w:rsidR="0051673E" w:rsidRPr="00A77AF6">
        <w:t xml:space="preserve"> public in public sector organisations </w:t>
      </w:r>
      <w:r w:rsidR="00544163">
        <w:t>to be</w:t>
      </w:r>
      <w:r w:rsidR="0051673E" w:rsidRPr="00A77AF6">
        <w:t xml:space="preserve"> crucial for their effective functioning. </w:t>
      </w:r>
    </w:p>
    <w:p w14:paraId="741B3127" w14:textId="3037B81F" w:rsidR="00F34E80" w:rsidRPr="00A77AF6" w:rsidRDefault="00C66DF0" w:rsidP="00B604D5">
      <w:pPr>
        <w:spacing w:line="360" w:lineRule="auto"/>
      </w:pPr>
      <w:r w:rsidRPr="00A77AF6">
        <w:t xml:space="preserve">The </w:t>
      </w:r>
      <w:r w:rsidR="00114250" w:rsidRPr="00A77AF6">
        <w:t xml:space="preserve">NHS </w:t>
      </w:r>
      <w:r w:rsidRPr="00A77AF6">
        <w:t xml:space="preserve">was identified as being risk averse by interviewees and the </w:t>
      </w:r>
      <w:r w:rsidR="00114250" w:rsidRPr="00A77AF6">
        <w:t>construction industries were identified as being risk averse</w:t>
      </w:r>
      <w:r w:rsidRPr="00A77AF6">
        <w:t xml:space="preserve"> in the literature</w:t>
      </w:r>
      <w:r w:rsidR="00B90DB5" w:rsidRPr="00A77AF6">
        <w:t xml:space="preserve"> review</w:t>
      </w:r>
      <w:r w:rsidR="00114250" w:rsidRPr="00A77AF6">
        <w:t xml:space="preserve"> (Winch 2010).</w:t>
      </w:r>
      <w:r w:rsidRPr="00A77AF6">
        <w:t xml:space="preserve">  Increased risk </w:t>
      </w:r>
      <w:r w:rsidR="00B90DB5" w:rsidRPr="00A77AF6">
        <w:t xml:space="preserve">or uncertainty </w:t>
      </w:r>
      <w:r w:rsidRPr="00A77AF6">
        <w:t>in projects can lead to increased cost and delay, so it is less risky</w:t>
      </w:r>
      <w:r w:rsidR="00B90DB5" w:rsidRPr="00A77AF6">
        <w:t xml:space="preserve"> and costly</w:t>
      </w:r>
      <w:r w:rsidRPr="00A77AF6">
        <w:t xml:space="preserve"> to follow rules than </w:t>
      </w:r>
      <w:r w:rsidR="00B90DB5" w:rsidRPr="00A77AF6">
        <w:t xml:space="preserve">it is </w:t>
      </w:r>
      <w:r w:rsidRPr="00A77AF6">
        <w:t xml:space="preserve">to break them.  </w:t>
      </w:r>
      <w:r w:rsidR="00F34E80" w:rsidRPr="00A77AF6">
        <w:t xml:space="preserve">The NHSE (1994) made it clear that rules should be followed in order to deliver projects to time, cost and quality so that increased costs and the impact of delays are not passed on to taxpayers.  </w:t>
      </w:r>
      <w:r w:rsidR="00B90DB5" w:rsidRPr="00A77AF6">
        <w:t xml:space="preserve">The risk averse nature of the NHS </w:t>
      </w:r>
      <w:r w:rsidR="00BC2C2A" w:rsidRPr="00A77AF6">
        <w:t xml:space="preserve">comes </w:t>
      </w:r>
      <w:r w:rsidR="00B90DB5" w:rsidRPr="00A77AF6">
        <w:t xml:space="preserve">from its </w:t>
      </w:r>
      <w:r w:rsidR="00F34E80" w:rsidRPr="00A77AF6">
        <w:t xml:space="preserve">place in the public sector and its concern with public safety. The consequences of making mistakes can be fatal for patients and rules protect both patients and staff. </w:t>
      </w:r>
    </w:p>
    <w:p w14:paraId="5C40D2EE" w14:textId="13CE4DB7" w:rsidR="00C62ECE" w:rsidRPr="00A77AF6" w:rsidRDefault="00114250" w:rsidP="00114250">
      <w:pPr>
        <w:pStyle w:val="Heading4"/>
        <w:numPr>
          <w:ilvl w:val="0"/>
          <w:numId w:val="0"/>
        </w:numPr>
        <w:spacing w:after="120"/>
        <w:ind w:left="862" w:hanging="862"/>
      </w:pPr>
      <w:r w:rsidRPr="00A77AF6">
        <w:lastRenderedPageBreak/>
        <w:t>Professional culture</w:t>
      </w:r>
    </w:p>
    <w:p w14:paraId="2006567E" w14:textId="59E43829" w:rsidR="00D315B2" w:rsidRPr="00A77AF6" w:rsidRDefault="00D315B2" w:rsidP="00333371">
      <w:pPr>
        <w:spacing w:line="360" w:lineRule="auto"/>
      </w:pPr>
      <w:r w:rsidRPr="00A77AF6">
        <w:t xml:space="preserve">The other </w:t>
      </w:r>
      <w:r w:rsidR="00671777" w:rsidRPr="00A77AF6">
        <w:t>factor that might contribute to a predisposition for rules following</w:t>
      </w:r>
      <w:r w:rsidRPr="00A77AF6">
        <w:t xml:space="preserve"> </w:t>
      </w:r>
      <w:r w:rsidR="006327A3" w:rsidRPr="00A77AF6">
        <w:t xml:space="preserve">is the influence </w:t>
      </w:r>
      <w:r w:rsidRPr="00A77AF6">
        <w:t xml:space="preserve">of </w:t>
      </w:r>
      <w:r w:rsidR="006327A3" w:rsidRPr="00A77AF6">
        <w:t xml:space="preserve">the ethical codes of </w:t>
      </w:r>
      <w:r w:rsidRPr="00A77AF6">
        <w:t xml:space="preserve">professional bodies.  </w:t>
      </w:r>
      <w:r w:rsidR="00F15C51">
        <w:t>S</w:t>
      </w:r>
      <w:r w:rsidR="009A621A" w:rsidRPr="00A77AF6">
        <w:t xml:space="preserve">ome </w:t>
      </w:r>
      <w:r w:rsidRPr="00A77AF6">
        <w:t xml:space="preserve">professions </w:t>
      </w:r>
      <w:r w:rsidR="009A621A" w:rsidRPr="00A77AF6">
        <w:t xml:space="preserve">(medical and nursing) </w:t>
      </w:r>
      <w:r w:rsidRPr="00A77AF6">
        <w:t xml:space="preserve">within the NHS and the construction industry </w:t>
      </w:r>
      <w:r w:rsidR="009A621A" w:rsidRPr="00A77AF6">
        <w:t>(</w:t>
      </w:r>
      <w:r w:rsidR="00114250" w:rsidRPr="00A77AF6">
        <w:t xml:space="preserve">chartered </w:t>
      </w:r>
      <w:r w:rsidR="009A621A" w:rsidRPr="00A77AF6">
        <w:t xml:space="preserve">surveyors, </w:t>
      </w:r>
      <w:r w:rsidR="00DD311D" w:rsidRPr="00A77AF6">
        <w:t xml:space="preserve">engineers, </w:t>
      </w:r>
      <w:r w:rsidR="009A621A" w:rsidRPr="00A77AF6">
        <w:t xml:space="preserve">project managers and constructors) </w:t>
      </w:r>
      <w:r w:rsidR="006327A3" w:rsidRPr="00A77AF6">
        <w:t xml:space="preserve">are </w:t>
      </w:r>
      <w:r w:rsidRPr="00A77AF6">
        <w:t xml:space="preserve">governed by </w:t>
      </w:r>
      <w:r w:rsidR="009A621A" w:rsidRPr="00A77AF6">
        <w:t xml:space="preserve">the </w:t>
      </w:r>
      <w:r w:rsidRPr="00A77AF6">
        <w:t>codes of conduct</w:t>
      </w:r>
      <w:r w:rsidR="009A621A" w:rsidRPr="00A77AF6">
        <w:t xml:space="preserve"> of their professional bodies</w:t>
      </w:r>
      <w:r w:rsidR="00114250" w:rsidRPr="00A77AF6">
        <w:t>.  A</w:t>
      </w:r>
      <w:r w:rsidR="005A4D2D" w:rsidRPr="00A77AF6">
        <w:t>s</w:t>
      </w:r>
      <w:r w:rsidR="00671777" w:rsidRPr="00A77AF6">
        <w:t xml:space="preserve"> the literature review discussed</w:t>
      </w:r>
      <w:r w:rsidR="00114250" w:rsidRPr="00A77AF6">
        <w:t xml:space="preserve">, these codes are for the maintenance </w:t>
      </w:r>
      <w:r w:rsidR="009A621A" w:rsidRPr="00A77AF6">
        <w:t>of</w:t>
      </w:r>
      <w:r w:rsidR="00671777" w:rsidRPr="00A77AF6">
        <w:t xml:space="preserve"> </w:t>
      </w:r>
      <w:r w:rsidR="009A621A" w:rsidRPr="00A77AF6">
        <w:t xml:space="preserve">public </w:t>
      </w:r>
      <w:r w:rsidR="00114250" w:rsidRPr="00A77AF6">
        <w:t xml:space="preserve">confidence </w:t>
      </w:r>
      <w:r w:rsidR="009A621A" w:rsidRPr="00A77AF6">
        <w:t>and to protect the public from harm</w:t>
      </w:r>
      <w:r w:rsidRPr="00A77AF6">
        <w:t xml:space="preserve">.  There </w:t>
      </w:r>
      <w:r w:rsidR="00671777" w:rsidRPr="00A77AF6">
        <w:t>are a variety</w:t>
      </w:r>
      <w:r w:rsidRPr="00A77AF6">
        <w:t xml:space="preserve"> of punishments for breaching these codes, for example, being struck of</w:t>
      </w:r>
      <w:r w:rsidR="00EA7C97" w:rsidRPr="00A77AF6">
        <w:t>f</w:t>
      </w:r>
      <w:r w:rsidRPr="00A77AF6">
        <w:t xml:space="preserve"> the professional register, which prevents an offender from practicing for a period</w:t>
      </w:r>
      <w:r w:rsidR="00114250" w:rsidRPr="00A77AF6">
        <w:t>, perhaps for life</w:t>
      </w:r>
      <w:r w:rsidRPr="00A77AF6">
        <w:t xml:space="preserve">.  These codes are based in the principles of good governance: openness, honesty, integrity amongst others and </w:t>
      </w:r>
      <w:r w:rsidR="00671777" w:rsidRPr="00A77AF6">
        <w:t>they</w:t>
      </w:r>
      <w:r w:rsidRPr="00A77AF6">
        <w:t xml:space="preserve"> </w:t>
      </w:r>
      <w:r w:rsidR="00114250" w:rsidRPr="00A77AF6">
        <w:t xml:space="preserve">create a formalist professional culture, which influences the conduct of professional staff. </w:t>
      </w:r>
    </w:p>
    <w:p w14:paraId="00CB68DC" w14:textId="73AC1293" w:rsidR="000B2E83" w:rsidRPr="00A77AF6" w:rsidRDefault="000B2E83" w:rsidP="00333371">
      <w:pPr>
        <w:spacing w:line="360" w:lineRule="auto"/>
      </w:pPr>
      <w:r w:rsidRPr="00A77AF6">
        <w:t>Several NHS staff groups are bound by their professional codes of conduct, such as doctors and nurses.  These professional values are also founded on the standards for public life set out by Nolan (1995) and are for the protection of the public.</w:t>
      </w:r>
    </w:p>
    <w:p w14:paraId="4BEA7CB9" w14:textId="4B3A333D" w:rsidR="005D1CD8" w:rsidRPr="00A77AF6" w:rsidRDefault="005D1CD8" w:rsidP="0077297C">
      <w:pPr>
        <w:pStyle w:val="Heading4"/>
        <w:numPr>
          <w:ilvl w:val="0"/>
          <w:numId w:val="0"/>
        </w:numPr>
        <w:spacing w:after="120"/>
        <w:ind w:left="862" w:hanging="862"/>
      </w:pPr>
      <w:r w:rsidRPr="00A77AF6">
        <w:t xml:space="preserve">Ethical predisposition </w:t>
      </w:r>
      <w:r w:rsidR="00570E15" w:rsidRPr="00A77AF6">
        <w:t xml:space="preserve">and success </w:t>
      </w:r>
      <w:r w:rsidRPr="00A77AF6">
        <w:t xml:space="preserve">in the delivery of NHS construction projects.  </w:t>
      </w:r>
    </w:p>
    <w:p w14:paraId="716DCFE9" w14:textId="026E4708" w:rsidR="00AC3086" w:rsidRPr="00A77AF6" w:rsidRDefault="000661D4" w:rsidP="00333371">
      <w:pPr>
        <w:spacing w:after="0" w:line="360" w:lineRule="auto"/>
      </w:pPr>
      <w:r w:rsidRPr="00A77AF6">
        <w:t>The study di</w:t>
      </w:r>
      <w:r w:rsidR="006135F2" w:rsidRPr="00A77AF6">
        <w:t>d</w:t>
      </w:r>
      <w:r w:rsidRPr="00A77AF6">
        <w:t xml:space="preserve"> not find a clear link between</w:t>
      </w:r>
      <w:r w:rsidR="000853AD" w:rsidRPr="00A77AF6">
        <w:t xml:space="preserve"> formalism and project success or utilitarianism and project success. </w:t>
      </w:r>
      <w:r w:rsidRPr="00A77AF6">
        <w:t xml:space="preserve"> </w:t>
      </w:r>
      <w:r w:rsidR="00671777" w:rsidRPr="00A77AF6">
        <w:t xml:space="preserve">This finding is not </w:t>
      </w:r>
      <w:r w:rsidR="000853AD" w:rsidRPr="00A77AF6">
        <w:t xml:space="preserve">surprising </w:t>
      </w:r>
      <w:r w:rsidR="009F04A4" w:rsidRPr="00A77AF6">
        <w:t>as NHS</w:t>
      </w:r>
      <w:r w:rsidR="00FC50B9" w:rsidRPr="00A77AF6">
        <w:t xml:space="preserve"> construction projects </w:t>
      </w:r>
      <w:r w:rsidR="000853AD" w:rsidRPr="00A77AF6">
        <w:t>are</w:t>
      </w:r>
      <w:r w:rsidR="00FC50B9" w:rsidRPr="00A77AF6">
        <w:t xml:space="preserve"> complex, often </w:t>
      </w:r>
      <w:r w:rsidR="000853AD" w:rsidRPr="00A77AF6">
        <w:t xml:space="preserve">lengthy and include </w:t>
      </w:r>
      <w:r w:rsidR="00FC50B9" w:rsidRPr="00A77AF6">
        <w:t xml:space="preserve">the involvement of many people </w:t>
      </w:r>
      <w:r w:rsidR="002B249D" w:rsidRPr="00A77AF6">
        <w:t xml:space="preserve">on the client and supplier side. </w:t>
      </w:r>
      <w:r w:rsidR="00671777" w:rsidRPr="00A77AF6">
        <w:t xml:space="preserve">There are many participants from executive directors to project teams to individual construction workers and from the Treasury to a nurse, patient or local resident.  </w:t>
      </w:r>
      <w:r w:rsidR="000853AD" w:rsidRPr="00A77AF6">
        <w:t>The literature discussed the fragmented nature of the UK construction industry</w:t>
      </w:r>
      <w:r w:rsidR="00AC3086" w:rsidRPr="00A77AF6">
        <w:t xml:space="preserve"> (Winch 2010, </w:t>
      </w:r>
      <w:r w:rsidR="002B249D" w:rsidRPr="00A77AF6">
        <w:t>CIOB</w:t>
      </w:r>
      <w:r w:rsidR="00AC3086" w:rsidRPr="00A77AF6">
        <w:t xml:space="preserve">, </w:t>
      </w:r>
      <w:r w:rsidR="002B249D" w:rsidRPr="00A77AF6">
        <w:t>2014)</w:t>
      </w:r>
      <w:r w:rsidR="00AC3086" w:rsidRPr="00A77AF6">
        <w:t xml:space="preserve">.   </w:t>
      </w:r>
      <w:r w:rsidR="002B249D" w:rsidRPr="00A77AF6">
        <w:t xml:space="preserve">It is perhaps impossible to ascribe project </w:t>
      </w:r>
      <w:r w:rsidR="006C2E57" w:rsidRPr="00A77AF6">
        <w:t>success</w:t>
      </w:r>
      <w:r w:rsidR="002B249D" w:rsidRPr="00A77AF6">
        <w:t xml:space="preserve"> to the ethical predisposition of one member of a project</w:t>
      </w:r>
      <w:r w:rsidR="00333371" w:rsidRPr="00A77AF6">
        <w:t xml:space="preserve"> as t</w:t>
      </w:r>
      <w:r w:rsidR="00716DF5" w:rsidRPr="00A77AF6">
        <w:t xml:space="preserve">here are </w:t>
      </w:r>
      <w:r w:rsidR="002B249D" w:rsidRPr="00A77AF6">
        <w:t>many other variables which influence whether time</w:t>
      </w:r>
      <w:r w:rsidR="000853AD" w:rsidRPr="00A77AF6">
        <w:t>,</w:t>
      </w:r>
      <w:r w:rsidR="002B249D" w:rsidRPr="00A77AF6">
        <w:t xml:space="preserve"> cost or quality can be met</w:t>
      </w:r>
      <w:r w:rsidR="00671777" w:rsidRPr="00A77AF6">
        <w:t xml:space="preserve">. These include </w:t>
      </w:r>
      <w:r w:rsidR="003054EE" w:rsidRPr="00A77AF6">
        <w:t xml:space="preserve">navigating </w:t>
      </w:r>
      <w:r w:rsidR="002B249D" w:rsidRPr="00A77AF6">
        <w:t>the complex approvals system through which NHS construction projects must pass</w:t>
      </w:r>
      <w:r w:rsidR="000853AD" w:rsidRPr="00A77AF6">
        <w:t xml:space="preserve">; </w:t>
      </w:r>
      <w:r w:rsidR="002B249D" w:rsidRPr="00A77AF6">
        <w:t>changes in scope</w:t>
      </w:r>
      <w:r w:rsidR="000853AD" w:rsidRPr="00A77AF6">
        <w:t xml:space="preserve"> and cost; </w:t>
      </w:r>
      <w:r w:rsidR="002B249D" w:rsidRPr="00A77AF6">
        <w:t xml:space="preserve">changes in government policy or funding; the </w:t>
      </w:r>
      <w:r w:rsidR="000853AD" w:rsidRPr="00A77AF6">
        <w:t xml:space="preserve">fluctuating </w:t>
      </w:r>
      <w:r w:rsidR="002B249D" w:rsidRPr="00A77AF6">
        <w:t xml:space="preserve">cost of materials </w:t>
      </w:r>
      <w:r w:rsidR="000853AD" w:rsidRPr="00A77AF6">
        <w:t xml:space="preserve">and </w:t>
      </w:r>
      <w:r w:rsidR="002B249D" w:rsidRPr="00A77AF6">
        <w:t xml:space="preserve">labour or </w:t>
      </w:r>
      <w:r w:rsidR="000853AD" w:rsidRPr="00A77AF6">
        <w:t xml:space="preserve">other </w:t>
      </w:r>
      <w:r w:rsidR="002B249D" w:rsidRPr="00A77AF6">
        <w:t xml:space="preserve">unforeseen circumstances such as archaeological or environmental discoveries </w:t>
      </w:r>
      <w:r w:rsidR="000853AD" w:rsidRPr="00A77AF6">
        <w:t>on a construction sit</w:t>
      </w:r>
      <w:r w:rsidR="00A61B1B">
        <w:t>e</w:t>
      </w:r>
      <w:r w:rsidR="000853AD" w:rsidRPr="00A77AF6">
        <w:t xml:space="preserve">, which may cause delay. </w:t>
      </w:r>
    </w:p>
    <w:p w14:paraId="4B1A4164" w14:textId="1ECD6498" w:rsidR="00333371" w:rsidRPr="00A77AF6" w:rsidRDefault="00AC3086" w:rsidP="00333371">
      <w:pPr>
        <w:spacing w:after="0" w:line="360" w:lineRule="auto"/>
        <w:rPr>
          <w:rFonts w:cstheme="minorHAnsi"/>
        </w:rPr>
      </w:pPr>
      <w:r w:rsidRPr="00A77AF6">
        <w:t>The literature was divided about the influence of a project manager on project success.  In the financial sector</w:t>
      </w:r>
      <w:r w:rsidR="00671777" w:rsidRPr="00A77AF6">
        <w:t>,</w:t>
      </w:r>
      <w:r w:rsidRPr="00A77AF6">
        <w:t xml:space="preserve"> </w:t>
      </w:r>
      <w:r w:rsidR="000853AD" w:rsidRPr="00A77AF6">
        <w:rPr>
          <w:rFonts w:cstheme="minorHAnsi"/>
        </w:rPr>
        <w:t>Geoghegan and Dulewicz</w:t>
      </w:r>
      <w:r w:rsidRPr="00A77AF6">
        <w:rPr>
          <w:rFonts w:cstheme="minorHAnsi"/>
        </w:rPr>
        <w:t xml:space="preserve"> (</w:t>
      </w:r>
      <w:r w:rsidR="000853AD" w:rsidRPr="00A77AF6">
        <w:rPr>
          <w:rFonts w:cstheme="minorHAnsi"/>
        </w:rPr>
        <w:t>2008)</w:t>
      </w:r>
      <w:r w:rsidRPr="00A77AF6">
        <w:rPr>
          <w:rFonts w:cstheme="minorHAnsi"/>
        </w:rPr>
        <w:t xml:space="preserve"> suggested that </w:t>
      </w:r>
      <w:r w:rsidR="003D0989" w:rsidRPr="00A77AF6">
        <w:t xml:space="preserve">that </w:t>
      </w:r>
      <w:r w:rsidRPr="00A77AF6">
        <w:t xml:space="preserve">a project manager’s </w:t>
      </w:r>
      <w:r w:rsidR="003D0989" w:rsidRPr="00A77AF6">
        <w:t xml:space="preserve">‘soft’ skills such as leadership, communication and problem solving </w:t>
      </w:r>
      <w:r w:rsidR="000853AD" w:rsidRPr="00A77AF6">
        <w:rPr>
          <w:rFonts w:cstheme="minorHAnsi"/>
        </w:rPr>
        <w:t xml:space="preserve">played a part in successful outcome. </w:t>
      </w:r>
      <w:r w:rsidR="00CE5FF7" w:rsidRPr="00A77AF6">
        <w:rPr>
          <w:rFonts w:cstheme="minorHAnsi"/>
        </w:rPr>
        <w:t xml:space="preserve"> </w:t>
      </w:r>
      <w:r w:rsidRPr="00A77AF6">
        <w:rPr>
          <w:rFonts w:cstheme="minorHAnsi"/>
        </w:rPr>
        <w:t xml:space="preserve">On the other hand, </w:t>
      </w:r>
      <w:r w:rsidR="00CE5FF7" w:rsidRPr="00A77AF6">
        <w:rPr>
          <w:rFonts w:cstheme="minorHAnsi"/>
        </w:rPr>
        <w:t xml:space="preserve">Munns and Bjeirmi (1996) </w:t>
      </w:r>
      <w:r w:rsidRPr="00A77AF6">
        <w:rPr>
          <w:rFonts w:cstheme="minorHAnsi"/>
        </w:rPr>
        <w:t xml:space="preserve">previously </w:t>
      </w:r>
      <w:r w:rsidR="00CE5FF7" w:rsidRPr="00A77AF6">
        <w:rPr>
          <w:rFonts w:cstheme="minorHAnsi"/>
        </w:rPr>
        <w:t>argued that project management is not necessarily important for project success, but the selection of the right project is</w:t>
      </w:r>
      <w:r w:rsidR="00D0407C" w:rsidRPr="00A77AF6">
        <w:rPr>
          <w:rFonts w:cstheme="minorHAnsi"/>
        </w:rPr>
        <w:t xml:space="preserve">. </w:t>
      </w:r>
    </w:p>
    <w:p w14:paraId="1501E986" w14:textId="47CC1DC5" w:rsidR="00854174" w:rsidRPr="00A77AF6" w:rsidRDefault="00AC3086" w:rsidP="00A61B1B">
      <w:pPr>
        <w:spacing w:after="120" w:line="360" w:lineRule="auto"/>
      </w:pPr>
      <w:r w:rsidRPr="00A77AF6">
        <w:rPr>
          <w:rFonts w:cstheme="minorHAnsi"/>
        </w:rPr>
        <w:t>The influence of ethical</w:t>
      </w:r>
      <w:r w:rsidR="00D0407C" w:rsidRPr="00A77AF6">
        <w:rPr>
          <w:rFonts w:cstheme="minorHAnsi"/>
        </w:rPr>
        <w:t xml:space="preserve"> predisposition and </w:t>
      </w:r>
      <w:r w:rsidR="00333371" w:rsidRPr="00A77AF6">
        <w:rPr>
          <w:rFonts w:cstheme="minorHAnsi"/>
        </w:rPr>
        <w:t xml:space="preserve">NHS construction </w:t>
      </w:r>
      <w:r w:rsidR="00D0407C" w:rsidRPr="00A77AF6">
        <w:rPr>
          <w:rFonts w:cstheme="minorHAnsi"/>
        </w:rPr>
        <w:t xml:space="preserve">project success </w:t>
      </w:r>
      <w:r w:rsidRPr="00A77AF6">
        <w:rPr>
          <w:rFonts w:cstheme="minorHAnsi"/>
        </w:rPr>
        <w:t xml:space="preserve">has not previously been examined, </w:t>
      </w:r>
      <w:r w:rsidR="00D0407C" w:rsidRPr="00A77AF6">
        <w:rPr>
          <w:rFonts w:cstheme="minorHAnsi"/>
        </w:rPr>
        <w:t>and w</w:t>
      </w:r>
      <w:r w:rsidR="009118CF" w:rsidRPr="00A77AF6">
        <w:t>hilst i</w:t>
      </w:r>
      <w:r w:rsidR="00854174" w:rsidRPr="00A77AF6">
        <w:t xml:space="preserve">t was not possible to conclude </w:t>
      </w:r>
      <w:r w:rsidR="00C32289" w:rsidRPr="00A77AF6">
        <w:t xml:space="preserve">that ethical predisposition </w:t>
      </w:r>
      <w:r w:rsidR="00D0407C" w:rsidRPr="00A77AF6">
        <w:t xml:space="preserve">caused </w:t>
      </w:r>
      <w:r w:rsidR="00D0407C" w:rsidRPr="00A77AF6">
        <w:lastRenderedPageBreak/>
        <w:t xml:space="preserve">project success, it has been possible </w:t>
      </w:r>
      <w:r w:rsidR="00333371" w:rsidRPr="00A77AF6">
        <w:t>to establish</w:t>
      </w:r>
      <w:r w:rsidR="00854174" w:rsidRPr="00A77AF6">
        <w:t xml:space="preserve"> that people involved in NHS projects were predominantly formalists</w:t>
      </w:r>
      <w:r w:rsidR="00D573AA" w:rsidRPr="00A77AF6">
        <w:t xml:space="preserve">. </w:t>
      </w:r>
      <w:r w:rsidR="00C32289" w:rsidRPr="00A77AF6">
        <w:t xml:space="preserve"> This is important because i</w:t>
      </w:r>
      <w:r w:rsidR="00854174" w:rsidRPr="00A77AF6">
        <w:t xml:space="preserve">f the literature on management studies is correct </w:t>
      </w:r>
      <w:r w:rsidR="00A61B1B">
        <w:t xml:space="preserve">that </w:t>
      </w:r>
      <w:r w:rsidR="009F04A4" w:rsidRPr="00A77AF6">
        <w:t>formalism</w:t>
      </w:r>
      <w:r w:rsidR="00854174" w:rsidRPr="00A77AF6">
        <w:t xml:space="preserve"> </w:t>
      </w:r>
      <w:r w:rsidR="00333371" w:rsidRPr="00A77AF6">
        <w:t>is synonymous with</w:t>
      </w:r>
      <w:r w:rsidR="00A71FB5" w:rsidRPr="00A77AF6">
        <w:t xml:space="preserve"> </w:t>
      </w:r>
      <w:r w:rsidR="00854174" w:rsidRPr="00A77AF6">
        <w:t>morality</w:t>
      </w:r>
      <w:r w:rsidR="0091226C" w:rsidRPr="00A77AF6">
        <w:t>, both personally and corporately</w:t>
      </w:r>
      <w:r w:rsidR="00675C80" w:rsidRPr="00A77AF6">
        <w:t xml:space="preserve">, </w:t>
      </w:r>
      <w:r w:rsidR="00333371" w:rsidRPr="00A77AF6">
        <w:t>it</w:t>
      </w:r>
      <w:r w:rsidR="009118CF" w:rsidRPr="00A77AF6">
        <w:t xml:space="preserve"> </w:t>
      </w:r>
      <w:r w:rsidR="00D0407C" w:rsidRPr="00A77AF6">
        <w:t xml:space="preserve">is </w:t>
      </w:r>
      <w:r w:rsidR="009118CF" w:rsidRPr="00A77AF6">
        <w:t xml:space="preserve">possible to conclude that </w:t>
      </w:r>
      <w:r w:rsidR="00854174" w:rsidRPr="00A77AF6">
        <w:t xml:space="preserve">personnel in </w:t>
      </w:r>
      <w:r w:rsidR="00D0407C" w:rsidRPr="00A77AF6">
        <w:t>th</w:t>
      </w:r>
      <w:r w:rsidRPr="00A77AF6">
        <w:t>is study</w:t>
      </w:r>
      <w:r w:rsidR="00333371" w:rsidRPr="00A77AF6">
        <w:t xml:space="preserve"> </w:t>
      </w:r>
      <w:r w:rsidR="00BB54F9" w:rsidRPr="00A77AF6">
        <w:t>are moral.  Formalistic characteristics a</w:t>
      </w:r>
      <w:r w:rsidRPr="00A77AF6">
        <w:t>dvocated by Cadbury (1992), Nolan (1995) and professional codes of conduct</w:t>
      </w:r>
      <w:r w:rsidR="003D0B14" w:rsidRPr="00A77AF6">
        <w:t xml:space="preserve"> </w:t>
      </w:r>
      <w:r w:rsidR="009118CF" w:rsidRPr="00A77AF6">
        <w:t>should give confidence to stakeholders that personnel in NHS construction projects</w:t>
      </w:r>
      <w:r w:rsidR="003D0B14" w:rsidRPr="00A77AF6">
        <w:t xml:space="preserve"> are </w:t>
      </w:r>
      <w:r w:rsidRPr="00A77AF6">
        <w:t xml:space="preserve">behaving with </w:t>
      </w:r>
      <w:r w:rsidR="003D0B14" w:rsidRPr="00A77AF6">
        <w:t xml:space="preserve">high ethical standards and </w:t>
      </w:r>
      <w:r w:rsidR="00BB54F9" w:rsidRPr="00A77AF6">
        <w:t>in turn this should ensure that</w:t>
      </w:r>
      <w:r w:rsidR="003D0B14" w:rsidRPr="00A77AF6">
        <w:t xml:space="preserve"> projects </w:t>
      </w:r>
      <w:r w:rsidR="00BB54F9" w:rsidRPr="00A77AF6">
        <w:t xml:space="preserve">have </w:t>
      </w:r>
      <w:r w:rsidR="003D0B14" w:rsidRPr="00A77AF6">
        <w:t xml:space="preserve">legitimacy. </w:t>
      </w:r>
    </w:p>
    <w:p w14:paraId="6AB23F62" w14:textId="64C74CD5" w:rsidR="00DD311D" w:rsidRPr="00A77AF6" w:rsidRDefault="00DD311D" w:rsidP="00DD311D">
      <w:pPr>
        <w:spacing w:line="360" w:lineRule="auto"/>
      </w:pPr>
      <w:r w:rsidRPr="00A77AF6">
        <w:t>I</w:t>
      </w:r>
      <w:r w:rsidR="00D42A07" w:rsidRPr="00A77AF6">
        <w:t>t appears that</w:t>
      </w:r>
      <w:r w:rsidR="00402E2A" w:rsidRPr="00A77AF6">
        <w:t xml:space="preserve"> ethical predisposition cannot be a determinant of project success </w:t>
      </w:r>
      <w:r w:rsidR="003D0B14" w:rsidRPr="00A77AF6">
        <w:t xml:space="preserve">because </w:t>
      </w:r>
      <w:r w:rsidRPr="00A77AF6">
        <w:t xml:space="preserve">projects are subject to many other factors such as </w:t>
      </w:r>
      <w:r w:rsidR="003D0B14" w:rsidRPr="00A77AF6">
        <w:t>complexity</w:t>
      </w:r>
      <w:r w:rsidRPr="00A77AF6">
        <w:t xml:space="preserve">, </w:t>
      </w:r>
      <w:r w:rsidR="00D42A07" w:rsidRPr="00A77AF6">
        <w:t xml:space="preserve">the numbers of </w:t>
      </w:r>
      <w:r w:rsidRPr="00A77AF6">
        <w:t xml:space="preserve">stakeholders and their length which expose projects to the inevitability of change. </w:t>
      </w:r>
      <w:r w:rsidR="00BB54F9" w:rsidRPr="00A77AF6">
        <w:t xml:space="preserve">Successful </w:t>
      </w:r>
      <w:r w:rsidR="00402E2A" w:rsidRPr="00A77AF6">
        <w:t>NHS projects</w:t>
      </w:r>
      <w:r w:rsidR="00BB54F9" w:rsidRPr="00A77AF6">
        <w:t xml:space="preserve"> are </w:t>
      </w:r>
      <w:r w:rsidR="00BD02D0" w:rsidRPr="00A77AF6">
        <w:t xml:space="preserve">achieved by many interconnected activities and </w:t>
      </w:r>
      <w:r w:rsidR="00402E2A" w:rsidRPr="00A77AF6">
        <w:t xml:space="preserve">people </w:t>
      </w:r>
      <w:r w:rsidRPr="00A77AF6">
        <w:t>combining</w:t>
      </w:r>
      <w:r w:rsidR="00402E2A" w:rsidRPr="00A77AF6">
        <w:t xml:space="preserve"> over </w:t>
      </w:r>
      <w:r w:rsidR="00434810" w:rsidRPr="00A77AF6">
        <w:t>a period</w:t>
      </w:r>
      <w:r w:rsidR="00402E2A" w:rsidRPr="00A77AF6">
        <w:t xml:space="preserve"> to deliver </w:t>
      </w:r>
      <w:r w:rsidRPr="00A77AF6">
        <w:t>the buildings</w:t>
      </w:r>
      <w:r w:rsidR="00BB54F9" w:rsidRPr="00A77AF6">
        <w:t xml:space="preserve">, so project success cannot be attributed to one person or one characteristic.   </w:t>
      </w:r>
      <w:r w:rsidR="003D0B14" w:rsidRPr="00A77AF6">
        <w:t>What the results of this study suggest is</w:t>
      </w:r>
      <w:r w:rsidR="00160170" w:rsidRPr="00A77AF6">
        <w:t xml:space="preserve"> that project personnel </w:t>
      </w:r>
      <w:r w:rsidR="00E31244" w:rsidRPr="00A77AF6">
        <w:t>are</w:t>
      </w:r>
      <w:r w:rsidR="00160170" w:rsidRPr="00A77AF6">
        <w:t xml:space="preserve"> likely to follow the rules to deliver a project</w:t>
      </w:r>
      <w:r w:rsidR="00BB54F9" w:rsidRPr="00A77AF6">
        <w:t xml:space="preserve">, that </w:t>
      </w:r>
      <w:r w:rsidR="00CA59BC" w:rsidRPr="00A77AF6">
        <w:t>NHS project</w:t>
      </w:r>
      <w:r w:rsidR="00EA7C97" w:rsidRPr="00A77AF6">
        <w:t>s</w:t>
      </w:r>
      <w:r w:rsidR="00CA59BC" w:rsidRPr="00A77AF6">
        <w:t xml:space="preserve"> are delivered with ‘</w:t>
      </w:r>
      <w:r w:rsidR="00CA59BC" w:rsidRPr="00A77AF6">
        <w:rPr>
          <w:rFonts w:cstheme="minorHAnsi"/>
        </w:rPr>
        <w:t xml:space="preserve">selflessness, integrity, objectivity, accountability, openness, honesty and leadership’ </w:t>
      </w:r>
      <w:sdt>
        <w:sdtPr>
          <w:rPr>
            <w:rFonts w:cstheme="minorHAnsi"/>
          </w:rPr>
          <w:id w:val="1700192132"/>
          <w:citation/>
        </w:sdtPr>
        <w:sdtEndPr/>
        <w:sdtContent>
          <w:r w:rsidR="00CA59BC" w:rsidRPr="00A77AF6">
            <w:rPr>
              <w:rFonts w:cstheme="minorHAnsi"/>
            </w:rPr>
            <w:fldChar w:fldCharType="begin"/>
          </w:r>
          <w:r w:rsidR="00CA59BC" w:rsidRPr="00A77AF6">
            <w:rPr>
              <w:rFonts w:cstheme="minorHAnsi"/>
            </w:rPr>
            <w:instrText xml:space="preserve">CITATION Nol95 \p 14 \l 2057 </w:instrText>
          </w:r>
          <w:r w:rsidR="00CA59BC" w:rsidRPr="00A77AF6">
            <w:rPr>
              <w:rFonts w:cstheme="minorHAnsi"/>
            </w:rPr>
            <w:fldChar w:fldCharType="separate"/>
          </w:r>
          <w:r w:rsidR="008E653F" w:rsidRPr="00A77AF6">
            <w:rPr>
              <w:rFonts w:cstheme="minorHAnsi"/>
            </w:rPr>
            <w:t>(Nolan, 1995, p. 14)</w:t>
          </w:r>
          <w:r w:rsidR="00CA59BC" w:rsidRPr="00A77AF6">
            <w:rPr>
              <w:rFonts w:cstheme="minorHAnsi"/>
            </w:rPr>
            <w:fldChar w:fldCharType="end"/>
          </w:r>
        </w:sdtContent>
      </w:sdt>
      <w:r w:rsidR="00BB54F9" w:rsidRPr="00A77AF6">
        <w:rPr>
          <w:rFonts w:cstheme="minorHAnsi"/>
        </w:rPr>
        <w:t xml:space="preserve"> and that this </w:t>
      </w:r>
      <w:r w:rsidR="001E79BD" w:rsidRPr="00A77AF6">
        <w:rPr>
          <w:rFonts w:cstheme="minorHAnsi"/>
        </w:rPr>
        <w:t xml:space="preserve">contributes to project legitimacy. </w:t>
      </w:r>
    </w:p>
    <w:p w14:paraId="5336713C" w14:textId="5A5D3FF7" w:rsidR="00DD311D" w:rsidRPr="00A77AF6" w:rsidRDefault="00DD311D" w:rsidP="00DD311D">
      <w:pPr>
        <w:spacing w:line="360" w:lineRule="auto"/>
      </w:pPr>
      <w:r w:rsidRPr="00A77AF6">
        <w:t xml:space="preserve">The results of this study suggest that the predominance of ethical predisposition is rooted in the formalistic culture of the NHS and if the premise is accepted that formalism is morally more ethical than utilitarianism, then this research appears to suggest that NHS construction projects are carried out ethically.  </w:t>
      </w:r>
    </w:p>
    <w:p w14:paraId="247B852C" w14:textId="608755DA" w:rsidR="00160170" w:rsidRPr="00A77AF6" w:rsidRDefault="00095930" w:rsidP="00E03FD3">
      <w:pPr>
        <w:pStyle w:val="Heading2"/>
        <w:spacing w:after="120"/>
      </w:pPr>
      <w:bookmarkStart w:id="195" w:name="_Toc36275148"/>
      <w:r w:rsidRPr="00A77AF6">
        <w:t>Corporate and project g</w:t>
      </w:r>
      <w:r w:rsidR="00160170" w:rsidRPr="00A77AF6">
        <w:t>overnance</w:t>
      </w:r>
      <w:bookmarkEnd w:id="195"/>
    </w:p>
    <w:p w14:paraId="02C3CAFE" w14:textId="6ADEB119" w:rsidR="001E79BD" w:rsidRPr="00A77AF6" w:rsidRDefault="005E06F7" w:rsidP="001E79BD">
      <w:pPr>
        <w:spacing w:line="360" w:lineRule="auto"/>
      </w:pPr>
      <w:r w:rsidRPr="00A77AF6">
        <w:t xml:space="preserve">This section discusses the </w:t>
      </w:r>
      <w:r w:rsidR="00B17B11" w:rsidRPr="00A77AF6">
        <w:t>finding</w:t>
      </w:r>
      <w:r w:rsidR="001E79BD" w:rsidRPr="00A77AF6">
        <w:t>s</w:t>
      </w:r>
      <w:r w:rsidR="00B17B11" w:rsidRPr="00A77AF6">
        <w:t xml:space="preserve"> on </w:t>
      </w:r>
      <w:r w:rsidR="001E79BD" w:rsidRPr="00A77AF6">
        <w:t xml:space="preserve">corporate </w:t>
      </w:r>
      <w:r w:rsidRPr="00A77AF6">
        <w:t>governance</w:t>
      </w:r>
      <w:r w:rsidR="001E79BD" w:rsidRPr="00A77AF6">
        <w:t xml:space="preserve"> (trust board), project governance (project board) and the interface between them. </w:t>
      </w:r>
      <w:r w:rsidR="00A62074" w:rsidRPr="00A77AF6">
        <w:t xml:space="preserve"> </w:t>
      </w:r>
      <w:r w:rsidR="001E79BD" w:rsidRPr="00A77AF6">
        <w:t xml:space="preserve">This study did not show that effective corporate or project governance led to project success.  </w:t>
      </w:r>
    </w:p>
    <w:p w14:paraId="488CF8C7" w14:textId="6A630E3B" w:rsidR="00B17B11" w:rsidRPr="00A77AF6" w:rsidRDefault="00F13AFE" w:rsidP="001E79BD">
      <w:pPr>
        <w:pStyle w:val="Heading3"/>
        <w:spacing w:after="120"/>
      </w:pPr>
      <w:bookmarkStart w:id="196" w:name="_Toc36275149"/>
      <w:r w:rsidRPr="00A77AF6">
        <w:t>Corporate governance</w:t>
      </w:r>
      <w:bookmarkEnd w:id="196"/>
    </w:p>
    <w:p w14:paraId="28054A8A" w14:textId="787D217C" w:rsidR="001E79BD" w:rsidRPr="00A77AF6" w:rsidRDefault="001E79BD" w:rsidP="00147B0E">
      <w:pPr>
        <w:spacing w:line="360" w:lineRule="auto"/>
      </w:pPr>
      <w:r w:rsidRPr="00A77AF6">
        <w:t>R</w:t>
      </w:r>
      <w:r w:rsidR="00B17B11" w:rsidRPr="00A77AF6">
        <w:t>espondents were less aware of corporate governance</w:t>
      </w:r>
      <w:r w:rsidR="00F13AFE" w:rsidRPr="00A77AF6">
        <w:t xml:space="preserve"> (trust board)</w:t>
      </w:r>
      <w:r w:rsidR="00B17B11" w:rsidRPr="00A77AF6">
        <w:t xml:space="preserve"> than they were of project governance and those that were aware, perceived corporate governance to be less effective than project governance. Findings showed that respondents were almost evenly divided in their opinion about the effectiveness of corporate governance with (42%) perceiving corporate governance to be effective and 41% perceiving it to be ineffective.  </w:t>
      </w:r>
      <w:r w:rsidR="00B17B11" w:rsidRPr="00A77AF6">
        <w:rPr>
          <w:rFonts w:cstheme="minorHAnsi"/>
        </w:rPr>
        <w:t xml:space="preserve"> </w:t>
      </w:r>
      <w:r w:rsidR="00B17B11" w:rsidRPr="00A77AF6">
        <w:t>The interviews</w:t>
      </w:r>
      <w:r w:rsidR="00F13AFE" w:rsidRPr="00A77AF6">
        <w:t xml:space="preserve"> explained </w:t>
      </w:r>
      <w:r w:rsidR="00B17B11" w:rsidRPr="00A77AF6">
        <w:t xml:space="preserve">the reasons for the divided opinion.  </w:t>
      </w:r>
      <w:r w:rsidR="00F13AFE" w:rsidRPr="00A77AF6">
        <w:t>T</w:t>
      </w:r>
      <w:r w:rsidR="00B17B11" w:rsidRPr="00A77AF6">
        <w:t xml:space="preserve">he corporate layer’s skill sets </w:t>
      </w:r>
      <w:r w:rsidR="00F13AFE" w:rsidRPr="00A77AF6">
        <w:t xml:space="preserve">were thought to be </w:t>
      </w:r>
      <w:r w:rsidR="00B17B11" w:rsidRPr="00A77AF6">
        <w:t xml:space="preserve">more appropriate for operational rather than project management.  </w:t>
      </w:r>
    </w:p>
    <w:p w14:paraId="7EAE05A9" w14:textId="7A6A56A5" w:rsidR="00DD1B38" w:rsidRPr="00A77AF6" w:rsidRDefault="001E79BD" w:rsidP="00CC08B1">
      <w:pPr>
        <w:spacing w:line="360" w:lineRule="auto"/>
      </w:pPr>
      <w:r w:rsidRPr="00A77AF6">
        <w:lastRenderedPageBreak/>
        <w:t>Project governance was perceived to be more effective than not, and more effective than corporate governance.  Th</w:t>
      </w:r>
      <w:r w:rsidR="00CC08B1" w:rsidRPr="00A77AF6">
        <w:t xml:space="preserve">is </w:t>
      </w:r>
      <w:r w:rsidRPr="00A77AF6">
        <w:t>may be explained by the fact that project personnel were judging their</w:t>
      </w:r>
      <w:r w:rsidR="00CC08B1" w:rsidRPr="00A77AF6">
        <w:t xml:space="preserve"> own</w:t>
      </w:r>
      <w:r w:rsidRPr="00A77AF6">
        <w:t xml:space="preserve"> part in the project, so may</w:t>
      </w:r>
      <w:r w:rsidR="00CC08B1" w:rsidRPr="00A77AF6">
        <w:t xml:space="preserve"> have </w:t>
      </w:r>
      <w:r w:rsidRPr="00A77AF6">
        <w:t>be</w:t>
      </w:r>
      <w:r w:rsidR="00CC08B1" w:rsidRPr="00A77AF6">
        <w:t>en</w:t>
      </w:r>
      <w:r w:rsidRPr="00A77AF6">
        <w:t xml:space="preserve"> inclined to take a more favourable view. </w:t>
      </w:r>
      <w:r w:rsidR="00CC08B1" w:rsidRPr="00A77AF6">
        <w:t xml:space="preserve"> As p</w:t>
      </w:r>
      <w:r w:rsidRPr="00A77AF6">
        <w:t xml:space="preserve">roject personnel are more involved in the day-to-day running of a </w:t>
      </w:r>
      <w:r w:rsidR="00CC08B1" w:rsidRPr="00A77AF6">
        <w:t>projects,</w:t>
      </w:r>
      <w:r w:rsidRPr="00A77AF6">
        <w:t xml:space="preserve"> </w:t>
      </w:r>
      <w:r w:rsidR="00CC08B1" w:rsidRPr="00A77AF6">
        <w:t xml:space="preserve">they </w:t>
      </w:r>
      <w:r w:rsidRPr="00A77AF6">
        <w:t>would be expected to</w:t>
      </w:r>
      <w:r w:rsidR="00CC08B1" w:rsidRPr="00A77AF6">
        <w:t xml:space="preserve"> know about </w:t>
      </w:r>
      <w:r w:rsidRPr="00A77AF6">
        <w:t xml:space="preserve">project governance structures and roles within the project.  </w:t>
      </w:r>
      <w:r w:rsidR="00CC08B1" w:rsidRPr="00A77AF6">
        <w:t>G</w:t>
      </w:r>
      <w:r w:rsidRPr="00A77AF6">
        <w:t xml:space="preserve">overnance </w:t>
      </w:r>
      <w:r w:rsidR="00CC08B1" w:rsidRPr="00A77AF6">
        <w:t xml:space="preserve">was </w:t>
      </w:r>
      <w:r w:rsidRPr="00A77AF6">
        <w:t xml:space="preserve"> thought to be valuable as it has a role in holding long and complicated projects together. </w:t>
      </w:r>
    </w:p>
    <w:p w14:paraId="7F25590C" w14:textId="4FDB00A3" w:rsidR="00DD1B38" w:rsidRPr="00A77AF6" w:rsidRDefault="00CC08B1" w:rsidP="009F04A4">
      <w:pPr>
        <w:pStyle w:val="Heading4"/>
        <w:numPr>
          <w:ilvl w:val="0"/>
          <w:numId w:val="0"/>
        </w:numPr>
        <w:spacing w:after="120"/>
        <w:ind w:left="862" w:hanging="862"/>
      </w:pPr>
      <w:r w:rsidRPr="00A77AF6">
        <w:t>Trust b</w:t>
      </w:r>
      <w:r w:rsidR="00B9176E" w:rsidRPr="00A77AF6">
        <w:t xml:space="preserve">oard </w:t>
      </w:r>
      <w:r w:rsidR="00DD1B38" w:rsidRPr="00A77AF6">
        <w:t>understanding of the project environment</w:t>
      </w:r>
    </w:p>
    <w:p w14:paraId="43E5C430" w14:textId="5BE068FB" w:rsidR="00147B0E" w:rsidRPr="00A77AF6" w:rsidRDefault="00147B0E" w:rsidP="00147B0E">
      <w:pPr>
        <w:spacing w:line="360" w:lineRule="auto"/>
      </w:pPr>
      <w:r w:rsidRPr="00A77AF6">
        <w:t xml:space="preserve">There was a perception that </w:t>
      </w:r>
      <w:r w:rsidR="00DD1733" w:rsidRPr="00A77AF6">
        <w:t>the trust board</w:t>
      </w:r>
      <w:r w:rsidRPr="00A77AF6">
        <w:t xml:space="preserve"> was distant from the project environment, lacked understanding about projects management, was not interested in the detail and wanted problems to be taken care of by project teams.  </w:t>
      </w:r>
      <w:r w:rsidR="00DD65C3" w:rsidRPr="00A77AF6">
        <w:t xml:space="preserve">Consequently, the </w:t>
      </w:r>
      <w:r w:rsidR="00DD1733" w:rsidRPr="00A77AF6">
        <w:t xml:space="preserve">trust board </w:t>
      </w:r>
      <w:r w:rsidR="00DD65C3" w:rsidRPr="00A77AF6">
        <w:t xml:space="preserve">devolves power to the project director/ manager who </w:t>
      </w:r>
      <w:r w:rsidR="00DD1733" w:rsidRPr="00A77AF6">
        <w:t xml:space="preserve">acts as </w:t>
      </w:r>
      <w:r w:rsidR="00DD65C3" w:rsidRPr="00A77AF6">
        <w:t>the interface between corporate management and project delivery.  This leads to the agency problem (M</w:t>
      </w:r>
      <w:r w:rsidR="00DD65C3" w:rsidRPr="00A77AF6">
        <w:rPr>
          <w:rFonts w:cstheme="minorHAnsi"/>
        </w:rPr>
        <w:t xml:space="preserve">üller, 2009) whereby a significant amount of power resides in the project director, with the project director having the advantage over the trust board.  This pivotal role in the project structure exposed the asymmetry of information in projects that agency theory explains and places the project director in a position of strength in relation to the </w:t>
      </w:r>
      <w:r w:rsidR="00DD1733" w:rsidRPr="00A77AF6">
        <w:rPr>
          <w:rFonts w:cstheme="minorHAnsi"/>
        </w:rPr>
        <w:t>trust board</w:t>
      </w:r>
      <w:r w:rsidR="00DD65C3" w:rsidRPr="00A77AF6">
        <w:rPr>
          <w:rFonts w:cstheme="minorHAnsi"/>
        </w:rPr>
        <w:t xml:space="preserve">. </w:t>
      </w:r>
      <w:r w:rsidRPr="00A77AF6">
        <w:t xml:space="preserve">However, the </w:t>
      </w:r>
      <w:r w:rsidR="00DD1733" w:rsidRPr="00A77AF6">
        <w:t xml:space="preserve">trust board </w:t>
      </w:r>
      <w:r w:rsidRPr="00A77AF6">
        <w:t xml:space="preserve">has ultimate responsibility for the delivery of the project and for the healthcare services that will delivered from the new building.  </w:t>
      </w:r>
    </w:p>
    <w:p w14:paraId="6515BE1C" w14:textId="76FC732E" w:rsidR="00DD65C3" w:rsidRPr="00A77AF6" w:rsidRDefault="00147B0E" w:rsidP="00CE469C">
      <w:pPr>
        <w:spacing w:before="120" w:after="120" w:line="360" w:lineRule="auto"/>
      </w:pPr>
      <w:r w:rsidRPr="00A77AF6">
        <w:t>It is</w:t>
      </w:r>
      <w:r w:rsidR="00DD1733" w:rsidRPr="00A77AF6">
        <w:t xml:space="preserve"> likely </w:t>
      </w:r>
      <w:r w:rsidRPr="00A77AF6">
        <w:t>that the project and corporate layers are driven by different</w:t>
      </w:r>
      <w:r w:rsidR="00DD1733" w:rsidRPr="00A77AF6">
        <w:t xml:space="preserve"> albeit overlapping</w:t>
      </w:r>
      <w:r w:rsidRPr="00A77AF6">
        <w:t xml:space="preserve"> imperatives.  The project teams want to finish the project so that it can be brought into operation and whilst the corporate layer wants this too, it has a wider remit for the whole organisation.  These imperatives may clash, for example, the corporate board may take longer to reach a decision than the project team would wish because it needs to consider the impact of </w:t>
      </w:r>
      <w:r w:rsidR="00DD65C3" w:rsidRPr="00A77AF6">
        <w:t>project</w:t>
      </w:r>
      <w:r w:rsidRPr="00A77AF6">
        <w:t xml:space="preserve"> changes more widely.  This can lead to tension with the corporate board introducing </w:t>
      </w:r>
      <w:r w:rsidR="00DD65C3" w:rsidRPr="00A77AF6">
        <w:t>delay but</w:t>
      </w:r>
      <w:r w:rsidRPr="00A77AF6">
        <w:t xml:space="preserve"> blaming the project team for it.  </w:t>
      </w:r>
      <w:r w:rsidR="00DD65C3" w:rsidRPr="00A77AF6">
        <w:t>This ‘us and them’ culture led project teams to be afraid of giving bad news to the trust board for fear of recriminations and led to the view that trust boards should be managed, rather than actively engaged with</w:t>
      </w:r>
      <w:r w:rsidR="00A61B1B">
        <w:t xml:space="preserve">, </w:t>
      </w:r>
      <w:r w:rsidR="00B708A2" w:rsidRPr="00A77AF6">
        <w:t>resulting in</w:t>
      </w:r>
      <w:r w:rsidR="00DD65C3" w:rsidRPr="00A77AF6">
        <w:t xml:space="preserve"> the performance of governance (Expert A) and ‘sterile’ reporting (Expert E).  It appears that there is an unspoken unholy alliance, whereby project teams are frightened to give bad news and the corporate board does not want to hear it.  Whilst literature and industry guidance </w:t>
      </w:r>
      <w:r w:rsidR="00B708A2" w:rsidRPr="00A77AF6">
        <w:t>suggest</w:t>
      </w:r>
      <w:r w:rsidR="00DD65C3" w:rsidRPr="00A77AF6">
        <w:t xml:space="preserve"> that roles, processes and structures facilitate  information flow from the project to the corporate level and vice versa, this</w:t>
      </w:r>
      <w:r w:rsidR="00B708A2" w:rsidRPr="00A77AF6">
        <w:t xml:space="preserve"> study showed that this does not </w:t>
      </w:r>
      <w:r w:rsidR="00DD65C3" w:rsidRPr="00A77AF6">
        <w:t>always appear to be happening</w:t>
      </w:r>
      <w:r w:rsidR="00B708A2" w:rsidRPr="00A77AF6">
        <w:t xml:space="preserve">. </w:t>
      </w:r>
      <w:r w:rsidR="00DD65C3" w:rsidRPr="00A77AF6">
        <w:t xml:space="preserve"> </w:t>
      </w:r>
    </w:p>
    <w:p w14:paraId="41FD53ED" w14:textId="774F70A5" w:rsidR="004437E8" w:rsidRPr="00A77AF6" w:rsidRDefault="004437E8" w:rsidP="003642C8">
      <w:pPr>
        <w:pStyle w:val="Heading4"/>
        <w:numPr>
          <w:ilvl w:val="0"/>
          <w:numId w:val="0"/>
        </w:numPr>
        <w:spacing w:after="120"/>
        <w:ind w:left="862" w:hanging="862"/>
      </w:pPr>
      <w:r w:rsidRPr="00A77AF6">
        <w:lastRenderedPageBreak/>
        <w:t>Agency theory and NHS projects</w:t>
      </w:r>
    </w:p>
    <w:p w14:paraId="73D5375B" w14:textId="49ADD79C" w:rsidR="00EA0900" w:rsidRPr="00A77AF6" w:rsidRDefault="004437E8" w:rsidP="00262C4E">
      <w:pPr>
        <w:spacing w:after="0" w:line="360" w:lineRule="auto"/>
      </w:pPr>
      <w:r w:rsidRPr="00A77AF6">
        <w:t xml:space="preserve">As discussed earlier, </w:t>
      </w:r>
      <w:r w:rsidR="00D35AFC" w:rsidRPr="00A77AF6">
        <w:t>M</w:t>
      </w:r>
      <w:r w:rsidR="004D0212" w:rsidRPr="00A77AF6">
        <w:rPr>
          <w:rFonts w:cstheme="minorHAnsi"/>
        </w:rPr>
        <w:t>ü</w:t>
      </w:r>
      <w:r w:rsidR="00D35AFC" w:rsidRPr="00A77AF6">
        <w:t xml:space="preserve">ller (2009) applied </w:t>
      </w:r>
      <w:r w:rsidR="00B708A2" w:rsidRPr="00A77AF6">
        <w:t>a</w:t>
      </w:r>
      <w:r w:rsidR="00D35AFC" w:rsidRPr="00A77AF6">
        <w:t xml:space="preserve">gency </w:t>
      </w:r>
      <w:r w:rsidR="00B708A2" w:rsidRPr="00A77AF6">
        <w:t>t</w:t>
      </w:r>
      <w:r w:rsidR="00D35AFC" w:rsidRPr="00A77AF6">
        <w:t>heory to projects</w:t>
      </w:r>
      <w:r w:rsidR="004D0212" w:rsidRPr="00A77AF6">
        <w:t xml:space="preserve"> and </w:t>
      </w:r>
      <w:r w:rsidR="00D35AFC" w:rsidRPr="00A77AF6">
        <w:t>identified</w:t>
      </w:r>
      <w:r w:rsidR="005D34A7" w:rsidRPr="00A77AF6">
        <w:t xml:space="preserve"> the</w:t>
      </w:r>
      <w:r w:rsidR="00D35AFC" w:rsidRPr="00A77AF6">
        <w:t xml:space="preserve"> asymmetry of information in both the </w:t>
      </w:r>
      <w:r w:rsidR="003F32E7" w:rsidRPr="00A77AF6">
        <w:t>pre-and</w:t>
      </w:r>
      <w:r w:rsidR="00D35AFC" w:rsidRPr="00A77AF6">
        <w:t xml:space="preserve"> </w:t>
      </w:r>
      <w:r w:rsidR="00A710D9" w:rsidRPr="00A77AF6">
        <w:t>post-contractual</w:t>
      </w:r>
      <w:r w:rsidR="00D35AFC" w:rsidRPr="00A77AF6">
        <w:t xml:space="preserve"> phases as problematic for the interests of the principal (</w:t>
      </w:r>
      <w:r w:rsidR="00262C4E" w:rsidRPr="00A77AF6">
        <w:t>trust board</w:t>
      </w:r>
      <w:r w:rsidR="00D35AFC" w:rsidRPr="00A77AF6">
        <w:t xml:space="preserve">). </w:t>
      </w:r>
      <w:r w:rsidR="00EA0900" w:rsidRPr="00A77AF6">
        <w:t xml:space="preserve">Turner </w:t>
      </w:r>
      <w:r w:rsidR="009F04A4" w:rsidRPr="00A77AF6">
        <w:t>and Müller (</w:t>
      </w:r>
      <w:r w:rsidR="00EA0900" w:rsidRPr="00A77AF6">
        <w:t>2003) suggest</w:t>
      </w:r>
      <w:r w:rsidR="00AC7CBC" w:rsidRPr="00A77AF6">
        <w:t>ed that the risks of</w:t>
      </w:r>
      <w:r w:rsidR="00EA0900" w:rsidRPr="00A77AF6">
        <w:t xml:space="preserve"> opportunism are greater in projects than they are in a routine </w:t>
      </w:r>
      <w:r w:rsidR="009F04A4" w:rsidRPr="00A77AF6">
        <w:t>environment</w:t>
      </w:r>
      <w:r w:rsidR="00B708A2" w:rsidRPr="00A77AF6">
        <w:t xml:space="preserve">, and although they are not suggesting that </w:t>
      </w:r>
      <w:r w:rsidR="00EA0900" w:rsidRPr="00A77AF6">
        <w:t xml:space="preserve">project managers are more </w:t>
      </w:r>
      <w:r w:rsidR="00862AD1" w:rsidRPr="00A77AF6">
        <w:t xml:space="preserve">dishonest than other mangers, they </w:t>
      </w:r>
      <w:r w:rsidR="00B708A2" w:rsidRPr="00A77AF6">
        <w:t xml:space="preserve">note that they </w:t>
      </w:r>
      <w:r w:rsidR="00DA583D" w:rsidRPr="00A77AF6">
        <w:t xml:space="preserve">may </w:t>
      </w:r>
      <w:r w:rsidR="00862AD1" w:rsidRPr="00A77AF6">
        <w:t xml:space="preserve">have greater opportunity </w:t>
      </w:r>
      <w:r w:rsidR="00DA583D" w:rsidRPr="00A77AF6">
        <w:t>to act in a</w:t>
      </w:r>
      <w:r w:rsidR="00B708A2" w:rsidRPr="00A77AF6">
        <w:t xml:space="preserve">n opportunistic and self-interested way </w:t>
      </w:r>
      <w:r w:rsidR="00DA583D" w:rsidRPr="00A77AF6">
        <w:t>tha</w:t>
      </w:r>
      <w:r w:rsidR="00EA7C97" w:rsidRPr="00A77AF6">
        <w:t>n</w:t>
      </w:r>
      <w:r w:rsidR="00DA583D" w:rsidRPr="00A77AF6">
        <w:t xml:space="preserve"> do other managers. </w:t>
      </w:r>
      <w:r w:rsidR="0077312C" w:rsidRPr="00A77AF6">
        <w:t xml:space="preserve"> </w:t>
      </w:r>
      <w:r w:rsidR="00B708A2" w:rsidRPr="00A77AF6">
        <w:t>Turner &amp; Müller (2003)</w:t>
      </w:r>
      <w:r w:rsidR="00DA583D" w:rsidRPr="00A77AF6">
        <w:t xml:space="preserve"> suggest that membership of a professional body may mitigate the project manager’s desire or scope to act against the wishes of the principal and this may reduce the costs of agency.  </w:t>
      </w:r>
    </w:p>
    <w:p w14:paraId="33D91424" w14:textId="76B9CFF6" w:rsidR="00DA583D" w:rsidRPr="00A77AF6" w:rsidRDefault="00DA583D" w:rsidP="0077312C">
      <w:pPr>
        <w:spacing w:line="240" w:lineRule="auto"/>
        <w:ind w:left="720"/>
      </w:pPr>
      <w:r w:rsidRPr="00A77AF6">
        <w:rPr>
          <w:i/>
        </w:rPr>
        <w:t>‘The desire to maintain professional status outweighs the desire for short-term gain arising from opportunism, and so increases the trustworthiness of the professional. Professional membership will reduce the agency costs associated with a given project manager compared to one who is not</w:t>
      </w:r>
      <w:r w:rsidRPr="00A77AF6">
        <w:t>’</w:t>
      </w:r>
      <w:sdt>
        <w:sdtPr>
          <w:id w:val="-1045751903"/>
          <w:citation/>
        </w:sdtPr>
        <w:sdtEndPr/>
        <w:sdtContent>
          <w:r w:rsidRPr="00A77AF6">
            <w:fldChar w:fldCharType="begin"/>
          </w:r>
          <w:r w:rsidR="00CE5FF7" w:rsidRPr="00A77AF6">
            <w:instrText xml:space="preserve">CITATION Tur03 \p 7 \l 2057 </w:instrText>
          </w:r>
          <w:r w:rsidRPr="00A77AF6">
            <w:fldChar w:fldCharType="separate"/>
          </w:r>
          <w:r w:rsidR="008E653F" w:rsidRPr="00A77AF6">
            <w:t xml:space="preserve"> (Turner &amp; Müller, 2003, p. 7)</w:t>
          </w:r>
          <w:r w:rsidRPr="00A77AF6">
            <w:fldChar w:fldCharType="end"/>
          </w:r>
        </w:sdtContent>
      </w:sdt>
    </w:p>
    <w:p w14:paraId="400667A5" w14:textId="2F290E83" w:rsidR="00B73EF2" w:rsidRPr="00A77AF6" w:rsidRDefault="00AC7CBC" w:rsidP="00AC7CBC">
      <w:pPr>
        <w:spacing w:line="360" w:lineRule="auto"/>
        <w:rPr>
          <w:rFonts w:cstheme="minorHAnsi"/>
        </w:rPr>
      </w:pPr>
      <w:r w:rsidRPr="00A77AF6">
        <w:t>T</w:t>
      </w:r>
      <w:r w:rsidR="003F32E7" w:rsidRPr="00A77AF6">
        <w:t xml:space="preserve">he findings in this </w:t>
      </w:r>
      <w:r w:rsidRPr="00A77AF6">
        <w:t xml:space="preserve">study </w:t>
      </w:r>
      <w:r w:rsidR="00610ADC" w:rsidRPr="00A77AF6">
        <w:t xml:space="preserve">suggest the </w:t>
      </w:r>
      <w:r w:rsidRPr="00A77AF6">
        <w:t xml:space="preserve">ideas of </w:t>
      </w:r>
      <w:r w:rsidR="00DA583D" w:rsidRPr="00A77AF6">
        <w:t>Turner and M</w:t>
      </w:r>
      <w:r w:rsidR="00610ADC" w:rsidRPr="00A77AF6">
        <w:rPr>
          <w:rFonts w:cstheme="minorHAnsi"/>
        </w:rPr>
        <w:t>ü</w:t>
      </w:r>
      <w:r w:rsidR="00DA583D" w:rsidRPr="00A77AF6">
        <w:t>ller (2002)</w:t>
      </w:r>
      <w:r w:rsidR="00610ADC" w:rsidRPr="00A77AF6">
        <w:t xml:space="preserve"> </w:t>
      </w:r>
      <w:r w:rsidRPr="00A77AF6">
        <w:t xml:space="preserve">can be </w:t>
      </w:r>
      <w:r w:rsidR="00610ADC" w:rsidRPr="00A77AF6">
        <w:t>developed</w:t>
      </w:r>
      <w:r w:rsidRPr="00A77AF6">
        <w:t xml:space="preserve"> further because </w:t>
      </w:r>
      <w:r w:rsidR="00610ADC" w:rsidRPr="00A77AF6">
        <w:rPr>
          <w:rFonts w:cstheme="minorHAnsi"/>
        </w:rPr>
        <w:t xml:space="preserve">this study found that </w:t>
      </w:r>
      <w:r w:rsidR="00671777" w:rsidRPr="00A77AF6">
        <w:rPr>
          <w:rFonts w:cstheme="minorHAnsi"/>
        </w:rPr>
        <w:t>whilst</w:t>
      </w:r>
      <w:r w:rsidR="00610ADC" w:rsidRPr="00A77AF6">
        <w:rPr>
          <w:rFonts w:cstheme="minorHAnsi"/>
        </w:rPr>
        <w:t xml:space="preserve"> </w:t>
      </w:r>
      <w:r w:rsidRPr="00A77AF6">
        <w:rPr>
          <w:rFonts w:cstheme="minorHAnsi"/>
        </w:rPr>
        <w:t xml:space="preserve">the trust board established </w:t>
      </w:r>
      <w:r w:rsidR="00610ADC" w:rsidRPr="00A77AF6">
        <w:rPr>
          <w:rFonts w:cstheme="minorHAnsi"/>
        </w:rPr>
        <w:t xml:space="preserve">controls </w:t>
      </w:r>
      <w:r w:rsidRPr="00A77AF6">
        <w:rPr>
          <w:rFonts w:cstheme="minorHAnsi"/>
        </w:rPr>
        <w:t xml:space="preserve">it </w:t>
      </w:r>
      <w:r w:rsidR="00D417A3" w:rsidRPr="00A77AF6">
        <w:rPr>
          <w:rFonts w:cstheme="minorHAnsi"/>
        </w:rPr>
        <w:t xml:space="preserve"> did not appear to </w:t>
      </w:r>
      <w:r w:rsidR="00610ADC" w:rsidRPr="00A77AF6">
        <w:rPr>
          <w:rFonts w:cstheme="minorHAnsi"/>
        </w:rPr>
        <w:t xml:space="preserve">have the will or the skills to </w:t>
      </w:r>
      <w:r w:rsidR="00D417A3" w:rsidRPr="00A77AF6">
        <w:rPr>
          <w:rFonts w:cstheme="minorHAnsi"/>
        </w:rPr>
        <w:t xml:space="preserve">ensure </w:t>
      </w:r>
      <w:r w:rsidR="00610ADC" w:rsidRPr="00A77AF6">
        <w:rPr>
          <w:rFonts w:cstheme="minorHAnsi"/>
        </w:rPr>
        <w:t xml:space="preserve">that these control mechanisms worked effectively.  </w:t>
      </w:r>
      <w:r w:rsidR="00ED634C" w:rsidRPr="00A77AF6">
        <w:rPr>
          <w:rFonts w:cstheme="minorHAnsi"/>
        </w:rPr>
        <w:t xml:space="preserve">Arguably, this had the effect of creating the image </w:t>
      </w:r>
      <w:r w:rsidR="00671777" w:rsidRPr="00A77AF6">
        <w:rPr>
          <w:rFonts w:cstheme="minorHAnsi"/>
        </w:rPr>
        <w:t xml:space="preserve">of governance </w:t>
      </w:r>
      <w:r w:rsidR="00ED634C" w:rsidRPr="00A77AF6">
        <w:rPr>
          <w:rFonts w:cstheme="minorHAnsi"/>
        </w:rPr>
        <w:t xml:space="preserve">rather than the substance of governance. </w:t>
      </w:r>
      <w:r w:rsidR="00B73EF2" w:rsidRPr="00A77AF6">
        <w:rPr>
          <w:rFonts w:cstheme="minorHAnsi"/>
        </w:rPr>
        <w:t xml:space="preserve">This indicates that agency theory whilst explaining the need </w:t>
      </w:r>
      <w:r w:rsidR="00A61B1B">
        <w:rPr>
          <w:rFonts w:cstheme="minorHAnsi"/>
        </w:rPr>
        <w:t xml:space="preserve">for </w:t>
      </w:r>
      <w:r w:rsidR="00B73EF2" w:rsidRPr="00A77AF6">
        <w:rPr>
          <w:rFonts w:cstheme="minorHAnsi"/>
        </w:rPr>
        <w:t xml:space="preserve">roles, structure and processes does not address the lack of will or ability of the principal to effectively control the agent. </w:t>
      </w:r>
    </w:p>
    <w:p w14:paraId="4AB38DA8" w14:textId="0BEA4DB7" w:rsidR="00275E1A" w:rsidRPr="00A77AF6" w:rsidRDefault="005D77D4" w:rsidP="00B708A2">
      <w:pPr>
        <w:pStyle w:val="Heading2"/>
        <w:spacing w:after="120"/>
      </w:pPr>
      <w:bookmarkStart w:id="197" w:name="_Toc36275150"/>
      <w:r w:rsidRPr="00A77AF6">
        <w:t xml:space="preserve">Measure of </w:t>
      </w:r>
      <w:r w:rsidR="007141EE" w:rsidRPr="00A77AF6">
        <w:t>s</w:t>
      </w:r>
      <w:r w:rsidR="00275E1A" w:rsidRPr="00A77AF6">
        <w:t>uccess</w:t>
      </w:r>
      <w:bookmarkEnd w:id="197"/>
    </w:p>
    <w:p w14:paraId="5F5576DC" w14:textId="6508205C" w:rsidR="00B932AD" w:rsidRPr="00A77AF6" w:rsidRDefault="00B932AD" w:rsidP="00DB7D5F">
      <w:pPr>
        <w:spacing w:line="360" w:lineRule="auto"/>
      </w:pPr>
      <w:r w:rsidRPr="00A77AF6">
        <w:t xml:space="preserve">This section discusses the findings </w:t>
      </w:r>
      <w:r w:rsidR="00B472DF" w:rsidRPr="00A77AF6">
        <w:t xml:space="preserve">on the definition and assessment of project success in two parts: the iron triangle measures of time, cost and quality and </w:t>
      </w:r>
      <w:r w:rsidR="00701BAA" w:rsidRPr="00A77AF6">
        <w:t>the legitimacy of the project.</w:t>
      </w:r>
      <w:r w:rsidR="00B472DF" w:rsidRPr="00A77AF6">
        <w:t xml:space="preserve"> </w:t>
      </w:r>
    </w:p>
    <w:p w14:paraId="35AA948B" w14:textId="161CE256" w:rsidR="00452FA7" w:rsidRPr="00A77AF6" w:rsidRDefault="00452FA7" w:rsidP="00452FA7">
      <w:pPr>
        <w:pStyle w:val="Heading3"/>
        <w:spacing w:after="120"/>
      </w:pPr>
      <w:bookmarkStart w:id="198" w:name="_Toc36275151"/>
      <w:r w:rsidRPr="00A77AF6">
        <w:t>Time, cost and quality</w:t>
      </w:r>
      <w:bookmarkEnd w:id="198"/>
    </w:p>
    <w:p w14:paraId="38DBA41D" w14:textId="013FC4BC" w:rsidR="00DB7D5F" w:rsidRPr="00A77AF6" w:rsidRDefault="00275E1A" w:rsidP="00DB7D5F">
      <w:pPr>
        <w:spacing w:line="360" w:lineRule="auto"/>
      </w:pPr>
      <w:r w:rsidRPr="00A77AF6">
        <w:t>During this study</w:t>
      </w:r>
      <w:r w:rsidR="00093088" w:rsidRPr="00A77AF6">
        <w:t>,</w:t>
      </w:r>
      <w:r w:rsidRPr="00A77AF6">
        <w:t xml:space="preserve"> it became increasingly evident that </w:t>
      </w:r>
      <w:r w:rsidR="000D780C" w:rsidRPr="00A77AF6">
        <w:t>there is an unresolved probl</w:t>
      </w:r>
      <w:r w:rsidRPr="00A77AF6">
        <w:t xml:space="preserve">em </w:t>
      </w:r>
      <w:r w:rsidR="00682125" w:rsidRPr="00A77AF6">
        <w:t xml:space="preserve">with </w:t>
      </w:r>
      <w:r w:rsidR="000D780C" w:rsidRPr="00A77AF6">
        <w:t>the definition and measurement of</w:t>
      </w:r>
      <w:r w:rsidRPr="00A77AF6">
        <w:t xml:space="preserve"> project success</w:t>
      </w:r>
      <w:r w:rsidR="008F5666" w:rsidRPr="00A77AF6">
        <w:t xml:space="preserve"> in the field which is reflected in the literature: that there is </w:t>
      </w:r>
      <w:r w:rsidRPr="00A77AF6">
        <w:t>no universally accepted, agreed definition of success</w:t>
      </w:r>
      <w:r w:rsidR="008F5666" w:rsidRPr="00A77AF6">
        <w:t xml:space="preserve"> (Slevin &amp; Pinto</w:t>
      </w:r>
      <w:r w:rsidR="002B6F38" w:rsidRPr="00A77AF6">
        <w:t xml:space="preserve">, </w:t>
      </w:r>
      <w:r w:rsidR="008F5666" w:rsidRPr="00A77AF6">
        <w:t>1987</w:t>
      </w:r>
      <w:r w:rsidR="002B6F38" w:rsidRPr="00A77AF6">
        <w:t xml:space="preserve">; </w:t>
      </w:r>
      <w:r w:rsidR="009F04A4" w:rsidRPr="00A77AF6">
        <w:t>De</w:t>
      </w:r>
      <w:r w:rsidR="008F5666" w:rsidRPr="00A77AF6">
        <w:t xml:space="preserve"> Wit</w:t>
      </w:r>
      <w:r w:rsidR="002B6F38" w:rsidRPr="00A77AF6">
        <w:t xml:space="preserve">, </w:t>
      </w:r>
      <w:r w:rsidR="008F5666" w:rsidRPr="00A77AF6">
        <w:t>1988, Atkinson</w:t>
      </w:r>
      <w:r w:rsidR="002B6F38" w:rsidRPr="00A77AF6">
        <w:t xml:space="preserve">, </w:t>
      </w:r>
      <w:r w:rsidR="008F5666" w:rsidRPr="00A77AF6">
        <w:t>1999</w:t>
      </w:r>
      <w:r w:rsidR="002B6F38" w:rsidRPr="00A77AF6">
        <w:t xml:space="preserve">, Chan &amp; Cahn, 2004, Toor &amp; Ogunlana, 2010). </w:t>
      </w:r>
      <w:r w:rsidR="00F26D1D" w:rsidRPr="00A77AF6">
        <w:t>The results exposed this difficulty with different success criteria giving different success rates. For example, i</w:t>
      </w:r>
      <w:r w:rsidR="008F5666" w:rsidRPr="00A77AF6">
        <w:t xml:space="preserve">f quality had been the only measure </w:t>
      </w:r>
      <w:r w:rsidR="00F26D1D" w:rsidRPr="00A77AF6">
        <w:t>of success</w:t>
      </w:r>
      <w:r w:rsidR="007141EE" w:rsidRPr="00A77AF6">
        <w:t>,</w:t>
      </w:r>
      <w:r w:rsidR="00F26D1D" w:rsidRPr="00A77AF6">
        <w:t xml:space="preserve"> </w:t>
      </w:r>
      <w:r w:rsidR="008F5666" w:rsidRPr="00A77AF6">
        <w:t>80% projects would have been successful</w:t>
      </w:r>
      <w:r w:rsidR="00B708A2" w:rsidRPr="00A77AF6">
        <w:t xml:space="preserve">, but if the iron triangle is used then the success rate is 22% </w:t>
      </w:r>
      <w:r w:rsidR="008F5666" w:rsidRPr="00A77AF6">
        <w:t xml:space="preserve">. </w:t>
      </w:r>
      <w:r w:rsidR="00F26D1D" w:rsidRPr="00A77AF6">
        <w:t xml:space="preserve"> </w:t>
      </w:r>
      <w:r w:rsidR="00B708A2" w:rsidRPr="00A77AF6">
        <w:t xml:space="preserve">In the </w:t>
      </w:r>
      <w:r w:rsidR="00F26D1D" w:rsidRPr="00A77AF6">
        <w:t xml:space="preserve">views of </w:t>
      </w:r>
      <w:r w:rsidR="002B6F38" w:rsidRPr="00A77AF6">
        <w:t>e</w:t>
      </w:r>
      <w:r w:rsidR="008F5666" w:rsidRPr="00A77AF6">
        <w:t>xperts</w:t>
      </w:r>
      <w:r w:rsidR="002B6F38" w:rsidRPr="00A77AF6">
        <w:t xml:space="preserve">, </w:t>
      </w:r>
      <w:r w:rsidR="00F26D1D" w:rsidRPr="00A77AF6">
        <w:t>project s</w:t>
      </w:r>
      <w:r w:rsidR="008F5666" w:rsidRPr="00A77AF6">
        <w:t>uccess</w:t>
      </w:r>
      <w:r w:rsidR="0012388F" w:rsidRPr="00A77AF6">
        <w:t xml:space="preserve"> </w:t>
      </w:r>
      <w:r w:rsidR="00B708A2" w:rsidRPr="00A77AF6">
        <w:t xml:space="preserve">was judged as </w:t>
      </w:r>
      <w:r w:rsidR="008F5666" w:rsidRPr="00A77AF6">
        <w:t xml:space="preserve">meeting quality criteria </w:t>
      </w:r>
      <w:r w:rsidR="008B4502" w:rsidRPr="00A77AF6">
        <w:t>both in the project management and in the operational</w:t>
      </w:r>
      <w:r w:rsidR="008F5666" w:rsidRPr="00A77AF6">
        <w:t xml:space="preserve"> phases.  Some measures </w:t>
      </w:r>
      <w:r w:rsidR="008B4502" w:rsidRPr="00A77AF6">
        <w:t xml:space="preserve">of success </w:t>
      </w:r>
      <w:r w:rsidR="006D3A85" w:rsidRPr="00A77AF6">
        <w:t xml:space="preserve">were </w:t>
      </w:r>
      <w:r w:rsidR="008F5666" w:rsidRPr="00A77AF6">
        <w:t xml:space="preserve">less ambitious </w:t>
      </w:r>
      <w:r w:rsidR="0012388F" w:rsidRPr="00A77AF6">
        <w:t>so</w:t>
      </w:r>
      <w:r w:rsidR="008F5666" w:rsidRPr="00A77AF6">
        <w:t xml:space="preserve"> </w:t>
      </w:r>
      <w:r w:rsidR="00604C1F" w:rsidRPr="00A77AF6">
        <w:t>for some,</w:t>
      </w:r>
      <w:r w:rsidR="008B4502" w:rsidRPr="00A77AF6">
        <w:t xml:space="preserve"> so </w:t>
      </w:r>
      <w:r w:rsidR="008F5666" w:rsidRPr="00A77AF6">
        <w:t xml:space="preserve">project completion was </w:t>
      </w:r>
      <w:r w:rsidR="008B4502" w:rsidRPr="00A77AF6">
        <w:t xml:space="preserve">thought by some to be </w:t>
      </w:r>
      <w:r w:rsidR="008F5666" w:rsidRPr="00A77AF6">
        <w:t>a sufficient measure</w:t>
      </w:r>
      <w:r w:rsidR="00604C1F" w:rsidRPr="00A77AF6">
        <w:t xml:space="preserve"> of success.</w:t>
      </w:r>
      <w:r w:rsidR="00BF75CC" w:rsidRPr="00A77AF6">
        <w:t xml:space="preserve">  Other </w:t>
      </w:r>
      <w:r w:rsidR="008B4502" w:rsidRPr="00A77AF6">
        <w:t>measure</w:t>
      </w:r>
      <w:r w:rsidR="00B708A2" w:rsidRPr="00A77AF6">
        <w:t>s</w:t>
      </w:r>
      <w:r w:rsidR="008B4502" w:rsidRPr="00A77AF6">
        <w:t xml:space="preserve"> of success</w:t>
      </w:r>
      <w:r w:rsidR="00DB7D5F" w:rsidRPr="00A77AF6">
        <w:t xml:space="preserve"> were longer-term such as </w:t>
      </w:r>
      <w:r w:rsidR="00BF75CC" w:rsidRPr="00A77AF6">
        <w:t xml:space="preserve">delivering the </w:t>
      </w:r>
      <w:r w:rsidR="00BF75CC" w:rsidRPr="00A77AF6">
        <w:lastRenderedPageBreak/>
        <w:t xml:space="preserve">benefits to the client, providing a better facility </w:t>
      </w:r>
      <w:r w:rsidR="00A61B1B">
        <w:t>than</w:t>
      </w:r>
      <w:r w:rsidR="00BF75CC" w:rsidRPr="00A77AF6">
        <w:t xml:space="preserve"> that which existed previously and supporting new model</w:t>
      </w:r>
      <w:r w:rsidR="00DB7D5F" w:rsidRPr="00A77AF6">
        <w:t>s</w:t>
      </w:r>
      <w:r w:rsidR="00BF75CC" w:rsidRPr="00A77AF6">
        <w:t xml:space="preserve"> of care. </w:t>
      </w:r>
      <w:r w:rsidR="00DB7D5F" w:rsidRPr="00A77AF6">
        <w:t>L</w:t>
      </w:r>
      <w:r w:rsidR="00BF75CC" w:rsidRPr="00A77AF6">
        <w:t xml:space="preserve">onger-term objectives and mainly concerned with quality. </w:t>
      </w:r>
      <w:r w:rsidR="00A61B1B">
        <w:t xml:space="preserve"> </w:t>
      </w:r>
      <w:r w:rsidR="008F5666" w:rsidRPr="00A77AF6">
        <w:t xml:space="preserve">This suggests that despite the widespread </w:t>
      </w:r>
      <w:r w:rsidR="00401962" w:rsidRPr="00A77AF6">
        <w:t xml:space="preserve">understanding </w:t>
      </w:r>
      <w:r w:rsidR="008F5666" w:rsidRPr="00A77AF6">
        <w:t xml:space="preserve">of the iron triangle </w:t>
      </w:r>
      <w:r w:rsidR="000A3B15" w:rsidRPr="00A77AF6">
        <w:t xml:space="preserve">in NHS </w:t>
      </w:r>
      <w:r w:rsidR="00DB7D5F" w:rsidRPr="00A77AF6">
        <w:t xml:space="preserve">construction </w:t>
      </w:r>
      <w:r w:rsidR="000A3B15" w:rsidRPr="00A77AF6">
        <w:t xml:space="preserve">projects, </w:t>
      </w:r>
      <w:r w:rsidR="001D677A" w:rsidRPr="00A77AF6">
        <w:t>practitioners are</w:t>
      </w:r>
      <w:r w:rsidR="00DB7D5F" w:rsidRPr="00A77AF6">
        <w:t xml:space="preserve"> either </w:t>
      </w:r>
      <w:r w:rsidR="001D677A" w:rsidRPr="00A77AF6">
        <w:t xml:space="preserve">using </w:t>
      </w:r>
      <w:r w:rsidR="00DB7D5F" w:rsidRPr="00A77AF6">
        <w:t>alternative</w:t>
      </w:r>
      <w:r w:rsidR="001D677A" w:rsidRPr="00A77AF6">
        <w:t xml:space="preserve"> measures</w:t>
      </w:r>
      <w:r w:rsidR="008B4502" w:rsidRPr="00A77AF6">
        <w:t xml:space="preserve"> to determine success</w:t>
      </w:r>
      <w:r w:rsidR="00DB7D5F" w:rsidRPr="00A77AF6">
        <w:t xml:space="preserve"> or </w:t>
      </w:r>
      <w:r w:rsidR="005B51ED" w:rsidRPr="00A77AF6">
        <w:t xml:space="preserve">altering the iron triangle by </w:t>
      </w:r>
      <w:r w:rsidR="001D677A" w:rsidRPr="00A77AF6">
        <w:t xml:space="preserve">applying </w:t>
      </w:r>
      <w:r w:rsidR="00DB7D5F" w:rsidRPr="00A77AF6">
        <w:t>an unstated weighting,</w:t>
      </w:r>
      <w:r w:rsidR="001D677A" w:rsidRPr="00A77AF6">
        <w:t xml:space="preserve"> so </w:t>
      </w:r>
      <w:r w:rsidR="00DB7D5F" w:rsidRPr="00A77AF6">
        <w:t xml:space="preserve">quality is more important than either time or cost. </w:t>
      </w:r>
    </w:p>
    <w:p w14:paraId="29887C83" w14:textId="01F25A1C" w:rsidR="001D677A" w:rsidRPr="00A77AF6" w:rsidRDefault="00BD2B3A" w:rsidP="00DB7D5F">
      <w:pPr>
        <w:spacing w:line="360" w:lineRule="auto"/>
      </w:pPr>
      <w:r w:rsidRPr="00A77AF6">
        <w:t xml:space="preserve">This study also </w:t>
      </w:r>
      <w:r w:rsidR="00A405A7" w:rsidRPr="00A77AF6">
        <w:t>exposed the difference of knowledge in project teams about the success of their project in the operational phase</w:t>
      </w:r>
      <w:r w:rsidR="00DB7D5F" w:rsidRPr="00A77AF6">
        <w:t xml:space="preserve">.  </w:t>
      </w:r>
      <w:r w:rsidR="00BB3DAE" w:rsidRPr="00A77AF6">
        <w:t xml:space="preserve">The reason for this </w:t>
      </w:r>
      <w:r w:rsidR="00D02506" w:rsidRPr="00A77AF6">
        <w:t xml:space="preserve">difference of knowledge </w:t>
      </w:r>
      <w:r w:rsidR="00BB3DAE" w:rsidRPr="00A77AF6">
        <w:t xml:space="preserve">were not explored as </w:t>
      </w:r>
      <w:r w:rsidR="006661BF" w:rsidRPr="00A77AF6">
        <w:t xml:space="preserve">this </w:t>
      </w:r>
      <w:r w:rsidR="00BB3DAE" w:rsidRPr="00A77AF6">
        <w:t xml:space="preserve">was not part of the </w:t>
      </w:r>
      <w:r w:rsidR="00B26462" w:rsidRPr="00A77AF6">
        <w:t xml:space="preserve">remit of this study, but the results are </w:t>
      </w:r>
      <w:r w:rsidR="00DB7D5F" w:rsidRPr="00A77AF6">
        <w:t>noticeable</w:t>
      </w:r>
      <w:r w:rsidR="00B26462" w:rsidRPr="00A77AF6">
        <w:t xml:space="preserve">. </w:t>
      </w:r>
      <w:r w:rsidR="00DB7D5F" w:rsidRPr="00A77AF6">
        <w:t xml:space="preserve"> P</w:t>
      </w:r>
      <w:r w:rsidR="006569BE" w:rsidRPr="00A77AF6">
        <w:t>ossible explanations</w:t>
      </w:r>
      <w:r w:rsidR="006D3A85" w:rsidRPr="00A77AF6">
        <w:t xml:space="preserve"> </w:t>
      </w:r>
      <w:r w:rsidR="00DB7D5F" w:rsidRPr="00A77AF6">
        <w:t>are</w:t>
      </w:r>
      <w:r w:rsidR="006D3A85" w:rsidRPr="00A77AF6">
        <w:t xml:space="preserve"> that </w:t>
      </w:r>
      <w:r w:rsidR="006569BE" w:rsidRPr="00A77AF6">
        <w:t>post project reviews are not carried out</w:t>
      </w:r>
      <w:r w:rsidR="006B5173" w:rsidRPr="00A77AF6">
        <w:t xml:space="preserve">, so success in the operational phase is not </w:t>
      </w:r>
      <w:r w:rsidR="00DB7D5F" w:rsidRPr="00A77AF6">
        <w:t>known</w:t>
      </w:r>
      <w:r w:rsidR="006B5173" w:rsidRPr="00A77AF6">
        <w:t xml:space="preserve">; post project reviews are carried </w:t>
      </w:r>
      <w:r w:rsidR="00EB4AAA" w:rsidRPr="00A77AF6">
        <w:t>out,</w:t>
      </w:r>
      <w:r w:rsidR="006B5173" w:rsidRPr="00A77AF6">
        <w:t xml:space="preserve"> but the results are not </w:t>
      </w:r>
      <w:r w:rsidR="00EB4AAA" w:rsidRPr="00A77AF6">
        <w:t>disseminated,</w:t>
      </w:r>
      <w:r w:rsidR="00721406" w:rsidRPr="00A77AF6">
        <w:t xml:space="preserve"> or </w:t>
      </w:r>
      <w:r w:rsidR="007549A2" w:rsidRPr="00A77AF6">
        <w:t xml:space="preserve">alternatively </w:t>
      </w:r>
      <w:r w:rsidR="00721406" w:rsidRPr="00A77AF6">
        <w:t xml:space="preserve">project teams may not be </w:t>
      </w:r>
      <w:r w:rsidR="00C375C8" w:rsidRPr="00A77AF6">
        <w:t>interested in</w:t>
      </w:r>
      <w:r w:rsidR="007549A2" w:rsidRPr="00A77AF6">
        <w:t>,</w:t>
      </w:r>
      <w:r w:rsidR="00C375C8" w:rsidRPr="00A77AF6">
        <w:t xml:space="preserve"> or have the time to concern themselves with operational performance.  This apparent lack of feedback may </w:t>
      </w:r>
      <w:r w:rsidR="00EB4AAA" w:rsidRPr="00A77AF6">
        <w:t xml:space="preserve">prevent project </w:t>
      </w:r>
      <w:r w:rsidR="007549A2" w:rsidRPr="00A77AF6">
        <w:t xml:space="preserve">and corporate teams from </w:t>
      </w:r>
      <w:r w:rsidR="00DD7623" w:rsidRPr="00A77AF6">
        <w:t xml:space="preserve">identifying learning and carrying it on to the next project. </w:t>
      </w:r>
      <w:r w:rsidR="00EB4AAA" w:rsidRPr="00A77AF6">
        <w:t xml:space="preserve"> </w:t>
      </w:r>
    </w:p>
    <w:p w14:paraId="5C96729C" w14:textId="0C37FC81" w:rsidR="009F379A" w:rsidRPr="00A77AF6" w:rsidRDefault="003045E5" w:rsidP="009F379A">
      <w:pPr>
        <w:spacing w:line="360" w:lineRule="auto"/>
      </w:pPr>
      <w:r w:rsidRPr="00A77AF6">
        <w:t xml:space="preserve">The literature </w:t>
      </w:r>
      <w:r w:rsidR="00A61B1B">
        <w:t xml:space="preserve">which discussed KPIs and CSFs </w:t>
      </w:r>
      <w:r w:rsidRPr="00A77AF6">
        <w:t xml:space="preserve">discussed the </w:t>
      </w:r>
      <w:r w:rsidR="002A0423" w:rsidRPr="00A77AF6">
        <w:t xml:space="preserve">difficulties </w:t>
      </w:r>
      <w:r w:rsidR="009F379A" w:rsidRPr="00A77AF6">
        <w:t xml:space="preserve">of the </w:t>
      </w:r>
      <w:r w:rsidR="00F41679" w:rsidRPr="00A77AF6">
        <w:t>definition of success</w:t>
      </w:r>
      <w:r w:rsidR="00A61B1B">
        <w:t>, the</w:t>
      </w:r>
      <w:r w:rsidR="00F41679" w:rsidRPr="00A77AF6">
        <w:t xml:space="preserve"> timing of measurement </w:t>
      </w:r>
      <w:r w:rsidR="009F379A" w:rsidRPr="00A77AF6">
        <w:t>and</w:t>
      </w:r>
      <w:r w:rsidR="00A61B1B">
        <w:t xml:space="preserve"> </w:t>
      </w:r>
      <w:r w:rsidR="009F379A" w:rsidRPr="00A77AF6">
        <w:t>alternatives</w:t>
      </w:r>
      <w:r w:rsidR="00A61B1B">
        <w:t xml:space="preserve"> to the iron triangle</w:t>
      </w:r>
      <w:r w:rsidR="009F379A" w:rsidRPr="00A77AF6">
        <w:t xml:space="preserve">. This study </w:t>
      </w:r>
      <w:r w:rsidR="00A61B1B">
        <w:t>found</w:t>
      </w:r>
      <w:r w:rsidR="009F379A" w:rsidRPr="00A77AF6">
        <w:t xml:space="preserve"> that project personnel managers </w:t>
      </w:r>
      <w:r w:rsidR="00A61B1B">
        <w:t>used</w:t>
      </w:r>
      <w:r w:rsidR="009F379A" w:rsidRPr="00A77AF6">
        <w:t xml:space="preserve"> different criteria for project success, and so </w:t>
      </w:r>
      <w:r w:rsidR="00A61B1B">
        <w:t xml:space="preserve">it </w:t>
      </w:r>
      <w:r w:rsidR="009F379A" w:rsidRPr="00A77AF6">
        <w:t xml:space="preserve">has reinforced </w:t>
      </w:r>
      <w:r w:rsidR="00A61B1B">
        <w:t xml:space="preserve">the </w:t>
      </w:r>
      <w:r w:rsidR="009F379A" w:rsidRPr="00A77AF6">
        <w:t xml:space="preserve">findings </w:t>
      </w:r>
      <w:r w:rsidR="00A61B1B">
        <w:t xml:space="preserve">that have already been discussed </w:t>
      </w:r>
      <w:r w:rsidR="009F379A" w:rsidRPr="00A77AF6">
        <w:t xml:space="preserve">in the literature.  NHS project personnel do not appear to be constrained by the rigid nature of the iron triangle and seemed to be quite ready to accept other measures, the most important of which was quality, to the extent that some delay or cost overrun in a project is acceptable if it meant that quality is achieved.  This relative importance of quality may be related to the fact that these projects were undertaken in the public sector where profit is not a motive and patient care is the reason for undertaking projects. </w:t>
      </w:r>
    </w:p>
    <w:p w14:paraId="637F5F4A" w14:textId="2470E846" w:rsidR="00452FA7" w:rsidRPr="00A77AF6" w:rsidRDefault="00452FA7" w:rsidP="00452FA7">
      <w:pPr>
        <w:pStyle w:val="Heading3"/>
        <w:spacing w:after="120"/>
      </w:pPr>
      <w:bookmarkStart w:id="199" w:name="_Toc36275152"/>
      <w:r w:rsidRPr="00A77AF6">
        <w:t>Legitimacy</w:t>
      </w:r>
      <w:bookmarkEnd w:id="199"/>
    </w:p>
    <w:p w14:paraId="4FB6F359" w14:textId="17E84A9D" w:rsidR="006D3A85" w:rsidRPr="00A77AF6" w:rsidRDefault="000C2707" w:rsidP="009F379A">
      <w:pPr>
        <w:spacing w:line="360" w:lineRule="auto"/>
      </w:pPr>
      <w:r w:rsidRPr="00A77AF6">
        <w:t xml:space="preserve">The literature noted that legitimacy </w:t>
      </w:r>
      <w:r w:rsidR="00B708A2" w:rsidRPr="00A77AF6">
        <w:t xml:space="preserve">is important for public </w:t>
      </w:r>
      <w:r w:rsidR="00B43A36" w:rsidRPr="00A77AF6">
        <w:t xml:space="preserve">and private </w:t>
      </w:r>
      <w:r w:rsidR="00B708A2" w:rsidRPr="00A77AF6">
        <w:t xml:space="preserve">sector </w:t>
      </w:r>
      <w:r w:rsidR="00D24033" w:rsidRPr="00A77AF6">
        <w:t xml:space="preserve">organisations </w:t>
      </w:r>
      <w:r w:rsidR="008E2F22" w:rsidRPr="00A77AF6">
        <w:t>(Christensen, et al., 2007)</w:t>
      </w:r>
      <w:r w:rsidR="00D24033" w:rsidRPr="00A77AF6">
        <w:t xml:space="preserve"> </w:t>
      </w:r>
      <w:r w:rsidR="00434810" w:rsidRPr="00A77AF6">
        <w:t>and</w:t>
      </w:r>
      <w:r w:rsidR="00B708A2" w:rsidRPr="00A77AF6">
        <w:t xml:space="preserve"> for </w:t>
      </w:r>
      <w:r w:rsidR="00D24033" w:rsidRPr="00A77AF6">
        <w:t>projects</w:t>
      </w:r>
      <w:r w:rsidR="00B43A36" w:rsidRPr="00A77AF6">
        <w:t xml:space="preserve"> as agents for delivering strategic objectives</w:t>
      </w:r>
      <w:r w:rsidR="00B708A2" w:rsidRPr="00A77AF6">
        <w:t xml:space="preserve">, because </w:t>
      </w:r>
      <w:r w:rsidRPr="00A77AF6">
        <w:t xml:space="preserve">without </w:t>
      </w:r>
      <w:r w:rsidR="00B43A36" w:rsidRPr="00A77AF6">
        <w:t>legitimacy</w:t>
      </w:r>
      <w:r w:rsidR="00767C46" w:rsidRPr="00A77AF6">
        <w:t xml:space="preserve"> </w:t>
      </w:r>
      <w:r w:rsidRPr="00A77AF6">
        <w:t>confidence is lost</w:t>
      </w:r>
      <w:r w:rsidR="00A0452A" w:rsidRPr="00A77AF6">
        <w:t xml:space="preserve"> (APM, 2018)</w:t>
      </w:r>
      <w:r w:rsidR="009F379A" w:rsidRPr="00A77AF6">
        <w:t>. L</w:t>
      </w:r>
      <w:r w:rsidR="003B308F" w:rsidRPr="00A77AF6">
        <w:t>ack</w:t>
      </w:r>
      <w:r w:rsidR="00767C46" w:rsidRPr="00A77AF6">
        <w:t xml:space="preserve"> of public support </w:t>
      </w:r>
      <w:r w:rsidR="00B43A36" w:rsidRPr="00A77AF6">
        <w:t>threatens governments and institutions</w:t>
      </w:r>
      <w:r w:rsidR="003B308F" w:rsidRPr="00A77AF6">
        <w:t xml:space="preserve"> (Flyvbjerg, 2003)</w:t>
      </w:r>
      <w:r w:rsidR="009F379A" w:rsidRPr="00A77AF6">
        <w:t xml:space="preserve"> and c</w:t>
      </w:r>
      <w:r w:rsidR="006D3A85" w:rsidRPr="00A77AF6">
        <w:t>onfidence is gained by openness, transparency and integrity</w:t>
      </w:r>
      <w:r w:rsidR="009F379A" w:rsidRPr="00A77AF6">
        <w:t xml:space="preserve">, the qualities of </w:t>
      </w:r>
      <w:r w:rsidR="006D3A85" w:rsidRPr="00A77AF6">
        <w:t xml:space="preserve">formalism.  </w:t>
      </w:r>
      <w:r w:rsidR="009F379A" w:rsidRPr="00A77AF6">
        <w:t xml:space="preserve">Legitimacy was not identified as </w:t>
      </w:r>
      <w:r w:rsidR="006D3A85" w:rsidRPr="00A77AF6">
        <w:t>a</w:t>
      </w:r>
      <w:r w:rsidR="009F379A" w:rsidRPr="00A77AF6">
        <w:t xml:space="preserve"> measure of </w:t>
      </w:r>
      <w:r w:rsidR="006D3A85" w:rsidRPr="00A77AF6">
        <w:t>success</w:t>
      </w:r>
      <w:r w:rsidR="009F379A" w:rsidRPr="00A77AF6">
        <w:t xml:space="preserve">ful </w:t>
      </w:r>
      <w:r w:rsidR="00B21B91" w:rsidRPr="00A77AF6">
        <w:t>outcome;</w:t>
      </w:r>
      <w:r w:rsidR="009F379A" w:rsidRPr="00A77AF6">
        <w:t xml:space="preserve"> however, it is an important input </w:t>
      </w:r>
      <w:r w:rsidR="00F7399E" w:rsidRPr="00A77AF6">
        <w:t xml:space="preserve"> for the maintenance of trust</w:t>
      </w:r>
      <w:r w:rsidR="00B21B91" w:rsidRPr="00A77AF6">
        <w:t xml:space="preserve"> in the management of the public sector</w:t>
      </w:r>
      <w:r w:rsidR="00F7399E" w:rsidRPr="00A77AF6">
        <w:t xml:space="preserve">. </w:t>
      </w:r>
    </w:p>
    <w:p w14:paraId="38A2742D" w14:textId="3221916E" w:rsidR="006D3A85" w:rsidRPr="00A77AF6" w:rsidRDefault="006D3A85" w:rsidP="006D3A85">
      <w:pPr>
        <w:spacing w:after="240" w:line="240" w:lineRule="auto"/>
        <w:ind w:left="720"/>
      </w:pPr>
      <w:r w:rsidRPr="00A77AF6">
        <w:rPr>
          <w:i/>
        </w:rPr>
        <w:t>‘Our name promises the consistent delivery of standards – bringing confidence to the markets we serve’</w:t>
      </w:r>
      <w:r w:rsidRPr="00A77AF6">
        <w:t xml:space="preserve"> </w:t>
      </w:r>
      <w:sdt>
        <w:sdtPr>
          <w:id w:val="1521438242"/>
          <w:citation/>
        </w:sdtPr>
        <w:sdtEndPr/>
        <w:sdtContent>
          <w:r w:rsidRPr="00A77AF6">
            <w:fldChar w:fldCharType="begin"/>
          </w:r>
          <w:r w:rsidRPr="00A77AF6">
            <w:instrText xml:space="preserve">CITATION RIC13 \p 4 \l 2057 </w:instrText>
          </w:r>
          <w:r w:rsidRPr="00A77AF6">
            <w:fldChar w:fldCharType="separate"/>
          </w:r>
          <w:r w:rsidR="008E653F" w:rsidRPr="00A77AF6">
            <w:t>(RICS, 2013, p. 4)</w:t>
          </w:r>
          <w:r w:rsidRPr="00A77AF6">
            <w:fldChar w:fldCharType="end"/>
          </w:r>
        </w:sdtContent>
      </w:sdt>
    </w:p>
    <w:p w14:paraId="4B4FA9D4" w14:textId="5ADE8ECB" w:rsidR="009611B7" w:rsidRDefault="006D3A85" w:rsidP="00F7399E">
      <w:pPr>
        <w:spacing w:line="360" w:lineRule="auto"/>
      </w:pPr>
      <w:r w:rsidRPr="00A77AF6">
        <w:lastRenderedPageBreak/>
        <w:t xml:space="preserve">The </w:t>
      </w:r>
      <w:r w:rsidR="000B16D3" w:rsidRPr="00A77AF6">
        <w:t>requirement for</w:t>
      </w:r>
      <w:r w:rsidRPr="00A77AF6">
        <w:t xml:space="preserve"> the public sector to show that it is using and distributing </w:t>
      </w:r>
      <w:r w:rsidR="000B16D3" w:rsidRPr="00A77AF6">
        <w:t>resource</w:t>
      </w:r>
      <w:r w:rsidRPr="00A77AF6">
        <w:t xml:space="preserve">s fairly is supported </w:t>
      </w:r>
      <w:r w:rsidR="000B16D3" w:rsidRPr="00A77AF6">
        <w:t>by</w:t>
      </w:r>
      <w:r w:rsidRPr="00A77AF6">
        <w:t xml:space="preserve"> the openness and transparency of its governance, so whilst it is not possible to state categorically that governance leads to success, </w:t>
      </w:r>
      <w:r w:rsidR="00F7399E" w:rsidRPr="00A77AF6">
        <w:t xml:space="preserve">it is suggested here that </w:t>
      </w:r>
      <w:r w:rsidRPr="00A77AF6">
        <w:t>governance should be a measure of success in itself.  The measure of openness</w:t>
      </w:r>
      <w:r w:rsidR="00F7399E" w:rsidRPr="00A77AF6">
        <w:t xml:space="preserve"> and </w:t>
      </w:r>
      <w:r w:rsidRPr="00A77AF6">
        <w:t>transparency, in short, ethical behaviours</w:t>
      </w:r>
      <w:r w:rsidR="000B16D3" w:rsidRPr="00A77AF6">
        <w:t xml:space="preserve"> show the public that projects are </w:t>
      </w:r>
      <w:r w:rsidR="00F7399E" w:rsidRPr="00A77AF6">
        <w:t>properly</w:t>
      </w:r>
      <w:r w:rsidR="000B16D3" w:rsidRPr="00A77AF6">
        <w:t xml:space="preserve"> managed</w:t>
      </w:r>
      <w:r w:rsidR="00F7399E" w:rsidRPr="00A77AF6">
        <w:t xml:space="preserve">. Measuring governance as an input </w:t>
      </w:r>
      <w:r w:rsidR="000B16D3" w:rsidRPr="00A77AF6">
        <w:t xml:space="preserve">may incentivise </w:t>
      </w:r>
      <w:r w:rsidR="00F7399E" w:rsidRPr="00A77AF6">
        <w:t>trust boards</w:t>
      </w:r>
      <w:r w:rsidR="000B16D3" w:rsidRPr="00A77AF6">
        <w:t xml:space="preserve"> to be more active in the governance of their projects and might lead to a more fruitful relationship between the corporate and project </w:t>
      </w:r>
      <w:r w:rsidR="008B4502" w:rsidRPr="00A77AF6">
        <w:t>layers,</w:t>
      </w:r>
      <w:r w:rsidR="000B16D3" w:rsidRPr="00A77AF6">
        <w:t xml:space="preserve"> as they would </w:t>
      </w:r>
      <w:r w:rsidR="00F7399E" w:rsidRPr="00A77AF6">
        <w:t>n</w:t>
      </w:r>
      <w:r w:rsidR="000B16D3" w:rsidRPr="00A77AF6">
        <w:t xml:space="preserve">eed to show that both had engaged in the </w:t>
      </w:r>
      <w:r w:rsidR="00F7399E" w:rsidRPr="00A77AF6">
        <w:t xml:space="preserve">effective </w:t>
      </w:r>
      <w:r w:rsidR="000B16D3" w:rsidRPr="00A77AF6">
        <w:t xml:space="preserve">governance of their project. </w:t>
      </w:r>
    </w:p>
    <w:p w14:paraId="2718E8D9" w14:textId="492E82A3" w:rsidR="00A61B1B" w:rsidRPr="00A77AF6" w:rsidRDefault="00A61B1B" w:rsidP="00F7399E">
      <w:pPr>
        <w:spacing w:line="360" w:lineRule="auto"/>
      </w:pPr>
      <w:r>
        <w:t xml:space="preserve">The limitations </w:t>
      </w:r>
      <w:r w:rsidR="004247A8">
        <w:t>in the</w:t>
      </w:r>
      <w:r>
        <w:t xml:space="preserve"> scope of this research meant </w:t>
      </w:r>
      <w:r w:rsidR="00954301">
        <w:t xml:space="preserve">the views of the client-side project teams only were sought, and success was therefore judged by client-side project teams rather than trust boards, the wider client such as clinical staff or by construction companies or teams. This resulted in a restricted view of project success and governance effectiveness. This does not invalidate the findings, rather it leaves open the possibility of further research in this field to discover the views of other stakeholders and to develop further the understanding of ethics and governance in project success.   </w:t>
      </w:r>
    </w:p>
    <w:bookmarkStart w:id="200" w:name="_Hlk21176286"/>
    <w:p w14:paraId="7F0ED93A" w14:textId="69061537" w:rsidR="003C388B" w:rsidRPr="00A77AF6" w:rsidRDefault="00563189" w:rsidP="00832F4B">
      <w:pPr>
        <w:pStyle w:val="Heading2"/>
        <w:spacing w:after="120"/>
      </w:pPr>
      <w:r w:rsidRPr="00A77AF6">
        <w:fldChar w:fldCharType="begin"/>
      </w:r>
      <w:r w:rsidRPr="00A77AF6">
        <w:instrText xml:space="preserve"> HYPERLINK "https://assets.publishing.service.gov.uk/government/uploads/system/uploads/attachment_data/file/685903/The_Green_Book.pdf" </w:instrText>
      </w:r>
      <w:r w:rsidRPr="00A77AF6">
        <w:fldChar w:fldCharType="end"/>
      </w:r>
      <w:r w:rsidR="009611B7" w:rsidRPr="00A77AF6">
        <w:t xml:space="preserve"> </w:t>
      </w:r>
      <w:bookmarkStart w:id="201" w:name="_Toc36275153"/>
      <w:r w:rsidR="009611B7" w:rsidRPr="00A77AF6">
        <w:t>Recommendations</w:t>
      </w:r>
      <w:bookmarkEnd w:id="201"/>
      <w:r w:rsidR="0020652B" w:rsidRPr="00A77AF6">
        <w:t xml:space="preserve"> </w:t>
      </w:r>
    </w:p>
    <w:p w14:paraId="0D6F87C9" w14:textId="37F6AC24" w:rsidR="00C67A36" w:rsidRPr="00A77AF6" w:rsidRDefault="00C67A36" w:rsidP="00832F4B">
      <w:pPr>
        <w:spacing w:line="360" w:lineRule="auto"/>
      </w:pPr>
      <w:r w:rsidRPr="00A77AF6">
        <w:t>The recommendations of this study are based on the answer to the questions of whether ethical predisposition and governance are CSFs for project success.  The answer to</w:t>
      </w:r>
      <w:r w:rsidR="00B43A36" w:rsidRPr="00A77AF6">
        <w:t xml:space="preserve"> whether</w:t>
      </w:r>
      <w:r w:rsidRPr="00A77AF6">
        <w:t xml:space="preserve"> ethical predisposition</w:t>
      </w:r>
      <w:r w:rsidR="00B43A36" w:rsidRPr="00A77AF6">
        <w:t xml:space="preserve"> is a CSF</w:t>
      </w:r>
      <w:r w:rsidRPr="00A77AF6">
        <w:t xml:space="preserve"> is that it is not, but that the principles </w:t>
      </w:r>
      <w:r w:rsidR="00B43A36" w:rsidRPr="00A77AF6">
        <w:t>on which</w:t>
      </w:r>
      <w:r w:rsidRPr="00A77AF6">
        <w:t xml:space="preserve"> formalism is based </w:t>
      </w:r>
      <w:r w:rsidR="004D58AB" w:rsidRPr="00A77AF6">
        <w:t xml:space="preserve">do contribute to stakeholder confidence in project outcomes.  The answer to the question about whether governance is a CSF for project success is that it is not, if governance is considered merely as a lever for successful project delivery. </w:t>
      </w:r>
      <w:r w:rsidR="00954301">
        <w:t xml:space="preserve"> However, i</w:t>
      </w:r>
      <w:r w:rsidR="004D58AB" w:rsidRPr="00A77AF6">
        <w:t xml:space="preserve">f </w:t>
      </w:r>
      <w:r w:rsidR="00954301">
        <w:t xml:space="preserve">transparency is </w:t>
      </w:r>
      <w:r w:rsidR="004D58AB" w:rsidRPr="00A77AF6">
        <w:t xml:space="preserve">a measure </w:t>
      </w:r>
      <w:r w:rsidR="00954301">
        <w:t>of success</w:t>
      </w:r>
      <w:r w:rsidR="004D58AB" w:rsidRPr="00A77AF6">
        <w:t xml:space="preserve">, then governance </w:t>
      </w:r>
      <w:r w:rsidR="00290D60">
        <w:t>is</w:t>
      </w:r>
      <w:r w:rsidR="00954301">
        <w:t xml:space="preserve"> an </w:t>
      </w:r>
      <w:r w:rsidR="004D58AB" w:rsidRPr="00A77AF6">
        <w:t>important input</w:t>
      </w:r>
      <w:r w:rsidR="00290D60">
        <w:t xml:space="preserve">.  It is important </w:t>
      </w:r>
      <w:r w:rsidR="004D58AB" w:rsidRPr="00A77AF6">
        <w:t xml:space="preserve">because it provides transparency and consequently </w:t>
      </w:r>
      <w:r w:rsidR="00290D60">
        <w:t xml:space="preserve">the </w:t>
      </w:r>
      <w:r w:rsidR="004D58AB" w:rsidRPr="00A77AF6">
        <w:t>assurance that a project is run in the interests of its stakeholders</w:t>
      </w:r>
      <w:r w:rsidR="00290D60">
        <w:t xml:space="preserve">, so in this was it can be argued that governance is a </w:t>
      </w:r>
      <w:r w:rsidR="004D58AB" w:rsidRPr="00A77AF6">
        <w:t xml:space="preserve">CSF.  </w:t>
      </w:r>
    </w:p>
    <w:p w14:paraId="7A5677DD" w14:textId="0FD5C78A" w:rsidR="009F4A0A" w:rsidRPr="00A77AF6" w:rsidRDefault="004D58AB" w:rsidP="00832F4B">
      <w:pPr>
        <w:spacing w:line="360" w:lineRule="auto"/>
      </w:pPr>
      <w:r w:rsidRPr="00A77AF6">
        <w:t>R</w:t>
      </w:r>
      <w:r w:rsidR="008D0465" w:rsidRPr="00A77AF6">
        <w:t>ecommendations</w:t>
      </w:r>
      <w:r w:rsidR="00B21B91" w:rsidRPr="00A77AF6">
        <w:t xml:space="preserve"> for the management of NHS construction projects</w:t>
      </w:r>
      <w:r w:rsidR="00071C0E" w:rsidRPr="00A77AF6">
        <w:t xml:space="preserve"> are </w:t>
      </w:r>
      <w:r w:rsidR="008D0465" w:rsidRPr="00A77AF6">
        <w:t>include</w:t>
      </w:r>
      <w:r w:rsidR="00071C0E" w:rsidRPr="00A77AF6">
        <w:t xml:space="preserve">d in the </w:t>
      </w:r>
      <w:r w:rsidR="008D0465" w:rsidRPr="00A77AF6">
        <w:t xml:space="preserve">proposed new model for </w:t>
      </w:r>
      <w:r w:rsidR="00AD7B47" w:rsidRPr="00A77AF6">
        <w:t>project success</w:t>
      </w:r>
      <w:r w:rsidR="00071C0E" w:rsidRPr="00A77AF6">
        <w:t xml:space="preserve">, </w:t>
      </w:r>
      <w:r w:rsidR="008D0465" w:rsidRPr="00A77AF6">
        <w:t>the ‘Public Assurance Model’ (PAM)</w:t>
      </w:r>
      <w:r w:rsidR="00071C0E" w:rsidRPr="00A77AF6">
        <w:t xml:space="preserve"> and </w:t>
      </w:r>
      <w:r w:rsidR="00D93829" w:rsidRPr="00A77AF6">
        <w:t xml:space="preserve">aim to address some of the </w:t>
      </w:r>
      <w:r w:rsidR="008D0465" w:rsidRPr="00A77AF6">
        <w:t xml:space="preserve">organisational </w:t>
      </w:r>
      <w:r w:rsidR="00D93829" w:rsidRPr="00A77AF6">
        <w:t>cultural and skills shortcoming</w:t>
      </w:r>
      <w:r w:rsidR="0015251B" w:rsidRPr="00A77AF6">
        <w:t>s</w:t>
      </w:r>
      <w:r w:rsidR="00D93829" w:rsidRPr="00A77AF6">
        <w:t xml:space="preserve"> that this study </w:t>
      </w:r>
      <w:r w:rsidR="00AD7B47" w:rsidRPr="00A77AF6">
        <w:t>uncovered</w:t>
      </w:r>
      <w:r w:rsidRPr="00A77AF6">
        <w:t xml:space="preserve"> </w:t>
      </w:r>
      <w:r w:rsidR="008D0465" w:rsidRPr="00A77AF6">
        <w:t xml:space="preserve">and are </w:t>
      </w:r>
      <w:r w:rsidR="00AD7B47" w:rsidRPr="00A77AF6">
        <w:t>incorporated</w:t>
      </w:r>
      <w:r w:rsidR="008D0465" w:rsidRPr="00A77AF6">
        <w:t xml:space="preserve"> in</w:t>
      </w:r>
      <w:r w:rsidR="00AD7B47" w:rsidRPr="00A77AF6">
        <w:t xml:space="preserve">to </w:t>
      </w:r>
      <w:r w:rsidR="008D0465" w:rsidRPr="00A77AF6">
        <w:t>the PAM</w:t>
      </w:r>
      <w:r w:rsidR="00D93829" w:rsidRPr="00A77AF6">
        <w:t xml:space="preserve">.  </w:t>
      </w:r>
      <w:r w:rsidR="00B21B91" w:rsidRPr="00A77AF6">
        <w:t xml:space="preserve">Each recommendation is in the PAM and the explanation for its inclusion is given below. </w:t>
      </w:r>
      <w:r w:rsidR="00D93829" w:rsidRPr="00A77AF6">
        <w:t xml:space="preserve">This section also shows how the research questions and objectives were met and shows the contribution to knowledge that this study has made. </w:t>
      </w:r>
      <w:r w:rsidR="009F22BE" w:rsidRPr="00A77AF6">
        <w:t xml:space="preserve">The recommendations </w:t>
      </w:r>
      <w:r w:rsidR="00C003CE" w:rsidRPr="00A77AF6">
        <w:t xml:space="preserve">and the reasons for making them </w:t>
      </w:r>
      <w:r w:rsidR="009F22BE" w:rsidRPr="00A77AF6">
        <w:t xml:space="preserve">are given below. </w:t>
      </w:r>
    </w:p>
    <w:p w14:paraId="743A8169" w14:textId="77777777" w:rsidR="009F4A0A" w:rsidRPr="00A77AF6" w:rsidRDefault="009F4A0A" w:rsidP="007B4661">
      <w:pPr>
        <w:pStyle w:val="Heading2"/>
        <w:spacing w:after="120"/>
      </w:pPr>
      <w:bookmarkStart w:id="202" w:name="_Toc36275154"/>
      <w:r w:rsidRPr="00A77AF6">
        <w:lastRenderedPageBreak/>
        <w:t>Development of the Public Assurance Model</w:t>
      </w:r>
      <w:bookmarkEnd w:id="202"/>
    </w:p>
    <w:p w14:paraId="3A92E163" w14:textId="1AB91C3B" w:rsidR="0021756E" w:rsidRPr="00A77AF6" w:rsidRDefault="00071C0E" w:rsidP="0060537A">
      <w:pPr>
        <w:spacing w:line="360" w:lineRule="auto"/>
      </w:pPr>
      <w:r w:rsidRPr="00A77AF6">
        <w:t xml:space="preserve">The PAM was developed </w:t>
      </w:r>
      <w:r w:rsidR="002352EC" w:rsidRPr="00A77AF6">
        <w:t xml:space="preserve">by </w:t>
      </w:r>
      <w:r w:rsidR="00E2053F" w:rsidRPr="00A77AF6">
        <w:t xml:space="preserve">combining the </w:t>
      </w:r>
      <w:r w:rsidR="00C67A36" w:rsidRPr="00A77AF6">
        <w:t xml:space="preserve">findings from the literature, survey and interviews that suggest </w:t>
      </w:r>
      <w:r w:rsidRPr="00A77AF6">
        <w:t>p</w:t>
      </w:r>
      <w:r w:rsidR="00C67A36" w:rsidRPr="00A77AF6">
        <w:t xml:space="preserve">roject success </w:t>
      </w:r>
      <w:r w:rsidR="0021756E" w:rsidRPr="00A77AF6">
        <w:t xml:space="preserve">should be measured in both project management and operational phases, by different stakeholders against inputs and outputs (CSF, KPIs and benefits).  </w:t>
      </w:r>
    </w:p>
    <w:p w14:paraId="0086E7D4" w14:textId="13ADD868" w:rsidR="0060537A" w:rsidRPr="00A77AF6" w:rsidRDefault="00DF76D9" w:rsidP="0060537A">
      <w:pPr>
        <w:spacing w:line="360" w:lineRule="auto"/>
      </w:pPr>
      <w:r w:rsidRPr="00A77AF6">
        <w:t xml:space="preserve">The </w:t>
      </w:r>
      <w:r w:rsidR="00CA106D" w:rsidRPr="00A77AF6">
        <w:t xml:space="preserve">PAM </w:t>
      </w:r>
      <w:r w:rsidR="0021756E" w:rsidRPr="00A77AF6">
        <w:t xml:space="preserve">developed as a result if this study is </w:t>
      </w:r>
      <w:r w:rsidRPr="00A77AF6">
        <w:t xml:space="preserve">different from existing guidance </w:t>
      </w:r>
      <w:r w:rsidR="00071C0E" w:rsidRPr="00A77AF6">
        <w:t xml:space="preserve">for NHS </w:t>
      </w:r>
      <w:r w:rsidR="0021756E" w:rsidRPr="00A77AF6">
        <w:t xml:space="preserve">projects because </w:t>
      </w:r>
      <w:r w:rsidR="00071C0E" w:rsidRPr="00A77AF6">
        <w:t xml:space="preserve">it explicitly </w:t>
      </w:r>
      <w:r w:rsidR="0021756E" w:rsidRPr="00A77AF6">
        <w:t>recognises</w:t>
      </w:r>
      <w:r w:rsidR="00071C0E" w:rsidRPr="00A77AF6">
        <w:t xml:space="preserve"> the importance of </w:t>
      </w:r>
      <w:r w:rsidR="0021756E" w:rsidRPr="00A77AF6">
        <w:t xml:space="preserve">culture and of </w:t>
      </w:r>
      <w:r w:rsidR="00071C0E" w:rsidRPr="00A77AF6">
        <w:t xml:space="preserve">governance </w:t>
      </w:r>
      <w:r w:rsidR="00143BDA" w:rsidRPr="00A77AF6">
        <w:t>as an input to project success</w:t>
      </w:r>
      <w:r w:rsidR="0021756E" w:rsidRPr="00A77AF6">
        <w:t xml:space="preserve">, and suggests that these should be measure of success </w:t>
      </w:r>
      <w:r w:rsidR="00143BDA" w:rsidRPr="00A77AF6">
        <w:t xml:space="preserve">rather than </w:t>
      </w:r>
      <w:r w:rsidR="0021756E" w:rsidRPr="00A77AF6">
        <w:t xml:space="preserve">considered solely as instrument to deliver success.  </w:t>
      </w:r>
      <w:r w:rsidR="00143BDA" w:rsidRPr="00A77AF6">
        <w:t xml:space="preserve">The PAM </w:t>
      </w:r>
      <w:r w:rsidR="00CA106D" w:rsidRPr="00A77AF6">
        <w:t xml:space="preserve">is an audit tool and process map to </w:t>
      </w:r>
      <w:r w:rsidR="00143BDA" w:rsidRPr="00A77AF6">
        <w:t xml:space="preserve">help </w:t>
      </w:r>
      <w:r w:rsidR="00071C0E" w:rsidRPr="00A77AF6">
        <w:t xml:space="preserve">boards to </w:t>
      </w:r>
      <w:r w:rsidR="00143BDA" w:rsidRPr="00A77AF6">
        <w:t>oversee</w:t>
      </w:r>
      <w:r w:rsidR="00CA106D" w:rsidRPr="00A77AF6">
        <w:t xml:space="preserve">, </w:t>
      </w:r>
      <w:r w:rsidR="00143BDA" w:rsidRPr="00A77AF6">
        <w:t xml:space="preserve"> and be seen to oversee</w:t>
      </w:r>
      <w:r w:rsidR="00CA106D" w:rsidRPr="00A77AF6">
        <w:t xml:space="preserve">, </w:t>
      </w:r>
      <w:r w:rsidR="00071C0E" w:rsidRPr="00A77AF6">
        <w:t xml:space="preserve"> projects </w:t>
      </w:r>
      <w:r w:rsidR="00CA106D" w:rsidRPr="00A77AF6">
        <w:t xml:space="preserve">effectively. The board can show that </w:t>
      </w:r>
      <w:r w:rsidR="00143BDA" w:rsidRPr="00A77AF6">
        <w:t>it</w:t>
      </w:r>
      <w:r w:rsidR="00E2053F" w:rsidRPr="00A77AF6">
        <w:t xml:space="preserve"> understands its responsibility </w:t>
      </w:r>
      <w:r w:rsidR="00CA106D" w:rsidRPr="00A77AF6">
        <w:t>for</w:t>
      </w:r>
      <w:r w:rsidR="00E2053F" w:rsidRPr="00A77AF6">
        <w:t xml:space="preserve"> creating an ethical, non-blame culture that is open and transparent </w:t>
      </w:r>
      <w:r w:rsidR="00CA106D" w:rsidRPr="00A77AF6">
        <w:t xml:space="preserve">that </w:t>
      </w:r>
      <w:r w:rsidR="00143BDA" w:rsidRPr="00A77AF6">
        <w:t>support</w:t>
      </w:r>
      <w:r w:rsidR="00CA106D" w:rsidRPr="00A77AF6">
        <w:t xml:space="preserve">s </w:t>
      </w:r>
      <w:r w:rsidR="00143BDA" w:rsidRPr="00A77AF6">
        <w:t>communication and collegiate decision-making</w:t>
      </w:r>
      <w:r w:rsidR="00CA106D" w:rsidRPr="00A77AF6">
        <w:t xml:space="preserve">.  The PAM </w:t>
      </w:r>
      <w:r w:rsidR="00143BDA" w:rsidRPr="00A77AF6">
        <w:t xml:space="preserve">incorporates governance as a success measure as well as other </w:t>
      </w:r>
      <w:r w:rsidR="00CA106D" w:rsidRPr="00A77AF6">
        <w:t xml:space="preserve">widely accepted </w:t>
      </w:r>
      <w:r w:rsidR="00143BDA" w:rsidRPr="00A77AF6">
        <w:t xml:space="preserve">measures </w:t>
      </w:r>
      <w:r w:rsidR="00CA106D" w:rsidRPr="00A77AF6">
        <w:t xml:space="preserve">such as </w:t>
      </w:r>
      <w:r w:rsidR="00143BDA" w:rsidRPr="00A77AF6">
        <w:t>KPIs</w:t>
      </w:r>
      <w:r w:rsidR="00CA106D" w:rsidRPr="00A77AF6">
        <w:t xml:space="preserve"> and </w:t>
      </w:r>
      <w:r w:rsidR="00143BDA" w:rsidRPr="00A77AF6">
        <w:t>achieving benefits</w:t>
      </w:r>
      <w:r w:rsidR="00CA106D" w:rsidRPr="00A77AF6">
        <w:t xml:space="preserve"> realisation, </w:t>
      </w:r>
      <w:r w:rsidR="00143BDA" w:rsidRPr="00A77AF6">
        <w:t xml:space="preserve">which can be measured by post occupancy evaluation.  </w:t>
      </w:r>
      <w:r w:rsidR="00E2053F" w:rsidRPr="00A77AF6">
        <w:t xml:space="preserve"> </w:t>
      </w:r>
      <w:r w:rsidR="0060537A" w:rsidRPr="00A77AF6">
        <w:t xml:space="preserve">A summary </w:t>
      </w:r>
      <w:r w:rsidR="00143BDA" w:rsidRPr="00A77AF6">
        <w:t xml:space="preserve">of the PAM </w:t>
      </w:r>
      <w:r w:rsidR="0060537A" w:rsidRPr="00A77AF6">
        <w:t xml:space="preserve">is shown in Figure 8-1 and expanded in Figures 8-2, 8-3 and 8-4.  </w:t>
      </w:r>
    </w:p>
    <w:p w14:paraId="69213FA2" w14:textId="02E892C6" w:rsidR="009F4A0A" w:rsidRPr="00A77AF6" w:rsidRDefault="005F5110" w:rsidP="009F4A0A">
      <w:pPr>
        <w:spacing w:after="0" w:line="480" w:lineRule="auto"/>
      </w:pPr>
      <w:r w:rsidRPr="00A77AF6">
        <w:rPr>
          <w:noProof/>
          <w:lang w:eastAsia="en-GB"/>
        </w:rPr>
        <mc:AlternateContent>
          <mc:Choice Requires="wps">
            <w:drawing>
              <wp:anchor distT="0" distB="0" distL="114300" distR="114300" simplePos="0" relativeHeight="251771392" behindDoc="0" locked="0" layoutInCell="1" allowOverlap="1" wp14:anchorId="0D37A242" wp14:editId="48F1983D">
                <wp:simplePos x="0" y="0"/>
                <wp:positionH relativeFrom="margin">
                  <wp:posOffset>2036667</wp:posOffset>
                </wp:positionH>
                <wp:positionV relativeFrom="paragraph">
                  <wp:posOffset>345898</wp:posOffset>
                </wp:positionV>
                <wp:extent cx="2147776" cy="1047750"/>
                <wp:effectExtent l="0" t="0" r="24130" b="19050"/>
                <wp:wrapNone/>
                <wp:docPr id="12320" name="Rectangle 12320"/>
                <wp:cNvGraphicFramePr/>
                <a:graphic xmlns:a="http://schemas.openxmlformats.org/drawingml/2006/main">
                  <a:graphicData uri="http://schemas.microsoft.com/office/word/2010/wordprocessingShape">
                    <wps:wsp>
                      <wps:cNvSpPr/>
                      <wps:spPr>
                        <a:xfrm>
                          <a:off x="0" y="0"/>
                          <a:ext cx="2147776" cy="1047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B8467B6" w14:textId="24C23495" w:rsidR="009C0325" w:rsidRPr="005F5110" w:rsidRDefault="009C0325" w:rsidP="00143BDA">
                            <w:pPr>
                              <w:spacing w:after="60" w:line="240" w:lineRule="auto"/>
                              <w:rPr>
                                <w:color w:val="000000" w:themeColor="text1"/>
                                <w:sz w:val="18"/>
                                <w:szCs w:val="18"/>
                              </w:rPr>
                            </w:pPr>
                            <w:r w:rsidRPr="005F5110">
                              <w:rPr>
                                <w:color w:val="000000" w:themeColor="text1"/>
                                <w:sz w:val="18"/>
                                <w:szCs w:val="18"/>
                              </w:rPr>
                              <w:t xml:space="preserve">Establish relevant governance knowledge and behaviours </w:t>
                            </w:r>
                          </w:p>
                          <w:p w14:paraId="232708A2" w14:textId="77777777" w:rsidR="009C0325" w:rsidRDefault="009C0325" w:rsidP="005F5110">
                            <w:pPr>
                              <w:tabs>
                                <w:tab w:val="left" w:pos="5055"/>
                              </w:tabs>
                              <w:spacing w:after="60" w:line="240" w:lineRule="auto"/>
                              <w:rPr>
                                <w:color w:val="000000" w:themeColor="text1"/>
                                <w:sz w:val="18"/>
                                <w:szCs w:val="18"/>
                              </w:rPr>
                            </w:pPr>
                            <w:r w:rsidRPr="005F5110">
                              <w:rPr>
                                <w:color w:val="000000" w:themeColor="text1"/>
                                <w:sz w:val="18"/>
                                <w:szCs w:val="18"/>
                              </w:rPr>
                              <w:t>Establish relevant project KPIs Weighted iron triangle</w:t>
                            </w:r>
                          </w:p>
                          <w:p w14:paraId="122E3DBE" w14:textId="36743521" w:rsidR="009C0325" w:rsidRPr="005F5110" w:rsidRDefault="009C0325" w:rsidP="005F5110">
                            <w:pPr>
                              <w:tabs>
                                <w:tab w:val="left" w:pos="5055"/>
                              </w:tabs>
                              <w:spacing w:after="60" w:line="240" w:lineRule="auto"/>
                              <w:rPr>
                                <w:color w:val="000000" w:themeColor="text1"/>
                                <w:sz w:val="20"/>
                                <w:szCs w:val="20"/>
                              </w:rPr>
                            </w:pPr>
                            <w:r w:rsidRPr="005F5110">
                              <w:rPr>
                                <w:color w:val="000000" w:themeColor="text1"/>
                                <w:sz w:val="18"/>
                                <w:szCs w:val="18"/>
                              </w:rPr>
                              <w:t xml:space="preserve"> Confirm Project benefits – at key stages and overall</w:t>
                            </w:r>
                          </w:p>
                          <w:p w14:paraId="13036DDB" w14:textId="77777777" w:rsidR="009C0325" w:rsidRDefault="009C0325" w:rsidP="009F4A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7A242" id="Rectangle 12320" o:spid="_x0000_s1069" style="position:absolute;margin-left:160.35pt;margin-top:27.25pt;width:169.1pt;height:82.5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" filled="f" strokecolor="#1f4d78 [1604]" strokeweight="1pt">
                <v:textbox>
                  <w:txbxContent>
                    <w:p w14:paraId="4B8467B6" w14:textId="24C23495" w:rsidR="009C0325" w:rsidRPr="005F5110" w:rsidRDefault="009C0325" w:rsidP="00143BDA">
                      <w:pPr>
                        <w:spacing w:after="60" w:line="240" w:lineRule="auto"/>
                        <w:rPr>
                          <w:color w:val="000000" w:themeColor="text1"/>
                          <w:sz w:val="18"/>
                          <w:szCs w:val="18"/>
                        </w:rPr>
                      </w:pPr>
                      <w:r w:rsidRPr="005F5110">
                        <w:rPr>
                          <w:color w:val="000000" w:themeColor="text1"/>
                          <w:sz w:val="18"/>
                          <w:szCs w:val="18"/>
                        </w:rPr>
                        <w:t xml:space="preserve">Establish relevant governance knowledge and behaviours </w:t>
                      </w:r>
                    </w:p>
                    <w:p w14:paraId="232708A2" w14:textId="77777777" w:rsidR="009C0325" w:rsidRDefault="009C0325" w:rsidP="005F5110">
                      <w:pPr>
                        <w:tabs>
                          <w:tab w:val="left" w:pos="5055"/>
                        </w:tabs>
                        <w:spacing w:after="60" w:line="240" w:lineRule="auto"/>
                        <w:rPr>
                          <w:color w:val="000000" w:themeColor="text1"/>
                          <w:sz w:val="18"/>
                          <w:szCs w:val="18"/>
                        </w:rPr>
                      </w:pPr>
                      <w:r w:rsidRPr="005F5110">
                        <w:rPr>
                          <w:color w:val="000000" w:themeColor="text1"/>
                          <w:sz w:val="18"/>
                          <w:szCs w:val="18"/>
                        </w:rPr>
                        <w:t>Establish relevant project KPIs Weighted iron triangle</w:t>
                      </w:r>
                    </w:p>
                    <w:p w14:paraId="122E3DBE" w14:textId="36743521" w:rsidR="009C0325" w:rsidRPr="005F5110" w:rsidRDefault="009C0325" w:rsidP="005F5110">
                      <w:pPr>
                        <w:tabs>
                          <w:tab w:val="left" w:pos="5055"/>
                        </w:tabs>
                        <w:spacing w:after="60" w:line="240" w:lineRule="auto"/>
                        <w:rPr>
                          <w:color w:val="000000" w:themeColor="text1"/>
                          <w:sz w:val="20"/>
                          <w:szCs w:val="20"/>
                        </w:rPr>
                      </w:pPr>
                      <w:r w:rsidRPr="005F5110">
                        <w:rPr>
                          <w:color w:val="000000" w:themeColor="text1"/>
                          <w:sz w:val="18"/>
                          <w:szCs w:val="18"/>
                        </w:rPr>
                        <w:t xml:space="preserve"> Confirm Project benefits – at key stages and overall</w:t>
                      </w:r>
                    </w:p>
                    <w:p w14:paraId="13036DDB" w14:textId="77777777" w:rsidR="009C0325" w:rsidRDefault="009C0325" w:rsidP="009F4A0A">
                      <w:pPr>
                        <w:jc w:val="center"/>
                      </w:pPr>
                    </w:p>
                  </w:txbxContent>
                </v:textbox>
                <w10:wrap anchorx="margin"/>
              </v:rect>
            </w:pict>
          </mc:Fallback>
        </mc:AlternateContent>
      </w:r>
    </w:p>
    <w:p w14:paraId="3B9311B4" w14:textId="29A3906E" w:rsidR="009F4A0A" w:rsidRPr="00A77AF6" w:rsidRDefault="009F4A0A" w:rsidP="009F4A0A">
      <w:r w:rsidRPr="00A77AF6">
        <w:rPr>
          <w:noProof/>
        </w:rPr>
        <mc:AlternateContent>
          <mc:Choice Requires="wps">
            <w:drawing>
              <wp:anchor distT="45720" distB="45720" distL="114300" distR="114300" simplePos="0" relativeHeight="251789824" behindDoc="0" locked="0" layoutInCell="1" allowOverlap="1" wp14:anchorId="7870F49C" wp14:editId="75107237">
                <wp:simplePos x="0" y="0"/>
                <wp:positionH relativeFrom="column">
                  <wp:posOffset>4455795</wp:posOffset>
                </wp:positionH>
                <wp:positionV relativeFrom="paragraph">
                  <wp:posOffset>173355</wp:posOffset>
                </wp:positionV>
                <wp:extent cx="1104265" cy="752475"/>
                <wp:effectExtent l="0" t="0" r="635"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752475"/>
                        </a:xfrm>
                        <a:prstGeom prst="rect">
                          <a:avLst/>
                        </a:prstGeom>
                        <a:solidFill>
                          <a:srgbClr val="FFFFFF"/>
                        </a:solidFill>
                        <a:ln w="9525">
                          <a:noFill/>
                          <a:miter lim="800000"/>
                          <a:headEnd/>
                          <a:tailEnd/>
                        </a:ln>
                      </wps:spPr>
                      <wps:txbx>
                        <w:txbxContent>
                          <w:p w14:paraId="0A6C4F28" w14:textId="77777777" w:rsidR="009C0325" w:rsidRDefault="009C0325" w:rsidP="009F4A0A">
                            <w:r>
                              <w:t>Expanded in Figure 8-2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0F49C" id="_x0000_s1070" type="#_x0000_t202" style="position:absolute;margin-left:350.85pt;margin-top:13.65pt;width:86.95pt;height:59.25pt;z-index:25178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" stroked="f">
                <v:textbox>
                  <w:txbxContent>
                    <w:p w14:paraId="0A6C4F28" w14:textId="77777777" w:rsidR="009C0325" w:rsidRDefault="009C0325" w:rsidP="009F4A0A">
                      <w:r>
                        <w:t>Expanded in Figure 8-2</w:t>
                      </w:r>
                    </w:p>
                  </w:txbxContent>
                </v:textbox>
                <w10:wrap type="square"/>
              </v:shape>
            </w:pict>
          </mc:Fallback>
        </mc:AlternateContent>
      </w:r>
      <w:r w:rsidRPr="00A77AF6">
        <w:rPr>
          <w:noProof/>
          <w:lang w:eastAsia="en-GB"/>
        </w:rPr>
        <mc:AlternateContent>
          <mc:Choice Requires="wps">
            <w:drawing>
              <wp:anchor distT="0" distB="0" distL="114300" distR="114300" simplePos="0" relativeHeight="251783680" behindDoc="0" locked="0" layoutInCell="1" allowOverlap="1" wp14:anchorId="5B2BBD24" wp14:editId="025B408A">
                <wp:simplePos x="0" y="0"/>
                <wp:positionH relativeFrom="column">
                  <wp:posOffset>350520</wp:posOffset>
                </wp:positionH>
                <wp:positionV relativeFrom="paragraph">
                  <wp:posOffset>9525</wp:posOffset>
                </wp:positionV>
                <wp:extent cx="1312545" cy="1143000"/>
                <wp:effectExtent l="19050" t="0" r="40005" b="19050"/>
                <wp:wrapNone/>
                <wp:docPr id="12329" name="Hexagon 12329"/>
                <wp:cNvGraphicFramePr/>
                <a:graphic xmlns:a="http://schemas.openxmlformats.org/drawingml/2006/main">
                  <a:graphicData uri="http://schemas.microsoft.com/office/word/2010/wordprocessingShape">
                    <wps:wsp>
                      <wps:cNvSpPr/>
                      <wps:spPr>
                        <a:xfrm>
                          <a:off x="0" y="0"/>
                          <a:ext cx="1312545" cy="1143000"/>
                        </a:xfrm>
                        <a:prstGeom prst="hexagon">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82556EB" w14:textId="77777777" w:rsidR="009C0325" w:rsidRPr="004F35A3" w:rsidRDefault="009C0325" w:rsidP="009F4A0A">
                            <w:pPr>
                              <w:jc w:val="center"/>
                              <w:rPr>
                                <w:color w:val="000000" w:themeColor="text1"/>
                                <w:sz w:val="20"/>
                              </w:rPr>
                            </w:pPr>
                            <w:r>
                              <w:rPr>
                                <w:color w:val="000000" w:themeColor="text1"/>
                                <w:sz w:val="20"/>
                              </w:rPr>
                              <w:t>Project start-up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2BBD24"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2329" o:spid="_x0000_s1071" type="#_x0000_t9" style="position:absolute;margin-left:27.6pt;margin-top:.75pt;width:103.35pt;height:90pt;z-index:25178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" adj="4702" filled="f" strokecolor="#1f4d78 [1604]" strokeweight="1pt">
                <v:textbox>
                  <w:txbxContent>
                    <w:p w14:paraId="782556EB" w14:textId="77777777" w:rsidR="009C0325" w:rsidRPr="004F35A3" w:rsidRDefault="009C0325" w:rsidP="009F4A0A">
                      <w:pPr>
                        <w:jc w:val="center"/>
                        <w:rPr>
                          <w:color w:val="000000" w:themeColor="text1"/>
                          <w:sz w:val="20"/>
                        </w:rPr>
                      </w:pPr>
                      <w:r>
                        <w:rPr>
                          <w:color w:val="000000" w:themeColor="text1"/>
                          <w:sz w:val="20"/>
                        </w:rPr>
                        <w:t>Project start-up</w:t>
                      </w:r>
                    </w:p>
                  </w:txbxContent>
                </v:textbox>
              </v:shape>
            </w:pict>
          </mc:Fallback>
        </mc:AlternateContent>
      </w:r>
    </w:p>
    <w:p w14:paraId="141AF6CB" w14:textId="77777777" w:rsidR="009F4A0A" w:rsidRPr="00A77AF6" w:rsidRDefault="009F4A0A" w:rsidP="009F4A0A">
      <w:pPr>
        <w:tabs>
          <w:tab w:val="left" w:pos="2805"/>
        </w:tabs>
      </w:pPr>
      <w:r w:rsidRPr="00A77AF6">
        <w:tab/>
      </w:r>
    </w:p>
    <w:p w14:paraId="697A7966" w14:textId="77777777" w:rsidR="009F4A0A" w:rsidRPr="00A77AF6" w:rsidRDefault="009F4A0A" w:rsidP="009F4A0A">
      <w:r w:rsidRPr="00A77AF6">
        <w:rPr>
          <w:noProof/>
          <w:lang w:eastAsia="en-GB"/>
        </w:rPr>
        <mc:AlternateContent>
          <mc:Choice Requires="wps">
            <w:drawing>
              <wp:anchor distT="0" distB="0" distL="114300" distR="114300" simplePos="0" relativeHeight="251777536" behindDoc="0" locked="0" layoutInCell="1" allowOverlap="1" wp14:anchorId="1BE5F942" wp14:editId="352B6934">
                <wp:simplePos x="0" y="0"/>
                <wp:positionH relativeFrom="column">
                  <wp:posOffset>1684020</wp:posOffset>
                </wp:positionH>
                <wp:positionV relativeFrom="paragraph">
                  <wp:posOffset>9525</wp:posOffset>
                </wp:positionV>
                <wp:extent cx="342900" cy="0"/>
                <wp:effectExtent l="0" t="0" r="0" b="0"/>
                <wp:wrapNone/>
                <wp:docPr id="12323" name="Straight Arrow Connector 12323"/>
                <wp:cNvGraphicFramePr/>
                <a:graphic xmlns:a="http://schemas.openxmlformats.org/drawingml/2006/main">
                  <a:graphicData uri="http://schemas.microsoft.com/office/word/2010/wordprocessingShape">
                    <wps:wsp>
                      <wps:cNvCnPr/>
                      <wps:spPr>
                        <a:xfrm>
                          <a:off x="0" y="0"/>
                          <a:ext cx="34290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14E9F4D2" id="Straight Arrow Connector 12323" o:spid="_x0000_s1026" type="#_x0000_t32" style="position:absolute;margin-left:132.6pt;margin-top:.75pt;width:27pt;height:0;z-index:25177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" strokecolor="windowText" strokeweight="2.25pt">
                <v:stroke endarrow="block" joinstyle="miter"/>
              </v:shape>
            </w:pict>
          </mc:Fallback>
        </mc:AlternateContent>
      </w:r>
    </w:p>
    <w:p w14:paraId="1A902BFA" w14:textId="77777777" w:rsidR="009F4A0A" w:rsidRPr="00A77AF6" w:rsidRDefault="009F4A0A" w:rsidP="009F4A0A"/>
    <w:p w14:paraId="27F3DB35" w14:textId="77777777" w:rsidR="009F4A0A" w:rsidRPr="00A77AF6" w:rsidRDefault="009F4A0A" w:rsidP="009F4A0A">
      <w:r w:rsidRPr="00A77AF6">
        <w:rPr>
          <w:noProof/>
          <w:lang w:eastAsia="en-GB"/>
        </w:rPr>
        <mc:AlternateContent>
          <mc:Choice Requires="wpg">
            <w:drawing>
              <wp:anchor distT="0" distB="0" distL="114300" distR="114300" simplePos="0" relativeHeight="251765248" behindDoc="0" locked="0" layoutInCell="1" allowOverlap="1" wp14:anchorId="45CEDC8B" wp14:editId="334BACD7">
                <wp:simplePos x="0" y="0"/>
                <wp:positionH relativeFrom="column">
                  <wp:posOffset>365140</wp:posOffset>
                </wp:positionH>
                <wp:positionV relativeFrom="paragraph">
                  <wp:posOffset>31484</wp:posOffset>
                </wp:positionV>
                <wp:extent cx="3819097" cy="2828925"/>
                <wp:effectExtent l="19050" t="0" r="10160" b="28575"/>
                <wp:wrapNone/>
                <wp:docPr id="206" name="Group 206"/>
                <wp:cNvGraphicFramePr/>
                <a:graphic xmlns:a="http://schemas.openxmlformats.org/drawingml/2006/main">
                  <a:graphicData uri="http://schemas.microsoft.com/office/word/2010/wordprocessingGroup">
                    <wpg:wgp>
                      <wpg:cNvGrpSpPr/>
                      <wpg:grpSpPr>
                        <a:xfrm>
                          <a:off x="0" y="0"/>
                          <a:ext cx="3819097" cy="2828925"/>
                          <a:chOff x="0" y="1200150"/>
                          <a:chExt cx="3819097" cy="2828925"/>
                        </a:xfrm>
                      </wpg:grpSpPr>
                      <wps:wsp>
                        <wps:cNvPr id="61" name="Straight Arrow Connector 61"/>
                        <wps:cNvCnPr/>
                        <wps:spPr>
                          <a:xfrm>
                            <a:off x="1333500" y="1943100"/>
                            <a:ext cx="3429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wps:spPr>
                          <a:xfrm>
                            <a:off x="1333500" y="3429000"/>
                            <a:ext cx="3429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Hexagon 51"/>
                        <wps:cNvSpPr/>
                        <wps:spPr>
                          <a:xfrm>
                            <a:off x="0" y="1371600"/>
                            <a:ext cx="1312545" cy="1143000"/>
                          </a:xfrm>
                          <a:prstGeom prst="hexagon">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59A1725" w14:textId="77777777" w:rsidR="009C0325" w:rsidRPr="004F35A3" w:rsidRDefault="009C0325" w:rsidP="009F4A0A">
                              <w:pPr>
                                <w:jc w:val="center"/>
                                <w:rPr>
                                  <w:color w:val="000000" w:themeColor="text1"/>
                                  <w:sz w:val="20"/>
                                </w:rPr>
                              </w:pPr>
                              <w:r w:rsidRPr="004F35A3">
                                <w:rPr>
                                  <w:color w:val="000000" w:themeColor="text1"/>
                                  <w:sz w:val="20"/>
                                </w:rPr>
                                <w:t>End of project management phase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Hexagon 55"/>
                        <wps:cNvSpPr/>
                        <wps:spPr>
                          <a:xfrm>
                            <a:off x="0" y="2857500"/>
                            <a:ext cx="1314450" cy="1143000"/>
                          </a:xfrm>
                          <a:prstGeom prst="hexagon">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3769CD8" w14:textId="77777777" w:rsidR="009C0325" w:rsidRPr="004F35A3" w:rsidRDefault="009C0325" w:rsidP="009F4A0A">
                              <w:pPr>
                                <w:jc w:val="center"/>
                                <w:rPr>
                                  <w:color w:val="000000" w:themeColor="text1"/>
                                  <w:sz w:val="20"/>
                                </w:rPr>
                              </w:pPr>
                              <w:r w:rsidRPr="004F35A3">
                                <w:rPr>
                                  <w:color w:val="000000" w:themeColor="text1"/>
                                  <w:sz w:val="20"/>
                                </w:rPr>
                                <w:t>Operational phase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Straight Arrow Connector 63"/>
                        <wps:cNvCnPr/>
                        <wps:spPr>
                          <a:xfrm>
                            <a:off x="685800" y="1200150"/>
                            <a:ext cx="1"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2" name="Rectangle 192"/>
                        <wps:cNvSpPr/>
                        <wps:spPr>
                          <a:xfrm>
                            <a:off x="1657350" y="1371600"/>
                            <a:ext cx="2161747" cy="1143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B074B41" w14:textId="77777777" w:rsidR="009C0325" w:rsidRDefault="009C0325" w:rsidP="00143BDA">
                              <w:pPr>
                                <w:spacing w:after="40" w:line="240" w:lineRule="auto"/>
                                <w:rPr>
                                  <w:color w:val="000000" w:themeColor="text1"/>
                                  <w:sz w:val="18"/>
                                  <w:szCs w:val="20"/>
                                </w:rPr>
                              </w:pPr>
                              <w:r w:rsidRPr="00143BDA">
                                <w:rPr>
                                  <w:color w:val="000000" w:themeColor="text1"/>
                                  <w:sz w:val="18"/>
                                  <w:szCs w:val="20"/>
                                </w:rPr>
                                <w:t>Review of governance</w:t>
                              </w:r>
                            </w:p>
                            <w:p w14:paraId="326FE262" w14:textId="373A1A14" w:rsidR="009C0325" w:rsidRDefault="009C0325" w:rsidP="00143BDA">
                              <w:pPr>
                                <w:spacing w:after="40" w:line="240" w:lineRule="auto"/>
                                <w:rPr>
                                  <w:color w:val="000000" w:themeColor="text1"/>
                                  <w:sz w:val="18"/>
                                  <w:szCs w:val="20"/>
                                </w:rPr>
                              </w:pPr>
                              <w:r w:rsidRPr="00143BDA">
                                <w:rPr>
                                  <w:color w:val="000000" w:themeColor="text1"/>
                                  <w:sz w:val="18"/>
                                  <w:szCs w:val="20"/>
                                </w:rPr>
                                <w:t>Have relevant KPIs been achieved?</w:t>
                              </w:r>
                            </w:p>
                            <w:p w14:paraId="602F9ECD" w14:textId="797E41D5" w:rsidR="009C0325" w:rsidRPr="00143BDA" w:rsidRDefault="009C0325" w:rsidP="00143BDA">
                              <w:pPr>
                                <w:tabs>
                                  <w:tab w:val="left" w:pos="5055"/>
                                </w:tabs>
                                <w:spacing w:after="40" w:line="240" w:lineRule="auto"/>
                                <w:rPr>
                                  <w:color w:val="000000" w:themeColor="text1"/>
                                  <w:sz w:val="18"/>
                                  <w:szCs w:val="20"/>
                                </w:rPr>
                              </w:pPr>
                              <w:r>
                                <w:rPr>
                                  <w:color w:val="000000" w:themeColor="text1"/>
                                  <w:sz w:val="18"/>
                                  <w:szCs w:val="20"/>
                                </w:rPr>
                                <w:t>Was the project delivered to the weighted iron triangle?</w:t>
                              </w:r>
                            </w:p>
                            <w:p w14:paraId="697653F1" w14:textId="20E11FD1" w:rsidR="009C0325" w:rsidRPr="008D742E" w:rsidRDefault="009C0325" w:rsidP="00143BDA">
                              <w:pPr>
                                <w:tabs>
                                  <w:tab w:val="left" w:pos="5055"/>
                                </w:tabs>
                                <w:spacing w:after="40" w:line="240" w:lineRule="auto"/>
                                <w:rPr>
                                  <w:color w:val="000000" w:themeColor="text1"/>
                                  <w:sz w:val="20"/>
                                </w:rPr>
                              </w:pPr>
                              <w:r w:rsidRPr="00143BDA">
                                <w:rPr>
                                  <w:color w:val="000000" w:themeColor="text1"/>
                                  <w:sz w:val="18"/>
                                  <w:szCs w:val="20"/>
                                </w:rPr>
                                <w:t>Have project benefits been realised</w:t>
                              </w:r>
                              <w:r>
                                <w:rPr>
                                  <w:color w:val="000000" w:themeColor="text1"/>
                                  <w:sz w:val="20"/>
                                </w:rPr>
                                <w:t xml:space="preserve">? </w:t>
                              </w:r>
                            </w:p>
                            <w:p w14:paraId="7B7F3910" w14:textId="77777777" w:rsidR="009C0325" w:rsidRPr="001D0559" w:rsidRDefault="009C0325" w:rsidP="009F4A0A">
                              <w:pPr>
                                <w:tabs>
                                  <w:tab w:val="left" w:pos="5055"/>
                                </w:tabs>
                                <w:rPr>
                                  <w:sz w:val="20"/>
                                </w:rPr>
                              </w:pPr>
                            </w:p>
                            <w:p w14:paraId="5ABD05F5" w14:textId="77777777" w:rsidR="009C0325" w:rsidRDefault="009C0325" w:rsidP="009F4A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tangle 202"/>
                        <wps:cNvSpPr/>
                        <wps:spPr>
                          <a:xfrm>
                            <a:off x="1676308" y="2886075"/>
                            <a:ext cx="2142581" cy="1143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8EDB3DC" w14:textId="0BA4DFD1" w:rsidR="009C0325" w:rsidRPr="00143BDA" w:rsidRDefault="009C0325" w:rsidP="00143BDA">
                              <w:pPr>
                                <w:tabs>
                                  <w:tab w:val="left" w:pos="5055"/>
                                </w:tabs>
                                <w:spacing w:after="60" w:line="240" w:lineRule="auto"/>
                                <w:rPr>
                                  <w:color w:val="000000" w:themeColor="text1"/>
                                  <w:sz w:val="18"/>
                                  <w:szCs w:val="20"/>
                                </w:rPr>
                              </w:pPr>
                              <w:r w:rsidRPr="00143BDA">
                                <w:rPr>
                                  <w:color w:val="000000" w:themeColor="text1"/>
                                  <w:sz w:val="18"/>
                                  <w:szCs w:val="20"/>
                                </w:rPr>
                                <w:t xml:space="preserve">Review of operational governance  </w:t>
                              </w:r>
                            </w:p>
                            <w:p w14:paraId="4D2232AE" w14:textId="3BC32668" w:rsidR="009C0325" w:rsidRDefault="009C0325" w:rsidP="00143BDA">
                              <w:pPr>
                                <w:tabs>
                                  <w:tab w:val="left" w:pos="5055"/>
                                </w:tabs>
                                <w:spacing w:after="60" w:line="240" w:lineRule="auto"/>
                                <w:rPr>
                                  <w:color w:val="000000" w:themeColor="text1"/>
                                  <w:sz w:val="18"/>
                                  <w:szCs w:val="20"/>
                                </w:rPr>
                              </w:pPr>
                              <w:r w:rsidRPr="00143BDA">
                                <w:rPr>
                                  <w:color w:val="000000" w:themeColor="text1"/>
                                  <w:sz w:val="18"/>
                                  <w:szCs w:val="20"/>
                                </w:rPr>
                                <w:t xml:space="preserve">Are project benefits </w:t>
                              </w:r>
                              <w:r>
                                <w:rPr>
                                  <w:color w:val="000000" w:themeColor="text1"/>
                                  <w:sz w:val="18"/>
                                  <w:szCs w:val="20"/>
                                </w:rPr>
                                <w:t xml:space="preserve">continuing to </w:t>
                              </w:r>
                              <w:r w:rsidRPr="00143BDA">
                                <w:rPr>
                                  <w:color w:val="000000" w:themeColor="text1"/>
                                  <w:sz w:val="18"/>
                                  <w:szCs w:val="20"/>
                                </w:rPr>
                                <w:t>be realised?</w:t>
                              </w:r>
                            </w:p>
                            <w:p w14:paraId="556C5B41" w14:textId="48A54377" w:rsidR="009C0325" w:rsidRPr="00143BDA" w:rsidRDefault="009C0325" w:rsidP="00143BDA">
                              <w:pPr>
                                <w:tabs>
                                  <w:tab w:val="left" w:pos="5055"/>
                                </w:tabs>
                                <w:spacing w:after="60" w:line="240" w:lineRule="auto"/>
                                <w:rPr>
                                  <w:color w:val="000000" w:themeColor="text1"/>
                                  <w:sz w:val="18"/>
                                  <w:szCs w:val="20"/>
                                </w:rPr>
                              </w:pPr>
                              <w:r>
                                <w:rPr>
                                  <w:color w:val="000000" w:themeColor="text1"/>
                                  <w:sz w:val="18"/>
                                  <w:szCs w:val="20"/>
                                </w:rPr>
                                <w:t>Carry out POEs</w:t>
                              </w:r>
                            </w:p>
                            <w:p w14:paraId="33FF25BD" w14:textId="77777777" w:rsidR="009C0325" w:rsidRPr="001D0559" w:rsidRDefault="009C0325" w:rsidP="009F4A0A">
                              <w:pPr>
                                <w:tabs>
                                  <w:tab w:val="left" w:pos="5055"/>
                                </w:tabs>
                                <w:rPr>
                                  <w:sz w:val="20"/>
                                </w:rPr>
                              </w:pPr>
                            </w:p>
                            <w:p w14:paraId="5E57860C" w14:textId="77777777" w:rsidR="009C0325" w:rsidRDefault="009C0325" w:rsidP="009F4A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Straight Arrow Connector 204"/>
                        <wps:cNvCnPr/>
                        <wps:spPr>
                          <a:xfrm>
                            <a:off x="685800" y="2514600"/>
                            <a:ext cx="0" cy="3429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CEDC8B" id="Group 206" o:spid="_x0000_s1072" style="position:absolute;margin-left:28.75pt;margin-top:2.5pt;width:300.7pt;height:222.75pt;z-index:251765248;mso-width-relative:margin;mso-height-relative:margin" coordorigin=",12001" coordsize="38190,2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">
                <v:shapetype id="_x0000_t32" coordsize="21600,21600" o:spt="32" o:oned="t" path="m,l21600,21600e" filled="f">
                  <v:path arrowok="t" fillok="f" o:connecttype="none"/>
                  <o:lock v:ext="edit" shapetype="t"/>
                </v:shapetype>
                <v:shape id="Straight Arrow Connector 61" o:spid="_x0000_s1073" type="#_x0000_t32" style="position:absolute;left:13335;top:19431;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" strokecolor="black [3213]" strokeweight="2.25pt">
                  <v:stroke endarrow="block" joinstyle="miter"/>
                </v:shape>
                <v:shape id="Straight Arrow Connector 62" o:spid="_x0000_s1074" type="#_x0000_t32" style="position:absolute;left:13335;top:34290;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" strokecolor="black [3213]" strokeweight="2.25pt">
                  <v:stroke endarrow="block" joinstyle="miter"/>
                </v:shape>
                <v:shape id="Hexagon 51" o:spid="_x0000_s1075" type="#_x0000_t9" style="position:absolute;top:13716;width:13125;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" adj="4702" filled="f" strokecolor="#1f4d78 [1604]" strokeweight="1pt">
                  <v:textbox>
                    <w:txbxContent>
                      <w:p w14:paraId="059A1725" w14:textId="77777777" w:rsidR="009C0325" w:rsidRPr="004F35A3" w:rsidRDefault="009C0325" w:rsidP="009F4A0A">
                        <w:pPr>
                          <w:jc w:val="center"/>
                          <w:rPr>
                            <w:color w:val="000000" w:themeColor="text1"/>
                            <w:sz w:val="20"/>
                          </w:rPr>
                        </w:pPr>
                        <w:r w:rsidRPr="004F35A3">
                          <w:rPr>
                            <w:color w:val="000000" w:themeColor="text1"/>
                            <w:sz w:val="20"/>
                          </w:rPr>
                          <w:t>End of project management phase</w:t>
                        </w:r>
                      </w:p>
                    </w:txbxContent>
                  </v:textbox>
                </v:shape>
                <v:shape id="Hexagon 55" o:spid="_x0000_s1076" type="#_x0000_t9" style="position:absolute;top:28575;width:13144;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" adj="4696" filled="f" strokecolor="#1f4d78 [1604]" strokeweight="1pt">
                  <v:textbox>
                    <w:txbxContent>
                      <w:p w14:paraId="03769CD8" w14:textId="77777777" w:rsidR="009C0325" w:rsidRPr="004F35A3" w:rsidRDefault="009C0325" w:rsidP="009F4A0A">
                        <w:pPr>
                          <w:jc w:val="center"/>
                          <w:rPr>
                            <w:color w:val="000000" w:themeColor="text1"/>
                            <w:sz w:val="20"/>
                          </w:rPr>
                        </w:pPr>
                        <w:r w:rsidRPr="004F35A3">
                          <w:rPr>
                            <w:color w:val="000000" w:themeColor="text1"/>
                            <w:sz w:val="20"/>
                          </w:rPr>
                          <w:t>Operational phase</w:t>
                        </w:r>
                      </w:p>
                    </w:txbxContent>
                  </v:textbox>
                </v:shape>
                <v:shape id="Straight Arrow Connector 63" o:spid="_x0000_s1077" type="#_x0000_t32" style="position:absolute;left:6858;top:12001;width:0;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" strokecolor="black [3213]" strokeweight="2.25pt">
                  <v:stroke endarrow="block" joinstyle="miter"/>
                </v:shape>
                <v:rect id="Rectangle 192" o:spid="_x0000_s1078" style="position:absolute;left:16573;top:13716;width:21617;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" filled="f" strokecolor="#1f4d78 [1604]" strokeweight="1pt">
                  <v:textbox>
                    <w:txbxContent>
                      <w:p w14:paraId="4B074B41" w14:textId="77777777" w:rsidR="009C0325" w:rsidRDefault="009C0325" w:rsidP="00143BDA">
                        <w:pPr>
                          <w:spacing w:after="40" w:line="240" w:lineRule="auto"/>
                          <w:rPr>
                            <w:color w:val="000000" w:themeColor="text1"/>
                            <w:sz w:val="18"/>
                            <w:szCs w:val="20"/>
                          </w:rPr>
                        </w:pPr>
                        <w:r w:rsidRPr="00143BDA">
                          <w:rPr>
                            <w:color w:val="000000" w:themeColor="text1"/>
                            <w:sz w:val="18"/>
                            <w:szCs w:val="20"/>
                          </w:rPr>
                          <w:t>Review of governance</w:t>
                        </w:r>
                      </w:p>
                      <w:p w14:paraId="326FE262" w14:textId="373A1A14" w:rsidR="009C0325" w:rsidRDefault="009C0325" w:rsidP="00143BDA">
                        <w:pPr>
                          <w:spacing w:after="40" w:line="240" w:lineRule="auto"/>
                          <w:rPr>
                            <w:color w:val="000000" w:themeColor="text1"/>
                            <w:sz w:val="18"/>
                            <w:szCs w:val="20"/>
                          </w:rPr>
                        </w:pPr>
                        <w:r w:rsidRPr="00143BDA">
                          <w:rPr>
                            <w:color w:val="000000" w:themeColor="text1"/>
                            <w:sz w:val="18"/>
                            <w:szCs w:val="20"/>
                          </w:rPr>
                          <w:t>Have relevant KPIs been achieved?</w:t>
                        </w:r>
                      </w:p>
                      <w:p w14:paraId="602F9ECD" w14:textId="797E41D5" w:rsidR="009C0325" w:rsidRPr="00143BDA" w:rsidRDefault="009C0325" w:rsidP="00143BDA">
                        <w:pPr>
                          <w:tabs>
                            <w:tab w:val="left" w:pos="5055"/>
                          </w:tabs>
                          <w:spacing w:after="40" w:line="240" w:lineRule="auto"/>
                          <w:rPr>
                            <w:color w:val="000000" w:themeColor="text1"/>
                            <w:sz w:val="18"/>
                            <w:szCs w:val="20"/>
                          </w:rPr>
                        </w:pPr>
                        <w:r>
                          <w:rPr>
                            <w:color w:val="000000" w:themeColor="text1"/>
                            <w:sz w:val="18"/>
                            <w:szCs w:val="20"/>
                          </w:rPr>
                          <w:t>Was the project delivered to the weighted iron triangle?</w:t>
                        </w:r>
                      </w:p>
                      <w:p w14:paraId="697653F1" w14:textId="20E11FD1" w:rsidR="009C0325" w:rsidRPr="008D742E" w:rsidRDefault="009C0325" w:rsidP="00143BDA">
                        <w:pPr>
                          <w:tabs>
                            <w:tab w:val="left" w:pos="5055"/>
                          </w:tabs>
                          <w:spacing w:after="40" w:line="240" w:lineRule="auto"/>
                          <w:rPr>
                            <w:color w:val="000000" w:themeColor="text1"/>
                            <w:sz w:val="20"/>
                          </w:rPr>
                        </w:pPr>
                        <w:r w:rsidRPr="00143BDA">
                          <w:rPr>
                            <w:color w:val="000000" w:themeColor="text1"/>
                            <w:sz w:val="18"/>
                            <w:szCs w:val="20"/>
                          </w:rPr>
                          <w:t>Have project benefits been realised</w:t>
                        </w:r>
                        <w:r>
                          <w:rPr>
                            <w:color w:val="000000" w:themeColor="text1"/>
                            <w:sz w:val="20"/>
                          </w:rPr>
                          <w:t xml:space="preserve">? </w:t>
                        </w:r>
                      </w:p>
                      <w:p w14:paraId="7B7F3910" w14:textId="77777777" w:rsidR="009C0325" w:rsidRPr="001D0559" w:rsidRDefault="009C0325" w:rsidP="009F4A0A">
                        <w:pPr>
                          <w:tabs>
                            <w:tab w:val="left" w:pos="5055"/>
                          </w:tabs>
                          <w:rPr>
                            <w:sz w:val="20"/>
                          </w:rPr>
                        </w:pPr>
                      </w:p>
                      <w:p w14:paraId="5ABD05F5" w14:textId="77777777" w:rsidR="009C0325" w:rsidRDefault="009C0325" w:rsidP="009F4A0A">
                        <w:pPr>
                          <w:jc w:val="center"/>
                        </w:pPr>
                      </w:p>
                    </w:txbxContent>
                  </v:textbox>
                </v:rect>
                <v:rect id="Rectangle 202" o:spid="_x0000_s1079" style="position:absolute;left:16763;top:28860;width:21425;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" filled="f" strokecolor="#1f4d78 [1604]" strokeweight="1pt">
                  <v:textbox>
                    <w:txbxContent>
                      <w:p w14:paraId="38EDB3DC" w14:textId="0BA4DFD1" w:rsidR="009C0325" w:rsidRPr="00143BDA" w:rsidRDefault="009C0325" w:rsidP="00143BDA">
                        <w:pPr>
                          <w:tabs>
                            <w:tab w:val="left" w:pos="5055"/>
                          </w:tabs>
                          <w:spacing w:after="60" w:line="240" w:lineRule="auto"/>
                          <w:rPr>
                            <w:color w:val="000000" w:themeColor="text1"/>
                            <w:sz w:val="18"/>
                            <w:szCs w:val="20"/>
                          </w:rPr>
                        </w:pPr>
                        <w:r w:rsidRPr="00143BDA">
                          <w:rPr>
                            <w:color w:val="000000" w:themeColor="text1"/>
                            <w:sz w:val="18"/>
                            <w:szCs w:val="20"/>
                          </w:rPr>
                          <w:t xml:space="preserve">Review of operational governance  </w:t>
                        </w:r>
                      </w:p>
                      <w:p w14:paraId="4D2232AE" w14:textId="3BC32668" w:rsidR="009C0325" w:rsidRDefault="009C0325" w:rsidP="00143BDA">
                        <w:pPr>
                          <w:tabs>
                            <w:tab w:val="left" w:pos="5055"/>
                          </w:tabs>
                          <w:spacing w:after="60" w:line="240" w:lineRule="auto"/>
                          <w:rPr>
                            <w:color w:val="000000" w:themeColor="text1"/>
                            <w:sz w:val="18"/>
                            <w:szCs w:val="20"/>
                          </w:rPr>
                        </w:pPr>
                        <w:r w:rsidRPr="00143BDA">
                          <w:rPr>
                            <w:color w:val="000000" w:themeColor="text1"/>
                            <w:sz w:val="18"/>
                            <w:szCs w:val="20"/>
                          </w:rPr>
                          <w:t xml:space="preserve">Are project benefits </w:t>
                        </w:r>
                        <w:r>
                          <w:rPr>
                            <w:color w:val="000000" w:themeColor="text1"/>
                            <w:sz w:val="18"/>
                            <w:szCs w:val="20"/>
                          </w:rPr>
                          <w:t xml:space="preserve">continuing to </w:t>
                        </w:r>
                        <w:r w:rsidRPr="00143BDA">
                          <w:rPr>
                            <w:color w:val="000000" w:themeColor="text1"/>
                            <w:sz w:val="18"/>
                            <w:szCs w:val="20"/>
                          </w:rPr>
                          <w:t>be realised?</w:t>
                        </w:r>
                      </w:p>
                      <w:p w14:paraId="556C5B41" w14:textId="48A54377" w:rsidR="009C0325" w:rsidRPr="00143BDA" w:rsidRDefault="009C0325" w:rsidP="00143BDA">
                        <w:pPr>
                          <w:tabs>
                            <w:tab w:val="left" w:pos="5055"/>
                          </w:tabs>
                          <w:spacing w:after="60" w:line="240" w:lineRule="auto"/>
                          <w:rPr>
                            <w:color w:val="000000" w:themeColor="text1"/>
                            <w:sz w:val="18"/>
                            <w:szCs w:val="20"/>
                          </w:rPr>
                        </w:pPr>
                        <w:r>
                          <w:rPr>
                            <w:color w:val="000000" w:themeColor="text1"/>
                            <w:sz w:val="18"/>
                            <w:szCs w:val="20"/>
                          </w:rPr>
                          <w:t>Carry out POEs</w:t>
                        </w:r>
                      </w:p>
                      <w:p w14:paraId="33FF25BD" w14:textId="77777777" w:rsidR="009C0325" w:rsidRPr="001D0559" w:rsidRDefault="009C0325" w:rsidP="009F4A0A">
                        <w:pPr>
                          <w:tabs>
                            <w:tab w:val="left" w:pos="5055"/>
                          </w:tabs>
                          <w:rPr>
                            <w:sz w:val="20"/>
                          </w:rPr>
                        </w:pPr>
                      </w:p>
                      <w:p w14:paraId="5E57860C" w14:textId="77777777" w:rsidR="009C0325" w:rsidRDefault="009C0325" w:rsidP="009F4A0A">
                        <w:pPr>
                          <w:jc w:val="center"/>
                        </w:pPr>
                      </w:p>
                    </w:txbxContent>
                  </v:textbox>
                </v:rect>
                <v:shape id="Straight Arrow Connector 204" o:spid="_x0000_s1080" type="#_x0000_t32" style="position:absolute;left:6858;top:25146;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" strokecolor="black [3213]" strokeweight="2.25pt">
                  <v:stroke endarrow="block" joinstyle="miter"/>
                </v:shape>
              </v:group>
            </w:pict>
          </mc:Fallback>
        </mc:AlternateContent>
      </w:r>
    </w:p>
    <w:p w14:paraId="512D3B5F" w14:textId="77777777" w:rsidR="009F4A0A" w:rsidRPr="00A77AF6" w:rsidRDefault="009F4A0A" w:rsidP="009F4A0A">
      <w:r w:rsidRPr="00A77AF6">
        <w:rPr>
          <w:noProof/>
        </w:rPr>
        <mc:AlternateContent>
          <mc:Choice Requires="wps">
            <w:drawing>
              <wp:anchor distT="45720" distB="45720" distL="114300" distR="114300" simplePos="0" relativeHeight="251802112" behindDoc="0" locked="0" layoutInCell="1" allowOverlap="1" wp14:anchorId="21E6C815" wp14:editId="2330ACE7">
                <wp:simplePos x="0" y="0"/>
                <wp:positionH relativeFrom="column">
                  <wp:posOffset>4522470</wp:posOffset>
                </wp:positionH>
                <wp:positionV relativeFrom="paragraph">
                  <wp:posOffset>107315</wp:posOffset>
                </wp:positionV>
                <wp:extent cx="1104265" cy="752475"/>
                <wp:effectExtent l="0" t="0" r="635" b="9525"/>
                <wp:wrapSquare wrapText="bothSides"/>
                <wp:docPr id="12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752475"/>
                        </a:xfrm>
                        <a:prstGeom prst="rect">
                          <a:avLst/>
                        </a:prstGeom>
                        <a:solidFill>
                          <a:srgbClr val="FFFFFF"/>
                        </a:solidFill>
                        <a:ln w="9525">
                          <a:noFill/>
                          <a:miter lim="800000"/>
                          <a:headEnd/>
                          <a:tailEnd/>
                        </a:ln>
                      </wps:spPr>
                      <wps:txbx>
                        <w:txbxContent>
                          <w:p w14:paraId="5EBE51A6" w14:textId="77777777" w:rsidR="009C0325" w:rsidRDefault="009C0325" w:rsidP="009F4A0A">
                            <w:r>
                              <w:t>Expanded in Figure 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6C815" id="_x0000_s1081" type="#_x0000_t202" style="position:absolute;margin-left:356.1pt;margin-top:8.45pt;width:86.95pt;height:59.25pt;z-index:25180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" stroked="f">
                <v:textbox>
                  <w:txbxContent>
                    <w:p w14:paraId="5EBE51A6" w14:textId="77777777" w:rsidR="009C0325" w:rsidRDefault="009C0325" w:rsidP="009F4A0A">
                      <w:r>
                        <w:t>Expanded in Figure 8-3</w:t>
                      </w:r>
                    </w:p>
                  </w:txbxContent>
                </v:textbox>
                <w10:wrap type="square"/>
              </v:shape>
            </w:pict>
          </mc:Fallback>
        </mc:AlternateContent>
      </w:r>
    </w:p>
    <w:p w14:paraId="4F4B916A" w14:textId="77777777" w:rsidR="009F4A0A" w:rsidRPr="00A77AF6" w:rsidRDefault="009F4A0A" w:rsidP="009F4A0A"/>
    <w:p w14:paraId="21166A8C" w14:textId="77777777" w:rsidR="009F4A0A" w:rsidRPr="00A77AF6" w:rsidRDefault="009F4A0A" w:rsidP="009F4A0A"/>
    <w:p w14:paraId="74024AEF" w14:textId="77777777" w:rsidR="009F4A0A" w:rsidRPr="00A77AF6" w:rsidRDefault="009F4A0A" w:rsidP="009F4A0A"/>
    <w:p w14:paraId="17019702" w14:textId="77777777" w:rsidR="009F4A0A" w:rsidRPr="00A77AF6" w:rsidRDefault="009F4A0A" w:rsidP="009F4A0A"/>
    <w:p w14:paraId="330AD5A9" w14:textId="77777777" w:rsidR="009F4A0A" w:rsidRPr="00A77AF6" w:rsidRDefault="009F4A0A" w:rsidP="009F4A0A">
      <w:r w:rsidRPr="00A77AF6">
        <w:rPr>
          <w:noProof/>
        </w:rPr>
        <mc:AlternateContent>
          <mc:Choice Requires="wps">
            <w:drawing>
              <wp:anchor distT="45720" distB="45720" distL="114300" distR="114300" simplePos="0" relativeHeight="251795968" behindDoc="0" locked="0" layoutInCell="1" allowOverlap="1" wp14:anchorId="01A19D76" wp14:editId="1D65E17A">
                <wp:simplePos x="0" y="0"/>
                <wp:positionH relativeFrom="column">
                  <wp:posOffset>4522470</wp:posOffset>
                </wp:positionH>
                <wp:positionV relativeFrom="paragraph">
                  <wp:posOffset>241300</wp:posOffset>
                </wp:positionV>
                <wp:extent cx="1104265" cy="752475"/>
                <wp:effectExtent l="0" t="0" r="635" b="95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752475"/>
                        </a:xfrm>
                        <a:prstGeom prst="rect">
                          <a:avLst/>
                        </a:prstGeom>
                        <a:solidFill>
                          <a:srgbClr val="FFFFFF"/>
                        </a:solidFill>
                        <a:ln w="9525">
                          <a:noFill/>
                          <a:miter lim="800000"/>
                          <a:headEnd/>
                          <a:tailEnd/>
                        </a:ln>
                      </wps:spPr>
                      <wps:txbx>
                        <w:txbxContent>
                          <w:p w14:paraId="464F3E99" w14:textId="77777777" w:rsidR="009C0325" w:rsidRDefault="009C0325" w:rsidP="009F4A0A">
                            <w:r>
                              <w:t>Expanded in Figure 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19D76" id="_x0000_s1082" type="#_x0000_t202" style="position:absolute;margin-left:356.1pt;margin-top:19pt;width:86.95pt;height:59.25pt;z-index:25179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" stroked="f">
                <v:textbox>
                  <w:txbxContent>
                    <w:p w14:paraId="464F3E99" w14:textId="77777777" w:rsidR="009C0325" w:rsidRDefault="009C0325" w:rsidP="009F4A0A">
                      <w:r>
                        <w:t>Expanded in Figure 8-4</w:t>
                      </w:r>
                    </w:p>
                  </w:txbxContent>
                </v:textbox>
                <w10:wrap type="square"/>
              </v:shape>
            </w:pict>
          </mc:Fallback>
        </mc:AlternateContent>
      </w:r>
    </w:p>
    <w:p w14:paraId="41B37522" w14:textId="77777777" w:rsidR="009F4A0A" w:rsidRPr="00A77AF6" w:rsidRDefault="009F4A0A" w:rsidP="009F4A0A"/>
    <w:p w14:paraId="1CA170CC" w14:textId="77777777" w:rsidR="009F4A0A" w:rsidRPr="00A77AF6" w:rsidRDefault="009F4A0A" w:rsidP="009F4A0A">
      <w:pPr>
        <w:spacing w:after="60" w:line="480" w:lineRule="auto"/>
      </w:pPr>
    </w:p>
    <w:p w14:paraId="44479BE9" w14:textId="77777777" w:rsidR="009F22BE" w:rsidRPr="00A77AF6" w:rsidRDefault="009F22BE" w:rsidP="00832F4B">
      <w:pPr>
        <w:spacing w:line="360" w:lineRule="auto"/>
      </w:pPr>
    </w:p>
    <w:p w14:paraId="3DF60260" w14:textId="58B1DC73" w:rsidR="00283AAB" w:rsidRPr="00A77AF6" w:rsidRDefault="00283AAB" w:rsidP="00283AAB">
      <w:pPr>
        <w:pStyle w:val="Caption"/>
      </w:pPr>
      <w:bookmarkStart w:id="203" w:name="_Toc36186991"/>
      <w:r w:rsidRPr="00A77AF6">
        <w:t xml:space="preserve">Figure </w:t>
      </w:r>
      <w:fldSimple w:instr=" STYLEREF 1 \s ">
        <w:r w:rsidR="000441F7">
          <w:rPr>
            <w:noProof/>
          </w:rPr>
          <w:t>8</w:t>
        </w:r>
      </w:fldSimple>
      <w:r w:rsidR="00BA5DC4">
        <w:noBreakHyphen/>
      </w:r>
      <w:fldSimple w:instr=" SEQ Figure \* ARABIC \s 1 ">
        <w:r w:rsidR="000441F7">
          <w:rPr>
            <w:noProof/>
          </w:rPr>
          <w:t>1</w:t>
        </w:r>
      </w:fldSimple>
      <w:r w:rsidRPr="00A77AF6">
        <w:t>: New public assurance model for measurement of project success</w:t>
      </w:r>
      <w:bookmarkEnd w:id="203"/>
    </w:p>
    <w:p w14:paraId="1F03CC47" w14:textId="642B8336" w:rsidR="00283AAB" w:rsidRPr="00A77AF6" w:rsidRDefault="00283AAB">
      <w:r w:rsidRPr="00A77AF6">
        <w:br w:type="page"/>
      </w:r>
    </w:p>
    <w:p w14:paraId="6241507F" w14:textId="6FC07F8E" w:rsidR="009F22BE" w:rsidRPr="00A77AF6" w:rsidRDefault="009F22BE" w:rsidP="009563EA">
      <w:pPr>
        <w:pStyle w:val="Heading2"/>
      </w:pPr>
      <w:bookmarkStart w:id="204" w:name="_Toc36275155"/>
      <w:r w:rsidRPr="00A77AF6">
        <w:lastRenderedPageBreak/>
        <w:t>Public assurance: recommendations for governance</w:t>
      </w:r>
      <w:bookmarkEnd w:id="204"/>
    </w:p>
    <w:p w14:paraId="0A0A8808" w14:textId="3DEB295F" w:rsidR="003D6E74" w:rsidRPr="00A77AF6" w:rsidRDefault="009F22BE" w:rsidP="003D6E74">
      <w:pPr>
        <w:ind w:left="578"/>
        <w:rPr>
          <w:rFonts w:ascii="Calibri" w:hAnsi="Calibri" w:cs="Calibri"/>
        </w:rPr>
      </w:pPr>
      <w:r w:rsidRPr="00A77AF6">
        <w:rPr>
          <w:b/>
          <w:bCs/>
        </w:rPr>
        <w:t>Recommendation 1:</w:t>
      </w:r>
      <w:r w:rsidRPr="00A77AF6">
        <w:t xml:space="preserve"> Carry out a skills audit of </w:t>
      </w:r>
      <w:r w:rsidR="00B21B91" w:rsidRPr="00A77AF6">
        <w:t>t</w:t>
      </w:r>
      <w:r w:rsidRPr="00A77AF6">
        <w:t xml:space="preserve">rust </w:t>
      </w:r>
      <w:r w:rsidR="00B21B91" w:rsidRPr="00A77AF6">
        <w:t>b</w:t>
      </w:r>
      <w:r w:rsidRPr="00A77AF6">
        <w:t xml:space="preserve">oard members at the start of a project and when new </w:t>
      </w:r>
      <w:r w:rsidR="00143BDA" w:rsidRPr="00A77AF6">
        <w:t xml:space="preserve">members </w:t>
      </w:r>
      <w:r w:rsidRPr="00A77AF6">
        <w:t>join</w:t>
      </w:r>
      <w:r w:rsidR="003D6E74">
        <w:t xml:space="preserve">. </w:t>
      </w:r>
      <w:r w:rsidR="003D6E74" w:rsidRPr="00A77AF6">
        <w:rPr>
          <w:rFonts w:ascii="Calibri" w:hAnsi="Calibri" w:cs="Calibri"/>
        </w:rPr>
        <w:t xml:space="preserve">Where gaps are identified offer a programme of training. </w:t>
      </w:r>
    </w:p>
    <w:p w14:paraId="3E795603" w14:textId="0F2CAE58" w:rsidR="009F22BE" w:rsidRPr="00A77AF6" w:rsidRDefault="003D6E74" w:rsidP="003D6E74">
      <w:pPr>
        <w:ind w:firstLine="360"/>
      </w:pPr>
      <w:r>
        <w:t>E</w:t>
      </w:r>
      <w:r w:rsidR="009F22BE" w:rsidRPr="00A77AF6">
        <w:t xml:space="preserve">stablish knowledge of  </w:t>
      </w:r>
    </w:p>
    <w:p w14:paraId="4FE574C0" w14:textId="042129B4" w:rsidR="009F22BE" w:rsidRPr="00A77AF6" w:rsidRDefault="009F22BE" w:rsidP="00922DDB">
      <w:pPr>
        <w:spacing w:line="360" w:lineRule="auto"/>
        <w:ind w:left="360"/>
      </w:pPr>
      <w:r w:rsidRPr="00A77AF6">
        <w:rPr>
          <w:u w:val="single"/>
        </w:rPr>
        <w:t>The NHS project processes</w:t>
      </w:r>
      <w:r w:rsidR="00B21B91" w:rsidRPr="00A77AF6">
        <w:rPr>
          <w:u w:val="single"/>
        </w:rPr>
        <w:t xml:space="preserve"> </w:t>
      </w:r>
      <w:r w:rsidR="00B21B91" w:rsidRPr="00A77AF6">
        <w:t>– the trust board</w:t>
      </w:r>
      <w:r w:rsidR="005B119D" w:rsidRPr="00A77AF6">
        <w:t xml:space="preserve">’s lack of knowledge </w:t>
      </w:r>
      <w:r w:rsidR="00DA17D1" w:rsidRPr="00A77AF6">
        <w:t xml:space="preserve">led </w:t>
      </w:r>
      <w:r w:rsidR="00B21B91" w:rsidRPr="00A77AF6">
        <w:t xml:space="preserve">to slow decision-making and </w:t>
      </w:r>
      <w:r w:rsidR="00F7206C" w:rsidRPr="00A77AF6">
        <w:t>reduced</w:t>
      </w:r>
      <w:r w:rsidR="00DA17D1" w:rsidRPr="00A77AF6">
        <w:t xml:space="preserve"> the</w:t>
      </w:r>
      <w:r w:rsidR="00F7206C" w:rsidRPr="00A77AF6">
        <w:t xml:space="preserve"> effectiveness </w:t>
      </w:r>
      <w:r w:rsidR="00DA17D1" w:rsidRPr="00A77AF6">
        <w:t>of</w:t>
      </w:r>
      <w:r w:rsidR="00F7206C" w:rsidRPr="00A77AF6">
        <w:t xml:space="preserve"> </w:t>
      </w:r>
      <w:r w:rsidR="00B21B91" w:rsidRPr="00A77AF6">
        <w:t xml:space="preserve">project oversight. </w:t>
      </w:r>
    </w:p>
    <w:p w14:paraId="62C2B8A8" w14:textId="3C233D4E" w:rsidR="00F7206C" w:rsidRPr="00A77AF6" w:rsidRDefault="009F22BE" w:rsidP="00922DDB">
      <w:pPr>
        <w:spacing w:line="360" w:lineRule="auto"/>
        <w:ind w:left="360"/>
      </w:pPr>
      <w:r w:rsidRPr="00A77AF6">
        <w:rPr>
          <w:u w:val="single"/>
        </w:rPr>
        <w:t>Project Management competencies</w:t>
      </w:r>
      <w:r w:rsidR="00503D05" w:rsidRPr="00A77AF6">
        <w:t xml:space="preserve"> -</w:t>
      </w:r>
      <w:r w:rsidR="00B21B91" w:rsidRPr="00A77AF6">
        <w:t xml:space="preserve"> the lack of project management competencies at trust board level was identified in the e-survey and interviews. </w:t>
      </w:r>
      <w:r w:rsidR="00F7206C" w:rsidRPr="00A77AF6">
        <w:t xml:space="preserve"> This led to the trust board’s reduced effectiveness in project oversight. </w:t>
      </w:r>
    </w:p>
    <w:p w14:paraId="54C7E81B" w14:textId="4FEA6FFC" w:rsidR="009F22BE" w:rsidRPr="00A77AF6" w:rsidRDefault="009F22BE" w:rsidP="00922DDB">
      <w:pPr>
        <w:spacing w:line="360" w:lineRule="auto"/>
        <w:ind w:left="360"/>
      </w:pPr>
      <w:r w:rsidRPr="00A77AF6">
        <w:rPr>
          <w:u w:val="single"/>
        </w:rPr>
        <w:t>Risk mitigation</w:t>
      </w:r>
      <w:r w:rsidRPr="00A77AF6">
        <w:t xml:space="preserve"> </w:t>
      </w:r>
      <w:r w:rsidR="00B21B91" w:rsidRPr="00A77AF6">
        <w:t>–</w:t>
      </w:r>
      <w:r w:rsidR="005B119D" w:rsidRPr="00A77AF6">
        <w:t xml:space="preserve"> </w:t>
      </w:r>
      <w:r w:rsidR="00F7206C" w:rsidRPr="00A77AF6">
        <w:t>trust boards did not appear to understand how to mitigate risk and that this could cause project delay. The literature showed that risk management is an important factor of governance</w:t>
      </w:r>
      <w:r w:rsidR="003D6E74">
        <w:t xml:space="preserve"> currently</w:t>
      </w:r>
      <w:r w:rsidR="00B21B91" w:rsidRPr="00A77AF6">
        <w:t xml:space="preserve"> n</w:t>
      </w:r>
      <w:r w:rsidR="00F7206C" w:rsidRPr="00A77AF6">
        <w:t>o</w:t>
      </w:r>
      <w:r w:rsidR="00B21B91" w:rsidRPr="00A77AF6">
        <w:t>t well done by trust boards</w:t>
      </w:r>
    </w:p>
    <w:p w14:paraId="1420263C" w14:textId="58180E26" w:rsidR="009F22BE" w:rsidRPr="00A77AF6" w:rsidRDefault="009F22BE" w:rsidP="00922DDB">
      <w:pPr>
        <w:spacing w:line="360" w:lineRule="auto"/>
        <w:ind w:left="360"/>
        <w:rPr>
          <w:u w:val="single"/>
        </w:rPr>
      </w:pPr>
      <w:r w:rsidRPr="00A77AF6">
        <w:rPr>
          <w:u w:val="single"/>
        </w:rPr>
        <w:t>Construction industry and construction projects</w:t>
      </w:r>
      <w:r w:rsidR="00F7206C" w:rsidRPr="00A77AF6">
        <w:t xml:space="preserve"> – trust boards </w:t>
      </w:r>
      <w:r w:rsidR="00CA106D" w:rsidRPr="00A77AF6">
        <w:t xml:space="preserve">were thought not to </w:t>
      </w:r>
      <w:r w:rsidR="00F7206C" w:rsidRPr="00A77AF6">
        <w:t xml:space="preserve">understand the construction industry or projects.  </w:t>
      </w:r>
      <w:r w:rsidR="00CA106D" w:rsidRPr="00A77AF6">
        <w:t>This lack of knowledge is included as one of t</w:t>
      </w:r>
      <w:r w:rsidR="00F7206C" w:rsidRPr="00A77AF6">
        <w:t xml:space="preserve">he 8 </w:t>
      </w:r>
      <w:r w:rsidR="00CA106D" w:rsidRPr="00A77AF6">
        <w:t>c</w:t>
      </w:r>
      <w:r w:rsidR="00F7206C" w:rsidRPr="00A77AF6">
        <w:t xml:space="preserve">ommon </w:t>
      </w:r>
      <w:r w:rsidR="00CA106D" w:rsidRPr="00A77AF6">
        <w:t>c</w:t>
      </w:r>
      <w:r w:rsidR="00F7206C" w:rsidRPr="00A77AF6">
        <w:t xml:space="preserve">auses of </w:t>
      </w:r>
      <w:r w:rsidR="00CA106D" w:rsidRPr="00A77AF6">
        <w:t>p</w:t>
      </w:r>
      <w:r w:rsidR="00F7206C" w:rsidRPr="00A77AF6">
        <w:t xml:space="preserve">roject </w:t>
      </w:r>
      <w:r w:rsidR="00CA106D" w:rsidRPr="00A77AF6">
        <w:t>f</w:t>
      </w:r>
      <w:r w:rsidR="00F7206C" w:rsidRPr="00A77AF6">
        <w:t>ailure</w:t>
      </w:r>
      <w:r w:rsidR="00CA106D" w:rsidRPr="00A77AF6">
        <w:t xml:space="preserve">. </w:t>
      </w:r>
      <w:r w:rsidR="00F7206C" w:rsidRPr="00A77AF6">
        <w:t xml:space="preserve"> </w:t>
      </w:r>
    </w:p>
    <w:p w14:paraId="0C6AFF0A" w14:textId="4C77929A" w:rsidR="009F22BE" w:rsidRPr="00A77AF6" w:rsidRDefault="009F22BE" w:rsidP="00922DDB">
      <w:pPr>
        <w:spacing w:after="120" w:line="360" w:lineRule="auto"/>
        <w:ind w:left="357"/>
        <w:rPr>
          <w:rFonts w:ascii="Calibri" w:hAnsi="Calibri" w:cs="Calibri"/>
        </w:rPr>
      </w:pPr>
      <w:r w:rsidRPr="00A77AF6">
        <w:rPr>
          <w:rFonts w:ascii="Calibri" w:hAnsi="Calibri" w:cs="Calibri"/>
          <w:u w:val="single"/>
        </w:rPr>
        <w:t xml:space="preserve">Principles of effective </w:t>
      </w:r>
      <w:r w:rsidR="00F7206C" w:rsidRPr="00A77AF6">
        <w:rPr>
          <w:rFonts w:ascii="Calibri" w:hAnsi="Calibri" w:cs="Calibri"/>
          <w:u w:val="single"/>
        </w:rPr>
        <w:t xml:space="preserve">project </w:t>
      </w:r>
      <w:r w:rsidRPr="00A77AF6">
        <w:rPr>
          <w:rFonts w:ascii="Calibri" w:hAnsi="Calibri" w:cs="Calibri"/>
          <w:u w:val="single"/>
        </w:rPr>
        <w:t>oversight</w:t>
      </w:r>
      <w:r w:rsidRPr="00A77AF6">
        <w:rPr>
          <w:rFonts w:ascii="Calibri" w:hAnsi="Calibri" w:cs="Calibri"/>
        </w:rPr>
        <w:t xml:space="preserve"> </w:t>
      </w:r>
      <w:r w:rsidR="000D2B80" w:rsidRPr="00A77AF6">
        <w:rPr>
          <w:rFonts w:ascii="Calibri" w:hAnsi="Calibri" w:cs="Calibri"/>
        </w:rPr>
        <w:t>-</w:t>
      </w:r>
      <w:r w:rsidR="005B119D" w:rsidRPr="00A77AF6">
        <w:rPr>
          <w:rFonts w:ascii="Calibri" w:hAnsi="Calibri" w:cs="Calibri"/>
        </w:rPr>
        <w:t xml:space="preserve"> project oversight, explained by agency theory, was perceived to be weak.  Roles, processes and structures were established but they were perceived not to be very effectiv</w:t>
      </w:r>
      <w:r w:rsidR="005D77D4" w:rsidRPr="00A77AF6">
        <w:rPr>
          <w:rFonts w:ascii="Calibri" w:hAnsi="Calibri" w:cs="Calibri"/>
        </w:rPr>
        <w:t>e</w:t>
      </w:r>
      <w:r w:rsidR="005B119D" w:rsidRPr="00A77AF6">
        <w:rPr>
          <w:rFonts w:ascii="Calibri" w:hAnsi="Calibri" w:cs="Calibri"/>
        </w:rPr>
        <w:t xml:space="preserve">. </w:t>
      </w:r>
      <w:r w:rsidR="002B6BC7" w:rsidRPr="00A77AF6">
        <w:rPr>
          <w:rFonts w:ascii="Calibri" w:hAnsi="Calibri" w:cs="Calibri"/>
        </w:rPr>
        <w:t xml:space="preserve"> Trust boards delegated responsibility to project teams. </w:t>
      </w:r>
      <w:r w:rsidR="005B119D" w:rsidRPr="00A77AF6">
        <w:rPr>
          <w:rFonts w:ascii="Calibri" w:hAnsi="Calibri" w:cs="Calibri"/>
        </w:rPr>
        <w:t xml:space="preserve"> </w:t>
      </w:r>
      <w:r w:rsidR="005D77D4" w:rsidRPr="00A77AF6">
        <w:rPr>
          <w:rFonts w:ascii="Calibri" w:hAnsi="Calibri" w:cs="Calibri"/>
        </w:rPr>
        <w:t xml:space="preserve">This gave control to the project director (the agent) and could reduce the trust board’s ability for </w:t>
      </w:r>
      <w:r w:rsidR="002B6BC7" w:rsidRPr="00A77AF6">
        <w:rPr>
          <w:rFonts w:ascii="Calibri" w:hAnsi="Calibri" w:cs="Calibri"/>
        </w:rPr>
        <w:t xml:space="preserve">effective </w:t>
      </w:r>
      <w:r w:rsidR="005D77D4" w:rsidRPr="00A77AF6">
        <w:rPr>
          <w:rFonts w:ascii="Calibri" w:hAnsi="Calibri" w:cs="Calibri"/>
        </w:rPr>
        <w:t xml:space="preserve">oversight.  </w:t>
      </w:r>
    </w:p>
    <w:p w14:paraId="7C3A1EFF" w14:textId="2BFA87C7" w:rsidR="00F7206C" w:rsidRPr="00A77AF6" w:rsidRDefault="009F22BE" w:rsidP="00922DDB">
      <w:pPr>
        <w:spacing w:line="360" w:lineRule="auto"/>
        <w:ind w:left="360"/>
        <w:rPr>
          <w:rFonts w:ascii="Calibri" w:hAnsi="Calibri" w:cs="Calibri"/>
        </w:rPr>
      </w:pPr>
      <w:r w:rsidRPr="00A77AF6">
        <w:rPr>
          <w:rFonts w:ascii="Calibri" w:hAnsi="Calibri" w:cs="Calibri"/>
          <w:u w:val="single"/>
        </w:rPr>
        <w:t>Effective communication</w:t>
      </w:r>
      <w:r w:rsidR="00F7206C" w:rsidRPr="00A77AF6">
        <w:rPr>
          <w:rFonts w:ascii="Calibri" w:hAnsi="Calibri" w:cs="Calibri"/>
          <w:u w:val="single"/>
        </w:rPr>
        <w:t xml:space="preserve">/ </w:t>
      </w:r>
      <w:r w:rsidR="00F7206C" w:rsidRPr="00A77AF6">
        <w:rPr>
          <w:u w:val="single"/>
        </w:rPr>
        <w:t xml:space="preserve">reporting </w:t>
      </w:r>
      <w:r w:rsidR="005D77D4" w:rsidRPr="00A77AF6">
        <w:t>– reporting was perceived to be sterile and formulaic</w:t>
      </w:r>
      <w:r w:rsidR="00DA17D1" w:rsidRPr="00A77AF6">
        <w:t xml:space="preserve"> with information being carefully managed from the project up to the trust board. </w:t>
      </w:r>
      <w:r w:rsidR="005D77D4" w:rsidRPr="00A77AF6">
        <w:t xml:space="preserve"> </w:t>
      </w:r>
    </w:p>
    <w:p w14:paraId="4DF43FF2" w14:textId="7BE3EE64" w:rsidR="009F22BE" w:rsidRPr="00A77AF6" w:rsidRDefault="009F22BE" w:rsidP="00922DDB">
      <w:pPr>
        <w:spacing w:line="360" w:lineRule="auto"/>
        <w:ind w:left="360"/>
        <w:rPr>
          <w:rFonts w:ascii="Calibri" w:hAnsi="Calibri" w:cs="Calibri"/>
        </w:rPr>
      </w:pPr>
      <w:r w:rsidRPr="00A77AF6">
        <w:rPr>
          <w:rFonts w:ascii="Calibri" w:hAnsi="Calibri" w:cs="Calibri"/>
          <w:u w:val="single"/>
        </w:rPr>
        <w:t>Characteristics of open and transparent relationships</w:t>
      </w:r>
      <w:r w:rsidR="005D77D4" w:rsidRPr="00A77AF6">
        <w:rPr>
          <w:rFonts w:ascii="Calibri" w:hAnsi="Calibri" w:cs="Calibri"/>
        </w:rPr>
        <w:t xml:space="preserve"> – </w:t>
      </w:r>
      <w:r w:rsidR="00DA17D1" w:rsidRPr="00A77AF6">
        <w:rPr>
          <w:rFonts w:ascii="Calibri" w:hAnsi="Calibri" w:cs="Calibri"/>
        </w:rPr>
        <w:t>an understanding of creating a climate for open and transparent relationships</w:t>
      </w:r>
      <w:r w:rsidR="00143BDA" w:rsidRPr="00A77AF6">
        <w:rPr>
          <w:rFonts w:ascii="Calibri" w:hAnsi="Calibri" w:cs="Calibri"/>
        </w:rPr>
        <w:t xml:space="preserve">. </w:t>
      </w:r>
    </w:p>
    <w:p w14:paraId="509A46A3" w14:textId="77777777" w:rsidR="009F22BE" w:rsidRPr="00A77AF6" w:rsidRDefault="009F22BE" w:rsidP="00922DDB">
      <w:pPr>
        <w:spacing w:line="360" w:lineRule="auto"/>
        <w:ind w:left="360"/>
      </w:pPr>
      <w:r w:rsidRPr="00A77AF6">
        <w:rPr>
          <w:b/>
          <w:bCs/>
        </w:rPr>
        <w:t>Recommendation 2:</w:t>
      </w:r>
      <w:r w:rsidRPr="00A77AF6">
        <w:t xml:space="preserve"> Promote a culture of openness </w:t>
      </w:r>
    </w:p>
    <w:p w14:paraId="0038C49F" w14:textId="32C98421" w:rsidR="00143BDA" w:rsidRPr="00A77AF6" w:rsidRDefault="009F22BE" w:rsidP="00922DDB">
      <w:pPr>
        <w:spacing w:line="360" w:lineRule="auto"/>
        <w:ind w:left="360"/>
        <w:rPr>
          <w:rFonts w:ascii="Calibri" w:hAnsi="Calibri" w:cs="Calibri"/>
        </w:rPr>
      </w:pPr>
      <w:r w:rsidRPr="00A77AF6">
        <w:rPr>
          <w:rFonts w:ascii="Calibri" w:hAnsi="Calibri" w:cs="Calibri"/>
          <w:u w:val="single"/>
        </w:rPr>
        <w:t>Encourage project teams to report problems without fear</w:t>
      </w:r>
      <w:r w:rsidRPr="00A77AF6">
        <w:rPr>
          <w:rFonts w:ascii="Calibri" w:hAnsi="Calibri" w:cs="Calibri"/>
        </w:rPr>
        <w:t xml:space="preserve"> </w:t>
      </w:r>
      <w:r w:rsidR="00DA17D1" w:rsidRPr="00A77AF6">
        <w:rPr>
          <w:rFonts w:ascii="Calibri" w:hAnsi="Calibri" w:cs="Calibri"/>
        </w:rPr>
        <w:t xml:space="preserve">– interviewees identified a fear of the trust board </w:t>
      </w:r>
      <w:r w:rsidR="00854627">
        <w:rPr>
          <w:rFonts w:ascii="Calibri" w:hAnsi="Calibri" w:cs="Calibri"/>
        </w:rPr>
        <w:t xml:space="preserve">which was </w:t>
      </w:r>
      <w:r w:rsidR="00DA17D1" w:rsidRPr="00A77AF6">
        <w:rPr>
          <w:rFonts w:ascii="Calibri" w:hAnsi="Calibri" w:cs="Calibri"/>
        </w:rPr>
        <w:t>evidenced by project teams being reluctant or fearful of giving bad news to trust boards for fear of criticism or recrimination.</w:t>
      </w:r>
      <w:r w:rsidR="00143BDA" w:rsidRPr="00A77AF6">
        <w:rPr>
          <w:rFonts w:ascii="Calibri" w:hAnsi="Calibri" w:cs="Calibri"/>
        </w:rPr>
        <w:t xml:space="preserve"> </w:t>
      </w:r>
      <w:r w:rsidR="00854627">
        <w:rPr>
          <w:rFonts w:ascii="Calibri" w:hAnsi="Calibri" w:cs="Calibri"/>
        </w:rPr>
        <w:t xml:space="preserve">Encouraging project teams to report problems without fear </w:t>
      </w:r>
      <w:r w:rsidR="00143BDA" w:rsidRPr="00A77AF6">
        <w:rPr>
          <w:rFonts w:ascii="Calibri" w:hAnsi="Calibri" w:cs="Calibri"/>
        </w:rPr>
        <w:t xml:space="preserve">should lead to more open and honest reporting to support collegiate decision-making. </w:t>
      </w:r>
    </w:p>
    <w:p w14:paraId="67911BAA" w14:textId="1C0ED61D" w:rsidR="00832F4B" w:rsidRPr="00A77AF6" w:rsidRDefault="009F22BE" w:rsidP="00922DDB">
      <w:pPr>
        <w:spacing w:line="360" w:lineRule="auto"/>
        <w:ind w:left="360"/>
        <w:rPr>
          <w:rFonts w:ascii="Calibri" w:hAnsi="Calibri" w:cs="Calibri"/>
        </w:rPr>
      </w:pPr>
      <w:r w:rsidRPr="00A77AF6">
        <w:rPr>
          <w:rFonts w:ascii="Calibri" w:hAnsi="Calibri" w:cs="Calibri"/>
          <w:u w:val="single"/>
        </w:rPr>
        <w:lastRenderedPageBreak/>
        <w:t xml:space="preserve">Create a culture of joint problem solving between the </w:t>
      </w:r>
      <w:r w:rsidR="008B0E67" w:rsidRPr="00A77AF6">
        <w:rPr>
          <w:rFonts w:ascii="Calibri" w:hAnsi="Calibri" w:cs="Calibri"/>
          <w:u w:val="single"/>
        </w:rPr>
        <w:t>t</w:t>
      </w:r>
      <w:r w:rsidRPr="00A77AF6">
        <w:rPr>
          <w:rFonts w:ascii="Calibri" w:hAnsi="Calibri" w:cs="Calibri"/>
          <w:u w:val="single"/>
        </w:rPr>
        <w:t xml:space="preserve">rust </w:t>
      </w:r>
      <w:r w:rsidR="008B0E67" w:rsidRPr="00A77AF6">
        <w:rPr>
          <w:rFonts w:ascii="Calibri" w:hAnsi="Calibri" w:cs="Calibri"/>
          <w:u w:val="single"/>
        </w:rPr>
        <w:t>b</w:t>
      </w:r>
      <w:r w:rsidRPr="00A77AF6">
        <w:rPr>
          <w:rFonts w:ascii="Calibri" w:hAnsi="Calibri" w:cs="Calibri"/>
          <w:u w:val="single"/>
        </w:rPr>
        <w:t xml:space="preserve">oard and the </w:t>
      </w:r>
      <w:r w:rsidR="008B0E67" w:rsidRPr="00A77AF6">
        <w:rPr>
          <w:rFonts w:ascii="Calibri" w:hAnsi="Calibri" w:cs="Calibri"/>
          <w:u w:val="single"/>
        </w:rPr>
        <w:t>p</w:t>
      </w:r>
      <w:r w:rsidRPr="00A77AF6">
        <w:rPr>
          <w:rFonts w:ascii="Calibri" w:hAnsi="Calibri" w:cs="Calibri"/>
          <w:u w:val="single"/>
        </w:rPr>
        <w:t xml:space="preserve">roject </w:t>
      </w:r>
      <w:r w:rsidR="008B0E67" w:rsidRPr="00A77AF6">
        <w:rPr>
          <w:rFonts w:ascii="Calibri" w:hAnsi="Calibri" w:cs="Calibri"/>
          <w:u w:val="single"/>
        </w:rPr>
        <w:t>b</w:t>
      </w:r>
      <w:r w:rsidRPr="00A77AF6">
        <w:rPr>
          <w:rFonts w:ascii="Calibri" w:hAnsi="Calibri" w:cs="Calibri"/>
          <w:u w:val="single"/>
        </w:rPr>
        <w:t>oard</w:t>
      </w:r>
      <w:r w:rsidR="00DA17D1" w:rsidRPr="00A77AF6">
        <w:rPr>
          <w:rFonts w:ascii="Calibri" w:hAnsi="Calibri" w:cs="Calibri"/>
        </w:rPr>
        <w:t xml:space="preserve"> – </w:t>
      </w:r>
      <w:r w:rsidR="00DA17D1" w:rsidRPr="00A77AF6">
        <w:t>interviews suggested little scope for meaningful problem solving between the trust and project boards. This was thought to be detrimental to the effective running of the project</w:t>
      </w:r>
    </w:p>
    <w:p w14:paraId="1DD506AF" w14:textId="77777777" w:rsidR="00832F4B" w:rsidRPr="00A77AF6" w:rsidRDefault="00832F4B" w:rsidP="00EC7C81">
      <w:pPr>
        <w:pStyle w:val="Heading2"/>
        <w:spacing w:after="120"/>
      </w:pPr>
      <w:bookmarkStart w:id="205" w:name="_Toc36275156"/>
      <w:r w:rsidRPr="00A77AF6">
        <w:t>Public assurance: recommendations for the measures of project success</w:t>
      </w:r>
      <w:bookmarkEnd w:id="205"/>
    </w:p>
    <w:p w14:paraId="761314A6" w14:textId="0BA04891" w:rsidR="00832F4B" w:rsidRPr="00A77AF6" w:rsidRDefault="00832F4B" w:rsidP="002E610C">
      <w:pPr>
        <w:spacing w:line="360" w:lineRule="auto"/>
        <w:ind w:left="578"/>
      </w:pPr>
      <w:r w:rsidRPr="00A77AF6">
        <w:rPr>
          <w:b/>
          <w:bCs/>
        </w:rPr>
        <w:t>Recommendation 3</w:t>
      </w:r>
      <w:r w:rsidRPr="00A77AF6">
        <w:t>: Define project success criteria for both project management and operational phases</w:t>
      </w:r>
      <w:r w:rsidR="001E14B7" w:rsidRPr="00A77AF6">
        <w:t>, including project benefits</w:t>
      </w:r>
      <w:r w:rsidR="001B597E" w:rsidRPr="00A77AF6">
        <w:t xml:space="preserve"> and review at key boundary stages</w:t>
      </w:r>
      <w:r w:rsidRPr="00A77AF6">
        <w:t xml:space="preserve">.  </w:t>
      </w:r>
      <w:r w:rsidR="008E0904" w:rsidRPr="00A77AF6">
        <w:t>This recommendation</w:t>
      </w:r>
      <w:r w:rsidR="002A6757" w:rsidRPr="00A77AF6">
        <w:t xml:space="preserve"> derives from the</w:t>
      </w:r>
      <w:r w:rsidR="008E0904" w:rsidRPr="00A77AF6">
        <w:t xml:space="preserve"> </w:t>
      </w:r>
      <w:r w:rsidR="0011744A" w:rsidRPr="00A77AF6">
        <w:t xml:space="preserve">survey data showing that project teams lacked knowledge about building performance in the operational </w:t>
      </w:r>
      <w:r w:rsidR="002A6757" w:rsidRPr="00A77AF6">
        <w:t xml:space="preserve">phases and from </w:t>
      </w:r>
      <w:r w:rsidR="008E0904" w:rsidRPr="00A77AF6">
        <w:t>interview responses</w:t>
      </w:r>
      <w:r w:rsidR="002A6757" w:rsidRPr="00A77AF6">
        <w:t xml:space="preserve">. </w:t>
      </w:r>
      <w:r w:rsidR="008E0904" w:rsidRPr="00A77AF6">
        <w:t xml:space="preserve"> </w:t>
      </w:r>
    </w:p>
    <w:p w14:paraId="1316C842" w14:textId="2E50850B" w:rsidR="00832F4B" w:rsidRPr="00A77AF6" w:rsidRDefault="00832F4B" w:rsidP="002E610C">
      <w:pPr>
        <w:spacing w:line="360" w:lineRule="auto"/>
        <w:ind w:left="578"/>
      </w:pPr>
      <w:r w:rsidRPr="00A77AF6">
        <w:rPr>
          <w:b/>
          <w:bCs/>
        </w:rPr>
        <w:t xml:space="preserve">Recommendation </w:t>
      </w:r>
      <w:r w:rsidR="001B597E" w:rsidRPr="00A77AF6">
        <w:rPr>
          <w:b/>
          <w:bCs/>
        </w:rPr>
        <w:t>4</w:t>
      </w:r>
      <w:r w:rsidRPr="00A77AF6">
        <w:rPr>
          <w:b/>
          <w:bCs/>
        </w:rPr>
        <w:t>:</w:t>
      </w:r>
      <w:r w:rsidRPr="00A77AF6">
        <w:t xml:space="preserve"> Expand the definition of project success to include governance measures</w:t>
      </w:r>
      <w:r w:rsidR="002A6757" w:rsidRPr="00A77AF6">
        <w:t xml:space="preserve">.  This derives from the finding that governance does not cause project success, but it is important for assurance and legitimacy. </w:t>
      </w:r>
    </w:p>
    <w:p w14:paraId="1F0CAA16" w14:textId="3DF8E302" w:rsidR="002A6757" w:rsidRPr="00A77AF6" w:rsidRDefault="00832F4B" w:rsidP="002E610C">
      <w:pPr>
        <w:spacing w:line="360" w:lineRule="auto"/>
        <w:ind w:left="578"/>
      </w:pPr>
      <w:r w:rsidRPr="00A77AF6">
        <w:rPr>
          <w:b/>
          <w:bCs/>
        </w:rPr>
        <w:t xml:space="preserve">Recommendation </w:t>
      </w:r>
      <w:r w:rsidR="001B597E" w:rsidRPr="00A77AF6">
        <w:rPr>
          <w:b/>
          <w:bCs/>
        </w:rPr>
        <w:t>5</w:t>
      </w:r>
      <w:r w:rsidRPr="00A77AF6">
        <w:rPr>
          <w:b/>
          <w:bCs/>
        </w:rPr>
        <w:t>:</w:t>
      </w:r>
      <w:r w:rsidRPr="00A77AF6">
        <w:t xml:space="preserve"> Conduct a post project evaluation at the end of the project management phase to learn lessons for future projects</w:t>
      </w:r>
      <w:r w:rsidR="002A6757" w:rsidRPr="00A77AF6">
        <w:t xml:space="preserve">. </w:t>
      </w:r>
      <w:r w:rsidRPr="00A77AF6">
        <w:t xml:space="preserve"> </w:t>
      </w:r>
      <w:r w:rsidR="002A6757" w:rsidRPr="00A77AF6">
        <w:t xml:space="preserve">This recommendation </w:t>
      </w:r>
      <w:r w:rsidR="002E610C">
        <w:t xml:space="preserve">comes </w:t>
      </w:r>
      <w:r w:rsidR="002A6757" w:rsidRPr="00A77AF6">
        <w:t>from interview responses which noted that post project evaluations are  not routinely carried out.</w:t>
      </w:r>
    </w:p>
    <w:p w14:paraId="2FF2533D" w14:textId="1EC5E79D" w:rsidR="002A6757" w:rsidRPr="00A77AF6" w:rsidRDefault="00832F4B" w:rsidP="002E610C">
      <w:pPr>
        <w:spacing w:line="360" w:lineRule="auto"/>
        <w:ind w:left="578"/>
      </w:pPr>
      <w:r w:rsidRPr="00A77AF6">
        <w:rPr>
          <w:b/>
          <w:bCs/>
        </w:rPr>
        <w:t xml:space="preserve">Recommendation </w:t>
      </w:r>
      <w:r w:rsidR="001B597E" w:rsidRPr="00A77AF6">
        <w:rPr>
          <w:b/>
          <w:bCs/>
        </w:rPr>
        <w:t>6</w:t>
      </w:r>
      <w:r w:rsidRPr="00A77AF6">
        <w:rPr>
          <w:b/>
          <w:bCs/>
        </w:rPr>
        <w:t>:</w:t>
      </w:r>
      <w:r w:rsidRPr="00A77AF6">
        <w:t xml:space="preserve"> Conduct post occupancy evaluations at agreed intervals during the operational phase</w:t>
      </w:r>
      <w:r w:rsidR="002A6757" w:rsidRPr="00A77AF6">
        <w:t xml:space="preserve">. This recommendation </w:t>
      </w:r>
      <w:r w:rsidR="002E610C">
        <w:t xml:space="preserve">comes </w:t>
      </w:r>
      <w:r w:rsidR="002A6757" w:rsidRPr="00A77AF6">
        <w:t>from interview responses which noted that post project evaluations are</w:t>
      </w:r>
      <w:r w:rsidR="00EC7C81" w:rsidRPr="00A77AF6">
        <w:t xml:space="preserve"> </w:t>
      </w:r>
      <w:r w:rsidR="002A6757" w:rsidRPr="00A77AF6">
        <w:t>not routinely carried out during the lifetime of a building.</w:t>
      </w:r>
    </w:p>
    <w:p w14:paraId="322D6C3E" w14:textId="77777777" w:rsidR="00EC7C81" w:rsidRPr="00A77AF6" w:rsidRDefault="00EC7C81" w:rsidP="00EC7C81">
      <w:pPr>
        <w:spacing w:after="120" w:line="240" w:lineRule="auto"/>
        <w:ind w:left="578"/>
      </w:pPr>
    </w:p>
    <w:p w14:paraId="32720349" w14:textId="0B0FAFEC" w:rsidR="009F22BE" w:rsidRPr="00A77AF6" w:rsidRDefault="00032653" w:rsidP="009F22BE">
      <w:pPr>
        <w:pStyle w:val="Heading2"/>
        <w:spacing w:after="120"/>
      </w:pPr>
      <w:bookmarkStart w:id="206" w:name="_Toc36275157"/>
      <w:r w:rsidRPr="00A77AF6">
        <w:t>The Public Assurance Model and p</w:t>
      </w:r>
      <w:r w:rsidR="009F22BE" w:rsidRPr="00A77AF6">
        <w:t>olicy implications</w:t>
      </w:r>
      <w:bookmarkEnd w:id="206"/>
      <w:r w:rsidR="009F22BE" w:rsidRPr="00A77AF6">
        <w:t xml:space="preserve"> </w:t>
      </w:r>
    </w:p>
    <w:p w14:paraId="64F318F6" w14:textId="48C918C7" w:rsidR="00093088" w:rsidRPr="00A77AF6" w:rsidRDefault="009F22BE" w:rsidP="00107051">
      <w:pPr>
        <w:spacing w:after="0" w:line="360" w:lineRule="auto"/>
        <w:rPr>
          <w:sz w:val="24"/>
          <w:szCs w:val="24"/>
        </w:rPr>
      </w:pPr>
      <w:r w:rsidRPr="00A77AF6">
        <w:t xml:space="preserve">The </w:t>
      </w:r>
      <w:r w:rsidR="00032653" w:rsidRPr="00A77AF6">
        <w:t xml:space="preserve">recommendations in </w:t>
      </w:r>
      <w:r w:rsidR="00107051" w:rsidRPr="00A77AF6">
        <w:t xml:space="preserve">Figure 8-1 and </w:t>
      </w:r>
      <w:r w:rsidR="00032653" w:rsidRPr="00A77AF6">
        <w:t>section</w:t>
      </w:r>
      <w:r w:rsidR="002A6757" w:rsidRPr="00A77AF6">
        <w:t xml:space="preserve">s 8.6 and 8.7 </w:t>
      </w:r>
      <w:r w:rsidR="00032653" w:rsidRPr="00A77AF6">
        <w:t xml:space="preserve">are </w:t>
      </w:r>
      <w:r w:rsidR="00107051" w:rsidRPr="00A77AF6">
        <w:t xml:space="preserve">have been developed </w:t>
      </w:r>
      <w:r w:rsidR="002A6757" w:rsidRPr="00A77AF6">
        <w:t xml:space="preserve"> into a flow chart to </w:t>
      </w:r>
      <w:r w:rsidR="00107051" w:rsidRPr="00A77AF6">
        <w:t xml:space="preserve">provide actions for corporate boards that can be used as an audit or ‘project readiness’ tool to help them assess whether they are in a position to manage NHS construction projects effectively.   </w:t>
      </w:r>
      <w:r w:rsidRPr="00A77AF6">
        <w:t xml:space="preserve">It is suggested here that </w:t>
      </w:r>
      <w:r w:rsidR="00CD13EF" w:rsidRPr="00A77AF6">
        <w:t>the PAM</w:t>
      </w:r>
      <w:r w:rsidRPr="00A77AF6">
        <w:t xml:space="preserve"> could become part of the</w:t>
      </w:r>
      <w:r w:rsidR="00CD13EF" w:rsidRPr="00A77AF6">
        <w:t xml:space="preserve"> </w:t>
      </w:r>
      <w:r w:rsidR="0027673F" w:rsidRPr="00A77AF6">
        <w:t xml:space="preserve">NHS </w:t>
      </w:r>
      <w:r w:rsidR="00CD13EF" w:rsidRPr="00A77AF6">
        <w:t xml:space="preserve">capital investment </w:t>
      </w:r>
      <w:r w:rsidRPr="00A77AF6">
        <w:t xml:space="preserve">policies </w:t>
      </w:r>
      <w:r w:rsidR="00107051" w:rsidRPr="00A77AF6">
        <w:t xml:space="preserve">for the establishment and management of projects through the </w:t>
      </w:r>
      <w:r w:rsidRPr="00A77AF6">
        <w:t xml:space="preserve"> lifecycle</w:t>
      </w:r>
      <w:r w:rsidR="0027673F" w:rsidRPr="00A77AF6">
        <w:t>.</w:t>
      </w:r>
      <w:r w:rsidRPr="00A77AF6">
        <w:t xml:space="preserve">   Th</w:t>
      </w:r>
      <w:r w:rsidR="00107051" w:rsidRPr="00A77AF6">
        <w:t xml:space="preserve">is should </w:t>
      </w:r>
      <w:r w:rsidRPr="00A77AF6">
        <w:t xml:space="preserve"> </w:t>
      </w:r>
      <w:r w:rsidR="00107051" w:rsidRPr="00A77AF6">
        <w:t>result in</w:t>
      </w:r>
      <w:r w:rsidRPr="00A77AF6">
        <w:t xml:space="preserve"> more effective governance</w:t>
      </w:r>
      <w:r w:rsidR="00107051" w:rsidRPr="00A77AF6">
        <w:t xml:space="preserve">. </w:t>
      </w:r>
      <w:r w:rsidRPr="00A77AF6">
        <w:t>The adoption of the</w:t>
      </w:r>
      <w:r w:rsidR="00107051" w:rsidRPr="00A77AF6">
        <w:t>se</w:t>
      </w:r>
      <w:r w:rsidRPr="00A77AF6">
        <w:t xml:space="preserve"> recommendations may help  </w:t>
      </w:r>
      <w:r w:rsidR="00107051" w:rsidRPr="00A77AF6">
        <w:t>trust boards</w:t>
      </w:r>
      <w:r w:rsidRPr="00A77AF6">
        <w:t xml:space="preserve"> and project teams work together more collegiately</w:t>
      </w:r>
      <w:r w:rsidR="00107051" w:rsidRPr="00A77AF6">
        <w:t xml:space="preserve"> through the encouragement of </w:t>
      </w:r>
      <w:r w:rsidRPr="00A77AF6">
        <w:t xml:space="preserve">meaningful exchanges of information and joint problem solving, without compromising the ability of </w:t>
      </w:r>
      <w:r w:rsidR="008B0E67" w:rsidRPr="00A77AF6">
        <w:t>t</w:t>
      </w:r>
      <w:r w:rsidRPr="00A77AF6">
        <w:t xml:space="preserve">rust </w:t>
      </w:r>
      <w:r w:rsidR="008B0E67" w:rsidRPr="00A77AF6">
        <w:t>b</w:t>
      </w:r>
      <w:r w:rsidRPr="00A77AF6">
        <w:t xml:space="preserve">oards to hold project teams to account and, in turn, to be held accountable themselves.  Finally, the importance of </w:t>
      </w:r>
      <w:r w:rsidR="008E0D21" w:rsidRPr="00A77AF6">
        <w:t xml:space="preserve">POEs as vehicles for measuring project success in the operational phase </w:t>
      </w:r>
      <w:r w:rsidRPr="00A77AF6">
        <w:t xml:space="preserve">was identified as important in this study. </w:t>
      </w:r>
      <w:r w:rsidR="00107051" w:rsidRPr="00A77AF6">
        <w:t xml:space="preserve"> </w:t>
      </w:r>
      <w:r w:rsidR="008C2719" w:rsidRPr="00A77AF6">
        <w:t>T</w:t>
      </w:r>
      <w:r w:rsidR="001E14B7" w:rsidRPr="00A77AF6">
        <w:t>rust</w:t>
      </w:r>
      <w:r w:rsidR="00DD3022" w:rsidRPr="00A77AF6">
        <w:t xml:space="preserve"> board</w:t>
      </w:r>
      <w:r w:rsidR="008C2719" w:rsidRPr="00A77AF6">
        <w:t>s</w:t>
      </w:r>
      <w:r w:rsidR="00DD3022" w:rsidRPr="00A77AF6">
        <w:t xml:space="preserve"> </w:t>
      </w:r>
      <w:r w:rsidR="00A321A8" w:rsidRPr="00A77AF6">
        <w:t>should</w:t>
      </w:r>
      <w:r w:rsidR="001E14B7" w:rsidRPr="00A77AF6">
        <w:t xml:space="preserve"> satisfy </w:t>
      </w:r>
      <w:r w:rsidR="008C2719" w:rsidRPr="00A77AF6">
        <w:t>themselves</w:t>
      </w:r>
      <w:r w:rsidR="001E14B7" w:rsidRPr="00A77AF6">
        <w:t xml:space="preserve"> that </w:t>
      </w:r>
      <w:r w:rsidR="00DD3022" w:rsidRPr="00A77AF6">
        <w:t xml:space="preserve">an effective </w:t>
      </w:r>
      <w:r w:rsidR="00DD3022" w:rsidRPr="00A77AF6">
        <w:lastRenderedPageBreak/>
        <w:t>governance regime is established at the start of the project</w:t>
      </w:r>
      <w:r w:rsidR="00283AAB" w:rsidRPr="00A77AF6">
        <w:t xml:space="preserve"> (Figure 8-2)</w:t>
      </w:r>
      <w:r w:rsidR="001E14B7" w:rsidRPr="00A77AF6">
        <w:t xml:space="preserve">.  </w:t>
      </w:r>
      <w:r w:rsidR="00107051" w:rsidRPr="00A77AF6">
        <w:t>It is suggested that t</w:t>
      </w:r>
      <w:r w:rsidR="001E14B7" w:rsidRPr="00A77AF6">
        <w:t xml:space="preserve">his </w:t>
      </w:r>
      <w:r w:rsidR="00107051" w:rsidRPr="00A77AF6">
        <w:t>w</w:t>
      </w:r>
      <w:r w:rsidR="001E14B7" w:rsidRPr="00A77AF6">
        <w:t>ould be achieved</w:t>
      </w:r>
      <w:r w:rsidR="000A3DA0" w:rsidRPr="00A77AF6">
        <w:t xml:space="preserve"> by</w:t>
      </w:r>
      <w:r w:rsidR="001E14B7" w:rsidRPr="00A77AF6">
        <w:t xml:space="preserve"> </w:t>
      </w:r>
      <w:r w:rsidR="00DD3022" w:rsidRPr="00A77AF6">
        <w:t xml:space="preserve">ensuring that members of the corporate board are sufficiently well trained in </w:t>
      </w:r>
      <w:r w:rsidR="00DD3022" w:rsidRPr="00A77AF6">
        <w:rPr>
          <w:rFonts w:cstheme="minorHAnsi"/>
          <w:color w:val="000000" w:themeColor="text1"/>
        </w:rPr>
        <w:t>NHS</w:t>
      </w:r>
      <w:r w:rsidR="00107051" w:rsidRPr="00A77AF6">
        <w:rPr>
          <w:rFonts w:cstheme="minorHAnsi"/>
          <w:color w:val="000000" w:themeColor="text1"/>
        </w:rPr>
        <w:t xml:space="preserve"> construction</w:t>
      </w:r>
      <w:r w:rsidR="00DD3022" w:rsidRPr="00A77AF6">
        <w:rPr>
          <w:rFonts w:cstheme="minorHAnsi"/>
          <w:color w:val="000000" w:themeColor="text1"/>
        </w:rPr>
        <w:t xml:space="preserve"> project processes and </w:t>
      </w:r>
      <w:r w:rsidR="000A3DA0" w:rsidRPr="00A77AF6">
        <w:rPr>
          <w:rFonts w:cstheme="minorHAnsi"/>
          <w:color w:val="000000" w:themeColor="text1"/>
        </w:rPr>
        <w:t>the principles of effective oversight</w:t>
      </w:r>
      <w:r w:rsidR="00107051" w:rsidRPr="00A77AF6">
        <w:rPr>
          <w:rFonts w:cstheme="minorHAnsi"/>
          <w:color w:val="000000" w:themeColor="text1"/>
        </w:rPr>
        <w:t xml:space="preserve">. </w:t>
      </w:r>
      <w:r w:rsidR="00DD3022" w:rsidRPr="00A77AF6">
        <w:rPr>
          <w:rFonts w:cstheme="minorHAnsi"/>
          <w:color w:val="000000" w:themeColor="text1"/>
        </w:rPr>
        <w:t xml:space="preserve">Figure </w:t>
      </w:r>
      <w:r w:rsidR="008C2719" w:rsidRPr="00A77AF6">
        <w:rPr>
          <w:rFonts w:cstheme="minorHAnsi"/>
          <w:color w:val="000000" w:themeColor="text1"/>
        </w:rPr>
        <w:t xml:space="preserve">8-3 shows </w:t>
      </w:r>
      <w:r w:rsidR="00DD3022" w:rsidRPr="00A77AF6">
        <w:rPr>
          <w:rFonts w:cstheme="minorHAnsi"/>
          <w:color w:val="000000" w:themeColor="text1"/>
        </w:rPr>
        <w:t>that governance</w:t>
      </w:r>
      <w:r w:rsidR="00107051" w:rsidRPr="00A77AF6">
        <w:rPr>
          <w:rFonts w:cstheme="minorHAnsi"/>
          <w:color w:val="000000" w:themeColor="text1"/>
        </w:rPr>
        <w:t xml:space="preserve"> and other KPIs </w:t>
      </w:r>
      <w:r w:rsidR="00DD3022" w:rsidRPr="00A77AF6">
        <w:rPr>
          <w:rFonts w:cstheme="minorHAnsi"/>
          <w:color w:val="000000" w:themeColor="text1"/>
        </w:rPr>
        <w:t xml:space="preserve">are measured at the end of the project management phase.  Finally, Figure </w:t>
      </w:r>
      <w:r w:rsidR="008C2719" w:rsidRPr="00A77AF6">
        <w:rPr>
          <w:rFonts w:cstheme="minorHAnsi"/>
          <w:color w:val="000000" w:themeColor="text1"/>
        </w:rPr>
        <w:t>8-4</w:t>
      </w:r>
      <w:r w:rsidR="00DD3022" w:rsidRPr="00A77AF6">
        <w:rPr>
          <w:rFonts w:cstheme="minorHAnsi"/>
          <w:color w:val="000000" w:themeColor="text1"/>
        </w:rPr>
        <w:t xml:space="preserve"> proposes that regular post occupancy evaluations are carried out during the operational phase of the project to ensure that the project continues to meet its objectives by demonstrating that the facility is being run in the interests of the public and that it continues to meet its cost and quality objectives</w:t>
      </w:r>
      <w:r w:rsidR="008C2719" w:rsidRPr="00A77AF6">
        <w:rPr>
          <w:rFonts w:cstheme="minorHAnsi"/>
          <w:color w:val="000000" w:themeColor="text1"/>
        </w:rPr>
        <w:t xml:space="preserve"> and deliver the project benefits</w:t>
      </w:r>
      <w:r w:rsidR="00DD3022" w:rsidRPr="00A77AF6">
        <w:rPr>
          <w:rFonts w:cstheme="minorHAnsi"/>
          <w:color w:val="000000" w:themeColor="text1"/>
        </w:rPr>
        <w:t xml:space="preserve">. </w:t>
      </w:r>
    </w:p>
    <w:p w14:paraId="318559A5" w14:textId="7621E0EC" w:rsidR="00AD7B47" w:rsidRPr="00A77AF6" w:rsidRDefault="00AD7B47" w:rsidP="00DD144E">
      <w:pPr>
        <w:spacing w:line="480" w:lineRule="auto"/>
        <w:sectPr w:rsidR="00AD7B47" w:rsidRPr="00A77AF6" w:rsidSect="006C06B4">
          <w:pgSz w:w="11906" w:h="16838"/>
          <w:pgMar w:top="1440" w:right="851" w:bottom="1440" w:left="2268" w:header="709" w:footer="709" w:gutter="0"/>
          <w:cols w:space="708"/>
          <w:docGrid w:linePitch="360"/>
        </w:sectPr>
      </w:pPr>
    </w:p>
    <w:p w14:paraId="0B6C055B" w14:textId="2AB85A86" w:rsidR="00B936DB" w:rsidRPr="00A77AF6" w:rsidRDefault="006C3F16">
      <w:r w:rsidRPr="00A77AF6">
        <w:rPr>
          <w:noProof/>
          <w:lang w:eastAsia="en-GB"/>
        </w:rPr>
        <w:lastRenderedPageBreak/>
        <mc:AlternateContent>
          <mc:Choice Requires="wps">
            <w:drawing>
              <wp:anchor distT="0" distB="0" distL="114300" distR="114300" simplePos="0" relativeHeight="251587072" behindDoc="0" locked="0" layoutInCell="1" allowOverlap="1" wp14:anchorId="00DF1563" wp14:editId="3C783CDF">
                <wp:simplePos x="0" y="0"/>
                <wp:positionH relativeFrom="column">
                  <wp:posOffset>-78105</wp:posOffset>
                </wp:positionH>
                <wp:positionV relativeFrom="paragraph">
                  <wp:posOffset>-34290</wp:posOffset>
                </wp:positionV>
                <wp:extent cx="8745855" cy="266700"/>
                <wp:effectExtent l="0" t="0" r="0" b="0"/>
                <wp:wrapNone/>
                <wp:docPr id="12343" name="Text Box 12343"/>
                <wp:cNvGraphicFramePr/>
                <a:graphic xmlns:a="http://schemas.openxmlformats.org/drawingml/2006/main">
                  <a:graphicData uri="http://schemas.microsoft.com/office/word/2010/wordprocessingShape">
                    <wps:wsp>
                      <wps:cNvSpPr txBox="1"/>
                      <wps:spPr>
                        <a:xfrm>
                          <a:off x="0" y="0"/>
                          <a:ext cx="8745855" cy="266700"/>
                        </a:xfrm>
                        <a:prstGeom prst="rect">
                          <a:avLst/>
                        </a:prstGeom>
                        <a:solidFill>
                          <a:prstClr val="white"/>
                        </a:solidFill>
                        <a:ln>
                          <a:noFill/>
                        </a:ln>
                      </wps:spPr>
                      <wps:txbx>
                        <w:txbxContent>
                          <w:p w14:paraId="7A854A75" w14:textId="6AB740CE" w:rsidR="009C0325" w:rsidRPr="0046420E" w:rsidRDefault="009C0325" w:rsidP="00565CD2">
                            <w:pPr>
                              <w:pStyle w:val="Caption"/>
                              <w:rPr>
                                <w:noProof/>
                              </w:rPr>
                            </w:pPr>
                            <w:bookmarkStart w:id="207" w:name="_Toc36186992"/>
                            <w:r>
                              <w:t xml:space="preserve">Figure </w:t>
                            </w:r>
                            <w:fldSimple w:instr=" STYLEREF 1 \s ">
                              <w:r>
                                <w:rPr>
                                  <w:noProof/>
                                </w:rPr>
                                <w:t>8</w:t>
                              </w:r>
                            </w:fldSimple>
                            <w:r>
                              <w:noBreakHyphen/>
                            </w:r>
                            <w:fldSimple w:instr=" SEQ Figure \* ARABIC \s 1 ">
                              <w:r>
                                <w:rPr>
                                  <w:noProof/>
                                </w:rPr>
                                <w:t>2</w:t>
                              </w:r>
                            </w:fldSimple>
                            <w:r>
                              <w:t>: Project assurance for corporate boards at project start-up</w:t>
                            </w:r>
                            <w:bookmarkEnd w:id="20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DF1563" id="Text Box 12343" o:spid="_x0000_s1083" type="#_x0000_t202" style="position:absolute;margin-left:-6.15pt;margin-top:-2.7pt;width:688.65pt;height:21pt;z-index:25158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" stroked="f">
                <v:textbox inset="0,0,0,0">
                  <w:txbxContent>
                    <w:p w14:paraId="7A854A75" w14:textId="6AB740CE" w:rsidR="009C0325" w:rsidRPr="0046420E" w:rsidRDefault="009C0325" w:rsidP="00565CD2">
                      <w:pPr>
                        <w:pStyle w:val="Caption"/>
                        <w:rPr>
                          <w:noProof/>
                        </w:rPr>
                      </w:pPr>
                      <w:bookmarkStart w:id="208" w:name="_Toc36186992"/>
                      <w:r>
                        <w:t xml:space="preserve">Figure </w:t>
                      </w:r>
                      <w:fldSimple w:instr=" STYLEREF 1 \s ">
                        <w:r>
                          <w:rPr>
                            <w:noProof/>
                          </w:rPr>
                          <w:t>8</w:t>
                        </w:r>
                      </w:fldSimple>
                      <w:r>
                        <w:noBreakHyphen/>
                      </w:r>
                      <w:fldSimple w:instr=" SEQ Figure \* ARABIC \s 1 ">
                        <w:r>
                          <w:rPr>
                            <w:noProof/>
                          </w:rPr>
                          <w:t>2</w:t>
                        </w:r>
                      </w:fldSimple>
                      <w:r>
                        <w:t>: Project assurance for corporate boards at project start-up</w:t>
                      </w:r>
                      <w:bookmarkEnd w:id="208"/>
                    </w:p>
                  </w:txbxContent>
                </v:textbox>
              </v:shape>
            </w:pict>
          </mc:Fallback>
        </mc:AlternateContent>
      </w:r>
      <w:r w:rsidR="00ED534D" w:rsidRPr="00A77AF6">
        <w:rPr>
          <w:noProof/>
          <w:lang w:eastAsia="en-GB"/>
        </w:rPr>
        <mc:AlternateContent>
          <mc:Choice Requires="wpg">
            <w:drawing>
              <wp:anchor distT="0" distB="0" distL="114300" distR="114300" simplePos="0" relativeHeight="251411968" behindDoc="0" locked="0" layoutInCell="1" allowOverlap="1" wp14:anchorId="5074B76F" wp14:editId="6BC41CE9">
                <wp:simplePos x="0" y="0"/>
                <wp:positionH relativeFrom="column">
                  <wp:posOffset>-78105</wp:posOffset>
                </wp:positionH>
                <wp:positionV relativeFrom="paragraph">
                  <wp:posOffset>232410</wp:posOffset>
                </wp:positionV>
                <wp:extent cx="8745855" cy="4143375"/>
                <wp:effectExtent l="0" t="0" r="17145" b="28575"/>
                <wp:wrapNone/>
                <wp:docPr id="12294" name="Group 12294"/>
                <wp:cNvGraphicFramePr/>
                <a:graphic xmlns:a="http://schemas.openxmlformats.org/drawingml/2006/main">
                  <a:graphicData uri="http://schemas.microsoft.com/office/word/2010/wordprocessingGroup">
                    <wpg:wgp>
                      <wpg:cNvGrpSpPr/>
                      <wpg:grpSpPr>
                        <a:xfrm>
                          <a:off x="0" y="0"/>
                          <a:ext cx="8745855" cy="4143375"/>
                          <a:chOff x="-78105" y="0"/>
                          <a:chExt cx="8745855" cy="4143375"/>
                        </a:xfrm>
                      </wpg:grpSpPr>
                      <wps:wsp>
                        <wps:cNvPr id="246" name="Flowchart: Process 246"/>
                        <wps:cNvSpPr/>
                        <wps:spPr>
                          <a:xfrm>
                            <a:off x="-78105" y="0"/>
                            <a:ext cx="8688705" cy="30480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FA6D5C1" w14:textId="0E7C6B02" w:rsidR="009C0325" w:rsidRPr="00867B9B" w:rsidRDefault="009C0325" w:rsidP="00F768D7">
                              <w:pPr>
                                <w:jc w:val="center"/>
                                <w:rPr>
                                  <w:color w:val="000000" w:themeColor="text1"/>
                                  <w:sz w:val="21"/>
                                  <w:szCs w:val="21"/>
                                </w:rPr>
                              </w:pPr>
                              <w:r>
                                <w:rPr>
                                  <w:color w:val="000000" w:themeColor="text1"/>
                                  <w:sz w:val="21"/>
                                  <w:szCs w:val="21"/>
                                </w:rPr>
                                <w:t>Project start-up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Flowchart: Process 247"/>
                        <wps:cNvSpPr/>
                        <wps:spPr>
                          <a:xfrm>
                            <a:off x="0" y="523875"/>
                            <a:ext cx="5105400" cy="24765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4C5F9C5" w14:textId="3F7DB0A1" w:rsidR="009C0325" w:rsidRDefault="009C0325" w:rsidP="00F768D7">
                              <w:pPr>
                                <w:jc w:val="center"/>
                                <w:rPr>
                                  <w:color w:val="000000" w:themeColor="text1"/>
                                  <w:sz w:val="21"/>
                                  <w:szCs w:val="21"/>
                                </w:rPr>
                              </w:pPr>
                              <w:r w:rsidRPr="00867B9B">
                                <w:rPr>
                                  <w:color w:val="000000" w:themeColor="text1"/>
                                  <w:sz w:val="21"/>
                                  <w:szCs w:val="21"/>
                                </w:rPr>
                                <w:t>Governance</w:t>
                              </w:r>
                            </w:p>
                            <w:p w14:paraId="354B533A" w14:textId="77777777" w:rsidR="009C0325" w:rsidRPr="00867B9B" w:rsidRDefault="009C0325" w:rsidP="00F768D7">
                              <w:pPr>
                                <w:jc w:val="center"/>
                                <w:rPr>
                                  <w:color w:val="000000" w:themeColor="text1"/>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Flowchart: Process 250"/>
                        <wps:cNvSpPr/>
                        <wps:spPr>
                          <a:xfrm>
                            <a:off x="6057900" y="523875"/>
                            <a:ext cx="2609850" cy="24765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7BDC971" w14:textId="60CD3C64" w:rsidR="009C0325" w:rsidRPr="00867B9B" w:rsidRDefault="009C0325" w:rsidP="005160EE">
                              <w:pPr>
                                <w:jc w:val="center"/>
                                <w:rPr>
                                  <w:color w:val="000000" w:themeColor="text1"/>
                                  <w:sz w:val="21"/>
                                  <w:szCs w:val="21"/>
                                </w:rPr>
                              </w:pPr>
                              <w:r w:rsidRPr="00867B9B">
                                <w:rPr>
                                  <w:color w:val="000000" w:themeColor="text1"/>
                                  <w:sz w:val="21"/>
                                  <w:szCs w:val="21"/>
                                </w:rPr>
                                <w:t>Project Success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Flowchart: Process 255"/>
                        <wps:cNvSpPr/>
                        <wps:spPr>
                          <a:xfrm>
                            <a:off x="0" y="1057275"/>
                            <a:ext cx="2667000" cy="3019425"/>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3AD753" w14:textId="3669BB27" w:rsidR="009C0325" w:rsidRPr="002B066C" w:rsidRDefault="009C0325" w:rsidP="00B77C35">
                              <w:pPr>
                                <w:spacing w:after="120" w:line="240" w:lineRule="auto"/>
                                <w:rPr>
                                  <w:color w:val="000000" w:themeColor="text1"/>
                                  <w:sz w:val="21"/>
                                  <w:szCs w:val="21"/>
                                </w:rPr>
                              </w:pPr>
                              <w:r w:rsidRPr="002B066C">
                                <w:rPr>
                                  <w:color w:val="000000" w:themeColor="text1"/>
                                  <w:sz w:val="21"/>
                                  <w:szCs w:val="21"/>
                                </w:rPr>
                                <w:t xml:space="preserve">Does the </w:t>
                              </w:r>
                              <w:r>
                                <w:rPr>
                                  <w:color w:val="000000" w:themeColor="text1"/>
                                  <w:sz w:val="21"/>
                                  <w:szCs w:val="21"/>
                                </w:rPr>
                                <w:t>C</w:t>
                              </w:r>
                              <w:r w:rsidRPr="002B066C">
                                <w:rPr>
                                  <w:color w:val="000000" w:themeColor="text1"/>
                                  <w:sz w:val="21"/>
                                  <w:szCs w:val="21"/>
                                </w:rPr>
                                <w:t xml:space="preserve">orporate </w:t>
                              </w:r>
                              <w:r>
                                <w:rPr>
                                  <w:color w:val="000000" w:themeColor="text1"/>
                                  <w:sz w:val="21"/>
                                  <w:szCs w:val="21"/>
                                </w:rPr>
                                <w:t>B</w:t>
                              </w:r>
                              <w:r w:rsidRPr="002B066C">
                                <w:rPr>
                                  <w:color w:val="000000" w:themeColor="text1"/>
                                  <w:sz w:val="21"/>
                                  <w:szCs w:val="21"/>
                                </w:rPr>
                                <w:t>oard have the skills/ knowledge</w:t>
                              </w:r>
                              <w:r>
                                <w:rPr>
                                  <w:color w:val="000000" w:themeColor="text1"/>
                                  <w:sz w:val="21"/>
                                  <w:szCs w:val="21"/>
                                </w:rPr>
                                <w:t xml:space="preserve"> </w:t>
                              </w:r>
                              <w:r w:rsidRPr="002B066C">
                                <w:rPr>
                                  <w:color w:val="000000" w:themeColor="text1"/>
                                  <w:sz w:val="21"/>
                                  <w:szCs w:val="21"/>
                                </w:rPr>
                                <w:t>of</w:t>
                              </w:r>
                            </w:p>
                            <w:p w14:paraId="69D71746" w14:textId="77777777" w:rsidR="009C0325" w:rsidRPr="002B066C" w:rsidRDefault="009C0325" w:rsidP="003D2A57">
                              <w:pPr>
                                <w:pStyle w:val="ListParagraph"/>
                                <w:numPr>
                                  <w:ilvl w:val="0"/>
                                  <w:numId w:val="8"/>
                                </w:numPr>
                                <w:spacing w:after="60" w:line="240" w:lineRule="auto"/>
                                <w:ind w:left="357" w:hanging="357"/>
                                <w:contextualSpacing w:val="0"/>
                                <w:rPr>
                                  <w:rFonts w:cstheme="minorHAnsi"/>
                                  <w:color w:val="000000" w:themeColor="text1"/>
                                  <w:sz w:val="21"/>
                                  <w:szCs w:val="21"/>
                                </w:rPr>
                              </w:pPr>
                              <w:r w:rsidRPr="002B066C">
                                <w:rPr>
                                  <w:rFonts w:cstheme="minorHAnsi"/>
                                  <w:color w:val="000000" w:themeColor="text1"/>
                                  <w:sz w:val="21"/>
                                  <w:szCs w:val="21"/>
                                </w:rPr>
                                <w:t>The NHS project processes</w:t>
                              </w:r>
                            </w:p>
                            <w:p w14:paraId="7BA4CA64" w14:textId="77777777" w:rsidR="009C0325" w:rsidRPr="002B066C" w:rsidRDefault="009C0325" w:rsidP="003D2A57">
                              <w:pPr>
                                <w:pStyle w:val="ListParagraph"/>
                                <w:numPr>
                                  <w:ilvl w:val="0"/>
                                  <w:numId w:val="8"/>
                                </w:numPr>
                                <w:spacing w:after="60" w:line="240" w:lineRule="auto"/>
                                <w:ind w:left="357" w:hanging="357"/>
                                <w:contextualSpacing w:val="0"/>
                                <w:rPr>
                                  <w:rFonts w:cstheme="minorHAnsi"/>
                                  <w:color w:val="000000" w:themeColor="text1"/>
                                  <w:sz w:val="21"/>
                                  <w:szCs w:val="21"/>
                                </w:rPr>
                              </w:pPr>
                              <w:r w:rsidRPr="002B066C">
                                <w:rPr>
                                  <w:rFonts w:cstheme="minorHAnsi"/>
                                  <w:color w:val="000000" w:themeColor="text1"/>
                                  <w:sz w:val="21"/>
                                  <w:szCs w:val="21"/>
                                </w:rPr>
                                <w:t>Project Management competencies</w:t>
                              </w:r>
                            </w:p>
                            <w:p w14:paraId="7BF56918" w14:textId="77777777" w:rsidR="009C0325" w:rsidRPr="002B066C" w:rsidRDefault="009C0325" w:rsidP="003D2A57">
                              <w:pPr>
                                <w:pStyle w:val="ListParagraph"/>
                                <w:numPr>
                                  <w:ilvl w:val="0"/>
                                  <w:numId w:val="8"/>
                                </w:numPr>
                                <w:spacing w:after="60" w:line="240" w:lineRule="auto"/>
                                <w:ind w:left="357" w:hanging="357"/>
                                <w:contextualSpacing w:val="0"/>
                                <w:rPr>
                                  <w:rFonts w:cstheme="minorHAnsi"/>
                                  <w:color w:val="000000" w:themeColor="text1"/>
                                  <w:sz w:val="21"/>
                                  <w:szCs w:val="21"/>
                                </w:rPr>
                              </w:pPr>
                              <w:r w:rsidRPr="002B066C">
                                <w:rPr>
                                  <w:rFonts w:cstheme="minorHAnsi"/>
                                  <w:color w:val="000000" w:themeColor="text1"/>
                                  <w:sz w:val="21"/>
                                  <w:szCs w:val="21"/>
                                </w:rPr>
                                <w:t xml:space="preserve">Risk mitigation </w:t>
                              </w:r>
                            </w:p>
                            <w:p w14:paraId="10CDA6D9" w14:textId="77777777" w:rsidR="009C0325" w:rsidRPr="002B066C" w:rsidRDefault="009C0325" w:rsidP="003D2A57">
                              <w:pPr>
                                <w:pStyle w:val="ListParagraph"/>
                                <w:numPr>
                                  <w:ilvl w:val="0"/>
                                  <w:numId w:val="8"/>
                                </w:numPr>
                                <w:spacing w:after="60" w:line="240" w:lineRule="auto"/>
                                <w:ind w:left="357" w:hanging="357"/>
                                <w:contextualSpacing w:val="0"/>
                                <w:rPr>
                                  <w:rFonts w:cstheme="minorHAnsi"/>
                                  <w:color w:val="000000" w:themeColor="text1"/>
                                  <w:sz w:val="21"/>
                                  <w:szCs w:val="21"/>
                                </w:rPr>
                              </w:pPr>
                              <w:r w:rsidRPr="002B066C">
                                <w:rPr>
                                  <w:rFonts w:cstheme="minorHAnsi"/>
                                  <w:color w:val="000000" w:themeColor="text1"/>
                                  <w:sz w:val="21"/>
                                  <w:szCs w:val="21"/>
                                </w:rPr>
                                <w:t>Construction industry and construction projects</w:t>
                              </w:r>
                            </w:p>
                            <w:p w14:paraId="3C868050" w14:textId="6AA7234A" w:rsidR="009C0325" w:rsidRPr="00F7206C" w:rsidRDefault="009C0325" w:rsidP="003D2A57">
                              <w:pPr>
                                <w:pStyle w:val="ListParagraph"/>
                                <w:numPr>
                                  <w:ilvl w:val="0"/>
                                  <w:numId w:val="8"/>
                                </w:numPr>
                                <w:spacing w:after="60" w:line="240" w:lineRule="auto"/>
                                <w:ind w:left="357" w:hanging="357"/>
                                <w:contextualSpacing w:val="0"/>
                                <w:rPr>
                                  <w:rFonts w:ascii="Calibri" w:hAnsi="Calibri" w:cs="Calibri"/>
                                  <w:color w:val="000000" w:themeColor="text1"/>
                                  <w:sz w:val="21"/>
                                  <w:szCs w:val="21"/>
                                </w:rPr>
                              </w:pPr>
                              <w:r w:rsidRPr="00F7206C">
                                <w:rPr>
                                  <w:rFonts w:ascii="Calibri" w:hAnsi="Calibri" w:cs="Calibri"/>
                                  <w:color w:val="000000" w:themeColor="text1"/>
                                  <w:sz w:val="21"/>
                                  <w:szCs w:val="21"/>
                                </w:rPr>
                                <w:t>Effective communication/</w:t>
                              </w:r>
                              <w:r>
                                <w:rPr>
                                  <w:rFonts w:ascii="Calibri" w:hAnsi="Calibri" w:cs="Calibri"/>
                                  <w:color w:val="000000" w:themeColor="text1"/>
                                  <w:sz w:val="21"/>
                                  <w:szCs w:val="21"/>
                                </w:rPr>
                                <w:t xml:space="preserve"> r</w:t>
                              </w:r>
                              <w:r w:rsidRPr="00F7206C">
                                <w:rPr>
                                  <w:rFonts w:cstheme="minorHAnsi"/>
                                  <w:color w:val="000000" w:themeColor="text1"/>
                                  <w:sz w:val="21"/>
                                  <w:szCs w:val="21"/>
                                </w:rPr>
                                <w:t>eport</w:t>
                              </w:r>
                              <w:r>
                                <w:rPr>
                                  <w:rFonts w:cstheme="minorHAnsi"/>
                                  <w:color w:val="000000" w:themeColor="text1"/>
                                  <w:sz w:val="21"/>
                                  <w:szCs w:val="21"/>
                                </w:rPr>
                                <w:t xml:space="preserve">ing </w:t>
                              </w:r>
                              <w:r w:rsidRPr="00F7206C">
                                <w:rPr>
                                  <w:rFonts w:cstheme="minorHAnsi"/>
                                  <w:color w:val="000000" w:themeColor="text1"/>
                                  <w:sz w:val="21"/>
                                  <w:szCs w:val="21"/>
                                </w:rPr>
                                <w:t xml:space="preserve"> </w:t>
                              </w:r>
                            </w:p>
                            <w:p w14:paraId="0EF560B8" w14:textId="1DA420D3" w:rsidR="009C0325" w:rsidRPr="002B066C" w:rsidRDefault="009C0325" w:rsidP="003D2A57">
                              <w:pPr>
                                <w:pStyle w:val="ListParagraph"/>
                                <w:numPr>
                                  <w:ilvl w:val="0"/>
                                  <w:numId w:val="8"/>
                                </w:numPr>
                                <w:spacing w:after="60" w:line="240" w:lineRule="auto"/>
                                <w:ind w:left="357" w:hanging="357"/>
                                <w:contextualSpacing w:val="0"/>
                                <w:rPr>
                                  <w:rFonts w:ascii="Calibri" w:hAnsi="Calibri" w:cs="Calibri"/>
                                  <w:color w:val="000000" w:themeColor="text1"/>
                                  <w:sz w:val="21"/>
                                  <w:szCs w:val="21"/>
                                </w:rPr>
                              </w:pPr>
                              <w:r w:rsidRPr="002B066C">
                                <w:rPr>
                                  <w:rFonts w:ascii="Calibri" w:hAnsi="Calibri" w:cs="Calibri"/>
                                  <w:color w:val="000000" w:themeColor="text1"/>
                                  <w:sz w:val="21"/>
                                  <w:szCs w:val="21"/>
                                </w:rPr>
                                <w:t xml:space="preserve">Principles of effective </w:t>
                              </w:r>
                              <w:r>
                                <w:rPr>
                                  <w:rFonts w:ascii="Calibri" w:hAnsi="Calibri" w:cs="Calibri"/>
                                  <w:color w:val="000000" w:themeColor="text1"/>
                                  <w:sz w:val="21"/>
                                  <w:szCs w:val="21"/>
                                </w:rPr>
                                <w:t xml:space="preserve">project </w:t>
                              </w:r>
                              <w:r w:rsidRPr="002B066C">
                                <w:rPr>
                                  <w:rFonts w:ascii="Calibri" w:hAnsi="Calibri" w:cs="Calibri"/>
                                  <w:color w:val="000000" w:themeColor="text1"/>
                                  <w:sz w:val="21"/>
                                  <w:szCs w:val="21"/>
                                </w:rPr>
                                <w:t xml:space="preserve">oversight  </w:t>
                              </w:r>
                            </w:p>
                            <w:p w14:paraId="714E70AC" w14:textId="6BE053EA" w:rsidR="009C0325" w:rsidRPr="002B066C" w:rsidRDefault="009C0325" w:rsidP="003D2A57">
                              <w:pPr>
                                <w:pStyle w:val="ListParagraph"/>
                                <w:numPr>
                                  <w:ilvl w:val="0"/>
                                  <w:numId w:val="8"/>
                                </w:numPr>
                                <w:spacing w:after="60" w:line="240" w:lineRule="auto"/>
                                <w:ind w:left="357" w:hanging="357"/>
                                <w:contextualSpacing w:val="0"/>
                                <w:rPr>
                                  <w:rFonts w:ascii="Calibri" w:hAnsi="Calibri" w:cs="Calibri"/>
                                  <w:color w:val="000000" w:themeColor="text1"/>
                                  <w:sz w:val="21"/>
                                  <w:szCs w:val="21"/>
                                </w:rPr>
                              </w:pPr>
                              <w:r w:rsidRPr="002B066C">
                                <w:rPr>
                                  <w:rFonts w:ascii="Calibri" w:hAnsi="Calibri" w:cs="Calibri"/>
                                  <w:color w:val="000000" w:themeColor="text1"/>
                                  <w:sz w:val="21"/>
                                  <w:szCs w:val="21"/>
                                </w:rPr>
                                <w:t>Characteristics of open and transparent relationships</w:t>
                              </w:r>
                            </w:p>
                            <w:p w14:paraId="55B1ECFA" w14:textId="77777777" w:rsidR="009C0325" w:rsidRPr="002B066C" w:rsidRDefault="009C0325" w:rsidP="001F4B8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Flowchart: Process 32"/>
                        <wps:cNvSpPr/>
                        <wps:spPr>
                          <a:xfrm>
                            <a:off x="3143250" y="1066800"/>
                            <a:ext cx="1885950" cy="182880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A47686" w14:textId="65CF5BD3" w:rsidR="009C0325" w:rsidRPr="00867B9B" w:rsidRDefault="009C0325" w:rsidP="00715B25">
                              <w:pPr>
                                <w:spacing w:after="120" w:line="240" w:lineRule="auto"/>
                                <w:rPr>
                                  <w:rFonts w:ascii="Calibri" w:hAnsi="Calibri" w:cs="Calibri"/>
                                  <w:color w:val="000000" w:themeColor="text1"/>
                                  <w:sz w:val="21"/>
                                  <w:szCs w:val="21"/>
                                </w:rPr>
                              </w:pPr>
                              <w:r w:rsidRPr="00867B9B">
                                <w:rPr>
                                  <w:color w:val="000000" w:themeColor="text1"/>
                                  <w:sz w:val="21"/>
                                  <w:szCs w:val="21"/>
                                </w:rPr>
                                <w:t>Is the Corporate Board willing to commit to p</w:t>
                              </w:r>
                              <w:r w:rsidRPr="00867B9B">
                                <w:rPr>
                                  <w:rFonts w:ascii="Calibri" w:hAnsi="Calibri" w:cs="Calibri"/>
                                  <w:color w:val="000000" w:themeColor="text1"/>
                                  <w:sz w:val="21"/>
                                  <w:szCs w:val="21"/>
                                </w:rPr>
                                <w:t>romote a culture of openness by</w:t>
                              </w:r>
                            </w:p>
                            <w:p w14:paraId="2763C028" w14:textId="77777777" w:rsidR="009C0325" w:rsidRPr="00867B9B" w:rsidRDefault="009C0325" w:rsidP="003D2A57">
                              <w:pPr>
                                <w:pStyle w:val="ListParagraph"/>
                                <w:numPr>
                                  <w:ilvl w:val="0"/>
                                  <w:numId w:val="9"/>
                                </w:numPr>
                                <w:spacing w:after="60" w:line="240" w:lineRule="auto"/>
                                <w:ind w:left="357" w:hanging="357"/>
                                <w:contextualSpacing w:val="0"/>
                                <w:rPr>
                                  <w:rFonts w:ascii="Calibri" w:hAnsi="Calibri" w:cs="Calibri"/>
                                  <w:color w:val="000000" w:themeColor="text1"/>
                                  <w:sz w:val="21"/>
                                  <w:szCs w:val="21"/>
                                </w:rPr>
                              </w:pPr>
                              <w:r w:rsidRPr="00867B9B">
                                <w:rPr>
                                  <w:rFonts w:ascii="Calibri" w:hAnsi="Calibri" w:cs="Calibri"/>
                                  <w:color w:val="000000" w:themeColor="text1"/>
                                  <w:sz w:val="21"/>
                                  <w:szCs w:val="21"/>
                                </w:rPr>
                                <w:t xml:space="preserve">Encouraging project teams to report problems without fear </w:t>
                              </w:r>
                            </w:p>
                            <w:p w14:paraId="56358BAB" w14:textId="72432AC0" w:rsidR="009C0325" w:rsidRPr="00867B9B" w:rsidRDefault="009C0325" w:rsidP="003D2A57">
                              <w:pPr>
                                <w:pStyle w:val="ListParagraph"/>
                                <w:numPr>
                                  <w:ilvl w:val="0"/>
                                  <w:numId w:val="9"/>
                                </w:numPr>
                                <w:spacing w:after="60" w:line="240" w:lineRule="auto"/>
                                <w:ind w:left="357" w:hanging="357"/>
                                <w:contextualSpacing w:val="0"/>
                                <w:rPr>
                                  <w:rFonts w:ascii="Calibri" w:hAnsi="Calibri" w:cs="Calibri"/>
                                  <w:color w:val="000000" w:themeColor="text1"/>
                                  <w:sz w:val="21"/>
                                  <w:szCs w:val="21"/>
                                </w:rPr>
                              </w:pPr>
                              <w:r w:rsidRPr="00867B9B">
                                <w:rPr>
                                  <w:rFonts w:ascii="Calibri" w:hAnsi="Calibri" w:cs="Calibri"/>
                                  <w:color w:val="000000" w:themeColor="text1"/>
                                  <w:sz w:val="21"/>
                                  <w:szCs w:val="21"/>
                                </w:rPr>
                                <w:t xml:space="preserve">Creating a culture of joint problem solving between the </w:t>
                              </w:r>
                              <w:r>
                                <w:rPr>
                                  <w:rFonts w:ascii="Calibri" w:hAnsi="Calibri" w:cs="Calibri"/>
                                  <w:color w:val="000000" w:themeColor="text1"/>
                                  <w:sz w:val="21"/>
                                  <w:szCs w:val="21"/>
                                </w:rPr>
                                <w:t>t</w:t>
                              </w:r>
                              <w:r w:rsidRPr="00867B9B">
                                <w:rPr>
                                  <w:rFonts w:ascii="Calibri" w:hAnsi="Calibri" w:cs="Calibri"/>
                                  <w:color w:val="000000" w:themeColor="text1"/>
                                  <w:sz w:val="21"/>
                                  <w:szCs w:val="21"/>
                                </w:rPr>
                                <w:t xml:space="preserve">rust </w:t>
                              </w:r>
                              <w:r>
                                <w:rPr>
                                  <w:rFonts w:ascii="Calibri" w:hAnsi="Calibri" w:cs="Calibri"/>
                                  <w:color w:val="000000" w:themeColor="text1"/>
                                  <w:sz w:val="21"/>
                                  <w:szCs w:val="21"/>
                                </w:rPr>
                                <w:t>b</w:t>
                              </w:r>
                              <w:r w:rsidRPr="00867B9B">
                                <w:rPr>
                                  <w:rFonts w:ascii="Calibri" w:hAnsi="Calibri" w:cs="Calibri"/>
                                  <w:color w:val="000000" w:themeColor="text1"/>
                                  <w:sz w:val="21"/>
                                  <w:szCs w:val="21"/>
                                </w:rPr>
                                <w:t xml:space="preserve">oard and the </w:t>
                              </w:r>
                              <w:r>
                                <w:rPr>
                                  <w:rFonts w:ascii="Calibri" w:hAnsi="Calibri" w:cs="Calibri"/>
                                  <w:color w:val="000000" w:themeColor="text1"/>
                                  <w:sz w:val="21"/>
                                  <w:szCs w:val="21"/>
                                </w:rPr>
                                <w:t>p</w:t>
                              </w:r>
                              <w:r w:rsidRPr="00867B9B">
                                <w:rPr>
                                  <w:rFonts w:ascii="Calibri" w:hAnsi="Calibri" w:cs="Calibri"/>
                                  <w:color w:val="000000" w:themeColor="text1"/>
                                  <w:sz w:val="21"/>
                                  <w:szCs w:val="21"/>
                                </w:rPr>
                                <w:t xml:space="preserve">roject </w:t>
                              </w:r>
                              <w:r>
                                <w:rPr>
                                  <w:rFonts w:ascii="Calibri" w:hAnsi="Calibri" w:cs="Calibri"/>
                                  <w:color w:val="000000" w:themeColor="text1"/>
                                  <w:sz w:val="21"/>
                                  <w:szCs w:val="21"/>
                                </w:rPr>
                                <w:t>b</w:t>
                              </w:r>
                              <w:r w:rsidRPr="00867B9B">
                                <w:rPr>
                                  <w:rFonts w:ascii="Calibri" w:hAnsi="Calibri" w:cs="Calibri"/>
                                  <w:color w:val="000000" w:themeColor="text1"/>
                                  <w:sz w:val="21"/>
                                  <w:szCs w:val="21"/>
                                </w:rPr>
                                <w:t>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Flowchart: Process 218"/>
                        <wps:cNvSpPr/>
                        <wps:spPr>
                          <a:xfrm>
                            <a:off x="6134100" y="1057275"/>
                            <a:ext cx="2533650" cy="308610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4411C12" w14:textId="426A796E" w:rsidR="009C0325" w:rsidRPr="00ED534D" w:rsidRDefault="009C0325" w:rsidP="00ED534D">
                              <w:pPr>
                                <w:rPr>
                                  <w:color w:val="000000" w:themeColor="text1"/>
                                </w:rPr>
                              </w:pPr>
                              <w:r w:rsidRPr="00ED534D">
                                <w:rPr>
                                  <w:color w:val="000000" w:themeColor="text1"/>
                                </w:rPr>
                                <w:t>Has the Corporate Board</w:t>
                              </w:r>
                            </w:p>
                            <w:p w14:paraId="384D956A" w14:textId="3B8407EE" w:rsidR="009C0325" w:rsidRPr="00ED534D" w:rsidRDefault="009C0325" w:rsidP="003D2A57">
                              <w:pPr>
                                <w:pStyle w:val="ListParagraph"/>
                                <w:numPr>
                                  <w:ilvl w:val="0"/>
                                  <w:numId w:val="12"/>
                                </w:numPr>
                                <w:rPr>
                                  <w:color w:val="000000" w:themeColor="text1"/>
                                  <w:sz w:val="21"/>
                                  <w:szCs w:val="21"/>
                                </w:rPr>
                              </w:pPr>
                              <w:r w:rsidRPr="00ED534D">
                                <w:rPr>
                                  <w:color w:val="000000" w:themeColor="text1"/>
                                  <w:sz w:val="21"/>
                                  <w:szCs w:val="21"/>
                                </w:rPr>
                                <w:t xml:space="preserve">Defined project success criteria </w:t>
                              </w:r>
                              <w:r>
                                <w:rPr>
                                  <w:color w:val="000000" w:themeColor="text1"/>
                                  <w:sz w:val="21"/>
                                  <w:szCs w:val="21"/>
                                </w:rPr>
                                <w:t xml:space="preserve">(KPI) </w:t>
                              </w:r>
                              <w:r w:rsidRPr="00ED534D">
                                <w:rPr>
                                  <w:color w:val="000000" w:themeColor="text1"/>
                                  <w:sz w:val="21"/>
                                  <w:szCs w:val="21"/>
                                </w:rPr>
                                <w:t>for both project management and operational phases</w:t>
                              </w:r>
                              <w:r>
                                <w:rPr>
                                  <w:color w:val="000000" w:themeColor="text1"/>
                                  <w:sz w:val="21"/>
                                  <w:szCs w:val="21"/>
                                </w:rPr>
                                <w:t>, including benefits</w:t>
                              </w:r>
                              <w:r w:rsidRPr="00ED534D">
                                <w:rPr>
                                  <w:color w:val="000000" w:themeColor="text1"/>
                                  <w:sz w:val="21"/>
                                  <w:szCs w:val="21"/>
                                </w:rPr>
                                <w:t xml:space="preserve">.  </w:t>
                              </w:r>
                            </w:p>
                            <w:p w14:paraId="1369D5A2" w14:textId="7C5B24DC" w:rsidR="009C0325" w:rsidRPr="00ED534D" w:rsidRDefault="009C0325" w:rsidP="003D2A57">
                              <w:pPr>
                                <w:pStyle w:val="ListParagraph"/>
                                <w:numPr>
                                  <w:ilvl w:val="0"/>
                                  <w:numId w:val="12"/>
                                </w:numPr>
                                <w:rPr>
                                  <w:color w:val="000000" w:themeColor="text1"/>
                                  <w:sz w:val="21"/>
                                  <w:szCs w:val="21"/>
                                </w:rPr>
                              </w:pPr>
                              <w:r w:rsidRPr="00ED534D">
                                <w:rPr>
                                  <w:color w:val="000000" w:themeColor="text1"/>
                                  <w:sz w:val="21"/>
                                  <w:szCs w:val="21"/>
                                </w:rPr>
                                <w:t xml:space="preserve">Weighted success measures at the start of the project according project requirement. Review these for validity at the boundaries of key project stages. </w:t>
                              </w:r>
                            </w:p>
                            <w:p w14:paraId="5E355E53" w14:textId="136DBF58" w:rsidR="009C0325" w:rsidRPr="00ED534D" w:rsidRDefault="009C0325" w:rsidP="003D2A57">
                              <w:pPr>
                                <w:pStyle w:val="ListParagraph"/>
                                <w:numPr>
                                  <w:ilvl w:val="0"/>
                                  <w:numId w:val="12"/>
                                </w:numPr>
                                <w:rPr>
                                  <w:color w:val="000000" w:themeColor="text1"/>
                                  <w:sz w:val="21"/>
                                  <w:szCs w:val="21"/>
                                </w:rPr>
                              </w:pPr>
                              <w:r w:rsidRPr="00ED534D">
                                <w:rPr>
                                  <w:color w:val="000000" w:themeColor="text1"/>
                                  <w:sz w:val="21"/>
                                  <w:szCs w:val="21"/>
                                </w:rPr>
                                <w:t xml:space="preserve">Expanded the definition of project success to include governance measures </w:t>
                              </w:r>
                            </w:p>
                            <w:p w14:paraId="40707204" w14:textId="7952CA43" w:rsidR="009C0325" w:rsidRPr="00ED534D" w:rsidRDefault="009C0325" w:rsidP="003D2A57">
                              <w:pPr>
                                <w:pStyle w:val="ListParagraph"/>
                                <w:numPr>
                                  <w:ilvl w:val="0"/>
                                  <w:numId w:val="12"/>
                                </w:numPr>
                                <w:rPr>
                                  <w:color w:val="000000" w:themeColor="text1"/>
                                  <w:sz w:val="21"/>
                                  <w:szCs w:val="21"/>
                                </w:rPr>
                              </w:pPr>
                              <w:r w:rsidRPr="00ED534D">
                                <w:rPr>
                                  <w:color w:val="000000" w:themeColor="text1"/>
                                  <w:sz w:val="21"/>
                                  <w:szCs w:val="21"/>
                                </w:rPr>
                                <w:t>Required a post project evaluation at the end of the project management phase to learn lessons for future projects</w:t>
                              </w:r>
                            </w:p>
                            <w:p w14:paraId="3750FD3E" w14:textId="77777777" w:rsidR="009C0325" w:rsidRDefault="009C0325" w:rsidP="00A074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Straight Arrow Connector 219"/>
                        <wps:cNvCnPr/>
                        <wps:spPr>
                          <a:xfrm>
                            <a:off x="2590800" y="30480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0" name="Straight Arrow Connector 220"/>
                        <wps:cNvCnPr/>
                        <wps:spPr>
                          <a:xfrm>
                            <a:off x="7353300" y="771525"/>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074B76F" id="Group 12294" o:spid="_x0000_s1084" style="position:absolute;margin-left:-6.15pt;margin-top:18.3pt;width:688.65pt;height:326.25pt;z-index:251411968;mso-width-relative:margin;mso-height-relative:margin" coordorigin="-781" coordsize="87458,4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">
                <v:shapetype id="_x0000_t109" coordsize="21600,21600" o:spt="109" path="m,l,21600r21600,l21600,xe">
                  <v:stroke joinstyle="miter"/>
                  <v:path gradientshapeok="t" o:connecttype="rect"/>
                </v:shapetype>
                <v:shape id="Flowchart: Process 246" o:spid="_x0000_s1085" type="#_x0000_t109" style="position:absolute;left:-781;width:8688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" filled="f" strokecolor="#1f4d78 [1604]" strokeweight="1pt">
                  <v:textbox>
                    <w:txbxContent>
                      <w:p w14:paraId="5FA6D5C1" w14:textId="0E7C6B02" w:rsidR="009C0325" w:rsidRPr="00867B9B" w:rsidRDefault="009C0325" w:rsidP="00F768D7">
                        <w:pPr>
                          <w:jc w:val="center"/>
                          <w:rPr>
                            <w:color w:val="000000" w:themeColor="text1"/>
                            <w:sz w:val="21"/>
                            <w:szCs w:val="21"/>
                          </w:rPr>
                        </w:pPr>
                        <w:r>
                          <w:rPr>
                            <w:color w:val="000000" w:themeColor="text1"/>
                            <w:sz w:val="21"/>
                            <w:szCs w:val="21"/>
                          </w:rPr>
                          <w:t>Project start-up</w:t>
                        </w:r>
                      </w:p>
                    </w:txbxContent>
                  </v:textbox>
                </v:shape>
                <v:shape id="Flowchart: Process 247" o:spid="_x0000_s1086" type="#_x0000_t109" style="position:absolute;top:5238;width:51054;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" filled="f" strokecolor="#1f4d78 [1604]" strokeweight="1pt">
                  <v:textbox>
                    <w:txbxContent>
                      <w:p w14:paraId="54C5F9C5" w14:textId="3F7DB0A1" w:rsidR="009C0325" w:rsidRDefault="009C0325" w:rsidP="00F768D7">
                        <w:pPr>
                          <w:jc w:val="center"/>
                          <w:rPr>
                            <w:color w:val="000000" w:themeColor="text1"/>
                            <w:sz w:val="21"/>
                            <w:szCs w:val="21"/>
                          </w:rPr>
                        </w:pPr>
                        <w:r w:rsidRPr="00867B9B">
                          <w:rPr>
                            <w:color w:val="000000" w:themeColor="text1"/>
                            <w:sz w:val="21"/>
                            <w:szCs w:val="21"/>
                          </w:rPr>
                          <w:t>Governance</w:t>
                        </w:r>
                      </w:p>
                      <w:p w14:paraId="354B533A" w14:textId="77777777" w:rsidR="009C0325" w:rsidRPr="00867B9B" w:rsidRDefault="009C0325" w:rsidP="00F768D7">
                        <w:pPr>
                          <w:jc w:val="center"/>
                          <w:rPr>
                            <w:color w:val="000000" w:themeColor="text1"/>
                            <w:sz w:val="21"/>
                            <w:szCs w:val="21"/>
                          </w:rPr>
                        </w:pPr>
                      </w:p>
                    </w:txbxContent>
                  </v:textbox>
                </v:shape>
                <v:shape id="Flowchart: Process 250" o:spid="_x0000_s1087" type="#_x0000_t109" style="position:absolute;left:60579;top:5238;width:26098;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" filled="f" strokecolor="#1f4d78 [1604]" strokeweight="1pt">
                  <v:textbox>
                    <w:txbxContent>
                      <w:p w14:paraId="47BDC971" w14:textId="60CD3C64" w:rsidR="009C0325" w:rsidRPr="00867B9B" w:rsidRDefault="009C0325" w:rsidP="005160EE">
                        <w:pPr>
                          <w:jc w:val="center"/>
                          <w:rPr>
                            <w:color w:val="000000" w:themeColor="text1"/>
                            <w:sz w:val="21"/>
                            <w:szCs w:val="21"/>
                          </w:rPr>
                        </w:pPr>
                        <w:r w:rsidRPr="00867B9B">
                          <w:rPr>
                            <w:color w:val="000000" w:themeColor="text1"/>
                            <w:sz w:val="21"/>
                            <w:szCs w:val="21"/>
                          </w:rPr>
                          <w:t>Project Success</w:t>
                        </w:r>
                      </w:p>
                    </w:txbxContent>
                  </v:textbox>
                </v:shape>
                <v:shape id="Flowchart: Process 255" o:spid="_x0000_s1088" type="#_x0000_t109" style="position:absolute;top:10572;width:26670;height:3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" fillcolor="white [3212]" strokecolor="#1f4d78 [1604]" strokeweight="1pt">
                  <v:textbox>
                    <w:txbxContent>
                      <w:p w14:paraId="013AD753" w14:textId="3669BB27" w:rsidR="009C0325" w:rsidRPr="002B066C" w:rsidRDefault="009C0325" w:rsidP="00B77C35">
                        <w:pPr>
                          <w:spacing w:after="120" w:line="240" w:lineRule="auto"/>
                          <w:rPr>
                            <w:color w:val="000000" w:themeColor="text1"/>
                            <w:sz w:val="21"/>
                            <w:szCs w:val="21"/>
                          </w:rPr>
                        </w:pPr>
                        <w:r w:rsidRPr="002B066C">
                          <w:rPr>
                            <w:color w:val="000000" w:themeColor="text1"/>
                            <w:sz w:val="21"/>
                            <w:szCs w:val="21"/>
                          </w:rPr>
                          <w:t xml:space="preserve">Does the </w:t>
                        </w:r>
                        <w:r>
                          <w:rPr>
                            <w:color w:val="000000" w:themeColor="text1"/>
                            <w:sz w:val="21"/>
                            <w:szCs w:val="21"/>
                          </w:rPr>
                          <w:t>C</w:t>
                        </w:r>
                        <w:r w:rsidRPr="002B066C">
                          <w:rPr>
                            <w:color w:val="000000" w:themeColor="text1"/>
                            <w:sz w:val="21"/>
                            <w:szCs w:val="21"/>
                          </w:rPr>
                          <w:t xml:space="preserve">orporate </w:t>
                        </w:r>
                        <w:r>
                          <w:rPr>
                            <w:color w:val="000000" w:themeColor="text1"/>
                            <w:sz w:val="21"/>
                            <w:szCs w:val="21"/>
                          </w:rPr>
                          <w:t>B</w:t>
                        </w:r>
                        <w:r w:rsidRPr="002B066C">
                          <w:rPr>
                            <w:color w:val="000000" w:themeColor="text1"/>
                            <w:sz w:val="21"/>
                            <w:szCs w:val="21"/>
                          </w:rPr>
                          <w:t>oard have the skills/ knowledge</w:t>
                        </w:r>
                        <w:r>
                          <w:rPr>
                            <w:color w:val="000000" w:themeColor="text1"/>
                            <w:sz w:val="21"/>
                            <w:szCs w:val="21"/>
                          </w:rPr>
                          <w:t xml:space="preserve"> </w:t>
                        </w:r>
                        <w:r w:rsidRPr="002B066C">
                          <w:rPr>
                            <w:color w:val="000000" w:themeColor="text1"/>
                            <w:sz w:val="21"/>
                            <w:szCs w:val="21"/>
                          </w:rPr>
                          <w:t>of</w:t>
                        </w:r>
                      </w:p>
                      <w:p w14:paraId="69D71746" w14:textId="77777777" w:rsidR="009C0325" w:rsidRPr="002B066C" w:rsidRDefault="009C0325" w:rsidP="003D2A57">
                        <w:pPr>
                          <w:pStyle w:val="ListParagraph"/>
                          <w:numPr>
                            <w:ilvl w:val="0"/>
                            <w:numId w:val="8"/>
                          </w:numPr>
                          <w:spacing w:after="60" w:line="240" w:lineRule="auto"/>
                          <w:ind w:left="357" w:hanging="357"/>
                          <w:contextualSpacing w:val="0"/>
                          <w:rPr>
                            <w:rFonts w:cstheme="minorHAnsi"/>
                            <w:color w:val="000000" w:themeColor="text1"/>
                            <w:sz w:val="21"/>
                            <w:szCs w:val="21"/>
                          </w:rPr>
                        </w:pPr>
                        <w:r w:rsidRPr="002B066C">
                          <w:rPr>
                            <w:rFonts w:cstheme="minorHAnsi"/>
                            <w:color w:val="000000" w:themeColor="text1"/>
                            <w:sz w:val="21"/>
                            <w:szCs w:val="21"/>
                          </w:rPr>
                          <w:t>The NHS project processes</w:t>
                        </w:r>
                      </w:p>
                      <w:p w14:paraId="7BA4CA64" w14:textId="77777777" w:rsidR="009C0325" w:rsidRPr="002B066C" w:rsidRDefault="009C0325" w:rsidP="003D2A57">
                        <w:pPr>
                          <w:pStyle w:val="ListParagraph"/>
                          <w:numPr>
                            <w:ilvl w:val="0"/>
                            <w:numId w:val="8"/>
                          </w:numPr>
                          <w:spacing w:after="60" w:line="240" w:lineRule="auto"/>
                          <w:ind w:left="357" w:hanging="357"/>
                          <w:contextualSpacing w:val="0"/>
                          <w:rPr>
                            <w:rFonts w:cstheme="minorHAnsi"/>
                            <w:color w:val="000000" w:themeColor="text1"/>
                            <w:sz w:val="21"/>
                            <w:szCs w:val="21"/>
                          </w:rPr>
                        </w:pPr>
                        <w:r w:rsidRPr="002B066C">
                          <w:rPr>
                            <w:rFonts w:cstheme="minorHAnsi"/>
                            <w:color w:val="000000" w:themeColor="text1"/>
                            <w:sz w:val="21"/>
                            <w:szCs w:val="21"/>
                          </w:rPr>
                          <w:t>Project Management competencies</w:t>
                        </w:r>
                      </w:p>
                      <w:p w14:paraId="7BF56918" w14:textId="77777777" w:rsidR="009C0325" w:rsidRPr="002B066C" w:rsidRDefault="009C0325" w:rsidP="003D2A57">
                        <w:pPr>
                          <w:pStyle w:val="ListParagraph"/>
                          <w:numPr>
                            <w:ilvl w:val="0"/>
                            <w:numId w:val="8"/>
                          </w:numPr>
                          <w:spacing w:after="60" w:line="240" w:lineRule="auto"/>
                          <w:ind w:left="357" w:hanging="357"/>
                          <w:contextualSpacing w:val="0"/>
                          <w:rPr>
                            <w:rFonts w:cstheme="minorHAnsi"/>
                            <w:color w:val="000000" w:themeColor="text1"/>
                            <w:sz w:val="21"/>
                            <w:szCs w:val="21"/>
                          </w:rPr>
                        </w:pPr>
                        <w:r w:rsidRPr="002B066C">
                          <w:rPr>
                            <w:rFonts w:cstheme="minorHAnsi"/>
                            <w:color w:val="000000" w:themeColor="text1"/>
                            <w:sz w:val="21"/>
                            <w:szCs w:val="21"/>
                          </w:rPr>
                          <w:t xml:space="preserve">Risk mitigation </w:t>
                        </w:r>
                      </w:p>
                      <w:p w14:paraId="10CDA6D9" w14:textId="77777777" w:rsidR="009C0325" w:rsidRPr="002B066C" w:rsidRDefault="009C0325" w:rsidP="003D2A57">
                        <w:pPr>
                          <w:pStyle w:val="ListParagraph"/>
                          <w:numPr>
                            <w:ilvl w:val="0"/>
                            <w:numId w:val="8"/>
                          </w:numPr>
                          <w:spacing w:after="60" w:line="240" w:lineRule="auto"/>
                          <w:ind w:left="357" w:hanging="357"/>
                          <w:contextualSpacing w:val="0"/>
                          <w:rPr>
                            <w:rFonts w:cstheme="minorHAnsi"/>
                            <w:color w:val="000000" w:themeColor="text1"/>
                            <w:sz w:val="21"/>
                            <w:szCs w:val="21"/>
                          </w:rPr>
                        </w:pPr>
                        <w:r w:rsidRPr="002B066C">
                          <w:rPr>
                            <w:rFonts w:cstheme="minorHAnsi"/>
                            <w:color w:val="000000" w:themeColor="text1"/>
                            <w:sz w:val="21"/>
                            <w:szCs w:val="21"/>
                          </w:rPr>
                          <w:t>Construction industry and construction projects</w:t>
                        </w:r>
                      </w:p>
                      <w:p w14:paraId="3C868050" w14:textId="6AA7234A" w:rsidR="009C0325" w:rsidRPr="00F7206C" w:rsidRDefault="009C0325" w:rsidP="003D2A57">
                        <w:pPr>
                          <w:pStyle w:val="ListParagraph"/>
                          <w:numPr>
                            <w:ilvl w:val="0"/>
                            <w:numId w:val="8"/>
                          </w:numPr>
                          <w:spacing w:after="60" w:line="240" w:lineRule="auto"/>
                          <w:ind w:left="357" w:hanging="357"/>
                          <w:contextualSpacing w:val="0"/>
                          <w:rPr>
                            <w:rFonts w:ascii="Calibri" w:hAnsi="Calibri" w:cs="Calibri"/>
                            <w:color w:val="000000" w:themeColor="text1"/>
                            <w:sz w:val="21"/>
                            <w:szCs w:val="21"/>
                          </w:rPr>
                        </w:pPr>
                        <w:r w:rsidRPr="00F7206C">
                          <w:rPr>
                            <w:rFonts w:ascii="Calibri" w:hAnsi="Calibri" w:cs="Calibri"/>
                            <w:color w:val="000000" w:themeColor="text1"/>
                            <w:sz w:val="21"/>
                            <w:szCs w:val="21"/>
                          </w:rPr>
                          <w:t>Effective communication/</w:t>
                        </w:r>
                        <w:r>
                          <w:rPr>
                            <w:rFonts w:ascii="Calibri" w:hAnsi="Calibri" w:cs="Calibri"/>
                            <w:color w:val="000000" w:themeColor="text1"/>
                            <w:sz w:val="21"/>
                            <w:szCs w:val="21"/>
                          </w:rPr>
                          <w:t xml:space="preserve"> r</w:t>
                        </w:r>
                        <w:r w:rsidRPr="00F7206C">
                          <w:rPr>
                            <w:rFonts w:cstheme="minorHAnsi"/>
                            <w:color w:val="000000" w:themeColor="text1"/>
                            <w:sz w:val="21"/>
                            <w:szCs w:val="21"/>
                          </w:rPr>
                          <w:t>eport</w:t>
                        </w:r>
                        <w:r>
                          <w:rPr>
                            <w:rFonts w:cstheme="minorHAnsi"/>
                            <w:color w:val="000000" w:themeColor="text1"/>
                            <w:sz w:val="21"/>
                            <w:szCs w:val="21"/>
                          </w:rPr>
                          <w:t xml:space="preserve">ing </w:t>
                        </w:r>
                        <w:r w:rsidRPr="00F7206C">
                          <w:rPr>
                            <w:rFonts w:cstheme="minorHAnsi"/>
                            <w:color w:val="000000" w:themeColor="text1"/>
                            <w:sz w:val="21"/>
                            <w:szCs w:val="21"/>
                          </w:rPr>
                          <w:t xml:space="preserve"> </w:t>
                        </w:r>
                      </w:p>
                      <w:p w14:paraId="0EF560B8" w14:textId="1DA420D3" w:rsidR="009C0325" w:rsidRPr="002B066C" w:rsidRDefault="009C0325" w:rsidP="003D2A57">
                        <w:pPr>
                          <w:pStyle w:val="ListParagraph"/>
                          <w:numPr>
                            <w:ilvl w:val="0"/>
                            <w:numId w:val="8"/>
                          </w:numPr>
                          <w:spacing w:after="60" w:line="240" w:lineRule="auto"/>
                          <w:ind w:left="357" w:hanging="357"/>
                          <w:contextualSpacing w:val="0"/>
                          <w:rPr>
                            <w:rFonts w:ascii="Calibri" w:hAnsi="Calibri" w:cs="Calibri"/>
                            <w:color w:val="000000" w:themeColor="text1"/>
                            <w:sz w:val="21"/>
                            <w:szCs w:val="21"/>
                          </w:rPr>
                        </w:pPr>
                        <w:r w:rsidRPr="002B066C">
                          <w:rPr>
                            <w:rFonts w:ascii="Calibri" w:hAnsi="Calibri" w:cs="Calibri"/>
                            <w:color w:val="000000" w:themeColor="text1"/>
                            <w:sz w:val="21"/>
                            <w:szCs w:val="21"/>
                          </w:rPr>
                          <w:t xml:space="preserve">Principles of effective </w:t>
                        </w:r>
                        <w:r>
                          <w:rPr>
                            <w:rFonts w:ascii="Calibri" w:hAnsi="Calibri" w:cs="Calibri"/>
                            <w:color w:val="000000" w:themeColor="text1"/>
                            <w:sz w:val="21"/>
                            <w:szCs w:val="21"/>
                          </w:rPr>
                          <w:t xml:space="preserve">project </w:t>
                        </w:r>
                        <w:r w:rsidRPr="002B066C">
                          <w:rPr>
                            <w:rFonts w:ascii="Calibri" w:hAnsi="Calibri" w:cs="Calibri"/>
                            <w:color w:val="000000" w:themeColor="text1"/>
                            <w:sz w:val="21"/>
                            <w:szCs w:val="21"/>
                          </w:rPr>
                          <w:t xml:space="preserve">oversight  </w:t>
                        </w:r>
                      </w:p>
                      <w:p w14:paraId="714E70AC" w14:textId="6BE053EA" w:rsidR="009C0325" w:rsidRPr="002B066C" w:rsidRDefault="009C0325" w:rsidP="003D2A57">
                        <w:pPr>
                          <w:pStyle w:val="ListParagraph"/>
                          <w:numPr>
                            <w:ilvl w:val="0"/>
                            <w:numId w:val="8"/>
                          </w:numPr>
                          <w:spacing w:after="60" w:line="240" w:lineRule="auto"/>
                          <w:ind w:left="357" w:hanging="357"/>
                          <w:contextualSpacing w:val="0"/>
                          <w:rPr>
                            <w:rFonts w:ascii="Calibri" w:hAnsi="Calibri" w:cs="Calibri"/>
                            <w:color w:val="000000" w:themeColor="text1"/>
                            <w:sz w:val="21"/>
                            <w:szCs w:val="21"/>
                          </w:rPr>
                        </w:pPr>
                        <w:r w:rsidRPr="002B066C">
                          <w:rPr>
                            <w:rFonts w:ascii="Calibri" w:hAnsi="Calibri" w:cs="Calibri"/>
                            <w:color w:val="000000" w:themeColor="text1"/>
                            <w:sz w:val="21"/>
                            <w:szCs w:val="21"/>
                          </w:rPr>
                          <w:t>Characteristics of open and transparent relationships</w:t>
                        </w:r>
                      </w:p>
                      <w:p w14:paraId="55B1ECFA" w14:textId="77777777" w:rsidR="009C0325" w:rsidRPr="002B066C" w:rsidRDefault="009C0325" w:rsidP="001F4B88">
                        <w:pPr>
                          <w:rPr>
                            <w:color w:val="000000" w:themeColor="text1"/>
                          </w:rPr>
                        </w:pPr>
                      </w:p>
                    </w:txbxContent>
                  </v:textbox>
                </v:shape>
                <v:shape id="Flowchart: Process 32" o:spid="_x0000_s1089" type="#_x0000_t109" style="position:absolute;left:31432;top:10668;width:18860;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" fillcolor="white [3212]" strokecolor="#1f4d78 [1604]" strokeweight="1pt">
                  <v:textbox>
                    <w:txbxContent>
                      <w:p w14:paraId="13A47686" w14:textId="65CF5BD3" w:rsidR="009C0325" w:rsidRPr="00867B9B" w:rsidRDefault="009C0325" w:rsidP="00715B25">
                        <w:pPr>
                          <w:spacing w:after="120" w:line="240" w:lineRule="auto"/>
                          <w:rPr>
                            <w:rFonts w:ascii="Calibri" w:hAnsi="Calibri" w:cs="Calibri"/>
                            <w:color w:val="000000" w:themeColor="text1"/>
                            <w:sz w:val="21"/>
                            <w:szCs w:val="21"/>
                          </w:rPr>
                        </w:pPr>
                        <w:r w:rsidRPr="00867B9B">
                          <w:rPr>
                            <w:color w:val="000000" w:themeColor="text1"/>
                            <w:sz w:val="21"/>
                            <w:szCs w:val="21"/>
                          </w:rPr>
                          <w:t>Is the Corporate Board willing to commit to p</w:t>
                        </w:r>
                        <w:r w:rsidRPr="00867B9B">
                          <w:rPr>
                            <w:rFonts w:ascii="Calibri" w:hAnsi="Calibri" w:cs="Calibri"/>
                            <w:color w:val="000000" w:themeColor="text1"/>
                            <w:sz w:val="21"/>
                            <w:szCs w:val="21"/>
                          </w:rPr>
                          <w:t>romote a culture of openness by</w:t>
                        </w:r>
                      </w:p>
                      <w:p w14:paraId="2763C028" w14:textId="77777777" w:rsidR="009C0325" w:rsidRPr="00867B9B" w:rsidRDefault="009C0325" w:rsidP="003D2A57">
                        <w:pPr>
                          <w:pStyle w:val="ListParagraph"/>
                          <w:numPr>
                            <w:ilvl w:val="0"/>
                            <w:numId w:val="9"/>
                          </w:numPr>
                          <w:spacing w:after="60" w:line="240" w:lineRule="auto"/>
                          <w:ind w:left="357" w:hanging="357"/>
                          <w:contextualSpacing w:val="0"/>
                          <w:rPr>
                            <w:rFonts w:ascii="Calibri" w:hAnsi="Calibri" w:cs="Calibri"/>
                            <w:color w:val="000000" w:themeColor="text1"/>
                            <w:sz w:val="21"/>
                            <w:szCs w:val="21"/>
                          </w:rPr>
                        </w:pPr>
                        <w:r w:rsidRPr="00867B9B">
                          <w:rPr>
                            <w:rFonts w:ascii="Calibri" w:hAnsi="Calibri" w:cs="Calibri"/>
                            <w:color w:val="000000" w:themeColor="text1"/>
                            <w:sz w:val="21"/>
                            <w:szCs w:val="21"/>
                          </w:rPr>
                          <w:t xml:space="preserve">Encouraging project teams to report problems without fear </w:t>
                        </w:r>
                      </w:p>
                      <w:p w14:paraId="56358BAB" w14:textId="72432AC0" w:rsidR="009C0325" w:rsidRPr="00867B9B" w:rsidRDefault="009C0325" w:rsidP="003D2A57">
                        <w:pPr>
                          <w:pStyle w:val="ListParagraph"/>
                          <w:numPr>
                            <w:ilvl w:val="0"/>
                            <w:numId w:val="9"/>
                          </w:numPr>
                          <w:spacing w:after="60" w:line="240" w:lineRule="auto"/>
                          <w:ind w:left="357" w:hanging="357"/>
                          <w:contextualSpacing w:val="0"/>
                          <w:rPr>
                            <w:rFonts w:ascii="Calibri" w:hAnsi="Calibri" w:cs="Calibri"/>
                            <w:color w:val="000000" w:themeColor="text1"/>
                            <w:sz w:val="21"/>
                            <w:szCs w:val="21"/>
                          </w:rPr>
                        </w:pPr>
                        <w:r w:rsidRPr="00867B9B">
                          <w:rPr>
                            <w:rFonts w:ascii="Calibri" w:hAnsi="Calibri" w:cs="Calibri"/>
                            <w:color w:val="000000" w:themeColor="text1"/>
                            <w:sz w:val="21"/>
                            <w:szCs w:val="21"/>
                          </w:rPr>
                          <w:t xml:space="preserve">Creating a culture of joint problem solving between the </w:t>
                        </w:r>
                        <w:r>
                          <w:rPr>
                            <w:rFonts w:ascii="Calibri" w:hAnsi="Calibri" w:cs="Calibri"/>
                            <w:color w:val="000000" w:themeColor="text1"/>
                            <w:sz w:val="21"/>
                            <w:szCs w:val="21"/>
                          </w:rPr>
                          <w:t>t</w:t>
                        </w:r>
                        <w:r w:rsidRPr="00867B9B">
                          <w:rPr>
                            <w:rFonts w:ascii="Calibri" w:hAnsi="Calibri" w:cs="Calibri"/>
                            <w:color w:val="000000" w:themeColor="text1"/>
                            <w:sz w:val="21"/>
                            <w:szCs w:val="21"/>
                          </w:rPr>
                          <w:t xml:space="preserve">rust </w:t>
                        </w:r>
                        <w:r>
                          <w:rPr>
                            <w:rFonts w:ascii="Calibri" w:hAnsi="Calibri" w:cs="Calibri"/>
                            <w:color w:val="000000" w:themeColor="text1"/>
                            <w:sz w:val="21"/>
                            <w:szCs w:val="21"/>
                          </w:rPr>
                          <w:t>b</w:t>
                        </w:r>
                        <w:r w:rsidRPr="00867B9B">
                          <w:rPr>
                            <w:rFonts w:ascii="Calibri" w:hAnsi="Calibri" w:cs="Calibri"/>
                            <w:color w:val="000000" w:themeColor="text1"/>
                            <w:sz w:val="21"/>
                            <w:szCs w:val="21"/>
                          </w:rPr>
                          <w:t xml:space="preserve">oard and the </w:t>
                        </w:r>
                        <w:r>
                          <w:rPr>
                            <w:rFonts w:ascii="Calibri" w:hAnsi="Calibri" w:cs="Calibri"/>
                            <w:color w:val="000000" w:themeColor="text1"/>
                            <w:sz w:val="21"/>
                            <w:szCs w:val="21"/>
                          </w:rPr>
                          <w:t>p</w:t>
                        </w:r>
                        <w:r w:rsidRPr="00867B9B">
                          <w:rPr>
                            <w:rFonts w:ascii="Calibri" w:hAnsi="Calibri" w:cs="Calibri"/>
                            <w:color w:val="000000" w:themeColor="text1"/>
                            <w:sz w:val="21"/>
                            <w:szCs w:val="21"/>
                          </w:rPr>
                          <w:t xml:space="preserve">roject </w:t>
                        </w:r>
                        <w:r>
                          <w:rPr>
                            <w:rFonts w:ascii="Calibri" w:hAnsi="Calibri" w:cs="Calibri"/>
                            <w:color w:val="000000" w:themeColor="text1"/>
                            <w:sz w:val="21"/>
                            <w:szCs w:val="21"/>
                          </w:rPr>
                          <w:t>b</w:t>
                        </w:r>
                        <w:r w:rsidRPr="00867B9B">
                          <w:rPr>
                            <w:rFonts w:ascii="Calibri" w:hAnsi="Calibri" w:cs="Calibri"/>
                            <w:color w:val="000000" w:themeColor="text1"/>
                            <w:sz w:val="21"/>
                            <w:szCs w:val="21"/>
                          </w:rPr>
                          <w:t>oard</w:t>
                        </w:r>
                      </w:p>
                    </w:txbxContent>
                  </v:textbox>
                </v:shape>
                <v:shape id="Flowchart: Process 218" o:spid="_x0000_s1090" type="#_x0000_t109" style="position:absolute;left:61341;top:10572;width:25336;height:30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" filled="f" strokecolor="#1f4d78 [1604]" strokeweight="1pt">
                  <v:textbox>
                    <w:txbxContent>
                      <w:p w14:paraId="04411C12" w14:textId="426A796E" w:rsidR="009C0325" w:rsidRPr="00ED534D" w:rsidRDefault="009C0325" w:rsidP="00ED534D">
                        <w:pPr>
                          <w:rPr>
                            <w:color w:val="000000" w:themeColor="text1"/>
                          </w:rPr>
                        </w:pPr>
                        <w:r w:rsidRPr="00ED534D">
                          <w:rPr>
                            <w:color w:val="000000" w:themeColor="text1"/>
                          </w:rPr>
                          <w:t>Has the Corporate Board</w:t>
                        </w:r>
                      </w:p>
                      <w:p w14:paraId="384D956A" w14:textId="3B8407EE" w:rsidR="009C0325" w:rsidRPr="00ED534D" w:rsidRDefault="009C0325" w:rsidP="003D2A57">
                        <w:pPr>
                          <w:pStyle w:val="ListParagraph"/>
                          <w:numPr>
                            <w:ilvl w:val="0"/>
                            <w:numId w:val="12"/>
                          </w:numPr>
                          <w:rPr>
                            <w:color w:val="000000" w:themeColor="text1"/>
                            <w:sz w:val="21"/>
                            <w:szCs w:val="21"/>
                          </w:rPr>
                        </w:pPr>
                        <w:r w:rsidRPr="00ED534D">
                          <w:rPr>
                            <w:color w:val="000000" w:themeColor="text1"/>
                            <w:sz w:val="21"/>
                            <w:szCs w:val="21"/>
                          </w:rPr>
                          <w:t xml:space="preserve">Defined project success criteria </w:t>
                        </w:r>
                        <w:r>
                          <w:rPr>
                            <w:color w:val="000000" w:themeColor="text1"/>
                            <w:sz w:val="21"/>
                            <w:szCs w:val="21"/>
                          </w:rPr>
                          <w:t xml:space="preserve">(KPI) </w:t>
                        </w:r>
                        <w:r w:rsidRPr="00ED534D">
                          <w:rPr>
                            <w:color w:val="000000" w:themeColor="text1"/>
                            <w:sz w:val="21"/>
                            <w:szCs w:val="21"/>
                          </w:rPr>
                          <w:t>for both project management and operational phases</w:t>
                        </w:r>
                        <w:r>
                          <w:rPr>
                            <w:color w:val="000000" w:themeColor="text1"/>
                            <w:sz w:val="21"/>
                            <w:szCs w:val="21"/>
                          </w:rPr>
                          <w:t>, including benefits</w:t>
                        </w:r>
                        <w:r w:rsidRPr="00ED534D">
                          <w:rPr>
                            <w:color w:val="000000" w:themeColor="text1"/>
                            <w:sz w:val="21"/>
                            <w:szCs w:val="21"/>
                          </w:rPr>
                          <w:t xml:space="preserve">.  </w:t>
                        </w:r>
                      </w:p>
                      <w:p w14:paraId="1369D5A2" w14:textId="7C5B24DC" w:rsidR="009C0325" w:rsidRPr="00ED534D" w:rsidRDefault="009C0325" w:rsidP="003D2A57">
                        <w:pPr>
                          <w:pStyle w:val="ListParagraph"/>
                          <w:numPr>
                            <w:ilvl w:val="0"/>
                            <w:numId w:val="12"/>
                          </w:numPr>
                          <w:rPr>
                            <w:color w:val="000000" w:themeColor="text1"/>
                            <w:sz w:val="21"/>
                            <w:szCs w:val="21"/>
                          </w:rPr>
                        </w:pPr>
                        <w:r w:rsidRPr="00ED534D">
                          <w:rPr>
                            <w:color w:val="000000" w:themeColor="text1"/>
                            <w:sz w:val="21"/>
                            <w:szCs w:val="21"/>
                          </w:rPr>
                          <w:t xml:space="preserve">Weighted success measures at the start of the project according project requirement. Review these for validity at the boundaries of key project stages. </w:t>
                        </w:r>
                      </w:p>
                      <w:p w14:paraId="5E355E53" w14:textId="136DBF58" w:rsidR="009C0325" w:rsidRPr="00ED534D" w:rsidRDefault="009C0325" w:rsidP="003D2A57">
                        <w:pPr>
                          <w:pStyle w:val="ListParagraph"/>
                          <w:numPr>
                            <w:ilvl w:val="0"/>
                            <w:numId w:val="12"/>
                          </w:numPr>
                          <w:rPr>
                            <w:color w:val="000000" w:themeColor="text1"/>
                            <w:sz w:val="21"/>
                            <w:szCs w:val="21"/>
                          </w:rPr>
                        </w:pPr>
                        <w:r w:rsidRPr="00ED534D">
                          <w:rPr>
                            <w:color w:val="000000" w:themeColor="text1"/>
                            <w:sz w:val="21"/>
                            <w:szCs w:val="21"/>
                          </w:rPr>
                          <w:t xml:space="preserve">Expanded the definition of project success to include governance measures </w:t>
                        </w:r>
                      </w:p>
                      <w:p w14:paraId="40707204" w14:textId="7952CA43" w:rsidR="009C0325" w:rsidRPr="00ED534D" w:rsidRDefault="009C0325" w:rsidP="003D2A57">
                        <w:pPr>
                          <w:pStyle w:val="ListParagraph"/>
                          <w:numPr>
                            <w:ilvl w:val="0"/>
                            <w:numId w:val="12"/>
                          </w:numPr>
                          <w:rPr>
                            <w:color w:val="000000" w:themeColor="text1"/>
                            <w:sz w:val="21"/>
                            <w:szCs w:val="21"/>
                          </w:rPr>
                        </w:pPr>
                        <w:r w:rsidRPr="00ED534D">
                          <w:rPr>
                            <w:color w:val="000000" w:themeColor="text1"/>
                            <w:sz w:val="21"/>
                            <w:szCs w:val="21"/>
                          </w:rPr>
                          <w:t>Required a post project evaluation at the end of the project management phase to learn lessons for future projects</w:t>
                        </w:r>
                      </w:p>
                      <w:p w14:paraId="3750FD3E" w14:textId="77777777" w:rsidR="009C0325" w:rsidRDefault="009C0325" w:rsidP="00A07400">
                        <w:pPr>
                          <w:jc w:val="center"/>
                        </w:pPr>
                      </w:p>
                    </w:txbxContent>
                  </v:textbox>
                </v:shape>
                <v:shape id="Straight Arrow Connector 219" o:spid="_x0000_s1091" type="#_x0000_t32" style="position:absolute;left:25908;top:3048;width:0;height:2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" strokecolor="#5b9bd5 [3204]" strokeweight=".5pt">
                  <v:stroke endarrow="block" joinstyle="miter"/>
                </v:shape>
                <v:shape id="Straight Arrow Connector 220" o:spid="_x0000_s1092" type="#_x0000_t32" style="position:absolute;left:73533;top:7715;width:0;height:2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" strokecolor="#5b9bd5 [3204]" strokeweight=".5pt">
                  <v:stroke endarrow="block" joinstyle="miter"/>
                </v:shape>
              </v:group>
            </w:pict>
          </mc:Fallback>
        </mc:AlternateContent>
      </w:r>
    </w:p>
    <w:p w14:paraId="229E987B" w14:textId="34C9D8F6" w:rsidR="00CD28EA" w:rsidRPr="00A77AF6" w:rsidRDefault="00F04025">
      <w:r w:rsidRPr="00A77AF6">
        <w:rPr>
          <w:noProof/>
          <w:lang w:eastAsia="en-GB"/>
        </w:rPr>
        <mc:AlternateContent>
          <mc:Choice Requires="wps">
            <w:drawing>
              <wp:anchor distT="0" distB="0" distL="114300" distR="114300" simplePos="0" relativeHeight="251636224" behindDoc="0" locked="0" layoutInCell="1" allowOverlap="1" wp14:anchorId="3E9520BF" wp14:editId="5D96180B">
                <wp:simplePos x="0" y="0"/>
                <wp:positionH relativeFrom="column">
                  <wp:posOffset>7332345</wp:posOffset>
                </wp:positionH>
                <wp:positionV relativeFrom="paragraph">
                  <wp:posOffset>251460</wp:posOffset>
                </wp:positionV>
                <wp:extent cx="0" cy="247650"/>
                <wp:effectExtent l="76200" t="0" r="57150" b="57150"/>
                <wp:wrapNone/>
                <wp:docPr id="38" name="Straight Arrow Connector 38"/>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4E79F9" id="Straight Arrow Connector 38" o:spid="_x0000_s1026" type="#_x0000_t32" style="position:absolute;margin-left:577.35pt;margin-top:19.8pt;width:0;height:19.5pt;z-index:25163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" strokecolor="#5b9bd5 [3204]" strokeweight=".5pt">
                <v:stroke endarrow="block" joinstyle="miter"/>
              </v:shape>
            </w:pict>
          </mc:Fallback>
        </mc:AlternateContent>
      </w:r>
    </w:p>
    <w:p w14:paraId="11DAB772" w14:textId="19E68F3C" w:rsidR="00565CD2" w:rsidRPr="00A77AF6" w:rsidRDefault="00565CD2"/>
    <w:p w14:paraId="35C776A3" w14:textId="237D58A4" w:rsidR="00F768D7" w:rsidRPr="00A77AF6" w:rsidRDefault="006D475D">
      <w:r w:rsidRPr="00A77AF6">
        <w:rPr>
          <w:noProof/>
          <w:lang w:eastAsia="en-GB"/>
        </w:rPr>
        <mc:AlternateContent>
          <mc:Choice Requires="wps">
            <w:drawing>
              <wp:anchor distT="0" distB="0" distL="114300" distR="114300" simplePos="0" relativeHeight="251301376" behindDoc="0" locked="0" layoutInCell="1" allowOverlap="1" wp14:anchorId="504BB1DA" wp14:editId="62255282">
                <wp:simplePos x="0" y="0"/>
                <wp:positionH relativeFrom="column">
                  <wp:posOffset>4055745</wp:posOffset>
                </wp:positionH>
                <wp:positionV relativeFrom="paragraph">
                  <wp:posOffset>166370</wp:posOffset>
                </wp:positionV>
                <wp:extent cx="0" cy="285750"/>
                <wp:effectExtent l="76200" t="0" r="57150" b="57150"/>
                <wp:wrapNone/>
                <wp:docPr id="12335" name="Straight Arrow Connector 12335"/>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4D1C2B" id="Straight Arrow Connector 12335" o:spid="_x0000_s1026" type="#_x0000_t32" style="position:absolute;margin-left:319.35pt;margin-top:13.1pt;width:0;height:22.5pt;z-index:25130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" strokecolor="#5b9bd5 [3204]" strokeweight=".5pt">
                <v:stroke endarrow="block" joinstyle="miter"/>
              </v:shape>
            </w:pict>
          </mc:Fallback>
        </mc:AlternateContent>
      </w:r>
      <w:r w:rsidRPr="00A77AF6">
        <w:rPr>
          <w:noProof/>
          <w:lang w:eastAsia="en-GB"/>
        </w:rPr>
        <mc:AlternateContent>
          <mc:Choice Requires="wps">
            <w:drawing>
              <wp:anchor distT="0" distB="0" distL="114300" distR="114300" simplePos="0" relativeHeight="251295232" behindDoc="0" locked="0" layoutInCell="1" allowOverlap="1" wp14:anchorId="77F42959" wp14:editId="4CDB3060">
                <wp:simplePos x="0" y="0"/>
                <wp:positionH relativeFrom="column">
                  <wp:posOffset>1217295</wp:posOffset>
                </wp:positionH>
                <wp:positionV relativeFrom="paragraph">
                  <wp:posOffset>166370</wp:posOffset>
                </wp:positionV>
                <wp:extent cx="0" cy="295275"/>
                <wp:effectExtent l="76200" t="0" r="57150" b="47625"/>
                <wp:wrapNone/>
                <wp:docPr id="12334" name="Straight Arrow Connector 12334"/>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3ABFF7" id="Straight Arrow Connector 12334" o:spid="_x0000_s1026" type="#_x0000_t32" style="position:absolute;margin-left:95.85pt;margin-top:13.1pt;width:0;height:23.25pt;z-index:25129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" strokecolor="#5b9bd5 [3204]" strokeweight=".5pt">
                <v:stroke endarrow="block" joinstyle="miter"/>
              </v:shape>
            </w:pict>
          </mc:Fallback>
        </mc:AlternateContent>
      </w:r>
    </w:p>
    <w:p w14:paraId="18EDB449" w14:textId="41232D7E" w:rsidR="00F768D7" w:rsidRPr="00A77AF6" w:rsidRDefault="00F768D7"/>
    <w:p w14:paraId="554767DB" w14:textId="347E5D92" w:rsidR="00F768D7" w:rsidRPr="00A77AF6" w:rsidRDefault="00F04025">
      <w:r w:rsidRPr="00A77AF6">
        <w:rPr>
          <w:noProof/>
          <w:lang w:eastAsia="en-GB"/>
        </w:rPr>
        <mc:AlternateContent>
          <mc:Choice Requires="wps">
            <w:drawing>
              <wp:anchor distT="0" distB="0" distL="114300" distR="114300" simplePos="0" relativeHeight="251368960" behindDoc="0" locked="0" layoutInCell="1" allowOverlap="1" wp14:anchorId="72CCAD6C" wp14:editId="0FDBA2FA">
                <wp:simplePos x="0" y="0"/>
                <wp:positionH relativeFrom="column">
                  <wp:posOffset>798195</wp:posOffset>
                </wp:positionH>
                <wp:positionV relativeFrom="paragraph">
                  <wp:posOffset>147320</wp:posOffset>
                </wp:positionV>
                <wp:extent cx="847725" cy="295275"/>
                <wp:effectExtent l="0" t="0" r="28575" b="28575"/>
                <wp:wrapNone/>
                <wp:docPr id="251" name="Flowchart: Process 251"/>
                <wp:cNvGraphicFramePr/>
                <a:graphic xmlns:a="http://schemas.openxmlformats.org/drawingml/2006/main">
                  <a:graphicData uri="http://schemas.microsoft.com/office/word/2010/wordprocessingShape">
                    <wps:wsp>
                      <wps:cNvSpPr/>
                      <wps:spPr>
                        <a:xfrm>
                          <a:off x="0" y="0"/>
                          <a:ext cx="847725" cy="295275"/>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CC713B8" w14:textId="696A27F0" w:rsidR="009C0325" w:rsidRPr="0060244C" w:rsidRDefault="009C0325" w:rsidP="005160EE">
                            <w:pPr>
                              <w:jc w:val="center"/>
                              <w:rPr>
                                <w:color w:val="000000" w:themeColor="text1"/>
                              </w:rPr>
                            </w:pPr>
                            <w:r w:rsidRPr="0060244C">
                              <w:rPr>
                                <w:color w:val="000000" w:themeColor="text1"/>
                              </w:rPr>
                              <w:t>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CCAD6C" id="Flowchart: Process 251" o:spid="_x0000_s1093" type="#_x0000_t109" style="position:absolute;margin-left:62.85pt;margin-top:11.6pt;width:66.75pt;height:23.25pt;z-index:25136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" filled="f" strokecolor="#1f4d78 [1604]" strokeweight="1pt">
                <v:textbox>
                  <w:txbxContent>
                    <w:p w14:paraId="1CC713B8" w14:textId="696A27F0" w:rsidR="009C0325" w:rsidRPr="0060244C" w:rsidRDefault="009C0325" w:rsidP="005160EE">
                      <w:pPr>
                        <w:jc w:val="center"/>
                        <w:rPr>
                          <w:color w:val="000000" w:themeColor="text1"/>
                        </w:rPr>
                      </w:pPr>
                      <w:r w:rsidRPr="0060244C">
                        <w:rPr>
                          <w:color w:val="000000" w:themeColor="text1"/>
                        </w:rPr>
                        <w:t>Skills</w:t>
                      </w:r>
                    </w:p>
                  </w:txbxContent>
                </v:textbox>
              </v:shape>
            </w:pict>
          </mc:Fallback>
        </mc:AlternateContent>
      </w:r>
      <w:r w:rsidRPr="00A77AF6">
        <w:rPr>
          <w:noProof/>
          <w:lang w:eastAsia="en-GB"/>
        </w:rPr>
        <mc:AlternateContent>
          <mc:Choice Requires="wps">
            <w:drawing>
              <wp:anchor distT="0" distB="0" distL="114300" distR="114300" simplePos="0" relativeHeight="251375104" behindDoc="0" locked="0" layoutInCell="1" allowOverlap="1" wp14:anchorId="6ED87ACF" wp14:editId="78080AF6">
                <wp:simplePos x="0" y="0"/>
                <wp:positionH relativeFrom="column">
                  <wp:posOffset>3636645</wp:posOffset>
                </wp:positionH>
                <wp:positionV relativeFrom="paragraph">
                  <wp:posOffset>147320</wp:posOffset>
                </wp:positionV>
                <wp:extent cx="847725" cy="295275"/>
                <wp:effectExtent l="0" t="0" r="28575" b="28575"/>
                <wp:wrapNone/>
                <wp:docPr id="253" name="Flowchart: Process 253"/>
                <wp:cNvGraphicFramePr/>
                <a:graphic xmlns:a="http://schemas.openxmlformats.org/drawingml/2006/main">
                  <a:graphicData uri="http://schemas.microsoft.com/office/word/2010/wordprocessingShape">
                    <wps:wsp>
                      <wps:cNvSpPr/>
                      <wps:spPr>
                        <a:xfrm>
                          <a:off x="0" y="0"/>
                          <a:ext cx="847725" cy="295275"/>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304CC1" w14:textId="55A4AB40" w:rsidR="009C0325" w:rsidRPr="0060244C" w:rsidRDefault="009C0325" w:rsidP="005160EE">
                            <w:pPr>
                              <w:jc w:val="center"/>
                              <w:rPr>
                                <w:color w:val="000000" w:themeColor="text1"/>
                              </w:rPr>
                            </w:pPr>
                            <w:r w:rsidRPr="0060244C">
                              <w:rPr>
                                <w:color w:val="000000" w:themeColor="text1"/>
                              </w:rPr>
                              <w:t>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D87ACF" id="Flowchart: Process 253" o:spid="_x0000_s1094" type="#_x0000_t109" style="position:absolute;margin-left:286.35pt;margin-top:11.6pt;width:66.75pt;height:23.25pt;z-index:25137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" fillcolor="white [3212]" strokecolor="#1f4d78 [1604]" strokeweight="1pt">
                <v:textbox>
                  <w:txbxContent>
                    <w:p w14:paraId="3B304CC1" w14:textId="55A4AB40" w:rsidR="009C0325" w:rsidRPr="0060244C" w:rsidRDefault="009C0325" w:rsidP="005160EE">
                      <w:pPr>
                        <w:jc w:val="center"/>
                        <w:rPr>
                          <w:color w:val="000000" w:themeColor="text1"/>
                        </w:rPr>
                      </w:pPr>
                      <w:r w:rsidRPr="0060244C">
                        <w:rPr>
                          <w:color w:val="000000" w:themeColor="text1"/>
                        </w:rPr>
                        <w:t>Culture</w:t>
                      </w:r>
                    </w:p>
                  </w:txbxContent>
                </v:textbox>
              </v:shape>
            </w:pict>
          </mc:Fallback>
        </mc:AlternateContent>
      </w:r>
    </w:p>
    <w:p w14:paraId="469A9F74" w14:textId="77CF90D5" w:rsidR="00F768D7" w:rsidRPr="00A77AF6" w:rsidRDefault="00F768D7"/>
    <w:p w14:paraId="2747110D" w14:textId="348EF5A7" w:rsidR="00F768D7" w:rsidRPr="00A77AF6" w:rsidRDefault="00A42370">
      <w:r w:rsidRPr="00A77AF6">
        <w:rPr>
          <w:noProof/>
          <w:lang w:eastAsia="en-GB"/>
        </w:rPr>
        <mc:AlternateContent>
          <mc:Choice Requires="wps">
            <w:drawing>
              <wp:anchor distT="0" distB="0" distL="114300" distR="114300" simplePos="0" relativeHeight="251436544" behindDoc="0" locked="0" layoutInCell="1" allowOverlap="1" wp14:anchorId="53062466" wp14:editId="67997DC5">
                <wp:simplePos x="0" y="0"/>
                <wp:positionH relativeFrom="column">
                  <wp:posOffset>5703570</wp:posOffset>
                </wp:positionH>
                <wp:positionV relativeFrom="paragraph">
                  <wp:posOffset>13969</wp:posOffset>
                </wp:positionV>
                <wp:extent cx="0" cy="3067050"/>
                <wp:effectExtent l="0" t="0" r="19050" b="19050"/>
                <wp:wrapNone/>
                <wp:docPr id="12290" name="Straight Connector 12290"/>
                <wp:cNvGraphicFramePr/>
                <a:graphic xmlns:a="http://schemas.openxmlformats.org/drawingml/2006/main">
                  <a:graphicData uri="http://schemas.microsoft.com/office/word/2010/wordprocessingShape">
                    <wps:wsp>
                      <wps:cNvCnPr/>
                      <wps:spPr>
                        <a:xfrm flipH="1" flipV="1">
                          <a:off x="0" y="0"/>
                          <a:ext cx="0" cy="3067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EACB0C" id="Straight Connector 12290" o:spid="_x0000_s1026" style="position:absolute;flip:x y;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1pt,1.1pt" to="449.1pt,2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" strokecolor="#5b9bd5 [3204]" strokeweight=".5pt">
                <v:stroke joinstyle="miter"/>
              </v:line>
            </w:pict>
          </mc:Fallback>
        </mc:AlternateContent>
      </w:r>
      <w:r w:rsidRPr="00A77AF6">
        <w:rPr>
          <w:noProof/>
          <w:lang w:eastAsia="en-GB"/>
        </w:rPr>
        <mc:AlternateContent>
          <mc:Choice Requires="wps">
            <w:drawing>
              <wp:anchor distT="0" distB="0" distL="114300" distR="114300" simplePos="0" relativeHeight="251540992" behindDoc="0" locked="0" layoutInCell="1" allowOverlap="1" wp14:anchorId="21FD3FD7" wp14:editId="067AD8E5">
                <wp:simplePos x="0" y="0"/>
                <wp:positionH relativeFrom="column">
                  <wp:posOffset>2884170</wp:posOffset>
                </wp:positionH>
                <wp:positionV relativeFrom="paragraph">
                  <wp:posOffset>71120</wp:posOffset>
                </wp:positionV>
                <wp:extent cx="0" cy="3705225"/>
                <wp:effectExtent l="76200" t="38100" r="57150" b="9525"/>
                <wp:wrapNone/>
                <wp:docPr id="12325" name="Straight Arrow Connector 12325"/>
                <wp:cNvGraphicFramePr/>
                <a:graphic xmlns:a="http://schemas.openxmlformats.org/drawingml/2006/main">
                  <a:graphicData uri="http://schemas.microsoft.com/office/word/2010/wordprocessingShape">
                    <wps:wsp>
                      <wps:cNvCnPr/>
                      <wps:spPr>
                        <a:xfrm flipV="1">
                          <a:off x="0" y="0"/>
                          <a:ext cx="0" cy="3705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9F340B" id="Straight Arrow Connector 12325" o:spid="_x0000_s1026" type="#_x0000_t32" style="position:absolute;margin-left:227.1pt;margin-top:5.6pt;width:0;height:291.75pt;flip:y;z-index:25154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" strokecolor="#5b9bd5 [3204]" strokeweight=".5pt">
                <v:stroke endarrow="block" joinstyle="miter"/>
              </v:shape>
            </w:pict>
          </mc:Fallback>
        </mc:AlternateContent>
      </w:r>
      <w:r w:rsidR="00F04025" w:rsidRPr="00A77AF6">
        <w:rPr>
          <w:noProof/>
          <w:lang w:eastAsia="en-GB"/>
        </w:rPr>
        <mc:AlternateContent>
          <mc:Choice Requires="wps">
            <w:drawing>
              <wp:anchor distT="0" distB="0" distL="114300" distR="114300" simplePos="0" relativeHeight="251387392" behindDoc="0" locked="0" layoutInCell="1" allowOverlap="1" wp14:anchorId="135A64CB" wp14:editId="31DF7301">
                <wp:simplePos x="0" y="0"/>
                <wp:positionH relativeFrom="column">
                  <wp:posOffset>2665095</wp:posOffset>
                </wp:positionH>
                <wp:positionV relativeFrom="paragraph">
                  <wp:posOffset>71120</wp:posOffset>
                </wp:positionV>
                <wp:extent cx="476250" cy="0"/>
                <wp:effectExtent l="38100" t="76200" r="19050" b="95250"/>
                <wp:wrapNone/>
                <wp:docPr id="211" name="Straight Arrow Connector 211"/>
                <wp:cNvGraphicFramePr/>
                <a:graphic xmlns:a="http://schemas.openxmlformats.org/drawingml/2006/main">
                  <a:graphicData uri="http://schemas.microsoft.com/office/word/2010/wordprocessingShape">
                    <wps:wsp>
                      <wps:cNvCnPr/>
                      <wps:spPr>
                        <a:xfrm>
                          <a:off x="0" y="0"/>
                          <a:ext cx="47625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C1ADA9" id="Straight Arrow Connector 211" o:spid="_x0000_s1026" type="#_x0000_t32" style="position:absolute;margin-left:209.85pt;margin-top:5.6pt;width:37.5pt;height:0;z-index:25138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" strokecolor="#5b9bd5 [3204]" strokeweight=".5pt">
                <v:stroke startarrow="block" endarrow="block" joinstyle="miter"/>
              </v:shape>
            </w:pict>
          </mc:Fallback>
        </mc:AlternateContent>
      </w:r>
      <w:r w:rsidR="00BF5372" w:rsidRPr="00A77AF6">
        <w:rPr>
          <w:noProof/>
          <w:lang w:eastAsia="en-GB"/>
        </w:rPr>
        <mc:AlternateContent>
          <mc:Choice Requires="wps">
            <w:drawing>
              <wp:anchor distT="0" distB="0" distL="114300" distR="114300" simplePos="0" relativeHeight="251442688" behindDoc="0" locked="0" layoutInCell="1" allowOverlap="1" wp14:anchorId="05FCEF7A" wp14:editId="644BAE79">
                <wp:simplePos x="0" y="0"/>
                <wp:positionH relativeFrom="column">
                  <wp:posOffset>5703570</wp:posOffset>
                </wp:positionH>
                <wp:positionV relativeFrom="paragraph">
                  <wp:posOffset>13970</wp:posOffset>
                </wp:positionV>
                <wp:extent cx="428625" cy="0"/>
                <wp:effectExtent l="0" t="76200" r="9525" b="95250"/>
                <wp:wrapNone/>
                <wp:docPr id="12292" name="Straight Arrow Connector 12292"/>
                <wp:cNvGraphicFramePr/>
                <a:graphic xmlns:a="http://schemas.openxmlformats.org/drawingml/2006/main">
                  <a:graphicData uri="http://schemas.microsoft.com/office/word/2010/wordprocessingShape">
                    <wps:wsp>
                      <wps:cNvCnPr/>
                      <wps:spPr>
                        <a:xfrm>
                          <a:off x="0" y="0"/>
                          <a:ext cx="4286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D36DA6" id="Straight Arrow Connector 12292" o:spid="_x0000_s1026" type="#_x0000_t32" style="position:absolute;margin-left:449.1pt;margin-top:1.1pt;width:33.75pt;height:0;z-index:25144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" strokecolor="#5b9bd5 [3204]" strokeweight=".5pt">
                <v:stroke endarrow="block" joinstyle="miter"/>
              </v:shape>
            </w:pict>
          </mc:Fallback>
        </mc:AlternateContent>
      </w:r>
    </w:p>
    <w:p w14:paraId="1BBA024D" w14:textId="79475DAA" w:rsidR="00F768D7" w:rsidRPr="00A77AF6" w:rsidRDefault="00F768D7"/>
    <w:p w14:paraId="61B18E4A" w14:textId="48F671D9" w:rsidR="007A7694" w:rsidRPr="00A77AF6" w:rsidRDefault="007A7694"/>
    <w:p w14:paraId="263A1D84" w14:textId="7B2EC523" w:rsidR="00F768D7" w:rsidRPr="00A77AF6" w:rsidRDefault="00F768D7"/>
    <w:p w14:paraId="5812EC2A" w14:textId="0559B678" w:rsidR="00F768D7" w:rsidRPr="00A77AF6" w:rsidRDefault="00F04025">
      <w:r w:rsidRPr="00A77AF6">
        <w:rPr>
          <w:noProof/>
          <w:lang w:eastAsia="en-GB"/>
        </w:rPr>
        <mc:AlternateContent>
          <mc:Choice Requires="wps">
            <w:drawing>
              <wp:anchor distT="0" distB="0" distL="114300" distR="114300" simplePos="0" relativeHeight="251393536" behindDoc="0" locked="0" layoutInCell="1" allowOverlap="1" wp14:anchorId="50D686EF" wp14:editId="4671523D">
                <wp:simplePos x="0" y="0"/>
                <wp:positionH relativeFrom="column">
                  <wp:posOffset>3465195</wp:posOffset>
                </wp:positionH>
                <wp:positionV relativeFrom="paragraph">
                  <wp:posOffset>5080</wp:posOffset>
                </wp:positionV>
                <wp:extent cx="0" cy="504825"/>
                <wp:effectExtent l="76200" t="0" r="57150" b="47625"/>
                <wp:wrapNone/>
                <wp:docPr id="212" name="Straight Arrow Connector 212"/>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02D5C4" id="Straight Arrow Connector 212" o:spid="_x0000_s1026" type="#_x0000_t32" style="position:absolute;margin-left:272.85pt;margin-top:.4pt;width:0;height:39.75pt;z-index:25139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" strokecolor="#5b9bd5 [3204]" strokeweight=".5pt">
                <v:stroke endarrow="block" joinstyle="miter"/>
              </v:shape>
            </w:pict>
          </mc:Fallback>
        </mc:AlternateContent>
      </w:r>
      <w:r w:rsidRPr="00A77AF6">
        <w:rPr>
          <w:noProof/>
          <w:lang w:eastAsia="en-GB"/>
        </w:rPr>
        <mc:AlternateContent>
          <mc:Choice Requires="wps">
            <w:drawing>
              <wp:anchor distT="0" distB="0" distL="114300" distR="114300" simplePos="0" relativeHeight="251399680" behindDoc="0" locked="0" layoutInCell="1" allowOverlap="1" wp14:anchorId="5DB9DCA7" wp14:editId="046CD8C9">
                <wp:simplePos x="0" y="0"/>
                <wp:positionH relativeFrom="column">
                  <wp:posOffset>4531995</wp:posOffset>
                </wp:positionH>
                <wp:positionV relativeFrom="paragraph">
                  <wp:posOffset>5080</wp:posOffset>
                </wp:positionV>
                <wp:extent cx="0" cy="504825"/>
                <wp:effectExtent l="76200" t="0" r="57150" b="47625"/>
                <wp:wrapNone/>
                <wp:docPr id="214" name="Straight Arrow Connector 214"/>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FE43A0" id="Straight Arrow Connector 214" o:spid="_x0000_s1026" type="#_x0000_t32" style="position:absolute;margin-left:356.85pt;margin-top:.4pt;width:0;height:39.75pt;z-index:25139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" strokecolor="#5b9bd5 [3204]" strokeweight=".5pt">
                <v:stroke endarrow="block" joinstyle="miter"/>
              </v:shape>
            </w:pict>
          </mc:Fallback>
        </mc:AlternateContent>
      </w:r>
    </w:p>
    <w:p w14:paraId="7C804368" w14:textId="786A9C66" w:rsidR="00F768D7" w:rsidRPr="00A77AF6" w:rsidRDefault="00F04025">
      <w:r w:rsidRPr="00A77AF6">
        <w:rPr>
          <w:noProof/>
          <w:lang w:eastAsia="en-GB"/>
        </w:rPr>
        <mc:AlternateContent>
          <mc:Choice Requires="wps">
            <w:drawing>
              <wp:anchor distT="0" distB="0" distL="114300" distR="114300" simplePos="0" relativeHeight="251381248" behindDoc="0" locked="0" layoutInCell="1" allowOverlap="1" wp14:anchorId="4107431A" wp14:editId="5EC55CB4">
                <wp:simplePos x="0" y="0"/>
                <wp:positionH relativeFrom="column">
                  <wp:posOffset>4189095</wp:posOffset>
                </wp:positionH>
                <wp:positionV relativeFrom="paragraph">
                  <wp:posOffset>224155</wp:posOffset>
                </wp:positionV>
                <wp:extent cx="685800" cy="3714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685800" cy="3714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E859CB" w14:textId="77777777" w:rsidR="009C0325" w:rsidRPr="00613A28" w:rsidRDefault="009C0325" w:rsidP="00236458">
                            <w:pPr>
                              <w:jc w:val="center"/>
                              <w:rPr>
                                <w:color w:val="000000" w:themeColor="text1"/>
                              </w:rPr>
                            </w:pPr>
                            <w:r w:rsidRPr="00613A28">
                              <w:rPr>
                                <w:color w:val="000000" w:themeColor="text1"/>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07431A" id="Rectangle 57" o:spid="_x0000_s1095" style="position:absolute;margin-left:329.85pt;margin-top:17.65pt;width:54pt;height:29.25pt;z-index:25138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" fillcolor="white [3212]" strokecolor="#1f4d78 [1604]" strokeweight="1pt">
                <v:textbox>
                  <w:txbxContent>
                    <w:p w14:paraId="1AE859CB" w14:textId="77777777" w:rsidR="009C0325" w:rsidRPr="00613A28" w:rsidRDefault="009C0325" w:rsidP="00236458">
                      <w:pPr>
                        <w:jc w:val="center"/>
                        <w:rPr>
                          <w:color w:val="000000" w:themeColor="text1"/>
                        </w:rPr>
                      </w:pPr>
                      <w:r w:rsidRPr="00613A28">
                        <w:rPr>
                          <w:color w:val="000000" w:themeColor="text1"/>
                        </w:rPr>
                        <w:t>Yes</w:t>
                      </w:r>
                    </w:p>
                  </w:txbxContent>
                </v:textbox>
              </v:rect>
            </w:pict>
          </mc:Fallback>
        </mc:AlternateContent>
      </w:r>
      <w:r w:rsidRPr="00A77AF6">
        <w:rPr>
          <w:noProof/>
          <w:lang w:eastAsia="en-GB"/>
        </w:rPr>
        <mc:AlternateContent>
          <mc:Choice Requires="wps">
            <w:drawing>
              <wp:anchor distT="0" distB="0" distL="114300" distR="114300" simplePos="0" relativeHeight="251405824" behindDoc="0" locked="0" layoutInCell="1" allowOverlap="1" wp14:anchorId="364E9F09" wp14:editId="54823C62">
                <wp:simplePos x="0" y="0"/>
                <wp:positionH relativeFrom="column">
                  <wp:posOffset>3141345</wp:posOffset>
                </wp:positionH>
                <wp:positionV relativeFrom="paragraph">
                  <wp:posOffset>214630</wp:posOffset>
                </wp:positionV>
                <wp:extent cx="685800" cy="371475"/>
                <wp:effectExtent l="0" t="0" r="19050" b="28575"/>
                <wp:wrapNone/>
                <wp:docPr id="58" name="Rectangle 58"/>
                <wp:cNvGraphicFramePr/>
                <a:graphic xmlns:a="http://schemas.openxmlformats.org/drawingml/2006/main">
                  <a:graphicData uri="http://schemas.microsoft.com/office/word/2010/wordprocessingShape">
                    <wps:wsp>
                      <wps:cNvSpPr/>
                      <wps:spPr>
                        <a:xfrm>
                          <a:off x="0" y="0"/>
                          <a:ext cx="685800" cy="3714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06933BA" w14:textId="77777777" w:rsidR="009C0325" w:rsidRPr="00613A28" w:rsidRDefault="009C0325" w:rsidP="00236458">
                            <w:pPr>
                              <w:jc w:val="center"/>
                              <w:rPr>
                                <w:color w:val="000000" w:themeColor="text1"/>
                              </w:rPr>
                            </w:pPr>
                            <w:r w:rsidRPr="00613A28">
                              <w:rPr>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4E9F09" id="Rectangle 58" o:spid="_x0000_s1096" style="position:absolute;margin-left:247.35pt;margin-top:16.9pt;width:54pt;height:29.25pt;z-index:25140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" filled="f" strokecolor="#1f4d78 [1604]" strokeweight="1pt">
                <v:textbox>
                  <w:txbxContent>
                    <w:p w14:paraId="106933BA" w14:textId="77777777" w:rsidR="009C0325" w:rsidRPr="00613A28" w:rsidRDefault="009C0325" w:rsidP="00236458">
                      <w:pPr>
                        <w:jc w:val="center"/>
                        <w:rPr>
                          <w:color w:val="000000" w:themeColor="text1"/>
                        </w:rPr>
                      </w:pPr>
                      <w:r w:rsidRPr="00613A28">
                        <w:rPr>
                          <w:color w:val="000000" w:themeColor="text1"/>
                        </w:rPr>
                        <w:t>No</w:t>
                      </w:r>
                    </w:p>
                  </w:txbxContent>
                </v:textbox>
              </v:rect>
            </w:pict>
          </mc:Fallback>
        </mc:AlternateContent>
      </w:r>
    </w:p>
    <w:p w14:paraId="027D7CC9" w14:textId="0EE59DE2" w:rsidR="00A74592" w:rsidRPr="00A77AF6" w:rsidRDefault="00A42370">
      <w:pPr>
        <w:rPr>
          <w:color w:val="000000" w:themeColor="text1"/>
          <w:sz w:val="21"/>
          <w:szCs w:val="21"/>
        </w:rPr>
      </w:pPr>
      <w:r w:rsidRPr="00A77AF6">
        <w:rPr>
          <w:noProof/>
          <w:lang w:eastAsia="en-GB"/>
        </w:rPr>
        <mc:AlternateContent>
          <mc:Choice Requires="wps">
            <w:drawing>
              <wp:anchor distT="0" distB="0" distL="114300" distR="114300" simplePos="0" relativeHeight="251709952" behindDoc="0" locked="0" layoutInCell="1" allowOverlap="1" wp14:anchorId="19E69C01" wp14:editId="23535106">
                <wp:simplePos x="0" y="0"/>
                <wp:positionH relativeFrom="column">
                  <wp:posOffset>7789545</wp:posOffset>
                </wp:positionH>
                <wp:positionV relativeFrom="paragraph">
                  <wp:posOffset>1567180</wp:posOffset>
                </wp:positionV>
                <wp:extent cx="9525" cy="933450"/>
                <wp:effectExtent l="76200" t="0" r="66675" b="57150"/>
                <wp:wrapNone/>
                <wp:docPr id="12366" name="Straight Arrow Connector 12366"/>
                <wp:cNvGraphicFramePr/>
                <a:graphic xmlns:a="http://schemas.openxmlformats.org/drawingml/2006/main">
                  <a:graphicData uri="http://schemas.microsoft.com/office/word/2010/wordprocessingShape">
                    <wps:wsp>
                      <wps:cNvCnPr/>
                      <wps:spPr>
                        <a:xfrm flipH="1">
                          <a:off x="0" y="0"/>
                          <a:ext cx="9525" cy="933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C8B398" id="Straight Arrow Connector 12366" o:spid="_x0000_s1026" type="#_x0000_t32" style="position:absolute;margin-left:613.35pt;margin-top:123.4pt;width:.75pt;height:73.5pt;flip:x;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" strokecolor="#5b9bd5 [3204]" strokeweight=".5pt">
                <v:stroke endarrow="block" joinstyle="miter"/>
              </v:shape>
            </w:pict>
          </mc:Fallback>
        </mc:AlternateContent>
      </w:r>
      <w:r w:rsidRPr="00A77AF6">
        <w:rPr>
          <w:noProof/>
          <w:lang w:eastAsia="en-GB"/>
        </w:rPr>
        <mc:AlternateContent>
          <mc:Choice Requires="wps">
            <w:drawing>
              <wp:anchor distT="0" distB="0" distL="114300" distR="114300" simplePos="0" relativeHeight="251703808" behindDoc="0" locked="0" layoutInCell="1" allowOverlap="1" wp14:anchorId="74B6DBE3" wp14:editId="4E58095A">
                <wp:simplePos x="0" y="0"/>
                <wp:positionH relativeFrom="column">
                  <wp:posOffset>7808595</wp:posOffset>
                </wp:positionH>
                <wp:positionV relativeFrom="paragraph">
                  <wp:posOffset>662305</wp:posOffset>
                </wp:positionV>
                <wp:extent cx="9525" cy="523875"/>
                <wp:effectExtent l="76200" t="0" r="66675" b="47625"/>
                <wp:wrapNone/>
                <wp:docPr id="12365" name="Straight Arrow Connector 12365"/>
                <wp:cNvGraphicFramePr/>
                <a:graphic xmlns:a="http://schemas.openxmlformats.org/drawingml/2006/main">
                  <a:graphicData uri="http://schemas.microsoft.com/office/word/2010/wordprocessingShape">
                    <wps:wsp>
                      <wps:cNvCnPr/>
                      <wps:spPr>
                        <a:xfrm flipH="1">
                          <a:off x="0" y="0"/>
                          <a:ext cx="9525" cy="523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EBDF93" id="Straight Arrow Connector 12365" o:spid="_x0000_s1026" type="#_x0000_t32" style="position:absolute;margin-left:614.85pt;margin-top:52.15pt;width:.75pt;height:41.25pt;flip:x;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" strokecolor="#5b9bd5 [3204]" strokeweight=".5pt">
                <v:stroke endarrow="block" joinstyle="miter"/>
              </v:shape>
            </w:pict>
          </mc:Fallback>
        </mc:AlternateContent>
      </w:r>
      <w:r w:rsidRPr="00A77AF6">
        <w:rPr>
          <w:noProof/>
          <w:lang w:eastAsia="en-GB"/>
        </w:rPr>
        <mc:AlternateContent>
          <mc:Choice Requires="wps">
            <w:drawing>
              <wp:anchor distT="0" distB="0" distL="114300" distR="114300" simplePos="0" relativeHeight="251424256" behindDoc="0" locked="0" layoutInCell="1" allowOverlap="1" wp14:anchorId="25CF9497" wp14:editId="226BA80D">
                <wp:simplePos x="0" y="0"/>
                <wp:positionH relativeFrom="column">
                  <wp:posOffset>7494270</wp:posOffset>
                </wp:positionH>
                <wp:positionV relativeFrom="paragraph">
                  <wp:posOffset>1176655</wp:posOffset>
                </wp:positionV>
                <wp:extent cx="685800" cy="371475"/>
                <wp:effectExtent l="0" t="0" r="19050" b="28575"/>
                <wp:wrapNone/>
                <wp:docPr id="222" name="Rectangle 222"/>
                <wp:cNvGraphicFramePr/>
                <a:graphic xmlns:a="http://schemas.openxmlformats.org/drawingml/2006/main">
                  <a:graphicData uri="http://schemas.microsoft.com/office/word/2010/wordprocessingShape">
                    <wps:wsp>
                      <wps:cNvSpPr/>
                      <wps:spPr>
                        <a:xfrm>
                          <a:off x="0" y="0"/>
                          <a:ext cx="685800" cy="3714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B5AA431" w14:textId="77777777" w:rsidR="009C0325" w:rsidRPr="00613A28" w:rsidRDefault="009C0325" w:rsidP="00050C09">
                            <w:pPr>
                              <w:jc w:val="center"/>
                              <w:rPr>
                                <w:color w:val="000000" w:themeColor="text1"/>
                              </w:rPr>
                            </w:pPr>
                            <w:r w:rsidRPr="00613A28">
                              <w:rPr>
                                <w:color w:val="000000" w:themeColor="text1"/>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CF9497" id="Rectangle 222" o:spid="_x0000_s1097" style="position:absolute;margin-left:590.1pt;margin-top:92.65pt;width:54pt;height:29.25pt;z-index:25142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" filled="f" strokecolor="#1f4d78 [1604]" strokeweight="1pt">
                <v:textbox>
                  <w:txbxContent>
                    <w:p w14:paraId="0B5AA431" w14:textId="77777777" w:rsidR="009C0325" w:rsidRPr="00613A28" w:rsidRDefault="009C0325" w:rsidP="00050C09">
                      <w:pPr>
                        <w:jc w:val="center"/>
                        <w:rPr>
                          <w:color w:val="000000" w:themeColor="text1"/>
                        </w:rPr>
                      </w:pPr>
                      <w:r w:rsidRPr="00613A28">
                        <w:rPr>
                          <w:color w:val="000000" w:themeColor="text1"/>
                        </w:rPr>
                        <w:t>Yes</w:t>
                      </w:r>
                    </w:p>
                  </w:txbxContent>
                </v:textbox>
              </v:rect>
            </w:pict>
          </mc:Fallback>
        </mc:AlternateContent>
      </w:r>
      <w:r w:rsidRPr="00A77AF6">
        <w:rPr>
          <w:noProof/>
          <w:lang w:eastAsia="en-GB"/>
        </w:rPr>
        <mc:AlternateContent>
          <mc:Choice Requires="wps">
            <w:drawing>
              <wp:anchor distT="0" distB="0" distL="114300" distR="114300" simplePos="0" relativeHeight="251691520" behindDoc="0" locked="0" layoutInCell="1" allowOverlap="1" wp14:anchorId="34593927" wp14:editId="171AB2D9">
                <wp:simplePos x="0" y="0"/>
                <wp:positionH relativeFrom="column">
                  <wp:posOffset>6675120</wp:posOffset>
                </wp:positionH>
                <wp:positionV relativeFrom="paragraph">
                  <wp:posOffset>1519555</wp:posOffset>
                </wp:positionV>
                <wp:extent cx="9525" cy="276225"/>
                <wp:effectExtent l="38100" t="0" r="66675" b="47625"/>
                <wp:wrapNone/>
                <wp:docPr id="12359" name="Straight Arrow Connector 12359"/>
                <wp:cNvGraphicFramePr/>
                <a:graphic xmlns:a="http://schemas.openxmlformats.org/drawingml/2006/main">
                  <a:graphicData uri="http://schemas.microsoft.com/office/word/2010/wordprocessingShape">
                    <wps:wsp>
                      <wps:cNvCnPr/>
                      <wps:spPr>
                        <a:xfrm>
                          <a:off x="0" y="0"/>
                          <a:ext cx="9525"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AAF91B" id="Straight Arrow Connector 12359" o:spid="_x0000_s1026" type="#_x0000_t32" style="position:absolute;margin-left:525.6pt;margin-top:119.65pt;width:.75pt;height:21.75pt;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" strokecolor="#5b9bd5 [3204]" strokeweight=".5pt">
                <v:stroke endarrow="block" joinstyle="miter"/>
              </v:shape>
            </w:pict>
          </mc:Fallback>
        </mc:AlternateContent>
      </w:r>
      <w:r w:rsidRPr="00A77AF6">
        <w:rPr>
          <w:noProof/>
          <w:lang w:eastAsia="en-GB"/>
        </w:rPr>
        <mc:AlternateContent>
          <mc:Choice Requires="wps">
            <w:drawing>
              <wp:anchor distT="0" distB="0" distL="114300" distR="114300" simplePos="0" relativeHeight="251697664" behindDoc="0" locked="0" layoutInCell="1" allowOverlap="1" wp14:anchorId="0C5EEAFC" wp14:editId="764BE42E">
                <wp:simplePos x="0" y="0"/>
                <wp:positionH relativeFrom="column">
                  <wp:posOffset>6703695</wp:posOffset>
                </wp:positionH>
                <wp:positionV relativeFrom="paragraph">
                  <wp:posOffset>2224405</wp:posOffset>
                </wp:positionV>
                <wp:extent cx="0" cy="266700"/>
                <wp:effectExtent l="76200" t="0" r="57150" b="57150"/>
                <wp:wrapNone/>
                <wp:docPr id="12360" name="Straight Arrow Connector 12360"/>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05749B" id="Straight Arrow Connector 12360" o:spid="_x0000_s1026" type="#_x0000_t32" style="position:absolute;margin-left:527.85pt;margin-top:175.15pt;width:0;height:21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" strokecolor="#5b9bd5 [3204]" strokeweight=".5pt">
                <v:stroke endarrow="block" joinstyle="miter"/>
              </v:shape>
            </w:pict>
          </mc:Fallback>
        </mc:AlternateContent>
      </w:r>
      <w:r w:rsidRPr="00A77AF6">
        <w:rPr>
          <w:noProof/>
          <w:lang w:eastAsia="en-GB"/>
        </w:rPr>
        <mc:AlternateContent>
          <mc:Choice Requires="wps">
            <w:drawing>
              <wp:anchor distT="0" distB="0" distL="114300" distR="114300" simplePos="0" relativeHeight="251685376" behindDoc="0" locked="0" layoutInCell="1" allowOverlap="1" wp14:anchorId="35AD2FAF" wp14:editId="587D9F23">
                <wp:simplePos x="0" y="0"/>
                <wp:positionH relativeFrom="column">
                  <wp:posOffset>6646545</wp:posOffset>
                </wp:positionH>
                <wp:positionV relativeFrom="paragraph">
                  <wp:posOffset>671830</wp:posOffset>
                </wp:positionV>
                <wp:extent cx="9525" cy="485775"/>
                <wp:effectExtent l="76200" t="0" r="66675" b="47625"/>
                <wp:wrapNone/>
                <wp:docPr id="12358" name="Straight Arrow Connector 12358"/>
                <wp:cNvGraphicFramePr/>
                <a:graphic xmlns:a="http://schemas.openxmlformats.org/drawingml/2006/main">
                  <a:graphicData uri="http://schemas.microsoft.com/office/word/2010/wordprocessingShape">
                    <wps:wsp>
                      <wps:cNvCnPr/>
                      <wps:spPr>
                        <a:xfrm flipH="1">
                          <a:off x="0" y="0"/>
                          <a:ext cx="9525" cy="485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AAE4F2" id="Straight Arrow Connector 12358" o:spid="_x0000_s1026" type="#_x0000_t32" style="position:absolute;margin-left:523.35pt;margin-top:52.9pt;width:.75pt;height:38.25pt;flip:x;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" strokecolor="#5b9bd5 [3204]" strokeweight=".5pt">
                <v:stroke endarrow="block" joinstyle="miter"/>
              </v:shape>
            </w:pict>
          </mc:Fallback>
        </mc:AlternateContent>
      </w:r>
      <w:r w:rsidRPr="00A77AF6">
        <w:rPr>
          <w:noProof/>
          <w:lang w:eastAsia="en-GB"/>
        </w:rPr>
        <mc:AlternateContent>
          <mc:Choice Requires="wps">
            <w:drawing>
              <wp:anchor distT="0" distB="0" distL="114300" distR="114300" simplePos="0" relativeHeight="251430400" behindDoc="0" locked="0" layoutInCell="1" allowOverlap="1" wp14:anchorId="09282024" wp14:editId="664EE73E">
                <wp:simplePos x="0" y="0"/>
                <wp:positionH relativeFrom="column">
                  <wp:posOffset>5722620</wp:posOffset>
                </wp:positionH>
                <wp:positionV relativeFrom="paragraph">
                  <wp:posOffset>1357629</wp:posOffset>
                </wp:positionV>
                <wp:extent cx="571500" cy="0"/>
                <wp:effectExtent l="0" t="0" r="19050" b="19050"/>
                <wp:wrapNone/>
                <wp:docPr id="12289" name="Straight Connector 12289"/>
                <wp:cNvGraphicFramePr/>
                <a:graphic xmlns:a="http://schemas.openxmlformats.org/drawingml/2006/main">
                  <a:graphicData uri="http://schemas.microsoft.com/office/word/2010/wordprocessingShape">
                    <wps:wsp>
                      <wps:cNvCnPr/>
                      <wps:spPr>
                        <a:xfrm flipH="1">
                          <a:off x="0" y="0"/>
                          <a:ext cx="571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B25687" id="Straight Connector 12289" o:spid="_x0000_s1026" style="position:absolute;flip:x;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6pt,106.9pt" to="495.6pt,1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" strokecolor="#5b9bd5 [3204]" strokeweight=".5pt">
                <v:stroke joinstyle="miter"/>
              </v:line>
            </w:pict>
          </mc:Fallback>
        </mc:AlternateContent>
      </w:r>
      <w:r w:rsidRPr="00A77AF6">
        <w:rPr>
          <w:noProof/>
          <w:lang w:eastAsia="en-GB"/>
        </w:rPr>
        <mc:AlternateContent>
          <mc:Choice Requires="wps">
            <w:drawing>
              <wp:anchor distT="0" distB="0" distL="114300" distR="114300" simplePos="0" relativeHeight="251679232" behindDoc="0" locked="0" layoutInCell="1" allowOverlap="1" wp14:anchorId="2F760D7F" wp14:editId="7C0A1414">
                <wp:simplePos x="0" y="0"/>
                <wp:positionH relativeFrom="column">
                  <wp:posOffset>6381750</wp:posOffset>
                </wp:positionH>
                <wp:positionV relativeFrom="paragraph">
                  <wp:posOffset>1799590</wp:posOffset>
                </wp:positionV>
                <wp:extent cx="638175" cy="428625"/>
                <wp:effectExtent l="0" t="0" r="28575" b="19050"/>
                <wp:wrapNone/>
                <wp:docPr id="12357" name="Rectangle 12357"/>
                <wp:cNvGraphicFramePr/>
                <a:graphic xmlns:a="http://schemas.openxmlformats.org/drawingml/2006/main">
                  <a:graphicData uri="http://schemas.microsoft.com/office/word/2010/wordprocessingShape">
                    <wps:wsp>
                      <wps:cNvSpPr/>
                      <wps:spPr>
                        <a:xfrm>
                          <a:off x="0" y="0"/>
                          <a:ext cx="638175" cy="4286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5360E8" w14:textId="77777777" w:rsidR="009C0325" w:rsidRPr="00F04025" w:rsidRDefault="009C0325" w:rsidP="00A42370">
                            <w:pPr>
                              <w:jc w:val="center"/>
                              <w:rPr>
                                <w:color w:val="000000" w:themeColor="text1"/>
                                <w:sz w:val="21"/>
                                <w:szCs w:val="21"/>
                              </w:rPr>
                            </w:pPr>
                            <w:r>
                              <w:rPr>
                                <w:color w:val="000000" w:themeColor="text1"/>
                                <w:sz w:val="21"/>
                                <w:szCs w:val="21"/>
                              </w:rPr>
                              <w:t>Record reasons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60D7F" id="Rectangle 12357" o:spid="_x0000_s1098" style="position:absolute;margin-left:502.5pt;margin-top:141.7pt;width:50.25pt;height:33.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" fillcolor="white [3212]" strokecolor="#1f4d78 [1604]" strokeweight="1pt">
                <v:textbox>
                  <w:txbxContent>
                    <w:p w14:paraId="495360E8" w14:textId="77777777" w:rsidR="009C0325" w:rsidRPr="00F04025" w:rsidRDefault="009C0325" w:rsidP="00A42370">
                      <w:pPr>
                        <w:jc w:val="center"/>
                        <w:rPr>
                          <w:color w:val="000000" w:themeColor="text1"/>
                          <w:sz w:val="21"/>
                          <w:szCs w:val="21"/>
                        </w:rPr>
                      </w:pPr>
                      <w:r>
                        <w:rPr>
                          <w:color w:val="000000" w:themeColor="text1"/>
                          <w:sz w:val="21"/>
                          <w:szCs w:val="21"/>
                        </w:rPr>
                        <w:t>Record reasons</w:t>
                      </w:r>
                    </w:p>
                  </w:txbxContent>
                </v:textbox>
              </v:rect>
            </w:pict>
          </mc:Fallback>
        </mc:AlternateContent>
      </w:r>
      <w:r w:rsidRPr="00A77AF6">
        <w:rPr>
          <w:noProof/>
          <w:lang w:eastAsia="en-GB"/>
        </w:rPr>
        <mc:AlternateContent>
          <mc:Choice Requires="wps">
            <w:drawing>
              <wp:anchor distT="0" distB="0" distL="114300" distR="114300" simplePos="0" relativeHeight="251418112" behindDoc="0" locked="0" layoutInCell="1" allowOverlap="1" wp14:anchorId="08857B77" wp14:editId="29B14C50">
                <wp:simplePos x="0" y="0"/>
                <wp:positionH relativeFrom="column">
                  <wp:posOffset>6343650</wp:posOffset>
                </wp:positionH>
                <wp:positionV relativeFrom="paragraph">
                  <wp:posOffset>1161415</wp:posOffset>
                </wp:positionV>
                <wp:extent cx="685800" cy="371475"/>
                <wp:effectExtent l="0" t="0" r="19050" b="28575"/>
                <wp:wrapNone/>
                <wp:docPr id="221" name="Rectangle 221"/>
                <wp:cNvGraphicFramePr/>
                <a:graphic xmlns:a="http://schemas.openxmlformats.org/drawingml/2006/main">
                  <a:graphicData uri="http://schemas.microsoft.com/office/word/2010/wordprocessingShape">
                    <wps:wsp>
                      <wps:cNvSpPr/>
                      <wps:spPr>
                        <a:xfrm>
                          <a:off x="0" y="0"/>
                          <a:ext cx="685800" cy="3714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1A31D22" w14:textId="77777777" w:rsidR="009C0325" w:rsidRPr="00613A28" w:rsidRDefault="009C0325" w:rsidP="00050C09">
                            <w:pPr>
                              <w:jc w:val="center"/>
                              <w:rPr>
                                <w:color w:val="000000" w:themeColor="text1"/>
                              </w:rPr>
                            </w:pPr>
                            <w:r w:rsidRPr="00613A28">
                              <w:rPr>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857B77" id="Rectangle 221" o:spid="_x0000_s1099" style="position:absolute;margin-left:499.5pt;margin-top:91.45pt;width:54pt;height:29.25pt;z-index:25141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" filled="f" strokecolor="#1f4d78 [1604]" strokeweight="1pt">
                <v:textbox>
                  <w:txbxContent>
                    <w:p w14:paraId="01A31D22" w14:textId="77777777" w:rsidR="009C0325" w:rsidRPr="00613A28" w:rsidRDefault="009C0325" w:rsidP="00050C09">
                      <w:pPr>
                        <w:jc w:val="center"/>
                        <w:rPr>
                          <w:color w:val="000000" w:themeColor="text1"/>
                        </w:rPr>
                      </w:pPr>
                      <w:r w:rsidRPr="00613A28">
                        <w:rPr>
                          <w:color w:val="000000" w:themeColor="text1"/>
                        </w:rPr>
                        <w:t>No</w:t>
                      </w:r>
                    </w:p>
                  </w:txbxContent>
                </v:textbox>
              </v:rect>
            </w:pict>
          </mc:Fallback>
        </mc:AlternateContent>
      </w:r>
      <w:r w:rsidRPr="00A77AF6">
        <w:rPr>
          <w:noProof/>
          <w:lang w:eastAsia="en-GB"/>
        </w:rPr>
        <mc:AlternateContent>
          <mc:Choice Requires="wps">
            <w:drawing>
              <wp:anchor distT="0" distB="0" distL="114300" distR="114300" simplePos="0" relativeHeight="251673088" behindDoc="0" locked="0" layoutInCell="1" allowOverlap="1" wp14:anchorId="3CF8ABF3" wp14:editId="11C95515">
                <wp:simplePos x="0" y="0"/>
                <wp:positionH relativeFrom="column">
                  <wp:posOffset>3484245</wp:posOffset>
                </wp:positionH>
                <wp:positionV relativeFrom="paragraph">
                  <wp:posOffset>319405</wp:posOffset>
                </wp:positionV>
                <wp:extent cx="0" cy="238125"/>
                <wp:effectExtent l="76200" t="0" r="57150" b="47625"/>
                <wp:wrapNone/>
                <wp:docPr id="12355" name="Straight Arrow Connector 12355"/>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BE2B2A" id="Straight Arrow Connector 12355" o:spid="_x0000_s1026" type="#_x0000_t32" style="position:absolute;margin-left:274.35pt;margin-top:25.15pt;width:0;height:18.75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" strokecolor="#5b9bd5 [3204]" strokeweight=".5pt">
                <v:stroke endarrow="block" joinstyle="miter"/>
              </v:shape>
            </w:pict>
          </mc:Fallback>
        </mc:AlternateContent>
      </w:r>
      <w:r w:rsidRPr="00A77AF6">
        <w:rPr>
          <w:noProof/>
          <w:lang w:eastAsia="en-GB"/>
        </w:rPr>
        <mc:AlternateContent>
          <mc:Choice Requires="wps">
            <w:drawing>
              <wp:anchor distT="0" distB="0" distL="114300" distR="114300" simplePos="0" relativeHeight="251666944" behindDoc="0" locked="0" layoutInCell="1" allowOverlap="1" wp14:anchorId="048F4387" wp14:editId="73D1CD0F">
                <wp:simplePos x="0" y="0"/>
                <wp:positionH relativeFrom="column">
                  <wp:posOffset>4065270</wp:posOffset>
                </wp:positionH>
                <wp:positionV relativeFrom="paragraph">
                  <wp:posOffset>2291080</wp:posOffset>
                </wp:positionV>
                <wp:extent cx="9525" cy="209550"/>
                <wp:effectExtent l="38100" t="0" r="66675" b="57150"/>
                <wp:wrapNone/>
                <wp:docPr id="12354" name="Straight Arrow Connector 12354"/>
                <wp:cNvGraphicFramePr/>
                <a:graphic xmlns:a="http://schemas.openxmlformats.org/drawingml/2006/main">
                  <a:graphicData uri="http://schemas.microsoft.com/office/word/2010/wordprocessingShape">
                    <wps:wsp>
                      <wps:cNvCnPr/>
                      <wps:spPr>
                        <a:xfrm>
                          <a:off x="0" y="0"/>
                          <a:ext cx="9525"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5C4070" id="Straight Arrow Connector 12354" o:spid="_x0000_s1026" type="#_x0000_t32" style="position:absolute;margin-left:320.1pt;margin-top:180.4pt;width:.75pt;height:16.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" strokecolor="#5b9bd5 [3204]" strokeweight=".5pt">
                <v:stroke endarrow="block" joinstyle="miter"/>
              </v:shape>
            </w:pict>
          </mc:Fallback>
        </mc:AlternateContent>
      </w:r>
      <w:r w:rsidRPr="00A77AF6">
        <w:rPr>
          <w:noProof/>
          <w:lang w:eastAsia="en-GB"/>
        </w:rPr>
        <mc:AlternateContent>
          <mc:Choice Requires="wps">
            <w:drawing>
              <wp:anchor distT="0" distB="0" distL="114300" distR="114300" simplePos="0" relativeHeight="251660800" behindDoc="0" locked="0" layoutInCell="1" allowOverlap="1" wp14:anchorId="683C7FBB" wp14:editId="52B4AEC3">
                <wp:simplePos x="0" y="0"/>
                <wp:positionH relativeFrom="column">
                  <wp:posOffset>4046220</wp:posOffset>
                </wp:positionH>
                <wp:positionV relativeFrom="paragraph">
                  <wp:posOffset>1681480</wp:posOffset>
                </wp:positionV>
                <wp:extent cx="0" cy="200025"/>
                <wp:effectExtent l="76200" t="0" r="57150" b="47625"/>
                <wp:wrapNone/>
                <wp:docPr id="12353" name="Straight Arrow Connector 12353"/>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61DB4E" id="Straight Arrow Connector 12353" o:spid="_x0000_s1026" type="#_x0000_t32" style="position:absolute;margin-left:318.6pt;margin-top:132.4pt;width:0;height:15.75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" strokecolor="#5b9bd5 [3204]" strokeweight=".5pt">
                <v:stroke endarrow="block" joinstyle="miter"/>
              </v:shape>
            </w:pict>
          </mc:Fallback>
        </mc:AlternateContent>
      </w:r>
      <w:r w:rsidRPr="00A77AF6">
        <w:rPr>
          <w:noProof/>
          <w:lang w:eastAsia="en-GB"/>
        </w:rPr>
        <mc:AlternateContent>
          <mc:Choice Requires="wps">
            <w:drawing>
              <wp:anchor distT="0" distB="0" distL="114300" distR="114300" simplePos="0" relativeHeight="251528704" behindDoc="0" locked="0" layoutInCell="1" allowOverlap="1" wp14:anchorId="5F851448" wp14:editId="78A1417C">
                <wp:simplePos x="0" y="0"/>
                <wp:positionH relativeFrom="column">
                  <wp:posOffset>3293745</wp:posOffset>
                </wp:positionH>
                <wp:positionV relativeFrom="paragraph">
                  <wp:posOffset>1138555</wp:posOffset>
                </wp:positionV>
                <wp:extent cx="0" cy="219075"/>
                <wp:effectExtent l="76200" t="0" r="57150" b="47625"/>
                <wp:wrapNone/>
                <wp:docPr id="12321" name="Straight Arrow Connector 12321"/>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5B4434" id="Straight Arrow Connector 12321" o:spid="_x0000_s1026" type="#_x0000_t32" style="position:absolute;margin-left:259.35pt;margin-top:89.65pt;width:0;height:17.25pt;z-index:25152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" strokecolor="#5b9bd5 [3204]" strokeweight=".5pt">
                <v:stroke endarrow="block" joinstyle="miter"/>
              </v:shape>
            </w:pict>
          </mc:Fallback>
        </mc:AlternateContent>
      </w:r>
      <w:r w:rsidRPr="00A77AF6">
        <w:rPr>
          <w:noProof/>
          <w:lang w:eastAsia="en-GB"/>
        </w:rPr>
        <mc:AlternateContent>
          <mc:Choice Requires="wps">
            <w:drawing>
              <wp:anchor distT="0" distB="0" distL="114300" distR="114300" simplePos="0" relativeHeight="251654656" behindDoc="0" locked="0" layoutInCell="1" allowOverlap="1" wp14:anchorId="35DF6702" wp14:editId="5D5A194C">
                <wp:simplePos x="0" y="0"/>
                <wp:positionH relativeFrom="column">
                  <wp:posOffset>2903220</wp:posOffset>
                </wp:positionH>
                <wp:positionV relativeFrom="paragraph">
                  <wp:posOffset>2052955</wp:posOffset>
                </wp:positionV>
                <wp:extent cx="123825" cy="0"/>
                <wp:effectExtent l="0" t="0" r="28575" b="19050"/>
                <wp:wrapNone/>
                <wp:docPr id="60" name="Straight Connector 60"/>
                <wp:cNvGraphicFramePr/>
                <a:graphic xmlns:a="http://schemas.openxmlformats.org/drawingml/2006/main">
                  <a:graphicData uri="http://schemas.microsoft.com/office/word/2010/wordprocessingShape">
                    <wps:wsp>
                      <wps:cNvCnPr/>
                      <wps:spPr>
                        <a:xfrm>
                          <a:off x="0" y="0"/>
                          <a:ext cx="123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14CBC3" id="Straight Connector 60"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228.6pt,161.65pt" to="238.35pt,1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" strokecolor="#5b9bd5 [3204]" strokeweight=".5pt">
                <v:stroke joinstyle="miter"/>
              </v:line>
            </w:pict>
          </mc:Fallback>
        </mc:AlternateContent>
      </w:r>
      <w:r w:rsidRPr="00A77AF6">
        <w:rPr>
          <w:noProof/>
          <w:lang w:eastAsia="en-GB"/>
        </w:rPr>
        <mc:AlternateContent>
          <mc:Choice Requires="wps">
            <w:drawing>
              <wp:anchor distT="0" distB="0" distL="114300" distR="114300" simplePos="0" relativeHeight="251642368" behindDoc="0" locked="0" layoutInCell="1" allowOverlap="1" wp14:anchorId="67EF62E3" wp14:editId="64895E23">
                <wp:simplePos x="0" y="0"/>
                <wp:positionH relativeFrom="column">
                  <wp:posOffset>3312795</wp:posOffset>
                </wp:positionH>
                <wp:positionV relativeFrom="paragraph">
                  <wp:posOffset>1652905</wp:posOffset>
                </wp:positionV>
                <wp:extent cx="0" cy="228600"/>
                <wp:effectExtent l="76200" t="0" r="57150" b="57150"/>
                <wp:wrapNone/>
                <wp:docPr id="44" name="Straight Arrow Connector 4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E04365" id="Straight Arrow Connector 44" o:spid="_x0000_s1026" type="#_x0000_t32" style="position:absolute;margin-left:260.85pt;margin-top:130.15pt;width:0;height:18pt;z-index:25164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" strokecolor="#5b9bd5 [3204]" strokeweight=".5pt">
                <v:stroke endarrow="block" joinstyle="miter"/>
              </v:shape>
            </w:pict>
          </mc:Fallback>
        </mc:AlternateContent>
      </w:r>
      <w:r w:rsidRPr="00A77AF6">
        <w:rPr>
          <w:noProof/>
          <w:lang w:eastAsia="en-GB"/>
        </w:rPr>
        <mc:AlternateContent>
          <mc:Choice Requires="wps">
            <w:drawing>
              <wp:anchor distT="0" distB="0" distL="114300" distR="114300" simplePos="0" relativeHeight="251516416" behindDoc="0" locked="0" layoutInCell="1" allowOverlap="1" wp14:anchorId="6AB15A92" wp14:editId="04ED4347">
                <wp:simplePos x="0" y="0"/>
                <wp:positionH relativeFrom="column">
                  <wp:posOffset>3074670</wp:posOffset>
                </wp:positionH>
                <wp:positionV relativeFrom="paragraph">
                  <wp:posOffset>1396365</wp:posOffset>
                </wp:positionV>
                <wp:extent cx="457200" cy="285750"/>
                <wp:effectExtent l="0" t="0" r="19050" b="19050"/>
                <wp:wrapNone/>
                <wp:docPr id="12318" name="Rectangle 12318"/>
                <wp:cNvGraphicFramePr/>
                <a:graphic xmlns:a="http://schemas.openxmlformats.org/drawingml/2006/main">
                  <a:graphicData uri="http://schemas.microsoft.com/office/word/2010/wordprocessingShape">
                    <wps:wsp>
                      <wps:cNvSpPr/>
                      <wps:spPr>
                        <a:xfrm>
                          <a:off x="0" y="0"/>
                          <a:ext cx="457200" cy="285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BC85056" w14:textId="4C804733" w:rsidR="009C0325" w:rsidRPr="00B81ED0" w:rsidRDefault="009C0325" w:rsidP="0045538E">
                            <w:pPr>
                              <w:spacing w:after="0" w:line="240" w:lineRule="auto"/>
                              <w:jc w:val="center"/>
                              <w:rPr>
                                <w:color w:val="000000" w:themeColor="text1"/>
                                <w:sz w:val="21"/>
                                <w:szCs w:val="21"/>
                              </w:rPr>
                            </w:pPr>
                            <w:r w:rsidRPr="00FF507E">
                              <w:rPr>
                                <w:color w:val="000000" w:themeColor="text1"/>
                                <w:sz w:val="21"/>
                                <w:szCs w:val="21"/>
                              </w:rPr>
                              <w:t>Yes</w:t>
                            </w:r>
                            <w:r w:rsidRPr="00B81ED0">
                              <w:rPr>
                                <w:color w:val="000000" w:themeColor="text1"/>
                                <w:sz w:val="21"/>
                                <w:szCs w:val="21"/>
                              </w:rPr>
                              <w:t xml:space="preserve">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15A92" id="Rectangle 12318" o:spid="_x0000_s1100" style="position:absolute;margin-left:242.1pt;margin-top:109.95pt;width:36pt;height:22.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" filled="f" strokecolor="#1f4d78 [1604]" strokeweight="1pt">
                <v:textbox>
                  <w:txbxContent>
                    <w:p w14:paraId="5BC85056" w14:textId="4C804733" w:rsidR="009C0325" w:rsidRPr="00B81ED0" w:rsidRDefault="009C0325" w:rsidP="0045538E">
                      <w:pPr>
                        <w:spacing w:after="0" w:line="240" w:lineRule="auto"/>
                        <w:jc w:val="center"/>
                        <w:rPr>
                          <w:color w:val="000000" w:themeColor="text1"/>
                          <w:sz w:val="21"/>
                          <w:szCs w:val="21"/>
                        </w:rPr>
                      </w:pPr>
                      <w:r w:rsidRPr="00FF507E">
                        <w:rPr>
                          <w:color w:val="000000" w:themeColor="text1"/>
                          <w:sz w:val="21"/>
                          <w:szCs w:val="21"/>
                        </w:rPr>
                        <w:t>Yes</w:t>
                      </w:r>
                      <w:r w:rsidRPr="00B81ED0">
                        <w:rPr>
                          <w:color w:val="000000" w:themeColor="text1"/>
                          <w:sz w:val="21"/>
                          <w:szCs w:val="21"/>
                        </w:rPr>
                        <w:t xml:space="preserve"> No</w:t>
                      </w:r>
                    </w:p>
                  </w:txbxContent>
                </v:textbox>
              </v:rect>
            </w:pict>
          </mc:Fallback>
        </mc:AlternateContent>
      </w:r>
      <w:r w:rsidRPr="00A77AF6">
        <w:rPr>
          <w:noProof/>
          <w:lang w:eastAsia="en-GB"/>
        </w:rPr>
        <mc:AlternateContent>
          <mc:Choice Requires="wps">
            <w:drawing>
              <wp:anchor distT="0" distB="0" distL="114300" distR="114300" simplePos="0" relativeHeight="251648512" behindDoc="0" locked="0" layoutInCell="1" allowOverlap="1" wp14:anchorId="1B4AF434" wp14:editId="1D3AB71D">
                <wp:simplePos x="0" y="0"/>
                <wp:positionH relativeFrom="column">
                  <wp:posOffset>3741420</wp:posOffset>
                </wp:positionH>
                <wp:positionV relativeFrom="paragraph">
                  <wp:posOffset>1852930</wp:posOffset>
                </wp:positionV>
                <wp:extent cx="638175" cy="428625"/>
                <wp:effectExtent l="0" t="0" r="28575" b="28575"/>
                <wp:wrapNone/>
                <wp:docPr id="54" name="Rectangle 54"/>
                <wp:cNvGraphicFramePr/>
                <a:graphic xmlns:a="http://schemas.openxmlformats.org/drawingml/2006/main">
                  <a:graphicData uri="http://schemas.microsoft.com/office/word/2010/wordprocessingShape">
                    <wps:wsp>
                      <wps:cNvSpPr/>
                      <wps:spPr>
                        <a:xfrm>
                          <a:off x="0" y="0"/>
                          <a:ext cx="638175" cy="4286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EB85A4" w14:textId="482AE39F" w:rsidR="009C0325" w:rsidRPr="00F04025" w:rsidRDefault="009C0325" w:rsidP="00A42370">
                            <w:pPr>
                              <w:jc w:val="center"/>
                              <w:rPr>
                                <w:color w:val="000000" w:themeColor="text1"/>
                                <w:sz w:val="21"/>
                                <w:szCs w:val="21"/>
                              </w:rPr>
                            </w:pPr>
                            <w:r>
                              <w:rPr>
                                <w:color w:val="000000" w:themeColor="text1"/>
                                <w:sz w:val="21"/>
                                <w:szCs w:val="21"/>
                              </w:rPr>
                              <w:t>Record reasons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AF434" id="Rectangle 54" o:spid="_x0000_s1101" style="position:absolute;margin-left:294.6pt;margin-top:145.9pt;width:50.25pt;height:33.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" fillcolor="white [3212]" strokecolor="#1f4d78 [1604]" strokeweight="1pt">
                <v:textbox>
                  <w:txbxContent>
                    <w:p w14:paraId="32EB85A4" w14:textId="482AE39F" w:rsidR="009C0325" w:rsidRPr="00F04025" w:rsidRDefault="009C0325" w:rsidP="00A42370">
                      <w:pPr>
                        <w:jc w:val="center"/>
                        <w:rPr>
                          <w:color w:val="000000" w:themeColor="text1"/>
                          <w:sz w:val="21"/>
                          <w:szCs w:val="21"/>
                        </w:rPr>
                      </w:pPr>
                      <w:r>
                        <w:rPr>
                          <w:color w:val="000000" w:themeColor="text1"/>
                          <w:sz w:val="21"/>
                          <w:szCs w:val="21"/>
                        </w:rPr>
                        <w:t>Record reasons</w:t>
                      </w:r>
                    </w:p>
                  </w:txbxContent>
                </v:textbox>
              </v:rect>
            </w:pict>
          </mc:Fallback>
        </mc:AlternateContent>
      </w:r>
      <w:r w:rsidRPr="00A77AF6">
        <w:rPr>
          <w:noProof/>
          <w:lang w:eastAsia="en-GB"/>
        </w:rPr>
        <mc:AlternateContent>
          <mc:Choice Requires="wps">
            <w:drawing>
              <wp:anchor distT="0" distB="0" distL="114300" distR="114300" simplePos="0" relativeHeight="251362816" behindDoc="0" locked="0" layoutInCell="1" allowOverlap="1" wp14:anchorId="3A8E9B03" wp14:editId="708F8F7A">
                <wp:simplePos x="0" y="0"/>
                <wp:positionH relativeFrom="column">
                  <wp:posOffset>3007995</wp:posOffset>
                </wp:positionH>
                <wp:positionV relativeFrom="paragraph">
                  <wp:posOffset>1852930</wp:posOffset>
                </wp:positionV>
                <wp:extent cx="638175" cy="428625"/>
                <wp:effectExtent l="0" t="0" r="28575" b="28575"/>
                <wp:wrapNone/>
                <wp:docPr id="59" name="Rectangle 59"/>
                <wp:cNvGraphicFramePr/>
                <a:graphic xmlns:a="http://schemas.openxmlformats.org/drawingml/2006/main">
                  <a:graphicData uri="http://schemas.microsoft.com/office/word/2010/wordprocessingShape">
                    <wps:wsp>
                      <wps:cNvSpPr/>
                      <wps:spPr>
                        <a:xfrm>
                          <a:off x="0" y="0"/>
                          <a:ext cx="638175" cy="4286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48E2CC" w14:textId="7581D057" w:rsidR="009C0325" w:rsidRPr="00F04025" w:rsidRDefault="009C0325" w:rsidP="008D4C62">
                            <w:pPr>
                              <w:jc w:val="center"/>
                              <w:rPr>
                                <w:color w:val="000000" w:themeColor="text1"/>
                                <w:sz w:val="21"/>
                                <w:szCs w:val="21"/>
                              </w:rPr>
                            </w:pPr>
                            <w:r w:rsidRPr="00F04025">
                              <w:rPr>
                                <w:color w:val="000000" w:themeColor="text1"/>
                                <w:sz w:val="21"/>
                                <w:szCs w:val="21"/>
                              </w:rPr>
                              <w:t>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E9B03" id="Rectangle 59" o:spid="_x0000_s1102" style="position:absolute;margin-left:236.85pt;margin-top:145.9pt;width:50.25pt;height:33.75pt;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" fillcolor="white [3212]" strokecolor="#1f4d78 [1604]" strokeweight="1pt">
                <v:textbox>
                  <w:txbxContent>
                    <w:p w14:paraId="6248E2CC" w14:textId="7581D057" w:rsidR="009C0325" w:rsidRPr="00F04025" w:rsidRDefault="009C0325" w:rsidP="008D4C62">
                      <w:pPr>
                        <w:jc w:val="center"/>
                        <w:rPr>
                          <w:color w:val="000000" w:themeColor="text1"/>
                          <w:sz w:val="21"/>
                          <w:szCs w:val="21"/>
                        </w:rPr>
                      </w:pPr>
                      <w:r w:rsidRPr="00F04025">
                        <w:rPr>
                          <w:color w:val="000000" w:themeColor="text1"/>
                          <w:sz w:val="21"/>
                          <w:szCs w:val="21"/>
                        </w:rPr>
                        <w:t>Training</w:t>
                      </w:r>
                    </w:p>
                  </w:txbxContent>
                </v:textbox>
              </v:rect>
            </w:pict>
          </mc:Fallback>
        </mc:AlternateContent>
      </w:r>
      <w:r w:rsidRPr="00A77AF6">
        <w:rPr>
          <w:noProof/>
          <w:lang w:eastAsia="en-GB"/>
        </w:rPr>
        <mc:AlternateContent>
          <mc:Choice Requires="wps">
            <w:drawing>
              <wp:anchor distT="0" distB="0" distL="114300" distR="114300" simplePos="0" relativeHeight="251510272" behindDoc="0" locked="0" layoutInCell="1" allowOverlap="1" wp14:anchorId="0612B8EE" wp14:editId="4E802126">
                <wp:simplePos x="0" y="0"/>
                <wp:positionH relativeFrom="column">
                  <wp:posOffset>3789045</wp:posOffset>
                </wp:positionH>
                <wp:positionV relativeFrom="paragraph">
                  <wp:posOffset>1386840</wp:posOffset>
                </wp:positionV>
                <wp:extent cx="457200" cy="285750"/>
                <wp:effectExtent l="0" t="0" r="19050" b="19050"/>
                <wp:wrapNone/>
                <wp:docPr id="12316" name="Rectangle 12316"/>
                <wp:cNvGraphicFramePr/>
                <a:graphic xmlns:a="http://schemas.openxmlformats.org/drawingml/2006/main">
                  <a:graphicData uri="http://schemas.microsoft.com/office/word/2010/wordprocessingShape">
                    <wps:wsp>
                      <wps:cNvSpPr/>
                      <wps:spPr>
                        <a:xfrm>
                          <a:off x="0" y="0"/>
                          <a:ext cx="457200" cy="285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1B5BE9B" w14:textId="27799E11" w:rsidR="009C0325" w:rsidRPr="00FF507E" w:rsidRDefault="009C0325" w:rsidP="00410E4D">
                            <w:pPr>
                              <w:spacing w:after="0" w:line="240" w:lineRule="auto"/>
                              <w:jc w:val="center"/>
                              <w:rPr>
                                <w:color w:val="000000" w:themeColor="text1"/>
                                <w:sz w:val="21"/>
                                <w:szCs w:val="21"/>
                              </w:rPr>
                            </w:pPr>
                            <w:r>
                              <w:rPr>
                                <w:color w:val="000000" w:themeColor="text1"/>
                                <w:sz w:val="21"/>
                                <w:szCs w:val="2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2B8EE" id="Rectangle 12316" o:spid="_x0000_s1103" style="position:absolute;margin-left:298.35pt;margin-top:109.2pt;width:36pt;height:22.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" filled="f" strokecolor="#1f4d78 [1604]" strokeweight="1pt">
                <v:textbox>
                  <w:txbxContent>
                    <w:p w14:paraId="11B5BE9B" w14:textId="27799E11" w:rsidR="009C0325" w:rsidRPr="00FF507E" w:rsidRDefault="009C0325" w:rsidP="00410E4D">
                      <w:pPr>
                        <w:spacing w:after="0" w:line="240" w:lineRule="auto"/>
                        <w:jc w:val="center"/>
                        <w:rPr>
                          <w:color w:val="000000" w:themeColor="text1"/>
                          <w:sz w:val="21"/>
                          <w:szCs w:val="21"/>
                        </w:rPr>
                      </w:pPr>
                      <w:r>
                        <w:rPr>
                          <w:color w:val="000000" w:themeColor="text1"/>
                          <w:sz w:val="21"/>
                          <w:szCs w:val="21"/>
                        </w:rPr>
                        <w:t>No</w:t>
                      </w:r>
                    </w:p>
                  </w:txbxContent>
                </v:textbox>
              </v:rect>
            </w:pict>
          </mc:Fallback>
        </mc:AlternateContent>
      </w:r>
      <w:r w:rsidRPr="00A77AF6">
        <w:rPr>
          <w:noProof/>
          <w:lang w:eastAsia="en-GB"/>
        </w:rPr>
        <mc:AlternateContent>
          <mc:Choice Requires="wps">
            <w:drawing>
              <wp:anchor distT="0" distB="0" distL="114300" distR="114300" simplePos="0" relativeHeight="251534848" behindDoc="0" locked="0" layoutInCell="1" allowOverlap="1" wp14:anchorId="5A30AC0A" wp14:editId="248482F3">
                <wp:simplePos x="0" y="0"/>
                <wp:positionH relativeFrom="column">
                  <wp:posOffset>4036695</wp:posOffset>
                </wp:positionH>
                <wp:positionV relativeFrom="paragraph">
                  <wp:posOffset>1148715</wp:posOffset>
                </wp:positionV>
                <wp:extent cx="0" cy="219075"/>
                <wp:effectExtent l="76200" t="0" r="57150" b="47625"/>
                <wp:wrapNone/>
                <wp:docPr id="12322" name="Straight Arrow Connector 12322"/>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4557FF" id="Straight Arrow Connector 12322" o:spid="_x0000_s1026" type="#_x0000_t32" style="position:absolute;margin-left:317.85pt;margin-top:90.45pt;width:0;height:17.25pt;z-index:25153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" strokecolor="#5b9bd5 [3204]" strokeweight=".5pt">
                <v:stroke endarrow="block" joinstyle="miter"/>
              </v:shape>
            </w:pict>
          </mc:Fallback>
        </mc:AlternateContent>
      </w:r>
      <w:r w:rsidRPr="00A77AF6">
        <w:rPr>
          <w:noProof/>
          <w:lang w:eastAsia="en-GB"/>
        </w:rPr>
        <mc:AlternateContent>
          <mc:Choice Requires="wps">
            <w:drawing>
              <wp:anchor distT="0" distB="0" distL="114300" distR="114300" simplePos="0" relativeHeight="251504128" behindDoc="0" locked="0" layoutInCell="1" allowOverlap="1" wp14:anchorId="671D26F6" wp14:editId="0AA07D72">
                <wp:simplePos x="0" y="0"/>
                <wp:positionH relativeFrom="column">
                  <wp:posOffset>3112770</wp:posOffset>
                </wp:positionH>
                <wp:positionV relativeFrom="paragraph">
                  <wp:posOffset>557531</wp:posOffset>
                </wp:positionV>
                <wp:extent cx="1076325" cy="590550"/>
                <wp:effectExtent l="0" t="0" r="28575" b="19050"/>
                <wp:wrapNone/>
                <wp:docPr id="12315" name="Rectangle 12315"/>
                <wp:cNvGraphicFramePr/>
                <a:graphic xmlns:a="http://schemas.openxmlformats.org/drawingml/2006/main">
                  <a:graphicData uri="http://schemas.microsoft.com/office/word/2010/wordprocessingShape">
                    <wps:wsp>
                      <wps:cNvSpPr/>
                      <wps:spPr>
                        <a:xfrm>
                          <a:off x="0" y="0"/>
                          <a:ext cx="1076325" cy="590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9384062" w14:textId="31B0FA58" w:rsidR="009C0325" w:rsidRPr="00B81ED0" w:rsidRDefault="009C0325" w:rsidP="001F42A3">
                            <w:pPr>
                              <w:spacing w:after="0" w:line="240" w:lineRule="auto"/>
                              <w:jc w:val="center"/>
                              <w:rPr>
                                <w:color w:val="000000" w:themeColor="text1"/>
                                <w:sz w:val="21"/>
                                <w:szCs w:val="21"/>
                              </w:rPr>
                            </w:pPr>
                            <w:r>
                              <w:rPr>
                                <w:color w:val="000000" w:themeColor="text1"/>
                                <w:sz w:val="21"/>
                                <w:szCs w:val="21"/>
                              </w:rPr>
                              <w:t>Is t</w:t>
                            </w:r>
                            <w:r w:rsidRPr="00B81ED0">
                              <w:rPr>
                                <w:color w:val="000000" w:themeColor="text1"/>
                                <w:sz w:val="21"/>
                                <w:szCs w:val="21"/>
                              </w:rPr>
                              <w:t xml:space="preserve">raining </w:t>
                            </w:r>
                            <w:r>
                              <w:rPr>
                                <w:color w:val="000000" w:themeColor="text1"/>
                                <w:sz w:val="21"/>
                                <w:szCs w:val="21"/>
                              </w:rPr>
                              <w:t>deemed necessary?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D26F6" id="Rectangle 12315" o:spid="_x0000_s1104" style="position:absolute;margin-left:245.1pt;margin-top:43.9pt;width:84.75pt;height:46.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" filled="f" strokecolor="#1f4d78 [1604]" strokeweight="1pt">
                <v:textbox>
                  <w:txbxContent>
                    <w:p w14:paraId="19384062" w14:textId="31B0FA58" w:rsidR="009C0325" w:rsidRPr="00B81ED0" w:rsidRDefault="009C0325" w:rsidP="001F42A3">
                      <w:pPr>
                        <w:spacing w:after="0" w:line="240" w:lineRule="auto"/>
                        <w:jc w:val="center"/>
                        <w:rPr>
                          <w:color w:val="000000" w:themeColor="text1"/>
                          <w:sz w:val="21"/>
                          <w:szCs w:val="21"/>
                        </w:rPr>
                      </w:pPr>
                      <w:r>
                        <w:rPr>
                          <w:color w:val="000000" w:themeColor="text1"/>
                          <w:sz w:val="21"/>
                          <w:szCs w:val="21"/>
                        </w:rPr>
                        <w:t>Is t</w:t>
                      </w:r>
                      <w:r w:rsidRPr="00B81ED0">
                        <w:rPr>
                          <w:color w:val="000000" w:themeColor="text1"/>
                          <w:sz w:val="21"/>
                          <w:szCs w:val="21"/>
                        </w:rPr>
                        <w:t xml:space="preserve">raining </w:t>
                      </w:r>
                      <w:r>
                        <w:rPr>
                          <w:color w:val="000000" w:themeColor="text1"/>
                          <w:sz w:val="21"/>
                          <w:szCs w:val="21"/>
                        </w:rPr>
                        <w:t>deemed necessary?</w:t>
                      </w:r>
                    </w:p>
                  </w:txbxContent>
                </v:textbox>
              </v:rect>
            </w:pict>
          </mc:Fallback>
        </mc:AlternateContent>
      </w:r>
      <w:r w:rsidR="009C26D5" w:rsidRPr="00A77AF6">
        <w:rPr>
          <w:noProof/>
          <w:lang w:eastAsia="en-GB"/>
        </w:rPr>
        <mc:AlternateContent>
          <mc:Choice Requires="wps">
            <w:drawing>
              <wp:anchor distT="0" distB="0" distL="114300" distR="114300" simplePos="0" relativeHeight="251580928" behindDoc="0" locked="0" layoutInCell="1" allowOverlap="1" wp14:anchorId="1CBCA22A" wp14:editId="49F937BC">
                <wp:simplePos x="0" y="0"/>
                <wp:positionH relativeFrom="column">
                  <wp:posOffset>2331720</wp:posOffset>
                </wp:positionH>
                <wp:positionV relativeFrom="paragraph">
                  <wp:posOffset>1005840</wp:posOffset>
                </wp:positionV>
                <wp:extent cx="809625" cy="0"/>
                <wp:effectExtent l="0" t="76200" r="9525" b="95250"/>
                <wp:wrapNone/>
                <wp:docPr id="12342" name="Straight Arrow Connector 12342"/>
                <wp:cNvGraphicFramePr/>
                <a:graphic xmlns:a="http://schemas.openxmlformats.org/drawingml/2006/main">
                  <a:graphicData uri="http://schemas.microsoft.com/office/word/2010/wordprocessingShape">
                    <wps:wsp>
                      <wps:cNvCnPr/>
                      <wps:spPr>
                        <a:xfrm>
                          <a:off x="0" y="0"/>
                          <a:ext cx="8096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0E0BFE" id="Straight Arrow Connector 12342" o:spid="_x0000_s1026" type="#_x0000_t32" style="position:absolute;margin-left:183.6pt;margin-top:79.2pt;width:63.75pt;height:0;z-index:25158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" strokecolor="#5b9bd5 [3204]" strokeweight=".5pt">
                <v:stroke endarrow="block" joinstyle="miter"/>
              </v:shape>
            </w:pict>
          </mc:Fallback>
        </mc:AlternateContent>
      </w:r>
      <w:r w:rsidR="006D475D" w:rsidRPr="00A77AF6">
        <w:rPr>
          <w:noProof/>
          <w:lang w:eastAsia="en-GB"/>
        </w:rPr>
        <mc:AlternateContent>
          <mc:Choice Requires="wps">
            <w:drawing>
              <wp:anchor distT="0" distB="0" distL="114300" distR="114300" simplePos="0" relativeHeight="251574784" behindDoc="0" locked="0" layoutInCell="1" allowOverlap="1" wp14:anchorId="59EA5788" wp14:editId="78DBFF69">
                <wp:simplePos x="0" y="0"/>
                <wp:positionH relativeFrom="column">
                  <wp:posOffset>864870</wp:posOffset>
                </wp:positionH>
                <wp:positionV relativeFrom="paragraph">
                  <wp:posOffset>1234440</wp:posOffset>
                </wp:positionV>
                <wp:extent cx="0" cy="1257300"/>
                <wp:effectExtent l="76200" t="0" r="76200" b="57150"/>
                <wp:wrapNone/>
                <wp:docPr id="12338" name="Straight Arrow Connector 12338"/>
                <wp:cNvGraphicFramePr/>
                <a:graphic xmlns:a="http://schemas.openxmlformats.org/drawingml/2006/main">
                  <a:graphicData uri="http://schemas.microsoft.com/office/word/2010/wordprocessingShape">
                    <wps:wsp>
                      <wps:cNvCnPr/>
                      <wps:spPr>
                        <a:xfrm>
                          <a:off x="0" y="0"/>
                          <a:ext cx="0" cy="1257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EABB48" id="Straight Arrow Connector 12338" o:spid="_x0000_s1026" type="#_x0000_t32" style="position:absolute;margin-left:68.1pt;margin-top:97.2pt;width:0;height:99pt;z-index:25157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" strokecolor="#5b9bd5 [3204]" strokeweight=".5pt">
                <v:stroke endarrow="block" joinstyle="miter"/>
              </v:shape>
            </w:pict>
          </mc:Fallback>
        </mc:AlternateContent>
      </w:r>
      <w:r w:rsidR="006D475D" w:rsidRPr="00A77AF6">
        <w:rPr>
          <w:noProof/>
          <w:lang w:eastAsia="en-GB"/>
        </w:rPr>
        <mc:AlternateContent>
          <mc:Choice Requires="wps">
            <w:drawing>
              <wp:anchor distT="0" distB="0" distL="114300" distR="114300" simplePos="0" relativeHeight="251563520" behindDoc="0" locked="0" layoutInCell="1" allowOverlap="1" wp14:anchorId="7B8E80C1" wp14:editId="2AE2505D">
                <wp:simplePos x="0" y="0"/>
                <wp:positionH relativeFrom="column">
                  <wp:posOffset>1979295</wp:posOffset>
                </wp:positionH>
                <wp:positionV relativeFrom="paragraph">
                  <wp:posOffset>615315</wp:posOffset>
                </wp:positionV>
                <wp:extent cx="0" cy="247650"/>
                <wp:effectExtent l="76200" t="0" r="57150" b="57150"/>
                <wp:wrapNone/>
                <wp:docPr id="12337" name="Straight Arrow Connector 12337"/>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E34E03" id="Straight Arrow Connector 12337" o:spid="_x0000_s1026" type="#_x0000_t32" style="position:absolute;margin-left:155.85pt;margin-top:48.45pt;width:0;height:19.5pt;z-index:25156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" strokecolor="#5b9bd5 [3204]" strokeweight=".5pt">
                <v:stroke endarrow="block" joinstyle="miter"/>
              </v:shape>
            </w:pict>
          </mc:Fallback>
        </mc:AlternateContent>
      </w:r>
      <w:r w:rsidR="006D475D" w:rsidRPr="00A77AF6">
        <w:rPr>
          <w:noProof/>
          <w:lang w:eastAsia="en-GB"/>
        </w:rPr>
        <mc:AlternateContent>
          <mc:Choice Requires="wps">
            <w:drawing>
              <wp:anchor distT="0" distB="0" distL="114300" distR="114300" simplePos="0" relativeHeight="251552256" behindDoc="0" locked="0" layoutInCell="1" allowOverlap="1" wp14:anchorId="7FCBA578" wp14:editId="4731C4F2">
                <wp:simplePos x="0" y="0"/>
                <wp:positionH relativeFrom="column">
                  <wp:posOffset>864870</wp:posOffset>
                </wp:positionH>
                <wp:positionV relativeFrom="paragraph">
                  <wp:posOffset>615315</wp:posOffset>
                </wp:positionV>
                <wp:extent cx="0" cy="247650"/>
                <wp:effectExtent l="76200" t="0" r="57150" b="57150"/>
                <wp:wrapNone/>
                <wp:docPr id="12336" name="Straight Arrow Connector 12336"/>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AB5B19" id="Straight Arrow Connector 12336" o:spid="_x0000_s1026" type="#_x0000_t32" style="position:absolute;margin-left:68.1pt;margin-top:48.45pt;width:0;height:19.5pt;z-index:25155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" strokecolor="#5b9bd5 [3204]" strokeweight=".5pt">
                <v:stroke endarrow="block" joinstyle="miter"/>
              </v:shape>
            </w:pict>
          </mc:Fallback>
        </mc:AlternateContent>
      </w:r>
      <w:r w:rsidR="007B7F19" w:rsidRPr="00A77AF6">
        <w:rPr>
          <w:noProof/>
          <w:lang w:eastAsia="en-GB"/>
        </w:rPr>
        <mc:AlternateContent>
          <mc:Choice Requires="wps">
            <w:drawing>
              <wp:anchor distT="0" distB="0" distL="114300" distR="114300" simplePos="0" relativeHeight="251522560" behindDoc="0" locked="0" layoutInCell="1" allowOverlap="1" wp14:anchorId="225432D2" wp14:editId="5B5D447D">
                <wp:simplePos x="0" y="0"/>
                <wp:positionH relativeFrom="column">
                  <wp:posOffset>4531995</wp:posOffset>
                </wp:positionH>
                <wp:positionV relativeFrom="paragraph">
                  <wp:posOffset>310514</wp:posOffset>
                </wp:positionV>
                <wp:extent cx="0" cy="2181225"/>
                <wp:effectExtent l="76200" t="0" r="76200" b="47625"/>
                <wp:wrapNone/>
                <wp:docPr id="12319" name="Straight Arrow Connector 12319"/>
                <wp:cNvGraphicFramePr/>
                <a:graphic xmlns:a="http://schemas.openxmlformats.org/drawingml/2006/main">
                  <a:graphicData uri="http://schemas.microsoft.com/office/word/2010/wordprocessingShape">
                    <wps:wsp>
                      <wps:cNvCnPr/>
                      <wps:spPr>
                        <a:xfrm>
                          <a:off x="0" y="0"/>
                          <a:ext cx="0" cy="2181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C3C3D1" id="Straight Arrow Connector 12319" o:spid="_x0000_s1026" type="#_x0000_t32" style="position:absolute;margin-left:356.85pt;margin-top:24.45pt;width:0;height:171.75pt;z-index:25152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" strokecolor="#5b9bd5 [3204]" strokeweight=".5pt">
                <v:stroke endarrow="block" joinstyle="miter"/>
              </v:shape>
            </w:pict>
          </mc:Fallback>
        </mc:AlternateContent>
      </w:r>
      <w:r w:rsidR="007B7F19" w:rsidRPr="00A77AF6">
        <w:rPr>
          <w:noProof/>
          <w:lang w:eastAsia="en-GB"/>
        </w:rPr>
        <mc:AlternateContent>
          <mc:Choice Requires="wps">
            <w:drawing>
              <wp:anchor distT="0" distB="0" distL="114300" distR="114300" simplePos="0" relativeHeight="251350528" behindDoc="0" locked="0" layoutInCell="1" allowOverlap="1" wp14:anchorId="3A6E7B03" wp14:editId="241961AE">
                <wp:simplePos x="0" y="0"/>
                <wp:positionH relativeFrom="column">
                  <wp:posOffset>1645920</wp:posOffset>
                </wp:positionH>
                <wp:positionV relativeFrom="paragraph">
                  <wp:posOffset>862330</wp:posOffset>
                </wp:positionV>
                <wp:extent cx="685800" cy="37147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685800" cy="3714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B46C31E" w14:textId="13958CB2" w:rsidR="009C0325" w:rsidRPr="00613A28" w:rsidRDefault="009C0325" w:rsidP="00236458">
                            <w:pPr>
                              <w:jc w:val="center"/>
                              <w:rPr>
                                <w:color w:val="000000" w:themeColor="text1"/>
                              </w:rPr>
                            </w:pPr>
                            <w:r w:rsidRPr="00613A28">
                              <w:rPr>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6E7B03" id="Rectangle 50" o:spid="_x0000_s1105" style="position:absolute;margin-left:129.6pt;margin-top:67.9pt;width:54pt;height:29.25pt;z-index:25135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" filled="f" strokecolor="#1f4d78 [1604]" strokeweight="1pt">
                <v:textbox>
                  <w:txbxContent>
                    <w:p w14:paraId="2B46C31E" w14:textId="13958CB2" w:rsidR="009C0325" w:rsidRPr="00613A28" w:rsidRDefault="009C0325" w:rsidP="00236458">
                      <w:pPr>
                        <w:jc w:val="center"/>
                        <w:rPr>
                          <w:color w:val="000000" w:themeColor="text1"/>
                        </w:rPr>
                      </w:pPr>
                      <w:r w:rsidRPr="00613A28">
                        <w:rPr>
                          <w:color w:val="000000" w:themeColor="text1"/>
                        </w:rPr>
                        <w:t>No</w:t>
                      </w:r>
                    </w:p>
                  </w:txbxContent>
                </v:textbox>
              </v:rect>
            </w:pict>
          </mc:Fallback>
        </mc:AlternateContent>
      </w:r>
      <w:r w:rsidR="007B7F19" w:rsidRPr="00A77AF6">
        <w:rPr>
          <w:noProof/>
          <w:lang w:eastAsia="en-GB"/>
        </w:rPr>
        <mc:AlternateContent>
          <mc:Choice Requires="wps">
            <w:drawing>
              <wp:anchor distT="0" distB="0" distL="114300" distR="114300" simplePos="0" relativeHeight="251344384" behindDoc="0" locked="0" layoutInCell="1" allowOverlap="1" wp14:anchorId="2CEA07E0" wp14:editId="7CC503C2">
                <wp:simplePos x="0" y="0"/>
                <wp:positionH relativeFrom="column">
                  <wp:posOffset>531495</wp:posOffset>
                </wp:positionH>
                <wp:positionV relativeFrom="paragraph">
                  <wp:posOffset>862330</wp:posOffset>
                </wp:positionV>
                <wp:extent cx="685800" cy="37147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685800" cy="3714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9F3B275" w14:textId="47906840" w:rsidR="009C0325" w:rsidRPr="00613A28" w:rsidRDefault="009C0325" w:rsidP="00236458">
                            <w:pPr>
                              <w:jc w:val="center"/>
                              <w:rPr>
                                <w:color w:val="000000" w:themeColor="text1"/>
                              </w:rPr>
                            </w:pPr>
                            <w:r w:rsidRPr="00613A28">
                              <w:rPr>
                                <w:color w:val="000000" w:themeColor="text1"/>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EA07E0" id="Rectangle 46" o:spid="_x0000_s1106" style="position:absolute;margin-left:41.85pt;margin-top:67.9pt;width:54pt;height:29.25pt;z-index:25134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" filled="f" strokecolor="#1f4d78 [1604]" strokeweight="1pt">
                <v:textbox>
                  <w:txbxContent>
                    <w:p w14:paraId="39F3B275" w14:textId="47906840" w:rsidR="009C0325" w:rsidRPr="00613A28" w:rsidRDefault="009C0325" w:rsidP="00236458">
                      <w:pPr>
                        <w:jc w:val="center"/>
                        <w:rPr>
                          <w:color w:val="000000" w:themeColor="text1"/>
                        </w:rPr>
                      </w:pPr>
                      <w:r w:rsidRPr="00613A28">
                        <w:rPr>
                          <w:color w:val="000000" w:themeColor="text1"/>
                        </w:rPr>
                        <w:t>Yes</w:t>
                      </w:r>
                    </w:p>
                  </w:txbxContent>
                </v:textbox>
              </v:rect>
            </w:pict>
          </mc:Fallback>
        </mc:AlternateContent>
      </w:r>
      <w:r w:rsidR="00236458" w:rsidRPr="00A77AF6">
        <w:rPr>
          <w:noProof/>
          <w:lang w:eastAsia="en-GB"/>
        </w:rPr>
        <mc:AlternateContent>
          <mc:Choice Requires="wps">
            <w:drawing>
              <wp:anchor distT="0" distB="0" distL="114300" distR="114300" simplePos="0" relativeHeight="251356672" behindDoc="0" locked="0" layoutInCell="1" allowOverlap="1" wp14:anchorId="5CF8455D" wp14:editId="2D2E287B">
                <wp:simplePos x="0" y="0"/>
                <wp:positionH relativeFrom="column">
                  <wp:posOffset>531494</wp:posOffset>
                </wp:positionH>
                <wp:positionV relativeFrom="paragraph">
                  <wp:posOffset>2491105</wp:posOffset>
                </wp:positionV>
                <wp:extent cx="7705725" cy="466725"/>
                <wp:effectExtent l="0" t="0" r="28575" b="28575"/>
                <wp:wrapNone/>
                <wp:docPr id="56" name="Flowchart: Process 56"/>
                <wp:cNvGraphicFramePr/>
                <a:graphic xmlns:a="http://schemas.openxmlformats.org/drawingml/2006/main">
                  <a:graphicData uri="http://schemas.microsoft.com/office/word/2010/wordprocessingShape">
                    <wps:wsp>
                      <wps:cNvSpPr/>
                      <wps:spPr>
                        <a:xfrm>
                          <a:off x="0" y="0"/>
                          <a:ext cx="7705725" cy="466725"/>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0511C7" w14:textId="7790DDC4" w:rsidR="009C0325" w:rsidRPr="005E4394" w:rsidRDefault="009C0325" w:rsidP="00837D78">
                            <w:pPr>
                              <w:jc w:val="center"/>
                              <w:rPr>
                                <w:color w:val="000000" w:themeColor="text1"/>
                              </w:rPr>
                            </w:pPr>
                            <w:r w:rsidRPr="005E4394">
                              <w:rPr>
                                <w:color w:val="000000" w:themeColor="text1"/>
                              </w:rPr>
                              <w:t xml:space="preserve">Proceed to appoint </w:t>
                            </w:r>
                            <w:r>
                              <w:rPr>
                                <w:color w:val="000000" w:themeColor="text1"/>
                              </w:rPr>
                              <w:t>p</w:t>
                            </w:r>
                            <w:r w:rsidRPr="005E4394">
                              <w:rPr>
                                <w:color w:val="000000" w:themeColor="text1"/>
                              </w:rPr>
                              <w:t xml:space="preserve">roject </w:t>
                            </w:r>
                            <w:r>
                              <w:rPr>
                                <w:color w:val="000000" w:themeColor="text1"/>
                              </w:rPr>
                              <w:t>d</w:t>
                            </w:r>
                            <w:r w:rsidRPr="005E4394">
                              <w:rPr>
                                <w:color w:val="000000" w:themeColor="text1"/>
                              </w:rPr>
                              <w:t xml:space="preserve">irector/ manager and project teams and </w:t>
                            </w:r>
                            <w:r>
                              <w:rPr>
                                <w:color w:val="000000" w:themeColor="text1"/>
                              </w:rPr>
                              <w:t>execute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F8455D" id="Flowchart: Process 56" o:spid="_x0000_s1107" type="#_x0000_t109" style="position:absolute;margin-left:41.85pt;margin-top:196.15pt;width:606.75pt;height:36.75pt;z-index:25135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" fillcolor="white [3212]" strokecolor="#1f4d78 [1604]" strokeweight="1pt">
                <v:textbox>
                  <w:txbxContent>
                    <w:p w14:paraId="2C0511C7" w14:textId="7790DDC4" w:rsidR="009C0325" w:rsidRPr="005E4394" w:rsidRDefault="009C0325" w:rsidP="00837D78">
                      <w:pPr>
                        <w:jc w:val="center"/>
                        <w:rPr>
                          <w:color w:val="000000" w:themeColor="text1"/>
                        </w:rPr>
                      </w:pPr>
                      <w:r w:rsidRPr="005E4394">
                        <w:rPr>
                          <w:color w:val="000000" w:themeColor="text1"/>
                        </w:rPr>
                        <w:t xml:space="preserve">Proceed to appoint </w:t>
                      </w:r>
                      <w:r>
                        <w:rPr>
                          <w:color w:val="000000" w:themeColor="text1"/>
                        </w:rPr>
                        <w:t>p</w:t>
                      </w:r>
                      <w:r w:rsidRPr="005E4394">
                        <w:rPr>
                          <w:color w:val="000000" w:themeColor="text1"/>
                        </w:rPr>
                        <w:t xml:space="preserve">roject </w:t>
                      </w:r>
                      <w:r>
                        <w:rPr>
                          <w:color w:val="000000" w:themeColor="text1"/>
                        </w:rPr>
                        <w:t>d</w:t>
                      </w:r>
                      <w:r w:rsidRPr="005E4394">
                        <w:rPr>
                          <w:color w:val="000000" w:themeColor="text1"/>
                        </w:rPr>
                        <w:t xml:space="preserve">irector/ manager and project teams and </w:t>
                      </w:r>
                      <w:r>
                        <w:rPr>
                          <w:color w:val="000000" w:themeColor="text1"/>
                        </w:rPr>
                        <w:t>execute project</w:t>
                      </w:r>
                    </w:p>
                  </w:txbxContent>
                </v:textbox>
              </v:shape>
            </w:pict>
          </mc:Fallback>
        </mc:AlternateContent>
      </w:r>
      <w:r w:rsidR="00A74592" w:rsidRPr="00A77AF6">
        <w:br w:type="page"/>
      </w:r>
    </w:p>
    <w:p w14:paraId="23AB7D34" w14:textId="77777777" w:rsidR="00463442" w:rsidRPr="00A77AF6" w:rsidRDefault="00463442" w:rsidP="00C30D49">
      <w:pPr>
        <w:pStyle w:val="Caption"/>
      </w:pPr>
    </w:p>
    <w:p w14:paraId="0EF1A005" w14:textId="211131DD" w:rsidR="00C30D49" w:rsidRPr="00A77AF6" w:rsidRDefault="000B4BE1" w:rsidP="00463442">
      <w:pPr>
        <w:pStyle w:val="Caption"/>
        <w:ind w:firstLine="720"/>
      </w:pPr>
      <w:bookmarkStart w:id="209" w:name="_Toc36186993"/>
      <w:r w:rsidRPr="00A77AF6">
        <w:rPr>
          <w:noProof/>
          <w:lang w:eastAsia="en-GB"/>
        </w:rPr>
        <mc:AlternateContent>
          <mc:Choice Requires="wps">
            <w:drawing>
              <wp:anchor distT="0" distB="0" distL="114300" distR="114300" simplePos="0" relativeHeight="251448832" behindDoc="0" locked="0" layoutInCell="1" allowOverlap="1" wp14:anchorId="2788D3DE" wp14:editId="5ED3CC06">
                <wp:simplePos x="0" y="0"/>
                <wp:positionH relativeFrom="margin">
                  <wp:posOffset>1369695</wp:posOffset>
                </wp:positionH>
                <wp:positionV relativeFrom="paragraph">
                  <wp:posOffset>270510</wp:posOffset>
                </wp:positionV>
                <wp:extent cx="5467350" cy="304800"/>
                <wp:effectExtent l="0" t="0" r="19050" b="19050"/>
                <wp:wrapNone/>
                <wp:docPr id="12296" name="Flowchart: Process 12296"/>
                <wp:cNvGraphicFramePr/>
                <a:graphic xmlns:a="http://schemas.openxmlformats.org/drawingml/2006/main">
                  <a:graphicData uri="http://schemas.microsoft.com/office/word/2010/wordprocessingShape">
                    <wps:wsp>
                      <wps:cNvSpPr/>
                      <wps:spPr>
                        <a:xfrm>
                          <a:off x="0" y="0"/>
                          <a:ext cx="5467350" cy="30480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2D80A8A" w14:textId="67D6E4F6" w:rsidR="009C0325" w:rsidRPr="00867B9B" w:rsidRDefault="009C0325" w:rsidP="00EA4C62">
                            <w:pPr>
                              <w:jc w:val="center"/>
                              <w:rPr>
                                <w:color w:val="000000" w:themeColor="text1"/>
                                <w:sz w:val="21"/>
                                <w:szCs w:val="21"/>
                              </w:rPr>
                            </w:pPr>
                            <w:r>
                              <w:rPr>
                                <w:color w:val="000000" w:themeColor="text1"/>
                                <w:sz w:val="21"/>
                                <w:szCs w:val="21"/>
                              </w:rPr>
                              <w:t>Project assurance Model at the end of project management phase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88D3DE" id="Flowchart: Process 12296" o:spid="_x0000_s1108" type="#_x0000_t109" style="position:absolute;left:0;text-align:left;margin-left:107.85pt;margin-top:21.3pt;width:430.5pt;height:24pt;z-index:251448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" filled="f" strokecolor="#1f4d78 [1604]" strokeweight="1pt">
                <v:textbox>
                  <w:txbxContent>
                    <w:p w14:paraId="02D80A8A" w14:textId="67D6E4F6" w:rsidR="009C0325" w:rsidRPr="00867B9B" w:rsidRDefault="009C0325" w:rsidP="00EA4C62">
                      <w:pPr>
                        <w:jc w:val="center"/>
                        <w:rPr>
                          <w:color w:val="000000" w:themeColor="text1"/>
                          <w:sz w:val="21"/>
                          <w:szCs w:val="21"/>
                        </w:rPr>
                      </w:pPr>
                      <w:r>
                        <w:rPr>
                          <w:color w:val="000000" w:themeColor="text1"/>
                          <w:sz w:val="21"/>
                          <w:szCs w:val="21"/>
                        </w:rPr>
                        <w:t>Project assurance Model at the end of project management phase</w:t>
                      </w:r>
                    </w:p>
                  </w:txbxContent>
                </v:textbox>
                <w10:wrap anchorx="margin"/>
              </v:shape>
            </w:pict>
          </mc:Fallback>
        </mc:AlternateContent>
      </w:r>
      <w:r w:rsidR="00C30D49" w:rsidRPr="00A77AF6">
        <w:t xml:space="preserve">Figure </w:t>
      </w:r>
      <w:fldSimple w:instr=" STYLEREF 1 \s ">
        <w:r w:rsidR="000441F7">
          <w:rPr>
            <w:noProof/>
          </w:rPr>
          <w:t>8</w:t>
        </w:r>
      </w:fldSimple>
      <w:r w:rsidR="00BA5DC4">
        <w:noBreakHyphen/>
      </w:r>
      <w:fldSimple w:instr=" SEQ Figure \* ARABIC \s 1 ">
        <w:r w:rsidR="000441F7">
          <w:rPr>
            <w:noProof/>
          </w:rPr>
          <w:t>3</w:t>
        </w:r>
      </w:fldSimple>
      <w:r w:rsidR="00C30D49" w:rsidRPr="00A77AF6">
        <w:t xml:space="preserve">: </w:t>
      </w:r>
      <w:r w:rsidR="008D742E" w:rsidRPr="00A77AF6">
        <w:t xml:space="preserve">Project assurance model </w:t>
      </w:r>
      <w:r w:rsidR="00C30D49" w:rsidRPr="00A77AF6">
        <w:t xml:space="preserve">for Corporate Boards </w:t>
      </w:r>
      <w:r w:rsidR="00E91690" w:rsidRPr="00A77AF6">
        <w:t>at the end of the project management phase</w:t>
      </w:r>
      <w:bookmarkEnd w:id="209"/>
    </w:p>
    <w:p w14:paraId="04245ED8" w14:textId="17F12F72" w:rsidR="000453ED" w:rsidRPr="00A77AF6" w:rsidRDefault="000453ED"/>
    <w:p w14:paraId="4D66126D" w14:textId="1739900F" w:rsidR="00EA4C62" w:rsidRPr="00A77AF6" w:rsidRDefault="002A4B8D">
      <w:r w:rsidRPr="00A77AF6">
        <w:rPr>
          <w:noProof/>
          <w:lang w:eastAsia="en-GB"/>
        </w:rPr>
        <mc:AlternateContent>
          <mc:Choice Requires="wps">
            <w:drawing>
              <wp:anchor distT="0" distB="0" distL="114300" distR="114300" simplePos="0" relativeHeight="251497984" behindDoc="0" locked="0" layoutInCell="1" allowOverlap="1" wp14:anchorId="1658591B" wp14:editId="7E46FE1C">
                <wp:simplePos x="0" y="0"/>
                <wp:positionH relativeFrom="column">
                  <wp:posOffset>4103370</wp:posOffset>
                </wp:positionH>
                <wp:positionV relativeFrom="paragraph">
                  <wp:posOffset>22860</wp:posOffset>
                </wp:positionV>
                <wp:extent cx="0" cy="209550"/>
                <wp:effectExtent l="76200" t="0" r="57150" b="57150"/>
                <wp:wrapNone/>
                <wp:docPr id="12307" name="Straight Arrow Connector 12307"/>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0C5147" id="Straight Arrow Connector 12307" o:spid="_x0000_s1026" type="#_x0000_t32" style="position:absolute;margin-left:323.1pt;margin-top:1.8pt;width:0;height:16.5pt;z-index:25149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" strokecolor="#5b9bd5 [3204]" strokeweight=".5pt">
                <v:stroke endarrow="block" joinstyle="miter"/>
              </v:shape>
            </w:pict>
          </mc:Fallback>
        </mc:AlternateContent>
      </w:r>
      <w:r w:rsidR="00EA4C62" w:rsidRPr="00A77AF6">
        <w:rPr>
          <w:noProof/>
          <w:lang w:eastAsia="en-GB"/>
        </w:rPr>
        <mc:AlternateContent>
          <mc:Choice Requires="wps">
            <w:drawing>
              <wp:anchor distT="0" distB="0" distL="114300" distR="114300" simplePos="0" relativeHeight="251454976" behindDoc="0" locked="0" layoutInCell="1" allowOverlap="1" wp14:anchorId="60DE1BA2" wp14:editId="048F62A6">
                <wp:simplePos x="0" y="0"/>
                <wp:positionH relativeFrom="column">
                  <wp:posOffset>2809875</wp:posOffset>
                </wp:positionH>
                <wp:positionV relativeFrom="paragraph">
                  <wp:posOffset>227965</wp:posOffset>
                </wp:positionV>
                <wp:extent cx="2609850" cy="247650"/>
                <wp:effectExtent l="0" t="0" r="19050" b="19050"/>
                <wp:wrapNone/>
                <wp:docPr id="12297" name="Flowchart: Process 12297"/>
                <wp:cNvGraphicFramePr/>
                <a:graphic xmlns:a="http://schemas.openxmlformats.org/drawingml/2006/main">
                  <a:graphicData uri="http://schemas.microsoft.com/office/word/2010/wordprocessingShape">
                    <wps:wsp>
                      <wps:cNvSpPr/>
                      <wps:spPr>
                        <a:xfrm>
                          <a:off x="0" y="0"/>
                          <a:ext cx="2609850" cy="24765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DA49792" w14:textId="16FD0FA7" w:rsidR="009C0325" w:rsidRPr="00867B9B" w:rsidRDefault="009C0325" w:rsidP="00EA4C62">
                            <w:pPr>
                              <w:jc w:val="center"/>
                              <w:rPr>
                                <w:color w:val="000000" w:themeColor="text1"/>
                                <w:sz w:val="21"/>
                                <w:szCs w:val="21"/>
                              </w:rPr>
                            </w:pPr>
                            <w:r w:rsidRPr="00867B9B">
                              <w:rPr>
                                <w:color w:val="000000" w:themeColor="text1"/>
                                <w:sz w:val="21"/>
                                <w:szCs w:val="21"/>
                              </w:rPr>
                              <w:t>Project Success</w:t>
                            </w:r>
                            <w:r>
                              <w:rPr>
                                <w:color w:val="000000" w:themeColor="text1"/>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DE1BA2" id="Flowchart: Process 12297" o:spid="_x0000_s1109" type="#_x0000_t109" style="position:absolute;margin-left:221.25pt;margin-top:17.95pt;width:205.5pt;height:19.5pt;z-index:25145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" filled="f" strokecolor="#1f4d78 [1604]" strokeweight="1pt">
                <v:textbox>
                  <w:txbxContent>
                    <w:p w14:paraId="1DA49792" w14:textId="16FD0FA7" w:rsidR="009C0325" w:rsidRPr="00867B9B" w:rsidRDefault="009C0325" w:rsidP="00EA4C62">
                      <w:pPr>
                        <w:jc w:val="center"/>
                        <w:rPr>
                          <w:color w:val="000000" w:themeColor="text1"/>
                          <w:sz w:val="21"/>
                          <w:szCs w:val="21"/>
                        </w:rPr>
                      </w:pPr>
                      <w:r w:rsidRPr="00867B9B">
                        <w:rPr>
                          <w:color w:val="000000" w:themeColor="text1"/>
                          <w:sz w:val="21"/>
                          <w:szCs w:val="21"/>
                        </w:rPr>
                        <w:t>Project Success</w:t>
                      </w:r>
                      <w:r>
                        <w:rPr>
                          <w:color w:val="000000" w:themeColor="text1"/>
                          <w:sz w:val="21"/>
                          <w:szCs w:val="21"/>
                        </w:rPr>
                        <w:t xml:space="preserve"> </w:t>
                      </w:r>
                    </w:p>
                  </w:txbxContent>
                </v:textbox>
              </v:shape>
            </w:pict>
          </mc:Fallback>
        </mc:AlternateContent>
      </w:r>
    </w:p>
    <w:p w14:paraId="7854E14F" w14:textId="324237C1" w:rsidR="00EA4C62" w:rsidRPr="00A77AF6" w:rsidRDefault="002641F7">
      <w:r>
        <w:rPr>
          <w:noProof/>
        </w:rPr>
        <mc:AlternateContent>
          <mc:Choice Requires="wps">
            <w:drawing>
              <wp:anchor distT="0" distB="0" distL="114300" distR="114300" simplePos="0" relativeHeight="252038656" behindDoc="0" locked="0" layoutInCell="1" allowOverlap="1" wp14:anchorId="3161B005" wp14:editId="6446E082">
                <wp:simplePos x="0" y="0"/>
                <wp:positionH relativeFrom="column">
                  <wp:posOffset>4100386</wp:posOffset>
                </wp:positionH>
                <wp:positionV relativeFrom="paragraph">
                  <wp:posOffset>185994</wp:posOffset>
                </wp:positionV>
                <wp:extent cx="0" cy="193024"/>
                <wp:effectExtent l="76200" t="0" r="57150" b="55245"/>
                <wp:wrapNone/>
                <wp:docPr id="15" name="Straight Arrow Connector 15"/>
                <wp:cNvGraphicFramePr/>
                <a:graphic xmlns:a="http://schemas.openxmlformats.org/drawingml/2006/main">
                  <a:graphicData uri="http://schemas.microsoft.com/office/word/2010/wordprocessingShape">
                    <wps:wsp>
                      <wps:cNvCnPr/>
                      <wps:spPr>
                        <a:xfrm>
                          <a:off x="0" y="0"/>
                          <a:ext cx="0" cy="1930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BB551E" id="Straight Arrow Connector 15" o:spid="_x0000_s1026" type="#_x0000_t32" style="position:absolute;margin-left:322.85pt;margin-top:14.65pt;width:0;height:15.2pt;z-index:25203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" strokecolor="#5b9bd5 [3204]" strokeweight=".5pt">
                <v:stroke endarrow="block" joinstyle="miter"/>
              </v:shape>
            </w:pict>
          </mc:Fallback>
        </mc:AlternateContent>
      </w:r>
    </w:p>
    <w:p w14:paraId="27D489FE" w14:textId="4AA5BC82" w:rsidR="00EA4C62" w:rsidRPr="00A77AF6" w:rsidRDefault="00EA4C62">
      <w:r w:rsidRPr="00A77AF6">
        <w:rPr>
          <w:noProof/>
          <w:lang w:eastAsia="en-GB"/>
        </w:rPr>
        <mc:AlternateContent>
          <mc:Choice Requires="wps">
            <w:drawing>
              <wp:anchor distT="0" distB="0" distL="114300" distR="114300" simplePos="0" relativeHeight="251461120" behindDoc="0" locked="0" layoutInCell="1" allowOverlap="1" wp14:anchorId="299075A3" wp14:editId="2F376718">
                <wp:simplePos x="0" y="0"/>
                <wp:positionH relativeFrom="column">
                  <wp:posOffset>2878432</wp:posOffset>
                </wp:positionH>
                <wp:positionV relativeFrom="paragraph">
                  <wp:posOffset>93268</wp:posOffset>
                </wp:positionV>
                <wp:extent cx="2533650" cy="1707354"/>
                <wp:effectExtent l="0" t="0" r="19050" b="26670"/>
                <wp:wrapNone/>
                <wp:docPr id="12298" name="Flowchart: Process 12298"/>
                <wp:cNvGraphicFramePr/>
                <a:graphic xmlns:a="http://schemas.openxmlformats.org/drawingml/2006/main">
                  <a:graphicData uri="http://schemas.microsoft.com/office/word/2010/wordprocessingShape">
                    <wps:wsp>
                      <wps:cNvSpPr/>
                      <wps:spPr>
                        <a:xfrm>
                          <a:off x="0" y="0"/>
                          <a:ext cx="2533650" cy="1707354"/>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8067884" w14:textId="77777777" w:rsidR="009C0325" w:rsidRPr="00CC0297" w:rsidRDefault="009C0325" w:rsidP="003D2A57">
                            <w:pPr>
                              <w:pStyle w:val="Heading3"/>
                              <w:numPr>
                                <w:ilvl w:val="0"/>
                                <w:numId w:val="10"/>
                              </w:numPr>
                              <w:spacing w:before="0" w:after="60" w:line="240" w:lineRule="auto"/>
                              <w:ind w:left="357" w:hanging="357"/>
                              <w:rPr>
                                <w:rFonts w:asciiTheme="minorHAnsi" w:hAnsiTheme="minorHAnsi" w:cstheme="minorHAnsi"/>
                                <w:color w:val="000000" w:themeColor="text1"/>
                                <w:sz w:val="21"/>
                                <w:szCs w:val="21"/>
                              </w:rPr>
                            </w:pPr>
                            <w:bookmarkStart w:id="210" w:name="_Toc36275158"/>
                            <w:r w:rsidRPr="00CC0297">
                              <w:rPr>
                                <w:rFonts w:asciiTheme="minorHAnsi" w:hAnsiTheme="minorHAnsi" w:cstheme="minorHAnsi"/>
                                <w:color w:val="000000" w:themeColor="text1"/>
                                <w:sz w:val="21"/>
                                <w:szCs w:val="21"/>
                              </w:rPr>
                              <w:t>Has the project been evaluated against governance measures?</w:t>
                            </w:r>
                            <w:bookmarkEnd w:id="210"/>
                          </w:p>
                          <w:p w14:paraId="38B50446" w14:textId="1F449605" w:rsidR="009C0325" w:rsidRDefault="009C0325" w:rsidP="003D2A57">
                            <w:pPr>
                              <w:pStyle w:val="Heading3"/>
                              <w:numPr>
                                <w:ilvl w:val="0"/>
                                <w:numId w:val="10"/>
                              </w:numPr>
                              <w:spacing w:before="0" w:after="60" w:line="240" w:lineRule="auto"/>
                              <w:ind w:left="357" w:hanging="357"/>
                              <w:rPr>
                                <w:rFonts w:asciiTheme="minorHAnsi" w:hAnsiTheme="minorHAnsi" w:cstheme="minorHAnsi"/>
                                <w:color w:val="000000" w:themeColor="text1"/>
                                <w:sz w:val="21"/>
                                <w:szCs w:val="21"/>
                              </w:rPr>
                            </w:pPr>
                            <w:bookmarkStart w:id="211" w:name="_Toc36275159"/>
                            <w:r w:rsidRPr="00CC0297">
                              <w:rPr>
                                <w:rFonts w:asciiTheme="minorHAnsi" w:hAnsiTheme="minorHAnsi" w:cstheme="minorHAnsi"/>
                                <w:color w:val="000000" w:themeColor="text1"/>
                                <w:sz w:val="21"/>
                                <w:szCs w:val="21"/>
                              </w:rPr>
                              <w:t>Has the project been evaluated against the agreed weighted success measures</w:t>
                            </w:r>
                            <w:r>
                              <w:rPr>
                                <w:rFonts w:asciiTheme="minorHAnsi" w:hAnsiTheme="minorHAnsi" w:cstheme="minorHAnsi"/>
                                <w:color w:val="000000" w:themeColor="text1"/>
                                <w:sz w:val="21"/>
                                <w:szCs w:val="21"/>
                              </w:rPr>
                              <w:t xml:space="preserve"> including cost and quality and benefits</w:t>
                            </w:r>
                            <w:r w:rsidRPr="00CC0297">
                              <w:rPr>
                                <w:rFonts w:asciiTheme="minorHAnsi" w:hAnsiTheme="minorHAnsi" w:cstheme="minorHAnsi"/>
                                <w:color w:val="000000" w:themeColor="text1"/>
                                <w:sz w:val="21"/>
                                <w:szCs w:val="21"/>
                              </w:rPr>
                              <w:t>?</w:t>
                            </w:r>
                            <w:bookmarkEnd w:id="211"/>
                            <w:r w:rsidRPr="00CC0297">
                              <w:rPr>
                                <w:rFonts w:asciiTheme="minorHAnsi" w:hAnsiTheme="minorHAnsi" w:cstheme="minorHAnsi"/>
                                <w:color w:val="000000" w:themeColor="text1"/>
                                <w:sz w:val="21"/>
                                <w:szCs w:val="21"/>
                              </w:rPr>
                              <w:t xml:space="preserve">  </w:t>
                            </w:r>
                          </w:p>
                          <w:p w14:paraId="21B61D40" w14:textId="70541494" w:rsidR="009C0325" w:rsidRPr="0069611F" w:rsidRDefault="009C0325" w:rsidP="003D2A57">
                            <w:pPr>
                              <w:pStyle w:val="Heading3"/>
                              <w:numPr>
                                <w:ilvl w:val="0"/>
                                <w:numId w:val="10"/>
                              </w:numPr>
                              <w:spacing w:before="0" w:after="60" w:line="240" w:lineRule="auto"/>
                              <w:ind w:left="357" w:hanging="357"/>
                              <w:rPr>
                                <w:rFonts w:asciiTheme="minorHAnsi" w:hAnsiTheme="minorHAnsi" w:cstheme="minorHAnsi"/>
                                <w:color w:val="000000" w:themeColor="text1"/>
                                <w:sz w:val="21"/>
                                <w:szCs w:val="21"/>
                              </w:rPr>
                            </w:pPr>
                            <w:bookmarkStart w:id="212" w:name="_Toc36275160"/>
                            <w:r>
                              <w:rPr>
                                <w:rFonts w:asciiTheme="minorHAnsi" w:hAnsiTheme="minorHAnsi" w:cstheme="minorHAnsi"/>
                                <w:color w:val="000000" w:themeColor="text1"/>
                                <w:sz w:val="21"/>
                                <w:szCs w:val="21"/>
                              </w:rPr>
                              <w:t xml:space="preserve">Has a </w:t>
                            </w:r>
                            <w:r w:rsidRPr="0069611F">
                              <w:rPr>
                                <w:rFonts w:asciiTheme="minorHAnsi" w:hAnsiTheme="minorHAnsi" w:cstheme="minorHAnsi"/>
                                <w:color w:val="000000" w:themeColor="text1"/>
                                <w:sz w:val="21"/>
                                <w:szCs w:val="21"/>
                              </w:rPr>
                              <w:t xml:space="preserve">post project evaluation </w:t>
                            </w:r>
                            <w:r>
                              <w:rPr>
                                <w:rFonts w:asciiTheme="minorHAnsi" w:hAnsiTheme="minorHAnsi" w:cstheme="minorHAnsi"/>
                                <w:color w:val="000000" w:themeColor="text1"/>
                                <w:sz w:val="21"/>
                                <w:szCs w:val="21"/>
                              </w:rPr>
                              <w:t>been carried out</w:t>
                            </w:r>
                            <w:r w:rsidR="002641F7">
                              <w:rPr>
                                <w:rFonts w:asciiTheme="minorHAnsi" w:hAnsiTheme="minorHAnsi" w:cstheme="minorHAnsi"/>
                                <w:color w:val="000000" w:themeColor="text1"/>
                                <w:sz w:val="21"/>
                                <w:szCs w:val="21"/>
                              </w:rPr>
                              <w:t xml:space="preserve"> to learn lessons for future projects </w:t>
                            </w:r>
                            <w:r>
                              <w:rPr>
                                <w:rFonts w:asciiTheme="minorHAnsi" w:hAnsiTheme="minorHAnsi" w:cstheme="minorHAnsi"/>
                                <w:color w:val="000000" w:themeColor="text1"/>
                                <w:sz w:val="21"/>
                                <w:szCs w:val="21"/>
                              </w:rPr>
                              <w:t>?</w:t>
                            </w:r>
                            <w:bookmarkEnd w:id="212"/>
                            <w:r>
                              <w:rPr>
                                <w:rFonts w:asciiTheme="minorHAnsi" w:hAnsiTheme="minorHAnsi" w:cstheme="minorHAnsi"/>
                                <w:color w:val="000000" w:themeColor="text1"/>
                                <w:sz w:val="21"/>
                                <w:szCs w:val="21"/>
                              </w:rPr>
                              <w:t xml:space="preserve"> </w:t>
                            </w:r>
                            <w:r w:rsidRPr="0069611F">
                              <w:rPr>
                                <w:rFonts w:asciiTheme="minorHAnsi" w:hAnsiTheme="minorHAnsi" w:cstheme="minorHAnsi"/>
                                <w:color w:val="000000" w:themeColor="text1"/>
                                <w:sz w:val="21"/>
                                <w:szCs w:val="21"/>
                              </w:rPr>
                              <w:t xml:space="preserve"> </w:t>
                            </w:r>
                          </w:p>
                          <w:p w14:paraId="628CDE97" w14:textId="77777777" w:rsidR="009C0325" w:rsidRDefault="009C0325" w:rsidP="00EA4C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9075A3" id="Flowchart: Process 12298" o:spid="_x0000_s1110" type="#_x0000_t109" style="position:absolute;margin-left:226.65pt;margin-top:7.35pt;width:199.5pt;height:134.45pt;z-index:25146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" filled="f" strokecolor="#1f4d78 [1604]" strokeweight="1pt">
                <v:textbox>
                  <w:txbxContent>
                    <w:p w14:paraId="68067884" w14:textId="77777777" w:rsidR="009C0325" w:rsidRPr="00CC0297" w:rsidRDefault="009C0325" w:rsidP="003D2A57">
                      <w:pPr>
                        <w:pStyle w:val="Heading3"/>
                        <w:numPr>
                          <w:ilvl w:val="0"/>
                          <w:numId w:val="10"/>
                        </w:numPr>
                        <w:spacing w:before="0" w:after="60" w:line="240" w:lineRule="auto"/>
                        <w:ind w:left="357" w:hanging="357"/>
                        <w:rPr>
                          <w:rFonts w:asciiTheme="minorHAnsi" w:hAnsiTheme="minorHAnsi" w:cstheme="minorHAnsi"/>
                          <w:color w:val="000000" w:themeColor="text1"/>
                          <w:sz w:val="21"/>
                          <w:szCs w:val="21"/>
                        </w:rPr>
                      </w:pPr>
                      <w:bookmarkStart w:id="213" w:name="_Toc36275158"/>
                      <w:r w:rsidRPr="00CC0297">
                        <w:rPr>
                          <w:rFonts w:asciiTheme="minorHAnsi" w:hAnsiTheme="minorHAnsi" w:cstheme="minorHAnsi"/>
                          <w:color w:val="000000" w:themeColor="text1"/>
                          <w:sz w:val="21"/>
                          <w:szCs w:val="21"/>
                        </w:rPr>
                        <w:t>Has the project been evaluated against governance measures?</w:t>
                      </w:r>
                      <w:bookmarkEnd w:id="213"/>
                    </w:p>
                    <w:p w14:paraId="38B50446" w14:textId="1F449605" w:rsidR="009C0325" w:rsidRDefault="009C0325" w:rsidP="003D2A57">
                      <w:pPr>
                        <w:pStyle w:val="Heading3"/>
                        <w:numPr>
                          <w:ilvl w:val="0"/>
                          <w:numId w:val="10"/>
                        </w:numPr>
                        <w:spacing w:before="0" w:after="60" w:line="240" w:lineRule="auto"/>
                        <w:ind w:left="357" w:hanging="357"/>
                        <w:rPr>
                          <w:rFonts w:asciiTheme="minorHAnsi" w:hAnsiTheme="minorHAnsi" w:cstheme="minorHAnsi"/>
                          <w:color w:val="000000" w:themeColor="text1"/>
                          <w:sz w:val="21"/>
                          <w:szCs w:val="21"/>
                        </w:rPr>
                      </w:pPr>
                      <w:bookmarkStart w:id="214" w:name="_Toc36275159"/>
                      <w:r w:rsidRPr="00CC0297">
                        <w:rPr>
                          <w:rFonts w:asciiTheme="minorHAnsi" w:hAnsiTheme="minorHAnsi" w:cstheme="minorHAnsi"/>
                          <w:color w:val="000000" w:themeColor="text1"/>
                          <w:sz w:val="21"/>
                          <w:szCs w:val="21"/>
                        </w:rPr>
                        <w:t>Has the project been evaluated against the agreed weighted success measures</w:t>
                      </w:r>
                      <w:r>
                        <w:rPr>
                          <w:rFonts w:asciiTheme="minorHAnsi" w:hAnsiTheme="minorHAnsi" w:cstheme="minorHAnsi"/>
                          <w:color w:val="000000" w:themeColor="text1"/>
                          <w:sz w:val="21"/>
                          <w:szCs w:val="21"/>
                        </w:rPr>
                        <w:t xml:space="preserve"> including cost and quality and benefits</w:t>
                      </w:r>
                      <w:r w:rsidRPr="00CC0297">
                        <w:rPr>
                          <w:rFonts w:asciiTheme="minorHAnsi" w:hAnsiTheme="minorHAnsi" w:cstheme="minorHAnsi"/>
                          <w:color w:val="000000" w:themeColor="text1"/>
                          <w:sz w:val="21"/>
                          <w:szCs w:val="21"/>
                        </w:rPr>
                        <w:t>?</w:t>
                      </w:r>
                      <w:bookmarkEnd w:id="214"/>
                      <w:r w:rsidRPr="00CC0297">
                        <w:rPr>
                          <w:rFonts w:asciiTheme="minorHAnsi" w:hAnsiTheme="minorHAnsi" w:cstheme="minorHAnsi"/>
                          <w:color w:val="000000" w:themeColor="text1"/>
                          <w:sz w:val="21"/>
                          <w:szCs w:val="21"/>
                        </w:rPr>
                        <w:t xml:space="preserve">  </w:t>
                      </w:r>
                    </w:p>
                    <w:p w14:paraId="21B61D40" w14:textId="70541494" w:rsidR="009C0325" w:rsidRPr="0069611F" w:rsidRDefault="009C0325" w:rsidP="003D2A57">
                      <w:pPr>
                        <w:pStyle w:val="Heading3"/>
                        <w:numPr>
                          <w:ilvl w:val="0"/>
                          <w:numId w:val="10"/>
                        </w:numPr>
                        <w:spacing w:before="0" w:after="60" w:line="240" w:lineRule="auto"/>
                        <w:ind w:left="357" w:hanging="357"/>
                        <w:rPr>
                          <w:rFonts w:asciiTheme="minorHAnsi" w:hAnsiTheme="minorHAnsi" w:cstheme="minorHAnsi"/>
                          <w:color w:val="000000" w:themeColor="text1"/>
                          <w:sz w:val="21"/>
                          <w:szCs w:val="21"/>
                        </w:rPr>
                      </w:pPr>
                      <w:bookmarkStart w:id="215" w:name="_Toc36275160"/>
                      <w:r>
                        <w:rPr>
                          <w:rFonts w:asciiTheme="minorHAnsi" w:hAnsiTheme="minorHAnsi" w:cstheme="minorHAnsi"/>
                          <w:color w:val="000000" w:themeColor="text1"/>
                          <w:sz w:val="21"/>
                          <w:szCs w:val="21"/>
                        </w:rPr>
                        <w:t xml:space="preserve">Has a </w:t>
                      </w:r>
                      <w:r w:rsidRPr="0069611F">
                        <w:rPr>
                          <w:rFonts w:asciiTheme="minorHAnsi" w:hAnsiTheme="minorHAnsi" w:cstheme="minorHAnsi"/>
                          <w:color w:val="000000" w:themeColor="text1"/>
                          <w:sz w:val="21"/>
                          <w:szCs w:val="21"/>
                        </w:rPr>
                        <w:t xml:space="preserve">post project evaluation </w:t>
                      </w:r>
                      <w:r>
                        <w:rPr>
                          <w:rFonts w:asciiTheme="minorHAnsi" w:hAnsiTheme="minorHAnsi" w:cstheme="minorHAnsi"/>
                          <w:color w:val="000000" w:themeColor="text1"/>
                          <w:sz w:val="21"/>
                          <w:szCs w:val="21"/>
                        </w:rPr>
                        <w:t>been carried out</w:t>
                      </w:r>
                      <w:r w:rsidR="002641F7">
                        <w:rPr>
                          <w:rFonts w:asciiTheme="minorHAnsi" w:hAnsiTheme="minorHAnsi" w:cstheme="minorHAnsi"/>
                          <w:color w:val="000000" w:themeColor="text1"/>
                          <w:sz w:val="21"/>
                          <w:szCs w:val="21"/>
                        </w:rPr>
                        <w:t xml:space="preserve"> to learn lessons for future projects </w:t>
                      </w:r>
                      <w:r>
                        <w:rPr>
                          <w:rFonts w:asciiTheme="minorHAnsi" w:hAnsiTheme="minorHAnsi" w:cstheme="minorHAnsi"/>
                          <w:color w:val="000000" w:themeColor="text1"/>
                          <w:sz w:val="21"/>
                          <w:szCs w:val="21"/>
                        </w:rPr>
                        <w:t>?</w:t>
                      </w:r>
                      <w:bookmarkEnd w:id="215"/>
                      <w:r>
                        <w:rPr>
                          <w:rFonts w:asciiTheme="minorHAnsi" w:hAnsiTheme="minorHAnsi" w:cstheme="minorHAnsi"/>
                          <w:color w:val="000000" w:themeColor="text1"/>
                          <w:sz w:val="21"/>
                          <w:szCs w:val="21"/>
                        </w:rPr>
                        <w:t xml:space="preserve"> </w:t>
                      </w:r>
                      <w:r w:rsidRPr="0069611F">
                        <w:rPr>
                          <w:rFonts w:asciiTheme="minorHAnsi" w:hAnsiTheme="minorHAnsi" w:cstheme="minorHAnsi"/>
                          <w:color w:val="000000" w:themeColor="text1"/>
                          <w:sz w:val="21"/>
                          <w:szCs w:val="21"/>
                        </w:rPr>
                        <w:t xml:space="preserve"> </w:t>
                      </w:r>
                    </w:p>
                    <w:p w14:paraId="628CDE97" w14:textId="77777777" w:rsidR="009C0325" w:rsidRDefault="009C0325" w:rsidP="00EA4C62">
                      <w:pPr>
                        <w:jc w:val="center"/>
                      </w:pPr>
                    </w:p>
                  </w:txbxContent>
                </v:textbox>
              </v:shape>
            </w:pict>
          </mc:Fallback>
        </mc:AlternateContent>
      </w:r>
    </w:p>
    <w:p w14:paraId="6F4594BE" w14:textId="26F07C02" w:rsidR="00EA4C62" w:rsidRPr="00A77AF6" w:rsidRDefault="00EA4C62"/>
    <w:p w14:paraId="25C45D76" w14:textId="7E9280E4" w:rsidR="000453ED" w:rsidRPr="00A77AF6" w:rsidRDefault="000453ED"/>
    <w:p w14:paraId="0001ABF3" w14:textId="6395A1B4" w:rsidR="000453ED" w:rsidRPr="00A77AF6" w:rsidRDefault="000453ED"/>
    <w:p w14:paraId="7E69510D" w14:textId="4AE8A84E" w:rsidR="000453ED" w:rsidRPr="00A77AF6" w:rsidRDefault="000453ED"/>
    <w:p w14:paraId="5A8DA176" w14:textId="1C2EEB21" w:rsidR="000453ED" w:rsidRPr="00A77AF6" w:rsidRDefault="000453ED"/>
    <w:p w14:paraId="066219C3" w14:textId="25AEBF10" w:rsidR="000453ED" w:rsidRPr="00A77AF6" w:rsidRDefault="002641F7">
      <w:r>
        <w:rPr>
          <w:noProof/>
          <w:lang w:eastAsia="en-GB"/>
        </w:rPr>
        <mc:AlternateContent>
          <mc:Choice Requires="wps">
            <w:drawing>
              <wp:anchor distT="0" distB="0" distL="114300" distR="114300" simplePos="0" relativeHeight="252040704" behindDoc="0" locked="0" layoutInCell="1" allowOverlap="1" wp14:anchorId="3BE4A127" wp14:editId="03FDF37C">
                <wp:simplePos x="0" y="0"/>
                <wp:positionH relativeFrom="column">
                  <wp:posOffset>4685198</wp:posOffset>
                </wp:positionH>
                <wp:positionV relativeFrom="paragraph">
                  <wp:posOffset>87018</wp:posOffset>
                </wp:positionV>
                <wp:extent cx="0" cy="187960"/>
                <wp:effectExtent l="76200" t="0" r="57150" b="59690"/>
                <wp:wrapNone/>
                <wp:docPr id="240" name="Straight Arrow Connector 240"/>
                <wp:cNvGraphicFramePr/>
                <a:graphic xmlns:a="http://schemas.openxmlformats.org/drawingml/2006/main">
                  <a:graphicData uri="http://schemas.microsoft.com/office/word/2010/wordprocessingShape">
                    <wps:wsp>
                      <wps:cNvCnPr/>
                      <wps:spPr>
                        <a:xfrm>
                          <a:off x="0" y="0"/>
                          <a:ext cx="0" cy="187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0734AA" id="Straight Arrow Connector 240" o:spid="_x0000_s1026" type="#_x0000_t32" style="position:absolute;margin-left:368.9pt;margin-top:6.85pt;width:0;height:14.8pt;z-index:25204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" strokecolor="#5b9bd5 [3204]" strokeweight=".5pt">
                <v:stroke endarrow="block" joinstyle="miter"/>
              </v:shape>
            </w:pict>
          </mc:Fallback>
        </mc:AlternateContent>
      </w:r>
      <w:r>
        <w:rPr>
          <w:noProof/>
          <w:lang w:eastAsia="en-GB"/>
        </w:rPr>
        <mc:AlternateContent>
          <mc:Choice Requires="wps">
            <w:drawing>
              <wp:anchor distT="0" distB="0" distL="114300" distR="114300" simplePos="0" relativeHeight="252039680" behindDoc="0" locked="0" layoutInCell="1" allowOverlap="1" wp14:anchorId="378F176F" wp14:editId="29C5920A">
                <wp:simplePos x="0" y="0"/>
                <wp:positionH relativeFrom="column">
                  <wp:posOffset>3527509</wp:posOffset>
                </wp:positionH>
                <wp:positionV relativeFrom="paragraph">
                  <wp:posOffset>86283</wp:posOffset>
                </wp:positionV>
                <wp:extent cx="0" cy="188022"/>
                <wp:effectExtent l="76200" t="0" r="57150" b="59690"/>
                <wp:wrapNone/>
                <wp:docPr id="232" name="Straight Arrow Connector 232"/>
                <wp:cNvGraphicFramePr/>
                <a:graphic xmlns:a="http://schemas.openxmlformats.org/drawingml/2006/main">
                  <a:graphicData uri="http://schemas.microsoft.com/office/word/2010/wordprocessingShape">
                    <wps:wsp>
                      <wps:cNvCnPr/>
                      <wps:spPr>
                        <a:xfrm>
                          <a:off x="0" y="0"/>
                          <a:ext cx="0" cy="1880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B92803" id="Straight Arrow Connector 232" o:spid="_x0000_s1026" type="#_x0000_t32" style="position:absolute;margin-left:277.75pt;margin-top:6.8pt;width:0;height:14.8pt;z-index:25203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" strokecolor="#5b9bd5 [3204]" strokeweight=".5pt">
                <v:stroke endarrow="block" joinstyle="miter"/>
              </v:shape>
            </w:pict>
          </mc:Fallback>
        </mc:AlternateContent>
      </w:r>
      <w:r w:rsidR="00195DA0" w:rsidRPr="00A77AF6">
        <w:rPr>
          <w:noProof/>
          <w:lang w:eastAsia="en-GB"/>
        </w:rPr>
        <mc:AlternateContent>
          <mc:Choice Requires="wps">
            <w:drawing>
              <wp:anchor distT="0" distB="0" distL="114300" distR="114300" simplePos="0" relativeHeight="251307520" behindDoc="0" locked="0" layoutInCell="1" allowOverlap="1" wp14:anchorId="5C391460" wp14:editId="51DB2A0E">
                <wp:simplePos x="0" y="0"/>
                <wp:positionH relativeFrom="column">
                  <wp:posOffset>3162300</wp:posOffset>
                </wp:positionH>
                <wp:positionV relativeFrom="paragraph">
                  <wp:posOffset>273050</wp:posOffset>
                </wp:positionV>
                <wp:extent cx="685800" cy="371475"/>
                <wp:effectExtent l="0" t="0" r="19050" b="28575"/>
                <wp:wrapNone/>
                <wp:docPr id="12345" name="Rectangle 12345"/>
                <wp:cNvGraphicFramePr/>
                <a:graphic xmlns:a="http://schemas.openxmlformats.org/drawingml/2006/main">
                  <a:graphicData uri="http://schemas.microsoft.com/office/word/2010/wordprocessingShape">
                    <wps:wsp>
                      <wps:cNvSpPr/>
                      <wps:spPr>
                        <a:xfrm>
                          <a:off x="0" y="0"/>
                          <a:ext cx="685800" cy="3714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30DE8B8" w14:textId="77777777" w:rsidR="009C0325" w:rsidRPr="00613A28" w:rsidRDefault="009C0325" w:rsidP="00FD0157">
                            <w:pPr>
                              <w:jc w:val="center"/>
                              <w:rPr>
                                <w:color w:val="000000" w:themeColor="text1"/>
                              </w:rPr>
                            </w:pPr>
                            <w:r w:rsidRPr="00613A28">
                              <w:rPr>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391460" id="Rectangle 12345" o:spid="_x0000_s1111" style="position:absolute;margin-left:249pt;margin-top:21.5pt;width:54pt;height:29.25pt;z-index:25130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" filled="f" strokecolor="#1f4d78 [1604]" strokeweight="1pt">
                <v:textbox>
                  <w:txbxContent>
                    <w:p w14:paraId="030DE8B8" w14:textId="77777777" w:rsidR="009C0325" w:rsidRPr="00613A28" w:rsidRDefault="009C0325" w:rsidP="00FD0157">
                      <w:pPr>
                        <w:jc w:val="center"/>
                        <w:rPr>
                          <w:color w:val="000000" w:themeColor="text1"/>
                        </w:rPr>
                      </w:pPr>
                      <w:r w:rsidRPr="00613A28">
                        <w:rPr>
                          <w:color w:val="000000" w:themeColor="text1"/>
                        </w:rPr>
                        <w:t>No</w:t>
                      </w:r>
                    </w:p>
                  </w:txbxContent>
                </v:textbox>
              </v:rect>
            </w:pict>
          </mc:Fallback>
        </mc:AlternateContent>
      </w:r>
      <w:r w:rsidR="00195DA0" w:rsidRPr="00A77AF6">
        <w:rPr>
          <w:noProof/>
          <w:lang w:eastAsia="en-GB"/>
        </w:rPr>
        <mc:AlternateContent>
          <mc:Choice Requires="wps">
            <w:drawing>
              <wp:anchor distT="0" distB="0" distL="114300" distR="114300" simplePos="0" relativeHeight="251313664" behindDoc="0" locked="0" layoutInCell="1" allowOverlap="1" wp14:anchorId="78C3100D" wp14:editId="146E1F7B">
                <wp:simplePos x="0" y="0"/>
                <wp:positionH relativeFrom="column">
                  <wp:posOffset>4341495</wp:posOffset>
                </wp:positionH>
                <wp:positionV relativeFrom="paragraph">
                  <wp:posOffset>269985</wp:posOffset>
                </wp:positionV>
                <wp:extent cx="685800" cy="371475"/>
                <wp:effectExtent l="0" t="0" r="19050" b="28575"/>
                <wp:wrapNone/>
                <wp:docPr id="12346" name="Rectangle 12346"/>
                <wp:cNvGraphicFramePr/>
                <a:graphic xmlns:a="http://schemas.openxmlformats.org/drawingml/2006/main">
                  <a:graphicData uri="http://schemas.microsoft.com/office/word/2010/wordprocessingShape">
                    <wps:wsp>
                      <wps:cNvSpPr/>
                      <wps:spPr>
                        <a:xfrm>
                          <a:off x="0" y="0"/>
                          <a:ext cx="685800" cy="3714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4FE5537" w14:textId="77777777" w:rsidR="009C0325" w:rsidRPr="00613A28" w:rsidRDefault="009C0325" w:rsidP="00FD0157">
                            <w:pPr>
                              <w:jc w:val="center"/>
                              <w:rPr>
                                <w:color w:val="000000" w:themeColor="text1"/>
                              </w:rPr>
                            </w:pPr>
                            <w:r w:rsidRPr="00613A28">
                              <w:rPr>
                                <w:color w:val="000000" w:themeColor="text1"/>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C3100D" id="Rectangle 12346" o:spid="_x0000_s1112" style="position:absolute;margin-left:341.85pt;margin-top:21.25pt;width:54pt;height:29.25pt;z-index:25131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" filled="f" strokecolor="#1f4d78 [1604]" strokeweight="1pt">
                <v:textbox>
                  <w:txbxContent>
                    <w:p w14:paraId="34FE5537" w14:textId="77777777" w:rsidR="009C0325" w:rsidRPr="00613A28" w:rsidRDefault="009C0325" w:rsidP="00FD0157">
                      <w:pPr>
                        <w:jc w:val="center"/>
                        <w:rPr>
                          <w:color w:val="000000" w:themeColor="text1"/>
                        </w:rPr>
                      </w:pPr>
                      <w:r w:rsidRPr="00613A28">
                        <w:rPr>
                          <w:color w:val="000000" w:themeColor="text1"/>
                        </w:rPr>
                        <w:t>Yes</w:t>
                      </w:r>
                    </w:p>
                  </w:txbxContent>
                </v:textbox>
              </v:rect>
            </w:pict>
          </mc:Fallback>
        </mc:AlternateContent>
      </w:r>
    </w:p>
    <w:p w14:paraId="24F834F3" w14:textId="3440C85A" w:rsidR="00FD0157" w:rsidRPr="00A77AF6" w:rsidRDefault="00FD0157"/>
    <w:p w14:paraId="57A3EA13" w14:textId="429890C1" w:rsidR="00FD0157" w:rsidRPr="00A77AF6" w:rsidRDefault="003052C9">
      <w:r>
        <w:rPr>
          <w:noProof/>
          <w:lang w:eastAsia="en-GB"/>
        </w:rPr>
        <mc:AlternateContent>
          <mc:Choice Requires="wps">
            <w:drawing>
              <wp:anchor distT="0" distB="0" distL="114300" distR="114300" simplePos="0" relativeHeight="252042752" behindDoc="0" locked="0" layoutInCell="1" allowOverlap="1" wp14:anchorId="71F603D1" wp14:editId="0185CF9C">
                <wp:simplePos x="0" y="0"/>
                <wp:positionH relativeFrom="column">
                  <wp:posOffset>4684280</wp:posOffset>
                </wp:positionH>
                <wp:positionV relativeFrom="paragraph">
                  <wp:posOffset>78012</wp:posOffset>
                </wp:positionV>
                <wp:extent cx="0" cy="1079653"/>
                <wp:effectExtent l="76200" t="0" r="57150" b="63500"/>
                <wp:wrapNone/>
                <wp:docPr id="254" name="Straight Arrow Connector 254"/>
                <wp:cNvGraphicFramePr/>
                <a:graphic xmlns:a="http://schemas.openxmlformats.org/drawingml/2006/main">
                  <a:graphicData uri="http://schemas.microsoft.com/office/word/2010/wordprocessingShape">
                    <wps:wsp>
                      <wps:cNvCnPr/>
                      <wps:spPr>
                        <a:xfrm>
                          <a:off x="0" y="0"/>
                          <a:ext cx="0" cy="10796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FE4234" id="Straight Arrow Connector 254" o:spid="_x0000_s1026" type="#_x0000_t32" style="position:absolute;margin-left:368.85pt;margin-top:6.15pt;width:0;height:85pt;z-index:25204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" strokecolor="#5b9bd5 [3204]" strokeweight=".5pt">
                <v:stroke endarrow="block" joinstyle="miter"/>
              </v:shape>
            </w:pict>
          </mc:Fallback>
        </mc:AlternateContent>
      </w:r>
      <w:r w:rsidR="00195DA0" w:rsidRPr="00A77AF6">
        <w:rPr>
          <w:noProof/>
          <w:lang w:eastAsia="en-GB"/>
        </w:rPr>
        <mc:AlternateContent>
          <mc:Choice Requires="wps">
            <w:drawing>
              <wp:anchor distT="0" distB="0" distL="114300" distR="114300" simplePos="0" relativeHeight="251728384" behindDoc="0" locked="0" layoutInCell="1" allowOverlap="1" wp14:anchorId="61D244D6" wp14:editId="11B42D5B">
                <wp:simplePos x="0" y="0"/>
                <wp:positionH relativeFrom="column">
                  <wp:posOffset>3522345</wp:posOffset>
                </wp:positionH>
                <wp:positionV relativeFrom="paragraph">
                  <wp:posOffset>75565</wp:posOffset>
                </wp:positionV>
                <wp:extent cx="0" cy="276225"/>
                <wp:effectExtent l="76200" t="0" r="57150" b="47625"/>
                <wp:wrapNone/>
                <wp:docPr id="12331" name="Straight Arrow Connector 12331"/>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45AE4A" id="Straight Arrow Connector 12331" o:spid="_x0000_s1026" type="#_x0000_t32" style="position:absolute;margin-left:277.35pt;margin-top:5.95pt;width:0;height:21.75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" strokecolor="#5b9bd5 [3204]" strokeweight=".5pt">
                <v:stroke endarrow="block" joinstyle="miter"/>
              </v:shape>
            </w:pict>
          </mc:Fallback>
        </mc:AlternateContent>
      </w:r>
    </w:p>
    <w:p w14:paraId="2D25558D" w14:textId="48F44939" w:rsidR="00FD0157" w:rsidRPr="00A77AF6" w:rsidRDefault="00195DA0">
      <w:r w:rsidRPr="00A77AF6">
        <w:rPr>
          <w:noProof/>
          <w:lang w:eastAsia="en-GB"/>
        </w:rPr>
        <mc:AlternateContent>
          <mc:Choice Requires="wps">
            <w:drawing>
              <wp:anchor distT="0" distB="0" distL="114300" distR="114300" simplePos="0" relativeHeight="251716096" behindDoc="0" locked="0" layoutInCell="1" allowOverlap="1" wp14:anchorId="2BE8D5F7" wp14:editId="72660E37">
                <wp:simplePos x="0" y="0"/>
                <wp:positionH relativeFrom="column">
                  <wp:posOffset>3160395</wp:posOffset>
                </wp:positionH>
                <wp:positionV relativeFrom="paragraph">
                  <wp:posOffset>74295</wp:posOffset>
                </wp:positionV>
                <wp:extent cx="685800" cy="428625"/>
                <wp:effectExtent l="0" t="0" r="19050" b="28575"/>
                <wp:wrapNone/>
                <wp:docPr id="12326" name="Rectangle 12326"/>
                <wp:cNvGraphicFramePr/>
                <a:graphic xmlns:a="http://schemas.openxmlformats.org/drawingml/2006/main">
                  <a:graphicData uri="http://schemas.microsoft.com/office/word/2010/wordprocessingShape">
                    <wps:wsp>
                      <wps:cNvSpPr/>
                      <wps:spPr>
                        <a:xfrm>
                          <a:off x="0" y="0"/>
                          <a:ext cx="685800" cy="4286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6B068E" w14:textId="77777777" w:rsidR="009C0325" w:rsidRPr="00F04025" w:rsidRDefault="009C0325" w:rsidP="00F90B34">
                            <w:pPr>
                              <w:jc w:val="center"/>
                              <w:rPr>
                                <w:color w:val="000000" w:themeColor="text1"/>
                                <w:sz w:val="21"/>
                                <w:szCs w:val="21"/>
                              </w:rPr>
                            </w:pPr>
                            <w:r>
                              <w:rPr>
                                <w:color w:val="000000" w:themeColor="text1"/>
                                <w:sz w:val="21"/>
                                <w:szCs w:val="21"/>
                              </w:rPr>
                              <w:t>Record reasons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8D5F7" id="Rectangle 12326" o:spid="_x0000_s1113" style="position:absolute;margin-left:248.85pt;margin-top:5.85pt;width:54pt;height:33.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" fillcolor="white [3212]" strokecolor="#1f4d78 [1604]" strokeweight="1pt">
                <v:textbox>
                  <w:txbxContent>
                    <w:p w14:paraId="036B068E" w14:textId="77777777" w:rsidR="009C0325" w:rsidRPr="00F04025" w:rsidRDefault="009C0325" w:rsidP="00F90B34">
                      <w:pPr>
                        <w:jc w:val="center"/>
                        <w:rPr>
                          <w:color w:val="000000" w:themeColor="text1"/>
                          <w:sz w:val="21"/>
                          <w:szCs w:val="21"/>
                        </w:rPr>
                      </w:pPr>
                      <w:r>
                        <w:rPr>
                          <w:color w:val="000000" w:themeColor="text1"/>
                          <w:sz w:val="21"/>
                          <w:szCs w:val="21"/>
                        </w:rPr>
                        <w:t>Record reasons</w:t>
                      </w:r>
                    </w:p>
                  </w:txbxContent>
                </v:textbox>
              </v:rect>
            </w:pict>
          </mc:Fallback>
        </mc:AlternateContent>
      </w:r>
    </w:p>
    <w:p w14:paraId="08A09196" w14:textId="237997FF" w:rsidR="00FD0157" w:rsidRPr="00A77AF6" w:rsidRDefault="003052C9">
      <w:r>
        <w:rPr>
          <w:noProof/>
        </w:rPr>
        <mc:AlternateContent>
          <mc:Choice Requires="wps">
            <w:drawing>
              <wp:anchor distT="0" distB="0" distL="114300" distR="114300" simplePos="0" relativeHeight="252041728" behindDoc="0" locked="0" layoutInCell="1" allowOverlap="1" wp14:anchorId="0AC8CFD5" wp14:editId="53843424">
                <wp:simplePos x="0" y="0"/>
                <wp:positionH relativeFrom="column">
                  <wp:posOffset>3527509</wp:posOffset>
                </wp:positionH>
                <wp:positionV relativeFrom="paragraph">
                  <wp:posOffset>221577</wp:posOffset>
                </wp:positionV>
                <wp:extent cx="0" cy="364589"/>
                <wp:effectExtent l="76200" t="0" r="76200" b="54610"/>
                <wp:wrapNone/>
                <wp:docPr id="241" name="Straight Arrow Connector 241"/>
                <wp:cNvGraphicFramePr/>
                <a:graphic xmlns:a="http://schemas.openxmlformats.org/drawingml/2006/main">
                  <a:graphicData uri="http://schemas.microsoft.com/office/word/2010/wordprocessingShape">
                    <wps:wsp>
                      <wps:cNvCnPr/>
                      <wps:spPr>
                        <a:xfrm>
                          <a:off x="0" y="0"/>
                          <a:ext cx="0" cy="3645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16EA9F" id="Straight Arrow Connector 241" o:spid="_x0000_s1026" type="#_x0000_t32" style="position:absolute;margin-left:277.75pt;margin-top:17.45pt;width:0;height:28.7pt;z-index:25204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" strokecolor="#5b9bd5 [3204]" strokeweight=".5pt">
                <v:stroke endarrow="block" joinstyle="miter"/>
              </v:shape>
            </w:pict>
          </mc:Fallback>
        </mc:AlternateContent>
      </w:r>
    </w:p>
    <w:p w14:paraId="018FB1CD" w14:textId="7CF52587" w:rsidR="00FD0157" w:rsidRPr="00A77AF6" w:rsidRDefault="00FD0157"/>
    <w:p w14:paraId="10940998" w14:textId="63AD9D2F" w:rsidR="00DA6030" w:rsidRPr="00A77AF6" w:rsidRDefault="00195DA0">
      <w:r w:rsidRPr="00A77AF6">
        <w:rPr>
          <w:noProof/>
          <w:lang w:eastAsia="en-GB"/>
        </w:rPr>
        <mc:AlternateContent>
          <mc:Choice Requires="wps">
            <w:drawing>
              <wp:anchor distT="0" distB="0" distL="114300" distR="114300" simplePos="0" relativeHeight="251319808" behindDoc="0" locked="0" layoutInCell="1" allowOverlap="1" wp14:anchorId="53F59254" wp14:editId="33BE94AF">
                <wp:simplePos x="0" y="0"/>
                <wp:positionH relativeFrom="column">
                  <wp:posOffset>2139950</wp:posOffset>
                </wp:positionH>
                <wp:positionV relativeFrom="paragraph">
                  <wp:posOffset>9525</wp:posOffset>
                </wp:positionV>
                <wp:extent cx="4324350" cy="466725"/>
                <wp:effectExtent l="0" t="0" r="19050" b="28575"/>
                <wp:wrapNone/>
                <wp:docPr id="12347" name="Flowchart: Process 12347"/>
                <wp:cNvGraphicFramePr/>
                <a:graphic xmlns:a="http://schemas.openxmlformats.org/drawingml/2006/main">
                  <a:graphicData uri="http://schemas.microsoft.com/office/word/2010/wordprocessingShape">
                    <wps:wsp>
                      <wps:cNvSpPr/>
                      <wps:spPr>
                        <a:xfrm>
                          <a:off x="0" y="0"/>
                          <a:ext cx="4324350" cy="466725"/>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B58807" w14:textId="49E5C75D" w:rsidR="009C0325" w:rsidRPr="005E4394" w:rsidRDefault="009C0325" w:rsidP="00FD0157">
                            <w:pPr>
                              <w:jc w:val="center"/>
                              <w:rPr>
                                <w:color w:val="000000" w:themeColor="text1"/>
                              </w:rPr>
                            </w:pPr>
                            <w:r>
                              <w:rPr>
                                <w:color w:val="000000" w:themeColor="text1"/>
                              </w:rPr>
                              <w:t>Close project management phase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F59254" id="Flowchart: Process 12347" o:spid="_x0000_s1114" type="#_x0000_t109" style="position:absolute;margin-left:168.5pt;margin-top:.75pt;width:340.5pt;height:36.75pt;z-index:25131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" fillcolor="white [3212]" strokecolor="#1f4d78 [1604]" strokeweight="1pt">
                <v:textbox>
                  <w:txbxContent>
                    <w:p w14:paraId="57B58807" w14:textId="49E5C75D" w:rsidR="009C0325" w:rsidRPr="005E4394" w:rsidRDefault="009C0325" w:rsidP="00FD0157">
                      <w:pPr>
                        <w:jc w:val="center"/>
                        <w:rPr>
                          <w:color w:val="000000" w:themeColor="text1"/>
                        </w:rPr>
                      </w:pPr>
                      <w:r>
                        <w:rPr>
                          <w:color w:val="000000" w:themeColor="text1"/>
                        </w:rPr>
                        <w:t>Close project management phase</w:t>
                      </w:r>
                    </w:p>
                  </w:txbxContent>
                </v:textbox>
              </v:shape>
            </w:pict>
          </mc:Fallback>
        </mc:AlternateContent>
      </w:r>
    </w:p>
    <w:p w14:paraId="400FAC75" w14:textId="3457E709" w:rsidR="00DA6030" w:rsidRPr="00A77AF6" w:rsidRDefault="00DA6030"/>
    <w:p w14:paraId="2B4718A4" w14:textId="61891348" w:rsidR="00DA6030" w:rsidRPr="00A77AF6" w:rsidRDefault="00DA6030"/>
    <w:p w14:paraId="62B5AAD7" w14:textId="6E67D358" w:rsidR="00DA6030" w:rsidRPr="00A77AF6" w:rsidRDefault="00DA6030"/>
    <w:p w14:paraId="2023BD9F" w14:textId="70CF20DA" w:rsidR="006C3F16" w:rsidRPr="00A77AF6" w:rsidRDefault="006C3F16">
      <w:r w:rsidRPr="00A77AF6">
        <w:br w:type="page"/>
      </w:r>
    </w:p>
    <w:p w14:paraId="552C4398" w14:textId="77777777" w:rsidR="00DA6030" w:rsidRPr="00A77AF6" w:rsidRDefault="00DA6030"/>
    <w:p w14:paraId="669499E2" w14:textId="35265164" w:rsidR="00C30D49" w:rsidRPr="00A77AF6" w:rsidRDefault="00C30D49" w:rsidP="00463442">
      <w:pPr>
        <w:pStyle w:val="Caption"/>
        <w:ind w:left="567"/>
      </w:pPr>
      <w:bookmarkStart w:id="216" w:name="_Toc36186994"/>
      <w:r w:rsidRPr="00A77AF6">
        <w:t xml:space="preserve">Figure </w:t>
      </w:r>
      <w:fldSimple w:instr=" STYLEREF 1 \s ">
        <w:r w:rsidR="000441F7">
          <w:rPr>
            <w:noProof/>
          </w:rPr>
          <w:t>8</w:t>
        </w:r>
      </w:fldSimple>
      <w:r w:rsidR="00BA5DC4">
        <w:noBreakHyphen/>
      </w:r>
      <w:fldSimple w:instr=" SEQ Figure \* ARABIC \s 1 ">
        <w:r w:rsidR="000441F7">
          <w:rPr>
            <w:noProof/>
          </w:rPr>
          <w:t>4</w:t>
        </w:r>
      </w:fldSimple>
      <w:r w:rsidRPr="00A77AF6">
        <w:t xml:space="preserve">: </w:t>
      </w:r>
      <w:r w:rsidR="008D742E" w:rsidRPr="00A77AF6">
        <w:t xml:space="preserve">Project Assurance Model </w:t>
      </w:r>
      <w:r w:rsidRPr="00A77AF6">
        <w:t xml:space="preserve">for Corporate Boards </w:t>
      </w:r>
      <w:r w:rsidR="00E91690" w:rsidRPr="00A77AF6">
        <w:t>in the operational phase</w:t>
      </w:r>
      <w:bookmarkEnd w:id="216"/>
    </w:p>
    <w:p w14:paraId="06B8A492" w14:textId="0F1C1481" w:rsidR="000453ED" w:rsidRPr="00A77AF6" w:rsidRDefault="001B5995" w:rsidP="00463442">
      <w:pPr>
        <w:ind w:left="567"/>
      </w:pPr>
      <w:r w:rsidRPr="00A77AF6">
        <w:rPr>
          <w:noProof/>
          <w:lang w:eastAsia="en-GB"/>
        </w:rPr>
        <mc:AlternateContent>
          <mc:Choice Requires="wps">
            <w:drawing>
              <wp:anchor distT="0" distB="0" distL="114300" distR="114300" simplePos="0" relativeHeight="251473408" behindDoc="0" locked="0" layoutInCell="1" allowOverlap="1" wp14:anchorId="449D9C40" wp14:editId="315ACF3F">
                <wp:simplePos x="0" y="0"/>
                <wp:positionH relativeFrom="column">
                  <wp:posOffset>845820</wp:posOffset>
                </wp:positionH>
                <wp:positionV relativeFrom="paragraph">
                  <wp:posOffset>222885</wp:posOffset>
                </wp:positionV>
                <wp:extent cx="6543675" cy="304800"/>
                <wp:effectExtent l="0" t="0" r="28575" b="19050"/>
                <wp:wrapNone/>
                <wp:docPr id="12300" name="Flowchart: Process 12300"/>
                <wp:cNvGraphicFramePr/>
                <a:graphic xmlns:a="http://schemas.openxmlformats.org/drawingml/2006/main">
                  <a:graphicData uri="http://schemas.microsoft.com/office/word/2010/wordprocessingShape">
                    <wps:wsp>
                      <wps:cNvSpPr/>
                      <wps:spPr>
                        <a:xfrm>
                          <a:off x="0" y="0"/>
                          <a:ext cx="6543675" cy="30480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09AD305" w14:textId="7D12548E" w:rsidR="009C0325" w:rsidRPr="00867B9B" w:rsidRDefault="009C0325" w:rsidP="001B5995">
                            <w:pPr>
                              <w:jc w:val="center"/>
                              <w:rPr>
                                <w:color w:val="000000" w:themeColor="text1"/>
                                <w:sz w:val="21"/>
                                <w:szCs w:val="21"/>
                              </w:rPr>
                            </w:pPr>
                            <w:r>
                              <w:rPr>
                                <w:color w:val="000000" w:themeColor="text1"/>
                                <w:sz w:val="21"/>
                                <w:szCs w:val="21"/>
                              </w:rPr>
                              <w:t>Project Assurance Model in the Operational phase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9D9C40" id="Flowchart: Process 12300" o:spid="_x0000_s1115" type="#_x0000_t109" style="position:absolute;left:0;text-align:left;margin-left:66.6pt;margin-top:17.55pt;width:515.25pt;height:24pt;z-index:25147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" filled="f" strokecolor="#1f4d78 [1604]" strokeweight="1pt">
                <v:textbox>
                  <w:txbxContent>
                    <w:p w14:paraId="409AD305" w14:textId="7D12548E" w:rsidR="009C0325" w:rsidRPr="00867B9B" w:rsidRDefault="009C0325" w:rsidP="001B5995">
                      <w:pPr>
                        <w:jc w:val="center"/>
                        <w:rPr>
                          <w:color w:val="000000" w:themeColor="text1"/>
                          <w:sz w:val="21"/>
                          <w:szCs w:val="21"/>
                        </w:rPr>
                      </w:pPr>
                      <w:r>
                        <w:rPr>
                          <w:color w:val="000000" w:themeColor="text1"/>
                          <w:sz w:val="21"/>
                          <w:szCs w:val="21"/>
                        </w:rPr>
                        <w:t>Project Assurance Model in the Operational phase</w:t>
                      </w:r>
                    </w:p>
                  </w:txbxContent>
                </v:textbox>
              </v:shape>
            </w:pict>
          </mc:Fallback>
        </mc:AlternateContent>
      </w:r>
    </w:p>
    <w:p w14:paraId="52F36AD5" w14:textId="686CA0F0" w:rsidR="000453ED" w:rsidRPr="00A77AF6" w:rsidRDefault="002A4B8D" w:rsidP="00463442">
      <w:pPr>
        <w:ind w:left="567"/>
      </w:pPr>
      <w:r w:rsidRPr="00A77AF6">
        <w:rPr>
          <w:noProof/>
          <w:lang w:eastAsia="en-GB"/>
        </w:rPr>
        <mc:AlternateContent>
          <mc:Choice Requires="wps">
            <w:drawing>
              <wp:anchor distT="0" distB="0" distL="114300" distR="114300" simplePos="0" relativeHeight="251491840" behindDoc="0" locked="0" layoutInCell="1" allowOverlap="1" wp14:anchorId="2A6708EE" wp14:editId="03CD7D48">
                <wp:simplePos x="0" y="0"/>
                <wp:positionH relativeFrom="column">
                  <wp:posOffset>4150995</wp:posOffset>
                </wp:positionH>
                <wp:positionV relativeFrom="paragraph">
                  <wp:posOffset>233680</wp:posOffset>
                </wp:positionV>
                <wp:extent cx="0" cy="257175"/>
                <wp:effectExtent l="76200" t="0" r="57150" b="47625"/>
                <wp:wrapNone/>
                <wp:docPr id="12304" name="Straight Arrow Connector 12304"/>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24B739" id="Straight Arrow Connector 12304" o:spid="_x0000_s1026" type="#_x0000_t32" style="position:absolute;margin-left:326.85pt;margin-top:18.4pt;width:0;height:20.25pt;z-index:25149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" strokecolor="#5b9bd5 [3204]" strokeweight=".5pt">
                <v:stroke endarrow="block" joinstyle="miter"/>
              </v:shape>
            </w:pict>
          </mc:Fallback>
        </mc:AlternateContent>
      </w:r>
    </w:p>
    <w:p w14:paraId="4B6C20C5" w14:textId="54F31FC3" w:rsidR="000453ED" w:rsidRPr="00A77AF6" w:rsidRDefault="00F335C4" w:rsidP="00463442">
      <w:pPr>
        <w:ind w:left="567"/>
      </w:pPr>
      <w:r w:rsidRPr="00A77AF6">
        <w:rPr>
          <w:noProof/>
          <w:lang w:eastAsia="en-GB"/>
        </w:rPr>
        <mc:AlternateContent>
          <mc:Choice Requires="wps">
            <w:drawing>
              <wp:anchor distT="0" distB="0" distL="114300" distR="114300" simplePos="0" relativeHeight="251485696" behindDoc="0" locked="0" layoutInCell="1" allowOverlap="1" wp14:anchorId="0AA76B41" wp14:editId="7D4BDB04">
                <wp:simplePos x="0" y="0"/>
                <wp:positionH relativeFrom="column">
                  <wp:posOffset>2886075</wp:posOffset>
                </wp:positionH>
                <wp:positionV relativeFrom="paragraph">
                  <wp:posOffset>208915</wp:posOffset>
                </wp:positionV>
                <wp:extent cx="2609850" cy="247650"/>
                <wp:effectExtent l="0" t="0" r="0" b="0"/>
                <wp:wrapNone/>
                <wp:docPr id="12302" name="Flowchart: Process 12302"/>
                <wp:cNvGraphicFramePr/>
                <a:graphic xmlns:a="http://schemas.openxmlformats.org/drawingml/2006/main">
                  <a:graphicData uri="http://schemas.microsoft.com/office/word/2010/wordprocessingShape">
                    <wps:wsp>
                      <wps:cNvSpPr/>
                      <wps:spPr>
                        <a:xfrm>
                          <a:off x="0" y="0"/>
                          <a:ext cx="2609850" cy="24765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783E4BF" w14:textId="77777777" w:rsidR="009C0325" w:rsidRPr="00867B9B" w:rsidRDefault="009C0325" w:rsidP="00F335C4">
                            <w:pPr>
                              <w:jc w:val="center"/>
                              <w:rPr>
                                <w:color w:val="000000" w:themeColor="text1"/>
                                <w:sz w:val="21"/>
                                <w:szCs w:val="21"/>
                              </w:rPr>
                            </w:pPr>
                            <w:r w:rsidRPr="00867B9B">
                              <w:rPr>
                                <w:color w:val="000000" w:themeColor="text1"/>
                                <w:sz w:val="21"/>
                                <w:szCs w:val="21"/>
                              </w:rPr>
                              <w:t>Project Success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A76B41" id="Flowchart: Process 12302" o:spid="_x0000_s1116" type="#_x0000_t109" style="position:absolute;left:0;text-align:left;margin-left:227.25pt;margin-top:16.45pt;width:205.5pt;height:19.5pt;z-index:25148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" filled="f" strokecolor="#1f4d78 [1604]" strokeweight="1pt">
                <v:textbox>
                  <w:txbxContent>
                    <w:p w14:paraId="6783E4BF" w14:textId="77777777" w:rsidR="009C0325" w:rsidRPr="00867B9B" w:rsidRDefault="009C0325" w:rsidP="00F335C4">
                      <w:pPr>
                        <w:jc w:val="center"/>
                        <w:rPr>
                          <w:color w:val="000000" w:themeColor="text1"/>
                          <w:sz w:val="21"/>
                          <w:szCs w:val="21"/>
                        </w:rPr>
                      </w:pPr>
                      <w:r w:rsidRPr="00867B9B">
                        <w:rPr>
                          <w:color w:val="000000" w:themeColor="text1"/>
                          <w:sz w:val="21"/>
                          <w:szCs w:val="21"/>
                        </w:rPr>
                        <w:t>Project Success</w:t>
                      </w:r>
                    </w:p>
                  </w:txbxContent>
                </v:textbox>
              </v:shape>
            </w:pict>
          </mc:Fallback>
        </mc:AlternateContent>
      </w:r>
    </w:p>
    <w:p w14:paraId="02E2FE59" w14:textId="6C2606A5" w:rsidR="000453ED" w:rsidRPr="00A77AF6" w:rsidRDefault="00F001A0" w:rsidP="00463442">
      <w:pPr>
        <w:ind w:left="567"/>
      </w:pPr>
      <w:r w:rsidRPr="00A77AF6">
        <w:rPr>
          <w:noProof/>
          <w:lang w:eastAsia="en-GB"/>
        </w:rPr>
        <mc:AlternateContent>
          <mc:Choice Requires="wps">
            <w:drawing>
              <wp:anchor distT="0" distB="0" distL="114300" distR="114300" simplePos="0" relativeHeight="251593216" behindDoc="0" locked="0" layoutInCell="1" allowOverlap="1" wp14:anchorId="09D9D351" wp14:editId="621E1A91">
                <wp:simplePos x="0" y="0"/>
                <wp:positionH relativeFrom="column">
                  <wp:posOffset>4150995</wp:posOffset>
                </wp:positionH>
                <wp:positionV relativeFrom="paragraph">
                  <wp:posOffset>167005</wp:posOffset>
                </wp:positionV>
                <wp:extent cx="0" cy="371475"/>
                <wp:effectExtent l="76200" t="0" r="76200" b="47625"/>
                <wp:wrapNone/>
                <wp:docPr id="12344" name="Straight Arrow Connector 12344"/>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77BD31" id="Straight Arrow Connector 12344" o:spid="_x0000_s1026" type="#_x0000_t32" style="position:absolute;margin-left:326.85pt;margin-top:13.15pt;width:0;height:29.25pt;z-index:25159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" strokecolor="#5b9bd5 [3204]" strokeweight=".5pt">
                <v:stroke endarrow="block" joinstyle="miter"/>
              </v:shape>
            </w:pict>
          </mc:Fallback>
        </mc:AlternateContent>
      </w:r>
    </w:p>
    <w:p w14:paraId="31643975" w14:textId="7AB772E7" w:rsidR="000453ED" w:rsidRPr="00A77AF6" w:rsidRDefault="00CC0297" w:rsidP="00463442">
      <w:pPr>
        <w:ind w:left="567"/>
      </w:pPr>
      <w:r w:rsidRPr="00A77AF6">
        <w:rPr>
          <w:noProof/>
          <w:lang w:eastAsia="en-GB"/>
        </w:rPr>
        <mc:AlternateContent>
          <mc:Choice Requires="wps">
            <w:drawing>
              <wp:anchor distT="0" distB="0" distL="114300" distR="114300" simplePos="0" relativeHeight="251479552" behindDoc="0" locked="0" layoutInCell="1" allowOverlap="1" wp14:anchorId="66D11255" wp14:editId="37EE1F18">
                <wp:simplePos x="0" y="0"/>
                <wp:positionH relativeFrom="column">
                  <wp:posOffset>2884170</wp:posOffset>
                </wp:positionH>
                <wp:positionV relativeFrom="paragraph">
                  <wp:posOffset>253365</wp:posOffset>
                </wp:positionV>
                <wp:extent cx="2609850" cy="1047750"/>
                <wp:effectExtent l="0" t="0" r="19050" b="19050"/>
                <wp:wrapNone/>
                <wp:docPr id="12301" name="Flowchart: Process 12301"/>
                <wp:cNvGraphicFramePr/>
                <a:graphic xmlns:a="http://schemas.openxmlformats.org/drawingml/2006/main">
                  <a:graphicData uri="http://schemas.microsoft.com/office/word/2010/wordprocessingShape">
                    <wps:wsp>
                      <wps:cNvSpPr/>
                      <wps:spPr>
                        <a:xfrm>
                          <a:off x="0" y="0"/>
                          <a:ext cx="2609850" cy="104775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D26C6BC" w14:textId="413A883E" w:rsidR="009C0325" w:rsidRPr="00CC0297" w:rsidRDefault="009C0325" w:rsidP="003D2A57">
                            <w:pPr>
                              <w:pStyle w:val="Heading3"/>
                              <w:numPr>
                                <w:ilvl w:val="0"/>
                                <w:numId w:val="11"/>
                              </w:numPr>
                              <w:spacing w:after="120"/>
                              <w:rPr>
                                <w:rFonts w:asciiTheme="minorHAnsi" w:hAnsiTheme="minorHAnsi" w:cstheme="minorHAnsi"/>
                                <w:color w:val="000000" w:themeColor="text1"/>
                                <w:sz w:val="21"/>
                                <w:szCs w:val="21"/>
                              </w:rPr>
                            </w:pPr>
                            <w:bookmarkStart w:id="217" w:name="_Toc36275161"/>
                            <w:r w:rsidRPr="00CC0297">
                              <w:rPr>
                                <w:rFonts w:asciiTheme="minorHAnsi" w:hAnsiTheme="minorHAnsi" w:cstheme="minorHAnsi"/>
                                <w:color w:val="000000" w:themeColor="text1"/>
                                <w:sz w:val="21"/>
                                <w:szCs w:val="21"/>
                              </w:rPr>
                              <w:t>Are post occupancy evaluations planned and being carried out at agreed intervals during the operational phase</w:t>
                            </w:r>
                            <w:r>
                              <w:rPr>
                                <w:rFonts w:asciiTheme="minorHAnsi" w:hAnsiTheme="minorHAnsi" w:cstheme="minorHAnsi"/>
                                <w:color w:val="000000" w:themeColor="text1"/>
                                <w:sz w:val="21"/>
                                <w:szCs w:val="21"/>
                              </w:rPr>
                              <w:t>, including cost and quality, governance and benefits</w:t>
                            </w:r>
                            <w:bookmarkEnd w:id="217"/>
                          </w:p>
                          <w:p w14:paraId="6631F49B" w14:textId="7625A48E" w:rsidR="009C0325" w:rsidRPr="00130B51" w:rsidRDefault="009C0325" w:rsidP="001B5995">
                            <w:pPr>
                              <w:pStyle w:val="Heading3"/>
                              <w:numPr>
                                <w:ilvl w:val="0"/>
                                <w:numId w:val="0"/>
                              </w:numPr>
                              <w:spacing w:before="0" w:after="60" w:line="240" w:lineRule="auto"/>
                              <w:rPr>
                                <w:rFonts w:asciiTheme="minorHAnsi" w:hAnsiTheme="minorHAnsi" w:cstheme="minorHAnsi"/>
                                <w:color w:val="000000" w:themeColor="text1"/>
                                <w:sz w:val="21"/>
                                <w:szCs w:val="21"/>
                              </w:rPr>
                            </w:pPr>
                          </w:p>
                          <w:p w14:paraId="2581CF01" w14:textId="77777777" w:rsidR="009C0325" w:rsidRPr="00130B51" w:rsidRDefault="009C0325" w:rsidP="001B599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11255" id="Flowchart: Process 12301" o:spid="_x0000_s1117" type="#_x0000_t109" style="position:absolute;left:0;text-align:left;margin-left:227.1pt;margin-top:19.95pt;width:205.5pt;height:82.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" filled="f" strokecolor="#1f4d78 [1604]" strokeweight="1pt">
                <v:textbox>
                  <w:txbxContent>
                    <w:p w14:paraId="1D26C6BC" w14:textId="413A883E" w:rsidR="009C0325" w:rsidRPr="00CC0297" w:rsidRDefault="009C0325" w:rsidP="003D2A57">
                      <w:pPr>
                        <w:pStyle w:val="Heading3"/>
                        <w:numPr>
                          <w:ilvl w:val="0"/>
                          <w:numId w:val="11"/>
                        </w:numPr>
                        <w:spacing w:after="120"/>
                        <w:rPr>
                          <w:rFonts w:asciiTheme="minorHAnsi" w:hAnsiTheme="minorHAnsi" w:cstheme="minorHAnsi"/>
                          <w:color w:val="000000" w:themeColor="text1"/>
                          <w:sz w:val="21"/>
                          <w:szCs w:val="21"/>
                        </w:rPr>
                      </w:pPr>
                      <w:bookmarkStart w:id="218" w:name="_Toc36275161"/>
                      <w:r w:rsidRPr="00CC0297">
                        <w:rPr>
                          <w:rFonts w:asciiTheme="minorHAnsi" w:hAnsiTheme="minorHAnsi" w:cstheme="minorHAnsi"/>
                          <w:color w:val="000000" w:themeColor="text1"/>
                          <w:sz w:val="21"/>
                          <w:szCs w:val="21"/>
                        </w:rPr>
                        <w:t>Are post occupancy evaluations planned and being carried out at agreed intervals during the operational phase</w:t>
                      </w:r>
                      <w:r>
                        <w:rPr>
                          <w:rFonts w:asciiTheme="minorHAnsi" w:hAnsiTheme="minorHAnsi" w:cstheme="minorHAnsi"/>
                          <w:color w:val="000000" w:themeColor="text1"/>
                          <w:sz w:val="21"/>
                          <w:szCs w:val="21"/>
                        </w:rPr>
                        <w:t>, including cost and quality, governance and benefits</w:t>
                      </w:r>
                      <w:bookmarkEnd w:id="218"/>
                    </w:p>
                    <w:p w14:paraId="6631F49B" w14:textId="7625A48E" w:rsidR="009C0325" w:rsidRPr="00130B51" w:rsidRDefault="009C0325" w:rsidP="001B5995">
                      <w:pPr>
                        <w:pStyle w:val="Heading3"/>
                        <w:numPr>
                          <w:ilvl w:val="0"/>
                          <w:numId w:val="0"/>
                        </w:numPr>
                        <w:spacing w:before="0" w:after="60" w:line="240" w:lineRule="auto"/>
                        <w:rPr>
                          <w:rFonts w:asciiTheme="minorHAnsi" w:hAnsiTheme="minorHAnsi" w:cstheme="minorHAnsi"/>
                          <w:color w:val="000000" w:themeColor="text1"/>
                          <w:sz w:val="21"/>
                          <w:szCs w:val="21"/>
                        </w:rPr>
                      </w:pPr>
                    </w:p>
                    <w:p w14:paraId="2581CF01" w14:textId="77777777" w:rsidR="009C0325" w:rsidRPr="00130B51" w:rsidRDefault="009C0325" w:rsidP="001B5995">
                      <w:pPr>
                        <w:jc w:val="center"/>
                        <w:rPr>
                          <w:color w:val="000000" w:themeColor="text1"/>
                        </w:rPr>
                      </w:pPr>
                    </w:p>
                  </w:txbxContent>
                </v:textbox>
              </v:shape>
            </w:pict>
          </mc:Fallback>
        </mc:AlternateContent>
      </w:r>
    </w:p>
    <w:p w14:paraId="203F0BE5" w14:textId="65D66E58" w:rsidR="002A4B8D" w:rsidRPr="00A77AF6" w:rsidRDefault="002A4B8D" w:rsidP="00463442">
      <w:pPr>
        <w:ind w:left="567"/>
      </w:pPr>
    </w:p>
    <w:p w14:paraId="0AA7A3CF" w14:textId="0F53D12A" w:rsidR="002A4B8D" w:rsidRPr="00A77AF6" w:rsidRDefault="002A4B8D" w:rsidP="00463442">
      <w:pPr>
        <w:ind w:left="567"/>
      </w:pPr>
    </w:p>
    <w:p w14:paraId="36D57FEF" w14:textId="3E34FF64" w:rsidR="002A4B8D" w:rsidRPr="00A77AF6" w:rsidRDefault="00DA6030" w:rsidP="00463442">
      <w:pPr>
        <w:ind w:left="567"/>
      </w:pPr>
      <w:r w:rsidRPr="00A77AF6">
        <w:rPr>
          <w:noProof/>
          <w:lang w:eastAsia="en-GB"/>
        </w:rPr>
        <mc:AlternateContent>
          <mc:Choice Requires="wps">
            <w:drawing>
              <wp:anchor distT="0" distB="0" distL="114300" distR="114300" simplePos="0" relativeHeight="251630080" behindDoc="0" locked="0" layoutInCell="1" allowOverlap="1" wp14:anchorId="123681DD" wp14:editId="452B9D35">
                <wp:simplePos x="0" y="0"/>
                <wp:positionH relativeFrom="column">
                  <wp:posOffset>2141220</wp:posOffset>
                </wp:positionH>
                <wp:positionV relativeFrom="paragraph">
                  <wp:posOffset>13970</wp:posOffset>
                </wp:positionV>
                <wp:extent cx="742950" cy="0"/>
                <wp:effectExtent l="0" t="76200" r="19050" b="95250"/>
                <wp:wrapNone/>
                <wp:docPr id="12375" name="Straight Arrow Connector 12375"/>
                <wp:cNvGraphicFramePr/>
                <a:graphic xmlns:a="http://schemas.openxmlformats.org/drawingml/2006/main">
                  <a:graphicData uri="http://schemas.microsoft.com/office/word/2010/wordprocessingShape">
                    <wps:wsp>
                      <wps:cNvCnPr/>
                      <wps:spPr>
                        <a:xfrm>
                          <a:off x="0" y="0"/>
                          <a:ext cx="7429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EA316D" id="Straight Arrow Connector 12375" o:spid="_x0000_s1026" type="#_x0000_t32" style="position:absolute;margin-left:168.6pt;margin-top:1.1pt;width:58.5pt;height:0;z-index:25163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" strokecolor="#5b9bd5 [3204]" strokeweight=".5pt">
                <v:stroke endarrow="block" joinstyle="miter"/>
              </v:shape>
            </w:pict>
          </mc:Fallback>
        </mc:AlternateContent>
      </w:r>
      <w:r w:rsidRPr="00A77AF6">
        <w:rPr>
          <w:noProof/>
          <w:lang w:eastAsia="en-GB"/>
        </w:rPr>
        <mc:AlternateContent>
          <mc:Choice Requires="wps">
            <w:drawing>
              <wp:anchor distT="0" distB="0" distL="114300" distR="114300" simplePos="0" relativeHeight="251623936" behindDoc="0" locked="0" layoutInCell="1" allowOverlap="1" wp14:anchorId="64640A1D" wp14:editId="353ACAA7">
                <wp:simplePos x="0" y="0"/>
                <wp:positionH relativeFrom="column">
                  <wp:posOffset>2141220</wp:posOffset>
                </wp:positionH>
                <wp:positionV relativeFrom="paragraph">
                  <wp:posOffset>13970</wp:posOffset>
                </wp:positionV>
                <wp:extent cx="0" cy="1143000"/>
                <wp:effectExtent l="0" t="0" r="38100" b="19050"/>
                <wp:wrapNone/>
                <wp:docPr id="12374" name="Straight Connector 12374"/>
                <wp:cNvGraphicFramePr/>
                <a:graphic xmlns:a="http://schemas.openxmlformats.org/drawingml/2006/main">
                  <a:graphicData uri="http://schemas.microsoft.com/office/word/2010/wordprocessingShape">
                    <wps:wsp>
                      <wps:cNvCnPr/>
                      <wps:spPr>
                        <a:xfrm flipV="1">
                          <a:off x="0" y="0"/>
                          <a:ext cx="0" cy="1143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A769CB" id="Straight Connector 12374" o:spid="_x0000_s1026" style="position:absolute;flip:y;z-index:251623936;visibility:visible;mso-wrap-style:square;mso-wrap-distance-left:9pt;mso-wrap-distance-top:0;mso-wrap-distance-right:9pt;mso-wrap-distance-bottom:0;mso-position-horizontal:absolute;mso-position-horizontal-relative:text;mso-position-vertical:absolute;mso-position-vertical-relative:text" from="168.6pt,1.1pt" to="168.6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" strokecolor="#5b9bd5 [3204]" strokeweight=".5pt">
                <v:stroke joinstyle="miter"/>
              </v:line>
            </w:pict>
          </mc:Fallback>
        </mc:AlternateContent>
      </w:r>
    </w:p>
    <w:p w14:paraId="1EE1AD8F" w14:textId="08539343" w:rsidR="002A4B8D" w:rsidRPr="00A77AF6" w:rsidRDefault="00DA6030" w:rsidP="00463442">
      <w:pPr>
        <w:ind w:left="567"/>
      </w:pPr>
      <w:r w:rsidRPr="00A77AF6">
        <w:rPr>
          <w:noProof/>
          <w:lang w:eastAsia="en-GB"/>
        </w:rPr>
        <mc:AlternateContent>
          <mc:Choice Requires="wps">
            <w:drawing>
              <wp:anchor distT="0" distB="0" distL="114300" distR="114300" simplePos="0" relativeHeight="251605504" behindDoc="0" locked="0" layoutInCell="1" allowOverlap="1" wp14:anchorId="0945383A" wp14:editId="2B7D3EB0">
                <wp:simplePos x="0" y="0"/>
                <wp:positionH relativeFrom="column">
                  <wp:posOffset>4655820</wp:posOffset>
                </wp:positionH>
                <wp:positionV relativeFrom="paragraph">
                  <wp:posOffset>156845</wp:posOffset>
                </wp:positionV>
                <wp:extent cx="0" cy="542925"/>
                <wp:effectExtent l="76200" t="0" r="57150" b="47625"/>
                <wp:wrapNone/>
                <wp:docPr id="12370" name="Straight Arrow Connector 12370"/>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909623" id="Straight Arrow Connector 12370" o:spid="_x0000_s1026" type="#_x0000_t32" style="position:absolute;margin-left:366.6pt;margin-top:12.35pt;width:0;height:42.75pt;z-index:25160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" strokecolor="#5b9bd5 [3204]" strokeweight=".5pt">
                <v:stroke endarrow="block" joinstyle="miter"/>
              </v:shape>
            </w:pict>
          </mc:Fallback>
        </mc:AlternateContent>
      </w:r>
      <w:r w:rsidRPr="00A77AF6">
        <w:rPr>
          <w:noProof/>
          <w:lang w:eastAsia="en-GB"/>
        </w:rPr>
        <mc:AlternateContent>
          <mc:Choice Requires="wps">
            <w:drawing>
              <wp:anchor distT="0" distB="0" distL="114300" distR="114300" simplePos="0" relativeHeight="251599360" behindDoc="0" locked="0" layoutInCell="1" allowOverlap="1" wp14:anchorId="3B1EDCAB" wp14:editId="7EDAAD7E">
                <wp:simplePos x="0" y="0"/>
                <wp:positionH relativeFrom="column">
                  <wp:posOffset>3474720</wp:posOffset>
                </wp:positionH>
                <wp:positionV relativeFrom="paragraph">
                  <wp:posOffset>156845</wp:posOffset>
                </wp:positionV>
                <wp:extent cx="0" cy="542925"/>
                <wp:effectExtent l="76200" t="0" r="57150" b="47625"/>
                <wp:wrapNone/>
                <wp:docPr id="12369" name="Straight Arrow Connector 12369"/>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D0D47A" id="Straight Arrow Connector 12369" o:spid="_x0000_s1026" type="#_x0000_t32" style="position:absolute;margin-left:273.6pt;margin-top:12.35pt;width:0;height:42.75pt;z-index:25159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" strokecolor="#5b9bd5 [3204]" strokeweight=".5pt">
                <v:stroke endarrow="block" joinstyle="miter"/>
              </v:shape>
            </w:pict>
          </mc:Fallback>
        </mc:AlternateContent>
      </w:r>
    </w:p>
    <w:p w14:paraId="772D6F70" w14:textId="7F988DEE" w:rsidR="002A4B8D" w:rsidRPr="00A77AF6" w:rsidRDefault="002A4B8D" w:rsidP="00463442">
      <w:pPr>
        <w:ind w:left="567"/>
      </w:pPr>
    </w:p>
    <w:p w14:paraId="727AC167" w14:textId="338A7D6D" w:rsidR="00DA6030" w:rsidRPr="00A77AF6" w:rsidRDefault="00DA6030" w:rsidP="00463442">
      <w:pPr>
        <w:ind w:left="567"/>
      </w:pPr>
      <w:r w:rsidRPr="00A77AF6">
        <w:rPr>
          <w:noProof/>
          <w:lang w:eastAsia="en-GB"/>
        </w:rPr>
        <mc:AlternateContent>
          <mc:Choice Requires="wps">
            <w:drawing>
              <wp:anchor distT="0" distB="0" distL="114300" distR="114300" simplePos="0" relativeHeight="251332096" behindDoc="0" locked="0" layoutInCell="1" allowOverlap="1" wp14:anchorId="2D8C26BF" wp14:editId="263EA686">
                <wp:simplePos x="0" y="0"/>
                <wp:positionH relativeFrom="column">
                  <wp:posOffset>4351020</wp:posOffset>
                </wp:positionH>
                <wp:positionV relativeFrom="paragraph">
                  <wp:posOffset>123825</wp:posOffset>
                </wp:positionV>
                <wp:extent cx="685800" cy="371475"/>
                <wp:effectExtent l="0" t="0" r="19050" b="28575"/>
                <wp:wrapNone/>
                <wp:docPr id="12364" name="Rectangle 12364"/>
                <wp:cNvGraphicFramePr/>
                <a:graphic xmlns:a="http://schemas.openxmlformats.org/drawingml/2006/main">
                  <a:graphicData uri="http://schemas.microsoft.com/office/word/2010/wordprocessingShape">
                    <wps:wsp>
                      <wps:cNvSpPr/>
                      <wps:spPr>
                        <a:xfrm>
                          <a:off x="0" y="0"/>
                          <a:ext cx="685800" cy="3714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08AE4D7" w14:textId="77777777" w:rsidR="009C0325" w:rsidRPr="00613A28" w:rsidRDefault="009C0325" w:rsidP="00DA6030">
                            <w:pPr>
                              <w:jc w:val="center"/>
                              <w:rPr>
                                <w:color w:val="000000" w:themeColor="text1"/>
                              </w:rPr>
                            </w:pPr>
                            <w:r w:rsidRPr="00613A28">
                              <w:rPr>
                                <w:color w:val="000000" w:themeColor="text1"/>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8C26BF" id="Rectangle 12364" o:spid="_x0000_s1118" style="position:absolute;left:0;text-align:left;margin-left:342.6pt;margin-top:9.75pt;width:54pt;height:29.25pt;z-index:25133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" filled="f" strokecolor="#1f4d78 [1604]" strokeweight="1pt">
                <v:textbox>
                  <w:txbxContent>
                    <w:p w14:paraId="508AE4D7" w14:textId="77777777" w:rsidR="009C0325" w:rsidRPr="00613A28" w:rsidRDefault="009C0325" w:rsidP="00DA6030">
                      <w:pPr>
                        <w:jc w:val="center"/>
                        <w:rPr>
                          <w:color w:val="000000" w:themeColor="text1"/>
                        </w:rPr>
                      </w:pPr>
                      <w:r w:rsidRPr="00613A28">
                        <w:rPr>
                          <w:color w:val="000000" w:themeColor="text1"/>
                        </w:rPr>
                        <w:t>Yes</w:t>
                      </w:r>
                    </w:p>
                  </w:txbxContent>
                </v:textbox>
              </v:rect>
            </w:pict>
          </mc:Fallback>
        </mc:AlternateContent>
      </w:r>
      <w:r w:rsidRPr="00A77AF6">
        <w:rPr>
          <w:noProof/>
          <w:lang w:eastAsia="en-GB"/>
        </w:rPr>
        <mc:AlternateContent>
          <mc:Choice Requires="wps">
            <w:drawing>
              <wp:anchor distT="0" distB="0" distL="114300" distR="114300" simplePos="0" relativeHeight="251325952" behindDoc="0" locked="0" layoutInCell="1" allowOverlap="1" wp14:anchorId="0D71B25C" wp14:editId="4C871DF3">
                <wp:simplePos x="0" y="0"/>
                <wp:positionH relativeFrom="column">
                  <wp:posOffset>3171825</wp:posOffset>
                </wp:positionH>
                <wp:positionV relativeFrom="paragraph">
                  <wp:posOffset>127635</wp:posOffset>
                </wp:positionV>
                <wp:extent cx="685800" cy="371475"/>
                <wp:effectExtent l="0" t="0" r="19050" b="28575"/>
                <wp:wrapNone/>
                <wp:docPr id="12363" name="Rectangle 12363"/>
                <wp:cNvGraphicFramePr/>
                <a:graphic xmlns:a="http://schemas.openxmlformats.org/drawingml/2006/main">
                  <a:graphicData uri="http://schemas.microsoft.com/office/word/2010/wordprocessingShape">
                    <wps:wsp>
                      <wps:cNvSpPr/>
                      <wps:spPr>
                        <a:xfrm>
                          <a:off x="0" y="0"/>
                          <a:ext cx="685800" cy="3714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51277CE" w14:textId="77777777" w:rsidR="009C0325" w:rsidRPr="00613A28" w:rsidRDefault="009C0325" w:rsidP="00DA6030">
                            <w:pPr>
                              <w:jc w:val="center"/>
                              <w:rPr>
                                <w:color w:val="000000" w:themeColor="text1"/>
                              </w:rPr>
                            </w:pPr>
                            <w:r w:rsidRPr="00613A28">
                              <w:rPr>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71B25C" id="Rectangle 12363" o:spid="_x0000_s1119" style="position:absolute;left:0;text-align:left;margin-left:249.75pt;margin-top:10.05pt;width:54pt;height:29.25pt;z-index:25132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" filled="f" strokecolor="#1f4d78 [1604]" strokeweight="1pt">
                <v:textbox>
                  <w:txbxContent>
                    <w:p w14:paraId="251277CE" w14:textId="77777777" w:rsidR="009C0325" w:rsidRPr="00613A28" w:rsidRDefault="009C0325" w:rsidP="00DA6030">
                      <w:pPr>
                        <w:jc w:val="center"/>
                        <w:rPr>
                          <w:color w:val="000000" w:themeColor="text1"/>
                        </w:rPr>
                      </w:pPr>
                      <w:r w:rsidRPr="00613A28">
                        <w:rPr>
                          <w:color w:val="000000" w:themeColor="text1"/>
                        </w:rPr>
                        <w:t>No</w:t>
                      </w:r>
                    </w:p>
                  </w:txbxContent>
                </v:textbox>
              </v:rect>
            </w:pict>
          </mc:Fallback>
        </mc:AlternateContent>
      </w:r>
    </w:p>
    <w:p w14:paraId="2DDA4CA2" w14:textId="09A9EF2D" w:rsidR="00DA6030" w:rsidRPr="00A77AF6" w:rsidRDefault="00DA6030" w:rsidP="00463442">
      <w:pPr>
        <w:ind w:left="567"/>
      </w:pPr>
      <w:r w:rsidRPr="00A77AF6">
        <w:rPr>
          <w:noProof/>
          <w:lang w:eastAsia="en-GB"/>
        </w:rPr>
        <mc:AlternateContent>
          <mc:Choice Requires="wps">
            <w:drawing>
              <wp:anchor distT="0" distB="0" distL="114300" distR="114300" simplePos="0" relativeHeight="251617792" behindDoc="0" locked="0" layoutInCell="1" allowOverlap="1" wp14:anchorId="574935C3" wp14:editId="7694C0C0">
                <wp:simplePos x="0" y="0"/>
                <wp:positionH relativeFrom="column">
                  <wp:posOffset>2141220</wp:posOffset>
                </wp:positionH>
                <wp:positionV relativeFrom="paragraph">
                  <wp:posOffset>14605</wp:posOffset>
                </wp:positionV>
                <wp:extent cx="1028700" cy="0"/>
                <wp:effectExtent l="0" t="0" r="0" b="0"/>
                <wp:wrapNone/>
                <wp:docPr id="12373" name="Straight Connector 12373"/>
                <wp:cNvGraphicFramePr/>
                <a:graphic xmlns:a="http://schemas.openxmlformats.org/drawingml/2006/main">
                  <a:graphicData uri="http://schemas.microsoft.com/office/word/2010/wordprocessingShape">
                    <wps:wsp>
                      <wps:cNvCnPr/>
                      <wps:spPr>
                        <a:xfrm flipH="1">
                          <a:off x="0" y="0"/>
                          <a:ext cx="1028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E745FD" id="Straight Connector 12373" o:spid="_x0000_s1026" style="position:absolute;flip:x;z-index:251617792;visibility:visible;mso-wrap-style:square;mso-wrap-distance-left:9pt;mso-wrap-distance-top:0;mso-wrap-distance-right:9pt;mso-wrap-distance-bottom:0;mso-position-horizontal:absolute;mso-position-horizontal-relative:text;mso-position-vertical:absolute;mso-position-vertical-relative:text" from="168.6pt,1.15pt" to="249.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" strokecolor="#5b9bd5 [3204]" strokeweight=".5pt">
                <v:stroke joinstyle="miter"/>
              </v:line>
            </w:pict>
          </mc:Fallback>
        </mc:AlternateContent>
      </w:r>
      <w:r w:rsidRPr="00A77AF6">
        <w:rPr>
          <w:noProof/>
          <w:lang w:eastAsia="en-GB"/>
        </w:rPr>
        <mc:AlternateContent>
          <mc:Choice Requires="wps">
            <w:drawing>
              <wp:anchor distT="0" distB="0" distL="114300" distR="114300" simplePos="0" relativeHeight="251611648" behindDoc="0" locked="0" layoutInCell="1" allowOverlap="1" wp14:anchorId="76661F6F" wp14:editId="43B37EE9">
                <wp:simplePos x="0" y="0"/>
                <wp:positionH relativeFrom="column">
                  <wp:posOffset>4655820</wp:posOffset>
                </wp:positionH>
                <wp:positionV relativeFrom="paragraph">
                  <wp:posOffset>214630</wp:posOffset>
                </wp:positionV>
                <wp:extent cx="0" cy="352425"/>
                <wp:effectExtent l="76200" t="0" r="76200" b="47625"/>
                <wp:wrapNone/>
                <wp:docPr id="12372" name="Straight Arrow Connector 12372"/>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6B8D3C" id="Straight Arrow Connector 12372" o:spid="_x0000_s1026" type="#_x0000_t32" style="position:absolute;margin-left:366.6pt;margin-top:16.9pt;width:0;height:27.75pt;z-index:25161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" strokecolor="#5b9bd5 [3204]" strokeweight=".5pt">
                <v:stroke endarrow="block" joinstyle="miter"/>
              </v:shape>
            </w:pict>
          </mc:Fallback>
        </mc:AlternateContent>
      </w:r>
    </w:p>
    <w:p w14:paraId="557EAB28" w14:textId="2F0F6B0E" w:rsidR="00DA6030" w:rsidRPr="00A77AF6" w:rsidRDefault="00463442" w:rsidP="00463442">
      <w:pPr>
        <w:ind w:left="567"/>
      </w:pPr>
      <w:r w:rsidRPr="00A77AF6">
        <w:rPr>
          <w:noProof/>
          <w:lang w:eastAsia="en-GB"/>
        </w:rPr>
        <mc:AlternateContent>
          <mc:Choice Requires="wps">
            <w:drawing>
              <wp:anchor distT="0" distB="0" distL="114300" distR="114300" simplePos="0" relativeHeight="251338240" behindDoc="0" locked="0" layoutInCell="1" allowOverlap="1" wp14:anchorId="12AF2408" wp14:editId="58187F8B">
                <wp:simplePos x="0" y="0"/>
                <wp:positionH relativeFrom="column">
                  <wp:posOffset>845820</wp:posOffset>
                </wp:positionH>
                <wp:positionV relativeFrom="paragraph">
                  <wp:posOffset>281940</wp:posOffset>
                </wp:positionV>
                <wp:extent cx="6858000" cy="466725"/>
                <wp:effectExtent l="0" t="0" r="19050" b="28575"/>
                <wp:wrapNone/>
                <wp:docPr id="12368" name="Flowchart: Process 12368"/>
                <wp:cNvGraphicFramePr/>
                <a:graphic xmlns:a="http://schemas.openxmlformats.org/drawingml/2006/main">
                  <a:graphicData uri="http://schemas.microsoft.com/office/word/2010/wordprocessingShape">
                    <wps:wsp>
                      <wps:cNvSpPr/>
                      <wps:spPr>
                        <a:xfrm>
                          <a:off x="0" y="0"/>
                          <a:ext cx="6858000" cy="466725"/>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82EC0D" w14:textId="1FCEA32F" w:rsidR="009C0325" w:rsidRPr="005E4394" w:rsidRDefault="009C0325" w:rsidP="00DA6030">
                            <w:pPr>
                              <w:jc w:val="center"/>
                              <w:rPr>
                                <w:color w:val="000000" w:themeColor="text1"/>
                              </w:rPr>
                            </w:pPr>
                            <w:r>
                              <w:rPr>
                                <w:color w:val="000000" w:themeColor="text1"/>
                              </w:rPr>
                              <w:t xml:space="preserve">Carry out and schedule subsequent evaluation(s)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AF2408" id="Flowchart: Process 12368" o:spid="_x0000_s1120" type="#_x0000_t109" style="position:absolute;left:0;text-align:left;margin-left:66.6pt;margin-top:22.2pt;width:540pt;height:36.75pt;z-index:25133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" fillcolor="white [3212]" strokecolor="#1f4d78 [1604]" strokeweight="1pt">
                <v:textbox>
                  <w:txbxContent>
                    <w:p w14:paraId="6582EC0D" w14:textId="1FCEA32F" w:rsidR="009C0325" w:rsidRPr="005E4394" w:rsidRDefault="009C0325" w:rsidP="00DA6030">
                      <w:pPr>
                        <w:jc w:val="center"/>
                        <w:rPr>
                          <w:color w:val="000000" w:themeColor="text1"/>
                        </w:rPr>
                      </w:pPr>
                      <w:r>
                        <w:rPr>
                          <w:color w:val="000000" w:themeColor="text1"/>
                        </w:rPr>
                        <w:t xml:space="preserve">Carry out and schedule subsequent evaluation(s) </w:t>
                      </w:r>
                    </w:p>
                  </w:txbxContent>
                </v:textbox>
              </v:shape>
            </w:pict>
          </mc:Fallback>
        </mc:AlternateContent>
      </w:r>
    </w:p>
    <w:p w14:paraId="79CD459E" w14:textId="7C8CFF76" w:rsidR="00DA6030" w:rsidRPr="00A77AF6" w:rsidRDefault="00DA6030" w:rsidP="00463442">
      <w:pPr>
        <w:ind w:left="567"/>
      </w:pPr>
    </w:p>
    <w:p w14:paraId="0F16502A" w14:textId="4FE8BFB5" w:rsidR="00DA6030" w:rsidRPr="00A77AF6" w:rsidRDefault="00DA6030" w:rsidP="00463442">
      <w:pPr>
        <w:ind w:left="567"/>
      </w:pPr>
    </w:p>
    <w:p w14:paraId="47015552" w14:textId="7A0AFF38" w:rsidR="00DA6030" w:rsidRPr="00A77AF6" w:rsidRDefault="00DA6030" w:rsidP="00463442">
      <w:pPr>
        <w:ind w:left="567"/>
      </w:pPr>
    </w:p>
    <w:p w14:paraId="5290A554" w14:textId="77777777" w:rsidR="00DA6030" w:rsidRPr="00A77AF6" w:rsidRDefault="00DA6030" w:rsidP="00463442">
      <w:pPr>
        <w:ind w:left="567"/>
      </w:pPr>
    </w:p>
    <w:p w14:paraId="1C295799" w14:textId="77777777" w:rsidR="00AD7B47" w:rsidRPr="00A77AF6" w:rsidRDefault="00AD7B47">
      <w:pPr>
        <w:sectPr w:rsidR="00AD7B47" w:rsidRPr="00A77AF6" w:rsidSect="006C3F16">
          <w:pgSz w:w="23811" w:h="16838" w:orient="landscape" w:code="8"/>
          <w:pgMar w:top="1134" w:right="851" w:bottom="1440" w:left="2268" w:header="709" w:footer="709" w:gutter="0"/>
          <w:cols w:space="708"/>
          <w:docGrid w:linePitch="360"/>
        </w:sectPr>
      </w:pPr>
    </w:p>
    <w:p w14:paraId="45D2B675" w14:textId="1B9CDE74" w:rsidR="00C00FC1" w:rsidRPr="00A77AF6" w:rsidRDefault="00C00FC1" w:rsidP="00C00FC1">
      <w:pPr>
        <w:pStyle w:val="Heading2"/>
        <w:spacing w:after="240"/>
      </w:pPr>
      <w:bookmarkStart w:id="219" w:name="_Toc36275162"/>
      <w:bookmarkEnd w:id="200"/>
      <w:r w:rsidRPr="00A77AF6">
        <w:lastRenderedPageBreak/>
        <w:t>Meeting the objectives</w:t>
      </w:r>
      <w:bookmarkEnd w:id="219"/>
      <w:r w:rsidRPr="00A77AF6">
        <w:t xml:space="preserve"> </w:t>
      </w:r>
    </w:p>
    <w:p w14:paraId="3FAE7CD2" w14:textId="42185939" w:rsidR="00C00FC1" w:rsidRPr="00A77AF6" w:rsidRDefault="00C00FC1" w:rsidP="00C43B88">
      <w:pPr>
        <w:spacing w:line="360" w:lineRule="auto"/>
      </w:pPr>
      <w:r w:rsidRPr="00A77AF6">
        <w:t xml:space="preserve">The research questions and the contribution to knowledge have been addressed by meeting the objectives and this is explained below.  </w:t>
      </w:r>
    </w:p>
    <w:p w14:paraId="2235F579" w14:textId="3514F832" w:rsidR="00B0193D" w:rsidRPr="00A77AF6" w:rsidRDefault="00B0193D" w:rsidP="00DF5B91">
      <w:pPr>
        <w:rPr>
          <w:b/>
          <w:bCs/>
        </w:rPr>
      </w:pPr>
      <w:r w:rsidRPr="00A77AF6">
        <w:rPr>
          <w:b/>
          <w:bCs/>
        </w:rPr>
        <w:t>Explore the ethical predisposition of client-side personnel in English NHS construction projects</w:t>
      </w:r>
    </w:p>
    <w:p w14:paraId="6552D91B" w14:textId="295335D9" w:rsidR="00C00FC1" w:rsidRPr="00A77AF6" w:rsidRDefault="00C00FC1" w:rsidP="00B0193D">
      <w:pPr>
        <w:spacing w:line="360" w:lineRule="auto"/>
      </w:pPr>
      <w:r w:rsidRPr="00A77AF6">
        <w:t xml:space="preserve">This objective was met by </w:t>
      </w:r>
      <w:r w:rsidR="00B0193D" w:rsidRPr="00A77AF6">
        <w:t xml:space="preserve">exploring ethical theory and applied ethical theory and </w:t>
      </w:r>
      <w:r w:rsidRPr="00A77AF6">
        <w:t xml:space="preserve">establishing that ethical theory is applied into the NHS, like other organisations, through </w:t>
      </w:r>
      <w:r w:rsidR="00B0193D" w:rsidRPr="00A77AF6">
        <w:t>structures, process and roles.  In the NHS these are based in law, the NHS constitution, professional codes of conduct,</w:t>
      </w:r>
      <w:r w:rsidRPr="00A77AF6">
        <w:t xml:space="preserve"> protocols and codes of conduct which are based in </w:t>
      </w:r>
      <w:r w:rsidR="00B0193D" w:rsidRPr="00A77AF6">
        <w:t xml:space="preserve">ethical </w:t>
      </w:r>
      <w:r w:rsidRPr="00A77AF6">
        <w:t xml:space="preserve">formalism. </w:t>
      </w:r>
      <w:r w:rsidR="00B0193D" w:rsidRPr="00A77AF6">
        <w:t xml:space="preserve"> The use of the established MEV (Brady &amp; Wheeler) provided strong evidence that the NHS is ethical formalist. </w:t>
      </w:r>
    </w:p>
    <w:p w14:paraId="365FC3CA" w14:textId="5032E4D4" w:rsidR="00C00FC1" w:rsidRPr="00A77AF6" w:rsidRDefault="00B0193D" w:rsidP="00DF5B91">
      <w:pPr>
        <w:rPr>
          <w:b/>
          <w:bCs/>
        </w:rPr>
      </w:pPr>
      <w:r w:rsidRPr="00A77AF6">
        <w:rPr>
          <w:b/>
          <w:bCs/>
        </w:rPr>
        <w:t>Examine the relationship between ethical predisposition and project success</w:t>
      </w:r>
    </w:p>
    <w:p w14:paraId="610DC994" w14:textId="0F90E074" w:rsidR="00C00FC1" w:rsidRPr="00A77AF6" w:rsidRDefault="00C00FC1" w:rsidP="00B0193D">
      <w:pPr>
        <w:spacing w:line="360" w:lineRule="auto"/>
      </w:pPr>
      <w:r w:rsidRPr="00A77AF6">
        <w:t xml:space="preserve">This objective was achieved by </w:t>
      </w:r>
      <w:r w:rsidR="00B0193D" w:rsidRPr="00A77AF6">
        <w:t xml:space="preserve">correlating </w:t>
      </w:r>
      <w:r w:rsidRPr="00A77AF6">
        <w:t>the ethical predisposition of respondents to project success</w:t>
      </w:r>
      <w:r w:rsidR="00B0193D" w:rsidRPr="00A77AF6">
        <w:t xml:space="preserve">.  A weak correlation was found, but it was not possible to conclude that ethical predisposition leads to </w:t>
      </w:r>
      <w:r w:rsidR="007E7B6E" w:rsidRPr="00A77AF6">
        <w:t xml:space="preserve">project success. </w:t>
      </w:r>
      <w:r w:rsidR="00B0193D" w:rsidRPr="00A77AF6">
        <w:t xml:space="preserve"> M</w:t>
      </w:r>
      <w:r w:rsidRPr="00A77AF6">
        <w:t xml:space="preserve">ost </w:t>
      </w:r>
      <w:r w:rsidR="00B0193D" w:rsidRPr="00A77AF6">
        <w:t>respondents</w:t>
      </w:r>
      <w:r w:rsidRPr="00A77AF6">
        <w:t xml:space="preserve"> tended toward formalism and most projects were judged to be successful by respondents. Whilst ethical predisposition did not directly contribute to project success, </w:t>
      </w:r>
      <w:r w:rsidR="007B4158" w:rsidRPr="00A77AF6">
        <w:t>this</w:t>
      </w:r>
      <w:r w:rsidRPr="00A77AF6">
        <w:t xml:space="preserve"> study suggests that the tendency toward formalism means that projects are</w:t>
      </w:r>
      <w:r w:rsidR="006A3DC5" w:rsidRPr="00A77AF6">
        <w:t xml:space="preserve"> probably</w:t>
      </w:r>
      <w:r w:rsidRPr="00A77AF6">
        <w:t xml:space="preserve"> managed according the </w:t>
      </w:r>
      <w:r w:rsidR="007B4158" w:rsidRPr="00A77AF6">
        <w:t xml:space="preserve">project rules. </w:t>
      </w:r>
      <w:r w:rsidR="007E7B6E" w:rsidRPr="00A77AF6">
        <w:t xml:space="preserve"> The literature showed that rules following is part of good governance</w:t>
      </w:r>
      <w:r w:rsidR="002B13C4" w:rsidRPr="00A77AF6">
        <w:t xml:space="preserve"> and that g</w:t>
      </w:r>
      <w:r w:rsidR="007E7B6E" w:rsidRPr="00A77AF6">
        <w:t xml:space="preserve">ood governance is important for </w:t>
      </w:r>
      <w:r w:rsidR="002B13C4" w:rsidRPr="00A77AF6">
        <w:t xml:space="preserve">stakeholder confidence in </w:t>
      </w:r>
      <w:r w:rsidRPr="00A77AF6">
        <w:t>project</w:t>
      </w:r>
      <w:r w:rsidR="002B13C4" w:rsidRPr="00A77AF6">
        <w:t>s</w:t>
      </w:r>
      <w:r w:rsidRPr="00A77AF6">
        <w:t xml:space="preserve">.  </w:t>
      </w:r>
    </w:p>
    <w:p w14:paraId="2AF4B54D" w14:textId="2A0E6899" w:rsidR="00C00FC1" w:rsidRPr="00A77AF6" w:rsidRDefault="00C00FC1" w:rsidP="00DF5B91">
      <w:pPr>
        <w:rPr>
          <w:b/>
          <w:bCs/>
        </w:rPr>
      </w:pPr>
      <w:r w:rsidRPr="00A77AF6">
        <w:rPr>
          <w:b/>
          <w:bCs/>
        </w:rPr>
        <w:t>E</w:t>
      </w:r>
      <w:r w:rsidR="002B13C4" w:rsidRPr="00A77AF6">
        <w:rPr>
          <w:b/>
          <w:bCs/>
        </w:rPr>
        <w:t xml:space="preserve">xamine the relationship between </w:t>
      </w:r>
      <w:r w:rsidRPr="00A77AF6">
        <w:rPr>
          <w:b/>
          <w:bCs/>
        </w:rPr>
        <w:t xml:space="preserve">project governance </w:t>
      </w:r>
      <w:r w:rsidR="002B13C4" w:rsidRPr="00A77AF6">
        <w:rPr>
          <w:b/>
          <w:bCs/>
        </w:rPr>
        <w:t xml:space="preserve">and </w:t>
      </w:r>
      <w:r w:rsidRPr="00A77AF6">
        <w:rPr>
          <w:b/>
          <w:bCs/>
        </w:rPr>
        <w:t xml:space="preserve">project success </w:t>
      </w:r>
    </w:p>
    <w:p w14:paraId="08DC1FA5" w14:textId="7BB060DC" w:rsidR="00C00FC1" w:rsidRPr="00A77AF6" w:rsidRDefault="00C00FC1" w:rsidP="007B4158">
      <w:pPr>
        <w:spacing w:line="360" w:lineRule="auto"/>
      </w:pPr>
      <w:r w:rsidRPr="00A77AF6">
        <w:t>This objective was met by</w:t>
      </w:r>
      <w:r w:rsidR="0006094A" w:rsidRPr="00A77AF6">
        <w:t xml:space="preserve"> correlating scores for project governance and </w:t>
      </w:r>
      <w:r w:rsidR="007B4158" w:rsidRPr="00A77AF6">
        <w:t xml:space="preserve">project success.  A weak correlation was found but it was not possible to conclude that </w:t>
      </w:r>
      <w:r w:rsidRPr="00A77AF6">
        <w:t xml:space="preserve">effective project governance </w:t>
      </w:r>
      <w:r w:rsidR="006A3DC5" w:rsidRPr="00A77AF6">
        <w:t xml:space="preserve">leads </w:t>
      </w:r>
      <w:r w:rsidRPr="00A77AF6">
        <w:t>to project success</w:t>
      </w:r>
      <w:r w:rsidR="006A3DC5" w:rsidRPr="00A77AF6">
        <w:t xml:space="preserve">.  </w:t>
      </w:r>
      <w:r w:rsidR="00364001" w:rsidRPr="00A77AF6">
        <w:t>P</w:t>
      </w:r>
      <w:r w:rsidR="006A3DC5" w:rsidRPr="00A77AF6">
        <w:t xml:space="preserve">roject governance was </w:t>
      </w:r>
      <w:r w:rsidR="00364001" w:rsidRPr="00A77AF6">
        <w:t xml:space="preserve">thought to be </w:t>
      </w:r>
      <w:r w:rsidR="006A3DC5" w:rsidRPr="00A77AF6">
        <w:t xml:space="preserve">effective and </w:t>
      </w:r>
      <w:r w:rsidRPr="00A77AF6">
        <w:t>project governance was very slightly more effective in the 11 projects that met iron triangle</w:t>
      </w:r>
      <w:r w:rsidR="00364001" w:rsidRPr="00A77AF6">
        <w:t xml:space="preserve"> constraints</w:t>
      </w:r>
      <w:r w:rsidR="006A3DC5" w:rsidRPr="00A77AF6">
        <w:t xml:space="preserve">. </w:t>
      </w:r>
      <w:r w:rsidR="008957A4" w:rsidRPr="00A77AF6">
        <w:t xml:space="preserve"> The study</w:t>
      </w:r>
      <w:r w:rsidR="00364001" w:rsidRPr="00A77AF6">
        <w:t xml:space="preserve"> </w:t>
      </w:r>
      <w:r w:rsidR="008957A4" w:rsidRPr="00A77AF6">
        <w:t xml:space="preserve">found that good governance was undermined by poor communication and collegiate working between the project and corporate layers leading to behaviours that meant that trust </w:t>
      </w:r>
      <w:r w:rsidR="00434810" w:rsidRPr="00A77AF6">
        <w:t>boards</w:t>
      </w:r>
      <w:r w:rsidR="008957A4" w:rsidRPr="00A77AF6">
        <w:t xml:space="preserve"> were not always able to exercise effective project.  </w:t>
      </w:r>
    </w:p>
    <w:p w14:paraId="4A411BA4" w14:textId="71408C4E" w:rsidR="003B55F2" w:rsidRPr="00A77AF6" w:rsidRDefault="008957A4" w:rsidP="00DF5B91">
      <w:pPr>
        <w:rPr>
          <w:b/>
          <w:bCs/>
        </w:rPr>
      </w:pPr>
      <w:r w:rsidRPr="00A77AF6">
        <w:rPr>
          <w:b/>
          <w:bCs/>
        </w:rPr>
        <w:t>Develop a project assurance model to guide project sponsors in the establishment of good governance in projects</w:t>
      </w:r>
    </w:p>
    <w:p w14:paraId="084FADCA" w14:textId="5701C909" w:rsidR="003B55F2" w:rsidRPr="00A77AF6" w:rsidRDefault="008957A4" w:rsidP="00CE4A47">
      <w:pPr>
        <w:spacing w:line="360" w:lineRule="auto"/>
      </w:pPr>
      <w:r w:rsidRPr="00A77AF6">
        <w:t>A PAM was developed</w:t>
      </w:r>
      <w:r w:rsidR="00364001" w:rsidRPr="00A77AF6">
        <w:t xml:space="preserve"> which suggests actions to be taken to address culture, skills and knowledge and measurement of success to make sure that projects are effectively managed in the interests of stakeholders.   </w:t>
      </w:r>
    </w:p>
    <w:p w14:paraId="6E718DA3" w14:textId="77777777" w:rsidR="003B55F2" w:rsidRPr="00A77AF6" w:rsidRDefault="003B55F2" w:rsidP="003B55F2">
      <w:pPr>
        <w:pStyle w:val="Heading2"/>
        <w:spacing w:after="240"/>
      </w:pPr>
      <w:bookmarkStart w:id="220" w:name="_Toc36275163"/>
      <w:r w:rsidRPr="00A77AF6">
        <w:lastRenderedPageBreak/>
        <w:t>Contribution to knowledge</w:t>
      </w:r>
      <w:bookmarkEnd w:id="220"/>
    </w:p>
    <w:p w14:paraId="75FEACD5" w14:textId="1B36278E" w:rsidR="00B108A5" w:rsidRPr="00A77AF6" w:rsidRDefault="003B55F2" w:rsidP="00CE4A47">
      <w:pPr>
        <w:tabs>
          <w:tab w:val="num" w:pos="720"/>
          <w:tab w:val="num" w:pos="1440"/>
        </w:tabs>
        <w:spacing w:after="120" w:line="360" w:lineRule="auto"/>
        <w:rPr>
          <w:rFonts w:cstheme="minorHAnsi"/>
        </w:rPr>
      </w:pPr>
      <w:r w:rsidRPr="00A77AF6">
        <w:rPr>
          <w:rFonts w:cstheme="minorHAnsi"/>
        </w:rPr>
        <w:t xml:space="preserve">This work is the first of its kind bringing together as it does two </w:t>
      </w:r>
      <w:r w:rsidR="00CE4A47" w:rsidRPr="00A77AF6">
        <w:rPr>
          <w:rFonts w:cstheme="minorHAnsi"/>
        </w:rPr>
        <w:t xml:space="preserve">theories, ethical theory and agency theory to the </w:t>
      </w:r>
      <w:r w:rsidRPr="00A77AF6">
        <w:rPr>
          <w:rFonts w:cstheme="minorHAnsi"/>
        </w:rPr>
        <w:t xml:space="preserve">field of </w:t>
      </w:r>
      <w:r w:rsidR="00CE4A47" w:rsidRPr="00A77AF6">
        <w:rPr>
          <w:rFonts w:cstheme="minorHAnsi"/>
        </w:rPr>
        <w:t xml:space="preserve">governance and success in </w:t>
      </w:r>
      <w:r w:rsidRPr="00A77AF6">
        <w:rPr>
          <w:rFonts w:cstheme="minorHAnsi"/>
        </w:rPr>
        <w:t xml:space="preserve">NHS construction projects.  </w:t>
      </w:r>
      <w:r w:rsidR="00CE4A47" w:rsidRPr="00A77AF6">
        <w:rPr>
          <w:rFonts w:cstheme="minorHAnsi"/>
        </w:rPr>
        <w:t>The contribution to knowledge is set out below.</w:t>
      </w:r>
    </w:p>
    <w:p w14:paraId="1FEC1779" w14:textId="158EF35B" w:rsidR="00B108A5" w:rsidRPr="00A77AF6" w:rsidRDefault="00E11D01" w:rsidP="004A79C9">
      <w:pPr>
        <w:pStyle w:val="ListParagraph"/>
        <w:numPr>
          <w:ilvl w:val="0"/>
          <w:numId w:val="19"/>
        </w:numPr>
        <w:spacing w:after="0" w:line="360" w:lineRule="auto"/>
        <w:rPr>
          <w:rFonts w:cstheme="minorHAnsi"/>
        </w:rPr>
      </w:pPr>
      <w:r w:rsidRPr="00A77AF6">
        <w:rPr>
          <w:rFonts w:cstheme="minorHAnsi"/>
          <w:b/>
        </w:rPr>
        <w:t>Re-contextualisation of a</w:t>
      </w:r>
      <w:r w:rsidR="00CB5AA8" w:rsidRPr="00A77AF6">
        <w:rPr>
          <w:rFonts w:cstheme="minorHAnsi"/>
          <w:b/>
        </w:rPr>
        <w:t xml:space="preserve">pplied ethical theory  </w:t>
      </w:r>
    </w:p>
    <w:p w14:paraId="4FC97CD5" w14:textId="1609E0CF" w:rsidR="00A97473" w:rsidRPr="00A77AF6" w:rsidRDefault="003B55F2" w:rsidP="0058387B">
      <w:pPr>
        <w:tabs>
          <w:tab w:val="num" w:pos="720"/>
          <w:tab w:val="num" w:pos="1440"/>
        </w:tabs>
        <w:spacing w:line="360" w:lineRule="auto"/>
        <w:rPr>
          <w:rFonts w:cstheme="minorHAnsi"/>
          <w:bCs/>
        </w:rPr>
      </w:pPr>
      <w:r w:rsidRPr="00A77AF6">
        <w:rPr>
          <w:rFonts w:cstheme="minorHAnsi"/>
          <w:bCs/>
        </w:rPr>
        <w:t xml:space="preserve">Applied ethical </w:t>
      </w:r>
      <w:r w:rsidR="00B108A5" w:rsidRPr="00A77AF6">
        <w:rPr>
          <w:rFonts w:cstheme="minorHAnsi"/>
          <w:bCs/>
        </w:rPr>
        <w:t xml:space="preserve">has </w:t>
      </w:r>
      <w:r w:rsidR="00E11D01" w:rsidRPr="00A77AF6">
        <w:rPr>
          <w:rFonts w:cstheme="minorHAnsi"/>
          <w:bCs/>
        </w:rPr>
        <w:t>explore</w:t>
      </w:r>
      <w:r w:rsidR="00B108A5" w:rsidRPr="00A77AF6">
        <w:rPr>
          <w:rFonts w:cstheme="minorHAnsi"/>
          <w:bCs/>
        </w:rPr>
        <w:t>d</w:t>
      </w:r>
      <w:r w:rsidRPr="00A77AF6">
        <w:rPr>
          <w:rFonts w:cstheme="minorHAnsi"/>
          <w:bCs/>
        </w:rPr>
        <w:t xml:space="preserve"> </w:t>
      </w:r>
      <w:r w:rsidR="00E11D01" w:rsidRPr="00A77AF6">
        <w:rPr>
          <w:rFonts w:cstheme="minorHAnsi"/>
          <w:bCs/>
        </w:rPr>
        <w:t xml:space="preserve">ethical predisposition of personnel </w:t>
      </w:r>
      <w:r w:rsidR="00B108A5" w:rsidRPr="00A77AF6">
        <w:rPr>
          <w:rFonts w:cstheme="minorHAnsi"/>
          <w:bCs/>
        </w:rPr>
        <w:t xml:space="preserve">at the level of organisations. </w:t>
      </w:r>
      <w:r w:rsidR="00A46C0E" w:rsidRPr="00A77AF6">
        <w:rPr>
          <w:rFonts w:cstheme="minorHAnsi"/>
          <w:bCs/>
        </w:rPr>
        <w:t xml:space="preserve"> </w:t>
      </w:r>
      <w:r w:rsidR="00E11D01" w:rsidRPr="00A77AF6">
        <w:rPr>
          <w:rFonts w:cstheme="minorHAnsi"/>
          <w:bCs/>
        </w:rPr>
        <w:t xml:space="preserve">This study tested </w:t>
      </w:r>
      <w:r w:rsidR="00A46C0E" w:rsidRPr="00A77AF6">
        <w:rPr>
          <w:rFonts w:cstheme="minorHAnsi"/>
          <w:bCs/>
        </w:rPr>
        <w:t xml:space="preserve">ethical theory on personnel </w:t>
      </w:r>
      <w:r w:rsidR="00B108A5" w:rsidRPr="00A77AF6">
        <w:rPr>
          <w:rFonts w:cstheme="minorHAnsi"/>
          <w:bCs/>
        </w:rPr>
        <w:t xml:space="preserve">at the </w:t>
      </w:r>
      <w:r w:rsidR="00A46C0E" w:rsidRPr="00A77AF6">
        <w:rPr>
          <w:rFonts w:cstheme="minorHAnsi"/>
          <w:bCs/>
        </w:rPr>
        <w:t xml:space="preserve">projects </w:t>
      </w:r>
      <w:r w:rsidR="00B108A5" w:rsidRPr="00A77AF6">
        <w:rPr>
          <w:rFonts w:cstheme="minorHAnsi"/>
          <w:bCs/>
        </w:rPr>
        <w:t>level in the NHS and</w:t>
      </w:r>
      <w:r w:rsidR="00A46C0E" w:rsidRPr="00A77AF6">
        <w:rPr>
          <w:rFonts w:cstheme="minorHAnsi"/>
          <w:bCs/>
        </w:rPr>
        <w:t xml:space="preserve"> showed that the</w:t>
      </w:r>
      <w:r w:rsidR="00B108A5" w:rsidRPr="00A77AF6">
        <w:rPr>
          <w:rFonts w:cstheme="minorHAnsi"/>
          <w:bCs/>
        </w:rPr>
        <w:t>se</w:t>
      </w:r>
      <w:r w:rsidR="00A46C0E" w:rsidRPr="00A77AF6">
        <w:rPr>
          <w:rFonts w:cstheme="minorHAnsi"/>
          <w:bCs/>
        </w:rPr>
        <w:t xml:space="preserve"> were different from those described in previous studies, that is they were predominantly formalist regardless of age and gender. </w:t>
      </w:r>
      <w:r w:rsidR="004612D9" w:rsidRPr="00A77AF6">
        <w:rPr>
          <w:rFonts w:cstheme="minorHAnsi"/>
          <w:bCs/>
        </w:rPr>
        <w:t xml:space="preserve">Even </w:t>
      </w:r>
      <w:r w:rsidR="00A46C0E" w:rsidRPr="00A77AF6">
        <w:rPr>
          <w:rFonts w:cstheme="minorHAnsi"/>
          <w:bCs/>
        </w:rPr>
        <w:t>subjects who were not directly employed by the NHS</w:t>
      </w:r>
      <w:r w:rsidR="004612D9" w:rsidRPr="00A77AF6">
        <w:rPr>
          <w:rFonts w:cstheme="minorHAnsi"/>
          <w:bCs/>
        </w:rPr>
        <w:t xml:space="preserve"> and worked for private sector organisations,</w:t>
      </w:r>
      <w:r w:rsidR="00A46C0E" w:rsidRPr="00A77AF6">
        <w:rPr>
          <w:rFonts w:cstheme="minorHAnsi"/>
          <w:bCs/>
        </w:rPr>
        <w:t xml:space="preserve"> </w:t>
      </w:r>
      <w:r w:rsidR="004612D9" w:rsidRPr="00A77AF6">
        <w:rPr>
          <w:rFonts w:cstheme="minorHAnsi"/>
          <w:bCs/>
        </w:rPr>
        <w:t xml:space="preserve">but were working for the NHS client, tended to have a </w:t>
      </w:r>
      <w:r w:rsidR="00A46C0E" w:rsidRPr="00A77AF6">
        <w:rPr>
          <w:rFonts w:cstheme="minorHAnsi"/>
          <w:bCs/>
        </w:rPr>
        <w:t>formalist</w:t>
      </w:r>
      <w:r w:rsidR="004612D9" w:rsidRPr="00A77AF6">
        <w:rPr>
          <w:rFonts w:cstheme="minorHAnsi"/>
          <w:bCs/>
        </w:rPr>
        <w:t xml:space="preserve"> predisposition. </w:t>
      </w:r>
      <w:r w:rsidR="00A46C0E" w:rsidRPr="00A77AF6">
        <w:rPr>
          <w:rFonts w:cstheme="minorHAnsi"/>
          <w:bCs/>
        </w:rPr>
        <w:t xml:space="preserve"> </w:t>
      </w:r>
      <w:r w:rsidR="00A97473" w:rsidRPr="00A77AF6">
        <w:rPr>
          <w:rFonts w:cstheme="minorHAnsi"/>
          <w:bCs/>
        </w:rPr>
        <w:t>Th</w:t>
      </w:r>
      <w:r w:rsidR="002E610C">
        <w:rPr>
          <w:rFonts w:cstheme="minorHAnsi"/>
          <w:bCs/>
        </w:rPr>
        <w:t xml:space="preserve">e </w:t>
      </w:r>
      <w:r w:rsidR="00A97473" w:rsidRPr="00A77AF6">
        <w:rPr>
          <w:rFonts w:cstheme="minorHAnsi"/>
          <w:bCs/>
        </w:rPr>
        <w:t>finding</w:t>
      </w:r>
      <w:r w:rsidR="002E610C">
        <w:rPr>
          <w:rFonts w:cstheme="minorHAnsi"/>
          <w:bCs/>
        </w:rPr>
        <w:t>s</w:t>
      </w:r>
      <w:r w:rsidR="00A97473" w:rsidRPr="00A77AF6">
        <w:rPr>
          <w:rFonts w:cstheme="minorHAnsi"/>
          <w:bCs/>
        </w:rPr>
        <w:t xml:space="preserve"> suggest that NHS projects are </w:t>
      </w:r>
      <w:r w:rsidR="002E610C">
        <w:rPr>
          <w:rFonts w:cstheme="minorHAnsi"/>
          <w:bCs/>
        </w:rPr>
        <w:t xml:space="preserve">run </w:t>
      </w:r>
      <w:r w:rsidR="00A97473" w:rsidRPr="00A77AF6">
        <w:rPr>
          <w:rFonts w:cstheme="minorHAnsi"/>
          <w:bCs/>
        </w:rPr>
        <w:t>by people who are predisposed to behave in an ethical manner. Th</w:t>
      </w:r>
      <w:r w:rsidR="002E610C">
        <w:rPr>
          <w:rFonts w:cstheme="minorHAnsi"/>
          <w:bCs/>
        </w:rPr>
        <w:t xml:space="preserve">is </w:t>
      </w:r>
      <w:r w:rsidR="00A97473" w:rsidRPr="00A77AF6">
        <w:rPr>
          <w:rFonts w:cstheme="minorHAnsi"/>
          <w:bCs/>
        </w:rPr>
        <w:t xml:space="preserve">research </w:t>
      </w:r>
      <w:r w:rsidR="002E610C">
        <w:rPr>
          <w:rFonts w:cstheme="minorHAnsi"/>
          <w:bCs/>
        </w:rPr>
        <w:t xml:space="preserve">also </w:t>
      </w:r>
      <w:r w:rsidR="00A97473" w:rsidRPr="00A77AF6">
        <w:rPr>
          <w:rFonts w:cstheme="minorHAnsi"/>
          <w:bCs/>
        </w:rPr>
        <w:t xml:space="preserve">suggests that </w:t>
      </w:r>
      <w:r w:rsidR="002E610C">
        <w:rPr>
          <w:rFonts w:cstheme="minorHAnsi"/>
          <w:bCs/>
        </w:rPr>
        <w:t xml:space="preserve">NHS </w:t>
      </w:r>
      <w:r w:rsidR="00A97473" w:rsidRPr="00A77AF6">
        <w:rPr>
          <w:rFonts w:cstheme="minorHAnsi"/>
          <w:bCs/>
        </w:rPr>
        <w:t>organisational  plays a role in behaviour</w:t>
      </w:r>
      <w:r w:rsidR="002E610C">
        <w:rPr>
          <w:rFonts w:cstheme="minorHAnsi"/>
          <w:bCs/>
        </w:rPr>
        <w:t xml:space="preserve"> in projects and so reinforces previous work where ethical theory was tested in general management. </w:t>
      </w:r>
      <w:r w:rsidR="00A97473" w:rsidRPr="00A77AF6">
        <w:rPr>
          <w:rFonts w:cstheme="minorHAnsi"/>
          <w:bCs/>
        </w:rPr>
        <w:t xml:space="preserve"> </w:t>
      </w:r>
    </w:p>
    <w:p w14:paraId="6AAF9B55" w14:textId="7B6ACB3E" w:rsidR="00CC52D4" w:rsidRPr="00A77AF6" w:rsidRDefault="00CC52D4" w:rsidP="004A79C9">
      <w:pPr>
        <w:pStyle w:val="ListParagraph"/>
        <w:numPr>
          <w:ilvl w:val="0"/>
          <w:numId w:val="19"/>
        </w:numPr>
        <w:tabs>
          <w:tab w:val="num" w:pos="720"/>
          <w:tab w:val="num" w:pos="1440"/>
        </w:tabs>
        <w:spacing w:after="0" w:line="360" w:lineRule="auto"/>
        <w:rPr>
          <w:rFonts w:cstheme="minorHAnsi"/>
          <w:b/>
        </w:rPr>
      </w:pPr>
      <w:r w:rsidRPr="00A77AF6">
        <w:rPr>
          <w:rFonts w:cstheme="minorHAnsi"/>
          <w:b/>
        </w:rPr>
        <w:t>T</w:t>
      </w:r>
      <w:r w:rsidR="00B108A5" w:rsidRPr="00A77AF6">
        <w:rPr>
          <w:rFonts w:cstheme="minorHAnsi"/>
          <w:b/>
        </w:rPr>
        <w:t>he relationship between</w:t>
      </w:r>
      <w:r w:rsidRPr="00A77AF6">
        <w:rPr>
          <w:rFonts w:cstheme="minorHAnsi"/>
          <w:b/>
        </w:rPr>
        <w:t xml:space="preserve"> corporate and project governance</w:t>
      </w:r>
    </w:p>
    <w:p w14:paraId="48F9F3D2" w14:textId="4DFE261C" w:rsidR="001E5100" w:rsidRPr="00A77AF6" w:rsidRDefault="00A97473" w:rsidP="0058387B">
      <w:pPr>
        <w:tabs>
          <w:tab w:val="num" w:pos="720"/>
          <w:tab w:val="num" w:pos="1440"/>
        </w:tabs>
        <w:spacing w:after="120" w:line="360" w:lineRule="auto"/>
        <w:rPr>
          <w:rFonts w:cstheme="minorHAnsi"/>
        </w:rPr>
      </w:pPr>
      <w:r w:rsidRPr="00A77AF6">
        <w:rPr>
          <w:rFonts w:cstheme="minorHAnsi"/>
          <w:bCs/>
        </w:rPr>
        <w:t xml:space="preserve">This finding contributes to the work on the importance of project governance by identifying that even though structures and processes are in place governance may be somewhat ineffective.  The </w:t>
      </w:r>
      <w:r w:rsidR="00F55357" w:rsidRPr="00A77AF6">
        <w:rPr>
          <w:rFonts w:cstheme="minorHAnsi"/>
          <w:bCs/>
        </w:rPr>
        <w:t>problems</w:t>
      </w:r>
      <w:r w:rsidR="00803275" w:rsidRPr="00A77AF6">
        <w:rPr>
          <w:rFonts w:cstheme="minorHAnsi"/>
          <w:bCs/>
        </w:rPr>
        <w:t xml:space="preserve"> </w:t>
      </w:r>
      <w:r w:rsidR="00CC52D4" w:rsidRPr="00A77AF6">
        <w:rPr>
          <w:rFonts w:cstheme="minorHAnsi"/>
          <w:bCs/>
        </w:rPr>
        <w:t xml:space="preserve">at the interface </w:t>
      </w:r>
      <w:r w:rsidR="00803275" w:rsidRPr="00A77AF6">
        <w:rPr>
          <w:rFonts w:cstheme="minorHAnsi"/>
          <w:bCs/>
        </w:rPr>
        <w:t xml:space="preserve">of </w:t>
      </w:r>
      <w:r w:rsidR="00CC52D4" w:rsidRPr="00A77AF6">
        <w:rPr>
          <w:rFonts w:cstheme="minorHAnsi"/>
          <w:bCs/>
        </w:rPr>
        <w:t xml:space="preserve">corporate and project governance resulted in behaviours that </w:t>
      </w:r>
      <w:r w:rsidRPr="00A77AF6">
        <w:rPr>
          <w:rFonts w:cstheme="minorHAnsi"/>
          <w:bCs/>
        </w:rPr>
        <w:t>affected the ability of trust boards to exercise effective</w:t>
      </w:r>
      <w:r w:rsidR="00CC52D4" w:rsidRPr="00A77AF6">
        <w:rPr>
          <w:rFonts w:cstheme="minorHAnsi"/>
          <w:bCs/>
        </w:rPr>
        <w:t xml:space="preserve"> project oversight</w:t>
      </w:r>
      <w:r w:rsidR="00F55357" w:rsidRPr="00A77AF6">
        <w:rPr>
          <w:rFonts w:cstheme="minorHAnsi"/>
          <w:bCs/>
        </w:rPr>
        <w:t xml:space="preserve">. </w:t>
      </w:r>
      <w:r w:rsidRPr="00A77AF6">
        <w:rPr>
          <w:rFonts w:cstheme="minorHAnsi"/>
          <w:bCs/>
        </w:rPr>
        <w:t xml:space="preserve"> This was partly because trust boards were not able or willing to engage in effective governance.  </w:t>
      </w:r>
      <w:r w:rsidR="00391E2A" w:rsidRPr="00A77AF6">
        <w:rPr>
          <w:rFonts w:cstheme="minorHAnsi"/>
          <w:bCs/>
        </w:rPr>
        <w:t xml:space="preserve"> This </w:t>
      </w:r>
      <w:r w:rsidR="009F3BF3" w:rsidRPr="00A77AF6">
        <w:rPr>
          <w:rFonts w:cstheme="minorHAnsi"/>
          <w:bCs/>
        </w:rPr>
        <w:t xml:space="preserve">finding suggests that </w:t>
      </w:r>
      <w:r w:rsidR="00C22666" w:rsidRPr="00A77AF6">
        <w:rPr>
          <w:rFonts w:cstheme="minorHAnsi"/>
          <w:bCs/>
        </w:rPr>
        <w:t xml:space="preserve">the </w:t>
      </w:r>
      <w:r w:rsidR="00C22666" w:rsidRPr="00A77AF6">
        <w:rPr>
          <w:rFonts w:cstheme="minorHAnsi"/>
        </w:rPr>
        <w:t xml:space="preserve">hidden action and hidden information models described </w:t>
      </w:r>
      <w:r w:rsidR="0068423B" w:rsidRPr="00A77AF6">
        <w:rPr>
          <w:rFonts w:cstheme="minorHAnsi"/>
        </w:rPr>
        <w:t>in the li</w:t>
      </w:r>
      <w:r w:rsidR="002264A1" w:rsidRPr="00A77AF6">
        <w:rPr>
          <w:rFonts w:cstheme="minorHAnsi"/>
        </w:rPr>
        <w:t xml:space="preserve">terature </w:t>
      </w:r>
      <w:r w:rsidR="0027058C" w:rsidRPr="00A77AF6">
        <w:rPr>
          <w:rFonts w:cstheme="minorHAnsi"/>
        </w:rPr>
        <w:t xml:space="preserve">apply to the agency problems identified in this study.  </w:t>
      </w:r>
      <w:r w:rsidR="00F378A3" w:rsidRPr="00A77AF6">
        <w:rPr>
          <w:rFonts w:cstheme="minorHAnsi"/>
        </w:rPr>
        <w:t xml:space="preserve">This study suggests that the trust board elects not to see the action of </w:t>
      </w:r>
      <w:r w:rsidR="001D360E" w:rsidRPr="00A77AF6">
        <w:rPr>
          <w:rFonts w:cstheme="minorHAnsi"/>
        </w:rPr>
        <w:t xml:space="preserve">its agent through its desire for solutions, not </w:t>
      </w:r>
      <w:r w:rsidR="001E5100" w:rsidRPr="00A77AF6">
        <w:rPr>
          <w:rFonts w:cstheme="minorHAnsi"/>
        </w:rPr>
        <w:t>problems</w:t>
      </w:r>
      <w:r w:rsidR="001D360E" w:rsidRPr="00A77AF6">
        <w:rPr>
          <w:rFonts w:cstheme="minorHAnsi"/>
        </w:rPr>
        <w:t>, as well as the</w:t>
      </w:r>
      <w:r w:rsidR="001E5100" w:rsidRPr="00A77AF6">
        <w:rPr>
          <w:rFonts w:cstheme="minorHAnsi"/>
        </w:rPr>
        <w:t xml:space="preserve"> agent </w:t>
      </w:r>
      <w:r w:rsidR="002F67B2" w:rsidRPr="00A77AF6">
        <w:rPr>
          <w:rFonts w:cstheme="minorHAnsi"/>
        </w:rPr>
        <w:t xml:space="preserve">deliberately concealing information </w:t>
      </w:r>
      <w:r w:rsidR="00015E9A" w:rsidRPr="00A77AF6">
        <w:rPr>
          <w:rFonts w:cstheme="minorHAnsi"/>
        </w:rPr>
        <w:t>fr</w:t>
      </w:r>
      <w:r w:rsidR="002F67B2" w:rsidRPr="00A77AF6">
        <w:rPr>
          <w:rFonts w:cstheme="minorHAnsi"/>
        </w:rPr>
        <w:t>om fear.  This study suggests the cost of agency</w:t>
      </w:r>
      <w:r w:rsidR="00F80CB7" w:rsidRPr="00A77AF6">
        <w:rPr>
          <w:rFonts w:cstheme="minorHAnsi"/>
        </w:rPr>
        <w:t xml:space="preserve"> through structures, roles and processes</w:t>
      </w:r>
      <w:r w:rsidR="002F67B2" w:rsidRPr="00A77AF6">
        <w:rPr>
          <w:rFonts w:cstheme="minorHAnsi"/>
        </w:rPr>
        <w:t xml:space="preserve"> </w:t>
      </w:r>
      <w:r w:rsidR="00015E9A" w:rsidRPr="00A77AF6">
        <w:rPr>
          <w:rFonts w:cstheme="minorHAnsi"/>
        </w:rPr>
        <w:t xml:space="preserve">is being paid but </w:t>
      </w:r>
      <w:r w:rsidR="00410284" w:rsidRPr="00A77AF6">
        <w:rPr>
          <w:rFonts w:cstheme="minorHAnsi"/>
        </w:rPr>
        <w:t>th</w:t>
      </w:r>
      <w:r w:rsidR="00F80CB7" w:rsidRPr="00A77AF6">
        <w:rPr>
          <w:rFonts w:cstheme="minorHAnsi"/>
        </w:rPr>
        <w:t>at it is not effective.</w:t>
      </w:r>
    </w:p>
    <w:p w14:paraId="1AFFAEC5" w14:textId="1D1C6A27" w:rsidR="00855429" w:rsidRPr="00A77AF6" w:rsidRDefault="003045CC" w:rsidP="004A79C9">
      <w:pPr>
        <w:pStyle w:val="ListParagraph"/>
        <w:numPr>
          <w:ilvl w:val="0"/>
          <w:numId w:val="19"/>
        </w:numPr>
        <w:spacing w:after="0" w:line="360" w:lineRule="auto"/>
        <w:rPr>
          <w:rFonts w:cstheme="minorHAnsi"/>
          <w:b/>
        </w:rPr>
      </w:pPr>
      <w:r w:rsidRPr="00A77AF6">
        <w:rPr>
          <w:rFonts w:cstheme="minorHAnsi"/>
          <w:b/>
        </w:rPr>
        <w:t xml:space="preserve">Skills and knowledge </w:t>
      </w:r>
      <w:r w:rsidR="00855429" w:rsidRPr="00A77AF6">
        <w:rPr>
          <w:rFonts w:cstheme="minorHAnsi"/>
          <w:b/>
        </w:rPr>
        <w:t xml:space="preserve">of </w:t>
      </w:r>
      <w:r w:rsidRPr="00A77AF6">
        <w:rPr>
          <w:rFonts w:cstheme="minorHAnsi"/>
          <w:b/>
        </w:rPr>
        <w:t>trust boards</w:t>
      </w:r>
      <w:r w:rsidR="00152904" w:rsidRPr="00A77AF6">
        <w:rPr>
          <w:rFonts w:cstheme="minorHAnsi"/>
          <w:b/>
        </w:rPr>
        <w:t xml:space="preserve"> </w:t>
      </w:r>
    </w:p>
    <w:p w14:paraId="7FB11042" w14:textId="4D0C0B6B" w:rsidR="00855429" w:rsidRPr="00A77AF6" w:rsidRDefault="00855429" w:rsidP="0058387B">
      <w:pPr>
        <w:tabs>
          <w:tab w:val="num" w:pos="720"/>
          <w:tab w:val="num" w:pos="1440"/>
        </w:tabs>
        <w:spacing w:after="120" w:line="360" w:lineRule="auto"/>
        <w:rPr>
          <w:rFonts w:cstheme="minorHAnsi"/>
          <w:bCs/>
        </w:rPr>
      </w:pPr>
      <w:r w:rsidRPr="00A77AF6">
        <w:rPr>
          <w:rFonts w:cstheme="minorHAnsi"/>
          <w:bCs/>
        </w:rPr>
        <w:t xml:space="preserve">This study provides evidence of an apparent skills and knowledge deficit in NHS trusts boards overseeing construction.  This leads to delegation to project teams for the management of projects and to the problems of agency.  This finding suggests that trust board would benefit from training </w:t>
      </w:r>
      <w:r w:rsidR="00280113" w:rsidRPr="00A77AF6">
        <w:rPr>
          <w:rFonts w:cstheme="minorHAnsi"/>
          <w:bCs/>
        </w:rPr>
        <w:t xml:space="preserve">to create an </w:t>
      </w:r>
      <w:r w:rsidR="00585B9F" w:rsidRPr="00A77AF6">
        <w:rPr>
          <w:rFonts w:cstheme="minorHAnsi"/>
          <w:bCs/>
        </w:rPr>
        <w:t>open culture</w:t>
      </w:r>
      <w:r w:rsidR="00280113" w:rsidRPr="00A77AF6">
        <w:rPr>
          <w:rFonts w:cstheme="minorHAnsi"/>
          <w:bCs/>
        </w:rPr>
        <w:t xml:space="preserve"> where </w:t>
      </w:r>
      <w:r w:rsidRPr="00A77AF6">
        <w:rPr>
          <w:rFonts w:cstheme="minorHAnsi"/>
          <w:bCs/>
        </w:rPr>
        <w:t>project governance</w:t>
      </w:r>
      <w:r w:rsidR="00042589" w:rsidRPr="00A77AF6">
        <w:rPr>
          <w:rFonts w:cstheme="minorHAnsi"/>
          <w:bCs/>
        </w:rPr>
        <w:t xml:space="preserve"> and oversight</w:t>
      </w:r>
      <w:r w:rsidR="00280113" w:rsidRPr="00A77AF6">
        <w:rPr>
          <w:rFonts w:cstheme="minorHAnsi"/>
          <w:bCs/>
        </w:rPr>
        <w:t xml:space="preserve"> can </w:t>
      </w:r>
      <w:r w:rsidR="00A142A1" w:rsidRPr="00A77AF6">
        <w:rPr>
          <w:rFonts w:cstheme="minorHAnsi"/>
          <w:bCs/>
        </w:rPr>
        <w:t xml:space="preserve">be effective. </w:t>
      </w:r>
    </w:p>
    <w:p w14:paraId="29689458" w14:textId="71115461" w:rsidR="00B108A5" w:rsidRPr="00A77AF6" w:rsidRDefault="00855429" w:rsidP="004A79C9">
      <w:pPr>
        <w:pStyle w:val="ListParagraph"/>
        <w:numPr>
          <w:ilvl w:val="0"/>
          <w:numId w:val="19"/>
        </w:numPr>
        <w:tabs>
          <w:tab w:val="num" w:pos="720"/>
          <w:tab w:val="num" w:pos="1440"/>
        </w:tabs>
        <w:spacing w:after="120" w:line="240" w:lineRule="auto"/>
        <w:rPr>
          <w:rFonts w:cstheme="minorHAnsi"/>
          <w:b/>
        </w:rPr>
      </w:pPr>
      <w:r w:rsidRPr="00A77AF6">
        <w:rPr>
          <w:rFonts w:cstheme="minorHAnsi"/>
          <w:b/>
        </w:rPr>
        <w:t>P</w:t>
      </w:r>
      <w:r w:rsidR="00CC52D4" w:rsidRPr="00A77AF6">
        <w:rPr>
          <w:rFonts w:cstheme="minorHAnsi"/>
          <w:b/>
        </w:rPr>
        <w:t xml:space="preserve">roject </w:t>
      </w:r>
      <w:r w:rsidR="00B108A5" w:rsidRPr="00A77AF6">
        <w:rPr>
          <w:rFonts w:cstheme="minorHAnsi"/>
          <w:b/>
        </w:rPr>
        <w:t>governance and project success in NHS construction projects</w:t>
      </w:r>
    </w:p>
    <w:p w14:paraId="582A9519" w14:textId="0CD16D3F" w:rsidR="00C36EE3" w:rsidRPr="00A77AF6" w:rsidRDefault="00B108A5" w:rsidP="0058387B">
      <w:pPr>
        <w:tabs>
          <w:tab w:val="num" w:pos="720"/>
          <w:tab w:val="num" w:pos="1440"/>
        </w:tabs>
        <w:spacing w:after="120" w:line="360" w:lineRule="auto"/>
        <w:rPr>
          <w:rFonts w:cstheme="minorHAnsi"/>
          <w:bCs/>
        </w:rPr>
      </w:pPr>
      <w:r w:rsidRPr="00A77AF6">
        <w:rPr>
          <w:rFonts w:cstheme="minorHAnsi"/>
          <w:bCs/>
        </w:rPr>
        <w:t xml:space="preserve">This study </w:t>
      </w:r>
      <w:r w:rsidR="00C36EE3" w:rsidRPr="00A77AF6">
        <w:rPr>
          <w:rFonts w:cstheme="minorHAnsi"/>
          <w:bCs/>
        </w:rPr>
        <w:t xml:space="preserve">challenged theory that argues </w:t>
      </w:r>
      <w:r w:rsidR="001A00BE" w:rsidRPr="00A77AF6">
        <w:rPr>
          <w:rFonts w:cstheme="minorHAnsi"/>
          <w:bCs/>
        </w:rPr>
        <w:t xml:space="preserve">governance </w:t>
      </w:r>
      <w:r w:rsidR="00C36EE3" w:rsidRPr="00A77AF6">
        <w:rPr>
          <w:rFonts w:cstheme="minorHAnsi"/>
          <w:bCs/>
        </w:rPr>
        <w:t>i</w:t>
      </w:r>
      <w:r w:rsidR="00855429" w:rsidRPr="00A77AF6">
        <w:rPr>
          <w:rFonts w:cstheme="minorHAnsi"/>
          <w:bCs/>
        </w:rPr>
        <w:t xml:space="preserve">s </w:t>
      </w:r>
      <w:r w:rsidR="001A00BE" w:rsidRPr="00A77AF6">
        <w:rPr>
          <w:rFonts w:cstheme="minorHAnsi"/>
          <w:bCs/>
        </w:rPr>
        <w:t xml:space="preserve">an instrument for project success.  </w:t>
      </w:r>
      <w:r w:rsidR="00EA6E42" w:rsidRPr="00A77AF6">
        <w:rPr>
          <w:rFonts w:cstheme="minorHAnsi"/>
          <w:bCs/>
        </w:rPr>
        <w:t>This work found a</w:t>
      </w:r>
      <w:r w:rsidR="001A00BE" w:rsidRPr="00A77AF6">
        <w:rPr>
          <w:rFonts w:cstheme="minorHAnsi"/>
          <w:bCs/>
        </w:rPr>
        <w:t xml:space="preserve"> weak correlation between project governance and project success</w:t>
      </w:r>
      <w:r w:rsidR="00CC52D4" w:rsidRPr="00A77AF6">
        <w:rPr>
          <w:rFonts w:cstheme="minorHAnsi"/>
          <w:bCs/>
        </w:rPr>
        <w:t xml:space="preserve">, so </w:t>
      </w:r>
      <w:r w:rsidR="00C36EE3" w:rsidRPr="00A77AF6">
        <w:rPr>
          <w:rFonts w:cstheme="minorHAnsi"/>
          <w:bCs/>
        </w:rPr>
        <w:t>th</w:t>
      </w:r>
      <w:r w:rsidR="00EA6E42" w:rsidRPr="00A77AF6">
        <w:rPr>
          <w:rFonts w:cstheme="minorHAnsi"/>
          <w:bCs/>
        </w:rPr>
        <w:t xml:space="preserve">e </w:t>
      </w:r>
      <w:r w:rsidR="00EA6E42" w:rsidRPr="00A77AF6">
        <w:rPr>
          <w:rFonts w:cstheme="minorHAnsi"/>
          <w:bCs/>
        </w:rPr>
        <w:lastRenderedPageBreak/>
        <w:t xml:space="preserve">instrumental </w:t>
      </w:r>
      <w:r w:rsidR="00C36EE3" w:rsidRPr="00A77AF6">
        <w:rPr>
          <w:rFonts w:cstheme="minorHAnsi"/>
          <w:bCs/>
        </w:rPr>
        <w:t xml:space="preserve">theory </w:t>
      </w:r>
      <w:r w:rsidR="00EA6E42" w:rsidRPr="00A77AF6">
        <w:rPr>
          <w:rFonts w:cstheme="minorHAnsi"/>
          <w:bCs/>
        </w:rPr>
        <w:t xml:space="preserve">is not </w:t>
      </w:r>
      <w:r w:rsidR="00C36EE3" w:rsidRPr="00A77AF6">
        <w:rPr>
          <w:rFonts w:cstheme="minorHAnsi"/>
          <w:bCs/>
        </w:rPr>
        <w:t xml:space="preserve">supported </w:t>
      </w:r>
      <w:r w:rsidR="00EA6E42" w:rsidRPr="00A77AF6">
        <w:rPr>
          <w:rFonts w:cstheme="minorHAnsi"/>
          <w:bCs/>
        </w:rPr>
        <w:t xml:space="preserve">by </w:t>
      </w:r>
      <w:r w:rsidR="00C36EE3" w:rsidRPr="00A77AF6">
        <w:rPr>
          <w:rFonts w:cstheme="minorHAnsi"/>
          <w:bCs/>
        </w:rPr>
        <w:t>this study. Rather</w:t>
      </w:r>
      <w:r w:rsidR="00CC52D4" w:rsidRPr="00A77AF6">
        <w:rPr>
          <w:rFonts w:cstheme="minorHAnsi"/>
          <w:bCs/>
        </w:rPr>
        <w:t xml:space="preserve"> it is suggested that governance be measured as an input, </w:t>
      </w:r>
      <w:r w:rsidR="00C36EE3" w:rsidRPr="00A77AF6">
        <w:rPr>
          <w:rFonts w:cstheme="minorHAnsi"/>
          <w:bCs/>
        </w:rPr>
        <w:t>as</w:t>
      </w:r>
      <w:r w:rsidR="00CC52D4" w:rsidRPr="00A77AF6">
        <w:rPr>
          <w:rFonts w:cstheme="minorHAnsi"/>
          <w:bCs/>
        </w:rPr>
        <w:t xml:space="preserve"> it creates the environment for effective </w:t>
      </w:r>
      <w:r w:rsidR="00C36EE3" w:rsidRPr="00A77AF6">
        <w:rPr>
          <w:rFonts w:cstheme="minorHAnsi"/>
          <w:bCs/>
        </w:rPr>
        <w:t xml:space="preserve">oversight, so </w:t>
      </w:r>
      <w:r w:rsidR="00855429" w:rsidRPr="00A77AF6">
        <w:rPr>
          <w:rFonts w:cstheme="minorHAnsi"/>
          <w:bCs/>
        </w:rPr>
        <w:t xml:space="preserve">projects are </w:t>
      </w:r>
      <w:r w:rsidR="001A00BE" w:rsidRPr="00A77AF6">
        <w:rPr>
          <w:rFonts w:cstheme="minorHAnsi"/>
          <w:bCs/>
        </w:rPr>
        <w:t>properly managed</w:t>
      </w:r>
      <w:r w:rsidR="00855429" w:rsidRPr="00A77AF6">
        <w:rPr>
          <w:rFonts w:cstheme="minorHAnsi"/>
          <w:bCs/>
        </w:rPr>
        <w:t xml:space="preserve"> and maintains legitimacy in them</w:t>
      </w:r>
      <w:r w:rsidR="001A00BE" w:rsidRPr="00A77AF6">
        <w:rPr>
          <w:rFonts w:cstheme="minorHAnsi"/>
          <w:bCs/>
        </w:rPr>
        <w:t xml:space="preserve">. </w:t>
      </w:r>
      <w:r w:rsidR="002E610C">
        <w:rPr>
          <w:rFonts w:cstheme="minorHAnsi"/>
          <w:bCs/>
        </w:rPr>
        <w:t xml:space="preserve"> This study has therefore moved the corporate governance paradigm that governance is important because it results in public confidence to project management. </w:t>
      </w:r>
    </w:p>
    <w:p w14:paraId="5F5EED98" w14:textId="280A3FD2" w:rsidR="00C36EE3" w:rsidRPr="00A77AF6" w:rsidRDefault="00EA6E42" w:rsidP="004A79C9">
      <w:pPr>
        <w:pStyle w:val="ListParagraph"/>
        <w:numPr>
          <w:ilvl w:val="0"/>
          <w:numId w:val="19"/>
        </w:numPr>
        <w:tabs>
          <w:tab w:val="num" w:pos="720"/>
          <w:tab w:val="num" w:pos="1440"/>
        </w:tabs>
        <w:spacing w:after="0" w:line="360" w:lineRule="auto"/>
        <w:rPr>
          <w:rFonts w:cstheme="minorHAnsi"/>
          <w:bCs/>
        </w:rPr>
      </w:pPr>
      <w:r w:rsidRPr="00A77AF6">
        <w:rPr>
          <w:rFonts w:cstheme="minorHAnsi"/>
          <w:b/>
        </w:rPr>
        <w:t xml:space="preserve">Measuring project success in </w:t>
      </w:r>
      <w:r w:rsidR="003B55F2" w:rsidRPr="00A77AF6">
        <w:rPr>
          <w:rFonts w:cstheme="minorHAnsi"/>
          <w:b/>
        </w:rPr>
        <w:t>NHS</w:t>
      </w:r>
      <w:r w:rsidRPr="00A77AF6">
        <w:rPr>
          <w:rFonts w:cstheme="minorHAnsi"/>
          <w:b/>
        </w:rPr>
        <w:t xml:space="preserve"> construction projects</w:t>
      </w:r>
      <w:r w:rsidR="003B55F2" w:rsidRPr="00A77AF6">
        <w:rPr>
          <w:rFonts w:cstheme="minorHAnsi"/>
          <w:b/>
        </w:rPr>
        <w:t xml:space="preserve">. </w:t>
      </w:r>
    </w:p>
    <w:p w14:paraId="02E05663" w14:textId="248DB13C" w:rsidR="0058387B" w:rsidRPr="00A77AF6" w:rsidRDefault="003B55F2" w:rsidP="0058387B">
      <w:pPr>
        <w:tabs>
          <w:tab w:val="num" w:pos="720"/>
          <w:tab w:val="num" w:pos="1440"/>
        </w:tabs>
        <w:spacing w:after="0" w:line="360" w:lineRule="auto"/>
        <w:rPr>
          <w:rFonts w:cstheme="minorHAnsi"/>
        </w:rPr>
      </w:pPr>
      <w:r w:rsidRPr="00A77AF6">
        <w:rPr>
          <w:rFonts w:cstheme="minorHAnsi"/>
        </w:rPr>
        <w:t>Th</w:t>
      </w:r>
      <w:r w:rsidR="00EA6E42" w:rsidRPr="00A77AF6">
        <w:rPr>
          <w:rFonts w:cstheme="minorHAnsi"/>
        </w:rPr>
        <w:t>is study supported theories suggest</w:t>
      </w:r>
      <w:r w:rsidR="002E610C">
        <w:rPr>
          <w:rFonts w:cstheme="minorHAnsi"/>
        </w:rPr>
        <w:t>ing</w:t>
      </w:r>
      <w:r w:rsidR="00EA6E42" w:rsidRPr="00A77AF6">
        <w:rPr>
          <w:rFonts w:cstheme="minorHAnsi"/>
        </w:rPr>
        <w:t xml:space="preserve"> that the traditional KPIs of time</w:t>
      </w:r>
      <w:r w:rsidR="002E610C">
        <w:rPr>
          <w:rFonts w:cstheme="minorHAnsi"/>
        </w:rPr>
        <w:t>, cos</w:t>
      </w:r>
      <w:r w:rsidR="00EA6E42" w:rsidRPr="00A77AF6">
        <w:rPr>
          <w:rFonts w:cstheme="minorHAnsi"/>
        </w:rPr>
        <w:t xml:space="preserve">t and quality are not </w:t>
      </w:r>
      <w:r w:rsidR="002E610C">
        <w:rPr>
          <w:rFonts w:cstheme="minorHAnsi"/>
        </w:rPr>
        <w:t xml:space="preserve">sufficient </w:t>
      </w:r>
      <w:r w:rsidR="00EA6E42" w:rsidRPr="00A77AF6">
        <w:rPr>
          <w:rFonts w:cstheme="minorHAnsi"/>
        </w:rPr>
        <w:t>measure</w:t>
      </w:r>
      <w:r w:rsidR="002E610C">
        <w:rPr>
          <w:rFonts w:cstheme="minorHAnsi"/>
        </w:rPr>
        <w:t>s of</w:t>
      </w:r>
      <w:r w:rsidR="00EA6E42" w:rsidRPr="00A77AF6">
        <w:rPr>
          <w:rFonts w:cstheme="minorHAnsi"/>
        </w:rPr>
        <w:t xml:space="preserve"> project success. Project teams working in the project management phase </w:t>
      </w:r>
      <w:r w:rsidR="0013583A">
        <w:rPr>
          <w:rFonts w:cstheme="minorHAnsi"/>
        </w:rPr>
        <w:t xml:space="preserve">of NHS construction projects </w:t>
      </w:r>
      <w:r w:rsidR="00EA6E42" w:rsidRPr="00A77AF6">
        <w:rPr>
          <w:rFonts w:cstheme="minorHAnsi"/>
        </w:rPr>
        <w:t xml:space="preserve">know this and identified quality </w:t>
      </w:r>
      <w:r w:rsidR="0013583A">
        <w:rPr>
          <w:rFonts w:cstheme="minorHAnsi"/>
        </w:rPr>
        <w:t>a</w:t>
      </w:r>
      <w:r w:rsidR="00EA6E42" w:rsidRPr="00A77AF6">
        <w:rPr>
          <w:rFonts w:cstheme="minorHAnsi"/>
        </w:rPr>
        <w:t>s the most important measure in both the project and operational phases</w:t>
      </w:r>
      <w:r w:rsidR="00B16C69">
        <w:rPr>
          <w:rFonts w:cstheme="minorHAnsi"/>
        </w:rPr>
        <w:t xml:space="preserve">. The iron triangle could sill be useful if weighted in favour of quality.  </w:t>
      </w:r>
      <w:r w:rsidR="00EA6E42" w:rsidRPr="00A77AF6">
        <w:rPr>
          <w:rFonts w:cstheme="minorHAnsi"/>
        </w:rPr>
        <w:t xml:space="preserve">This study also found that post occupancy evaluations are not routinely carried out even though they are required by government. </w:t>
      </w:r>
    </w:p>
    <w:p w14:paraId="43E69F78" w14:textId="2EABBED7" w:rsidR="0058387B" w:rsidRPr="00A77AF6" w:rsidRDefault="0058387B">
      <w:pPr>
        <w:rPr>
          <w:rFonts w:cstheme="minorHAnsi"/>
        </w:rPr>
      </w:pPr>
    </w:p>
    <w:p w14:paraId="0B1CCA3A" w14:textId="69945F47" w:rsidR="00B16C69" w:rsidRDefault="00B16C69" w:rsidP="00AD7B47">
      <w:pPr>
        <w:pStyle w:val="Heading2"/>
        <w:spacing w:after="120"/>
      </w:pPr>
      <w:bookmarkStart w:id="221" w:name="_Toc36275164"/>
      <w:r>
        <w:t>Recommendations for further research</w:t>
      </w:r>
      <w:bookmarkEnd w:id="221"/>
    </w:p>
    <w:p w14:paraId="37CFA46C" w14:textId="2896DC72" w:rsidR="00C03020" w:rsidRDefault="00C03020" w:rsidP="00C03020">
      <w:pPr>
        <w:spacing w:line="360" w:lineRule="auto"/>
        <w:ind w:left="360"/>
      </w:pPr>
      <w:r>
        <w:t>Based on the scope and outcomes of this study the following f</w:t>
      </w:r>
      <w:r w:rsidR="004247A8">
        <w:t xml:space="preserve">ive </w:t>
      </w:r>
      <w:r>
        <w:t>areas are suggested as areas for further research</w:t>
      </w:r>
    </w:p>
    <w:p w14:paraId="7C182113" w14:textId="01D2EA38" w:rsidR="00C03020" w:rsidRDefault="00C03020" w:rsidP="004A79C9">
      <w:pPr>
        <w:pStyle w:val="ListParagraph"/>
        <w:numPr>
          <w:ilvl w:val="0"/>
          <w:numId w:val="23"/>
        </w:numPr>
        <w:spacing w:line="360" w:lineRule="auto"/>
      </w:pPr>
      <w:r>
        <w:t>Investigate the views, skill sets and knowledge of trust boards to establish their understanding of corporate and project governance</w:t>
      </w:r>
      <w:r w:rsidR="004247A8">
        <w:t xml:space="preserve"> to create a future training programme</w:t>
      </w:r>
      <w:r>
        <w:t xml:space="preserve">. </w:t>
      </w:r>
    </w:p>
    <w:p w14:paraId="356BBFA4" w14:textId="4ED644D1" w:rsidR="00C03020" w:rsidRDefault="00C03020" w:rsidP="004A79C9">
      <w:pPr>
        <w:pStyle w:val="ListParagraph"/>
        <w:numPr>
          <w:ilvl w:val="0"/>
          <w:numId w:val="23"/>
        </w:numPr>
        <w:spacing w:line="360" w:lineRule="auto"/>
      </w:pPr>
      <w:r>
        <w:t>Undertake a longitudinal programme of POE to evaluate whether long-term project benefits are being realised</w:t>
      </w:r>
      <w:r w:rsidR="004247A8">
        <w:t xml:space="preserve"> and lessons are being fed back to new projects.</w:t>
      </w:r>
    </w:p>
    <w:p w14:paraId="2771AEE0" w14:textId="0D1AF20E" w:rsidR="0037008F" w:rsidRDefault="000C345F" w:rsidP="004A79C9">
      <w:pPr>
        <w:pStyle w:val="ListParagraph"/>
        <w:numPr>
          <w:ilvl w:val="0"/>
          <w:numId w:val="23"/>
        </w:numPr>
        <w:spacing w:line="360" w:lineRule="auto"/>
      </w:pPr>
      <w:r>
        <w:t>Investigate which KPIs are used in the planning, project management and operational phases of NHS construction projects</w:t>
      </w:r>
      <w:r w:rsidR="004247A8">
        <w:t xml:space="preserve"> in order to develop future recommendations.</w:t>
      </w:r>
    </w:p>
    <w:p w14:paraId="70CDD249" w14:textId="2595632F" w:rsidR="00C03020" w:rsidRDefault="00C03020" w:rsidP="004A79C9">
      <w:pPr>
        <w:pStyle w:val="ListParagraph"/>
        <w:numPr>
          <w:ilvl w:val="0"/>
          <w:numId w:val="23"/>
        </w:numPr>
        <w:spacing w:line="360" w:lineRule="auto"/>
      </w:pPr>
      <w:r>
        <w:t>Develop measure</w:t>
      </w:r>
      <w:r w:rsidR="004247A8">
        <w:t>s</w:t>
      </w:r>
      <w:r>
        <w:t xml:space="preserve"> for project governance effectiveness </w:t>
      </w:r>
      <w:r w:rsidR="004247A8">
        <w:t>and test in practice.</w:t>
      </w:r>
    </w:p>
    <w:p w14:paraId="79E3A5CD" w14:textId="1E6D2F3E" w:rsidR="00C03020" w:rsidRPr="00C03020" w:rsidRDefault="00C03020" w:rsidP="004A79C9">
      <w:pPr>
        <w:pStyle w:val="ListParagraph"/>
        <w:numPr>
          <w:ilvl w:val="0"/>
          <w:numId w:val="23"/>
        </w:numPr>
        <w:spacing w:line="360" w:lineRule="auto"/>
      </w:pPr>
      <w:r>
        <w:t>Test the PAM in live projects</w:t>
      </w:r>
      <w:r w:rsidR="004247A8">
        <w:t xml:space="preserve">. </w:t>
      </w:r>
    </w:p>
    <w:p w14:paraId="28E707EE" w14:textId="6AD511E7" w:rsidR="00AD7B47" w:rsidRPr="00A77AF6" w:rsidRDefault="00AD7B47" w:rsidP="00AD7B47">
      <w:pPr>
        <w:pStyle w:val="Heading2"/>
        <w:spacing w:after="120"/>
      </w:pPr>
      <w:bookmarkStart w:id="222" w:name="_Toc36275165"/>
      <w:r w:rsidRPr="00A77AF6">
        <w:t>Concluding remarks</w:t>
      </w:r>
      <w:bookmarkEnd w:id="222"/>
    </w:p>
    <w:p w14:paraId="79A1145B" w14:textId="1B9455D6" w:rsidR="00AD7B47" w:rsidRPr="00A77AF6" w:rsidRDefault="00AD7B47" w:rsidP="001A3F58">
      <w:pPr>
        <w:spacing w:after="60" w:line="360" w:lineRule="auto"/>
      </w:pPr>
      <w:r w:rsidRPr="00A77AF6">
        <w:t xml:space="preserve">This study explored </w:t>
      </w:r>
      <w:r w:rsidR="001A3F58" w:rsidRPr="00A77AF6">
        <w:t xml:space="preserve">ethical theory and agency theory in the context of construction projects in the English NHS.  It was shown that the principles of ethical formalism are implemented through agency theory.    </w:t>
      </w:r>
      <w:r w:rsidR="004247A8">
        <w:t xml:space="preserve">It </w:t>
      </w:r>
      <w:r w:rsidR="001A3F58" w:rsidRPr="00A77AF6">
        <w:t xml:space="preserve">showed that </w:t>
      </w:r>
      <w:r w:rsidR="0065539B">
        <w:t>project personnel working</w:t>
      </w:r>
      <w:r w:rsidRPr="00A77AF6">
        <w:t xml:space="preserve"> in NHS projects tend towards formalism </w:t>
      </w:r>
      <w:r w:rsidR="001A3F58" w:rsidRPr="00A77AF6">
        <w:t xml:space="preserve">that this may be due to personal preference, </w:t>
      </w:r>
      <w:r w:rsidRPr="00A77AF6">
        <w:t>obedience to the standards of professional bodies or as a response to the ethical culture of the NHS</w:t>
      </w:r>
      <w:r w:rsidR="001A3F58" w:rsidRPr="00A77AF6">
        <w:t xml:space="preserve"> which is </w:t>
      </w:r>
      <w:r w:rsidR="00855E05" w:rsidRPr="00A77AF6">
        <w:t>formalistic</w:t>
      </w:r>
      <w:r w:rsidRPr="00A77AF6">
        <w:t xml:space="preserve">.  </w:t>
      </w:r>
      <w:r w:rsidR="001A3F58" w:rsidRPr="00A77AF6">
        <w:t xml:space="preserve">It was not </w:t>
      </w:r>
      <w:r w:rsidRPr="00A77AF6">
        <w:t xml:space="preserve">possible </w:t>
      </w:r>
      <w:r w:rsidR="00855E05" w:rsidRPr="00A77AF6">
        <w:t xml:space="preserve">though </w:t>
      </w:r>
      <w:r w:rsidRPr="00A77AF6">
        <w:t>to show that ethical predisposition leads to project success</w:t>
      </w:r>
      <w:r w:rsidR="001A3F58" w:rsidRPr="00A77AF6">
        <w:t xml:space="preserve">.  Project governance was thought to be effective, but it could not be shown to lead to successful project </w:t>
      </w:r>
      <w:r w:rsidR="001A3F58" w:rsidRPr="00A77AF6">
        <w:lastRenderedPageBreak/>
        <w:t xml:space="preserve">outcome and </w:t>
      </w:r>
      <w:r w:rsidRPr="00A77AF6">
        <w:t xml:space="preserve">corporate governance did not always appear to be functioning effectively. This may be because of </w:t>
      </w:r>
      <w:r w:rsidR="00855E05" w:rsidRPr="00A77AF6">
        <w:t xml:space="preserve">a lack of </w:t>
      </w:r>
      <w:r w:rsidRPr="00A77AF6">
        <w:t>skills and knowledge resulting in the lack of active engagement at the corporate level</w:t>
      </w:r>
      <w:r w:rsidR="00855E05" w:rsidRPr="00A77AF6">
        <w:t xml:space="preserve"> and the creation of a culture of fear that leads to less openness.</w:t>
      </w:r>
      <w:r w:rsidRPr="00A77AF6">
        <w:t xml:space="preserve">  Agency theory </w:t>
      </w:r>
      <w:r w:rsidR="00855E05" w:rsidRPr="00A77AF6">
        <w:t xml:space="preserve">explained </w:t>
      </w:r>
      <w:r w:rsidR="0065539B">
        <w:t xml:space="preserve">the </w:t>
      </w:r>
      <w:r w:rsidR="00855E05" w:rsidRPr="00A77AF6">
        <w:t xml:space="preserve">need for </w:t>
      </w:r>
      <w:r w:rsidR="0065539B">
        <w:t xml:space="preserve">control through </w:t>
      </w:r>
      <w:r w:rsidR="00855E05" w:rsidRPr="00A77AF6">
        <w:t xml:space="preserve">governance </w:t>
      </w:r>
      <w:r w:rsidR="0065539B">
        <w:t xml:space="preserve">structures, roles and processes </w:t>
      </w:r>
      <w:r w:rsidR="00855E05" w:rsidRPr="00A77AF6">
        <w:t>but did not explain the inability of the trust board to use the</w:t>
      </w:r>
      <w:r w:rsidR="0065539B">
        <w:t>se</w:t>
      </w:r>
      <w:r w:rsidR="00855E05" w:rsidRPr="00A77AF6">
        <w:t xml:space="preserve"> for effective oversight, nor its apparent reluctance to engage with the details of the project.  </w:t>
      </w:r>
      <w:r w:rsidRPr="00A77AF6">
        <w:t xml:space="preserve">As effective governance is particularly important for the public sector, it </w:t>
      </w:r>
      <w:r w:rsidR="00855E05" w:rsidRPr="00A77AF6">
        <w:t xml:space="preserve">is suggested here </w:t>
      </w:r>
      <w:r w:rsidRPr="00A77AF6">
        <w:t xml:space="preserve">that governance effectiveness should </w:t>
      </w:r>
      <w:r w:rsidR="00855E05" w:rsidRPr="00A77AF6">
        <w:t xml:space="preserve">itself </w:t>
      </w:r>
      <w:r w:rsidR="008E78D4" w:rsidRPr="00A77AF6">
        <w:t>be an</w:t>
      </w:r>
      <w:r w:rsidR="00855E05" w:rsidRPr="00A77AF6">
        <w:t xml:space="preserve"> </w:t>
      </w:r>
      <w:r w:rsidRPr="00A77AF6">
        <w:t>additional measure</w:t>
      </w:r>
      <w:r w:rsidR="00855E05" w:rsidRPr="00A77AF6">
        <w:t xml:space="preserve"> of project success </w:t>
      </w:r>
      <w:r w:rsidRPr="00A77AF6">
        <w:t>to give the public assurance that project</w:t>
      </w:r>
      <w:r w:rsidR="00855E05" w:rsidRPr="00A77AF6">
        <w:t xml:space="preserve">s run in their </w:t>
      </w:r>
      <w:r w:rsidRPr="00A77AF6">
        <w:t xml:space="preserve">interests. </w:t>
      </w:r>
    </w:p>
    <w:p w14:paraId="114B0EEA" w14:textId="7378D5FB" w:rsidR="00AD7B47" w:rsidRPr="00A77AF6" w:rsidRDefault="00AD7B47" w:rsidP="00855E05">
      <w:pPr>
        <w:spacing w:after="60" w:line="360" w:lineRule="auto"/>
        <w:rPr>
          <w:rFonts w:cstheme="minorHAnsi"/>
          <w:color w:val="000000" w:themeColor="text1"/>
          <w:sz w:val="21"/>
          <w:szCs w:val="21"/>
        </w:rPr>
      </w:pPr>
      <w:r w:rsidRPr="00A77AF6">
        <w:t xml:space="preserve">This study confirmed what previous research has found, the difficulty in measuring project success. This was made clear by the difference between the opinion of project managers and the measurement of the iron triangle.  </w:t>
      </w:r>
      <w:r w:rsidR="00855E05" w:rsidRPr="00A77AF6">
        <w:t>However, t</w:t>
      </w:r>
      <w:r w:rsidRPr="00A77AF6">
        <w:t xml:space="preserve">he meaningful use of the iron triangle is challenged in long complicated projects </w:t>
      </w:r>
      <w:r w:rsidR="00855E05" w:rsidRPr="00A77AF6">
        <w:t xml:space="preserve">which have </w:t>
      </w:r>
      <w:r w:rsidRPr="00A77AF6">
        <w:t>many stakeholders and long operational periods</w:t>
      </w:r>
      <w:r w:rsidR="00855E05" w:rsidRPr="00A77AF6">
        <w:t xml:space="preserve"> and other measures were suggested, such as longer-term operational considerations, but these are not being measured.  The i</w:t>
      </w:r>
      <w:r w:rsidRPr="00A77AF6">
        <w:t xml:space="preserve">mportance of quality, </w:t>
      </w:r>
      <w:r w:rsidR="00855E05" w:rsidRPr="00A77AF6">
        <w:t xml:space="preserve">above </w:t>
      </w:r>
      <w:r w:rsidRPr="00A77AF6">
        <w:t xml:space="preserve">time and cost stems </w:t>
      </w:r>
      <w:r w:rsidR="00855E05" w:rsidRPr="00A77AF6">
        <w:t xml:space="preserve">comes </w:t>
      </w:r>
      <w:r w:rsidRPr="00A77AF6">
        <w:t xml:space="preserve">from the need to create safe and therapeutic buildings rather than from meeting any profit motive.  In future, if the iron triangle is to be used, then it would </w:t>
      </w:r>
      <w:r w:rsidR="008E78D4" w:rsidRPr="00A77AF6">
        <w:t>be</w:t>
      </w:r>
      <w:r w:rsidRPr="00A77AF6">
        <w:t xml:space="preserve"> appropriate to weight each element at the start of the project in line with the priorities of the procuring organisation and to consider the targets for the operational phase too.  In practice, this means </w:t>
      </w:r>
      <w:r w:rsidR="008E78D4" w:rsidRPr="00A77AF6">
        <w:t>the</w:t>
      </w:r>
      <w:r w:rsidRPr="00A77AF6">
        <w:t xml:space="preserve"> parameters </w:t>
      </w:r>
      <w:r w:rsidR="008E78D4" w:rsidRPr="00A77AF6">
        <w:t>of</w:t>
      </w:r>
      <w:r w:rsidRPr="00A77AF6">
        <w:t xml:space="preserve"> time, cost and quality in the project management phase, and </w:t>
      </w:r>
      <w:r w:rsidR="008E78D4" w:rsidRPr="00A77AF6">
        <w:t xml:space="preserve">of </w:t>
      </w:r>
      <w:r w:rsidRPr="00A77AF6">
        <w:t xml:space="preserve">cost and quality in the operational phase. It would also include some tolerance to missing targets by using a sliding scale measurement.  In some respects, this would not be a great change from current requirements as costs and benefits should already be calculated at the beginning of the project for the lifetime of the asset. In other respects, this is a significant change as the three iron-triangle parameters in future would no longer be weighted equally and failure in one or more parameter might not mean failure overall.  For public assurance, both governance and project success should be measured at the end of the project management phase and during the operational phase.  </w:t>
      </w:r>
    </w:p>
    <w:p w14:paraId="0D808D11" w14:textId="77777777" w:rsidR="00C00FC1" w:rsidRPr="00A77AF6" w:rsidRDefault="00C00FC1"/>
    <w:p w14:paraId="56896D83" w14:textId="2452D2CD" w:rsidR="005021CB" w:rsidRPr="00A77AF6" w:rsidRDefault="005021CB" w:rsidP="005021CB">
      <w:pPr>
        <w:pStyle w:val="Heading2"/>
      </w:pPr>
      <w:bookmarkStart w:id="223" w:name="_Toc36275166"/>
      <w:r w:rsidRPr="00A77AF6">
        <w:t>Publication</w:t>
      </w:r>
      <w:bookmarkEnd w:id="223"/>
    </w:p>
    <w:p w14:paraId="01DF1965" w14:textId="77777777" w:rsidR="005021CB" w:rsidRPr="00A77AF6" w:rsidRDefault="005021CB" w:rsidP="005021CB"/>
    <w:p w14:paraId="48941024" w14:textId="77777777" w:rsidR="003B2380" w:rsidRPr="00A77AF6" w:rsidRDefault="003B2380" w:rsidP="003B2380">
      <w:pPr>
        <w:spacing w:line="240" w:lineRule="auto"/>
        <w:rPr>
          <w:b/>
          <w:bCs/>
        </w:rPr>
      </w:pPr>
      <w:r w:rsidRPr="00A77AF6">
        <w:rPr>
          <w:b/>
          <w:bCs/>
        </w:rPr>
        <w:t xml:space="preserve">Conference paper </w:t>
      </w:r>
    </w:p>
    <w:p w14:paraId="1AD671C6" w14:textId="60D8FDA5" w:rsidR="003B2380" w:rsidRPr="00A77AF6" w:rsidRDefault="003B2380" w:rsidP="003B2380">
      <w:pPr>
        <w:spacing w:line="240" w:lineRule="auto"/>
      </w:pPr>
      <w:r w:rsidRPr="00A77AF6">
        <w:t xml:space="preserve">Whelan, E &amp; Robinson, R (2018) </w:t>
      </w:r>
      <w:r w:rsidRPr="00A77AF6">
        <w:rPr>
          <w:i/>
          <w:iCs/>
        </w:rPr>
        <w:t>Ethical Predisposition of Project Managers in the Delivery of Construction Projects in the NHS</w:t>
      </w:r>
      <w:r w:rsidRPr="00A77AF6">
        <w:t xml:space="preserve"> </w:t>
      </w:r>
      <w:r w:rsidRPr="00A77AF6">
        <w:rPr>
          <w:rStyle w:val="journaltitle"/>
          <w:rFonts w:cstheme="minorHAnsi"/>
          <w:b/>
          <w:bCs/>
          <w:color w:val="494A4C"/>
        </w:rPr>
        <w:t>International Conference on Professionalism and Ethics in Construction</w:t>
      </w:r>
    </w:p>
    <w:p w14:paraId="4FD50481" w14:textId="1CAFAEED" w:rsidR="00AD7B47" w:rsidRPr="00A77AF6" w:rsidRDefault="00AD7B47" w:rsidP="005021CB">
      <w:pPr>
        <w:rPr>
          <w:rFonts w:cstheme="minorHAnsi"/>
          <w:sz w:val="20"/>
          <w:szCs w:val="16"/>
        </w:rPr>
      </w:pPr>
      <w:r w:rsidRPr="00A77AF6">
        <w:br w:type="page"/>
      </w:r>
    </w:p>
    <w:bookmarkStart w:id="224" w:name="_Toc36275167" w:displacedByCustomXml="next"/>
    <w:sdt>
      <w:sdtPr>
        <w:rPr>
          <w:rFonts w:asciiTheme="minorHAnsi" w:eastAsiaTheme="minorHAnsi" w:hAnsiTheme="minorHAnsi" w:cstheme="minorBidi"/>
          <w:b w:val="0"/>
          <w:sz w:val="22"/>
          <w:szCs w:val="22"/>
          <w:lang w:val="en-GB"/>
        </w:rPr>
        <w:id w:val="138694943"/>
        <w:docPartObj>
          <w:docPartGallery w:val="Bibliographies"/>
          <w:docPartUnique/>
        </w:docPartObj>
      </w:sdtPr>
      <w:sdtEndPr/>
      <w:sdtContent>
        <w:p w14:paraId="34F01E7F" w14:textId="69DB9CFE" w:rsidR="00333AFD" w:rsidRPr="00A77AF6" w:rsidRDefault="00333AFD" w:rsidP="00333AFD">
          <w:pPr>
            <w:pStyle w:val="Heading1"/>
            <w:rPr>
              <w:lang w:val="en-GB"/>
            </w:rPr>
          </w:pPr>
          <w:r w:rsidRPr="00A77AF6">
            <w:rPr>
              <w:lang w:val="en-GB"/>
            </w:rPr>
            <w:t>References</w:t>
          </w:r>
          <w:bookmarkEnd w:id="224"/>
        </w:p>
        <w:sdt>
          <w:sdtPr>
            <w:id w:val="1688326901"/>
            <w:bibliography/>
          </w:sdtPr>
          <w:sdtEndPr/>
          <w:sdtContent>
            <w:p w14:paraId="052EDF81" w14:textId="77777777" w:rsidR="008E653F" w:rsidRPr="00A77AF6" w:rsidRDefault="00333AFD" w:rsidP="008E653F">
              <w:pPr>
                <w:pStyle w:val="Bibliography"/>
                <w:rPr>
                  <w:sz w:val="24"/>
                  <w:szCs w:val="24"/>
                </w:rPr>
              </w:pPr>
              <w:r w:rsidRPr="00A77AF6">
                <w:fldChar w:fldCharType="begin"/>
              </w:r>
              <w:r w:rsidRPr="00A77AF6">
                <w:instrText xml:space="preserve"> BIBLIOGRAPHY </w:instrText>
              </w:r>
              <w:r w:rsidRPr="00A77AF6">
                <w:fldChar w:fldCharType="separate"/>
              </w:r>
              <w:r w:rsidR="008E653F" w:rsidRPr="00A77AF6">
                <w:t xml:space="preserve">Ahola, T. &amp; Davies, A., 2012. Insights for the governance of large projects. </w:t>
              </w:r>
              <w:r w:rsidR="008E653F" w:rsidRPr="00A77AF6">
                <w:rPr>
                  <w:i/>
                  <w:iCs/>
                </w:rPr>
                <w:t xml:space="preserve">International Journal of Managing Projects in Business, </w:t>
              </w:r>
              <w:r w:rsidR="008E653F" w:rsidRPr="00A77AF6">
                <w:t>5(4), pp. 661-679.</w:t>
              </w:r>
            </w:p>
            <w:p w14:paraId="72411706" w14:textId="77777777" w:rsidR="008E653F" w:rsidRPr="00A77AF6" w:rsidRDefault="008E653F" w:rsidP="008E653F">
              <w:pPr>
                <w:pStyle w:val="Bibliography"/>
              </w:pPr>
              <w:r w:rsidRPr="00A77AF6">
                <w:t xml:space="preserve">Akintoye, A., Hardcastle, C., Chinyio, E. &amp; Asenova, D., 2003. Achieving best value in private initiative project procurement. </w:t>
              </w:r>
              <w:r w:rsidRPr="00A77AF6">
                <w:rPr>
                  <w:i/>
                  <w:iCs/>
                </w:rPr>
                <w:t xml:space="preserve">Construction Management and Economics, </w:t>
              </w:r>
              <w:r w:rsidRPr="00A77AF6">
                <w:t>21(July/August), pp. 461-470.</w:t>
              </w:r>
            </w:p>
            <w:p w14:paraId="461D461A" w14:textId="77777777" w:rsidR="008E653F" w:rsidRPr="00A77AF6" w:rsidRDefault="008E653F" w:rsidP="008E653F">
              <w:pPr>
                <w:pStyle w:val="Bibliography"/>
              </w:pPr>
              <w:r w:rsidRPr="00A77AF6">
                <w:t xml:space="preserve">Allen, G., 2001. </w:t>
              </w:r>
              <w:r w:rsidRPr="00A77AF6">
                <w:rPr>
                  <w:i/>
                  <w:iCs/>
                </w:rPr>
                <w:t xml:space="preserve">The Private Finance Initiative (PFI), </w:t>
              </w:r>
              <w:r w:rsidRPr="00A77AF6">
                <w:t>s.l.: House of Commons.</w:t>
              </w:r>
            </w:p>
            <w:p w14:paraId="6C173646" w14:textId="77777777" w:rsidR="008E653F" w:rsidRPr="00A77AF6" w:rsidRDefault="008E653F" w:rsidP="008E653F">
              <w:pPr>
                <w:pStyle w:val="Bibliography"/>
              </w:pPr>
              <w:r w:rsidRPr="00A77AF6">
                <w:t xml:space="preserve">Anon., 2014. </w:t>
              </w:r>
              <w:r w:rsidRPr="00A77AF6">
                <w:rPr>
                  <w:i/>
                  <w:iCs/>
                </w:rPr>
                <w:t xml:space="preserve">The Cadbury Archive at Judge Business School. </w:t>
              </w:r>
              <w:r w:rsidRPr="00A77AF6">
                <w:t xml:space="preserve">[Online] </w:t>
              </w:r>
              <w:r w:rsidRPr="00A77AF6">
                <w:br/>
                <w:t xml:space="preserve">Available at: </w:t>
              </w:r>
              <w:r w:rsidRPr="00A77AF6">
                <w:rPr>
                  <w:u w:val="single"/>
                </w:rPr>
                <w:t>http://www.cadbury.jbs.cam.ac.uk/</w:t>
              </w:r>
              <w:r w:rsidRPr="00A77AF6">
                <w:br/>
                <w:t>[Accessed 7 March 2014].</w:t>
              </w:r>
            </w:p>
            <w:p w14:paraId="518A0BAC" w14:textId="77777777" w:rsidR="008E653F" w:rsidRPr="00A77AF6" w:rsidRDefault="008E653F" w:rsidP="008E653F">
              <w:pPr>
                <w:pStyle w:val="Bibliography"/>
              </w:pPr>
              <w:r w:rsidRPr="00A77AF6">
                <w:t xml:space="preserve">APM, 2012. </w:t>
              </w:r>
              <w:r w:rsidRPr="00A77AF6">
                <w:rPr>
                  <w:i/>
                  <w:iCs/>
                </w:rPr>
                <w:t xml:space="preserve">All Projects Succeed. </w:t>
              </w:r>
              <w:r w:rsidRPr="00A77AF6">
                <w:t xml:space="preserve">[Online] </w:t>
              </w:r>
              <w:r w:rsidRPr="00A77AF6">
                <w:br/>
                <w:t xml:space="preserve">Available at: </w:t>
              </w:r>
              <w:r w:rsidRPr="00A77AF6">
                <w:rPr>
                  <w:u w:val="single"/>
                </w:rPr>
                <w:t>https://www.apm.org.uk/sites/default/files/strategy%202020.pdf</w:t>
              </w:r>
              <w:r w:rsidRPr="00A77AF6">
                <w:br/>
                <w:t>[Accessed 23 Jne 2017].</w:t>
              </w:r>
            </w:p>
            <w:p w14:paraId="37EEA338" w14:textId="77777777" w:rsidR="008E653F" w:rsidRPr="00A77AF6" w:rsidRDefault="008E653F" w:rsidP="008E653F">
              <w:pPr>
                <w:pStyle w:val="Bibliography"/>
              </w:pPr>
              <w:r w:rsidRPr="00A77AF6">
                <w:t xml:space="preserve">APM, 2013. </w:t>
              </w:r>
              <w:r w:rsidRPr="00A77AF6">
                <w:rPr>
                  <w:i/>
                  <w:iCs/>
                </w:rPr>
                <w:t xml:space="preserve">Good governance of the project portfolio. </w:t>
              </w:r>
              <w:r w:rsidRPr="00A77AF6">
                <w:t xml:space="preserve">[Online] </w:t>
              </w:r>
              <w:r w:rsidRPr="00A77AF6">
                <w:br/>
                <w:t xml:space="preserve">Available at: </w:t>
              </w:r>
              <w:r w:rsidRPr="00A77AF6">
                <w:rPr>
                  <w:u w:val="single"/>
                </w:rPr>
                <w:t>https://www.apm.org.uk/news/good-governance-of-the-project-portfolio/</w:t>
              </w:r>
              <w:r w:rsidRPr="00A77AF6">
                <w:br/>
                <w:t>[Accessed 2 April 2014].</w:t>
              </w:r>
            </w:p>
            <w:p w14:paraId="58F87E19" w14:textId="77777777" w:rsidR="008E653F" w:rsidRPr="00A77AF6" w:rsidRDefault="008E653F" w:rsidP="008E653F">
              <w:pPr>
                <w:pStyle w:val="Bibliography"/>
              </w:pPr>
              <w:r w:rsidRPr="00A77AF6">
                <w:t xml:space="preserve">APM, 2014. </w:t>
              </w:r>
              <w:r w:rsidRPr="00A77AF6">
                <w:rPr>
                  <w:i/>
                  <w:iCs/>
                </w:rPr>
                <w:t xml:space="preserve">Factors in Project Success, </w:t>
              </w:r>
              <w:r w:rsidRPr="00A77AF6">
                <w:t>Birmingham, UK: BMG Research.</w:t>
              </w:r>
            </w:p>
            <w:p w14:paraId="500A6E5B" w14:textId="77777777" w:rsidR="008E653F" w:rsidRPr="00A77AF6" w:rsidRDefault="008E653F" w:rsidP="008E653F">
              <w:pPr>
                <w:pStyle w:val="Bibliography"/>
              </w:pPr>
              <w:r w:rsidRPr="00A77AF6">
                <w:t xml:space="preserve">APM, 2015. </w:t>
              </w:r>
              <w:r w:rsidRPr="00A77AF6">
                <w:rPr>
                  <w:i/>
                  <w:iCs/>
                </w:rPr>
                <w:t xml:space="preserve">Conditions for Project Success. </w:t>
              </w:r>
              <w:r w:rsidRPr="00A77AF6">
                <w:t xml:space="preserve">[Online] </w:t>
              </w:r>
              <w:r w:rsidRPr="00A77AF6">
                <w:br/>
                <w:t xml:space="preserve">Available at: </w:t>
              </w:r>
              <w:r w:rsidRPr="00A77AF6">
                <w:rPr>
                  <w:u w:val="single"/>
                </w:rPr>
                <w:t>https://www.apm.org.uk/media/1621/conditions-for-project-success_web_final_0.pdf</w:t>
              </w:r>
              <w:r w:rsidRPr="00A77AF6">
                <w:br/>
                <w:t>[Accessed 9 April 2017].</w:t>
              </w:r>
            </w:p>
            <w:p w14:paraId="00CA85A7" w14:textId="77777777" w:rsidR="008E653F" w:rsidRPr="00A77AF6" w:rsidRDefault="008E653F" w:rsidP="008E653F">
              <w:pPr>
                <w:pStyle w:val="Bibliography"/>
              </w:pPr>
              <w:r w:rsidRPr="00A77AF6">
                <w:t xml:space="preserve">APM, 2018. </w:t>
              </w:r>
              <w:r w:rsidRPr="00A77AF6">
                <w:rPr>
                  <w:i/>
                  <w:iCs/>
                </w:rPr>
                <w:t xml:space="preserve">APM Code of Professional Conduct. </w:t>
              </w:r>
              <w:r w:rsidRPr="00A77AF6">
                <w:t xml:space="preserve">[Online] </w:t>
              </w:r>
              <w:r w:rsidRPr="00A77AF6">
                <w:br/>
                <w:t xml:space="preserve">Available at: </w:t>
              </w:r>
              <w:r w:rsidRPr="00A77AF6">
                <w:rPr>
                  <w:u w:val="single"/>
                </w:rPr>
                <w:t>https://www.apm.org.uk/media/19286/code-of-professional-conduct.pdf</w:t>
              </w:r>
              <w:r w:rsidRPr="00A77AF6">
                <w:br/>
                <w:t>[Accessed 3 July 2018].</w:t>
              </w:r>
            </w:p>
            <w:p w14:paraId="7475FFFA" w14:textId="77777777" w:rsidR="008E653F" w:rsidRPr="00A77AF6" w:rsidRDefault="008E653F" w:rsidP="008E653F">
              <w:pPr>
                <w:pStyle w:val="Bibliography"/>
              </w:pPr>
              <w:r w:rsidRPr="00A77AF6">
                <w:t xml:space="preserve">APM, 2018. </w:t>
              </w:r>
              <w:r w:rsidRPr="00A77AF6">
                <w:rPr>
                  <w:i/>
                  <w:iCs/>
                </w:rPr>
                <w:t xml:space="preserve">Ethics in Project Management. </w:t>
              </w:r>
              <w:r w:rsidRPr="00A77AF6">
                <w:t xml:space="preserve">[Online] </w:t>
              </w:r>
              <w:r w:rsidRPr="00A77AF6">
                <w:br/>
                <w:t xml:space="preserve">Available at: </w:t>
              </w:r>
              <w:r w:rsidRPr="00A77AF6">
                <w:rPr>
                  <w:u w:val="single"/>
                </w:rPr>
                <w:t>https://www.apm.org.uk/resources/find-a-resource/ethics-in-project-management/</w:t>
              </w:r>
              <w:r w:rsidRPr="00A77AF6">
                <w:br/>
                <w:t>[Accessed 15 August 2018].</w:t>
              </w:r>
            </w:p>
            <w:p w14:paraId="6DEA0F62" w14:textId="77777777" w:rsidR="008E653F" w:rsidRPr="00A77AF6" w:rsidRDefault="008E653F" w:rsidP="008E653F">
              <w:pPr>
                <w:pStyle w:val="Bibliography"/>
              </w:pPr>
              <w:r w:rsidRPr="00A77AF6">
                <w:t xml:space="preserve">APM, 2018. </w:t>
              </w:r>
              <w:r w:rsidRPr="00A77AF6">
                <w:rPr>
                  <w:i/>
                  <w:iCs/>
                </w:rPr>
                <w:t xml:space="preserve">What is Project Management?. </w:t>
              </w:r>
              <w:r w:rsidRPr="00A77AF6">
                <w:t xml:space="preserve">[Online] </w:t>
              </w:r>
              <w:r w:rsidRPr="00A77AF6">
                <w:br/>
                <w:t xml:space="preserve">Available at: </w:t>
              </w:r>
              <w:r w:rsidRPr="00A77AF6">
                <w:rPr>
                  <w:u w:val="single"/>
                </w:rPr>
                <w:t>https://www.apm.org.uk/resources/what-is-project-management/</w:t>
              </w:r>
              <w:r w:rsidRPr="00A77AF6">
                <w:br/>
                <w:t>[Accessed 28 May 2018].</w:t>
              </w:r>
            </w:p>
            <w:p w14:paraId="475D07D4" w14:textId="77777777" w:rsidR="008E653F" w:rsidRPr="00A77AF6" w:rsidRDefault="008E653F" w:rsidP="008E653F">
              <w:pPr>
                <w:pStyle w:val="Bibliography"/>
              </w:pPr>
              <w:r w:rsidRPr="00A77AF6">
                <w:t xml:space="preserve">APM, 2019. </w:t>
              </w:r>
              <w:r w:rsidRPr="00A77AF6">
                <w:rPr>
                  <w:i/>
                  <w:iCs/>
                </w:rPr>
                <w:t xml:space="preserve">APM Body of Knowledge. </w:t>
              </w:r>
              <w:r w:rsidRPr="00A77AF6">
                <w:t>7th ed. Princes Risborough: APM.</w:t>
              </w:r>
            </w:p>
            <w:p w14:paraId="57023924" w14:textId="77777777" w:rsidR="008E653F" w:rsidRPr="00A77AF6" w:rsidRDefault="008E653F" w:rsidP="008E653F">
              <w:pPr>
                <w:pStyle w:val="Bibliography"/>
              </w:pPr>
              <w:r w:rsidRPr="00A77AF6">
                <w:t xml:space="preserve">APM, n.d. </w:t>
              </w:r>
              <w:r w:rsidRPr="00A77AF6">
                <w:rPr>
                  <w:i/>
                  <w:iCs/>
                </w:rPr>
                <w:t xml:space="preserve">Programme Management. </w:t>
              </w:r>
              <w:r w:rsidRPr="00A77AF6">
                <w:t xml:space="preserve">[Online] </w:t>
              </w:r>
              <w:r w:rsidRPr="00A77AF6">
                <w:br/>
                <w:t xml:space="preserve">Available at: </w:t>
              </w:r>
              <w:r w:rsidRPr="00A77AF6">
                <w:rPr>
                  <w:u w:val="single"/>
                </w:rPr>
                <w:t>https://www.apm.org.uk/body-of-knowledge/context/governance/programme-management/</w:t>
              </w:r>
              <w:r w:rsidRPr="00A77AF6">
                <w:br/>
                <w:t>[Accessed 3 June 2018].</w:t>
              </w:r>
            </w:p>
            <w:p w14:paraId="0B56EDDA" w14:textId="77777777" w:rsidR="008E653F" w:rsidRPr="00A77AF6" w:rsidRDefault="008E653F" w:rsidP="008E653F">
              <w:pPr>
                <w:pStyle w:val="Bibliography"/>
              </w:pPr>
              <w:r w:rsidRPr="00A77AF6">
                <w:t xml:space="preserve">ARB, 2010. </w:t>
              </w:r>
              <w:r w:rsidRPr="00A77AF6">
                <w:rPr>
                  <w:i/>
                  <w:iCs/>
                </w:rPr>
                <w:t xml:space="preserve">Architects Code: Standards of Conduct and Practice, </w:t>
              </w:r>
              <w:r w:rsidRPr="00A77AF6">
                <w:t>s.l.: Architects Registration Board.</w:t>
              </w:r>
            </w:p>
            <w:p w14:paraId="20EF7A85" w14:textId="77777777" w:rsidR="008E653F" w:rsidRPr="00A77AF6" w:rsidRDefault="008E653F" w:rsidP="008E653F">
              <w:pPr>
                <w:pStyle w:val="Bibliography"/>
              </w:pPr>
              <w:r w:rsidRPr="00A77AF6">
                <w:t xml:space="preserve">Arrow, K., 1984. </w:t>
              </w:r>
              <w:r w:rsidRPr="00A77AF6">
                <w:rPr>
                  <w:i/>
                  <w:iCs/>
                </w:rPr>
                <w:t xml:space="preserve">The Economics of Agency, </w:t>
              </w:r>
              <w:r w:rsidRPr="00A77AF6">
                <w:t>Standford: Center for Research on Organizational Efficiency, Stanford University.</w:t>
              </w:r>
            </w:p>
            <w:p w14:paraId="1E3C0E3F" w14:textId="77777777" w:rsidR="008E653F" w:rsidRPr="00A77AF6" w:rsidRDefault="008E653F" w:rsidP="008E653F">
              <w:pPr>
                <w:pStyle w:val="Bibliography"/>
              </w:pPr>
              <w:r w:rsidRPr="00A77AF6">
                <w:t xml:space="preserve">Ashely, D. B., Lurie, C. S. &amp; Jaselskis, E. J., 1986. </w:t>
              </w:r>
              <w:r w:rsidRPr="00A77AF6">
                <w:rPr>
                  <w:i/>
                  <w:iCs/>
                </w:rPr>
                <w:t xml:space="preserve">New trends in risk management. </w:t>
              </w:r>
              <w:r w:rsidRPr="00A77AF6">
                <w:t>Zurich, s.n.</w:t>
              </w:r>
            </w:p>
            <w:p w14:paraId="00FB36C5" w14:textId="77777777" w:rsidR="008E653F" w:rsidRPr="00A77AF6" w:rsidRDefault="008E653F" w:rsidP="008E653F">
              <w:pPr>
                <w:pStyle w:val="Bibliography"/>
              </w:pPr>
              <w:r w:rsidRPr="00A77AF6">
                <w:lastRenderedPageBreak/>
                <w:t xml:space="preserve">Atkin, B. &amp; Skitmore, M., 2008. Editorial: stakeholder management in construction. </w:t>
              </w:r>
              <w:r w:rsidRPr="00A77AF6">
                <w:rPr>
                  <w:i/>
                  <w:iCs/>
                </w:rPr>
                <w:t xml:space="preserve">Construction Management and Economics, </w:t>
              </w:r>
              <w:r w:rsidRPr="00A77AF6">
                <w:t>Volume 26, pp. 549-552.</w:t>
              </w:r>
            </w:p>
            <w:p w14:paraId="445B2E25" w14:textId="77777777" w:rsidR="008E653F" w:rsidRPr="00A77AF6" w:rsidRDefault="008E653F" w:rsidP="008E653F">
              <w:pPr>
                <w:pStyle w:val="Bibliography"/>
              </w:pPr>
              <w:r w:rsidRPr="00A77AF6">
                <w:t xml:space="preserve">Atkinson, R., 1999. Project managment: cost, time and quality, two best guesses and a phenomenon, its time to accept other success criteria. </w:t>
              </w:r>
              <w:r w:rsidRPr="00A77AF6">
                <w:rPr>
                  <w:i/>
                  <w:iCs/>
                </w:rPr>
                <w:t xml:space="preserve">International Journal of Project Management, </w:t>
              </w:r>
              <w:r w:rsidRPr="00A77AF6">
                <w:t>17(6), pp. 337-342.</w:t>
              </w:r>
            </w:p>
            <w:p w14:paraId="79060925" w14:textId="77777777" w:rsidR="008E653F" w:rsidRPr="00A77AF6" w:rsidRDefault="008E653F" w:rsidP="008E653F">
              <w:pPr>
                <w:pStyle w:val="Bibliography"/>
              </w:pPr>
              <w:r w:rsidRPr="00A77AF6">
                <w:t xml:space="preserve">Axelos, 2009. </w:t>
              </w:r>
              <w:r w:rsidRPr="00A77AF6">
                <w:rPr>
                  <w:i/>
                  <w:iCs/>
                </w:rPr>
                <w:t xml:space="preserve">Managing Successful Project with PRINCE2. </w:t>
              </w:r>
              <w:r w:rsidRPr="00A77AF6">
                <w:t>5 ed. London: TSO.</w:t>
              </w:r>
            </w:p>
            <w:p w14:paraId="7799CA1F" w14:textId="77777777" w:rsidR="008E653F" w:rsidRPr="00A77AF6" w:rsidRDefault="008E653F" w:rsidP="008E653F">
              <w:pPr>
                <w:pStyle w:val="Bibliography"/>
              </w:pPr>
              <w:r w:rsidRPr="00A77AF6">
                <w:t xml:space="preserve">Baker, B. N., Murphy, D. C. &amp; Fisher, D., 1983. Factors affecting project success. In: D. I. Cleland &amp; W. R. King, eds. </w:t>
              </w:r>
              <w:r w:rsidRPr="00A77AF6">
                <w:rPr>
                  <w:i/>
                  <w:iCs/>
                </w:rPr>
                <w:t xml:space="preserve">Project Management Handbook. </w:t>
              </w:r>
              <w:r w:rsidRPr="00A77AF6">
                <w:t>New York: Van Nostrand Reinhold, pp. 669-685.</w:t>
              </w:r>
            </w:p>
            <w:p w14:paraId="61EC06DD" w14:textId="77777777" w:rsidR="008E653F" w:rsidRPr="00A77AF6" w:rsidRDefault="008E653F" w:rsidP="008E653F">
              <w:pPr>
                <w:pStyle w:val="Bibliography"/>
              </w:pPr>
              <w:r w:rsidRPr="00A77AF6">
                <w:t xml:space="preserve">Baker, B. N., Murphy, D. C. &amp; Fisher, D., 1988. Factors Affecting Project Success. In: D. I. Cleland &amp; W. R. King, eds. </w:t>
              </w:r>
              <w:r w:rsidRPr="00A77AF6">
                <w:rPr>
                  <w:i/>
                  <w:iCs/>
                </w:rPr>
                <w:t xml:space="preserve">Project Management Handbook. </w:t>
              </w:r>
              <w:r w:rsidRPr="00A77AF6">
                <w:t>New York: Van Nostrand Reinhold, pp. 902-909.</w:t>
              </w:r>
            </w:p>
            <w:p w14:paraId="6C41D50D" w14:textId="77777777" w:rsidR="008E653F" w:rsidRPr="00A77AF6" w:rsidRDefault="008E653F" w:rsidP="008E653F">
              <w:pPr>
                <w:pStyle w:val="Bibliography"/>
              </w:pPr>
              <w:r w:rsidRPr="00A77AF6">
                <w:t xml:space="preserve">Bank of England, 2019. </w:t>
              </w:r>
              <w:r w:rsidRPr="00A77AF6">
                <w:rPr>
                  <w:i/>
                  <w:iCs/>
                </w:rPr>
                <w:t xml:space="preserve">Inflation Calculator. </w:t>
              </w:r>
              <w:r w:rsidRPr="00A77AF6">
                <w:t xml:space="preserve">[Online] </w:t>
              </w:r>
              <w:r w:rsidRPr="00A77AF6">
                <w:br/>
                <w:t xml:space="preserve">Available at: </w:t>
              </w:r>
              <w:r w:rsidRPr="00A77AF6">
                <w:rPr>
                  <w:u w:val="single"/>
                </w:rPr>
                <w:t>https://www.bankofengland.co.uk/monetary-policy/inflation/inflation-calculator</w:t>
              </w:r>
              <w:r w:rsidRPr="00A77AF6">
                <w:br/>
                <w:t>[Accessed 3 February 2019].</w:t>
              </w:r>
            </w:p>
            <w:p w14:paraId="34974132" w14:textId="77777777" w:rsidR="008E653F" w:rsidRPr="00A77AF6" w:rsidRDefault="008E653F" w:rsidP="008E653F">
              <w:pPr>
                <w:pStyle w:val="Bibliography"/>
              </w:pPr>
              <w:r w:rsidRPr="00A77AF6">
                <w:t xml:space="preserve">Barlow, J. &amp; Köberle-Gaiser, M., 2008. Delivering Innovation in Hospital Construction. </w:t>
              </w:r>
              <w:r w:rsidRPr="00A77AF6">
                <w:rPr>
                  <w:i/>
                  <w:iCs/>
                </w:rPr>
                <w:t xml:space="preserve">California Management Review, </w:t>
              </w:r>
              <w:r w:rsidRPr="00A77AF6">
                <w:t>51(2), pp. 1-18.</w:t>
              </w:r>
            </w:p>
            <w:p w14:paraId="67ADE229" w14:textId="77777777" w:rsidR="008E653F" w:rsidRPr="00A77AF6" w:rsidRDefault="008E653F" w:rsidP="008E653F">
              <w:pPr>
                <w:pStyle w:val="Bibliography"/>
              </w:pPr>
              <w:r w:rsidRPr="00A77AF6">
                <w:t xml:space="preserve">BBC, 2009. </w:t>
              </w:r>
              <w:r w:rsidRPr="00A77AF6">
                <w:rPr>
                  <w:i/>
                  <w:iCs/>
                </w:rPr>
                <w:t xml:space="preserve">Q&amp;A: MP expenses row explained. </w:t>
              </w:r>
              <w:r w:rsidRPr="00A77AF6">
                <w:t xml:space="preserve">[Online] </w:t>
              </w:r>
              <w:r w:rsidRPr="00A77AF6">
                <w:br/>
                <w:t xml:space="preserve">Available at: </w:t>
              </w:r>
              <w:r w:rsidRPr="00A77AF6">
                <w:rPr>
                  <w:u w:val="single"/>
                </w:rPr>
                <w:t>http://news.bbc.co.uk/1/hi/uk_politics/7840678.stm</w:t>
              </w:r>
              <w:r w:rsidRPr="00A77AF6">
                <w:br/>
                <w:t>[Accessed 27 June 2018].</w:t>
              </w:r>
            </w:p>
            <w:p w14:paraId="28FE2C24" w14:textId="77777777" w:rsidR="008E653F" w:rsidRPr="00A77AF6" w:rsidRDefault="008E653F" w:rsidP="008E653F">
              <w:pPr>
                <w:pStyle w:val="Bibliography"/>
              </w:pPr>
              <w:r w:rsidRPr="00A77AF6">
                <w:t xml:space="preserve">Belassi, W. &amp; Tukel, O. I., 1996. A new framework for determining critical success/ failure factors in projects. </w:t>
              </w:r>
              <w:r w:rsidRPr="00A77AF6">
                <w:rPr>
                  <w:i/>
                  <w:iCs/>
                </w:rPr>
                <w:t xml:space="preserve">International Journal of Project Management, </w:t>
              </w:r>
              <w:r w:rsidRPr="00A77AF6">
                <w:t>14(3), pp. 141-151.</w:t>
              </w:r>
            </w:p>
            <w:p w14:paraId="4F0E66AF" w14:textId="77777777" w:rsidR="008E653F" w:rsidRPr="00A77AF6" w:rsidRDefault="008E653F" w:rsidP="008E653F">
              <w:pPr>
                <w:pStyle w:val="Bibliography"/>
              </w:pPr>
              <w:r w:rsidRPr="00A77AF6">
                <w:t xml:space="preserve">Beltramini, R. F., Peterson, A. &amp; Kozmetsky, G., 1984. Concerns of College Students Regarding Business Ethics. </w:t>
              </w:r>
              <w:r w:rsidRPr="00A77AF6">
                <w:rPr>
                  <w:i/>
                  <w:iCs/>
                </w:rPr>
                <w:t xml:space="preserve">Journal of Business Ethics, </w:t>
              </w:r>
              <w:r w:rsidRPr="00A77AF6">
                <w:t>Volume 3, pp. 195-200.</w:t>
              </w:r>
            </w:p>
            <w:p w14:paraId="76861439" w14:textId="77777777" w:rsidR="008E653F" w:rsidRPr="00A77AF6" w:rsidRDefault="008E653F" w:rsidP="008E653F">
              <w:pPr>
                <w:pStyle w:val="Bibliography"/>
              </w:pPr>
              <w:r w:rsidRPr="00A77AF6">
                <w:t xml:space="preserve">Bentham, J., 1843. </w:t>
              </w:r>
              <w:r w:rsidRPr="00A77AF6">
                <w:rPr>
                  <w:i/>
                  <w:iCs/>
                </w:rPr>
                <w:t xml:space="preserve">The Works of Jeremey Bentham vol 4. </w:t>
              </w:r>
              <w:r w:rsidRPr="00A77AF6">
                <w:t>Edinburgh: William Tait.</w:t>
              </w:r>
            </w:p>
            <w:p w14:paraId="10C2C7F2" w14:textId="77777777" w:rsidR="008E653F" w:rsidRPr="00A77AF6" w:rsidRDefault="008E653F" w:rsidP="008E653F">
              <w:pPr>
                <w:pStyle w:val="Bibliography"/>
              </w:pPr>
              <w:r w:rsidRPr="00A77AF6">
                <w:t xml:space="preserve">Betz, M., O'Connell, L. &amp; Shepard, J. M., 1989. Gender Differences in Proclivity for Unethical Behaviour. </w:t>
              </w:r>
              <w:r w:rsidRPr="00A77AF6">
                <w:rPr>
                  <w:i/>
                  <w:iCs/>
                </w:rPr>
                <w:t xml:space="preserve">Journal of Business Ethics, </w:t>
              </w:r>
              <w:r w:rsidRPr="00A77AF6">
                <w:t>8(5), pp. 321-324.</w:t>
              </w:r>
            </w:p>
            <w:p w14:paraId="1B7D3E7F" w14:textId="77777777" w:rsidR="008E653F" w:rsidRPr="00A77AF6" w:rsidRDefault="008E653F" w:rsidP="008E653F">
              <w:pPr>
                <w:pStyle w:val="Bibliography"/>
              </w:pPr>
              <w:r w:rsidRPr="00A77AF6">
                <w:t xml:space="preserve">BMA, 2018. </w:t>
              </w:r>
              <w:r w:rsidRPr="00A77AF6">
                <w:rPr>
                  <w:i/>
                  <w:iCs/>
                </w:rPr>
                <w:t xml:space="preserve">Carillion collapse casts doubt over NHS projects. </w:t>
              </w:r>
              <w:r w:rsidRPr="00A77AF6">
                <w:t xml:space="preserve">[Online] </w:t>
              </w:r>
              <w:r w:rsidRPr="00A77AF6">
                <w:br/>
                <w:t xml:space="preserve">Available at: </w:t>
              </w:r>
              <w:r w:rsidRPr="00A77AF6">
                <w:rPr>
                  <w:u w:val="single"/>
                </w:rPr>
                <w:t>https://www.bma.org.uk/news/2018/january/carillion-signals-end-of-outsourcing</w:t>
              </w:r>
              <w:r w:rsidRPr="00A77AF6">
                <w:br/>
                <w:t>[Accessed 31 3 2019].</w:t>
              </w:r>
            </w:p>
            <w:p w14:paraId="2ED34EBA" w14:textId="77777777" w:rsidR="008E653F" w:rsidRPr="00A77AF6" w:rsidRDefault="008E653F" w:rsidP="008E653F">
              <w:pPr>
                <w:pStyle w:val="Bibliography"/>
              </w:pPr>
              <w:r w:rsidRPr="00A77AF6">
                <w:t xml:space="preserve">Bowen, G., 2008. Naturalistic inquiry and the saturation concept: A research note.. </w:t>
              </w:r>
              <w:r w:rsidRPr="00A77AF6">
                <w:rPr>
                  <w:i/>
                  <w:iCs/>
                </w:rPr>
                <w:t xml:space="preserve">Qualitative Research, </w:t>
              </w:r>
              <w:r w:rsidRPr="00A77AF6">
                <w:t>8(1), pp. 137-152.</w:t>
              </w:r>
            </w:p>
            <w:p w14:paraId="7B7FFF12" w14:textId="77777777" w:rsidR="008E653F" w:rsidRPr="00A77AF6" w:rsidRDefault="008E653F" w:rsidP="008E653F">
              <w:pPr>
                <w:pStyle w:val="Bibliography"/>
              </w:pPr>
              <w:r w:rsidRPr="00A77AF6">
                <w:t xml:space="preserve">Brady, N. F., 1985. A Janus-Headed Model of Ethical Theory: Looking Two Ways at Business/ Society Issues. </w:t>
              </w:r>
              <w:r w:rsidRPr="00A77AF6">
                <w:rPr>
                  <w:i/>
                  <w:iCs/>
                </w:rPr>
                <w:t xml:space="preserve">Academy of Management Review, </w:t>
              </w:r>
              <w:r w:rsidRPr="00A77AF6">
                <w:t>10(3), pp. 568-576.</w:t>
              </w:r>
            </w:p>
            <w:p w14:paraId="78695D02" w14:textId="77777777" w:rsidR="008E653F" w:rsidRPr="00A77AF6" w:rsidRDefault="008E653F" w:rsidP="008E653F">
              <w:pPr>
                <w:pStyle w:val="Bibliography"/>
              </w:pPr>
              <w:r w:rsidRPr="00A77AF6">
                <w:t xml:space="preserve">Brady, N. F. &amp; Wheeler, G. E., 1996. An Empirical Study of Ethical Predispositions. </w:t>
              </w:r>
              <w:r w:rsidRPr="00A77AF6">
                <w:rPr>
                  <w:i/>
                  <w:iCs/>
                </w:rPr>
                <w:t xml:space="preserve">Journal of Business Ethics, </w:t>
              </w:r>
              <w:r w:rsidRPr="00A77AF6">
                <w:t>Volume 15, pp. 927-940.</w:t>
              </w:r>
            </w:p>
            <w:p w14:paraId="1C464486" w14:textId="77777777" w:rsidR="008E653F" w:rsidRPr="00A77AF6" w:rsidRDefault="008E653F" w:rsidP="008E653F">
              <w:pPr>
                <w:pStyle w:val="Bibliography"/>
              </w:pPr>
              <w:r w:rsidRPr="00A77AF6">
                <w:t xml:space="preserve">BREEAM, 2018. </w:t>
              </w:r>
              <w:r w:rsidRPr="00A77AF6">
                <w:rPr>
                  <w:i/>
                  <w:iCs/>
                </w:rPr>
                <w:t xml:space="preserve">Scoring and rating BREEAM-assessed buildings. </w:t>
              </w:r>
              <w:r w:rsidRPr="00A77AF6">
                <w:t xml:space="preserve">[Online] </w:t>
              </w:r>
              <w:r w:rsidRPr="00A77AF6">
                <w:br/>
                <w:t xml:space="preserve">Available at: </w:t>
              </w:r>
              <w:r w:rsidRPr="00A77AF6">
                <w:rPr>
                  <w:u w:val="single"/>
                </w:rPr>
                <w:t>https://www.breeam.com/NC2018/#03_scoringrating_newcon/cratingbm.htm%3FTocPath%3DScoring%2520and%2520rating%2520BREEAM-assessed%2520buildings%7C_____1</w:t>
              </w:r>
              <w:r w:rsidRPr="00A77AF6">
                <w:br/>
                <w:t>[Accessed 5 December 2018].</w:t>
              </w:r>
            </w:p>
            <w:p w14:paraId="4EBF9BED" w14:textId="77777777" w:rsidR="008E653F" w:rsidRPr="00A77AF6" w:rsidRDefault="008E653F" w:rsidP="008E653F">
              <w:pPr>
                <w:pStyle w:val="Bibliography"/>
              </w:pPr>
              <w:r w:rsidRPr="00A77AF6">
                <w:lastRenderedPageBreak/>
                <w:t xml:space="preserve">British Standards, 2006. </w:t>
              </w:r>
              <w:r w:rsidRPr="00A77AF6">
                <w:rPr>
                  <w:i/>
                  <w:iCs/>
                </w:rPr>
                <w:t xml:space="preserve">Project Management - Part 4: A Guide to project management in the construction industry. </w:t>
              </w:r>
              <w:r w:rsidRPr="00A77AF6">
                <w:t xml:space="preserve">[Online] </w:t>
              </w:r>
              <w:r w:rsidRPr="00A77AF6">
                <w:br/>
                <w:t xml:space="preserve">Available at: </w:t>
              </w:r>
              <w:r w:rsidRPr="00A77AF6">
                <w:rPr>
                  <w:u w:val="single"/>
                </w:rPr>
                <w:t>file:///C:/Users/elizabeth/Documents/PhD/Phd%20Articles%20on%20project%20success%20and%20failure/British%20standard%20BS%20PD%206079-4%202006%20Project%20management.%20Guide%20to%20project%20management%20in%20the%20construction%20industry.pdf</w:t>
              </w:r>
              <w:r w:rsidRPr="00A77AF6">
                <w:br/>
                <w:t>[Accessed 30 March 2017].</w:t>
              </w:r>
            </w:p>
            <w:p w14:paraId="27CDA55F" w14:textId="77777777" w:rsidR="008E653F" w:rsidRPr="00A77AF6" w:rsidRDefault="008E653F" w:rsidP="008E653F">
              <w:pPr>
                <w:pStyle w:val="Bibliography"/>
              </w:pPr>
              <w:r w:rsidRPr="00A77AF6">
                <w:t xml:space="preserve">British Standards, 2010. </w:t>
              </w:r>
              <w:r w:rsidRPr="00A77AF6">
                <w:rPr>
                  <w:i/>
                  <w:iCs/>
                </w:rPr>
                <w:t xml:space="preserve">British Standard in Project Management 6079-1:2010. </w:t>
              </w:r>
              <w:r w:rsidRPr="00A77AF6">
                <w:t xml:space="preserve">[Online] </w:t>
              </w:r>
              <w:r w:rsidRPr="00A77AF6">
                <w:br/>
                <w:t xml:space="preserve">Available at: </w:t>
              </w:r>
              <w:r w:rsidRPr="00A77AF6">
                <w:rPr>
                  <w:u w:val="single"/>
                </w:rPr>
                <w:t>https://www.ihsti.com/CIS/document/295283?PreviousPage=search%253ft%253dBritish%252bStandard%252bin%252bProject%252bManagement%252b6079</w:t>
              </w:r>
              <w:r w:rsidRPr="00A77AF6">
                <w:br/>
                <w:t>[Accessed 30 March 2017].</w:t>
              </w:r>
            </w:p>
            <w:p w14:paraId="174DF1ED" w14:textId="77777777" w:rsidR="008E653F" w:rsidRPr="00A77AF6" w:rsidRDefault="008E653F" w:rsidP="008E653F">
              <w:pPr>
                <w:pStyle w:val="Bibliography"/>
              </w:pPr>
              <w:r w:rsidRPr="00A77AF6">
                <w:t xml:space="preserve">Bryman, A., 1988. </w:t>
              </w:r>
              <w:r w:rsidRPr="00A77AF6">
                <w:rPr>
                  <w:i/>
                  <w:iCs/>
                </w:rPr>
                <w:t xml:space="preserve">Quantity and Quality in Social Research. </w:t>
              </w:r>
              <w:r w:rsidRPr="00A77AF6">
                <w:t>Abingdon: Routledge.</w:t>
              </w:r>
            </w:p>
            <w:p w14:paraId="2446BE5B" w14:textId="77777777" w:rsidR="008E653F" w:rsidRPr="00A77AF6" w:rsidRDefault="008E653F" w:rsidP="008E653F">
              <w:pPr>
                <w:pStyle w:val="Bibliography"/>
              </w:pPr>
              <w:r w:rsidRPr="00A77AF6">
                <w:t xml:space="preserve">BSI, 2012. </w:t>
              </w:r>
              <w:r w:rsidRPr="00A77AF6">
                <w:rPr>
                  <w:i/>
                  <w:iCs/>
                </w:rPr>
                <w:t xml:space="preserve">Guidance on Project Management , </w:t>
              </w:r>
              <w:r w:rsidRPr="00A77AF6">
                <w:t>London: BSI.</w:t>
              </w:r>
            </w:p>
            <w:p w14:paraId="490177CF" w14:textId="77777777" w:rsidR="008E653F" w:rsidRPr="00A77AF6" w:rsidRDefault="008E653F" w:rsidP="008E653F">
              <w:pPr>
                <w:pStyle w:val="Bibliography"/>
              </w:pPr>
              <w:r w:rsidRPr="00A77AF6">
                <w:t xml:space="preserve">BSI, 2017. </w:t>
              </w:r>
              <w:r w:rsidRPr="00A77AF6">
                <w:rPr>
                  <w:i/>
                  <w:iCs/>
                </w:rPr>
                <w:t xml:space="preserve">Project, programme and portfolio management - Guidance on governance (ISO 21505:2017), </w:t>
              </w:r>
              <w:r w:rsidRPr="00A77AF6">
                <w:t>s.l.: BSI Standards Limited.</w:t>
              </w:r>
            </w:p>
            <w:p w14:paraId="585E165E" w14:textId="77777777" w:rsidR="008E653F" w:rsidRPr="00A77AF6" w:rsidRDefault="008E653F" w:rsidP="008E653F">
              <w:pPr>
                <w:pStyle w:val="Bibliography"/>
              </w:pPr>
              <w:r w:rsidRPr="00A77AF6">
                <w:t xml:space="preserve">Buono, A. F. &amp; Nichols, L. T., 1985. </w:t>
              </w:r>
              <w:r w:rsidRPr="00A77AF6">
                <w:rPr>
                  <w:i/>
                  <w:iCs/>
                </w:rPr>
                <w:t xml:space="preserve">Corporate Policy, values and social responsibility. </w:t>
              </w:r>
              <w:r w:rsidRPr="00A77AF6">
                <w:t>New York: Praeger.</w:t>
              </w:r>
            </w:p>
            <w:p w14:paraId="2C8CE9A5" w14:textId="77777777" w:rsidR="008E653F" w:rsidRPr="00A77AF6" w:rsidRDefault="008E653F" w:rsidP="008E653F">
              <w:pPr>
                <w:pStyle w:val="Bibliography"/>
              </w:pPr>
              <w:r w:rsidRPr="00A77AF6">
                <w:t xml:space="preserve">Cabinet Office, 2011. </w:t>
              </w:r>
              <w:r w:rsidRPr="00A77AF6">
                <w:rPr>
                  <w:i/>
                  <w:iCs/>
                </w:rPr>
                <w:t xml:space="preserve">Government Construction Strategy. </w:t>
              </w:r>
              <w:r w:rsidRPr="00A77AF6">
                <w:t xml:space="preserve">[Online] </w:t>
              </w:r>
              <w:r w:rsidRPr="00A77AF6">
                <w:br/>
                <w:t xml:space="preserve">Available at: </w:t>
              </w:r>
              <w:r w:rsidRPr="00A77AF6">
                <w:rPr>
                  <w:u w:val="single"/>
                </w:rPr>
                <w:t>https://www.gov.uk/government/uploads/system/uploads/attachment_data/file/61152/Government-Construction-Strategy_0.pdf</w:t>
              </w:r>
              <w:r w:rsidRPr="00A77AF6">
                <w:br/>
                <w:t>[Accessed 22 05 2013].</w:t>
              </w:r>
            </w:p>
            <w:p w14:paraId="34EC1C15" w14:textId="77777777" w:rsidR="008E653F" w:rsidRPr="00A77AF6" w:rsidRDefault="008E653F" w:rsidP="008E653F">
              <w:pPr>
                <w:pStyle w:val="Bibliography"/>
              </w:pPr>
              <w:r w:rsidRPr="00A77AF6">
                <w:t xml:space="preserve">Cabinet Office, 2011. </w:t>
              </w:r>
              <w:r w:rsidRPr="00A77AF6">
                <w:rPr>
                  <w:i/>
                  <w:iCs/>
                </w:rPr>
                <w:t xml:space="preserve">Government Construction Strategy, </w:t>
              </w:r>
              <w:r w:rsidRPr="00A77AF6">
                <w:t>s.l.: s.n.</w:t>
              </w:r>
            </w:p>
            <w:p w14:paraId="13185DC9" w14:textId="77777777" w:rsidR="008E653F" w:rsidRPr="00A77AF6" w:rsidRDefault="008E653F" w:rsidP="008E653F">
              <w:pPr>
                <w:pStyle w:val="Bibliography"/>
              </w:pPr>
              <w:r w:rsidRPr="00A77AF6">
                <w:t xml:space="preserve">Cadbury, A., 1992. </w:t>
              </w:r>
              <w:r w:rsidRPr="00A77AF6">
                <w:rPr>
                  <w:i/>
                  <w:iCs/>
                </w:rPr>
                <w:t xml:space="preserve">The Financial Aspects of Corporate Governance, </w:t>
              </w:r>
              <w:r w:rsidRPr="00A77AF6">
                <w:t>London: Gee (a division of Professional Publishing Ltd).</w:t>
              </w:r>
            </w:p>
            <w:p w14:paraId="28D299D9" w14:textId="77777777" w:rsidR="008E653F" w:rsidRPr="00A77AF6" w:rsidRDefault="008E653F" w:rsidP="008E653F">
              <w:pPr>
                <w:pStyle w:val="Bibliography"/>
              </w:pPr>
              <w:r w:rsidRPr="00A77AF6">
                <w:t xml:space="preserve">Cadbury, D., 2010. </w:t>
              </w:r>
              <w:r w:rsidRPr="00A77AF6">
                <w:rPr>
                  <w:i/>
                  <w:iCs/>
                </w:rPr>
                <w:t xml:space="preserve">Chocolate Wars. </w:t>
              </w:r>
              <w:r w:rsidRPr="00A77AF6">
                <w:t>1 ed. St Ives: HarperPress.</w:t>
              </w:r>
            </w:p>
            <w:p w14:paraId="3264EBA8" w14:textId="77777777" w:rsidR="008E653F" w:rsidRPr="00A77AF6" w:rsidRDefault="008E653F" w:rsidP="008E653F">
              <w:pPr>
                <w:pStyle w:val="Bibliography"/>
              </w:pPr>
              <w:r w:rsidRPr="00A77AF6">
                <w:t xml:space="preserve">Carrillo, P. et al., 2008. Participation, Barriers, and Opportunities in PFI: The United Kingdom Experience. </w:t>
              </w:r>
              <w:r w:rsidRPr="00A77AF6">
                <w:rPr>
                  <w:i/>
                  <w:iCs/>
                </w:rPr>
                <w:t xml:space="preserve">Journal of Management in Engineering, </w:t>
              </w:r>
              <w:r w:rsidRPr="00A77AF6">
                <w:t>Volume July, pp. 138-145.</w:t>
              </w:r>
            </w:p>
            <w:p w14:paraId="00E398A0" w14:textId="5E8EB4D6" w:rsidR="008E653F" w:rsidRPr="00A77AF6" w:rsidRDefault="008E653F" w:rsidP="008E653F">
              <w:pPr>
                <w:pStyle w:val="Bibliography"/>
              </w:pPr>
              <w:r w:rsidRPr="00A77AF6">
                <w:t>Cennamo, C., Berrone, P. &amp; Gomez-Mejia, L. R., 2009. Does Stakeholder Management Have a Dark Side?</w:t>
              </w:r>
              <w:r w:rsidR="006637C0" w:rsidRPr="00A77AF6">
                <w:t xml:space="preserve"> </w:t>
              </w:r>
              <w:r w:rsidRPr="00A77AF6">
                <w:t xml:space="preserve"> </w:t>
              </w:r>
              <w:r w:rsidRPr="00A77AF6">
                <w:rPr>
                  <w:i/>
                  <w:iCs/>
                </w:rPr>
                <w:t xml:space="preserve">Journal of Business Ethics, </w:t>
              </w:r>
              <w:r w:rsidRPr="00A77AF6">
                <w:t>89(4), pp. 491-507.</w:t>
              </w:r>
            </w:p>
            <w:p w14:paraId="3662D844" w14:textId="77777777" w:rsidR="008E653F" w:rsidRPr="00A77AF6" w:rsidRDefault="008E653F" w:rsidP="008E653F">
              <w:pPr>
                <w:pStyle w:val="Bibliography"/>
              </w:pPr>
              <w:r w:rsidRPr="00A77AF6">
                <w:t xml:space="preserve">Chambers, A., 2012. </w:t>
              </w:r>
              <w:r w:rsidRPr="00A77AF6">
                <w:rPr>
                  <w:i/>
                  <w:iCs/>
                </w:rPr>
                <w:t xml:space="preserve">Chambers' Corporate Governance Handbook. </w:t>
              </w:r>
              <w:r w:rsidRPr="00A77AF6">
                <w:t>5th ed. Haywards Heath: Bloomsbury Professional.</w:t>
              </w:r>
            </w:p>
            <w:p w14:paraId="090F6DA4" w14:textId="77777777" w:rsidR="008E653F" w:rsidRPr="00A77AF6" w:rsidRDefault="008E653F" w:rsidP="008E653F">
              <w:pPr>
                <w:pStyle w:val="Bibliography"/>
              </w:pPr>
              <w:r w:rsidRPr="00A77AF6">
                <w:t xml:space="preserve">Chambers, A., 2014. </w:t>
              </w:r>
              <w:r w:rsidRPr="00A77AF6">
                <w:rPr>
                  <w:i/>
                  <w:iCs/>
                </w:rPr>
                <w:t xml:space="preserve">Chambers' Corporate Governance Handbook. </w:t>
              </w:r>
              <w:r w:rsidRPr="00A77AF6">
                <w:t>Haywards Heath: Bloomsbury Professional.</w:t>
              </w:r>
            </w:p>
            <w:p w14:paraId="2FEDEFB7" w14:textId="77777777" w:rsidR="008E653F" w:rsidRPr="00A77AF6" w:rsidRDefault="008E653F" w:rsidP="008E653F">
              <w:pPr>
                <w:pStyle w:val="Bibliography"/>
              </w:pPr>
              <w:r w:rsidRPr="00A77AF6">
                <w:t xml:space="preserve">Chan, A. P. C. &amp; Cahn, A. P. L., 2004. Key performance indicators for measuring construction success. </w:t>
              </w:r>
              <w:r w:rsidRPr="00A77AF6">
                <w:rPr>
                  <w:i/>
                  <w:iCs/>
                </w:rPr>
                <w:t xml:space="preserve">Benchmarking: An International Journal, </w:t>
              </w:r>
              <w:r w:rsidRPr="00A77AF6">
                <w:t>11(2), pp. 203-221.</w:t>
              </w:r>
            </w:p>
            <w:p w14:paraId="56120FBA" w14:textId="77777777" w:rsidR="008E653F" w:rsidRPr="00A77AF6" w:rsidRDefault="008E653F" w:rsidP="008E653F">
              <w:pPr>
                <w:pStyle w:val="Bibliography"/>
              </w:pPr>
              <w:r w:rsidRPr="00A77AF6">
                <w:lastRenderedPageBreak/>
                <w:t xml:space="preserve">Chow, T. &amp; Cao, D.-B., 2008. A survey study of critical success factors in agile software projects. </w:t>
              </w:r>
              <w:r w:rsidRPr="00A77AF6">
                <w:rPr>
                  <w:i/>
                  <w:iCs/>
                </w:rPr>
                <w:t xml:space="preserve">Journal of Systems and Software, </w:t>
              </w:r>
              <w:r w:rsidRPr="00A77AF6">
                <w:t>6(81), pp. 961-971.</w:t>
              </w:r>
            </w:p>
            <w:p w14:paraId="0DF24105" w14:textId="77777777" w:rsidR="008E653F" w:rsidRPr="00A77AF6" w:rsidRDefault="008E653F" w:rsidP="008E653F">
              <w:pPr>
                <w:pStyle w:val="Bibliography"/>
              </w:pPr>
              <w:r w:rsidRPr="00A77AF6">
                <w:t xml:space="preserve">Christensen, T., Laegreid, P., Roness, P. G. &amp; Rovik, K. A., 2007. </w:t>
              </w:r>
              <w:r w:rsidRPr="00A77AF6">
                <w:rPr>
                  <w:i/>
                  <w:iCs/>
                </w:rPr>
                <w:t xml:space="preserve">Organization Theory and the Public Sector. Instrument, culture and myth. </w:t>
              </w:r>
              <w:r w:rsidRPr="00A77AF6">
                <w:t>Abingdon, Oxfordshire: Routledge.</w:t>
              </w:r>
            </w:p>
            <w:p w14:paraId="21B50641" w14:textId="77777777" w:rsidR="008E653F" w:rsidRPr="00A77AF6" w:rsidRDefault="008E653F" w:rsidP="008E653F">
              <w:pPr>
                <w:pStyle w:val="Bibliography"/>
              </w:pPr>
              <w:r w:rsidRPr="00A77AF6">
                <w:t xml:space="preserve">CIOB, 2014. </w:t>
              </w:r>
              <w:r w:rsidRPr="00A77AF6">
                <w:rPr>
                  <w:i/>
                  <w:iCs/>
                </w:rPr>
                <w:t xml:space="preserve">Code of Practice for Project Management for Construction and Development. </w:t>
              </w:r>
              <w:r w:rsidRPr="00A77AF6">
                <w:t xml:space="preserve">[Online] </w:t>
              </w:r>
              <w:r w:rsidRPr="00A77AF6">
                <w:br/>
                <w:t xml:space="preserve">Available at: </w:t>
              </w:r>
              <w:r w:rsidRPr="00A77AF6">
                <w:rPr>
                  <w:u w:val="single"/>
                </w:rPr>
                <w:t>http://www.mylibrary.com?ID=631998</w:t>
              </w:r>
              <w:r w:rsidRPr="00A77AF6">
                <w:br/>
                <w:t>[Accessed 11 November 2015].</w:t>
              </w:r>
            </w:p>
            <w:p w14:paraId="38BDB040" w14:textId="77777777" w:rsidR="008E653F" w:rsidRPr="00A77AF6" w:rsidRDefault="008E653F" w:rsidP="008E653F">
              <w:pPr>
                <w:pStyle w:val="Bibliography"/>
              </w:pPr>
              <w:r w:rsidRPr="00A77AF6">
                <w:t xml:space="preserve">CIOB, 2014. </w:t>
              </w:r>
              <w:r w:rsidRPr="00A77AF6">
                <w:rPr>
                  <w:i/>
                  <w:iCs/>
                </w:rPr>
                <w:t xml:space="preserve">Code of Practice for Project Management for Construction and Development. </w:t>
              </w:r>
              <w:r w:rsidRPr="00A77AF6">
                <w:t>5th ed. Chichester: WIley-Blackwell.</w:t>
              </w:r>
            </w:p>
            <w:p w14:paraId="601F4969" w14:textId="77777777" w:rsidR="008E653F" w:rsidRPr="00A77AF6" w:rsidRDefault="008E653F" w:rsidP="008E653F">
              <w:pPr>
                <w:pStyle w:val="Bibliography"/>
              </w:pPr>
              <w:r w:rsidRPr="00A77AF6">
                <w:t xml:space="preserve">Clarkson, M. B. E., 1995. A stakeholder framework for analyzing and evaluating corporate social performance. </w:t>
              </w:r>
              <w:r w:rsidRPr="00A77AF6">
                <w:rPr>
                  <w:i/>
                  <w:iCs/>
                </w:rPr>
                <w:t xml:space="preserve">Academy of Management Review, </w:t>
              </w:r>
              <w:r w:rsidRPr="00A77AF6">
                <w:t>Volume 20, pp. 92-117.</w:t>
              </w:r>
            </w:p>
            <w:p w14:paraId="3D640D7C" w14:textId="77777777" w:rsidR="008E653F" w:rsidRPr="00A77AF6" w:rsidRDefault="008E653F" w:rsidP="008E653F">
              <w:pPr>
                <w:pStyle w:val="Bibliography"/>
              </w:pPr>
              <w:r w:rsidRPr="00A77AF6">
                <w:t xml:space="preserve">Clifton, D. &amp; Amran, A., 2011. The stakeholder approach: A sustainability perspective. </w:t>
              </w:r>
              <w:r w:rsidRPr="00A77AF6">
                <w:rPr>
                  <w:i/>
                  <w:iCs/>
                </w:rPr>
                <w:t xml:space="preserve">Journal of Business Ethics, </w:t>
              </w:r>
              <w:r w:rsidRPr="00A77AF6">
                <w:t>Volume 98, pp. 121-136.</w:t>
              </w:r>
            </w:p>
            <w:p w14:paraId="426618FA" w14:textId="77777777" w:rsidR="008E653F" w:rsidRPr="00A77AF6" w:rsidRDefault="008E653F" w:rsidP="008E653F">
              <w:pPr>
                <w:pStyle w:val="Bibliography"/>
              </w:pPr>
              <w:r w:rsidRPr="00A77AF6">
                <w:t xml:space="preserve">CNN, 2018. </w:t>
              </w:r>
              <w:r w:rsidRPr="00A77AF6">
                <w:rPr>
                  <w:i/>
                  <w:iCs/>
                </w:rPr>
                <w:t xml:space="preserve">Enron Fast Facts. </w:t>
              </w:r>
              <w:r w:rsidRPr="00A77AF6">
                <w:t xml:space="preserve">[Online] </w:t>
              </w:r>
              <w:r w:rsidRPr="00A77AF6">
                <w:br/>
                <w:t xml:space="preserve">Available at: </w:t>
              </w:r>
              <w:r w:rsidRPr="00A77AF6">
                <w:rPr>
                  <w:u w:val="single"/>
                </w:rPr>
                <w:t>https://edition.cnn.com/2013/07/02/us/enron-fast-facts/index.html</w:t>
              </w:r>
              <w:r w:rsidRPr="00A77AF6">
                <w:br/>
                <w:t>[Accessed 27 June 2018].</w:t>
              </w:r>
            </w:p>
            <w:p w14:paraId="61D8FADF" w14:textId="77777777" w:rsidR="008E653F" w:rsidRPr="00A77AF6" w:rsidRDefault="008E653F" w:rsidP="008E653F">
              <w:pPr>
                <w:pStyle w:val="Bibliography"/>
              </w:pPr>
              <w:r w:rsidRPr="00A77AF6">
                <w:t xml:space="preserve">Cooke-Davies, T., 2002. The "real" success factors on projects. </w:t>
              </w:r>
              <w:r w:rsidRPr="00A77AF6">
                <w:rPr>
                  <w:i/>
                  <w:iCs/>
                </w:rPr>
                <w:t xml:space="preserve">Interantional Journal of Project Management, </w:t>
              </w:r>
              <w:r w:rsidRPr="00A77AF6">
                <w:t>Volume 20, pp. 185-190.</w:t>
              </w:r>
            </w:p>
            <w:p w14:paraId="5C1D24DC" w14:textId="77777777" w:rsidR="008E653F" w:rsidRPr="00A77AF6" w:rsidRDefault="008E653F" w:rsidP="008E653F">
              <w:pPr>
                <w:pStyle w:val="Bibliography"/>
              </w:pPr>
              <w:r w:rsidRPr="00A77AF6">
                <w:t xml:space="preserve">Craik, D., 2018. Iron Discipline. </w:t>
              </w:r>
              <w:r w:rsidRPr="00A77AF6">
                <w:rPr>
                  <w:i/>
                  <w:iCs/>
                </w:rPr>
                <w:t>Project</w:t>
              </w:r>
              <w:r w:rsidRPr="00A77AF6">
                <w:t>, June, pp. 30-32.</w:t>
              </w:r>
            </w:p>
            <w:p w14:paraId="7E9FC997" w14:textId="77777777" w:rsidR="008E653F" w:rsidRPr="00A77AF6" w:rsidRDefault="008E653F" w:rsidP="008E653F">
              <w:pPr>
                <w:pStyle w:val="Bibliography"/>
              </w:pPr>
              <w:r w:rsidRPr="00A77AF6">
                <w:t xml:space="preserve">Creswell, J., 2007. Differing Perspectives on Mixed Methods Research. </w:t>
              </w:r>
              <w:r w:rsidRPr="00A77AF6">
                <w:rPr>
                  <w:i/>
                  <w:iCs/>
                </w:rPr>
                <w:t xml:space="preserve">Journal of Mixed Methods Research, </w:t>
              </w:r>
              <w:r w:rsidRPr="00A77AF6">
                <w:t>1(4), pp. 303-308.</w:t>
              </w:r>
            </w:p>
            <w:p w14:paraId="530593C6" w14:textId="77777777" w:rsidR="008E653F" w:rsidRPr="00A77AF6" w:rsidRDefault="008E653F" w:rsidP="008E653F">
              <w:pPr>
                <w:pStyle w:val="Bibliography"/>
              </w:pPr>
              <w:r w:rsidRPr="00A77AF6">
                <w:t xml:space="preserve">Creswell, J. W., 2009. </w:t>
              </w:r>
              <w:r w:rsidRPr="00A77AF6">
                <w:rPr>
                  <w:i/>
                  <w:iCs/>
                </w:rPr>
                <w:t xml:space="preserve">Research Design: Qualitative, Quantitaive, and Mixed Methods Approaches. </w:t>
              </w:r>
              <w:r w:rsidRPr="00A77AF6">
                <w:t>3rd ed. Thousand Oaks: Sage.</w:t>
              </w:r>
            </w:p>
            <w:p w14:paraId="1802FEC1" w14:textId="77777777" w:rsidR="008E653F" w:rsidRPr="00A77AF6" w:rsidRDefault="008E653F" w:rsidP="008E653F">
              <w:pPr>
                <w:pStyle w:val="Bibliography"/>
              </w:pPr>
              <w:r w:rsidRPr="00A77AF6">
                <w:t xml:space="preserve">Creswell, J. W., 2015. </w:t>
              </w:r>
              <w:r w:rsidRPr="00A77AF6">
                <w:rPr>
                  <w:i/>
                  <w:iCs/>
                </w:rPr>
                <w:t xml:space="preserve">A Concise Introduction to Mixed Methods Research. </w:t>
              </w:r>
              <w:r w:rsidRPr="00A77AF6">
                <w:t>Thousand Oaks: Sage.</w:t>
              </w:r>
            </w:p>
            <w:p w14:paraId="45F3F433" w14:textId="77777777" w:rsidR="008E653F" w:rsidRPr="00A77AF6" w:rsidRDefault="008E653F" w:rsidP="008E653F">
              <w:pPr>
                <w:pStyle w:val="Bibliography"/>
              </w:pPr>
              <w:r w:rsidRPr="00A77AF6">
                <w:t xml:space="preserve">Daily, C. M., Dalton, D. R. &amp; Cannella, Jr, A. A., 2003. Corporate Governance: Decades of Dialogue and Data. </w:t>
              </w:r>
              <w:r w:rsidRPr="00A77AF6">
                <w:rPr>
                  <w:i/>
                  <w:iCs/>
                </w:rPr>
                <w:t xml:space="preserve">Academy of Management Review, </w:t>
              </w:r>
              <w:r w:rsidRPr="00A77AF6">
                <w:t>28(3), pp. 371-382.</w:t>
              </w:r>
            </w:p>
            <w:p w14:paraId="3AEC2A4F" w14:textId="77777777" w:rsidR="008E653F" w:rsidRPr="00A77AF6" w:rsidRDefault="008E653F" w:rsidP="008E653F">
              <w:pPr>
                <w:pStyle w:val="Bibliography"/>
              </w:pPr>
              <w:r w:rsidRPr="00A77AF6">
                <w:t xml:space="preserve">Dainty, A., 2008. Methodoligcal pluralism in construction management research. In: A. Knight &amp; L. Ruddock, eds. </w:t>
              </w:r>
              <w:r w:rsidRPr="00A77AF6">
                <w:rPr>
                  <w:i/>
                  <w:iCs/>
                </w:rPr>
                <w:t xml:space="preserve">Advanced Research Methods in the Built Environment. </w:t>
              </w:r>
              <w:r w:rsidRPr="00A77AF6">
                <w:t>Chichester: Blackwell Publishing Ltd, pp. 1-13.</w:t>
              </w:r>
            </w:p>
            <w:p w14:paraId="111FF41D" w14:textId="77777777" w:rsidR="008E653F" w:rsidRPr="00A77AF6" w:rsidRDefault="008E653F" w:rsidP="008E653F">
              <w:pPr>
                <w:pStyle w:val="Bibliography"/>
              </w:pPr>
              <w:r w:rsidRPr="00A77AF6">
                <w:t xml:space="preserve">Dainty, A. R., Mei-l, C. &amp; Moore, S. R., 2003. Redefining performance measures for construction project managers: an empirical evaluation. </w:t>
              </w:r>
              <w:r w:rsidRPr="00A77AF6">
                <w:rPr>
                  <w:i/>
                  <w:iCs/>
                </w:rPr>
                <w:t xml:space="preserve">Construction Management &amp; Economics, </w:t>
              </w:r>
              <w:r w:rsidRPr="00A77AF6">
                <w:t>Volume 21, pp. 209-218.</w:t>
              </w:r>
            </w:p>
            <w:p w14:paraId="11E4C718" w14:textId="77777777" w:rsidR="008E653F" w:rsidRPr="00A77AF6" w:rsidRDefault="008E653F" w:rsidP="008E653F">
              <w:pPr>
                <w:pStyle w:val="Bibliography"/>
              </w:pPr>
              <w:r w:rsidRPr="00A77AF6">
                <w:t xml:space="preserve">David, J. H., Schoorman, D. F. &amp; Donaldson, L., 1997. </w:t>
              </w:r>
              <w:r w:rsidRPr="00A77AF6">
                <w:rPr>
                  <w:i/>
                  <w:iCs/>
                </w:rPr>
                <w:t xml:space="preserve">Academy of Management Review, </w:t>
              </w:r>
              <w:r w:rsidRPr="00A77AF6">
                <w:t>22(1), pp. 20-47.</w:t>
              </w:r>
            </w:p>
            <w:p w14:paraId="10B68CEF" w14:textId="77777777" w:rsidR="008E653F" w:rsidRPr="00A77AF6" w:rsidRDefault="008E653F" w:rsidP="008E653F">
              <w:pPr>
                <w:pStyle w:val="Bibliography"/>
              </w:pPr>
              <w:r w:rsidRPr="00A77AF6">
                <w:t xml:space="preserve">Davies, M. &amp; Prince, M., 2010. Advertising Agency Compensation, Client Evaluation and Switching Costs: An extension of Agency Theory. </w:t>
              </w:r>
              <w:r w:rsidRPr="00A77AF6">
                <w:rPr>
                  <w:i/>
                  <w:iCs/>
                </w:rPr>
                <w:t xml:space="preserve">Journal of Current Issues and Research in Advertising, </w:t>
              </w:r>
              <w:r w:rsidRPr="00A77AF6">
                <w:t>32(1), pp. 13-31.</w:t>
              </w:r>
            </w:p>
            <w:p w14:paraId="46495C8E" w14:textId="77777777" w:rsidR="008E653F" w:rsidRPr="00A77AF6" w:rsidRDefault="008E653F" w:rsidP="008E653F">
              <w:pPr>
                <w:pStyle w:val="Bibliography"/>
              </w:pPr>
              <w:r w:rsidRPr="00A77AF6">
                <w:lastRenderedPageBreak/>
                <w:t xml:space="preserve">Davis, J. H., Schoorman, F. D. &amp; Donaldson, L., 1997. Toward a Stewardship Theory of Management. </w:t>
              </w:r>
              <w:r w:rsidRPr="00A77AF6">
                <w:rPr>
                  <w:i/>
                  <w:iCs/>
                </w:rPr>
                <w:t xml:space="preserve">Academy of Management Review, </w:t>
              </w:r>
              <w:r w:rsidRPr="00A77AF6">
                <w:t>22(1), pp. 20-47.</w:t>
              </w:r>
            </w:p>
            <w:p w14:paraId="0770821D" w14:textId="77777777" w:rsidR="008E653F" w:rsidRPr="00A77AF6" w:rsidRDefault="008E653F" w:rsidP="008E653F">
              <w:pPr>
                <w:pStyle w:val="Bibliography"/>
              </w:pPr>
              <w:r w:rsidRPr="00A77AF6">
                <w:t xml:space="preserve">De Wit, A., 1988. Measurement of Project Success. </w:t>
              </w:r>
              <w:r w:rsidRPr="00A77AF6">
                <w:rPr>
                  <w:i/>
                  <w:iCs/>
                </w:rPr>
                <w:t xml:space="preserve">Project Management, </w:t>
              </w:r>
              <w:r w:rsidRPr="00A77AF6">
                <w:t>6(3), pp. 164-170.</w:t>
              </w:r>
            </w:p>
            <w:p w14:paraId="023C53CD" w14:textId="77777777" w:rsidR="008E653F" w:rsidRPr="00A77AF6" w:rsidRDefault="008E653F" w:rsidP="008E653F">
              <w:pPr>
                <w:pStyle w:val="Bibliography"/>
              </w:pPr>
              <w:r w:rsidRPr="00A77AF6">
                <w:t xml:space="preserve">Derry, R. &amp; Green, R. M., 1989. Ethical Theory in Business Ethics: A Critical Assessment. </w:t>
              </w:r>
              <w:r w:rsidRPr="00A77AF6">
                <w:rPr>
                  <w:i/>
                  <w:iCs/>
                </w:rPr>
                <w:t xml:space="preserve">Journal of Business Ethics, </w:t>
              </w:r>
              <w:r w:rsidRPr="00A77AF6">
                <w:t>8(7), pp. 521-533.</w:t>
              </w:r>
            </w:p>
            <w:p w14:paraId="5F679AF7" w14:textId="77777777" w:rsidR="008E653F" w:rsidRPr="00A77AF6" w:rsidRDefault="008E653F" w:rsidP="008E653F">
              <w:pPr>
                <w:pStyle w:val="Bibliography"/>
              </w:pPr>
              <w:r w:rsidRPr="00A77AF6">
                <w:t xml:space="preserve">DH, 1997. </w:t>
              </w:r>
              <w:r w:rsidRPr="00A77AF6">
                <w:rPr>
                  <w:i/>
                  <w:iCs/>
                </w:rPr>
                <w:t xml:space="preserve">The new NHS modern, dependable, </w:t>
              </w:r>
              <w:r w:rsidRPr="00A77AF6">
                <w:t>s.l.: TSO.</w:t>
              </w:r>
            </w:p>
            <w:p w14:paraId="24B0D81E" w14:textId="77777777" w:rsidR="008E653F" w:rsidRPr="00A77AF6" w:rsidRDefault="008E653F" w:rsidP="008E653F">
              <w:pPr>
                <w:pStyle w:val="Bibliography"/>
              </w:pPr>
              <w:r w:rsidRPr="00A77AF6">
                <w:t xml:space="preserve">DH, 2000. </w:t>
              </w:r>
              <w:r w:rsidRPr="00A77AF6">
                <w:rPr>
                  <w:i/>
                  <w:iCs/>
                </w:rPr>
                <w:t xml:space="preserve">The NHS Plan plan for investment, a plan for reform, </w:t>
              </w:r>
              <w:r w:rsidRPr="00A77AF6">
                <w:t>s.l.: TSO.</w:t>
              </w:r>
            </w:p>
            <w:p w14:paraId="2F5FADF9" w14:textId="77777777" w:rsidR="008E653F" w:rsidRPr="00A77AF6" w:rsidRDefault="008E653F" w:rsidP="008E653F">
              <w:pPr>
                <w:pStyle w:val="Bibliography"/>
              </w:pPr>
              <w:r w:rsidRPr="00A77AF6">
                <w:t xml:space="preserve">DH, 2010. </w:t>
              </w:r>
              <w:r w:rsidRPr="00A77AF6">
                <w:rPr>
                  <w:i/>
                  <w:iCs/>
                </w:rPr>
                <w:t xml:space="preserve">Equality and Excellence: Liberating the NHS, </w:t>
              </w:r>
              <w:r w:rsidRPr="00A77AF6">
                <w:t>Norwich: TSO.</w:t>
              </w:r>
            </w:p>
            <w:p w14:paraId="04A1F058" w14:textId="77777777" w:rsidR="008E653F" w:rsidRPr="00A77AF6" w:rsidRDefault="008E653F" w:rsidP="008E653F">
              <w:pPr>
                <w:pStyle w:val="Bibliography"/>
              </w:pPr>
              <w:r w:rsidRPr="00A77AF6">
                <w:t xml:space="preserve">DH, 2013. </w:t>
              </w:r>
              <w:r w:rsidRPr="00A77AF6">
                <w:rPr>
                  <w:i/>
                  <w:iCs/>
                </w:rPr>
                <w:t xml:space="preserve">Health Building Note 04-01: Adult In-patient Facilities. </w:t>
              </w:r>
              <w:r w:rsidRPr="00A77AF6">
                <w:t>s.l.:Department of Health.</w:t>
              </w:r>
            </w:p>
            <w:p w14:paraId="538E0D00" w14:textId="77777777" w:rsidR="008E653F" w:rsidRPr="00A77AF6" w:rsidRDefault="008E653F" w:rsidP="008E653F">
              <w:pPr>
                <w:pStyle w:val="Bibliography"/>
              </w:pPr>
              <w:r w:rsidRPr="00A77AF6">
                <w:t xml:space="preserve">DH, 2014. </w:t>
              </w:r>
              <w:r w:rsidRPr="00A77AF6">
                <w:rPr>
                  <w:i/>
                  <w:iCs/>
                </w:rPr>
                <w:t xml:space="preserve">Health Building Note 00-01 General Guidance for healthcare buildings. </w:t>
              </w:r>
              <w:r w:rsidRPr="00A77AF6">
                <w:t xml:space="preserve">[Online] </w:t>
              </w:r>
              <w:r w:rsidRPr="00A77AF6">
                <w:br/>
                <w:t xml:space="preserve">Available at: </w:t>
              </w:r>
              <w:r w:rsidRPr="00A77AF6">
                <w:rPr>
                  <w:u w:val="single"/>
                </w:rPr>
                <w:t>https://assets.publishing.service.gov.uk/government/uploads/system/uploads/attachment_data/file/316247/HBN_00-01-2.pdf</w:t>
              </w:r>
              <w:r w:rsidRPr="00A77AF6">
                <w:br/>
                <w:t>[Accessed 2 December 2018].</w:t>
              </w:r>
            </w:p>
            <w:p w14:paraId="0B959936" w14:textId="77777777" w:rsidR="008E653F" w:rsidRPr="00A77AF6" w:rsidRDefault="008E653F" w:rsidP="008E653F">
              <w:pPr>
                <w:pStyle w:val="Bibliography"/>
              </w:pPr>
              <w:r w:rsidRPr="00A77AF6">
                <w:t xml:space="preserve">DH, 2014. </w:t>
              </w:r>
              <w:r w:rsidRPr="00A77AF6">
                <w:rPr>
                  <w:i/>
                  <w:iCs/>
                </w:rPr>
                <w:t xml:space="preserve">Health Technical Memorandum 00: Policies and principles of healthcare engineering. </w:t>
              </w:r>
              <w:r w:rsidRPr="00A77AF6">
                <w:t>s.l.:Department of Health.</w:t>
              </w:r>
            </w:p>
            <w:p w14:paraId="052368CA" w14:textId="77777777" w:rsidR="008E653F" w:rsidRPr="00A77AF6" w:rsidRDefault="008E653F" w:rsidP="008E653F">
              <w:pPr>
                <w:pStyle w:val="Bibliography"/>
              </w:pPr>
              <w:r w:rsidRPr="00A77AF6">
                <w:t xml:space="preserve">DH, 2015. </w:t>
              </w:r>
              <w:r w:rsidRPr="00A77AF6">
                <w:rPr>
                  <w:i/>
                  <w:iCs/>
                </w:rPr>
                <w:t xml:space="preserve">The Handbook to The NHS Constitution for England. </w:t>
              </w:r>
              <w:r w:rsidRPr="00A77AF6">
                <w:t xml:space="preserve">[Online] </w:t>
              </w:r>
              <w:r w:rsidRPr="00A77AF6">
                <w:br/>
                <w:t xml:space="preserve">Available at: </w:t>
              </w:r>
              <w:r w:rsidRPr="00A77AF6">
                <w:rPr>
                  <w:u w:val="single"/>
                </w:rPr>
                <w:t>https://assets.publishing.service.gov.uk/government/uploads/system/uploads/attachment_data/file/474450/NHS_Constitution_Handbook_v2.pdf</w:t>
              </w:r>
              <w:r w:rsidRPr="00A77AF6">
                <w:br/>
                <w:t>[Accessed 16 December 2018].</w:t>
              </w:r>
            </w:p>
            <w:p w14:paraId="3A77BB64" w14:textId="77777777" w:rsidR="008E653F" w:rsidRPr="00A77AF6" w:rsidRDefault="008E653F" w:rsidP="008E653F">
              <w:pPr>
                <w:pStyle w:val="Bibliography"/>
              </w:pPr>
              <w:r w:rsidRPr="00A77AF6">
                <w:t xml:space="preserve">DH, 2015. </w:t>
              </w:r>
              <w:r w:rsidRPr="00A77AF6">
                <w:rPr>
                  <w:i/>
                  <w:iCs/>
                </w:rPr>
                <w:t xml:space="preserve">The NHS Constitution for England. </w:t>
              </w:r>
              <w:r w:rsidRPr="00A77AF6">
                <w:t>s.l.:Williams Lea.</w:t>
              </w:r>
            </w:p>
            <w:p w14:paraId="1E5CB309" w14:textId="77777777" w:rsidR="008E653F" w:rsidRPr="00A77AF6" w:rsidRDefault="008E653F" w:rsidP="008E653F">
              <w:pPr>
                <w:pStyle w:val="Bibliography"/>
              </w:pPr>
              <w:r w:rsidRPr="00A77AF6">
                <w:t xml:space="preserve">DHSS and the Welsh Office, 1988. </w:t>
              </w:r>
              <w:r w:rsidRPr="00A77AF6">
                <w:rPr>
                  <w:i/>
                  <w:iCs/>
                </w:rPr>
                <w:t xml:space="preserve">Health Building Note 1. </w:t>
              </w:r>
              <w:r w:rsidRPr="00A77AF6">
                <w:t xml:space="preserve">[Online] </w:t>
              </w:r>
              <w:r w:rsidRPr="00A77AF6">
                <w:br/>
                <w:t xml:space="preserve">Available at: </w:t>
              </w:r>
              <w:r w:rsidRPr="00A77AF6">
                <w:rPr>
                  <w:u w:val="single"/>
                </w:rPr>
                <w:t>http://www.wales.nhs.uk/sites3/Documents/254/HBN%2001.pdf</w:t>
              </w:r>
              <w:r w:rsidRPr="00A77AF6">
                <w:br/>
                <w:t>[Accessed 23 June 2017].</w:t>
              </w:r>
            </w:p>
            <w:p w14:paraId="654D3396" w14:textId="77777777" w:rsidR="008E653F" w:rsidRPr="00A77AF6" w:rsidRDefault="008E653F" w:rsidP="008E653F">
              <w:pPr>
                <w:pStyle w:val="Bibliography"/>
              </w:pPr>
              <w:r w:rsidRPr="00A77AF6">
                <w:t xml:space="preserve">DHSS, 1974. </w:t>
              </w:r>
              <w:r w:rsidRPr="00A77AF6">
                <w:rPr>
                  <w:i/>
                  <w:iCs/>
                </w:rPr>
                <w:t xml:space="preserve">CAPRICODE. </w:t>
              </w:r>
              <w:r w:rsidRPr="00A77AF6">
                <w:t>s.l.:HMSO.</w:t>
              </w:r>
            </w:p>
            <w:p w14:paraId="5DC10118" w14:textId="77777777" w:rsidR="008E653F" w:rsidRPr="00A77AF6" w:rsidRDefault="008E653F" w:rsidP="008E653F">
              <w:pPr>
                <w:pStyle w:val="Bibliography"/>
              </w:pPr>
              <w:r w:rsidRPr="00A77AF6">
                <w:t xml:space="preserve">Dolan, K., 2016. </w:t>
              </w:r>
              <w:r w:rsidRPr="00A77AF6">
                <w:rPr>
                  <w:i/>
                  <w:iCs/>
                </w:rPr>
                <w:t xml:space="preserve">Addressing project failure through PRINCE2. </w:t>
              </w:r>
              <w:r w:rsidRPr="00A77AF6">
                <w:t xml:space="preserve">[Online] </w:t>
              </w:r>
              <w:r w:rsidRPr="00A77AF6">
                <w:br/>
                <w:t xml:space="preserve">Available at: </w:t>
              </w:r>
              <w:r w:rsidRPr="00A77AF6">
                <w:rPr>
                  <w:u w:val="single"/>
                </w:rPr>
                <w:t>https://www.axelos.com/CMSPages/GetFile.aspx?guid=93b6207c-9cdd-4d76-83b4-ac33d9e33936</w:t>
              </w:r>
              <w:r w:rsidRPr="00A77AF6">
                <w:br/>
                <w:t>[Accessed 12 June 2017].</w:t>
              </w:r>
            </w:p>
            <w:p w14:paraId="5053DC5F" w14:textId="77777777" w:rsidR="008E653F" w:rsidRPr="00A77AF6" w:rsidRDefault="008E653F" w:rsidP="008E653F">
              <w:pPr>
                <w:pStyle w:val="Bibliography"/>
              </w:pPr>
              <w:r w:rsidRPr="00A77AF6">
                <w:t xml:space="preserve">Donaldson, T. &amp; Preston, L. E., 1995. The Stakeholder Theory of the Corporation: Concepts, Evidence and Implications. </w:t>
              </w:r>
              <w:r w:rsidRPr="00A77AF6">
                <w:rPr>
                  <w:i/>
                  <w:iCs/>
                </w:rPr>
                <w:t xml:space="preserve">Academy of Management Review, </w:t>
              </w:r>
              <w:r w:rsidRPr="00A77AF6">
                <w:t>20(1), pp. 65-91.</w:t>
              </w:r>
            </w:p>
            <w:p w14:paraId="3C39FC82" w14:textId="77777777" w:rsidR="008E653F" w:rsidRPr="00A77AF6" w:rsidRDefault="008E653F" w:rsidP="008E653F">
              <w:pPr>
                <w:pStyle w:val="Bibliography"/>
              </w:pPr>
              <w:r w:rsidRPr="00A77AF6">
                <w:t xml:space="preserve">Driver, J., 2014. The History of Utilitarianism. In: E. N. Zalta, ed. </w:t>
              </w:r>
              <w:r w:rsidRPr="00A77AF6">
                <w:rPr>
                  <w:i/>
                  <w:iCs/>
                </w:rPr>
                <w:t xml:space="preserve">The Stanford Encyclopedia of Philosophy. </w:t>
              </w:r>
              <w:r w:rsidRPr="00A77AF6">
                <w:t>s.l.:Metaphysics Research Lab, Stanford University.</w:t>
              </w:r>
            </w:p>
            <w:p w14:paraId="5CCE9411" w14:textId="77777777" w:rsidR="008E653F" w:rsidRPr="00A77AF6" w:rsidRDefault="008E653F" w:rsidP="008E653F">
              <w:pPr>
                <w:pStyle w:val="Bibliography"/>
              </w:pPr>
              <w:r w:rsidRPr="00A77AF6">
                <w:t xml:space="preserve">Easterby-Smith, M., Thorpe, R. &amp; Lowe, A., 1991. </w:t>
              </w:r>
              <w:r w:rsidRPr="00A77AF6">
                <w:rPr>
                  <w:i/>
                  <w:iCs/>
                </w:rPr>
                <w:t xml:space="preserve">Management Research: An Introduction. </w:t>
              </w:r>
              <w:r w:rsidRPr="00A77AF6">
                <w:t>London: Sage Publications.</w:t>
              </w:r>
            </w:p>
            <w:p w14:paraId="7C13278A" w14:textId="77777777" w:rsidR="008E653F" w:rsidRPr="00A77AF6" w:rsidRDefault="008E653F" w:rsidP="008E653F">
              <w:pPr>
                <w:pStyle w:val="Bibliography"/>
              </w:pPr>
              <w:r w:rsidRPr="00A77AF6">
                <w:t xml:space="preserve">Ebbesen, J. B. &amp; Hope, A., 2019. Re-imagining the Iron Triangle: Embedding Sustainability into Project Constraints. </w:t>
              </w:r>
              <w:r w:rsidRPr="00A77AF6">
                <w:rPr>
                  <w:i/>
                  <w:iCs/>
                </w:rPr>
                <w:t xml:space="preserve">PM World Journal, </w:t>
              </w:r>
              <w:r w:rsidRPr="00A77AF6">
                <w:t>II(III), pp. 1-13.</w:t>
              </w:r>
            </w:p>
            <w:p w14:paraId="05E0D166" w14:textId="77777777" w:rsidR="008E653F" w:rsidRPr="00A77AF6" w:rsidRDefault="008E653F" w:rsidP="008E653F">
              <w:pPr>
                <w:pStyle w:val="Bibliography"/>
              </w:pPr>
              <w:r w:rsidRPr="00A77AF6">
                <w:lastRenderedPageBreak/>
                <w:t xml:space="preserve">Egan, J., 1998. </w:t>
              </w:r>
              <w:r w:rsidRPr="00A77AF6">
                <w:rPr>
                  <w:i/>
                  <w:iCs/>
                </w:rPr>
                <w:t xml:space="preserve">Rethinking Construction, </w:t>
              </w:r>
              <w:r w:rsidRPr="00A77AF6">
                <w:t>Norwich: HMSO.</w:t>
              </w:r>
            </w:p>
            <w:p w14:paraId="1CCDD7B3" w14:textId="77777777" w:rsidR="008E653F" w:rsidRPr="00A77AF6" w:rsidRDefault="008E653F" w:rsidP="008E653F">
              <w:pPr>
                <w:pStyle w:val="Bibliography"/>
              </w:pPr>
              <w:r w:rsidRPr="00A77AF6">
                <w:t xml:space="preserve">ENGC, 2017. </w:t>
              </w:r>
              <w:r w:rsidRPr="00A77AF6">
                <w:rPr>
                  <w:i/>
                  <w:iCs/>
                </w:rPr>
                <w:t xml:space="preserve">Statement of ethical principles. </w:t>
              </w:r>
              <w:r w:rsidRPr="00A77AF6">
                <w:t xml:space="preserve">[Online] </w:t>
              </w:r>
              <w:r w:rsidRPr="00A77AF6">
                <w:br/>
                <w:t xml:space="preserve">Available at: </w:t>
              </w:r>
              <w:r w:rsidRPr="00A77AF6">
                <w:rPr>
                  <w:u w:val="single"/>
                </w:rPr>
                <w:t>https://www.engc.org.uk/standards-guidance/guidance/statement-of-ethical-principles/</w:t>
              </w:r>
              <w:r w:rsidRPr="00A77AF6">
                <w:br/>
                <w:t>[Accessed 15 March 2020].</w:t>
              </w:r>
            </w:p>
            <w:p w14:paraId="1FD8B6DC" w14:textId="77777777" w:rsidR="008E653F" w:rsidRPr="00A77AF6" w:rsidRDefault="008E653F" w:rsidP="008E653F">
              <w:pPr>
                <w:pStyle w:val="Bibliography"/>
              </w:pPr>
              <w:r w:rsidRPr="00A77AF6">
                <w:t xml:space="preserve">Farmer, M., 2016. </w:t>
              </w:r>
              <w:r w:rsidRPr="00A77AF6">
                <w:rPr>
                  <w:i/>
                  <w:iCs/>
                </w:rPr>
                <w:t xml:space="preserve">The Farmer Review of the UK Construction Labour Model, </w:t>
              </w:r>
              <w:r w:rsidRPr="00A77AF6">
                <w:t>s.l.: Construction Leadership Council.</w:t>
              </w:r>
            </w:p>
            <w:p w14:paraId="57EBDEAD" w14:textId="77777777" w:rsidR="008E653F" w:rsidRPr="00A77AF6" w:rsidRDefault="008E653F" w:rsidP="008E653F">
              <w:pPr>
                <w:pStyle w:val="Bibliography"/>
              </w:pPr>
              <w:r w:rsidRPr="00A77AF6">
                <w:t xml:space="preserve">Flyvbjerg, B., 2003. </w:t>
              </w:r>
              <w:r w:rsidRPr="00A77AF6">
                <w:rPr>
                  <w:i/>
                  <w:iCs/>
                </w:rPr>
                <w:t xml:space="preserve">Megaprojects and Risk: An anatomy of ambition. </w:t>
              </w:r>
              <w:r w:rsidRPr="00A77AF6">
                <w:t>1 ed. Cambridge: Press Syndicate of the University of Cambridge.</w:t>
              </w:r>
            </w:p>
            <w:p w14:paraId="0ECA7B00" w14:textId="77777777" w:rsidR="008E653F" w:rsidRPr="00A77AF6" w:rsidRDefault="008E653F" w:rsidP="008E653F">
              <w:pPr>
                <w:pStyle w:val="Bibliography"/>
              </w:pPr>
              <w:r w:rsidRPr="00A77AF6">
                <w:t xml:space="preserve">Fosnacht, K., Sarraf, S., Howe, E. &amp; Peck, L. K., 2017. How Important are High Response Rates for College Surveys. </w:t>
              </w:r>
              <w:r w:rsidRPr="00A77AF6">
                <w:rPr>
                  <w:i/>
                  <w:iCs/>
                </w:rPr>
                <w:t xml:space="preserve">The Review of Higher Education, </w:t>
              </w:r>
              <w:r w:rsidRPr="00A77AF6">
                <w:t>40(2), pp. 245-265.</w:t>
              </w:r>
            </w:p>
            <w:p w14:paraId="08DD74E9" w14:textId="77777777" w:rsidR="008E653F" w:rsidRPr="00A77AF6" w:rsidRDefault="008E653F" w:rsidP="008E653F">
              <w:pPr>
                <w:pStyle w:val="Bibliography"/>
              </w:pPr>
              <w:r w:rsidRPr="00A77AF6">
                <w:t xml:space="preserve">Francis, S., Glanville , R., Ann, N. &amp; Peter, S., 1999. </w:t>
              </w:r>
              <w:r w:rsidRPr="00A77AF6">
                <w:rPr>
                  <w:i/>
                  <w:iCs/>
                </w:rPr>
                <w:t xml:space="preserve">50 Years of Ideas in healthcare buildings. </w:t>
              </w:r>
              <w:r w:rsidRPr="00A77AF6">
                <w:t>London: Nuffield Trust.</w:t>
              </w:r>
            </w:p>
            <w:p w14:paraId="32DAD42E" w14:textId="77777777" w:rsidR="008E653F" w:rsidRPr="00A77AF6" w:rsidRDefault="008E653F" w:rsidP="008E653F">
              <w:pPr>
                <w:pStyle w:val="Bibliography"/>
              </w:pPr>
              <w:r w:rsidRPr="00A77AF6">
                <w:t xml:space="preserve">FRC, 2012. </w:t>
              </w:r>
              <w:r w:rsidRPr="00A77AF6">
                <w:rPr>
                  <w:i/>
                  <w:iCs/>
                </w:rPr>
                <w:t xml:space="preserve">The UK Corporate Governance Code, </w:t>
              </w:r>
              <w:r w:rsidRPr="00A77AF6">
                <w:t>London: Financial Reporting Council.</w:t>
              </w:r>
            </w:p>
            <w:p w14:paraId="4A7FBF12" w14:textId="77777777" w:rsidR="008E653F" w:rsidRPr="00A77AF6" w:rsidRDefault="008E653F" w:rsidP="008E653F">
              <w:pPr>
                <w:pStyle w:val="Bibliography"/>
              </w:pPr>
              <w:r w:rsidRPr="00A77AF6">
                <w:t xml:space="preserve">Freeman, M., Pearson, R. &amp; Taylor, J., 2012. </w:t>
              </w:r>
              <w:r w:rsidRPr="00A77AF6">
                <w:rPr>
                  <w:i/>
                  <w:iCs/>
                </w:rPr>
                <w:t xml:space="preserve">Shareholder Democracies? Corporate Governance in Britian &amp; Ireland before 1850. </w:t>
              </w:r>
              <w:r w:rsidRPr="00A77AF6">
                <w:t>Chicago and London: The University of Chicago Press.</w:t>
              </w:r>
            </w:p>
            <w:p w14:paraId="21D202F0" w14:textId="77777777" w:rsidR="008E653F" w:rsidRPr="00A77AF6" w:rsidRDefault="008E653F" w:rsidP="008E653F">
              <w:pPr>
                <w:pStyle w:val="Bibliography"/>
              </w:pPr>
              <w:r w:rsidRPr="00A77AF6">
                <w:t xml:space="preserve">Freeman, R. E., 1984. </w:t>
              </w:r>
              <w:r w:rsidRPr="00A77AF6">
                <w:rPr>
                  <w:i/>
                  <w:iCs/>
                </w:rPr>
                <w:t xml:space="preserve">Strategic Management: A stakeholder approach. </w:t>
              </w:r>
              <w:r w:rsidRPr="00A77AF6">
                <w:t>Boston: Pitman.</w:t>
              </w:r>
            </w:p>
            <w:p w14:paraId="10C76C29" w14:textId="77777777" w:rsidR="008E653F" w:rsidRPr="00A77AF6" w:rsidRDefault="008E653F" w:rsidP="008E653F">
              <w:pPr>
                <w:pStyle w:val="Bibliography"/>
              </w:pPr>
              <w:r w:rsidRPr="00A77AF6">
                <w:t xml:space="preserve">Freeman, R. E., 2002. Stakeholder Theory of the modern corporation. In: t. &amp;. W. P. Donaldson, ed. </w:t>
              </w:r>
              <w:r w:rsidRPr="00A77AF6">
                <w:rPr>
                  <w:i/>
                  <w:iCs/>
                </w:rPr>
                <w:t xml:space="preserve">Ethical Issues in Business: Philosophical approach. </w:t>
              </w:r>
              <w:r w:rsidRPr="00A77AF6">
                <w:t>Englewood Cliffs, NJ: Prentice Hall, pp. 38-48.</w:t>
              </w:r>
            </w:p>
            <w:p w14:paraId="4D8D127F" w14:textId="16AF5504" w:rsidR="008E653F" w:rsidRPr="00A77AF6" w:rsidRDefault="008E653F" w:rsidP="008E653F">
              <w:pPr>
                <w:pStyle w:val="Bibliography"/>
              </w:pPr>
              <w:r w:rsidRPr="00A77AF6">
                <w:t xml:space="preserve">Freeman, R. E., 2004. The stakeholder approach revisited. </w:t>
              </w:r>
              <w:r w:rsidRPr="00A77AF6">
                <w:rPr>
                  <w:i/>
                  <w:iCs/>
                </w:rPr>
                <w:t xml:space="preserve">Zeitschrift für Wirtschafts und Unternehmensethick, </w:t>
              </w:r>
              <w:r w:rsidRPr="00A77AF6">
                <w:t>Volume 5, pp. 228-241.</w:t>
              </w:r>
            </w:p>
            <w:p w14:paraId="17B472BC" w14:textId="77777777" w:rsidR="001449AB" w:rsidRPr="00A77AF6" w:rsidRDefault="001449AB" w:rsidP="001449AB">
              <w:pPr>
                <w:pStyle w:val="Bibliography"/>
              </w:pPr>
              <w:r w:rsidRPr="00A77AF6">
                <w:t xml:space="preserve">Freeman, R. E, 2010. </w:t>
              </w:r>
              <w:r w:rsidRPr="00A77AF6">
                <w:rPr>
                  <w:i/>
                  <w:iCs/>
                </w:rPr>
                <w:t xml:space="preserve">A Stakeholder Appraoch. </w:t>
              </w:r>
              <w:r w:rsidRPr="00A77AF6">
                <w:t>Cambridge: Cambridge University Press.</w:t>
              </w:r>
            </w:p>
            <w:p w14:paraId="380B756B" w14:textId="77777777" w:rsidR="008E653F" w:rsidRPr="00A77AF6" w:rsidRDefault="008E653F" w:rsidP="008E653F">
              <w:pPr>
                <w:pStyle w:val="Bibliography"/>
              </w:pPr>
              <w:r w:rsidRPr="00A77AF6">
                <w:t xml:space="preserve">Friesdorf, R., Conway, P. &amp; Gawronski, B., 2015. Gender Differences in Responses to Moral Dilemmas: A Process Dissociation Analysis. </w:t>
              </w:r>
              <w:r w:rsidRPr="00A77AF6">
                <w:rPr>
                  <w:i/>
                  <w:iCs/>
                </w:rPr>
                <w:t xml:space="preserve">Personality and Social Psychology Bulletin, </w:t>
              </w:r>
              <w:r w:rsidRPr="00A77AF6">
                <w:t>4(15), pp. 696-713.</w:t>
              </w:r>
            </w:p>
            <w:p w14:paraId="2AA45733" w14:textId="77777777" w:rsidR="008E653F" w:rsidRPr="00A77AF6" w:rsidRDefault="008E653F" w:rsidP="008E653F">
              <w:pPr>
                <w:pStyle w:val="Bibliography"/>
              </w:pPr>
              <w:r w:rsidRPr="00A77AF6">
                <w:t xml:space="preserve">Fritzsche, D. J. &amp; Becker, H., 1984. Linking Management Behavior to Ethical Philosophy - An Empirical Investigation. </w:t>
              </w:r>
              <w:r w:rsidRPr="00A77AF6">
                <w:rPr>
                  <w:i/>
                  <w:iCs/>
                </w:rPr>
                <w:t xml:space="preserve">Academy of Management Journal, </w:t>
              </w:r>
              <w:r w:rsidRPr="00A77AF6">
                <w:t>27(1), pp. 166-175.</w:t>
              </w:r>
            </w:p>
            <w:p w14:paraId="7DB20462" w14:textId="77777777" w:rsidR="008E653F" w:rsidRPr="00A77AF6" w:rsidRDefault="008E653F" w:rsidP="008E653F">
              <w:pPr>
                <w:pStyle w:val="Bibliography"/>
              </w:pPr>
              <w:r w:rsidRPr="00A77AF6">
                <w:t xml:space="preserve">Full Fact, 2017. </w:t>
              </w:r>
              <w:r w:rsidRPr="00A77AF6">
                <w:rPr>
                  <w:i/>
                  <w:iCs/>
                </w:rPr>
                <w:t xml:space="preserve">What is the NHS?. </w:t>
              </w:r>
              <w:r w:rsidRPr="00A77AF6">
                <w:t xml:space="preserve">[Online] </w:t>
              </w:r>
              <w:r w:rsidRPr="00A77AF6">
                <w:br/>
                <w:t xml:space="preserve">Available at: </w:t>
              </w:r>
              <w:r w:rsidRPr="00A77AF6">
                <w:rPr>
                  <w:u w:val="single"/>
                </w:rPr>
                <w:t>https://fullfact.org/health/what-is-the-nhs/</w:t>
              </w:r>
              <w:r w:rsidRPr="00A77AF6">
                <w:br/>
                <w:t>[Accessed 29 March 2019].</w:t>
              </w:r>
            </w:p>
            <w:p w14:paraId="315F2108" w14:textId="77777777" w:rsidR="008E653F" w:rsidRPr="00A77AF6" w:rsidRDefault="008E653F" w:rsidP="008E653F">
              <w:pPr>
                <w:pStyle w:val="Bibliography"/>
              </w:pPr>
              <w:r w:rsidRPr="00A77AF6">
                <w:t xml:space="preserve">Gaffney, D. &amp; Pollock, A., 1999. Pump priming the PFI: Why are privately financed hospital schemes being subsidized?. </w:t>
              </w:r>
              <w:r w:rsidRPr="00A77AF6">
                <w:rPr>
                  <w:i/>
                  <w:iCs/>
                </w:rPr>
                <w:t xml:space="preserve">Public Money and Management, </w:t>
              </w:r>
              <w:r w:rsidRPr="00A77AF6">
                <w:t>19(1), pp. 55-62.</w:t>
              </w:r>
            </w:p>
            <w:p w14:paraId="29830C72" w14:textId="77777777" w:rsidR="008E653F" w:rsidRPr="00A77AF6" w:rsidRDefault="008E653F" w:rsidP="008E653F">
              <w:pPr>
                <w:pStyle w:val="Bibliography"/>
              </w:pPr>
              <w:r w:rsidRPr="00A77AF6">
                <w:t xml:space="preserve">Geoghegan, L. &amp; Dulewicz, . V., 2008. Do Project Managers' Leadership Competencies Contribute to Project Success?. </w:t>
              </w:r>
              <w:r w:rsidRPr="00A77AF6">
                <w:rPr>
                  <w:i/>
                  <w:iCs/>
                </w:rPr>
                <w:t xml:space="preserve">Project Management Journal, </w:t>
              </w:r>
              <w:r w:rsidRPr="00A77AF6">
                <w:t>39(4), pp. 58-67.</w:t>
              </w:r>
            </w:p>
            <w:p w14:paraId="23813168" w14:textId="77777777" w:rsidR="008E653F" w:rsidRPr="00A77AF6" w:rsidRDefault="008E653F" w:rsidP="008E653F">
              <w:pPr>
                <w:pStyle w:val="Bibliography"/>
              </w:pPr>
              <w:r w:rsidRPr="00A77AF6">
                <w:t xml:space="preserve">Georgetown University, 2012. </w:t>
              </w:r>
              <w:r w:rsidRPr="00A77AF6">
                <w:rPr>
                  <w:i/>
                  <w:iCs/>
                </w:rPr>
                <w:t xml:space="preserve">2011 National Business Ethics Survey: Workplace Ethics in Transition. </w:t>
              </w:r>
              <w:r w:rsidRPr="00A77AF6">
                <w:t xml:space="preserve">[Online] </w:t>
              </w:r>
              <w:r w:rsidRPr="00A77AF6">
                <w:br/>
                <w:t xml:space="preserve">Available at: </w:t>
              </w:r>
              <w:r w:rsidRPr="00A77AF6">
                <w:rPr>
                  <w:u w:val="single"/>
                </w:rPr>
                <w:t>https://berkleycenter.georgetown.edu/publications/2011-national-business-ethics-</w:t>
              </w:r>
              <w:r w:rsidRPr="00A77AF6">
                <w:rPr>
                  <w:u w:val="single"/>
                </w:rPr>
                <w:lastRenderedPageBreak/>
                <w:t>survey-workplace-ethics-in-transition</w:t>
              </w:r>
              <w:r w:rsidRPr="00A77AF6">
                <w:br/>
                <w:t>[Accessed 13 January 2019].</w:t>
              </w:r>
            </w:p>
            <w:p w14:paraId="2E511AE7" w14:textId="745FD311" w:rsidR="008E653F" w:rsidRPr="00A77AF6" w:rsidRDefault="008E653F" w:rsidP="008E653F">
              <w:pPr>
                <w:pStyle w:val="Bibliography"/>
              </w:pPr>
              <w:r w:rsidRPr="00A77AF6">
                <w:t xml:space="preserve">Ghazimoradi, M., Kheyroddin, A. &amp; Rezayfar, O., 2016. Diagnosing the success of construction projects during the initial phases. </w:t>
              </w:r>
              <w:r w:rsidRPr="00A77AF6">
                <w:rPr>
                  <w:i/>
                  <w:iCs/>
                </w:rPr>
                <w:t xml:space="preserve">Decision Science Letters, </w:t>
              </w:r>
              <w:r w:rsidRPr="00A77AF6">
                <w:t>Volume 5, pp. 395-406.</w:t>
              </w:r>
            </w:p>
            <w:p w14:paraId="2B3965EB" w14:textId="340345D3" w:rsidR="008E653F" w:rsidRPr="00A77AF6" w:rsidRDefault="008E653F" w:rsidP="008E653F">
              <w:pPr>
                <w:pStyle w:val="Bibliography"/>
              </w:pPr>
              <w:r w:rsidRPr="00A77AF6">
                <w:t xml:space="preserve">Glaser, B. </w:t>
              </w:r>
              <w:r w:rsidR="001449AB" w:rsidRPr="00A77AF6">
                <w:t xml:space="preserve">G </w:t>
              </w:r>
              <w:r w:rsidRPr="00A77AF6">
                <w:t>&amp; Strauss, A.</w:t>
              </w:r>
              <w:r w:rsidR="001449AB" w:rsidRPr="00A77AF6">
                <w:t xml:space="preserve"> L</w:t>
              </w:r>
              <w:r w:rsidRPr="00A77AF6">
                <w:t xml:space="preserve">, 1967. </w:t>
              </w:r>
              <w:r w:rsidRPr="00A77AF6">
                <w:rPr>
                  <w:i/>
                  <w:iCs/>
                </w:rPr>
                <w:t xml:space="preserve">The discovery of grounded theory: Strategies for qualitative research. </w:t>
              </w:r>
              <w:r w:rsidRPr="00A77AF6">
                <w:t>New York: Aldine Publishing Company.</w:t>
              </w:r>
            </w:p>
            <w:p w14:paraId="4B60A912" w14:textId="77777777" w:rsidR="001449AB" w:rsidRPr="00A77AF6" w:rsidRDefault="001449AB" w:rsidP="001449AB">
              <w:pPr>
                <w:pStyle w:val="Bibliography"/>
              </w:pPr>
              <w:r w:rsidRPr="00A77AF6">
                <w:t xml:space="preserve">Glaser, B. G. &amp; Strauss, A. L., 2009. </w:t>
              </w:r>
              <w:r w:rsidRPr="00A77AF6">
                <w:rPr>
                  <w:i/>
                  <w:iCs/>
                </w:rPr>
                <w:t xml:space="preserve">Discovery of Grounded Theory, </w:t>
              </w:r>
              <w:r w:rsidRPr="00A77AF6">
                <w:t>s.l.: Aldine Transaction.</w:t>
              </w:r>
            </w:p>
            <w:p w14:paraId="5407A789" w14:textId="77777777" w:rsidR="008E653F" w:rsidRPr="00A77AF6" w:rsidRDefault="008E653F" w:rsidP="008E653F">
              <w:pPr>
                <w:pStyle w:val="Bibliography"/>
              </w:pPr>
              <w:r w:rsidRPr="00A77AF6">
                <w:t xml:space="preserve">GMC, 2018. </w:t>
              </w:r>
              <w:r w:rsidRPr="00A77AF6">
                <w:rPr>
                  <w:i/>
                  <w:iCs/>
                </w:rPr>
                <w:t xml:space="preserve">Code of Conduct for Council Members. </w:t>
              </w:r>
              <w:r w:rsidRPr="00A77AF6">
                <w:t xml:space="preserve">[Online] </w:t>
              </w:r>
              <w:r w:rsidRPr="00A77AF6">
                <w:br/>
                <w:t xml:space="preserve">Available at: </w:t>
              </w:r>
              <w:r w:rsidRPr="00A77AF6">
                <w:rPr>
                  <w:u w:val="single"/>
                </w:rPr>
                <w:t>https://www.gmc-uk.org/about/how-we-work/governance/council/code-of-conduct</w:t>
              </w:r>
              <w:r w:rsidRPr="00A77AF6">
                <w:br/>
                <w:t>[Accessed 3 July 2018].</w:t>
              </w:r>
            </w:p>
            <w:p w14:paraId="44B31154" w14:textId="77777777" w:rsidR="008E653F" w:rsidRPr="00A77AF6" w:rsidRDefault="008E653F" w:rsidP="008E653F">
              <w:pPr>
                <w:pStyle w:val="Bibliography"/>
              </w:pPr>
              <w:r w:rsidRPr="00A77AF6">
                <w:t xml:space="preserve">GMC, 2018. </w:t>
              </w:r>
              <w:r w:rsidRPr="00A77AF6">
                <w:rPr>
                  <w:i/>
                  <w:iCs/>
                </w:rPr>
                <w:t xml:space="preserve">Ethical Guidance. </w:t>
              </w:r>
              <w:r w:rsidRPr="00A77AF6">
                <w:t xml:space="preserve">[Online] </w:t>
              </w:r>
              <w:r w:rsidRPr="00A77AF6">
                <w:br/>
                <w:t xml:space="preserve">Available at: </w:t>
              </w:r>
              <w:r w:rsidRPr="00A77AF6">
                <w:rPr>
                  <w:u w:val="single"/>
                </w:rPr>
                <w:t>https://www.gmc-uk.org/ethical-guidance</w:t>
              </w:r>
              <w:r w:rsidRPr="00A77AF6">
                <w:br/>
                <w:t>[Accessed 3 July 2018].</w:t>
              </w:r>
            </w:p>
            <w:p w14:paraId="24ACA633" w14:textId="77777777" w:rsidR="008E653F" w:rsidRPr="00A77AF6" w:rsidRDefault="008E653F" w:rsidP="008E653F">
              <w:pPr>
                <w:pStyle w:val="Bibliography"/>
              </w:pPr>
              <w:r w:rsidRPr="00A77AF6">
                <w:t xml:space="preserve">Gompers, P. A., Ishii, J. L. &amp; Metrick, A., 2003. Corporate Governance and Equity Prices. </w:t>
              </w:r>
              <w:r w:rsidRPr="00A77AF6">
                <w:rPr>
                  <w:i/>
                  <w:iCs/>
                </w:rPr>
                <w:t xml:space="preserve">Quarterly Journal of Economics, </w:t>
              </w:r>
              <w:r w:rsidRPr="00A77AF6">
                <w:t>118(1), pp. 107-156.</w:t>
              </w:r>
            </w:p>
            <w:p w14:paraId="0E70AE79" w14:textId="77777777" w:rsidR="008E653F" w:rsidRPr="00A77AF6" w:rsidRDefault="008E653F" w:rsidP="008E653F">
              <w:pPr>
                <w:pStyle w:val="Bibliography"/>
              </w:pPr>
              <w:r w:rsidRPr="00A77AF6">
                <w:t xml:space="preserve">GOV.UK, 2011. </w:t>
              </w:r>
              <w:r w:rsidRPr="00A77AF6">
                <w:rPr>
                  <w:i/>
                  <w:iCs/>
                </w:rPr>
                <w:t xml:space="preserve">PFI approvals and Deeds of Safeguard. </w:t>
              </w:r>
              <w:r w:rsidRPr="00A77AF6">
                <w:t xml:space="preserve">[Online] </w:t>
              </w:r>
              <w:r w:rsidRPr="00A77AF6">
                <w:br/>
                <w:t xml:space="preserve">Available at: </w:t>
              </w:r>
              <w:r w:rsidRPr="00A77AF6">
                <w:rPr>
                  <w:u w:val="single"/>
                </w:rPr>
                <w:t>https://www.gov.uk/government/news/pfi-approvals-and-deeds-of-safeguard</w:t>
              </w:r>
              <w:r w:rsidRPr="00A77AF6">
                <w:br/>
                <w:t>[Accessed 30 January 2019].</w:t>
              </w:r>
            </w:p>
            <w:p w14:paraId="13E2176D" w14:textId="77777777" w:rsidR="008E653F" w:rsidRPr="00A77AF6" w:rsidRDefault="008E653F" w:rsidP="008E653F">
              <w:pPr>
                <w:pStyle w:val="Bibliography"/>
              </w:pPr>
              <w:r w:rsidRPr="00A77AF6">
                <w:t xml:space="preserve">GOV.UK, 2017. </w:t>
              </w:r>
              <w:r w:rsidRPr="00A77AF6">
                <w:rPr>
                  <w:i/>
                  <w:iCs/>
                </w:rPr>
                <w:t xml:space="preserve">Project and programme management. </w:t>
              </w:r>
              <w:r w:rsidRPr="00A77AF6">
                <w:t xml:space="preserve">[Online] </w:t>
              </w:r>
              <w:r w:rsidRPr="00A77AF6">
                <w:br/>
                <w:t xml:space="preserve">Available at: </w:t>
              </w:r>
              <w:r w:rsidRPr="00A77AF6">
                <w:rPr>
                  <w:u w:val="single"/>
                </w:rPr>
                <w:t>https://www.gov.uk/guidance/project-and-programme-management</w:t>
              </w:r>
              <w:r w:rsidRPr="00A77AF6">
                <w:br/>
                <w:t>[Accessed 9 March 2019].</w:t>
              </w:r>
            </w:p>
            <w:p w14:paraId="63A95E4D" w14:textId="77777777" w:rsidR="008E653F" w:rsidRPr="00A77AF6" w:rsidRDefault="008E653F" w:rsidP="008E653F">
              <w:pPr>
                <w:pStyle w:val="Bibliography"/>
              </w:pPr>
              <w:r w:rsidRPr="00A77AF6">
                <w:t xml:space="preserve">Gray, J., 1984. John Stuart Mill: the crisis of liberalism. In: </w:t>
              </w:r>
              <w:r w:rsidRPr="00A77AF6">
                <w:rPr>
                  <w:i/>
                  <w:iCs/>
                </w:rPr>
                <w:t xml:space="preserve">Political Though from Plato to Nato. </w:t>
              </w:r>
              <w:r w:rsidRPr="00A77AF6">
                <w:t>London: British Broadcasting Corporation, pp. 148-158.</w:t>
              </w:r>
            </w:p>
            <w:p w14:paraId="7393A888" w14:textId="77777777" w:rsidR="008E653F" w:rsidRPr="00A77AF6" w:rsidRDefault="008E653F" w:rsidP="008E653F">
              <w:pPr>
                <w:pStyle w:val="Bibliography"/>
              </w:pPr>
              <w:r w:rsidRPr="00A77AF6">
                <w:t xml:space="preserve">Greengross, P., Grant, K. &amp; Collini, E., 1999. </w:t>
              </w:r>
              <w:r w:rsidRPr="00A77AF6">
                <w:rPr>
                  <w:i/>
                  <w:iCs/>
                </w:rPr>
                <w:t xml:space="preserve">The history and development of the UK National Health Service 1948 - 1999, </w:t>
              </w:r>
              <w:r w:rsidRPr="00A77AF6">
                <w:t>London: DFID Health Systems Resource Centre.</w:t>
              </w:r>
            </w:p>
            <w:p w14:paraId="02B54D37" w14:textId="77777777" w:rsidR="008E653F" w:rsidRPr="00A77AF6" w:rsidRDefault="008E653F" w:rsidP="008E653F">
              <w:pPr>
                <w:pStyle w:val="Bibliography"/>
              </w:pPr>
              <w:r w:rsidRPr="00A77AF6">
                <w:t xml:space="preserve">Greenwood, M., 2001. The importance of stakeholders according to business leaders. </w:t>
              </w:r>
              <w:r w:rsidRPr="00A77AF6">
                <w:rPr>
                  <w:i/>
                  <w:iCs/>
                </w:rPr>
                <w:t xml:space="preserve">Business and Socety Review, </w:t>
              </w:r>
              <w:r w:rsidRPr="00A77AF6">
                <w:t>Volume 106, pp. 29-49.</w:t>
              </w:r>
            </w:p>
            <w:p w14:paraId="005FE85D" w14:textId="77777777" w:rsidR="008E653F" w:rsidRPr="00A77AF6" w:rsidRDefault="008E653F" w:rsidP="008E653F">
              <w:pPr>
                <w:pStyle w:val="Bibliography"/>
              </w:pPr>
              <w:r w:rsidRPr="00A77AF6">
                <w:t xml:space="preserve">Griffiths, Roy, 1983. </w:t>
              </w:r>
              <w:r w:rsidRPr="00A77AF6">
                <w:rPr>
                  <w:i/>
                  <w:iCs/>
                </w:rPr>
                <w:t xml:space="preserve">NHS Management Inquiry, </w:t>
              </w:r>
              <w:r w:rsidRPr="00A77AF6">
                <w:t>London: Department of Health and Social Security.</w:t>
              </w:r>
            </w:p>
            <w:p w14:paraId="7A61DFCC" w14:textId="77777777" w:rsidR="008E653F" w:rsidRPr="00A77AF6" w:rsidRDefault="008E653F" w:rsidP="008E653F">
              <w:pPr>
                <w:pStyle w:val="Bibliography"/>
              </w:pPr>
              <w:r w:rsidRPr="00A77AF6">
                <w:t xml:space="preserve">Hair, J., Black, W. &amp; Anderson, R., 2010. </w:t>
              </w:r>
              <w:r w:rsidRPr="00A77AF6">
                <w:rPr>
                  <w:i/>
                  <w:iCs/>
                </w:rPr>
                <w:t xml:space="preserve">Multivariate Data Analysis. </w:t>
              </w:r>
              <w:r w:rsidRPr="00A77AF6">
                <w:t>7th ed. NJ: Prentice Hall Inc.</w:t>
              </w:r>
            </w:p>
            <w:p w14:paraId="17D385CC" w14:textId="77777777" w:rsidR="008E653F" w:rsidRPr="00A77AF6" w:rsidRDefault="008E653F" w:rsidP="008E653F">
              <w:pPr>
                <w:pStyle w:val="Bibliography"/>
              </w:pPr>
              <w:r w:rsidRPr="00A77AF6">
                <w:t xml:space="preserve">Harrison, J. S., Bosse, D. A. &amp; Phillips, R. A., 2010. Managing for stakeholders, stakeholder utility, and competative advantage. </w:t>
              </w:r>
              <w:r w:rsidRPr="00A77AF6">
                <w:rPr>
                  <w:i/>
                  <w:iCs/>
                </w:rPr>
                <w:t xml:space="preserve">Strategic Management Journal, </w:t>
              </w:r>
              <w:r w:rsidRPr="00A77AF6">
                <w:t>Volume 31, pp. 58-74.</w:t>
              </w:r>
            </w:p>
            <w:p w14:paraId="28C0B3F5" w14:textId="77777777" w:rsidR="008E653F" w:rsidRPr="00A77AF6" w:rsidRDefault="008E653F" w:rsidP="008E653F">
              <w:pPr>
                <w:pStyle w:val="Bibliography"/>
              </w:pPr>
              <w:r w:rsidRPr="00A77AF6">
                <w:t xml:space="preserve">Hazard, V. &amp; Crawford, L., 2004. </w:t>
              </w:r>
              <w:r w:rsidRPr="00A77AF6">
                <w:rPr>
                  <w:i/>
                  <w:iCs/>
                </w:rPr>
                <w:t xml:space="preserve">Defining Project Governance (in) Proceedings of ProMAC Research Conference. </w:t>
              </w:r>
              <w:r w:rsidRPr="00A77AF6">
                <w:t>Tokyo, Society of Project Management.</w:t>
              </w:r>
            </w:p>
            <w:p w14:paraId="03C49779" w14:textId="77777777" w:rsidR="008E653F" w:rsidRPr="00A77AF6" w:rsidRDefault="008E653F" w:rsidP="008E653F">
              <w:pPr>
                <w:pStyle w:val="Bibliography"/>
              </w:pPr>
              <w:r w:rsidRPr="00A77AF6">
                <w:t xml:space="preserve">Heath, J., 2009. The Uses and Abuses of Agency Theory. </w:t>
              </w:r>
              <w:r w:rsidRPr="00A77AF6">
                <w:rPr>
                  <w:i/>
                  <w:iCs/>
                </w:rPr>
                <w:t xml:space="preserve">Business Ethics Quarterly, </w:t>
              </w:r>
              <w:r w:rsidRPr="00A77AF6">
                <w:t>19(4), pp. 497-528.</w:t>
              </w:r>
            </w:p>
            <w:p w14:paraId="27F3ABCA" w14:textId="77777777" w:rsidR="008E653F" w:rsidRPr="00A77AF6" w:rsidRDefault="008E653F" w:rsidP="008E653F">
              <w:pPr>
                <w:pStyle w:val="Bibliography"/>
              </w:pPr>
              <w:r w:rsidRPr="00A77AF6">
                <w:t xml:space="preserve">HFMA, n.d. </w:t>
              </w:r>
              <w:r w:rsidRPr="00A77AF6">
                <w:rPr>
                  <w:i/>
                  <w:iCs/>
                </w:rPr>
                <w:t xml:space="preserve">NHS Structure in England. </w:t>
              </w:r>
              <w:r w:rsidRPr="00A77AF6">
                <w:t xml:space="preserve">[Online] </w:t>
              </w:r>
              <w:r w:rsidRPr="00A77AF6">
                <w:br/>
                <w:t xml:space="preserve">Available at: </w:t>
              </w:r>
              <w:r w:rsidRPr="00A77AF6">
                <w:rPr>
                  <w:u w:val="single"/>
                </w:rPr>
                <w:t>https://www.google.co.uk/search?q=structure+of+the+nhs+2017&amp;source=lnms&amp;tbm=isch&amp;sa=X</w:t>
              </w:r>
              <w:r w:rsidRPr="00A77AF6">
                <w:rPr>
                  <w:u w:val="single"/>
                </w:rPr>
                <w:lastRenderedPageBreak/>
                <w:t>&amp;ved=0ahUKEwjTmLPjjpjfAhVloXEKHSGtDoUQ_AUIDigB&amp;biw=1403&amp;bih=762#imgrc=XIYZGIAFZcmhUM:</w:t>
              </w:r>
              <w:r w:rsidRPr="00A77AF6">
                <w:br/>
                <w:t>[Accessed 11 December 2018].</w:t>
              </w:r>
            </w:p>
            <w:p w14:paraId="4A122C04" w14:textId="77777777" w:rsidR="008E653F" w:rsidRPr="00A77AF6" w:rsidRDefault="008E653F" w:rsidP="008E653F">
              <w:pPr>
                <w:pStyle w:val="Bibliography"/>
              </w:pPr>
              <w:r w:rsidRPr="00A77AF6">
                <w:t xml:space="preserve">Higgs, D, 2003. </w:t>
              </w:r>
              <w:r w:rsidRPr="00A77AF6">
                <w:rPr>
                  <w:i/>
                  <w:iCs/>
                </w:rPr>
                <w:t xml:space="preserve">Review of the role and effectiveness of non-executive directors, </w:t>
              </w:r>
              <w:r w:rsidRPr="00A77AF6">
                <w:t>s.l.: TSO.</w:t>
              </w:r>
            </w:p>
            <w:p w14:paraId="362F61CE" w14:textId="77777777" w:rsidR="008E653F" w:rsidRPr="00A77AF6" w:rsidRDefault="008E653F" w:rsidP="008E653F">
              <w:pPr>
                <w:pStyle w:val="Bibliography"/>
              </w:pPr>
              <w:r w:rsidRPr="00A77AF6">
                <w:t xml:space="preserve">Hillman, A. J. &amp; Keim, G. D., 2001. Shareholder value, shareholder management, and social issues: What's the bottom line?. </w:t>
              </w:r>
              <w:r w:rsidRPr="00A77AF6">
                <w:rPr>
                  <w:i/>
                  <w:iCs/>
                </w:rPr>
                <w:t xml:space="preserve">Strategic Management Journal, </w:t>
              </w:r>
              <w:r w:rsidRPr="00A77AF6">
                <w:t>Volume 22, pp. 125-139.</w:t>
              </w:r>
            </w:p>
            <w:p w14:paraId="5CAFD971" w14:textId="77777777" w:rsidR="008E653F" w:rsidRPr="00A77AF6" w:rsidRDefault="008E653F" w:rsidP="008E653F">
              <w:pPr>
                <w:pStyle w:val="Bibliography"/>
              </w:pPr>
              <w:r w:rsidRPr="00A77AF6">
                <w:t xml:space="preserve">HM Government, 2013. </w:t>
              </w:r>
              <w:r w:rsidRPr="00A77AF6">
                <w:rPr>
                  <w:i/>
                  <w:iCs/>
                </w:rPr>
                <w:t xml:space="preserve">Construction 2025, </w:t>
              </w:r>
              <w:r w:rsidRPr="00A77AF6">
                <w:t>s.l.: s.n.</w:t>
              </w:r>
            </w:p>
            <w:p w14:paraId="61359B91" w14:textId="77777777" w:rsidR="008E653F" w:rsidRPr="00A77AF6" w:rsidRDefault="008E653F" w:rsidP="008E653F">
              <w:pPr>
                <w:pStyle w:val="Bibliography"/>
              </w:pPr>
              <w:r w:rsidRPr="00A77AF6">
                <w:t xml:space="preserve">HM Treasury, 2003. </w:t>
              </w:r>
              <w:r w:rsidRPr="00A77AF6">
                <w:rPr>
                  <w:i/>
                  <w:iCs/>
                </w:rPr>
                <w:t xml:space="preserve">PFI: Meeting the investment challenge, </w:t>
              </w:r>
              <w:r w:rsidRPr="00A77AF6">
                <w:t>London: HM Treasury.</w:t>
              </w:r>
            </w:p>
            <w:p w14:paraId="609DE982" w14:textId="77777777" w:rsidR="008E653F" w:rsidRPr="00A77AF6" w:rsidRDefault="008E653F" w:rsidP="008E653F">
              <w:pPr>
                <w:pStyle w:val="Bibliography"/>
              </w:pPr>
              <w:r w:rsidRPr="00A77AF6">
                <w:t xml:space="preserve">HM Treasury, 2003. </w:t>
              </w:r>
              <w:r w:rsidRPr="00A77AF6">
                <w:rPr>
                  <w:i/>
                  <w:iCs/>
                </w:rPr>
                <w:t xml:space="preserve">The Green Book: Appraisal and Evaluation in Central Government, </w:t>
              </w:r>
              <w:r w:rsidRPr="00A77AF6">
                <w:t>London: TSO.</w:t>
              </w:r>
            </w:p>
            <w:p w14:paraId="25140648" w14:textId="77777777" w:rsidR="008E653F" w:rsidRPr="00A77AF6" w:rsidRDefault="008E653F" w:rsidP="008E653F">
              <w:pPr>
                <w:pStyle w:val="Bibliography"/>
              </w:pPr>
              <w:r w:rsidRPr="00A77AF6">
                <w:t xml:space="preserve">HMT, 2007. </w:t>
              </w:r>
              <w:r w:rsidRPr="00A77AF6">
                <w:rPr>
                  <w:i/>
                  <w:iCs/>
                </w:rPr>
                <w:t xml:space="preserve">Project Governance: a guidance note for public sector projects, </w:t>
              </w:r>
              <w:r w:rsidRPr="00A77AF6">
                <w:t>Norwich: HMSO Crown Copyright.</w:t>
              </w:r>
            </w:p>
            <w:p w14:paraId="0C41BAC5" w14:textId="77777777" w:rsidR="008E653F" w:rsidRPr="00A77AF6" w:rsidRDefault="008E653F" w:rsidP="008E653F">
              <w:pPr>
                <w:pStyle w:val="Bibliography"/>
              </w:pPr>
              <w:r w:rsidRPr="00A77AF6">
                <w:t xml:space="preserve">HMT, 2013. </w:t>
              </w:r>
              <w:r w:rsidRPr="00A77AF6">
                <w:rPr>
                  <w:i/>
                  <w:iCs/>
                </w:rPr>
                <w:t xml:space="preserve">Supplementary Green Book Guidance, </w:t>
              </w:r>
              <w:r w:rsidRPr="00A77AF6">
                <w:t>s.l.: s.n.</w:t>
              </w:r>
            </w:p>
            <w:p w14:paraId="50A6DD66" w14:textId="77777777" w:rsidR="008E653F" w:rsidRPr="00A77AF6" w:rsidRDefault="008E653F" w:rsidP="008E653F">
              <w:pPr>
                <w:pStyle w:val="Bibliography"/>
              </w:pPr>
              <w:r w:rsidRPr="00A77AF6">
                <w:t xml:space="preserve">HMT, 2014. </w:t>
              </w:r>
              <w:r w:rsidRPr="00A77AF6">
                <w:rPr>
                  <w:i/>
                  <w:iCs/>
                </w:rPr>
                <w:t xml:space="preserve">Private Finance Initiative projects: 2014 summary data. </w:t>
              </w:r>
              <w:r w:rsidRPr="00A77AF6">
                <w:t xml:space="preserve">[Online] </w:t>
              </w:r>
              <w:r w:rsidRPr="00A77AF6">
                <w:br/>
                <w:t xml:space="preserve">Available at: </w:t>
              </w:r>
              <w:r w:rsidRPr="00A77AF6">
                <w:rPr>
                  <w:u w:val="single"/>
                </w:rPr>
                <w:t>https://www.gov.uk/government/publications/private-finance-initiative-projects-2014-summary-data</w:t>
              </w:r>
            </w:p>
            <w:p w14:paraId="2C8876FC" w14:textId="77777777" w:rsidR="008E653F" w:rsidRPr="00A77AF6" w:rsidRDefault="008E653F" w:rsidP="008E653F">
              <w:pPr>
                <w:pStyle w:val="Bibliography"/>
              </w:pPr>
              <w:r w:rsidRPr="00A77AF6">
                <w:t xml:space="preserve">HMT, 2018. </w:t>
              </w:r>
              <w:r w:rsidRPr="00A77AF6">
                <w:rPr>
                  <w:i/>
                  <w:iCs/>
                </w:rPr>
                <w:t xml:space="preserve">The Green Book: Central Government Guidance on Appraisal and Evaluation , </w:t>
              </w:r>
              <w:r w:rsidRPr="00A77AF6">
                <w:t>London: Crown copyright.</w:t>
              </w:r>
            </w:p>
            <w:p w14:paraId="0A496EBA" w14:textId="77777777" w:rsidR="008E653F" w:rsidRPr="00A77AF6" w:rsidRDefault="008E653F" w:rsidP="008E653F">
              <w:pPr>
                <w:pStyle w:val="Bibliography"/>
              </w:pPr>
              <w:r w:rsidRPr="00A77AF6">
                <w:t xml:space="preserve">HMT, 2019. </w:t>
              </w:r>
              <w:r w:rsidRPr="00A77AF6">
                <w:rPr>
                  <w:i/>
                  <w:iCs/>
                </w:rPr>
                <w:t xml:space="preserve">The Orange Book: Management of Risk - Principles and Concepts, </w:t>
              </w:r>
              <w:r w:rsidRPr="00A77AF6">
                <w:t>s.l.: Crown Copyright.</w:t>
              </w:r>
            </w:p>
            <w:p w14:paraId="3E298C7E" w14:textId="77777777" w:rsidR="008E653F" w:rsidRPr="00A77AF6" w:rsidRDefault="008E653F" w:rsidP="008E653F">
              <w:pPr>
                <w:pStyle w:val="Bibliography"/>
              </w:pPr>
              <w:r w:rsidRPr="00A77AF6">
                <w:t xml:space="preserve">Hodgson, B. J., 2001. Michalos and the theory of ethical theory. </w:t>
              </w:r>
              <w:r w:rsidRPr="00A77AF6">
                <w:rPr>
                  <w:i/>
                  <w:iCs/>
                </w:rPr>
                <w:t xml:space="preserve">Journal of Business Ethics, </w:t>
              </w:r>
              <w:r w:rsidRPr="00A77AF6">
                <w:t>Volume 29, pp. 19-23.</w:t>
              </w:r>
            </w:p>
            <w:p w14:paraId="5AFF9D15" w14:textId="77777777" w:rsidR="008E653F" w:rsidRPr="00A77AF6" w:rsidRDefault="008E653F" w:rsidP="008E653F">
              <w:pPr>
                <w:pStyle w:val="Bibliography"/>
              </w:pPr>
              <w:r w:rsidRPr="00A77AF6">
                <w:t xml:space="preserve">House of Commons Library, 2018. </w:t>
              </w:r>
              <w:r w:rsidRPr="00A77AF6">
                <w:rPr>
                  <w:i/>
                  <w:iCs/>
                </w:rPr>
                <w:t xml:space="preserve">Goodbye PFI. </w:t>
              </w:r>
              <w:r w:rsidRPr="00A77AF6">
                <w:t xml:space="preserve">[Online] </w:t>
              </w:r>
              <w:r w:rsidRPr="00A77AF6">
                <w:br/>
                <w:t xml:space="preserve">Available at: </w:t>
              </w:r>
              <w:r w:rsidRPr="00A77AF6">
                <w:rPr>
                  <w:u w:val="single"/>
                </w:rPr>
                <w:t>https://commonslibrary.parliament.uk/parliament-and-elections/government/goodbye-pfi/</w:t>
              </w:r>
              <w:r w:rsidRPr="00A77AF6">
                <w:br/>
                <w:t>[Accessed 7 April 2019].</w:t>
              </w:r>
            </w:p>
            <w:p w14:paraId="1B3A0A45" w14:textId="77777777" w:rsidR="008E653F" w:rsidRPr="00A77AF6" w:rsidRDefault="008E653F" w:rsidP="008E653F">
              <w:pPr>
                <w:pStyle w:val="Bibliography"/>
              </w:pPr>
              <w:r w:rsidRPr="00A77AF6">
                <w:t xml:space="preserve">HSE, 2018. </w:t>
              </w:r>
              <w:r w:rsidRPr="00A77AF6">
                <w:rPr>
                  <w:i/>
                  <w:iCs/>
                </w:rPr>
                <w:t xml:space="preserve">Health and Safety in Construction Sector in Great Britain 2016/17. </w:t>
              </w:r>
              <w:r w:rsidRPr="00A77AF6">
                <w:t xml:space="preserve">[Online] </w:t>
              </w:r>
              <w:r w:rsidRPr="00A77AF6">
                <w:br/>
                <w:t xml:space="preserve">Available at: </w:t>
              </w:r>
              <w:r w:rsidRPr="00A77AF6">
                <w:rPr>
                  <w:u w:val="single"/>
                </w:rPr>
                <w:t>www.hse.gov.uk/statistics/industry/construction/construction.pdf</w:t>
              </w:r>
              <w:r w:rsidRPr="00A77AF6">
                <w:br/>
                <w:t>[Accessed 25 January 2019].</w:t>
              </w:r>
            </w:p>
            <w:p w14:paraId="1CA8B22A" w14:textId="77777777" w:rsidR="008E653F" w:rsidRPr="00A77AF6" w:rsidRDefault="008E653F" w:rsidP="008E653F">
              <w:pPr>
                <w:pStyle w:val="Bibliography"/>
              </w:pPr>
              <w:r w:rsidRPr="00A77AF6">
                <w:t xml:space="preserve">Hughes, S. W., Tippett, D. D. &amp; Thomas, W. K., 2004. Measuring Project Success in the Construction Industry. </w:t>
              </w:r>
              <w:r w:rsidRPr="00A77AF6">
                <w:rPr>
                  <w:i/>
                  <w:iCs/>
                </w:rPr>
                <w:t xml:space="preserve">Engineering Management Journal, </w:t>
              </w:r>
              <w:r w:rsidRPr="00A77AF6">
                <w:t>16(3), pp. 31-37.</w:t>
              </w:r>
            </w:p>
            <w:p w14:paraId="0EC7B879" w14:textId="77777777" w:rsidR="008E653F" w:rsidRPr="00A77AF6" w:rsidRDefault="008E653F" w:rsidP="008E653F">
              <w:pPr>
                <w:pStyle w:val="Bibliography"/>
              </w:pPr>
              <w:r w:rsidRPr="00A77AF6">
                <w:t xml:space="preserve">Hughes, S. W., Tippett, D. D. &amp; Thomas, W. K., 2004. Measuring Project Success in the Construction Industry. </w:t>
              </w:r>
              <w:r w:rsidRPr="00A77AF6">
                <w:rPr>
                  <w:i/>
                  <w:iCs/>
                </w:rPr>
                <w:t xml:space="preserve">Engineering Management Journal, </w:t>
              </w:r>
              <w:r w:rsidRPr="00A77AF6">
                <w:t>16(3), pp. 31-37.</w:t>
              </w:r>
            </w:p>
            <w:p w14:paraId="1EFCAAD0" w14:textId="77777777" w:rsidR="008E653F" w:rsidRPr="00A77AF6" w:rsidRDefault="008E653F" w:rsidP="008E653F">
              <w:pPr>
                <w:pStyle w:val="Bibliography"/>
              </w:pPr>
              <w:r w:rsidRPr="00A77AF6">
                <w:t xml:space="preserve">Hung, H., 1998. A typology of the theories of the roles of governing bodies. </w:t>
              </w:r>
              <w:r w:rsidRPr="00A77AF6">
                <w:rPr>
                  <w:i/>
                  <w:iCs/>
                </w:rPr>
                <w:t xml:space="preserve">Corporate Governance an International Review, </w:t>
              </w:r>
              <w:r w:rsidRPr="00A77AF6">
                <w:t>6(2), pp. 301-311.</w:t>
              </w:r>
            </w:p>
            <w:p w14:paraId="5E31B185" w14:textId="77777777" w:rsidR="008E653F" w:rsidRPr="00A77AF6" w:rsidRDefault="008E653F" w:rsidP="008E653F">
              <w:pPr>
                <w:pStyle w:val="Bibliography"/>
              </w:pPr>
              <w:r w:rsidRPr="00A77AF6">
                <w:t xml:space="preserve">Hunt, S. D. &amp; Vitell, S. J., 2006. The General Theory of MArketing Ethics: A Revision and Three Questions. </w:t>
              </w:r>
              <w:r w:rsidRPr="00A77AF6">
                <w:rPr>
                  <w:i/>
                  <w:iCs/>
                </w:rPr>
                <w:t xml:space="preserve">Journal of Macromarketing, </w:t>
              </w:r>
              <w:r w:rsidRPr="00A77AF6">
                <w:t>26(2), pp. 1-11.</w:t>
              </w:r>
            </w:p>
            <w:p w14:paraId="0BA95FAD" w14:textId="77777777" w:rsidR="008E653F" w:rsidRPr="00A77AF6" w:rsidRDefault="008E653F" w:rsidP="008E653F">
              <w:pPr>
                <w:pStyle w:val="Bibliography"/>
              </w:pPr>
              <w:r w:rsidRPr="00A77AF6">
                <w:lastRenderedPageBreak/>
                <w:t xml:space="preserve">Hursthouse, R. &amp; Pettigrove, G., 2016. </w:t>
              </w:r>
              <w:r w:rsidRPr="00A77AF6">
                <w:rPr>
                  <w:i/>
                  <w:iCs/>
                </w:rPr>
                <w:t xml:space="preserve">Virtue Ethics, </w:t>
              </w:r>
              <w:r w:rsidRPr="00A77AF6">
                <w:t>s.l.: Metaphysics Research Lab, Stanford University.</w:t>
              </w:r>
            </w:p>
            <w:p w14:paraId="7BC81D67" w14:textId="77777777" w:rsidR="008E653F" w:rsidRPr="00A77AF6" w:rsidRDefault="008E653F" w:rsidP="008E653F">
              <w:pPr>
                <w:pStyle w:val="Bibliography"/>
              </w:pPr>
              <w:r w:rsidRPr="00A77AF6">
                <w:t xml:space="preserve">IHEEM, 2016. </w:t>
              </w:r>
              <w:r w:rsidRPr="00A77AF6">
                <w:rPr>
                  <w:i/>
                  <w:iCs/>
                </w:rPr>
                <w:t xml:space="preserve">Code of Professional Conduct. </w:t>
              </w:r>
              <w:r w:rsidRPr="00A77AF6">
                <w:t xml:space="preserve">[Online] </w:t>
              </w:r>
              <w:r w:rsidRPr="00A77AF6">
                <w:br/>
                <w:t xml:space="preserve">Available at: </w:t>
              </w:r>
              <w:r w:rsidRPr="00A77AF6">
                <w:rPr>
                  <w:u w:val="single"/>
                </w:rPr>
                <w:t>https://www.iheem.org.uk/write/IHEEM_Code_of_Professional_Conduct_-_October_2016.pdf</w:t>
              </w:r>
              <w:r w:rsidRPr="00A77AF6">
                <w:br/>
                <w:t>[Accessed 3 July 2018].</w:t>
              </w:r>
            </w:p>
            <w:p w14:paraId="3A3EE2C1" w14:textId="77777777" w:rsidR="008E653F" w:rsidRPr="00A77AF6" w:rsidRDefault="008E653F" w:rsidP="008E653F">
              <w:pPr>
                <w:pStyle w:val="Bibliography"/>
              </w:pPr>
              <w:r w:rsidRPr="00A77AF6">
                <w:t xml:space="preserve">Institute for Government, 2017. </w:t>
              </w:r>
              <w:r w:rsidRPr="00A77AF6">
                <w:rPr>
                  <w:i/>
                  <w:iCs/>
                </w:rPr>
                <w:t xml:space="preserve">Departmental Budgets. </w:t>
              </w:r>
              <w:r w:rsidRPr="00A77AF6">
                <w:t xml:space="preserve">[Online] </w:t>
              </w:r>
              <w:r w:rsidRPr="00A77AF6">
                <w:br/>
                <w:t xml:space="preserve">Available at: </w:t>
              </w:r>
              <w:r w:rsidRPr="00A77AF6">
                <w:rPr>
                  <w:u w:val="single"/>
                </w:rPr>
                <w:t>https://www.instituteforgovernment.org.uk/explainers/departmental-budgets</w:t>
              </w:r>
              <w:r w:rsidRPr="00A77AF6">
                <w:br/>
                <w:t>[Accessed 19 June 2018].</w:t>
              </w:r>
            </w:p>
            <w:p w14:paraId="198DE413" w14:textId="77777777" w:rsidR="008E653F" w:rsidRPr="00A77AF6" w:rsidRDefault="008E653F" w:rsidP="008E653F">
              <w:pPr>
                <w:pStyle w:val="Bibliography"/>
              </w:pPr>
              <w:r w:rsidRPr="00A77AF6">
                <w:t xml:space="preserve">Institute of Directors, 2005. </w:t>
              </w:r>
              <w:r w:rsidRPr="00A77AF6">
                <w:rPr>
                  <w:i/>
                  <w:iCs/>
                </w:rPr>
                <w:t xml:space="preserve">The Handbook of International Corporate Governance. </w:t>
              </w:r>
              <w:r w:rsidRPr="00A77AF6">
                <w:t>London and Sterling: Institute of Directors and Kogan Page Ltd.</w:t>
              </w:r>
            </w:p>
            <w:p w14:paraId="73737E32" w14:textId="77777777" w:rsidR="008E653F" w:rsidRPr="00A77AF6" w:rsidRDefault="008E653F" w:rsidP="008E653F">
              <w:pPr>
                <w:pStyle w:val="Bibliography"/>
              </w:pPr>
              <w:r w:rsidRPr="00A77AF6">
                <w:t xml:space="preserve">Institute of Directors, 2009. </w:t>
              </w:r>
              <w:r w:rsidRPr="00A77AF6">
                <w:rPr>
                  <w:i/>
                  <w:iCs/>
                </w:rPr>
                <w:t xml:space="preserve">The handbook of international corporate governance: a definitive guide. </w:t>
              </w:r>
              <w:r w:rsidRPr="00A77AF6">
                <w:t>2nd ed. London and Philidelphia: Kogan Page.</w:t>
              </w:r>
            </w:p>
            <w:p w14:paraId="30BD4771" w14:textId="77777777" w:rsidR="008E653F" w:rsidRPr="00A77AF6" w:rsidRDefault="008E653F" w:rsidP="008E653F">
              <w:pPr>
                <w:pStyle w:val="Bibliography"/>
              </w:pPr>
              <w:r w:rsidRPr="00A77AF6">
                <w:t xml:space="preserve">ISO, 2012. </w:t>
              </w:r>
              <w:r w:rsidRPr="00A77AF6">
                <w:rPr>
                  <w:i/>
                  <w:iCs/>
                </w:rPr>
                <w:t xml:space="preserve">Guidance on Project Management. </w:t>
              </w:r>
              <w:r w:rsidRPr="00A77AF6">
                <w:t>London: BSi.</w:t>
              </w:r>
            </w:p>
            <w:p w14:paraId="686A7684" w14:textId="77777777" w:rsidR="008E653F" w:rsidRPr="00A77AF6" w:rsidRDefault="008E653F" w:rsidP="008E653F">
              <w:pPr>
                <w:pStyle w:val="Bibliography"/>
              </w:pPr>
              <w:r w:rsidRPr="00A77AF6">
                <w:t xml:space="preserve">Jensen, M. C. &amp; Meckling, W. H., 1976. Theory of the Firm: Managerial Behaviour, agency costs and ownership structure. </w:t>
              </w:r>
              <w:r w:rsidRPr="00A77AF6">
                <w:rPr>
                  <w:i/>
                  <w:iCs/>
                </w:rPr>
                <w:t xml:space="preserve">Journal of Financial Economics, </w:t>
              </w:r>
              <w:r w:rsidRPr="00A77AF6">
                <w:t>3(4), pp. 305-360.</w:t>
              </w:r>
            </w:p>
            <w:p w14:paraId="57519632" w14:textId="77777777" w:rsidR="008E653F" w:rsidRPr="00A77AF6" w:rsidRDefault="008E653F" w:rsidP="008E653F">
              <w:pPr>
                <w:pStyle w:val="Bibliography"/>
              </w:pPr>
              <w:r w:rsidRPr="00A77AF6">
                <w:t xml:space="preserve">Jha, K. N. &amp; Iyer, K. C., 2007. Commitment, coordination, competence and the iron triangle. </w:t>
              </w:r>
              <w:r w:rsidRPr="00A77AF6">
                <w:rPr>
                  <w:i/>
                  <w:iCs/>
                </w:rPr>
                <w:t xml:space="preserve">International Journal of Project Management , </w:t>
              </w:r>
              <w:r w:rsidRPr="00A77AF6">
                <w:t>25(5), pp. 527-540.</w:t>
              </w:r>
            </w:p>
            <w:p w14:paraId="6FFBD9BF" w14:textId="77777777" w:rsidR="008E653F" w:rsidRPr="00A77AF6" w:rsidRDefault="008E653F" w:rsidP="008E653F">
              <w:pPr>
                <w:pStyle w:val="Bibliography"/>
              </w:pPr>
              <w:r w:rsidRPr="00A77AF6">
                <w:t xml:space="preserve">John Lewis Partnership, n.d. </w:t>
              </w:r>
              <w:r w:rsidRPr="00A77AF6">
                <w:rPr>
                  <w:i/>
                  <w:iCs/>
                </w:rPr>
                <w:t xml:space="preserve">John Lewis Partnership. </w:t>
              </w:r>
              <w:r w:rsidRPr="00A77AF6">
                <w:t xml:space="preserve">[Online] </w:t>
              </w:r>
              <w:r w:rsidRPr="00A77AF6">
                <w:br/>
                <w:t xml:space="preserve">Available at: </w:t>
              </w:r>
              <w:r w:rsidRPr="00A77AF6">
                <w:rPr>
                  <w:u w:val="single"/>
                </w:rPr>
                <w:t>https://www.johnlewispartnership.co.uk/about.html</w:t>
              </w:r>
              <w:r w:rsidRPr="00A77AF6">
                <w:br/>
                <w:t>[Accessed 25 May 2018].</w:t>
              </w:r>
            </w:p>
            <w:p w14:paraId="2BDD6F92" w14:textId="77777777" w:rsidR="008E653F" w:rsidRPr="00A77AF6" w:rsidRDefault="008E653F" w:rsidP="008E653F">
              <w:pPr>
                <w:pStyle w:val="Bibliography"/>
              </w:pPr>
              <w:r w:rsidRPr="00A77AF6">
                <w:t xml:space="preserve">Johnson, G., Scholes, K. &amp; Whittington , R., 2008. </w:t>
              </w:r>
              <w:r w:rsidRPr="00A77AF6">
                <w:rPr>
                  <w:i/>
                  <w:iCs/>
                </w:rPr>
                <w:t xml:space="preserve">Exploring Corporate Strategy: Text and Cases. </w:t>
              </w:r>
              <w:r w:rsidRPr="00A77AF6">
                <w:t>8 ed. Harlow: Pearson Educational Ltd.</w:t>
              </w:r>
            </w:p>
            <w:p w14:paraId="690DFF31" w14:textId="77777777" w:rsidR="008E653F" w:rsidRPr="00A77AF6" w:rsidRDefault="008E653F" w:rsidP="008E653F">
              <w:pPr>
                <w:pStyle w:val="Bibliography"/>
              </w:pPr>
              <w:r w:rsidRPr="00A77AF6">
                <w:t xml:space="preserve">Joslin, R. &amp; Müller, R., 2016. The relationship between project governance and project success. </w:t>
              </w:r>
              <w:r w:rsidRPr="00A77AF6">
                <w:rPr>
                  <w:i/>
                  <w:iCs/>
                </w:rPr>
                <w:t xml:space="preserve">International Journal of Project Management, </w:t>
              </w:r>
              <w:r w:rsidRPr="00A77AF6">
                <w:t>Volume 34, pp. 613-626.</w:t>
              </w:r>
            </w:p>
            <w:p w14:paraId="5903DBC2" w14:textId="77777777" w:rsidR="008E653F" w:rsidRPr="00A77AF6" w:rsidRDefault="008E653F" w:rsidP="008E653F">
              <w:pPr>
                <w:pStyle w:val="Bibliography"/>
              </w:pPr>
              <w:r w:rsidRPr="00A77AF6">
                <w:t xml:space="preserve">Judge Business School, 2014. </w:t>
              </w:r>
              <w:r w:rsidRPr="00A77AF6">
                <w:rPr>
                  <w:i/>
                  <w:iCs/>
                </w:rPr>
                <w:t xml:space="preserve">The Cadbury Archive. </w:t>
              </w:r>
              <w:r w:rsidRPr="00A77AF6">
                <w:t xml:space="preserve">[Online] </w:t>
              </w:r>
              <w:r w:rsidRPr="00A77AF6">
                <w:br/>
                <w:t xml:space="preserve">Available at: </w:t>
              </w:r>
              <w:r w:rsidRPr="00A77AF6">
                <w:rPr>
                  <w:u w:val="single"/>
                </w:rPr>
                <w:t>http://www.cadbury.jbs.cam.ac.uk/</w:t>
              </w:r>
              <w:r w:rsidRPr="00A77AF6">
                <w:br/>
                <w:t>[Accessed 18 March 2014].</w:t>
              </w:r>
            </w:p>
            <w:p w14:paraId="04127CF8" w14:textId="77777777" w:rsidR="008E653F" w:rsidRPr="00A77AF6" w:rsidRDefault="008E653F" w:rsidP="008E653F">
              <w:pPr>
                <w:pStyle w:val="Bibliography"/>
              </w:pPr>
              <w:r w:rsidRPr="00A77AF6">
                <w:t xml:space="preserve">Jugdev, K. &amp; Muller, R., 2005. A Retrospective Look At Our Evolving Understanding Of Project Success. </w:t>
              </w:r>
              <w:r w:rsidRPr="00A77AF6">
                <w:rPr>
                  <w:i/>
                  <w:iCs/>
                </w:rPr>
                <w:t xml:space="preserve">Project Management Journal, </w:t>
              </w:r>
              <w:r w:rsidRPr="00A77AF6">
                <w:t>36(4), pp. 19-31.</w:t>
              </w:r>
            </w:p>
            <w:p w14:paraId="5450E140" w14:textId="77777777" w:rsidR="008E653F" w:rsidRPr="00A77AF6" w:rsidRDefault="008E653F" w:rsidP="008E653F">
              <w:pPr>
                <w:pStyle w:val="Bibliography"/>
              </w:pPr>
              <w:r w:rsidRPr="00A77AF6">
                <w:t xml:space="preserve">Kelle, U., 2006. Combining qualitative and quantitative methods in research practice: purposes and advantages. </w:t>
              </w:r>
              <w:r w:rsidRPr="00A77AF6">
                <w:rPr>
                  <w:i/>
                  <w:iCs/>
                </w:rPr>
                <w:t xml:space="preserve">Qualitative Research i Psychology, </w:t>
              </w:r>
              <w:r w:rsidRPr="00A77AF6">
                <w:t>Volume 3, pp. 293-311.</w:t>
              </w:r>
            </w:p>
            <w:p w14:paraId="3DDE4611" w14:textId="77777777" w:rsidR="008E653F" w:rsidRPr="00A77AF6" w:rsidRDefault="008E653F" w:rsidP="008E653F">
              <w:pPr>
                <w:pStyle w:val="Bibliography"/>
              </w:pPr>
              <w:r w:rsidRPr="00A77AF6">
                <w:t xml:space="preserve">Kelly, E. I., 2005. Ethical disagreements in theory and practice. </w:t>
              </w:r>
              <w:r w:rsidRPr="00A77AF6">
                <w:rPr>
                  <w:i/>
                  <w:iCs/>
                </w:rPr>
                <w:t xml:space="preserve">Journal of Social Philosophy, </w:t>
              </w:r>
              <w:r w:rsidRPr="00A77AF6">
                <w:t>Volume 36, pp. 382-387.</w:t>
              </w:r>
            </w:p>
            <w:p w14:paraId="1332D0A5" w14:textId="77777777" w:rsidR="008E653F" w:rsidRPr="00A77AF6" w:rsidRDefault="008E653F" w:rsidP="008E653F">
              <w:pPr>
                <w:pStyle w:val="Bibliography"/>
              </w:pPr>
              <w:r w:rsidRPr="00A77AF6">
                <w:t xml:space="preserve">Kelly, E. V., 2010. </w:t>
              </w:r>
              <w:r w:rsidRPr="00A77AF6">
                <w:rPr>
                  <w:i/>
                  <w:iCs/>
                </w:rPr>
                <w:t xml:space="preserve">Governance rules! The Principles of effective project governance.. </w:t>
              </w:r>
              <w:r w:rsidRPr="00A77AF6">
                <w:t>Washington DC, Project Management Institute.</w:t>
              </w:r>
            </w:p>
            <w:p w14:paraId="1F7B14F2" w14:textId="77777777" w:rsidR="008E653F" w:rsidRPr="00A77AF6" w:rsidRDefault="008E653F" w:rsidP="008E653F">
              <w:pPr>
                <w:pStyle w:val="Bibliography"/>
              </w:pPr>
              <w:r w:rsidRPr="00A77AF6">
                <w:t xml:space="preserve">Kerzner, H., 1987. In search of excellence in project management. </w:t>
              </w:r>
              <w:r w:rsidRPr="00A77AF6">
                <w:rPr>
                  <w:i/>
                  <w:iCs/>
                </w:rPr>
                <w:t xml:space="preserve">Journal of Systems Management, </w:t>
              </w:r>
              <w:r w:rsidRPr="00A77AF6">
                <w:t>pp. 30-39.</w:t>
              </w:r>
            </w:p>
            <w:p w14:paraId="4FDF5AEF" w14:textId="77777777" w:rsidR="008E653F" w:rsidRPr="00A77AF6" w:rsidRDefault="008E653F" w:rsidP="008E653F">
              <w:pPr>
                <w:pStyle w:val="Bibliography"/>
              </w:pPr>
              <w:r w:rsidRPr="00A77AF6">
                <w:lastRenderedPageBreak/>
                <w:t xml:space="preserve">Khan, K., Turner, R. &amp; Maqsood, T., 2013. </w:t>
              </w:r>
              <w:r w:rsidRPr="00A77AF6">
                <w:rPr>
                  <w:i/>
                  <w:iCs/>
                </w:rPr>
                <w:t xml:space="preserve">Factors that influence the success of public sector projects in Pakistan. </w:t>
              </w:r>
              <w:r w:rsidRPr="00A77AF6">
                <w:t>Oslo, IRNOP.</w:t>
              </w:r>
            </w:p>
            <w:p w14:paraId="46B0668E" w14:textId="77777777" w:rsidR="008E653F" w:rsidRPr="00A77AF6" w:rsidRDefault="008E653F" w:rsidP="008E653F">
              <w:pPr>
                <w:pStyle w:val="Bibliography"/>
              </w:pPr>
              <w:r w:rsidRPr="00A77AF6">
                <w:t xml:space="preserve">Kings Fund, 2016. </w:t>
              </w:r>
              <w:r w:rsidRPr="00A77AF6">
                <w:rPr>
                  <w:i/>
                  <w:iCs/>
                </w:rPr>
                <w:t xml:space="preserve">Public satisfaction with NHS 2016. </w:t>
              </w:r>
              <w:r w:rsidRPr="00A77AF6">
                <w:t xml:space="preserve">[Online] </w:t>
              </w:r>
              <w:r w:rsidRPr="00A77AF6">
                <w:br/>
                <w:t xml:space="preserve">Available at: </w:t>
              </w:r>
              <w:r w:rsidRPr="00A77AF6">
                <w:rPr>
                  <w:u w:val="single"/>
                </w:rPr>
                <w:t>https://www.kingsfund.org.uk/publications/public-satisfaction-nhs-2016</w:t>
              </w:r>
              <w:r w:rsidRPr="00A77AF6">
                <w:br/>
                <w:t>[Accessed 3 October 2018].</w:t>
              </w:r>
            </w:p>
            <w:p w14:paraId="785B265B" w14:textId="77777777" w:rsidR="008E653F" w:rsidRPr="00A77AF6" w:rsidRDefault="008E653F" w:rsidP="008E653F">
              <w:pPr>
                <w:pStyle w:val="Bibliography"/>
              </w:pPr>
              <w:r w:rsidRPr="00A77AF6">
                <w:t xml:space="preserve">Klakegg, O. J., Williams, T., Magnussen, O. M. &amp; Glasspool, H., 2008. Governance Frameworks for Public Project Development and Estimation. </w:t>
              </w:r>
              <w:r w:rsidRPr="00A77AF6">
                <w:rPr>
                  <w:i/>
                  <w:iCs/>
                </w:rPr>
                <w:t xml:space="preserve">Project Management Journal, </w:t>
              </w:r>
              <w:r w:rsidRPr="00A77AF6">
                <w:t>39(2008 Supplement), pp. S27-S42.</w:t>
              </w:r>
            </w:p>
            <w:p w14:paraId="5BDB69EB" w14:textId="77777777" w:rsidR="008E653F" w:rsidRPr="00A77AF6" w:rsidRDefault="008E653F" w:rsidP="008E653F">
              <w:pPr>
                <w:pStyle w:val="Bibliography"/>
              </w:pPr>
              <w:r w:rsidRPr="00A77AF6">
                <w:t xml:space="preserve">Knight, A. &amp; Ruddock, L., 2008. </w:t>
              </w:r>
              <w:r w:rsidRPr="00A77AF6">
                <w:rPr>
                  <w:i/>
                  <w:iCs/>
                </w:rPr>
                <w:t xml:space="preserve">Advanced Research Methods in the Built Environment. </w:t>
              </w:r>
              <w:r w:rsidRPr="00A77AF6">
                <w:t>Chichester: Blackwell Publishing Ltd.</w:t>
              </w:r>
            </w:p>
            <w:p w14:paraId="0B7B35C4" w14:textId="77777777" w:rsidR="008E653F" w:rsidRPr="00A77AF6" w:rsidRDefault="008E653F" w:rsidP="008E653F">
              <w:pPr>
                <w:pStyle w:val="Bibliography"/>
              </w:pPr>
              <w:r w:rsidRPr="00A77AF6">
                <w:t xml:space="preserve">Knight, A. &amp; Turnbull, N., 2008. Epistemology. In: A. Knight &amp; L. Ruddock, eds. </w:t>
              </w:r>
              <w:r w:rsidRPr="00A77AF6">
                <w:rPr>
                  <w:i/>
                  <w:iCs/>
                </w:rPr>
                <w:t xml:space="preserve">Advanced Research Methods in the Built Environment. </w:t>
              </w:r>
              <w:r w:rsidRPr="00A77AF6">
                <w:t>Chichester: Blackwell Publishing Ltd, pp. 64-74.</w:t>
              </w:r>
            </w:p>
            <w:p w14:paraId="10CA4811" w14:textId="77777777" w:rsidR="008E653F" w:rsidRPr="00A77AF6" w:rsidRDefault="008E653F" w:rsidP="008E653F">
              <w:pPr>
                <w:pStyle w:val="Bibliography"/>
              </w:pPr>
              <w:r w:rsidRPr="00A77AF6">
                <w:t xml:space="preserve">Larcker, D. &amp; Tayan, B., 2011. </w:t>
              </w:r>
              <w:r w:rsidRPr="00A77AF6">
                <w:rPr>
                  <w:i/>
                  <w:iCs/>
                </w:rPr>
                <w:t xml:space="preserve">Corporate Governance Matters. A Closer Look at Organizational Choices and their Consequences. </w:t>
              </w:r>
              <w:r w:rsidRPr="00A77AF6">
                <w:t>New Jersey: Education Inc.</w:t>
              </w:r>
            </w:p>
            <w:p w14:paraId="3B3B7FEE" w14:textId="77777777" w:rsidR="008E653F" w:rsidRPr="00A77AF6" w:rsidRDefault="008E653F" w:rsidP="008E653F">
              <w:pPr>
                <w:pStyle w:val="Bibliography"/>
              </w:pPr>
              <w:r w:rsidRPr="00A77AF6">
                <w:t xml:space="preserve">Law, S., 2007. </w:t>
              </w:r>
              <w:r w:rsidRPr="00A77AF6">
                <w:rPr>
                  <w:i/>
                  <w:iCs/>
                </w:rPr>
                <w:t xml:space="preserve">The Great Philosophers: The Lives and ideas of History's Greatest thinkers. </w:t>
              </w:r>
              <w:r w:rsidRPr="00A77AF6">
                <w:t>London: Quercus Publishing Plc.</w:t>
              </w:r>
            </w:p>
            <w:p w14:paraId="74A7996F" w14:textId="77777777" w:rsidR="008E653F" w:rsidRPr="00A77AF6" w:rsidRDefault="008E653F" w:rsidP="008E653F">
              <w:pPr>
                <w:pStyle w:val="Bibliography"/>
              </w:pPr>
              <w:r w:rsidRPr="00A77AF6">
                <w:t xml:space="preserve">Lim, C. S. &amp; Mohamed, M. Z., 1999. Criteria of proejct success: an exploratory re-examination. </w:t>
              </w:r>
              <w:r w:rsidRPr="00A77AF6">
                <w:rPr>
                  <w:i/>
                  <w:iCs/>
                </w:rPr>
                <w:t xml:space="preserve">International Journal of Project Management , </w:t>
              </w:r>
              <w:r w:rsidRPr="00A77AF6">
                <w:t>17(4), pp. 243-248.</w:t>
              </w:r>
            </w:p>
            <w:p w14:paraId="5CB63E92" w14:textId="77777777" w:rsidR="008E653F" w:rsidRPr="00A77AF6" w:rsidRDefault="008E653F" w:rsidP="008E653F">
              <w:pPr>
                <w:pStyle w:val="Bibliography"/>
              </w:pPr>
              <w:r w:rsidRPr="00A77AF6">
                <w:t xml:space="preserve">Littau, P., Jujagiri, N. J. &amp; Adlbreacht, G., 2010. 25 Years of Stakeholder THeory in Project Management Literature. </w:t>
              </w:r>
              <w:r w:rsidRPr="00A77AF6">
                <w:rPr>
                  <w:i/>
                  <w:iCs/>
                </w:rPr>
                <w:t xml:space="preserve">Project Management Journal, </w:t>
              </w:r>
              <w:r w:rsidRPr="00A77AF6">
                <w:t>pp. 17-29.</w:t>
              </w:r>
            </w:p>
            <w:p w14:paraId="568B3BA2" w14:textId="77777777" w:rsidR="008E653F" w:rsidRPr="00A77AF6" w:rsidRDefault="008E653F" w:rsidP="008E653F">
              <w:pPr>
                <w:pStyle w:val="Bibliography"/>
              </w:pPr>
              <w:r w:rsidRPr="00A77AF6">
                <w:t xml:space="preserve">Locke, D., 1984. </w:t>
              </w:r>
              <w:r w:rsidRPr="00A77AF6">
                <w:rPr>
                  <w:i/>
                  <w:iCs/>
                </w:rPr>
                <w:t xml:space="preserve">Project Management. </w:t>
              </w:r>
              <w:r w:rsidRPr="00A77AF6">
                <w:t>New York: St Martins Press.</w:t>
              </w:r>
            </w:p>
            <w:p w14:paraId="367B9277" w14:textId="77777777" w:rsidR="008E653F" w:rsidRPr="00A77AF6" w:rsidRDefault="008E653F" w:rsidP="008E653F">
              <w:pPr>
                <w:pStyle w:val="Bibliography"/>
              </w:pPr>
              <w:r w:rsidRPr="00A77AF6">
                <w:t xml:space="preserve">Mackie, J. L., 1977. </w:t>
              </w:r>
              <w:r w:rsidRPr="00A77AF6">
                <w:rPr>
                  <w:i/>
                  <w:iCs/>
                </w:rPr>
                <w:t xml:space="preserve">Ethics: Inviting Right and Wrong. </w:t>
              </w:r>
              <w:r w:rsidRPr="00A77AF6">
                <w:t>1 ed. London: Pelican Books.</w:t>
              </w:r>
            </w:p>
            <w:p w14:paraId="3DAEA630" w14:textId="77777777" w:rsidR="008E653F" w:rsidRPr="00A77AF6" w:rsidRDefault="008E653F" w:rsidP="008E653F">
              <w:pPr>
                <w:pStyle w:val="Bibliography"/>
              </w:pPr>
              <w:r w:rsidRPr="00A77AF6">
                <w:t xml:space="preserve">Maguire, S., 1997. Business Ethics: A Compromise Between Politics and Virtue. </w:t>
              </w:r>
              <w:r w:rsidRPr="00A77AF6">
                <w:rPr>
                  <w:i/>
                  <w:iCs/>
                </w:rPr>
                <w:t xml:space="preserve">Journal of Business Ethics, </w:t>
              </w:r>
              <w:r w:rsidRPr="00A77AF6">
                <w:t>Volume 16, pp. 1411-1418.</w:t>
              </w:r>
            </w:p>
            <w:p w14:paraId="702A59CC" w14:textId="77777777" w:rsidR="008E653F" w:rsidRPr="00A77AF6" w:rsidRDefault="008E653F" w:rsidP="008E653F">
              <w:pPr>
                <w:pStyle w:val="Bibliography"/>
              </w:pPr>
              <w:r w:rsidRPr="00A77AF6">
                <w:t xml:space="preserve">Mahring, M., 2002. </w:t>
              </w:r>
              <w:r w:rsidRPr="00A77AF6">
                <w:rPr>
                  <w:i/>
                  <w:iCs/>
                </w:rPr>
                <w:t xml:space="preserve">IT Project Governance. </w:t>
              </w:r>
              <w:r w:rsidRPr="00A77AF6">
                <w:t>Stockholm: Stockholm School of Economics.</w:t>
              </w:r>
            </w:p>
            <w:p w14:paraId="23C3E990" w14:textId="77777777" w:rsidR="008E653F" w:rsidRPr="00A77AF6" w:rsidRDefault="008E653F" w:rsidP="008E653F">
              <w:pPr>
                <w:pStyle w:val="Bibliography"/>
              </w:pPr>
              <w:r w:rsidRPr="00A77AF6">
                <w:t xml:space="preserve">Mason, M., 2010. </w:t>
              </w:r>
              <w:r w:rsidRPr="00A77AF6">
                <w:rPr>
                  <w:i/>
                  <w:iCs/>
                </w:rPr>
                <w:t xml:space="preserve">Sample Size and Saturation in PhD Studies Using Qualitative Interviews. </w:t>
              </w:r>
              <w:r w:rsidRPr="00A77AF6">
                <w:t xml:space="preserve">[Online] </w:t>
              </w:r>
              <w:r w:rsidRPr="00A77AF6">
                <w:br/>
                <w:t xml:space="preserve">Available at: </w:t>
              </w:r>
              <w:r w:rsidRPr="00A77AF6">
                <w:rPr>
                  <w:u w:val="single"/>
                </w:rPr>
                <w:t>http://www.qualitative-research.net/index.php/fqs/article/view/1428/3027#g11</w:t>
              </w:r>
              <w:r w:rsidRPr="00A77AF6">
                <w:br/>
                <w:t>[Accessed 20 June 2019].</w:t>
              </w:r>
            </w:p>
            <w:p w14:paraId="2DE3F5EE" w14:textId="77777777" w:rsidR="008E653F" w:rsidRPr="00A77AF6" w:rsidRDefault="008E653F" w:rsidP="008E653F">
              <w:pPr>
                <w:pStyle w:val="Bibliography"/>
              </w:pPr>
              <w:r w:rsidRPr="00A77AF6">
                <w:t xml:space="preserve">Mays, N., Dixon, A. &amp; Jones, L., 2011. </w:t>
              </w:r>
              <w:r w:rsidRPr="00A77AF6">
                <w:rPr>
                  <w:i/>
                  <w:iCs/>
                </w:rPr>
                <w:t xml:space="preserve">Return to the market: objectives and evolution of NEw Labour's market reforms. </w:t>
              </w:r>
              <w:r w:rsidRPr="00A77AF6">
                <w:t xml:space="preserve">[Online] </w:t>
              </w:r>
              <w:r w:rsidRPr="00A77AF6">
                <w:br/>
                <w:t xml:space="preserve">Available at: </w:t>
              </w:r>
              <w:r w:rsidRPr="00A77AF6">
                <w:rPr>
                  <w:u w:val="single"/>
                </w:rPr>
                <w:t>https://www.kingsfund.org.uk/sites/default/files/chapter-1-Return-to-the-market-objectives-evolution-new-labours-market-reforms-sept11.pdf</w:t>
              </w:r>
              <w:r w:rsidRPr="00A77AF6">
                <w:br/>
                <w:t>[Accessed 15th March 2020].</w:t>
              </w:r>
            </w:p>
            <w:p w14:paraId="1D5E8348" w14:textId="77777777" w:rsidR="008E653F" w:rsidRPr="00A77AF6" w:rsidRDefault="008E653F" w:rsidP="008E653F">
              <w:pPr>
                <w:pStyle w:val="Bibliography"/>
              </w:pPr>
              <w:r w:rsidRPr="00A77AF6">
                <w:t xml:space="preserve">Michalos, A. C., 2001. Ethics Counselors as a New Priesthood. </w:t>
              </w:r>
              <w:r w:rsidRPr="00A77AF6">
                <w:rPr>
                  <w:i/>
                  <w:iCs/>
                </w:rPr>
                <w:t xml:space="preserve">Journal of Business Ethics, </w:t>
              </w:r>
              <w:r w:rsidRPr="00A77AF6">
                <w:t>Volume 29, pp. 3-17.</w:t>
              </w:r>
            </w:p>
            <w:p w14:paraId="4DDF1023" w14:textId="77777777" w:rsidR="008E653F" w:rsidRPr="00A77AF6" w:rsidRDefault="008E653F" w:rsidP="008E653F">
              <w:pPr>
                <w:pStyle w:val="Bibliography"/>
              </w:pPr>
              <w:r w:rsidRPr="00A77AF6">
                <w:t xml:space="preserve">Miles, J. A., 2012. </w:t>
              </w:r>
              <w:r w:rsidRPr="00A77AF6">
                <w:rPr>
                  <w:i/>
                  <w:iCs/>
                </w:rPr>
                <w:t xml:space="preserve">Management and Organization Theory. </w:t>
              </w:r>
              <w:r w:rsidRPr="00A77AF6">
                <w:t>1st ed. San Francisco: Jossey-Bass.</w:t>
              </w:r>
            </w:p>
            <w:p w14:paraId="017AE449" w14:textId="77777777" w:rsidR="008E653F" w:rsidRPr="00A77AF6" w:rsidRDefault="008E653F" w:rsidP="008E653F">
              <w:pPr>
                <w:pStyle w:val="Bibliography"/>
              </w:pPr>
              <w:r w:rsidRPr="00A77AF6">
                <w:t xml:space="preserve">Mill, J. S., 1859/1910. </w:t>
              </w:r>
              <w:r w:rsidRPr="00A77AF6">
                <w:rPr>
                  <w:i/>
                  <w:iCs/>
                </w:rPr>
                <w:t xml:space="preserve">Utilitarianism, Liberty and Representative Government. </w:t>
              </w:r>
              <w:r w:rsidRPr="00A77AF6">
                <w:t>London: J.M. Dent &amp; Sons Ltd.</w:t>
              </w:r>
            </w:p>
            <w:p w14:paraId="629488A1" w14:textId="77777777" w:rsidR="008E653F" w:rsidRPr="00A77AF6" w:rsidRDefault="008E653F" w:rsidP="008E653F">
              <w:pPr>
                <w:pStyle w:val="Bibliography"/>
              </w:pPr>
              <w:r w:rsidRPr="00A77AF6">
                <w:lastRenderedPageBreak/>
                <w:t xml:space="preserve">Mingers, J., 1997. Multi-paradigm Multimethodology. In: J. Mingers &amp; A. Gill, eds. </w:t>
              </w:r>
              <w:r w:rsidRPr="00A77AF6">
                <w:rPr>
                  <w:i/>
                  <w:iCs/>
                </w:rPr>
                <w:t xml:space="preserve">Multimethodology. </w:t>
              </w:r>
              <w:r w:rsidRPr="00A77AF6">
                <w:t>Chichester: John Wiley &amp; Sons, pp. 1-20.</w:t>
              </w:r>
            </w:p>
            <w:p w14:paraId="774A6699" w14:textId="77777777" w:rsidR="008E653F" w:rsidRPr="00A77AF6" w:rsidRDefault="008E653F" w:rsidP="008E653F">
              <w:pPr>
                <w:pStyle w:val="Bibliography"/>
              </w:pPr>
              <w:r w:rsidRPr="00A77AF6">
                <w:t xml:space="preserve">Mitchell, R. K., Bradley, R. A. &amp; Wood, D. J., 1997. Toward a theory of stakeholder identification and salience: defining the principle of who and what really counts. </w:t>
              </w:r>
              <w:r w:rsidRPr="00A77AF6">
                <w:rPr>
                  <w:i/>
                  <w:iCs/>
                </w:rPr>
                <w:t xml:space="preserve">Academy of Management review, </w:t>
              </w:r>
              <w:r w:rsidRPr="00A77AF6">
                <w:t>22(4), pp. 853-885.</w:t>
              </w:r>
            </w:p>
            <w:p w14:paraId="7C4EE647" w14:textId="77777777" w:rsidR="008E653F" w:rsidRPr="00A77AF6" w:rsidRDefault="008E653F" w:rsidP="008E653F">
              <w:pPr>
                <w:pStyle w:val="Bibliography"/>
              </w:pPr>
              <w:r w:rsidRPr="00A77AF6">
                <w:t xml:space="preserve">Morris , P. W. &amp; Hugh, G. H., 1986. </w:t>
              </w:r>
              <w:r w:rsidRPr="00A77AF6">
                <w:rPr>
                  <w:i/>
                  <w:iCs/>
                </w:rPr>
                <w:t xml:space="preserve">Preconditions of Success and Failure in Major Projects. </w:t>
              </w:r>
              <w:r w:rsidRPr="00A77AF6">
                <w:t>Oxford: s.n.</w:t>
              </w:r>
            </w:p>
            <w:p w14:paraId="79E524CE" w14:textId="77777777" w:rsidR="008E653F" w:rsidRPr="00A77AF6" w:rsidRDefault="008E653F" w:rsidP="008E653F">
              <w:pPr>
                <w:pStyle w:val="Bibliography"/>
              </w:pPr>
              <w:r w:rsidRPr="00A77AF6">
                <w:t xml:space="preserve">Mott Mac Donald, 2002. </w:t>
              </w:r>
              <w:r w:rsidRPr="00A77AF6">
                <w:rPr>
                  <w:i/>
                  <w:iCs/>
                </w:rPr>
                <w:t xml:space="preserve">Review of Large Public Procurement in the UK. </w:t>
              </w:r>
              <w:r w:rsidRPr="00A77AF6">
                <w:t xml:space="preserve">[Online] </w:t>
              </w:r>
              <w:r w:rsidRPr="00A77AF6">
                <w:br/>
                <w:t xml:space="preserve">Available at: </w:t>
              </w:r>
              <w:r w:rsidRPr="00A77AF6">
                <w:rPr>
                  <w:u w:val="single"/>
                </w:rPr>
                <w:t>https://www.parliament.vic.gov.au/images/stories/committees/paec/2010-11_Budget_Estimates/Extra_bits/Mott_McDonald_Flyvberg_Blake_Dawson_Waldron_studies.pdf</w:t>
              </w:r>
              <w:r w:rsidRPr="00A77AF6">
                <w:br/>
                <w:t>[Accessed 20 December 2018].</w:t>
              </w:r>
            </w:p>
            <w:p w14:paraId="66C1EC25" w14:textId="77777777" w:rsidR="008E653F" w:rsidRPr="00A77AF6" w:rsidRDefault="008E653F" w:rsidP="008E653F">
              <w:pPr>
                <w:pStyle w:val="Bibliography"/>
              </w:pPr>
              <w:r w:rsidRPr="00A77AF6">
                <w:t xml:space="preserve">Müller, R., 2009. </w:t>
              </w:r>
              <w:r w:rsidRPr="00A77AF6">
                <w:rPr>
                  <w:i/>
                  <w:iCs/>
                </w:rPr>
                <w:t xml:space="preserve">Project Governance. </w:t>
              </w:r>
              <w:r w:rsidRPr="00A77AF6">
                <w:t>Farnham: Gower Publishing Limited.</w:t>
              </w:r>
            </w:p>
            <w:p w14:paraId="388D2447" w14:textId="77777777" w:rsidR="008E653F" w:rsidRPr="00A77AF6" w:rsidRDefault="008E653F" w:rsidP="008E653F">
              <w:pPr>
                <w:pStyle w:val="Bibliography"/>
              </w:pPr>
              <w:r w:rsidRPr="00A77AF6">
                <w:t xml:space="preserve">Müller, R. &amp; Jugdev, K., 2012. Critical Success factors in projects: Pinto, Slevin and Prescott - the elucidation of project success. </w:t>
              </w:r>
              <w:r w:rsidRPr="00A77AF6">
                <w:rPr>
                  <w:i/>
                  <w:iCs/>
                </w:rPr>
                <w:t xml:space="preserve">International Journal of Managing Projects In Business, </w:t>
              </w:r>
              <w:r w:rsidRPr="00A77AF6">
                <w:t>5(4), p. 757.</w:t>
              </w:r>
            </w:p>
            <w:p w14:paraId="19B593A8" w14:textId="77777777" w:rsidR="008E653F" w:rsidRPr="00A77AF6" w:rsidRDefault="008E653F" w:rsidP="008E653F">
              <w:pPr>
                <w:pStyle w:val="Bibliography"/>
              </w:pPr>
              <w:r w:rsidRPr="00A77AF6">
                <w:t xml:space="preserve">Müller, R. &amp; Turner, R., 2007. The Influence of Project Managers on Project Succes Criteria and Project Success by Type of Project. </w:t>
              </w:r>
              <w:r w:rsidRPr="00A77AF6">
                <w:rPr>
                  <w:i/>
                  <w:iCs/>
                </w:rPr>
                <w:t xml:space="preserve">European Management Journal, </w:t>
              </w:r>
              <w:r w:rsidRPr="00A77AF6">
                <w:t>25(4), pp. 298-309.</w:t>
              </w:r>
            </w:p>
            <w:p w14:paraId="65EE6208" w14:textId="77777777" w:rsidR="008E653F" w:rsidRPr="00A77AF6" w:rsidRDefault="008E653F" w:rsidP="008E653F">
              <w:pPr>
                <w:pStyle w:val="Bibliography"/>
              </w:pPr>
              <w:r w:rsidRPr="00A77AF6">
                <w:t xml:space="preserve">Munns, A. K. &amp; Bjeirmi, B. F., 1996. The role of project management in achieving project success. </w:t>
              </w:r>
              <w:r w:rsidRPr="00A77AF6">
                <w:rPr>
                  <w:i/>
                  <w:iCs/>
                </w:rPr>
                <w:t xml:space="preserve">International Journal of Project Management , </w:t>
              </w:r>
              <w:r w:rsidRPr="00A77AF6">
                <w:t>14(2), pp. 81-87.</w:t>
              </w:r>
            </w:p>
            <w:p w14:paraId="0533AA1F" w14:textId="77777777" w:rsidR="008E653F" w:rsidRPr="00A77AF6" w:rsidRDefault="008E653F" w:rsidP="008E653F">
              <w:pPr>
                <w:pStyle w:val="Bibliography"/>
              </w:pPr>
              <w:r w:rsidRPr="00A77AF6">
                <w:t xml:space="preserve">Murray, A., 2010. </w:t>
              </w:r>
              <w:r w:rsidRPr="00A77AF6">
                <w:rPr>
                  <w:i/>
                  <w:iCs/>
                </w:rPr>
                <w:t xml:space="preserve">White-Paper: PRINCE2 and Governance. </w:t>
              </w:r>
              <w:r w:rsidRPr="00A77AF6">
                <w:t xml:space="preserve">[Online] </w:t>
              </w:r>
              <w:r w:rsidRPr="00A77AF6">
                <w:br/>
                <w:t xml:space="preserve">Available at: </w:t>
              </w:r>
              <w:r w:rsidRPr="00A77AF6">
                <w:rPr>
                  <w:u w:val="single"/>
                </w:rPr>
                <w:t>https://www.apm.org.uk/sites/default/files/protected/whitepaper%20a%20murray.pdf</w:t>
              </w:r>
            </w:p>
            <w:p w14:paraId="2A12193E" w14:textId="77777777" w:rsidR="008E653F" w:rsidRPr="00A77AF6" w:rsidRDefault="008E653F" w:rsidP="008E653F">
              <w:pPr>
                <w:pStyle w:val="Bibliography"/>
              </w:pPr>
              <w:r w:rsidRPr="00A77AF6">
                <w:t xml:space="preserve">NAO, 1998. </w:t>
              </w:r>
              <w:r w:rsidRPr="00A77AF6">
                <w:rPr>
                  <w:i/>
                  <w:iCs/>
                </w:rPr>
                <w:t xml:space="preserve">Cost overruns, Funding Problems and Delays on Guy's Hospital Phase III Development. </w:t>
              </w:r>
              <w:r w:rsidRPr="00A77AF6">
                <w:t xml:space="preserve">[Online] </w:t>
              </w:r>
              <w:r w:rsidRPr="00A77AF6">
                <w:br/>
                <w:t xml:space="preserve">Available at: </w:t>
              </w:r>
              <w:r w:rsidRPr="00A77AF6">
                <w:rPr>
                  <w:u w:val="single"/>
                </w:rPr>
                <w:t>https://www.nao.org.uk/pubsarchive/wp-content/uploads/sites/14/2018/11/Department-of-Health-Cost-Over-runs-Funding-Problems-and-Delays-on-Guys-Hospital-Phase-III-Development.pdf</w:t>
              </w:r>
              <w:r w:rsidRPr="00A77AF6">
                <w:br/>
                <w:t>[Accessed 31 March 2019].</w:t>
              </w:r>
            </w:p>
            <w:p w14:paraId="135F18EC" w14:textId="77777777" w:rsidR="008E653F" w:rsidRPr="00A77AF6" w:rsidRDefault="008E653F" w:rsidP="008E653F">
              <w:pPr>
                <w:pStyle w:val="Bibliography"/>
              </w:pPr>
              <w:r w:rsidRPr="00A77AF6">
                <w:t xml:space="preserve">NAO, 2003. </w:t>
              </w:r>
              <w:r w:rsidRPr="00A77AF6">
                <w:rPr>
                  <w:i/>
                  <w:iCs/>
                </w:rPr>
                <w:t xml:space="preserve">PFI: Construction Performance. </w:t>
              </w:r>
              <w:r w:rsidRPr="00A77AF6">
                <w:t xml:space="preserve">[Online] </w:t>
              </w:r>
              <w:r w:rsidRPr="00A77AF6">
                <w:br/>
                <w:t xml:space="preserve">Available at: </w:t>
              </w:r>
              <w:r w:rsidRPr="00A77AF6">
                <w:rPr>
                  <w:u w:val="single"/>
                </w:rPr>
                <w:t>https://www.nao.org.uk/report/pfi-construction-performance/#</w:t>
              </w:r>
              <w:r w:rsidRPr="00A77AF6">
                <w:br/>
                <w:t>[Accessed 7 April 2019].</w:t>
              </w:r>
            </w:p>
            <w:p w14:paraId="424BCE75" w14:textId="77777777" w:rsidR="008E653F" w:rsidRPr="00A77AF6" w:rsidRDefault="008E653F" w:rsidP="008E653F">
              <w:pPr>
                <w:pStyle w:val="Bibliography"/>
              </w:pPr>
              <w:r w:rsidRPr="00A77AF6">
                <w:t xml:space="preserve">NAO, 2003. </w:t>
              </w:r>
              <w:r w:rsidRPr="00A77AF6">
                <w:rPr>
                  <w:i/>
                  <w:iCs/>
                </w:rPr>
                <w:t xml:space="preserve">The English national stadium project at Wembley, </w:t>
              </w:r>
              <w:r w:rsidRPr="00A77AF6">
                <w:t>London: TSO.</w:t>
              </w:r>
            </w:p>
            <w:p w14:paraId="713C253C" w14:textId="77777777" w:rsidR="008E653F" w:rsidRPr="00A77AF6" w:rsidRDefault="008E653F" w:rsidP="008E653F">
              <w:pPr>
                <w:pStyle w:val="Bibliography"/>
              </w:pPr>
              <w:r w:rsidRPr="00A77AF6">
                <w:t xml:space="preserve">NAO, 2009. </w:t>
              </w:r>
              <w:r w:rsidRPr="00A77AF6">
                <w:rPr>
                  <w:i/>
                  <w:iCs/>
                </w:rPr>
                <w:t xml:space="preserve">Private Finance Projects: A paper for the Lords Economic Affairs Committee, </w:t>
              </w:r>
              <w:r w:rsidRPr="00A77AF6">
                <w:t>London: NAO.</w:t>
              </w:r>
            </w:p>
            <w:p w14:paraId="2B6D5A9F" w14:textId="77777777" w:rsidR="008E653F" w:rsidRPr="00A77AF6" w:rsidRDefault="008E653F" w:rsidP="008E653F">
              <w:pPr>
                <w:pStyle w:val="Bibliography"/>
              </w:pPr>
              <w:r w:rsidRPr="00A77AF6">
                <w:t xml:space="preserve">NAO, 2018. </w:t>
              </w:r>
              <w:r w:rsidRPr="00A77AF6">
                <w:rPr>
                  <w:i/>
                  <w:iCs/>
                </w:rPr>
                <w:t xml:space="preserve">PFI and PF2, </w:t>
              </w:r>
              <w:r w:rsidRPr="00A77AF6">
                <w:t>London: NAO.</w:t>
              </w:r>
            </w:p>
            <w:p w14:paraId="1D3A47ED" w14:textId="77777777" w:rsidR="008E653F" w:rsidRPr="00A77AF6" w:rsidRDefault="008E653F" w:rsidP="008E653F">
              <w:pPr>
                <w:pStyle w:val="Bibliography"/>
              </w:pPr>
              <w:r w:rsidRPr="00A77AF6">
                <w:t xml:space="preserve">Naoum, S. G., 1998. </w:t>
              </w:r>
              <w:r w:rsidRPr="00A77AF6">
                <w:rPr>
                  <w:i/>
                  <w:iCs/>
                </w:rPr>
                <w:t xml:space="preserve">Dissertation research and writng for construction students. </w:t>
              </w:r>
              <w:r w:rsidRPr="00A77AF6">
                <w:t>KIng's Lynn: Elsevier.</w:t>
              </w:r>
            </w:p>
            <w:p w14:paraId="5FE6117C" w14:textId="77777777" w:rsidR="008E653F" w:rsidRPr="00A77AF6" w:rsidRDefault="008E653F" w:rsidP="008E653F">
              <w:pPr>
                <w:pStyle w:val="Bibliography"/>
              </w:pPr>
              <w:r w:rsidRPr="00A77AF6">
                <w:t xml:space="preserve">Narvaez , D., Getz, I., Rest, J. R. &amp; Thoma, S. J., 1999. Individual moral judgement and cultural idealogies. </w:t>
              </w:r>
              <w:r w:rsidRPr="00A77AF6">
                <w:rPr>
                  <w:i/>
                  <w:iCs/>
                </w:rPr>
                <w:t xml:space="preserve">Developmental Psychology, </w:t>
              </w:r>
              <w:r w:rsidRPr="00A77AF6">
                <w:t>Volume 35, pp. 478-488.</w:t>
              </w:r>
            </w:p>
            <w:p w14:paraId="18399957" w14:textId="77777777" w:rsidR="008E653F" w:rsidRPr="00A77AF6" w:rsidRDefault="008E653F" w:rsidP="008E653F">
              <w:pPr>
                <w:pStyle w:val="Bibliography"/>
              </w:pPr>
              <w:r w:rsidRPr="00A77AF6">
                <w:lastRenderedPageBreak/>
                <w:t xml:space="preserve">New Statesman, 2012. </w:t>
              </w:r>
              <w:r w:rsidRPr="00A77AF6">
                <w:rPr>
                  <w:i/>
                  <w:iCs/>
                </w:rPr>
                <w:t xml:space="preserve">London Olympics exceed initial budget by £6.52bn. </w:t>
              </w:r>
              <w:r w:rsidRPr="00A77AF6">
                <w:t xml:space="preserve">[Online] </w:t>
              </w:r>
              <w:r w:rsidRPr="00A77AF6">
                <w:br/>
                <w:t xml:space="preserve">Available at: </w:t>
              </w:r>
              <w:r w:rsidRPr="00A77AF6">
                <w:rPr>
                  <w:u w:val="single"/>
                </w:rPr>
                <w:t>http://www.newstatesman.com/economics-blog/2012/10/london-olympics-exceed-initial-budget-652bn</w:t>
              </w:r>
              <w:r w:rsidRPr="00A77AF6">
                <w:br/>
                <w:t>[Accessed 12 June 2017].</w:t>
              </w:r>
            </w:p>
            <w:p w14:paraId="74BC6988" w14:textId="77777777" w:rsidR="008E653F" w:rsidRPr="00A77AF6" w:rsidRDefault="008E653F" w:rsidP="008E653F">
              <w:pPr>
                <w:pStyle w:val="Bibliography"/>
              </w:pPr>
              <w:r w:rsidRPr="00A77AF6">
                <w:t xml:space="preserve">Newton, R., 2009. </w:t>
              </w:r>
              <w:r w:rsidRPr="00A77AF6">
                <w:rPr>
                  <w:i/>
                  <w:iCs/>
                </w:rPr>
                <w:t xml:space="preserve">The Project Manager: Mastering the Art of Delivery. </w:t>
              </w:r>
              <w:r w:rsidRPr="00A77AF6">
                <w:t>2nd ed. Harlow: Pearson Education Limited.</w:t>
              </w:r>
            </w:p>
            <w:p w14:paraId="7B2978D2" w14:textId="57463CF9" w:rsidR="008E653F" w:rsidRPr="00A77AF6" w:rsidRDefault="008E653F" w:rsidP="008E653F">
              <w:pPr>
                <w:pStyle w:val="Bibliography"/>
              </w:pPr>
              <w:r w:rsidRPr="00A77AF6">
                <w:t xml:space="preserve">NHS Confederation, 2017. </w:t>
              </w:r>
              <w:r w:rsidRPr="00A77AF6">
                <w:rPr>
                  <w:i/>
                  <w:iCs/>
                </w:rPr>
                <w:t xml:space="preserve">NHS statistics, facts and figures. </w:t>
              </w:r>
              <w:r w:rsidRPr="00A77AF6">
                <w:t xml:space="preserve">[Online] </w:t>
              </w:r>
              <w:r w:rsidRPr="00A77AF6">
                <w:br/>
                <w:t xml:space="preserve">Available at: </w:t>
              </w:r>
              <w:r w:rsidRPr="00A77AF6">
                <w:rPr>
                  <w:u w:val="single"/>
                </w:rPr>
                <w:t>http://www.nhsconfed.org/resources/key-statistics-on-the-nhs</w:t>
              </w:r>
              <w:r w:rsidRPr="00A77AF6">
                <w:br/>
                <w:t>[Accessed 19 June 2018].</w:t>
              </w:r>
            </w:p>
            <w:p w14:paraId="010CF838" w14:textId="77777777" w:rsidR="008E653F" w:rsidRPr="00A77AF6" w:rsidRDefault="008E653F" w:rsidP="008E653F">
              <w:pPr>
                <w:pStyle w:val="Bibliography"/>
              </w:pPr>
              <w:r w:rsidRPr="00A77AF6">
                <w:t xml:space="preserve">NHS Confederation, 2008. </w:t>
              </w:r>
              <w:r w:rsidRPr="00A77AF6">
                <w:rPr>
                  <w:i/>
                  <w:iCs/>
                </w:rPr>
                <w:t xml:space="preserve">Ideas from Darzi: polyclinics, </w:t>
              </w:r>
              <w:r w:rsidRPr="00A77AF6">
                <w:t>London: The NHS Confederation.</w:t>
              </w:r>
            </w:p>
            <w:p w14:paraId="699B2D6B" w14:textId="77777777" w:rsidR="008E653F" w:rsidRPr="00A77AF6" w:rsidRDefault="008E653F" w:rsidP="008E653F">
              <w:pPr>
                <w:pStyle w:val="Bibliography"/>
              </w:pPr>
              <w:r w:rsidRPr="00A77AF6">
                <w:t xml:space="preserve">NHS Digital, 2016. </w:t>
              </w:r>
              <w:r w:rsidRPr="00A77AF6">
                <w:rPr>
                  <w:i/>
                  <w:iCs/>
                </w:rPr>
                <w:t xml:space="preserve">Estates and Returns Information Collection. </w:t>
              </w:r>
              <w:r w:rsidRPr="00A77AF6">
                <w:t xml:space="preserve">[Online] </w:t>
              </w:r>
              <w:r w:rsidRPr="00A77AF6">
                <w:br/>
                <w:t xml:space="preserve">Available at: </w:t>
              </w:r>
              <w:r w:rsidRPr="00A77AF6">
                <w:rPr>
                  <w:u w:val="single"/>
                </w:rPr>
                <w:t>http://webarchive.nationalarchives.gov.uk/20180328133949/http://digital.nhs.uk/catalogue/PUB21992</w:t>
              </w:r>
              <w:r w:rsidRPr="00A77AF6">
                <w:br/>
                <w:t>[Accessed 10 October 2018].</w:t>
              </w:r>
            </w:p>
            <w:p w14:paraId="012A611B" w14:textId="77777777" w:rsidR="008E653F" w:rsidRPr="00A77AF6" w:rsidRDefault="008E653F" w:rsidP="008E653F">
              <w:pPr>
                <w:pStyle w:val="Bibliography"/>
              </w:pPr>
              <w:r w:rsidRPr="00A77AF6">
                <w:t xml:space="preserve">NHS Digital, 2017. </w:t>
              </w:r>
              <w:r w:rsidRPr="00A77AF6">
                <w:rPr>
                  <w:i/>
                  <w:iCs/>
                </w:rPr>
                <w:t xml:space="preserve">Estates Return Information Collection 2016/17. </w:t>
              </w:r>
              <w:r w:rsidRPr="00A77AF6">
                <w:t xml:space="preserve">[Online] </w:t>
              </w:r>
              <w:r w:rsidRPr="00A77AF6">
                <w:br/>
                <w:t xml:space="preserve">Available at: </w:t>
              </w:r>
              <w:r w:rsidRPr="00A77AF6">
                <w:rPr>
                  <w:u w:val="single"/>
                </w:rPr>
                <w:t>https://digital.nhs.uk/data-and-information/publications/statistical/estates-returns-information-collection/estates-return-information-collection-2016-17</w:t>
              </w:r>
              <w:r w:rsidRPr="00A77AF6">
                <w:br/>
                <w:t>[Accessed 19 June 2018].</w:t>
              </w:r>
            </w:p>
            <w:p w14:paraId="51DBF1B8" w14:textId="77777777" w:rsidR="008E653F" w:rsidRPr="00A77AF6" w:rsidRDefault="008E653F" w:rsidP="008E653F">
              <w:pPr>
                <w:pStyle w:val="Bibliography"/>
              </w:pPr>
              <w:r w:rsidRPr="00A77AF6">
                <w:t xml:space="preserve">NHS Executive, 1994. </w:t>
              </w:r>
              <w:r w:rsidRPr="00A77AF6">
                <w:rPr>
                  <w:i/>
                  <w:iCs/>
                </w:rPr>
                <w:t xml:space="preserve">Capital Investment Manual. </w:t>
              </w:r>
              <w:r w:rsidRPr="00A77AF6">
                <w:t>London: HMSO.</w:t>
              </w:r>
            </w:p>
            <w:p w14:paraId="7DD5006D" w14:textId="77777777" w:rsidR="008E653F" w:rsidRPr="00A77AF6" w:rsidRDefault="008E653F" w:rsidP="008E653F">
              <w:pPr>
                <w:pStyle w:val="Bibliography"/>
              </w:pPr>
              <w:r w:rsidRPr="00A77AF6">
                <w:t xml:space="preserve">NHS Improvement, 2016. </w:t>
              </w:r>
              <w:r w:rsidRPr="00A77AF6">
                <w:rPr>
                  <w:i/>
                  <w:iCs/>
                </w:rPr>
                <w:t xml:space="preserve">Capital regime, investment and property business case approval guidance for NHS trusts and foundation trusts. </w:t>
              </w:r>
              <w:r w:rsidRPr="00A77AF6">
                <w:t xml:space="preserve">[Online] </w:t>
              </w:r>
              <w:r w:rsidRPr="00A77AF6">
                <w:br/>
                <w:t xml:space="preserve">Available at: </w:t>
              </w:r>
              <w:r w:rsidRPr="00A77AF6">
                <w:rPr>
                  <w:u w:val="single"/>
                </w:rPr>
                <w:t>https://improvement.nhs.uk/documents/525/NHSI_Capital_Regime_Investment_Property_Business_Case_Main_Comms_V9.0_final_v2.pdf</w:t>
              </w:r>
              <w:r w:rsidRPr="00A77AF6">
                <w:br/>
                <w:t>[Accessed 19 June 2018].</w:t>
              </w:r>
            </w:p>
            <w:p w14:paraId="6F7E4011" w14:textId="77777777" w:rsidR="008E653F" w:rsidRPr="00A77AF6" w:rsidRDefault="008E653F" w:rsidP="008E653F">
              <w:pPr>
                <w:pStyle w:val="Bibliography"/>
              </w:pPr>
              <w:r w:rsidRPr="00A77AF6">
                <w:t xml:space="preserve">NHS Improvement, 2017. </w:t>
              </w:r>
              <w:r w:rsidRPr="00A77AF6">
                <w:rPr>
                  <w:i/>
                  <w:iCs/>
                </w:rPr>
                <w:t xml:space="preserve">Capital regime, investment and property business case approval guidance for NHS trusts and foundation trusts, </w:t>
              </w:r>
              <w:r w:rsidRPr="00A77AF6">
                <w:t>s.l.: s.n.</w:t>
              </w:r>
            </w:p>
            <w:p w14:paraId="596CD0B9" w14:textId="77777777" w:rsidR="008E653F" w:rsidRPr="00A77AF6" w:rsidRDefault="008E653F" w:rsidP="008E653F">
              <w:pPr>
                <w:pStyle w:val="Bibliography"/>
              </w:pPr>
              <w:r w:rsidRPr="00A77AF6">
                <w:t xml:space="preserve">NHS Networks, n.d. </w:t>
              </w:r>
              <w:r w:rsidRPr="00A77AF6">
                <w:rPr>
                  <w:i/>
                  <w:iCs/>
                </w:rPr>
                <w:t xml:space="preserve">NHS Diagram. </w:t>
              </w:r>
              <w:r w:rsidRPr="00A77AF6">
                <w:t xml:space="preserve">[Online] </w:t>
              </w:r>
              <w:r w:rsidRPr="00A77AF6">
                <w:br/>
                <w:t xml:space="preserve">Available at: </w:t>
              </w:r>
              <w:r w:rsidRPr="00A77AF6">
                <w:rPr>
                  <w:u w:val="single"/>
                </w:rPr>
                <w:t>https://www.networks.nhs.uk/nhs-networks/documents/documents/NHS%20structure%20diagram.png/view</w:t>
              </w:r>
              <w:r w:rsidRPr="00A77AF6">
                <w:br/>
                <w:t>[Accessed 12 December 2018].</w:t>
              </w:r>
            </w:p>
            <w:p w14:paraId="3E902F7C" w14:textId="77777777" w:rsidR="008E653F" w:rsidRPr="00A77AF6" w:rsidRDefault="008E653F" w:rsidP="008E653F">
              <w:pPr>
                <w:pStyle w:val="Bibliography"/>
              </w:pPr>
              <w:r w:rsidRPr="00A77AF6">
                <w:t xml:space="preserve">NMC, 2015. </w:t>
              </w:r>
              <w:r w:rsidRPr="00A77AF6">
                <w:rPr>
                  <w:i/>
                  <w:iCs/>
                </w:rPr>
                <w:t xml:space="preserve">The Code: Professional standards of practice and behaviour for nurses and midwives. </w:t>
              </w:r>
              <w:r w:rsidRPr="00A77AF6">
                <w:t xml:space="preserve">[Online] </w:t>
              </w:r>
              <w:r w:rsidRPr="00A77AF6">
                <w:br/>
                <w:t xml:space="preserve">Available at: </w:t>
              </w:r>
              <w:r w:rsidRPr="00A77AF6">
                <w:rPr>
                  <w:u w:val="single"/>
                </w:rPr>
                <w:t>https://www.nmc.org.uk/globalassets/sitedocuments/nmc-publications/nmc-code.pdf</w:t>
              </w:r>
              <w:r w:rsidRPr="00A77AF6">
                <w:br/>
                <w:t>[Accessed 3 July 2018].</w:t>
              </w:r>
            </w:p>
            <w:p w14:paraId="3C7A7F90" w14:textId="77777777" w:rsidR="008E653F" w:rsidRPr="00A77AF6" w:rsidRDefault="008E653F" w:rsidP="008E653F">
              <w:pPr>
                <w:pStyle w:val="Bibliography"/>
              </w:pPr>
              <w:r w:rsidRPr="00A77AF6">
                <w:t xml:space="preserve">NMC, 2019. </w:t>
              </w:r>
              <w:r w:rsidRPr="00A77AF6">
                <w:rPr>
                  <w:i/>
                  <w:iCs/>
                </w:rPr>
                <w:t xml:space="preserve">The Code. </w:t>
              </w:r>
              <w:r w:rsidRPr="00A77AF6">
                <w:t xml:space="preserve">[Online] </w:t>
              </w:r>
              <w:r w:rsidRPr="00A77AF6">
                <w:br/>
                <w:t xml:space="preserve">Available at: </w:t>
              </w:r>
              <w:r w:rsidRPr="00A77AF6">
                <w:rPr>
                  <w:u w:val="single"/>
                </w:rPr>
                <w:t>https://www.nmc.org.uk/standards/code/</w:t>
              </w:r>
              <w:r w:rsidRPr="00A77AF6">
                <w:br/>
                <w:t>[Accessed 2 February 2019].</w:t>
              </w:r>
            </w:p>
            <w:p w14:paraId="427C9725" w14:textId="77777777" w:rsidR="008E653F" w:rsidRPr="00A77AF6" w:rsidRDefault="008E653F" w:rsidP="008E653F">
              <w:pPr>
                <w:pStyle w:val="Bibliography"/>
              </w:pPr>
              <w:r w:rsidRPr="00A77AF6">
                <w:lastRenderedPageBreak/>
                <w:t xml:space="preserve">Nolan, 1995. </w:t>
              </w:r>
              <w:r w:rsidRPr="00A77AF6">
                <w:rPr>
                  <w:i/>
                  <w:iCs/>
                </w:rPr>
                <w:t xml:space="preserve">Standards in Public Life: First report of the Committee on Standards in Public Life, </w:t>
              </w:r>
              <w:r w:rsidRPr="00A77AF6">
                <w:t>London: HMSO.</w:t>
              </w:r>
            </w:p>
            <w:p w14:paraId="05E666C0" w14:textId="77777777" w:rsidR="008E653F" w:rsidRPr="00A77AF6" w:rsidRDefault="008E653F" w:rsidP="008E653F">
              <w:pPr>
                <w:pStyle w:val="Bibliography"/>
              </w:pPr>
              <w:r w:rsidRPr="00A77AF6">
                <w:t xml:space="preserve">Nuffield Trust, 2017. </w:t>
              </w:r>
              <w:r w:rsidRPr="00A77AF6">
                <w:rPr>
                  <w:i/>
                  <w:iCs/>
                </w:rPr>
                <w:t xml:space="preserve">The NHS workforce in numbers. </w:t>
              </w:r>
              <w:r w:rsidRPr="00A77AF6">
                <w:t xml:space="preserve">[Online] </w:t>
              </w:r>
              <w:r w:rsidRPr="00A77AF6">
                <w:br/>
                <w:t xml:space="preserve">Available at: </w:t>
              </w:r>
              <w:r w:rsidRPr="00A77AF6">
                <w:rPr>
                  <w:u w:val="single"/>
                </w:rPr>
                <w:t>https://www.nuffieldtrust.org.uk/resource/the-nhs-workforce-in-numbers</w:t>
              </w:r>
              <w:r w:rsidRPr="00A77AF6">
                <w:br/>
                <w:t>[Accessed 19 June 2018].</w:t>
              </w:r>
            </w:p>
            <w:p w14:paraId="73009995" w14:textId="77777777" w:rsidR="008E653F" w:rsidRPr="00A77AF6" w:rsidRDefault="008E653F" w:rsidP="008E653F">
              <w:pPr>
                <w:pStyle w:val="Bibliography"/>
              </w:pPr>
              <w:r w:rsidRPr="00A77AF6">
                <w:t xml:space="preserve">Nulty, D. D., 2008. The adequacy of response rates to online and paper surveys: what can be done?. </w:t>
              </w:r>
              <w:r w:rsidRPr="00A77AF6">
                <w:rPr>
                  <w:i/>
                  <w:iCs/>
                </w:rPr>
                <w:t xml:space="preserve">Assessment &amp; Evaluation in Higher Education , </w:t>
              </w:r>
              <w:r w:rsidRPr="00A77AF6">
                <w:t>33(3), pp. 301-314.</w:t>
              </w:r>
            </w:p>
            <w:p w14:paraId="7910CE0E" w14:textId="77777777" w:rsidR="008E653F" w:rsidRPr="00A77AF6" w:rsidRDefault="008E653F" w:rsidP="008E653F">
              <w:pPr>
                <w:pStyle w:val="Bibliography"/>
              </w:pPr>
              <w:r w:rsidRPr="00A77AF6">
                <w:t xml:space="preserve">O'Brien, J., 2003. </w:t>
              </w:r>
              <w:r w:rsidRPr="00A77AF6">
                <w:rPr>
                  <w:i/>
                  <w:iCs/>
                </w:rPr>
                <w:t xml:space="preserve">Wall Street on Trial. A Corrupted State?. </w:t>
              </w:r>
              <w:r w:rsidRPr="00A77AF6">
                <w:t>Chichester: Wiley &amp; Sons Ltd.</w:t>
              </w:r>
            </w:p>
            <w:p w14:paraId="14BDE2B4" w14:textId="77777777" w:rsidR="008E653F" w:rsidRPr="00A77AF6" w:rsidRDefault="008E653F" w:rsidP="008E653F">
              <w:pPr>
                <w:pStyle w:val="Bibliography"/>
              </w:pPr>
              <w:r w:rsidRPr="00A77AF6">
                <w:t xml:space="preserve">OECD, 2004. </w:t>
              </w:r>
              <w:r w:rsidRPr="00A77AF6">
                <w:rPr>
                  <w:i/>
                  <w:iCs/>
                </w:rPr>
                <w:t xml:space="preserve">OECD Principles of Corporate Governance. </w:t>
              </w:r>
              <w:r w:rsidRPr="00A77AF6">
                <w:t xml:space="preserve">[Online] </w:t>
              </w:r>
              <w:r w:rsidRPr="00A77AF6">
                <w:br/>
                <w:t xml:space="preserve">Available at: </w:t>
              </w:r>
              <w:r w:rsidRPr="00A77AF6">
                <w:rPr>
                  <w:u w:val="single"/>
                </w:rPr>
                <w:t>https://www.oecd.org/corporate/ca/corporategovernanceprinciples/31557724.pdf</w:t>
              </w:r>
              <w:r w:rsidRPr="00A77AF6">
                <w:br/>
                <w:t>[Accessed 13 March 2014].</w:t>
              </w:r>
            </w:p>
            <w:p w14:paraId="53AED15B" w14:textId="77777777" w:rsidR="008E653F" w:rsidRPr="00A77AF6" w:rsidRDefault="008E653F" w:rsidP="008E653F">
              <w:pPr>
                <w:pStyle w:val="Bibliography"/>
              </w:pPr>
              <w:r w:rsidRPr="00A77AF6">
                <w:t xml:space="preserve">OECD, 2015. </w:t>
              </w:r>
              <w:r w:rsidRPr="00A77AF6">
                <w:rPr>
                  <w:i/>
                  <w:iCs/>
                </w:rPr>
                <w:t xml:space="preserve">G20/OECD Principles of Corporate Governance, </w:t>
              </w:r>
              <w:r w:rsidRPr="00A77AF6">
                <w:t>N/K: OECD.</w:t>
              </w:r>
            </w:p>
            <w:p w14:paraId="74A27236" w14:textId="77777777" w:rsidR="008E653F" w:rsidRPr="00A77AF6" w:rsidRDefault="008E653F" w:rsidP="008E653F">
              <w:pPr>
                <w:pStyle w:val="Bibliography"/>
              </w:pPr>
              <w:r w:rsidRPr="00A77AF6">
                <w:t xml:space="preserve">OGC, 2005. </w:t>
              </w:r>
              <w:r w:rsidRPr="00A77AF6">
                <w:rPr>
                  <w:i/>
                  <w:iCs/>
                </w:rPr>
                <w:t xml:space="preserve">8 Common Causes of Project Failure. </w:t>
              </w:r>
              <w:r w:rsidRPr="00A77AF6">
                <w:t>London: Office of Governement Commerce.</w:t>
              </w:r>
            </w:p>
            <w:p w14:paraId="17047FE0" w14:textId="77777777" w:rsidR="008E653F" w:rsidRPr="00A77AF6" w:rsidRDefault="008E653F" w:rsidP="008E653F">
              <w:pPr>
                <w:pStyle w:val="Bibliography"/>
              </w:pPr>
              <w:r w:rsidRPr="00A77AF6">
                <w:t xml:space="preserve">OGC, 2010. </w:t>
              </w:r>
              <w:r w:rsidRPr="00A77AF6">
                <w:rPr>
                  <w:i/>
                  <w:iCs/>
                </w:rPr>
                <w:t xml:space="preserve">Introduction to Projects. </w:t>
              </w:r>
              <w:r w:rsidRPr="00A77AF6">
                <w:t xml:space="preserve">[Online] </w:t>
              </w:r>
              <w:r w:rsidRPr="00A77AF6">
                <w:br/>
                <w:t xml:space="preserve">Available at: </w:t>
              </w:r>
              <w:r w:rsidRPr="00A77AF6">
                <w:rPr>
                  <w:u w:val="single"/>
                </w:rPr>
                <w:t>http://webarchive.nationalarchives.gov.uk/20100609094045/http://www.ogc.gov.uk/programmes___projects_introduction_to_projects.asp</w:t>
              </w:r>
              <w:r w:rsidRPr="00A77AF6">
                <w:br/>
                <w:t>[Accessed 31 May 2018].</w:t>
              </w:r>
            </w:p>
            <w:p w14:paraId="22AA6A67" w14:textId="77777777" w:rsidR="008E653F" w:rsidRPr="00A77AF6" w:rsidRDefault="008E653F" w:rsidP="008E653F">
              <w:pPr>
                <w:pStyle w:val="Bibliography"/>
              </w:pPr>
              <w:r w:rsidRPr="00A77AF6">
                <w:t xml:space="preserve">OGC, 2011. </w:t>
              </w:r>
              <w:r w:rsidRPr="00A77AF6">
                <w:rPr>
                  <w:i/>
                  <w:iCs/>
                </w:rPr>
                <w:t xml:space="preserve">OGC Gateway Review for Programmes &amp; Projects. </w:t>
              </w:r>
              <w:r w:rsidRPr="00A77AF6">
                <w:t xml:space="preserve">[Online] </w:t>
              </w:r>
              <w:r w:rsidRPr="00A77AF6">
                <w:br/>
                <w:t xml:space="preserve">Available at: </w:t>
              </w:r>
              <w:r w:rsidRPr="00A77AF6">
                <w:rPr>
                  <w:u w:val="single"/>
                </w:rPr>
                <w:t>https://webarchive.nationalarchives.gov.uk/20110822131337/http://www.ogc.gov.uk/what_is_ogc_gateway_review.asp</w:t>
              </w:r>
              <w:r w:rsidRPr="00A77AF6">
                <w:br/>
                <w:t>[Accessed 29 January 2019].</w:t>
              </w:r>
            </w:p>
            <w:p w14:paraId="7EC0A377" w14:textId="77777777" w:rsidR="008E653F" w:rsidRPr="00A77AF6" w:rsidRDefault="008E653F" w:rsidP="008E653F">
              <w:pPr>
                <w:pStyle w:val="Bibliography"/>
              </w:pPr>
              <w:r w:rsidRPr="00A77AF6">
                <w:t xml:space="preserve">Oisen, R. P., 1971. Can project management be defined?. </w:t>
              </w:r>
              <w:r w:rsidRPr="00A77AF6">
                <w:rPr>
                  <w:i/>
                  <w:iCs/>
                </w:rPr>
                <w:t xml:space="preserve">Project Management Quarterly, </w:t>
              </w:r>
              <w:r w:rsidRPr="00A77AF6">
                <w:t>2(1), pp. 12-14.</w:t>
              </w:r>
            </w:p>
            <w:p w14:paraId="657439D3" w14:textId="77777777" w:rsidR="008E653F" w:rsidRPr="00A77AF6" w:rsidRDefault="008E653F" w:rsidP="008E653F">
              <w:pPr>
                <w:pStyle w:val="Bibliography"/>
              </w:pPr>
              <w:r w:rsidRPr="00A77AF6">
                <w:t xml:space="preserve">Olander, S., 2007. Stakeholder impact analysis in construction project management. </w:t>
              </w:r>
              <w:r w:rsidRPr="00A77AF6">
                <w:rPr>
                  <w:i/>
                  <w:iCs/>
                </w:rPr>
                <w:t xml:space="preserve">Construction Management and Economics, </w:t>
              </w:r>
              <w:r w:rsidRPr="00A77AF6">
                <w:t>25(3), pp. 277-287.</w:t>
              </w:r>
            </w:p>
            <w:p w14:paraId="36DB4817" w14:textId="4164EA67" w:rsidR="008E653F" w:rsidRPr="00A77AF6" w:rsidRDefault="008E653F" w:rsidP="008E653F">
              <w:pPr>
                <w:pStyle w:val="Bibliography"/>
              </w:pPr>
              <w:r w:rsidRPr="00A77AF6">
                <w:t>Onwuegbuzie, A. J. &amp; Leech, N. L., 2005. On Becoming a Pragmatic Researcher: The Importance of Combining Quantita</w:t>
              </w:r>
              <w:r w:rsidR="003E5115" w:rsidRPr="00A77AF6">
                <w:t>t</w:t>
              </w:r>
              <w:r w:rsidRPr="00A77AF6">
                <w:t xml:space="preserve">ive and Qualitative Research Methodologies. </w:t>
              </w:r>
              <w:r w:rsidRPr="00A77AF6">
                <w:rPr>
                  <w:i/>
                  <w:iCs/>
                </w:rPr>
                <w:t xml:space="preserve">International Journal of Social Research Methodology, </w:t>
              </w:r>
              <w:r w:rsidRPr="00A77AF6">
                <w:t>8(5), pp. 375-387.</w:t>
              </w:r>
            </w:p>
            <w:p w14:paraId="15697E8A" w14:textId="77777777" w:rsidR="008E653F" w:rsidRPr="00A77AF6" w:rsidRDefault="008E653F" w:rsidP="008E653F">
              <w:pPr>
                <w:pStyle w:val="Bibliography"/>
              </w:pPr>
              <w:r w:rsidRPr="00A77AF6">
                <w:t xml:space="preserve">OPM &amp; CIPFA, 2004. </w:t>
              </w:r>
              <w:r w:rsidRPr="00A77AF6">
                <w:rPr>
                  <w:i/>
                  <w:iCs/>
                </w:rPr>
                <w:t xml:space="preserve">The Good Governance Standard for Public Services, </w:t>
              </w:r>
              <w:r w:rsidRPr="00A77AF6">
                <w:t>London: OPM and CIPFA.</w:t>
              </w:r>
            </w:p>
            <w:p w14:paraId="0B2821FE" w14:textId="77777777" w:rsidR="008E653F" w:rsidRPr="00A77AF6" w:rsidRDefault="008E653F" w:rsidP="008E653F">
              <w:pPr>
                <w:pStyle w:val="Bibliography"/>
              </w:pPr>
              <w:r w:rsidRPr="00A77AF6">
                <w:t xml:space="preserve">Patel, M. &amp; Robinson, H., 2010. Impact of governance on project delivery of complex NHS PFI/PPP schemes. </w:t>
              </w:r>
              <w:r w:rsidRPr="00A77AF6">
                <w:rPr>
                  <w:i/>
                  <w:iCs/>
                </w:rPr>
                <w:t xml:space="preserve">Journal of Financial Management of Property and Construction, </w:t>
              </w:r>
              <w:r w:rsidRPr="00A77AF6">
                <w:t>15(3), pp. 216-234.</w:t>
              </w:r>
            </w:p>
            <w:p w14:paraId="1DACC70C" w14:textId="77777777" w:rsidR="008E653F" w:rsidRPr="00A77AF6" w:rsidRDefault="008E653F" w:rsidP="008E653F">
              <w:pPr>
                <w:pStyle w:val="Bibliography"/>
              </w:pPr>
              <w:r w:rsidRPr="00A77AF6">
                <w:t xml:space="preserve">Phiri, M., 2006. </w:t>
              </w:r>
              <w:r w:rsidRPr="00A77AF6">
                <w:rPr>
                  <w:i/>
                  <w:iCs/>
                </w:rPr>
                <w:t xml:space="preserve">Does the physical environment affect staff and patient health outcomes: a review of studies and articles 1965 - 2005, </w:t>
              </w:r>
              <w:r w:rsidRPr="00A77AF6">
                <w:t>s.l.: TSO.</w:t>
              </w:r>
            </w:p>
            <w:p w14:paraId="085CCC90" w14:textId="77777777" w:rsidR="008E653F" w:rsidRPr="00A77AF6" w:rsidRDefault="008E653F" w:rsidP="008E653F">
              <w:pPr>
                <w:pStyle w:val="Bibliography"/>
              </w:pPr>
              <w:r w:rsidRPr="00A77AF6">
                <w:t xml:space="preserve">Pinto, J. K., 1990. Project Implementation Profile: a tool to aid project tracking and control. </w:t>
              </w:r>
              <w:r w:rsidRPr="00A77AF6">
                <w:rPr>
                  <w:i/>
                  <w:iCs/>
                </w:rPr>
                <w:t xml:space="preserve">Project Management, </w:t>
              </w:r>
              <w:r w:rsidRPr="00A77AF6">
                <w:t>8(3), pp. 173-182.</w:t>
              </w:r>
            </w:p>
            <w:p w14:paraId="6B206270" w14:textId="77777777" w:rsidR="008E653F" w:rsidRPr="00A77AF6" w:rsidRDefault="008E653F" w:rsidP="008E653F">
              <w:pPr>
                <w:pStyle w:val="Bibliography"/>
              </w:pPr>
              <w:r w:rsidRPr="00A77AF6">
                <w:t xml:space="preserve">Pinto, J. K. &amp; Covin, J. G., 1989. Critical Success Factors in project implementation: a comparison of construction and R&amp;D projects. </w:t>
              </w:r>
              <w:r w:rsidRPr="00A77AF6">
                <w:rPr>
                  <w:i/>
                  <w:iCs/>
                </w:rPr>
                <w:t xml:space="preserve">Technovation, </w:t>
              </w:r>
              <w:r w:rsidRPr="00A77AF6">
                <w:t>Volume 9, pp. 49-62.</w:t>
              </w:r>
            </w:p>
            <w:p w14:paraId="546D5062" w14:textId="77777777" w:rsidR="008E653F" w:rsidRPr="00A77AF6" w:rsidRDefault="008E653F" w:rsidP="008E653F">
              <w:pPr>
                <w:pStyle w:val="Bibliography"/>
              </w:pPr>
              <w:r w:rsidRPr="00A77AF6">
                <w:lastRenderedPageBreak/>
                <w:t xml:space="preserve">Pinto, J. K. &amp; Prescott, J. E., 1988. Variations in Critical Success Factors Over the Stages in the Proejct Life Cycle. </w:t>
              </w:r>
              <w:r w:rsidRPr="00A77AF6">
                <w:rPr>
                  <w:i/>
                  <w:iCs/>
                </w:rPr>
                <w:t xml:space="preserve">Journal of Management, </w:t>
              </w:r>
              <w:r w:rsidRPr="00A77AF6">
                <w:t>14(1), pp. 5-18.</w:t>
              </w:r>
            </w:p>
            <w:p w14:paraId="37E55AE5" w14:textId="77777777" w:rsidR="008E653F" w:rsidRPr="00A77AF6" w:rsidRDefault="008E653F" w:rsidP="008E653F">
              <w:pPr>
                <w:pStyle w:val="Bibliography"/>
              </w:pPr>
              <w:r w:rsidRPr="00A77AF6">
                <w:t xml:space="preserve">Plaza-Úbeda, J. A., de Burgos-Jimenez, J. &amp; Carmona-Moreno, E., 2010. Measuring Stakeholder Integration: Knowledge, Interaction and Adaptational Behvior Dimensions. </w:t>
              </w:r>
              <w:r w:rsidRPr="00A77AF6">
                <w:rPr>
                  <w:i/>
                  <w:iCs/>
                </w:rPr>
                <w:t xml:space="preserve">Journal of Business Ethics, </w:t>
              </w:r>
              <w:r w:rsidRPr="00A77AF6">
                <w:t>93(3), pp. 419-442.</w:t>
              </w:r>
            </w:p>
            <w:p w14:paraId="74DCE7F8" w14:textId="77777777" w:rsidR="008E653F" w:rsidRPr="00A77AF6" w:rsidRDefault="008E653F" w:rsidP="008E653F">
              <w:pPr>
                <w:pStyle w:val="Bibliography"/>
              </w:pPr>
              <w:r w:rsidRPr="00A77AF6">
                <w:t xml:space="preserve">PMI, 2006. </w:t>
              </w:r>
              <w:r w:rsidRPr="00A77AF6">
                <w:rPr>
                  <w:i/>
                  <w:iCs/>
                </w:rPr>
                <w:t xml:space="preserve">Code of Ethics and Professional Conduct. </w:t>
              </w:r>
              <w:r w:rsidRPr="00A77AF6">
                <w:t xml:space="preserve">[Online] </w:t>
              </w:r>
              <w:r w:rsidRPr="00A77AF6">
                <w:br/>
                <w:t xml:space="preserve">Available at: </w:t>
              </w:r>
              <w:r w:rsidRPr="00A77AF6">
                <w:rPr>
                  <w:u w:val="single"/>
                </w:rPr>
                <w:t>https://www.pmi.org/-/media/pmi/documents/public/pdf/ethics/pmi-code-of-ethics.pdf</w:t>
              </w:r>
              <w:r w:rsidRPr="00A77AF6">
                <w:br/>
                <w:t>[Accessed 17 December 2018].</w:t>
              </w:r>
            </w:p>
            <w:p w14:paraId="59BC0629" w14:textId="77777777" w:rsidR="008E653F" w:rsidRPr="00A77AF6" w:rsidRDefault="008E653F" w:rsidP="008E653F">
              <w:pPr>
                <w:pStyle w:val="Bibliography"/>
              </w:pPr>
              <w:r w:rsidRPr="00A77AF6">
                <w:t xml:space="preserve">PMI, 2018. </w:t>
              </w:r>
              <w:r w:rsidRPr="00A77AF6">
                <w:rPr>
                  <w:i/>
                  <w:iCs/>
                </w:rPr>
                <w:t xml:space="preserve">Code of Ethics and Professional Conduct. </w:t>
              </w:r>
              <w:r w:rsidRPr="00A77AF6">
                <w:t xml:space="preserve">[Online] </w:t>
              </w:r>
              <w:r w:rsidRPr="00A77AF6">
                <w:br/>
                <w:t xml:space="preserve">Available at: </w:t>
              </w:r>
              <w:r w:rsidRPr="00A77AF6">
                <w:rPr>
                  <w:u w:val="single"/>
                </w:rPr>
                <w:t>https://www.pmi.org/about/ethics/code</w:t>
              </w:r>
              <w:r w:rsidRPr="00A77AF6">
                <w:br/>
                <w:t>[Accessed 15 August 2018].</w:t>
              </w:r>
            </w:p>
            <w:p w14:paraId="1D45307B" w14:textId="77777777" w:rsidR="008E653F" w:rsidRPr="00A77AF6" w:rsidRDefault="008E653F" w:rsidP="008E653F">
              <w:pPr>
                <w:pStyle w:val="Bibliography"/>
              </w:pPr>
              <w:r w:rsidRPr="00A77AF6">
                <w:t xml:space="preserve">PMP, n.d. </w:t>
              </w:r>
              <w:r w:rsidRPr="00A77AF6">
                <w:rPr>
                  <w:i/>
                  <w:iCs/>
                </w:rPr>
                <w:t xml:space="preserve">Project Management vs Program Management vs Portfolio Management. </w:t>
              </w:r>
              <w:r w:rsidRPr="00A77AF6">
                <w:t xml:space="preserve">[Online] </w:t>
              </w:r>
              <w:r w:rsidRPr="00A77AF6">
                <w:br/>
                <w:t xml:space="preserve">Available at: </w:t>
              </w:r>
              <w:r w:rsidRPr="00A77AF6">
                <w:rPr>
                  <w:u w:val="single"/>
                </w:rPr>
                <w:t>https://pmstudycircle.com/2012/03/project-management-vs-program-management-vs-portfolio-management/</w:t>
              </w:r>
              <w:r w:rsidRPr="00A77AF6">
                <w:br/>
                <w:t>[Accessed 3 June 2018].</w:t>
              </w:r>
            </w:p>
            <w:p w14:paraId="0261B382" w14:textId="77777777" w:rsidR="008E653F" w:rsidRPr="00A77AF6" w:rsidRDefault="008E653F" w:rsidP="008E653F">
              <w:pPr>
                <w:pStyle w:val="Bibliography"/>
              </w:pPr>
              <w:r w:rsidRPr="00A77AF6">
                <w:t xml:space="preserve">Powell, Thomas, 2017. </w:t>
              </w:r>
              <w:r w:rsidRPr="00A77AF6">
                <w:rPr>
                  <w:i/>
                  <w:iCs/>
                </w:rPr>
                <w:t xml:space="preserve">The structure of the NHS in England. </w:t>
              </w:r>
              <w:r w:rsidRPr="00A77AF6">
                <w:t>s.l.:House of Commons Library.</w:t>
              </w:r>
            </w:p>
            <w:p w14:paraId="79302703" w14:textId="77777777" w:rsidR="008E653F" w:rsidRPr="00A77AF6" w:rsidRDefault="008E653F" w:rsidP="008E653F">
              <w:pPr>
                <w:pStyle w:val="Bibliography"/>
              </w:pPr>
              <w:r w:rsidRPr="00A77AF6">
                <w:t xml:space="preserve">Preiser, W. E., Rabinowitz, H. Z. &amp; White, E. T., 2015. </w:t>
              </w:r>
              <w:r w:rsidRPr="00A77AF6">
                <w:rPr>
                  <w:i/>
                  <w:iCs/>
                </w:rPr>
                <w:t xml:space="preserve">Post-Occupancy Evaluation. </w:t>
              </w:r>
              <w:r w:rsidRPr="00A77AF6">
                <w:t>2nd ed. Abingdon: Routledge.</w:t>
              </w:r>
            </w:p>
            <w:p w14:paraId="4755A56A" w14:textId="77777777" w:rsidR="008E653F" w:rsidRPr="00A77AF6" w:rsidRDefault="008E653F" w:rsidP="008E653F">
              <w:pPr>
                <w:pStyle w:val="Bibliography"/>
              </w:pPr>
              <w:r w:rsidRPr="00A77AF6">
                <w:t xml:space="preserve">Preiser, W. F. E. &amp; Schramm, U., 2012. A Process Model for Building Performance Evaluation (BPE). In: S. Mallory-Hill, W. F. Preiser &amp; C. Watson, eds. </w:t>
              </w:r>
              <w:r w:rsidRPr="00A77AF6">
                <w:rPr>
                  <w:i/>
                  <w:iCs/>
                </w:rPr>
                <w:t xml:space="preserve">Ehancing Building Performance. </w:t>
              </w:r>
              <w:r w:rsidRPr="00A77AF6">
                <w:t>Chichester: Blackwell Publishing, pp. 19-30.</w:t>
              </w:r>
            </w:p>
            <w:p w14:paraId="3BB79FB6" w14:textId="77777777" w:rsidR="008E653F" w:rsidRPr="00A77AF6" w:rsidRDefault="008E653F" w:rsidP="008E653F">
              <w:pPr>
                <w:pStyle w:val="Bibliography"/>
              </w:pPr>
              <w:r w:rsidRPr="00A77AF6">
                <w:t xml:space="preserve">Project Management Institute, Inc, 2013. </w:t>
              </w:r>
              <w:r w:rsidRPr="00A77AF6">
                <w:rPr>
                  <w:i/>
                  <w:iCs/>
                </w:rPr>
                <w:t xml:space="preserve">Guide to the Project Management Body of Knowledge (PMBOK® Guide) - fifth edition, </w:t>
              </w:r>
              <w:r w:rsidRPr="00A77AF6">
                <w:t>Pennsylvania: PMI.</w:t>
              </w:r>
            </w:p>
            <w:p w14:paraId="0E76D88B" w14:textId="77777777" w:rsidR="008E653F" w:rsidRPr="00A77AF6" w:rsidRDefault="008E653F" w:rsidP="008E653F">
              <w:pPr>
                <w:pStyle w:val="Bibliography"/>
              </w:pPr>
              <w:r w:rsidRPr="00A77AF6">
                <w:t xml:space="preserve">Quakers in the World, 2010. </w:t>
              </w:r>
              <w:r w:rsidRPr="00A77AF6">
                <w:rPr>
                  <w:i/>
                  <w:iCs/>
                </w:rPr>
                <w:t xml:space="preserve">Quakers in the World. </w:t>
              </w:r>
              <w:r w:rsidRPr="00A77AF6">
                <w:t xml:space="preserve">[Online] </w:t>
              </w:r>
              <w:r w:rsidRPr="00A77AF6">
                <w:br/>
                <w:t xml:space="preserve">Available at: </w:t>
              </w:r>
              <w:r w:rsidRPr="00A77AF6">
                <w:rPr>
                  <w:u w:val="single"/>
                </w:rPr>
                <w:t>http://www.quakersintheworld.org/quakers-in-action/39</w:t>
              </w:r>
              <w:r w:rsidRPr="00A77AF6">
                <w:br/>
                <w:t>[Accessed 7 November 2015].</w:t>
              </w:r>
            </w:p>
            <w:p w14:paraId="005E14A8" w14:textId="77777777" w:rsidR="008E653F" w:rsidRPr="00A77AF6" w:rsidRDefault="008E653F" w:rsidP="008E653F">
              <w:pPr>
                <w:pStyle w:val="Bibliography"/>
              </w:pPr>
              <w:r w:rsidRPr="00A77AF6">
                <w:t xml:space="preserve">Reidenbach, E. R. &amp; Robin, D. P., 1988. Some Initial Steps toward Improving the Measurement of Ethical Evaluations of Marketing Activities. </w:t>
              </w:r>
              <w:r w:rsidRPr="00A77AF6">
                <w:rPr>
                  <w:i/>
                  <w:iCs/>
                </w:rPr>
                <w:t xml:space="preserve">Journal of Business Ethics, </w:t>
              </w:r>
              <w:r w:rsidRPr="00A77AF6">
                <w:t>Volume 7, pp. 871-879.</w:t>
              </w:r>
            </w:p>
            <w:p w14:paraId="414E8634" w14:textId="77777777" w:rsidR="008E653F" w:rsidRPr="00A77AF6" w:rsidRDefault="008E653F" w:rsidP="008E653F">
              <w:pPr>
                <w:pStyle w:val="Bibliography"/>
              </w:pPr>
              <w:r w:rsidRPr="00A77AF6">
                <w:t xml:space="preserve">Renz, P. S., 2007. </w:t>
              </w:r>
              <w:r w:rsidRPr="00A77AF6">
                <w:rPr>
                  <w:i/>
                  <w:iCs/>
                </w:rPr>
                <w:t xml:space="preserve">Project Governace. Implementing Corporate Governance and Business Ethics in Nonprofit Organisation. </w:t>
              </w:r>
              <w:r w:rsidRPr="00A77AF6">
                <w:t>New York: Physica-Verlag.</w:t>
              </w:r>
            </w:p>
            <w:p w14:paraId="7C7F49CF" w14:textId="77777777" w:rsidR="008E653F" w:rsidRPr="00A77AF6" w:rsidRDefault="008E653F" w:rsidP="008E653F">
              <w:pPr>
                <w:pStyle w:val="Bibliography"/>
              </w:pPr>
              <w:r w:rsidRPr="00A77AF6">
                <w:t xml:space="preserve">Reve, T. &amp; Levitt, R. E., 1984. Organization and governance in construction. </w:t>
              </w:r>
              <w:r w:rsidRPr="00A77AF6">
                <w:rPr>
                  <w:i/>
                  <w:iCs/>
                </w:rPr>
                <w:t xml:space="preserve">International Journal of Project Management, </w:t>
              </w:r>
              <w:r w:rsidRPr="00A77AF6">
                <w:t>2(1), pp. 17-25.</w:t>
              </w:r>
            </w:p>
            <w:p w14:paraId="3A3F90FF" w14:textId="77777777" w:rsidR="008E653F" w:rsidRPr="00A77AF6" w:rsidRDefault="008E653F" w:rsidP="008E653F">
              <w:pPr>
                <w:pStyle w:val="Bibliography"/>
              </w:pPr>
              <w:r w:rsidRPr="00A77AF6">
                <w:t xml:space="preserve">Reynolds, S. J. &amp; Ceranic, T. L., 2007. The Effects of Moral Judgement and Moral Identity on Moral Behavior: An Empirical Examination of the Moral Individual. </w:t>
              </w:r>
              <w:r w:rsidRPr="00A77AF6">
                <w:rPr>
                  <w:i/>
                  <w:iCs/>
                </w:rPr>
                <w:t xml:space="preserve">Journal of Applied Psychology, </w:t>
              </w:r>
              <w:r w:rsidRPr="00A77AF6">
                <w:t>92(6), pp. 1610-1624.</w:t>
              </w:r>
            </w:p>
            <w:p w14:paraId="33AA57C9" w14:textId="77777777" w:rsidR="008E653F" w:rsidRPr="00A77AF6" w:rsidRDefault="008E653F" w:rsidP="008E653F">
              <w:pPr>
                <w:pStyle w:val="Bibliography"/>
              </w:pPr>
              <w:r w:rsidRPr="00A77AF6">
                <w:t xml:space="preserve">RIBA, 2005. </w:t>
              </w:r>
              <w:r w:rsidRPr="00A77AF6">
                <w:rPr>
                  <w:i/>
                  <w:iCs/>
                </w:rPr>
                <w:t xml:space="preserve">Code of PRofessional Conduct. </w:t>
              </w:r>
              <w:r w:rsidRPr="00A77AF6">
                <w:t xml:space="preserve">[Online] </w:t>
              </w:r>
              <w:r w:rsidRPr="00A77AF6">
                <w:br/>
                <w:t xml:space="preserve">Available at: </w:t>
              </w:r>
              <w:r w:rsidRPr="00A77AF6">
                <w:rPr>
                  <w:u w:val="single"/>
                </w:rPr>
                <w:t>https://www.architecture.com/-/media/gathercontent/riba-council-elections-2018/additional-documents/codeofprofessionalconductpdfpdf.pdf</w:t>
              </w:r>
              <w:r w:rsidRPr="00A77AF6">
                <w:br/>
                <w:t>[Accessed 3 July 2018].</w:t>
              </w:r>
            </w:p>
            <w:p w14:paraId="28F688FF" w14:textId="77777777" w:rsidR="008E653F" w:rsidRPr="00A77AF6" w:rsidRDefault="008E653F" w:rsidP="008E653F">
              <w:pPr>
                <w:pStyle w:val="Bibliography"/>
              </w:pPr>
              <w:r w:rsidRPr="00A77AF6">
                <w:lastRenderedPageBreak/>
                <w:t xml:space="preserve">RIBA, 2013. </w:t>
              </w:r>
              <w:r w:rsidRPr="00A77AF6">
                <w:rPr>
                  <w:i/>
                  <w:iCs/>
                </w:rPr>
                <w:t xml:space="preserve">RIBA Plan of Work 2013. </w:t>
              </w:r>
              <w:r w:rsidRPr="00A77AF6">
                <w:t xml:space="preserve">[Online] </w:t>
              </w:r>
              <w:r w:rsidRPr="00A77AF6">
                <w:br/>
                <w:t xml:space="preserve">Available at: </w:t>
              </w:r>
              <w:r w:rsidRPr="00A77AF6">
                <w:rPr>
                  <w:u w:val="single"/>
                </w:rPr>
                <w:t>https://www.ribaplanofwork.com/</w:t>
              </w:r>
              <w:r w:rsidRPr="00A77AF6">
                <w:br/>
                <w:t>[Accessed 31 May 2018].</w:t>
              </w:r>
            </w:p>
            <w:p w14:paraId="14F26359" w14:textId="77777777" w:rsidR="008E653F" w:rsidRPr="00A77AF6" w:rsidRDefault="008E653F" w:rsidP="008E653F">
              <w:pPr>
                <w:pStyle w:val="Bibliography"/>
              </w:pPr>
              <w:r w:rsidRPr="00A77AF6">
                <w:t xml:space="preserve">Richardson, G. L., 2010. </w:t>
              </w:r>
              <w:r w:rsidRPr="00A77AF6">
                <w:rPr>
                  <w:i/>
                  <w:iCs/>
                </w:rPr>
                <w:t xml:space="preserve">Project Management Theory and Practice. </w:t>
              </w:r>
              <w:r w:rsidRPr="00A77AF6">
                <w:t>Boca Raton: CRC Press Taylor &amp; Francis Group.</w:t>
              </w:r>
            </w:p>
            <w:p w14:paraId="31DA1677" w14:textId="77777777" w:rsidR="008E653F" w:rsidRPr="00A77AF6" w:rsidRDefault="008E653F" w:rsidP="008E653F">
              <w:pPr>
                <w:pStyle w:val="Bibliography"/>
              </w:pPr>
              <w:r w:rsidRPr="00A77AF6">
                <w:t xml:space="preserve">RICS, 2013. </w:t>
              </w:r>
              <w:r w:rsidRPr="00A77AF6">
                <w:rPr>
                  <w:i/>
                  <w:iCs/>
                </w:rPr>
                <w:t xml:space="preserve">Rules of Conduct for Members. </w:t>
              </w:r>
              <w:r w:rsidRPr="00A77AF6">
                <w:t xml:space="preserve">[Online] </w:t>
              </w:r>
              <w:r w:rsidRPr="00A77AF6">
                <w:br/>
                <w:t xml:space="preserve">Available at: </w:t>
              </w:r>
              <w:r w:rsidRPr="00A77AF6">
                <w:rPr>
                  <w:u w:val="single"/>
                </w:rPr>
                <w:t>https://www.rics.org/Global/RICS_regulation_rules_of_conduct_for_members_250717_SC.pdf</w:t>
              </w:r>
              <w:r w:rsidRPr="00A77AF6">
                <w:br/>
                <w:t>[Accessed 3 July 2018].</w:t>
              </w:r>
            </w:p>
            <w:p w14:paraId="169C9180" w14:textId="145AB725" w:rsidR="008E653F" w:rsidRPr="00A77AF6" w:rsidRDefault="008E653F" w:rsidP="008E653F">
              <w:pPr>
                <w:pStyle w:val="Bibliography"/>
              </w:pPr>
              <w:r w:rsidRPr="00A77AF6">
                <w:t xml:space="preserve">Rivett, G., 2017. </w:t>
              </w:r>
              <w:r w:rsidRPr="00A77AF6">
                <w:rPr>
                  <w:i/>
                  <w:iCs/>
                </w:rPr>
                <w:t xml:space="preserve">National Health History. </w:t>
              </w:r>
              <w:r w:rsidRPr="00A77AF6">
                <w:t xml:space="preserve">[Online] </w:t>
              </w:r>
              <w:r w:rsidRPr="00A77AF6">
                <w:br/>
                <w:t xml:space="preserve">Available at: </w:t>
              </w:r>
              <w:r w:rsidRPr="00A77AF6">
                <w:rPr>
                  <w:u w:val="single"/>
                </w:rPr>
                <w:t>http://www.nhshistory.net/shorthistory.htm</w:t>
              </w:r>
              <w:r w:rsidRPr="00A77AF6">
                <w:br/>
                <w:t>[Accessed 24 May 2018].</w:t>
              </w:r>
            </w:p>
            <w:p w14:paraId="0F868CCE" w14:textId="77777777" w:rsidR="008E653F" w:rsidRPr="00A77AF6" w:rsidRDefault="008E653F" w:rsidP="008E653F">
              <w:pPr>
                <w:pStyle w:val="Bibliography"/>
              </w:pPr>
              <w:r w:rsidRPr="00A77AF6">
                <w:t xml:space="preserve">Rivett, G., 2017. </w:t>
              </w:r>
              <w:r w:rsidRPr="00A77AF6">
                <w:rPr>
                  <w:i/>
                  <w:iCs/>
                </w:rPr>
                <w:t xml:space="preserve">The Development of the London Hospital System. </w:t>
              </w:r>
              <w:r w:rsidRPr="00A77AF6">
                <w:t xml:space="preserve">[Online] </w:t>
              </w:r>
              <w:r w:rsidRPr="00A77AF6">
                <w:br/>
                <w:t xml:space="preserve">Available at: </w:t>
              </w:r>
              <w:r w:rsidRPr="00A77AF6">
                <w:rPr>
                  <w:u w:val="single"/>
                </w:rPr>
                <w:t>http://www.nhshistory.net/districtstotrusts.html#1982-9_Conservative_government_&amp;_Working_for_Patients</w:t>
              </w:r>
              <w:r w:rsidRPr="00A77AF6">
                <w:br/>
                <w:t>[Accessed 19/02/2018 February 2018].</w:t>
              </w:r>
            </w:p>
            <w:p w14:paraId="37D4823E" w14:textId="77777777" w:rsidR="008E653F" w:rsidRPr="00A77AF6" w:rsidRDefault="008E653F" w:rsidP="008E653F">
              <w:pPr>
                <w:pStyle w:val="Bibliography"/>
              </w:pPr>
              <w:r w:rsidRPr="00A77AF6">
                <w:t xml:space="preserve">Robinson, H., Carillo, P., Anumba, C. J. &amp; Patel, M., 2010. </w:t>
              </w:r>
              <w:r w:rsidRPr="00A77AF6">
                <w:rPr>
                  <w:i/>
                  <w:iCs/>
                </w:rPr>
                <w:t xml:space="preserve">Governance &amp; Knowledge Management for Public-Private Partnerships. </w:t>
              </w:r>
              <w:r w:rsidRPr="00A77AF6">
                <w:t>Chichester: Wiley-Blackwell.</w:t>
              </w:r>
            </w:p>
            <w:p w14:paraId="73EA409A" w14:textId="7730BCCD" w:rsidR="008E653F" w:rsidRPr="00A77AF6" w:rsidRDefault="008E653F" w:rsidP="008E653F">
              <w:pPr>
                <w:pStyle w:val="Bibliography"/>
              </w:pPr>
              <w:r w:rsidRPr="00A77AF6">
                <w:t xml:space="preserve">Ross, S. A., 1973. The Economic Theory of Agency: The Principals' Problem. </w:t>
              </w:r>
              <w:r w:rsidRPr="00A77AF6">
                <w:rPr>
                  <w:i/>
                  <w:iCs/>
                </w:rPr>
                <w:t>American Economi</w:t>
              </w:r>
              <w:r w:rsidR="003E5115" w:rsidRPr="00A77AF6">
                <w:rPr>
                  <w:i/>
                  <w:iCs/>
                </w:rPr>
                <w:t>c</w:t>
              </w:r>
              <w:r w:rsidRPr="00A77AF6">
                <w:rPr>
                  <w:i/>
                  <w:iCs/>
                </w:rPr>
                <w:t xml:space="preserve"> Review, </w:t>
              </w:r>
              <w:r w:rsidRPr="00A77AF6">
                <w:t>63(2), pp. 134-139.</w:t>
              </w:r>
            </w:p>
            <w:p w14:paraId="7CBD392C" w14:textId="77777777" w:rsidR="008E653F" w:rsidRPr="00A77AF6" w:rsidRDefault="008E653F" w:rsidP="008E653F">
              <w:pPr>
                <w:pStyle w:val="Bibliography"/>
              </w:pPr>
              <w:r w:rsidRPr="00A77AF6">
                <w:t xml:space="preserve">Ruegger, D. &amp; King, E. W., 1992. A Study of the Effect of Age and Gender upon Student Business Ethics. </w:t>
              </w:r>
              <w:r w:rsidRPr="00A77AF6">
                <w:rPr>
                  <w:i/>
                  <w:iCs/>
                </w:rPr>
                <w:t xml:space="preserve">Journal of Business Ethics, </w:t>
              </w:r>
              <w:r w:rsidRPr="00A77AF6">
                <w:t>Volume 11, pp. 179-186.</w:t>
              </w:r>
            </w:p>
            <w:p w14:paraId="0247361D" w14:textId="77777777" w:rsidR="008E653F" w:rsidRPr="00A77AF6" w:rsidRDefault="008E653F" w:rsidP="008E653F">
              <w:pPr>
                <w:pStyle w:val="Bibliography"/>
              </w:pPr>
              <w:r w:rsidRPr="00A77AF6">
                <w:t xml:space="preserve">Runeson, G. &amp; Skitmore, M., 2008. Scientific Theories. In: A. Knight &amp; L. Ruddock, eds. </w:t>
              </w:r>
              <w:r w:rsidRPr="00A77AF6">
                <w:rPr>
                  <w:i/>
                  <w:iCs/>
                </w:rPr>
                <w:t xml:space="preserve">Advanced Research Methods in the Built Environment. </w:t>
              </w:r>
              <w:r w:rsidRPr="00A77AF6">
                <w:t>Chichester: Blackwell Publishing Ltd, pp. 73-85.</w:t>
              </w:r>
            </w:p>
            <w:p w14:paraId="00F3A405" w14:textId="77777777" w:rsidR="008E653F" w:rsidRPr="00A77AF6" w:rsidRDefault="008E653F" w:rsidP="008E653F">
              <w:pPr>
                <w:pStyle w:val="Bibliography"/>
              </w:pPr>
              <w:r w:rsidRPr="00A77AF6">
                <w:t xml:space="preserve">Sahlman, W. A., 1994. Insights from the Venture Capital Model of Project Governance. </w:t>
              </w:r>
              <w:r w:rsidRPr="00A77AF6">
                <w:rPr>
                  <w:i/>
                  <w:iCs/>
                </w:rPr>
                <w:t xml:space="preserve">Business Economics, </w:t>
              </w:r>
              <w:r w:rsidRPr="00A77AF6">
                <w:t>29(3), pp. 35-37.</w:t>
              </w:r>
            </w:p>
            <w:p w14:paraId="1DE8111D" w14:textId="77777777" w:rsidR="008E653F" w:rsidRPr="00A77AF6" w:rsidRDefault="008E653F" w:rsidP="008E653F">
              <w:pPr>
                <w:pStyle w:val="Bibliography"/>
              </w:pPr>
              <w:r w:rsidRPr="00A77AF6">
                <w:t xml:space="preserve">Salkind, N. J., 2014. </w:t>
              </w:r>
              <w:r w:rsidRPr="00A77AF6">
                <w:rPr>
                  <w:i/>
                  <w:iCs/>
                </w:rPr>
                <w:t xml:space="preserve">Statistics for People Who Think They Hate Statistics. </w:t>
              </w:r>
              <w:r w:rsidRPr="00A77AF6">
                <w:t>London: Sage.</w:t>
              </w:r>
            </w:p>
            <w:p w14:paraId="6AE53FF9" w14:textId="77777777" w:rsidR="008E653F" w:rsidRPr="00A77AF6" w:rsidRDefault="008E653F" w:rsidP="008E653F">
              <w:pPr>
                <w:pStyle w:val="Bibliography"/>
              </w:pPr>
              <w:r w:rsidRPr="00A77AF6">
                <w:t xml:space="preserve">Salvidar, M. G., 2012. </w:t>
              </w:r>
              <w:r w:rsidRPr="00A77AF6">
                <w:rPr>
                  <w:i/>
                  <w:iCs/>
                </w:rPr>
                <w:t xml:space="preserve">A Primer on Survey Response Rate. </w:t>
              </w:r>
              <w:r w:rsidRPr="00A77AF6">
                <w:t>s.l.:Florida State University .</w:t>
              </w:r>
            </w:p>
            <w:p w14:paraId="77D41439" w14:textId="77777777" w:rsidR="008E653F" w:rsidRPr="00A77AF6" w:rsidRDefault="008E653F" w:rsidP="008E653F">
              <w:pPr>
                <w:pStyle w:val="Bibliography"/>
              </w:pPr>
              <w:r w:rsidRPr="00A77AF6">
                <w:t xml:space="preserve">Schminke, M., 1997. Gender Differences in Ethical Frameworks and Evaluation of Others' Choices in Ethical Dilemmas. </w:t>
              </w:r>
              <w:r w:rsidRPr="00A77AF6">
                <w:rPr>
                  <w:i/>
                  <w:iCs/>
                </w:rPr>
                <w:t xml:space="preserve">Journal of Business Ethics, </w:t>
              </w:r>
              <w:r w:rsidRPr="00A77AF6">
                <w:t>Volume 16, pp. 55-65.</w:t>
              </w:r>
            </w:p>
            <w:p w14:paraId="1E18D25C" w14:textId="77777777" w:rsidR="008E653F" w:rsidRPr="00A77AF6" w:rsidRDefault="008E653F" w:rsidP="008E653F">
              <w:pPr>
                <w:pStyle w:val="Bibliography"/>
              </w:pPr>
              <w:r w:rsidRPr="00A77AF6">
                <w:t xml:space="preserve">Schminke, M. &amp; Ambrose, M. L., 1997. Asymmetric Perceptions of Ethical Frameworks of Men and Women in Business and Nonbusiness Settings. </w:t>
              </w:r>
              <w:r w:rsidRPr="00A77AF6">
                <w:rPr>
                  <w:i/>
                  <w:iCs/>
                </w:rPr>
                <w:t xml:space="preserve">Journal of Business Ethics, </w:t>
              </w:r>
              <w:r w:rsidRPr="00A77AF6">
                <w:t>Volume 16, pp. 719-729.</w:t>
              </w:r>
            </w:p>
            <w:p w14:paraId="394ACC71" w14:textId="77777777" w:rsidR="008E653F" w:rsidRPr="00A77AF6" w:rsidRDefault="008E653F" w:rsidP="008E653F">
              <w:pPr>
                <w:pStyle w:val="Bibliography"/>
              </w:pPr>
              <w:r w:rsidRPr="00A77AF6">
                <w:t xml:space="preserve">Schminke, M. &amp; Wells, D., 1999. Group Processes and Performance and Their Effects on Individuals' Ethical Frameworks. </w:t>
              </w:r>
              <w:r w:rsidRPr="00A77AF6">
                <w:rPr>
                  <w:i/>
                  <w:iCs/>
                </w:rPr>
                <w:t xml:space="preserve">Journal of Business Ethics, </w:t>
              </w:r>
              <w:r w:rsidRPr="00A77AF6">
                <w:t>Volume 18, pp. 367-381.</w:t>
              </w:r>
            </w:p>
            <w:p w14:paraId="0591EDA9" w14:textId="77777777" w:rsidR="008E653F" w:rsidRPr="00A77AF6" w:rsidRDefault="008E653F" w:rsidP="008E653F">
              <w:pPr>
                <w:pStyle w:val="Bibliography"/>
              </w:pPr>
              <w:r w:rsidRPr="00A77AF6">
                <w:t xml:space="preserve">Schooneboom, J. &amp; Burke Johnson, R., 2017. How to Construct a Mixed Methods Research Design. </w:t>
              </w:r>
              <w:r w:rsidRPr="00A77AF6">
                <w:rPr>
                  <w:i/>
                  <w:iCs/>
                </w:rPr>
                <w:t xml:space="preserve">Kolner Zeitschrift Fur Soziologie Und Sozialpsychologie, </w:t>
              </w:r>
              <w:r w:rsidRPr="00A77AF6">
                <w:t>62(Suppl 2), pp. 107-131.</w:t>
              </w:r>
            </w:p>
            <w:p w14:paraId="4A57215E" w14:textId="77777777" w:rsidR="008E653F" w:rsidRPr="00A77AF6" w:rsidRDefault="008E653F" w:rsidP="008E653F">
              <w:pPr>
                <w:pStyle w:val="Bibliography"/>
              </w:pPr>
              <w:r w:rsidRPr="00A77AF6">
                <w:t xml:space="preserve">Shaoul, J., Stafford, A. &amp; Stapleton, P., 2011. NHS Capital Investment and PFI: From Central Responsibility to Local Affordability. </w:t>
              </w:r>
              <w:r w:rsidRPr="00A77AF6">
                <w:rPr>
                  <w:i/>
                  <w:iCs/>
                </w:rPr>
                <w:t xml:space="preserve">Financial Accountability &amp; Management, </w:t>
              </w:r>
              <w:r w:rsidRPr="00A77AF6">
                <w:t>27(1), pp. 0276-4424.</w:t>
              </w:r>
            </w:p>
            <w:p w14:paraId="0BA7FD1A" w14:textId="77777777" w:rsidR="008E653F" w:rsidRPr="00A77AF6" w:rsidRDefault="008E653F" w:rsidP="008E653F">
              <w:pPr>
                <w:pStyle w:val="Bibliography"/>
              </w:pPr>
              <w:r w:rsidRPr="00A77AF6">
                <w:lastRenderedPageBreak/>
                <w:t xml:space="preserve">Shenhar, A. J., Dvir, D., Levy, O. &amp; Maltz, A. C., 2001. Project Success: A Multidimensional Strategic Concept. </w:t>
              </w:r>
              <w:r w:rsidRPr="00A77AF6">
                <w:rPr>
                  <w:i/>
                  <w:iCs/>
                </w:rPr>
                <w:t xml:space="preserve">Long Range Planning, </w:t>
              </w:r>
              <w:r w:rsidRPr="00A77AF6">
                <w:t>Volume 34, pp. 699-725.</w:t>
              </w:r>
            </w:p>
            <w:p w14:paraId="46A57BC7" w14:textId="77777777" w:rsidR="008E653F" w:rsidRPr="00A77AF6" w:rsidRDefault="008E653F" w:rsidP="008E653F">
              <w:pPr>
                <w:pStyle w:val="Bibliography"/>
              </w:pPr>
              <w:r w:rsidRPr="00A77AF6">
                <w:t xml:space="preserve">Sim, M., 2010. Rethinking Virtue Ethics and Social Justice with Aristotle and Confucius. </w:t>
              </w:r>
              <w:r w:rsidRPr="00A77AF6">
                <w:rPr>
                  <w:i/>
                  <w:iCs/>
                </w:rPr>
                <w:t xml:space="preserve">Asian Philosophy, </w:t>
              </w:r>
              <w:r w:rsidRPr="00A77AF6">
                <w:t>20(2), pp. 195-213.</w:t>
              </w:r>
            </w:p>
            <w:p w14:paraId="558A5703" w14:textId="77777777" w:rsidR="008E653F" w:rsidRPr="00A77AF6" w:rsidRDefault="008E653F" w:rsidP="008E653F">
              <w:pPr>
                <w:pStyle w:val="Bibliography"/>
              </w:pPr>
              <w:r w:rsidRPr="00A77AF6">
                <w:t xml:space="preserve">Simon, H., 1957. A Behvioral Model of Rational Choice. In: </w:t>
              </w:r>
              <w:r w:rsidRPr="00A77AF6">
                <w:rPr>
                  <w:i/>
                  <w:iCs/>
                </w:rPr>
                <w:t xml:space="preserve">Models of Man, Social and Rational: Mathematical Essays on Rational Human Behavior in a Social Setting. </w:t>
              </w:r>
              <w:r w:rsidRPr="00A77AF6">
                <w:t>New York: Wiley.</w:t>
              </w:r>
            </w:p>
            <w:p w14:paraId="3738E023" w14:textId="77777777" w:rsidR="008E653F" w:rsidRPr="00A77AF6" w:rsidRDefault="008E653F" w:rsidP="008E653F">
              <w:pPr>
                <w:pStyle w:val="Bibliography"/>
              </w:pPr>
              <w:r w:rsidRPr="00A77AF6">
                <w:t xml:space="preserve">Sirgy, M. J., 2002. Measuring corporate performance by building on the stakeholder model of business ethics. </w:t>
              </w:r>
              <w:r w:rsidRPr="00A77AF6">
                <w:rPr>
                  <w:i/>
                  <w:iCs/>
                </w:rPr>
                <w:t xml:space="preserve">Journal of Business Ethics, </w:t>
              </w:r>
              <w:r w:rsidRPr="00A77AF6">
                <w:t>Volume 35, pp. 143-162.</w:t>
              </w:r>
            </w:p>
            <w:p w14:paraId="1BFB7496" w14:textId="77777777" w:rsidR="008E653F" w:rsidRPr="00A77AF6" w:rsidRDefault="008E653F" w:rsidP="008E653F">
              <w:pPr>
                <w:pStyle w:val="Bibliography"/>
              </w:pPr>
              <w:r w:rsidRPr="00A77AF6">
                <w:t xml:space="preserve">Slevin, D. P. &amp; Pinto, J. K., 1986. The Project Implementation Profile: New Tool For Project Managers. </w:t>
              </w:r>
              <w:r w:rsidRPr="00A77AF6">
                <w:rPr>
                  <w:i/>
                  <w:iCs/>
                </w:rPr>
                <w:t xml:space="preserve">Project Management Journal, </w:t>
              </w:r>
              <w:r w:rsidRPr="00A77AF6">
                <w:t>Volume September, pp. 57-70.</w:t>
              </w:r>
            </w:p>
            <w:p w14:paraId="18B4581D" w14:textId="77777777" w:rsidR="008E653F" w:rsidRPr="00A77AF6" w:rsidRDefault="008E653F" w:rsidP="008E653F">
              <w:pPr>
                <w:pStyle w:val="Bibliography"/>
              </w:pPr>
              <w:r w:rsidRPr="00A77AF6">
                <w:t xml:space="preserve">Slevin, D. P. &amp; Pinto, J. K., 1987. Critical Factors in Successful Project Implementation. </w:t>
              </w:r>
              <w:r w:rsidRPr="00A77AF6">
                <w:rPr>
                  <w:i/>
                  <w:iCs/>
                </w:rPr>
                <w:t xml:space="preserve">IEEE Transactions on Engineering Management, </w:t>
              </w:r>
              <w:r w:rsidRPr="00A77AF6">
                <w:t>EM-34(1), pp. 22-27.</w:t>
              </w:r>
            </w:p>
            <w:p w14:paraId="59A51E29" w14:textId="11084C59" w:rsidR="008E653F" w:rsidRPr="00A77AF6" w:rsidRDefault="008E653F" w:rsidP="008E653F">
              <w:pPr>
                <w:pStyle w:val="Bibliography"/>
              </w:pPr>
              <w:r w:rsidRPr="00A77AF6">
                <w:t xml:space="preserve">Solomon, J., 2007. </w:t>
              </w:r>
              <w:r w:rsidRPr="00A77AF6">
                <w:rPr>
                  <w:i/>
                  <w:iCs/>
                </w:rPr>
                <w:t>Corporate Governance and Accountabili</w:t>
              </w:r>
              <w:r w:rsidR="003E5115" w:rsidRPr="00A77AF6">
                <w:rPr>
                  <w:i/>
                  <w:iCs/>
                </w:rPr>
                <w:t>ty</w:t>
              </w:r>
              <w:r w:rsidRPr="00A77AF6">
                <w:rPr>
                  <w:i/>
                  <w:iCs/>
                </w:rPr>
                <w:t xml:space="preserve">. </w:t>
              </w:r>
              <w:r w:rsidRPr="00A77AF6">
                <w:t>2nd ed. Chichester: John Wiley &amp; Sons.</w:t>
              </w:r>
            </w:p>
            <w:p w14:paraId="2E82EBA1" w14:textId="77777777" w:rsidR="008E653F" w:rsidRPr="00A77AF6" w:rsidRDefault="008E653F" w:rsidP="008E653F">
              <w:pPr>
                <w:pStyle w:val="Bibliography"/>
              </w:pPr>
              <w:r w:rsidRPr="00A77AF6">
                <w:t xml:space="preserve">Songer, A. D. &amp; Molenaar, K. R., 1997. Project Characteristics for Successful Public-Sector Design-Build. </w:t>
              </w:r>
              <w:r w:rsidRPr="00A77AF6">
                <w:rPr>
                  <w:i/>
                  <w:iCs/>
                </w:rPr>
                <w:t xml:space="preserve">Journal of Construction Engineering and Management, </w:t>
              </w:r>
              <w:r w:rsidRPr="00A77AF6">
                <w:t>123(1), pp. 34-40.</w:t>
              </w:r>
            </w:p>
            <w:p w14:paraId="730AFE6C" w14:textId="77777777" w:rsidR="008E653F" w:rsidRPr="00A77AF6" w:rsidRDefault="008E653F" w:rsidP="008E653F">
              <w:pPr>
                <w:pStyle w:val="Bibliography"/>
              </w:pPr>
              <w:r w:rsidRPr="00A77AF6">
                <w:t xml:space="preserve">Strauss, A., 1998. </w:t>
              </w:r>
              <w:r w:rsidRPr="00A77AF6">
                <w:rPr>
                  <w:i/>
                  <w:iCs/>
                </w:rPr>
                <w:t xml:space="preserve">Basics of qualitative research: Techniques and procedures for developing grounded theory. </w:t>
              </w:r>
              <w:r w:rsidRPr="00A77AF6">
                <w:t>Thousand Oaks: Sage.</w:t>
              </w:r>
            </w:p>
            <w:p w14:paraId="07CF6601" w14:textId="77777777" w:rsidR="008E653F" w:rsidRPr="00A77AF6" w:rsidRDefault="008E653F" w:rsidP="008E653F">
              <w:pPr>
                <w:pStyle w:val="Bibliography"/>
              </w:pPr>
              <w:r w:rsidRPr="00A77AF6">
                <w:t xml:space="preserve">The Guardian, 1994. </w:t>
              </w:r>
              <w:r w:rsidRPr="00A77AF6">
                <w:rPr>
                  <w:i/>
                  <w:iCs/>
                </w:rPr>
                <w:t xml:space="preserve">Tory MPs were paid to plant questions says Harrods chief. </w:t>
              </w:r>
              <w:r w:rsidRPr="00A77AF6">
                <w:t xml:space="preserve">[Online] </w:t>
              </w:r>
              <w:r w:rsidRPr="00A77AF6">
                <w:br/>
                <w:t xml:space="preserve">Available at: </w:t>
              </w:r>
              <w:r w:rsidRPr="00A77AF6">
                <w:rPr>
                  <w:u w:val="single"/>
                </w:rPr>
                <w:t>https://www.theguardian.com/politics/1994/oct/20/conservatives.uk</w:t>
              </w:r>
              <w:r w:rsidRPr="00A77AF6">
                <w:br/>
                <w:t>[Accessed 27 June 2018].</w:t>
              </w:r>
            </w:p>
            <w:p w14:paraId="3A88F613" w14:textId="77777777" w:rsidR="008E653F" w:rsidRPr="00A77AF6" w:rsidRDefault="008E653F" w:rsidP="008E653F">
              <w:pPr>
                <w:pStyle w:val="Bibliography"/>
              </w:pPr>
              <w:r w:rsidRPr="00A77AF6">
                <w:t xml:space="preserve">The Guardian, 2012. [Online] </w:t>
              </w:r>
              <w:r w:rsidRPr="00A77AF6">
                <w:br/>
                <w:t xml:space="preserve">Available at: </w:t>
              </w:r>
              <w:r w:rsidRPr="00A77AF6">
                <w:rPr>
                  <w:u w:val="single"/>
                </w:rPr>
                <w:t>https://www.theguardian.com/news/datablog/2012/jul/05/pfi-contracts-list#data</w:t>
              </w:r>
              <w:r w:rsidRPr="00A77AF6">
                <w:br/>
                <w:t>[Accessed 10 03 2019].</w:t>
              </w:r>
            </w:p>
            <w:p w14:paraId="33551C35" w14:textId="77777777" w:rsidR="008E653F" w:rsidRPr="00A77AF6" w:rsidRDefault="008E653F" w:rsidP="008E653F">
              <w:pPr>
                <w:pStyle w:val="Bibliography"/>
              </w:pPr>
              <w:r w:rsidRPr="00A77AF6">
                <w:t xml:space="preserve">The Guardian, 2012. </w:t>
              </w:r>
              <w:r w:rsidRPr="00A77AF6">
                <w:rPr>
                  <w:i/>
                  <w:iCs/>
                </w:rPr>
                <w:t xml:space="preserve">Asil Nadir and Polly Peck: timeline. </w:t>
              </w:r>
              <w:r w:rsidRPr="00A77AF6">
                <w:t xml:space="preserve">[Online] </w:t>
              </w:r>
              <w:r w:rsidRPr="00A77AF6">
                <w:br/>
                <w:t xml:space="preserve">Available at: </w:t>
              </w:r>
              <w:r w:rsidRPr="00A77AF6">
                <w:rPr>
                  <w:u w:val="single"/>
                </w:rPr>
                <w:t>https://www.theguardian.com/business/2012/jan/23/asil-nadir-polly-peck-timeline</w:t>
              </w:r>
              <w:r w:rsidRPr="00A77AF6">
                <w:br/>
                <w:t>[Accessed 27 June 2018].</w:t>
              </w:r>
            </w:p>
            <w:p w14:paraId="6327E6E8" w14:textId="77777777" w:rsidR="008E653F" w:rsidRPr="00A77AF6" w:rsidRDefault="008E653F" w:rsidP="008E653F">
              <w:pPr>
                <w:pStyle w:val="Bibliography"/>
              </w:pPr>
              <w:r w:rsidRPr="00A77AF6">
                <w:t xml:space="preserve">The Guardian, 2015. </w:t>
              </w:r>
              <w:r w:rsidRPr="00A77AF6">
                <w:rPr>
                  <w:i/>
                  <w:iCs/>
                </w:rPr>
                <w:t xml:space="preserve">Barings collapse at 20: How rogue trader Nick Leeson broke the bank. </w:t>
              </w:r>
              <w:r w:rsidRPr="00A77AF6">
                <w:t xml:space="preserve">[Online] </w:t>
              </w:r>
              <w:r w:rsidRPr="00A77AF6">
                <w:br/>
                <w:t xml:space="preserve">Available at: </w:t>
              </w:r>
              <w:r w:rsidRPr="00A77AF6">
                <w:rPr>
                  <w:u w:val="single"/>
                </w:rPr>
                <w:t>https://www.theguardian.com/business/from-the-archive-blog/2015/feb/24/nick-leeson-barings-bank-1995-20-archive</w:t>
              </w:r>
              <w:r w:rsidRPr="00A77AF6">
                <w:br/>
                <w:t>[Accessed 27 June 2018].</w:t>
              </w:r>
            </w:p>
            <w:p w14:paraId="0CD24154" w14:textId="77777777" w:rsidR="008E653F" w:rsidRPr="00A77AF6" w:rsidRDefault="008E653F" w:rsidP="008E653F">
              <w:pPr>
                <w:pStyle w:val="Bibliography"/>
              </w:pPr>
              <w:r w:rsidRPr="00A77AF6">
                <w:t xml:space="preserve">The Health Foundation, n.d. </w:t>
              </w:r>
              <w:r w:rsidRPr="00A77AF6">
                <w:rPr>
                  <w:i/>
                  <w:iCs/>
                </w:rPr>
                <w:t xml:space="preserve">Policy Navigator. </w:t>
              </w:r>
              <w:r w:rsidRPr="00A77AF6">
                <w:t xml:space="preserve">[Online] </w:t>
              </w:r>
              <w:r w:rsidRPr="00A77AF6">
                <w:br/>
                <w:t xml:space="preserve">Available at: </w:t>
              </w:r>
              <w:r w:rsidRPr="00A77AF6">
                <w:rPr>
                  <w:u w:val="single"/>
                </w:rPr>
                <w:t>https://navigator.health.org.uk/content/hospital-plan-england-and-wales-was-published</w:t>
              </w:r>
              <w:r w:rsidRPr="00A77AF6">
                <w:br/>
                <w:t>[Accessed 4 April 2019].</w:t>
              </w:r>
            </w:p>
            <w:p w14:paraId="7920EE55" w14:textId="4185062B" w:rsidR="008E653F" w:rsidRPr="00A77AF6" w:rsidRDefault="008E653F" w:rsidP="008E653F">
              <w:pPr>
                <w:pStyle w:val="Bibliography"/>
              </w:pPr>
              <w:r w:rsidRPr="00A77AF6">
                <w:t xml:space="preserve">The Independent, 1993. </w:t>
              </w:r>
              <w:r w:rsidRPr="00A77AF6">
                <w:rPr>
                  <w:i/>
                  <w:iCs/>
                </w:rPr>
                <w:t>Rolling over the past: Thre</w:t>
              </w:r>
              <w:r w:rsidR="003E5115" w:rsidRPr="00A77AF6">
                <w:rPr>
                  <w:i/>
                  <w:iCs/>
                </w:rPr>
                <w:t>e</w:t>
              </w:r>
              <w:r w:rsidRPr="00A77AF6">
                <w:rPr>
                  <w:i/>
                  <w:iCs/>
                </w:rPr>
                <w:t xml:space="preserve"> years after the demise of Coloroll. </w:t>
              </w:r>
              <w:r w:rsidRPr="00A77AF6">
                <w:t xml:space="preserve">[Online] </w:t>
              </w:r>
              <w:r w:rsidRPr="00A77AF6">
                <w:br/>
                <w:t xml:space="preserve">Available at: </w:t>
              </w:r>
              <w:r w:rsidRPr="00A77AF6">
                <w:rPr>
                  <w:u w:val="single"/>
                </w:rPr>
                <w:t>https://www.independent.co.uk/news/uk/rolling-over-the-past-three-years-after-the-demise-of-coloroll-david-bowen-picks-through-the-rubble-1505777.html</w:t>
              </w:r>
              <w:r w:rsidRPr="00A77AF6">
                <w:br/>
                <w:t>[Accessed 27 June 2018].</w:t>
              </w:r>
            </w:p>
            <w:p w14:paraId="7F642345" w14:textId="77777777" w:rsidR="008E653F" w:rsidRPr="00A77AF6" w:rsidRDefault="008E653F" w:rsidP="008E653F">
              <w:pPr>
                <w:pStyle w:val="Bibliography"/>
              </w:pPr>
              <w:r w:rsidRPr="00A77AF6">
                <w:lastRenderedPageBreak/>
                <w:t xml:space="preserve">The Independent, 1994. </w:t>
              </w:r>
              <w:r w:rsidRPr="00A77AF6">
                <w:rPr>
                  <w:i/>
                  <w:iCs/>
                </w:rPr>
                <w:t xml:space="preserve">The Cash-for-Questions Affair. </w:t>
              </w:r>
              <w:r w:rsidRPr="00A77AF6">
                <w:t xml:space="preserve">[Online] </w:t>
              </w:r>
              <w:r w:rsidRPr="00A77AF6">
                <w:br/>
                <w:t xml:space="preserve">Available at: </w:t>
              </w:r>
              <w:r w:rsidRPr="00A77AF6">
                <w:rPr>
                  <w:u w:val="single"/>
                </w:rPr>
                <w:t>https://www.independent.co.uk/news/the-cash-for-questions-affair-major-rocked-as-payments-scandal-grows-minister-resigns-over-cash-for-1444057.html</w:t>
              </w:r>
              <w:r w:rsidRPr="00A77AF6">
                <w:br/>
                <w:t>[Accessed 27 Jne 2018].</w:t>
              </w:r>
            </w:p>
            <w:p w14:paraId="3FA9F997" w14:textId="77777777" w:rsidR="008E653F" w:rsidRPr="00A77AF6" w:rsidRDefault="008E653F" w:rsidP="008E653F">
              <w:pPr>
                <w:pStyle w:val="Bibliography"/>
              </w:pPr>
              <w:r w:rsidRPr="00A77AF6">
                <w:t xml:space="preserve">The Kings Fund, 2007. </w:t>
              </w:r>
              <w:r w:rsidRPr="00A77AF6">
                <w:rPr>
                  <w:i/>
                  <w:iCs/>
                </w:rPr>
                <w:t xml:space="preserve">The reconfiguration of hospital services in England. </w:t>
              </w:r>
              <w:r w:rsidRPr="00A77AF6">
                <w:t>s.l.:s.n.</w:t>
              </w:r>
            </w:p>
            <w:p w14:paraId="76D8E281" w14:textId="1E93444C" w:rsidR="008E653F" w:rsidRPr="00A77AF6" w:rsidRDefault="008E653F" w:rsidP="008E653F">
              <w:pPr>
                <w:pStyle w:val="Bibliography"/>
              </w:pPr>
              <w:r w:rsidRPr="00A77AF6">
                <w:t xml:space="preserve">The Kings Fund, 2013. </w:t>
              </w:r>
              <w:r w:rsidRPr="00A77AF6">
                <w:rPr>
                  <w:i/>
                  <w:iCs/>
                </w:rPr>
                <w:t>NHS buildings</w:t>
              </w:r>
              <w:r w:rsidR="00EA1518" w:rsidRPr="00A77AF6">
                <w:rPr>
                  <w:i/>
                  <w:iCs/>
                </w:rPr>
                <w:t>:</w:t>
              </w:r>
              <w:r w:rsidRPr="00A77AF6">
                <w:rPr>
                  <w:i/>
                  <w:iCs/>
                </w:rPr>
                <w:t xml:space="preserve"> obstacle or opportunity. </w:t>
              </w:r>
              <w:r w:rsidRPr="00A77AF6">
                <w:t xml:space="preserve">[Online] </w:t>
              </w:r>
              <w:r w:rsidRPr="00A77AF6">
                <w:br/>
                <w:t xml:space="preserve">Available at: </w:t>
              </w:r>
              <w:r w:rsidRPr="00A77AF6">
                <w:rPr>
                  <w:u w:val="single"/>
                </w:rPr>
                <w:t>https://www.kingsfund.org.uk/sites/default/files/field/field_publication_file/perspectives-estates-nhs-property-nigel-edwards-jul13.pdf</w:t>
              </w:r>
              <w:r w:rsidRPr="00A77AF6">
                <w:br/>
                <w:t>[Accessed 19 June 2018].</w:t>
              </w:r>
            </w:p>
            <w:p w14:paraId="4E845D06" w14:textId="77777777" w:rsidR="008E653F" w:rsidRPr="00A77AF6" w:rsidRDefault="008E653F" w:rsidP="008E653F">
              <w:pPr>
                <w:pStyle w:val="Bibliography"/>
              </w:pPr>
              <w:r w:rsidRPr="00A77AF6">
                <w:t xml:space="preserve">The Kings Fund, 2017. </w:t>
              </w:r>
              <w:r w:rsidRPr="00A77AF6">
                <w:rPr>
                  <w:i/>
                  <w:iCs/>
                </w:rPr>
                <w:t xml:space="preserve">How is the NHS Structured?. </w:t>
              </w:r>
              <w:r w:rsidRPr="00A77AF6">
                <w:t xml:space="preserve">[Online] </w:t>
              </w:r>
              <w:r w:rsidRPr="00A77AF6">
                <w:br/>
                <w:t xml:space="preserve">Available at: </w:t>
              </w:r>
              <w:r w:rsidRPr="00A77AF6">
                <w:rPr>
                  <w:u w:val="single"/>
                </w:rPr>
                <w:t>https://www.kingsfund.org.uk/audio-video/how-new-nhs-structured</w:t>
              </w:r>
              <w:r w:rsidRPr="00A77AF6">
                <w:br/>
                <w:t>[Accessed 20 June 2018].</w:t>
              </w:r>
            </w:p>
            <w:p w14:paraId="46F19635" w14:textId="77777777" w:rsidR="008E653F" w:rsidRPr="00A77AF6" w:rsidRDefault="008E653F" w:rsidP="008E653F">
              <w:pPr>
                <w:pStyle w:val="Bibliography"/>
              </w:pPr>
              <w:r w:rsidRPr="00A77AF6">
                <w:t xml:space="preserve">The Kings Fund, 2017. </w:t>
              </w:r>
              <w:r w:rsidRPr="00A77AF6">
                <w:rPr>
                  <w:i/>
                  <w:iCs/>
                </w:rPr>
                <w:t xml:space="preserve">The NHS budget and how it has changed. </w:t>
              </w:r>
              <w:r w:rsidRPr="00A77AF6">
                <w:t xml:space="preserve">[Online] </w:t>
              </w:r>
              <w:r w:rsidRPr="00A77AF6">
                <w:br/>
                <w:t xml:space="preserve">Available at: </w:t>
              </w:r>
              <w:r w:rsidRPr="00A77AF6">
                <w:rPr>
                  <w:u w:val="single"/>
                </w:rPr>
                <w:t>https://www.kingsfund.org.uk/projects/nhs-in-a-nutshell/nhs-budget</w:t>
              </w:r>
              <w:r w:rsidRPr="00A77AF6">
                <w:br/>
                <w:t>[Accessed 19 June 2018].</w:t>
              </w:r>
            </w:p>
            <w:p w14:paraId="3D1C3FBA" w14:textId="77777777" w:rsidR="008E653F" w:rsidRPr="00A77AF6" w:rsidRDefault="008E653F" w:rsidP="008E653F">
              <w:pPr>
                <w:pStyle w:val="Bibliography"/>
              </w:pPr>
              <w:r w:rsidRPr="00A77AF6">
                <w:t xml:space="preserve">The National Archives, n.d. </w:t>
              </w:r>
              <w:r w:rsidRPr="00A77AF6">
                <w:rPr>
                  <w:i/>
                  <w:iCs/>
                </w:rPr>
                <w:t xml:space="preserve">Currency Converter: 1270-2017. </w:t>
              </w:r>
              <w:r w:rsidRPr="00A77AF6">
                <w:t xml:space="preserve">[Online] </w:t>
              </w:r>
              <w:r w:rsidRPr="00A77AF6">
                <w:br/>
                <w:t xml:space="preserve">Available at: </w:t>
              </w:r>
              <w:r w:rsidRPr="00A77AF6">
                <w:rPr>
                  <w:u w:val="single"/>
                </w:rPr>
                <w:t>http://www.nationalarchives.gov.uk/currency-converter/#currency-result</w:t>
              </w:r>
              <w:r w:rsidRPr="00A77AF6">
                <w:br/>
                <w:t>[Accessed 3 Febaruary 2019].</w:t>
              </w:r>
            </w:p>
            <w:p w14:paraId="7FC59F8E" w14:textId="77777777" w:rsidR="008E653F" w:rsidRPr="00A77AF6" w:rsidRDefault="008E653F" w:rsidP="008E653F">
              <w:pPr>
                <w:pStyle w:val="Bibliography"/>
              </w:pPr>
              <w:r w:rsidRPr="00A77AF6">
                <w:t xml:space="preserve">The Religious Society of Friends, 1995. </w:t>
              </w:r>
              <w:r w:rsidRPr="00A77AF6">
                <w:rPr>
                  <w:i/>
                  <w:iCs/>
                </w:rPr>
                <w:t xml:space="preserve">Quaker Faith and Practice. </w:t>
              </w:r>
              <w:r w:rsidRPr="00A77AF6">
                <w:t>4th ed. London: The Yearly Meeting of the Religious Society of Friends (Quakers) in Britain.</w:t>
              </w:r>
            </w:p>
            <w:p w14:paraId="5B86F462" w14:textId="77777777" w:rsidR="008E653F" w:rsidRPr="00A77AF6" w:rsidRDefault="008E653F" w:rsidP="008E653F">
              <w:pPr>
                <w:pStyle w:val="Bibliography"/>
              </w:pPr>
              <w:r w:rsidRPr="00A77AF6">
                <w:t xml:space="preserve">Toor, S. &amp; Ogunlana, S. O., 2010. Beyond the 'iron triangle': Stakeholder perception of key performance indicators (KPIs) for large scale public sector development projects. </w:t>
              </w:r>
              <w:r w:rsidRPr="00A77AF6">
                <w:rPr>
                  <w:i/>
                  <w:iCs/>
                </w:rPr>
                <w:t xml:space="preserve">International Journal of Project Management, </w:t>
              </w:r>
              <w:r w:rsidRPr="00A77AF6">
                <w:t>Volume 28, pp. 228-236.</w:t>
              </w:r>
            </w:p>
            <w:p w14:paraId="635A3FB9" w14:textId="77777777" w:rsidR="008E653F" w:rsidRPr="00A77AF6" w:rsidRDefault="008E653F" w:rsidP="008E653F">
              <w:pPr>
                <w:pStyle w:val="Bibliography"/>
              </w:pPr>
              <w:r w:rsidRPr="00A77AF6">
                <w:t xml:space="preserve">Tricker, B. &amp; Tricker, G., 2014. </w:t>
              </w:r>
              <w:r w:rsidRPr="00A77AF6">
                <w:rPr>
                  <w:i/>
                  <w:iCs/>
                </w:rPr>
                <w:t xml:space="preserve">Business ethics: a stakeholder, governance and risk approach. </w:t>
              </w:r>
              <w:r w:rsidRPr="00A77AF6">
                <w:t>Abingdon, Oxon and New York: Routledge.</w:t>
              </w:r>
            </w:p>
            <w:p w14:paraId="184B7A2B" w14:textId="77777777" w:rsidR="008E653F" w:rsidRPr="00A77AF6" w:rsidRDefault="008E653F" w:rsidP="008E653F">
              <w:pPr>
                <w:pStyle w:val="Bibliography"/>
              </w:pPr>
              <w:r w:rsidRPr="00A77AF6">
                <w:t xml:space="preserve">Tricker, R. L., 1994. Editorial. </w:t>
              </w:r>
              <w:r w:rsidRPr="00A77AF6">
                <w:rPr>
                  <w:i/>
                  <w:iCs/>
                </w:rPr>
                <w:t xml:space="preserve">Corporate Governance: An International Review, </w:t>
              </w:r>
              <w:r w:rsidRPr="00A77AF6">
                <w:t>2(2), p. 56.</w:t>
              </w:r>
            </w:p>
            <w:p w14:paraId="229A94EC" w14:textId="77777777" w:rsidR="008E653F" w:rsidRPr="00A77AF6" w:rsidRDefault="008E653F" w:rsidP="008E653F">
              <w:pPr>
                <w:pStyle w:val="Bibliography"/>
              </w:pPr>
              <w:r w:rsidRPr="00A77AF6">
                <w:t xml:space="preserve">Turnberg, L., 1998. </w:t>
              </w:r>
              <w:r w:rsidRPr="00A77AF6">
                <w:rPr>
                  <w:i/>
                  <w:iCs/>
                </w:rPr>
                <w:t xml:space="preserve">Health Services in London, </w:t>
              </w:r>
              <w:r w:rsidRPr="00A77AF6">
                <w:t>London: Department of Health.</w:t>
              </w:r>
            </w:p>
            <w:p w14:paraId="1F4FD849" w14:textId="77777777" w:rsidR="008E653F" w:rsidRPr="00A77AF6" w:rsidRDefault="008E653F" w:rsidP="008E653F">
              <w:pPr>
                <w:pStyle w:val="Bibliography"/>
              </w:pPr>
              <w:r w:rsidRPr="00A77AF6">
                <w:t xml:space="preserve">Turnbull, N, 1999. </w:t>
              </w:r>
              <w:r w:rsidRPr="00A77AF6">
                <w:rPr>
                  <w:i/>
                  <w:iCs/>
                </w:rPr>
                <w:t xml:space="preserve">Internal Control: Guidance for Directors on the Combined Code, </w:t>
              </w:r>
              <w:r w:rsidRPr="00A77AF6">
                <w:t>s.l.: s.n.</w:t>
              </w:r>
            </w:p>
            <w:p w14:paraId="552924FC" w14:textId="77777777" w:rsidR="008E653F" w:rsidRPr="00A77AF6" w:rsidRDefault="008E653F" w:rsidP="008E653F">
              <w:pPr>
                <w:pStyle w:val="Bibliography"/>
              </w:pPr>
              <w:r w:rsidRPr="00A77AF6">
                <w:t xml:space="preserve">Turner, J. R. &amp; Keegan, A., 2001. Mechanisms of governance in the project-based organization: Roles of the broker and steward. </w:t>
              </w:r>
              <w:r w:rsidRPr="00A77AF6">
                <w:rPr>
                  <w:i/>
                  <w:iCs/>
                </w:rPr>
                <w:t xml:space="preserve">European Management Journal, </w:t>
              </w:r>
              <w:r w:rsidRPr="00A77AF6">
                <w:t>19(3), pp. 254-267.</w:t>
              </w:r>
            </w:p>
            <w:p w14:paraId="267CC7CB" w14:textId="77777777" w:rsidR="008E653F" w:rsidRPr="00A77AF6" w:rsidRDefault="008E653F" w:rsidP="008E653F">
              <w:pPr>
                <w:pStyle w:val="Bibliography"/>
              </w:pPr>
              <w:r w:rsidRPr="00A77AF6">
                <w:t xml:space="preserve">Turner, J. R. &amp; Müller, R., 2003. On the nature of the project as a temporary organization. </w:t>
              </w:r>
              <w:r w:rsidRPr="00A77AF6">
                <w:rPr>
                  <w:i/>
                  <w:iCs/>
                </w:rPr>
                <w:t xml:space="preserve">International Journal of Project Management, </w:t>
              </w:r>
              <w:r w:rsidRPr="00A77AF6">
                <w:t>Volume 21, pp. 1-8.</w:t>
              </w:r>
            </w:p>
            <w:p w14:paraId="1C096DF9" w14:textId="77777777" w:rsidR="008E653F" w:rsidRPr="00A77AF6" w:rsidRDefault="008E653F" w:rsidP="008E653F">
              <w:pPr>
                <w:pStyle w:val="Bibliography"/>
              </w:pPr>
              <w:r w:rsidRPr="00A77AF6">
                <w:t xml:space="preserve">Turner, J. R. &amp; Muller, R., 2005. The Project Manager's Leadership Style as a Success Factor on Projects: a Literautre Review. </w:t>
              </w:r>
              <w:r w:rsidRPr="00A77AF6">
                <w:rPr>
                  <w:i/>
                  <w:iCs/>
                </w:rPr>
                <w:t xml:space="preserve">Project Management Journal, </w:t>
              </w:r>
              <w:r w:rsidRPr="00A77AF6">
                <w:t>pp. 49-61.</w:t>
              </w:r>
            </w:p>
            <w:p w14:paraId="30CC97EA" w14:textId="77777777" w:rsidR="008E653F" w:rsidRPr="00A77AF6" w:rsidRDefault="008E653F" w:rsidP="008E653F">
              <w:pPr>
                <w:pStyle w:val="Bibliography"/>
              </w:pPr>
              <w:r w:rsidRPr="00A77AF6">
                <w:t xml:space="preserve">UK Government, 1974. </w:t>
              </w:r>
              <w:r w:rsidRPr="00A77AF6">
                <w:rPr>
                  <w:i/>
                  <w:iCs/>
                </w:rPr>
                <w:t xml:space="preserve">Health and Safety at Work etc. Act 1974. </w:t>
              </w:r>
              <w:r w:rsidRPr="00A77AF6">
                <w:t xml:space="preserve">[Online] </w:t>
              </w:r>
              <w:r w:rsidRPr="00A77AF6">
                <w:br/>
                <w:t xml:space="preserve">Available at: </w:t>
              </w:r>
              <w:r w:rsidRPr="00A77AF6">
                <w:rPr>
                  <w:u w:val="single"/>
                </w:rPr>
                <w:t>http://www.legislation.gov.uk/ukpga/1974/37/pdfs/ukpga_19740037_en.pdf</w:t>
              </w:r>
              <w:r w:rsidRPr="00A77AF6">
                <w:br/>
                <w:t>[Accessed 2 December 2018].</w:t>
              </w:r>
            </w:p>
            <w:p w14:paraId="33ECB729" w14:textId="77777777" w:rsidR="008E653F" w:rsidRPr="00A77AF6" w:rsidRDefault="008E653F" w:rsidP="008E653F">
              <w:pPr>
                <w:pStyle w:val="Bibliography"/>
              </w:pPr>
              <w:r w:rsidRPr="00A77AF6">
                <w:t xml:space="preserve">UK Government, 2008. </w:t>
              </w:r>
              <w:r w:rsidRPr="00A77AF6">
                <w:rPr>
                  <w:i/>
                  <w:iCs/>
                </w:rPr>
                <w:t xml:space="preserve">Climate Change Act. </w:t>
              </w:r>
              <w:r w:rsidRPr="00A77AF6">
                <w:t>s.l.:TSO.</w:t>
              </w:r>
            </w:p>
            <w:p w14:paraId="1B3B80DB" w14:textId="64A14B9B" w:rsidR="008E653F" w:rsidRPr="00A77AF6" w:rsidRDefault="008E653F" w:rsidP="008E653F">
              <w:pPr>
                <w:pStyle w:val="Bibliography"/>
              </w:pPr>
              <w:r w:rsidRPr="00A77AF6">
                <w:lastRenderedPageBreak/>
                <w:t xml:space="preserve">UK Government, 2010. </w:t>
              </w:r>
              <w:r w:rsidRPr="00A77AF6">
                <w:rPr>
                  <w:i/>
                  <w:iCs/>
                </w:rPr>
                <w:t>The Building Regu</w:t>
              </w:r>
              <w:r w:rsidR="00EA1518" w:rsidRPr="00A77AF6">
                <w:rPr>
                  <w:i/>
                  <w:iCs/>
                </w:rPr>
                <w:t>l</w:t>
              </w:r>
              <w:r w:rsidRPr="00A77AF6">
                <w:rPr>
                  <w:i/>
                  <w:iCs/>
                </w:rPr>
                <w:t xml:space="preserve">ations 2010. </w:t>
              </w:r>
              <w:r w:rsidRPr="00A77AF6">
                <w:t xml:space="preserve">[Online] </w:t>
              </w:r>
              <w:r w:rsidRPr="00A77AF6">
                <w:br/>
                <w:t xml:space="preserve">Available at: </w:t>
              </w:r>
              <w:r w:rsidRPr="00A77AF6">
                <w:rPr>
                  <w:u w:val="single"/>
                </w:rPr>
                <w:t>http://www.legislation.gov.uk/uksi/2010/2214/contents/made</w:t>
              </w:r>
              <w:r w:rsidRPr="00A77AF6">
                <w:br/>
                <w:t>[Accessed 2 December 2018].</w:t>
              </w:r>
            </w:p>
            <w:p w14:paraId="54CB06AF" w14:textId="77777777" w:rsidR="008E653F" w:rsidRPr="00A77AF6" w:rsidRDefault="008E653F" w:rsidP="008E653F">
              <w:pPr>
                <w:pStyle w:val="Bibliography"/>
              </w:pPr>
              <w:r w:rsidRPr="00A77AF6">
                <w:t xml:space="preserve">UK Government, 2103. </w:t>
              </w:r>
              <w:r w:rsidRPr="00A77AF6">
                <w:rPr>
                  <w:i/>
                  <w:iCs/>
                </w:rPr>
                <w:t xml:space="preserve">Health Technical Memoranda. </w:t>
              </w:r>
              <w:r w:rsidRPr="00A77AF6">
                <w:t xml:space="preserve">[Online] </w:t>
              </w:r>
              <w:r w:rsidRPr="00A77AF6">
                <w:br/>
                <w:t xml:space="preserve">Available at: </w:t>
              </w:r>
              <w:r w:rsidRPr="00A77AF6">
                <w:rPr>
                  <w:u w:val="single"/>
                </w:rPr>
                <w:t>https://www.gov.uk/government/collections/health-technical-memorandum-disinfection-and-sterilization</w:t>
              </w:r>
              <w:r w:rsidRPr="00A77AF6">
                <w:br/>
                <w:t>[Accessed 2 December 2018].</w:t>
              </w:r>
            </w:p>
            <w:p w14:paraId="0BCC391A" w14:textId="77777777" w:rsidR="008E653F" w:rsidRPr="00A77AF6" w:rsidRDefault="008E653F" w:rsidP="008E653F">
              <w:pPr>
                <w:pStyle w:val="Bibliography"/>
              </w:pPr>
              <w:r w:rsidRPr="00A77AF6">
                <w:t xml:space="preserve">Ulrich, R. et al., 2004. </w:t>
              </w:r>
              <w:r w:rsidRPr="00A77AF6">
                <w:rPr>
                  <w:i/>
                  <w:iCs/>
                </w:rPr>
                <w:t xml:space="preserve">The Role of the Physical Environment in the Hospital of the 21st Century: A Once-in-aLifetime Opportunity, </w:t>
              </w:r>
              <w:r w:rsidRPr="00A77AF6">
                <w:t>s.l.: s.n.</w:t>
              </w:r>
            </w:p>
            <w:p w14:paraId="34B73F89" w14:textId="77777777" w:rsidR="008E653F" w:rsidRPr="00A77AF6" w:rsidRDefault="008E653F" w:rsidP="008E653F">
              <w:pPr>
                <w:pStyle w:val="Bibliography"/>
              </w:pPr>
              <w:r w:rsidRPr="00A77AF6">
                <w:t xml:space="preserve">Velasquez, M. G., 2013. </w:t>
              </w:r>
              <w:r w:rsidRPr="00A77AF6">
                <w:rPr>
                  <w:i/>
                  <w:iCs/>
                </w:rPr>
                <w:t xml:space="preserve">Business Ethics: Pearson New International Edition. </w:t>
              </w:r>
              <w:r w:rsidRPr="00A77AF6">
                <w:t>s.l.:Pearson Education.</w:t>
              </w:r>
            </w:p>
            <w:p w14:paraId="750D413C" w14:textId="77777777" w:rsidR="008E653F" w:rsidRPr="00A77AF6" w:rsidRDefault="008E653F" w:rsidP="008E653F">
              <w:pPr>
                <w:pStyle w:val="Bibliography"/>
              </w:pPr>
              <w:r w:rsidRPr="00A77AF6">
                <w:t xml:space="preserve">Verhezen, P., 2014. </w:t>
              </w:r>
              <w:r w:rsidRPr="00A77AF6">
                <w:rPr>
                  <w:i/>
                  <w:iCs/>
                </w:rPr>
                <w:t xml:space="preserve">The (ir)relevance of Accountability &amp; Responsibility in Organizations? A corporate governance perspective. </w:t>
              </w:r>
              <w:r w:rsidRPr="00A77AF6">
                <w:t xml:space="preserve">[Online] </w:t>
              </w:r>
              <w:r w:rsidRPr="00A77AF6">
                <w:br/>
                <w:t xml:space="preserve">Available at: </w:t>
              </w:r>
              <w:r w:rsidRPr="00A77AF6">
                <w:rPr>
                  <w:u w:val="single"/>
                </w:rPr>
                <w:t>https://www.researchgate.net/profile/Peter_Verhezen/publication/264855438_The_irrelevance_of_Accountability_Responsibility_in_Organizations_A_corporate_governance_perspective/links/5412fc550cf2fa878ad3cd6c/The-irrelevance-of-Accountability-Responsibility-</w:t>
              </w:r>
              <w:r w:rsidRPr="00A77AF6">
                <w:br/>
                <w:t>[Accessed 2 June 2017].</w:t>
              </w:r>
            </w:p>
            <w:p w14:paraId="188C8C2B" w14:textId="77777777" w:rsidR="008E653F" w:rsidRPr="00A77AF6" w:rsidRDefault="008E653F" w:rsidP="008E653F">
              <w:pPr>
                <w:pStyle w:val="Bibliography"/>
              </w:pPr>
              <w:r w:rsidRPr="00A77AF6">
                <w:t xml:space="preserve">Victor, B. &amp; Cullen, J. B., 1988. The Organizational Bases of Ethical Work Climates. </w:t>
              </w:r>
              <w:r w:rsidRPr="00A77AF6">
                <w:rPr>
                  <w:i/>
                  <w:iCs/>
                </w:rPr>
                <w:t xml:space="preserve">Administrative Science Quarterly, </w:t>
              </w:r>
              <w:r w:rsidRPr="00A77AF6">
                <w:t>Volume 33, pp. 101-125.</w:t>
              </w:r>
            </w:p>
            <w:p w14:paraId="4C44A458" w14:textId="77777777" w:rsidR="008E653F" w:rsidRPr="00A77AF6" w:rsidRDefault="008E653F" w:rsidP="008E653F">
              <w:pPr>
                <w:pStyle w:val="Bibliography"/>
              </w:pPr>
              <w:r w:rsidRPr="00A77AF6">
                <w:t xml:space="preserve">Wåhlberg , A. E. &amp; Poom, L., 2015. An Empirical Test of Nonresponse Bias in Internet Surveys. </w:t>
              </w:r>
              <w:r w:rsidRPr="00A77AF6">
                <w:rPr>
                  <w:i/>
                  <w:iCs/>
                </w:rPr>
                <w:t xml:space="preserve">Basic and Applied Social Psychology, </w:t>
              </w:r>
              <w:r w:rsidRPr="00A77AF6">
                <w:t>Volume 37, pp. 336-347.</w:t>
              </w:r>
            </w:p>
            <w:p w14:paraId="006196D8" w14:textId="77777777" w:rsidR="008E653F" w:rsidRPr="00A77AF6" w:rsidRDefault="008E653F" w:rsidP="008E653F">
              <w:pPr>
                <w:pStyle w:val="Bibliography"/>
              </w:pPr>
              <w:r w:rsidRPr="00A77AF6">
                <w:t xml:space="preserve">Walsh, J. P., 2005. Taking stock of stakeholder management. </w:t>
              </w:r>
              <w:r w:rsidRPr="00A77AF6">
                <w:rPr>
                  <w:i/>
                  <w:iCs/>
                </w:rPr>
                <w:t xml:space="preserve">Academy of Management Review, </w:t>
              </w:r>
              <w:r w:rsidRPr="00A77AF6">
                <w:t>Volume 30, pp. 426-438.</w:t>
              </w:r>
            </w:p>
            <w:p w14:paraId="6CD7CF92" w14:textId="77777777" w:rsidR="008E653F" w:rsidRPr="00A77AF6" w:rsidRDefault="008E653F" w:rsidP="008E653F">
              <w:pPr>
                <w:pStyle w:val="Bibliography"/>
              </w:pPr>
              <w:r w:rsidRPr="00A77AF6">
                <w:t xml:space="preserve">Weaver, P., 2007. </w:t>
              </w:r>
              <w:r w:rsidRPr="00A77AF6">
                <w:rPr>
                  <w:i/>
                  <w:iCs/>
                </w:rPr>
                <w:t xml:space="preserve">A Brief History of Proejct Management. Is our profession 50 or 5000 years old?. </w:t>
              </w:r>
              <w:r w:rsidRPr="00A77AF6">
                <w:t>s.l., APM.</w:t>
              </w:r>
            </w:p>
            <w:p w14:paraId="2E42F42C" w14:textId="77777777" w:rsidR="008E653F" w:rsidRPr="00A77AF6" w:rsidRDefault="008E653F" w:rsidP="008E653F">
              <w:pPr>
                <w:pStyle w:val="Bibliography"/>
              </w:pPr>
              <w:r w:rsidRPr="00A77AF6">
                <w:t xml:space="preserve">Wheelen, T. L. &amp; Hunger, D. J., 1998. </w:t>
              </w:r>
              <w:r w:rsidRPr="00A77AF6">
                <w:rPr>
                  <w:i/>
                  <w:iCs/>
                </w:rPr>
                <w:t xml:space="preserve">Strategic Management and Business Policy: Entering 21st Century Global Society. </w:t>
              </w:r>
              <w:r w:rsidRPr="00A77AF6">
                <w:t>6th ed. Reading, Massachusetts: Addison-Wesley.</w:t>
              </w:r>
            </w:p>
            <w:p w14:paraId="599E179F" w14:textId="77777777" w:rsidR="008E653F" w:rsidRPr="00A77AF6" w:rsidRDefault="008E653F" w:rsidP="008E653F">
              <w:pPr>
                <w:pStyle w:val="Bibliography"/>
              </w:pPr>
              <w:r w:rsidRPr="00A77AF6">
                <w:t xml:space="preserve">Willig, C., 2013. </w:t>
              </w:r>
              <w:r w:rsidRPr="00A77AF6">
                <w:rPr>
                  <w:i/>
                  <w:iCs/>
                </w:rPr>
                <w:t xml:space="preserve">Introducing Qualitative Research in Psychology [online], </w:t>
              </w:r>
              <w:r w:rsidRPr="00A77AF6">
                <w:t>s.l.: Open University Press.</w:t>
              </w:r>
            </w:p>
            <w:p w14:paraId="20FD0E39" w14:textId="77777777" w:rsidR="008E653F" w:rsidRPr="00A77AF6" w:rsidRDefault="008E653F" w:rsidP="008E653F">
              <w:pPr>
                <w:pStyle w:val="Bibliography"/>
              </w:pPr>
              <w:r w:rsidRPr="00A77AF6">
                <w:t xml:space="preserve">Winch, G. M., 2000. Institutional reform in British construction: partnering and private finance. </w:t>
              </w:r>
              <w:r w:rsidRPr="00A77AF6">
                <w:rPr>
                  <w:i/>
                  <w:iCs/>
                </w:rPr>
                <w:t xml:space="preserve">Building Research &amp; Information , </w:t>
              </w:r>
              <w:r w:rsidRPr="00A77AF6">
                <w:t>28(1), pp. 141-155.</w:t>
              </w:r>
            </w:p>
            <w:p w14:paraId="271763EB" w14:textId="0ED0BE47" w:rsidR="008E653F" w:rsidRPr="00A77AF6" w:rsidRDefault="008E653F" w:rsidP="008E653F">
              <w:pPr>
                <w:pStyle w:val="Bibliography"/>
              </w:pPr>
              <w:r w:rsidRPr="00A77AF6">
                <w:t>Winch, G. M., 2001. Governing the project process: a conceptual</w:t>
              </w:r>
              <w:r w:rsidR="00EA1518" w:rsidRPr="00A77AF6">
                <w:t xml:space="preserve"> framework</w:t>
              </w:r>
              <w:r w:rsidRPr="00A77AF6">
                <w:t xml:space="preserve">. </w:t>
              </w:r>
              <w:r w:rsidRPr="00A77AF6">
                <w:rPr>
                  <w:i/>
                  <w:iCs/>
                </w:rPr>
                <w:t xml:space="preserve">Construction Management and Economics, </w:t>
              </w:r>
              <w:r w:rsidRPr="00A77AF6">
                <w:t>19(8), pp. 799-808.</w:t>
              </w:r>
            </w:p>
            <w:p w14:paraId="47610596" w14:textId="77777777" w:rsidR="008E653F" w:rsidRPr="00A77AF6" w:rsidRDefault="008E653F" w:rsidP="008E653F">
              <w:pPr>
                <w:pStyle w:val="Bibliography"/>
              </w:pPr>
              <w:r w:rsidRPr="00A77AF6">
                <w:t xml:space="preserve">Winch, G. M., 2010. </w:t>
              </w:r>
              <w:r w:rsidRPr="00A77AF6">
                <w:rPr>
                  <w:i/>
                  <w:iCs/>
                </w:rPr>
                <w:t xml:space="preserve">Managing Construction Projects. </w:t>
              </w:r>
              <w:r w:rsidRPr="00A77AF6">
                <w:t>2nd ed. Chichester: Blackwell Publishing.</w:t>
              </w:r>
            </w:p>
            <w:p w14:paraId="702035D0" w14:textId="77777777" w:rsidR="008E653F" w:rsidRPr="00A77AF6" w:rsidRDefault="008E653F" w:rsidP="008E653F">
              <w:pPr>
                <w:pStyle w:val="Bibliography"/>
              </w:pPr>
              <w:r w:rsidRPr="00A77AF6">
                <w:t xml:space="preserve">Witherell, B., 2002. </w:t>
              </w:r>
              <w:r w:rsidRPr="00A77AF6">
                <w:rPr>
                  <w:i/>
                  <w:iCs/>
                </w:rPr>
                <w:t xml:space="preserve">Corporate governance and responsibility. Foundations of market integrity. </w:t>
              </w:r>
              <w:r w:rsidRPr="00A77AF6">
                <w:t xml:space="preserve">[Online] </w:t>
              </w:r>
              <w:r w:rsidRPr="00A77AF6">
                <w:br/>
                <w:t xml:space="preserve">Available at: </w:t>
              </w:r>
              <w:r w:rsidRPr="00A77AF6">
                <w:rPr>
                  <w:u w:val="single"/>
                </w:rPr>
                <w:t>https://www.oecd.org/daf/inv/corporateresponsibility/1840502.pdf</w:t>
              </w:r>
              <w:r w:rsidRPr="00A77AF6">
                <w:br/>
                <w:t>[Accessed 1 June 2017].</w:t>
              </w:r>
            </w:p>
            <w:p w14:paraId="628F9DB5" w14:textId="77777777" w:rsidR="008E653F" w:rsidRPr="00A77AF6" w:rsidRDefault="008E653F" w:rsidP="008E653F">
              <w:pPr>
                <w:pStyle w:val="Bibliography"/>
              </w:pPr>
              <w:r w:rsidRPr="00A77AF6">
                <w:lastRenderedPageBreak/>
                <w:t xml:space="preserve">Woodward, J. F., 1997. </w:t>
              </w:r>
              <w:r w:rsidRPr="00A77AF6">
                <w:rPr>
                  <w:i/>
                  <w:iCs/>
                </w:rPr>
                <w:t xml:space="preserve">Construction Project Management: Getting it right first time. </w:t>
              </w:r>
              <w:r w:rsidRPr="00A77AF6">
                <w:t>London: Thomas Telford.</w:t>
              </w:r>
            </w:p>
            <w:p w14:paraId="3AA20A9C" w14:textId="77777777" w:rsidR="008E653F" w:rsidRPr="00A77AF6" w:rsidRDefault="008E653F" w:rsidP="008E653F">
              <w:pPr>
                <w:pStyle w:val="Bibliography"/>
              </w:pPr>
              <w:r w:rsidRPr="00A77AF6">
                <w:t xml:space="preserve">Yeung, J. F., Chan, A. P. C., Chan, D. W. M. &amp; Chiang, Y. H., 2013. Developing a Benchmarking Model for Construction Projects in Hong Kong. </w:t>
              </w:r>
              <w:r w:rsidRPr="00A77AF6">
                <w:rPr>
                  <w:i/>
                  <w:iCs/>
                </w:rPr>
                <w:t xml:space="preserve">Journal of Construction Engineering and Management, </w:t>
              </w:r>
              <w:r w:rsidRPr="00A77AF6">
                <w:t>Issue 6, pp. 705-716.</w:t>
              </w:r>
            </w:p>
            <w:p w14:paraId="757DE50D" w14:textId="77777777" w:rsidR="008E653F" w:rsidRPr="00A77AF6" w:rsidRDefault="008E653F" w:rsidP="008E653F">
              <w:pPr>
                <w:pStyle w:val="Bibliography"/>
              </w:pPr>
              <w:r w:rsidRPr="00A77AF6">
                <w:t xml:space="preserve">Yin, R. K., 2003. </w:t>
              </w:r>
              <w:r w:rsidRPr="00A77AF6">
                <w:rPr>
                  <w:i/>
                  <w:iCs/>
                </w:rPr>
                <w:t xml:space="preserve">Applications of Case Study Research. </w:t>
              </w:r>
              <w:r w:rsidRPr="00A77AF6">
                <w:t>2nd ed. London: Sage Publications Ltd.</w:t>
              </w:r>
            </w:p>
            <w:p w14:paraId="625D326B" w14:textId="27E07BE5" w:rsidR="005A18D1" w:rsidRPr="00A77AF6" w:rsidRDefault="00333AFD" w:rsidP="00B70B16">
              <w:r w:rsidRPr="00A77AF6">
                <w:rPr>
                  <w:b/>
                  <w:bCs/>
                </w:rPr>
                <w:fldChar w:fldCharType="end"/>
              </w:r>
            </w:p>
          </w:sdtContent>
        </w:sdt>
      </w:sdtContent>
    </w:sdt>
    <w:sectPr w:rsidR="005A18D1" w:rsidRPr="00A77AF6" w:rsidSect="005678DC">
      <w:pgSz w:w="11906" w:h="16838"/>
      <w:pgMar w:top="1440" w:right="851" w:bottom="1440"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584F32" w14:textId="77777777" w:rsidR="0076636A" w:rsidRDefault="0076636A" w:rsidP="0001262B">
      <w:pPr>
        <w:spacing w:after="0" w:line="240" w:lineRule="auto"/>
      </w:pPr>
      <w:r>
        <w:separator/>
      </w:r>
    </w:p>
  </w:endnote>
  <w:endnote w:type="continuationSeparator" w:id="0">
    <w:p w14:paraId="1FDD8B19" w14:textId="77777777" w:rsidR="0076636A" w:rsidRDefault="0076636A" w:rsidP="00012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1209441"/>
      <w:docPartObj>
        <w:docPartGallery w:val="Page Numbers (Bottom of Page)"/>
        <w:docPartUnique/>
      </w:docPartObj>
    </w:sdtPr>
    <w:sdtEndPr>
      <w:rPr>
        <w:noProof/>
      </w:rPr>
    </w:sdtEndPr>
    <w:sdtContent>
      <w:p w14:paraId="3EFDECD4" w14:textId="75C91A8D" w:rsidR="009C0325" w:rsidRDefault="009C0325">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FF34F71" w14:textId="77777777" w:rsidR="009C0325" w:rsidRDefault="009C03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8F2187" w14:textId="77777777" w:rsidR="0076636A" w:rsidRDefault="0076636A" w:rsidP="0001262B">
      <w:pPr>
        <w:spacing w:after="0" w:line="240" w:lineRule="auto"/>
      </w:pPr>
      <w:r>
        <w:separator/>
      </w:r>
    </w:p>
  </w:footnote>
  <w:footnote w:type="continuationSeparator" w:id="0">
    <w:p w14:paraId="6DB26ABD" w14:textId="77777777" w:rsidR="0076636A" w:rsidRDefault="0076636A" w:rsidP="000126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6297D"/>
    <w:multiLevelType w:val="hybridMultilevel"/>
    <w:tmpl w:val="6156A4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5810FD"/>
    <w:multiLevelType w:val="hybridMultilevel"/>
    <w:tmpl w:val="F5627C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1E742B"/>
    <w:multiLevelType w:val="hybridMultilevel"/>
    <w:tmpl w:val="F992EFEE"/>
    <w:lvl w:ilvl="0" w:tplc="F7D8C96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160B23"/>
    <w:multiLevelType w:val="hybridMultilevel"/>
    <w:tmpl w:val="E87C8E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C167E4"/>
    <w:multiLevelType w:val="hybridMultilevel"/>
    <w:tmpl w:val="2E8876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8A2756"/>
    <w:multiLevelType w:val="hybridMultilevel"/>
    <w:tmpl w:val="79D8BC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20A557E"/>
    <w:multiLevelType w:val="hybridMultilevel"/>
    <w:tmpl w:val="B2922E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16316B"/>
    <w:multiLevelType w:val="hybridMultilevel"/>
    <w:tmpl w:val="0466F5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CAE20FF"/>
    <w:multiLevelType w:val="hybridMultilevel"/>
    <w:tmpl w:val="0DE674F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3D1B79C6"/>
    <w:multiLevelType w:val="hybridMultilevel"/>
    <w:tmpl w:val="3D80E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0274D60"/>
    <w:multiLevelType w:val="hybridMultilevel"/>
    <w:tmpl w:val="5FCEF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615874"/>
    <w:multiLevelType w:val="multilevel"/>
    <w:tmpl w:val="529E0B62"/>
    <w:lvl w:ilvl="0">
      <w:start w:val="1"/>
      <w:numFmt w:val="decimal"/>
      <w:pStyle w:val="Heading1"/>
      <w:lvlText w:val="%1"/>
      <w:lvlJc w:val="left"/>
      <w:pPr>
        <w:ind w:left="432" w:hanging="432"/>
      </w:pPr>
    </w:lvl>
    <w:lvl w:ilvl="1">
      <w:start w:val="1"/>
      <w:numFmt w:val="decimal"/>
      <w:pStyle w:val="Heading2"/>
      <w:lvlText w:val="%1.%2"/>
      <w:lvlJc w:val="left"/>
      <w:pPr>
        <w:ind w:left="3978" w:hanging="576"/>
      </w:pPr>
      <w:rPr>
        <w:b/>
        <w:bCs/>
      </w:rPr>
    </w:lvl>
    <w:lvl w:ilvl="2">
      <w:start w:val="1"/>
      <w:numFmt w:val="decimal"/>
      <w:pStyle w:val="Heading3"/>
      <w:lvlText w:val="%1.%2.%3"/>
      <w:lvlJc w:val="left"/>
      <w:pPr>
        <w:ind w:left="4264" w:hanging="720"/>
      </w:pPr>
      <w:rPr>
        <w:rFonts w:asciiTheme="minorHAnsi" w:hAnsiTheme="minorHAnsi" w:cstheme="minorHAnsi" w:hint="default"/>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rPr>
        <w:b w:val="0"/>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46712C1C"/>
    <w:multiLevelType w:val="hybridMultilevel"/>
    <w:tmpl w:val="B7E20B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7956C3D"/>
    <w:multiLevelType w:val="hybridMultilevel"/>
    <w:tmpl w:val="08F61BDC"/>
    <w:lvl w:ilvl="0" w:tplc="3A9A780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83C6765"/>
    <w:multiLevelType w:val="hybridMultilevel"/>
    <w:tmpl w:val="A5FE8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4C578A"/>
    <w:multiLevelType w:val="hybridMultilevel"/>
    <w:tmpl w:val="3322F78E"/>
    <w:lvl w:ilvl="0" w:tplc="29E6CC02">
      <w:start w:val="15"/>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18B7B75"/>
    <w:multiLevelType w:val="hybridMultilevel"/>
    <w:tmpl w:val="1450B552"/>
    <w:lvl w:ilvl="0" w:tplc="92F68DEE">
      <w:start w:val="1"/>
      <w:numFmt w:val="lowerRoman"/>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472631F"/>
    <w:multiLevelType w:val="hybridMultilevel"/>
    <w:tmpl w:val="AB1E31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33253E0"/>
    <w:multiLevelType w:val="hybridMultilevel"/>
    <w:tmpl w:val="A656AFB0"/>
    <w:lvl w:ilvl="0" w:tplc="8FC874FC">
      <w:start w:val="1"/>
      <w:numFmt w:val="bullet"/>
      <w:lvlText w:val=""/>
      <w:lvlJc w:val="left"/>
      <w:pPr>
        <w:ind w:left="1080" w:hanging="360"/>
      </w:pPr>
      <w:rPr>
        <w:rFonts w:ascii="Symbol" w:hAnsi="Symbol" w:hint="default"/>
        <w:vertAlign w:val="superscript"/>
      </w:rPr>
    </w:lvl>
    <w:lvl w:ilvl="1" w:tplc="46B05C9C">
      <w:numFmt w:val="bullet"/>
      <w:lvlText w:val="•"/>
      <w:lvlJc w:val="left"/>
      <w:pPr>
        <w:ind w:left="1800" w:hanging="360"/>
      </w:pPr>
      <w:rPr>
        <w:rFonts w:ascii="Calibri" w:eastAsiaTheme="minorHAns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867073B"/>
    <w:multiLevelType w:val="hybridMultilevel"/>
    <w:tmpl w:val="2E8876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86A6B91"/>
    <w:multiLevelType w:val="hybridMultilevel"/>
    <w:tmpl w:val="150EF8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DEB1706"/>
    <w:multiLevelType w:val="hybridMultilevel"/>
    <w:tmpl w:val="22A0C0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55500FF"/>
    <w:multiLevelType w:val="hybridMultilevel"/>
    <w:tmpl w:val="5606AAD6"/>
    <w:lvl w:ilvl="0" w:tplc="92F68DEE">
      <w:start w:val="1"/>
      <w:numFmt w:val="lowerRoman"/>
      <w:lvlText w:val="%1)"/>
      <w:lvlJc w:val="left"/>
      <w:pPr>
        <w:ind w:left="765" w:hanging="72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num w:numId="1">
    <w:abstractNumId w:val="6"/>
  </w:num>
  <w:num w:numId="2">
    <w:abstractNumId w:val="18"/>
  </w:num>
  <w:num w:numId="3">
    <w:abstractNumId w:val="5"/>
  </w:num>
  <w:num w:numId="4">
    <w:abstractNumId w:val="7"/>
  </w:num>
  <w:num w:numId="5">
    <w:abstractNumId w:val="11"/>
  </w:num>
  <w:num w:numId="6">
    <w:abstractNumId w:val="0"/>
  </w:num>
  <w:num w:numId="7">
    <w:abstractNumId w:val="21"/>
  </w:num>
  <w:num w:numId="8">
    <w:abstractNumId w:val="17"/>
  </w:num>
  <w:num w:numId="9">
    <w:abstractNumId w:val="9"/>
  </w:num>
  <w:num w:numId="10">
    <w:abstractNumId w:val="3"/>
  </w:num>
  <w:num w:numId="11">
    <w:abstractNumId w:val="1"/>
  </w:num>
  <w:num w:numId="12">
    <w:abstractNumId w:val="12"/>
  </w:num>
  <w:num w:numId="13">
    <w:abstractNumId w:val="14"/>
  </w:num>
  <w:num w:numId="14">
    <w:abstractNumId w:val="15"/>
  </w:num>
  <w:num w:numId="15">
    <w:abstractNumId w:val="10"/>
  </w:num>
  <w:num w:numId="16">
    <w:abstractNumId w:val="8"/>
  </w:num>
  <w:num w:numId="17">
    <w:abstractNumId w:val="22"/>
  </w:num>
  <w:num w:numId="18">
    <w:abstractNumId w:val="2"/>
  </w:num>
  <w:num w:numId="19">
    <w:abstractNumId w:val="13"/>
  </w:num>
  <w:num w:numId="20">
    <w:abstractNumId w:val="16"/>
  </w:num>
  <w:num w:numId="21">
    <w:abstractNumId w:val="19"/>
  </w:num>
  <w:num w:numId="22">
    <w:abstractNumId w:val="4"/>
  </w:num>
  <w:num w:numId="23">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980"/>
    <w:rsid w:val="000004A5"/>
    <w:rsid w:val="00000986"/>
    <w:rsid w:val="000009D4"/>
    <w:rsid w:val="00000DBF"/>
    <w:rsid w:val="00001121"/>
    <w:rsid w:val="0000115F"/>
    <w:rsid w:val="000013CC"/>
    <w:rsid w:val="00001A02"/>
    <w:rsid w:val="00001AD9"/>
    <w:rsid w:val="00002381"/>
    <w:rsid w:val="0000249D"/>
    <w:rsid w:val="00002510"/>
    <w:rsid w:val="00002EA5"/>
    <w:rsid w:val="00002FD1"/>
    <w:rsid w:val="00003167"/>
    <w:rsid w:val="000031DB"/>
    <w:rsid w:val="0000325C"/>
    <w:rsid w:val="00003295"/>
    <w:rsid w:val="000034AE"/>
    <w:rsid w:val="00003543"/>
    <w:rsid w:val="000037EF"/>
    <w:rsid w:val="00003814"/>
    <w:rsid w:val="00003D18"/>
    <w:rsid w:val="00003DAA"/>
    <w:rsid w:val="00004579"/>
    <w:rsid w:val="00004663"/>
    <w:rsid w:val="000048A0"/>
    <w:rsid w:val="00004BD3"/>
    <w:rsid w:val="00005402"/>
    <w:rsid w:val="00005902"/>
    <w:rsid w:val="0000606D"/>
    <w:rsid w:val="000063C2"/>
    <w:rsid w:val="000068EE"/>
    <w:rsid w:val="00006A5D"/>
    <w:rsid w:val="00007710"/>
    <w:rsid w:val="00010378"/>
    <w:rsid w:val="00010535"/>
    <w:rsid w:val="00010536"/>
    <w:rsid w:val="00010D43"/>
    <w:rsid w:val="00010E79"/>
    <w:rsid w:val="00010EDE"/>
    <w:rsid w:val="00010FF9"/>
    <w:rsid w:val="000111A1"/>
    <w:rsid w:val="00011234"/>
    <w:rsid w:val="0001123A"/>
    <w:rsid w:val="00011684"/>
    <w:rsid w:val="0001179E"/>
    <w:rsid w:val="00011E5A"/>
    <w:rsid w:val="0001217E"/>
    <w:rsid w:val="0001262B"/>
    <w:rsid w:val="00012BE6"/>
    <w:rsid w:val="00012D31"/>
    <w:rsid w:val="0001325A"/>
    <w:rsid w:val="000132F1"/>
    <w:rsid w:val="0001339D"/>
    <w:rsid w:val="000134D5"/>
    <w:rsid w:val="0001380E"/>
    <w:rsid w:val="00013A5A"/>
    <w:rsid w:val="00013AB6"/>
    <w:rsid w:val="00013C41"/>
    <w:rsid w:val="00013CA4"/>
    <w:rsid w:val="00013D2C"/>
    <w:rsid w:val="00013F34"/>
    <w:rsid w:val="0001412C"/>
    <w:rsid w:val="0001486E"/>
    <w:rsid w:val="00014A49"/>
    <w:rsid w:val="00014C67"/>
    <w:rsid w:val="0001517E"/>
    <w:rsid w:val="00015307"/>
    <w:rsid w:val="00015362"/>
    <w:rsid w:val="00015780"/>
    <w:rsid w:val="000159D3"/>
    <w:rsid w:val="000159E3"/>
    <w:rsid w:val="00015E9A"/>
    <w:rsid w:val="00015F71"/>
    <w:rsid w:val="000160A5"/>
    <w:rsid w:val="000160F3"/>
    <w:rsid w:val="0001696E"/>
    <w:rsid w:val="00016D96"/>
    <w:rsid w:val="00017428"/>
    <w:rsid w:val="000179E9"/>
    <w:rsid w:val="00017BB9"/>
    <w:rsid w:val="00017D5E"/>
    <w:rsid w:val="00020834"/>
    <w:rsid w:val="00020BF5"/>
    <w:rsid w:val="00020D65"/>
    <w:rsid w:val="0002162A"/>
    <w:rsid w:val="00021669"/>
    <w:rsid w:val="000219D6"/>
    <w:rsid w:val="00021ADE"/>
    <w:rsid w:val="00022573"/>
    <w:rsid w:val="00022A50"/>
    <w:rsid w:val="00022C9B"/>
    <w:rsid w:val="00022CED"/>
    <w:rsid w:val="000230D6"/>
    <w:rsid w:val="000232E2"/>
    <w:rsid w:val="00023911"/>
    <w:rsid w:val="000239E2"/>
    <w:rsid w:val="00023CAC"/>
    <w:rsid w:val="000241CC"/>
    <w:rsid w:val="0002460C"/>
    <w:rsid w:val="0002494C"/>
    <w:rsid w:val="00024AB2"/>
    <w:rsid w:val="00025316"/>
    <w:rsid w:val="00025416"/>
    <w:rsid w:val="000255AF"/>
    <w:rsid w:val="00025E32"/>
    <w:rsid w:val="00025E66"/>
    <w:rsid w:val="00025EB6"/>
    <w:rsid w:val="00026354"/>
    <w:rsid w:val="00026412"/>
    <w:rsid w:val="0002655D"/>
    <w:rsid w:val="00026566"/>
    <w:rsid w:val="00026F2C"/>
    <w:rsid w:val="00027530"/>
    <w:rsid w:val="00027A4B"/>
    <w:rsid w:val="00027B0B"/>
    <w:rsid w:val="00027DFD"/>
    <w:rsid w:val="0003016B"/>
    <w:rsid w:val="00030672"/>
    <w:rsid w:val="00030B28"/>
    <w:rsid w:val="00030D27"/>
    <w:rsid w:val="00030FF8"/>
    <w:rsid w:val="0003148B"/>
    <w:rsid w:val="00031590"/>
    <w:rsid w:val="00031728"/>
    <w:rsid w:val="00031792"/>
    <w:rsid w:val="00031A0F"/>
    <w:rsid w:val="00031B97"/>
    <w:rsid w:val="00031DB6"/>
    <w:rsid w:val="000323AE"/>
    <w:rsid w:val="000325E9"/>
    <w:rsid w:val="000325FD"/>
    <w:rsid w:val="00032653"/>
    <w:rsid w:val="0003273A"/>
    <w:rsid w:val="000327F2"/>
    <w:rsid w:val="00032871"/>
    <w:rsid w:val="00032D8A"/>
    <w:rsid w:val="00033265"/>
    <w:rsid w:val="00033266"/>
    <w:rsid w:val="0003343F"/>
    <w:rsid w:val="00033471"/>
    <w:rsid w:val="000336AB"/>
    <w:rsid w:val="00033C8A"/>
    <w:rsid w:val="00033F47"/>
    <w:rsid w:val="000344E8"/>
    <w:rsid w:val="000346F1"/>
    <w:rsid w:val="0003483C"/>
    <w:rsid w:val="00034BA9"/>
    <w:rsid w:val="000352FC"/>
    <w:rsid w:val="0003548A"/>
    <w:rsid w:val="000354C4"/>
    <w:rsid w:val="00035683"/>
    <w:rsid w:val="00035719"/>
    <w:rsid w:val="00035C16"/>
    <w:rsid w:val="000361EE"/>
    <w:rsid w:val="000365D2"/>
    <w:rsid w:val="000366B6"/>
    <w:rsid w:val="00036809"/>
    <w:rsid w:val="00037307"/>
    <w:rsid w:val="0003770B"/>
    <w:rsid w:val="000379B0"/>
    <w:rsid w:val="000401B9"/>
    <w:rsid w:val="000402E2"/>
    <w:rsid w:val="0004086C"/>
    <w:rsid w:val="00040B02"/>
    <w:rsid w:val="000420D1"/>
    <w:rsid w:val="000421D1"/>
    <w:rsid w:val="00042589"/>
    <w:rsid w:val="0004294D"/>
    <w:rsid w:val="00042ADC"/>
    <w:rsid w:val="00042C3D"/>
    <w:rsid w:val="00042E99"/>
    <w:rsid w:val="0004322E"/>
    <w:rsid w:val="000432E8"/>
    <w:rsid w:val="000438BE"/>
    <w:rsid w:val="00043F05"/>
    <w:rsid w:val="000441F7"/>
    <w:rsid w:val="0004427D"/>
    <w:rsid w:val="00044380"/>
    <w:rsid w:val="000445F6"/>
    <w:rsid w:val="00044754"/>
    <w:rsid w:val="00044959"/>
    <w:rsid w:val="000453ED"/>
    <w:rsid w:val="0004542B"/>
    <w:rsid w:val="00045589"/>
    <w:rsid w:val="0004581E"/>
    <w:rsid w:val="00045A40"/>
    <w:rsid w:val="0004652A"/>
    <w:rsid w:val="000468E5"/>
    <w:rsid w:val="00046915"/>
    <w:rsid w:val="00046CE5"/>
    <w:rsid w:val="00046F4C"/>
    <w:rsid w:val="00047E6D"/>
    <w:rsid w:val="0005020C"/>
    <w:rsid w:val="00050979"/>
    <w:rsid w:val="00050ACD"/>
    <w:rsid w:val="00050C09"/>
    <w:rsid w:val="0005108F"/>
    <w:rsid w:val="00051103"/>
    <w:rsid w:val="000511A6"/>
    <w:rsid w:val="000512A1"/>
    <w:rsid w:val="000515AD"/>
    <w:rsid w:val="00051974"/>
    <w:rsid w:val="000520C5"/>
    <w:rsid w:val="00052151"/>
    <w:rsid w:val="00052803"/>
    <w:rsid w:val="00052B97"/>
    <w:rsid w:val="00052C98"/>
    <w:rsid w:val="000530E5"/>
    <w:rsid w:val="00053162"/>
    <w:rsid w:val="0005316D"/>
    <w:rsid w:val="00053374"/>
    <w:rsid w:val="0005351B"/>
    <w:rsid w:val="000538CE"/>
    <w:rsid w:val="000538DD"/>
    <w:rsid w:val="000544C3"/>
    <w:rsid w:val="0005461D"/>
    <w:rsid w:val="00054724"/>
    <w:rsid w:val="0005483F"/>
    <w:rsid w:val="0005488A"/>
    <w:rsid w:val="0005497E"/>
    <w:rsid w:val="00054AE2"/>
    <w:rsid w:val="00054BD2"/>
    <w:rsid w:val="00054FD1"/>
    <w:rsid w:val="00055112"/>
    <w:rsid w:val="0005536A"/>
    <w:rsid w:val="000559EF"/>
    <w:rsid w:val="00055DF4"/>
    <w:rsid w:val="000560FA"/>
    <w:rsid w:val="000561AA"/>
    <w:rsid w:val="000562F6"/>
    <w:rsid w:val="00056811"/>
    <w:rsid w:val="00056B30"/>
    <w:rsid w:val="00057213"/>
    <w:rsid w:val="000573D4"/>
    <w:rsid w:val="000579E5"/>
    <w:rsid w:val="00057D0B"/>
    <w:rsid w:val="00057E9A"/>
    <w:rsid w:val="0006001F"/>
    <w:rsid w:val="000601FB"/>
    <w:rsid w:val="000606BB"/>
    <w:rsid w:val="0006094A"/>
    <w:rsid w:val="00060E5B"/>
    <w:rsid w:val="00061664"/>
    <w:rsid w:val="0006182A"/>
    <w:rsid w:val="00062006"/>
    <w:rsid w:val="0006246C"/>
    <w:rsid w:val="000627F5"/>
    <w:rsid w:val="00062A8A"/>
    <w:rsid w:val="00062C37"/>
    <w:rsid w:val="00063AA3"/>
    <w:rsid w:val="00063BF2"/>
    <w:rsid w:val="000641C3"/>
    <w:rsid w:val="0006436F"/>
    <w:rsid w:val="000649E0"/>
    <w:rsid w:val="00064A0F"/>
    <w:rsid w:val="00064B42"/>
    <w:rsid w:val="00064E07"/>
    <w:rsid w:val="00065048"/>
    <w:rsid w:val="000655D8"/>
    <w:rsid w:val="00065A60"/>
    <w:rsid w:val="00065CD0"/>
    <w:rsid w:val="00065FFA"/>
    <w:rsid w:val="000661D4"/>
    <w:rsid w:val="000663C1"/>
    <w:rsid w:val="00066559"/>
    <w:rsid w:val="000667E4"/>
    <w:rsid w:val="00066BF6"/>
    <w:rsid w:val="00067012"/>
    <w:rsid w:val="000673B0"/>
    <w:rsid w:val="000677E8"/>
    <w:rsid w:val="0007026B"/>
    <w:rsid w:val="0007061D"/>
    <w:rsid w:val="0007078D"/>
    <w:rsid w:val="00070D70"/>
    <w:rsid w:val="00070E10"/>
    <w:rsid w:val="00070FFF"/>
    <w:rsid w:val="000713FB"/>
    <w:rsid w:val="00071444"/>
    <w:rsid w:val="00071462"/>
    <w:rsid w:val="00071A80"/>
    <w:rsid w:val="00071C0E"/>
    <w:rsid w:val="00071D68"/>
    <w:rsid w:val="00071E66"/>
    <w:rsid w:val="000721A8"/>
    <w:rsid w:val="000721FF"/>
    <w:rsid w:val="00073737"/>
    <w:rsid w:val="00073CED"/>
    <w:rsid w:val="000743F9"/>
    <w:rsid w:val="0007452B"/>
    <w:rsid w:val="00074A18"/>
    <w:rsid w:val="00074C81"/>
    <w:rsid w:val="00074EA5"/>
    <w:rsid w:val="00074F2F"/>
    <w:rsid w:val="00075B68"/>
    <w:rsid w:val="000760C1"/>
    <w:rsid w:val="000778CB"/>
    <w:rsid w:val="00077DFD"/>
    <w:rsid w:val="00077E0E"/>
    <w:rsid w:val="00077EC5"/>
    <w:rsid w:val="00080042"/>
    <w:rsid w:val="000802B6"/>
    <w:rsid w:val="000805FF"/>
    <w:rsid w:val="00080A45"/>
    <w:rsid w:val="00080C62"/>
    <w:rsid w:val="00080CE1"/>
    <w:rsid w:val="00080DA1"/>
    <w:rsid w:val="0008131C"/>
    <w:rsid w:val="000814C3"/>
    <w:rsid w:val="00081524"/>
    <w:rsid w:val="00081723"/>
    <w:rsid w:val="00081D8B"/>
    <w:rsid w:val="00082139"/>
    <w:rsid w:val="000821FA"/>
    <w:rsid w:val="0008246D"/>
    <w:rsid w:val="00082608"/>
    <w:rsid w:val="0008273D"/>
    <w:rsid w:val="00082B0A"/>
    <w:rsid w:val="00082C17"/>
    <w:rsid w:val="000830C9"/>
    <w:rsid w:val="00083242"/>
    <w:rsid w:val="000834F1"/>
    <w:rsid w:val="000837B8"/>
    <w:rsid w:val="000838F0"/>
    <w:rsid w:val="0008393B"/>
    <w:rsid w:val="00083BE8"/>
    <w:rsid w:val="0008487D"/>
    <w:rsid w:val="00084950"/>
    <w:rsid w:val="00084E23"/>
    <w:rsid w:val="000852D9"/>
    <w:rsid w:val="000853AD"/>
    <w:rsid w:val="000863BA"/>
    <w:rsid w:val="000864E8"/>
    <w:rsid w:val="00087480"/>
    <w:rsid w:val="00087562"/>
    <w:rsid w:val="00087677"/>
    <w:rsid w:val="00087751"/>
    <w:rsid w:val="00087E43"/>
    <w:rsid w:val="00087F0E"/>
    <w:rsid w:val="000900D5"/>
    <w:rsid w:val="00090421"/>
    <w:rsid w:val="00090705"/>
    <w:rsid w:val="00090CE7"/>
    <w:rsid w:val="00090E4B"/>
    <w:rsid w:val="0009117B"/>
    <w:rsid w:val="00091208"/>
    <w:rsid w:val="00091328"/>
    <w:rsid w:val="000919BC"/>
    <w:rsid w:val="00091A04"/>
    <w:rsid w:val="00091D05"/>
    <w:rsid w:val="0009226C"/>
    <w:rsid w:val="00092582"/>
    <w:rsid w:val="000929A1"/>
    <w:rsid w:val="00092C5E"/>
    <w:rsid w:val="00092E3C"/>
    <w:rsid w:val="00093088"/>
    <w:rsid w:val="000934D5"/>
    <w:rsid w:val="000934ED"/>
    <w:rsid w:val="00093E95"/>
    <w:rsid w:val="00093F26"/>
    <w:rsid w:val="000941BF"/>
    <w:rsid w:val="000941CC"/>
    <w:rsid w:val="00094697"/>
    <w:rsid w:val="00094EBD"/>
    <w:rsid w:val="00095133"/>
    <w:rsid w:val="00095155"/>
    <w:rsid w:val="00095269"/>
    <w:rsid w:val="00095883"/>
    <w:rsid w:val="00095930"/>
    <w:rsid w:val="000959C3"/>
    <w:rsid w:val="00095B47"/>
    <w:rsid w:val="00095FCE"/>
    <w:rsid w:val="00095FD6"/>
    <w:rsid w:val="0009635A"/>
    <w:rsid w:val="0009690F"/>
    <w:rsid w:val="00096ACD"/>
    <w:rsid w:val="00096B23"/>
    <w:rsid w:val="00097111"/>
    <w:rsid w:val="000971EF"/>
    <w:rsid w:val="0009728B"/>
    <w:rsid w:val="0009758C"/>
    <w:rsid w:val="00097679"/>
    <w:rsid w:val="000A02E2"/>
    <w:rsid w:val="000A0439"/>
    <w:rsid w:val="000A057C"/>
    <w:rsid w:val="000A08AE"/>
    <w:rsid w:val="000A0E19"/>
    <w:rsid w:val="000A0F6F"/>
    <w:rsid w:val="000A0FA3"/>
    <w:rsid w:val="000A13DC"/>
    <w:rsid w:val="000A19C1"/>
    <w:rsid w:val="000A1A39"/>
    <w:rsid w:val="000A1DB5"/>
    <w:rsid w:val="000A2013"/>
    <w:rsid w:val="000A2897"/>
    <w:rsid w:val="000A32CD"/>
    <w:rsid w:val="000A398E"/>
    <w:rsid w:val="000A3A1C"/>
    <w:rsid w:val="000A3B15"/>
    <w:rsid w:val="000A3DA0"/>
    <w:rsid w:val="000A3DDA"/>
    <w:rsid w:val="000A4696"/>
    <w:rsid w:val="000A4BBB"/>
    <w:rsid w:val="000A4C76"/>
    <w:rsid w:val="000A4D91"/>
    <w:rsid w:val="000A4EA4"/>
    <w:rsid w:val="000A501C"/>
    <w:rsid w:val="000A5288"/>
    <w:rsid w:val="000A57C9"/>
    <w:rsid w:val="000A5A5D"/>
    <w:rsid w:val="000A5C97"/>
    <w:rsid w:val="000A5FD9"/>
    <w:rsid w:val="000A6292"/>
    <w:rsid w:val="000A62A1"/>
    <w:rsid w:val="000A65E2"/>
    <w:rsid w:val="000A6948"/>
    <w:rsid w:val="000A69AF"/>
    <w:rsid w:val="000A6F6E"/>
    <w:rsid w:val="000A7195"/>
    <w:rsid w:val="000A7522"/>
    <w:rsid w:val="000A7599"/>
    <w:rsid w:val="000A7A82"/>
    <w:rsid w:val="000A7D1C"/>
    <w:rsid w:val="000A7FDB"/>
    <w:rsid w:val="000B01B6"/>
    <w:rsid w:val="000B03E7"/>
    <w:rsid w:val="000B041E"/>
    <w:rsid w:val="000B04D6"/>
    <w:rsid w:val="000B0847"/>
    <w:rsid w:val="000B0FEE"/>
    <w:rsid w:val="000B105F"/>
    <w:rsid w:val="000B127D"/>
    <w:rsid w:val="000B130A"/>
    <w:rsid w:val="000B16D3"/>
    <w:rsid w:val="000B184B"/>
    <w:rsid w:val="000B193A"/>
    <w:rsid w:val="000B1A3F"/>
    <w:rsid w:val="000B1E71"/>
    <w:rsid w:val="000B1FFA"/>
    <w:rsid w:val="000B2197"/>
    <w:rsid w:val="000B2E83"/>
    <w:rsid w:val="000B30EE"/>
    <w:rsid w:val="000B3622"/>
    <w:rsid w:val="000B3BB4"/>
    <w:rsid w:val="000B3BE7"/>
    <w:rsid w:val="000B4A52"/>
    <w:rsid w:val="000B4B5E"/>
    <w:rsid w:val="000B4BE1"/>
    <w:rsid w:val="000B4E5B"/>
    <w:rsid w:val="000B5EEE"/>
    <w:rsid w:val="000B6424"/>
    <w:rsid w:val="000B64D9"/>
    <w:rsid w:val="000B69A8"/>
    <w:rsid w:val="000B6CD4"/>
    <w:rsid w:val="000B6D1F"/>
    <w:rsid w:val="000B6ED6"/>
    <w:rsid w:val="000B72A9"/>
    <w:rsid w:val="000B76B6"/>
    <w:rsid w:val="000B7BF6"/>
    <w:rsid w:val="000B7BFA"/>
    <w:rsid w:val="000B7C19"/>
    <w:rsid w:val="000B7D95"/>
    <w:rsid w:val="000B7E26"/>
    <w:rsid w:val="000C00B2"/>
    <w:rsid w:val="000C0175"/>
    <w:rsid w:val="000C0276"/>
    <w:rsid w:val="000C0EEA"/>
    <w:rsid w:val="000C0F02"/>
    <w:rsid w:val="000C1208"/>
    <w:rsid w:val="000C129E"/>
    <w:rsid w:val="000C1844"/>
    <w:rsid w:val="000C1951"/>
    <w:rsid w:val="000C1FE5"/>
    <w:rsid w:val="000C2574"/>
    <w:rsid w:val="000C26B0"/>
    <w:rsid w:val="000C2707"/>
    <w:rsid w:val="000C2ED8"/>
    <w:rsid w:val="000C345F"/>
    <w:rsid w:val="000C3587"/>
    <w:rsid w:val="000C37BA"/>
    <w:rsid w:val="000C3843"/>
    <w:rsid w:val="000C3847"/>
    <w:rsid w:val="000C462C"/>
    <w:rsid w:val="000C4AA5"/>
    <w:rsid w:val="000C4BA8"/>
    <w:rsid w:val="000C4E0D"/>
    <w:rsid w:val="000C50A3"/>
    <w:rsid w:val="000C52F2"/>
    <w:rsid w:val="000C5610"/>
    <w:rsid w:val="000C56A3"/>
    <w:rsid w:val="000C5829"/>
    <w:rsid w:val="000C5B74"/>
    <w:rsid w:val="000C5F10"/>
    <w:rsid w:val="000C6589"/>
    <w:rsid w:val="000C6658"/>
    <w:rsid w:val="000C6A9C"/>
    <w:rsid w:val="000C6AF1"/>
    <w:rsid w:val="000C6B4F"/>
    <w:rsid w:val="000C6CCC"/>
    <w:rsid w:val="000C6F4C"/>
    <w:rsid w:val="000C7052"/>
    <w:rsid w:val="000C75ED"/>
    <w:rsid w:val="000C7AB9"/>
    <w:rsid w:val="000C7B48"/>
    <w:rsid w:val="000C7D20"/>
    <w:rsid w:val="000C7D9C"/>
    <w:rsid w:val="000C7FEE"/>
    <w:rsid w:val="000D00F8"/>
    <w:rsid w:val="000D01BE"/>
    <w:rsid w:val="000D0266"/>
    <w:rsid w:val="000D04CD"/>
    <w:rsid w:val="000D0505"/>
    <w:rsid w:val="000D065D"/>
    <w:rsid w:val="000D0717"/>
    <w:rsid w:val="000D07B3"/>
    <w:rsid w:val="000D0FA4"/>
    <w:rsid w:val="000D10D7"/>
    <w:rsid w:val="000D1782"/>
    <w:rsid w:val="000D1EFF"/>
    <w:rsid w:val="000D1FE5"/>
    <w:rsid w:val="000D228C"/>
    <w:rsid w:val="000D2667"/>
    <w:rsid w:val="000D27DB"/>
    <w:rsid w:val="000D2B80"/>
    <w:rsid w:val="000D2BFF"/>
    <w:rsid w:val="000D3CF9"/>
    <w:rsid w:val="000D3E2A"/>
    <w:rsid w:val="000D4362"/>
    <w:rsid w:val="000D4363"/>
    <w:rsid w:val="000D445B"/>
    <w:rsid w:val="000D4960"/>
    <w:rsid w:val="000D4ACC"/>
    <w:rsid w:val="000D4AD5"/>
    <w:rsid w:val="000D4C61"/>
    <w:rsid w:val="000D5076"/>
    <w:rsid w:val="000D50B6"/>
    <w:rsid w:val="000D56E7"/>
    <w:rsid w:val="000D57F3"/>
    <w:rsid w:val="000D591C"/>
    <w:rsid w:val="000D5D38"/>
    <w:rsid w:val="000D5FE3"/>
    <w:rsid w:val="000D605A"/>
    <w:rsid w:val="000D6099"/>
    <w:rsid w:val="000D619C"/>
    <w:rsid w:val="000D629E"/>
    <w:rsid w:val="000D64B3"/>
    <w:rsid w:val="000D668F"/>
    <w:rsid w:val="000D683A"/>
    <w:rsid w:val="000D7371"/>
    <w:rsid w:val="000D74A7"/>
    <w:rsid w:val="000D7647"/>
    <w:rsid w:val="000D780C"/>
    <w:rsid w:val="000D7911"/>
    <w:rsid w:val="000D7C4C"/>
    <w:rsid w:val="000D7D72"/>
    <w:rsid w:val="000D7F99"/>
    <w:rsid w:val="000E0628"/>
    <w:rsid w:val="000E068E"/>
    <w:rsid w:val="000E093C"/>
    <w:rsid w:val="000E0A35"/>
    <w:rsid w:val="000E0D18"/>
    <w:rsid w:val="000E0E60"/>
    <w:rsid w:val="000E128D"/>
    <w:rsid w:val="000E1449"/>
    <w:rsid w:val="000E147D"/>
    <w:rsid w:val="000E1581"/>
    <w:rsid w:val="000E2796"/>
    <w:rsid w:val="000E2ADA"/>
    <w:rsid w:val="000E2AF5"/>
    <w:rsid w:val="000E2B7F"/>
    <w:rsid w:val="000E2F9E"/>
    <w:rsid w:val="000E329C"/>
    <w:rsid w:val="000E39FC"/>
    <w:rsid w:val="000E3A63"/>
    <w:rsid w:val="000E40EF"/>
    <w:rsid w:val="000E42B3"/>
    <w:rsid w:val="000E44A6"/>
    <w:rsid w:val="000E44FB"/>
    <w:rsid w:val="000E49F3"/>
    <w:rsid w:val="000E4B15"/>
    <w:rsid w:val="000E52A7"/>
    <w:rsid w:val="000E5378"/>
    <w:rsid w:val="000E58B0"/>
    <w:rsid w:val="000E5F54"/>
    <w:rsid w:val="000E6361"/>
    <w:rsid w:val="000E6531"/>
    <w:rsid w:val="000E65F6"/>
    <w:rsid w:val="000E6642"/>
    <w:rsid w:val="000E6846"/>
    <w:rsid w:val="000E6D45"/>
    <w:rsid w:val="000E6F3F"/>
    <w:rsid w:val="000E6F9F"/>
    <w:rsid w:val="000E75B1"/>
    <w:rsid w:val="000E78D0"/>
    <w:rsid w:val="000E7AAB"/>
    <w:rsid w:val="000E7DD5"/>
    <w:rsid w:val="000F0070"/>
    <w:rsid w:val="000F01D6"/>
    <w:rsid w:val="000F0382"/>
    <w:rsid w:val="000F0BBE"/>
    <w:rsid w:val="000F0D59"/>
    <w:rsid w:val="000F0FAE"/>
    <w:rsid w:val="000F0FB1"/>
    <w:rsid w:val="000F1B0C"/>
    <w:rsid w:val="000F1B7A"/>
    <w:rsid w:val="000F1EDB"/>
    <w:rsid w:val="000F211D"/>
    <w:rsid w:val="000F22F6"/>
    <w:rsid w:val="000F2E02"/>
    <w:rsid w:val="000F3882"/>
    <w:rsid w:val="000F3CE5"/>
    <w:rsid w:val="000F4B75"/>
    <w:rsid w:val="000F4BC6"/>
    <w:rsid w:val="000F4D46"/>
    <w:rsid w:val="000F53AC"/>
    <w:rsid w:val="000F551F"/>
    <w:rsid w:val="000F5A78"/>
    <w:rsid w:val="000F5DD2"/>
    <w:rsid w:val="000F6269"/>
    <w:rsid w:val="000F6740"/>
    <w:rsid w:val="000F6750"/>
    <w:rsid w:val="000F6C9B"/>
    <w:rsid w:val="000F7225"/>
    <w:rsid w:val="000F742F"/>
    <w:rsid w:val="000F7447"/>
    <w:rsid w:val="000F7934"/>
    <w:rsid w:val="000F796C"/>
    <w:rsid w:val="000F7A50"/>
    <w:rsid w:val="000F7AFF"/>
    <w:rsid w:val="00100919"/>
    <w:rsid w:val="00100D3A"/>
    <w:rsid w:val="001011F0"/>
    <w:rsid w:val="001012D3"/>
    <w:rsid w:val="00101401"/>
    <w:rsid w:val="0010272B"/>
    <w:rsid w:val="00102AE3"/>
    <w:rsid w:val="00102B8B"/>
    <w:rsid w:val="00103A71"/>
    <w:rsid w:val="00103A7D"/>
    <w:rsid w:val="00103BA7"/>
    <w:rsid w:val="00103D33"/>
    <w:rsid w:val="00103DC5"/>
    <w:rsid w:val="00103FAD"/>
    <w:rsid w:val="001043A4"/>
    <w:rsid w:val="00104464"/>
    <w:rsid w:val="0010454C"/>
    <w:rsid w:val="00104787"/>
    <w:rsid w:val="00104953"/>
    <w:rsid w:val="00104991"/>
    <w:rsid w:val="00104DB1"/>
    <w:rsid w:val="00104E94"/>
    <w:rsid w:val="0010552D"/>
    <w:rsid w:val="001055F0"/>
    <w:rsid w:val="001056D1"/>
    <w:rsid w:val="00105D8D"/>
    <w:rsid w:val="0010634E"/>
    <w:rsid w:val="00106380"/>
    <w:rsid w:val="00106546"/>
    <w:rsid w:val="0010655B"/>
    <w:rsid w:val="0010660F"/>
    <w:rsid w:val="00106791"/>
    <w:rsid w:val="001069AD"/>
    <w:rsid w:val="00106BA1"/>
    <w:rsid w:val="00107051"/>
    <w:rsid w:val="00107770"/>
    <w:rsid w:val="00107A20"/>
    <w:rsid w:val="00107FBC"/>
    <w:rsid w:val="00110160"/>
    <w:rsid w:val="001103ED"/>
    <w:rsid w:val="00110558"/>
    <w:rsid w:val="001105C3"/>
    <w:rsid w:val="00110A3F"/>
    <w:rsid w:val="00110FA1"/>
    <w:rsid w:val="00111475"/>
    <w:rsid w:val="0011159E"/>
    <w:rsid w:val="00111600"/>
    <w:rsid w:val="00111EE1"/>
    <w:rsid w:val="00112618"/>
    <w:rsid w:val="00112830"/>
    <w:rsid w:val="001128F5"/>
    <w:rsid w:val="00112A90"/>
    <w:rsid w:val="00112C25"/>
    <w:rsid w:val="00112C5A"/>
    <w:rsid w:val="00112C78"/>
    <w:rsid w:val="00112E6D"/>
    <w:rsid w:val="001130BC"/>
    <w:rsid w:val="001132AE"/>
    <w:rsid w:val="00113838"/>
    <w:rsid w:val="00113855"/>
    <w:rsid w:val="00113D20"/>
    <w:rsid w:val="00113D43"/>
    <w:rsid w:val="00113EEA"/>
    <w:rsid w:val="001140B1"/>
    <w:rsid w:val="00114250"/>
    <w:rsid w:val="0011430E"/>
    <w:rsid w:val="00114636"/>
    <w:rsid w:val="0011471A"/>
    <w:rsid w:val="001147DD"/>
    <w:rsid w:val="00114AA7"/>
    <w:rsid w:val="0011571D"/>
    <w:rsid w:val="001157B4"/>
    <w:rsid w:val="00115873"/>
    <w:rsid w:val="00115A44"/>
    <w:rsid w:val="0011600D"/>
    <w:rsid w:val="0011622D"/>
    <w:rsid w:val="00116BB8"/>
    <w:rsid w:val="00116C90"/>
    <w:rsid w:val="00116E44"/>
    <w:rsid w:val="0011744A"/>
    <w:rsid w:val="00117506"/>
    <w:rsid w:val="00117823"/>
    <w:rsid w:val="00120013"/>
    <w:rsid w:val="0012048B"/>
    <w:rsid w:val="00120CBA"/>
    <w:rsid w:val="00120F76"/>
    <w:rsid w:val="00121339"/>
    <w:rsid w:val="0012135D"/>
    <w:rsid w:val="00121412"/>
    <w:rsid w:val="00121827"/>
    <w:rsid w:val="0012184C"/>
    <w:rsid w:val="00121EA7"/>
    <w:rsid w:val="00122217"/>
    <w:rsid w:val="0012240A"/>
    <w:rsid w:val="0012270D"/>
    <w:rsid w:val="00122891"/>
    <w:rsid w:val="00122978"/>
    <w:rsid w:val="00122BDE"/>
    <w:rsid w:val="00122C24"/>
    <w:rsid w:val="00122C48"/>
    <w:rsid w:val="00122C4D"/>
    <w:rsid w:val="00122E45"/>
    <w:rsid w:val="00123017"/>
    <w:rsid w:val="00123882"/>
    <w:rsid w:val="0012388F"/>
    <w:rsid w:val="00123BB6"/>
    <w:rsid w:val="00123F9C"/>
    <w:rsid w:val="00123FFC"/>
    <w:rsid w:val="00124008"/>
    <w:rsid w:val="001245CA"/>
    <w:rsid w:val="00124973"/>
    <w:rsid w:val="00124A3C"/>
    <w:rsid w:val="0012541B"/>
    <w:rsid w:val="00125566"/>
    <w:rsid w:val="00125610"/>
    <w:rsid w:val="0012566D"/>
    <w:rsid w:val="00125BA2"/>
    <w:rsid w:val="00125BB9"/>
    <w:rsid w:val="00125EC4"/>
    <w:rsid w:val="00126102"/>
    <w:rsid w:val="001263B6"/>
    <w:rsid w:val="001267F4"/>
    <w:rsid w:val="00126BDE"/>
    <w:rsid w:val="00126C97"/>
    <w:rsid w:val="00127339"/>
    <w:rsid w:val="00127602"/>
    <w:rsid w:val="00127AE7"/>
    <w:rsid w:val="00127D92"/>
    <w:rsid w:val="00127ED7"/>
    <w:rsid w:val="00127F32"/>
    <w:rsid w:val="00130558"/>
    <w:rsid w:val="0013099C"/>
    <w:rsid w:val="00130B51"/>
    <w:rsid w:val="00130C9B"/>
    <w:rsid w:val="00130E8F"/>
    <w:rsid w:val="00131000"/>
    <w:rsid w:val="00131105"/>
    <w:rsid w:val="00131933"/>
    <w:rsid w:val="00131C84"/>
    <w:rsid w:val="00131FC5"/>
    <w:rsid w:val="00132350"/>
    <w:rsid w:val="00132353"/>
    <w:rsid w:val="0013281C"/>
    <w:rsid w:val="001328AB"/>
    <w:rsid w:val="00132D96"/>
    <w:rsid w:val="00132E05"/>
    <w:rsid w:val="00132F72"/>
    <w:rsid w:val="001339E7"/>
    <w:rsid w:val="00133FC8"/>
    <w:rsid w:val="0013405D"/>
    <w:rsid w:val="001341BE"/>
    <w:rsid w:val="0013468C"/>
    <w:rsid w:val="00134873"/>
    <w:rsid w:val="001351FC"/>
    <w:rsid w:val="00135513"/>
    <w:rsid w:val="0013583A"/>
    <w:rsid w:val="00135CF6"/>
    <w:rsid w:val="0013612F"/>
    <w:rsid w:val="00136150"/>
    <w:rsid w:val="00136458"/>
    <w:rsid w:val="00136FC3"/>
    <w:rsid w:val="001375A9"/>
    <w:rsid w:val="00137629"/>
    <w:rsid w:val="001378E7"/>
    <w:rsid w:val="00137A33"/>
    <w:rsid w:val="00137FCD"/>
    <w:rsid w:val="00140154"/>
    <w:rsid w:val="001402E4"/>
    <w:rsid w:val="001402FC"/>
    <w:rsid w:val="001406C2"/>
    <w:rsid w:val="00141273"/>
    <w:rsid w:val="001412E6"/>
    <w:rsid w:val="001418E5"/>
    <w:rsid w:val="00141F3D"/>
    <w:rsid w:val="00141FC3"/>
    <w:rsid w:val="00141FD5"/>
    <w:rsid w:val="0014222C"/>
    <w:rsid w:val="0014225A"/>
    <w:rsid w:val="001423BF"/>
    <w:rsid w:val="001424A5"/>
    <w:rsid w:val="00142742"/>
    <w:rsid w:val="001429DF"/>
    <w:rsid w:val="00142CC9"/>
    <w:rsid w:val="00142F29"/>
    <w:rsid w:val="00142FD6"/>
    <w:rsid w:val="0014303B"/>
    <w:rsid w:val="00143374"/>
    <w:rsid w:val="00143483"/>
    <w:rsid w:val="0014369D"/>
    <w:rsid w:val="001438C5"/>
    <w:rsid w:val="00143BDA"/>
    <w:rsid w:val="0014444A"/>
    <w:rsid w:val="001445F7"/>
    <w:rsid w:val="001447FF"/>
    <w:rsid w:val="001449AB"/>
    <w:rsid w:val="00144B9A"/>
    <w:rsid w:val="00144C33"/>
    <w:rsid w:val="001457AD"/>
    <w:rsid w:val="00145ADD"/>
    <w:rsid w:val="00145E65"/>
    <w:rsid w:val="00145FBC"/>
    <w:rsid w:val="0014634B"/>
    <w:rsid w:val="001474A4"/>
    <w:rsid w:val="00147744"/>
    <w:rsid w:val="0014797B"/>
    <w:rsid w:val="00147B0E"/>
    <w:rsid w:val="00147C0A"/>
    <w:rsid w:val="00147D29"/>
    <w:rsid w:val="00147EDA"/>
    <w:rsid w:val="00147EE2"/>
    <w:rsid w:val="00150A31"/>
    <w:rsid w:val="001512EA"/>
    <w:rsid w:val="00151552"/>
    <w:rsid w:val="001519C2"/>
    <w:rsid w:val="00151A09"/>
    <w:rsid w:val="00151ACF"/>
    <w:rsid w:val="00152018"/>
    <w:rsid w:val="00152181"/>
    <w:rsid w:val="0015251B"/>
    <w:rsid w:val="00152904"/>
    <w:rsid w:val="0015291A"/>
    <w:rsid w:val="00152F1D"/>
    <w:rsid w:val="001533F7"/>
    <w:rsid w:val="00153524"/>
    <w:rsid w:val="001536A6"/>
    <w:rsid w:val="00153870"/>
    <w:rsid w:val="00153AB7"/>
    <w:rsid w:val="001541AF"/>
    <w:rsid w:val="0015492F"/>
    <w:rsid w:val="00154973"/>
    <w:rsid w:val="00154CF3"/>
    <w:rsid w:val="00154D50"/>
    <w:rsid w:val="00154E0D"/>
    <w:rsid w:val="00155406"/>
    <w:rsid w:val="00155477"/>
    <w:rsid w:val="00155B95"/>
    <w:rsid w:val="00155C4C"/>
    <w:rsid w:val="00155EED"/>
    <w:rsid w:val="001560E0"/>
    <w:rsid w:val="001561DD"/>
    <w:rsid w:val="001562D0"/>
    <w:rsid w:val="001563F7"/>
    <w:rsid w:val="00156463"/>
    <w:rsid w:val="00156538"/>
    <w:rsid w:val="0015699B"/>
    <w:rsid w:val="00157438"/>
    <w:rsid w:val="001579CA"/>
    <w:rsid w:val="00157AF3"/>
    <w:rsid w:val="00157CE7"/>
    <w:rsid w:val="00160170"/>
    <w:rsid w:val="00160251"/>
    <w:rsid w:val="0016072A"/>
    <w:rsid w:val="001608CD"/>
    <w:rsid w:val="001608F3"/>
    <w:rsid w:val="00160912"/>
    <w:rsid w:val="00160BEB"/>
    <w:rsid w:val="00160D01"/>
    <w:rsid w:val="00160DBB"/>
    <w:rsid w:val="001616CD"/>
    <w:rsid w:val="00161BBC"/>
    <w:rsid w:val="00161F83"/>
    <w:rsid w:val="001620F6"/>
    <w:rsid w:val="0016226D"/>
    <w:rsid w:val="00162B87"/>
    <w:rsid w:val="0016325C"/>
    <w:rsid w:val="001632C8"/>
    <w:rsid w:val="00163419"/>
    <w:rsid w:val="00163434"/>
    <w:rsid w:val="001636B9"/>
    <w:rsid w:val="00163CD8"/>
    <w:rsid w:val="00163D7F"/>
    <w:rsid w:val="00163E75"/>
    <w:rsid w:val="00163F0C"/>
    <w:rsid w:val="00163F7C"/>
    <w:rsid w:val="0016453C"/>
    <w:rsid w:val="0016470B"/>
    <w:rsid w:val="00164822"/>
    <w:rsid w:val="001649B0"/>
    <w:rsid w:val="001651EA"/>
    <w:rsid w:val="001659C2"/>
    <w:rsid w:val="00165B5E"/>
    <w:rsid w:val="00165E80"/>
    <w:rsid w:val="00165F87"/>
    <w:rsid w:val="001660A0"/>
    <w:rsid w:val="00166927"/>
    <w:rsid w:val="00166AFA"/>
    <w:rsid w:val="0016753C"/>
    <w:rsid w:val="0016764D"/>
    <w:rsid w:val="001676B2"/>
    <w:rsid w:val="00167884"/>
    <w:rsid w:val="00167C6C"/>
    <w:rsid w:val="00170042"/>
    <w:rsid w:val="001706D7"/>
    <w:rsid w:val="0017084D"/>
    <w:rsid w:val="00170864"/>
    <w:rsid w:val="00170B45"/>
    <w:rsid w:val="00170E0F"/>
    <w:rsid w:val="00170F2C"/>
    <w:rsid w:val="00171025"/>
    <w:rsid w:val="00171053"/>
    <w:rsid w:val="00171296"/>
    <w:rsid w:val="0017166E"/>
    <w:rsid w:val="001719A3"/>
    <w:rsid w:val="00171F60"/>
    <w:rsid w:val="00172026"/>
    <w:rsid w:val="00172ED5"/>
    <w:rsid w:val="00173822"/>
    <w:rsid w:val="00173DA5"/>
    <w:rsid w:val="00174028"/>
    <w:rsid w:val="00174443"/>
    <w:rsid w:val="001749B0"/>
    <w:rsid w:val="00174A54"/>
    <w:rsid w:val="00174AEF"/>
    <w:rsid w:val="00174F7F"/>
    <w:rsid w:val="00174FFA"/>
    <w:rsid w:val="00175131"/>
    <w:rsid w:val="00175672"/>
    <w:rsid w:val="001758F2"/>
    <w:rsid w:val="00175B01"/>
    <w:rsid w:val="00176053"/>
    <w:rsid w:val="00176A24"/>
    <w:rsid w:val="00176DF1"/>
    <w:rsid w:val="00176F6C"/>
    <w:rsid w:val="001772E7"/>
    <w:rsid w:val="00177344"/>
    <w:rsid w:val="001802FD"/>
    <w:rsid w:val="00180694"/>
    <w:rsid w:val="00181078"/>
    <w:rsid w:val="001818C2"/>
    <w:rsid w:val="00181965"/>
    <w:rsid w:val="00181A83"/>
    <w:rsid w:val="00181B8A"/>
    <w:rsid w:val="00181BA9"/>
    <w:rsid w:val="00181D5E"/>
    <w:rsid w:val="00181D96"/>
    <w:rsid w:val="001820EF"/>
    <w:rsid w:val="0018213E"/>
    <w:rsid w:val="00182268"/>
    <w:rsid w:val="0018288B"/>
    <w:rsid w:val="00182949"/>
    <w:rsid w:val="00182989"/>
    <w:rsid w:val="00182B5F"/>
    <w:rsid w:val="00182BB1"/>
    <w:rsid w:val="00182D3A"/>
    <w:rsid w:val="00183182"/>
    <w:rsid w:val="00183247"/>
    <w:rsid w:val="00183408"/>
    <w:rsid w:val="001834A1"/>
    <w:rsid w:val="00183DD1"/>
    <w:rsid w:val="00183E15"/>
    <w:rsid w:val="00183EC8"/>
    <w:rsid w:val="001841CB"/>
    <w:rsid w:val="001841E6"/>
    <w:rsid w:val="0018437E"/>
    <w:rsid w:val="00184775"/>
    <w:rsid w:val="00184F5A"/>
    <w:rsid w:val="00184FEF"/>
    <w:rsid w:val="00185083"/>
    <w:rsid w:val="0018528B"/>
    <w:rsid w:val="001854FC"/>
    <w:rsid w:val="001855F7"/>
    <w:rsid w:val="00185681"/>
    <w:rsid w:val="00185BED"/>
    <w:rsid w:val="0018674F"/>
    <w:rsid w:val="00186A7C"/>
    <w:rsid w:val="00187065"/>
    <w:rsid w:val="00187C11"/>
    <w:rsid w:val="00190106"/>
    <w:rsid w:val="00190610"/>
    <w:rsid w:val="001908D3"/>
    <w:rsid w:val="0019095A"/>
    <w:rsid w:val="00190CB7"/>
    <w:rsid w:val="001910E6"/>
    <w:rsid w:val="001913E9"/>
    <w:rsid w:val="00191749"/>
    <w:rsid w:val="001917E7"/>
    <w:rsid w:val="00192012"/>
    <w:rsid w:val="001920AA"/>
    <w:rsid w:val="00192303"/>
    <w:rsid w:val="0019242F"/>
    <w:rsid w:val="0019245D"/>
    <w:rsid w:val="0019266D"/>
    <w:rsid w:val="00192784"/>
    <w:rsid w:val="0019289E"/>
    <w:rsid w:val="00192954"/>
    <w:rsid w:val="00192D26"/>
    <w:rsid w:val="00192E36"/>
    <w:rsid w:val="00192E6D"/>
    <w:rsid w:val="001931F7"/>
    <w:rsid w:val="00193231"/>
    <w:rsid w:val="001933B3"/>
    <w:rsid w:val="001934DF"/>
    <w:rsid w:val="00193713"/>
    <w:rsid w:val="00193E17"/>
    <w:rsid w:val="0019420D"/>
    <w:rsid w:val="00194221"/>
    <w:rsid w:val="00194A90"/>
    <w:rsid w:val="0019509D"/>
    <w:rsid w:val="001950C5"/>
    <w:rsid w:val="00195165"/>
    <w:rsid w:val="0019523F"/>
    <w:rsid w:val="00195397"/>
    <w:rsid w:val="001957EF"/>
    <w:rsid w:val="0019598D"/>
    <w:rsid w:val="001959DC"/>
    <w:rsid w:val="00195BA0"/>
    <w:rsid w:val="00195DA0"/>
    <w:rsid w:val="0019640A"/>
    <w:rsid w:val="0019645A"/>
    <w:rsid w:val="00196515"/>
    <w:rsid w:val="0019653F"/>
    <w:rsid w:val="00196797"/>
    <w:rsid w:val="00196C4D"/>
    <w:rsid w:val="00196F1C"/>
    <w:rsid w:val="001973CC"/>
    <w:rsid w:val="00197875"/>
    <w:rsid w:val="00197A65"/>
    <w:rsid w:val="00197DBD"/>
    <w:rsid w:val="00197EFB"/>
    <w:rsid w:val="001A00BE"/>
    <w:rsid w:val="001A04E6"/>
    <w:rsid w:val="001A07EE"/>
    <w:rsid w:val="001A1193"/>
    <w:rsid w:val="001A1637"/>
    <w:rsid w:val="001A16BE"/>
    <w:rsid w:val="001A16D7"/>
    <w:rsid w:val="001A1C8F"/>
    <w:rsid w:val="001A25AB"/>
    <w:rsid w:val="001A265F"/>
    <w:rsid w:val="001A286A"/>
    <w:rsid w:val="001A2AA9"/>
    <w:rsid w:val="001A2D51"/>
    <w:rsid w:val="001A2D60"/>
    <w:rsid w:val="001A3130"/>
    <w:rsid w:val="001A34A7"/>
    <w:rsid w:val="001A3992"/>
    <w:rsid w:val="001A3A89"/>
    <w:rsid w:val="001A3DE5"/>
    <w:rsid w:val="001A3E6F"/>
    <w:rsid w:val="001A3F58"/>
    <w:rsid w:val="001A40C6"/>
    <w:rsid w:val="001A4147"/>
    <w:rsid w:val="001A49A3"/>
    <w:rsid w:val="001A4FDB"/>
    <w:rsid w:val="001A5D14"/>
    <w:rsid w:val="001A6447"/>
    <w:rsid w:val="001A6871"/>
    <w:rsid w:val="001A6B03"/>
    <w:rsid w:val="001A78DE"/>
    <w:rsid w:val="001B0403"/>
    <w:rsid w:val="001B044C"/>
    <w:rsid w:val="001B04B8"/>
    <w:rsid w:val="001B0B8A"/>
    <w:rsid w:val="001B0DB8"/>
    <w:rsid w:val="001B1315"/>
    <w:rsid w:val="001B1373"/>
    <w:rsid w:val="001B1540"/>
    <w:rsid w:val="001B174C"/>
    <w:rsid w:val="001B1E87"/>
    <w:rsid w:val="001B203D"/>
    <w:rsid w:val="001B2176"/>
    <w:rsid w:val="001B2494"/>
    <w:rsid w:val="001B27EA"/>
    <w:rsid w:val="001B2984"/>
    <w:rsid w:val="001B2D62"/>
    <w:rsid w:val="001B2DA3"/>
    <w:rsid w:val="001B30F6"/>
    <w:rsid w:val="001B3369"/>
    <w:rsid w:val="001B3500"/>
    <w:rsid w:val="001B3851"/>
    <w:rsid w:val="001B3B4C"/>
    <w:rsid w:val="001B3BD4"/>
    <w:rsid w:val="001B46A9"/>
    <w:rsid w:val="001B549A"/>
    <w:rsid w:val="001B55AC"/>
    <w:rsid w:val="001B55CE"/>
    <w:rsid w:val="001B5631"/>
    <w:rsid w:val="001B5918"/>
    <w:rsid w:val="001B597E"/>
    <w:rsid w:val="001B5995"/>
    <w:rsid w:val="001B5BF4"/>
    <w:rsid w:val="001B5E9A"/>
    <w:rsid w:val="001B6055"/>
    <w:rsid w:val="001B62B3"/>
    <w:rsid w:val="001B6632"/>
    <w:rsid w:val="001B667E"/>
    <w:rsid w:val="001B6BB9"/>
    <w:rsid w:val="001B6F35"/>
    <w:rsid w:val="001B7642"/>
    <w:rsid w:val="001B78D5"/>
    <w:rsid w:val="001B7D6B"/>
    <w:rsid w:val="001C010F"/>
    <w:rsid w:val="001C029F"/>
    <w:rsid w:val="001C07DD"/>
    <w:rsid w:val="001C0B50"/>
    <w:rsid w:val="001C0C37"/>
    <w:rsid w:val="001C0F68"/>
    <w:rsid w:val="001C108A"/>
    <w:rsid w:val="001C10B5"/>
    <w:rsid w:val="001C111E"/>
    <w:rsid w:val="001C14D0"/>
    <w:rsid w:val="001C19B6"/>
    <w:rsid w:val="001C1A6B"/>
    <w:rsid w:val="001C1E50"/>
    <w:rsid w:val="001C1F48"/>
    <w:rsid w:val="001C23CE"/>
    <w:rsid w:val="001C24EB"/>
    <w:rsid w:val="001C2694"/>
    <w:rsid w:val="001C2703"/>
    <w:rsid w:val="001C2886"/>
    <w:rsid w:val="001C297F"/>
    <w:rsid w:val="001C29EF"/>
    <w:rsid w:val="001C2DF5"/>
    <w:rsid w:val="001C2E05"/>
    <w:rsid w:val="001C30B3"/>
    <w:rsid w:val="001C3249"/>
    <w:rsid w:val="001C34DF"/>
    <w:rsid w:val="001C3644"/>
    <w:rsid w:val="001C394C"/>
    <w:rsid w:val="001C3B22"/>
    <w:rsid w:val="001C3D1B"/>
    <w:rsid w:val="001C3D4A"/>
    <w:rsid w:val="001C3D6A"/>
    <w:rsid w:val="001C3DFF"/>
    <w:rsid w:val="001C3F64"/>
    <w:rsid w:val="001C42A1"/>
    <w:rsid w:val="001C489A"/>
    <w:rsid w:val="001C4A0A"/>
    <w:rsid w:val="001C4FFA"/>
    <w:rsid w:val="001C55D7"/>
    <w:rsid w:val="001C5A97"/>
    <w:rsid w:val="001C5BFA"/>
    <w:rsid w:val="001C5C08"/>
    <w:rsid w:val="001C5EAD"/>
    <w:rsid w:val="001C5EC5"/>
    <w:rsid w:val="001C5F7F"/>
    <w:rsid w:val="001C6205"/>
    <w:rsid w:val="001C68BC"/>
    <w:rsid w:val="001C6966"/>
    <w:rsid w:val="001C6B96"/>
    <w:rsid w:val="001C6E4D"/>
    <w:rsid w:val="001C6E4F"/>
    <w:rsid w:val="001C7558"/>
    <w:rsid w:val="001C76AA"/>
    <w:rsid w:val="001C79D0"/>
    <w:rsid w:val="001C7BB5"/>
    <w:rsid w:val="001C7C94"/>
    <w:rsid w:val="001C7DDF"/>
    <w:rsid w:val="001D04EE"/>
    <w:rsid w:val="001D0559"/>
    <w:rsid w:val="001D07D6"/>
    <w:rsid w:val="001D094F"/>
    <w:rsid w:val="001D0BE0"/>
    <w:rsid w:val="001D0D81"/>
    <w:rsid w:val="001D1842"/>
    <w:rsid w:val="001D1C93"/>
    <w:rsid w:val="001D1EAD"/>
    <w:rsid w:val="001D1F45"/>
    <w:rsid w:val="001D1F62"/>
    <w:rsid w:val="001D240A"/>
    <w:rsid w:val="001D2471"/>
    <w:rsid w:val="001D2C15"/>
    <w:rsid w:val="001D2C4F"/>
    <w:rsid w:val="001D2DBB"/>
    <w:rsid w:val="001D2EDB"/>
    <w:rsid w:val="001D360E"/>
    <w:rsid w:val="001D3D27"/>
    <w:rsid w:val="001D3D4F"/>
    <w:rsid w:val="001D3FFB"/>
    <w:rsid w:val="001D40E8"/>
    <w:rsid w:val="001D4117"/>
    <w:rsid w:val="001D485E"/>
    <w:rsid w:val="001D4887"/>
    <w:rsid w:val="001D4A45"/>
    <w:rsid w:val="001D4E6C"/>
    <w:rsid w:val="001D4E7F"/>
    <w:rsid w:val="001D4FF1"/>
    <w:rsid w:val="001D5009"/>
    <w:rsid w:val="001D5071"/>
    <w:rsid w:val="001D5075"/>
    <w:rsid w:val="001D5379"/>
    <w:rsid w:val="001D542A"/>
    <w:rsid w:val="001D5438"/>
    <w:rsid w:val="001D559A"/>
    <w:rsid w:val="001D5687"/>
    <w:rsid w:val="001D5743"/>
    <w:rsid w:val="001D5AB6"/>
    <w:rsid w:val="001D5B90"/>
    <w:rsid w:val="001D5E7A"/>
    <w:rsid w:val="001D6221"/>
    <w:rsid w:val="001D677A"/>
    <w:rsid w:val="001D6B39"/>
    <w:rsid w:val="001D6D31"/>
    <w:rsid w:val="001D6D5E"/>
    <w:rsid w:val="001D7749"/>
    <w:rsid w:val="001D7CC6"/>
    <w:rsid w:val="001E0328"/>
    <w:rsid w:val="001E050E"/>
    <w:rsid w:val="001E0E0A"/>
    <w:rsid w:val="001E1106"/>
    <w:rsid w:val="001E14B7"/>
    <w:rsid w:val="001E1503"/>
    <w:rsid w:val="001E1708"/>
    <w:rsid w:val="001E17C1"/>
    <w:rsid w:val="001E1899"/>
    <w:rsid w:val="001E196B"/>
    <w:rsid w:val="001E1F3A"/>
    <w:rsid w:val="001E1F8A"/>
    <w:rsid w:val="001E29AE"/>
    <w:rsid w:val="001E2DDD"/>
    <w:rsid w:val="001E2EF8"/>
    <w:rsid w:val="001E2FD8"/>
    <w:rsid w:val="001E3465"/>
    <w:rsid w:val="001E36A3"/>
    <w:rsid w:val="001E3897"/>
    <w:rsid w:val="001E3D7E"/>
    <w:rsid w:val="001E405F"/>
    <w:rsid w:val="001E43C2"/>
    <w:rsid w:val="001E440B"/>
    <w:rsid w:val="001E5100"/>
    <w:rsid w:val="001E52CA"/>
    <w:rsid w:val="001E57BB"/>
    <w:rsid w:val="001E5806"/>
    <w:rsid w:val="001E5A89"/>
    <w:rsid w:val="001E5BD7"/>
    <w:rsid w:val="001E6199"/>
    <w:rsid w:val="001E6822"/>
    <w:rsid w:val="001E6828"/>
    <w:rsid w:val="001E6866"/>
    <w:rsid w:val="001E698A"/>
    <w:rsid w:val="001E6A94"/>
    <w:rsid w:val="001E6AB6"/>
    <w:rsid w:val="001E72E0"/>
    <w:rsid w:val="001E768F"/>
    <w:rsid w:val="001E7693"/>
    <w:rsid w:val="001E76F9"/>
    <w:rsid w:val="001E79BD"/>
    <w:rsid w:val="001E7BE6"/>
    <w:rsid w:val="001F012D"/>
    <w:rsid w:val="001F01EA"/>
    <w:rsid w:val="001F04BD"/>
    <w:rsid w:val="001F0750"/>
    <w:rsid w:val="001F07B0"/>
    <w:rsid w:val="001F0D2C"/>
    <w:rsid w:val="001F0D9D"/>
    <w:rsid w:val="001F1270"/>
    <w:rsid w:val="001F152E"/>
    <w:rsid w:val="001F1933"/>
    <w:rsid w:val="001F1961"/>
    <w:rsid w:val="001F19BC"/>
    <w:rsid w:val="001F26A0"/>
    <w:rsid w:val="001F28D8"/>
    <w:rsid w:val="001F2A18"/>
    <w:rsid w:val="001F2E4C"/>
    <w:rsid w:val="001F2ED5"/>
    <w:rsid w:val="001F2FFB"/>
    <w:rsid w:val="001F36F9"/>
    <w:rsid w:val="001F3A59"/>
    <w:rsid w:val="001F3B56"/>
    <w:rsid w:val="001F3CF6"/>
    <w:rsid w:val="001F3CFA"/>
    <w:rsid w:val="001F3E03"/>
    <w:rsid w:val="001F42A3"/>
    <w:rsid w:val="001F455B"/>
    <w:rsid w:val="001F4B88"/>
    <w:rsid w:val="001F4C7A"/>
    <w:rsid w:val="001F4DE6"/>
    <w:rsid w:val="001F5643"/>
    <w:rsid w:val="001F5A8C"/>
    <w:rsid w:val="001F5EF6"/>
    <w:rsid w:val="001F6679"/>
    <w:rsid w:val="001F6B36"/>
    <w:rsid w:val="001F6EE5"/>
    <w:rsid w:val="001F6EED"/>
    <w:rsid w:val="001F7157"/>
    <w:rsid w:val="001F7794"/>
    <w:rsid w:val="001F7895"/>
    <w:rsid w:val="001F7CF3"/>
    <w:rsid w:val="00200727"/>
    <w:rsid w:val="00200729"/>
    <w:rsid w:val="002007C6"/>
    <w:rsid w:val="002014E1"/>
    <w:rsid w:val="002019B1"/>
    <w:rsid w:val="00201BE9"/>
    <w:rsid w:val="00201DB4"/>
    <w:rsid w:val="00201EF8"/>
    <w:rsid w:val="00201F57"/>
    <w:rsid w:val="0020206F"/>
    <w:rsid w:val="002023A7"/>
    <w:rsid w:val="00202536"/>
    <w:rsid w:val="00202656"/>
    <w:rsid w:val="00202716"/>
    <w:rsid w:val="00202D00"/>
    <w:rsid w:val="00202F41"/>
    <w:rsid w:val="00203398"/>
    <w:rsid w:val="002034B3"/>
    <w:rsid w:val="0020354A"/>
    <w:rsid w:val="00203858"/>
    <w:rsid w:val="0020399D"/>
    <w:rsid w:val="00203B51"/>
    <w:rsid w:val="00203B88"/>
    <w:rsid w:val="00203B8C"/>
    <w:rsid w:val="00203DE9"/>
    <w:rsid w:val="002042E8"/>
    <w:rsid w:val="00204BC4"/>
    <w:rsid w:val="00204C3D"/>
    <w:rsid w:val="00204FD5"/>
    <w:rsid w:val="002051D9"/>
    <w:rsid w:val="002059BD"/>
    <w:rsid w:val="00205E16"/>
    <w:rsid w:val="0020608B"/>
    <w:rsid w:val="002060F2"/>
    <w:rsid w:val="002062E7"/>
    <w:rsid w:val="002063E0"/>
    <w:rsid w:val="002064AD"/>
    <w:rsid w:val="0020652B"/>
    <w:rsid w:val="0020666E"/>
    <w:rsid w:val="00206941"/>
    <w:rsid w:val="00206C07"/>
    <w:rsid w:val="00206D8A"/>
    <w:rsid w:val="00206DF0"/>
    <w:rsid w:val="0020742C"/>
    <w:rsid w:val="00207F7A"/>
    <w:rsid w:val="00210434"/>
    <w:rsid w:val="002106D2"/>
    <w:rsid w:val="002112CB"/>
    <w:rsid w:val="0021189F"/>
    <w:rsid w:val="00211A12"/>
    <w:rsid w:val="002123AD"/>
    <w:rsid w:val="0021268A"/>
    <w:rsid w:val="00212F92"/>
    <w:rsid w:val="0021317C"/>
    <w:rsid w:val="00213226"/>
    <w:rsid w:val="0021325B"/>
    <w:rsid w:val="0021383B"/>
    <w:rsid w:val="0021390F"/>
    <w:rsid w:val="0021392C"/>
    <w:rsid w:val="00213DB4"/>
    <w:rsid w:val="0021402B"/>
    <w:rsid w:val="002140C5"/>
    <w:rsid w:val="00214338"/>
    <w:rsid w:val="00214506"/>
    <w:rsid w:val="00214844"/>
    <w:rsid w:val="002148CD"/>
    <w:rsid w:val="002155E7"/>
    <w:rsid w:val="00215A88"/>
    <w:rsid w:val="00215CFD"/>
    <w:rsid w:val="002160B0"/>
    <w:rsid w:val="0021659F"/>
    <w:rsid w:val="0021664C"/>
    <w:rsid w:val="002167F1"/>
    <w:rsid w:val="0021696F"/>
    <w:rsid w:val="00216C30"/>
    <w:rsid w:val="00216D38"/>
    <w:rsid w:val="00216DBC"/>
    <w:rsid w:val="00217078"/>
    <w:rsid w:val="0021750E"/>
    <w:rsid w:val="0021756E"/>
    <w:rsid w:val="00217881"/>
    <w:rsid w:val="002179A8"/>
    <w:rsid w:val="00217A19"/>
    <w:rsid w:val="00217BB0"/>
    <w:rsid w:val="0022048C"/>
    <w:rsid w:val="00220650"/>
    <w:rsid w:val="002209E1"/>
    <w:rsid w:val="00220C2E"/>
    <w:rsid w:val="00220DD0"/>
    <w:rsid w:val="00220F62"/>
    <w:rsid w:val="00221573"/>
    <w:rsid w:val="002218AE"/>
    <w:rsid w:val="00221C05"/>
    <w:rsid w:val="00221F64"/>
    <w:rsid w:val="0022217D"/>
    <w:rsid w:val="002223E2"/>
    <w:rsid w:val="00222FDE"/>
    <w:rsid w:val="00223169"/>
    <w:rsid w:val="0022336F"/>
    <w:rsid w:val="0022379E"/>
    <w:rsid w:val="00223A90"/>
    <w:rsid w:val="00223BBA"/>
    <w:rsid w:val="0022445C"/>
    <w:rsid w:val="00224521"/>
    <w:rsid w:val="0022457A"/>
    <w:rsid w:val="0022460D"/>
    <w:rsid w:val="00224C12"/>
    <w:rsid w:val="00225384"/>
    <w:rsid w:val="00225736"/>
    <w:rsid w:val="00225BDB"/>
    <w:rsid w:val="0022600C"/>
    <w:rsid w:val="002262BB"/>
    <w:rsid w:val="002262D3"/>
    <w:rsid w:val="0022635F"/>
    <w:rsid w:val="0022636E"/>
    <w:rsid w:val="00226386"/>
    <w:rsid w:val="002264A1"/>
    <w:rsid w:val="00226963"/>
    <w:rsid w:val="00226C4B"/>
    <w:rsid w:val="00226D4C"/>
    <w:rsid w:val="00226E4C"/>
    <w:rsid w:val="00227227"/>
    <w:rsid w:val="00227892"/>
    <w:rsid w:val="0023000E"/>
    <w:rsid w:val="0023009D"/>
    <w:rsid w:val="002308E3"/>
    <w:rsid w:val="00230AD7"/>
    <w:rsid w:val="00230CCD"/>
    <w:rsid w:val="00231273"/>
    <w:rsid w:val="00231D87"/>
    <w:rsid w:val="0023261A"/>
    <w:rsid w:val="00232C71"/>
    <w:rsid w:val="0023308A"/>
    <w:rsid w:val="00233695"/>
    <w:rsid w:val="00233772"/>
    <w:rsid w:val="00233854"/>
    <w:rsid w:val="002338AB"/>
    <w:rsid w:val="00233F59"/>
    <w:rsid w:val="002343FC"/>
    <w:rsid w:val="00234B4D"/>
    <w:rsid w:val="00235018"/>
    <w:rsid w:val="002352EC"/>
    <w:rsid w:val="00235EEA"/>
    <w:rsid w:val="00236409"/>
    <w:rsid w:val="00236458"/>
    <w:rsid w:val="00236852"/>
    <w:rsid w:val="00236B95"/>
    <w:rsid w:val="00236C13"/>
    <w:rsid w:val="0023732D"/>
    <w:rsid w:val="002377C2"/>
    <w:rsid w:val="0023788C"/>
    <w:rsid w:val="00237BF8"/>
    <w:rsid w:val="00237D4A"/>
    <w:rsid w:val="0024044D"/>
    <w:rsid w:val="00240769"/>
    <w:rsid w:val="0024091D"/>
    <w:rsid w:val="002409AA"/>
    <w:rsid w:val="00241511"/>
    <w:rsid w:val="00241A23"/>
    <w:rsid w:val="00241B48"/>
    <w:rsid w:val="00241C09"/>
    <w:rsid w:val="002421E3"/>
    <w:rsid w:val="0024255A"/>
    <w:rsid w:val="0024263A"/>
    <w:rsid w:val="0024269D"/>
    <w:rsid w:val="00242A43"/>
    <w:rsid w:val="00242B4C"/>
    <w:rsid w:val="00242DA2"/>
    <w:rsid w:val="00243029"/>
    <w:rsid w:val="0024381C"/>
    <w:rsid w:val="00243DA7"/>
    <w:rsid w:val="00243FA9"/>
    <w:rsid w:val="002446F6"/>
    <w:rsid w:val="002448BD"/>
    <w:rsid w:val="00244B5A"/>
    <w:rsid w:val="00245480"/>
    <w:rsid w:val="002457C5"/>
    <w:rsid w:val="002458DD"/>
    <w:rsid w:val="00245BC4"/>
    <w:rsid w:val="00245BE9"/>
    <w:rsid w:val="00245EC3"/>
    <w:rsid w:val="00246CB5"/>
    <w:rsid w:val="00247065"/>
    <w:rsid w:val="0024706C"/>
    <w:rsid w:val="00247387"/>
    <w:rsid w:val="0024760D"/>
    <w:rsid w:val="00247629"/>
    <w:rsid w:val="00247887"/>
    <w:rsid w:val="00247917"/>
    <w:rsid w:val="00247B90"/>
    <w:rsid w:val="00247F14"/>
    <w:rsid w:val="00247F16"/>
    <w:rsid w:val="00250091"/>
    <w:rsid w:val="002504BF"/>
    <w:rsid w:val="00250A0E"/>
    <w:rsid w:val="00251089"/>
    <w:rsid w:val="00251F90"/>
    <w:rsid w:val="00252421"/>
    <w:rsid w:val="00252D0F"/>
    <w:rsid w:val="00252F6B"/>
    <w:rsid w:val="00252FB6"/>
    <w:rsid w:val="00253995"/>
    <w:rsid w:val="00253A15"/>
    <w:rsid w:val="00253AC4"/>
    <w:rsid w:val="00253B36"/>
    <w:rsid w:val="00253D38"/>
    <w:rsid w:val="002545A9"/>
    <w:rsid w:val="002548D2"/>
    <w:rsid w:val="00254D74"/>
    <w:rsid w:val="00254E34"/>
    <w:rsid w:val="00255B76"/>
    <w:rsid w:val="002560A9"/>
    <w:rsid w:val="0025638D"/>
    <w:rsid w:val="00256B98"/>
    <w:rsid w:val="00256C33"/>
    <w:rsid w:val="00257AD1"/>
    <w:rsid w:val="00257BD7"/>
    <w:rsid w:val="00257E20"/>
    <w:rsid w:val="00257EF3"/>
    <w:rsid w:val="0026017C"/>
    <w:rsid w:val="0026051A"/>
    <w:rsid w:val="00260549"/>
    <w:rsid w:val="0026064F"/>
    <w:rsid w:val="00260A76"/>
    <w:rsid w:val="00261140"/>
    <w:rsid w:val="002611B4"/>
    <w:rsid w:val="0026135E"/>
    <w:rsid w:val="002614FC"/>
    <w:rsid w:val="0026196B"/>
    <w:rsid w:val="00261C06"/>
    <w:rsid w:val="00261C14"/>
    <w:rsid w:val="00261FCB"/>
    <w:rsid w:val="00262020"/>
    <w:rsid w:val="00262224"/>
    <w:rsid w:val="00262318"/>
    <w:rsid w:val="0026265C"/>
    <w:rsid w:val="002628E6"/>
    <w:rsid w:val="00262B99"/>
    <w:rsid w:val="00262C4E"/>
    <w:rsid w:val="002630FF"/>
    <w:rsid w:val="002634C6"/>
    <w:rsid w:val="0026352F"/>
    <w:rsid w:val="002635EC"/>
    <w:rsid w:val="00263727"/>
    <w:rsid w:val="0026390B"/>
    <w:rsid w:val="00263F8D"/>
    <w:rsid w:val="002641F7"/>
    <w:rsid w:val="00264826"/>
    <w:rsid w:val="0026499A"/>
    <w:rsid w:val="00265550"/>
    <w:rsid w:val="00265647"/>
    <w:rsid w:val="002658D4"/>
    <w:rsid w:val="0026594C"/>
    <w:rsid w:val="002659C2"/>
    <w:rsid w:val="00265BBE"/>
    <w:rsid w:val="002666C0"/>
    <w:rsid w:val="0026673A"/>
    <w:rsid w:val="002667AC"/>
    <w:rsid w:val="00266812"/>
    <w:rsid w:val="00266AF2"/>
    <w:rsid w:val="00270175"/>
    <w:rsid w:val="0027058C"/>
    <w:rsid w:val="002706AE"/>
    <w:rsid w:val="00270ACC"/>
    <w:rsid w:val="0027107C"/>
    <w:rsid w:val="00271186"/>
    <w:rsid w:val="0027185B"/>
    <w:rsid w:val="0027192D"/>
    <w:rsid w:val="00271C44"/>
    <w:rsid w:val="00271DE8"/>
    <w:rsid w:val="00271EE9"/>
    <w:rsid w:val="00271F55"/>
    <w:rsid w:val="00272156"/>
    <w:rsid w:val="0027240D"/>
    <w:rsid w:val="0027244A"/>
    <w:rsid w:val="002726BE"/>
    <w:rsid w:val="00272720"/>
    <w:rsid w:val="00272A00"/>
    <w:rsid w:val="00272F45"/>
    <w:rsid w:val="00273122"/>
    <w:rsid w:val="00273620"/>
    <w:rsid w:val="00273B28"/>
    <w:rsid w:val="00273EAC"/>
    <w:rsid w:val="00274011"/>
    <w:rsid w:val="0027420C"/>
    <w:rsid w:val="00274986"/>
    <w:rsid w:val="00274E93"/>
    <w:rsid w:val="00274EAB"/>
    <w:rsid w:val="0027528D"/>
    <w:rsid w:val="00275401"/>
    <w:rsid w:val="0027572E"/>
    <w:rsid w:val="00275E1A"/>
    <w:rsid w:val="00275FED"/>
    <w:rsid w:val="0027673F"/>
    <w:rsid w:val="00276B2B"/>
    <w:rsid w:val="00276C2F"/>
    <w:rsid w:val="00276F7B"/>
    <w:rsid w:val="0027726A"/>
    <w:rsid w:val="002772F5"/>
    <w:rsid w:val="0027730B"/>
    <w:rsid w:val="002773B6"/>
    <w:rsid w:val="002777A2"/>
    <w:rsid w:val="00277834"/>
    <w:rsid w:val="00277B98"/>
    <w:rsid w:val="00277D7D"/>
    <w:rsid w:val="002800C9"/>
    <w:rsid w:val="00280113"/>
    <w:rsid w:val="002806B6"/>
    <w:rsid w:val="00280925"/>
    <w:rsid w:val="002809A7"/>
    <w:rsid w:val="00280A37"/>
    <w:rsid w:val="00280A8D"/>
    <w:rsid w:val="00280DD0"/>
    <w:rsid w:val="00280EC8"/>
    <w:rsid w:val="002814FC"/>
    <w:rsid w:val="00281746"/>
    <w:rsid w:val="002819D5"/>
    <w:rsid w:val="00281B1C"/>
    <w:rsid w:val="00281CF6"/>
    <w:rsid w:val="00281E0F"/>
    <w:rsid w:val="00281F39"/>
    <w:rsid w:val="002824CE"/>
    <w:rsid w:val="002826BE"/>
    <w:rsid w:val="002827A2"/>
    <w:rsid w:val="002827B0"/>
    <w:rsid w:val="0028291A"/>
    <w:rsid w:val="0028298C"/>
    <w:rsid w:val="00282E63"/>
    <w:rsid w:val="00283219"/>
    <w:rsid w:val="00283541"/>
    <w:rsid w:val="0028365C"/>
    <w:rsid w:val="0028398B"/>
    <w:rsid w:val="00283AAB"/>
    <w:rsid w:val="00284ECE"/>
    <w:rsid w:val="00285020"/>
    <w:rsid w:val="0028527E"/>
    <w:rsid w:val="00285350"/>
    <w:rsid w:val="0028578F"/>
    <w:rsid w:val="002859DA"/>
    <w:rsid w:val="00285BE1"/>
    <w:rsid w:val="00285D5B"/>
    <w:rsid w:val="00286353"/>
    <w:rsid w:val="002864ED"/>
    <w:rsid w:val="00286778"/>
    <w:rsid w:val="00286816"/>
    <w:rsid w:val="00286C4C"/>
    <w:rsid w:val="00286EF0"/>
    <w:rsid w:val="0028710E"/>
    <w:rsid w:val="002873C4"/>
    <w:rsid w:val="002874CC"/>
    <w:rsid w:val="0028765B"/>
    <w:rsid w:val="002878DF"/>
    <w:rsid w:val="00287D75"/>
    <w:rsid w:val="00287EAB"/>
    <w:rsid w:val="00287F86"/>
    <w:rsid w:val="002903B4"/>
    <w:rsid w:val="002905A6"/>
    <w:rsid w:val="00290805"/>
    <w:rsid w:val="00290D60"/>
    <w:rsid w:val="00291468"/>
    <w:rsid w:val="002914AA"/>
    <w:rsid w:val="00291528"/>
    <w:rsid w:val="002919E4"/>
    <w:rsid w:val="00291A65"/>
    <w:rsid w:val="002924FD"/>
    <w:rsid w:val="00292A07"/>
    <w:rsid w:val="00292BDC"/>
    <w:rsid w:val="00292EB3"/>
    <w:rsid w:val="0029309A"/>
    <w:rsid w:val="0029354E"/>
    <w:rsid w:val="00293C89"/>
    <w:rsid w:val="00293D1A"/>
    <w:rsid w:val="00293F45"/>
    <w:rsid w:val="0029427A"/>
    <w:rsid w:val="002944F7"/>
    <w:rsid w:val="002945C6"/>
    <w:rsid w:val="00295627"/>
    <w:rsid w:val="00295891"/>
    <w:rsid w:val="00295D49"/>
    <w:rsid w:val="00296252"/>
    <w:rsid w:val="002962B3"/>
    <w:rsid w:val="00296687"/>
    <w:rsid w:val="002967DD"/>
    <w:rsid w:val="00296F57"/>
    <w:rsid w:val="002972A5"/>
    <w:rsid w:val="002975D1"/>
    <w:rsid w:val="0029779F"/>
    <w:rsid w:val="002979B6"/>
    <w:rsid w:val="00297D80"/>
    <w:rsid w:val="00297FDA"/>
    <w:rsid w:val="002A0002"/>
    <w:rsid w:val="002A0014"/>
    <w:rsid w:val="002A01BE"/>
    <w:rsid w:val="002A0423"/>
    <w:rsid w:val="002A061D"/>
    <w:rsid w:val="002A1153"/>
    <w:rsid w:val="002A1579"/>
    <w:rsid w:val="002A1867"/>
    <w:rsid w:val="002A18C7"/>
    <w:rsid w:val="002A18FC"/>
    <w:rsid w:val="002A1D5F"/>
    <w:rsid w:val="002A26A7"/>
    <w:rsid w:val="002A2797"/>
    <w:rsid w:val="002A288B"/>
    <w:rsid w:val="002A300A"/>
    <w:rsid w:val="002A36CF"/>
    <w:rsid w:val="002A4515"/>
    <w:rsid w:val="002A4B8D"/>
    <w:rsid w:val="002A4C23"/>
    <w:rsid w:val="002A53FC"/>
    <w:rsid w:val="002A5406"/>
    <w:rsid w:val="002A5691"/>
    <w:rsid w:val="002A5F18"/>
    <w:rsid w:val="002A6074"/>
    <w:rsid w:val="002A6744"/>
    <w:rsid w:val="002A6757"/>
    <w:rsid w:val="002A67E2"/>
    <w:rsid w:val="002A6950"/>
    <w:rsid w:val="002A6B14"/>
    <w:rsid w:val="002A6B56"/>
    <w:rsid w:val="002A6FA3"/>
    <w:rsid w:val="002A70E7"/>
    <w:rsid w:val="002A7990"/>
    <w:rsid w:val="002A7A11"/>
    <w:rsid w:val="002A7B26"/>
    <w:rsid w:val="002A7F2E"/>
    <w:rsid w:val="002B0176"/>
    <w:rsid w:val="002B0640"/>
    <w:rsid w:val="002B066C"/>
    <w:rsid w:val="002B070D"/>
    <w:rsid w:val="002B077E"/>
    <w:rsid w:val="002B0EC0"/>
    <w:rsid w:val="002B1084"/>
    <w:rsid w:val="002B1352"/>
    <w:rsid w:val="002B13C4"/>
    <w:rsid w:val="002B1898"/>
    <w:rsid w:val="002B19C7"/>
    <w:rsid w:val="002B1C02"/>
    <w:rsid w:val="002B249D"/>
    <w:rsid w:val="002B24EB"/>
    <w:rsid w:val="002B283D"/>
    <w:rsid w:val="002B294D"/>
    <w:rsid w:val="002B2A8C"/>
    <w:rsid w:val="002B2B81"/>
    <w:rsid w:val="002B2E75"/>
    <w:rsid w:val="002B330C"/>
    <w:rsid w:val="002B3572"/>
    <w:rsid w:val="002B3F36"/>
    <w:rsid w:val="002B43CD"/>
    <w:rsid w:val="002B4AE6"/>
    <w:rsid w:val="002B4D9C"/>
    <w:rsid w:val="002B5377"/>
    <w:rsid w:val="002B5614"/>
    <w:rsid w:val="002B5DE2"/>
    <w:rsid w:val="002B61B6"/>
    <w:rsid w:val="002B6794"/>
    <w:rsid w:val="002B6813"/>
    <w:rsid w:val="002B6B2F"/>
    <w:rsid w:val="002B6BC7"/>
    <w:rsid w:val="002B6EBE"/>
    <w:rsid w:val="002B6F38"/>
    <w:rsid w:val="002B7196"/>
    <w:rsid w:val="002B72BE"/>
    <w:rsid w:val="002B7402"/>
    <w:rsid w:val="002B78B8"/>
    <w:rsid w:val="002B7C11"/>
    <w:rsid w:val="002B7E7E"/>
    <w:rsid w:val="002C07CB"/>
    <w:rsid w:val="002C0937"/>
    <w:rsid w:val="002C0A91"/>
    <w:rsid w:val="002C0C5E"/>
    <w:rsid w:val="002C0DE9"/>
    <w:rsid w:val="002C1103"/>
    <w:rsid w:val="002C1A1C"/>
    <w:rsid w:val="002C1ECB"/>
    <w:rsid w:val="002C1EFA"/>
    <w:rsid w:val="002C22EF"/>
    <w:rsid w:val="002C272B"/>
    <w:rsid w:val="002C3291"/>
    <w:rsid w:val="002C352C"/>
    <w:rsid w:val="002C3664"/>
    <w:rsid w:val="002C36F0"/>
    <w:rsid w:val="002C378E"/>
    <w:rsid w:val="002C3888"/>
    <w:rsid w:val="002C3975"/>
    <w:rsid w:val="002C3B63"/>
    <w:rsid w:val="002C3CA7"/>
    <w:rsid w:val="002C3F48"/>
    <w:rsid w:val="002C3F54"/>
    <w:rsid w:val="002C4101"/>
    <w:rsid w:val="002C4680"/>
    <w:rsid w:val="002C4D75"/>
    <w:rsid w:val="002C4F56"/>
    <w:rsid w:val="002C50FA"/>
    <w:rsid w:val="002C5FE0"/>
    <w:rsid w:val="002C6021"/>
    <w:rsid w:val="002C608C"/>
    <w:rsid w:val="002C647D"/>
    <w:rsid w:val="002C649B"/>
    <w:rsid w:val="002C65CE"/>
    <w:rsid w:val="002C6638"/>
    <w:rsid w:val="002C6704"/>
    <w:rsid w:val="002C6E00"/>
    <w:rsid w:val="002C702F"/>
    <w:rsid w:val="002C731F"/>
    <w:rsid w:val="002C73A6"/>
    <w:rsid w:val="002C79BD"/>
    <w:rsid w:val="002C7BD7"/>
    <w:rsid w:val="002C7C5E"/>
    <w:rsid w:val="002C7E00"/>
    <w:rsid w:val="002D065C"/>
    <w:rsid w:val="002D0687"/>
    <w:rsid w:val="002D0B8F"/>
    <w:rsid w:val="002D0F61"/>
    <w:rsid w:val="002D1F23"/>
    <w:rsid w:val="002D2211"/>
    <w:rsid w:val="002D235B"/>
    <w:rsid w:val="002D2861"/>
    <w:rsid w:val="002D2AE6"/>
    <w:rsid w:val="002D2BA3"/>
    <w:rsid w:val="002D31A4"/>
    <w:rsid w:val="002D3538"/>
    <w:rsid w:val="002D3866"/>
    <w:rsid w:val="002D3FCE"/>
    <w:rsid w:val="002D427D"/>
    <w:rsid w:val="002D4BFE"/>
    <w:rsid w:val="002D502C"/>
    <w:rsid w:val="002D51BC"/>
    <w:rsid w:val="002D53D4"/>
    <w:rsid w:val="002D57B8"/>
    <w:rsid w:val="002D5D32"/>
    <w:rsid w:val="002D5D78"/>
    <w:rsid w:val="002D6093"/>
    <w:rsid w:val="002D60C8"/>
    <w:rsid w:val="002D6223"/>
    <w:rsid w:val="002D6BC5"/>
    <w:rsid w:val="002D703C"/>
    <w:rsid w:val="002D7A59"/>
    <w:rsid w:val="002D7AC1"/>
    <w:rsid w:val="002D7AD3"/>
    <w:rsid w:val="002D7B72"/>
    <w:rsid w:val="002D7D4B"/>
    <w:rsid w:val="002E012B"/>
    <w:rsid w:val="002E0200"/>
    <w:rsid w:val="002E029E"/>
    <w:rsid w:val="002E046D"/>
    <w:rsid w:val="002E0634"/>
    <w:rsid w:val="002E07DD"/>
    <w:rsid w:val="002E080E"/>
    <w:rsid w:val="002E0F6F"/>
    <w:rsid w:val="002E1009"/>
    <w:rsid w:val="002E14A5"/>
    <w:rsid w:val="002E14DC"/>
    <w:rsid w:val="002E15DE"/>
    <w:rsid w:val="002E16E6"/>
    <w:rsid w:val="002E180E"/>
    <w:rsid w:val="002E2061"/>
    <w:rsid w:val="002E23AF"/>
    <w:rsid w:val="002E2471"/>
    <w:rsid w:val="002E2F46"/>
    <w:rsid w:val="002E3048"/>
    <w:rsid w:val="002E30CD"/>
    <w:rsid w:val="002E3250"/>
    <w:rsid w:val="002E3915"/>
    <w:rsid w:val="002E3D01"/>
    <w:rsid w:val="002E3E81"/>
    <w:rsid w:val="002E4A92"/>
    <w:rsid w:val="002E50AA"/>
    <w:rsid w:val="002E534E"/>
    <w:rsid w:val="002E5B8C"/>
    <w:rsid w:val="002E5C61"/>
    <w:rsid w:val="002E5F7A"/>
    <w:rsid w:val="002E610C"/>
    <w:rsid w:val="002E63BA"/>
    <w:rsid w:val="002E6522"/>
    <w:rsid w:val="002E683A"/>
    <w:rsid w:val="002E69AD"/>
    <w:rsid w:val="002E73C9"/>
    <w:rsid w:val="002E744B"/>
    <w:rsid w:val="002E7453"/>
    <w:rsid w:val="002E7531"/>
    <w:rsid w:val="002E7B0D"/>
    <w:rsid w:val="002E7BAA"/>
    <w:rsid w:val="002F0203"/>
    <w:rsid w:val="002F06A9"/>
    <w:rsid w:val="002F07AD"/>
    <w:rsid w:val="002F09EF"/>
    <w:rsid w:val="002F0ACA"/>
    <w:rsid w:val="002F0BD4"/>
    <w:rsid w:val="002F1323"/>
    <w:rsid w:val="002F1D72"/>
    <w:rsid w:val="002F1EBF"/>
    <w:rsid w:val="002F275A"/>
    <w:rsid w:val="002F2A16"/>
    <w:rsid w:val="002F2CF1"/>
    <w:rsid w:val="002F2FF9"/>
    <w:rsid w:val="002F30E1"/>
    <w:rsid w:val="002F34D9"/>
    <w:rsid w:val="002F35C2"/>
    <w:rsid w:val="002F38C3"/>
    <w:rsid w:val="002F4083"/>
    <w:rsid w:val="002F441E"/>
    <w:rsid w:val="002F44C1"/>
    <w:rsid w:val="002F4528"/>
    <w:rsid w:val="002F4A76"/>
    <w:rsid w:val="002F4F9F"/>
    <w:rsid w:val="002F50A0"/>
    <w:rsid w:val="002F54E4"/>
    <w:rsid w:val="002F56DB"/>
    <w:rsid w:val="002F599E"/>
    <w:rsid w:val="002F6670"/>
    <w:rsid w:val="002F67B2"/>
    <w:rsid w:val="002F6A67"/>
    <w:rsid w:val="002F6CE3"/>
    <w:rsid w:val="002F723C"/>
    <w:rsid w:val="002F72F0"/>
    <w:rsid w:val="002F7449"/>
    <w:rsid w:val="002F7B34"/>
    <w:rsid w:val="002F7B7F"/>
    <w:rsid w:val="002F7B99"/>
    <w:rsid w:val="00300259"/>
    <w:rsid w:val="003003C7"/>
    <w:rsid w:val="00300431"/>
    <w:rsid w:val="00300C01"/>
    <w:rsid w:val="00300D28"/>
    <w:rsid w:val="00300DF6"/>
    <w:rsid w:val="0030151E"/>
    <w:rsid w:val="00301A74"/>
    <w:rsid w:val="00301D68"/>
    <w:rsid w:val="00301D84"/>
    <w:rsid w:val="0030215F"/>
    <w:rsid w:val="003021D2"/>
    <w:rsid w:val="003021DE"/>
    <w:rsid w:val="0030241D"/>
    <w:rsid w:val="00302620"/>
    <w:rsid w:val="00302751"/>
    <w:rsid w:val="00302BB0"/>
    <w:rsid w:val="00302D9B"/>
    <w:rsid w:val="00303103"/>
    <w:rsid w:val="0030317D"/>
    <w:rsid w:val="00303393"/>
    <w:rsid w:val="00303941"/>
    <w:rsid w:val="00303986"/>
    <w:rsid w:val="00304105"/>
    <w:rsid w:val="00304556"/>
    <w:rsid w:val="003045CC"/>
    <w:rsid w:val="003045E5"/>
    <w:rsid w:val="003045F8"/>
    <w:rsid w:val="00304894"/>
    <w:rsid w:val="00304D4F"/>
    <w:rsid w:val="00304D7E"/>
    <w:rsid w:val="00305148"/>
    <w:rsid w:val="003052C9"/>
    <w:rsid w:val="003054EA"/>
    <w:rsid w:val="003054EE"/>
    <w:rsid w:val="003055F4"/>
    <w:rsid w:val="0030595D"/>
    <w:rsid w:val="00305FA9"/>
    <w:rsid w:val="00306056"/>
    <w:rsid w:val="003063BB"/>
    <w:rsid w:val="00306649"/>
    <w:rsid w:val="00306660"/>
    <w:rsid w:val="00306739"/>
    <w:rsid w:val="003074EC"/>
    <w:rsid w:val="003077B2"/>
    <w:rsid w:val="003077B5"/>
    <w:rsid w:val="00307E39"/>
    <w:rsid w:val="00307E5E"/>
    <w:rsid w:val="0031018F"/>
    <w:rsid w:val="003102FB"/>
    <w:rsid w:val="00310535"/>
    <w:rsid w:val="00310856"/>
    <w:rsid w:val="003108A7"/>
    <w:rsid w:val="00310CE3"/>
    <w:rsid w:val="00310E45"/>
    <w:rsid w:val="00311174"/>
    <w:rsid w:val="00311204"/>
    <w:rsid w:val="003113A7"/>
    <w:rsid w:val="003113F3"/>
    <w:rsid w:val="0031158E"/>
    <w:rsid w:val="00311672"/>
    <w:rsid w:val="00311802"/>
    <w:rsid w:val="00312045"/>
    <w:rsid w:val="003122D1"/>
    <w:rsid w:val="003124F1"/>
    <w:rsid w:val="003129B9"/>
    <w:rsid w:val="00312DD5"/>
    <w:rsid w:val="00312E2C"/>
    <w:rsid w:val="00313444"/>
    <w:rsid w:val="0031383F"/>
    <w:rsid w:val="0031393E"/>
    <w:rsid w:val="003139E2"/>
    <w:rsid w:val="00313A9E"/>
    <w:rsid w:val="00313B2B"/>
    <w:rsid w:val="00313CBB"/>
    <w:rsid w:val="00314147"/>
    <w:rsid w:val="00315395"/>
    <w:rsid w:val="003158FA"/>
    <w:rsid w:val="00315F03"/>
    <w:rsid w:val="0031608F"/>
    <w:rsid w:val="0031650C"/>
    <w:rsid w:val="0031659A"/>
    <w:rsid w:val="00316732"/>
    <w:rsid w:val="00316884"/>
    <w:rsid w:val="00316A01"/>
    <w:rsid w:val="00316B3D"/>
    <w:rsid w:val="00316C12"/>
    <w:rsid w:val="0031706A"/>
    <w:rsid w:val="00317342"/>
    <w:rsid w:val="003176D3"/>
    <w:rsid w:val="003177E6"/>
    <w:rsid w:val="00317B91"/>
    <w:rsid w:val="00317F22"/>
    <w:rsid w:val="00320088"/>
    <w:rsid w:val="003201D3"/>
    <w:rsid w:val="00320724"/>
    <w:rsid w:val="00320934"/>
    <w:rsid w:val="00320ABC"/>
    <w:rsid w:val="00320B17"/>
    <w:rsid w:val="00320B24"/>
    <w:rsid w:val="00320C91"/>
    <w:rsid w:val="003211EB"/>
    <w:rsid w:val="00321680"/>
    <w:rsid w:val="00321C04"/>
    <w:rsid w:val="00321E56"/>
    <w:rsid w:val="00321F1F"/>
    <w:rsid w:val="00321F21"/>
    <w:rsid w:val="00321FEC"/>
    <w:rsid w:val="003221DE"/>
    <w:rsid w:val="00322344"/>
    <w:rsid w:val="003224A3"/>
    <w:rsid w:val="0032284B"/>
    <w:rsid w:val="0032292A"/>
    <w:rsid w:val="00322C75"/>
    <w:rsid w:val="00322CD9"/>
    <w:rsid w:val="00322E20"/>
    <w:rsid w:val="00322EAE"/>
    <w:rsid w:val="0032339A"/>
    <w:rsid w:val="003235E8"/>
    <w:rsid w:val="003236E6"/>
    <w:rsid w:val="00323869"/>
    <w:rsid w:val="00323EE7"/>
    <w:rsid w:val="00323F9A"/>
    <w:rsid w:val="003243D9"/>
    <w:rsid w:val="00324939"/>
    <w:rsid w:val="003249FC"/>
    <w:rsid w:val="00324A1A"/>
    <w:rsid w:val="003250FC"/>
    <w:rsid w:val="0032534B"/>
    <w:rsid w:val="003253D9"/>
    <w:rsid w:val="00325697"/>
    <w:rsid w:val="00325AF4"/>
    <w:rsid w:val="0032665C"/>
    <w:rsid w:val="00326676"/>
    <w:rsid w:val="0032690B"/>
    <w:rsid w:val="0032694F"/>
    <w:rsid w:val="00326C81"/>
    <w:rsid w:val="0032709B"/>
    <w:rsid w:val="003273E7"/>
    <w:rsid w:val="00327807"/>
    <w:rsid w:val="00327A81"/>
    <w:rsid w:val="00327E0D"/>
    <w:rsid w:val="00327ED8"/>
    <w:rsid w:val="00327FA2"/>
    <w:rsid w:val="003301B6"/>
    <w:rsid w:val="0033031F"/>
    <w:rsid w:val="0033070D"/>
    <w:rsid w:val="003308DC"/>
    <w:rsid w:val="00330A76"/>
    <w:rsid w:val="0033109E"/>
    <w:rsid w:val="003315BE"/>
    <w:rsid w:val="00331961"/>
    <w:rsid w:val="00331AAD"/>
    <w:rsid w:val="00331ADD"/>
    <w:rsid w:val="003321A9"/>
    <w:rsid w:val="00332842"/>
    <w:rsid w:val="0033285A"/>
    <w:rsid w:val="003328F4"/>
    <w:rsid w:val="00332943"/>
    <w:rsid w:val="003329F1"/>
    <w:rsid w:val="00332B81"/>
    <w:rsid w:val="00332EF2"/>
    <w:rsid w:val="00333016"/>
    <w:rsid w:val="0033321B"/>
    <w:rsid w:val="003332D1"/>
    <w:rsid w:val="00333371"/>
    <w:rsid w:val="003339AD"/>
    <w:rsid w:val="00333AFD"/>
    <w:rsid w:val="00333B61"/>
    <w:rsid w:val="00333C28"/>
    <w:rsid w:val="003346C2"/>
    <w:rsid w:val="00334F0A"/>
    <w:rsid w:val="00335107"/>
    <w:rsid w:val="003352BE"/>
    <w:rsid w:val="0033551C"/>
    <w:rsid w:val="00335C3C"/>
    <w:rsid w:val="00335E68"/>
    <w:rsid w:val="00335EEE"/>
    <w:rsid w:val="0033661D"/>
    <w:rsid w:val="003367DB"/>
    <w:rsid w:val="00336B2C"/>
    <w:rsid w:val="00336C2A"/>
    <w:rsid w:val="00337448"/>
    <w:rsid w:val="003376A1"/>
    <w:rsid w:val="003377C1"/>
    <w:rsid w:val="00337A53"/>
    <w:rsid w:val="00337B88"/>
    <w:rsid w:val="00337EEA"/>
    <w:rsid w:val="00340482"/>
    <w:rsid w:val="0034051C"/>
    <w:rsid w:val="00341278"/>
    <w:rsid w:val="003412D5"/>
    <w:rsid w:val="003419CE"/>
    <w:rsid w:val="00341A53"/>
    <w:rsid w:val="00341C7C"/>
    <w:rsid w:val="00341D2B"/>
    <w:rsid w:val="0034251B"/>
    <w:rsid w:val="00342721"/>
    <w:rsid w:val="00342C12"/>
    <w:rsid w:val="0034326A"/>
    <w:rsid w:val="003432E6"/>
    <w:rsid w:val="00343343"/>
    <w:rsid w:val="0034354D"/>
    <w:rsid w:val="0034367F"/>
    <w:rsid w:val="00343949"/>
    <w:rsid w:val="0034399B"/>
    <w:rsid w:val="00343A83"/>
    <w:rsid w:val="00343F96"/>
    <w:rsid w:val="003447BD"/>
    <w:rsid w:val="00344941"/>
    <w:rsid w:val="00344980"/>
    <w:rsid w:val="00344BD5"/>
    <w:rsid w:val="00344E85"/>
    <w:rsid w:val="003451FF"/>
    <w:rsid w:val="003452F9"/>
    <w:rsid w:val="00345305"/>
    <w:rsid w:val="003453ED"/>
    <w:rsid w:val="003459A4"/>
    <w:rsid w:val="00345E34"/>
    <w:rsid w:val="00346101"/>
    <w:rsid w:val="003461B3"/>
    <w:rsid w:val="00346AAC"/>
    <w:rsid w:val="00346AE9"/>
    <w:rsid w:val="00346E65"/>
    <w:rsid w:val="00347281"/>
    <w:rsid w:val="003473D0"/>
    <w:rsid w:val="00350EB9"/>
    <w:rsid w:val="003510FF"/>
    <w:rsid w:val="00351165"/>
    <w:rsid w:val="003514AC"/>
    <w:rsid w:val="003514C4"/>
    <w:rsid w:val="0035175A"/>
    <w:rsid w:val="00351AEA"/>
    <w:rsid w:val="00351D42"/>
    <w:rsid w:val="003520EC"/>
    <w:rsid w:val="0035263B"/>
    <w:rsid w:val="00352718"/>
    <w:rsid w:val="003528CA"/>
    <w:rsid w:val="0035291E"/>
    <w:rsid w:val="00352AB5"/>
    <w:rsid w:val="00352AFA"/>
    <w:rsid w:val="00352BE6"/>
    <w:rsid w:val="00352D5D"/>
    <w:rsid w:val="003533BC"/>
    <w:rsid w:val="003537C3"/>
    <w:rsid w:val="003539DF"/>
    <w:rsid w:val="003539E1"/>
    <w:rsid w:val="00353A5D"/>
    <w:rsid w:val="00353B89"/>
    <w:rsid w:val="0035464A"/>
    <w:rsid w:val="00354EE1"/>
    <w:rsid w:val="00355297"/>
    <w:rsid w:val="00355548"/>
    <w:rsid w:val="00355640"/>
    <w:rsid w:val="00355679"/>
    <w:rsid w:val="00355B6A"/>
    <w:rsid w:val="00355FEE"/>
    <w:rsid w:val="00356246"/>
    <w:rsid w:val="00356884"/>
    <w:rsid w:val="00356BF0"/>
    <w:rsid w:val="00356EC6"/>
    <w:rsid w:val="0035750F"/>
    <w:rsid w:val="00357696"/>
    <w:rsid w:val="00357712"/>
    <w:rsid w:val="0035799C"/>
    <w:rsid w:val="00357C5C"/>
    <w:rsid w:val="003601CF"/>
    <w:rsid w:val="0036056B"/>
    <w:rsid w:val="00360A2F"/>
    <w:rsid w:val="00360E59"/>
    <w:rsid w:val="0036105F"/>
    <w:rsid w:val="0036138F"/>
    <w:rsid w:val="0036185F"/>
    <w:rsid w:val="00361A52"/>
    <w:rsid w:val="003620ED"/>
    <w:rsid w:val="00362337"/>
    <w:rsid w:val="00362CD2"/>
    <w:rsid w:val="00362D55"/>
    <w:rsid w:val="00363326"/>
    <w:rsid w:val="00363528"/>
    <w:rsid w:val="003635F1"/>
    <w:rsid w:val="003636A5"/>
    <w:rsid w:val="0036376A"/>
    <w:rsid w:val="00363C77"/>
    <w:rsid w:val="00364001"/>
    <w:rsid w:val="0036404C"/>
    <w:rsid w:val="003641FA"/>
    <w:rsid w:val="003642C8"/>
    <w:rsid w:val="00364664"/>
    <w:rsid w:val="00364A1D"/>
    <w:rsid w:val="00364AC8"/>
    <w:rsid w:val="00364CE7"/>
    <w:rsid w:val="00364E6C"/>
    <w:rsid w:val="003652EA"/>
    <w:rsid w:val="00365872"/>
    <w:rsid w:val="00365A1F"/>
    <w:rsid w:val="00366004"/>
    <w:rsid w:val="0036634A"/>
    <w:rsid w:val="00366364"/>
    <w:rsid w:val="00366A8B"/>
    <w:rsid w:val="00366A96"/>
    <w:rsid w:val="00366BD2"/>
    <w:rsid w:val="003670DC"/>
    <w:rsid w:val="003676D2"/>
    <w:rsid w:val="00367950"/>
    <w:rsid w:val="00367D25"/>
    <w:rsid w:val="0037008F"/>
    <w:rsid w:val="0037014E"/>
    <w:rsid w:val="003705A1"/>
    <w:rsid w:val="00370770"/>
    <w:rsid w:val="00370C36"/>
    <w:rsid w:val="00370F00"/>
    <w:rsid w:val="00370FB5"/>
    <w:rsid w:val="003715F8"/>
    <w:rsid w:val="003716DA"/>
    <w:rsid w:val="0037172A"/>
    <w:rsid w:val="00371964"/>
    <w:rsid w:val="00371B22"/>
    <w:rsid w:val="00371F3C"/>
    <w:rsid w:val="00371F8C"/>
    <w:rsid w:val="00371FC3"/>
    <w:rsid w:val="003722F2"/>
    <w:rsid w:val="003725F6"/>
    <w:rsid w:val="0037268A"/>
    <w:rsid w:val="00372A4D"/>
    <w:rsid w:val="00372B6F"/>
    <w:rsid w:val="00372BC3"/>
    <w:rsid w:val="00372BDD"/>
    <w:rsid w:val="00372C7D"/>
    <w:rsid w:val="00372D55"/>
    <w:rsid w:val="00373007"/>
    <w:rsid w:val="0037333D"/>
    <w:rsid w:val="003734A0"/>
    <w:rsid w:val="003747C6"/>
    <w:rsid w:val="00374E51"/>
    <w:rsid w:val="00374EAA"/>
    <w:rsid w:val="00375091"/>
    <w:rsid w:val="0037512C"/>
    <w:rsid w:val="003752BE"/>
    <w:rsid w:val="00375855"/>
    <w:rsid w:val="00375911"/>
    <w:rsid w:val="00375E4A"/>
    <w:rsid w:val="00376951"/>
    <w:rsid w:val="00376BF9"/>
    <w:rsid w:val="00376FF9"/>
    <w:rsid w:val="00377223"/>
    <w:rsid w:val="00377388"/>
    <w:rsid w:val="0037798D"/>
    <w:rsid w:val="00377CF5"/>
    <w:rsid w:val="00380077"/>
    <w:rsid w:val="00380408"/>
    <w:rsid w:val="003806C3"/>
    <w:rsid w:val="00380AB3"/>
    <w:rsid w:val="003810EB"/>
    <w:rsid w:val="003813F5"/>
    <w:rsid w:val="00381B31"/>
    <w:rsid w:val="0038206B"/>
    <w:rsid w:val="003828D9"/>
    <w:rsid w:val="0038290D"/>
    <w:rsid w:val="00382A89"/>
    <w:rsid w:val="00383556"/>
    <w:rsid w:val="00383563"/>
    <w:rsid w:val="00383603"/>
    <w:rsid w:val="0038368D"/>
    <w:rsid w:val="003838B1"/>
    <w:rsid w:val="00383BDD"/>
    <w:rsid w:val="00383E6F"/>
    <w:rsid w:val="00384344"/>
    <w:rsid w:val="00384504"/>
    <w:rsid w:val="003845BA"/>
    <w:rsid w:val="00384CBF"/>
    <w:rsid w:val="00384FD7"/>
    <w:rsid w:val="00385545"/>
    <w:rsid w:val="00386124"/>
    <w:rsid w:val="003864B7"/>
    <w:rsid w:val="0038650B"/>
    <w:rsid w:val="003867B1"/>
    <w:rsid w:val="00386D47"/>
    <w:rsid w:val="00386DDD"/>
    <w:rsid w:val="00387083"/>
    <w:rsid w:val="003876AE"/>
    <w:rsid w:val="003876C6"/>
    <w:rsid w:val="00387A8A"/>
    <w:rsid w:val="00387D6D"/>
    <w:rsid w:val="00390563"/>
    <w:rsid w:val="003907C7"/>
    <w:rsid w:val="00390A62"/>
    <w:rsid w:val="00390AA9"/>
    <w:rsid w:val="00390DC9"/>
    <w:rsid w:val="00390F7A"/>
    <w:rsid w:val="00391109"/>
    <w:rsid w:val="00391420"/>
    <w:rsid w:val="00391687"/>
    <w:rsid w:val="00391C71"/>
    <w:rsid w:val="00391CD3"/>
    <w:rsid w:val="00391D36"/>
    <w:rsid w:val="00391D5A"/>
    <w:rsid w:val="00391E2A"/>
    <w:rsid w:val="003920FC"/>
    <w:rsid w:val="003921C0"/>
    <w:rsid w:val="00392431"/>
    <w:rsid w:val="00392789"/>
    <w:rsid w:val="00392957"/>
    <w:rsid w:val="00392A16"/>
    <w:rsid w:val="00392A49"/>
    <w:rsid w:val="00392B26"/>
    <w:rsid w:val="00392FE3"/>
    <w:rsid w:val="003930D9"/>
    <w:rsid w:val="0039315A"/>
    <w:rsid w:val="00393460"/>
    <w:rsid w:val="0039392C"/>
    <w:rsid w:val="00393B69"/>
    <w:rsid w:val="00393C70"/>
    <w:rsid w:val="00393EC9"/>
    <w:rsid w:val="003940D8"/>
    <w:rsid w:val="003940ED"/>
    <w:rsid w:val="00394807"/>
    <w:rsid w:val="003948AC"/>
    <w:rsid w:val="00394D2B"/>
    <w:rsid w:val="00394D71"/>
    <w:rsid w:val="00394F70"/>
    <w:rsid w:val="003951F1"/>
    <w:rsid w:val="00395577"/>
    <w:rsid w:val="00395669"/>
    <w:rsid w:val="00395C0E"/>
    <w:rsid w:val="00395CD4"/>
    <w:rsid w:val="003966FD"/>
    <w:rsid w:val="00396A53"/>
    <w:rsid w:val="00396B50"/>
    <w:rsid w:val="00396BC9"/>
    <w:rsid w:val="00396CAD"/>
    <w:rsid w:val="00396DE5"/>
    <w:rsid w:val="00396E53"/>
    <w:rsid w:val="00397124"/>
    <w:rsid w:val="00397329"/>
    <w:rsid w:val="0039757F"/>
    <w:rsid w:val="00397B34"/>
    <w:rsid w:val="00397CB3"/>
    <w:rsid w:val="003A0632"/>
    <w:rsid w:val="003A0686"/>
    <w:rsid w:val="003A07B4"/>
    <w:rsid w:val="003A0808"/>
    <w:rsid w:val="003A0AB2"/>
    <w:rsid w:val="003A1073"/>
    <w:rsid w:val="003A1409"/>
    <w:rsid w:val="003A15EE"/>
    <w:rsid w:val="003A1B34"/>
    <w:rsid w:val="003A1CF0"/>
    <w:rsid w:val="003A2013"/>
    <w:rsid w:val="003A25B2"/>
    <w:rsid w:val="003A2831"/>
    <w:rsid w:val="003A2848"/>
    <w:rsid w:val="003A29B8"/>
    <w:rsid w:val="003A2C0D"/>
    <w:rsid w:val="003A2D01"/>
    <w:rsid w:val="003A2EBE"/>
    <w:rsid w:val="003A2FE6"/>
    <w:rsid w:val="003A32B6"/>
    <w:rsid w:val="003A3447"/>
    <w:rsid w:val="003A3478"/>
    <w:rsid w:val="003A34B5"/>
    <w:rsid w:val="003A36CD"/>
    <w:rsid w:val="003A3901"/>
    <w:rsid w:val="003A3992"/>
    <w:rsid w:val="003A406B"/>
    <w:rsid w:val="003A415E"/>
    <w:rsid w:val="003A462A"/>
    <w:rsid w:val="003A469E"/>
    <w:rsid w:val="003A4B69"/>
    <w:rsid w:val="003A4C92"/>
    <w:rsid w:val="003A5105"/>
    <w:rsid w:val="003A5149"/>
    <w:rsid w:val="003A532A"/>
    <w:rsid w:val="003A53B0"/>
    <w:rsid w:val="003A5470"/>
    <w:rsid w:val="003A58BB"/>
    <w:rsid w:val="003A59DC"/>
    <w:rsid w:val="003A61F3"/>
    <w:rsid w:val="003A643F"/>
    <w:rsid w:val="003A6ABB"/>
    <w:rsid w:val="003A6AE5"/>
    <w:rsid w:val="003A6D3C"/>
    <w:rsid w:val="003A75BB"/>
    <w:rsid w:val="003A75FA"/>
    <w:rsid w:val="003A7923"/>
    <w:rsid w:val="003A7CF1"/>
    <w:rsid w:val="003B063A"/>
    <w:rsid w:val="003B067E"/>
    <w:rsid w:val="003B074C"/>
    <w:rsid w:val="003B0786"/>
    <w:rsid w:val="003B14B5"/>
    <w:rsid w:val="003B1697"/>
    <w:rsid w:val="003B19A6"/>
    <w:rsid w:val="003B19CE"/>
    <w:rsid w:val="003B1A79"/>
    <w:rsid w:val="003B1AA2"/>
    <w:rsid w:val="003B1D1E"/>
    <w:rsid w:val="003B237B"/>
    <w:rsid w:val="003B2380"/>
    <w:rsid w:val="003B23FC"/>
    <w:rsid w:val="003B2879"/>
    <w:rsid w:val="003B2A67"/>
    <w:rsid w:val="003B2B2D"/>
    <w:rsid w:val="003B308F"/>
    <w:rsid w:val="003B352C"/>
    <w:rsid w:val="003B35DA"/>
    <w:rsid w:val="003B3AC9"/>
    <w:rsid w:val="003B3E98"/>
    <w:rsid w:val="003B438A"/>
    <w:rsid w:val="003B449E"/>
    <w:rsid w:val="003B4520"/>
    <w:rsid w:val="003B4716"/>
    <w:rsid w:val="003B4957"/>
    <w:rsid w:val="003B4AA3"/>
    <w:rsid w:val="003B4F3E"/>
    <w:rsid w:val="003B52BB"/>
    <w:rsid w:val="003B54DB"/>
    <w:rsid w:val="003B55F2"/>
    <w:rsid w:val="003B5BCF"/>
    <w:rsid w:val="003B5F01"/>
    <w:rsid w:val="003B678A"/>
    <w:rsid w:val="003B682F"/>
    <w:rsid w:val="003B6A34"/>
    <w:rsid w:val="003B6B0C"/>
    <w:rsid w:val="003B6B6F"/>
    <w:rsid w:val="003B6C0E"/>
    <w:rsid w:val="003B6DF0"/>
    <w:rsid w:val="003B6F2F"/>
    <w:rsid w:val="003B725B"/>
    <w:rsid w:val="003B77C0"/>
    <w:rsid w:val="003B78B7"/>
    <w:rsid w:val="003B7E5F"/>
    <w:rsid w:val="003C0106"/>
    <w:rsid w:val="003C04F5"/>
    <w:rsid w:val="003C09D4"/>
    <w:rsid w:val="003C13E8"/>
    <w:rsid w:val="003C13F8"/>
    <w:rsid w:val="003C17BC"/>
    <w:rsid w:val="003C1A14"/>
    <w:rsid w:val="003C1F9B"/>
    <w:rsid w:val="003C20D8"/>
    <w:rsid w:val="003C21E0"/>
    <w:rsid w:val="003C2292"/>
    <w:rsid w:val="003C2367"/>
    <w:rsid w:val="003C2775"/>
    <w:rsid w:val="003C2838"/>
    <w:rsid w:val="003C288D"/>
    <w:rsid w:val="003C2B94"/>
    <w:rsid w:val="003C2CBA"/>
    <w:rsid w:val="003C352A"/>
    <w:rsid w:val="003C35F0"/>
    <w:rsid w:val="003C388B"/>
    <w:rsid w:val="003C3B85"/>
    <w:rsid w:val="003C3E3F"/>
    <w:rsid w:val="003C403D"/>
    <w:rsid w:val="003C4641"/>
    <w:rsid w:val="003C489B"/>
    <w:rsid w:val="003C4A7A"/>
    <w:rsid w:val="003C4D36"/>
    <w:rsid w:val="003C4D88"/>
    <w:rsid w:val="003C4FC8"/>
    <w:rsid w:val="003C5029"/>
    <w:rsid w:val="003C52A8"/>
    <w:rsid w:val="003C53C0"/>
    <w:rsid w:val="003C565B"/>
    <w:rsid w:val="003C5892"/>
    <w:rsid w:val="003C5FCC"/>
    <w:rsid w:val="003C6066"/>
    <w:rsid w:val="003C6655"/>
    <w:rsid w:val="003C6770"/>
    <w:rsid w:val="003C678D"/>
    <w:rsid w:val="003C67CB"/>
    <w:rsid w:val="003C6956"/>
    <w:rsid w:val="003C6993"/>
    <w:rsid w:val="003C75B4"/>
    <w:rsid w:val="003C7C6A"/>
    <w:rsid w:val="003C7D02"/>
    <w:rsid w:val="003D0316"/>
    <w:rsid w:val="003D03EB"/>
    <w:rsid w:val="003D0830"/>
    <w:rsid w:val="003D0989"/>
    <w:rsid w:val="003D0B14"/>
    <w:rsid w:val="003D1009"/>
    <w:rsid w:val="003D1186"/>
    <w:rsid w:val="003D1752"/>
    <w:rsid w:val="003D1CC0"/>
    <w:rsid w:val="003D2612"/>
    <w:rsid w:val="003D2887"/>
    <w:rsid w:val="003D2914"/>
    <w:rsid w:val="003D2962"/>
    <w:rsid w:val="003D2A07"/>
    <w:rsid w:val="003D2A57"/>
    <w:rsid w:val="003D2A58"/>
    <w:rsid w:val="003D3016"/>
    <w:rsid w:val="003D3050"/>
    <w:rsid w:val="003D3364"/>
    <w:rsid w:val="003D3660"/>
    <w:rsid w:val="003D3A88"/>
    <w:rsid w:val="003D3B02"/>
    <w:rsid w:val="003D3BF1"/>
    <w:rsid w:val="003D3ED2"/>
    <w:rsid w:val="003D4292"/>
    <w:rsid w:val="003D4368"/>
    <w:rsid w:val="003D46C3"/>
    <w:rsid w:val="003D49C1"/>
    <w:rsid w:val="003D5054"/>
    <w:rsid w:val="003D5229"/>
    <w:rsid w:val="003D55E9"/>
    <w:rsid w:val="003D5683"/>
    <w:rsid w:val="003D56AA"/>
    <w:rsid w:val="003D5935"/>
    <w:rsid w:val="003D594C"/>
    <w:rsid w:val="003D6298"/>
    <w:rsid w:val="003D63A0"/>
    <w:rsid w:val="003D64BF"/>
    <w:rsid w:val="003D6DC1"/>
    <w:rsid w:val="003D6E74"/>
    <w:rsid w:val="003D7112"/>
    <w:rsid w:val="003D7235"/>
    <w:rsid w:val="003D754B"/>
    <w:rsid w:val="003D7CC6"/>
    <w:rsid w:val="003E0066"/>
    <w:rsid w:val="003E0784"/>
    <w:rsid w:val="003E07E8"/>
    <w:rsid w:val="003E0B22"/>
    <w:rsid w:val="003E0ECF"/>
    <w:rsid w:val="003E0F45"/>
    <w:rsid w:val="003E10F5"/>
    <w:rsid w:val="003E1151"/>
    <w:rsid w:val="003E1837"/>
    <w:rsid w:val="003E19BE"/>
    <w:rsid w:val="003E2081"/>
    <w:rsid w:val="003E2189"/>
    <w:rsid w:val="003E242F"/>
    <w:rsid w:val="003E2597"/>
    <w:rsid w:val="003E2A55"/>
    <w:rsid w:val="003E3145"/>
    <w:rsid w:val="003E31DB"/>
    <w:rsid w:val="003E33F6"/>
    <w:rsid w:val="003E39A6"/>
    <w:rsid w:val="003E440F"/>
    <w:rsid w:val="003E443A"/>
    <w:rsid w:val="003E490C"/>
    <w:rsid w:val="003E4C79"/>
    <w:rsid w:val="003E4E4E"/>
    <w:rsid w:val="003E5115"/>
    <w:rsid w:val="003E522F"/>
    <w:rsid w:val="003E5364"/>
    <w:rsid w:val="003E54E0"/>
    <w:rsid w:val="003E5557"/>
    <w:rsid w:val="003E5867"/>
    <w:rsid w:val="003E5C3E"/>
    <w:rsid w:val="003E610A"/>
    <w:rsid w:val="003E61CF"/>
    <w:rsid w:val="003E6811"/>
    <w:rsid w:val="003E6A78"/>
    <w:rsid w:val="003E6EE3"/>
    <w:rsid w:val="003E70BE"/>
    <w:rsid w:val="003E7107"/>
    <w:rsid w:val="003E7199"/>
    <w:rsid w:val="003E72AA"/>
    <w:rsid w:val="003E74A3"/>
    <w:rsid w:val="003E7AA3"/>
    <w:rsid w:val="003E7DFD"/>
    <w:rsid w:val="003E7E7B"/>
    <w:rsid w:val="003F080D"/>
    <w:rsid w:val="003F08AA"/>
    <w:rsid w:val="003F13B3"/>
    <w:rsid w:val="003F1BF3"/>
    <w:rsid w:val="003F1E71"/>
    <w:rsid w:val="003F1E99"/>
    <w:rsid w:val="003F2307"/>
    <w:rsid w:val="003F25B8"/>
    <w:rsid w:val="003F2634"/>
    <w:rsid w:val="003F2887"/>
    <w:rsid w:val="003F298D"/>
    <w:rsid w:val="003F3035"/>
    <w:rsid w:val="003F308E"/>
    <w:rsid w:val="003F32E7"/>
    <w:rsid w:val="003F3443"/>
    <w:rsid w:val="003F3555"/>
    <w:rsid w:val="003F36F9"/>
    <w:rsid w:val="003F37D9"/>
    <w:rsid w:val="003F3C74"/>
    <w:rsid w:val="003F46B3"/>
    <w:rsid w:val="003F47AB"/>
    <w:rsid w:val="003F4A18"/>
    <w:rsid w:val="003F4CA9"/>
    <w:rsid w:val="003F53C3"/>
    <w:rsid w:val="003F5720"/>
    <w:rsid w:val="003F576F"/>
    <w:rsid w:val="003F5983"/>
    <w:rsid w:val="003F5B26"/>
    <w:rsid w:val="003F5CBA"/>
    <w:rsid w:val="003F6018"/>
    <w:rsid w:val="003F62BB"/>
    <w:rsid w:val="003F6B99"/>
    <w:rsid w:val="003F71E8"/>
    <w:rsid w:val="003F7443"/>
    <w:rsid w:val="003F75E1"/>
    <w:rsid w:val="003F77A3"/>
    <w:rsid w:val="004002D3"/>
    <w:rsid w:val="00400C7E"/>
    <w:rsid w:val="00400CDF"/>
    <w:rsid w:val="00400DC7"/>
    <w:rsid w:val="00401422"/>
    <w:rsid w:val="00401962"/>
    <w:rsid w:val="00401BF1"/>
    <w:rsid w:val="00401E7E"/>
    <w:rsid w:val="0040217A"/>
    <w:rsid w:val="004023E2"/>
    <w:rsid w:val="00402503"/>
    <w:rsid w:val="00402899"/>
    <w:rsid w:val="00402CDE"/>
    <w:rsid w:val="00402E2A"/>
    <w:rsid w:val="00403464"/>
    <w:rsid w:val="00403725"/>
    <w:rsid w:val="0040376D"/>
    <w:rsid w:val="00403DC3"/>
    <w:rsid w:val="00403F8F"/>
    <w:rsid w:val="00404C3A"/>
    <w:rsid w:val="0040516E"/>
    <w:rsid w:val="004051E8"/>
    <w:rsid w:val="00406BE9"/>
    <w:rsid w:val="00406C07"/>
    <w:rsid w:val="00406C7B"/>
    <w:rsid w:val="00406CD4"/>
    <w:rsid w:val="004070D5"/>
    <w:rsid w:val="00407149"/>
    <w:rsid w:val="00407445"/>
    <w:rsid w:val="00407757"/>
    <w:rsid w:val="004077C3"/>
    <w:rsid w:val="00407908"/>
    <w:rsid w:val="0041011B"/>
    <w:rsid w:val="004101B4"/>
    <w:rsid w:val="00410284"/>
    <w:rsid w:val="0041050F"/>
    <w:rsid w:val="004108F0"/>
    <w:rsid w:val="004109F4"/>
    <w:rsid w:val="00410B29"/>
    <w:rsid w:val="00410C55"/>
    <w:rsid w:val="00410DE5"/>
    <w:rsid w:val="00410E4D"/>
    <w:rsid w:val="0041131A"/>
    <w:rsid w:val="0041153B"/>
    <w:rsid w:val="00411B13"/>
    <w:rsid w:val="00411C99"/>
    <w:rsid w:val="00411E6A"/>
    <w:rsid w:val="00412128"/>
    <w:rsid w:val="00412219"/>
    <w:rsid w:val="00412222"/>
    <w:rsid w:val="0041290F"/>
    <w:rsid w:val="00412C18"/>
    <w:rsid w:val="0041304F"/>
    <w:rsid w:val="004136AF"/>
    <w:rsid w:val="00414143"/>
    <w:rsid w:val="00414429"/>
    <w:rsid w:val="004147AE"/>
    <w:rsid w:val="00414C4B"/>
    <w:rsid w:val="00414C70"/>
    <w:rsid w:val="00415055"/>
    <w:rsid w:val="00415395"/>
    <w:rsid w:val="004154C5"/>
    <w:rsid w:val="004157DF"/>
    <w:rsid w:val="004159CA"/>
    <w:rsid w:val="00416154"/>
    <w:rsid w:val="004162CE"/>
    <w:rsid w:val="004162EC"/>
    <w:rsid w:val="004166A1"/>
    <w:rsid w:val="004168EC"/>
    <w:rsid w:val="00416B2B"/>
    <w:rsid w:val="00416D3D"/>
    <w:rsid w:val="00416F9B"/>
    <w:rsid w:val="004175D5"/>
    <w:rsid w:val="0041765D"/>
    <w:rsid w:val="00417A9A"/>
    <w:rsid w:val="00417D51"/>
    <w:rsid w:val="00417EB7"/>
    <w:rsid w:val="00417F08"/>
    <w:rsid w:val="00420909"/>
    <w:rsid w:val="00420EA9"/>
    <w:rsid w:val="00420ED2"/>
    <w:rsid w:val="00420EDE"/>
    <w:rsid w:val="004217CF"/>
    <w:rsid w:val="00421B60"/>
    <w:rsid w:val="00421DA7"/>
    <w:rsid w:val="00422154"/>
    <w:rsid w:val="0042218C"/>
    <w:rsid w:val="00422312"/>
    <w:rsid w:val="004225E0"/>
    <w:rsid w:val="0042262A"/>
    <w:rsid w:val="00422742"/>
    <w:rsid w:val="004230F9"/>
    <w:rsid w:val="00423140"/>
    <w:rsid w:val="00423628"/>
    <w:rsid w:val="00423648"/>
    <w:rsid w:val="004240BE"/>
    <w:rsid w:val="004242A8"/>
    <w:rsid w:val="004247A8"/>
    <w:rsid w:val="00424B28"/>
    <w:rsid w:val="004254A9"/>
    <w:rsid w:val="004257D1"/>
    <w:rsid w:val="004259E2"/>
    <w:rsid w:val="00425C62"/>
    <w:rsid w:val="00425E50"/>
    <w:rsid w:val="00425FD9"/>
    <w:rsid w:val="00426D58"/>
    <w:rsid w:val="00426F75"/>
    <w:rsid w:val="0042761A"/>
    <w:rsid w:val="004276DA"/>
    <w:rsid w:val="00427BA2"/>
    <w:rsid w:val="00430008"/>
    <w:rsid w:val="00430B2C"/>
    <w:rsid w:val="00430C1C"/>
    <w:rsid w:val="00430FAB"/>
    <w:rsid w:val="00431824"/>
    <w:rsid w:val="00431DD4"/>
    <w:rsid w:val="004321D6"/>
    <w:rsid w:val="00432E02"/>
    <w:rsid w:val="00433162"/>
    <w:rsid w:val="00433212"/>
    <w:rsid w:val="0043341F"/>
    <w:rsid w:val="0043353D"/>
    <w:rsid w:val="0043354C"/>
    <w:rsid w:val="00433B30"/>
    <w:rsid w:val="00433CA7"/>
    <w:rsid w:val="00433ED0"/>
    <w:rsid w:val="00433FD3"/>
    <w:rsid w:val="00433FF1"/>
    <w:rsid w:val="0043467C"/>
    <w:rsid w:val="00434810"/>
    <w:rsid w:val="00434895"/>
    <w:rsid w:val="004348AC"/>
    <w:rsid w:val="00434B44"/>
    <w:rsid w:val="004351A6"/>
    <w:rsid w:val="004351D3"/>
    <w:rsid w:val="00435586"/>
    <w:rsid w:val="00435878"/>
    <w:rsid w:val="00435945"/>
    <w:rsid w:val="004359E9"/>
    <w:rsid w:val="00435B5B"/>
    <w:rsid w:val="00435ECC"/>
    <w:rsid w:val="00436113"/>
    <w:rsid w:val="0043644C"/>
    <w:rsid w:val="00436557"/>
    <w:rsid w:val="00437169"/>
    <w:rsid w:val="00437AA7"/>
    <w:rsid w:val="00437CFA"/>
    <w:rsid w:val="00440992"/>
    <w:rsid w:val="00440F6C"/>
    <w:rsid w:val="00440FE9"/>
    <w:rsid w:val="00441424"/>
    <w:rsid w:val="00441813"/>
    <w:rsid w:val="004419FA"/>
    <w:rsid w:val="00442DD7"/>
    <w:rsid w:val="004431A3"/>
    <w:rsid w:val="004436D3"/>
    <w:rsid w:val="004437C4"/>
    <w:rsid w:val="004437D5"/>
    <w:rsid w:val="004437E8"/>
    <w:rsid w:val="00443E90"/>
    <w:rsid w:val="00444EFE"/>
    <w:rsid w:val="00445467"/>
    <w:rsid w:val="004458D5"/>
    <w:rsid w:val="00445F35"/>
    <w:rsid w:val="00446107"/>
    <w:rsid w:val="00446C5E"/>
    <w:rsid w:val="0044739A"/>
    <w:rsid w:val="004475C2"/>
    <w:rsid w:val="00447DA6"/>
    <w:rsid w:val="00447DD8"/>
    <w:rsid w:val="00447E8D"/>
    <w:rsid w:val="0045049C"/>
    <w:rsid w:val="00450F27"/>
    <w:rsid w:val="004512E9"/>
    <w:rsid w:val="0045136E"/>
    <w:rsid w:val="00451403"/>
    <w:rsid w:val="00451447"/>
    <w:rsid w:val="004514CD"/>
    <w:rsid w:val="00451F44"/>
    <w:rsid w:val="0045214E"/>
    <w:rsid w:val="00452199"/>
    <w:rsid w:val="00452751"/>
    <w:rsid w:val="0045277B"/>
    <w:rsid w:val="00452AC8"/>
    <w:rsid w:val="00452B41"/>
    <w:rsid w:val="00452BF0"/>
    <w:rsid w:val="00452FA7"/>
    <w:rsid w:val="00453367"/>
    <w:rsid w:val="00453D52"/>
    <w:rsid w:val="00453F22"/>
    <w:rsid w:val="00454075"/>
    <w:rsid w:val="00454370"/>
    <w:rsid w:val="0045476C"/>
    <w:rsid w:val="00454B24"/>
    <w:rsid w:val="00454EF3"/>
    <w:rsid w:val="00454F11"/>
    <w:rsid w:val="00455012"/>
    <w:rsid w:val="0045538E"/>
    <w:rsid w:val="00455813"/>
    <w:rsid w:val="00455901"/>
    <w:rsid w:val="00456221"/>
    <w:rsid w:val="0045651D"/>
    <w:rsid w:val="00456682"/>
    <w:rsid w:val="00456BCC"/>
    <w:rsid w:val="00456DB4"/>
    <w:rsid w:val="00457003"/>
    <w:rsid w:val="00457466"/>
    <w:rsid w:val="00457822"/>
    <w:rsid w:val="00457F7D"/>
    <w:rsid w:val="00457F82"/>
    <w:rsid w:val="004605E7"/>
    <w:rsid w:val="00460681"/>
    <w:rsid w:val="00460923"/>
    <w:rsid w:val="00460A32"/>
    <w:rsid w:val="00460C3D"/>
    <w:rsid w:val="00460EFF"/>
    <w:rsid w:val="00461199"/>
    <w:rsid w:val="004612D9"/>
    <w:rsid w:val="00461471"/>
    <w:rsid w:val="0046204B"/>
    <w:rsid w:val="00462262"/>
    <w:rsid w:val="0046268C"/>
    <w:rsid w:val="00462DE4"/>
    <w:rsid w:val="0046337C"/>
    <w:rsid w:val="00463442"/>
    <w:rsid w:val="0046392B"/>
    <w:rsid w:val="004639FF"/>
    <w:rsid w:val="00463D39"/>
    <w:rsid w:val="00463D6B"/>
    <w:rsid w:val="00463EAE"/>
    <w:rsid w:val="0046448A"/>
    <w:rsid w:val="0046451A"/>
    <w:rsid w:val="0046463F"/>
    <w:rsid w:val="00464967"/>
    <w:rsid w:val="00464A30"/>
    <w:rsid w:val="004650E1"/>
    <w:rsid w:val="0046544D"/>
    <w:rsid w:val="0046598C"/>
    <w:rsid w:val="00465C82"/>
    <w:rsid w:val="004661A0"/>
    <w:rsid w:val="00466499"/>
    <w:rsid w:val="00466882"/>
    <w:rsid w:val="00466909"/>
    <w:rsid w:val="00466E49"/>
    <w:rsid w:val="00466EFB"/>
    <w:rsid w:val="0046747D"/>
    <w:rsid w:val="00467641"/>
    <w:rsid w:val="00467930"/>
    <w:rsid w:val="004679BC"/>
    <w:rsid w:val="004679F9"/>
    <w:rsid w:val="00467B27"/>
    <w:rsid w:val="00470A0E"/>
    <w:rsid w:val="00471827"/>
    <w:rsid w:val="004724E2"/>
    <w:rsid w:val="00472560"/>
    <w:rsid w:val="004725E8"/>
    <w:rsid w:val="00472900"/>
    <w:rsid w:val="0047292B"/>
    <w:rsid w:val="00472A31"/>
    <w:rsid w:val="00473312"/>
    <w:rsid w:val="004733D3"/>
    <w:rsid w:val="0047386E"/>
    <w:rsid w:val="0047392B"/>
    <w:rsid w:val="00473A27"/>
    <w:rsid w:val="00473F95"/>
    <w:rsid w:val="004741CE"/>
    <w:rsid w:val="00474549"/>
    <w:rsid w:val="00474781"/>
    <w:rsid w:val="00474B9D"/>
    <w:rsid w:val="0047555C"/>
    <w:rsid w:val="00475983"/>
    <w:rsid w:val="00475CD3"/>
    <w:rsid w:val="00475D01"/>
    <w:rsid w:val="00475E76"/>
    <w:rsid w:val="0047601E"/>
    <w:rsid w:val="004767F2"/>
    <w:rsid w:val="00476B1D"/>
    <w:rsid w:val="00476BDD"/>
    <w:rsid w:val="00476D9A"/>
    <w:rsid w:val="00476DDF"/>
    <w:rsid w:val="00476FE6"/>
    <w:rsid w:val="00477208"/>
    <w:rsid w:val="004778ED"/>
    <w:rsid w:val="00477CF5"/>
    <w:rsid w:val="004805A7"/>
    <w:rsid w:val="00480AA2"/>
    <w:rsid w:val="00480B7C"/>
    <w:rsid w:val="00480BDC"/>
    <w:rsid w:val="00480BFC"/>
    <w:rsid w:val="00480D14"/>
    <w:rsid w:val="00481A82"/>
    <w:rsid w:val="0048215C"/>
    <w:rsid w:val="00482579"/>
    <w:rsid w:val="00482629"/>
    <w:rsid w:val="00482767"/>
    <w:rsid w:val="004829D9"/>
    <w:rsid w:val="00482C7E"/>
    <w:rsid w:val="00482D02"/>
    <w:rsid w:val="00482F0F"/>
    <w:rsid w:val="00482FC7"/>
    <w:rsid w:val="0048306D"/>
    <w:rsid w:val="00483738"/>
    <w:rsid w:val="0048396B"/>
    <w:rsid w:val="00483CFA"/>
    <w:rsid w:val="00483DEF"/>
    <w:rsid w:val="00483FEE"/>
    <w:rsid w:val="00484126"/>
    <w:rsid w:val="0048421F"/>
    <w:rsid w:val="00484840"/>
    <w:rsid w:val="00484A57"/>
    <w:rsid w:val="00484B6B"/>
    <w:rsid w:val="00484D91"/>
    <w:rsid w:val="00484E46"/>
    <w:rsid w:val="00484E88"/>
    <w:rsid w:val="00484F70"/>
    <w:rsid w:val="00485616"/>
    <w:rsid w:val="00485BF4"/>
    <w:rsid w:val="00485D3E"/>
    <w:rsid w:val="00485E50"/>
    <w:rsid w:val="00486021"/>
    <w:rsid w:val="004860E2"/>
    <w:rsid w:val="004862A3"/>
    <w:rsid w:val="0048638C"/>
    <w:rsid w:val="00486628"/>
    <w:rsid w:val="00486704"/>
    <w:rsid w:val="004869FB"/>
    <w:rsid w:val="00486AB5"/>
    <w:rsid w:val="00486B9A"/>
    <w:rsid w:val="00486D9F"/>
    <w:rsid w:val="00486FFF"/>
    <w:rsid w:val="0048720C"/>
    <w:rsid w:val="00487350"/>
    <w:rsid w:val="004874DF"/>
    <w:rsid w:val="00487506"/>
    <w:rsid w:val="004875C5"/>
    <w:rsid w:val="00487769"/>
    <w:rsid w:val="00487B82"/>
    <w:rsid w:val="004901BB"/>
    <w:rsid w:val="0049025D"/>
    <w:rsid w:val="004904A5"/>
    <w:rsid w:val="004908A9"/>
    <w:rsid w:val="00490BD2"/>
    <w:rsid w:val="004911A1"/>
    <w:rsid w:val="0049124D"/>
    <w:rsid w:val="004912EA"/>
    <w:rsid w:val="00491476"/>
    <w:rsid w:val="0049155F"/>
    <w:rsid w:val="00491885"/>
    <w:rsid w:val="004918A7"/>
    <w:rsid w:val="00491E1F"/>
    <w:rsid w:val="00491EEF"/>
    <w:rsid w:val="004920F9"/>
    <w:rsid w:val="004923E3"/>
    <w:rsid w:val="00492549"/>
    <w:rsid w:val="00492980"/>
    <w:rsid w:val="00492D69"/>
    <w:rsid w:val="00493460"/>
    <w:rsid w:val="00493A6F"/>
    <w:rsid w:val="004940C0"/>
    <w:rsid w:val="0049421B"/>
    <w:rsid w:val="004945C1"/>
    <w:rsid w:val="0049510D"/>
    <w:rsid w:val="0049526C"/>
    <w:rsid w:val="004953F7"/>
    <w:rsid w:val="0049543C"/>
    <w:rsid w:val="0049565E"/>
    <w:rsid w:val="00495A6A"/>
    <w:rsid w:val="00495A7D"/>
    <w:rsid w:val="00495D31"/>
    <w:rsid w:val="0049632A"/>
    <w:rsid w:val="004964B3"/>
    <w:rsid w:val="004964CA"/>
    <w:rsid w:val="004966B1"/>
    <w:rsid w:val="00496B7A"/>
    <w:rsid w:val="00496BA8"/>
    <w:rsid w:val="00496DAE"/>
    <w:rsid w:val="004972A5"/>
    <w:rsid w:val="004978F6"/>
    <w:rsid w:val="00497975"/>
    <w:rsid w:val="00497BC3"/>
    <w:rsid w:val="00497D63"/>
    <w:rsid w:val="004A009F"/>
    <w:rsid w:val="004A0AB1"/>
    <w:rsid w:val="004A0C68"/>
    <w:rsid w:val="004A0F22"/>
    <w:rsid w:val="004A14B5"/>
    <w:rsid w:val="004A1D0E"/>
    <w:rsid w:val="004A2A5F"/>
    <w:rsid w:val="004A2C4E"/>
    <w:rsid w:val="004A2C76"/>
    <w:rsid w:val="004A3B63"/>
    <w:rsid w:val="004A3B9D"/>
    <w:rsid w:val="004A3D38"/>
    <w:rsid w:val="004A4181"/>
    <w:rsid w:val="004A419F"/>
    <w:rsid w:val="004A41F1"/>
    <w:rsid w:val="004A4485"/>
    <w:rsid w:val="004A4D5D"/>
    <w:rsid w:val="004A4F28"/>
    <w:rsid w:val="004A5543"/>
    <w:rsid w:val="004A5768"/>
    <w:rsid w:val="004A590F"/>
    <w:rsid w:val="004A6924"/>
    <w:rsid w:val="004A6949"/>
    <w:rsid w:val="004A6F67"/>
    <w:rsid w:val="004A6FC2"/>
    <w:rsid w:val="004A7070"/>
    <w:rsid w:val="004A734C"/>
    <w:rsid w:val="004A741F"/>
    <w:rsid w:val="004A7459"/>
    <w:rsid w:val="004A77A0"/>
    <w:rsid w:val="004A78FE"/>
    <w:rsid w:val="004A79C9"/>
    <w:rsid w:val="004A7E24"/>
    <w:rsid w:val="004A7E98"/>
    <w:rsid w:val="004B0384"/>
    <w:rsid w:val="004B05BD"/>
    <w:rsid w:val="004B0F6E"/>
    <w:rsid w:val="004B14F5"/>
    <w:rsid w:val="004B16C6"/>
    <w:rsid w:val="004B1E19"/>
    <w:rsid w:val="004B1EC8"/>
    <w:rsid w:val="004B211F"/>
    <w:rsid w:val="004B244E"/>
    <w:rsid w:val="004B283B"/>
    <w:rsid w:val="004B288E"/>
    <w:rsid w:val="004B2AE2"/>
    <w:rsid w:val="004B30CC"/>
    <w:rsid w:val="004B335A"/>
    <w:rsid w:val="004B361B"/>
    <w:rsid w:val="004B3882"/>
    <w:rsid w:val="004B471C"/>
    <w:rsid w:val="004B4A3E"/>
    <w:rsid w:val="004B4B08"/>
    <w:rsid w:val="004B4CE4"/>
    <w:rsid w:val="004B4F28"/>
    <w:rsid w:val="004B5EEB"/>
    <w:rsid w:val="004B6350"/>
    <w:rsid w:val="004B6A92"/>
    <w:rsid w:val="004B6E21"/>
    <w:rsid w:val="004B6EEE"/>
    <w:rsid w:val="004B7187"/>
    <w:rsid w:val="004B71C9"/>
    <w:rsid w:val="004B74C3"/>
    <w:rsid w:val="004B76CC"/>
    <w:rsid w:val="004B7C33"/>
    <w:rsid w:val="004B7D41"/>
    <w:rsid w:val="004B7EB7"/>
    <w:rsid w:val="004C009E"/>
    <w:rsid w:val="004C01A0"/>
    <w:rsid w:val="004C0622"/>
    <w:rsid w:val="004C06B7"/>
    <w:rsid w:val="004C0754"/>
    <w:rsid w:val="004C090F"/>
    <w:rsid w:val="004C0E5D"/>
    <w:rsid w:val="004C11C9"/>
    <w:rsid w:val="004C17EA"/>
    <w:rsid w:val="004C1D78"/>
    <w:rsid w:val="004C1DB5"/>
    <w:rsid w:val="004C2058"/>
    <w:rsid w:val="004C2D1E"/>
    <w:rsid w:val="004C30C4"/>
    <w:rsid w:val="004C316A"/>
    <w:rsid w:val="004C31A2"/>
    <w:rsid w:val="004C3E1A"/>
    <w:rsid w:val="004C426D"/>
    <w:rsid w:val="004C4373"/>
    <w:rsid w:val="004C48F8"/>
    <w:rsid w:val="004C491E"/>
    <w:rsid w:val="004C4DE5"/>
    <w:rsid w:val="004C5002"/>
    <w:rsid w:val="004C518F"/>
    <w:rsid w:val="004C53F7"/>
    <w:rsid w:val="004C5467"/>
    <w:rsid w:val="004C556C"/>
    <w:rsid w:val="004C5BDC"/>
    <w:rsid w:val="004C6046"/>
    <w:rsid w:val="004C6522"/>
    <w:rsid w:val="004C6551"/>
    <w:rsid w:val="004C69D0"/>
    <w:rsid w:val="004C6CFF"/>
    <w:rsid w:val="004C6E6B"/>
    <w:rsid w:val="004C7100"/>
    <w:rsid w:val="004C7266"/>
    <w:rsid w:val="004D0055"/>
    <w:rsid w:val="004D0212"/>
    <w:rsid w:val="004D0A9A"/>
    <w:rsid w:val="004D1010"/>
    <w:rsid w:val="004D106B"/>
    <w:rsid w:val="004D138A"/>
    <w:rsid w:val="004D146E"/>
    <w:rsid w:val="004D14C9"/>
    <w:rsid w:val="004D1CAF"/>
    <w:rsid w:val="004D2259"/>
    <w:rsid w:val="004D237C"/>
    <w:rsid w:val="004D254E"/>
    <w:rsid w:val="004D26DB"/>
    <w:rsid w:val="004D2E69"/>
    <w:rsid w:val="004D304A"/>
    <w:rsid w:val="004D3341"/>
    <w:rsid w:val="004D33AF"/>
    <w:rsid w:val="004D34FC"/>
    <w:rsid w:val="004D3684"/>
    <w:rsid w:val="004D395B"/>
    <w:rsid w:val="004D3978"/>
    <w:rsid w:val="004D3A58"/>
    <w:rsid w:val="004D3C99"/>
    <w:rsid w:val="004D4462"/>
    <w:rsid w:val="004D53BF"/>
    <w:rsid w:val="004D58AB"/>
    <w:rsid w:val="004D58E7"/>
    <w:rsid w:val="004D5F02"/>
    <w:rsid w:val="004D6681"/>
    <w:rsid w:val="004D68A7"/>
    <w:rsid w:val="004D7C1F"/>
    <w:rsid w:val="004D7FE7"/>
    <w:rsid w:val="004E017B"/>
    <w:rsid w:val="004E02BC"/>
    <w:rsid w:val="004E02D4"/>
    <w:rsid w:val="004E0359"/>
    <w:rsid w:val="004E035F"/>
    <w:rsid w:val="004E0721"/>
    <w:rsid w:val="004E0803"/>
    <w:rsid w:val="004E08BE"/>
    <w:rsid w:val="004E0904"/>
    <w:rsid w:val="004E0BBF"/>
    <w:rsid w:val="004E0D02"/>
    <w:rsid w:val="004E12AA"/>
    <w:rsid w:val="004E179C"/>
    <w:rsid w:val="004E1A21"/>
    <w:rsid w:val="004E1B7B"/>
    <w:rsid w:val="004E1F69"/>
    <w:rsid w:val="004E226D"/>
    <w:rsid w:val="004E23D1"/>
    <w:rsid w:val="004E2D65"/>
    <w:rsid w:val="004E2E39"/>
    <w:rsid w:val="004E3144"/>
    <w:rsid w:val="004E38AA"/>
    <w:rsid w:val="004E40D6"/>
    <w:rsid w:val="004E42D4"/>
    <w:rsid w:val="004E440C"/>
    <w:rsid w:val="004E458D"/>
    <w:rsid w:val="004E4A28"/>
    <w:rsid w:val="004E4DCA"/>
    <w:rsid w:val="004E53BD"/>
    <w:rsid w:val="004E57D1"/>
    <w:rsid w:val="004E5BF4"/>
    <w:rsid w:val="004E62EB"/>
    <w:rsid w:val="004E66EB"/>
    <w:rsid w:val="004E693A"/>
    <w:rsid w:val="004E6B50"/>
    <w:rsid w:val="004E6CDB"/>
    <w:rsid w:val="004E6D7B"/>
    <w:rsid w:val="004E6DC3"/>
    <w:rsid w:val="004E6ED7"/>
    <w:rsid w:val="004E6FA8"/>
    <w:rsid w:val="004E732F"/>
    <w:rsid w:val="004E7366"/>
    <w:rsid w:val="004E747A"/>
    <w:rsid w:val="004E7A7F"/>
    <w:rsid w:val="004E7B67"/>
    <w:rsid w:val="004E7DB7"/>
    <w:rsid w:val="004E7FBD"/>
    <w:rsid w:val="004E7FEA"/>
    <w:rsid w:val="004F037A"/>
    <w:rsid w:val="004F0B06"/>
    <w:rsid w:val="004F0F9B"/>
    <w:rsid w:val="004F1213"/>
    <w:rsid w:val="004F129E"/>
    <w:rsid w:val="004F1384"/>
    <w:rsid w:val="004F147C"/>
    <w:rsid w:val="004F1DAE"/>
    <w:rsid w:val="004F2572"/>
    <w:rsid w:val="004F2601"/>
    <w:rsid w:val="004F2AE5"/>
    <w:rsid w:val="004F350D"/>
    <w:rsid w:val="004F35A3"/>
    <w:rsid w:val="004F3914"/>
    <w:rsid w:val="004F4030"/>
    <w:rsid w:val="004F41B5"/>
    <w:rsid w:val="004F4274"/>
    <w:rsid w:val="004F428C"/>
    <w:rsid w:val="004F43C0"/>
    <w:rsid w:val="004F46E2"/>
    <w:rsid w:val="004F4702"/>
    <w:rsid w:val="004F4FC8"/>
    <w:rsid w:val="004F5229"/>
    <w:rsid w:val="004F59F6"/>
    <w:rsid w:val="004F627A"/>
    <w:rsid w:val="004F6A90"/>
    <w:rsid w:val="004F6E0F"/>
    <w:rsid w:val="004F6F32"/>
    <w:rsid w:val="004F6F3D"/>
    <w:rsid w:val="004F71DE"/>
    <w:rsid w:val="004F7216"/>
    <w:rsid w:val="004F749B"/>
    <w:rsid w:val="004F7A9B"/>
    <w:rsid w:val="004F7C50"/>
    <w:rsid w:val="00500020"/>
    <w:rsid w:val="00500033"/>
    <w:rsid w:val="005002BB"/>
    <w:rsid w:val="00500B6A"/>
    <w:rsid w:val="0050137B"/>
    <w:rsid w:val="005017D4"/>
    <w:rsid w:val="00501899"/>
    <w:rsid w:val="005018B8"/>
    <w:rsid w:val="00501C04"/>
    <w:rsid w:val="00501DB1"/>
    <w:rsid w:val="005020EF"/>
    <w:rsid w:val="005021CB"/>
    <w:rsid w:val="005023EB"/>
    <w:rsid w:val="005031DA"/>
    <w:rsid w:val="005032FB"/>
    <w:rsid w:val="005033D7"/>
    <w:rsid w:val="0050357B"/>
    <w:rsid w:val="00503956"/>
    <w:rsid w:val="00503BB5"/>
    <w:rsid w:val="00503D05"/>
    <w:rsid w:val="00503F6F"/>
    <w:rsid w:val="00504081"/>
    <w:rsid w:val="005053F2"/>
    <w:rsid w:val="00505668"/>
    <w:rsid w:val="00505D36"/>
    <w:rsid w:val="00505EE6"/>
    <w:rsid w:val="00505F65"/>
    <w:rsid w:val="00506478"/>
    <w:rsid w:val="0050665C"/>
    <w:rsid w:val="00506CFF"/>
    <w:rsid w:val="00506DD4"/>
    <w:rsid w:val="005072FD"/>
    <w:rsid w:val="005075BE"/>
    <w:rsid w:val="005075ED"/>
    <w:rsid w:val="00507919"/>
    <w:rsid w:val="00507ACB"/>
    <w:rsid w:val="00507C1A"/>
    <w:rsid w:val="00507F54"/>
    <w:rsid w:val="00507F79"/>
    <w:rsid w:val="005101CA"/>
    <w:rsid w:val="00510298"/>
    <w:rsid w:val="0051065A"/>
    <w:rsid w:val="00510BEF"/>
    <w:rsid w:val="00510F24"/>
    <w:rsid w:val="00510FC7"/>
    <w:rsid w:val="0051103B"/>
    <w:rsid w:val="0051113E"/>
    <w:rsid w:val="005111A6"/>
    <w:rsid w:val="00511584"/>
    <w:rsid w:val="005115FE"/>
    <w:rsid w:val="00511983"/>
    <w:rsid w:val="00511A6C"/>
    <w:rsid w:val="00511C6B"/>
    <w:rsid w:val="00511EBF"/>
    <w:rsid w:val="005125BC"/>
    <w:rsid w:val="00512AB3"/>
    <w:rsid w:val="00512B8D"/>
    <w:rsid w:val="00512BAC"/>
    <w:rsid w:val="00512CD0"/>
    <w:rsid w:val="005132A8"/>
    <w:rsid w:val="00513398"/>
    <w:rsid w:val="00513C2C"/>
    <w:rsid w:val="00514097"/>
    <w:rsid w:val="0051410D"/>
    <w:rsid w:val="0051438C"/>
    <w:rsid w:val="0051475A"/>
    <w:rsid w:val="00514A84"/>
    <w:rsid w:val="00514AF9"/>
    <w:rsid w:val="00514DAA"/>
    <w:rsid w:val="00515618"/>
    <w:rsid w:val="0051578D"/>
    <w:rsid w:val="005159BE"/>
    <w:rsid w:val="00515E41"/>
    <w:rsid w:val="00515E80"/>
    <w:rsid w:val="005160EE"/>
    <w:rsid w:val="00516394"/>
    <w:rsid w:val="00516482"/>
    <w:rsid w:val="0051673E"/>
    <w:rsid w:val="00516A3C"/>
    <w:rsid w:val="00516CAF"/>
    <w:rsid w:val="00516EC7"/>
    <w:rsid w:val="00516FCA"/>
    <w:rsid w:val="005170AE"/>
    <w:rsid w:val="0051710C"/>
    <w:rsid w:val="005178E6"/>
    <w:rsid w:val="005179A4"/>
    <w:rsid w:val="0052018A"/>
    <w:rsid w:val="00520BEC"/>
    <w:rsid w:val="00520CBA"/>
    <w:rsid w:val="00520E03"/>
    <w:rsid w:val="00520F6E"/>
    <w:rsid w:val="00520FA8"/>
    <w:rsid w:val="00521731"/>
    <w:rsid w:val="00521C51"/>
    <w:rsid w:val="00521FDF"/>
    <w:rsid w:val="005220CD"/>
    <w:rsid w:val="00522163"/>
    <w:rsid w:val="00522459"/>
    <w:rsid w:val="00522A98"/>
    <w:rsid w:val="00522E00"/>
    <w:rsid w:val="00522FDC"/>
    <w:rsid w:val="00523BC1"/>
    <w:rsid w:val="00523E87"/>
    <w:rsid w:val="00524359"/>
    <w:rsid w:val="005249C9"/>
    <w:rsid w:val="0052558A"/>
    <w:rsid w:val="005259F7"/>
    <w:rsid w:val="00525DEB"/>
    <w:rsid w:val="00525F99"/>
    <w:rsid w:val="005262E9"/>
    <w:rsid w:val="00526ADA"/>
    <w:rsid w:val="00526B15"/>
    <w:rsid w:val="005271E6"/>
    <w:rsid w:val="005275A4"/>
    <w:rsid w:val="00527ACD"/>
    <w:rsid w:val="005300D4"/>
    <w:rsid w:val="00530109"/>
    <w:rsid w:val="005307C8"/>
    <w:rsid w:val="005308D3"/>
    <w:rsid w:val="0053126D"/>
    <w:rsid w:val="0053150C"/>
    <w:rsid w:val="005315CF"/>
    <w:rsid w:val="005316BA"/>
    <w:rsid w:val="005318DA"/>
    <w:rsid w:val="00531E3D"/>
    <w:rsid w:val="00532D0B"/>
    <w:rsid w:val="0053308E"/>
    <w:rsid w:val="005330FE"/>
    <w:rsid w:val="00533144"/>
    <w:rsid w:val="005331AA"/>
    <w:rsid w:val="0053341E"/>
    <w:rsid w:val="0053343A"/>
    <w:rsid w:val="00533495"/>
    <w:rsid w:val="005335CD"/>
    <w:rsid w:val="005337C7"/>
    <w:rsid w:val="00533E0F"/>
    <w:rsid w:val="005344D6"/>
    <w:rsid w:val="00534740"/>
    <w:rsid w:val="005349B3"/>
    <w:rsid w:val="00534A24"/>
    <w:rsid w:val="00534AC1"/>
    <w:rsid w:val="00534DD5"/>
    <w:rsid w:val="00535036"/>
    <w:rsid w:val="00535059"/>
    <w:rsid w:val="00535381"/>
    <w:rsid w:val="00535693"/>
    <w:rsid w:val="00535735"/>
    <w:rsid w:val="005357B2"/>
    <w:rsid w:val="00535C2C"/>
    <w:rsid w:val="00535C5B"/>
    <w:rsid w:val="00535F46"/>
    <w:rsid w:val="005364CA"/>
    <w:rsid w:val="005368F9"/>
    <w:rsid w:val="00536D39"/>
    <w:rsid w:val="00536F81"/>
    <w:rsid w:val="00537009"/>
    <w:rsid w:val="00537987"/>
    <w:rsid w:val="00537C50"/>
    <w:rsid w:val="00537D88"/>
    <w:rsid w:val="00537F9C"/>
    <w:rsid w:val="00540074"/>
    <w:rsid w:val="00540C45"/>
    <w:rsid w:val="00540DAB"/>
    <w:rsid w:val="00540EF2"/>
    <w:rsid w:val="00541190"/>
    <w:rsid w:val="0054133B"/>
    <w:rsid w:val="00541342"/>
    <w:rsid w:val="00541476"/>
    <w:rsid w:val="00541AC3"/>
    <w:rsid w:val="00541BA2"/>
    <w:rsid w:val="00541CEF"/>
    <w:rsid w:val="00541DC7"/>
    <w:rsid w:val="005420C1"/>
    <w:rsid w:val="0054244F"/>
    <w:rsid w:val="00542605"/>
    <w:rsid w:val="005428CC"/>
    <w:rsid w:val="0054294C"/>
    <w:rsid w:val="005429A8"/>
    <w:rsid w:val="00542C68"/>
    <w:rsid w:val="00542EB7"/>
    <w:rsid w:val="00542FF2"/>
    <w:rsid w:val="00543029"/>
    <w:rsid w:val="00543040"/>
    <w:rsid w:val="005432FC"/>
    <w:rsid w:val="00543CE3"/>
    <w:rsid w:val="005440F4"/>
    <w:rsid w:val="00544163"/>
    <w:rsid w:val="0054420D"/>
    <w:rsid w:val="005445CA"/>
    <w:rsid w:val="00544A5D"/>
    <w:rsid w:val="00544CE2"/>
    <w:rsid w:val="00544F26"/>
    <w:rsid w:val="00545004"/>
    <w:rsid w:val="0054547F"/>
    <w:rsid w:val="005454F5"/>
    <w:rsid w:val="00545538"/>
    <w:rsid w:val="00545632"/>
    <w:rsid w:val="00545C00"/>
    <w:rsid w:val="005462DC"/>
    <w:rsid w:val="00546565"/>
    <w:rsid w:val="005466C4"/>
    <w:rsid w:val="005469A9"/>
    <w:rsid w:val="005469D9"/>
    <w:rsid w:val="00547065"/>
    <w:rsid w:val="005470E2"/>
    <w:rsid w:val="005471A0"/>
    <w:rsid w:val="0054756E"/>
    <w:rsid w:val="005475AD"/>
    <w:rsid w:val="00547A32"/>
    <w:rsid w:val="00547CF2"/>
    <w:rsid w:val="00547E07"/>
    <w:rsid w:val="00547EC1"/>
    <w:rsid w:val="0055019F"/>
    <w:rsid w:val="005502BB"/>
    <w:rsid w:val="005503ED"/>
    <w:rsid w:val="00550506"/>
    <w:rsid w:val="00550D5D"/>
    <w:rsid w:val="00550F6A"/>
    <w:rsid w:val="005511E7"/>
    <w:rsid w:val="0055136A"/>
    <w:rsid w:val="005519B1"/>
    <w:rsid w:val="00551B48"/>
    <w:rsid w:val="00551E6E"/>
    <w:rsid w:val="005526B7"/>
    <w:rsid w:val="005528D6"/>
    <w:rsid w:val="005529F9"/>
    <w:rsid w:val="00552A68"/>
    <w:rsid w:val="00552F5B"/>
    <w:rsid w:val="0055331E"/>
    <w:rsid w:val="00553341"/>
    <w:rsid w:val="005534D4"/>
    <w:rsid w:val="00553756"/>
    <w:rsid w:val="00553832"/>
    <w:rsid w:val="00553BA5"/>
    <w:rsid w:val="00553C8F"/>
    <w:rsid w:val="00553CB6"/>
    <w:rsid w:val="00553E2B"/>
    <w:rsid w:val="00553E7E"/>
    <w:rsid w:val="00554077"/>
    <w:rsid w:val="00554094"/>
    <w:rsid w:val="005542C4"/>
    <w:rsid w:val="005542C8"/>
    <w:rsid w:val="00554348"/>
    <w:rsid w:val="00554CF3"/>
    <w:rsid w:val="00554DE6"/>
    <w:rsid w:val="0055516D"/>
    <w:rsid w:val="00555633"/>
    <w:rsid w:val="005558F8"/>
    <w:rsid w:val="00555BE8"/>
    <w:rsid w:val="00555C90"/>
    <w:rsid w:val="00555DC0"/>
    <w:rsid w:val="00556814"/>
    <w:rsid w:val="0055689E"/>
    <w:rsid w:val="00556E35"/>
    <w:rsid w:val="005579D2"/>
    <w:rsid w:val="00560268"/>
    <w:rsid w:val="0056083A"/>
    <w:rsid w:val="00560880"/>
    <w:rsid w:val="00560D4F"/>
    <w:rsid w:val="00561AFF"/>
    <w:rsid w:val="00561BE3"/>
    <w:rsid w:val="00561F3F"/>
    <w:rsid w:val="00561F8D"/>
    <w:rsid w:val="00562344"/>
    <w:rsid w:val="005625B2"/>
    <w:rsid w:val="00562652"/>
    <w:rsid w:val="0056285F"/>
    <w:rsid w:val="005629D0"/>
    <w:rsid w:val="00562F5F"/>
    <w:rsid w:val="00563189"/>
    <w:rsid w:val="0056340C"/>
    <w:rsid w:val="00563618"/>
    <w:rsid w:val="00563A36"/>
    <w:rsid w:val="00563ABA"/>
    <w:rsid w:val="00563C9B"/>
    <w:rsid w:val="00563FB2"/>
    <w:rsid w:val="00564372"/>
    <w:rsid w:val="00564374"/>
    <w:rsid w:val="005646AA"/>
    <w:rsid w:val="0056499C"/>
    <w:rsid w:val="005649D2"/>
    <w:rsid w:val="00564C67"/>
    <w:rsid w:val="00564C87"/>
    <w:rsid w:val="00564D6B"/>
    <w:rsid w:val="005651D7"/>
    <w:rsid w:val="00565202"/>
    <w:rsid w:val="005656E3"/>
    <w:rsid w:val="005656F1"/>
    <w:rsid w:val="00565AB4"/>
    <w:rsid w:val="00565C6D"/>
    <w:rsid w:val="00565CD2"/>
    <w:rsid w:val="00565ED0"/>
    <w:rsid w:val="00566409"/>
    <w:rsid w:val="0056655B"/>
    <w:rsid w:val="005665E0"/>
    <w:rsid w:val="00566A8E"/>
    <w:rsid w:val="00566C2F"/>
    <w:rsid w:val="00567350"/>
    <w:rsid w:val="00567775"/>
    <w:rsid w:val="00567821"/>
    <w:rsid w:val="0056782B"/>
    <w:rsid w:val="005678DC"/>
    <w:rsid w:val="00567B98"/>
    <w:rsid w:val="00567FAC"/>
    <w:rsid w:val="00570028"/>
    <w:rsid w:val="00570328"/>
    <w:rsid w:val="00570A8E"/>
    <w:rsid w:val="00570B42"/>
    <w:rsid w:val="00570B5E"/>
    <w:rsid w:val="00570D55"/>
    <w:rsid w:val="00570E15"/>
    <w:rsid w:val="00570E60"/>
    <w:rsid w:val="005710F5"/>
    <w:rsid w:val="0057132C"/>
    <w:rsid w:val="0057154A"/>
    <w:rsid w:val="0057185F"/>
    <w:rsid w:val="00571C5F"/>
    <w:rsid w:val="00572226"/>
    <w:rsid w:val="00572774"/>
    <w:rsid w:val="00572C4D"/>
    <w:rsid w:val="00573117"/>
    <w:rsid w:val="0057325B"/>
    <w:rsid w:val="0057333F"/>
    <w:rsid w:val="0057346F"/>
    <w:rsid w:val="005736E9"/>
    <w:rsid w:val="00573939"/>
    <w:rsid w:val="00573DF2"/>
    <w:rsid w:val="00573FD4"/>
    <w:rsid w:val="005740F4"/>
    <w:rsid w:val="00574155"/>
    <w:rsid w:val="00574437"/>
    <w:rsid w:val="0057453A"/>
    <w:rsid w:val="00574A7B"/>
    <w:rsid w:val="00574AB1"/>
    <w:rsid w:val="00574B05"/>
    <w:rsid w:val="00574CB1"/>
    <w:rsid w:val="00574E59"/>
    <w:rsid w:val="00575386"/>
    <w:rsid w:val="0057541A"/>
    <w:rsid w:val="00575AE8"/>
    <w:rsid w:val="00575E39"/>
    <w:rsid w:val="00575EEB"/>
    <w:rsid w:val="005760D4"/>
    <w:rsid w:val="00576164"/>
    <w:rsid w:val="005764C1"/>
    <w:rsid w:val="005765A9"/>
    <w:rsid w:val="0057683A"/>
    <w:rsid w:val="00576EA9"/>
    <w:rsid w:val="00576FE6"/>
    <w:rsid w:val="00577301"/>
    <w:rsid w:val="00577698"/>
    <w:rsid w:val="00577B97"/>
    <w:rsid w:val="00577C8D"/>
    <w:rsid w:val="005800E4"/>
    <w:rsid w:val="00580ACB"/>
    <w:rsid w:val="00581837"/>
    <w:rsid w:val="00581960"/>
    <w:rsid w:val="005819EC"/>
    <w:rsid w:val="00581D66"/>
    <w:rsid w:val="00581F23"/>
    <w:rsid w:val="00581F62"/>
    <w:rsid w:val="005820E1"/>
    <w:rsid w:val="005829A6"/>
    <w:rsid w:val="00582C00"/>
    <w:rsid w:val="00582D52"/>
    <w:rsid w:val="00582F72"/>
    <w:rsid w:val="005832F9"/>
    <w:rsid w:val="00583621"/>
    <w:rsid w:val="0058378D"/>
    <w:rsid w:val="0058387B"/>
    <w:rsid w:val="00583A9A"/>
    <w:rsid w:val="00583B4F"/>
    <w:rsid w:val="00583E29"/>
    <w:rsid w:val="00583F36"/>
    <w:rsid w:val="0058425C"/>
    <w:rsid w:val="0058461D"/>
    <w:rsid w:val="00584801"/>
    <w:rsid w:val="00584853"/>
    <w:rsid w:val="00584A17"/>
    <w:rsid w:val="00584A65"/>
    <w:rsid w:val="00584B30"/>
    <w:rsid w:val="00584CAC"/>
    <w:rsid w:val="0058505B"/>
    <w:rsid w:val="005850AF"/>
    <w:rsid w:val="00585529"/>
    <w:rsid w:val="0058561A"/>
    <w:rsid w:val="005859CD"/>
    <w:rsid w:val="00585A8C"/>
    <w:rsid w:val="00585B36"/>
    <w:rsid w:val="00585B9F"/>
    <w:rsid w:val="00585FDB"/>
    <w:rsid w:val="00586493"/>
    <w:rsid w:val="00586A8C"/>
    <w:rsid w:val="00586C92"/>
    <w:rsid w:val="00586D7E"/>
    <w:rsid w:val="00587594"/>
    <w:rsid w:val="00587CAC"/>
    <w:rsid w:val="00587FDA"/>
    <w:rsid w:val="00590050"/>
    <w:rsid w:val="005902C2"/>
    <w:rsid w:val="005902DB"/>
    <w:rsid w:val="00590363"/>
    <w:rsid w:val="0059039B"/>
    <w:rsid w:val="005906A5"/>
    <w:rsid w:val="00590B05"/>
    <w:rsid w:val="005910CC"/>
    <w:rsid w:val="00591418"/>
    <w:rsid w:val="005914EA"/>
    <w:rsid w:val="0059165D"/>
    <w:rsid w:val="00591B94"/>
    <w:rsid w:val="00591C68"/>
    <w:rsid w:val="0059271A"/>
    <w:rsid w:val="00592996"/>
    <w:rsid w:val="00592C14"/>
    <w:rsid w:val="00592DE8"/>
    <w:rsid w:val="00592E51"/>
    <w:rsid w:val="00593E1F"/>
    <w:rsid w:val="00593EAB"/>
    <w:rsid w:val="00594134"/>
    <w:rsid w:val="00594311"/>
    <w:rsid w:val="0059442C"/>
    <w:rsid w:val="0059477E"/>
    <w:rsid w:val="00594AD6"/>
    <w:rsid w:val="00594CA0"/>
    <w:rsid w:val="00595A84"/>
    <w:rsid w:val="00595B52"/>
    <w:rsid w:val="0059616F"/>
    <w:rsid w:val="00596204"/>
    <w:rsid w:val="00596B8A"/>
    <w:rsid w:val="00596C60"/>
    <w:rsid w:val="00596EE9"/>
    <w:rsid w:val="00597754"/>
    <w:rsid w:val="005978AD"/>
    <w:rsid w:val="00597974"/>
    <w:rsid w:val="005A0185"/>
    <w:rsid w:val="005A109E"/>
    <w:rsid w:val="005A10F2"/>
    <w:rsid w:val="005A11D4"/>
    <w:rsid w:val="005A1334"/>
    <w:rsid w:val="005A18D1"/>
    <w:rsid w:val="005A1C24"/>
    <w:rsid w:val="005A2258"/>
    <w:rsid w:val="005A2339"/>
    <w:rsid w:val="005A24B4"/>
    <w:rsid w:val="005A24F9"/>
    <w:rsid w:val="005A25C2"/>
    <w:rsid w:val="005A27C1"/>
    <w:rsid w:val="005A29C4"/>
    <w:rsid w:val="005A2C15"/>
    <w:rsid w:val="005A3149"/>
    <w:rsid w:val="005A32F0"/>
    <w:rsid w:val="005A3364"/>
    <w:rsid w:val="005A337C"/>
    <w:rsid w:val="005A3698"/>
    <w:rsid w:val="005A36A3"/>
    <w:rsid w:val="005A3B90"/>
    <w:rsid w:val="005A3D7C"/>
    <w:rsid w:val="005A40C4"/>
    <w:rsid w:val="005A43FF"/>
    <w:rsid w:val="005A4515"/>
    <w:rsid w:val="005A4659"/>
    <w:rsid w:val="005A4A32"/>
    <w:rsid w:val="005A4BF8"/>
    <w:rsid w:val="005A4CB0"/>
    <w:rsid w:val="005A4D2D"/>
    <w:rsid w:val="005A4F8F"/>
    <w:rsid w:val="005A5133"/>
    <w:rsid w:val="005A54AC"/>
    <w:rsid w:val="005A57F9"/>
    <w:rsid w:val="005A57FC"/>
    <w:rsid w:val="005A5888"/>
    <w:rsid w:val="005A5A31"/>
    <w:rsid w:val="005A5B3A"/>
    <w:rsid w:val="005A5DC4"/>
    <w:rsid w:val="005A600C"/>
    <w:rsid w:val="005A6787"/>
    <w:rsid w:val="005A685F"/>
    <w:rsid w:val="005A6C98"/>
    <w:rsid w:val="005A6FE0"/>
    <w:rsid w:val="005A7A0F"/>
    <w:rsid w:val="005A7D9D"/>
    <w:rsid w:val="005B0012"/>
    <w:rsid w:val="005B0442"/>
    <w:rsid w:val="005B081F"/>
    <w:rsid w:val="005B0F9B"/>
    <w:rsid w:val="005B119D"/>
    <w:rsid w:val="005B17A8"/>
    <w:rsid w:val="005B1AD7"/>
    <w:rsid w:val="005B2462"/>
    <w:rsid w:val="005B24C4"/>
    <w:rsid w:val="005B256F"/>
    <w:rsid w:val="005B267E"/>
    <w:rsid w:val="005B277C"/>
    <w:rsid w:val="005B28C0"/>
    <w:rsid w:val="005B2C2B"/>
    <w:rsid w:val="005B2CEA"/>
    <w:rsid w:val="005B2DC9"/>
    <w:rsid w:val="005B2E31"/>
    <w:rsid w:val="005B3115"/>
    <w:rsid w:val="005B38E1"/>
    <w:rsid w:val="005B39C2"/>
    <w:rsid w:val="005B3A5A"/>
    <w:rsid w:val="005B3AEF"/>
    <w:rsid w:val="005B3DF7"/>
    <w:rsid w:val="005B40BD"/>
    <w:rsid w:val="005B44AD"/>
    <w:rsid w:val="005B45F4"/>
    <w:rsid w:val="005B4E96"/>
    <w:rsid w:val="005B51ED"/>
    <w:rsid w:val="005B5548"/>
    <w:rsid w:val="005B5CE0"/>
    <w:rsid w:val="005B5F21"/>
    <w:rsid w:val="005B5FB2"/>
    <w:rsid w:val="005B613D"/>
    <w:rsid w:val="005B6543"/>
    <w:rsid w:val="005B6A24"/>
    <w:rsid w:val="005B6B0A"/>
    <w:rsid w:val="005B7020"/>
    <w:rsid w:val="005B7064"/>
    <w:rsid w:val="005B728D"/>
    <w:rsid w:val="005B7317"/>
    <w:rsid w:val="005C0187"/>
    <w:rsid w:val="005C052D"/>
    <w:rsid w:val="005C0556"/>
    <w:rsid w:val="005C0783"/>
    <w:rsid w:val="005C07BE"/>
    <w:rsid w:val="005C0E61"/>
    <w:rsid w:val="005C0E79"/>
    <w:rsid w:val="005C0FDC"/>
    <w:rsid w:val="005C1447"/>
    <w:rsid w:val="005C153C"/>
    <w:rsid w:val="005C15EA"/>
    <w:rsid w:val="005C23A8"/>
    <w:rsid w:val="005C24A6"/>
    <w:rsid w:val="005C24BD"/>
    <w:rsid w:val="005C2697"/>
    <w:rsid w:val="005C288C"/>
    <w:rsid w:val="005C2CE3"/>
    <w:rsid w:val="005C3850"/>
    <w:rsid w:val="005C3AC5"/>
    <w:rsid w:val="005C3B95"/>
    <w:rsid w:val="005C3CED"/>
    <w:rsid w:val="005C450A"/>
    <w:rsid w:val="005C45B1"/>
    <w:rsid w:val="005C4ABC"/>
    <w:rsid w:val="005C4EB0"/>
    <w:rsid w:val="005C515D"/>
    <w:rsid w:val="005C5645"/>
    <w:rsid w:val="005C569B"/>
    <w:rsid w:val="005C56BD"/>
    <w:rsid w:val="005C56DF"/>
    <w:rsid w:val="005C5AE1"/>
    <w:rsid w:val="005C6106"/>
    <w:rsid w:val="005C6859"/>
    <w:rsid w:val="005C6902"/>
    <w:rsid w:val="005C6917"/>
    <w:rsid w:val="005C6D8A"/>
    <w:rsid w:val="005C6F85"/>
    <w:rsid w:val="005C7102"/>
    <w:rsid w:val="005C7A49"/>
    <w:rsid w:val="005C7E8B"/>
    <w:rsid w:val="005D02D5"/>
    <w:rsid w:val="005D0563"/>
    <w:rsid w:val="005D0665"/>
    <w:rsid w:val="005D0679"/>
    <w:rsid w:val="005D0759"/>
    <w:rsid w:val="005D0AAC"/>
    <w:rsid w:val="005D113F"/>
    <w:rsid w:val="005D1434"/>
    <w:rsid w:val="005D15B3"/>
    <w:rsid w:val="005D1B3C"/>
    <w:rsid w:val="005D1CD8"/>
    <w:rsid w:val="005D1DAA"/>
    <w:rsid w:val="005D221C"/>
    <w:rsid w:val="005D2570"/>
    <w:rsid w:val="005D25A3"/>
    <w:rsid w:val="005D25B7"/>
    <w:rsid w:val="005D2702"/>
    <w:rsid w:val="005D2B81"/>
    <w:rsid w:val="005D2DB9"/>
    <w:rsid w:val="005D31A0"/>
    <w:rsid w:val="005D34A7"/>
    <w:rsid w:val="005D36EB"/>
    <w:rsid w:val="005D381B"/>
    <w:rsid w:val="005D38B8"/>
    <w:rsid w:val="005D38F8"/>
    <w:rsid w:val="005D3A5F"/>
    <w:rsid w:val="005D3DE6"/>
    <w:rsid w:val="005D3F7B"/>
    <w:rsid w:val="005D40CC"/>
    <w:rsid w:val="005D44D3"/>
    <w:rsid w:val="005D471A"/>
    <w:rsid w:val="005D48EB"/>
    <w:rsid w:val="005D4988"/>
    <w:rsid w:val="005D4C58"/>
    <w:rsid w:val="005D4C7F"/>
    <w:rsid w:val="005D4CDA"/>
    <w:rsid w:val="005D4F33"/>
    <w:rsid w:val="005D507C"/>
    <w:rsid w:val="005D50B6"/>
    <w:rsid w:val="005D50B7"/>
    <w:rsid w:val="005D599B"/>
    <w:rsid w:val="005D5C47"/>
    <w:rsid w:val="005D5D55"/>
    <w:rsid w:val="005D62F9"/>
    <w:rsid w:val="005D687D"/>
    <w:rsid w:val="005D69EE"/>
    <w:rsid w:val="005D6AD2"/>
    <w:rsid w:val="005D6CAF"/>
    <w:rsid w:val="005D74E6"/>
    <w:rsid w:val="005D77D4"/>
    <w:rsid w:val="005D79A3"/>
    <w:rsid w:val="005D7BE5"/>
    <w:rsid w:val="005D7C98"/>
    <w:rsid w:val="005D7D0F"/>
    <w:rsid w:val="005D7DEA"/>
    <w:rsid w:val="005E052A"/>
    <w:rsid w:val="005E052D"/>
    <w:rsid w:val="005E05A1"/>
    <w:rsid w:val="005E06F7"/>
    <w:rsid w:val="005E08EC"/>
    <w:rsid w:val="005E0A2C"/>
    <w:rsid w:val="005E0EEB"/>
    <w:rsid w:val="005E0FD2"/>
    <w:rsid w:val="005E107B"/>
    <w:rsid w:val="005E1330"/>
    <w:rsid w:val="005E1714"/>
    <w:rsid w:val="005E17D9"/>
    <w:rsid w:val="005E22C5"/>
    <w:rsid w:val="005E24DA"/>
    <w:rsid w:val="005E2771"/>
    <w:rsid w:val="005E288E"/>
    <w:rsid w:val="005E2D6D"/>
    <w:rsid w:val="005E2D87"/>
    <w:rsid w:val="005E3054"/>
    <w:rsid w:val="005E3382"/>
    <w:rsid w:val="005E3740"/>
    <w:rsid w:val="005E3B53"/>
    <w:rsid w:val="005E3E6F"/>
    <w:rsid w:val="005E4394"/>
    <w:rsid w:val="005E486C"/>
    <w:rsid w:val="005E527C"/>
    <w:rsid w:val="005E6070"/>
    <w:rsid w:val="005E61F3"/>
    <w:rsid w:val="005E6386"/>
    <w:rsid w:val="005E6440"/>
    <w:rsid w:val="005E6527"/>
    <w:rsid w:val="005E6DF9"/>
    <w:rsid w:val="005E721B"/>
    <w:rsid w:val="005E7302"/>
    <w:rsid w:val="005E747C"/>
    <w:rsid w:val="005E768A"/>
    <w:rsid w:val="005E7C94"/>
    <w:rsid w:val="005E7ED9"/>
    <w:rsid w:val="005F0D47"/>
    <w:rsid w:val="005F0D89"/>
    <w:rsid w:val="005F0E59"/>
    <w:rsid w:val="005F160E"/>
    <w:rsid w:val="005F18A2"/>
    <w:rsid w:val="005F1ED6"/>
    <w:rsid w:val="005F2C83"/>
    <w:rsid w:val="005F2C87"/>
    <w:rsid w:val="005F2E02"/>
    <w:rsid w:val="005F333A"/>
    <w:rsid w:val="005F34E8"/>
    <w:rsid w:val="005F3866"/>
    <w:rsid w:val="005F4283"/>
    <w:rsid w:val="005F42C7"/>
    <w:rsid w:val="005F44EC"/>
    <w:rsid w:val="005F4640"/>
    <w:rsid w:val="005F48E4"/>
    <w:rsid w:val="005F4959"/>
    <w:rsid w:val="005F4C81"/>
    <w:rsid w:val="005F4D23"/>
    <w:rsid w:val="005F4DBB"/>
    <w:rsid w:val="005F4F20"/>
    <w:rsid w:val="005F5110"/>
    <w:rsid w:val="005F5233"/>
    <w:rsid w:val="005F5B62"/>
    <w:rsid w:val="005F6450"/>
    <w:rsid w:val="005F65B9"/>
    <w:rsid w:val="005F6ADC"/>
    <w:rsid w:val="005F6DB1"/>
    <w:rsid w:val="005F71B5"/>
    <w:rsid w:val="005F74A4"/>
    <w:rsid w:val="005F773F"/>
    <w:rsid w:val="005F7768"/>
    <w:rsid w:val="005F7A28"/>
    <w:rsid w:val="005F7C8A"/>
    <w:rsid w:val="005F7CBB"/>
    <w:rsid w:val="005F7CDD"/>
    <w:rsid w:val="00600233"/>
    <w:rsid w:val="00600648"/>
    <w:rsid w:val="00600A27"/>
    <w:rsid w:val="00600BA8"/>
    <w:rsid w:val="00600F6A"/>
    <w:rsid w:val="0060161E"/>
    <w:rsid w:val="00601C0E"/>
    <w:rsid w:val="0060244C"/>
    <w:rsid w:val="006024FC"/>
    <w:rsid w:val="0060283B"/>
    <w:rsid w:val="006028DE"/>
    <w:rsid w:val="006028F1"/>
    <w:rsid w:val="00602E26"/>
    <w:rsid w:val="00602FC9"/>
    <w:rsid w:val="00603008"/>
    <w:rsid w:val="0060366F"/>
    <w:rsid w:val="00603948"/>
    <w:rsid w:val="00603BCA"/>
    <w:rsid w:val="00604146"/>
    <w:rsid w:val="0060431E"/>
    <w:rsid w:val="00604339"/>
    <w:rsid w:val="00604B8B"/>
    <w:rsid w:val="00604C1F"/>
    <w:rsid w:val="00604FC9"/>
    <w:rsid w:val="00604FE7"/>
    <w:rsid w:val="00605057"/>
    <w:rsid w:val="006051C7"/>
    <w:rsid w:val="0060537A"/>
    <w:rsid w:val="006053C4"/>
    <w:rsid w:val="006055A7"/>
    <w:rsid w:val="0060573E"/>
    <w:rsid w:val="006058FB"/>
    <w:rsid w:val="00605B22"/>
    <w:rsid w:val="006060C9"/>
    <w:rsid w:val="006061B6"/>
    <w:rsid w:val="006061F7"/>
    <w:rsid w:val="006068FB"/>
    <w:rsid w:val="00606D2D"/>
    <w:rsid w:val="006071E9"/>
    <w:rsid w:val="00607669"/>
    <w:rsid w:val="00607756"/>
    <w:rsid w:val="00607B23"/>
    <w:rsid w:val="00607D3F"/>
    <w:rsid w:val="006107C7"/>
    <w:rsid w:val="006108A2"/>
    <w:rsid w:val="00610ADC"/>
    <w:rsid w:val="00610B1D"/>
    <w:rsid w:val="00610BBC"/>
    <w:rsid w:val="00610D95"/>
    <w:rsid w:val="006110AD"/>
    <w:rsid w:val="006113A6"/>
    <w:rsid w:val="006113FF"/>
    <w:rsid w:val="006115C5"/>
    <w:rsid w:val="006117EE"/>
    <w:rsid w:val="00611A3A"/>
    <w:rsid w:val="00611B92"/>
    <w:rsid w:val="00611D08"/>
    <w:rsid w:val="006120D7"/>
    <w:rsid w:val="006123BC"/>
    <w:rsid w:val="006128EA"/>
    <w:rsid w:val="006128FA"/>
    <w:rsid w:val="00612A0F"/>
    <w:rsid w:val="00613032"/>
    <w:rsid w:val="006130B5"/>
    <w:rsid w:val="006131A2"/>
    <w:rsid w:val="006132BC"/>
    <w:rsid w:val="006135F2"/>
    <w:rsid w:val="00613A28"/>
    <w:rsid w:val="00613A87"/>
    <w:rsid w:val="00614496"/>
    <w:rsid w:val="006149B5"/>
    <w:rsid w:val="00614E2A"/>
    <w:rsid w:val="00615203"/>
    <w:rsid w:val="00615219"/>
    <w:rsid w:val="00615445"/>
    <w:rsid w:val="006154EB"/>
    <w:rsid w:val="00615960"/>
    <w:rsid w:val="00615AA7"/>
    <w:rsid w:val="00615E79"/>
    <w:rsid w:val="006160F0"/>
    <w:rsid w:val="00616505"/>
    <w:rsid w:val="00616571"/>
    <w:rsid w:val="0061663F"/>
    <w:rsid w:val="00616768"/>
    <w:rsid w:val="006168A3"/>
    <w:rsid w:val="00617169"/>
    <w:rsid w:val="006172B5"/>
    <w:rsid w:val="00617690"/>
    <w:rsid w:val="006178AF"/>
    <w:rsid w:val="00620204"/>
    <w:rsid w:val="0062059D"/>
    <w:rsid w:val="00620647"/>
    <w:rsid w:val="00620741"/>
    <w:rsid w:val="00620936"/>
    <w:rsid w:val="00620AC3"/>
    <w:rsid w:val="006211B4"/>
    <w:rsid w:val="0062155C"/>
    <w:rsid w:val="0062175E"/>
    <w:rsid w:val="006217CC"/>
    <w:rsid w:val="00621963"/>
    <w:rsid w:val="00621AEB"/>
    <w:rsid w:val="00621CE8"/>
    <w:rsid w:val="00622054"/>
    <w:rsid w:val="006221A6"/>
    <w:rsid w:val="00622585"/>
    <w:rsid w:val="00622889"/>
    <w:rsid w:val="0062344A"/>
    <w:rsid w:val="006236C4"/>
    <w:rsid w:val="00623F9A"/>
    <w:rsid w:val="006240EB"/>
    <w:rsid w:val="006242F4"/>
    <w:rsid w:val="00624597"/>
    <w:rsid w:val="00625781"/>
    <w:rsid w:val="0062585B"/>
    <w:rsid w:val="00625C17"/>
    <w:rsid w:val="006260C3"/>
    <w:rsid w:val="00626896"/>
    <w:rsid w:val="00626FB5"/>
    <w:rsid w:val="00627088"/>
    <w:rsid w:val="006270DF"/>
    <w:rsid w:val="0062786D"/>
    <w:rsid w:val="00627F39"/>
    <w:rsid w:val="00627FA7"/>
    <w:rsid w:val="006300AD"/>
    <w:rsid w:val="0063055C"/>
    <w:rsid w:val="006305CD"/>
    <w:rsid w:val="006306B9"/>
    <w:rsid w:val="00630893"/>
    <w:rsid w:val="00630AE7"/>
    <w:rsid w:val="00630FB0"/>
    <w:rsid w:val="00631717"/>
    <w:rsid w:val="00631790"/>
    <w:rsid w:val="00631F12"/>
    <w:rsid w:val="00632117"/>
    <w:rsid w:val="00632513"/>
    <w:rsid w:val="006326CF"/>
    <w:rsid w:val="006327A3"/>
    <w:rsid w:val="006327FF"/>
    <w:rsid w:val="006329FA"/>
    <w:rsid w:val="00632AF2"/>
    <w:rsid w:val="0063318B"/>
    <w:rsid w:val="00633657"/>
    <w:rsid w:val="00633748"/>
    <w:rsid w:val="00633899"/>
    <w:rsid w:val="00633F84"/>
    <w:rsid w:val="006346B6"/>
    <w:rsid w:val="00634D10"/>
    <w:rsid w:val="00634DA5"/>
    <w:rsid w:val="00634DA7"/>
    <w:rsid w:val="00634EF3"/>
    <w:rsid w:val="00635023"/>
    <w:rsid w:val="006351BF"/>
    <w:rsid w:val="006355F1"/>
    <w:rsid w:val="00635883"/>
    <w:rsid w:val="0063590F"/>
    <w:rsid w:val="00635AA5"/>
    <w:rsid w:val="00635B3F"/>
    <w:rsid w:val="00635B46"/>
    <w:rsid w:val="00635DAC"/>
    <w:rsid w:val="0063608A"/>
    <w:rsid w:val="00636B6D"/>
    <w:rsid w:val="00636C90"/>
    <w:rsid w:val="00636D1F"/>
    <w:rsid w:val="006372CF"/>
    <w:rsid w:val="006373A4"/>
    <w:rsid w:val="00637637"/>
    <w:rsid w:val="0063796A"/>
    <w:rsid w:val="00637D19"/>
    <w:rsid w:val="00637ECC"/>
    <w:rsid w:val="0064008B"/>
    <w:rsid w:val="00640575"/>
    <w:rsid w:val="00641286"/>
    <w:rsid w:val="006416B6"/>
    <w:rsid w:val="006418EF"/>
    <w:rsid w:val="00641A48"/>
    <w:rsid w:val="00641AEC"/>
    <w:rsid w:val="006425EC"/>
    <w:rsid w:val="00642683"/>
    <w:rsid w:val="006429EE"/>
    <w:rsid w:val="00642A53"/>
    <w:rsid w:val="00642B8A"/>
    <w:rsid w:val="00642BF7"/>
    <w:rsid w:val="00642D82"/>
    <w:rsid w:val="00642DAB"/>
    <w:rsid w:val="00643067"/>
    <w:rsid w:val="006431A9"/>
    <w:rsid w:val="00643292"/>
    <w:rsid w:val="00643B96"/>
    <w:rsid w:val="00643CAC"/>
    <w:rsid w:val="00643D4A"/>
    <w:rsid w:val="00643DDD"/>
    <w:rsid w:val="00643DFE"/>
    <w:rsid w:val="00644056"/>
    <w:rsid w:val="00644311"/>
    <w:rsid w:val="006443F0"/>
    <w:rsid w:val="006444D1"/>
    <w:rsid w:val="00644BA9"/>
    <w:rsid w:val="006452E3"/>
    <w:rsid w:val="0064552B"/>
    <w:rsid w:val="00645D91"/>
    <w:rsid w:val="006465C1"/>
    <w:rsid w:val="006467F1"/>
    <w:rsid w:val="006467F4"/>
    <w:rsid w:val="00646980"/>
    <w:rsid w:val="00646AB6"/>
    <w:rsid w:val="00646C64"/>
    <w:rsid w:val="00646C72"/>
    <w:rsid w:val="00647872"/>
    <w:rsid w:val="006503E8"/>
    <w:rsid w:val="006504BF"/>
    <w:rsid w:val="00650572"/>
    <w:rsid w:val="006508A5"/>
    <w:rsid w:val="00650AD9"/>
    <w:rsid w:val="00650CD3"/>
    <w:rsid w:val="0065188D"/>
    <w:rsid w:val="00651A74"/>
    <w:rsid w:val="006526E6"/>
    <w:rsid w:val="00652765"/>
    <w:rsid w:val="006527D3"/>
    <w:rsid w:val="006529C6"/>
    <w:rsid w:val="00652A61"/>
    <w:rsid w:val="0065341C"/>
    <w:rsid w:val="00653B06"/>
    <w:rsid w:val="00653E0E"/>
    <w:rsid w:val="00653F9C"/>
    <w:rsid w:val="00653FDA"/>
    <w:rsid w:val="0065401B"/>
    <w:rsid w:val="00654AD0"/>
    <w:rsid w:val="00654AF3"/>
    <w:rsid w:val="00654C55"/>
    <w:rsid w:val="00654F62"/>
    <w:rsid w:val="00655062"/>
    <w:rsid w:val="0065539B"/>
    <w:rsid w:val="0065548C"/>
    <w:rsid w:val="00655CFB"/>
    <w:rsid w:val="00655D37"/>
    <w:rsid w:val="006564F1"/>
    <w:rsid w:val="006569BE"/>
    <w:rsid w:val="00656A78"/>
    <w:rsid w:val="00656EDA"/>
    <w:rsid w:val="00657208"/>
    <w:rsid w:val="0065750D"/>
    <w:rsid w:val="0065757C"/>
    <w:rsid w:val="00657950"/>
    <w:rsid w:val="00657AFE"/>
    <w:rsid w:val="00657C35"/>
    <w:rsid w:val="00657C47"/>
    <w:rsid w:val="00657E0D"/>
    <w:rsid w:val="00660269"/>
    <w:rsid w:val="006608E6"/>
    <w:rsid w:val="00660969"/>
    <w:rsid w:val="00661757"/>
    <w:rsid w:val="006618E9"/>
    <w:rsid w:val="00661927"/>
    <w:rsid w:val="00661A41"/>
    <w:rsid w:val="00661A59"/>
    <w:rsid w:val="00661FFC"/>
    <w:rsid w:val="0066217B"/>
    <w:rsid w:val="0066273C"/>
    <w:rsid w:val="006628FF"/>
    <w:rsid w:val="006637C0"/>
    <w:rsid w:val="00663B2B"/>
    <w:rsid w:val="00663CC1"/>
    <w:rsid w:val="00663D61"/>
    <w:rsid w:val="00663DA5"/>
    <w:rsid w:val="00664531"/>
    <w:rsid w:val="00664549"/>
    <w:rsid w:val="006646B0"/>
    <w:rsid w:val="006650C9"/>
    <w:rsid w:val="0066574C"/>
    <w:rsid w:val="00665991"/>
    <w:rsid w:val="00665B3D"/>
    <w:rsid w:val="00665E23"/>
    <w:rsid w:val="00665EF3"/>
    <w:rsid w:val="00665F01"/>
    <w:rsid w:val="00666033"/>
    <w:rsid w:val="0066604C"/>
    <w:rsid w:val="006661BF"/>
    <w:rsid w:val="006663D2"/>
    <w:rsid w:val="006664EA"/>
    <w:rsid w:val="0066667D"/>
    <w:rsid w:val="00666694"/>
    <w:rsid w:val="00666A44"/>
    <w:rsid w:val="00666AA6"/>
    <w:rsid w:val="00666E81"/>
    <w:rsid w:val="006675FC"/>
    <w:rsid w:val="006677EB"/>
    <w:rsid w:val="00667DF2"/>
    <w:rsid w:val="00670361"/>
    <w:rsid w:val="006709C6"/>
    <w:rsid w:val="006710F1"/>
    <w:rsid w:val="006712BA"/>
    <w:rsid w:val="006713B3"/>
    <w:rsid w:val="006716C0"/>
    <w:rsid w:val="00671777"/>
    <w:rsid w:val="00671B9E"/>
    <w:rsid w:val="00671EF8"/>
    <w:rsid w:val="00671FC0"/>
    <w:rsid w:val="00672585"/>
    <w:rsid w:val="00672722"/>
    <w:rsid w:val="00672828"/>
    <w:rsid w:val="0067294F"/>
    <w:rsid w:val="00672CE5"/>
    <w:rsid w:val="00672E48"/>
    <w:rsid w:val="00672EC4"/>
    <w:rsid w:val="006733A4"/>
    <w:rsid w:val="006737D6"/>
    <w:rsid w:val="00673FA2"/>
    <w:rsid w:val="0067406A"/>
    <w:rsid w:val="006747E1"/>
    <w:rsid w:val="00674D92"/>
    <w:rsid w:val="00674ECF"/>
    <w:rsid w:val="006752D4"/>
    <w:rsid w:val="00675BA8"/>
    <w:rsid w:val="00675C80"/>
    <w:rsid w:val="00675DDE"/>
    <w:rsid w:val="00675F59"/>
    <w:rsid w:val="0067607D"/>
    <w:rsid w:val="0067626C"/>
    <w:rsid w:val="00676E42"/>
    <w:rsid w:val="00676F46"/>
    <w:rsid w:val="00677022"/>
    <w:rsid w:val="006770D8"/>
    <w:rsid w:val="006771AA"/>
    <w:rsid w:val="00677414"/>
    <w:rsid w:val="00677584"/>
    <w:rsid w:val="006778A5"/>
    <w:rsid w:val="006800D9"/>
    <w:rsid w:val="00680333"/>
    <w:rsid w:val="0068086B"/>
    <w:rsid w:val="0068087F"/>
    <w:rsid w:val="00680F5A"/>
    <w:rsid w:val="00680FA6"/>
    <w:rsid w:val="00680FEA"/>
    <w:rsid w:val="00681163"/>
    <w:rsid w:val="00681225"/>
    <w:rsid w:val="00681C1A"/>
    <w:rsid w:val="00681C3F"/>
    <w:rsid w:val="00681DED"/>
    <w:rsid w:val="00681FF1"/>
    <w:rsid w:val="00682125"/>
    <w:rsid w:val="0068268D"/>
    <w:rsid w:val="006826C9"/>
    <w:rsid w:val="00682924"/>
    <w:rsid w:val="00682984"/>
    <w:rsid w:val="0068380F"/>
    <w:rsid w:val="0068423B"/>
    <w:rsid w:val="00684458"/>
    <w:rsid w:val="00684496"/>
    <w:rsid w:val="0068464C"/>
    <w:rsid w:val="00684AFA"/>
    <w:rsid w:val="00684D0C"/>
    <w:rsid w:val="00684EE6"/>
    <w:rsid w:val="0068502C"/>
    <w:rsid w:val="00685424"/>
    <w:rsid w:val="00685429"/>
    <w:rsid w:val="00685512"/>
    <w:rsid w:val="00685EA2"/>
    <w:rsid w:val="00686336"/>
    <w:rsid w:val="0068649E"/>
    <w:rsid w:val="00686DF9"/>
    <w:rsid w:val="006870AE"/>
    <w:rsid w:val="0068725E"/>
    <w:rsid w:val="00687ABF"/>
    <w:rsid w:val="00687C82"/>
    <w:rsid w:val="00687EE7"/>
    <w:rsid w:val="00690052"/>
    <w:rsid w:val="00690112"/>
    <w:rsid w:val="006901C9"/>
    <w:rsid w:val="0069067A"/>
    <w:rsid w:val="00690BBA"/>
    <w:rsid w:val="00690C29"/>
    <w:rsid w:val="00690C35"/>
    <w:rsid w:val="00690CF2"/>
    <w:rsid w:val="00690DA5"/>
    <w:rsid w:val="00691A84"/>
    <w:rsid w:val="00691EDF"/>
    <w:rsid w:val="006925D7"/>
    <w:rsid w:val="00692848"/>
    <w:rsid w:val="00692A8E"/>
    <w:rsid w:val="00692BDC"/>
    <w:rsid w:val="00692EF1"/>
    <w:rsid w:val="00692F57"/>
    <w:rsid w:val="00693065"/>
    <w:rsid w:val="00693834"/>
    <w:rsid w:val="00693C4A"/>
    <w:rsid w:val="00694120"/>
    <w:rsid w:val="00694710"/>
    <w:rsid w:val="00695056"/>
    <w:rsid w:val="00695779"/>
    <w:rsid w:val="0069611F"/>
    <w:rsid w:val="006961A9"/>
    <w:rsid w:val="0069661F"/>
    <w:rsid w:val="00696CC3"/>
    <w:rsid w:val="00696D7E"/>
    <w:rsid w:val="00697773"/>
    <w:rsid w:val="00697AFC"/>
    <w:rsid w:val="00697F21"/>
    <w:rsid w:val="006A0017"/>
    <w:rsid w:val="006A05CF"/>
    <w:rsid w:val="006A06BA"/>
    <w:rsid w:val="006A1095"/>
    <w:rsid w:val="006A1236"/>
    <w:rsid w:val="006A1522"/>
    <w:rsid w:val="006A1746"/>
    <w:rsid w:val="006A1B33"/>
    <w:rsid w:val="006A1E25"/>
    <w:rsid w:val="006A22F0"/>
    <w:rsid w:val="006A241E"/>
    <w:rsid w:val="006A2B31"/>
    <w:rsid w:val="006A36C1"/>
    <w:rsid w:val="006A3B3E"/>
    <w:rsid w:val="006A3BAE"/>
    <w:rsid w:val="006A3D73"/>
    <w:rsid w:val="006A3DC5"/>
    <w:rsid w:val="006A41B6"/>
    <w:rsid w:val="006A4461"/>
    <w:rsid w:val="006A458B"/>
    <w:rsid w:val="006A5333"/>
    <w:rsid w:val="006A5772"/>
    <w:rsid w:val="006A5860"/>
    <w:rsid w:val="006A60DA"/>
    <w:rsid w:val="006A64F4"/>
    <w:rsid w:val="006A64F7"/>
    <w:rsid w:val="006A657B"/>
    <w:rsid w:val="006A6582"/>
    <w:rsid w:val="006A6C41"/>
    <w:rsid w:val="006A6D7A"/>
    <w:rsid w:val="006A7444"/>
    <w:rsid w:val="006A74DE"/>
    <w:rsid w:val="006A7527"/>
    <w:rsid w:val="006A75F8"/>
    <w:rsid w:val="006A78A5"/>
    <w:rsid w:val="006A7BE2"/>
    <w:rsid w:val="006A7CD6"/>
    <w:rsid w:val="006A7D87"/>
    <w:rsid w:val="006B0575"/>
    <w:rsid w:val="006B07C3"/>
    <w:rsid w:val="006B0D42"/>
    <w:rsid w:val="006B16F2"/>
    <w:rsid w:val="006B17F1"/>
    <w:rsid w:val="006B1817"/>
    <w:rsid w:val="006B1957"/>
    <w:rsid w:val="006B1A51"/>
    <w:rsid w:val="006B22B4"/>
    <w:rsid w:val="006B2312"/>
    <w:rsid w:val="006B23BE"/>
    <w:rsid w:val="006B23CA"/>
    <w:rsid w:val="006B27F2"/>
    <w:rsid w:val="006B2B49"/>
    <w:rsid w:val="006B315D"/>
    <w:rsid w:val="006B31E2"/>
    <w:rsid w:val="006B33FE"/>
    <w:rsid w:val="006B34A7"/>
    <w:rsid w:val="006B34D6"/>
    <w:rsid w:val="006B350A"/>
    <w:rsid w:val="006B3787"/>
    <w:rsid w:val="006B3AB8"/>
    <w:rsid w:val="006B3E63"/>
    <w:rsid w:val="006B41F5"/>
    <w:rsid w:val="006B4540"/>
    <w:rsid w:val="006B4791"/>
    <w:rsid w:val="006B5173"/>
    <w:rsid w:val="006B5209"/>
    <w:rsid w:val="006B534D"/>
    <w:rsid w:val="006B5655"/>
    <w:rsid w:val="006B5773"/>
    <w:rsid w:val="006B5962"/>
    <w:rsid w:val="006B5A67"/>
    <w:rsid w:val="006B5B6D"/>
    <w:rsid w:val="006B5EEE"/>
    <w:rsid w:val="006B60E2"/>
    <w:rsid w:val="006B6318"/>
    <w:rsid w:val="006B6725"/>
    <w:rsid w:val="006B6774"/>
    <w:rsid w:val="006B6846"/>
    <w:rsid w:val="006B687E"/>
    <w:rsid w:val="006B68F2"/>
    <w:rsid w:val="006B6988"/>
    <w:rsid w:val="006B6B99"/>
    <w:rsid w:val="006B70BF"/>
    <w:rsid w:val="006B76EC"/>
    <w:rsid w:val="006B7A84"/>
    <w:rsid w:val="006B7B09"/>
    <w:rsid w:val="006B7CAD"/>
    <w:rsid w:val="006C0058"/>
    <w:rsid w:val="006C0249"/>
    <w:rsid w:val="006C06B4"/>
    <w:rsid w:val="006C0873"/>
    <w:rsid w:val="006C1910"/>
    <w:rsid w:val="006C1F51"/>
    <w:rsid w:val="006C1F77"/>
    <w:rsid w:val="006C259B"/>
    <w:rsid w:val="006C265C"/>
    <w:rsid w:val="006C28B0"/>
    <w:rsid w:val="006C2DB1"/>
    <w:rsid w:val="006C2E57"/>
    <w:rsid w:val="006C2FF7"/>
    <w:rsid w:val="006C3086"/>
    <w:rsid w:val="006C30CB"/>
    <w:rsid w:val="006C3224"/>
    <w:rsid w:val="006C32D4"/>
    <w:rsid w:val="006C32E1"/>
    <w:rsid w:val="006C3383"/>
    <w:rsid w:val="006C3544"/>
    <w:rsid w:val="006C3A62"/>
    <w:rsid w:val="006C3DB8"/>
    <w:rsid w:val="006C3F16"/>
    <w:rsid w:val="006C4195"/>
    <w:rsid w:val="006C5602"/>
    <w:rsid w:val="006C568F"/>
    <w:rsid w:val="006C58AC"/>
    <w:rsid w:val="006C58FC"/>
    <w:rsid w:val="006C63BC"/>
    <w:rsid w:val="006C6A0B"/>
    <w:rsid w:val="006C6DF4"/>
    <w:rsid w:val="006C72C0"/>
    <w:rsid w:val="006C75C6"/>
    <w:rsid w:val="006C7968"/>
    <w:rsid w:val="006C7A98"/>
    <w:rsid w:val="006D00D5"/>
    <w:rsid w:val="006D04A7"/>
    <w:rsid w:val="006D0976"/>
    <w:rsid w:val="006D09C7"/>
    <w:rsid w:val="006D0B95"/>
    <w:rsid w:val="006D0C19"/>
    <w:rsid w:val="006D0C57"/>
    <w:rsid w:val="006D0CAD"/>
    <w:rsid w:val="006D15BC"/>
    <w:rsid w:val="006D16EF"/>
    <w:rsid w:val="006D1C6A"/>
    <w:rsid w:val="006D2305"/>
    <w:rsid w:val="006D2533"/>
    <w:rsid w:val="006D26EB"/>
    <w:rsid w:val="006D2981"/>
    <w:rsid w:val="006D3178"/>
    <w:rsid w:val="006D34E8"/>
    <w:rsid w:val="006D3A85"/>
    <w:rsid w:val="006D3CF1"/>
    <w:rsid w:val="006D3D7E"/>
    <w:rsid w:val="006D3FFF"/>
    <w:rsid w:val="006D475D"/>
    <w:rsid w:val="006D4B20"/>
    <w:rsid w:val="006D4B81"/>
    <w:rsid w:val="006D54B7"/>
    <w:rsid w:val="006D554F"/>
    <w:rsid w:val="006D5759"/>
    <w:rsid w:val="006D57F0"/>
    <w:rsid w:val="006D6050"/>
    <w:rsid w:val="006D63A0"/>
    <w:rsid w:val="006D6710"/>
    <w:rsid w:val="006D67BF"/>
    <w:rsid w:val="006D7004"/>
    <w:rsid w:val="006D7968"/>
    <w:rsid w:val="006D7F4A"/>
    <w:rsid w:val="006E063F"/>
    <w:rsid w:val="006E065A"/>
    <w:rsid w:val="006E0715"/>
    <w:rsid w:val="006E08D9"/>
    <w:rsid w:val="006E09CF"/>
    <w:rsid w:val="006E0C6E"/>
    <w:rsid w:val="006E0CE8"/>
    <w:rsid w:val="006E0E8A"/>
    <w:rsid w:val="006E1990"/>
    <w:rsid w:val="006E1A15"/>
    <w:rsid w:val="006E1A8A"/>
    <w:rsid w:val="006E1BAA"/>
    <w:rsid w:val="006E1FBA"/>
    <w:rsid w:val="006E2147"/>
    <w:rsid w:val="006E2330"/>
    <w:rsid w:val="006E247D"/>
    <w:rsid w:val="006E25CE"/>
    <w:rsid w:val="006E263A"/>
    <w:rsid w:val="006E2686"/>
    <w:rsid w:val="006E2895"/>
    <w:rsid w:val="006E2D78"/>
    <w:rsid w:val="006E3071"/>
    <w:rsid w:val="006E3B79"/>
    <w:rsid w:val="006E3CEC"/>
    <w:rsid w:val="006E40A2"/>
    <w:rsid w:val="006E42AB"/>
    <w:rsid w:val="006E471B"/>
    <w:rsid w:val="006E4E35"/>
    <w:rsid w:val="006E5111"/>
    <w:rsid w:val="006E51A8"/>
    <w:rsid w:val="006E51D2"/>
    <w:rsid w:val="006E5E88"/>
    <w:rsid w:val="006E62B3"/>
    <w:rsid w:val="006E62BC"/>
    <w:rsid w:val="006E662D"/>
    <w:rsid w:val="006E6699"/>
    <w:rsid w:val="006E6785"/>
    <w:rsid w:val="006E6A33"/>
    <w:rsid w:val="006E6BF3"/>
    <w:rsid w:val="006E71AA"/>
    <w:rsid w:val="006F020B"/>
    <w:rsid w:val="006F061E"/>
    <w:rsid w:val="006F08C5"/>
    <w:rsid w:val="006F0976"/>
    <w:rsid w:val="006F0BC0"/>
    <w:rsid w:val="006F122A"/>
    <w:rsid w:val="006F1EEB"/>
    <w:rsid w:val="006F1FAC"/>
    <w:rsid w:val="006F2438"/>
    <w:rsid w:val="006F2568"/>
    <w:rsid w:val="006F2933"/>
    <w:rsid w:val="006F2E90"/>
    <w:rsid w:val="006F32AD"/>
    <w:rsid w:val="006F393E"/>
    <w:rsid w:val="006F3B8F"/>
    <w:rsid w:val="006F3E1F"/>
    <w:rsid w:val="006F4873"/>
    <w:rsid w:val="006F48EC"/>
    <w:rsid w:val="006F4A4A"/>
    <w:rsid w:val="006F4AC6"/>
    <w:rsid w:val="006F4EDE"/>
    <w:rsid w:val="006F518D"/>
    <w:rsid w:val="006F5363"/>
    <w:rsid w:val="006F5D05"/>
    <w:rsid w:val="006F5DD8"/>
    <w:rsid w:val="006F612E"/>
    <w:rsid w:val="006F6355"/>
    <w:rsid w:val="006F6583"/>
    <w:rsid w:val="006F6782"/>
    <w:rsid w:val="006F6876"/>
    <w:rsid w:val="006F6DBE"/>
    <w:rsid w:val="006F7287"/>
    <w:rsid w:val="006F72A1"/>
    <w:rsid w:val="006F78A2"/>
    <w:rsid w:val="007000FC"/>
    <w:rsid w:val="00700421"/>
    <w:rsid w:val="007004B4"/>
    <w:rsid w:val="00700671"/>
    <w:rsid w:val="00700826"/>
    <w:rsid w:val="00700C0F"/>
    <w:rsid w:val="00700E02"/>
    <w:rsid w:val="00701000"/>
    <w:rsid w:val="007011E2"/>
    <w:rsid w:val="00701ACE"/>
    <w:rsid w:val="00701BAA"/>
    <w:rsid w:val="00701BB1"/>
    <w:rsid w:val="00701D55"/>
    <w:rsid w:val="0070262A"/>
    <w:rsid w:val="0070296D"/>
    <w:rsid w:val="00702E21"/>
    <w:rsid w:val="00702EC6"/>
    <w:rsid w:val="0070307D"/>
    <w:rsid w:val="0070359B"/>
    <w:rsid w:val="0070371D"/>
    <w:rsid w:val="00703DB6"/>
    <w:rsid w:val="0070412F"/>
    <w:rsid w:val="007041CC"/>
    <w:rsid w:val="00704336"/>
    <w:rsid w:val="007043B3"/>
    <w:rsid w:val="007045C1"/>
    <w:rsid w:val="00704632"/>
    <w:rsid w:val="007046CB"/>
    <w:rsid w:val="007046EA"/>
    <w:rsid w:val="007055D9"/>
    <w:rsid w:val="00705712"/>
    <w:rsid w:val="0070573E"/>
    <w:rsid w:val="00705796"/>
    <w:rsid w:val="0070599C"/>
    <w:rsid w:val="00705E1E"/>
    <w:rsid w:val="00705E3F"/>
    <w:rsid w:val="00706310"/>
    <w:rsid w:val="00706C49"/>
    <w:rsid w:val="00707056"/>
    <w:rsid w:val="00707060"/>
    <w:rsid w:val="007070EC"/>
    <w:rsid w:val="007072B6"/>
    <w:rsid w:val="007073C4"/>
    <w:rsid w:val="00707A52"/>
    <w:rsid w:val="007101F3"/>
    <w:rsid w:val="007104A7"/>
    <w:rsid w:val="0071092B"/>
    <w:rsid w:val="00710C59"/>
    <w:rsid w:val="0071149E"/>
    <w:rsid w:val="00712184"/>
    <w:rsid w:val="0071242D"/>
    <w:rsid w:val="0071244A"/>
    <w:rsid w:val="00712528"/>
    <w:rsid w:val="007126DC"/>
    <w:rsid w:val="00712764"/>
    <w:rsid w:val="00712820"/>
    <w:rsid w:val="00712A7E"/>
    <w:rsid w:val="00712D3E"/>
    <w:rsid w:val="00713254"/>
    <w:rsid w:val="007133BA"/>
    <w:rsid w:val="007134AF"/>
    <w:rsid w:val="00713905"/>
    <w:rsid w:val="007139B8"/>
    <w:rsid w:val="00713AFA"/>
    <w:rsid w:val="007141EE"/>
    <w:rsid w:val="007142A6"/>
    <w:rsid w:val="007145E5"/>
    <w:rsid w:val="007147C7"/>
    <w:rsid w:val="00714899"/>
    <w:rsid w:val="00714951"/>
    <w:rsid w:val="00715124"/>
    <w:rsid w:val="00715321"/>
    <w:rsid w:val="007154AC"/>
    <w:rsid w:val="007157A9"/>
    <w:rsid w:val="007159A2"/>
    <w:rsid w:val="00715ACD"/>
    <w:rsid w:val="00715B25"/>
    <w:rsid w:val="007161EB"/>
    <w:rsid w:val="007162E0"/>
    <w:rsid w:val="0071630D"/>
    <w:rsid w:val="00716A70"/>
    <w:rsid w:val="00716D92"/>
    <w:rsid w:val="00716DF5"/>
    <w:rsid w:val="007170BC"/>
    <w:rsid w:val="0071743E"/>
    <w:rsid w:val="00717885"/>
    <w:rsid w:val="00717DC2"/>
    <w:rsid w:val="007208AC"/>
    <w:rsid w:val="0072139E"/>
    <w:rsid w:val="00721406"/>
    <w:rsid w:val="0072146A"/>
    <w:rsid w:val="00721696"/>
    <w:rsid w:val="00721771"/>
    <w:rsid w:val="007219DE"/>
    <w:rsid w:val="00721AC0"/>
    <w:rsid w:val="00721B95"/>
    <w:rsid w:val="00721D6F"/>
    <w:rsid w:val="00721F98"/>
    <w:rsid w:val="007220A2"/>
    <w:rsid w:val="0072243D"/>
    <w:rsid w:val="00722A02"/>
    <w:rsid w:val="00722AB9"/>
    <w:rsid w:val="00722DE3"/>
    <w:rsid w:val="0072306C"/>
    <w:rsid w:val="00723498"/>
    <w:rsid w:val="00723BCE"/>
    <w:rsid w:val="00723C86"/>
    <w:rsid w:val="00723D3A"/>
    <w:rsid w:val="00724D79"/>
    <w:rsid w:val="00724F0D"/>
    <w:rsid w:val="0072534B"/>
    <w:rsid w:val="0072547B"/>
    <w:rsid w:val="007254D4"/>
    <w:rsid w:val="0072565C"/>
    <w:rsid w:val="0072568A"/>
    <w:rsid w:val="007256AE"/>
    <w:rsid w:val="00725A99"/>
    <w:rsid w:val="00725D00"/>
    <w:rsid w:val="00725E47"/>
    <w:rsid w:val="00725F14"/>
    <w:rsid w:val="007269F6"/>
    <w:rsid w:val="00726A4C"/>
    <w:rsid w:val="00726BDB"/>
    <w:rsid w:val="00727321"/>
    <w:rsid w:val="0073028A"/>
    <w:rsid w:val="0073034F"/>
    <w:rsid w:val="00730C11"/>
    <w:rsid w:val="00730D73"/>
    <w:rsid w:val="00730DF4"/>
    <w:rsid w:val="00730EE3"/>
    <w:rsid w:val="007313A8"/>
    <w:rsid w:val="007313B4"/>
    <w:rsid w:val="0073152A"/>
    <w:rsid w:val="007315E3"/>
    <w:rsid w:val="0073181E"/>
    <w:rsid w:val="00731CE3"/>
    <w:rsid w:val="00731ECB"/>
    <w:rsid w:val="007321EB"/>
    <w:rsid w:val="00732354"/>
    <w:rsid w:val="00732561"/>
    <w:rsid w:val="00732D75"/>
    <w:rsid w:val="007335E3"/>
    <w:rsid w:val="007338CF"/>
    <w:rsid w:val="00733924"/>
    <w:rsid w:val="00733B7D"/>
    <w:rsid w:val="00734656"/>
    <w:rsid w:val="00734891"/>
    <w:rsid w:val="00734D41"/>
    <w:rsid w:val="00734E05"/>
    <w:rsid w:val="00734ECF"/>
    <w:rsid w:val="00735136"/>
    <w:rsid w:val="00735295"/>
    <w:rsid w:val="007352A6"/>
    <w:rsid w:val="00735C9E"/>
    <w:rsid w:val="00735D68"/>
    <w:rsid w:val="0073610F"/>
    <w:rsid w:val="0073618F"/>
    <w:rsid w:val="00736655"/>
    <w:rsid w:val="00736982"/>
    <w:rsid w:val="00736AA2"/>
    <w:rsid w:val="007370C7"/>
    <w:rsid w:val="0073715E"/>
    <w:rsid w:val="0073744C"/>
    <w:rsid w:val="0073758C"/>
    <w:rsid w:val="00737644"/>
    <w:rsid w:val="007378A8"/>
    <w:rsid w:val="00737B01"/>
    <w:rsid w:val="00737D2E"/>
    <w:rsid w:val="00737F19"/>
    <w:rsid w:val="00740100"/>
    <w:rsid w:val="00740183"/>
    <w:rsid w:val="007407B9"/>
    <w:rsid w:val="007407CB"/>
    <w:rsid w:val="007407E3"/>
    <w:rsid w:val="00740EDD"/>
    <w:rsid w:val="00740F95"/>
    <w:rsid w:val="00741602"/>
    <w:rsid w:val="00741BE8"/>
    <w:rsid w:val="00741DDC"/>
    <w:rsid w:val="00742CE0"/>
    <w:rsid w:val="0074312F"/>
    <w:rsid w:val="00743653"/>
    <w:rsid w:val="007436C9"/>
    <w:rsid w:val="007442F9"/>
    <w:rsid w:val="00744CE7"/>
    <w:rsid w:val="007453EC"/>
    <w:rsid w:val="007456F3"/>
    <w:rsid w:val="00745A88"/>
    <w:rsid w:val="007460FF"/>
    <w:rsid w:val="0074630C"/>
    <w:rsid w:val="00746B23"/>
    <w:rsid w:val="0074700A"/>
    <w:rsid w:val="00747086"/>
    <w:rsid w:val="007475C4"/>
    <w:rsid w:val="00747C0D"/>
    <w:rsid w:val="00750293"/>
    <w:rsid w:val="00750414"/>
    <w:rsid w:val="00750446"/>
    <w:rsid w:val="00750D7B"/>
    <w:rsid w:val="00751033"/>
    <w:rsid w:val="007510D6"/>
    <w:rsid w:val="0075118C"/>
    <w:rsid w:val="007511E4"/>
    <w:rsid w:val="007516A5"/>
    <w:rsid w:val="007518FD"/>
    <w:rsid w:val="00751DD6"/>
    <w:rsid w:val="00752139"/>
    <w:rsid w:val="00752161"/>
    <w:rsid w:val="00752186"/>
    <w:rsid w:val="00752381"/>
    <w:rsid w:val="00752CA7"/>
    <w:rsid w:val="00752D11"/>
    <w:rsid w:val="00753388"/>
    <w:rsid w:val="0075339E"/>
    <w:rsid w:val="00753774"/>
    <w:rsid w:val="00753A1B"/>
    <w:rsid w:val="00753A30"/>
    <w:rsid w:val="00754436"/>
    <w:rsid w:val="00754686"/>
    <w:rsid w:val="007546C9"/>
    <w:rsid w:val="0075498E"/>
    <w:rsid w:val="007549A2"/>
    <w:rsid w:val="00754B1D"/>
    <w:rsid w:val="00754CD5"/>
    <w:rsid w:val="007552DC"/>
    <w:rsid w:val="00755312"/>
    <w:rsid w:val="0075569B"/>
    <w:rsid w:val="007556CB"/>
    <w:rsid w:val="00755854"/>
    <w:rsid w:val="00755A8C"/>
    <w:rsid w:val="00755E7A"/>
    <w:rsid w:val="00755EC5"/>
    <w:rsid w:val="007560C0"/>
    <w:rsid w:val="007562B7"/>
    <w:rsid w:val="00756784"/>
    <w:rsid w:val="00756E8F"/>
    <w:rsid w:val="007573E6"/>
    <w:rsid w:val="007579BF"/>
    <w:rsid w:val="00757BEF"/>
    <w:rsid w:val="00757DC3"/>
    <w:rsid w:val="00757E0D"/>
    <w:rsid w:val="00757ED2"/>
    <w:rsid w:val="00760082"/>
    <w:rsid w:val="007600DD"/>
    <w:rsid w:val="007601D3"/>
    <w:rsid w:val="00760308"/>
    <w:rsid w:val="0076034F"/>
    <w:rsid w:val="00760528"/>
    <w:rsid w:val="00760532"/>
    <w:rsid w:val="00760819"/>
    <w:rsid w:val="00760A6A"/>
    <w:rsid w:val="00760EBA"/>
    <w:rsid w:val="00760FBC"/>
    <w:rsid w:val="00761134"/>
    <w:rsid w:val="007615FD"/>
    <w:rsid w:val="00761F87"/>
    <w:rsid w:val="00762190"/>
    <w:rsid w:val="007628A2"/>
    <w:rsid w:val="00762A2C"/>
    <w:rsid w:val="00762A41"/>
    <w:rsid w:val="00762AF0"/>
    <w:rsid w:val="00762B8A"/>
    <w:rsid w:val="00762E83"/>
    <w:rsid w:val="00762EFE"/>
    <w:rsid w:val="007632F0"/>
    <w:rsid w:val="007638F5"/>
    <w:rsid w:val="00764AA7"/>
    <w:rsid w:val="00764EB9"/>
    <w:rsid w:val="00765089"/>
    <w:rsid w:val="007659D9"/>
    <w:rsid w:val="00765A9C"/>
    <w:rsid w:val="0076605B"/>
    <w:rsid w:val="007661E7"/>
    <w:rsid w:val="00766263"/>
    <w:rsid w:val="0076636A"/>
    <w:rsid w:val="0076638F"/>
    <w:rsid w:val="007663E6"/>
    <w:rsid w:val="0076666B"/>
    <w:rsid w:val="00766F73"/>
    <w:rsid w:val="00766F75"/>
    <w:rsid w:val="00767345"/>
    <w:rsid w:val="0076770E"/>
    <w:rsid w:val="0076776B"/>
    <w:rsid w:val="00767A40"/>
    <w:rsid w:val="00767B64"/>
    <w:rsid w:val="00767C0C"/>
    <w:rsid w:val="00767C46"/>
    <w:rsid w:val="00770032"/>
    <w:rsid w:val="007705DF"/>
    <w:rsid w:val="0077069A"/>
    <w:rsid w:val="00770763"/>
    <w:rsid w:val="00770AC0"/>
    <w:rsid w:val="00770C3C"/>
    <w:rsid w:val="00770C7F"/>
    <w:rsid w:val="00770F70"/>
    <w:rsid w:val="00771301"/>
    <w:rsid w:val="007717CB"/>
    <w:rsid w:val="007718B1"/>
    <w:rsid w:val="00771A2D"/>
    <w:rsid w:val="00771AA6"/>
    <w:rsid w:val="007722D8"/>
    <w:rsid w:val="007723B3"/>
    <w:rsid w:val="0077243E"/>
    <w:rsid w:val="007725B2"/>
    <w:rsid w:val="00772679"/>
    <w:rsid w:val="007726A1"/>
    <w:rsid w:val="0077297C"/>
    <w:rsid w:val="007730EC"/>
    <w:rsid w:val="0077312C"/>
    <w:rsid w:val="00773554"/>
    <w:rsid w:val="00773601"/>
    <w:rsid w:val="007736F0"/>
    <w:rsid w:val="00773B2E"/>
    <w:rsid w:val="00773C81"/>
    <w:rsid w:val="00773D58"/>
    <w:rsid w:val="007741EB"/>
    <w:rsid w:val="00774621"/>
    <w:rsid w:val="00774889"/>
    <w:rsid w:val="00774FC6"/>
    <w:rsid w:val="00775080"/>
    <w:rsid w:val="007750CF"/>
    <w:rsid w:val="0077521D"/>
    <w:rsid w:val="0077543F"/>
    <w:rsid w:val="00775503"/>
    <w:rsid w:val="007756CD"/>
    <w:rsid w:val="00775B44"/>
    <w:rsid w:val="00775B84"/>
    <w:rsid w:val="007760FE"/>
    <w:rsid w:val="00776918"/>
    <w:rsid w:val="00776CF5"/>
    <w:rsid w:val="00776DC8"/>
    <w:rsid w:val="00776EAB"/>
    <w:rsid w:val="00776F44"/>
    <w:rsid w:val="00776FF1"/>
    <w:rsid w:val="007770D1"/>
    <w:rsid w:val="00777323"/>
    <w:rsid w:val="00777CA9"/>
    <w:rsid w:val="00777D34"/>
    <w:rsid w:val="00777F52"/>
    <w:rsid w:val="0078109C"/>
    <w:rsid w:val="0078134F"/>
    <w:rsid w:val="00781544"/>
    <w:rsid w:val="007816E8"/>
    <w:rsid w:val="0078172C"/>
    <w:rsid w:val="007819CB"/>
    <w:rsid w:val="00781A8D"/>
    <w:rsid w:val="00781AAB"/>
    <w:rsid w:val="00782923"/>
    <w:rsid w:val="00782AB1"/>
    <w:rsid w:val="00782DE7"/>
    <w:rsid w:val="00783C39"/>
    <w:rsid w:val="00783D35"/>
    <w:rsid w:val="00783E85"/>
    <w:rsid w:val="00783EB9"/>
    <w:rsid w:val="00783F98"/>
    <w:rsid w:val="0078401C"/>
    <w:rsid w:val="00784169"/>
    <w:rsid w:val="00784796"/>
    <w:rsid w:val="00784966"/>
    <w:rsid w:val="00784B0A"/>
    <w:rsid w:val="00784C4B"/>
    <w:rsid w:val="00785045"/>
    <w:rsid w:val="0078518D"/>
    <w:rsid w:val="00785237"/>
    <w:rsid w:val="00785299"/>
    <w:rsid w:val="00785358"/>
    <w:rsid w:val="007853CC"/>
    <w:rsid w:val="007854D0"/>
    <w:rsid w:val="00785524"/>
    <w:rsid w:val="00785589"/>
    <w:rsid w:val="007858B4"/>
    <w:rsid w:val="00785CEC"/>
    <w:rsid w:val="00785F01"/>
    <w:rsid w:val="0078619B"/>
    <w:rsid w:val="007864FA"/>
    <w:rsid w:val="007866B0"/>
    <w:rsid w:val="00786A7A"/>
    <w:rsid w:val="00787D8E"/>
    <w:rsid w:val="00791061"/>
    <w:rsid w:val="007914A6"/>
    <w:rsid w:val="0079168A"/>
    <w:rsid w:val="007916E8"/>
    <w:rsid w:val="00791D7F"/>
    <w:rsid w:val="00791F2A"/>
    <w:rsid w:val="007922CD"/>
    <w:rsid w:val="007924F7"/>
    <w:rsid w:val="007925E1"/>
    <w:rsid w:val="00792B9E"/>
    <w:rsid w:val="00792E3C"/>
    <w:rsid w:val="00793105"/>
    <w:rsid w:val="0079365B"/>
    <w:rsid w:val="0079367F"/>
    <w:rsid w:val="00793A19"/>
    <w:rsid w:val="0079427C"/>
    <w:rsid w:val="00794680"/>
    <w:rsid w:val="0079486A"/>
    <w:rsid w:val="00794BEC"/>
    <w:rsid w:val="00795420"/>
    <w:rsid w:val="0079598C"/>
    <w:rsid w:val="00795D21"/>
    <w:rsid w:val="00796042"/>
    <w:rsid w:val="007960D2"/>
    <w:rsid w:val="007968D1"/>
    <w:rsid w:val="00796D60"/>
    <w:rsid w:val="00796FA5"/>
    <w:rsid w:val="0079706C"/>
    <w:rsid w:val="007970F1"/>
    <w:rsid w:val="0079745C"/>
    <w:rsid w:val="007979FE"/>
    <w:rsid w:val="00797B97"/>
    <w:rsid w:val="00797B9B"/>
    <w:rsid w:val="00797CA3"/>
    <w:rsid w:val="00797FDC"/>
    <w:rsid w:val="007A0291"/>
    <w:rsid w:val="007A07A0"/>
    <w:rsid w:val="007A1039"/>
    <w:rsid w:val="007A1698"/>
    <w:rsid w:val="007A16D5"/>
    <w:rsid w:val="007A1915"/>
    <w:rsid w:val="007A1A52"/>
    <w:rsid w:val="007A2B5F"/>
    <w:rsid w:val="007A2E9D"/>
    <w:rsid w:val="007A2EB3"/>
    <w:rsid w:val="007A34F5"/>
    <w:rsid w:val="007A3803"/>
    <w:rsid w:val="007A387B"/>
    <w:rsid w:val="007A3FEF"/>
    <w:rsid w:val="007A4006"/>
    <w:rsid w:val="007A403C"/>
    <w:rsid w:val="007A4607"/>
    <w:rsid w:val="007A46D5"/>
    <w:rsid w:val="007A51CC"/>
    <w:rsid w:val="007A5318"/>
    <w:rsid w:val="007A5856"/>
    <w:rsid w:val="007A59DE"/>
    <w:rsid w:val="007A5A1C"/>
    <w:rsid w:val="007A68E2"/>
    <w:rsid w:val="007A6B96"/>
    <w:rsid w:val="007A7087"/>
    <w:rsid w:val="007A7123"/>
    <w:rsid w:val="007A719D"/>
    <w:rsid w:val="007A7497"/>
    <w:rsid w:val="007A7694"/>
    <w:rsid w:val="007A782D"/>
    <w:rsid w:val="007A7A7F"/>
    <w:rsid w:val="007A7EBF"/>
    <w:rsid w:val="007B0679"/>
    <w:rsid w:val="007B0757"/>
    <w:rsid w:val="007B079F"/>
    <w:rsid w:val="007B07DE"/>
    <w:rsid w:val="007B0EFC"/>
    <w:rsid w:val="007B11D2"/>
    <w:rsid w:val="007B13FD"/>
    <w:rsid w:val="007B155F"/>
    <w:rsid w:val="007B191F"/>
    <w:rsid w:val="007B1E2B"/>
    <w:rsid w:val="007B243E"/>
    <w:rsid w:val="007B2703"/>
    <w:rsid w:val="007B28F2"/>
    <w:rsid w:val="007B2ADB"/>
    <w:rsid w:val="007B2BA2"/>
    <w:rsid w:val="007B2D91"/>
    <w:rsid w:val="007B32A7"/>
    <w:rsid w:val="007B3A68"/>
    <w:rsid w:val="007B3B06"/>
    <w:rsid w:val="007B3B15"/>
    <w:rsid w:val="007B4158"/>
    <w:rsid w:val="007B41A8"/>
    <w:rsid w:val="007B4414"/>
    <w:rsid w:val="007B4661"/>
    <w:rsid w:val="007B467E"/>
    <w:rsid w:val="007B4790"/>
    <w:rsid w:val="007B4C8C"/>
    <w:rsid w:val="007B4D0B"/>
    <w:rsid w:val="007B51AD"/>
    <w:rsid w:val="007B537A"/>
    <w:rsid w:val="007B559B"/>
    <w:rsid w:val="007B56DF"/>
    <w:rsid w:val="007B5EC1"/>
    <w:rsid w:val="007B6251"/>
    <w:rsid w:val="007B70CA"/>
    <w:rsid w:val="007B7260"/>
    <w:rsid w:val="007B780A"/>
    <w:rsid w:val="007B7955"/>
    <w:rsid w:val="007B7A4C"/>
    <w:rsid w:val="007B7F19"/>
    <w:rsid w:val="007C03B3"/>
    <w:rsid w:val="007C0746"/>
    <w:rsid w:val="007C0A45"/>
    <w:rsid w:val="007C0E68"/>
    <w:rsid w:val="007C0F04"/>
    <w:rsid w:val="007C1980"/>
    <w:rsid w:val="007C19E2"/>
    <w:rsid w:val="007C2047"/>
    <w:rsid w:val="007C2188"/>
    <w:rsid w:val="007C21BE"/>
    <w:rsid w:val="007C2923"/>
    <w:rsid w:val="007C344B"/>
    <w:rsid w:val="007C34DB"/>
    <w:rsid w:val="007C3554"/>
    <w:rsid w:val="007C37DC"/>
    <w:rsid w:val="007C3A03"/>
    <w:rsid w:val="007C3DC0"/>
    <w:rsid w:val="007C3F0C"/>
    <w:rsid w:val="007C3FAD"/>
    <w:rsid w:val="007C4970"/>
    <w:rsid w:val="007C4FA2"/>
    <w:rsid w:val="007C523E"/>
    <w:rsid w:val="007C5B94"/>
    <w:rsid w:val="007C5D6D"/>
    <w:rsid w:val="007C5F74"/>
    <w:rsid w:val="007C6408"/>
    <w:rsid w:val="007C6667"/>
    <w:rsid w:val="007C68D3"/>
    <w:rsid w:val="007C68ED"/>
    <w:rsid w:val="007C6C27"/>
    <w:rsid w:val="007C6CB6"/>
    <w:rsid w:val="007C7CAC"/>
    <w:rsid w:val="007C7F79"/>
    <w:rsid w:val="007D0039"/>
    <w:rsid w:val="007D02AE"/>
    <w:rsid w:val="007D068C"/>
    <w:rsid w:val="007D074B"/>
    <w:rsid w:val="007D0C3A"/>
    <w:rsid w:val="007D0D65"/>
    <w:rsid w:val="007D0E73"/>
    <w:rsid w:val="007D0F84"/>
    <w:rsid w:val="007D10CE"/>
    <w:rsid w:val="007D1A0F"/>
    <w:rsid w:val="007D1AFC"/>
    <w:rsid w:val="007D1C62"/>
    <w:rsid w:val="007D25E1"/>
    <w:rsid w:val="007D2604"/>
    <w:rsid w:val="007D2CDE"/>
    <w:rsid w:val="007D309D"/>
    <w:rsid w:val="007D30F6"/>
    <w:rsid w:val="007D3470"/>
    <w:rsid w:val="007D364D"/>
    <w:rsid w:val="007D3650"/>
    <w:rsid w:val="007D3783"/>
    <w:rsid w:val="007D38F0"/>
    <w:rsid w:val="007D407E"/>
    <w:rsid w:val="007D47DB"/>
    <w:rsid w:val="007D49C3"/>
    <w:rsid w:val="007D4A7C"/>
    <w:rsid w:val="007D4ACF"/>
    <w:rsid w:val="007D4BE5"/>
    <w:rsid w:val="007D4C15"/>
    <w:rsid w:val="007D4D34"/>
    <w:rsid w:val="007D4DA0"/>
    <w:rsid w:val="007D4E00"/>
    <w:rsid w:val="007D4F39"/>
    <w:rsid w:val="007D50BE"/>
    <w:rsid w:val="007D554C"/>
    <w:rsid w:val="007D582D"/>
    <w:rsid w:val="007D58D1"/>
    <w:rsid w:val="007D5F85"/>
    <w:rsid w:val="007D6179"/>
    <w:rsid w:val="007D62B2"/>
    <w:rsid w:val="007D6602"/>
    <w:rsid w:val="007D6626"/>
    <w:rsid w:val="007D6853"/>
    <w:rsid w:val="007D6CC5"/>
    <w:rsid w:val="007D6F44"/>
    <w:rsid w:val="007D6FC6"/>
    <w:rsid w:val="007D717F"/>
    <w:rsid w:val="007D71A3"/>
    <w:rsid w:val="007D72F9"/>
    <w:rsid w:val="007D7390"/>
    <w:rsid w:val="007D741F"/>
    <w:rsid w:val="007D76FE"/>
    <w:rsid w:val="007D78B6"/>
    <w:rsid w:val="007D7FCD"/>
    <w:rsid w:val="007E0065"/>
    <w:rsid w:val="007E04EC"/>
    <w:rsid w:val="007E06F6"/>
    <w:rsid w:val="007E0AED"/>
    <w:rsid w:val="007E0FA8"/>
    <w:rsid w:val="007E1026"/>
    <w:rsid w:val="007E11F6"/>
    <w:rsid w:val="007E1583"/>
    <w:rsid w:val="007E1938"/>
    <w:rsid w:val="007E1AF2"/>
    <w:rsid w:val="007E1DFC"/>
    <w:rsid w:val="007E1E22"/>
    <w:rsid w:val="007E2156"/>
    <w:rsid w:val="007E2668"/>
    <w:rsid w:val="007E2914"/>
    <w:rsid w:val="007E2ABB"/>
    <w:rsid w:val="007E2BBB"/>
    <w:rsid w:val="007E2D5F"/>
    <w:rsid w:val="007E2EA8"/>
    <w:rsid w:val="007E3234"/>
    <w:rsid w:val="007E3407"/>
    <w:rsid w:val="007E359F"/>
    <w:rsid w:val="007E3B09"/>
    <w:rsid w:val="007E3D29"/>
    <w:rsid w:val="007E3E15"/>
    <w:rsid w:val="007E403B"/>
    <w:rsid w:val="007E4173"/>
    <w:rsid w:val="007E49AE"/>
    <w:rsid w:val="007E4B99"/>
    <w:rsid w:val="007E4C0D"/>
    <w:rsid w:val="007E52E8"/>
    <w:rsid w:val="007E599D"/>
    <w:rsid w:val="007E5A96"/>
    <w:rsid w:val="007E6082"/>
    <w:rsid w:val="007E6093"/>
    <w:rsid w:val="007E645A"/>
    <w:rsid w:val="007E6E94"/>
    <w:rsid w:val="007E6EAF"/>
    <w:rsid w:val="007E719B"/>
    <w:rsid w:val="007E74B7"/>
    <w:rsid w:val="007E7513"/>
    <w:rsid w:val="007E7793"/>
    <w:rsid w:val="007E7956"/>
    <w:rsid w:val="007E7B6E"/>
    <w:rsid w:val="007E7EF3"/>
    <w:rsid w:val="007F0371"/>
    <w:rsid w:val="007F0799"/>
    <w:rsid w:val="007F0E1F"/>
    <w:rsid w:val="007F1023"/>
    <w:rsid w:val="007F1594"/>
    <w:rsid w:val="007F1657"/>
    <w:rsid w:val="007F1B5C"/>
    <w:rsid w:val="007F1BF6"/>
    <w:rsid w:val="007F1C11"/>
    <w:rsid w:val="007F1C2E"/>
    <w:rsid w:val="007F23DE"/>
    <w:rsid w:val="007F26F4"/>
    <w:rsid w:val="007F2787"/>
    <w:rsid w:val="007F298C"/>
    <w:rsid w:val="007F298D"/>
    <w:rsid w:val="007F29C2"/>
    <w:rsid w:val="007F2E20"/>
    <w:rsid w:val="007F312F"/>
    <w:rsid w:val="007F31F1"/>
    <w:rsid w:val="007F33E2"/>
    <w:rsid w:val="007F3682"/>
    <w:rsid w:val="007F4BB1"/>
    <w:rsid w:val="007F519E"/>
    <w:rsid w:val="007F5D5D"/>
    <w:rsid w:val="007F61F3"/>
    <w:rsid w:val="007F64E2"/>
    <w:rsid w:val="007F747E"/>
    <w:rsid w:val="007F7868"/>
    <w:rsid w:val="007F78A8"/>
    <w:rsid w:val="007F7E52"/>
    <w:rsid w:val="008000B2"/>
    <w:rsid w:val="008001DB"/>
    <w:rsid w:val="008003FE"/>
    <w:rsid w:val="008004D0"/>
    <w:rsid w:val="0080062B"/>
    <w:rsid w:val="00800870"/>
    <w:rsid w:val="00800A30"/>
    <w:rsid w:val="00800BF3"/>
    <w:rsid w:val="00801553"/>
    <w:rsid w:val="00801757"/>
    <w:rsid w:val="008019D3"/>
    <w:rsid w:val="00801A3E"/>
    <w:rsid w:val="00801CF9"/>
    <w:rsid w:val="00801EBB"/>
    <w:rsid w:val="00802A9F"/>
    <w:rsid w:val="00802BBD"/>
    <w:rsid w:val="00802C12"/>
    <w:rsid w:val="00802CD2"/>
    <w:rsid w:val="00802DCB"/>
    <w:rsid w:val="008031A1"/>
    <w:rsid w:val="008031E4"/>
    <w:rsid w:val="00803275"/>
    <w:rsid w:val="00803902"/>
    <w:rsid w:val="00803A07"/>
    <w:rsid w:val="00803B54"/>
    <w:rsid w:val="00803CF4"/>
    <w:rsid w:val="00803E1E"/>
    <w:rsid w:val="00803EDB"/>
    <w:rsid w:val="00803EE2"/>
    <w:rsid w:val="00804112"/>
    <w:rsid w:val="00804240"/>
    <w:rsid w:val="00804911"/>
    <w:rsid w:val="00804951"/>
    <w:rsid w:val="00804BDD"/>
    <w:rsid w:val="00804C73"/>
    <w:rsid w:val="0080502D"/>
    <w:rsid w:val="008053A1"/>
    <w:rsid w:val="008054B0"/>
    <w:rsid w:val="00805897"/>
    <w:rsid w:val="00805B41"/>
    <w:rsid w:val="00806470"/>
    <w:rsid w:val="00806598"/>
    <w:rsid w:val="00806CBE"/>
    <w:rsid w:val="00806D41"/>
    <w:rsid w:val="008070E4"/>
    <w:rsid w:val="0080733D"/>
    <w:rsid w:val="008073E3"/>
    <w:rsid w:val="00807853"/>
    <w:rsid w:val="00807B13"/>
    <w:rsid w:val="00807CCE"/>
    <w:rsid w:val="00807E2C"/>
    <w:rsid w:val="00807F84"/>
    <w:rsid w:val="00807FFC"/>
    <w:rsid w:val="008112C2"/>
    <w:rsid w:val="0081131E"/>
    <w:rsid w:val="00811460"/>
    <w:rsid w:val="008114BF"/>
    <w:rsid w:val="00811602"/>
    <w:rsid w:val="008117EF"/>
    <w:rsid w:val="00811869"/>
    <w:rsid w:val="008119B8"/>
    <w:rsid w:val="00812175"/>
    <w:rsid w:val="00812283"/>
    <w:rsid w:val="00812685"/>
    <w:rsid w:val="00812919"/>
    <w:rsid w:val="00812A6F"/>
    <w:rsid w:val="00812CE2"/>
    <w:rsid w:val="00813805"/>
    <w:rsid w:val="00813A78"/>
    <w:rsid w:val="00813B21"/>
    <w:rsid w:val="008142A6"/>
    <w:rsid w:val="0081435D"/>
    <w:rsid w:val="00814619"/>
    <w:rsid w:val="008147A7"/>
    <w:rsid w:val="00814D46"/>
    <w:rsid w:val="00814FC7"/>
    <w:rsid w:val="0081537E"/>
    <w:rsid w:val="008155BD"/>
    <w:rsid w:val="00815B8B"/>
    <w:rsid w:val="00815C1D"/>
    <w:rsid w:val="00815D63"/>
    <w:rsid w:val="00816377"/>
    <w:rsid w:val="00816B71"/>
    <w:rsid w:val="00816CBC"/>
    <w:rsid w:val="00816D1C"/>
    <w:rsid w:val="00816E6A"/>
    <w:rsid w:val="00816E7F"/>
    <w:rsid w:val="008176A2"/>
    <w:rsid w:val="00817B5F"/>
    <w:rsid w:val="00817CE2"/>
    <w:rsid w:val="00817F6B"/>
    <w:rsid w:val="008200BD"/>
    <w:rsid w:val="008202B9"/>
    <w:rsid w:val="00820401"/>
    <w:rsid w:val="00820662"/>
    <w:rsid w:val="0082076F"/>
    <w:rsid w:val="00820CC6"/>
    <w:rsid w:val="008210F3"/>
    <w:rsid w:val="008213F9"/>
    <w:rsid w:val="00821660"/>
    <w:rsid w:val="00821B7F"/>
    <w:rsid w:val="00821C5A"/>
    <w:rsid w:val="00821CD2"/>
    <w:rsid w:val="00822277"/>
    <w:rsid w:val="008226CF"/>
    <w:rsid w:val="00822E6D"/>
    <w:rsid w:val="008235A3"/>
    <w:rsid w:val="00823880"/>
    <w:rsid w:val="00823D6D"/>
    <w:rsid w:val="0082427E"/>
    <w:rsid w:val="00824402"/>
    <w:rsid w:val="0082459B"/>
    <w:rsid w:val="0082483A"/>
    <w:rsid w:val="00824A23"/>
    <w:rsid w:val="00824C4F"/>
    <w:rsid w:val="00825072"/>
    <w:rsid w:val="0082513E"/>
    <w:rsid w:val="0082550C"/>
    <w:rsid w:val="00825539"/>
    <w:rsid w:val="0082611C"/>
    <w:rsid w:val="008267FC"/>
    <w:rsid w:val="00826919"/>
    <w:rsid w:val="00826C8F"/>
    <w:rsid w:val="00826FC5"/>
    <w:rsid w:val="0082729E"/>
    <w:rsid w:val="00827506"/>
    <w:rsid w:val="008275FB"/>
    <w:rsid w:val="00827A21"/>
    <w:rsid w:val="008303AF"/>
    <w:rsid w:val="008309E5"/>
    <w:rsid w:val="00830B86"/>
    <w:rsid w:val="00830D60"/>
    <w:rsid w:val="00831163"/>
    <w:rsid w:val="00831279"/>
    <w:rsid w:val="0083165D"/>
    <w:rsid w:val="008316E2"/>
    <w:rsid w:val="00831879"/>
    <w:rsid w:val="008318A3"/>
    <w:rsid w:val="00831CDD"/>
    <w:rsid w:val="00831E68"/>
    <w:rsid w:val="008326F9"/>
    <w:rsid w:val="00832A67"/>
    <w:rsid w:val="00832C9D"/>
    <w:rsid w:val="00832F4B"/>
    <w:rsid w:val="008332EF"/>
    <w:rsid w:val="0083379E"/>
    <w:rsid w:val="0083426A"/>
    <w:rsid w:val="00834377"/>
    <w:rsid w:val="008344F6"/>
    <w:rsid w:val="00834D15"/>
    <w:rsid w:val="0083511F"/>
    <w:rsid w:val="00835177"/>
    <w:rsid w:val="008351F3"/>
    <w:rsid w:val="00835732"/>
    <w:rsid w:val="0083589B"/>
    <w:rsid w:val="00835D79"/>
    <w:rsid w:val="00835D90"/>
    <w:rsid w:val="00835EF2"/>
    <w:rsid w:val="00835F41"/>
    <w:rsid w:val="00835FC1"/>
    <w:rsid w:val="00836084"/>
    <w:rsid w:val="008363AE"/>
    <w:rsid w:val="00836559"/>
    <w:rsid w:val="00836806"/>
    <w:rsid w:val="008369BD"/>
    <w:rsid w:val="00837D78"/>
    <w:rsid w:val="00840291"/>
    <w:rsid w:val="008403F5"/>
    <w:rsid w:val="00840CDF"/>
    <w:rsid w:val="00840E29"/>
    <w:rsid w:val="00840F17"/>
    <w:rsid w:val="0084195E"/>
    <w:rsid w:val="00841AC1"/>
    <w:rsid w:val="00841CB1"/>
    <w:rsid w:val="00841F37"/>
    <w:rsid w:val="00842872"/>
    <w:rsid w:val="00842FCD"/>
    <w:rsid w:val="00843060"/>
    <w:rsid w:val="0084321C"/>
    <w:rsid w:val="00843AC8"/>
    <w:rsid w:val="00843AE9"/>
    <w:rsid w:val="008446BD"/>
    <w:rsid w:val="008447D0"/>
    <w:rsid w:val="00844AF7"/>
    <w:rsid w:val="00845543"/>
    <w:rsid w:val="008457FA"/>
    <w:rsid w:val="008458CA"/>
    <w:rsid w:val="00845B1F"/>
    <w:rsid w:val="00845C16"/>
    <w:rsid w:val="00845E43"/>
    <w:rsid w:val="00845E7D"/>
    <w:rsid w:val="00846610"/>
    <w:rsid w:val="008467AB"/>
    <w:rsid w:val="00846AF3"/>
    <w:rsid w:val="00846B5B"/>
    <w:rsid w:val="00846BD9"/>
    <w:rsid w:val="00846C6B"/>
    <w:rsid w:val="00846CD5"/>
    <w:rsid w:val="00847356"/>
    <w:rsid w:val="00847455"/>
    <w:rsid w:val="0084753F"/>
    <w:rsid w:val="00847705"/>
    <w:rsid w:val="00847A94"/>
    <w:rsid w:val="00847D57"/>
    <w:rsid w:val="00847F34"/>
    <w:rsid w:val="00847FCD"/>
    <w:rsid w:val="00850199"/>
    <w:rsid w:val="0085033B"/>
    <w:rsid w:val="00850393"/>
    <w:rsid w:val="00850531"/>
    <w:rsid w:val="008506B0"/>
    <w:rsid w:val="0085095C"/>
    <w:rsid w:val="00850B3D"/>
    <w:rsid w:val="00850B56"/>
    <w:rsid w:val="00850E73"/>
    <w:rsid w:val="00850E8A"/>
    <w:rsid w:val="00851118"/>
    <w:rsid w:val="008515BB"/>
    <w:rsid w:val="00851B29"/>
    <w:rsid w:val="00851BEC"/>
    <w:rsid w:val="00852024"/>
    <w:rsid w:val="00852383"/>
    <w:rsid w:val="00852533"/>
    <w:rsid w:val="00852B39"/>
    <w:rsid w:val="00852DF3"/>
    <w:rsid w:val="008534EA"/>
    <w:rsid w:val="00853605"/>
    <w:rsid w:val="00853E25"/>
    <w:rsid w:val="00854174"/>
    <w:rsid w:val="008542F9"/>
    <w:rsid w:val="00854356"/>
    <w:rsid w:val="008543D5"/>
    <w:rsid w:val="00854613"/>
    <w:rsid w:val="00854627"/>
    <w:rsid w:val="00854652"/>
    <w:rsid w:val="00854664"/>
    <w:rsid w:val="00854A20"/>
    <w:rsid w:val="0085510A"/>
    <w:rsid w:val="00855186"/>
    <w:rsid w:val="00855225"/>
    <w:rsid w:val="00855429"/>
    <w:rsid w:val="008558A8"/>
    <w:rsid w:val="00855A07"/>
    <w:rsid w:val="00855B5B"/>
    <w:rsid w:val="00855E05"/>
    <w:rsid w:val="0085648F"/>
    <w:rsid w:val="008564AA"/>
    <w:rsid w:val="008567A9"/>
    <w:rsid w:val="008568BE"/>
    <w:rsid w:val="0085760F"/>
    <w:rsid w:val="0085770D"/>
    <w:rsid w:val="00857825"/>
    <w:rsid w:val="00857AC0"/>
    <w:rsid w:val="00857FC3"/>
    <w:rsid w:val="00860353"/>
    <w:rsid w:val="00860384"/>
    <w:rsid w:val="0086080A"/>
    <w:rsid w:val="008608B8"/>
    <w:rsid w:val="00860B66"/>
    <w:rsid w:val="00860DB8"/>
    <w:rsid w:val="00860F91"/>
    <w:rsid w:val="00860FB0"/>
    <w:rsid w:val="00861226"/>
    <w:rsid w:val="00861235"/>
    <w:rsid w:val="008612A5"/>
    <w:rsid w:val="00861B0E"/>
    <w:rsid w:val="00861D07"/>
    <w:rsid w:val="008622C9"/>
    <w:rsid w:val="00862310"/>
    <w:rsid w:val="00862339"/>
    <w:rsid w:val="00862681"/>
    <w:rsid w:val="00862AD1"/>
    <w:rsid w:val="00862CD5"/>
    <w:rsid w:val="0086301D"/>
    <w:rsid w:val="0086302E"/>
    <w:rsid w:val="008630C6"/>
    <w:rsid w:val="00863328"/>
    <w:rsid w:val="0086396D"/>
    <w:rsid w:val="00863B0F"/>
    <w:rsid w:val="00863B3D"/>
    <w:rsid w:val="0086425F"/>
    <w:rsid w:val="00864E81"/>
    <w:rsid w:val="00864FD6"/>
    <w:rsid w:val="00864FDF"/>
    <w:rsid w:val="008651E9"/>
    <w:rsid w:val="00865413"/>
    <w:rsid w:val="00865602"/>
    <w:rsid w:val="0086569E"/>
    <w:rsid w:val="00865DE3"/>
    <w:rsid w:val="00865F5B"/>
    <w:rsid w:val="0086616A"/>
    <w:rsid w:val="008661AB"/>
    <w:rsid w:val="00866A31"/>
    <w:rsid w:val="00866CEB"/>
    <w:rsid w:val="00867647"/>
    <w:rsid w:val="00867680"/>
    <w:rsid w:val="0086768E"/>
    <w:rsid w:val="00867B9B"/>
    <w:rsid w:val="00870587"/>
    <w:rsid w:val="00870628"/>
    <w:rsid w:val="00870705"/>
    <w:rsid w:val="0087072B"/>
    <w:rsid w:val="00870ECF"/>
    <w:rsid w:val="00870F3A"/>
    <w:rsid w:val="00870FD0"/>
    <w:rsid w:val="008713E1"/>
    <w:rsid w:val="008717C3"/>
    <w:rsid w:val="00871ACA"/>
    <w:rsid w:val="0087219E"/>
    <w:rsid w:val="0087271E"/>
    <w:rsid w:val="00872721"/>
    <w:rsid w:val="0087274E"/>
    <w:rsid w:val="00872903"/>
    <w:rsid w:val="00872A2E"/>
    <w:rsid w:val="00872C8E"/>
    <w:rsid w:val="008730C9"/>
    <w:rsid w:val="0087328E"/>
    <w:rsid w:val="008734CC"/>
    <w:rsid w:val="00873ADA"/>
    <w:rsid w:val="008743BC"/>
    <w:rsid w:val="008744F1"/>
    <w:rsid w:val="0087491B"/>
    <w:rsid w:val="00874A49"/>
    <w:rsid w:val="00874E0E"/>
    <w:rsid w:val="00874ED6"/>
    <w:rsid w:val="0087548D"/>
    <w:rsid w:val="00876365"/>
    <w:rsid w:val="00876487"/>
    <w:rsid w:val="0087677C"/>
    <w:rsid w:val="00876A18"/>
    <w:rsid w:val="0087701A"/>
    <w:rsid w:val="00877513"/>
    <w:rsid w:val="008775E4"/>
    <w:rsid w:val="00877978"/>
    <w:rsid w:val="00877CD2"/>
    <w:rsid w:val="00877F52"/>
    <w:rsid w:val="008807D8"/>
    <w:rsid w:val="00880C35"/>
    <w:rsid w:val="00880EF6"/>
    <w:rsid w:val="008813A8"/>
    <w:rsid w:val="00881AB6"/>
    <w:rsid w:val="00881BD0"/>
    <w:rsid w:val="00881D1D"/>
    <w:rsid w:val="00881D57"/>
    <w:rsid w:val="00881EB7"/>
    <w:rsid w:val="008823FC"/>
    <w:rsid w:val="00882505"/>
    <w:rsid w:val="008829BD"/>
    <w:rsid w:val="008834D0"/>
    <w:rsid w:val="00883EB0"/>
    <w:rsid w:val="008841DE"/>
    <w:rsid w:val="00884454"/>
    <w:rsid w:val="0088465F"/>
    <w:rsid w:val="00884FC6"/>
    <w:rsid w:val="008851CA"/>
    <w:rsid w:val="008857D3"/>
    <w:rsid w:val="008860E6"/>
    <w:rsid w:val="008864C5"/>
    <w:rsid w:val="0088659F"/>
    <w:rsid w:val="00886809"/>
    <w:rsid w:val="00886898"/>
    <w:rsid w:val="008868DF"/>
    <w:rsid w:val="00886DED"/>
    <w:rsid w:val="00887572"/>
    <w:rsid w:val="00887610"/>
    <w:rsid w:val="00887B8F"/>
    <w:rsid w:val="00887CDB"/>
    <w:rsid w:val="00890303"/>
    <w:rsid w:val="008907DF"/>
    <w:rsid w:val="008908A7"/>
    <w:rsid w:val="008909EC"/>
    <w:rsid w:val="00890B1E"/>
    <w:rsid w:val="00890CE9"/>
    <w:rsid w:val="00890E91"/>
    <w:rsid w:val="00891161"/>
    <w:rsid w:val="00891247"/>
    <w:rsid w:val="008914E0"/>
    <w:rsid w:val="00891524"/>
    <w:rsid w:val="008915E9"/>
    <w:rsid w:val="008919C2"/>
    <w:rsid w:val="00891F47"/>
    <w:rsid w:val="00891F7A"/>
    <w:rsid w:val="0089212D"/>
    <w:rsid w:val="00892698"/>
    <w:rsid w:val="008926A0"/>
    <w:rsid w:val="00892992"/>
    <w:rsid w:val="00893050"/>
    <w:rsid w:val="0089311D"/>
    <w:rsid w:val="008932EB"/>
    <w:rsid w:val="00893325"/>
    <w:rsid w:val="008935CB"/>
    <w:rsid w:val="00893C2D"/>
    <w:rsid w:val="00893D67"/>
    <w:rsid w:val="00893FCA"/>
    <w:rsid w:val="00894731"/>
    <w:rsid w:val="00894CAC"/>
    <w:rsid w:val="00894CFC"/>
    <w:rsid w:val="008950F8"/>
    <w:rsid w:val="008957A4"/>
    <w:rsid w:val="0089597B"/>
    <w:rsid w:val="00896250"/>
    <w:rsid w:val="00896316"/>
    <w:rsid w:val="0089680F"/>
    <w:rsid w:val="00896997"/>
    <w:rsid w:val="00896A23"/>
    <w:rsid w:val="00896A52"/>
    <w:rsid w:val="00896B37"/>
    <w:rsid w:val="00897026"/>
    <w:rsid w:val="00897838"/>
    <w:rsid w:val="00897DEB"/>
    <w:rsid w:val="008A0271"/>
    <w:rsid w:val="008A035B"/>
    <w:rsid w:val="008A148D"/>
    <w:rsid w:val="008A165F"/>
    <w:rsid w:val="008A16EA"/>
    <w:rsid w:val="008A17FB"/>
    <w:rsid w:val="008A18D2"/>
    <w:rsid w:val="008A1D64"/>
    <w:rsid w:val="008A1E28"/>
    <w:rsid w:val="008A1F4E"/>
    <w:rsid w:val="008A2619"/>
    <w:rsid w:val="008A27C9"/>
    <w:rsid w:val="008A2AD7"/>
    <w:rsid w:val="008A2BC1"/>
    <w:rsid w:val="008A2BE5"/>
    <w:rsid w:val="008A2E20"/>
    <w:rsid w:val="008A33F7"/>
    <w:rsid w:val="008A3897"/>
    <w:rsid w:val="008A3C80"/>
    <w:rsid w:val="008A3E27"/>
    <w:rsid w:val="008A3EBA"/>
    <w:rsid w:val="008A401D"/>
    <w:rsid w:val="008A460E"/>
    <w:rsid w:val="008A480E"/>
    <w:rsid w:val="008A4C3F"/>
    <w:rsid w:val="008A4CFB"/>
    <w:rsid w:val="008A4F4F"/>
    <w:rsid w:val="008A56C1"/>
    <w:rsid w:val="008A6071"/>
    <w:rsid w:val="008A61DA"/>
    <w:rsid w:val="008A6A68"/>
    <w:rsid w:val="008A711E"/>
    <w:rsid w:val="008A7197"/>
    <w:rsid w:val="008A7276"/>
    <w:rsid w:val="008A75A2"/>
    <w:rsid w:val="008A79C2"/>
    <w:rsid w:val="008A7E57"/>
    <w:rsid w:val="008B04F7"/>
    <w:rsid w:val="008B0945"/>
    <w:rsid w:val="008B0960"/>
    <w:rsid w:val="008B09A2"/>
    <w:rsid w:val="008B0E67"/>
    <w:rsid w:val="008B19F8"/>
    <w:rsid w:val="008B1EEB"/>
    <w:rsid w:val="008B1F70"/>
    <w:rsid w:val="008B1F95"/>
    <w:rsid w:val="008B21C6"/>
    <w:rsid w:val="008B2471"/>
    <w:rsid w:val="008B24B7"/>
    <w:rsid w:val="008B257D"/>
    <w:rsid w:val="008B2620"/>
    <w:rsid w:val="008B2735"/>
    <w:rsid w:val="008B27CC"/>
    <w:rsid w:val="008B2BAF"/>
    <w:rsid w:val="008B2F23"/>
    <w:rsid w:val="008B3152"/>
    <w:rsid w:val="008B318F"/>
    <w:rsid w:val="008B3300"/>
    <w:rsid w:val="008B3642"/>
    <w:rsid w:val="008B3C29"/>
    <w:rsid w:val="008B3F49"/>
    <w:rsid w:val="008B448A"/>
    <w:rsid w:val="008B4502"/>
    <w:rsid w:val="008B47B4"/>
    <w:rsid w:val="008B4A67"/>
    <w:rsid w:val="008B4CCE"/>
    <w:rsid w:val="008B4D47"/>
    <w:rsid w:val="008B529B"/>
    <w:rsid w:val="008B564A"/>
    <w:rsid w:val="008B56BD"/>
    <w:rsid w:val="008B5984"/>
    <w:rsid w:val="008B5A39"/>
    <w:rsid w:val="008B5F71"/>
    <w:rsid w:val="008B5FF9"/>
    <w:rsid w:val="008B6060"/>
    <w:rsid w:val="008B6121"/>
    <w:rsid w:val="008B6728"/>
    <w:rsid w:val="008B6CA2"/>
    <w:rsid w:val="008B6F5D"/>
    <w:rsid w:val="008B700B"/>
    <w:rsid w:val="008B726F"/>
    <w:rsid w:val="008B7837"/>
    <w:rsid w:val="008B788E"/>
    <w:rsid w:val="008C0285"/>
    <w:rsid w:val="008C0501"/>
    <w:rsid w:val="008C06E0"/>
    <w:rsid w:val="008C0849"/>
    <w:rsid w:val="008C0F08"/>
    <w:rsid w:val="008C15EE"/>
    <w:rsid w:val="008C193B"/>
    <w:rsid w:val="008C2719"/>
    <w:rsid w:val="008C2D52"/>
    <w:rsid w:val="008C326A"/>
    <w:rsid w:val="008C341E"/>
    <w:rsid w:val="008C3679"/>
    <w:rsid w:val="008C382F"/>
    <w:rsid w:val="008C3944"/>
    <w:rsid w:val="008C3A13"/>
    <w:rsid w:val="008C4760"/>
    <w:rsid w:val="008C56A0"/>
    <w:rsid w:val="008C5F56"/>
    <w:rsid w:val="008C613C"/>
    <w:rsid w:val="008C6A8F"/>
    <w:rsid w:val="008C7112"/>
    <w:rsid w:val="008C71B0"/>
    <w:rsid w:val="008C7F43"/>
    <w:rsid w:val="008D0465"/>
    <w:rsid w:val="008D0826"/>
    <w:rsid w:val="008D09F7"/>
    <w:rsid w:val="008D0C39"/>
    <w:rsid w:val="008D1033"/>
    <w:rsid w:val="008D123C"/>
    <w:rsid w:val="008D12F7"/>
    <w:rsid w:val="008D13D1"/>
    <w:rsid w:val="008D1705"/>
    <w:rsid w:val="008D1A99"/>
    <w:rsid w:val="008D1C29"/>
    <w:rsid w:val="008D1C7F"/>
    <w:rsid w:val="008D1DAE"/>
    <w:rsid w:val="008D1F1F"/>
    <w:rsid w:val="008D2012"/>
    <w:rsid w:val="008D20C7"/>
    <w:rsid w:val="008D24E6"/>
    <w:rsid w:val="008D266A"/>
    <w:rsid w:val="008D2A96"/>
    <w:rsid w:val="008D2E30"/>
    <w:rsid w:val="008D2EDB"/>
    <w:rsid w:val="008D2FDB"/>
    <w:rsid w:val="008D3438"/>
    <w:rsid w:val="008D3BBF"/>
    <w:rsid w:val="008D3E2A"/>
    <w:rsid w:val="008D3E56"/>
    <w:rsid w:val="008D40C1"/>
    <w:rsid w:val="008D4905"/>
    <w:rsid w:val="008D4C62"/>
    <w:rsid w:val="008D4CCD"/>
    <w:rsid w:val="008D4D47"/>
    <w:rsid w:val="008D526E"/>
    <w:rsid w:val="008D5624"/>
    <w:rsid w:val="008D56C4"/>
    <w:rsid w:val="008D5E3F"/>
    <w:rsid w:val="008D62DB"/>
    <w:rsid w:val="008D69F1"/>
    <w:rsid w:val="008D6A41"/>
    <w:rsid w:val="008D73E8"/>
    <w:rsid w:val="008D742E"/>
    <w:rsid w:val="008D787C"/>
    <w:rsid w:val="008D7BC6"/>
    <w:rsid w:val="008D7CFF"/>
    <w:rsid w:val="008D7E5E"/>
    <w:rsid w:val="008E0331"/>
    <w:rsid w:val="008E046F"/>
    <w:rsid w:val="008E047C"/>
    <w:rsid w:val="008E06D6"/>
    <w:rsid w:val="008E0701"/>
    <w:rsid w:val="008E0853"/>
    <w:rsid w:val="008E0869"/>
    <w:rsid w:val="008E0904"/>
    <w:rsid w:val="008E0ADC"/>
    <w:rsid w:val="008E0D21"/>
    <w:rsid w:val="008E0FAB"/>
    <w:rsid w:val="008E105C"/>
    <w:rsid w:val="008E1418"/>
    <w:rsid w:val="008E148D"/>
    <w:rsid w:val="008E154A"/>
    <w:rsid w:val="008E2090"/>
    <w:rsid w:val="008E2187"/>
    <w:rsid w:val="008E24D5"/>
    <w:rsid w:val="008E2F22"/>
    <w:rsid w:val="008E34F9"/>
    <w:rsid w:val="008E3BE3"/>
    <w:rsid w:val="008E3DF0"/>
    <w:rsid w:val="008E4124"/>
    <w:rsid w:val="008E416C"/>
    <w:rsid w:val="008E43DF"/>
    <w:rsid w:val="008E469F"/>
    <w:rsid w:val="008E47D4"/>
    <w:rsid w:val="008E48FE"/>
    <w:rsid w:val="008E5364"/>
    <w:rsid w:val="008E53C3"/>
    <w:rsid w:val="008E5489"/>
    <w:rsid w:val="008E587E"/>
    <w:rsid w:val="008E588C"/>
    <w:rsid w:val="008E59BA"/>
    <w:rsid w:val="008E5B55"/>
    <w:rsid w:val="008E60FA"/>
    <w:rsid w:val="008E62E1"/>
    <w:rsid w:val="008E6419"/>
    <w:rsid w:val="008E653F"/>
    <w:rsid w:val="008E6720"/>
    <w:rsid w:val="008E67CA"/>
    <w:rsid w:val="008E6DE2"/>
    <w:rsid w:val="008E6EAD"/>
    <w:rsid w:val="008E746B"/>
    <w:rsid w:val="008E74A6"/>
    <w:rsid w:val="008E78D4"/>
    <w:rsid w:val="008E7DD6"/>
    <w:rsid w:val="008E7E65"/>
    <w:rsid w:val="008F0278"/>
    <w:rsid w:val="008F0A29"/>
    <w:rsid w:val="008F0AB7"/>
    <w:rsid w:val="008F0C8E"/>
    <w:rsid w:val="008F0CCB"/>
    <w:rsid w:val="008F1622"/>
    <w:rsid w:val="008F176C"/>
    <w:rsid w:val="008F1B8E"/>
    <w:rsid w:val="008F1FFF"/>
    <w:rsid w:val="008F25DD"/>
    <w:rsid w:val="008F2A4D"/>
    <w:rsid w:val="008F2BEC"/>
    <w:rsid w:val="008F2F8C"/>
    <w:rsid w:val="008F3653"/>
    <w:rsid w:val="008F3782"/>
    <w:rsid w:val="008F3C5F"/>
    <w:rsid w:val="008F3DBA"/>
    <w:rsid w:val="008F3F3B"/>
    <w:rsid w:val="008F3F5E"/>
    <w:rsid w:val="008F418B"/>
    <w:rsid w:val="008F4553"/>
    <w:rsid w:val="008F48C2"/>
    <w:rsid w:val="008F4B96"/>
    <w:rsid w:val="008F4DEF"/>
    <w:rsid w:val="008F4F43"/>
    <w:rsid w:val="008F5036"/>
    <w:rsid w:val="008F52D4"/>
    <w:rsid w:val="008F5666"/>
    <w:rsid w:val="008F58AA"/>
    <w:rsid w:val="008F5F89"/>
    <w:rsid w:val="008F6BF5"/>
    <w:rsid w:val="008F6DE1"/>
    <w:rsid w:val="008F6E15"/>
    <w:rsid w:val="008F756D"/>
    <w:rsid w:val="008F75C5"/>
    <w:rsid w:val="008F769E"/>
    <w:rsid w:val="008F76AD"/>
    <w:rsid w:val="008F79E9"/>
    <w:rsid w:val="00900238"/>
    <w:rsid w:val="00900609"/>
    <w:rsid w:val="00900E37"/>
    <w:rsid w:val="00900EBA"/>
    <w:rsid w:val="00901209"/>
    <w:rsid w:val="009013BA"/>
    <w:rsid w:val="0090146F"/>
    <w:rsid w:val="00901632"/>
    <w:rsid w:val="00901707"/>
    <w:rsid w:val="00901BD7"/>
    <w:rsid w:val="00901F8E"/>
    <w:rsid w:val="00902098"/>
    <w:rsid w:val="0090222E"/>
    <w:rsid w:val="0090224D"/>
    <w:rsid w:val="009024B3"/>
    <w:rsid w:val="00902617"/>
    <w:rsid w:val="0090278C"/>
    <w:rsid w:val="009033A6"/>
    <w:rsid w:val="009034C2"/>
    <w:rsid w:val="009034E4"/>
    <w:rsid w:val="0090352D"/>
    <w:rsid w:val="009037A1"/>
    <w:rsid w:val="00903B4C"/>
    <w:rsid w:val="00903E6C"/>
    <w:rsid w:val="0090418A"/>
    <w:rsid w:val="0090423A"/>
    <w:rsid w:val="009046F3"/>
    <w:rsid w:val="009048F7"/>
    <w:rsid w:val="00904B5E"/>
    <w:rsid w:val="00904C52"/>
    <w:rsid w:val="00904E6D"/>
    <w:rsid w:val="00904F09"/>
    <w:rsid w:val="00904FA9"/>
    <w:rsid w:val="0090565F"/>
    <w:rsid w:val="009056FD"/>
    <w:rsid w:val="00905846"/>
    <w:rsid w:val="00906269"/>
    <w:rsid w:val="00906675"/>
    <w:rsid w:val="009068E5"/>
    <w:rsid w:val="00907251"/>
    <w:rsid w:val="00907542"/>
    <w:rsid w:val="0090761F"/>
    <w:rsid w:val="0090781C"/>
    <w:rsid w:val="0090793D"/>
    <w:rsid w:val="00907D14"/>
    <w:rsid w:val="00907E74"/>
    <w:rsid w:val="00910033"/>
    <w:rsid w:val="0091031F"/>
    <w:rsid w:val="00910700"/>
    <w:rsid w:val="00910E0D"/>
    <w:rsid w:val="00911021"/>
    <w:rsid w:val="00911185"/>
    <w:rsid w:val="009111B5"/>
    <w:rsid w:val="0091123E"/>
    <w:rsid w:val="0091161C"/>
    <w:rsid w:val="009116B7"/>
    <w:rsid w:val="00911871"/>
    <w:rsid w:val="009118CF"/>
    <w:rsid w:val="00911A97"/>
    <w:rsid w:val="0091226C"/>
    <w:rsid w:val="00912327"/>
    <w:rsid w:val="00912558"/>
    <w:rsid w:val="009135C7"/>
    <w:rsid w:val="00914287"/>
    <w:rsid w:val="009144A1"/>
    <w:rsid w:val="0091493F"/>
    <w:rsid w:val="00914A56"/>
    <w:rsid w:val="00914C9B"/>
    <w:rsid w:val="00914CDE"/>
    <w:rsid w:val="009153BB"/>
    <w:rsid w:val="009156EA"/>
    <w:rsid w:val="0091574A"/>
    <w:rsid w:val="00915C3D"/>
    <w:rsid w:val="00915C9C"/>
    <w:rsid w:val="00915DCA"/>
    <w:rsid w:val="00916171"/>
    <w:rsid w:val="0091648E"/>
    <w:rsid w:val="00916E6A"/>
    <w:rsid w:val="00916E7E"/>
    <w:rsid w:val="00916FAE"/>
    <w:rsid w:val="009170DD"/>
    <w:rsid w:val="00917154"/>
    <w:rsid w:val="009173C3"/>
    <w:rsid w:val="009174D0"/>
    <w:rsid w:val="00917AA0"/>
    <w:rsid w:val="00917B9A"/>
    <w:rsid w:val="009204AD"/>
    <w:rsid w:val="00920621"/>
    <w:rsid w:val="00920982"/>
    <w:rsid w:val="00920A05"/>
    <w:rsid w:val="00920D58"/>
    <w:rsid w:val="00920DF7"/>
    <w:rsid w:val="009210AE"/>
    <w:rsid w:val="0092119B"/>
    <w:rsid w:val="00921382"/>
    <w:rsid w:val="00921776"/>
    <w:rsid w:val="00921A91"/>
    <w:rsid w:val="00921B59"/>
    <w:rsid w:val="00921BDA"/>
    <w:rsid w:val="00921C5A"/>
    <w:rsid w:val="0092273F"/>
    <w:rsid w:val="00922D97"/>
    <w:rsid w:val="00922DDB"/>
    <w:rsid w:val="00923153"/>
    <w:rsid w:val="009235B5"/>
    <w:rsid w:val="0092367F"/>
    <w:rsid w:val="0092377E"/>
    <w:rsid w:val="0092381E"/>
    <w:rsid w:val="00923E3B"/>
    <w:rsid w:val="00924027"/>
    <w:rsid w:val="009241CA"/>
    <w:rsid w:val="00925104"/>
    <w:rsid w:val="00925512"/>
    <w:rsid w:val="009255D7"/>
    <w:rsid w:val="00925BCD"/>
    <w:rsid w:val="00926008"/>
    <w:rsid w:val="0092627E"/>
    <w:rsid w:val="009262F4"/>
    <w:rsid w:val="00926373"/>
    <w:rsid w:val="00926661"/>
    <w:rsid w:val="00926E52"/>
    <w:rsid w:val="009271A2"/>
    <w:rsid w:val="00927442"/>
    <w:rsid w:val="00927599"/>
    <w:rsid w:val="00927695"/>
    <w:rsid w:val="009276FD"/>
    <w:rsid w:val="00927B4C"/>
    <w:rsid w:val="00927E1D"/>
    <w:rsid w:val="00927FB6"/>
    <w:rsid w:val="00930235"/>
    <w:rsid w:val="009303A3"/>
    <w:rsid w:val="00930443"/>
    <w:rsid w:val="009308A0"/>
    <w:rsid w:val="00930BB1"/>
    <w:rsid w:val="00930D5A"/>
    <w:rsid w:val="00930FC5"/>
    <w:rsid w:val="009311EC"/>
    <w:rsid w:val="00931783"/>
    <w:rsid w:val="00931B31"/>
    <w:rsid w:val="00931BDD"/>
    <w:rsid w:val="00931CA8"/>
    <w:rsid w:val="00931F0E"/>
    <w:rsid w:val="009322D7"/>
    <w:rsid w:val="009325FE"/>
    <w:rsid w:val="009327CD"/>
    <w:rsid w:val="00932A73"/>
    <w:rsid w:val="00932C91"/>
    <w:rsid w:val="00932CA3"/>
    <w:rsid w:val="00933107"/>
    <w:rsid w:val="00933C38"/>
    <w:rsid w:val="00933D9C"/>
    <w:rsid w:val="0093412C"/>
    <w:rsid w:val="00934827"/>
    <w:rsid w:val="009348E6"/>
    <w:rsid w:val="00934C1A"/>
    <w:rsid w:val="0093527F"/>
    <w:rsid w:val="00935303"/>
    <w:rsid w:val="0093546E"/>
    <w:rsid w:val="009354C3"/>
    <w:rsid w:val="0093561A"/>
    <w:rsid w:val="00935828"/>
    <w:rsid w:val="009360E2"/>
    <w:rsid w:val="00936183"/>
    <w:rsid w:val="00936B2A"/>
    <w:rsid w:val="00936F8C"/>
    <w:rsid w:val="009370CC"/>
    <w:rsid w:val="009372B3"/>
    <w:rsid w:val="00937607"/>
    <w:rsid w:val="0094007D"/>
    <w:rsid w:val="009404CF"/>
    <w:rsid w:val="00940722"/>
    <w:rsid w:val="00940910"/>
    <w:rsid w:val="00940C75"/>
    <w:rsid w:val="009413DF"/>
    <w:rsid w:val="00941E00"/>
    <w:rsid w:val="00942001"/>
    <w:rsid w:val="00942055"/>
    <w:rsid w:val="009420B1"/>
    <w:rsid w:val="009421A5"/>
    <w:rsid w:val="00942407"/>
    <w:rsid w:val="00942A69"/>
    <w:rsid w:val="00942D42"/>
    <w:rsid w:val="009440EA"/>
    <w:rsid w:val="009446A0"/>
    <w:rsid w:val="00944A27"/>
    <w:rsid w:val="00944AA2"/>
    <w:rsid w:val="00944C92"/>
    <w:rsid w:val="00944F14"/>
    <w:rsid w:val="00944F92"/>
    <w:rsid w:val="00945602"/>
    <w:rsid w:val="0094576D"/>
    <w:rsid w:val="00945BD3"/>
    <w:rsid w:val="00946015"/>
    <w:rsid w:val="009460CD"/>
    <w:rsid w:val="009465DC"/>
    <w:rsid w:val="009466D3"/>
    <w:rsid w:val="0094697C"/>
    <w:rsid w:val="009469F3"/>
    <w:rsid w:val="00946D68"/>
    <w:rsid w:val="009470FA"/>
    <w:rsid w:val="00947204"/>
    <w:rsid w:val="00947348"/>
    <w:rsid w:val="00950354"/>
    <w:rsid w:val="00950A46"/>
    <w:rsid w:val="0095159A"/>
    <w:rsid w:val="009515B7"/>
    <w:rsid w:val="00951947"/>
    <w:rsid w:val="00951E57"/>
    <w:rsid w:val="009522AE"/>
    <w:rsid w:val="00952A3C"/>
    <w:rsid w:val="00952BB4"/>
    <w:rsid w:val="00952CB1"/>
    <w:rsid w:val="00953008"/>
    <w:rsid w:val="00953193"/>
    <w:rsid w:val="00953815"/>
    <w:rsid w:val="009540E5"/>
    <w:rsid w:val="00954126"/>
    <w:rsid w:val="00954176"/>
    <w:rsid w:val="00954301"/>
    <w:rsid w:val="00954543"/>
    <w:rsid w:val="00955379"/>
    <w:rsid w:val="009553D6"/>
    <w:rsid w:val="009562A5"/>
    <w:rsid w:val="009562E7"/>
    <w:rsid w:val="009563EA"/>
    <w:rsid w:val="009568B0"/>
    <w:rsid w:val="00956B8F"/>
    <w:rsid w:val="00956BE0"/>
    <w:rsid w:val="009573CA"/>
    <w:rsid w:val="009577F8"/>
    <w:rsid w:val="00957E7E"/>
    <w:rsid w:val="00957EA2"/>
    <w:rsid w:val="009602CB"/>
    <w:rsid w:val="009603DC"/>
    <w:rsid w:val="00960488"/>
    <w:rsid w:val="0096067B"/>
    <w:rsid w:val="0096097F"/>
    <w:rsid w:val="00960ABD"/>
    <w:rsid w:val="00960FEA"/>
    <w:rsid w:val="009611B7"/>
    <w:rsid w:val="00961297"/>
    <w:rsid w:val="009614C1"/>
    <w:rsid w:val="009615F0"/>
    <w:rsid w:val="00961A58"/>
    <w:rsid w:val="00961BCC"/>
    <w:rsid w:val="00961BD3"/>
    <w:rsid w:val="00961E56"/>
    <w:rsid w:val="00961EB7"/>
    <w:rsid w:val="00961EDE"/>
    <w:rsid w:val="009626DB"/>
    <w:rsid w:val="00962C6D"/>
    <w:rsid w:val="00962E52"/>
    <w:rsid w:val="00962F75"/>
    <w:rsid w:val="00963255"/>
    <w:rsid w:val="00963710"/>
    <w:rsid w:val="00963780"/>
    <w:rsid w:val="00963B73"/>
    <w:rsid w:val="00963BFF"/>
    <w:rsid w:val="00963DEC"/>
    <w:rsid w:val="00963F23"/>
    <w:rsid w:val="00963FAA"/>
    <w:rsid w:val="0096437E"/>
    <w:rsid w:val="00964884"/>
    <w:rsid w:val="00964BD5"/>
    <w:rsid w:val="00964FE7"/>
    <w:rsid w:val="00965150"/>
    <w:rsid w:val="00965262"/>
    <w:rsid w:val="009652A9"/>
    <w:rsid w:val="00965749"/>
    <w:rsid w:val="00965D56"/>
    <w:rsid w:val="00965EBF"/>
    <w:rsid w:val="00965FC7"/>
    <w:rsid w:val="009661AE"/>
    <w:rsid w:val="009663E6"/>
    <w:rsid w:val="009668BE"/>
    <w:rsid w:val="009668E3"/>
    <w:rsid w:val="00966B55"/>
    <w:rsid w:val="00966BF2"/>
    <w:rsid w:val="00966F06"/>
    <w:rsid w:val="00967641"/>
    <w:rsid w:val="00967CD6"/>
    <w:rsid w:val="00967CD7"/>
    <w:rsid w:val="00970454"/>
    <w:rsid w:val="00970760"/>
    <w:rsid w:val="00970946"/>
    <w:rsid w:val="00970BA0"/>
    <w:rsid w:val="00970C41"/>
    <w:rsid w:val="009710C7"/>
    <w:rsid w:val="0097119D"/>
    <w:rsid w:val="0097142B"/>
    <w:rsid w:val="00971458"/>
    <w:rsid w:val="00971718"/>
    <w:rsid w:val="00971C8D"/>
    <w:rsid w:val="009720E2"/>
    <w:rsid w:val="009721A2"/>
    <w:rsid w:val="0097269C"/>
    <w:rsid w:val="0097280F"/>
    <w:rsid w:val="00972A81"/>
    <w:rsid w:val="00972BA7"/>
    <w:rsid w:val="00972C81"/>
    <w:rsid w:val="00972F2C"/>
    <w:rsid w:val="00972F95"/>
    <w:rsid w:val="00973173"/>
    <w:rsid w:val="00973297"/>
    <w:rsid w:val="00973412"/>
    <w:rsid w:val="0097358E"/>
    <w:rsid w:val="0097391D"/>
    <w:rsid w:val="00973A66"/>
    <w:rsid w:val="00973A89"/>
    <w:rsid w:val="00973F50"/>
    <w:rsid w:val="0097408F"/>
    <w:rsid w:val="0097455C"/>
    <w:rsid w:val="00974689"/>
    <w:rsid w:val="009747D7"/>
    <w:rsid w:val="00974B44"/>
    <w:rsid w:val="00974E04"/>
    <w:rsid w:val="00974E93"/>
    <w:rsid w:val="0097508F"/>
    <w:rsid w:val="009754E4"/>
    <w:rsid w:val="00975977"/>
    <w:rsid w:val="00975A44"/>
    <w:rsid w:val="00975A7A"/>
    <w:rsid w:val="00976528"/>
    <w:rsid w:val="00976799"/>
    <w:rsid w:val="00976913"/>
    <w:rsid w:val="00976BD7"/>
    <w:rsid w:val="00976E8C"/>
    <w:rsid w:val="00977023"/>
    <w:rsid w:val="0097715E"/>
    <w:rsid w:val="00977167"/>
    <w:rsid w:val="009775C9"/>
    <w:rsid w:val="0097771E"/>
    <w:rsid w:val="00977830"/>
    <w:rsid w:val="00977CCD"/>
    <w:rsid w:val="00977DE0"/>
    <w:rsid w:val="00977F74"/>
    <w:rsid w:val="009800AE"/>
    <w:rsid w:val="00980220"/>
    <w:rsid w:val="009803DD"/>
    <w:rsid w:val="00980CE3"/>
    <w:rsid w:val="00980E1B"/>
    <w:rsid w:val="00980EC4"/>
    <w:rsid w:val="0098100F"/>
    <w:rsid w:val="009812E3"/>
    <w:rsid w:val="009815AC"/>
    <w:rsid w:val="009817FF"/>
    <w:rsid w:val="009819CD"/>
    <w:rsid w:val="00981AD9"/>
    <w:rsid w:val="00981C08"/>
    <w:rsid w:val="00981F2C"/>
    <w:rsid w:val="009821CE"/>
    <w:rsid w:val="0098270D"/>
    <w:rsid w:val="00982899"/>
    <w:rsid w:val="009828AC"/>
    <w:rsid w:val="00982A15"/>
    <w:rsid w:val="00982E92"/>
    <w:rsid w:val="009838AE"/>
    <w:rsid w:val="009839A3"/>
    <w:rsid w:val="00983C5E"/>
    <w:rsid w:val="00984389"/>
    <w:rsid w:val="009843F4"/>
    <w:rsid w:val="00984435"/>
    <w:rsid w:val="00984739"/>
    <w:rsid w:val="00984B24"/>
    <w:rsid w:val="00984CCE"/>
    <w:rsid w:val="00984D96"/>
    <w:rsid w:val="00984EFB"/>
    <w:rsid w:val="00985175"/>
    <w:rsid w:val="00985333"/>
    <w:rsid w:val="009854A1"/>
    <w:rsid w:val="00985DE8"/>
    <w:rsid w:val="00985F2B"/>
    <w:rsid w:val="00985F6E"/>
    <w:rsid w:val="0098659B"/>
    <w:rsid w:val="00986984"/>
    <w:rsid w:val="00986B82"/>
    <w:rsid w:val="00986D97"/>
    <w:rsid w:val="0098729C"/>
    <w:rsid w:val="0098733A"/>
    <w:rsid w:val="0098744C"/>
    <w:rsid w:val="0098759F"/>
    <w:rsid w:val="009901E1"/>
    <w:rsid w:val="0099062C"/>
    <w:rsid w:val="0099063F"/>
    <w:rsid w:val="009906F7"/>
    <w:rsid w:val="009909EE"/>
    <w:rsid w:val="00990C84"/>
    <w:rsid w:val="00991569"/>
    <w:rsid w:val="00991863"/>
    <w:rsid w:val="00991F7B"/>
    <w:rsid w:val="009923B6"/>
    <w:rsid w:val="00992C9C"/>
    <w:rsid w:val="00992FD1"/>
    <w:rsid w:val="009933E1"/>
    <w:rsid w:val="00993926"/>
    <w:rsid w:val="00993944"/>
    <w:rsid w:val="00993B58"/>
    <w:rsid w:val="00994251"/>
    <w:rsid w:val="009944CE"/>
    <w:rsid w:val="009945CA"/>
    <w:rsid w:val="009947E6"/>
    <w:rsid w:val="00994F65"/>
    <w:rsid w:val="00995A17"/>
    <w:rsid w:val="00995D92"/>
    <w:rsid w:val="00996063"/>
    <w:rsid w:val="009962B8"/>
    <w:rsid w:val="00996508"/>
    <w:rsid w:val="009965C8"/>
    <w:rsid w:val="00996A9D"/>
    <w:rsid w:val="00996F3C"/>
    <w:rsid w:val="00997989"/>
    <w:rsid w:val="00997B74"/>
    <w:rsid w:val="00997D7F"/>
    <w:rsid w:val="009A029A"/>
    <w:rsid w:val="009A0616"/>
    <w:rsid w:val="009A066D"/>
    <w:rsid w:val="009A06B9"/>
    <w:rsid w:val="009A0C3E"/>
    <w:rsid w:val="009A0EF0"/>
    <w:rsid w:val="009A1067"/>
    <w:rsid w:val="009A114B"/>
    <w:rsid w:val="009A1606"/>
    <w:rsid w:val="009A1A8D"/>
    <w:rsid w:val="009A1AE0"/>
    <w:rsid w:val="009A1CE0"/>
    <w:rsid w:val="009A1F73"/>
    <w:rsid w:val="009A32A1"/>
    <w:rsid w:val="009A34E0"/>
    <w:rsid w:val="009A3838"/>
    <w:rsid w:val="009A3C53"/>
    <w:rsid w:val="009A3D42"/>
    <w:rsid w:val="009A3ED6"/>
    <w:rsid w:val="009A3FC5"/>
    <w:rsid w:val="009A42FF"/>
    <w:rsid w:val="009A45E9"/>
    <w:rsid w:val="009A4AA5"/>
    <w:rsid w:val="009A4C50"/>
    <w:rsid w:val="009A4EED"/>
    <w:rsid w:val="009A523E"/>
    <w:rsid w:val="009A5857"/>
    <w:rsid w:val="009A59DE"/>
    <w:rsid w:val="009A5F6E"/>
    <w:rsid w:val="009A60D0"/>
    <w:rsid w:val="009A612E"/>
    <w:rsid w:val="009A621A"/>
    <w:rsid w:val="009A6620"/>
    <w:rsid w:val="009A6D06"/>
    <w:rsid w:val="009A6FD8"/>
    <w:rsid w:val="009A7091"/>
    <w:rsid w:val="009A76C0"/>
    <w:rsid w:val="009A7C20"/>
    <w:rsid w:val="009B0185"/>
    <w:rsid w:val="009B078D"/>
    <w:rsid w:val="009B08D1"/>
    <w:rsid w:val="009B09A1"/>
    <w:rsid w:val="009B0B8F"/>
    <w:rsid w:val="009B162C"/>
    <w:rsid w:val="009B167E"/>
    <w:rsid w:val="009B1762"/>
    <w:rsid w:val="009B204E"/>
    <w:rsid w:val="009B2336"/>
    <w:rsid w:val="009B25B2"/>
    <w:rsid w:val="009B29DB"/>
    <w:rsid w:val="009B29F5"/>
    <w:rsid w:val="009B2DBE"/>
    <w:rsid w:val="009B2EB6"/>
    <w:rsid w:val="009B32C6"/>
    <w:rsid w:val="009B3684"/>
    <w:rsid w:val="009B376A"/>
    <w:rsid w:val="009B387E"/>
    <w:rsid w:val="009B3E7E"/>
    <w:rsid w:val="009B3EDF"/>
    <w:rsid w:val="009B41FE"/>
    <w:rsid w:val="009B4ED2"/>
    <w:rsid w:val="009B564D"/>
    <w:rsid w:val="009B5C4C"/>
    <w:rsid w:val="009B638A"/>
    <w:rsid w:val="009B6927"/>
    <w:rsid w:val="009B6CE8"/>
    <w:rsid w:val="009B708F"/>
    <w:rsid w:val="009B72D7"/>
    <w:rsid w:val="009B730A"/>
    <w:rsid w:val="009B76BD"/>
    <w:rsid w:val="009B76BF"/>
    <w:rsid w:val="009B7A31"/>
    <w:rsid w:val="009C0030"/>
    <w:rsid w:val="009C015A"/>
    <w:rsid w:val="009C0325"/>
    <w:rsid w:val="009C056A"/>
    <w:rsid w:val="009C1E83"/>
    <w:rsid w:val="009C2060"/>
    <w:rsid w:val="009C2483"/>
    <w:rsid w:val="009C269C"/>
    <w:rsid w:val="009C26D5"/>
    <w:rsid w:val="009C2927"/>
    <w:rsid w:val="009C2D1A"/>
    <w:rsid w:val="009C3499"/>
    <w:rsid w:val="009C3D66"/>
    <w:rsid w:val="009C3D91"/>
    <w:rsid w:val="009C3FC8"/>
    <w:rsid w:val="009C44B3"/>
    <w:rsid w:val="009C46D1"/>
    <w:rsid w:val="009C479E"/>
    <w:rsid w:val="009C4C1C"/>
    <w:rsid w:val="009C4E38"/>
    <w:rsid w:val="009C4E85"/>
    <w:rsid w:val="009C5621"/>
    <w:rsid w:val="009C5684"/>
    <w:rsid w:val="009C56A7"/>
    <w:rsid w:val="009C6048"/>
    <w:rsid w:val="009C60C4"/>
    <w:rsid w:val="009C6A86"/>
    <w:rsid w:val="009C6AE8"/>
    <w:rsid w:val="009C6BD9"/>
    <w:rsid w:val="009C72AD"/>
    <w:rsid w:val="009C77E7"/>
    <w:rsid w:val="009C7C04"/>
    <w:rsid w:val="009C7F50"/>
    <w:rsid w:val="009D0341"/>
    <w:rsid w:val="009D096E"/>
    <w:rsid w:val="009D0A67"/>
    <w:rsid w:val="009D0A96"/>
    <w:rsid w:val="009D0C85"/>
    <w:rsid w:val="009D0F2A"/>
    <w:rsid w:val="009D0F89"/>
    <w:rsid w:val="009D1095"/>
    <w:rsid w:val="009D10AD"/>
    <w:rsid w:val="009D10D3"/>
    <w:rsid w:val="009D13A8"/>
    <w:rsid w:val="009D1447"/>
    <w:rsid w:val="009D14BB"/>
    <w:rsid w:val="009D1637"/>
    <w:rsid w:val="009D17FA"/>
    <w:rsid w:val="009D1849"/>
    <w:rsid w:val="009D1954"/>
    <w:rsid w:val="009D1AC2"/>
    <w:rsid w:val="009D1DA5"/>
    <w:rsid w:val="009D1DCA"/>
    <w:rsid w:val="009D211C"/>
    <w:rsid w:val="009D2125"/>
    <w:rsid w:val="009D2219"/>
    <w:rsid w:val="009D23BE"/>
    <w:rsid w:val="009D2858"/>
    <w:rsid w:val="009D3859"/>
    <w:rsid w:val="009D3E5B"/>
    <w:rsid w:val="009D3FC8"/>
    <w:rsid w:val="009D45E9"/>
    <w:rsid w:val="009D5417"/>
    <w:rsid w:val="009D5E0C"/>
    <w:rsid w:val="009D5E54"/>
    <w:rsid w:val="009D5EC5"/>
    <w:rsid w:val="009D6034"/>
    <w:rsid w:val="009D6113"/>
    <w:rsid w:val="009D612D"/>
    <w:rsid w:val="009D64E9"/>
    <w:rsid w:val="009D66D4"/>
    <w:rsid w:val="009D6EA3"/>
    <w:rsid w:val="009D757A"/>
    <w:rsid w:val="009D7771"/>
    <w:rsid w:val="009D7959"/>
    <w:rsid w:val="009D7C37"/>
    <w:rsid w:val="009D7E1E"/>
    <w:rsid w:val="009E04AE"/>
    <w:rsid w:val="009E0664"/>
    <w:rsid w:val="009E0683"/>
    <w:rsid w:val="009E1695"/>
    <w:rsid w:val="009E16BB"/>
    <w:rsid w:val="009E2193"/>
    <w:rsid w:val="009E2262"/>
    <w:rsid w:val="009E2378"/>
    <w:rsid w:val="009E2483"/>
    <w:rsid w:val="009E26DE"/>
    <w:rsid w:val="009E27B5"/>
    <w:rsid w:val="009E2E1D"/>
    <w:rsid w:val="009E2F80"/>
    <w:rsid w:val="009E3071"/>
    <w:rsid w:val="009E35EF"/>
    <w:rsid w:val="009E3718"/>
    <w:rsid w:val="009E3A8D"/>
    <w:rsid w:val="009E439A"/>
    <w:rsid w:val="009E48D6"/>
    <w:rsid w:val="009E5133"/>
    <w:rsid w:val="009E553A"/>
    <w:rsid w:val="009E5955"/>
    <w:rsid w:val="009E5961"/>
    <w:rsid w:val="009E5981"/>
    <w:rsid w:val="009E5A33"/>
    <w:rsid w:val="009E5F0A"/>
    <w:rsid w:val="009E6848"/>
    <w:rsid w:val="009E68C5"/>
    <w:rsid w:val="009E6979"/>
    <w:rsid w:val="009E6C6A"/>
    <w:rsid w:val="009E7402"/>
    <w:rsid w:val="009E74C8"/>
    <w:rsid w:val="009F02DF"/>
    <w:rsid w:val="009F04A4"/>
    <w:rsid w:val="009F04FD"/>
    <w:rsid w:val="009F0686"/>
    <w:rsid w:val="009F099B"/>
    <w:rsid w:val="009F0F00"/>
    <w:rsid w:val="009F17C8"/>
    <w:rsid w:val="009F1A4B"/>
    <w:rsid w:val="009F1F9D"/>
    <w:rsid w:val="009F22BE"/>
    <w:rsid w:val="009F230A"/>
    <w:rsid w:val="009F2366"/>
    <w:rsid w:val="009F28CD"/>
    <w:rsid w:val="009F2923"/>
    <w:rsid w:val="009F2960"/>
    <w:rsid w:val="009F2CB8"/>
    <w:rsid w:val="009F2DBC"/>
    <w:rsid w:val="009F2E43"/>
    <w:rsid w:val="009F2F05"/>
    <w:rsid w:val="009F312E"/>
    <w:rsid w:val="009F379A"/>
    <w:rsid w:val="009F37F4"/>
    <w:rsid w:val="009F3B43"/>
    <w:rsid w:val="009F3B9D"/>
    <w:rsid w:val="009F3BF3"/>
    <w:rsid w:val="009F488D"/>
    <w:rsid w:val="009F4985"/>
    <w:rsid w:val="009F4988"/>
    <w:rsid w:val="009F4A0A"/>
    <w:rsid w:val="009F4A65"/>
    <w:rsid w:val="009F4C4E"/>
    <w:rsid w:val="009F5197"/>
    <w:rsid w:val="009F5EDC"/>
    <w:rsid w:val="009F606C"/>
    <w:rsid w:val="009F658D"/>
    <w:rsid w:val="009F68BB"/>
    <w:rsid w:val="009F6C2A"/>
    <w:rsid w:val="009F7238"/>
    <w:rsid w:val="009F72D8"/>
    <w:rsid w:val="009F731D"/>
    <w:rsid w:val="009F74F6"/>
    <w:rsid w:val="009F75B0"/>
    <w:rsid w:val="009F768F"/>
    <w:rsid w:val="009F7899"/>
    <w:rsid w:val="009F7A2C"/>
    <w:rsid w:val="009F7EAC"/>
    <w:rsid w:val="009F7ED1"/>
    <w:rsid w:val="00A000B3"/>
    <w:rsid w:val="00A00393"/>
    <w:rsid w:val="00A0048B"/>
    <w:rsid w:val="00A00511"/>
    <w:rsid w:val="00A00EAD"/>
    <w:rsid w:val="00A012FC"/>
    <w:rsid w:val="00A0140C"/>
    <w:rsid w:val="00A01505"/>
    <w:rsid w:val="00A0188C"/>
    <w:rsid w:val="00A01983"/>
    <w:rsid w:val="00A020E4"/>
    <w:rsid w:val="00A02327"/>
    <w:rsid w:val="00A028B6"/>
    <w:rsid w:val="00A02A96"/>
    <w:rsid w:val="00A0306B"/>
    <w:rsid w:val="00A03376"/>
    <w:rsid w:val="00A0350B"/>
    <w:rsid w:val="00A035C1"/>
    <w:rsid w:val="00A03831"/>
    <w:rsid w:val="00A039FD"/>
    <w:rsid w:val="00A03A63"/>
    <w:rsid w:val="00A03AC1"/>
    <w:rsid w:val="00A03C94"/>
    <w:rsid w:val="00A04182"/>
    <w:rsid w:val="00A042F2"/>
    <w:rsid w:val="00A0452A"/>
    <w:rsid w:val="00A046F4"/>
    <w:rsid w:val="00A05206"/>
    <w:rsid w:val="00A0528D"/>
    <w:rsid w:val="00A052CA"/>
    <w:rsid w:val="00A052CD"/>
    <w:rsid w:val="00A05486"/>
    <w:rsid w:val="00A05527"/>
    <w:rsid w:val="00A056C8"/>
    <w:rsid w:val="00A05827"/>
    <w:rsid w:val="00A05FAD"/>
    <w:rsid w:val="00A06070"/>
    <w:rsid w:val="00A06271"/>
    <w:rsid w:val="00A0659F"/>
    <w:rsid w:val="00A06B89"/>
    <w:rsid w:val="00A06E45"/>
    <w:rsid w:val="00A07400"/>
    <w:rsid w:val="00A07CBB"/>
    <w:rsid w:val="00A105A3"/>
    <w:rsid w:val="00A106DD"/>
    <w:rsid w:val="00A1083D"/>
    <w:rsid w:val="00A10D9D"/>
    <w:rsid w:val="00A110BC"/>
    <w:rsid w:val="00A11145"/>
    <w:rsid w:val="00A11338"/>
    <w:rsid w:val="00A11626"/>
    <w:rsid w:val="00A119CB"/>
    <w:rsid w:val="00A11A2F"/>
    <w:rsid w:val="00A1216A"/>
    <w:rsid w:val="00A124CA"/>
    <w:rsid w:val="00A125E8"/>
    <w:rsid w:val="00A12A69"/>
    <w:rsid w:val="00A12DA3"/>
    <w:rsid w:val="00A131EB"/>
    <w:rsid w:val="00A13383"/>
    <w:rsid w:val="00A13872"/>
    <w:rsid w:val="00A1415D"/>
    <w:rsid w:val="00A141EC"/>
    <w:rsid w:val="00A142A1"/>
    <w:rsid w:val="00A14342"/>
    <w:rsid w:val="00A145EE"/>
    <w:rsid w:val="00A14652"/>
    <w:rsid w:val="00A14B09"/>
    <w:rsid w:val="00A14B91"/>
    <w:rsid w:val="00A15073"/>
    <w:rsid w:val="00A152EB"/>
    <w:rsid w:val="00A15308"/>
    <w:rsid w:val="00A15449"/>
    <w:rsid w:val="00A155FC"/>
    <w:rsid w:val="00A157E6"/>
    <w:rsid w:val="00A15836"/>
    <w:rsid w:val="00A15E0A"/>
    <w:rsid w:val="00A15F6C"/>
    <w:rsid w:val="00A165B6"/>
    <w:rsid w:val="00A16812"/>
    <w:rsid w:val="00A16BD5"/>
    <w:rsid w:val="00A17286"/>
    <w:rsid w:val="00A17457"/>
    <w:rsid w:val="00A17BC5"/>
    <w:rsid w:val="00A17E75"/>
    <w:rsid w:val="00A17FFC"/>
    <w:rsid w:val="00A202C0"/>
    <w:rsid w:val="00A2045A"/>
    <w:rsid w:val="00A2057E"/>
    <w:rsid w:val="00A20791"/>
    <w:rsid w:val="00A2088E"/>
    <w:rsid w:val="00A20AF0"/>
    <w:rsid w:val="00A20C49"/>
    <w:rsid w:val="00A20EB3"/>
    <w:rsid w:val="00A21042"/>
    <w:rsid w:val="00A21051"/>
    <w:rsid w:val="00A213E7"/>
    <w:rsid w:val="00A218F3"/>
    <w:rsid w:val="00A219A5"/>
    <w:rsid w:val="00A21AC1"/>
    <w:rsid w:val="00A21B54"/>
    <w:rsid w:val="00A2210D"/>
    <w:rsid w:val="00A22138"/>
    <w:rsid w:val="00A225BC"/>
    <w:rsid w:val="00A232EB"/>
    <w:rsid w:val="00A2351A"/>
    <w:rsid w:val="00A236A9"/>
    <w:rsid w:val="00A236CB"/>
    <w:rsid w:val="00A236E6"/>
    <w:rsid w:val="00A2386F"/>
    <w:rsid w:val="00A23947"/>
    <w:rsid w:val="00A23AA6"/>
    <w:rsid w:val="00A23EB1"/>
    <w:rsid w:val="00A246AF"/>
    <w:rsid w:val="00A24899"/>
    <w:rsid w:val="00A248AF"/>
    <w:rsid w:val="00A248BF"/>
    <w:rsid w:val="00A24A0E"/>
    <w:rsid w:val="00A24D6E"/>
    <w:rsid w:val="00A250F8"/>
    <w:rsid w:val="00A25939"/>
    <w:rsid w:val="00A25991"/>
    <w:rsid w:val="00A25BC3"/>
    <w:rsid w:val="00A25DBD"/>
    <w:rsid w:val="00A25E48"/>
    <w:rsid w:val="00A2648E"/>
    <w:rsid w:val="00A265CF"/>
    <w:rsid w:val="00A26BB0"/>
    <w:rsid w:val="00A26FD3"/>
    <w:rsid w:val="00A26FEB"/>
    <w:rsid w:val="00A2718C"/>
    <w:rsid w:val="00A2737D"/>
    <w:rsid w:val="00A2740E"/>
    <w:rsid w:val="00A27614"/>
    <w:rsid w:val="00A277C1"/>
    <w:rsid w:val="00A27B73"/>
    <w:rsid w:val="00A30160"/>
    <w:rsid w:val="00A30165"/>
    <w:rsid w:val="00A3016A"/>
    <w:rsid w:val="00A3024F"/>
    <w:rsid w:val="00A30ACF"/>
    <w:rsid w:val="00A30C40"/>
    <w:rsid w:val="00A31A57"/>
    <w:rsid w:val="00A31D97"/>
    <w:rsid w:val="00A31E6B"/>
    <w:rsid w:val="00A321A8"/>
    <w:rsid w:val="00A3241A"/>
    <w:rsid w:val="00A32A55"/>
    <w:rsid w:val="00A32D8F"/>
    <w:rsid w:val="00A33415"/>
    <w:rsid w:val="00A33D64"/>
    <w:rsid w:val="00A341AB"/>
    <w:rsid w:val="00A3430B"/>
    <w:rsid w:val="00A34D9C"/>
    <w:rsid w:val="00A3584F"/>
    <w:rsid w:val="00A3627D"/>
    <w:rsid w:val="00A362D9"/>
    <w:rsid w:val="00A363DF"/>
    <w:rsid w:val="00A36663"/>
    <w:rsid w:val="00A3668B"/>
    <w:rsid w:val="00A3669A"/>
    <w:rsid w:val="00A367F2"/>
    <w:rsid w:val="00A36954"/>
    <w:rsid w:val="00A36A92"/>
    <w:rsid w:val="00A36B76"/>
    <w:rsid w:val="00A36EFB"/>
    <w:rsid w:val="00A37205"/>
    <w:rsid w:val="00A3785B"/>
    <w:rsid w:val="00A3795B"/>
    <w:rsid w:val="00A400CB"/>
    <w:rsid w:val="00A4019C"/>
    <w:rsid w:val="00A40484"/>
    <w:rsid w:val="00A405A7"/>
    <w:rsid w:val="00A40977"/>
    <w:rsid w:val="00A40C25"/>
    <w:rsid w:val="00A40DB1"/>
    <w:rsid w:val="00A4102B"/>
    <w:rsid w:val="00A41146"/>
    <w:rsid w:val="00A419FC"/>
    <w:rsid w:val="00A41A65"/>
    <w:rsid w:val="00A41B8A"/>
    <w:rsid w:val="00A42026"/>
    <w:rsid w:val="00A422F3"/>
    <w:rsid w:val="00A42370"/>
    <w:rsid w:val="00A4268A"/>
    <w:rsid w:val="00A42C62"/>
    <w:rsid w:val="00A43D6D"/>
    <w:rsid w:val="00A44395"/>
    <w:rsid w:val="00A44435"/>
    <w:rsid w:val="00A44583"/>
    <w:rsid w:val="00A4463E"/>
    <w:rsid w:val="00A4497C"/>
    <w:rsid w:val="00A45373"/>
    <w:rsid w:val="00A454AC"/>
    <w:rsid w:val="00A45591"/>
    <w:rsid w:val="00A45602"/>
    <w:rsid w:val="00A45775"/>
    <w:rsid w:val="00A458E1"/>
    <w:rsid w:val="00A45C42"/>
    <w:rsid w:val="00A460BF"/>
    <w:rsid w:val="00A467E2"/>
    <w:rsid w:val="00A4698A"/>
    <w:rsid w:val="00A46C0E"/>
    <w:rsid w:val="00A46C5D"/>
    <w:rsid w:val="00A46D3C"/>
    <w:rsid w:val="00A46F75"/>
    <w:rsid w:val="00A46F7D"/>
    <w:rsid w:val="00A47156"/>
    <w:rsid w:val="00A47459"/>
    <w:rsid w:val="00A47A36"/>
    <w:rsid w:val="00A502DC"/>
    <w:rsid w:val="00A50356"/>
    <w:rsid w:val="00A50D52"/>
    <w:rsid w:val="00A50EDD"/>
    <w:rsid w:val="00A512D0"/>
    <w:rsid w:val="00A512E2"/>
    <w:rsid w:val="00A51374"/>
    <w:rsid w:val="00A51846"/>
    <w:rsid w:val="00A51ACB"/>
    <w:rsid w:val="00A51B0F"/>
    <w:rsid w:val="00A51DA1"/>
    <w:rsid w:val="00A51E42"/>
    <w:rsid w:val="00A520D9"/>
    <w:rsid w:val="00A52214"/>
    <w:rsid w:val="00A52941"/>
    <w:rsid w:val="00A52D9E"/>
    <w:rsid w:val="00A52DA3"/>
    <w:rsid w:val="00A52F51"/>
    <w:rsid w:val="00A53335"/>
    <w:rsid w:val="00A53350"/>
    <w:rsid w:val="00A545A4"/>
    <w:rsid w:val="00A54617"/>
    <w:rsid w:val="00A54828"/>
    <w:rsid w:val="00A54E54"/>
    <w:rsid w:val="00A55124"/>
    <w:rsid w:val="00A5535B"/>
    <w:rsid w:val="00A5544A"/>
    <w:rsid w:val="00A55719"/>
    <w:rsid w:val="00A55B79"/>
    <w:rsid w:val="00A55DE8"/>
    <w:rsid w:val="00A56B75"/>
    <w:rsid w:val="00A56FBF"/>
    <w:rsid w:val="00A571CB"/>
    <w:rsid w:val="00A57302"/>
    <w:rsid w:val="00A57588"/>
    <w:rsid w:val="00A57695"/>
    <w:rsid w:val="00A57AFB"/>
    <w:rsid w:val="00A57D1D"/>
    <w:rsid w:val="00A6026D"/>
    <w:rsid w:val="00A6064E"/>
    <w:rsid w:val="00A60A46"/>
    <w:rsid w:val="00A60E37"/>
    <w:rsid w:val="00A60E96"/>
    <w:rsid w:val="00A612E2"/>
    <w:rsid w:val="00A6187E"/>
    <w:rsid w:val="00A619E8"/>
    <w:rsid w:val="00A61B1B"/>
    <w:rsid w:val="00A61D45"/>
    <w:rsid w:val="00A62074"/>
    <w:rsid w:val="00A6251C"/>
    <w:rsid w:val="00A62570"/>
    <w:rsid w:val="00A62AB8"/>
    <w:rsid w:val="00A62E36"/>
    <w:rsid w:val="00A62E5A"/>
    <w:rsid w:val="00A6340C"/>
    <w:rsid w:val="00A63C00"/>
    <w:rsid w:val="00A63D9C"/>
    <w:rsid w:val="00A64954"/>
    <w:rsid w:val="00A64A1E"/>
    <w:rsid w:val="00A64AB7"/>
    <w:rsid w:val="00A65771"/>
    <w:rsid w:val="00A65AF9"/>
    <w:rsid w:val="00A65BD9"/>
    <w:rsid w:val="00A65D0C"/>
    <w:rsid w:val="00A65F66"/>
    <w:rsid w:val="00A660B0"/>
    <w:rsid w:val="00A661B5"/>
    <w:rsid w:val="00A66B85"/>
    <w:rsid w:val="00A66B88"/>
    <w:rsid w:val="00A66CF2"/>
    <w:rsid w:val="00A66EC3"/>
    <w:rsid w:val="00A670C8"/>
    <w:rsid w:val="00A671FE"/>
    <w:rsid w:val="00A6728F"/>
    <w:rsid w:val="00A70136"/>
    <w:rsid w:val="00A70367"/>
    <w:rsid w:val="00A70581"/>
    <w:rsid w:val="00A70706"/>
    <w:rsid w:val="00A707C4"/>
    <w:rsid w:val="00A70A14"/>
    <w:rsid w:val="00A70B49"/>
    <w:rsid w:val="00A70C5F"/>
    <w:rsid w:val="00A70C98"/>
    <w:rsid w:val="00A70E54"/>
    <w:rsid w:val="00A70F65"/>
    <w:rsid w:val="00A710D9"/>
    <w:rsid w:val="00A71641"/>
    <w:rsid w:val="00A71A41"/>
    <w:rsid w:val="00A71FB5"/>
    <w:rsid w:val="00A72223"/>
    <w:rsid w:val="00A724B0"/>
    <w:rsid w:val="00A72653"/>
    <w:rsid w:val="00A726F7"/>
    <w:rsid w:val="00A72E3C"/>
    <w:rsid w:val="00A7300B"/>
    <w:rsid w:val="00A7349C"/>
    <w:rsid w:val="00A738BE"/>
    <w:rsid w:val="00A73DD0"/>
    <w:rsid w:val="00A73E9C"/>
    <w:rsid w:val="00A740E5"/>
    <w:rsid w:val="00A74263"/>
    <w:rsid w:val="00A74387"/>
    <w:rsid w:val="00A74592"/>
    <w:rsid w:val="00A74739"/>
    <w:rsid w:val="00A74AEE"/>
    <w:rsid w:val="00A7501F"/>
    <w:rsid w:val="00A757EE"/>
    <w:rsid w:val="00A75D2B"/>
    <w:rsid w:val="00A75DF3"/>
    <w:rsid w:val="00A75F6F"/>
    <w:rsid w:val="00A7600F"/>
    <w:rsid w:val="00A761D8"/>
    <w:rsid w:val="00A764AE"/>
    <w:rsid w:val="00A76544"/>
    <w:rsid w:val="00A765CE"/>
    <w:rsid w:val="00A767FB"/>
    <w:rsid w:val="00A7723E"/>
    <w:rsid w:val="00A7742D"/>
    <w:rsid w:val="00A7754F"/>
    <w:rsid w:val="00A7760B"/>
    <w:rsid w:val="00A7761E"/>
    <w:rsid w:val="00A77871"/>
    <w:rsid w:val="00A77AF6"/>
    <w:rsid w:val="00A77C95"/>
    <w:rsid w:val="00A804F0"/>
    <w:rsid w:val="00A8053F"/>
    <w:rsid w:val="00A8072C"/>
    <w:rsid w:val="00A8096D"/>
    <w:rsid w:val="00A80B34"/>
    <w:rsid w:val="00A817E5"/>
    <w:rsid w:val="00A81A4A"/>
    <w:rsid w:val="00A81A99"/>
    <w:rsid w:val="00A81C01"/>
    <w:rsid w:val="00A81DB5"/>
    <w:rsid w:val="00A81EE6"/>
    <w:rsid w:val="00A821DB"/>
    <w:rsid w:val="00A822C7"/>
    <w:rsid w:val="00A82B09"/>
    <w:rsid w:val="00A82D48"/>
    <w:rsid w:val="00A8318D"/>
    <w:rsid w:val="00A8330C"/>
    <w:rsid w:val="00A835CB"/>
    <w:rsid w:val="00A83BB7"/>
    <w:rsid w:val="00A83E44"/>
    <w:rsid w:val="00A83FD1"/>
    <w:rsid w:val="00A8444D"/>
    <w:rsid w:val="00A844B3"/>
    <w:rsid w:val="00A84A48"/>
    <w:rsid w:val="00A84CB2"/>
    <w:rsid w:val="00A84D47"/>
    <w:rsid w:val="00A85036"/>
    <w:rsid w:val="00A8505E"/>
    <w:rsid w:val="00A8519F"/>
    <w:rsid w:val="00A85343"/>
    <w:rsid w:val="00A8590B"/>
    <w:rsid w:val="00A85984"/>
    <w:rsid w:val="00A864F2"/>
    <w:rsid w:val="00A86747"/>
    <w:rsid w:val="00A869BB"/>
    <w:rsid w:val="00A86AD2"/>
    <w:rsid w:val="00A86DF9"/>
    <w:rsid w:val="00A8741A"/>
    <w:rsid w:val="00A874DE"/>
    <w:rsid w:val="00A87CE9"/>
    <w:rsid w:val="00A902F6"/>
    <w:rsid w:val="00A9046D"/>
    <w:rsid w:val="00A90906"/>
    <w:rsid w:val="00A90B79"/>
    <w:rsid w:val="00A90F87"/>
    <w:rsid w:val="00A916C4"/>
    <w:rsid w:val="00A91A52"/>
    <w:rsid w:val="00A91FC1"/>
    <w:rsid w:val="00A92019"/>
    <w:rsid w:val="00A92C7B"/>
    <w:rsid w:val="00A92D2C"/>
    <w:rsid w:val="00A92D7C"/>
    <w:rsid w:val="00A92F11"/>
    <w:rsid w:val="00A930F1"/>
    <w:rsid w:val="00A93329"/>
    <w:rsid w:val="00A93978"/>
    <w:rsid w:val="00A93A7C"/>
    <w:rsid w:val="00A94223"/>
    <w:rsid w:val="00A94FC9"/>
    <w:rsid w:val="00A95538"/>
    <w:rsid w:val="00A9556C"/>
    <w:rsid w:val="00A95626"/>
    <w:rsid w:val="00A959FE"/>
    <w:rsid w:val="00A95CA4"/>
    <w:rsid w:val="00A95EF2"/>
    <w:rsid w:val="00A96121"/>
    <w:rsid w:val="00A96477"/>
    <w:rsid w:val="00A96498"/>
    <w:rsid w:val="00A96606"/>
    <w:rsid w:val="00A96638"/>
    <w:rsid w:val="00A96913"/>
    <w:rsid w:val="00A96B07"/>
    <w:rsid w:val="00A970A3"/>
    <w:rsid w:val="00A971E7"/>
    <w:rsid w:val="00A972E6"/>
    <w:rsid w:val="00A97473"/>
    <w:rsid w:val="00A97774"/>
    <w:rsid w:val="00A9799D"/>
    <w:rsid w:val="00A97C7F"/>
    <w:rsid w:val="00A97DDB"/>
    <w:rsid w:val="00A97ED7"/>
    <w:rsid w:val="00A97FF1"/>
    <w:rsid w:val="00AA057E"/>
    <w:rsid w:val="00AA071D"/>
    <w:rsid w:val="00AA0C20"/>
    <w:rsid w:val="00AA1049"/>
    <w:rsid w:val="00AA111E"/>
    <w:rsid w:val="00AA1270"/>
    <w:rsid w:val="00AA12FD"/>
    <w:rsid w:val="00AA18E3"/>
    <w:rsid w:val="00AA1B7A"/>
    <w:rsid w:val="00AA1B83"/>
    <w:rsid w:val="00AA1BB5"/>
    <w:rsid w:val="00AA1F0F"/>
    <w:rsid w:val="00AA1F9E"/>
    <w:rsid w:val="00AA2301"/>
    <w:rsid w:val="00AA2A5A"/>
    <w:rsid w:val="00AA320D"/>
    <w:rsid w:val="00AA35DA"/>
    <w:rsid w:val="00AA3904"/>
    <w:rsid w:val="00AA39C5"/>
    <w:rsid w:val="00AA3D2C"/>
    <w:rsid w:val="00AA3FDB"/>
    <w:rsid w:val="00AA405C"/>
    <w:rsid w:val="00AA42AA"/>
    <w:rsid w:val="00AA442B"/>
    <w:rsid w:val="00AA4548"/>
    <w:rsid w:val="00AA46D6"/>
    <w:rsid w:val="00AA4ACC"/>
    <w:rsid w:val="00AA4DB7"/>
    <w:rsid w:val="00AA4E5D"/>
    <w:rsid w:val="00AA4F22"/>
    <w:rsid w:val="00AA5513"/>
    <w:rsid w:val="00AA56F5"/>
    <w:rsid w:val="00AA5915"/>
    <w:rsid w:val="00AA5BAE"/>
    <w:rsid w:val="00AA5D4F"/>
    <w:rsid w:val="00AA6498"/>
    <w:rsid w:val="00AA64D7"/>
    <w:rsid w:val="00AA64FB"/>
    <w:rsid w:val="00AA6CEA"/>
    <w:rsid w:val="00AA70D9"/>
    <w:rsid w:val="00AA7159"/>
    <w:rsid w:val="00AA7194"/>
    <w:rsid w:val="00AA7299"/>
    <w:rsid w:val="00AA74D2"/>
    <w:rsid w:val="00AB04FE"/>
    <w:rsid w:val="00AB0503"/>
    <w:rsid w:val="00AB0BBF"/>
    <w:rsid w:val="00AB0D3A"/>
    <w:rsid w:val="00AB0DF1"/>
    <w:rsid w:val="00AB1B41"/>
    <w:rsid w:val="00AB21F0"/>
    <w:rsid w:val="00AB25FA"/>
    <w:rsid w:val="00AB2AF8"/>
    <w:rsid w:val="00AB2C33"/>
    <w:rsid w:val="00AB2F71"/>
    <w:rsid w:val="00AB304D"/>
    <w:rsid w:val="00AB387E"/>
    <w:rsid w:val="00AB3A14"/>
    <w:rsid w:val="00AB3AAE"/>
    <w:rsid w:val="00AB41E5"/>
    <w:rsid w:val="00AB41EA"/>
    <w:rsid w:val="00AB426A"/>
    <w:rsid w:val="00AB4746"/>
    <w:rsid w:val="00AB475D"/>
    <w:rsid w:val="00AB48E2"/>
    <w:rsid w:val="00AB4965"/>
    <w:rsid w:val="00AB4E19"/>
    <w:rsid w:val="00AB5B55"/>
    <w:rsid w:val="00AB5BBF"/>
    <w:rsid w:val="00AB5C22"/>
    <w:rsid w:val="00AB5E89"/>
    <w:rsid w:val="00AB5EFD"/>
    <w:rsid w:val="00AB603D"/>
    <w:rsid w:val="00AB6195"/>
    <w:rsid w:val="00AB648D"/>
    <w:rsid w:val="00AB65A2"/>
    <w:rsid w:val="00AB65D0"/>
    <w:rsid w:val="00AB6C4E"/>
    <w:rsid w:val="00AB7270"/>
    <w:rsid w:val="00AB7D3E"/>
    <w:rsid w:val="00AB7F86"/>
    <w:rsid w:val="00AB7FB6"/>
    <w:rsid w:val="00AC01DA"/>
    <w:rsid w:val="00AC0413"/>
    <w:rsid w:val="00AC0456"/>
    <w:rsid w:val="00AC0BFC"/>
    <w:rsid w:val="00AC0C85"/>
    <w:rsid w:val="00AC0E5E"/>
    <w:rsid w:val="00AC1175"/>
    <w:rsid w:val="00AC1565"/>
    <w:rsid w:val="00AC193B"/>
    <w:rsid w:val="00AC1C80"/>
    <w:rsid w:val="00AC1D30"/>
    <w:rsid w:val="00AC1F7A"/>
    <w:rsid w:val="00AC2543"/>
    <w:rsid w:val="00AC2604"/>
    <w:rsid w:val="00AC2713"/>
    <w:rsid w:val="00AC2900"/>
    <w:rsid w:val="00AC29C6"/>
    <w:rsid w:val="00AC2A9D"/>
    <w:rsid w:val="00AC3086"/>
    <w:rsid w:val="00AC339A"/>
    <w:rsid w:val="00AC3A29"/>
    <w:rsid w:val="00AC3BB8"/>
    <w:rsid w:val="00AC43C9"/>
    <w:rsid w:val="00AC450C"/>
    <w:rsid w:val="00AC4813"/>
    <w:rsid w:val="00AC4E9D"/>
    <w:rsid w:val="00AC5067"/>
    <w:rsid w:val="00AC51BF"/>
    <w:rsid w:val="00AC58AF"/>
    <w:rsid w:val="00AC58E6"/>
    <w:rsid w:val="00AC5B24"/>
    <w:rsid w:val="00AC5BEE"/>
    <w:rsid w:val="00AC5C01"/>
    <w:rsid w:val="00AC5CD7"/>
    <w:rsid w:val="00AC5F62"/>
    <w:rsid w:val="00AC6138"/>
    <w:rsid w:val="00AC63EF"/>
    <w:rsid w:val="00AC6B40"/>
    <w:rsid w:val="00AC71A2"/>
    <w:rsid w:val="00AC78A3"/>
    <w:rsid w:val="00AC7B0D"/>
    <w:rsid w:val="00AC7CBC"/>
    <w:rsid w:val="00AD0113"/>
    <w:rsid w:val="00AD0197"/>
    <w:rsid w:val="00AD09DC"/>
    <w:rsid w:val="00AD0E99"/>
    <w:rsid w:val="00AD10B5"/>
    <w:rsid w:val="00AD13F7"/>
    <w:rsid w:val="00AD19D8"/>
    <w:rsid w:val="00AD1A9A"/>
    <w:rsid w:val="00AD2046"/>
    <w:rsid w:val="00AD237E"/>
    <w:rsid w:val="00AD25DB"/>
    <w:rsid w:val="00AD2685"/>
    <w:rsid w:val="00AD2860"/>
    <w:rsid w:val="00AD294C"/>
    <w:rsid w:val="00AD2965"/>
    <w:rsid w:val="00AD2BC2"/>
    <w:rsid w:val="00AD35CD"/>
    <w:rsid w:val="00AD3724"/>
    <w:rsid w:val="00AD4E73"/>
    <w:rsid w:val="00AD5052"/>
    <w:rsid w:val="00AD51CB"/>
    <w:rsid w:val="00AD54AD"/>
    <w:rsid w:val="00AD55C1"/>
    <w:rsid w:val="00AD57A9"/>
    <w:rsid w:val="00AD5FCC"/>
    <w:rsid w:val="00AD627C"/>
    <w:rsid w:val="00AD6589"/>
    <w:rsid w:val="00AD665A"/>
    <w:rsid w:val="00AD6662"/>
    <w:rsid w:val="00AD68DF"/>
    <w:rsid w:val="00AD695E"/>
    <w:rsid w:val="00AD7514"/>
    <w:rsid w:val="00AD7B47"/>
    <w:rsid w:val="00AD7BCF"/>
    <w:rsid w:val="00AD7D9C"/>
    <w:rsid w:val="00AD7F83"/>
    <w:rsid w:val="00AE02C9"/>
    <w:rsid w:val="00AE047D"/>
    <w:rsid w:val="00AE04EB"/>
    <w:rsid w:val="00AE0713"/>
    <w:rsid w:val="00AE077B"/>
    <w:rsid w:val="00AE0DAB"/>
    <w:rsid w:val="00AE121F"/>
    <w:rsid w:val="00AE15B1"/>
    <w:rsid w:val="00AE1694"/>
    <w:rsid w:val="00AE18DB"/>
    <w:rsid w:val="00AE19A2"/>
    <w:rsid w:val="00AE1A82"/>
    <w:rsid w:val="00AE1CA8"/>
    <w:rsid w:val="00AE21CF"/>
    <w:rsid w:val="00AE24DE"/>
    <w:rsid w:val="00AE2976"/>
    <w:rsid w:val="00AE30A9"/>
    <w:rsid w:val="00AE3139"/>
    <w:rsid w:val="00AE3C48"/>
    <w:rsid w:val="00AE3DAE"/>
    <w:rsid w:val="00AE4132"/>
    <w:rsid w:val="00AE417F"/>
    <w:rsid w:val="00AE43C7"/>
    <w:rsid w:val="00AE47C3"/>
    <w:rsid w:val="00AE4A70"/>
    <w:rsid w:val="00AE4BB4"/>
    <w:rsid w:val="00AE51F7"/>
    <w:rsid w:val="00AE53E6"/>
    <w:rsid w:val="00AE5667"/>
    <w:rsid w:val="00AE5C0C"/>
    <w:rsid w:val="00AE5C25"/>
    <w:rsid w:val="00AE661F"/>
    <w:rsid w:val="00AE683E"/>
    <w:rsid w:val="00AE6A85"/>
    <w:rsid w:val="00AE6C1D"/>
    <w:rsid w:val="00AE6EF7"/>
    <w:rsid w:val="00AE6F52"/>
    <w:rsid w:val="00AE7485"/>
    <w:rsid w:val="00AE749D"/>
    <w:rsid w:val="00AE75A8"/>
    <w:rsid w:val="00AE7621"/>
    <w:rsid w:val="00AE79B9"/>
    <w:rsid w:val="00AE7DC2"/>
    <w:rsid w:val="00AE7DDB"/>
    <w:rsid w:val="00AF015D"/>
    <w:rsid w:val="00AF0371"/>
    <w:rsid w:val="00AF0612"/>
    <w:rsid w:val="00AF1439"/>
    <w:rsid w:val="00AF18E2"/>
    <w:rsid w:val="00AF1A31"/>
    <w:rsid w:val="00AF22A7"/>
    <w:rsid w:val="00AF22C3"/>
    <w:rsid w:val="00AF28C4"/>
    <w:rsid w:val="00AF2AAE"/>
    <w:rsid w:val="00AF2B65"/>
    <w:rsid w:val="00AF424A"/>
    <w:rsid w:val="00AF429E"/>
    <w:rsid w:val="00AF46AF"/>
    <w:rsid w:val="00AF4A79"/>
    <w:rsid w:val="00AF4D0D"/>
    <w:rsid w:val="00AF5344"/>
    <w:rsid w:val="00AF5F58"/>
    <w:rsid w:val="00AF641B"/>
    <w:rsid w:val="00AF64FD"/>
    <w:rsid w:val="00AF6557"/>
    <w:rsid w:val="00AF69C6"/>
    <w:rsid w:val="00AF6DC0"/>
    <w:rsid w:val="00AF6F19"/>
    <w:rsid w:val="00AF7100"/>
    <w:rsid w:val="00AF7129"/>
    <w:rsid w:val="00AF71F5"/>
    <w:rsid w:val="00AF7663"/>
    <w:rsid w:val="00AF7C46"/>
    <w:rsid w:val="00AF7EBB"/>
    <w:rsid w:val="00B001B1"/>
    <w:rsid w:val="00B00389"/>
    <w:rsid w:val="00B00A25"/>
    <w:rsid w:val="00B00BDF"/>
    <w:rsid w:val="00B00C06"/>
    <w:rsid w:val="00B00DC6"/>
    <w:rsid w:val="00B00F0B"/>
    <w:rsid w:val="00B01805"/>
    <w:rsid w:val="00B0193D"/>
    <w:rsid w:val="00B01CC0"/>
    <w:rsid w:val="00B01DAD"/>
    <w:rsid w:val="00B01FDF"/>
    <w:rsid w:val="00B0215D"/>
    <w:rsid w:val="00B021D5"/>
    <w:rsid w:val="00B02A2E"/>
    <w:rsid w:val="00B02A47"/>
    <w:rsid w:val="00B02ABE"/>
    <w:rsid w:val="00B02DA5"/>
    <w:rsid w:val="00B03146"/>
    <w:rsid w:val="00B03FAA"/>
    <w:rsid w:val="00B04096"/>
    <w:rsid w:val="00B04112"/>
    <w:rsid w:val="00B04363"/>
    <w:rsid w:val="00B050AE"/>
    <w:rsid w:val="00B052E8"/>
    <w:rsid w:val="00B05C01"/>
    <w:rsid w:val="00B05CA6"/>
    <w:rsid w:val="00B05D6F"/>
    <w:rsid w:val="00B06234"/>
    <w:rsid w:val="00B06500"/>
    <w:rsid w:val="00B06A33"/>
    <w:rsid w:val="00B06AB2"/>
    <w:rsid w:val="00B06C89"/>
    <w:rsid w:val="00B06D5B"/>
    <w:rsid w:val="00B06E73"/>
    <w:rsid w:val="00B06F20"/>
    <w:rsid w:val="00B06F28"/>
    <w:rsid w:val="00B072CF"/>
    <w:rsid w:val="00B07541"/>
    <w:rsid w:val="00B07F45"/>
    <w:rsid w:val="00B07FCC"/>
    <w:rsid w:val="00B10136"/>
    <w:rsid w:val="00B10357"/>
    <w:rsid w:val="00B10516"/>
    <w:rsid w:val="00B1056D"/>
    <w:rsid w:val="00B1062D"/>
    <w:rsid w:val="00B106A3"/>
    <w:rsid w:val="00B108A5"/>
    <w:rsid w:val="00B1113B"/>
    <w:rsid w:val="00B11689"/>
    <w:rsid w:val="00B11768"/>
    <w:rsid w:val="00B117F3"/>
    <w:rsid w:val="00B11CD6"/>
    <w:rsid w:val="00B1230E"/>
    <w:rsid w:val="00B1230F"/>
    <w:rsid w:val="00B1243D"/>
    <w:rsid w:val="00B12527"/>
    <w:rsid w:val="00B12740"/>
    <w:rsid w:val="00B128AA"/>
    <w:rsid w:val="00B12C9A"/>
    <w:rsid w:val="00B12D69"/>
    <w:rsid w:val="00B12D76"/>
    <w:rsid w:val="00B12D82"/>
    <w:rsid w:val="00B1355A"/>
    <w:rsid w:val="00B137D4"/>
    <w:rsid w:val="00B13AF6"/>
    <w:rsid w:val="00B13D72"/>
    <w:rsid w:val="00B14084"/>
    <w:rsid w:val="00B146BE"/>
    <w:rsid w:val="00B15330"/>
    <w:rsid w:val="00B15425"/>
    <w:rsid w:val="00B159D3"/>
    <w:rsid w:val="00B15B57"/>
    <w:rsid w:val="00B15FCF"/>
    <w:rsid w:val="00B16508"/>
    <w:rsid w:val="00B167F4"/>
    <w:rsid w:val="00B16C69"/>
    <w:rsid w:val="00B16CB1"/>
    <w:rsid w:val="00B16DD0"/>
    <w:rsid w:val="00B16ECD"/>
    <w:rsid w:val="00B17190"/>
    <w:rsid w:val="00B17B11"/>
    <w:rsid w:val="00B2001F"/>
    <w:rsid w:val="00B20457"/>
    <w:rsid w:val="00B20851"/>
    <w:rsid w:val="00B214BF"/>
    <w:rsid w:val="00B217BF"/>
    <w:rsid w:val="00B218B5"/>
    <w:rsid w:val="00B219D5"/>
    <w:rsid w:val="00B21A66"/>
    <w:rsid w:val="00B21B91"/>
    <w:rsid w:val="00B21C2E"/>
    <w:rsid w:val="00B21D96"/>
    <w:rsid w:val="00B21F6C"/>
    <w:rsid w:val="00B22370"/>
    <w:rsid w:val="00B22454"/>
    <w:rsid w:val="00B225F5"/>
    <w:rsid w:val="00B22948"/>
    <w:rsid w:val="00B22ACE"/>
    <w:rsid w:val="00B22CBE"/>
    <w:rsid w:val="00B2300C"/>
    <w:rsid w:val="00B23056"/>
    <w:rsid w:val="00B231C1"/>
    <w:rsid w:val="00B23308"/>
    <w:rsid w:val="00B23551"/>
    <w:rsid w:val="00B23895"/>
    <w:rsid w:val="00B23A33"/>
    <w:rsid w:val="00B23AF7"/>
    <w:rsid w:val="00B2410C"/>
    <w:rsid w:val="00B241E6"/>
    <w:rsid w:val="00B24384"/>
    <w:rsid w:val="00B24BBD"/>
    <w:rsid w:val="00B24ED0"/>
    <w:rsid w:val="00B251F9"/>
    <w:rsid w:val="00B25337"/>
    <w:rsid w:val="00B25582"/>
    <w:rsid w:val="00B2596F"/>
    <w:rsid w:val="00B25C47"/>
    <w:rsid w:val="00B26462"/>
    <w:rsid w:val="00B265EC"/>
    <w:rsid w:val="00B2668E"/>
    <w:rsid w:val="00B267A6"/>
    <w:rsid w:val="00B267F0"/>
    <w:rsid w:val="00B26A9A"/>
    <w:rsid w:val="00B26D2A"/>
    <w:rsid w:val="00B26E9A"/>
    <w:rsid w:val="00B2701C"/>
    <w:rsid w:val="00B27051"/>
    <w:rsid w:val="00B27333"/>
    <w:rsid w:val="00B27C15"/>
    <w:rsid w:val="00B305B4"/>
    <w:rsid w:val="00B30BAF"/>
    <w:rsid w:val="00B30E7B"/>
    <w:rsid w:val="00B316AA"/>
    <w:rsid w:val="00B31974"/>
    <w:rsid w:val="00B319E7"/>
    <w:rsid w:val="00B31A47"/>
    <w:rsid w:val="00B31D96"/>
    <w:rsid w:val="00B325F7"/>
    <w:rsid w:val="00B32827"/>
    <w:rsid w:val="00B32855"/>
    <w:rsid w:val="00B329F7"/>
    <w:rsid w:val="00B32EBC"/>
    <w:rsid w:val="00B32F96"/>
    <w:rsid w:val="00B330A0"/>
    <w:rsid w:val="00B33841"/>
    <w:rsid w:val="00B34380"/>
    <w:rsid w:val="00B345F3"/>
    <w:rsid w:val="00B34833"/>
    <w:rsid w:val="00B34D41"/>
    <w:rsid w:val="00B34FDA"/>
    <w:rsid w:val="00B3534E"/>
    <w:rsid w:val="00B3551E"/>
    <w:rsid w:val="00B35BA8"/>
    <w:rsid w:val="00B35CE3"/>
    <w:rsid w:val="00B36471"/>
    <w:rsid w:val="00B36D10"/>
    <w:rsid w:val="00B37740"/>
    <w:rsid w:val="00B37BA4"/>
    <w:rsid w:val="00B37BDC"/>
    <w:rsid w:val="00B37D4B"/>
    <w:rsid w:val="00B4027C"/>
    <w:rsid w:val="00B40911"/>
    <w:rsid w:val="00B40BE8"/>
    <w:rsid w:val="00B40C07"/>
    <w:rsid w:val="00B40F06"/>
    <w:rsid w:val="00B41627"/>
    <w:rsid w:val="00B41C8F"/>
    <w:rsid w:val="00B4269B"/>
    <w:rsid w:val="00B42CCC"/>
    <w:rsid w:val="00B42E6A"/>
    <w:rsid w:val="00B42EF0"/>
    <w:rsid w:val="00B42F18"/>
    <w:rsid w:val="00B433E0"/>
    <w:rsid w:val="00B4365F"/>
    <w:rsid w:val="00B43A36"/>
    <w:rsid w:val="00B43CF9"/>
    <w:rsid w:val="00B441A0"/>
    <w:rsid w:val="00B443D0"/>
    <w:rsid w:val="00B445B3"/>
    <w:rsid w:val="00B449F5"/>
    <w:rsid w:val="00B44B2A"/>
    <w:rsid w:val="00B44C56"/>
    <w:rsid w:val="00B457D1"/>
    <w:rsid w:val="00B45966"/>
    <w:rsid w:val="00B45B69"/>
    <w:rsid w:val="00B45BB7"/>
    <w:rsid w:val="00B45DF9"/>
    <w:rsid w:val="00B462C0"/>
    <w:rsid w:val="00B463BB"/>
    <w:rsid w:val="00B4643B"/>
    <w:rsid w:val="00B46DAD"/>
    <w:rsid w:val="00B472DF"/>
    <w:rsid w:val="00B47554"/>
    <w:rsid w:val="00B4774A"/>
    <w:rsid w:val="00B5013A"/>
    <w:rsid w:val="00B50342"/>
    <w:rsid w:val="00B504DD"/>
    <w:rsid w:val="00B50607"/>
    <w:rsid w:val="00B50A49"/>
    <w:rsid w:val="00B50AA3"/>
    <w:rsid w:val="00B50B8F"/>
    <w:rsid w:val="00B50C4C"/>
    <w:rsid w:val="00B50D4C"/>
    <w:rsid w:val="00B5119B"/>
    <w:rsid w:val="00B51225"/>
    <w:rsid w:val="00B5179A"/>
    <w:rsid w:val="00B518AE"/>
    <w:rsid w:val="00B5198D"/>
    <w:rsid w:val="00B51E34"/>
    <w:rsid w:val="00B5235D"/>
    <w:rsid w:val="00B526B3"/>
    <w:rsid w:val="00B52713"/>
    <w:rsid w:val="00B528B1"/>
    <w:rsid w:val="00B5298F"/>
    <w:rsid w:val="00B52B2D"/>
    <w:rsid w:val="00B52C01"/>
    <w:rsid w:val="00B530DB"/>
    <w:rsid w:val="00B538E6"/>
    <w:rsid w:val="00B53E9B"/>
    <w:rsid w:val="00B541D2"/>
    <w:rsid w:val="00B5455F"/>
    <w:rsid w:val="00B55118"/>
    <w:rsid w:val="00B552BC"/>
    <w:rsid w:val="00B557FD"/>
    <w:rsid w:val="00B5605D"/>
    <w:rsid w:val="00B56756"/>
    <w:rsid w:val="00B569F2"/>
    <w:rsid w:val="00B56D1E"/>
    <w:rsid w:val="00B56F4D"/>
    <w:rsid w:val="00B57155"/>
    <w:rsid w:val="00B571AC"/>
    <w:rsid w:val="00B57385"/>
    <w:rsid w:val="00B573DC"/>
    <w:rsid w:val="00B576B8"/>
    <w:rsid w:val="00B576E8"/>
    <w:rsid w:val="00B57C7F"/>
    <w:rsid w:val="00B6028F"/>
    <w:rsid w:val="00B603AE"/>
    <w:rsid w:val="00B603D8"/>
    <w:rsid w:val="00B60476"/>
    <w:rsid w:val="00B604D5"/>
    <w:rsid w:val="00B606E6"/>
    <w:rsid w:val="00B608BF"/>
    <w:rsid w:val="00B60DAA"/>
    <w:rsid w:val="00B61050"/>
    <w:rsid w:val="00B6123E"/>
    <w:rsid w:val="00B6126E"/>
    <w:rsid w:val="00B61480"/>
    <w:rsid w:val="00B61880"/>
    <w:rsid w:val="00B61D49"/>
    <w:rsid w:val="00B61E83"/>
    <w:rsid w:val="00B62181"/>
    <w:rsid w:val="00B6233D"/>
    <w:rsid w:val="00B6269A"/>
    <w:rsid w:val="00B629DA"/>
    <w:rsid w:val="00B62BC4"/>
    <w:rsid w:val="00B62CA0"/>
    <w:rsid w:val="00B62CCC"/>
    <w:rsid w:val="00B630F3"/>
    <w:rsid w:val="00B6325F"/>
    <w:rsid w:val="00B63654"/>
    <w:rsid w:val="00B636B0"/>
    <w:rsid w:val="00B63D03"/>
    <w:rsid w:val="00B640C6"/>
    <w:rsid w:val="00B64162"/>
    <w:rsid w:val="00B6439A"/>
    <w:rsid w:val="00B644BC"/>
    <w:rsid w:val="00B64CD0"/>
    <w:rsid w:val="00B6545A"/>
    <w:rsid w:val="00B65536"/>
    <w:rsid w:val="00B65C76"/>
    <w:rsid w:val="00B65EE0"/>
    <w:rsid w:val="00B65F80"/>
    <w:rsid w:val="00B66472"/>
    <w:rsid w:val="00B665F6"/>
    <w:rsid w:val="00B669B6"/>
    <w:rsid w:val="00B66A54"/>
    <w:rsid w:val="00B66A6D"/>
    <w:rsid w:val="00B66C0A"/>
    <w:rsid w:val="00B66E4E"/>
    <w:rsid w:val="00B671F6"/>
    <w:rsid w:val="00B67687"/>
    <w:rsid w:val="00B678F1"/>
    <w:rsid w:val="00B701C2"/>
    <w:rsid w:val="00B702BE"/>
    <w:rsid w:val="00B70432"/>
    <w:rsid w:val="00B704DB"/>
    <w:rsid w:val="00B708A2"/>
    <w:rsid w:val="00B7094C"/>
    <w:rsid w:val="00B70B16"/>
    <w:rsid w:val="00B70D42"/>
    <w:rsid w:val="00B70DFA"/>
    <w:rsid w:val="00B71012"/>
    <w:rsid w:val="00B711CA"/>
    <w:rsid w:val="00B7179B"/>
    <w:rsid w:val="00B717A3"/>
    <w:rsid w:val="00B719CF"/>
    <w:rsid w:val="00B71B8B"/>
    <w:rsid w:val="00B71BAE"/>
    <w:rsid w:val="00B723E3"/>
    <w:rsid w:val="00B7275B"/>
    <w:rsid w:val="00B72767"/>
    <w:rsid w:val="00B72DC3"/>
    <w:rsid w:val="00B7320E"/>
    <w:rsid w:val="00B73C66"/>
    <w:rsid w:val="00B73EF2"/>
    <w:rsid w:val="00B73F8C"/>
    <w:rsid w:val="00B742D2"/>
    <w:rsid w:val="00B74342"/>
    <w:rsid w:val="00B74538"/>
    <w:rsid w:val="00B74590"/>
    <w:rsid w:val="00B74692"/>
    <w:rsid w:val="00B74AC2"/>
    <w:rsid w:val="00B74FEB"/>
    <w:rsid w:val="00B751E2"/>
    <w:rsid w:val="00B7549C"/>
    <w:rsid w:val="00B75891"/>
    <w:rsid w:val="00B759B0"/>
    <w:rsid w:val="00B75FCF"/>
    <w:rsid w:val="00B76017"/>
    <w:rsid w:val="00B7639B"/>
    <w:rsid w:val="00B76552"/>
    <w:rsid w:val="00B768E1"/>
    <w:rsid w:val="00B769EA"/>
    <w:rsid w:val="00B76A09"/>
    <w:rsid w:val="00B76F66"/>
    <w:rsid w:val="00B775ED"/>
    <w:rsid w:val="00B778BE"/>
    <w:rsid w:val="00B77A96"/>
    <w:rsid w:val="00B77C35"/>
    <w:rsid w:val="00B80247"/>
    <w:rsid w:val="00B804F9"/>
    <w:rsid w:val="00B805E1"/>
    <w:rsid w:val="00B80705"/>
    <w:rsid w:val="00B807DF"/>
    <w:rsid w:val="00B807F9"/>
    <w:rsid w:val="00B80AAB"/>
    <w:rsid w:val="00B80F2D"/>
    <w:rsid w:val="00B80F68"/>
    <w:rsid w:val="00B8123C"/>
    <w:rsid w:val="00B813BD"/>
    <w:rsid w:val="00B81E7D"/>
    <w:rsid w:val="00B81E8D"/>
    <w:rsid w:val="00B81ED0"/>
    <w:rsid w:val="00B822FB"/>
    <w:rsid w:val="00B82502"/>
    <w:rsid w:val="00B82A68"/>
    <w:rsid w:val="00B82ACD"/>
    <w:rsid w:val="00B82F8F"/>
    <w:rsid w:val="00B83307"/>
    <w:rsid w:val="00B8366B"/>
    <w:rsid w:val="00B83B05"/>
    <w:rsid w:val="00B83FCE"/>
    <w:rsid w:val="00B84048"/>
    <w:rsid w:val="00B84185"/>
    <w:rsid w:val="00B8419D"/>
    <w:rsid w:val="00B842BF"/>
    <w:rsid w:val="00B845A8"/>
    <w:rsid w:val="00B8491A"/>
    <w:rsid w:val="00B84DCE"/>
    <w:rsid w:val="00B85C32"/>
    <w:rsid w:val="00B86AFC"/>
    <w:rsid w:val="00B8704F"/>
    <w:rsid w:val="00B87236"/>
    <w:rsid w:val="00B875BE"/>
    <w:rsid w:val="00B87C1C"/>
    <w:rsid w:val="00B87E89"/>
    <w:rsid w:val="00B87ECA"/>
    <w:rsid w:val="00B901F9"/>
    <w:rsid w:val="00B90223"/>
    <w:rsid w:val="00B90425"/>
    <w:rsid w:val="00B9047C"/>
    <w:rsid w:val="00B90532"/>
    <w:rsid w:val="00B9069D"/>
    <w:rsid w:val="00B90B78"/>
    <w:rsid w:val="00B90C18"/>
    <w:rsid w:val="00B90C83"/>
    <w:rsid w:val="00B90DB5"/>
    <w:rsid w:val="00B90DCB"/>
    <w:rsid w:val="00B90FB7"/>
    <w:rsid w:val="00B912C3"/>
    <w:rsid w:val="00B914CF"/>
    <w:rsid w:val="00B9158F"/>
    <w:rsid w:val="00B9176E"/>
    <w:rsid w:val="00B91861"/>
    <w:rsid w:val="00B91AEB"/>
    <w:rsid w:val="00B91BC8"/>
    <w:rsid w:val="00B91C0B"/>
    <w:rsid w:val="00B91D56"/>
    <w:rsid w:val="00B91DFE"/>
    <w:rsid w:val="00B91E8A"/>
    <w:rsid w:val="00B9258C"/>
    <w:rsid w:val="00B932AD"/>
    <w:rsid w:val="00B93433"/>
    <w:rsid w:val="00B934F0"/>
    <w:rsid w:val="00B936DB"/>
    <w:rsid w:val="00B936E9"/>
    <w:rsid w:val="00B93AF1"/>
    <w:rsid w:val="00B93C2E"/>
    <w:rsid w:val="00B94268"/>
    <w:rsid w:val="00B9482C"/>
    <w:rsid w:val="00B9483C"/>
    <w:rsid w:val="00B9496E"/>
    <w:rsid w:val="00B94BE3"/>
    <w:rsid w:val="00B94D39"/>
    <w:rsid w:val="00B94FFF"/>
    <w:rsid w:val="00B950CB"/>
    <w:rsid w:val="00B95159"/>
    <w:rsid w:val="00B95837"/>
    <w:rsid w:val="00B95A87"/>
    <w:rsid w:val="00B960BD"/>
    <w:rsid w:val="00B96755"/>
    <w:rsid w:val="00B96ECC"/>
    <w:rsid w:val="00B96F52"/>
    <w:rsid w:val="00B97331"/>
    <w:rsid w:val="00B97563"/>
    <w:rsid w:val="00B97564"/>
    <w:rsid w:val="00B97AB0"/>
    <w:rsid w:val="00BA00D2"/>
    <w:rsid w:val="00BA0338"/>
    <w:rsid w:val="00BA058D"/>
    <w:rsid w:val="00BA0800"/>
    <w:rsid w:val="00BA0D98"/>
    <w:rsid w:val="00BA13DE"/>
    <w:rsid w:val="00BA179D"/>
    <w:rsid w:val="00BA19B8"/>
    <w:rsid w:val="00BA205C"/>
    <w:rsid w:val="00BA2340"/>
    <w:rsid w:val="00BA27B2"/>
    <w:rsid w:val="00BA37BC"/>
    <w:rsid w:val="00BA38B7"/>
    <w:rsid w:val="00BA3E3A"/>
    <w:rsid w:val="00BA40B9"/>
    <w:rsid w:val="00BA4635"/>
    <w:rsid w:val="00BA4A26"/>
    <w:rsid w:val="00BA4B8F"/>
    <w:rsid w:val="00BA53B9"/>
    <w:rsid w:val="00BA541A"/>
    <w:rsid w:val="00BA5D79"/>
    <w:rsid w:val="00BA5DC4"/>
    <w:rsid w:val="00BA620F"/>
    <w:rsid w:val="00BA62FB"/>
    <w:rsid w:val="00BA6999"/>
    <w:rsid w:val="00BA6BB6"/>
    <w:rsid w:val="00BA6C8E"/>
    <w:rsid w:val="00BA6CF5"/>
    <w:rsid w:val="00BA72CA"/>
    <w:rsid w:val="00BA76DB"/>
    <w:rsid w:val="00BA7845"/>
    <w:rsid w:val="00BA79F8"/>
    <w:rsid w:val="00BA7AEF"/>
    <w:rsid w:val="00BA7CF3"/>
    <w:rsid w:val="00BB033E"/>
    <w:rsid w:val="00BB09F2"/>
    <w:rsid w:val="00BB0B76"/>
    <w:rsid w:val="00BB0EA0"/>
    <w:rsid w:val="00BB10BE"/>
    <w:rsid w:val="00BB16F8"/>
    <w:rsid w:val="00BB1716"/>
    <w:rsid w:val="00BB1A88"/>
    <w:rsid w:val="00BB2340"/>
    <w:rsid w:val="00BB2B5C"/>
    <w:rsid w:val="00BB2C13"/>
    <w:rsid w:val="00BB2D2A"/>
    <w:rsid w:val="00BB2D50"/>
    <w:rsid w:val="00BB2F6A"/>
    <w:rsid w:val="00BB35A6"/>
    <w:rsid w:val="00BB3DAE"/>
    <w:rsid w:val="00BB4104"/>
    <w:rsid w:val="00BB4287"/>
    <w:rsid w:val="00BB4800"/>
    <w:rsid w:val="00BB486E"/>
    <w:rsid w:val="00BB488F"/>
    <w:rsid w:val="00BB49B7"/>
    <w:rsid w:val="00BB49E8"/>
    <w:rsid w:val="00BB4CE8"/>
    <w:rsid w:val="00BB4D4F"/>
    <w:rsid w:val="00BB4E55"/>
    <w:rsid w:val="00BB509A"/>
    <w:rsid w:val="00BB50F4"/>
    <w:rsid w:val="00BB53C5"/>
    <w:rsid w:val="00BB54F9"/>
    <w:rsid w:val="00BB5DBC"/>
    <w:rsid w:val="00BB71A2"/>
    <w:rsid w:val="00BB7C39"/>
    <w:rsid w:val="00BB7C93"/>
    <w:rsid w:val="00BC0238"/>
    <w:rsid w:val="00BC0482"/>
    <w:rsid w:val="00BC062D"/>
    <w:rsid w:val="00BC06A0"/>
    <w:rsid w:val="00BC06CA"/>
    <w:rsid w:val="00BC0932"/>
    <w:rsid w:val="00BC0C3A"/>
    <w:rsid w:val="00BC0DDD"/>
    <w:rsid w:val="00BC1991"/>
    <w:rsid w:val="00BC1D8A"/>
    <w:rsid w:val="00BC1E64"/>
    <w:rsid w:val="00BC2034"/>
    <w:rsid w:val="00BC236D"/>
    <w:rsid w:val="00BC2C2A"/>
    <w:rsid w:val="00BC2F95"/>
    <w:rsid w:val="00BC2FEA"/>
    <w:rsid w:val="00BC3124"/>
    <w:rsid w:val="00BC3140"/>
    <w:rsid w:val="00BC319F"/>
    <w:rsid w:val="00BC3597"/>
    <w:rsid w:val="00BC3721"/>
    <w:rsid w:val="00BC3949"/>
    <w:rsid w:val="00BC397A"/>
    <w:rsid w:val="00BC39F4"/>
    <w:rsid w:val="00BC3A88"/>
    <w:rsid w:val="00BC3BFF"/>
    <w:rsid w:val="00BC4091"/>
    <w:rsid w:val="00BC423D"/>
    <w:rsid w:val="00BC42B0"/>
    <w:rsid w:val="00BC446B"/>
    <w:rsid w:val="00BC5446"/>
    <w:rsid w:val="00BC565D"/>
    <w:rsid w:val="00BC58D4"/>
    <w:rsid w:val="00BC58D5"/>
    <w:rsid w:val="00BC58EB"/>
    <w:rsid w:val="00BC58F8"/>
    <w:rsid w:val="00BC5B22"/>
    <w:rsid w:val="00BC5E3B"/>
    <w:rsid w:val="00BC5EE3"/>
    <w:rsid w:val="00BC621A"/>
    <w:rsid w:val="00BC6306"/>
    <w:rsid w:val="00BC6678"/>
    <w:rsid w:val="00BC6A27"/>
    <w:rsid w:val="00BC6D69"/>
    <w:rsid w:val="00BC7353"/>
    <w:rsid w:val="00BC7D4A"/>
    <w:rsid w:val="00BC7E8D"/>
    <w:rsid w:val="00BD02D0"/>
    <w:rsid w:val="00BD036D"/>
    <w:rsid w:val="00BD09A4"/>
    <w:rsid w:val="00BD0B12"/>
    <w:rsid w:val="00BD107E"/>
    <w:rsid w:val="00BD10DA"/>
    <w:rsid w:val="00BD12C5"/>
    <w:rsid w:val="00BD2105"/>
    <w:rsid w:val="00BD2750"/>
    <w:rsid w:val="00BD29BC"/>
    <w:rsid w:val="00BD29CF"/>
    <w:rsid w:val="00BD2B3A"/>
    <w:rsid w:val="00BD3749"/>
    <w:rsid w:val="00BD3B4B"/>
    <w:rsid w:val="00BD408C"/>
    <w:rsid w:val="00BD45FB"/>
    <w:rsid w:val="00BD4D4B"/>
    <w:rsid w:val="00BD516A"/>
    <w:rsid w:val="00BD56CA"/>
    <w:rsid w:val="00BD5851"/>
    <w:rsid w:val="00BD5AA6"/>
    <w:rsid w:val="00BD5C6D"/>
    <w:rsid w:val="00BD5CE5"/>
    <w:rsid w:val="00BD5E20"/>
    <w:rsid w:val="00BD5EFE"/>
    <w:rsid w:val="00BD64D9"/>
    <w:rsid w:val="00BD6742"/>
    <w:rsid w:val="00BD6996"/>
    <w:rsid w:val="00BD6D61"/>
    <w:rsid w:val="00BD7025"/>
    <w:rsid w:val="00BD7B42"/>
    <w:rsid w:val="00BD7C59"/>
    <w:rsid w:val="00BD7DC6"/>
    <w:rsid w:val="00BD7E95"/>
    <w:rsid w:val="00BD7F02"/>
    <w:rsid w:val="00BE00D1"/>
    <w:rsid w:val="00BE0169"/>
    <w:rsid w:val="00BE0341"/>
    <w:rsid w:val="00BE0B90"/>
    <w:rsid w:val="00BE0F0E"/>
    <w:rsid w:val="00BE18E0"/>
    <w:rsid w:val="00BE1946"/>
    <w:rsid w:val="00BE1963"/>
    <w:rsid w:val="00BE1CDC"/>
    <w:rsid w:val="00BE1DB4"/>
    <w:rsid w:val="00BE1DD2"/>
    <w:rsid w:val="00BE1F81"/>
    <w:rsid w:val="00BE29CA"/>
    <w:rsid w:val="00BE2ACA"/>
    <w:rsid w:val="00BE2CA9"/>
    <w:rsid w:val="00BE301F"/>
    <w:rsid w:val="00BE30D0"/>
    <w:rsid w:val="00BE383C"/>
    <w:rsid w:val="00BE3B10"/>
    <w:rsid w:val="00BE3CEA"/>
    <w:rsid w:val="00BE3E51"/>
    <w:rsid w:val="00BE41BA"/>
    <w:rsid w:val="00BE42C7"/>
    <w:rsid w:val="00BE47CB"/>
    <w:rsid w:val="00BE481A"/>
    <w:rsid w:val="00BE4902"/>
    <w:rsid w:val="00BE4A00"/>
    <w:rsid w:val="00BE5C39"/>
    <w:rsid w:val="00BE5F4B"/>
    <w:rsid w:val="00BE6420"/>
    <w:rsid w:val="00BE6A56"/>
    <w:rsid w:val="00BE6B7A"/>
    <w:rsid w:val="00BE6F6C"/>
    <w:rsid w:val="00BE74ED"/>
    <w:rsid w:val="00BE7946"/>
    <w:rsid w:val="00BE7ABF"/>
    <w:rsid w:val="00BE7C0A"/>
    <w:rsid w:val="00BE7E8B"/>
    <w:rsid w:val="00BF00F9"/>
    <w:rsid w:val="00BF05F2"/>
    <w:rsid w:val="00BF0992"/>
    <w:rsid w:val="00BF153C"/>
    <w:rsid w:val="00BF1786"/>
    <w:rsid w:val="00BF197A"/>
    <w:rsid w:val="00BF1A75"/>
    <w:rsid w:val="00BF1AA0"/>
    <w:rsid w:val="00BF1AE1"/>
    <w:rsid w:val="00BF1B6D"/>
    <w:rsid w:val="00BF1BAF"/>
    <w:rsid w:val="00BF1C94"/>
    <w:rsid w:val="00BF2134"/>
    <w:rsid w:val="00BF22B1"/>
    <w:rsid w:val="00BF24E3"/>
    <w:rsid w:val="00BF2B15"/>
    <w:rsid w:val="00BF2BE1"/>
    <w:rsid w:val="00BF387E"/>
    <w:rsid w:val="00BF39C7"/>
    <w:rsid w:val="00BF39D2"/>
    <w:rsid w:val="00BF44B7"/>
    <w:rsid w:val="00BF4761"/>
    <w:rsid w:val="00BF4987"/>
    <w:rsid w:val="00BF4AE7"/>
    <w:rsid w:val="00BF4F53"/>
    <w:rsid w:val="00BF4FF7"/>
    <w:rsid w:val="00BF5153"/>
    <w:rsid w:val="00BF52D5"/>
    <w:rsid w:val="00BF5372"/>
    <w:rsid w:val="00BF5579"/>
    <w:rsid w:val="00BF593A"/>
    <w:rsid w:val="00BF6120"/>
    <w:rsid w:val="00BF6C5C"/>
    <w:rsid w:val="00BF7173"/>
    <w:rsid w:val="00BF75CC"/>
    <w:rsid w:val="00BF7D04"/>
    <w:rsid w:val="00C0013E"/>
    <w:rsid w:val="00C003CE"/>
    <w:rsid w:val="00C003DE"/>
    <w:rsid w:val="00C00557"/>
    <w:rsid w:val="00C0061D"/>
    <w:rsid w:val="00C00817"/>
    <w:rsid w:val="00C008A0"/>
    <w:rsid w:val="00C00BB9"/>
    <w:rsid w:val="00C00FC1"/>
    <w:rsid w:val="00C01568"/>
    <w:rsid w:val="00C01614"/>
    <w:rsid w:val="00C01690"/>
    <w:rsid w:val="00C01A2A"/>
    <w:rsid w:val="00C01C88"/>
    <w:rsid w:val="00C01D70"/>
    <w:rsid w:val="00C01EFE"/>
    <w:rsid w:val="00C02532"/>
    <w:rsid w:val="00C02874"/>
    <w:rsid w:val="00C02924"/>
    <w:rsid w:val="00C02D05"/>
    <w:rsid w:val="00C02FDE"/>
    <w:rsid w:val="00C03020"/>
    <w:rsid w:val="00C03246"/>
    <w:rsid w:val="00C03375"/>
    <w:rsid w:val="00C03666"/>
    <w:rsid w:val="00C03765"/>
    <w:rsid w:val="00C03789"/>
    <w:rsid w:val="00C03A28"/>
    <w:rsid w:val="00C03CA5"/>
    <w:rsid w:val="00C03E5A"/>
    <w:rsid w:val="00C03ECF"/>
    <w:rsid w:val="00C043FF"/>
    <w:rsid w:val="00C04402"/>
    <w:rsid w:val="00C04889"/>
    <w:rsid w:val="00C04C62"/>
    <w:rsid w:val="00C04C8F"/>
    <w:rsid w:val="00C04C9D"/>
    <w:rsid w:val="00C05047"/>
    <w:rsid w:val="00C05336"/>
    <w:rsid w:val="00C05397"/>
    <w:rsid w:val="00C05563"/>
    <w:rsid w:val="00C057B9"/>
    <w:rsid w:val="00C05875"/>
    <w:rsid w:val="00C05C32"/>
    <w:rsid w:val="00C05F94"/>
    <w:rsid w:val="00C062E2"/>
    <w:rsid w:val="00C06414"/>
    <w:rsid w:val="00C0677C"/>
    <w:rsid w:val="00C06AF1"/>
    <w:rsid w:val="00C06CD3"/>
    <w:rsid w:val="00C06EA4"/>
    <w:rsid w:val="00C07014"/>
    <w:rsid w:val="00C07050"/>
    <w:rsid w:val="00C07B40"/>
    <w:rsid w:val="00C07C91"/>
    <w:rsid w:val="00C1020D"/>
    <w:rsid w:val="00C10587"/>
    <w:rsid w:val="00C108DE"/>
    <w:rsid w:val="00C1108B"/>
    <w:rsid w:val="00C116B0"/>
    <w:rsid w:val="00C11A77"/>
    <w:rsid w:val="00C12050"/>
    <w:rsid w:val="00C1273F"/>
    <w:rsid w:val="00C12876"/>
    <w:rsid w:val="00C12964"/>
    <w:rsid w:val="00C137BF"/>
    <w:rsid w:val="00C13DD3"/>
    <w:rsid w:val="00C13F86"/>
    <w:rsid w:val="00C14027"/>
    <w:rsid w:val="00C141CD"/>
    <w:rsid w:val="00C147C6"/>
    <w:rsid w:val="00C147E8"/>
    <w:rsid w:val="00C148EB"/>
    <w:rsid w:val="00C1496D"/>
    <w:rsid w:val="00C149A0"/>
    <w:rsid w:val="00C14D13"/>
    <w:rsid w:val="00C14E38"/>
    <w:rsid w:val="00C1561F"/>
    <w:rsid w:val="00C15DC8"/>
    <w:rsid w:val="00C15E3F"/>
    <w:rsid w:val="00C16A1E"/>
    <w:rsid w:val="00C16BFB"/>
    <w:rsid w:val="00C16F4D"/>
    <w:rsid w:val="00C1718D"/>
    <w:rsid w:val="00C1795C"/>
    <w:rsid w:val="00C179DE"/>
    <w:rsid w:val="00C17F7C"/>
    <w:rsid w:val="00C201E7"/>
    <w:rsid w:val="00C201E9"/>
    <w:rsid w:val="00C20386"/>
    <w:rsid w:val="00C2052B"/>
    <w:rsid w:val="00C20818"/>
    <w:rsid w:val="00C20B0B"/>
    <w:rsid w:val="00C20F09"/>
    <w:rsid w:val="00C21001"/>
    <w:rsid w:val="00C212B3"/>
    <w:rsid w:val="00C212D9"/>
    <w:rsid w:val="00C21A49"/>
    <w:rsid w:val="00C21A57"/>
    <w:rsid w:val="00C22092"/>
    <w:rsid w:val="00C22169"/>
    <w:rsid w:val="00C2263C"/>
    <w:rsid w:val="00C22666"/>
    <w:rsid w:val="00C228E7"/>
    <w:rsid w:val="00C22C19"/>
    <w:rsid w:val="00C22EA3"/>
    <w:rsid w:val="00C22EE7"/>
    <w:rsid w:val="00C234D0"/>
    <w:rsid w:val="00C2350D"/>
    <w:rsid w:val="00C2369B"/>
    <w:rsid w:val="00C24024"/>
    <w:rsid w:val="00C243F3"/>
    <w:rsid w:val="00C24599"/>
    <w:rsid w:val="00C246BD"/>
    <w:rsid w:val="00C2478D"/>
    <w:rsid w:val="00C24F4A"/>
    <w:rsid w:val="00C252A8"/>
    <w:rsid w:val="00C252B5"/>
    <w:rsid w:val="00C25433"/>
    <w:rsid w:val="00C25469"/>
    <w:rsid w:val="00C25789"/>
    <w:rsid w:val="00C2594A"/>
    <w:rsid w:val="00C25950"/>
    <w:rsid w:val="00C25A0F"/>
    <w:rsid w:val="00C25DDF"/>
    <w:rsid w:val="00C26167"/>
    <w:rsid w:val="00C261A2"/>
    <w:rsid w:val="00C262F1"/>
    <w:rsid w:val="00C264BF"/>
    <w:rsid w:val="00C267AD"/>
    <w:rsid w:val="00C2690E"/>
    <w:rsid w:val="00C269B0"/>
    <w:rsid w:val="00C269B5"/>
    <w:rsid w:val="00C26A58"/>
    <w:rsid w:val="00C26EE5"/>
    <w:rsid w:val="00C270DE"/>
    <w:rsid w:val="00C274A7"/>
    <w:rsid w:val="00C2766F"/>
    <w:rsid w:val="00C27917"/>
    <w:rsid w:val="00C27ABE"/>
    <w:rsid w:val="00C27C01"/>
    <w:rsid w:val="00C27C6D"/>
    <w:rsid w:val="00C27DD6"/>
    <w:rsid w:val="00C27FCB"/>
    <w:rsid w:val="00C30471"/>
    <w:rsid w:val="00C3052B"/>
    <w:rsid w:val="00C306E0"/>
    <w:rsid w:val="00C306E8"/>
    <w:rsid w:val="00C307C7"/>
    <w:rsid w:val="00C3089A"/>
    <w:rsid w:val="00C30CE2"/>
    <w:rsid w:val="00C30D3C"/>
    <w:rsid w:val="00C30D49"/>
    <w:rsid w:val="00C30F6C"/>
    <w:rsid w:val="00C30FDA"/>
    <w:rsid w:val="00C31B0E"/>
    <w:rsid w:val="00C31CD0"/>
    <w:rsid w:val="00C31F71"/>
    <w:rsid w:val="00C32289"/>
    <w:rsid w:val="00C32314"/>
    <w:rsid w:val="00C329FF"/>
    <w:rsid w:val="00C32E66"/>
    <w:rsid w:val="00C32F3D"/>
    <w:rsid w:val="00C32F51"/>
    <w:rsid w:val="00C3306F"/>
    <w:rsid w:val="00C33470"/>
    <w:rsid w:val="00C33594"/>
    <w:rsid w:val="00C33BCD"/>
    <w:rsid w:val="00C33CAE"/>
    <w:rsid w:val="00C33D6D"/>
    <w:rsid w:val="00C33F0E"/>
    <w:rsid w:val="00C3400B"/>
    <w:rsid w:val="00C34289"/>
    <w:rsid w:val="00C342AF"/>
    <w:rsid w:val="00C34441"/>
    <w:rsid w:val="00C34A96"/>
    <w:rsid w:val="00C34CC5"/>
    <w:rsid w:val="00C34F8E"/>
    <w:rsid w:val="00C3554E"/>
    <w:rsid w:val="00C356E9"/>
    <w:rsid w:val="00C3579D"/>
    <w:rsid w:val="00C35E63"/>
    <w:rsid w:val="00C35F61"/>
    <w:rsid w:val="00C362CD"/>
    <w:rsid w:val="00C3653B"/>
    <w:rsid w:val="00C36612"/>
    <w:rsid w:val="00C3668E"/>
    <w:rsid w:val="00C368FB"/>
    <w:rsid w:val="00C36A12"/>
    <w:rsid w:val="00C36BBE"/>
    <w:rsid w:val="00C36C61"/>
    <w:rsid w:val="00C36DCD"/>
    <w:rsid w:val="00C36E29"/>
    <w:rsid w:val="00C36EE3"/>
    <w:rsid w:val="00C37350"/>
    <w:rsid w:val="00C375C8"/>
    <w:rsid w:val="00C37654"/>
    <w:rsid w:val="00C37AAE"/>
    <w:rsid w:val="00C37E4F"/>
    <w:rsid w:val="00C4022B"/>
    <w:rsid w:val="00C40D9D"/>
    <w:rsid w:val="00C413BF"/>
    <w:rsid w:val="00C414E2"/>
    <w:rsid w:val="00C41723"/>
    <w:rsid w:val="00C41884"/>
    <w:rsid w:val="00C41D69"/>
    <w:rsid w:val="00C41DBD"/>
    <w:rsid w:val="00C42128"/>
    <w:rsid w:val="00C428D8"/>
    <w:rsid w:val="00C42E10"/>
    <w:rsid w:val="00C4319D"/>
    <w:rsid w:val="00C432AE"/>
    <w:rsid w:val="00C437B3"/>
    <w:rsid w:val="00C43B88"/>
    <w:rsid w:val="00C43F59"/>
    <w:rsid w:val="00C446E5"/>
    <w:rsid w:val="00C449FC"/>
    <w:rsid w:val="00C44A88"/>
    <w:rsid w:val="00C44E77"/>
    <w:rsid w:val="00C45178"/>
    <w:rsid w:val="00C45247"/>
    <w:rsid w:val="00C45548"/>
    <w:rsid w:val="00C457B7"/>
    <w:rsid w:val="00C45A34"/>
    <w:rsid w:val="00C45B5A"/>
    <w:rsid w:val="00C45C19"/>
    <w:rsid w:val="00C45C94"/>
    <w:rsid w:val="00C46406"/>
    <w:rsid w:val="00C464D9"/>
    <w:rsid w:val="00C46744"/>
    <w:rsid w:val="00C46ACF"/>
    <w:rsid w:val="00C473E0"/>
    <w:rsid w:val="00C47749"/>
    <w:rsid w:val="00C47B4A"/>
    <w:rsid w:val="00C47B81"/>
    <w:rsid w:val="00C47CFA"/>
    <w:rsid w:val="00C47D9A"/>
    <w:rsid w:val="00C47FBA"/>
    <w:rsid w:val="00C5007A"/>
    <w:rsid w:val="00C505B5"/>
    <w:rsid w:val="00C505E9"/>
    <w:rsid w:val="00C509C5"/>
    <w:rsid w:val="00C50E4A"/>
    <w:rsid w:val="00C51079"/>
    <w:rsid w:val="00C51370"/>
    <w:rsid w:val="00C51973"/>
    <w:rsid w:val="00C51ED0"/>
    <w:rsid w:val="00C52065"/>
    <w:rsid w:val="00C520E6"/>
    <w:rsid w:val="00C523C5"/>
    <w:rsid w:val="00C5298F"/>
    <w:rsid w:val="00C52A97"/>
    <w:rsid w:val="00C53081"/>
    <w:rsid w:val="00C5320E"/>
    <w:rsid w:val="00C536A3"/>
    <w:rsid w:val="00C53AB6"/>
    <w:rsid w:val="00C53C5C"/>
    <w:rsid w:val="00C53D49"/>
    <w:rsid w:val="00C53F36"/>
    <w:rsid w:val="00C542D4"/>
    <w:rsid w:val="00C548C9"/>
    <w:rsid w:val="00C54941"/>
    <w:rsid w:val="00C55092"/>
    <w:rsid w:val="00C552F7"/>
    <w:rsid w:val="00C556B5"/>
    <w:rsid w:val="00C55C71"/>
    <w:rsid w:val="00C56299"/>
    <w:rsid w:val="00C565EF"/>
    <w:rsid w:val="00C56D72"/>
    <w:rsid w:val="00C574ED"/>
    <w:rsid w:val="00C57536"/>
    <w:rsid w:val="00C576D8"/>
    <w:rsid w:val="00C57751"/>
    <w:rsid w:val="00C57903"/>
    <w:rsid w:val="00C57FA5"/>
    <w:rsid w:val="00C601C1"/>
    <w:rsid w:val="00C6044B"/>
    <w:rsid w:val="00C60BCB"/>
    <w:rsid w:val="00C60C0F"/>
    <w:rsid w:val="00C610E2"/>
    <w:rsid w:val="00C61460"/>
    <w:rsid w:val="00C614FE"/>
    <w:rsid w:val="00C61F84"/>
    <w:rsid w:val="00C62323"/>
    <w:rsid w:val="00C6288D"/>
    <w:rsid w:val="00C628DE"/>
    <w:rsid w:val="00C629E4"/>
    <w:rsid w:val="00C62DB3"/>
    <w:rsid w:val="00C62ECE"/>
    <w:rsid w:val="00C63296"/>
    <w:rsid w:val="00C6471D"/>
    <w:rsid w:val="00C6475F"/>
    <w:rsid w:val="00C6479B"/>
    <w:rsid w:val="00C648E6"/>
    <w:rsid w:val="00C64A66"/>
    <w:rsid w:val="00C64AEB"/>
    <w:rsid w:val="00C64CF8"/>
    <w:rsid w:val="00C64D67"/>
    <w:rsid w:val="00C65708"/>
    <w:rsid w:val="00C65A96"/>
    <w:rsid w:val="00C65D1F"/>
    <w:rsid w:val="00C664AA"/>
    <w:rsid w:val="00C669AF"/>
    <w:rsid w:val="00C66DF0"/>
    <w:rsid w:val="00C66E11"/>
    <w:rsid w:val="00C66F45"/>
    <w:rsid w:val="00C67289"/>
    <w:rsid w:val="00C67A36"/>
    <w:rsid w:val="00C67F11"/>
    <w:rsid w:val="00C70087"/>
    <w:rsid w:val="00C709DC"/>
    <w:rsid w:val="00C70A09"/>
    <w:rsid w:val="00C70B54"/>
    <w:rsid w:val="00C70B90"/>
    <w:rsid w:val="00C70FFB"/>
    <w:rsid w:val="00C710CE"/>
    <w:rsid w:val="00C7110A"/>
    <w:rsid w:val="00C71134"/>
    <w:rsid w:val="00C71611"/>
    <w:rsid w:val="00C7184D"/>
    <w:rsid w:val="00C725F9"/>
    <w:rsid w:val="00C72B84"/>
    <w:rsid w:val="00C7348A"/>
    <w:rsid w:val="00C734CB"/>
    <w:rsid w:val="00C73674"/>
    <w:rsid w:val="00C73907"/>
    <w:rsid w:val="00C73EF7"/>
    <w:rsid w:val="00C73F69"/>
    <w:rsid w:val="00C73F93"/>
    <w:rsid w:val="00C7402D"/>
    <w:rsid w:val="00C74341"/>
    <w:rsid w:val="00C752A1"/>
    <w:rsid w:val="00C752F6"/>
    <w:rsid w:val="00C7549E"/>
    <w:rsid w:val="00C75760"/>
    <w:rsid w:val="00C7584D"/>
    <w:rsid w:val="00C75AEA"/>
    <w:rsid w:val="00C75F93"/>
    <w:rsid w:val="00C7604D"/>
    <w:rsid w:val="00C7643A"/>
    <w:rsid w:val="00C76843"/>
    <w:rsid w:val="00C76B03"/>
    <w:rsid w:val="00C76CDE"/>
    <w:rsid w:val="00C7722D"/>
    <w:rsid w:val="00C7763C"/>
    <w:rsid w:val="00C77DC2"/>
    <w:rsid w:val="00C77F60"/>
    <w:rsid w:val="00C80050"/>
    <w:rsid w:val="00C801B9"/>
    <w:rsid w:val="00C80358"/>
    <w:rsid w:val="00C805ED"/>
    <w:rsid w:val="00C80C5A"/>
    <w:rsid w:val="00C8134B"/>
    <w:rsid w:val="00C814D0"/>
    <w:rsid w:val="00C8157E"/>
    <w:rsid w:val="00C817D3"/>
    <w:rsid w:val="00C820E7"/>
    <w:rsid w:val="00C8236F"/>
    <w:rsid w:val="00C829EC"/>
    <w:rsid w:val="00C82F4E"/>
    <w:rsid w:val="00C83093"/>
    <w:rsid w:val="00C83126"/>
    <w:rsid w:val="00C8375F"/>
    <w:rsid w:val="00C83C62"/>
    <w:rsid w:val="00C83CB9"/>
    <w:rsid w:val="00C83F16"/>
    <w:rsid w:val="00C83F56"/>
    <w:rsid w:val="00C84059"/>
    <w:rsid w:val="00C8453B"/>
    <w:rsid w:val="00C84571"/>
    <w:rsid w:val="00C84C1B"/>
    <w:rsid w:val="00C84EE1"/>
    <w:rsid w:val="00C857B8"/>
    <w:rsid w:val="00C8585B"/>
    <w:rsid w:val="00C85B81"/>
    <w:rsid w:val="00C85F09"/>
    <w:rsid w:val="00C86044"/>
    <w:rsid w:val="00C861D3"/>
    <w:rsid w:val="00C8624C"/>
    <w:rsid w:val="00C866E3"/>
    <w:rsid w:val="00C86CC6"/>
    <w:rsid w:val="00C86E25"/>
    <w:rsid w:val="00C86FE8"/>
    <w:rsid w:val="00C87095"/>
    <w:rsid w:val="00C872FE"/>
    <w:rsid w:val="00C8761D"/>
    <w:rsid w:val="00C87647"/>
    <w:rsid w:val="00C87758"/>
    <w:rsid w:val="00C8777A"/>
    <w:rsid w:val="00C879C5"/>
    <w:rsid w:val="00C87D58"/>
    <w:rsid w:val="00C9032C"/>
    <w:rsid w:val="00C90C53"/>
    <w:rsid w:val="00C90CB9"/>
    <w:rsid w:val="00C91359"/>
    <w:rsid w:val="00C913DE"/>
    <w:rsid w:val="00C91488"/>
    <w:rsid w:val="00C919BE"/>
    <w:rsid w:val="00C91CD6"/>
    <w:rsid w:val="00C92231"/>
    <w:rsid w:val="00C922FD"/>
    <w:rsid w:val="00C9234A"/>
    <w:rsid w:val="00C92674"/>
    <w:rsid w:val="00C93015"/>
    <w:rsid w:val="00C931EA"/>
    <w:rsid w:val="00C931FF"/>
    <w:rsid w:val="00C93851"/>
    <w:rsid w:val="00C93E98"/>
    <w:rsid w:val="00C940E0"/>
    <w:rsid w:val="00C94122"/>
    <w:rsid w:val="00C94403"/>
    <w:rsid w:val="00C944D5"/>
    <w:rsid w:val="00C94776"/>
    <w:rsid w:val="00C949C4"/>
    <w:rsid w:val="00C94A88"/>
    <w:rsid w:val="00C95468"/>
    <w:rsid w:val="00C965D6"/>
    <w:rsid w:val="00C96F7F"/>
    <w:rsid w:val="00C97072"/>
    <w:rsid w:val="00C975AF"/>
    <w:rsid w:val="00C9793A"/>
    <w:rsid w:val="00C97B02"/>
    <w:rsid w:val="00C97EE0"/>
    <w:rsid w:val="00CA036F"/>
    <w:rsid w:val="00CA106D"/>
    <w:rsid w:val="00CA1163"/>
    <w:rsid w:val="00CA1215"/>
    <w:rsid w:val="00CA188F"/>
    <w:rsid w:val="00CA18B0"/>
    <w:rsid w:val="00CA1A79"/>
    <w:rsid w:val="00CA1E42"/>
    <w:rsid w:val="00CA1E67"/>
    <w:rsid w:val="00CA2131"/>
    <w:rsid w:val="00CA223A"/>
    <w:rsid w:val="00CA236E"/>
    <w:rsid w:val="00CA2734"/>
    <w:rsid w:val="00CA28E8"/>
    <w:rsid w:val="00CA29B5"/>
    <w:rsid w:val="00CA29C5"/>
    <w:rsid w:val="00CA2B89"/>
    <w:rsid w:val="00CA2E5E"/>
    <w:rsid w:val="00CA2E80"/>
    <w:rsid w:val="00CA3272"/>
    <w:rsid w:val="00CA333C"/>
    <w:rsid w:val="00CA3DF2"/>
    <w:rsid w:val="00CA4048"/>
    <w:rsid w:val="00CA40FC"/>
    <w:rsid w:val="00CA421F"/>
    <w:rsid w:val="00CA4709"/>
    <w:rsid w:val="00CA4A74"/>
    <w:rsid w:val="00CA4AF0"/>
    <w:rsid w:val="00CA4B64"/>
    <w:rsid w:val="00CA4C10"/>
    <w:rsid w:val="00CA4D50"/>
    <w:rsid w:val="00CA553C"/>
    <w:rsid w:val="00CA59BC"/>
    <w:rsid w:val="00CA63F8"/>
    <w:rsid w:val="00CA6CB9"/>
    <w:rsid w:val="00CA6D9A"/>
    <w:rsid w:val="00CA7341"/>
    <w:rsid w:val="00CA772C"/>
    <w:rsid w:val="00CA7A80"/>
    <w:rsid w:val="00CB0150"/>
    <w:rsid w:val="00CB0391"/>
    <w:rsid w:val="00CB0544"/>
    <w:rsid w:val="00CB096C"/>
    <w:rsid w:val="00CB09EE"/>
    <w:rsid w:val="00CB0AF9"/>
    <w:rsid w:val="00CB0F88"/>
    <w:rsid w:val="00CB1605"/>
    <w:rsid w:val="00CB163C"/>
    <w:rsid w:val="00CB194B"/>
    <w:rsid w:val="00CB1DD5"/>
    <w:rsid w:val="00CB1F2D"/>
    <w:rsid w:val="00CB2124"/>
    <w:rsid w:val="00CB2157"/>
    <w:rsid w:val="00CB223C"/>
    <w:rsid w:val="00CB238E"/>
    <w:rsid w:val="00CB2F14"/>
    <w:rsid w:val="00CB30DA"/>
    <w:rsid w:val="00CB321E"/>
    <w:rsid w:val="00CB368C"/>
    <w:rsid w:val="00CB369F"/>
    <w:rsid w:val="00CB46A1"/>
    <w:rsid w:val="00CB4772"/>
    <w:rsid w:val="00CB4B80"/>
    <w:rsid w:val="00CB4CBB"/>
    <w:rsid w:val="00CB4F9F"/>
    <w:rsid w:val="00CB5410"/>
    <w:rsid w:val="00CB5768"/>
    <w:rsid w:val="00CB5AA8"/>
    <w:rsid w:val="00CB5B24"/>
    <w:rsid w:val="00CB6ABD"/>
    <w:rsid w:val="00CB6B39"/>
    <w:rsid w:val="00CB6DD2"/>
    <w:rsid w:val="00CB7107"/>
    <w:rsid w:val="00CB74E8"/>
    <w:rsid w:val="00CB752B"/>
    <w:rsid w:val="00CB756F"/>
    <w:rsid w:val="00CB759B"/>
    <w:rsid w:val="00CB764A"/>
    <w:rsid w:val="00CB7A33"/>
    <w:rsid w:val="00CB7D78"/>
    <w:rsid w:val="00CB7E32"/>
    <w:rsid w:val="00CC0026"/>
    <w:rsid w:val="00CC0105"/>
    <w:rsid w:val="00CC012B"/>
    <w:rsid w:val="00CC0297"/>
    <w:rsid w:val="00CC0699"/>
    <w:rsid w:val="00CC07A3"/>
    <w:rsid w:val="00CC08B1"/>
    <w:rsid w:val="00CC0928"/>
    <w:rsid w:val="00CC0A28"/>
    <w:rsid w:val="00CC0A6E"/>
    <w:rsid w:val="00CC0B2A"/>
    <w:rsid w:val="00CC0D6C"/>
    <w:rsid w:val="00CC10AF"/>
    <w:rsid w:val="00CC11D2"/>
    <w:rsid w:val="00CC142D"/>
    <w:rsid w:val="00CC1A62"/>
    <w:rsid w:val="00CC1FE6"/>
    <w:rsid w:val="00CC20C0"/>
    <w:rsid w:val="00CC2759"/>
    <w:rsid w:val="00CC2C44"/>
    <w:rsid w:val="00CC2F1A"/>
    <w:rsid w:val="00CC4771"/>
    <w:rsid w:val="00CC4F4E"/>
    <w:rsid w:val="00CC52D4"/>
    <w:rsid w:val="00CC569C"/>
    <w:rsid w:val="00CC57D2"/>
    <w:rsid w:val="00CC6285"/>
    <w:rsid w:val="00CC6B14"/>
    <w:rsid w:val="00CC6D23"/>
    <w:rsid w:val="00CC6FBE"/>
    <w:rsid w:val="00CC6FE2"/>
    <w:rsid w:val="00CC72DE"/>
    <w:rsid w:val="00CC7350"/>
    <w:rsid w:val="00CC7460"/>
    <w:rsid w:val="00CC7643"/>
    <w:rsid w:val="00CC7793"/>
    <w:rsid w:val="00CC798C"/>
    <w:rsid w:val="00CC7B3B"/>
    <w:rsid w:val="00CC7C61"/>
    <w:rsid w:val="00CC7C81"/>
    <w:rsid w:val="00CC7F51"/>
    <w:rsid w:val="00CD0114"/>
    <w:rsid w:val="00CD0ADB"/>
    <w:rsid w:val="00CD0F16"/>
    <w:rsid w:val="00CD0F34"/>
    <w:rsid w:val="00CD1182"/>
    <w:rsid w:val="00CD13EF"/>
    <w:rsid w:val="00CD144E"/>
    <w:rsid w:val="00CD1724"/>
    <w:rsid w:val="00CD172C"/>
    <w:rsid w:val="00CD204B"/>
    <w:rsid w:val="00CD2160"/>
    <w:rsid w:val="00CD2784"/>
    <w:rsid w:val="00CD28EA"/>
    <w:rsid w:val="00CD29A6"/>
    <w:rsid w:val="00CD29BF"/>
    <w:rsid w:val="00CD2DD8"/>
    <w:rsid w:val="00CD348D"/>
    <w:rsid w:val="00CD3C31"/>
    <w:rsid w:val="00CD4093"/>
    <w:rsid w:val="00CD40E0"/>
    <w:rsid w:val="00CD4338"/>
    <w:rsid w:val="00CD4635"/>
    <w:rsid w:val="00CD46E5"/>
    <w:rsid w:val="00CD488A"/>
    <w:rsid w:val="00CD48DF"/>
    <w:rsid w:val="00CD4D62"/>
    <w:rsid w:val="00CD4E1F"/>
    <w:rsid w:val="00CD5270"/>
    <w:rsid w:val="00CD55BA"/>
    <w:rsid w:val="00CD56B4"/>
    <w:rsid w:val="00CD5C1C"/>
    <w:rsid w:val="00CD62BD"/>
    <w:rsid w:val="00CD6645"/>
    <w:rsid w:val="00CD68B0"/>
    <w:rsid w:val="00CD6B98"/>
    <w:rsid w:val="00CD6D3B"/>
    <w:rsid w:val="00CD6E23"/>
    <w:rsid w:val="00CD7067"/>
    <w:rsid w:val="00CD71A1"/>
    <w:rsid w:val="00CD7370"/>
    <w:rsid w:val="00CD73FE"/>
    <w:rsid w:val="00CD75C8"/>
    <w:rsid w:val="00CD7879"/>
    <w:rsid w:val="00CE0217"/>
    <w:rsid w:val="00CE033D"/>
    <w:rsid w:val="00CE064A"/>
    <w:rsid w:val="00CE06A0"/>
    <w:rsid w:val="00CE0E9E"/>
    <w:rsid w:val="00CE13C9"/>
    <w:rsid w:val="00CE170F"/>
    <w:rsid w:val="00CE188F"/>
    <w:rsid w:val="00CE1A55"/>
    <w:rsid w:val="00CE1CF0"/>
    <w:rsid w:val="00CE1E52"/>
    <w:rsid w:val="00CE2023"/>
    <w:rsid w:val="00CE2154"/>
    <w:rsid w:val="00CE22A3"/>
    <w:rsid w:val="00CE2B77"/>
    <w:rsid w:val="00CE2C5D"/>
    <w:rsid w:val="00CE321D"/>
    <w:rsid w:val="00CE338A"/>
    <w:rsid w:val="00CE35D4"/>
    <w:rsid w:val="00CE38E6"/>
    <w:rsid w:val="00CE3EE0"/>
    <w:rsid w:val="00CE3F09"/>
    <w:rsid w:val="00CE4254"/>
    <w:rsid w:val="00CE43FF"/>
    <w:rsid w:val="00CE469C"/>
    <w:rsid w:val="00CE4765"/>
    <w:rsid w:val="00CE4825"/>
    <w:rsid w:val="00CE48D5"/>
    <w:rsid w:val="00CE4A47"/>
    <w:rsid w:val="00CE4F9F"/>
    <w:rsid w:val="00CE57E7"/>
    <w:rsid w:val="00CE5ABF"/>
    <w:rsid w:val="00CE5BA5"/>
    <w:rsid w:val="00CE5C9B"/>
    <w:rsid w:val="00CE5D14"/>
    <w:rsid w:val="00CE5FF7"/>
    <w:rsid w:val="00CE627C"/>
    <w:rsid w:val="00CE65A4"/>
    <w:rsid w:val="00CE6BA5"/>
    <w:rsid w:val="00CE6D12"/>
    <w:rsid w:val="00CE7008"/>
    <w:rsid w:val="00CE70C0"/>
    <w:rsid w:val="00CE7DB4"/>
    <w:rsid w:val="00CE7E6B"/>
    <w:rsid w:val="00CF04EF"/>
    <w:rsid w:val="00CF0825"/>
    <w:rsid w:val="00CF09E6"/>
    <w:rsid w:val="00CF122D"/>
    <w:rsid w:val="00CF1629"/>
    <w:rsid w:val="00CF163C"/>
    <w:rsid w:val="00CF1758"/>
    <w:rsid w:val="00CF182F"/>
    <w:rsid w:val="00CF18B7"/>
    <w:rsid w:val="00CF1A84"/>
    <w:rsid w:val="00CF1C0D"/>
    <w:rsid w:val="00CF2985"/>
    <w:rsid w:val="00CF2C36"/>
    <w:rsid w:val="00CF2FFC"/>
    <w:rsid w:val="00CF3AFF"/>
    <w:rsid w:val="00CF3C11"/>
    <w:rsid w:val="00CF3D6F"/>
    <w:rsid w:val="00CF4565"/>
    <w:rsid w:val="00CF4725"/>
    <w:rsid w:val="00CF4AF4"/>
    <w:rsid w:val="00CF4CDB"/>
    <w:rsid w:val="00CF53D4"/>
    <w:rsid w:val="00CF5A3A"/>
    <w:rsid w:val="00CF5D92"/>
    <w:rsid w:val="00CF5FAB"/>
    <w:rsid w:val="00CF609E"/>
    <w:rsid w:val="00CF615D"/>
    <w:rsid w:val="00CF617B"/>
    <w:rsid w:val="00CF6199"/>
    <w:rsid w:val="00CF6545"/>
    <w:rsid w:val="00CF68D1"/>
    <w:rsid w:val="00CF6928"/>
    <w:rsid w:val="00CF6CB3"/>
    <w:rsid w:val="00CF6DF6"/>
    <w:rsid w:val="00CF6F71"/>
    <w:rsid w:val="00CF7450"/>
    <w:rsid w:val="00D000D9"/>
    <w:rsid w:val="00D000FC"/>
    <w:rsid w:val="00D00701"/>
    <w:rsid w:val="00D007EF"/>
    <w:rsid w:val="00D0088E"/>
    <w:rsid w:val="00D00F36"/>
    <w:rsid w:val="00D01713"/>
    <w:rsid w:val="00D019C9"/>
    <w:rsid w:val="00D019FD"/>
    <w:rsid w:val="00D01A1C"/>
    <w:rsid w:val="00D01C39"/>
    <w:rsid w:val="00D024A4"/>
    <w:rsid w:val="00D024F3"/>
    <w:rsid w:val="00D02506"/>
    <w:rsid w:val="00D02A9B"/>
    <w:rsid w:val="00D02BBF"/>
    <w:rsid w:val="00D02BC9"/>
    <w:rsid w:val="00D02ED4"/>
    <w:rsid w:val="00D034AF"/>
    <w:rsid w:val="00D0390B"/>
    <w:rsid w:val="00D03944"/>
    <w:rsid w:val="00D03C3A"/>
    <w:rsid w:val="00D03C74"/>
    <w:rsid w:val="00D03E84"/>
    <w:rsid w:val="00D03FB3"/>
    <w:rsid w:val="00D03FDB"/>
    <w:rsid w:val="00D0407C"/>
    <w:rsid w:val="00D0416B"/>
    <w:rsid w:val="00D04E7B"/>
    <w:rsid w:val="00D056AB"/>
    <w:rsid w:val="00D057D3"/>
    <w:rsid w:val="00D06270"/>
    <w:rsid w:val="00D06474"/>
    <w:rsid w:val="00D065E1"/>
    <w:rsid w:val="00D06765"/>
    <w:rsid w:val="00D06B06"/>
    <w:rsid w:val="00D06F90"/>
    <w:rsid w:val="00D07100"/>
    <w:rsid w:val="00D073BD"/>
    <w:rsid w:val="00D078DD"/>
    <w:rsid w:val="00D07AC5"/>
    <w:rsid w:val="00D07CA3"/>
    <w:rsid w:val="00D10029"/>
    <w:rsid w:val="00D100ED"/>
    <w:rsid w:val="00D101EF"/>
    <w:rsid w:val="00D102DA"/>
    <w:rsid w:val="00D1062D"/>
    <w:rsid w:val="00D1091F"/>
    <w:rsid w:val="00D109C6"/>
    <w:rsid w:val="00D111D6"/>
    <w:rsid w:val="00D1135E"/>
    <w:rsid w:val="00D114E0"/>
    <w:rsid w:val="00D1166F"/>
    <w:rsid w:val="00D11705"/>
    <w:rsid w:val="00D11889"/>
    <w:rsid w:val="00D11B2B"/>
    <w:rsid w:val="00D11BFB"/>
    <w:rsid w:val="00D11F2F"/>
    <w:rsid w:val="00D122ED"/>
    <w:rsid w:val="00D123E3"/>
    <w:rsid w:val="00D12641"/>
    <w:rsid w:val="00D12A07"/>
    <w:rsid w:val="00D12AC9"/>
    <w:rsid w:val="00D12DF0"/>
    <w:rsid w:val="00D134E4"/>
    <w:rsid w:val="00D1402B"/>
    <w:rsid w:val="00D1438C"/>
    <w:rsid w:val="00D143E5"/>
    <w:rsid w:val="00D14416"/>
    <w:rsid w:val="00D145F2"/>
    <w:rsid w:val="00D14D76"/>
    <w:rsid w:val="00D15196"/>
    <w:rsid w:val="00D15BBD"/>
    <w:rsid w:val="00D16804"/>
    <w:rsid w:val="00D16BB4"/>
    <w:rsid w:val="00D16E8A"/>
    <w:rsid w:val="00D16F97"/>
    <w:rsid w:val="00D17474"/>
    <w:rsid w:val="00D17D1D"/>
    <w:rsid w:val="00D2066D"/>
    <w:rsid w:val="00D20945"/>
    <w:rsid w:val="00D20B31"/>
    <w:rsid w:val="00D20F08"/>
    <w:rsid w:val="00D21279"/>
    <w:rsid w:val="00D212DE"/>
    <w:rsid w:val="00D21B0A"/>
    <w:rsid w:val="00D21C6C"/>
    <w:rsid w:val="00D21DD3"/>
    <w:rsid w:val="00D21E21"/>
    <w:rsid w:val="00D221CC"/>
    <w:rsid w:val="00D22233"/>
    <w:rsid w:val="00D22A15"/>
    <w:rsid w:val="00D22AAB"/>
    <w:rsid w:val="00D22C63"/>
    <w:rsid w:val="00D22D6D"/>
    <w:rsid w:val="00D22F26"/>
    <w:rsid w:val="00D23034"/>
    <w:rsid w:val="00D2329B"/>
    <w:rsid w:val="00D235CD"/>
    <w:rsid w:val="00D23846"/>
    <w:rsid w:val="00D24033"/>
    <w:rsid w:val="00D2472C"/>
    <w:rsid w:val="00D24AE2"/>
    <w:rsid w:val="00D24B3C"/>
    <w:rsid w:val="00D24E43"/>
    <w:rsid w:val="00D24F68"/>
    <w:rsid w:val="00D25809"/>
    <w:rsid w:val="00D2584E"/>
    <w:rsid w:val="00D2609D"/>
    <w:rsid w:val="00D261A5"/>
    <w:rsid w:val="00D267E1"/>
    <w:rsid w:val="00D269DD"/>
    <w:rsid w:val="00D26AB8"/>
    <w:rsid w:val="00D26CCD"/>
    <w:rsid w:val="00D26DC5"/>
    <w:rsid w:val="00D272DB"/>
    <w:rsid w:val="00D27403"/>
    <w:rsid w:val="00D27442"/>
    <w:rsid w:val="00D300A5"/>
    <w:rsid w:val="00D303CF"/>
    <w:rsid w:val="00D30698"/>
    <w:rsid w:val="00D30790"/>
    <w:rsid w:val="00D308FC"/>
    <w:rsid w:val="00D30979"/>
    <w:rsid w:val="00D309B1"/>
    <w:rsid w:val="00D309FF"/>
    <w:rsid w:val="00D30B6E"/>
    <w:rsid w:val="00D31149"/>
    <w:rsid w:val="00D3156C"/>
    <w:rsid w:val="00D315B2"/>
    <w:rsid w:val="00D3190F"/>
    <w:rsid w:val="00D32140"/>
    <w:rsid w:val="00D322CC"/>
    <w:rsid w:val="00D326AE"/>
    <w:rsid w:val="00D32AF5"/>
    <w:rsid w:val="00D32BF0"/>
    <w:rsid w:val="00D3358C"/>
    <w:rsid w:val="00D338D5"/>
    <w:rsid w:val="00D33AF3"/>
    <w:rsid w:val="00D33D91"/>
    <w:rsid w:val="00D3414E"/>
    <w:rsid w:val="00D34A18"/>
    <w:rsid w:val="00D34E1A"/>
    <w:rsid w:val="00D34E34"/>
    <w:rsid w:val="00D34ED6"/>
    <w:rsid w:val="00D3543A"/>
    <w:rsid w:val="00D359CE"/>
    <w:rsid w:val="00D35AFC"/>
    <w:rsid w:val="00D35F06"/>
    <w:rsid w:val="00D36093"/>
    <w:rsid w:val="00D36130"/>
    <w:rsid w:val="00D36403"/>
    <w:rsid w:val="00D36972"/>
    <w:rsid w:val="00D369B9"/>
    <w:rsid w:val="00D36F46"/>
    <w:rsid w:val="00D37170"/>
    <w:rsid w:val="00D378CB"/>
    <w:rsid w:val="00D400D7"/>
    <w:rsid w:val="00D40115"/>
    <w:rsid w:val="00D40266"/>
    <w:rsid w:val="00D40470"/>
    <w:rsid w:val="00D40852"/>
    <w:rsid w:val="00D40B62"/>
    <w:rsid w:val="00D40D06"/>
    <w:rsid w:val="00D411BE"/>
    <w:rsid w:val="00D411FD"/>
    <w:rsid w:val="00D412B4"/>
    <w:rsid w:val="00D4130A"/>
    <w:rsid w:val="00D414AA"/>
    <w:rsid w:val="00D41679"/>
    <w:rsid w:val="00D417A3"/>
    <w:rsid w:val="00D41842"/>
    <w:rsid w:val="00D41DA1"/>
    <w:rsid w:val="00D41EB3"/>
    <w:rsid w:val="00D4214A"/>
    <w:rsid w:val="00D421AF"/>
    <w:rsid w:val="00D423BE"/>
    <w:rsid w:val="00D42780"/>
    <w:rsid w:val="00D4296E"/>
    <w:rsid w:val="00D42A07"/>
    <w:rsid w:val="00D42B8E"/>
    <w:rsid w:val="00D42E26"/>
    <w:rsid w:val="00D43221"/>
    <w:rsid w:val="00D4345A"/>
    <w:rsid w:val="00D436B1"/>
    <w:rsid w:val="00D43CFF"/>
    <w:rsid w:val="00D43F64"/>
    <w:rsid w:val="00D440E3"/>
    <w:rsid w:val="00D446DC"/>
    <w:rsid w:val="00D446F2"/>
    <w:rsid w:val="00D448AA"/>
    <w:rsid w:val="00D4492B"/>
    <w:rsid w:val="00D44DD0"/>
    <w:rsid w:val="00D454D4"/>
    <w:rsid w:val="00D454DF"/>
    <w:rsid w:val="00D45B45"/>
    <w:rsid w:val="00D45B46"/>
    <w:rsid w:val="00D45C04"/>
    <w:rsid w:val="00D46178"/>
    <w:rsid w:val="00D463F1"/>
    <w:rsid w:val="00D464F3"/>
    <w:rsid w:val="00D465BD"/>
    <w:rsid w:val="00D46CA4"/>
    <w:rsid w:val="00D46E58"/>
    <w:rsid w:val="00D47073"/>
    <w:rsid w:val="00D47113"/>
    <w:rsid w:val="00D4720E"/>
    <w:rsid w:val="00D47231"/>
    <w:rsid w:val="00D4739F"/>
    <w:rsid w:val="00D47747"/>
    <w:rsid w:val="00D47CD9"/>
    <w:rsid w:val="00D47EF0"/>
    <w:rsid w:val="00D47F64"/>
    <w:rsid w:val="00D502AF"/>
    <w:rsid w:val="00D50E89"/>
    <w:rsid w:val="00D50FC7"/>
    <w:rsid w:val="00D510DB"/>
    <w:rsid w:val="00D510ED"/>
    <w:rsid w:val="00D51C26"/>
    <w:rsid w:val="00D51C61"/>
    <w:rsid w:val="00D51CB2"/>
    <w:rsid w:val="00D5211B"/>
    <w:rsid w:val="00D521C1"/>
    <w:rsid w:val="00D52548"/>
    <w:rsid w:val="00D52972"/>
    <w:rsid w:val="00D52A1F"/>
    <w:rsid w:val="00D532DE"/>
    <w:rsid w:val="00D5345D"/>
    <w:rsid w:val="00D53503"/>
    <w:rsid w:val="00D53886"/>
    <w:rsid w:val="00D53A2F"/>
    <w:rsid w:val="00D53E21"/>
    <w:rsid w:val="00D53FE6"/>
    <w:rsid w:val="00D54148"/>
    <w:rsid w:val="00D54202"/>
    <w:rsid w:val="00D54302"/>
    <w:rsid w:val="00D546F4"/>
    <w:rsid w:val="00D54D63"/>
    <w:rsid w:val="00D5535C"/>
    <w:rsid w:val="00D555A3"/>
    <w:rsid w:val="00D55896"/>
    <w:rsid w:val="00D55EB9"/>
    <w:rsid w:val="00D561EC"/>
    <w:rsid w:val="00D56525"/>
    <w:rsid w:val="00D56AF4"/>
    <w:rsid w:val="00D56D61"/>
    <w:rsid w:val="00D56DB4"/>
    <w:rsid w:val="00D56E9D"/>
    <w:rsid w:val="00D56EDD"/>
    <w:rsid w:val="00D572FE"/>
    <w:rsid w:val="00D5736F"/>
    <w:rsid w:val="00D573AA"/>
    <w:rsid w:val="00D574B0"/>
    <w:rsid w:val="00D577D4"/>
    <w:rsid w:val="00D57D45"/>
    <w:rsid w:val="00D57E16"/>
    <w:rsid w:val="00D60D59"/>
    <w:rsid w:val="00D611D8"/>
    <w:rsid w:val="00D614F9"/>
    <w:rsid w:val="00D6173A"/>
    <w:rsid w:val="00D619A6"/>
    <w:rsid w:val="00D6257F"/>
    <w:rsid w:val="00D62802"/>
    <w:rsid w:val="00D62884"/>
    <w:rsid w:val="00D62C1E"/>
    <w:rsid w:val="00D62C30"/>
    <w:rsid w:val="00D62D43"/>
    <w:rsid w:val="00D62F6E"/>
    <w:rsid w:val="00D63006"/>
    <w:rsid w:val="00D636A6"/>
    <w:rsid w:val="00D638C6"/>
    <w:rsid w:val="00D639A2"/>
    <w:rsid w:val="00D639E9"/>
    <w:rsid w:val="00D64332"/>
    <w:rsid w:val="00D64477"/>
    <w:rsid w:val="00D64A12"/>
    <w:rsid w:val="00D64ADA"/>
    <w:rsid w:val="00D64E78"/>
    <w:rsid w:val="00D65413"/>
    <w:rsid w:val="00D657F7"/>
    <w:rsid w:val="00D65E86"/>
    <w:rsid w:val="00D66047"/>
    <w:rsid w:val="00D66441"/>
    <w:rsid w:val="00D6664F"/>
    <w:rsid w:val="00D66A29"/>
    <w:rsid w:val="00D66C33"/>
    <w:rsid w:val="00D66EBC"/>
    <w:rsid w:val="00D67553"/>
    <w:rsid w:val="00D67660"/>
    <w:rsid w:val="00D6775B"/>
    <w:rsid w:val="00D6789F"/>
    <w:rsid w:val="00D679A1"/>
    <w:rsid w:val="00D679A4"/>
    <w:rsid w:val="00D67F7A"/>
    <w:rsid w:val="00D67FB7"/>
    <w:rsid w:val="00D7090D"/>
    <w:rsid w:val="00D709D5"/>
    <w:rsid w:val="00D70D53"/>
    <w:rsid w:val="00D71077"/>
    <w:rsid w:val="00D7107A"/>
    <w:rsid w:val="00D71883"/>
    <w:rsid w:val="00D71DAB"/>
    <w:rsid w:val="00D72567"/>
    <w:rsid w:val="00D7290F"/>
    <w:rsid w:val="00D72AA1"/>
    <w:rsid w:val="00D72B71"/>
    <w:rsid w:val="00D72CC2"/>
    <w:rsid w:val="00D72E8D"/>
    <w:rsid w:val="00D736E3"/>
    <w:rsid w:val="00D73739"/>
    <w:rsid w:val="00D7380A"/>
    <w:rsid w:val="00D73A5E"/>
    <w:rsid w:val="00D73ED0"/>
    <w:rsid w:val="00D73F2B"/>
    <w:rsid w:val="00D73FBA"/>
    <w:rsid w:val="00D74285"/>
    <w:rsid w:val="00D744E5"/>
    <w:rsid w:val="00D744FF"/>
    <w:rsid w:val="00D74549"/>
    <w:rsid w:val="00D74EB9"/>
    <w:rsid w:val="00D751B8"/>
    <w:rsid w:val="00D75316"/>
    <w:rsid w:val="00D757D6"/>
    <w:rsid w:val="00D75B2D"/>
    <w:rsid w:val="00D75D83"/>
    <w:rsid w:val="00D76353"/>
    <w:rsid w:val="00D7636A"/>
    <w:rsid w:val="00D76815"/>
    <w:rsid w:val="00D76AB9"/>
    <w:rsid w:val="00D77173"/>
    <w:rsid w:val="00D776F6"/>
    <w:rsid w:val="00D77D35"/>
    <w:rsid w:val="00D77F2E"/>
    <w:rsid w:val="00D80030"/>
    <w:rsid w:val="00D80093"/>
    <w:rsid w:val="00D80409"/>
    <w:rsid w:val="00D80519"/>
    <w:rsid w:val="00D80A05"/>
    <w:rsid w:val="00D80D7E"/>
    <w:rsid w:val="00D81405"/>
    <w:rsid w:val="00D8148D"/>
    <w:rsid w:val="00D81490"/>
    <w:rsid w:val="00D81570"/>
    <w:rsid w:val="00D81D65"/>
    <w:rsid w:val="00D81FC5"/>
    <w:rsid w:val="00D825C0"/>
    <w:rsid w:val="00D82A99"/>
    <w:rsid w:val="00D82BFF"/>
    <w:rsid w:val="00D82D8F"/>
    <w:rsid w:val="00D82DF7"/>
    <w:rsid w:val="00D83119"/>
    <w:rsid w:val="00D8325A"/>
    <w:rsid w:val="00D8354D"/>
    <w:rsid w:val="00D83709"/>
    <w:rsid w:val="00D83824"/>
    <w:rsid w:val="00D83F2A"/>
    <w:rsid w:val="00D841DB"/>
    <w:rsid w:val="00D842AE"/>
    <w:rsid w:val="00D85011"/>
    <w:rsid w:val="00D85113"/>
    <w:rsid w:val="00D85121"/>
    <w:rsid w:val="00D8551A"/>
    <w:rsid w:val="00D859FE"/>
    <w:rsid w:val="00D85A16"/>
    <w:rsid w:val="00D85E47"/>
    <w:rsid w:val="00D85F9C"/>
    <w:rsid w:val="00D86F7C"/>
    <w:rsid w:val="00D86FB4"/>
    <w:rsid w:val="00D8711C"/>
    <w:rsid w:val="00D87C0F"/>
    <w:rsid w:val="00D87C14"/>
    <w:rsid w:val="00D87FD1"/>
    <w:rsid w:val="00D903F5"/>
    <w:rsid w:val="00D906BB"/>
    <w:rsid w:val="00D90858"/>
    <w:rsid w:val="00D90913"/>
    <w:rsid w:val="00D90943"/>
    <w:rsid w:val="00D90A7C"/>
    <w:rsid w:val="00D910E9"/>
    <w:rsid w:val="00D91158"/>
    <w:rsid w:val="00D91261"/>
    <w:rsid w:val="00D913CD"/>
    <w:rsid w:val="00D915BB"/>
    <w:rsid w:val="00D91AA5"/>
    <w:rsid w:val="00D91CCA"/>
    <w:rsid w:val="00D91DBC"/>
    <w:rsid w:val="00D91FA9"/>
    <w:rsid w:val="00D91FBE"/>
    <w:rsid w:val="00D92143"/>
    <w:rsid w:val="00D923A9"/>
    <w:rsid w:val="00D924AC"/>
    <w:rsid w:val="00D927A9"/>
    <w:rsid w:val="00D929CA"/>
    <w:rsid w:val="00D92FD9"/>
    <w:rsid w:val="00D93112"/>
    <w:rsid w:val="00D933A0"/>
    <w:rsid w:val="00D933A4"/>
    <w:rsid w:val="00D9372C"/>
    <w:rsid w:val="00D93829"/>
    <w:rsid w:val="00D9384A"/>
    <w:rsid w:val="00D93D29"/>
    <w:rsid w:val="00D93DEA"/>
    <w:rsid w:val="00D93F2A"/>
    <w:rsid w:val="00D941F3"/>
    <w:rsid w:val="00D94282"/>
    <w:rsid w:val="00D9446C"/>
    <w:rsid w:val="00D9458F"/>
    <w:rsid w:val="00D94C1C"/>
    <w:rsid w:val="00D94C53"/>
    <w:rsid w:val="00D94C56"/>
    <w:rsid w:val="00D957F5"/>
    <w:rsid w:val="00D95945"/>
    <w:rsid w:val="00D9594B"/>
    <w:rsid w:val="00D960F8"/>
    <w:rsid w:val="00D96247"/>
    <w:rsid w:val="00D96294"/>
    <w:rsid w:val="00D96647"/>
    <w:rsid w:val="00D96CF5"/>
    <w:rsid w:val="00D96E33"/>
    <w:rsid w:val="00D9703B"/>
    <w:rsid w:val="00D976BF"/>
    <w:rsid w:val="00D977DD"/>
    <w:rsid w:val="00DA0038"/>
    <w:rsid w:val="00DA031C"/>
    <w:rsid w:val="00DA03C0"/>
    <w:rsid w:val="00DA03E5"/>
    <w:rsid w:val="00DA046C"/>
    <w:rsid w:val="00DA099D"/>
    <w:rsid w:val="00DA0A0E"/>
    <w:rsid w:val="00DA14B3"/>
    <w:rsid w:val="00DA17D1"/>
    <w:rsid w:val="00DA1E16"/>
    <w:rsid w:val="00DA20AD"/>
    <w:rsid w:val="00DA21C2"/>
    <w:rsid w:val="00DA2333"/>
    <w:rsid w:val="00DA2375"/>
    <w:rsid w:val="00DA29B1"/>
    <w:rsid w:val="00DA29FF"/>
    <w:rsid w:val="00DA2E0F"/>
    <w:rsid w:val="00DA333F"/>
    <w:rsid w:val="00DA3712"/>
    <w:rsid w:val="00DA386F"/>
    <w:rsid w:val="00DA39DB"/>
    <w:rsid w:val="00DA3A30"/>
    <w:rsid w:val="00DA3DE7"/>
    <w:rsid w:val="00DA41B0"/>
    <w:rsid w:val="00DA42EE"/>
    <w:rsid w:val="00DA4467"/>
    <w:rsid w:val="00DA48FF"/>
    <w:rsid w:val="00DA4ADB"/>
    <w:rsid w:val="00DA4DAB"/>
    <w:rsid w:val="00DA4DAC"/>
    <w:rsid w:val="00DA4DE7"/>
    <w:rsid w:val="00DA4F51"/>
    <w:rsid w:val="00DA5402"/>
    <w:rsid w:val="00DA5644"/>
    <w:rsid w:val="00DA5823"/>
    <w:rsid w:val="00DA583D"/>
    <w:rsid w:val="00DA5CA0"/>
    <w:rsid w:val="00DA5E0C"/>
    <w:rsid w:val="00DA5E86"/>
    <w:rsid w:val="00DA6030"/>
    <w:rsid w:val="00DA651D"/>
    <w:rsid w:val="00DA66A9"/>
    <w:rsid w:val="00DA6765"/>
    <w:rsid w:val="00DA6D7D"/>
    <w:rsid w:val="00DA6D87"/>
    <w:rsid w:val="00DA6E69"/>
    <w:rsid w:val="00DA6E71"/>
    <w:rsid w:val="00DA6EB3"/>
    <w:rsid w:val="00DA7050"/>
    <w:rsid w:val="00DA72C7"/>
    <w:rsid w:val="00DA7342"/>
    <w:rsid w:val="00DA7AA8"/>
    <w:rsid w:val="00DA7DB8"/>
    <w:rsid w:val="00DA7E83"/>
    <w:rsid w:val="00DB03AC"/>
    <w:rsid w:val="00DB1019"/>
    <w:rsid w:val="00DB11C3"/>
    <w:rsid w:val="00DB13D7"/>
    <w:rsid w:val="00DB15D8"/>
    <w:rsid w:val="00DB17B4"/>
    <w:rsid w:val="00DB2474"/>
    <w:rsid w:val="00DB2488"/>
    <w:rsid w:val="00DB28E1"/>
    <w:rsid w:val="00DB2A30"/>
    <w:rsid w:val="00DB2CC0"/>
    <w:rsid w:val="00DB2CD1"/>
    <w:rsid w:val="00DB2F65"/>
    <w:rsid w:val="00DB343F"/>
    <w:rsid w:val="00DB3527"/>
    <w:rsid w:val="00DB35F0"/>
    <w:rsid w:val="00DB398E"/>
    <w:rsid w:val="00DB3B83"/>
    <w:rsid w:val="00DB41FC"/>
    <w:rsid w:val="00DB438A"/>
    <w:rsid w:val="00DB45CF"/>
    <w:rsid w:val="00DB45D1"/>
    <w:rsid w:val="00DB53DD"/>
    <w:rsid w:val="00DB541A"/>
    <w:rsid w:val="00DB55F0"/>
    <w:rsid w:val="00DB59A1"/>
    <w:rsid w:val="00DB5B0A"/>
    <w:rsid w:val="00DB5EC5"/>
    <w:rsid w:val="00DB69F9"/>
    <w:rsid w:val="00DB6F48"/>
    <w:rsid w:val="00DB7330"/>
    <w:rsid w:val="00DB7387"/>
    <w:rsid w:val="00DB7566"/>
    <w:rsid w:val="00DB7D5F"/>
    <w:rsid w:val="00DB7E6B"/>
    <w:rsid w:val="00DB7FE5"/>
    <w:rsid w:val="00DC012C"/>
    <w:rsid w:val="00DC029A"/>
    <w:rsid w:val="00DC06C4"/>
    <w:rsid w:val="00DC0992"/>
    <w:rsid w:val="00DC11DC"/>
    <w:rsid w:val="00DC1701"/>
    <w:rsid w:val="00DC1A0D"/>
    <w:rsid w:val="00DC1DF9"/>
    <w:rsid w:val="00DC22F4"/>
    <w:rsid w:val="00DC2348"/>
    <w:rsid w:val="00DC2614"/>
    <w:rsid w:val="00DC3959"/>
    <w:rsid w:val="00DC3CAA"/>
    <w:rsid w:val="00DC3CE2"/>
    <w:rsid w:val="00DC43DB"/>
    <w:rsid w:val="00DC4731"/>
    <w:rsid w:val="00DC4C2D"/>
    <w:rsid w:val="00DC4FE8"/>
    <w:rsid w:val="00DC52ED"/>
    <w:rsid w:val="00DC57E4"/>
    <w:rsid w:val="00DC5BE9"/>
    <w:rsid w:val="00DC5E9A"/>
    <w:rsid w:val="00DC6452"/>
    <w:rsid w:val="00DC6DAD"/>
    <w:rsid w:val="00DC728E"/>
    <w:rsid w:val="00DC73FA"/>
    <w:rsid w:val="00DC7458"/>
    <w:rsid w:val="00DC766F"/>
    <w:rsid w:val="00DC7822"/>
    <w:rsid w:val="00DC78D9"/>
    <w:rsid w:val="00DC7A29"/>
    <w:rsid w:val="00DC7B66"/>
    <w:rsid w:val="00DD0110"/>
    <w:rsid w:val="00DD0245"/>
    <w:rsid w:val="00DD03F3"/>
    <w:rsid w:val="00DD0B19"/>
    <w:rsid w:val="00DD0BFE"/>
    <w:rsid w:val="00DD135D"/>
    <w:rsid w:val="00DD144E"/>
    <w:rsid w:val="00DD1733"/>
    <w:rsid w:val="00DD191C"/>
    <w:rsid w:val="00DD1A78"/>
    <w:rsid w:val="00DD1AAF"/>
    <w:rsid w:val="00DD1B38"/>
    <w:rsid w:val="00DD20FE"/>
    <w:rsid w:val="00DD2123"/>
    <w:rsid w:val="00DD215D"/>
    <w:rsid w:val="00DD2281"/>
    <w:rsid w:val="00DD2539"/>
    <w:rsid w:val="00DD2577"/>
    <w:rsid w:val="00DD25DE"/>
    <w:rsid w:val="00DD2684"/>
    <w:rsid w:val="00DD26C9"/>
    <w:rsid w:val="00DD2A01"/>
    <w:rsid w:val="00DD3022"/>
    <w:rsid w:val="00DD311D"/>
    <w:rsid w:val="00DD33FC"/>
    <w:rsid w:val="00DD368A"/>
    <w:rsid w:val="00DD39C1"/>
    <w:rsid w:val="00DD4368"/>
    <w:rsid w:val="00DD4883"/>
    <w:rsid w:val="00DD4A63"/>
    <w:rsid w:val="00DD4C05"/>
    <w:rsid w:val="00DD4C1A"/>
    <w:rsid w:val="00DD4F05"/>
    <w:rsid w:val="00DD5304"/>
    <w:rsid w:val="00DD577C"/>
    <w:rsid w:val="00DD578E"/>
    <w:rsid w:val="00DD58AF"/>
    <w:rsid w:val="00DD5C64"/>
    <w:rsid w:val="00DD5EC2"/>
    <w:rsid w:val="00DD6093"/>
    <w:rsid w:val="00DD609C"/>
    <w:rsid w:val="00DD60A4"/>
    <w:rsid w:val="00DD60CC"/>
    <w:rsid w:val="00DD62E9"/>
    <w:rsid w:val="00DD6349"/>
    <w:rsid w:val="00DD65C3"/>
    <w:rsid w:val="00DD6770"/>
    <w:rsid w:val="00DD6999"/>
    <w:rsid w:val="00DD6B38"/>
    <w:rsid w:val="00DD6D1A"/>
    <w:rsid w:val="00DD6E2E"/>
    <w:rsid w:val="00DD7623"/>
    <w:rsid w:val="00DD78C7"/>
    <w:rsid w:val="00DD7960"/>
    <w:rsid w:val="00DD7B7C"/>
    <w:rsid w:val="00DE09E6"/>
    <w:rsid w:val="00DE0DFF"/>
    <w:rsid w:val="00DE1348"/>
    <w:rsid w:val="00DE14B9"/>
    <w:rsid w:val="00DE1EC0"/>
    <w:rsid w:val="00DE201C"/>
    <w:rsid w:val="00DE21AB"/>
    <w:rsid w:val="00DE24AD"/>
    <w:rsid w:val="00DE29C5"/>
    <w:rsid w:val="00DE2C69"/>
    <w:rsid w:val="00DE2EF5"/>
    <w:rsid w:val="00DE3183"/>
    <w:rsid w:val="00DE3198"/>
    <w:rsid w:val="00DE34F8"/>
    <w:rsid w:val="00DE3FBB"/>
    <w:rsid w:val="00DE4651"/>
    <w:rsid w:val="00DE4767"/>
    <w:rsid w:val="00DE4810"/>
    <w:rsid w:val="00DE4864"/>
    <w:rsid w:val="00DE496A"/>
    <w:rsid w:val="00DE510B"/>
    <w:rsid w:val="00DE5AF4"/>
    <w:rsid w:val="00DE5B9B"/>
    <w:rsid w:val="00DE5BB3"/>
    <w:rsid w:val="00DE6117"/>
    <w:rsid w:val="00DE65B0"/>
    <w:rsid w:val="00DE67EE"/>
    <w:rsid w:val="00DE71E0"/>
    <w:rsid w:val="00DE7520"/>
    <w:rsid w:val="00DE7A17"/>
    <w:rsid w:val="00DE7CE4"/>
    <w:rsid w:val="00DF08C6"/>
    <w:rsid w:val="00DF0BC0"/>
    <w:rsid w:val="00DF0C3C"/>
    <w:rsid w:val="00DF1015"/>
    <w:rsid w:val="00DF1816"/>
    <w:rsid w:val="00DF1BC8"/>
    <w:rsid w:val="00DF1C72"/>
    <w:rsid w:val="00DF203D"/>
    <w:rsid w:val="00DF23C5"/>
    <w:rsid w:val="00DF23CD"/>
    <w:rsid w:val="00DF2C39"/>
    <w:rsid w:val="00DF3044"/>
    <w:rsid w:val="00DF36EB"/>
    <w:rsid w:val="00DF3802"/>
    <w:rsid w:val="00DF393D"/>
    <w:rsid w:val="00DF39E4"/>
    <w:rsid w:val="00DF3C58"/>
    <w:rsid w:val="00DF3EDA"/>
    <w:rsid w:val="00DF4131"/>
    <w:rsid w:val="00DF415B"/>
    <w:rsid w:val="00DF4381"/>
    <w:rsid w:val="00DF47D1"/>
    <w:rsid w:val="00DF49E7"/>
    <w:rsid w:val="00DF4A2E"/>
    <w:rsid w:val="00DF4D8A"/>
    <w:rsid w:val="00DF4F5B"/>
    <w:rsid w:val="00DF57D8"/>
    <w:rsid w:val="00DF5B91"/>
    <w:rsid w:val="00DF5E5B"/>
    <w:rsid w:val="00DF605C"/>
    <w:rsid w:val="00DF60AE"/>
    <w:rsid w:val="00DF6C53"/>
    <w:rsid w:val="00DF715C"/>
    <w:rsid w:val="00DF71AA"/>
    <w:rsid w:val="00DF76D9"/>
    <w:rsid w:val="00DF78B2"/>
    <w:rsid w:val="00DF7AF9"/>
    <w:rsid w:val="00DF7B17"/>
    <w:rsid w:val="00E003F8"/>
    <w:rsid w:val="00E004BE"/>
    <w:rsid w:val="00E0088D"/>
    <w:rsid w:val="00E00CB5"/>
    <w:rsid w:val="00E010CE"/>
    <w:rsid w:val="00E0123D"/>
    <w:rsid w:val="00E016D7"/>
    <w:rsid w:val="00E0173A"/>
    <w:rsid w:val="00E0213A"/>
    <w:rsid w:val="00E0220A"/>
    <w:rsid w:val="00E02281"/>
    <w:rsid w:val="00E0228F"/>
    <w:rsid w:val="00E02515"/>
    <w:rsid w:val="00E0263A"/>
    <w:rsid w:val="00E026C1"/>
    <w:rsid w:val="00E0271D"/>
    <w:rsid w:val="00E02D59"/>
    <w:rsid w:val="00E02E3A"/>
    <w:rsid w:val="00E02EFE"/>
    <w:rsid w:val="00E030E9"/>
    <w:rsid w:val="00E03831"/>
    <w:rsid w:val="00E03BAC"/>
    <w:rsid w:val="00E03FD3"/>
    <w:rsid w:val="00E046A0"/>
    <w:rsid w:val="00E049B2"/>
    <w:rsid w:val="00E04A9F"/>
    <w:rsid w:val="00E04E06"/>
    <w:rsid w:val="00E0542F"/>
    <w:rsid w:val="00E0551A"/>
    <w:rsid w:val="00E0576E"/>
    <w:rsid w:val="00E05840"/>
    <w:rsid w:val="00E0586E"/>
    <w:rsid w:val="00E05BA8"/>
    <w:rsid w:val="00E05FF7"/>
    <w:rsid w:val="00E06796"/>
    <w:rsid w:val="00E06985"/>
    <w:rsid w:val="00E06A31"/>
    <w:rsid w:val="00E06ACA"/>
    <w:rsid w:val="00E06CBC"/>
    <w:rsid w:val="00E06D15"/>
    <w:rsid w:val="00E07651"/>
    <w:rsid w:val="00E07A69"/>
    <w:rsid w:val="00E07AFE"/>
    <w:rsid w:val="00E10340"/>
    <w:rsid w:val="00E10FD5"/>
    <w:rsid w:val="00E115E2"/>
    <w:rsid w:val="00E11752"/>
    <w:rsid w:val="00E11A64"/>
    <w:rsid w:val="00E11ADA"/>
    <w:rsid w:val="00E11D01"/>
    <w:rsid w:val="00E11D56"/>
    <w:rsid w:val="00E12087"/>
    <w:rsid w:val="00E12282"/>
    <w:rsid w:val="00E12389"/>
    <w:rsid w:val="00E1277A"/>
    <w:rsid w:val="00E12919"/>
    <w:rsid w:val="00E12A2F"/>
    <w:rsid w:val="00E12BD6"/>
    <w:rsid w:val="00E12F6A"/>
    <w:rsid w:val="00E131C4"/>
    <w:rsid w:val="00E131F6"/>
    <w:rsid w:val="00E13652"/>
    <w:rsid w:val="00E137BE"/>
    <w:rsid w:val="00E13F07"/>
    <w:rsid w:val="00E13F63"/>
    <w:rsid w:val="00E13FC4"/>
    <w:rsid w:val="00E140CC"/>
    <w:rsid w:val="00E1423B"/>
    <w:rsid w:val="00E14427"/>
    <w:rsid w:val="00E1460D"/>
    <w:rsid w:val="00E14B37"/>
    <w:rsid w:val="00E14DA0"/>
    <w:rsid w:val="00E14F29"/>
    <w:rsid w:val="00E15058"/>
    <w:rsid w:val="00E15123"/>
    <w:rsid w:val="00E154C6"/>
    <w:rsid w:val="00E155B2"/>
    <w:rsid w:val="00E155CB"/>
    <w:rsid w:val="00E15702"/>
    <w:rsid w:val="00E15720"/>
    <w:rsid w:val="00E15D68"/>
    <w:rsid w:val="00E15F75"/>
    <w:rsid w:val="00E16288"/>
    <w:rsid w:val="00E1635D"/>
    <w:rsid w:val="00E16A50"/>
    <w:rsid w:val="00E16A77"/>
    <w:rsid w:val="00E16AEF"/>
    <w:rsid w:val="00E16BF8"/>
    <w:rsid w:val="00E16D76"/>
    <w:rsid w:val="00E16EE9"/>
    <w:rsid w:val="00E170E0"/>
    <w:rsid w:val="00E17126"/>
    <w:rsid w:val="00E17372"/>
    <w:rsid w:val="00E1751B"/>
    <w:rsid w:val="00E1784F"/>
    <w:rsid w:val="00E17CC6"/>
    <w:rsid w:val="00E17FB6"/>
    <w:rsid w:val="00E202C1"/>
    <w:rsid w:val="00E2053F"/>
    <w:rsid w:val="00E208B5"/>
    <w:rsid w:val="00E208C2"/>
    <w:rsid w:val="00E2134C"/>
    <w:rsid w:val="00E213E8"/>
    <w:rsid w:val="00E216AE"/>
    <w:rsid w:val="00E218CA"/>
    <w:rsid w:val="00E21B5B"/>
    <w:rsid w:val="00E223CA"/>
    <w:rsid w:val="00E2298D"/>
    <w:rsid w:val="00E22A15"/>
    <w:rsid w:val="00E22F04"/>
    <w:rsid w:val="00E238FA"/>
    <w:rsid w:val="00E23A35"/>
    <w:rsid w:val="00E2416D"/>
    <w:rsid w:val="00E245D3"/>
    <w:rsid w:val="00E246B9"/>
    <w:rsid w:val="00E24940"/>
    <w:rsid w:val="00E249F6"/>
    <w:rsid w:val="00E24AA1"/>
    <w:rsid w:val="00E2527A"/>
    <w:rsid w:val="00E25812"/>
    <w:rsid w:val="00E2583F"/>
    <w:rsid w:val="00E25D24"/>
    <w:rsid w:val="00E26723"/>
    <w:rsid w:val="00E26F47"/>
    <w:rsid w:val="00E27141"/>
    <w:rsid w:val="00E2766E"/>
    <w:rsid w:val="00E276AA"/>
    <w:rsid w:val="00E27CC9"/>
    <w:rsid w:val="00E27E8E"/>
    <w:rsid w:val="00E27FCE"/>
    <w:rsid w:val="00E30120"/>
    <w:rsid w:val="00E304F8"/>
    <w:rsid w:val="00E309B4"/>
    <w:rsid w:val="00E309BE"/>
    <w:rsid w:val="00E30C73"/>
    <w:rsid w:val="00E30E8B"/>
    <w:rsid w:val="00E31244"/>
    <w:rsid w:val="00E3145D"/>
    <w:rsid w:val="00E316D8"/>
    <w:rsid w:val="00E31C9C"/>
    <w:rsid w:val="00E31CBF"/>
    <w:rsid w:val="00E31CFE"/>
    <w:rsid w:val="00E320F7"/>
    <w:rsid w:val="00E32966"/>
    <w:rsid w:val="00E32AA6"/>
    <w:rsid w:val="00E32D95"/>
    <w:rsid w:val="00E32EC4"/>
    <w:rsid w:val="00E330B5"/>
    <w:rsid w:val="00E33419"/>
    <w:rsid w:val="00E33943"/>
    <w:rsid w:val="00E33BF2"/>
    <w:rsid w:val="00E33C4B"/>
    <w:rsid w:val="00E33CF0"/>
    <w:rsid w:val="00E33F84"/>
    <w:rsid w:val="00E3422B"/>
    <w:rsid w:val="00E34731"/>
    <w:rsid w:val="00E34B2E"/>
    <w:rsid w:val="00E34D53"/>
    <w:rsid w:val="00E34D90"/>
    <w:rsid w:val="00E34DEE"/>
    <w:rsid w:val="00E35102"/>
    <w:rsid w:val="00E352B9"/>
    <w:rsid w:val="00E35A16"/>
    <w:rsid w:val="00E35DDC"/>
    <w:rsid w:val="00E35E6C"/>
    <w:rsid w:val="00E35EDE"/>
    <w:rsid w:val="00E35EE6"/>
    <w:rsid w:val="00E35EEA"/>
    <w:rsid w:val="00E360C7"/>
    <w:rsid w:val="00E36247"/>
    <w:rsid w:val="00E36694"/>
    <w:rsid w:val="00E366A5"/>
    <w:rsid w:val="00E36F02"/>
    <w:rsid w:val="00E37DE3"/>
    <w:rsid w:val="00E4083D"/>
    <w:rsid w:val="00E40B4C"/>
    <w:rsid w:val="00E40CCA"/>
    <w:rsid w:val="00E40E5A"/>
    <w:rsid w:val="00E411AB"/>
    <w:rsid w:val="00E41308"/>
    <w:rsid w:val="00E4167B"/>
    <w:rsid w:val="00E41954"/>
    <w:rsid w:val="00E41D95"/>
    <w:rsid w:val="00E42260"/>
    <w:rsid w:val="00E4253C"/>
    <w:rsid w:val="00E425F8"/>
    <w:rsid w:val="00E42871"/>
    <w:rsid w:val="00E42E89"/>
    <w:rsid w:val="00E43045"/>
    <w:rsid w:val="00E43298"/>
    <w:rsid w:val="00E43817"/>
    <w:rsid w:val="00E4396D"/>
    <w:rsid w:val="00E43C28"/>
    <w:rsid w:val="00E4429B"/>
    <w:rsid w:val="00E4469C"/>
    <w:rsid w:val="00E446CD"/>
    <w:rsid w:val="00E44E9B"/>
    <w:rsid w:val="00E451C4"/>
    <w:rsid w:val="00E455C1"/>
    <w:rsid w:val="00E458EC"/>
    <w:rsid w:val="00E45971"/>
    <w:rsid w:val="00E459CB"/>
    <w:rsid w:val="00E463C1"/>
    <w:rsid w:val="00E46516"/>
    <w:rsid w:val="00E46855"/>
    <w:rsid w:val="00E46E23"/>
    <w:rsid w:val="00E47072"/>
    <w:rsid w:val="00E472BA"/>
    <w:rsid w:val="00E473E2"/>
    <w:rsid w:val="00E474A8"/>
    <w:rsid w:val="00E479A9"/>
    <w:rsid w:val="00E50588"/>
    <w:rsid w:val="00E507DB"/>
    <w:rsid w:val="00E509EB"/>
    <w:rsid w:val="00E50B4A"/>
    <w:rsid w:val="00E50B7B"/>
    <w:rsid w:val="00E50F3D"/>
    <w:rsid w:val="00E50FDA"/>
    <w:rsid w:val="00E51050"/>
    <w:rsid w:val="00E516A2"/>
    <w:rsid w:val="00E51AAE"/>
    <w:rsid w:val="00E51F68"/>
    <w:rsid w:val="00E521DD"/>
    <w:rsid w:val="00E523E0"/>
    <w:rsid w:val="00E52462"/>
    <w:rsid w:val="00E52494"/>
    <w:rsid w:val="00E52A6A"/>
    <w:rsid w:val="00E52CFF"/>
    <w:rsid w:val="00E52ED4"/>
    <w:rsid w:val="00E52EDA"/>
    <w:rsid w:val="00E530F1"/>
    <w:rsid w:val="00E53316"/>
    <w:rsid w:val="00E53690"/>
    <w:rsid w:val="00E5371F"/>
    <w:rsid w:val="00E53763"/>
    <w:rsid w:val="00E53C8A"/>
    <w:rsid w:val="00E5414F"/>
    <w:rsid w:val="00E543FB"/>
    <w:rsid w:val="00E546F2"/>
    <w:rsid w:val="00E54CBE"/>
    <w:rsid w:val="00E54D73"/>
    <w:rsid w:val="00E54E48"/>
    <w:rsid w:val="00E55451"/>
    <w:rsid w:val="00E55699"/>
    <w:rsid w:val="00E55A18"/>
    <w:rsid w:val="00E55A61"/>
    <w:rsid w:val="00E56166"/>
    <w:rsid w:val="00E563F3"/>
    <w:rsid w:val="00E56900"/>
    <w:rsid w:val="00E56AE2"/>
    <w:rsid w:val="00E56B69"/>
    <w:rsid w:val="00E56C15"/>
    <w:rsid w:val="00E56D09"/>
    <w:rsid w:val="00E56F84"/>
    <w:rsid w:val="00E57341"/>
    <w:rsid w:val="00E57EB4"/>
    <w:rsid w:val="00E60068"/>
    <w:rsid w:val="00E604C1"/>
    <w:rsid w:val="00E6057C"/>
    <w:rsid w:val="00E60786"/>
    <w:rsid w:val="00E60A7A"/>
    <w:rsid w:val="00E610D2"/>
    <w:rsid w:val="00E61132"/>
    <w:rsid w:val="00E6208E"/>
    <w:rsid w:val="00E62324"/>
    <w:rsid w:val="00E623E9"/>
    <w:rsid w:val="00E624E2"/>
    <w:rsid w:val="00E62772"/>
    <w:rsid w:val="00E62B07"/>
    <w:rsid w:val="00E636BF"/>
    <w:rsid w:val="00E639A0"/>
    <w:rsid w:val="00E6432C"/>
    <w:rsid w:val="00E646CC"/>
    <w:rsid w:val="00E6542E"/>
    <w:rsid w:val="00E6547B"/>
    <w:rsid w:val="00E6589C"/>
    <w:rsid w:val="00E65959"/>
    <w:rsid w:val="00E65CAF"/>
    <w:rsid w:val="00E65CCD"/>
    <w:rsid w:val="00E6617F"/>
    <w:rsid w:val="00E661E9"/>
    <w:rsid w:val="00E662AF"/>
    <w:rsid w:val="00E66562"/>
    <w:rsid w:val="00E665FF"/>
    <w:rsid w:val="00E668C7"/>
    <w:rsid w:val="00E66AC5"/>
    <w:rsid w:val="00E66BB3"/>
    <w:rsid w:val="00E67533"/>
    <w:rsid w:val="00E67809"/>
    <w:rsid w:val="00E6792C"/>
    <w:rsid w:val="00E67A41"/>
    <w:rsid w:val="00E67B8B"/>
    <w:rsid w:val="00E67C24"/>
    <w:rsid w:val="00E67C7D"/>
    <w:rsid w:val="00E701A4"/>
    <w:rsid w:val="00E702C9"/>
    <w:rsid w:val="00E70E81"/>
    <w:rsid w:val="00E714E6"/>
    <w:rsid w:val="00E715DC"/>
    <w:rsid w:val="00E71A92"/>
    <w:rsid w:val="00E71C50"/>
    <w:rsid w:val="00E71E9E"/>
    <w:rsid w:val="00E72958"/>
    <w:rsid w:val="00E72D06"/>
    <w:rsid w:val="00E73038"/>
    <w:rsid w:val="00E732CC"/>
    <w:rsid w:val="00E73A97"/>
    <w:rsid w:val="00E73DCD"/>
    <w:rsid w:val="00E7400E"/>
    <w:rsid w:val="00E742D8"/>
    <w:rsid w:val="00E74948"/>
    <w:rsid w:val="00E75889"/>
    <w:rsid w:val="00E758C3"/>
    <w:rsid w:val="00E75A42"/>
    <w:rsid w:val="00E75C0E"/>
    <w:rsid w:val="00E75EEA"/>
    <w:rsid w:val="00E7625C"/>
    <w:rsid w:val="00E77065"/>
    <w:rsid w:val="00E770E3"/>
    <w:rsid w:val="00E77795"/>
    <w:rsid w:val="00E77DB5"/>
    <w:rsid w:val="00E77EB2"/>
    <w:rsid w:val="00E77EE0"/>
    <w:rsid w:val="00E8003D"/>
    <w:rsid w:val="00E803FA"/>
    <w:rsid w:val="00E80693"/>
    <w:rsid w:val="00E808D4"/>
    <w:rsid w:val="00E81047"/>
    <w:rsid w:val="00E81C7A"/>
    <w:rsid w:val="00E82007"/>
    <w:rsid w:val="00E82317"/>
    <w:rsid w:val="00E82471"/>
    <w:rsid w:val="00E82A52"/>
    <w:rsid w:val="00E82DD1"/>
    <w:rsid w:val="00E834CC"/>
    <w:rsid w:val="00E83549"/>
    <w:rsid w:val="00E83D88"/>
    <w:rsid w:val="00E840C5"/>
    <w:rsid w:val="00E843C2"/>
    <w:rsid w:val="00E8445A"/>
    <w:rsid w:val="00E848F3"/>
    <w:rsid w:val="00E84AE1"/>
    <w:rsid w:val="00E84B38"/>
    <w:rsid w:val="00E85616"/>
    <w:rsid w:val="00E85AC8"/>
    <w:rsid w:val="00E85F07"/>
    <w:rsid w:val="00E86671"/>
    <w:rsid w:val="00E8677B"/>
    <w:rsid w:val="00E86B51"/>
    <w:rsid w:val="00E86F89"/>
    <w:rsid w:val="00E870BA"/>
    <w:rsid w:val="00E871FA"/>
    <w:rsid w:val="00E873EE"/>
    <w:rsid w:val="00E87470"/>
    <w:rsid w:val="00E8779C"/>
    <w:rsid w:val="00E90008"/>
    <w:rsid w:val="00E901C5"/>
    <w:rsid w:val="00E90426"/>
    <w:rsid w:val="00E9072F"/>
    <w:rsid w:val="00E90F0F"/>
    <w:rsid w:val="00E9122F"/>
    <w:rsid w:val="00E9124C"/>
    <w:rsid w:val="00E91690"/>
    <w:rsid w:val="00E91BEC"/>
    <w:rsid w:val="00E91C62"/>
    <w:rsid w:val="00E92233"/>
    <w:rsid w:val="00E92257"/>
    <w:rsid w:val="00E9235D"/>
    <w:rsid w:val="00E926E3"/>
    <w:rsid w:val="00E927E1"/>
    <w:rsid w:val="00E929FD"/>
    <w:rsid w:val="00E92CFE"/>
    <w:rsid w:val="00E93022"/>
    <w:rsid w:val="00E931F1"/>
    <w:rsid w:val="00E93283"/>
    <w:rsid w:val="00E93398"/>
    <w:rsid w:val="00E93A15"/>
    <w:rsid w:val="00E93E10"/>
    <w:rsid w:val="00E93E63"/>
    <w:rsid w:val="00E93EC2"/>
    <w:rsid w:val="00E94039"/>
    <w:rsid w:val="00E940FA"/>
    <w:rsid w:val="00E9418A"/>
    <w:rsid w:val="00E94636"/>
    <w:rsid w:val="00E947B0"/>
    <w:rsid w:val="00E947B6"/>
    <w:rsid w:val="00E94811"/>
    <w:rsid w:val="00E94D6F"/>
    <w:rsid w:val="00E94EAF"/>
    <w:rsid w:val="00E9593E"/>
    <w:rsid w:val="00E95A18"/>
    <w:rsid w:val="00E95B2D"/>
    <w:rsid w:val="00E95EBC"/>
    <w:rsid w:val="00E95F40"/>
    <w:rsid w:val="00E96152"/>
    <w:rsid w:val="00E96406"/>
    <w:rsid w:val="00E9696D"/>
    <w:rsid w:val="00E96A61"/>
    <w:rsid w:val="00E96B41"/>
    <w:rsid w:val="00E96F5F"/>
    <w:rsid w:val="00E97230"/>
    <w:rsid w:val="00E975B2"/>
    <w:rsid w:val="00E97732"/>
    <w:rsid w:val="00E97E01"/>
    <w:rsid w:val="00E97FEC"/>
    <w:rsid w:val="00EA07DB"/>
    <w:rsid w:val="00EA0900"/>
    <w:rsid w:val="00EA0D17"/>
    <w:rsid w:val="00EA0E4A"/>
    <w:rsid w:val="00EA0ED9"/>
    <w:rsid w:val="00EA123D"/>
    <w:rsid w:val="00EA1518"/>
    <w:rsid w:val="00EA1A86"/>
    <w:rsid w:val="00EA1B7F"/>
    <w:rsid w:val="00EA1C25"/>
    <w:rsid w:val="00EA1CC2"/>
    <w:rsid w:val="00EA1E60"/>
    <w:rsid w:val="00EA1EB4"/>
    <w:rsid w:val="00EA218B"/>
    <w:rsid w:val="00EA27A0"/>
    <w:rsid w:val="00EA2BB0"/>
    <w:rsid w:val="00EA2E01"/>
    <w:rsid w:val="00EA2E9B"/>
    <w:rsid w:val="00EA30F0"/>
    <w:rsid w:val="00EA3136"/>
    <w:rsid w:val="00EA3257"/>
    <w:rsid w:val="00EA3649"/>
    <w:rsid w:val="00EA37A0"/>
    <w:rsid w:val="00EA395A"/>
    <w:rsid w:val="00EA3D5B"/>
    <w:rsid w:val="00EA4502"/>
    <w:rsid w:val="00EA4A35"/>
    <w:rsid w:val="00EA4C62"/>
    <w:rsid w:val="00EA4D05"/>
    <w:rsid w:val="00EA5947"/>
    <w:rsid w:val="00EA5950"/>
    <w:rsid w:val="00EA5C53"/>
    <w:rsid w:val="00EA5E9B"/>
    <w:rsid w:val="00EA6202"/>
    <w:rsid w:val="00EA62E8"/>
    <w:rsid w:val="00EA661F"/>
    <w:rsid w:val="00EA68DD"/>
    <w:rsid w:val="00EA6AC9"/>
    <w:rsid w:val="00EA6D93"/>
    <w:rsid w:val="00EA6DFA"/>
    <w:rsid w:val="00EA6E42"/>
    <w:rsid w:val="00EA6EBF"/>
    <w:rsid w:val="00EA7514"/>
    <w:rsid w:val="00EA756D"/>
    <w:rsid w:val="00EA77C7"/>
    <w:rsid w:val="00EA77CD"/>
    <w:rsid w:val="00EA7A38"/>
    <w:rsid w:val="00EA7C97"/>
    <w:rsid w:val="00EA7E4E"/>
    <w:rsid w:val="00EB00BF"/>
    <w:rsid w:val="00EB015B"/>
    <w:rsid w:val="00EB058A"/>
    <w:rsid w:val="00EB071A"/>
    <w:rsid w:val="00EB0ABC"/>
    <w:rsid w:val="00EB0BA5"/>
    <w:rsid w:val="00EB0BE1"/>
    <w:rsid w:val="00EB0D90"/>
    <w:rsid w:val="00EB0FBF"/>
    <w:rsid w:val="00EB1212"/>
    <w:rsid w:val="00EB12DF"/>
    <w:rsid w:val="00EB1B56"/>
    <w:rsid w:val="00EB1BDE"/>
    <w:rsid w:val="00EB1EF4"/>
    <w:rsid w:val="00EB1F9E"/>
    <w:rsid w:val="00EB2445"/>
    <w:rsid w:val="00EB291E"/>
    <w:rsid w:val="00EB2A8E"/>
    <w:rsid w:val="00EB2B1C"/>
    <w:rsid w:val="00EB2E7E"/>
    <w:rsid w:val="00EB2ED6"/>
    <w:rsid w:val="00EB2EDC"/>
    <w:rsid w:val="00EB2FEF"/>
    <w:rsid w:val="00EB316A"/>
    <w:rsid w:val="00EB3700"/>
    <w:rsid w:val="00EB3A00"/>
    <w:rsid w:val="00EB3B3E"/>
    <w:rsid w:val="00EB4AAA"/>
    <w:rsid w:val="00EB4B2C"/>
    <w:rsid w:val="00EB4E5F"/>
    <w:rsid w:val="00EB531C"/>
    <w:rsid w:val="00EB5448"/>
    <w:rsid w:val="00EB551C"/>
    <w:rsid w:val="00EB5B53"/>
    <w:rsid w:val="00EB5FD1"/>
    <w:rsid w:val="00EB60EE"/>
    <w:rsid w:val="00EB60F9"/>
    <w:rsid w:val="00EB635F"/>
    <w:rsid w:val="00EB6398"/>
    <w:rsid w:val="00EB6493"/>
    <w:rsid w:val="00EB6575"/>
    <w:rsid w:val="00EB66AE"/>
    <w:rsid w:val="00EB68FD"/>
    <w:rsid w:val="00EB69C9"/>
    <w:rsid w:val="00EB6BA4"/>
    <w:rsid w:val="00EB6EA1"/>
    <w:rsid w:val="00EB70D9"/>
    <w:rsid w:val="00EB70E9"/>
    <w:rsid w:val="00EB7409"/>
    <w:rsid w:val="00EB7443"/>
    <w:rsid w:val="00EB7829"/>
    <w:rsid w:val="00EB7BD4"/>
    <w:rsid w:val="00EB7DCE"/>
    <w:rsid w:val="00EB7E09"/>
    <w:rsid w:val="00EB7F37"/>
    <w:rsid w:val="00EC031E"/>
    <w:rsid w:val="00EC0B4E"/>
    <w:rsid w:val="00EC0F03"/>
    <w:rsid w:val="00EC1318"/>
    <w:rsid w:val="00EC1FB8"/>
    <w:rsid w:val="00EC2369"/>
    <w:rsid w:val="00EC24CE"/>
    <w:rsid w:val="00EC262F"/>
    <w:rsid w:val="00EC26C1"/>
    <w:rsid w:val="00EC29DA"/>
    <w:rsid w:val="00EC2B41"/>
    <w:rsid w:val="00EC2B96"/>
    <w:rsid w:val="00EC2CDD"/>
    <w:rsid w:val="00EC2E80"/>
    <w:rsid w:val="00EC3072"/>
    <w:rsid w:val="00EC371F"/>
    <w:rsid w:val="00EC393F"/>
    <w:rsid w:val="00EC3A82"/>
    <w:rsid w:val="00EC3F9A"/>
    <w:rsid w:val="00EC4092"/>
    <w:rsid w:val="00EC4AEC"/>
    <w:rsid w:val="00EC4EBF"/>
    <w:rsid w:val="00EC5318"/>
    <w:rsid w:val="00EC53E1"/>
    <w:rsid w:val="00EC5637"/>
    <w:rsid w:val="00EC5AF7"/>
    <w:rsid w:val="00EC6057"/>
    <w:rsid w:val="00EC6735"/>
    <w:rsid w:val="00EC6745"/>
    <w:rsid w:val="00EC69C8"/>
    <w:rsid w:val="00EC6AA6"/>
    <w:rsid w:val="00EC6DD7"/>
    <w:rsid w:val="00EC728C"/>
    <w:rsid w:val="00EC740C"/>
    <w:rsid w:val="00EC75E6"/>
    <w:rsid w:val="00EC7943"/>
    <w:rsid w:val="00EC7C81"/>
    <w:rsid w:val="00EC7FA5"/>
    <w:rsid w:val="00ED0064"/>
    <w:rsid w:val="00ED029E"/>
    <w:rsid w:val="00ED06E2"/>
    <w:rsid w:val="00ED0AFD"/>
    <w:rsid w:val="00ED1252"/>
    <w:rsid w:val="00ED16DC"/>
    <w:rsid w:val="00ED181D"/>
    <w:rsid w:val="00ED19B8"/>
    <w:rsid w:val="00ED1B89"/>
    <w:rsid w:val="00ED1CDF"/>
    <w:rsid w:val="00ED1DEE"/>
    <w:rsid w:val="00ED1FE2"/>
    <w:rsid w:val="00ED2648"/>
    <w:rsid w:val="00ED26CC"/>
    <w:rsid w:val="00ED2BBD"/>
    <w:rsid w:val="00ED354C"/>
    <w:rsid w:val="00ED35D2"/>
    <w:rsid w:val="00ED3B32"/>
    <w:rsid w:val="00ED3D7E"/>
    <w:rsid w:val="00ED3DA3"/>
    <w:rsid w:val="00ED4501"/>
    <w:rsid w:val="00ED4A9B"/>
    <w:rsid w:val="00ED4B5D"/>
    <w:rsid w:val="00ED4BB3"/>
    <w:rsid w:val="00ED4E7E"/>
    <w:rsid w:val="00ED4F91"/>
    <w:rsid w:val="00ED534D"/>
    <w:rsid w:val="00ED5404"/>
    <w:rsid w:val="00ED5500"/>
    <w:rsid w:val="00ED56CD"/>
    <w:rsid w:val="00ED576A"/>
    <w:rsid w:val="00ED5FD1"/>
    <w:rsid w:val="00ED634C"/>
    <w:rsid w:val="00ED66B3"/>
    <w:rsid w:val="00ED67FA"/>
    <w:rsid w:val="00ED6AEF"/>
    <w:rsid w:val="00ED7290"/>
    <w:rsid w:val="00ED7620"/>
    <w:rsid w:val="00ED77CD"/>
    <w:rsid w:val="00ED7F18"/>
    <w:rsid w:val="00EE006B"/>
    <w:rsid w:val="00EE01D8"/>
    <w:rsid w:val="00EE04A3"/>
    <w:rsid w:val="00EE04AB"/>
    <w:rsid w:val="00EE04FC"/>
    <w:rsid w:val="00EE0547"/>
    <w:rsid w:val="00EE0567"/>
    <w:rsid w:val="00EE149A"/>
    <w:rsid w:val="00EE1B46"/>
    <w:rsid w:val="00EE1C8F"/>
    <w:rsid w:val="00EE1CAF"/>
    <w:rsid w:val="00EE1D87"/>
    <w:rsid w:val="00EE1E78"/>
    <w:rsid w:val="00EE274D"/>
    <w:rsid w:val="00EE2A5F"/>
    <w:rsid w:val="00EE2FB5"/>
    <w:rsid w:val="00EE3477"/>
    <w:rsid w:val="00EE3608"/>
    <w:rsid w:val="00EE3B2A"/>
    <w:rsid w:val="00EE3F99"/>
    <w:rsid w:val="00EE4095"/>
    <w:rsid w:val="00EE42E6"/>
    <w:rsid w:val="00EE4AA3"/>
    <w:rsid w:val="00EE4EE9"/>
    <w:rsid w:val="00EE4EFA"/>
    <w:rsid w:val="00EE50C7"/>
    <w:rsid w:val="00EE530F"/>
    <w:rsid w:val="00EE54CC"/>
    <w:rsid w:val="00EE58FD"/>
    <w:rsid w:val="00EE59B4"/>
    <w:rsid w:val="00EE5A58"/>
    <w:rsid w:val="00EE5B5B"/>
    <w:rsid w:val="00EE5CDE"/>
    <w:rsid w:val="00EE61AE"/>
    <w:rsid w:val="00EE6820"/>
    <w:rsid w:val="00EE6BA6"/>
    <w:rsid w:val="00EE6C70"/>
    <w:rsid w:val="00EE6CEA"/>
    <w:rsid w:val="00EE6F80"/>
    <w:rsid w:val="00EE735E"/>
    <w:rsid w:val="00EE73F2"/>
    <w:rsid w:val="00EE7D1A"/>
    <w:rsid w:val="00EF0126"/>
    <w:rsid w:val="00EF024D"/>
    <w:rsid w:val="00EF0299"/>
    <w:rsid w:val="00EF031D"/>
    <w:rsid w:val="00EF055B"/>
    <w:rsid w:val="00EF05C1"/>
    <w:rsid w:val="00EF0718"/>
    <w:rsid w:val="00EF0969"/>
    <w:rsid w:val="00EF0BDD"/>
    <w:rsid w:val="00EF0EC9"/>
    <w:rsid w:val="00EF0F3D"/>
    <w:rsid w:val="00EF1A2F"/>
    <w:rsid w:val="00EF1BE7"/>
    <w:rsid w:val="00EF1E7F"/>
    <w:rsid w:val="00EF21E9"/>
    <w:rsid w:val="00EF28E2"/>
    <w:rsid w:val="00EF3105"/>
    <w:rsid w:val="00EF341A"/>
    <w:rsid w:val="00EF3B6F"/>
    <w:rsid w:val="00EF41A8"/>
    <w:rsid w:val="00EF4288"/>
    <w:rsid w:val="00EF44BE"/>
    <w:rsid w:val="00EF4516"/>
    <w:rsid w:val="00EF45D6"/>
    <w:rsid w:val="00EF4682"/>
    <w:rsid w:val="00EF47EB"/>
    <w:rsid w:val="00EF4948"/>
    <w:rsid w:val="00EF5339"/>
    <w:rsid w:val="00EF537F"/>
    <w:rsid w:val="00EF5C2D"/>
    <w:rsid w:val="00EF5CE4"/>
    <w:rsid w:val="00EF6562"/>
    <w:rsid w:val="00EF661D"/>
    <w:rsid w:val="00EF6998"/>
    <w:rsid w:val="00EF6B4F"/>
    <w:rsid w:val="00EF6BC4"/>
    <w:rsid w:val="00EF72DD"/>
    <w:rsid w:val="00EF74BC"/>
    <w:rsid w:val="00EF7514"/>
    <w:rsid w:val="00EF7613"/>
    <w:rsid w:val="00EF78B0"/>
    <w:rsid w:val="00EF7949"/>
    <w:rsid w:val="00EF79BD"/>
    <w:rsid w:val="00EF7C6D"/>
    <w:rsid w:val="00F00053"/>
    <w:rsid w:val="00F001A0"/>
    <w:rsid w:val="00F004BA"/>
    <w:rsid w:val="00F00522"/>
    <w:rsid w:val="00F006C1"/>
    <w:rsid w:val="00F007CA"/>
    <w:rsid w:val="00F00844"/>
    <w:rsid w:val="00F00A36"/>
    <w:rsid w:val="00F00FFA"/>
    <w:rsid w:val="00F01338"/>
    <w:rsid w:val="00F0161D"/>
    <w:rsid w:val="00F019F3"/>
    <w:rsid w:val="00F01C19"/>
    <w:rsid w:val="00F01C7B"/>
    <w:rsid w:val="00F02255"/>
    <w:rsid w:val="00F022A5"/>
    <w:rsid w:val="00F0230E"/>
    <w:rsid w:val="00F0244C"/>
    <w:rsid w:val="00F02BA7"/>
    <w:rsid w:val="00F02F1E"/>
    <w:rsid w:val="00F03046"/>
    <w:rsid w:val="00F03083"/>
    <w:rsid w:val="00F03370"/>
    <w:rsid w:val="00F03968"/>
    <w:rsid w:val="00F03AB2"/>
    <w:rsid w:val="00F03B6D"/>
    <w:rsid w:val="00F03BB3"/>
    <w:rsid w:val="00F03E49"/>
    <w:rsid w:val="00F0401C"/>
    <w:rsid w:val="00F04025"/>
    <w:rsid w:val="00F0411B"/>
    <w:rsid w:val="00F041B7"/>
    <w:rsid w:val="00F041C0"/>
    <w:rsid w:val="00F0461A"/>
    <w:rsid w:val="00F04AB1"/>
    <w:rsid w:val="00F04AE2"/>
    <w:rsid w:val="00F04AEC"/>
    <w:rsid w:val="00F04BE8"/>
    <w:rsid w:val="00F04DC7"/>
    <w:rsid w:val="00F04E81"/>
    <w:rsid w:val="00F04FA7"/>
    <w:rsid w:val="00F05363"/>
    <w:rsid w:val="00F054A4"/>
    <w:rsid w:val="00F054A8"/>
    <w:rsid w:val="00F0580C"/>
    <w:rsid w:val="00F05F60"/>
    <w:rsid w:val="00F06224"/>
    <w:rsid w:val="00F06468"/>
    <w:rsid w:val="00F064AF"/>
    <w:rsid w:val="00F064F1"/>
    <w:rsid w:val="00F067AE"/>
    <w:rsid w:val="00F06954"/>
    <w:rsid w:val="00F06BF6"/>
    <w:rsid w:val="00F0702E"/>
    <w:rsid w:val="00F070B9"/>
    <w:rsid w:val="00F07363"/>
    <w:rsid w:val="00F074D5"/>
    <w:rsid w:val="00F07517"/>
    <w:rsid w:val="00F078DC"/>
    <w:rsid w:val="00F07F86"/>
    <w:rsid w:val="00F1023E"/>
    <w:rsid w:val="00F103C3"/>
    <w:rsid w:val="00F10A93"/>
    <w:rsid w:val="00F10E64"/>
    <w:rsid w:val="00F111F3"/>
    <w:rsid w:val="00F11234"/>
    <w:rsid w:val="00F1133D"/>
    <w:rsid w:val="00F11487"/>
    <w:rsid w:val="00F11644"/>
    <w:rsid w:val="00F11757"/>
    <w:rsid w:val="00F12322"/>
    <w:rsid w:val="00F12587"/>
    <w:rsid w:val="00F126B8"/>
    <w:rsid w:val="00F12A76"/>
    <w:rsid w:val="00F12F37"/>
    <w:rsid w:val="00F130B3"/>
    <w:rsid w:val="00F135F5"/>
    <w:rsid w:val="00F13AEA"/>
    <w:rsid w:val="00F13AFE"/>
    <w:rsid w:val="00F140DF"/>
    <w:rsid w:val="00F142BB"/>
    <w:rsid w:val="00F1437C"/>
    <w:rsid w:val="00F144E8"/>
    <w:rsid w:val="00F14B0B"/>
    <w:rsid w:val="00F14CF5"/>
    <w:rsid w:val="00F15C51"/>
    <w:rsid w:val="00F15E1B"/>
    <w:rsid w:val="00F15EC4"/>
    <w:rsid w:val="00F1621F"/>
    <w:rsid w:val="00F16494"/>
    <w:rsid w:val="00F16780"/>
    <w:rsid w:val="00F1681C"/>
    <w:rsid w:val="00F16DBD"/>
    <w:rsid w:val="00F172FD"/>
    <w:rsid w:val="00F173AB"/>
    <w:rsid w:val="00F17406"/>
    <w:rsid w:val="00F17570"/>
    <w:rsid w:val="00F175C5"/>
    <w:rsid w:val="00F1795F"/>
    <w:rsid w:val="00F17A9C"/>
    <w:rsid w:val="00F17C16"/>
    <w:rsid w:val="00F17E22"/>
    <w:rsid w:val="00F17F09"/>
    <w:rsid w:val="00F17F2E"/>
    <w:rsid w:val="00F2004B"/>
    <w:rsid w:val="00F207BF"/>
    <w:rsid w:val="00F20FAB"/>
    <w:rsid w:val="00F20FE6"/>
    <w:rsid w:val="00F212D6"/>
    <w:rsid w:val="00F21BCD"/>
    <w:rsid w:val="00F21C3D"/>
    <w:rsid w:val="00F21C79"/>
    <w:rsid w:val="00F222B9"/>
    <w:rsid w:val="00F22BF1"/>
    <w:rsid w:val="00F22C21"/>
    <w:rsid w:val="00F22CF6"/>
    <w:rsid w:val="00F22F51"/>
    <w:rsid w:val="00F232A1"/>
    <w:rsid w:val="00F2334F"/>
    <w:rsid w:val="00F238C5"/>
    <w:rsid w:val="00F23AD2"/>
    <w:rsid w:val="00F23D85"/>
    <w:rsid w:val="00F23E36"/>
    <w:rsid w:val="00F23FB8"/>
    <w:rsid w:val="00F24057"/>
    <w:rsid w:val="00F24542"/>
    <w:rsid w:val="00F2454B"/>
    <w:rsid w:val="00F24650"/>
    <w:rsid w:val="00F249E8"/>
    <w:rsid w:val="00F24A3C"/>
    <w:rsid w:val="00F24A8D"/>
    <w:rsid w:val="00F24D98"/>
    <w:rsid w:val="00F253C7"/>
    <w:rsid w:val="00F25623"/>
    <w:rsid w:val="00F25679"/>
    <w:rsid w:val="00F25765"/>
    <w:rsid w:val="00F25809"/>
    <w:rsid w:val="00F25978"/>
    <w:rsid w:val="00F25B45"/>
    <w:rsid w:val="00F25C18"/>
    <w:rsid w:val="00F25E06"/>
    <w:rsid w:val="00F260DB"/>
    <w:rsid w:val="00F26D1D"/>
    <w:rsid w:val="00F26D2F"/>
    <w:rsid w:val="00F2760C"/>
    <w:rsid w:val="00F27B18"/>
    <w:rsid w:val="00F27CA5"/>
    <w:rsid w:val="00F27D4A"/>
    <w:rsid w:val="00F27D57"/>
    <w:rsid w:val="00F27FE4"/>
    <w:rsid w:val="00F300CC"/>
    <w:rsid w:val="00F303D4"/>
    <w:rsid w:val="00F30729"/>
    <w:rsid w:val="00F312EB"/>
    <w:rsid w:val="00F3170D"/>
    <w:rsid w:val="00F3171E"/>
    <w:rsid w:val="00F3190E"/>
    <w:rsid w:val="00F319B1"/>
    <w:rsid w:val="00F319B9"/>
    <w:rsid w:val="00F31B83"/>
    <w:rsid w:val="00F31C4F"/>
    <w:rsid w:val="00F321CC"/>
    <w:rsid w:val="00F32250"/>
    <w:rsid w:val="00F32BBA"/>
    <w:rsid w:val="00F32BE0"/>
    <w:rsid w:val="00F32C72"/>
    <w:rsid w:val="00F335C4"/>
    <w:rsid w:val="00F33AB7"/>
    <w:rsid w:val="00F33E44"/>
    <w:rsid w:val="00F33EB0"/>
    <w:rsid w:val="00F33FB9"/>
    <w:rsid w:val="00F34008"/>
    <w:rsid w:val="00F3469B"/>
    <w:rsid w:val="00F346FB"/>
    <w:rsid w:val="00F34833"/>
    <w:rsid w:val="00F34E80"/>
    <w:rsid w:val="00F35391"/>
    <w:rsid w:val="00F35BEA"/>
    <w:rsid w:val="00F35CBD"/>
    <w:rsid w:val="00F35D78"/>
    <w:rsid w:val="00F35FB6"/>
    <w:rsid w:val="00F36020"/>
    <w:rsid w:val="00F36213"/>
    <w:rsid w:val="00F36AA7"/>
    <w:rsid w:val="00F36BA5"/>
    <w:rsid w:val="00F36C82"/>
    <w:rsid w:val="00F37871"/>
    <w:rsid w:val="00F378A3"/>
    <w:rsid w:val="00F378E0"/>
    <w:rsid w:val="00F37AFC"/>
    <w:rsid w:val="00F37DF9"/>
    <w:rsid w:val="00F37FEB"/>
    <w:rsid w:val="00F37FFA"/>
    <w:rsid w:val="00F40281"/>
    <w:rsid w:val="00F402E3"/>
    <w:rsid w:val="00F40783"/>
    <w:rsid w:val="00F40D42"/>
    <w:rsid w:val="00F40E62"/>
    <w:rsid w:val="00F41278"/>
    <w:rsid w:val="00F41311"/>
    <w:rsid w:val="00F41604"/>
    <w:rsid w:val="00F41679"/>
    <w:rsid w:val="00F416AD"/>
    <w:rsid w:val="00F4197A"/>
    <w:rsid w:val="00F41ACA"/>
    <w:rsid w:val="00F424C8"/>
    <w:rsid w:val="00F426F1"/>
    <w:rsid w:val="00F42A5D"/>
    <w:rsid w:val="00F42B07"/>
    <w:rsid w:val="00F42B34"/>
    <w:rsid w:val="00F42F63"/>
    <w:rsid w:val="00F430B4"/>
    <w:rsid w:val="00F433AA"/>
    <w:rsid w:val="00F43631"/>
    <w:rsid w:val="00F4402C"/>
    <w:rsid w:val="00F44092"/>
    <w:rsid w:val="00F44290"/>
    <w:rsid w:val="00F4500A"/>
    <w:rsid w:val="00F4541A"/>
    <w:rsid w:val="00F45959"/>
    <w:rsid w:val="00F45EDF"/>
    <w:rsid w:val="00F45FEC"/>
    <w:rsid w:val="00F45FFA"/>
    <w:rsid w:val="00F46029"/>
    <w:rsid w:val="00F46229"/>
    <w:rsid w:val="00F46614"/>
    <w:rsid w:val="00F46FEA"/>
    <w:rsid w:val="00F4798A"/>
    <w:rsid w:val="00F479B1"/>
    <w:rsid w:val="00F47B4C"/>
    <w:rsid w:val="00F47C22"/>
    <w:rsid w:val="00F47D0A"/>
    <w:rsid w:val="00F5009E"/>
    <w:rsid w:val="00F501F4"/>
    <w:rsid w:val="00F504E9"/>
    <w:rsid w:val="00F50509"/>
    <w:rsid w:val="00F507FD"/>
    <w:rsid w:val="00F5097E"/>
    <w:rsid w:val="00F50A9B"/>
    <w:rsid w:val="00F50C04"/>
    <w:rsid w:val="00F50CDD"/>
    <w:rsid w:val="00F51ABF"/>
    <w:rsid w:val="00F51DC7"/>
    <w:rsid w:val="00F52331"/>
    <w:rsid w:val="00F524B6"/>
    <w:rsid w:val="00F53051"/>
    <w:rsid w:val="00F531FD"/>
    <w:rsid w:val="00F539A6"/>
    <w:rsid w:val="00F53AD0"/>
    <w:rsid w:val="00F53D15"/>
    <w:rsid w:val="00F53ECC"/>
    <w:rsid w:val="00F5459F"/>
    <w:rsid w:val="00F54A02"/>
    <w:rsid w:val="00F54BB9"/>
    <w:rsid w:val="00F55357"/>
    <w:rsid w:val="00F55C52"/>
    <w:rsid w:val="00F55EE4"/>
    <w:rsid w:val="00F55EF4"/>
    <w:rsid w:val="00F561CA"/>
    <w:rsid w:val="00F565B7"/>
    <w:rsid w:val="00F56924"/>
    <w:rsid w:val="00F56AA1"/>
    <w:rsid w:val="00F56C4E"/>
    <w:rsid w:val="00F56F9E"/>
    <w:rsid w:val="00F57065"/>
    <w:rsid w:val="00F5719F"/>
    <w:rsid w:val="00F57D68"/>
    <w:rsid w:val="00F6022D"/>
    <w:rsid w:val="00F60324"/>
    <w:rsid w:val="00F60C56"/>
    <w:rsid w:val="00F61194"/>
    <w:rsid w:val="00F611D5"/>
    <w:rsid w:val="00F6143D"/>
    <w:rsid w:val="00F61457"/>
    <w:rsid w:val="00F61461"/>
    <w:rsid w:val="00F616E5"/>
    <w:rsid w:val="00F61C1B"/>
    <w:rsid w:val="00F6200D"/>
    <w:rsid w:val="00F6201A"/>
    <w:rsid w:val="00F62205"/>
    <w:rsid w:val="00F627CF"/>
    <w:rsid w:val="00F62855"/>
    <w:rsid w:val="00F628F6"/>
    <w:rsid w:val="00F6316A"/>
    <w:rsid w:val="00F631ED"/>
    <w:rsid w:val="00F6371D"/>
    <w:rsid w:val="00F63754"/>
    <w:rsid w:val="00F63B14"/>
    <w:rsid w:val="00F63CE0"/>
    <w:rsid w:val="00F63D98"/>
    <w:rsid w:val="00F63E25"/>
    <w:rsid w:val="00F640B9"/>
    <w:rsid w:val="00F6422C"/>
    <w:rsid w:val="00F643D5"/>
    <w:rsid w:val="00F643DA"/>
    <w:rsid w:val="00F649EF"/>
    <w:rsid w:val="00F64C0E"/>
    <w:rsid w:val="00F6527F"/>
    <w:rsid w:val="00F65A35"/>
    <w:rsid w:val="00F66163"/>
    <w:rsid w:val="00F66271"/>
    <w:rsid w:val="00F66367"/>
    <w:rsid w:val="00F665E0"/>
    <w:rsid w:val="00F66857"/>
    <w:rsid w:val="00F668B9"/>
    <w:rsid w:val="00F66AE9"/>
    <w:rsid w:val="00F66B39"/>
    <w:rsid w:val="00F66B99"/>
    <w:rsid w:val="00F66CFE"/>
    <w:rsid w:val="00F670B9"/>
    <w:rsid w:val="00F67172"/>
    <w:rsid w:val="00F67449"/>
    <w:rsid w:val="00F67502"/>
    <w:rsid w:val="00F67635"/>
    <w:rsid w:val="00F67659"/>
    <w:rsid w:val="00F67675"/>
    <w:rsid w:val="00F67A48"/>
    <w:rsid w:val="00F67B95"/>
    <w:rsid w:val="00F67ECC"/>
    <w:rsid w:val="00F67EEB"/>
    <w:rsid w:val="00F70183"/>
    <w:rsid w:val="00F7022E"/>
    <w:rsid w:val="00F7069D"/>
    <w:rsid w:val="00F718EC"/>
    <w:rsid w:val="00F71A48"/>
    <w:rsid w:val="00F71C66"/>
    <w:rsid w:val="00F7200B"/>
    <w:rsid w:val="00F7206C"/>
    <w:rsid w:val="00F7226F"/>
    <w:rsid w:val="00F7242A"/>
    <w:rsid w:val="00F7248D"/>
    <w:rsid w:val="00F72530"/>
    <w:rsid w:val="00F726E2"/>
    <w:rsid w:val="00F72B77"/>
    <w:rsid w:val="00F72E1D"/>
    <w:rsid w:val="00F72F01"/>
    <w:rsid w:val="00F7347B"/>
    <w:rsid w:val="00F73695"/>
    <w:rsid w:val="00F7399E"/>
    <w:rsid w:val="00F73CC2"/>
    <w:rsid w:val="00F73E2B"/>
    <w:rsid w:val="00F74269"/>
    <w:rsid w:val="00F74C86"/>
    <w:rsid w:val="00F74E96"/>
    <w:rsid w:val="00F74FC4"/>
    <w:rsid w:val="00F752C0"/>
    <w:rsid w:val="00F7592B"/>
    <w:rsid w:val="00F75A3F"/>
    <w:rsid w:val="00F75D96"/>
    <w:rsid w:val="00F76755"/>
    <w:rsid w:val="00F768D7"/>
    <w:rsid w:val="00F76C0F"/>
    <w:rsid w:val="00F76D80"/>
    <w:rsid w:val="00F770B6"/>
    <w:rsid w:val="00F771CF"/>
    <w:rsid w:val="00F7749F"/>
    <w:rsid w:val="00F77725"/>
    <w:rsid w:val="00F777E0"/>
    <w:rsid w:val="00F7794C"/>
    <w:rsid w:val="00F77997"/>
    <w:rsid w:val="00F77CF0"/>
    <w:rsid w:val="00F803A0"/>
    <w:rsid w:val="00F804A4"/>
    <w:rsid w:val="00F80834"/>
    <w:rsid w:val="00F80CB7"/>
    <w:rsid w:val="00F80DD8"/>
    <w:rsid w:val="00F80EFB"/>
    <w:rsid w:val="00F816A9"/>
    <w:rsid w:val="00F82274"/>
    <w:rsid w:val="00F82413"/>
    <w:rsid w:val="00F82B99"/>
    <w:rsid w:val="00F82E7E"/>
    <w:rsid w:val="00F83456"/>
    <w:rsid w:val="00F834FD"/>
    <w:rsid w:val="00F83784"/>
    <w:rsid w:val="00F837EC"/>
    <w:rsid w:val="00F83837"/>
    <w:rsid w:val="00F838FE"/>
    <w:rsid w:val="00F83D62"/>
    <w:rsid w:val="00F83E2E"/>
    <w:rsid w:val="00F83F15"/>
    <w:rsid w:val="00F843BD"/>
    <w:rsid w:val="00F84541"/>
    <w:rsid w:val="00F8471C"/>
    <w:rsid w:val="00F848E5"/>
    <w:rsid w:val="00F84CE5"/>
    <w:rsid w:val="00F84F56"/>
    <w:rsid w:val="00F85699"/>
    <w:rsid w:val="00F857A1"/>
    <w:rsid w:val="00F85AB1"/>
    <w:rsid w:val="00F85E1D"/>
    <w:rsid w:val="00F85E6C"/>
    <w:rsid w:val="00F8606B"/>
    <w:rsid w:val="00F8625E"/>
    <w:rsid w:val="00F862BB"/>
    <w:rsid w:val="00F86895"/>
    <w:rsid w:val="00F869DA"/>
    <w:rsid w:val="00F86B23"/>
    <w:rsid w:val="00F86C64"/>
    <w:rsid w:val="00F871A7"/>
    <w:rsid w:val="00F87205"/>
    <w:rsid w:val="00F878A8"/>
    <w:rsid w:val="00F87DD4"/>
    <w:rsid w:val="00F87F7A"/>
    <w:rsid w:val="00F90280"/>
    <w:rsid w:val="00F90521"/>
    <w:rsid w:val="00F90673"/>
    <w:rsid w:val="00F90ACD"/>
    <w:rsid w:val="00F90B34"/>
    <w:rsid w:val="00F90D76"/>
    <w:rsid w:val="00F90F03"/>
    <w:rsid w:val="00F91349"/>
    <w:rsid w:val="00F91ADD"/>
    <w:rsid w:val="00F91B86"/>
    <w:rsid w:val="00F92114"/>
    <w:rsid w:val="00F922AC"/>
    <w:rsid w:val="00F92884"/>
    <w:rsid w:val="00F929A4"/>
    <w:rsid w:val="00F92A90"/>
    <w:rsid w:val="00F92B9D"/>
    <w:rsid w:val="00F92E40"/>
    <w:rsid w:val="00F9320B"/>
    <w:rsid w:val="00F933D3"/>
    <w:rsid w:val="00F93436"/>
    <w:rsid w:val="00F934A8"/>
    <w:rsid w:val="00F939A1"/>
    <w:rsid w:val="00F93B4E"/>
    <w:rsid w:val="00F93C5B"/>
    <w:rsid w:val="00F93FF3"/>
    <w:rsid w:val="00F942AA"/>
    <w:rsid w:val="00F9456A"/>
    <w:rsid w:val="00F949EA"/>
    <w:rsid w:val="00F94A5F"/>
    <w:rsid w:val="00F94EBC"/>
    <w:rsid w:val="00F951CC"/>
    <w:rsid w:val="00F956E7"/>
    <w:rsid w:val="00F95A8C"/>
    <w:rsid w:val="00F95C9B"/>
    <w:rsid w:val="00F960F3"/>
    <w:rsid w:val="00F96133"/>
    <w:rsid w:val="00F96382"/>
    <w:rsid w:val="00F964A4"/>
    <w:rsid w:val="00F966FB"/>
    <w:rsid w:val="00F96711"/>
    <w:rsid w:val="00F968E4"/>
    <w:rsid w:val="00F96C31"/>
    <w:rsid w:val="00F96CDD"/>
    <w:rsid w:val="00F96E7D"/>
    <w:rsid w:val="00F97AF6"/>
    <w:rsid w:val="00F97C2E"/>
    <w:rsid w:val="00FA005C"/>
    <w:rsid w:val="00FA01B1"/>
    <w:rsid w:val="00FA023C"/>
    <w:rsid w:val="00FA0CEB"/>
    <w:rsid w:val="00FA1149"/>
    <w:rsid w:val="00FA14B2"/>
    <w:rsid w:val="00FA161F"/>
    <w:rsid w:val="00FA1D75"/>
    <w:rsid w:val="00FA1DC6"/>
    <w:rsid w:val="00FA2279"/>
    <w:rsid w:val="00FA2604"/>
    <w:rsid w:val="00FA27D6"/>
    <w:rsid w:val="00FA2938"/>
    <w:rsid w:val="00FA2A40"/>
    <w:rsid w:val="00FA3D18"/>
    <w:rsid w:val="00FA4264"/>
    <w:rsid w:val="00FA44C5"/>
    <w:rsid w:val="00FA48A4"/>
    <w:rsid w:val="00FA4D5D"/>
    <w:rsid w:val="00FA4D5E"/>
    <w:rsid w:val="00FA522F"/>
    <w:rsid w:val="00FA563E"/>
    <w:rsid w:val="00FA573C"/>
    <w:rsid w:val="00FA5D08"/>
    <w:rsid w:val="00FA5E7D"/>
    <w:rsid w:val="00FA5EEE"/>
    <w:rsid w:val="00FA5F13"/>
    <w:rsid w:val="00FA6098"/>
    <w:rsid w:val="00FA60B9"/>
    <w:rsid w:val="00FA6666"/>
    <w:rsid w:val="00FA6730"/>
    <w:rsid w:val="00FA6773"/>
    <w:rsid w:val="00FA6A8B"/>
    <w:rsid w:val="00FA6B05"/>
    <w:rsid w:val="00FA6DB7"/>
    <w:rsid w:val="00FA703E"/>
    <w:rsid w:val="00FA74C3"/>
    <w:rsid w:val="00FA76AC"/>
    <w:rsid w:val="00FA7D40"/>
    <w:rsid w:val="00FA7F09"/>
    <w:rsid w:val="00FB072C"/>
    <w:rsid w:val="00FB07BD"/>
    <w:rsid w:val="00FB07DB"/>
    <w:rsid w:val="00FB0812"/>
    <w:rsid w:val="00FB08FC"/>
    <w:rsid w:val="00FB0DEF"/>
    <w:rsid w:val="00FB1064"/>
    <w:rsid w:val="00FB1207"/>
    <w:rsid w:val="00FB1399"/>
    <w:rsid w:val="00FB1609"/>
    <w:rsid w:val="00FB1830"/>
    <w:rsid w:val="00FB189C"/>
    <w:rsid w:val="00FB1D2C"/>
    <w:rsid w:val="00FB1FC2"/>
    <w:rsid w:val="00FB2236"/>
    <w:rsid w:val="00FB23A0"/>
    <w:rsid w:val="00FB23A3"/>
    <w:rsid w:val="00FB28F9"/>
    <w:rsid w:val="00FB2A28"/>
    <w:rsid w:val="00FB2F61"/>
    <w:rsid w:val="00FB32C1"/>
    <w:rsid w:val="00FB3538"/>
    <w:rsid w:val="00FB4559"/>
    <w:rsid w:val="00FB4809"/>
    <w:rsid w:val="00FB4B09"/>
    <w:rsid w:val="00FB5A5C"/>
    <w:rsid w:val="00FB5C07"/>
    <w:rsid w:val="00FB5E99"/>
    <w:rsid w:val="00FB62C0"/>
    <w:rsid w:val="00FB6463"/>
    <w:rsid w:val="00FB64D4"/>
    <w:rsid w:val="00FB65F4"/>
    <w:rsid w:val="00FB6921"/>
    <w:rsid w:val="00FB6C0F"/>
    <w:rsid w:val="00FB6DF5"/>
    <w:rsid w:val="00FB6E7B"/>
    <w:rsid w:val="00FB70F2"/>
    <w:rsid w:val="00FB727D"/>
    <w:rsid w:val="00FB7B74"/>
    <w:rsid w:val="00FC11FD"/>
    <w:rsid w:val="00FC1595"/>
    <w:rsid w:val="00FC16F5"/>
    <w:rsid w:val="00FC1C14"/>
    <w:rsid w:val="00FC1D2E"/>
    <w:rsid w:val="00FC250B"/>
    <w:rsid w:val="00FC2AFC"/>
    <w:rsid w:val="00FC2C8D"/>
    <w:rsid w:val="00FC2E30"/>
    <w:rsid w:val="00FC3488"/>
    <w:rsid w:val="00FC3E09"/>
    <w:rsid w:val="00FC3FB1"/>
    <w:rsid w:val="00FC4041"/>
    <w:rsid w:val="00FC4069"/>
    <w:rsid w:val="00FC419B"/>
    <w:rsid w:val="00FC490D"/>
    <w:rsid w:val="00FC4A92"/>
    <w:rsid w:val="00FC4AA5"/>
    <w:rsid w:val="00FC4DEF"/>
    <w:rsid w:val="00FC4DF6"/>
    <w:rsid w:val="00FC50B9"/>
    <w:rsid w:val="00FC5163"/>
    <w:rsid w:val="00FC573F"/>
    <w:rsid w:val="00FC5AF6"/>
    <w:rsid w:val="00FC5CB9"/>
    <w:rsid w:val="00FC5F45"/>
    <w:rsid w:val="00FC662C"/>
    <w:rsid w:val="00FC6B47"/>
    <w:rsid w:val="00FC6D75"/>
    <w:rsid w:val="00FC6ED7"/>
    <w:rsid w:val="00FC756C"/>
    <w:rsid w:val="00FC79C9"/>
    <w:rsid w:val="00FC79D8"/>
    <w:rsid w:val="00FC7DD3"/>
    <w:rsid w:val="00FC7E4D"/>
    <w:rsid w:val="00FC7F05"/>
    <w:rsid w:val="00FD0157"/>
    <w:rsid w:val="00FD07B7"/>
    <w:rsid w:val="00FD0A59"/>
    <w:rsid w:val="00FD0C1D"/>
    <w:rsid w:val="00FD0F2F"/>
    <w:rsid w:val="00FD1369"/>
    <w:rsid w:val="00FD1568"/>
    <w:rsid w:val="00FD1631"/>
    <w:rsid w:val="00FD197C"/>
    <w:rsid w:val="00FD20A8"/>
    <w:rsid w:val="00FD231F"/>
    <w:rsid w:val="00FD278D"/>
    <w:rsid w:val="00FD2AAC"/>
    <w:rsid w:val="00FD2BDE"/>
    <w:rsid w:val="00FD2E56"/>
    <w:rsid w:val="00FD316E"/>
    <w:rsid w:val="00FD3DC6"/>
    <w:rsid w:val="00FD3E42"/>
    <w:rsid w:val="00FD3F2A"/>
    <w:rsid w:val="00FD45BC"/>
    <w:rsid w:val="00FD4875"/>
    <w:rsid w:val="00FD4AC8"/>
    <w:rsid w:val="00FD4FF1"/>
    <w:rsid w:val="00FD5235"/>
    <w:rsid w:val="00FD5655"/>
    <w:rsid w:val="00FD571D"/>
    <w:rsid w:val="00FD58E5"/>
    <w:rsid w:val="00FD5B8C"/>
    <w:rsid w:val="00FD62D0"/>
    <w:rsid w:val="00FD64D8"/>
    <w:rsid w:val="00FD6857"/>
    <w:rsid w:val="00FD6892"/>
    <w:rsid w:val="00FD69A6"/>
    <w:rsid w:val="00FD6B66"/>
    <w:rsid w:val="00FD7065"/>
    <w:rsid w:val="00FD7683"/>
    <w:rsid w:val="00FE0365"/>
    <w:rsid w:val="00FE03D4"/>
    <w:rsid w:val="00FE0BC0"/>
    <w:rsid w:val="00FE0F0C"/>
    <w:rsid w:val="00FE107F"/>
    <w:rsid w:val="00FE1258"/>
    <w:rsid w:val="00FE1416"/>
    <w:rsid w:val="00FE1AB5"/>
    <w:rsid w:val="00FE1DAF"/>
    <w:rsid w:val="00FE1E83"/>
    <w:rsid w:val="00FE2708"/>
    <w:rsid w:val="00FE2BC1"/>
    <w:rsid w:val="00FE2C1E"/>
    <w:rsid w:val="00FE3017"/>
    <w:rsid w:val="00FE3340"/>
    <w:rsid w:val="00FE34A8"/>
    <w:rsid w:val="00FE393C"/>
    <w:rsid w:val="00FE3CF5"/>
    <w:rsid w:val="00FE3DAA"/>
    <w:rsid w:val="00FE418B"/>
    <w:rsid w:val="00FE4537"/>
    <w:rsid w:val="00FE4572"/>
    <w:rsid w:val="00FE527F"/>
    <w:rsid w:val="00FE5352"/>
    <w:rsid w:val="00FE54ED"/>
    <w:rsid w:val="00FE587D"/>
    <w:rsid w:val="00FE5DCE"/>
    <w:rsid w:val="00FE5E18"/>
    <w:rsid w:val="00FE5EE6"/>
    <w:rsid w:val="00FE6145"/>
    <w:rsid w:val="00FE65F3"/>
    <w:rsid w:val="00FE6938"/>
    <w:rsid w:val="00FE6C69"/>
    <w:rsid w:val="00FE79FE"/>
    <w:rsid w:val="00FF0148"/>
    <w:rsid w:val="00FF04D3"/>
    <w:rsid w:val="00FF0735"/>
    <w:rsid w:val="00FF0ADA"/>
    <w:rsid w:val="00FF0AE3"/>
    <w:rsid w:val="00FF0E3B"/>
    <w:rsid w:val="00FF13BF"/>
    <w:rsid w:val="00FF14BE"/>
    <w:rsid w:val="00FF1595"/>
    <w:rsid w:val="00FF19F4"/>
    <w:rsid w:val="00FF1B8C"/>
    <w:rsid w:val="00FF1CD9"/>
    <w:rsid w:val="00FF1E93"/>
    <w:rsid w:val="00FF2839"/>
    <w:rsid w:val="00FF2F0C"/>
    <w:rsid w:val="00FF35BE"/>
    <w:rsid w:val="00FF3A3E"/>
    <w:rsid w:val="00FF3ABD"/>
    <w:rsid w:val="00FF3B4A"/>
    <w:rsid w:val="00FF3BC1"/>
    <w:rsid w:val="00FF3E25"/>
    <w:rsid w:val="00FF3FB3"/>
    <w:rsid w:val="00FF413B"/>
    <w:rsid w:val="00FF41C6"/>
    <w:rsid w:val="00FF444F"/>
    <w:rsid w:val="00FF46FD"/>
    <w:rsid w:val="00FF4940"/>
    <w:rsid w:val="00FF507E"/>
    <w:rsid w:val="00FF5143"/>
    <w:rsid w:val="00FF59BC"/>
    <w:rsid w:val="00FF5A38"/>
    <w:rsid w:val="00FF61D7"/>
    <w:rsid w:val="00FF634C"/>
    <w:rsid w:val="00FF65EF"/>
    <w:rsid w:val="00FF6E74"/>
    <w:rsid w:val="00FF6F83"/>
    <w:rsid w:val="00FF7172"/>
    <w:rsid w:val="00FF7269"/>
    <w:rsid w:val="00FF732D"/>
    <w:rsid w:val="00FF768E"/>
    <w:rsid w:val="00FF77D3"/>
    <w:rsid w:val="00FF79FF"/>
    <w:rsid w:val="00FF7D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D53C4"/>
  <w15:chartTrackingRefBased/>
  <w15:docId w15:val="{31E58952-DFE7-4C04-A7B1-A720D1749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980"/>
  </w:style>
  <w:style w:type="paragraph" w:styleId="Heading1">
    <w:name w:val="heading 1"/>
    <w:basedOn w:val="Normal"/>
    <w:next w:val="Normal"/>
    <w:link w:val="Heading1Char"/>
    <w:uiPriority w:val="9"/>
    <w:qFormat/>
    <w:rsid w:val="00816377"/>
    <w:pPr>
      <w:keepNext/>
      <w:keepLines/>
      <w:numPr>
        <w:numId w:val="5"/>
      </w:numPr>
      <w:spacing w:before="240" w:after="0"/>
      <w:outlineLvl w:val="0"/>
    </w:pPr>
    <w:rPr>
      <w:rFonts w:asciiTheme="majorHAnsi" w:eastAsiaTheme="majorEastAsia" w:hAnsiTheme="majorHAnsi" w:cstheme="majorBidi"/>
      <w:b/>
      <w:sz w:val="32"/>
      <w:szCs w:val="32"/>
      <w:lang w:val="en-US"/>
    </w:rPr>
  </w:style>
  <w:style w:type="paragraph" w:styleId="Heading2">
    <w:name w:val="heading 2"/>
    <w:basedOn w:val="Normal"/>
    <w:next w:val="Normal"/>
    <w:link w:val="Heading2Char"/>
    <w:uiPriority w:val="9"/>
    <w:unhideWhenUsed/>
    <w:qFormat/>
    <w:rsid w:val="009563EA"/>
    <w:pPr>
      <w:keepNext/>
      <w:keepLines/>
      <w:numPr>
        <w:ilvl w:val="1"/>
        <w:numId w:val="5"/>
      </w:numPr>
      <w:spacing w:before="40" w:after="0"/>
      <w:ind w:left="578" w:hanging="578"/>
      <w:outlineLvl w:val="1"/>
    </w:pPr>
    <w:rPr>
      <w:rFonts w:asciiTheme="majorHAnsi" w:eastAsiaTheme="majorEastAsia" w:hAnsiTheme="majorHAnsi" w:cstheme="majorBidi"/>
      <w:b/>
      <w:color w:val="000000" w:themeColor="text1"/>
      <w:sz w:val="26"/>
      <w:szCs w:val="26"/>
    </w:rPr>
  </w:style>
  <w:style w:type="paragraph" w:styleId="Heading3">
    <w:name w:val="heading 3"/>
    <w:basedOn w:val="Normal"/>
    <w:next w:val="Normal"/>
    <w:link w:val="Heading3Char"/>
    <w:uiPriority w:val="9"/>
    <w:unhideWhenUsed/>
    <w:qFormat/>
    <w:rsid w:val="00F13AFE"/>
    <w:pPr>
      <w:keepNext/>
      <w:keepLines/>
      <w:numPr>
        <w:ilvl w:val="2"/>
        <w:numId w:val="5"/>
      </w:numPr>
      <w:spacing w:before="40" w:after="0"/>
      <w:ind w:left="7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E11ADA"/>
    <w:pPr>
      <w:keepNext/>
      <w:keepLines/>
      <w:numPr>
        <w:ilvl w:val="3"/>
        <w:numId w:val="5"/>
      </w:numPr>
      <w:spacing w:before="40" w:after="0"/>
      <w:outlineLvl w:val="3"/>
    </w:pPr>
    <w:rPr>
      <w:rFonts w:asciiTheme="majorHAnsi" w:eastAsiaTheme="majorEastAsia" w:hAnsiTheme="majorHAnsi" w:cstheme="majorBidi"/>
      <w:i/>
      <w:iCs/>
      <w:u w:val="single"/>
    </w:rPr>
  </w:style>
  <w:style w:type="paragraph" w:styleId="Heading5">
    <w:name w:val="heading 5"/>
    <w:basedOn w:val="Normal"/>
    <w:next w:val="Normal"/>
    <w:link w:val="Heading5Char"/>
    <w:uiPriority w:val="9"/>
    <w:unhideWhenUsed/>
    <w:qFormat/>
    <w:rsid w:val="008C382F"/>
    <w:pPr>
      <w:keepNext/>
      <w:keepLines/>
      <w:numPr>
        <w:ilvl w:val="4"/>
        <w:numId w:val="5"/>
      </w:numPr>
      <w:spacing w:before="40" w:after="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2F54E4"/>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F54E4"/>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F54E4"/>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F54E4"/>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6377"/>
    <w:rPr>
      <w:rFonts w:asciiTheme="majorHAnsi" w:eastAsiaTheme="majorEastAsia" w:hAnsiTheme="majorHAnsi" w:cstheme="majorBidi"/>
      <w:b/>
      <w:sz w:val="32"/>
      <w:szCs w:val="32"/>
      <w:lang w:val="en-US"/>
    </w:rPr>
  </w:style>
  <w:style w:type="character" w:customStyle="1" w:styleId="Heading2Char">
    <w:name w:val="Heading 2 Char"/>
    <w:basedOn w:val="DefaultParagraphFont"/>
    <w:link w:val="Heading2"/>
    <w:uiPriority w:val="9"/>
    <w:rsid w:val="009563EA"/>
    <w:rPr>
      <w:rFonts w:asciiTheme="majorHAnsi" w:eastAsiaTheme="majorEastAsia" w:hAnsiTheme="majorHAnsi" w:cstheme="majorBidi"/>
      <w:b/>
      <w:color w:val="000000" w:themeColor="text1"/>
      <w:sz w:val="26"/>
      <w:szCs w:val="26"/>
    </w:rPr>
  </w:style>
  <w:style w:type="character" w:customStyle="1" w:styleId="Heading3Char">
    <w:name w:val="Heading 3 Char"/>
    <w:basedOn w:val="DefaultParagraphFont"/>
    <w:link w:val="Heading3"/>
    <w:uiPriority w:val="9"/>
    <w:rsid w:val="00F13AFE"/>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E11ADA"/>
    <w:rPr>
      <w:rFonts w:asciiTheme="majorHAnsi" w:eastAsiaTheme="majorEastAsia" w:hAnsiTheme="majorHAnsi" w:cstheme="majorBidi"/>
      <w:i/>
      <w:iCs/>
      <w:u w:val="single"/>
    </w:rPr>
  </w:style>
  <w:style w:type="character" w:customStyle="1" w:styleId="Heading5Char">
    <w:name w:val="Heading 5 Char"/>
    <w:basedOn w:val="DefaultParagraphFont"/>
    <w:link w:val="Heading5"/>
    <w:uiPriority w:val="9"/>
    <w:rsid w:val="008C382F"/>
    <w:rPr>
      <w:rFonts w:asciiTheme="majorHAnsi" w:eastAsiaTheme="majorEastAsia" w:hAnsiTheme="majorHAnsi" w:cstheme="majorBidi"/>
      <w:b/>
    </w:rPr>
  </w:style>
  <w:style w:type="character" w:customStyle="1" w:styleId="Heading6Char">
    <w:name w:val="Heading 6 Char"/>
    <w:basedOn w:val="DefaultParagraphFont"/>
    <w:link w:val="Heading6"/>
    <w:uiPriority w:val="9"/>
    <w:semiHidden/>
    <w:rsid w:val="002F54E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F54E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F54E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F54E4"/>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344980"/>
    <w:rPr>
      <w:sz w:val="16"/>
      <w:szCs w:val="16"/>
    </w:rPr>
  </w:style>
  <w:style w:type="paragraph" w:styleId="CommentText">
    <w:name w:val="annotation text"/>
    <w:basedOn w:val="Normal"/>
    <w:link w:val="CommentTextChar"/>
    <w:uiPriority w:val="99"/>
    <w:semiHidden/>
    <w:unhideWhenUsed/>
    <w:rsid w:val="00344980"/>
    <w:pPr>
      <w:spacing w:line="240" w:lineRule="auto"/>
    </w:pPr>
    <w:rPr>
      <w:sz w:val="20"/>
      <w:szCs w:val="20"/>
    </w:rPr>
  </w:style>
  <w:style w:type="character" w:customStyle="1" w:styleId="CommentTextChar">
    <w:name w:val="Comment Text Char"/>
    <w:basedOn w:val="DefaultParagraphFont"/>
    <w:link w:val="CommentText"/>
    <w:uiPriority w:val="99"/>
    <w:semiHidden/>
    <w:rsid w:val="00344980"/>
    <w:rPr>
      <w:sz w:val="20"/>
      <w:szCs w:val="20"/>
    </w:rPr>
  </w:style>
  <w:style w:type="paragraph" w:styleId="BalloonText">
    <w:name w:val="Balloon Text"/>
    <w:basedOn w:val="Normal"/>
    <w:link w:val="BalloonTextChar"/>
    <w:uiPriority w:val="99"/>
    <w:semiHidden/>
    <w:unhideWhenUsed/>
    <w:rsid w:val="003449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4980"/>
    <w:rPr>
      <w:rFonts w:ascii="Segoe UI" w:hAnsi="Segoe UI" w:cs="Segoe UI"/>
      <w:sz w:val="18"/>
      <w:szCs w:val="18"/>
    </w:rPr>
  </w:style>
  <w:style w:type="paragraph" w:styleId="ListParagraph">
    <w:name w:val="List Paragraph"/>
    <w:basedOn w:val="Normal"/>
    <w:uiPriority w:val="34"/>
    <w:qFormat/>
    <w:rsid w:val="00344980"/>
    <w:pPr>
      <w:ind w:left="720"/>
      <w:contextualSpacing/>
    </w:pPr>
  </w:style>
  <w:style w:type="table" w:styleId="TableGrid">
    <w:name w:val="Table Grid"/>
    <w:basedOn w:val="TableNormal"/>
    <w:uiPriority w:val="39"/>
    <w:rsid w:val="00344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44980"/>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CC07A3"/>
    <w:rPr>
      <w:b/>
      <w:bCs/>
    </w:rPr>
  </w:style>
  <w:style w:type="character" w:customStyle="1" w:styleId="CommentSubjectChar">
    <w:name w:val="Comment Subject Char"/>
    <w:basedOn w:val="CommentTextChar"/>
    <w:link w:val="CommentSubject"/>
    <w:uiPriority w:val="99"/>
    <w:semiHidden/>
    <w:rsid w:val="00CC07A3"/>
    <w:rPr>
      <w:b/>
      <w:bCs/>
      <w:sz w:val="20"/>
      <w:szCs w:val="20"/>
    </w:rPr>
  </w:style>
  <w:style w:type="paragraph" w:styleId="Header">
    <w:name w:val="header"/>
    <w:basedOn w:val="Normal"/>
    <w:link w:val="HeaderChar"/>
    <w:uiPriority w:val="99"/>
    <w:unhideWhenUsed/>
    <w:rsid w:val="000126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62B"/>
  </w:style>
  <w:style w:type="paragraph" w:styleId="Footer">
    <w:name w:val="footer"/>
    <w:basedOn w:val="Normal"/>
    <w:link w:val="FooterChar"/>
    <w:uiPriority w:val="99"/>
    <w:unhideWhenUsed/>
    <w:rsid w:val="000126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62B"/>
  </w:style>
  <w:style w:type="paragraph" w:styleId="EndnoteText">
    <w:name w:val="endnote text"/>
    <w:basedOn w:val="Normal"/>
    <w:link w:val="EndnoteTextChar"/>
    <w:uiPriority w:val="99"/>
    <w:semiHidden/>
    <w:unhideWhenUsed/>
    <w:rsid w:val="006E5E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E5E88"/>
    <w:rPr>
      <w:sz w:val="20"/>
      <w:szCs w:val="20"/>
    </w:rPr>
  </w:style>
  <w:style w:type="character" w:styleId="EndnoteReference">
    <w:name w:val="endnote reference"/>
    <w:basedOn w:val="DefaultParagraphFont"/>
    <w:uiPriority w:val="99"/>
    <w:semiHidden/>
    <w:unhideWhenUsed/>
    <w:rsid w:val="006E5E88"/>
    <w:rPr>
      <w:vertAlign w:val="superscript"/>
    </w:rPr>
  </w:style>
  <w:style w:type="paragraph" w:styleId="NormalWeb">
    <w:name w:val="Normal (Web)"/>
    <w:basedOn w:val="Normal"/>
    <w:unhideWhenUsed/>
    <w:rsid w:val="0023685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E74A6"/>
    <w:rPr>
      <w:b/>
      <w:bCs/>
    </w:rPr>
  </w:style>
  <w:style w:type="character" w:customStyle="1" w:styleId="field-content">
    <w:name w:val="field-content"/>
    <w:basedOn w:val="DefaultParagraphFont"/>
    <w:rsid w:val="00B95159"/>
  </w:style>
  <w:style w:type="paragraph" w:styleId="Title">
    <w:name w:val="Title"/>
    <w:basedOn w:val="Normal"/>
    <w:next w:val="Normal"/>
    <w:link w:val="TitleChar"/>
    <w:uiPriority w:val="10"/>
    <w:qFormat/>
    <w:rsid w:val="00293C8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3C89"/>
    <w:rPr>
      <w:rFonts w:asciiTheme="majorHAnsi" w:eastAsiaTheme="majorEastAsia" w:hAnsiTheme="majorHAnsi" w:cstheme="majorBidi"/>
      <w:spacing w:val="-10"/>
      <w:kern w:val="28"/>
      <w:sz w:val="56"/>
      <w:szCs w:val="56"/>
    </w:rPr>
  </w:style>
  <w:style w:type="character" w:customStyle="1" w:styleId="citation">
    <w:name w:val="citation"/>
    <w:basedOn w:val="DefaultParagraphFont"/>
    <w:rsid w:val="00E309BE"/>
  </w:style>
  <w:style w:type="character" w:customStyle="1" w:styleId="reference-accessdate">
    <w:name w:val="reference-accessdate"/>
    <w:basedOn w:val="DefaultParagraphFont"/>
    <w:rsid w:val="00E309BE"/>
  </w:style>
  <w:style w:type="paragraph" w:styleId="TOCHeading">
    <w:name w:val="TOC Heading"/>
    <w:basedOn w:val="Heading1"/>
    <w:next w:val="Normal"/>
    <w:uiPriority w:val="39"/>
    <w:unhideWhenUsed/>
    <w:qFormat/>
    <w:rsid w:val="002F54E4"/>
    <w:pPr>
      <w:numPr>
        <w:numId w:val="0"/>
      </w:numPr>
      <w:outlineLvl w:val="9"/>
    </w:pPr>
  </w:style>
  <w:style w:type="paragraph" w:styleId="TOC1">
    <w:name w:val="toc 1"/>
    <w:basedOn w:val="Normal"/>
    <w:next w:val="Normal"/>
    <w:autoRedefine/>
    <w:uiPriority w:val="39"/>
    <w:unhideWhenUsed/>
    <w:rsid w:val="00355FEE"/>
    <w:pPr>
      <w:tabs>
        <w:tab w:val="left" w:pos="440"/>
        <w:tab w:val="right" w:leader="dot" w:pos="9016"/>
      </w:tabs>
      <w:spacing w:after="60" w:line="240" w:lineRule="auto"/>
    </w:pPr>
  </w:style>
  <w:style w:type="paragraph" w:styleId="TOC2">
    <w:name w:val="toc 2"/>
    <w:basedOn w:val="Normal"/>
    <w:next w:val="Normal"/>
    <w:autoRedefine/>
    <w:uiPriority w:val="39"/>
    <w:unhideWhenUsed/>
    <w:rsid w:val="002F54E4"/>
    <w:pPr>
      <w:spacing w:after="100"/>
      <w:ind w:left="220"/>
    </w:pPr>
  </w:style>
  <w:style w:type="paragraph" w:styleId="TOC3">
    <w:name w:val="toc 3"/>
    <w:basedOn w:val="Normal"/>
    <w:next w:val="Normal"/>
    <w:autoRedefine/>
    <w:uiPriority w:val="39"/>
    <w:unhideWhenUsed/>
    <w:rsid w:val="008E5B55"/>
    <w:pPr>
      <w:spacing w:after="100"/>
      <w:ind w:left="440"/>
    </w:pPr>
  </w:style>
  <w:style w:type="paragraph" w:styleId="Revision">
    <w:name w:val="Revision"/>
    <w:hidden/>
    <w:uiPriority w:val="99"/>
    <w:semiHidden/>
    <w:rsid w:val="00847FCD"/>
    <w:pPr>
      <w:spacing w:after="0" w:line="240" w:lineRule="auto"/>
    </w:pPr>
  </w:style>
  <w:style w:type="paragraph" w:styleId="Caption">
    <w:name w:val="caption"/>
    <w:basedOn w:val="Normal"/>
    <w:next w:val="Normal"/>
    <w:uiPriority w:val="35"/>
    <w:unhideWhenUsed/>
    <w:qFormat/>
    <w:rsid w:val="00186A7C"/>
    <w:pPr>
      <w:spacing w:after="200" w:line="240" w:lineRule="auto"/>
    </w:pPr>
    <w:rPr>
      <w:i/>
      <w:iCs/>
      <w:sz w:val="18"/>
      <w:szCs w:val="18"/>
    </w:rPr>
  </w:style>
  <w:style w:type="paragraph" w:styleId="Bibliography">
    <w:name w:val="Bibliography"/>
    <w:basedOn w:val="Normal"/>
    <w:next w:val="Normal"/>
    <w:uiPriority w:val="37"/>
    <w:unhideWhenUsed/>
    <w:rsid w:val="006E42AB"/>
  </w:style>
  <w:style w:type="paragraph" w:styleId="FootnoteText">
    <w:name w:val="footnote text"/>
    <w:basedOn w:val="Normal"/>
    <w:link w:val="FootnoteTextChar"/>
    <w:semiHidden/>
    <w:unhideWhenUsed/>
    <w:rsid w:val="00DC5B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5BE9"/>
    <w:rPr>
      <w:sz w:val="20"/>
      <w:szCs w:val="20"/>
    </w:rPr>
  </w:style>
  <w:style w:type="character" w:styleId="FootnoteReference">
    <w:name w:val="footnote reference"/>
    <w:basedOn w:val="DefaultParagraphFont"/>
    <w:semiHidden/>
    <w:unhideWhenUsed/>
    <w:rsid w:val="00DC5BE9"/>
    <w:rPr>
      <w:vertAlign w:val="superscript"/>
    </w:rPr>
  </w:style>
  <w:style w:type="character" w:styleId="FollowedHyperlink">
    <w:name w:val="FollowedHyperlink"/>
    <w:basedOn w:val="DefaultParagraphFont"/>
    <w:uiPriority w:val="99"/>
    <w:semiHidden/>
    <w:unhideWhenUsed/>
    <w:rsid w:val="00BC39F4"/>
    <w:rPr>
      <w:color w:val="954F72" w:themeColor="followedHyperlink"/>
      <w:u w:val="single"/>
    </w:rPr>
  </w:style>
  <w:style w:type="character" w:customStyle="1" w:styleId="apple-converted-space">
    <w:name w:val="apple-converted-space"/>
    <w:basedOn w:val="DefaultParagraphFont"/>
    <w:rsid w:val="0026499A"/>
  </w:style>
  <w:style w:type="character" w:customStyle="1" w:styleId="UnresolvedMention1">
    <w:name w:val="Unresolved Mention1"/>
    <w:basedOn w:val="DefaultParagraphFont"/>
    <w:uiPriority w:val="99"/>
    <w:semiHidden/>
    <w:unhideWhenUsed/>
    <w:rsid w:val="009E04AE"/>
    <w:rPr>
      <w:color w:val="808080"/>
      <w:shd w:val="clear" w:color="auto" w:fill="E6E6E6"/>
    </w:rPr>
  </w:style>
  <w:style w:type="paragraph" w:styleId="NoSpacing">
    <w:name w:val="No Spacing"/>
    <w:uiPriority w:val="1"/>
    <w:qFormat/>
    <w:rsid w:val="006C1910"/>
    <w:pPr>
      <w:spacing w:after="0" w:line="240" w:lineRule="auto"/>
    </w:pPr>
  </w:style>
  <w:style w:type="paragraph" w:styleId="TableofFigures">
    <w:name w:val="table of figures"/>
    <w:basedOn w:val="Normal"/>
    <w:next w:val="Normal"/>
    <w:uiPriority w:val="99"/>
    <w:unhideWhenUsed/>
    <w:rsid w:val="00542605"/>
    <w:pPr>
      <w:spacing w:after="0"/>
    </w:pPr>
  </w:style>
  <w:style w:type="character" w:customStyle="1" w:styleId="font171">
    <w:name w:val="font171"/>
    <w:basedOn w:val="DefaultParagraphFont"/>
    <w:rsid w:val="00BA38B7"/>
    <w:rPr>
      <w:rFonts w:ascii="Calibri" w:hAnsi="Calibri" w:cs="Calibri" w:hint="default"/>
      <w:b w:val="0"/>
      <w:bCs w:val="0"/>
      <w:i w:val="0"/>
      <w:iCs w:val="0"/>
      <w:strike w:val="0"/>
      <w:dstrike w:val="0"/>
      <w:color w:val="000000"/>
      <w:sz w:val="22"/>
      <w:szCs w:val="22"/>
      <w:u w:val="none"/>
      <w:effect w:val="none"/>
    </w:rPr>
  </w:style>
  <w:style w:type="character" w:styleId="Emphasis">
    <w:name w:val="Emphasis"/>
    <w:basedOn w:val="DefaultParagraphFont"/>
    <w:uiPriority w:val="20"/>
    <w:qFormat/>
    <w:rsid w:val="00954543"/>
    <w:rPr>
      <w:i/>
      <w:iCs/>
    </w:rPr>
  </w:style>
  <w:style w:type="paragraph" w:styleId="TOC4">
    <w:name w:val="toc 4"/>
    <w:basedOn w:val="Normal"/>
    <w:next w:val="Normal"/>
    <w:autoRedefine/>
    <w:uiPriority w:val="39"/>
    <w:unhideWhenUsed/>
    <w:rsid w:val="00CB764A"/>
    <w:pPr>
      <w:spacing w:after="100"/>
      <w:ind w:left="660"/>
    </w:pPr>
    <w:rPr>
      <w:rFonts w:eastAsiaTheme="minorEastAsia"/>
      <w:lang w:eastAsia="en-GB"/>
    </w:rPr>
  </w:style>
  <w:style w:type="paragraph" w:styleId="TOC5">
    <w:name w:val="toc 5"/>
    <w:basedOn w:val="Normal"/>
    <w:next w:val="Normal"/>
    <w:autoRedefine/>
    <w:uiPriority w:val="39"/>
    <w:unhideWhenUsed/>
    <w:rsid w:val="00CB764A"/>
    <w:pPr>
      <w:spacing w:after="100"/>
      <w:ind w:left="880"/>
    </w:pPr>
    <w:rPr>
      <w:rFonts w:eastAsiaTheme="minorEastAsia"/>
      <w:lang w:eastAsia="en-GB"/>
    </w:rPr>
  </w:style>
  <w:style w:type="paragraph" w:styleId="TOC6">
    <w:name w:val="toc 6"/>
    <w:basedOn w:val="Normal"/>
    <w:next w:val="Normal"/>
    <w:autoRedefine/>
    <w:uiPriority w:val="39"/>
    <w:unhideWhenUsed/>
    <w:rsid w:val="00CB764A"/>
    <w:pPr>
      <w:spacing w:after="100"/>
      <w:ind w:left="1100"/>
    </w:pPr>
    <w:rPr>
      <w:rFonts w:eastAsiaTheme="minorEastAsia"/>
      <w:lang w:eastAsia="en-GB"/>
    </w:rPr>
  </w:style>
  <w:style w:type="paragraph" w:styleId="TOC7">
    <w:name w:val="toc 7"/>
    <w:basedOn w:val="Normal"/>
    <w:next w:val="Normal"/>
    <w:autoRedefine/>
    <w:uiPriority w:val="39"/>
    <w:unhideWhenUsed/>
    <w:rsid w:val="00CB764A"/>
    <w:pPr>
      <w:spacing w:after="100"/>
      <w:ind w:left="1320"/>
    </w:pPr>
    <w:rPr>
      <w:rFonts w:eastAsiaTheme="minorEastAsia"/>
      <w:lang w:eastAsia="en-GB"/>
    </w:rPr>
  </w:style>
  <w:style w:type="paragraph" w:styleId="TOC8">
    <w:name w:val="toc 8"/>
    <w:basedOn w:val="Normal"/>
    <w:next w:val="Normal"/>
    <w:autoRedefine/>
    <w:uiPriority w:val="39"/>
    <w:unhideWhenUsed/>
    <w:rsid w:val="00CB764A"/>
    <w:pPr>
      <w:spacing w:after="100"/>
      <w:ind w:left="1540"/>
    </w:pPr>
    <w:rPr>
      <w:rFonts w:eastAsiaTheme="minorEastAsia"/>
      <w:lang w:eastAsia="en-GB"/>
    </w:rPr>
  </w:style>
  <w:style w:type="paragraph" w:styleId="TOC9">
    <w:name w:val="toc 9"/>
    <w:basedOn w:val="Normal"/>
    <w:next w:val="Normal"/>
    <w:autoRedefine/>
    <w:uiPriority w:val="39"/>
    <w:unhideWhenUsed/>
    <w:rsid w:val="00CB764A"/>
    <w:pPr>
      <w:spacing w:after="100"/>
      <w:ind w:left="1760"/>
    </w:pPr>
    <w:rPr>
      <w:rFonts w:eastAsiaTheme="minorEastAsia"/>
      <w:lang w:eastAsia="en-GB"/>
    </w:rPr>
  </w:style>
  <w:style w:type="character" w:customStyle="1" w:styleId="highlight">
    <w:name w:val="highlight"/>
    <w:basedOn w:val="DefaultParagraphFont"/>
    <w:rsid w:val="007E6EAF"/>
  </w:style>
  <w:style w:type="character" w:customStyle="1" w:styleId="pel">
    <w:name w:val="_pe_l"/>
    <w:basedOn w:val="DefaultParagraphFont"/>
    <w:rsid w:val="007E6EAF"/>
  </w:style>
  <w:style w:type="character" w:customStyle="1" w:styleId="bidi">
    <w:name w:val="bidi"/>
    <w:basedOn w:val="DefaultParagraphFont"/>
    <w:rsid w:val="007E6EAF"/>
  </w:style>
  <w:style w:type="character" w:customStyle="1" w:styleId="rpl1">
    <w:name w:val="_rp_l1"/>
    <w:basedOn w:val="DefaultParagraphFont"/>
    <w:rsid w:val="007E6EAF"/>
  </w:style>
  <w:style w:type="character" w:customStyle="1" w:styleId="rpv1">
    <w:name w:val="_rp_v1"/>
    <w:basedOn w:val="DefaultParagraphFont"/>
    <w:rsid w:val="007E6EAF"/>
  </w:style>
  <w:style w:type="character" w:customStyle="1" w:styleId="allowtextselection">
    <w:name w:val="allowtextselection"/>
    <w:basedOn w:val="DefaultParagraphFont"/>
    <w:rsid w:val="007E6EAF"/>
  </w:style>
  <w:style w:type="character" w:customStyle="1" w:styleId="ms-font-color-neutralsecondary">
    <w:name w:val="ms-font-color-neutralsecondary"/>
    <w:basedOn w:val="DefaultParagraphFont"/>
    <w:rsid w:val="007E6EAF"/>
  </w:style>
  <w:style w:type="table" w:customStyle="1" w:styleId="Tabelacomgrade">
    <w:name w:val="Tabela com grade"/>
    <w:basedOn w:val="TableNormal"/>
    <w:rsid w:val="009A1AE0"/>
    <w:pPr>
      <w:spacing w:after="0" w:line="240" w:lineRule="auto"/>
    </w:pPr>
    <w:rPr>
      <w:rFonts w:ascii="Times New Roman" w:eastAsia="Times New Roman" w:hAnsi="Times New Roman" w:cs="Times New Roman"/>
      <w:sz w:val="24"/>
      <w:szCs w:val="24"/>
    </w:rPr>
    <w:tblPr>
      <w:tblInd w:w="0" w:type="nil"/>
      <w:tblCellMar>
        <w:left w:w="0" w:type="dxa"/>
        <w:right w:w="0" w:type="dxa"/>
      </w:tblCellMar>
    </w:tblPr>
  </w:style>
  <w:style w:type="character" w:customStyle="1" w:styleId="UnresolvedMention2">
    <w:name w:val="Unresolved Mention2"/>
    <w:basedOn w:val="DefaultParagraphFont"/>
    <w:uiPriority w:val="99"/>
    <w:semiHidden/>
    <w:unhideWhenUsed/>
    <w:rsid w:val="00C45C94"/>
    <w:rPr>
      <w:color w:val="605E5C"/>
      <w:shd w:val="clear" w:color="auto" w:fill="E1DFDD"/>
    </w:rPr>
  </w:style>
  <w:style w:type="character" w:styleId="UnresolvedMention">
    <w:name w:val="Unresolved Mention"/>
    <w:basedOn w:val="DefaultParagraphFont"/>
    <w:uiPriority w:val="99"/>
    <w:semiHidden/>
    <w:unhideWhenUsed/>
    <w:rsid w:val="00D611D8"/>
    <w:rPr>
      <w:color w:val="605E5C"/>
      <w:shd w:val="clear" w:color="auto" w:fill="E1DFDD"/>
    </w:rPr>
  </w:style>
  <w:style w:type="paragraph" w:customStyle="1" w:styleId="Author">
    <w:name w:val="Author"/>
    <w:basedOn w:val="Normal"/>
    <w:next w:val="Normal"/>
    <w:rsid w:val="005021CB"/>
    <w:pPr>
      <w:spacing w:after="0" w:line="240" w:lineRule="auto"/>
    </w:pPr>
    <w:rPr>
      <w:rFonts w:ascii="Times New Roman" w:eastAsia="Times New Roman" w:hAnsi="Times New Roman" w:cs="Times New Roman"/>
      <w:b/>
      <w:sz w:val="24"/>
      <w:szCs w:val="20"/>
    </w:rPr>
  </w:style>
  <w:style w:type="paragraph" w:customStyle="1" w:styleId="Address">
    <w:name w:val="Address"/>
    <w:basedOn w:val="Normal"/>
    <w:next w:val="Normal"/>
    <w:rsid w:val="005021CB"/>
    <w:pPr>
      <w:spacing w:after="0" w:line="240" w:lineRule="auto"/>
      <w:ind w:left="720" w:hanging="720"/>
    </w:pPr>
    <w:rPr>
      <w:rFonts w:ascii="Times New Roman" w:eastAsia="Times New Roman" w:hAnsi="Times New Roman" w:cs="Times New Roman"/>
      <w:i/>
      <w:sz w:val="20"/>
      <w:szCs w:val="20"/>
    </w:rPr>
  </w:style>
  <w:style w:type="character" w:customStyle="1" w:styleId="journaltitle">
    <w:name w:val="journaltitle"/>
    <w:basedOn w:val="DefaultParagraphFont"/>
    <w:rsid w:val="003B2380"/>
  </w:style>
  <w:style w:type="character" w:styleId="PlaceholderText">
    <w:name w:val="Placeholder Text"/>
    <w:basedOn w:val="DefaultParagraphFont"/>
    <w:uiPriority w:val="99"/>
    <w:semiHidden/>
    <w:rsid w:val="0079427C"/>
    <w:rPr>
      <w:color w:val="808080"/>
    </w:rPr>
  </w:style>
  <w:style w:type="paragraph" w:customStyle="1" w:styleId="p">
    <w:name w:val="p"/>
    <w:basedOn w:val="Normal"/>
    <w:rsid w:val="00F5050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780">
      <w:bodyDiv w:val="1"/>
      <w:marLeft w:val="0"/>
      <w:marRight w:val="0"/>
      <w:marTop w:val="0"/>
      <w:marBottom w:val="0"/>
      <w:divBdr>
        <w:top w:val="none" w:sz="0" w:space="0" w:color="auto"/>
        <w:left w:val="none" w:sz="0" w:space="0" w:color="auto"/>
        <w:bottom w:val="none" w:sz="0" w:space="0" w:color="auto"/>
        <w:right w:val="none" w:sz="0" w:space="0" w:color="auto"/>
      </w:divBdr>
    </w:div>
    <w:div w:id="787948">
      <w:bodyDiv w:val="1"/>
      <w:marLeft w:val="0"/>
      <w:marRight w:val="0"/>
      <w:marTop w:val="0"/>
      <w:marBottom w:val="0"/>
      <w:divBdr>
        <w:top w:val="none" w:sz="0" w:space="0" w:color="auto"/>
        <w:left w:val="none" w:sz="0" w:space="0" w:color="auto"/>
        <w:bottom w:val="none" w:sz="0" w:space="0" w:color="auto"/>
        <w:right w:val="none" w:sz="0" w:space="0" w:color="auto"/>
      </w:divBdr>
    </w:div>
    <w:div w:id="788608">
      <w:bodyDiv w:val="1"/>
      <w:marLeft w:val="0"/>
      <w:marRight w:val="0"/>
      <w:marTop w:val="0"/>
      <w:marBottom w:val="0"/>
      <w:divBdr>
        <w:top w:val="none" w:sz="0" w:space="0" w:color="auto"/>
        <w:left w:val="none" w:sz="0" w:space="0" w:color="auto"/>
        <w:bottom w:val="none" w:sz="0" w:space="0" w:color="auto"/>
        <w:right w:val="none" w:sz="0" w:space="0" w:color="auto"/>
      </w:divBdr>
    </w:div>
    <w:div w:id="937326">
      <w:bodyDiv w:val="1"/>
      <w:marLeft w:val="0"/>
      <w:marRight w:val="0"/>
      <w:marTop w:val="0"/>
      <w:marBottom w:val="0"/>
      <w:divBdr>
        <w:top w:val="none" w:sz="0" w:space="0" w:color="auto"/>
        <w:left w:val="none" w:sz="0" w:space="0" w:color="auto"/>
        <w:bottom w:val="none" w:sz="0" w:space="0" w:color="auto"/>
        <w:right w:val="none" w:sz="0" w:space="0" w:color="auto"/>
      </w:divBdr>
    </w:div>
    <w:div w:id="1009182">
      <w:bodyDiv w:val="1"/>
      <w:marLeft w:val="0"/>
      <w:marRight w:val="0"/>
      <w:marTop w:val="0"/>
      <w:marBottom w:val="0"/>
      <w:divBdr>
        <w:top w:val="none" w:sz="0" w:space="0" w:color="auto"/>
        <w:left w:val="none" w:sz="0" w:space="0" w:color="auto"/>
        <w:bottom w:val="none" w:sz="0" w:space="0" w:color="auto"/>
        <w:right w:val="none" w:sz="0" w:space="0" w:color="auto"/>
      </w:divBdr>
    </w:div>
    <w:div w:id="1050660">
      <w:bodyDiv w:val="1"/>
      <w:marLeft w:val="0"/>
      <w:marRight w:val="0"/>
      <w:marTop w:val="0"/>
      <w:marBottom w:val="0"/>
      <w:divBdr>
        <w:top w:val="none" w:sz="0" w:space="0" w:color="auto"/>
        <w:left w:val="none" w:sz="0" w:space="0" w:color="auto"/>
        <w:bottom w:val="none" w:sz="0" w:space="0" w:color="auto"/>
        <w:right w:val="none" w:sz="0" w:space="0" w:color="auto"/>
      </w:divBdr>
    </w:div>
    <w:div w:id="1513947">
      <w:bodyDiv w:val="1"/>
      <w:marLeft w:val="0"/>
      <w:marRight w:val="0"/>
      <w:marTop w:val="0"/>
      <w:marBottom w:val="0"/>
      <w:divBdr>
        <w:top w:val="none" w:sz="0" w:space="0" w:color="auto"/>
        <w:left w:val="none" w:sz="0" w:space="0" w:color="auto"/>
        <w:bottom w:val="none" w:sz="0" w:space="0" w:color="auto"/>
        <w:right w:val="none" w:sz="0" w:space="0" w:color="auto"/>
      </w:divBdr>
    </w:div>
    <w:div w:id="1588760">
      <w:bodyDiv w:val="1"/>
      <w:marLeft w:val="0"/>
      <w:marRight w:val="0"/>
      <w:marTop w:val="0"/>
      <w:marBottom w:val="0"/>
      <w:divBdr>
        <w:top w:val="none" w:sz="0" w:space="0" w:color="auto"/>
        <w:left w:val="none" w:sz="0" w:space="0" w:color="auto"/>
        <w:bottom w:val="none" w:sz="0" w:space="0" w:color="auto"/>
        <w:right w:val="none" w:sz="0" w:space="0" w:color="auto"/>
      </w:divBdr>
    </w:div>
    <w:div w:id="2905909">
      <w:bodyDiv w:val="1"/>
      <w:marLeft w:val="0"/>
      <w:marRight w:val="0"/>
      <w:marTop w:val="0"/>
      <w:marBottom w:val="0"/>
      <w:divBdr>
        <w:top w:val="none" w:sz="0" w:space="0" w:color="auto"/>
        <w:left w:val="none" w:sz="0" w:space="0" w:color="auto"/>
        <w:bottom w:val="none" w:sz="0" w:space="0" w:color="auto"/>
        <w:right w:val="none" w:sz="0" w:space="0" w:color="auto"/>
      </w:divBdr>
    </w:div>
    <w:div w:id="2972369">
      <w:bodyDiv w:val="1"/>
      <w:marLeft w:val="0"/>
      <w:marRight w:val="0"/>
      <w:marTop w:val="0"/>
      <w:marBottom w:val="0"/>
      <w:divBdr>
        <w:top w:val="none" w:sz="0" w:space="0" w:color="auto"/>
        <w:left w:val="none" w:sz="0" w:space="0" w:color="auto"/>
        <w:bottom w:val="none" w:sz="0" w:space="0" w:color="auto"/>
        <w:right w:val="none" w:sz="0" w:space="0" w:color="auto"/>
      </w:divBdr>
    </w:div>
    <w:div w:id="2976359">
      <w:bodyDiv w:val="1"/>
      <w:marLeft w:val="0"/>
      <w:marRight w:val="0"/>
      <w:marTop w:val="0"/>
      <w:marBottom w:val="0"/>
      <w:divBdr>
        <w:top w:val="none" w:sz="0" w:space="0" w:color="auto"/>
        <w:left w:val="none" w:sz="0" w:space="0" w:color="auto"/>
        <w:bottom w:val="none" w:sz="0" w:space="0" w:color="auto"/>
        <w:right w:val="none" w:sz="0" w:space="0" w:color="auto"/>
      </w:divBdr>
    </w:div>
    <w:div w:id="3169975">
      <w:bodyDiv w:val="1"/>
      <w:marLeft w:val="0"/>
      <w:marRight w:val="0"/>
      <w:marTop w:val="0"/>
      <w:marBottom w:val="0"/>
      <w:divBdr>
        <w:top w:val="none" w:sz="0" w:space="0" w:color="auto"/>
        <w:left w:val="none" w:sz="0" w:space="0" w:color="auto"/>
        <w:bottom w:val="none" w:sz="0" w:space="0" w:color="auto"/>
        <w:right w:val="none" w:sz="0" w:space="0" w:color="auto"/>
      </w:divBdr>
    </w:div>
    <w:div w:id="3288894">
      <w:bodyDiv w:val="1"/>
      <w:marLeft w:val="0"/>
      <w:marRight w:val="0"/>
      <w:marTop w:val="0"/>
      <w:marBottom w:val="0"/>
      <w:divBdr>
        <w:top w:val="none" w:sz="0" w:space="0" w:color="auto"/>
        <w:left w:val="none" w:sz="0" w:space="0" w:color="auto"/>
        <w:bottom w:val="none" w:sz="0" w:space="0" w:color="auto"/>
        <w:right w:val="none" w:sz="0" w:space="0" w:color="auto"/>
      </w:divBdr>
    </w:div>
    <w:div w:id="4133712">
      <w:bodyDiv w:val="1"/>
      <w:marLeft w:val="0"/>
      <w:marRight w:val="0"/>
      <w:marTop w:val="0"/>
      <w:marBottom w:val="0"/>
      <w:divBdr>
        <w:top w:val="none" w:sz="0" w:space="0" w:color="auto"/>
        <w:left w:val="none" w:sz="0" w:space="0" w:color="auto"/>
        <w:bottom w:val="none" w:sz="0" w:space="0" w:color="auto"/>
        <w:right w:val="none" w:sz="0" w:space="0" w:color="auto"/>
      </w:divBdr>
    </w:div>
    <w:div w:id="4215517">
      <w:bodyDiv w:val="1"/>
      <w:marLeft w:val="0"/>
      <w:marRight w:val="0"/>
      <w:marTop w:val="0"/>
      <w:marBottom w:val="0"/>
      <w:divBdr>
        <w:top w:val="none" w:sz="0" w:space="0" w:color="auto"/>
        <w:left w:val="none" w:sz="0" w:space="0" w:color="auto"/>
        <w:bottom w:val="none" w:sz="0" w:space="0" w:color="auto"/>
        <w:right w:val="none" w:sz="0" w:space="0" w:color="auto"/>
      </w:divBdr>
    </w:div>
    <w:div w:id="5257149">
      <w:bodyDiv w:val="1"/>
      <w:marLeft w:val="0"/>
      <w:marRight w:val="0"/>
      <w:marTop w:val="0"/>
      <w:marBottom w:val="0"/>
      <w:divBdr>
        <w:top w:val="none" w:sz="0" w:space="0" w:color="auto"/>
        <w:left w:val="none" w:sz="0" w:space="0" w:color="auto"/>
        <w:bottom w:val="none" w:sz="0" w:space="0" w:color="auto"/>
        <w:right w:val="none" w:sz="0" w:space="0" w:color="auto"/>
      </w:divBdr>
    </w:div>
    <w:div w:id="5329245">
      <w:bodyDiv w:val="1"/>
      <w:marLeft w:val="0"/>
      <w:marRight w:val="0"/>
      <w:marTop w:val="0"/>
      <w:marBottom w:val="0"/>
      <w:divBdr>
        <w:top w:val="none" w:sz="0" w:space="0" w:color="auto"/>
        <w:left w:val="none" w:sz="0" w:space="0" w:color="auto"/>
        <w:bottom w:val="none" w:sz="0" w:space="0" w:color="auto"/>
        <w:right w:val="none" w:sz="0" w:space="0" w:color="auto"/>
      </w:divBdr>
    </w:div>
    <w:div w:id="6101833">
      <w:bodyDiv w:val="1"/>
      <w:marLeft w:val="0"/>
      <w:marRight w:val="0"/>
      <w:marTop w:val="0"/>
      <w:marBottom w:val="0"/>
      <w:divBdr>
        <w:top w:val="none" w:sz="0" w:space="0" w:color="auto"/>
        <w:left w:val="none" w:sz="0" w:space="0" w:color="auto"/>
        <w:bottom w:val="none" w:sz="0" w:space="0" w:color="auto"/>
        <w:right w:val="none" w:sz="0" w:space="0" w:color="auto"/>
      </w:divBdr>
    </w:div>
    <w:div w:id="6296195">
      <w:bodyDiv w:val="1"/>
      <w:marLeft w:val="0"/>
      <w:marRight w:val="0"/>
      <w:marTop w:val="0"/>
      <w:marBottom w:val="0"/>
      <w:divBdr>
        <w:top w:val="none" w:sz="0" w:space="0" w:color="auto"/>
        <w:left w:val="none" w:sz="0" w:space="0" w:color="auto"/>
        <w:bottom w:val="none" w:sz="0" w:space="0" w:color="auto"/>
        <w:right w:val="none" w:sz="0" w:space="0" w:color="auto"/>
      </w:divBdr>
    </w:div>
    <w:div w:id="6490550">
      <w:bodyDiv w:val="1"/>
      <w:marLeft w:val="0"/>
      <w:marRight w:val="0"/>
      <w:marTop w:val="0"/>
      <w:marBottom w:val="0"/>
      <w:divBdr>
        <w:top w:val="none" w:sz="0" w:space="0" w:color="auto"/>
        <w:left w:val="none" w:sz="0" w:space="0" w:color="auto"/>
        <w:bottom w:val="none" w:sz="0" w:space="0" w:color="auto"/>
        <w:right w:val="none" w:sz="0" w:space="0" w:color="auto"/>
      </w:divBdr>
    </w:div>
    <w:div w:id="6837937">
      <w:bodyDiv w:val="1"/>
      <w:marLeft w:val="0"/>
      <w:marRight w:val="0"/>
      <w:marTop w:val="0"/>
      <w:marBottom w:val="0"/>
      <w:divBdr>
        <w:top w:val="none" w:sz="0" w:space="0" w:color="auto"/>
        <w:left w:val="none" w:sz="0" w:space="0" w:color="auto"/>
        <w:bottom w:val="none" w:sz="0" w:space="0" w:color="auto"/>
        <w:right w:val="none" w:sz="0" w:space="0" w:color="auto"/>
      </w:divBdr>
    </w:div>
    <w:div w:id="7024673">
      <w:bodyDiv w:val="1"/>
      <w:marLeft w:val="0"/>
      <w:marRight w:val="0"/>
      <w:marTop w:val="0"/>
      <w:marBottom w:val="0"/>
      <w:divBdr>
        <w:top w:val="none" w:sz="0" w:space="0" w:color="auto"/>
        <w:left w:val="none" w:sz="0" w:space="0" w:color="auto"/>
        <w:bottom w:val="none" w:sz="0" w:space="0" w:color="auto"/>
        <w:right w:val="none" w:sz="0" w:space="0" w:color="auto"/>
      </w:divBdr>
    </w:div>
    <w:div w:id="7411894">
      <w:bodyDiv w:val="1"/>
      <w:marLeft w:val="0"/>
      <w:marRight w:val="0"/>
      <w:marTop w:val="0"/>
      <w:marBottom w:val="0"/>
      <w:divBdr>
        <w:top w:val="none" w:sz="0" w:space="0" w:color="auto"/>
        <w:left w:val="none" w:sz="0" w:space="0" w:color="auto"/>
        <w:bottom w:val="none" w:sz="0" w:space="0" w:color="auto"/>
        <w:right w:val="none" w:sz="0" w:space="0" w:color="auto"/>
      </w:divBdr>
    </w:div>
    <w:div w:id="7415004">
      <w:bodyDiv w:val="1"/>
      <w:marLeft w:val="0"/>
      <w:marRight w:val="0"/>
      <w:marTop w:val="0"/>
      <w:marBottom w:val="0"/>
      <w:divBdr>
        <w:top w:val="none" w:sz="0" w:space="0" w:color="auto"/>
        <w:left w:val="none" w:sz="0" w:space="0" w:color="auto"/>
        <w:bottom w:val="none" w:sz="0" w:space="0" w:color="auto"/>
        <w:right w:val="none" w:sz="0" w:space="0" w:color="auto"/>
      </w:divBdr>
    </w:div>
    <w:div w:id="7565038">
      <w:bodyDiv w:val="1"/>
      <w:marLeft w:val="0"/>
      <w:marRight w:val="0"/>
      <w:marTop w:val="0"/>
      <w:marBottom w:val="0"/>
      <w:divBdr>
        <w:top w:val="none" w:sz="0" w:space="0" w:color="auto"/>
        <w:left w:val="none" w:sz="0" w:space="0" w:color="auto"/>
        <w:bottom w:val="none" w:sz="0" w:space="0" w:color="auto"/>
        <w:right w:val="none" w:sz="0" w:space="0" w:color="auto"/>
      </w:divBdr>
    </w:div>
    <w:div w:id="7567417">
      <w:bodyDiv w:val="1"/>
      <w:marLeft w:val="0"/>
      <w:marRight w:val="0"/>
      <w:marTop w:val="0"/>
      <w:marBottom w:val="0"/>
      <w:divBdr>
        <w:top w:val="none" w:sz="0" w:space="0" w:color="auto"/>
        <w:left w:val="none" w:sz="0" w:space="0" w:color="auto"/>
        <w:bottom w:val="none" w:sz="0" w:space="0" w:color="auto"/>
        <w:right w:val="none" w:sz="0" w:space="0" w:color="auto"/>
      </w:divBdr>
    </w:div>
    <w:div w:id="7605508">
      <w:bodyDiv w:val="1"/>
      <w:marLeft w:val="0"/>
      <w:marRight w:val="0"/>
      <w:marTop w:val="0"/>
      <w:marBottom w:val="0"/>
      <w:divBdr>
        <w:top w:val="none" w:sz="0" w:space="0" w:color="auto"/>
        <w:left w:val="none" w:sz="0" w:space="0" w:color="auto"/>
        <w:bottom w:val="none" w:sz="0" w:space="0" w:color="auto"/>
        <w:right w:val="none" w:sz="0" w:space="0" w:color="auto"/>
      </w:divBdr>
    </w:div>
    <w:div w:id="7875621">
      <w:bodyDiv w:val="1"/>
      <w:marLeft w:val="0"/>
      <w:marRight w:val="0"/>
      <w:marTop w:val="0"/>
      <w:marBottom w:val="0"/>
      <w:divBdr>
        <w:top w:val="none" w:sz="0" w:space="0" w:color="auto"/>
        <w:left w:val="none" w:sz="0" w:space="0" w:color="auto"/>
        <w:bottom w:val="none" w:sz="0" w:space="0" w:color="auto"/>
        <w:right w:val="none" w:sz="0" w:space="0" w:color="auto"/>
      </w:divBdr>
    </w:div>
    <w:div w:id="7995779">
      <w:bodyDiv w:val="1"/>
      <w:marLeft w:val="0"/>
      <w:marRight w:val="0"/>
      <w:marTop w:val="0"/>
      <w:marBottom w:val="0"/>
      <w:divBdr>
        <w:top w:val="none" w:sz="0" w:space="0" w:color="auto"/>
        <w:left w:val="none" w:sz="0" w:space="0" w:color="auto"/>
        <w:bottom w:val="none" w:sz="0" w:space="0" w:color="auto"/>
        <w:right w:val="none" w:sz="0" w:space="0" w:color="auto"/>
      </w:divBdr>
    </w:div>
    <w:div w:id="8073046">
      <w:bodyDiv w:val="1"/>
      <w:marLeft w:val="0"/>
      <w:marRight w:val="0"/>
      <w:marTop w:val="0"/>
      <w:marBottom w:val="0"/>
      <w:divBdr>
        <w:top w:val="none" w:sz="0" w:space="0" w:color="auto"/>
        <w:left w:val="none" w:sz="0" w:space="0" w:color="auto"/>
        <w:bottom w:val="none" w:sz="0" w:space="0" w:color="auto"/>
        <w:right w:val="none" w:sz="0" w:space="0" w:color="auto"/>
      </w:divBdr>
    </w:div>
    <w:div w:id="8915026">
      <w:bodyDiv w:val="1"/>
      <w:marLeft w:val="0"/>
      <w:marRight w:val="0"/>
      <w:marTop w:val="0"/>
      <w:marBottom w:val="0"/>
      <w:divBdr>
        <w:top w:val="none" w:sz="0" w:space="0" w:color="auto"/>
        <w:left w:val="none" w:sz="0" w:space="0" w:color="auto"/>
        <w:bottom w:val="none" w:sz="0" w:space="0" w:color="auto"/>
        <w:right w:val="none" w:sz="0" w:space="0" w:color="auto"/>
      </w:divBdr>
    </w:div>
    <w:div w:id="8989260">
      <w:bodyDiv w:val="1"/>
      <w:marLeft w:val="0"/>
      <w:marRight w:val="0"/>
      <w:marTop w:val="0"/>
      <w:marBottom w:val="0"/>
      <w:divBdr>
        <w:top w:val="none" w:sz="0" w:space="0" w:color="auto"/>
        <w:left w:val="none" w:sz="0" w:space="0" w:color="auto"/>
        <w:bottom w:val="none" w:sz="0" w:space="0" w:color="auto"/>
        <w:right w:val="none" w:sz="0" w:space="0" w:color="auto"/>
      </w:divBdr>
    </w:div>
    <w:div w:id="9795552">
      <w:bodyDiv w:val="1"/>
      <w:marLeft w:val="0"/>
      <w:marRight w:val="0"/>
      <w:marTop w:val="0"/>
      <w:marBottom w:val="0"/>
      <w:divBdr>
        <w:top w:val="none" w:sz="0" w:space="0" w:color="auto"/>
        <w:left w:val="none" w:sz="0" w:space="0" w:color="auto"/>
        <w:bottom w:val="none" w:sz="0" w:space="0" w:color="auto"/>
        <w:right w:val="none" w:sz="0" w:space="0" w:color="auto"/>
      </w:divBdr>
    </w:div>
    <w:div w:id="10111671">
      <w:bodyDiv w:val="1"/>
      <w:marLeft w:val="0"/>
      <w:marRight w:val="0"/>
      <w:marTop w:val="0"/>
      <w:marBottom w:val="0"/>
      <w:divBdr>
        <w:top w:val="none" w:sz="0" w:space="0" w:color="auto"/>
        <w:left w:val="none" w:sz="0" w:space="0" w:color="auto"/>
        <w:bottom w:val="none" w:sz="0" w:space="0" w:color="auto"/>
        <w:right w:val="none" w:sz="0" w:space="0" w:color="auto"/>
      </w:divBdr>
    </w:div>
    <w:div w:id="10225834">
      <w:bodyDiv w:val="1"/>
      <w:marLeft w:val="0"/>
      <w:marRight w:val="0"/>
      <w:marTop w:val="0"/>
      <w:marBottom w:val="0"/>
      <w:divBdr>
        <w:top w:val="none" w:sz="0" w:space="0" w:color="auto"/>
        <w:left w:val="none" w:sz="0" w:space="0" w:color="auto"/>
        <w:bottom w:val="none" w:sz="0" w:space="0" w:color="auto"/>
        <w:right w:val="none" w:sz="0" w:space="0" w:color="auto"/>
      </w:divBdr>
    </w:div>
    <w:div w:id="10886815">
      <w:bodyDiv w:val="1"/>
      <w:marLeft w:val="0"/>
      <w:marRight w:val="0"/>
      <w:marTop w:val="0"/>
      <w:marBottom w:val="0"/>
      <w:divBdr>
        <w:top w:val="none" w:sz="0" w:space="0" w:color="auto"/>
        <w:left w:val="none" w:sz="0" w:space="0" w:color="auto"/>
        <w:bottom w:val="none" w:sz="0" w:space="0" w:color="auto"/>
        <w:right w:val="none" w:sz="0" w:space="0" w:color="auto"/>
      </w:divBdr>
    </w:div>
    <w:div w:id="11153132">
      <w:bodyDiv w:val="1"/>
      <w:marLeft w:val="0"/>
      <w:marRight w:val="0"/>
      <w:marTop w:val="0"/>
      <w:marBottom w:val="0"/>
      <w:divBdr>
        <w:top w:val="none" w:sz="0" w:space="0" w:color="auto"/>
        <w:left w:val="none" w:sz="0" w:space="0" w:color="auto"/>
        <w:bottom w:val="none" w:sz="0" w:space="0" w:color="auto"/>
        <w:right w:val="none" w:sz="0" w:space="0" w:color="auto"/>
      </w:divBdr>
    </w:div>
    <w:div w:id="11345037">
      <w:bodyDiv w:val="1"/>
      <w:marLeft w:val="0"/>
      <w:marRight w:val="0"/>
      <w:marTop w:val="0"/>
      <w:marBottom w:val="0"/>
      <w:divBdr>
        <w:top w:val="none" w:sz="0" w:space="0" w:color="auto"/>
        <w:left w:val="none" w:sz="0" w:space="0" w:color="auto"/>
        <w:bottom w:val="none" w:sz="0" w:space="0" w:color="auto"/>
        <w:right w:val="none" w:sz="0" w:space="0" w:color="auto"/>
      </w:divBdr>
    </w:div>
    <w:div w:id="11996356">
      <w:bodyDiv w:val="1"/>
      <w:marLeft w:val="0"/>
      <w:marRight w:val="0"/>
      <w:marTop w:val="0"/>
      <w:marBottom w:val="0"/>
      <w:divBdr>
        <w:top w:val="none" w:sz="0" w:space="0" w:color="auto"/>
        <w:left w:val="none" w:sz="0" w:space="0" w:color="auto"/>
        <w:bottom w:val="none" w:sz="0" w:space="0" w:color="auto"/>
        <w:right w:val="none" w:sz="0" w:space="0" w:color="auto"/>
      </w:divBdr>
    </w:div>
    <w:div w:id="12001929">
      <w:bodyDiv w:val="1"/>
      <w:marLeft w:val="0"/>
      <w:marRight w:val="0"/>
      <w:marTop w:val="0"/>
      <w:marBottom w:val="0"/>
      <w:divBdr>
        <w:top w:val="none" w:sz="0" w:space="0" w:color="auto"/>
        <w:left w:val="none" w:sz="0" w:space="0" w:color="auto"/>
        <w:bottom w:val="none" w:sz="0" w:space="0" w:color="auto"/>
        <w:right w:val="none" w:sz="0" w:space="0" w:color="auto"/>
      </w:divBdr>
    </w:div>
    <w:div w:id="12615633">
      <w:bodyDiv w:val="1"/>
      <w:marLeft w:val="0"/>
      <w:marRight w:val="0"/>
      <w:marTop w:val="0"/>
      <w:marBottom w:val="0"/>
      <w:divBdr>
        <w:top w:val="none" w:sz="0" w:space="0" w:color="auto"/>
        <w:left w:val="none" w:sz="0" w:space="0" w:color="auto"/>
        <w:bottom w:val="none" w:sz="0" w:space="0" w:color="auto"/>
        <w:right w:val="none" w:sz="0" w:space="0" w:color="auto"/>
      </w:divBdr>
    </w:div>
    <w:div w:id="12651473">
      <w:bodyDiv w:val="1"/>
      <w:marLeft w:val="0"/>
      <w:marRight w:val="0"/>
      <w:marTop w:val="0"/>
      <w:marBottom w:val="0"/>
      <w:divBdr>
        <w:top w:val="none" w:sz="0" w:space="0" w:color="auto"/>
        <w:left w:val="none" w:sz="0" w:space="0" w:color="auto"/>
        <w:bottom w:val="none" w:sz="0" w:space="0" w:color="auto"/>
        <w:right w:val="none" w:sz="0" w:space="0" w:color="auto"/>
      </w:divBdr>
    </w:div>
    <w:div w:id="13387028">
      <w:bodyDiv w:val="1"/>
      <w:marLeft w:val="0"/>
      <w:marRight w:val="0"/>
      <w:marTop w:val="0"/>
      <w:marBottom w:val="0"/>
      <w:divBdr>
        <w:top w:val="none" w:sz="0" w:space="0" w:color="auto"/>
        <w:left w:val="none" w:sz="0" w:space="0" w:color="auto"/>
        <w:bottom w:val="none" w:sz="0" w:space="0" w:color="auto"/>
        <w:right w:val="none" w:sz="0" w:space="0" w:color="auto"/>
      </w:divBdr>
    </w:div>
    <w:div w:id="13656841">
      <w:bodyDiv w:val="1"/>
      <w:marLeft w:val="0"/>
      <w:marRight w:val="0"/>
      <w:marTop w:val="0"/>
      <w:marBottom w:val="0"/>
      <w:divBdr>
        <w:top w:val="none" w:sz="0" w:space="0" w:color="auto"/>
        <w:left w:val="none" w:sz="0" w:space="0" w:color="auto"/>
        <w:bottom w:val="none" w:sz="0" w:space="0" w:color="auto"/>
        <w:right w:val="none" w:sz="0" w:space="0" w:color="auto"/>
      </w:divBdr>
    </w:div>
    <w:div w:id="13726641">
      <w:bodyDiv w:val="1"/>
      <w:marLeft w:val="0"/>
      <w:marRight w:val="0"/>
      <w:marTop w:val="0"/>
      <w:marBottom w:val="0"/>
      <w:divBdr>
        <w:top w:val="none" w:sz="0" w:space="0" w:color="auto"/>
        <w:left w:val="none" w:sz="0" w:space="0" w:color="auto"/>
        <w:bottom w:val="none" w:sz="0" w:space="0" w:color="auto"/>
        <w:right w:val="none" w:sz="0" w:space="0" w:color="auto"/>
      </w:divBdr>
    </w:div>
    <w:div w:id="14112755">
      <w:bodyDiv w:val="1"/>
      <w:marLeft w:val="0"/>
      <w:marRight w:val="0"/>
      <w:marTop w:val="0"/>
      <w:marBottom w:val="0"/>
      <w:divBdr>
        <w:top w:val="none" w:sz="0" w:space="0" w:color="auto"/>
        <w:left w:val="none" w:sz="0" w:space="0" w:color="auto"/>
        <w:bottom w:val="none" w:sz="0" w:space="0" w:color="auto"/>
        <w:right w:val="none" w:sz="0" w:space="0" w:color="auto"/>
      </w:divBdr>
    </w:div>
    <w:div w:id="14115437">
      <w:bodyDiv w:val="1"/>
      <w:marLeft w:val="0"/>
      <w:marRight w:val="0"/>
      <w:marTop w:val="0"/>
      <w:marBottom w:val="0"/>
      <w:divBdr>
        <w:top w:val="none" w:sz="0" w:space="0" w:color="auto"/>
        <w:left w:val="none" w:sz="0" w:space="0" w:color="auto"/>
        <w:bottom w:val="none" w:sz="0" w:space="0" w:color="auto"/>
        <w:right w:val="none" w:sz="0" w:space="0" w:color="auto"/>
      </w:divBdr>
    </w:div>
    <w:div w:id="14305450">
      <w:bodyDiv w:val="1"/>
      <w:marLeft w:val="0"/>
      <w:marRight w:val="0"/>
      <w:marTop w:val="0"/>
      <w:marBottom w:val="0"/>
      <w:divBdr>
        <w:top w:val="none" w:sz="0" w:space="0" w:color="auto"/>
        <w:left w:val="none" w:sz="0" w:space="0" w:color="auto"/>
        <w:bottom w:val="none" w:sz="0" w:space="0" w:color="auto"/>
        <w:right w:val="none" w:sz="0" w:space="0" w:color="auto"/>
      </w:divBdr>
    </w:div>
    <w:div w:id="14498970">
      <w:bodyDiv w:val="1"/>
      <w:marLeft w:val="0"/>
      <w:marRight w:val="0"/>
      <w:marTop w:val="0"/>
      <w:marBottom w:val="0"/>
      <w:divBdr>
        <w:top w:val="none" w:sz="0" w:space="0" w:color="auto"/>
        <w:left w:val="none" w:sz="0" w:space="0" w:color="auto"/>
        <w:bottom w:val="none" w:sz="0" w:space="0" w:color="auto"/>
        <w:right w:val="none" w:sz="0" w:space="0" w:color="auto"/>
      </w:divBdr>
    </w:div>
    <w:div w:id="14504778">
      <w:bodyDiv w:val="1"/>
      <w:marLeft w:val="0"/>
      <w:marRight w:val="0"/>
      <w:marTop w:val="0"/>
      <w:marBottom w:val="0"/>
      <w:divBdr>
        <w:top w:val="none" w:sz="0" w:space="0" w:color="auto"/>
        <w:left w:val="none" w:sz="0" w:space="0" w:color="auto"/>
        <w:bottom w:val="none" w:sz="0" w:space="0" w:color="auto"/>
        <w:right w:val="none" w:sz="0" w:space="0" w:color="auto"/>
      </w:divBdr>
    </w:div>
    <w:div w:id="14505030">
      <w:bodyDiv w:val="1"/>
      <w:marLeft w:val="0"/>
      <w:marRight w:val="0"/>
      <w:marTop w:val="0"/>
      <w:marBottom w:val="0"/>
      <w:divBdr>
        <w:top w:val="none" w:sz="0" w:space="0" w:color="auto"/>
        <w:left w:val="none" w:sz="0" w:space="0" w:color="auto"/>
        <w:bottom w:val="none" w:sz="0" w:space="0" w:color="auto"/>
        <w:right w:val="none" w:sz="0" w:space="0" w:color="auto"/>
      </w:divBdr>
    </w:div>
    <w:div w:id="14625932">
      <w:bodyDiv w:val="1"/>
      <w:marLeft w:val="0"/>
      <w:marRight w:val="0"/>
      <w:marTop w:val="0"/>
      <w:marBottom w:val="0"/>
      <w:divBdr>
        <w:top w:val="none" w:sz="0" w:space="0" w:color="auto"/>
        <w:left w:val="none" w:sz="0" w:space="0" w:color="auto"/>
        <w:bottom w:val="none" w:sz="0" w:space="0" w:color="auto"/>
        <w:right w:val="none" w:sz="0" w:space="0" w:color="auto"/>
      </w:divBdr>
    </w:div>
    <w:div w:id="14962621">
      <w:bodyDiv w:val="1"/>
      <w:marLeft w:val="0"/>
      <w:marRight w:val="0"/>
      <w:marTop w:val="0"/>
      <w:marBottom w:val="0"/>
      <w:divBdr>
        <w:top w:val="none" w:sz="0" w:space="0" w:color="auto"/>
        <w:left w:val="none" w:sz="0" w:space="0" w:color="auto"/>
        <w:bottom w:val="none" w:sz="0" w:space="0" w:color="auto"/>
        <w:right w:val="none" w:sz="0" w:space="0" w:color="auto"/>
      </w:divBdr>
    </w:div>
    <w:div w:id="15156050">
      <w:bodyDiv w:val="1"/>
      <w:marLeft w:val="0"/>
      <w:marRight w:val="0"/>
      <w:marTop w:val="0"/>
      <w:marBottom w:val="0"/>
      <w:divBdr>
        <w:top w:val="none" w:sz="0" w:space="0" w:color="auto"/>
        <w:left w:val="none" w:sz="0" w:space="0" w:color="auto"/>
        <w:bottom w:val="none" w:sz="0" w:space="0" w:color="auto"/>
        <w:right w:val="none" w:sz="0" w:space="0" w:color="auto"/>
      </w:divBdr>
    </w:div>
    <w:div w:id="15544815">
      <w:bodyDiv w:val="1"/>
      <w:marLeft w:val="0"/>
      <w:marRight w:val="0"/>
      <w:marTop w:val="0"/>
      <w:marBottom w:val="0"/>
      <w:divBdr>
        <w:top w:val="none" w:sz="0" w:space="0" w:color="auto"/>
        <w:left w:val="none" w:sz="0" w:space="0" w:color="auto"/>
        <w:bottom w:val="none" w:sz="0" w:space="0" w:color="auto"/>
        <w:right w:val="none" w:sz="0" w:space="0" w:color="auto"/>
      </w:divBdr>
    </w:div>
    <w:div w:id="15816985">
      <w:bodyDiv w:val="1"/>
      <w:marLeft w:val="0"/>
      <w:marRight w:val="0"/>
      <w:marTop w:val="0"/>
      <w:marBottom w:val="0"/>
      <w:divBdr>
        <w:top w:val="none" w:sz="0" w:space="0" w:color="auto"/>
        <w:left w:val="none" w:sz="0" w:space="0" w:color="auto"/>
        <w:bottom w:val="none" w:sz="0" w:space="0" w:color="auto"/>
        <w:right w:val="none" w:sz="0" w:space="0" w:color="auto"/>
      </w:divBdr>
    </w:div>
    <w:div w:id="15860528">
      <w:bodyDiv w:val="1"/>
      <w:marLeft w:val="0"/>
      <w:marRight w:val="0"/>
      <w:marTop w:val="0"/>
      <w:marBottom w:val="0"/>
      <w:divBdr>
        <w:top w:val="none" w:sz="0" w:space="0" w:color="auto"/>
        <w:left w:val="none" w:sz="0" w:space="0" w:color="auto"/>
        <w:bottom w:val="none" w:sz="0" w:space="0" w:color="auto"/>
        <w:right w:val="none" w:sz="0" w:space="0" w:color="auto"/>
      </w:divBdr>
    </w:div>
    <w:div w:id="16006784">
      <w:bodyDiv w:val="1"/>
      <w:marLeft w:val="0"/>
      <w:marRight w:val="0"/>
      <w:marTop w:val="0"/>
      <w:marBottom w:val="0"/>
      <w:divBdr>
        <w:top w:val="none" w:sz="0" w:space="0" w:color="auto"/>
        <w:left w:val="none" w:sz="0" w:space="0" w:color="auto"/>
        <w:bottom w:val="none" w:sz="0" w:space="0" w:color="auto"/>
        <w:right w:val="none" w:sz="0" w:space="0" w:color="auto"/>
      </w:divBdr>
    </w:div>
    <w:div w:id="16010233">
      <w:bodyDiv w:val="1"/>
      <w:marLeft w:val="0"/>
      <w:marRight w:val="0"/>
      <w:marTop w:val="0"/>
      <w:marBottom w:val="0"/>
      <w:divBdr>
        <w:top w:val="none" w:sz="0" w:space="0" w:color="auto"/>
        <w:left w:val="none" w:sz="0" w:space="0" w:color="auto"/>
        <w:bottom w:val="none" w:sz="0" w:space="0" w:color="auto"/>
        <w:right w:val="none" w:sz="0" w:space="0" w:color="auto"/>
      </w:divBdr>
    </w:div>
    <w:div w:id="16197573">
      <w:bodyDiv w:val="1"/>
      <w:marLeft w:val="0"/>
      <w:marRight w:val="0"/>
      <w:marTop w:val="0"/>
      <w:marBottom w:val="0"/>
      <w:divBdr>
        <w:top w:val="none" w:sz="0" w:space="0" w:color="auto"/>
        <w:left w:val="none" w:sz="0" w:space="0" w:color="auto"/>
        <w:bottom w:val="none" w:sz="0" w:space="0" w:color="auto"/>
        <w:right w:val="none" w:sz="0" w:space="0" w:color="auto"/>
      </w:divBdr>
    </w:div>
    <w:div w:id="17195608">
      <w:bodyDiv w:val="1"/>
      <w:marLeft w:val="0"/>
      <w:marRight w:val="0"/>
      <w:marTop w:val="0"/>
      <w:marBottom w:val="0"/>
      <w:divBdr>
        <w:top w:val="none" w:sz="0" w:space="0" w:color="auto"/>
        <w:left w:val="none" w:sz="0" w:space="0" w:color="auto"/>
        <w:bottom w:val="none" w:sz="0" w:space="0" w:color="auto"/>
        <w:right w:val="none" w:sz="0" w:space="0" w:color="auto"/>
      </w:divBdr>
    </w:div>
    <w:div w:id="17900127">
      <w:bodyDiv w:val="1"/>
      <w:marLeft w:val="0"/>
      <w:marRight w:val="0"/>
      <w:marTop w:val="0"/>
      <w:marBottom w:val="0"/>
      <w:divBdr>
        <w:top w:val="none" w:sz="0" w:space="0" w:color="auto"/>
        <w:left w:val="none" w:sz="0" w:space="0" w:color="auto"/>
        <w:bottom w:val="none" w:sz="0" w:space="0" w:color="auto"/>
        <w:right w:val="none" w:sz="0" w:space="0" w:color="auto"/>
      </w:divBdr>
    </w:div>
    <w:div w:id="17900672">
      <w:bodyDiv w:val="1"/>
      <w:marLeft w:val="0"/>
      <w:marRight w:val="0"/>
      <w:marTop w:val="0"/>
      <w:marBottom w:val="0"/>
      <w:divBdr>
        <w:top w:val="none" w:sz="0" w:space="0" w:color="auto"/>
        <w:left w:val="none" w:sz="0" w:space="0" w:color="auto"/>
        <w:bottom w:val="none" w:sz="0" w:space="0" w:color="auto"/>
        <w:right w:val="none" w:sz="0" w:space="0" w:color="auto"/>
      </w:divBdr>
    </w:div>
    <w:div w:id="17975165">
      <w:bodyDiv w:val="1"/>
      <w:marLeft w:val="0"/>
      <w:marRight w:val="0"/>
      <w:marTop w:val="0"/>
      <w:marBottom w:val="0"/>
      <w:divBdr>
        <w:top w:val="none" w:sz="0" w:space="0" w:color="auto"/>
        <w:left w:val="none" w:sz="0" w:space="0" w:color="auto"/>
        <w:bottom w:val="none" w:sz="0" w:space="0" w:color="auto"/>
        <w:right w:val="none" w:sz="0" w:space="0" w:color="auto"/>
      </w:divBdr>
    </w:div>
    <w:div w:id="18088608">
      <w:bodyDiv w:val="1"/>
      <w:marLeft w:val="0"/>
      <w:marRight w:val="0"/>
      <w:marTop w:val="0"/>
      <w:marBottom w:val="0"/>
      <w:divBdr>
        <w:top w:val="none" w:sz="0" w:space="0" w:color="auto"/>
        <w:left w:val="none" w:sz="0" w:space="0" w:color="auto"/>
        <w:bottom w:val="none" w:sz="0" w:space="0" w:color="auto"/>
        <w:right w:val="none" w:sz="0" w:space="0" w:color="auto"/>
      </w:divBdr>
    </w:div>
    <w:div w:id="18092091">
      <w:bodyDiv w:val="1"/>
      <w:marLeft w:val="0"/>
      <w:marRight w:val="0"/>
      <w:marTop w:val="0"/>
      <w:marBottom w:val="0"/>
      <w:divBdr>
        <w:top w:val="none" w:sz="0" w:space="0" w:color="auto"/>
        <w:left w:val="none" w:sz="0" w:space="0" w:color="auto"/>
        <w:bottom w:val="none" w:sz="0" w:space="0" w:color="auto"/>
        <w:right w:val="none" w:sz="0" w:space="0" w:color="auto"/>
      </w:divBdr>
    </w:div>
    <w:div w:id="18361093">
      <w:bodyDiv w:val="1"/>
      <w:marLeft w:val="0"/>
      <w:marRight w:val="0"/>
      <w:marTop w:val="0"/>
      <w:marBottom w:val="0"/>
      <w:divBdr>
        <w:top w:val="none" w:sz="0" w:space="0" w:color="auto"/>
        <w:left w:val="none" w:sz="0" w:space="0" w:color="auto"/>
        <w:bottom w:val="none" w:sz="0" w:space="0" w:color="auto"/>
        <w:right w:val="none" w:sz="0" w:space="0" w:color="auto"/>
      </w:divBdr>
    </w:div>
    <w:div w:id="18435621">
      <w:bodyDiv w:val="1"/>
      <w:marLeft w:val="0"/>
      <w:marRight w:val="0"/>
      <w:marTop w:val="0"/>
      <w:marBottom w:val="0"/>
      <w:divBdr>
        <w:top w:val="none" w:sz="0" w:space="0" w:color="auto"/>
        <w:left w:val="none" w:sz="0" w:space="0" w:color="auto"/>
        <w:bottom w:val="none" w:sz="0" w:space="0" w:color="auto"/>
        <w:right w:val="none" w:sz="0" w:space="0" w:color="auto"/>
      </w:divBdr>
    </w:div>
    <w:div w:id="18629956">
      <w:bodyDiv w:val="1"/>
      <w:marLeft w:val="0"/>
      <w:marRight w:val="0"/>
      <w:marTop w:val="0"/>
      <w:marBottom w:val="0"/>
      <w:divBdr>
        <w:top w:val="none" w:sz="0" w:space="0" w:color="auto"/>
        <w:left w:val="none" w:sz="0" w:space="0" w:color="auto"/>
        <w:bottom w:val="none" w:sz="0" w:space="0" w:color="auto"/>
        <w:right w:val="none" w:sz="0" w:space="0" w:color="auto"/>
      </w:divBdr>
    </w:div>
    <w:div w:id="19090098">
      <w:bodyDiv w:val="1"/>
      <w:marLeft w:val="0"/>
      <w:marRight w:val="0"/>
      <w:marTop w:val="0"/>
      <w:marBottom w:val="0"/>
      <w:divBdr>
        <w:top w:val="none" w:sz="0" w:space="0" w:color="auto"/>
        <w:left w:val="none" w:sz="0" w:space="0" w:color="auto"/>
        <w:bottom w:val="none" w:sz="0" w:space="0" w:color="auto"/>
        <w:right w:val="none" w:sz="0" w:space="0" w:color="auto"/>
      </w:divBdr>
    </w:div>
    <w:div w:id="19281531">
      <w:bodyDiv w:val="1"/>
      <w:marLeft w:val="0"/>
      <w:marRight w:val="0"/>
      <w:marTop w:val="0"/>
      <w:marBottom w:val="0"/>
      <w:divBdr>
        <w:top w:val="none" w:sz="0" w:space="0" w:color="auto"/>
        <w:left w:val="none" w:sz="0" w:space="0" w:color="auto"/>
        <w:bottom w:val="none" w:sz="0" w:space="0" w:color="auto"/>
        <w:right w:val="none" w:sz="0" w:space="0" w:color="auto"/>
      </w:divBdr>
    </w:div>
    <w:div w:id="19286403">
      <w:bodyDiv w:val="1"/>
      <w:marLeft w:val="0"/>
      <w:marRight w:val="0"/>
      <w:marTop w:val="0"/>
      <w:marBottom w:val="0"/>
      <w:divBdr>
        <w:top w:val="none" w:sz="0" w:space="0" w:color="auto"/>
        <w:left w:val="none" w:sz="0" w:space="0" w:color="auto"/>
        <w:bottom w:val="none" w:sz="0" w:space="0" w:color="auto"/>
        <w:right w:val="none" w:sz="0" w:space="0" w:color="auto"/>
      </w:divBdr>
    </w:div>
    <w:div w:id="19356735">
      <w:bodyDiv w:val="1"/>
      <w:marLeft w:val="0"/>
      <w:marRight w:val="0"/>
      <w:marTop w:val="0"/>
      <w:marBottom w:val="0"/>
      <w:divBdr>
        <w:top w:val="none" w:sz="0" w:space="0" w:color="auto"/>
        <w:left w:val="none" w:sz="0" w:space="0" w:color="auto"/>
        <w:bottom w:val="none" w:sz="0" w:space="0" w:color="auto"/>
        <w:right w:val="none" w:sz="0" w:space="0" w:color="auto"/>
      </w:divBdr>
    </w:div>
    <w:div w:id="19548292">
      <w:bodyDiv w:val="1"/>
      <w:marLeft w:val="0"/>
      <w:marRight w:val="0"/>
      <w:marTop w:val="0"/>
      <w:marBottom w:val="0"/>
      <w:divBdr>
        <w:top w:val="none" w:sz="0" w:space="0" w:color="auto"/>
        <w:left w:val="none" w:sz="0" w:space="0" w:color="auto"/>
        <w:bottom w:val="none" w:sz="0" w:space="0" w:color="auto"/>
        <w:right w:val="none" w:sz="0" w:space="0" w:color="auto"/>
      </w:divBdr>
    </w:div>
    <w:div w:id="19821822">
      <w:bodyDiv w:val="1"/>
      <w:marLeft w:val="0"/>
      <w:marRight w:val="0"/>
      <w:marTop w:val="0"/>
      <w:marBottom w:val="0"/>
      <w:divBdr>
        <w:top w:val="none" w:sz="0" w:space="0" w:color="auto"/>
        <w:left w:val="none" w:sz="0" w:space="0" w:color="auto"/>
        <w:bottom w:val="none" w:sz="0" w:space="0" w:color="auto"/>
        <w:right w:val="none" w:sz="0" w:space="0" w:color="auto"/>
      </w:divBdr>
    </w:div>
    <w:div w:id="19862954">
      <w:bodyDiv w:val="1"/>
      <w:marLeft w:val="0"/>
      <w:marRight w:val="0"/>
      <w:marTop w:val="0"/>
      <w:marBottom w:val="0"/>
      <w:divBdr>
        <w:top w:val="none" w:sz="0" w:space="0" w:color="auto"/>
        <w:left w:val="none" w:sz="0" w:space="0" w:color="auto"/>
        <w:bottom w:val="none" w:sz="0" w:space="0" w:color="auto"/>
        <w:right w:val="none" w:sz="0" w:space="0" w:color="auto"/>
      </w:divBdr>
    </w:div>
    <w:div w:id="20400216">
      <w:bodyDiv w:val="1"/>
      <w:marLeft w:val="0"/>
      <w:marRight w:val="0"/>
      <w:marTop w:val="0"/>
      <w:marBottom w:val="0"/>
      <w:divBdr>
        <w:top w:val="none" w:sz="0" w:space="0" w:color="auto"/>
        <w:left w:val="none" w:sz="0" w:space="0" w:color="auto"/>
        <w:bottom w:val="none" w:sz="0" w:space="0" w:color="auto"/>
        <w:right w:val="none" w:sz="0" w:space="0" w:color="auto"/>
      </w:divBdr>
    </w:div>
    <w:div w:id="20907256">
      <w:bodyDiv w:val="1"/>
      <w:marLeft w:val="0"/>
      <w:marRight w:val="0"/>
      <w:marTop w:val="0"/>
      <w:marBottom w:val="0"/>
      <w:divBdr>
        <w:top w:val="none" w:sz="0" w:space="0" w:color="auto"/>
        <w:left w:val="none" w:sz="0" w:space="0" w:color="auto"/>
        <w:bottom w:val="none" w:sz="0" w:space="0" w:color="auto"/>
        <w:right w:val="none" w:sz="0" w:space="0" w:color="auto"/>
      </w:divBdr>
    </w:div>
    <w:div w:id="21251505">
      <w:bodyDiv w:val="1"/>
      <w:marLeft w:val="0"/>
      <w:marRight w:val="0"/>
      <w:marTop w:val="0"/>
      <w:marBottom w:val="0"/>
      <w:divBdr>
        <w:top w:val="none" w:sz="0" w:space="0" w:color="auto"/>
        <w:left w:val="none" w:sz="0" w:space="0" w:color="auto"/>
        <w:bottom w:val="none" w:sz="0" w:space="0" w:color="auto"/>
        <w:right w:val="none" w:sz="0" w:space="0" w:color="auto"/>
      </w:divBdr>
    </w:div>
    <w:div w:id="21365433">
      <w:bodyDiv w:val="1"/>
      <w:marLeft w:val="0"/>
      <w:marRight w:val="0"/>
      <w:marTop w:val="0"/>
      <w:marBottom w:val="0"/>
      <w:divBdr>
        <w:top w:val="none" w:sz="0" w:space="0" w:color="auto"/>
        <w:left w:val="none" w:sz="0" w:space="0" w:color="auto"/>
        <w:bottom w:val="none" w:sz="0" w:space="0" w:color="auto"/>
        <w:right w:val="none" w:sz="0" w:space="0" w:color="auto"/>
      </w:divBdr>
    </w:div>
    <w:div w:id="21369531">
      <w:bodyDiv w:val="1"/>
      <w:marLeft w:val="0"/>
      <w:marRight w:val="0"/>
      <w:marTop w:val="0"/>
      <w:marBottom w:val="0"/>
      <w:divBdr>
        <w:top w:val="none" w:sz="0" w:space="0" w:color="auto"/>
        <w:left w:val="none" w:sz="0" w:space="0" w:color="auto"/>
        <w:bottom w:val="none" w:sz="0" w:space="0" w:color="auto"/>
        <w:right w:val="none" w:sz="0" w:space="0" w:color="auto"/>
      </w:divBdr>
    </w:div>
    <w:div w:id="21633771">
      <w:bodyDiv w:val="1"/>
      <w:marLeft w:val="0"/>
      <w:marRight w:val="0"/>
      <w:marTop w:val="0"/>
      <w:marBottom w:val="0"/>
      <w:divBdr>
        <w:top w:val="none" w:sz="0" w:space="0" w:color="auto"/>
        <w:left w:val="none" w:sz="0" w:space="0" w:color="auto"/>
        <w:bottom w:val="none" w:sz="0" w:space="0" w:color="auto"/>
        <w:right w:val="none" w:sz="0" w:space="0" w:color="auto"/>
      </w:divBdr>
    </w:div>
    <w:div w:id="21980566">
      <w:bodyDiv w:val="1"/>
      <w:marLeft w:val="0"/>
      <w:marRight w:val="0"/>
      <w:marTop w:val="0"/>
      <w:marBottom w:val="0"/>
      <w:divBdr>
        <w:top w:val="none" w:sz="0" w:space="0" w:color="auto"/>
        <w:left w:val="none" w:sz="0" w:space="0" w:color="auto"/>
        <w:bottom w:val="none" w:sz="0" w:space="0" w:color="auto"/>
        <w:right w:val="none" w:sz="0" w:space="0" w:color="auto"/>
      </w:divBdr>
    </w:div>
    <w:div w:id="22102503">
      <w:bodyDiv w:val="1"/>
      <w:marLeft w:val="0"/>
      <w:marRight w:val="0"/>
      <w:marTop w:val="0"/>
      <w:marBottom w:val="0"/>
      <w:divBdr>
        <w:top w:val="none" w:sz="0" w:space="0" w:color="auto"/>
        <w:left w:val="none" w:sz="0" w:space="0" w:color="auto"/>
        <w:bottom w:val="none" w:sz="0" w:space="0" w:color="auto"/>
        <w:right w:val="none" w:sz="0" w:space="0" w:color="auto"/>
      </w:divBdr>
    </w:div>
    <w:div w:id="22217398">
      <w:bodyDiv w:val="1"/>
      <w:marLeft w:val="0"/>
      <w:marRight w:val="0"/>
      <w:marTop w:val="0"/>
      <w:marBottom w:val="0"/>
      <w:divBdr>
        <w:top w:val="none" w:sz="0" w:space="0" w:color="auto"/>
        <w:left w:val="none" w:sz="0" w:space="0" w:color="auto"/>
        <w:bottom w:val="none" w:sz="0" w:space="0" w:color="auto"/>
        <w:right w:val="none" w:sz="0" w:space="0" w:color="auto"/>
      </w:divBdr>
    </w:div>
    <w:div w:id="22244510">
      <w:bodyDiv w:val="1"/>
      <w:marLeft w:val="0"/>
      <w:marRight w:val="0"/>
      <w:marTop w:val="0"/>
      <w:marBottom w:val="0"/>
      <w:divBdr>
        <w:top w:val="none" w:sz="0" w:space="0" w:color="auto"/>
        <w:left w:val="none" w:sz="0" w:space="0" w:color="auto"/>
        <w:bottom w:val="none" w:sz="0" w:space="0" w:color="auto"/>
        <w:right w:val="none" w:sz="0" w:space="0" w:color="auto"/>
      </w:divBdr>
    </w:div>
    <w:div w:id="22366227">
      <w:bodyDiv w:val="1"/>
      <w:marLeft w:val="0"/>
      <w:marRight w:val="0"/>
      <w:marTop w:val="0"/>
      <w:marBottom w:val="0"/>
      <w:divBdr>
        <w:top w:val="none" w:sz="0" w:space="0" w:color="auto"/>
        <w:left w:val="none" w:sz="0" w:space="0" w:color="auto"/>
        <w:bottom w:val="none" w:sz="0" w:space="0" w:color="auto"/>
        <w:right w:val="none" w:sz="0" w:space="0" w:color="auto"/>
      </w:divBdr>
    </w:div>
    <w:div w:id="22637670">
      <w:bodyDiv w:val="1"/>
      <w:marLeft w:val="0"/>
      <w:marRight w:val="0"/>
      <w:marTop w:val="0"/>
      <w:marBottom w:val="0"/>
      <w:divBdr>
        <w:top w:val="none" w:sz="0" w:space="0" w:color="auto"/>
        <w:left w:val="none" w:sz="0" w:space="0" w:color="auto"/>
        <w:bottom w:val="none" w:sz="0" w:space="0" w:color="auto"/>
        <w:right w:val="none" w:sz="0" w:space="0" w:color="auto"/>
      </w:divBdr>
    </w:div>
    <w:div w:id="22949399">
      <w:bodyDiv w:val="1"/>
      <w:marLeft w:val="0"/>
      <w:marRight w:val="0"/>
      <w:marTop w:val="0"/>
      <w:marBottom w:val="0"/>
      <w:divBdr>
        <w:top w:val="none" w:sz="0" w:space="0" w:color="auto"/>
        <w:left w:val="none" w:sz="0" w:space="0" w:color="auto"/>
        <w:bottom w:val="none" w:sz="0" w:space="0" w:color="auto"/>
        <w:right w:val="none" w:sz="0" w:space="0" w:color="auto"/>
      </w:divBdr>
    </w:div>
    <w:div w:id="23019722">
      <w:bodyDiv w:val="1"/>
      <w:marLeft w:val="0"/>
      <w:marRight w:val="0"/>
      <w:marTop w:val="0"/>
      <w:marBottom w:val="0"/>
      <w:divBdr>
        <w:top w:val="none" w:sz="0" w:space="0" w:color="auto"/>
        <w:left w:val="none" w:sz="0" w:space="0" w:color="auto"/>
        <w:bottom w:val="none" w:sz="0" w:space="0" w:color="auto"/>
        <w:right w:val="none" w:sz="0" w:space="0" w:color="auto"/>
      </w:divBdr>
    </w:div>
    <w:div w:id="23404612">
      <w:bodyDiv w:val="1"/>
      <w:marLeft w:val="0"/>
      <w:marRight w:val="0"/>
      <w:marTop w:val="0"/>
      <w:marBottom w:val="0"/>
      <w:divBdr>
        <w:top w:val="none" w:sz="0" w:space="0" w:color="auto"/>
        <w:left w:val="none" w:sz="0" w:space="0" w:color="auto"/>
        <w:bottom w:val="none" w:sz="0" w:space="0" w:color="auto"/>
        <w:right w:val="none" w:sz="0" w:space="0" w:color="auto"/>
      </w:divBdr>
    </w:div>
    <w:div w:id="23485694">
      <w:bodyDiv w:val="1"/>
      <w:marLeft w:val="0"/>
      <w:marRight w:val="0"/>
      <w:marTop w:val="0"/>
      <w:marBottom w:val="0"/>
      <w:divBdr>
        <w:top w:val="none" w:sz="0" w:space="0" w:color="auto"/>
        <w:left w:val="none" w:sz="0" w:space="0" w:color="auto"/>
        <w:bottom w:val="none" w:sz="0" w:space="0" w:color="auto"/>
        <w:right w:val="none" w:sz="0" w:space="0" w:color="auto"/>
      </w:divBdr>
    </w:div>
    <w:div w:id="24058800">
      <w:bodyDiv w:val="1"/>
      <w:marLeft w:val="0"/>
      <w:marRight w:val="0"/>
      <w:marTop w:val="0"/>
      <w:marBottom w:val="0"/>
      <w:divBdr>
        <w:top w:val="none" w:sz="0" w:space="0" w:color="auto"/>
        <w:left w:val="none" w:sz="0" w:space="0" w:color="auto"/>
        <w:bottom w:val="none" w:sz="0" w:space="0" w:color="auto"/>
        <w:right w:val="none" w:sz="0" w:space="0" w:color="auto"/>
      </w:divBdr>
    </w:div>
    <w:div w:id="24183378">
      <w:bodyDiv w:val="1"/>
      <w:marLeft w:val="0"/>
      <w:marRight w:val="0"/>
      <w:marTop w:val="0"/>
      <w:marBottom w:val="0"/>
      <w:divBdr>
        <w:top w:val="none" w:sz="0" w:space="0" w:color="auto"/>
        <w:left w:val="none" w:sz="0" w:space="0" w:color="auto"/>
        <w:bottom w:val="none" w:sz="0" w:space="0" w:color="auto"/>
        <w:right w:val="none" w:sz="0" w:space="0" w:color="auto"/>
      </w:divBdr>
    </w:div>
    <w:div w:id="25100819">
      <w:bodyDiv w:val="1"/>
      <w:marLeft w:val="0"/>
      <w:marRight w:val="0"/>
      <w:marTop w:val="0"/>
      <w:marBottom w:val="0"/>
      <w:divBdr>
        <w:top w:val="none" w:sz="0" w:space="0" w:color="auto"/>
        <w:left w:val="none" w:sz="0" w:space="0" w:color="auto"/>
        <w:bottom w:val="none" w:sz="0" w:space="0" w:color="auto"/>
        <w:right w:val="none" w:sz="0" w:space="0" w:color="auto"/>
      </w:divBdr>
    </w:div>
    <w:div w:id="25378860">
      <w:bodyDiv w:val="1"/>
      <w:marLeft w:val="0"/>
      <w:marRight w:val="0"/>
      <w:marTop w:val="0"/>
      <w:marBottom w:val="0"/>
      <w:divBdr>
        <w:top w:val="none" w:sz="0" w:space="0" w:color="auto"/>
        <w:left w:val="none" w:sz="0" w:space="0" w:color="auto"/>
        <w:bottom w:val="none" w:sz="0" w:space="0" w:color="auto"/>
        <w:right w:val="none" w:sz="0" w:space="0" w:color="auto"/>
      </w:divBdr>
    </w:div>
    <w:div w:id="25714684">
      <w:bodyDiv w:val="1"/>
      <w:marLeft w:val="0"/>
      <w:marRight w:val="0"/>
      <w:marTop w:val="0"/>
      <w:marBottom w:val="0"/>
      <w:divBdr>
        <w:top w:val="none" w:sz="0" w:space="0" w:color="auto"/>
        <w:left w:val="none" w:sz="0" w:space="0" w:color="auto"/>
        <w:bottom w:val="none" w:sz="0" w:space="0" w:color="auto"/>
        <w:right w:val="none" w:sz="0" w:space="0" w:color="auto"/>
      </w:divBdr>
    </w:div>
    <w:div w:id="26105133">
      <w:bodyDiv w:val="1"/>
      <w:marLeft w:val="0"/>
      <w:marRight w:val="0"/>
      <w:marTop w:val="0"/>
      <w:marBottom w:val="0"/>
      <w:divBdr>
        <w:top w:val="none" w:sz="0" w:space="0" w:color="auto"/>
        <w:left w:val="none" w:sz="0" w:space="0" w:color="auto"/>
        <w:bottom w:val="none" w:sz="0" w:space="0" w:color="auto"/>
        <w:right w:val="none" w:sz="0" w:space="0" w:color="auto"/>
      </w:divBdr>
    </w:div>
    <w:div w:id="26219075">
      <w:bodyDiv w:val="1"/>
      <w:marLeft w:val="0"/>
      <w:marRight w:val="0"/>
      <w:marTop w:val="0"/>
      <w:marBottom w:val="0"/>
      <w:divBdr>
        <w:top w:val="none" w:sz="0" w:space="0" w:color="auto"/>
        <w:left w:val="none" w:sz="0" w:space="0" w:color="auto"/>
        <w:bottom w:val="none" w:sz="0" w:space="0" w:color="auto"/>
        <w:right w:val="none" w:sz="0" w:space="0" w:color="auto"/>
      </w:divBdr>
    </w:div>
    <w:div w:id="26301241">
      <w:bodyDiv w:val="1"/>
      <w:marLeft w:val="0"/>
      <w:marRight w:val="0"/>
      <w:marTop w:val="0"/>
      <w:marBottom w:val="0"/>
      <w:divBdr>
        <w:top w:val="none" w:sz="0" w:space="0" w:color="auto"/>
        <w:left w:val="none" w:sz="0" w:space="0" w:color="auto"/>
        <w:bottom w:val="none" w:sz="0" w:space="0" w:color="auto"/>
        <w:right w:val="none" w:sz="0" w:space="0" w:color="auto"/>
      </w:divBdr>
    </w:div>
    <w:div w:id="26411126">
      <w:bodyDiv w:val="1"/>
      <w:marLeft w:val="0"/>
      <w:marRight w:val="0"/>
      <w:marTop w:val="0"/>
      <w:marBottom w:val="0"/>
      <w:divBdr>
        <w:top w:val="none" w:sz="0" w:space="0" w:color="auto"/>
        <w:left w:val="none" w:sz="0" w:space="0" w:color="auto"/>
        <w:bottom w:val="none" w:sz="0" w:space="0" w:color="auto"/>
        <w:right w:val="none" w:sz="0" w:space="0" w:color="auto"/>
      </w:divBdr>
    </w:div>
    <w:div w:id="26419007">
      <w:bodyDiv w:val="1"/>
      <w:marLeft w:val="0"/>
      <w:marRight w:val="0"/>
      <w:marTop w:val="0"/>
      <w:marBottom w:val="0"/>
      <w:divBdr>
        <w:top w:val="none" w:sz="0" w:space="0" w:color="auto"/>
        <w:left w:val="none" w:sz="0" w:space="0" w:color="auto"/>
        <w:bottom w:val="none" w:sz="0" w:space="0" w:color="auto"/>
        <w:right w:val="none" w:sz="0" w:space="0" w:color="auto"/>
      </w:divBdr>
    </w:div>
    <w:div w:id="27336629">
      <w:bodyDiv w:val="1"/>
      <w:marLeft w:val="0"/>
      <w:marRight w:val="0"/>
      <w:marTop w:val="0"/>
      <w:marBottom w:val="0"/>
      <w:divBdr>
        <w:top w:val="none" w:sz="0" w:space="0" w:color="auto"/>
        <w:left w:val="none" w:sz="0" w:space="0" w:color="auto"/>
        <w:bottom w:val="none" w:sz="0" w:space="0" w:color="auto"/>
        <w:right w:val="none" w:sz="0" w:space="0" w:color="auto"/>
      </w:divBdr>
    </w:div>
    <w:div w:id="27492013">
      <w:bodyDiv w:val="1"/>
      <w:marLeft w:val="0"/>
      <w:marRight w:val="0"/>
      <w:marTop w:val="0"/>
      <w:marBottom w:val="0"/>
      <w:divBdr>
        <w:top w:val="none" w:sz="0" w:space="0" w:color="auto"/>
        <w:left w:val="none" w:sz="0" w:space="0" w:color="auto"/>
        <w:bottom w:val="none" w:sz="0" w:space="0" w:color="auto"/>
        <w:right w:val="none" w:sz="0" w:space="0" w:color="auto"/>
      </w:divBdr>
    </w:div>
    <w:div w:id="27606940">
      <w:bodyDiv w:val="1"/>
      <w:marLeft w:val="0"/>
      <w:marRight w:val="0"/>
      <w:marTop w:val="0"/>
      <w:marBottom w:val="0"/>
      <w:divBdr>
        <w:top w:val="none" w:sz="0" w:space="0" w:color="auto"/>
        <w:left w:val="none" w:sz="0" w:space="0" w:color="auto"/>
        <w:bottom w:val="none" w:sz="0" w:space="0" w:color="auto"/>
        <w:right w:val="none" w:sz="0" w:space="0" w:color="auto"/>
      </w:divBdr>
    </w:div>
    <w:div w:id="27684486">
      <w:bodyDiv w:val="1"/>
      <w:marLeft w:val="0"/>
      <w:marRight w:val="0"/>
      <w:marTop w:val="0"/>
      <w:marBottom w:val="0"/>
      <w:divBdr>
        <w:top w:val="none" w:sz="0" w:space="0" w:color="auto"/>
        <w:left w:val="none" w:sz="0" w:space="0" w:color="auto"/>
        <w:bottom w:val="none" w:sz="0" w:space="0" w:color="auto"/>
        <w:right w:val="none" w:sz="0" w:space="0" w:color="auto"/>
      </w:divBdr>
    </w:div>
    <w:div w:id="27727012">
      <w:bodyDiv w:val="1"/>
      <w:marLeft w:val="0"/>
      <w:marRight w:val="0"/>
      <w:marTop w:val="0"/>
      <w:marBottom w:val="0"/>
      <w:divBdr>
        <w:top w:val="none" w:sz="0" w:space="0" w:color="auto"/>
        <w:left w:val="none" w:sz="0" w:space="0" w:color="auto"/>
        <w:bottom w:val="none" w:sz="0" w:space="0" w:color="auto"/>
        <w:right w:val="none" w:sz="0" w:space="0" w:color="auto"/>
      </w:divBdr>
    </w:div>
    <w:div w:id="27873422">
      <w:bodyDiv w:val="1"/>
      <w:marLeft w:val="0"/>
      <w:marRight w:val="0"/>
      <w:marTop w:val="0"/>
      <w:marBottom w:val="0"/>
      <w:divBdr>
        <w:top w:val="none" w:sz="0" w:space="0" w:color="auto"/>
        <w:left w:val="none" w:sz="0" w:space="0" w:color="auto"/>
        <w:bottom w:val="none" w:sz="0" w:space="0" w:color="auto"/>
        <w:right w:val="none" w:sz="0" w:space="0" w:color="auto"/>
      </w:divBdr>
    </w:div>
    <w:div w:id="28143111">
      <w:bodyDiv w:val="1"/>
      <w:marLeft w:val="0"/>
      <w:marRight w:val="0"/>
      <w:marTop w:val="0"/>
      <w:marBottom w:val="0"/>
      <w:divBdr>
        <w:top w:val="none" w:sz="0" w:space="0" w:color="auto"/>
        <w:left w:val="none" w:sz="0" w:space="0" w:color="auto"/>
        <w:bottom w:val="none" w:sz="0" w:space="0" w:color="auto"/>
        <w:right w:val="none" w:sz="0" w:space="0" w:color="auto"/>
      </w:divBdr>
    </w:div>
    <w:div w:id="28144906">
      <w:bodyDiv w:val="1"/>
      <w:marLeft w:val="0"/>
      <w:marRight w:val="0"/>
      <w:marTop w:val="0"/>
      <w:marBottom w:val="0"/>
      <w:divBdr>
        <w:top w:val="none" w:sz="0" w:space="0" w:color="auto"/>
        <w:left w:val="none" w:sz="0" w:space="0" w:color="auto"/>
        <w:bottom w:val="none" w:sz="0" w:space="0" w:color="auto"/>
        <w:right w:val="none" w:sz="0" w:space="0" w:color="auto"/>
      </w:divBdr>
    </w:div>
    <w:div w:id="28340307">
      <w:bodyDiv w:val="1"/>
      <w:marLeft w:val="0"/>
      <w:marRight w:val="0"/>
      <w:marTop w:val="0"/>
      <w:marBottom w:val="0"/>
      <w:divBdr>
        <w:top w:val="none" w:sz="0" w:space="0" w:color="auto"/>
        <w:left w:val="none" w:sz="0" w:space="0" w:color="auto"/>
        <w:bottom w:val="none" w:sz="0" w:space="0" w:color="auto"/>
        <w:right w:val="none" w:sz="0" w:space="0" w:color="auto"/>
      </w:divBdr>
    </w:div>
    <w:div w:id="28341960">
      <w:bodyDiv w:val="1"/>
      <w:marLeft w:val="0"/>
      <w:marRight w:val="0"/>
      <w:marTop w:val="0"/>
      <w:marBottom w:val="0"/>
      <w:divBdr>
        <w:top w:val="none" w:sz="0" w:space="0" w:color="auto"/>
        <w:left w:val="none" w:sz="0" w:space="0" w:color="auto"/>
        <w:bottom w:val="none" w:sz="0" w:space="0" w:color="auto"/>
        <w:right w:val="none" w:sz="0" w:space="0" w:color="auto"/>
      </w:divBdr>
    </w:div>
    <w:div w:id="28385583">
      <w:bodyDiv w:val="1"/>
      <w:marLeft w:val="0"/>
      <w:marRight w:val="0"/>
      <w:marTop w:val="0"/>
      <w:marBottom w:val="0"/>
      <w:divBdr>
        <w:top w:val="none" w:sz="0" w:space="0" w:color="auto"/>
        <w:left w:val="none" w:sz="0" w:space="0" w:color="auto"/>
        <w:bottom w:val="none" w:sz="0" w:space="0" w:color="auto"/>
        <w:right w:val="none" w:sz="0" w:space="0" w:color="auto"/>
      </w:divBdr>
    </w:div>
    <w:div w:id="28994962">
      <w:bodyDiv w:val="1"/>
      <w:marLeft w:val="0"/>
      <w:marRight w:val="0"/>
      <w:marTop w:val="0"/>
      <w:marBottom w:val="0"/>
      <w:divBdr>
        <w:top w:val="none" w:sz="0" w:space="0" w:color="auto"/>
        <w:left w:val="none" w:sz="0" w:space="0" w:color="auto"/>
        <w:bottom w:val="none" w:sz="0" w:space="0" w:color="auto"/>
        <w:right w:val="none" w:sz="0" w:space="0" w:color="auto"/>
      </w:divBdr>
    </w:div>
    <w:div w:id="29649094">
      <w:bodyDiv w:val="1"/>
      <w:marLeft w:val="0"/>
      <w:marRight w:val="0"/>
      <w:marTop w:val="0"/>
      <w:marBottom w:val="0"/>
      <w:divBdr>
        <w:top w:val="none" w:sz="0" w:space="0" w:color="auto"/>
        <w:left w:val="none" w:sz="0" w:space="0" w:color="auto"/>
        <w:bottom w:val="none" w:sz="0" w:space="0" w:color="auto"/>
        <w:right w:val="none" w:sz="0" w:space="0" w:color="auto"/>
      </w:divBdr>
    </w:div>
    <w:div w:id="30303572">
      <w:bodyDiv w:val="1"/>
      <w:marLeft w:val="0"/>
      <w:marRight w:val="0"/>
      <w:marTop w:val="0"/>
      <w:marBottom w:val="0"/>
      <w:divBdr>
        <w:top w:val="none" w:sz="0" w:space="0" w:color="auto"/>
        <w:left w:val="none" w:sz="0" w:space="0" w:color="auto"/>
        <w:bottom w:val="none" w:sz="0" w:space="0" w:color="auto"/>
        <w:right w:val="none" w:sz="0" w:space="0" w:color="auto"/>
      </w:divBdr>
    </w:div>
    <w:div w:id="31001637">
      <w:bodyDiv w:val="1"/>
      <w:marLeft w:val="0"/>
      <w:marRight w:val="0"/>
      <w:marTop w:val="0"/>
      <w:marBottom w:val="0"/>
      <w:divBdr>
        <w:top w:val="none" w:sz="0" w:space="0" w:color="auto"/>
        <w:left w:val="none" w:sz="0" w:space="0" w:color="auto"/>
        <w:bottom w:val="none" w:sz="0" w:space="0" w:color="auto"/>
        <w:right w:val="none" w:sz="0" w:space="0" w:color="auto"/>
      </w:divBdr>
    </w:div>
    <w:div w:id="31225236">
      <w:bodyDiv w:val="1"/>
      <w:marLeft w:val="0"/>
      <w:marRight w:val="0"/>
      <w:marTop w:val="0"/>
      <w:marBottom w:val="0"/>
      <w:divBdr>
        <w:top w:val="none" w:sz="0" w:space="0" w:color="auto"/>
        <w:left w:val="none" w:sz="0" w:space="0" w:color="auto"/>
        <w:bottom w:val="none" w:sz="0" w:space="0" w:color="auto"/>
        <w:right w:val="none" w:sz="0" w:space="0" w:color="auto"/>
      </w:divBdr>
    </w:div>
    <w:div w:id="31271198">
      <w:bodyDiv w:val="1"/>
      <w:marLeft w:val="0"/>
      <w:marRight w:val="0"/>
      <w:marTop w:val="0"/>
      <w:marBottom w:val="0"/>
      <w:divBdr>
        <w:top w:val="none" w:sz="0" w:space="0" w:color="auto"/>
        <w:left w:val="none" w:sz="0" w:space="0" w:color="auto"/>
        <w:bottom w:val="none" w:sz="0" w:space="0" w:color="auto"/>
        <w:right w:val="none" w:sz="0" w:space="0" w:color="auto"/>
      </w:divBdr>
    </w:div>
    <w:div w:id="31729287">
      <w:bodyDiv w:val="1"/>
      <w:marLeft w:val="0"/>
      <w:marRight w:val="0"/>
      <w:marTop w:val="0"/>
      <w:marBottom w:val="0"/>
      <w:divBdr>
        <w:top w:val="none" w:sz="0" w:space="0" w:color="auto"/>
        <w:left w:val="none" w:sz="0" w:space="0" w:color="auto"/>
        <w:bottom w:val="none" w:sz="0" w:space="0" w:color="auto"/>
        <w:right w:val="none" w:sz="0" w:space="0" w:color="auto"/>
      </w:divBdr>
    </w:div>
    <w:div w:id="31735116">
      <w:bodyDiv w:val="1"/>
      <w:marLeft w:val="0"/>
      <w:marRight w:val="0"/>
      <w:marTop w:val="0"/>
      <w:marBottom w:val="0"/>
      <w:divBdr>
        <w:top w:val="none" w:sz="0" w:space="0" w:color="auto"/>
        <w:left w:val="none" w:sz="0" w:space="0" w:color="auto"/>
        <w:bottom w:val="none" w:sz="0" w:space="0" w:color="auto"/>
        <w:right w:val="none" w:sz="0" w:space="0" w:color="auto"/>
      </w:divBdr>
    </w:div>
    <w:div w:id="32468760">
      <w:bodyDiv w:val="1"/>
      <w:marLeft w:val="0"/>
      <w:marRight w:val="0"/>
      <w:marTop w:val="0"/>
      <w:marBottom w:val="0"/>
      <w:divBdr>
        <w:top w:val="none" w:sz="0" w:space="0" w:color="auto"/>
        <w:left w:val="none" w:sz="0" w:space="0" w:color="auto"/>
        <w:bottom w:val="none" w:sz="0" w:space="0" w:color="auto"/>
        <w:right w:val="none" w:sz="0" w:space="0" w:color="auto"/>
      </w:divBdr>
    </w:div>
    <w:div w:id="32656364">
      <w:bodyDiv w:val="1"/>
      <w:marLeft w:val="0"/>
      <w:marRight w:val="0"/>
      <w:marTop w:val="0"/>
      <w:marBottom w:val="0"/>
      <w:divBdr>
        <w:top w:val="none" w:sz="0" w:space="0" w:color="auto"/>
        <w:left w:val="none" w:sz="0" w:space="0" w:color="auto"/>
        <w:bottom w:val="none" w:sz="0" w:space="0" w:color="auto"/>
        <w:right w:val="none" w:sz="0" w:space="0" w:color="auto"/>
      </w:divBdr>
    </w:div>
    <w:div w:id="32771694">
      <w:bodyDiv w:val="1"/>
      <w:marLeft w:val="0"/>
      <w:marRight w:val="0"/>
      <w:marTop w:val="0"/>
      <w:marBottom w:val="0"/>
      <w:divBdr>
        <w:top w:val="none" w:sz="0" w:space="0" w:color="auto"/>
        <w:left w:val="none" w:sz="0" w:space="0" w:color="auto"/>
        <w:bottom w:val="none" w:sz="0" w:space="0" w:color="auto"/>
        <w:right w:val="none" w:sz="0" w:space="0" w:color="auto"/>
      </w:divBdr>
    </w:div>
    <w:div w:id="33435250">
      <w:bodyDiv w:val="1"/>
      <w:marLeft w:val="0"/>
      <w:marRight w:val="0"/>
      <w:marTop w:val="0"/>
      <w:marBottom w:val="0"/>
      <w:divBdr>
        <w:top w:val="none" w:sz="0" w:space="0" w:color="auto"/>
        <w:left w:val="none" w:sz="0" w:space="0" w:color="auto"/>
        <w:bottom w:val="none" w:sz="0" w:space="0" w:color="auto"/>
        <w:right w:val="none" w:sz="0" w:space="0" w:color="auto"/>
      </w:divBdr>
    </w:div>
    <w:div w:id="34163645">
      <w:bodyDiv w:val="1"/>
      <w:marLeft w:val="0"/>
      <w:marRight w:val="0"/>
      <w:marTop w:val="0"/>
      <w:marBottom w:val="0"/>
      <w:divBdr>
        <w:top w:val="none" w:sz="0" w:space="0" w:color="auto"/>
        <w:left w:val="none" w:sz="0" w:space="0" w:color="auto"/>
        <w:bottom w:val="none" w:sz="0" w:space="0" w:color="auto"/>
        <w:right w:val="none" w:sz="0" w:space="0" w:color="auto"/>
      </w:divBdr>
    </w:div>
    <w:div w:id="34698371">
      <w:bodyDiv w:val="1"/>
      <w:marLeft w:val="0"/>
      <w:marRight w:val="0"/>
      <w:marTop w:val="0"/>
      <w:marBottom w:val="0"/>
      <w:divBdr>
        <w:top w:val="none" w:sz="0" w:space="0" w:color="auto"/>
        <w:left w:val="none" w:sz="0" w:space="0" w:color="auto"/>
        <w:bottom w:val="none" w:sz="0" w:space="0" w:color="auto"/>
        <w:right w:val="none" w:sz="0" w:space="0" w:color="auto"/>
      </w:divBdr>
    </w:div>
    <w:div w:id="34936216">
      <w:bodyDiv w:val="1"/>
      <w:marLeft w:val="0"/>
      <w:marRight w:val="0"/>
      <w:marTop w:val="0"/>
      <w:marBottom w:val="0"/>
      <w:divBdr>
        <w:top w:val="none" w:sz="0" w:space="0" w:color="auto"/>
        <w:left w:val="none" w:sz="0" w:space="0" w:color="auto"/>
        <w:bottom w:val="none" w:sz="0" w:space="0" w:color="auto"/>
        <w:right w:val="none" w:sz="0" w:space="0" w:color="auto"/>
      </w:divBdr>
    </w:div>
    <w:div w:id="35080277">
      <w:bodyDiv w:val="1"/>
      <w:marLeft w:val="0"/>
      <w:marRight w:val="0"/>
      <w:marTop w:val="0"/>
      <w:marBottom w:val="0"/>
      <w:divBdr>
        <w:top w:val="none" w:sz="0" w:space="0" w:color="auto"/>
        <w:left w:val="none" w:sz="0" w:space="0" w:color="auto"/>
        <w:bottom w:val="none" w:sz="0" w:space="0" w:color="auto"/>
        <w:right w:val="none" w:sz="0" w:space="0" w:color="auto"/>
      </w:divBdr>
    </w:div>
    <w:div w:id="35087288">
      <w:bodyDiv w:val="1"/>
      <w:marLeft w:val="0"/>
      <w:marRight w:val="0"/>
      <w:marTop w:val="0"/>
      <w:marBottom w:val="0"/>
      <w:divBdr>
        <w:top w:val="none" w:sz="0" w:space="0" w:color="auto"/>
        <w:left w:val="none" w:sz="0" w:space="0" w:color="auto"/>
        <w:bottom w:val="none" w:sz="0" w:space="0" w:color="auto"/>
        <w:right w:val="none" w:sz="0" w:space="0" w:color="auto"/>
      </w:divBdr>
    </w:div>
    <w:div w:id="36009450">
      <w:bodyDiv w:val="1"/>
      <w:marLeft w:val="0"/>
      <w:marRight w:val="0"/>
      <w:marTop w:val="0"/>
      <w:marBottom w:val="0"/>
      <w:divBdr>
        <w:top w:val="none" w:sz="0" w:space="0" w:color="auto"/>
        <w:left w:val="none" w:sz="0" w:space="0" w:color="auto"/>
        <w:bottom w:val="none" w:sz="0" w:space="0" w:color="auto"/>
        <w:right w:val="none" w:sz="0" w:space="0" w:color="auto"/>
      </w:divBdr>
    </w:div>
    <w:div w:id="36125847">
      <w:bodyDiv w:val="1"/>
      <w:marLeft w:val="0"/>
      <w:marRight w:val="0"/>
      <w:marTop w:val="0"/>
      <w:marBottom w:val="0"/>
      <w:divBdr>
        <w:top w:val="none" w:sz="0" w:space="0" w:color="auto"/>
        <w:left w:val="none" w:sz="0" w:space="0" w:color="auto"/>
        <w:bottom w:val="none" w:sz="0" w:space="0" w:color="auto"/>
        <w:right w:val="none" w:sz="0" w:space="0" w:color="auto"/>
      </w:divBdr>
    </w:div>
    <w:div w:id="36439633">
      <w:bodyDiv w:val="1"/>
      <w:marLeft w:val="0"/>
      <w:marRight w:val="0"/>
      <w:marTop w:val="0"/>
      <w:marBottom w:val="0"/>
      <w:divBdr>
        <w:top w:val="none" w:sz="0" w:space="0" w:color="auto"/>
        <w:left w:val="none" w:sz="0" w:space="0" w:color="auto"/>
        <w:bottom w:val="none" w:sz="0" w:space="0" w:color="auto"/>
        <w:right w:val="none" w:sz="0" w:space="0" w:color="auto"/>
      </w:divBdr>
    </w:div>
    <w:div w:id="36442590">
      <w:bodyDiv w:val="1"/>
      <w:marLeft w:val="0"/>
      <w:marRight w:val="0"/>
      <w:marTop w:val="0"/>
      <w:marBottom w:val="0"/>
      <w:divBdr>
        <w:top w:val="none" w:sz="0" w:space="0" w:color="auto"/>
        <w:left w:val="none" w:sz="0" w:space="0" w:color="auto"/>
        <w:bottom w:val="none" w:sz="0" w:space="0" w:color="auto"/>
        <w:right w:val="none" w:sz="0" w:space="0" w:color="auto"/>
      </w:divBdr>
    </w:div>
    <w:div w:id="36468938">
      <w:bodyDiv w:val="1"/>
      <w:marLeft w:val="0"/>
      <w:marRight w:val="0"/>
      <w:marTop w:val="0"/>
      <w:marBottom w:val="0"/>
      <w:divBdr>
        <w:top w:val="none" w:sz="0" w:space="0" w:color="auto"/>
        <w:left w:val="none" w:sz="0" w:space="0" w:color="auto"/>
        <w:bottom w:val="none" w:sz="0" w:space="0" w:color="auto"/>
        <w:right w:val="none" w:sz="0" w:space="0" w:color="auto"/>
      </w:divBdr>
    </w:div>
    <w:div w:id="37701754">
      <w:bodyDiv w:val="1"/>
      <w:marLeft w:val="0"/>
      <w:marRight w:val="0"/>
      <w:marTop w:val="0"/>
      <w:marBottom w:val="0"/>
      <w:divBdr>
        <w:top w:val="none" w:sz="0" w:space="0" w:color="auto"/>
        <w:left w:val="none" w:sz="0" w:space="0" w:color="auto"/>
        <w:bottom w:val="none" w:sz="0" w:space="0" w:color="auto"/>
        <w:right w:val="none" w:sz="0" w:space="0" w:color="auto"/>
      </w:divBdr>
    </w:div>
    <w:div w:id="37820329">
      <w:bodyDiv w:val="1"/>
      <w:marLeft w:val="0"/>
      <w:marRight w:val="0"/>
      <w:marTop w:val="0"/>
      <w:marBottom w:val="0"/>
      <w:divBdr>
        <w:top w:val="none" w:sz="0" w:space="0" w:color="auto"/>
        <w:left w:val="none" w:sz="0" w:space="0" w:color="auto"/>
        <w:bottom w:val="none" w:sz="0" w:space="0" w:color="auto"/>
        <w:right w:val="none" w:sz="0" w:space="0" w:color="auto"/>
      </w:divBdr>
    </w:div>
    <w:div w:id="38093680">
      <w:bodyDiv w:val="1"/>
      <w:marLeft w:val="0"/>
      <w:marRight w:val="0"/>
      <w:marTop w:val="0"/>
      <w:marBottom w:val="0"/>
      <w:divBdr>
        <w:top w:val="none" w:sz="0" w:space="0" w:color="auto"/>
        <w:left w:val="none" w:sz="0" w:space="0" w:color="auto"/>
        <w:bottom w:val="none" w:sz="0" w:space="0" w:color="auto"/>
        <w:right w:val="none" w:sz="0" w:space="0" w:color="auto"/>
      </w:divBdr>
    </w:div>
    <w:div w:id="38282925">
      <w:bodyDiv w:val="1"/>
      <w:marLeft w:val="0"/>
      <w:marRight w:val="0"/>
      <w:marTop w:val="0"/>
      <w:marBottom w:val="0"/>
      <w:divBdr>
        <w:top w:val="none" w:sz="0" w:space="0" w:color="auto"/>
        <w:left w:val="none" w:sz="0" w:space="0" w:color="auto"/>
        <w:bottom w:val="none" w:sz="0" w:space="0" w:color="auto"/>
        <w:right w:val="none" w:sz="0" w:space="0" w:color="auto"/>
      </w:divBdr>
    </w:div>
    <w:div w:id="38477050">
      <w:bodyDiv w:val="1"/>
      <w:marLeft w:val="0"/>
      <w:marRight w:val="0"/>
      <w:marTop w:val="0"/>
      <w:marBottom w:val="0"/>
      <w:divBdr>
        <w:top w:val="none" w:sz="0" w:space="0" w:color="auto"/>
        <w:left w:val="none" w:sz="0" w:space="0" w:color="auto"/>
        <w:bottom w:val="none" w:sz="0" w:space="0" w:color="auto"/>
        <w:right w:val="none" w:sz="0" w:space="0" w:color="auto"/>
      </w:divBdr>
    </w:div>
    <w:div w:id="39013141">
      <w:bodyDiv w:val="1"/>
      <w:marLeft w:val="0"/>
      <w:marRight w:val="0"/>
      <w:marTop w:val="0"/>
      <w:marBottom w:val="0"/>
      <w:divBdr>
        <w:top w:val="none" w:sz="0" w:space="0" w:color="auto"/>
        <w:left w:val="none" w:sz="0" w:space="0" w:color="auto"/>
        <w:bottom w:val="none" w:sz="0" w:space="0" w:color="auto"/>
        <w:right w:val="none" w:sz="0" w:space="0" w:color="auto"/>
      </w:divBdr>
    </w:div>
    <w:div w:id="39016312">
      <w:bodyDiv w:val="1"/>
      <w:marLeft w:val="0"/>
      <w:marRight w:val="0"/>
      <w:marTop w:val="0"/>
      <w:marBottom w:val="0"/>
      <w:divBdr>
        <w:top w:val="none" w:sz="0" w:space="0" w:color="auto"/>
        <w:left w:val="none" w:sz="0" w:space="0" w:color="auto"/>
        <w:bottom w:val="none" w:sz="0" w:space="0" w:color="auto"/>
        <w:right w:val="none" w:sz="0" w:space="0" w:color="auto"/>
      </w:divBdr>
    </w:div>
    <w:div w:id="39063471">
      <w:bodyDiv w:val="1"/>
      <w:marLeft w:val="0"/>
      <w:marRight w:val="0"/>
      <w:marTop w:val="0"/>
      <w:marBottom w:val="0"/>
      <w:divBdr>
        <w:top w:val="none" w:sz="0" w:space="0" w:color="auto"/>
        <w:left w:val="none" w:sz="0" w:space="0" w:color="auto"/>
        <w:bottom w:val="none" w:sz="0" w:space="0" w:color="auto"/>
        <w:right w:val="none" w:sz="0" w:space="0" w:color="auto"/>
      </w:divBdr>
    </w:div>
    <w:div w:id="39130111">
      <w:bodyDiv w:val="1"/>
      <w:marLeft w:val="0"/>
      <w:marRight w:val="0"/>
      <w:marTop w:val="0"/>
      <w:marBottom w:val="0"/>
      <w:divBdr>
        <w:top w:val="none" w:sz="0" w:space="0" w:color="auto"/>
        <w:left w:val="none" w:sz="0" w:space="0" w:color="auto"/>
        <w:bottom w:val="none" w:sz="0" w:space="0" w:color="auto"/>
        <w:right w:val="none" w:sz="0" w:space="0" w:color="auto"/>
      </w:divBdr>
    </w:div>
    <w:div w:id="39329011">
      <w:bodyDiv w:val="1"/>
      <w:marLeft w:val="0"/>
      <w:marRight w:val="0"/>
      <w:marTop w:val="0"/>
      <w:marBottom w:val="0"/>
      <w:divBdr>
        <w:top w:val="none" w:sz="0" w:space="0" w:color="auto"/>
        <w:left w:val="none" w:sz="0" w:space="0" w:color="auto"/>
        <w:bottom w:val="none" w:sz="0" w:space="0" w:color="auto"/>
        <w:right w:val="none" w:sz="0" w:space="0" w:color="auto"/>
      </w:divBdr>
    </w:div>
    <w:div w:id="39519550">
      <w:bodyDiv w:val="1"/>
      <w:marLeft w:val="0"/>
      <w:marRight w:val="0"/>
      <w:marTop w:val="0"/>
      <w:marBottom w:val="0"/>
      <w:divBdr>
        <w:top w:val="none" w:sz="0" w:space="0" w:color="auto"/>
        <w:left w:val="none" w:sz="0" w:space="0" w:color="auto"/>
        <w:bottom w:val="none" w:sz="0" w:space="0" w:color="auto"/>
        <w:right w:val="none" w:sz="0" w:space="0" w:color="auto"/>
      </w:divBdr>
    </w:div>
    <w:div w:id="39715241">
      <w:bodyDiv w:val="1"/>
      <w:marLeft w:val="0"/>
      <w:marRight w:val="0"/>
      <w:marTop w:val="0"/>
      <w:marBottom w:val="0"/>
      <w:divBdr>
        <w:top w:val="none" w:sz="0" w:space="0" w:color="auto"/>
        <w:left w:val="none" w:sz="0" w:space="0" w:color="auto"/>
        <w:bottom w:val="none" w:sz="0" w:space="0" w:color="auto"/>
        <w:right w:val="none" w:sz="0" w:space="0" w:color="auto"/>
      </w:divBdr>
    </w:div>
    <w:div w:id="40326054">
      <w:bodyDiv w:val="1"/>
      <w:marLeft w:val="0"/>
      <w:marRight w:val="0"/>
      <w:marTop w:val="0"/>
      <w:marBottom w:val="0"/>
      <w:divBdr>
        <w:top w:val="none" w:sz="0" w:space="0" w:color="auto"/>
        <w:left w:val="none" w:sz="0" w:space="0" w:color="auto"/>
        <w:bottom w:val="none" w:sz="0" w:space="0" w:color="auto"/>
        <w:right w:val="none" w:sz="0" w:space="0" w:color="auto"/>
      </w:divBdr>
    </w:div>
    <w:div w:id="40519566">
      <w:bodyDiv w:val="1"/>
      <w:marLeft w:val="0"/>
      <w:marRight w:val="0"/>
      <w:marTop w:val="0"/>
      <w:marBottom w:val="0"/>
      <w:divBdr>
        <w:top w:val="none" w:sz="0" w:space="0" w:color="auto"/>
        <w:left w:val="none" w:sz="0" w:space="0" w:color="auto"/>
        <w:bottom w:val="none" w:sz="0" w:space="0" w:color="auto"/>
        <w:right w:val="none" w:sz="0" w:space="0" w:color="auto"/>
      </w:divBdr>
    </w:div>
    <w:div w:id="40597435">
      <w:bodyDiv w:val="1"/>
      <w:marLeft w:val="0"/>
      <w:marRight w:val="0"/>
      <w:marTop w:val="0"/>
      <w:marBottom w:val="0"/>
      <w:divBdr>
        <w:top w:val="none" w:sz="0" w:space="0" w:color="auto"/>
        <w:left w:val="none" w:sz="0" w:space="0" w:color="auto"/>
        <w:bottom w:val="none" w:sz="0" w:space="0" w:color="auto"/>
        <w:right w:val="none" w:sz="0" w:space="0" w:color="auto"/>
      </w:divBdr>
    </w:div>
    <w:div w:id="40639941">
      <w:bodyDiv w:val="1"/>
      <w:marLeft w:val="0"/>
      <w:marRight w:val="0"/>
      <w:marTop w:val="0"/>
      <w:marBottom w:val="0"/>
      <w:divBdr>
        <w:top w:val="none" w:sz="0" w:space="0" w:color="auto"/>
        <w:left w:val="none" w:sz="0" w:space="0" w:color="auto"/>
        <w:bottom w:val="none" w:sz="0" w:space="0" w:color="auto"/>
        <w:right w:val="none" w:sz="0" w:space="0" w:color="auto"/>
      </w:divBdr>
    </w:div>
    <w:div w:id="40832518">
      <w:bodyDiv w:val="1"/>
      <w:marLeft w:val="0"/>
      <w:marRight w:val="0"/>
      <w:marTop w:val="0"/>
      <w:marBottom w:val="0"/>
      <w:divBdr>
        <w:top w:val="none" w:sz="0" w:space="0" w:color="auto"/>
        <w:left w:val="none" w:sz="0" w:space="0" w:color="auto"/>
        <w:bottom w:val="none" w:sz="0" w:space="0" w:color="auto"/>
        <w:right w:val="none" w:sz="0" w:space="0" w:color="auto"/>
      </w:divBdr>
    </w:div>
    <w:div w:id="40911860">
      <w:bodyDiv w:val="1"/>
      <w:marLeft w:val="0"/>
      <w:marRight w:val="0"/>
      <w:marTop w:val="0"/>
      <w:marBottom w:val="0"/>
      <w:divBdr>
        <w:top w:val="none" w:sz="0" w:space="0" w:color="auto"/>
        <w:left w:val="none" w:sz="0" w:space="0" w:color="auto"/>
        <w:bottom w:val="none" w:sz="0" w:space="0" w:color="auto"/>
        <w:right w:val="none" w:sz="0" w:space="0" w:color="auto"/>
      </w:divBdr>
    </w:div>
    <w:div w:id="40983138">
      <w:bodyDiv w:val="1"/>
      <w:marLeft w:val="0"/>
      <w:marRight w:val="0"/>
      <w:marTop w:val="0"/>
      <w:marBottom w:val="0"/>
      <w:divBdr>
        <w:top w:val="none" w:sz="0" w:space="0" w:color="auto"/>
        <w:left w:val="none" w:sz="0" w:space="0" w:color="auto"/>
        <w:bottom w:val="none" w:sz="0" w:space="0" w:color="auto"/>
        <w:right w:val="none" w:sz="0" w:space="0" w:color="auto"/>
      </w:divBdr>
    </w:div>
    <w:div w:id="41057634">
      <w:bodyDiv w:val="1"/>
      <w:marLeft w:val="0"/>
      <w:marRight w:val="0"/>
      <w:marTop w:val="0"/>
      <w:marBottom w:val="0"/>
      <w:divBdr>
        <w:top w:val="none" w:sz="0" w:space="0" w:color="auto"/>
        <w:left w:val="none" w:sz="0" w:space="0" w:color="auto"/>
        <w:bottom w:val="none" w:sz="0" w:space="0" w:color="auto"/>
        <w:right w:val="none" w:sz="0" w:space="0" w:color="auto"/>
      </w:divBdr>
    </w:div>
    <w:div w:id="41251788">
      <w:bodyDiv w:val="1"/>
      <w:marLeft w:val="0"/>
      <w:marRight w:val="0"/>
      <w:marTop w:val="0"/>
      <w:marBottom w:val="0"/>
      <w:divBdr>
        <w:top w:val="none" w:sz="0" w:space="0" w:color="auto"/>
        <w:left w:val="none" w:sz="0" w:space="0" w:color="auto"/>
        <w:bottom w:val="none" w:sz="0" w:space="0" w:color="auto"/>
        <w:right w:val="none" w:sz="0" w:space="0" w:color="auto"/>
      </w:divBdr>
    </w:div>
    <w:div w:id="41484859">
      <w:bodyDiv w:val="1"/>
      <w:marLeft w:val="0"/>
      <w:marRight w:val="0"/>
      <w:marTop w:val="0"/>
      <w:marBottom w:val="0"/>
      <w:divBdr>
        <w:top w:val="none" w:sz="0" w:space="0" w:color="auto"/>
        <w:left w:val="none" w:sz="0" w:space="0" w:color="auto"/>
        <w:bottom w:val="none" w:sz="0" w:space="0" w:color="auto"/>
        <w:right w:val="none" w:sz="0" w:space="0" w:color="auto"/>
      </w:divBdr>
    </w:div>
    <w:div w:id="41751350">
      <w:bodyDiv w:val="1"/>
      <w:marLeft w:val="0"/>
      <w:marRight w:val="0"/>
      <w:marTop w:val="0"/>
      <w:marBottom w:val="0"/>
      <w:divBdr>
        <w:top w:val="none" w:sz="0" w:space="0" w:color="auto"/>
        <w:left w:val="none" w:sz="0" w:space="0" w:color="auto"/>
        <w:bottom w:val="none" w:sz="0" w:space="0" w:color="auto"/>
        <w:right w:val="none" w:sz="0" w:space="0" w:color="auto"/>
      </w:divBdr>
    </w:div>
    <w:div w:id="41827394">
      <w:bodyDiv w:val="1"/>
      <w:marLeft w:val="0"/>
      <w:marRight w:val="0"/>
      <w:marTop w:val="0"/>
      <w:marBottom w:val="0"/>
      <w:divBdr>
        <w:top w:val="none" w:sz="0" w:space="0" w:color="auto"/>
        <w:left w:val="none" w:sz="0" w:space="0" w:color="auto"/>
        <w:bottom w:val="none" w:sz="0" w:space="0" w:color="auto"/>
        <w:right w:val="none" w:sz="0" w:space="0" w:color="auto"/>
      </w:divBdr>
    </w:div>
    <w:div w:id="42293012">
      <w:bodyDiv w:val="1"/>
      <w:marLeft w:val="0"/>
      <w:marRight w:val="0"/>
      <w:marTop w:val="0"/>
      <w:marBottom w:val="0"/>
      <w:divBdr>
        <w:top w:val="none" w:sz="0" w:space="0" w:color="auto"/>
        <w:left w:val="none" w:sz="0" w:space="0" w:color="auto"/>
        <w:bottom w:val="none" w:sz="0" w:space="0" w:color="auto"/>
        <w:right w:val="none" w:sz="0" w:space="0" w:color="auto"/>
      </w:divBdr>
    </w:div>
    <w:div w:id="42563661">
      <w:bodyDiv w:val="1"/>
      <w:marLeft w:val="0"/>
      <w:marRight w:val="0"/>
      <w:marTop w:val="0"/>
      <w:marBottom w:val="0"/>
      <w:divBdr>
        <w:top w:val="none" w:sz="0" w:space="0" w:color="auto"/>
        <w:left w:val="none" w:sz="0" w:space="0" w:color="auto"/>
        <w:bottom w:val="none" w:sz="0" w:space="0" w:color="auto"/>
        <w:right w:val="none" w:sz="0" w:space="0" w:color="auto"/>
      </w:divBdr>
    </w:div>
    <w:div w:id="42872660">
      <w:bodyDiv w:val="1"/>
      <w:marLeft w:val="0"/>
      <w:marRight w:val="0"/>
      <w:marTop w:val="0"/>
      <w:marBottom w:val="0"/>
      <w:divBdr>
        <w:top w:val="none" w:sz="0" w:space="0" w:color="auto"/>
        <w:left w:val="none" w:sz="0" w:space="0" w:color="auto"/>
        <w:bottom w:val="none" w:sz="0" w:space="0" w:color="auto"/>
        <w:right w:val="none" w:sz="0" w:space="0" w:color="auto"/>
      </w:divBdr>
    </w:div>
    <w:div w:id="43212316">
      <w:bodyDiv w:val="1"/>
      <w:marLeft w:val="0"/>
      <w:marRight w:val="0"/>
      <w:marTop w:val="0"/>
      <w:marBottom w:val="0"/>
      <w:divBdr>
        <w:top w:val="none" w:sz="0" w:space="0" w:color="auto"/>
        <w:left w:val="none" w:sz="0" w:space="0" w:color="auto"/>
        <w:bottom w:val="none" w:sz="0" w:space="0" w:color="auto"/>
        <w:right w:val="none" w:sz="0" w:space="0" w:color="auto"/>
      </w:divBdr>
    </w:div>
    <w:div w:id="43405810">
      <w:bodyDiv w:val="1"/>
      <w:marLeft w:val="0"/>
      <w:marRight w:val="0"/>
      <w:marTop w:val="0"/>
      <w:marBottom w:val="0"/>
      <w:divBdr>
        <w:top w:val="none" w:sz="0" w:space="0" w:color="auto"/>
        <w:left w:val="none" w:sz="0" w:space="0" w:color="auto"/>
        <w:bottom w:val="none" w:sz="0" w:space="0" w:color="auto"/>
        <w:right w:val="none" w:sz="0" w:space="0" w:color="auto"/>
      </w:divBdr>
    </w:div>
    <w:div w:id="43649564">
      <w:bodyDiv w:val="1"/>
      <w:marLeft w:val="0"/>
      <w:marRight w:val="0"/>
      <w:marTop w:val="0"/>
      <w:marBottom w:val="0"/>
      <w:divBdr>
        <w:top w:val="none" w:sz="0" w:space="0" w:color="auto"/>
        <w:left w:val="none" w:sz="0" w:space="0" w:color="auto"/>
        <w:bottom w:val="none" w:sz="0" w:space="0" w:color="auto"/>
        <w:right w:val="none" w:sz="0" w:space="0" w:color="auto"/>
      </w:divBdr>
    </w:div>
    <w:div w:id="43650882">
      <w:bodyDiv w:val="1"/>
      <w:marLeft w:val="0"/>
      <w:marRight w:val="0"/>
      <w:marTop w:val="0"/>
      <w:marBottom w:val="0"/>
      <w:divBdr>
        <w:top w:val="none" w:sz="0" w:space="0" w:color="auto"/>
        <w:left w:val="none" w:sz="0" w:space="0" w:color="auto"/>
        <w:bottom w:val="none" w:sz="0" w:space="0" w:color="auto"/>
        <w:right w:val="none" w:sz="0" w:space="0" w:color="auto"/>
      </w:divBdr>
    </w:div>
    <w:div w:id="43916992">
      <w:bodyDiv w:val="1"/>
      <w:marLeft w:val="0"/>
      <w:marRight w:val="0"/>
      <w:marTop w:val="0"/>
      <w:marBottom w:val="0"/>
      <w:divBdr>
        <w:top w:val="none" w:sz="0" w:space="0" w:color="auto"/>
        <w:left w:val="none" w:sz="0" w:space="0" w:color="auto"/>
        <w:bottom w:val="none" w:sz="0" w:space="0" w:color="auto"/>
        <w:right w:val="none" w:sz="0" w:space="0" w:color="auto"/>
      </w:divBdr>
    </w:div>
    <w:div w:id="45032813">
      <w:bodyDiv w:val="1"/>
      <w:marLeft w:val="0"/>
      <w:marRight w:val="0"/>
      <w:marTop w:val="0"/>
      <w:marBottom w:val="0"/>
      <w:divBdr>
        <w:top w:val="none" w:sz="0" w:space="0" w:color="auto"/>
        <w:left w:val="none" w:sz="0" w:space="0" w:color="auto"/>
        <w:bottom w:val="none" w:sz="0" w:space="0" w:color="auto"/>
        <w:right w:val="none" w:sz="0" w:space="0" w:color="auto"/>
      </w:divBdr>
    </w:div>
    <w:div w:id="45296687">
      <w:bodyDiv w:val="1"/>
      <w:marLeft w:val="0"/>
      <w:marRight w:val="0"/>
      <w:marTop w:val="0"/>
      <w:marBottom w:val="0"/>
      <w:divBdr>
        <w:top w:val="none" w:sz="0" w:space="0" w:color="auto"/>
        <w:left w:val="none" w:sz="0" w:space="0" w:color="auto"/>
        <w:bottom w:val="none" w:sz="0" w:space="0" w:color="auto"/>
        <w:right w:val="none" w:sz="0" w:space="0" w:color="auto"/>
      </w:divBdr>
    </w:div>
    <w:div w:id="45299318">
      <w:bodyDiv w:val="1"/>
      <w:marLeft w:val="0"/>
      <w:marRight w:val="0"/>
      <w:marTop w:val="0"/>
      <w:marBottom w:val="0"/>
      <w:divBdr>
        <w:top w:val="none" w:sz="0" w:space="0" w:color="auto"/>
        <w:left w:val="none" w:sz="0" w:space="0" w:color="auto"/>
        <w:bottom w:val="none" w:sz="0" w:space="0" w:color="auto"/>
        <w:right w:val="none" w:sz="0" w:space="0" w:color="auto"/>
      </w:divBdr>
    </w:div>
    <w:div w:id="46495217">
      <w:bodyDiv w:val="1"/>
      <w:marLeft w:val="0"/>
      <w:marRight w:val="0"/>
      <w:marTop w:val="0"/>
      <w:marBottom w:val="0"/>
      <w:divBdr>
        <w:top w:val="none" w:sz="0" w:space="0" w:color="auto"/>
        <w:left w:val="none" w:sz="0" w:space="0" w:color="auto"/>
        <w:bottom w:val="none" w:sz="0" w:space="0" w:color="auto"/>
        <w:right w:val="none" w:sz="0" w:space="0" w:color="auto"/>
      </w:divBdr>
    </w:div>
    <w:div w:id="46606884">
      <w:bodyDiv w:val="1"/>
      <w:marLeft w:val="0"/>
      <w:marRight w:val="0"/>
      <w:marTop w:val="0"/>
      <w:marBottom w:val="0"/>
      <w:divBdr>
        <w:top w:val="none" w:sz="0" w:space="0" w:color="auto"/>
        <w:left w:val="none" w:sz="0" w:space="0" w:color="auto"/>
        <w:bottom w:val="none" w:sz="0" w:space="0" w:color="auto"/>
        <w:right w:val="none" w:sz="0" w:space="0" w:color="auto"/>
      </w:divBdr>
    </w:div>
    <w:div w:id="47001325">
      <w:bodyDiv w:val="1"/>
      <w:marLeft w:val="0"/>
      <w:marRight w:val="0"/>
      <w:marTop w:val="0"/>
      <w:marBottom w:val="0"/>
      <w:divBdr>
        <w:top w:val="none" w:sz="0" w:space="0" w:color="auto"/>
        <w:left w:val="none" w:sz="0" w:space="0" w:color="auto"/>
        <w:bottom w:val="none" w:sz="0" w:space="0" w:color="auto"/>
        <w:right w:val="none" w:sz="0" w:space="0" w:color="auto"/>
      </w:divBdr>
    </w:div>
    <w:div w:id="47068922">
      <w:bodyDiv w:val="1"/>
      <w:marLeft w:val="0"/>
      <w:marRight w:val="0"/>
      <w:marTop w:val="0"/>
      <w:marBottom w:val="0"/>
      <w:divBdr>
        <w:top w:val="none" w:sz="0" w:space="0" w:color="auto"/>
        <w:left w:val="none" w:sz="0" w:space="0" w:color="auto"/>
        <w:bottom w:val="none" w:sz="0" w:space="0" w:color="auto"/>
        <w:right w:val="none" w:sz="0" w:space="0" w:color="auto"/>
      </w:divBdr>
    </w:div>
    <w:div w:id="47263778">
      <w:bodyDiv w:val="1"/>
      <w:marLeft w:val="0"/>
      <w:marRight w:val="0"/>
      <w:marTop w:val="0"/>
      <w:marBottom w:val="0"/>
      <w:divBdr>
        <w:top w:val="none" w:sz="0" w:space="0" w:color="auto"/>
        <w:left w:val="none" w:sz="0" w:space="0" w:color="auto"/>
        <w:bottom w:val="none" w:sz="0" w:space="0" w:color="auto"/>
        <w:right w:val="none" w:sz="0" w:space="0" w:color="auto"/>
      </w:divBdr>
    </w:div>
    <w:div w:id="47609666">
      <w:bodyDiv w:val="1"/>
      <w:marLeft w:val="0"/>
      <w:marRight w:val="0"/>
      <w:marTop w:val="0"/>
      <w:marBottom w:val="0"/>
      <w:divBdr>
        <w:top w:val="none" w:sz="0" w:space="0" w:color="auto"/>
        <w:left w:val="none" w:sz="0" w:space="0" w:color="auto"/>
        <w:bottom w:val="none" w:sz="0" w:space="0" w:color="auto"/>
        <w:right w:val="none" w:sz="0" w:space="0" w:color="auto"/>
      </w:divBdr>
    </w:div>
    <w:div w:id="47728083">
      <w:bodyDiv w:val="1"/>
      <w:marLeft w:val="0"/>
      <w:marRight w:val="0"/>
      <w:marTop w:val="0"/>
      <w:marBottom w:val="0"/>
      <w:divBdr>
        <w:top w:val="none" w:sz="0" w:space="0" w:color="auto"/>
        <w:left w:val="none" w:sz="0" w:space="0" w:color="auto"/>
        <w:bottom w:val="none" w:sz="0" w:space="0" w:color="auto"/>
        <w:right w:val="none" w:sz="0" w:space="0" w:color="auto"/>
      </w:divBdr>
    </w:div>
    <w:div w:id="48113600">
      <w:bodyDiv w:val="1"/>
      <w:marLeft w:val="0"/>
      <w:marRight w:val="0"/>
      <w:marTop w:val="0"/>
      <w:marBottom w:val="0"/>
      <w:divBdr>
        <w:top w:val="none" w:sz="0" w:space="0" w:color="auto"/>
        <w:left w:val="none" w:sz="0" w:space="0" w:color="auto"/>
        <w:bottom w:val="none" w:sz="0" w:space="0" w:color="auto"/>
        <w:right w:val="none" w:sz="0" w:space="0" w:color="auto"/>
      </w:divBdr>
    </w:div>
    <w:div w:id="48498928">
      <w:bodyDiv w:val="1"/>
      <w:marLeft w:val="0"/>
      <w:marRight w:val="0"/>
      <w:marTop w:val="0"/>
      <w:marBottom w:val="0"/>
      <w:divBdr>
        <w:top w:val="none" w:sz="0" w:space="0" w:color="auto"/>
        <w:left w:val="none" w:sz="0" w:space="0" w:color="auto"/>
        <w:bottom w:val="none" w:sz="0" w:space="0" w:color="auto"/>
        <w:right w:val="none" w:sz="0" w:space="0" w:color="auto"/>
      </w:divBdr>
    </w:div>
    <w:div w:id="48962127">
      <w:bodyDiv w:val="1"/>
      <w:marLeft w:val="0"/>
      <w:marRight w:val="0"/>
      <w:marTop w:val="0"/>
      <w:marBottom w:val="0"/>
      <w:divBdr>
        <w:top w:val="none" w:sz="0" w:space="0" w:color="auto"/>
        <w:left w:val="none" w:sz="0" w:space="0" w:color="auto"/>
        <w:bottom w:val="none" w:sz="0" w:space="0" w:color="auto"/>
        <w:right w:val="none" w:sz="0" w:space="0" w:color="auto"/>
      </w:divBdr>
    </w:div>
    <w:div w:id="49811462">
      <w:bodyDiv w:val="1"/>
      <w:marLeft w:val="0"/>
      <w:marRight w:val="0"/>
      <w:marTop w:val="0"/>
      <w:marBottom w:val="0"/>
      <w:divBdr>
        <w:top w:val="none" w:sz="0" w:space="0" w:color="auto"/>
        <w:left w:val="none" w:sz="0" w:space="0" w:color="auto"/>
        <w:bottom w:val="none" w:sz="0" w:space="0" w:color="auto"/>
        <w:right w:val="none" w:sz="0" w:space="0" w:color="auto"/>
      </w:divBdr>
    </w:div>
    <w:div w:id="50035539">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0470176">
      <w:bodyDiv w:val="1"/>
      <w:marLeft w:val="0"/>
      <w:marRight w:val="0"/>
      <w:marTop w:val="0"/>
      <w:marBottom w:val="0"/>
      <w:divBdr>
        <w:top w:val="none" w:sz="0" w:space="0" w:color="auto"/>
        <w:left w:val="none" w:sz="0" w:space="0" w:color="auto"/>
        <w:bottom w:val="none" w:sz="0" w:space="0" w:color="auto"/>
        <w:right w:val="none" w:sz="0" w:space="0" w:color="auto"/>
      </w:divBdr>
    </w:div>
    <w:div w:id="50545561">
      <w:bodyDiv w:val="1"/>
      <w:marLeft w:val="0"/>
      <w:marRight w:val="0"/>
      <w:marTop w:val="0"/>
      <w:marBottom w:val="0"/>
      <w:divBdr>
        <w:top w:val="none" w:sz="0" w:space="0" w:color="auto"/>
        <w:left w:val="none" w:sz="0" w:space="0" w:color="auto"/>
        <w:bottom w:val="none" w:sz="0" w:space="0" w:color="auto"/>
        <w:right w:val="none" w:sz="0" w:space="0" w:color="auto"/>
      </w:divBdr>
    </w:div>
    <w:div w:id="50735127">
      <w:bodyDiv w:val="1"/>
      <w:marLeft w:val="0"/>
      <w:marRight w:val="0"/>
      <w:marTop w:val="0"/>
      <w:marBottom w:val="0"/>
      <w:divBdr>
        <w:top w:val="none" w:sz="0" w:space="0" w:color="auto"/>
        <w:left w:val="none" w:sz="0" w:space="0" w:color="auto"/>
        <w:bottom w:val="none" w:sz="0" w:space="0" w:color="auto"/>
        <w:right w:val="none" w:sz="0" w:space="0" w:color="auto"/>
      </w:divBdr>
    </w:div>
    <w:div w:id="51078728">
      <w:bodyDiv w:val="1"/>
      <w:marLeft w:val="0"/>
      <w:marRight w:val="0"/>
      <w:marTop w:val="0"/>
      <w:marBottom w:val="0"/>
      <w:divBdr>
        <w:top w:val="none" w:sz="0" w:space="0" w:color="auto"/>
        <w:left w:val="none" w:sz="0" w:space="0" w:color="auto"/>
        <w:bottom w:val="none" w:sz="0" w:space="0" w:color="auto"/>
        <w:right w:val="none" w:sz="0" w:space="0" w:color="auto"/>
      </w:divBdr>
    </w:div>
    <w:div w:id="51388340">
      <w:bodyDiv w:val="1"/>
      <w:marLeft w:val="0"/>
      <w:marRight w:val="0"/>
      <w:marTop w:val="0"/>
      <w:marBottom w:val="0"/>
      <w:divBdr>
        <w:top w:val="none" w:sz="0" w:space="0" w:color="auto"/>
        <w:left w:val="none" w:sz="0" w:space="0" w:color="auto"/>
        <w:bottom w:val="none" w:sz="0" w:space="0" w:color="auto"/>
        <w:right w:val="none" w:sz="0" w:space="0" w:color="auto"/>
      </w:divBdr>
    </w:div>
    <w:div w:id="51543546">
      <w:bodyDiv w:val="1"/>
      <w:marLeft w:val="0"/>
      <w:marRight w:val="0"/>
      <w:marTop w:val="0"/>
      <w:marBottom w:val="0"/>
      <w:divBdr>
        <w:top w:val="none" w:sz="0" w:space="0" w:color="auto"/>
        <w:left w:val="none" w:sz="0" w:space="0" w:color="auto"/>
        <w:bottom w:val="none" w:sz="0" w:space="0" w:color="auto"/>
        <w:right w:val="none" w:sz="0" w:space="0" w:color="auto"/>
      </w:divBdr>
    </w:div>
    <w:div w:id="51664164">
      <w:bodyDiv w:val="1"/>
      <w:marLeft w:val="0"/>
      <w:marRight w:val="0"/>
      <w:marTop w:val="0"/>
      <w:marBottom w:val="0"/>
      <w:divBdr>
        <w:top w:val="none" w:sz="0" w:space="0" w:color="auto"/>
        <w:left w:val="none" w:sz="0" w:space="0" w:color="auto"/>
        <w:bottom w:val="none" w:sz="0" w:space="0" w:color="auto"/>
        <w:right w:val="none" w:sz="0" w:space="0" w:color="auto"/>
      </w:divBdr>
    </w:div>
    <w:div w:id="51774657">
      <w:bodyDiv w:val="1"/>
      <w:marLeft w:val="0"/>
      <w:marRight w:val="0"/>
      <w:marTop w:val="0"/>
      <w:marBottom w:val="0"/>
      <w:divBdr>
        <w:top w:val="none" w:sz="0" w:space="0" w:color="auto"/>
        <w:left w:val="none" w:sz="0" w:space="0" w:color="auto"/>
        <w:bottom w:val="none" w:sz="0" w:space="0" w:color="auto"/>
        <w:right w:val="none" w:sz="0" w:space="0" w:color="auto"/>
      </w:divBdr>
    </w:div>
    <w:div w:id="52581396">
      <w:bodyDiv w:val="1"/>
      <w:marLeft w:val="0"/>
      <w:marRight w:val="0"/>
      <w:marTop w:val="0"/>
      <w:marBottom w:val="0"/>
      <w:divBdr>
        <w:top w:val="none" w:sz="0" w:space="0" w:color="auto"/>
        <w:left w:val="none" w:sz="0" w:space="0" w:color="auto"/>
        <w:bottom w:val="none" w:sz="0" w:space="0" w:color="auto"/>
        <w:right w:val="none" w:sz="0" w:space="0" w:color="auto"/>
      </w:divBdr>
    </w:div>
    <w:div w:id="52629404">
      <w:bodyDiv w:val="1"/>
      <w:marLeft w:val="0"/>
      <w:marRight w:val="0"/>
      <w:marTop w:val="0"/>
      <w:marBottom w:val="0"/>
      <w:divBdr>
        <w:top w:val="none" w:sz="0" w:space="0" w:color="auto"/>
        <w:left w:val="none" w:sz="0" w:space="0" w:color="auto"/>
        <w:bottom w:val="none" w:sz="0" w:space="0" w:color="auto"/>
        <w:right w:val="none" w:sz="0" w:space="0" w:color="auto"/>
      </w:divBdr>
    </w:div>
    <w:div w:id="52778561">
      <w:bodyDiv w:val="1"/>
      <w:marLeft w:val="0"/>
      <w:marRight w:val="0"/>
      <w:marTop w:val="0"/>
      <w:marBottom w:val="0"/>
      <w:divBdr>
        <w:top w:val="none" w:sz="0" w:space="0" w:color="auto"/>
        <w:left w:val="none" w:sz="0" w:space="0" w:color="auto"/>
        <w:bottom w:val="none" w:sz="0" w:space="0" w:color="auto"/>
        <w:right w:val="none" w:sz="0" w:space="0" w:color="auto"/>
      </w:divBdr>
    </w:div>
    <w:div w:id="53552006">
      <w:bodyDiv w:val="1"/>
      <w:marLeft w:val="0"/>
      <w:marRight w:val="0"/>
      <w:marTop w:val="0"/>
      <w:marBottom w:val="0"/>
      <w:divBdr>
        <w:top w:val="none" w:sz="0" w:space="0" w:color="auto"/>
        <w:left w:val="none" w:sz="0" w:space="0" w:color="auto"/>
        <w:bottom w:val="none" w:sz="0" w:space="0" w:color="auto"/>
        <w:right w:val="none" w:sz="0" w:space="0" w:color="auto"/>
      </w:divBdr>
    </w:div>
    <w:div w:id="53627490">
      <w:bodyDiv w:val="1"/>
      <w:marLeft w:val="0"/>
      <w:marRight w:val="0"/>
      <w:marTop w:val="0"/>
      <w:marBottom w:val="0"/>
      <w:divBdr>
        <w:top w:val="none" w:sz="0" w:space="0" w:color="auto"/>
        <w:left w:val="none" w:sz="0" w:space="0" w:color="auto"/>
        <w:bottom w:val="none" w:sz="0" w:space="0" w:color="auto"/>
        <w:right w:val="none" w:sz="0" w:space="0" w:color="auto"/>
      </w:divBdr>
    </w:div>
    <w:div w:id="53892969">
      <w:bodyDiv w:val="1"/>
      <w:marLeft w:val="0"/>
      <w:marRight w:val="0"/>
      <w:marTop w:val="0"/>
      <w:marBottom w:val="0"/>
      <w:divBdr>
        <w:top w:val="none" w:sz="0" w:space="0" w:color="auto"/>
        <w:left w:val="none" w:sz="0" w:space="0" w:color="auto"/>
        <w:bottom w:val="none" w:sz="0" w:space="0" w:color="auto"/>
        <w:right w:val="none" w:sz="0" w:space="0" w:color="auto"/>
      </w:divBdr>
    </w:div>
    <w:div w:id="54013525">
      <w:bodyDiv w:val="1"/>
      <w:marLeft w:val="0"/>
      <w:marRight w:val="0"/>
      <w:marTop w:val="0"/>
      <w:marBottom w:val="0"/>
      <w:divBdr>
        <w:top w:val="none" w:sz="0" w:space="0" w:color="auto"/>
        <w:left w:val="none" w:sz="0" w:space="0" w:color="auto"/>
        <w:bottom w:val="none" w:sz="0" w:space="0" w:color="auto"/>
        <w:right w:val="none" w:sz="0" w:space="0" w:color="auto"/>
      </w:divBdr>
    </w:div>
    <w:div w:id="54090023">
      <w:bodyDiv w:val="1"/>
      <w:marLeft w:val="0"/>
      <w:marRight w:val="0"/>
      <w:marTop w:val="0"/>
      <w:marBottom w:val="0"/>
      <w:divBdr>
        <w:top w:val="none" w:sz="0" w:space="0" w:color="auto"/>
        <w:left w:val="none" w:sz="0" w:space="0" w:color="auto"/>
        <w:bottom w:val="none" w:sz="0" w:space="0" w:color="auto"/>
        <w:right w:val="none" w:sz="0" w:space="0" w:color="auto"/>
      </w:divBdr>
    </w:div>
    <w:div w:id="54202045">
      <w:bodyDiv w:val="1"/>
      <w:marLeft w:val="0"/>
      <w:marRight w:val="0"/>
      <w:marTop w:val="0"/>
      <w:marBottom w:val="0"/>
      <w:divBdr>
        <w:top w:val="none" w:sz="0" w:space="0" w:color="auto"/>
        <w:left w:val="none" w:sz="0" w:space="0" w:color="auto"/>
        <w:bottom w:val="none" w:sz="0" w:space="0" w:color="auto"/>
        <w:right w:val="none" w:sz="0" w:space="0" w:color="auto"/>
      </w:divBdr>
    </w:div>
    <w:div w:id="54474011">
      <w:bodyDiv w:val="1"/>
      <w:marLeft w:val="0"/>
      <w:marRight w:val="0"/>
      <w:marTop w:val="0"/>
      <w:marBottom w:val="0"/>
      <w:divBdr>
        <w:top w:val="none" w:sz="0" w:space="0" w:color="auto"/>
        <w:left w:val="none" w:sz="0" w:space="0" w:color="auto"/>
        <w:bottom w:val="none" w:sz="0" w:space="0" w:color="auto"/>
        <w:right w:val="none" w:sz="0" w:space="0" w:color="auto"/>
      </w:divBdr>
    </w:div>
    <w:div w:id="55126412">
      <w:bodyDiv w:val="1"/>
      <w:marLeft w:val="0"/>
      <w:marRight w:val="0"/>
      <w:marTop w:val="0"/>
      <w:marBottom w:val="0"/>
      <w:divBdr>
        <w:top w:val="none" w:sz="0" w:space="0" w:color="auto"/>
        <w:left w:val="none" w:sz="0" w:space="0" w:color="auto"/>
        <w:bottom w:val="none" w:sz="0" w:space="0" w:color="auto"/>
        <w:right w:val="none" w:sz="0" w:space="0" w:color="auto"/>
      </w:divBdr>
    </w:div>
    <w:div w:id="56248707">
      <w:bodyDiv w:val="1"/>
      <w:marLeft w:val="0"/>
      <w:marRight w:val="0"/>
      <w:marTop w:val="0"/>
      <w:marBottom w:val="0"/>
      <w:divBdr>
        <w:top w:val="none" w:sz="0" w:space="0" w:color="auto"/>
        <w:left w:val="none" w:sz="0" w:space="0" w:color="auto"/>
        <w:bottom w:val="none" w:sz="0" w:space="0" w:color="auto"/>
        <w:right w:val="none" w:sz="0" w:space="0" w:color="auto"/>
      </w:divBdr>
    </w:div>
    <w:div w:id="56438659">
      <w:bodyDiv w:val="1"/>
      <w:marLeft w:val="0"/>
      <w:marRight w:val="0"/>
      <w:marTop w:val="0"/>
      <w:marBottom w:val="0"/>
      <w:divBdr>
        <w:top w:val="none" w:sz="0" w:space="0" w:color="auto"/>
        <w:left w:val="none" w:sz="0" w:space="0" w:color="auto"/>
        <w:bottom w:val="none" w:sz="0" w:space="0" w:color="auto"/>
        <w:right w:val="none" w:sz="0" w:space="0" w:color="auto"/>
      </w:divBdr>
    </w:div>
    <w:div w:id="56518488">
      <w:bodyDiv w:val="1"/>
      <w:marLeft w:val="0"/>
      <w:marRight w:val="0"/>
      <w:marTop w:val="0"/>
      <w:marBottom w:val="0"/>
      <w:divBdr>
        <w:top w:val="none" w:sz="0" w:space="0" w:color="auto"/>
        <w:left w:val="none" w:sz="0" w:space="0" w:color="auto"/>
        <w:bottom w:val="none" w:sz="0" w:space="0" w:color="auto"/>
        <w:right w:val="none" w:sz="0" w:space="0" w:color="auto"/>
      </w:divBdr>
    </w:div>
    <w:div w:id="56980509">
      <w:bodyDiv w:val="1"/>
      <w:marLeft w:val="0"/>
      <w:marRight w:val="0"/>
      <w:marTop w:val="0"/>
      <w:marBottom w:val="0"/>
      <w:divBdr>
        <w:top w:val="none" w:sz="0" w:space="0" w:color="auto"/>
        <w:left w:val="none" w:sz="0" w:space="0" w:color="auto"/>
        <w:bottom w:val="none" w:sz="0" w:space="0" w:color="auto"/>
        <w:right w:val="none" w:sz="0" w:space="0" w:color="auto"/>
      </w:divBdr>
    </w:div>
    <w:div w:id="57172255">
      <w:bodyDiv w:val="1"/>
      <w:marLeft w:val="0"/>
      <w:marRight w:val="0"/>
      <w:marTop w:val="0"/>
      <w:marBottom w:val="0"/>
      <w:divBdr>
        <w:top w:val="none" w:sz="0" w:space="0" w:color="auto"/>
        <w:left w:val="none" w:sz="0" w:space="0" w:color="auto"/>
        <w:bottom w:val="none" w:sz="0" w:space="0" w:color="auto"/>
        <w:right w:val="none" w:sz="0" w:space="0" w:color="auto"/>
      </w:divBdr>
    </w:div>
    <w:div w:id="57898065">
      <w:bodyDiv w:val="1"/>
      <w:marLeft w:val="0"/>
      <w:marRight w:val="0"/>
      <w:marTop w:val="0"/>
      <w:marBottom w:val="0"/>
      <w:divBdr>
        <w:top w:val="none" w:sz="0" w:space="0" w:color="auto"/>
        <w:left w:val="none" w:sz="0" w:space="0" w:color="auto"/>
        <w:bottom w:val="none" w:sz="0" w:space="0" w:color="auto"/>
        <w:right w:val="none" w:sz="0" w:space="0" w:color="auto"/>
      </w:divBdr>
    </w:div>
    <w:div w:id="58327603">
      <w:bodyDiv w:val="1"/>
      <w:marLeft w:val="0"/>
      <w:marRight w:val="0"/>
      <w:marTop w:val="0"/>
      <w:marBottom w:val="0"/>
      <w:divBdr>
        <w:top w:val="none" w:sz="0" w:space="0" w:color="auto"/>
        <w:left w:val="none" w:sz="0" w:space="0" w:color="auto"/>
        <w:bottom w:val="none" w:sz="0" w:space="0" w:color="auto"/>
        <w:right w:val="none" w:sz="0" w:space="0" w:color="auto"/>
      </w:divBdr>
    </w:div>
    <w:div w:id="58358936">
      <w:bodyDiv w:val="1"/>
      <w:marLeft w:val="0"/>
      <w:marRight w:val="0"/>
      <w:marTop w:val="0"/>
      <w:marBottom w:val="0"/>
      <w:divBdr>
        <w:top w:val="none" w:sz="0" w:space="0" w:color="auto"/>
        <w:left w:val="none" w:sz="0" w:space="0" w:color="auto"/>
        <w:bottom w:val="none" w:sz="0" w:space="0" w:color="auto"/>
        <w:right w:val="none" w:sz="0" w:space="0" w:color="auto"/>
      </w:divBdr>
    </w:div>
    <w:div w:id="59256904">
      <w:bodyDiv w:val="1"/>
      <w:marLeft w:val="0"/>
      <w:marRight w:val="0"/>
      <w:marTop w:val="0"/>
      <w:marBottom w:val="0"/>
      <w:divBdr>
        <w:top w:val="none" w:sz="0" w:space="0" w:color="auto"/>
        <w:left w:val="none" w:sz="0" w:space="0" w:color="auto"/>
        <w:bottom w:val="none" w:sz="0" w:space="0" w:color="auto"/>
        <w:right w:val="none" w:sz="0" w:space="0" w:color="auto"/>
      </w:divBdr>
    </w:div>
    <w:div w:id="59405278">
      <w:bodyDiv w:val="1"/>
      <w:marLeft w:val="0"/>
      <w:marRight w:val="0"/>
      <w:marTop w:val="0"/>
      <w:marBottom w:val="0"/>
      <w:divBdr>
        <w:top w:val="none" w:sz="0" w:space="0" w:color="auto"/>
        <w:left w:val="none" w:sz="0" w:space="0" w:color="auto"/>
        <w:bottom w:val="none" w:sz="0" w:space="0" w:color="auto"/>
        <w:right w:val="none" w:sz="0" w:space="0" w:color="auto"/>
      </w:divBdr>
    </w:div>
    <w:div w:id="59839417">
      <w:bodyDiv w:val="1"/>
      <w:marLeft w:val="0"/>
      <w:marRight w:val="0"/>
      <w:marTop w:val="0"/>
      <w:marBottom w:val="0"/>
      <w:divBdr>
        <w:top w:val="none" w:sz="0" w:space="0" w:color="auto"/>
        <w:left w:val="none" w:sz="0" w:space="0" w:color="auto"/>
        <w:bottom w:val="none" w:sz="0" w:space="0" w:color="auto"/>
        <w:right w:val="none" w:sz="0" w:space="0" w:color="auto"/>
      </w:divBdr>
    </w:div>
    <w:div w:id="60443573">
      <w:bodyDiv w:val="1"/>
      <w:marLeft w:val="0"/>
      <w:marRight w:val="0"/>
      <w:marTop w:val="0"/>
      <w:marBottom w:val="0"/>
      <w:divBdr>
        <w:top w:val="none" w:sz="0" w:space="0" w:color="auto"/>
        <w:left w:val="none" w:sz="0" w:space="0" w:color="auto"/>
        <w:bottom w:val="none" w:sz="0" w:space="0" w:color="auto"/>
        <w:right w:val="none" w:sz="0" w:space="0" w:color="auto"/>
      </w:divBdr>
    </w:div>
    <w:div w:id="60448849">
      <w:bodyDiv w:val="1"/>
      <w:marLeft w:val="0"/>
      <w:marRight w:val="0"/>
      <w:marTop w:val="0"/>
      <w:marBottom w:val="0"/>
      <w:divBdr>
        <w:top w:val="none" w:sz="0" w:space="0" w:color="auto"/>
        <w:left w:val="none" w:sz="0" w:space="0" w:color="auto"/>
        <w:bottom w:val="none" w:sz="0" w:space="0" w:color="auto"/>
        <w:right w:val="none" w:sz="0" w:space="0" w:color="auto"/>
      </w:divBdr>
    </w:div>
    <w:div w:id="60755875">
      <w:bodyDiv w:val="1"/>
      <w:marLeft w:val="0"/>
      <w:marRight w:val="0"/>
      <w:marTop w:val="0"/>
      <w:marBottom w:val="0"/>
      <w:divBdr>
        <w:top w:val="none" w:sz="0" w:space="0" w:color="auto"/>
        <w:left w:val="none" w:sz="0" w:space="0" w:color="auto"/>
        <w:bottom w:val="none" w:sz="0" w:space="0" w:color="auto"/>
        <w:right w:val="none" w:sz="0" w:space="0" w:color="auto"/>
      </w:divBdr>
    </w:div>
    <w:div w:id="61216916">
      <w:bodyDiv w:val="1"/>
      <w:marLeft w:val="0"/>
      <w:marRight w:val="0"/>
      <w:marTop w:val="0"/>
      <w:marBottom w:val="0"/>
      <w:divBdr>
        <w:top w:val="none" w:sz="0" w:space="0" w:color="auto"/>
        <w:left w:val="none" w:sz="0" w:space="0" w:color="auto"/>
        <w:bottom w:val="none" w:sz="0" w:space="0" w:color="auto"/>
        <w:right w:val="none" w:sz="0" w:space="0" w:color="auto"/>
      </w:divBdr>
    </w:div>
    <w:div w:id="61217511">
      <w:bodyDiv w:val="1"/>
      <w:marLeft w:val="0"/>
      <w:marRight w:val="0"/>
      <w:marTop w:val="0"/>
      <w:marBottom w:val="0"/>
      <w:divBdr>
        <w:top w:val="none" w:sz="0" w:space="0" w:color="auto"/>
        <w:left w:val="none" w:sz="0" w:space="0" w:color="auto"/>
        <w:bottom w:val="none" w:sz="0" w:space="0" w:color="auto"/>
        <w:right w:val="none" w:sz="0" w:space="0" w:color="auto"/>
      </w:divBdr>
    </w:div>
    <w:div w:id="61295549">
      <w:bodyDiv w:val="1"/>
      <w:marLeft w:val="0"/>
      <w:marRight w:val="0"/>
      <w:marTop w:val="0"/>
      <w:marBottom w:val="0"/>
      <w:divBdr>
        <w:top w:val="none" w:sz="0" w:space="0" w:color="auto"/>
        <w:left w:val="none" w:sz="0" w:space="0" w:color="auto"/>
        <w:bottom w:val="none" w:sz="0" w:space="0" w:color="auto"/>
        <w:right w:val="none" w:sz="0" w:space="0" w:color="auto"/>
      </w:divBdr>
    </w:div>
    <w:div w:id="61492921">
      <w:bodyDiv w:val="1"/>
      <w:marLeft w:val="0"/>
      <w:marRight w:val="0"/>
      <w:marTop w:val="0"/>
      <w:marBottom w:val="0"/>
      <w:divBdr>
        <w:top w:val="none" w:sz="0" w:space="0" w:color="auto"/>
        <w:left w:val="none" w:sz="0" w:space="0" w:color="auto"/>
        <w:bottom w:val="none" w:sz="0" w:space="0" w:color="auto"/>
        <w:right w:val="none" w:sz="0" w:space="0" w:color="auto"/>
      </w:divBdr>
    </w:div>
    <w:div w:id="61610963">
      <w:bodyDiv w:val="1"/>
      <w:marLeft w:val="0"/>
      <w:marRight w:val="0"/>
      <w:marTop w:val="0"/>
      <w:marBottom w:val="0"/>
      <w:divBdr>
        <w:top w:val="none" w:sz="0" w:space="0" w:color="auto"/>
        <w:left w:val="none" w:sz="0" w:space="0" w:color="auto"/>
        <w:bottom w:val="none" w:sz="0" w:space="0" w:color="auto"/>
        <w:right w:val="none" w:sz="0" w:space="0" w:color="auto"/>
      </w:divBdr>
    </w:div>
    <w:div w:id="62027790">
      <w:bodyDiv w:val="1"/>
      <w:marLeft w:val="0"/>
      <w:marRight w:val="0"/>
      <w:marTop w:val="0"/>
      <w:marBottom w:val="0"/>
      <w:divBdr>
        <w:top w:val="none" w:sz="0" w:space="0" w:color="auto"/>
        <w:left w:val="none" w:sz="0" w:space="0" w:color="auto"/>
        <w:bottom w:val="none" w:sz="0" w:space="0" w:color="auto"/>
        <w:right w:val="none" w:sz="0" w:space="0" w:color="auto"/>
      </w:divBdr>
    </w:div>
    <w:div w:id="62263679">
      <w:bodyDiv w:val="1"/>
      <w:marLeft w:val="0"/>
      <w:marRight w:val="0"/>
      <w:marTop w:val="0"/>
      <w:marBottom w:val="0"/>
      <w:divBdr>
        <w:top w:val="none" w:sz="0" w:space="0" w:color="auto"/>
        <w:left w:val="none" w:sz="0" w:space="0" w:color="auto"/>
        <w:bottom w:val="none" w:sz="0" w:space="0" w:color="auto"/>
        <w:right w:val="none" w:sz="0" w:space="0" w:color="auto"/>
      </w:divBdr>
    </w:div>
    <w:div w:id="62532992">
      <w:bodyDiv w:val="1"/>
      <w:marLeft w:val="0"/>
      <w:marRight w:val="0"/>
      <w:marTop w:val="0"/>
      <w:marBottom w:val="0"/>
      <w:divBdr>
        <w:top w:val="none" w:sz="0" w:space="0" w:color="auto"/>
        <w:left w:val="none" w:sz="0" w:space="0" w:color="auto"/>
        <w:bottom w:val="none" w:sz="0" w:space="0" w:color="auto"/>
        <w:right w:val="none" w:sz="0" w:space="0" w:color="auto"/>
      </w:divBdr>
    </w:div>
    <w:div w:id="62610731">
      <w:bodyDiv w:val="1"/>
      <w:marLeft w:val="0"/>
      <w:marRight w:val="0"/>
      <w:marTop w:val="0"/>
      <w:marBottom w:val="0"/>
      <w:divBdr>
        <w:top w:val="none" w:sz="0" w:space="0" w:color="auto"/>
        <w:left w:val="none" w:sz="0" w:space="0" w:color="auto"/>
        <w:bottom w:val="none" w:sz="0" w:space="0" w:color="auto"/>
        <w:right w:val="none" w:sz="0" w:space="0" w:color="auto"/>
      </w:divBdr>
    </w:div>
    <w:div w:id="62922400">
      <w:bodyDiv w:val="1"/>
      <w:marLeft w:val="0"/>
      <w:marRight w:val="0"/>
      <w:marTop w:val="0"/>
      <w:marBottom w:val="0"/>
      <w:divBdr>
        <w:top w:val="none" w:sz="0" w:space="0" w:color="auto"/>
        <w:left w:val="none" w:sz="0" w:space="0" w:color="auto"/>
        <w:bottom w:val="none" w:sz="0" w:space="0" w:color="auto"/>
        <w:right w:val="none" w:sz="0" w:space="0" w:color="auto"/>
      </w:divBdr>
    </w:div>
    <w:div w:id="63375656">
      <w:bodyDiv w:val="1"/>
      <w:marLeft w:val="0"/>
      <w:marRight w:val="0"/>
      <w:marTop w:val="0"/>
      <w:marBottom w:val="0"/>
      <w:divBdr>
        <w:top w:val="none" w:sz="0" w:space="0" w:color="auto"/>
        <w:left w:val="none" w:sz="0" w:space="0" w:color="auto"/>
        <w:bottom w:val="none" w:sz="0" w:space="0" w:color="auto"/>
        <w:right w:val="none" w:sz="0" w:space="0" w:color="auto"/>
      </w:divBdr>
    </w:div>
    <w:div w:id="64033694">
      <w:bodyDiv w:val="1"/>
      <w:marLeft w:val="0"/>
      <w:marRight w:val="0"/>
      <w:marTop w:val="0"/>
      <w:marBottom w:val="0"/>
      <w:divBdr>
        <w:top w:val="none" w:sz="0" w:space="0" w:color="auto"/>
        <w:left w:val="none" w:sz="0" w:space="0" w:color="auto"/>
        <w:bottom w:val="none" w:sz="0" w:space="0" w:color="auto"/>
        <w:right w:val="none" w:sz="0" w:space="0" w:color="auto"/>
      </w:divBdr>
    </w:div>
    <w:div w:id="64110154">
      <w:bodyDiv w:val="1"/>
      <w:marLeft w:val="0"/>
      <w:marRight w:val="0"/>
      <w:marTop w:val="0"/>
      <w:marBottom w:val="0"/>
      <w:divBdr>
        <w:top w:val="none" w:sz="0" w:space="0" w:color="auto"/>
        <w:left w:val="none" w:sz="0" w:space="0" w:color="auto"/>
        <w:bottom w:val="none" w:sz="0" w:space="0" w:color="auto"/>
        <w:right w:val="none" w:sz="0" w:space="0" w:color="auto"/>
      </w:divBdr>
    </w:div>
    <w:div w:id="65104672">
      <w:bodyDiv w:val="1"/>
      <w:marLeft w:val="0"/>
      <w:marRight w:val="0"/>
      <w:marTop w:val="0"/>
      <w:marBottom w:val="0"/>
      <w:divBdr>
        <w:top w:val="none" w:sz="0" w:space="0" w:color="auto"/>
        <w:left w:val="none" w:sz="0" w:space="0" w:color="auto"/>
        <w:bottom w:val="none" w:sz="0" w:space="0" w:color="auto"/>
        <w:right w:val="none" w:sz="0" w:space="0" w:color="auto"/>
      </w:divBdr>
    </w:div>
    <w:div w:id="65105189">
      <w:bodyDiv w:val="1"/>
      <w:marLeft w:val="0"/>
      <w:marRight w:val="0"/>
      <w:marTop w:val="0"/>
      <w:marBottom w:val="0"/>
      <w:divBdr>
        <w:top w:val="none" w:sz="0" w:space="0" w:color="auto"/>
        <w:left w:val="none" w:sz="0" w:space="0" w:color="auto"/>
        <w:bottom w:val="none" w:sz="0" w:space="0" w:color="auto"/>
        <w:right w:val="none" w:sz="0" w:space="0" w:color="auto"/>
      </w:divBdr>
    </w:div>
    <w:div w:id="65151808">
      <w:bodyDiv w:val="1"/>
      <w:marLeft w:val="0"/>
      <w:marRight w:val="0"/>
      <w:marTop w:val="0"/>
      <w:marBottom w:val="0"/>
      <w:divBdr>
        <w:top w:val="none" w:sz="0" w:space="0" w:color="auto"/>
        <w:left w:val="none" w:sz="0" w:space="0" w:color="auto"/>
        <w:bottom w:val="none" w:sz="0" w:space="0" w:color="auto"/>
        <w:right w:val="none" w:sz="0" w:space="0" w:color="auto"/>
      </w:divBdr>
    </w:div>
    <w:div w:id="65540054">
      <w:bodyDiv w:val="1"/>
      <w:marLeft w:val="0"/>
      <w:marRight w:val="0"/>
      <w:marTop w:val="0"/>
      <w:marBottom w:val="0"/>
      <w:divBdr>
        <w:top w:val="none" w:sz="0" w:space="0" w:color="auto"/>
        <w:left w:val="none" w:sz="0" w:space="0" w:color="auto"/>
        <w:bottom w:val="none" w:sz="0" w:space="0" w:color="auto"/>
        <w:right w:val="none" w:sz="0" w:space="0" w:color="auto"/>
      </w:divBdr>
    </w:div>
    <w:div w:id="65693790">
      <w:bodyDiv w:val="1"/>
      <w:marLeft w:val="0"/>
      <w:marRight w:val="0"/>
      <w:marTop w:val="0"/>
      <w:marBottom w:val="0"/>
      <w:divBdr>
        <w:top w:val="none" w:sz="0" w:space="0" w:color="auto"/>
        <w:left w:val="none" w:sz="0" w:space="0" w:color="auto"/>
        <w:bottom w:val="none" w:sz="0" w:space="0" w:color="auto"/>
        <w:right w:val="none" w:sz="0" w:space="0" w:color="auto"/>
      </w:divBdr>
    </w:div>
    <w:div w:id="65808146">
      <w:bodyDiv w:val="1"/>
      <w:marLeft w:val="0"/>
      <w:marRight w:val="0"/>
      <w:marTop w:val="0"/>
      <w:marBottom w:val="0"/>
      <w:divBdr>
        <w:top w:val="none" w:sz="0" w:space="0" w:color="auto"/>
        <w:left w:val="none" w:sz="0" w:space="0" w:color="auto"/>
        <w:bottom w:val="none" w:sz="0" w:space="0" w:color="auto"/>
        <w:right w:val="none" w:sz="0" w:space="0" w:color="auto"/>
      </w:divBdr>
    </w:div>
    <w:div w:id="65998208">
      <w:bodyDiv w:val="1"/>
      <w:marLeft w:val="0"/>
      <w:marRight w:val="0"/>
      <w:marTop w:val="0"/>
      <w:marBottom w:val="0"/>
      <w:divBdr>
        <w:top w:val="none" w:sz="0" w:space="0" w:color="auto"/>
        <w:left w:val="none" w:sz="0" w:space="0" w:color="auto"/>
        <w:bottom w:val="none" w:sz="0" w:space="0" w:color="auto"/>
        <w:right w:val="none" w:sz="0" w:space="0" w:color="auto"/>
      </w:divBdr>
    </w:div>
    <w:div w:id="66079236">
      <w:bodyDiv w:val="1"/>
      <w:marLeft w:val="0"/>
      <w:marRight w:val="0"/>
      <w:marTop w:val="0"/>
      <w:marBottom w:val="0"/>
      <w:divBdr>
        <w:top w:val="none" w:sz="0" w:space="0" w:color="auto"/>
        <w:left w:val="none" w:sz="0" w:space="0" w:color="auto"/>
        <w:bottom w:val="none" w:sz="0" w:space="0" w:color="auto"/>
        <w:right w:val="none" w:sz="0" w:space="0" w:color="auto"/>
      </w:divBdr>
    </w:div>
    <w:div w:id="66347532">
      <w:bodyDiv w:val="1"/>
      <w:marLeft w:val="0"/>
      <w:marRight w:val="0"/>
      <w:marTop w:val="0"/>
      <w:marBottom w:val="0"/>
      <w:divBdr>
        <w:top w:val="none" w:sz="0" w:space="0" w:color="auto"/>
        <w:left w:val="none" w:sz="0" w:space="0" w:color="auto"/>
        <w:bottom w:val="none" w:sz="0" w:space="0" w:color="auto"/>
        <w:right w:val="none" w:sz="0" w:space="0" w:color="auto"/>
      </w:divBdr>
    </w:div>
    <w:div w:id="66615249">
      <w:bodyDiv w:val="1"/>
      <w:marLeft w:val="0"/>
      <w:marRight w:val="0"/>
      <w:marTop w:val="0"/>
      <w:marBottom w:val="0"/>
      <w:divBdr>
        <w:top w:val="none" w:sz="0" w:space="0" w:color="auto"/>
        <w:left w:val="none" w:sz="0" w:space="0" w:color="auto"/>
        <w:bottom w:val="none" w:sz="0" w:space="0" w:color="auto"/>
        <w:right w:val="none" w:sz="0" w:space="0" w:color="auto"/>
      </w:divBdr>
    </w:div>
    <w:div w:id="66924549">
      <w:bodyDiv w:val="1"/>
      <w:marLeft w:val="0"/>
      <w:marRight w:val="0"/>
      <w:marTop w:val="0"/>
      <w:marBottom w:val="0"/>
      <w:divBdr>
        <w:top w:val="none" w:sz="0" w:space="0" w:color="auto"/>
        <w:left w:val="none" w:sz="0" w:space="0" w:color="auto"/>
        <w:bottom w:val="none" w:sz="0" w:space="0" w:color="auto"/>
        <w:right w:val="none" w:sz="0" w:space="0" w:color="auto"/>
      </w:divBdr>
    </w:div>
    <w:div w:id="67121144">
      <w:bodyDiv w:val="1"/>
      <w:marLeft w:val="0"/>
      <w:marRight w:val="0"/>
      <w:marTop w:val="0"/>
      <w:marBottom w:val="0"/>
      <w:divBdr>
        <w:top w:val="none" w:sz="0" w:space="0" w:color="auto"/>
        <w:left w:val="none" w:sz="0" w:space="0" w:color="auto"/>
        <w:bottom w:val="none" w:sz="0" w:space="0" w:color="auto"/>
        <w:right w:val="none" w:sz="0" w:space="0" w:color="auto"/>
      </w:divBdr>
    </w:div>
    <w:div w:id="67458207">
      <w:bodyDiv w:val="1"/>
      <w:marLeft w:val="0"/>
      <w:marRight w:val="0"/>
      <w:marTop w:val="0"/>
      <w:marBottom w:val="0"/>
      <w:divBdr>
        <w:top w:val="none" w:sz="0" w:space="0" w:color="auto"/>
        <w:left w:val="none" w:sz="0" w:space="0" w:color="auto"/>
        <w:bottom w:val="none" w:sz="0" w:space="0" w:color="auto"/>
        <w:right w:val="none" w:sz="0" w:space="0" w:color="auto"/>
      </w:divBdr>
    </w:div>
    <w:div w:id="67506099">
      <w:bodyDiv w:val="1"/>
      <w:marLeft w:val="0"/>
      <w:marRight w:val="0"/>
      <w:marTop w:val="0"/>
      <w:marBottom w:val="0"/>
      <w:divBdr>
        <w:top w:val="none" w:sz="0" w:space="0" w:color="auto"/>
        <w:left w:val="none" w:sz="0" w:space="0" w:color="auto"/>
        <w:bottom w:val="none" w:sz="0" w:space="0" w:color="auto"/>
        <w:right w:val="none" w:sz="0" w:space="0" w:color="auto"/>
      </w:divBdr>
    </w:div>
    <w:div w:id="67578351">
      <w:bodyDiv w:val="1"/>
      <w:marLeft w:val="0"/>
      <w:marRight w:val="0"/>
      <w:marTop w:val="0"/>
      <w:marBottom w:val="0"/>
      <w:divBdr>
        <w:top w:val="none" w:sz="0" w:space="0" w:color="auto"/>
        <w:left w:val="none" w:sz="0" w:space="0" w:color="auto"/>
        <w:bottom w:val="none" w:sz="0" w:space="0" w:color="auto"/>
        <w:right w:val="none" w:sz="0" w:space="0" w:color="auto"/>
      </w:divBdr>
    </w:div>
    <w:div w:id="67702430">
      <w:bodyDiv w:val="1"/>
      <w:marLeft w:val="0"/>
      <w:marRight w:val="0"/>
      <w:marTop w:val="0"/>
      <w:marBottom w:val="0"/>
      <w:divBdr>
        <w:top w:val="none" w:sz="0" w:space="0" w:color="auto"/>
        <w:left w:val="none" w:sz="0" w:space="0" w:color="auto"/>
        <w:bottom w:val="none" w:sz="0" w:space="0" w:color="auto"/>
        <w:right w:val="none" w:sz="0" w:space="0" w:color="auto"/>
      </w:divBdr>
    </w:div>
    <w:div w:id="69082237">
      <w:bodyDiv w:val="1"/>
      <w:marLeft w:val="0"/>
      <w:marRight w:val="0"/>
      <w:marTop w:val="0"/>
      <w:marBottom w:val="0"/>
      <w:divBdr>
        <w:top w:val="none" w:sz="0" w:space="0" w:color="auto"/>
        <w:left w:val="none" w:sz="0" w:space="0" w:color="auto"/>
        <w:bottom w:val="none" w:sz="0" w:space="0" w:color="auto"/>
        <w:right w:val="none" w:sz="0" w:space="0" w:color="auto"/>
      </w:divBdr>
    </w:div>
    <w:div w:id="69472805">
      <w:bodyDiv w:val="1"/>
      <w:marLeft w:val="0"/>
      <w:marRight w:val="0"/>
      <w:marTop w:val="0"/>
      <w:marBottom w:val="0"/>
      <w:divBdr>
        <w:top w:val="none" w:sz="0" w:space="0" w:color="auto"/>
        <w:left w:val="none" w:sz="0" w:space="0" w:color="auto"/>
        <w:bottom w:val="none" w:sz="0" w:space="0" w:color="auto"/>
        <w:right w:val="none" w:sz="0" w:space="0" w:color="auto"/>
      </w:divBdr>
    </w:div>
    <w:div w:id="70590356">
      <w:bodyDiv w:val="1"/>
      <w:marLeft w:val="0"/>
      <w:marRight w:val="0"/>
      <w:marTop w:val="0"/>
      <w:marBottom w:val="0"/>
      <w:divBdr>
        <w:top w:val="none" w:sz="0" w:space="0" w:color="auto"/>
        <w:left w:val="none" w:sz="0" w:space="0" w:color="auto"/>
        <w:bottom w:val="none" w:sz="0" w:space="0" w:color="auto"/>
        <w:right w:val="none" w:sz="0" w:space="0" w:color="auto"/>
      </w:divBdr>
    </w:div>
    <w:div w:id="71440025">
      <w:bodyDiv w:val="1"/>
      <w:marLeft w:val="0"/>
      <w:marRight w:val="0"/>
      <w:marTop w:val="0"/>
      <w:marBottom w:val="0"/>
      <w:divBdr>
        <w:top w:val="none" w:sz="0" w:space="0" w:color="auto"/>
        <w:left w:val="none" w:sz="0" w:space="0" w:color="auto"/>
        <w:bottom w:val="none" w:sz="0" w:space="0" w:color="auto"/>
        <w:right w:val="none" w:sz="0" w:space="0" w:color="auto"/>
      </w:divBdr>
    </w:div>
    <w:div w:id="71466795">
      <w:bodyDiv w:val="1"/>
      <w:marLeft w:val="0"/>
      <w:marRight w:val="0"/>
      <w:marTop w:val="0"/>
      <w:marBottom w:val="0"/>
      <w:divBdr>
        <w:top w:val="none" w:sz="0" w:space="0" w:color="auto"/>
        <w:left w:val="none" w:sz="0" w:space="0" w:color="auto"/>
        <w:bottom w:val="none" w:sz="0" w:space="0" w:color="auto"/>
        <w:right w:val="none" w:sz="0" w:space="0" w:color="auto"/>
      </w:divBdr>
    </w:div>
    <w:div w:id="71785044">
      <w:bodyDiv w:val="1"/>
      <w:marLeft w:val="0"/>
      <w:marRight w:val="0"/>
      <w:marTop w:val="0"/>
      <w:marBottom w:val="0"/>
      <w:divBdr>
        <w:top w:val="none" w:sz="0" w:space="0" w:color="auto"/>
        <w:left w:val="none" w:sz="0" w:space="0" w:color="auto"/>
        <w:bottom w:val="none" w:sz="0" w:space="0" w:color="auto"/>
        <w:right w:val="none" w:sz="0" w:space="0" w:color="auto"/>
      </w:divBdr>
    </w:div>
    <w:div w:id="71972058">
      <w:bodyDiv w:val="1"/>
      <w:marLeft w:val="0"/>
      <w:marRight w:val="0"/>
      <w:marTop w:val="0"/>
      <w:marBottom w:val="0"/>
      <w:divBdr>
        <w:top w:val="none" w:sz="0" w:space="0" w:color="auto"/>
        <w:left w:val="none" w:sz="0" w:space="0" w:color="auto"/>
        <w:bottom w:val="none" w:sz="0" w:space="0" w:color="auto"/>
        <w:right w:val="none" w:sz="0" w:space="0" w:color="auto"/>
      </w:divBdr>
    </w:div>
    <w:div w:id="72318043">
      <w:bodyDiv w:val="1"/>
      <w:marLeft w:val="0"/>
      <w:marRight w:val="0"/>
      <w:marTop w:val="0"/>
      <w:marBottom w:val="0"/>
      <w:divBdr>
        <w:top w:val="none" w:sz="0" w:space="0" w:color="auto"/>
        <w:left w:val="none" w:sz="0" w:space="0" w:color="auto"/>
        <w:bottom w:val="none" w:sz="0" w:space="0" w:color="auto"/>
        <w:right w:val="none" w:sz="0" w:space="0" w:color="auto"/>
      </w:divBdr>
    </w:div>
    <w:div w:id="72898198">
      <w:bodyDiv w:val="1"/>
      <w:marLeft w:val="0"/>
      <w:marRight w:val="0"/>
      <w:marTop w:val="0"/>
      <w:marBottom w:val="0"/>
      <w:divBdr>
        <w:top w:val="none" w:sz="0" w:space="0" w:color="auto"/>
        <w:left w:val="none" w:sz="0" w:space="0" w:color="auto"/>
        <w:bottom w:val="none" w:sz="0" w:space="0" w:color="auto"/>
        <w:right w:val="none" w:sz="0" w:space="0" w:color="auto"/>
      </w:divBdr>
    </w:div>
    <w:div w:id="73014964">
      <w:bodyDiv w:val="1"/>
      <w:marLeft w:val="0"/>
      <w:marRight w:val="0"/>
      <w:marTop w:val="0"/>
      <w:marBottom w:val="0"/>
      <w:divBdr>
        <w:top w:val="none" w:sz="0" w:space="0" w:color="auto"/>
        <w:left w:val="none" w:sz="0" w:space="0" w:color="auto"/>
        <w:bottom w:val="none" w:sz="0" w:space="0" w:color="auto"/>
        <w:right w:val="none" w:sz="0" w:space="0" w:color="auto"/>
      </w:divBdr>
    </w:div>
    <w:div w:id="73169908">
      <w:bodyDiv w:val="1"/>
      <w:marLeft w:val="0"/>
      <w:marRight w:val="0"/>
      <w:marTop w:val="0"/>
      <w:marBottom w:val="0"/>
      <w:divBdr>
        <w:top w:val="none" w:sz="0" w:space="0" w:color="auto"/>
        <w:left w:val="none" w:sz="0" w:space="0" w:color="auto"/>
        <w:bottom w:val="none" w:sz="0" w:space="0" w:color="auto"/>
        <w:right w:val="none" w:sz="0" w:space="0" w:color="auto"/>
      </w:divBdr>
    </w:div>
    <w:div w:id="73358976">
      <w:bodyDiv w:val="1"/>
      <w:marLeft w:val="0"/>
      <w:marRight w:val="0"/>
      <w:marTop w:val="0"/>
      <w:marBottom w:val="0"/>
      <w:divBdr>
        <w:top w:val="none" w:sz="0" w:space="0" w:color="auto"/>
        <w:left w:val="none" w:sz="0" w:space="0" w:color="auto"/>
        <w:bottom w:val="none" w:sz="0" w:space="0" w:color="auto"/>
        <w:right w:val="none" w:sz="0" w:space="0" w:color="auto"/>
      </w:divBdr>
    </w:div>
    <w:div w:id="73556992">
      <w:bodyDiv w:val="1"/>
      <w:marLeft w:val="0"/>
      <w:marRight w:val="0"/>
      <w:marTop w:val="0"/>
      <w:marBottom w:val="0"/>
      <w:divBdr>
        <w:top w:val="none" w:sz="0" w:space="0" w:color="auto"/>
        <w:left w:val="none" w:sz="0" w:space="0" w:color="auto"/>
        <w:bottom w:val="none" w:sz="0" w:space="0" w:color="auto"/>
        <w:right w:val="none" w:sz="0" w:space="0" w:color="auto"/>
      </w:divBdr>
    </w:div>
    <w:div w:id="73940706">
      <w:bodyDiv w:val="1"/>
      <w:marLeft w:val="0"/>
      <w:marRight w:val="0"/>
      <w:marTop w:val="0"/>
      <w:marBottom w:val="0"/>
      <w:divBdr>
        <w:top w:val="none" w:sz="0" w:space="0" w:color="auto"/>
        <w:left w:val="none" w:sz="0" w:space="0" w:color="auto"/>
        <w:bottom w:val="none" w:sz="0" w:space="0" w:color="auto"/>
        <w:right w:val="none" w:sz="0" w:space="0" w:color="auto"/>
      </w:divBdr>
    </w:div>
    <w:div w:id="73942301">
      <w:bodyDiv w:val="1"/>
      <w:marLeft w:val="0"/>
      <w:marRight w:val="0"/>
      <w:marTop w:val="0"/>
      <w:marBottom w:val="0"/>
      <w:divBdr>
        <w:top w:val="none" w:sz="0" w:space="0" w:color="auto"/>
        <w:left w:val="none" w:sz="0" w:space="0" w:color="auto"/>
        <w:bottom w:val="none" w:sz="0" w:space="0" w:color="auto"/>
        <w:right w:val="none" w:sz="0" w:space="0" w:color="auto"/>
      </w:divBdr>
    </w:div>
    <w:div w:id="74282042">
      <w:bodyDiv w:val="1"/>
      <w:marLeft w:val="0"/>
      <w:marRight w:val="0"/>
      <w:marTop w:val="0"/>
      <w:marBottom w:val="0"/>
      <w:divBdr>
        <w:top w:val="none" w:sz="0" w:space="0" w:color="auto"/>
        <w:left w:val="none" w:sz="0" w:space="0" w:color="auto"/>
        <w:bottom w:val="none" w:sz="0" w:space="0" w:color="auto"/>
        <w:right w:val="none" w:sz="0" w:space="0" w:color="auto"/>
      </w:divBdr>
    </w:div>
    <w:div w:id="74594952">
      <w:bodyDiv w:val="1"/>
      <w:marLeft w:val="0"/>
      <w:marRight w:val="0"/>
      <w:marTop w:val="0"/>
      <w:marBottom w:val="0"/>
      <w:divBdr>
        <w:top w:val="none" w:sz="0" w:space="0" w:color="auto"/>
        <w:left w:val="none" w:sz="0" w:space="0" w:color="auto"/>
        <w:bottom w:val="none" w:sz="0" w:space="0" w:color="auto"/>
        <w:right w:val="none" w:sz="0" w:space="0" w:color="auto"/>
      </w:divBdr>
    </w:div>
    <w:div w:id="74783647">
      <w:bodyDiv w:val="1"/>
      <w:marLeft w:val="0"/>
      <w:marRight w:val="0"/>
      <w:marTop w:val="0"/>
      <w:marBottom w:val="0"/>
      <w:divBdr>
        <w:top w:val="none" w:sz="0" w:space="0" w:color="auto"/>
        <w:left w:val="none" w:sz="0" w:space="0" w:color="auto"/>
        <w:bottom w:val="none" w:sz="0" w:space="0" w:color="auto"/>
        <w:right w:val="none" w:sz="0" w:space="0" w:color="auto"/>
      </w:divBdr>
    </w:div>
    <w:div w:id="75053830">
      <w:bodyDiv w:val="1"/>
      <w:marLeft w:val="0"/>
      <w:marRight w:val="0"/>
      <w:marTop w:val="0"/>
      <w:marBottom w:val="0"/>
      <w:divBdr>
        <w:top w:val="none" w:sz="0" w:space="0" w:color="auto"/>
        <w:left w:val="none" w:sz="0" w:space="0" w:color="auto"/>
        <w:bottom w:val="none" w:sz="0" w:space="0" w:color="auto"/>
        <w:right w:val="none" w:sz="0" w:space="0" w:color="auto"/>
      </w:divBdr>
    </w:div>
    <w:div w:id="75441000">
      <w:bodyDiv w:val="1"/>
      <w:marLeft w:val="0"/>
      <w:marRight w:val="0"/>
      <w:marTop w:val="0"/>
      <w:marBottom w:val="0"/>
      <w:divBdr>
        <w:top w:val="none" w:sz="0" w:space="0" w:color="auto"/>
        <w:left w:val="none" w:sz="0" w:space="0" w:color="auto"/>
        <w:bottom w:val="none" w:sz="0" w:space="0" w:color="auto"/>
        <w:right w:val="none" w:sz="0" w:space="0" w:color="auto"/>
      </w:divBdr>
    </w:div>
    <w:div w:id="75832920">
      <w:bodyDiv w:val="1"/>
      <w:marLeft w:val="0"/>
      <w:marRight w:val="0"/>
      <w:marTop w:val="0"/>
      <w:marBottom w:val="0"/>
      <w:divBdr>
        <w:top w:val="none" w:sz="0" w:space="0" w:color="auto"/>
        <w:left w:val="none" w:sz="0" w:space="0" w:color="auto"/>
        <w:bottom w:val="none" w:sz="0" w:space="0" w:color="auto"/>
        <w:right w:val="none" w:sz="0" w:space="0" w:color="auto"/>
      </w:divBdr>
    </w:div>
    <w:div w:id="75905935">
      <w:bodyDiv w:val="1"/>
      <w:marLeft w:val="0"/>
      <w:marRight w:val="0"/>
      <w:marTop w:val="0"/>
      <w:marBottom w:val="0"/>
      <w:divBdr>
        <w:top w:val="none" w:sz="0" w:space="0" w:color="auto"/>
        <w:left w:val="none" w:sz="0" w:space="0" w:color="auto"/>
        <w:bottom w:val="none" w:sz="0" w:space="0" w:color="auto"/>
        <w:right w:val="none" w:sz="0" w:space="0" w:color="auto"/>
      </w:divBdr>
    </w:div>
    <w:div w:id="76102951">
      <w:bodyDiv w:val="1"/>
      <w:marLeft w:val="0"/>
      <w:marRight w:val="0"/>
      <w:marTop w:val="0"/>
      <w:marBottom w:val="0"/>
      <w:divBdr>
        <w:top w:val="none" w:sz="0" w:space="0" w:color="auto"/>
        <w:left w:val="none" w:sz="0" w:space="0" w:color="auto"/>
        <w:bottom w:val="none" w:sz="0" w:space="0" w:color="auto"/>
        <w:right w:val="none" w:sz="0" w:space="0" w:color="auto"/>
      </w:divBdr>
    </w:div>
    <w:div w:id="76441887">
      <w:bodyDiv w:val="1"/>
      <w:marLeft w:val="0"/>
      <w:marRight w:val="0"/>
      <w:marTop w:val="0"/>
      <w:marBottom w:val="0"/>
      <w:divBdr>
        <w:top w:val="none" w:sz="0" w:space="0" w:color="auto"/>
        <w:left w:val="none" w:sz="0" w:space="0" w:color="auto"/>
        <w:bottom w:val="none" w:sz="0" w:space="0" w:color="auto"/>
        <w:right w:val="none" w:sz="0" w:space="0" w:color="auto"/>
      </w:divBdr>
    </w:div>
    <w:div w:id="77023038">
      <w:bodyDiv w:val="1"/>
      <w:marLeft w:val="0"/>
      <w:marRight w:val="0"/>
      <w:marTop w:val="0"/>
      <w:marBottom w:val="0"/>
      <w:divBdr>
        <w:top w:val="none" w:sz="0" w:space="0" w:color="auto"/>
        <w:left w:val="none" w:sz="0" w:space="0" w:color="auto"/>
        <w:bottom w:val="none" w:sz="0" w:space="0" w:color="auto"/>
        <w:right w:val="none" w:sz="0" w:space="0" w:color="auto"/>
      </w:divBdr>
    </w:div>
    <w:div w:id="77409490">
      <w:bodyDiv w:val="1"/>
      <w:marLeft w:val="0"/>
      <w:marRight w:val="0"/>
      <w:marTop w:val="0"/>
      <w:marBottom w:val="0"/>
      <w:divBdr>
        <w:top w:val="none" w:sz="0" w:space="0" w:color="auto"/>
        <w:left w:val="none" w:sz="0" w:space="0" w:color="auto"/>
        <w:bottom w:val="none" w:sz="0" w:space="0" w:color="auto"/>
        <w:right w:val="none" w:sz="0" w:space="0" w:color="auto"/>
      </w:divBdr>
    </w:div>
    <w:div w:id="77796672">
      <w:bodyDiv w:val="1"/>
      <w:marLeft w:val="0"/>
      <w:marRight w:val="0"/>
      <w:marTop w:val="0"/>
      <w:marBottom w:val="0"/>
      <w:divBdr>
        <w:top w:val="none" w:sz="0" w:space="0" w:color="auto"/>
        <w:left w:val="none" w:sz="0" w:space="0" w:color="auto"/>
        <w:bottom w:val="none" w:sz="0" w:space="0" w:color="auto"/>
        <w:right w:val="none" w:sz="0" w:space="0" w:color="auto"/>
      </w:divBdr>
    </w:div>
    <w:div w:id="78019608">
      <w:bodyDiv w:val="1"/>
      <w:marLeft w:val="0"/>
      <w:marRight w:val="0"/>
      <w:marTop w:val="0"/>
      <w:marBottom w:val="0"/>
      <w:divBdr>
        <w:top w:val="none" w:sz="0" w:space="0" w:color="auto"/>
        <w:left w:val="none" w:sz="0" w:space="0" w:color="auto"/>
        <w:bottom w:val="none" w:sz="0" w:space="0" w:color="auto"/>
        <w:right w:val="none" w:sz="0" w:space="0" w:color="auto"/>
      </w:divBdr>
    </w:div>
    <w:div w:id="78261540">
      <w:bodyDiv w:val="1"/>
      <w:marLeft w:val="0"/>
      <w:marRight w:val="0"/>
      <w:marTop w:val="0"/>
      <w:marBottom w:val="0"/>
      <w:divBdr>
        <w:top w:val="none" w:sz="0" w:space="0" w:color="auto"/>
        <w:left w:val="none" w:sz="0" w:space="0" w:color="auto"/>
        <w:bottom w:val="none" w:sz="0" w:space="0" w:color="auto"/>
        <w:right w:val="none" w:sz="0" w:space="0" w:color="auto"/>
      </w:divBdr>
    </w:div>
    <w:div w:id="78410980">
      <w:bodyDiv w:val="1"/>
      <w:marLeft w:val="0"/>
      <w:marRight w:val="0"/>
      <w:marTop w:val="0"/>
      <w:marBottom w:val="0"/>
      <w:divBdr>
        <w:top w:val="none" w:sz="0" w:space="0" w:color="auto"/>
        <w:left w:val="none" w:sz="0" w:space="0" w:color="auto"/>
        <w:bottom w:val="none" w:sz="0" w:space="0" w:color="auto"/>
        <w:right w:val="none" w:sz="0" w:space="0" w:color="auto"/>
      </w:divBdr>
    </w:div>
    <w:div w:id="78525557">
      <w:bodyDiv w:val="1"/>
      <w:marLeft w:val="0"/>
      <w:marRight w:val="0"/>
      <w:marTop w:val="0"/>
      <w:marBottom w:val="0"/>
      <w:divBdr>
        <w:top w:val="none" w:sz="0" w:space="0" w:color="auto"/>
        <w:left w:val="none" w:sz="0" w:space="0" w:color="auto"/>
        <w:bottom w:val="none" w:sz="0" w:space="0" w:color="auto"/>
        <w:right w:val="none" w:sz="0" w:space="0" w:color="auto"/>
      </w:divBdr>
    </w:div>
    <w:div w:id="78792100">
      <w:bodyDiv w:val="1"/>
      <w:marLeft w:val="0"/>
      <w:marRight w:val="0"/>
      <w:marTop w:val="0"/>
      <w:marBottom w:val="0"/>
      <w:divBdr>
        <w:top w:val="none" w:sz="0" w:space="0" w:color="auto"/>
        <w:left w:val="none" w:sz="0" w:space="0" w:color="auto"/>
        <w:bottom w:val="none" w:sz="0" w:space="0" w:color="auto"/>
        <w:right w:val="none" w:sz="0" w:space="0" w:color="auto"/>
      </w:divBdr>
    </w:div>
    <w:div w:id="78792136">
      <w:bodyDiv w:val="1"/>
      <w:marLeft w:val="0"/>
      <w:marRight w:val="0"/>
      <w:marTop w:val="0"/>
      <w:marBottom w:val="0"/>
      <w:divBdr>
        <w:top w:val="none" w:sz="0" w:space="0" w:color="auto"/>
        <w:left w:val="none" w:sz="0" w:space="0" w:color="auto"/>
        <w:bottom w:val="none" w:sz="0" w:space="0" w:color="auto"/>
        <w:right w:val="none" w:sz="0" w:space="0" w:color="auto"/>
      </w:divBdr>
    </w:div>
    <w:div w:id="78865331">
      <w:bodyDiv w:val="1"/>
      <w:marLeft w:val="0"/>
      <w:marRight w:val="0"/>
      <w:marTop w:val="0"/>
      <w:marBottom w:val="0"/>
      <w:divBdr>
        <w:top w:val="none" w:sz="0" w:space="0" w:color="auto"/>
        <w:left w:val="none" w:sz="0" w:space="0" w:color="auto"/>
        <w:bottom w:val="none" w:sz="0" w:space="0" w:color="auto"/>
        <w:right w:val="none" w:sz="0" w:space="0" w:color="auto"/>
      </w:divBdr>
    </w:div>
    <w:div w:id="79110491">
      <w:bodyDiv w:val="1"/>
      <w:marLeft w:val="0"/>
      <w:marRight w:val="0"/>
      <w:marTop w:val="0"/>
      <w:marBottom w:val="0"/>
      <w:divBdr>
        <w:top w:val="none" w:sz="0" w:space="0" w:color="auto"/>
        <w:left w:val="none" w:sz="0" w:space="0" w:color="auto"/>
        <w:bottom w:val="none" w:sz="0" w:space="0" w:color="auto"/>
        <w:right w:val="none" w:sz="0" w:space="0" w:color="auto"/>
      </w:divBdr>
    </w:div>
    <w:div w:id="79377916">
      <w:bodyDiv w:val="1"/>
      <w:marLeft w:val="0"/>
      <w:marRight w:val="0"/>
      <w:marTop w:val="0"/>
      <w:marBottom w:val="0"/>
      <w:divBdr>
        <w:top w:val="none" w:sz="0" w:space="0" w:color="auto"/>
        <w:left w:val="none" w:sz="0" w:space="0" w:color="auto"/>
        <w:bottom w:val="none" w:sz="0" w:space="0" w:color="auto"/>
        <w:right w:val="none" w:sz="0" w:space="0" w:color="auto"/>
      </w:divBdr>
    </w:div>
    <w:div w:id="79639112">
      <w:bodyDiv w:val="1"/>
      <w:marLeft w:val="0"/>
      <w:marRight w:val="0"/>
      <w:marTop w:val="0"/>
      <w:marBottom w:val="0"/>
      <w:divBdr>
        <w:top w:val="none" w:sz="0" w:space="0" w:color="auto"/>
        <w:left w:val="none" w:sz="0" w:space="0" w:color="auto"/>
        <w:bottom w:val="none" w:sz="0" w:space="0" w:color="auto"/>
        <w:right w:val="none" w:sz="0" w:space="0" w:color="auto"/>
      </w:divBdr>
    </w:div>
    <w:div w:id="79836351">
      <w:bodyDiv w:val="1"/>
      <w:marLeft w:val="0"/>
      <w:marRight w:val="0"/>
      <w:marTop w:val="0"/>
      <w:marBottom w:val="0"/>
      <w:divBdr>
        <w:top w:val="none" w:sz="0" w:space="0" w:color="auto"/>
        <w:left w:val="none" w:sz="0" w:space="0" w:color="auto"/>
        <w:bottom w:val="none" w:sz="0" w:space="0" w:color="auto"/>
        <w:right w:val="none" w:sz="0" w:space="0" w:color="auto"/>
      </w:divBdr>
    </w:div>
    <w:div w:id="80221542">
      <w:bodyDiv w:val="1"/>
      <w:marLeft w:val="0"/>
      <w:marRight w:val="0"/>
      <w:marTop w:val="0"/>
      <w:marBottom w:val="0"/>
      <w:divBdr>
        <w:top w:val="none" w:sz="0" w:space="0" w:color="auto"/>
        <w:left w:val="none" w:sz="0" w:space="0" w:color="auto"/>
        <w:bottom w:val="none" w:sz="0" w:space="0" w:color="auto"/>
        <w:right w:val="none" w:sz="0" w:space="0" w:color="auto"/>
      </w:divBdr>
    </w:div>
    <w:div w:id="80371685">
      <w:bodyDiv w:val="1"/>
      <w:marLeft w:val="0"/>
      <w:marRight w:val="0"/>
      <w:marTop w:val="0"/>
      <w:marBottom w:val="0"/>
      <w:divBdr>
        <w:top w:val="none" w:sz="0" w:space="0" w:color="auto"/>
        <w:left w:val="none" w:sz="0" w:space="0" w:color="auto"/>
        <w:bottom w:val="none" w:sz="0" w:space="0" w:color="auto"/>
        <w:right w:val="none" w:sz="0" w:space="0" w:color="auto"/>
      </w:divBdr>
    </w:div>
    <w:div w:id="80374162">
      <w:bodyDiv w:val="1"/>
      <w:marLeft w:val="0"/>
      <w:marRight w:val="0"/>
      <w:marTop w:val="0"/>
      <w:marBottom w:val="0"/>
      <w:divBdr>
        <w:top w:val="none" w:sz="0" w:space="0" w:color="auto"/>
        <w:left w:val="none" w:sz="0" w:space="0" w:color="auto"/>
        <w:bottom w:val="none" w:sz="0" w:space="0" w:color="auto"/>
        <w:right w:val="none" w:sz="0" w:space="0" w:color="auto"/>
      </w:divBdr>
    </w:div>
    <w:div w:id="81534832">
      <w:bodyDiv w:val="1"/>
      <w:marLeft w:val="0"/>
      <w:marRight w:val="0"/>
      <w:marTop w:val="0"/>
      <w:marBottom w:val="0"/>
      <w:divBdr>
        <w:top w:val="none" w:sz="0" w:space="0" w:color="auto"/>
        <w:left w:val="none" w:sz="0" w:space="0" w:color="auto"/>
        <w:bottom w:val="none" w:sz="0" w:space="0" w:color="auto"/>
        <w:right w:val="none" w:sz="0" w:space="0" w:color="auto"/>
      </w:divBdr>
    </w:div>
    <w:div w:id="81537771">
      <w:bodyDiv w:val="1"/>
      <w:marLeft w:val="0"/>
      <w:marRight w:val="0"/>
      <w:marTop w:val="0"/>
      <w:marBottom w:val="0"/>
      <w:divBdr>
        <w:top w:val="none" w:sz="0" w:space="0" w:color="auto"/>
        <w:left w:val="none" w:sz="0" w:space="0" w:color="auto"/>
        <w:bottom w:val="none" w:sz="0" w:space="0" w:color="auto"/>
        <w:right w:val="none" w:sz="0" w:space="0" w:color="auto"/>
      </w:divBdr>
    </w:div>
    <w:div w:id="82117552">
      <w:bodyDiv w:val="1"/>
      <w:marLeft w:val="0"/>
      <w:marRight w:val="0"/>
      <w:marTop w:val="0"/>
      <w:marBottom w:val="0"/>
      <w:divBdr>
        <w:top w:val="none" w:sz="0" w:space="0" w:color="auto"/>
        <w:left w:val="none" w:sz="0" w:space="0" w:color="auto"/>
        <w:bottom w:val="none" w:sz="0" w:space="0" w:color="auto"/>
        <w:right w:val="none" w:sz="0" w:space="0" w:color="auto"/>
      </w:divBdr>
    </w:div>
    <w:div w:id="83261606">
      <w:bodyDiv w:val="1"/>
      <w:marLeft w:val="0"/>
      <w:marRight w:val="0"/>
      <w:marTop w:val="0"/>
      <w:marBottom w:val="0"/>
      <w:divBdr>
        <w:top w:val="none" w:sz="0" w:space="0" w:color="auto"/>
        <w:left w:val="none" w:sz="0" w:space="0" w:color="auto"/>
        <w:bottom w:val="none" w:sz="0" w:space="0" w:color="auto"/>
        <w:right w:val="none" w:sz="0" w:space="0" w:color="auto"/>
      </w:divBdr>
    </w:div>
    <w:div w:id="83839707">
      <w:bodyDiv w:val="1"/>
      <w:marLeft w:val="0"/>
      <w:marRight w:val="0"/>
      <w:marTop w:val="0"/>
      <w:marBottom w:val="0"/>
      <w:divBdr>
        <w:top w:val="none" w:sz="0" w:space="0" w:color="auto"/>
        <w:left w:val="none" w:sz="0" w:space="0" w:color="auto"/>
        <w:bottom w:val="none" w:sz="0" w:space="0" w:color="auto"/>
        <w:right w:val="none" w:sz="0" w:space="0" w:color="auto"/>
      </w:divBdr>
    </w:div>
    <w:div w:id="83845939">
      <w:bodyDiv w:val="1"/>
      <w:marLeft w:val="0"/>
      <w:marRight w:val="0"/>
      <w:marTop w:val="0"/>
      <w:marBottom w:val="0"/>
      <w:divBdr>
        <w:top w:val="none" w:sz="0" w:space="0" w:color="auto"/>
        <w:left w:val="none" w:sz="0" w:space="0" w:color="auto"/>
        <w:bottom w:val="none" w:sz="0" w:space="0" w:color="auto"/>
        <w:right w:val="none" w:sz="0" w:space="0" w:color="auto"/>
      </w:divBdr>
    </w:div>
    <w:div w:id="83964591">
      <w:bodyDiv w:val="1"/>
      <w:marLeft w:val="0"/>
      <w:marRight w:val="0"/>
      <w:marTop w:val="0"/>
      <w:marBottom w:val="0"/>
      <w:divBdr>
        <w:top w:val="none" w:sz="0" w:space="0" w:color="auto"/>
        <w:left w:val="none" w:sz="0" w:space="0" w:color="auto"/>
        <w:bottom w:val="none" w:sz="0" w:space="0" w:color="auto"/>
        <w:right w:val="none" w:sz="0" w:space="0" w:color="auto"/>
      </w:divBdr>
    </w:div>
    <w:div w:id="84305452">
      <w:bodyDiv w:val="1"/>
      <w:marLeft w:val="0"/>
      <w:marRight w:val="0"/>
      <w:marTop w:val="0"/>
      <w:marBottom w:val="0"/>
      <w:divBdr>
        <w:top w:val="none" w:sz="0" w:space="0" w:color="auto"/>
        <w:left w:val="none" w:sz="0" w:space="0" w:color="auto"/>
        <w:bottom w:val="none" w:sz="0" w:space="0" w:color="auto"/>
        <w:right w:val="none" w:sz="0" w:space="0" w:color="auto"/>
      </w:divBdr>
    </w:div>
    <w:div w:id="84498631">
      <w:bodyDiv w:val="1"/>
      <w:marLeft w:val="0"/>
      <w:marRight w:val="0"/>
      <w:marTop w:val="0"/>
      <w:marBottom w:val="0"/>
      <w:divBdr>
        <w:top w:val="none" w:sz="0" w:space="0" w:color="auto"/>
        <w:left w:val="none" w:sz="0" w:space="0" w:color="auto"/>
        <w:bottom w:val="none" w:sz="0" w:space="0" w:color="auto"/>
        <w:right w:val="none" w:sz="0" w:space="0" w:color="auto"/>
      </w:divBdr>
    </w:div>
    <w:div w:id="84884309">
      <w:bodyDiv w:val="1"/>
      <w:marLeft w:val="0"/>
      <w:marRight w:val="0"/>
      <w:marTop w:val="0"/>
      <w:marBottom w:val="0"/>
      <w:divBdr>
        <w:top w:val="none" w:sz="0" w:space="0" w:color="auto"/>
        <w:left w:val="none" w:sz="0" w:space="0" w:color="auto"/>
        <w:bottom w:val="none" w:sz="0" w:space="0" w:color="auto"/>
        <w:right w:val="none" w:sz="0" w:space="0" w:color="auto"/>
      </w:divBdr>
    </w:div>
    <w:div w:id="84885395">
      <w:bodyDiv w:val="1"/>
      <w:marLeft w:val="0"/>
      <w:marRight w:val="0"/>
      <w:marTop w:val="0"/>
      <w:marBottom w:val="0"/>
      <w:divBdr>
        <w:top w:val="none" w:sz="0" w:space="0" w:color="auto"/>
        <w:left w:val="none" w:sz="0" w:space="0" w:color="auto"/>
        <w:bottom w:val="none" w:sz="0" w:space="0" w:color="auto"/>
        <w:right w:val="none" w:sz="0" w:space="0" w:color="auto"/>
      </w:divBdr>
    </w:div>
    <w:div w:id="85083285">
      <w:bodyDiv w:val="1"/>
      <w:marLeft w:val="0"/>
      <w:marRight w:val="0"/>
      <w:marTop w:val="0"/>
      <w:marBottom w:val="0"/>
      <w:divBdr>
        <w:top w:val="none" w:sz="0" w:space="0" w:color="auto"/>
        <w:left w:val="none" w:sz="0" w:space="0" w:color="auto"/>
        <w:bottom w:val="none" w:sz="0" w:space="0" w:color="auto"/>
        <w:right w:val="none" w:sz="0" w:space="0" w:color="auto"/>
      </w:divBdr>
    </w:div>
    <w:div w:id="85199702">
      <w:bodyDiv w:val="1"/>
      <w:marLeft w:val="0"/>
      <w:marRight w:val="0"/>
      <w:marTop w:val="0"/>
      <w:marBottom w:val="0"/>
      <w:divBdr>
        <w:top w:val="none" w:sz="0" w:space="0" w:color="auto"/>
        <w:left w:val="none" w:sz="0" w:space="0" w:color="auto"/>
        <w:bottom w:val="none" w:sz="0" w:space="0" w:color="auto"/>
        <w:right w:val="none" w:sz="0" w:space="0" w:color="auto"/>
      </w:divBdr>
    </w:div>
    <w:div w:id="85273732">
      <w:bodyDiv w:val="1"/>
      <w:marLeft w:val="0"/>
      <w:marRight w:val="0"/>
      <w:marTop w:val="0"/>
      <w:marBottom w:val="0"/>
      <w:divBdr>
        <w:top w:val="none" w:sz="0" w:space="0" w:color="auto"/>
        <w:left w:val="none" w:sz="0" w:space="0" w:color="auto"/>
        <w:bottom w:val="none" w:sz="0" w:space="0" w:color="auto"/>
        <w:right w:val="none" w:sz="0" w:space="0" w:color="auto"/>
      </w:divBdr>
    </w:div>
    <w:div w:id="85736995">
      <w:bodyDiv w:val="1"/>
      <w:marLeft w:val="0"/>
      <w:marRight w:val="0"/>
      <w:marTop w:val="0"/>
      <w:marBottom w:val="0"/>
      <w:divBdr>
        <w:top w:val="none" w:sz="0" w:space="0" w:color="auto"/>
        <w:left w:val="none" w:sz="0" w:space="0" w:color="auto"/>
        <w:bottom w:val="none" w:sz="0" w:space="0" w:color="auto"/>
        <w:right w:val="none" w:sz="0" w:space="0" w:color="auto"/>
      </w:divBdr>
    </w:div>
    <w:div w:id="86387604">
      <w:bodyDiv w:val="1"/>
      <w:marLeft w:val="0"/>
      <w:marRight w:val="0"/>
      <w:marTop w:val="0"/>
      <w:marBottom w:val="0"/>
      <w:divBdr>
        <w:top w:val="none" w:sz="0" w:space="0" w:color="auto"/>
        <w:left w:val="none" w:sz="0" w:space="0" w:color="auto"/>
        <w:bottom w:val="none" w:sz="0" w:space="0" w:color="auto"/>
        <w:right w:val="none" w:sz="0" w:space="0" w:color="auto"/>
      </w:divBdr>
    </w:div>
    <w:div w:id="86465910">
      <w:bodyDiv w:val="1"/>
      <w:marLeft w:val="0"/>
      <w:marRight w:val="0"/>
      <w:marTop w:val="0"/>
      <w:marBottom w:val="0"/>
      <w:divBdr>
        <w:top w:val="none" w:sz="0" w:space="0" w:color="auto"/>
        <w:left w:val="none" w:sz="0" w:space="0" w:color="auto"/>
        <w:bottom w:val="none" w:sz="0" w:space="0" w:color="auto"/>
        <w:right w:val="none" w:sz="0" w:space="0" w:color="auto"/>
      </w:divBdr>
    </w:div>
    <w:div w:id="86729558">
      <w:bodyDiv w:val="1"/>
      <w:marLeft w:val="0"/>
      <w:marRight w:val="0"/>
      <w:marTop w:val="0"/>
      <w:marBottom w:val="0"/>
      <w:divBdr>
        <w:top w:val="none" w:sz="0" w:space="0" w:color="auto"/>
        <w:left w:val="none" w:sz="0" w:space="0" w:color="auto"/>
        <w:bottom w:val="none" w:sz="0" w:space="0" w:color="auto"/>
        <w:right w:val="none" w:sz="0" w:space="0" w:color="auto"/>
      </w:divBdr>
    </w:div>
    <w:div w:id="86849306">
      <w:bodyDiv w:val="1"/>
      <w:marLeft w:val="0"/>
      <w:marRight w:val="0"/>
      <w:marTop w:val="0"/>
      <w:marBottom w:val="0"/>
      <w:divBdr>
        <w:top w:val="none" w:sz="0" w:space="0" w:color="auto"/>
        <w:left w:val="none" w:sz="0" w:space="0" w:color="auto"/>
        <w:bottom w:val="none" w:sz="0" w:space="0" w:color="auto"/>
        <w:right w:val="none" w:sz="0" w:space="0" w:color="auto"/>
      </w:divBdr>
    </w:div>
    <w:div w:id="87582543">
      <w:bodyDiv w:val="1"/>
      <w:marLeft w:val="0"/>
      <w:marRight w:val="0"/>
      <w:marTop w:val="0"/>
      <w:marBottom w:val="0"/>
      <w:divBdr>
        <w:top w:val="none" w:sz="0" w:space="0" w:color="auto"/>
        <w:left w:val="none" w:sz="0" w:space="0" w:color="auto"/>
        <w:bottom w:val="none" w:sz="0" w:space="0" w:color="auto"/>
        <w:right w:val="none" w:sz="0" w:space="0" w:color="auto"/>
      </w:divBdr>
    </w:div>
    <w:div w:id="87627724">
      <w:bodyDiv w:val="1"/>
      <w:marLeft w:val="0"/>
      <w:marRight w:val="0"/>
      <w:marTop w:val="0"/>
      <w:marBottom w:val="0"/>
      <w:divBdr>
        <w:top w:val="none" w:sz="0" w:space="0" w:color="auto"/>
        <w:left w:val="none" w:sz="0" w:space="0" w:color="auto"/>
        <w:bottom w:val="none" w:sz="0" w:space="0" w:color="auto"/>
        <w:right w:val="none" w:sz="0" w:space="0" w:color="auto"/>
      </w:divBdr>
    </w:div>
    <w:div w:id="87702213">
      <w:bodyDiv w:val="1"/>
      <w:marLeft w:val="0"/>
      <w:marRight w:val="0"/>
      <w:marTop w:val="0"/>
      <w:marBottom w:val="0"/>
      <w:divBdr>
        <w:top w:val="none" w:sz="0" w:space="0" w:color="auto"/>
        <w:left w:val="none" w:sz="0" w:space="0" w:color="auto"/>
        <w:bottom w:val="none" w:sz="0" w:space="0" w:color="auto"/>
        <w:right w:val="none" w:sz="0" w:space="0" w:color="auto"/>
      </w:divBdr>
    </w:div>
    <w:div w:id="87849540">
      <w:bodyDiv w:val="1"/>
      <w:marLeft w:val="0"/>
      <w:marRight w:val="0"/>
      <w:marTop w:val="0"/>
      <w:marBottom w:val="0"/>
      <w:divBdr>
        <w:top w:val="none" w:sz="0" w:space="0" w:color="auto"/>
        <w:left w:val="none" w:sz="0" w:space="0" w:color="auto"/>
        <w:bottom w:val="none" w:sz="0" w:space="0" w:color="auto"/>
        <w:right w:val="none" w:sz="0" w:space="0" w:color="auto"/>
      </w:divBdr>
    </w:div>
    <w:div w:id="87970783">
      <w:bodyDiv w:val="1"/>
      <w:marLeft w:val="0"/>
      <w:marRight w:val="0"/>
      <w:marTop w:val="0"/>
      <w:marBottom w:val="0"/>
      <w:divBdr>
        <w:top w:val="none" w:sz="0" w:space="0" w:color="auto"/>
        <w:left w:val="none" w:sz="0" w:space="0" w:color="auto"/>
        <w:bottom w:val="none" w:sz="0" w:space="0" w:color="auto"/>
        <w:right w:val="none" w:sz="0" w:space="0" w:color="auto"/>
      </w:divBdr>
    </w:div>
    <w:div w:id="88283696">
      <w:bodyDiv w:val="1"/>
      <w:marLeft w:val="0"/>
      <w:marRight w:val="0"/>
      <w:marTop w:val="0"/>
      <w:marBottom w:val="0"/>
      <w:divBdr>
        <w:top w:val="none" w:sz="0" w:space="0" w:color="auto"/>
        <w:left w:val="none" w:sz="0" w:space="0" w:color="auto"/>
        <w:bottom w:val="none" w:sz="0" w:space="0" w:color="auto"/>
        <w:right w:val="none" w:sz="0" w:space="0" w:color="auto"/>
      </w:divBdr>
    </w:div>
    <w:div w:id="88473817">
      <w:bodyDiv w:val="1"/>
      <w:marLeft w:val="0"/>
      <w:marRight w:val="0"/>
      <w:marTop w:val="0"/>
      <w:marBottom w:val="0"/>
      <w:divBdr>
        <w:top w:val="none" w:sz="0" w:space="0" w:color="auto"/>
        <w:left w:val="none" w:sz="0" w:space="0" w:color="auto"/>
        <w:bottom w:val="none" w:sz="0" w:space="0" w:color="auto"/>
        <w:right w:val="none" w:sz="0" w:space="0" w:color="auto"/>
      </w:divBdr>
    </w:div>
    <w:div w:id="88936465">
      <w:bodyDiv w:val="1"/>
      <w:marLeft w:val="0"/>
      <w:marRight w:val="0"/>
      <w:marTop w:val="0"/>
      <w:marBottom w:val="0"/>
      <w:divBdr>
        <w:top w:val="none" w:sz="0" w:space="0" w:color="auto"/>
        <w:left w:val="none" w:sz="0" w:space="0" w:color="auto"/>
        <w:bottom w:val="none" w:sz="0" w:space="0" w:color="auto"/>
        <w:right w:val="none" w:sz="0" w:space="0" w:color="auto"/>
      </w:divBdr>
    </w:div>
    <w:div w:id="89590721">
      <w:bodyDiv w:val="1"/>
      <w:marLeft w:val="0"/>
      <w:marRight w:val="0"/>
      <w:marTop w:val="0"/>
      <w:marBottom w:val="0"/>
      <w:divBdr>
        <w:top w:val="none" w:sz="0" w:space="0" w:color="auto"/>
        <w:left w:val="none" w:sz="0" w:space="0" w:color="auto"/>
        <w:bottom w:val="none" w:sz="0" w:space="0" w:color="auto"/>
        <w:right w:val="none" w:sz="0" w:space="0" w:color="auto"/>
      </w:divBdr>
    </w:div>
    <w:div w:id="89668936">
      <w:bodyDiv w:val="1"/>
      <w:marLeft w:val="0"/>
      <w:marRight w:val="0"/>
      <w:marTop w:val="0"/>
      <w:marBottom w:val="0"/>
      <w:divBdr>
        <w:top w:val="none" w:sz="0" w:space="0" w:color="auto"/>
        <w:left w:val="none" w:sz="0" w:space="0" w:color="auto"/>
        <w:bottom w:val="none" w:sz="0" w:space="0" w:color="auto"/>
        <w:right w:val="none" w:sz="0" w:space="0" w:color="auto"/>
      </w:divBdr>
    </w:div>
    <w:div w:id="89737114">
      <w:bodyDiv w:val="1"/>
      <w:marLeft w:val="0"/>
      <w:marRight w:val="0"/>
      <w:marTop w:val="0"/>
      <w:marBottom w:val="0"/>
      <w:divBdr>
        <w:top w:val="none" w:sz="0" w:space="0" w:color="auto"/>
        <w:left w:val="none" w:sz="0" w:space="0" w:color="auto"/>
        <w:bottom w:val="none" w:sz="0" w:space="0" w:color="auto"/>
        <w:right w:val="none" w:sz="0" w:space="0" w:color="auto"/>
      </w:divBdr>
    </w:div>
    <w:div w:id="89816654">
      <w:bodyDiv w:val="1"/>
      <w:marLeft w:val="0"/>
      <w:marRight w:val="0"/>
      <w:marTop w:val="0"/>
      <w:marBottom w:val="0"/>
      <w:divBdr>
        <w:top w:val="none" w:sz="0" w:space="0" w:color="auto"/>
        <w:left w:val="none" w:sz="0" w:space="0" w:color="auto"/>
        <w:bottom w:val="none" w:sz="0" w:space="0" w:color="auto"/>
        <w:right w:val="none" w:sz="0" w:space="0" w:color="auto"/>
      </w:divBdr>
    </w:div>
    <w:div w:id="89862454">
      <w:bodyDiv w:val="1"/>
      <w:marLeft w:val="0"/>
      <w:marRight w:val="0"/>
      <w:marTop w:val="0"/>
      <w:marBottom w:val="0"/>
      <w:divBdr>
        <w:top w:val="none" w:sz="0" w:space="0" w:color="auto"/>
        <w:left w:val="none" w:sz="0" w:space="0" w:color="auto"/>
        <w:bottom w:val="none" w:sz="0" w:space="0" w:color="auto"/>
        <w:right w:val="none" w:sz="0" w:space="0" w:color="auto"/>
      </w:divBdr>
    </w:div>
    <w:div w:id="90198247">
      <w:bodyDiv w:val="1"/>
      <w:marLeft w:val="0"/>
      <w:marRight w:val="0"/>
      <w:marTop w:val="0"/>
      <w:marBottom w:val="0"/>
      <w:divBdr>
        <w:top w:val="none" w:sz="0" w:space="0" w:color="auto"/>
        <w:left w:val="none" w:sz="0" w:space="0" w:color="auto"/>
        <w:bottom w:val="none" w:sz="0" w:space="0" w:color="auto"/>
        <w:right w:val="none" w:sz="0" w:space="0" w:color="auto"/>
      </w:divBdr>
    </w:div>
    <w:div w:id="90667076">
      <w:bodyDiv w:val="1"/>
      <w:marLeft w:val="0"/>
      <w:marRight w:val="0"/>
      <w:marTop w:val="0"/>
      <w:marBottom w:val="0"/>
      <w:divBdr>
        <w:top w:val="none" w:sz="0" w:space="0" w:color="auto"/>
        <w:left w:val="none" w:sz="0" w:space="0" w:color="auto"/>
        <w:bottom w:val="none" w:sz="0" w:space="0" w:color="auto"/>
        <w:right w:val="none" w:sz="0" w:space="0" w:color="auto"/>
      </w:divBdr>
    </w:div>
    <w:div w:id="90783628">
      <w:bodyDiv w:val="1"/>
      <w:marLeft w:val="0"/>
      <w:marRight w:val="0"/>
      <w:marTop w:val="0"/>
      <w:marBottom w:val="0"/>
      <w:divBdr>
        <w:top w:val="none" w:sz="0" w:space="0" w:color="auto"/>
        <w:left w:val="none" w:sz="0" w:space="0" w:color="auto"/>
        <w:bottom w:val="none" w:sz="0" w:space="0" w:color="auto"/>
        <w:right w:val="none" w:sz="0" w:space="0" w:color="auto"/>
      </w:divBdr>
    </w:div>
    <w:div w:id="91438744">
      <w:bodyDiv w:val="1"/>
      <w:marLeft w:val="0"/>
      <w:marRight w:val="0"/>
      <w:marTop w:val="0"/>
      <w:marBottom w:val="0"/>
      <w:divBdr>
        <w:top w:val="none" w:sz="0" w:space="0" w:color="auto"/>
        <w:left w:val="none" w:sz="0" w:space="0" w:color="auto"/>
        <w:bottom w:val="none" w:sz="0" w:space="0" w:color="auto"/>
        <w:right w:val="none" w:sz="0" w:space="0" w:color="auto"/>
      </w:divBdr>
    </w:div>
    <w:div w:id="92018804">
      <w:bodyDiv w:val="1"/>
      <w:marLeft w:val="0"/>
      <w:marRight w:val="0"/>
      <w:marTop w:val="0"/>
      <w:marBottom w:val="0"/>
      <w:divBdr>
        <w:top w:val="none" w:sz="0" w:space="0" w:color="auto"/>
        <w:left w:val="none" w:sz="0" w:space="0" w:color="auto"/>
        <w:bottom w:val="none" w:sz="0" w:space="0" w:color="auto"/>
        <w:right w:val="none" w:sz="0" w:space="0" w:color="auto"/>
      </w:divBdr>
    </w:div>
    <w:div w:id="92165492">
      <w:bodyDiv w:val="1"/>
      <w:marLeft w:val="0"/>
      <w:marRight w:val="0"/>
      <w:marTop w:val="0"/>
      <w:marBottom w:val="0"/>
      <w:divBdr>
        <w:top w:val="none" w:sz="0" w:space="0" w:color="auto"/>
        <w:left w:val="none" w:sz="0" w:space="0" w:color="auto"/>
        <w:bottom w:val="none" w:sz="0" w:space="0" w:color="auto"/>
        <w:right w:val="none" w:sz="0" w:space="0" w:color="auto"/>
      </w:divBdr>
    </w:div>
    <w:div w:id="92366673">
      <w:bodyDiv w:val="1"/>
      <w:marLeft w:val="0"/>
      <w:marRight w:val="0"/>
      <w:marTop w:val="0"/>
      <w:marBottom w:val="0"/>
      <w:divBdr>
        <w:top w:val="none" w:sz="0" w:space="0" w:color="auto"/>
        <w:left w:val="none" w:sz="0" w:space="0" w:color="auto"/>
        <w:bottom w:val="none" w:sz="0" w:space="0" w:color="auto"/>
        <w:right w:val="none" w:sz="0" w:space="0" w:color="auto"/>
      </w:divBdr>
    </w:div>
    <w:div w:id="92629396">
      <w:bodyDiv w:val="1"/>
      <w:marLeft w:val="0"/>
      <w:marRight w:val="0"/>
      <w:marTop w:val="0"/>
      <w:marBottom w:val="0"/>
      <w:divBdr>
        <w:top w:val="none" w:sz="0" w:space="0" w:color="auto"/>
        <w:left w:val="none" w:sz="0" w:space="0" w:color="auto"/>
        <w:bottom w:val="none" w:sz="0" w:space="0" w:color="auto"/>
        <w:right w:val="none" w:sz="0" w:space="0" w:color="auto"/>
      </w:divBdr>
    </w:div>
    <w:div w:id="93012669">
      <w:bodyDiv w:val="1"/>
      <w:marLeft w:val="0"/>
      <w:marRight w:val="0"/>
      <w:marTop w:val="0"/>
      <w:marBottom w:val="0"/>
      <w:divBdr>
        <w:top w:val="none" w:sz="0" w:space="0" w:color="auto"/>
        <w:left w:val="none" w:sz="0" w:space="0" w:color="auto"/>
        <w:bottom w:val="none" w:sz="0" w:space="0" w:color="auto"/>
        <w:right w:val="none" w:sz="0" w:space="0" w:color="auto"/>
      </w:divBdr>
    </w:div>
    <w:div w:id="93018038">
      <w:bodyDiv w:val="1"/>
      <w:marLeft w:val="0"/>
      <w:marRight w:val="0"/>
      <w:marTop w:val="0"/>
      <w:marBottom w:val="0"/>
      <w:divBdr>
        <w:top w:val="none" w:sz="0" w:space="0" w:color="auto"/>
        <w:left w:val="none" w:sz="0" w:space="0" w:color="auto"/>
        <w:bottom w:val="none" w:sz="0" w:space="0" w:color="auto"/>
        <w:right w:val="none" w:sz="0" w:space="0" w:color="auto"/>
      </w:divBdr>
    </w:div>
    <w:div w:id="94137805">
      <w:bodyDiv w:val="1"/>
      <w:marLeft w:val="0"/>
      <w:marRight w:val="0"/>
      <w:marTop w:val="0"/>
      <w:marBottom w:val="0"/>
      <w:divBdr>
        <w:top w:val="none" w:sz="0" w:space="0" w:color="auto"/>
        <w:left w:val="none" w:sz="0" w:space="0" w:color="auto"/>
        <w:bottom w:val="none" w:sz="0" w:space="0" w:color="auto"/>
        <w:right w:val="none" w:sz="0" w:space="0" w:color="auto"/>
      </w:divBdr>
    </w:div>
    <w:div w:id="94521323">
      <w:bodyDiv w:val="1"/>
      <w:marLeft w:val="0"/>
      <w:marRight w:val="0"/>
      <w:marTop w:val="0"/>
      <w:marBottom w:val="0"/>
      <w:divBdr>
        <w:top w:val="none" w:sz="0" w:space="0" w:color="auto"/>
        <w:left w:val="none" w:sz="0" w:space="0" w:color="auto"/>
        <w:bottom w:val="none" w:sz="0" w:space="0" w:color="auto"/>
        <w:right w:val="none" w:sz="0" w:space="0" w:color="auto"/>
      </w:divBdr>
    </w:div>
    <w:div w:id="94710836">
      <w:bodyDiv w:val="1"/>
      <w:marLeft w:val="0"/>
      <w:marRight w:val="0"/>
      <w:marTop w:val="0"/>
      <w:marBottom w:val="0"/>
      <w:divBdr>
        <w:top w:val="none" w:sz="0" w:space="0" w:color="auto"/>
        <w:left w:val="none" w:sz="0" w:space="0" w:color="auto"/>
        <w:bottom w:val="none" w:sz="0" w:space="0" w:color="auto"/>
        <w:right w:val="none" w:sz="0" w:space="0" w:color="auto"/>
      </w:divBdr>
    </w:div>
    <w:div w:id="95369703">
      <w:bodyDiv w:val="1"/>
      <w:marLeft w:val="0"/>
      <w:marRight w:val="0"/>
      <w:marTop w:val="0"/>
      <w:marBottom w:val="0"/>
      <w:divBdr>
        <w:top w:val="none" w:sz="0" w:space="0" w:color="auto"/>
        <w:left w:val="none" w:sz="0" w:space="0" w:color="auto"/>
        <w:bottom w:val="none" w:sz="0" w:space="0" w:color="auto"/>
        <w:right w:val="none" w:sz="0" w:space="0" w:color="auto"/>
      </w:divBdr>
    </w:div>
    <w:div w:id="95560035">
      <w:bodyDiv w:val="1"/>
      <w:marLeft w:val="0"/>
      <w:marRight w:val="0"/>
      <w:marTop w:val="0"/>
      <w:marBottom w:val="0"/>
      <w:divBdr>
        <w:top w:val="none" w:sz="0" w:space="0" w:color="auto"/>
        <w:left w:val="none" w:sz="0" w:space="0" w:color="auto"/>
        <w:bottom w:val="none" w:sz="0" w:space="0" w:color="auto"/>
        <w:right w:val="none" w:sz="0" w:space="0" w:color="auto"/>
      </w:divBdr>
    </w:div>
    <w:div w:id="95566077">
      <w:bodyDiv w:val="1"/>
      <w:marLeft w:val="0"/>
      <w:marRight w:val="0"/>
      <w:marTop w:val="0"/>
      <w:marBottom w:val="0"/>
      <w:divBdr>
        <w:top w:val="none" w:sz="0" w:space="0" w:color="auto"/>
        <w:left w:val="none" w:sz="0" w:space="0" w:color="auto"/>
        <w:bottom w:val="none" w:sz="0" w:space="0" w:color="auto"/>
        <w:right w:val="none" w:sz="0" w:space="0" w:color="auto"/>
      </w:divBdr>
    </w:div>
    <w:div w:id="95713716">
      <w:bodyDiv w:val="1"/>
      <w:marLeft w:val="0"/>
      <w:marRight w:val="0"/>
      <w:marTop w:val="0"/>
      <w:marBottom w:val="0"/>
      <w:divBdr>
        <w:top w:val="none" w:sz="0" w:space="0" w:color="auto"/>
        <w:left w:val="none" w:sz="0" w:space="0" w:color="auto"/>
        <w:bottom w:val="none" w:sz="0" w:space="0" w:color="auto"/>
        <w:right w:val="none" w:sz="0" w:space="0" w:color="auto"/>
      </w:divBdr>
    </w:div>
    <w:div w:id="95714471">
      <w:bodyDiv w:val="1"/>
      <w:marLeft w:val="0"/>
      <w:marRight w:val="0"/>
      <w:marTop w:val="0"/>
      <w:marBottom w:val="0"/>
      <w:divBdr>
        <w:top w:val="none" w:sz="0" w:space="0" w:color="auto"/>
        <w:left w:val="none" w:sz="0" w:space="0" w:color="auto"/>
        <w:bottom w:val="none" w:sz="0" w:space="0" w:color="auto"/>
        <w:right w:val="none" w:sz="0" w:space="0" w:color="auto"/>
      </w:divBdr>
    </w:div>
    <w:div w:id="95828865">
      <w:bodyDiv w:val="1"/>
      <w:marLeft w:val="0"/>
      <w:marRight w:val="0"/>
      <w:marTop w:val="0"/>
      <w:marBottom w:val="0"/>
      <w:divBdr>
        <w:top w:val="none" w:sz="0" w:space="0" w:color="auto"/>
        <w:left w:val="none" w:sz="0" w:space="0" w:color="auto"/>
        <w:bottom w:val="none" w:sz="0" w:space="0" w:color="auto"/>
        <w:right w:val="none" w:sz="0" w:space="0" w:color="auto"/>
      </w:divBdr>
    </w:div>
    <w:div w:id="95831619">
      <w:bodyDiv w:val="1"/>
      <w:marLeft w:val="0"/>
      <w:marRight w:val="0"/>
      <w:marTop w:val="0"/>
      <w:marBottom w:val="0"/>
      <w:divBdr>
        <w:top w:val="none" w:sz="0" w:space="0" w:color="auto"/>
        <w:left w:val="none" w:sz="0" w:space="0" w:color="auto"/>
        <w:bottom w:val="none" w:sz="0" w:space="0" w:color="auto"/>
        <w:right w:val="none" w:sz="0" w:space="0" w:color="auto"/>
      </w:divBdr>
    </w:div>
    <w:div w:id="96141864">
      <w:bodyDiv w:val="1"/>
      <w:marLeft w:val="0"/>
      <w:marRight w:val="0"/>
      <w:marTop w:val="0"/>
      <w:marBottom w:val="0"/>
      <w:divBdr>
        <w:top w:val="none" w:sz="0" w:space="0" w:color="auto"/>
        <w:left w:val="none" w:sz="0" w:space="0" w:color="auto"/>
        <w:bottom w:val="none" w:sz="0" w:space="0" w:color="auto"/>
        <w:right w:val="none" w:sz="0" w:space="0" w:color="auto"/>
      </w:divBdr>
    </w:div>
    <w:div w:id="96289286">
      <w:bodyDiv w:val="1"/>
      <w:marLeft w:val="0"/>
      <w:marRight w:val="0"/>
      <w:marTop w:val="0"/>
      <w:marBottom w:val="0"/>
      <w:divBdr>
        <w:top w:val="none" w:sz="0" w:space="0" w:color="auto"/>
        <w:left w:val="none" w:sz="0" w:space="0" w:color="auto"/>
        <w:bottom w:val="none" w:sz="0" w:space="0" w:color="auto"/>
        <w:right w:val="none" w:sz="0" w:space="0" w:color="auto"/>
      </w:divBdr>
    </w:div>
    <w:div w:id="96604284">
      <w:bodyDiv w:val="1"/>
      <w:marLeft w:val="0"/>
      <w:marRight w:val="0"/>
      <w:marTop w:val="0"/>
      <w:marBottom w:val="0"/>
      <w:divBdr>
        <w:top w:val="none" w:sz="0" w:space="0" w:color="auto"/>
        <w:left w:val="none" w:sz="0" w:space="0" w:color="auto"/>
        <w:bottom w:val="none" w:sz="0" w:space="0" w:color="auto"/>
        <w:right w:val="none" w:sz="0" w:space="0" w:color="auto"/>
      </w:divBdr>
    </w:div>
    <w:div w:id="96995249">
      <w:bodyDiv w:val="1"/>
      <w:marLeft w:val="0"/>
      <w:marRight w:val="0"/>
      <w:marTop w:val="0"/>
      <w:marBottom w:val="0"/>
      <w:divBdr>
        <w:top w:val="none" w:sz="0" w:space="0" w:color="auto"/>
        <w:left w:val="none" w:sz="0" w:space="0" w:color="auto"/>
        <w:bottom w:val="none" w:sz="0" w:space="0" w:color="auto"/>
        <w:right w:val="none" w:sz="0" w:space="0" w:color="auto"/>
      </w:divBdr>
    </w:div>
    <w:div w:id="96995575">
      <w:bodyDiv w:val="1"/>
      <w:marLeft w:val="0"/>
      <w:marRight w:val="0"/>
      <w:marTop w:val="0"/>
      <w:marBottom w:val="0"/>
      <w:divBdr>
        <w:top w:val="none" w:sz="0" w:space="0" w:color="auto"/>
        <w:left w:val="none" w:sz="0" w:space="0" w:color="auto"/>
        <w:bottom w:val="none" w:sz="0" w:space="0" w:color="auto"/>
        <w:right w:val="none" w:sz="0" w:space="0" w:color="auto"/>
      </w:divBdr>
    </w:div>
    <w:div w:id="97339171">
      <w:bodyDiv w:val="1"/>
      <w:marLeft w:val="0"/>
      <w:marRight w:val="0"/>
      <w:marTop w:val="0"/>
      <w:marBottom w:val="0"/>
      <w:divBdr>
        <w:top w:val="none" w:sz="0" w:space="0" w:color="auto"/>
        <w:left w:val="none" w:sz="0" w:space="0" w:color="auto"/>
        <w:bottom w:val="none" w:sz="0" w:space="0" w:color="auto"/>
        <w:right w:val="none" w:sz="0" w:space="0" w:color="auto"/>
      </w:divBdr>
    </w:div>
    <w:div w:id="98138408">
      <w:bodyDiv w:val="1"/>
      <w:marLeft w:val="0"/>
      <w:marRight w:val="0"/>
      <w:marTop w:val="0"/>
      <w:marBottom w:val="0"/>
      <w:divBdr>
        <w:top w:val="none" w:sz="0" w:space="0" w:color="auto"/>
        <w:left w:val="none" w:sz="0" w:space="0" w:color="auto"/>
        <w:bottom w:val="none" w:sz="0" w:space="0" w:color="auto"/>
        <w:right w:val="none" w:sz="0" w:space="0" w:color="auto"/>
      </w:divBdr>
    </w:div>
    <w:div w:id="98373750">
      <w:bodyDiv w:val="1"/>
      <w:marLeft w:val="0"/>
      <w:marRight w:val="0"/>
      <w:marTop w:val="0"/>
      <w:marBottom w:val="0"/>
      <w:divBdr>
        <w:top w:val="none" w:sz="0" w:space="0" w:color="auto"/>
        <w:left w:val="none" w:sz="0" w:space="0" w:color="auto"/>
        <w:bottom w:val="none" w:sz="0" w:space="0" w:color="auto"/>
        <w:right w:val="none" w:sz="0" w:space="0" w:color="auto"/>
      </w:divBdr>
    </w:div>
    <w:div w:id="98717092">
      <w:bodyDiv w:val="1"/>
      <w:marLeft w:val="0"/>
      <w:marRight w:val="0"/>
      <w:marTop w:val="0"/>
      <w:marBottom w:val="0"/>
      <w:divBdr>
        <w:top w:val="none" w:sz="0" w:space="0" w:color="auto"/>
        <w:left w:val="none" w:sz="0" w:space="0" w:color="auto"/>
        <w:bottom w:val="none" w:sz="0" w:space="0" w:color="auto"/>
        <w:right w:val="none" w:sz="0" w:space="0" w:color="auto"/>
      </w:divBdr>
    </w:div>
    <w:div w:id="99032753">
      <w:bodyDiv w:val="1"/>
      <w:marLeft w:val="0"/>
      <w:marRight w:val="0"/>
      <w:marTop w:val="0"/>
      <w:marBottom w:val="0"/>
      <w:divBdr>
        <w:top w:val="none" w:sz="0" w:space="0" w:color="auto"/>
        <w:left w:val="none" w:sz="0" w:space="0" w:color="auto"/>
        <w:bottom w:val="none" w:sz="0" w:space="0" w:color="auto"/>
        <w:right w:val="none" w:sz="0" w:space="0" w:color="auto"/>
      </w:divBdr>
    </w:div>
    <w:div w:id="99112782">
      <w:bodyDiv w:val="1"/>
      <w:marLeft w:val="0"/>
      <w:marRight w:val="0"/>
      <w:marTop w:val="0"/>
      <w:marBottom w:val="0"/>
      <w:divBdr>
        <w:top w:val="none" w:sz="0" w:space="0" w:color="auto"/>
        <w:left w:val="none" w:sz="0" w:space="0" w:color="auto"/>
        <w:bottom w:val="none" w:sz="0" w:space="0" w:color="auto"/>
        <w:right w:val="none" w:sz="0" w:space="0" w:color="auto"/>
      </w:divBdr>
    </w:div>
    <w:div w:id="99567546">
      <w:bodyDiv w:val="1"/>
      <w:marLeft w:val="0"/>
      <w:marRight w:val="0"/>
      <w:marTop w:val="0"/>
      <w:marBottom w:val="0"/>
      <w:divBdr>
        <w:top w:val="none" w:sz="0" w:space="0" w:color="auto"/>
        <w:left w:val="none" w:sz="0" w:space="0" w:color="auto"/>
        <w:bottom w:val="none" w:sz="0" w:space="0" w:color="auto"/>
        <w:right w:val="none" w:sz="0" w:space="0" w:color="auto"/>
      </w:divBdr>
    </w:div>
    <w:div w:id="99571150">
      <w:bodyDiv w:val="1"/>
      <w:marLeft w:val="0"/>
      <w:marRight w:val="0"/>
      <w:marTop w:val="0"/>
      <w:marBottom w:val="0"/>
      <w:divBdr>
        <w:top w:val="none" w:sz="0" w:space="0" w:color="auto"/>
        <w:left w:val="none" w:sz="0" w:space="0" w:color="auto"/>
        <w:bottom w:val="none" w:sz="0" w:space="0" w:color="auto"/>
        <w:right w:val="none" w:sz="0" w:space="0" w:color="auto"/>
      </w:divBdr>
    </w:div>
    <w:div w:id="100222199">
      <w:bodyDiv w:val="1"/>
      <w:marLeft w:val="0"/>
      <w:marRight w:val="0"/>
      <w:marTop w:val="0"/>
      <w:marBottom w:val="0"/>
      <w:divBdr>
        <w:top w:val="none" w:sz="0" w:space="0" w:color="auto"/>
        <w:left w:val="none" w:sz="0" w:space="0" w:color="auto"/>
        <w:bottom w:val="none" w:sz="0" w:space="0" w:color="auto"/>
        <w:right w:val="none" w:sz="0" w:space="0" w:color="auto"/>
      </w:divBdr>
    </w:div>
    <w:div w:id="100339104">
      <w:bodyDiv w:val="1"/>
      <w:marLeft w:val="0"/>
      <w:marRight w:val="0"/>
      <w:marTop w:val="0"/>
      <w:marBottom w:val="0"/>
      <w:divBdr>
        <w:top w:val="none" w:sz="0" w:space="0" w:color="auto"/>
        <w:left w:val="none" w:sz="0" w:space="0" w:color="auto"/>
        <w:bottom w:val="none" w:sz="0" w:space="0" w:color="auto"/>
        <w:right w:val="none" w:sz="0" w:space="0" w:color="auto"/>
      </w:divBdr>
    </w:div>
    <w:div w:id="100414173">
      <w:bodyDiv w:val="1"/>
      <w:marLeft w:val="0"/>
      <w:marRight w:val="0"/>
      <w:marTop w:val="0"/>
      <w:marBottom w:val="0"/>
      <w:divBdr>
        <w:top w:val="none" w:sz="0" w:space="0" w:color="auto"/>
        <w:left w:val="none" w:sz="0" w:space="0" w:color="auto"/>
        <w:bottom w:val="none" w:sz="0" w:space="0" w:color="auto"/>
        <w:right w:val="none" w:sz="0" w:space="0" w:color="auto"/>
      </w:divBdr>
    </w:div>
    <w:div w:id="100538858">
      <w:bodyDiv w:val="1"/>
      <w:marLeft w:val="0"/>
      <w:marRight w:val="0"/>
      <w:marTop w:val="0"/>
      <w:marBottom w:val="0"/>
      <w:divBdr>
        <w:top w:val="none" w:sz="0" w:space="0" w:color="auto"/>
        <w:left w:val="none" w:sz="0" w:space="0" w:color="auto"/>
        <w:bottom w:val="none" w:sz="0" w:space="0" w:color="auto"/>
        <w:right w:val="none" w:sz="0" w:space="0" w:color="auto"/>
      </w:divBdr>
    </w:div>
    <w:div w:id="100806559">
      <w:bodyDiv w:val="1"/>
      <w:marLeft w:val="0"/>
      <w:marRight w:val="0"/>
      <w:marTop w:val="0"/>
      <w:marBottom w:val="0"/>
      <w:divBdr>
        <w:top w:val="none" w:sz="0" w:space="0" w:color="auto"/>
        <w:left w:val="none" w:sz="0" w:space="0" w:color="auto"/>
        <w:bottom w:val="none" w:sz="0" w:space="0" w:color="auto"/>
        <w:right w:val="none" w:sz="0" w:space="0" w:color="auto"/>
      </w:divBdr>
    </w:div>
    <w:div w:id="101152816">
      <w:bodyDiv w:val="1"/>
      <w:marLeft w:val="0"/>
      <w:marRight w:val="0"/>
      <w:marTop w:val="0"/>
      <w:marBottom w:val="0"/>
      <w:divBdr>
        <w:top w:val="none" w:sz="0" w:space="0" w:color="auto"/>
        <w:left w:val="none" w:sz="0" w:space="0" w:color="auto"/>
        <w:bottom w:val="none" w:sz="0" w:space="0" w:color="auto"/>
        <w:right w:val="none" w:sz="0" w:space="0" w:color="auto"/>
      </w:divBdr>
    </w:div>
    <w:div w:id="101195576">
      <w:bodyDiv w:val="1"/>
      <w:marLeft w:val="0"/>
      <w:marRight w:val="0"/>
      <w:marTop w:val="0"/>
      <w:marBottom w:val="0"/>
      <w:divBdr>
        <w:top w:val="none" w:sz="0" w:space="0" w:color="auto"/>
        <w:left w:val="none" w:sz="0" w:space="0" w:color="auto"/>
        <w:bottom w:val="none" w:sz="0" w:space="0" w:color="auto"/>
        <w:right w:val="none" w:sz="0" w:space="0" w:color="auto"/>
      </w:divBdr>
    </w:div>
    <w:div w:id="102577119">
      <w:bodyDiv w:val="1"/>
      <w:marLeft w:val="0"/>
      <w:marRight w:val="0"/>
      <w:marTop w:val="0"/>
      <w:marBottom w:val="0"/>
      <w:divBdr>
        <w:top w:val="none" w:sz="0" w:space="0" w:color="auto"/>
        <w:left w:val="none" w:sz="0" w:space="0" w:color="auto"/>
        <w:bottom w:val="none" w:sz="0" w:space="0" w:color="auto"/>
        <w:right w:val="none" w:sz="0" w:space="0" w:color="auto"/>
      </w:divBdr>
    </w:div>
    <w:div w:id="102648999">
      <w:bodyDiv w:val="1"/>
      <w:marLeft w:val="0"/>
      <w:marRight w:val="0"/>
      <w:marTop w:val="0"/>
      <w:marBottom w:val="0"/>
      <w:divBdr>
        <w:top w:val="none" w:sz="0" w:space="0" w:color="auto"/>
        <w:left w:val="none" w:sz="0" w:space="0" w:color="auto"/>
        <w:bottom w:val="none" w:sz="0" w:space="0" w:color="auto"/>
        <w:right w:val="none" w:sz="0" w:space="0" w:color="auto"/>
      </w:divBdr>
    </w:div>
    <w:div w:id="102773695">
      <w:bodyDiv w:val="1"/>
      <w:marLeft w:val="0"/>
      <w:marRight w:val="0"/>
      <w:marTop w:val="0"/>
      <w:marBottom w:val="0"/>
      <w:divBdr>
        <w:top w:val="none" w:sz="0" w:space="0" w:color="auto"/>
        <w:left w:val="none" w:sz="0" w:space="0" w:color="auto"/>
        <w:bottom w:val="none" w:sz="0" w:space="0" w:color="auto"/>
        <w:right w:val="none" w:sz="0" w:space="0" w:color="auto"/>
      </w:divBdr>
    </w:div>
    <w:div w:id="103159833">
      <w:bodyDiv w:val="1"/>
      <w:marLeft w:val="0"/>
      <w:marRight w:val="0"/>
      <w:marTop w:val="0"/>
      <w:marBottom w:val="0"/>
      <w:divBdr>
        <w:top w:val="none" w:sz="0" w:space="0" w:color="auto"/>
        <w:left w:val="none" w:sz="0" w:space="0" w:color="auto"/>
        <w:bottom w:val="none" w:sz="0" w:space="0" w:color="auto"/>
        <w:right w:val="none" w:sz="0" w:space="0" w:color="auto"/>
      </w:divBdr>
    </w:div>
    <w:div w:id="103162385">
      <w:bodyDiv w:val="1"/>
      <w:marLeft w:val="0"/>
      <w:marRight w:val="0"/>
      <w:marTop w:val="0"/>
      <w:marBottom w:val="0"/>
      <w:divBdr>
        <w:top w:val="none" w:sz="0" w:space="0" w:color="auto"/>
        <w:left w:val="none" w:sz="0" w:space="0" w:color="auto"/>
        <w:bottom w:val="none" w:sz="0" w:space="0" w:color="auto"/>
        <w:right w:val="none" w:sz="0" w:space="0" w:color="auto"/>
      </w:divBdr>
    </w:div>
    <w:div w:id="103572537">
      <w:bodyDiv w:val="1"/>
      <w:marLeft w:val="0"/>
      <w:marRight w:val="0"/>
      <w:marTop w:val="0"/>
      <w:marBottom w:val="0"/>
      <w:divBdr>
        <w:top w:val="none" w:sz="0" w:space="0" w:color="auto"/>
        <w:left w:val="none" w:sz="0" w:space="0" w:color="auto"/>
        <w:bottom w:val="none" w:sz="0" w:space="0" w:color="auto"/>
        <w:right w:val="none" w:sz="0" w:space="0" w:color="auto"/>
      </w:divBdr>
    </w:div>
    <w:div w:id="103698982">
      <w:bodyDiv w:val="1"/>
      <w:marLeft w:val="0"/>
      <w:marRight w:val="0"/>
      <w:marTop w:val="0"/>
      <w:marBottom w:val="0"/>
      <w:divBdr>
        <w:top w:val="none" w:sz="0" w:space="0" w:color="auto"/>
        <w:left w:val="none" w:sz="0" w:space="0" w:color="auto"/>
        <w:bottom w:val="none" w:sz="0" w:space="0" w:color="auto"/>
        <w:right w:val="none" w:sz="0" w:space="0" w:color="auto"/>
      </w:divBdr>
    </w:div>
    <w:div w:id="103966452">
      <w:bodyDiv w:val="1"/>
      <w:marLeft w:val="0"/>
      <w:marRight w:val="0"/>
      <w:marTop w:val="0"/>
      <w:marBottom w:val="0"/>
      <w:divBdr>
        <w:top w:val="none" w:sz="0" w:space="0" w:color="auto"/>
        <w:left w:val="none" w:sz="0" w:space="0" w:color="auto"/>
        <w:bottom w:val="none" w:sz="0" w:space="0" w:color="auto"/>
        <w:right w:val="none" w:sz="0" w:space="0" w:color="auto"/>
      </w:divBdr>
    </w:div>
    <w:div w:id="105008648">
      <w:bodyDiv w:val="1"/>
      <w:marLeft w:val="0"/>
      <w:marRight w:val="0"/>
      <w:marTop w:val="0"/>
      <w:marBottom w:val="0"/>
      <w:divBdr>
        <w:top w:val="none" w:sz="0" w:space="0" w:color="auto"/>
        <w:left w:val="none" w:sz="0" w:space="0" w:color="auto"/>
        <w:bottom w:val="none" w:sz="0" w:space="0" w:color="auto"/>
        <w:right w:val="none" w:sz="0" w:space="0" w:color="auto"/>
      </w:divBdr>
    </w:div>
    <w:div w:id="105319376">
      <w:bodyDiv w:val="1"/>
      <w:marLeft w:val="0"/>
      <w:marRight w:val="0"/>
      <w:marTop w:val="0"/>
      <w:marBottom w:val="0"/>
      <w:divBdr>
        <w:top w:val="none" w:sz="0" w:space="0" w:color="auto"/>
        <w:left w:val="none" w:sz="0" w:space="0" w:color="auto"/>
        <w:bottom w:val="none" w:sz="0" w:space="0" w:color="auto"/>
        <w:right w:val="none" w:sz="0" w:space="0" w:color="auto"/>
      </w:divBdr>
    </w:div>
    <w:div w:id="105544214">
      <w:bodyDiv w:val="1"/>
      <w:marLeft w:val="0"/>
      <w:marRight w:val="0"/>
      <w:marTop w:val="0"/>
      <w:marBottom w:val="0"/>
      <w:divBdr>
        <w:top w:val="none" w:sz="0" w:space="0" w:color="auto"/>
        <w:left w:val="none" w:sz="0" w:space="0" w:color="auto"/>
        <w:bottom w:val="none" w:sz="0" w:space="0" w:color="auto"/>
        <w:right w:val="none" w:sz="0" w:space="0" w:color="auto"/>
      </w:divBdr>
    </w:div>
    <w:div w:id="106627147">
      <w:bodyDiv w:val="1"/>
      <w:marLeft w:val="0"/>
      <w:marRight w:val="0"/>
      <w:marTop w:val="0"/>
      <w:marBottom w:val="0"/>
      <w:divBdr>
        <w:top w:val="none" w:sz="0" w:space="0" w:color="auto"/>
        <w:left w:val="none" w:sz="0" w:space="0" w:color="auto"/>
        <w:bottom w:val="none" w:sz="0" w:space="0" w:color="auto"/>
        <w:right w:val="none" w:sz="0" w:space="0" w:color="auto"/>
      </w:divBdr>
    </w:div>
    <w:div w:id="106657114">
      <w:bodyDiv w:val="1"/>
      <w:marLeft w:val="0"/>
      <w:marRight w:val="0"/>
      <w:marTop w:val="0"/>
      <w:marBottom w:val="0"/>
      <w:divBdr>
        <w:top w:val="none" w:sz="0" w:space="0" w:color="auto"/>
        <w:left w:val="none" w:sz="0" w:space="0" w:color="auto"/>
        <w:bottom w:val="none" w:sz="0" w:space="0" w:color="auto"/>
        <w:right w:val="none" w:sz="0" w:space="0" w:color="auto"/>
      </w:divBdr>
    </w:div>
    <w:div w:id="106782277">
      <w:bodyDiv w:val="1"/>
      <w:marLeft w:val="0"/>
      <w:marRight w:val="0"/>
      <w:marTop w:val="0"/>
      <w:marBottom w:val="0"/>
      <w:divBdr>
        <w:top w:val="none" w:sz="0" w:space="0" w:color="auto"/>
        <w:left w:val="none" w:sz="0" w:space="0" w:color="auto"/>
        <w:bottom w:val="none" w:sz="0" w:space="0" w:color="auto"/>
        <w:right w:val="none" w:sz="0" w:space="0" w:color="auto"/>
      </w:divBdr>
    </w:div>
    <w:div w:id="107433631">
      <w:bodyDiv w:val="1"/>
      <w:marLeft w:val="0"/>
      <w:marRight w:val="0"/>
      <w:marTop w:val="0"/>
      <w:marBottom w:val="0"/>
      <w:divBdr>
        <w:top w:val="none" w:sz="0" w:space="0" w:color="auto"/>
        <w:left w:val="none" w:sz="0" w:space="0" w:color="auto"/>
        <w:bottom w:val="none" w:sz="0" w:space="0" w:color="auto"/>
        <w:right w:val="none" w:sz="0" w:space="0" w:color="auto"/>
      </w:divBdr>
    </w:div>
    <w:div w:id="107822544">
      <w:bodyDiv w:val="1"/>
      <w:marLeft w:val="0"/>
      <w:marRight w:val="0"/>
      <w:marTop w:val="0"/>
      <w:marBottom w:val="0"/>
      <w:divBdr>
        <w:top w:val="none" w:sz="0" w:space="0" w:color="auto"/>
        <w:left w:val="none" w:sz="0" w:space="0" w:color="auto"/>
        <w:bottom w:val="none" w:sz="0" w:space="0" w:color="auto"/>
        <w:right w:val="none" w:sz="0" w:space="0" w:color="auto"/>
      </w:divBdr>
    </w:div>
    <w:div w:id="107938377">
      <w:bodyDiv w:val="1"/>
      <w:marLeft w:val="0"/>
      <w:marRight w:val="0"/>
      <w:marTop w:val="0"/>
      <w:marBottom w:val="0"/>
      <w:divBdr>
        <w:top w:val="none" w:sz="0" w:space="0" w:color="auto"/>
        <w:left w:val="none" w:sz="0" w:space="0" w:color="auto"/>
        <w:bottom w:val="none" w:sz="0" w:space="0" w:color="auto"/>
        <w:right w:val="none" w:sz="0" w:space="0" w:color="auto"/>
      </w:divBdr>
    </w:div>
    <w:div w:id="108090585">
      <w:bodyDiv w:val="1"/>
      <w:marLeft w:val="0"/>
      <w:marRight w:val="0"/>
      <w:marTop w:val="0"/>
      <w:marBottom w:val="0"/>
      <w:divBdr>
        <w:top w:val="none" w:sz="0" w:space="0" w:color="auto"/>
        <w:left w:val="none" w:sz="0" w:space="0" w:color="auto"/>
        <w:bottom w:val="none" w:sz="0" w:space="0" w:color="auto"/>
        <w:right w:val="none" w:sz="0" w:space="0" w:color="auto"/>
      </w:divBdr>
    </w:div>
    <w:div w:id="108090794">
      <w:bodyDiv w:val="1"/>
      <w:marLeft w:val="0"/>
      <w:marRight w:val="0"/>
      <w:marTop w:val="0"/>
      <w:marBottom w:val="0"/>
      <w:divBdr>
        <w:top w:val="none" w:sz="0" w:space="0" w:color="auto"/>
        <w:left w:val="none" w:sz="0" w:space="0" w:color="auto"/>
        <w:bottom w:val="none" w:sz="0" w:space="0" w:color="auto"/>
        <w:right w:val="none" w:sz="0" w:space="0" w:color="auto"/>
      </w:divBdr>
    </w:div>
    <w:div w:id="108206173">
      <w:bodyDiv w:val="1"/>
      <w:marLeft w:val="0"/>
      <w:marRight w:val="0"/>
      <w:marTop w:val="0"/>
      <w:marBottom w:val="0"/>
      <w:divBdr>
        <w:top w:val="none" w:sz="0" w:space="0" w:color="auto"/>
        <w:left w:val="none" w:sz="0" w:space="0" w:color="auto"/>
        <w:bottom w:val="none" w:sz="0" w:space="0" w:color="auto"/>
        <w:right w:val="none" w:sz="0" w:space="0" w:color="auto"/>
      </w:divBdr>
    </w:div>
    <w:div w:id="108285987">
      <w:bodyDiv w:val="1"/>
      <w:marLeft w:val="0"/>
      <w:marRight w:val="0"/>
      <w:marTop w:val="0"/>
      <w:marBottom w:val="0"/>
      <w:divBdr>
        <w:top w:val="none" w:sz="0" w:space="0" w:color="auto"/>
        <w:left w:val="none" w:sz="0" w:space="0" w:color="auto"/>
        <w:bottom w:val="none" w:sz="0" w:space="0" w:color="auto"/>
        <w:right w:val="none" w:sz="0" w:space="0" w:color="auto"/>
      </w:divBdr>
    </w:div>
    <w:div w:id="108477097">
      <w:bodyDiv w:val="1"/>
      <w:marLeft w:val="0"/>
      <w:marRight w:val="0"/>
      <w:marTop w:val="0"/>
      <w:marBottom w:val="0"/>
      <w:divBdr>
        <w:top w:val="none" w:sz="0" w:space="0" w:color="auto"/>
        <w:left w:val="none" w:sz="0" w:space="0" w:color="auto"/>
        <w:bottom w:val="none" w:sz="0" w:space="0" w:color="auto"/>
        <w:right w:val="none" w:sz="0" w:space="0" w:color="auto"/>
      </w:divBdr>
    </w:div>
    <w:div w:id="109009216">
      <w:bodyDiv w:val="1"/>
      <w:marLeft w:val="0"/>
      <w:marRight w:val="0"/>
      <w:marTop w:val="0"/>
      <w:marBottom w:val="0"/>
      <w:divBdr>
        <w:top w:val="none" w:sz="0" w:space="0" w:color="auto"/>
        <w:left w:val="none" w:sz="0" w:space="0" w:color="auto"/>
        <w:bottom w:val="none" w:sz="0" w:space="0" w:color="auto"/>
        <w:right w:val="none" w:sz="0" w:space="0" w:color="auto"/>
      </w:divBdr>
    </w:div>
    <w:div w:id="109249914">
      <w:bodyDiv w:val="1"/>
      <w:marLeft w:val="0"/>
      <w:marRight w:val="0"/>
      <w:marTop w:val="0"/>
      <w:marBottom w:val="0"/>
      <w:divBdr>
        <w:top w:val="none" w:sz="0" w:space="0" w:color="auto"/>
        <w:left w:val="none" w:sz="0" w:space="0" w:color="auto"/>
        <w:bottom w:val="none" w:sz="0" w:space="0" w:color="auto"/>
        <w:right w:val="none" w:sz="0" w:space="0" w:color="auto"/>
      </w:divBdr>
    </w:div>
    <w:div w:id="109667056">
      <w:bodyDiv w:val="1"/>
      <w:marLeft w:val="0"/>
      <w:marRight w:val="0"/>
      <w:marTop w:val="0"/>
      <w:marBottom w:val="0"/>
      <w:divBdr>
        <w:top w:val="none" w:sz="0" w:space="0" w:color="auto"/>
        <w:left w:val="none" w:sz="0" w:space="0" w:color="auto"/>
        <w:bottom w:val="none" w:sz="0" w:space="0" w:color="auto"/>
        <w:right w:val="none" w:sz="0" w:space="0" w:color="auto"/>
      </w:divBdr>
    </w:div>
    <w:div w:id="110785707">
      <w:bodyDiv w:val="1"/>
      <w:marLeft w:val="0"/>
      <w:marRight w:val="0"/>
      <w:marTop w:val="0"/>
      <w:marBottom w:val="0"/>
      <w:divBdr>
        <w:top w:val="none" w:sz="0" w:space="0" w:color="auto"/>
        <w:left w:val="none" w:sz="0" w:space="0" w:color="auto"/>
        <w:bottom w:val="none" w:sz="0" w:space="0" w:color="auto"/>
        <w:right w:val="none" w:sz="0" w:space="0" w:color="auto"/>
      </w:divBdr>
    </w:div>
    <w:div w:id="110982228">
      <w:bodyDiv w:val="1"/>
      <w:marLeft w:val="0"/>
      <w:marRight w:val="0"/>
      <w:marTop w:val="0"/>
      <w:marBottom w:val="0"/>
      <w:divBdr>
        <w:top w:val="none" w:sz="0" w:space="0" w:color="auto"/>
        <w:left w:val="none" w:sz="0" w:space="0" w:color="auto"/>
        <w:bottom w:val="none" w:sz="0" w:space="0" w:color="auto"/>
        <w:right w:val="none" w:sz="0" w:space="0" w:color="auto"/>
      </w:divBdr>
    </w:div>
    <w:div w:id="111755567">
      <w:bodyDiv w:val="1"/>
      <w:marLeft w:val="0"/>
      <w:marRight w:val="0"/>
      <w:marTop w:val="0"/>
      <w:marBottom w:val="0"/>
      <w:divBdr>
        <w:top w:val="none" w:sz="0" w:space="0" w:color="auto"/>
        <w:left w:val="none" w:sz="0" w:space="0" w:color="auto"/>
        <w:bottom w:val="none" w:sz="0" w:space="0" w:color="auto"/>
        <w:right w:val="none" w:sz="0" w:space="0" w:color="auto"/>
      </w:divBdr>
    </w:div>
    <w:div w:id="112285468">
      <w:bodyDiv w:val="1"/>
      <w:marLeft w:val="0"/>
      <w:marRight w:val="0"/>
      <w:marTop w:val="0"/>
      <w:marBottom w:val="0"/>
      <w:divBdr>
        <w:top w:val="none" w:sz="0" w:space="0" w:color="auto"/>
        <w:left w:val="none" w:sz="0" w:space="0" w:color="auto"/>
        <w:bottom w:val="none" w:sz="0" w:space="0" w:color="auto"/>
        <w:right w:val="none" w:sz="0" w:space="0" w:color="auto"/>
      </w:divBdr>
    </w:div>
    <w:div w:id="112402984">
      <w:bodyDiv w:val="1"/>
      <w:marLeft w:val="0"/>
      <w:marRight w:val="0"/>
      <w:marTop w:val="0"/>
      <w:marBottom w:val="0"/>
      <w:divBdr>
        <w:top w:val="none" w:sz="0" w:space="0" w:color="auto"/>
        <w:left w:val="none" w:sz="0" w:space="0" w:color="auto"/>
        <w:bottom w:val="none" w:sz="0" w:space="0" w:color="auto"/>
        <w:right w:val="none" w:sz="0" w:space="0" w:color="auto"/>
      </w:divBdr>
    </w:div>
    <w:div w:id="112527822">
      <w:bodyDiv w:val="1"/>
      <w:marLeft w:val="0"/>
      <w:marRight w:val="0"/>
      <w:marTop w:val="0"/>
      <w:marBottom w:val="0"/>
      <w:divBdr>
        <w:top w:val="none" w:sz="0" w:space="0" w:color="auto"/>
        <w:left w:val="none" w:sz="0" w:space="0" w:color="auto"/>
        <w:bottom w:val="none" w:sz="0" w:space="0" w:color="auto"/>
        <w:right w:val="none" w:sz="0" w:space="0" w:color="auto"/>
      </w:divBdr>
    </w:div>
    <w:div w:id="113181774">
      <w:bodyDiv w:val="1"/>
      <w:marLeft w:val="0"/>
      <w:marRight w:val="0"/>
      <w:marTop w:val="0"/>
      <w:marBottom w:val="0"/>
      <w:divBdr>
        <w:top w:val="none" w:sz="0" w:space="0" w:color="auto"/>
        <w:left w:val="none" w:sz="0" w:space="0" w:color="auto"/>
        <w:bottom w:val="none" w:sz="0" w:space="0" w:color="auto"/>
        <w:right w:val="none" w:sz="0" w:space="0" w:color="auto"/>
      </w:divBdr>
    </w:div>
    <w:div w:id="113911467">
      <w:bodyDiv w:val="1"/>
      <w:marLeft w:val="0"/>
      <w:marRight w:val="0"/>
      <w:marTop w:val="0"/>
      <w:marBottom w:val="0"/>
      <w:divBdr>
        <w:top w:val="none" w:sz="0" w:space="0" w:color="auto"/>
        <w:left w:val="none" w:sz="0" w:space="0" w:color="auto"/>
        <w:bottom w:val="none" w:sz="0" w:space="0" w:color="auto"/>
        <w:right w:val="none" w:sz="0" w:space="0" w:color="auto"/>
      </w:divBdr>
    </w:div>
    <w:div w:id="114183726">
      <w:bodyDiv w:val="1"/>
      <w:marLeft w:val="0"/>
      <w:marRight w:val="0"/>
      <w:marTop w:val="0"/>
      <w:marBottom w:val="0"/>
      <w:divBdr>
        <w:top w:val="none" w:sz="0" w:space="0" w:color="auto"/>
        <w:left w:val="none" w:sz="0" w:space="0" w:color="auto"/>
        <w:bottom w:val="none" w:sz="0" w:space="0" w:color="auto"/>
        <w:right w:val="none" w:sz="0" w:space="0" w:color="auto"/>
      </w:divBdr>
    </w:div>
    <w:div w:id="114907106">
      <w:bodyDiv w:val="1"/>
      <w:marLeft w:val="0"/>
      <w:marRight w:val="0"/>
      <w:marTop w:val="0"/>
      <w:marBottom w:val="0"/>
      <w:divBdr>
        <w:top w:val="none" w:sz="0" w:space="0" w:color="auto"/>
        <w:left w:val="none" w:sz="0" w:space="0" w:color="auto"/>
        <w:bottom w:val="none" w:sz="0" w:space="0" w:color="auto"/>
        <w:right w:val="none" w:sz="0" w:space="0" w:color="auto"/>
      </w:divBdr>
    </w:div>
    <w:div w:id="115218510">
      <w:bodyDiv w:val="1"/>
      <w:marLeft w:val="0"/>
      <w:marRight w:val="0"/>
      <w:marTop w:val="0"/>
      <w:marBottom w:val="0"/>
      <w:divBdr>
        <w:top w:val="none" w:sz="0" w:space="0" w:color="auto"/>
        <w:left w:val="none" w:sz="0" w:space="0" w:color="auto"/>
        <w:bottom w:val="none" w:sz="0" w:space="0" w:color="auto"/>
        <w:right w:val="none" w:sz="0" w:space="0" w:color="auto"/>
      </w:divBdr>
    </w:div>
    <w:div w:id="115489950">
      <w:bodyDiv w:val="1"/>
      <w:marLeft w:val="0"/>
      <w:marRight w:val="0"/>
      <w:marTop w:val="0"/>
      <w:marBottom w:val="0"/>
      <w:divBdr>
        <w:top w:val="none" w:sz="0" w:space="0" w:color="auto"/>
        <w:left w:val="none" w:sz="0" w:space="0" w:color="auto"/>
        <w:bottom w:val="none" w:sz="0" w:space="0" w:color="auto"/>
        <w:right w:val="none" w:sz="0" w:space="0" w:color="auto"/>
      </w:divBdr>
    </w:div>
    <w:div w:id="115685181">
      <w:bodyDiv w:val="1"/>
      <w:marLeft w:val="0"/>
      <w:marRight w:val="0"/>
      <w:marTop w:val="0"/>
      <w:marBottom w:val="0"/>
      <w:divBdr>
        <w:top w:val="none" w:sz="0" w:space="0" w:color="auto"/>
        <w:left w:val="none" w:sz="0" w:space="0" w:color="auto"/>
        <w:bottom w:val="none" w:sz="0" w:space="0" w:color="auto"/>
        <w:right w:val="none" w:sz="0" w:space="0" w:color="auto"/>
      </w:divBdr>
    </w:div>
    <w:div w:id="115759493">
      <w:bodyDiv w:val="1"/>
      <w:marLeft w:val="0"/>
      <w:marRight w:val="0"/>
      <w:marTop w:val="0"/>
      <w:marBottom w:val="0"/>
      <w:divBdr>
        <w:top w:val="none" w:sz="0" w:space="0" w:color="auto"/>
        <w:left w:val="none" w:sz="0" w:space="0" w:color="auto"/>
        <w:bottom w:val="none" w:sz="0" w:space="0" w:color="auto"/>
        <w:right w:val="none" w:sz="0" w:space="0" w:color="auto"/>
      </w:divBdr>
    </w:div>
    <w:div w:id="115804485">
      <w:bodyDiv w:val="1"/>
      <w:marLeft w:val="0"/>
      <w:marRight w:val="0"/>
      <w:marTop w:val="0"/>
      <w:marBottom w:val="0"/>
      <w:divBdr>
        <w:top w:val="none" w:sz="0" w:space="0" w:color="auto"/>
        <w:left w:val="none" w:sz="0" w:space="0" w:color="auto"/>
        <w:bottom w:val="none" w:sz="0" w:space="0" w:color="auto"/>
        <w:right w:val="none" w:sz="0" w:space="0" w:color="auto"/>
      </w:divBdr>
    </w:div>
    <w:div w:id="116535767">
      <w:bodyDiv w:val="1"/>
      <w:marLeft w:val="0"/>
      <w:marRight w:val="0"/>
      <w:marTop w:val="0"/>
      <w:marBottom w:val="0"/>
      <w:divBdr>
        <w:top w:val="none" w:sz="0" w:space="0" w:color="auto"/>
        <w:left w:val="none" w:sz="0" w:space="0" w:color="auto"/>
        <w:bottom w:val="none" w:sz="0" w:space="0" w:color="auto"/>
        <w:right w:val="none" w:sz="0" w:space="0" w:color="auto"/>
      </w:divBdr>
    </w:div>
    <w:div w:id="116611577">
      <w:bodyDiv w:val="1"/>
      <w:marLeft w:val="0"/>
      <w:marRight w:val="0"/>
      <w:marTop w:val="0"/>
      <w:marBottom w:val="0"/>
      <w:divBdr>
        <w:top w:val="none" w:sz="0" w:space="0" w:color="auto"/>
        <w:left w:val="none" w:sz="0" w:space="0" w:color="auto"/>
        <w:bottom w:val="none" w:sz="0" w:space="0" w:color="auto"/>
        <w:right w:val="none" w:sz="0" w:space="0" w:color="auto"/>
      </w:divBdr>
    </w:div>
    <w:div w:id="116678982">
      <w:bodyDiv w:val="1"/>
      <w:marLeft w:val="0"/>
      <w:marRight w:val="0"/>
      <w:marTop w:val="0"/>
      <w:marBottom w:val="0"/>
      <w:divBdr>
        <w:top w:val="none" w:sz="0" w:space="0" w:color="auto"/>
        <w:left w:val="none" w:sz="0" w:space="0" w:color="auto"/>
        <w:bottom w:val="none" w:sz="0" w:space="0" w:color="auto"/>
        <w:right w:val="none" w:sz="0" w:space="0" w:color="auto"/>
      </w:divBdr>
    </w:div>
    <w:div w:id="117338364">
      <w:bodyDiv w:val="1"/>
      <w:marLeft w:val="0"/>
      <w:marRight w:val="0"/>
      <w:marTop w:val="0"/>
      <w:marBottom w:val="0"/>
      <w:divBdr>
        <w:top w:val="none" w:sz="0" w:space="0" w:color="auto"/>
        <w:left w:val="none" w:sz="0" w:space="0" w:color="auto"/>
        <w:bottom w:val="none" w:sz="0" w:space="0" w:color="auto"/>
        <w:right w:val="none" w:sz="0" w:space="0" w:color="auto"/>
      </w:divBdr>
    </w:div>
    <w:div w:id="117650525">
      <w:bodyDiv w:val="1"/>
      <w:marLeft w:val="0"/>
      <w:marRight w:val="0"/>
      <w:marTop w:val="0"/>
      <w:marBottom w:val="0"/>
      <w:divBdr>
        <w:top w:val="none" w:sz="0" w:space="0" w:color="auto"/>
        <w:left w:val="none" w:sz="0" w:space="0" w:color="auto"/>
        <w:bottom w:val="none" w:sz="0" w:space="0" w:color="auto"/>
        <w:right w:val="none" w:sz="0" w:space="0" w:color="auto"/>
      </w:divBdr>
    </w:div>
    <w:div w:id="117918498">
      <w:bodyDiv w:val="1"/>
      <w:marLeft w:val="0"/>
      <w:marRight w:val="0"/>
      <w:marTop w:val="0"/>
      <w:marBottom w:val="0"/>
      <w:divBdr>
        <w:top w:val="none" w:sz="0" w:space="0" w:color="auto"/>
        <w:left w:val="none" w:sz="0" w:space="0" w:color="auto"/>
        <w:bottom w:val="none" w:sz="0" w:space="0" w:color="auto"/>
        <w:right w:val="none" w:sz="0" w:space="0" w:color="auto"/>
      </w:divBdr>
    </w:div>
    <w:div w:id="118107502">
      <w:bodyDiv w:val="1"/>
      <w:marLeft w:val="0"/>
      <w:marRight w:val="0"/>
      <w:marTop w:val="0"/>
      <w:marBottom w:val="0"/>
      <w:divBdr>
        <w:top w:val="none" w:sz="0" w:space="0" w:color="auto"/>
        <w:left w:val="none" w:sz="0" w:space="0" w:color="auto"/>
        <w:bottom w:val="none" w:sz="0" w:space="0" w:color="auto"/>
        <w:right w:val="none" w:sz="0" w:space="0" w:color="auto"/>
      </w:divBdr>
    </w:div>
    <w:div w:id="118230612">
      <w:bodyDiv w:val="1"/>
      <w:marLeft w:val="0"/>
      <w:marRight w:val="0"/>
      <w:marTop w:val="0"/>
      <w:marBottom w:val="0"/>
      <w:divBdr>
        <w:top w:val="none" w:sz="0" w:space="0" w:color="auto"/>
        <w:left w:val="none" w:sz="0" w:space="0" w:color="auto"/>
        <w:bottom w:val="none" w:sz="0" w:space="0" w:color="auto"/>
        <w:right w:val="none" w:sz="0" w:space="0" w:color="auto"/>
      </w:divBdr>
    </w:div>
    <w:div w:id="118455916">
      <w:bodyDiv w:val="1"/>
      <w:marLeft w:val="0"/>
      <w:marRight w:val="0"/>
      <w:marTop w:val="0"/>
      <w:marBottom w:val="0"/>
      <w:divBdr>
        <w:top w:val="none" w:sz="0" w:space="0" w:color="auto"/>
        <w:left w:val="none" w:sz="0" w:space="0" w:color="auto"/>
        <w:bottom w:val="none" w:sz="0" w:space="0" w:color="auto"/>
        <w:right w:val="none" w:sz="0" w:space="0" w:color="auto"/>
      </w:divBdr>
    </w:div>
    <w:div w:id="119152926">
      <w:bodyDiv w:val="1"/>
      <w:marLeft w:val="0"/>
      <w:marRight w:val="0"/>
      <w:marTop w:val="0"/>
      <w:marBottom w:val="0"/>
      <w:divBdr>
        <w:top w:val="none" w:sz="0" w:space="0" w:color="auto"/>
        <w:left w:val="none" w:sz="0" w:space="0" w:color="auto"/>
        <w:bottom w:val="none" w:sz="0" w:space="0" w:color="auto"/>
        <w:right w:val="none" w:sz="0" w:space="0" w:color="auto"/>
      </w:divBdr>
    </w:div>
    <w:div w:id="119617889">
      <w:bodyDiv w:val="1"/>
      <w:marLeft w:val="0"/>
      <w:marRight w:val="0"/>
      <w:marTop w:val="0"/>
      <w:marBottom w:val="0"/>
      <w:divBdr>
        <w:top w:val="none" w:sz="0" w:space="0" w:color="auto"/>
        <w:left w:val="none" w:sz="0" w:space="0" w:color="auto"/>
        <w:bottom w:val="none" w:sz="0" w:space="0" w:color="auto"/>
        <w:right w:val="none" w:sz="0" w:space="0" w:color="auto"/>
      </w:divBdr>
    </w:div>
    <w:div w:id="119883446">
      <w:bodyDiv w:val="1"/>
      <w:marLeft w:val="0"/>
      <w:marRight w:val="0"/>
      <w:marTop w:val="0"/>
      <w:marBottom w:val="0"/>
      <w:divBdr>
        <w:top w:val="none" w:sz="0" w:space="0" w:color="auto"/>
        <w:left w:val="none" w:sz="0" w:space="0" w:color="auto"/>
        <w:bottom w:val="none" w:sz="0" w:space="0" w:color="auto"/>
        <w:right w:val="none" w:sz="0" w:space="0" w:color="auto"/>
      </w:divBdr>
    </w:div>
    <w:div w:id="119960511">
      <w:bodyDiv w:val="1"/>
      <w:marLeft w:val="0"/>
      <w:marRight w:val="0"/>
      <w:marTop w:val="0"/>
      <w:marBottom w:val="0"/>
      <w:divBdr>
        <w:top w:val="none" w:sz="0" w:space="0" w:color="auto"/>
        <w:left w:val="none" w:sz="0" w:space="0" w:color="auto"/>
        <w:bottom w:val="none" w:sz="0" w:space="0" w:color="auto"/>
        <w:right w:val="none" w:sz="0" w:space="0" w:color="auto"/>
      </w:divBdr>
    </w:div>
    <w:div w:id="120348888">
      <w:bodyDiv w:val="1"/>
      <w:marLeft w:val="0"/>
      <w:marRight w:val="0"/>
      <w:marTop w:val="0"/>
      <w:marBottom w:val="0"/>
      <w:divBdr>
        <w:top w:val="none" w:sz="0" w:space="0" w:color="auto"/>
        <w:left w:val="none" w:sz="0" w:space="0" w:color="auto"/>
        <w:bottom w:val="none" w:sz="0" w:space="0" w:color="auto"/>
        <w:right w:val="none" w:sz="0" w:space="0" w:color="auto"/>
      </w:divBdr>
    </w:div>
    <w:div w:id="120467377">
      <w:bodyDiv w:val="1"/>
      <w:marLeft w:val="0"/>
      <w:marRight w:val="0"/>
      <w:marTop w:val="0"/>
      <w:marBottom w:val="0"/>
      <w:divBdr>
        <w:top w:val="none" w:sz="0" w:space="0" w:color="auto"/>
        <w:left w:val="none" w:sz="0" w:space="0" w:color="auto"/>
        <w:bottom w:val="none" w:sz="0" w:space="0" w:color="auto"/>
        <w:right w:val="none" w:sz="0" w:space="0" w:color="auto"/>
      </w:divBdr>
    </w:div>
    <w:div w:id="120618930">
      <w:bodyDiv w:val="1"/>
      <w:marLeft w:val="0"/>
      <w:marRight w:val="0"/>
      <w:marTop w:val="0"/>
      <w:marBottom w:val="0"/>
      <w:divBdr>
        <w:top w:val="none" w:sz="0" w:space="0" w:color="auto"/>
        <w:left w:val="none" w:sz="0" w:space="0" w:color="auto"/>
        <w:bottom w:val="none" w:sz="0" w:space="0" w:color="auto"/>
        <w:right w:val="none" w:sz="0" w:space="0" w:color="auto"/>
      </w:divBdr>
    </w:div>
    <w:div w:id="120654971">
      <w:bodyDiv w:val="1"/>
      <w:marLeft w:val="0"/>
      <w:marRight w:val="0"/>
      <w:marTop w:val="0"/>
      <w:marBottom w:val="0"/>
      <w:divBdr>
        <w:top w:val="none" w:sz="0" w:space="0" w:color="auto"/>
        <w:left w:val="none" w:sz="0" w:space="0" w:color="auto"/>
        <w:bottom w:val="none" w:sz="0" w:space="0" w:color="auto"/>
        <w:right w:val="none" w:sz="0" w:space="0" w:color="auto"/>
      </w:divBdr>
    </w:div>
    <w:div w:id="120806267">
      <w:bodyDiv w:val="1"/>
      <w:marLeft w:val="0"/>
      <w:marRight w:val="0"/>
      <w:marTop w:val="0"/>
      <w:marBottom w:val="0"/>
      <w:divBdr>
        <w:top w:val="none" w:sz="0" w:space="0" w:color="auto"/>
        <w:left w:val="none" w:sz="0" w:space="0" w:color="auto"/>
        <w:bottom w:val="none" w:sz="0" w:space="0" w:color="auto"/>
        <w:right w:val="none" w:sz="0" w:space="0" w:color="auto"/>
      </w:divBdr>
    </w:div>
    <w:div w:id="120926538">
      <w:bodyDiv w:val="1"/>
      <w:marLeft w:val="0"/>
      <w:marRight w:val="0"/>
      <w:marTop w:val="0"/>
      <w:marBottom w:val="0"/>
      <w:divBdr>
        <w:top w:val="none" w:sz="0" w:space="0" w:color="auto"/>
        <w:left w:val="none" w:sz="0" w:space="0" w:color="auto"/>
        <w:bottom w:val="none" w:sz="0" w:space="0" w:color="auto"/>
        <w:right w:val="none" w:sz="0" w:space="0" w:color="auto"/>
      </w:divBdr>
    </w:div>
    <w:div w:id="121071390">
      <w:bodyDiv w:val="1"/>
      <w:marLeft w:val="0"/>
      <w:marRight w:val="0"/>
      <w:marTop w:val="0"/>
      <w:marBottom w:val="0"/>
      <w:divBdr>
        <w:top w:val="none" w:sz="0" w:space="0" w:color="auto"/>
        <w:left w:val="none" w:sz="0" w:space="0" w:color="auto"/>
        <w:bottom w:val="none" w:sz="0" w:space="0" w:color="auto"/>
        <w:right w:val="none" w:sz="0" w:space="0" w:color="auto"/>
      </w:divBdr>
    </w:div>
    <w:div w:id="121073509">
      <w:bodyDiv w:val="1"/>
      <w:marLeft w:val="0"/>
      <w:marRight w:val="0"/>
      <w:marTop w:val="0"/>
      <w:marBottom w:val="0"/>
      <w:divBdr>
        <w:top w:val="none" w:sz="0" w:space="0" w:color="auto"/>
        <w:left w:val="none" w:sz="0" w:space="0" w:color="auto"/>
        <w:bottom w:val="none" w:sz="0" w:space="0" w:color="auto"/>
        <w:right w:val="none" w:sz="0" w:space="0" w:color="auto"/>
      </w:divBdr>
    </w:div>
    <w:div w:id="121732075">
      <w:bodyDiv w:val="1"/>
      <w:marLeft w:val="0"/>
      <w:marRight w:val="0"/>
      <w:marTop w:val="0"/>
      <w:marBottom w:val="0"/>
      <w:divBdr>
        <w:top w:val="none" w:sz="0" w:space="0" w:color="auto"/>
        <w:left w:val="none" w:sz="0" w:space="0" w:color="auto"/>
        <w:bottom w:val="none" w:sz="0" w:space="0" w:color="auto"/>
        <w:right w:val="none" w:sz="0" w:space="0" w:color="auto"/>
      </w:divBdr>
    </w:div>
    <w:div w:id="122387734">
      <w:bodyDiv w:val="1"/>
      <w:marLeft w:val="0"/>
      <w:marRight w:val="0"/>
      <w:marTop w:val="0"/>
      <w:marBottom w:val="0"/>
      <w:divBdr>
        <w:top w:val="none" w:sz="0" w:space="0" w:color="auto"/>
        <w:left w:val="none" w:sz="0" w:space="0" w:color="auto"/>
        <w:bottom w:val="none" w:sz="0" w:space="0" w:color="auto"/>
        <w:right w:val="none" w:sz="0" w:space="0" w:color="auto"/>
      </w:divBdr>
    </w:div>
    <w:div w:id="123041247">
      <w:bodyDiv w:val="1"/>
      <w:marLeft w:val="0"/>
      <w:marRight w:val="0"/>
      <w:marTop w:val="0"/>
      <w:marBottom w:val="0"/>
      <w:divBdr>
        <w:top w:val="none" w:sz="0" w:space="0" w:color="auto"/>
        <w:left w:val="none" w:sz="0" w:space="0" w:color="auto"/>
        <w:bottom w:val="none" w:sz="0" w:space="0" w:color="auto"/>
        <w:right w:val="none" w:sz="0" w:space="0" w:color="auto"/>
      </w:divBdr>
    </w:div>
    <w:div w:id="123474106">
      <w:bodyDiv w:val="1"/>
      <w:marLeft w:val="0"/>
      <w:marRight w:val="0"/>
      <w:marTop w:val="0"/>
      <w:marBottom w:val="0"/>
      <w:divBdr>
        <w:top w:val="none" w:sz="0" w:space="0" w:color="auto"/>
        <w:left w:val="none" w:sz="0" w:space="0" w:color="auto"/>
        <w:bottom w:val="none" w:sz="0" w:space="0" w:color="auto"/>
        <w:right w:val="none" w:sz="0" w:space="0" w:color="auto"/>
      </w:divBdr>
    </w:div>
    <w:div w:id="123741632">
      <w:bodyDiv w:val="1"/>
      <w:marLeft w:val="0"/>
      <w:marRight w:val="0"/>
      <w:marTop w:val="0"/>
      <w:marBottom w:val="0"/>
      <w:divBdr>
        <w:top w:val="none" w:sz="0" w:space="0" w:color="auto"/>
        <w:left w:val="none" w:sz="0" w:space="0" w:color="auto"/>
        <w:bottom w:val="none" w:sz="0" w:space="0" w:color="auto"/>
        <w:right w:val="none" w:sz="0" w:space="0" w:color="auto"/>
      </w:divBdr>
    </w:div>
    <w:div w:id="123819703">
      <w:bodyDiv w:val="1"/>
      <w:marLeft w:val="0"/>
      <w:marRight w:val="0"/>
      <w:marTop w:val="0"/>
      <w:marBottom w:val="0"/>
      <w:divBdr>
        <w:top w:val="none" w:sz="0" w:space="0" w:color="auto"/>
        <w:left w:val="none" w:sz="0" w:space="0" w:color="auto"/>
        <w:bottom w:val="none" w:sz="0" w:space="0" w:color="auto"/>
        <w:right w:val="none" w:sz="0" w:space="0" w:color="auto"/>
      </w:divBdr>
    </w:div>
    <w:div w:id="124322708">
      <w:bodyDiv w:val="1"/>
      <w:marLeft w:val="0"/>
      <w:marRight w:val="0"/>
      <w:marTop w:val="0"/>
      <w:marBottom w:val="0"/>
      <w:divBdr>
        <w:top w:val="none" w:sz="0" w:space="0" w:color="auto"/>
        <w:left w:val="none" w:sz="0" w:space="0" w:color="auto"/>
        <w:bottom w:val="none" w:sz="0" w:space="0" w:color="auto"/>
        <w:right w:val="none" w:sz="0" w:space="0" w:color="auto"/>
      </w:divBdr>
    </w:div>
    <w:div w:id="124324152">
      <w:bodyDiv w:val="1"/>
      <w:marLeft w:val="0"/>
      <w:marRight w:val="0"/>
      <w:marTop w:val="0"/>
      <w:marBottom w:val="0"/>
      <w:divBdr>
        <w:top w:val="none" w:sz="0" w:space="0" w:color="auto"/>
        <w:left w:val="none" w:sz="0" w:space="0" w:color="auto"/>
        <w:bottom w:val="none" w:sz="0" w:space="0" w:color="auto"/>
        <w:right w:val="none" w:sz="0" w:space="0" w:color="auto"/>
      </w:divBdr>
    </w:div>
    <w:div w:id="124666449">
      <w:bodyDiv w:val="1"/>
      <w:marLeft w:val="0"/>
      <w:marRight w:val="0"/>
      <w:marTop w:val="0"/>
      <w:marBottom w:val="0"/>
      <w:divBdr>
        <w:top w:val="none" w:sz="0" w:space="0" w:color="auto"/>
        <w:left w:val="none" w:sz="0" w:space="0" w:color="auto"/>
        <w:bottom w:val="none" w:sz="0" w:space="0" w:color="auto"/>
        <w:right w:val="none" w:sz="0" w:space="0" w:color="auto"/>
      </w:divBdr>
    </w:div>
    <w:div w:id="124734441">
      <w:bodyDiv w:val="1"/>
      <w:marLeft w:val="0"/>
      <w:marRight w:val="0"/>
      <w:marTop w:val="0"/>
      <w:marBottom w:val="0"/>
      <w:divBdr>
        <w:top w:val="none" w:sz="0" w:space="0" w:color="auto"/>
        <w:left w:val="none" w:sz="0" w:space="0" w:color="auto"/>
        <w:bottom w:val="none" w:sz="0" w:space="0" w:color="auto"/>
        <w:right w:val="none" w:sz="0" w:space="0" w:color="auto"/>
      </w:divBdr>
    </w:div>
    <w:div w:id="124930885">
      <w:bodyDiv w:val="1"/>
      <w:marLeft w:val="0"/>
      <w:marRight w:val="0"/>
      <w:marTop w:val="0"/>
      <w:marBottom w:val="0"/>
      <w:divBdr>
        <w:top w:val="none" w:sz="0" w:space="0" w:color="auto"/>
        <w:left w:val="none" w:sz="0" w:space="0" w:color="auto"/>
        <w:bottom w:val="none" w:sz="0" w:space="0" w:color="auto"/>
        <w:right w:val="none" w:sz="0" w:space="0" w:color="auto"/>
      </w:divBdr>
    </w:div>
    <w:div w:id="125125490">
      <w:bodyDiv w:val="1"/>
      <w:marLeft w:val="0"/>
      <w:marRight w:val="0"/>
      <w:marTop w:val="0"/>
      <w:marBottom w:val="0"/>
      <w:divBdr>
        <w:top w:val="none" w:sz="0" w:space="0" w:color="auto"/>
        <w:left w:val="none" w:sz="0" w:space="0" w:color="auto"/>
        <w:bottom w:val="none" w:sz="0" w:space="0" w:color="auto"/>
        <w:right w:val="none" w:sz="0" w:space="0" w:color="auto"/>
      </w:divBdr>
    </w:div>
    <w:div w:id="125466644">
      <w:bodyDiv w:val="1"/>
      <w:marLeft w:val="0"/>
      <w:marRight w:val="0"/>
      <w:marTop w:val="0"/>
      <w:marBottom w:val="0"/>
      <w:divBdr>
        <w:top w:val="none" w:sz="0" w:space="0" w:color="auto"/>
        <w:left w:val="none" w:sz="0" w:space="0" w:color="auto"/>
        <w:bottom w:val="none" w:sz="0" w:space="0" w:color="auto"/>
        <w:right w:val="none" w:sz="0" w:space="0" w:color="auto"/>
      </w:divBdr>
    </w:div>
    <w:div w:id="125782059">
      <w:bodyDiv w:val="1"/>
      <w:marLeft w:val="0"/>
      <w:marRight w:val="0"/>
      <w:marTop w:val="0"/>
      <w:marBottom w:val="0"/>
      <w:divBdr>
        <w:top w:val="none" w:sz="0" w:space="0" w:color="auto"/>
        <w:left w:val="none" w:sz="0" w:space="0" w:color="auto"/>
        <w:bottom w:val="none" w:sz="0" w:space="0" w:color="auto"/>
        <w:right w:val="none" w:sz="0" w:space="0" w:color="auto"/>
      </w:divBdr>
    </w:div>
    <w:div w:id="126507963">
      <w:bodyDiv w:val="1"/>
      <w:marLeft w:val="0"/>
      <w:marRight w:val="0"/>
      <w:marTop w:val="0"/>
      <w:marBottom w:val="0"/>
      <w:divBdr>
        <w:top w:val="none" w:sz="0" w:space="0" w:color="auto"/>
        <w:left w:val="none" w:sz="0" w:space="0" w:color="auto"/>
        <w:bottom w:val="none" w:sz="0" w:space="0" w:color="auto"/>
        <w:right w:val="none" w:sz="0" w:space="0" w:color="auto"/>
      </w:divBdr>
    </w:div>
    <w:div w:id="126629543">
      <w:bodyDiv w:val="1"/>
      <w:marLeft w:val="0"/>
      <w:marRight w:val="0"/>
      <w:marTop w:val="0"/>
      <w:marBottom w:val="0"/>
      <w:divBdr>
        <w:top w:val="none" w:sz="0" w:space="0" w:color="auto"/>
        <w:left w:val="none" w:sz="0" w:space="0" w:color="auto"/>
        <w:bottom w:val="none" w:sz="0" w:space="0" w:color="auto"/>
        <w:right w:val="none" w:sz="0" w:space="0" w:color="auto"/>
      </w:divBdr>
    </w:div>
    <w:div w:id="126629913">
      <w:bodyDiv w:val="1"/>
      <w:marLeft w:val="0"/>
      <w:marRight w:val="0"/>
      <w:marTop w:val="0"/>
      <w:marBottom w:val="0"/>
      <w:divBdr>
        <w:top w:val="none" w:sz="0" w:space="0" w:color="auto"/>
        <w:left w:val="none" w:sz="0" w:space="0" w:color="auto"/>
        <w:bottom w:val="none" w:sz="0" w:space="0" w:color="auto"/>
        <w:right w:val="none" w:sz="0" w:space="0" w:color="auto"/>
      </w:divBdr>
    </w:div>
    <w:div w:id="126702576">
      <w:bodyDiv w:val="1"/>
      <w:marLeft w:val="0"/>
      <w:marRight w:val="0"/>
      <w:marTop w:val="0"/>
      <w:marBottom w:val="0"/>
      <w:divBdr>
        <w:top w:val="none" w:sz="0" w:space="0" w:color="auto"/>
        <w:left w:val="none" w:sz="0" w:space="0" w:color="auto"/>
        <w:bottom w:val="none" w:sz="0" w:space="0" w:color="auto"/>
        <w:right w:val="none" w:sz="0" w:space="0" w:color="auto"/>
      </w:divBdr>
    </w:div>
    <w:div w:id="126706797">
      <w:bodyDiv w:val="1"/>
      <w:marLeft w:val="0"/>
      <w:marRight w:val="0"/>
      <w:marTop w:val="0"/>
      <w:marBottom w:val="0"/>
      <w:divBdr>
        <w:top w:val="none" w:sz="0" w:space="0" w:color="auto"/>
        <w:left w:val="none" w:sz="0" w:space="0" w:color="auto"/>
        <w:bottom w:val="none" w:sz="0" w:space="0" w:color="auto"/>
        <w:right w:val="none" w:sz="0" w:space="0" w:color="auto"/>
      </w:divBdr>
    </w:div>
    <w:div w:id="126896264">
      <w:bodyDiv w:val="1"/>
      <w:marLeft w:val="0"/>
      <w:marRight w:val="0"/>
      <w:marTop w:val="0"/>
      <w:marBottom w:val="0"/>
      <w:divBdr>
        <w:top w:val="none" w:sz="0" w:space="0" w:color="auto"/>
        <w:left w:val="none" w:sz="0" w:space="0" w:color="auto"/>
        <w:bottom w:val="none" w:sz="0" w:space="0" w:color="auto"/>
        <w:right w:val="none" w:sz="0" w:space="0" w:color="auto"/>
      </w:divBdr>
    </w:div>
    <w:div w:id="126897594">
      <w:bodyDiv w:val="1"/>
      <w:marLeft w:val="0"/>
      <w:marRight w:val="0"/>
      <w:marTop w:val="0"/>
      <w:marBottom w:val="0"/>
      <w:divBdr>
        <w:top w:val="none" w:sz="0" w:space="0" w:color="auto"/>
        <w:left w:val="none" w:sz="0" w:space="0" w:color="auto"/>
        <w:bottom w:val="none" w:sz="0" w:space="0" w:color="auto"/>
        <w:right w:val="none" w:sz="0" w:space="0" w:color="auto"/>
      </w:divBdr>
    </w:div>
    <w:div w:id="126943319">
      <w:bodyDiv w:val="1"/>
      <w:marLeft w:val="0"/>
      <w:marRight w:val="0"/>
      <w:marTop w:val="0"/>
      <w:marBottom w:val="0"/>
      <w:divBdr>
        <w:top w:val="none" w:sz="0" w:space="0" w:color="auto"/>
        <w:left w:val="none" w:sz="0" w:space="0" w:color="auto"/>
        <w:bottom w:val="none" w:sz="0" w:space="0" w:color="auto"/>
        <w:right w:val="none" w:sz="0" w:space="0" w:color="auto"/>
      </w:divBdr>
    </w:div>
    <w:div w:id="127282185">
      <w:bodyDiv w:val="1"/>
      <w:marLeft w:val="0"/>
      <w:marRight w:val="0"/>
      <w:marTop w:val="0"/>
      <w:marBottom w:val="0"/>
      <w:divBdr>
        <w:top w:val="none" w:sz="0" w:space="0" w:color="auto"/>
        <w:left w:val="none" w:sz="0" w:space="0" w:color="auto"/>
        <w:bottom w:val="none" w:sz="0" w:space="0" w:color="auto"/>
        <w:right w:val="none" w:sz="0" w:space="0" w:color="auto"/>
      </w:divBdr>
    </w:div>
    <w:div w:id="127287343">
      <w:bodyDiv w:val="1"/>
      <w:marLeft w:val="0"/>
      <w:marRight w:val="0"/>
      <w:marTop w:val="0"/>
      <w:marBottom w:val="0"/>
      <w:divBdr>
        <w:top w:val="none" w:sz="0" w:space="0" w:color="auto"/>
        <w:left w:val="none" w:sz="0" w:space="0" w:color="auto"/>
        <w:bottom w:val="none" w:sz="0" w:space="0" w:color="auto"/>
        <w:right w:val="none" w:sz="0" w:space="0" w:color="auto"/>
      </w:divBdr>
    </w:div>
    <w:div w:id="127405655">
      <w:bodyDiv w:val="1"/>
      <w:marLeft w:val="0"/>
      <w:marRight w:val="0"/>
      <w:marTop w:val="0"/>
      <w:marBottom w:val="0"/>
      <w:divBdr>
        <w:top w:val="none" w:sz="0" w:space="0" w:color="auto"/>
        <w:left w:val="none" w:sz="0" w:space="0" w:color="auto"/>
        <w:bottom w:val="none" w:sz="0" w:space="0" w:color="auto"/>
        <w:right w:val="none" w:sz="0" w:space="0" w:color="auto"/>
      </w:divBdr>
    </w:div>
    <w:div w:id="127549157">
      <w:bodyDiv w:val="1"/>
      <w:marLeft w:val="0"/>
      <w:marRight w:val="0"/>
      <w:marTop w:val="0"/>
      <w:marBottom w:val="0"/>
      <w:divBdr>
        <w:top w:val="none" w:sz="0" w:space="0" w:color="auto"/>
        <w:left w:val="none" w:sz="0" w:space="0" w:color="auto"/>
        <w:bottom w:val="none" w:sz="0" w:space="0" w:color="auto"/>
        <w:right w:val="none" w:sz="0" w:space="0" w:color="auto"/>
      </w:divBdr>
    </w:div>
    <w:div w:id="127627668">
      <w:bodyDiv w:val="1"/>
      <w:marLeft w:val="0"/>
      <w:marRight w:val="0"/>
      <w:marTop w:val="0"/>
      <w:marBottom w:val="0"/>
      <w:divBdr>
        <w:top w:val="none" w:sz="0" w:space="0" w:color="auto"/>
        <w:left w:val="none" w:sz="0" w:space="0" w:color="auto"/>
        <w:bottom w:val="none" w:sz="0" w:space="0" w:color="auto"/>
        <w:right w:val="none" w:sz="0" w:space="0" w:color="auto"/>
      </w:divBdr>
    </w:div>
    <w:div w:id="128010782">
      <w:bodyDiv w:val="1"/>
      <w:marLeft w:val="0"/>
      <w:marRight w:val="0"/>
      <w:marTop w:val="0"/>
      <w:marBottom w:val="0"/>
      <w:divBdr>
        <w:top w:val="none" w:sz="0" w:space="0" w:color="auto"/>
        <w:left w:val="none" w:sz="0" w:space="0" w:color="auto"/>
        <w:bottom w:val="none" w:sz="0" w:space="0" w:color="auto"/>
        <w:right w:val="none" w:sz="0" w:space="0" w:color="auto"/>
      </w:divBdr>
    </w:div>
    <w:div w:id="128329340">
      <w:bodyDiv w:val="1"/>
      <w:marLeft w:val="0"/>
      <w:marRight w:val="0"/>
      <w:marTop w:val="0"/>
      <w:marBottom w:val="0"/>
      <w:divBdr>
        <w:top w:val="none" w:sz="0" w:space="0" w:color="auto"/>
        <w:left w:val="none" w:sz="0" w:space="0" w:color="auto"/>
        <w:bottom w:val="none" w:sz="0" w:space="0" w:color="auto"/>
        <w:right w:val="none" w:sz="0" w:space="0" w:color="auto"/>
      </w:divBdr>
    </w:div>
    <w:div w:id="128591002">
      <w:bodyDiv w:val="1"/>
      <w:marLeft w:val="0"/>
      <w:marRight w:val="0"/>
      <w:marTop w:val="0"/>
      <w:marBottom w:val="0"/>
      <w:divBdr>
        <w:top w:val="none" w:sz="0" w:space="0" w:color="auto"/>
        <w:left w:val="none" w:sz="0" w:space="0" w:color="auto"/>
        <w:bottom w:val="none" w:sz="0" w:space="0" w:color="auto"/>
        <w:right w:val="none" w:sz="0" w:space="0" w:color="auto"/>
      </w:divBdr>
    </w:div>
    <w:div w:id="128743464">
      <w:bodyDiv w:val="1"/>
      <w:marLeft w:val="0"/>
      <w:marRight w:val="0"/>
      <w:marTop w:val="0"/>
      <w:marBottom w:val="0"/>
      <w:divBdr>
        <w:top w:val="none" w:sz="0" w:space="0" w:color="auto"/>
        <w:left w:val="none" w:sz="0" w:space="0" w:color="auto"/>
        <w:bottom w:val="none" w:sz="0" w:space="0" w:color="auto"/>
        <w:right w:val="none" w:sz="0" w:space="0" w:color="auto"/>
      </w:divBdr>
    </w:div>
    <w:div w:id="128934525">
      <w:bodyDiv w:val="1"/>
      <w:marLeft w:val="0"/>
      <w:marRight w:val="0"/>
      <w:marTop w:val="0"/>
      <w:marBottom w:val="0"/>
      <w:divBdr>
        <w:top w:val="none" w:sz="0" w:space="0" w:color="auto"/>
        <w:left w:val="none" w:sz="0" w:space="0" w:color="auto"/>
        <w:bottom w:val="none" w:sz="0" w:space="0" w:color="auto"/>
        <w:right w:val="none" w:sz="0" w:space="0" w:color="auto"/>
      </w:divBdr>
    </w:div>
    <w:div w:id="128937584">
      <w:bodyDiv w:val="1"/>
      <w:marLeft w:val="0"/>
      <w:marRight w:val="0"/>
      <w:marTop w:val="0"/>
      <w:marBottom w:val="0"/>
      <w:divBdr>
        <w:top w:val="none" w:sz="0" w:space="0" w:color="auto"/>
        <w:left w:val="none" w:sz="0" w:space="0" w:color="auto"/>
        <w:bottom w:val="none" w:sz="0" w:space="0" w:color="auto"/>
        <w:right w:val="none" w:sz="0" w:space="0" w:color="auto"/>
      </w:divBdr>
    </w:div>
    <w:div w:id="129399713">
      <w:bodyDiv w:val="1"/>
      <w:marLeft w:val="0"/>
      <w:marRight w:val="0"/>
      <w:marTop w:val="0"/>
      <w:marBottom w:val="0"/>
      <w:divBdr>
        <w:top w:val="none" w:sz="0" w:space="0" w:color="auto"/>
        <w:left w:val="none" w:sz="0" w:space="0" w:color="auto"/>
        <w:bottom w:val="none" w:sz="0" w:space="0" w:color="auto"/>
        <w:right w:val="none" w:sz="0" w:space="0" w:color="auto"/>
      </w:divBdr>
    </w:div>
    <w:div w:id="129978516">
      <w:bodyDiv w:val="1"/>
      <w:marLeft w:val="0"/>
      <w:marRight w:val="0"/>
      <w:marTop w:val="0"/>
      <w:marBottom w:val="0"/>
      <w:divBdr>
        <w:top w:val="none" w:sz="0" w:space="0" w:color="auto"/>
        <w:left w:val="none" w:sz="0" w:space="0" w:color="auto"/>
        <w:bottom w:val="none" w:sz="0" w:space="0" w:color="auto"/>
        <w:right w:val="none" w:sz="0" w:space="0" w:color="auto"/>
      </w:divBdr>
    </w:div>
    <w:div w:id="130220078">
      <w:bodyDiv w:val="1"/>
      <w:marLeft w:val="0"/>
      <w:marRight w:val="0"/>
      <w:marTop w:val="0"/>
      <w:marBottom w:val="0"/>
      <w:divBdr>
        <w:top w:val="none" w:sz="0" w:space="0" w:color="auto"/>
        <w:left w:val="none" w:sz="0" w:space="0" w:color="auto"/>
        <w:bottom w:val="none" w:sz="0" w:space="0" w:color="auto"/>
        <w:right w:val="none" w:sz="0" w:space="0" w:color="auto"/>
      </w:divBdr>
    </w:div>
    <w:div w:id="130245979">
      <w:bodyDiv w:val="1"/>
      <w:marLeft w:val="0"/>
      <w:marRight w:val="0"/>
      <w:marTop w:val="0"/>
      <w:marBottom w:val="0"/>
      <w:divBdr>
        <w:top w:val="none" w:sz="0" w:space="0" w:color="auto"/>
        <w:left w:val="none" w:sz="0" w:space="0" w:color="auto"/>
        <w:bottom w:val="none" w:sz="0" w:space="0" w:color="auto"/>
        <w:right w:val="none" w:sz="0" w:space="0" w:color="auto"/>
      </w:divBdr>
    </w:div>
    <w:div w:id="130439888">
      <w:bodyDiv w:val="1"/>
      <w:marLeft w:val="0"/>
      <w:marRight w:val="0"/>
      <w:marTop w:val="0"/>
      <w:marBottom w:val="0"/>
      <w:divBdr>
        <w:top w:val="none" w:sz="0" w:space="0" w:color="auto"/>
        <w:left w:val="none" w:sz="0" w:space="0" w:color="auto"/>
        <w:bottom w:val="none" w:sz="0" w:space="0" w:color="auto"/>
        <w:right w:val="none" w:sz="0" w:space="0" w:color="auto"/>
      </w:divBdr>
    </w:div>
    <w:div w:id="130950316">
      <w:bodyDiv w:val="1"/>
      <w:marLeft w:val="0"/>
      <w:marRight w:val="0"/>
      <w:marTop w:val="0"/>
      <w:marBottom w:val="0"/>
      <w:divBdr>
        <w:top w:val="none" w:sz="0" w:space="0" w:color="auto"/>
        <w:left w:val="none" w:sz="0" w:space="0" w:color="auto"/>
        <w:bottom w:val="none" w:sz="0" w:space="0" w:color="auto"/>
        <w:right w:val="none" w:sz="0" w:space="0" w:color="auto"/>
      </w:divBdr>
    </w:div>
    <w:div w:id="131099615">
      <w:bodyDiv w:val="1"/>
      <w:marLeft w:val="0"/>
      <w:marRight w:val="0"/>
      <w:marTop w:val="0"/>
      <w:marBottom w:val="0"/>
      <w:divBdr>
        <w:top w:val="none" w:sz="0" w:space="0" w:color="auto"/>
        <w:left w:val="none" w:sz="0" w:space="0" w:color="auto"/>
        <w:bottom w:val="none" w:sz="0" w:space="0" w:color="auto"/>
        <w:right w:val="none" w:sz="0" w:space="0" w:color="auto"/>
      </w:divBdr>
    </w:div>
    <w:div w:id="131140089">
      <w:bodyDiv w:val="1"/>
      <w:marLeft w:val="0"/>
      <w:marRight w:val="0"/>
      <w:marTop w:val="0"/>
      <w:marBottom w:val="0"/>
      <w:divBdr>
        <w:top w:val="none" w:sz="0" w:space="0" w:color="auto"/>
        <w:left w:val="none" w:sz="0" w:space="0" w:color="auto"/>
        <w:bottom w:val="none" w:sz="0" w:space="0" w:color="auto"/>
        <w:right w:val="none" w:sz="0" w:space="0" w:color="auto"/>
      </w:divBdr>
    </w:div>
    <w:div w:id="131290642">
      <w:bodyDiv w:val="1"/>
      <w:marLeft w:val="0"/>
      <w:marRight w:val="0"/>
      <w:marTop w:val="0"/>
      <w:marBottom w:val="0"/>
      <w:divBdr>
        <w:top w:val="none" w:sz="0" w:space="0" w:color="auto"/>
        <w:left w:val="none" w:sz="0" w:space="0" w:color="auto"/>
        <w:bottom w:val="none" w:sz="0" w:space="0" w:color="auto"/>
        <w:right w:val="none" w:sz="0" w:space="0" w:color="auto"/>
      </w:divBdr>
    </w:div>
    <w:div w:id="131870085">
      <w:bodyDiv w:val="1"/>
      <w:marLeft w:val="0"/>
      <w:marRight w:val="0"/>
      <w:marTop w:val="0"/>
      <w:marBottom w:val="0"/>
      <w:divBdr>
        <w:top w:val="none" w:sz="0" w:space="0" w:color="auto"/>
        <w:left w:val="none" w:sz="0" w:space="0" w:color="auto"/>
        <w:bottom w:val="none" w:sz="0" w:space="0" w:color="auto"/>
        <w:right w:val="none" w:sz="0" w:space="0" w:color="auto"/>
      </w:divBdr>
    </w:div>
    <w:div w:id="131872568">
      <w:bodyDiv w:val="1"/>
      <w:marLeft w:val="0"/>
      <w:marRight w:val="0"/>
      <w:marTop w:val="0"/>
      <w:marBottom w:val="0"/>
      <w:divBdr>
        <w:top w:val="none" w:sz="0" w:space="0" w:color="auto"/>
        <w:left w:val="none" w:sz="0" w:space="0" w:color="auto"/>
        <w:bottom w:val="none" w:sz="0" w:space="0" w:color="auto"/>
        <w:right w:val="none" w:sz="0" w:space="0" w:color="auto"/>
      </w:divBdr>
    </w:div>
    <w:div w:id="131990739">
      <w:bodyDiv w:val="1"/>
      <w:marLeft w:val="0"/>
      <w:marRight w:val="0"/>
      <w:marTop w:val="0"/>
      <w:marBottom w:val="0"/>
      <w:divBdr>
        <w:top w:val="none" w:sz="0" w:space="0" w:color="auto"/>
        <w:left w:val="none" w:sz="0" w:space="0" w:color="auto"/>
        <w:bottom w:val="none" w:sz="0" w:space="0" w:color="auto"/>
        <w:right w:val="none" w:sz="0" w:space="0" w:color="auto"/>
      </w:divBdr>
    </w:div>
    <w:div w:id="132145053">
      <w:bodyDiv w:val="1"/>
      <w:marLeft w:val="0"/>
      <w:marRight w:val="0"/>
      <w:marTop w:val="0"/>
      <w:marBottom w:val="0"/>
      <w:divBdr>
        <w:top w:val="none" w:sz="0" w:space="0" w:color="auto"/>
        <w:left w:val="none" w:sz="0" w:space="0" w:color="auto"/>
        <w:bottom w:val="none" w:sz="0" w:space="0" w:color="auto"/>
        <w:right w:val="none" w:sz="0" w:space="0" w:color="auto"/>
      </w:divBdr>
    </w:div>
    <w:div w:id="132215316">
      <w:bodyDiv w:val="1"/>
      <w:marLeft w:val="0"/>
      <w:marRight w:val="0"/>
      <w:marTop w:val="0"/>
      <w:marBottom w:val="0"/>
      <w:divBdr>
        <w:top w:val="none" w:sz="0" w:space="0" w:color="auto"/>
        <w:left w:val="none" w:sz="0" w:space="0" w:color="auto"/>
        <w:bottom w:val="none" w:sz="0" w:space="0" w:color="auto"/>
        <w:right w:val="none" w:sz="0" w:space="0" w:color="auto"/>
      </w:divBdr>
    </w:div>
    <w:div w:id="132217914">
      <w:bodyDiv w:val="1"/>
      <w:marLeft w:val="0"/>
      <w:marRight w:val="0"/>
      <w:marTop w:val="0"/>
      <w:marBottom w:val="0"/>
      <w:divBdr>
        <w:top w:val="none" w:sz="0" w:space="0" w:color="auto"/>
        <w:left w:val="none" w:sz="0" w:space="0" w:color="auto"/>
        <w:bottom w:val="none" w:sz="0" w:space="0" w:color="auto"/>
        <w:right w:val="none" w:sz="0" w:space="0" w:color="auto"/>
      </w:divBdr>
    </w:div>
    <w:div w:id="132526019">
      <w:bodyDiv w:val="1"/>
      <w:marLeft w:val="0"/>
      <w:marRight w:val="0"/>
      <w:marTop w:val="0"/>
      <w:marBottom w:val="0"/>
      <w:divBdr>
        <w:top w:val="none" w:sz="0" w:space="0" w:color="auto"/>
        <w:left w:val="none" w:sz="0" w:space="0" w:color="auto"/>
        <w:bottom w:val="none" w:sz="0" w:space="0" w:color="auto"/>
        <w:right w:val="none" w:sz="0" w:space="0" w:color="auto"/>
      </w:divBdr>
    </w:div>
    <w:div w:id="132602910">
      <w:bodyDiv w:val="1"/>
      <w:marLeft w:val="0"/>
      <w:marRight w:val="0"/>
      <w:marTop w:val="0"/>
      <w:marBottom w:val="0"/>
      <w:divBdr>
        <w:top w:val="none" w:sz="0" w:space="0" w:color="auto"/>
        <w:left w:val="none" w:sz="0" w:space="0" w:color="auto"/>
        <w:bottom w:val="none" w:sz="0" w:space="0" w:color="auto"/>
        <w:right w:val="none" w:sz="0" w:space="0" w:color="auto"/>
      </w:divBdr>
    </w:div>
    <w:div w:id="132717384">
      <w:bodyDiv w:val="1"/>
      <w:marLeft w:val="0"/>
      <w:marRight w:val="0"/>
      <w:marTop w:val="0"/>
      <w:marBottom w:val="0"/>
      <w:divBdr>
        <w:top w:val="none" w:sz="0" w:space="0" w:color="auto"/>
        <w:left w:val="none" w:sz="0" w:space="0" w:color="auto"/>
        <w:bottom w:val="none" w:sz="0" w:space="0" w:color="auto"/>
        <w:right w:val="none" w:sz="0" w:space="0" w:color="auto"/>
      </w:divBdr>
    </w:div>
    <w:div w:id="132992462">
      <w:bodyDiv w:val="1"/>
      <w:marLeft w:val="0"/>
      <w:marRight w:val="0"/>
      <w:marTop w:val="0"/>
      <w:marBottom w:val="0"/>
      <w:divBdr>
        <w:top w:val="none" w:sz="0" w:space="0" w:color="auto"/>
        <w:left w:val="none" w:sz="0" w:space="0" w:color="auto"/>
        <w:bottom w:val="none" w:sz="0" w:space="0" w:color="auto"/>
        <w:right w:val="none" w:sz="0" w:space="0" w:color="auto"/>
      </w:divBdr>
    </w:div>
    <w:div w:id="133065121">
      <w:bodyDiv w:val="1"/>
      <w:marLeft w:val="0"/>
      <w:marRight w:val="0"/>
      <w:marTop w:val="0"/>
      <w:marBottom w:val="0"/>
      <w:divBdr>
        <w:top w:val="none" w:sz="0" w:space="0" w:color="auto"/>
        <w:left w:val="none" w:sz="0" w:space="0" w:color="auto"/>
        <w:bottom w:val="none" w:sz="0" w:space="0" w:color="auto"/>
        <w:right w:val="none" w:sz="0" w:space="0" w:color="auto"/>
      </w:divBdr>
    </w:div>
    <w:div w:id="133331404">
      <w:bodyDiv w:val="1"/>
      <w:marLeft w:val="0"/>
      <w:marRight w:val="0"/>
      <w:marTop w:val="0"/>
      <w:marBottom w:val="0"/>
      <w:divBdr>
        <w:top w:val="none" w:sz="0" w:space="0" w:color="auto"/>
        <w:left w:val="none" w:sz="0" w:space="0" w:color="auto"/>
        <w:bottom w:val="none" w:sz="0" w:space="0" w:color="auto"/>
        <w:right w:val="none" w:sz="0" w:space="0" w:color="auto"/>
      </w:divBdr>
    </w:div>
    <w:div w:id="133376177">
      <w:bodyDiv w:val="1"/>
      <w:marLeft w:val="0"/>
      <w:marRight w:val="0"/>
      <w:marTop w:val="0"/>
      <w:marBottom w:val="0"/>
      <w:divBdr>
        <w:top w:val="none" w:sz="0" w:space="0" w:color="auto"/>
        <w:left w:val="none" w:sz="0" w:space="0" w:color="auto"/>
        <w:bottom w:val="none" w:sz="0" w:space="0" w:color="auto"/>
        <w:right w:val="none" w:sz="0" w:space="0" w:color="auto"/>
      </w:divBdr>
    </w:div>
    <w:div w:id="133452506">
      <w:bodyDiv w:val="1"/>
      <w:marLeft w:val="0"/>
      <w:marRight w:val="0"/>
      <w:marTop w:val="0"/>
      <w:marBottom w:val="0"/>
      <w:divBdr>
        <w:top w:val="none" w:sz="0" w:space="0" w:color="auto"/>
        <w:left w:val="none" w:sz="0" w:space="0" w:color="auto"/>
        <w:bottom w:val="none" w:sz="0" w:space="0" w:color="auto"/>
        <w:right w:val="none" w:sz="0" w:space="0" w:color="auto"/>
      </w:divBdr>
    </w:div>
    <w:div w:id="133522803">
      <w:bodyDiv w:val="1"/>
      <w:marLeft w:val="0"/>
      <w:marRight w:val="0"/>
      <w:marTop w:val="0"/>
      <w:marBottom w:val="0"/>
      <w:divBdr>
        <w:top w:val="none" w:sz="0" w:space="0" w:color="auto"/>
        <w:left w:val="none" w:sz="0" w:space="0" w:color="auto"/>
        <w:bottom w:val="none" w:sz="0" w:space="0" w:color="auto"/>
        <w:right w:val="none" w:sz="0" w:space="0" w:color="auto"/>
      </w:divBdr>
    </w:div>
    <w:div w:id="133759283">
      <w:bodyDiv w:val="1"/>
      <w:marLeft w:val="0"/>
      <w:marRight w:val="0"/>
      <w:marTop w:val="0"/>
      <w:marBottom w:val="0"/>
      <w:divBdr>
        <w:top w:val="none" w:sz="0" w:space="0" w:color="auto"/>
        <w:left w:val="none" w:sz="0" w:space="0" w:color="auto"/>
        <w:bottom w:val="none" w:sz="0" w:space="0" w:color="auto"/>
        <w:right w:val="none" w:sz="0" w:space="0" w:color="auto"/>
      </w:divBdr>
    </w:div>
    <w:div w:id="133762023">
      <w:bodyDiv w:val="1"/>
      <w:marLeft w:val="0"/>
      <w:marRight w:val="0"/>
      <w:marTop w:val="0"/>
      <w:marBottom w:val="0"/>
      <w:divBdr>
        <w:top w:val="none" w:sz="0" w:space="0" w:color="auto"/>
        <w:left w:val="none" w:sz="0" w:space="0" w:color="auto"/>
        <w:bottom w:val="none" w:sz="0" w:space="0" w:color="auto"/>
        <w:right w:val="none" w:sz="0" w:space="0" w:color="auto"/>
      </w:divBdr>
    </w:div>
    <w:div w:id="134757910">
      <w:bodyDiv w:val="1"/>
      <w:marLeft w:val="0"/>
      <w:marRight w:val="0"/>
      <w:marTop w:val="0"/>
      <w:marBottom w:val="0"/>
      <w:divBdr>
        <w:top w:val="none" w:sz="0" w:space="0" w:color="auto"/>
        <w:left w:val="none" w:sz="0" w:space="0" w:color="auto"/>
        <w:bottom w:val="none" w:sz="0" w:space="0" w:color="auto"/>
        <w:right w:val="none" w:sz="0" w:space="0" w:color="auto"/>
      </w:divBdr>
    </w:div>
    <w:div w:id="135025816">
      <w:bodyDiv w:val="1"/>
      <w:marLeft w:val="0"/>
      <w:marRight w:val="0"/>
      <w:marTop w:val="0"/>
      <w:marBottom w:val="0"/>
      <w:divBdr>
        <w:top w:val="none" w:sz="0" w:space="0" w:color="auto"/>
        <w:left w:val="none" w:sz="0" w:space="0" w:color="auto"/>
        <w:bottom w:val="none" w:sz="0" w:space="0" w:color="auto"/>
        <w:right w:val="none" w:sz="0" w:space="0" w:color="auto"/>
      </w:divBdr>
    </w:div>
    <w:div w:id="135269999">
      <w:bodyDiv w:val="1"/>
      <w:marLeft w:val="0"/>
      <w:marRight w:val="0"/>
      <w:marTop w:val="0"/>
      <w:marBottom w:val="0"/>
      <w:divBdr>
        <w:top w:val="none" w:sz="0" w:space="0" w:color="auto"/>
        <w:left w:val="none" w:sz="0" w:space="0" w:color="auto"/>
        <w:bottom w:val="none" w:sz="0" w:space="0" w:color="auto"/>
        <w:right w:val="none" w:sz="0" w:space="0" w:color="auto"/>
      </w:divBdr>
    </w:div>
    <w:div w:id="135536326">
      <w:bodyDiv w:val="1"/>
      <w:marLeft w:val="0"/>
      <w:marRight w:val="0"/>
      <w:marTop w:val="0"/>
      <w:marBottom w:val="0"/>
      <w:divBdr>
        <w:top w:val="none" w:sz="0" w:space="0" w:color="auto"/>
        <w:left w:val="none" w:sz="0" w:space="0" w:color="auto"/>
        <w:bottom w:val="none" w:sz="0" w:space="0" w:color="auto"/>
        <w:right w:val="none" w:sz="0" w:space="0" w:color="auto"/>
      </w:divBdr>
    </w:div>
    <w:div w:id="135925086">
      <w:bodyDiv w:val="1"/>
      <w:marLeft w:val="0"/>
      <w:marRight w:val="0"/>
      <w:marTop w:val="0"/>
      <w:marBottom w:val="0"/>
      <w:divBdr>
        <w:top w:val="none" w:sz="0" w:space="0" w:color="auto"/>
        <w:left w:val="none" w:sz="0" w:space="0" w:color="auto"/>
        <w:bottom w:val="none" w:sz="0" w:space="0" w:color="auto"/>
        <w:right w:val="none" w:sz="0" w:space="0" w:color="auto"/>
      </w:divBdr>
    </w:div>
    <w:div w:id="135993934">
      <w:bodyDiv w:val="1"/>
      <w:marLeft w:val="0"/>
      <w:marRight w:val="0"/>
      <w:marTop w:val="0"/>
      <w:marBottom w:val="0"/>
      <w:divBdr>
        <w:top w:val="none" w:sz="0" w:space="0" w:color="auto"/>
        <w:left w:val="none" w:sz="0" w:space="0" w:color="auto"/>
        <w:bottom w:val="none" w:sz="0" w:space="0" w:color="auto"/>
        <w:right w:val="none" w:sz="0" w:space="0" w:color="auto"/>
      </w:divBdr>
    </w:div>
    <w:div w:id="136462614">
      <w:bodyDiv w:val="1"/>
      <w:marLeft w:val="0"/>
      <w:marRight w:val="0"/>
      <w:marTop w:val="0"/>
      <w:marBottom w:val="0"/>
      <w:divBdr>
        <w:top w:val="none" w:sz="0" w:space="0" w:color="auto"/>
        <w:left w:val="none" w:sz="0" w:space="0" w:color="auto"/>
        <w:bottom w:val="none" w:sz="0" w:space="0" w:color="auto"/>
        <w:right w:val="none" w:sz="0" w:space="0" w:color="auto"/>
      </w:divBdr>
    </w:div>
    <w:div w:id="136533471">
      <w:bodyDiv w:val="1"/>
      <w:marLeft w:val="0"/>
      <w:marRight w:val="0"/>
      <w:marTop w:val="0"/>
      <w:marBottom w:val="0"/>
      <w:divBdr>
        <w:top w:val="none" w:sz="0" w:space="0" w:color="auto"/>
        <w:left w:val="none" w:sz="0" w:space="0" w:color="auto"/>
        <w:bottom w:val="none" w:sz="0" w:space="0" w:color="auto"/>
        <w:right w:val="none" w:sz="0" w:space="0" w:color="auto"/>
      </w:divBdr>
    </w:div>
    <w:div w:id="136924823">
      <w:bodyDiv w:val="1"/>
      <w:marLeft w:val="0"/>
      <w:marRight w:val="0"/>
      <w:marTop w:val="0"/>
      <w:marBottom w:val="0"/>
      <w:divBdr>
        <w:top w:val="none" w:sz="0" w:space="0" w:color="auto"/>
        <w:left w:val="none" w:sz="0" w:space="0" w:color="auto"/>
        <w:bottom w:val="none" w:sz="0" w:space="0" w:color="auto"/>
        <w:right w:val="none" w:sz="0" w:space="0" w:color="auto"/>
      </w:divBdr>
    </w:div>
    <w:div w:id="137111955">
      <w:bodyDiv w:val="1"/>
      <w:marLeft w:val="0"/>
      <w:marRight w:val="0"/>
      <w:marTop w:val="0"/>
      <w:marBottom w:val="0"/>
      <w:divBdr>
        <w:top w:val="none" w:sz="0" w:space="0" w:color="auto"/>
        <w:left w:val="none" w:sz="0" w:space="0" w:color="auto"/>
        <w:bottom w:val="none" w:sz="0" w:space="0" w:color="auto"/>
        <w:right w:val="none" w:sz="0" w:space="0" w:color="auto"/>
      </w:divBdr>
      <w:divsChild>
        <w:div w:id="711345496">
          <w:marLeft w:val="0"/>
          <w:marRight w:val="0"/>
          <w:marTop w:val="0"/>
          <w:marBottom w:val="0"/>
          <w:divBdr>
            <w:top w:val="none" w:sz="0" w:space="0" w:color="auto"/>
            <w:left w:val="none" w:sz="0" w:space="0" w:color="auto"/>
            <w:bottom w:val="none" w:sz="0" w:space="0" w:color="auto"/>
            <w:right w:val="none" w:sz="0" w:space="0" w:color="auto"/>
          </w:divBdr>
        </w:div>
        <w:div w:id="1101494334">
          <w:marLeft w:val="0"/>
          <w:marRight w:val="0"/>
          <w:marTop w:val="0"/>
          <w:marBottom w:val="0"/>
          <w:divBdr>
            <w:top w:val="none" w:sz="0" w:space="0" w:color="auto"/>
            <w:left w:val="none" w:sz="0" w:space="0" w:color="auto"/>
            <w:bottom w:val="none" w:sz="0" w:space="0" w:color="auto"/>
            <w:right w:val="none" w:sz="0" w:space="0" w:color="auto"/>
          </w:divBdr>
        </w:div>
        <w:div w:id="1786386629">
          <w:marLeft w:val="0"/>
          <w:marRight w:val="0"/>
          <w:marTop w:val="0"/>
          <w:marBottom w:val="0"/>
          <w:divBdr>
            <w:top w:val="none" w:sz="0" w:space="0" w:color="auto"/>
            <w:left w:val="none" w:sz="0" w:space="0" w:color="auto"/>
            <w:bottom w:val="none" w:sz="0" w:space="0" w:color="auto"/>
            <w:right w:val="none" w:sz="0" w:space="0" w:color="auto"/>
          </w:divBdr>
        </w:div>
        <w:div w:id="1885215792">
          <w:marLeft w:val="0"/>
          <w:marRight w:val="0"/>
          <w:marTop w:val="0"/>
          <w:marBottom w:val="0"/>
          <w:divBdr>
            <w:top w:val="none" w:sz="0" w:space="0" w:color="auto"/>
            <w:left w:val="none" w:sz="0" w:space="0" w:color="auto"/>
            <w:bottom w:val="none" w:sz="0" w:space="0" w:color="auto"/>
            <w:right w:val="none" w:sz="0" w:space="0" w:color="auto"/>
          </w:divBdr>
        </w:div>
        <w:div w:id="2020965904">
          <w:marLeft w:val="0"/>
          <w:marRight w:val="0"/>
          <w:marTop w:val="0"/>
          <w:marBottom w:val="0"/>
          <w:divBdr>
            <w:top w:val="none" w:sz="0" w:space="0" w:color="auto"/>
            <w:left w:val="none" w:sz="0" w:space="0" w:color="auto"/>
            <w:bottom w:val="none" w:sz="0" w:space="0" w:color="auto"/>
            <w:right w:val="none" w:sz="0" w:space="0" w:color="auto"/>
          </w:divBdr>
        </w:div>
      </w:divsChild>
    </w:div>
    <w:div w:id="137504453">
      <w:bodyDiv w:val="1"/>
      <w:marLeft w:val="0"/>
      <w:marRight w:val="0"/>
      <w:marTop w:val="0"/>
      <w:marBottom w:val="0"/>
      <w:divBdr>
        <w:top w:val="none" w:sz="0" w:space="0" w:color="auto"/>
        <w:left w:val="none" w:sz="0" w:space="0" w:color="auto"/>
        <w:bottom w:val="none" w:sz="0" w:space="0" w:color="auto"/>
        <w:right w:val="none" w:sz="0" w:space="0" w:color="auto"/>
      </w:divBdr>
    </w:div>
    <w:div w:id="137578171">
      <w:bodyDiv w:val="1"/>
      <w:marLeft w:val="0"/>
      <w:marRight w:val="0"/>
      <w:marTop w:val="0"/>
      <w:marBottom w:val="0"/>
      <w:divBdr>
        <w:top w:val="none" w:sz="0" w:space="0" w:color="auto"/>
        <w:left w:val="none" w:sz="0" w:space="0" w:color="auto"/>
        <w:bottom w:val="none" w:sz="0" w:space="0" w:color="auto"/>
        <w:right w:val="none" w:sz="0" w:space="0" w:color="auto"/>
      </w:divBdr>
    </w:div>
    <w:div w:id="138152277">
      <w:bodyDiv w:val="1"/>
      <w:marLeft w:val="0"/>
      <w:marRight w:val="0"/>
      <w:marTop w:val="0"/>
      <w:marBottom w:val="0"/>
      <w:divBdr>
        <w:top w:val="none" w:sz="0" w:space="0" w:color="auto"/>
        <w:left w:val="none" w:sz="0" w:space="0" w:color="auto"/>
        <w:bottom w:val="none" w:sz="0" w:space="0" w:color="auto"/>
        <w:right w:val="none" w:sz="0" w:space="0" w:color="auto"/>
      </w:divBdr>
    </w:div>
    <w:div w:id="138424987">
      <w:bodyDiv w:val="1"/>
      <w:marLeft w:val="0"/>
      <w:marRight w:val="0"/>
      <w:marTop w:val="0"/>
      <w:marBottom w:val="0"/>
      <w:divBdr>
        <w:top w:val="none" w:sz="0" w:space="0" w:color="auto"/>
        <w:left w:val="none" w:sz="0" w:space="0" w:color="auto"/>
        <w:bottom w:val="none" w:sz="0" w:space="0" w:color="auto"/>
        <w:right w:val="none" w:sz="0" w:space="0" w:color="auto"/>
      </w:divBdr>
    </w:div>
    <w:div w:id="138691429">
      <w:bodyDiv w:val="1"/>
      <w:marLeft w:val="0"/>
      <w:marRight w:val="0"/>
      <w:marTop w:val="0"/>
      <w:marBottom w:val="0"/>
      <w:divBdr>
        <w:top w:val="none" w:sz="0" w:space="0" w:color="auto"/>
        <w:left w:val="none" w:sz="0" w:space="0" w:color="auto"/>
        <w:bottom w:val="none" w:sz="0" w:space="0" w:color="auto"/>
        <w:right w:val="none" w:sz="0" w:space="0" w:color="auto"/>
      </w:divBdr>
    </w:div>
    <w:div w:id="138957059">
      <w:bodyDiv w:val="1"/>
      <w:marLeft w:val="0"/>
      <w:marRight w:val="0"/>
      <w:marTop w:val="0"/>
      <w:marBottom w:val="0"/>
      <w:divBdr>
        <w:top w:val="none" w:sz="0" w:space="0" w:color="auto"/>
        <w:left w:val="none" w:sz="0" w:space="0" w:color="auto"/>
        <w:bottom w:val="none" w:sz="0" w:space="0" w:color="auto"/>
        <w:right w:val="none" w:sz="0" w:space="0" w:color="auto"/>
      </w:divBdr>
    </w:div>
    <w:div w:id="139274078">
      <w:bodyDiv w:val="1"/>
      <w:marLeft w:val="0"/>
      <w:marRight w:val="0"/>
      <w:marTop w:val="0"/>
      <w:marBottom w:val="0"/>
      <w:divBdr>
        <w:top w:val="none" w:sz="0" w:space="0" w:color="auto"/>
        <w:left w:val="none" w:sz="0" w:space="0" w:color="auto"/>
        <w:bottom w:val="none" w:sz="0" w:space="0" w:color="auto"/>
        <w:right w:val="none" w:sz="0" w:space="0" w:color="auto"/>
      </w:divBdr>
    </w:div>
    <w:div w:id="139421129">
      <w:bodyDiv w:val="1"/>
      <w:marLeft w:val="0"/>
      <w:marRight w:val="0"/>
      <w:marTop w:val="0"/>
      <w:marBottom w:val="0"/>
      <w:divBdr>
        <w:top w:val="none" w:sz="0" w:space="0" w:color="auto"/>
        <w:left w:val="none" w:sz="0" w:space="0" w:color="auto"/>
        <w:bottom w:val="none" w:sz="0" w:space="0" w:color="auto"/>
        <w:right w:val="none" w:sz="0" w:space="0" w:color="auto"/>
      </w:divBdr>
    </w:div>
    <w:div w:id="139538510">
      <w:bodyDiv w:val="1"/>
      <w:marLeft w:val="0"/>
      <w:marRight w:val="0"/>
      <w:marTop w:val="0"/>
      <w:marBottom w:val="0"/>
      <w:divBdr>
        <w:top w:val="none" w:sz="0" w:space="0" w:color="auto"/>
        <w:left w:val="none" w:sz="0" w:space="0" w:color="auto"/>
        <w:bottom w:val="none" w:sz="0" w:space="0" w:color="auto"/>
        <w:right w:val="none" w:sz="0" w:space="0" w:color="auto"/>
      </w:divBdr>
    </w:div>
    <w:div w:id="139541370">
      <w:bodyDiv w:val="1"/>
      <w:marLeft w:val="0"/>
      <w:marRight w:val="0"/>
      <w:marTop w:val="0"/>
      <w:marBottom w:val="0"/>
      <w:divBdr>
        <w:top w:val="none" w:sz="0" w:space="0" w:color="auto"/>
        <w:left w:val="none" w:sz="0" w:space="0" w:color="auto"/>
        <w:bottom w:val="none" w:sz="0" w:space="0" w:color="auto"/>
        <w:right w:val="none" w:sz="0" w:space="0" w:color="auto"/>
      </w:divBdr>
    </w:div>
    <w:div w:id="139689262">
      <w:bodyDiv w:val="1"/>
      <w:marLeft w:val="0"/>
      <w:marRight w:val="0"/>
      <w:marTop w:val="0"/>
      <w:marBottom w:val="0"/>
      <w:divBdr>
        <w:top w:val="none" w:sz="0" w:space="0" w:color="auto"/>
        <w:left w:val="none" w:sz="0" w:space="0" w:color="auto"/>
        <w:bottom w:val="none" w:sz="0" w:space="0" w:color="auto"/>
        <w:right w:val="none" w:sz="0" w:space="0" w:color="auto"/>
      </w:divBdr>
    </w:div>
    <w:div w:id="139736039">
      <w:bodyDiv w:val="1"/>
      <w:marLeft w:val="0"/>
      <w:marRight w:val="0"/>
      <w:marTop w:val="0"/>
      <w:marBottom w:val="0"/>
      <w:divBdr>
        <w:top w:val="none" w:sz="0" w:space="0" w:color="auto"/>
        <w:left w:val="none" w:sz="0" w:space="0" w:color="auto"/>
        <w:bottom w:val="none" w:sz="0" w:space="0" w:color="auto"/>
        <w:right w:val="none" w:sz="0" w:space="0" w:color="auto"/>
      </w:divBdr>
    </w:div>
    <w:div w:id="140319366">
      <w:bodyDiv w:val="1"/>
      <w:marLeft w:val="0"/>
      <w:marRight w:val="0"/>
      <w:marTop w:val="0"/>
      <w:marBottom w:val="0"/>
      <w:divBdr>
        <w:top w:val="none" w:sz="0" w:space="0" w:color="auto"/>
        <w:left w:val="none" w:sz="0" w:space="0" w:color="auto"/>
        <w:bottom w:val="none" w:sz="0" w:space="0" w:color="auto"/>
        <w:right w:val="none" w:sz="0" w:space="0" w:color="auto"/>
      </w:divBdr>
    </w:div>
    <w:div w:id="140393658">
      <w:bodyDiv w:val="1"/>
      <w:marLeft w:val="0"/>
      <w:marRight w:val="0"/>
      <w:marTop w:val="0"/>
      <w:marBottom w:val="0"/>
      <w:divBdr>
        <w:top w:val="none" w:sz="0" w:space="0" w:color="auto"/>
        <w:left w:val="none" w:sz="0" w:space="0" w:color="auto"/>
        <w:bottom w:val="none" w:sz="0" w:space="0" w:color="auto"/>
        <w:right w:val="none" w:sz="0" w:space="0" w:color="auto"/>
      </w:divBdr>
    </w:div>
    <w:div w:id="140583527">
      <w:bodyDiv w:val="1"/>
      <w:marLeft w:val="0"/>
      <w:marRight w:val="0"/>
      <w:marTop w:val="0"/>
      <w:marBottom w:val="0"/>
      <w:divBdr>
        <w:top w:val="none" w:sz="0" w:space="0" w:color="auto"/>
        <w:left w:val="none" w:sz="0" w:space="0" w:color="auto"/>
        <w:bottom w:val="none" w:sz="0" w:space="0" w:color="auto"/>
        <w:right w:val="none" w:sz="0" w:space="0" w:color="auto"/>
      </w:divBdr>
    </w:div>
    <w:div w:id="140925517">
      <w:bodyDiv w:val="1"/>
      <w:marLeft w:val="0"/>
      <w:marRight w:val="0"/>
      <w:marTop w:val="0"/>
      <w:marBottom w:val="0"/>
      <w:divBdr>
        <w:top w:val="none" w:sz="0" w:space="0" w:color="auto"/>
        <w:left w:val="none" w:sz="0" w:space="0" w:color="auto"/>
        <w:bottom w:val="none" w:sz="0" w:space="0" w:color="auto"/>
        <w:right w:val="none" w:sz="0" w:space="0" w:color="auto"/>
      </w:divBdr>
    </w:div>
    <w:div w:id="140929255">
      <w:bodyDiv w:val="1"/>
      <w:marLeft w:val="0"/>
      <w:marRight w:val="0"/>
      <w:marTop w:val="0"/>
      <w:marBottom w:val="0"/>
      <w:divBdr>
        <w:top w:val="none" w:sz="0" w:space="0" w:color="auto"/>
        <w:left w:val="none" w:sz="0" w:space="0" w:color="auto"/>
        <w:bottom w:val="none" w:sz="0" w:space="0" w:color="auto"/>
        <w:right w:val="none" w:sz="0" w:space="0" w:color="auto"/>
      </w:divBdr>
    </w:div>
    <w:div w:id="141115906">
      <w:bodyDiv w:val="1"/>
      <w:marLeft w:val="0"/>
      <w:marRight w:val="0"/>
      <w:marTop w:val="0"/>
      <w:marBottom w:val="0"/>
      <w:divBdr>
        <w:top w:val="none" w:sz="0" w:space="0" w:color="auto"/>
        <w:left w:val="none" w:sz="0" w:space="0" w:color="auto"/>
        <w:bottom w:val="none" w:sz="0" w:space="0" w:color="auto"/>
        <w:right w:val="none" w:sz="0" w:space="0" w:color="auto"/>
      </w:divBdr>
    </w:div>
    <w:div w:id="141361226">
      <w:bodyDiv w:val="1"/>
      <w:marLeft w:val="0"/>
      <w:marRight w:val="0"/>
      <w:marTop w:val="0"/>
      <w:marBottom w:val="0"/>
      <w:divBdr>
        <w:top w:val="none" w:sz="0" w:space="0" w:color="auto"/>
        <w:left w:val="none" w:sz="0" w:space="0" w:color="auto"/>
        <w:bottom w:val="none" w:sz="0" w:space="0" w:color="auto"/>
        <w:right w:val="none" w:sz="0" w:space="0" w:color="auto"/>
      </w:divBdr>
    </w:div>
    <w:div w:id="141628827">
      <w:bodyDiv w:val="1"/>
      <w:marLeft w:val="0"/>
      <w:marRight w:val="0"/>
      <w:marTop w:val="0"/>
      <w:marBottom w:val="0"/>
      <w:divBdr>
        <w:top w:val="none" w:sz="0" w:space="0" w:color="auto"/>
        <w:left w:val="none" w:sz="0" w:space="0" w:color="auto"/>
        <w:bottom w:val="none" w:sz="0" w:space="0" w:color="auto"/>
        <w:right w:val="none" w:sz="0" w:space="0" w:color="auto"/>
      </w:divBdr>
    </w:div>
    <w:div w:id="141780859">
      <w:bodyDiv w:val="1"/>
      <w:marLeft w:val="0"/>
      <w:marRight w:val="0"/>
      <w:marTop w:val="0"/>
      <w:marBottom w:val="0"/>
      <w:divBdr>
        <w:top w:val="none" w:sz="0" w:space="0" w:color="auto"/>
        <w:left w:val="none" w:sz="0" w:space="0" w:color="auto"/>
        <w:bottom w:val="none" w:sz="0" w:space="0" w:color="auto"/>
        <w:right w:val="none" w:sz="0" w:space="0" w:color="auto"/>
      </w:divBdr>
    </w:div>
    <w:div w:id="142242747">
      <w:bodyDiv w:val="1"/>
      <w:marLeft w:val="0"/>
      <w:marRight w:val="0"/>
      <w:marTop w:val="0"/>
      <w:marBottom w:val="0"/>
      <w:divBdr>
        <w:top w:val="none" w:sz="0" w:space="0" w:color="auto"/>
        <w:left w:val="none" w:sz="0" w:space="0" w:color="auto"/>
        <w:bottom w:val="none" w:sz="0" w:space="0" w:color="auto"/>
        <w:right w:val="none" w:sz="0" w:space="0" w:color="auto"/>
      </w:divBdr>
    </w:div>
    <w:div w:id="142695384">
      <w:bodyDiv w:val="1"/>
      <w:marLeft w:val="0"/>
      <w:marRight w:val="0"/>
      <w:marTop w:val="0"/>
      <w:marBottom w:val="0"/>
      <w:divBdr>
        <w:top w:val="none" w:sz="0" w:space="0" w:color="auto"/>
        <w:left w:val="none" w:sz="0" w:space="0" w:color="auto"/>
        <w:bottom w:val="none" w:sz="0" w:space="0" w:color="auto"/>
        <w:right w:val="none" w:sz="0" w:space="0" w:color="auto"/>
      </w:divBdr>
    </w:div>
    <w:div w:id="142703163">
      <w:bodyDiv w:val="1"/>
      <w:marLeft w:val="0"/>
      <w:marRight w:val="0"/>
      <w:marTop w:val="0"/>
      <w:marBottom w:val="0"/>
      <w:divBdr>
        <w:top w:val="none" w:sz="0" w:space="0" w:color="auto"/>
        <w:left w:val="none" w:sz="0" w:space="0" w:color="auto"/>
        <w:bottom w:val="none" w:sz="0" w:space="0" w:color="auto"/>
        <w:right w:val="none" w:sz="0" w:space="0" w:color="auto"/>
      </w:divBdr>
    </w:div>
    <w:div w:id="142743687">
      <w:bodyDiv w:val="1"/>
      <w:marLeft w:val="0"/>
      <w:marRight w:val="0"/>
      <w:marTop w:val="0"/>
      <w:marBottom w:val="0"/>
      <w:divBdr>
        <w:top w:val="none" w:sz="0" w:space="0" w:color="auto"/>
        <w:left w:val="none" w:sz="0" w:space="0" w:color="auto"/>
        <w:bottom w:val="none" w:sz="0" w:space="0" w:color="auto"/>
        <w:right w:val="none" w:sz="0" w:space="0" w:color="auto"/>
      </w:divBdr>
    </w:div>
    <w:div w:id="142893100">
      <w:bodyDiv w:val="1"/>
      <w:marLeft w:val="0"/>
      <w:marRight w:val="0"/>
      <w:marTop w:val="0"/>
      <w:marBottom w:val="0"/>
      <w:divBdr>
        <w:top w:val="none" w:sz="0" w:space="0" w:color="auto"/>
        <w:left w:val="none" w:sz="0" w:space="0" w:color="auto"/>
        <w:bottom w:val="none" w:sz="0" w:space="0" w:color="auto"/>
        <w:right w:val="none" w:sz="0" w:space="0" w:color="auto"/>
      </w:divBdr>
    </w:div>
    <w:div w:id="142894517">
      <w:bodyDiv w:val="1"/>
      <w:marLeft w:val="0"/>
      <w:marRight w:val="0"/>
      <w:marTop w:val="0"/>
      <w:marBottom w:val="0"/>
      <w:divBdr>
        <w:top w:val="none" w:sz="0" w:space="0" w:color="auto"/>
        <w:left w:val="none" w:sz="0" w:space="0" w:color="auto"/>
        <w:bottom w:val="none" w:sz="0" w:space="0" w:color="auto"/>
        <w:right w:val="none" w:sz="0" w:space="0" w:color="auto"/>
      </w:divBdr>
    </w:div>
    <w:div w:id="142936064">
      <w:bodyDiv w:val="1"/>
      <w:marLeft w:val="0"/>
      <w:marRight w:val="0"/>
      <w:marTop w:val="0"/>
      <w:marBottom w:val="0"/>
      <w:divBdr>
        <w:top w:val="none" w:sz="0" w:space="0" w:color="auto"/>
        <w:left w:val="none" w:sz="0" w:space="0" w:color="auto"/>
        <w:bottom w:val="none" w:sz="0" w:space="0" w:color="auto"/>
        <w:right w:val="none" w:sz="0" w:space="0" w:color="auto"/>
      </w:divBdr>
    </w:div>
    <w:div w:id="143477304">
      <w:bodyDiv w:val="1"/>
      <w:marLeft w:val="0"/>
      <w:marRight w:val="0"/>
      <w:marTop w:val="0"/>
      <w:marBottom w:val="0"/>
      <w:divBdr>
        <w:top w:val="none" w:sz="0" w:space="0" w:color="auto"/>
        <w:left w:val="none" w:sz="0" w:space="0" w:color="auto"/>
        <w:bottom w:val="none" w:sz="0" w:space="0" w:color="auto"/>
        <w:right w:val="none" w:sz="0" w:space="0" w:color="auto"/>
      </w:divBdr>
    </w:div>
    <w:div w:id="144206811">
      <w:bodyDiv w:val="1"/>
      <w:marLeft w:val="0"/>
      <w:marRight w:val="0"/>
      <w:marTop w:val="0"/>
      <w:marBottom w:val="0"/>
      <w:divBdr>
        <w:top w:val="none" w:sz="0" w:space="0" w:color="auto"/>
        <w:left w:val="none" w:sz="0" w:space="0" w:color="auto"/>
        <w:bottom w:val="none" w:sz="0" w:space="0" w:color="auto"/>
        <w:right w:val="none" w:sz="0" w:space="0" w:color="auto"/>
      </w:divBdr>
    </w:div>
    <w:div w:id="144975092">
      <w:bodyDiv w:val="1"/>
      <w:marLeft w:val="0"/>
      <w:marRight w:val="0"/>
      <w:marTop w:val="0"/>
      <w:marBottom w:val="0"/>
      <w:divBdr>
        <w:top w:val="none" w:sz="0" w:space="0" w:color="auto"/>
        <w:left w:val="none" w:sz="0" w:space="0" w:color="auto"/>
        <w:bottom w:val="none" w:sz="0" w:space="0" w:color="auto"/>
        <w:right w:val="none" w:sz="0" w:space="0" w:color="auto"/>
      </w:divBdr>
    </w:div>
    <w:div w:id="145128527">
      <w:bodyDiv w:val="1"/>
      <w:marLeft w:val="0"/>
      <w:marRight w:val="0"/>
      <w:marTop w:val="0"/>
      <w:marBottom w:val="0"/>
      <w:divBdr>
        <w:top w:val="none" w:sz="0" w:space="0" w:color="auto"/>
        <w:left w:val="none" w:sz="0" w:space="0" w:color="auto"/>
        <w:bottom w:val="none" w:sz="0" w:space="0" w:color="auto"/>
        <w:right w:val="none" w:sz="0" w:space="0" w:color="auto"/>
      </w:divBdr>
    </w:div>
    <w:div w:id="145711882">
      <w:bodyDiv w:val="1"/>
      <w:marLeft w:val="0"/>
      <w:marRight w:val="0"/>
      <w:marTop w:val="0"/>
      <w:marBottom w:val="0"/>
      <w:divBdr>
        <w:top w:val="none" w:sz="0" w:space="0" w:color="auto"/>
        <w:left w:val="none" w:sz="0" w:space="0" w:color="auto"/>
        <w:bottom w:val="none" w:sz="0" w:space="0" w:color="auto"/>
        <w:right w:val="none" w:sz="0" w:space="0" w:color="auto"/>
      </w:divBdr>
    </w:div>
    <w:div w:id="146014767">
      <w:bodyDiv w:val="1"/>
      <w:marLeft w:val="0"/>
      <w:marRight w:val="0"/>
      <w:marTop w:val="0"/>
      <w:marBottom w:val="0"/>
      <w:divBdr>
        <w:top w:val="none" w:sz="0" w:space="0" w:color="auto"/>
        <w:left w:val="none" w:sz="0" w:space="0" w:color="auto"/>
        <w:bottom w:val="none" w:sz="0" w:space="0" w:color="auto"/>
        <w:right w:val="none" w:sz="0" w:space="0" w:color="auto"/>
      </w:divBdr>
    </w:div>
    <w:div w:id="146365377">
      <w:bodyDiv w:val="1"/>
      <w:marLeft w:val="0"/>
      <w:marRight w:val="0"/>
      <w:marTop w:val="0"/>
      <w:marBottom w:val="0"/>
      <w:divBdr>
        <w:top w:val="none" w:sz="0" w:space="0" w:color="auto"/>
        <w:left w:val="none" w:sz="0" w:space="0" w:color="auto"/>
        <w:bottom w:val="none" w:sz="0" w:space="0" w:color="auto"/>
        <w:right w:val="none" w:sz="0" w:space="0" w:color="auto"/>
      </w:divBdr>
    </w:div>
    <w:div w:id="146898548">
      <w:bodyDiv w:val="1"/>
      <w:marLeft w:val="0"/>
      <w:marRight w:val="0"/>
      <w:marTop w:val="0"/>
      <w:marBottom w:val="0"/>
      <w:divBdr>
        <w:top w:val="none" w:sz="0" w:space="0" w:color="auto"/>
        <w:left w:val="none" w:sz="0" w:space="0" w:color="auto"/>
        <w:bottom w:val="none" w:sz="0" w:space="0" w:color="auto"/>
        <w:right w:val="none" w:sz="0" w:space="0" w:color="auto"/>
      </w:divBdr>
    </w:div>
    <w:div w:id="146946506">
      <w:bodyDiv w:val="1"/>
      <w:marLeft w:val="0"/>
      <w:marRight w:val="0"/>
      <w:marTop w:val="0"/>
      <w:marBottom w:val="0"/>
      <w:divBdr>
        <w:top w:val="none" w:sz="0" w:space="0" w:color="auto"/>
        <w:left w:val="none" w:sz="0" w:space="0" w:color="auto"/>
        <w:bottom w:val="none" w:sz="0" w:space="0" w:color="auto"/>
        <w:right w:val="none" w:sz="0" w:space="0" w:color="auto"/>
      </w:divBdr>
    </w:div>
    <w:div w:id="147526478">
      <w:bodyDiv w:val="1"/>
      <w:marLeft w:val="0"/>
      <w:marRight w:val="0"/>
      <w:marTop w:val="0"/>
      <w:marBottom w:val="0"/>
      <w:divBdr>
        <w:top w:val="none" w:sz="0" w:space="0" w:color="auto"/>
        <w:left w:val="none" w:sz="0" w:space="0" w:color="auto"/>
        <w:bottom w:val="none" w:sz="0" w:space="0" w:color="auto"/>
        <w:right w:val="none" w:sz="0" w:space="0" w:color="auto"/>
      </w:divBdr>
    </w:div>
    <w:div w:id="147984762">
      <w:bodyDiv w:val="1"/>
      <w:marLeft w:val="0"/>
      <w:marRight w:val="0"/>
      <w:marTop w:val="0"/>
      <w:marBottom w:val="0"/>
      <w:divBdr>
        <w:top w:val="none" w:sz="0" w:space="0" w:color="auto"/>
        <w:left w:val="none" w:sz="0" w:space="0" w:color="auto"/>
        <w:bottom w:val="none" w:sz="0" w:space="0" w:color="auto"/>
        <w:right w:val="none" w:sz="0" w:space="0" w:color="auto"/>
      </w:divBdr>
    </w:div>
    <w:div w:id="148250044">
      <w:bodyDiv w:val="1"/>
      <w:marLeft w:val="0"/>
      <w:marRight w:val="0"/>
      <w:marTop w:val="0"/>
      <w:marBottom w:val="0"/>
      <w:divBdr>
        <w:top w:val="none" w:sz="0" w:space="0" w:color="auto"/>
        <w:left w:val="none" w:sz="0" w:space="0" w:color="auto"/>
        <w:bottom w:val="none" w:sz="0" w:space="0" w:color="auto"/>
        <w:right w:val="none" w:sz="0" w:space="0" w:color="auto"/>
      </w:divBdr>
    </w:div>
    <w:div w:id="148523940">
      <w:bodyDiv w:val="1"/>
      <w:marLeft w:val="0"/>
      <w:marRight w:val="0"/>
      <w:marTop w:val="0"/>
      <w:marBottom w:val="0"/>
      <w:divBdr>
        <w:top w:val="none" w:sz="0" w:space="0" w:color="auto"/>
        <w:left w:val="none" w:sz="0" w:space="0" w:color="auto"/>
        <w:bottom w:val="none" w:sz="0" w:space="0" w:color="auto"/>
        <w:right w:val="none" w:sz="0" w:space="0" w:color="auto"/>
      </w:divBdr>
    </w:div>
    <w:div w:id="148525570">
      <w:bodyDiv w:val="1"/>
      <w:marLeft w:val="0"/>
      <w:marRight w:val="0"/>
      <w:marTop w:val="0"/>
      <w:marBottom w:val="0"/>
      <w:divBdr>
        <w:top w:val="none" w:sz="0" w:space="0" w:color="auto"/>
        <w:left w:val="none" w:sz="0" w:space="0" w:color="auto"/>
        <w:bottom w:val="none" w:sz="0" w:space="0" w:color="auto"/>
        <w:right w:val="none" w:sz="0" w:space="0" w:color="auto"/>
      </w:divBdr>
    </w:div>
    <w:div w:id="148592767">
      <w:bodyDiv w:val="1"/>
      <w:marLeft w:val="0"/>
      <w:marRight w:val="0"/>
      <w:marTop w:val="0"/>
      <w:marBottom w:val="0"/>
      <w:divBdr>
        <w:top w:val="none" w:sz="0" w:space="0" w:color="auto"/>
        <w:left w:val="none" w:sz="0" w:space="0" w:color="auto"/>
        <w:bottom w:val="none" w:sz="0" w:space="0" w:color="auto"/>
        <w:right w:val="none" w:sz="0" w:space="0" w:color="auto"/>
      </w:divBdr>
    </w:div>
    <w:div w:id="149181911">
      <w:bodyDiv w:val="1"/>
      <w:marLeft w:val="0"/>
      <w:marRight w:val="0"/>
      <w:marTop w:val="0"/>
      <w:marBottom w:val="0"/>
      <w:divBdr>
        <w:top w:val="none" w:sz="0" w:space="0" w:color="auto"/>
        <w:left w:val="none" w:sz="0" w:space="0" w:color="auto"/>
        <w:bottom w:val="none" w:sz="0" w:space="0" w:color="auto"/>
        <w:right w:val="none" w:sz="0" w:space="0" w:color="auto"/>
      </w:divBdr>
    </w:div>
    <w:div w:id="149255553">
      <w:bodyDiv w:val="1"/>
      <w:marLeft w:val="0"/>
      <w:marRight w:val="0"/>
      <w:marTop w:val="0"/>
      <w:marBottom w:val="0"/>
      <w:divBdr>
        <w:top w:val="none" w:sz="0" w:space="0" w:color="auto"/>
        <w:left w:val="none" w:sz="0" w:space="0" w:color="auto"/>
        <w:bottom w:val="none" w:sz="0" w:space="0" w:color="auto"/>
        <w:right w:val="none" w:sz="0" w:space="0" w:color="auto"/>
      </w:divBdr>
    </w:div>
    <w:div w:id="149367863">
      <w:bodyDiv w:val="1"/>
      <w:marLeft w:val="0"/>
      <w:marRight w:val="0"/>
      <w:marTop w:val="0"/>
      <w:marBottom w:val="0"/>
      <w:divBdr>
        <w:top w:val="none" w:sz="0" w:space="0" w:color="auto"/>
        <w:left w:val="none" w:sz="0" w:space="0" w:color="auto"/>
        <w:bottom w:val="none" w:sz="0" w:space="0" w:color="auto"/>
        <w:right w:val="none" w:sz="0" w:space="0" w:color="auto"/>
      </w:divBdr>
    </w:div>
    <w:div w:id="149445156">
      <w:bodyDiv w:val="1"/>
      <w:marLeft w:val="0"/>
      <w:marRight w:val="0"/>
      <w:marTop w:val="0"/>
      <w:marBottom w:val="0"/>
      <w:divBdr>
        <w:top w:val="none" w:sz="0" w:space="0" w:color="auto"/>
        <w:left w:val="none" w:sz="0" w:space="0" w:color="auto"/>
        <w:bottom w:val="none" w:sz="0" w:space="0" w:color="auto"/>
        <w:right w:val="none" w:sz="0" w:space="0" w:color="auto"/>
      </w:divBdr>
    </w:div>
    <w:div w:id="149560124">
      <w:bodyDiv w:val="1"/>
      <w:marLeft w:val="0"/>
      <w:marRight w:val="0"/>
      <w:marTop w:val="0"/>
      <w:marBottom w:val="0"/>
      <w:divBdr>
        <w:top w:val="none" w:sz="0" w:space="0" w:color="auto"/>
        <w:left w:val="none" w:sz="0" w:space="0" w:color="auto"/>
        <w:bottom w:val="none" w:sz="0" w:space="0" w:color="auto"/>
        <w:right w:val="none" w:sz="0" w:space="0" w:color="auto"/>
      </w:divBdr>
    </w:div>
    <w:div w:id="149643969">
      <w:bodyDiv w:val="1"/>
      <w:marLeft w:val="0"/>
      <w:marRight w:val="0"/>
      <w:marTop w:val="0"/>
      <w:marBottom w:val="0"/>
      <w:divBdr>
        <w:top w:val="none" w:sz="0" w:space="0" w:color="auto"/>
        <w:left w:val="none" w:sz="0" w:space="0" w:color="auto"/>
        <w:bottom w:val="none" w:sz="0" w:space="0" w:color="auto"/>
        <w:right w:val="none" w:sz="0" w:space="0" w:color="auto"/>
      </w:divBdr>
    </w:div>
    <w:div w:id="149710058">
      <w:bodyDiv w:val="1"/>
      <w:marLeft w:val="0"/>
      <w:marRight w:val="0"/>
      <w:marTop w:val="0"/>
      <w:marBottom w:val="0"/>
      <w:divBdr>
        <w:top w:val="none" w:sz="0" w:space="0" w:color="auto"/>
        <w:left w:val="none" w:sz="0" w:space="0" w:color="auto"/>
        <w:bottom w:val="none" w:sz="0" w:space="0" w:color="auto"/>
        <w:right w:val="none" w:sz="0" w:space="0" w:color="auto"/>
      </w:divBdr>
    </w:div>
    <w:div w:id="149760474">
      <w:bodyDiv w:val="1"/>
      <w:marLeft w:val="0"/>
      <w:marRight w:val="0"/>
      <w:marTop w:val="0"/>
      <w:marBottom w:val="0"/>
      <w:divBdr>
        <w:top w:val="none" w:sz="0" w:space="0" w:color="auto"/>
        <w:left w:val="none" w:sz="0" w:space="0" w:color="auto"/>
        <w:bottom w:val="none" w:sz="0" w:space="0" w:color="auto"/>
        <w:right w:val="none" w:sz="0" w:space="0" w:color="auto"/>
      </w:divBdr>
    </w:div>
    <w:div w:id="149906545">
      <w:bodyDiv w:val="1"/>
      <w:marLeft w:val="0"/>
      <w:marRight w:val="0"/>
      <w:marTop w:val="0"/>
      <w:marBottom w:val="0"/>
      <w:divBdr>
        <w:top w:val="none" w:sz="0" w:space="0" w:color="auto"/>
        <w:left w:val="none" w:sz="0" w:space="0" w:color="auto"/>
        <w:bottom w:val="none" w:sz="0" w:space="0" w:color="auto"/>
        <w:right w:val="none" w:sz="0" w:space="0" w:color="auto"/>
      </w:divBdr>
    </w:div>
    <w:div w:id="150291308">
      <w:bodyDiv w:val="1"/>
      <w:marLeft w:val="0"/>
      <w:marRight w:val="0"/>
      <w:marTop w:val="0"/>
      <w:marBottom w:val="0"/>
      <w:divBdr>
        <w:top w:val="none" w:sz="0" w:space="0" w:color="auto"/>
        <w:left w:val="none" w:sz="0" w:space="0" w:color="auto"/>
        <w:bottom w:val="none" w:sz="0" w:space="0" w:color="auto"/>
        <w:right w:val="none" w:sz="0" w:space="0" w:color="auto"/>
      </w:divBdr>
    </w:div>
    <w:div w:id="150296093">
      <w:bodyDiv w:val="1"/>
      <w:marLeft w:val="0"/>
      <w:marRight w:val="0"/>
      <w:marTop w:val="0"/>
      <w:marBottom w:val="0"/>
      <w:divBdr>
        <w:top w:val="none" w:sz="0" w:space="0" w:color="auto"/>
        <w:left w:val="none" w:sz="0" w:space="0" w:color="auto"/>
        <w:bottom w:val="none" w:sz="0" w:space="0" w:color="auto"/>
        <w:right w:val="none" w:sz="0" w:space="0" w:color="auto"/>
      </w:divBdr>
    </w:div>
    <w:div w:id="150299331">
      <w:bodyDiv w:val="1"/>
      <w:marLeft w:val="0"/>
      <w:marRight w:val="0"/>
      <w:marTop w:val="0"/>
      <w:marBottom w:val="0"/>
      <w:divBdr>
        <w:top w:val="none" w:sz="0" w:space="0" w:color="auto"/>
        <w:left w:val="none" w:sz="0" w:space="0" w:color="auto"/>
        <w:bottom w:val="none" w:sz="0" w:space="0" w:color="auto"/>
        <w:right w:val="none" w:sz="0" w:space="0" w:color="auto"/>
      </w:divBdr>
    </w:div>
    <w:div w:id="150483941">
      <w:bodyDiv w:val="1"/>
      <w:marLeft w:val="0"/>
      <w:marRight w:val="0"/>
      <w:marTop w:val="0"/>
      <w:marBottom w:val="0"/>
      <w:divBdr>
        <w:top w:val="none" w:sz="0" w:space="0" w:color="auto"/>
        <w:left w:val="none" w:sz="0" w:space="0" w:color="auto"/>
        <w:bottom w:val="none" w:sz="0" w:space="0" w:color="auto"/>
        <w:right w:val="none" w:sz="0" w:space="0" w:color="auto"/>
      </w:divBdr>
    </w:div>
    <w:div w:id="150679444">
      <w:bodyDiv w:val="1"/>
      <w:marLeft w:val="0"/>
      <w:marRight w:val="0"/>
      <w:marTop w:val="0"/>
      <w:marBottom w:val="0"/>
      <w:divBdr>
        <w:top w:val="none" w:sz="0" w:space="0" w:color="auto"/>
        <w:left w:val="none" w:sz="0" w:space="0" w:color="auto"/>
        <w:bottom w:val="none" w:sz="0" w:space="0" w:color="auto"/>
        <w:right w:val="none" w:sz="0" w:space="0" w:color="auto"/>
      </w:divBdr>
    </w:div>
    <w:div w:id="150873700">
      <w:bodyDiv w:val="1"/>
      <w:marLeft w:val="0"/>
      <w:marRight w:val="0"/>
      <w:marTop w:val="0"/>
      <w:marBottom w:val="0"/>
      <w:divBdr>
        <w:top w:val="none" w:sz="0" w:space="0" w:color="auto"/>
        <w:left w:val="none" w:sz="0" w:space="0" w:color="auto"/>
        <w:bottom w:val="none" w:sz="0" w:space="0" w:color="auto"/>
        <w:right w:val="none" w:sz="0" w:space="0" w:color="auto"/>
      </w:divBdr>
    </w:div>
    <w:div w:id="151021977">
      <w:bodyDiv w:val="1"/>
      <w:marLeft w:val="0"/>
      <w:marRight w:val="0"/>
      <w:marTop w:val="0"/>
      <w:marBottom w:val="0"/>
      <w:divBdr>
        <w:top w:val="none" w:sz="0" w:space="0" w:color="auto"/>
        <w:left w:val="none" w:sz="0" w:space="0" w:color="auto"/>
        <w:bottom w:val="none" w:sz="0" w:space="0" w:color="auto"/>
        <w:right w:val="none" w:sz="0" w:space="0" w:color="auto"/>
      </w:divBdr>
    </w:div>
    <w:div w:id="151027327">
      <w:bodyDiv w:val="1"/>
      <w:marLeft w:val="0"/>
      <w:marRight w:val="0"/>
      <w:marTop w:val="0"/>
      <w:marBottom w:val="0"/>
      <w:divBdr>
        <w:top w:val="none" w:sz="0" w:space="0" w:color="auto"/>
        <w:left w:val="none" w:sz="0" w:space="0" w:color="auto"/>
        <w:bottom w:val="none" w:sz="0" w:space="0" w:color="auto"/>
        <w:right w:val="none" w:sz="0" w:space="0" w:color="auto"/>
      </w:divBdr>
    </w:div>
    <w:div w:id="151139670">
      <w:bodyDiv w:val="1"/>
      <w:marLeft w:val="0"/>
      <w:marRight w:val="0"/>
      <w:marTop w:val="0"/>
      <w:marBottom w:val="0"/>
      <w:divBdr>
        <w:top w:val="none" w:sz="0" w:space="0" w:color="auto"/>
        <w:left w:val="none" w:sz="0" w:space="0" w:color="auto"/>
        <w:bottom w:val="none" w:sz="0" w:space="0" w:color="auto"/>
        <w:right w:val="none" w:sz="0" w:space="0" w:color="auto"/>
      </w:divBdr>
    </w:div>
    <w:div w:id="151146966">
      <w:bodyDiv w:val="1"/>
      <w:marLeft w:val="0"/>
      <w:marRight w:val="0"/>
      <w:marTop w:val="0"/>
      <w:marBottom w:val="0"/>
      <w:divBdr>
        <w:top w:val="none" w:sz="0" w:space="0" w:color="auto"/>
        <w:left w:val="none" w:sz="0" w:space="0" w:color="auto"/>
        <w:bottom w:val="none" w:sz="0" w:space="0" w:color="auto"/>
        <w:right w:val="none" w:sz="0" w:space="0" w:color="auto"/>
      </w:divBdr>
    </w:div>
    <w:div w:id="151219234">
      <w:bodyDiv w:val="1"/>
      <w:marLeft w:val="0"/>
      <w:marRight w:val="0"/>
      <w:marTop w:val="0"/>
      <w:marBottom w:val="0"/>
      <w:divBdr>
        <w:top w:val="none" w:sz="0" w:space="0" w:color="auto"/>
        <w:left w:val="none" w:sz="0" w:space="0" w:color="auto"/>
        <w:bottom w:val="none" w:sz="0" w:space="0" w:color="auto"/>
        <w:right w:val="none" w:sz="0" w:space="0" w:color="auto"/>
      </w:divBdr>
    </w:div>
    <w:div w:id="151407293">
      <w:bodyDiv w:val="1"/>
      <w:marLeft w:val="0"/>
      <w:marRight w:val="0"/>
      <w:marTop w:val="0"/>
      <w:marBottom w:val="0"/>
      <w:divBdr>
        <w:top w:val="none" w:sz="0" w:space="0" w:color="auto"/>
        <w:left w:val="none" w:sz="0" w:space="0" w:color="auto"/>
        <w:bottom w:val="none" w:sz="0" w:space="0" w:color="auto"/>
        <w:right w:val="none" w:sz="0" w:space="0" w:color="auto"/>
      </w:divBdr>
    </w:div>
    <w:div w:id="151485799">
      <w:bodyDiv w:val="1"/>
      <w:marLeft w:val="0"/>
      <w:marRight w:val="0"/>
      <w:marTop w:val="0"/>
      <w:marBottom w:val="0"/>
      <w:divBdr>
        <w:top w:val="none" w:sz="0" w:space="0" w:color="auto"/>
        <w:left w:val="none" w:sz="0" w:space="0" w:color="auto"/>
        <w:bottom w:val="none" w:sz="0" w:space="0" w:color="auto"/>
        <w:right w:val="none" w:sz="0" w:space="0" w:color="auto"/>
      </w:divBdr>
    </w:div>
    <w:div w:id="151986747">
      <w:bodyDiv w:val="1"/>
      <w:marLeft w:val="0"/>
      <w:marRight w:val="0"/>
      <w:marTop w:val="0"/>
      <w:marBottom w:val="0"/>
      <w:divBdr>
        <w:top w:val="none" w:sz="0" w:space="0" w:color="auto"/>
        <w:left w:val="none" w:sz="0" w:space="0" w:color="auto"/>
        <w:bottom w:val="none" w:sz="0" w:space="0" w:color="auto"/>
        <w:right w:val="none" w:sz="0" w:space="0" w:color="auto"/>
      </w:divBdr>
    </w:div>
    <w:div w:id="152071300">
      <w:bodyDiv w:val="1"/>
      <w:marLeft w:val="0"/>
      <w:marRight w:val="0"/>
      <w:marTop w:val="0"/>
      <w:marBottom w:val="0"/>
      <w:divBdr>
        <w:top w:val="none" w:sz="0" w:space="0" w:color="auto"/>
        <w:left w:val="none" w:sz="0" w:space="0" w:color="auto"/>
        <w:bottom w:val="none" w:sz="0" w:space="0" w:color="auto"/>
        <w:right w:val="none" w:sz="0" w:space="0" w:color="auto"/>
      </w:divBdr>
    </w:div>
    <w:div w:id="152258912">
      <w:bodyDiv w:val="1"/>
      <w:marLeft w:val="0"/>
      <w:marRight w:val="0"/>
      <w:marTop w:val="0"/>
      <w:marBottom w:val="0"/>
      <w:divBdr>
        <w:top w:val="none" w:sz="0" w:space="0" w:color="auto"/>
        <w:left w:val="none" w:sz="0" w:space="0" w:color="auto"/>
        <w:bottom w:val="none" w:sz="0" w:space="0" w:color="auto"/>
        <w:right w:val="none" w:sz="0" w:space="0" w:color="auto"/>
      </w:divBdr>
    </w:div>
    <w:div w:id="152262717">
      <w:bodyDiv w:val="1"/>
      <w:marLeft w:val="0"/>
      <w:marRight w:val="0"/>
      <w:marTop w:val="0"/>
      <w:marBottom w:val="0"/>
      <w:divBdr>
        <w:top w:val="none" w:sz="0" w:space="0" w:color="auto"/>
        <w:left w:val="none" w:sz="0" w:space="0" w:color="auto"/>
        <w:bottom w:val="none" w:sz="0" w:space="0" w:color="auto"/>
        <w:right w:val="none" w:sz="0" w:space="0" w:color="auto"/>
      </w:divBdr>
    </w:div>
    <w:div w:id="152376922">
      <w:bodyDiv w:val="1"/>
      <w:marLeft w:val="0"/>
      <w:marRight w:val="0"/>
      <w:marTop w:val="0"/>
      <w:marBottom w:val="0"/>
      <w:divBdr>
        <w:top w:val="none" w:sz="0" w:space="0" w:color="auto"/>
        <w:left w:val="none" w:sz="0" w:space="0" w:color="auto"/>
        <w:bottom w:val="none" w:sz="0" w:space="0" w:color="auto"/>
        <w:right w:val="none" w:sz="0" w:space="0" w:color="auto"/>
      </w:divBdr>
    </w:div>
    <w:div w:id="152455657">
      <w:bodyDiv w:val="1"/>
      <w:marLeft w:val="0"/>
      <w:marRight w:val="0"/>
      <w:marTop w:val="0"/>
      <w:marBottom w:val="0"/>
      <w:divBdr>
        <w:top w:val="none" w:sz="0" w:space="0" w:color="auto"/>
        <w:left w:val="none" w:sz="0" w:space="0" w:color="auto"/>
        <w:bottom w:val="none" w:sz="0" w:space="0" w:color="auto"/>
        <w:right w:val="none" w:sz="0" w:space="0" w:color="auto"/>
      </w:divBdr>
    </w:div>
    <w:div w:id="152533179">
      <w:bodyDiv w:val="1"/>
      <w:marLeft w:val="0"/>
      <w:marRight w:val="0"/>
      <w:marTop w:val="0"/>
      <w:marBottom w:val="0"/>
      <w:divBdr>
        <w:top w:val="none" w:sz="0" w:space="0" w:color="auto"/>
        <w:left w:val="none" w:sz="0" w:space="0" w:color="auto"/>
        <w:bottom w:val="none" w:sz="0" w:space="0" w:color="auto"/>
        <w:right w:val="none" w:sz="0" w:space="0" w:color="auto"/>
      </w:divBdr>
    </w:div>
    <w:div w:id="152569876">
      <w:bodyDiv w:val="1"/>
      <w:marLeft w:val="0"/>
      <w:marRight w:val="0"/>
      <w:marTop w:val="0"/>
      <w:marBottom w:val="0"/>
      <w:divBdr>
        <w:top w:val="none" w:sz="0" w:space="0" w:color="auto"/>
        <w:left w:val="none" w:sz="0" w:space="0" w:color="auto"/>
        <w:bottom w:val="none" w:sz="0" w:space="0" w:color="auto"/>
        <w:right w:val="none" w:sz="0" w:space="0" w:color="auto"/>
      </w:divBdr>
    </w:div>
    <w:div w:id="152571981">
      <w:bodyDiv w:val="1"/>
      <w:marLeft w:val="0"/>
      <w:marRight w:val="0"/>
      <w:marTop w:val="0"/>
      <w:marBottom w:val="0"/>
      <w:divBdr>
        <w:top w:val="none" w:sz="0" w:space="0" w:color="auto"/>
        <w:left w:val="none" w:sz="0" w:space="0" w:color="auto"/>
        <w:bottom w:val="none" w:sz="0" w:space="0" w:color="auto"/>
        <w:right w:val="none" w:sz="0" w:space="0" w:color="auto"/>
      </w:divBdr>
    </w:div>
    <w:div w:id="152764667">
      <w:bodyDiv w:val="1"/>
      <w:marLeft w:val="0"/>
      <w:marRight w:val="0"/>
      <w:marTop w:val="0"/>
      <w:marBottom w:val="0"/>
      <w:divBdr>
        <w:top w:val="none" w:sz="0" w:space="0" w:color="auto"/>
        <w:left w:val="none" w:sz="0" w:space="0" w:color="auto"/>
        <w:bottom w:val="none" w:sz="0" w:space="0" w:color="auto"/>
        <w:right w:val="none" w:sz="0" w:space="0" w:color="auto"/>
      </w:divBdr>
    </w:div>
    <w:div w:id="152913142">
      <w:bodyDiv w:val="1"/>
      <w:marLeft w:val="0"/>
      <w:marRight w:val="0"/>
      <w:marTop w:val="0"/>
      <w:marBottom w:val="0"/>
      <w:divBdr>
        <w:top w:val="none" w:sz="0" w:space="0" w:color="auto"/>
        <w:left w:val="none" w:sz="0" w:space="0" w:color="auto"/>
        <w:bottom w:val="none" w:sz="0" w:space="0" w:color="auto"/>
        <w:right w:val="none" w:sz="0" w:space="0" w:color="auto"/>
      </w:divBdr>
    </w:div>
    <w:div w:id="153767162">
      <w:bodyDiv w:val="1"/>
      <w:marLeft w:val="0"/>
      <w:marRight w:val="0"/>
      <w:marTop w:val="0"/>
      <w:marBottom w:val="0"/>
      <w:divBdr>
        <w:top w:val="none" w:sz="0" w:space="0" w:color="auto"/>
        <w:left w:val="none" w:sz="0" w:space="0" w:color="auto"/>
        <w:bottom w:val="none" w:sz="0" w:space="0" w:color="auto"/>
        <w:right w:val="none" w:sz="0" w:space="0" w:color="auto"/>
      </w:divBdr>
    </w:div>
    <w:div w:id="154222938">
      <w:bodyDiv w:val="1"/>
      <w:marLeft w:val="0"/>
      <w:marRight w:val="0"/>
      <w:marTop w:val="0"/>
      <w:marBottom w:val="0"/>
      <w:divBdr>
        <w:top w:val="none" w:sz="0" w:space="0" w:color="auto"/>
        <w:left w:val="none" w:sz="0" w:space="0" w:color="auto"/>
        <w:bottom w:val="none" w:sz="0" w:space="0" w:color="auto"/>
        <w:right w:val="none" w:sz="0" w:space="0" w:color="auto"/>
      </w:divBdr>
    </w:div>
    <w:div w:id="154348817">
      <w:bodyDiv w:val="1"/>
      <w:marLeft w:val="0"/>
      <w:marRight w:val="0"/>
      <w:marTop w:val="0"/>
      <w:marBottom w:val="0"/>
      <w:divBdr>
        <w:top w:val="none" w:sz="0" w:space="0" w:color="auto"/>
        <w:left w:val="none" w:sz="0" w:space="0" w:color="auto"/>
        <w:bottom w:val="none" w:sz="0" w:space="0" w:color="auto"/>
        <w:right w:val="none" w:sz="0" w:space="0" w:color="auto"/>
      </w:divBdr>
    </w:div>
    <w:div w:id="154416076">
      <w:bodyDiv w:val="1"/>
      <w:marLeft w:val="0"/>
      <w:marRight w:val="0"/>
      <w:marTop w:val="0"/>
      <w:marBottom w:val="0"/>
      <w:divBdr>
        <w:top w:val="none" w:sz="0" w:space="0" w:color="auto"/>
        <w:left w:val="none" w:sz="0" w:space="0" w:color="auto"/>
        <w:bottom w:val="none" w:sz="0" w:space="0" w:color="auto"/>
        <w:right w:val="none" w:sz="0" w:space="0" w:color="auto"/>
      </w:divBdr>
    </w:div>
    <w:div w:id="154420055">
      <w:bodyDiv w:val="1"/>
      <w:marLeft w:val="0"/>
      <w:marRight w:val="0"/>
      <w:marTop w:val="0"/>
      <w:marBottom w:val="0"/>
      <w:divBdr>
        <w:top w:val="none" w:sz="0" w:space="0" w:color="auto"/>
        <w:left w:val="none" w:sz="0" w:space="0" w:color="auto"/>
        <w:bottom w:val="none" w:sz="0" w:space="0" w:color="auto"/>
        <w:right w:val="none" w:sz="0" w:space="0" w:color="auto"/>
      </w:divBdr>
    </w:div>
    <w:div w:id="154491691">
      <w:bodyDiv w:val="1"/>
      <w:marLeft w:val="0"/>
      <w:marRight w:val="0"/>
      <w:marTop w:val="0"/>
      <w:marBottom w:val="0"/>
      <w:divBdr>
        <w:top w:val="none" w:sz="0" w:space="0" w:color="auto"/>
        <w:left w:val="none" w:sz="0" w:space="0" w:color="auto"/>
        <w:bottom w:val="none" w:sz="0" w:space="0" w:color="auto"/>
        <w:right w:val="none" w:sz="0" w:space="0" w:color="auto"/>
      </w:divBdr>
    </w:div>
    <w:div w:id="154807555">
      <w:bodyDiv w:val="1"/>
      <w:marLeft w:val="0"/>
      <w:marRight w:val="0"/>
      <w:marTop w:val="0"/>
      <w:marBottom w:val="0"/>
      <w:divBdr>
        <w:top w:val="none" w:sz="0" w:space="0" w:color="auto"/>
        <w:left w:val="none" w:sz="0" w:space="0" w:color="auto"/>
        <w:bottom w:val="none" w:sz="0" w:space="0" w:color="auto"/>
        <w:right w:val="none" w:sz="0" w:space="0" w:color="auto"/>
      </w:divBdr>
    </w:div>
    <w:div w:id="154877366">
      <w:bodyDiv w:val="1"/>
      <w:marLeft w:val="0"/>
      <w:marRight w:val="0"/>
      <w:marTop w:val="0"/>
      <w:marBottom w:val="0"/>
      <w:divBdr>
        <w:top w:val="none" w:sz="0" w:space="0" w:color="auto"/>
        <w:left w:val="none" w:sz="0" w:space="0" w:color="auto"/>
        <w:bottom w:val="none" w:sz="0" w:space="0" w:color="auto"/>
        <w:right w:val="none" w:sz="0" w:space="0" w:color="auto"/>
      </w:divBdr>
    </w:div>
    <w:div w:id="154959208">
      <w:bodyDiv w:val="1"/>
      <w:marLeft w:val="0"/>
      <w:marRight w:val="0"/>
      <w:marTop w:val="0"/>
      <w:marBottom w:val="0"/>
      <w:divBdr>
        <w:top w:val="none" w:sz="0" w:space="0" w:color="auto"/>
        <w:left w:val="none" w:sz="0" w:space="0" w:color="auto"/>
        <w:bottom w:val="none" w:sz="0" w:space="0" w:color="auto"/>
        <w:right w:val="none" w:sz="0" w:space="0" w:color="auto"/>
      </w:divBdr>
    </w:div>
    <w:div w:id="155153073">
      <w:bodyDiv w:val="1"/>
      <w:marLeft w:val="0"/>
      <w:marRight w:val="0"/>
      <w:marTop w:val="0"/>
      <w:marBottom w:val="0"/>
      <w:divBdr>
        <w:top w:val="none" w:sz="0" w:space="0" w:color="auto"/>
        <w:left w:val="none" w:sz="0" w:space="0" w:color="auto"/>
        <w:bottom w:val="none" w:sz="0" w:space="0" w:color="auto"/>
        <w:right w:val="none" w:sz="0" w:space="0" w:color="auto"/>
      </w:divBdr>
    </w:div>
    <w:div w:id="155463359">
      <w:bodyDiv w:val="1"/>
      <w:marLeft w:val="0"/>
      <w:marRight w:val="0"/>
      <w:marTop w:val="0"/>
      <w:marBottom w:val="0"/>
      <w:divBdr>
        <w:top w:val="none" w:sz="0" w:space="0" w:color="auto"/>
        <w:left w:val="none" w:sz="0" w:space="0" w:color="auto"/>
        <w:bottom w:val="none" w:sz="0" w:space="0" w:color="auto"/>
        <w:right w:val="none" w:sz="0" w:space="0" w:color="auto"/>
      </w:divBdr>
    </w:div>
    <w:div w:id="155649765">
      <w:bodyDiv w:val="1"/>
      <w:marLeft w:val="0"/>
      <w:marRight w:val="0"/>
      <w:marTop w:val="0"/>
      <w:marBottom w:val="0"/>
      <w:divBdr>
        <w:top w:val="none" w:sz="0" w:space="0" w:color="auto"/>
        <w:left w:val="none" w:sz="0" w:space="0" w:color="auto"/>
        <w:bottom w:val="none" w:sz="0" w:space="0" w:color="auto"/>
        <w:right w:val="none" w:sz="0" w:space="0" w:color="auto"/>
      </w:divBdr>
    </w:div>
    <w:div w:id="156309764">
      <w:bodyDiv w:val="1"/>
      <w:marLeft w:val="0"/>
      <w:marRight w:val="0"/>
      <w:marTop w:val="0"/>
      <w:marBottom w:val="0"/>
      <w:divBdr>
        <w:top w:val="none" w:sz="0" w:space="0" w:color="auto"/>
        <w:left w:val="none" w:sz="0" w:space="0" w:color="auto"/>
        <w:bottom w:val="none" w:sz="0" w:space="0" w:color="auto"/>
        <w:right w:val="none" w:sz="0" w:space="0" w:color="auto"/>
      </w:divBdr>
    </w:div>
    <w:div w:id="157040587">
      <w:bodyDiv w:val="1"/>
      <w:marLeft w:val="0"/>
      <w:marRight w:val="0"/>
      <w:marTop w:val="0"/>
      <w:marBottom w:val="0"/>
      <w:divBdr>
        <w:top w:val="none" w:sz="0" w:space="0" w:color="auto"/>
        <w:left w:val="none" w:sz="0" w:space="0" w:color="auto"/>
        <w:bottom w:val="none" w:sz="0" w:space="0" w:color="auto"/>
        <w:right w:val="none" w:sz="0" w:space="0" w:color="auto"/>
      </w:divBdr>
    </w:div>
    <w:div w:id="157115424">
      <w:bodyDiv w:val="1"/>
      <w:marLeft w:val="0"/>
      <w:marRight w:val="0"/>
      <w:marTop w:val="0"/>
      <w:marBottom w:val="0"/>
      <w:divBdr>
        <w:top w:val="none" w:sz="0" w:space="0" w:color="auto"/>
        <w:left w:val="none" w:sz="0" w:space="0" w:color="auto"/>
        <w:bottom w:val="none" w:sz="0" w:space="0" w:color="auto"/>
        <w:right w:val="none" w:sz="0" w:space="0" w:color="auto"/>
      </w:divBdr>
    </w:div>
    <w:div w:id="157617234">
      <w:bodyDiv w:val="1"/>
      <w:marLeft w:val="0"/>
      <w:marRight w:val="0"/>
      <w:marTop w:val="0"/>
      <w:marBottom w:val="0"/>
      <w:divBdr>
        <w:top w:val="none" w:sz="0" w:space="0" w:color="auto"/>
        <w:left w:val="none" w:sz="0" w:space="0" w:color="auto"/>
        <w:bottom w:val="none" w:sz="0" w:space="0" w:color="auto"/>
        <w:right w:val="none" w:sz="0" w:space="0" w:color="auto"/>
      </w:divBdr>
    </w:div>
    <w:div w:id="157692671">
      <w:bodyDiv w:val="1"/>
      <w:marLeft w:val="0"/>
      <w:marRight w:val="0"/>
      <w:marTop w:val="0"/>
      <w:marBottom w:val="0"/>
      <w:divBdr>
        <w:top w:val="none" w:sz="0" w:space="0" w:color="auto"/>
        <w:left w:val="none" w:sz="0" w:space="0" w:color="auto"/>
        <w:bottom w:val="none" w:sz="0" w:space="0" w:color="auto"/>
        <w:right w:val="none" w:sz="0" w:space="0" w:color="auto"/>
      </w:divBdr>
    </w:div>
    <w:div w:id="157771263">
      <w:bodyDiv w:val="1"/>
      <w:marLeft w:val="0"/>
      <w:marRight w:val="0"/>
      <w:marTop w:val="0"/>
      <w:marBottom w:val="0"/>
      <w:divBdr>
        <w:top w:val="none" w:sz="0" w:space="0" w:color="auto"/>
        <w:left w:val="none" w:sz="0" w:space="0" w:color="auto"/>
        <w:bottom w:val="none" w:sz="0" w:space="0" w:color="auto"/>
        <w:right w:val="none" w:sz="0" w:space="0" w:color="auto"/>
      </w:divBdr>
    </w:div>
    <w:div w:id="157886848">
      <w:bodyDiv w:val="1"/>
      <w:marLeft w:val="0"/>
      <w:marRight w:val="0"/>
      <w:marTop w:val="0"/>
      <w:marBottom w:val="0"/>
      <w:divBdr>
        <w:top w:val="none" w:sz="0" w:space="0" w:color="auto"/>
        <w:left w:val="none" w:sz="0" w:space="0" w:color="auto"/>
        <w:bottom w:val="none" w:sz="0" w:space="0" w:color="auto"/>
        <w:right w:val="none" w:sz="0" w:space="0" w:color="auto"/>
      </w:divBdr>
    </w:div>
    <w:div w:id="157969162">
      <w:bodyDiv w:val="1"/>
      <w:marLeft w:val="0"/>
      <w:marRight w:val="0"/>
      <w:marTop w:val="0"/>
      <w:marBottom w:val="0"/>
      <w:divBdr>
        <w:top w:val="none" w:sz="0" w:space="0" w:color="auto"/>
        <w:left w:val="none" w:sz="0" w:space="0" w:color="auto"/>
        <w:bottom w:val="none" w:sz="0" w:space="0" w:color="auto"/>
        <w:right w:val="none" w:sz="0" w:space="0" w:color="auto"/>
      </w:divBdr>
    </w:div>
    <w:div w:id="158086610">
      <w:bodyDiv w:val="1"/>
      <w:marLeft w:val="0"/>
      <w:marRight w:val="0"/>
      <w:marTop w:val="0"/>
      <w:marBottom w:val="0"/>
      <w:divBdr>
        <w:top w:val="none" w:sz="0" w:space="0" w:color="auto"/>
        <w:left w:val="none" w:sz="0" w:space="0" w:color="auto"/>
        <w:bottom w:val="none" w:sz="0" w:space="0" w:color="auto"/>
        <w:right w:val="none" w:sz="0" w:space="0" w:color="auto"/>
      </w:divBdr>
    </w:div>
    <w:div w:id="158152940">
      <w:bodyDiv w:val="1"/>
      <w:marLeft w:val="0"/>
      <w:marRight w:val="0"/>
      <w:marTop w:val="0"/>
      <w:marBottom w:val="0"/>
      <w:divBdr>
        <w:top w:val="none" w:sz="0" w:space="0" w:color="auto"/>
        <w:left w:val="none" w:sz="0" w:space="0" w:color="auto"/>
        <w:bottom w:val="none" w:sz="0" w:space="0" w:color="auto"/>
        <w:right w:val="none" w:sz="0" w:space="0" w:color="auto"/>
      </w:divBdr>
    </w:div>
    <w:div w:id="158808267">
      <w:bodyDiv w:val="1"/>
      <w:marLeft w:val="0"/>
      <w:marRight w:val="0"/>
      <w:marTop w:val="0"/>
      <w:marBottom w:val="0"/>
      <w:divBdr>
        <w:top w:val="none" w:sz="0" w:space="0" w:color="auto"/>
        <w:left w:val="none" w:sz="0" w:space="0" w:color="auto"/>
        <w:bottom w:val="none" w:sz="0" w:space="0" w:color="auto"/>
        <w:right w:val="none" w:sz="0" w:space="0" w:color="auto"/>
      </w:divBdr>
    </w:div>
    <w:div w:id="158810900">
      <w:bodyDiv w:val="1"/>
      <w:marLeft w:val="0"/>
      <w:marRight w:val="0"/>
      <w:marTop w:val="0"/>
      <w:marBottom w:val="0"/>
      <w:divBdr>
        <w:top w:val="none" w:sz="0" w:space="0" w:color="auto"/>
        <w:left w:val="none" w:sz="0" w:space="0" w:color="auto"/>
        <w:bottom w:val="none" w:sz="0" w:space="0" w:color="auto"/>
        <w:right w:val="none" w:sz="0" w:space="0" w:color="auto"/>
      </w:divBdr>
    </w:div>
    <w:div w:id="159005839">
      <w:bodyDiv w:val="1"/>
      <w:marLeft w:val="0"/>
      <w:marRight w:val="0"/>
      <w:marTop w:val="0"/>
      <w:marBottom w:val="0"/>
      <w:divBdr>
        <w:top w:val="none" w:sz="0" w:space="0" w:color="auto"/>
        <w:left w:val="none" w:sz="0" w:space="0" w:color="auto"/>
        <w:bottom w:val="none" w:sz="0" w:space="0" w:color="auto"/>
        <w:right w:val="none" w:sz="0" w:space="0" w:color="auto"/>
      </w:divBdr>
    </w:div>
    <w:div w:id="159270161">
      <w:bodyDiv w:val="1"/>
      <w:marLeft w:val="0"/>
      <w:marRight w:val="0"/>
      <w:marTop w:val="0"/>
      <w:marBottom w:val="0"/>
      <w:divBdr>
        <w:top w:val="none" w:sz="0" w:space="0" w:color="auto"/>
        <w:left w:val="none" w:sz="0" w:space="0" w:color="auto"/>
        <w:bottom w:val="none" w:sz="0" w:space="0" w:color="auto"/>
        <w:right w:val="none" w:sz="0" w:space="0" w:color="auto"/>
      </w:divBdr>
    </w:div>
    <w:div w:id="159858432">
      <w:bodyDiv w:val="1"/>
      <w:marLeft w:val="0"/>
      <w:marRight w:val="0"/>
      <w:marTop w:val="0"/>
      <w:marBottom w:val="0"/>
      <w:divBdr>
        <w:top w:val="none" w:sz="0" w:space="0" w:color="auto"/>
        <w:left w:val="none" w:sz="0" w:space="0" w:color="auto"/>
        <w:bottom w:val="none" w:sz="0" w:space="0" w:color="auto"/>
        <w:right w:val="none" w:sz="0" w:space="0" w:color="auto"/>
      </w:divBdr>
    </w:div>
    <w:div w:id="160199065">
      <w:bodyDiv w:val="1"/>
      <w:marLeft w:val="0"/>
      <w:marRight w:val="0"/>
      <w:marTop w:val="0"/>
      <w:marBottom w:val="0"/>
      <w:divBdr>
        <w:top w:val="none" w:sz="0" w:space="0" w:color="auto"/>
        <w:left w:val="none" w:sz="0" w:space="0" w:color="auto"/>
        <w:bottom w:val="none" w:sz="0" w:space="0" w:color="auto"/>
        <w:right w:val="none" w:sz="0" w:space="0" w:color="auto"/>
      </w:divBdr>
    </w:div>
    <w:div w:id="160245494">
      <w:bodyDiv w:val="1"/>
      <w:marLeft w:val="0"/>
      <w:marRight w:val="0"/>
      <w:marTop w:val="0"/>
      <w:marBottom w:val="0"/>
      <w:divBdr>
        <w:top w:val="none" w:sz="0" w:space="0" w:color="auto"/>
        <w:left w:val="none" w:sz="0" w:space="0" w:color="auto"/>
        <w:bottom w:val="none" w:sz="0" w:space="0" w:color="auto"/>
        <w:right w:val="none" w:sz="0" w:space="0" w:color="auto"/>
      </w:divBdr>
    </w:div>
    <w:div w:id="160463696">
      <w:bodyDiv w:val="1"/>
      <w:marLeft w:val="0"/>
      <w:marRight w:val="0"/>
      <w:marTop w:val="0"/>
      <w:marBottom w:val="0"/>
      <w:divBdr>
        <w:top w:val="none" w:sz="0" w:space="0" w:color="auto"/>
        <w:left w:val="none" w:sz="0" w:space="0" w:color="auto"/>
        <w:bottom w:val="none" w:sz="0" w:space="0" w:color="auto"/>
        <w:right w:val="none" w:sz="0" w:space="0" w:color="auto"/>
      </w:divBdr>
    </w:div>
    <w:div w:id="160778691">
      <w:bodyDiv w:val="1"/>
      <w:marLeft w:val="0"/>
      <w:marRight w:val="0"/>
      <w:marTop w:val="0"/>
      <w:marBottom w:val="0"/>
      <w:divBdr>
        <w:top w:val="none" w:sz="0" w:space="0" w:color="auto"/>
        <w:left w:val="none" w:sz="0" w:space="0" w:color="auto"/>
        <w:bottom w:val="none" w:sz="0" w:space="0" w:color="auto"/>
        <w:right w:val="none" w:sz="0" w:space="0" w:color="auto"/>
      </w:divBdr>
    </w:div>
    <w:div w:id="160895159">
      <w:bodyDiv w:val="1"/>
      <w:marLeft w:val="0"/>
      <w:marRight w:val="0"/>
      <w:marTop w:val="0"/>
      <w:marBottom w:val="0"/>
      <w:divBdr>
        <w:top w:val="none" w:sz="0" w:space="0" w:color="auto"/>
        <w:left w:val="none" w:sz="0" w:space="0" w:color="auto"/>
        <w:bottom w:val="none" w:sz="0" w:space="0" w:color="auto"/>
        <w:right w:val="none" w:sz="0" w:space="0" w:color="auto"/>
      </w:divBdr>
    </w:div>
    <w:div w:id="161119357">
      <w:bodyDiv w:val="1"/>
      <w:marLeft w:val="0"/>
      <w:marRight w:val="0"/>
      <w:marTop w:val="0"/>
      <w:marBottom w:val="0"/>
      <w:divBdr>
        <w:top w:val="none" w:sz="0" w:space="0" w:color="auto"/>
        <w:left w:val="none" w:sz="0" w:space="0" w:color="auto"/>
        <w:bottom w:val="none" w:sz="0" w:space="0" w:color="auto"/>
        <w:right w:val="none" w:sz="0" w:space="0" w:color="auto"/>
      </w:divBdr>
    </w:div>
    <w:div w:id="161509154">
      <w:bodyDiv w:val="1"/>
      <w:marLeft w:val="0"/>
      <w:marRight w:val="0"/>
      <w:marTop w:val="0"/>
      <w:marBottom w:val="0"/>
      <w:divBdr>
        <w:top w:val="none" w:sz="0" w:space="0" w:color="auto"/>
        <w:left w:val="none" w:sz="0" w:space="0" w:color="auto"/>
        <w:bottom w:val="none" w:sz="0" w:space="0" w:color="auto"/>
        <w:right w:val="none" w:sz="0" w:space="0" w:color="auto"/>
      </w:divBdr>
    </w:div>
    <w:div w:id="161631894">
      <w:bodyDiv w:val="1"/>
      <w:marLeft w:val="0"/>
      <w:marRight w:val="0"/>
      <w:marTop w:val="0"/>
      <w:marBottom w:val="0"/>
      <w:divBdr>
        <w:top w:val="none" w:sz="0" w:space="0" w:color="auto"/>
        <w:left w:val="none" w:sz="0" w:space="0" w:color="auto"/>
        <w:bottom w:val="none" w:sz="0" w:space="0" w:color="auto"/>
        <w:right w:val="none" w:sz="0" w:space="0" w:color="auto"/>
      </w:divBdr>
    </w:div>
    <w:div w:id="162093172">
      <w:bodyDiv w:val="1"/>
      <w:marLeft w:val="0"/>
      <w:marRight w:val="0"/>
      <w:marTop w:val="0"/>
      <w:marBottom w:val="0"/>
      <w:divBdr>
        <w:top w:val="none" w:sz="0" w:space="0" w:color="auto"/>
        <w:left w:val="none" w:sz="0" w:space="0" w:color="auto"/>
        <w:bottom w:val="none" w:sz="0" w:space="0" w:color="auto"/>
        <w:right w:val="none" w:sz="0" w:space="0" w:color="auto"/>
      </w:divBdr>
    </w:div>
    <w:div w:id="162278709">
      <w:bodyDiv w:val="1"/>
      <w:marLeft w:val="0"/>
      <w:marRight w:val="0"/>
      <w:marTop w:val="0"/>
      <w:marBottom w:val="0"/>
      <w:divBdr>
        <w:top w:val="none" w:sz="0" w:space="0" w:color="auto"/>
        <w:left w:val="none" w:sz="0" w:space="0" w:color="auto"/>
        <w:bottom w:val="none" w:sz="0" w:space="0" w:color="auto"/>
        <w:right w:val="none" w:sz="0" w:space="0" w:color="auto"/>
      </w:divBdr>
    </w:div>
    <w:div w:id="162430101">
      <w:bodyDiv w:val="1"/>
      <w:marLeft w:val="0"/>
      <w:marRight w:val="0"/>
      <w:marTop w:val="0"/>
      <w:marBottom w:val="0"/>
      <w:divBdr>
        <w:top w:val="none" w:sz="0" w:space="0" w:color="auto"/>
        <w:left w:val="none" w:sz="0" w:space="0" w:color="auto"/>
        <w:bottom w:val="none" w:sz="0" w:space="0" w:color="auto"/>
        <w:right w:val="none" w:sz="0" w:space="0" w:color="auto"/>
      </w:divBdr>
    </w:div>
    <w:div w:id="162551138">
      <w:bodyDiv w:val="1"/>
      <w:marLeft w:val="0"/>
      <w:marRight w:val="0"/>
      <w:marTop w:val="0"/>
      <w:marBottom w:val="0"/>
      <w:divBdr>
        <w:top w:val="none" w:sz="0" w:space="0" w:color="auto"/>
        <w:left w:val="none" w:sz="0" w:space="0" w:color="auto"/>
        <w:bottom w:val="none" w:sz="0" w:space="0" w:color="auto"/>
        <w:right w:val="none" w:sz="0" w:space="0" w:color="auto"/>
      </w:divBdr>
    </w:div>
    <w:div w:id="162622412">
      <w:bodyDiv w:val="1"/>
      <w:marLeft w:val="0"/>
      <w:marRight w:val="0"/>
      <w:marTop w:val="0"/>
      <w:marBottom w:val="0"/>
      <w:divBdr>
        <w:top w:val="none" w:sz="0" w:space="0" w:color="auto"/>
        <w:left w:val="none" w:sz="0" w:space="0" w:color="auto"/>
        <w:bottom w:val="none" w:sz="0" w:space="0" w:color="auto"/>
        <w:right w:val="none" w:sz="0" w:space="0" w:color="auto"/>
      </w:divBdr>
    </w:div>
    <w:div w:id="162933473">
      <w:bodyDiv w:val="1"/>
      <w:marLeft w:val="0"/>
      <w:marRight w:val="0"/>
      <w:marTop w:val="0"/>
      <w:marBottom w:val="0"/>
      <w:divBdr>
        <w:top w:val="none" w:sz="0" w:space="0" w:color="auto"/>
        <w:left w:val="none" w:sz="0" w:space="0" w:color="auto"/>
        <w:bottom w:val="none" w:sz="0" w:space="0" w:color="auto"/>
        <w:right w:val="none" w:sz="0" w:space="0" w:color="auto"/>
      </w:divBdr>
    </w:div>
    <w:div w:id="163055131">
      <w:bodyDiv w:val="1"/>
      <w:marLeft w:val="0"/>
      <w:marRight w:val="0"/>
      <w:marTop w:val="0"/>
      <w:marBottom w:val="0"/>
      <w:divBdr>
        <w:top w:val="none" w:sz="0" w:space="0" w:color="auto"/>
        <w:left w:val="none" w:sz="0" w:space="0" w:color="auto"/>
        <w:bottom w:val="none" w:sz="0" w:space="0" w:color="auto"/>
        <w:right w:val="none" w:sz="0" w:space="0" w:color="auto"/>
      </w:divBdr>
    </w:div>
    <w:div w:id="163130366">
      <w:bodyDiv w:val="1"/>
      <w:marLeft w:val="0"/>
      <w:marRight w:val="0"/>
      <w:marTop w:val="0"/>
      <w:marBottom w:val="0"/>
      <w:divBdr>
        <w:top w:val="none" w:sz="0" w:space="0" w:color="auto"/>
        <w:left w:val="none" w:sz="0" w:space="0" w:color="auto"/>
        <w:bottom w:val="none" w:sz="0" w:space="0" w:color="auto"/>
        <w:right w:val="none" w:sz="0" w:space="0" w:color="auto"/>
      </w:divBdr>
    </w:div>
    <w:div w:id="163403426">
      <w:bodyDiv w:val="1"/>
      <w:marLeft w:val="0"/>
      <w:marRight w:val="0"/>
      <w:marTop w:val="0"/>
      <w:marBottom w:val="0"/>
      <w:divBdr>
        <w:top w:val="none" w:sz="0" w:space="0" w:color="auto"/>
        <w:left w:val="none" w:sz="0" w:space="0" w:color="auto"/>
        <w:bottom w:val="none" w:sz="0" w:space="0" w:color="auto"/>
        <w:right w:val="none" w:sz="0" w:space="0" w:color="auto"/>
      </w:divBdr>
    </w:div>
    <w:div w:id="163515535">
      <w:bodyDiv w:val="1"/>
      <w:marLeft w:val="0"/>
      <w:marRight w:val="0"/>
      <w:marTop w:val="0"/>
      <w:marBottom w:val="0"/>
      <w:divBdr>
        <w:top w:val="none" w:sz="0" w:space="0" w:color="auto"/>
        <w:left w:val="none" w:sz="0" w:space="0" w:color="auto"/>
        <w:bottom w:val="none" w:sz="0" w:space="0" w:color="auto"/>
        <w:right w:val="none" w:sz="0" w:space="0" w:color="auto"/>
      </w:divBdr>
    </w:div>
    <w:div w:id="163590568">
      <w:bodyDiv w:val="1"/>
      <w:marLeft w:val="0"/>
      <w:marRight w:val="0"/>
      <w:marTop w:val="0"/>
      <w:marBottom w:val="0"/>
      <w:divBdr>
        <w:top w:val="none" w:sz="0" w:space="0" w:color="auto"/>
        <w:left w:val="none" w:sz="0" w:space="0" w:color="auto"/>
        <w:bottom w:val="none" w:sz="0" w:space="0" w:color="auto"/>
        <w:right w:val="none" w:sz="0" w:space="0" w:color="auto"/>
      </w:divBdr>
    </w:div>
    <w:div w:id="163591489">
      <w:bodyDiv w:val="1"/>
      <w:marLeft w:val="0"/>
      <w:marRight w:val="0"/>
      <w:marTop w:val="0"/>
      <w:marBottom w:val="0"/>
      <w:divBdr>
        <w:top w:val="none" w:sz="0" w:space="0" w:color="auto"/>
        <w:left w:val="none" w:sz="0" w:space="0" w:color="auto"/>
        <w:bottom w:val="none" w:sz="0" w:space="0" w:color="auto"/>
        <w:right w:val="none" w:sz="0" w:space="0" w:color="auto"/>
      </w:divBdr>
    </w:div>
    <w:div w:id="163667283">
      <w:bodyDiv w:val="1"/>
      <w:marLeft w:val="0"/>
      <w:marRight w:val="0"/>
      <w:marTop w:val="0"/>
      <w:marBottom w:val="0"/>
      <w:divBdr>
        <w:top w:val="none" w:sz="0" w:space="0" w:color="auto"/>
        <w:left w:val="none" w:sz="0" w:space="0" w:color="auto"/>
        <w:bottom w:val="none" w:sz="0" w:space="0" w:color="auto"/>
        <w:right w:val="none" w:sz="0" w:space="0" w:color="auto"/>
      </w:divBdr>
    </w:div>
    <w:div w:id="163980509">
      <w:bodyDiv w:val="1"/>
      <w:marLeft w:val="0"/>
      <w:marRight w:val="0"/>
      <w:marTop w:val="0"/>
      <w:marBottom w:val="0"/>
      <w:divBdr>
        <w:top w:val="none" w:sz="0" w:space="0" w:color="auto"/>
        <w:left w:val="none" w:sz="0" w:space="0" w:color="auto"/>
        <w:bottom w:val="none" w:sz="0" w:space="0" w:color="auto"/>
        <w:right w:val="none" w:sz="0" w:space="0" w:color="auto"/>
      </w:divBdr>
    </w:div>
    <w:div w:id="163983823">
      <w:bodyDiv w:val="1"/>
      <w:marLeft w:val="0"/>
      <w:marRight w:val="0"/>
      <w:marTop w:val="0"/>
      <w:marBottom w:val="0"/>
      <w:divBdr>
        <w:top w:val="none" w:sz="0" w:space="0" w:color="auto"/>
        <w:left w:val="none" w:sz="0" w:space="0" w:color="auto"/>
        <w:bottom w:val="none" w:sz="0" w:space="0" w:color="auto"/>
        <w:right w:val="none" w:sz="0" w:space="0" w:color="auto"/>
      </w:divBdr>
    </w:div>
    <w:div w:id="164251249">
      <w:bodyDiv w:val="1"/>
      <w:marLeft w:val="0"/>
      <w:marRight w:val="0"/>
      <w:marTop w:val="0"/>
      <w:marBottom w:val="0"/>
      <w:divBdr>
        <w:top w:val="none" w:sz="0" w:space="0" w:color="auto"/>
        <w:left w:val="none" w:sz="0" w:space="0" w:color="auto"/>
        <w:bottom w:val="none" w:sz="0" w:space="0" w:color="auto"/>
        <w:right w:val="none" w:sz="0" w:space="0" w:color="auto"/>
      </w:divBdr>
    </w:div>
    <w:div w:id="164442629">
      <w:bodyDiv w:val="1"/>
      <w:marLeft w:val="0"/>
      <w:marRight w:val="0"/>
      <w:marTop w:val="0"/>
      <w:marBottom w:val="0"/>
      <w:divBdr>
        <w:top w:val="none" w:sz="0" w:space="0" w:color="auto"/>
        <w:left w:val="none" w:sz="0" w:space="0" w:color="auto"/>
        <w:bottom w:val="none" w:sz="0" w:space="0" w:color="auto"/>
        <w:right w:val="none" w:sz="0" w:space="0" w:color="auto"/>
      </w:divBdr>
    </w:div>
    <w:div w:id="164825298">
      <w:bodyDiv w:val="1"/>
      <w:marLeft w:val="0"/>
      <w:marRight w:val="0"/>
      <w:marTop w:val="0"/>
      <w:marBottom w:val="0"/>
      <w:divBdr>
        <w:top w:val="none" w:sz="0" w:space="0" w:color="auto"/>
        <w:left w:val="none" w:sz="0" w:space="0" w:color="auto"/>
        <w:bottom w:val="none" w:sz="0" w:space="0" w:color="auto"/>
        <w:right w:val="none" w:sz="0" w:space="0" w:color="auto"/>
      </w:divBdr>
    </w:div>
    <w:div w:id="164898969">
      <w:bodyDiv w:val="1"/>
      <w:marLeft w:val="0"/>
      <w:marRight w:val="0"/>
      <w:marTop w:val="0"/>
      <w:marBottom w:val="0"/>
      <w:divBdr>
        <w:top w:val="none" w:sz="0" w:space="0" w:color="auto"/>
        <w:left w:val="none" w:sz="0" w:space="0" w:color="auto"/>
        <w:bottom w:val="none" w:sz="0" w:space="0" w:color="auto"/>
        <w:right w:val="none" w:sz="0" w:space="0" w:color="auto"/>
      </w:divBdr>
    </w:div>
    <w:div w:id="165294640">
      <w:bodyDiv w:val="1"/>
      <w:marLeft w:val="0"/>
      <w:marRight w:val="0"/>
      <w:marTop w:val="0"/>
      <w:marBottom w:val="0"/>
      <w:divBdr>
        <w:top w:val="none" w:sz="0" w:space="0" w:color="auto"/>
        <w:left w:val="none" w:sz="0" w:space="0" w:color="auto"/>
        <w:bottom w:val="none" w:sz="0" w:space="0" w:color="auto"/>
        <w:right w:val="none" w:sz="0" w:space="0" w:color="auto"/>
      </w:divBdr>
    </w:div>
    <w:div w:id="165638503">
      <w:bodyDiv w:val="1"/>
      <w:marLeft w:val="0"/>
      <w:marRight w:val="0"/>
      <w:marTop w:val="0"/>
      <w:marBottom w:val="0"/>
      <w:divBdr>
        <w:top w:val="none" w:sz="0" w:space="0" w:color="auto"/>
        <w:left w:val="none" w:sz="0" w:space="0" w:color="auto"/>
        <w:bottom w:val="none" w:sz="0" w:space="0" w:color="auto"/>
        <w:right w:val="none" w:sz="0" w:space="0" w:color="auto"/>
      </w:divBdr>
    </w:div>
    <w:div w:id="165676634">
      <w:bodyDiv w:val="1"/>
      <w:marLeft w:val="0"/>
      <w:marRight w:val="0"/>
      <w:marTop w:val="0"/>
      <w:marBottom w:val="0"/>
      <w:divBdr>
        <w:top w:val="none" w:sz="0" w:space="0" w:color="auto"/>
        <w:left w:val="none" w:sz="0" w:space="0" w:color="auto"/>
        <w:bottom w:val="none" w:sz="0" w:space="0" w:color="auto"/>
        <w:right w:val="none" w:sz="0" w:space="0" w:color="auto"/>
      </w:divBdr>
    </w:div>
    <w:div w:id="166023754">
      <w:bodyDiv w:val="1"/>
      <w:marLeft w:val="0"/>
      <w:marRight w:val="0"/>
      <w:marTop w:val="0"/>
      <w:marBottom w:val="0"/>
      <w:divBdr>
        <w:top w:val="none" w:sz="0" w:space="0" w:color="auto"/>
        <w:left w:val="none" w:sz="0" w:space="0" w:color="auto"/>
        <w:bottom w:val="none" w:sz="0" w:space="0" w:color="auto"/>
        <w:right w:val="none" w:sz="0" w:space="0" w:color="auto"/>
      </w:divBdr>
    </w:div>
    <w:div w:id="166139656">
      <w:bodyDiv w:val="1"/>
      <w:marLeft w:val="0"/>
      <w:marRight w:val="0"/>
      <w:marTop w:val="0"/>
      <w:marBottom w:val="0"/>
      <w:divBdr>
        <w:top w:val="none" w:sz="0" w:space="0" w:color="auto"/>
        <w:left w:val="none" w:sz="0" w:space="0" w:color="auto"/>
        <w:bottom w:val="none" w:sz="0" w:space="0" w:color="auto"/>
        <w:right w:val="none" w:sz="0" w:space="0" w:color="auto"/>
      </w:divBdr>
    </w:div>
    <w:div w:id="166210184">
      <w:bodyDiv w:val="1"/>
      <w:marLeft w:val="0"/>
      <w:marRight w:val="0"/>
      <w:marTop w:val="0"/>
      <w:marBottom w:val="0"/>
      <w:divBdr>
        <w:top w:val="none" w:sz="0" w:space="0" w:color="auto"/>
        <w:left w:val="none" w:sz="0" w:space="0" w:color="auto"/>
        <w:bottom w:val="none" w:sz="0" w:space="0" w:color="auto"/>
        <w:right w:val="none" w:sz="0" w:space="0" w:color="auto"/>
      </w:divBdr>
    </w:div>
    <w:div w:id="166332941">
      <w:bodyDiv w:val="1"/>
      <w:marLeft w:val="0"/>
      <w:marRight w:val="0"/>
      <w:marTop w:val="0"/>
      <w:marBottom w:val="0"/>
      <w:divBdr>
        <w:top w:val="none" w:sz="0" w:space="0" w:color="auto"/>
        <w:left w:val="none" w:sz="0" w:space="0" w:color="auto"/>
        <w:bottom w:val="none" w:sz="0" w:space="0" w:color="auto"/>
        <w:right w:val="none" w:sz="0" w:space="0" w:color="auto"/>
      </w:divBdr>
    </w:div>
    <w:div w:id="166558972">
      <w:bodyDiv w:val="1"/>
      <w:marLeft w:val="0"/>
      <w:marRight w:val="0"/>
      <w:marTop w:val="0"/>
      <w:marBottom w:val="0"/>
      <w:divBdr>
        <w:top w:val="none" w:sz="0" w:space="0" w:color="auto"/>
        <w:left w:val="none" w:sz="0" w:space="0" w:color="auto"/>
        <w:bottom w:val="none" w:sz="0" w:space="0" w:color="auto"/>
        <w:right w:val="none" w:sz="0" w:space="0" w:color="auto"/>
      </w:divBdr>
    </w:div>
    <w:div w:id="167016660">
      <w:bodyDiv w:val="1"/>
      <w:marLeft w:val="0"/>
      <w:marRight w:val="0"/>
      <w:marTop w:val="0"/>
      <w:marBottom w:val="0"/>
      <w:divBdr>
        <w:top w:val="none" w:sz="0" w:space="0" w:color="auto"/>
        <w:left w:val="none" w:sz="0" w:space="0" w:color="auto"/>
        <w:bottom w:val="none" w:sz="0" w:space="0" w:color="auto"/>
        <w:right w:val="none" w:sz="0" w:space="0" w:color="auto"/>
      </w:divBdr>
    </w:div>
    <w:div w:id="167641547">
      <w:bodyDiv w:val="1"/>
      <w:marLeft w:val="0"/>
      <w:marRight w:val="0"/>
      <w:marTop w:val="0"/>
      <w:marBottom w:val="0"/>
      <w:divBdr>
        <w:top w:val="none" w:sz="0" w:space="0" w:color="auto"/>
        <w:left w:val="none" w:sz="0" w:space="0" w:color="auto"/>
        <w:bottom w:val="none" w:sz="0" w:space="0" w:color="auto"/>
        <w:right w:val="none" w:sz="0" w:space="0" w:color="auto"/>
      </w:divBdr>
    </w:div>
    <w:div w:id="167720320">
      <w:bodyDiv w:val="1"/>
      <w:marLeft w:val="0"/>
      <w:marRight w:val="0"/>
      <w:marTop w:val="0"/>
      <w:marBottom w:val="0"/>
      <w:divBdr>
        <w:top w:val="none" w:sz="0" w:space="0" w:color="auto"/>
        <w:left w:val="none" w:sz="0" w:space="0" w:color="auto"/>
        <w:bottom w:val="none" w:sz="0" w:space="0" w:color="auto"/>
        <w:right w:val="none" w:sz="0" w:space="0" w:color="auto"/>
      </w:divBdr>
    </w:div>
    <w:div w:id="168184004">
      <w:bodyDiv w:val="1"/>
      <w:marLeft w:val="0"/>
      <w:marRight w:val="0"/>
      <w:marTop w:val="0"/>
      <w:marBottom w:val="0"/>
      <w:divBdr>
        <w:top w:val="none" w:sz="0" w:space="0" w:color="auto"/>
        <w:left w:val="none" w:sz="0" w:space="0" w:color="auto"/>
        <w:bottom w:val="none" w:sz="0" w:space="0" w:color="auto"/>
        <w:right w:val="none" w:sz="0" w:space="0" w:color="auto"/>
      </w:divBdr>
    </w:div>
    <w:div w:id="168377699">
      <w:bodyDiv w:val="1"/>
      <w:marLeft w:val="0"/>
      <w:marRight w:val="0"/>
      <w:marTop w:val="0"/>
      <w:marBottom w:val="0"/>
      <w:divBdr>
        <w:top w:val="none" w:sz="0" w:space="0" w:color="auto"/>
        <w:left w:val="none" w:sz="0" w:space="0" w:color="auto"/>
        <w:bottom w:val="none" w:sz="0" w:space="0" w:color="auto"/>
        <w:right w:val="none" w:sz="0" w:space="0" w:color="auto"/>
      </w:divBdr>
    </w:div>
    <w:div w:id="168570020">
      <w:bodyDiv w:val="1"/>
      <w:marLeft w:val="0"/>
      <w:marRight w:val="0"/>
      <w:marTop w:val="0"/>
      <w:marBottom w:val="0"/>
      <w:divBdr>
        <w:top w:val="none" w:sz="0" w:space="0" w:color="auto"/>
        <w:left w:val="none" w:sz="0" w:space="0" w:color="auto"/>
        <w:bottom w:val="none" w:sz="0" w:space="0" w:color="auto"/>
        <w:right w:val="none" w:sz="0" w:space="0" w:color="auto"/>
      </w:divBdr>
    </w:div>
    <w:div w:id="169686105">
      <w:bodyDiv w:val="1"/>
      <w:marLeft w:val="0"/>
      <w:marRight w:val="0"/>
      <w:marTop w:val="0"/>
      <w:marBottom w:val="0"/>
      <w:divBdr>
        <w:top w:val="none" w:sz="0" w:space="0" w:color="auto"/>
        <w:left w:val="none" w:sz="0" w:space="0" w:color="auto"/>
        <w:bottom w:val="none" w:sz="0" w:space="0" w:color="auto"/>
        <w:right w:val="none" w:sz="0" w:space="0" w:color="auto"/>
      </w:divBdr>
    </w:div>
    <w:div w:id="169833334">
      <w:bodyDiv w:val="1"/>
      <w:marLeft w:val="0"/>
      <w:marRight w:val="0"/>
      <w:marTop w:val="0"/>
      <w:marBottom w:val="0"/>
      <w:divBdr>
        <w:top w:val="none" w:sz="0" w:space="0" w:color="auto"/>
        <w:left w:val="none" w:sz="0" w:space="0" w:color="auto"/>
        <w:bottom w:val="none" w:sz="0" w:space="0" w:color="auto"/>
        <w:right w:val="none" w:sz="0" w:space="0" w:color="auto"/>
      </w:divBdr>
    </w:div>
    <w:div w:id="169956378">
      <w:bodyDiv w:val="1"/>
      <w:marLeft w:val="0"/>
      <w:marRight w:val="0"/>
      <w:marTop w:val="0"/>
      <w:marBottom w:val="0"/>
      <w:divBdr>
        <w:top w:val="none" w:sz="0" w:space="0" w:color="auto"/>
        <w:left w:val="none" w:sz="0" w:space="0" w:color="auto"/>
        <w:bottom w:val="none" w:sz="0" w:space="0" w:color="auto"/>
        <w:right w:val="none" w:sz="0" w:space="0" w:color="auto"/>
      </w:divBdr>
    </w:div>
    <w:div w:id="170143309">
      <w:bodyDiv w:val="1"/>
      <w:marLeft w:val="0"/>
      <w:marRight w:val="0"/>
      <w:marTop w:val="0"/>
      <w:marBottom w:val="0"/>
      <w:divBdr>
        <w:top w:val="none" w:sz="0" w:space="0" w:color="auto"/>
        <w:left w:val="none" w:sz="0" w:space="0" w:color="auto"/>
        <w:bottom w:val="none" w:sz="0" w:space="0" w:color="auto"/>
        <w:right w:val="none" w:sz="0" w:space="0" w:color="auto"/>
      </w:divBdr>
    </w:div>
    <w:div w:id="170267683">
      <w:bodyDiv w:val="1"/>
      <w:marLeft w:val="0"/>
      <w:marRight w:val="0"/>
      <w:marTop w:val="0"/>
      <w:marBottom w:val="0"/>
      <w:divBdr>
        <w:top w:val="none" w:sz="0" w:space="0" w:color="auto"/>
        <w:left w:val="none" w:sz="0" w:space="0" w:color="auto"/>
        <w:bottom w:val="none" w:sz="0" w:space="0" w:color="auto"/>
        <w:right w:val="none" w:sz="0" w:space="0" w:color="auto"/>
      </w:divBdr>
    </w:div>
    <w:div w:id="170344028">
      <w:bodyDiv w:val="1"/>
      <w:marLeft w:val="0"/>
      <w:marRight w:val="0"/>
      <w:marTop w:val="0"/>
      <w:marBottom w:val="0"/>
      <w:divBdr>
        <w:top w:val="none" w:sz="0" w:space="0" w:color="auto"/>
        <w:left w:val="none" w:sz="0" w:space="0" w:color="auto"/>
        <w:bottom w:val="none" w:sz="0" w:space="0" w:color="auto"/>
        <w:right w:val="none" w:sz="0" w:space="0" w:color="auto"/>
      </w:divBdr>
    </w:div>
    <w:div w:id="170801466">
      <w:bodyDiv w:val="1"/>
      <w:marLeft w:val="0"/>
      <w:marRight w:val="0"/>
      <w:marTop w:val="0"/>
      <w:marBottom w:val="0"/>
      <w:divBdr>
        <w:top w:val="none" w:sz="0" w:space="0" w:color="auto"/>
        <w:left w:val="none" w:sz="0" w:space="0" w:color="auto"/>
        <w:bottom w:val="none" w:sz="0" w:space="0" w:color="auto"/>
        <w:right w:val="none" w:sz="0" w:space="0" w:color="auto"/>
      </w:divBdr>
    </w:div>
    <w:div w:id="170880066">
      <w:bodyDiv w:val="1"/>
      <w:marLeft w:val="0"/>
      <w:marRight w:val="0"/>
      <w:marTop w:val="0"/>
      <w:marBottom w:val="0"/>
      <w:divBdr>
        <w:top w:val="none" w:sz="0" w:space="0" w:color="auto"/>
        <w:left w:val="none" w:sz="0" w:space="0" w:color="auto"/>
        <w:bottom w:val="none" w:sz="0" w:space="0" w:color="auto"/>
        <w:right w:val="none" w:sz="0" w:space="0" w:color="auto"/>
      </w:divBdr>
    </w:div>
    <w:div w:id="170991934">
      <w:bodyDiv w:val="1"/>
      <w:marLeft w:val="0"/>
      <w:marRight w:val="0"/>
      <w:marTop w:val="0"/>
      <w:marBottom w:val="0"/>
      <w:divBdr>
        <w:top w:val="none" w:sz="0" w:space="0" w:color="auto"/>
        <w:left w:val="none" w:sz="0" w:space="0" w:color="auto"/>
        <w:bottom w:val="none" w:sz="0" w:space="0" w:color="auto"/>
        <w:right w:val="none" w:sz="0" w:space="0" w:color="auto"/>
      </w:divBdr>
    </w:div>
    <w:div w:id="171577658">
      <w:bodyDiv w:val="1"/>
      <w:marLeft w:val="0"/>
      <w:marRight w:val="0"/>
      <w:marTop w:val="0"/>
      <w:marBottom w:val="0"/>
      <w:divBdr>
        <w:top w:val="none" w:sz="0" w:space="0" w:color="auto"/>
        <w:left w:val="none" w:sz="0" w:space="0" w:color="auto"/>
        <w:bottom w:val="none" w:sz="0" w:space="0" w:color="auto"/>
        <w:right w:val="none" w:sz="0" w:space="0" w:color="auto"/>
      </w:divBdr>
    </w:div>
    <w:div w:id="171841510">
      <w:bodyDiv w:val="1"/>
      <w:marLeft w:val="0"/>
      <w:marRight w:val="0"/>
      <w:marTop w:val="0"/>
      <w:marBottom w:val="0"/>
      <w:divBdr>
        <w:top w:val="none" w:sz="0" w:space="0" w:color="auto"/>
        <w:left w:val="none" w:sz="0" w:space="0" w:color="auto"/>
        <w:bottom w:val="none" w:sz="0" w:space="0" w:color="auto"/>
        <w:right w:val="none" w:sz="0" w:space="0" w:color="auto"/>
      </w:divBdr>
    </w:div>
    <w:div w:id="172182989">
      <w:bodyDiv w:val="1"/>
      <w:marLeft w:val="0"/>
      <w:marRight w:val="0"/>
      <w:marTop w:val="0"/>
      <w:marBottom w:val="0"/>
      <w:divBdr>
        <w:top w:val="none" w:sz="0" w:space="0" w:color="auto"/>
        <w:left w:val="none" w:sz="0" w:space="0" w:color="auto"/>
        <w:bottom w:val="none" w:sz="0" w:space="0" w:color="auto"/>
        <w:right w:val="none" w:sz="0" w:space="0" w:color="auto"/>
      </w:divBdr>
    </w:div>
    <w:div w:id="172695841">
      <w:bodyDiv w:val="1"/>
      <w:marLeft w:val="0"/>
      <w:marRight w:val="0"/>
      <w:marTop w:val="0"/>
      <w:marBottom w:val="0"/>
      <w:divBdr>
        <w:top w:val="none" w:sz="0" w:space="0" w:color="auto"/>
        <w:left w:val="none" w:sz="0" w:space="0" w:color="auto"/>
        <w:bottom w:val="none" w:sz="0" w:space="0" w:color="auto"/>
        <w:right w:val="none" w:sz="0" w:space="0" w:color="auto"/>
      </w:divBdr>
    </w:div>
    <w:div w:id="173111943">
      <w:bodyDiv w:val="1"/>
      <w:marLeft w:val="0"/>
      <w:marRight w:val="0"/>
      <w:marTop w:val="0"/>
      <w:marBottom w:val="0"/>
      <w:divBdr>
        <w:top w:val="none" w:sz="0" w:space="0" w:color="auto"/>
        <w:left w:val="none" w:sz="0" w:space="0" w:color="auto"/>
        <w:bottom w:val="none" w:sz="0" w:space="0" w:color="auto"/>
        <w:right w:val="none" w:sz="0" w:space="0" w:color="auto"/>
      </w:divBdr>
    </w:div>
    <w:div w:id="173154665">
      <w:bodyDiv w:val="1"/>
      <w:marLeft w:val="0"/>
      <w:marRight w:val="0"/>
      <w:marTop w:val="0"/>
      <w:marBottom w:val="0"/>
      <w:divBdr>
        <w:top w:val="none" w:sz="0" w:space="0" w:color="auto"/>
        <w:left w:val="none" w:sz="0" w:space="0" w:color="auto"/>
        <w:bottom w:val="none" w:sz="0" w:space="0" w:color="auto"/>
        <w:right w:val="none" w:sz="0" w:space="0" w:color="auto"/>
      </w:divBdr>
    </w:div>
    <w:div w:id="173229962">
      <w:bodyDiv w:val="1"/>
      <w:marLeft w:val="0"/>
      <w:marRight w:val="0"/>
      <w:marTop w:val="0"/>
      <w:marBottom w:val="0"/>
      <w:divBdr>
        <w:top w:val="none" w:sz="0" w:space="0" w:color="auto"/>
        <w:left w:val="none" w:sz="0" w:space="0" w:color="auto"/>
        <w:bottom w:val="none" w:sz="0" w:space="0" w:color="auto"/>
        <w:right w:val="none" w:sz="0" w:space="0" w:color="auto"/>
      </w:divBdr>
    </w:div>
    <w:div w:id="173692567">
      <w:bodyDiv w:val="1"/>
      <w:marLeft w:val="0"/>
      <w:marRight w:val="0"/>
      <w:marTop w:val="0"/>
      <w:marBottom w:val="0"/>
      <w:divBdr>
        <w:top w:val="none" w:sz="0" w:space="0" w:color="auto"/>
        <w:left w:val="none" w:sz="0" w:space="0" w:color="auto"/>
        <w:bottom w:val="none" w:sz="0" w:space="0" w:color="auto"/>
        <w:right w:val="none" w:sz="0" w:space="0" w:color="auto"/>
      </w:divBdr>
    </w:div>
    <w:div w:id="174079734">
      <w:bodyDiv w:val="1"/>
      <w:marLeft w:val="0"/>
      <w:marRight w:val="0"/>
      <w:marTop w:val="0"/>
      <w:marBottom w:val="0"/>
      <w:divBdr>
        <w:top w:val="none" w:sz="0" w:space="0" w:color="auto"/>
        <w:left w:val="none" w:sz="0" w:space="0" w:color="auto"/>
        <w:bottom w:val="none" w:sz="0" w:space="0" w:color="auto"/>
        <w:right w:val="none" w:sz="0" w:space="0" w:color="auto"/>
      </w:divBdr>
    </w:div>
    <w:div w:id="174227194">
      <w:bodyDiv w:val="1"/>
      <w:marLeft w:val="0"/>
      <w:marRight w:val="0"/>
      <w:marTop w:val="0"/>
      <w:marBottom w:val="0"/>
      <w:divBdr>
        <w:top w:val="none" w:sz="0" w:space="0" w:color="auto"/>
        <w:left w:val="none" w:sz="0" w:space="0" w:color="auto"/>
        <w:bottom w:val="none" w:sz="0" w:space="0" w:color="auto"/>
        <w:right w:val="none" w:sz="0" w:space="0" w:color="auto"/>
      </w:divBdr>
    </w:div>
    <w:div w:id="174342777">
      <w:bodyDiv w:val="1"/>
      <w:marLeft w:val="0"/>
      <w:marRight w:val="0"/>
      <w:marTop w:val="0"/>
      <w:marBottom w:val="0"/>
      <w:divBdr>
        <w:top w:val="none" w:sz="0" w:space="0" w:color="auto"/>
        <w:left w:val="none" w:sz="0" w:space="0" w:color="auto"/>
        <w:bottom w:val="none" w:sz="0" w:space="0" w:color="auto"/>
        <w:right w:val="none" w:sz="0" w:space="0" w:color="auto"/>
      </w:divBdr>
    </w:div>
    <w:div w:id="174393446">
      <w:bodyDiv w:val="1"/>
      <w:marLeft w:val="0"/>
      <w:marRight w:val="0"/>
      <w:marTop w:val="0"/>
      <w:marBottom w:val="0"/>
      <w:divBdr>
        <w:top w:val="none" w:sz="0" w:space="0" w:color="auto"/>
        <w:left w:val="none" w:sz="0" w:space="0" w:color="auto"/>
        <w:bottom w:val="none" w:sz="0" w:space="0" w:color="auto"/>
        <w:right w:val="none" w:sz="0" w:space="0" w:color="auto"/>
      </w:divBdr>
    </w:div>
    <w:div w:id="174420873">
      <w:bodyDiv w:val="1"/>
      <w:marLeft w:val="0"/>
      <w:marRight w:val="0"/>
      <w:marTop w:val="0"/>
      <w:marBottom w:val="0"/>
      <w:divBdr>
        <w:top w:val="none" w:sz="0" w:space="0" w:color="auto"/>
        <w:left w:val="none" w:sz="0" w:space="0" w:color="auto"/>
        <w:bottom w:val="none" w:sz="0" w:space="0" w:color="auto"/>
        <w:right w:val="none" w:sz="0" w:space="0" w:color="auto"/>
      </w:divBdr>
    </w:div>
    <w:div w:id="174733295">
      <w:bodyDiv w:val="1"/>
      <w:marLeft w:val="0"/>
      <w:marRight w:val="0"/>
      <w:marTop w:val="0"/>
      <w:marBottom w:val="0"/>
      <w:divBdr>
        <w:top w:val="none" w:sz="0" w:space="0" w:color="auto"/>
        <w:left w:val="none" w:sz="0" w:space="0" w:color="auto"/>
        <w:bottom w:val="none" w:sz="0" w:space="0" w:color="auto"/>
        <w:right w:val="none" w:sz="0" w:space="0" w:color="auto"/>
      </w:divBdr>
    </w:div>
    <w:div w:id="175509756">
      <w:bodyDiv w:val="1"/>
      <w:marLeft w:val="0"/>
      <w:marRight w:val="0"/>
      <w:marTop w:val="0"/>
      <w:marBottom w:val="0"/>
      <w:divBdr>
        <w:top w:val="none" w:sz="0" w:space="0" w:color="auto"/>
        <w:left w:val="none" w:sz="0" w:space="0" w:color="auto"/>
        <w:bottom w:val="none" w:sz="0" w:space="0" w:color="auto"/>
        <w:right w:val="none" w:sz="0" w:space="0" w:color="auto"/>
      </w:divBdr>
    </w:div>
    <w:div w:id="175577410">
      <w:bodyDiv w:val="1"/>
      <w:marLeft w:val="0"/>
      <w:marRight w:val="0"/>
      <w:marTop w:val="0"/>
      <w:marBottom w:val="0"/>
      <w:divBdr>
        <w:top w:val="none" w:sz="0" w:space="0" w:color="auto"/>
        <w:left w:val="none" w:sz="0" w:space="0" w:color="auto"/>
        <w:bottom w:val="none" w:sz="0" w:space="0" w:color="auto"/>
        <w:right w:val="none" w:sz="0" w:space="0" w:color="auto"/>
      </w:divBdr>
    </w:div>
    <w:div w:id="175654815">
      <w:bodyDiv w:val="1"/>
      <w:marLeft w:val="0"/>
      <w:marRight w:val="0"/>
      <w:marTop w:val="0"/>
      <w:marBottom w:val="0"/>
      <w:divBdr>
        <w:top w:val="none" w:sz="0" w:space="0" w:color="auto"/>
        <w:left w:val="none" w:sz="0" w:space="0" w:color="auto"/>
        <w:bottom w:val="none" w:sz="0" w:space="0" w:color="auto"/>
        <w:right w:val="none" w:sz="0" w:space="0" w:color="auto"/>
      </w:divBdr>
    </w:div>
    <w:div w:id="175773399">
      <w:bodyDiv w:val="1"/>
      <w:marLeft w:val="0"/>
      <w:marRight w:val="0"/>
      <w:marTop w:val="0"/>
      <w:marBottom w:val="0"/>
      <w:divBdr>
        <w:top w:val="none" w:sz="0" w:space="0" w:color="auto"/>
        <w:left w:val="none" w:sz="0" w:space="0" w:color="auto"/>
        <w:bottom w:val="none" w:sz="0" w:space="0" w:color="auto"/>
        <w:right w:val="none" w:sz="0" w:space="0" w:color="auto"/>
      </w:divBdr>
    </w:div>
    <w:div w:id="175971919">
      <w:bodyDiv w:val="1"/>
      <w:marLeft w:val="0"/>
      <w:marRight w:val="0"/>
      <w:marTop w:val="0"/>
      <w:marBottom w:val="0"/>
      <w:divBdr>
        <w:top w:val="none" w:sz="0" w:space="0" w:color="auto"/>
        <w:left w:val="none" w:sz="0" w:space="0" w:color="auto"/>
        <w:bottom w:val="none" w:sz="0" w:space="0" w:color="auto"/>
        <w:right w:val="none" w:sz="0" w:space="0" w:color="auto"/>
      </w:divBdr>
    </w:div>
    <w:div w:id="176192641">
      <w:bodyDiv w:val="1"/>
      <w:marLeft w:val="0"/>
      <w:marRight w:val="0"/>
      <w:marTop w:val="0"/>
      <w:marBottom w:val="0"/>
      <w:divBdr>
        <w:top w:val="none" w:sz="0" w:space="0" w:color="auto"/>
        <w:left w:val="none" w:sz="0" w:space="0" w:color="auto"/>
        <w:bottom w:val="none" w:sz="0" w:space="0" w:color="auto"/>
        <w:right w:val="none" w:sz="0" w:space="0" w:color="auto"/>
      </w:divBdr>
    </w:div>
    <w:div w:id="176382432">
      <w:bodyDiv w:val="1"/>
      <w:marLeft w:val="0"/>
      <w:marRight w:val="0"/>
      <w:marTop w:val="0"/>
      <w:marBottom w:val="0"/>
      <w:divBdr>
        <w:top w:val="none" w:sz="0" w:space="0" w:color="auto"/>
        <w:left w:val="none" w:sz="0" w:space="0" w:color="auto"/>
        <w:bottom w:val="none" w:sz="0" w:space="0" w:color="auto"/>
        <w:right w:val="none" w:sz="0" w:space="0" w:color="auto"/>
      </w:divBdr>
    </w:div>
    <w:div w:id="176848337">
      <w:bodyDiv w:val="1"/>
      <w:marLeft w:val="0"/>
      <w:marRight w:val="0"/>
      <w:marTop w:val="0"/>
      <w:marBottom w:val="0"/>
      <w:divBdr>
        <w:top w:val="none" w:sz="0" w:space="0" w:color="auto"/>
        <w:left w:val="none" w:sz="0" w:space="0" w:color="auto"/>
        <w:bottom w:val="none" w:sz="0" w:space="0" w:color="auto"/>
        <w:right w:val="none" w:sz="0" w:space="0" w:color="auto"/>
      </w:divBdr>
    </w:div>
    <w:div w:id="177013742">
      <w:bodyDiv w:val="1"/>
      <w:marLeft w:val="0"/>
      <w:marRight w:val="0"/>
      <w:marTop w:val="0"/>
      <w:marBottom w:val="0"/>
      <w:divBdr>
        <w:top w:val="none" w:sz="0" w:space="0" w:color="auto"/>
        <w:left w:val="none" w:sz="0" w:space="0" w:color="auto"/>
        <w:bottom w:val="none" w:sz="0" w:space="0" w:color="auto"/>
        <w:right w:val="none" w:sz="0" w:space="0" w:color="auto"/>
      </w:divBdr>
    </w:div>
    <w:div w:id="177163103">
      <w:bodyDiv w:val="1"/>
      <w:marLeft w:val="0"/>
      <w:marRight w:val="0"/>
      <w:marTop w:val="0"/>
      <w:marBottom w:val="0"/>
      <w:divBdr>
        <w:top w:val="none" w:sz="0" w:space="0" w:color="auto"/>
        <w:left w:val="none" w:sz="0" w:space="0" w:color="auto"/>
        <w:bottom w:val="none" w:sz="0" w:space="0" w:color="auto"/>
        <w:right w:val="none" w:sz="0" w:space="0" w:color="auto"/>
      </w:divBdr>
    </w:div>
    <w:div w:id="177235884">
      <w:bodyDiv w:val="1"/>
      <w:marLeft w:val="0"/>
      <w:marRight w:val="0"/>
      <w:marTop w:val="0"/>
      <w:marBottom w:val="0"/>
      <w:divBdr>
        <w:top w:val="none" w:sz="0" w:space="0" w:color="auto"/>
        <w:left w:val="none" w:sz="0" w:space="0" w:color="auto"/>
        <w:bottom w:val="none" w:sz="0" w:space="0" w:color="auto"/>
        <w:right w:val="none" w:sz="0" w:space="0" w:color="auto"/>
      </w:divBdr>
    </w:div>
    <w:div w:id="177276440">
      <w:bodyDiv w:val="1"/>
      <w:marLeft w:val="0"/>
      <w:marRight w:val="0"/>
      <w:marTop w:val="0"/>
      <w:marBottom w:val="0"/>
      <w:divBdr>
        <w:top w:val="none" w:sz="0" w:space="0" w:color="auto"/>
        <w:left w:val="none" w:sz="0" w:space="0" w:color="auto"/>
        <w:bottom w:val="none" w:sz="0" w:space="0" w:color="auto"/>
        <w:right w:val="none" w:sz="0" w:space="0" w:color="auto"/>
      </w:divBdr>
    </w:div>
    <w:div w:id="177281719">
      <w:bodyDiv w:val="1"/>
      <w:marLeft w:val="0"/>
      <w:marRight w:val="0"/>
      <w:marTop w:val="0"/>
      <w:marBottom w:val="0"/>
      <w:divBdr>
        <w:top w:val="none" w:sz="0" w:space="0" w:color="auto"/>
        <w:left w:val="none" w:sz="0" w:space="0" w:color="auto"/>
        <w:bottom w:val="none" w:sz="0" w:space="0" w:color="auto"/>
        <w:right w:val="none" w:sz="0" w:space="0" w:color="auto"/>
      </w:divBdr>
    </w:div>
    <w:div w:id="177542682">
      <w:bodyDiv w:val="1"/>
      <w:marLeft w:val="0"/>
      <w:marRight w:val="0"/>
      <w:marTop w:val="0"/>
      <w:marBottom w:val="0"/>
      <w:divBdr>
        <w:top w:val="none" w:sz="0" w:space="0" w:color="auto"/>
        <w:left w:val="none" w:sz="0" w:space="0" w:color="auto"/>
        <w:bottom w:val="none" w:sz="0" w:space="0" w:color="auto"/>
        <w:right w:val="none" w:sz="0" w:space="0" w:color="auto"/>
      </w:divBdr>
    </w:div>
    <w:div w:id="177894725">
      <w:bodyDiv w:val="1"/>
      <w:marLeft w:val="0"/>
      <w:marRight w:val="0"/>
      <w:marTop w:val="0"/>
      <w:marBottom w:val="0"/>
      <w:divBdr>
        <w:top w:val="none" w:sz="0" w:space="0" w:color="auto"/>
        <w:left w:val="none" w:sz="0" w:space="0" w:color="auto"/>
        <w:bottom w:val="none" w:sz="0" w:space="0" w:color="auto"/>
        <w:right w:val="none" w:sz="0" w:space="0" w:color="auto"/>
      </w:divBdr>
    </w:div>
    <w:div w:id="178590030">
      <w:bodyDiv w:val="1"/>
      <w:marLeft w:val="0"/>
      <w:marRight w:val="0"/>
      <w:marTop w:val="0"/>
      <w:marBottom w:val="0"/>
      <w:divBdr>
        <w:top w:val="none" w:sz="0" w:space="0" w:color="auto"/>
        <w:left w:val="none" w:sz="0" w:space="0" w:color="auto"/>
        <w:bottom w:val="none" w:sz="0" w:space="0" w:color="auto"/>
        <w:right w:val="none" w:sz="0" w:space="0" w:color="auto"/>
      </w:divBdr>
    </w:div>
    <w:div w:id="178783604">
      <w:bodyDiv w:val="1"/>
      <w:marLeft w:val="0"/>
      <w:marRight w:val="0"/>
      <w:marTop w:val="0"/>
      <w:marBottom w:val="0"/>
      <w:divBdr>
        <w:top w:val="none" w:sz="0" w:space="0" w:color="auto"/>
        <w:left w:val="none" w:sz="0" w:space="0" w:color="auto"/>
        <w:bottom w:val="none" w:sz="0" w:space="0" w:color="auto"/>
        <w:right w:val="none" w:sz="0" w:space="0" w:color="auto"/>
      </w:divBdr>
    </w:div>
    <w:div w:id="178937705">
      <w:bodyDiv w:val="1"/>
      <w:marLeft w:val="0"/>
      <w:marRight w:val="0"/>
      <w:marTop w:val="0"/>
      <w:marBottom w:val="0"/>
      <w:divBdr>
        <w:top w:val="none" w:sz="0" w:space="0" w:color="auto"/>
        <w:left w:val="none" w:sz="0" w:space="0" w:color="auto"/>
        <w:bottom w:val="none" w:sz="0" w:space="0" w:color="auto"/>
        <w:right w:val="none" w:sz="0" w:space="0" w:color="auto"/>
      </w:divBdr>
    </w:div>
    <w:div w:id="179052191">
      <w:bodyDiv w:val="1"/>
      <w:marLeft w:val="0"/>
      <w:marRight w:val="0"/>
      <w:marTop w:val="0"/>
      <w:marBottom w:val="0"/>
      <w:divBdr>
        <w:top w:val="none" w:sz="0" w:space="0" w:color="auto"/>
        <w:left w:val="none" w:sz="0" w:space="0" w:color="auto"/>
        <w:bottom w:val="none" w:sz="0" w:space="0" w:color="auto"/>
        <w:right w:val="none" w:sz="0" w:space="0" w:color="auto"/>
      </w:divBdr>
    </w:div>
    <w:div w:id="179199012">
      <w:bodyDiv w:val="1"/>
      <w:marLeft w:val="0"/>
      <w:marRight w:val="0"/>
      <w:marTop w:val="0"/>
      <w:marBottom w:val="0"/>
      <w:divBdr>
        <w:top w:val="none" w:sz="0" w:space="0" w:color="auto"/>
        <w:left w:val="none" w:sz="0" w:space="0" w:color="auto"/>
        <w:bottom w:val="none" w:sz="0" w:space="0" w:color="auto"/>
        <w:right w:val="none" w:sz="0" w:space="0" w:color="auto"/>
      </w:divBdr>
    </w:div>
    <w:div w:id="179704915">
      <w:bodyDiv w:val="1"/>
      <w:marLeft w:val="0"/>
      <w:marRight w:val="0"/>
      <w:marTop w:val="0"/>
      <w:marBottom w:val="0"/>
      <w:divBdr>
        <w:top w:val="none" w:sz="0" w:space="0" w:color="auto"/>
        <w:left w:val="none" w:sz="0" w:space="0" w:color="auto"/>
        <w:bottom w:val="none" w:sz="0" w:space="0" w:color="auto"/>
        <w:right w:val="none" w:sz="0" w:space="0" w:color="auto"/>
      </w:divBdr>
    </w:div>
    <w:div w:id="180046667">
      <w:bodyDiv w:val="1"/>
      <w:marLeft w:val="0"/>
      <w:marRight w:val="0"/>
      <w:marTop w:val="0"/>
      <w:marBottom w:val="0"/>
      <w:divBdr>
        <w:top w:val="none" w:sz="0" w:space="0" w:color="auto"/>
        <w:left w:val="none" w:sz="0" w:space="0" w:color="auto"/>
        <w:bottom w:val="none" w:sz="0" w:space="0" w:color="auto"/>
        <w:right w:val="none" w:sz="0" w:space="0" w:color="auto"/>
      </w:divBdr>
    </w:div>
    <w:div w:id="180124626">
      <w:bodyDiv w:val="1"/>
      <w:marLeft w:val="0"/>
      <w:marRight w:val="0"/>
      <w:marTop w:val="0"/>
      <w:marBottom w:val="0"/>
      <w:divBdr>
        <w:top w:val="none" w:sz="0" w:space="0" w:color="auto"/>
        <w:left w:val="none" w:sz="0" w:space="0" w:color="auto"/>
        <w:bottom w:val="none" w:sz="0" w:space="0" w:color="auto"/>
        <w:right w:val="none" w:sz="0" w:space="0" w:color="auto"/>
      </w:divBdr>
    </w:div>
    <w:div w:id="180165344">
      <w:bodyDiv w:val="1"/>
      <w:marLeft w:val="0"/>
      <w:marRight w:val="0"/>
      <w:marTop w:val="0"/>
      <w:marBottom w:val="0"/>
      <w:divBdr>
        <w:top w:val="none" w:sz="0" w:space="0" w:color="auto"/>
        <w:left w:val="none" w:sz="0" w:space="0" w:color="auto"/>
        <w:bottom w:val="none" w:sz="0" w:space="0" w:color="auto"/>
        <w:right w:val="none" w:sz="0" w:space="0" w:color="auto"/>
      </w:divBdr>
    </w:div>
    <w:div w:id="180319912">
      <w:bodyDiv w:val="1"/>
      <w:marLeft w:val="0"/>
      <w:marRight w:val="0"/>
      <w:marTop w:val="0"/>
      <w:marBottom w:val="0"/>
      <w:divBdr>
        <w:top w:val="none" w:sz="0" w:space="0" w:color="auto"/>
        <w:left w:val="none" w:sz="0" w:space="0" w:color="auto"/>
        <w:bottom w:val="none" w:sz="0" w:space="0" w:color="auto"/>
        <w:right w:val="none" w:sz="0" w:space="0" w:color="auto"/>
      </w:divBdr>
    </w:div>
    <w:div w:id="180364785">
      <w:bodyDiv w:val="1"/>
      <w:marLeft w:val="0"/>
      <w:marRight w:val="0"/>
      <w:marTop w:val="0"/>
      <w:marBottom w:val="0"/>
      <w:divBdr>
        <w:top w:val="none" w:sz="0" w:space="0" w:color="auto"/>
        <w:left w:val="none" w:sz="0" w:space="0" w:color="auto"/>
        <w:bottom w:val="none" w:sz="0" w:space="0" w:color="auto"/>
        <w:right w:val="none" w:sz="0" w:space="0" w:color="auto"/>
      </w:divBdr>
    </w:div>
    <w:div w:id="180825256">
      <w:bodyDiv w:val="1"/>
      <w:marLeft w:val="0"/>
      <w:marRight w:val="0"/>
      <w:marTop w:val="0"/>
      <w:marBottom w:val="0"/>
      <w:divBdr>
        <w:top w:val="none" w:sz="0" w:space="0" w:color="auto"/>
        <w:left w:val="none" w:sz="0" w:space="0" w:color="auto"/>
        <w:bottom w:val="none" w:sz="0" w:space="0" w:color="auto"/>
        <w:right w:val="none" w:sz="0" w:space="0" w:color="auto"/>
      </w:divBdr>
    </w:div>
    <w:div w:id="180827636">
      <w:bodyDiv w:val="1"/>
      <w:marLeft w:val="0"/>
      <w:marRight w:val="0"/>
      <w:marTop w:val="0"/>
      <w:marBottom w:val="0"/>
      <w:divBdr>
        <w:top w:val="none" w:sz="0" w:space="0" w:color="auto"/>
        <w:left w:val="none" w:sz="0" w:space="0" w:color="auto"/>
        <w:bottom w:val="none" w:sz="0" w:space="0" w:color="auto"/>
        <w:right w:val="none" w:sz="0" w:space="0" w:color="auto"/>
      </w:divBdr>
    </w:div>
    <w:div w:id="181093764">
      <w:bodyDiv w:val="1"/>
      <w:marLeft w:val="0"/>
      <w:marRight w:val="0"/>
      <w:marTop w:val="0"/>
      <w:marBottom w:val="0"/>
      <w:divBdr>
        <w:top w:val="none" w:sz="0" w:space="0" w:color="auto"/>
        <w:left w:val="none" w:sz="0" w:space="0" w:color="auto"/>
        <w:bottom w:val="none" w:sz="0" w:space="0" w:color="auto"/>
        <w:right w:val="none" w:sz="0" w:space="0" w:color="auto"/>
      </w:divBdr>
    </w:div>
    <w:div w:id="181290160">
      <w:bodyDiv w:val="1"/>
      <w:marLeft w:val="0"/>
      <w:marRight w:val="0"/>
      <w:marTop w:val="0"/>
      <w:marBottom w:val="0"/>
      <w:divBdr>
        <w:top w:val="none" w:sz="0" w:space="0" w:color="auto"/>
        <w:left w:val="none" w:sz="0" w:space="0" w:color="auto"/>
        <w:bottom w:val="none" w:sz="0" w:space="0" w:color="auto"/>
        <w:right w:val="none" w:sz="0" w:space="0" w:color="auto"/>
      </w:divBdr>
    </w:div>
    <w:div w:id="181360477">
      <w:bodyDiv w:val="1"/>
      <w:marLeft w:val="0"/>
      <w:marRight w:val="0"/>
      <w:marTop w:val="0"/>
      <w:marBottom w:val="0"/>
      <w:divBdr>
        <w:top w:val="none" w:sz="0" w:space="0" w:color="auto"/>
        <w:left w:val="none" w:sz="0" w:space="0" w:color="auto"/>
        <w:bottom w:val="none" w:sz="0" w:space="0" w:color="auto"/>
        <w:right w:val="none" w:sz="0" w:space="0" w:color="auto"/>
      </w:divBdr>
    </w:div>
    <w:div w:id="181477626">
      <w:bodyDiv w:val="1"/>
      <w:marLeft w:val="0"/>
      <w:marRight w:val="0"/>
      <w:marTop w:val="0"/>
      <w:marBottom w:val="0"/>
      <w:divBdr>
        <w:top w:val="none" w:sz="0" w:space="0" w:color="auto"/>
        <w:left w:val="none" w:sz="0" w:space="0" w:color="auto"/>
        <w:bottom w:val="none" w:sz="0" w:space="0" w:color="auto"/>
        <w:right w:val="none" w:sz="0" w:space="0" w:color="auto"/>
      </w:divBdr>
    </w:div>
    <w:div w:id="181550805">
      <w:bodyDiv w:val="1"/>
      <w:marLeft w:val="0"/>
      <w:marRight w:val="0"/>
      <w:marTop w:val="0"/>
      <w:marBottom w:val="0"/>
      <w:divBdr>
        <w:top w:val="none" w:sz="0" w:space="0" w:color="auto"/>
        <w:left w:val="none" w:sz="0" w:space="0" w:color="auto"/>
        <w:bottom w:val="none" w:sz="0" w:space="0" w:color="auto"/>
        <w:right w:val="none" w:sz="0" w:space="0" w:color="auto"/>
      </w:divBdr>
    </w:div>
    <w:div w:id="181671510">
      <w:bodyDiv w:val="1"/>
      <w:marLeft w:val="0"/>
      <w:marRight w:val="0"/>
      <w:marTop w:val="0"/>
      <w:marBottom w:val="0"/>
      <w:divBdr>
        <w:top w:val="none" w:sz="0" w:space="0" w:color="auto"/>
        <w:left w:val="none" w:sz="0" w:space="0" w:color="auto"/>
        <w:bottom w:val="none" w:sz="0" w:space="0" w:color="auto"/>
        <w:right w:val="none" w:sz="0" w:space="0" w:color="auto"/>
      </w:divBdr>
    </w:div>
    <w:div w:id="181824811">
      <w:bodyDiv w:val="1"/>
      <w:marLeft w:val="0"/>
      <w:marRight w:val="0"/>
      <w:marTop w:val="0"/>
      <w:marBottom w:val="0"/>
      <w:divBdr>
        <w:top w:val="none" w:sz="0" w:space="0" w:color="auto"/>
        <w:left w:val="none" w:sz="0" w:space="0" w:color="auto"/>
        <w:bottom w:val="none" w:sz="0" w:space="0" w:color="auto"/>
        <w:right w:val="none" w:sz="0" w:space="0" w:color="auto"/>
      </w:divBdr>
    </w:div>
    <w:div w:id="182088072">
      <w:bodyDiv w:val="1"/>
      <w:marLeft w:val="0"/>
      <w:marRight w:val="0"/>
      <w:marTop w:val="0"/>
      <w:marBottom w:val="0"/>
      <w:divBdr>
        <w:top w:val="none" w:sz="0" w:space="0" w:color="auto"/>
        <w:left w:val="none" w:sz="0" w:space="0" w:color="auto"/>
        <w:bottom w:val="none" w:sz="0" w:space="0" w:color="auto"/>
        <w:right w:val="none" w:sz="0" w:space="0" w:color="auto"/>
      </w:divBdr>
    </w:div>
    <w:div w:id="182942636">
      <w:bodyDiv w:val="1"/>
      <w:marLeft w:val="0"/>
      <w:marRight w:val="0"/>
      <w:marTop w:val="0"/>
      <w:marBottom w:val="0"/>
      <w:divBdr>
        <w:top w:val="none" w:sz="0" w:space="0" w:color="auto"/>
        <w:left w:val="none" w:sz="0" w:space="0" w:color="auto"/>
        <w:bottom w:val="none" w:sz="0" w:space="0" w:color="auto"/>
        <w:right w:val="none" w:sz="0" w:space="0" w:color="auto"/>
      </w:divBdr>
    </w:div>
    <w:div w:id="183247156">
      <w:bodyDiv w:val="1"/>
      <w:marLeft w:val="0"/>
      <w:marRight w:val="0"/>
      <w:marTop w:val="0"/>
      <w:marBottom w:val="0"/>
      <w:divBdr>
        <w:top w:val="none" w:sz="0" w:space="0" w:color="auto"/>
        <w:left w:val="none" w:sz="0" w:space="0" w:color="auto"/>
        <w:bottom w:val="none" w:sz="0" w:space="0" w:color="auto"/>
        <w:right w:val="none" w:sz="0" w:space="0" w:color="auto"/>
      </w:divBdr>
    </w:div>
    <w:div w:id="183254477">
      <w:bodyDiv w:val="1"/>
      <w:marLeft w:val="0"/>
      <w:marRight w:val="0"/>
      <w:marTop w:val="0"/>
      <w:marBottom w:val="0"/>
      <w:divBdr>
        <w:top w:val="none" w:sz="0" w:space="0" w:color="auto"/>
        <w:left w:val="none" w:sz="0" w:space="0" w:color="auto"/>
        <w:bottom w:val="none" w:sz="0" w:space="0" w:color="auto"/>
        <w:right w:val="none" w:sz="0" w:space="0" w:color="auto"/>
      </w:divBdr>
    </w:div>
    <w:div w:id="183371692">
      <w:bodyDiv w:val="1"/>
      <w:marLeft w:val="0"/>
      <w:marRight w:val="0"/>
      <w:marTop w:val="0"/>
      <w:marBottom w:val="0"/>
      <w:divBdr>
        <w:top w:val="none" w:sz="0" w:space="0" w:color="auto"/>
        <w:left w:val="none" w:sz="0" w:space="0" w:color="auto"/>
        <w:bottom w:val="none" w:sz="0" w:space="0" w:color="auto"/>
        <w:right w:val="none" w:sz="0" w:space="0" w:color="auto"/>
      </w:divBdr>
    </w:div>
    <w:div w:id="183399728">
      <w:bodyDiv w:val="1"/>
      <w:marLeft w:val="0"/>
      <w:marRight w:val="0"/>
      <w:marTop w:val="0"/>
      <w:marBottom w:val="0"/>
      <w:divBdr>
        <w:top w:val="none" w:sz="0" w:space="0" w:color="auto"/>
        <w:left w:val="none" w:sz="0" w:space="0" w:color="auto"/>
        <w:bottom w:val="none" w:sz="0" w:space="0" w:color="auto"/>
        <w:right w:val="none" w:sz="0" w:space="0" w:color="auto"/>
      </w:divBdr>
    </w:div>
    <w:div w:id="183400054">
      <w:bodyDiv w:val="1"/>
      <w:marLeft w:val="0"/>
      <w:marRight w:val="0"/>
      <w:marTop w:val="0"/>
      <w:marBottom w:val="0"/>
      <w:divBdr>
        <w:top w:val="none" w:sz="0" w:space="0" w:color="auto"/>
        <w:left w:val="none" w:sz="0" w:space="0" w:color="auto"/>
        <w:bottom w:val="none" w:sz="0" w:space="0" w:color="auto"/>
        <w:right w:val="none" w:sz="0" w:space="0" w:color="auto"/>
      </w:divBdr>
    </w:div>
    <w:div w:id="183716750">
      <w:bodyDiv w:val="1"/>
      <w:marLeft w:val="0"/>
      <w:marRight w:val="0"/>
      <w:marTop w:val="0"/>
      <w:marBottom w:val="0"/>
      <w:divBdr>
        <w:top w:val="none" w:sz="0" w:space="0" w:color="auto"/>
        <w:left w:val="none" w:sz="0" w:space="0" w:color="auto"/>
        <w:bottom w:val="none" w:sz="0" w:space="0" w:color="auto"/>
        <w:right w:val="none" w:sz="0" w:space="0" w:color="auto"/>
      </w:divBdr>
    </w:div>
    <w:div w:id="183910883">
      <w:bodyDiv w:val="1"/>
      <w:marLeft w:val="0"/>
      <w:marRight w:val="0"/>
      <w:marTop w:val="0"/>
      <w:marBottom w:val="0"/>
      <w:divBdr>
        <w:top w:val="none" w:sz="0" w:space="0" w:color="auto"/>
        <w:left w:val="none" w:sz="0" w:space="0" w:color="auto"/>
        <w:bottom w:val="none" w:sz="0" w:space="0" w:color="auto"/>
        <w:right w:val="none" w:sz="0" w:space="0" w:color="auto"/>
      </w:divBdr>
    </w:div>
    <w:div w:id="184172805">
      <w:bodyDiv w:val="1"/>
      <w:marLeft w:val="0"/>
      <w:marRight w:val="0"/>
      <w:marTop w:val="0"/>
      <w:marBottom w:val="0"/>
      <w:divBdr>
        <w:top w:val="none" w:sz="0" w:space="0" w:color="auto"/>
        <w:left w:val="none" w:sz="0" w:space="0" w:color="auto"/>
        <w:bottom w:val="none" w:sz="0" w:space="0" w:color="auto"/>
        <w:right w:val="none" w:sz="0" w:space="0" w:color="auto"/>
      </w:divBdr>
    </w:div>
    <w:div w:id="184179040">
      <w:bodyDiv w:val="1"/>
      <w:marLeft w:val="0"/>
      <w:marRight w:val="0"/>
      <w:marTop w:val="0"/>
      <w:marBottom w:val="0"/>
      <w:divBdr>
        <w:top w:val="none" w:sz="0" w:space="0" w:color="auto"/>
        <w:left w:val="none" w:sz="0" w:space="0" w:color="auto"/>
        <w:bottom w:val="none" w:sz="0" w:space="0" w:color="auto"/>
        <w:right w:val="none" w:sz="0" w:space="0" w:color="auto"/>
      </w:divBdr>
    </w:div>
    <w:div w:id="184830778">
      <w:bodyDiv w:val="1"/>
      <w:marLeft w:val="0"/>
      <w:marRight w:val="0"/>
      <w:marTop w:val="0"/>
      <w:marBottom w:val="0"/>
      <w:divBdr>
        <w:top w:val="none" w:sz="0" w:space="0" w:color="auto"/>
        <w:left w:val="none" w:sz="0" w:space="0" w:color="auto"/>
        <w:bottom w:val="none" w:sz="0" w:space="0" w:color="auto"/>
        <w:right w:val="none" w:sz="0" w:space="0" w:color="auto"/>
      </w:divBdr>
    </w:div>
    <w:div w:id="184949187">
      <w:bodyDiv w:val="1"/>
      <w:marLeft w:val="0"/>
      <w:marRight w:val="0"/>
      <w:marTop w:val="0"/>
      <w:marBottom w:val="0"/>
      <w:divBdr>
        <w:top w:val="none" w:sz="0" w:space="0" w:color="auto"/>
        <w:left w:val="none" w:sz="0" w:space="0" w:color="auto"/>
        <w:bottom w:val="none" w:sz="0" w:space="0" w:color="auto"/>
        <w:right w:val="none" w:sz="0" w:space="0" w:color="auto"/>
      </w:divBdr>
    </w:div>
    <w:div w:id="185026103">
      <w:bodyDiv w:val="1"/>
      <w:marLeft w:val="0"/>
      <w:marRight w:val="0"/>
      <w:marTop w:val="0"/>
      <w:marBottom w:val="0"/>
      <w:divBdr>
        <w:top w:val="none" w:sz="0" w:space="0" w:color="auto"/>
        <w:left w:val="none" w:sz="0" w:space="0" w:color="auto"/>
        <w:bottom w:val="none" w:sz="0" w:space="0" w:color="auto"/>
        <w:right w:val="none" w:sz="0" w:space="0" w:color="auto"/>
      </w:divBdr>
    </w:div>
    <w:div w:id="185363668">
      <w:bodyDiv w:val="1"/>
      <w:marLeft w:val="0"/>
      <w:marRight w:val="0"/>
      <w:marTop w:val="0"/>
      <w:marBottom w:val="0"/>
      <w:divBdr>
        <w:top w:val="none" w:sz="0" w:space="0" w:color="auto"/>
        <w:left w:val="none" w:sz="0" w:space="0" w:color="auto"/>
        <w:bottom w:val="none" w:sz="0" w:space="0" w:color="auto"/>
        <w:right w:val="none" w:sz="0" w:space="0" w:color="auto"/>
      </w:divBdr>
    </w:div>
    <w:div w:id="185414742">
      <w:bodyDiv w:val="1"/>
      <w:marLeft w:val="0"/>
      <w:marRight w:val="0"/>
      <w:marTop w:val="0"/>
      <w:marBottom w:val="0"/>
      <w:divBdr>
        <w:top w:val="none" w:sz="0" w:space="0" w:color="auto"/>
        <w:left w:val="none" w:sz="0" w:space="0" w:color="auto"/>
        <w:bottom w:val="none" w:sz="0" w:space="0" w:color="auto"/>
        <w:right w:val="none" w:sz="0" w:space="0" w:color="auto"/>
      </w:divBdr>
    </w:div>
    <w:div w:id="185485887">
      <w:bodyDiv w:val="1"/>
      <w:marLeft w:val="0"/>
      <w:marRight w:val="0"/>
      <w:marTop w:val="0"/>
      <w:marBottom w:val="0"/>
      <w:divBdr>
        <w:top w:val="none" w:sz="0" w:space="0" w:color="auto"/>
        <w:left w:val="none" w:sz="0" w:space="0" w:color="auto"/>
        <w:bottom w:val="none" w:sz="0" w:space="0" w:color="auto"/>
        <w:right w:val="none" w:sz="0" w:space="0" w:color="auto"/>
      </w:divBdr>
    </w:div>
    <w:div w:id="185605212">
      <w:bodyDiv w:val="1"/>
      <w:marLeft w:val="0"/>
      <w:marRight w:val="0"/>
      <w:marTop w:val="0"/>
      <w:marBottom w:val="0"/>
      <w:divBdr>
        <w:top w:val="none" w:sz="0" w:space="0" w:color="auto"/>
        <w:left w:val="none" w:sz="0" w:space="0" w:color="auto"/>
        <w:bottom w:val="none" w:sz="0" w:space="0" w:color="auto"/>
        <w:right w:val="none" w:sz="0" w:space="0" w:color="auto"/>
      </w:divBdr>
    </w:div>
    <w:div w:id="185756329">
      <w:bodyDiv w:val="1"/>
      <w:marLeft w:val="0"/>
      <w:marRight w:val="0"/>
      <w:marTop w:val="0"/>
      <w:marBottom w:val="0"/>
      <w:divBdr>
        <w:top w:val="none" w:sz="0" w:space="0" w:color="auto"/>
        <w:left w:val="none" w:sz="0" w:space="0" w:color="auto"/>
        <w:bottom w:val="none" w:sz="0" w:space="0" w:color="auto"/>
        <w:right w:val="none" w:sz="0" w:space="0" w:color="auto"/>
      </w:divBdr>
    </w:div>
    <w:div w:id="185825133">
      <w:bodyDiv w:val="1"/>
      <w:marLeft w:val="0"/>
      <w:marRight w:val="0"/>
      <w:marTop w:val="0"/>
      <w:marBottom w:val="0"/>
      <w:divBdr>
        <w:top w:val="none" w:sz="0" w:space="0" w:color="auto"/>
        <w:left w:val="none" w:sz="0" w:space="0" w:color="auto"/>
        <w:bottom w:val="none" w:sz="0" w:space="0" w:color="auto"/>
        <w:right w:val="none" w:sz="0" w:space="0" w:color="auto"/>
      </w:divBdr>
    </w:div>
    <w:div w:id="186064780">
      <w:bodyDiv w:val="1"/>
      <w:marLeft w:val="0"/>
      <w:marRight w:val="0"/>
      <w:marTop w:val="0"/>
      <w:marBottom w:val="0"/>
      <w:divBdr>
        <w:top w:val="none" w:sz="0" w:space="0" w:color="auto"/>
        <w:left w:val="none" w:sz="0" w:space="0" w:color="auto"/>
        <w:bottom w:val="none" w:sz="0" w:space="0" w:color="auto"/>
        <w:right w:val="none" w:sz="0" w:space="0" w:color="auto"/>
      </w:divBdr>
    </w:div>
    <w:div w:id="186066054">
      <w:bodyDiv w:val="1"/>
      <w:marLeft w:val="0"/>
      <w:marRight w:val="0"/>
      <w:marTop w:val="0"/>
      <w:marBottom w:val="0"/>
      <w:divBdr>
        <w:top w:val="none" w:sz="0" w:space="0" w:color="auto"/>
        <w:left w:val="none" w:sz="0" w:space="0" w:color="auto"/>
        <w:bottom w:val="none" w:sz="0" w:space="0" w:color="auto"/>
        <w:right w:val="none" w:sz="0" w:space="0" w:color="auto"/>
      </w:divBdr>
    </w:div>
    <w:div w:id="186263018">
      <w:bodyDiv w:val="1"/>
      <w:marLeft w:val="0"/>
      <w:marRight w:val="0"/>
      <w:marTop w:val="0"/>
      <w:marBottom w:val="0"/>
      <w:divBdr>
        <w:top w:val="none" w:sz="0" w:space="0" w:color="auto"/>
        <w:left w:val="none" w:sz="0" w:space="0" w:color="auto"/>
        <w:bottom w:val="none" w:sz="0" w:space="0" w:color="auto"/>
        <w:right w:val="none" w:sz="0" w:space="0" w:color="auto"/>
      </w:divBdr>
    </w:div>
    <w:div w:id="186412907">
      <w:bodyDiv w:val="1"/>
      <w:marLeft w:val="0"/>
      <w:marRight w:val="0"/>
      <w:marTop w:val="0"/>
      <w:marBottom w:val="0"/>
      <w:divBdr>
        <w:top w:val="none" w:sz="0" w:space="0" w:color="auto"/>
        <w:left w:val="none" w:sz="0" w:space="0" w:color="auto"/>
        <w:bottom w:val="none" w:sz="0" w:space="0" w:color="auto"/>
        <w:right w:val="none" w:sz="0" w:space="0" w:color="auto"/>
      </w:divBdr>
    </w:div>
    <w:div w:id="186873023">
      <w:bodyDiv w:val="1"/>
      <w:marLeft w:val="0"/>
      <w:marRight w:val="0"/>
      <w:marTop w:val="0"/>
      <w:marBottom w:val="0"/>
      <w:divBdr>
        <w:top w:val="none" w:sz="0" w:space="0" w:color="auto"/>
        <w:left w:val="none" w:sz="0" w:space="0" w:color="auto"/>
        <w:bottom w:val="none" w:sz="0" w:space="0" w:color="auto"/>
        <w:right w:val="none" w:sz="0" w:space="0" w:color="auto"/>
      </w:divBdr>
    </w:div>
    <w:div w:id="187065347">
      <w:bodyDiv w:val="1"/>
      <w:marLeft w:val="0"/>
      <w:marRight w:val="0"/>
      <w:marTop w:val="0"/>
      <w:marBottom w:val="0"/>
      <w:divBdr>
        <w:top w:val="none" w:sz="0" w:space="0" w:color="auto"/>
        <w:left w:val="none" w:sz="0" w:space="0" w:color="auto"/>
        <w:bottom w:val="none" w:sz="0" w:space="0" w:color="auto"/>
        <w:right w:val="none" w:sz="0" w:space="0" w:color="auto"/>
      </w:divBdr>
    </w:div>
    <w:div w:id="187569641">
      <w:bodyDiv w:val="1"/>
      <w:marLeft w:val="0"/>
      <w:marRight w:val="0"/>
      <w:marTop w:val="0"/>
      <w:marBottom w:val="0"/>
      <w:divBdr>
        <w:top w:val="none" w:sz="0" w:space="0" w:color="auto"/>
        <w:left w:val="none" w:sz="0" w:space="0" w:color="auto"/>
        <w:bottom w:val="none" w:sz="0" w:space="0" w:color="auto"/>
        <w:right w:val="none" w:sz="0" w:space="0" w:color="auto"/>
      </w:divBdr>
    </w:div>
    <w:div w:id="187646220">
      <w:bodyDiv w:val="1"/>
      <w:marLeft w:val="0"/>
      <w:marRight w:val="0"/>
      <w:marTop w:val="0"/>
      <w:marBottom w:val="0"/>
      <w:divBdr>
        <w:top w:val="none" w:sz="0" w:space="0" w:color="auto"/>
        <w:left w:val="none" w:sz="0" w:space="0" w:color="auto"/>
        <w:bottom w:val="none" w:sz="0" w:space="0" w:color="auto"/>
        <w:right w:val="none" w:sz="0" w:space="0" w:color="auto"/>
      </w:divBdr>
    </w:div>
    <w:div w:id="187717524">
      <w:bodyDiv w:val="1"/>
      <w:marLeft w:val="0"/>
      <w:marRight w:val="0"/>
      <w:marTop w:val="0"/>
      <w:marBottom w:val="0"/>
      <w:divBdr>
        <w:top w:val="none" w:sz="0" w:space="0" w:color="auto"/>
        <w:left w:val="none" w:sz="0" w:space="0" w:color="auto"/>
        <w:bottom w:val="none" w:sz="0" w:space="0" w:color="auto"/>
        <w:right w:val="none" w:sz="0" w:space="0" w:color="auto"/>
      </w:divBdr>
    </w:div>
    <w:div w:id="188953611">
      <w:bodyDiv w:val="1"/>
      <w:marLeft w:val="0"/>
      <w:marRight w:val="0"/>
      <w:marTop w:val="0"/>
      <w:marBottom w:val="0"/>
      <w:divBdr>
        <w:top w:val="none" w:sz="0" w:space="0" w:color="auto"/>
        <w:left w:val="none" w:sz="0" w:space="0" w:color="auto"/>
        <w:bottom w:val="none" w:sz="0" w:space="0" w:color="auto"/>
        <w:right w:val="none" w:sz="0" w:space="0" w:color="auto"/>
      </w:divBdr>
    </w:div>
    <w:div w:id="189025935">
      <w:bodyDiv w:val="1"/>
      <w:marLeft w:val="0"/>
      <w:marRight w:val="0"/>
      <w:marTop w:val="0"/>
      <w:marBottom w:val="0"/>
      <w:divBdr>
        <w:top w:val="none" w:sz="0" w:space="0" w:color="auto"/>
        <w:left w:val="none" w:sz="0" w:space="0" w:color="auto"/>
        <w:bottom w:val="none" w:sz="0" w:space="0" w:color="auto"/>
        <w:right w:val="none" w:sz="0" w:space="0" w:color="auto"/>
      </w:divBdr>
    </w:div>
    <w:div w:id="189153119">
      <w:bodyDiv w:val="1"/>
      <w:marLeft w:val="0"/>
      <w:marRight w:val="0"/>
      <w:marTop w:val="0"/>
      <w:marBottom w:val="0"/>
      <w:divBdr>
        <w:top w:val="none" w:sz="0" w:space="0" w:color="auto"/>
        <w:left w:val="none" w:sz="0" w:space="0" w:color="auto"/>
        <w:bottom w:val="none" w:sz="0" w:space="0" w:color="auto"/>
        <w:right w:val="none" w:sz="0" w:space="0" w:color="auto"/>
      </w:divBdr>
    </w:div>
    <w:div w:id="189220172">
      <w:bodyDiv w:val="1"/>
      <w:marLeft w:val="0"/>
      <w:marRight w:val="0"/>
      <w:marTop w:val="0"/>
      <w:marBottom w:val="0"/>
      <w:divBdr>
        <w:top w:val="none" w:sz="0" w:space="0" w:color="auto"/>
        <w:left w:val="none" w:sz="0" w:space="0" w:color="auto"/>
        <w:bottom w:val="none" w:sz="0" w:space="0" w:color="auto"/>
        <w:right w:val="none" w:sz="0" w:space="0" w:color="auto"/>
      </w:divBdr>
    </w:div>
    <w:div w:id="189488344">
      <w:bodyDiv w:val="1"/>
      <w:marLeft w:val="0"/>
      <w:marRight w:val="0"/>
      <w:marTop w:val="0"/>
      <w:marBottom w:val="0"/>
      <w:divBdr>
        <w:top w:val="none" w:sz="0" w:space="0" w:color="auto"/>
        <w:left w:val="none" w:sz="0" w:space="0" w:color="auto"/>
        <w:bottom w:val="none" w:sz="0" w:space="0" w:color="auto"/>
        <w:right w:val="none" w:sz="0" w:space="0" w:color="auto"/>
      </w:divBdr>
    </w:div>
    <w:div w:id="189611851">
      <w:bodyDiv w:val="1"/>
      <w:marLeft w:val="0"/>
      <w:marRight w:val="0"/>
      <w:marTop w:val="0"/>
      <w:marBottom w:val="0"/>
      <w:divBdr>
        <w:top w:val="none" w:sz="0" w:space="0" w:color="auto"/>
        <w:left w:val="none" w:sz="0" w:space="0" w:color="auto"/>
        <w:bottom w:val="none" w:sz="0" w:space="0" w:color="auto"/>
        <w:right w:val="none" w:sz="0" w:space="0" w:color="auto"/>
      </w:divBdr>
    </w:div>
    <w:div w:id="190651051">
      <w:bodyDiv w:val="1"/>
      <w:marLeft w:val="0"/>
      <w:marRight w:val="0"/>
      <w:marTop w:val="0"/>
      <w:marBottom w:val="0"/>
      <w:divBdr>
        <w:top w:val="none" w:sz="0" w:space="0" w:color="auto"/>
        <w:left w:val="none" w:sz="0" w:space="0" w:color="auto"/>
        <w:bottom w:val="none" w:sz="0" w:space="0" w:color="auto"/>
        <w:right w:val="none" w:sz="0" w:space="0" w:color="auto"/>
      </w:divBdr>
    </w:div>
    <w:div w:id="190922761">
      <w:bodyDiv w:val="1"/>
      <w:marLeft w:val="0"/>
      <w:marRight w:val="0"/>
      <w:marTop w:val="0"/>
      <w:marBottom w:val="0"/>
      <w:divBdr>
        <w:top w:val="none" w:sz="0" w:space="0" w:color="auto"/>
        <w:left w:val="none" w:sz="0" w:space="0" w:color="auto"/>
        <w:bottom w:val="none" w:sz="0" w:space="0" w:color="auto"/>
        <w:right w:val="none" w:sz="0" w:space="0" w:color="auto"/>
      </w:divBdr>
    </w:div>
    <w:div w:id="191572058">
      <w:bodyDiv w:val="1"/>
      <w:marLeft w:val="0"/>
      <w:marRight w:val="0"/>
      <w:marTop w:val="0"/>
      <w:marBottom w:val="0"/>
      <w:divBdr>
        <w:top w:val="none" w:sz="0" w:space="0" w:color="auto"/>
        <w:left w:val="none" w:sz="0" w:space="0" w:color="auto"/>
        <w:bottom w:val="none" w:sz="0" w:space="0" w:color="auto"/>
        <w:right w:val="none" w:sz="0" w:space="0" w:color="auto"/>
      </w:divBdr>
    </w:div>
    <w:div w:id="191580768">
      <w:bodyDiv w:val="1"/>
      <w:marLeft w:val="0"/>
      <w:marRight w:val="0"/>
      <w:marTop w:val="0"/>
      <w:marBottom w:val="0"/>
      <w:divBdr>
        <w:top w:val="none" w:sz="0" w:space="0" w:color="auto"/>
        <w:left w:val="none" w:sz="0" w:space="0" w:color="auto"/>
        <w:bottom w:val="none" w:sz="0" w:space="0" w:color="auto"/>
        <w:right w:val="none" w:sz="0" w:space="0" w:color="auto"/>
      </w:divBdr>
    </w:div>
    <w:div w:id="191844020">
      <w:bodyDiv w:val="1"/>
      <w:marLeft w:val="0"/>
      <w:marRight w:val="0"/>
      <w:marTop w:val="0"/>
      <w:marBottom w:val="0"/>
      <w:divBdr>
        <w:top w:val="none" w:sz="0" w:space="0" w:color="auto"/>
        <w:left w:val="none" w:sz="0" w:space="0" w:color="auto"/>
        <w:bottom w:val="none" w:sz="0" w:space="0" w:color="auto"/>
        <w:right w:val="none" w:sz="0" w:space="0" w:color="auto"/>
      </w:divBdr>
    </w:div>
    <w:div w:id="191966956">
      <w:bodyDiv w:val="1"/>
      <w:marLeft w:val="0"/>
      <w:marRight w:val="0"/>
      <w:marTop w:val="0"/>
      <w:marBottom w:val="0"/>
      <w:divBdr>
        <w:top w:val="none" w:sz="0" w:space="0" w:color="auto"/>
        <w:left w:val="none" w:sz="0" w:space="0" w:color="auto"/>
        <w:bottom w:val="none" w:sz="0" w:space="0" w:color="auto"/>
        <w:right w:val="none" w:sz="0" w:space="0" w:color="auto"/>
      </w:divBdr>
    </w:div>
    <w:div w:id="192035707">
      <w:bodyDiv w:val="1"/>
      <w:marLeft w:val="0"/>
      <w:marRight w:val="0"/>
      <w:marTop w:val="0"/>
      <w:marBottom w:val="0"/>
      <w:divBdr>
        <w:top w:val="none" w:sz="0" w:space="0" w:color="auto"/>
        <w:left w:val="none" w:sz="0" w:space="0" w:color="auto"/>
        <w:bottom w:val="none" w:sz="0" w:space="0" w:color="auto"/>
        <w:right w:val="none" w:sz="0" w:space="0" w:color="auto"/>
      </w:divBdr>
    </w:div>
    <w:div w:id="192309409">
      <w:bodyDiv w:val="1"/>
      <w:marLeft w:val="0"/>
      <w:marRight w:val="0"/>
      <w:marTop w:val="0"/>
      <w:marBottom w:val="0"/>
      <w:divBdr>
        <w:top w:val="none" w:sz="0" w:space="0" w:color="auto"/>
        <w:left w:val="none" w:sz="0" w:space="0" w:color="auto"/>
        <w:bottom w:val="none" w:sz="0" w:space="0" w:color="auto"/>
        <w:right w:val="none" w:sz="0" w:space="0" w:color="auto"/>
      </w:divBdr>
    </w:div>
    <w:div w:id="192495682">
      <w:bodyDiv w:val="1"/>
      <w:marLeft w:val="0"/>
      <w:marRight w:val="0"/>
      <w:marTop w:val="0"/>
      <w:marBottom w:val="0"/>
      <w:divBdr>
        <w:top w:val="none" w:sz="0" w:space="0" w:color="auto"/>
        <w:left w:val="none" w:sz="0" w:space="0" w:color="auto"/>
        <w:bottom w:val="none" w:sz="0" w:space="0" w:color="auto"/>
        <w:right w:val="none" w:sz="0" w:space="0" w:color="auto"/>
      </w:divBdr>
    </w:div>
    <w:div w:id="192767420">
      <w:bodyDiv w:val="1"/>
      <w:marLeft w:val="0"/>
      <w:marRight w:val="0"/>
      <w:marTop w:val="0"/>
      <w:marBottom w:val="0"/>
      <w:divBdr>
        <w:top w:val="none" w:sz="0" w:space="0" w:color="auto"/>
        <w:left w:val="none" w:sz="0" w:space="0" w:color="auto"/>
        <w:bottom w:val="none" w:sz="0" w:space="0" w:color="auto"/>
        <w:right w:val="none" w:sz="0" w:space="0" w:color="auto"/>
      </w:divBdr>
    </w:div>
    <w:div w:id="192959760">
      <w:bodyDiv w:val="1"/>
      <w:marLeft w:val="0"/>
      <w:marRight w:val="0"/>
      <w:marTop w:val="0"/>
      <w:marBottom w:val="0"/>
      <w:divBdr>
        <w:top w:val="none" w:sz="0" w:space="0" w:color="auto"/>
        <w:left w:val="none" w:sz="0" w:space="0" w:color="auto"/>
        <w:bottom w:val="none" w:sz="0" w:space="0" w:color="auto"/>
        <w:right w:val="none" w:sz="0" w:space="0" w:color="auto"/>
      </w:divBdr>
    </w:div>
    <w:div w:id="193076420">
      <w:bodyDiv w:val="1"/>
      <w:marLeft w:val="0"/>
      <w:marRight w:val="0"/>
      <w:marTop w:val="0"/>
      <w:marBottom w:val="0"/>
      <w:divBdr>
        <w:top w:val="none" w:sz="0" w:space="0" w:color="auto"/>
        <w:left w:val="none" w:sz="0" w:space="0" w:color="auto"/>
        <w:bottom w:val="none" w:sz="0" w:space="0" w:color="auto"/>
        <w:right w:val="none" w:sz="0" w:space="0" w:color="auto"/>
      </w:divBdr>
    </w:div>
    <w:div w:id="193614962">
      <w:bodyDiv w:val="1"/>
      <w:marLeft w:val="0"/>
      <w:marRight w:val="0"/>
      <w:marTop w:val="0"/>
      <w:marBottom w:val="0"/>
      <w:divBdr>
        <w:top w:val="none" w:sz="0" w:space="0" w:color="auto"/>
        <w:left w:val="none" w:sz="0" w:space="0" w:color="auto"/>
        <w:bottom w:val="none" w:sz="0" w:space="0" w:color="auto"/>
        <w:right w:val="none" w:sz="0" w:space="0" w:color="auto"/>
      </w:divBdr>
    </w:div>
    <w:div w:id="193732764">
      <w:bodyDiv w:val="1"/>
      <w:marLeft w:val="0"/>
      <w:marRight w:val="0"/>
      <w:marTop w:val="0"/>
      <w:marBottom w:val="0"/>
      <w:divBdr>
        <w:top w:val="none" w:sz="0" w:space="0" w:color="auto"/>
        <w:left w:val="none" w:sz="0" w:space="0" w:color="auto"/>
        <w:bottom w:val="none" w:sz="0" w:space="0" w:color="auto"/>
        <w:right w:val="none" w:sz="0" w:space="0" w:color="auto"/>
      </w:divBdr>
    </w:div>
    <w:div w:id="194119920">
      <w:bodyDiv w:val="1"/>
      <w:marLeft w:val="0"/>
      <w:marRight w:val="0"/>
      <w:marTop w:val="0"/>
      <w:marBottom w:val="0"/>
      <w:divBdr>
        <w:top w:val="none" w:sz="0" w:space="0" w:color="auto"/>
        <w:left w:val="none" w:sz="0" w:space="0" w:color="auto"/>
        <w:bottom w:val="none" w:sz="0" w:space="0" w:color="auto"/>
        <w:right w:val="none" w:sz="0" w:space="0" w:color="auto"/>
      </w:divBdr>
    </w:div>
    <w:div w:id="194467725">
      <w:bodyDiv w:val="1"/>
      <w:marLeft w:val="0"/>
      <w:marRight w:val="0"/>
      <w:marTop w:val="0"/>
      <w:marBottom w:val="0"/>
      <w:divBdr>
        <w:top w:val="none" w:sz="0" w:space="0" w:color="auto"/>
        <w:left w:val="none" w:sz="0" w:space="0" w:color="auto"/>
        <w:bottom w:val="none" w:sz="0" w:space="0" w:color="auto"/>
        <w:right w:val="none" w:sz="0" w:space="0" w:color="auto"/>
      </w:divBdr>
    </w:div>
    <w:div w:id="194736094">
      <w:bodyDiv w:val="1"/>
      <w:marLeft w:val="0"/>
      <w:marRight w:val="0"/>
      <w:marTop w:val="0"/>
      <w:marBottom w:val="0"/>
      <w:divBdr>
        <w:top w:val="none" w:sz="0" w:space="0" w:color="auto"/>
        <w:left w:val="none" w:sz="0" w:space="0" w:color="auto"/>
        <w:bottom w:val="none" w:sz="0" w:space="0" w:color="auto"/>
        <w:right w:val="none" w:sz="0" w:space="0" w:color="auto"/>
      </w:divBdr>
    </w:div>
    <w:div w:id="194855698">
      <w:bodyDiv w:val="1"/>
      <w:marLeft w:val="0"/>
      <w:marRight w:val="0"/>
      <w:marTop w:val="0"/>
      <w:marBottom w:val="0"/>
      <w:divBdr>
        <w:top w:val="none" w:sz="0" w:space="0" w:color="auto"/>
        <w:left w:val="none" w:sz="0" w:space="0" w:color="auto"/>
        <w:bottom w:val="none" w:sz="0" w:space="0" w:color="auto"/>
        <w:right w:val="none" w:sz="0" w:space="0" w:color="auto"/>
      </w:divBdr>
    </w:div>
    <w:div w:id="195001297">
      <w:bodyDiv w:val="1"/>
      <w:marLeft w:val="0"/>
      <w:marRight w:val="0"/>
      <w:marTop w:val="0"/>
      <w:marBottom w:val="0"/>
      <w:divBdr>
        <w:top w:val="none" w:sz="0" w:space="0" w:color="auto"/>
        <w:left w:val="none" w:sz="0" w:space="0" w:color="auto"/>
        <w:bottom w:val="none" w:sz="0" w:space="0" w:color="auto"/>
        <w:right w:val="none" w:sz="0" w:space="0" w:color="auto"/>
      </w:divBdr>
    </w:div>
    <w:div w:id="195044943">
      <w:bodyDiv w:val="1"/>
      <w:marLeft w:val="0"/>
      <w:marRight w:val="0"/>
      <w:marTop w:val="0"/>
      <w:marBottom w:val="0"/>
      <w:divBdr>
        <w:top w:val="none" w:sz="0" w:space="0" w:color="auto"/>
        <w:left w:val="none" w:sz="0" w:space="0" w:color="auto"/>
        <w:bottom w:val="none" w:sz="0" w:space="0" w:color="auto"/>
        <w:right w:val="none" w:sz="0" w:space="0" w:color="auto"/>
      </w:divBdr>
    </w:div>
    <w:div w:id="195312034">
      <w:bodyDiv w:val="1"/>
      <w:marLeft w:val="0"/>
      <w:marRight w:val="0"/>
      <w:marTop w:val="0"/>
      <w:marBottom w:val="0"/>
      <w:divBdr>
        <w:top w:val="none" w:sz="0" w:space="0" w:color="auto"/>
        <w:left w:val="none" w:sz="0" w:space="0" w:color="auto"/>
        <w:bottom w:val="none" w:sz="0" w:space="0" w:color="auto"/>
        <w:right w:val="none" w:sz="0" w:space="0" w:color="auto"/>
      </w:divBdr>
    </w:div>
    <w:div w:id="195316416">
      <w:bodyDiv w:val="1"/>
      <w:marLeft w:val="0"/>
      <w:marRight w:val="0"/>
      <w:marTop w:val="0"/>
      <w:marBottom w:val="0"/>
      <w:divBdr>
        <w:top w:val="none" w:sz="0" w:space="0" w:color="auto"/>
        <w:left w:val="none" w:sz="0" w:space="0" w:color="auto"/>
        <w:bottom w:val="none" w:sz="0" w:space="0" w:color="auto"/>
        <w:right w:val="none" w:sz="0" w:space="0" w:color="auto"/>
      </w:divBdr>
    </w:div>
    <w:div w:id="195393051">
      <w:bodyDiv w:val="1"/>
      <w:marLeft w:val="0"/>
      <w:marRight w:val="0"/>
      <w:marTop w:val="0"/>
      <w:marBottom w:val="0"/>
      <w:divBdr>
        <w:top w:val="none" w:sz="0" w:space="0" w:color="auto"/>
        <w:left w:val="none" w:sz="0" w:space="0" w:color="auto"/>
        <w:bottom w:val="none" w:sz="0" w:space="0" w:color="auto"/>
        <w:right w:val="none" w:sz="0" w:space="0" w:color="auto"/>
      </w:divBdr>
    </w:div>
    <w:div w:id="195506334">
      <w:bodyDiv w:val="1"/>
      <w:marLeft w:val="0"/>
      <w:marRight w:val="0"/>
      <w:marTop w:val="0"/>
      <w:marBottom w:val="0"/>
      <w:divBdr>
        <w:top w:val="none" w:sz="0" w:space="0" w:color="auto"/>
        <w:left w:val="none" w:sz="0" w:space="0" w:color="auto"/>
        <w:bottom w:val="none" w:sz="0" w:space="0" w:color="auto"/>
        <w:right w:val="none" w:sz="0" w:space="0" w:color="auto"/>
      </w:divBdr>
    </w:div>
    <w:div w:id="195780692">
      <w:bodyDiv w:val="1"/>
      <w:marLeft w:val="0"/>
      <w:marRight w:val="0"/>
      <w:marTop w:val="0"/>
      <w:marBottom w:val="0"/>
      <w:divBdr>
        <w:top w:val="none" w:sz="0" w:space="0" w:color="auto"/>
        <w:left w:val="none" w:sz="0" w:space="0" w:color="auto"/>
        <w:bottom w:val="none" w:sz="0" w:space="0" w:color="auto"/>
        <w:right w:val="none" w:sz="0" w:space="0" w:color="auto"/>
      </w:divBdr>
    </w:div>
    <w:div w:id="195781317">
      <w:bodyDiv w:val="1"/>
      <w:marLeft w:val="0"/>
      <w:marRight w:val="0"/>
      <w:marTop w:val="0"/>
      <w:marBottom w:val="0"/>
      <w:divBdr>
        <w:top w:val="none" w:sz="0" w:space="0" w:color="auto"/>
        <w:left w:val="none" w:sz="0" w:space="0" w:color="auto"/>
        <w:bottom w:val="none" w:sz="0" w:space="0" w:color="auto"/>
        <w:right w:val="none" w:sz="0" w:space="0" w:color="auto"/>
      </w:divBdr>
    </w:div>
    <w:div w:id="196503241">
      <w:bodyDiv w:val="1"/>
      <w:marLeft w:val="0"/>
      <w:marRight w:val="0"/>
      <w:marTop w:val="0"/>
      <w:marBottom w:val="0"/>
      <w:divBdr>
        <w:top w:val="none" w:sz="0" w:space="0" w:color="auto"/>
        <w:left w:val="none" w:sz="0" w:space="0" w:color="auto"/>
        <w:bottom w:val="none" w:sz="0" w:space="0" w:color="auto"/>
        <w:right w:val="none" w:sz="0" w:space="0" w:color="auto"/>
      </w:divBdr>
    </w:div>
    <w:div w:id="197356768">
      <w:bodyDiv w:val="1"/>
      <w:marLeft w:val="0"/>
      <w:marRight w:val="0"/>
      <w:marTop w:val="0"/>
      <w:marBottom w:val="0"/>
      <w:divBdr>
        <w:top w:val="none" w:sz="0" w:space="0" w:color="auto"/>
        <w:left w:val="none" w:sz="0" w:space="0" w:color="auto"/>
        <w:bottom w:val="none" w:sz="0" w:space="0" w:color="auto"/>
        <w:right w:val="none" w:sz="0" w:space="0" w:color="auto"/>
      </w:divBdr>
    </w:div>
    <w:div w:id="198513452">
      <w:bodyDiv w:val="1"/>
      <w:marLeft w:val="0"/>
      <w:marRight w:val="0"/>
      <w:marTop w:val="0"/>
      <w:marBottom w:val="0"/>
      <w:divBdr>
        <w:top w:val="none" w:sz="0" w:space="0" w:color="auto"/>
        <w:left w:val="none" w:sz="0" w:space="0" w:color="auto"/>
        <w:bottom w:val="none" w:sz="0" w:space="0" w:color="auto"/>
        <w:right w:val="none" w:sz="0" w:space="0" w:color="auto"/>
      </w:divBdr>
    </w:div>
    <w:div w:id="199054324">
      <w:bodyDiv w:val="1"/>
      <w:marLeft w:val="0"/>
      <w:marRight w:val="0"/>
      <w:marTop w:val="0"/>
      <w:marBottom w:val="0"/>
      <w:divBdr>
        <w:top w:val="none" w:sz="0" w:space="0" w:color="auto"/>
        <w:left w:val="none" w:sz="0" w:space="0" w:color="auto"/>
        <w:bottom w:val="none" w:sz="0" w:space="0" w:color="auto"/>
        <w:right w:val="none" w:sz="0" w:space="0" w:color="auto"/>
      </w:divBdr>
    </w:div>
    <w:div w:id="199510614">
      <w:bodyDiv w:val="1"/>
      <w:marLeft w:val="0"/>
      <w:marRight w:val="0"/>
      <w:marTop w:val="0"/>
      <w:marBottom w:val="0"/>
      <w:divBdr>
        <w:top w:val="none" w:sz="0" w:space="0" w:color="auto"/>
        <w:left w:val="none" w:sz="0" w:space="0" w:color="auto"/>
        <w:bottom w:val="none" w:sz="0" w:space="0" w:color="auto"/>
        <w:right w:val="none" w:sz="0" w:space="0" w:color="auto"/>
      </w:divBdr>
    </w:div>
    <w:div w:id="199778853">
      <w:bodyDiv w:val="1"/>
      <w:marLeft w:val="0"/>
      <w:marRight w:val="0"/>
      <w:marTop w:val="0"/>
      <w:marBottom w:val="0"/>
      <w:divBdr>
        <w:top w:val="none" w:sz="0" w:space="0" w:color="auto"/>
        <w:left w:val="none" w:sz="0" w:space="0" w:color="auto"/>
        <w:bottom w:val="none" w:sz="0" w:space="0" w:color="auto"/>
        <w:right w:val="none" w:sz="0" w:space="0" w:color="auto"/>
      </w:divBdr>
    </w:div>
    <w:div w:id="200287282">
      <w:bodyDiv w:val="1"/>
      <w:marLeft w:val="0"/>
      <w:marRight w:val="0"/>
      <w:marTop w:val="0"/>
      <w:marBottom w:val="0"/>
      <w:divBdr>
        <w:top w:val="none" w:sz="0" w:space="0" w:color="auto"/>
        <w:left w:val="none" w:sz="0" w:space="0" w:color="auto"/>
        <w:bottom w:val="none" w:sz="0" w:space="0" w:color="auto"/>
        <w:right w:val="none" w:sz="0" w:space="0" w:color="auto"/>
      </w:divBdr>
    </w:div>
    <w:div w:id="200558923">
      <w:bodyDiv w:val="1"/>
      <w:marLeft w:val="0"/>
      <w:marRight w:val="0"/>
      <w:marTop w:val="0"/>
      <w:marBottom w:val="0"/>
      <w:divBdr>
        <w:top w:val="none" w:sz="0" w:space="0" w:color="auto"/>
        <w:left w:val="none" w:sz="0" w:space="0" w:color="auto"/>
        <w:bottom w:val="none" w:sz="0" w:space="0" w:color="auto"/>
        <w:right w:val="none" w:sz="0" w:space="0" w:color="auto"/>
      </w:divBdr>
    </w:div>
    <w:div w:id="200674995">
      <w:bodyDiv w:val="1"/>
      <w:marLeft w:val="0"/>
      <w:marRight w:val="0"/>
      <w:marTop w:val="0"/>
      <w:marBottom w:val="0"/>
      <w:divBdr>
        <w:top w:val="none" w:sz="0" w:space="0" w:color="auto"/>
        <w:left w:val="none" w:sz="0" w:space="0" w:color="auto"/>
        <w:bottom w:val="none" w:sz="0" w:space="0" w:color="auto"/>
        <w:right w:val="none" w:sz="0" w:space="0" w:color="auto"/>
      </w:divBdr>
    </w:div>
    <w:div w:id="201094032">
      <w:bodyDiv w:val="1"/>
      <w:marLeft w:val="0"/>
      <w:marRight w:val="0"/>
      <w:marTop w:val="0"/>
      <w:marBottom w:val="0"/>
      <w:divBdr>
        <w:top w:val="none" w:sz="0" w:space="0" w:color="auto"/>
        <w:left w:val="none" w:sz="0" w:space="0" w:color="auto"/>
        <w:bottom w:val="none" w:sz="0" w:space="0" w:color="auto"/>
        <w:right w:val="none" w:sz="0" w:space="0" w:color="auto"/>
      </w:divBdr>
    </w:div>
    <w:div w:id="202250116">
      <w:bodyDiv w:val="1"/>
      <w:marLeft w:val="0"/>
      <w:marRight w:val="0"/>
      <w:marTop w:val="0"/>
      <w:marBottom w:val="0"/>
      <w:divBdr>
        <w:top w:val="none" w:sz="0" w:space="0" w:color="auto"/>
        <w:left w:val="none" w:sz="0" w:space="0" w:color="auto"/>
        <w:bottom w:val="none" w:sz="0" w:space="0" w:color="auto"/>
        <w:right w:val="none" w:sz="0" w:space="0" w:color="auto"/>
      </w:divBdr>
    </w:div>
    <w:div w:id="202253278">
      <w:bodyDiv w:val="1"/>
      <w:marLeft w:val="0"/>
      <w:marRight w:val="0"/>
      <w:marTop w:val="0"/>
      <w:marBottom w:val="0"/>
      <w:divBdr>
        <w:top w:val="none" w:sz="0" w:space="0" w:color="auto"/>
        <w:left w:val="none" w:sz="0" w:space="0" w:color="auto"/>
        <w:bottom w:val="none" w:sz="0" w:space="0" w:color="auto"/>
        <w:right w:val="none" w:sz="0" w:space="0" w:color="auto"/>
      </w:divBdr>
    </w:div>
    <w:div w:id="202330730">
      <w:bodyDiv w:val="1"/>
      <w:marLeft w:val="0"/>
      <w:marRight w:val="0"/>
      <w:marTop w:val="0"/>
      <w:marBottom w:val="0"/>
      <w:divBdr>
        <w:top w:val="none" w:sz="0" w:space="0" w:color="auto"/>
        <w:left w:val="none" w:sz="0" w:space="0" w:color="auto"/>
        <w:bottom w:val="none" w:sz="0" w:space="0" w:color="auto"/>
        <w:right w:val="none" w:sz="0" w:space="0" w:color="auto"/>
      </w:divBdr>
      <w:divsChild>
        <w:div w:id="13315376">
          <w:marLeft w:val="0"/>
          <w:marRight w:val="0"/>
          <w:marTop w:val="0"/>
          <w:marBottom w:val="0"/>
          <w:divBdr>
            <w:top w:val="none" w:sz="0" w:space="0" w:color="auto"/>
            <w:left w:val="none" w:sz="0" w:space="0" w:color="auto"/>
            <w:bottom w:val="none" w:sz="0" w:space="0" w:color="auto"/>
            <w:right w:val="none" w:sz="0" w:space="0" w:color="auto"/>
          </w:divBdr>
        </w:div>
        <w:div w:id="463936637">
          <w:marLeft w:val="0"/>
          <w:marRight w:val="0"/>
          <w:marTop w:val="0"/>
          <w:marBottom w:val="0"/>
          <w:divBdr>
            <w:top w:val="none" w:sz="0" w:space="0" w:color="auto"/>
            <w:left w:val="none" w:sz="0" w:space="0" w:color="auto"/>
            <w:bottom w:val="none" w:sz="0" w:space="0" w:color="auto"/>
            <w:right w:val="none" w:sz="0" w:space="0" w:color="auto"/>
          </w:divBdr>
        </w:div>
        <w:div w:id="638611615">
          <w:marLeft w:val="0"/>
          <w:marRight w:val="0"/>
          <w:marTop w:val="0"/>
          <w:marBottom w:val="0"/>
          <w:divBdr>
            <w:top w:val="none" w:sz="0" w:space="0" w:color="auto"/>
            <w:left w:val="none" w:sz="0" w:space="0" w:color="auto"/>
            <w:bottom w:val="none" w:sz="0" w:space="0" w:color="auto"/>
            <w:right w:val="none" w:sz="0" w:space="0" w:color="auto"/>
          </w:divBdr>
        </w:div>
        <w:div w:id="1729762406">
          <w:marLeft w:val="0"/>
          <w:marRight w:val="0"/>
          <w:marTop w:val="0"/>
          <w:marBottom w:val="0"/>
          <w:divBdr>
            <w:top w:val="none" w:sz="0" w:space="0" w:color="auto"/>
            <w:left w:val="none" w:sz="0" w:space="0" w:color="auto"/>
            <w:bottom w:val="none" w:sz="0" w:space="0" w:color="auto"/>
            <w:right w:val="none" w:sz="0" w:space="0" w:color="auto"/>
          </w:divBdr>
        </w:div>
      </w:divsChild>
    </w:div>
    <w:div w:id="202375997">
      <w:bodyDiv w:val="1"/>
      <w:marLeft w:val="0"/>
      <w:marRight w:val="0"/>
      <w:marTop w:val="0"/>
      <w:marBottom w:val="0"/>
      <w:divBdr>
        <w:top w:val="none" w:sz="0" w:space="0" w:color="auto"/>
        <w:left w:val="none" w:sz="0" w:space="0" w:color="auto"/>
        <w:bottom w:val="none" w:sz="0" w:space="0" w:color="auto"/>
        <w:right w:val="none" w:sz="0" w:space="0" w:color="auto"/>
      </w:divBdr>
    </w:div>
    <w:div w:id="202406865">
      <w:bodyDiv w:val="1"/>
      <w:marLeft w:val="0"/>
      <w:marRight w:val="0"/>
      <w:marTop w:val="0"/>
      <w:marBottom w:val="0"/>
      <w:divBdr>
        <w:top w:val="none" w:sz="0" w:space="0" w:color="auto"/>
        <w:left w:val="none" w:sz="0" w:space="0" w:color="auto"/>
        <w:bottom w:val="none" w:sz="0" w:space="0" w:color="auto"/>
        <w:right w:val="none" w:sz="0" w:space="0" w:color="auto"/>
      </w:divBdr>
    </w:div>
    <w:div w:id="202449534">
      <w:bodyDiv w:val="1"/>
      <w:marLeft w:val="0"/>
      <w:marRight w:val="0"/>
      <w:marTop w:val="0"/>
      <w:marBottom w:val="0"/>
      <w:divBdr>
        <w:top w:val="none" w:sz="0" w:space="0" w:color="auto"/>
        <w:left w:val="none" w:sz="0" w:space="0" w:color="auto"/>
        <w:bottom w:val="none" w:sz="0" w:space="0" w:color="auto"/>
        <w:right w:val="none" w:sz="0" w:space="0" w:color="auto"/>
      </w:divBdr>
    </w:div>
    <w:div w:id="202596566">
      <w:bodyDiv w:val="1"/>
      <w:marLeft w:val="0"/>
      <w:marRight w:val="0"/>
      <w:marTop w:val="0"/>
      <w:marBottom w:val="0"/>
      <w:divBdr>
        <w:top w:val="none" w:sz="0" w:space="0" w:color="auto"/>
        <w:left w:val="none" w:sz="0" w:space="0" w:color="auto"/>
        <w:bottom w:val="none" w:sz="0" w:space="0" w:color="auto"/>
        <w:right w:val="none" w:sz="0" w:space="0" w:color="auto"/>
      </w:divBdr>
    </w:div>
    <w:div w:id="202638207">
      <w:bodyDiv w:val="1"/>
      <w:marLeft w:val="0"/>
      <w:marRight w:val="0"/>
      <w:marTop w:val="0"/>
      <w:marBottom w:val="0"/>
      <w:divBdr>
        <w:top w:val="none" w:sz="0" w:space="0" w:color="auto"/>
        <w:left w:val="none" w:sz="0" w:space="0" w:color="auto"/>
        <w:bottom w:val="none" w:sz="0" w:space="0" w:color="auto"/>
        <w:right w:val="none" w:sz="0" w:space="0" w:color="auto"/>
      </w:divBdr>
    </w:div>
    <w:div w:id="202981143">
      <w:bodyDiv w:val="1"/>
      <w:marLeft w:val="0"/>
      <w:marRight w:val="0"/>
      <w:marTop w:val="0"/>
      <w:marBottom w:val="0"/>
      <w:divBdr>
        <w:top w:val="none" w:sz="0" w:space="0" w:color="auto"/>
        <w:left w:val="none" w:sz="0" w:space="0" w:color="auto"/>
        <w:bottom w:val="none" w:sz="0" w:space="0" w:color="auto"/>
        <w:right w:val="none" w:sz="0" w:space="0" w:color="auto"/>
      </w:divBdr>
    </w:div>
    <w:div w:id="203521668">
      <w:bodyDiv w:val="1"/>
      <w:marLeft w:val="0"/>
      <w:marRight w:val="0"/>
      <w:marTop w:val="0"/>
      <w:marBottom w:val="0"/>
      <w:divBdr>
        <w:top w:val="none" w:sz="0" w:space="0" w:color="auto"/>
        <w:left w:val="none" w:sz="0" w:space="0" w:color="auto"/>
        <w:bottom w:val="none" w:sz="0" w:space="0" w:color="auto"/>
        <w:right w:val="none" w:sz="0" w:space="0" w:color="auto"/>
      </w:divBdr>
    </w:div>
    <w:div w:id="204217157">
      <w:bodyDiv w:val="1"/>
      <w:marLeft w:val="0"/>
      <w:marRight w:val="0"/>
      <w:marTop w:val="0"/>
      <w:marBottom w:val="0"/>
      <w:divBdr>
        <w:top w:val="none" w:sz="0" w:space="0" w:color="auto"/>
        <w:left w:val="none" w:sz="0" w:space="0" w:color="auto"/>
        <w:bottom w:val="none" w:sz="0" w:space="0" w:color="auto"/>
        <w:right w:val="none" w:sz="0" w:space="0" w:color="auto"/>
      </w:divBdr>
    </w:div>
    <w:div w:id="204561718">
      <w:bodyDiv w:val="1"/>
      <w:marLeft w:val="0"/>
      <w:marRight w:val="0"/>
      <w:marTop w:val="0"/>
      <w:marBottom w:val="0"/>
      <w:divBdr>
        <w:top w:val="none" w:sz="0" w:space="0" w:color="auto"/>
        <w:left w:val="none" w:sz="0" w:space="0" w:color="auto"/>
        <w:bottom w:val="none" w:sz="0" w:space="0" w:color="auto"/>
        <w:right w:val="none" w:sz="0" w:space="0" w:color="auto"/>
      </w:divBdr>
    </w:div>
    <w:div w:id="204562478">
      <w:bodyDiv w:val="1"/>
      <w:marLeft w:val="0"/>
      <w:marRight w:val="0"/>
      <w:marTop w:val="0"/>
      <w:marBottom w:val="0"/>
      <w:divBdr>
        <w:top w:val="none" w:sz="0" w:space="0" w:color="auto"/>
        <w:left w:val="none" w:sz="0" w:space="0" w:color="auto"/>
        <w:bottom w:val="none" w:sz="0" w:space="0" w:color="auto"/>
        <w:right w:val="none" w:sz="0" w:space="0" w:color="auto"/>
      </w:divBdr>
    </w:div>
    <w:div w:id="204566039">
      <w:bodyDiv w:val="1"/>
      <w:marLeft w:val="0"/>
      <w:marRight w:val="0"/>
      <w:marTop w:val="0"/>
      <w:marBottom w:val="0"/>
      <w:divBdr>
        <w:top w:val="none" w:sz="0" w:space="0" w:color="auto"/>
        <w:left w:val="none" w:sz="0" w:space="0" w:color="auto"/>
        <w:bottom w:val="none" w:sz="0" w:space="0" w:color="auto"/>
        <w:right w:val="none" w:sz="0" w:space="0" w:color="auto"/>
      </w:divBdr>
    </w:div>
    <w:div w:id="205066888">
      <w:bodyDiv w:val="1"/>
      <w:marLeft w:val="0"/>
      <w:marRight w:val="0"/>
      <w:marTop w:val="0"/>
      <w:marBottom w:val="0"/>
      <w:divBdr>
        <w:top w:val="none" w:sz="0" w:space="0" w:color="auto"/>
        <w:left w:val="none" w:sz="0" w:space="0" w:color="auto"/>
        <w:bottom w:val="none" w:sz="0" w:space="0" w:color="auto"/>
        <w:right w:val="none" w:sz="0" w:space="0" w:color="auto"/>
      </w:divBdr>
    </w:div>
    <w:div w:id="205261591">
      <w:bodyDiv w:val="1"/>
      <w:marLeft w:val="0"/>
      <w:marRight w:val="0"/>
      <w:marTop w:val="0"/>
      <w:marBottom w:val="0"/>
      <w:divBdr>
        <w:top w:val="none" w:sz="0" w:space="0" w:color="auto"/>
        <w:left w:val="none" w:sz="0" w:space="0" w:color="auto"/>
        <w:bottom w:val="none" w:sz="0" w:space="0" w:color="auto"/>
        <w:right w:val="none" w:sz="0" w:space="0" w:color="auto"/>
      </w:divBdr>
    </w:div>
    <w:div w:id="205797251">
      <w:bodyDiv w:val="1"/>
      <w:marLeft w:val="0"/>
      <w:marRight w:val="0"/>
      <w:marTop w:val="0"/>
      <w:marBottom w:val="0"/>
      <w:divBdr>
        <w:top w:val="none" w:sz="0" w:space="0" w:color="auto"/>
        <w:left w:val="none" w:sz="0" w:space="0" w:color="auto"/>
        <w:bottom w:val="none" w:sz="0" w:space="0" w:color="auto"/>
        <w:right w:val="none" w:sz="0" w:space="0" w:color="auto"/>
      </w:divBdr>
    </w:div>
    <w:div w:id="205920345">
      <w:bodyDiv w:val="1"/>
      <w:marLeft w:val="0"/>
      <w:marRight w:val="0"/>
      <w:marTop w:val="0"/>
      <w:marBottom w:val="0"/>
      <w:divBdr>
        <w:top w:val="none" w:sz="0" w:space="0" w:color="auto"/>
        <w:left w:val="none" w:sz="0" w:space="0" w:color="auto"/>
        <w:bottom w:val="none" w:sz="0" w:space="0" w:color="auto"/>
        <w:right w:val="none" w:sz="0" w:space="0" w:color="auto"/>
      </w:divBdr>
    </w:div>
    <w:div w:id="206262955">
      <w:bodyDiv w:val="1"/>
      <w:marLeft w:val="0"/>
      <w:marRight w:val="0"/>
      <w:marTop w:val="0"/>
      <w:marBottom w:val="0"/>
      <w:divBdr>
        <w:top w:val="none" w:sz="0" w:space="0" w:color="auto"/>
        <w:left w:val="none" w:sz="0" w:space="0" w:color="auto"/>
        <w:bottom w:val="none" w:sz="0" w:space="0" w:color="auto"/>
        <w:right w:val="none" w:sz="0" w:space="0" w:color="auto"/>
      </w:divBdr>
    </w:div>
    <w:div w:id="206454975">
      <w:bodyDiv w:val="1"/>
      <w:marLeft w:val="0"/>
      <w:marRight w:val="0"/>
      <w:marTop w:val="0"/>
      <w:marBottom w:val="0"/>
      <w:divBdr>
        <w:top w:val="none" w:sz="0" w:space="0" w:color="auto"/>
        <w:left w:val="none" w:sz="0" w:space="0" w:color="auto"/>
        <w:bottom w:val="none" w:sz="0" w:space="0" w:color="auto"/>
        <w:right w:val="none" w:sz="0" w:space="0" w:color="auto"/>
      </w:divBdr>
    </w:div>
    <w:div w:id="206528609">
      <w:bodyDiv w:val="1"/>
      <w:marLeft w:val="0"/>
      <w:marRight w:val="0"/>
      <w:marTop w:val="0"/>
      <w:marBottom w:val="0"/>
      <w:divBdr>
        <w:top w:val="none" w:sz="0" w:space="0" w:color="auto"/>
        <w:left w:val="none" w:sz="0" w:space="0" w:color="auto"/>
        <w:bottom w:val="none" w:sz="0" w:space="0" w:color="auto"/>
        <w:right w:val="none" w:sz="0" w:space="0" w:color="auto"/>
      </w:divBdr>
    </w:div>
    <w:div w:id="206646546">
      <w:bodyDiv w:val="1"/>
      <w:marLeft w:val="0"/>
      <w:marRight w:val="0"/>
      <w:marTop w:val="0"/>
      <w:marBottom w:val="0"/>
      <w:divBdr>
        <w:top w:val="none" w:sz="0" w:space="0" w:color="auto"/>
        <w:left w:val="none" w:sz="0" w:space="0" w:color="auto"/>
        <w:bottom w:val="none" w:sz="0" w:space="0" w:color="auto"/>
        <w:right w:val="none" w:sz="0" w:space="0" w:color="auto"/>
      </w:divBdr>
    </w:div>
    <w:div w:id="207033772">
      <w:bodyDiv w:val="1"/>
      <w:marLeft w:val="0"/>
      <w:marRight w:val="0"/>
      <w:marTop w:val="0"/>
      <w:marBottom w:val="0"/>
      <w:divBdr>
        <w:top w:val="none" w:sz="0" w:space="0" w:color="auto"/>
        <w:left w:val="none" w:sz="0" w:space="0" w:color="auto"/>
        <w:bottom w:val="none" w:sz="0" w:space="0" w:color="auto"/>
        <w:right w:val="none" w:sz="0" w:space="0" w:color="auto"/>
      </w:divBdr>
    </w:div>
    <w:div w:id="207642324">
      <w:bodyDiv w:val="1"/>
      <w:marLeft w:val="0"/>
      <w:marRight w:val="0"/>
      <w:marTop w:val="0"/>
      <w:marBottom w:val="0"/>
      <w:divBdr>
        <w:top w:val="none" w:sz="0" w:space="0" w:color="auto"/>
        <w:left w:val="none" w:sz="0" w:space="0" w:color="auto"/>
        <w:bottom w:val="none" w:sz="0" w:space="0" w:color="auto"/>
        <w:right w:val="none" w:sz="0" w:space="0" w:color="auto"/>
      </w:divBdr>
    </w:div>
    <w:div w:id="208420213">
      <w:bodyDiv w:val="1"/>
      <w:marLeft w:val="0"/>
      <w:marRight w:val="0"/>
      <w:marTop w:val="0"/>
      <w:marBottom w:val="0"/>
      <w:divBdr>
        <w:top w:val="none" w:sz="0" w:space="0" w:color="auto"/>
        <w:left w:val="none" w:sz="0" w:space="0" w:color="auto"/>
        <w:bottom w:val="none" w:sz="0" w:space="0" w:color="auto"/>
        <w:right w:val="none" w:sz="0" w:space="0" w:color="auto"/>
      </w:divBdr>
    </w:div>
    <w:div w:id="209070853">
      <w:bodyDiv w:val="1"/>
      <w:marLeft w:val="0"/>
      <w:marRight w:val="0"/>
      <w:marTop w:val="0"/>
      <w:marBottom w:val="0"/>
      <w:divBdr>
        <w:top w:val="none" w:sz="0" w:space="0" w:color="auto"/>
        <w:left w:val="none" w:sz="0" w:space="0" w:color="auto"/>
        <w:bottom w:val="none" w:sz="0" w:space="0" w:color="auto"/>
        <w:right w:val="none" w:sz="0" w:space="0" w:color="auto"/>
      </w:divBdr>
    </w:div>
    <w:div w:id="209076367">
      <w:bodyDiv w:val="1"/>
      <w:marLeft w:val="0"/>
      <w:marRight w:val="0"/>
      <w:marTop w:val="0"/>
      <w:marBottom w:val="0"/>
      <w:divBdr>
        <w:top w:val="none" w:sz="0" w:space="0" w:color="auto"/>
        <w:left w:val="none" w:sz="0" w:space="0" w:color="auto"/>
        <w:bottom w:val="none" w:sz="0" w:space="0" w:color="auto"/>
        <w:right w:val="none" w:sz="0" w:space="0" w:color="auto"/>
      </w:divBdr>
    </w:div>
    <w:div w:id="209146884">
      <w:bodyDiv w:val="1"/>
      <w:marLeft w:val="0"/>
      <w:marRight w:val="0"/>
      <w:marTop w:val="0"/>
      <w:marBottom w:val="0"/>
      <w:divBdr>
        <w:top w:val="none" w:sz="0" w:space="0" w:color="auto"/>
        <w:left w:val="none" w:sz="0" w:space="0" w:color="auto"/>
        <w:bottom w:val="none" w:sz="0" w:space="0" w:color="auto"/>
        <w:right w:val="none" w:sz="0" w:space="0" w:color="auto"/>
      </w:divBdr>
    </w:div>
    <w:div w:id="209804257">
      <w:bodyDiv w:val="1"/>
      <w:marLeft w:val="0"/>
      <w:marRight w:val="0"/>
      <w:marTop w:val="0"/>
      <w:marBottom w:val="0"/>
      <w:divBdr>
        <w:top w:val="none" w:sz="0" w:space="0" w:color="auto"/>
        <w:left w:val="none" w:sz="0" w:space="0" w:color="auto"/>
        <w:bottom w:val="none" w:sz="0" w:space="0" w:color="auto"/>
        <w:right w:val="none" w:sz="0" w:space="0" w:color="auto"/>
      </w:divBdr>
    </w:div>
    <w:div w:id="210305893">
      <w:bodyDiv w:val="1"/>
      <w:marLeft w:val="0"/>
      <w:marRight w:val="0"/>
      <w:marTop w:val="0"/>
      <w:marBottom w:val="0"/>
      <w:divBdr>
        <w:top w:val="none" w:sz="0" w:space="0" w:color="auto"/>
        <w:left w:val="none" w:sz="0" w:space="0" w:color="auto"/>
        <w:bottom w:val="none" w:sz="0" w:space="0" w:color="auto"/>
        <w:right w:val="none" w:sz="0" w:space="0" w:color="auto"/>
      </w:divBdr>
    </w:div>
    <w:div w:id="210728062">
      <w:bodyDiv w:val="1"/>
      <w:marLeft w:val="0"/>
      <w:marRight w:val="0"/>
      <w:marTop w:val="0"/>
      <w:marBottom w:val="0"/>
      <w:divBdr>
        <w:top w:val="none" w:sz="0" w:space="0" w:color="auto"/>
        <w:left w:val="none" w:sz="0" w:space="0" w:color="auto"/>
        <w:bottom w:val="none" w:sz="0" w:space="0" w:color="auto"/>
        <w:right w:val="none" w:sz="0" w:space="0" w:color="auto"/>
      </w:divBdr>
    </w:div>
    <w:div w:id="210776424">
      <w:bodyDiv w:val="1"/>
      <w:marLeft w:val="0"/>
      <w:marRight w:val="0"/>
      <w:marTop w:val="0"/>
      <w:marBottom w:val="0"/>
      <w:divBdr>
        <w:top w:val="none" w:sz="0" w:space="0" w:color="auto"/>
        <w:left w:val="none" w:sz="0" w:space="0" w:color="auto"/>
        <w:bottom w:val="none" w:sz="0" w:space="0" w:color="auto"/>
        <w:right w:val="none" w:sz="0" w:space="0" w:color="auto"/>
      </w:divBdr>
    </w:div>
    <w:div w:id="211043292">
      <w:bodyDiv w:val="1"/>
      <w:marLeft w:val="0"/>
      <w:marRight w:val="0"/>
      <w:marTop w:val="0"/>
      <w:marBottom w:val="0"/>
      <w:divBdr>
        <w:top w:val="none" w:sz="0" w:space="0" w:color="auto"/>
        <w:left w:val="none" w:sz="0" w:space="0" w:color="auto"/>
        <w:bottom w:val="none" w:sz="0" w:space="0" w:color="auto"/>
        <w:right w:val="none" w:sz="0" w:space="0" w:color="auto"/>
      </w:divBdr>
    </w:div>
    <w:div w:id="211162377">
      <w:bodyDiv w:val="1"/>
      <w:marLeft w:val="0"/>
      <w:marRight w:val="0"/>
      <w:marTop w:val="0"/>
      <w:marBottom w:val="0"/>
      <w:divBdr>
        <w:top w:val="none" w:sz="0" w:space="0" w:color="auto"/>
        <w:left w:val="none" w:sz="0" w:space="0" w:color="auto"/>
        <w:bottom w:val="none" w:sz="0" w:space="0" w:color="auto"/>
        <w:right w:val="none" w:sz="0" w:space="0" w:color="auto"/>
      </w:divBdr>
    </w:div>
    <w:div w:id="211700515">
      <w:bodyDiv w:val="1"/>
      <w:marLeft w:val="0"/>
      <w:marRight w:val="0"/>
      <w:marTop w:val="0"/>
      <w:marBottom w:val="0"/>
      <w:divBdr>
        <w:top w:val="none" w:sz="0" w:space="0" w:color="auto"/>
        <w:left w:val="none" w:sz="0" w:space="0" w:color="auto"/>
        <w:bottom w:val="none" w:sz="0" w:space="0" w:color="auto"/>
        <w:right w:val="none" w:sz="0" w:space="0" w:color="auto"/>
      </w:divBdr>
    </w:div>
    <w:div w:id="211701236">
      <w:bodyDiv w:val="1"/>
      <w:marLeft w:val="0"/>
      <w:marRight w:val="0"/>
      <w:marTop w:val="0"/>
      <w:marBottom w:val="0"/>
      <w:divBdr>
        <w:top w:val="none" w:sz="0" w:space="0" w:color="auto"/>
        <w:left w:val="none" w:sz="0" w:space="0" w:color="auto"/>
        <w:bottom w:val="none" w:sz="0" w:space="0" w:color="auto"/>
        <w:right w:val="none" w:sz="0" w:space="0" w:color="auto"/>
      </w:divBdr>
    </w:div>
    <w:div w:id="212041654">
      <w:bodyDiv w:val="1"/>
      <w:marLeft w:val="0"/>
      <w:marRight w:val="0"/>
      <w:marTop w:val="0"/>
      <w:marBottom w:val="0"/>
      <w:divBdr>
        <w:top w:val="none" w:sz="0" w:space="0" w:color="auto"/>
        <w:left w:val="none" w:sz="0" w:space="0" w:color="auto"/>
        <w:bottom w:val="none" w:sz="0" w:space="0" w:color="auto"/>
        <w:right w:val="none" w:sz="0" w:space="0" w:color="auto"/>
      </w:divBdr>
    </w:div>
    <w:div w:id="212161621">
      <w:bodyDiv w:val="1"/>
      <w:marLeft w:val="0"/>
      <w:marRight w:val="0"/>
      <w:marTop w:val="0"/>
      <w:marBottom w:val="0"/>
      <w:divBdr>
        <w:top w:val="none" w:sz="0" w:space="0" w:color="auto"/>
        <w:left w:val="none" w:sz="0" w:space="0" w:color="auto"/>
        <w:bottom w:val="none" w:sz="0" w:space="0" w:color="auto"/>
        <w:right w:val="none" w:sz="0" w:space="0" w:color="auto"/>
      </w:divBdr>
    </w:div>
    <w:div w:id="212426856">
      <w:bodyDiv w:val="1"/>
      <w:marLeft w:val="0"/>
      <w:marRight w:val="0"/>
      <w:marTop w:val="0"/>
      <w:marBottom w:val="0"/>
      <w:divBdr>
        <w:top w:val="none" w:sz="0" w:space="0" w:color="auto"/>
        <w:left w:val="none" w:sz="0" w:space="0" w:color="auto"/>
        <w:bottom w:val="none" w:sz="0" w:space="0" w:color="auto"/>
        <w:right w:val="none" w:sz="0" w:space="0" w:color="auto"/>
      </w:divBdr>
    </w:div>
    <w:div w:id="213085526">
      <w:bodyDiv w:val="1"/>
      <w:marLeft w:val="0"/>
      <w:marRight w:val="0"/>
      <w:marTop w:val="0"/>
      <w:marBottom w:val="0"/>
      <w:divBdr>
        <w:top w:val="none" w:sz="0" w:space="0" w:color="auto"/>
        <w:left w:val="none" w:sz="0" w:space="0" w:color="auto"/>
        <w:bottom w:val="none" w:sz="0" w:space="0" w:color="auto"/>
        <w:right w:val="none" w:sz="0" w:space="0" w:color="auto"/>
      </w:divBdr>
    </w:div>
    <w:div w:id="213740171">
      <w:bodyDiv w:val="1"/>
      <w:marLeft w:val="0"/>
      <w:marRight w:val="0"/>
      <w:marTop w:val="0"/>
      <w:marBottom w:val="0"/>
      <w:divBdr>
        <w:top w:val="none" w:sz="0" w:space="0" w:color="auto"/>
        <w:left w:val="none" w:sz="0" w:space="0" w:color="auto"/>
        <w:bottom w:val="none" w:sz="0" w:space="0" w:color="auto"/>
        <w:right w:val="none" w:sz="0" w:space="0" w:color="auto"/>
      </w:divBdr>
    </w:div>
    <w:div w:id="214044483">
      <w:bodyDiv w:val="1"/>
      <w:marLeft w:val="0"/>
      <w:marRight w:val="0"/>
      <w:marTop w:val="0"/>
      <w:marBottom w:val="0"/>
      <w:divBdr>
        <w:top w:val="none" w:sz="0" w:space="0" w:color="auto"/>
        <w:left w:val="none" w:sz="0" w:space="0" w:color="auto"/>
        <w:bottom w:val="none" w:sz="0" w:space="0" w:color="auto"/>
        <w:right w:val="none" w:sz="0" w:space="0" w:color="auto"/>
      </w:divBdr>
    </w:div>
    <w:div w:id="214783232">
      <w:bodyDiv w:val="1"/>
      <w:marLeft w:val="0"/>
      <w:marRight w:val="0"/>
      <w:marTop w:val="0"/>
      <w:marBottom w:val="0"/>
      <w:divBdr>
        <w:top w:val="none" w:sz="0" w:space="0" w:color="auto"/>
        <w:left w:val="none" w:sz="0" w:space="0" w:color="auto"/>
        <w:bottom w:val="none" w:sz="0" w:space="0" w:color="auto"/>
        <w:right w:val="none" w:sz="0" w:space="0" w:color="auto"/>
      </w:divBdr>
    </w:div>
    <w:div w:id="214851480">
      <w:bodyDiv w:val="1"/>
      <w:marLeft w:val="0"/>
      <w:marRight w:val="0"/>
      <w:marTop w:val="0"/>
      <w:marBottom w:val="0"/>
      <w:divBdr>
        <w:top w:val="none" w:sz="0" w:space="0" w:color="auto"/>
        <w:left w:val="none" w:sz="0" w:space="0" w:color="auto"/>
        <w:bottom w:val="none" w:sz="0" w:space="0" w:color="auto"/>
        <w:right w:val="none" w:sz="0" w:space="0" w:color="auto"/>
      </w:divBdr>
    </w:div>
    <w:div w:id="215436154">
      <w:bodyDiv w:val="1"/>
      <w:marLeft w:val="0"/>
      <w:marRight w:val="0"/>
      <w:marTop w:val="0"/>
      <w:marBottom w:val="0"/>
      <w:divBdr>
        <w:top w:val="none" w:sz="0" w:space="0" w:color="auto"/>
        <w:left w:val="none" w:sz="0" w:space="0" w:color="auto"/>
        <w:bottom w:val="none" w:sz="0" w:space="0" w:color="auto"/>
        <w:right w:val="none" w:sz="0" w:space="0" w:color="auto"/>
      </w:divBdr>
    </w:div>
    <w:div w:id="215513925">
      <w:bodyDiv w:val="1"/>
      <w:marLeft w:val="0"/>
      <w:marRight w:val="0"/>
      <w:marTop w:val="0"/>
      <w:marBottom w:val="0"/>
      <w:divBdr>
        <w:top w:val="none" w:sz="0" w:space="0" w:color="auto"/>
        <w:left w:val="none" w:sz="0" w:space="0" w:color="auto"/>
        <w:bottom w:val="none" w:sz="0" w:space="0" w:color="auto"/>
        <w:right w:val="none" w:sz="0" w:space="0" w:color="auto"/>
      </w:divBdr>
    </w:div>
    <w:div w:id="215555946">
      <w:bodyDiv w:val="1"/>
      <w:marLeft w:val="0"/>
      <w:marRight w:val="0"/>
      <w:marTop w:val="0"/>
      <w:marBottom w:val="0"/>
      <w:divBdr>
        <w:top w:val="none" w:sz="0" w:space="0" w:color="auto"/>
        <w:left w:val="none" w:sz="0" w:space="0" w:color="auto"/>
        <w:bottom w:val="none" w:sz="0" w:space="0" w:color="auto"/>
        <w:right w:val="none" w:sz="0" w:space="0" w:color="auto"/>
      </w:divBdr>
    </w:div>
    <w:div w:id="215750092">
      <w:bodyDiv w:val="1"/>
      <w:marLeft w:val="0"/>
      <w:marRight w:val="0"/>
      <w:marTop w:val="0"/>
      <w:marBottom w:val="0"/>
      <w:divBdr>
        <w:top w:val="none" w:sz="0" w:space="0" w:color="auto"/>
        <w:left w:val="none" w:sz="0" w:space="0" w:color="auto"/>
        <w:bottom w:val="none" w:sz="0" w:space="0" w:color="auto"/>
        <w:right w:val="none" w:sz="0" w:space="0" w:color="auto"/>
      </w:divBdr>
    </w:div>
    <w:div w:id="216017671">
      <w:bodyDiv w:val="1"/>
      <w:marLeft w:val="0"/>
      <w:marRight w:val="0"/>
      <w:marTop w:val="0"/>
      <w:marBottom w:val="0"/>
      <w:divBdr>
        <w:top w:val="none" w:sz="0" w:space="0" w:color="auto"/>
        <w:left w:val="none" w:sz="0" w:space="0" w:color="auto"/>
        <w:bottom w:val="none" w:sz="0" w:space="0" w:color="auto"/>
        <w:right w:val="none" w:sz="0" w:space="0" w:color="auto"/>
      </w:divBdr>
    </w:div>
    <w:div w:id="216094303">
      <w:bodyDiv w:val="1"/>
      <w:marLeft w:val="0"/>
      <w:marRight w:val="0"/>
      <w:marTop w:val="0"/>
      <w:marBottom w:val="0"/>
      <w:divBdr>
        <w:top w:val="none" w:sz="0" w:space="0" w:color="auto"/>
        <w:left w:val="none" w:sz="0" w:space="0" w:color="auto"/>
        <w:bottom w:val="none" w:sz="0" w:space="0" w:color="auto"/>
        <w:right w:val="none" w:sz="0" w:space="0" w:color="auto"/>
      </w:divBdr>
    </w:div>
    <w:div w:id="216211642">
      <w:bodyDiv w:val="1"/>
      <w:marLeft w:val="0"/>
      <w:marRight w:val="0"/>
      <w:marTop w:val="0"/>
      <w:marBottom w:val="0"/>
      <w:divBdr>
        <w:top w:val="none" w:sz="0" w:space="0" w:color="auto"/>
        <w:left w:val="none" w:sz="0" w:space="0" w:color="auto"/>
        <w:bottom w:val="none" w:sz="0" w:space="0" w:color="auto"/>
        <w:right w:val="none" w:sz="0" w:space="0" w:color="auto"/>
      </w:divBdr>
    </w:div>
    <w:div w:id="216405859">
      <w:bodyDiv w:val="1"/>
      <w:marLeft w:val="0"/>
      <w:marRight w:val="0"/>
      <w:marTop w:val="0"/>
      <w:marBottom w:val="0"/>
      <w:divBdr>
        <w:top w:val="none" w:sz="0" w:space="0" w:color="auto"/>
        <w:left w:val="none" w:sz="0" w:space="0" w:color="auto"/>
        <w:bottom w:val="none" w:sz="0" w:space="0" w:color="auto"/>
        <w:right w:val="none" w:sz="0" w:space="0" w:color="auto"/>
      </w:divBdr>
    </w:div>
    <w:div w:id="216555153">
      <w:bodyDiv w:val="1"/>
      <w:marLeft w:val="0"/>
      <w:marRight w:val="0"/>
      <w:marTop w:val="0"/>
      <w:marBottom w:val="0"/>
      <w:divBdr>
        <w:top w:val="none" w:sz="0" w:space="0" w:color="auto"/>
        <w:left w:val="none" w:sz="0" w:space="0" w:color="auto"/>
        <w:bottom w:val="none" w:sz="0" w:space="0" w:color="auto"/>
        <w:right w:val="none" w:sz="0" w:space="0" w:color="auto"/>
      </w:divBdr>
    </w:div>
    <w:div w:id="216859598">
      <w:bodyDiv w:val="1"/>
      <w:marLeft w:val="0"/>
      <w:marRight w:val="0"/>
      <w:marTop w:val="0"/>
      <w:marBottom w:val="0"/>
      <w:divBdr>
        <w:top w:val="none" w:sz="0" w:space="0" w:color="auto"/>
        <w:left w:val="none" w:sz="0" w:space="0" w:color="auto"/>
        <w:bottom w:val="none" w:sz="0" w:space="0" w:color="auto"/>
        <w:right w:val="none" w:sz="0" w:space="0" w:color="auto"/>
      </w:divBdr>
    </w:div>
    <w:div w:id="216864620">
      <w:bodyDiv w:val="1"/>
      <w:marLeft w:val="0"/>
      <w:marRight w:val="0"/>
      <w:marTop w:val="0"/>
      <w:marBottom w:val="0"/>
      <w:divBdr>
        <w:top w:val="none" w:sz="0" w:space="0" w:color="auto"/>
        <w:left w:val="none" w:sz="0" w:space="0" w:color="auto"/>
        <w:bottom w:val="none" w:sz="0" w:space="0" w:color="auto"/>
        <w:right w:val="none" w:sz="0" w:space="0" w:color="auto"/>
      </w:divBdr>
    </w:div>
    <w:div w:id="217009226">
      <w:bodyDiv w:val="1"/>
      <w:marLeft w:val="0"/>
      <w:marRight w:val="0"/>
      <w:marTop w:val="0"/>
      <w:marBottom w:val="0"/>
      <w:divBdr>
        <w:top w:val="none" w:sz="0" w:space="0" w:color="auto"/>
        <w:left w:val="none" w:sz="0" w:space="0" w:color="auto"/>
        <w:bottom w:val="none" w:sz="0" w:space="0" w:color="auto"/>
        <w:right w:val="none" w:sz="0" w:space="0" w:color="auto"/>
      </w:divBdr>
    </w:div>
    <w:div w:id="217204770">
      <w:bodyDiv w:val="1"/>
      <w:marLeft w:val="0"/>
      <w:marRight w:val="0"/>
      <w:marTop w:val="0"/>
      <w:marBottom w:val="0"/>
      <w:divBdr>
        <w:top w:val="none" w:sz="0" w:space="0" w:color="auto"/>
        <w:left w:val="none" w:sz="0" w:space="0" w:color="auto"/>
        <w:bottom w:val="none" w:sz="0" w:space="0" w:color="auto"/>
        <w:right w:val="none" w:sz="0" w:space="0" w:color="auto"/>
      </w:divBdr>
    </w:div>
    <w:div w:id="217398911">
      <w:bodyDiv w:val="1"/>
      <w:marLeft w:val="0"/>
      <w:marRight w:val="0"/>
      <w:marTop w:val="0"/>
      <w:marBottom w:val="0"/>
      <w:divBdr>
        <w:top w:val="none" w:sz="0" w:space="0" w:color="auto"/>
        <w:left w:val="none" w:sz="0" w:space="0" w:color="auto"/>
        <w:bottom w:val="none" w:sz="0" w:space="0" w:color="auto"/>
        <w:right w:val="none" w:sz="0" w:space="0" w:color="auto"/>
      </w:divBdr>
    </w:div>
    <w:div w:id="217478055">
      <w:bodyDiv w:val="1"/>
      <w:marLeft w:val="0"/>
      <w:marRight w:val="0"/>
      <w:marTop w:val="0"/>
      <w:marBottom w:val="0"/>
      <w:divBdr>
        <w:top w:val="none" w:sz="0" w:space="0" w:color="auto"/>
        <w:left w:val="none" w:sz="0" w:space="0" w:color="auto"/>
        <w:bottom w:val="none" w:sz="0" w:space="0" w:color="auto"/>
        <w:right w:val="none" w:sz="0" w:space="0" w:color="auto"/>
      </w:divBdr>
    </w:div>
    <w:div w:id="217665491">
      <w:bodyDiv w:val="1"/>
      <w:marLeft w:val="0"/>
      <w:marRight w:val="0"/>
      <w:marTop w:val="0"/>
      <w:marBottom w:val="0"/>
      <w:divBdr>
        <w:top w:val="none" w:sz="0" w:space="0" w:color="auto"/>
        <w:left w:val="none" w:sz="0" w:space="0" w:color="auto"/>
        <w:bottom w:val="none" w:sz="0" w:space="0" w:color="auto"/>
        <w:right w:val="none" w:sz="0" w:space="0" w:color="auto"/>
      </w:divBdr>
    </w:div>
    <w:div w:id="217666601">
      <w:bodyDiv w:val="1"/>
      <w:marLeft w:val="0"/>
      <w:marRight w:val="0"/>
      <w:marTop w:val="0"/>
      <w:marBottom w:val="0"/>
      <w:divBdr>
        <w:top w:val="none" w:sz="0" w:space="0" w:color="auto"/>
        <w:left w:val="none" w:sz="0" w:space="0" w:color="auto"/>
        <w:bottom w:val="none" w:sz="0" w:space="0" w:color="auto"/>
        <w:right w:val="none" w:sz="0" w:space="0" w:color="auto"/>
      </w:divBdr>
    </w:div>
    <w:div w:id="218443530">
      <w:bodyDiv w:val="1"/>
      <w:marLeft w:val="0"/>
      <w:marRight w:val="0"/>
      <w:marTop w:val="0"/>
      <w:marBottom w:val="0"/>
      <w:divBdr>
        <w:top w:val="none" w:sz="0" w:space="0" w:color="auto"/>
        <w:left w:val="none" w:sz="0" w:space="0" w:color="auto"/>
        <w:bottom w:val="none" w:sz="0" w:space="0" w:color="auto"/>
        <w:right w:val="none" w:sz="0" w:space="0" w:color="auto"/>
      </w:divBdr>
    </w:div>
    <w:div w:id="218974932">
      <w:bodyDiv w:val="1"/>
      <w:marLeft w:val="0"/>
      <w:marRight w:val="0"/>
      <w:marTop w:val="0"/>
      <w:marBottom w:val="0"/>
      <w:divBdr>
        <w:top w:val="none" w:sz="0" w:space="0" w:color="auto"/>
        <w:left w:val="none" w:sz="0" w:space="0" w:color="auto"/>
        <w:bottom w:val="none" w:sz="0" w:space="0" w:color="auto"/>
        <w:right w:val="none" w:sz="0" w:space="0" w:color="auto"/>
      </w:divBdr>
    </w:div>
    <w:div w:id="219099376">
      <w:bodyDiv w:val="1"/>
      <w:marLeft w:val="0"/>
      <w:marRight w:val="0"/>
      <w:marTop w:val="0"/>
      <w:marBottom w:val="0"/>
      <w:divBdr>
        <w:top w:val="none" w:sz="0" w:space="0" w:color="auto"/>
        <w:left w:val="none" w:sz="0" w:space="0" w:color="auto"/>
        <w:bottom w:val="none" w:sz="0" w:space="0" w:color="auto"/>
        <w:right w:val="none" w:sz="0" w:space="0" w:color="auto"/>
      </w:divBdr>
    </w:div>
    <w:div w:id="219558646">
      <w:bodyDiv w:val="1"/>
      <w:marLeft w:val="0"/>
      <w:marRight w:val="0"/>
      <w:marTop w:val="0"/>
      <w:marBottom w:val="0"/>
      <w:divBdr>
        <w:top w:val="none" w:sz="0" w:space="0" w:color="auto"/>
        <w:left w:val="none" w:sz="0" w:space="0" w:color="auto"/>
        <w:bottom w:val="none" w:sz="0" w:space="0" w:color="auto"/>
        <w:right w:val="none" w:sz="0" w:space="0" w:color="auto"/>
      </w:divBdr>
    </w:div>
    <w:div w:id="219562083">
      <w:bodyDiv w:val="1"/>
      <w:marLeft w:val="0"/>
      <w:marRight w:val="0"/>
      <w:marTop w:val="0"/>
      <w:marBottom w:val="0"/>
      <w:divBdr>
        <w:top w:val="none" w:sz="0" w:space="0" w:color="auto"/>
        <w:left w:val="none" w:sz="0" w:space="0" w:color="auto"/>
        <w:bottom w:val="none" w:sz="0" w:space="0" w:color="auto"/>
        <w:right w:val="none" w:sz="0" w:space="0" w:color="auto"/>
      </w:divBdr>
    </w:div>
    <w:div w:id="219708655">
      <w:bodyDiv w:val="1"/>
      <w:marLeft w:val="0"/>
      <w:marRight w:val="0"/>
      <w:marTop w:val="0"/>
      <w:marBottom w:val="0"/>
      <w:divBdr>
        <w:top w:val="none" w:sz="0" w:space="0" w:color="auto"/>
        <w:left w:val="none" w:sz="0" w:space="0" w:color="auto"/>
        <w:bottom w:val="none" w:sz="0" w:space="0" w:color="auto"/>
        <w:right w:val="none" w:sz="0" w:space="0" w:color="auto"/>
      </w:divBdr>
    </w:div>
    <w:div w:id="219900040">
      <w:bodyDiv w:val="1"/>
      <w:marLeft w:val="0"/>
      <w:marRight w:val="0"/>
      <w:marTop w:val="0"/>
      <w:marBottom w:val="0"/>
      <w:divBdr>
        <w:top w:val="none" w:sz="0" w:space="0" w:color="auto"/>
        <w:left w:val="none" w:sz="0" w:space="0" w:color="auto"/>
        <w:bottom w:val="none" w:sz="0" w:space="0" w:color="auto"/>
        <w:right w:val="none" w:sz="0" w:space="0" w:color="auto"/>
      </w:divBdr>
    </w:div>
    <w:div w:id="219901250">
      <w:bodyDiv w:val="1"/>
      <w:marLeft w:val="0"/>
      <w:marRight w:val="0"/>
      <w:marTop w:val="0"/>
      <w:marBottom w:val="0"/>
      <w:divBdr>
        <w:top w:val="none" w:sz="0" w:space="0" w:color="auto"/>
        <w:left w:val="none" w:sz="0" w:space="0" w:color="auto"/>
        <w:bottom w:val="none" w:sz="0" w:space="0" w:color="auto"/>
        <w:right w:val="none" w:sz="0" w:space="0" w:color="auto"/>
      </w:divBdr>
    </w:div>
    <w:div w:id="219947791">
      <w:bodyDiv w:val="1"/>
      <w:marLeft w:val="0"/>
      <w:marRight w:val="0"/>
      <w:marTop w:val="0"/>
      <w:marBottom w:val="0"/>
      <w:divBdr>
        <w:top w:val="none" w:sz="0" w:space="0" w:color="auto"/>
        <w:left w:val="none" w:sz="0" w:space="0" w:color="auto"/>
        <w:bottom w:val="none" w:sz="0" w:space="0" w:color="auto"/>
        <w:right w:val="none" w:sz="0" w:space="0" w:color="auto"/>
      </w:divBdr>
    </w:div>
    <w:div w:id="219948940">
      <w:bodyDiv w:val="1"/>
      <w:marLeft w:val="0"/>
      <w:marRight w:val="0"/>
      <w:marTop w:val="0"/>
      <w:marBottom w:val="0"/>
      <w:divBdr>
        <w:top w:val="none" w:sz="0" w:space="0" w:color="auto"/>
        <w:left w:val="none" w:sz="0" w:space="0" w:color="auto"/>
        <w:bottom w:val="none" w:sz="0" w:space="0" w:color="auto"/>
        <w:right w:val="none" w:sz="0" w:space="0" w:color="auto"/>
      </w:divBdr>
    </w:div>
    <w:div w:id="220289781">
      <w:bodyDiv w:val="1"/>
      <w:marLeft w:val="0"/>
      <w:marRight w:val="0"/>
      <w:marTop w:val="0"/>
      <w:marBottom w:val="0"/>
      <w:divBdr>
        <w:top w:val="none" w:sz="0" w:space="0" w:color="auto"/>
        <w:left w:val="none" w:sz="0" w:space="0" w:color="auto"/>
        <w:bottom w:val="none" w:sz="0" w:space="0" w:color="auto"/>
        <w:right w:val="none" w:sz="0" w:space="0" w:color="auto"/>
      </w:divBdr>
    </w:div>
    <w:div w:id="220332574">
      <w:bodyDiv w:val="1"/>
      <w:marLeft w:val="0"/>
      <w:marRight w:val="0"/>
      <w:marTop w:val="0"/>
      <w:marBottom w:val="0"/>
      <w:divBdr>
        <w:top w:val="none" w:sz="0" w:space="0" w:color="auto"/>
        <w:left w:val="none" w:sz="0" w:space="0" w:color="auto"/>
        <w:bottom w:val="none" w:sz="0" w:space="0" w:color="auto"/>
        <w:right w:val="none" w:sz="0" w:space="0" w:color="auto"/>
      </w:divBdr>
    </w:div>
    <w:div w:id="220868827">
      <w:bodyDiv w:val="1"/>
      <w:marLeft w:val="0"/>
      <w:marRight w:val="0"/>
      <w:marTop w:val="0"/>
      <w:marBottom w:val="0"/>
      <w:divBdr>
        <w:top w:val="none" w:sz="0" w:space="0" w:color="auto"/>
        <w:left w:val="none" w:sz="0" w:space="0" w:color="auto"/>
        <w:bottom w:val="none" w:sz="0" w:space="0" w:color="auto"/>
        <w:right w:val="none" w:sz="0" w:space="0" w:color="auto"/>
      </w:divBdr>
    </w:div>
    <w:div w:id="221185474">
      <w:bodyDiv w:val="1"/>
      <w:marLeft w:val="0"/>
      <w:marRight w:val="0"/>
      <w:marTop w:val="0"/>
      <w:marBottom w:val="0"/>
      <w:divBdr>
        <w:top w:val="none" w:sz="0" w:space="0" w:color="auto"/>
        <w:left w:val="none" w:sz="0" w:space="0" w:color="auto"/>
        <w:bottom w:val="none" w:sz="0" w:space="0" w:color="auto"/>
        <w:right w:val="none" w:sz="0" w:space="0" w:color="auto"/>
      </w:divBdr>
    </w:div>
    <w:div w:id="221446546">
      <w:bodyDiv w:val="1"/>
      <w:marLeft w:val="0"/>
      <w:marRight w:val="0"/>
      <w:marTop w:val="0"/>
      <w:marBottom w:val="0"/>
      <w:divBdr>
        <w:top w:val="none" w:sz="0" w:space="0" w:color="auto"/>
        <w:left w:val="none" w:sz="0" w:space="0" w:color="auto"/>
        <w:bottom w:val="none" w:sz="0" w:space="0" w:color="auto"/>
        <w:right w:val="none" w:sz="0" w:space="0" w:color="auto"/>
      </w:divBdr>
    </w:div>
    <w:div w:id="222058220">
      <w:bodyDiv w:val="1"/>
      <w:marLeft w:val="0"/>
      <w:marRight w:val="0"/>
      <w:marTop w:val="0"/>
      <w:marBottom w:val="0"/>
      <w:divBdr>
        <w:top w:val="none" w:sz="0" w:space="0" w:color="auto"/>
        <w:left w:val="none" w:sz="0" w:space="0" w:color="auto"/>
        <w:bottom w:val="none" w:sz="0" w:space="0" w:color="auto"/>
        <w:right w:val="none" w:sz="0" w:space="0" w:color="auto"/>
      </w:divBdr>
    </w:div>
    <w:div w:id="222176071">
      <w:bodyDiv w:val="1"/>
      <w:marLeft w:val="0"/>
      <w:marRight w:val="0"/>
      <w:marTop w:val="0"/>
      <w:marBottom w:val="0"/>
      <w:divBdr>
        <w:top w:val="none" w:sz="0" w:space="0" w:color="auto"/>
        <w:left w:val="none" w:sz="0" w:space="0" w:color="auto"/>
        <w:bottom w:val="none" w:sz="0" w:space="0" w:color="auto"/>
        <w:right w:val="none" w:sz="0" w:space="0" w:color="auto"/>
      </w:divBdr>
    </w:div>
    <w:div w:id="222447805">
      <w:bodyDiv w:val="1"/>
      <w:marLeft w:val="0"/>
      <w:marRight w:val="0"/>
      <w:marTop w:val="0"/>
      <w:marBottom w:val="0"/>
      <w:divBdr>
        <w:top w:val="none" w:sz="0" w:space="0" w:color="auto"/>
        <w:left w:val="none" w:sz="0" w:space="0" w:color="auto"/>
        <w:bottom w:val="none" w:sz="0" w:space="0" w:color="auto"/>
        <w:right w:val="none" w:sz="0" w:space="0" w:color="auto"/>
      </w:divBdr>
    </w:div>
    <w:div w:id="222522517">
      <w:bodyDiv w:val="1"/>
      <w:marLeft w:val="0"/>
      <w:marRight w:val="0"/>
      <w:marTop w:val="0"/>
      <w:marBottom w:val="0"/>
      <w:divBdr>
        <w:top w:val="none" w:sz="0" w:space="0" w:color="auto"/>
        <w:left w:val="none" w:sz="0" w:space="0" w:color="auto"/>
        <w:bottom w:val="none" w:sz="0" w:space="0" w:color="auto"/>
        <w:right w:val="none" w:sz="0" w:space="0" w:color="auto"/>
      </w:divBdr>
    </w:div>
    <w:div w:id="222525670">
      <w:bodyDiv w:val="1"/>
      <w:marLeft w:val="0"/>
      <w:marRight w:val="0"/>
      <w:marTop w:val="0"/>
      <w:marBottom w:val="0"/>
      <w:divBdr>
        <w:top w:val="none" w:sz="0" w:space="0" w:color="auto"/>
        <w:left w:val="none" w:sz="0" w:space="0" w:color="auto"/>
        <w:bottom w:val="none" w:sz="0" w:space="0" w:color="auto"/>
        <w:right w:val="none" w:sz="0" w:space="0" w:color="auto"/>
      </w:divBdr>
    </w:div>
    <w:div w:id="222566867">
      <w:bodyDiv w:val="1"/>
      <w:marLeft w:val="0"/>
      <w:marRight w:val="0"/>
      <w:marTop w:val="0"/>
      <w:marBottom w:val="0"/>
      <w:divBdr>
        <w:top w:val="none" w:sz="0" w:space="0" w:color="auto"/>
        <w:left w:val="none" w:sz="0" w:space="0" w:color="auto"/>
        <w:bottom w:val="none" w:sz="0" w:space="0" w:color="auto"/>
        <w:right w:val="none" w:sz="0" w:space="0" w:color="auto"/>
      </w:divBdr>
    </w:div>
    <w:div w:id="222567932">
      <w:bodyDiv w:val="1"/>
      <w:marLeft w:val="0"/>
      <w:marRight w:val="0"/>
      <w:marTop w:val="0"/>
      <w:marBottom w:val="0"/>
      <w:divBdr>
        <w:top w:val="none" w:sz="0" w:space="0" w:color="auto"/>
        <w:left w:val="none" w:sz="0" w:space="0" w:color="auto"/>
        <w:bottom w:val="none" w:sz="0" w:space="0" w:color="auto"/>
        <w:right w:val="none" w:sz="0" w:space="0" w:color="auto"/>
      </w:divBdr>
    </w:div>
    <w:div w:id="222721272">
      <w:bodyDiv w:val="1"/>
      <w:marLeft w:val="0"/>
      <w:marRight w:val="0"/>
      <w:marTop w:val="0"/>
      <w:marBottom w:val="0"/>
      <w:divBdr>
        <w:top w:val="none" w:sz="0" w:space="0" w:color="auto"/>
        <w:left w:val="none" w:sz="0" w:space="0" w:color="auto"/>
        <w:bottom w:val="none" w:sz="0" w:space="0" w:color="auto"/>
        <w:right w:val="none" w:sz="0" w:space="0" w:color="auto"/>
      </w:divBdr>
    </w:div>
    <w:div w:id="222835913">
      <w:bodyDiv w:val="1"/>
      <w:marLeft w:val="0"/>
      <w:marRight w:val="0"/>
      <w:marTop w:val="0"/>
      <w:marBottom w:val="0"/>
      <w:divBdr>
        <w:top w:val="none" w:sz="0" w:space="0" w:color="auto"/>
        <w:left w:val="none" w:sz="0" w:space="0" w:color="auto"/>
        <w:bottom w:val="none" w:sz="0" w:space="0" w:color="auto"/>
        <w:right w:val="none" w:sz="0" w:space="0" w:color="auto"/>
      </w:divBdr>
    </w:div>
    <w:div w:id="223151327">
      <w:bodyDiv w:val="1"/>
      <w:marLeft w:val="0"/>
      <w:marRight w:val="0"/>
      <w:marTop w:val="0"/>
      <w:marBottom w:val="0"/>
      <w:divBdr>
        <w:top w:val="none" w:sz="0" w:space="0" w:color="auto"/>
        <w:left w:val="none" w:sz="0" w:space="0" w:color="auto"/>
        <w:bottom w:val="none" w:sz="0" w:space="0" w:color="auto"/>
        <w:right w:val="none" w:sz="0" w:space="0" w:color="auto"/>
      </w:divBdr>
    </w:div>
    <w:div w:id="223180948">
      <w:bodyDiv w:val="1"/>
      <w:marLeft w:val="0"/>
      <w:marRight w:val="0"/>
      <w:marTop w:val="0"/>
      <w:marBottom w:val="0"/>
      <w:divBdr>
        <w:top w:val="none" w:sz="0" w:space="0" w:color="auto"/>
        <w:left w:val="none" w:sz="0" w:space="0" w:color="auto"/>
        <w:bottom w:val="none" w:sz="0" w:space="0" w:color="auto"/>
        <w:right w:val="none" w:sz="0" w:space="0" w:color="auto"/>
      </w:divBdr>
    </w:div>
    <w:div w:id="223837458">
      <w:bodyDiv w:val="1"/>
      <w:marLeft w:val="0"/>
      <w:marRight w:val="0"/>
      <w:marTop w:val="0"/>
      <w:marBottom w:val="0"/>
      <w:divBdr>
        <w:top w:val="none" w:sz="0" w:space="0" w:color="auto"/>
        <w:left w:val="none" w:sz="0" w:space="0" w:color="auto"/>
        <w:bottom w:val="none" w:sz="0" w:space="0" w:color="auto"/>
        <w:right w:val="none" w:sz="0" w:space="0" w:color="auto"/>
      </w:divBdr>
    </w:div>
    <w:div w:id="223876081">
      <w:bodyDiv w:val="1"/>
      <w:marLeft w:val="0"/>
      <w:marRight w:val="0"/>
      <w:marTop w:val="0"/>
      <w:marBottom w:val="0"/>
      <w:divBdr>
        <w:top w:val="none" w:sz="0" w:space="0" w:color="auto"/>
        <w:left w:val="none" w:sz="0" w:space="0" w:color="auto"/>
        <w:bottom w:val="none" w:sz="0" w:space="0" w:color="auto"/>
        <w:right w:val="none" w:sz="0" w:space="0" w:color="auto"/>
      </w:divBdr>
    </w:div>
    <w:div w:id="224295712">
      <w:bodyDiv w:val="1"/>
      <w:marLeft w:val="0"/>
      <w:marRight w:val="0"/>
      <w:marTop w:val="0"/>
      <w:marBottom w:val="0"/>
      <w:divBdr>
        <w:top w:val="none" w:sz="0" w:space="0" w:color="auto"/>
        <w:left w:val="none" w:sz="0" w:space="0" w:color="auto"/>
        <w:bottom w:val="none" w:sz="0" w:space="0" w:color="auto"/>
        <w:right w:val="none" w:sz="0" w:space="0" w:color="auto"/>
      </w:divBdr>
    </w:div>
    <w:div w:id="224537464">
      <w:bodyDiv w:val="1"/>
      <w:marLeft w:val="0"/>
      <w:marRight w:val="0"/>
      <w:marTop w:val="0"/>
      <w:marBottom w:val="0"/>
      <w:divBdr>
        <w:top w:val="none" w:sz="0" w:space="0" w:color="auto"/>
        <w:left w:val="none" w:sz="0" w:space="0" w:color="auto"/>
        <w:bottom w:val="none" w:sz="0" w:space="0" w:color="auto"/>
        <w:right w:val="none" w:sz="0" w:space="0" w:color="auto"/>
      </w:divBdr>
    </w:div>
    <w:div w:id="224611148">
      <w:bodyDiv w:val="1"/>
      <w:marLeft w:val="0"/>
      <w:marRight w:val="0"/>
      <w:marTop w:val="0"/>
      <w:marBottom w:val="0"/>
      <w:divBdr>
        <w:top w:val="none" w:sz="0" w:space="0" w:color="auto"/>
        <w:left w:val="none" w:sz="0" w:space="0" w:color="auto"/>
        <w:bottom w:val="none" w:sz="0" w:space="0" w:color="auto"/>
        <w:right w:val="none" w:sz="0" w:space="0" w:color="auto"/>
      </w:divBdr>
    </w:div>
    <w:div w:id="224727214">
      <w:bodyDiv w:val="1"/>
      <w:marLeft w:val="0"/>
      <w:marRight w:val="0"/>
      <w:marTop w:val="0"/>
      <w:marBottom w:val="0"/>
      <w:divBdr>
        <w:top w:val="none" w:sz="0" w:space="0" w:color="auto"/>
        <w:left w:val="none" w:sz="0" w:space="0" w:color="auto"/>
        <w:bottom w:val="none" w:sz="0" w:space="0" w:color="auto"/>
        <w:right w:val="none" w:sz="0" w:space="0" w:color="auto"/>
      </w:divBdr>
    </w:div>
    <w:div w:id="224947738">
      <w:bodyDiv w:val="1"/>
      <w:marLeft w:val="0"/>
      <w:marRight w:val="0"/>
      <w:marTop w:val="0"/>
      <w:marBottom w:val="0"/>
      <w:divBdr>
        <w:top w:val="none" w:sz="0" w:space="0" w:color="auto"/>
        <w:left w:val="none" w:sz="0" w:space="0" w:color="auto"/>
        <w:bottom w:val="none" w:sz="0" w:space="0" w:color="auto"/>
        <w:right w:val="none" w:sz="0" w:space="0" w:color="auto"/>
      </w:divBdr>
    </w:div>
    <w:div w:id="224993062">
      <w:bodyDiv w:val="1"/>
      <w:marLeft w:val="0"/>
      <w:marRight w:val="0"/>
      <w:marTop w:val="0"/>
      <w:marBottom w:val="0"/>
      <w:divBdr>
        <w:top w:val="none" w:sz="0" w:space="0" w:color="auto"/>
        <w:left w:val="none" w:sz="0" w:space="0" w:color="auto"/>
        <w:bottom w:val="none" w:sz="0" w:space="0" w:color="auto"/>
        <w:right w:val="none" w:sz="0" w:space="0" w:color="auto"/>
      </w:divBdr>
    </w:div>
    <w:div w:id="224994304">
      <w:bodyDiv w:val="1"/>
      <w:marLeft w:val="0"/>
      <w:marRight w:val="0"/>
      <w:marTop w:val="0"/>
      <w:marBottom w:val="0"/>
      <w:divBdr>
        <w:top w:val="none" w:sz="0" w:space="0" w:color="auto"/>
        <w:left w:val="none" w:sz="0" w:space="0" w:color="auto"/>
        <w:bottom w:val="none" w:sz="0" w:space="0" w:color="auto"/>
        <w:right w:val="none" w:sz="0" w:space="0" w:color="auto"/>
      </w:divBdr>
    </w:div>
    <w:div w:id="225074000">
      <w:bodyDiv w:val="1"/>
      <w:marLeft w:val="0"/>
      <w:marRight w:val="0"/>
      <w:marTop w:val="0"/>
      <w:marBottom w:val="0"/>
      <w:divBdr>
        <w:top w:val="none" w:sz="0" w:space="0" w:color="auto"/>
        <w:left w:val="none" w:sz="0" w:space="0" w:color="auto"/>
        <w:bottom w:val="none" w:sz="0" w:space="0" w:color="auto"/>
        <w:right w:val="none" w:sz="0" w:space="0" w:color="auto"/>
      </w:divBdr>
    </w:div>
    <w:div w:id="225117027">
      <w:bodyDiv w:val="1"/>
      <w:marLeft w:val="0"/>
      <w:marRight w:val="0"/>
      <w:marTop w:val="0"/>
      <w:marBottom w:val="0"/>
      <w:divBdr>
        <w:top w:val="none" w:sz="0" w:space="0" w:color="auto"/>
        <w:left w:val="none" w:sz="0" w:space="0" w:color="auto"/>
        <w:bottom w:val="none" w:sz="0" w:space="0" w:color="auto"/>
        <w:right w:val="none" w:sz="0" w:space="0" w:color="auto"/>
      </w:divBdr>
    </w:div>
    <w:div w:id="225379106">
      <w:bodyDiv w:val="1"/>
      <w:marLeft w:val="0"/>
      <w:marRight w:val="0"/>
      <w:marTop w:val="0"/>
      <w:marBottom w:val="0"/>
      <w:divBdr>
        <w:top w:val="none" w:sz="0" w:space="0" w:color="auto"/>
        <w:left w:val="none" w:sz="0" w:space="0" w:color="auto"/>
        <w:bottom w:val="none" w:sz="0" w:space="0" w:color="auto"/>
        <w:right w:val="none" w:sz="0" w:space="0" w:color="auto"/>
      </w:divBdr>
    </w:div>
    <w:div w:id="225459356">
      <w:bodyDiv w:val="1"/>
      <w:marLeft w:val="0"/>
      <w:marRight w:val="0"/>
      <w:marTop w:val="0"/>
      <w:marBottom w:val="0"/>
      <w:divBdr>
        <w:top w:val="none" w:sz="0" w:space="0" w:color="auto"/>
        <w:left w:val="none" w:sz="0" w:space="0" w:color="auto"/>
        <w:bottom w:val="none" w:sz="0" w:space="0" w:color="auto"/>
        <w:right w:val="none" w:sz="0" w:space="0" w:color="auto"/>
      </w:divBdr>
    </w:div>
    <w:div w:id="225916115">
      <w:bodyDiv w:val="1"/>
      <w:marLeft w:val="0"/>
      <w:marRight w:val="0"/>
      <w:marTop w:val="0"/>
      <w:marBottom w:val="0"/>
      <w:divBdr>
        <w:top w:val="none" w:sz="0" w:space="0" w:color="auto"/>
        <w:left w:val="none" w:sz="0" w:space="0" w:color="auto"/>
        <w:bottom w:val="none" w:sz="0" w:space="0" w:color="auto"/>
        <w:right w:val="none" w:sz="0" w:space="0" w:color="auto"/>
      </w:divBdr>
    </w:div>
    <w:div w:id="225918953">
      <w:bodyDiv w:val="1"/>
      <w:marLeft w:val="0"/>
      <w:marRight w:val="0"/>
      <w:marTop w:val="0"/>
      <w:marBottom w:val="0"/>
      <w:divBdr>
        <w:top w:val="none" w:sz="0" w:space="0" w:color="auto"/>
        <w:left w:val="none" w:sz="0" w:space="0" w:color="auto"/>
        <w:bottom w:val="none" w:sz="0" w:space="0" w:color="auto"/>
        <w:right w:val="none" w:sz="0" w:space="0" w:color="auto"/>
      </w:divBdr>
    </w:div>
    <w:div w:id="225997299">
      <w:bodyDiv w:val="1"/>
      <w:marLeft w:val="0"/>
      <w:marRight w:val="0"/>
      <w:marTop w:val="0"/>
      <w:marBottom w:val="0"/>
      <w:divBdr>
        <w:top w:val="none" w:sz="0" w:space="0" w:color="auto"/>
        <w:left w:val="none" w:sz="0" w:space="0" w:color="auto"/>
        <w:bottom w:val="none" w:sz="0" w:space="0" w:color="auto"/>
        <w:right w:val="none" w:sz="0" w:space="0" w:color="auto"/>
      </w:divBdr>
    </w:div>
    <w:div w:id="226184962">
      <w:bodyDiv w:val="1"/>
      <w:marLeft w:val="0"/>
      <w:marRight w:val="0"/>
      <w:marTop w:val="0"/>
      <w:marBottom w:val="0"/>
      <w:divBdr>
        <w:top w:val="none" w:sz="0" w:space="0" w:color="auto"/>
        <w:left w:val="none" w:sz="0" w:space="0" w:color="auto"/>
        <w:bottom w:val="none" w:sz="0" w:space="0" w:color="auto"/>
        <w:right w:val="none" w:sz="0" w:space="0" w:color="auto"/>
      </w:divBdr>
    </w:div>
    <w:div w:id="226258930">
      <w:bodyDiv w:val="1"/>
      <w:marLeft w:val="0"/>
      <w:marRight w:val="0"/>
      <w:marTop w:val="0"/>
      <w:marBottom w:val="0"/>
      <w:divBdr>
        <w:top w:val="none" w:sz="0" w:space="0" w:color="auto"/>
        <w:left w:val="none" w:sz="0" w:space="0" w:color="auto"/>
        <w:bottom w:val="none" w:sz="0" w:space="0" w:color="auto"/>
        <w:right w:val="none" w:sz="0" w:space="0" w:color="auto"/>
      </w:divBdr>
    </w:div>
    <w:div w:id="226571302">
      <w:bodyDiv w:val="1"/>
      <w:marLeft w:val="0"/>
      <w:marRight w:val="0"/>
      <w:marTop w:val="0"/>
      <w:marBottom w:val="0"/>
      <w:divBdr>
        <w:top w:val="none" w:sz="0" w:space="0" w:color="auto"/>
        <w:left w:val="none" w:sz="0" w:space="0" w:color="auto"/>
        <w:bottom w:val="none" w:sz="0" w:space="0" w:color="auto"/>
        <w:right w:val="none" w:sz="0" w:space="0" w:color="auto"/>
      </w:divBdr>
    </w:div>
    <w:div w:id="226844497">
      <w:bodyDiv w:val="1"/>
      <w:marLeft w:val="0"/>
      <w:marRight w:val="0"/>
      <w:marTop w:val="0"/>
      <w:marBottom w:val="0"/>
      <w:divBdr>
        <w:top w:val="none" w:sz="0" w:space="0" w:color="auto"/>
        <w:left w:val="none" w:sz="0" w:space="0" w:color="auto"/>
        <w:bottom w:val="none" w:sz="0" w:space="0" w:color="auto"/>
        <w:right w:val="none" w:sz="0" w:space="0" w:color="auto"/>
      </w:divBdr>
    </w:div>
    <w:div w:id="227149486">
      <w:bodyDiv w:val="1"/>
      <w:marLeft w:val="0"/>
      <w:marRight w:val="0"/>
      <w:marTop w:val="0"/>
      <w:marBottom w:val="0"/>
      <w:divBdr>
        <w:top w:val="none" w:sz="0" w:space="0" w:color="auto"/>
        <w:left w:val="none" w:sz="0" w:space="0" w:color="auto"/>
        <w:bottom w:val="none" w:sz="0" w:space="0" w:color="auto"/>
        <w:right w:val="none" w:sz="0" w:space="0" w:color="auto"/>
      </w:divBdr>
    </w:div>
    <w:div w:id="227499789">
      <w:bodyDiv w:val="1"/>
      <w:marLeft w:val="0"/>
      <w:marRight w:val="0"/>
      <w:marTop w:val="0"/>
      <w:marBottom w:val="0"/>
      <w:divBdr>
        <w:top w:val="none" w:sz="0" w:space="0" w:color="auto"/>
        <w:left w:val="none" w:sz="0" w:space="0" w:color="auto"/>
        <w:bottom w:val="none" w:sz="0" w:space="0" w:color="auto"/>
        <w:right w:val="none" w:sz="0" w:space="0" w:color="auto"/>
      </w:divBdr>
    </w:div>
    <w:div w:id="228271593">
      <w:bodyDiv w:val="1"/>
      <w:marLeft w:val="0"/>
      <w:marRight w:val="0"/>
      <w:marTop w:val="0"/>
      <w:marBottom w:val="0"/>
      <w:divBdr>
        <w:top w:val="none" w:sz="0" w:space="0" w:color="auto"/>
        <w:left w:val="none" w:sz="0" w:space="0" w:color="auto"/>
        <w:bottom w:val="none" w:sz="0" w:space="0" w:color="auto"/>
        <w:right w:val="none" w:sz="0" w:space="0" w:color="auto"/>
      </w:divBdr>
    </w:div>
    <w:div w:id="228468415">
      <w:bodyDiv w:val="1"/>
      <w:marLeft w:val="0"/>
      <w:marRight w:val="0"/>
      <w:marTop w:val="0"/>
      <w:marBottom w:val="0"/>
      <w:divBdr>
        <w:top w:val="none" w:sz="0" w:space="0" w:color="auto"/>
        <w:left w:val="none" w:sz="0" w:space="0" w:color="auto"/>
        <w:bottom w:val="none" w:sz="0" w:space="0" w:color="auto"/>
        <w:right w:val="none" w:sz="0" w:space="0" w:color="auto"/>
      </w:divBdr>
    </w:div>
    <w:div w:id="229192245">
      <w:bodyDiv w:val="1"/>
      <w:marLeft w:val="0"/>
      <w:marRight w:val="0"/>
      <w:marTop w:val="0"/>
      <w:marBottom w:val="0"/>
      <w:divBdr>
        <w:top w:val="none" w:sz="0" w:space="0" w:color="auto"/>
        <w:left w:val="none" w:sz="0" w:space="0" w:color="auto"/>
        <w:bottom w:val="none" w:sz="0" w:space="0" w:color="auto"/>
        <w:right w:val="none" w:sz="0" w:space="0" w:color="auto"/>
      </w:divBdr>
    </w:div>
    <w:div w:id="230047217">
      <w:bodyDiv w:val="1"/>
      <w:marLeft w:val="0"/>
      <w:marRight w:val="0"/>
      <w:marTop w:val="0"/>
      <w:marBottom w:val="0"/>
      <w:divBdr>
        <w:top w:val="none" w:sz="0" w:space="0" w:color="auto"/>
        <w:left w:val="none" w:sz="0" w:space="0" w:color="auto"/>
        <w:bottom w:val="none" w:sz="0" w:space="0" w:color="auto"/>
        <w:right w:val="none" w:sz="0" w:space="0" w:color="auto"/>
      </w:divBdr>
    </w:div>
    <w:div w:id="230190858">
      <w:bodyDiv w:val="1"/>
      <w:marLeft w:val="0"/>
      <w:marRight w:val="0"/>
      <w:marTop w:val="0"/>
      <w:marBottom w:val="0"/>
      <w:divBdr>
        <w:top w:val="none" w:sz="0" w:space="0" w:color="auto"/>
        <w:left w:val="none" w:sz="0" w:space="0" w:color="auto"/>
        <w:bottom w:val="none" w:sz="0" w:space="0" w:color="auto"/>
        <w:right w:val="none" w:sz="0" w:space="0" w:color="auto"/>
      </w:divBdr>
    </w:div>
    <w:div w:id="230233186">
      <w:bodyDiv w:val="1"/>
      <w:marLeft w:val="0"/>
      <w:marRight w:val="0"/>
      <w:marTop w:val="0"/>
      <w:marBottom w:val="0"/>
      <w:divBdr>
        <w:top w:val="none" w:sz="0" w:space="0" w:color="auto"/>
        <w:left w:val="none" w:sz="0" w:space="0" w:color="auto"/>
        <w:bottom w:val="none" w:sz="0" w:space="0" w:color="auto"/>
        <w:right w:val="none" w:sz="0" w:space="0" w:color="auto"/>
      </w:divBdr>
    </w:div>
    <w:div w:id="230388718">
      <w:bodyDiv w:val="1"/>
      <w:marLeft w:val="0"/>
      <w:marRight w:val="0"/>
      <w:marTop w:val="0"/>
      <w:marBottom w:val="0"/>
      <w:divBdr>
        <w:top w:val="none" w:sz="0" w:space="0" w:color="auto"/>
        <w:left w:val="none" w:sz="0" w:space="0" w:color="auto"/>
        <w:bottom w:val="none" w:sz="0" w:space="0" w:color="auto"/>
        <w:right w:val="none" w:sz="0" w:space="0" w:color="auto"/>
      </w:divBdr>
    </w:div>
    <w:div w:id="230817977">
      <w:bodyDiv w:val="1"/>
      <w:marLeft w:val="0"/>
      <w:marRight w:val="0"/>
      <w:marTop w:val="0"/>
      <w:marBottom w:val="0"/>
      <w:divBdr>
        <w:top w:val="none" w:sz="0" w:space="0" w:color="auto"/>
        <w:left w:val="none" w:sz="0" w:space="0" w:color="auto"/>
        <w:bottom w:val="none" w:sz="0" w:space="0" w:color="auto"/>
        <w:right w:val="none" w:sz="0" w:space="0" w:color="auto"/>
      </w:divBdr>
    </w:div>
    <w:div w:id="231085779">
      <w:bodyDiv w:val="1"/>
      <w:marLeft w:val="0"/>
      <w:marRight w:val="0"/>
      <w:marTop w:val="0"/>
      <w:marBottom w:val="0"/>
      <w:divBdr>
        <w:top w:val="none" w:sz="0" w:space="0" w:color="auto"/>
        <w:left w:val="none" w:sz="0" w:space="0" w:color="auto"/>
        <w:bottom w:val="none" w:sz="0" w:space="0" w:color="auto"/>
        <w:right w:val="none" w:sz="0" w:space="0" w:color="auto"/>
      </w:divBdr>
    </w:div>
    <w:div w:id="231086202">
      <w:bodyDiv w:val="1"/>
      <w:marLeft w:val="0"/>
      <w:marRight w:val="0"/>
      <w:marTop w:val="0"/>
      <w:marBottom w:val="0"/>
      <w:divBdr>
        <w:top w:val="none" w:sz="0" w:space="0" w:color="auto"/>
        <w:left w:val="none" w:sz="0" w:space="0" w:color="auto"/>
        <w:bottom w:val="none" w:sz="0" w:space="0" w:color="auto"/>
        <w:right w:val="none" w:sz="0" w:space="0" w:color="auto"/>
      </w:divBdr>
    </w:div>
    <w:div w:id="231089690">
      <w:bodyDiv w:val="1"/>
      <w:marLeft w:val="0"/>
      <w:marRight w:val="0"/>
      <w:marTop w:val="0"/>
      <w:marBottom w:val="0"/>
      <w:divBdr>
        <w:top w:val="none" w:sz="0" w:space="0" w:color="auto"/>
        <w:left w:val="none" w:sz="0" w:space="0" w:color="auto"/>
        <w:bottom w:val="none" w:sz="0" w:space="0" w:color="auto"/>
        <w:right w:val="none" w:sz="0" w:space="0" w:color="auto"/>
      </w:divBdr>
    </w:div>
    <w:div w:id="231090430">
      <w:bodyDiv w:val="1"/>
      <w:marLeft w:val="0"/>
      <w:marRight w:val="0"/>
      <w:marTop w:val="0"/>
      <w:marBottom w:val="0"/>
      <w:divBdr>
        <w:top w:val="none" w:sz="0" w:space="0" w:color="auto"/>
        <w:left w:val="none" w:sz="0" w:space="0" w:color="auto"/>
        <w:bottom w:val="none" w:sz="0" w:space="0" w:color="auto"/>
        <w:right w:val="none" w:sz="0" w:space="0" w:color="auto"/>
      </w:divBdr>
    </w:div>
    <w:div w:id="231431088">
      <w:bodyDiv w:val="1"/>
      <w:marLeft w:val="0"/>
      <w:marRight w:val="0"/>
      <w:marTop w:val="0"/>
      <w:marBottom w:val="0"/>
      <w:divBdr>
        <w:top w:val="none" w:sz="0" w:space="0" w:color="auto"/>
        <w:left w:val="none" w:sz="0" w:space="0" w:color="auto"/>
        <w:bottom w:val="none" w:sz="0" w:space="0" w:color="auto"/>
        <w:right w:val="none" w:sz="0" w:space="0" w:color="auto"/>
      </w:divBdr>
    </w:div>
    <w:div w:id="231548038">
      <w:bodyDiv w:val="1"/>
      <w:marLeft w:val="0"/>
      <w:marRight w:val="0"/>
      <w:marTop w:val="0"/>
      <w:marBottom w:val="0"/>
      <w:divBdr>
        <w:top w:val="none" w:sz="0" w:space="0" w:color="auto"/>
        <w:left w:val="none" w:sz="0" w:space="0" w:color="auto"/>
        <w:bottom w:val="none" w:sz="0" w:space="0" w:color="auto"/>
        <w:right w:val="none" w:sz="0" w:space="0" w:color="auto"/>
      </w:divBdr>
    </w:div>
    <w:div w:id="231820580">
      <w:bodyDiv w:val="1"/>
      <w:marLeft w:val="0"/>
      <w:marRight w:val="0"/>
      <w:marTop w:val="0"/>
      <w:marBottom w:val="0"/>
      <w:divBdr>
        <w:top w:val="none" w:sz="0" w:space="0" w:color="auto"/>
        <w:left w:val="none" w:sz="0" w:space="0" w:color="auto"/>
        <w:bottom w:val="none" w:sz="0" w:space="0" w:color="auto"/>
        <w:right w:val="none" w:sz="0" w:space="0" w:color="auto"/>
      </w:divBdr>
    </w:div>
    <w:div w:id="232083881">
      <w:bodyDiv w:val="1"/>
      <w:marLeft w:val="0"/>
      <w:marRight w:val="0"/>
      <w:marTop w:val="0"/>
      <w:marBottom w:val="0"/>
      <w:divBdr>
        <w:top w:val="none" w:sz="0" w:space="0" w:color="auto"/>
        <w:left w:val="none" w:sz="0" w:space="0" w:color="auto"/>
        <w:bottom w:val="none" w:sz="0" w:space="0" w:color="auto"/>
        <w:right w:val="none" w:sz="0" w:space="0" w:color="auto"/>
      </w:divBdr>
    </w:div>
    <w:div w:id="232544658">
      <w:bodyDiv w:val="1"/>
      <w:marLeft w:val="0"/>
      <w:marRight w:val="0"/>
      <w:marTop w:val="0"/>
      <w:marBottom w:val="0"/>
      <w:divBdr>
        <w:top w:val="none" w:sz="0" w:space="0" w:color="auto"/>
        <w:left w:val="none" w:sz="0" w:space="0" w:color="auto"/>
        <w:bottom w:val="none" w:sz="0" w:space="0" w:color="auto"/>
        <w:right w:val="none" w:sz="0" w:space="0" w:color="auto"/>
      </w:divBdr>
    </w:div>
    <w:div w:id="232546328">
      <w:bodyDiv w:val="1"/>
      <w:marLeft w:val="0"/>
      <w:marRight w:val="0"/>
      <w:marTop w:val="0"/>
      <w:marBottom w:val="0"/>
      <w:divBdr>
        <w:top w:val="none" w:sz="0" w:space="0" w:color="auto"/>
        <w:left w:val="none" w:sz="0" w:space="0" w:color="auto"/>
        <w:bottom w:val="none" w:sz="0" w:space="0" w:color="auto"/>
        <w:right w:val="none" w:sz="0" w:space="0" w:color="auto"/>
      </w:divBdr>
    </w:div>
    <w:div w:id="232668404">
      <w:bodyDiv w:val="1"/>
      <w:marLeft w:val="0"/>
      <w:marRight w:val="0"/>
      <w:marTop w:val="0"/>
      <w:marBottom w:val="0"/>
      <w:divBdr>
        <w:top w:val="none" w:sz="0" w:space="0" w:color="auto"/>
        <w:left w:val="none" w:sz="0" w:space="0" w:color="auto"/>
        <w:bottom w:val="none" w:sz="0" w:space="0" w:color="auto"/>
        <w:right w:val="none" w:sz="0" w:space="0" w:color="auto"/>
      </w:divBdr>
    </w:div>
    <w:div w:id="232744764">
      <w:bodyDiv w:val="1"/>
      <w:marLeft w:val="0"/>
      <w:marRight w:val="0"/>
      <w:marTop w:val="0"/>
      <w:marBottom w:val="0"/>
      <w:divBdr>
        <w:top w:val="none" w:sz="0" w:space="0" w:color="auto"/>
        <w:left w:val="none" w:sz="0" w:space="0" w:color="auto"/>
        <w:bottom w:val="none" w:sz="0" w:space="0" w:color="auto"/>
        <w:right w:val="none" w:sz="0" w:space="0" w:color="auto"/>
      </w:divBdr>
    </w:div>
    <w:div w:id="233047123">
      <w:bodyDiv w:val="1"/>
      <w:marLeft w:val="0"/>
      <w:marRight w:val="0"/>
      <w:marTop w:val="0"/>
      <w:marBottom w:val="0"/>
      <w:divBdr>
        <w:top w:val="none" w:sz="0" w:space="0" w:color="auto"/>
        <w:left w:val="none" w:sz="0" w:space="0" w:color="auto"/>
        <w:bottom w:val="none" w:sz="0" w:space="0" w:color="auto"/>
        <w:right w:val="none" w:sz="0" w:space="0" w:color="auto"/>
      </w:divBdr>
    </w:div>
    <w:div w:id="233055594">
      <w:bodyDiv w:val="1"/>
      <w:marLeft w:val="0"/>
      <w:marRight w:val="0"/>
      <w:marTop w:val="0"/>
      <w:marBottom w:val="0"/>
      <w:divBdr>
        <w:top w:val="none" w:sz="0" w:space="0" w:color="auto"/>
        <w:left w:val="none" w:sz="0" w:space="0" w:color="auto"/>
        <w:bottom w:val="none" w:sz="0" w:space="0" w:color="auto"/>
        <w:right w:val="none" w:sz="0" w:space="0" w:color="auto"/>
      </w:divBdr>
    </w:div>
    <w:div w:id="233248775">
      <w:bodyDiv w:val="1"/>
      <w:marLeft w:val="0"/>
      <w:marRight w:val="0"/>
      <w:marTop w:val="0"/>
      <w:marBottom w:val="0"/>
      <w:divBdr>
        <w:top w:val="none" w:sz="0" w:space="0" w:color="auto"/>
        <w:left w:val="none" w:sz="0" w:space="0" w:color="auto"/>
        <w:bottom w:val="none" w:sz="0" w:space="0" w:color="auto"/>
        <w:right w:val="none" w:sz="0" w:space="0" w:color="auto"/>
      </w:divBdr>
    </w:div>
    <w:div w:id="233249285">
      <w:bodyDiv w:val="1"/>
      <w:marLeft w:val="0"/>
      <w:marRight w:val="0"/>
      <w:marTop w:val="0"/>
      <w:marBottom w:val="0"/>
      <w:divBdr>
        <w:top w:val="none" w:sz="0" w:space="0" w:color="auto"/>
        <w:left w:val="none" w:sz="0" w:space="0" w:color="auto"/>
        <w:bottom w:val="none" w:sz="0" w:space="0" w:color="auto"/>
        <w:right w:val="none" w:sz="0" w:space="0" w:color="auto"/>
      </w:divBdr>
    </w:div>
    <w:div w:id="233662014">
      <w:bodyDiv w:val="1"/>
      <w:marLeft w:val="0"/>
      <w:marRight w:val="0"/>
      <w:marTop w:val="0"/>
      <w:marBottom w:val="0"/>
      <w:divBdr>
        <w:top w:val="none" w:sz="0" w:space="0" w:color="auto"/>
        <w:left w:val="none" w:sz="0" w:space="0" w:color="auto"/>
        <w:bottom w:val="none" w:sz="0" w:space="0" w:color="auto"/>
        <w:right w:val="none" w:sz="0" w:space="0" w:color="auto"/>
      </w:divBdr>
    </w:div>
    <w:div w:id="233899044">
      <w:bodyDiv w:val="1"/>
      <w:marLeft w:val="0"/>
      <w:marRight w:val="0"/>
      <w:marTop w:val="0"/>
      <w:marBottom w:val="0"/>
      <w:divBdr>
        <w:top w:val="none" w:sz="0" w:space="0" w:color="auto"/>
        <w:left w:val="none" w:sz="0" w:space="0" w:color="auto"/>
        <w:bottom w:val="none" w:sz="0" w:space="0" w:color="auto"/>
        <w:right w:val="none" w:sz="0" w:space="0" w:color="auto"/>
      </w:divBdr>
    </w:div>
    <w:div w:id="234516702">
      <w:bodyDiv w:val="1"/>
      <w:marLeft w:val="0"/>
      <w:marRight w:val="0"/>
      <w:marTop w:val="0"/>
      <w:marBottom w:val="0"/>
      <w:divBdr>
        <w:top w:val="none" w:sz="0" w:space="0" w:color="auto"/>
        <w:left w:val="none" w:sz="0" w:space="0" w:color="auto"/>
        <w:bottom w:val="none" w:sz="0" w:space="0" w:color="auto"/>
        <w:right w:val="none" w:sz="0" w:space="0" w:color="auto"/>
      </w:divBdr>
    </w:div>
    <w:div w:id="234553584">
      <w:bodyDiv w:val="1"/>
      <w:marLeft w:val="0"/>
      <w:marRight w:val="0"/>
      <w:marTop w:val="0"/>
      <w:marBottom w:val="0"/>
      <w:divBdr>
        <w:top w:val="none" w:sz="0" w:space="0" w:color="auto"/>
        <w:left w:val="none" w:sz="0" w:space="0" w:color="auto"/>
        <w:bottom w:val="none" w:sz="0" w:space="0" w:color="auto"/>
        <w:right w:val="none" w:sz="0" w:space="0" w:color="auto"/>
      </w:divBdr>
    </w:div>
    <w:div w:id="234584811">
      <w:bodyDiv w:val="1"/>
      <w:marLeft w:val="0"/>
      <w:marRight w:val="0"/>
      <w:marTop w:val="0"/>
      <w:marBottom w:val="0"/>
      <w:divBdr>
        <w:top w:val="none" w:sz="0" w:space="0" w:color="auto"/>
        <w:left w:val="none" w:sz="0" w:space="0" w:color="auto"/>
        <w:bottom w:val="none" w:sz="0" w:space="0" w:color="auto"/>
        <w:right w:val="none" w:sz="0" w:space="0" w:color="auto"/>
      </w:divBdr>
    </w:div>
    <w:div w:id="234709958">
      <w:bodyDiv w:val="1"/>
      <w:marLeft w:val="0"/>
      <w:marRight w:val="0"/>
      <w:marTop w:val="0"/>
      <w:marBottom w:val="0"/>
      <w:divBdr>
        <w:top w:val="none" w:sz="0" w:space="0" w:color="auto"/>
        <w:left w:val="none" w:sz="0" w:space="0" w:color="auto"/>
        <w:bottom w:val="none" w:sz="0" w:space="0" w:color="auto"/>
        <w:right w:val="none" w:sz="0" w:space="0" w:color="auto"/>
      </w:divBdr>
    </w:div>
    <w:div w:id="234827971">
      <w:bodyDiv w:val="1"/>
      <w:marLeft w:val="0"/>
      <w:marRight w:val="0"/>
      <w:marTop w:val="0"/>
      <w:marBottom w:val="0"/>
      <w:divBdr>
        <w:top w:val="none" w:sz="0" w:space="0" w:color="auto"/>
        <w:left w:val="none" w:sz="0" w:space="0" w:color="auto"/>
        <w:bottom w:val="none" w:sz="0" w:space="0" w:color="auto"/>
        <w:right w:val="none" w:sz="0" w:space="0" w:color="auto"/>
      </w:divBdr>
    </w:div>
    <w:div w:id="234895247">
      <w:bodyDiv w:val="1"/>
      <w:marLeft w:val="0"/>
      <w:marRight w:val="0"/>
      <w:marTop w:val="0"/>
      <w:marBottom w:val="0"/>
      <w:divBdr>
        <w:top w:val="none" w:sz="0" w:space="0" w:color="auto"/>
        <w:left w:val="none" w:sz="0" w:space="0" w:color="auto"/>
        <w:bottom w:val="none" w:sz="0" w:space="0" w:color="auto"/>
        <w:right w:val="none" w:sz="0" w:space="0" w:color="auto"/>
      </w:divBdr>
    </w:div>
    <w:div w:id="235671538">
      <w:bodyDiv w:val="1"/>
      <w:marLeft w:val="0"/>
      <w:marRight w:val="0"/>
      <w:marTop w:val="0"/>
      <w:marBottom w:val="0"/>
      <w:divBdr>
        <w:top w:val="none" w:sz="0" w:space="0" w:color="auto"/>
        <w:left w:val="none" w:sz="0" w:space="0" w:color="auto"/>
        <w:bottom w:val="none" w:sz="0" w:space="0" w:color="auto"/>
        <w:right w:val="none" w:sz="0" w:space="0" w:color="auto"/>
      </w:divBdr>
    </w:div>
    <w:div w:id="235748704">
      <w:bodyDiv w:val="1"/>
      <w:marLeft w:val="0"/>
      <w:marRight w:val="0"/>
      <w:marTop w:val="0"/>
      <w:marBottom w:val="0"/>
      <w:divBdr>
        <w:top w:val="none" w:sz="0" w:space="0" w:color="auto"/>
        <w:left w:val="none" w:sz="0" w:space="0" w:color="auto"/>
        <w:bottom w:val="none" w:sz="0" w:space="0" w:color="auto"/>
        <w:right w:val="none" w:sz="0" w:space="0" w:color="auto"/>
      </w:divBdr>
    </w:div>
    <w:div w:id="235896222">
      <w:bodyDiv w:val="1"/>
      <w:marLeft w:val="0"/>
      <w:marRight w:val="0"/>
      <w:marTop w:val="0"/>
      <w:marBottom w:val="0"/>
      <w:divBdr>
        <w:top w:val="none" w:sz="0" w:space="0" w:color="auto"/>
        <w:left w:val="none" w:sz="0" w:space="0" w:color="auto"/>
        <w:bottom w:val="none" w:sz="0" w:space="0" w:color="auto"/>
        <w:right w:val="none" w:sz="0" w:space="0" w:color="auto"/>
      </w:divBdr>
    </w:div>
    <w:div w:id="236289690">
      <w:bodyDiv w:val="1"/>
      <w:marLeft w:val="0"/>
      <w:marRight w:val="0"/>
      <w:marTop w:val="0"/>
      <w:marBottom w:val="0"/>
      <w:divBdr>
        <w:top w:val="none" w:sz="0" w:space="0" w:color="auto"/>
        <w:left w:val="none" w:sz="0" w:space="0" w:color="auto"/>
        <w:bottom w:val="none" w:sz="0" w:space="0" w:color="auto"/>
        <w:right w:val="none" w:sz="0" w:space="0" w:color="auto"/>
      </w:divBdr>
    </w:div>
    <w:div w:id="236717754">
      <w:bodyDiv w:val="1"/>
      <w:marLeft w:val="0"/>
      <w:marRight w:val="0"/>
      <w:marTop w:val="0"/>
      <w:marBottom w:val="0"/>
      <w:divBdr>
        <w:top w:val="none" w:sz="0" w:space="0" w:color="auto"/>
        <w:left w:val="none" w:sz="0" w:space="0" w:color="auto"/>
        <w:bottom w:val="none" w:sz="0" w:space="0" w:color="auto"/>
        <w:right w:val="none" w:sz="0" w:space="0" w:color="auto"/>
      </w:divBdr>
    </w:div>
    <w:div w:id="236744644">
      <w:bodyDiv w:val="1"/>
      <w:marLeft w:val="0"/>
      <w:marRight w:val="0"/>
      <w:marTop w:val="0"/>
      <w:marBottom w:val="0"/>
      <w:divBdr>
        <w:top w:val="none" w:sz="0" w:space="0" w:color="auto"/>
        <w:left w:val="none" w:sz="0" w:space="0" w:color="auto"/>
        <w:bottom w:val="none" w:sz="0" w:space="0" w:color="auto"/>
        <w:right w:val="none" w:sz="0" w:space="0" w:color="auto"/>
      </w:divBdr>
    </w:div>
    <w:div w:id="237178530">
      <w:bodyDiv w:val="1"/>
      <w:marLeft w:val="0"/>
      <w:marRight w:val="0"/>
      <w:marTop w:val="0"/>
      <w:marBottom w:val="0"/>
      <w:divBdr>
        <w:top w:val="none" w:sz="0" w:space="0" w:color="auto"/>
        <w:left w:val="none" w:sz="0" w:space="0" w:color="auto"/>
        <w:bottom w:val="none" w:sz="0" w:space="0" w:color="auto"/>
        <w:right w:val="none" w:sz="0" w:space="0" w:color="auto"/>
      </w:divBdr>
    </w:div>
    <w:div w:id="237441770">
      <w:bodyDiv w:val="1"/>
      <w:marLeft w:val="0"/>
      <w:marRight w:val="0"/>
      <w:marTop w:val="0"/>
      <w:marBottom w:val="0"/>
      <w:divBdr>
        <w:top w:val="none" w:sz="0" w:space="0" w:color="auto"/>
        <w:left w:val="none" w:sz="0" w:space="0" w:color="auto"/>
        <w:bottom w:val="none" w:sz="0" w:space="0" w:color="auto"/>
        <w:right w:val="none" w:sz="0" w:space="0" w:color="auto"/>
      </w:divBdr>
    </w:div>
    <w:div w:id="237786877">
      <w:bodyDiv w:val="1"/>
      <w:marLeft w:val="0"/>
      <w:marRight w:val="0"/>
      <w:marTop w:val="0"/>
      <w:marBottom w:val="0"/>
      <w:divBdr>
        <w:top w:val="none" w:sz="0" w:space="0" w:color="auto"/>
        <w:left w:val="none" w:sz="0" w:space="0" w:color="auto"/>
        <w:bottom w:val="none" w:sz="0" w:space="0" w:color="auto"/>
        <w:right w:val="none" w:sz="0" w:space="0" w:color="auto"/>
      </w:divBdr>
    </w:div>
    <w:div w:id="237830813">
      <w:bodyDiv w:val="1"/>
      <w:marLeft w:val="0"/>
      <w:marRight w:val="0"/>
      <w:marTop w:val="0"/>
      <w:marBottom w:val="0"/>
      <w:divBdr>
        <w:top w:val="none" w:sz="0" w:space="0" w:color="auto"/>
        <w:left w:val="none" w:sz="0" w:space="0" w:color="auto"/>
        <w:bottom w:val="none" w:sz="0" w:space="0" w:color="auto"/>
        <w:right w:val="none" w:sz="0" w:space="0" w:color="auto"/>
      </w:divBdr>
    </w:div>
    <w:div w:id="238247261">
      <w:bodyDiv w:val="1"/>
      <w:marLeft w:val="0"/>
      <w:marRight w:val="0"/>
      <w:marTop w:val="0"/>
      <w:marBottom w:val="0"/>
      <w:divBdr>
        <w:top w:val="none" w:sz="0" w:space="0" w:color="auto"/>
        <w:left w:val="none" w:sz="0" w:space="0" w:color="auto"/>
        <w:bottom w:val="none" w:sz="0" w:space="0" w:color="auto"/>
        <w:right w:val="none" w:sz="0" w:space="0" w:color="auto"/>
      </w:divBdr>
    </w:div>
    <w:div w:id="238682682">
      <w:bodyDiv w:val="1"/>
      <w:marLeft w:val="0"/>
      <w:marRight w:val="0"/>
      <w:marTop w:val="0"/>
      <w:marBottom w:val="0"/>
      <w:divBdr>
        <w:top w:val="none" w:sz="0" w:space="0" w:color="auto"/>
        <w:left w:val="none" w:sz="0" w:space="0" w:color="auto"/>
        <w:bottom w:val="none" w:sz="0" w:space="0" w:color="auto"/>
        <w:right w:val="none" w:sz="0" w:space="0" w:color="auto"/>
      </w:divBdr>
    </w:div>
    <w:div w:id="239339606">
      <w:bodyDiv w:val="1"/>
      <w:marLeft w:val="0"/>
      <w:marRight w:val="0"/>
      <w:marTop w:val="0"/>
      <w:marBottom w:val="0"/>
      <w:divBdr>
        <w:top w:val="none" w:sz="0" w:space="0" w:color="auto"/>
        <w:left w:val="none" w:sz="0" w:space="0" w:color="auto"/>
        <w:bottom w:val="none" w:sz="0" w:space="0" w:color="auto"/>
        <w:right w:val="none" w:sz="0" w:space="0" w:color="auto"/>
      </w:divBdr>
    </w:div>
    <w:div w:id="239412370">
      <w:bodyDiv w:val="1"/>
      <w:marLeft w:val="0"/>
      <w:marRight w:val="0"/>
      <w:marTop w:val="0"/>
      <w:marBottom w:val="0"/>
      <w:divBdr>
        <w:top w:val="none" w:sz="0" w:space="0" w:color="auto"/>
        <w:left w:val="none" w:sz="0" w:space="0" w:color="auto"/>
        <w:bottom w:val="none" w:sz="0" w:space="0" w:color="auto"/>
        <w:right w:val="none" w:sz="0" w:space="0" w:color="auto"/>
      </w:divBdr>
    </w:div>
    <w:div w:id="239874115">
      <w:bodyDiv w:val="1"/>
      <w:marLeft w:val="0"/>
      <w:marRight w:val="0"/>
      <w:marTop w:val="0"/>
      <w:marBottom w:val="0"/>
      <w:divBdr>
        <w:top w:val="none" w:sz="0" w:space="0" w:color="auto"/>
        <w:left w:val="none" w:sz="0" w:space="0" w:color="auto"/>
        <w:bottom w:val="none" w:sz="0" w:space="0" w:color="auto"/>
        <w:right w:val="none" w:sz="0" w:space="0" w:color="auto"/>
      </w:divBdr>
    </w:div>
    <w:div w:id="240406418">
      <w:bodyDiv w:val="1"/>
      <w:marLeft w:val="0"/>
      <w:marRight w:val="0"/>
      <w:marTop w:val="0"/>
      <w:marBottom w:val="0"/>
      <w:divBdr>
        <w:top w:val="none" w:sz="0" w:space="0" w:color="auto"/>
        <w:left w:val="none" w:sz="0" w:space="0" w:color="auto"/>
        <w:bottom w:val="none" w:sz="0" w:space="0" w:color="auto"/>
        <w:right w:val="none" w:sz="0" w:space="0" w:color="auto"/>
      </w:divBdr>
    </w:div>
    <w:div w:id="240526454">
      <w:bodyDiv w:val="1"/>
      <w:marLeft w:val="0"/>
      <w:marRight w:val="0"/>
      <w:marTop w:val="0"/>
      <w:marBottom w:val="0"/>
      <w:divBdr>
        <w:top w:val="none" w:sz="0" w:space="0" w:color="auto"/>
        <w:left w:val="none" w:sz="0" w:space="0" w:color="auto"/>
        <w:bottom w:val="none" w:sz="0" w:space="0" w:color="auto"/>
        <w:right w:val="none" w:sz="0" w:space="0" w:color="auto"/>
      </w:divBdr>
    </w:div>
    <w:div w:id="240910684">
      <w:bodyDiv w:val="1"/>
      <w:marLeft w:val="0"/>
      <w:marRight w:val="0"/>
      <w:marTop w:val="0"/>
      <w:marBottom w:val="0"/>
      <w:divBdr>
        <w:top w:val="none" w:sz="0" w:space="0" w:color="auto"/>
        <w:left w:val="none" w:sz="0" w:space="0" w:color="auto"/>
        <w:bottom w:val="none" w:sz="0" w:space="0" w:color="auto"/>
        <w:right w:val="none" w:sz="0" w:space="0" w:color="auto"/>
      </w:divBdr>
    </w:div>
    <w:div w:id="240988445">
      <w:bodyDiv w:val="1"/>
      <w:marLeft w:val="0"/>
      <w:marRight w:val="0"/>
      <w:marTop w:val="0"/>
      <w:marBottom w:val="0"/>
      <w:divBdr>
        <w:top w:val="none" w:sz="0" w:space="0" w:color="auto"/>
        <w:left w:val="none" w:sz="0" w:space="0" w:color="auto"/>
        <w:bottom w:val="none" w:sz="0" w:space="0" w:color="auto"/>
        <w:right w:val="none" w:sz="0" w:space="0" w:color="auto"/>
      </w:divBdr>
    </w:div>
    <w:div w:id="241372135">
      <w:bodyDiv w:val="1"/>
      <w:marLeft w:val="0"/>
      <w:marRight w:val="0"/>
      <w:marTop w:val="0"/>
      <w:marBottom w:val="0"/>
      <w:divBdr>
        <w:top w:val="none" w:sz="0" w:space="0" w:color="auto"/>
        <w:left w:val="none" w:sz="0" w:space="0" w:color="auto"/>
        <w:bottom w:val="none" w:sz="0" w:space="0" w:color="auto"/>
        <w:right w:val="none" w:sz="0" w:space="0" w:color="auto"/>
      </w:divBdr>
    </w:div>
    <w:div w:id="241450210">
      <w:bodyDiv w:val="1"/>
      <w:marLeft w:val="0"/>
      <w:marRight w:val="0"/>
      <w:marTop w:val="0"/>
      <w:marBottom w:val="0"/>
      <w:divBdr>
        <w:top w:val="none" w:sz="0" w:space="0" w:color="auto"/>
        <w:left w:val="none" w:sz="0" w:space="0" w:color="auto"/>
        <w:bottom w:val="none" w:sz="0" w:space="0" w:color="auto"/>
        <w:right w:val="none" w:sz="0" w:space="0" w:color="auto"/>
      </w:divBdr>
    </w:div>
    <w:div w:id="241451843">
      <w:bodyDiv w:val="1"/>
      <w:marLeft w:val="0"/>
      <w:marRight w:val="0"/>
      <w:marTop w:val="0"/>
      <w:marBottom w:val="0"/>
      <w:divBdr>
        <w:top w:val="none" w:sz="0" w:space="0" w:color="auto"/>
        <w:left w:val="none" w:sz="0" w:space="0" w:color="auto"/>
        <w:bottom w:val="none" w:sz="0" w:space="0" w:color="auto"/>
        <w:right w:val="none" w:sz="0" w:space="0" w:color="auto"/>
      </w:divBdr>
    </w:div>
    <w:div w:id="241455865">
      <w:bodyDiv w:val="1"/>
      <w:marLeft w:val="0"/>
      <w:marRight w:val="0"/>
      <w:marTop w:val="0"/>
      <w:marBottom w:val="0"/>
      <w:divBdr>
        <w:top w:val="none" w:sz="0" w:space="0" w:color="auto"/>
        <w:left w:val="none" w:sz="0" w:space="0" w:color="auto"/>
        <w:bottom w:val="none" w:sz="0" w:space="0" w:color="auto"/>
        <w:right w:val="none" w:sz="0" w:space="0" w:color="auto"/>
      </w:divBdr>
    </w:div>
    <w:div w:id="241716655">
      <w:bodyDiv w:val="1"/>
      <w:marLeft w:val="0"/>
      <w:marRight w:val="0"/>
      <w:marTop w:val="0"/>
      <w:marBottom w:val="0"/>
      <w:divBdr>
        <w:top w:val="none" w:sz="0" w:space="0" w:color="auto"/>
        <w:left w:val="none" w:sz="0" w:space="0" w:color="auto"/>
        <w:bottom w:val="none" w:sz="0" w:space="0" w:color="auto"/>
        <w:right w:val="none" w:sz="0" w:space="0" w:color="auto"/>
      </w:divBdr>
    </w:div>
    <w:div w:id="241841275">
      <w:bodyDiv w:val="1"/>
      <w:marLeft w:val="0"/>
      <w:marRight w:val="0"/>
      <w:marTop w:val="0"/>
      <w:marBottom w:val="0"/>
      <w:divBdr>
        <w:top w:val="none" w:sz="0" w:space="0" w:color="auto"/>
        <w:left w:val="none" w:sz="0" w:space="0" w:color="auto"/>
        <w:bottom w:val="none" w:sz="0" w:space="0" w:color="auto"/>
        <w:right w:val="none" w:sz="0" w:space="0" w:color="auto"/>
      </w:divBdr>
    </w:div>
    <w:div w:id="241987814">
      <w:bodyDiv w:val="1"/>
      <w:marLeft w:val="0"/>
      <w:marRight w:val="0"/>
      <w:marTop w:val="0"/>
      <w:marBottom w:val="0"/>
      <w:divBdr>
        <w:top w:val="none" w:sz="0" w:space="0" w:color="auto"/>
        <w:left w:val="none" w:sz="0" w:space="0" w:color="auto"/>
        <w:bottom w:val="none" w:sz="0" w:space="0" w:color="auto"/>
        <w:right w:val="none" w:sz="0" w:space="0" w:color="auto"/>
      </w:divBdr>
    </w:div>
    <w:div w:id="242102703">
      <w:bodyDiv w:val="1"/>
      <w:marLeft w:val="0"/>
      <w:marRight w:val="0"/>
      <w:marTop w:val="0"/>
      <w:marBottom w:val="0"/>
      <w:divBdr>
        <w:top w:val="none" w:sz="0" w:space="0" w:color="auto"/>
        <w:left w:val="none" w:sz="0" w:space="0" w:color="auto"/>
        <w:bottom w:val="none" w:sz="0" w:space="0" w:color="auto"/>
        <w:right w:val="none" w:sz="0" w:space="0" w:color="auto"/>
      </w:divBdr>
    </w:div>
    <w:div w:id="242687060">
      <w:bodyDiv w:val="1"/>
      <w:marLeft w:val="0"/>
      <w:marRight w:val="0"/>
      <w:marTop w:val="0"/>
      <w:marBottom w:val="0"/>
      <w:divBdr>
        <w:top w:val="none" w:sz="0" w:space="0" w:color="auto"/>
        <w:left w:val="none" w:sz="0" w:space="0" w:color="auto"/>
        <w:bottom w:val="none" w:sz="0" w:space="0" w:color="auto"/>
        <w:right w:val="none" w:sz="0" w:space="0" w:color="auto"/>
      </w:divBdr>
    </w:div>
    <w:div w:id="242952826">
      <w:bodyDiv w:val="1"/>
      <w:marLeft w:val="0"/>
      <w:marRight w:val="0"/>
      <w:marTop w:val="0"/>
      <w:marBottom w:val="0"/>
      <w:divBdr>
        <w:top w:val="none" w:sz="0" w:space="0" w:color="auto"/>
        <w:left w:val="none" w:sz="0" w:space="0" w:color="auto"/>
        <w:bottom w:val="none" w:sz="0" w:space="0" w:color="auto"/>
        <w:right w:val="none" w:sz="0" w:space="0" w:color="auto"/>
      </w:divBdr>
    </w:div>
    <w:div w:id="243340508">
      <w:bodyDiv w:val="1"/>
      <w:marLeft w:val="0"/>
      <w:marRight w:val="0"/>
      <w:marTop w:val="0"/>
      <w:marBottom w:val="0"/>
      <w:divBdr>
        <w:top w:val="none" w:sz="0" w:space="0" w:color="auto"/>
        <w:left w:val="none" w:sz="0" w:space="0" w:color="auto"/>
        <w:bottom w:val="none" w:sz="0" w:space="0" w:color="auto"/>
        <w:right w:val="none" w:sz="0" w:space="0" w:color="auto"/>
      </w:divBdr>
    </w:div>
    <w:div w:id="243342877">
      <w:bodyDiv w:val="1"/>
      <w:marLeft w:val="0"/>
      <w:marRight w:val="0"/>
      <w:marTop w:val="0"/>
      <w:marBottom w:val="0"/>
      <w:divBdr>
        <w:top w:val="none" w:sz="0" w:space="0" w:color="auto"/>
        <w:left w:val="none" w:sz="0" w:space="0" w:color="auto"/>
        <w:bottom w:val="none" w:sz="0" w:space="0" w:color="auto"/>
        <w:right w:val="none" w:sz="0" w:space="0" w:color="auto"/>
      </w:divBdr>
    </w:div>
    <w:div w:id="243415026">
      <w:bodyDiv w:val="1"/>
      <w:marLeft w:val="0"/>
      <w:marRight w:val="0"/>
      <w:marTop w:val="0"/>
      <w:marBottom w:val="0"/>
      <w:divBdr>
        <w:top w:val="none" w:sz="0" w:space="0" w:color="auto"/>
        <w:left w:val="none" w:sz="0" w:space="0" w:color="auto"/>
        <w:bottom w:val="none" w:sz="0" w:space="0" w:color="auto"/>
        <w:right w:val="none" w:sz="0" w:space="0" w:color="auto"/>
      </w:divBdr>
    </w:div>
    <w:div w:id="243493745">
      <w:bodyDiv w:val="1"/>
      <w:marLeft w:val="0"/>
      <w:marRight w:val="0"/>
      <w:marTop w:val="0"/>
      <w:marBottom w:val="0"/>
      <w:divBdr>
        <w:top w:val="none" w:sz="0" w:space="0" w:color="auto"/>
        <w:left w:val="none" w:sz="0" w:space="0" w:color="auto"/>
        <w:bottom w:val="none" w:sz="0" w:space="0" w:color="auto"/>
        <w:right w:val="none" w:sz="0" w:space="0" w:color="auto"/>
      </w:divBdr>
    </w:div>
    <w:div w:id="243883555">
      <w:bodyDiv w:val="1"/>
      <w:marLeft w:val="0"/>
      <w:marRight w:val="0"/>
      <w:marTop w:val="0"/>
      <w:marBottom w:val="0"/>
      <w:divBdr>
        <w:top w:val="none" w:sz="0" w:space="0" w:color="auto"/>
        <w:left w:val="none" w:sz="0" w:space="0" w:color="auto"/>
        <w:bottom w:val="none" w:sz="0" w:space="0" w:color="auto"/>
        <w:right w:val="none" w:sz="0" w:space="0" w:color="auto"/>
      </w:divBdr>
    </w:div>
    <w:div w:id="244531501">
      <w:bodyDiv w:val="1"/>
      <w:marLeft w:val="0"/>
      <w:marRight w:val="0"/>
      <w:marTop w:val="0"/>
      <w:marBottom w:val="0"/>
      <w:divBdr>
        <w:top w:val="none" w:sz="0" w:space="0" w:color="auto"/>
        <w:left w:val="none" w:sz="0" w:space="0" w:color="auto"/>
        <w:bottom w:val="none" w:sz="0" w:space="0" w:color="auto"/>
        <w:right w:val="none" w:sz="0" w:space="0" w:color="auto"/>
      </w:divBdr>
    </w:div>
    <w:div w:id="244726715">
      <w:bodyDiv w:val="1"/>
      <w:marLeft w:val="0"/>
      <w:marRight w:val="0"/>
      <w:marTop w:val="0"/>
      <w:marBottom w:val="0"/>
      <w:divBdr>
        <w:top w:val="none" w:sz="0" w:space="0" w:color="auto"/>
        <w:left w:val="none" w:sz="0" w:space="0" w:color="auto"/>
        <w:bottom w:val="none" w:sz="0" w:space="0" w:color="auto"/>
        <w:right w:val="none" w:sz="0" w:space="0" w:color="auto"/>
      </w:divBdr>
    </w:div>
    <w:div w:id="244846647">
      <w:bodyDiv w:val="1"/>
      <w:marLeft w:val="0"/>
      <w:marRight w:val="0"/>
      <w:marTop w:val="0"/>
      <w:marBottom w:val="0"/>
      <w:divBdr>
        <w:top w:val="none" w:sz="0" w:space="0" w:color="auto"/>
        <w:left w:val="none" w:sz="0" w:space="0" w:color="auto"/>
        <w:bottom w:val="none" w:sz="0" w:space="0" w:color="auto"/>
        <w:right w:val="none" w:sz="0" w:space="0" w:color="auto"/>
      </w:divBdr>
    </w:div>
    <w:div w:id="244918882">
      <w:bodyDiv w:val="1"/>
      <w:marLeft w:val="0"/>
      <w:marRight w:val="0"/>
      <w:marTop w:val="0"/>
      <w:marBottom w:val="0"/>
      <w:divBdr>
        <w:top w:val="none" w:sz="0" w:space="0" w:color="auto"/>
        <w:left w:val="none" w:sz="0" w:space="0" w:color="auto"/>
        <w:bottom w:val="none" w:sz="0" w:space="0" w:color="auto"/>
        <w:right w:val="none" w:sz="0" w:space="0" w:color="auto"/>
      </w:divBdr>
    </w:div>
    <w:div w:id="244992368">
      <w:bodyDiv w:val="1"/>
      <w:marLeft w:val="0"/>
      <w:marRight w:val="0"/>
      <w:marTop w:val="0"/>
      <w:marBottom w:val="0"/>
      <w:divBdr>
        <w:top w:val="none" w:sz="0" w:space="0" w:color="auto"/>
        <w:left w:val="none" w:sz="0" w:space="0" w:color="auto"/>
        <w:bottom w:val="none" w:sz="0" w:space="0" w:color="auto"/>
        <w:right w:val="none" w:sz="0" w:space="0" w:color="auto"/>
      </w:divBdr>
    </w:div>
    <w:div w:id="245189703">
      <w:bodyDiv w:val="1"/>
      <w:marLeft w:val="0"/>
      <w:marRight w:val="0"/>
      <w:marTop w:val="0"/>
      <w:marBottom w:val="0"/>
      <w:divBdr>
        <w:top w:val="none" w:sz="0" w:space="0" w:color="auto"/>
        <w:left w:val="none" w:sz="0" w:space="0" w:color="auto"/>
        <w:bottom w:val="none" w:sz="0" w:space="0" w:color="auto"/>
        <w:right w:val="none" w:sz="0" w:space="0" w:color="auto"/>
      </w:divBdr>
    </w:div>
    <w:div w:id="245381200">
      <w:bodyDiv w:val="1"/>
      <w:marLeft w:val="0"/>
      <w:marRight w:val="0"/>
      <w:marTop w:val="0"/>
      <w:marBottom w:val="0"/>
      <w:divBdr>
        <w:top w:val="none" w:sz="0" w:space="0" w:color="auto"/>
        <w:left w:val="none" w:sz="0" w:space="0" w:color="auto"/>
        <w:bottom w:val="none" w:sz="0" w:space="0" w:color="auto"/>
        <w:right w:val="none" w:sz="0" w:space="0" w:color="auto"/>
      </w:divBdr>
    </w:div>
    <w:div w:id="245847061">
      <w:bodyDiv w:val="1"/>
      <w:marLeft w:val="0"/>
      <w:marRight w:val="0"/>
      <w:marTop w:val="0"/>
      <w:marBottom w:val="0"/>
      <w:divBdr>
        <w:top w:val="none" w:sz="0" w:space="0" w:color="auto"/>
        <w:left w:val="none" w:sz="0" w:space="0" w:color="auto"/>
        <w:bottom w:val="none" w:sz="0" w:space="0" w:color="auto"/>
        <w:right w:val="none" w:sz="0" w:space="0" w:color="auto"/>
      </w:divBdr>
    </w:div>
    <w:div w:id="245891536">
      <w:bodyDiv w:val="1"/>
      <w:marLeft w:val="0"/>
      <w:marRight w:val="0"/>
      <w:marTop w:val="0"/>
      <w:marBottom w:val="0"/>
      <w:divBdr>
        <w:top w:val="none" w:sz="0" w:space="0" w:color="auto"/>
        <w:left w:val="none" w:sz="0" w:space="0" w:color="auto"/>
        <w:bottom w:val="none" w:sz="0" w:space="0" w:color="auto"/>
        <w:right w:val="none" w:sz="0" w:space="0" w:color="auto"/>
      </w:divBdr>
    </w:div>
    <w:div w:id="246116916">
      <w:bodyDiv w:val="1"/>
      <w:marLeft w:val="0"/>
      <w:marRight w:val="0"/>
      <w:marTop w:val="0"/>
      <w:marBottom w:val="0"/>
      <w:divBdr>
        <w:top w:val="none" w:sz="0" w:space="0" w:color="auto"/>
        <w:left w:val="none" w:sz="0" w:space="0" w:color="auto"/>
        <w:bottom w:val="none" w:sz="0" w:space="0" w:color="auto"/>
        <w:right w:val="none" w:sz="0" w:space="0" w:color="auto"/>
      </w:divBdr>
    </w:div>
    <w:div w:id="246311688">
      <w:bodyDiv w:val="1"/>
      <w:marLeft w:val="0"/>
      <w:marRight w:val="0"/>
      <w:marTop w:val="0"/>
      <w:marBottom w:val="0"/>
      <w:divBdr>
        <w:top w:val="none" w:sz="0" w:space="0" w:color="auto"/>
        <w:left w:val="none" w:sz="0" w:space="0" w:color="auto"/>
        <w:bottom w:val="none" w:sz="0" w:space="0" w:color="auto"/>
        <w:right w:val="none" w:sz="0" w:space="0" w:color="auto"/>
      </w:divBdr>
    </w:div>
    <w:div w:id="246696910">
      <w:bodyDiv w:val="1"/>
      <w:marLeft w:val="0"/>
      <w:marRight w:val="0"/>
      <w:marTop w:val="0"/>
      <w:marBottom w:val="0"/>
      <w:divBdr>
        <w:top w:val="none" w:sz="0" w:space="0" w:color="auto"/>
        <w:left w:val="none" w:sz="0" w:space="0" w:color="auto"/>
        <w:bottom w:val="none" w:sz="0" w:space="0" w:color="auto"/>
        <w:right w:val="none" w:sz="0" w:space="0" w:color="auto"/>
      </w:divBdr>
    </w:div>
    <w:div w:id="247156307">
      <w:bodyDiv w:val="1"/>
      <w:marLeft w:val="0"/>
      <w:marRight w:val="0"/>
      <w:marTop w:val="0"/>
      <w:marBottom w:val="0"/>
      <w:divBdr>
        <w:top w:val="none" w:sz="0" w:space="0" w:color="auto"/>
        <w:left w:val="none" w:sz="0" w:space="0" w:color="auto"/>
        <w:bottom w:val="none" w:sz="0" w:space="0" w:color="auto"/>
        <w:right w:val="none" w:sz="0" w:space="0" w:color="auto"/>
      </w:divBdr>
    </w:div>
    <w:div w:id="247546977">
      <w:bodyDiv w:val="1"/>
      <w:marLeft w:val="0"/>
      <w:marRight w:val="0"/>
      <w:marTop w:val="0"/>
      <w:marBottom w:val="0"/>
      <w:divBdr>
        <w:top w:val="none" w:sz="0" w:space="0" w:color="auto"/>
        <w:left w:val="none" w:sz="0" w:space="0" w:color="auto"/>
        <w:bottom w:val="none" w:sz="0" w:space="0" w:color="auto"/>
        <w:right w:val="none" w:sz="0" w:space="0" w:color="auto"/>
      </w:divBdr>
    </w:div>
    <w:div w:id="247622364">
      <w:bodyDiv w:val="1"/>
      <w:marLeft w:val="0"/>
      <w:marRight w:val="0"/>
      <w:marTop w:val="0"/>
      <w:marBottom w:val="0"/>
      <w:divBdr>
        <w:top w:val="none" w:sz="0" w:space="0" w:color="auto"/>
        <w:left w:val="none" w:sz="0" w:space="0" w:color="auto"/>
        <w:bottom w:val="none" w:sz="0" w:space="0" w:color="auto"/>
        <w:right w:val="none" w:sz="0" w:space="0" w:color="auto"/>
      </w:divBdr>
    </w:div>
    <w:div w:id="248151552">
      <w:bodyDiv w:val="1"/>
      <w:marLeft w:val="0"/>
      <w:marRight w:val="0"/>
      <w:marTop w:val="0"/>
      <w:marBottom w:val="0"/>
      <w:divBdr>
        <w:top w:val="none" w:sz="0" w:space="0" w:color="auto"/>
        <w:left w:val="none" w:sz="0" w:space="0" w:color="auto"/>
        <w:bottom w:val="none" w:sz="0" w:space="0" w:color="auto"/>
        <w:right w:val="none" w:sz="0" w:space="0" w:color="auto"/>
      </w:divBdr>
    </w:div>
    <w:div w:id="248317694">
      <w:bodyDiv w:val="1"/>
      <w:marLeft w:val="0"/>
      <w:marRight w:val="0"/>
      <w:marTop w:val="0"/>
      <w:marBottom w:val="0"/>
      <w:divBdr>
        <w:top w:val="none" w:sz="0" w:space="0" w:color="auto"/>
        <w:left w:val="none" w:sz="0" w:space="0" w:color="auto"/>
        <w:bottom w:val="none" w:sz="0" w:space="0" w:color="auto"/>
        <w:right w:val="none" w:sz="0" w:space="0" w:color="auto"/>
      </w:divBdr>
    </w:div>
    <w:div w:id="249122439">
      <w:bodyDiv w:val="1"/>
      <w:marLeft w:val="0"/>
      <w:marRight w:val="0"/>
      <w:marTop w:val="0"/>
      <w:marBottom w:val="0"/>
      <w:divBdr>
        <w:top w:val="none" w:sz="0" w:space="0" w:color="auto"/>
        <w:left w:val="none" w:sz="0" w:space="0" w:color="auto"/>
        <w:bottom w:val="none" w:sz="0" w:space="0" w:color="auto"/>
        <w:right w:val="none" w:sz="0" w:space="0" w:color="auto"/>
      </w:divBdr>
    </w:div>
    <w:div w:id="249194182">
      <w:bodyDiv w:val="1"/>
      <w:marLeft w:val="0"/>
      <w:marRight w:val="0"/>
      <w:marTop w:val="0"/>
      <w:marBottom w:val="0"/>
      <w:divBdr>
        <w:top w:val="none" w:sz="0" w:space="0" w:color="auto"/>
        <w:left w:val="none" w:sz="0" w:space="0" w:color="auto"/>
        <w:bottom w:val="none" w:sz="0" w:space="0" w:color="auto"/>
        <w:right w:val="none" w:sz="0" w:space="0" w:color="auto"/>
      </w:divBdr>
    </w:div>
    <w:div w:id="249388669">
      <w:bodyDiv w:val="1"/>
      <w:marLeft w:val="0"/>
      <w:marRight w:val="0"/>
      <w:marTop w:val="0"/>
      <w:marBottom w:val="0"/>
      <w:divBdr>
        <w:top w:val="none" w:sz="0" w:space="0" w:color="auto"/>
        <w:left w:val="none" w:sz="0" w:space="0" w:color="auto"/>
        <w:bottom w:val="none" w:sz="0" w:space="0" w:color="auto"/>
        <w:right w:val="none" w:sz="0" w:space="0" w:color="auto"/>
      </w:divBdr>
    </w:div>
    <w:div w:id="249780186">
      <w:bodyDiv w:val="1"/>
      <w:marLeft w:val="0"/>
      <w:marRight w:val="0"/>
      <w:marTop w:val="0"/>
      <w:marBottom w:val="0"/>
      <w:divBdr>
        <w:top w:val="none" w:sz="0" w:space="0" w:color="auto"/>
        <w:left w:val="none" w:sz="0" w:space="0" w:color="auto"/>
        <w:bottom w:val="none" w:sz="0" w:space="0" w:color="auto"/>
        <w:right w:val="none" w:sz="0" w:space="0" w:color="auto"/>
      </w:divBdr>
    </w:div>
    <w:div w:id="250162713">
      <w:bodyDiv w:val="1"/>
      <w:marLeft w:val="0"/>
      <w:marRight w:val="0"/>
      <w:marTop w:val="0"/>
      <w:marBottom w:val="0"/>
      <w:divBdr>
        <w:top w:val="none" w:sz="0" w:space="0" w:color="auto"/>
        <w:left w:val="none" w:sz="0" w:space="0" w:color="auto"/>
        <w:bottom w:val="none" w:sz="0" w:space="0" w:color="auto"/>
        <w:right w:val="none" w:sz="0" w:space="0" w:color="auto"/>
      </w:divBdr>
    </w:div>
    <w:div w:id="250310474">
      <w:bodyDiv w:val="1"/>
      <w:marLeft w:val="0"/>
      <w:marRight w:val="0"/>
      <w:marTop w:val="0"/>
      <w:marBottom w:val="0"/>
      <w:divBdr>
        <w:top w:val="none" w:sz="0" w:space="0" w:color="auto"/>
        <w:left w:val="none" w:sz="0" w:space="0" w:color="auto"/>
        <w:bottom w:val="none" w:sz="0" w:space="0" w:color="auto"/>
        <w:right w:val="none" w:sz="0" w:space="0" w:color="auto"/>
      </w:divBdr>
    </w:div>
    <w:div w:id="251549265">
      <w:bodyDiv w:val="1"/>
      <w:marLeft w:val="0"/>
      <w:marRight w:val="0"/>
      <w:marTop w:val="0"/>
      <w:marBottom w:val="0"/>
      <w:divBdr>
        <w:top w:val="none" w:sz="0" w:space="0" w:color="auto"/>
        <w:left w:val="none" w:sz="0" w:space="0" w:color="auto"/>
        <w:bottom w:val="none" w:sz="0" w:space="0" w:color="auto"/>
        <w:right w:val="none" w:sz="0" w:space="0" w:color="auto"/>
      </w:divBdr>
    </w:div>
    <w:div w:id="251549343">
      <w:bodyDiv w:val="1"/>
      <w:marLeft w:val="0"/>
      <w:marRight w:val="0"/>
      <w:marTop w:val="0"/>
      <w:marBottom w:val="0"/>
      <w:divBdr>
        <w:top w:val="none" w:sz="0" w:space="0" w:color="auto"/>
        <w:left w:val="none" w:sz="0" w:space="0" w:color="auto"/>
        <w:bottom w:val="none" w:sz="0" w:space="0" w:color="auto"/>
        <w:right w:val="none" w:sz="0" w:space="0" w:color="auto"/>
      </w:divBdr>
    </w:div>
    <w:div w:id="251593401">
      <w:bodyDiv w:val="1"/>
      <w:marLeft w:val="0"/>
      <w:marRight w:val="0"/>
      <w:marTop w:val="0"/>
      <w:marBottom w:val="0"/>
      <w:divBdr>
        <w:top w:val="none" w:sz="0" w:space="0" w:color="auto"/>
        <w:left w:val="none" w:sz="0" w:space="0" w:color="auto"/>
        <w:bottom w:val="none" w:sz="0" w:space="0" w:color="auto"/>
        <w:right w:val="none" w:sz="0" w:space="0" w:color="auto"/>
      </w:divBdr>
    </w:div>
    <w:div w:id="252514533">
      <w:bodyDiv w:val="1"/>
      <w:marLeft w:val="0"/>
      <w:marRight w:val="0"/>
      <w:marTop w:val="0"/>
      <w:marBottom w:val="0"/>
      <w:divBdr>
        <w:top w:val="none" w:sz="0" w:space="0" w:color="auto"/>
        <w:left w:val="none" w:sz="0" w:space="0" w:color="auto"/>
        <w:bottom w:val="none" w:sz="0" w:space="0" w:color="auto"/>
        <w:right w:val="none" w:sz="0" w:space="0" w:color="auto"/>
      </w:divBdr>
    </w:div>
    <w:div w:id="252932116">
      <w:bodyDiv w:val="1"/>
      <w:marLeft w:val="0"/>
      <w:marRight w:val="0"/>
      <w:marTop w:val="0"/>
      <w:marBottom w:val="0"/>
      <w:divBdr>
        <w:top w:val="none" w:sz="0" w:space="0" w:color="auto"/>
        <w:left w:val="none" w:sz="0" w:space="0" w:color="auto"/>
        <w:bottom w:val="none" w:sz="0" w:space="0" w:color="auto"/>
        <w:right w:val="none" w:sz="0" w:space="0" w:color="auto"/>
      </w:divBdr>
    </w:div>
    <w:div w:id="253443265">
      <w:bodyDiv w:val="1"/>
      <w:marLeft w:val="0"/>
      <w:marRight w:val="0"/>
      <w:marTop w:val="0"/>
      <w:marBottom w:val="0"/>
      <w:divBdr>
        <w:top w:val="none" w:sz="0" w:space="0" w:color="auto"/>
        <w:left w:val="none" w:sz="0" w:space="0" w:color="auto"/>
        <w:bottom w:val="none" w:sz="0" w:space="0" w:color="auto"/>
        <w:right w:val="none" w:sz="0" w:space="0" w:color="auto"/>
      </w:divBdr>
    </w:div>
    <w:div w:id="253705191">
      <w:bodyDiv w:val="1"/>
      <w:marLeft w:val="0"/>
      <w:marRight w:val="0"/>
      <w:marTop w:val="0"/>
      <w:marBottom w:val="0"/>
      <w:divBdr>
        <w:top w:val="none" w:sz="0" w:space="0" w:color="auto"/>
        <w:left w:val="none" w:sz="0" w:space="0" w:color="auto"/>
        <w:bottom w:val="none" w:sz="0" w:space="0" w:color="auto"/>
        <w:right w:val="none" w:sz="0" w:space="0" w:color="auto"/>
      </w:divBdr>
    </w:div>
    <w:div w:id="254292425">
      <w:bodyDiv w:val="1"/>
      <w:marLeft w:val="0"/>
      <w:marRight w:val="0"/>
      <w:marTop w:val="0"/>
      <w:marBottom w:val="0"/>
      <w:divBdr>
        <w:top w:val="none" w:sz="0" w:space="0" w:color="auto"/>
        <w:left w:val="none" w:sz="0" w:space="0" w:color="auto"/>
        <w:bottom w:val="none" w:sz="0" w:space="0" w:color="auto"/>
        <w:right w:val="none" w:sz="0" w:space="0" w:color="auto"/>
      </w:divBdr>
    </w:div>
    <w:div w:id="254361450">
      <w:bodyDiv w:val="1"/>
      <w:marLeft w:val="0"/>
      <w:marRight w:val="0"/>
      <w:marTop w:val="0"/>
      <w:marBottom w:val="0"/>
      <w:divBdr>
        <w:top w:val="none" w:sz="0" w:space="0" w:color="auto"/>
        <w:left w:val="none" w:sz="0" w:space="0" w:color="auto"/>
        <w:bottom w:val="none" w:sz="0" w:space="0" w:color="auto"/>
        <w:right w:val="none" w:sz="0" w:space="0" w:color="auto"/>
      </w:divBdr>
    </w:div>
    <w:div w:id="254443032">
      <w:bodyDiv w:val="1"/>
      <w:marLeft w:val="0"/>
      <w:marRight w:val="0"/>
      <w:marTop w:val="0"/>
      <w:marBottom w:val="0"/>
      <w:divBdr>
        <w:top w:val="none" w:sz="0" w:space="0" w:color="auto"/>
        <w:left w:val="none" w:sz="0" w:space="0" w:color="auto"/>
        <w:bottom w:val="none" w:sz="0" w:space="0" w:color="auto"/>
        <w:right w:val="none" w:sz="0" w:space="0" w:color="auto"/>
      </w:divBdr>
    </w:div>
    <w:div w:id="254562153">
      <w:bodyDiv w:val="1"/>
      <w:marLeft w:val="0"/>
      <w:marRight w:val="0"/>
      <w:marTop w:val="0"/>
      <w:marBottom w:val="0"/>
      <w:divBdr>
        <w:top w:val="none" w:sz="0" w:space="0" w:color="auto"/>
        <w:left w:val="none" w:sz="0" w:space="0" w:color="auto"/>
        <w:bottom w:val="none" w:sz="0" w:space="0" w:color="auto"/>
        <w:right w:val="none" w:sz="0" w:space="0" w:color="auto"/>
      </w:divBdr>
    </w:div>
    <w:div w:id="254675885">
      <w:bodyDiv w:val="1"/>
      <w:marLeft w:val="0"/>
      <w:marRight w:val="0"/>
      <w:marTop w:val="0"/>
      <w:marBottom w:val="0"/>
      <w:divBdr>
        <w:top w:val="none" w:sz="0" w:space="0" w:color="auto"/>
        <w:left w:val="none" w:sz="0" w:space="0" w:color="auto"/>
        <w:bottom w:val="none" w:sz="0" w:space="0" w:color="auto"/>
        <w:right w:val="none" w:sz="0" w:space="0" w:color="auto"/>
      </w:divBdr>
    </w:div>
    <w:div w:id="255872284">
      <w:bodyDiv w:val="1"/>
      <w:marLeft w:val="0"/>
      <w:marRight w:val="0"/>
      <w:marTop w:val="0"/>
      <w:marBottom w:val="0"/>
      <w:divBdr>
        <w:top w:val="none" w:sz="0" w:space="0" w:color="auto"/>
        <w:left w:val="none" w:sz="0" w:space="0" w:color="auto"/>
        <w:bottom w:val="none" w:sz="0" w:space="0" w:color="auto"/>
        <w:right w:val="none" w:sz="0" w:space="0" w:color="auto"/>
      </w:divBdr>
    </w:div>
    <w:div w:id="256141361">
      <w:bodyDiv w:val="1"/>
      <w:marLeft w:val="0"/>
      <w:marRight w:val="0"/>
      <w:marTop w:val="0"/>
      <w:marBottom w:val="0"/>
      <w:divBdr>
        <w:top w:val="none" w:sz="0" w:space="0" w:color="auto"/>
        <w:left w:val="none" w:sz="0" w:space="0" w:color="auto"/>
        <w:bottom w:val="none" w:sz="0" w:space="0" w:color="auto"/>
        <w:right w:val="none" w:sz="0" w:space="0" w:color="auto"/>
      </w:divBdr>
    </w:div>
    <w:div w:id="256332369">
      <w:bodyDiv w:val="1"/>
      <w:marLeft w:val="0"/>
      <w:marRight w:val="0"/>
      <w:marTop w:val="0"/>
      <w:marBottom w:val="0"/>
      <w:divBdr>
        <w:top w:val="none" w:sz="0" w:space="0" w:color="auto"/>
        <w:left w:val="none" w:sz="0" w:space="0" w:color="auto"/>
        <w:bottom w:val="none" w:sz="0" w:space="0" w:color="auto"/>
        <w:right w:val="none" w:sz="0" w:space="0" w:color="auto"/>
      </w:divBdr>
    </w:div>
    <w:div w:id="256521381">
      <w:bodyDiv w:val="1"/>
      <w:marLeft w:val="0"/>
      <w:marRight w:val="0"/>
      <w:marTop w:val="0"/>
      <w:marBottom w:val="0"/>
      <w:divBdr>
        <w:top w:val="none" w:sz="0" w:space="0" w:color="auto"/>
        <w:left w:val="none" w:sz="0" w:space="0" w:color="auto"/>
        <w:bottom w:val="none" w:sz="0" w:space="0" w:color="auto"/>
        <w:right w:val="none" w:sz="0" w:space="0" w:color="auto"/>
      </w:divBdr>
    </w:div>
    <w:div w:id="256603262">
      <w:bodyDiv w:val="1"/>
      <w:marLeft w:val="0"/>
      <w:marRight w:val="0"/>
      <w:marTop w:val="0"/>
      <w:marBottom w:val="0"/>
      <w:divBdr>
        <w:top w:val="none" w:sz="0" w:space="0" w:color="auto"/>
        <w:left w:val="none" w:sz="0" w:space="0" w:color="auto"/>
        <w:bottom w:val="none" w:sz="0" w:space="0" w:color="auto"/>
        <w:right w:val="none" w:sz="0" w:space="0" w:color="auto"/>
      </w:divBdr>
    </w:div>
    <w:div w:id="257106974">
      <w:bodyDiv w:val="1"/>
      <w:marLeft w:val="0"/>
      <w:marRight w:val="0"/>
      <w:marTop w:val="0"/>
      <w:marBottom w:val="0"/>
      <w:divBdr>
        <w:top w:val="none" w:sz="0" w:space="0" w:color="auto"/>
        <w:left w:val="none" w:sz="0" w:space="0" w:color="auto"/>
        <w:bottom w:val="none" w:sz="0" w:space="0" w:color="auto"/>
        <w:right w:val="none" w:sz="0" w:space="0" w:color="auto"/>
      </w:divBdr>
    </w:div>
    <w:div w:id="257250376">
      <w:bodyDiv w:val="1"/>
      <w:marLeft w:val="0"/>
      <w:marRight w:val="0"/>
      <w:marTop w:val="0"/>
      <w:marBottom w:val="0"/>
      <w:divBdr>
        <w:top w:val="none" w:sz="0" w:space="0" w:color="auto"/>
        <w:left w:val="none" w:sz="0" w:space="0" w:color="auto"/>
        <w:bottom w:val="none" w:sz="0" w:space="0" w:color="auto"/>
        <w:right w:val="none" w:sz="0" w:space="0" w:color="auto"/>
      </w:divBdr>
    </w:div>
    <w:div w:id="257566270">
      <w:bodyDiv w:val="1"/>
      <w:marLeft w:val="0"/>
      <w:marRight w:val="0"/>
      <w:marTop w:val="0"/>
      <w:marBottom w:val="0"/>
      <w:divBdr>
        <w:top w:val="none" w:sz="0" w:space="0" w:color="auto"/>
        <w:left w:val="none" w:sz="0" w:space="0" w:color="auto"/>
        <w:bottom w:val="none" w:sz="0" w:space="0" w:color="auto"/>
        <w:right w:val="none" w:sz="0" w:space="0" w:color="auto"/>
      </w:divBdr>
    </w:div>
    <w:div w:id="257643643">
      <w:bodyDiv w:val="1"/>
      <w:marLeft w:val="0"/>
      <w:marRight w:val="0"/>
      <w:marTop w:val="0"/>
      <w:marBottom w:val="0"/>
      <w:divBdr>
        <w:top w:val="none" w:sz="0" w:space="0" w:color="auto"/>
        <w:left w:val="none" w:sz="0" w:space="0" w:color="auto"/>
        <w:bottom w:val="none" w:sz="0" w:space="0" w:color="auto"/>
        <w:right w:val="none" w:sz="0" w:space="0" w:color="auto"/>
      </w:divBdr>
    </w:div>
    <w:div w:id="257757249">
      <w:bodyDiv w:val="1"/>
      <w:marLeft w:val="0"/>
      <w:marRight w:val="0"/>
      <w:marTop w:val="0"/>
      <w:marBottom w:val="0"/>
      <w:divBdr>
        <w:top w:val="none" w:sz="0" w:space="0" w:color="auto"/>
        <w:left w:val="none" w:sz="0" w:space="0" w:color="auto"/>
        <w:bottom w:val="none" w:sz="0" w:space="0" w:color="auto"/>
        <w:right w:val="none" w:sz="0" w:space="0" w:color="auto"/>
      </w:divBdr>
    </w:div>
    <w:div w:id="257835407">
      <w:bodyDiv w:val="1"/>
      <w:marLeft w:val="0"/>
      <w:marRight w:val="0"/>
      <w:marTop w:val="0"/>
      <w:marBottom w:val="0"/>
      <w:divBdr>
        <w:top w:val="none" w:sz="0" w:space="0" w:color="auto"/>
        <w:left w:val="none" w:sz="0" w:space="0" w:color="auto"/>
        <w:bottom w:val="none" w:sz="0" w:space="0" w:color="auto"/>
        <w:right w:val="none" w:sz="0" w:space="0" w:color="auto"/>
      </w:divBdr>
    </w:div>
    <w:div w:id="258026370">
      <w:bodyDiv w:val="1"/>
      <w:marLeft w:val="0"/>
      <w:marRight w:val="0"/>
      <w:marTop w:val="0"/>
      <w:marBottom w:val="0"/>
      <w:divBdr>
        <w:top w:val="none" w:sz="0" w:space="0" w:color="auto"/>
        <w:left w:val="none" w:sz="0" w:space="0" w:color="auto"/>
        <w:bottom w:val="none" w:sz="0" w:space="0" w:color="auto"/>
        <w:right w:val="none" w:sz="0" w:space="0" w:color="auto"/>
      </w:divBdr>
    </w:div>
    <w:div w:id="259030636">
      <w:bodyDiv w:val="1"/>
      <w:marLeft w:val="0"/>
      <w:marRight w:val="0"/>
      <w:marTop w:val="0"/>
      <w:marBottom w:val="0"/>
      <w:divBdr>
        <w:top w:val="none" w:sz="0" w:space="0" w:color="auto"/>
        <w:left w:val="none" w:sz="0" w:space="0" w:color="auto"/>
        <w:bottom w:val="none" w:sz="0" w:space="0" w:color="auto"/>
        <w:right w:val="none" w:sz="0" w:space="0" w:color="auto"/>
      </w:divBdr>
    </w:div>
    <w:div w:id="259338414">
      <w:bodyDiv w:val="1"/>
      <w:marLeft w:val="0"/>
      <w:marRight w:val="0"/>
      <w:marTop w:val="0"/>
      <w:marBottom w:val="0"/>
      <w:divBdr>
        <w:top w:val="none" w:sz="0" w:space="0" w:color="auto"/>
        <w:left w:val="none" w:sz="0" w:space="0" w:color="auto"/>
        <w:bottom w:val="none" w:sz="0" w:space="0" w:color="auto"/>
        <w:right w:val="none" w:sz="0" w:space="0" w:color="auto"/>
      </w:divBdr>
    </w:div>
    <w:div w:id="259411322">
      <w:bodyDiv w:val="1"/>
      <w:marLeft w:val="0"/>
      <w:marRight w:val="0"/>
      <w:marTop w:val="0"/>
      <w:marBottom w:val="0"/>
      <w:divBdr>
        <w:top w:val="none" w:sz="0" w:space="0" w:color="auto"/>
        <w:left w:val="none" w:sz="0" w:space="0" w:color="auto"/>
        <w:bottom w:val="none" w:sz="0" w:space="0" w:color="auto"/>
        <w:right w:val="none" w:sz="0" w:space="0" w:color="auto"/>
      </w:divBdr>
    </w:div>
    <w:div w:id="259683814">
      <w:bodyDiv w:val="1"/>
      <w:marLeft w:val="0"/>
      <w:marRight w:val="0"/>
      <w:marTop w:val="0"/>
      <w:marBottom w:val="0"/>
      <w:divBdr>
        <w:top w:val="none" w:sz="0" w:space="0" w:color="auto"/>
        <w:left w:val="none" w:sz="0" w:space="0" w:color="auto"/>
        <w:bottom w:val="none" w:sz="0" w:space="0" w:color="auto"/>
        <w:right w:val="none" w:sz="0" w:space="0" w:color="auto"/>
      </w:divBdr>
    </w:div>
    <w:div w:id="259797015">
      <w:bodyDiv w:val="1"/>
      <w:marLeft w:val="0"/>
      <w:marRight w:val="0"/>
      <w:marTop w:val="0"/>
      <w:marBottom w:val="0"/>
      <w:divBdr>
        <w:top w:val="none" w:sz="0" w:space="0" w:color="auto"/>
        <w:left w:val="none" w:sz="0" w:space="0" w:color="auto"/>
        <w:bottom w:val="none" w:sz="0" w:space="0" w:color="auto"/>
        <w:right w:val="none" w:sz="0" w:space="0" w:color="auto"/>
      </w:divBdr>
    </w:div>
    <w:div w:id="260182952">
      <w:bodyDiv w:val="1"/>
      <w:marLeft w:val="0"/>
      <w:marRight w:val="0"/>
      <w:marTop w:val="0"/>
      <w:marBottom w:val="0"/>
      <w:divBdr>
        <w:top w:val="none" w:sz="0" w:space="0" w:color="auto"/>
        <w:left w:val="none" w:sz="0" w:space="0" w:color="auto"/>
        <w:bottom w:val="none" w:sz="0" w:space="0" w:color="auto"/>
        <w:right w:val="none" w:sz="0" w:space="0" w:color="auto"/>
      </w:divBdr>
    </w:div>
    <w:div w:id="260603850">
      <w:bodyDiv w:val="1"/>
      <w:marLeft w:val="0"/>
      <w:marRight w:val="0"/>
      <w:marTop w:val="0"/>
      <w:marBottom w:val="0"/>
      <w:divBdr>
        <w:top w:val="none" w:sz="0" w:space="0" w:color="auto"/>
        <w:left w:val="none" w:sz="0" w:space="0" w:color="auto"/>
        <w:bottom w:val="none" w:sz="0" w:space="0" w:color="auto"/>
        <w:right w:val="none" w:sz="0" w:space="0" w:color="auto"/>
      </w:divBdr>
    </w:div>
    <w:div w:id="260843097">
      <w:bodyDiv w:val="1"/>
      <w:marLeft w:val="0"/>
      <w:marRight w:val="0"/>
      <w:marTop w:val="0"/>
      <w:marBottom w:val="0"/>
      <w:divBdr>
        <w:top w:val="none" w:sz="0" w:space="0" w:color="auto"/>
        <w:left w:val="none" w:sz="0" w:space="0" w:color="auto"/>
        <w:bottom w:val="none" w:sz="0" w:space="0" w:color="auto"/>
        <w:right w:val="none" w:sz="0" w:space="0" w:color="auto"/>
      </w:divBdr>
    </w:div>
    <w:div w:id="260916217">
      <w:bodyDiv w:val="1"/>
      <w:marLeft w:val="0"/>
      <w:marRight w:val="0"/>
      <w:marTop w:val="0"/>
      <w:marBottom w:val="0"/>
      <w:divBdr>
        <w:top w:val="none" w:sz="0" w:space="0" w:color="auto"/>
        <w:left w:val="none" w:sz="0" w:space="0" w:color="auto"/>
        <w:bottom w:val="none" w:sz="0" w:space="0" w:color="auto"/>
        <w:right w:val="none" w:sz="0" w:space="0" w:color="auto"/>
      </w:divBdr>
    </w:div>
    <w:div w:id="260990692">
      <w:bodyDiv w:val="1"/>
      <w:marLeft w:val="0"/>
      <w:marRight w:val="0"/>
      <w:marTop w:val="0"/>
      <w:marBottom w:val="0"/>
      <w:divBdr>
        <w:top w:val="none" w:sz="0" w:space="0" w:color="auto"/>
        <w:left w:val="none" w:sz="0" w:space="0" w:color="auto"/>
        <w:bottom w:val="none" w:sz="0" w:space="0" w:color="auto"/>
        <w:right w:val="none" w:sz="0" w:space="0" w:color="auto"/>
      </w:divBdr>
    </w:div>
    <w:div w:id="261646464">
      <w:bodyDiv w:val="1"/>
      <w:marLeft w:val="0"/>
      <w:marRight w:val="0"/>
      <w:marTop w:val="0"/>
      <w:marBottom w:val="0"/>
      <w:divBdr>
        <w:top w:val="none" w:sz="0" w:space="0" w:color="auto"/>
        <w:left w:val="none" w:sz="0" w:space="0" w:color="auto"/>
        <w:bottom w:val="none" w:sz="0" w:space="0" w:color="auto"/>
        <w:right w:val="none" w:sz="0" w:space="0" w:color="auto"/>
      </w:divBdr>
    </w:div>
    <w:div w:id="262108244">
      <w:bodyDiv w:val="1"/>
      <w:marLeft w:val="0"/>
      <w:marRight w:val="0"/>
      <w:marTop w:val="0"/>
      <w:marBottom w:val="0"/>
      <w:divBdr>
        <w:top w:val="none" w:sz="0" w:space="0" w:color="auto"/>
        <w:left w:val="none" w:sz="0" w:space="0" w:color="auto"/>
        <w:bottom w:val="none" w:sz="0" w:space="0" w:color="auto"/>
        <w:right w:val="none" w:sz="0" w:space="0" w:color="auto"/>
      </w:divBdr>
    </w:div>
    <w:div w:id="262156266">
      <w:bodyDiv w:val="1"/>
      <w:marLeft w:val="0"/>
      <w:marRight w:val="0"/>
      <w:marTop w:val="0"/>
      <w:marBottom w:val="0"/>
      <w:divBdr>
        <w:top w:val="none" w:sz="0" w:space="0" w:color="auto"/>
        <w:left w:val="none" w:sz="0" w:space="0" w:color="auto"/>
        <w:bottom w:val="none" w:sz="0" w:space="0" w:color="auto"/>
        <w:right w:val="none" w:sz="0" w:space="0" w:color="auto"/>
      </w:divBdr>
    </w:div>
    <w:div w:id="262498252">
      <w:bodyDiv w:val="1"/>
      <w:marLeft w:val="0"/>
      <w:marRight w:val="0"/>
      <w:marTop w:val="0"/>
      <w:marBottom w:val="0"/>
      <w:divBdr>
        <w:top w:val="none" w:sz="0" w:space="0" w:color="auto"/>
        <w:left w:val="none" w:sz="0" w:space="0" w:color="auto"/>
        <w:bottom w:val="none" w:sz="0" w:space="0" w:color="auto"/>
        <w:right w:val="none" w:sz="0" w:space="0" w:color="auto"/>
      </w:divBdr>
    </w:div>
    <w:div w:id="262539380">
      <w:bodyDiv w:val="1"/>
      <w:marLeft w:val="0"/>
      <w:marRight w:val="0"/>
      <w:marTop w:val="0"/>
      <w:marBottom w:val="0"/>
      <w:divBdr>
        <w:top w:val="none" w:sz="0" w:space="0" w:color="auto"/>
        <w:left w:val="none" w:sz="0" w:space="0" w:color="auto"/>
        <w:bottom w:val="none" w:sz="0" w:space="0" w:color="auto"/>
        <w:right w:val="none" w:sz="0" w:space="0" w:color="auto"/>
      </w:divBdr>
    </w:div>
    <w:div w:id="262610708">
      <w:bodyDiv w:val="1"/>
      <w:marLeft w:val="0"/>
      <w:marRight w:val="0"/>
      <w:marTop w:val="0"/>
      <w:marBottom w:val="0"/>
      <w:divBdr>
        <w:top w:val="none" w:sz="0" w:space="0" w:color="auto"/>
        <w:left w:val="none" w:sz="0" w:space="0" w:color="auto"/>
        <w:bottom w:val="none" w:sz="0" w:space="0" w:color="auto"/>
        <w:right w:val="none" w:sz="0" w:space="0" w:color="auto"/>
      </w:divBdr>
    </w:div>
    <w:div w:id="262956009">
      <w:bodyDiv w:val="1"/>
      <w:marLeft w:val="0"/>
      <w:marRight w:val="0"/>
      <w:marTop w:val="0"/>
      <w:marBottom w:val="0"/>
      <w:divBdr>
        <w:top w:val="none" w:sz="0" w:space="0" w:color="auto"/>
        <w:left w:val="none" w:sz="0" w:space="0" w:color="auto"/>
        <w:bottom w:val="none" w:sz="0" w:space="0" w:color="auto"/>
        <w:right w:val="none" w:sz="0" w:space="0" w:color="auto"/>
      </w:divBdr>
    </w:div>
    <w:div w:id="263342445">
      <w:bodyDiv w:val="1"/>
      <w:marLeft w:val="0"/>
      <w:marRight w:val="0"/>
      <w:marTop w:val="0"/>
      <w:marBottom w:val="0"/>
      <w:divBdr>
        <w:top w:val="none" w:sz="0" w:space="0" w:color="auto"/>
        <w:left w:val="none" w:sz="0" w:space="0" w:color="auto"/>
        <w:bottom w:val="none" w:sz="0" w:space="0" w:color="auto"/>
        <w:right w:val="none" w:sz="0" w:space="0" w:color="auto"/>
      </w:divBdr>
    </w:div>
    <w:div w:id="263542942">
      <w:bodyDiv w:val="1"/>
      <w:marLeft w:val="0"/>
      <w:marRight w:val="0"/>
      <w:marTop w:val="0"/>
      <w:marBottom w:val="0"/>
      <w:divBdr>
        <w:top w:val="none" w:sz="0" w:space="0" w:color="auto"/>
        <w:left w:val="none" w:sz="0" w:space="0" w:color="auto"/>
        <w:bottom w:val="none" w:sz="0" w:space="0" w:color="auto"/>
        <w:right w:val="none" w:sz="0" w:space="0" w:color="auto"/>
      </w:divBdr>
    </w:div>
    <w:div w:id="264122417">
      <w:bodyDiv w:val="1"/>
      <w:marLeft w:val="0"/>
      <w:marRight w:val="0"/>
      <w:marTop w:val="0"/>
      <w:marBottom w:val="0"/>
      <w:divBdr>
        <w:top w:val="none" w:sz="0" w:space="0" w:color="auto"/>
        <w:left w:val="none" w:sz="0" w:space="0" w:color="auto"/>
        <w:bottom w:val="none" w:sz="0" w:space="0" w:color="auto"/>
        <w:right w:val="none" w:sz="0" w:space="0" w:color="auto"/>
      </w:divBdr>
    </w:div>
    <w:div w:id="264577123">
      <w:bodyDiv w:val="1"/>
      <w:marLeft w:val="0"/>
      <w:marRight w:val="0"/>
      <w:marTop w:val="0"/>
      <w:marBottom w:val="0"/>
      <w:divBdr>
        <w:top w:val="none" w:sz="0" w:space="0" w:color="auto"/>
        <w:left w:val="none" w:sz="0" w:space="0" w:color="auto"/>
        <w:bottom w:val="none" w:sz="0" w:space="0" w:color="auto"/>
        <w:right w:val="none" w:sz="0" w:space="0" w:color="auto"/>
      </w:divBdr>
    </w:div>
    <w:div w:id="264581755">
      <w:bodyDiv w:val="1"/>
      <w:marLeft w:val="0"/>
      <w:marRight w:val="0"/>
      <w:marTop w:val="0"/>
      <w:marBottom w:val="0"/>
      <w:divBdr>
        <w:top w:val="none" w:sz="0" w:space="0" w:color="auto"/>
        <w:left w:val="none" w:sz="0" w:space="0" w:color="auto"/>
        <w:bottom w:val="none" w:sz="0" w:space="0" w:color="auto"/>
        <w:right w:val="none" w:sz="0" w:space="0" w:color="auto"/>
      </w:divBdr>
    </w:div>
    <w:div w:id="264652643">
      <w:bodyDiv w:val="1"/>
      <w:marLeft w:val="0"/>
      <w:marRight w:val="0"/>
      <w:marTop w:val="0"/>
      <w:marBottom w:val="0"/>
      <w:divBdr>
        <w:top w:val="none" w:sz="0" w:space="0" w:color="auto"/>
        <w:left w:val="none" w:sz="0" w:space="0" w:color="auto"/>
        <w:bottom w:val="none" w:sz="0" w:space="0" w:color="auto"/>
        <w:right w:val="none" w:sz="0" w:space="0" w:color="auto"/>
      </w:divBdr>
    </w:div>
    <w:div w:id="264654860">
      <w:bodyDiv w:val="1"/>
      <w:marLeft w:val="0"/>
      <w:marRight w:val="0"/>
      <w:marTop w:val="0"/>
      <w:marBottom w:val="0"/>
      <w:divBdr>
        <w:top w:val="none" w:sz="0" w:space="0" w:color="auto"/>
        <w:left w:val="none" w:sz="0" w:space="0" w:color="auto"/>
        <w:bottom w:val="none" w:sz="0" w:space="0" w:color="auto"/>
        <w:right w:val="none" w:sz="0" w:space="0" w:color="auto"/>
      </w:divBdr>
    </w:div>
    <w:div w:id="264851668">
      <w:bodyDiv w:val="1"/>
      <w:marLeft w:val="0"/>
      <w:marRight w:val="0"/>
      <w:marTop w:val="0"/>
      <w:marBottom w:val="0"/>
      <w:divBdr>
        <w:top w:val="none" w:sz="0" w:space="0" w:color="auto"/>
        <w:left w:val="none" w:sz="0" w:space="0" w:color="auto"/>
        <w:bottom w:val="none" w:sz="0" w:space="0" w:color="auto"/>
        <w:right w:val="none" w:sz="0" w:space="0" w:color="auto"/>
      </w:divBdr>
    </w:div>
    <w:div w:id="265162370">
      <w:bodyDiv w:val="1"/>
      <w:marLeft w:val="0"/>
      <w:marRight w:val="0"/>
      <w:marTop w:val="0"/>
      <w:marBottom w:val="0"/>
      <w:divBdr>
        <w:top w:val="none" w:sz="0" w:space="0" w:color="auto"/>
        <w:left w:val="none" w:sz="0" w:space="0" w:color="auto"/>
        <w:bottom w:val="none" w:sz="0" w:space="0" w:color="auto"/>
        <w:right w:val="none" w:sz="0" w:space="0" w:color="auto"/>
      </w:divBdr>
    </w:div>
    <w:div w:id="265576146">
      <w:bodyDiv w:val="1"/>
      <w:marLeft w:val="0"/>
      <w:marRight w:val="0"/>
      <w:marTop w:val="0"/>
      <w:marBottom w:val="0"/>
      <w:divBdr>
        <w:top w:val="none" w:sz="0" w:space="0" w:color="auto"/>
        <w:left w:val="none" w:sz="0" w:space="0" w:color="auto"/>
        <w:bottom w:val="none" w:sz="0" w:space="0" w:color="auto"/>
        <w:right w:val="none" w:sz="0" w:space="0" w:color="auto"/>
      </w:divBdr>
    </w:div>
    <w:div w:id="265815714">
      <w:bodyDiv w:val="1"/>
      <w:marLeft w:val="0"/>
      <w:marRight w:val="0"/>
      <w:marTop w:val="0"/>
      <w:marBottom w:val="0"/>
      <w:divBdr>
        <w:top w:val="none" w:sz="0" w:space="0" w:color="auto"/>
        <w:left w:val="none" w:sz="0" w:space="0" w:color="auto"/>
        <w:bottom w:val="none" w:sz="0" w:space="0" w:color="auto"/>
        <w:right w:val="none" w:sz="0" w:space="0" w:color="auto"/>
      </w:divBdr>
    </w:div>
    <w:div w:id="266238007">
      <w:bodyDiv w:val="1"/>
      <w:marLeft w:val="0"/>
      <w:marRight w:val="0"/>
      <w:marTop w:val="0"/>
      <w:marBottom w:val="0"/>
      <w:divBdr>
        <w:top w:val="none" w:sz="0" w:space="0" w:color="auto"/>
        <w:left w:val="none" w:sz="0" w:space="0" w:color="auto"/>
        <w:bottom w:val="none" w:sz="0" w:space="0" w:color="auto"/>
        <w:right w:val="none" w:sz="0" w:space="0" w:color="auto"/>
      </w:divBdr>
    </w:div>
    <w:div w:id="266351652">
      <w:bodyDiv w:val="1"/>
      <w:marLeft w:val="0"/>
      <w:marRight w:val="0"/>
      <w:marTop w:val="0"/>
      <w:marBottom w:val="0"/>
      <w:divBdr>
        <w:top w:val="none" w:sz="0" w:space="0" w:color="auto"/>
        <w:left w:val="none" w:sz="0" w:space="0" w:color="auto"/>
        <w:bottom w:val="none" w:sz="0" w:space="0" w:color="auto"/>
        <w:right w:val="none" w:sz="0" w:space="0" w:color="auto"/>
      </w:divBdr>
    </w:div>
    <w:div w:id="266885899">
      <w:bodyDiv w:val="1"/>
      <w:marLeft w:val="0"/>
      <w:marRight w:val="0"/>
      <w:marTop w:val="0"/>
      <w:marBottom w:val="0"/>
      <w:divBdr>
        <w:top w:val="none" w:sz="0" w:space="0" w:color="auto"/>
        <w:left w:val="none" w:sz="0" w:space="0" w:color="auto"/>
        <w:bottom w:val="none" w:sz="0" w:space="0" w:color="auto"/>
        <w:right w:val="none" w:sz="0" w:space="0" w:color="auto"/>
      </w:divBdr>
    </w:div>
    <w:div w:id="267087342">
      <w:bodyDiv w:val="1"/>
      <w:marLeft w:val="0"/>
      <w:marRight w:val="0"/>
      <w:marTop w:val="0"/>
      <w:marBottom w:val="0"/>
      <w:divBdr>
        <w:top w:val="none" w:sz="0" w:space="0" w:color="auto"/>
        <w:left w:val="none" w:sz="0" w:space="0" w:color="auto"/>
        <w:bottom w:val="none" w:sz="0" w:space="0" w:color="auto"/>
        <w:right w:val="none" w:sz="0" w:space="0" w:color="auto"/>
      </w:divBdr>
    </w:div>
    <w:div w:id="267591595">
      <w:bodyDiv w:val="1"/>
      <w:marLeft w:val="0"/>
      <w:marRight w:val="0"/>
      <w:marTop w:val="0"/>
      <w:marBottom w:val="0"/>
      <w:divBdr>
        <w:top w:val="none" w:sz="0" w:space="0" w:color="auto"/>
        <w:left w:val="none" w:sz="0" w:space="0" w:color="auto"/>
        <w:bottom w:val="none" w:sz="0" w:space="0" w:color="auto"/>
        <w:right w:val="none" w:sz="0" w:space="0" w:color="auto"/>
      </w:divBdr>
    </w:div>
    <w:div w:id="267615690">
      <w:bodyDiv w:val="1"/>
      <w:marLeft w:val="0"/>
      <w:marRight w:val="0"/>
      <w:marTop w:val="0"/>
      <w:marBottom w:val="0"/>
      <w:divBdr>
        <w:top w:val="none" w:sz="0" w:space="0" w:color="auto"/>
        <w:left w:val="none" w:sz="0" w:space="0" w:color="auto"/>
        <w:bottom w:val="none" w:sz="0" w:space="0" w:color="auto"/>
        <w:right w:val="none" w:sz="0" w:space="0" w:color="auto"/>
      </w:divBdr>
    </w:div>
    <w:div w:id="267935355">
      <w:bodyDiv w:val="1"/>
      <w:marLeft w:val="0"/>
      <w:marRight w:val="0"/>
      <w:marTop w:val="0"/>
      <w:marBottom w:val="0"/>
      <w:divBdr>
        <w:top w:val="none" w:sz="0" w:space="0" w:color="auto"/>
        <w:left w:val="none" w:sz="0" w:space="0" w:color="auto"/>
        <w:bottom w:val="none" w:sz="0" w:space="0" w:color="auto"/>
        <w:right w:val="none" w:sz="0" w:space="0" w:color="auto"/>
      </w:divBdr>
    </w:div>
    <w:div w:id="268196734">
      <w:bodyDiv w:val="1"/>
      <w:marLeft w:val="0"/>
      <w:marRight w:val="0"/>
      <w:marTop w:val="0"/>
      <w:marBottom w:val="0"/>
      <w:divBdr>
        <w:top w:val="none" w:sz="0" w:space="0" w:color="auto"/>
        <w:left w:val="none" w:sz="0" w:space="0" w:color="auto"/>
        <w:bottom w:val="none" w:sz="0" w:space="0" w:color="auto"/>
        <w:right w:val="none" w:sz="0" w:space="0" w:color="auto"/>
      </w:divBdr>
    </w:div>
    <w:div w:id="268201673">
      <w:bodyDiv w:val="1"/>
      <w:marLeft w:val="0"/>
      <w:marRight w:val="0"/>
      <w:marTop w:val="0"/>
      <w:marBottom w:val="0"/>
      <w:divBdr>
        <w:top w:val="none" w:sz="0" w:space="0" w:color="auto"/>
        <w:left w:val="none" w:sz="0" w:space="0" w:color="auto"/>
        <w:bottom w:val="none" w:sz="0" w:space="0" w:color="auto"/>
        <w:right w:val="none" w:sz="0" w:space="0" w:color="auto"/>
      </w:divBdr>
    </w:div>
    <w:div w:id="268202655">
      <w:bodyDiv w:val="1"/>
      <w:marLeft w:val="0"/>
      <w:marRight w:val="0"/>
      <w:marTop w:val="0"/>
      <w:marBottom w:val="0"/>
      <w:divBdr>
        <w:top w:val="none" w:sz="0" w:space="0" w:color="auto"/>
        <w:left w:val="none" w:sz="0" w:space="0" w:color="auto"/>
        <w:bottom w:val="none" w:sz="0" w:space="0" w:color="auto"/>
        <w:right w:val="none" w:sz="0" w:space="0" w:color="auto"/>
      </w:divBdr>
    </w:div>
    <w:div w:id="268319711">
      <w:bodyDiv w:val="1"/>
      <w:marLeft w:val="0"/>
      <w:marRight w:val="0"/>
      <w:marTop w:val="0"/>
      <w:marBottom w:val="0"/>
      <w:divBdr>
        <w:top w:val="none" w:sz="0" w:space="0" w:color="auto"/>
        <w:left w:val="none" w:sz="0" w:space="0" w:color="auto"/>
        <w:bottom w:val="none" w:sz="0" w:space="0" w:color="auto"/>
        <w:right w:val="none" w:sz="0" w:space="0" w:color="auto"/>
      </w:divBdr>
    </w:div>
    <w:div w:id="268439576">
      <w:bodyDiv w:val="1"/>
      <w:marLeft w:val="0"/>
      <w:marRight w:val="0"/>
      <w:marTop w:val="0"/>
      <w:marBottom w:val="0"/>
      <w:divBdr>
        <w:top w:val="none" w:sz="0" w:space="0" w:color="auto"/>
        <w:left w:val="none" w:sz="0" w:space="0" w:color="auto"/>
        <w:bottom w:val="none" w:sz="0" w:space="0" w:color="auto"/>
        <w:right w:val="none" w:sz="0" w:space="0" w:color="auto"/>
      </w:divBdr>
    </w:div>
    <w:div w:id="268465230">
      <w:bodyDiv w:val="1"/>
      <w:marLeft w:val="0"/>
      <w:marRight w:val="0"/>
      <w:marTop w:val="0"/>
      <w:marBottom w:val="0"/>
      <w:divBdr>
        <w:top w:val="none" w:sz="0" w:space="0" w:color="auto"/>
        <w:left w:val="none" w:sz="0" w:space="0" w:color="auto"/>
        <w:bottom w:val="none" w:sz="0" w:space="0" w:color="auto"/>
        <w:right w:val="none" w:sz="0" w:space="0" w:color="auto"/>
      </w:divBdr>
    </w:div>
    <w:div w:id="268583372">
      <w:bodyDiv w:val="1"/>
      <w:marLeft w:val="0"/>
      <w:marRight w:val="0"/>
      <w:marTop w:val="0"/>
      <w:marBottom w:val="0"/>
      <w:divBdr>
        <w:top w:val="none" w:sz="0" w:space="0" w:color="auto"/>
        <w:left w:val="none" w:sz="0" w:space="0" w:color="auto"/>
        <w:bottom w:val="none" w:sz="0" w:space="0" w:color="auto"/>
        <w:right w:val="none" w:sz="0" w:space="0" w:color="auto"/>
      </w:divBdr>
    </w:div>
    <w:div w:id="268899366">
      <w:bodyDiv w:val="1"/>
      <w:marLeft w:val="0"/>
      <w:marRight w:val="0"/>
      <w:marTop w:val="0"/>
      <w:marBottom w:val="0"/>
      <w:divBdr>
        <w:top w:val="none" w:sz="0" w:space="0" w:color="auto"/>
        <w:left w:val="none" w:sz="0" w:space="0" w:color="auto"/>
        <w:bottom w:val="none" w:sz="0" w:space="0" w:color="auto"/>
        <w:right w:val="none" w:sz="0" w:space="0" w:color="auto"/>
      </w:divBdr>
    </w:div>
    <w:div w:id="269048291">
      <w:bodyDiv w:val="1"/>
      <w:marLeft w:val="0"/>
      <w:marRight w:val="0"/>
      <w:marTop w:val="0"/>
      <w:marBottom w:val="0"/>
      <w:divBdr>
        <w:top w:val="none" w:sz="0" w:space="0" w:color="auto"/>
        <w:left w:val="none" w:sz="0" w:space="0" w:color="auto"/>
        <w:bottom w:val="none" w:sz="0" w:space="0" w:color="auto"/>
        <w:right w:val="none" w:sz="0" w:space="0" w:color="auto"/>
      </w:divBdr>
    </w:div>
    <w:div w:id="269244786">
      <w:bodyDiv w:val="1"/>
      <w:marLeft w:val="0"/>
      <w:marRight w:val="0"/>
      <w:marTop w:val="0"/>
      <w:marBottom w:val="0"/>
      <w:divBdr>
        <w:top w:val="none" w:sz="0" w:space="0" w:color="auto"/>
        <w:left w:val="none" w:sz="0" w:space="0" w:color="auto"/>
        <w:bottom w:val="none" w:sz="0" w:space="0" w:color="auto"/>
        <w:right w:val="none" w:sz="0" w:space="0" w:color="auto"/>
      </w:divBdr>
    </w:div>
    <w:div w:id="270011634">
      <w:bodyDiv w:val="1"/>
      <w:marLeft w:val="0"/>
      <w:marRight w:val="0"/>
      <w:marTop w:val="0"/>
      <w:marBottom w:val="0"/>
      <w:divBdr>
        <w:top w:val="none" w:sz="0" w:space="0" w:color="auto"/>
        <w:left w:val="none" w:sz="0" w:space="0" w:color="auto"/>
        <w:bottom w:val="none" w:sz="0" w:space="0" w:color="auto"/>
        <w:right w:val="none" w:sz="0" w:space="0" w:color="auto"/>
      </w:divBdr>
    </w:div>
    <w:div w:id="270163468">
      <w:bodyDiv w:val="1"/>
      <w:marLeft w:val="0"/>
      <w:marRight w:val="0"/>
      <w:marTop w:val="0"/>
      <w:marBottom w:val="0"/>
      <w:divBdr>
        <w:top w:val="none" w:sz="0" w:space="0" w:color="auto"/>
        <w:left w:val="none" w:sz="0" w:space="0" w:color="auto"/>
        <w:bottom w:val="none" w:sz="0" w:space="0" w:color="auto"/>
        <w:right w:val="none" w:sz="0" w:space="0" w:color="auto"/>
      </w:divBdr>
    </w:div>
    <w:div w:id="270431754">
      <w:bodyDiv w:val="1"/>
      <w:marLeft w:val="0"/>
      <w:marRight w:val="0"/>
      <w:marTop w:val="0"/>
      <w:marBottom w:val="0"/>
      <w:divBdr>
        <w:top w:val="none" w:sz="0" w:space="0" w:color="auto"/>
        <w:left w:val="none" w:sz="0" w:space="0" w:color="auto"/>
        <w:bottom w:val="none" w:sz="0" w:space="0" w:color="auto"/>
        <w:right w:val="none" w:sz="0" w:space="0" w:color="auto"/>
      </w:divBdr>
    </w:div>
    <w:div w:id="270432725">
      <w:bodyDiv w:val="1"/>
      <w:marLeft w:val="0"/>
      <w:marRight w:val="0"/>
      <w:marTop w:val="0"/>
      <w:marBottom w:val="0"/>
      <w:divBdr>
        <w:top w:val="none" w:sz="0" w:space="0" w:color="auto"/>
        <w:left w:val="none" w:sz="0" w:space="0" w:color="auto"/>
        <w:bottom w:val="none" w:sz="0" w:space="0" w:color="auto"/>
        <w:right w:val="none" w:sz="0" w:space="0" w:color="auto"/>
      </w:divBdr>
    </w:div>
    <w:div w:id="270475397">
      <w:bodyDiv w:val="1"/>
      <w:marLeft w:val="0"/>
      <w:marRight w:val="0"/>
      <w:marTop w:val="0"/>
      <w:marBottom w:val="0"/>
      <w:divBdr>
        <w:top w:val="none" w:sz="0" w:space="0" w:color="auto"/>
        <w:left w:val="none" w:sz="0" w:space="0" w:color="auto"/>
        <w:bottom w:val="none" w:sz="0" w:space="0" w:color="auto"/>
        <w:right w:val="none" w:sz="0" w:space="0" w:color="auto"/>
      </w:divBdr>
    </w:div>
    <w:div w:id="270743211">
      <w:bodyDiv w:val="1"/>
      <w:marLeft w:val="0"/>
      <w:marRight w:val="0"/>
      <w:marTop w:val="0"/>
      <w:marBottom w:val="0"/>
      <w:divBdr>
        <w:top w:val="none" w:sz="0" w:space="0" w:color="auto"/>
        <w:left w:val="none" w:sz="0" w:space="0" w:color="auto"/>
        <w:bottom w:val="none" w:sz="0" w:space="0" w:color="auto"/>
        <w:right w:val="none" w:sz="0" w:space="0" w:color="auto"/>
      </w:divBdr>
    </w:div>
    <w:div w:id="270745814">
      <w:bodyDiv w:val="1"/>
      <w:marLeft w:val="0"/>
      <w:marRight w:val="0"/>
      <w:marTop w:val="0"/>
      <w:marBottom w:val="0"/>
      <w:divBdr>
        <w:top w:val="none" w:sz="0" w:space="0" w:color="auto"/>
        <w:left w:val="none" w:sz="0" w:space="0" w:color="auto"/>
        <w:bottom w:val="none" w:sz="0" w:space="0" w:color="auto"/>
        <w:right w:val="none" w:sz="0" w:space="0" w:color="auto"/>
      </w:divBdr>
    </w:div>
    <w:div w:id="270820604">
      <w:bodyDiv w:val="1"/>
      <w:marLeft w:val="0"/>
      <w:marRight w:val="0"/>
      <w:marTop w:val="0"/>
      <w:marBottom w:val="0"/>
      <w:divBdr>
        <w:top w:val="none" w:sz="0" w:space="0" w:color="auto"/>
        <w:left w:val="none" w:sz="0" w:space="0" w:color="auto"/>
        <w:bottom w:val="none" w:sz="0" w:space="0" w:color="auto"/>
        <w:right w:val="none" w:sz="0" w:space="0" w:color="auto"/>
      </w:divBdr>
    </w:div>
    <w:div w:id="270820665">
      <w:bodyDiv w:val="1"/>
      <w:marLeft w:val="0"/>
      <w:marRight w:val="0"/>
      <w:marTop w:val="0"/>
      <w:marBottom w:val="0"/>
      <w:divBdr>
        <w:top w:val="none" w:sz="0" w:space="0" w:color="auto"/>
        <w:left w:val="none" w:sz="0" w:space="0" w:color="auto"/>
        <w:bottom w:val="none" w:sz="0" w:space="0" w:color="auto"/>
        <w:right w:val="none" w:sz="0" w:space="0" w:color="auto"/>
      </w:divBdr>
    </w:div>
    <w:div w:id="270864738">
      <w:bodyDiv w:val="1"/>
      <w:marLeft w:val="0"/>
      <w:marRight w:val="0"/>
      <w:marTop w:val="0"/>
      <w:marBottom w:val="0"/>
      <w:divBdr>
        <w:top w:val="none" w:sz="0" w:space="0" w:color="auto"/>
        <w:left w:val="none" w:sz="0" w:space="0" w:color="auto"/>
        <w:bottom w:val="none" w:sz="0" w:space="0" w:color="auto"/>
        <w:right w:val="none" w:sz="0" w:space="0" w:color="auto"/>
      </w:divBdr>
    </w:div>
    <w:div w:id="271328240">
      <w:bodyDiv w:val="1"/>
      <w:marLeft w:val="0"/>
      <w:marRight w:val="0"/>
      <w:marTop w:val="0"/>
      <w:marBottom w:val="0"/>
      <w:divBdr>
        <w:top w:val="none" w:sz="0" w:space="0" w:color="auto"/>
        <w:left w:val="none" w:sz="0" w:space="0" w:color="auto"/>
        <w:bottom w:val="none" w:sz="0" w:space="0" w:color="auto"/>
        <w:right w:val="none" w:sz="0" w:space="0" w:color="auto"/>
      </w:divBdr>
    </w:div>
    <w:div w:id="271473161">
      <w:bodyDiv w:val="1"/>
      <w:marLeft w:val="0"/>
      <w:marRight w:val="0"/>
      <w:marTop w:val="0"/>
      <w:marBottom w:val="0"/>
      <w:divBdr>
        <w:top w:val="none" w:sz="0" w:space="0" w:color="auto"/>
        <w:left w:val="none" w:sz="0" w:space="0" w:color="auto"/>
        <w:bottom w:val="none" w:sz="0" w:space="0" w:color="auto"/>
        <w:right w:val="none" w:sz="0" w:space="0" w:color="auto"/>
      </w:divBdr>
    </w:div>
    <w:div w:id="271518748">
      <w:bodyDiv w:val="1"/>
      <w:marLeft w:val="0"/>
      <w:marRight w:val="0"/>
      <w:marTop w:val="0"/>
      <w:marBottom w:val="0"/>
      <w:divBdr>
        <w:top w:val="none" w:sz="0" w:space="0" w:color="auto"/>
        <w:left w:val="none" w:sz="0" w:space="0" w:color="auto"/>
        <w:bottom w:val="none" w:sz="0" w:space="0" w:color="auto"/>
        <w:right w:val="none" w:sz="0" w:space="0" w:color="auto"/>
      </w:divBdr>
    </w:div>
    <w:div w:id="271939596">
      <w:bodyDiv w:val="1"/>
      <w:marLeft w:val="0"/>
      <w:marRight w:val="0"/>
      <w:marTop w:val="0"/>
      <w:marBottom w:val="0"/>
      <w:divBdr>
        <w:top w:val="none" w:sz="0" w:space="0" w:color="auto"/>
        <w:left w:val="none" w:sz="0" w:space="0" w:color="auto"/>
        <w:bottom w:val="none" w:sz="0" w:space="0" w:color="auto"/>
        <w:right w:val="none" w:sz="0" w:space="0" w:color="auto"/>
      </w:divBdr>
    </w:div>
    <w:div w:id="272128172">
      <w:bodyDiv w:val="1"/>
      <w:marLeft w:val="0"/>
      <w:marRight w:val="0"/>
      <w:marTop w:val="0"/>
      <w:marBottom w:val="0"/>
      <w:divBdr>
        <w:top w:val="none" w:sz="0" w:space="0" w:color="auto"/>
        <w:left w:val="none" w:sz="0" w:space="0" w:color="auto"/>
        <w:bottom w:val="none" w:sz="0" w:space="0" w:color="auto"/>
        <w:right w:val="none" w:sz="0" w:space="0" w:color="auto"/>
      </w:divBdr>
    </w:div>
    <w:div w:id="272246614">
      <w:bodyDiv w:val="1"/>
      <w:marLeft w:val="0"/>
      <w:marRight w:val="0"/>
      <w:marTop w:val="0"/>
      <w:marBottom w:val="0"/>
      <w:divBdr>
        <w:top w:val="none" w:sz="0" w:space="0" w:color="auto"/>
        <w:left w:val="none" w:sz="0" w:space="0" w:color="auto"/>
        <w:bottom w:val="none" w:sz="0" w:space="0" w:color="auto"/>
        <w:right w:val="none" w:sz="0" w:space="0" w:color="auto"/>
      </w:divBdr>
    </w:div>
    <w:div w:id="272323385">
      <w:bodyDiv w:val="1"/>
      <w:marLeft w:val="0"/>
      <w:marRight w:val="0"/>
      <w:marTop w:val="0"/>
      <w:marBottom w:val="0"/>
      <w:divBdr>
        <w:top w:val="none" w:sz="0" w:space="0" w:color="auto"/>
        <w:left w:val="none" w:sz="0" w:space="0" w:color="auto"/>
        <w:bottom w:val="none" w:sz="0" w:space="0" w:color="auto"/>
        <w:right w:val="none" w:sz="0" w:space="0" w:color="auto"/>
      </w:divBdr>
    </w:div>
    <w:div w:id="272447555">
      <w:bodyDiv w:val="1"/>
      <w:marLeft w:val="0"/>
      <w:marRight w:val="0"/>
      <w:marTop w:val="0"/>
      <w:marBottom w:val="0"/>
      <w:divBdr>
        <w:top w:val="none" w:sz="0" w:space="0" w:color="auto"/>
        <w:left w:val="none" w:sz="0" w:space="0" w:color="auto"/>
        <w:bottom w:val="none" w:sz="0" w:space="0" w:color="auto"/>
        <w:right w:val="none" w:sz="0" w:space="0" w:color="auto"/>
      </w:divBdr>
    </w:div>
    <w:div w:id="273101214">
      <w:bodyDiv w:val="1"/>
      <w:marLeft w:val="0"/>
      <w:marRight w:val="0"/>
      <w:marTop w:val="0"/>
      <w:marBottom w:val="0"/>
      <w:divBdr>
        <w:top w:val="none" w:sz="0" w:space="0" w:color="auto"/>
        <w:left w:val="none" w:sz="0" w:space="0" w:color="auto"/>
        <w:bottom w:val="none" w:sz="0" w:space="0" w:color="auto"/>
        <w:right w:val="none" w:sz="0" w:space="0" w:color="auto"/>
      </w:divBdr>
    </w:div>
    <w:div w:id="273445012">
      <w:bodyDiv w:val="1"/>
      <w:marLeft w:val="0"/>
      <w:marRight w:val="0"/>
      <w:marTop w:val="0"/>
      <w:marBottom w:val="0"/>
      <w:divBdr>
        <w:top w:val="none" w:sz="0" w:space="0" w:color="auto"/>
        <w:left w:val="none" w:sz="0" w:space="0" w:color="auto"/>
        <w:bottom w:val="none" w:sz="0" w:space="0" w:color="auto"/>
        <w:right w:val="none" w:sz="0" w:space="0" w:color="auto"/>
      </w:divBdr>
    </w:div>
    <w:div w:id="273681686">
      <w:bodyDiv w:val="1"/>
      <w:marLeft w:val="0"/>
      <w:marRight w:val="0"/>
      <w:marTop w:val="0"/>
      <w:marBottom w:val="0"/>
      <w:divBdr>
        <w:top w:val="none" w:sz="0" w:space="0" w:color="auto"/>
        <w:left w:val="none" w:sz="0" w:space="0" w:color="auto"/>
        <w:bottom w:val="none" w:sz="0" w:space="0" w:color="auto"/>
        <w:right w:val="none" w:sz="0" w:space="0" w:color="auto"/>
      </w:divBdr>
    </w:div>
    <w:div w:id="273942577">
      <w:bodyDiv w:val="1"/>
      <w:marLeft w:val="0"/>
      <w:marRight w:val="0"/>
      <w:marTop w:val="0"/>
      <w:marBottom w:val="0"/>
      <w:divBdr>
        <w:top w:val="none" w:sz="0" w:space="0" w:color="auto"/>
        <w:left w:val="none" w:sz="0" w:space="0" w:color="auto"/>
        <w:bottom w:val="none" w:sz="0" w:space="0" w:color="auto"/>
        <w:right w:val="none" w:sz="0" w:space="0" w:color="auto"/>
      </w:divBdr>
    </w:div>
    <w:div w:id="274217083">
      <w:bodyDiv w:val="1"/>
      <w:marLeft w:val="0"/>
      <w:marRight w:val="0"/>
      <w:marTop w:val="0"/>
      <w:marBottom w:val="0"/>
      <w:divBdr>
        <w:top w:val="none" w:sz="0" w:space="0" w:color="auto"/>
        <w:left w:val="none" w:sz="0" w:space="0" w:color="auto"/>
        <w:bottom w:val="none" w:sz="0" w:space="0" w:color="auto"/>
        <w:right w:val="none" w:sz="0" w:space="0" w:color="auto"/>
      </w:divBdr>
    </w:div>
    <w:div w:id="274795811">
      <w:bodyDiv w:val="1"/>
      <w:marLeft w:val="0"/>
      <w:marRight w:val="0"/>
      <w:marTop w:val="0"/>
      <w:marBottom w:val="0"/>
      <w:divBdr>
        <w:top w:val="none" w:sz="0" w:space="0" w:color="auto"/>
        <w:left w:val="none" w:sz="0" w:space="0" w:color="auto"/>
        <w:bottom w:val="none" w:sz="0" w:space="0" w:color="auto"/>
        <w:right w:val="none" w:sz="0" w:space="0" w:color="auto"/>
      </w:divBdr>
    </w:div>
    <w:div w:id="275144012">
      <w:bodyDiv w:val="1"/>
      <w:marLeft w:val="0"/>
      <w:marRight w:val="0"/>
      <w:marTop w:val="0"/>
      <w:marBottom w:val="0"/>
      <w:divBdr>
        <w:top w:val="none" w:sz="0" w:space="0" w:color="auto"/>
        <w:left w:val="none" w:sz="0" w:space="0" w:color="auto"/>
        <w:bottom w:val="none" w:sz="0" w:space="0" w:color="auto"/>
        <w:right w:val="none" w:sz="0" w:space="0" w:color="auto"/>
      </w:divBdr>
    </w:div>
    <w:div w:id="275450248">
      <w:bodyDiv w:val="1"/>
      <w:marLeft w:val="0"/>
      <w:marRight w:val="0"/>
      <w:marTop w:val="0"/>
      <w:marBottom w:val="0"/>
      <w:divBdr>
        <w:top w:val="none" w:sz="0" w:space="0" w:color="auto"/>
        <w:left w:val="none" w:sz="0" w:space="0" w:color="auto"/>
        <w:bottom w:val="none" w:sz="0" w:space="0" w:color="auto"/>
        <w:right w:val="none" w:sz="0" w:space="0" w:color="auto"/>
      </w:divBdr>
    </w:div>
    <w:div w:id="275523610">
      <w:bodyDiv w:val="1"/>
      <w:marLeft w:val="0"/>
      <w:marRight w:val="0"/>
      <w:marTop w:val="0"/>
      <w:marBottom w:val="0"/>
      <w:divBdr>
        <w:top w:val="none" w:sz="0" w:space="0" w:color="auto"/>
        <w:left w:val="none" w:sz="0" w:space="0" w:color="auto"/>
        <w:bottom w:val="none" w:sz="0" w:space="0" w:color="auto"/>
        <w:right w:val="none" w:sz="0" w:space="0" w:color="auto"/>
      </w:divBdr>
    </w:div>
    <w:div w:id="275597246">
      <w:bodyDiv w:val="1"/>
      <w:marLeft w:val="0"/>
      <w:marRight w:val="0"/>
      <w:marTop w:val="0"/>
      <w:marBottom w:val="0"/>
      <w:divBdr>
        <w:top w:val="none" w:sz="0" w:space="0" w:color="auto"/>
        <w:left w:val="none" w:sz="0" w:space="0" w:color="auto"/>
        <w:bottom w:val="none" w:sz="0" w:space="0" w:color="auto"/>
        <w:right w:val="none" w:sz="0" w:space="0" w:color="auto"/>
      </w:divBdr>
    </w:div>
    <w:div w:id="275842390">
      <w:bodyDiv w:val="1"/>
      <w:marLeft w:val="0"/>
      <w:marRight w:val="0"/>
      <w:marTop w:val="0"/>
      <w:marBottom w:val="0"/>
      <w:divBdr>
        <w:top w:val="none" w:sz="0" w:space="0" w:color="auto"/>
        <w:left w:val="none" w:sz="0" w:space="0" w:color="auto"/>
        <w:bottom w:val="none" w:sz="0" w:space="0" w:color="auto"/>
        <w:right w:val="none" w:sz="0" w:space="0" w:color="auto"/>
      </w:divBdr>
    </w:div>
    <w:div w:id="276256101">
      <w:bodyDiv w:val="1"/>
      <w:marLeft w:val="0"/>
      <w:marRight w:val="0"/>
      <w:marTop w:val="0"/>
      <w:marBottom w:val="0"/>
      <w:divBdr>
        <w:top w:val="none" w:sz="0" w:space="0" w:color="auto"/>
        <w:left w:val="none" w:sz="0" w:space="0" w:color="auto"/>
        <w:bottom w:val="none" w:sz="0" w:space="0" w:color="auto"/>
        <w:right w:val="none" w:sz="0" w:space="0" w:color="auto"/>
      </w:divBdr>
    </w:div>
    <w:div w:id="276838721">
      <w:bodyDiv w:val="1"/>
      <w:marLeft w:val="0"/>
      <w:marRight w:val="0"/>
      <w:marTop w:val="0"/>
      <w:marBottom w:val="0"/>
      <w:divBdr>
        <w:top w:val="none" w:sz="0" w:space="0" w:color="auto"/>
        <w:left w:val="none" w:sz="0" w:space="0" w:color="auto"/>
        <w:bottom w:val="none" w:sz="0" w:space="0" w:color="auto"/>
        <w:right w:val="none" w:sz="0" w:space="0" w:color="auto"/>
      </w:divBdr>
    </w:div>
    <w:div w:id="277224190">
      <w:bodyDiv w:val="1"/>
      <w:marLeft w:val="0"/>
      <w:marRight w:val="0"/>
      <w:marTop w:val="0"/>
      <w:marBottom w:val="0"/>
      <w:divBdr>
        <w:top w:val="none" w:sz="0" w:space="0" w:color="auto"/>
        <w:left w:val="none" w:sz="0" w:space="0" w:color="auto"/>
        <w:bottom w:val="none" w:sz="0" w:space="0" w:color="auto"/>
        <w:right w:val="none" w:sz="0" w:space="0" w:color="auto"/>
      </w:divBdr>
    </w:div>
    <w:div w:id="277295927">
      <w:bodyDiv w:val="1"/>
      <w:marLeft w:val="0"/>
      <w:marRight w:val="0"/>
      <w:marTop w:val="0"/>
      <w:marBottom w:val="0"/>
      <w:divBdr>
        <w:top w:val="none" w:sz="0" w:space="0" w:color="auto"/>
        <w:left w:val="none" w:sz="0" w:space="0" w:color="auto"/>
        <w:bottom w:val="none" w:sz="0" w:space="0" w:color="auto"/>
        <w:right w:val="none" w:sz="0" w:space="0" w:color="auto"/>
      </w:divBdr>
    </w:div>
    <w:div w:id="277684048">
      <w:bodyDiv w:val="1"/>
      <w:marLeft w:val="0"/>
      <w:marRight w:val="0"/>
      <w:marTop w:val="0"/>
      <w:marBottom w:val="0"/>
      <w:divBdr>
        <w:top w:val="none" w:sz="0" w:space="0" w:color="auto"/>
        <w:left w:val="none" w:sz="0" w:space="0" w:color="auto"/>
        <w:bottom w:val="none" w:sz="0" w:space="0" w:color="auto"/>
        <w:right w:val="none" w:sz="0" w:space="0" w:color="auto"/>
      </w:divBdr>
    </w:div>
    <w:div w:id="277831892">
      <w:bodyDiv w:val="1"/>
      <w:marLeft w:val="0"/>
      <w:marRight w:val="0"/>
      <w:marTop w:val="0"/>
      <w:marBottom w:val="0"/>
      <w:divBdr>
        <w:top w:val="none" w:sz="0" w:space="0" w:color="auto"/>
        <w:left w:val="none" w:sz="0" w:space="0" w:color="auto"/>
        <w:bottom w:val="none" w:sz="0" w:space="0" w:color="auto"/>
        <w:right w:val="none" w:sz="0" w:space="0" w:color="auto"/>
      </w:divBdr>
    </w:div>
    <w:div w:id="277955909">
      <w:bodyDiv w:val="1"/>
      <w:marLeft w:val="0"/>
      <w:marRight w:val="0"/>
      <w:marTop w:val="0"/>
      <w:marBottom w:val="0"/>
      <w:divBdr>
        <w:top w:val="none" w:sz="0" w:space="0" w:color="auto"/>
        <w:left w:val="none" w:sz="0" w:space="0" w:color="auto"/>
        <w:bottom w:val="none" w:sz="0" w:space="0" w:color="auto"/>
        <w:right w:val="none" w:sz="0" w:space="0" w:color="auto"/>
      </w:divBdr>
    </w:div>
    <w:div w:id="278227424">
      <w:bodyDiv w:val="1"/>
      <w:marLeft w:val="0"/>
      <w:marRight w:val="0"/>
      <w:marTop w:val="0"/>
      <w:marBottom w:val="0"/>
      <w:divBdr>
        <w:top w:val="none" w:sz="0" w:space="0" w:color="auto"/>
        <w:left w:val="none" w:sz="0" w:space="0" w:color="auto"/>
        <w:bottom w:val="none" w:sz="0" w:space="0" w:color="auto"/>
        <w:right w:val="none" w:sz="0" w:space="0" w:color="auto"/>
      </w:divBdr>
    </w:div>
    <w:div w:id="278612405">
      <w:bodyDiv w:val="1"/>
      <w:marLeft w:val="0"/>
      <w:marRight w:val="0"/>
      <w:marTop w:val="0"/>
      <w:marBottom w:val="0"/>
      <w:divBdr>
        <w:top w:val="none" w:sz="0" w:space="0" w:color="auto"/>
        <w:left w:val="none" w:sz="0" w:space="0" w:color="auto"/>
        <w:bottom w:val="none" w:sz="0" w:space="0" w:color="auto"/>
        <w:right w:val="none" w:sz="0" w:space="0" w:color="auto"/>
      </w:divBdr>
    </w:div>
    <w:div w:id="278686791">
      <w:bodyDiv w:val="1"/>
      <w:marLeft w:val="0"/>
      <w:marRight w:val="0"/>
      <w:marTop w:val="0"/>
      <w:marBottom w:val="0"/>
      <w:divBdr>
        <w:top w:val="none" w:sz="0" w:space="0" w:color="auto"/>
        <w:left w:val="none" w:sz="0" w:space="0" w:color="auto"/>
        <w:bottom w:val="none" w:sz="0" w:space="0" w:color="auto"/>
        <w:right w:val="none" w:sz="0" w:space="0" w:color="auto"/>
      </w:divBdr>
    </w:div>
    <w:div w:id="278994078">
      <w:bodyDiv w:val="1"/>
      <w:marLeft w:val="0"/>
      <w:marRight w:val="0"/>
      <w:marTop w:val="0"/>
      <w:marBottom w:val="0"/>
      <w:divBdr>
        <w:top w:val="none" w:sz="0" w:space="0" w:color="auto"/>
        <w:left w:val="none" w:sz="0" w:space="0" w:color="auto"/>
        <w:bottom w:val="none" w:sz="0" w:space="0" w:color="auto"/>
        <w:right w:val="none" w:sz="0" w:space="0" w:color="auto"/>
      </w:divBdr>
    </w:div>
    <w:div w:id="279261409">
      <w:bodyDiv w:val="1"/>
      <w:marLeft w:val="0"/>
      <w:marRight w:val="0"/>
      <w:marTop w:val="0"/>
      <w:marBottom w:val="0"/>
      <w:divBdr>
        <w:top w:val="none" w:sz="0" w:space="0" w:color="auto"/>
        <w:left w:val="none" w:sz="0" w:space="0" w:color="auto"/>
        <w:bottom w:val="none" w:sz="0" w:space="0" w:color="auto"/>
        <w:right w:val="none" w:sz="0" w:space="0" w:color="auto"/>
      </w:divBdr>
    </w:div>
    <w:div w:id="279917109">
      <w:bodyDiv w:val="1"/>
      <w:marLeft w:val="0"/>
      <w:marRight w:val="0"/>
      <w:marTop w:val="0"/>
      <w:marBottom w:val="0"/>
      <w:divBdr>
        <w:top w:val="none" w:sz="0" w:space="0" w:color="auto"/>
        <w:left w:val="none" w:sz="0" w:space="0" w:color="auto"/>
        <w:bottom w:val="none" w:sz="0" w:space="0" w:color="auto"/>
        <w:right w:val="none" w:sz="0" w:space="0" w:color="auto"/>
      </w:divBdr>
    </w:div>
    <w:div w:id="280036657">
      <w:bodyDiv w:val="1"/>
      <w:marLeft w:val="0"/>
      <w:marRight w:val="0"/>
      <w:marTop w:val="0"/>
      <w:marBottom w:val="0"/>
      <w:divBdr>
        <w:top w:val="none" w:sz="0" w:space="0" w:color="auto"/>
        <w:left w:val="none" w:sz="0" w:space="0" w:color="auto"/>
        <w:bottom w:val="none" w:sz="0" w:space="0" w:color="auto"/>
        <w:right w:val="none" w:sz="0" w:space="0" w:color="auto"/>
      </w:divBdr>
    </w:div>
    <w:div w:id="280379412">
      <w:bodyDiv w:val="1"/>
      <w:marLeft w:val="0"/>
      <w:marRight w:val="0"/>
      <w:marTop w:val="0"/>
      <w:marBottom w:val="0"/>
      <w:divBdr>
        <w:top w:val="none" w:sz="0" w:space="0" w:color="auto"/>
        <w:left w:val="none" w:sz="0" w:space="0" w:color="auto"/>
        <w:bottom w:val="none" w:sz="0" w:space="0" w:color="auto"/>
        <w:right w:val="none" w:sz="0" w:space="0" w:color="auto"/>
      </w:divBdr>
    </w:div>
    <w:div w:id="280963317">
      <w:bodyDiv w:val="1"/>
      <w:marLeft w:val="0"/>
      <w:marRight w:val="0"/>
      <w:marTop w:val="0"/>
      <w:marBottom w:val="0"/>
      <w:divBdr>
        <w:top w:val="none" w:sz="0" w:space="0" w:color="auto"/>
        <w:left w:val="none" w:sz="0" w:space="0" w:color="auto"/>
        <w:bottom w:val="none" w:sz="0" w:space="0" w:color="auto"/>
        <w:right w:val="none" w:sz="0" w:space="0" w:color="auto"/>
      </w:divBdr>
    </w:div>
    <w:div w:id="281109642">
      <w:bodyDiv w:val="1"/>
      <w:marLeft w:val="0"/>
      <w:marRight w:val="0"/>
      <w:marTop w:val="0"/>
      <w:marBottom w:val="0"/>
      <w:divBdr>
        <w:top w:val="none" w:sz="0" w:space="0" w:color="auto"/>
        <w:left w:val="none" w:sz="0" w:space="0" w:color="auto"/>
        <w:bottom w:val="none" w:sz="0" w:space="0" w:color="auto"/>
        <w:right w:val="none" w:sz="0" w:space="0" w:color="auto"/>
      </w:divBdr>
    </w:div>
    <w:div w:id="281302725">
      <w:bodyDiv w:val="1"/>
      <w:marLeft w:val="0"/>
      <w:marRight w:val="0"/>
      <w:marTop w:val="0"/>
      <w:marBottom w:val="0"/>
      <w:divBdr>
        <w:top w:val="none" w:sz="0" w:space="0" w:color="auto"/>
        <w:left w:val="none" w:sz="0" w:space="0" w:color="auto"/>
        <w:bottom w:val="none" w:sz="0" w:space="0" w:color="auto"/>
        <w:right w:val="none" w:sz="0" w:space="0" w:color="auto"/>
      </w:divBdr>
    </w:div>
    <w:div w:id="281497724">
      <w:bodyDiv w:val="1"/>
      <w:marLeft w:val="0"/>
      <w:marRight w:val="0"/>
      <w:marTop w:val="0"/>
      <w:marBottom w:val="0"/>
      <w:divBdr>
        <w:top w:val="none" w:sz="0" w:space="0" w:color="auto"/>
        <w:left w:val="none" w:sz="0" w:space="0" w:color="auto"/>
        <w:bottom w:val="none" w:sz="0" w:space="0" w:color="auto"/>
        <w:right w:val="none" w:sz="0" w:space="0" w:color="auto"/>
      </w:divBdr>
    </w:div>
    <w:div w:id="281500098">
      <w:bodyDiv w:val="1"/>
      <w:marLeft w:val="0"/>
      <w:marRight w:val="0"/>
      <w:marTop w:val="0"/>
      <w:marBottom w:val="0"/>
      <w:divBdr>
        <w:top w:val="none" w:sz="0" w:space="0" w:color="auto"/>
        <w:left w:val="none" w:sz="0" w:space="0" w:color="auto"/>
        <w:bottom w:val="none" w:sz="0" w:space="0" w:color="auto"/>
        <w:right w:val="none" w:sz="0" w:space="0" w:color="auto"/>
      </w:divBdr>
    </w:div>
    <w:div w:id="281693442">
      <w:bodyDiv w:val="1"/>
      <w:marLeft w:val="0"/>
      <w:marRight w:val="0"/>
      <w:marTop w:val="0"/>
      <w:marBottom w:val="0"/>
      <w:divBdr>
        <w:top w:val="none" w:sz="0" w:space="0" w:color="auto"/>
        <w:left w:val="none" w:sz="0" w:space="0" w:color="auto"/>
        <w:bottom w:val="none" w:sz="0" w:space="0" w:color="auto"/>
        <w:right w:val="none" w:sz="0" w:space="0" w:color="auto"/>
      </w:divBdr>
    </w:div>
    <w:div w:id="282032040">
      <w:bodyDiv w:val="1"/>
      <w:marLeft w:val="0"/>
      <w:marRight w:val="0"/>
      <w:marTop w:val="0"/>
      <w:marBottom w:val="0"/>
      <w:divBdr>
        <w:top w:val="none" w:sz="0" w:space="0" w:color="auto"/>
        <w:left w:val="none" w:sz="0" w:space="0" w:color="auto"/>
        <w:bottom w:val="none" w:sz="0" w:space="0" w:color="auto"/>
        <w:right w:val="none" w:sz="0" w:space="0" w:color="auto"/>
      </w:divBdr>
    </w:div>
    <w:div w:id="282079233">
      <w:bodyDiv w:val="1"/>
      <w:marLeft w:val="0"/>
      <w:marRight w:val="0"/>
      <w:marTop w:val="0"/>
      <w:marBottom w:val="0"/>
      <w:divBdr>
        <w:top w:val="none" w:sz="0" w:space="0" w:color="auto"/>
        <w:left w:val="none" w:sz="0" w:space="0" w:color="auto"/>
        <w:bottom w:val="none" w:sz="0" w:space="0" w:color="auto"/>
        <w:right w:val="none" w:sz="0" w:space="0" w:color="auto"/>
      </w:divBdr>
    </w:div>
    <w:div w:id="282424229">
      <w:bodyDiv w:val="1"/>
      <w:marLeft w:val="0"/>
      <w:marRight w:val="0"/>
      <w:marTop w:val="0"/>
      <w:marBottom w:val="0"/>
      <w:divBdr>
        <w:top w:val="none" w:sz="0" w:space="0" w:color="auto"/>
        <w:left w:val="none" w:sz="0" w:space="0" w:color="auto"/>
        <w:bottom w:val="none" w:sz="0" w:space="0" w:color="auto"/>
        <w:right w:val="none" w:sz="0" w:space="0" w:color="auto"/>
      </w:divBdr>
    </w:div>
    <w:div w:id="282738413">
      <w:bodyDiv w:val="1"/>
      <w:marLeft w:val="0"/>
      <w:marRight w:val="0"/>
      <w:marTop w:val="0"/>
      <w:marBottom w:val="0"/>
      <w:divBdr>
        <w:top w:val="none" w:sz="0" w:space="0" w:color="auto"/>
        <w:left w:val="none" w:sz="0" w:space="0" w:color="auto"/>
        <w:bottom w:val="none" w:sz="0" w:space="0" w:color="auto"/>
        <w:right w:val="none" w:sz="0" w:space="0" w:color="auto"/>
      </w:divBdr>
    </w:div>
    <w:div w:id="282882946">
      <w:bodyDiv w:val="1"/>
      <w:marLeft w:val="0"/>
      <w:marRight w:val="0"/>
      <w:marTop w:val="0"/>
      <w:marBottom w:val="0"/>
      <w:divBdr>
        <w:top w:val="none" w:sz="0" w:space="0" w:color="auto"/>
        <w:left w:val="none" w:sz="0" w:space="0" w:color="auto"/>
        <w:bottom w:val="none" w:sz="0" w:space="0" w:color="auto"/>
        <w:right w:val="none" w:sz="0" w:space="0" w:color="auto"/>
      </w:divBdr>
    </w:div>
    <w:div w:id="282883727">
      <w:bodyDiv w:val="1"/>
      <w:marLeft w:val="0"/>
      <w:marRight w:val="0"/>
      <w:marTop w:val="0"/>
      <w:marBottom w:val="0"/>
      <w:divBdr>
        <w:top w:val="none" w:sz="0" w:space="0" w:color="auto"/>
        <w:left w:val="none" w:sz="0" w:space="0" w:color="auto"/>
        <w:bottom w:val="none" w:sz="0" w:space="0" w:color="auto"/>
        <w:right w:val="none" w:sz="0" w:space="0" w:color="auto"/>
      </w:divBdr>
    </w:div>
    <w:div w:id="282924054">
      <w:bodyDiv w:val="1"/>
      <w:marLeft w:val="0"/>
      <w:marRight w:val="0"/>
      <w:marTop w:val="0"/>
      <w:marBottom w:val="0"/>
      <w:divBdr>
        <w:top w:val="none" w:sz="0" w:space="0" w:color="auto"/>
        <w:left w:val="none" w:sz="0" w:space="0" w:color="auto"/>
        <w:bottom w:val="none" w:sz="0" w:space="0" w:color="auto"/>
        <w:right w:val="none" w:sz="0" w:space="0" w:color="auto"/>
      </w:divBdr>
    </w:div>
    <w:div w:id="283077977">
      <w:bodyDiv w:val="1"/>
      <w:marLeft w:val="0"/>
      <w:marRight w:val="0"/>
      <w:marTop w:val="0"/>
      <w:marBottom w:val="0"/>
      <w:divBdr>
        <w:top w:val="none" w:sz="0" w:space="0" w:color="auto"/>
        <w:left w:val="none" w:sz="0" w:space="0" w:color="auto"/>
        <w:bottom w:val="none" w:sz="0" w:space="0" w:color="auto"/>
        <w:right w:val="none" w:sz="0" w:space="0" w:color="auto"/>
      </w:divBdr>
    </w:div>
    <w:div w:id="283120515">
      <w:bodyDiv w:val="1"/>
      <w:marLeft w:val="0"/>
      <w:marRight w:val="0"/>
      <w:marTop w:val="0"/>
      <w:marBottom w:val="0"/>
      <w:divBdr>
        <w:top w:val="none" w:sz="0" w:space="0" w:color="auto"/>
        <w:left w:val="none" w:sz="0" w:space="0" w:color="auto"/>
        <w:bottom w:val="none" w:sz="0" w:space="0" w:color="auto"/>
        <w:right w:val="none" w:sz="0" w:space="0" w:color="auto"/>
      </w:divBdr>
    </w:div>
    <w:div w:id="283191666">
      <w:bodyDiv w:val="1"/>
      <w:marLeft w:val="0"/>
      <w:marRight w:val="0"/>
      <w:marTop w:val="0"/>
      <w:marBottom w:val="0"/>
      <w:divBdr>
        <w:top w:val="none" w:sz="0" w:space="0" w:color="auto"/>
        <w:left w:val="none" w:sz="0" w:space="0" w:color="auto"/>
        <w:bottom w:val="none" w:sz="0" w:space="0" w:color="auto"/>
        <w:right w:val="none" w:sz="0" w:space="0" w:color="auto"/>
      </w:divBdr>
    </w:div>
    <w:div w:id="283583232">
      <w:bodyDiv w:val="1"/>
      <w:marLeft w:val="0"/>
      <w:marRight w:val="0"/>
      <w:marTop w:val="0"/>
      <w:marBottom w:val="0"/>
      <w:divBdr>
        <w:top w:val="none" w:sz="0" w:space="0" w:color="auto"/>
        <w:left w:val="none" w:sz="0" w:space="0" w:color="auto"/>
        <w:bottom w:val="none" w:sz="0" w:space="0" w:color="auto"/>
        <w:right w:val="none" w:sz="0" w:space="0" w:color="auto"/>
      </w:divBdr>
    </w:div>
    <w:div w:id="283853750">
      <w:bodyDiv w:val="1"/>
      <w:marLeft w:val="0"/>
      <w:marRight w:val="0"/>
      <w:marTop w:val="0"/>
      <w:marBottom w:val="0"/>
      <w:divBdr>
        <w:top w:val="none" w:sz="0" w:space="0" w:color="auto"/>
        <w:left w:val="none" w:sz="0" w:space="0" w:color="auto"/>
        <w:bottom w:val="none" w:sz="0" w:space="0" w:color="auto"/>
        <w:right w:val="none" w:sz="0" w:space="0" w:color="auto"/>
      </w:divBdr>
    </w:div>
    <w:div w:id="284194478">
      <w:bodyDiv w:val="1"/>
      <w:marLeft w:val="0"/>
      <w:marRight w:val="0"/>
      <w:marTop w:val="0"/>
      <w:marBottom w:val="0"/>
      <w:divBdr>
        <w:top w:val="none" w:sz="0" w:space="0" w:color="auto"/>
        <w:left w:val="none" w:sz="0" w:space="0" w:color="auto"/>
        <w:bottom w:val="none" w:sz="0" w:space="0" w:color="auto"/>
        <w:right w:val="none" w:sz="0" w:space="0" w:color="auto"/>
      </w:divBdr>
    </w:div>
    <w:div w:id="284194489">
      <w:bodyDiv w:val="1"/>
      <w:marLeft w:val="0"/>
      <w:marRight w:val="0"/>
      <w:marTop w:val="0"/>
      <w:marBottom w:val="0"/>
      <w:divBdr>
        <w:top w:val="none" w:sz="0" w:space="0" w:color="auto"/>
        <w:left w:val="none" w:sz="0" w:space="0" w:color="auto"/>
        <w:bottom w:val="none" w:sz="0" w:space="0" w:color="auto"/>
        <w:right w:val="none" w:sz="0" w:space="0" w:color="auto"/>
      </w:divBdr>
    </w:div>
    <w:div w:id="284312405">
      <w:bodyDiv w:val="1"/>
      <w:marLeft w:val="0"/>
      <w:marRight w:val="0"/>
      <w:marTop w:val="0"/>
      <w:marBottom w:val="0"/>
      <w:divBdr>
        <w:top w:val="none" w:sz="0" w:space="0" w:color="auto"/>
        <w:left w:val="none" w:sz="0" w:space="0" w:color="auto"/>
        <w:bottom w:val="none" w:sz="0" w:space="0" w:color="auto"/>
        <w:right w:val="none" w:sz="0" w:space="0" w:color="auto"/>
      </w:divBdr>
    </w:div>
    <w:div w:id="284890674">
      <w:bodyDiv w:val="1"/>
      <w:marLeft w:val="0"/>
      <w:marRight w:val="0"/>
      <w:marTop w:val="0"/>
      <w:marBottom w:val="0"/>
      <w:divBdr>
        <w:top w:val="none" w:sz="0" w:space="0" w:color="auto"/>
        <w:left w:val="none" w:sz="0" w:space="0" w:color="auto"/>
        <w:bottom w:val="none" w:sz="0" w:space="0" w:color="auto"/>
        <w:right w:val="none" w:sz="0" w:space="0" w:color="auto"/>
      </w:divBdr>
    </w:div>
    <w:div w:id="285964907">
      <w:bodyDiv w:val="1"/>
      <w:marLeft w:val="0"/>
      <w:marRight w:val="0"/>
      <w:marTop w:val="0"/>
      <w:marBottom w:val="0"/>
      <w:divBdr>
        <w:top w:val="none" w:sz="0" w:space="0" w:color="auto"/>
        <w:left w:val="none" w:sz="0" w:space="0" w:color="auto"/>
        <w:bottom w:val="none" w:sz="0" w:space="0" w:color="auto"/>
        <w:right w:val="none" w:sz="0" w:space="0" w:color="auto"/>
      </w:divBdr>
    </w:div>
    <w:div w:id="286282352">
      <w:bodyDiv w:val="1"/>
      <w:marLeft w:val="0"/>
      <w:marRight w:val="0"/>
      <w:marTop w:val="0"/>
      <w:marBottom w:val="0"/>
      <w:divBdr>
        <w:top w:val="none" w:sz="0" w:space="0" w:color="auto"/>
        <w:left w:val="none" w:sz="0" w:space="0" w:color="auto"/>
        <w:bottom w:val="none" w:sz="0" w:space="0" w:color="auto"/>
        <w:right w:val="none" w:sz="0" w:space="0" w:color="auto"/>
      </w:divBdr>
    </w:div>
    <w:div w:id="286354059">
      <w:bodyDiv w:val="1"/>
      <w:marLeft w:val="0"/>
      <w:marRight w:val="0"/>
      <w:marTop w:val="0"/>
      <w:marBottom w:val="0"/>
      <w:divBdr>
        <w:top w:val="none" w:sz="0" w:space="0" w:color="auto"/>
        <w:left w:val="none" w:sz="0" w:space="0" w:color="auto"/>
        <w:bottom w:val="none" w:sz="0" w:space="0" w:color="auto"/>
        <w:right w:val="none" w:sz="0" w:space="0" w:color="auto"/>
      </w:divBdr>
    </w:div>
    <w:div w:id="286543336">
      <w:bodyDiv w:val="1"/>
      <w:marLeft w:val="0"/>
      <w:marRight w:val="0"/>
      <w:marTop w:val="0"/>
      <w:marBottom w:val="0"/>
      <w:divBdr>
        <w:top w:val="none" w:sz="0" w:space="0" w:color="auto"/>
        <w:left w:val="none" w:sz="0" w:space="0" w:color="auto"/>
        <w:bottom w:val="none" w:sz="0" w:space="0" w:color="auto"/>
        <w:right w:val="none" w:sz="0" w:space="0" w:color="auto"/>
      </w:divBdr>
    </w:div>
    <w:div w:id="286544872">
      <w:bodyDiv w:val="1"/>
      <w:marLeft w:val="0"/>
      <w:marRight w:val="0"/>
      <w:marTop w:val="0"/>
      <w:marBottom w:val="0"/>
      <w:divBdr>
        <w:top w:val="none" w:sz="0" w:space="0" w:color="auto"/>
        <w:left w:val="none" w:sz="0" w:space="0" w:color="auto"/>
        <w:bottom w:val="none" w:sz="0" w:space="0" w:color="auto"/>
        <w:right w:val="none" w:sz="0" w:space="0" w:color="auto"/>
      </w:divBdr>
    </w:div>
    <w:div w:id="286664216">
      <w:bodyDiv w:val="1"/>
      <w:marLeft w:val="0"/>
      <w:marRight w:val="0"/>
      <w:marTop w:val="0"/>
      <w:marBottom w:val="0"/>
      <w:divBdr>
        <w:top w:val="none" w:sz="0" w:space="0" w:color="auto"/>
        <w:left w:val="none" w:sz="0" w:space="0" w:color="auto"/>
        <w:bottom w:val="none" w:sz="0" w:space="0" w:color="auto"/>
        <w:right w:val="none" w:sz="0" w:space="0" w:color="auto"/>
      </w:divBdr>
    </w:div>
    <w:div w:id="286665463">
      <w:bodyDiv w:val="1"/>
      <w:marLeft w:val="0"/>
      <w:marRight w:val="0"/>
      <w:marTop w:val="0"/>
      <w:marBottom w:val="0"/>
      <w:divBdr>
        <w:top w:val="none" w:sz="0" w:space="0" w:color="auto"/>
        <w:left w:val="none" w:sz="0" w:space="0" w:color="auto"/>
        <w:bottom w:val="none" w:sz="0" w:space="0" w:color="auto"/>
        <w:right w:val="none" w:sz="0" w:space="0" w:color="auto"/>
      </w:divBdr>
    </w:div>
    <w:div w:id="286861915">
      <w:bodyDiv w:val="1"/>
      <w:marLeft w:val="0"/>
      <w:marRight w:val="0"/>
      <w:marTop w:val="0"/>
      <w:marBottom w:val="0"/>
      <w:divBdr>
        <w:top w:val="none" w:sz="0" w:space="0" w:color="auto"/>
        <w:left w:val="none" w:sz="0" w:space="0" w:color="auto"/>
        <w:bottom w:val="none" w:sz="0" w:space="0" w:color="auto"/>
        <w:right w:val="none" w:sz="0" w:space="0" w:color="auto"/>
      </w:divBdr>
    </w:div>
    <w:div w:id="286862440">
      <w:bodyDiv w:val="1"/>
      <w:marLeft w:val="0"/>
      <w:marRight w:val="0"/>
      <w:marTop w:val="0"/>
      <w:marBottom w:val="0"/>
      <w:divBdr>
        <w:top w:val="none" w:sz="0" w:space="0" w:color="auto"/>
        <w:left w:val="none" w:sz="0" w:space="0" w:color="auto"/>
        <w:bottom w:val="none" w:sz="0" w:space="0" w:color="auto"/>
        <w:right w:val="none" w:sz="0" w:space="0" w:color="auto"/>
      </w:divBdr>
    </w:div>
    <w:div w:id="287048444">
      <w:bodyDiv w:val="1"/>
      <w:marLeft w:val="0"/>
      <w:marRight w:val="0"/>
      <w:marTop w:val="0"/>
      <w:marBottom w:val="0"/>
      <w:divBdr>
        <w:top w:val="none" w:sz="0" w:space="0" w:color="auto"/>
        <w:left w:val="none" w:sz="0" w:space="0" w:color="auto"/>
        <w:bottom w:val="none" w:sz="0" w:space="0" w:color="auto"/>
        <w:right w:val="none" w:sz="0" w:space="0" w:color="auto"/>
      </w:divBdr>
    </w:div>
    <w:div w:id="287200288">
      <w:bodyDiv w:val="1"/>
      <w:marLeft w:val="0"/>
      <w:marRight w:val="0"/>
      <w:marTop w:val="0"/>
      <w:marBottom w:val="0"/>
      <w:divBdr>
        <w:top w:val="none" w:sz="0" w:space="0" w:color="auto"/>
        <w:left w:val="none" w:sz="0" w:space="0" w:color="auto"/>
        <w:bottom w:val="none" w:sz="0" w:space="0" w:color="auto"/>
        <w:right w:val="none" w:sz="0" w:space="0" w:color="auto"/>
      </w:divBdr>
    </w:div>
    <w:div w:id="287470326">
      <w:bodyDiv w:val="1"/>
      <w:marLeft w:val="0"/>
      <w:marRight w:val="0"/>
      <w:marTop w:val="0"/>
      <w:marBottom w:val="0"/>
      <w:divBdr>
        <w:top w:val="none" w:sz="0" w:space="0" w:color="auto"/>
        <w:left w:val="none" w:sz="0" w:space="0" w:color="auto"/>
        <w:bottom w:val="none" w:sz="0" w:space="0" w:color="auto"/>
        <w:right w:val="none" w:sz="0" w:space="0" w:color="auto"/>
      </w:divBdr>
    </w:div>
    <w:div w:id="287784450">
      <w:bodyDiv w:val="1"/>
      <w:marLeft w:val="0"/>
      <w:marRight w:val="0"/>
      <w:marTop w:val="0"/>
      <w:marBottom w:val="0"/>
      <w:divBdr>
        <w:top w:val="none" w:sz="0" w:space="0" w:color="auto"/>
        <w:left w:val="none" w:sz="0" w:space="0" w:color="auto"/>
        <w:bottom w:val="none" w:sz="0" w:space="0" w:color="auto"/>
        <w:right w:val="none" w:sz="0" w:space="0" w:color="auto"/>
      </w:divBdr>
    </w:div>
    <w:div w:id="288098002">
      <w:bodyDiv w:val="1"/>
      <w:marLeft w:val="0"/>
      <w:marRight w:val="0"/>
      <w:marTop w:val="0"/>
      <w:marBottom w:val="0"/>
      <w:divBdr>
        <w:top w:val="none" w:sz="0" w:space="0" w:color="auto"/>
        <w:left w:val="none" w:sz="0" w:space="0" w:color="auto"/>
        <w:bottom w:val="none" w:sz="0" w:space="0" w:color="auto"/>
        <w:right w:val="none" w:sz="0" w:space="0" w:color="auto"/>
      </w:divBdr>
    </w:div>
    <w:div w:id="288127368">
      <w:bodyDiv w:val="1"/>
      <w:marLeft w:val="0"/>
      <w:marRight w:val="0"/>
      <w:marTop w:val="0"/>
      <w:marBottom w:val="0"/>
      <w:divBdr>
        <w:top w:val="none" w:sz="0" w:space="0" w:color="auto"/>
        <w:left w:val="none" w:sz="0" w:space="0" w:color="auto"/>
        <w:bottom w:val="none" w:sz="0" w:space="0" w:color="auto"/>
        <w:right w:val="none" w:sz="0" w:space="0" w:color="auto"/>
      </w:divBdr>
    </w:div>
    <w:div w:id="288127725">
      <w:bodyDiv w:val="1"/>
      <w:marLeft w:val="0"/>
      <w:marRight w:val="0"/>
      <w:marTop w:val="0"/>
      <w:marBottom w:val="0"/>
      <w:divBdr>
        <w:top w:val="none" w:sz="0" w:space="0" w:color="auto"/>
        <w:left w:val="none" w:sz="0" w:space="0" w:color="auto"/>
        <w:bottom w:val="none" w:sz="0" w:space="0" w:color="auto"/>
        <w:right w:val="none" w:sz="0" w:space="0" w:color="auto"/>
      </w:divBdr>
    </w:div>
    <w:div w:id="288168957">
      <w:bodyDiv w:val="1"/>
      <w:marLeft w:val="0"/>
      <w:marRight w:val="0"/>
      <w:marTop w:val="0"/>
      <w:marBottom w:val="0"/>
      <w:divBdr>
        <w:top w:val="none" w:sz="0" w:space="0" w:color="auto"/>
        <w:left w:val="none" w:sz="0" w:space="0" w:color="auto"/>
        <w:bottom w:val="none" w:sz="0" w:space="0" w:color="auto"/>
        <w:right w:val="none" w:sz="0" w:space="0" w:color="auto"/>
      </w:divBdr>
    </w:div>
    <w:div w:id="288320165">
      <w:bodyDiv w:val="1"/>
      <w:marLeft w:val="0"/>
      <w:marRight w:val="0"/>
      <w:marTop w:val="0"/>
      <w:marBottom w:val="0"/>
      <w:divBdr>
        <w:top w:val="none" w:sz="0" w:space="0" w:color="auto"/>
        <w:left w:val="none" w:sz="0" w:space="0" w:color="auto"/>
        <w:bottom w:val="none" w:sz="0" w:space="0" w:color="auto"/>
        <w:right w:val="none" w:sz="0" w:space="0" w:color="auto"/>
      </w:divBdr>
    </w:div>
    <w:div w:id="288323508">
      <w:bodyDiv w:val="1"/>
      <w:marLeft w:val="0"/>
      <w:marRight w:val="0"/>
      <w:marTop w:val="0"/>
      <w:marBottom w:val="0"/>
      <w:divBdr>
        <w:top w:val="none" w:sz="0" w:space="0" w:color="auto"/>
        <w:left w:val="none" w:sz="0" w:space="0" w:color="auto"/>
        <w:bottom w:val="none" w:sz="0" w:space="0" w:color="auto"/>
        <w:right w:val="none" w:sz="0" w:space="0" w:color="auto"/>
      </w:divBdr>
    </w:div>
    <w:div w:id="288628742">
      <w:bodyDiv w:val="1"/>
      <w:marLeft w:val="0"/>
      <w:marRight w:val="0"/>
      <w:marTop w:val="0"/>
      <w:marBottom w:val="0"/>
      <w:divBdr>
        <w:top w:val="none" w:sz="0" w:space="0" w:color="auto"/>
        <w:left w:val="none" w:sz="0" w:space="0" w:color="auto"/>
        <w:bottom w:val="none" w:sz="0" w:space="0" w:color="auto"/>
        <w:right w:val="none" w:sz="0" w:space="0" w:color="auto"/>
      </w:divBdr>
    </w:div>
    <w:div w:id="288752633">
      <w:bodyDiv w:val="1"/>
      <w:marLeft w:val="0"/>
      <w:marRight w:val="0"/>
      <w:marTop w:val="0"/>
      <w:marBottom w:val="0"/>
      <w:divBdr>
        <w:top w:val="none" w:sz="0" w:space="0" w:color="auto"/>
        <w:left w:val="none" w:sz="0" w:space="0" w:color="auto"/>
        <w:bottom w:val="none" w:sz="0" w:space="0" w:color="auto"/>
        <w:right w:val="none" w:sz="0" w:space="0" w:color="auto"/>
      </w:divBdr>
    </w:div>
    <w:div w:id="288823699">
      <w:bodyDiv w:val="1"/>
      <w:marLeft w:val="0"/>
      <w:marRight w:val="0"/>
      <w:marTop w:val="0"/>
      <w:marBottom w:val="0"/>
      <w:divBdr>
        <w:top w:val="none" w:sz="0" w:space="0" w:color="auto"/>
        <w:left w:val="none" w:sz="0" w:space="0" w:color="auto"/>
        <w:bottom w:val="none" w:sz="0" w:space="0" w:color="auto"/>
        <w:right w:val="none" w:sz="0" w:space="0" w:color="auto"/>
      </w:divBdr>
    </w:div>
    <w:div w:id="288905164">
      <w:bodyDiv w:val="1"/>
      <w:marLeft w:val="0"/>
      <w:marRight w:val="0"/>
      <w:marTop w:val="0"/>
      <w:marBottom w:val="0"/>
      <w:divBdr>
        <w:top w:val="none" w:sz="0" w:space="0" w:color="auto"/>
        <w:left w:val="none" w:sz="0" w:space="0" w:color="auto"/>
        <w:bottom w:val="none" w:sz="0" w:space="0" w:color="auto"/>
        <w:right w:val="none" w:sz="0" w:space="0" w:color="auto"/>
      </w:divBdr>
    </w:div>
    <w:div w:id="289016814">
      <w:bodyDiv w:val="1"/>
      <w:marLeft w:val="0"/>
      <w:marRight w:val="0"/>
      <w:marTop w:val="0"/>
      <w:marBottom w:val="0"/>
      <w:divBdr>
        <w:top w:val="none" w:sz="0" w:space="0" w:color="auto"/>
        <w:left w:val="none" w:sz="0" w:space="0" w:color="auto"/>
        <w:bottom w:val="none" w:sz="0" w:space="0" w:color="auto"/>
        <w:right w:val="none" w:sz="0" w:space="0" w:color="auto"/>
      </w:divBdr>
    </w:div>
    <w:div w:id="289361069">
      <w:bodyDiv w:val="1"/>
      <w:marLeft w:val="0"/>
      <w:marRight w:val="0"/>
      <w:marTop w:val="0"/>
      <w:marBottom w:val="0"/>
      <w:divBdr>
        <w:top w:val="none" w:sz="0" w:space="0" w:color="auto"/>
        <w:left w:val="none" w:sz="0" w:space="0" w:color="auto"/>
        <w:bottom w:val="none" w:sz="0" w:space="0" w:color="auto"/>
        <w:right w:val="none" w:sz="0" w:space="0" w:color="auto"/>
      </w:divBdr>
    </w:div>
    <w:div w:id="289364985">
      <w:bodyDiv w:val="1"/>
      <w:marLeft w:val="0"/>
      <w:marRight w:val="0"/>
      <w:marTop w:val="0"/>
      <w:marBottom w:val="0"/>
      <w:divBdr>
        <w:top w:val="none" w:sz="0" w:space="0" w:color="auto"/>
        <w:left w:val="none" w:sz="0" w:space="0" w:color="auto"/>
        <w:bottom w:val="none" w:sz="0" w:space="0" w:color="auto"/>
        <w:right w:val="none" w:sz="0" w:space="0" w:color="auto"/>
      </w:divBdr>
    </w:div>
    <w:div w:id="289366767">
      <w:bodyDiv w:val="1"/>
      <w:marLeft w:val="0"/>
      <w:marRight w:val="0"/>
      <w:marTop w:val="0"/>
      <w:marBottom w:val="0"/>
      <w:divBdr>
        <w:top w:val="none" w:sz="0" w:space="0" w:color="auto"/>
        <w:left w:val="none" w:sz="0" w:space="0" w:color="auto"/>
        <w:bottom w:val="none" w:sz="0" w:space="0" w:color="auto"/>
        <w:right w:val="none" w:sz="0" w:space="0" w:color="auto"/>
      </w:divBdr>
    </w:div>
    <w:div w:id="289483857">
      <w:bodyDiv w:val="1"/>
      <w:marLeft w:val="0"/>
      <w:marRight w:val="0"/>
      <w:marTop w:val="0"/>
      <w:marBottom w:val="0"/>
      <w:divBdr>
        <w:top w:val="none" w:sz="0" w:space="0" w:color="auto"/>
        <w:left w:val="none" w:sz="0" w:space="0" w:color="auto"/>
        <w:bottom w:val="none" w:sz="0" w:space="0" w:color="auto"/>
        <w:right w:val="none" w:sz="0" w:space="0" w:color="auto"/>
      </w:divBdr>
    </w:div>
    <w:div w:id="289555783">
      <w:bodyDiv w:val="1"/>
      <w:marLeft w:val="0"/>
      <w:marRight w:val="0"/>
      <w:marTop w:val="0"/>
      <w:marBottom w:val="0"/>
      <w:divBdr>
        <w:top w:val="none" w:sz="0" w:space="0" w:color="auto"/>
        <w:left w:val="none" w:sz="0" w:space="0" w:color="auto"/>
        <w:bottom w:val="none" w:sz="0" w:space="0" w:color="auto"/>
        <w:right w:val="none" w:sz="0" w:space="0" w:color="auto"/>
      </w:divBdr>
    </w:div>
    <w:div w:id="289557750">
      <w:bodyDiv w:val="1"/>
      <w:marLeft w:val="0"/>
      <w:marRight w:val="0"/>
      <w:marTop w:val="0"/>
      <w:marBottom w:val="0"/>
      <w:divBdr>
        <w:top w:val="none" w:sz="0" w:space="0" w:color="auto"/>
        <w:left w:val="none" w:sz="0" w:space="0" w:color="auto"/>
        <w:bottom w:val="none" w:sz="0" w:space="0" w:color="auto"/>
        <w:right w:val="none" w:sz="0" w:space="0" w:color="auto"/>
      </w:divBdr>
    </w:div>
    <w:div w:id="289629116">
      <w:bodyDiv w:val="1"/>
      <w:marLeft w:val="0"/>
      <w:marRight w:val="0"/>
      <w:marTop w:val="0"/>
      <w:marBottom w:val="0"/>
      <w:divBdr>
        <w:top w:val="none" w:sz="0" w:space="0" w:color="auto"/>
        <w:left w:val="none" w:sz="0" w:space="0" w:color="auto"/>
        <w:bottom w:val="none" w:sz="0" w:space="0" w:color="auto"/>
        <w:right w:val="none" w:sz="0" w:space="0" w:color="auto"/>
      </w:divBdr>
    </w:div>
    <w:div w:id="289671713">
      <w:bodyDiv w:val="1"/>
      <w:marLeft w:val="0"/>
      <w:marRight w:val="0"/>
      <w:marTop w:val="0"/>
      <w:marBottom w:val="0"/>
      <w:divBdr>
        <w:top w:val="none" w:sz="0" w:space="0" w:color="auto"/>
        <w:left w:val="none" w:sz="0" w:space="0" w:color="auto"/>
        <w:bottom w:val="none" w:sz="0" w:space="0" w:color="auto"/>
        <w:right w:val="none" w:sz="0" w:space="0" w:color="auto"/>
      </w:divBdr>
    </w:div>
    <w:div w:id="290477843">
      <w:bodyDiv w:val="1"/>
      <w:marLeft w:val="0"/>
      <w:marRight w:val="0"/>
      <w:marTop w:val="0"/>
      <w:marBottom w:val="0"/>
      <w:divBdr>
        <w:top w:val="none" w:sz="0" w:space="0" w:color="auto"/>
        <w:left w:val="none" w:sz="0" w:space="0" w:color="auto"/>
        <w:bottom w:val="none" w:sz="0" w:space="0" w:color="auto"/>
        <w:right w:val="none" w:sz="0" w:space="0" w:color="auto"/>
      </w:divBdr>
    </w:div>
    <w:div w:id="290944121">
      <w:bodyDiv w:val="1"/>
      <w:marLeft w:val="0"/>
      <w:marRight w:val="0"/>
      <w:marTop w:val="0"/>
      <w:marBottom w:val="0"/>
      <w:divBdr>
        <w:top w:val="none" w:sz="0" w:space="0" w:color="auto"/>
        <w:left w:val="none" w:sz="0" w:space="0" w:color="auto"/>
        <w:bottom w:val="none" w:sz="0" w:space="0" w:color="auto"/>
        <w:right w:val="none" w:sz="0" w:space="0" w:color="auto"/>
      </w:divBdr>
    </w:div>
    <w:div w:id="290988536">
      <w:bodyDiv w:val="1"/>
      <w:marLeft w:val="0"/>
      <w:marRight w:val="0"/>
      <w:marTop w:val="0"/>
      <w:marBottom w:val="0"/>
      <w:divBdr>
        <w:top w:val="none" w:sz="0" w:space="0" w:color="auto"/>
        <w:left w:val="none" w:sz="0" w:space="0" w:color="auto"/>
        <w:bottom w:val="none" w:sz="0" w:space="0" w:color="auto"/>
        <w:right w:val="none" w:sz="0" w:space="0" w:color="auto"/>
      </w:divBdr>
    </w:div>
    <w:div w:id="291134581">
      <w:bodyDiv w:val="1"/>
      <w:marLeft w:val="0"/>
      <w:marRight w:val="0"/>
      <w:marTop w:val="0"/>
      <w:marBottom w:val="0"/>
      <w:divBdr>
        <w:top w:val="none" w:sz="0" w:space="0" w:color="auto"/>
        <w:left w:val="none" w:sz="0" w:space="0" w:color="auto"/>
        <w:bottom w:val="none" w:sz="0" w:space="0" w:color="auto"/>
        <w:right w:val="none" w:sz="0" w:space="0" w:color="auto"/>
      </w:divBdr>
    </w:div>
    <w:div w:id="291328249">
      <w:bodyDiv w:val="1"/>
      <w:marLeft w:val="0"/>
      <w:marRight w:val="0"/>
      <w:marTop w:val="0"/>
      <w:marBottom w:val="0"/>
      <w:divBdr>
        <w:top w:val="none" w:sz="0" w:space="0" w:color="auto"/>
        <w:left w:val="none" w:sz="0" w:space="0" w:color="auto"/>
        <w:bottom w:val="none" w:sz="0" w:space="0" w:color="auto"/>
        <w:right w:val="none" w:sz="0" w:space="0" w:color="auto"/>
      </w:divBdr>
    </w:div>
    <w:div w:id="291518359">
      <w:bodyDiv w:val="1"/>
      <w:marLeft w:val="0"/>
      <w:marRight w:val="0"/>
      <w:marTop w:val="0"/>
      <w:marBottom w:val="0"/>
      <w:divBdr>
        <w:top w:val="none" w:sz="0" w:space="0" w:color="auto"/>
        <w:left w:val="none" w:sz="0" w:space="0" w:color="auto"/>
        <w:bottom w:val="none" w:sz="0" w:space="0" w:color="auto"/>
        <w:right w:val="none" w:sz="0" w:space="0" w:color="auto"/>
      </w:divBdr>
    </w:div>
    <w:div w:id="291906141">
      <w:bodyDiv w:val="1"/>
      <w:marLeft w:val="0"/>
      <w:marRight w:val="0"/>
      <w:marTop w:val="0"/>
      <w:marBottom w:val="0"/>
      <w:divBdr>
        <w:top w:val="none" w:sz="0" w:space="0" w:color="auto"/>
        <w:left w:val="none" w:sz="0" w:space="0" w:color="auto"/>
        <w:bottom w:val="none" w:sz="0" w:space="0" w:color="auto"/>
        <w:right w:val="none" w:sz="0" w:space="0" w:color="auto"/>
      </w:divBdr>
    </w:div>
    <w:div w:id="291981529">
      <w:bodyDiv w:val="1"/>
      <w:marLeft w:val="0"/>
      <w:marRight w:val="0"/>
      <w:marTop w:val="0"/>
      <w:marBottom w:val="0"/>
      <w:divBdr>
        <w:top w:val="none" w:sz="0" w:space="0" w:color="auto"/>
        <w:left w:val="none" w:sz="0" w:space="0" w:color="auto"/>
        <w:bottom w:val="none" w:sz="0" w:space="0" w:color="auto"/>
        <w:right w:val="none" w:sz="0" w:space="0" w:color="auto"/>
      </w:divBdr>
    </w:div>
    <w:div w:id="292099980">
      <w:bodyDiv w:val="1"/>
      <w:marLeft w:val="0"/>
      <w:marRight w:val="0"/>
      <w:marTop w:val="0"/>
      <w:marBottom w:val="0"/>
      <w:divBdr>
        <w:top w:val="none" w:sz="0" w:space="0" w:color="auto"/>
        <w:left w:val="none" w:sz="0" w:space="0" w:color="auto"/>
        <w:bottom w:val="none" w:sz="0" w:space="0" w:color="auto"/>
        <w:right w:val="none" w:sz="0" w:space="0" w:color="auto"/>
      </w:divBdr>
    </w:div>
    <w:div w:id="292104317">
      <w:bodyDiv w:val="1"/>
      <w:marLeft w:val="0"/>
      <w:marRight w:val="0"/>
      <w:marTop w:val="0"/>
      <w:marBottom w:val="0"/>
      <w:divBdr>
        <w:top w:val="none" w:sz="0" w:space="0" w:color="auto"/>
        <w:left w:val="none" w:sz="0" w:space="0" w:color="auto"/>
        <w:bottom w:val="none" w:sz="0" w:space="0" w:color="auto"/>
        <w:right w:val="none" w:sz="0" w:space="0" w:color="auto"/>
      </w:divBdr>
    </w:div>
    <w:div w:id="292447932">
      <w:bodyDiv w:val="1"/>
      <w:marLeft w:val="0"/>
      <w:marRight w:val="0"/>
      <w:marTop w:val="0"/>
      <w:marBottom w:val="0"/>
      <w:divBdr>
        <w:top w:val="none" w:sz="0" w:space="0" w:color="auto"/>
        <w:left w:val="none" w:sz="0" w:space="0" w:color="auto"/>
        <w:bottom w:val="none" w:sz="0" w:space="0" w:color="auto"/>
        <w:right w:val="none" w:sz="0" w:space="0" w:color="auto"/>
      </w:divBdr>
    </w:div>
    <w:div w:id="292560664">
      <w:bodyDiv w:val="1"/>
      <w:marLeft w:val="0"/>
      <w:marRight w:val="0"/>
      <w:marTop w:val="0"/>
      <w:marBottom w:val="0"/>
      <w:divBdr>
        <w:top w:val="none" w:sz="0" w:space="0" w:color="auto"/>
        <w:left w:val="none" w:sz="0" w:space="0" w:color="auto"/>
        <w:bottom w:val="none" w:sz="0" w:space="0" w:color="auto"/>
        <w:right w:val="none" w:sz="0" w:space="0" w:color="auto"/>
      </w:divBdr>
    </w:div>
    <w:div w:id="292831986">
      <w:bodyDiv w:val="1"/>
      <w:marLeft w:val="0"/>
      <w:marRight w:val="0"/>
      <w:marTop w:val="0"/>
      <w:marBottom w:val="0"/>
      <w:divBdr>
        <w:top w:val="none" w:sz="0" w:space="0" w:color="auto"/>
        <w:left w:val="none" w:sz="0" w:space="0" w:color="auto"/>
        <w:bottom w:val="none" w:sz="0" w:space="0" w:color="auto"/>
        <w:right w:val="none" w:sz="0" w:space="0" w:color="auto"/>
      </w:divBdr>
    </w:div>
    <w:div w:id="292950587">
      <w:bodyDiv w:val="1"/>
      <w:marLeft w:val="0"/>
      <w:marRight w:val="0"/>
      <w:marTop w:val="0"/>
      <w:marBottom w:val="0"/>
      <w:divBdr>
        <w:top w:val="none" w:sz="0" w:space="0" w:color="auto"/>
        <w:left w:val="none" w:sz="0" w:space="0" w:color="auto"/>
        <w:bottom w:val="none" w:sz="0" w:space="0" w:color="auto"/>
        <w:right w:val="none" w:sz="0" w:space="0" w:color="auto"/>
      </w:divBdr>
    </w:div>
    <w:div w:id="293607415">
      <w:bodyDiv w:val="1"/>
      <w:marLeft w:val="0"/>
      <w:marRight w:val="0"/>
      <w:marTop w:val="0"/>
      <w:marBottom w:val="0"/>
      <w:divBdr>
        <w:top w:val="none" w:sz="0" w:space="0" w:color="auto"/>
        <w:left w:val="none" w:sz="0" w:space="0" w:color="auto"/>
        <w:bottom w:val="none" w:sz="0" w:space="0" w:color="auto"/>
        <w:right w:val="none" w:sz="0" w:space="0" w:color="auto"/>
      </w:divBdr>
    </w:div>
    <w:div w:id="294070419">
      <w:bodyDiv w:val="1"/>
      <w:marLeft w:val="0"/>
      <w:marRight w:val="0"/>
      <w:marTop w:val="0"/>
      <w:marBottom w:val="0"/>
      <w:divBdr>
        <w:top w:val="none" w:sz="0" w:space="0" w:color="auto"/>
        <w:left w:val="none" w:sz="0" w:space="0" w:color="auto"/>
        <w:bottom w:val="none" w:sz="0" w:space="0" w:color="auto"/>
        <w:right w:val="none" w:sz="0" w:space="0" w:color="auto"/>
      </w:divBdr>
    </w:div>
    <w:div w:id="294801985">
      <w:bodyDiv w:val="1"/>
      <w:marLeft w:val="0"/>
      <w:marRight w:val="0"/>
      <w:marTop w:val="0"/>
      <w:marBottom w:val="0"/>
      <w:divBdr>
        <w:top w:val="none" w:sz="0" w:space="0" w:color="auto"/>
        <w:left w:val="none" w:sz="0" w:space="0" w:color="auto"/>
        <w:bottom w:val="none" w:sz="0" w:space="0" w:color="auto"/>
        <w:right w:val="none" w:sz="0" w:space="0" w:color="auto"/>
      </w:divBdr>
    </w:div>
    <w:div w:id="295112994">
      <w:bodyDiv w:val="1"/>
      <w:marLeft w:val="0"/>
      <w:marRight w:val="0"/>
      <w:marTop w:val="0"/>
      <w:marBottom w:val="0"/>
      <w:divBdr>
        <w:top w:val="none" w:sz="0" w:space="0" w:color="auto"/>
        <w:left w:val="none" w:sz="0" w:space="0" w:color="auto"/>
        <w:bottom w:val="none" w:sz="0" w:space="0" w:color="auto"/>
        <w:right w:val="none" w:sz="0" w:space="0" w:color="auto"/>
      </w:divBdr>
    </w:div>
    <w:div w:id="295456825">
      <w:bodyDiv w:val="1"/>
      <w:marLeft w:val="0"/>
      <w:marRight w:val="0"/>
      <w:marTop w:val="0"/>
      <w:marBottom w:val="0"/>
      <w:divBdr>
        <w:top w:val="none" w:sz="0" w:space="0" w:color="auto"/>
        <w:left w:val="none" w:sz="0" w:space="0" w:color="auto"/>
        <w:bottom w:val="none" w:sz="0" w:space="0" w:color="auto"/>
        <w:right w:val="none" w:sz="0" w:space="0" w:color="auto"/>
      </w:divBdr>
    </w:div>
    <w:div w:id="295570506">
      <w:bodyDiv w:val="1"/>
      <w:marLeft w:val="0"/>
      <w:marRight w:val="0"/>
      <w:marTop w:val="0"/>
      <w:marBottom w:val="0"/>
      <w:divBdr>
        <w:top w:val="none" w:sz="0" w:space="0" w:color="auto"/>
        <w:left w:val="none" w:sz="0" w:space="0" w:color="auto"/>
        <w:bottom w:val="none" w:sz="0" w:space="0" w:color="auto"/>
        <w:right w:val="none" w:sz="0" w:space="0" w:color="auto"/>
      </w:divBdr>
    </w:div>
    <w:div w:id="295646662">
      <w:bodyDiv w:val="1"/>
      <w:marLeft w:val="0"/>
      <w:marRight w:val="0"/>
      <w:marTop w:val="0"/>
      <w:marBottom w:val="0"/>
      <w:divBdr>
        <w:top w:val="none" w:sz="0" w:space="0" w:color="auto"/>
        <w:left w:val="none" w:sz="0" w:space="0" w:color="auto"/>
        <w:bottom w:val="none" w:sz="0" w:space="0" w:color="auto"/>
        <w:right w:val="none" w:sz="0" w:space="0" w:color="auto"/>
      </w:divBdr>
    </w:div>
    <w:div w:id="295766435">
      <w:bodyDiv w:val="1"/>
      <w:marLeft w:val="0"/>
      <w:marRight w:val="0"/>
      <w:marTop w:val="0"/>
      <w:marBottom w:val="0"/>
      <w:divBdr>
        <w:top w:val="none" w:sz="0" w:space="0" w:color="auto"/>
        <w:left w:val="none" w:sz="0" w:space="0" w:color="auto"/>
        <w:bottom w:val="none" w:sz="0" w:space="0" w:color="auto"/>
        <w:right w:val="none" w:sz="0" w:space="0" w:color="auto"/>
      </w:divBdr>
    </w:div>
    <w:div w:id="295962341">
      <w:bodyDiv w:val="1"/>
      <w:marLeft w:val="0"/>
      <w:marRight w:val="0"/>
      <w:marTop w:val="0"/>
      <w:marBottom w:val="0"/>
      <w:divBdr>
        <w:top w:val="none" w:sz="0" w:space="0" w:color="auto"/>
        <w:left w:val="none" w:sz="0" w:space="0" w:color="auto"/>
        <w:bottom w:val="none" w:sz="0" w:space="0" w:color="auto"/>
        <w:right w:val="none" w:sz="0" w:space="0" w:color="auto"/>
      </w:divBdr>
    </w:div>
    <w:div w:id="296569862">
      <w:bodyDiv w:val="1"/>
      <w:marLeft w:val="0"/>
      <w:marRight w:val="0"/>
      <w:marTop w:val="0"/>
      <w:marBottom w:val="0"/>
      <w:divBdr>
        <w:top w:val="none" w:sz="0" w:space="0" w:color="auto"/>
        <w:left w:val="none" w:sz="0" w:space="0" w:color="auto"/>
        <w:bottom w:val="none" w:sz="0" w:space="0" w:color="auto"/>
        <w:right w:val="none" w:sz="0" w:space="0" w:color="auto"/>
      </w:divBdr>
    </w:div>
    <w:div w:id="297027799">
      <w:bodyDiv w:val="1"/>
      <w:marLeft w:val="0"/>
      <w:marRight w:val="0"/>
      <w:marTop w:val="0"/>
      <w:marBottom w:val="0"/>
      <w:divBdr>
        <w:top w:val="none" w:sz="0" w:space="0" w:color="auto"/>
        <w:left w:val="none" w:sz="0" w:space="0" w:color="auto"/>
        <w:bottom w:val="none" w:sz="0" w:space="0" w:color="auto"/>
        <w:right w:val="none" w:sz="0" w:space="0" w:color="auto"/>
      </w:divBdr>
    </w:div>
    <w:div w:id="297075757">
      <w:bodyDiv w:val="1"/>
      <w:marLeft w:val="0"/>
      <w:marRight w:val="0"/>
      <w:marTop w:val="0"/>
      <w:marBottom w:val="0"/>
      <w:divBdr>
        <w:top w:val="none" w:sz="0" w:space="0" w:color="auto"/>
        <w:left w:val="none" w:sz="0" w:space="0" w:color="auto"/>
        <w:bottom w:val="none" w:sz="0" w:space="0" w:color="auto"/>
        <w:right w:val="none" w:sz="0" w:space="0" w:color="auto"/>
      </w:divBdr>
    </w:div>
    <w:div w:id="297222541">
      <w:bodyDiv w:val="1"/>
      <w:marLeft w:val="0"/>
      <w:marRight w:val="0"/>
      <w:marTop w:val="0"/>
      <w:marBottom w:val="0"/>
      <w:divBdr>
        <w:top w:val="none" w:sz="0" w:space="0" w:color="auto"/>
        <w:left w:val="none" w:sz="0" w:space="0" w:color="auto"/>
        <w:bottom w:val="none" w:sz="0" w:space="0" w:color="auto"/>
        <w:right w:val="none" w:sz="0" w:space="0" w:color="auto"/>
      </w:divBdr>
    </w:div>
    <w:div w:id="297417682">
      <w:bodyDiv w:val="1"/>
      <w:marLeft w:val="0"/>
      <w:marRight w:val="0"/>
      <w:marTop w:val="0"/>
      <w:marBottom w:val="0"/>
      <w:divBdr>
        <w:top w:val="none" w:sz="0" w:space="0" w:color="auto"/>
        <w:left w:val="none" w:sz="0" w:space="0" w:color="auto"/>
        <w:bottom w:val="none" w:sz="0" w:space="0" w:color="auto"/>
        <w:right w:val="none" w:sz="0" w:space="0" w:color="auto"/>
      </w:divBdr>
    </w:div>
    <w:div w:id="297533811">
      <w:bodyDiv w:val="1"/>
      <w:marLeft w:val="0"/>
      <w:marRight w:val="0"/>
      <w:marTop w:val="0"/>
      <w:marBottom w:val="0"/>
      <w:divBdr>
        <w:top w:val="none" w:sz="0" w:space="0" w:color="auto"/>
        <w:left w:val="none" w:sz="0" w:space="0" w:color="auto"/>
        <w:bottom w:val="none" w:sz="0" w:space="0" w:color="auto"/>
        <w:right w:val="none" w:sz="0" w:space="0" w:color="auto"/>
      </w:divBdr>
    </w:div>
    <w:div w:id="297808887">
      <w:bodyDiv w:val="1"/>
      <w:marLeft w:val="0"/>
      <w:marRight w:val="0"/>
      <w:marTop w:val="0"/>
      <w:marBottom w:val="0"/>
      <w:divBdr>
        <w:top w:val="none" w:sz="0" w:space="0" w:color="auto"/>
        <w:left w:val="none" w:sz="0" w:space="0" w:color="auto"/>
        <w:bottom w:val="none" w:sz="0" w:space="0" w:color="auto"/>
        <w:right w:val="none" w:sz="0" w:space="0" w:color="auto"/>
      </w:divBdr>
    </w:div>
    <w:div w:id="298607032">
      <w:bodyDiv w:val="1"/>
      <w:marLeft w:val="0"/>
      <w:marRight w:val="0"/>
      <w:marTop w:val="0"/>
      <w:marBottom w:val="0"/>
      <w:divBdr>
        <w:top w:val="none" w:sz="0" w:space="0" w:color="auto"/>
        <w:left w:val="none" w:sz="0" w:space="0" w:color="auto"/>
        <w:bottom w:val="none" w:sz="0" w:space="0" w:color="auto"/>
        <w:right w:val="none" w:sz="0" w:space="0" w:color="auto"/>
      </w:divBdr>
    </w:div>
    <w:div w:id="298918672">
      <w:bodyDiv w:val="1"/>
      <w:marLeft w:val="0"/>
      <w:marRight w:val="0"/>
      <w:marTop w:val="0"/>
      <w:marBottom w:val="0"/>
      <w:divBdr>
        <w:top w:val="none" w:sz="0" w:space="0" w:color="auto"/>
        <w:left w:val="none" w:sz="0" w:space="0" w:color="auto"/>
        <w:bottom w:val="none" w:sz="0" w:space="0" w:color="auto"/>
        <w:right w:val="none" w:sz="0" w:space="0" w:color="auto"/>
      </w:divBdr>
    </w:div>
    <w:div w:id="299114739">
      <w:bodyDiv w:val="1"/>
      <w:marLeft w:val="0"/>
      <w:marRight w:val="0"/>
      <w:marTop w:val="0"/>
      <w:marBottom w:val="0"/>
      <w:divBdr>
        <w:top w:val="none" w:sz="0" w:space="0" w:color="auto"/>
        <w:left w:val="none" w:sz="0" w:space="0" w:color="auto"/>
        <w:bottom w:val="none" w:sz="0" w:space="0" w:color="auto"/>
        <w:right w:val="none" w:sz="0" w:space="0" w:color="auto"/>
      </w:divBdr>
    </w:div>
    <w:div w:id="299188304">
      <w:bodyDiv w:val="1"/>
      <w:marLeft w:val="0"/>
      <w:marRight w:val="0"/>
      <w:marTop w:val="0"/>
      <w:marBottom w:val="0"/>
      <w:divBdr>
        <w:top w:val="none" w:sz="0" w:space="0" w:color="auto"/>
        <w:left w:val="none" w:sz="0" w:space="0" w:color="auto"/>
        <w:bottom w:val="none" w:sz="0" w:space="0" w:color="auto"/>
        <w:right w:val="none" w:sz="0" w:space="0" w:color="auto"/>
      </w:divBdr>
    </w:div>
    <w:div w:id="299845089">
      <w:bodyDiv w:val="1"/>
      <w:marLeft w:val="0"/>
      <w:marRight w:val="0"/>
      <w:marTop w:val="0"/>
      <w:marBottom w:val="0"/>
      <w:divBdr>
        <w:top w:val="none" w:sz="0" w:space="0" w:color="auto"/>
        <w:left w:val="none" w:sz="0" w:space="0" w:color="auto"/>
        <w:bottom w:val="none" w:sz="0" w:space="0" w:color="auto"/>
        <w:right w:val="none" w:sz="0" w:space="0" w:color="auto"/>
      </w:divBdr>
    </w:div>
    <w:div w:id="299917716">
      <w:bodyDiv w:val="1"/>
      <w:marLeft w:val="0"/>
      <w:marRight w:val="0"/>
      <w:marTop w:val="0"/>
      <w:marBottom w:val="0"/>
      <w:divBdr>
        <w:top w:val="none" w:sz="0" w:space="0" w:color="auto"/>
        <w:left w:val="none" w:sz="0" w:space="0" w:color="auto"/>
        <w:bottom w:val="none" w:sz="0" w:space="0" w:color="auto"/>
        <w:right w:val="none" w:sz="0" w:space="0" w:color="auto"/>
      </w:divBdr>
    </w:div>
    <w:div w:id="300162129">
      <w:bodyDiv w:val="1"/>
      <w:marLeft w:val="0"/>
      <w:marRight w:val="0"/>
      <w:marTop w:val="0"/>
      <w:marBottom w:val="0"/>
      <w:divBdr>
        <w:top w:val="none" w:sz="0" w:space="0" w:color="auto"/>
        <w:left w:val="none" w:sz="0" w:space="0" w:color="auto"/>
        <w:bottom w:val="none" w:sz="0" w:space="0" w:color="auto"/>
        <w:right w:val="none" w:sz="0" w:space="0" w:color="auto"/>
      </w:divBdr>
    </w:div>
    <w:div w:id="300228435">
      <w:bodyDiv w:val="1"/>
      <w:marLeft w:val="0"/>
      <w:marRight w:val="0"/>
      <w:marTop w:val="0"/>
      <w:marBottom w:val="0"/>
      <w:divBdr>
        <w:top w:val="none" w:sz="0" w:space="0" w:color="auto"/>
        <w:left w:val="none" w:sz="0" w:space="0" w:color="auto"/>
        <w:bottom w:val="none" w:sz="0" w:space="0" w:color="auto"/>
        <w:right w:val="none" w:sz="0" w:space="0" w:color="auto"/>
      </w:divBdr>
    </w:div>
    <w:div w:id="300382321">
      <w:bodyDiv w:val="1"/>
      <w:marLeft w:val="0"/>
      <w:marRight w:val="0"/>
      <w:marTop w:val="0"/>
      <w:marBottom w:val="0"/>
      <w:divBdr>
        <w:top w:val="none" w:sz="0" w:space="0" w:color="auto"/>
        <w:left w:val="none" w:sz="0" w:space="0" w:color="auto"/>
        <w:bottom w:val="none" w:sz="0" w:space="0" w:color="auto"/>
        <w:right w:val="none" w:sz="0" w:space="0" w:color="auto"/>
      </w:divBdr>
    </w:div>
    <w:div w:id="300500836">
      <w:bodyDiv w:val="1"/>
      <w:marLeft w:val="0"/>
      <w:marRight w:val="0"/>
      <w:marTop w:val="0"/>
      <w:marBottom w:val="0"/>
      <w:divBdr>
        <w:top w:val="none" w:sz="0" w:space="0" w:color="auto"/>
        <w:left w:val="none" w:sz="0" w:space="0" w:color="auto"/>
        <w:bottom w:val="none" w:sz="0" w:space="0" w:color="auto"/>
        <w:right w:val="none" w:sz="0" w:space="0" w:color="auto"/>
      </w:divBdr>
    </w:div>
    <w:div w:id="300623852">
      <w:bodyDiv w:val="1"/>
      <w:marLeft w:val="0"/>
      <w:marRight w:val="0"/>
      <w:marTop w:val="0"/>
      <w:marBottom w:val="0"/>
      <w:divBdr>
        <w:top w:val="none" w:sz="0" w:space="0" w:color="auto"/>
        <w:left w:val="none" w:sz="0" w:space="0" w:color="auto"/>
        <w:bottom w:val="none" w:sz="0" w:space="0" w:color="auto"/>
        <w:right w:val="none" w:sz="0" w:space="0" w:color="auto"/>
      </w:divBdr>
    </w:div>
    <w:div w:id="300699588">
      <w:bodyDiv w:val="1"/>
      <w:marLeft w:val="0"/>
      <w:marRight w:val="0"/>
      <w:marTop w:val="0"/>
      <w:marBottom w:val="0"/>
      <w:divBdr>
        <w:top w:val="none" w:sz="0" w:space="0" w:color="auto"/>
        <w:left w:val="none" w:sz="0" w:space="0" w:color="auto"/>
        <w:bottom w:val="none" w:sz="0" w:space="0" w:color="auto"/>
        <w:right w:val="none" w:sz="0" w:space="0" w:color="auto"/>
      </w:divBdr>
    </w:div>
    <w:div w:id="300841271">
      <w:bodyDiv w:val="1"/>
      <w:marLeft w:val="0"/>
      <w:marRight w:val="0"/>
      <w:marTop w:val="0"/>
      <w:marBottom w:val="0"/>
      <w:divBdr>
        <w:top w:val="none" w:sz="0" w:space="0" w:color="auto"/>
        <w:left w:val="none" w:sz="0" w:space="0" w:color="auto"/>
        <w:bottom w:val="none" w:sz="0" w:space="0" w:color="auto"/>
        <w:right w:val="none" w:sz="0" w:space="0" w:color="auto"/>
      </w:divBdr>
    </w:div>
    <w:div w:id="301010228">
      <w:bodyDiv w:val="1"/>
      <w:marLeft w:val="0"/>
      <w:marRight w:val="0"/>
      <w:marTop w:val="0"/>
      <w:marBottom w:val="0"/>
      <w:divBdr>
        <w:top w:val="none" w:sz="0" w:space="0" w:color="auto"/>
        <w:left w:val="none" w:sz="0" w:space="0" w:color="auto"/>
        <w:bottom w:val="none" w:sz="0" w:space="0" w:color="auto"/>
        <w:right w:val="none" w:sz="0" w:space="0" w:color="auto"/>
      </w:divBdr>
    </w:div>
    <w:div w:id="301038733">
      <w:bodyDiv w:val="1"/>
      <w:marLeft w:val="0"/>
      <w:marRight w:val="0"/>
      <w:marTop w:val="0"/>
      <w:marBottom w:val="0"/>
      <w:divBdr>
        <w:top w:val="none" w:sz="0" w:space="0" w:color="auto"/>
        <w:left w:val="none" w:sz="0" w:space="0" w:color="auto"/>
        <w:bottom w:val="none" w:sz="0" w:space="0" w:color="auto"/>
        <w:right w:val="none" w:sz="0" w:space="0" w:color="auto"/>
      </w:divBdr>
    </w:div>
    <w:div w:id="301204247">
      <w:bodyDiv w:val="1"/>
      <w:marLeft w:val="0"/>
      <w:marRight w:val="0"/>
      <w:marTop w:val="0"/>
      <w:marBottom w:val="0"/>
      <w:divBdr>
        <w:top w:val="none" w:sz="0" w:space="0" w:color="auto"/>
        <w:left w:val="none" w:sz="0" w:space="0" w:color="auto"/>
        <w:bottom w:val="none" w:sz="0" w:space="0" w:color="auto"/>
        <w:right w:val="none" w:sz="0" w:space="0" w:color="auto"/>
      </w:divBdr>
    </w:div>
    <w:div w:id="301272430">
      <w:bodyDiv w:val="1"/>
      <w:marLeft w:val="0"/>
      <w:marRight w:val="0"/>
      <w:marTop w:val="0"/>
      <w:marBottom w:val="0"/>
      <w:divBdr>
        <w:top w:val="none" w:sz="0" w:space="0" w:color="auto"/>
        <w:left w:val="none" w:sz="0" w:space="0" w:color="auto"/>
        <w:bottom w:val="none" w:sz="0" w:space="0" w:color="auto"/>
        <w:right w:val="none" w:sz="0" w:space="0" w:color="auto"/>
      </w:divBdr>
    </w:div>
    <w:div w:id="301543028">
      <w:bodyDiv w:val="1"/>
      <w:marLeft w:val="0"/>
      <w:marRight w:val="0"/>
      <w:marTop w:val="0"/>
      <w:marBottom w:val="0"/>
      <w:divBdr>
        <w:top w:val="none" w:sz="0" w:space="0" w:color="auto"/>
        <w:left w:val="none" w:sz="0" w:space="0" w:color="auto"/>
        <w:bottom w:val="none" w:sz="0" w:space="0" w:color="auto"/>
        <w:right w:val="none" w:sz="0" w:space="0" w:color="auto"/>
      </w:divBdr>
    </w:div>
    <w:div w:id="301615119">
      <w:bodyDiv w:val="1"/>
      <w:marLeft w:val="0"/>
      <w:marRight w:val="0"/>
      <w:marTop w:val="0"/>
      <w:marBottom w:val="0"/>
      <w:divBdr>
        <w:top w:val="none" w:sz="0" w:space="0" w:color="auto"/>
        <w:left w:val="none" w:sz="0" w:space="0" w:color="auto"/>
        <w:bottom w:val="none" w:sz="0" w:space="0" w:color="auto"/>
        <w:right w:val="none" w:sz="0" w:space="0" w:color="auto"/>
      </w:divBdr>
    </w:div>
    <w:div w:id="302657379">
      <w:bodyDiv w:val="1"/>
      <w:marLeft w:val="0"/>
      <w:marRight w:val="0"/>
      <w:marTop w:val="0"/>
      <w:marBottom w:val="0"/>
      <w:divBdr>
        <w:top w:val="none" w:sz="0" w:space="0" w:color="auto"/>
        <w:left w:val="none" w:sz="0" w:space="0" w:color="auto"/>
        <w:bottom w:val="none" w:sz="0" w:space="0" w:color="auto"/>
        <w:right w:val="none" w:sz="0" w:space="0" w:color="auto"/>
      </w:divBdr>
    </w:div>
    <w:div w:id="302854401">
      <w:bodyDiv w:val="1"/>
      <w:marLeft w:val="0"/>
      <w:marRight w:val="0"/>
      <w:marTop w:val="0"/>
      <w:marBottom w:val="0"/>
      <w:divBdr>
        <w:top w:val="none" w:sz="0" w:space="0" w:color="auto"/>
        <w:left w:val="none" w:sz="0" w:space="0" w:color="auto"/>
        <w:bottom w:val="none" w:sz="0" w:space="0" w:color="auto"/>
        <w:right w:val="none" w:sz="0" w:space="0" w:color="auto"/>
      </w:divBdr>
    </w:div>
    <w:div w:id="302928398">
      <w:bodyDiv w:val="1"/>
      <w:marLeft w:val="0"/>
      <w:marRight w:val="0"/>
      <w:marTop w:val="0"/>
      <w:marBottom w:val="0"/>
      <w:divBdr>
        <w:top w:val="none" w:sz="0" w:space="0" w:color="auto"/>
        <w:left w:val="none" w:sz="0" w:space="0" w:color="auto"/>
        <w:bottom w:val="none" w:sz="0" w:space="0" w:color="auto"/>
        <w:right w:val="none" w:sz="0" w:space="0" w:color="auto"/>
      </w:divBdr>
    </w:div>
    <w:div w:id="302931764">
      <w:bodyDiv w:val="1"/>
      <w:marLeft w:val="0"/>
      <w:marRight w:val="0"/>
      <w:marTop w:val="0"/>
      <w:marBottom w:val="0"/>
      <w:divBdr>
        <w:top w:val="none" w:sz="0" w:space="0" w:color="auto"/>
        <w:left w:val="none" w:sz="0" w:space="0" w:color="auto"/>
        <w:bottom w:val="none" w:sz="0" w:space="0" w:color="auto"/>
        <w:right w:val="none" w:sz="0" w:space="0" w:color="auto"/>
      </w:divBdr>
    </w:div>
    <w:div w:id="303001707">
      <w:bodyDiv w:val="1"/>
      <w:marLeft w:val="0"/>
      <w:marRight w:val="0"/>
      <w:marTop w:val="0"/>
      <w:marBottom w:val="0"/>
      <w:divBdr>
        <w:top w:val="none" w:sz="0" w:space="0" w:color="auto"/>
        <w:left w:val="none" w:sz="0" w:space="0" w:color="auto"/>
        <w:bottom w:val="none" w:sz="0" w:space="0" w:color="auto"/>
        <w:right w:val="none" w:sz="0" w:space="0" w:color="auto"/>
      </w:divBdr>
    </w:div>
    <w:div w:id="303050164">
      <w:bodyDiv w:val="1"/>
      <w:marLeft w:val="0"/>
      <w:marRight w:val="0"/>
      <w:marTop w:val="0"/>
      <w:marBottom w:val="0"/>
      <w:divBdr>
        <w:top w:val="none" w:sz="0" w:space="0" w:color="auto"/>
        <w:left w:val="none" w:sz="0" w:space="0" w:color="auto"/>
        <w:bottom w:val="none" w:sz="0" w:space="0" w:color="auto"/>
        <w:right w:val="none" w:sz="0" w:space="0" w:color="auto"/>
      </w:divBdr>
    </w:div>
    <w:div w:id="303316207">
      <w:bodyDiv w:val="1"/>
      <w:marLeft w:val="0"/>
      <w:marRight w:val="0"/>
      <w:marTop w:val="0"/>
      <w:marBottom w:val="0"/>
      <w:divBdr>
        <w:top w:val="none" w:sz="0" w:space="0" w:color="auto"/>
        <w:left w:val="none" w:sz="0" w:space="0" w:color="auto"/>
        <w:bottom w:val="none" w:sz="0" w:space="0" w:color="auto"/>
        <w:right w:val="none" w:sz="0" w:space="0" w:color="auto"/>
      </w:divBdr>
    </w:div>
    <w:div w:id="303659805">
      <w:bodyDiv w:val="1"/>
      <w:marLeft w:val="0"/>
      <w:marRight w:val="0"/>
      <w:marTop w:val="0"/>
      <w:marBottom w:val="0"/>
      <w:divBdr>
        <w:top w:val="none" w:sz="0" w:space="0" w:color="auto"/>
        <w:left w:val="none" w:sz="0" w:space="0" w:color="auto"/>
        <w:bottom w:val="none" w:sz="0" w:space="0" w:color="auto"/>
        <w:right w:val="none" w:sz="0" w:space="0" w:color="auto"/>
      </w:divBdr>
    </w:div>
    <w:div w:id="304623510">
      <w:bodyDiv w:val="1"/>
      <w:marLeft w:val="0"/>
      <w:marRight w:val="0"/>
      <w:marTop w:val="0"/>
      <w:marBottom w:val="0"/>
      <w:divBdr>
        <w:top w:val="none" w:sz="0" w:space="0" w:color="auto"/>
        <w:left w:val="none" w:sz="0" w:space="0" w:color="auto"/>
        <w:bottom w:val="none" w:sz="0" w:space="0" w:color="auto"/>
        <w:right w:val="none" w:sz="0" w:space="0" w:color="auto"/>
      </w:divBdr>
    </w:div>
    <w:div w:id="304630050">
      <w:bodyDiv w:val="1"/>
      <w:marLeft w:val="0"/>
      <w:marRight w:val="0"/>
      <w:marTop w:val="0"/>
      <w:marBottom w:val="0"/>
      <w:divBdr>
        <w:top w:val="none" w:sz="0" w:space="0" w:color="auto"/>
        <w:left w:val="none" w:sz="0" w:space="0" w:color="auto"/>
        <w:bottom w:val="none" w:sz="0" w:space="0" w:color="auto"/>
        <w:right w:val="none" w:sz="0" w:space="0" w:color="auto"/>
      </w:divBdr>
    </w:div>
    <w:div w:id="304699522">
      <w:bodyDiv w:val="1"/>
      <w:marLeft w:val="0"/>
      <w:marRight w:val="0"/>
      <w:marTop w:val="0"/>
      <w:marBottom w:val="0"/>
      <w:divBdr>
        <w:top w:val="none" w:sz="0" w:space="0" w:color="auto"/>
        <w:left w:val="none" w:sz="0" w:space="0" w:color="auto"/>
        <w:bottom w:val="none" w:sz="0" w:space="0" w:color="auto"/>
        <w:right w:val="none" w:sz="0" w:space="0" w:color="auto"/>
      </w:divBdr>
    </w:div>
    <w:div w:id="305160383">
      <w:bodyDiv w:val="1"/>
      <w:marLeft w:val="0"/>
      <w:marRight w:val="0"/>
      <w:marTop w:val="0"/>
      <w:marBottom w:val="0"/>
      <w:divBdr>
        <w:top w:val="none" w:sz="0" w:space="0" w:color="auto"/>
        <w:left w:val="none" w:sz="0" w:space="0" w:color="auto"/>
        <w:bottom w:val="none" w:sz="0" w:space="0" w:color="auto"/>
        <w:right w:val="none" w:sz="0" w:space="0" w:color="auto"/>
      </w:divBdr>
    </w:div>
    <w:div w:id="305167659">
      <w:bodyDiv w:val="1"/>
      <w:marLeft w:val="0"/>
      <w:marRight w:val="0"/>
      <w:marTop w:val="0"/>
      <w:marBottom w:val="0"/>
      <w:divBdr>
        <w:top w:val="none" w:sz="0" w:space="0" w:color="auto"/>
        <w:left w:val="none" w:sz="0" w:space="0" w:color="auto"/>
        <w:bottom w:val="none" w:sz="0" w:space="0" w:color="auto"/>
        <w:right w:val="none" w:sz="0" w:space="0" w:color="auto"/>
      </w:divBdr>
    </w:div>
    <w:div w:id="305816430">
      <w:bodyDiv w:val="1"/>
      <w:marLeft w:val="0"/>
      <w:marRight w:val="0"/>
      <w:marTop w:val="0"/>
      <w:marBottom w:val="0"/>
      <w:divBdr>
        <w:top w:val="none" w:sz="0" w:space="0" w:color="auto"/>
        <w:left w:val="none" w:sz="0" w:space="0" w:color="auto"/>
        <w:bottom w:val="none" w:sz="0" w:space="0" w:color="auto"/>
        <w:right w:val="none" w:sz="0" w:space="0" w:color="auto"/>
      </w:divBdr>
    </w:div>
    <w:div w:id="305941020">
      <w:bodyDiv w:val="1"/>
      <w:marLeft w:val="0"/>
      <w:marRight w:val="0"/>
      <w:marTop w:val="0"/>
      <w:marBottom w:val="0"/>
      <w:divBdr>
        <w:top w:val="none" w:sz="0" w:space="0" w:color="auto"/>
        <w:left w:val="none" w:sz="0" w:space="0" w:color="auto"/>
        <w:bottom w:val="none" w:sz="0" w:space="0" w:color="auto"/>
        <w:right w:val="none" w:sz="0" w:space="0" w:color="auto"/>
      </w:divBdr>
    </w:div>
    <w:div w:id="306009113">
      <w:bodyDiv w:val="1"/>
      <w:marLeft w:val="0"/>
      <w:marRight w:val="0"/>
      <w:marTop w:val="0"/>
      <w:marBottom w:val="0"/>
      <w:divBdr>
        <w:top w:val="none" w:sz="0" w:space="0" w:color="auto"/>
        <w:left w:val="none" w:sz="0" w:space="0" w:color="auto"/>
        <w:bottom w:val="none" w:sz="0" w:space="0" w:color="auto"/>
        <w:right w:val="none" w:sz="0" w:space="0" w:color="auto"/>
      </w:divBdr>
    </w:div>
    <w:div w:id="306058655">
      <w:bodyDiv w:val="1"/>
      <w:marLeft w:val="0"/>
      <w:marRight w:val="0"/>
      <w:marTop w:val="0"/>
      <w:marBottom w:val="0"/>
      <w:divBdr>
        <w:top w:val="none" w:sz="0" w:space="0" w:color="auto"/>
        <w:left w:val="none" w:sz="0" w:space="0" w:color="auto"/>
        <w:bottom w:val="none" w:sz="0" w:space="0" w:color="auto"/>
        <w:right w:val="none" w:sz="0" w:space="0" w:color="auto"/>
      </w:divBdr>
    </w:div>
    <w:div w:id="306401748">
      <w:bodyDiv w:val="1"/>
      <w:marLeft w:val="0"/>
      <w:marRight w:val="0"/>
      <w:marTop w:val="0"/>
      <w:marBottom w:val="0"/>
      <w:divBdr>
        <w:top w:val="none" w:sz="0" w:space="0" w:color="auto"/>
        <w:left w:val="none" w:sz="0" w:space="0" w:color="auto"/>
        <w:bottom w:val="none" w:sz="0" w:space="0" w:color="auto"/>
        <w:right w:val="none" w:sz="0" w:space="0" w:color="auto"/>
      </w:divBdr>
    </w:div>
    <w:div w:id="306739316">
      <w:bodyDiv w:val="1"/>
      <w:marLeft w:val="0"/>
      <w:marRight w:val="0"/>
      <w:marTop w:val="0"/>
      <w:marBottom w:val="0"/>
      <w:divBdr>
        <w:top w:val="none" w:sz="0" w:space="0" w:color="auto"/>
        <w:left w:val="none" w:sz="0" w:space="0" w:color="auto"/>
        <w:bottom w:val="none" w:sz="0" w:space="0" w:color="auto"/>
        <w:right w:val="none" w:sz="0" w:space="0" w:color="auto"/>
      </w:divBdr>
    </w:div>
    <w:div w:id="306863192">
      <w:bodyDiv w:val="1"/>
      <w:marLeft w:val="0"/>
      <w:marRight w:val="0"/>
      <w:marTop w:val="0"/>
      <w:marBottom w:val="0"/>
      <w:divBdr>
        <w:top w:val="none" w:sz="0" w:space="0" w:color="auto"/>
        <w:left w:val="none" w:sz="0" w:space="0" w:color="auto"/>
        <w:bottom w:val="none" w:sz="0" w:space="0" w:color="auto"/>
        <w:right w:val="none" w:sz="0" w:space="0" w:color="auto"/>
      </w:divBdr>
    </w:div>
    <w:div w:id="306981559">
      <w:bodyDiv w:val="1"/>
      <w:marLeft w:val="0"/>
      <w:marRight w:val="0"/>
      <w:marTop w:val="0"/>
      <w:marBottom w:val="0"/>
      <w:divBdr>
        <w:top w:val="none" w:sz="0" w:space="0" w:color="auto"/>
        <w:left w:val="none" w:sz="0" w:space="0" w:color="auto"/>
        <w:bottom w:val="none" w:sz="0" w:space="0" w:color="auto"/>
        <w:right w:val="none" w:sz="0" w:space="0" w:color="auto"/>
      </w:divBdr>
    </w:div>
    <w:div w:id="307251007">
      <w:bodyDiv w:val="1"/>
      <w:marLeft w:val="0"/>
      <w:marRight w:val="0"/>
      <w:marTop w:val="0"/>
      <w:marBottom w:val="0"/>
      <w:divBdr>
        <w:top w:val="none" w:sz="0" w:space="0" w:color="auto"/>
        <w:left w:val="none" w:sz="0" w:space="0" w:color="auto"/>
        <w:bottom w:val="none" w:sz="0" w:space="0" w:color="auto"/>
        <w:right w:val="none" w:sz="0" w:space="0" w:color="auto"/>
      </w:divBdr>
    </w:div>
    <w:div w:id="307439924">
      <w:bodyDiv w:val="1"/>
      <w:marLeft w:val="0"/>
      <w:marRight w:val="0"/>
      <w:marTop w:val="0"/>
      <w:marBottom w:val="0"/>
      <w:divBdr>
        <w:top w:val="none" w:sz="0" w:space="0" w:color="auto"/>
        <w:left w:val="none" w:sz="0" w:space="0" w:color="auto"/>
        <w:bottom w:val="none" w:sz="0" w:space="0" w:color="auto"/>
        <w:right w:val="none" w:sz="0" w:space="0" w:color="auto"/>
      </w:divBdr>
    </w:div>
    <w:div w:id="308218244">
      <w:bodyDiv w:val="1"/>
      <w:marLeft w:val="0"/>
      <w:marRight w:val="0"/>
      <w:marTop w:val="0"/>
      <w:marBottom w:val="0"/>
      <w:divBdr>
        <w:top w:val="none" w:sz="0" w:space="0" w:color="auto"/>
        <w:left w:val="none" w:sz="0" w:space="0" w:color="auto"/>
        <w:bottom w:val="none" w:sz="0" w:space="0" w:color="auto"/>
        <w:right w:val="none" w:sz="0" w:space="0" w:color="auto"/>
      </w:divBdr>
    </w:div>
    <w:div w:id="308554205">
      <w:bodyDiv w:val="1"/>
      <w:marLeft w:val="0"/>
      <w:marRight w:val="0"/>
      <w:marTop w:val="0"/>
      <w:marBottom w:val="0"/>
      <w:divBdr>
        <w:top w:val="none" w:sz="0" w:space="0" w:color="auto"/>
        <w:left w:val="none" w:sz="0" w:space="0" w:color="auto"/>
        <w:bottom w:val="none" w:sz="0" w:space="0" w:color="auto"/>
        <w:right w:val="none" w:sz="0" w:space="0" w:color="auto"/>
      </w:divBdr>
    </w:div>
    <w:div w:id="308747529">
      <w:bodyDiv w:val="1"/>
      <w:marLeft w:val="0"/>
      <w:marRight w:val="0"/>
      <w:marTop w:val="0"/>
      <w:marBottom w:val="0"/>
      <w:divBdr>
        <w:top w:val="none" w:sz="0" w:space="0" w:color="auto"/>
        <w:left w:val="none" w:sz="0" w:space="0" w:color="auto"/>
        <w:bottom w:val="none" w:sz="0" w:space="0" w:color="auto"/>
        <w:right w:val="none" w:sz="0" w:space="0" w:color="auto"/>
      </w:divBdr>
    </w:div>
    <w:div w:id="308749649">
      <w:bodyDiv w:val="1"/>
      <w:marLeft w:val="0"/>
      <w:marRight w:val="0"/>
      <w:marTop w:val="0"/>
      <w:marBottom w:val="0"/>
      <w:divBdr>
        <w:top w:val="none" w:sz="0" w:space="0" w:color="auto"/>
        <w:left w:val="none" w:sz="0" w:space="0" w:color="auto"/>
        <w:bottom w:val="none" w:sz="0" w:space="0" w:color="auto"/>
        <w:right w:val="none" w:sz="0" w:space="0" w:color="auto"/>
      </w:divBdr>
    </w:div>
    <w:div w:id="309336326">
      <w:bodyDiv w:val="1"/>
      <w:marLeft w:val="0"/>
      <w:marRight w:val="0"/>
      <w:marTop w:val="0"/>
      <w:marBottom w:val="0"/>
      <w:divBdr>
        <w:top w:val="none" w:sz="0" w:space="0" w:color="auto"/>
        <w:left w:val="none" w:sz="0" w:space="0" w:color="auto"/>
        <w:bottom w:val="none" w:sz="0" w:space="0" w:color="auto"/>
        <w:right w:val="none" w:sz="0" w:space="0" w:color="auto"/>
      </w:divBdr>
    </w:div>
    <w:div w:id="309680059">
      <w:bodyDiv w:val="1"/>
      <w:marLeft w:val="0"/>
      <w:marRight w:val="0"/>
      <w:marTop w:val="0"/>
      <w:marBottom w:val="0"/>
      <w:divBdr>
        <w:top w:val="none" w:sz="0" w:space="0" w:color="auto"/>
        <w:left w:val="none" w:sz="0" w:space="0" w:color="auto"/>
        <w:bottom w:val="none" w:sz="0" w:space="0" w:color="auto"/>
        <w:right w:val="none" w:sz="0" w:space="0" w:color="auto"/>
      </w:divBdr>
    </w:div>
    <w:div w:id="309751581">
      <w:bodyDiv w:val="1"/>
      <w:marLeft w:val="0"/>
      <w:marRight w:val="0"/>
      <w:marTop w:val="0"/>
      <w:marBottom w:val="0"/>
      <w:divBdr>
        <w:top w:val="none" w:sz="0" w:space="0" w:color="auto"/>
        <w:left w:val="none" w:sz="0" w:space="0" w:color="auto"/>
        <w:bottom w:val="none" w:sz="0" w:space="0" w:color="auto"/>
        <w:right w:val="none" w:sz="0" w:space="0" w:color="auto"/>
      </w:divBdr>
    </w:div>
    <w:div w:id="309792667">
      <w:bodyDiv w:val="1"/>
      <w:marLeft w:val="0"/>
      <w:marRight w:val="0"/>
      <w:marTop w:val="0"/>
      <w:marBottom w:val="0"/>
      <w:divBdr>
        <w:top w:val="none" w:sz="0" w:space="0" w:color="auto"/>
        <w:left w:val="none" w:sz="0" w:space="0" w:color="auto"/>
        <w:bottom w:val="none" w:sz="0" w:space="0" w:color="auto"/>
        <w:right w:val="none" w:sz="0" w:space="0" w:color="auto"/>
      </w:divBdr>
    </w:div>
    <w:div w:id="310140085">
      <w:bodyDiv w:val="1"/>
      <w:marLeft w:val="0"/>
      <w:marRight w:val="0"/>
      <w:marTop w:val="0"/>
      <w:marBottom w:val="0"/>
      <w:divBdr>
        <w:top w:val="none" w:sz="0" w:space="0" w:color="auto"/>
        <w:left w:val="none" w:sz="0" w:space="0" w:color="auto"/>
        <w:bottom w:val="none" w:sz="0" w:space="0" w:color="auto"/>
        <w:right w:val="none" w:sz="0" w:space="0" w:color="auto"/>
      </w:divBdr>
    </w:div>
    <w:div w:id="310327620">
      <w:bodyDiv w:val="1"/>
      <w:marLeft w:val="0"/>
      <w:marRight w:val="0"/>
      <w:marTop w:val="0"/>
      <w:marBottom w:val="0"/>
      <w:divBdr>
        <w:top w:val="none" w:sz="0" w:space="0" w:color="auto"/>
        <w:left w:val="none" w:sz="0" w:space="0" w:color="auto"/>
        <w:bottom w:val="none" w:sz="0" w:space="0" w:color="auto"/>
        <w:right w:val="none" w:sz="0" w:space="0" w:color="auto"/>
      </w:divBdr>
    </w:div>
    <w:div w:id="311058016">
      <w:bodyDiv w:val="1"/>
      <w:marLeft w:val="0"/>
      <w:marRight w:val="0"/>
      <w:marTop w:val="0"/>
      <w:marBottom w:val="0"/>
      <w:divBdr>
        <w:top w:val="none" w:sz="0" w:space="0" w:color="auto"/>
        <w:left w:val="none" w:sz="0" w:space="0" w:color="auto"/>
        <w:bottom w:val="none" w:sz="0" w:space="0" w:color="auto"/>
        <w:right w:val="none" w:sz="0" w:space="0" w:color="auto"/>
      </w:divBdr>
    </w:div>
    <w:div w:id="311059605">
      <w:bodyDiv w:val="1"/>
      <w:marLeft w:val="0"/>
      <w:marRight w:val="0"/>
      <w:marTop w:val="0"/>
      <w:marBottom w:val="0"/>
      <w:divBdr>
        <w:top w:val="none" w:sz="0" w:space="0" w:color="auto"/>
        <w:left w:val="none" w:sz="0" w:space="0" w:color="auto"/>
        <w:bottom w:val="none" w:sz="0" w:space="0" w:color="auto"/>
        <w:right w:val="none" w:sz="0" w:space="0" w:color="auto"/>
      </w:divBdr>
    </w:div>
    <w:div w:id="311108866">
      <w:bodyDiv w:val="1"/>
      <w:marLeft w:val="0"/>
      <w:marRight w:val="0"/>
      <w:marTop w:val="0"/>
      <w:marBottom w:val="0"/>
      <w:divBdr>
        <w:top w:val="none" w:sz="0" w:space="0" w:color="auto"/>
        <w:left w:val="none" w:sz="0" w:space="0" w:color="auto"/>
        <w:bottom w:val="none" w:sz="0" w:space="0" w:color="auto"/>
        <w:right w:val="none" w:sz="0" w:space="0" w:color="auto"/>
      </w:divBdr>
    </w:div>
    <w:div w:id="311250413">
      <w:bodyDiv w:val="1"/>
      <w:marLeft w:val="0"/>
      <w:marRight w:val="0"/>
      <w:marTop w:val="0"/>
      <w:marBottom w:val="0"/>
      <w:divBdr>
        <w:top w:val="none" w:sz="0" w:space="0" w:color="auto"/>
        <w:left w:val="none" w:sz="0" w:space="0" w:color="auto"/>
        <w:bottom w:val="none" w:sz="0" w:space="0" w:color="auto"/>
        <w:right w:val="none" w:sz="0" w:space="0" w:color="auto"/>
      </w:divBdr>
    </w:div>
    <w:div w:id="311374257">
      <w:bodyDiv w:val="1"/>
      <w:marLeft w:val="0"/>
      <w:marRight w:val="0"/>
      <w:marTop w:val="0"/>
      <w:marBottom w:val="0"/>
      <w:divBdr>
        <w:top w:val="none" w:sz="0" w:space="0" w:color="auto"/>
        <w:left w:val="none" w:sz="0" w:space="0" w:color="auto"/>
        <w:bottom w:val="none" w:sz="0" w:space="0" w:color="auto"/>
        <w:right w:val="none" w:sz="0" w:space="0" w:color="auto"/>
      </w:divBdr>
    </w:div>
    <w:div w:id="311445745">
      <w:bodyDiv w:val="1"/>
      <w:marLeft w:val="0"/>
      <w:marRight w:val="0"/>
      <w:marTop w:val="0"/>
      <w:marBottom w:val="0"/>
      <w:divBdr>
        <w:top w:val="none" w:sz="0" w:space="0" w:color="auto"/>
        <w:left w:val="none" w:sz="0" w:space="0" w:color="auto"/>
        <w:bottom w:val="none" w:sz="0" w:space="0" w:color="auto"/>
        <w:right w:val="none" w:sz="0" w:space="0" w:color="auto"/>
      </w:divBdr>
    </w:div>
    <w:div w:id="311520074">
      <w:bodyDiv w:val="1"/>
      <w:marLeft w:val="0"/>
      <w:marRight w:val="0"/>
      <w:marTop w:val="0"/>
      <w:marBottom w:val="0"/>
      <w:divBdr>
        <w:top w:val="none" w:sz="0" w:space="0" w:color="auto"/>
        <w:left w:val="none" w:sz="0" w:space="0" w:color="auto"/>
        <w:bottom w:val="none" w:sz="0" w:space="0" w:color="auto"/>
        <w:right w:val="none" w:sz="0" w:space="0" w:color="auto"/>
      </w:divBdr>
    </w:div>
    <w:div w:id="312834102">
      <w:bodyDiv w:val="1"/>
      <w:marLeft w:val="0"/>
      <w:marRight w:val="0"/>
      <w:marTop w:val="0"/>
      <w:marBottom w:val="0"/>
      <w:divBdr>
        <w:top w:val="none" w:sz="0" w:space="0" w:color="auto"/>
        <w:left w:val="none" w:sz="0" w:space="0" w:color="auto"/>
        <w:bottom w:val="none" w:sz="0" w:space="0" w:color="auto"/>
        <w:right w:val="none" w:sz="0" w:space="0" w:color="auto"/>
      </w:divBdr>
    </w:div>
    <w:div w:id="312948458">
      <w:bodyDiv w:val="1"/>
      <w:marLeft w:val="0"/>
      <w:marRight w:val="0"/>
      <w:marTop w:val="0"/>
      <w:marBottom w:val="0"/>
      <w:divBdr>
        <w:top w:val="none" w:sz="0" w:space="0" w:color="auto"/>
        <w:left w:val="none" w:sz="0" w:space="0" w:color="auto"/>
        <w:bottom w:val="none" w:sz="0" w:space="0" w:color="auto"/>
        <w:right w:val="none" w:sz="0" w:space="0" w:color="auto"/>
      </w:divBdr>
    </w:div>
    <w:div w:id="313221158">
      <w:bodyDiv w:val="1"/>
      <w:marLeft w:val="0"/>
      <w:marRight w:val="0"/>
      <w:marTop w:val="0"/>
      <w:marBottom w:val="0"/>
      <w:divBdr>
        <w:top w:val="none" w:sz="0" w:space="0" w:color="auto"/>
        <w:left w:val="none" w:sz="0" w:space="0" w:color="auto"/>
        <w:bottom w:val="none" w:sz="0" w:space="0" w:color="auto"/>
        <w:right w:val="none" w:sz="0" w:space="0" w:color="auto"/>
      </w:divBdr>
    </w:div>
    <w:div w:id="313528783">
      <w:bodyDiv w:val="1"/>
      <w:marLeft w:val="0"/>
      <w:marRight w:val="0"/>
      <w:marTop w:val="0"/>
      <w:marBottom w:val="0"/>
      <w:divBdr>
        <w:top w:val="none" w:sz="0" w:space="0" w:color="auto"/>
        <w:left w:val="none" w:sz="0" w:space="0" w:color="auto"/>
        <w:bottom w:val="none" w:sz="0" w:space="0" w:color="auto"/>
        <w:right w:val="none" w:sz="0" w:space="0" w:color="auto"/>
      </w:divBdr>
    </w:div>
    <w:div w:id="313729000">
      <w:bodyDiv w:val="1"/>
      <w:marLeft w:val="0"/>
      <w:marRight w:val="0"/>
      <w:marTop w:val="0"/>
      <w:marBottom w:val="0"/>
      <w:divBdr>
        <w:top w:val="none" w:sz="0" w:space="0" w:color="auto"/>
        <w:left w:val="none" w:sz="0" w:space="0" w:color="auto"/>
        <w:bottom w:val="none" w:sz="0" w:space="0" w:color="auto"/>
        <w:right w:val="none" w:sz="0" w:space="0" w:color="auto"/>
      </w:divBdr>
    </w:div>
    <w:div w:id="313876858">
      <w:bodyDiv w:val="1"/>
      <w:marLeft w:val="0"/>
      <w:marRight w:val="0"/>
      <w:marTop w:val="0"/>
      <w:marBottom w:val="0"/>
      <w:divBdr>
        <w:top w:val="none" w:sz="0" w:space="0" w:color="auto"/>
        <w:left w:val="none" w:sz="0" w:space="0" w:color="auto"/>
        <w:bottom w:val="none" w:sz="0" w:space="0" w:color="auto"/>
        <w:right w:val="none" w:sz="0" w:space="0" w:color="auto"/>
      </w:divBdr>
    </w:div>
    <w:div w:id="313877792">
      <w:bodyDiv w:val="1"/>
      <w:marLeft w:val="0"/>
      <w:marRight w:val="0"/>
      <w:marTop w:val="0"/>
      <w:marBottom w:val="0"/>
      <w:divBdr>
        <w:top w:val="none" w:sz="0" w:space="0" w:color="auto"/>
        <w:left w:val="none" w:sz="0" w:space="0" w:color="auto"/>
        <w:bottom w:val="none" w:sz="0" w:space="0" w:color="auto"/>
        <w:right w:val="none" w:sz="0" w:space="0" w:color="auto"/>
      </w:divBdr>
    </w:div>
    <w:div w:id="314069941">
      <w:bodyDiv w:val="1"/>
      <w:marLeft w:val="0"/>
      <w:marRight w:val="0"/>
      <w:marTop w:val="0"/>
      <w:marBottom w:val="0"/>
      <w:divBdr>
        <w:top w:val="none" w:sz="0" w:space="0" w:color="auto"/>
        <w:left w:val="none" w:sz="0" w:space="0" w:color="auto"/>
        <w:bottom w:val="none" w:sz="0" w:space="0" w:color="auto"/>
        <w:right w:val="none" w:sz="0" w:space="0" w:color="auto"/>
      </w:divBdr>
    </w:div>
    <w:div w:id="314114475">
      <w:bodyDiv w:val="1"/>
      <w:marLeft w:val="0"/>
      <w:marRight w:val="0"/>
      <w:marTop w:val="0"/>
      <w:marBottom w:val="0"/>
      <w:divBdr>
        <w:top w:val="none" w:sz="0" w:space="0" w:color="auto"/>
        <w:left w:val="none" w:sz="0" w:space="0" w:color="auto"/>
        <w:bottom w:val="none" w:sz="0" w:space="0" w:color="auto"/>
        <w:right w:val="none" w:sz="0" w:space="0" w:color="auto"/>
      </w:divBdr>
    </w:div>
    <w:div w:id="314459057">
      <w:bodyDiv w:val="1"/>
      <w:marLeft w:val="0"/>
      <w:marRight w:val="0"/>
      <w:marTop w:val="0"/>
      <w:marBottom w:val="0"/>
      <w:divBdr>
        <w:top w:val="none" w:sz="0" w:space="0" w:color="auto"/>
        <w:left w:val="none" w:sz="0" w:space="0" w:color="auto"/>
        <w:bottom w:val="none" w:sz="0" w:space="0" w:color="auto"/>
        <w:right w:val="none" w:sz="0" w:space="0" w:color="auto"/>
      </w:divBdr>
    </w:div>
    <w:div w:id="314651188">
      <w:bodyDiv w:val="1"/>
      <w:marLeft w:val="0"/>
      <w:marRight w:val="0"/>
      <w:marTop w:val="0"/>
      <w:marBottom w:val="0"/>
      <w:divBdr>
        <w:top w:val="none" w:sz="0" w:space="0" w:color="auto"/>
        <w:left w:val="none" w:sz="0" w:space="0" w:color="auto"/>
        <w:bottom w:val="none" w:sz="0" w:space="0" w:color="auto"/>
        <w:right w:val="none" w:sz="0" w:space="0" w:color="auto"/>
      </w:divBdr>
    </w:div>
    <w:div w:id="315839567">
      <w:bodyDiv w:val="1"/>
      <w:marLeft w:val="0"/>
      <w:marRight w:val="0"/>
      <w:marTop w:val="0"/>
      <w:marBottom w:val="0"/>
      <w:divBdr>
        <w:top w:val="none" w:sz="0" w:space="0" w:color="auto"/>
        <w:left w:val="none" w:sz="0" w:space="0" w:color="auto"/>
        <w:bottom w:val="none" w:sz="0" w:space="0" w:color="auto"/>
        <w:right w:val="none" w:sz="0" w:space="0" w:color="auto"/>
      </w:divBdr>
    </w:div>
    <w:div w:id="315839786">
      <w:bodyDiv w:val="1"/>
      <w:marLeft w:val="0"/>
      <w:marRight w:val="0"/>
      <w:marTop w:val="0"/>
      <w:marBottom w:val="0"/>
      <w:divBdr>
        <w:top w:val="none" w:sz="0" w:space="0" w:color="auto"/>
        <w:left w:val="none" w:sz="0" w:space="0" w:color="auto"/>
        <w:bottom w:val="none" w:sz="0" w:space="0" w:color="auto"/>
        <w:right w:val="none" w:sz="0" w:space="0" w:color="auto"/>
      </w:divBdr>
    </w:div>
    <w:div w:id="315841330">
      <w:bodyDiv w:val="1"/>
      <w:marLeft w:val="0"/>
      <w:marRight w:val="0"/>
      <w:marTop w:val="0"/>
      <w:marBottom w:val="0"/>
      <w:divBdr>
        <w:top w:val="none" w:sz="0" w:space="0" w:color="auto"/>
        <w:left w:val="none" w:sz="0" w:space="0" w:color="auto"/>
        <w:bottom w:val="none" w:sz="0" w:space="0" w:color="auto"/>
        <w:right w:val="none" w:sz="0" w:space="0" w:color="auto"/>
      </w:divBdr>
    </w:div>
    <w:div w:id="316032083">
      <w:bodyDiv w:val="1"/>
      <w:marLeft w:val="0"/>
      <w:marRight w:val="0"/>
      <w:marTop w:val="0"/>
      <w:marBottom w:val="0"/>
      <w:divBdr>
        <w:top w:val="none" w:sz="0" w:space="0" w:color="auto"/>
        <w:left w:val="none" w:sz="0" w:space="0" w:color="auto"/>
        <w:bottom w:val="none" w:sz="0" w:space="0" w:color="auto"/>
        <w:right w:val="none" w:sz="0" w:space="0" w:color="auto"/>
      </w:divBdr>
    </w:div>
    <w:div w:id="316037593">
      <w:bodyDiv w:val="1"/>
      <w:marLeft w:val="0"/>
      <w:marRight w:val="0"/>
      <w:marTop w:val="0"/>
      <w:marBottom w:val="0"/>
      <w:divBdr>
        <w:top w:val="none" w:sz="0" w:space="0" w:color="auto"/>
        <w:left w:val="none" w:sz="0" w:space="0" w:color="auto"/>
        <w:bottom w:val="none" w:sz="0" w:space="0" w:color="auto"/>
        <w:right w:val="none" w:sz="0" w:space="0" w:color="auto"/>
      </w:divBdr>
    </w:div>
    <w:div w:id="316082374">
      <w:bodyDiv w:val="1"/>
      <w:marLeft w:val="0"/>
      <w:marRight w:val="0"/>
      <w:marTop w:val="0"/>
      <w:marBottom w:val="0"/>
      <w:divBdr>
        <w:top w:val="none" w:sz="0" w:space="0" w:color="auto"/>
        <w:left w:val="none" w:sz="0" w:space="0" w:color="auto"/>
        <w:bottom w:val="none" w:sz="0" w:space="0" w:color="auto"/>
        <w:right w:val="none" w:sz="0" w:space="0" w:color="auto"/>
      </w:divBdr>
    </w:div>
    <w:div w:id="316495236">
      <w:bodyDiv w:val="1"/>
      <w:marLeft w:val="0"/>
      <w:marRight w:val="0"/>
      <w:marTop w:val="0"/>
      <w:marBottom w:val="0"/>
      <w:divBdr>
        <w:top w:val="none" w:sz="0" w:space="0" w:color="auto"/>
        <w:left w:val="none" w:sz="0" w:space="0" w:color="auto"/>
        <w:bottom w:val="none" w:sz="0" w:space="0" w:color="auto"/>
        <w:right w:val="none" w:sz="0" w:space="0" w:color="auto"/>
      </w:divBdr>
    </w:div>
    <w:div w:id="316619006">
      <w:bodyDiv w:val="1"/>
      <w:marLeft w:val="0"/>
      <w:marRight w:val="0"/>
      <w:marTop w:val="0"/>
      <w:marBottom w:val="0"/>
      <w:divBdr>
        <w:top w:val="none" w:sz="0" w:space="0" w:color="auto"/>
        <w:left w:val="none" w:sz="0" w:space="0" w:color="auto"/>
        <w:bottom w:val="none" w:sz="0" w:space="0" w:color="auto"/>
        <w:right w:val="none" w:sz="0" w:space="0" w:color="auto"/>
      </w:divBdr>
    </w:div>
    <w:div w:id="316888322">
      <w:bodyDiv w:val="1"/>
      <w:marLeft w:val="0"/>
      <w:marRight w:val="0"/>
      <w:marTop w:val="0"/>
      <w:marBottom w:val="0"/>
      <w:divBdr>
        <w:top w:val="none" w:sz="0" w:space="0" w:color="auto"/>
        <w:left w:val="none" w:sz="0" w:space="0" w:color="auto"/>
        <w:bottom w:val="none" w:sz="0" w:space="0" w:color="auto"/>
        <w:right w:val="none" w:sz="0" w:space="0" w:color="auto"/>
      </w:divBdr>
    </w:div>
    <w:div w:id="317080093">
      <w:bodyDiv w:val="1"/>
      <w:marLeft w:val="0"/>
      <w:marRight w:val="0"/>
      <w:marTop w:val="0"/>
      <w:marBottom w:val="0"/>
      <w:divBdr>
        <w:top w:val="none" w:sz="0" w:space="0" w:color="auto"/>
        <w:left w:val="none" w:sz="0" w:space="0" w:color="auto"/>
        <w:bottom w:val="none" w:sz="0" w:space="0" w:color="auto"/>
        <w:right w:val="none" w:sz="0" w:space="0" w:color="auto"/>
      </w:divBdr>
    </w:div>
    <w:div w:id="317272760">
      <w:bodyDiv w:val="1"/>
      <w:marLeft w:val="0"/>
      <w:marRight w:val="0"/>
      <w:marTop w:val="0"/>
      <w:marBottom w:val="0"/>
      <w:divBdr>
        <w:top w:val="none" w:sz="0" w:space="0" w:color="auto"/>
        <w:left w:val="none" w:sz="0" w:space="0" w:color="auto"/>
        <w:bottom w:val="none" w:sz="0" w:space="0" w:color="auto"/>
        <w:right w:val="none" w:sz="0" w:space="0" w:color="auto"/>
      </w:divBdr>
    </w:div>
    <w:div w:id="317345098">
      <w:bodyDiv w:val="1"/>
      <w:marLeft w:val="0"/>
      <w:marRight w:val="0"/>
      <w:marTop w:val="0"/>
      <w:marBottom w:val="0"/>
      <w:divBdr>
        <w:top w:val="none" w:sz="0" w:space="0" w:color="auto"/>
        <w:left w:val="none" w:sz="0" w:space="0" w:color="auto"/>
        <w:bottom w:val="none" w:sz="0" w:space="0" w:color="auto"/>
        <w:right w:val="none" w:sz="0" w:space="0" w:color="auto"/>
      </w:divBdr>
    </w:div>
    <w:div w:id="317417090">
      <w:bodyDiv w:val="1"/>
      <w:marLeft w:val="0"/>
      <w:marRight w:val="0"/>
      <w:marTop w:val="0"/>
      <w:marBottom w:val="0"/>
      <w:divBdr>
        <w:top w:val="none" w:sz="0" w:space="0" w:color="auto"/>
        <w:left w:val="none" w:sz="0" w:space="0" w:color="auto"/>
        <w:bottom w:val="none" w:sz="0" w:space="0" w:color="auto"/>
        <w:right w:val="none" w:sz="0" w:space="0" w:color="auto"/>
      </w:divBdr>
    </w:div>
    <w:div w:id="317660255">
      <w:bodyDiv w:val="1"/>
      <w:marLeft w:val="0"/>
      <w:marRight w:val="0"/>
      <w:marTop w:val="0"/>
      <w:marBottom w:val="0"/>
      <w:divBdr>
        <w:top w:val="none" w:sz="0" w:space="0" w:color="auto"/>
        <w:left w:val="none" w:sz="0" w:space="0" w:color="auto"/>
        <w:bottom w:val="none" w:sz="0" w:space="0" w:color="auto"/>
        <w:right w:val="none" w:sz="0" w:space="0" w:color="auto"/>
      </w:divBdr>
    </w:div>
    <w:div w:id="318075429">
      <w:bodyDiv w:val="1"/>
      <w:marLeft w:val="0"/>
      <w:marRight w:val="0"/>
      <w:marTop w:val="0"/>
      <w:marBottom w:val="0"/>
      <w:divBdr>
        <w:top w:val="none" w:sz="0" w:space="0" w:color="auto"/>
        <w:left w:val="none" w:sz="0" w:space="0" w:color="auto"/>
        <w:bottom w:val="none" w:sz="0" w:space="0" w:color="auto"/>
        <w:right w:val="none" w:sz="0" w:space="0" w:color="auto"/>
      </w:divBdr>
    </w:div>
    <w:div w:id="318269387">
      <w:bodyDiv w:val="1"/>
      <w:marLeft w:val="0"/>
      <w:marRight w:val="0"/>
      <w:marTop w:val="0"/>
      <w:marBottom w:val="0"/>
      <w:divBdr>
        <w:top w:val="none" w:sz="0" w:space="0" w:color="auto"/>
        <w:left w:val="none" w:sz="0" w:space="0" w:color="auto"/>
        <w:bottom w:val="none" w:sz="0" w:space="0" w:color="auto"/>
        <w:right w:val="none" w:sz="0" w:space="0" w:color="auto"/>
      </w:divBdr>
    </w:div>
    <w:div w:id="318384562">
      <w:bodyDiv w:val="1"/>
      <w:marLeft w:val="0"/>
      <w:marRight w:val="0"/>
      <w:marTop w:val="0"/>
      <w:marBottom w:val="0"/>
      <w:divBdr>
        <w:top w:val="none" w:sz="0" w:space="0" w:color="auto"/>
        <w:left w:val="none" w:sz="0" w:space="0" w:color="auto"/>
        <w:bottom w:val="none" w:sz="0" w:space="0" w:color="auto"/>
        <w:right w:val="none" w:sz="0" w:space="0" w:color="auto"/>
      </w:divBdr>
    </w:div>
    <w:div w:id="318702070">
      <w:bodyDiv w:val="1"/>
      <w:marLeft w:val="0"/>
      <w:marRight w:val="0"/>
      <w:marTop w:val="0"/>
      <w:marBottom w:val="0"/>
      <w:divBdr>
        <w:top w:val="none" w:sz="0" w:space="0" w:color="auto"/>
        <w:left w:val="none" w:sz="0" w:space="0" w:color="auto"/>
        <w:bottom w:val="none" w:sz="0" w:space="0" w:color="auto"/>
        <w:right w:val="none" w:sz="0" w:space="0" w:color="auto"/>
      </w:divBdr>
    </w:div>
    <w:div w:id="319043411">
      <w:bodyDiv w:val="1"/>
      <w:marLeft w:val="0"/>
      <w:marRight w:val="0"/>
      <w:marTop w:val="0"/>
      <w:marBottom w:val="0"/>
      <w:divBdr>
        <w:top w:val="none" w:sz="0" w:space="0" w:color="auto"/>
        <w:left w:val="none" w:sz="0" w:space="0" w:color="auto"/>
        <w:bottom w:val="none" w:sz="0" w:space="0" w:color="auto"/>
        <w:right w:val="none" w:sz="0" w:space="0" w:color="auto"/>
      </w:divBdr>
    </w:div>
    <w:div w:id="319190161">
      <w:bodyDiv w:val="1"/>
      <w:marLeft w:val="0"/>
      <w:marRight w:val="0"/>
      <w:marTop w:val="0"/>
      <w:marBottom w:val="0"/>
      <w:divBdr>
        <w:top w:val="none" w:sz="0" w:space="0" w:color="auto"/>
        <w:left w:val="none" w:sz="0" w:space="0" w:color="auto"/>
        <w:bottom w:val="none" w:sz="0" w:space="0" w:color="auto"/>
        <w:right w:val="none" w:sz="0" w:space="0" w:color="auto"/>
      </w:divBdr>
    </w:div>
    <w:div w:id="319693518">
      <w:bodyDiv w:val="1"/>
      <w:marLeft w:val="0"/>
      <w:marRight w:val="0"/>
      <w:marTop w:val="0"/>
      <w:marBottom w:val="0"/>
      <w:divBdr>
        <w:top w:val="none" w:sz="0" w:space="0" w:color="auto"/>
        <w:left w:val="none" w:sz="0" w:space="0" w:color="auto"/>
        <w:bottom w:val="none" w:sz="0" w:space="0" w:color="auto"/>
        <w:right w:val="none" w:sz="0" w:space="0" w:color="auto"/>
      </w:divBdr>
    </w:div>
    <w:div w:id="319698302">
      <w:bodyDiv w:val="1"/>
      <w:marLeft w:val="0"/>
      <w:marRight w:val="0"/>
      <w:marTop w:val="0"/>
      <w:marBottom w:val="0"/>
      <w:divBdr>
        <w:top w:val="none" w:sz="0" w:space="0" w:color="auto"/>
        <w:left w:val="none" w:sz="0" w:space="0" w:color="auto"/>
        <w:bottom w:val="none" w:sz="0" w:space="0" w:color="auto"/>
        <w:right w:val="none" w:sz="0" w:space="0" w:color="auto"/>
      </w:divBdr>
    </w:div>
    <w:div w:id="320044484">
      <w:bodyDiv w:val="1"/>
      <w:marLeft w:val="0"/>
      <w:marRight w:val="0"/>
      <w:marTop w:val="0"/>
      <w:marBottom w:val="0"/>
      <w:divBdr>
        <w:top w:val="none" w:sz="0" w:space="0" w:color="auto"/>
        <w:left w:val="none" w:sz="0" w:space="0" w:color="auto"/>
        <w:bottom w:val="none" w:sz="0" w:space="0" w:color="auto"/>
        <w:right w:val="none" w:sz="0" w:space="0" w:color="auto"/>
      </w:divBdr>
    </w:div>
    <w:div w:id="320089206">
      <w:bodyDiv w:val="1"/>
      <w:marLeft w:val="0"/>
      <w:marRight w:val="0"/>
      <w:marTop w:val="0"/>
      <w:marBottom w:val="0"/>
      <w:divBdr>
        <w:top w:val="none" w:sz="0" w:space="0" w:color="auto"/>
        <w:left w:val="none" w:sz="0" w:space="0" w:color="auto"/>
        <w:bottom w:val="none" w:sz="0" w:space="0" w:color="auto"/>
        <w:right w:val="none" w:sz="0" w:space="0" w:color="auto"/>
      </w:divBdr>
    </w:div>
    <w:div w:id="320159083">
      <w:bodyDiv w:val="1"/>
      <w:marLeft w:val="0"/>
      <w:marRight w:val="0"/>
      <w:marTop w:val="0"/>
      <w:marBottom w:val="0"/>
      <w:divBdr>
        <w:top w:val="none" w:sz="0" w:space="0" w:color="auto"/>
        <w:left w:val="none" w:sz="0" w:space="0" w:color="auto"/>
        <w:bottom w:val="none" w:sz="0" w:space="0" w:color="auto"/>
        <w:right w:val="none" w:sz="0" w:space="0" w:color="auto"/>
      </w:divBdr>
    </w:div>
    <w:div w:id="320238317">
      <w:bodyDiv w:val="1"/>
      <w:marLeft w:val="0"/>
      <w:marRight w:val="0"/>
      <w:marTop w:val="0"/>
      <w:marBottom w:val="0"/>
      <w:divBdr>
        <w:top w:val="none" w:sz="0" w:space="0" w:color="auto"/>
        <w:left w:val="none" w:sz="0" w:space="0" w:color="auto"/>
        <w:bottom w:val="none" w:sz="0" w:space="0" w:color="auto"/>
        <w:right w:val="none" w:sz="0" w:space="0" w:color="auto"/>
      </w:divBdr>
    </w:div>
    <w:div w:id="320668374">
      <w:bodyDiv w:val="1"/>
      <w:marLeft w:val="0"/>
      <w:marRight w:val="0"/>
      <w:marTop w:val="0"/>
      <w:marBottom w:val="0"/>
      <w:divBdr>
        <w:top w:val="none" w:sz="0" w:space="0" w:color="auto"/>
        <w:left w:val="none" w:sz="0" w:space="0" w:color="auto"/>
        <w:bottom w:val="none" w:sz="0" w:space="0" w:color="auto"/>
        <w:right w:val="none" w:sz="0" w:space="0" w:color="auto"/>
      </w:divBdr>
    </w:div>
    <w:div w:id="320738899">
      <w:bodyDiv w:val="1"/>
      <w:marLeft w:val="0"/>
      <w:marRight w:val="0"/>
      <w:marTop w:val="0"/>
      <w:marBottom w:val="0"/>
      <w:divBdr>
        <w:top w:val="none" w:sz="0" w:space="0" w:color="auto"/>
        <w:left w:val="none" w:sz="0" w:space="0" w:color="auto"/>
        <w:bottom w:val="none" w:sz="0" w:space="0" w:color="auto"/>
        <w:right w:val="none" w:sz="0" w:space="0" w:color="auto"/>
      </w:divBdr>
    </w:div>
    <w:div w:id="320961623">
      <w:bodyDiv w:val="1"/>
      <w:marLeft w:val="0"/>
      <w:marRight w:val="0"/>
      <w:marTop w:val="0"/>
      <w:marBottom w:val="0"/>
      <w:divBdr>
        <w:top w:val="none" w:sz="0" w:space="0" w:color="auto"/>
        <w:left w:val="none" w:sz="0" w:space="0" w:color="auto"/>
        <w:bottom w:val="none" w:sz="0" w:space="0" w:color="auto"/>
        <w:right w:val="none" w:sz="0" w:space="0" w:color="auto"/>
      </w:divBdr>
    </w:div>
    <w:div w:id="321200663">
      <w:bodyDiv w:val="1"/>
      <w:marLeft w:val="0"/>
      <w:marRight w:val="0"/>
      <w:marTop w:val="0"/>
      <w:marBottom w:val="0"/>
      <w:divBdr>
        <w:top w:val="none" w:sz="0" w:space="0" w:color="auto"/>
        <w:left w:val="none" w:sz="0" w:space="0" w:color="auto"/>
        <w:bottom w:val="none" w:sz="0" w:space="0" w:color="auto"/>
        <w:right w:val="none" w:sz="0" w:space="0" w:color="auto"/>
      </w:divBdr>
    </w:div>
    <w:div w:id="321206595">
      <w:bodyDiv w:val="1"/>
      <w:marLeft w:val="0"/>
      <w:marRight w:val="0"/>
      <w:marTop w:val="0"/>
      <w:marBottom w:val="0"/>
      <w:divBdr>
        <w:top w:val="none" w:sz="0" w:space="0" w:color="auto"/>
        <w:left w:val="none" w:sz="0" w:space="0" w:color="auto"/>
        <w:bottom w:val="none" w:sz="0" w:space="0" w:color="auto"/>
        <w:right w:val="none" w:sz="0" w:space="0" w:color="auto"/>
      </w:divBdr>
    </w:div>
    <w:div w:id="321274324">
      <w:bodyDiv w:val="1"/>
      <w:marLeft w:val="0"/>
      <w:marRight w:val="0"/>
      <w:marTop w:val="0"/>
      <w:marBottom w:val="0"/>
      <w:divBdr>
        <w:top w:val="none" w:sz="0" w:space="0" w:color="auto"/>
        <w:left w:val="none" w:sz="0" w:space="0" w:color="auto"/>
        <w:bottom w:val="none" w:sz="0" w:space="0" w:color="auto"/>
        <w:right w:val="none" w:sz="0" w:space="0" w:color="auto"/>
      </w:divBdr>
    </w:div>
    <w:div w:id="321398384">
      <w:bodyDiv w:val="1"/>
      <w:marLeft w:val="0"/>
      <w:marRight w:val="0"/>
      <w:marTop w:val="0"/>
      <w:marBottom w:val="0"/>
      <w:divBdr>
        <w:top w:val="none" w:sz="0" w:space="0" w:color="auto"/>
        <w:left w:val="none" w:sz="0" w:space="0" w:color="auto"/>
        <w:bottom w:val="none" w:sz="0" w:space="0" w:color="auto"/>
        <w:right w:val="none" w:sz="0" w:space="0" w:color="auto"/>
      </w:divBdr>
    </w:div>
    <w:div w:id="321589818">
      <w:bodyDiv w:val="1"/>
      <w:marLeft w:val="0"/>
      <w:marRight w:val="0"/>
      <w:marTop w:val="0"/>
      <w:marBottom w:val="0"/>
      <w:divBdr>
        <w:top w:val="none" w:sz="0" w:space="0" w:color="auto"/>
        <w:left w:val="none" w:sz="0" w:space="0" w:color="auto"/>
        <w:bottom w:val="none" w:sz="0" w:space="0" w:color="auto"/>
        <w:right w:val="none" w:sz="0" w:space="0" w:color="auto"/>
      </w:divBdr>
    </w:div>
    <w:div w:id="321734716">
      <w:bodyDiv w:val="1"/>
      <w:marLeft w:val="0"/>
      <w:marRight w:val="0"/>
      <w:marTop w:val="0"/>
      <w:marBottom w:val="0"/>
      <w:divBdr>
        <w:top w:val="none" w:sz="0" w:space="0" w:color="auto"/>
        <w:left w:val="none" w:sz="0" w:space="0" w:color="auto"/>
        <w:bottom w:val="none" w:sz="0" w:space="0" w:color="auto"/>
        <w:right w:val="none" w:sz="0" w:space="0" w:color="auto"/>
      </w:divBdr>
    </w:div>
    <w:div w:id="321736179">
      <w:bodyDiv w:val="1"/>
      <w:marLeft w:val="0"/>
      <w:marRight w:val="0"/>
      <w:marTop w:val="0"/>
      <w:marBottom w:val="0"/>
      <w:divBdr>
        <w:top w:val="none" w:sz="0" w:space="0" w:color="auto"/>
        <w:left w:val="none" w:sz="0" w:space="0" w:color="auto"/>
        <w:bottom w:val="none" w:sz="0" w:space="0" w:color="auto"/>
        <w:right w:val="none" w:sz="0" w:space="0" w:color="auto"/>
      </w:divBdr>
    </w:div>
    <w:div w:id="321738353">
      <w:bodyDiv w:val="1"/>
      <w:marLeft w:val="0"/>
      <w:marRight w:val="0"/>
      <w:marTop w:val="0"/>
      <w:marBottom w:val="0"/>
      <w:divBdr>
        <w:top w:val="none" w:sz="0" w:space="0" w:color="auto"/>
        <w:left w:val="none" w:sz="0" w:space="0" w:color="auto"/>
        <w:bottom w:val="none" w:sz="0" w:space="0" w:color="auto"/>
        <w:right w:val="none" w:sz="0" w:space="0" w:color="auto"/>
      </w:divBdr>
    </w:div>
    <w:div w:id="321854876">
      <w:bodyDiv w:val="1"/>
      <w:marLeft w:val="0"/>
      <w:marRight w:val="0"/>
      <w:marTop w:val="0"/>
      <w:marBottom w:val="0"/>
      <w:divBdr>
        <w:top w:val="none" w:sz="0" w:space="0" w:color="auto"/>
        <w:left w:val="none" w:sz="0" w:space="0" w:color="auto"/>
        <w:bottom w:val="none" w:sz="0" w:space="0" w:color="auto"/>
        <w:right w:val="none" w:sz="0" w:space="0" w:color="auto"/>
      </w:divBdr>
    </w:div>
    <w:div w:id="321860493">
      <w:bodyDiv w:val="1"/>
      <w:marLeft w:val="0"/>
      <w:marRight w:val="0"/>
      <w:marTop w:val="0"/>
      <w:marBottom w:val="0"/>
      <w:divBdr>
        <w:top w:val="none" w:sz="0" w:space="0" w:color="auto"/>
        <w:left w:val="none" w:sz="0" w:space="0" w:color="auto"/>
        <w:bottom w:val="none" w:sz="0" w:space="0" w:color="auto"/>
        <w:right w:val="none" w:sz="0" w:space="0" w:color="auto"/>
      </w:divBdr>
    </w:div>
    <w:div w:id="322246146">
      <w:bodyDiv w:val="1"/>
      <w:marLeft w:val="0"/>
      <w:marRight w:val="0"/>
      <w:marTop w:val="0"/>
      <w:marBottom w:val="0"/>
      <w:divBdr>
        <w:top w:val="none" w:sz="0" w:space="0" w:color="auto"/>
        <w:left w:val="none" w:sz="0" w:space="0" w:color="auto"/>
        <w:bottom w:val="none" w:sz="0" w:space="0" w:color="auto"/>
        <w:right w:val="none" w:sz="0" w:space="0" w:color="auto"/>
      </w:divBdr>
    </w:div>
    <w:div w:id="322247209">
      <w:bodyDiv w:val="1"/>
      <w:marLeft w:val="0"/>
      <w:marRight w:val="0"/>
      <w:marTop w:val="0"/>
      <w:marBottom w:val="0"/>
      <w:divBdr>
        <w:top w:val="none" w:sz="0" w:space="0" w:color="auto"/>
        <w:left w:val="none" w:sz="0" w:space="0" w:color="auto"/>
        <w:bottom w:val="none" w:sz="0" w:space="0" w:color="auto"/>
        <w:right w:val="none" w:sz="0" w:space="0" w:color="auto"/>
      </w:divBdr>
    </w:div>
    <w:div w:id="322319597">
      <w:bodyDiv w:val="1"/>
      <w:marLeft w:val="0"/>
      <w:marRight w:val="0"/>
      <w:marTop w:val="0"/>
      <w:marBottom w:val="0"/>
      <w:divBdr>
        <w:top w:val="none" w:sz="0" w:space="0" w:color="auto"/>
        <w:left w:val="none" w:sz="0" w:space="0" w:color="auto"/>
        <w:bottom w:val="none" w:sz="0" w:space="0" w:color="auto"/>
        <w:right w:val="none" w:sz="0" w:space="0" w:color="auto"/>
      </w:divBdr>
    </w:div>
    <w:div w:id="322440695">
      <w:bodyDiv w:val="1"/>
      <w:marLeft w:val="0"/>
      <w:marRight w:val="0"/>
      <w:marTop w:val="0"/>
      <w:marBottom w:val="0"/>
      <w:divBdr>
        <w:top w:val="none" w:sz="0" w:space="0" w:color="auto"/>
        <w:left w:val="none" w:sz="0" w:space="0" w:color="auto"/>
        <w:bottom w:val="none" w:sz="0" w:space="0" w:color="auto"/>
        <w:right w:val="none" w:sz="0" w:space="0" w:color="auto"/>
      </w:divBdr>
    </w:div>
    <w:div w:id="322665535">
      <w:bodyDiv w:val="1"/>
      <w:marLeft w:val="0"/>
      <w:marRight w:val="0"/>
      <w:marTop w:val="0"/>
      <w:marBottom w:val="0"/>
      <w:divBdr>
        <w:top w:val="none" w:sz="0" w:space="0" w:color="auto"/>
        <w:left w:val="none" w:sz="0" w:space="0" w:color="auto"/>
        <w:bottom w:val="none" w:sz="0" w:space="0" w:color="auto"/>
        <w:right w:val="none" w:sz="0" w:space="0" w:color="auto"/>
      </w:divBdr>
    </w:div>
    <w:div w:id="322703029">
      <w:bodyDiv w:val="1"/>
      <w:marLeft w:val="0"/>
      <w:marRight w:val="0"/>
      <w:marTop w:val="0"/>
      <w:marBottom w:val="0"/>
      <w:divBdr>
        <w:top w:val="none" w:sz="0" w:space="0" w:color="auto"/>
        <w:left w:val="none" w:sz="0" w:space="0" w:color="auto"/>
        <w:bottom w:val="none" w:sz="0" w:space="0" w:color="auto"/>
        <w:right w:val="none" w:sz="0" w:space="0" w:color="auto"/>
      </w:divBdr>
    </w:div>
    <w:div w:id="322970842">
      <w:bodyDiv w:val="1"/>
      <w:marLeft w:val="0"/>
      <w:marRight w:val="0"/>
      <w:marTop w:val="0"/>
      <w:marBottom w:val="0"/>
      <w:divBdr>
        <w:top w:val="none" w:sz="0" w:space="0" w:color="auto"/>
        <w:left w:val="none" w:sz="0" w:space="0" w:color="auto"/>
        <w:bottom w:val="none" w:sz="0" w:space="0" w:color="auto"/>
        <w:right w:val="none" w:sz="0" w:space="0" w:color="auto"/>
      </w:divBdr>
    </w:div>
    <w:div w:id="323046191">
      <w:bodyDiv w:val="1"/>
      <w:marLeft w:val="0"/>
      <w:marRight w:val="0"/>
      <w:marTop w:val="0"/>
      <w:marBottom w:val="0"/>
      <w:divBdr>
        <w:top w:val="none" w:sz="0" w:space="0" w:color="auto"/>
        <w:left w:val="none" w:sz="0" w:space="0" w:color="auto"/>
        <w:bottom w:val="none" w:sz="0" w:space="0" w:color="auto"/>
        <w:right w:val="none" w:sz="0" w:space="0" w:color="auto"/>
      </w:divBdr>
    </w:div>
    <w:div w:id="323824045">
      <w:bodyDiv w:val="1"/>
      <w:marLeft w:val="0"/>
      <w:marRight w:val="0"/>
      <w:marTop w:val="0"/>
      <w:marBottom w:val="0"/>
      <w:divBdr>
        <w:top w:val="none" w:sz="0" w:space="0" w:color="auto"/>
        <w:left w:val="none" w:sz="0" w:space="0" w:color="auto"/>
        <w:bottom w:val="none" w:sz="0" w:space="0" w:color="auto"/>
        <w:right w:val="none" w:sz="0" w:space="0" w:color="auto"/>
      </w:divBdr>
    </w:div>
    <w:div w:id="324433914">
      <w:bodyDiv w:val="1"/>
      <w:marLeft w:val="0"/>
      <w:marRight w:val="0"/>
      <w:marTop w:val="0"/>
      <w:marBottom w:val="0"/>
      <w:divBdr>
        <w:top w:val="none" w:sz="0" w:space="0" w:color="auto"/>
        <w:left w:val="none" w:sz="0" w:space="0" w:color="auto"/>
        <w:bottom w:val="none" w:sz="0" w:space="0" w:color="auto"/>
        <w:right w:val="none" w:sz="0" w:space="0" w:color="auto"/>
      </w:divBdr>
    </w:div>
    <w:div w:id="324626531">
      <w:bodyDiv w:val="1"/>
      <w:marLeft w:val="0"/>
      <w:marRight w:val="0"/>
      <w:marTop w:val="0"/>
      <w:marBottom w:val="0"/>
      <w:divBdr>
        <w:top w:val="none" w:sz="0" w:space="0" w:color="auto"/>
        <w:left w:val="none" w:sz="0" w:space="0" w:color="auto"/>
        <w:bottom w:val="none" w:sz="0" w:space="0" w:color="auto"/>
        <w:right w:val="none" w:sz="0" w:space="0" w:color="auto"/>
      </w:divBdr>
    </w:div>
    <w:div w:id="325591982">
      <w:bodyDiv w:val="1"/>
      <w:marLeft w:val="0"/>
      <w:marRight w:val="0"/>
      <w:marTop w:val="0"/>
      <w:marBottom w:val="0"/>
      <w:divBdr>
        <w:top w:val="none" w:sz="0" w:space="0" w:color="auto"/>
        <w:left w:val="none" w:sz="0" w:space="0" w:color="auto"/>
        <w:bottom w:val="none" w:sz="0" w:space="0" w:color="auto"/>
        <w:right w:val="none" w:sz="0" w:space="0" w:color="auto"/>
      </w:divBdr>
    </w:div>
    <w:div w:id="325717191">
      <w:bodyDiv w:val="1"/>
      <w:marLeft w:val="0"/>
      <w:marRight w:val="0"/>
      <w:marTop w:val="0"/>
      <w:marBottom w:val="0"/>
      <w:divBdr>
        <w:top w:val="none" w:sz="0" w:space="0" w:color="auto"/>
        <w:left w:val="none" w:sz="0" w:space="0" w:color="auto"/>
        <w:bottom w:val="none" w:sz="0" w:space="0" w:color="auto"/>
        <w:right w:val="none" w:sz="0" w:space="0" w:color="auto"/>
      </w:divBdr>
    </w:div>
    <w:div w:id="326641482">
      <w:bodyDiv w:val="1"/>
      <w:marLeft w:val="0"/>
      <w:marRight w:val="0"/>
      <w:marTop w:val="0"/>
      <w:marBottom w:val="0"/>
      <w:divBdr>
        <w:top w:val="none" w:sz="0" w:space="0" w:color="auto"/>
        <w:left w:val="none" w:sz="0" w:space="0" w:color="auto"/>
        <w:bottom w:val="none" w:sz="0" w:space="0" w:color="auto"/>
        <w:right w:val="none" w:sz="0" w:space="0" w:color="auto"/>
      </w:divBdr>
    </w:div>
    <w:div w:id="326785223">
      <w:bodyDiv w:val="1"/>
      <w:marLeft w:val="0"/>
      <w:marRight w:val="0"/>
      <w:marTop w:val="0"/>
      <w:marBottom w:val="0"/>
      <w:divBdr>
        <w:top w:val="none" w:sz="0" w:space="0" w:color="auto"/>
        <w:left w:val="none" w:sz="0" w:space="0" w:color="auto"/>
        <w:bottom w:val="none" w:sz="0" w:space="0" w:color="auto"/>
        <w:right w:val="none" w:sz="0" w:space="0" w:color="auto"/>
      </w:divBdr>
    </w:div>
    <w:div w:id="326790707">
      <w:bodyDiv w:val="1"/>
      <w:marLeft w:val="0"/>
      <w:marRight w:val="0"/>
      <w:marTop w:val="0"/>
      <w:marBottom w:val="0"/>
      <w:divBdr>
        <w:top w:val="none" w:sz="0" w:space="0" w:color="auto"/>
        <w:left w:val="none" w:sz="0" w:space="0" w:color="auto"/>
        <w:bottom w:val="none" w:sz="0" w:space="0" w:color="auto"/>
        <w:right w:val="none" w:sz="0" w:space="0" w:color="auto"/>
      </w:divBdr>
    </w:div>
    <w:div w:id="327292471">
      <w:bodyDiv w:val="1"/>
      <w:marLeft w:val="0"/>
      <w:marRight w:val="0"/>
      <w:marTop w:val="0"/>
      <w:marBottom w:val="0"/>
      <w:divBdr>
        <w:top w:val="none" w:sz="0" w:space="0" w:color="auto"/>
        <w:left w:val="none" w:sz="0" w:space="0" w:color="auto"/>
        <w:bottom w:val="none" w:sz="0" w:space="0" w:color="auto"/>
        <w:right w:val="none" w:sz="0" w:space="0" w:color="auto"/>
      </w:divBdr>
    </w:div>
    <w:div w:id="327370308">
      <w:bodyDiv w:val="1"/>
      <w:marLeft w:val="0"/>
      <w:marRight w:val="0"/>
      <w:marTop w:val="0"/>
      <w:marBottom w:val="0"/>
      <w:divBdr>
        <w:top w:val="none" w:sz="0" w:space="0" w:color="auto"/>
        <w:left w:val="none" w:sz="0" w:space="0" w:color="auto"/>
        <w:bottom w:val="none" w:sz="0" w:space="0" w:color="auto"/>
        <w:right w:val="none" w:sz="0" w:space="0" w:color="auto"/>
      </w:divBdr>
    </w:div>
    <w:div w:id="327443594">
      <w:bodyDiv w:val="1"/>
      <w:marLeft w:val="0"/>
      <w:marRight w:val="0"/>
      <w:marTop w:val="0"/>
      <w:marBottom w:val="0"/>
      <w:divBdr>
        <w:top w:val="none" w:sz="0" w:space="0" w:color="auto"/>
        <w:left w:val="none" w:sz="0" w:space="0" w:color="auto"/>
        <w:bottom w:val="none" w:sz="0" w:space="0" w:color="auto"/>
        <w:right w:val="none" w:sz="0" w:space="0" w:color="auto"/>
      </w:divBdr>
    </w:div>
    <w:div w:id="327490508">
      <w:bodyDiv w:val="1"/>
      <w:marLeft w:val="0"/>
      <w:marRight w:val="0"/>
      <w:marTop w:val="0"/>
      <w:marBottom w:val="0"/>
      <w:divBdr>
        <w:top w:val="none" w:sz="0" w:space="0" w:color="auto"/>
        <w:left w:val="none" w:sz="0" w:space="0" w:color="auto"/>
        <w:bottom w:val="none" w:sz="0" w:space="0" w:color="auto"/>
        <w:right w:val="none" w:sz="0" w:space="0" w:color="auto"/>
      </w:divBdr>
    </w:div>
    <w:div w:id="327712216">
      <w:bodyDiv w:val="1"/>
      <w:marLeft w:val="0"/>
      <w:marRight w:val="0"/>
      <w:marTop w:val="0"/>
      <w:marBottom w:val="0"/>
      <w:divBdr>
        <w:top w:val="none" w:sz="0" w:space="0" w:color="auto"/>
        <w:left w:val="none" w:sz="0" w:space="0" w:color="auto"/>
        <w:bottom w:val="none" w:sz="0" w:space="0" w:color="auto"/>
        <w:right w:val="none" w:sz="0" w:space="0" w:color="auto"/>
      </w:divBdr>
    </w:div>
    <w:div w:id="327944837">
      <w:bodyDiv w:val="1"/>
      <w:marLeft w:val="0"/>
      <w:marRight w:val="0"/>
      <w:marTop w:val="0"/>
      <w:marBottom w:val="0"/>
      <w:divBdr>
        <w:top w:val="none" w:sz="0" w:space="0" w:color="auto"/>
        <w:left w:val="none" w:sz="0" w:space="0" w:color="auto"/>
        <w:bottom w:val="none" w:sz="0" w:space="0" w:color="auto"/>
        <w:right w:val="none" w:sz="0" w:space="0" w:color="auto"/>
      </w:divBdr>
    </w:div>
    <w:div w:id="327951149">
      <w:bodyDiv w:val="1"/>
      <w:marLeft w:val="0"/>
      <w:marRight w:val="0"/>
      <w:marTop w:val="0"/>
      <w:marBottom w:val="0"/>
      <w:divBdr>
        <w:top w:val="none" w:sz="0" w:space="0" w:color="auto"/>
        <w:left w:val="none" w:sz="0" w:space="0" w:color="auto"/>
        <w:bottom w:val="none" w:sz="0" w:space="0" w:color="auto"/>
        <w:right w:val="none" w:sz="0" w:space="0" w:color="auto"/>
      </w:divBdr>
    </w:div>
    <w:div w:id="328022309">
      <w:bodyDiv w:val="1"/>
      <w:marLeft w:val="0"/>
      <w:marRight w:val="0"/>
      <w:marTop w:val="0"/>
      <w:marBottom w:val="0"/>
      <w:divBdr>
        <w:top w:val="none" w:sz="0" w:space="0" w:color="auto"/>
        <w:left w:val="none" w:sz="0" w:space="0" w:color="auto"/>
        <w:bottom w:val="none" w:sz="0" w:space="0" w:color="auto"/>
        <w:right w:val="none" w:sz="0" w:space="0" w:color="auto"/>
      </w:divBdr>
    </w:div>
    <w:div w:id="328141794">
      <w:bodyDiv w:val="1"/>
      <w:marLeft w:val="0"/>
      <w:marRight w:val="0"/>
      <w:marTop w:val="0"/>
      <w:marBottom w:val="0"/>
      <w:divBdr>
        <w:top w:val="none" w:sz="0" w:space="0" w:color="auto"/>
        <w:left w:val="none" w:sz="0" w:space="0" w:color="auto"/>
        <w:bottom w:val="none" w:sz="0" w:space="0" w:color="auto"/>
        <w:right w:val="none" w:sz="0" w:space="0" w:color="auto"/>
      </w:divBdr>
    </w:div>
    <w:div w:id="328142936">
      <w:bodyDiv w:val="1"/>
      <w:marLeft w:val="0"/>
      <w:marRight w:val="0"/>
      <w:marTop w:val="0"/>
      <w:marBottom w:val="0"/>
      <w:divBdr>
        <w:top w:val="none" w:sz="0" w:space="0" w:color="auto"/>
        <w:left w:val="none" w:sz="0" w:space="0" w:color="auto"/>
        <w:bottom w:val="none" w:sz="0" w:space="0" w:color="auto"/>
        <w:right w:val="none" w:sz="0" w:space="0" w:color="auto"/>
      </w:divBdr>
    </w:div>
    <w:div w:id="328799948">
      <w:bodyDiv w:val="1"/>
      <w:marLeft w:val="0"/>
      <w:marRight w:val="0"/>
      <w:marTop w:val="0"/>
      <w:marBottom w:val="0"/>
      <w:divBdr>
        <w:top w:val="none" w:sz="0" w:space="0" w:color="auto"/>
        <w:left w:val="none" w:sz="0" w:space="0" w:color="auto"/>
        <w:bottom w:val="none" w:sz="0" w:space="0" w:color="auto"/>
        <w:right w:val="none" w:sz="0" w:space="0" w:color="auto"/>
      </w:divBdr>
    </w:div>
    <w:div w:id="328949965">
      <w:bodyDiv w:val="1"/>
      <w:marLeft w:val="0"/>
      <w:marRight w:val="0"/>
      <w:marTop w:val="0"/>
      <w:marBottom w:val="0"/>
      <w:divBdr>
        <w:top w:val="none" w:sz="0" w:space="0" w:color="auto"/>
        <w:left w:val="none" w:sz="0" w:space="0" w:color="auto"/>
        <w:bottom w:val="none" w:sz="0" w:space="0" w:color="auto"/>
        <w:right w:val="none" w:sz="0" w:space="0" w:color="auto"/>
      </w:divBdr>
    </w:div>
    <w:div w:id="329254280">
      <w:bodyDiv w:val="1"/>
      <w:marLeft w:val="0"/>
      <w:marRight w:val="0"/>
      <w:marTop w:val="0"/>
      <w:marBottom w:val="0"/>
      <w:divBdr>
        <w:top w:val="none" w:sz="0" w:space="0" w:color="auto"/>
        <w:left w:val="none" w:sz="0" w:space="0" w:color="auto"/>
        <w:bottom w:val="none" w:sz="0" w:space="0" w:color="auto"/>
        <w:right w:val="none" w:sz="0" w:space="0" w:color="auto"/>
      </w:divBdr>
    </w:div>
    <w:div w:id="329529523">
      <w:bodyDiv w:val="1"/>
      <w:marLeft w:val="0"/>
      <w:marRight w:val="0"/>
      <w:marTop w:val="0"/>
      <w:marBottom w:val="0"/>
      <w:divBdr>
        <w:top w:val="none" w:sz="0" w:space="0" w:color="auto"/>
        <w:left w:val="none" w:sz="0" w:space="0" w:color="auto"/>
        <w:bottom w:val="none" w:sz="0" w:space="0" w:color="auto"/>
        <w:right w:val="none" w:sz="0" w:space="0" w:color="auto"/>
      </w:divBdr>
    </w:div>
    <w:div w:id="329724758">
      <w:bodyDiv w:val="1"/>
      <w:marLeft w:val="0"/>
      <w:marRight w:val="0"/>
      <w:marTop w:val="0"/>
      <w:marBottom w:val="0"/>
      <w:divBdr>
        <w:top w:val="none" w:sz="0" w:space="0" w:color="auto"/>
        <w:left w:val="none" w:sz="0" w:space="0" w:color="auto"/>
        <w:bottom w:val="none" w:sz="0" w:space="0" w:color="auto"/>
        <w:right w:val="none" w:sz="0" w:space="0" w:color="auto"/>
      </w:divBdr>
    </w:div>
    <w:div w:id="330065440">
      <w:bodyDiv w:val="1"/>
      <w:marLeft w:val="0"/>
      <w:marRight w:val="0"/>
      <w:marTop w:val="0"/>
      <w:marBottom w:val="0"/>
      <w:divBdr>
        <w:top w:val="none" w:sz="0" w:space="0" w:color="auto"/>
        <w:left w:val="none" w:sz="0" w:space="0" w:color="auto"/>
        <w:bottom w:val="none" w:sz="0" w:space="0" w:color="auto"/>
        <w:right w:val="none" w:sz="0" w:space="0" w:color="auto"/>
      </w:divBdr>
    </w:div>
    <w:div w:id="330379030">
      <w:bodyDiv w:val="1"/>
      <w:marLeft w:val="0"/>
      <w:marRight w:val="0"/>
      <w:marTop w:val="0"/>
      <w:marBottom w:val="0"/>
      <w:divBdr>
        <w:top w:val="none" w:sz="0" w:space="0" w:color="auto"/>
        <w:left w:val="none" w:sz="0" w:space="0" w:color="auto"/>
        <w:bottom w:val="none" w:sz="0" w:space="0" w:color="auto"/>
        <w:right w:val="none" w:sz="0" w:space="0" w:color="auto"/>
      </w:divBdr>
    </w:div>
    <w:div w:id="330380027">
      <w:bodyDiv w:val="1"/>
      <w:marLeft w:val="0"/>
      <w:marRight w:val="0"/>
      <w:marTop w:val="0"/>
      <w:marBottom w:val="0"/>
      <w:divBdr>
        <w:top w:val="none" w:sz="0" w:space="0" w:color="auto"/>
        <w:left w:val="none" w:sz="0" w:space="0" w:color="auto"/>
        <w:bottom w:val="none" w:sz="0" w:space="0" w:color="auto"/>
        <w:right w:val="none" w:sz="0" w:space="0" w:color="auto"/>
      </w:divBdr>
    </w:div>
    <w:div w:id="330640895">
      <w:bodyDiv w:val="1"/>
      <w:marLeft w:val="0"/>
      <w:marRight w:val="0"/>
      <w:marTop w:val="0"/>
      <w:marBottom w:val="0"/>
      <w:divBdr>
        <w:top w:val="none" w:sz="0" w:space="0" w:color="auto"/>
        <w:left w:val="none" w:sz="0" w:space="0" w:color="auto"/>
        <w:bottom w:val="none" w:sz="0" w:space="0" w:color="auto"/>
        <w:right w:val="none" w:sz="0" w:space="0" w:color="auto"/>
      </w:divBdr>
    </w:div>
    <w:div w:id="330642037">
      <w:bodyDiv w:val="1"/>
      <w:marLeft w:val="0"/>
      <w:marRight w:val="0"/>
      <w:marTop w:val="0"/>
      <w:marBottom w:val="0"/>
      <w:divBdr>
        <w:top w:val="none" w:sz="0" w:space="0" w:color="auto"/>
        <w:left w:val="none" w:sz="0" w:space="0" w:color="auto"/>
        <w:bottom w:val="none" w:sz="0" w:space="0" w:color="auto"/>
        <w:right w:val="none" w:sz="0" w:space="0" w:color="auto"/>
      </w:divBdr>
    </w:div>
    <w:div w:id="330791419">
      <w:bodyDiv w:val="1"/>
      <w:marLeft w:val="0"/>
      <w:marRight w:val="0"/>
      <w:marTop w:val="0"/>
      <w:marBottom w:val="0"/>
      <w:divBdr>
        <w:top w:val="none" w:sz="0" w:space="0" w:color="auto"/>
        <w:left w:val="none" w:sz="0" w:space="0" w:color="auto"/>
        <w:bottom w:val="none" w:sz="0" w:space="0" w:color="auto"/>
        <w:right w:val="none" w:sz="0" w:space="0" w:color="auto"/>
      </w:divBdr>
    </w:div>
    <w:div w:id="330842342">
      <w:bodyDiv w:val="1"/>
      <w:marLeft w:val="0"/>
      <w:marRight w:val="0"/>
      <w:marTop w:val="0"/>
      <w:marBottom w:val="0"/>
      <w:divBdr>
        <w:top w:val="none" w:sz="0" w:space="0" w:color="auto"/>
        <w:left w:val="none" w:sz="0" w:space="0" w:color="auto"/>
        <w:bottom w:val="none" w:sz="0" w:space="0" w:color="auto"/>
        <w:right w:val="none" w:sz="0" w:space="0" w:color="auto"/>
      </w:divBdr>
    </w:div>
    <w:div w:id="330913910">
      <w:bodyDiv w:val="1"/>
      <w:marLeft w:val="0"/>
      <w:marRight w:val="0"/>
      <w:marTop w:val="0"/>
      <w:marBottom w:val="0"/>
      <w:divBdr>
        <w:top w:val="none" w:sz="0" w:space="0" w:color="auto"/>
        <w:left w:val="none" w:sz="0" w:space="0" w:color="auto"/>
        <w:bottom w:val="none" w:sz="0" w:space="0" w:color="auto"/>
        <w:right w:val="none" w:sz="0" w:space="0" w:color="auto"/>
      </w:divBdr>
    </w:div>
    <w:div w:id="331153629">
      <w:bodyDiv w:val="1"/>
      <w:marLeft w:val="0"/>
      <w:marRight w:val="0"/>
      <w:marTop w:val="0"/>
      <w:marBottom w:val="0"/>
      <w:divBdr>
        <w:top w:val="none" w:sz="0" w:space="0" w:color="auto"/>
        <w:left w:val="none" w:sz="0" w:space="0" w:color="auto"/>
        <w:bottom w:val="none" w:sz="0" w:space="0" w:color="auto"/>
        <w:right w:val="none" w:sz="0" w:space="0" w:color="auto"/>
      </w:divBdr>
    </w:div>
    <w:div w:id="331495488">
      <w:bodyDiv w:val="1"/>
      <w:marLeft w:val="0"/>
      <w:marRight w:val="0"/>
      <w:marTop w:val="0"/>
      <w:marBottom w:val="0"/>
      <w:divBdr>
        <w:top w:val="none" w:sz="0" w:space="0" w:color="auto"/>
        <w:left w:val="none" w:sz="0" w:space="0" w:color="auto"/>
        <w:bottom w:val="none" w:sz="0" w:space="0" w:color="auto"/>
        <w:right w:val="none" w:sz="0" w:space="0" w:color="auto"/>
      </w:divBdr>
    </w:div>
    <w:div w:id="331835407">
      <w:bodyDiv w:val="1"/>
      <w:marLeft w:val="0"/>
      <w:marRight w:val="0"/>
      <w:marTop w:val="0"/>
      <w:marBottom w:val="0"/>
      <w:divBdr>
        <w:top w:val="none" w:sz="0" w:space="0" w:color="auto"/>
        <w:left w:val="none" w:sz="0" w:space="0" w:color="auto"/>
        <w:bottom w:val="none" w:sz="0" w:space="0" w:color="auto"/>
        <w:right w:val="none" w:sz="0" w:space="0" w:color="auto"/>
      </w:divBdr>
    </w:div>
    <w:div w:id="331836583">
      <w:bodyDiv w:val="1"/>
      <w:marLeft w:val="0"/>
      <w:marRight w:val="0"/>
      <w:marTop w:val="0"/>
      <w:marBottom w:val="0"/>
      <w:divBdr>
        <w:top w:val="none" w:sz="0" w:space="0" w:color="auto"/>
        <w:left w:val="none" w:sz="0" w:space="0" w:color="auto"/>
        <w:bottom w:val="none" w:sz="0" w:space="0" w:color="auto"/>
        <w:right w:val="none" w:sz="0" w:space="0" w:color="auto"/>
      </w:divBdr>
    </w:div>
    <w:div w:id="332223496">
      <w:bodyDiv w:val="1"/>
      <w:marLeft w:val="0"/>
      <w:marRight w:val="0"/>
      <w:marTop w:val="0"/>
      <w:marBottom w:val="0"/>
      <w:divBdr>
        <w:top w:val="none" w:sz="0" w:space="0" w:color="auto"/>
        <w:left w:val="none" w:sz="0" w:space="0" w:color="auto"/>
        <w:bottom w:val="none" w:sz="0" w:space="0" w:color="auto"/>
        <w:right w:val="none" w:sz="0" w:space="0" w:color="auto"/>
      </w:divBdr>
    </w:div>
    <w:div w:id="332299670">
      <w:bodyDiv w:val="1"/>
      <w:marLeft w:val="0"/>
      <w:marRight w:val="0"/>
      <w:marTop w:val="0"/>
      <w:marBottom w:val="0"/>
      <w:divBdr>
        <w:top w:val="none" w:sz="0" w:space="0" w:color="auto"/>
        <w:left w:val="none" w:sz="0" w:space="0" w:color="auto"/>
        <w:bottom w:val="none" w:sz="0" w:space="0" w:color="auto"/>
        <w:right w:val="none" w:sz="0" w:space="0" w:color="auto"/>
      </w:divBdr>
    </w:div>
    <w:div w:id="332953113">
      <w:bodyDiv w:val="1"/>
      <w:marLeft w:val="0"/>
      <w:marRight w:val="0"/>
      <w:marTop w:val="0"/>
      <w:marBottom w:val="0"/>
      <w:divBdr>
        <w:top w:val="none" w:sz="0" w:space="0" w:color="auto"/>
        <w:left w:val="none" w:sz="0" w:space="0" w:color="auto"/>
        <w:bottom w:val="none" w:sz="0" w:space="0" w:color="auto"/>
        <w:right w:val="none" w:sz="0" w:space="0" w:color="auto"/>
      </w:divBdr>
    </w:div>
    <w:div w:id="333067152">
      <w:bodyDiv w:val="1"/>
      <w:marLeft w:val="0"/>
      <w:marRight w:val="0"/>
      <w:marTop w:val="0"/>
      <w:marBottom w:val="0"/>
      <w:divBdr>
        <w:top w:val="none" w:sz="0" w:space="0" w:color="auto"/>
        <w:left w:val="none" w:sz="0" w:space="0" w:color="auto"/>
        <w:bottom w:val="none" w:sz="0" w:space="0" w:color="auto"/>
        <w:right w:val="none" w:sz="0" w:space="0" w:color="auto"/>
      </w:divBdr>
    </w:div>
    <w:div w:id="333530686">
      <w:bodyDiv w:val="1"/>
      <w:marLeft w:val="0"/>
      <w:marRight w:val="0"/>
      <w:marTop w:val="0"/>
      <w:marBottom w:val="0"/>
      <w:divBdr>
        <w:top w:val="none" w:sz="0" w:space="0" w:color="auto"/>
        <w:left w:val="none" w:sz="0" w:space="0" w:color="auto"/>
        <w:bottom w:val="none" w:sz="0" w:space="0" w:color="auto"/>
        <w:right w:val="none" w:sz="0" w:space="0" w:color="auto"/>
      </w:divBdr>
    </w:div>
    <w:div w:id="334380361">
      <w:bodyDiv w:val="1"/>
      <w:marLeft w:val="0"/>
      <w:marRight w:val="0"/>
      <w:marTop w:val="0"/>
      <w:marBottom w:val="0"/>
      <w:divBdr>
        <w:top w:val="none" w:sz="0" w:space="0" w:color="auto"/>
        <w:left w:val="none" w:sz="0" w:space="0" w:color="auto"/>
        <w:bottom w:val="none" w:sz="0" w:space="0" w:color="auto"/>
        <w:right w:val="none" w:sz="0" w:space="0" w:color="auto"/>
      </w:divBdr>
    </w:div>
    <w:div w:id="334571575">
      <w:bodyDiv w:val="1"/>
      <w:marLeft w:val="0"/>
      <w:marRight w:val="0"/>
      <w:marTop w:val="0"/>
      <w:marBottom w:val="0"/>
      <w:divBdr>
        <w:top w:val="none" w:sz="0" w:space="0" w:color="auto"/>
        <w:left w:val="none" w:sz="0" w:space="0" w:color="auto"/>
        <w:bottom w:val="none" w:sz="0" w:space="0" w:color="auto"/>
        <w:right w:val="none" w:sz="0" w:space="0" w:color="auto"/>
      </w:divBdr>
    </w:div>
    <w:div w:id="334764896">
      <w:bodyDiv w:val="1"/>
      <w:marLeft w:val="0"/>
      <w:marRight w:val="0"/>
      <w:marTop w:val="0"/>
      <w:marBottom w:val="0"/>
      <w:divBdr>
        <w:top w:val="none" w:sz="0" w:space="0" w:color="auto"/>
        <w:left w:val="none" w:sz="0" w:space="0" w:color="auto"/>
        <w:bottom w:val="none" w:sz="0" w:space="0" w:color="auto"/>
        <w:right w:val="none" w:sz="0" w:space="0" w:color="auto"/>
      </w:divBdr>
    </w:div>
    <w:div w:id="334770932">
      <w:bodyDiv w:val="1"/>
      <w:marLeft w:val="0"/>
      <w:marRight w:val="0"/>
      <w:marTop w:val="0"/>
      <w:marBottom w:val="0"/>
      <w:divBdr>
        <w:top w:val="none" w:sz="0" w:space="0" w:color="auto"/>
        <w:left w:val="none" w:sz="0" w:space="0" w:color="auto"/>
        <w:bottom w:val="none" w:sz="0" w:space="0" w:color="auto"/>
        <w:right w:val="none" w:sz="0" w:space="0" w:color="auto"/>
      </w:divBdr>
      <w:divsChild>
        <w:div w:id="118190186">
          <w:marLeft w:val="907"/>
          <w:marRight w:val="0"/>
          <w:marTop w:val="120"/>
          <w:marBottom w:val="0"/>
          <w:divBdr>
            <w:top w:val="none" w:sz="0" w:space="0" w:color="auto"/>
            <w:left w:val="none" w:sz="0" w:space="0" w:color="auto"/>
            <w:bottom w:val="none" w:sz="0" w:space="0" w:color="auto"/>
            <w:right w:val="none" w:sz="0" w:space="0" w:color="auto"/>
          </w:divBdr>
        </w:div>
        <w:div w:id="306402541">
          <w:marLeft w:val="907"/>
          <w:marRight w:val="0"/>
          <w:marTop w:val="120"/>
          <w:marBottom w:val="0"/>
          <w:divBdr>
            <w:top w:val="none" w:sz="0" w:space="0" w:color="auto"/>
            <w:left w:val="none" w:sz="0" w:space="0" w:color="auto"/>
            <w:bottom w:val="none" w:sz="0" w:space="0" w:color="auto"/>
            <w:right w:val="none" w:sz="0" w:space="0" w:color="auto"/>
          </w:divBdr>
        </w:div>
        <w:div w:id="539708321">
          <w:marLeft w:val="446"/>
          <w:marRight w:val="0"/>
          <w:marTop w:val="400"/>
          <w:marBottom w:val="0"/>
          <w:divBdr>
            <w:top w:val="none" w:sz="0" w:space="0" w:color="auto"/>
            <w:left w:val="none" w:sz="0" w:space="0" w:color="auto"/>
            <w:bottom w:val="none" w:sz="0" w:space="0" w:color="auto"/>
            <w:right w:val="none" w:sz="0" w:space="0" w:color="auto"/>
          </w:divBdr>
        </w:div>
        <w:div w:id="1221360315">
          <w:marLeft w:val="907"/>
          <w:marRight w:val="0"/>
          <w:marTop w:val="120"/>
          <w:marBottom w:val="0"/>
          <w:divBdr>
            <w:top w:val="none" w:sz="0" w:space="0" w:color="auto"/>
            <w:left w:val="none" w:sz="0" w:space="0" w:color="auto"/>
            <w:bottom w:val="none" w:sz="0" w:space="0" w:color="auto"/>
            <w:right w:val="none" w:sz="0" w:space="0" w:color="auto"/>
          </w:divBdr>
        </w:div>
        <w:div w:id="1404991183">
          <w:marLeft w:val="446"/>
          <w:marRight w:val="0"/>
          <w:marTop w:val="400"/>
          <w:marBottom w:val="0"/>
          <w:divBdr>
            <w:top w:val="none" w:sz="0" w:space="0" w:color="auto"/>
            <w:left w:val="none" w:sz="0" w:space="0" w:color="auto"/>
            <w:bottom w:val="none" w:sz="0" w:space="0" w:color="auto"/>
            <w:right w:val="none" w:sz="0" w:space="0" w:color="auto"/>
          </w:divBdr>
        </w:div>
      </w:divsChild>
    </w:div>
    <w:div w:id="334965972">
      <w:bodyDiv w:val="1"/>
      <w:marLeft w:val="0"/>
      <w:marRight w:val="0"/>
      <w:marTop w:val="0"/>
      <w:marBottom w:val="0"/>
      <w:divBdr>
        <w:top w:val="none" w:sz="0" w:space="0" w:color="auto"/>
        <w:left w:val="none" w:sz="0" w:space="0" w:color="auto"/>
        <w:bottom w:val="none" w:sz="0" w:space="0" w:color="auto"/>
        <w:right w:val="none" w:sz="0" w:space="0" w:color="auto"/>
      </w:divBdr>
    </w:div>
    <w:div w:id="335613128">
      <w:bodyDiv w:val="1"/>
      <w:marLeft w:val="0"/>
      <w:marRight w:val="0"/>
      <w:marTop w:val="0"/>
      <w:marBottom w:val="0"/>
      <w:divBdr>
        <w:top w:val="none" w:sz="0" w:space="0" w:color="auto"/>
        <w:left w:val="none" w:sz="0" w:space="0" w:color="auto"/>
        <w:bottom w:val="none" w:sz="0" w:space="0" w:color="auto"/>
        <w:right w:val="none" w:sz="0" w:space="0" w:color="auto"/>
      </w:divBdr>
    </w:div>
    <w:div w:id="336423990">
      <w:bodyDiv w:val="1"/>
      <w:marLeft w:val="0"/>
      <w:marRight w:val="0"/>
      <w:marTop w:val="0"/>
      <w:marBottom w:val="0"/>
      <w:divBdr>
        <w:top w:val="none" w:sz="0" w:space="0" w:color="auto"/>
        <w:left w:val="none" w:sz="0" w:space="0" w:color="auto"/>
        <w:bottom w:val="none" w:sz="0" w:space="0" w:color="auto"/>
        <w:right w:val="none" w:sz="0" w:space="0" w:color="auto"/>
      </w:divBdr>
    </w:div>
    <w:div w:id="337078292">
      <w:bodyDiv w:val="1"/>
      <w:marLeft w:val="0"/>
      <w:marRight w:val="0"/>
      <w:marTop w:val="0"/>
      <w:marBottom w:val="0"/>
      <w:divBdr>
        <w:top w:val="none" w:sz="0" w:space="0" w:color="auto"/>
        <w:left w:val="none" w:sz="0" w:space="0" w:color="auto"/>
        <w:bottom w:val="none" w:sz="0" w:space="0" w:color="auto"/>
        <w:right w:val="none" w:sz="0" w:space="0" w:color="auto"/>
      </w:divBdr>
    </w:div>
    <w:div w:id="337657769">
      <w:bodyDiv w:val="1"/>
      <w:marLeft w:val="0"/>
      <w:marRight w:val="0"/>
      <w:marTop w:val="0"/>
      <w:marBottom w:val="0"/>
      <w:divBdr>
        <w:top w:val="none" w:sz="0" w:space="0" w:color="auto"/>
        <w:left w:val="none" w:sz="0" w:space="0" w:color="auto"/>
        <w:bottom w:val="none" w:sz="0" w:space="0" w:color="auto"/>
        <w:right w:val="none" w:sz="0" w:space="0" w:color="auto"/>
      </w:divBdr>
    </w:div>
    <w:div w:id="337733403">
      <w:bodyDiv w:val="1"/>
      <w:marLeft w:val="0"/>
      <w:marRight w:val="0"/>
      <w:marTop w:val="0"/>
      <w:marBottom w:val="0"/>
      <w:divBdr>
        <w:top w:val="none" w:sz="0" w:space="0" w:color="auto"/>
        <w:left w:val="none" w:sz="0" w:space="0" w:color="auto"/>
        <w:bottom w:val="none" w:sz="0" w:space="0" w:color="auto"/>
        <w:right w:val="none" w:sz="0" w:space="0" w:color="auto"/>
      </w:divBdr>
    </w:div>
    <w:div w:id="337854062">
      <w:bodyDiv w:val="1"/>
      <w:marLeft w:val="0"/>
      <w:marRight w:val="0"/>
      <w:marTop w:val="0"/>
      <w:marBottom w:val="0"/>
      <w:divBdr>
        <w:top w:val="none" w:sz="0" w:space="0" w:color="auto"/>
        <w:left w:val="none" w:sz="0" w:space="0" w:color="auto"/>
        <w:bottom w:val="none" w:sz="0" w:space="0" w:color="auto"/>
        <w:right w:val="none" w:sz="0" w:space="0" w:color="auto"/>
      </w:divBdr>
    </w:div>
    <w:div w:id="338001589">
      <w:bodyDiv w:val="1"/>
      <w:marLeft w:val="0"/>
      <w:marRight w:val="0"/>
      <w:marTop w:val="0"/>
      <w:marBottom w:val="0"/>
      <w:divBdr>
        <w:top w:val="none" w:sz="0" w:space="0" w:color="auto"/>
        <w:left w:val="none" w:sz="0" w:space="0" w:color="auto"/>
        <w:bottom w:val="none" w:sz="0" w:space="0" w:color="auto"/>
        <w:right w:val="none" w:sz="0" w:space="0" w:color="auto"/>
      </w:divBdr>
    </w:div>
    <w:div w:id="338117735">
      <w:bodyDiv w:val="1"/>
      <w:marLeft w:val="0"/>
      <w:marRight w:val="0"/>
      <w:marTop w:val="0"/>
      <w:marBottom w:val="0"/>
      <w:divBdr>
        <w:top w:val="none" w:sz="0" w:space="0" w:color="auto"/>
        <w:left w:val="none" w:sz="0" w:space="0" w:color="auto"/>
        <w:bottom w:val="none" w:sz="0" w:space="0" w:color="auto"/>
        <w:right w:val="none" w:sz="0" w:space="0" w:color="auto"/>
      </w:divBdr>
    </w:div>
    <w:div w:id="338167490">
      <w:bodyDiv w:val="1"/>
      <w:marLeft w:val="0"/>
      <w:marRight w:val="0"/>
      <w:marTop w:val="0"/>
      <w:marBottom w:val="0"/>
      <w:divBdr>
        <w:top w:val="none" w:sz="0" w:space="0" w:color="auto"/>
        <w:left w:val="none" w:sz="0" w:space="0" w:color="auto"/>
        <w:bottom w:val="none" w:sz="0" w:space="0" w:color="auto"/>
        <w:right w:val="none" w:sz="0" w:space="0" w:color="auto"/>
      </w:divBdr>
    </w:div>
    <w:div w:id="338238697">
      <w:bodyDiv w:val="1"/>
      <w:marLeft w:val="0"/>
      <w:marRight w:val="0"/>
      <w:marTop w:val="0"/>
      <w:marBottom w:val="0"/>
      <w:divBdr>
        <w:top w:val="none" w:sz="0" w:space="0" w:color="auto"/>
        <w:left w:val="none" w:sz="0" w:space="0" w:color="auto"/>
        <w:bottom w:val="none" w:sz="0" w:space="0" w:color="auto"/>
        <w:right w:val="none" w:sz="0" w:space="0" w:color="auto"/>
      </w:divBdr>
    </w:div>
    <w:div w:id="338392494">
      <w:bodyDiv w:val="1"/>
      <w:marLeft w:val="0"/>
      <w:marRight w:val="0"/>
      <w:marTop w:val="0"/>
      <w:marBottom w:val="0"/>
      <w:divBdr>
        <w:top w:val="none" w:sz="0" w:space="0" w:color="auto"/>
        <w:left w:val="none" w:sz="0" w:space="0" w:color="auto"/>
        <w:bottom w:val="none" w:sz="0" w:space="0" w:color="auto"/>
        <w:right w:val="none" w:sz="0" w:space="0" w:color="auto"/>
      </w:divBdr>
    </w:div>
    <w:div w:id="338503441">
      <w:bodyDiv w:val="1"/>
      <w:marLeft w:val="0"/>
      <w:marRight w:val="0"/>
      <w:marTop w:val="0"/>
      <w:marBottom w:val="0"/>
      <w:divBdr>
        <w:top w:val="none" w:sz="0" w:space="0" w:color="auto"/>
        <w:left w:val="none" w:sz="0" w:space="0" w:color="auto"/>
        <w:bottom w:val="none" w:sz="0" w:space="0" w:color="auto"/>
        <w:right w:val="none" w:sz="0" w:space="0" w:color="auto"/>
      </w:divBdr>
    </w:div>
    <w:div w:id="338504272">
      <w:bodyDiv w:val="1"/>
      <w:marLeft w:val="0"/>
      <w:marRight w:val="0"/>
      <w:marTop w:val="0"/>
      <w:marBottom w:val="0"/>
      <w:divBdr>
        <w:top w:val="none" w:sz="0" w:space="0" w:color="auto"/>
        <w:left w:val="none" w:sz="0" w:space="0" w:color="auto"/>
        <w:bottom w:val="none" w:sz="0" w:space="0" w:color="auto"/>
        <w:right w:val="none" w:sz="0" w:space="0" w:color="auto"/>
      </w:divBdr>
    </w:div>
    <w:div w:id="338698731">
      <w:bodyDiv w:val="1"/>
      <w:marLeft w:val="0"/>
      <w:marRight w:val="0"/>
      <w:marTop w:val="0"/>
      <w:marBottom w:val="0"/>
      <w:divBdr>
        <w:top w:val="none" w:sz="0" w:space="0" w:color="auto"/>
        <w:left w:val="none" w:sz="0" w:space="0" w:color="auto"/>
        <w:bottom w:val="none" w:sz="0" w:space="0" w:color="auto"/>
        <w:right w:val="none" w:sz="0" w:space="0" w:color="auto"/>
      </w:divBdr>
    </w:div>
    <w:div w:id="338775092">
      <w:bodyDiv w:val="1"/>
      <w:marLeft w:val="0"/>
      <w:marRight w:val="0"/>
      <w:marTop w:val="0"/>
      <w:marBottom w:val="0"/>
      <w:divBdr>
        <w:top w:val="none" w:sz="0" w:space="0" w:color="auto"/>
        <w:left w:val="none" w:sz="0" w:space="0" w:color="auto"/>
        <w:bottom w:val="none" w:sz="0" w:space="0" w:color="auto"/>
        <w:right w:val="none" w:sz="0" w:space="0" w:color="auto"/>
      </w:divBdr>
    </w:div>
    <w:div w:id="339281733">
      <w:bodyDiv w:val="1"/>
      <w:marLeft w:val="0"/>
      <w:marRight w:val="0"/>
      <w:marTop w:val="0"/>
      <w:marBottom w:val="0"/>
      <w:divBdr>
        <w:top w:val="none" w:sz="0" w:space="0" w:color="auto"/>
        <w:left w:val="none" w:sz="0" w:space="0" w:color="auto"/>
        <w:bottom w:val="none" w:sz="0" w:space="0" w:color="auto"/>
        <w:right w:val="none" w:sz="0" w:space="0" w:color="auto"/>
      </w:divBdr>
    </w:div>
    <w:div w:id="339546969">
      <w:bodyDiv w:val="1"/>
      <w:marLeft w:val="0"/>
      <w:marRight w:val="0"/>
      <w:marTop w:val="0"/>
      <w:marBottom w:val="0"/>
      <w:divBdr>
        <w:top w:val="none" w:sz="0" w:space="0" w:color="auto"/>
        <w:left w:val="none" w:sz="0" w:space="0" w:color="auto"/>
        <w:bottom w:val="none" w:sz="0" w:space="0" w:color="auto"/>
        <w:right w:val="none" w:sz="0" w:space="0" w:color="auto"/>
      </w:divBdr>
    </w:div>
    <w:div w:id="339770608">
      <w:bodyDiv w:val="1"/>
      <w:marLeft w:val="0"/>
      <w:marRight w:val="0"/>
      <w:marTop w:val="0"/>
      <w:marBottom w:val="0"/>
      <w:divBdr>
        <w:top w:val="none" w:sz="0" w:space="0" w:color="auto"/>
        <w:left w:val="none" w:sz="0" w:space="0" w:color="auto"/>
        <w:bottom w:val="none" w:sz="0" w:space="0" w:color="auto"/>
        <w:right w:val="none" w:sz="0" w:space="0" w:color="auto"/>
      </w:divBdr>
    </w:div>
    <w:div w:id="339964865">
      <w:bodyDiv w:val="1"/>
      <w:marLeft w:val="0"/>
      <w:marRight w:val="0"/>
      <w:marTop w:val="0"/>
      <w:marBottom w:val="0"/>
      <w:divBdr>
        <w:top w:val="none" w:sz="0" w:space="0" w:color="auto"/>
        <w:left w:val="none" w:sz="0" w:space="0" w:color="auto"/>
        <w:bottom w:val="none" w:sz="0" w:space="0" w:color="auto"/>
        <w:right w:val="none" w:sz="0" w:space="0" w:color="auto"/>
      </w:divBdr>
    </w:div>
    <w:div w:id="340551791">
      <w:bodyDiv w:val="1"/>
      <w:marLeft w:val="0"/>
      <w:marRight w:val="0"/>
      <w:marTop w:val="0"/>
      <w:marBottom w:val="0"/>
      <w:divBdr>
        <w:top w:val="none" w:sz="0" w:space="0" w:color="auto"/>
        <w:left w:val="none" w:sz="0" w:space="0" w:color="auto"/>
        <w:bottom w:val="none" w:sz="0" w:space="0" w:color="auto"/>
        <w:right w:val="none" w:sz="0" w:space="0" w:color="auto"/>
      </w:divBdr>
    </w:div>
    <w:div w:id="340553013">
      <w:bodyDiv w:val="1"/>
      <w:marLeft w:val="0"/>
      <w:marRight w:val="0"/>
      <w:marTop w:val="0"/>
      <w:marBottom w:val="0"/>
      <w:divBdr>
        <w:top w:val="none" w:sz="0" w:space="0" w:color="auto"/>
        <w:left w:val="none" w:sz="0" w:space="0" w:color="auto"/>
        <w:bottom w:val="none" w:sz="0" w:space="0" w:color="auto"/>
        <w:right w:val="none" w:sz="0" w:space="0" w:color="auto"/>
      </w:divBdr>
    </w:div>
    <w:div w:id="341125943">
      <w:bodyDiv w:val="1"/>
      <w:marLeft w:val="0"/>
      <w:marRight w:val="0"/>
      <w:marTop w:val="0"/>
      <w:marBottom w:val="0"/>
      <w:divBdr>
        <w:top w:val="none" w:sz="0" w:space="0" w:color="auto"/>
        <w:left w:val="none" w:sz="0" w:space="0" w:color="auto"/>
        <w:bottom w:val="none" w:sz="0" w:space="0" w:color="auto"/>
        <w:right w:val="none" w:sz="0" w:space="0" w:color="auto"/>
      </w:divBdr>
    </w:div>
    <w:div w:id="341392420">
      <w:bodyDiv w:val="1"/>
      <w:marLeft w:val="0"/>
      <w:marRight w:val="0"/>
      <w:marTop w:val="0"/>
      <w:marBottom w:val="0"/>
      <w:divBdr>
        <w:top w:val="none" w:sz="0" w:space="0" w:color="auto"/>
        <w:left w:val="none" w:sz="0" w:space="0" w:color="auto"/>
        <w:bottom w:val="none" w:sz="0" w:space="0" w:color="auto"/>
        <w:right w:val="none" w:sz="0" w:space="0" w:color="auto"/>
      </w:divBdr>
    </w:div>
    <w:div w:id="341785489">
      <w:bodyDiv w:val="1"/>
      <w:marLeft w:val="0"/>
      <w:marRight w:val="0"/>
      <w:marTop w:val="0"/>
      <w:marBottom w:val="0"/>
      <w:divBdr>
        <w:top w:val="none" w:sz="0" w:space="0" w:color="auto"/>
        <w:left w:val="none" w:sz="0" w:space="0" w:color="auto"/>
        <w:bottom w:val="none" w:sz="0" w:space="0" w:color="auto"/>
        <w:right w:val="none" w:sz="0" w:space="0" w:color="auto"/>
      </w:divBdr>
    </w:div>
    <w:div w:id="342125073">
      <w:bodyDiv w:val="1"/>
      <w:marLeft w:val="0"/>
      <w:marRight w:val="0"/>
      <w:marTop w:val="0"/>
      <w:marBottom w:val="0"/>
      <w:divBdr>
        <w:top w:val="none" w:sz="0" w:space="0" w:color="auto"/>
        <w:left w:val="none" w:sz="0" w:space="0" w:color="auto"/>
        <w:bottom w:val="none" w:sz="0" w:space="0" w:color="auto"/>
        <w:right w:val="none" w:sz="0" w:space="0" w:color="auto"/>
      </w:divBdr>
    </w:div>
    <w:div w:id="342636431">
      <w:bodyDiv w:val="1"/>
      <w:marLeft w:val="0"/>
      <w:marRight w:val="0"/>
      <w:marTop w:val="0"/>
      <w:marBottom w:val="0"/>
      <w:divBdr>
        <w:top w:val="none" w:sz="0" w:space="0" w:color="auto"/>
        <w:left w:val="none" w:sz="0" w:space="0" w:color="auto"/>
        <w:bottom w:val="none" w:sz="0" w:space="0" w:color="auto"/>
        <w:right w:val="none" w:sz="0" w:space="0" w:color="auto"/>
      </w:divBdr>
    </w:div>
    <w:div w:id="343092676">
      <w:bodyDiv w:val="1"/>
      <w:marLeft w:val="0"/>
      <w:marRight w:val="0"/>
      <w:marTop w:val="0"/>
      <w:marBottom w:val="0"/>
      <w:divBdr>
        <w:top w:val="none" w:sz="0" w:space="0" w:color="auto"/>
        <w:left w:val="none" w:sz="0" w:space="0" w:color="auto"/>
        <w:bottom w:val="none" w:sz="0" w:space="0" w:color="auto"/>
        <w:right w:val="none" w:sz="0" w:space="0" w:color="auto"/>
      </w:divBdr>
    </w:div>
    <w:div w:id="344207727">
      <w:bodyDiv w:val="1"/>
      <w:marLeft w:val="0"/>
      <w:marRight w:val="0"/>
      <w:marTop w:val="0"/>
      <w:marBottom w:val="0"/>
      <w:divBdr>
        <w:top w:val="none" w:sz="0" w:space="0" w:color="auto"/>
        <w:left w:val="none" w:sz="0" w:space="0" w:color="auto"/>
        <w:bottom w:val="none" w:sz="0" w:space="0" w:color="auto"/>
        <w:right w:val="none" w:sz="0" w:space="0" w:color="auto"/>
      </w:divBdr>
    </w:div>
    <w:div w:id="344328111">
      <w:bodyDiv w:val="1"/>
      <w:marLeft w:val="0"/>
      <w:marRight w:val="0"/>
      <w:marTop w:val="0"/>
      <w:marBottom w:val="0"/>
      <w:divBdr>
        <w:top w:val="none" w:sz="0" w:space="0" w:color="auto"/>
        <w:left w:val="none" w:sz="0" w:space="0" w:color="auto"/>
        <w:bottom w:val="none" w:sz="0" w:space="0" w:color="auto"/>
        <w:right w:val="none" w:sz="0" w:space="0" w:color="auto"/>
      </w:divBdr>
    </w:div>
    <w:div w:id="346293454">
      <w:bodyDiv w:val="1"/>
      <w:marLeft w:val="0"/>
      <w:marRight w:val="0"/>
      <w:marTop w:val="0"/>
      <w:marBottom w:val="0"/>
      <w:divBdr>
        <w:top w:val="none" w:sz="0" w:space="0" w:color="auto"/>
        <w:left w:val="none" w:sz="0" w:space="0" w:color="auto"/>
        <w:bottom w:val="none" w:sz="0" w:space="0" w:color="auto"/>
        <w:right w:val="none" w:sz="0" w:space="0" w:color="auto"/>
      </w:divBdr>
    </w:div>
    <w:div w:id="346567974">
      <w:bodyDiv w:val="1"/>
      <w:marLeft w:val="0"/>
      <w:marRight w:val="0"/>
      <w:marTop w:val="0"/>
      <w:marBottom w:val="0"/>
      <w:divBdr>
        <w:top w:val="none" w:sz="0" w:space="0" w:color="auto"/>
        <w:left w:val="none" w:sz="0" w:space="0" w:color="auto"/>
        <w:bottom w:val="none" w:sz="0" w:space="0" w:color="auto"/>
        <w:right w:val="none" w:sz="0" w:space="0" w:color="auto"/>
      </w:divBdr>
    </w:div>
    <w:div w:id="346951346">
      <w:bodyDiv w:val="1"/>
      <w:marLeft w:val="0"/>
      <w:marRight w:val="0"/>
      <w:marTop w:val="0"/>
      <w:marBottom w:val="0"/>
      <w:divBdr>
        <w:top w:val="none" w:sz="0" w:space="0" w:color="auto"/>
        <w:left w:val="none" w:sz="0" w:space="0" w:color="auto"/>
        <w:bottom w:val="none" w:sz="0" w:space="0" w:color="auto"/>
        <w:right w:val="none" w:sz="0" w:space="0" w:color="auto"/>
      </w:divBdr>
    </w:div>
    <w:div w:id="347021185">
      <w:bodyDiv w:val="1"/>
      <w:marLeft w:val="0"/>
      <w:marRight w:val="0"/>
      <w:marTop w:val="0"/>
      <w:marBottom w:val="0"/>
      <w:divBdr>
        <w:top w:val="none" w:sz="0" w:space="0" w:color="auto"/>
        <w:left w:val="none" w:sz="0" w:space="0" w:color="auto"/>
        <w:bottom w:val="none" w:sz="0" w:space="0" w:color="auto"/>
        <w:right w:val="none" w:sz="0" w:space="0" w:color="auto"/>
      </w:divBdr>
    </w:div>
    <w:div w:id="347754002">
      <w:bodyDiv w:val="1"/>
      <w:marLeft w:val="0"/>
      <w:marRight w:val="0"/>
      <w:marTop w:val="0"/>
      <w:marBottom w:val="0"/>
      <w:divBdr>
        <w:top w:val="none" w:sz="0" w:space="0" w:color="auto"/>
        <w:left w:val="none" w:sz="0" w:space="0" w:color="auto"/>
        <w:bottom w:val="none" w:sz="0" w:space="0" w:color="auto"/>
        <w:right w:val="none" w:sz="0" w:space="0" w:color="auto"/>
      </w:divBdr>
    </w:div>
    <w:div w:id="348026498">
      <w:bodyDiv w:val="1"/>
      <w:marLeft w:val="0"/>
      <w:marRight w:val="0"/>
      <w:marTop w:val="0"/>
      <w:marBottom w:val="0"/>
      <w:divBdr>
        <w:top w:val="none" w:sz="0" w:space="0" w:color="auto"/>
        <w:left w:val="none" w:sz="0" w:space="0" w:color="auto"/>
        <w:bottom w:val="none" w:sz="0" w:space="0" w:color="auto"/>
        <w:right w:val="none" w:sz="0" w:space="0" w:color="auto"/>
      </w:divBdr>
    </w:div>
    <w:div w:id="348141728">
      <w:bodyDiv w:val="1"/>
      <w:marLeft w:val="0"/>
      <w:marRight w:val="0"/>
      <w:marTop w:val="0"/>
      <w:marBottom w:val="0"/>
      <w:divBdr>
        <w:top w:val="none" w:sz="0" w:space="0" w:color="auto"/>
        <w:left w:val="none" w:sz="0" w:space="0" w:color="auto"/>
        <w:bottom w:val="none" w:sz="0" w:space="0" w:color="auto"/>
        <w:right w:val="none" w:sz="0" w:space="0" w:color="auto"/>
      </w:divBdr>
    </w:div>
    <w:div w:id="348222125">
      <w:bodyDiv w:val="1"/>
      <w:marLeft w:val="0"/>
      <w:marRight w:val="0"/>
      <w:marTop w:val="0"/>
      <w:marBottom w:val="0"/>
      <w:divBdr>
        <w:top w:val="none" w:sz="0" w:space="0" w:color="auto"/>
        <w:left w:val="none" w:sz="0" w:space="0" w:color="auto"/>
        <w:bottom w:val="none" w:sz="0" w:space="0" w:color="auto"/>
        <w:right w:val="none" w:sz="0" w:space="0" w:color="auto"/>
      </w:divBdr>
    </w:div>
    <w:div w:id="348334688">
      <w:bodyDiv w:val="1"/>
      <w:marLeft w:val="0"/>
      <w:marRight w:val="0"/>
      <w:marTop w:val="0"/>
      <w:marBottom w:val="0"/>
      <w:divBdr>
        <w:top w:val="none" w:sz="0" w:space="0" w:color="auto"/>
        <w:left w:val="none" w:sz="0" w:space="0" w:color="auto"/>
        <w:bottom w:val="none" w:sz="0" w:space="0" w:color="auto"/>
        <w:right w:val="none" w:sz="0" w:space="0" w:color="auto"/>
      </w:divBdr>
    </w:div>
    <w:div w:id="348416013">
      <w:bodyDiv w:val="1"/>
      <w:marLeft w:val="0"/>
      <w:marRight w:val="0"/>
      <w:marTop w:val="0"/>
      <w:marBottom w:val="0"/>
      <w:divBdr>
        <w:top w:val="none" w:sz="0" w:space="0" w:color="auto"/>
        <w:left w:val="none" w:sz="0" w:space="0" w:color="auto"/>
        <w:bottom w:val="none" w:sz="0" w:space="0" w:color="auto"/>
        <w:right w:val="none" w:sz="0" w:space="0" w:color="auto"/>
      </w:divBdr>
    </w:div>
    <w:div w:id="348528969">
      <w:bodyDiv w:val="1"/>
      <w:marLeft w:val="0"/>
      <w:marRight w:val="0"/>
      <w:marTop w:val="0"/>
      <w:marBottom w:val="0"/>
      <w:divBdr>
        <w:top w:val="none" w:sz="0" w:space="0" w:color="auto"/>
        <w:left w:val="none" w:sz="0" w:space="0" w:color="auto"/>
        <w:bottom w:val="none" w:sz="0" w:space="0" w:color="auto"/>
        <w:right w:val="none" w:sz="0" w:space="0" w:color="auto"/>
      </w:divBdr>
    </w:div>
    <w:div w:id="348682417">
      <w:bodyDiv w:val="1"/>
      <w:marLeft w:val="0"/>
      <w:marRight w:val="0"/>
      <w:marTop w:val="0"/>
      <w:marBottom w:val="0"/>
      <w:divBdr>
        <w:top w:val="none" w:sz="0" w:space="0" w:color="auto"/>
        <w:left w:val="none" w:sz="0" w:space="0" w:color="auto"/>
        <w:bottom w:val="none" w:sz="0" w:space="0" w:color="auto"/>
        <w:right w:val="none" w:sz="0" w:space="0" w:color="auto"/>
      </w:divBdr>
    </w:div>
    <w:div w:id="348915453">
      <w:bodyDiv w:val="1"/>
      <w:marLeft w:val="0"/>
      <w:marRight w:val="0"/>
      <w:marTop w:val="0"/>
      <w:marBottom w:val="0"/>
      <w:divBdr>
        <w:top w:val="none" w:sz="0" w:space="0" w:color="auto"/>
        <w:left w:val="none" w:sz="0" w:space="0" w:color="auto"/>
        <w:bottom w:val="none" w:sz="0" w:space="0" w:color="auto"/>
        <w:right w:val="none" w:sz="0" w:space="0" w:color="auto"/>
      </w:divBdr>
    </w:div>
    <w:div w:id="350230069">
      <w:bodyDiv w:val="1"/>
      <w:marLeft w:val="0"/>
      <w:marRight w:val="0"/>
      <w:marTop w:val="0"/>
      <w:marBottom w:val="0"/>
      <w:divBdr>
        <w:top w:val="none" w:sz="0" w:space="0" w:color="auto"/>
        <w:left w:val="none" w:sz="0" w:space="0" w:color="auto"/>
        <w:bottom w:val="none" w:sz="0" w:space="0" w:color="auto"/>
        <w:right w:val="none" w:sz="0" w:space="0" w:color="auto"/>
      </w:divBdr>
    </w:div>
    <w:div w:id="350231272">
      <w:bodyDiv w:val="1"/>
      <w:marLeft w:val="0"/>
      <w:marRight w:val="0"/>
      <w:marTop w:val="0"/>
      <w:marBottom w:val="0"/>
      <w:divBdr>
        <w:top w:val="none" w:sz="0" w:space="0" w:color="auto"/>
        <w:left w:val="none" w:sz="0" w:space="0" w:color="auto"/>
        <w:bottom w:val="none" w:sz="0" w:space="0" w:color="auto"/>
        <w:right w:val="none" w:sz="0" w:space="0" w:color="auto"/>
      </w:divBdr>
    </w:div>
    <w:div w:id="350424464">
      <w:bodyDiv w:val="1"/>
      <w:marLeft w:val="0"/>
      <w:marRight w:val="0"/>
      <w:marTop w:val="0"/>
      <w:marBottom w:val="0"/>
      <w:divBdr>
        <w:top w:val="none" w:sz="0" w:space="0" w:color="auto"/>
        <w:left w:val="none" w:sz="0" w:space="0" w:color="auto"/>
        <w:bottom w:val="none" w:sz="0" w:space="0" w:color="auto"/>
        <w:right w:val="none" w:sz="0" w:space="0" w:color="auto"/>
      </w:divBdr>
    </w:div>
    <w:div w:id="351614754">
      <w:bodyDiv w:val="1"/>
      <w:marLeft w:val="0"/>
      <w:marRight w:val="0"/>
      <w:marTop w:val="0"/>
      <w:marBottom w:val="0"/>
      <w:divBdr>
        <w:top w:val="none" w:sz="0" w:space="0" w:color="auto"/>
        <w:left w:val="none" w:sz="0" w:space="0" w:color="auto"/>
        <w:bottom w:val="none" w:sz="0" w:space="0" w:color="auto"/>
        <w:right w:val="none" w:sz="0" w:space="0" w:color="auto"/>
      </w:divBdr>
    </w:div>
    <w:div w:id="351803522">
      <w:bodyDiv w:val="1"/>
      <w:marLeft w:val="0"/>
      <w:marRight w:val="0"/>
      <w:marTop w:val="0"/>
      <w:marBottom w:val="0"/>
      <w:divBdr>
        <w:top w:val="none" w:sz="0" w:space="0" w:color="auto"/>
        <w:left w:val="none" w:sz="0" w:space="0" w:color="auto"/>
        <w:bottom w:val="none" w:sz="0" w:space="0" w:color="auto"/>
        <w:right w:val="none" w:sz="0" w:space="0" w:color="auto"/>
      </w:divBdr>
    </w:div>
    <w:div w:id="352192815">
      <w:bodyDiv w:val="1"/>
      <w:marLeft w:val="0"/>
      <w:marRight w:val="0"/>
      <w:marTop w:val="0"/>
      <w:marBottom w:val="0"/>
      <w:divBdr>
        <w:top w:val="none" w:sz="0" w:space="0" w:color="auto"/>
        <w:left w:val="none" w:sz="0" w:space="0" w:color="auto"/>
        <w:bottom w:val="none" w:sz="0" w:space="0" w:color="auto"/>
        <w:right w:val="none" w:sz="0" w:space="0" w:color="auto"/>
      </w:divBdr>
    </w:div>
    <w:div w:id="352535273">
      <w:bodyDiv w:val="1"/>
      <w:marLeft w:val="0"/>
      <w:marRight w:val="0"/>
      <w:marTop w:val="0"/>
      <w:marBottom w:val="0"/>
      <w:divBdr>
        <w:top w:val="none" w:sz="0" w:space="0" w:color="auto"/>
        <w:left w:val="none" w:sz="0" w:space="0" w:color="auto"/>
        <w:bottom w:val="none" w:sz="0" w:space="0" w:color="auto"/>
        <w:right w:val="none" w:sz="0" w:space="0" w:color="auto"/>
      </w:divBdr>
    </w:div>
    <w:div w:id="352584232">
      <w:bodyDiv w:val="1"/>
      <w:marLeft w:val="0"/>
      <w:marRight w:val="0"/>
      <w:marTop w:val="0"/>
      <w:marBottom w:val="0"/>
      <w:divBdr>
        <w:top w:val="none" w:sz="0" w:space="0" w:color="auto"/>
        <w:left w:val="none" w:sz="0" w:space="0" w:color="auto"/>
        <w:bottom w:val="none" w:sz="0" w:space="0" w:color="auto"/>
        <w:right w:val="none" w:sz="0" w:space="0" w:color="auto"/>
      </w:divBdr>
    </w:div>
    <w:div w:id="352732948">
      <w:bodyDiv w:val="1"/>
      <w:marLeft w:val="0"/>
      <w:marRight w:val="0"/>
      <w:marTop w:val="0"/>
      <w:marBottom w:val="0"/>
      <w:divBdr>
        <w:top w:val="none" w:sz="0" w:space="0" w:color="auto"/>
        <w:left w:val="none" w:sz="0" w:space="0" w:color="auto"/>
        <w:bottom w:val="none" w:sz="0" w:space="0" w:color="auto"/>
        <w:right w:val="none" w:sz="0" w:space="0" w:color="auto"/>
      </w:divBdr>
    </w:div>
    <w:div w:id="352846899">
      <w:bodyDiv w:val="1"/>
      <w:marLeft w:val="0"/>
      <w:marRight w:val="0"/>
      <w:marTop w:val="0"/>
      <w:marBottom w:val="0"/>
      <w:divBdr>
        <w:top w:val="none" w:sz="0" w:space="0" w:color="auto"/>
        <w:left w:val="none" w:sz="0" w:space="0" w:color="auto"/>
        <w:bottom w:val="none" w:sz="0" w:space="0" w:color="auto"/>
        <w:right w:val="none" w:sz="0" w:space="0" w:color="auto"/>
      </w:divBdr>
    </w:div>
    <w:div w:id="352876437">
      <w:bodyDiv w:val="1"/>
      <w:marLeft w:val="0"/>
      <w:marRight w:val="0"/>
      <w:marTop w:val="0"/>
      <w:marBottom w:val="0"/>
      <w:divBdr>
        <w:top w:val="none" w:sz="0" w:space="0" w:color="auto"/>
        <w:left w:val="none" w:sz="0" w:space="0" w:color="auto"/>
        <w:bottom w:val="none" w:sz="0" w:space="0" w:color="auto"/>
        <w:right w:val="none" w:sz="0" w:space="0" w:color="auto"/>
      </w:divBdr>
    </w:div>
    <w:div w:id="353073087">
      <w:bodyDiv w:val="1"/>
      <w:marLeft w:val="0"/>
      <w:marRight w:val="0"/>
      <w:marTop w:val="0"/>
      <w:marBottom w:val="0"/>
      <w:divBdr>
        <w:top w:val="none" w:sz="0" w:space="0" w:color="auto"/>
        <w:left w:val="none" w:sz="0" w:space="0" w:color="auto"/>
        <w:bottom w:val="none" w:sz="0" w:space="0" w:color="auto"/>
        <w:right w:val="none" w:sz="0" w:space="0" w:color="auto"/>
      </w:divBdr>
    </w:div>
    <w:div w:id="353388028">
      <w:bodyDiv w:val="1"/>
      <w:marLeft w:val="0"/>
      <w:marRight w:val="0"/>
      <w:marTop w:val="0"/>
      <w:marBottom w:val="0"/>
      <w:divBdr>
        <w:top w:val="none" w:sz="0" w:space="0" w:color="auto"/>
        <w:left w:val="none" w:sz="0" w:space="0" w:color="auto"/>
        <w:bottom w:val="none" w:sz="0" w:space="0" w:color="auto"/>
        <w:right w:val="none" w:sz="0" w:space="0" w:color="auto"/>
      </w:divBdr>
    </w:div>
    <w:div w:id="353920294">
      <w:bodyDiv w:val="1"/>
      <w:marLeft w:val="0"/>
      <w:marRight w:val="0"/>
      <w:marTop w:val="0"/>
      <w:marBottom w:val="0"/>
      <w:divBdr>
        <w:top w:val="none" w:sz="0" w:space="0" w:color="auto"/>
        <w:left w:val="none" w:sz="0" w:space="0" w:color="auto"/>
        <w:bottom w:val="none" w:sz="0" w:space="0" w:color="auto"/>
        <w:right w:val="none" w:sz="0" w:space="0" w:color="auto"/>
      </w:divBdr>
    </w:div>
    <w:div w:id="353921951">
      <w:bodyDiv w:val="1"/>
      <w:marLeft w:val="0"/>
      <w:marRight w:val="0"/>
      <w:marTop w:val="0"/>
      <w:marBottom w:val="0"/>
      <w:divBdr>
        <w:top w:val="none" w:sz="0" w:space="0" w:color="auto"/>
        <w:left w:val="none" w:sz="0" w:space="0" w:color="auto"/>
        <w:bottom w:val="none" w:sz="0" w:space="0" w:color="auto"/>
        <w:right w:val="none" w:sz="0" w:space="0" w:color="auto"/>
      </w:divBdr>
    </w:div>
    <w:div w:id="354625214">
      <w:bodyDiv w:val="1"/>
      <w:marLeft w:val="0"/>
      <w:marRight w:val="0"/>
      <w:marTop w:val="0"/>
      <w:marBottom w:val="0"/>
      <w:divBdr>
        <w:top w:val="none" w:sz="0" w:space="0" w:color="auto"/>
        <w:left w:val="none" w:sz="0" w:space="0" w:color="auto"/>
        <w:bottom w:val="none" w:sz="0" w:space="0" w:color="auto"/>
        <w:right w:val="none" w:sz="0" w:space="0" w:color="auto"/>
      </w:divBdr>
    </w:div>
    <w:div w:id="354812972">
      <w:bodyDiv w:val="1"/>
      <w:marLeft w:val="0"/>
      <w:marRight w:val="0"/>
      <w:marTop w:val="0"/>
      <w:marBottom w:val="0"/>
      <w:divBdr>
        <w:top w:val="none" w:sz="0" w:space="0" w:color="auto"/>
        <w:left w:val="none" w:sz="0" w:space="0" w:color="auto"/>
        <w:bottom w:val="none" w:sz="0" w:space="0" w:color="auto"/>
        <w:right w:val="none" w:sz="0" w:space="0" w:color="auto"/>
      </w:divBdr>
    </w:div>
    <w:div w:id="355079985">
      <w:bodyDiv w:val="1"/>
      <w:marLeft w:val="0"/>
      <w:marRight w:val="0"/>
      <w:marTop w:val="0"/>
      <w:marBottom w:val="0"/>
      <w:divBdr>
        <w:top w:val="none" w:sz="0" w:space="0" w:color="auto"/>
        <w:left w:val="none" w:sz="0" w:space="0" w:color="auto"/>
        <w:bottom w:val="none" w:sz="0" w:space="0" w:color="auto"/>
        <w:right w:val="none" w:sz="0" w:space="0" w:color="auto"/>
      </w:divBdr>
    </w:div>
    <w:div w:id="355889015">
      <w:bodyDiv w:val="1"/>
      <w:marLeft w:val="0"/>
      <w:marRight w:val="0"/>
      <w:marTop w:val="0"/>
      <w:marBottom w:val="0"/>
      <w:divBdr>
        <w:top w:val="none" w:sz="0" w:space="0" w:color="auto"/>
        <w:left w:val="none" w:sz="0" w:space="0" w:color="auto"/>
        <w:bottom w:val="none" w:sz="0" w:space="0" w:color="auto"/>
        <w:right w:val="none" w:sz="0" w:space="0" w:color="auto"/>
      </w:divBdr>
    </w:div>
    <w:div w:id="356204337">
      <w:bodyDiv w:val="1"/>
      <w:marLeft w:val="0"/>
      <w:marRight w:val="0"/>
      <w:marTop w:val="0"/>
      <w:marBottom w:val="0"/>
      <w:divBdr>
        <w:top w:val="none" w:sz="0" w:space="0" w:color="auto"/>
        <w:left w:val="none" w:sz="0" w:space="0" w:color="auto"/>
        <w:bottom w:val="none" w:sz="0" w:space="0" w:color="auto"/>
        <w:right w:val="none" w:sz="0" w:space="0" w:color="auto"/>
      </w:divBdr>
    </w:div>
    <w:div w:id="356392910">
      <w:bodyDiv w:val="1"/>
      <w:marLeft w:val="0"/>
      <w:marRight w:val="0"/>
      <w:marTop w:val="0"/>
      <w:marBottom w:val="0"/>
      <w:divBdr>
        <w:top w:val="none" w:sz="0" w:space="0" w:color="auto"/>
        <w:left w:val="none" w:sz="0" w:space="0" w:color="auto"/>
        <w:bottom w:val="none" w:sz="0" w:space="0" w:color="auto"/>
        <w:right w:val="none" w:sz="0" w:space="0" w:color="auto"/>
      </w:divBdr>
    </w:div>
    <w:div w:id="356585364">
      <w:bodyDiv w:val="1"/>
      <w:marLeft w:val="0"/>
      <w:marRight w:val="0"/>
      <w:marTop w:val="0"/>
      <w:marBottom w:val="0"/>
      <w:divBdr>
        <w:top w:val="none" w:sz="0" w:space="0" w:color="auto"/>
        <w:left w:val="none" w:sz="0" w:space="0" w:color="auto"/>
        <w:bottom w:val="none" w:sz="0" w:space="0" w:color="auto"/>
        <w:right w:val="none" w:sz="0" w:space="0" w:color="auto"/>
      </w:divBdr>
    </w:div>
    <w:div w:id="356783951">
      <w:bodyDiv w:val="1"/>
      <w:marLeft w:val="0"/>
      <w:marRight w:val="0"/>
      <w:marTop w:val="0"/>
      <w:marBottom w:val="0"/>
      <w:divBdr>
        <w:top w:val="none" w:sz="0" w:space="0" w:color="auto"/>
        <w:left w:val="none" w:sz="0" w:space="0" w:color="auto"/>
        <w:bottom w:val="none" w:sz="0" w:space="0" w:color="auto"/>
        <w:right w:val="none" w:sz="0" w:space="0" w:color="auto"/>
      </w:divBdr>
    </w:div>
    <w:div w:id="357005856">
      <w:bodyDiv w:val="1"/>
      <w:marLeft w:val="0"/>
      <w:marRight w:val="0"/>
      <w:marTop w:val="0"/>
      <w:marBottom w:val="0"/>
      <w:divBdr>
        <w:top w:val="none" w:sz="0" w:space="0" w:color="auto"/>
        <w:left w:val="none" w:sz="0" w:space="0" w:color="auto"/>
        <w:bottom w:val="none" w:sz="0" w:space="0" w:color="auto"/>
        <w:right w:val="none" w:sz="0" w:space="0" w:color="auto"/>
      </w:divBdr>
    </w:div>
    <w:div w:id="357582548">
      <w:bodyDiv w:val="1"/>
      <w:marLeft w:val="0"/>
      <w:marRight w:val="0"/>
      <w:marTop w:val="0"/>
      <w:marBottom w:val="0"/>
      <w:divBdr>
        <w:top w:val="none" w:sz="0" w:space="0" w:color="auto"/>
        <w:left w:val="none" w:sz="0" w:space="0" w:color="auto"/>
        <w:bottom w:val="none" w:sz="0" w:space="0" w:color="auto"/>
        <w:right w:val="none" w:sz="0" w:space="0" w:color="auto"/>
      </w:divBdr>
    </w:div>
    <w:div w:id="357892506">
      <w:bodyDiv w:val="1"/>
      <w:marLeft w:val="0"/>
      <w:marRight w:val="0"/>
      <w:marTop w:val="0"/>
      <w:marBottom w:val="0"/>
      <w:divBdr>
        <w:top w:val="none" w:sz="0" w:space="0" w:color="auto"/>
        <w:left w:val="none" w:sz="0" w:space="0" w:color="auto"/>
        <w:bottom w:val="none" w:sz="0" w:space="0" w:color="auto"/>
        <w:right w:val="none" w:sz="0" w:space="0" w:color="auto"/>
      </w:divBdr>
    </w:div>
    <w:div w:id="358046935">
      <w:bodyDiv w:val="1"/>
      <w:marLeft w:val="0"/>
      <w:marRight w:val="0"/>
      <w:marTop w:val="0"/>
      <w:marBottom w:val="0"/>
      <w:divBdr>
        <w:top w:val="none" w:sz="0" w:space="0" w:color="auto"/>
        <w:left w:val="none" w:sz="0" w:space="0" w:color="auto"/>
        <w:bottom w:val="none" w:sz="0" w:space="0" w:color="auto"/>
        <w:right w:val="none" w:sz="0" w:space="0" w:color="auto"/>
      </w:divBdr>
    </w:div>
    <w:div w:id="358311762">
      <w:bodyDiv w:val="1"/>
      <w:marLeft w:val="0"/>
      <w:marRight w:val="0"/>
      <w:marTop w:val="0"/>
      <w:marBottom w:val="0"/>
      <w:divBdr>
        <w:top w:val="none" w:sz="0" w:space="0" w:color="auto"/>
        <w:left w:val="none" w:sz="0" w:space="0" w:color="auto"/>
        <w:bottom w:val="none" w:sz="0" w:space="0" w:color="auto"/>
        <w:right w:val="none" w:sz="0" w:space="0" w:color="auto"/>
      </w:divBdr>
    </w:div>
    <w:div w:id="358434879">
      <w:bodyDiv w:val="1"/>
      <w:marLeft w:val="0"/>
      <w:marRight w:val="0"/>
      <w:marTop w:val="0"/>
      <w:marBottom w:val="0"/>
      <w:divBdr>
        <w:top w:val="none" w:sz="0" w:space="0" w:color="auto"/>
        <w:left w:val="none" w:sz="0" w:space="0" w:color="auto"/>
        <w:bottom w:val="none" w:sz="0" w:space="0" w:color="auto"/>
        <w:right w:val="none" w:sz="0" w:space="0" w:color="auto"/>
      </w:divBdr>
    </w:div>
    <w:div w:id="358744324">
      <w:bodyDiv w:val="1"/>
      <w:marLeft w:val="0"/>
      <w:marRight w:val="0"/>
      <w:marTop w:val="0"/>
      <w:marBottom w:val="0"/>
      <w:divBdr>
        <w:top w:val="none" w:sz="0" w:space="0" w:color="auto"/>
        <w:left w:val="none" w:sz="0" w:space="0" w:color="auto"/>
        <w:bottom w:val="none" w:sz="0" w:space="0" w:color="auto"/>
        <w:right w:val="none" w:sz="0" w:space="0" w:color="auto"/>
      </w:divBdr>
    </w:div>
    <w:div w:id="359018321">
      <w:bodyDiv w:val="1"/>
      <w:marLeft w:val="0"/>
      <w:marRight w:val="0"/>
      <w:marTop w:val="0"/>
      <w:marBottom w:val="0"/>
      <w:divBdr>
        <w:top w:val="none" w:sz="0" w:space="0" w:color="auto"/>
        <w:left w:val="none" w:sz="0" w:space="0" w:color="auto"/>
        <w:bottom w:val="none" w:sz="0" w:space="0" w:color="auto"/>
        <w:right w:val="none" w:sz="0" w:space="0" w:color="auto"/>
      </w:divBdr>
    </w:div>
    <w:div w:id="359430861">
      <w:bodyDiv w:val="1"/>
      <w:marLeft w:val="0"/>
      <w:marRight w:val="0"/>
      <w:marTop w:val="0"/>
      <w:marBottom w:val="0"/>
      <w:divBdr>
        <w:top w:val="none" w:sz="0" w:space="0" w:color="auto"/>
        <w:left w:val="none" w:sz="0" w:space="0" w:color="auto"/>
        <w:bottom w:val="none" w:sz="0" w:space="0" w:color="auto"/>
        <w:right w:val="none" w:sz="0" w:space="0" w:color="auto"/>
      </w:divBdr>
    </w:div>
    <w:div w:id="360251735">
      <w:bodyDiv w:val="1"/>
      <w:marLeft w:val="0"/>
      <w:marRight w:val="0"/>
      <w:marTop w:val="0"/>
      <w:marBottom w:val="0"/>
      <w:divBdr>
        <w:top w:val="none" w:sz="0" w:space="0" w:color="auto"/>
        <w:left w:val="none" w:sz="0" w:space="0" w:color="auto"/>
        <w:bottom w:val="none" w:sz="0" w:space="0" w:color="auto"/>
        <w:right w:val="none" w:sz="0" w:space="0" w:color="auto"/>
      </w:divBdr>
    </w:div>
    <w:div w:id="360280162">
      <w:bodyDiv w:val="1"/>
      <w:marLeft w:val="0"/>
      <w:marRight w:val="0"/>
      <w:marTop w:val="0"/>
      <w:marBottom w:val="0"/>
      <w:divBdr>
        <w:top w:val="none" w:sz="0" w:space="0" w:color="auto"/>
        <w:left w:val="none" w:sz="0" w:space="0" w:color="auto"/>
        <w:bottom w:val="none" w:sz="0" w:space="0" w:color="auto"/>
        <w:right w:val="none" w:sz="0" w:space="0" w:color="auto"/>
      </w:divBdr>
    </w:div>
    <w:div w:id="360784106">
      <w:bodyDiv w:val="1"/>
      <w:marLeft w:val="0"/>
      <w:marRight w:val="0"/>
      <w:marTop w:val="0"/>
      <w:marBottom w:val="0"/>
      <w:divBdr>
        <w:top w:val="none" w:sz="0" w:space="0" w:color="auto"/>
        <w:left w:val="none" w:sz="0" w:space="0" w:color="auto"/>
        <w:bottom w:val="none" w:sz="0" w:space="0" w:color="auto"/>
        <w:right w:val="none" w:sz="0" w:space="0" w:color="auto"/>
      </w:divBdr>
    </w:div>
    <w:div w:id="360983875">
      <w:bodyDiv w:val="1"/>
      <w:marLeft w:val="0"/>
      <w:marRight w:val="0"/>
      <w:marTop w:val="0"/>
      <w:marBottom w:val="0"/>
      <w:divBdr>
        <w:top w:val="none" w:sz="0" w:space="0" w:color="auto"/>
        <w:left w:val="none" w:sz="0" w:space="0" w:color="auto"/>
        <w:bottom w:val="none" w:sz="0" w:space="0" w:color="auto"/>
        <w:right w:val="none" w:sz="0" w:space="0" w:color="auto"/>
      </w:divBdr>
    </w:div>
    <w:div w:id="361058837">
      <w:bodyDiv w:val="1"/>
      <w:marLeft w:val="0"/>
      <w:marRight w:val="0"/>
      <w:marTop w:val="0"/>
      <w:marBottom w:val="0"/>
      <w:divBdr>
        <w:top w:val="none" w:sz="0" w:space="0" w:color="auto"/>
        <w:left w:val="none" w:sz="0" w:space="0" w:color="auto"/>
        <w:bottom w:val="none" w:sz="0" w:space="0" w:color="auto"/>
        <w:right w:val="none" w:sz="0" w:space="0" w:color="auto"/>
      </w:divBdr>
    </w:div>
    <w:div w:id="361170709">
      <w:bodyDiv w:val="1"/>
      <w:marLeft w:val="0"/>
      <w:marRight w:val="0"/>
      <w:marTop w:val="0"/>
      <w:marBottom w:val="0"/>
      <w:divBdr>
        <w:top w:val="none" w:sz="0" w:space="0" w:color="auto"/>
        <w:left w:val="none" w:sz="0" w:space="0" w:color="auto"/>
        <w:bottom w:val="none" w:sz="0" w:space="0" w:color="auto"/>
        <w:right w:val="none" w:sz="0" w:space="0" w:color="auto"/>
      </w:divBdr>
    </w:div>
    <w:div w:id="361251213">
      <w:bodyDiv w:val="1"/>
      <w:marLeft w:val="0"/>
      <w:marRight w:val="0"/>
      <w:marTop w:val="0"/>
      <w:marBottom w:val="0"/>
      <w:divBdr>
        <w:top w:val="none" w:sz="0" w:space="0" w:color="auto"/>
        <w:left w:val="none" w:sz="0" w:space="0" w:color="auto"/>
        <w:bottom w:val="none" w:sz="0" w:space="0" w:color="auto"/>
        <w:right w:val="none" w:sz="0" w:space="0" w:color="auto"/>
      </w:divBdr>
    </w:div>
    <w:div w:id="361367527">
      <w:bodyDiv w:val="1"/>
      <w:marLeft w:val="0"/>
      <w:marRight w:val="0"/>
      <w:marTop w:val="0"/>
      <w:marBottom w:val="0"/>
      <w:divBdr>
        <w:top w:val="none" w:sz="0" w:space="0" w:color="auto"/>
        <w:left w:val="none" w:sz="0" w:space="0" w:color="auto"/>
        <w:bottom w:val="none" w:sz="0" w:space="0" w:color="auto"/>
        <w:right w:val="none" w:sz="0" w:space="0" w:color="auto"/>
      </w:divBdr>
    </w:div>
    <w:div w:id="361515687">
      <w:bodyDiv w:val="1"/>
      <w:marLeft w:val="0"/>
      <w:marRight w:val="0"/>
      <w:marTop w:val="0"/>
      <w:marBottom w:val="0"/>
      <w:divBdr>
        <w:top w:val="none" w:sz="0" w:space="0" w:color="auto"/>
        <w:left w:val="none" w:sz="0" w:space="0" w:color="auto"/>
        <w:bottom w:val="none" w:sz="0" w:space="0" w:color="auto"/>
        <w:right w:val="none" w:sz="0" w:space="0" w:color="auto"/>
      </w:divBdr>
    </w:div>
    <w:div w:id="362174177">
      <w:bodyDiv w:val="1"/>
      <w:marLeft w:val="0"/>
      <w:marRight w:val="0"/>
      <w:marTop w:val="0"/>
      <w:marBottom w:val="0"/>
      <w:divBdr>
        <w:top w:val="none" w:sz="0" w:space="0" w:color="auto"/>
        <w:left w:val="none" w:sz="0" w:space="0" w:color="auto"/>
        <w:bottom w:val="none" w:sz="0" w:space="0" w:color="auto"/>
        <w:right w:val="none" w:sz="0" w:space="0" w:color="auto"/>
      </w:divBdr>
    </w:div>
    <w:div w:id="362634505">
      <w:bodyDiv w:val="1"/>
      <w:marLeft w:val="0"/>
      <w:marRight w:val="0"/>
      <w:marTop w:val="0"/>
      <w:marBottom w:val="0"/>
      <w:divBdr>
        <w:top w:val="none" w:sz="0" w:space="0" w:color="auto"/>
        <w:left w:val="none" w:sz="0" w:space="0" w:color="auto"/>
        <w:bottom w:val="none" w:sz="0" w:space="0" w:color="auto"/>
        <w:right w:val="none" w:sz="0" w:space="0" w:color="auto"/>
      </w:divBdr>
    </w:div>
    <w:div w:id="362902415">
      <w:bodyDiv w:val="1"/>
      <w:marLeft w:val="0"/>
      <w:marRight w:val="0"/>
      <w:marTop w:val="0"/>
      <w:marBottom w:val="0"/>
      <w:divBdr>
        <w:top w:val="none" w:sz="0" w:space="0" w:color="auto"/>
        <w:left w:val="none" w:sz="0" w:space="0" w:color="auto"/>
        <w:bottom w:val="none" w:sz="0" w:space="0" w:color="auto"/>
        <w:right w:val="none" w:sz="0" w:space="0" w:color="auto"/>
      </w:divBdr>
    </w:div>
    <w:div w:id="362905444">
      <w:bodyDiv w:val="1"/>
      <w:marLeft w:val="0"/>
      <w:marRight w:val="0"/>
      <w:marTop w:val="0"/>
      <w:marBottom w:val="0"/>
      <w:divBdr>
        <w:top w:val="none" w:sz="0" w:space="0" w:color="auto"/>
        <w:left w:val="none" w:sz="0" w:space="0" w:color="auto"/>
        <w:bottom w:val="none" w:sz="0" w:space="0" w:color="auto"/>
        <w:right w:val="none" w:sz="0" w:space="0" w:color="auto"/>
      </w:divBdr>
    </w:div>
    <w:div w:id="363017739">
      <w:bodyDiv w:val="1"/>
      <w:marLeft w:val="0"/>
      <w:marRight w:val="0"/>
      <w:marTop w:val="0"/>
      <w:marBottom w:val="0"/>
      <w:divBdr>
        <w:top w:val="none" w:sz="0" w:space="0" w:color="auto"/>
        <w:left w:val="none" w:sz="0" w:space="0" w:color="auto"/>
        <w:bottom w:val="none" w:sz="0" w:space="0" w:color="auto"/>
        <w:right w:val="none" w:sz="0" w:space="0" w:color="auto"/>
      </w:divBdr>
    </w:div>
    <w:div w:id="363136735">
      <w:bodyDiv w:val="1"/>
      <w:marLeft w:val="0"/>
      <w:marRight w:val="0"/>
      <w:marTop w:val="0"/>
      <w:marBottom w:val="0"/>
      <w:divBdr>
        <w:top w:val="none" w:sz="0" w:space="0" w:color="auto"/>
        <w:left w:val="none" w:sz="0" w:space="0" w:color="auto"/>
        <w:bottom w:val="none" w:sz="0" w:space="0" w:color="auto"/>
        <w:right w:val="none" w:sz="0" w:space="0" w:color="auto"/>
      </w:divBdr>
    </w:div>
    <w:div w:id="363216416">
      <w:bodyDiv w:val="1"/>
      <w:marLeft w:val="0"/>
      <w:marRight w:val="0"/>
      <w:marTop w:val="0"/>
      <w:marBottom w:val="0"/>
      <w:divBdr>
        <w:top w:val="none" w:sz="0" w:space="0" w:color="auto"/>
        <w:left w:val="none" w:sz="0" w:space="0" w:color="auto"/>
        <w:bottom w:val="none" w:sz="0" w:space="0" w:color="auto"/>
        <w:right w:val="none" w:sz="0" w:space="0" w:color="auto"/>
      </w:divBdr>
    </w:div>
    <w:div w:id="363363027">
      <w:bodyDiv w:val="1"/>
      <w:marLeft w:val="0"/>
      <w:marRight w:val="0"/>
      <w:marTop w:val="0"/>
      <w:marBottom w:val="0"/>
      <w:divBdr>
        <w:top w:val="none" w:sz="0" w:space="0" w:color="auto"/>
        <w:left w:val="none" w:sz="0" w:space="0" w:color="auto"/>
        <w:bottom w:val="none" w:sz="0" w:space="0" w:color="auto"/>
        <w:right w:val="none" w:sz="0" w:space="0" w:color="auto"/>
      </w:divBdr>
    </w:div>
    <w:div w:id="363483914">
      <w:bodyDiv w:val="1"/>
      <w:marLeft w:val="0"/>
      <w:marRight w:val="0"/>
      <w:marTop w:val="0"/>
      <w:marBottom w:val="0"/>
      <w:divBdr>
        <w:top w:val="none" w:sz="0" w:space="0" w:color="auto"/>
        <w:left w:val="none" w:sz="0" w:space="0" w:color="auto"/>
        <w:bottom w:val="none" w:sz="0" w:space="0" w:color="auto"/>
        <w:right w:val="none" w:sz="0" w:space="0" w:color="auto"/>
      </w:divBdr>
    </w:div>
    <w:div w:id="363484183">
      <w:bodyDiv w:val="1"/>
      <w:marLeft w:val="0"/>
      <w:marRight w:val="0"/>
      <w:marTop w:val="0"/>
      <w:marBottom w:val="0"/>
      <w:divBdr>
        <w:top w:val="none" w:sz="0" w:space="0" w:color="auto"/>
        <w:left w:val="none" w:sz="0" w:space="0" w:color="auto"/>
        <w:bottom w:val="none" w:sz="0" w:space="0" w:color="auto"/>
        <w:right w:val="none" w:sz="0" w:space="0" w:color="auto"/>
      </w:divBdr>
    </w:div>
    <w:div w:id="363553630">
      <w:bodyDiv w:val="1"/>
      <w:marLeft w:val="0"/>
      <w:marRight w:val="0"/>
      <w:marTop w:val="0"/>
      <w:marBottom w:val="0"/>
      <w:divBdr>
        <w:top w:val="none" w:sz="0" w:space="0" w:color="auto"/>
        <w:left w:val="none" w:sz="0" w:space="0" w:color="auto"/>
        <w:bottom w:val="none" w:sz="0" w:space="0" w:color="auto"/>
        <w:right w:val="none" w:sz="0" w:space="0" w:color="auto"/>
      </w:divBdr>
    </w:div>
    <w:div w:id="364060827">
      <w:bodyDiv w:val="1"/>
      <w:marLeft w:val="0"/>
      <w:marRight w:val="0"/>
      <w:marTop w:val="0"/>
      <w:marBottom w:val="0"/>
      <w:divBdr>
        <w:top w:val="none" w:sz="0" w:space="0" w:color="auto"/>
        <w:left w:val="none" w:sz="0" w:space="0" w:color="auto"/>
        <w:bottom w:val="none" w:sz="0" w:space="0" w:color="auto"/>
        <w:right w:val="none" w:sz="0" w:space="0" w:color="auto"/>
      </w:divBdr>
    </w:div>
    <w:div w:id="364985495">
      <w:bodyDiv w:val="1"/>
      <w:marLeft w:val="0"/>
      <w:marRight w:val="0"/>
      <w:marTop w:val="0"/>
      <w:marBottom w:val="0"/>
      <w:divBdr>
        <w:top w:val="none" w:sz="0" w:space="0" w:color="auto"/>
        <w:left w:val="none" w:sz="0" w:space="0" w:color="auto"/>
        <w:bottom w:val="none" w:sz="0" w:space="0" w:color="auto"/>
        <w:right w:val="none" w:sz="0" w:space="0" w:color="auto"/>
      </w:divBdr>
    </w:div>
    <w:div w:id="365571232">
      <w:bodyDiv w:val="1"/>
      <w:marLeft w:val="0"/>
      <w:marRight w:val="0"/>
      <w:marTop w:val="0"/>
      <w:marBottom w:val="0"/>
      <w:divBdr>
        <w:top w:val="none" w:sz="0" w:space="0" w:color="auto"/>
        <w:left w:val="none" w:sz="0" w:space="0" w:color="auto"/>
        <w:bottom w:val="none" w:sz="0" w:space="0" w:color="auto"/>
        <w:right w:val="none" w:sz="0" w:space="0" w:color="auto"/>
      </w:divBdr>
    </w:div>
    <w:div w:id="366563752">
      <w:bodyDiv w:val="1"/>
      <w:marLeft w:val="0"/>
      <w:marRight w:val="0"/>
      <w:marTop w:val="0"/>
      <w:marBottom w:val="0"/>
      <w:divBdr>
        <w:top w:val="none" w:sz="0" w:space="0" w:color="auto"/>
        <w:left w:val="none" w:sz="0" w:space="0" w:color="auto"/>
        <w:bottom w:val="none" w:sz="0" w:space="0" w:color="auto"/>
        <w:right w:val="none" w:sz="0" w:space="0" w:color="auto"/>
      </w:divBdr>
    </w:div>
    <w:div w:id="366955020">
      <w:bodyDiv w:val="1"/>
      <w:marLeft w:val="0"/>
      <w:marRight w:val="0"/>
      <w:marTop w:val="0"/>
      <w:marBottom w:val="0"/>
      <w:divBdr>
        <w:top w:val="none" w:sz="0" w:space="0" w:color="auto"/>
        <w:left w:val="none" w:sz="0" w:space="0" w:color="auto"/>
        <w:bottom w:val="none" w:sz="0" w:space="0" w:color="auto"/>
        <w:right w:val="none" w:sz="0" w:space="0" w:color="auto"/>
      </w:divBdr>
    </w:div>
    <w:div w:id="366956812">
      <w:bodyDiv w:val="1"/>
      <w:marLeft w:val="0"/>
      <w:marRight w:val="0"/>
      <w:marTop w:val="0"/>
      <w:marBottom w:val="0"/>
      <w:divBdr>
        <w:top w:val="none" w:sz="0" w:space="0" w:color="auto"/>
        <w:left w:val="none" w:sz="0" w:space="0" w:color="auto"/>
        <w:bottom w:val="none" w:sz="0" w:space="0" w:color="auto"/>
        <w:right w:val="none" w:sz="0" w:space="0" w:color="auto"/>
      </w:divBdr>
    </w:div>
    <w:div w:id="367074756">
      <w:bodyDiv w:val="1"/>
      <w:marLeft w:val="0"/>
      <w:marRight w:val="0"/>
      <w:marTop w:val="0"/>
      <w:marBottom w:val="0"/>
      <w:divBdr>
        <w:top w:val="none" w:sz="0" w:space="0" w:color="auto"/>
        <w:left w:val="none" w:sz="0" w:space="0" w:color="auto"/>
        <w:bottom w:val="none" w:sz="0" w:space="0" w:color="auto"/>
        <w:right w:val="none" w:sz="0" w:space="0" w:color="auto"/>
      </w:divBdr>
    </w:div>
    <w:div w:id="367224910">
      <w:bodyDiv w:val="1"/>
      <w:marLeft w:val="0"/>
      <w:marRight w:val="0"/>
      <w:marTop w:val="0"/>
      <w:marBottom w:val="0"/>
      <w:divBdr>
        <w:top w:val="none" w:sz="0" w:space="0" w:color="auto"/>
        <w:left w:val="none" w:sz="0" w:space="0" w:color="auto"/>
        <w:bottom w:val="none" w:sz="0" w:space="0" w:color="auto"/>
        <w:right w:val="none" w:sz="0" w:space="0" w:color="auto"/>
      </w:divBdr>
    </w:div>
    <w:div w:id="367338859">
      <w:bodyDiv w:val="1"/>
      <w:marLeft w:val="0"/>
      <w:marRight w:val="0"/>
      <w:marTop w:val="0"/>
      <w:marBottom w:val="0"/>
      <w:divBdr>
        <w:top w:val="none" w:sz="0" w:space="0" w:color="auto"/>
        <w:left w:val="none" w:sz="0" w:space="0" w:color="auto"/>
        <w:bottom w:val="none" w:sz="0" w:space="0" w:color="auto"/>
        <w:right w:val="none" w:sz="0" w:space="0" w:color="auto"/>
      </w:divBdr>
    </w:div>
    <w:div w:id="367686183">
      <w:bodyDiv w:val="1"/>
      <w:marLeft w:val="0"/>
      <w:marRight w:val="0"/>
      <w:marTop w:val="0"/>
      <w:marBottom w:val="0"/>
      <w:divBdr>
        <w:top w:val="none" w:sz="0" w:space="0" w:color="auto"/>
        <w:left w:val="none" w:sz="0" w:space="0" w:color="auto"/>
        <w:bottom w:val="none" w:sz="0" w:space="0" w:color="auto"/>
        <w:right w:val="none" w:sz="0" w:space="0" w:color="auto"/>
      </w:divBdr>
    </w:div>
    <w:div w:id="367728541">
      <w:bodyDiv w:val="1"/>
      <w:marLeft w:val="0"/>
      <w:marRight w:val="0"/>
      <w:marTop w:val="0"/>
      <w:marBottom w:val="0"/>
      <w:divBdr>
        <w:top w:val="none" w:sz="0" w:space="0" w:color="auto"/>
        <w:left w:val="none" w:sz="0" w:space="0" w:color="auto"/>
        <w:bottom w:val="none" w:sz="0" w:space="0" w:color="auto"/>
        <w:right w:val="none" w:sz="0" w:space="0" w:color="auto"/>
      </w:divBdr>
    </w:div>
    <w:div w:id="367728542">
      <w:bodyDiv w:val="1"/>
      <w:marLeft w:val="0"/>
      <w:marRight w:val="0"/>
      <w:marTop w:val="0"/>
      <w:marBottom w:val="0"/>
      <w:divBdr>
        <w:top w:val="none" w:sz="0" w:space="0" w:color="auto"/>
        <w:left w:val="none" w:sz="0" w:space="0" w:color="auto"/>
        <w:bottom w:val="none" w:sz="0" w:space="0" w:color="auto"/>
        <w:right w:val="none" w:sz="0" w:space="0" w:color="auto"/>
      </w:divBdr>
    </w:div>
    <w:div w:id="367804929">
      <w:bodyDiv w:val="1"/>
      <w:marLeft w:val="0"/>
      <w:marRight w:val="0"/>
      <w:marTop w:val="0"/>
      <w:marBottom w:val="0"/>
      <w:divBdr>
        <w:top w:val="none" w:sz="0" w:space="0" w:color="auto"/>
        <w:left w:val="none" w:sz="0" w:space="0" w:color="auto"/>
        <w:bottom w:val="none" w:sz="0" w:space="0" w:color="auto"/>
        <w:right w:val="none" w:sz="0" w:space="0" w:color="auto"/>
      </w:divBdr>
    </w:div>
    <w:div w:id="367881236">
      <w:bodyDiv w:val="1"/>
      <w:marLeft w:val="0"/>
      <w:marRight w:val="0"/>
      <w:marTop w:val="0"/>
      <w:marBottom w:val="0"/>
      <w:divBdr>
        <w:top w:val="none" w:sz="0" w:space="0" w:color="auto"/>
        <w:left w:val="none" w:sz="0" w:space="0" w:color="auto"/>
        <w:bottom w:val="none" w:sz="0" w:space="0" w:color="auto"/>
        <w:right w:val="none" w:sz="0" w:space="0" w:color="auto"/>
      </w:divBdr>
    </w:div>
    <w:div w:id="368141376">
      <w:bodyDiv w:val="1"/>
      <w:marLeft w:val="0"/>
      <w:marRight w:val="0"/>
      <w:marTop w:val="0"/>
      <w:marBottom w:val="0"/>
      <w:divBdr>
        <w:top w:val="none" w:sz="0" w:space="0" w:color="auto"/>
        <w:left w:val="none" w:sz="0" w:space="0" w:color="auto"/>
        <w:bottom w:val="none" w:sz="0" w:space="0" w:color="auto"/>
        <w:right w:val="none" w:sz="0" w:space="0" w:color="auto"/>
      </w:divBdr>
    </w:div>
    <w:div w:id="368606003">
      <w:bodyDiv w:val="1"/>
      <w:marLeft w:val="0"/>
      <w:marRight w:val="0"/>
      <w:marTop w:val="0"/>
      <w:marBottom w:val="0"/>
      <w:divBdr>
        <w:top w:val="none" w:sz="0" w:space="0" w:color="auto"/>
        <w:left w:val="none" w:sz="0" w:space="0" w:color="auto"/>
        <w:bottom w:val="none" w:sz="0" w:space="0" w:color="auto"/>
        <w:right w:val="none" w:sz="0" w:space="0" w:color="auto"/>
      </w:divBdr>
    </w:div>
    <w:div w:id="368771252">
      <w:bodyDiv w:val="1"/>
      <w:marLeft w:val="0"/>
      <w:marRight w:val="0"/>
      <w:marTop w:val="0"/>
      <w:marBottom w:val="0"/>
      <w:divBdr>
        <w:top w:val="none" w:sz="0" w:space="0" w:color="auto"/>
        <w:left w:val="none" w:sz="0" w:space="0" w:color="auto"/>
        <w:bottom w:val="none" w:sz="0" w:space="0" w:color="auto"/>
        <w:right w:val="none" w:sz="0" w:space="0" w:color="auto"/>
      </w:divBdr>
    </w:div>
    <w:div w:id="369035477">
      <w:bodyDiv w:val="1"/>
      <w:marLeft w:val="0"/>
      <w:marRight w:val="0"/>
      <w:marTop w:val="0"/>
      <w:marBottom w:val="0"/>
      <w:divBdr>
        <w:top w:val="none" w:sz="0" w:space="0" w:color="auto"/>
        <w:left w:val="none" w:sz="0" w:space="0" w:color="auto"/>
        <w:bottom w:val="none" w:sz="0" w:space="0" w:color="auto"/>
        <w:right w:val="none" w:sz="0" w:space="0" w:color="auto"/>
      </w:divBdr>
    </w:div>
    <w:div w:id="369458894">
      <w:bodyDiv w:val="1"/>
      <w:marLeft w:val="0"/>
      <w:marRight w:val="0"/>
      <w:marTop w:val="0"/>
      <w:marBottom w:val="0"/>
      <w:divBdr>
        <w:top w:val="none" w:sz="0" w:space="0" w:color="auto"/>
        <w:left w:val="none" w:sz="0" w:space="0" w:color="auto"/>
        <w:bottom w:val="none" w:sz="0" w:space="0" w:color="auto"/>
        <w:right w:val="none" w:sz="0" w:space="0" w:color="auto"/>
      </w:divBdr>
    </w:div>
    <w:div w:id="370152717">
      <w:bodyDiv w:val="1"/>
      <w:marLeft w:val="0"/>
      <w:marRight w:val="0"/>
      <w:marTop w:val="0"/>
      <w:marBottom w:val="0"/>
      <w:divBdr>
        <w:top w:val="none" w:sz="0" w:space="0" w:color="auto"/>
        <w:left w:val="none" w:sz="0" w:space="0" w:color="auto"/>
        <w:bottom w:val="none" w:sz="0" w:space="0" w:color="auto"/>
        <w:right w:val="none" w:sz="0" w:space="0" w:color="auto"/>
      </w:divBdr>
    </w:div>
    <w:div w:id="370156411">
      <w:bodyDiv w:val="1"/>
      <w:marLeft w:val="0"/>
      <w:marRight w:val="0"/>
      <w:marTop w:val="0"/>
      <w:marBottom w:val="0"/>
      <w:divBdr>
        <w:top w:val="none" w:sz="0" w:space="0" w:color="auto"/>
        <w:left w:val="none" w:sz="0" w:space="0" w:color="auto"/>
        <w:bottom w:val="none" w:sz="0" w:space="0" w:color="auto"/>
        <w:right w:val="none" w:sz="0" w:space="0" w:color="auto"/>
      </w:divBdr>
    </w:div>
    <w:div w:id="370693061">
      <w:bodyDiv w:val="1"/>
      <w:marLeft w:val="0"/>
      <w:marRight w:val="0"/>
      <w:marTop w:val="0"/>
      <w:marBottom w:val="0"/>
      <w:divBdr>
        <w:top w:val="none" w:sz="0" w:space="0" w:color="auto"/>
        <w:left w:val="none" w:sz="0" w:space="0" w:color="auto"/>
        <w:bottom w:val="none" w:sz="0" w:space="0" w:color="auto"/>
        <w:right w:val="none" w:sz="0" w:space="0" w:color="auto"/>
      </w:divBdr>
    </w:div>
    <w:div w:id="370768206">
      <w:bodyDiv w:val="1"/>
      <w:marLeft w:val="0"/>
      <w:marRight w:val="0"/>
      <w:marTop w:val="0"/>
      <w:marBottom w:val="0"/>
      <w:divBdr>
        <w:top w:val="none" w:sz="0" w:space="0" w:color="auto"/>
        <w:left w:val="none" w:sz="0" w:space="0" w:color="auto"/>
        <w:bottom w:val="none" w:sz="0" w:space="0" w:color="auto"/>
        <w:right w:val="none" w:sz="0" w:space="0" w:color="auto"/>
      </w:divBdr>
    </w:div>
    <w:div w:id="370804694">
      <w:bodyDiv w:val="1"/>
      <w:marLeft w:val="0"/>
      <w:marRight w:val="0"/>
      <w:marTop w:val="0"/>
      <w:marBottom w:val="0"/>
      <w:divBdr>
        <w:top w:val="none" w:sz="0" w:space="0" w:color="auto"/>
        <w:left w:val="none" w:sz="0" w:space="0" w:color="auto"/>
        <w:bottom w:val="none" w:sz="0" w:space="0" w:color="auto"/>
        <w:right w:val="none" w:sz="0" w:space="0" w:color="auto"/>
      </w:divBdr>
    </w:div>
    <w:div w:id="371809375">
      <w:bodyDiv w:val="1"/>
      <w:marLeft w:val="0"/>
      <w:marRight w:val="0"/>
      <w:marTop w:val="0"/>
      <w:marBottom w:val="0"/>
      <w:divBdr>
        <w:top w:val="none" w:sz="0" w:space="0" w:color="auto"/>
        <w:left w:val="none" w:sz="0" w:space="0" w:color="auto"/>
        <w:bottom w:val="none" w:sz="0" w:space="0" w:color="auto"/>
        <w:right w:val="none" w:sz="0" w:space="0" w:color="auto"/>
      </w:divBdr>
    </w:div>
    <w:div w:id="372580736">
      <w:bodyDiv w:val="1"/>
      <w:marLeft w:val="0"/>
      <w:marRight w:val="0"/>
      <w:marTop w:val="0"/>
      <w:marBottom w:val="0"/>
      <w:divBdr>
        <w:top w:val="none" w:sz="0" w:space="0" w:color="auto"/>
        <w:left w:val="none" w:sz="0" w:space="0" w:color="auto"/>
        <w:bottom w:val="none" w:sz="0" w:space="0" w:color="auto"/>
        <w:right w:val="none" w:sz="0" w:space="0" w:color="auto"/>
      </w:divBdr>
    </w:div>
    <w:div w:id="372585343">
      <w:bodyDiv w:val="1"/>
      <w:marLeft w:val="0"/>
      <w:marRight w:val="0"/>
      <w:marTop w:val="0"/>
      <w:marBottom w:val="0"/>
      <w:divBdr>
        <w:top w:val="none" w:sz="0" w:space="0" w:color="auto"/>
        <w:left w:val="none" w:sz="0" w:space="0" w:color="auto"/>
        <w:bottom w:val="none" w:sz="0" w:space="0" w:color="auto"/>
        <w:right w:val="none" w:sz="0" w:space="0" w:color="auto"/>
      </w:divBdr>
    </w:div>
    <w:div w:id="372728118">
      <w:bodyDiv w:val="1"/>
      <w:marLeft w:val="0"/>
      <w:marRight w:val="0"/>
      <w:marTop w:val="0"/>
      <w:marBottom w:val="0"/>
      <w:divBdr>
        <w:top w:val="none" w:sz="0" w:space="0" w:color="auto"/>
        <w:left w:val="none" w:sz="0" w:space="0" w:color="auto"/>
        <w:bottom w:val="none" w:sz="0" w:space="0" w:color="auto"/>
        <w:right w:val="none" w:sz="0" w:space="0" w:color="auto"/>
      </w:divBdr>
    </w:div>
    <w:div w:id="372776727">
      <w:bodyDiv w:val="1"/>
      <w:marLeft w:val="0"/>
      <w:marRight w:val="0"/>
      <w:marTop w:val="0"/>
      <w:marBottom w:val="0"/>
      <w:divBdr>
        <w:top w:val="none" w:sz="0" w:space="0" w:color="auto"/>
        <w:left w:val="none" w:sz="0" w:space="0" w:color="auto"/>
        <w:bottom w:val="none" w:sz="0" w:space="0" w:color="auto"/>
        <w:right w:val="none" w:sz="0" w:space="0" w:color="auto"/>
      </w:divBdr>
    </w:div>
    <w:div w:id="373240422">
      <w:bodyDiv w:val="1"/>
      <w:marLeft w:val="0"/>
      <w:marRight w:val="0"/>
      <w:marTop w:val="0"/>
      <w:marBottom w:val="0"/>
      <w:divBdr>
        <w:top w:val="none" w:sz="0" w:space="0" w:color="auto"/>
        <w:left w:val="none" w:sz="0" w:space="0" w:color="auto"/>
        <w:bottom w:val="none" w:sz="0" w:space="0" w:color="auto"/>
        <w:right w:val="none" w:sz="0" w:space="0" w:color="auto"/>
      </w:divBdr>
    </w:div>
    <w:div w:id="373308664">
      <w:bodyDiv w:val="1"/>
      <w:marLeft w:val="0"/>
      <w:marRight w:val="0"/>
      <w:marTop w:val="0"/>
      <w:marBottom w:val="0"/>
      <w:divBdr>
        <w:top w:val="none" w:sz="0" w:space="0" w:color="auto"/>
        <w:left w:val="none" w:sz="0" w:space="0" w:color="auto"/>
        <w:bottom w:val="none" w:sz="0" w:space="0" w:color="auto"/>
        <w:right w:val="none" w:sz="0" w:space="0" w:color="auto"/>
      </w:divBdr>
    </w:div>
    <w:div w:id="373696302">
      <w:bodyDiv w:val="1"/>
      <w:marLeft w:val="0"/>
      <w:marRight w:val="0"/>
      <w:marTop w:val="0"/>
      <w:marBottom w:val="0"/>
      <w:divBdr>
        <w:top w:val="none" w:sz="0" w:space="0" w:color="auto"/>
        <w:left w:val="none" w:sz="0" w:space="0" w:color="auto"/>
        <w:bottom w:val="none" w:sz="0" w:space="0" w:color="auto"/>
        <w:right w:val="none" w:sz="0" w:space="0" w:color="auto"/>
      </w:divBdr>
    </w:div>
    <w:div w:id="373892658">
      <w:bodyDiv w:val="1"/>
      <w:marLeft w:val="0"/>
      <w:marRight w:val="0"/>
      <w:marTop w:val="0"/>
      <w:marBottom w:val="0"/>
      <w:divBdr>
        <w:top w:val="none" w:sz="0" w:space="0" w:color="auto"/>
        <w:left w:val="none" w:sz="0" w:space="0" w:color="auto"/>
        <w:bottom w:val="none" w:sz="0" w:space="0" w:color="auto"/>
        <w:right w:val="none" w:sz="0" w:space="0" w:color="auto"/>
      </w:divBdr>
    </w:div>
    <w:div w:id="373971046">
      <w:bodyDiv w:val="1"/>
      <w:marLeft w:val="0"/>
      <w:marRight w:val="0"/>
      <w:marTop w:val="0"/>
      <w:marBottom w:val="0"/>
      <w:divBdr>
        <w:top w:val="none" w:sz="0" w:space="0" w:color="auto"/>
        <w:left w:val="none" w:sz="0" w:space="0" w:color="auto"/>
        <w:bottom w:val="none" w:sz="0" w:space="0" w:color="auto"/>
        <w:right w:val="none" w:sz="0" w:space="0" w:color="auto"/>
      </w:divBdr>
    </w:div>
    <w:div w:id="374042728">
      <w:bodyDiv w:val="1"/>
      <w:marLeft w:val="0"/>
      <w:marRight w:val="0"/>
      <w:marTop w:val="0"/>
      <w:marBottom w:val="0"/>
      <w:divBdr>
        <w:top w:val="none" w:sz="0" w:space="0" w:color="auto"/>
        <w:left w:val="none" w:sz="0" w:space="0" w:color="auto"/>
        <w:bottom w:val="none" w:sz="0" w:space="0" w:color="auto"/>
        <w:right w:val="none" w:sz="0" w:space="0" w:color="auto"/>
      </w:divBdr>
    </w:div>
    <w:div w:id="374694849">
      <w:bodyDiv w:val="1"/>
      <w:marLeft w:val="0"/>
      <w:marRight w:val="0"/>
      <w:marTop w:val="0"/>
      <w:marBottom w:val="0"/>
      <w:divBdr>
        <w:top w:val="none" w:sz="0" w:space="0" w:color="auto"/>
        <w:left w:val="none" w:sz="0" w:space="0" w:color="auto"/>
        <w:bottom w:val="none" w:sz="0" w:space="0" w:color="auto"/>
        <w:right w:val="none" w:sz="0" w:space="0" w:color="auto"/>
      </w:divBdr>
    </w:div>
    <w:div w:id="374699328">
      <w:bodyDiv w:val="1"/>
      <w:marLeft w:val="0"/>
      <w:marRight w:val="0"/>
      <w:marTop w:val="0"/>
      <w:marBottom w:val="0"/>
      <w:divBdr>
        <w:top w:val="none" w:sz="0" w:space="0" w:color="auto"/>
        <w:left w:val="none" w:sz="0" w:space="0" w:color="auto"/>
        <w:bottom w:val="none" w:sz="0" w:space="0" w:color="auto"/>
        <w:right w:val="none" w:sz="0" w:space="0" w:color="auto"/>
      </w:divBdr>
    </w:div>
    <w:div w:id="375128277">
      <w:bodyDiv w:val="1"/>
      <w:marLeft w:val="0"/>
      <w:marRight w:val="0"/>
      <w:marTop w:val="0"/>
      <w:marBottom w:val="0"/>
      <w:divBdr>
        <w:top w:val="none" w:sz="0" w:space="0" w:color="auto"/>
        <w:left w:val="none" w:sz="0" w:space="0" w:color="auto"/>
        <w:bottom w:val="none" w:sz="0" w:space="0" w:color="auto"/>
        <w:right w:val="none" w:sz="0" w:space="0" w:color="auto"/>
      </w:divBdr>
    </w:div>
    <w:div w:id="375207211">
      <w:bodyDiv w:val="1"/>
      <w:marLeft w:val="0"/>
      <w:marRight w:val="0"/>
      <w:marTop w:val="0"/>
      <w:marBottom w:val="0"/>
      <w:divBdr>
        <w:top w:val="none" w:sz="0" w:space="0" w:color="auto"/>
        <w:left w:val="none" w:sz="0" w:space="0" w:color="auto"/>
        <w:bottom w:val="none" w:sz="0" w:space="0" w:color="auto"/>
        <w:right w:val="none" w:sz="0" w:space="0" w:color="auto"/>
      </w:divBdr>
    </w:div>
    <w:div w:id="375273656">
      <w:bodyDiv w:val="1"/>
      <w:marLeft w:val="0"/>
      <w:marRight w:val="0"/>
      <w:marTop w:val="0"/>
      <w:marBottom w:val="0"/>
      <w:divBdr>
        <w:top w:val="none" w:sz="0" w:space="0" w:color="auto"/>
        <w:left w:val="none" w:sz="0" w:space="0" w:color="auto"/>
        <w:bottom w:val="none" w:sz="0" w:space="0" w:color="auto"/>
        <w:right w:val="none" w:sz="0" w:space="0" w:color="auto"/>
      </w:divBdr>
    </w:div>
    <w:div w:id="375396551">
      <w:bodyDiv w:val="1"/>
      <w:marLeft w:val="0"/>
      <w:marRight w:val="0"/>
      <w:marTop w:val="0"/>
      <w:marBottom w:val="0"/>
      <w:divBdr>
        <w:top w:val="none" w:sz="0" w:space="0" w:color="auto"/>
        <w:left w:val="none" w:sz="0" w:space="0" w:color="auto"/>
        <w:bottom w:val="none" w:sz="0" w:space="0" w:color="auto"/>
        <w:right w:val="none" w:sz="0" w:space="0" w:color="auto"/>
      </w:divBdr>
    </w:div>
    <w:div w:id="375853431">
      <w:bodyDiv w:val="1"/>
      <w:marLeft w:val="0"/>
      <w:marRight w:val="0"/>
      <w:marTop w:val="0"/>
      <w:marBottom w:val="0"/>
      <w:divBdr>
        <w:top w:val="none" w:sz="0" w:space="0" w:color="auto"/>
        <w:left w:val="none" w:sz="0" w:space="0" w:color="auto"/>
        <w:bottom w:val="none" w:sz="0" w:space="0" w:color="auto"/>
        <w:right w:val="none" w:sz="0" w:space="0" w:color="auto"/>
      </w:divBdr>
    </w:div>
    <w:div w:id="375929602">
      <w:bodyDiv w:val="1"/>
      <w:marLeft w:val="0"/>
      <w:marRight w:val="0"/>
      <w:marTop w:val="0"/>
      <w:marBottom w:val="0"/>
      <w:divBdr>
        <w:top w:val="none" w:sz="0" w:space="0" w:color="auto"/>
        <w:left w:val="none" w:sz="0" w:space="0" w:color="auto"/>
        <w:bottom w:val="none" w:sz="0" w:space="0" w:color="auto"/>
        <w:right w:val="none" w:sz="0" w:space="0" w:color="auto"/>
      </w:divBdr>
    </w:div>
    <w:div w:id="376052654">
      <w:bodyDiv w:val="1"/>
      <w:marLeft w:val="0"/>
      <w:marRight w:val="0"/>
      <w:marTop w:val="0"/>
      <w:marBottom w:val="0"/>
      <w:divBdr>
        <w:top w:val="none" w:sz="0" w:space="0" w:color="auto"/>
        <w:left w:val="none" w:sz="0" w:space="0" w:color="auto"/>
        <w:bottom w:val="none" w:sz="0" w:space="0" w:color="auto"/>
        <w:right w:val="none" w:sz="0" w:space="0" w:color="auto"/>
      </w:divBdr>
    </w:div>
    <w:div w:id="376395987">
      <w:bodyDiv w:val="1"/>
      <w:marLeft w:val="0"/>
      <w:marRight w:val="0"/>
      <w:marTop w:val="0"/>
      <w:marBottom w:val="0"/>
      <w:divBdr>
        <w:top w:val="none" w:sz="0" w:space="0" w:color="auto"/>
        <w:left w:val="none" w:sz="0" w:space="0" w:color="auto"/>
        <w:bottom w:val="none" w:sz="0" w:space="0" w:color="auto"/>
        <w:right w:val="none" w:sz="0" w:space="0" w:color="auto"/>
      </w:divBdr>
    </w:div>
    <w:div w:id="376663957">
      <w:bodyDiv w:val="1"/>
      <w:marLeft w:val="0"/>
      <w:marRight w:val="0"/>
      <w:marTop w:val="0"/>
      <w:marBottom w:val="0"/>
      <w:divBdr>
        <w:top w:val="none" w:sz="0" w:space="0" w:color="auto"/>
        <w:left w:val="none" w:sz="0" w:space="0" w:color="auto"/>
        <w:bottom w:val="none" w:sz="0" w:space="0" w:color="auto"/>
        <w:right w:val="none" w:sz="0" w:space="0" w:color="auto"/>
      </w:divBdr>
    </w:div>
    <w:div w:id="378094876">
      <w:bodyDiv w:val="1"/>
      <w:marLeft w:val="0"/>
      <w:marRight w:val="0"/>
      <w:marTop w:val="0"/>
      <w:marBottom w:val="0"/>
      <w:divBdr>
        <w:top w:val="none" w:sz="0" w:space="0" w:color="auto"/>
        <w:left w:val="none" w:sz="0" w:space="0" w:color="auto"/>
        <w:bottom w:val="none" w:sz="0" w:space="0" w:color="auto"/>
        <w:right w:val="none" w:sz="0" w:space="0" w:color="auto"/>
      </w:divBdr>
    </w:div>
    <w:div w:id="378170577">
      <w:bodyDiv w:val="1"/>
      <w:marLeft w:val="0"/>
      <w:marRight w:val="0"/>
      <w:marTop w:val="0"/>
      <w:marBottom w:val="0"/>
      <w:divBdr>
        <w:top w:val="none" w:sz="0" w:space="0" w:color="auto"/>
        <w:left w:val="none" w:sz="0" w:space="0" w:color="auto"/>
        <w:bottom w:val="none" w:sz="0" w:space="0" w:color="auto"/>
        <w:right w:val="none" w:sz="0" w:space="0" w:color="auto"/>
      </w:divBdr>
    </w:div>
    <w:div w:id="378625218">
      <w:bodyDiv w:val="1"/>
      <w:marLeft w:val="0"/>
      <w:marRight w:val="0"/>
      <w:marTop w:val="0"/>
      <w:marBottom w:val="0"/>
      <w:divBdr>
        <w:top w:val="none" w:sz="0" w:space="0" w:color="auto"/>
        <w:left w:val="none" w:sz="0" w:space="0" w:color="auto"/>
        <w:bottom w:val="none" w:sz="0" w:space="0" w:color="auto"/>
        <w:right w:val="none" w:sz="0" w:space="0" w:color="auto"/>
      </w:divBdr>
    </w:div>
    <w:div w:id="378628318">
      <w:bodyDiv w:val="1"/>
      <w:marLeft w:val="0"/>
      <w:marRight w:val="0"/>
      <w:marTop w:val="0"/>
      <w:marBottom w:val="0"/>
      <w:divBdr>
        <w:top w:val="none" w:sz="0" w:space="0" w:color="auto"/>
        <w:left w:val="none" w:sz="0" w:space="0" w:color="auto"/>
        <w:bottom w:val="none" w:sz="0" w:space="0" w:color="auto"/>
        <w:right w:val="none" w:sz="0" w:space="0" w:color="auto"/>
      </w:divBdr>
    </w:div>
    <w:div w:id="378863735">
      <w:bodyDiv w:val="1"/>
      <w:marLeft w:val="0"/>
      <w:marRight w:val="0"/>
      <w:marTop w:val="0"/>
      <w:marBottom w:val="0"/>
      <w:divBdr>
        <w:top w:val="none" w:sz="0" w:space="0" w:color="auto"/>
        <w:left w:val="none" w:sz="0" w:space="0" w:color="auto"/>
        <w:bottom w:val="none" w:sz="0" w:space="0" w:color="auto"/>
        <w:right w:val="none" w:sz="0" w:space="0" w:color="auto"/>
      </w:divBdr>
    </w:div>
    <w:div w:id="378867139">
      <w:bodyDiv w:val="1"/>
      <w:marLeft w:val="0"/>
      <w:marRight w:val="0"/>
      <w:marTop w:val="0"/>
      <w:marBottom w:val="0"/>
      <w:divBdr>
        <w:top w:val="none" w:sz="0" w:space="0" w:color="auto"/>
        <w:left w:val="none" w:sz="0" w:space="0" w:color="auto"/>
        <w:bottom w:val="none" w:sz="0" w:space="0" w:color="auto"/>
        <w:right w:val="none" w:sz="0" w:space="0" w:color="auto"/>
      </w:divBdr>
    </w:div>
    <w:div w:id="379013838">
      <w:bodyDiv w:val="1"/>
      <w:marLeft w:val="0"/>
      <w:marRight w:val="0"/>
      <w:marTop w:val="0"/>
      <w:marBottom w:val="0"/>
      <w:divBdr>
        <w:top w:val="none" w:sz="0" w:space="0" w:color="auto"/>
        <w:left w:val="none" w:sz="0" w:space="0" w:color="auto"/>
        <w:bottom w:val="none" w:sz="0" w:space="0" w:color="auto"/>
        <w:right w:val="none" w:sz="0" w:space="0" w:color="auto"/>
      </w:divBdr>
    </w:div>
    <w:div w:id="379521913">
      <w:bodyDiv w:val="1"/>
      <w:marLeft w:val="0"/>
      <w:marRight w:val="0"/>
      <w:marTop w:val="0"/>
      <w:marBottom w:val="0"/>
      <w:divBdr>
        <w:top w:val="none" w:sz="0" w:space="0" w:color="auto"/>
        <w:left w:val="none" w:sz="0" w:space="0" w:color="auto"/>
        <w:bottom w:val="none" w:sz="0" w:space="0" w:color="auto"/>
        <w:right w:val="none" w:sz="0" w:space="0" w:color="auto"/>
      </w:divBdr>
    </w:div>
    <w:div w:id="379595787">
      <w:bodyDiv w:val="1"/>
      <w:marLeft w:val="0"/>
      <w:marRight w:val="0"/>
      <w:marTop w:val="0"/>
      <w:marBottom w:val="0"/>
      <w:divBdr>
        <w:top w:val="none" w:sz="0" w:space="0" w:color="auto"/>
        <w:left w:val="none" w:sz="0" w:space="0" w:color="auto"/>
        <w:bottom w:val="none" w:sz="0" w:space="0" w:color="auto"/>
        <w:right w:val="none" w:sz="0" w:space="0" w:color="auto"/>
      </w:divBdr>
    </w:div>
    <w:div w:id="379744646">
      <w:bodyDiv w:val="1"/>
      <w:marLeft w:val="0"/>
      <w:marRight w:val="0"/>
      <w:marTop w:val="0"/>
      <w:marBottom w:val="0"/>
      <w:divBdr>
        <w:top w:val="none" w:sz="0" w:space="0" w:color="auto"/>
        <w:left w:val="none" w:sz="0" w:space="0" w:color="auto"/>
        <w:bottom w:val="none" w:sz="0" w:space="0" w:color="auto"/>
        <w:right w:val="none" w:sz="0" w:space="0" w:color="auto"/>
      </w:divBdr>
    </w:div>
    <w:div w:id="379868675">
      <w:bodyDiv w:val="1"/>
      <w:marLeft w:val="0"/>
      <w:marRight w:val="0"/>
      <w:marTop w:val="0"/>
      <w:marBottom w:val="0"/>
      <w:divBdr>
        <w:top w:val="none" w:sz="0" w:space="0" w:color="auto"/>
        <w:left w:val="none" w:sz="0" w:space="0" w:color="auto"/>
        <w:bottom w:val="none" w:sz="0" w:space="0" w:color="auto"/>
        <w:right w:val="none" w:sz="0" w:space="0" w:color="auto"/>
      </w:divBdr>
    </w:div>
    <w:div w:id="379980685">
      <w:bodyDiv w:val="1"/>
      <w:marLeft w:val="0"/>
      <w:marRight w:val="0"/>
      <w:marTop w:val="0"/>
      <w:marBottom w:val="0"/>
      <w:divBdr>
        <w:top w:val="none" w:sz="0" w:space="0" w:color="auto"/>
        <w:left w:val="none" w:sz="0" w:space="0" w:color="auto"/>
        <w:bottom w:val="none" w:sz="0" w:space="0" w:color="auto"/>
        <w:right w:val="none" w:sz="0" w:space="0" w:color="auto"/>
      </w:divBdr>
    </w:div>
    <w:div w:id="380054448">
      <w:bodyDiv w:val="1"/>
      <w:marLeft w:val="0"/>
      <w:marRight w:val="0"/>
      <w:marTop w:val="0"/>
      <w:marBottom w:val="0"/>
      <w:divBdr>
        <w:top w:val="none" w:sz="0" w:space="0" w:color="auto"/>
        <w:left w:val="none" w:sz="0" w:space="0" w:color="auto"/>
        <w:bottom w:val="none" w:sz="0" w:space="0" w:color="auto"/>
        <w:right w:val="none" w:sz="0" w:space="0" w:color="auto"/>
      </w:divBdr>
    </w:div>
    <w:div w:id="380835515">
      <w:bodyDiv w:val="1"/>
      <w:marLeft w:val="0"/>
      <w:marRight w:val="0"/>
      <w:marTop w:val="0"/>
      <w:marBottom w:val="0"/>
      <w:divBdr>
        <w:top w:val="none" w:sz="0" w:space="0" w:color="auto"/>
        <w:left w:val="none" w:sz="0" w:space="0" w:color="auto"/>
        <w:bottom w:val="none" w:sz="0" w:space="0" w:color="auto"/>
        <w:right w:val="none" w:sz="0" w:space="0" w:color="auto"/>
      </w:divBdr>
    </w:div>
    <w:div w:id="380984002">
      <w:bodyDiv w:val="1"/>
      <w:marLeft w:val="0"/>
      <w:marRight w:val="0"/>
      <w:marTop w:val="0"/>
      <w:marBottom w:val="0"/>
      <w:divBdr>
        <w:top w:val="none" w:sz="0" w:space="0" w:color="auto"/>
        <w:left w:val="none" w:sz="0" w:space="0" w:color="auto"/>
        <w:bottom w:val="none" w:sz="0" w:space="0" w:color="auto"/>
        <w:right w:val="none" w:sz="0" w:space="0" w:color="auto"/>
      </w:divBdr>
    </w:div>
    <w:div w:id="381177696">
      <w:bodyDiv w:val="1"/>
      <w:marLeft w:val="0"/>
      <w:marRight w:val="0"/>
      <w:marTop w:val="0"/>
      <w:marBottom w:val="0"/>
      <w:divBdr>
        <w:top w:val="none" w:sz="0" w:space="0" w:color="auto"/>
        <w:left w:val="none" w:sz="0" w:space="0" w:color="auto"/>
        <w:bottom w:val="none" w:sz="0" w:space="0" w:color="auto"/>
        <w:right w:val="none" w:sz="0" w:space="0" w:color="auto"/>
      </w:divBdr>
    </w:div>
    <w:div w:id="381709600">
      <w:bodyDiv w:val="1"/>
      <w:marLeft w:val="0"/>
      <w:marRight w:val="0"/>
      <w:marTop w:val="0"/>
      <w:marBottom w:val="0"/>
      <w:divBdr>
        <w:top w:val="none" w:sz="0" w:space="0" w:color="auto"/>
        <w:left w:val="none" w:sz="0" w:space="0" w:color="auto"/>
        <w:bottom w:val="none" w:sz="0" w:space="0" w:color="auto"/>
        <w:right w:val="none" w:sz="0" w:space="0" w:color="auto"/>
      </w:divBdr>
    </w:div>
    <w:div w:id="381830560">
      <w:bodyDiv w:val="1"/>
      <w:marLeft w:val="0"/>
      <w:marRight w:val="0"/>
      <w:marTop w:val="0"/>
      <w:marBottom w:val="0"/>
      <w:divBdr>
        <w:top w:val="none" w:sz="0" w:space="0" w:color="auto"/>
        <w:left w:val="none" w:sz="0" w:space="0" w:color="auto"/>
        <w:bottom w:val="none" w:sz="0" w:space="0" w:color="auto"/>
        <w:right w:val="none" w:sz="0" w:space="0" w:color="auto"/>
      </w:divBdr>
    </w:div>
    <w:div w:id="381946357">
      <w:bodyDiv w:val="1"/>
      <w:marLeft w:val="0"/>
      <w:marRight w:val="0"/>
      <w:marTop w:val="0"/>
      <w:marBottom w:val="0"/>
      <w:divBdr>
        <w:top w:val="none" w:sz="0" w:space="0" w:color="auto"/>
        <w:left w:val="none" w:sz="0" w:space="0" w:color="auto"/>
        <w:bottom w:val="none" w:sz="0" w:space="0" w:color="auto"/>
        <w:right w:val="none" w:sz="0" w:space="0" w:color="auto"/>
      </w:divBdr>
    </w:div>
    <w:div w:id="382292049">
      <w:bodyDiv w:val="1"/>
      <w:marLeft w:val="0"/>
      <w:marRight w:val="0"/>
      <w:marTop w:val="0"/>
      <w:marBottom w:val="0"/>
      <w:divBdr>
        <w:top w:val="none" w:sz="0" w:space="0" w:color="auto"/>
        <w:left w:val="none" w:sz="0" w:space="0" w:color="auto"/>
        <w:bottom w:val="none" w:sz="0" w:space="0" w:color="auto"/>
        <w:right w:val="none" w:sz="0" w:space="0" w:color="auto"/>
      </w:divBdr>
    </w:div>
    <w:div w:id="382339200">
      <w:bodyDiv w:val="1"/>
      <w:marLeft w:val="0"/>
      <w:marRight w:val="0"/>
      <w:marTop w:val="0"/>
      <w:marBottom w:val="0"/>
      <w:divBdr>
        <w:top w:val="none" w:sz="0" w:space="0" w:color="auto"/>
        <w:left w:val="none" w:sz="0" w:space="0" w:color="auto"/>
        <w:bottom w:val="none" w:sz="0" w:space="0" w:color="auto"/>
        <w:right w:val="none" w:sz="0" w:space="0" w:color="auto"/>
      </w:divBdr>
    </w:div>
    <w:div w:id="382603452">
      <w:bodyDiv w:val="1"/>
      <w:marLeft w:val="0"/>
      <w:marRight w:val="0"/>
      <w:marTop w:val="0"/>
      <w:marBottom w:val="0"/>
      <w:divBdr>
        <w:top w:val="none" w:sz="0" w:space="0" w:color="auto"/>
        <w:left w:val="none" w:sz="0" w:space="0" w:color="auto"/>
        <w:bottom w:val="none" w:sz="0" w:space="0" w:color="auto"/>
        <w:right w:val="none" w:sz="0" w:space="0" w:color="auto"/>
      </w:divBdr>
    </w:div>
    <w:div w:id="382800578">
      <w:bodyDiv w:val="1"/>
      <w:marLeft w:val="0"/>
      <w:marRight w:val="0"/>
      <w:marTop w:val="0"/>
      <w:marBottom w:val="0"/>
      <w:divBdr>
        <w:top w:val="none" w:sz="0" w:space="0" w:color="auto"/>
        <w:left w:val="none" w:sz="0" w:space="0" w:color="auto"/>
        <w:bottom w:val="none" w:sz="0" w:space="0" w:color="auto"/>
        <w:right w:val="none" w:sz="0" w:space="0" w:color="auto"/>
      </w:divBdr>
    </w:div>
    <w:div w:id="383140520">
      <w:bodyDiv w:val="1"/>
      <w:marLeft w:val="0"/>
      <w:marRight w:val="0"/>
      <w:marTop w:val="0"/>
      <w:marBottom w:val="0"/>
      <w:divBdr>
        <w:top w:val="none" w:sz="0" w:space="0" w:color="auto"/>
        <w:left w:val="none" w:sz="0" w:space="0" w:color="auto"/>
        <w:bottom w:val="none" w:sz="0" w:space="0" w:color="auto"/>
        <w:right w:val="none" w:sz="0" w:space="0" w:color="auto"/>
      </w:divBdr>
    </w:div>
    <w:div w:id="383604255">
      <w:bodyDiv w:val="1"/>
      <w:marLeft w:val="0"/>
      <w:marRight w:val="0"/>
      <w:marTop w:val="0"/>
      <w:marBottom w:val="0"/>
      <w:divBdr>
        <w:top w:val="none" w:sz="0" w:space="0" w:color="auto"/>
        <w:left w:val="none" w:sz="0" w:space="0" w:color="auto"/>
        <w:bottom w:val="none" w:sz="0" w:space="0" w:color="auto"/>
        <w:right w:val="none" w:sz="0" w:space="0" w:color="auto"/>
      </w:divBdr>
    </w:div>
    <w:div w:id="383650013">
      <w:bodyDiv w:val="1"/>
      <w:marLeft w:val="0"/>
      <w:marRight w:val="0"/>
      <w:marTop w:val="0"/>
      <w:marBottom w:val="0"/>
      <w:divBdr>
        <w:top w:val="none" w:sz="0" w:space="0" w:color="auto"/>
        <w:left w:val="none" w:sz="0" w:space="0" w:color="auto"/>
        <w:bottom w:val="none" w:sz="0" w:space="0" w:color="auto"/>
        <w:right w:val="none" w:sz="0" w:space="0" w:color="auto"/>
      </w:divBdr>
    </w:div>
    <w:div w:id="384064322">
      <w:bodyDiv w:val="1"/>
      <w:marLeft w:val="0"/>
      <w:marRight w:val="0"/>
      <w:marTop w:val="0"/>
      <w:marBottom w:val="0"/>
      <w:divBdr>
        <w:top w:val="none" w:sz="0" w:space="0" w:color="auto"/>
        <w:left w:val="none" w:sz="0" w:space="0" w:color="auto"/>
        <w:bottom w:val="none" w:sz="0" w:space="0" w:color="auto"/>
        <w:right w:val="none" w:sz="0" w:space="0" w:color="auto"/>
      </w:divBdr>
    </w:div>
    <w:div w:id="384179678">
      <w:bodyDiv w:val="1"/>
      <w:marLeft w:val="0"/>
      <w:marRight w:val="0"/>
      <w:marTop w:val="0"/>
      <w:marBottom w:val="0"/>
      <w:divBdr>
        <w:top w:val="none" w:sz="0" w:space="0" w:color="auto"/>
        <w:left w:val="none" w:sz="0" w:space="0" w:color="auto"/>
        <w:bottom w:val="none" w:sz="0" w:space="0" w:color="auto"/>
        <w:right w:val="none" w:sz="0" w:space="0" w:color="auto"/>
      </w:divBdr>
    </w:div>
    <w:div w:id="384180217">
      <w:bodyDiv w:val="1"/>
      <w:marLeft w:val="0"/>
      <w:marRight w:val="0"/>
      <w:marTop w:val="0"/>
      <w:marBottom w:val="0"/>
      <w:divBdr>
        <w:top w:val="none" w:sz="0" w:space="0" w:color="auto"/>
        <w:left w:val="none" w:sz="0" w:space="0" w:color="auto"/>
        <w:bottom w:val="none" w:sz="0" w:space="0" w:color="auto"/>
        <w:right w:val="none" w:sz="0" w:space="0" w:color="auto"/>
      </w:divBdr>
    </w:div>
    <w:div w:id="384372121">
      <w:bodyDiv w:val="1"/>
      <w:marLeft w:val="0"/>
      <w:marRight w:val="0"/>
      <w:marTop w:val="0"/>
      <w:marBottom w:val="0"/>
      <w:divBdr>
        <w:top w:val="none" w:sz="0" w:space="0" w:color="auto"/>
        <w:left w:val="none" w:sz="0" w:space="0" w:color="auto"/>
        <w:bottom w:val="none" w:sz="0" w:space="0" w:color="auto"/>
        <w:right w:val="none" w:sz="0" w:space="0" w:color="auto"/>
      </w:divBdr>
    </w:div>
    <w:div w:id="384791281">
      <w:bodyDiv w:val="1"/>
      <w:marLeft w:val="0"/>
      <w:marRight w:val="0"/>
      <w:marTop w:val="0"/>
      <w:marBottom w:val="0"/>
      <w:divBdr>
        <w:top w:val="none" w:sz="0" w:space="0" w:color="auto"/>
        <w:left w:val="none" w:sz="0" w:space="0" w:color="auto"/>
        <w:bottom w:val="none" w:sz="0" w:space="0" w:color="auto"/>
        <w:right w:val="none" w:sz="0" w:space="0" w:color="auto"/>
      </w:divBdr>
    </w:div>
    <w:div w:id="385028558">
      <w:bodyDiv w:val="1"/>
      <w:marLeft w:val="0"/>
      <w:marRight w:val="0"/>
      <w:marTop w:val="0"/>
      <w:marBottom w:val="0"/>
      <w:divBdr>
        <w:top w:val="none" w:sz="0" w:space="0" w:color="auto"/>
        <w:left w:val="none" w:sz="0" w:space="0" w:color="auto"/>
        <w:bottom w:val="none" w:sz="0" w:space="0" w:color="auto"/>
        <w:right w:val="none" w:sz="0" w:space="0" w:color="auto"/>
      </w:divBdr>
    </w:div>
    <w:div w:id="385182260">
      <w:bodyDiv w:val="1"/>
      <w:marLeft w:val="0"/>
      <w:marRight w:val="0"/>
      <w:marTop w:val="0"/>
      <w:marBottom w:val="0"/>
      <w:divBdr>
        <w:top w:val="none" w:sz="0" w:space="0" w:color="auto"/>
        <w:left w:val="none" w:sz="0" w:space="0" w:color="auto"/>
        <w:bottom w:val="none" w:sz="0" w:space="0" w:color="auto"/>
        <w:right w:val="none" w:sz="0" w:space="0" w:color="auto"/>
      </w:divBdr>
    </w:div>
    <w:div w:id="385643688">
      <w:bodyDiv w:val="1"/>
      <w:marLeft w:val="0"/>
      <w:marRight w:val="0"/>
      <w:marTop w:val="0"/>
      <w:marBottom w:val="0"/>
      <w:divBdr>
        <w:top w:val="none" w:sz="0" w:space="0" w:color="auto"/>
        <w:left w:val="none" w:sz="0" w:space="0" w:color="auto"/>
        <w:bottom w:val="none" w:sz="0" w:space="0" w:color="auto"/>
        <w:right w:val="none" w:sz="0" w:space="0" w:color="auto"/>
      </w:divBdr>
    </w:div>
    <w:div w:id="385959104">
      <w:bodyDiv w:val="1"/>
      <w:marLeft w:val="0"/>
      <w:marRight w:val="0"/>
      <w:marTop w:val="0"/>
      <w:marBottom w:val="0"/>
      <w:divBdr>
        <w:top w:val="none" w:sz="0" w:space="0" w:color="auto"/>
        <w:left w:val="none" w:sz="0" w:space="0" w:color="auto"/>
        <w:bottom w:val="none" w:sz="0" w:space="0" w:color="auto"/>
        <w:right w:val="none" w:sz="0" w:space="0" w:color="auto"/>
      </w:divBdr>
    </w:div>
    <w:div w:id="386105150">
      <w:bodyDiv w:val="1"/>
      <w:marLeft w:val="0"/>
      <w:marRight w:val="0"/>
      <w:marTop w:val="0"/>
      <w:marBottom w:val="0"/>
      <w:divBdr>
        <w:top w:val="none" w:sz="0" w:space="0" w:color="auto"/>
        <w:left w:val="none" w:sz="0" w:space="0" w:color="auto"/>
        <w:bottom w:val="none" w:sz="0" w:space="0" w:color="auto"/>
        <w:right w:val="none" w:sz="0" w:space="0" w:color="auto"/>
      </w:divBdr>
    </w:div>
    <w:div w:id="386994408">
      <w:bodyDiv w:val="1"/>
      <w:marLeft w:val="0"/>
      <w:marRight w:val="0"/>
      <w:marTop w:val="0"/>
      <w:marBottom w:val="0"/>
      <w:divBdr>
        <w:top w:val="none" w:sz="0" w:space="0" w:color="auto"/>
        <w:left w:val="none" w:sz="0" w:space="0" w:color="auto"/>
        <w:bottom w:val="none" w:sz="0" w:space="0" w:color="auto"/>
        <w:right w:val="none" w:sz="0" w:space="0" w:color="auto"/>
      </w:divBdr>
    </w:div>
    <w:div w:id="387001165">
      <w:bodyDiv w:val="1"/>
      <w:marLeft w:val="0"/>
      <w:marRight w:val="0"/>
      <w:marTop w:val="0"/>
      <w:marBottom w:val="0"/>
      <w:divBdr>
        <w:top w:val="none" w:sz="0" w:space="0" w:color="auto"/>
        <w:left w:val="none" w:sz="0" w:space="0" w:color="auto"/>
        <w:bottom w:val="none" w:sz="0" w:space="0" w:color="auto"/>
        <w:right w:val="none" w:sz="0" w:space="0" w:color="auto"/>
      </w:divBdr>
    </w:div>
    <w:div w:id="387341975">
      <w:bodyDiv w:val="1"/>
      <w:marLeft w:val="0"/>
      <w:marRight w:val="0"/>
      <w:marTop w:val="0"/>
      <w:marBottom w:val="0"/>
      <w:divBdr>
        <w:top w:val="none" w:sz="0" w:space="0" w:color="auto"/>
        <w:left w:val="none" w:sz="0" w:space="0" w:color="auto"/>
        <w:bottom w:val="none" w:sz="0" w:space="0" w:color="auto"/>
        <w:right w:val="none" w:sz="0" w:space="0" w:color="auto"/>
      </w:divBdr>
    </w:div>
    <w:div w:id="387385021">
      <w:bodyDiv w:val="1"/>
      <w:marLeft w:val="0"/>
      <w:marRight w:val="0"/>
      <w:marTop w:val="0"/>
      <w:marBottom w:val="0"/>
      <w:divBdr>
        <w:top w:val="none" w:sz="0" w:space="0" w:color="auto"/>
        <w:left w:val="none" w:sz="0" w:space="0" w:color="auto"/>
        <w:bottom w:val="none" w:sz="0" w:space="0" w:color="auto"/>
        <w:right w:val="none" w:sz="0" w:space="0" w:color="auto"/>
      </w:divBdr>
    </w:div>
    <w:div w:id="388042163">
      <w:bodyDiv w:val="1"/>
      <w:marLeft w:val="0"/>
      <w:marRight w:val="0"/>
      <w:marTop w:val="0"/>
      <w:marBottom w:val="0"/>
      <w:divBdr>
        <w:top w:val="none" w:sz="0" w:space="0" w:color="auto"/>
        <w:left w:val="none" w:sz="0" w:space="0" w:color="auto"/>
        <w:bottom w:val="none" w:sz="0" w:space="0" w:color="auto"/>
        <w:right w:val="none" w:sz="0" w:space="0" w:color="auto"/>
      </w:divBdr>
    </w:div>
    <w:div w:id="388042672">
      <w:bodyDiv w:val="1"/>
      <w:marLeft w:val="0"/>
      <w:marRight w:val="0"/>
      <w:marTop w:val="0"/>
      <w:marBottom w:val="0"/>
      <w:divBdr>
        <w:top w:val="none" w:sz="0" w:space="0" w:color="auto"/>
        <w:left w:val="none" w:sz="0" w:space="0" w:color="auto"/>
        <w:bottom w:val="none" w:sz="0" w:space="0" w:color="auto"/>
        <w:right w:val="none" w:sz="0" w:space="0" w:color="auto"/>
      </w:divBdr>
    </w:div>
    <w:div w:id="388117176">
      <w:bodyDiv w:val="1"/>
      <w:marLeft w:val="0"/>
      <w:marRight w:val="0"/>
      <w:marTop w:val="0"/>
      <w:marBottom w:val="0"/>
      <w:divBdr>
        <w:top w:val="none" w:sz="0" w:space="0" w:color="auto"/>
        <w:left w:val="none" w:sz="0" w:space="0" w:color="auto"/>
        <w:bottom w:val="none" w:sz="0" w:space="0" w:color="auto"/>
        <w:right w:val="none" w:sz="0" w:space="0" w:color="auto"/>
      </w:divBdr>
    </w:div>
    <w:div w:id="388308362">
      <w:bodyDiv w:val="1"/>
      <w:marLeft w:val="0"/>
      <w:marRight w:val="0"/>
      <w:marTop w:val="0"/>
      <w:marBottom w:val="0"/>
      <w:divBdr>
        <w:top w:val="none" w:sz="0" w:space="0" w:color="auto"/>
        <w:left w:val="none" w:sz="0" w:space="0" w:color="auto"/>
        <w:bottom w:val="none" w:sz="0" w:space="0" w:color="auto"/>
        <w:right w:val="none" w:sz="0" w:space="0" w:color="auto"/>
      </w:divBdr>
    </w:div>
    <w:div w:id="388501875">
      <w:bodyDiv w:val="1"/>
      <w:marLeft w:val="0"/>
      <w:marRight w:val="0"/>
      <w:marTop w:val="0"/>
      <w:marBottom w:val="0"/>
      <w:divBdr>
        <w:top w:val="none" w:sz="0" w:space="0" w:color="auto"/>
        <w:left w:val="none" w:sz="0" w:space="0" w:color="auto"/>
        <w:bottom w:val="none" w:sz="0" w:space="0" w:color="auto"/>
        <w:right w:val="none" w:sz="0" w:space="0" w:color="auto"/>
      </w:divBdr>
    </w:div>
    <w:div w:id="389302703">
      <w:bodyDiv w:val="1"/>
      <w:marLeft w:val="0"/>
      <w:marRight w:val="0"/>
      <w:marTop w:val="0"/>
      <w:marBottom w:val="0"/>
      <w:divBdr>
        <w:top w:val="none" w:sz="0" w:space="0" w:color="auto"/>
        <w:left w:val="none" w:sz="0" w:space="0" w:color="auto"/>
        <w:bottom w:val="none" w:sz="0" w:space="0" w:color="auto"/>
        <w:right w:val="none" w:sz="0" w:space="0" w:color="auto"/>
      </w:divBdr>
    </w:div>
    <w:div w:id="389839952">
      <w:bodyDiv w:val="1"/>
      <w:marLeft w:val="0"/>
      <w:marRight w:val="0"/>
      <w:marTop w:val="0"/>
      <w:marBottom w:val="0"/>
      <w:divBdr>
        <w:top w:val="none" w:sz="0" w:space="0" w:color="auto"/>
        <w:left w:val="none" w:sz="0" w:space="0" w:color="auto"/>
        <w:bottom w:val="none" w:sz="0" w:space="0" w:color="auto"/>
        <w:right w:val="none" w:sz="0" w:space="0" w:color="auto"/>
      </w:divBdr>
    </w:div>
    <w:div w:id="390616857">
      <w:bodyDiv w:val="1"/>
      <w:marLeft w:val="0"/>
      <w:marRight w:val="0"/>
      <w:marTop w:val="0"/>
      <w:marBottom w:val="0"/>
      <w:divBdr>
        <w:top w:val="none" w:sz="0" w:space="0" w:color="auto"/>
        <w:left w:val="none" w:sz="0" w:space="0" w:color="auto"/>
        <w:bottom w:val="none" w:sz="0" w:space="0" w:color="auto"/>
        <w:right w:val="none" w:sz="0" w:space="0" w:color="auto"/>
      </w:divBdr>
    </w:div>
    <w:div w:id="390884682">
      <w:bodyDiv w:val="1"/>
      <w:marLeft w:val="0"/>
      <w:marRight w:val="0"/>
      <w:marTop w:val="0"/>
      <w:marBottom w:val="0"/>
      <w:divBdr>
        <w:top w:val="none" w:sz="0" w:space="0" w:color="auto"/>
        <w:left w:val="none" w:sz="0" w:space="0" w:color="auto"/>
        <w:bottom w:val="none" w:sz="0" w:space="0" w:color="auto"/>
        <w:right w:val="none" w:sz="0" w:space="0" w:color="auto"/>
      </w:divBdr>
    </w:div>
    <w:div w:id="391076484">
      <w:bodyDiv w:val="1"/>
      <w:marLeft w:val="0"/>
      <w:marRight w:val="0"/>
      <w:marTop w:val="0"/>
      <w:marBottom w:val="0"/>
      <w:divBdr>
        <w:top w:val="none" w:sz="0" w:space="0" w:color="auto"/>
        <w:left w:val="none" w:sz="0" w:space="0" w:color="auto"/>
        <w:bottom w:val="none" w:sz="0" w:space="0" w:color="auto"/>
        <w:right w:val="none" w:sz="0" w:space="0" w:color="auto"/>
      </w:divBdr>
    </w:div>
    <w:div w:id="392042742">
      <w:bodyDiv w:val="1"/>
      <w:marLeft w:val="0"/>
      <w:marRight w:val="0"/>
      <w:marTop w:val="0"/>
      <w:marBottom w:val="0"/>
      <w:divBdr>
        <w:top w:val="none" w:sz="0" w:space="0" w:color="auto"/>
        <w:left w:val="none" w:sz="0" w:space="0" w:color="auto"/>
        <w:bottom w:val="none" w:sz="0" w:space="0" w:color="auto"/>
        <w:right w:val="none" w:sz="0" w:space="0" w:color="auto"/>
      </w:divBdr>
    </w:div>
    <w:div w:id="392244043">
      <w:bodyDiv w:val="1"/>
      <w:marLeft w:val="0"/>
      <w:marRight w:val="0"/>
      <w:marTop w:val="0"/>
      <w:marBottom w:val="0"/>
      <w:divBdr>
        <w:top w:val="none" w:sz="0" w:space="0" w:color="auto"/>
        <w:left w:val="none" w:sz="0" w:space="0" w:color="auto"/>
        <w:bottom w:val="none" w:sz="0" w:space="0" w:color="auto"/>
        <w:right w:val="none" w:sz="0" w:space="0" w:color="auto"/>
      </w:divBdr>
    </w:div>
    <w:div w:id="392434703">
      <w:bodyDiv w:val="1"/>
      <w:marLeft w:val="0"/>
      <w:marRight w:val="0"/>
      <w:marTop w:val="0"/>
      <w:marBottom w:val="0"/>
      <w:divBdr>
        <w:top w:val="none" w:sz="0" w:space="0" w:color="auto"/>
        <w:left w:val="none" w:sz="0" w:space="0" w:color="auto"/>
        <w:bottom w:val="none" w:sz="0" w:space="0" w:color="auto"/>
        <w:right w:val="none" w:sz="0" w:space="0" w:color="auto"/>
      </w:divBdr>
    </w:div>
    <w:div w:id="392966452">
      <w:bodyDiv w:val="1"/>
      <w:marLeft w:val="0"/>
      <w:marRight w:val="0"/>
      <w:marTop w:val="0"/>
      <w:marBottom w:val="0"/>
      <w:divBdr>
        <w:top w:val="none" w:sz="0" w:space="0" w:color="auto"/>
        <w:left w:val="none" w:sz="0" w:space="0" w:color="auto"/>
        <w:bottom w:val="none" w:sz="0" w:space="0" w:color="auto"/>
        <w:right w:val="none" w:sz="0" w:space="0" w:color="auto"/>
      </w:divBdr>
    </w:div>
    <w:div w:id="393085987">
      <w:bodyDiv w:val="1"/>
      <w:marLeft w:val="0"/>
      <w:marRight w:val="0"/>
      <w:marTop w:val="0"/>
      <w:marBottom w:val="0"/>
      <w:divBdr>
        <w:top w:val="none" w:sz="0" w:space="0" w:color="auto"/>
        <w:left w:val="none" w:sz="0" w:space="0" w:color="auto"/>
        <w:bottom w:val="none" w:sz="0" w:space="0" w:color="auto"/>
        <w:right w:val="none" w:sz="0" w:space="0" w:color="auto"/>
      </w:divBdr>
    </w:div>
    <w:div w:id="393547361">
      <w:bodyDiv w:val="1"/>
      <w:marLeft w:val="0"/>
      <w:marRight w:val="0"/>
      <w:marTop w:val="0"/>
      <w:marBottom w:val="0"/>
      <w:divBdr>
        <w:top w:val="none" w:sz="0" w:space="0" w:color="auto"/>
        <w:left w:val="none" w:sz="0" w:space="0" w:color="auto"/>
        <w:bottom w:val="none" w:sz="0" w:space="0" w:color="auto"/>
        <w:right w:val="none" w:sz="0" w:space="0" w:color="auto"/>
      </w:divBdr>
    </w:div>
    <w:div w:id="393893814">
      <w:bodyDiv w:val="1"/>
      <w:marLeft w:val="0"/>
      <w:marRight w:val="0"/>
      <w:marTop w:val="0"/>
      <w:marBottom w:val="0"/>
      <w:divBdr>
        <w:top w:val="none" w:sz="0" w:space="0" w:color="auto"/>
        <w:left w:val="none" w:sz="0" w:space="0" w:color="auto"/>
        <w:bottom w:val="none" w:sz="0" w:space="0" w:color="auto"/>
        <w:right w:val="none" w:sz="0" w:space="0" w:color="auto"/>
      </w:divBdr>
    </w:div>
    <w:div w:id="394159518">
      <w:bodyDiv w:val="1"/>
      <w:marLeft w:val="0"/>
      <w:marRight w:val="0"/>
      <w:marTop w:val="0"/>
      <w:marBottom w:val="0"/>
      <w:divBdr>
        <w:top w:val="none" w:sz="0" w:space="0" w:color="auto"/>
        <w:left w:val="none" w:sz="0" w:space="0" w:color="auto"/>
        <w:bottom w:val="none" w:sz="0" w:space="0" w:color="auto"/>
        <w:right w:val="none" w:sz="0" w:space="0" w:color="auto"/>
      </w:divBdr>
    </w:div>
    <w:div w:id="394358893">
      <w:bodyDiv w:val="1"/>
      <w:marLeft w:val="0"/>
      <w:marRight w:val="0"/>
      <w:marTop w:val="0"/>
      <w:marBottom w:val="0"/>
      <w:divBdr>
        <w:top w:val="none" w:sz="0" w:space="0" w:color="auto"/>
        <w:left w:val="none" w:sz="0" w:space="0" w:color="auto"/>
        <w:bottom w:val="none" w:sz="0" w:space="0" w:color="auto"/>
        <w:right w:val="none" w:sz="0" w:space="0" w:color="auto"/>
      </w:divBdr>
    </w:div>
    <w:div w:id="394670951">
      <w:bodyDiv w:val="1"/>
      <w:marLeft w:val="0"/>
      <w:marRight w:val="0"/>
      <w:marTop w:val="0"/>
      <w:marBottom w:val="0"/>
      <w:divBdr>
        <w:top w:val="none" w:sz="0" w:space="0" w:color="auto"/>
        <w:left w:val="none" w:sz="0" w:space="0" w:color="auto"/>
        <w:bottom w:val="none" w:sz="0" w:space="0" w:color="auto"/>
        <w:right w:val="none" w:sz="0" w:space="0" w:color="auto"/>
      </w:divBdr>
    </w:div>
    <w:div w:id="394741541">
      <w:bodyDiv w:val="1"/>
      <w:marLeft w:val="0"/>
      <w:marRight w:val="0"/>
      <w:marTop w:val="0"/>
      <w:marBottom w:val="0"/>
      <w:divBdr>
        <w:top w:val="none" w:sz="0" w:space="0" w:color="auto"/>
        <w:left w:val="none" w:sz="0" w:space="0" w:color="auto"/>
        <w:bottom w:val="none" w:sz="0" w:space="0" w:color="auto"/>
        <w:right w:val="none" w:sz="0" w:space="0" w:color="auto"/>
      </w:divBdr>
    </w:div>
    <w:div w:id="394864945">
      <w:bodyDiv w:val="1"/>
      <w:marLeft w:val="0"/>
      <w:marRight w:val="0"/>
      <w:marTop w:val="0"/>
      <w:marBottom w:val="0"/>
      <w:divBdr>
        <w:top w:val="none" w:sz="0" w:space="0" w:color="auto"/>
        <w:left w:val="none" w:sz="0" w:space="0" w:color="auto"/>
        <w:bottom w:val="none" w:sz="0" w:space="0" w:color="auto"/>
        <w:right w:val="none" w:sz="0" w:space="0" w:color="auto"/>
      </w:divBdr>
    </w:div>
    <w:div w:id="395013452">
      <w:bodyDiv w:val="1"/>
      <w:marLeft w:val="0"/>
      <w:marRight w:val="0"/>
      <w:marTop w:val="0"/>
      <w:marBottom w:val="0"/>
      <w:divBdr>
        <w:top w:val="none" w:sz="0" w:space="0" w:color="auto"/>
        <w:left w:val="none" w:sz="0" w:space="0" w:color="auto"/>
        <w:bottom w:val="none" w:sz="0" w:space="0" w:color="auto"/>
        <w:right w:val="none" w:sz="0" w:space="0" w:color="auto"/>
      </w:divBdr>
    </w:div>
    <w:div w:id="395131731">
      <w:bodyDiv w:val="1"/>
      <w:marLeft w:val="0"/>
      <w:marRight w:val="0"/>
      <w:marTop w:val="0"/>
      <w:marBottom w:val="0"/>
      <w:divBdr>
        <w:top w:val="none" w:sz="0" w:space="0" w:color="auto"/>
        <w:left w:val="none" w:sz="0" w:space="0" w:color="auto"/>
        <w:bottom w:val="none" w:sz="0" w:space="0" w:color="auto"/>
        <w:right w:val="none" w:sz="0" w:space="0" w:color="auto"/>
      </w:divBdr>
    </w:div>
    <w:div w:id="395394701">
      <w:bodyDiv w:val="1"/>
      <w:marLeft w:val="0"/>
      <w:marRight w:val="0"/>
      <w:marTop w:val="0"/>
      <w:marBottom w:val="0"/>
      <w:divBdr>
        <w:top w:val="none" w:sz="0" w:space="0" w:color="auto"/>
        <w:left w:val="none" w:sz="0" w:space="0" w:color="auto"/>
        <w:bottom w:val="none" w:sz="0" w:space="0" w:color="auto"/>
        <w:right w:val="none" w:sz="0" w:space="0" w:color="auto"/>
      </w:divBdr>
    </w:div>
    <w:div w:id="395470234">
      <w:bodyDiv w:val="1"/>
      <w:marLeft w:val="0"/>
      <w:marRight w:val="0"/>
      <w:marTop w:val="0"/>
      <w:marBottom w:val="0"/>
      <w:divBdr>
        <w:top w:val="none" w:sz="0" w:space="0" w:color="auto"/>
        <w:left w:val="none" w:sz="0" w:space="0" w:color="auto"/>
        <w:bottom w:val="none" w:sz="0" w:space="0" w:color="auto"/>
        <w:right w:val="none" w:sz="0" w:space="0" w:color="auto"/>
      </w:divBdr>
    </w:div>
    <w:div w:id="395980576">
      <w:bodyDiv w:val="1"/>
      <w:marLeft w:val="0"/>
      <w:marRight w:val="0"/>
      <w:marTop w:val="0"/>
      <w:marBottom w:val="0"/>
      <w:divBdr>
        <w:top w:val="none" w:sz="0" w:space="0" w:color="auto"/>
        <w:left w:val="none" w:sz="0" w:space="0" w:color="auto"/>
        <w:bottom w:val="none" w:sz="0" w:space="0" w:color="auto"/>
        <w:right w:val="none" w:sz="0" w:space="0" w:color="auto"/>
      </w:divBdr>
    </w:div>
    <w:div w:id="395981427">
      <w:bodyDiv w:val="1"/>
      <w:marLeft w:val="0"/>
      <w:marRight w:val="0"/>
      <w:marTop w:val="0"/>
      <w:marBottom w:val="0"/>
      <w:divBdr>
        <w:top w:val="none" w:sz="0" w:space="0" w:color="auto"/>
        <w:left w:val="none" w:sz="0" w:space="0" w:color="auto"/>
        <w:bottom w:val="none" w:sz="0" w:space="0" w:color="auto"/>
        <w:right w:val="none" w:sz="0" w:space="0" w:color="auto"/>
      </w:divBdr>
    </w:div>
    <w:div w:id="396049090">
      <w:bodyDiv w:val="1"/>
      <w:marLeft w:val="0"/>
      <w:marRight w:val="0"/>
      <w:marTop w:val="0"/>
      <w:marBottom w:val="0"/>
      <w:divBdr>
        <w:top w:val="none" w:sz="0" w:space="0" w:color="auto"/>
        <w:left w:val="none" w:sz="0" w:space="0" w:color="auto"/>
        <w:bottom w:val="none" w:sz="0" w:space="0" w:color="auto"/>
        <w:right w:val="none" w:sz="0" w:space="0" w:color="auto"/>
      </w:divBdr>
    </w:div>
    <w:div w:id="396242605">
      <w:bodyDiv w:val="1"/>
      <w:marLeft w:val="0"/>
      <w:marRight w:val="0"/>
      <w:marTop w:val="0"/>
      <w:marBottom w:val="0"/>
      <w:divBdr>
        <w:top w:val="none" w:sz="0" w:space="0" w:color="auto"/>
        <w:left w:val="none" w:sz="0" w:space="0" w:color="auto"/>
        <w:bottom w:val="none" w:sz="0" w:space="0" w:color="auto"/>
        <w:right w:val="none" w:sz="0" w:space="0" w:color="auto"/>
      </w:divBdr>
    </w:div>
    <w:div w:id="396367013">
      <w:bodyDiv w:val="1"/>
      <w:marLeft w:val="0"/>
      <w:marRight w:val="0"/>
      <w:marTop w:val="0"/>
      <w:marBottom w:val="0"/>
      <w:divBdr>
        <w:top w:val="none" w:sz="0" w:space="0" w:color="auto"/>
        <w:left w:val="none" w:sz="0" w:space="0" w:color="auto"/>
        <w:bottom w:val="none" w:sz="0" w:space="0" w:color="auto"/>
        <w:right w:val="none" w:sz="0" w:space="0" w:color="auto"/>
      </w:divBdr>
    </w:div>
    <w:div w:id="396779916">
      <w:bodyDiv w:val="1"/>
      <w:marLeft w:val="0"/>
      <w:marRight w:val="0"/>
      <w:marTop w:val="0"/>
      <w:marBottom w:val="0"/>
      <w:divBdr>
        <w:top w:val="none" w:sz="0" w:space="0" w:color="auto"/>
        <w:left w:val="none" w:sz="0" w:space="0" w:color="auto"/>
        <w:bottom w:val="none" w:sz="0" w:space="0" w:color="auto"/>
        <w:right w:val="none" w:sz="0" w:space="0" w:color="auto"/>
      </w:divBdr>
    </w:div>
    <w:div w:id="397288643">
      <w:bodyDiv w:val="1"/>
      <w:marLeft w:val="0"/>
      <w:marRight w:val="0"/>
      <w:marTop w:val="0"/>
      <w:marBottom w:val="0"/>
      <w:divBdr>
        <w:top w:val="none" w:sz="0" w:space="0" w:color="auto"/>
        <w:left w:val="none" w:sz="0" w:space="0" w:color="auto"/>
        <w:bottom w:val="none" w:sz="0" w:space="0" w:color="auto"/>
        <w:right w:val="none" w:sz="0" w:space="0" w:color="auto"/>
      </w:divBdr>
    </w:div>
    <w:div w:id="397366682">
      <w:bodyDiv w:val="1"/>
      <w:marLeft w:val="0"/>
      <w:marRight w:val="0"/>
      <w:marTop w:val="0"/>
      <w:marBottom w:val="0"/>
      <w:divBdr>
        <w:top w:val="none" w:sz="0" w:space="0" w:color="auto"/>
        <w:left w:val="none" w:sz="0" w:space="0" w:color="auto"/>
        <w:bottom w:val="none" w:sz="0" w:space="0" w:color="auto"/>
        <w:right w:val="none" w:sz="0" w:space="0" w:color="auto"/>
      </w:divBdr>
    </w:div>
    <w:div w:id="397477645">
      <w:bodyDiv w:val="1"/>
      <w:marLeft w:val="0"/>
      <w:marRight w:val="0"/>
      <w:marTop w:val="0"/>
      <w:marBottom w:val="0"/>
      <w:divBdr>
        <w:top w:val="none" w:sz="0" w:space="0" w:color="auto"/>
        <w:left w:val="none" w:sz="0" w:space="0" w:color="auto"/>
        <w:bottom w:val="none" w:sz="0" w:space="0" w:color="auto"/>
        <w:right w:val="none" w:sz="0" w:space="0" w:color="auto"/>
      </w:divBdr>
    </w:div>
    <w:div w:id="397561603">
      <w:bodyDiv w:val="1"/>
      <w:marLeft w:val="0"/>
      <w:marRight w:val="0"/>
      <w:marTop w:val="0"/>
      <w:marBottom w:val="0"/>
      <w:divBdr>
        <w:top w:val="none" w:sz="0" w:space="0" w:color="auto"/>
        <w:left w:val="none" w:sz="0" w:space="0" w:color="auto"/>
        <w:bottom w:val="none" w:sz="0" w:space="0" w:color="auto"/>
        <w:right w:val="none" w:sz="0" w:space="0" w:color="auto"/>
      </w:divBdr>
    </w:div>
    <w:div w:id="397673910">
      <w:bodyDiv w:val="1"/>
      <w:marLeft w:val="0"/>
      <w:marRight w:val="0"/>
      <w:marTop w:val="0"/>
      <w:marBottom w:val="0"/>
      <w:divBdr>
        <w:top w:val="none" w:sz="0" w:space="0" w:color="auto"/>
        <w:left w:val="none" w:sz="0" w:space="0" w:color="auto"/>
        <w:bottom w:val="none" w:sz="0" w:space="0" w:color="auto"/>
        <w:right w:val="none" w:sz="0" w:space="0" w:color="auto"/>
      </w:divBdr>
    </w:div>
    <w:div w:id="397748000">
      <w:bodyDiv w:val="1"/>
      <w:marLeft w:val="0"/>
      <w:marRight w:val="0"/>
      <w:marTop w:val="0"/>
      <w:marBottom w:val="0"/>
      <w:divBdr>
        <w:top w:val="none" w:sz="0" w:space="0" w:color="auto"/>
        <w:left w:val="none" w:sz="0" w:space="0" w:color="auto"/>
        <w:bottom w:val="none" w:sz="0" w:space="0" w:color="auto"/>
        <w:right w:val="none" w:sz="0" w:space="0" w:color="auto"/>
      </w:divBdr>
    </w:div>
    <w:div w:id="398090752">
      <w:bodyDiv w:val="1"/>
      <w:marLeft w:val="0"/>
      <w:marRight w:val="0"/>
      <w:marTop w:val="0"/>
      <w:marBottom w:val="0"/>
      <w:divBdr>
        <w:top w:val="none" w:sz="0" w:space="0" w:color="auto"/>
        <w:left w:val="none" w:sz="0" w:space="0" w:color="auto"/>
        <w:bottom w:val="none" w:sz="0" w:space="0" w:color="auto"/>
        <w:right w:val="none" w:sz="0" w:space="0" w:color="auto"/>
      </w:divBdr>
    </w:div>
    <w:div w:id="398095129">
      <w:bodyDiv w:val="1"/>
      <w:marLeft w:val="0"/>
      <w:marRight w:val="0"/>
      <w:marTop w:val="0"/>
      <w:marBottom w:val="0"/>
      <w:divBdr>
        <w:top w:val="none" w:sz="0" w:space="0" w:color="auto"/>
        <w:left w:val="none" w:sz="0" w:space="0" w:color="auto"/>
        <w:bottom w:val="none" w:sz="0" w:space="0" w:color="auto"/>
        <w:right w:val="none" w:sz="0" w:space="0" w:color="auto"/>
      </w:divBdr>
    </w:div>
    <w:div w:id="398135158">
      <w:bodyDiv w:val="1"/>
      <w:marLeft w:val="0"/>
      <w:marRight w:val="0"/>
      <w:marTop w:val="0"/>
      <w:marBottom w:val="0"/>
      <w:divBdr>
        <w:top w:val="none" w:sz="0" w:space="0" w:color="auto"/>
        <w:left w:val="none" w:sz="0" w:space="0" w:color="auto"/>
        <w:bottom w:val="none" w:sz="0" w:space="0" w:color="auto"/>
        <w:right w:val="none" w:sz="0" w:space="0" w:color="auto"/>
      </w:divBdr>
    </w:div>
    <w:div w:id="398137777">
      <w:bodyDiv w:val="1"/>
      <w:marLeft w:val="0"/>
      <w:marRight w:val="0"/>
      <w:marTop w:val="0"/>
      <w:marBottom w:val="0"/>
      <w:divBdr>
        <w:top w:val="none" w:sz="0" w:space="0" w:color="auto"/>
        <w:left w:val="none" w:sz="0" w:space="0" w:color="auto"/>
        <w:bottom w:val="none" w:sz="0" w:space="0" w:color="auto"/>
        <w:right w:val="none" w:sz="0" w:space="0" w:color="auto"/>
      </w:divBdr>
    </w:div>
    <w:div w:id="398484034">
      <w:bodyDiv w:val="1"/>
      <w:marLeft w:val="0"/>
      <w:marRight w:val="0"/>
      <w:marTop w:val="0"/>
      <w:marBottom w:val="0"/>
      <w:divBdr>
        <w:top w:val="none" w:sz="0" w:space="0" w:color="auto"/>
        <w:left w:val="none" w:sz="0" w:space="0" w:color="auto"/>
        <w:bottom w:val="none" w:sz="0" w:space="0" w:color="auto"/>
        <w:right w:val="none" w:sz="0" w:space="0" w:color="auto"/>
      </w:divBdr>
    </w:div>
    <w:div w:id="398552464">
      <w:bodyDiv w:val="1"/>
      <w:marLeft w:val="0"/>
      <w:marRight w:val="0"/>
      <w:marTop w:val="0"/>
      <w:marBottom w:val="0"/>
      <w:divBdr>
        <w:top w:val="none" w:sz="0" w:space="0" w:color="auto"/>
        <w:left w:val="none" w:sz="0" w:space="0" w:color="auto"/>
        <w:bottom w:val="none" w:sz="0" w:space="0" w:color="auto"/>
        <w:right w:val="none" w:sz="0" w:space="0" w:color="auto"/>
      </w:divBdr>
    </w:div>
    <w:div w:id="398602648">
      <w:bodyDiv w:val="1"/>
      <w:marLeft w:val="0"/>
      <w:marRight w:val="0"/>
      <w:marTop w:val="0"/>
      <w:marBottom w:val="0"/>
      <w:divBdr>
        <w:top w:val="none" w:sz="0" w:space="0" w:color="auto"/>
        <w:left w:val="none" w:sz="0" w:space="0" w:color="auto"/>
        <w:bottom w:val="none" w:sz="0" w:space="0" w:color="auto"/>
        <w:right w:val="none" w:sz="0" w:space="0" w:color="auto"/>
      </w:divBdr>
    </w:div>
    <w:div w:id="398938368">
      <w:bodyDiv w:val="1"/>
      <w:marLeft w:val="0"/>
      <w:marRight w:val="0"/>
      <w:marTop w:val="0"/>
      <w:marBottom w:val="0"/>
      <w:divBdr>
        <w:top w:val="none" w:sz="0" w:space="0" w:color="auto"/>
        <w:left w:val="none" w:sz="0" w:space="0" w:color="auto"/>
        <w:bottom w:val="none" w:sz="0" w:space="0" w:color="auto"/>
        <w:right w:val="none" w:sz="0" w:space="0" w:color="auto"/>
      </w:divBdr>
    </w:div>
    <w:div w:id="398940191">
      <w:bodyDiv w:val="1"/>
      <w:marLeft w:val="0"/>
      <w:marRight w:val="0"/>
      <w:marTop w:val="0"/>
      <w:marBottom w:val="0"/>
      <w:divBdr>
        <w:top w:val="none" w:sz="0" w:space="0" w:color="auto"/>
        <w:left w:val="none" w:sz="0" w:space="0" w:color="auto"/>
        <w:bottom w:val="none" w:sz="0" w:space="0" w:color="auto"/>
        <w:right w:val="none" w:sz="0" w:space="0" w:color="auto"/>
      </w:divBdr>
    </w:div>
    <w:div w:id="399182415">
      <w:bodyDiv w:val="1"/>
      <w:marLeft w:val="0"/>
      <w:marRight w:val="0"/>
      <w:marTop w:val="0"/>
      <w:marBottom w:val="0"/>
      <w:divBdr>
        <w:top w:val="none" w:sz="0" w:space="0" w:color="auto"/>
        <w:left w:val="none" w:sz="0" w:space="0" w:color="auto"/>
        <w:bottom w:val="none" w:sz="0" w:space="0" w:color="auto"/>
        <w:right w:val="none" w:sz="0" w:space="0" w:color="auto"/>
      </w:divBdr>
    </w:div>
    <w:div w:id="399333089">
      <w:bodyDiv w:val="1"/>
      <w:marLeft w:val="0"/>
      <w:marRight w:val="0"/>
      <w:marTop w:val="0"/>
      <w:marBottom w:val="0"/>
      <w:divBdr>
        <w:top w:val="none" w:sz="0" w:space="0" w:color="auto"/>
        <w:left w:val="none" w:sz="0" w:space="0" w:color="auto"/>
        <w:bottom w:val="none" w:sz="0" w:space="0" w:color="auto"/>
        <w:right w:val="none" w:sz="0" w:space="0" w:color="auto"/>
      </w:divBdr>
    </w:div>
    <w:div w:id="399402534">
      <w:bodyDiv w:val="1"/>
      <w:marLeft w:val="0"/>
      <w:marRight w:val="0"/>
      <w:marTop w:val="0"/>
      <w:marBottom w:val="0"/>
      <w:divBdr>
        <w:top w:val="none" w:sz="0" w:space="0" w:color="auto"/>
        <w:left w:val="none" w:sz="0" w:space="0" w:color="auto"/>
        <w:bottom w:val="none" w:sz="0" w:space="0" w:color="auto"/>
        <w:right w:val="none" w:sz="0" w:space="0" w:color="auto"/>
      </w:divBdr>
    </w:div>
    <w:div w:id="399716393">
      <w:bodyDiv w:val="1"/>
      <w:marLeft w:val="0"/>
      <w:marRight w:val="0"/>
      <w:marTop w:val="0"/>
      <w:marBottom w:val="0"/>
      <w:divBdr>
        <w:top w:val="none" w:sz="0" w:space="0" w:color="auto"/>
        <w:left w:val="none" w:sz="0" w:space="0" w:color="auto"/>
        <w:bottom w:val="none" w:sz="0" w:space="0" w:color="auto"/>
        <w:right w:val="none" w:sz="0" w:space="0" w:color="auto"/>
      </w:divBdr>
    </w:div>
    <w:div w:id="399866007">
      <w:bodyDiv w:val="1"/>
      <w:marLeft w:val="0"/>
      <w:marRight w:val="0"/>
      <w:marTop w:val="0"/>
      <w:marBottom w:val="0"/>
      <w:divBdr>
        <w:top w:val="none" w:sz="0" w:space="0" w:color="auto"/>
        <w:left w:val="none" w:sz="0" w:space="0" w:color="auto"/>
        <w:bottom w:val="none" w:sz="0" w:space="0" w:color="auto"/>
        <w:right w:val="none" w:sz="0" w:space="0" w:color="auto"/>
      </w:divBdr>
    </w:div>
    <w:div w:id="400182094">
      <w:bodyDiv w:val="1"/>
      <w:marLeft w:val="0"/>
      <w:marRight w:val="0"/>
      <w:marTop w:val="0"/>
      <w:marBottom w:val="0"/>
      <w:divBdr>
        <w:top w:val="none" w:sz="0" w:space="0" w:color="auto"/>
        <w:left w:val="none" w:sz="0" w:space="0" w:color="auto"/>
        <w:bottom w:val="none" w:sz="0" w:space="0" w:color="auto"/>
        <w:right w:val="none" w:sz="0" w:space="0" w:color="auto"/>
      </w:divBdr>
    </w:div>
    <w:div w:id="400249491">
      <w:bodyDiv w:val="1"/>
      <w:marLeft w:val="0"/>
      <w:marRight w:val="0"/>
      <w:marTop w:val="0"/>
      <w:marBottom w:val="0"/>
      <w:divBdr>
        <w:top w:val="none" w:sz="0" w:space="0" w:color="auto"/>
        <w:left w:val="none" w:sz="0" w:space="0" w:color="auto"/>
        <w:bottom w:val="none" w:sz="0" w:space="0" w:color="auto"/>
        <w:right w:val="none" w:sz="0" w:space="0" w:color="auto"/>
      </w:divBdr>
    </w:div>
    <w:div w:id="400951988">
      <w:bodyDiv w:val="1"/>
      <w:marLeft w:val="0"/>
      <w:marRight w:val="0"/>
      <w:marTop w:val="0"/>
      <w:marBottom w:val="0"/>
      <w:divBdr>
        <w:top w:val="none" w:sz="0" w:space="0" w:color="auto"/>
        <w:left w:val="none" w:sz="0" w:space="0" w:color="auto"/>
        <w:bottom w:val="none" w:sz="0" w:space="0" w:color="auto"/>
        <w:right w:val="none" w:sz="0" w:space="0" w:color="auto"/>
      </w:divBdr>
    </w:div>
    <w:div w:id="401099856">
      <w:bodyDiv w:val="1"/>
      <w:marLeft w:val="0"/>
      <w:marRight w:val="0"/>
      <w:marTop w:val="0"/>
      <w:marBottom w:val="0"/>
      <w:divBdr>
        <w:top w:val="none" w:sz="0" w:space="0" w:color="auto"/>
        <w:left w:val="none" w:sz="0" w:space="0" w:color="auto"/>
        <w:bottom w:val="none" w:sz="0" w:space="0" w:color="auto"/>
        <w:right w:val="none" w:sz="0" w:space="0" w:color="auto"/>
      </w:divBdr>
    </w:div>
    <w:div w:id="401299921">
      <w:bodyDiv w:val="1"/>
      <w:marLeft w:val="0"/>
      <w:marRight w:val="0"/>
      <w:marTop w:val="0"/>
      <w:marBottom w:val="0"/>
      <w:divBdr>
        <w:top w:val="none" w:sz="0" w:space="0" w:color="auto"/>
        <w:left w:val="none" w:sz="0" w:space="0" w:color="auto"/>
        <w:bottom w:val="none" w:sz="0" w:space="0" w:color="auto"/>
        <w:right w:val="none" w:sz="0" w:space="0" w:color="auto"/>
      </w:divBdr>
    </w:div>
    <w:div w:id="401415105">
      <w:bodyDiv w:val="1"/>
      <w:marLeft w:val="0"/>
      <w:marRight w:val="0"/>
      <w:marTop w:val="0"/>
      <w:marBottom w:val="0"/>
      <w:divBdr>
        <w:top w:val="none" w:sz="0" w:space="0" w:color="auto"/>
        <w:left w:val="none" w:sz="0" w:space="0" w:color="auto"/>
        <w:bottom w:val="none" w:sz="0" w:space="0" w:color="auto"/>
        <w:right w:val="none" w:sz="0" w:space="0" w:color="auto"/>
      </w:divBdr>
    </w:div>
    <w:div w:id="401486851">
      <w:bodyDiv w:val="1"/>
      <w:marLeft w:val="0"/>
      <w:marRight w:val="0"/>
      <w:marTop w:val="0"/>
      <w:marBottom w:val="0"/>
      <w:divBdr>
        <w:top w:val="none" w:sz="0" w:space="0" w:color="auto"/>
        <w:left w:val="none" w:sz="0" w:space="0" w:color="auto"/>
        <w:bottom w:val="none" w:sz="0" w:space="0" w:color="auto"/>
        <w:right w:val="none" w:sz="0" w:space="0" w:color="auto"/>
      </w:divBdr>
    </w:div>
    <w:div w:id="401871068">
      <w:bodyDiv w:val="1"/>
      <w:marLeft w:val="0"/>
      <w:marRight w:val="0"/>
      <w:marTop w:val="0"/>
      <w:marBottom w:val="0"/>
      <w:divBdr>
        <w:top w:val="none" w:sz="0" w:space="0" w:color="auto"/>
        <w:left w:val="none" w:sz="0" w:space="0" w:color="auto"/>
        <w:bottom w:val="none" w:sz="0" w:space="0" w:color="auto"/>
        <w:right w:val="none" w:sz="0" w:space="0" w:color="auto"/>
      </w:divBdr>
    </w:div>
    <w:div w:id="402065672">
      <w:bodyDiv w:val="1"/>
      <w:marLeft w:val="0"/>
      <w:marRight w:val="0"/>
      <w:marTop w:val="0"/>
      <w:marBottom w:val="0"/>
      <w:divBdr>
        <w:top w:val="none" w:sz="0" w:space="0" w:color="auto"/>
        <w:left w:val="none" w:sz="0" w:space="0" w:color="auto"/>
        <w:bottom w:val="none" w:sz="0" w:space="0" w:color="auto"/>
        <w:right w:val="none" w:sz="0" w:space="0" w:color="auto"/>
      </w:divBdr>
    </w:div>
    <w:div w:id="402333248">
      <w:bodyDiv w:val="1"/>
      <w:marLeft w:val="0"/>
      <w:marRight w:val="0"/>
      <w:marTop w:val="0"/>
      <w:marBottom w:val="0"/>
      <w:divBdr>
        <w:top w:val="none" w:sz="0" w:space="0" w:color="auto"/>
        <w:left w:val="none" w:sz="0" w:space="0" w:color="auto"/>
        <w:bottom w:val="none" w:sz="0" w:space="0" w:color="auto"/>
        <w:right w:val="none" w:sz="0" w:space="0" w:color="auto"/>
      </w:divBdr>
    </w:div>
    <w:div w:id="402720745">
      <w:bodyDiv w:val="1"/>
      <w:marLeft w:val="0"/>
      <w:marRight w:val="0"/>
      <w:marTop w:val="0"/>
      <w:marBottom w:val="0"/>
      <w:divBdr>
        <w:top w:val="none" w:sz="0" w:space="0" w:color="auto"/>
        <w:left w:val="none" w:sz="0" w:space="0" w:color="auto"/>
        <w:bottom w:val="none" w:sz="0" w:space="0" w:color="auto"/>
        <w:right w:val="none" w:sz="0" w:space="0" w:color="auto"/>
      </w:divBdr>
    </w:div>
    <w:div w:id="404182996">
      <w:bodyDiv w:val="1"/>
      <w:marLeft w:val="0"/>
      <w:marRight w:val="0"/>
      <w:marTop w:val="0"/>
      <w:marBottom w:val="0"/>
      <w:divBdr>
        <w:top w:val="none" w:sz="0" w:space="0" w:color="auto"/>
        <w:left w:val="none" w:sz="0" w:space="0" w:color="auto"/>
        <w:bottom w:val="none" w:sz="0" w:space="0" w:color="auto"/>
        <w:right w:val="none" w:sz="0" w:space="0" w:color="auto"/>
      </w:divBdr>
    </w:div>
    <w:div w:id="404255685">
      <w:bodyDiv w:val="1"/>
      <w:marLeft w:val="0"/>
      <w:marRight w:val="0"/>
      <w:marTop w:val="0"/>
      <w:marBottom w:val="0"/>
      <w:divBdr>
        <w:top w:val="none" w:sz="0" w:space="0" w:color="auto"/>
        <w:left w:val="none" w:sz="0" w:space="0" w:color="auto"/>
        <w:bottom w:val="none" w:sz="0" w:space="0" w:color="auto"/>
        <w:right w:val="none" w:sz="0" w:space="0" w:color="auto"/>
      </w:divBdr>
    </w:div>
    <w:div w:id="404576155">
      <w:bodyDiv w:val="1"/>
      <w:marLeft w:val="0"/>
      <w:marRight w:val="0"/>
      <w:marTop w:val="0"/>
      <w:marBottom w:val="0"/>
      <w:divBdr>
        <w:top w:val="none" w:sz="0" w:space="0" w:color="auto"/>
        <w:left w:val="none" w:sz="0" w:space="0" w:color="auto"/>
        <w:bottom w:val="none" w:sz="0" w:space="0" w:color="auto"/>
        <w:right w:val="none" w:sz="0" w:space="0" w:color="auto"/>
      </w:divBdr>
    </w:div>
    <w:div w:id="404646659">
      <w:bodyDiv w:val="1"/>
      <w:marLeft w:val="0"/>
      <w:marRight w:val="0"/>
      <w:marTop w:val="0"/>
      <w:marBottom w:val="0"/>
      <w:divBdr>
        <w:top w:val="none" w:sz="0" w:space="0" w:color="auto"/>
        <w:left w:val="none" w:sz="0" w:space="0" w:color="auto"/>
        <w:bottom w:val="none" w:sz="0" w:space="0" w:color="auto"/>
        <w:right w:val="none" w:sz="0" w:space="0" w:color="auto"/>
      </w:divBdr>
    </w:div>
    <w:div w:id="404692776">
      <w:bodyDiv w:val="1"/>
      <w:marLeft w:val="0"/>
      <w:marRight w:val="0"/>
      <w:marTop w:val="0"/>
      <w:marBottom w:val="0"/>
      <w:divBdr>
        <w:top w:val="none" w:sz="0" w:space="0" w:color="auto"/>
        <w:left w:val="none" w:sz="0" w:space="0" w:color="auto"/>
        <w:bottom w:val="none" w:sz="0" w:space="0" w:color="auto"/>
        <w:right w:val="none" w:sz="0" w:space="0" w:color="auto"/>
      </w:divBdr>
    </w:div>
    <w:div w:id="404953965">
      <w:bodyDiv w:val="1"/>
      <w:marLeft w:val="0"/>
      <w:marRight w:val="0"/>
      <w:marTop w:val="0"/>
      <w:marBottom w:val="0"/>
      <w:divBdr>
        <w:top w:val="none" w:sz="0" w:space="0" w:color="auto"/>
        <w:left w:val="none" w:sz="0" w:space="0" w:color="auto"/>
        <w:bottom w:val="none" w:sz="0" w:space="0" w:color="auto"/>
        <w:right w:val="none" w:sz="0" w:space="0" w:color="auto"/>
      </w:divBdr>
    </w:div>
    <w:div w:id="405105178">
      <w:bodyDiv w:val="1"/>
      <w:marLeft w:val="0"/>
      <w:marRight w:val="0"/>
      <w:marTop w:val="0"/>
      <w:marBottom w:val="0"/>
      <w:divBdr>
        <w:top w:val="none" w:sz="0" w:space="0" w:color="auto"/>
        <w:left w:val="none" w:sz="0" w:space="0" w:color="auto"/>
        <w:bottom w:val="none" w:sz="0" w:space="0" w:color="auto"/>
        <w:right w:val="none" w:sz="0" w:space="0" w:color="auto"/>
      </w:divBdr>
    </w:div>
    <w:div w:id="405151932">
      <w:bodyDiv w:val="1"/>
      <w:marLeft w:val="0"/>
      <w:marRight w:val="0"/>
      <w:marTop w:val="0"/>
      <w:marBottom w:val="0"/>
      <w:divBdr>
        <w:top w:val="none" w:sz="0" w:space="0" w:color="auto"/>
        <w:left w:val="none" w:sz="0" w:space="0" w:color="auto"/>
        <w:bottom w:val="none" w:sz="0" w:space="0" w:color="auto"/>
        <w:right w:val="none" w:sz="0" w:space="0" w:color="auto"/>
      </w:divBdr>
    </w:div>
    <w:div w:id="405297605">
      <w:bodyDiv w:val="1"/>
      <w:marLeft w:val="0"/>
      <w:marRight w:val="0"/>
      <w:marTop w:val="0"/>
      <w:marBottom w:val="0"/>
      <w:divBdr>
        <w:top w:val="none" w:sz="0" w:space="0" w:color="auto"/>
        <w:left w:val="none" w:sz="0" w:space="0" w:color="auto"/>
        <w:bottom w:val="none" w:sz="0" w:space="0" w:color="auto"/>
        <w:right w:val="none" w:sz="0" w:space="0" w:color="auto"/>
      </w:divBdr>
    </w:div>
    <w:div w:id="405803217">
      <w:bodyDiv w:val="1"/>
      <w:marLeft w:val="0"/>
      <w:marRight w:val="0"/>
      <w:marTop w:val="0"/>
      <w:marBottom w:val="0"/>
      <w:divBdr>
        <w:top w:val="none" w:sz="0" w:space="0" w:color="auto"/>
        <w:left w:val="none" w:sz="0" w:space="0" w:color="auto"/>
        <w:bottom w:val="none" w:sz="0" w:space="0" w:color="auto"/>
        <w:right w:val="none" w:sz="0" w:space="0" w:color="auto"/>
      </w:divBdr>
    </w:div>
    <w:div w:id="406073379">
      <w:bodyDiv w:val="1"/>
      <w:marLeft w:val="0"/>
      <w:marRight w:val="0"/>
      <w:marTop w:val="0"/>
      <w:marBottom w:val="0"/>
      <w:divBdr>
        <w:top w:val="none" w:sz="0" w:space="0" w:color="auto"/>
        <w:left w:val="none" w:sz="0" w:space="0" w:color="auto"/>
        <w:bottom w:val="none" w:sz="0" w:space="0" w:color="auto"/>
        <w:right w:val="none" w:sz="0" w:space="0" w:color="auto"/>
      </w:divBdr>
    </w:div>
    <w:div w:id="406655595">
      <w:bodyDiv w:val="1"/>
      <w:marLeft w:val="0"/>
      <w:marRight w:val="0"/>
      <w:marTop w:val="0"/>
      <w:marBottom w:val="0"/>
      <w:divBdr>
        <w:top w:val="none" w:sz="0" w:space="0" w:color="auto"/>
        <w:left w:val="none" w:sz="0" w:space="0" w:color="auto"/>
        <w:bottom w:val="none" w:sz="0" w:space="0" w:color="auto"/>
        <w:right w:val="none" w:sz="0" w:space="0" w:color="auto"/>
      </w:divBdr>
    </w:div>
    <w:div w:id="407385177">
      <w:bodyDiv w:val="1"/>
      <w:marLeft w:val="0"/>
      <w:marRight w:val="0"/>
      <w:marTop w:val="0"/>
      <w:marBottom w:val="0"/>
      <w:divBdr>
        <w:top w:val="none" w:sz="0" w:space="0" w:color="auto"/>
        <w:left w:val="none" w:sz="0" w:space="0" w:color="auto"/>
        <w:bottom w:val="none" w:sz="0" w:space="0" w:color="auto"/>
        <w:right w:val="none" w:sz="0" w:space="0" w:color="auto"/>
      </w:divBdr>
    </w:div>
    <w:div w:id="407458469">
      <w:bodyDiv w:val="1"/>
      <w:marLeft w:val="0"/>
      <w:marRight w:val="0"/>
      <w:marTop w:val="0"/>
      <w:marBottom w:val="0"/>
      <w:divBdr>
        <w:top w:val="none" w:sz="0" w:space="0" w:color="auto"/>
        <w:left w:val="none" w:sz="0" w:space="0" w:color="auto"/>
        <w:bottom w:val="none" w:sz="0" w:space="0" w:color="auto"/>
        <w:right w:val="none" w:sz="0" w:space="0" w:color="auto"/>
      </w:divBdr>
    </w:div>
    <w:div w:id="407462257">
      <w:bodyDiv w:val="1"/>
      <w:marLeft w:val="0"/>
      <w:marRight w:val="0"/>
      <w:marTop w:val="0"/>
      <w:marBottom w:val="0"/>
      <w:divBdr>
        <w:top w:val="none" w:sz="0" w:space="0" w:color="auto"/>
        <w:left w:val="none" w:sz="0" w:space="0" w:color="auto"/>
        <w:bottom w:val="none" w:sz="0" w:space="0" w:color="auto"/>
        <w:right w:val="none" w:sz="0" w:space="0" w:color="auto"/>
      </w:divBdr>
    </w:div>
    <w:div w:id="407923068">
      <w:bodyDiv w:val="1"/>
      <w:marLeft w:val="0"/>
      <w:marRight w:val="0"/>
      <w:marTop w:val="0"/>
      <w:marBottom w:val="0"/>
      <w:divBdr>
        <w:top w:val="none" w:sz="0" w:space="0" w:color="auto"/>
        <w:left w:val="none" w:sz="0" w:space="0" w:color="auto"/>
        <w:bottom w:val="none" w:sz="0" w:space="0" w:color="auto"/>
        <w:right w:val="none" w:sz="0" w:space="0" w:color="auto"/>
      </w:divBdr>
    </w:div>
    <w:div w:id="408306702">
      <w:bodyDiv w:val="1"/>
      <w:marLeft w:val="0"/>
      <w:marRight w:val="0"/>
      <w:marTop w:val="0"/>
      <w:marBottom w:val="0"/>
      <w:divBdr>
        <w:top w:val="none" w:sz="0" w:space="0" w:color="auto"/>
        <w:left w:val="none" w:sz="0" w:space="0" w:color="auto"/>
        <w:bottom w:val="none" w:sz="0" w:space="0" w:color="auto"/>
        <w:right w:val="none" w:sz="0" w:space="0" w:color="auto"/>
      </w:divBdr>
    </w:div>
    <w:div w:id="408692330">
      <w:bodyDiv w:val="1"/>
      <w:marLeft w:val="0"/>
      <w:marRight w:val="0"/>
      <w:marTop w:val="0"/>
      <w:marBottom w:val="0"/>
      <w:divBdr>
        <w:top w:val="none" w:sz="0" w:space="0" w:color="auto"/>
        <w:left w:val="none" w:sz="0" w:space="0" w:color="auto"/>
        <w:bottom w:val="none" w:sz="0" w:space="0" w:color="auto"/>
        <w:right w:val="none" w:sz="0" w:space="0" w:color="auto"/>
      </w:divBdr>
    </w:div>
    <w:div w:id="409426217">
      <w:bodyDiv w:val="1"/>
      <w:marLeft w:val="0"/>
      <w:marRight w:val="0"/>
      <w:marTop w:val="0"/>
      <w:marBottom w:val="0"/>
      <w:divBdr>
        <w:top w:val="none" w:sz="0" w:space="0" w:color="auto"/>
        <w:left w:val="none" w:sz="0" w:space="0" w:color="auto"/>
        <w:bottom w:val="none" w:sz="0" w:space="0" w:color="auto"/>
        <w:right w:val="none" w:sz="0" w:space="0" w:color="auto"/>
      </w:divBdr>
    </w:div>
    <w:div w:id="409740114">
      <w:bodyDiv w:val="1"/>
      <w:marLeft w:val="0"/>
      <w:marRight w:val="0"/>
      <w:marTop w:val="0"/>
      <w:marBottom w:val="0"/>
      <w:divBdr>
        <w:top w:val="none" w:sz="0" w:space="0" w:color="auto"/>
        <w:left w:val="none" w:sz="0" w:space="0" w:color="auto"/>
        <w:bottom w:val="none" w:sz="0" w:space="0" w:color="auto"/>
        <w:right w:val="none" w:sz="0" w:space="0" w:color="auto"/>
      </w:divBdr>
    </w:div>
    <w:div w:id="409812109">
      <w:bodyDiv w:val="1"/>
      <w:marLeft w:val="0"/>
      <w:marRight w:val="0"/>
      <w:marTop w:val="0"/>
      <w:marBottom w:val="0"/>
      <w:divBdr>
        <w:top w:val="none" w:sz="0" w:space="0" w:color="auto"/>
        <w:left w:val="none" w:sz="0" w:space="0" w:color="auto"/>
        <w:bottom w:val="none" w:sz="0" w:space="0" w:color="auto"/>
        <w:right w:val="none" w:sz="0" w:space="0" w:color="auto"/>
      </w:divBdr>
    </w:div>
    <w:div w:id="409815995">
      <w:bodyDiv w:val="1"/>
      <w:marLeft w:val="0"/>
      <w:marRight w:val="0"/>
      <w:marTop w:val="0"/>
      <w:marBottom w:val="0"/>
      <w:divBdr>
        <w:top w:val="none" w:sz="0" w:space="0" w:color="auto"/>
        <w:left w:val="none" w:sz="0" w:space="0" w:color="auto"/>
        <w:bottom w:val="none" w:sz="0" w:space="0" w:color="auto"/>
        <w:right w:val="none" w:sz="0" w:space="0" w:color="auto"/>
      </w:divBdr>
    </w:div>
    <w:div w:id="409935958">
      <w:bodyDiv w:val="1"/>
      <w:marLeft w:val="0"/>
      <w:marRight w:val="0"/>
      <w:marTop w:val="0"/>
      <w:marBottom w:val="0"/>
      <w:divBdr>
        <w:top w:val="none" w:sz="0" w:space="0" w:color="auto"/>
        <w:left w:val="none" w:sz="0" w:space="0" w:color="auto"/>
        <w:bottom w:val="none" w:sz="0" w:space="0" w:color="auto"/>
        <w:right w:val="none" w:sz="0" w:space="0" w:color="auto"/>
      </w:divBdr>
    </w:div>
    <w:div w:id="410346837">
      <w:bodyDiv w:val="1"/>
      <w:marLeft w:val="0"/>
      <w:marRight w:val="0"/>
      <w:marTop w:val="0"/>
      <w:marBottom w:val="0"/>
      <w:divBdr>
        <w:top w:val="none" w:sz="0" w:space="0" w:color="auto"/>
        <w:left w:val="none" w:sz="0" w:space="0" w:color="auto"/>
        <w:bottom w:val="none" w:sz="0" w:space="0" w:color="auto"/>
        <w:right w:val="none" w:sz="0" w:space="0" w:color="auto"/>
      </w:divBdr>
    </w:div>
    <w:div w:id="410393963">
      <w:bodyDiv w:val="1"/>
      <w:marLeft w:val="0"/>
      <w:marRight w:val="0"/>
      <w:marTop w:val="0"/>
      <w:marBottom w:val="0"/>
      <w:divBdr>
        <w:top w:val="none" w:sz="0" w:space="0" w:color="auto"/>
        <w:left w:val="none" w:sz="0" w:space="0" w:color="auto"/>
        <w:bottom w:val="none" w:sz="0" w:space="0" w:color="auto"/>
        <w:right w:val="none" w:sz="0" w:space="0" w:color="auto"/>
      </w:divBdr>
    </w:div>
    <w:div w:id="411053516">
      <w:bodyDiv w:val="1"/>
      <w:marLeft w:val="0"/>
      <w:marRight w:val="0"/>
      <w:marTop w:val="0"/>
      <w:marBottom w:val="0"/>
      <w:divBdr>
        <w:top w:val="none" w:sz="0" w:space="0" w:color="auto"/>
        <w:left w:val="none" w:sz="0" w:space="0" w:color="auto"/>
        <w:bottom w:val="none" w:sz="0" w:space="0" w:color="auto"/>
        <w:right w:val="none" w:sz="0" w:space="0" w:color="auto"/>
      </w:divBdr>
    </w:div>
    <w:div w:id="411122919">
      <w:bodyDiv w:val="1"/>
      <w:marLeft w:val="0"/>
      <w:marRight w:val="0"/>
      <w:marTop w:val="0"/>
      <w:marBottom w:val="0"/>
      <w:divBdr>
        <w:top w:val="none" w:sz="0" w:space="0" w:color="auto"/>
        <w:left w:val="none" w:sz="0" w:space="0" w:color="auto"/>
        <w:bottom w:val="none" w:sz="0" w:space="0" w:color="auto"/>
        <w:right w:val="none" w:sz="0" w:space="0" w:color="auto"/>
      </w:divBdr>
    </w:div>
    <w:div w:id="411197015">
      <w:bodyDiv w:val="1"/>
      <w:marLeft w:val="0"/>
      <w:marRight w:val="0"/>
      <w:marTop w:val="0"/>
      <w:marBottom w:val="0"/>
      <w:divBdr>
        <w:top w:val="none" w:sz="0" w:space="0" w:color="auto"/>
        <w:left w:val="none" w:sz="0" w:space="0" w:color="auto"/>
        <w:bottom w:val="none" w:sz="0" w:space="0" w:color="auto"/>
        <w:right w:val="none" w:sz="0" w:space="0" w:color="auto"/>
      </w:divBdr>
    </w:div>
    <w:div w:id="411319406">
      <w:bodyDiv w:val="1"/>
      <w:marLeft w:val="0"/>
      <w:marRight w:val="0"/>
      <w:marTop w:val="0"/>
      <w:marBottom w:val="0"/>
      <w:divBdr>
        <w:top w:val="none" w:sz="0" w:space="0" w:color="auto"/>
        <w:left w:val="none" w:sz="0" w:space="0" w:color="auto"/>
        <w:bottom w:val="none" w:sz="0" w:space="0" w:color="auto"/>
        <w:right w:val="none" w:sz="0" w:space="0" w:color="auto"/>
      </w:divBdr>
    </w:div>
    <w:div w:id="411392310">
      <w:bodyDiv w:val="1"/>
      <w:marLeft w:val="0"/>
      <w:marRight w:val="0"/>
      <w:marTop w:val="0"/>
      <w:marBottom w:val="0"/>
      <w:divBdr>
        <w:top w:val="none" w:sz="0" w:space="0" w:color="auto"/>
        <w:left w:val="none" w:sz="0" w:space="0" w:color="auto"/>
        <w:bottom w:val="none" w:sz="0" w:space="0" w:color="auto"/>
        <w:right w:val="none" w:sz="0" w:space="0" w:color="auto"/>
      </w:divBdr>
    </w:div>
    <w:div w:id="411699453">
      <w:bodyDiv w:val="1"/>
      <w:marLeft w:val="0"/>
      <w:marRight w:val="0"/>
      <w:marTop w:val="0"/>
      <w:marBottom w:val="0"/>
      <w:divBdr>
        <w:top w:val="none" w:sz="0" w:space="0" w:color="auto"/>
        <w:left w:val="none" w:sz="0" w:space="0" w:color="auto"/>
        <w:bottom w:val="none" w:sz="0" w:space="0" w:color="auto"/>
        <w:right w:val="none" w:sz="0" w:space="0" w:color="auto"/>
      </w:divBdr>
    </w:div>
    <w:div w:id="411701932">
      <w:bodyDiv w:val="1"/>
      <w:marLeft w:val="0"/>
      <w:marRight w:val="0"/>
      <w:marTop w:val="0"/>
      <w:marBottom w:val="0"/>
      <w:divBdr>
        <w:top w:val="none" w:sz="0" w:space="0" w:color="auto"/>
        <w:left w:val="none" w:sz="0" w:space="0" w:color="auto"/>
        <w:bottom w:val="none" w:sz="0" w:space="0" w:color="auto"/>
        <w:right w:val="none" w:sz="0" w:space="0" w:color="auto"/>
      </w:divBdr>
    </w:div>
    <w:div w:id="411784308">
      <w:bodyDiv w:val="1"/>
      <w:marLeft w:val="0"/>
      <w:marRight w:val="0"/>
      <w:marTop w:val="0"/>
      <w:marBottom w:val="0"/>
      <w:divBdr>
        <w:top w:val="none" w:sz="0" w:space="0" w:color="auto"/>
        <w:left w:val="none" w:sz="0" w:space="0" w:color="auto"/>
        <w:bottom w:val="none" w:sz="0" w:space="0" w:color="auto"/>
        <w:right w:val="none" w:sz="0" w:space="0" w:color="auto"/>
      </w:divBdr>
    </w:div>
    <w:div w:id="412048467">
      <w:bodyDiv w:val="1"/>
      <w:marLeft w:val="0"/>
      <w:marRight w:val="0"/>
      <w:marTop w:val="0"/>
      <w:marBottom w:val="0"/>
      <w:divBdr>
        <w:top w:val="none" w:sz="0" w:space="0" w:color="auto"/>
        <w:left w:val="none" w:sz="0" w:space="0" w:color="auto"/>
        <w:bottom w:val="none" w:sz="0" w:space="0" w:color="auto"/>
        <w:right w:val="none" w:sz="0" w:space="0" w:color="auto"/>
      </w:divBdr>
    </w:div>
    <w:div w:id="412315264">
      <w:bodyDiv w:val="1"/>
      <w:marLeft w:val="0"/>
      <w:marRight w:val="0"/>
      <w:marTop w:val="0"/>
      <w:marBottom w:val="0"/>
      <w:divBdr>
        <w:top w:val="none" w:sz="0" w:space="0" w:color="auto"/>
        <w:left w:val="none" w:sz="0" w:space="0" w:color="auto"/>
        <w:bottom w:val="none" w:sz="0" w:space="0" w:color="auto"/>
        <w:right w:val="none" w:sz="0" w:space="0" w:color="auto"/>
      </w:divBdr>
    </w:div>
    <w:div w:id="413090807">
      <w:bodyDiv w:val="1"/>
      <w:marLeft w:val="0"/>
      <w:marRight w:val="0"/>
      <w:marTop w:val="0"/>
      <w:marBottom w:val="0"/>
      <w:divBdr>
        <w:top w:val="none" w:sz="0" w:space="0" w:color="auto"/>
        <w:left w:val="none" w:sz="0" w:space="0" w:color="auto"/>
        <w:bottom w:val="none" w:sz="0" w:space="0" w:color="auto"/>
        <w:right w:val="none" w:sz="0" w:space="0" w:color="auto"/>
      </w:divBdr>
    </w:div>
    <w:div w:id="413162629">
      <w:bodyDiv w:val="1"/>
      <w:marLeft w:val="0"/>
      <w:marRight w:val="0"/>
      <w:marTop w:val="0"/>
      <w:marBottom w:val="0"/>
      <w:divBdr>
        <w:top w:val="none" w:sz="0" w:space="0" w:color="auto"/>
        <w:left w:val="none" w:sz="0" w:space="0" w:color="auto"/>
        <w:bottom w:val="none" w:sz="0" w:space="0" w:color="auto"/>
        <w:right w:val="none" w:sz="0" w:space="0" w:color="auto"/>
      </w:divBdr>
    </w:div>
    <w:div w:id="413211797">
      <w:bodyDiv w:val="1"/>
      <w:marLeft w:val="0"/>
      <w:marRight w:val="0"/>
      <w:marTop w:val="0"/>
      <w:marBottom w:val="0"/>
      <w:divBdr>
        <w:top w:val="none" w:sz="0" w:space="0" w:color="auto"/>
        <w:left w:val="none" w:sz="0" w:space="0" w:color="auto"/>
        <w:bottom w:val="none" w:sz="0" w:space="0" w:color="auto"/>
        <w:right w:val="none" w:sz="0" w:space="0" w:color="auto"/>
      </w:divBdr>
    </w:div>
    <w:div w:id="413553166">
      <w:bodyDiv w:val="1"/>
      <w:marLeft w:val="0"/>
      <w:marRight w:val="0"/>
      <w:marTop w:val="0"/>
      <w:marBottom w:val="0"/>
      <w:divBdr>
        <w:top w:val="none" w:sz="0" w:space="0" w:color="auto"/>
        <w:left w:val="none" w:sz="0" w:space="0" w:color="auto"/>
        <w:bottom w:val="none" w:sz="0" w:space="0" w:color="auto"/>
        <w:right w:val="none" w:sz="0" w:space="0" w:color="auto"/>
      </w:divBdr>
    </w:div>
    <w:div w:id="413665476">
      <w:bodyDiv w:val="1"/>
      <w:marLeft w:val="0"/>
      <w:marRight w:val="0"/>
      <w:marTop w:val="0"/>
      <w:marBottom w:val="0"/>
      <w:divBdr>
        <w:top w:val="none" w:sz="0" w:space="0" w:color="auto"/>
        <w:left w:val="none" w:sz="0" w:space="0" w:color="auto"/>
        <w:bottom w:val="none" w:sz="0" w:space="0" w:color="auto"/>
        <w:right w:val="none" w:sz="0" w:space="0" w:color="auto"/>
      </w:divBdr>
    </w:div>
    <w:div w:id="413669477">
      <w:bodyDiv w:val="1"/>
      <w:marLeft w:val="0"/>
      <w:marRight w:val="0"/>
      <w:marTop w:val="0"/>
      <w:marBottom w:val="0"/>
      <w:divBdr>
        <w:top w:val="none" w:sz="0" w:space="0" w:color="auto"/>
        <w:left w:val="none" w:sz="0" w:space="0" w:color="auto"/>
        <w:bottom w:val="none" w:sz="0" w:space="0" w:color="auto"/>
        <w:right w:val="none" w:sz="0" w:space="0" w:color="auto"/>
      </w:divBdr>
    </w:div>
    <w:div w:id="413817728">
      <w:bodyDiv w:val="1"/>
      <w:marLeft w:val="0"/>
      <w:marRight w:val="0"/>
      <w:marTop w:val="0"/>
      <w:marBottom w:val="0"/>
      <w:divBdr>
        <w:top w:val="none" w:sz="0" w:space="0" w:color="auto"/>
        <w:left w:val="none" w:sz="0" w:space="0" w:color="auto"/>
        <w:bottom w:val="none" w:sz="0" w:space="0" w:color="auto"/>
        <w:right w:val="none" w:sz="0" w:space="0" w:color="auto"/>
      </w:divBdr>
    </w:div>
    <w:div w:id="413825454">
      <w:bodyDiv w:val="1"/>
      <w:marLeft w:val="0"/>
      <w:marRight w:val="0"/>
      <w:marTop w:val="0"/>
      <w:marBottom w:val="0"/>
      <w:divBdr>
        <w:top w:val="none" w:sz="0" w:space="0" w:color="auto"/>
        <w:left w:val="none" w:sz="0" w:space="0" w:color="auto"/>
        <w:bottom w:val="none" w:sz="0" w:space="0" w:color="auto"/>
        <w:right w:val="none" w:sz="0" w:space="0" w:color="auto"/>
      </w:divBdr>
    </w:div>
    <w:div w:id="413938045">
      <w:bodyDiv w:val="1"/>
      <w:marLeft w:val="0"/>
      <w:marRight w:val="0"/>
      <w:marTop w:val="0"/>
      <w:marBottom w:val="0"/>
      <w:divBdr>
        <w:top w:val="none" w:sz="0" w:space="0" w:color="auto"/>
        <w:left w:val="none" w:sz="0" w:space="0" w:color="auto"/>
        <w:bottom w:val="none" w:sz="0" w:space="0" w:color="auto"/>
        <w:right w:val="none" w:sz="0" w:space="0" w:color="auto"/>
      </w:divBdr>
    </w:div>
    <w:div w:id="414399760">
      <w:bodyDiv w:val="1"/>
      <w:marLeft w:val="0"/>
      <w:marRight w:val="0"/>
      <w:marTop w:val="0"/>
      <w:marBottom w:val="0"/>
      <w:divBdr>
        <w:top w:val="none" w:sz="0" w:space="0" w:color="auto"/>
        <w:left w:val="none" w:sz="0" w:space="0" w:color="auto"/>
        <w:bottom w:val="none" w:sz="0" w:space="0" w:color="auto"/>
        <w:right w:val="none" w:sz="0" w:space="0" w:color="auto"/>
      </w:divBdr>
    </w:div>
    <w:div w:id="414516624">
      <w:bodyDiv w:val="1"/>
      <w:marLeft w:val="0"/>
      <w:marRight w:val="0"/>
      <w:marTop w:val="0"/>
      <w:marBottom w:val="0"/>
      <w:divBdr>
        <w:top w:val="none" w:sz="0" w:space="0" w:color="auto"/>
        <w:left w:val="none" w:sz="0" w:space="0" w:color="auto"/>
        <w:bottom w:val="none" w:sz="0" w:space="0" w:color="auto"/>
        <w:right w:val="none" w:sz="0" w:space="0" w:color="auto"/>
      </w:divBdr>
    </w:div>
    <w:div w:id="414595125">
      <w:bodyDiv w:val="1"/>
      <w:marLeft w:val="0"/>
      <w:marRight w:val="0"/>
      <w:marTop w:val="0"/>
      <w:marBottom w:val="0"/>
      <w:divBdr>
        <w:top w:val="none" w:sz="0" w:space="0" w:color="auto"/>
        <w:left w:val="none" w:sz="0" w:space="0" w:color="auto"/>
        <w:bottom w:val="none" w:sz="0" w:space="0" w:color="auto"/>
        <w:right w:val="none" w:sz="0" w:space="0" w:color="auto"/>
      </w:divBdr>
    </w:div>
    <w:div w:id="414791454">
      <w:bodyDiv w:val="1"/>
      <w:marLeft w:val="0"/>
      <w:marRight w:val="0"/>
      <w:marTop w:val="0"/>
      <w:marBottom w:val="0"/>
      <w:divBdr>
        <w:top w:val="none" w:sz="0" w:space="0" w:color="auto"/>
        <w:left w:val="none" w:sz="0" w:space="0" w:color="auto"/>
        <w:bottom w:val="none" w:sz="0" w:space="0" w:color="auto"/>
        <w:right w:val="none" w:sz="0" w:space="0" w:color="auto"/>
      </w:divBdr>
    </w:div>
    <w:div w:id="415133009">
      <w:bodyDiv w:val="1"/>
      <w:marLeft w:val="0"/>
      <w:marRight w:val="0"/>
      <w:marTop w:val="0"/>
      <w:marBottom w:val="0"/>
      <w:divBdr>
        <w:top w:val="none" w:sz="0" w:space="0" w:color="auto"/>
        <w:left w:val="none" w:sz="0" w:space="0" w:color="auto"/>
        <w:bottom w:val="none" w:sz="0" w:space="0" w:color="auto"/>
        <w:right w:val="none" w:sz="0" w:space="0" w:color="auto"/>
      </w:divBdr>
    </w:div>
    <w:div w:id="415439368">
      <w:bodyDiv w:val="1"/>
      <w:marLeft w:val="0"/>
      <w:marRight w:val="0"/>
      <w:marTop w:val="0"/>
      <w:marBottom w:val="0"/>
      <w:divBdr>
        <w:top w:val="none" w:sz="0" w:space="0" w:color="auto"/>
        <w:left w:val="none" w:sz="0" w:space="0" w:color="auto"/>
        <w:bottom w:val="none" w:sz="0" w:space="0" w:color="auto"/>
        <w:right w:val="none" w:sz="0" w:space="0" w:color="auto"/>
      </w:divBdr>
    </w:div>
    <w:div w:id="415588823">
      <w:bodyDiv w:val="1"/>
      <w:marLeft w:val="0"/>
      <w:marRight w:val="0"/>
      <w:marTop w:val="0"/>
      <w:marBottom w:val="0"/>
      <w:divBdr>
        <w:top w:val="none" w:sz="0" w:space="0" w:color="auto"/>
        <w:left w:val="none" w:sz="0" w:space="0" w:color="auto"/>
        <w:bottom w:val="none" w:sz="0" w:space="0" w:color="auto"/>
        <w:right w:val="none" w:sz="0" w:space="0" w:color="auto"/>
      </w:divBdr>
    </w:div>
    <w:div w:id="415636244">
      <w:bodyDiv w:val="1"/>
      <w:marLeft w:val="0"/>
      <w:marRight w:val="0"/>
      <w:marTop w:val="0"/>
      <w:marBottom w:val="0"/>
      <w:divBdr>
        <w:top w:val="none" w:sz="0" w:space="0" w:color="auto"/>
        <w:left w:val="none" w:sz="0" w:space="0" w:color="auto"/>
        <w:bottom w:val="none" w:sz="0" w:space="0" w:color="auto"/>
        <w:right w:val="none" w:sz="0" w:space="0" w:color="auto"/>
      </w:divBdr>
    </w:div>
    <w:div w:id="415906162">
      <w:bodyDiv w:val="1"/>
      <w:marLeft w:val="0"/>
      <w:marRight w:val="0"/>
      <w:marTop w:val="0"/>
      <w:marBottom w:val="0"/>
      <w:divBdr>
        <w:top w:val="none" w:sz="0" w:space="0" w:color="auto"/>
        <w:left w:val="none" w:sz="0" w:space="0" w:color="auto"/>
        <w:bottom w:val="none" w:sz="0" w:space="0" w:color="auto"/>
        <w:right w:val="none" w:sz="0" w:space="0" w:color="auto"/>
      </w:divBdr>
    </w:div>
    <w:div w:id="416251092">
      <w:bodyDiv w:val="1"/>
      <w:marLeft w:val="0"/>
      <w:marRight w:val="0"/>
      <w:marTop w:val="0"/>
      <w:marBottom w:val="0"/>
      <w:divBdr>
        <w:top w:val="none" w:sz="0" w:space="0" w:color="auto"/>
        <w:left w:val="none" w:sz="0" w:space="0" w:color="auto"/>
        <w:bottom w:val="none" w:sz="0" w:space="0" w:color="auto"/>
        <w:right w:val="none" w:sz="0" w:space="0" w:color="auto"/>
      </w:divBdr>
    </w:div>
    <w:div w:id="416439752">
      <w:bodyDiv w:val="1"/>
      <w:marLeft w:val="0"/>
      <w:marRight w:val="0"/>
      <w:marTop w:val="0"/>
      <w:marBottom w:val="0"/>
      <w:divBdr>
        <w:top w:val="none" w:sz="0" w:space="0" w:color="auto"/>
        <w:left w:val="none" w:sz="0" w:space="0" w:color="auto"/>
        <w:bottom w:val="none" w:sz="0" w:space="0" w:color="auto"/>
        <w:right w:val="none" w:sz="0" w:space="0" w:color="auto"/>
      </w:divBdr>
    </w:div>
    <w:div w:id="416555558">
      <w:bodyDiv w:val="1"/>
      <w:marLeft w:val="0"/>
      <w:marRight w:val="0"/>
      <w:marTop w:val="0"/>
      <w:marBottom w:val="0"/>
      <w:divBdr>
        <w:top w:val="none" w:sz="0" w:space="0" w:color="auto"/>
        <w:left w:val="none" w:sz="0" w:space="0" w:color="auto"/>
        <w:bottom w:val="none" w:sz="0" w:space="0" w:color="auto"/>
        <w:right w:val="none" w:sz="0" w:space="0" w:color="auto"/>
      </w:divBdr>
    </w:div>
    <w:div w:id="416637165">
      <w:bodyDiv w:val="1"/>
      <w:marLeft w:val="0"/>
      <w:marRight w:val="0"/>
      <w:marTop w:val="0"/>
      <w:marBottom w:val="0"/>
      <w:divBdr>
        <w:top w:val="none" w:sz="0" w:space="0" w:color="auto"/>
        <w:left w:val="none" w:sz="0" w:space="0" w:color="auto"/>
        <w:bottom w:val="none" w:sz="0" w:space="0" w:color="auto"/>
        <w:right w:val="none" w:sz="0" w:space="0" w:color="auto"/>
      </w:divBdr>
    </w:div>
    <w:div w:id="416678942">
      <w:bodyDiv w:val="1"/>
      <w:marLeft w:val="0"/>
      <w:marRight w:val="0"/>
      <w:marTop w:val="0"/>
      <w:marBottom w:val="0"/>
      <w:divBdr>
        <w:top w:val="none" w:sz="0" w:space="0" w:color="auto"/>
        <w:left w:val="none" w:sz="0" w:space="0" w:color="auto"/>
        <w:bottom w:val="none" w:sz="0" w:space="0" w:color="auto"/>
        <w:right w:val="none" w:sz="0" w:space="0" w:color="auto"/>
      </w:divBdr>
    </w:div>
    <w:div w:id="417333855">
      <w:bodyDiv w:val="1"/>
      <w:marLeft w:val="0"/>
      <w:marRight w:val="0"/>
      <w:marTop w:val="0"/>
      <w:marBottom w:val="0"/>
      <w:divBdr>
        <w:top w:val="none" w:sz="0" w:space="0" w:color="auto"/>
        <w:left w:val="none" w:sz="0" w:space="0" w:color="auto"/>
        <w:bottom w:val="none" w:sz="0" w:space="0" w:color="auto"/>
        <w:right w:val="none" w:sz="0" w:space="0" w:color="auto"/>
      </w:divBdr>
    </w:div>
    <w:div w:id="417597659">
      <w:bodyDiv w:val="1"/>
      <w:marLeft w:val="0"/>
      <w:marRight w:val="0"/>
      <w:marTop w:val="0"/>
      <w:marBottom w:val="0"/>
      <w:divBdr>
        <w:top w:val="none" w:sz="0" w:space="0" w:color="auto"/>
        <w:left w:val="none" w:sz="0" w:space="0" w:color="auto"/>
        <w:bottom w:val="none" w:sz="0" w:space="0" w:color="auto"/>
        <w:right w:val="none" w:sz="0" w:space="0" w:color="auto"/>
      </w:divBdr>
    </w:div>
    <w:div w:id="417944274">
      <w:bodyDiv w:val="1"/>
      <w:marLeft w:val="0"/>
      <w:marRight w:val="0"/>
      <w:marTop w:val="0"/>
      <w:marBottom w:val="0"/>
      <w:divBdr>
        <w:top w:val="none" w:sz="0" w:space="0" w:color="auto"/>
        <w:left w:val="none" w:sz="0" w:space="0" w:color="auto"/>
        <w:bottom w:val="none" w:sz="0" w:space="0" w:color="auto"/>
        <w:right w:val="none" w:sz="0" w:space="0" w:color="auto"/>
      </w:divBdr>
    </w:div>
    <w:div w:id="418016366">
      <w:bodyDiv w:val="1"/>
      <w:marLeft w:val="0"/>
      <w:marRight w:val="0"/>
      <w:marTop w:val="0"/>
      <w:marBottom w:val="0"/>
      <w:divBdr>
        <w:top w:val="none" w:sz="0" w:space="0" w:color="auto"/>
        <w:left w:val="none" w:sz="0" w:space="0" w:color="auto"/>
        <w:bottom w:val="none" w:sz="0" w:space="0" w:color="auto"/>
        <w:right w:val="none" w:sz="0" w:space="0" w:color="auto"/>
      </w:divBdr>
    </w:div>
    <w:div w:id="418213850">
      <w:bodyDiv w:val="1"/>
      <w:marLeft w:val="0"/>
      <w:marRight w:val="0"/>
      <w:marTop w:val="0"/>
      <w:marBottom w:val="0"/>
      <w:divBdr>
        <w:top w:val="none" w:sz="0" w:space="0" w:color="auto"/>
        <w:left w:val="none" w:sz="0" w:space="0" w:color="auto"/>
        <w:bottom w:val="none" w:sz="0" w:space="0" w:color="auto"/>
        <w:right w:val="none" w:sz="0" w:space="0" w:color="auto"/>
      </w:divBdr>
    </w:div>
    <w:div w:id="419103054">
      <w:bodyDiv w:val="1"/>
      <w:marLeft w:val="0"/>
      <w:marRight w:val="0"/>
      <w:marTop w:val="0"/>
      <w:marBottom w:val="0"/>
      <w:divBdr>
        <w:top w:val="none" w:sz="0" w:space="0" w:color="auto"/>
        <w:left w:val="none" w:sz="0" w:space="0" w:color="auto"/>
        <w:bottom w:val="none" w:sz="0" w:space="0" w:color="auto"/>
        <w:right w:val="none" w:sz="0" w:space="0" w:color="auto"/>
      </w:divBdr>
    </w:div>
    <w:div w:id="419106699">
      <w:bodyDiv w:val="1"/>
      <w:marLeft w:val="0"/>
      <w:marRight w:val="0"/>
      <w:marTop w:val="0"/>
      <w:marBottom w:val="0"/>
      <w:divBdr>
        <w:top w:val="none" w:sz="0" w:space="0" w:color="auto"/>
        <w:left w:val="none" w:sz="0" w:space="0" w:color="auto"/>
        <w:bottom w:val="none" w:sz="0" w:space="0" w:color="auto"/>
        <w:right w:val="none" w:sz="0" w:space="0" w:color="auto"/>
      </w:divBdr>
    </w:div>
    <w:div w:id="419257282">
      <w:bodyDiv w:val="1"/>
      <w:marLeft w:val="0"/>
      <w:marRight w:val="0"/>
      <w:marTop w:val="0"/>
      <w:marBottom w:val="0"/>
      <w:divBdr>
        <w:top w:val="none" w:sz="0" w:space="0" w:color="auto"/>
        <w:left w:val="none" w:sz="0" w:space="0" w:color="auto"/>
        <w:bottom w:val="none" w:sz="0" w:space="0" w:color="auto"/>
        <w:right w:val="none" w:sz="0" w:space="0" w:color="auto"/>
      </w:divBdr>
    </w:div>
    <w:div w:id="419260729">
      <w:bodyDiv w:val="1"/>
      <w:marLeft w:val="0"/>
      <w:marRight w:val="0"/>
      <w:marTop w:val="0"/>
      <w:marBottom w:val="0"/>
      <w:divBdr>
        <w:top w:val="none" w:sz="0" w:space="0" w:color="auto"/>
        <w:left w:val="none" w:sz="0" w:space="0" w:color="auto"/>
        <w:bottom w:val="none" w:sz="0" w:space="0" w:color="auto"/>
        <w:right w:val="none" w:sz="0" w:space="0" w:color="auto"/>
      </w:divBdr>
    </w:div>
    <w:div w:id="419449692">
      <w:bodyDiv w:val="1"/>
      <w:marLeft w:val="0"/>
      <w:marRight w:val="0"/>
      <w:marTop w:val="0"/>
      <w:marBottom w:val="0"/>
      <w:divBdr>
        <w:top w:val="none" w:sz="0" w:space="0" w:color="auto"/>
        <w:left w:val="none" w:sz="0" w:space="0" w:color="auto"/>
        <w:bottom w:val="none" w:sz="0" w:space="0" w:color="auto"/>
        <w:right w:val="none" w:sz="0" w:space="0" w:color="auto"/>
      </w:divBdr>
    </w:div>
    <w:div w:id="419765026">
      <w:bodyDiv w:val="1"/>
      <w:marLeft w:val="0"/>
      <w:marRight w:val="0"/>
      <w:marTop w:val="0"/>
      <w:marBottom w:val="0"/>
      <w:divBdr>
        <w:top w:val="none" w:sz="0" w:space="0" w:color="auto"/>
        <w:left w:val="none" w:sz="0" w:space="0" w:color="auto"/>
        <w:bottom w:val="none" w:sz="0" w:space="0" w:color="auto"/>
        <w:right w:val="none" w:sz="0" w:space="0" w:color="auto"/>
      </w:divBdr>
    </w:div>
    <w:div w:id="419837310">
      <w:bodyDiv w:val="1"/>
      <w:marLeft w:val="0"/>
      <w:marRight w:val="0"/>
      <w:marTop w:val="0"/>
      <w:marBottom w:val="0"/>
      <w:divBdr>
        <w:top w:val="none" w:sz="0" w:space="0" w:color="auto"/>
        <w:left w:val="none" w:sz="0" w:space="0" w:color="auto"/>
        <w:bottom w:val="none" w:sz="0" w:space="0" w:color="auto"/>
        <w:right w:val="none" w:sz="0" w:space="0" w:color="auto"/>
      </w:divBdr>
    </w:div>
    <w:div w:id="420376669">
      <w:bodyDiv w:val="1"/>
      <w:marLeft w:val="0"/>
      <w:marRight w:val="0"/>
      <w:marTop w:val="0"/>
      <w:marBottom w:val="0"/>
      <w:divBdr>
        <w:top w:val="none" w:sz="0" w:space="0" w:color="auto"/>
        <w:left w:val="none" w:sz="0" w:space="0" w:color="auto"/>
        <w:bottom w:val="none" w:sz="0" w:space="0" w:color="auto"/>
        <w:right w:val="none" w:sz="0" w:space="0" w:color="auto"/>
      </w:divBdr>
    </w:div>
    <w:div w:id="420492878">
      <w:bodyDiv w:val="1"/>
      <w:marLeft w:val="0"/>
      <w:marRight w:val="0"/>
      <w:marTop w:val="0"/>
      <w:marBottom w:val="0"/>
      <w:divBdr>
        <w:top w:val="none" w:sz="0" w:space="0" w:color="auto"/>
        <w:left w:val="none" w:sz="0" w:space="0" w:color="auto"/>
        <w:bottom w:val="none" w:sz="0" w:space="0" w:color="auto"/>
        <w:right w:val="none" w:sz="0" w:space="0" w:color="auto"/>
      </w:divBdr>
    </w:div>
    <w:div w:id="420563258">
      <w:bodyDiv w:val="1"/>
      <w:marLeft w:val="0"/>
      <w:marRight w:val="0"/>
      <w:marTop w:val="0"/>
      <w:marBottom w:val="0"/>
      <w:divBdr>
        <w:top w:val="none" w:sz="0" w:space="0" w:color="auto"/>
        <w:left w:val="none" w:sz="0" w:space="0" w:color="auto"/>
        <w:bottom w:val="none" w:sz="0" w:space="0" w:color="auto"/>
        <w:right w:val="none" w:sz="0" w:space="0" w:color="auto"/>
      </w:divBdr>
    </w:div>
    <w:div w:id="420831037">
      <w:bodyDiv w:val="1"/>
      <w:marLeft w:val="0"/>
      <w:marRight w:val="0"/>
      <w:marTop w:val="0"/>
      <w:marBottom w:val="0"/>
      <w:divBdr>
        <w:top w:val="none" w:sz="0" w:space="0" w:color="auto"/>
        <w:left w:val="none" w:sz="0" w:space="0" w:color="auto"/>
        <w:bottom w:val="none" w:sz="0" w:space="0" w:color="auto"/>
        <w:right w:val="none" w:sz="0" w:space="0" w:color="auto"/>
      </w:divBdr>
    </w:div>
    <w:div w:id="420831711">
      <w:bodyDiv w:val="1"/>
      <w:marLeft w:val="0"/>
      <w:marRight w:val="0"/>
      <w:marTop w:val="0"/>
      <w:marBottom w:val="0"/>
      <w:divBdr>
        <w:top w:val="none" w:sz="0" w:space="0" w:color="auto"/>
        <w:left w:val="none" w:sz="0" w:space="0" w:color="auto"/>
        <w:bottom w:val="none" w:sz="0" w:space="0" w:color="auto"/>
        <w:right w:val="none" w:sz="0" w:space="0" w:color="auto"/>
      </w:divBdr>
    </w:div>
    <w:div w:id="421100107">
      <w:bodyDiv w:val="1"/>
      <w:marLeft w:val="0"/>
      <w:marRight w:val="0"/>
      <w:marTop w:val="0"/>
      <w:marBottom w:val="0"/>
      <w:divBdr>
        <w:top w:val="none" w:sz="0" w:space="0" w:color="auto"/>
        <w:left w:val="none" w:sz="0" w:space="0" w:color="auto"/>
        <w:bottom w:val="none" w:sz="0" w:space="0" w:color="auto"/>
        <w:right w:val="none" w:sz="0" w:space="0" w:color="auto"/>
      </w:divBdr>
    </w:div>
    <w:div w:id="421100748">
      <w:bodyDiv w:val="1"/>
      <w:marLeft w:val="0"/>
      <w:marRight w:val="0"/>
      <w:marTop w:val="0"/>
      <w:marBottom w:val="0"/>
      <w:divBdr>
        <w:top w:val="none" w:sz="0" w:space="0" w:color="auto"/>
        <w:left w:val="none" w:sz="0" w:space="0" w:color="auto"/>
        <w:bottom w:val="none" w:sz="0" w:space="0" w:color="auto"/>
        <w:right w:val="none" w:sz="0" w:space="0" w:color="auto"/>
      </w:divBdr>
    </w:div>
    <w:div w:id="421411703">
      <w:bodyDiv w:val="1"/>
      <w:marLeft w:val="0"/>
      <w:marRight w:val="0"/>
      <w:marTop w:val="0"/>
      <w:marBottom w:val="0"/>
      <w:divBdr>
        <w:top w:val="none" w:sz="0" w:space="0" w:color="auto"/>
        <w:left w:val="none" w:sz="0" w:space="0" w:color="auto"/>
        <w:bottom w:val="none" w:sz="0" w:space="0" w:color="auto"/>
        <w:right w:val="none" w:sz="0" w:space="0" w:color="auto"/>
      </w:divBdr>
    </w:div>
    <w:div w:id="421412653">
      <w:bodyDiv w:val="1"/>
      <w:marLeft w:val="0"/>
      <w:marRight w:val="0"/>
      <w:marTop w:val="0"/>
      <w:marBottom w:val="0"/>
      <w:divBdr>
        <w:top w:val="none" w:sz="0" w:space="0" w:color="auto"/>
        <w:left w:val="none" w:sz="0" w:space="0" w:color="auto"/>
        <w:bottom w:val="none" w:sz="0" w:space="0" w:color="auto"/>
        <w:right w:val="none" w:sz="0" w:space="0" w:color="auto"/>
      </w:divBdr>
    </w:div>
    <w:div w:id="421490347">
      <w:bodyDiv w:val="1"/>
      <w:marLeft w:val="0"/>
      <w:marRight w:val="0"/>
      <w:marTop w:val="0"/>
      <w:marBottom w:val="0"/>
      <w:divBdr>
        <w:top w:val="none" w:sz="0" w:space="0" w:color="auto"/>
        <w:left w:val="none" w:sz="0" w:space="0" w:color="auto"/>
        <w:bottom w:val="none" w:sz="0" w:space="0" w:color="auto"/>
        <w:right w:val="none" w:sz="0" w:space="0" w:color="auto"/>
      </w:divBdr>
    </w:div>
    <w:div w:id="421990511">
      <w:bodyDiv w:val="1"/>
      <w:marLeft w:val="0"/>
      <w:marRight w:val="0"/>
      <w:marTop w:val="0"/>
      <w:marBottom w:val="0"/>
      <w:divBdr>
        <w:top w:val="none" w:sz="0" w:space="0" w:color="auto"/>
        <w:left w:val="none" w:sz="0" w:space="0" w:color="auto"/>
        <w:bottom w:val="none" w:sz="0" w:space="0" w:color="auto"/>
        <w:right w:val="none" w:sz="0" w:space="0" w:color="auto"/>
      </w:divBdr>
    </w:div>
    <w:div w:id="422069748">
      <w:bodyDiv w:val="1"/>
      <w:marLeft w:val="0"/>
      <w:marRight w:val="0"/>
      <w:marTop w:val="0"/>
      <w:marBottom w:val="0"/>
      <w:divBdr>
        <w:top w:val="none" w:sz="0" w:space="0" w:color="auto"/>
        <w:left w:val="none" w:sz="0" w:space="0" w:color="auto"/>
        <w:bottom w:val="none" w:sz="0" w:space="0" w:color="auto"/>
        <w:right w:val="none" w:sz="0" w:space="0" w:color="auto"/>
      </w:divBdr>
    </w:div>
    <w:div w:id="422454712">
      <w:bodyDiv w:val="1"/>
      <w:marLeft w:val="0"/>
      <w:marRight w:val="0"/>
      <w:marTop w:val="0"/>
      <w:marBottom w:val="0"/>
      <w:divBdr>
        <w:top w:val="none" w:sz="0" w:space="0" w:color="auto"/>
        <w:left w:val="none" w:sz="0" w:space="0" w:color="auto"/>
        <w:bottom w:val="none" w:sz="0" w:space="0" w:color="auto"/>
        <w:right w:val="none" w:sz="0" w:space="0" w:color="auto"/>
      </w:divBdr>
    </w:div>
    <w:div w:id="422991377">
      <w:bodyDiv w:val="1"/>
      <w:marLeft w:val="0"/>
      <w:marRight w:val="0"/>
      <w:marTop w:val="0"/>
      <w:marBottom w:val="0"/>
      <w:divBdr>
        <w:top w:val="none" w:sz="0" w:space="0" w:color="auto"/>
        <w:left w:val="none" w:sz="0" w:space="0" w:color="auto"/>
        <w:bottom w:val="none" w:sz="0" w:space="0" w:color="auto"/>
        <w:right w:val="none" w:sz="0" w:space="0" w:color="auto"/>
      </w:divBdr>
    </w:div>
    <w:div w:id="423111818">
      <w:bodyDiv w:val="1"/>
      <w:marLeft w:val="0"/>
      <w:marRight w:val="0"/>
      <w:marTop w:val="0"/>
      <w:marBottom w:val="0"/>
      <w:divBdr>
        <w:top w:val="none" w:sz="0" w:space="0" w:color="auto"/>
        <w:left w:val="none" w:sz="0" w:space="0" w:color="auto"/>
        <w:bottom w:val="none" w:sz="0" w:space="0" w:color="auto"/>
        <w:right w:val="none" w:sz="0" w:space="0" w:color="auto"/>
      </w:divBdr>
    </w:div>
    <w:div w:id="423112558">
      <w:bodyDiv w:val="1"/>
      <w:marLeft w:val="0"/>
      <w:marRight w:val="0"/>
      <w:marTop w:val="0"/>
      <w:marBottom w:val="0"/>
      <w:divBdr>
        <w:top w:val="none" w:sz="0" w:space="0" w:color="auto"/>
        <w:left w:val="none" w:sz="0" w:space="0" w:color="auto"/>
        <w:bottom w:val="none" w:sz="0" w:space="0" w:color="auto"/>
        <w:right w:val="none" w:sz="0" w:space="0" w:color="auto"/>
      </w:divBdr>
    </w:div>
    <w:div w:id="423305713">
      <w:bodyDiv w:val="1"/>
      <w:marLeft w:val="0"/>
      <w:marRight w:val="0"/>
      <w:marTop w:val="0"/>
      <w:marBottom w:val="0"/>
      <w:divBdr>
        <w:top w:val="none" w:sz="0" w:space="0" w:color="auto"/>
        <w:left w:val="none" w:sz="0" w:space="0" w:color="auto"/>
        <w:bottom w:val="none" w:sz="0" w:space="0" w:color="auto"/>
        <w:right w:val="none" w:sz="0" w:space="0" w:color="auto"/>
      </w:divBdr>
    </w:div>
    <w:div w:id="424153860">
      <w:bodyDiv w:val="1"/>
      <w:marLeft w:val="0"/>
      <w:marRight w:val="0"/>
      <w:marTop w:val="0"/>
      <w:marBottom w:val="0"/>
      <w:divBdr>
        <w:top w:val="none" w:sz="0" w:space="0" w:color="auto"/>
        <w:left w:val="none" w:sz="0" w:space="0" w:color="auto"/>
        <w:bottom w:val="none" w:sz="0" w:space="0" w:color="auto"/>
        <w:right w:val="none" w:sz="0" w:space="0" w:color="auto"/>
      </w:divBdr>
    </w:div>
    <w:div w:id="424158276">
      <w:bodyDiv w:val="1"/>
      <w:marLeft w:val="0"/>
      <w:marRight w:val="0"/>
      <w:marTop w:val="0"/>
      <w:marBottom w:val="0"/>
      <w:divBdr>
        <w:top w:val="none" w:sz="0" w:space="0" w:color="auto"/>
        <w:left w:val="none" w:sz="0" w:space="0" w:color="auto"/>
        <w:bottom w:val="none" w:sz="0" w:space="0" w:color="auto"/>
        <w:right w:val="none" w:sz="0" w:space="0" w:color="auto"/>
      </w:divBdr>
    </w:div>
    <w:div w:id="425077513">
      <w:bodyDiv w:val="1"/>
      <w:marLeft w:val="0"/>
      <w:marRight w:val="0"/>
      <w:marTop w:val="0"/>
      <w:marBottom w:val="0"/>
      <w:divBdr>
        <w:top w:val="none" w:sz="0" w:space="0" w:color="auto"/>
        <w:left w:val="none" w:sz="0" w:space="0" w:color="auto"/>
        <w:bottom w:val="none" w:sz="0" w:space="0" w:color="auto"/>
        <w:right w:val="none" w:sz="0" w:space="0" w:color="auto"/>
      </w:divBdr>
    </w:div>
    <w:div w:id="425153276">
      <w:bodyDiv w:val="1"/>
      <w:marLeft w:val="0"/>
      <w:marRight w:val="0"/>
      <w:marTop w:val="0"/>
      <w:marBottom w:val="0"/>
      <w:divBdr>
        <w:top w:val="none" w:sz="0" w:space="0" w:color="auto"/>
        <w:left w:val="none" w:sz="0" w:space="0" w:color="auto"/>
        <w:bottom w:val="none" w:sz="0" w:space="0" w:color="auto"/>
        <w:right w:val="none" w:sz="0" w:space="0" w:color="auto"/>
      </w:divBdr>
    </w:div>
    <w:div w:id="425225747">
      <w:bodyDiv w:val="1"/>
      <w:marLeft w:val="0"/>
      <w:marRight w:val="0"/>
      <w:marTop w:val="0"/>
      <w:marBottom w:val="0"/>
      <w:divBdr>
        <w:top w:val="none" w:sz="0" w:space="0" w:color="auto"/>
        <w:left w:val="none" w:sz="0" w:space="0" w:color="auto"/>
        <w:bottom w:val="none" w:sz="0" w:space="0" w:color="auto"/>
        <w:right w:val="none" w:sz="0" w:space="0" w:color="auto"/>
      </w:divBdr>
    </w:div>
    <w:div w:id="425270101">
      <w:bodyDiv w:val="1"/>
      <w:marLeft w:val="0"/>
      <w:marRight w:val="0"/>
      <w:marTop w:val="0"/>
      <w:marBottom w:val="0"/>
      <w:divBdr>
        <w:top w:val="none" w:sz="0" w:space="0" w:color="auto"/>
        <w:left w:val="none" w:sz="0" w:space="0" w:color="auto"/>
        <w:bottom w:val="none" w:sz="0" w:space="0" w:color="auto"/>
        <w:right w:val="none" w:sz="0" w:space="0" w:color="auto"/>
      </w:divBdr>
    </w:div>
    <w:div w:id="425687650">
      <w:bodyDiv w:val="1"/>
      <w:marLeft w:val="0"/>
      <w:marRight w:val="0"/>
      <w:marTop w:val="0"/>
      <w:marBottom w:val="0"/>
      <w:divBdr>
        <w:top w:val="none" w:sz="0" w:space="0" w:color="auto"/>
        <w:left w:val="none" w:sz="0" w:space="0" w:color="auto"/>
        <w:bottom w:val="none" w:sz="0" w:space="0" w:color="auto"/>
        <w:right w:val="none" w:sz="0" w:space="0" w:color="auto"/>
      </w:divBdr>
    </w:div>
    <w:div w:id="425812383">
      <w:bodyDiv w:val="1"/>
      <w:marLeft w:val="0"/>
      <w:marRight w:val="0"/>
      <w:marTop w:val="0"/>
      <w:marBottom w:val="0"/>
      <w:divBdr>
        <w:top w:val="none" w:sz="0" w:space="0" w:color="auto"/>
        <w:left w:val="none" w:sz="0" w:space="0" w:color="auto"/>
        <w:bottom w:val="none" w:sz="0" w:space="0" w:color="auto"/>
        <w:right w:val="none" w:sz="0" w:space="0" w:color="auto"/>
      </w:divBdr>
    </w:div>
    <w:div w:id="426535310">
      <w:bodyDiv w:val="1"/>
      <w:marLeft w:val="0"/>
      <w:marRight w:val="0"/>
      <w:marTop w:val="0"/>
      <w:marBottom w:val="0"/>
      <w:divBdr>
        <w:top w:val="none" w:sz="0" w:space="0" w:color="auto"/>
        <w:left w:val="none" w:sz="0" w:space="0" w:color="auto"/>
        <w:bottom w:val="none" w:sz="0" w:space="0" w:color="auto"/>
        <w:right w:val="none" w:sz="0" w:space="0" w:color="auto"/>
      </w:divBdr>
    </w:div>
    <w:div w:id="427241201">
      <w:bodyDiv w:val="1"/>
      <w:marLeft w:val="0"/>
      <w:marRight w:val="0"/>
      <w:marTop w:val="0"/>
      <w:marBottom w:val="0"/>
      <w:divBdr>
        <w:top w:val="none" w:sz="0" w:space="0" w:color="auto"/>
        <w:left w:val="none" w:sz="0" w:space="0" w:color="auto"/>
        <w:bottom w:val="none" w:sz="0" w:space="0" w:color="auto"/>
        <w:right w:val="none" w:sz="0" w:space="0" w:color="auto"/>
      </w:divBdr>
    </w:div>
    <w:div w:id="427501172">
      <w:bodyDiv w:val="1"/>
      <w:marLeft w:val="0"/>
      <w:marRight w:val="0"/>
      <w:marTop w:val="0"/>
      <w:marBottom w:val="0"/>
      <w:divBdr>
        <w:top w:val="none" w:sz="0" w:space="0" w:color="auto"/>
        <w:left w:val="none" w:sz="0" w:space="0" w:color="auto"/>
        <w:bottom w:val="none" w:sz="0" w:space="0" w:color="auto"/>
        <w:right w:val="none" w:sz="0" w:space="0" w:color="auto"/>
      </w:divBdr>
    </w:div>
    <w:div w:id="427846303">
      <w:bodyDiv w:val="1"/>
      <w:marLeft w:val="0"/>
      <w:marRight w:val="0"/>
      <w:marTop w:val="0"/>
      <w:marBottom w:val="0"/>
      <w:divBdr>
        <w:top w:val="none" w:sz="0" w:space="0" w:color="auto"/>
        <w:left w:val="none" w:sz="0" w:space="0" w:color="auto"/>
        <w:bottom w:val="none" w:sz="0" w:space="0" w:color="auto"/>
        <w:right w:val="none" w:sz="0" w:space="0" w:color="auto"/>
      </w:divBdr>
    </w:div>
    <w:div w:id="428163263">
      <w:bodyDiv w:val="1"/>
      <w:marLeft w:val="0"/>
      <w:marRight w:val="0"/>
      <w:marTop w:val="0"/>
      <w:marBottom w:val="0"/>
      <w:divBdr>
        <w:top w:val="none" w:sz="0" w:space="0" w:color="auto"/>
        <w:left w:val="none" w:sz="0" w:space="0" w:color="auto"/>
        <w:bottom w:val="none" w:sz="0" w:space="0" w:color="auto"/>
        <w:right w:val="none" w:sz="0" w:space="0" w:color="auto"/>
      </w:divBdr>
    </w:div>
    <w:div w:id="428163391">
      <w:bodyDiv w:val="1"/>
      <w:marLeft w:val="0"/>
      <w:marRight w:val="0"/>
      <w:marTop w:val="0"/>
      <w:marBottom w:val="0"/>
      <w:divBdr>
        <w:top w:val="none" w:sz="0" w:space="0" w:color="auto"/>
        <w:left w:val="none" w:sz="0" w:space="0" w:color="auto"/>
        <w:bottom w:val="none" w:sz="0" w:space="0" w:color="auto"/>
        <w:right w:val="none" w:sz="0" w:space="0" w:color="auto"/>
      </w:divBdr>
    </w:div>
    <w:div w:id="428501097">
      <w:bodyDiv w:val="1"/>
      <w:marLeft w:val="0"/>
      <w:marRight w:val="0"/>
      <w:marTop w:val="0"/>
      <w:marBottom w:val="0"/>
      <w:divBdr>
        <w:top w:val="none" w:sz="0" w:space="0" w:color="auto"/>
        <w:left w:val="none" w:sz="0" w:space="0" w:color="auto"/>
        <w:bottom w:val="none" w:sz="0" w:space="0" w:color="auto"/>
        <w:right w:val="none" w:sz="0" w:space="0" w:color="auto"/>
      </w:divBdr>
    </w:div>
    <w:div w:id="428937640">
      <w:bodyDiv w:val="1"/>
      <w:marLeft w:val="0"/>
      <w:marRight w:val="0"/>
      <w:marTop w:val="0"/>
      <w:marBottom w:val="0"/>
      <w:divBdr>
        <w:top w:val="none" w:sz="0" w:space="0" w:color="auto"/>
        <w:left w:val="none" w:sz="0" w:space="0" w:color="auto"/>
        <w:bottom w:val="none" w:sz="0" w:space="0" w:color="auto"/>
        <w:right w:val="none" w:sz="0" w:space="0" w:color="auto"/>
      </w:divBdr>
    </w:div>
    <w:div w:id="429087385">
      <w:bodyDiv w:val="1"/>
      <w:marLeft w:val="0"/>
      <w:marRight w:val="0"/>
      <w:marTop w:val="0"/>
      <w:marBottom w:val="0"/>
      <w:divBdr>
        <w:top w:val="none" w:sz="0" w:space="0" w:color="auto"/>
        <w:left w:val="none" w:sz="0" w:space="0" w:color="auto"/>
        <w:bottom w:val="none" w:sz="0" w:space="0" w:color="auto"/>
        <w:right w:val="none" w:sz="0" w:space="0" w:color="auto"/>
      </w:divBdr>
    </w:div>
    <w:div w:id="429620654">
      <w:bodyDiv w:val="1"/>
      <w:marLeft w:val="0"/>
      <w:marRight w:val="0"/>
      <w:marTop w:val="0"/>
      <w:marBottom w:val="0"/>
      <w:divBdr>
        <w:top w:val="none" w:sz="0" w:space="0" w:color="auto"/>
        <w:left w:val="none" w:sz="0" w:space="0" w:color="auto"/>
        <w:bottom w:val="none" w:sz="0" w:space="0" w:color="auto"/>
        <w:right w:val="none" w:sz="0" w:space="0" w:color="auto"/>
      </w:divBdr>
    </w:div>
    <w:div w:id="429816638">
      <w:bodyDiv w:val="1"/>
      <w:marLeft w:val="0"/>
      <w:marRight w:val="0"/>
      <w:marTop w:val="0"/>
      <w:marBottom w:val="0"/>
      <w:divBdr>
        <w:top w:val="none" w:sz="0" w:space="0" w:color="auto"/>
        <w:left w:val="none" w:sz="0" w:space="0" w:color="auto"/>
        <w:bottom w:val="none" w:sz="0" w:space="0" w:color="auto"/>
        <w:right w:val="none" w:sz="0" w:space="0" w:color="auto"/>
      </w:divBdr>
    </w:div>
    <w:div w:id="430005035">
      <w:bodyDiv w:val="1"/>
      <w:marLeft w:val="0"/>
      <w:marRight w:val="0"/>
      <w:marTop w:val="0"/>
      <w:marBottom w:val="0"/>
      <w:divBdr>
        <w:top w:val="none" w:sz="0" w:space="0" w:color="auto"/>
        <w:left w:val="none" w:sz="0" w:space="0" w:color="auto"/>
        <w:bottom w:val="none" w:sz="0" w:space="0" w:color="auto"/>
        <w:right w:val="none" w:sz="0" w:space="0" w:color="auto"/>
      </w:divBdr>
    </w:div>
    <w:div w:id="430011482">
      <w:bodyDiv w:val="1"/>
      <w:marLeft w:val="0"/>
      <w:marRight w:val="0"/>
      <w:marTop w:val="0"/>
      <w:marBottom w:val="0"/>
      <w:divBdr>
        <w:top w:val="none" w:sz="0" w:space="0" w:color="auto"/>
        <w:left w:val="none" w:sz="0" w:space="0" w:color="auto"/>
        <w:bottom w:val="none" w:sz="0" w:space="0" w:color="auto"/>
        <w:right w:val="none" w:sz="0" w:space="0" w:color="auto"/>
      </w:divBdr>
    </w:div>
    <w:div w:id="430929769">
      <w:bodyDiv w:val="1"/>
      <w:marLeft w:val="0"/>
      <w:marRight w:val="0"/>
      <w:marTop w:val="0"/>
      <w:marBottom w:val="0"/>
      <w:divBdr>
        <w:top w:val="none" w:sz="0" w:space="0" w:color="auto"/>
        <w:left w:val="none" w:sz="0" w:space="0" w:color="auto"/>
        <w:bottom w:val="none" w:sz="0" w:space="0" w:color="auto"/>
        <w:right w:val="none" w:sz="0" w:space="0" w:color="auto"/>
      </w:divBdr>
    </w:div>
    <w:div w:id="431164437">
      <w:bodyDiv w:val="1"/>
      <w:marLeft w:val="0"/>
      <w:marRight w:val="0"/>
      <w:marTop w:val="0"/>
      <w:marBottom w:val="0"/>
      <w:divBdr>
        <w:top w:val="none" w:sz="0" w:space="0" w:color="auto"/>
        <w:left w:val="none" w:sz="0" w:space="0" w:color="auto"/>
        <w:bottom w:val="none" w:sz="0" w:space="0" w:color="auto"/>
        <w:right w:val="none" w:sz="0" w:space="0" w:color="auto"/>
      </w:divBdr>
    </w:div>
    <w:div w:id="431317482">
      <w:bodyDiv w:val="1"/>
      <w:marLeft w:val="0"/>
      <w:marRight w:val="0"/>
      <w:marTop w:val="0"/>
      <w:marBottom w:val="0"/>
      <w:divBdr>
        <w:top w:val="none" w:sz="0" w:space="0" w:color="auto"/>
        <w:left w:val="none" w:sz="0" w:space="0" w:color="auto"/>
        <w:bottom w:val="none" w:sz="0" w:space="0" w:color="auto"/>
        <w:right w:val="none" w:sz="0" w:space="0" w:color="auto"/>
      </w:divBdr>
    </w:div>
    <w:div w:id="431433369">
      <w:bodyDiv w:val="1"/>
      <w:marLeft w:val="0"/>
      <w:marRight w:val="0"/>
      <w:marTop w:val="0"/>
      <w:marBottom w:val="0"/>
      <w:divBdr>
        <w:top w:val="none" w:sz="0" w:space="0" w:color="auto"/>
        <w:left w:val="none" w:sz="0" w:space="0" w:color="auto"/>
        <w:bottom w:val="none" w:sz="0" w:space="0" w:color="auto"/>
        <w:right w:val="none" w:sz="0" w:space="0" w:color="auto"/>
      </w:divBdr>
    </w:div>
    <w:div w:id="431437676">
      <w:bodyDiv w:val="1"/>
      <w:marLeft w:val="0"/>
      <w:marRight w:val="0"/>
      <w:marTop w:val="0"/>
      <w:marBottom w:val="0"/>
      <w:divBdr>
        <w:top w:val="none" w:sz="0" w:space="0" w:color="auto"/>
        <w:left w:val="none" w:sz="0" w:space="0" w:color="auto"/>
        <w:bottom w:val="none" w:sz="0" w:space="0" w:color="auto"/>
        <w:right w:val="none" w:sz="0" w:space="0" w:color="auto"/>
      </w:divBdr>
    </w:div>
    <w:div w:id="431439322">
      <w:bodyDiv w:val="1"/>
      <w:marLeft w:val="0"/>
      <w:marRight w:val="0"/>
      <w:marTop w:val="0"/>
      <w:marBottom w:val="0"/>
      <w:divBdr>
        <w:top w:val="none" w:sz="0" w:space="0" w:color="auto"/>
        <w:left w:val="none" w:sz="0" w:space="0" w:color="auto"/>
        <w:bottom w:val="none" w:sz="0" w:space="0" w:color="auto"/>
        <w:right w:val="none" w:sz="0" w:space="0" w:color="auto"/>
      </w:divBdr>
    </w:div>
    <w:div w:id="431820621">
      <w:bodyDiv w:val="1"/>
      <w:marLeft w:val="0"/>
      <w:marRight w:val="0"/>
      <w:marTop w:val="0"/>
      <w:marBottom w:val="0"/>
      <w:divBdr>
        <w:top w:val="none" w:sz="0" w:space="0" w:color="auto"/>
        <w:left w:val="none" w:sz="0" w:space="0" w:color="auto"/>
        <w:bottom w:val="none" w:sz="0" w:space="0" w:color="auto"/>
        <w:right w:val="none" w:sz="0" w:space="0" w:color="auto"/>
      </w:divBdr>
    </w:div>
    <w:div w:id="432482921">
      <w:bodyDiv w:val="1"/>
      <w:marLeft w:val="0"/>
      <w:marRight w:val="0"/>
      <w:marTop w:val="0"/>
      <w:marBottom w:val="0"/>
      <w:divBdr>
        <w:top w:val="none" w:sz="0" w:space="0" w:color="auto"/>
        <w:left w:val="none" w:sz="0" w:space="0" w:color="auto"/>
        <w:bottom w:val="none" w:sz="0" w:space="0" w:color="auto"/>
        <w:right w:val="none" w:sz="0" w:space="0" w:color="auto"/>
      </w:divBdr>
    </w:div>
    <w:div w:id="432867911">
      <w:bodyDiv w:val="1"/>
      <w:marLeft w:val="0"/>
      <w:marRight w:val="0"/>
      <w:marTop w:val="0"/>
      <w:marBottom w:val="0"/>
      <w:divBdr>
        <w:top w:val="none" w:sz="0" w:space="0" w:color="auto"/>
        <w:left w:val="none" w:sz="0" w:space="0" w:color="auto"/>
        <w:bottom w:val="none" w:sz="0" w:space="0" w:color="auto"/>
        <w:right w:val="none" w:sz="0" w:space="0" w:color="auto"/>
      </w:divBdr>
    </w:div>
    <w:div w:id="433399259">
      <w:bodyDiv w:val="1"/>
      <w:marLeft w:val="0"/>
      <w:marRight w:val="0"/>
      <w:marTop w:val="0"/>
      <w:marBottom w:val="0"/>
      <w:divBdr>
        <w:top w:val="none" w:sz="0" w:space="0" w:color="auto"/>
        <w:left w:val="none" w:sz="0" w:space="0" w:color="auto"/>
        <w:bottom w:val="none" w:sz="0" w:space="0" w:color="auto"/>
        <w:right w:val="none" w:sz="0" w:space="0" w:color="auto"/>
      </w:divBdr>
    </w:div>
    <w:div w:id="433593168">
      <w:bodyDiv w:val="1"/>
      <w:marLeft w:val="0"/>
      <w:marRight w:val="0"/>
      <w:marTop w:val="0"/>
      <w:marBottom w:val="0"/>
      <w:divBdr>
        <w:top w:val="none" w:sz="0" w:space="0" w:color="auto"/>
        <w:left w:val="none" w:sz="0" w:space="0" w:color="auto"/>
        <w:bottom w:val="none" w:sz="0" w:space="0" w:color="auto"/>
        <w:right w:val="none" w:sz="0" w:space="0" w:color="auto"/>
      </w:divBdr>
    </w:div>
    <w:div w:id="433980948">
      <w:bodyDiv w:val="1"/>
      <w:marLeft w:val="0"/>
      <w:marRight w:val="0"/>
      <w:marTop w:val="0"/>
      <w:marBottom w:val="0"/>
      <w:divBdr>
        <w:top w:val="none" w:sz="0" w:space="0" w:color="auto"/>
        <w:left w:val="none" w:sz="0" w:space="0" w:color="auto"/>
        <w:bottom w:val="none" w:sz="0" w:space="0" w:color="auto"/>
        <w:right w:val="none" w:sz="0" w:space="0" w:color="auto"/>
      </w:divBdr>
    </w:div>
    <w:div w:id="433984212">
      <w:bodyDiv w:val="1"/>
      <w:marLeft w:val="0"/>
      <w:marRight w:val="0"/>
      <w:marTop w:val="0"/>
      <w:marBottom w:val="0"/>
      <w:divBdr>
        <w:top w:val="none" w:sz="0" w:space="0" w:color="auto"/>
        <w:left w:val="none" w:sz="0" w:space="0" w:color="auto"/>
        <w:bottom w:val="none" w:sz="0" w:space="0" w:color="auto"/>
        <w:right w:val="none" w:sz="0" w:space="0" w:color="auto"/>
      </w:divBdr>
    </w:div>
    <w:div w:id="434330830">
      <w:bodyDiv w:val="1"/>
      <w:marLeft w:val="0"/>
      <w:marRight w:val="0"/>
      <w:marTop w:val="0"/>
      <w:marBottom w:val="0"/>
      <w:divBdr>
        <w:top w:val="none" w:sz="0" w:space="0" w:color="auto"/>
        <w:left w:val="none" w:sz="0" w:space="0" w:color="auto"/>
        <w:bottom w:val="none" w:sz="0" w:space="0" w:color="auto"/>
        <w:right w:val="none" w:sz="0" w:space="0" w:color="auto"/>
      </w:divBdr>
    </w:div>
    <w:div w:id="434525369">
      <w:bodyDiv w:val="1"/>
      <w:marLeft w:val="0"/>
      <w:marRight w:val="0"/>
      <w:marTop w:val="0"/>
      <w:marBottom w:val="0"/>
      <w:divBdr>
        <w:top w:val="none" w:sz="0" w:space="0" w:color="auto"/>
        <w:left w:val="none" w:sz="0" w:space="0" w:color="auto"/>
        <w:bottom w:val="none" w:sz="0" w:space="0" w:color="auto"/>
        <w:right w:val="none" w:sz="0" w:space="0" w:color="auto"/>
      </w:divBdr>
    </w:div>
    <w:div w:id="434863158">
      <w:bodyDiv w:val="1"/>
      <w:marLeft w:val="0"/>
      <w:marRight w:val="0"/>
      <w:marTop w:val="0"/>
      <w:marBottom w:val="0"/>
      <w:divBdr>
        <w:top w:val="none" w:sz="0" w:space="0" w:color="auto"/>
        <w:left w:val="none" w:sz="0" w:space="0" w:color="auto"/>
        <w:bottom w:val="none" w:sz="0" w:space="0" w:color="auto"/>
        <w:right w:val="none" w:sz="0" w:space="0" w:color="auto"/>
      </w:divBdr>
    </w:div>
    <w:div w:id="434978697">
      <w:bodyDiv w:val="1"/>
      <w:marLeft w:val="0"/>
      <w:marRight w:val="0"/>
      <w:marTop w:val="0"/>
      <w:marBottom w:val="0"/>
      <w:divBdr>
        <w:top w:val="none" w:sz="0" w:space="0" w:color="auto"/>
        <w:left w:val="none" w:sz="0" w:space="0" w:color="auto"/>
        <w:bottom w:val="none" w:sz="0" w:space="0" w:color="auto"/>
        <w:right w:val="none" w:sz="0" w:space="0" w:color="auto"/>
      </w:divBdr>
    </w:div>
    <w:div w:id="435057310">
      <w:bodyDiv w:val="1"/>
      <w:marLeft w:val="0"/>
      <w:marRight w:val="0"/>
      <w:marTop w:val="0"/>
      <w:marBottom w:val="0"/>
      <w:divBdr>
        <w:top w:val="none" w:sz="0" w:space="0" w:color="auto"/>
        <w:left w:val="none" w:sz="0" w:space="0" w:color="auto"/>
        <w:bottom w:val="none" w:sz="0" w:space="0" w:color="auto"/>
        <w:right w:val="none" w:sz="0" w:space="0" w:color="auto"/>
      </w:divBdr>
    </w:div>
    <w:div w:id="435098466">
      <w:bodyDiv w:val="1"/>
      <w:marLeft w:val="0"/>
      <w:marRight w:val="0"/>
      <w:marTop w:val="0"/>
      <w:marBottom w:val="0"/>
      <w:divBdr>
        <w:top w:val="none" w:sz="0" w:space="0" w:color="auto"/>
        <w:left w:val="none" w:sz="0" w:space="0" w:color="auto"/>
        <w:bottom w:val="none" w:sz="0" w:space="0" w:color="auto"/>
        <w:right w:val="none" w:sz="0" w:space="0" w:color="auto"/>
      </w:divBdr>
    </w:div>
    <w:div w:id="435173530">
      <w:bodyDiv w:val="1"/>
      <w:marLeft w:val="0"/>
      <w:marRight w:val="0"/>
      <w:marTop w:val="0"/>
      <w:marBottom w:val="0"/>
      <w:divBdr>
        <w:top w:val="none" w:sz="0" w:space="0" w:color="auto"/>
        <w:left w:val="none" w:sz="0" w:space="0" w:color="auto"/>
        <w:bottom w:val="none" w:sz="0" w:space="0" w:color="auto"/>
        <w:right w:val="none" w:sz="0" w:space="0" w:color="auto"/>
      </w:divBdr>
    </w:div>
    <w:div w:id="435254491">
      <w:bodyDiv w:val="1"/>
      <w:marLeft w:val="0"/>
      <w:marRight w:val="0"/>
      <w:marTop w:val="0"/>
      <w:marBottom w:val="0"/>
      <w:divBdr>
        <w:top w:val="none" w:sz="0" w:space="0" w:color="auto"/>
        <w:left w:val="none" w:sz="0" w:space="0" w:color="auto"/>
        <w:bottom w:val="none" w:sz="0" w:space="0" w:color="auto"/>
        <w:right w:val="none" w:sz="0" w:space="0" w:color="auto"/>
      </w:divBdr>
    </w:div>
    <w:div w:id="435829793">
      <w:bodyDiv w:val="1"/>
      <w:marLeft w:val="0"/>
      <w:marRight w:val="0"/>
      <w:marTop w:val="0"/>
      <w:marBottom w:val="0"/>
      <w:divBdr>
        <w:top w:val="none" w:sz="0" w:space="0" w:color="auto"/>
        <w:left w:val="none" w:sz="0" w:space="0" w:color="auto"/>
        <w:bottom w:val="none" w:sz="0" w:space="0" w:color="auto"/>
        <w:right w:val="none" w:sz="0" w:space="0" w:color="auto"/>
      </w:divBdr>
    </w:div>
    <w:div w:id="435949694">
      <w:bodyDiv w:val="1"/>
      <w:marLeft w:val="0"/>
      <w:marRight w:val="0"/>
      <w:marTop w:val="0"/>
      <w:marBottom w:val="0"/>
      <w:divBdr>
        <w:top w:val="none" w:sz="0" w:space="0" w:color="auto"/>
        <w:left w:val="none" w:sz="0" w:space="0" w:color="auto"/>
        <w:bottom w:val="none" w:sz="0" w:space="0" w:color="auto"/>
        <w:right w:val="none" w:sz="0" w:space="0" w:color="auto"/>
      </w:divBdr>
    </w:div>
    <w:div w:id="435953159">
      <w:bodyDiv w:val="1"/>
      <w:marLeft w:val="0"/>
      <w:marRight w:val="0"/>
      <w:marTop w:val="0"/>
      <w:marBottom w:val="0"/>
      <w:divBdr>
        <w:top w:val="none" w:sz="0" w:space="0" w:color="auto"/>
        <w:left w:val="none" w:sz="0" w:space="0" w:color="auto"/>
        <w:bottom w:val="none" w:sz="0" w:space="0" w:color="auto"/>
        <w:right w:val="none" w:sz="0" w:space="0" w:color="auto"/>
      </w:divBdr>
    </w:div>
    <w:div w:id="436221766">
      <w:bodyDiv w:val="1"/>
      <w:marLeft w:val="0"/>
      <w:marRight w:val="0"/>
      <w:marTop w:val="0"/>
      <w:marBottom w:val="0"/>
      <w:divBdr>
        <w:top w:val="none" w:sz="0" w:space="0" w:color="auto"/>
        <w:left w:val="none" w:sz="0" w:space="0" w:color="auto"/>
        <w:bottom w:val="none" w:sz="0" w:space="0" w:color="auto"/>
        <w:right w:val="none" w:sz="0" w:space="0" w:color="auto"/>
      </w:divBdr>
    </w:div>
    <w:div w:id="436296045">
      <w:bodyDiv w:val="1"/>
      <w:marLeft w:val="0"/>
      <w:marRight w:val="0"/>
      <w:marTop w:val="0"/>
      <w:marBottom w:val="0"/>
      <w:divBdr>
        <w:top w:val="none" w:sz="0" w:space="0" w:color="auto"/>
        <w:left w:val="none" w:sz="0" w:space="0" w:color="auto"/>
        <w:bottom w:val="none" w:sz="0" w:space="0" w:color="auto"/>
        <w:right w:val="none" w:sz="0" w:space="0" w:color="auto"/>
      </w:divBdr>
    </w:div>
    <w:div w:id="436369762">
      <w:bodyDiv w:val="1"/>
      <w:marLeft w:val="0"/>
      <w:marRight w:val="0"/>
      <w:marTop w:val="0"/>
      <w:marBottom w:val="0"/>
      <w:divBdr>
        <w:top w:val="none" w:sz="0" w:space="0" w:color="auto"/>
        <w:left w:val="none" w:sz="0" w:space="0" w:color="auto"/>
        <w:bottom w:val="none" w:sz="0" w:space="0" w:color="auto"/>
        <w:right w:val="none" w:sz="0" w:space="0" w:color="auto"/>
      </w:divBdr>
    </w:div>
    <w:div w:id="437721714">
      <w:bodyDiv w:val="1"/>
      <w:marLeft w:val="0"/>
      <w:marRight w:val="0"/>
      <w:marTop w:val="0"/>
      <w:marBottom w:val="0"/>
      <w:divBdr>
        <w:top w:val="none" w:sz="0" w:space="0" w:color="auto"/>
        <w:left w:val="none" w:sz="0" w:space="0" w:color="auto"/>
        <w:bottom w:val="none" w:sz="0" w:space="0" w:color="auto"/>
        <w:right w:val="none" w:sz="0" w:space="0" w:color="auto"/>
      </w:divBdr>
    </w:div>
    <w:div w:id="437872991">
      <w:bodyDiv w:val="1"/>
      <w:marLeft w:val="0"/>
      <w:marRight w:val="0"/>
      <w:marTop w:val="0"/>
      <w:marBottom w:val="0"/>
      <w:divBdr>
        <w:top w:val="none" w:sz="0" w:space="0" w:color="auto"/>
        <w:left w:val="none" w:sz="0" w:space="0" w:color="auto"/>
        <w:bottom w:val="none" w:sz="0" w:space="0" w:color="auto"/>
        <w:right w:val="none" w:sz="0" w:space="0" w:color="auto"/>
      </w:divBdr>
    </w:div>
    <w:div w:id="437873513">
      <w:bodyDiv w:val="1"/>
      <w:marLeft w:val="0"/>
      <w:marRight w:val="0"/>
      <w:marTop w:val="0"/>
      <w:marBottom w:val="0"/>
      <w:divBdr>
        <w:top w:val="none" w:sz="0" w:space="0" w:color="auto"/>
        <w:left w:val="none" w:sz="0" w:space="0" w:color="auto"/>
        <w:bottom w:val="none" w:sz="0" w:space="0" w:color="auto"/>
        <w:right w:val="none" w:sz="0" w:space="0" w:color="auto"/>
      </w:divBdr>
    </w:div>
    <w:div w:id="438183470">
      <w:bodyDiv w:val="1"/>
      <w:marLeft w:val="0"/>
      <w:marRight w:val="0"/>
      <w:marTop w:val="0"/>
      <w:marBottom w:val="0"/>
      <w:divBdr>
        <w:top w:val="none" w:sz="0" w:space="0" w:color="auto"/>
        <w:left w:val="none" w:sz="0" w:space="0" w:color="auto"/>
        <w:bottom w:val="none" w:sz="0" w:space="0" w:color="auto"/>
        <w:right w:val="none" w:sz="0" w:space="0" w:color="auto"/>
      </w:divBdr>
    </w:div>
    <w:div w:id="438254239">
      <w:bodyDiv w:val="1"/>
      <w:marLeft w:val="0"/>
      <w:marRight w:val="0"/>
      <w:marTop w:val="0"/>
      <w:marBottom w:val="0"/>
      <w:divBdr>
        <w:top w:val="none" w:sz="0" w:space="0" w:color="auto"/>
        <w:left w:val="none" w:sz="0" w:space="0" w:color="auto"/>
        <w:bottom w:val="none" w:sz="0" w:space="0" w:color="auto"/>
        <w:right w:val="none" w:sz="0" w:space="0" w:color="auto"/>
      </w:divBdr>
    </w:div>
    <w:div w:id="438841541">
      <w:bodyDiv w:val="1"/>
      <w:marLeft w:val="0"/>
      <w:marRight w:val="0"/>
      <w:marTop w:val="0"/>
      <w:marBottom w:val="0"/>
      <w:divBdr>
        <w:top w:val="none" w:sz="0" w:space="0" w:color="auto"/>
        <w:left w:val="none" w:sz="0" w:space="0" w:color="auto"/>
        <w:bottom w:val="none" w:sz="0" w:space="0" w:color="auto"/>
        <w:right w:val="none" w:sz="0" w:space="0" w:color="auto"/>
      </w:divBdr>
    </w:div>
    <w:div w:id="438986417">
      <w:bodyDiv w:val="1"/>
      <w:marLeft w:val="0"/>
      <w:marRight w:val="0"/>
      <w:marTop w:val="0"/>
      <w:marBottom w:val="0"/>
      <w:divBdr>
        <w:top w:val="none" w:sz="0" w:space="0" w:color="auto"/>
        <w:left w:val="none" w:sz="0" w:space="0" w:color="auto"/>
        <w:bottom w:val="none" w:sz="0" w:space="0" w:color="auto"/>
        <w:right w:val="none" w:sz="0" w:space="0" w:color="auto"/>
      </w:divBdr>
    </w:div>
    <w:div w:id="439223569">
      <w:bodyDiv w:val="1"/>
      <w:marLeft w:val="0"/>
      <w:marRight w:val="0"/>
      <w:marTop w:val="0"/>
      <w:marBottom w:val="0"/>
      <w:divBdr>
        <w:top w:val="none" w:sz="0" w:space="0" w:color="auto"/>
        <w:left w:val="none" w:sz="0" w:space="0" w:color="auto"/>
        <w:bottom w:val="none" w:sz="0" w:space="0" w:color="auto"/>
        <w:right w:val="none" w:sz="0" w:space="0" w:color="auto"/>
      </w:divBdr>
    </w:div>
    <w:div w:id="439570572">
      <w:bodyDiv w:val="1"/>
      <w:marLeft w:val="0"/>
      <w:marRight w:val="0"/>
      <w:marTop w:val="0"/>
      <w:marBottom w:val="0"/>
      <w:divBdr>
        <w:top w:val="none" w:sz="0" w:space="0" w:color="auto"/>
        <w:left w:val="none" w:sz="0" w:space="0" w:color="auto"/>
        <w:bottom w:val="none" w:sz="0" w:space="0" w:color="auto"/>
        <w:right w:val="none" w:sz="0" w:space="0" w:color="auto"/>
      </w:divBdr>
    </w:div>
    <w:div w:id="439953965">
      <w:bodyDiv w:val="1"/>
      <w:marLeft w:val="0"/>
      <w:marRight w:val="0"/>
      <w:marTop w:val="0"/>
      <w:marBottom w:val="0"/>
      <w:divBdr>
        <w:top w:val="none" w:sz="0" w:space="0" w:color="auto"/>
        <w:left w:val="none" w:sz="0" w:space="0" w:color="auto"/>
        <w:bottom w:val="none" w:sz="0" w:space="0" w:color="auto"/>
        <w:right w:val="none" w:sz="0" w:space="0" w:color="auto"/>
      </w:divBdr>
    </w:div>
    <w:div w:id="440149305">
      <w:bodyDiv w:val="1"/>
      <w:marLeft w:val="0"/>
      <w:marRight w:val="0"/>
      <w:marTop w:val="0"/>
      <w:marBottom w:val="0"/>
      <w:divBdr>
        <w:top w:val="none" w:sz="0" w:space="0" w:color="auto"/>
        <w:left w:val="none" w:sz="0" w:space="0" w:color="auto"/>
        <w:bottom w:val="none" w:sz="0" w:space="0" w:color="auto"/>
        <w:right w:val="none" w:sz="0" w:space="0" w:color="auto"/>
      </w:divBdr>
    </w:div>
    <w:div w:id="440154076">
      <w:bodyDiv w:val="1"/>
      <w:marLeft w:val="0"/>
      <w:marRight w:val="0"/>
      <w:marTop w:val="0"/>
      <w:marBottom w:val="0"/>
      <w:divBdr>
        <w:top w:val="none" w:sz="0" w:space="0" w:color="auto"/>
        <w:left w:val="none" w:sz="0" w:space="0" w:color="auto"/>
        <w:bottom w:val="none" w:sz="0" w:space="0" w:color="auto"/>
        <w:right w:val="none" w:sz="0" w:space="0" w:color="auto"/>
      </w:divBdr>
    </w:div>
    <w:div w:id="440613030">
      <w:bodyDiv w:val="1"/>
      <w:marLeft w:val="0"/>
      <w:marRight w:val="0"/>
      <w:marTop w:val="0"/>
      <w:marBottom w:val="0"/>
      <w:divBdr>
        <w:top w:val="none" w:sz="0" w:space="0" w:color="auto"/>
        <w:left w:val="none" w:sz="0" w:space="0" w:color="auto"/>
        <w:bottom w:val="none" w:sz="0" w:space="0" w:color="auto"/>
        <w:right w:val="none" w:sz="0" w:space="0" w:color="auto"/>
      </w:divBdr>
    </w:div>
    <w:div w:id="441461578">
      <w:bodyDiv w:val="1"/>
      <w:marLeft w:val="0"/>
      <w:marRight w:val="0"/>
      <w:marTop w:val="0"/>
      <w:marBottom w:val="0"/>
      <w:divBdr>
        <w:top w:val="none" w:sz="0" w:space="0" w:color="auto"/>
        <w:left w:val="none" w:sz="0" w:space="0" w:color="auto"/>
        <w:bottom w:val="none" w:sz="0" w:space="0" w:color="auto"/>
        <w:right w:val="none" w:sz="0" w:space="0" w:color="auto"/>
      </w:divBdr>
    </w:div>
    <w:div w:id="441538755">
      <w:bodyDiv w:val="1"/>
      <w:marLeft w:val="0"/>
      <w:marRight w:val="0"/>
      <w:marTop w:val="0"/>
      <w:marBottom w:val="0"/>
      <w:divBdr>
        <w:top w:val="none" w:sz="0" w:space="0" w:color="auto"/>
        <w:left w:val="none" w:sz="0" w:space="0" w:color="auto"/>
        <w:bottom w:val="none" w:sz="0" w:space="0" w:color="auto"/>
        <w:right w:val="none" w:sz="0" w:space="0" w:color="auto"/>
      </w:divBdr>
    </w:div>
    <w:div w:id="441656043">
      <w:bodyDiv w:val="1"/>
      <w:marLeft w:val="0"/>
      <w:marRight w:val="0"/>
      <w:marTop w:val="0"/>
      <w:marBottom w:val="0"/>
      <w:divBdr>
        <w:top w:val="none" w:sz="0" w:space="0" w:color="auto"/>
        <w:left w:val="none" w:sz="0" w:space="0" w:color="auto"/>
        <w:bottom w:val="none" w:sz="0" w:space="0" w:color="auto"/>
        <w:right w:val="none" w:sz="0" w:space="0" w:color="auto"/>
      </w:divBdr>
    </w:div>
    <w:div w:id="441999833">
      <w:bodyDiv w:val="1"/>
      <w:marLeft w:val="0"/>
      <w:marRight w:val="0"/>
      <w:marTop w:val="0"/>
      <w:marBottom w:val="0"/>
      <w:divBdr>
        <w:top w:val="none" w:sz="0" w:space="0" w:color="auto"/>
        <w:left w:val="none" w:sz="0" w:space="0" w:color="auto"/>
        <w:bottom w:val="none" w:sz="0" w:space="0" w:color="auto"/>
        <w:right w:val="none" w:sz="0" w:space="0" w:color="auto"/>
      </w:divBdr>
    </w:div>
    <w:div w:id="442385553">
      <w:bodyDiv w:val="1"/>
      <w:marLeft w:val="0"/>
      <w:marRight w:val="0"/>
      <w:marTop w:val="0"/>
      <w:marBottom w:val="0"/>
      <w:divBdr>
        <w:top w:val="none" w:sz="0" w:space="0" w:color="auto"/>
        <w:left w:val="none" w:sz="0" w:space="0" w:color="auto"/>
        <w:bottom w:val="none" w:sz="0" w:space="0" w:color="auto"/>
        <w:right w:val="none" w:sz="0" w:space="0" w:color="auto"/>
      </w:divBdr>
    </w:div>
    <w:div w:id="443037721">
      <w:bodyDiv w:val="1"/>
      <w:marLeft w:val="0"/>
      <w:marRight w:val="0"/>
      <w:marTop w:val="0"/>
      <w:marBottom w:val="0"/>
      <w:divBdr>
        <w:top w:val="none" w:sz="0" w:space="0" w:color="auto"/>
        <w:left w:val="none" w:sz="0" w:space="0" w:color="auto"/>
        <w:bottom w:val="none" w:sz="0" w:space="0" w:color="auto"/>
        <w:right w:val="none" w:sz="0" w:space="0" w:color="auto"/>
      </w:divBdr>
    </w:div>
    <w:div w:id="443312050">
      <w:bodyDiv w:val="1"/>
      <w:marLeft w:val="0"/>
      <w:marRight w:val="0"/>
      <w:marTop w:val="0"/>
      <w:marBottom w:val="0"/>
      <w:divBdr>
        <w:top w:val="none" w:sz="0" w:space="0" w:color="auto"/>
        <w:left w:val="none" w:sz="0" w:space="0" w:color="auto"/>
        <w:bottom w:val="none" w:sz="0" w:space="0" w:color="auto"/>
        <w:right w:val="none" w:sz="0" w:space="0" w:color="auto"/>
      </w:divBdr>
    </w:div>
    <w:div w:id="443381275">
      <w:bodyDiv w:val="1"/>
      <w:marLeft w:val="0"/>
      <w:marRight w:val="0"/>
      <w:marTop w:val="0"/>
      <w:marBottom w:val="0"/>
      <w:divBdr>
        <w:top w:val="none" w:sz="0" w:space="0" w:color="auto"/>
        <w:left w:val="none" w:sz="0" w:space="0" w:color="auto"/>
        <w:bottom w:val="none" w:sz="0" w:space="0" w:color="auto"/>
        <w:right w:val="none" w:sz="0" w:space="0" w:color="auto"/>
      </w:divBdr>
    </w:div>
    <w:div w:id="443502048">
      <w:bodyDiv w:val="1"/>
      <w:marLeft w:val="0"/>
      <w:marRight w:val="0"/>
      <w:marTop w:val="0"/>
      <w:marBottom w:val="0"/>
      <w:divBdr>
        <w:top w:val="none" w:sz="0" w:space="0" w:color="auto"/>
        <w:left w:val="none" w:sz="0" w:space="0" w:color="auto"/>
        <w:bottom w:val="none" w:sz="0" w:space="0" w:color="auto"/>
        <w:right w:val="none" w:sz="0" w:space="0" w:color="auto"/>
      </w:divBdr>
    </w:div>
    <w:div w:id="443577039">
      <w:bodyDiv w:val="1"/>
      <w:marLeft w:val="0"/>
      <w:marRight w:val="0"/>
      <w:marTop w:val="0"/>
      <w:marBottom w:val="0"/>
      <w:divBdr>
        <w:top w:val="none" w:sz="0" w:space="0" w:color="auto"/>
        <w:left w:val="none" w:sz="0" w:space="0" w:color="auto"/>
        <w:bottom w:val="none" w:sz="0" w:space="0" w:color="auto"/>
        <w:right w:val="none" w:sz="0" w:space="0" w:color="auto"/>
      </w:divBdr>
    </w:div>
    <w:div w:id="444427323">
      <w:bodyDiv w:val="1"/>
      <w:marLeft w:val="0"/>
      <w:marRight w:val="0"/>
      <w:marTop w:val="0"/>
      <w:marBottom w:val="0"/>
      <w:divBdr>
        <w:top w:val="none" w:sz="0" w:space="0" w:color="auto"/>
        <w:left w:val="none" w:sz="0" w:space="0" w:color="auto"/>
        <w:bottom w:val="none" w:sz="0" w:space="0" w:color="auto"/>
        <w:right w:val="none" w:sz="0" w:space="0" w:color="auto"/>
      </w:divBdr>
    </w:div>
    <w:div w:id="444812767">
      <w:bodyDiv w:val="1"/>
      <w:marLeft w:val="0"/>
      <w:marRight w:val="0"/>
      <w:marTop w:val="0"/>
      <w:marBottom w:val="0"/>
      <w:divBdr>
        <w:top w:val="none" w:sz="0" w:space="0" w:color="auto"/>
        <w:left w:val="none" w:sz="0" w:space="0" w:color="auto"/>
        <w:bottom w:val="none" w:sz="0" w:space="0" w:color="auto"/>
        <w:right w:val="none" w:sz="0" w:space="0" w:color="auto"/>
      </w:divBdr>
    </w:div>
    <w:div w:id="444858911">
      <w:bodyDiv w:val="1"/>
      <w:marLeft w:val="0"/>
      <w:marRight w:val="0"/>
      <w:marTop w:val="0"/>
      <w:marBottom w:val="0"/>
      <w:divBdr>
        <w:top w:val="none" w:sz="0" w:space="0" w:color="auto"/>
        <w:left w:val="none" w:sz="0" w:space="0" w:color="auto"/>
        <w:bottom w:val="none" w:sz="0" w:space="0" w:color="auto"/>
        <w:right w:val="none" w:sz="0" w:space="0" w:color="auto"/>
      </w:divBdr>
    </w:div>
    <w:div w:id="445197719">
      <w:bodyDiv w:val="1"/>
      <w:marLeft w:val="0"/>
      <w:marRight w:val="0"/>
      <w:marTop w:val="0"/>
      <w:marBottom w:val="0"/>
      <w:divBdr>
        <w:top w:val="none" w:sz="0" w:space="0" w:color="auto"/>
        <w:left w:val="none" w:sz="0" w:space="0" w:color="auto"/>
        <w:bottom w:val="none" w:sz="0" w:space="0" w:color="auto"/>
        <w:right w:val="none" w:sz="0" w:space="0" w:color="auto"/>
      </w:divBdr>
    </w:div>
    <w:div w:id="445275807">
      <w:bodyDiv w:val="1"/>
      <w:marLeft w:val="0"/>
      <w:marRight w:val="0"/>
      <w:marTop w:val="0"/>
      <w:marBottom w:val="0"/>
      <w:divBdr>
        <w:top w:val="none" w:sz="0" w:space="0" w:color="auto"/>
        <w:left w:val="none" w:sz="0" w:space="0" w:color="auto"/>
        <w:bottom w:val="none" w:sz="0" w:space="0" w:color="auto"/>
        <w:right w:val="none" w:sz="0" w:space="0" w:color="auto"/>
      </w:divBdr>
    </w:div>
    <w:div w:id="445386807">
      <w:bodyDiv w:val="1"/>
      <w:marLeft w:val="0"/>
      <w:marRight w:val="0"/>
      <w:marTop w:val="0"/>
      <w:marBottom w:val="0"/>
      <w:divBdr>
        <w:top w:val="none" w:sz="0" w:space="0" w:color="auto"/>
        <w:left w:val="none" w:sz="0" w:space="0" w:color="auto"/>
        <w:bottom w:val="none" w:sz="0" w:space="0" w:color="auto"/>
        <w:right w:val="none" w:sz="0" w:space="0" w:color="auto"/>
      </w:divBdr>
    </w:div>
    <w:div w:id="446001304">
      <w:bodyDiv w:val="1"/>
      <w:marLeft w:val="0"/>
      <w:marRight w:val="0"/>
      <w:marTop w:val="0"/>
      <w:marBottom w:val="0"/>
      <w:divBdr>
        <w:top w:val="none" w:sz="0" w:space="0" w:color="auto"/>
        <w:left w:val="none" w:sz="0" w:space="0" w:color="auto"/>
        <w:bottom w:val="none" w:sz="0" w:space="0" w:color="auto"/>
        <w:right w:val="none" w:sz="0" w:space="0" w:color="auto"/>
      </w:divBdr>
    </w:div>
    <w:div w:id="446118149">
      <w:bodyDiv w:val="1"/>
      <w:marLeft w:val="0"/>
      <w:marRight w:val="0"/>
      <w:marTop w:val="0"/>
      <w:marBottom w:val="0"/>
      <w:divBdr>
        <w:top w:val="none" w:sz="0" w:space="0" w:color="auto"/>
        <w:left w:val="none" w:sz="0" w:space="0" w:color="auto"/>
        <w:bottom w:val="none" w:sz="0" w:space="0" w:color="auto"/>
        <w:right w:val="none" w:sz="0" w:space="0" w:color="auto"/>
      </w:divBdr>
    </w:div>
    <w:div w:id="446124118">
      <w:bodyDiv w:val="1"/>
      <w:marLeft w:val="0"/>
      <w:marRight w:val="0"/>
      <w:marTop w:val="0"/>
      <w:marBottom w:val="0"/>
      <w:divBdr>
        <w:top w:val="none" w:sz="0" w:space="0" w:color="auto"/>
        <w:left w:val="none" w:sz="0" w:space="0" w:color="auto"/>
        <w:bottom w:val="none" w:sz="0" w:space="0" w:color="auto"/>
        <w:right w:val="none" w:sz="0" w:space="0" w:color="auto"/>
      </w:divBdr>
    </w:div>
    <w:div w:id="446244803">
      <w:bodyDiv w:val="1"/>
      <w:marLeft w:val="0"/>
      <w:marRight w:val="0"/>
      <w:marTop w:val="0"/>
      <w:marBottom w:val="0"/>
      <w:divBdr>
        <w:top w:val="none" w:sz="0" w:space="0" w:color="auto"/>
        <w:left w:val="none" w:sz="0" w:space="0" w:color="auto"/>
        <w:bottom w:val="none" w:sz="0" w:space="0" w:color="auto"/>
        <w:right w:val="none" w:sz="0" w:space="0" w:color="auto"/>
      </w:divBdr>
    </w:div>
    <w:div w:id="446508865">
      <w:bodyDiv w:val="1"/>
      <w:marLeft w:val="0"/>
      <w:marRight w:val="0"/>
      <w:marTop w:val="0"/>
      <w:marBottom w:val="0"/>
      <w:divBdr>
        <w:top w:val="none" w:sz="0" w:space="0" w:color="auto"/>
        <w:left w:val="none" w:sz="0" w:space="0" w:color="auto"/>
        <w:bottom w:val="none" w:sz="0" w:space="0" w:color="auto"/>
        <w:right w:val="none" w:sz="0" w:space="0" w:color="auto"/>
      </w:divBdr>
    </w:div>
    <w:div w:id="446584081">
      <w:bodyDiv w:val="1"/>
      <w:marLeft w:val="0"/>
      <w:marRight w:val="0"/>
      <w:marTop w:val="0"/>
      <w:marBottom w:val="0"/>
      <w:divBdr>
        <w:top w:val="none" w:sz="0" w:space="0" w:color="auto"/>
        <w:left w:val="none" w:sz="0" w:space="0" w:color="auto"/>
        <w:bottom w:val="none" w:sz="0" w:space="0" w:color="auto"/>
        <w:right w:val="none" w:sz="0" w:space="0" w:color="auto"/>
      </w:divBdr>
    </w:div>
    <w:div w:id="446657984">
      <w:bodyDiv w:val="1"/>
      <w:marLeft w:val="0"/>
      <w:marRight w:val="0"/>
      <w:marTop w:val="0"/>
      <w:marBottom w:val="0"/>
      <w:divBdr>
        <w:top w:val="none" w:sz="0" w:space="0" w:color="auto"/>
        <w:left w:val="none" w:sz="0" w:space="0" w:color="auto"/>
        <w:bottom w:val="none" w:sz="0" w:space="0" w:color="auto"/>
        <w:right w:val="none" w:sz="0" w:space="0" w:color="auto"/>
      </w:divBdr>
    </w:div>
    <w:div w:id="447117067">
      <w:bodyDiv w:val="1"/>
      <w:marLeft w:val="0"/>
      <w:marRight w:val="0"/>
      <w:marTop w:val="0"/>
      <w:marBottom w:val="0"/>
      <w:divBdr>
        <w:top w:val="none" w:sz="0" w:space="0" w:color="auto"/>
        <w:left w:val="none" w:sz="0" w:space="0" w:color="auto"/>
        <w:bottom w:val="none" w:sz="0" w:space="0" w:color="auto"/>
        <w:right w:val="none" w:sz="0" w:space="0" w:color="auto"/>
      </w:divBdr>
    </w:div>
    <w:div w:id="447243363">
      <w:bodyDiv w:val="1"/>
      <w:marLeft w:val="0"/>
      <w:marRight w:val="0"/>
      <w:marTop w:val="0"/>
      <w:marBottom w:val="0"/>
      <w:divBdr>
        <w:top w:val="none" w:sz="0" w:space="0" w:color="auto"/>
        <w:left w:val="none" w:sz="0" w:space="0" w:color="auto"/>
        <w:bottom w:val="none" w:sz="0" w:space="0" w:color="auto"/>
        <w:right w:val="none" w:sz="0" w:space="0" w:color="auto"/>
      </w:divBdr>
    </w:div>
    <w:div w:id="447548849">
      <w:bodyDiv w:val="1"/>
      <w:marLeft w:val="0"/>
      <w:marRight w:val="0"/>
      <w:marTop w:val="0"/>
      <w:marBottom w:val="0"/>
      <w:divBdr>
        <w:top w:val="none" w:sz="0" w:space="0" w:color="auto"/>
        <w:left w:val="none" w:sz="0" w:space="0" w:color="auto"/>
        <w:bottom w:val="none" w:sz="0" w:space="0" w:color="auto"/>
        <w:right w:val="none" w:sz="0" w:space="0" w:color="auto"/>
      </w:divBdr>
    </w:div>
    <w:div w:id="447629125">
      <w:bodyDiv w:val="1"/>
      <w:marLeft w:val="0"/>
      <w:marRight w:val="0"/>
      <w:marTop w:val="0"/>
      <w:marBottom w:val="0"/>
      <w:divBdr>
        <w:top w:val="none" w:sz="0" w:space="0" w:color="auto"/>
        <w:left w:val="none" w:sz="0" w:space="0" w:color="auto"/>
        <w:bottom w:val="none" w:sz="0" w:space="0" w:color="auto"/>
        <w:right w:val="none" w:sz="0" w:space="0" w:color="auto"/>
      </w:divBdr>
    </w:div>
    <w:div w:id="447745282">
      <w:bodyDiv w:val="1"/>
      <w:marLeft w:val="0"/>
      <w:marRight w:val="0"/>
      <w:marTop w:val="0"/>
      <w:marBottom w:val="0"/>
      <w:divBdr>
        <w:top w:val="none" w:sz="0" w:space="0" w:color="auto"/>
        <w:left w:val="none" w:sz="0" w:space="0" w:color="auto"/>
        <w:bottom w:val="none" w:sz="0" w:space="0" w:color="auto"/>
        <w:right w:val="none" w:sz="0" w:space="0" w:color="auto"/>
      </w:divBdr>
    </w:div>
    <w:div w:id="447816891">
      <w:bodyDiv w:val="1"/>
      <w:marLeft w:val="0"/>
      <w:marRight w:val="0"/>
      <w:marTop w:val="0"/>
      <w:marBottom w:val="0"/>
      <w:divBdr>
        <w:top w:val="none" w:sz="0" w:space="0" w:color="auto"/>
        <w:left w:val="none" w:sz="0" w:space="0" w:color="auto"/>
        <w:bottom w:val="none" w:sz="0" w:space="0" w:color="auto"/>
        <w:right w:val="none" w:sz="0" w:space="0" w:color="auto"/>
      </w:divBdr>
    </w:div>
    <w:div w:id="447967191">
      <w:bodyDiv w:val="1"/>
      <w:marLeft w:val="0"/>
      <w:marRight w:val="0"/>
      <w:marTop w:val="0"/>
      <w:marBottom w:val="0"/>
      <w:divBdr>
        <w:top w:val="none" w:sz="0" w:space="0" w:color="auto"/>
        <w:left w:val="none" w:sz="0" w:space="0" w:color="auto"/>
        <w:bottom w:val="none" w:sz="0" w:space="0" w:color="auto"/>
        <w:right w:val="none" w:sz="0" w:space="0" w:color="auto"/>
      </w:divBdr>
    </w:div>
    <w:div w:id="448088773">
      <w:bodyDiv w:val="1"/>
      <w:marLeft w:val="0"/>
      <w:marRight w:val="0"/>
      <w:marTop w:val="0"/>
      <w:marBottom w:val="0"/>
      <w:divBdr>
        <w:top w:val="none" w:sz="0" w:space="0" w:color="auto"/>
        <w:left w:val="none" w:sz="0" w:space="0" w:color="auto"/>
        <w:bottom w:val="none" w:sz="0" w:space="0" w:color="auto"/>
        <w:right w:val="none" w:sz="0" w:space="0" w:color="auto"/>
      </w:divBdr>
    </w:div>
    <w:div w:id="448663557">
      <w:bodyDiv w:val="1"/>
      <w:marLeft w:val="0"/>
      <w:marRight w:val="0"/>
      <w:marTop w:val="0"/>
      <w:marBottom w:val="0"/>
      <w:divBdr>
        <w:top w:val="none" w:sz="0" w:space="0" w:color="auto"/>
        <w:left w:val="none" w:sz="0" w:space="0" w:color="auto"/>
        <w:bottom w:val="none" w:sz="0" w:space="0" w:color="auto"/>
        <w:right w:val="none" w:sz="0" w:space="0" w:color="auto"/>
      </w:divBdr>
    </w:div>
    <w:div w:id="448815470">
      <w:bodyDiv w:val="1"/>
      <w:marLeft w:val="0"/>
      <w:marRight w:val="0"/>
      <w:marTop w:val="0"/>
      <w:marBottom w:val="0"/>
      <w:divBdr>
        <w:top w:val="none" w:sz="0" w:space="0" w:color="auto"/>
        <w:left w:val="none" w:sz="0" w:space="0" w:color="auto"/>
        <w:bottom w:val="none" w:sz="0" w:space="0" w:color="auto"/>
        <w:right w:val="none" w:sz="0" w:space="0" w:color="auto"/>
      </w:divBdr>
    </w:div>
    <w:div w:id="449012731">
      <w:bodyDiv w:val="1"/>
      <w:marLeft w:val="0"/>
      <w:marRight w:val="0"/>
      <w:marTop w:val="0"/>
      <w:marBottom w:val="0"/>
      <w:divBdr>
        <w:top w:val="none" w:sz="0" w:space="0" w:color="auto"/>
        <w:left w:val="none" w:sz="0" w:space="0" w:color="auto"/>
        <w:bottom w:val="none" w:sz="0" w:space="0" w:color="auto"/>
        <w:right w:val="none" w:sz="0" w:space="0" w:color="auto"/>
      </w:divBdr>
    </w:div>
    <w:div w:id="449511796">
      <w:bodyDiv w:val="1"/>
      <w:marLeft w:val="0"/>
      <w:marRight w:val="0"/>
      <w:marTop w:val="0"/>
      <w:marBottom w:val="0"/>
      <w:divBdr>
        <w:top w:val="none" w:sz="0" w:space="0" w:color="auto"/>
        <w:left w:val="none" w:sz="0" w:space="0" w:color="auto"/>
        <w:bottom w:val="none" w:sz="0" w:space="0" w:color="auto"/>
        <w:right w:val="none" w:sz="0" w:space="0" w:color="auto"/>
      </w:divBdr>
    </w:div>
    <w:div w:id="450124864">
      <w:bodyDiv w:val="1"/>
      <w:marLeft w:val="0"/>
      <w:marRight w:val="0"/>
      <w:marTop w:val="0"/>
      <w:marBottom w:val="0"/>
      <w:divBdr>
        <w:top w:val="none" w:sz="0" w:space="0" w:color="auto"/>
        <w:left w:val="none" w:sz="0" w:space="0" w:color="auto"/>
        <w:bottom w:val="none" w:sz="0" w:space="0" w:color="auto"/>
        <w:right w:val="none" w:sz="0" w:space="0" w:color="auto"/>
      </w:divBdr>
    </w:div>
    <w:div w:id="450712666">
      <w:bodyDiv w:val="1"/>
      <w:marLeft w:val="0"/>
      <w:marRight w:val="0"/>
      <w:marTop w:val="0"/>
      <w:marBottom w:val="0"/>
      <w:divBdr>
        <w:top w:val="none" w:sz="0" w:space="0" w:color="auto"/>
        <w:left w:val="none" w:sz="0" w:space="0" w:color="auto"/>
        <w:bottom w:val="none" w:sz="0" w:space="0" w:color="auto"/>
        <w:right w:val="none" w:sz="0" w:space="0" w:color="auto"/>
      </w:divBdr>
    </w:div>
    <w:div w:id="451750258">
      <w:bodyDiv w:val="1"/>
      <w:marLeft w:val="0"/>
      <w:marRight w:val="0"/>
      <w:marTop w:val="0"/>
      <w:marBottom w:val="0"/>
      <w:divBdr>
        <w:top w:val="none" w:sz="0" w:space="0" w:color="auto"/>
        <w:left w:val="none" w:sz="0" w:space="0" w:color="auto"/>
        <w:bottom w:val="none" w:sz="0" w:space="0" w:color="auto"/>
        <w:right w:val="none" w:sz="0" w:space="0" w:color="auto"/>
      </w:divBdr>
    </w:div>
    <w:div w:id="451898879">
      <w:bodyDiv w:val="1"/>
      <w:marLeft w:val="0"/>
      <w:marRight w:val="0"/>
      <w:marTop w:val="0"/>
      <w:marBottom w:val="0"/>
      <w:divBdr>
        <w:top w:val="none" w:sz="0" w:space="0" w:color="auto"/>
        <w:left w:val="none" w:sz="0" w:space="0" w:color="auto"/>
        <w:bottom w:val="none" w:sz="0" w:space="0" w:color="auto"/>
        <w:right w:val="none" w:sz="0" w:space="0" w:color="auto"/>
      </w:divBdr>
    </w:div>
    <w:div w:id="451899127">
      <w:bodyDiv w:val="1"/>
      <w:marLeft w:val="0"/>
      <w:marRight w:val="0"/>
      <w:marTop w:val="0"/>
      <w:marBottom w:val="0"/>
      <w:divBdr>
        <w:top w:val="none" w:sz="0" w:space="0" w:color="auto"/>
        <w:left w:val="none" w:sz="0" w:space="0" w:color="auto"/>
        <w:bottom w:val="none" w:sz="0" w:space="0" w:color="auto"/>
        <w:right w:val="none" w:sz="0" w:space="0" w:color="auto"/>
      </w:divBdr>
    </w:div>
    <w:div w:id="452331415">
      <w:bodyDiv w:val="1"/>
      <w:marLeft w:val="0"/>
      <w:marRight w:val="0"/>
      <w:marTop w:val="0"/>
      <w:marBottom w:val="0"/>
      <w:divBdr>
        <w:top w:val="none" w:sz="0" w:space="0" w:color="auto"/>
        <w:left w:val="none" w:sz="0" w:space="0" w:color="auto"/>
        <w:bottom w:val="none" w:sz="0" w:space="0" w:color="auto"/>
        <w:right w:val="none" w:sz="0" w:space="0" w:color="auto"/>
      </w:divBdr>
    </w:div>
    <w:div w:id="452478170">
      <w:bodyDiv w:val="1"/>
      <w:marLeft w:val="0"/>
      <w:marRight w:val="0"/>
      <w:marTop w:val="0"/>
      <w:marBottom w:val="0"/>
      <w:divBdr>
        <w:top w:val="none" w:sz="0" w:space="0" w:color="auto"/>
        <w:left w:val="none" w:sz="0" w:space="0" w:color="auto"/>
        <w:bottom w:val="none" w:sz="0" w:space="0" w:color="auto"/>
        <w:right w:val="none" w:sz="0" w:space="0" w:color="auto"/>
      </w:divBdr>
    </w:div>
    <w:div w:id="452482897">
      <w:bodyDiv w:val="1"/>
      <w:marLeft w:val="0"/>
      <w:marRight w:val="0"/>
      <w:marTop w:val="0"/>
      <w:marBottom w:val="0"/>
      <w:divBdr>
        <w:top w:val="none" w:sz="0" w:space="0" w:color="auto"/>
        <w:left w:val="none" w:sz="0" w:space="0" w:color="auto"/>
        <w:bottom w:val="none" w:sz="0" w:space="0" w:color="auto"/>
        <w:right w:val="none" w:sz="0" w:space="0" w:color="auto"/>
      </w:divBdr>
    </w:div>
    <w:div w:id="452751179">
      <w:bodyDiv w:val="1"/>
      <w:marLeft w:val="0"/>
      <w:marRight w:val="0"/>
      <w:marTop w:val="0"/>
      <w:marBottom w:val="0"/>
      <w:divBdr>
        <w:top w:val="none" w:sz="0" w:space="0" w:color="auto"/>
        <w:left w:val="none" w:sz="0" w:space="0" w:color="auto"/>
        <w:bottom w:val="none" w:sz="0" w:space="0" w:color="auto"/>
        <w:right w:val="none" w:sz="0" w:space="0" w:color="auto"/>
      </w:divBdr>
    </w:div>
    <w:div w:id="453596846">
      <w:bodyDiv w:val="1"/>
      <w:marLeft w:val="0"/>
      <w:marRight w:val="0"/>
      <w:marTop w:val="0"/>
      <w:marBottom w:val="0"/>
      <w:divBdr>
        <w:top w:val="none" w:sz="0" w:space="0" w:color="auto"/>
        <w:left w:val="none" w:sz="0" w:space="0" w:color="auto"/>
        <w:bottom w:val="none" w:sz="0" w:space="0" w:color="auto"/>
        <w:right w:val="none" w:sz="0" w:space="0" w:color="auto"/>
      </w:divBdr>
    </w:div>
    <w:div w:id="454058428">
      <w:bodyDiv w:val="1"/>
      <w:marLeft w:val="0"/>
      <w:marRight w:val="0"/>
      <w:marTop w:val="0"/>
      <w:marBottom w:val="0"/>
      <w:divBdr>
        <w:top w:val="none" w:sz="0" w:space="0" w:color="auto"/>
        <w:left w:val="none" w:sz="0" w:space="0" w:color="auto"/>
        <w:bottom w:val="none" w:sz="0" w:space="0" w:color="auto"/>
        <w:right w:val="none" w:sz="0" w:space="0" w:color="auto"/>
      </w:divBdr>
    </w:div>
    <w:div w:id="454714649">
      <w:bodyDiv w:val="1"/>
      <w:marLeft w:val="0"/>
      <w:marRight w:val="0"/>
      <w:marTop w:val="0"/>
      <w:marBottom w:val="0"/>
      <w:divBdr>
        <w:top w:val="none" w:sz="0" w:space="0" w:color="auto"/>
        <w:left w:val="none" w:sz="0" w:space="0" w:color="auto"/>
        <w:bottom w:val="none" w:sz="0" w:space="0" w:color="auto"/>
        <w:right w:val="none" w:sz="0" w:space="0" w:color="auto"/>
      </w:divBdr>
    </w:div>
    <w:div w:id="454835735">
      <w:bodyDiv w:val="1"/>
      <w:marLeft w:val="0"/>
      <w:marRight w:val="0"/>
      <w:marTop w:val="0"/>
      <w:marBottom w:val="0"/>
      <w:divBdr>
        <w:top w:val="none" w:sz="0" w:space="0" w:color="auto"/>
        <w:left w:val="none" w:sz="0" w:space="0" w:color="auto"/>
        <w:bottom w:val="none" w:sz="0" w:space="0" w:color="auto"/>
        <w:right w:val="none" w:sz="0" w:space="0" w:color="auto"/>
      </w:divBdr>
    </w:div>
    <w:div w:id="454907508">
      <w:bodyDiv w:val="1"/>
      <w:marLeft w:val="0"/>
      <w:marRight w:val="0"/>
      <w:marTop w:val="0"/>
      <w:marBottom w:val="0"/>
      <w:divBdr>
        <w:top w:val="none" w:sz="0" w:space="0" w:color="auto"/>
        <w:left w:val="none" w:sz="0" w:space="0" w:color="auto"/>
        <w:bottom w:val="none" w:sz="0" w:space="0" w:color="auto"/>
        <w:right w:val="none" w:sz="0" w:space="0" w:color="auto"/>
      </w:divBdr>
    </w:div>
    <w:div w:id="455685168">
      <w:bodyDiv w:val="1"/>
      <w:marLeft w:val="0"/>
      <w:marRight w:val="0"/>
      <w:marTop w:val="0"/>
      <w:marBottom w:val="0"/>
      <w:divBdr>
        <w:top w:val="none" w:sz="0" w:space="0" w:color="auto"/>
        <w:left w:val="none" w:sz="0" w:space="0" w:color="auto"/>
        <w:bottom w:val="none" w:sz="0" w:space="0" w:color="auto"/>
        <w:right w:val="none" w:sz="0" w:space="0" w:color="auto"/>
      </w:divBdr>
    </w:div>
    <w:div w:id="455873377">
      <w:bodyDiv w:val="1"/>
      <w:marLeft w:val="0"/>
      <w:marRight w:val="0"/>
      <w:marTop w:val="0"/>
      <w:marBottom w:val="0"/>
      <w:divBdr>
        <w:top w:val="none" w:sz="0" w:space="0" w:color="auto"/>
        <w:left w:val="none" w:sz="0" w:space="0" w:color="auto"/>
        <w:bottom w:val="none" w:sz="0" w:space="0" w:color="auto"/>
        <w:right w:val="none" w:sz="0" w:space="0" w:color="auto"/>
      </w:divBdr>
    </w:div>
    <w:div w:id="455873515">
      <w:bodyDiv w:val="1"/>
      <w:marLeft w:val="0"/>
      <w:marRight w:val="0"/>
      <w:marTop w:val="0"/>
      <w:marBottom w:val="0"/>
      <w:divBdr>
        <w:top w:val="none" w:sz="0" w:space="0" w:color="auto"/>
        <w:left w:val="none" w:sz="0" w:space="0" w:color="auto"/>
        <w:bottom w:val="none" w:sz="0" w:space="0" w:color="auto"/>
        <w:right w:val="none" w:sz="0" w:space="0" w:color="auto"/>
      </w:divBdr>
    </w:div>
    <w:div w:id="456026469">
      <w:bodyDiv w:val="1"/>
      <w:marLeft w:val="0"/>
      <w:marRight w:val="0"/>
      <w:marTop w:val="0"/>
      <w:marBottom w:val="0"/>
      <w:divBdr>
        <w:top w:val="none" w:sz="0" w:space="0" w:color="auto"/>
        <w:left w:val="none" w:sz="0" w:space="0" w:color="auto"/>
        <w:bottom w:val="none" w:sz="0" w:space="0" w:color="auto"/>
        <w:right w:val="none" w:sz="0" w:space="0" w:color="auto"/>
      </w:divBdr>
    </w:div>
    <w:div w:id="456071844">
      <w:bodyDiv w:val="1"/>
      <w:marLeft w:val="0"/>
      <w:marRight w:val="0"/>
      <w:marTop w:val="0"/>
      <w:marBottom w:val="0"/>
      <w:divBdr>
        <w:top w:val="none" w:sz="0" w:space="0" w:color="auto"/>
        <w:left w:val="none" w:sz="0" w:space="0" w:color="auto"/>
        <w:bottom w:val="none" w:sz="0" w:space="0" w:color="auto"/>
        <w:right w:val="none" w:sz="0" w:space="0" w:color="auto"/>
      </w:divBdr>
    </w:div>
    <w:div w:id="456218159">
      <w:bodyDiv w:val="1"/>
      <w:marLeft w:val="0"/>
      <w:marRight w:val="0"/>
      <w:marTop w:val="0"/>
      <w:marBottom w:val="0"/>
      <w:divBdr>
        <w:top w:val="none" w:sz="0" w:space="0" w:color="auto"/>
        <w:left w:val="none" w:sz="0" w:space="0" w:color="auto"/>
        <w:bottom w:val="none" w:sz="0" w:space="0" w:color="auto"/>
        <w:right w:val="none" w:sz="0" w:space="0" w:color="auto"/>
      </w:divBdr>
    </w:div>
    <w:div w:id="456409460">
      <w:bodyDiv w:val="1"/>
      <w:marLeft w:val="0"/>
      <w:marRight w:val="0"/>
      <w:marTop w:val="0"/>
      <w:marBottom w:val="0"/>
      <w:divBdr>
        <w:top w:val="none" w:sz="0" w:space="0" w:color="auto"/>
        <w:left w:val="none" w:sz="0" w:space="0" w:color="auto"/>
        <w:bottom w:val="none" w:sz="0" w:space="0" w:color="auto"/>
        <w:right w:val="none" w:sz="0" w:space="0" w:color="auto"/>
      </w:divBdr>
    </w:div>
    <w:div w:id="456535259">
      <w:bodyDiv w:val="1"/>
      <w:marLeft w:val="0"/>
      <w:marRight w:val="0"/>
      <w:marTop w:val="0"/>
      <w:marBottom w:val="0"/>
      <w:divBdr>
        <w:top w:val="none" w:sz="0" w:space="0" w:color="auto"/>
        <w:left w:val="none" w:sz="0" w:space="0" w:color="auto"/>
        <w:bottom w:val="none" w:sz="0" w:space="0" w:color="auto"/>
        <w:right w:val="none" w:sz="0" w:space="0" w:color="auto"/>
      </w:divBdr>
    </w:div>
    <w:div w:id="456605297">
      <w:bodyDiv w:val="1"/>
      <w:marLeft w:val="0"/>
      <w:marRight w:val="0"/>
      <w:marTop w:val="0"/>
      <w:marBottom w:val="0"/>
      <w:divBdr>
        <w:top w:val="none" w:sz="0" w:space="0" w:color="auto"/>
        <w:left w:val="none" w:sz="0" w:space="0" w:color="auto"/>
        <w:bottom w:val="none" w:sz="0" w:space="0" w:color="auto"/>
        <w:right w:val="none" w:sz="0" w:space="0" w:color="auto"/>
      </w:divBdr>
    </w:div>
    <w:div w:id="456720471">
      <w:bodyDiv w:val="1"/>
      <w:marLeft w:val="0"/>
      <w:marRight w:val="0"/>
      <w:marTop w:val="0"/>
      <w:marBottom w:val="0"/>
      <w:divBdr>
        <w:top w:val="none" w:sz="0" w:space="0" w:color="auto"/>
        <w:left w:val="none" w:sz="0" w:space="0" w:color="auto"/>
        <w:bottom w:val="none" w:sz="0" w:space="0" w:color="auto"/>
        <w:right w:val="none" w:sz="0" w:space="0" w:color="auto"/>
      </w:divBdr>
    </w:div>
    <w:div w:id="456723337">
      <w:bodyDiv w:val="1"/>
      <w:marLeft w:val="0"/>
      <w:marRight w:val="0"/>
      <w:marTop w:val="0"/>
      <w:marBottom w:val="0"/>
      <w:divBdr>
        <w:top w:val="none" w:sz="0" w:space="0" w:color="auto"/>
        <w:left w:val="none" w:sz="0" w:space="0" w:color="auto"/>
        <w:bottom w:val="none" w:sz="0" w:space="0" w:color="auto"/>
        <w:right w:val="none" w:sz="0" w:space="0" w:color="auto"/>
      </w:divBdr>
    </w:div>
    <w:div w:id="456879094">
      <w:bodyDiv w:val="1"/>
      <w:marLeft w:val="0"/>
      <w:marRight w:val="0"/>
      <w:marTop w:val="0"/>
      <w:marBottom w:val="0"/>
      <w:divBdr>
        <w:top w:val="none" w:sz="0" w:space="0" w:color="auto"/>
        <w:left w:val="none" w:sz="0" w:space="0" w:color="auto"/>
        <w:bottom w:val="none" w:sz="0" w:space="0" w:color="auto"/>
        <w:right w:val="none" w:sz="0" w:space="0" w:color="auto"/>
      </w:divBdr>
    </w:div>
    <w:div w:id="456948608">
      <w:bodyDiv w:val="1"/>
      <w:marLeft w:val="0"/>
      <w:marRight w:val="0"/>
      <w:marTop w:val="0"/>
      <w:marBottom w:val="0"/>
      <w:divBdr>
        <w:top w:val="none" w:sz="0" w:space="0" w:color="auto"/>
        <w:left w:val="none" w:sz="0" w:space="0" w:color="auto"/>
        <w:bottom w:val="none" w:sz="0" w:space="0" w:color="auto"/>
        <w:right w:val="none" w:sz="0" w:space="0" w:color="auto"/>
      </w:divBdr>
    </w:div>
    <w:div w:id="456993073">
      <w:bodyDiv w:val="1"/>
      <w:marLeft w:val="0"/>
      <w:marRight w:val="0"/>
      <w:marTop w:val="0"/>
      <w:marBottom w:val="0"/>
      <w:divBdr>
        <w:top w:val="none" w:sz="0" w:space="0" w:color="auto"/>
        <w:left w:val="none" w:sz="0" w:space="0" w:color="auto"/>
        <w:bottom w:val="none" w:sz="0" w:space="0" w:color="auto"/>
        <w:right w:val="none" w:sz="0" w:space="0" w:color="auto"/>
      </w:divBdr>
    </w:div>
    <w:div w:id="457064048">
      <w:bodyDiv w:val="1"/>
      <w:marLeft w:val="0"/>
      <w:marRight w:val="0"/>
      <w:marTop w:val="0"/>
      <w:marBottom w:val="0"/>
      <w:divBdr>
        <w:top w:val="none" w:sz="0" w:space="0" w:color="auto"/>
        <w:left w:val="none" w:sz="0" w:space="0" w:color="auto"/>
        <w:bottom w:val="none" w:sz="0" w:space="0" w:color="auto"/>
        <w:right w:val="none" w:sz="0" w:space="0" w:color="auto"/>
      </w:divBdr>
    </w:div>
    <w:div w:id="457064735">
      <w:bodyDiv w:val="1"/>
      <w:marLeft w:val="0"/>
      <w:marRight w:val="0"/>
      <w:marTop w:val="0"/>
      <w:marBottom w:val="0"/>
      <w:divBdr>
        <w:top w:val="none" w:sz="0" w:space="0" w:color="auto"/>
        <w:left w:val="none" w:sz="0" w:space="0" w:color="auto"/>
        <w:bottom w:val="none" w:sz="0" w:space="0" w:color="auto"/>
        <w:right w:val="none" w:sz="0" w:space="0" w:color="auto"/>
      </w:divBdr>
    </w:div>
    <w:div w:id="457072015">
      <w:bodyDiv w:val="1"/>
      <w:marLeft w:val="0"/>
      <w:marRight w:val="0"/>
      <w:marTop w:val="0"/>
      <w:marBottom w:val="0"/>
      <w:divBdr>
        <w:top w:val="none" w:sz="0" w:space="0" w:color="auto"/>
        <w:left w:val="none" w:sz="0" w:space="0" w:color="auto"/>
        <w:bottom w:val="none" w:sz="0" w:space="0" w:color="auto"/>
        <w:right w:val="none" w:sz="0" w:space="0" w:color="auto"/>
      </w:divBdr>
    </w:div>
    <w:div w:id="458955468">
      <w:bodyDiv w:val="1"/>
      <w:marLeft w:val="0"/>
      <w:marRight w:val="0"/>
      <w:marTop w:val="0"/>
      <w:marBottom w:val="0"/>
      <w:divBdr>
        <w:top w:val="none" w:sz="0" w:space="0" w:color="auto"/>
        <w:left w:val="none" w:sz="0" w:space="0" w:color="auto"/>
        <w:bottom w:val="none" w:sz="0" w:space="0" w:color="auto"/>
        <w:right w:val="none" w:sz="0" w:space="0" w:color="auto"/>
      </w:divBdr>
    </w:div>
    <w:div w:id="459301710">
      <w:bodyDiv w:val="1"/>
      <w:marLeft w:val="0"/>
      <w:marRight w:val="0"/>
      <w:marTop w:val="0"/>
      <w:marBottom w:val="0"/>
      <w:divBdr>
        <w:top w:val="none" w:sz="0" w:space="0" w:color="auto"/>
        <w:left w:val="none" w:sz="0" w:space="0" w:color="auto"/>
        <w:bottom w:val="none" w:sz="0" w:space="0" w:color="auto"/>
        <w:right w:val="none" w:sz="0" w:space="0" w:color="auto"/>
      </w:divBdr>
    </w:div>
    <w:div w:id="459306259">
      <w:bodyDiv w:val="1"/>
      <w:marLeft w:val="0"/>
      <w:marRight w:val="0"/>
      <w:marTop w:val="0"/>
      <w:marBottom w:val="0"/>
      <w:divBdr>
        <w:top w:val="none" w:sz="0" w:space="0" w:color="auto"/>
        <w:left w:val="none" w:sz="0" w:space="0" w:color="auto"/>
        <w:bottom w:val="none" w:sz="0" w:space="0" w:color="auto"/>
        <w:right w:val="none" w:sz="0" w:space="0" w:color="auto"/>
      </w:divBdr>
    </w:div>
    <w:div w:id="459345094">
      <w:bodyDiv w:val="1"/>
      <w:marLeft w:val="0"/>
      <w:marRight w:val="0"/>
      <w:marTop w:val="0"/>
      <w:marBottom w:val="0"/>
      <w:divBdr>
        <w:top w:val="none" w:sz="0" w:space="0" w:color="auto"/>
        <w:left w:val="none" w:sz="0" w:space="0" w:color="auto"/>
        <w:bottom w:val="none" w:sz="0" w:space="0" w:color="auto"/>
        <w:right w:val="none" w:sz="0" w:space="0" w:color="auto"/>
      </w:divBdr>
    </w:div>
    <w:div w:id="459421242">
      <w:bodyDiv w:val="1"/>
      <w:marLeft w:val="0"/>
      <w:marRight w:val="0"/>
      <w:marTop w:val="0"/>
      <w:marBottom w:val="0"/>
      <w:divBdr>
        <w:top w:val="none" w:sz="0" w:space="0" w:color="auto"/>
        <w:left w:val="none" w:sz="0" w:space="0" w:color="auto"/>
        <w:bottom w:val="none" w:sz="0" w:space="0" w:color="auto"/>
        <w:right w:val="none" w:sz="0" w:space="0" w:color="auto"/>
      </w:divBdr>
    </w:div>
    <w:div w:id="459619025">
      <w:bodyDiv w:val="1"/>
      <w:marLeft w:val="0"/>
      <w:marRight w:val="0"/>
      <w:marTop w:val="0"/>
      <w:marBottom w:val="0"/>
      <w:divBdr>
        <w:top w:val="none" w:sz="0" w:space="0" w:color="auto"/>
        <w:left w:val="none" w:sz="0" w:space="0" w:color="auto"/>
        <w:bottom w:val="none" w:sz="0" w:space="0" w:color="auto"/>
        <w:right w:val="none" w:sz="0" w:space="0" w:color="auto"/>
      </w:divBdr>
    </w:div>
    <w:div w:id="459766260">
      <w:bodyDiv w:val="1"/>
      <w:marLeft w:val="0"/>
      <w:marRight w:val="0"/>
      <w:marTop w:val="0"/>
      <w:marBottom w:val="0"/>
      <w:divBdr>
        <w:top w:val="none" w:sz="0" w:space="0" w:color="auto"/>
        <w:left w:val="none" w:sz="0" w:space="0" w:color="auto"/>
        <w:bottom w:val="none" w:sz="0" w:space="0" w:color="auto"/>
        <w:right w:val="none" w:sz="0" w:space="0" w:color="auto"/>
      </w:divBdr>
    </w:div>
    <w:div w:id="459803566">
      <w:bodyDiv w:val="1"/>
      <w:marLeft w:val="0"/>
      <w:marRight w:val="0"/>
      <w:marTop w:val="0"/>
      <w:marBottom w:val="0"/>
      <w:divBdr>
        <w:top w:val="none" w:sz="0" w:space="0" w:color="auto"/>
        <w:left w:val="none" w:sz="0" w:space="0" w:color="auto"/>
        <w:bottom w:val="none" w:sz="0" w:space="0" w:color="auto"/>
        <w:right w:val="none" w:sz="0" w:space="0" w:color="auto"/>
      </w:divBdr>
    </w:div>
    <w:div w:id="459807461">
      <w:bodyDiv w:val="1"/>
      <w:marLeft w:val="0"/>
      <w:marRight w:val="0"/>
      <w:marTop w:val="0"/>
      <w:marBottom w:val="0"/>
      <w:divBdr>
        <w:top w:val="none" w:sz="0" w:space="0" w:color="auto"/>
        <w:left w:val="none" w:sz="0" w:space="0" w:color="auto"/>
        <w:bottom w:val="none" w:sz="0" w:space="0" w:color="auto"/>
        <w:right w:val="none" w:sz="0" w:space="0" w:color="auto"/>
      </w:divBdr>
    </w:div>
    <w:div w:id="460618352">
      <w:bodyDiv w:val="1"/>
      <w:marLeft w:val="0"/>
      <w:marRight w:val="0"/>
      <w:marTop w:val="0"/>
      <w:marBottom w:val="0"/>
      <w:divBdr>
        <w:top w:val="none" w:sz="0" w:space="0" w:color="auto"/>
        <w:left w:val="none" w:sz="0" w:space="0" w:color="auto"/>
        <w:bottom w:val="none" w:sz="0" w:space="0" w:color="auto"/>
        <w:right w:val="none" w:sz="0" w:space="0" w:color="auto"/>
      </w:divBdr>
    </w:div>
    <w:div w:id="460659288">
      <w:bodyDiv w:val="1"/>
      <w:marLeft w:val="0"/>
      <w:marRight w:val="0"/>
      <w:marTop w:val="0"/>
      <w:marBottom w:val="0"/>
      <w:divBdr>
        <w:top w:val="none" w:sz="0" w:space="0" w:color="auto"/>
        <w:left w:val="none" w:sz="0" w:space="0" w:color="auto"/>
        <w:bottom w:val="none" w:sz="0" w:space="0" w:color="auto"/>
        <w:right w:val="none" w:sz="0" w:space="0" w:color="auto"/>
      </w:divBdr>
    </w:div>
    <w:div w:id="460878218">
      <w:bodyDiv w:val="1"/>
      <w:marLeft w:val="0"/>
      <w:marRight w:val="0"/>
      <w:marTop w:val="0"/>
      <w:marBottom w:val="0"/>
      <w:divBdr>
        <w:top w:val="none" w:sz="0" w:space="0" w:color="auto"/>
        <w:left w:val="none" w:sz="0" w:space="0" w:color="auto"/>
        <w:bottom w:val="none" w:sz="0" w:space="0" w:color="auto"/>
        <w:right w:val="none" w:sz="0" w:space="0" w:color="auto"/>
      </w:divBdr>
    </w:div>
    <w:div w:id="461188779">
      <w:bodyDiv w:val="1"/>
      <w:marLeft w:val="0"/>
      <w:marRight w:val="0"/>
      <w:marTop w:val="0"/>
      <w:marBottom w:val="0"/>
      <w:divBdr>
        <w:top w:val="none" w:sz="0" w:space="0" w:color="auto"/>
        <w:left w:val="none" w:sz="0" w:space="0" w:color="auto"/>
        <w:bottom w:val="none" w:sz="0" w:space="0" w:color="auto"/>
        <w:right w:val="none" w:sz="0" w:space="0" w:color="auto"/>
      </w:divBdr>
    </w:div>
    <w:div w:id="462307578">
      <w:bodyDiv w:val="1"/>
      <w:marLeft w:val="0"/>
      <w:marRight w:val="0"/>
      <w:marTop w:val="0"/>
      <w:marBottom w:val="0"/>
      <w:divBdr>
        <w:top w:val="none" w:sz="0" w:space="0" w:color="auto"/>
        <w:left w:val="none" w:sz="0" w:space="0" w:color="auto"/>
        <w:bottom w:val="none" w:sz="0" w:space="0" w:color="auto"/>
        <w:right w:val="none" w:sz="0" w:space="0" w:color="auto"/>
      </w:divBdr>
    </w:div>
    <w:div w:id="462777414">
      <w:bodyDiv w:val="1"/>
      <w:marLeft w:val="0"/>
      <w:marRight w:val="0"/>
      <w:marTop w:val="0"/>
      <w:marBottom w:val="0"/>
      <w:divBdr>
        <w:top w:val="none" w:sz="0" w:space="0" w:color="auto"/>
        <w:left w:val="none" w:sz="0" w:space="0" w:color="auto"/>
        <w:bottom w:val="none" w:sz="0" w:space="0" w:color="auto"/>
        <w:right w:val="none" w:sz="0" w:space="0" w:color="auto"/>
      </w:divBdr>
    </w:div>
    <w:div w:id="462967498">
      <w:bodyDiv w:val="1"/>
      <w:marLeft w:val="0"/>
      <w:marRight w:val="0"/>
      <w:marTop w:val="0"/>
      <w:marBottom w:val="0"/>
      <w:divBdr>
        <w:top w:val="none" w:sz="0" w:space="0" w:color="auto"/>
        <w:left w:val="none" w:sz="0" w:space="0" w:color="auto"/>
        <w:bottom w:val="none" w:sz="0" w:space="0" w:color="auto"/>
        <w:right w:val="none" w:sz="0" w:space="0" w:color="auto"/>
      </w:divBdr>
    </w:div>
    <w:div w:id="463041499">
      <w:bodyDiv w:val="1"/>
      <w:marLeft w:val="0"/>
      <w:marRight w:val="0"/>
      <w:marTop w:val="0"/>
      <w:marBottom w:val="0"/>
      <w:divBdr>
        <w:top w:val="none" w:sz="0" w:space="0" w:color="auto"/>
        <w:left w:val="none" w:sz="0" w:space="0" w:color="auto"/>
        <w:bottom w:val="none" w:sz="0" w:space="0" w:color="auto"/>
        <w:right w:val="none" w:sz="0" w:space="0" w:color="auto"/>
      </w:divBdr>
    </w:div>
    <w:div w:id="464087424">
      <w:bodyDiv w:val="1"/>
      <w:marLeft w:val="0"/>
      <w:marRight w:val="0"/>
      <w:marTop w:val="0"/>
      <w:marBottom w:val="0"/>
      <w:divBdr>
        <w:top w:val="none" w:sz="0" w:space="0" w:color="auto"/>
        <w:left w:val="none" w:sz="0" w:space="0" w:color="auto"/>
        <w:bottom w:val="none" w:sz="0" w:space="0" w:color="auto"/>
        <w:right w:val="none" w:sz="0" w:space="0" w:color="auto"/>
      </w:divBdr>
    </w:div>
    <w:div w:id="464273392">
      <w:bodyDiv w:val="1"/>
      <w:marLeft w:val="0"/>
      <w:marRight w:val="0"/>
      <w:marTop w:val="0"/>
      <w:marBottom w:val="0"/>
      <w:divBdr>
        <w:top w:val="none" w:sz="0" w:space="0" w:color="auto"/>
        <w:left w:val="none" w:sz="0" w:space="0" w:color="auto"/>
        <w:bottom w:val="none" w:sz="0" w:space="0" w:color="auto"/>
        <w:right w:val="none" w:sz="0" w:space="0" w:color="auto"/>
      </w:divBdr>
    </w:div>
    <w:div w:id="464350493">
      <w:bodyDiv w:val="1"/>
      <w:marLeft w:val="0"/>
      <w:marRight w:val="0"/>
      <w:marTop w:val="0"/>
      <w:marBottom w:val="0"/>
      <w:divBdr>
        <w:top w:val="none" w:sz="0" w:space="0" w:color="auto"/>
        <w:left w:val="none" w:sz="0" w:space="0" w:color="auto"/>
        <w:bottom w:val="none" w:sz="0" w:space="0" w:color="auto"/>
        <w:right w:val="none" w:sz="0" w:space="0" w:color="auto"/>
      </w:divBdr>
    </w:div>
    <w:div w:id="464396050">
      <w:bodyDiv w:val="1"/>
      <w:marLeft w:val="0"/>
      <w:marRight w:val="0"/>
      <w:marTop w:val="0"/>
      <w:marBottom w:val="0"/>
      <w:divBdr>
        <w:top w:val="none" w:sz="0" w:space="0" w:color="auto"/>
        <w:left w:val="none" w:sz="0" w:space="0" w:color="auto"/>
        <w:bottom w:val="none" w:sz="0" w:space="0" w:color="auto"/>
        <w:right w:val="none" w:sz="0" w:space="0" w:color="auto"/>
      </w:divBdr>
    </w:div>
    <w:div w:id="465124243">
      <w:bodyDiv w:val="1"/>
      <w:marLeft w:val="0"/>
      <w:marRight w:val="0"/>
      <w:marTop w:val="0"/>
      <w:marBottom w:val="0"/>
      <w:divBdr>
        <w:top w:val="none" w:sz="0" w:space="0" w:color="auto"/>
        <w:left w:val="none" w:sz="0" w:space="0" w:color="auto"/>
        <w:bottom w:val="none" w:sz="0" w:space="0" w:color="auto"/>
        <w:right w:val="none" w:sz="0" w:space="0" w:color="auto"/>
      </w:divBdr>
    </w:div>
    <w:div w:id="465199615">
      <w:bodyDiv w:val="1"/>
      <w:marLeft w:val="0"/>
      <w:marRight w:val="0"/>
      <w:marTop w:val="0"/>
      <w:marBottom w:val="0"/>
      <w:divBdr>
        <w:top w:val="none" w:sz="0" w:space="0" w:color="auto"/>
        <w:left w:val="none" w:sz="0" w:space="0" w:color="auto"/>
        <w:bottom w:val="none" w:sz="0" w:space="0" w:color="auto"/>
        <w:right w:val="none" w:sz="0" w:space="0" w:color="auto"/>
      </w:divBdr>
    </w:div>
    <w:div w:id="465201946">
      <w:bodyDiv w:val="1"/>
      <w:marLeft w:val="0"/>
      <w:marRight w:val="0"/>
      <w:marTop w:val="0"/>
      <w:marBottom w:val="0"/>
      <w:divBdr>
        <w:top w:val="none" w:sz="0" w:space="0" w:color="auto"/>
        <w:left w:val="none" w:sz="0" w:space="0" w:color="auto"/>
        <w:bottom w:val="none" w:sz="0" w:space="0" w:color="auto"/>
        <w:right w:val="none" w:sz="0" w:space="0" w:color="auto"/>
      </w:divBdr>
    </w:div>
    <w:div w:id="465665302">
      <w:bodyDiv w:val="1"/>
      <w:marLeft w:val="0"/>
      <w:marRight w:val="0"/>
      <w:marTop w:val="0"/>
      <w:marBottom w:val="0"/>
      <w:divBdr>
        <w:top w:val="none" w:sz="0" w:space="0" w:color="auto"/>
        <w:left w:val="none" w:sz="0" w:space="0" w:color="auto"/>
        <w:bottom w:val="none" w:sz="0" w:space="0" w:color="auto"/>
        <w:right w:val="none" w:sz="0" w:space="0" w:color="auto"/>
      </w:divBdr>
    </w:div>
    <w:div w:id="465896003">
      <w:bodyDiv w:val="1"/>
      <w:marLeft w:val="0"/>
      <w:marRight w:val="0"/>
      <w:marTop w:val="0"/>
      <w:marBottom w:val="0"/>
      <w:divBdr>
        <w:top w:val="none" w:sz="0" w:space="0" w:color="auto"/>
        <w:left w:val="none" w:sz="0" w:space="0" w:color="auto"/>
        <w:bottom w:val="none" w:sz="0" w:space="0" w:color="auto"/>
        <w:right w:val="none" w:sz="0" w:space="0" w:color="auto"/>
      </w:divBdr>
    </w:div>
    <w:div w:id="466435503">
      <w:bodyDiv w:val="1"/>
      <w:marLeft w:val="0"/>
      <w:marRight w:val="0"/>
      <w:marTop w:val="0"/>
      <w:marBottom w:val="0"/>
      <w:divBdr>
        <w:top w:val="none" w:sz="0" w:space="0" w:color="auto"/>
        <w:left w:val="none" w:sz="0" w:space="0" w:color="auto"/>
        <w:bottom w:val="none" w:sz="0" w:space="0" w:color="auto"/>
        <w:right w:val="none" w:sz="0" w:space="0" w:color="auto"/>
      </w:divBdr>
    </w:div>
    <w:div w:id="466552304">
      <w:bodyDiv w:val="1"/>
      <w:marLeft w:val="0"/>
      <w:marRight w:val="0"/>
      <w:marTop w:val="0"/>
      <w:marBottom w:val="0"/>
      <w:divBdr>
        <w:top w:val="none" w:sz="0" w:space="0" w:color="auto"/>
        <w:left w:val="none" w:sz="0" w:space="0" w:color="auto"/>
        <w:bottom w:val="none" w:sz="0" w:space="0" w:color="auto"/>
        <w:right w:val="none" w:sz="0" w:space="0" w:color="auto"/>
      </w:divBdr>
    </w:div>
    <w:div w:id="466749795">
      <w:bodyDiv w:val="1"/>
      <w:marLeft w:val="0"/>
      <w:marRight w:val="0"/>
      <w:marTop w:val="0"/>
      <w:marBottom w:val="0"/>
      <w:divBdr>
        <w:top w:val="none" w:sz="0" w:space="0" w:color="auto"/>
        <w:left w:val="none" w:sz="0" w:space="0" w:color="auto"/>
        <w:bottom w:val="none" w:sz="0" w:space="0" w:color="auto"/>
        <w:right w:val="none" w:sz="0" w:space="0" w:color="auto"/>
      </w:divBdr>
    </w:div>
    <w:div w:id="466976041">
      <w:bodyDiv w:val="1"/>
      <w:marLeft w:val="0"/>
      <w:marRight w:val="0"/>
      <w:marTop w:val="0"/>
      <w:marBottom w:val="0"/>
      <w:divBdr>
        <w:top w:val="none" w:sz="0" w:space="0" w:color="auto"/>
        <w:left w:val="none" w:sz="0" w:space="0" w:color="auto"/>
        <w:bottom w:val="none" w:sz="0" w:space="0" w:color="auto"/>
        <w:right w:val="none" w:sz="0" w:space="0" w:color="auto"/>
      </w:divBdr>
    </w:div>
    <w:div w:id="467091743">
      <w:bodyDiv w:val="1"/>
      <w:marLeft w:val="0"/>
      <w:marRight w:val="0"/>
      <w:marTop w:val="0"/>
      <w:marBottom w:val="0"/>
      <w:divBdr>
        <w:top w:val="none" w:sz="0" w:space="0" w:color="auto"/>
        <w:left w:val="none" w:sz="0" w:space="0" w:color="auto"/>
        <w:bottom w:val="none" w:sz="0" w:space="0" w:color="auto"/>
        <w:right w:val="none" w:sz="0" w:space="0" w:color="auto"/>
      </w:divBdr>
    </w:div>
    <w:div w:id="467362937">
      <w:bodyDiv w:val="1"/>
      <w:marLeft w:val="0"/>
      <w:marRight w:val="0"/>
      <w:marTop w:val="0"/>
      <w:marBottom w:val="0"/>
      <w:divBdr>
        <w:top w:val="none" w:sz="0" w:space="0" w:color="auto"/>
        <w:left w:val="none" w:sz="0" w:space="0" w:color="auto"/>
        <w:bottom w:val="none" w:sz="0" w:space="0" w:color="auto"/>
        <w:right w:val="none" w:sz="0" w:space="0" w:color="auto"/>
      </w:divBdr>
    </w:div>
    <w:div w:id="467669175">
      <w:bodyDiv w:val="1"/>
      <w:marLeft w:val="0"/>
      <w:marRight w:val="0"/>
      <w:marTop w:val="0"/>
      <w:marBottom w:val="0"/>
      <w:divBdr>
        <w:top w:val="none" w:sz="0" w:space="0" w:color="auto"/>
        <w:left w:val="none" w:sz="0" w:space="0" w:color="auto"/>
        <w:bottom w:val="none" w:sz="0" w:space="0" w:color="auto"/>
        <w:right w:val="none" w:sz="0" w:space="0" w:color="auto"/>
      </w:divBdr>
    </w:div>
    <w:div w:id="467937308">
      <w:bodyDiv w:val="1"/>
      <w:marLeft w:val="0"/>
      <w:marRight w:val="0"/>
      <w:marTop w:val="0"/>
      <w:marBottom w:val="0"/>
      <w:divBdr>
        <w:top w:val="none" w:sz="0" w:space="0" w:color="auto"/>
        <w:left w:val="none" w:sz="0" w:space="0" w:color="auto"/>
        <w:bottom w:val="none" w:sz="0" w:space="0" w:color="auto"/>
        <w:right w:val="none" w:sz="0" w:space="0" w:color="auto"/>
      </w:divBdr>
    </w:div>
    <w:div w:id="467942853">
      <w:bodyDiv w:val="1"/>
      <w:marLeft w:val="0"/>
      <w:marRight w:val="0"/>
      <w:marTop w:val="0"/>
      <w:marBottom w:val="0"/>
      <w:divBdr>
        <w:top w:val="none" w:sz="0" w:space="0" w:color="auto"/>
        <w:left w:val="none" w:sz="0" w:space="0" w:color="auto"/>
        <w:bottom w:val="none" w:sz="0" w:space="0" w:color="auto"/>
        <w:right w:val="none" w:sz="0" w:space="0" w:color="auto"/>
      </w:divBdr>
    </w:div>
    <w:div w:id="468133675">
      <w:bodyDiv w:val="1"/>
      <w:marLeft w:val="0"/>
      <w:marRight w:val="0"/>
      <w:marTop w:val="0"/>
      <w:marBottom w:val="0"/>
      <w:divBdr>
        <w:top w:val="none" w:sz="0" w:space="0" w:color="auto"/>
        <w:left w:val="none" w:sz="0" w:space="0" w:color="auto"/>
        <w:bottom w:val="none" w:sz="0" w:space="0" w:color="auto"/>
        <w:right w:val="none" w:sz="0" w:space="0" w:color="auto"/>
      </w:divBdr>
    </w:div>
    <w:div w:id="468666501">
      <w:bodyDiv w:val="1"/>
      <w:marLeft w:val="0"/>
      <w:marRight w:val="0"/>
      <w:marTop w:val="0"/>
      <w:marBottom w:val="0"/>
      <w:divBdr>
        <w:top w:val="none" w:sz="0" w:space="0" w:color="auto"/>
        <w:left w:val="none" w:sz="0" w:space="0" w:color="auto"/>
        <w:bottom w:val="none" w:sz="0" w:space="0" w:color="auto"/>
        <w:right w:val="none" w:sz="0" w:space="0" w:color="auto"/>
      </w:divBdr>
    </w:div>
    <w:div w:id="468668233">
      <w:bodyDiv w:val="1"/>
      <w:marLeft w:val="0"/>
      <w:marRight w:val="0"/>
      <w:marTop w:val="0"/>
      <w:marBottom w:val="0"/>
      <w:divBdr>
        <w:top w:val="none" w:sz="0" w:space="0" w:color="auto"/>
        <w:left w:val="none" w:sz="0" w:space="0" w:color="auto"/>
        <w:bottom w:val="none" w:sz="0" w:space="0" w:color="auto"/>
        <w:right w:val="none" w:sz="0" w:space="0" w:color="auto"/>
      </w:divBdr>
    </w:div>
    <w:div w:id="468862504">
      <w:bodyDiv w:val="1"/>
      <w:marLeft w:val="0"/>
      <w:marRight w:val="0"/>
      <w:marTop w:val="0"/>
      <w:marBottom w:val="0"/>
      <w:divBdr>
        <w:top w:val="none" w:sz="0" w:space="0" w:color="auto"/>
        <w:left w:val="none" w:sz="0" w:space="0" w:color="auto"/>
        <w:bottom w:val="none" w:sz="0" w:space="0" w:color="auto"/>
        <w:right w:val="none" w:sz="0" w:space="0" w:color="auto"/>
      </w:divBdr>
    </w:div>
    <w:div w:id="468865375">
      <w:bodyDiv w:val="1"/>
      <w:marLeft w:val="0"/>
      <w:marRight w:val="0"/>
      <w:marTop w:val="0"/>
      <w:marBottom w:val="0"/>
      <w:divBdr>
        <w:top w:val="none" w:sz="0" w:space="0" w:color="auto"/>
        <w:left w:val="none" w:sz="0" w:space="0" w:color="auto"/>
        <w:bottom w:val="none" w:sz="0" w:space="0" w:color="auto"/>
        <w:right w:val="none" w:sz="0" w:space="0" w:color="auto"/>
      </w:divBdr>
    </w:div>
    <w:div w:id="469592127">
      <w:bodyDiv w:val="1"/>
      <w:marLeft w:val="0"/>
      <w:marRight w:val="0"/>
      <w:marTop w:val="0"/>
      <w:marBottom w:val="0"/>
      <w:divBdr>
        <w:top w:val="none" w:sz="0" w:space="0" w:color="auto"/>
        <w:left w:val="none" w:sz="0" w:space="0" w:color="auto"/>
        <w:bottom w:val="none" w:sz="0" w:space="0" w:color="auto"/>
        <w:right w:val="none" w:sz="0" w:space="0" w:color="auto"/>
      </w:divBdr>
    </w:div>
    <w:div w:id="469636009">
      <w:bodyDiv w:val="1"/>
      <w:marLeft w:val="0"/>
      <w:marRight w:val="0"/>
      <w:marTop w:val="0"/>
      <w:marBottom w:val="0"/>
      <w:divBdr>
        <w:top w:val="none" w:sz="0" w:space="0" w:color="auto"/>
        <w:left w:val="none" w:sz="0" w:space="0" w:color="auto"/>
        <w:bottom w:val="none" w:sz="0" w:space="0" w:color="auto"/>
        <w:right w:val="none" w:sz="0" w:space="0" w:color="auto"/>
      </w:divBdr>
    </w:div>
    <w:div w:id="469786909">
      <w:bodyDiv w:val="1"/>
      <w:marLeft w:val="0"/>
      <w:marRight w:val="0"/>
      <w:marTop w:val="0"/>
      <w:marBottom w:val="0"/>
      <w:divBdr>
        <w:top w:val="none" w:sz="0" w:space="0" w:color="auto"/>
        <w:left w:val="none" w:sz="0" w:space="0" w:color="auto"/>
        <w:bottom w:val="none" w:sz="0" w:space="0" w:color="auto"/>
        <w:right w:val="none" w:sz="0" w:space="0" w:color="auto"/>
      </w:divBdr>
    </w:div>
    <w:div w:id="470054205">
      <w:bodyDiv w:val="1"/>
      <w:marLeft w:val="0"/>
      <w:marRight w:val="0"/>
      <w:marTop w:val="0"/>
      <w:marBottom w:val="0"/>
      <w:divBdr>
        <w:top w:val="none" w:sz="0" w:space="0" w:color="auto"/>
        <w:left w:val="none" w:sz="0" w:space="0" w:color="auto"/>
        <w:bottom w:val="none" w:sz="0" w:space="0" w:color="auto"/>
        <w:right w:val="none" w:sz="0" w:space="0" w:color="auto"/>
      </w:divBdr>
    </w:div>
    <w:div w:id="470172822">
      <w:bodyDiv w:val="1"/>
      <w:marLeft w:val="0"/>
      <w:marRight w:val="0"/>
      <w:marTop w:val="0"/>
      <w:marBottom w:val="0"/>
      <w:divBdr>
        <w:top w:val="none" w:sz="0" w:space="0" w:color="auto"/>
        <w:left w:val="none" w:sz="0" w:space="0" w:color="auto"/>
        <w:bottom w:val="none" w:sz="0" w:space="0" w:color="auto"/>
        <w:right w:val="none" w:sz="0" w:space="0" w:color="auto"/>
      </w:divBdr>
    </w:div>
    <w:div w:id="470292432">
      <w:bodyDiv w:val="1"/>
      <w:marLeft w:val="0"/>
      <w:marRight w:val="0"/>
      <w:marTop w:val="0"/>
      <w:marBottom w:val="0"/>
      <w:divBdr>
        <w:top w:val="none" w:sz="0" w:space="0" w:color="auto"/>
        <w:left w:val="none" w:sz="0" w:space="0" w:color="auto"/>
        <w:bottom w:val="none" w:sz="0" w:space="0" w:color="auto"/>
        <w:right w:val="none" w:sz="0" w:space="0" w:color="auto"/>
      </w:divBdr>
    </w:div>
    <w:div w:id="470371705">
      <w:bodyDiv w:val="1"/>
      <w:marLeft w:val="0"/>
      <w:marRight w:val="0"/>
      <w:marTop w:val="0"/>
      <w:marBottom w:val="0"/>
      <w:divBdr>
        <w:top w:val="none" w:sz="0" w:space="0" w:color="auto"/>
        <w:left w:val="none" w:sz="0" w:space="0" w:color="auto"/>
        <w:bottom w:val="none" w:sz="0" w:space="0" w:color="auto"/>
        <w:right w:val="none" w:sz="0" w:space="0" w:color="auto"/>
      </w:divBdr>
    </w:div>
    <w:div w:id="470558589">
      <w:bodyDiv w:val="1"/>
      <w:marLeft w:val="0"/>
      <w:marRight w:val="0"/>
      <w:marTop w:val="0"/>
      <w:marBottom w:val="0"/>
      <w:divBdr>
        <w:top w:val="none" w:sz="0" w:space="0" w:color="auto"/>
        <w:left w:val="none" w:sz="0" w:space="0" w:color="auto"/>
        <w:bottom w:val="none" w:sz="0" w:space="0" w:color="auto"/>
        <w:right w:val="none" w:sz="0" w:space="0" w:color="auto"/>
      </w:divBdr>
    </w:div>
    <w:div w:id="470707645">
      <w:bodyDiv w:val="1"/>
      <w:marLeft w:val="0"/>
      <w:marRight w:val="0"/>
      <w:marTop w:val="0"/>
      <w:marBottom w:val="0"/>
      <w:divBdr>
        <w:top w:val="none" w:sz="0" w:space="0" w:color="auto"/>
        <w:left w:val="none" w:sz="0" w:space="0" w:color="auto"/>
        <w:bottom w:val="none" w:sz="0" w:space="0" w:color="auto"/>
        <w:right w:val="none" w:sz="0" w:space="0" w:color="auto"/>
      </w:divBdr>
    </w:div>
    <w:div w:id="470949114">
      <w:bodyDiv w:val="1"/>
      <w:marLeft w:val="0"/>
      <w:marRight w:val="0"/>
      <w:marTop w:val="0"/>
      <w:marBottom w:val="0"/>
      <w:divBdr>
        <w:top w:val="none" w:sz="0" w:space="0" w:color="auto"/>
        <w:left w:val="none" w:sz="0" w:space="0" w:color="auto"/>
        <w:bottom w:val="none" w:sz="0" w:space="0" w:color="auto"/>
        <w:right w:val="none" w:sz="0" w:space="0" w:color="auto"/>
      </w:divBdr>
    </w:div>
    <w:div w:id="471094675">
      <w:bodyDiv w:val="1"/>
      <w:marLeft w:val="0"/>
      <w:marRight w:val="0"/>
      <w:marTop w:val="0"/>
      <w:marBottom w:val="0"/>
      <w:divBdr>
        <w:top w:val="none" w:sz="0" w:space="0" w:color="auto"/>
        <w:left w:val="none" w:sz="0" w:space="0" w:color="auto"/>
        <w:bottom w:val="none" w:sz="0" w:space="0" w:color="auto"/>
        <w:right w:val="none" w:sz="0" w:space="0" w:color="auto"/>
      </w:divBdr>
    </w:div>
    <w:div w:id="471288935">
      <w:bodyDiv w:val="1"/>
      <w:marLeft w:val="0"/>
      <w:marRight w:val="0"/>
      <w:marTop w:val="0"/>
      <w:marBottom w:val="0"/>
      <w:divBdr>
        <w:top w:val="none" w:sz="0" w:space="0" w:color="auto"/>
        <w:left w:val="none" w:sz="0" w:space="0" w:color="auto"/>
        <w:bottom w:val="none" w:sz="0" w:space="0" w:color="auto"/>
        <w:right w:val="none" w:sz="0" w:space="0" w:color="auto"/>
      </w:divBdr>
    </w:div>
    <w:div w:id="471293081">
      <w:bodyDiv w:val="1"/>
      <w:marLeft w:val="0"/>
      <w:marRight w:val="0"/>
      <w:marTop w:val="0"/>
      <w:marBottom w:val="0"/>
      <w:divBdr>
        <w:top w:val="none" w:sz="0" w:space="0" w:color="auto"/>
        <w:left w:val="none" w:sz="0" w:space="0" w:color="auto"/>
        <w:bottom w:val="none" w:sz="0" w:space="0" w:color="auto"/>
        <w:right w:val="none" w:sz="0" w:space="0" w:color="auto"/>
      </w:divBdr>
    </w:div>
    <w:div w:id="471365712">
      <w:bodyDiv w:val="1"/>
      <w:marLeft w:val="0"/>
      <w:marRight w:val="0"/>
      <w:marTop w:val="0"/>
      <w:marBottom w:val="0"/>
      <w:divBdr>
        <w:top w:val="none" w:sz="0" w:space="0" w:color="auto"/>
        <w:left w:val="none" w:sz="0" w:space="0" w:color="auto"/>
        <w:bottom w:val="none" w:sz="0" w:space="0" w:color="auto"/>
        <w:right w:val="none" w:sz="0" w:space="0" w:color="auto"/>
      </w:divBdr>
    </w:div>
    <w:div w:id="471412615">
      <w:bodyDiv w:val="1"/>
      <w:marLeft w:val="0"/>
      <w:marRight w:val="0"/>
      <w:marTop w:val="0"/>
      <w:marBottom w:val="0"/>
      <w:divBdr>
        <w:top w:val="none" w:sz="0" w:space="0" w:color="auto"/>
        <w:left w:val="none" w:sz="0" w:space="0" w:color="auto"/>
        <w:bottom w:val="none" w:sz="0" w:space="0" w:color="auto"/>
        <w:right w:val="none" w:sz="0" w:space="0" w:color="auto"/>
      </w:divBdr>
    </w:div>
    <w:div w:id="471603325">
      <w:bodyDiv w:val="1"/>
      <w:marLeft w:val="0"/>
      <w:marRight w:val="0"/>
      <w:marTop w:val="0"/>
      <w:marBottom w:val="0"/>
      <w:divBdr>
        <w:top w:val="none" w:sz="0" w:space="0" w:color="auto"/>
        <w:left w:val="none" w:sz="0" w:space="0" w:color="auto"/>
        <w:bottom w:val="none" w:sz="0" w:space="0" w:color="auto"/>
        <w:right w:val="none" w:sz="0" w:space="0" w:color="auto"/>
      </w:divBdr>
    </w:div>
    <w:div w:id="471943604">
      <w:bodyDiv w:val="1"/>
      <w:marLeft w:val="0"/>
      <w:marRight w:val="0"/>
      <w:marTop w:val="0"/>
      <w:marBottom w:val="0"/>
      <w:divBdr>
        <w:top w:val="none" w:sz="0" w:space="0" w:color="auto"/>
        <w:left w:val="none" w:sz="0" w:space="0" w:color="auto"/>
        <w:bottom w:val="none" w:sz="0" w:space="0" w:color="auto"/>
        <w:right w:val="none" w:sz="0" w:space="0" w:color="auto"/>
      </w:divBdr>
    </w:div>
    <w:div w:id="472142483">
      <w:bodyDiv w:val="1"/>
      <w:marLeft w:val="0"/>
      <w:marRight w:val="0"/>
      <w:marTop w:val="0"/>
      <w:marBottom w:val="0"/>
      <w:divBdr>
        <w:top w:val="none" w:sz="0" w:space="0" w:color="auto"/>
        <w:left w:val="none" w:sz="0" w:space="0" w:color="auto"/>
        <w:bottom w:val="none" w:sz="0" w:space="0" w:color="auto"/>
        <w:right w:val="none" w:sz="0" w:space="0" w:color="auto"/>
      </w:divBdr>
    </w:div>
    <w:div w:id="472526976">
      <w:bodyDiv w:val="1"/>
      <w:marLeft w:val="0"/>
      <w:marRight w:val="0"/>
      <w:marTop w:val="0"/>
      <w:marBottom w:val="0"/>
      <w:divBdr>
        <w:top w:val="none" w:sz="0" w:space="0" w:color="auto"/>
        <w:left w:val="none" w:sz="0" w:space="0" w:color="auto"/>
        <w:bottom w:val="none" w:sz="0" w:space="0" w:color="auto"/>
        <w:right w:val="none" w:sz="0" w:space="0" w:color="auto"/>
      </w:divBdr>
    </w:div>
    <w:div w:id="472529611">
      <w:bodyDiv w:val="1"/>
      <w:marLeft w:val="0"/>
      <w:marRight w:val="0"/>
      <w:marTop w:val="0"/>
      <w:marBottom w:val="0"/>
      <w:divBdr>
        <w:top w:val="none" w:sz="0" w:space="0" w:color="auto"/>
        <w:left w:val="none" w:sz="0" w:space="0" w:color="auto"/>
        <w:bottom w:val="none" w:sz="0" w:space="0" w:color="auto"/>
        <w:right w:val="none" w:sz="0" w:space="0" w:color="auto"/>
      </w:divBdr>
    </w:div>
    <w:div w:id="472715366">
      <w:bodyDiv w:val="1"/>
      <w:marLeft w:val="0"/>
      <w:marRight w:val="0"/>
      <w:marTop w:val="0"/>
      <w:marBottom w:val="0"/>
      <w:divBdr>
        <w:top w:val="none" w:sz="0" w:space="0" w:color="auto"/>
        <w:left w:val="none" w:sz="0" w:space="0" w:color="auto"/>
        <w:bottom w:val="none" w:sz="0" w:space="0" w:color="auto"/>
        <w:right w:val="none" w:sz="0" w:space="0" w:color="auto"/>
      </w:divBdr>
    </w:div>
    <w:div w:id="472792695">
      <w:bodyDiv w:val="1"/>
      <w:marLeft w:val="0"/>
      <w:marRight w:val="0"/>
      <w:marTop w:val="0"/>
      <w:marBottom w:val="0"/>
      <w:divBdr>
        <w:top w:val="none" w:sz="0" w:space="0" w:color="auto"/>
        <w:left w:val="none" w:sz="0" w:space="0" w:color="auto"/>
        <w:bottom w:val="none" w:sz="0" w:space="0" w:color="auto"/>
        <w:right w:val="none" w:sz="0" w:space="0" w:color="auto"/>
      </w:divBdr>
    </w:div>
    <w:div w:id="472873206">
      <w:bodyDiv w:val="1"/>
      <w:marLeft w:val="0"/>
      <w:marRight w:val="0"/>
      <w:marTop w:val="0"/>
      <w:marBottom w:val="0"/>
      <w:divBdr>
        <w:top w:val="none" w:sz="0" w:space="0" w:color="auto"/>
        <w:left w:val="none" w:sz="0" w:space="0" w:color="auto"/>
        <w:bottom w:val="none" w:sz="0" w:space="0" w:color="auto"/>
        <w:right w:val="none" w:sz="0" w:space="0" w:color="auto"/>
      </w:divBdr>
    </w:div>
    <w:div w:id="473181764">
      <w:bodyDiv w:val="1"/>
      <w:marLeft w:val="0"/>
      <w:marRight w:val="0"/>
      <w:marTop w:val="0"/>
      <w:marBottom w:val="0"/>
      <w:divBdr>
        <w:top w:val="none" w:sz="0" w:space="0" w:color="auto"/>
        <w:left w:val="none" w:sz="0" w:space="0" w:color="auto"/>
        <w:bottom w:val="none" w:sz="0" w:space="0" w:color="auto"/>
        <w:right w:val="none" w:sz="0" w:space="0" w:color="auto"/>
      </w:divBdr>
    </w:div>
    <w:div w:id="473529180">
      <w:bodyDiv w:val="1"/>
      <w:marLeft w:val="0"/>
      <w:marRight w:val="0"/>
      <w:marTop w:val="0"/>
      <w:marBottom w:val="0"/>
      <w:divBdr>
        <w:top w:val="none" w:sz="0" w:space="0" w:color="auto"/>
        <w:left w:val="none" w:sz="0" w:space="0" w:color="auto"/>
        <w:bottom w:val="none" w:sz="0" w:space="0" w:color="auto"/>
        <w:right w:val="none" w:sz="0" w:space="0" w:color="auto"/>
      </w:divBdr>
    </w:div>
    <w:div w:id="473569111">
      <w:bodyDiv w:val="1"/>
      <w:marLeft w:val="0"/>
      <w:marRight w:val="0"/>
      <w:marTop w:val="0"/>
      <w:marBottom w:val="0"/>
      <w:divBdr>
        <w:top w:val="none" w:sz="0" w:space="0" w:color="auto"/>
        <w:left w:val="none" w:sz="0" w:space="0" w:color="auto"/>
        <w:bottom w:val="none" w:sz="0" w:space="0" w:color="auto"/>
        <w:right w:val="none" w:sz="0" w:space="0" w:color="auto"/>
      </w:divBdr>
    </w:div>
    <w:div w:id="473641656">
      <w:bodyDiv w:val="1"/>
      <w:marLeft w:val="0"/>
      <w:marRight w:val="0"/>
      <w:marTop w:val="0"/>
      <w:marBottom w:val="0"/>
      <w:divBdr>
        <w:top w:val="none" w:sz="0" w:space="0" w:color="auto"/>
        <w:left w:val="none" w:sz="0" w:space="0" w:color="auto"/>
        <w:bottom w:val="none" w:sz="0" w:space="0" w:color="auto"/>
        <w:right w:val="none" w:sz="0" w:space="0" w:color="auto"/>
      </w:divBdr>
    </w:div>
    <w:div w:id="474223556">
      <w:bodyDiv w:val="1"/>
      <w:marLeft w:val="0"/>
      <w:marRight w:val="0"/>
      <w:marTop w:val="0"/>
      <w:marBottom w:val="0"/>
      <w:divBdr>
        <w:top w:val="none" w:sz="0" w:space="0" w:color="auto"/>
        <w:left w:val="none" w:sz="0" w:space="0" w:color="auto"/>
        <w:bottom w:val="none" w:sz="0" w:space="0" w:color="auto"/>
        <w:right w:val="none" w:sz="0" w:space="0" w:color="auto"/>
      </w:divBdr>
    </w:div>
    <w:div w:id="474223932">
      <w:bodyDiv w:val="1"/>
      <w:marLeft w:val="0"/>
      <w:marRight w:val="0"/>
      <w:marTop w:val="0"/>
      <w:marBottom w:val="0"/>
      <w:divBdr>
        <w:top w:val="none" w:sz="0" w:space="0" w:color="auto"/>
        <w:left w:val="none" w:sz="0" w:space="0" w:color="auto"/>
        <w:bottom w:val="none" w:sz="0" w:space="0" w:color="auto"/>
        <w:right w:val="none" w:sz="0" w:space="0" w:color="auto"/>
      </w:divBdr>
    </w:div>
    <w:div w:id="474417248">
      <w:bodyDiv w:val="1"/>
      <w:marLeft w:val="0"/>
      <w:marRight w:val="0"/>
      <w:marTop w:val="0"/>
      <w:marBottom w:val="0"/>
      <w:divBdr>
        <w:top w:val="none" w:sz="0" w:space="0" w:color="auto"/>
        <w:left w:val="none" w:sz="0" w:space="0" w:color="auto"/>
        <w:bottom w:val="none" w:sz="0" w:space="0" w:color="auto"/>
        <w:right w:val="none" w:sz="0" w:space="0" w:color="auto"/>
      </w:divBdr>
    </w:div>
    <w:div w:id="474494142">
      <w:bodyDiv w:val="1"/>
      <w:marLeft w:val="0"/>
      <w:marRight w:val="0"/>
      <w:marTop w:val="0"/>
      <w:marBottom w:val="0"/>
      <w:divBdr>
        <w:top w:val="none" w:sz="0" w:space="0" w:color="auto"/>
        <w:left w:val="none" w:sz="0" w:space="0" w:color="auto"/>
        <w:bottom w:val="none" w:sz="0" w:space="0" w:color="auto"/>
        <w:right w:val="none" w:sz="0" w:space="0" w:color="auto"/>
      </w:divBdr>
    </w:div>
    <w:div w:id="474643755">
      <w:bodyDiv w:val="1"/>
      <w:marLeft w:val="0"/>
      <w:marRight w:val="0"/>
      <w:marTop w:val="0"/>
      <w:marBottom w:val="0"/>
      <w:divBdr>
        <w:top w:val="none" w:sz="0" w:space="0" w:color="auto"/>
        <w:left w:val="none" w:sz="0" w:space="0" w:color="auto"/>
        <w:bottom w:val="none" w:sz="0" w:space="0" w:color="auto"/>
        <w:right w:val="none" w:sz="0" w:space="0" w:color="auto"/>
      </w:divBdr>
    </w:div>
    <w:div w:id="474644028">
      <w:bodyDiv w:val="1"/>
      <w:marLeft w:val="0"/>
      <w:marRight w:val="0"/>
      <w:marTop w:val="0"/>
      <w:marBottom w:val="0"/>
      <w:divBdr>
        <w:top w:val="none" w:sz="0" w:space="0" w:color="auto"/>
        <w:left w:val="none" w:sz="0" w:space="0" w:color="auto"/>
        <w:bottom w:val="none" w:sz="0" w:space="0" w:color="auto"/>
        <w:right w:val="none" w:sz="0" w:space="0" w:color="auto"/>
      </w:divBdr>
    </w:div>
    <w:div w:id="474758678">
      <w:bodyDiv w:val="1"/>
      <w:marLeft w:val="0"/>
      <w:marRight w:val="0"/>
      <w:marTop w:val="0"/>
      <w:marBottom w:val="0"/>
      <w:divBdr>
        <w:top w:val="none" w:sz="0" w:space="0" w:color="auto"/>
        <w:left w:val="none" w:sz="0" w:space="0" w:color="auto"/>
        <w:bottom w:val="none" w:sz="0" w:space="0" w:color="auto"/>
        <w:right w:val="none" w:sz="0" w:space="0" w:color="auto"/>
      </w:divBdr>
    </w:div>
    <w:div w:id="474758738">
      <w:bodyDiv w:val="1"/>
      <w:marLeft w:val="0"/>
      <w:marRight w:val="0"/>
      <w:marTop w:val="0"/>
      <w:marBottom w:val="0"/>
      <w:divBdr>
        <w:top w:val="none" w:sz="0" w:space="0" w:color="auto"/>
        <w:left w:val="none" w:sz="0" w:space="0" w:color="auto"/>
        <w:bottom w:val="none" w:sz="0" w:space="0" w:color="auto"/>
        <w:right w:val="none" w:sz="0" w:space="0" w:color="auto"/>
      </w:divBdr>
    </w:div>
    <w:div w:id="474762673">
      <w:bodyDiv w:val="1"/>
      <w:marLeft w:val="0"/>
      <w:marRight w:val="0"/>
      <w:marTop w:val="0"/>
      <w:marBottom w:val="0"/>
      <w:divBdr>
        <w:top w:val="none" w:sz="0" w:space="0" w:color="auto"/>
        <w:left w:val="none" w:sz="0" w:space="0" w:color="auto"/>
        <w:bottom w:val="none" w:sz="0" w:space="0" w:color="auto"/>
        <w:right w:val="none" w:sz="0" w:space="0" w:color="auto"/>
      </w:divBdr>
    </w:div>
    <w:div w:id="474836443">
      <w:bodyDiv w:val="1"/>
      <w:marLeft w:val="0"/>
      <w:marRight w:val="0"/>
      <w:marTop w:val="0"/>
      <w:marBottom w:val="0"/>
      <w:divBdr>
        <w:top w:val="none" w:sz="0" w:space="0" w:color="auto"/>
        <w:left w:val="none" w:sz="0" w:space="0" w:color="auto"/>
        <w:bottom w:val="none" w:sz="0" w:space="0" w:color="auto"/>
        <w:right w:val="none" w:sz="0" w:space="0" w:color="auto"/>
      </w:divBdr>
    </w:div>
    <w:div w:id="475412609">
      <w:bodyDiv w:val="1"/>
      <w:marLeft w:val="0"/>
      <w:marRight w:val="0"/>
      <w:marTop w:val="0"/>
      <w:marBottom w:val="0"/>
      <w:divBdr>
        <w:top w:val="none" w:sz="0" w:space="0" w:color="auto"/>
        <w:left w:val="none" w:sz="0" w:space="0" w:color="auto"/>
        <w:bottom w:val="none" w:sz="0" w:space="0" w:color="auto"/>
        <w:right w:val="none" w:sz="0" w:space="0" w:color="auto"/>
      </w:divBdr>
    </w:div>
    <w:div w:id="475495914">
      <w:bodyDiv w:val="1"/>
      <w:marLeft w:val="0"/>
      <w:marRight w:val="0"/>
      <w:marTop w:val="0"/>
      <w:marBottom w:val="0"/>
      <w:divBdr>
        <w:top w:val="none" w:sz="0" w:space="0" w:color="auto"/>
        <w:left w:val="none" w:sz="0" w:space="0" w:color="auto"/>
        <w:bottom w:val="none" w:sz="0" w:space="0" w:color="auto"/>
        <w:right w:val="none" w:sz="0" w:space="0" w:color="auto"/>
      </w:divBdr>
    </w:div>
    <w:div w:id="475726593">
      <w:bodyDiv w:val="1"/>
      <w:marLeft w:val="0"/>
      <w:marRight w:val="0"/>
      <w:marTop w:val="0"/>
      <w:marBottom w:val="0"/>
      <w:divBdr>
        <w:top w:val="none" w:sz="0" w:space="0" w:color="auto"/>
        <w:left w:val="none" w:sz="0" w:space="0" w:color="auto"/>
        <w:bottom w:val="none" w:sz="0" w:space="0" w:color="auto"/>
        <w:right w:val="none" w:sz="0" w:space="0" w:color="auto"/>
      </w:divBdr>
    </w:div>
    <w:div w:id="475879246">
      <w:bodyDiv w:val="1"/>
      <w:marLeft w:val="0"/>
      <w:marRight w:val="0"/>
      <w:marTop w:val="0"/>
      <w:marBottom w:val="0"/>
      <w:divBdr>
        <w:top w:val="none" w:sz="0" w:space="0" w:color="auto"/>
        <w:left w:val="none" w:sz="0" w:space="0" w:color="auto"/>
        <w:bottom w:val="none" w:sz="0" w:space="0" w:color="auto"/>
        <w:right w:val="none" w:sz="0" w:space="0" w:color="auto"/>
      </w:divBdr>
    </w:div>
    <w:div w:id="476797312">
      <w:bodyDiv w:val="1"/>
      <w:marLeft w:val="0"/>
      <w:marRight w:val="0"/>
      <w:marTop w:val="0"/>
      <w:marBottom w:val="0"/>
      <w:divBdr>
        <w:top w:val="none" w:sz="0" w:space="0" w:color="auto"/>
        <w:left w:val="none" w:sz="0" w:space="0" w:color="auto"/>
        <w:bottom w:val="none" w:sz="0" w:space="0" w:color="auto"/>
        <w:right w:val="none" w:sz="0" w:space="0" w:color="auto"/>
      </w:divBdr>
    </w:div>
    <w:div w:id="477066047">
      <w:bodyDiv w:val="1"/>
      <w:marLeft w:val="0"/>
      <w:marRight w:val="0"/>
      <w:marTop w:val="0"/>
      <w:marBottom w:val="0"/>
      <w:divBdr>
        <w:top w:val="none" w:sz="0" w:space="0" w:color="auto"/>
        <w:left w:val="none" w:sz="0" w:space="0" w:color="auto"/>
        <w:bottom w:val="none" w:sz="0" w:space="0" w:color="auto"/>
        <w:right w:val="none" w:sz="0" w:space="0" w:color="auto"/>
      </w:divBdr>
    </w:div>
    <w:div w:id="478110914">
      <w:bodyDiv w:val="1"/>
      <w:marLeft w:val="0"/>
      <w:marRight w:val="0"/>
      <w:marTop w:val="0"/>
      <w:marBottom w:val="0"/>
      <w:divBdr>
        <w:top w:val="none" w:sz="0" w:space="0" w:color="auto"/>
        <w:left w:val="none" w:sz="0" w:space="0" w:color="auto"/>
        <w:bottom w:val="none" w:sz="0" w:space="0" w:color="auto"/>
        <w:right w:val="none" w:sz="0" w:space="0" w:color="auto"/>
      </w:divBdr>
    </w:div>
    <w:div w:id="478572682">
      <w:bodyDiv w:val="1"/>
      <w:marLeft w:val="0"/>
      <w:marRight w:val="0"/>
      <w:marTop w:val="0"/>
      <w:marBottom w:val="0"/>
      <w:divBdr>
        <w:top w:val="none" w:sz="0" w:space="0" w:color="auto"/>
        <w:left w:val="none" w:sz="0" w:space="0" w:color="auto"/>
        <w:bottom w:val="none" w:sz="0" w:space="0" w:color="auto"/>
        <w:right w:val="none" w:sz="0" w:space="0" w:color="auto"/>
      </w:divBdr>
    </w:div>
    <w:div w:id="479807681">
      <w:bodyDiv w:val="1"/>
      <w:marLeft w:val="0"/>
      <w:marRight w:val="0"/>
      <w:marTop w:val="0"/>
      <w:marBottom w:val="0"/>
      <w:divBdr>
        <w:top w:val="none" w:sz="0" w:space="0" w:color="auto"/>
        <w:left w:val="none" w:sz="0" w:space="0" w:color="auto"/>
        <w:bottom w:val="none" w:sz="0" w:space="0" w:color="auto"/>
        <w:right w:val="none" w:sz="0" w:space="0" w:color="auto"/>
      </w:divBdr>
    </w:div>
    <w:div w:id="479857056">
      <w:bodyDiv w:val="1"/>
      <w:marLeft w:val="0"/>
      <w:marRight w:val="0"/>
      <w:marTop w:val="0"/>
      <w:marBottom w:val="0"/>
      <w:divBdr>
        <w:top w:val="none" w:sz="0" w:space="0" w:color="auto"/>
        <w:left w:val="none" w:sz="0" w:space="0" w:color="auto"/>
        <w:bottom w:val="none" w:sz="0" w:space="0" w:color="auto"/>
        <w:right w:val="none" w:sz="0" w:space="0" w:color="auto"/>
      </w:divBdr>
    </w:div>
    <w:div w:id="479927731">
      <w:bodyDiv w:val="1"/>
      <w:marLeft w:val="0"/>
      <w:marRight w:val="0"/>
      <w:marTop w:val="0"/>
      <w:marBottom w:val="0"/>
      <w:divBdr>
        <w:top w:val="none" w:sz="0" w:space="0" w:color="auto"/>
        <w:left w:val="none" w:sz="0" w:space="0" w:color="auto"/>
        <w:bottom w:val="none" w:sz="0" w:space="0" w:color="auto"/>
        <w:right w:val="none" w:sz="0" w:space="0" w:color="auto"/>
      </w:divBdr>
    </w:div>
    <w:div w:id="480003587">
      <w:bodyDiv w:val="1"/>
      <w:marLeft w:val="0"/>
      <w:marRight w:val="0"/>
      <w:marTop w:val="0"/>
      <w:marBottom w:val="0"/>
      <w:divBdr>
        <w:top w:val="none" w:sz="0" w:space="0" w:color="auto"/>
        <w:left w:val="none" w:sz="0" w:space="0" w:color="auto"/>
        <w:bottom w:val="none" w:sz="0" w:space="0" w:color="auto"/>
        <w:right w:val="none" w:sz="0" w:space="0" w:color="auto"/>
      </w:divBdr>
    </w:div>
    <w:div w:id="480118481">
      <w:bodyDiv w:val="1"/>
      <w:marLeft w:val="0"/>
      <w:marRight w:val="0"/>
      <w:marTop w:val="0"/>
      <w:marBottom w:val="0"/>
      <w:divBdr>
        <w:top w:val="none" w:sz="0" w:space="0" w:color="auto"/>
        <w:left w:val="none" w:sz="0" w:space="0" w:color="auto"/>
        <w:bottom w:val="none" w:sz="0" w:space="0" w:color="auto"/>
        <w:right w:val="none" w:sz="0" w:space="0" w:color="auto"/>
      </w:divBdr>
    </w:div>
    <w:div w:id="480387428">
      <w:bodyDiv w:val="1"/>
      <w:marLeft w:val="0"/>
      <w:marRight w:val="0"/>
      <w:marTop w:val="0"/>
      <w:marBottom w:val="0"/>
      <w:divBdr>
        <w:top w:val="none" w:sz="0" w:space="0" w:color="auto"/>
        <w:left w:val="none" w:sz="0" w:space="0" w:color="auto"/>
        <w:bottom w:val="none" w:sz="0" w:space="0" w:color="auto"/>
        <w:right w:val="none" w:sz="0" w:space="0" w:color="auto"/>
      </w:divBdr>
    </w:div>
    <w:div w:id="480580209">
      <w:bodyDiv w:val="1"/>
      <w:marLeft w:val="0"/>
      <w:marRight w:val="0"/>
      <w:marTop w:val="0"/>
      <w:marBottom w:val="0"/>
      <w:divBdr>
        <w:top w:val="none" w:sz="0" w:space="0" w:color="auto"/>
        <w:left w:val="none" w:sz="0" w:space="0" w:color="auto"/>
        <w:bottom w:val="none" w:sz="0" w:space="0" w:color="auto"/>
        <w:right w:val="none" w:sz="0" w:space="0" w:color="auto"/>
      </w:divBdr>
    </w:div>
    <w:div w:id="481044582">
      <w:bodyDiv w:val="1"/>
      <w:marLeft w:val="0"/>
      <w:marRight w:val="0"/>
      <w:marTop w:val="0"/>
      <w:marBottom w:val="0"/>
      <w:divBdr>
        <w:top w:val="none" w:sz="0" w:space="0" w:color="auto"/>
        <w:left w:val="none" w:sz="0" w:space="0" w:color="auto"/>
        <w:bottom w:val="none" w:sz="0" w:space="0" w:color="auto"/>
        <w:right w:val="none" w:sz="0" w:space="0" w:color="auto"/>
      </w:divBdr>
    </w:div>
    <w:div w:id="481194523">
      <w:bodyDiv w:val="1"/>
      <w:marLeft w:val="0"/>
      <w:marRight w:val="0"/>
      <w:marTop w:val="0"/>
      <w:marBottom w:val="0"/>
      <w:divBdr>
        <w:top w:val="none" w:sz="0" w:space="0" w:color="auto"/>
        <w:left w:val="none" w:sz="0" w:space="0" w:color="auto"/>
        <w:bottom w:val="none" w:sz="0" w:space="0" w:color="auto"/>
        <w:right w:val="none" w:sz="0" w:space="0" w:color="auto"/>
      </w:divBdr>
    </w:div>
    <w:div w:id="481384072">
      <w:bodyDiv w:val="1"/>
      <w:marLeft w:val="0"/>
      <w:marRight w:val="0"/>
      <w:marTop w:val="0"/>
      <w:marBottom w:val="0"/>
      <w:divBdr>
        <w:top w:val="none" w:sz="0" w:space="0" w:color="auto"/>
        <w:left w:val="none" w:sz="0" w:space="0" w:color="auto"/>
        <w:bottom w:val="none" w:sz="0" w:space="0" w:color="auto"/>
        <w:right w:val="none" w:sz="0" w:space="0" w:color="auto"/>
      </w:divBdr>
    </w:div>
    <w:div w:id="481504324">
      <w:bodyDiv w:val="1"/>
      <w:marLeft w:val="0"/>
      <w:marRight w:val="0"/>
      <w:marTop w:val="0"/>
      <w:marBottom w:val="0"/>
      <w:divBdr>
        <w:top w:val="none" w:sz="0" w:space="0" w:color="auto"/>
        <w:left w:val="none" w:sz="0" w:space="0" w:color="auto"/>
        <w:bottom w:val="none" w:sz="0" w:space="0" w:color="auto"/>
        <w:right w:val="none" w:sz="0" w:space="0" w:color="auto"/>
      </w:divBdr>
    </w:div>
    <w:div w:id="481583103">
      <w:bodyDiv w:val="1"/>
      <w:marLeft w:val="0"/>
      <w:marRight w:val="0"/>
      <w:marTop w:val="0"/>
      <w:marBottom w:val="0"/>
      <w:divBdr>
        <w:top w:val="none" w:sz="0" w:space="0" w:color="auto"/>
        <w:left w:val="none" w:sz="0" w:space="0" w:color="auto"/>
        <w:bottom w:val="none" w:sz="0" w:space="0" w:color="auto"/>
        <w:right w:val="none" w:sz="0" w:space="0" w:color="auto"/>
      </w:divBdr>
    </w:div>
    <w:div w:id="481655067">
      <w:bodyDiv w:val="1"/>
      <w:marLeft w:val="0"/>
      <w:marRight w:val="0"/>
      <w:marTop w:val="0"/>
      <w:marBottom w:val="0"/>
      <w:divBdr>
        <w:top w:val="none" w:sz="0" w:space="0" w:color="auto"/>
        <w:left w:val="none" w:sz="0" w:space="0" w:color="auto"/>
        <w:bottom w:val="none" w:sz="0" w:space="0" w:color="auto"/>
        <w:right w:val="none" w:sz="0" w:space="0" w:color="auto"/>
      </w:divBdr>
    </w:div>
    <w:div w:id="481701478">
      <w:bodyDiv w:val="1"/>
      <w:marLeft w:val="0"/>
      <w:marRight w:val="0"/>
      <w:marTop w:val="0"/>
      <w:marBottom w:val="0"/>
      <w:divBdr>
        <w:top w:val="none" w:sz="0" w:space="0" w:color="auto"/>
        <w:left w:val="none" w:sz="0" w:space="0" w:color="auto"/>
        <w:bottom w:val="none" w:sz="0" w:space="0" w:color="auto"/>
        <w:right w:val="none" w:sz="0" w:space="0" w:color="auto"/>
      </w:divBdr>
    </w:div>
    <w:div w:id="481852343">
      <w:bodyDiv w:val="1"/>
      <w:marLeft w:val="0"/>
      <w:marRight w:val="0"/>
      <w:marTop w:val="0"/>
      <w:marBottom w:val="0"/>
      <w:divBdr>
        <w:top w:val="none" w:sz="0" w:space="0" w:color="auto"/>
        <w:left w:val="none" w:sz="0" w:space="0" w:color="auto"/>
        <w:bottom w:val="none" w:sz="0" w:space="0" w:color="auto"/>
        <w:right w:val="none" w:sz="0" w:space="0" w:color="auto"/>
      </w:divBdr>
    </w:div>
    <w:div w:id="482166926">
      <w:bodyDiv w:val="1"/>
      <w:marLeft w:val="0"/>
      <w:marRight w:val="0"/>
      <w:marTop w:val="0"/>
      <w:marBottom w:val="0"/>
      <w:divBdr>
        <w:top w:val="none" w:sz="0" w:space="0" w:color="auto"/>
        <w:left w:val="none" w:sz="0" w:space="0" w:color="auto"/>
        <w:bottom w:val="none" w:sz="0" w:space="0" w:color="auto"/>
        <w:right w:val="none" w:sz="0" w:space="0" w:color="auto"/>
      </w:divBdr>
    </w:div>
    <w:div w:id="482281257">
      <w:bodyDiv w:val="1"/>
      <w:marLeft w:val="0"/>
      <w:marRight w:val="0"/>
      <w:marTop w:val="0"/>
      <w:marBottom w:val="0"/>
      <w:divBdr>
        <w:top w:val="none" w:sz="0" w:space="0" w:color="auto"/>
        <w:left w:val="none" w:sz="0" w:space="0" w:color="auto"/>
        <w:bottom w:val="none" w:sz="0" w:space="0" w:color="auto"/>
        <w:right w:val="none" w:sz="0" w:space="0" w:color="auto"/>
      </w:divBdr>
    </w:div>
    <w:div w:id="482432928">
      <w:bodyDiv w:val="1"/>
      <w:marLeft w:val="0"/>
      <w:marRight w:val="0"/>
      <w:marTop w:val="0"/>
      <w:marBottom w:val="0"/>
      <w:divBdr>
        <w:top w:val="none" w:sz="0" w:space="0" w:color="auto"/>
        <w:left w:val="none" w:sz="0" w:space="0" w:color="auto"/>
        <w:bottom w:val="none" w:sz="0" w:space="0" w:color="auto"/>
        <w:right w:val="none" w:sz="0" w:space="0" w:color="auto"/>
      </w:divBdr>
    </w:div>
    <w:div w:id="483473884">
      <w:bodyDiv w:val="1"/>
      <w:marLeft w:val="0"/>
      <w:marRight w:val="0"/>
      <w:marTop w:val="0"/>
      <w:marBottom w:val="0"/>
      <w:divBdr>
        <w:top w:val="none" w:sz="0" w:space="0" w:color="auto"/>
        <w:left w:val="none" w:sz="0" w:space="0" w:color="auto"/>
        <w:bottom w:val="none" w:sz="0" w:space="0" w:color="auto"/>
        <w:right w:val="none" w:sz="0" w:space="0" w:color="auto"/>
      </w:divBdr>
    </w:div>
    <w:div w:id="483620645">
      <w:bodyDiv w:val="1"/>
      <w:marLeft w:val="0"/>
      <w:marRight w:val="0"/>
      <w:marTop w:val="0"/>
      <w:marBottom w:val="0"/>
      <w:divBdr>
        <w:top w:val="none" w:sz="0" w:space="0" w:color="auto"/>
        <w:left w:val="none" w:sz="0" w:space="0" w:color="auto"/>
        <w:bottom w:val="none" w:sz="0" w:space="0" w:color="auto"/>
        <w:right w:val="none" w:sz="0" w:space="0" w:color="auto"/>
      </w:divBdr>
    </w:div>
    <w:div w:id="483745987">
      <w:bodyDiv w:val="1"/>
      <w:marLeft w:val="0"/>
      <w:marRight w:val="0"/>
      <w:marTop w:val="0"/>
      <w:marBottom w:val="0"/>
      <w:divBdr>
        <w:top w:val="none" w:sz="0" w:space="0" w:color="auto"/>
        <w:left w:val="none" w:sz="0" w:space="0" w:color="auto"/>
        <w:bottom w:val="none" w:sz="0" w:space="0" w:color="auto"/>
        <w:right w:val="none" w:sz="0" w:space="0" w:color="auto"/>
      </w:divBdr>
    </w:div>
    <w:div w:id="484904718">
      <w:bodyDiv w:val="1"/>
      <w:marLeft w:val="0"/>
      <w:marRight w:val="0"/>
      <w:marTop w:val="0"/>
      <w:marBottom w:val="0"/>
      <w:divBdr>
        <w:top w:val="none" w:sz="0" w:space="0" w:color="auto"/>
        <w:left w:val="none" w:sz="0" w:space="0" w:color="auto"/>
        <w:bottom w:val="none" w:sz="0" w:space="0" w:color="auto"/>
        <w:right w:val="none" w:sz="0" w:space="0" w:color="auto"/>
      </w:divBdr>
    </w:div>
    <w:div w:id="485247920">
      <w:bodyDiv w:val="1"/>
      <w:marLeft w:val="0"/>
      <w:marRight w:val="0"/>
      <w:marTop w:val="0"/>
      <w:marBottom w:val="0"/>
      <w:divBdr>
        <w:top w:val="none" w:sz="0" w:space="0" w:color="auto"/>
        <w:left w:val="none" w:sz="0" w:space="0" w:color="auto"/>
        <w:bottom w:val="none" w:sz="0" w:space="0" w:color="auto"/>
        <w:right w:val="none" w:sz="0" w:space="0" w:color="auto"/>
      </w:divBdr>
    </w:div>
    <w:div w:id="485319170">
      <w:bodyDiv w:val="1"/>
      <w:marLeft w:val="0"/>
      <w:marRight w:val="0"/>
      <w:marTop w:val="0"/>
      <w:marBottom w:val="0"/>
      <w:divBdr>
        <w:top w:val="none" w:sz="0" w:space="0" w:color="auto"/>
        <w:left w:val="none" w:sz="0" w:space="0" w:color="auto"/>
        <w:bottom w:val="none" w:sz="0" w:space="0" w:color="auto"/>
        <w:right w:val="none" w:sz="0" w:space="0" w:color="auto"/>
      </w:divBdr>
    </w:div>
    <w:div w:id="485518431">
      <w:bodyDiv w:val="1"/>
      <w:marLeft w:val="0"/>
      <w:marRight w:val="0"/>
      <w:marTop w:val="0"/>
      <w:marBottom w:val="0"/>
      <w:divBdr>
        <w:top w:val="none" w:sz="0" w:space="0" w:color="auto"/>
        <w:left w:val="none" w:sz="0" w:space="0" w:color="auto"/>
        <w:bottom w:val="none" w:sz="0" w:space="0" w:color="auto"/>
        <w:right w:val="none" w:sz="0" w:space="0" w:color="auto"/>
      </w:divBdr>
    </w:div>
    <w:div w:id="485635823">
      <w:bodyDiv w:val="1"/>
      <w:marLeft w:val="0"/>
      <w:marRight w:val="0"/>
      <w:marTop w:val="0"/>
      <w:marBottom w:val="0"/>
      <w:divBdr>
        <w:top w:val="none" w:sz="0" w:space="0" w:color="auto"/>
        <w:left w:val="none" w:sz="0" w:space="0" w:color="auto"/>
        <w:bottom w:val="none" w:sz="0" w:space="0" w:color="auto"/>
        <w:right w:val="none" w:sz="0" w:space="0" w:color="auto"/>
      </w:divBdr>
    </w:div>
    <w:div w:id="486172263">
      <w:bodyDiv w:val="1"/>
      <w:marLeft w:val="0"/>
      <w:marRight w:val="0"/>
      <w:marTop w:val="0"/>
      <w:marBottom w:val="0"/>
      <w:divBdr>
        <w:top w:val="none" w:sz="0" w:space="0" w:color="auto"/>
        <w:left w:val="none" w:sz="0" w:space="0" w:color="auto"/>
        <w:bottom w:val="none" w:sz="0" w:space="0" w:color="auto"/>
        <w:right w:val="none" w:sz="0" w:space="0" w:color="auto"/>
      </w:divBdr>
    </w:div>
    <w:div w:id="486213801">
      <w:bodyDiv w:val="1"/>
      <w:marLeft w:val="0"/>
      <w:marRight w:val="0"/>
      <w:marTop w:val="0"/>
      <w:marBottom w:val="0"/>
      <w:divBdr>
        <w:top w:val="none" w:sz="0" w:space="0" w:color="auto"/>
        <w:left w:val="none" w:sz="0" w:space="0" w:color="auto"/>
        <w:bottom w:val="none" w:sz="0" w:space="0" w:color="auto"/>
        <w:right w:val="none" w:sz="0" w:space="0" w:color="auto"/>
      </w:divBdr>
    </w:div>
    <w:div w:id="486240589">
      <w:bodyDiv w:val="1"/>
      <w:marLeft w:val="0"/>
      <w:marRight w:val="0"/>
      <w:marTop w:val="0"/>
      <w:marBottom w:val="0"/>
      <w:divBdr>
        <w:top w:val="none" w:sz="0" w:space="0" w:color="auto"/>
        <w:left w:val="none" w:sz="0" w:space="0" w:color="auto"/>
        <w:bottom w:val="none" w:sz="0" w:space="0" w:color="auto"/>
        <w:right w:val="none" w:sz="0" w:space="0" w:color="auto"/>
      </w:divBdr>
    </w:div>
    <w:div w:id="486819996">
      <w:bodyDiv w:val="1"/>
      <w:marLeft w:val="0"/>
      <w:marRight w:val="0"/>
      <w:marTop w:val="0"/>
      <w:marBottom w:val="0"/>
      <w:divBdr>
        <w:top w:val="none" w:sz="0" w:space="0" w:color="auto"/>
        <w:left w:val="none" w:sz="0" w:space="0" w:color="auto"/>
        <w:bottom w:val="none" w:sz="0" w:space="0" w:color="auto"/>
        <w:right w:val="none" w:sz="0" w:space="0" w:color="auto"/>
      </w:divBdr>
    </w:div>
    <w:div w:id="487210376">
      <w:bodyDiv w:val="1"/>
      <w:marLeft w:val="0"/>
      <w:marRight w:val="0"/>
      <w:marTop w:val="0"/>
      <w:marBottom w:val="0"/>
      <w:divBdr>
        <w:top w:val="none" w:sz="0" w:space="0" w:color="auto"/>
        <w:left w:val="none" w:sz="0" w:space="0" w:color="auto"/>
        <w:bottom w:val="none" w:sz="0" w:space="0" w:color="auto"/>
        <w:right w:val="none" w:sz="0" w:space="0" w:color="auto"/>
      </w:divBdr>
    </w:div>
    <w:div w:id="487408239">
      <w:bodyDiv w:val="1"/>
      <w:marLeft w:val="0"/>
      <w:marRight w:val="0"/>
      <w:marTop w:val="0"/>
      <w:marBottom w:val="0"/>
      <w:divBdr>
        <w:top w:val="none" w:sz="0" w:space="0" w:color="auto"/>
        <w:left w:val="none" w:sz="0" w:space="0" w:color="auto"/>
        <w:bottom w:val="none" w:sz="0" w:space="0" w:color="auto"/>
        <w:right w:val="none" w:sz="0" w:space="0" w:color="auto"/>
      </w:divBdr>
    </w:div>
    <w:div w:id="487477070">
      <w:bodyDiv w:val="1"/>
      <w:marLeft w:val="0"/>
      <w:marRight w:val="0"/>
      <w:marTop w:val="0"/>
      <w:marBottom w:val="0"/>
      <w:divBdr>
        <w:top w:val="none" w:sz="0" w:space="0" w:color="auto"/>
        <w:left w:val="none" w:sz="0" w:space="0" w:color="auto"/>
        <w:bottom w:val="none" w:sz="0" w:space="0" w:color="auto"/>
        <w:right w:val="none" w:sz="0" w:space="0" w:color="auto"/>
      </w:divBdr>
    </w:div>
    <w:div w:id="487749045">
      <w:bodyDiv w:val="1"/>
      <w:marLeft w:val="0"/>
      <w:marRight w:val="0"/>
      <w:marTop w:val="0"/>
      <w:marBottom w:val="0"/>
      <w:divBdr>
        <w:top w:val="none" w:sz="0" w:space="0" w:color="auto"/>
        <w:left w:val="none" w:sz="0" w:space="0" w:color="auto"/>
        <w:bottom w:val="none" w:sz="0" w:space="0" w:color="auto"/>
        <w:right w:val="none" w:sz="0" w:space="0" w:color="auto"/>
      </w:divBdr>
    </w:div>
    <w:div w:id="487937721">
      <w:bodyDiv w:val="1"/>
      <w:marLeft w:val="0"/>
      <w:marRight w:val="0"/>
      <w:marTop w:val="0"/>
      <w:marBottom w:val="0"/>
      <w:divBdr>
        <w:top w:val="none" w:sz="0" w:space="0" w:color="auto"/>
        <w:left w:val="none" w:sz="0" w:space="0" w:color="auto"/>
        <w:bottom w:val="none" w:sz="0" w:space="0" w:color="auto"/>
        <w:right w:val="none" w:sz="0" w:space="0" w:color="auto"/>
      </w:divBdr>
    </w:div>
    <w:div w:id="487940114">
      <w:bodyDiv w:val="1"/>
      <w:marLeft w:val="0"/>
      <w:marRight w:val="0"/>
      <w:marTop w:val="0"/>
      <w:marBottom w:val="0"/>
      <w:divBdr>
        <w:top w:val="none" w:sz="0" w:space="0" w:color="auto"/>
        <w:left w:val="none" w:sz="0" w:space="0" w:color="auto"/>
        <w:bottom w:val="none" w:sz="0" w:space="0" w:color="auto"/>
        <w:right w:val="none" w:sz="0" w:space="0" w:color="auto"/>
      </w:divBdr>
    </w:div>
    <w:div w:id="488253258">
      <w:bodyDiv w:val="1"/>
      <w:marLeft w:val="0"/>
      <w:marRight w:val="0"/>
      <w:marTop w:val="0"/>
      <w:marBottom w:val="0"/>
      <w:divBdr>
        <w:top w:val="none" w:sz="0" w:space="0" w:color="auto"/>
        <w:left w:val="none" w:sz="0" w:space="0" w:color="auto"/>
        <w:bottom w:val="none" w:sz="0" w:space="0" w:color="auto"/>
        <w:right w:val="none" w:sz="0" w:space="0" w:color="auto"/>
      </w:divBdr>
    </w:div>
    <w:div w:id="488601557">
      <w:bodyDiv w:val="1"/>
      <w:marLeft w:val="0"/>
      <w:marRight w:val="0"/>
      <w:marTop w:val="0"/>
      <w:marBottom w:val="0"/>
      <w:divBdr>
        <w:top w:val="none" w:sz="0" w:space="0" w:color="auto"/>
        <w:left w:val="none" w:sz="0" w:space="0" w:color="auto"/>
        <w:bottom w:val="none" w:sz="0" w:space="0" w:color="auto"/>
        <w:right w:val="none" w:sz="0" w:space="0" w:color="auto"/>
      </w:divBdr>
    </w:div>
    <w:div w:id="488718974">
      <w:bodyDiv w:val="1"/>
      <w:marLeft w:val="0"/>
      <w:marRight w:val="0"/>
      <w:marTop w:val="0"/>
      <w:marBottom w:val="0"/>
      <w:divBdr>
        <w:top w:val="none" w:sz="0" w:space="0" w:color="auto"/>
        <w:left w:val="none" w:sz="0" w:space="0" w:color="auto"/>
        <w:bottom w:val="none" w:sz="0" w:space="0" w:color="auto"/>
        <w:right w:val="none" w:sz="0" w:space="0" w:color="auto"/>
      </w:divBdr>
    </w:div>
    <w:div w:id="489448164">
      <w:bodyDiv w:val="1"/>
      <w:marLeft w:val="0"/>
      <w:marRight w:val="0"/>
      <w:marTop w:val="0"/>
      <w:marBottom w:val="0"/>
      <w:divBdr>
        <w:top w:val="none" w:sz="0" w:space="0" w:color="auto"/>
        <w:left w:val="none" w:sz="0" w:space="0" w:color="auto"/>
        <w:bottom w:val="none" w:sz="0" w:space="0" w:color="auto"/>
        <w:right w:val="none" w:sz="0" w:space="0" w:color="auto"/>
      </w:divBdr>
    </w:div>
    <w:div w:id="489449828">
      <w:bodyDiv w:val="1"/>
      <w:marLeft w:val="0"/>
      <w:marRight w:val="0"/>
      <w:marTop w:val="0"/>
      <w:marBottom w:val="0"/>
      <w:divBdr>
        <w:top w:val="none" w:sz="0" w:space="0" w:color="auto"/>
        <w:left w:val="none" w:sz="0" w:space="0" w:color="auto"/>
        <w:bottom w:val="none" w:sz="0" w:space="0" w:color="auto"/>
        <w:right w:val="none" w:sz="0" w:space="0" w:color="auto"/>
      </w:divBdr>
    </w:div>
    <w:div w:id="489716320">
      <w:bodyDiv w:val="1"/>
      <w:marLeft w:val="0"/>
      <w:marRight w:val="0"/>
      <w:marTop w:val="0"/>
      <w:marBottom w:val="0"/>
      <w:divBdr>
        <w:top w:val="none" w:sz="0" w:space="0" w:color="auto"/>
        <w:left w:val="none" w:sz="0" w:space="0" w:color="auto"/>
        <w:bottom w:val="none" w:sz="0" w:space="0" w:color="auto"/>
        <w:right w:val="none" w:sz="0" w:space="0" w:color="auto"/>
      </w:divBdr>
    </w:div>
    <w:div w:id="489904533">
      <w:bodyDiv w:val="1"/>
      <w:marLeft w:val="0"/>
      <w:marRight w:val="0"/>
      <w:marTop w:val="0"/>
      <w:marBottom w:val="0"/>
      <w:divBdr>
        <w:top w:val="none" w:sz="0" w:space="0" w:color="auto"/>
        <w:left w:val="none" w:sz="0" w:space="0" w:color="auto"/>
        <w:bottom w:val="none" w:sz="0" w:space="0" w:color="auto"/>
        <w:right w:val="none" w:sz="0" w:space="0" w:color="auto"/>
      </w:divBdr>
    </w:div>
    <w:div w:id="490020911">
      <w:bodyDiv w:val="1"/>
      <w:marLeft w:val="0"/>
      <w:marRight w:val="0"/>
      <w:marTop w:val="0"/>
      <w:marBottom w:val="0"/>
      <w:divBdr>
        <w:top w:val="none" w:sz="0" w:space="0" w:color="auto"/>
        <w:left w:val="none" w:sz="0" w:space="0" w:color="auto"/>
        <w:bottom w:val="none" w:sz="0" w:space="0" w:color="auto"/>
        <w:right w:val="none" w:sz="0" w:space="0" w:color="auto"/>
      </w:divBdr>
    </w:div>
    <w:div w:id="490291696">
      <w:bodyDiv w:val="1"/>
      <w:marLeft w:val="0"/>
      <w:marRight w:val="0"/>
      <w:marTop w:val="0"/>
      <w:marBottom w:val="0"/>
      <w:divBdr>
        <w:top w:val="none" w:sz="0" w:space="0" w:color="auto"/>
        <w:left w:val="none" w:sz="0" w:space="0" w:color="auto"/>
        <w:bottom w:val="none" w:sz="0" w:space="0" w:color="auto"/>
        <w:right w:val="none" w:sz="0" w:space="0" w:color="auto"/>
      </w:divBdr>
    </w:div>
    <w:div w:id="490366175">
      <w:bodyDiv w:val="1"/>
      <w:marLeft w:val="0"/>
      <w:marRight w:val="0"/>
      <w:marTop w:val="0"/>
      <w:marBottom w:val="0"/>
      <w:divBdr>
        <w:top w:val="none" w:sz="0" w:space="0" w:color="auto"/>
        <w:left w:val="none" w:sz="0" w:space="0" w:color="auto"/>
        <w:bottom w:val="none" w:sz="0" w:space="0" w:color="auto"/>
        <w:right w:val="none" w:sz="0" w:space="0" w:color="auto"/>
      </w:divBdr>
    </w:div>
    <w:div w:id="490369514">
      <w:bodyDiv w:val="1"/>
      <w:marLeft w:val="0"/>
      <w:marRight w:val="0"/>
      <w:marTop w:val="0"/>
      <w:marBottom w:val="0"/>
      <w:divBdr>
        <w:top w:val="none" w:sz="0" w:space="0" w:color="auto"/>
        <w:left w:val="none" w:sz="0" w:space="0" w:color="auto"/>
        <w:bottom w:val="none" w:sz="0" w:space="0" w:color="auto"/>
        <w:right w:val="none" w:sz="0" w:space="0" w:color="auto"/>
      </w:divBdr>
    </w:div>
    <w:div w:id="490684697">
      <w:bodyDiv w:val="1"/>
      <w:marLeft w:val="0"/>
      <w:marRight w:val="0"/>
      <w:marTop w:val="0"/>
      <w:marBottom w:val="0"/>
      <w:divBdr>
        <w:top w:val="none" w:sz="0" w:space="0" w:color="auto"/>
        <w:left w:val="none" w:sz="0" w:space="0" w:color="auto"/>
        <w:bottom w:val="none" w:sz="0" w:space="0" w:color="auto"/>
        <w:right w:val="none" w:sz="0" w:space="0" w:color="auto"/>
      </w:divBdr>
    </w:div>
    <w:div w:id="490757242">
      <w:bodyDiv w:val="1"/>
      <w:marLeft w:val="0"/>
      <w:marRight w:val="0"/>
      <w:marTop w:val="0"/>
      <w:marBottom w:val="0"/>
      <w:divBdr>
        <w:top w:val="none" w:sz="0" w:space="0" w:color="auto"/>
        <w:left w:val="none" w:sz="0" w:space="0" w:color="auto"/>
        <w:bottom w:val="none" w:sz="0" w:space="0" w:color="auto"/>
        <w:right w:val="none" w:sz="0" w:space="0" w:color="auto"/>
      </w:divBdr>
    </w:div>
    <w:div w:id="491258735">
      <w:bodyDiv w:val="1"/>
      <w:marLeft w:val="0"/>
      <w:marRight w:val="0"/>
      <w:marTop w:val="0"/>
      <w:marBottom w:val="0"/>
      <w:divBdr>
        <w:top w:val="none" w:sz="0" w:space="0" w:color="auto"/>
        <w:left w:val="none" w:sz="0" w:space="0" w:color="auto"/>
        <w:bottom w:val="none" w:sz="0" w:space="0" w:color="auto"/>
        <w:right w:val="none" w:sz="0" w:space="0" w:color="auto"/>
      </w:divBdr>
    </w:div>
    <w:div w:id="491406515">
      <w:bodyDiv w:val="1"/>
      <w:marLeft w:val="0"/>
      <w:marRight w:val="0"/>
      <w:marTop w:val="0"/>
      <w:marBottom w:val="0"/>
      <w:divBdr>
        <w:top w:val="none" w:sz="0" w:space="0" w:color="auto"/>
        <w:left w:val="none" w:sz="0" w:space="0" w:color="auto"/>
        <w:bottom w:val="none" w:sz="0" w:space="0" w:color="auto"/>
        <w:right w:val="none" w:sz="0" w:space="0" w:color="auto"/>
      </w:divBdr>
    </w:div>
    <w:div w:id="491994553">
      <w:bodyDiv w:val="1"/>
      <w:marLeft w:val="0"/>
      <w:marRight w:val="0"/>
      <w:marTop w:val="0"/>
      <w:marBottom w:val="0"/>
      <w:divBdr>
        <w:top w:val="none" w:sz="0" w:space="0" w:color="auto"/>
        <w:left w:val="none" w:sz="0" w:space="0" w:color="auto"/>
        <w:bottom w:val="none" w:sz="0" w:space="0" w:color="auto"/>
        <w:right w:val="none" w:sz="0" w:space="0" w:color="auto"/>
      </w:divBdr>
    </w:div>
    <w:div w:id="492261068">
      <w:bodyDiv w:val="1"/>
      <w:marLeft w:val="0"/>
      <w:marRight w:val="0"/>
      <w:marTop w:val="0"/>
      <w:marBottom w:val="0"/>
      <w:divBdr>
        <w:top w:val="none" w:sz="0" w:space="0" w:color="auto"/>
        <w:left w:val="none" w:sz="0" w:space="0" w:color="auto"/>
        <w:bottom w:val="none" w:sz="0" w:space="0" w:color="auto"/>
        <w:right w:val="none" w:sz="0" w:space="0" w:color="auto"/>
      </w:divBdr>
    </w:div>
    <w:div w:id="493186896">
      <w:bodyDiv w:val="1"/>
      <w:marLeft w:val="0"/>
      <w:marRight w:val="0"/>
      <w:marTop w:val="0"/>
      <w:marBottom w:val="0"/>
      <w:divBdr>
        <w:top w:val="none" w:sz="0" w:space="0" w:color="auto"/>
        <w:left w:val="none" w:sz="0" w:space="0" w:color="auto"/>
        <w:bottom w:val="none" w:sz="0" w:space="0" w:color="auto"/>
        <w:right w:val="none" w:sz="0" w:space="0" w:color="auto"/>
      </w:divBdr>
    </w:div>
    <w:div w:id="493641632">
      <w:bodyDiv w:val="1"/>
      <w:marLeft w:val="0"/>
      <w:marRight w:val="0"/>
      <w:marTop w:val="0"/>
      <w:marBottom w:val="0"/>
      <w:divBdr>
        <w:top w:val="none" w:sz="0" w:space="0" w:color="auto"/>
        <w:left w:val="none" w:sz="0" w:space="0" w:color="auto"/>
        <w:bottom w:val="none" w:sz="0" w:space="0" w:color="auto"/>
        <w:right w:val="none" w:sz="0" w:space="0" w:color="auto"/>
      </w:divBdr>
    </w:div>
    <w:div w:id="493839365">
      <w:bodyDiv w:val="1"/>
      <w:marLeft w:val="0"/>
      <w:marRight w:val="0"/>
      <w:marTop w:val="0"/>
      <w:marBottom w:val="0"/>
      <w:divBdr>
        <w:top w:val="none" w:sz="0" w:space="0" w:color="auto"/>
        <w:left w:val="none" w:sz="0" w:space="0" w:color="auto"/>
        <w:bottom w:val="none" w:sz="0" w:space="0" w:color="auto"/>
        <w:right w:val="none" w:sz="0" w:space="0" w:color="auto"/>
      </w:divBdr>
    </w:div>
    <w:div w:id="494037091">
      <w:bodyDiv w:val="1"/>
      <w:marLeft w:val="0"/>
      <w:marRight w:val="0"/>
      <w:marTop w:val="0"/>
      <w:marBottom w:val="0"/>
      <w:divBdr>
        <w:top w:val="none" w:sz="0" w:space="0" w:color="auto"/>
        <w:left w:val="none" w:sz="0" w:space="0" w:color="auto"/>
        <w:bottom w:val="none" w:sz="0" w:space="0" w:color="auto"/>
        <w:right w:val="none" w:sz="0" w:space="0" w:color="auto"/>
      </w:divBdr>
    </w:div>
    <w:div w:id="494414884">
      <w:bodyDiv w:val="1"/>
      <w:marLeft w:val="0"/>
      <w:marRight w:val="0"/>
      <w:marTop w:val="0"/>
      <w:marBottom w:val="0"/>
      <w:divBdr>
        <w:top w:val="none" w:sz="0" w:space="0" w:color="auto"/>
        <w:left w:val="none" w:sz="0" w:space="0" w:color="auto"/>
        <w:bottom w:val="none" w:sz="0" w:space="0" w:color="auto"/>
        <w:right w:val="none" w:sz="0" w:space="0" w:color="auto"/>
      </w:divBdr>
    </w:div>
    <w:div w:id="494734474">
      <w:bodyDiv w:val="1"/>
      <w:marLeft w:val="0"/>
      <w:marRight w:val="0"/>
      <w:marTop w:val="0"/>
      <w:marBottom w:val="0"/>
      <w:divBdr>
        <w:top w:val="none" w:sz="0" w:space="0" w:color="auto"/>
        <w:left w:val="none" w:sz="0" w:space="0" w:color="auto"/>
        <w:bottom w:val="none" w:sz="0" w:space="0" w:color="auto"/>
        <w:right w:val="none" w:sz="0" w:space="0" w:color="auto"/>
      </w:divBdr>
    </w:div>
    <w:div w:id="494762985">
      <w:bodyDiv w:val="1"/>
      <w:marLeft w:val="0"/>
      <w:marRight w:val="0"/>
      <w:marTop w:val="0"/>
      <w:marBottom w:val="0"/>
      <w:divBdr>
        <w:top w:val="none" w:sz="0" w:space="0" w:color="auto"/>
        <w:left w:val="none" w:sz="0" w:space="0" w:color="auto"/>
        <w:bottom w:val="none" w:sz="0" w:space="0" w:color="auto"/>
        <w:right w:val="none" w:sz="0" w:space="0" w:color="auto"/>
      </w:divBdr>
    </w:div>
    <w:div w:id="495459425">
      <w:bodyDiv w:val="1"/>
      <w:marLeft w:val="0"/>
      <w:marRight w:val="0"/>
      <w:marTop w:val="0"/>
      <w:marBottom w:val="0"/>
      <w:divBdr>
        <w:top w:val="none" w:sz="0" w:space="0" w:color="auto"/>
        <w:left w:val="none" w:sz="0" w:space="0" w:color="auto"/>
        <w:bottom w:val="none" w:sz="0" w:space="0" w:color="auto"/>
        <w:right w:val="none" w:sz="0" w:space="0" w:color="auto"/>
      </w:divBdr>
    </w:div>
    <w:div w:id="495460798">
      <w:bodyDiv w:val="1"/>
      <w:marLeft w:val="0"/>
      <w:marRight w:val="0"/>
      <w:marTop w:val="0"/>
      <w:marBottom w:val="0"/>
      <w:divBdr>
        <w:top w:val="none" w:sz="0" w:space="0" w:color="auto"/>
        <w:left w:val="none" w:sz="0" w:space="0" w:color="auto"/>
        <w:bottom w:val="none" w:sz="0" w:space="0" w:color="auto"/>
        <w:right w:val="none" w:sz="0" w:space="0" w:color="auto"/>
      </w:divBdr>
    </w:div>
    <w:div w:id="495606636">
      <w:bodyDiv w:val="1"/>
      <w:marLeft w:val="0"/>
      <w:marRight w:val="0"/>
      <w:marTop w:val="0"/>
      <w:marBottom w:val="0"/>
      <w:divBdr>
        <w:top w:val="none" w:sz="0" w:space="0" w:color="auto"/>
        <w:left w:val="none" w:sz="0" w:space="0" w:color="auto"/>
        <w:bottom w:val="none" w:sz="0" w:space="0" w:color="auto"/>
        <w:right w:val="none" w:sz="0" w:space="0" w:color="auto"/>
      </w:divBdr>
    </w:div>
    <w:div w:id="495924503">
      <w:bodyDiv w:val="1"/>
      <w:marLeft w:val="0"/>
      <w:marRight w:val="0"/>
      <w:marTop w:val="0"/>
      <w:marBottom w:val="0"/>
      <w:divBdr>
        <w:top w:val="none" w:sz="0" w:space="0" w:color="auto"/>
        <w:left w:val="none" w:sz="0" w:space="0" w:color="auto"/>
        <w:bottom w:val="none" w:sz="0" w:space="0" w:color="auto"/>
        <w:right w:val="none" w:sz="0" w:space="0" w:color="auto"/>
      </w:divBdr>
    </w:div>
    <w:div w:id="495998364">
      <w:bodyDiv w:val="1"/>
      <w:marLeft w:val="0"/>
      <w:marRight w:val="0"/>
      <w:marTop w:val="0"/>
      <w:marBottom w:val="0"/>
      <w:divBdr>
        <w:top w:val="none" w:sz="0" w:space="0" w:color="auto"/>
        <w:left w:val="none" w:sz="0" w:space="0" w:color="auto"/>
        <w:bottom w:val="none" w:sz="0" w:space="0" w:color="auto"/>
        <w:right w:val="none" w:sz="0" w:space="0" w:color="auto"/>
      </w:divBdr>
    </w:div>
    <w:div w:id="496115548">
      <w:bodyDiv w:val="1"/>
      <w:marLeft w:val="0"/>
      <w:marRight w:val="0"/>
      <w:marTop w:val="0"/>
      <w:marBottom w:val="0"/>
      <w:divBdr>
        <w:top w:val="none" w:sz="0" w:space="0" w:color="auto"/>
        <w:left w:val="none" w:sz="0" w:space="0" w:color="auto"/>
        <w:bottom w:val="none" w:sz="0" w:space="0" w:color="auto"/>
        <w:right w:val="none" w:sz="0" w:space="0" w:color="auto"/>
      </w:divBdr>
    </w:div>
    <w:div w:id="496265079">
      <w:bodyDiv w:val="1"/>
      <w:marLeft w:val="0"/>
      <w:marRight w:val="0"/>
      <w:marTop w:val="0"/>
      <w:marBottom w:val="0"/>
      <w:divBdr>
        <w:top w:val="none" w:sz="0" w:space="0" w:color="auto"/>
        <w:left w:val="none" w:sz="0" w:space="0" w:color="auto"/>
        <w:bottom w:val="none" w:sz="0" w:space="0" w:color="auto"/>
        <w:right w:val="none" w:sz="0" w:space="0" w:color="auto"/>
      </w:divBdr>
    </w:div>
    <w:div w:id="496577274">
      <w:bodyDiv w:val="1"/>
      <w:marLeft w:val="0"/>
      <w:marRight w:val="0"/>
      <w:marTop w:val="0"/>
      <w:marBottom w:val="0"/>
      <w:divBdr>
        <w:top w:val="none" w:sz="0" w:space="0" w:color="auto"/>
        <w:left w:val="none" w:sz="0" w:space="0" w:color="auto"/>
        <w:bottom w:val="none" w:sz="0" w:space="0" w:color="auto"/>
        <w:right w:val="none" w:sz="0" w:space="0" w:color="auto"/>
      </w:divBdr>
    </w:div>
    <w:div w:id="496847868">
      <w:bodyDiv w:val="1"/>
      <w:marLeft w:val="0"/>
      <w:marRight w:val="0"/>
      <w:marTop w:val="0"/>
      <w:marBottom w:val="0"/>
      <w:divBdr>
        <w:top w:val="none" w:sz="0" w:space="0" w:color="auto"/>
        <w:left w:val="none" w:sz="0" w:space="0" w:color="auto"/>
        <w:bottom w:val="none" w:sz="0" w:space="0" w:color="auto"/>
        <w:right w:val="none" w:sz="0" w:space="0" w:color="auto"/>
      </w:divBdr>
    </w:div>
    <w:div w:id="497186248">
      <w:bodyDiv w:val="1"/>
      <w:marLeft w:val="0"/>
      <w:marRight w:val="0"/>
      <w:marTop w:val="0"/>
      <w:marBottom w:val="0"/>
      <w:divBdr>
        <w:top w:val="none" w:sz="0" w:space="0" w:color="auto"/>
        <w:left w:val="none" w:sz="0" w:space="0" w:color="auto"/>
        <w:bottom w:val="none" w:sz="0" w:space="0" w:color="auto"/>
        <w:right w:val="none" w:sz="0" w:space="0" w:color="auto"/>
      </w:divBdr>
    </w:div>
    <w:div w:id="497501218">
      <w:bodyDiv w:val="1"/>
      <w:marLeft w:val="0"/>
      <w:marRight w:val="0"/>
      <w:marTop w:val="0"/>
      <w:marBottom w:val="0"/>
      <w:divBdr>
        <w:top w:val="none" w:sz="0" w:space="0" w:color="auto"/>
        <w:left w:val="none" w:sz="0" w:space="0" w:color="auto"/>
        <w:bottom w:val="none" w:sz="0" w:space="0" w:color="auto"/>
        <w:right w:val="none" w:sz="0" w:space="0" w:color="auto"/>
      </w:divBdr>
    </w:div>
    <w:div w:id="498038707">
      <w:bodyDiv w:val="1"/>
      <w:marLeft w:val="0"/>
      <w:marRight w:val="0"/>
      <w:marTop w:val="0"/>
      <w:marBottom w:val="0"/>
      <w:divBdr>
        <w:top w:val="none" w:sz="0" w:space="0" w:color="auto"/>
        <w:left w:val="none" w:sz="0" w:space="0" w:color="auto"/>
        <w:bottom w:val="none" w:sz="0" w:space="0" w:color="auto"/>
        <w:right w:val="none" w:sz="0" w:space="0" w:color="auto"/>
      </w:divBdr>
    </w:div>
    <w:div w:id="498159917">
      <w:bodyDiv w:val="1"/>
      <w:marLeft w:val="0"/>
      <w:marRight w:val="0"/>
      <w:marTop w:val="0"/>
      <w:marBottom w:val="0"/>
      <w:divBdr>
        <w:top w:val="none" w:sz="0" w:space="0" w:color="auto"/>
        <w:left w:val="none" w:sz="0" w:space="0" w:color="auto"/>
        <w:bottom w:val="none" w:sz="0" w:space="0" w:color="auto"/>
        <w:right w:val="none" w:sz="0" w:space="0" w:color="auto"/>
      </w:divBdr>
    </w:div>
    <w:div w:id="498691458">
      <w:bodyDiv w:val="1"/>
      <w:marLeft w:val="0"/>
      <w:marRight w:val="0"/>
      <w:marTop w:val="0"/>
      <w:marBottom w:val="0"/>
      <w:divBdr>
        <w:top w:val="none" w:sz="0" w:space="0" w:color="auto"/>
        <w:left w:val="none" w:sz="0" w:space="0" w:color="auto"/>
        <w:bottom w:val="none" w:sz="0" w:space="0" w:color="auto"/>
        <w:right w:val="none" w:sz="0" w:space="0" w:color="auto"/>
      </w:divBdr>
    </w:div>
    <w:div w:id="498812289">
      <w:bodyDiv w:val="1"/>
      <w:marLeft w:val="0"/>
      <w:marRight w:val="0"/>
      <w:marTop w:val="0"/>
      <w:marBottom w:val="0"/>
      <w:divBdr>
        <w:top w:val="none" w:sz="0" w:space="0" w:color="auto"/>
        <w:left w:val="none" w:sz="0" w:space="0" w:color="auto"/>
        <w:bottom w:val="none" w:sz="0" w:space="0" w:color="auto"/>
        <w:right w:val="none" w:sz="0" w:space="0" w:color="auto"/>
      </w:divBdr>
    </w:div>
    <w:div w:id="498927888">
      <w:bodyDiv w:val="1"/>
      <w:marLeft w:val="0"/>
      <w:marRight w:val="0"/>
      <w:marTop w:val="0"/>
      <w:marBottom w:val="0"/>
      <w:divBdr>
        <w:top w:val="none" w:sz="0" w:space="0" w:color="auto"/>
        <w:left w:val="none" w:sz="0" w:space="0" w:color="auto"/>
        <w:bottom w:val="none" w:sz="0" w:space="0" w:color="auto"/>
        <w:right w:val="none" w:sz="0" w:space="0" w:color="auto"/>
      </w:divBdr>
    </w:div>
    <w:div w:id="498933847">
      <w:bodyDiv w:val="1"/>
      <w:marLeft w:val="0"/>
      <w:marRight w:val="0"/>
      <w:marTop w:val="0"/>
      <w:marBottom w:val="0"/>
      <w:divBdr>
        <w:top w:val="none" w:sz="0" w:space="0" w:color="auto"/>
        <w:left w:val="none" w:sz="0" w:space="0" w:color="auto"/>
        <w:bottom w:val="none" w:sz="0" w:space="0" w:color="auto"/>
        <w:right w:val="none" w:sz="0" w:space="0" w:color="auto"/>
      </w:divBdr>
    </w:div>
    <w:div w:id="499154201">
      <w:bodyDiv w:val="1"/>
      <w:marLeft w:val="0"/>
      <w:marRight w:val="0"/>
      <w:marTop w:val="0"/>
      <w:marBottom w:val="0"/>
      <w:divBdr>
        <w:top w:val="none" w:sz="0" w:space="0" w:color="auto"/>
        <w:left w:val="none" w:sz="0" w:space="0" w:color="auto"/>
        <w:bottom w:val="none" w:sz="0" w:space="0" w:color="auto"/>
        <w:right w:val="none" w:sz="0" w:space="0" w:color="auto"/>
      </w:divBdr>
    </w:div>
    <w:div w:id="499319631">
      <w:bodyDiv w:val="1"/>
      <w:marLeft w:val="0"/>
      <w:marRight w:val="0"/>
      <w:marTop w:val="0"/>
      <w:marBottom w:val="0"/>
      <w:divBdr>
        <w:top w:val="none" w:sz="0" w:space="0" w:color="auto"/>
        <w:left w:val="none" w:sz="0" w:space="0" w:color="auto"/>
        <w:bottom w:val="none" w:sz="0" w:space="0" w:color="auto"/>
        <w:right w:val="none" w:sz="0" w:space="0" w:color="auto"/>
      </w:divBdr>
    </w:div>
    <w:div w:id="499391078">
      <w:bodyDiv w:val="1"/>
      <w:marLeft w:val="0"/>
      <w:marRight w:val="0"/>
      <w:marTop w:val="0"/>
      <w:marBottom w:val="0"/>
      <w:divBdr>
        <w:top w:val="none" w:sz="0" w:space="0" w:color="auto"/>
        <w:left w:val="none" w:sz="0" w:space="0" w:color="auto"/>
        <w:bottom w:val="none" w:sz="0" w:space="0" w:color="auto"/>
        <w:right w:val="none" w:sz="0" w:space="0" w:color="auto"/>
      </w:divBdr>
    </w:div>
    <w:div w:id="500584128">
      <w:bodyDiv w:val="1"/>
      <w:marLeft w:val="0"/>
      <w:marRight w:val="0"/>
      <w:marTop w:val="0"/>
      <w:marBottom w:val="0"/>
      <w:divBdr>
        <w:top w:val="none" w:sz="0" w:space="0" w:color="auto"/>
        <w:left w:val="none" w:sz="0" w:space="0" w:color="auto"/>
        <w:bottom w:val="none" w:sz="0" w:space="0" w:color="auto"/>
        <w:right w:val="none" w:sz="0" w:space="0" w:color="auto"/>
      </w:divBdr>
    </w:div>
    <w:div w:id="501088276">
      <w:bodyDiv w:val="1"/>
      <w:marLeft w:val="0"/>
      <w:marRight w:val="0"/>
      <w:marTop w:val="0"/>
      <w:marBottom w:val="0"/>
      <w:divBdr>
        <w:top w:val="none" w:sz="0" w:space="0" w:color="auto"/>
        <w:left w:val="none" w:sz="0" w:space="0" w:color="auto"/>
        <w:bottom w:val="none" w:sz="0" w:space="0" w:color="auto"/>
        <w:right w:val="none" w:sz="0" w:space="0" w:color="auto"/>
      </w:divBdr>
    </w:div>
    <w:div w:id="501090894">
      <w:bodyDiv w:val="1"/>
      <w:marLeft w:val="0"/>
      <w:marRight w:val="0"/>
      <w:marTop w:val="0"/>
      <w:marBottom w:val="0"/>
      <w:divBdr>
        <w:top w:val="none" w:sz="0" w:space="0" w:color="auto"/>
        <w:left w:val="none" w:sz="0" w:space="0" w:color="auto"/>
        <w:bottom w:val="none" w:sz="0" w:space="0" w:color="auto"/>
        <w:right w:val="none" w:sz="0" w:space="0" w:color="auto"/>
      </w:divBdr>
    </w:div>
    <w:div w:id="501094060">
      <w:bodyDiv w:val="1"/>
      <w:marLeft w:val="0"/>
      <w:marRight w:val="0"/>
      <w:marTop w:val="0"/>
      <w:marBottom w:val="0"/>
      <w:divBdr>
        <w:top w:val="none" w:sz="0" w:space="0" w:color="auto"/>
        <w:left w:val="none" w:sz="0" w:space="0" w:color="auto"/>
        <w:bottom w:val="none" w:sz="0" w:space="0" w:color="auto"/>
        <w:right w:val="none" w:sz="0" w:space="0" w:color="auto"/>
      </w:divBdr>
    </w:div>
    <w:div w:id="501433629">
      <w:bodyDiv w:val="1"/>
      <w:marLeft w:val="0"/>
      <w:marRight w:val="0"/>
      <w:marTop w:val="0"/>
      <w:marBottom w:val="0"/>
      <w:divBdr>
        <w:top w:val="none" w:sz="0" w:space="0" w:color="auto"/>
        <w:left w:val="none" w:sz="0" w:space="0" w:color="auto"/>
        <w:bottom w:val="none" w:sz="0" w:space="0" w:color="auto"/>
        <w:right w:val="none" w:sz="0" w:space="0" w:color="auto"/>
      </w:divBdr>
    </w:div>
    <w:div w:id="501623809">
      <w:bodyDiv w:val="1"/>
      <w:marLeft w:val="0"/>
      <w:marRight w:val="0"/>
      <w:marTop w:val="0"/>
      <w:marBottom w:val="0"/>
      <w:divBdr>
        <w:top w:val="none" w:sz="0" w:space="0" w:color="auto"/>
        <w:left w:val="none" w:sz="0" w:space="0" w:color="auto"/>
        <w:bottom w:val="none" w:sz="0" w:space="0" w:color="auto"/>
        <w:right w:val="none" w:sz="0" w:space="0" w:color="auto"/>
      </w:divBdr>
    </w:div>
    <w:div w:id="501625894">
      <w:bodyDiv w:val="1"/>
      <w:marLeft w:val="0"/>
      <w:marRight w:val="0"/>
      <w:marTop w:val="0"/>
      <w:marBottom w:val="0"/>
      <w:divBdr>
        <w:top w:val="none" w:sz="0" w:space="0" w:color="auto"/>
        <w:left w:val="none" w:sz="0" w:space="0" w:color="auto"/>
        <w:bottom w:val="none" w:sz="0" w:space="0" w:color="auto"/>
        <w:right w:val="none" w:sz="0" w:space="0" w:color="auto"/>
      </w:divBdr>
    </w:div>
    <w:div w:id="501629676">
      <w:bodyDiv w:val="1"/>
      <w:marLeft w:val="0"/>
      <w:marRight w:val="0"/>
      <w:marTop w:val="0"/>
      <w:marBottom w:val="0"/>
      <w:divBdr>
        <w:top w:val="none" w:sz="0" w:space="0" w:color="auto"/>
        <w:left w:val="none" w:sz="0" w:space="0" w:color="auto"/>
        <w:bottom w:val="none" w:sz="0" w:space="0" w:color="auto"/>
        <w:right w:val="none" w:sz="0" w:space="0" w:color="auto"/>
      </w:divBdr>
    </w:div>
    <w:div w:id="501774982">
      <w:bodyDiv w:val="1"/>
      <w:marLeft w:val="0"/>
      <w:marRight w:val="0"/>
      <w:marTop w:val="0"/>
      <w:marBottom w:val="0"/>
      <w:divBdr>
        <w:top w:val="none" w:sz="0" w:space="0" w:color="auto"/>
        <w:left w:val="none" w:sz="0" w:space="0" w:color="auto"/>
        <w:bottom w:val="none" w:sz="0" w:space="0" w:color="auto"/>
        <w:right w:val="none" w:sz="0" w:space="0" w:color="auto"/>
      </w:divBdr>
    </w:div>
    <w:div w:id="502012193">
      <w:bodyDiv w:val="1"/>
      <w:marLeft w:val="0"/>
      <w:marRight w:val="0"/>
      <w:marTop w:val="0"/>
      <w:marBottom w:val="0"/>
      <w:divBdr>
        <w:top w:val="none" w:sz="0" w:space="0" w:color="auto"/>
        <w:left w:val="none" w:sz="0" w:space="0" w:color="auto"/>
        <w:bottom w:val="none" w:sz="0" w:space="0" w:color="auto"/>
        <w:right w:val="none" w:sz="0" w:space="0" w:color="auto"/>
      </w:divBdr>
    </w:div>
    <w:div w:id="502401532">
      <w:bodyDiv w:val="1"/>
      <w:marLeft w:val="0"/>
      <w:marRight w:val="0"/>
      <w:marTop w:val="0"/>
      <w:marBottom w:val="0"/>
      <w:divBdr>
        <w:top w:val="none" w:sz="0" w:space="0" w:color="auto"/>
        <w:left w:val="none" w:sz="0" w:space="0" w:color="auto"/>
        <w:bottom w:val="none" w:sz="0" w:space="0" w:color="auto"/>
        <w:right w:val="none" w:sz="0" w:space="0" w:color="auto"/>
      </w:divBdr>
    </w:div>
    <w:div w:id="502598191">
      <w:bodyDiv w:val="1"/>
      <w:marLeft w:val="0"/>
      <w:marRight w:val="0"/>
      <w:marTop w:val="0"/>
      <w:marBottom w:val="0"/>
      <w:divBdr>
        <w:top w:val="none" w:sz="0" w:space="0" w:color="auto"/>
        <w:left w:val="none" w:sz="0" w:space="0" w:color="auto"/>
        <w:bottom w:val="none" w:sz="0" w:space="0" w:color="auto"/>
        <w:right w:val="none" w:sz="0" w:space="0" w:color="auto"/>
      </w:divBdr>
    </w:div>
    <w:div w:id="503057037">
      <w:bodyDiv w:val="1"/>
      <w:marLeft w:val="0"/>
      <w:marRight w:val="0"/>
      <w:marTop w:val="0"/>
      <w:marBottom w:val="0"/>
      <w:divBdr>
        <w:top w:val="none" w:sz="0" w:space="0" w:color="auto"/>
        <w:left w:val="none" w:sz="0" w:space="0" w:color="auto"/>
        <w:bottom w:val="none" w:sz="0" w:space="0" w:color="auto"/>
        <w:right w:val="none" w:sz="0" w:space="0" w:color="auto"/>
      </w:divBdr>
    </w:div>
    <w:div w:id="503209856">
      <w:bodyDiv w:val="1"/>
      <w:marLeft w:val="0"/>
      <w:marRight w:val="0"/>
      <w:marTop w:val="0"/>
      <w:marBottom w:val="0"/>
      <w:divBdr>
        <w:top w:val="none" w:sz="0" w:space="0" w:color="auto"/>
        <w:left w:val="none" w:sz="0" w:space="0" w:color="auto"/>
        <w:bottom w:val="none" w:sz="0" w:space="0" w:color="auto"/>
        <w:right w:val="none" w:sz="0" w:space="0" w:color="auto"/>
      </w:divBdr>
    </w:div>
    <w:div w:id="503472230">
      <w:bodyDiv w:val="1"/>
      <w:marLeft w:val="0"/>
      <w:marRight w:val="0"/>
      <w:marTop w:val="0"/>
      <w:marBottom w:val="0"/>
      <w:divBdr>
        <w:top w:val="none" w:sz="0" w:space="0" w:color="auto"/>
        <w:left w:val="none" w:sz="0" w:space="0" w:color="auto"/>
        <w:bottom w:val="none" w:sz="0" w:space="0" w:color="auto"/>
        <w:right w:val="none" w:sz="0" w:space="0" w:color="auto"/>
      </w:divBdr>
    </w:div>
    <w:div w:id="503516685">
      <w:bodyDiv w:val="1"/>
      <w:marLeft w:val="0"/>
      <w:marRight w:val="0"/>
      <w:marTop w:val="0"/>
      <w:marBottom w:val="0"/>
      <w:divBdr>
        <w:top w:val="none" w:sz="0" w:space="0" w:color="auto"/>
        <w:left w:val="none" w:sz="0" w:space="0" w:color="auto"/>
        <w:bottom w:val="none" w:sz="0" w:space="0" w:color="auto"/>
        <w:right w:val="none" w:sz="0" w:space="0" w:color="auto"/>
      </w:divBdr>
    </w:div>
    <w:div w:id="503983643">
      <w:bodyDiv w:val="1"/>
      <w:marLeft w:val="0"/>
      <w:marRight w:val="0"/>
      <w:marTop w:val="0"/>
      <w:marBottom w:val="0"/>
      <w:divBdr>
        <w:top w:val="none" w:sz="0" w:space="0" w:color="auto"/>
        <w:left w:val="none" w:sz="0" w:space="0" w:color="auto"/>
        <w:bottom w:val="none" w:sz="0" w:space="0" w:color="auto"/>
        <w:right w:val="none" w:sz="0" w:space="0" w:color="auto"/>
      </w:divBdr>
    </w:div>
    <w:div w:id="505051511">
      <w:bodyDiv w:val="1"/>
      <w:marLeft w:val="0"/>
      <w:marRight w:val="0"/>
      <w:marTop w:val="0"/>
      <w:marBottom w:val="0"/>
      <w:divBdr>
        <w:top w:val="none" w:sz="0" w:space="0" w:color="auto"/>
        <w:left w:val="none" w:sz="0" w:space="0" w:color="auto"/>
        <w:bottom w:val="none" w:sz="0" w:space="0" w:color="auto"/>
        <w:right w:val="none" w:sz="0" w:space="0" w:color="auto"/>
      </w:divBdr>
    </w:div>
    <w:div w:id="505284996">
      <w:bodyDiv w:val="1"/>
      <w:marLeft w:val="0"/>
      <w:marRight w:val="0"/>
      <w:marTop w:val="0"/>
      <w:marBottom w:val="0"/>
      <w:divBdr>
        <w:top w:val="none" w:sz="0" w:space="0" w:color="auto"/>
        <w:left w:val="none" w:sz="0" w:space="0" w:color="auto"/>
        <w:bottom w:val="none" w:sz="0" w:space="0" w:color="auto"/>
        <w:right w:val="none" w:sz="0" w:space="0" w:color="auto"/>
      </w:divBdr>
    </w:div>
    <w:div w:id="505629365">
      <w:bodyDiv w:val="1"/>
      <w:marLeft w:val="0"/>
      <w:marRight w:val="0"/>
      <w:marTop w:val="0"/>
      <w:marBottom w:val="0"/>
      <w:divBdr>
        <w:top w:val="none" w:sz="0" w:space="0" w:color="auto"/>
        <w:left w:val="none" w:sz="0" w:space="0" w:color="auto"/>
        <w:bottom w:val="none" w:sz="0" w:space="0" w:color="auto"/>
        <w:right w:val="none" w:sz="0" w:space="0" w:color="auto"/>
      </w:divBdr>
    </w:div>
    <w:div w:id="505706247">
      <w:bodyDiv w:val="1"/>
      <w:marLeft w:val="0"/>
      <w:marRight w:val="0"/>
      <w:marTop w:val="0"/>
      <w:marBottom w:val="0"/>
      <w:divBdr>
        <w:top w:val="none" w:sz="0" w:space="0" w:color="auto"/>
        <w:left w:val="none" w:sz="0" w:space="0" w:color="auto"/>
        <w:bottom w:val="none" w:sz="0" w:space="0" w:color="auto"/>
        <w:right w:val="none" w:sz="0" w:space="0" w:color="auto"/>
      </w:divBdr>
    </w:div>
    <w:div w:id="506480920">
      <w:bodyDiv w:val="1"/>
      <w:marLeft w:val="0"/>
      <w:marRight w:val="0"/>
      <w:marTop w:val="0"/>
      <w:marBottom w:val="0"/>
      <w:divBdr>
        <w:top w:val="none" w:sz="0" w:space="0" w:color="auto"/>
        <w:left w:val="none" w:sz="0" w:space="0" w:color="auto"/>
        <w:bottom w:val="none" w:sz="0" w:space="0" w:color="auto"/>
        <w:right w:val="none" w:sz="0" w:space="0" w:color="auto"/>
      </w:divBdr>
    </w:div>
    <w:div w:id="507332805">
      <w:bodyDiv w:val="1"/>
      <w:marLeft w:val="0"/>
      <w:marRight w:val="0"/>
      <w:marTop w:val="0"/>
      <w:marBottom w:val="0"/>
      <w:divBdr>
        <w:top w:val="none" w:sz="0" w:space="0" w:color="auto"/>
        <w:left w:val="none" w:sz="0" w:space="0" w:color="auto"/>
        <w:bottom w:val="none" w:sz="0" w:space="0" w:color="auto"/>
        <w:right w:val="none" w:sz="0" w:space="0" w:color="auto"/>
      </w:divBdr>
    </w:div>
    <w:div w:id="507643968">
      <w:bodyDiv w:val="1"/>
      <w:marLeft w:val="0"/>
      <w:marRight w:val="0"/>
      <w:marTop w:val="0"/>
      <w:marBottom w:val="0"/>
      <w:divBdr>
        <w:top w:val="none" w:sz="0" w:space="0" w:color="auto"/>
        <w:left w:val="none" w:sz="0" w:space="0" w:color="auto"/>
        <w:bottom w:val="none" w:sz="0" w:space="0" w:color="auto"/>
        <w:right w:val="none" w:sz="0" w:space="0" w:color="auto"/>
      </w:divBdr>
    </w:div>
    <w:div w:id="507713355">
      <w:bodyDiv w:val="1"/>
      <w:marLeft w:val="0"/>
      <w:marRight w:val="0"/>
      <w:marTop w:val="0"/>
      <w:marBottom w:val="0"/>
      <w:divBdr>
        <w:top w:val="none" w:sz="0" w:space="0" w:color="auto"/>
        <w:left w:val="none" w:sz="0" w:space="0" w:color="auto"/>
        <w:bottom w:val="none" w:sz="0" w:space="0" w:color="auto"/>
        <w:right w:val="none" w:sz="0" w:space="0" w:color="auto"/>
      </w:divBdr>
    </w:div>
    <w:div w:id="508058313">
      <w:bodyDiv w:val="1"/>
      <w:marLeft w:val="0"/>
      <w:marRight w:val="0"/>
      <w:marTop w:val="0"/>
      <w:marBottom w:val="0"/>
      <w:divBdr>
        <w:top w:val="none" w:sz="0" w:space="0" w:color="auto"/>
        <w:left w:val="none" w:sz="0" w:space="0" w:color="auto"/>
        <w:bottom w:val="none" w:sz="0" w:space="0" w:color="auto"/>
        <w:right w:val="none" w:sz="0" w:space="0" w:color="auto"/>
      </w:divBdr>
    </w:div>
    <w:div w:id="508566534">
      <w:bodyDiv w:val="1"/>
      <w:marLeft w:val="0"/>
      <w:marRight w:val="0"/>
      <w:marTop w:val="0"/>
      <w:marBottom w:val="0"/>
      <w:divBdr>
        <w:top w:val="none" w:sz="0" w:space="0" w:color="auto"/>
        <w:left w:val="none" w:sz="0" w:space="0" w:color="auto"/>
        <w:bottom w:val="none" w:sz="0" w:space="0" w:color="auto"/>
        <w:right w:val="none" w:sz="0" w:space="0" w:color="auto"/>
      </w:divBdr>
    </w:div>
    <w:div w:id="509221004">
      <w:bodyDiv w:val="1"/>
      <w:marLeft w:val="0"/>
      <w:marRight w:val="0"/>
      <w:marTop w:val="0"/>
      <w:marBottom w:val="0"/>
      <w:divBdr>
        <w:top w:val="none" w:sz="0" w:space="0" w:color="auto"/>
        <w:left w:val="none" w:sz="0" w:space="0" w:color="auto"/>
        <w:bottom w:val="none" w:sz="0" w:space="0" w:color="auto"/>
        <w:right w:val="none" w:sz="0" w:space="0" w:color="auto"/>
      </w:divBdr>
    </w:div>
    <w:div w:id="509493446">
      <w:bodyDiv w:val="1"/>
      <w:marLeft w:val="0"/>
      <w:marRight w:val="0"/>
      <w:marTop w:val="0"/>
      <w:marBottom w:val="0"/>
      <w:divBdr>
        <w:top w:val="none" w:sz="0" w:space="0" w:color="auto"/>
        <w:left w:val="none" w:sz="0" w:space="0" w:color="auto"/>
        <w:bottom w:val="none" w:sz="0" w:space="0" w:color="auto"/>
        <w:right w:val="none" w:sz="0" w:space="0" w:color="auto"/>
      </w:divBdr>
    </w:div>
    <w:div w:id="509566465">
      <w:bodyDiv w:val="1"/>
      <w:marLeft w:val="0"/>
      <w:marRight w:val="0"/>
      <w:marTop w:val="0"/>
      <w:marBottom w:val="0"/>
      <w:divBdr>
        <w:top w:val="none" w:sz="0" w:space="0" w:color="auto"/>
        <w:left w:val="none" w:sz="0" w:space="0" w:color="auto"/>
        <w:bottom w:val="none" w:sz="0" w:space="0" w:color="auto"/>
        <w:right w:val="none" w:sz="0" w:space="0" w:color="auto"/>
      </w:divBdr>
    </w:div>
    <w:div w:id="509949473">
      <w:bodyDiv w:val="1"/>
      <w:marLeft w:val="0"/>
      <w:marRight w:val="0"/>
      <w:marTop w:val="0"/>
      <w:marBottom w:val="0"/>
      <w:divBdr>
        <w:top w:val="none" w:sz="0" w:space="0" w:color="auto"/>
        <w:left w:val="none" w:sz="0" w:space="0" w:color="auto"/>
        <w:bottom w:val="none" w:sz="0" w:space="0" w:color="auto"/>
        <w:right w:val="none" w:sz="0" w:space="0" w:color="auto"/>
      </w:divBdr>
    </w:div>
    <w:div w:id="510267568">
      <w:bodyDiv w:val="1"/>
      <w:marLeft w:val="0"/>
      <w:marRight w:val="0"/>
      <w:marTop w:val="0"/>
      <w:marBottom w:val="0"/>
      <w:divBdr>
        <w:top w:val="none" w:sz="0" w:space="0" w:color="auto"/>
        <w:left w:val="none" w:sz="0" w:space="0" w:color="auto"/>
        <w:bottom w:val="none" w:sz="0" w:space="0" w:color="auto"/>
        <w:right w:val="none" w:sz="0" w:space="0" w:color="auto"/>
      </w:divBdr>
    </w:div>
    <w:div w:id="510337923">
      <w:bodyDiv w:val="1"/>
      <w:marLeft w:val="0"/>
      <w:marRight w:val="0"/>
      <w:marTop w:val="0"/>
      <w:marBottom w:val="0"/>
      <w:divBdr>
        <w:top w:val="none" w:sz="0" w:space="0" w:color="auto"/>
        <w:left w:val="none" w:sz="0" w:space="0" w:color="auto"/>
        <w:bottom w:val="none" w:sz="0" w:space="0" w:color="auto"/>
        <w:right w:val="none" w:sz="0" w:space="0" w:color="auto"/>
      </w:divBdr>
    </w:div>
    <w:div w:id="510686888">
      <w:bodyDiv w:val="1"/>
      <w:marLeft w:val="0"/>
      <w:marRight w:val="0"/>
      <w:marTop w:val="0"/>
      <w:marBottom w:val="0"/>
      <w:divBdr>
        <w:top w:val="none" w:sz="0" w:space="0" w:color="auto"/>
        <w:left w:val="none" w:sz="0" w:space="0" w:color="auto"/>
        <w:bottom w:val="none" w:sz="0" w:space="0" w:color="auto"/>
        <w:right w:val="none" w:sz="0" w:space="0" w:color="auto"/>
      </w:divBdr>
    </w:div>
    <w:div w:id="510724569">
      <w:bodyDiv w:val="1"/>
      <w:marLeft w:val="0"/>
      <w:marRight w:val="0"/>
      <w:marTop w:val="0"/>
      <w:marBottom w:val="0"/>
      <w:divBdr>
        <w:top w:val="none" w:sz="0" w:space="0" w:color="auto"/>
        <w:left w:val="none" w:sz="0" w:space="0" w:color="auto"/>
        <w:bottom w:val="none" w:sz="0" w:space="0" w:color="auto"/>
        <w:right w:val="none" w:sz="0" w:space="0" w:color="auto"/>
      </w:divBdr>
    </w:div>
    <w:div w:id="511410061">
      <w:bodyDiv w:val="1"/>
      <w:marLeft w:val="0"/>
      <w:marRight w:val="0"/>
      <w:marTop w:val="0"/>
      <w:marBottom w:val="0"/>
      <w:divBdr>
        <w:top w:val="none" w:sz="0" w:space="0" w:color="auto"/>
        <w:left w:val="none" w:sz="0" w:space="0" w:color="auto"/>
        <w:bottom w:val="none" w:sz="0" w:space="0" w:color="auto"/>
        <w:right w:val="none" w:sz="0" w:space="0" w:color="auto"/>
      </w:divBdr>
    </w:div>
    <w:div w:id="511921026">
      <w:bodyDiv w:val="1"/>
      <w:marLeft w:val="0"/>
      <w:marRight w:val="0"/>
      <w:marTop w:val="0"/>
      <w:marBottom w:val="0"/>
      <w:divBdr>
        <w:top w:val="none" w:sz="0" w:space="0" w:color="auto"/>
        <w:left w:val="none" w:sz="0" w:space="0" w:color="auto"/>
        <w:bottom w:val="none" w:sz="0" w:space="0" w:color="auto"/>
        <w:right w:val="none" w:sz="0" w:space="0" w:color="auto"/>
      </w:divBdr>
    </w:div>
    <w:div w:id="511922068">
      <w:bodyDiv w:val="1"/>
      <w:marLeft w:val="0"/>
      <w:marRight w:val="0"/>
      <w:marTop w:val="0"/>
      <w:marBottom w:val="0"/>
      <w:divBdr>
        <w:top w:val="none" w:sz="0" w:space="0" w:color="auto"/>
        <w:left w:val="none" w:sz="0" w:space="0" w:color="auto"/>
        <w:bottom w:val="none" w:sz="0" w:space="0" w:color="auto"/>
        <w:right w:val="none" w:sz="0" w:space="0" w:color="auto"/>
      </w:divBdr>
    </w:div>
    <w:div w:id="511992047">
      <w:bodyDiv w:val="1"/>
      <w:marLeft w:val="0"/>
      <w:marRight w:val="0"/>
      <w:marTop w:val="0"/>
      <w:marBottom w:val="0"/>
      <w:divBdr>
        <w:top w:val="none" w:sz="0" w:space="0" w:color="auto"/>
        <w:left w:val="none" w:sz="0" w:space="0" w:color="auto"/>
        <w:bottom w:val="none" w:sz="0" w:space="0" w:color="auto"/>
        <w:right w:val="none" w:sz="0" w:space="0" w:color="auto"/>
      </w:divBdr>
    </w:div>
    <w:div w:id="512114548">
      <w:bodyDiv w:val="1"/>
      <w:marLeft w:val="0"/>
      <w:marRight w:val="0"/>
      <w:marTop w:val="0"/>
      <w:marBottom w:val="0"/>
      <w:divBdr>
        <w:top w:val="none" w:sz="0" w:space="0" w:color="auto"/>
        <w:left w:val="none" w:sz="0" w:space="0" w:color="auto"/>
        <w:bottom w:val="none" w:sz="0" w:space="0" w:color="auto"/>
        <w:right w:val="none" w:sz="0" w:space="0" w:color="auto"/>
      </w:divBdr>
    </w:div>
    <w:div w:id="512185947">
      <w:bodyDiv w:val="1"/>
      <w:marLeft w:val="0"/>
      <w:marRight w:val="0"/>
      <w:marTop w:val="0"/>
      <w:marBottom w:val="0"/>
      <w:divBdr>
        <w:top w:val="none" w:sz="0" w:space="0" w:color="auto"/>
        <w:left w:val="none" w:sz="0" w:space="0" w:color="auto"/>
        <w:bottom w:val="none" w:sz="0" w:space="0" w:color="auto"/>
        <w:right w:val="none" w:sz="0" w:space="0" w:color="auto"/>
      </w:divBdr>
    </w:div>
    <w:div w:id="512453043">
      <w:bodyDiv w:val="1"/>
      <w:marLeft w:val="0"/>
      <w:marRight w:val="0"/>
      <w:marTop w:val="0"/>
      <w:marBottom w:val="0"/>
      <w:divBdr>
        <w:top w:val="none" w:sz="0" w:space="0" w:color="auto"/>
        <w:left w:val="none" w:sz="0" w:space="0" w:color="auto"/>
        <w:bottom w:val="none" w:sz="0" w:space="0" w:color="auto"/>
        <w:right w:val="none" w:sz="0" w:space="0" w:color="auto"/>
      </w:divBdr>
    </w:div>
    <w:div w:id="512456565">
      <w:bodyDiv w:val="1"/>
      <w:marLeft w:val="0"/>
      <w:marRight w:val="0"/>
      <w:marTop w:val="0"/>
      <w:marBottom w:val="0"/>
      <w:divBdr>
        <w:top w:val="none" w:sz="0" w:space="0" w:color="auto"/>
        <w:left w:val="none" w:sz="0" w:space="0" w:color="auto"/>
        <w:bottom w:val="none" w:sz="0" w:space="0" w:color="auto"/>
        <w:right w:val="none" w:sz="0" w:space="0" w:color="auto"/>
      </w:divBdr>
    </w:div>
    <w:div w:id="512767358">
      <w:bodyDiv w:val="1"/>
      <w:marLeft w:val="0"/>
      <w:marRight w:val="0"/>
      <w:marTop w:val="0"/>
      <w:marBottom w:val="0"/>
      <w:divBdr>
        <w:top w:val="none" w:sz="0" w:space="0" w:color="auto"/>
        <w:left w:val="none" w:sz="0" w:space="0" w:color="auto"/>
        <w:bottom w:val="none" w:sz="0" w:space="0" w:color="auto"/>
        <w:right w:val="none" w:sz="0" w:space="0" w:color="auto"/>
      </w:divBdr>
    </w:div>
    <w:div w:id="512840990">
      <w:bodyDiv w:val="1"/>
      <w:marLeft w:val="0"/>
      <w:marRight w:val="0"/>
      <w:marTop w:val="0"/>
      <w:marBottom w:val="0"/>
      <w:divBdr>
        <w:top w:val="none" w:sz="0" w:space="0" w:color="auto"/>
        <w:left w:val="none" w:sz="0" w:space="0" w:color="auto"/>
        <w:bottom w:val="none" w:sz="0" w:space="0" w:color="auto"/>
        <w:right w:val="none" w:sz="0" w:space="0" w:color="auto"/>
      </w:divBdr>
    </w:div>
    <w:div w:id="512842495">
      <w:bodyDiv w:val="1"/>
      <w:marLeft w:val="0"/>
      <w:marRight w:val="0"/>
      <w:marTop w:val="0"/>
      <w:marBottom w:val="0"/>
      <w:divBdr>
        <w:top w:val="none" w:sz="0" w:space="0" w:color="auto"/>
        <w:left w:val="none" w:sz="0" w:space="0" w:color="auto"/>
        <w:bottom w:val="none" w:sz="0" w:space="0" w:color="auto"/>
        <w:right w:val="none" w:sz="0" w:space="0" w:color="auto"/>
      </w:divBdr>
    </w:div>
    <w:div w:id="512885831">
      <w:bodyDiv w:val="1"/>
      <w:marLeft w:val="0"/>
      <w:marRight w:val="0"/>
      <w:marTop w:val="0"/>
      <w:marBottom w:val="0"/>
      <w:divBdr>
        <w:top w:val="none" w:sz="0" w:space="0" w:color="auto"/>
        <w:left w:val="none" w:sz="0" w:space="0" w:color="auto"/>
        <w:bottom w:val="none" w:sz="0" w:space="0" w:color="auto"/>
        <w:right w:val="none" w:sz="0" w:space="0" w:color="auto"/>
      </w:divBdr>
    </w:div>
    <w:div w:id="512955199">
      <w:bodyDiv w:val="1"/>
      <w:marLeft w:val="0"/>
      <w:marRight w:val="0"/>
      <w:marTop w:val="0"/>
      <w:marBottom w:val="0"/>
      <w:divBdr>
        <w:top w:val="none" w:sz="0" w:space="0" w:color="auto"/>
        <w:left w:val="none" w:sz="0" w:space="0" w:color="auto"/>
        <w:bottom w:val="none" w:sz="0" w:space="0" w:color="auto"/>
        <w:right w:val="none" w:sz="0" w:space="0" w:color="auto"/>
      </w:divBdr>
    </w:div>
    <w:div w:id="513149476">
      <w:bodyDiv w:val="1"/>
      <w:marLeft w:val="0"/>
      <w:marRight w:val="0"/>
      <w:marTop w:val="0"/>
      <w:marBottom w:val="0"/>
      <w:divBdr>
        <w:top w:val="none" w:sz="0" w:space="0" w:color="auto"/>
        <w:left w:val="none" w:sz="0" w:space="0" w:color="auto"/>
        <w:bottom w:val="none" w:sz="0" w:space="0" w:color="auto"/>
        <w:right w:val="none" w:sz="0" w:space="0" w:color="auto"/>
      </w:divBdr>
    </w:div>
    <w:div w:id="513302845">
      <w:bodyDiv w:val="1"/>
      <w:marLeft w:val="0"/>
      <w:marRight w:val="0"/>
      <w:marTop w:val="0"/>
      <w:marBottom w:val="0"/>
      <w:divBdr>
        <w:top w:val="none" w:sz="0" w:space="0" w:color="auto"/>
        <w:left w:val="none" w:sz="0" w:space="0" w:color="auto"/>
        <w:bottom w:val="none" w:sz="0" w:space="0" w:color="auto"/>
        <w:right w:val="none" w:sz="0" w:space="0" w:color="auto"/>
      </w:divBdr>
    </w:div>
    <w:div w:id="513350022">
      <w:bodyDiv w:val="1"/>
      <w:marLeft w:val="0"/>
      <w:marRight w:val="0"/>
      <w:marTop w:val="0"/>
      <w:marBottom w:val="0"/>
      <w:divBdr>
        <w:top w:val="none" w:sz="0" w:space="0" w:color="auto"/>
        <w:left w:val="none" w:sz="0" w:space="0" w:color="auto"/>
        <w:bottom w:val="none" w:sz="0" w:space="0" w:color="auto"/>
        <w:right w:val="none" w:sz="0" w:space="0" w:color="auto"/>
      </w:divBdr>
    </w:div>
    <w:div w:id="513569549">
      <w:bodyDiv w:val="1"/>
      <w:marLeft w:val="0"/>
      <w:marRight w:val="0"/>
      <w:marTop w:val="0"/>
      <w:marBottom w:val="0"/>
      <w:divBdr>
        <w:top w:val="none" w:sz="0" w:space="0" w:color="auto"/>
        <w:left w:val="none" w:sz="0" w:space="0" w:color="auto"/>
        <w:bottom w:val="none" w:sz="0" w:space="0" w:color="auto"/>
        <w:right w:val="none" w:sz="0" w:space="0" w:color="auto"/>
      </w:divBdr>
    </w:div>
    <w:div w:id="513572649">
      <w:bodyDiv w:val="1"/>
      <w:marLeft w:val="0"/>
      <w:marRight w:val="0"/>
      <w:marTop w:val="0"/>
      <w:marBottom w:val="0"/>
      <w:divBdr>
        <w:top w:val="none" w:sz="0" w:space="0" w:color="auto"/>
        <w:left w:val="none" w:sz="0" w:space="0" w:color="auto"/>
        <w:bottom w:val="none" w:sz="0" w:space="0" w:color="auto"/>
        <w:right w:val="none" w:sz="0" w:space="0" w:color="auto"/>
      </w:divBdr>
    </w:div>
    <w:div w:id="513808831">
      <w:bodyDiv w:val="1"/>
      <w:marLeft w:val="0"/>
      <w:marRight w:val="0"/>
      <w:marTop w:val="0"/>
      <w:marBottom w:val="0"/>
      <w:divBdr>
        <w:top w:val="none" w:sz="0" w:space="0" w:color="auto"/>
        <w:left w:val="none" w:sz="0" w:space="0" w:color="auto"/>
        <w:bottom w:val="none" w:sz="0" w:space="0" w:color="auto"/>
        <w:right w:val="none" w:sz="0" w:space="0" w:color="auto"/>
      </w:divBdr>
    </w:div>
    <w:div w:id="513962558">
      <w:bodyDiv w:val="1"/>
      <w:marLeft w:val="0"/>
      <w:marRight w:val="0"/>
      <w:marTop w:val="0"/>
      <w:marBottom w:val="0"/>
      <w:divBdr>
        <w:top w:val="none" w:sz="0" w:space="0" w:color="auto"/>
        <w:left w:val="none" w:sz="0" w:space="0" w:color="auto"/>
        <w:bottom w:val="none" w:sz="0" w:space="0" w:color="auto"/>
        <w:right w:val="none" w:sz="0" w:space="0" w:color="auto"/>
      </w:divBdr>
    </w:div>
    <w:div w:id="514658938">
      <w:bodyDiv w:val="1"/>
      <w:marLeft w:val="0"/>
      <w:marRight w:val="0"/>
      <w:marTop w:val="0"/>
      <w:marBottom w:val="0"/>
      <w:divBdr>
        <w:top w:val="none" w:sz="0" w:space="0" w:color="auto"/>
        <w:left w:val="none" w:sz="0" w:space="0" w:color="auto"/>
        <w:bottom w:val="none" w:sz="0" w:space="0" w:color="auto"/>
        <w:right w:val="none" w:sz="0" w:space="0" w:color="auto"/>
      </w:divBdr>
    </w:div>
    <w:div w:id="515190149">
      <w:bodyDiv w:val="1"/>
      <w:marLeft w:val="0"/>
      <w:marRight w:val="0"/>
      <w:marTop w:val="0"/>
      <w:marBottom w:val="0"/>
      <w:divBdr>
        <w:top w:val="none" w:sz="0" w:space="0" w:color="auto"/>
        <w:left w:val="none" w:sz="0" w:space="0" w:color="auto"/>
        <w:bottom w:val="none" w:sz="0" w:space="0" w:color="auto"/>
        <w:right w:val="none" w:sz="0" w:space="0" w:color="auto"/>
      </w:divBdr>
    </w:div>
    <w:div w:id="515195066">
      <w:bodyDiv w:val="1"/>
      <w:marLeft w:val="0"/>
      <w:marRight w:val="0"/>
      <w:marTop w:val="0"/>
      <w:marBottom w:val="0"/>
      <w:divBdr>
        <w:top w:val="none" w:sz="0" w:space="0" w:color="auto"/>
        <w:left w:val="none" w:sz="0" w:space="0" w:color="auto"/>
        <w:bottom w:val="none" w:sz="0" w:space="0" w:color="auto"/>
        <w:right w:val="none" w:sz="0" w:space="0" w:color="auto"/>
      </w:divBdr>
    </w:div>
    <w:div w:id="516500300">
      <w:bodyDiv w:val="1"/>
      <w:marLeft w:val="0"/>
      <w:marRight w:val="0"/>
      <w:marTop w:val="0"/>
      <w:marBottom w:val="0"/>
      <w:divBdr>
        <w:top w:val="none" w:sz="0" w:space="0" w:color="auto"/>
        <w:left w:val="none" w:sz="0" w:space="0" w:color="auto"/>
        <w:bottom w:val="none" w:sz="0" w:space="0" w:color="auto"/>
        <w:right w:val="none" w:sz="0" w:space="0" w:color="auto"/>
      </w:divBdr>
    </w:div>
    <w:div w:id="516772285">
      <w:bodyDiv w:val="1"/>
      <w:marLeft w:val="0"/>
      <w:marRight w:val="0"/>
      <w:marTop w:val="0"/>
      <w:marBottom w:val="0"/>
      <w:divBdr>
        <w:top w:val="none" w:sz="0" w:space="0" w:color="auto"/>
        <w:left w:val="none" w:sz="0" w:space="0" w:color="auto"/>
        <w:bottom w:val="none" w:sz="0" w:space="0" w:color="auto"/>
        <w:right w:val="none" w:sz="0" w:space="0" w:color="auto"/>
      </w:divBdr>
    </w:div>
    <w:div w:id="516971438">
      <w:bodyDiv w:val="1"/>
      <w:marLeft w:val="0"/>
      <w:marRight w:val="0"/>
      <w:marTop w:val="0"/>
      <w:marBottom w:val="0"/>
      <w:divBdr>
        <w:top w:val="none" w:sz="0" w:space="0" w:color="auto"/>
        <w:left w:val="none" w:sz="0" w:space="0" w:color="auto"/>
        <w:bottom w:val="none" w:sz="0" w:space="0" w:color="auto"/>
        <w:right w:val="none" w:sz="0" w:space="0" w:color="auto"/>
      </w:divBdr>
    </w:div>
    <w:div w:id="517043490">
      <w:bodyDiv w:val="1"/>
      <w:marLeft w:val="0"/>
      <w:marRight w:val="0"/>
      <w:marTop w:val="0"/>
      <w:marBottom w:val="0"/>
      <w:divBdr>
        <w:top w:val="none" w:sz="0" w:space="0" w:color="auto"/>
        <w:left w:val="none" w:sz="0" w:space="0" w:color="auto"/>
        <w:bottom w:val="none" w:sz="0" w:space="0" w:color="auto"/>
        <w:right w:val="none" w:sz="0" w:space="0" w:color="auto"/>
      </w:divBdr>
    </w:div>
    <w:div w:id="517235021">
      <w:bodyDiv w:val="1"/>
      <w:marLeft w:val="0"/>
      <w:marRight w:val="0"/>
      <w:marTop w:val="0"/>
      <w:marBottom w:val="0"/>
      <w:divBdr>
        <w:top w:val="none" w:sz="0" w:space="0" w:color="auto"/>
        <w:left w:val="none" w:sz="0" w:space="0" w:color="auto"/>
        <w:bottom w:val="none" w:sz="0" w:space="0" w:color="auto"/>
        <w:right w:val="none" w:sz="0" w:space="0" w:color="auto"/>
      </w:divBdr>
    </w:div>
    <w:div w:id="517277703">
      <w:bodyDiv w:val="1"/>
      <w:marLeft w:val="0"/>
      <w:marRight w:val="0"/>
      <w:marTop w:val="0"/>
      <w:marBottom w:val="0"/>
      <w:divBdr>
        <w:top w:val="none" w:sz="0" w:space="0" w:color="auto"/>
        <w:left w:val="none" w:sz="0" w:space="0" w:color="auto"/>
        <w:bottom w:val="none" w:sz="0" w:space="0" w:color="auto"/>
        <w:right w:val="none" w:sz="0" w:space="0" w:color="auto"/>
      </w:divBdr>
    </w:div>
    <w:div w:id="517278254">
      <w:bodyDiv w:val="1"/>
      <w:marLeft w:val="0"/>
      <w:marRight w:val="0"/>
      <w:marTop w:val="0"/>
      <w:marBottom w:val="0"/>
      <w:divBdr>
        <w:top w:val="none" w:sz="0" w:space="0" w:color="auto"/>
        <w:left w:val="none" w:sz="0" w:space="0" w:color="auto"/>
        <w:bottom w:val="none" w:sz="0" w:space="0" w:color="auto"/>
        <w:right w:val="none" w:sz="0" w:space="0" w:color="auto"/>
      </w:divBdr>
    </w:div>
    <w:div w:id="517278612">
      <w:bodyDiv w:val="1"/>
      <w:marLeft w:val="0"/>
      <w:marRight w:val="0"/>
      <w:marTop w:val="0"/>
      <w:marBottom w:val="0"/>
      <w:divBdr>
        <w:top w:val="none" w:sz="0" w:space="0" w:color="auto"/>
        <w:left w:val="none" w:sz="0" w:space="0" w:color="auto"/>
        <w:bottom w:val="none" w:sz="0" w:space="0" w:color="auto"/>
        <w:right w:val="none" w:sz="0" w:space="0" w:color="auto"/>
      </w:divBdr>
    </w:div>
    <w:div w:id="517619458">
      <w:bodyDiv w:val="1"/>
      <w:marLeft w:val="0"/>
      <w:marRight w:val="0"/>
      <w:marTop w:val="0"/>
      <w:marBottom w:val="0"/>
      <w:divBdr>
        <w:top w:val="none" w:sz="0" w:space="0" w:color="auto"/>
        <w:left w:val="none" w:sz="0" w:space="0" w:color="auto"/>
        <w:bottom w:val="none" w:sz="0" w:space="0" w:color="auto"/>
        <w:right w:val="none" w:sz="0" w:space="0" w:color="auto"/>
      </w:divBdr>
    </w:div>
    <w:div w:id="518128254">
      <w:bodyDiv w:val="1"/>
      <w:marLeft w:val="0"/>
      <w:marRight w:val="0"/>
      <w:marTop w:val="0"/>
      <w:marBottom w:val="0"/>
      <w:divBdr>
        <w:top w:val="none" w:sz="0" w:space="0" w:color="auto"/>
        <w:left w:val="none" w:sz="0" w:space="0" w:color="auto"/>
        <w:bottom w:val="none" w:sz="0" w:space="0" w:color="auto"/>
        <w:right w:val="none" w:sz="0" w:space="0" w:color="auto"/>
      </w:divBdr>
    </w:div>
    <w:div w:id="519004881">
      <w:bodyDiv w:val="1"/>
      <w:marLeft w:val="0"/>
      <w:marRight w:val="0"/>
      <w:marTop w:val="0"/>
      <w:marBottom w:val="0"/>
      <w:divBdr>
        <w:top w:val="none" w:sz="0" w:space="0" w:color="auto"/>
        <w:left w:val="none" w:sz="0" w:space="0" w:color="auto"/>
        <w:bottom w:val="none" w:sz="0" w:space="0" w:color="auto"/>
        <w:right w:val="none" w:sz="0" w:space="0" w:color="auto"/>
      </w:divBdr>
    </w:div>
    <w:div w:id="519008857">
      <w:bodyDiv w:val="1"/>
      <w:marLeft w:val="0"/>
      <w:marRight w:val="0"/>
      <w:marTop w:val="0"/>
      <w:marBottom w:val="0"/>
      <w:divBdr>
        <w:top w:val="none" w:sz="0" w:space="0" w:color="auto"/>
        <w:left w:val="none" w:sz="0" w:space="0" w:color="auto"/>
        <w:bottom w:val="none" w:sz="0" w:space="0" w:color="auto"/>
        <w:right w:val="none" w:sz="0" w:space="0" w:color="auto"/>
      </w:divBdr>
    </w:div>
    <w:div w:id="519704935">
      <w:bodyDiv w:val="1"/>
      <w:marLeft w:val="0"/>
      <w:marRight w:val="0"/>
      <w:marTop w:val="0"/>
      <w:marBottom w:val="0"/>
      <w:divBdr>
        <w:top w:val="none" w:sz="0" w:space="0" w:color="auto"/>
        <w:left w:val="none" w:sz="0" w:space="0" w:color="auto"/>
        <w:bottom w:val="none" w:sz="0" w:space="0" w:color="auto"/>
        <w:right w:val="none" w:sz="0" w:space="0" w:color="auto"/>
      </w:divBdr>
    </w:div>
    <w:div w:id="519861074">
      <w:bodyDiv w:val="1"/>
      <w:marLeft w:val="0"/>
      <w:marRight w:val="0"/>
      <w:marTop w:val="0"/>
      <w:marBottom w:val="0"/>
      <w:divBdr>
        <w:top w:val="none" w:sz="0" w:space="0" w:color="auto"/>
        <w:left w:val="none" w:sz="0" w:space="0" w:color="auto"/>
        <w:bottom w:val="none" w:sz="0" w:space="0" w:color="auto"/>
        <w:right w:val="none" w:sz="0" w:space="0" w:color="auto"/>
      </w:divBdr>
    </w:div>
    <w:div w:id="519899668">
      <w:bodyDiv w:val="1"/>
      <w:marLeft w:val="0"/>
      <w:marRight w:val="0"/>
      <w:marTop w:val="0"/>
      <w:marBottom w:val="0"/>
      <w:divBdr>
        <w:top w:val="none" w:sz="0" w:space="0" w:color="auto"/>
        <w:left w:val="none" w:sz="0" w:space="0" w:color="auto"/>
        <w:bottom w:val="none" w:sz="0" w:space="0" w:color="auto"/>
        <w:right w:val="none" w:sz="0" w:space="0" w:color="auto"/>
      </w:divBdr>
    </w:div>
    <w:div w:id="520121912">
      <w:bodyDiv w:val="1"/>
      <w:marLeft w:val="0"/>
      <w:marRight w:val="0"/>
      <w:marTop w:val="0"/>
      <w:marBottom w:val="0"/>
      <w:divBdr>
        <w:top w:val="none" w:sz="0" w:space="0" w:color="auto"/>
        <w:left w:val="none" w:sz="0" w:space="0" w:color="auto"/>
        <w:bottom w:val="none" w:sz="0" w:space="0" w:color="auto"/>
        <w:right w:val="none" w:sz="0" w:space="0" w:color="auto"/>
      </w:divBdr>
    </w:div>
    <w:div w:id="520246064">
      <w:bodyDiv w:val="1"/>
      <w:marLeft w:val="0"/>
      <w:marRight w:val="0"/>
      <w:marTop w:val="0"/>
      <w:marBottom w:val="0"/>
      <w:divBdr>
        <w:top w:val="none" w:sz="0" w:space="0" w:color="auto"/>
        <w:left w:val="none" w:sz="0" w:space="0" w:color="auto"/>
        <w:bottom w:val="none" w:sz="0" w:space="0" w:color="auto"/>
        <w:right w:val="none" w:sz="0" w:space="0" w:color="auto"/>
      </w:divBdr>
    </w:div>
    <w:div w:id="520437825">
      <w:bodyDiv w:val="1"/>
      <w:marLeft w:val="0"/>
      <w:marRight w:val="0"/>
      <w:marTop w:val="0"/>
      <w:marBottom w:val="0"/>
      <w:divBdr>
        <w:top w:val="none" w:sz="0" w:space="0" w:color="auto"/>
        <w:left w:val="none" w:sz="0" w:space="0" w:color="auto"/>
        <w:bottom w:val="none" w:sz="0" w:space="0" w:color="auto"/>
        <w:right w:val="none" w:sz="0" w:space="0" w:color="auto"/>
      </w:divBdr>
    </w:div>
    <w:div w:id="520820657">
      <w:bodyDiv w:val="1"/>
      <w:marLeft w:val="0"/>
      <w:marRight w:val="0"/>
      <w:marTop w:val="0"/>
      <w:marBottom w:val="0"/>
      <w:divBdr>
        <w:top w:val="none" w:sz="0" w:space="0" w:color="auto"/>
        <w:left w:val="none" w:sz="0" w:space="0" w:color="auto"/>
        <w:bottom w:val="none" w:sz="0" w:space="0" w:color="auto"/>
        <w:right w:val="none" w:sz="0" w:space="0" w:color="auto"/>
      </w:divBdr>
    </w:div>
    <w:div w:id="520974137">
      <w:bodyDiv w:val="1"/>
      <w:marLeft w:val="0"/>
      <w:marRight w:val="0"/>
      <w:marTop w:val="0"/>
      <w:marBottom w:val="0"/>
      <w:divBdr>
        <w:top w:val="none" w:sz="0" w:space="0" w:color="auto"/>
        <w:left w:val="none" w:sz="0" w:space="0" w:color="auto"/>
        <w:bottom w:val="none" w:sz="0" w:space="0" w:color="auto"/>
        <w:right w:val="none" w:sz="0" w:space="0" w:color="auto"/>
      </w:divBdr>
    </w:div>
    <w:div w:id="521473880">
      <w:bodyDiv w:val="1"/>
      <w:marLeft w:val="0"/>
      <w:marRight w:val="0"/>
      <w:marTop w:val="0"/>
      <w:marBottom w:val="0"/>
      <w:divBdr>
        <w:top w:val="none" w:sz="0" w:space="0" w:color="auto"/>
        <w:left w:val="none" w:sz="0" w:space="0" w:color="auto"/>
        <w:bottom w:val="none" w:sz="0" w:space="0" w:color="auto"/>
        <w:right w:val="none" w:sz="0" w:space="0" w:color="auto"/>
      </w:divBdr>
    </w:div>
    <w:div w:id="521550941">
      <w:bodyDiv w:val="1"/>
      <w:marLeft w:val="0"/>
      <w:marRight w:val="0"/>
      <w:marTop w:val="0"/>
      <w:marBottom w:val="0"/>
      <w:divBdr>
        <w:top w:val="none" w:sz="0" w:space="0" w:color="auto"/>
        <w:left w:val="none" w:sz="0" w:space="0" w:color="auto"/>
        <w:bottom w:val="none" w:sz="0" w:space="0" w:color="auto"/>
        <w:right w:val="none" w:sz="0" w:space="0" w:color="auto"/>
      </w:divBdr>
    </w:div>
    <w:div w:id="521673814">
      <w:bodyDiv w:val="1"/>
      <w:marLeft w:val="0"/>
      <w:marRight w:val="0"/>
      <w:marTop w:val="0"/>
      <w:marBottom w:val="0"/>
      <w:divBdr>
        <w:top w:val="none" w:sz="0" w:space="0" w:color="auto"/>
        <w:left w:val="none" w:sz="0" w:space="0" w:color="auto"/>
        <w:bottom w:val="none" w:sz="0" w:space="0" w:color="auto"/>
        <w:right w:val="none" w:sz="0" w:space="0" w:color="auto"/>
      </w:divBdr>
    </w:div>
    <w:div w:id="521943412">
      <w:bodyDiv w:val="1"/>
      <w:marLeft w:val="0"/>
      <w:marRight w:val="0"/>
      <w:marTop w:val="0"/>
      <w:marBottom w:val="0"/>
      <w:divBdr>
        <w:top w:val="none" w:sz="0" w:space="0" w:color="auto"/>
        <w:left w:val="none" w:sz="0" w:space="0" w:color="auto"/>
        <w:bottom w:val="none" w:sz="0" w:space="0" w:color="auto"/>
        <w:right w:val="none" w:sz="0" w:space="0" w:color="auto"/>
      </w:divBdr>
    </w:div>
    <w:div w:id="522091410">
      <w:bodyDiv w:val="1"/>
      <w:marLeft w:val="0"/>
      <w:marRight w:val="0"/>
      <w:marTop w:val="0"/>
      <w:marBottom w:val="0"/>
      <w:divBdr>
        <w:top w:val="none" w:sz="0" w:space="0" w:color="auto"/>
        <w:left w:val="none" w:sz="0" w:space="0" w:color="auto"/>
        <w:bottom w:val="none" w:sz="0" w:space="0" w:color="auto"/>
        <w:right w:val="none" w:sz="0" w:space="0" w:color="auto"/>
      </w:divBdr>
    </w:div>
    <w:div w:id="522206250">
      <w:bodyDiv w:val="1"/>
      <w:marLeft w:val="0"/>
      <w:marRight w:val="0"/>
      <w:marTop w:val="0"/>
      <w:marBottom w:val="0"/>
      <w:divBdr>
        <w:top w:val="none" w:sz="0" w:space="0" w:color="auto"/>
        <w:left w:val="none" w:sz="0" w:space="0" w:color="auto"/>
        <w:bottom w:val="none" w:sz="0" w:space="0" w:color="auto"/>
        <w:right w:val="none" w:sz="0" w:space="0" w:color="auto"/>
      </w:divBdr>
    </w:div>
    <w:div w:id="522597335">
      <w:bodyDiv w:val="1"/>
      <w:marLeft w:val="0"/>
      <w:marRight w:val="0"/>
      <w:marTop w:val="0"/>
      <w:marBottom w:val="0"/>
      <w:divBdr>
        <w:top w:val="none" w:sz="0" w:space="0" w:color="auto"/>
        <w:left w:val="none" w:sz="0" w:space="0" w:color="auto"/>
        <w:bottom w:val="none" w:sz="0" w:space="0" w:color="auto"/>
        <w:right w:val="none" w:sz="0" w:space="0" w:color="auto"/>
      </w:divBdr>
    </w:div>
    <w:div w:id="522716605">
      <w:bodyDiv w:val="1"/>
      <w:marLeft w:val="0"/>
      <w:marRight w:val="0"/>
      <w:marTop w:val="0"/>
      <w:marBottom w:val="0"/>
      <w:divBdr>
        <w:top w:val="none" w:sz="0" w:space="0" w:color="auto"/>
        <w:left w:val="none" w:sz="0" w:space="0" w:color="auto"/>
        <w:bottom w:val="none" w:sz="0" w:space="0" w:color="auto"/>
        <w:right w:val="none" w:sz="0" w:space="0" w:color="auto"/>
      </w:divBdr>
    </w:div>
    <w:div w:id="522744756">
      <w:bodyDiv w:val="1"/>
      <w:marLeft w:val="0"/>
      <w:marRight w:val="0"/>
      <w:marTop w:val="0"/>
      <w:marBottom w:val="0"/>
      <w:divBdr>
        <w:top w:val="none" w:sz="0" w:space="0" w:color="auto"/>
        <w:left w:val="none" w:sz="0" w:space="0" w:color="auto"/>
        <w:bottom w:val="none" w:sz="0" w:space="0" w:color="auto"/>
        <w:right w:val="none" w:sz="0" w:space="0" w:color="auto"/>
      </w:divBdr>
    </w:div>
    <w:div w:id="522746993">
      <w:bodyDiv w:val="1"/>
      <w:marLeft w:val="0"/>
      <w:marRight w:val="0"/>
      <w:marTop w:val="0"/>
      <w:marBottom w:val="0"/>
      <w:divBdr>
        <w:top w:val="none" w:sz="0" w:space="0" w:color="auto"/>
        <w:left w:val="none" w:sz="0" w:space="0" w:color="auto"/>
        <w:bottom w:val="none" w:sz="0" w:space="0" w:color="auto"/>
        <w:right w:val="none" w:sz="0" w:space="0" w:color="auto"/>
      </w:divBdr>
    </w:div>
    <w:div w:id="523174697">
      <w:bodyDiv w:val="1"/>
      <w:marLeft w:val="0"/>
      <w:marRight w:val="0"/>
      <w:marTop w:val="0"/>
      <w:marBottom w:val="0"/>
      <w:divBdr>
        <w:top w:val="none" w:sz="0" w:space="0" w:color="auto"/>
        <w:left w:val="none" w:sz="0" w:space="0" w:color="auto"/>
        <w:bottom w:val="none" w:sz="0" w:space="0" w:color="auto"/>
        <w:right w:val="none" w:sz="0" w:space="0" w:color="auto"/>
      </w:divBdr>
    </w:div>
    <w:div w:id="523790534">
      <w:bodyDiv w:val="1"/>
      <w:marLeft w:val="0"/>
      <w:marRight w:val="0"/>
      <w:marTop w:val="0"/>
      <w:marBottom w:val="0"/>
      <w:divBdr>
        <w:top w:val="none" w:sz="0" w:space="0" w:color="auto"/>
        <w:left w:val="none" w:sz="0" w:space="0" w:color="auto"/>
        <w:bottom w:val="none" w:sz="0" w:space="0" w:color="auto"/>
        <w:right w:val="none" w:sz="0" w:space="0" w:color="auto"/>
      </w:divBdr>
    </w:div>
    <w:div w:id="523792708">
      <w:bodyDiv w:val="1"/>
      <w:marLeft w:val="0"/>
      <w:marRight w:val="0"/>
      <w:marTop w:val="0"/>
      <w:marBottom w:val="0"/>
      <w:divBdr>
        <w:top w:val="none" w:sz="0" w:space="0" w:color="auto"/>
        <w:left w:val="none" w:sz="0" w:space="0" w:color="auto"/>
        <w:bottom w:val="none" w:sz="0" w:space="0" w:color="auto"/>
        <w:right w:val="none" w:sz="0" w:space="0" w:color="auto"/>
      </w:divBdr>
    </w:div>
    <w:div w:id="524053031">
      <w:bodyDiv w:val="1"/>
      <w:marLeft w:val="0"/>
      <w:marRight w:val="0"/>
      <w:marTop w:val="0"/>
      <w:marBottom w:val="0"/>
      <w:divBdr>
        <w:top w:val="none" w:sz="0" w:space="0" w:color="auto"/>
        <w:left w:val="none" w:sz="0" w:space="0" w:color="auto"/>
        <w:bottom w:val="none" w:sz="0" w:space="0" w:color="auto"/>
        <w:right w:val="none" w:sz="0" w:space="0" w:color="auto"/>
      </w:divBdr>
    </w:div>
    <w:div w:id="524253831">
      <w:bodyDiv w:val="1"/>
      <w:marLeft w:val="0"/>
      <w:marRight w:val="0"/>
      <w:marTop w:val="0"/>
      <w:marBottom w:val="0"/>
      <w:divBdr>
        <w:top w:val="none" w:sz="0" w:space="0" w:color="auto"/>
        <w:left w:val="none" w:sz="0" w:space="0" w:color="auto"/>
        <w:bottom w:val="none" w:sz="0" w:space="0" w:color="auto"/>
        <w:right w:val="none" w:sz="0" w:space="0" w:color="auto"/>
      </w:divBdr>
    </w:div>
    <w:div w:id="524488159">
      <w:bodyDiv w:val="1"/>
      <w:marLeft w:val="0"/>
      <w:marRight w:val="0"/>
      <w:marTop w:val="0"/>
      <w:marBottom w:val="0"/>
      <w:divBdr>
        <w:top w:val="none" w:sz="0" w:space="0" w:color="auto"/>
        <w:left w:val="none" w:sz="0" w:space="0" w:color="auto"/>
        <w:bottom w:val="none" w:sz="0" w:space="0" w:color="auto"/>
        <w:right w:val="none" w:sz="0" w:space="0" w:color="auto"/>
      </w:divBdr>
    </w:div>
    <w:div w:id="524681914">
      <w:bodyDiv w:val="1"/>
      <w:marLeft w:val="0"/>
      <w:marRight w:val="0"/>
      <w:marTop w:val="0"/>
      <w:marBottom w:val="0"/>
      <w:divBdr>
        <w:top w:val="none" w:sz="0" w:space="0" w:color="auto"/>
        <w:left w:val="none" w:sz="0" w:space="0" w:color="auto"/>
        <w:bottom w:val="none" w:sz="0" w:space="0" w:color="auto"/>
        <w:right w:val="none" w:sz="0" w:space="0" w:color="auto"/>
      </w:divBdr>
    </w:div>
    <w:div w:id="524828012">
      <w:bodyDiv w:val="1"/>
      <w:marLeft w:val="0"/>
      <w:marRight w:val="0"/>
      <w:marTop w:val="0"/>
      <w:marBottom w:val="0"/>
      <w:divBdr>
        <w:top w:val="none" w:sz="0" w:space="0" w:color="auto"/>
        <w:left w:val="none" w:sz="0" w:space="0" w:color="auto"/>
        <w:bottom w:val="none" w:sz="0" w:space="0" w:color="auto"/>
        <w:right w:val="none" w:sz="0" w:space="0" w:color="auto"/>
      </w:divBdr>
    </w:div>
    <w:div w:id="524949615">
      <w:bodyDiv w:val="1"/>
      <w:marLeft w:val="0"/>
      <w:marRight w:val="0"/>
      <w:marTop w:val="0"/>
      <w:marBottom w:val="0"/>
      <w:divBdr>
        <w:top w:val="none" w:sz="0" w:space="0" w:color="auto"/>
        <w:left w:val="none" w:sz="0" w:space="0" w:color="auto"/>
        <w:bottom w:val="none" w:sz="0" w:space="0" w:color="auto"/>
        <w:right w:val="none" w:sz="0" w:space="0" w:color="auto"/>
      </w:divBdr>
    </w:div>
    <w:div w:id="525678404">
      <w:bodyDiv w:val="1"/>
      <w:marLeft w:val="0"/>
      <w:marRight w:val="0"/>
      <w:marTop w:val="0"/>
      <w:marBottom w:val="0"/>
      <w:divBdr>
        <w:top w:val="none" w:sz="0" w:space="0" w:color="auto"/>
        <w:left w:val="none" w:sz="0" w:space="0" w:color="auto"/>
        <w:bottom w:val="none" w:sz="0" w:space="0" w:color="auto"/>
        <w:right w:val="none" w:sz="0" w:space="0" w:color="auto"/>
      </w:divBdr>
    </w:div>
    <w:div w:id="526482765">
      <w:bodyDiv w:val="1"/>
      <w:marLeft w:val="0"/>
      <w:marRight w:val="0"/>
      <w:marTop w:val="0"/>
      <w:marBottom w:val="0"/>
      <w:divBdr>
        <w:top w:val="none" w:sz="0" w:space="0" w:color="auto"/>
        <w:left w:val="none" w:sz="0" w:space="0" w:color="auto"/>
        <w:bottom w:val="none" w:sz="0" w:space="0" w:color="auto"/>
        <w:right w:val="none" w:sz="0" w:space="0" w:color="auto"/>
      </w:divBdr>
    </w:div>
    <w:div w:id="526719671">
      <w:bodyDiv w:val="1"/>
      <w:marLeft w:val="0"/>
      <w:marRight w:val="0"/>
      <w:marTop w:val="0"/>
      <w:marBottom w:val="0"/>
      <w:divBdr>
        <w:top w:val="none" w:sz="0" w:space="0" w:color="auto"/>
        <w:left w:val="none" w:sz="0" w:space="0" w:color="auto"/>
        <w:bottom w:val="none" w:sz="0" w:space="0" w:color="auto"/>
        <w:right w:val="none" w:sz="0" w:space="0" w:color="auto"/>
      </w:divBdr>
    </w:div>
    <w:div w:id="526910992">
      <w:bodyDiv w:val="1"/>
      <w:marLeft w:val="0"/>
      <w:marRight w:val="0"/>
      <w:marTop w:val="0"/>
      <w:marBottom w:val="0"/>
      <w:divBdr>
        <w:top w:val="none" w:sz="0" w:space="0" w:color="auto"/>
        <w:left w:val="none" w:sz="0" w:space="0" w:color="auto"/>
        <w:bottom w:val="none" w:sz="0" w:space="0" w:color="auto"/>
        <w:right w:val="none" w:sz="0" w:space="0" w:color="auto"/>
      </w:divBdr>
    </w:div>
    <w:div w:id="527379222">
      <w:bodyDiv w:val="1"/>
      <w:marLeft w:val="0"/>
      <w:marRight w:val="0"/>
      <w:marTop w:val="0"/>
      <w:marBottom w:val="0"/>
      <w:divBdr>
        <w:top w:val="none" w:sz="0" w:space="0" w:color="auto"/>
        <w:left w:val="none" w:sz="0" w:space="0" w:color="auto"/>
        <w:bottom w:val="none" w:sz="0" w:space="0" w:color="auto"/>
        <w:right w:val="none" w:sz="0" w:space="0" w:color="auto"/>
      </w:divBdr>
    </w:div>
    <w:div w:id="527720509">
      <w:bodyDiv w:val="1"/>
      <w:marLeft w:val="0"/>
      <w:marRight w:val="0"/>
      <w:marTop w:val="0"/>
      <w:marBottom w:val="0"/>
      <w:divBdr>
        <w:top w:val="none" w:sz="0" w:space="0" w:color="auto"/>
        <w:left w:val="none" w:sz="0" w:space="0" w:color="auto"/>
        <w:bottom w:val="none" w:sz="0" w:space="0" w:color="auto"/>
        <w:right w:val="none" w:sz="0" w:space="0" w:color="auto"/>
      </w:divBdr>
    </w:div>
    <w:div w:id="528104241">
      <w:bodyDiv w:val="1"/>
      <w:marLeft w:val="0"/>
      <w:marRight w:val="0"/>
      <w:marTop w:val="0"/>
      <w:marBottom w:val="0"/>
      <w:divBdr>
        <w:top w:val="none" w:sz="0" w:space="0" w:color="auto"/>
        <w:left w:val="none" w:sz="0" w:space="0" w:color="auto"/>
        <w:bottom w:val="none" w:sz="0" w:space="0" w:color="auto"/>
        <w:right w:val="none" w:sz="0" w:space="0" w:color="auto"/>
      </w:divBdr>
    </w:div>
    <w:div w:id="528565961">
      <w:bodyDiv w:val="1"/>
      <w:marLeft w:val="0"/>
      <w:marRight w:val="0"/>
      <w:marTop w:val="0"/>
      <w:marBottom w:val="0"/>
      <w:divBdr>
        <w:top w:val="none" w:sz="0" w:space="0" w:color="auto"/>
        <w:left w:val="none" w:sz="0" w:space="0" w:color="auto"/>
        <w:bottom w:val="none" w:sz="0" w:space="0" w:color="auto"/>
        <w:right w:val="none" w:sz="0" w:space="0" w:color="auto"/>
      </w:divBdr>
    </w:div>
    <w:div w:id="529342210">
      <w:bodyDiv w:val="1"/>
      <w:marLeft w:val="0"/>
      <w:marRight w:val="0"/>
      <w:marTop w:val="0"/>
      <w:marBottom w:val="0"/>
      <w:divBdr>
        <w:top w:val="none" w:sz="0" w:space="0" w:color="auto"/>
        <w:left w:val="none" w:sz="0" w:space="0" w:color="auto"/>
        <w:bottom w:val="none" w:sz="0" w:space="0" w:color="auto"/>
        <w:right w:val="none" w:sz="0" w:space="0" w:color="auto"/>
      </w:divBdr>
    </w:div>
    <w:div w:id="529491431">
      <w:bodyDiv w:val="1"/>
      <w:marLeft w:val="0"/>
      <w:marRight w:val="0"/>
      <w:marTop w:val="0"/>
      <w:marBottom w:val="0"/>
      <w:divBdr>
        <w:top w:val="none" w:sz="0" w:space="0" w:color="auto"/>
        <w:left w:val="none" w:sz="0" w:space="0" w:color="auto"/>
        <w:bottom w:val="none" w:sz="0" w:space="0" w:color="auto"/>
        <w:right w:val="none" w:sz="0" w:space="0" w:color="auto"/>
      </w:divBdr>
    </w:div>
    <w:div w:id="529687018">
      <w:bodyDiv w:val="1"/>
      <w:marLeft w:val="0"/>
      <w:marRight w:val="0"/>
      <w:marTop w:val="0"/>
      <w:marBottom w:val="0"/>
      <w:divBdr>
        <w:top w:val="none" w:sz="0" w:space="0" w:color="auto"/>
        <w:left w:val="none" w:sz="0" w:space="0" w:color="auto"/>
        <w:bottom w:val="none" w:sz="0" w:space="0" w:color="auto"/>
        <w:right w:val="none" w:sz="0" w:space="0" w:color="auto"/>
      </w:divBdr>
    </w:div>
    <w:div w:id="530067437">
      <w:bodyDiv w:val="1"/>
      <w:marLeft w:val="0"/>
      <w:marRight w:val="0"/>
      <w:marTop w:val="0"/>
      <w:marBottom w:val="0"/>
      <w:divBdr>
        <w:top w:val="none" w:sz="0" w:space="0" w:color="auto"/>
        <w:left w:val="none" w:sz="0" w:space="0" w:color="auto"/>
        <w:bottom w:val="none" w:sz="0" w:space="0" w:color="auto"/>
        <w:right w:val="none" w:sz="0" w:space="0" w:color="auto"/>
      </w:divBdr>
    </w:div>
    <w:div w:id="530847907">
      <w:bodyDiv w:val="1"/>
      <w:marLeft w:val="0"/>
      <w:marRight w:val="0"/>
      <w:marTop w:val="0"/>
      <w:marBottom w:val="0"/>
      <w:divBdr>
        <w:top w:val="none" w:sz="0" w:space="0" w:color="auto"/>
        <w:left w:val="none" w:sz="0" w:space="0" w:color="auto"/>
        <w:bottom w:val="none" w:sz="0" w:space="0" w:color="auto"/>
        <w:right w:val="none" w:sz="0" w:space="0" w:color="auto"/>
      </w:divBdr>
    </w:div>
    <w:div w:id="530873541">
      <w:bodyDiv w:val="1"/>
      <w:marLeft w:val="0"/>
      <w:marRight w:val="0"/>
      <w:marTop w:val="0"/>
      <w:marBottom w:val="0"/>
      <w:divBdr>
        <w:top w:val="none" w:sz="0" w:space="0" w:color="auto"/>
        <w:left w:val="none" w:sz="0" w:space="0" w:color="auto"/>
        <w:bottom w:val="none" w:sz="0" w:space="0" w:color="auto"/>
        <w:right w:val="none" w:sz="0" w:space="0" w:color="auto"/>
      </w:divBdr>
    </w:div>
    <w:div w:id="530999489">
      <w:bodyDiv w:val="1"/>
      <w:marLeft w:val="0"/>
      <w:marRight w:val="0"/>
      <w:marTop w:val="0"/>
      <w:marBottom w:val="0"/>
      <w:divBdr>
        <w:top w:val="none" w:sz="0" w:space="0" w:color="auto"/>
        <w:left w:val="none" w:sz="0" w:space="0" w:color="auto"/>
        <w:bottom w:val="none" w:sz="0" w:space="0" w:color="auto"/>
        <w:right w:val="none" w:sz="0" w:space="0" w:color="auto"/>
      </w:divBdr>
    </w:div>
    <w:div w:id="531572992">
      <w:bodyDiv w:val="1"/>
      <w:marLeft w:val="0"/>
      <w:marRight w:val="0"/>
      <w:marTop w:val="0"/>
      <w:marBottom w:val="0"/>
      <w:divBdr>
        <w:top w:val="none" w:sz="0" w:space="0" w:color="auto"/>
        <w:left w:val="none" w:sz="0" w:space="0" w:color="auto"/>
        <w:bottom w:val="none" w:sz="0" w:space="0" w:color="auto"/>
        <w:right w:val="none" w:sz="0" w:space="0" w:color="auto"/>
      </w:divBdr>
    </w:div>
    <w:div w:id="531765191">
      <w:bodyDiv w:val="1"/>
      <w:marLeft w:val="0"/>
      <w:marRight w:val="0"/>
      <w:marTop w:val="0"/>
      <w:marBottom w:val="0"/>
      <w:divBdr>
        <w:top w:val="none" w:sz="0" w:space="0" w:color="auto"/>
        <w:left w:val="none" w:sz="0" w:space="0" w:color="auto"/>
        <w:bottom w:val="none" w:sz="0" w:space="0" w:color="auto"/>
        <w:right w:val="none" w:sz="0" w:space="0" w:color="auto"/>
      </w:divBdr>
    </w:div>
    <w:div w:id="532814588">
      <w:bodyDiv w:val="1"/>
      <w:marLeft w:val="0"/>
      <w:marRight w:val="0"/>
      <w:marTop w:val="0"/>
      <w:marBottom w:val="0"/>
      <w:divBdr>
        <w:top w:val="none" w:sz="0" w:space="0" w:color="auto"/>
        <w:left w:val="none" w:sz="0" w:space="0" w:color="auto"/>
        <w:bottom w:val="none" w:sz="0" w:space="0" w:color="auto"/>
        <w:right w:val="none" w:sz="0" w:space="0" w:color="auto"/>
      </w:divBdr>
    </w:div>
    <w:div w:id="533079994">
      <w:bodyDiv w:val="1"/>
      <w:marLeft w:val="0"/>
      <w:marRight w:val="0"/>
      <w:marTop w:val="0"/>
      <w:marBottom w:val="0"/>
      <w:divBdr>
        <w:top w:val="none" w:sz="0" w:space="0" w:color="auto"/>
        <w:left w:val="none" w:sz="0" w:space="0" w:color="auto"/>
        <w:bottom w:val="none" w:sz="0" w:space="0" w:color="auto"/>
        <w:right w:val="none" w:sz="0" w:space="0" w:color="auto"/>
      </w:divBdr>
    </w:div>
    <w:div w:id="533153098">
      <w:bodyDiv w:val="1"/>
      <w:marLeft w:val="0"/>
      <w:marRight w:val="0"/>
      <w:marTop w:val="0"/>
      <w:marBottom w:val="0"/>
      <w:divBdr>
        <w:top w:val="none" w:sz="0" w:space="0" w:color="auto"/>
        <w:left w:val="none" w:sz="0" w:space="0" w:color="auto"/>
        <w:bottom w:val="none" w:sz="0" w:space="0" w:color="auto"/>
        <w:right w:val="none" w:sz="0" w:space="0" w:color="auto"/>
      </w:divBdr>
    </w:div>
    <w:div w:id="533273101">
      <w:bodyDiv w:val="1"/>
      <w:marLeft w:val="0"/>
      <w:marRight w:val="0"/>
      <w:marTop w:val="0"/>
      <w:marBottom w:val="0"/>
      <w:divBdr>
        <w:top w:val="none" w:sz="0" w:space="0" w:color="auto"/>
        <w:left w:val="none" w:sz="0" w:space="0" w:color="auto"/>
        <w:bottom w:val="none" w:sz="0" w:space="0" w:color="auto"/>
        <w:right w:val="none" w:sz="0" w:space="0" w:color="auto"/>
      </w:divBdr>
    </w:div>
    <w:div w:id="533999859">
      <w:bodyDiv w:val="1"/>
      <w:marLeft w:val="0"/>
      <w:marRight w:val="0"/>
      <w:marTop w:val="0"/>
      <w:marBottom w:val="0"/>
      <w:divBdr>
        <w:top w:val="none" w:sz="0" w:space="0" w:color="auto"/>
        <w:left w:val="none" w:sz="0" w:space="0" w:color="auto"/>
        <w:bottom w:val="none" w:sz="0" w:space="0" w:color="auto"/>
        <w:right w:val="none" w:sz="0" w:space="0" w:color="auto"/>
      </w:divBdr>
    </w:div>
    <w:div w:id="534077240">
      <w:bodyDiv w:val="1"/>
      <w:marLeft w:val="0"/>
      <w:marRight w:val="0"/>
      <w:marTop w:val="0"/>
      <w:marBottom w:val="0"/>
      <w:divBdr>
        <w:top w:val="none" w:sz="0" w:space="0" w:color="auto"/>
        <w:left w:val="none" w:sz="0" w:space="0" w:color="auto"/>
        <w:bottom w:val="none" w:sz="0" w:space="0" w:color="auto"/>
        <w:right w:val="none" w:sz="0" w:space="0" w:color="auto"/>
      </w:divBdr>
    </w:div>
    <w:div w:id="534125840">
      <w:bodyDiv w:val="1"/>
      <w:marLeft w:val="0"/>
      <w:marRight w:val="0"/>
      <w:marTop w:val="0"/>
      <w:marBottom w:val="0"/>
      <w:divBdr>
        <w:top w:val="none" w:sz="0" w:space="0" w:color="auto"/>
        <w:left w:val="none" w:sz="0" w:space="0" w:color="auto"/>
        <w:bottom w:val="none" w:sz="0" w:space="0" w:color="auto"/>
        <w:right w:val="none" w:sz="0" w:space="0" w:color="auto"/>
      </w:divBdr>
    </w:div>
    <w:div w:id="534657522">
      <w:bodyDiv w:val="1"/>
      <w:marLeft w:val="0"/>
      <w:marRight w:val="0"/>
      <w:marTop w:val="0"/>
      <w:marBottom w:val="0"/>
      <w:divBdr>
        <w:top w:val="none" w:sz="0" w:space="0" w:color="auto"/>
        <w:left w:val="none" w:sz="0" w:space="0" w:color="auto"/>
        <w:bottom w:val="none" w:sz="0" w:space="0" w:color="auto"/>
        <w:right w:val="none" w:sz="0" w:space="0" w:color="auto"/>
      </w:divBdr>
    </w:div>
    <w:div w:id="534972149">
      <w:bodyDiv w:val="1"/>
      <w:marLeft w:val="0"/>
      <w:marRight w:val="0"/>
      <w:marTop w:val="0"/>
      <w:marBottom w:val="0"/>
      <w:divBdr>
        <w:top w:val="none" w:sz="0" w:space="0" w:color="auto"/>
        <w:left w:val="none" w:sz="0" w:space="0" w:color="auto"/>
        <w:bottom w:val="none" w:sz="0" w:space="0" w:color="auto"/>
        <w:right w:val="none" w:sz="0" w:space="0" w:color="auto"/>
      </w:divBdr>
    </w:div>
    <w:div w:id="535585753">
      <w:bodyDiv w:val="1"/>
      <w:marLeft w:val="0"/>
      <w:marRight w:val="0"/>
      <w:marTop w:val="0"/>
      <w:marBottom w:val="0"/>
      <w:divBdr>
        <w:top w:val="none" w:sz="0" w:space="0" w:color="auto"/>
        <w:left w:val="none" w:sz="0" w:space="0" w:color="auto"/>
        <w:bottom w:val="none" w:sz="0" w:space="0" w:color="auto"/>
        <w:right w:val="none" w:sz="0" w:space="0" w:color="auto"/>
      </w:divBdr>
    </w:div>
    <w:div w:id="535966195">
      <w:bodyDiv w:val="1"/>
      <w:marLeft w:val="0"/>
      <w:marRight w:val="0"/>
      <w:marTop w:val="0"/>
      <w:marBottom w:val="0"/>
      <w:divBdr>
        <w:top w:val="none" w:sz="0" w:space="0" w:color="auto"/>
        <w:left w:val="none" w:sz="0" w:space="0" w:color="auto"/>
        <w:bottom w:val="none" w:sz="0" w:space="0" w:color="auto"/>
        <w:right w:val="none" w:sz="0" w:space="0" w:color="auto"/>
      </w:divBdr>
    </w:div>
    <w:div w:id="536086641">
      <w:bodyDiv w:val="1"/>
      <w:marLeft w:val="0"/>
      <w:marRight w:val="0"/>
      <w:marTop w:val="0"/>
      <w:marBottom w:val="0"/>
      <w:divBdr>
        <w:top w:val="none" w:sz="0" w:space="0" w:color="auto"/>
        <w:left w:val="none" w:sz="0" w:space="0" w:color="auto"/>
        <w:bottom w:val="none" w:sz="0" w:space="0" w:color="auto"/>
        <w:right w:val="none" w:sz="0" w:space="0" w:color="auto"/>
      </w:divBdr>
    </w:div>
    <w:div w:id="536089200">
      <w:bodyDiv w:val="1"/>
      <w:marLeft w:val="0"/>
      <w:marRight w:val="0"/>
      <w:marTop w:val="0"/>
      <w:marBottom w:val="0"/>
      <w:divBdr>
        <w:top w:val="none" w:sz="0" w:space="0" w:color="auto"/>
        <w:left w:val="none" w:sz="0" w:space="0" w:color="auto"/>
        <w:bottom w:val="none" w:sz="0" w:space="0" w:color="auto"/>
        <w:right w:val="none" w:sz="0" w:space="0" w:color="auto"/>
      </w:divBdr>
    </w:div>
    <w:div w:id="536309136">
      <w:bodyDiv w:val="1"/>
      <w:marLeft w:val="0"/>
      <w:marRight w:val="0"/>
      <w:marTop w:val="0"/>
      <w:marBottom w:val="0"/>
      <w:divBdr>
        <w:top w:val="none" w:sz="0" w:space="0" w:color="auto"/>
        <w:left w:val="none" w:sz="0" w:space="0" w:color="auto"/>
        <w:bottom w:val="none" w:sz="0" w:space="0" w:color="auto"/>
        <w:right w:val="none" w:sz="0" w:space="0" w:color="auto"/>
      </w:divBdr>
    </w:div>
    <w:div w:id="536622759">
      <w:bodyDiv w:val="1"/>
      <w:marLeft w:val="0"/>
      <w:marRight w:val="0"/>
      <w:marTop w:val="0"/>
      <w:marBottom w:val="0"/>
      <w:divBdr>
        <w:top w:val="none" w:sz="0" w:space="0" w:color="auto"/>
        <w:left w:val="none" w:sz="0" w:space="0" w:color="auto"/>
        <w:bottom w:val="none" w:sz="0" w:space="0" w:color="auto"/>
        <w:right w:val="none" w:sz="0" w:space="0" w:color="auto"/>
      </w:divBdr>
    </w:div>
    <w:div w:id="536818957">
      <w:bodyDiv w:val="1"/>
      <w:marLeft w:val="0"/>
      <w:marRight w:val="0"/>
      <w:marTop w:val="0"/>
      <w:marBottom w:val="0"/>
      <w:divBdr>
        <w:top w:val="none" w:sz="0" w:space="0" w:color="auto"/>
        <w:left w:val="none" w:sz="0" w:space="0" w:color="auto"/>
        <w:bottom w:val="none" w:sz="0" w:space="0" w:color="auto"/>
        <w:right w:val="none" w:sz="0" w:space="0" w:color="auto"/>
      </w:divBdr>
    </w:div>
    <w:div w:id="537163863">
      <w:bodyDiv w:val="1"/>
      <w:marLeft w:val="0"/>
      <w:marRight w:val="0"/>
      <w:marTop w:val="0"/>
      <w:marBottom w:val="0"/>
      <w:divBdr>
        <w:top w:val="none" w:sz="0" w:space="0" w:color="auto"/>
        <w:left w:val="none" w:sz="0" w:space="0" w:color="auto"/>
        <w:bottom w:val="none" w:sz="0" w:space="0" w:color="auto"/>
        <w:right w:val="none" w:sz="0" w:space="0" w:color="auto"/>
      </w:divBdr>
    </w:div>
    <w:div w:id="537284563">
      <w:bodyDiv w:val="1"/>
      <w:marLeft w:val="0"/>
      <w:marRight w:val="0"/>
      <w:marTop w:val="0"/>
      <w:marBottom w:val="0"/>
      <w:divBdr>
        <w:top w:val="none" w:sz="0" w:space="0" w:color="auto"/>
        <w:left w:val="none" w:sz="0" w:space="0" w:color="auto"/>
        <w:bottom w:val="none" w:sz="0" w:space="0" w:color="auto"/>
        <w:right w:val="none" w:sz="0" w:space="0" w:color="auto"/>
      </w:divBdr>
    </w:div>
    <w:div w:id="537396756">
      <w:bodyDiv w:val="1"/>
      <w:marLeft w:val="0"/>
      <w:marRight w:val="0"/>
      <w:marTop w:val="0"/>
      <w:marBottom w:val="0"/>
      <w:divBdr>
        <w:top w:val="none" w:sz="0" w:space="0" w:color="auto"/>
        <w:left w:val="none" w:sz="0" w:space="0" w:color="auto"/>
        <w:bottom w:val="none" w:sz="0" w:space="0" w:color="auto"/>
        <w:right w:val="none" w:sz="0" w:space="0" w:color="auto"/>
      </w:divBdr>
    </w:div>
    <w:div w:id="537476109">
      <w:bodyDiv w:val="1"/>
      <w:marLeft w:val="0"/>
      <w:marRight w:val="0"/>
      <w:marTop w:val="0"/>
      <w:marBottom w:val="0"/>
      <w:divBdr>
        <w:top w:val="none" w:sz="0" w:space="0" w:color="auto"/>
        <w:left w:val="none" w:sz="0" w:space="0" w:color="auto"/>
        <w:bottom w:val="none" w:sz="0" w:space="0" w:color="auto"/>
        <w:right w:val="none" w:sz="0" w:space="0" w:color="auto"/>
      </w:divBdr>
    </w:div>
    <w:div w:id="538510516">
      <w:bodyDiv w:val="1"/>
      <w:marLeft w:val="0"/>
      <w:marRight w:val="0"/>
      <w:marTop w:val="0"/>
      <w:marBottom w:val="0"/>
      <w:divBdr>
        <w:top w:val="none" w:sz="0" w:space="0" w:color="auto"/>
        <w:left w:val="none" w:sz="0" w:space="0" w:color="auto"/>
        <w:bottom w:val="none" w:sz="0" w:space="0" w:color="auto"/>
        <w:right w:val="none" w:sz="0" w:space="0" w:color="auto"/>
      </w:divBdr>
    </w:div>
    <w:div w:id="538782900">
      <w:bodyDiv w:val="1"/>
      <w:marLeft w:val="0"/>
      <w:marRight w:val="0"/>
      <w:marTop w:val="0"/>
      <w:marBottom w:val="0"/>
      <w:divBdr>
        <w:top w:val="none" w:sz="0" w:space="0" w:color="auto"/>
        <w:left w:val="none" w:sz="0" w:space="0" w:color="auto"/>
        <w:bottom w:val="none" w:sz="0" w:space="0" w:color="auto"/>
        <w:right w:val="none" w:sz="0" w:space="0" w:color="auto"/>
      </w:divBdr>
    </w:div>
    <w:div w:id="540240642">
      <w:bodyDiv w:val="1"/>
      <w:marLeft w:val="0"/>
      <w:marRight w:val="0"/>
      <w:marTop w:val="0"/>
      <w:marBottom w:val="0"/>
      <w:divBdr>
        <w:top w:val="none" w:sz="0" w:space="0" w:color="auto"/>
        <w:left w:val="none" w:sz="0" w:space="0" w:color="auto"/>
        <w:bottom w:val="none" w:sz="0" w:space="0" w:color="auto"/>
        <w:right w:val="none" w:sz="0" w:space="0" w:color="auto"/>
      </w:divBdr>
    </w:div>
    <w:div w:id="540437441">
      <w:bodyDiv w:val="1"/>
      <w:marLeft w:val="0"/>
      <w:marRight w:val="0"/>
      <w:marTop w:val="0"/>
      <w:marBottom w:val="0"/>
      <w:divBdr>
        <w:top w:val="none" w:sz="0" w:space="0" w:color="auto"/>
        <w:left w:val="none" w:sz="0" w:space="0" w:color="auto"/>
        <w:bottom w:val="none" w:sz="0" w:space="0" w:color="auto"/>
        <w:right w:val="none" w:sz="0" w:space="0" w:color="auto"/>
      </w:divBdr>
    </w:div>
    <w:div w:id="540750855">
      <w:bodyDiv w:val="1"/>
      <w:marLeft w:val="0"/>
      <w:marRight w:val="0"/>
      <w:marTop w:val="0"/>
      <w:marBottom w:val="0"/>
      <w:divBdr>
        <w:top w:val="none" w:sz="0" w:space="0" w:color="auto"/>
        <w:left w:val="none" w:sz="0" w:space="0" w:color="auto"/>
        <w:bottom w:val="none" w:sz="0" w:space="0" w:color="auto"/>
        <w:right w:val="none" w:sz="0" w:space="0" w:color="auto"/>
      </w:divBdr>
    </w:div>
    <w:div w:id="541018154">
      <w:bodyDiv w:val="1"/>
      <w:marLeft w:val="0"/>
      <w:marRight w:val="0"/>
      <w:marTop w:val="0"/>
      <w:marBottom w:val="0"/>
      <w:divBdr>
        <w:top w:val="none" w:sz="0" w:space="0" w:color="auto"/>
        <w:left w:val="none" w:sz="0" w:space="0" w:color="auto"/>
        <w:bottom w:val="none" w:sz="0" w:space="0" w:color="auto"/>
        <w:right w:val="none" w:sz="0" w:space="0" w:color="auto"/>
      </w:divBdr>
    </w:div>
    <w:div w:id="541483443">
      <w:bodyDiv w:val="1"/>
      <w:marLeft w:val="0"/>
      <w:marRight w:val="0"/>
      <w:marTop w:val="0"/>
      <w:marBottom w:val="0"/>
      <w:divBdr>
        <w:top w:val="none" w:sz="0" w:space="0" w:color="auto"/>
        <w:left w:val="none" w:sz="0" w:space="0" w:color="auto"/>
        <w:bottom w:val="none" w:sz="0" w:space="0" w:color="auto"/>
        <w:right w:val="none" w:sz="0" w:space="0" w:color="auto"/>
      </w:divBdr>
    </w:div>
    <w:div w:id="541483812">
      <w:bodyDiv w:val="1"/>
      <w:marLeft w:val="0"/>
      <w:marRight w:val="0"/>
      <w:marTop w:val="0"/>
      <w:marBottom w:val="0"/>
      <w:divBdr>
        <w:top w:val="none" w:sz="0" w:space="0" w:color="auto"/>
        <w:left w:val="none" w:sz="0" w:space="0" w:color="auto"/>
        <w:bottom w:val="none" w:sz="0" w:space="0" w:color="auto"/>
        <w:right w:val="none" w:sz="0" w:space="0" w:color="auto"/>
      </w:divBdr>
    </w:div>
    <w:div w:id="541937660">
      <w:bodyDiv w:val="1"/>
      <w:marLeft w:val="0"/>
      <w:marRight w:val="0"/>
      <w:marTop w:val="0"/>
      <w:marBottom w:val="0"/>
      <w:divBdr>
        <w:top w:val="none" w:sz="0" w:space="0" w:color="auto"/>
        <w:left w:val="none" w:sz="0" w:space="0" w:color="auto"/>
        <w:bottom w:val="none" w:sz="0" w:space="0" w:color="auto"/>
        <w:right w:val="none" w:sz="0" w:space="0" w:color="auto"/>
      </w:divBdr>
    </w:div>
    <w:div w:id="542133714">
      <w:bodyDiv w:val="1"/>
      <w:marLeft w:val="0"/>
      <w:marRight w:val="0"/>
      <w:marTop w:val="0"/>
      <w:marBottom w:val="0"/>
      <w:divBdr>
        <w:top w:val="none" w:sz="0" w:space="0" w:color="auto"/>
        <w:left w:val="none" w:sz="0" w:space="0" w:color="auto"/>
        <w:bottom w:val="none" w:sz="0" w:space="0" w:color="auto"/>
        <w:right w:val="none" w:sz="0" w:space="0" w:color="auto"/>
      </w:divBdr>
    </w:div>
    <w:div w:id="542134211">
      <w:bodyDiv w:val="1"/>
      <w:marLeft w:val="0"/>
      <w:marRight w:val="0"/>
      <w:marTop w:val="0"/>
      <w:marBottom w:val="0"/>
      <w:divBdr>
        <w:top w:val="none" w:sz="0" w:space="0" w:color="auto"/>
        <w:left w:val="none" w:sz="0" w:space="0" w:color="auto"/>
        <w:bottom w:val="none" w:sz="0" w:space="0" w:color="auto"/>
        <w:right w:val="none" w:sz="0" w:space="0" w:color="auto"/>
      </w:divBdr>
    </w:div>
    <w:div w:id="542325548">
      <w:bodyDiv w:val="1"/>
      <w:marLeft w:val="0"/>
      <w:marRight w:val="0"/>
      <w:marTop w:val="0"/>
      <w:marBottom w:val="0"/>
      <w:divBdr>
        <w:top w:val="none" w:sz="0" w:space="0" w:color="auto"/>
        <w:left w:val="none" w:sz="0" w:space="0" w:color="auto"/>
        <w:bottom w:val="none" w:sz="0" w:space="0" w:color="auto"/>
        <w:right w:val="none" w:sz="0" w:space="0" w:color="auto"/>
      </w:divBdr>
    </w:div>
    <w:div w:id="542402808">
      <w:bodyDiv w:val="1"/>
      <w:marLeft w:val="0"/>
      <w:marRight w:val="0"/>
      <w:marTop w:val="0"/>
      <w:marBottom w:val="0"/>
      <w:divBdr>
        <w:top w:val="none" w:sz="0" w:space="0" w:color="auto"/>
        <w:left w:val="none" w:sz="0" w:space="0" w:color="auto"/>
        <w:bottom w:val="none" w:sz="0" w:space="0" w:color="auto"/>
        <w:right w:val="none" w:sz="0" w:space="0" w:color="auto"/>
      </w:divBdr>
    </w:div>
    <w:div w:id="542640325">
      <w:bodyDiv w:val="1"/>
      <w:marLeft w:val="0"/>
      <w:marRight w:val="0"/>
      <w:marTop w:val="0"/>
      <w:marBottom w:val="0"/>
      <w:divBdr>
        <w:top w:val="none" w:sz="0" w:space="0" w:color="auto"/>
        <w:left w:val="none" w:sz="0" w:space="0" w:color="auto"/>
        <w:bottom w:val="none" w:sz="0" w:space="0" w:color="auto"/>
        <w:right w:val="none" w:sz="0" w:space="0" w:color="auto"/>
      </w:divBdr>
    </w:div>
    <w:div w:id="542792017">
      <w:bodyDiv w:val="1"/>
      <w:marLeft w:val="0"/>
      <w:marRight w:val="0"/>
      <w:marTop w:val="0"/>
      <w:marBottom w:val="0"/>
      <w:divBdr>
        <w:top w:val="none" w:sz="0" w:space="0" w:color="auto"/>
        <w:left w:val="none" w:sz="0" w:space="0" w:color="auto"/>
        <w:bottom w:val="none" w:sz="0" w:space="0" w:color="auto"/>
        <w:right w:val="none" w:sz="0" w:space="0" w:color="auto"/>
      </w:divBdr>
    </w:div>
    <w:div w:id="542982606">
      <w:bodyDiv w:val="1"/>
      <w:marLeft w:val="0"/>
      <w:marRight w:val="0"/>
      <w:marTop w:val="0"/>
      <w:marBottom w:val="0"/>
      <w:divBdr>
        <w:top w:val="none" w:sz="0" w:space="0" w:color="auto"/>
        <w:left w:val="none" w:sz="0" w:space="0" w:color="auto"/>
        <w:bottom w:val="none" w:sz="0" w:space="0" w:color="auto"/>
        <w:right w:val="none" w:sz="0" w:space="0" w:color="auto"/>
      </w:divBdr>
    </w:div>
    <w:div w:id="542983385">
      <w:bodyDiv w:val="1"/>
      <w:marLeft w:val="0"/>
      <w:marRight w:val="0"/>
      <w:marTop w:val="0"/>
      <w:marBottom w:val="0"/>
      <w:divBdr>
        <w:top w:val="none" w:sz="0" w:space="0" w:color="auto"/>
        <w:left w:val="none" w:sz="0" w:space="0" w:color="auto"/>
        <w:bottom w:val="none" w:sz="0" w:space="0" w:color="auto"/>
        <w:right w:val="none" w:sz="0" w:space="0" w:color="auto"/>
      </w:divBdr>
    </w:div>
    <w:div w:id="543063520">
      <w:bodyDiv w:val="1"/>
      <w:marLeft w:val="0"/>
      <w:marRight w:val="0"/>
      <w:marTop w:val="0"/>
      <w:marBottom w:val="0"/>
      <w:divBdr>
        <w:top w:val="none" w:sz="0" w:space="0" w:color="auto"/>
        <w:left w:val="none" w:sz="0" w:space="0" w:color="auto"/>
        <w:bottom w:val="none" w:sz="0" w:space="0" w:color="auto"/>
        <w:right w:val="none" w:sz="0" w:space="0" w:color="auto"/>
      </w:divBdr>
    </w:div>
    <w:div w:id="543172748">
      <w:bodyDiv w:val="1"/>
      <w:marLeft w:val="0"/>
      <w:marRight w:val="0"/>
      <w:marTop w:val="0"/>
      <w:marBottom w:val="0"/>
      <w:divBdr>
        <w:top w:val="none" w:sz="0" w:space="0" w:color="auto"/>
        <w:left w:val="none" w:sz="0" w:space="0" w:color="auto"/>
        <w:bottom w:val="none" w:sz="0" w:space="0" w:color="auto"/>
        <w:right w:val="none" w:sz="0" w:space="0" w:color="auto"/>
      </w:divBdr>
    </w:div>
    <w:div w:id="544680919">
      <w:bodyDiv w:val="1"/>
      <w:marLeft w:val="0"/>
      <w:marRight w:val="0"/>
      <w:marTop w:val="0"/>
      <w:marBottom w:val="0"/>
      <w:divBdr>
        <w:top w:val="none" w:sz="0" w:space="0" w:color="auto"/>
        <w:left w:val="none" w:sz="0" w:space="0" w:color="auto"/>
        <w:bottom w:val="none" w:sz="0" w:space="0" w:color="auto"/>
        <w:right w:val="none" w:sz="0" w:space="0" w:color="auto"/>
      </w:divBdr>
    </w:div>
    <w:div w:id="544870485">
      <w:bodyDiv w:val="1"/>
      <w:marLeft w:val="0"/>
      <w:marRight w:val="0"/>
      <w:marTop w:val="0"/>
      <w:marBottom w:val="0"/>
      <w:divBdr>
        <w:top w:val="none" w:sz="0" w:space="0" w:color="auto"/>
        <w:left w:val="none" w:sz="0" w:space="0" w:color="auto"/>
        <w:bottom w:val="none" w:sz="0" w:space="0" w:color="auto"/>
        <w:right w:val="none" w:sz="0" w:space="0" w:color="auto"/>
      </w:divBdr>
    </w:div>
    <w:div w:id="544951724">
      <w:bodyDiv w:val="1"/>
      <w:marLeft w:val="0"/>
      <w:marRight w:val="0"/>
      <w:marTop w:val="0"/>
      <w:marBottom w:val="0"/>
      <w:divBdr>
        <w:top w:val="none" w:sz="0" w:space="0" w:color="auto"/>
        <w:left w:val="none" w:sz="0" w:space="0" w:color="auto"/>
        <w:bottom w:val="none" w:sz="0" w:space="0" w:color="auto"/>
        <w:right w:val="none" w:sz="0" w:space="0" w:color="auto"/>
      </w:divBdr>
    </w:div>
    <w:div w:id="545532629">
      <w:bodyDiv w:val="1"/>
      <w:marLeft w:val="0"/>
      <w:marRight w:val="0"/>
      <w:marTop w:val="0"/>
      <w:marBottom w:val="0"/>
      <w:divBdr>
        <w:top w:val="none" w:sz="0" w:space="0" w:color="auto"/>
        <w:left w:val="none" w:sz="0" w:space="0" w:color="auto"/>
        <w:bottom w:val="none" w:sz="0" w:space="0" w:color="auto"/>
        <w:right w:val="none" w:sz="0" w:space="0" w:color="auto"/>
      </w:divBdr>
    </w:div>
    <w:div w:id="545725686">
      <w:bodyDiv w:val="1"/>
      <w:marLeft w:val="0"/>
      <w:marRight w:val="0"/>
      <w:marTop w:val="0"/>
      <w:marBottom w:val="0"/>
      <w:divBdr>
        <w:top w:val="none" w:sz="0" w:space="0" w:color="auto"/>
        <w:left w:val="none" w:sz="0" w:space="0" w:color="auto"/>
        <w:bottom w:val="none" w:sz="0" w:space="0" w:color="auto"/>
        <w:right w:val="none" w:sz="0" w:space="0" w:color="auto"/>
      </w:divBdr>
    </w:div>
    <w:div w:id="545727216">
      <w:bodyDiv w:val="1"/>
      <w:marLeft w:val="0"/>
      <w:marRight w:val="0"/>
      <w:marTop w:val="0"/>
      <w:marBottom w:val="0"/>
      <w:divBdr>
        <w:top w:val="none" w:sz="0" w:space="0" w:color="auto"/>
        <w:left w:val="none" w:sz="0" w:space="0" w:color="auto"/>
        <w:bottom w:val="none" w:sz="0" w:space="0" w:color="auto"/>
        <w:right w:val="none" w:sz="0" w:space="0" w:color="auto"/>
      </w:divBdr>
    </w:div>
    <w:div w:id="545945127">
      <w:bodyDiv w:val="1"/>
      <w:marLeft w:val="0"/>
      <w:marRight w:val="0"/>
      <w:marTop w:val="0"/>
      <w:marBottom w:val="0"/>
      <w:divBdr>
        <w:top w:val="none" w:sz="0" w:space="0" w:color="auto"/>
        <w:left w:val="none" w:sz="0" w:space="0" w:color="auto"/>
        <w:bottom w:val="none" w:sz="0" w:space="0" w:color="auto"/>
        <w:right w:val="none" w:sz="0" w:space="0" w:color="auto"/>
      </w:divBdr>
    </w:div>
    <w:div w:id="546180377">
      <w:bodyDiv w:val="1"/>
      <w:marLeft w:val="0"/>
      <w:marRight w:val="0"/>
      <w:marTop w:val="0"/>
      <w:marBottom w:val="0"/>
      <w:divBdr>
        <w:top w:val="none" w:sz="0" w:space="0" w:color="auto"/>
        <w:left w:val="none" w:sz="0" w:space="0" w:color="auto"/>
        <w:bottom w:val="none" w:sz="0" w:space="0" w:color="auto"/>
        <w:right w:val="none" w:sz="0" w:space="0" w:color="auto"/>
      </w:divBdr>
    </w:div>
    <w:div w:id="546839632">
      <w:bodyDiv w:val="1"/>
      <w:marLeft w:val="0"/>
      <w:marRight w:val="0"/>
      <w:marTop w:val="0"/>
      <w:marBottom w:val="0"/>
      <w:divBdr>
        <w:top w:val="none" w:sz="0" w:space="0" w:color="auto"/>
        <w:left w:val="none" w:sz="0" w:space="0" w:color="auto"/>
        <w:bottom w:val="none" w:sz="0" w:space="0" w:color="auto"/>
        <w:right w:val="none" w:sz="0" w:space="0" w:color="auto"/>
      </w:divBdr>
    </w:div>
    <w:div w:id="546914434">
      <w:bodyDiv w:val="1"/>
      <w:marLeft w:val="0"/>
      <w:marRight w:val="0"/>
      <w:marTop w:val="0"/>
      <w:marBottom w:val="0"/>
      <w:divBdr>
        <w:top w:val="none" w:sz="0" w:space="0" w:color="auto"/>
        <w:left w:val="none" w:sz="0" w:space="0" w:color="auto"/>
        <w:bottom w:val="none" w:sz="0" w:space="0" w:color="auto"/>
        <w:right w:val="none" w:sz="0" w:space="0" w:color="auto"/>
      </w:divBdr>
    </w:div>
    <w:div w:id="547037762">
      <w:bodyDiv w:val="1"/>
      <w:marLeft w:val="0"/>
      <w:marRight w:val="0"/>
      <w:marTop w:val="0"/>
      <w:marBottom w:val="0"/>
      <w:divBdr>
        <w:top w:val="none" w:sz="0" w:space="0" w:color="auto"/>
        <w:left w:val="none" w:sz="0" w:space="0" w:color="auto"/>
        <w:bottom w:val="none" w:sz="0" w:space="0" w:color="auto"/>
        <w:right w:val="none" w:sz="0" w:space="0" w:color="auto"/>
      </w:divBdr>
    </w:div>
    <w:div w:id="547380059">
      <w:bodyDiv w:val="1"/>
      <w:marLeft w:val="0"/>
      <w:marRight w:val="0"/>
      <w:marTop w:val="0"/>
      <w:marBottom w:val="0"/>
      <w:divBdr>
        <w:top w:val="none" w:sz="0" w:space="0" w:color="auto"/>
        <w:left w:val="none" w:sz="0" w:space="0" w:color="auto"/>
        <w:bottom w:val="none" w:sz="0" w:space="0" w:color="auto"/>
        <w:right w:val="none" w:sz="0" w:space="0" w:color="auto"/>
      </w:divBdr>
    </w:div>
    <w:div w:id="547453043">
      <w:bodyDiv w:val="1"/>
      <w:marLeft w:val="0"/>
      <w:marRight w:val="0"/>
      <w:marTop w:val="0"/>
      <w:marBottom w:val="0"/>
      <w:divBdr>
        <w:top w:val="none" w:sz="0" w:space="0" w:color="auto"/>
        <w:left w:val="none" w:sz="0" w:space="0" w:color="auto"/>
        <w:bottom w:val="none" w:sz="0" w:space="0" w:color="auto"/>
        <w:right w:val="none" w:sz="0" w:space="0" w:color="auto"/>
      </w:divBdr>
    </w:div>
    <w:div w:id="547491025">
      <w:bodyDiv w:val="1"/>
      <w:marLeft w:val="0"/>
      <w:marRight w:val="0"/>
      <w:marTop w:val="0"/>
      <w:marBottom w:val="0"/>
      <w:divBdr>
        <w:top w:val="none" w:sz="0" w:space="0" w:color="auto"/>
        <w:left w:val="none" w:sz="0" w:space="0" w:color="auto"/>
        <w:bottom w:val="none" w:sz="0" w:space="0" w:color="auto"/>
        <w:right w:val="none" w:sz="0" w:space="0" w:color="auto"/>
      </w:divBdr>
    </w:div>
    <w:div w:id="547491940">
      <w:bodyDiv w:val="1"/>
      <w:marLeft w:val="0"/>
      <w:marRight w:val="0"/>
      <w:marTop w:val="0"/>
      <w:marBottom w:val="0"/>
      <w:divBdr>
        <w:top w:val="none" w:sz="0" w:space="0" w:color="auto"/>
        <w:left w:val="none" w:sz="0" w:space="0" w:color="auto"/>
        <w:bottom w:val="none" w:sz="0" w:space="0" w:color="auto"/>
        <w:right w:val="none" w:sz="0" w:space="0" w:color="auto"/>
      </w:divBdr>
    </w:div>
    <w:div w:id="547575525">
      <w:bodyDiv w:val="1"/>
      <w:marLeft w:val="0"/>
      <w:marRight w:val="0"/>
      <w:marTop w:val="0"/>
      <w:marBottom w:val="0"/>
      <w:divBdr>
        <w:top w:val="none" w:sz="0" w:space="0" w:color="auto"/>
        <w:left w:val="none" w:sz="0" w:space="0" w:color="auto"/>
        <w:bottom w:val="none" w:sz="0" w:space="0" w:color="auto"/>
        <w:right w:val="none" w:sz="0" w:space="0" w:color="auto"/>
      </w:divBdr>
    </w:div>
    <w:div w:id="547763511">
      <w:bodyDiv w:val="1"/>
      <w:marLeft w:val="0"/>
      <w:marRight w:val="0"/>
      <w:marTop w:val="0"/>
      <w:marBottom w:val="0"/>
      <w:divBdr>
        <w:top w:val="none" w:sz="0" w:space="0" w:color="auto"/>
        <w:left w:val="none" w:sz="0" w:space="0" w:color="auto"/>
        <w:bottom w:val="none" w:sz="0" w:space="0" w:color="auto"/>
        <w:right w:val="none" w:sz="0" w:space="0" w:color="auto"/>
      </w:divBdr>
    </w:div>
    <w:div w:id="548225197">
      <w:bodyDiv w:val="1"/>
      <w:marLeft w:val="0"/>
      <w:marRight w:val="0"/>
      <w:marTop w:val="0"/>
      <w:marBottom w:val="0"/>
      <w:divBdr>
        <w:top w:val="none" w:sz="0" w:space="0" w:color="auto"/>
        <w:left w:val="none" w:sz="0" w:space="0" w:color="auto"/>
        <w:bottom w:val="none" w:sz="0" w:space="0" w:color="auto"/>
        <w:right w:val="none" w:sz="0" w:space="0" w:color="auto"/>
      </w:divBdr>
    </w:div>
    <w:div w:id="548542177">
      <w:bodyDiv w:val="1"/>
      <w:marLeft w:val="0"/>
      <w:marRight w:val="0"/>
      <w:marTop w:val="0"/>
      <w:marBottom w:val="0"/>
      <w:divBdr>
        <w:top w:val="none" w:sz="0" w:space="0" w:color="auto"/>
        <w:left w:val="none" w:sz="0" w:space="0" w:color="auto"/>
        <w:bottom w:val="none" w:sz="0" w:space="0" w:color="auto"/>
        <w:right w:val="none" w:sz="0" w:space="0" w:color="auto"/>
      </w:divBdr>
    </w:div>
    <w:div w:id="548762712">
      <w:bodyDiv w:val="1"/>
      <w:marLeft w:val="0"/>
      <w:marRight w:val="0"/>
      <w:marTop w:val="0"/>
      <w:marBottom w:val="0"/>
      <w:divBdr>
        <w:top w:val="none" w:sz="0" w:space="0" w:color="auto"/>
        <w:left w:val="none" w:sz="0" w:space="0" w:color="auto"/>
        <w:bottom w:val="none" w:sz="0" w:space="0" w:color="auto"/>
        <w:right w:val="none" w:sz="0" w:space="0" w:color="auto"/>
      </w:divBdr>
    </w:div>
    <w:div w:id="548810861">
      <w:bodyDiv w:val="1"/>
      <w:marLeft w:val="0"/>
      <w:marRight w:val="0"/>
      <w:marTop w:val="0"/>
      <w:marBottom w:val="0"/>
      <w:divBdr>
        <w:top w:val="none" w:sz="0" w:space="0" w:color="auto"/>
        <w:left w:val="none" w:sz="0" w:space="0" w:color="auto"/>
        <w:bottom w:val="none" w:sz="0" w:space="0" w:color="auto"/>
        <w:right w:val="none" w:sz="0" w:space="0" w:color="auto"/>
      </w:divBdr>
    </w:div>
    <w:div w:id="549146960">
      <w:bodyDiv w:val="1"/>
      <w:marLeft w:val="0"/>
      <w:marRight w:val="0"/>
      <w:marTop w:val="0"/>
      <w:marBottom w:val="0"/>
      <w:divBdr>
        <w:top w:val="none" w:sz="0" w:space="0" w:color="auto"/>
        <w:left w:val="none" w:sz="0" w:space="0" w:color="auto"/>
        <w:bottom w:val="none" w:sz="0" w:space="0" w:color="auto"/>
        <w:right w:val="none" w:sz="0" w:space="0" w:color="auto"/>
      </w:divBdr>
    </w:div>
    <w:div w:id="549608249">
      <w:bodyDiv w:val="1"/>
      <w:marLeft w:val="0"/>
      <w:marRight w:val="0"/>
      <w:marTop w:val="0"/>
      <w:marBottom w:val="0"/>
      <w:divBdr>
        <w:top w:val="none" w:sz="0" w:space="0" w:color="auto"/>
        <w:left w:val="none" w:sz="0" w:space="0" w:color="auto"/>
        <w:bottom w:val="none" w:sz="0" w:space="0" w:color="auto"/>
        <w:right w:val="none" w:sz="0" w:space="0" w:color="auto"/>
      </w:divBdr>
    </w:div>
    <w:div w:id="549726941">
      <w:bodyDiv w:val="1"/>
      <w:marLeft w:val="0"/>
      <w:marRight w:val="0"/>
      <w:marTop w:val="0"/>
      <w:marBottom w:val="0"/>
      <w:divBdr>
        <w:top w:val="none" w:sz="0" w:space="0" w:color="auto"/>
        <w:left w:val="none" w:sz="0" w:space="0" w:color="auto"/>
        <w:bottom w:val="none" w:sz="0" w:space="0" w:color="auto"/>
        <w:right w:val="none" w:sz="0" w:space="0" w:color="auto"/>
      </w:divBdr>
    </w:div>
    <w:div w:id="550045907">
      <w:bodyDiv w:val="1"/>
      <w:marLeft w:val="0"/>
      <w:marRight w:val="0"/>
      <w:marTop w:val="0"/>
      <w:marBottom w:val="0"/>
      <w:divBdr>
        <w:top w:val="none" w:sz="0" w:space="0" w:color="auto"/>
        <w:left w:val="none" w:sz="0" w:space="0" w:color="auto"/>
        <w:bottom w:val="none" w:sz="0" w:space="0" w:color="auto"/>
        <w:right w:val="none" w:sz="0" w:space="0" w:color="auto"/>
      </w:divBdr>
    </w:div>
    <w:div w:id="550070115">
      <w:bodyDiv w:val="1"/>
      <w:marLeft w:val="0"/>
      <w:marRight w:val="0"/>
      <w:marTop w:val="0"/>
      <w:marBottom w:val="0"/>
      <w:divBdr>
        <w:top w:val="none" w:sz="0" w:space="0" w:color="auto"/>
        <w:left w:val="none" w:sz="0" w:space="0" w:color="auto"/>
        <w:bottom w:val="none" w:sz="0" w:space="0" w:color="auto"/>
        <w:right w:val="none" w:sz="0" w:space="0" w:color="auto"/>
      </w:divBdr>
    </w:div>
    <w:div w:id="550267642">
      <w:bodyDiv w:val="1"/>
      <w:marLeft w:val="0"/>
      <w:marRight w:val="0"/>
      <w:marTop w:val="0"/>
      <w:marBottom w:val="0"/>
      <w:divBdr>
        <w:top w:val="none" w:sz="0" w:space="0" w:color="auto"/>
        <w:left w:val="none" w:sz="0" w:space="0" w:color="auto"/>
        <w:bottom w:val="none" w:sz="0" w:space="0" w:color="auto"/>
        <w:right w:val="none" w:sz="0" w:space="0" w:color="auto"/>
      </w:divBdr>
    </w:div>
    <w:div w:id="550385369">
      <w:bodyDiv w:val="1"/>
      <w:marLeft w:val="0"/>
      <w:marRight w:val="0"/>
      <w:marTop w:val="0"/>
      <w:marBottom w:val="0"/>
      <w:divBdr>
        <w:top w:val="none" w:sz="0" w:space="0" w:color="auto"/>
        <w:left w:val="none" w:sz="0" w:space="0" w:color="auto"/>
        <w:bottom w:val="none" w:sz="0" w:space="0" w:color="auto"/>
        <w:right w:val="none" w:sz="0" w:space="0" w:color="auto"/>
      </w:divBdr>
    </w:div>
    <w:div w:id="550582922">
      <w:bodyDiv w:val="1"/>
      <w:marLeft w:val="0"/>
      <w:marRight w:val="0"/>
      <w:marTop w:val="0"/>
      <w:marBottom w:val="0"/>
      <w:divBdr>
        <w:top w:val="none" w:sz="0" w:space="0" w:color="auto"/>
        <w:left w:val="none" w:sz="0" w:space="0" w:color="auto"/>
        <w:bottom w:val="none" w:sz="0" w:space="0" w:color="auto"/>
        <w:right w:val="none" w:sz="0" w:space="0" w:color="auto"/>
      </w:divBdr>
    </w:div>
    <w:div w:id="550725337">
      <w:bodyDiv w:val="1"/>
      <w:marLeft w:val="0"/>
      <w:marRight w:val="0"/>
      <w:marTop w:val="0"/>
      <w:marBottom w:val="0"/>
      <w:divBdr>
        <w:top w:val="none" w:sz="0" w:space="0" w:color="auto"/>
        <w:left w:val="none" w:sz="0" w:space="0" w:color="auto"/>
        <w:bottom w:val="none" w:sz="0" w:space="0" w:color="auto"/>
        <w:right w:val="none" w:sz="0" w:space="0" w:color="auto"/>
      </w:divBdr>
    </w:div>
    <w:div w:id="551237862">
      <w:bodyDiv w:val="1"/>
      <w:marLeft w:val="0"/>
      <w:marRight w:val="0"/>
      <w:marTop w:val="0"/>
      <w:marBottom w:val="0"/>
      <w:divBdr>
        <w:top w:val="none" w:sz="0" w:space="0" w:color="auto"/>
        <w:left w:val="none" w:sz="0" w:space="0" w:color="auto"/>
        <w:bottom w:val="none" w:sz="0" w:space="0" w:color="auto"/>
        <w:right w:val="none" w:sz="0" w:space="0" w:color="auto"/>
      </w:divBdr>
    </w:div>
    <w:div w:id="551697065">
      <w:bodyDiv w:val="1"/>
      <w:marLeft w:val="0"/>
      <w:marRight w:val="0"/>
      <w:marTop w:val="0"/>
      <w:marBottom w:val="0"/>
      <w:divBdr>
        <w:top w:val="none" w:sz="0" w:space="0" w:color="auto"/>
        <w:left w:val="none" w:sz="0" w:space="0" w:color="auto"/>
        <w:bottom w:val="none" w:sz="0" w:space="0" w:color="auto"/>
        <w:right w:val="none" w:sz="0" w:space="0" w:color="auto"/>
      </w:divBdr>
    </w:div>
    <w:div w:id="551964812">
      <w:bodyDiv w:val="1"/>
      <w:marLeft w:val="0"/>
      <w:marRight w:val="0"/>
      <w:marTop w:val="0"/>
      <w:marBottom w:val="0"/>
      <w:divBdr>
        <w:top w:val="none" w:sz="0" w:space="0" w:color="auto"/>
        <w:left w:val="none" w:sz="0" w:space="0" w:color="auto"/>
        <w:bottom w:val="none" w:sz="0" w:space="0" w:color="auto"/>
        <w:right w:val="none" w:sz="0" w:space="0" w:color="auto"/>
      </w:divBdr>
    </w:div>
    <w:div w:id="552042295">
      <w:bodyDiv w:val="1"/>
      <w:marLeft w:val="0"/>
      <w:marRight w:val="0"/>
      <w:marTop w:val="0"/>
      <w:marBottom w:val="0"/>
      <w:divBdr>
        <w:top w:val="none" w:sz="0" w:space="0" w:color="auto"/>
        <w:left w:val="none" w:sz="0" w:space="0" w:color="auto"/>
        <w:bottom w:val="none" w:sz="0" w:space="0" w:color="auto"/>
        <w:right w:val="none" w:sz="0" w:space="0" w:color="auto"/>
      </w:divBdr>
    </w:div>
    <w:div w:id="552155524">
      <w:bodyDiv w:val="1"/>
      <w:marLeft w:val="0"/>
      <w:marRight w:val="0"/>
      <w:marTop w:val="0"/>
      <w:marBottom w:val="0"/>
      <w:divBdr>
        <w:top w:val="none" w:sz="0" w:space="0" w:color="auto"/>
        <w:left w:val="none" w:sz="0" w:space="0" w:color="auto"/>
        <w:bottom w:val="none" w:sz="0" w:space="0" w:color="auto"/>
        <w:right w:val="none" w:sz="0" w:space="0" w:color="auto"/>
      </w:divBdr>
    </w:div>
    <w:div w:id="552346977">
      <w:bodyDiv w:val="1"/>
      <w:marLeft w:val="0"/>
      <w:marRight w:val="0"/>
      <w:marTop w:val="0"/>
      <w:marBottom w:val="0"/>
      <w:divBdr>
        <w:top w:val="none" w:sz="0" w:space="0" w:color="auto"/>
        <w:left w:val="none" w:sz="0" w:space="0" w:color="auto"/>
        <w:bottom w:val="none" w:sz="0" w:space="0" w:color="auto"/>
        <w:right w:val="none" w:sz="0" w:space="0" w:color="auto"/>
      </w:divBdr>
    </w:div>
    <w:div w:id="552429052">
      <w:bodyDiv w:val="1"/>
      <w:marLeft w:val="0"/>
      <w:marRight w:val="0"/>
      <w:marTop w:val="0"/>
      <w:marBottom w:val="0"/>
      <w:divBdr>
        <w:top w:val="none" w:sz="0" w:space="0" w:color="auto"/>
        <w:left w:val="none" w:sz="0" w:space="0" w:color="auto"/>
        <w:bottom w:val="none" w:sz="0" w:space="0" w:color="auto"/>
        <w:right w:val="none" w:sz="0" w:space="0" w:color="auto"/>
      </w:divBdr>
    </w:div>
    <w:div w:id="552811949">
      <w:bodyDiv w:val="1"/>
      <w:marLeft w:val="0"/>
      <w:marRight w:val="0"/>
      <w:marTop w:val="0"/>
      <w:marBottom w:val="0"/>
      <w:divBdr>
        <w:top w:val="none" w:sz="0" w:space="0" w:color="auto"/>
        <w:left w:val="none" w:sz="0" w:space="0" w:color="auto"/>
        <w:bottom w:val="none" w:sz="0" w:space="0" w:color="auto"/>
        <w:right w:val="none" w:sz="0" w:space="0" w:color="auto"/>
      </w:divBdr>
    </w:div>
    <w:div w:id="553197501">
      <w:bodyDiv w:val="1"/>
      <w:marLeft w:val="0"/>
      <w:marRight w:val="0"/>
      <w:marTop w:val="0"/>
      <w:marBottom w:val="0"/>
      <w:divBdr>
        <w:top w:val="none" w:sz="0" w:space="0" w:color="auto"/>
        <w:left w:val="none" w:sz="0" w:space="0" w:color="auto"/>
        <w:bottom w:val="none" w:sz="0" w:space="0" w:color="auto"/>
        <w:right w:val="none" w:sz="0" w:space="0" w:color="auto"/>
      </w:divBdr>
    </w:div>
    <w:div w:id="553199293">
      <w:bodyDiv w:val="1"/>
      <w:marLeft w:val="0"/>
      <w:marRight w:val="0"/>
      <w:marTop w:val="0"/>
      <w:marBottom w:val="0"/>
      <w:divBdr>
        <w:top w:val="none" w:sz="0" w:space="0" w:color="auto"/>
        <w:left w:val="none" w:sz="0" w:space="0" w:color="auto"/>
        <w:bottom w:val="none" w:sz="0" w:space="0" w:color="auto"/>
        <w:right w:val="none" w:sz="0" w:space="0" w:color="auto"/>
      </w:divBdr>
    </w:div>
    <w:div w:id="553397623">
      <w:bodyDiv w:val="1"/>
      <w:marLeft w:val="0"/>
      <w:marRight w:val="0"/>
      <w:marTop w:val="0"/>
      <w:marBottom w:val="0"/>
      <w:divBdr>
        <w:top w:val="none" w:sz="0" w:space="0" w:color="auto"/>
        <w:left w:val="none" w:sz="0" w:space="0" w:color="auto"/>
        <w:bottom w:val="none" w:sz="0" w:space="0" w:color="auto"/>
        <w:right w:val="none" w:sz="0" w:space="0" w:color="auto"/>
      </w:divBdr>
    </w:div>
    <w:div w:id="553465712">
      <w:bodyDiv w:val="1"/>
      <w:marLeft w:val="0"/>
      <w:marRight w:val="0"/>
      <w:marTop w:val="0"/>
      <w:marBottom w:val="0"/>
      <w:divBdr>
        <w:top w:val="none" w:sz="0" w:space="0" w:color="auto"/>
        <w:left w:val="none" w:sz="0" w:space="0" w:color="auto"/>
        <w:bottom w:val="none" w:sz="0" w:space="0" w:color="auto"/>
        <w:right w:val="none" w:sz="0" w:space="0" w:color="auto"/>
      </w:divBdr>
    </w:div>
    <w:div w:id="553782082">
      <w:bodyDiv w:val="1"/>
      <w:marLeft w:val="0"/>
      <w:marRight w:val="0"/>
      <w:marTop w:val="0"/>
      <w:marBottom w:val="0"/>
      <w:divBdr>
        <w:top w:val="none" w:sz="0" w:space="0" w:color="auto"/>
        <w:left w:val="none" w:sz="0" w:space="0" w:color="auto"/>
        <w:bottom w:val="none" w:sz="0" w:space="0" w:color="auto"/>
        <w:right w:val="none" w:sz="0" w:space="0" w:color="auto"/>
      </w:divBdr>
    </w:div>
    <w:div w:id="554196717">
      <w:bodyDiv w:val="1"/>
      <w:marLeft w:val="0"/>
      <w:marRight w:val="0"/>
      <w:marTop w:val="0"/>
      <w:marBottom w:val="0"/>
      <w:divBdr>
        <w:top w:val="none" w:sz="0" w:space="0" w:color="auto"/>
        <w:left w:val="none" w:sz="0" w:space="0" w:color="auto"/>
        <w:bottom w:val="none" w:sz="0" w:space="0" w:color="auto"/>
        <w:right w:val="none" w:sz="0" w:space="0" w:color="auto"/>
      </w:divBdr>
    </w:div>
    <w:div w:id="554202455">
      <w:bodyDiv w:val="1"/>
      <w:marLeft w:val="0"/>
      <w:marRight w:val="0"/>
      <w:marTop w:val="0"/>
      <w:marBottom w:val="0"/>
      <w:divBdr>
        <w:top w:val="none" w:sz="0" w:space="0" w:color="auto"/>
        <w:left w:val="none" w:sz="0" w:space="0" w:color="auto"/>
        <w:bottom w:val="none" w:sz="0" w:space="0" w:color="auto"/>
        <w:right w:val="none" w:sz="0" w:space="0" w:color="auto"/>
      </w:divBdr>
    </w:div>
    <w:div w:id="554580809">
      <w:bodyDiv w:val="1"/>
      <w:marLeft w:val="0"/>
      <w:marRight w:val="0"/>
      <w:marTop w:val="0"/>
      <w:marBottom w:val="0"/>
      <w:divBdr>
        <w:top w:val="none" w:sz="0" w:space="0" w:color="auto"/>
        <w:left w:val="none" w:sz="0" w:space="0" w:color="auto"/>
        <w:bottom w:val="none" w:sz="0" w:space="0" w:color="auto"/>
        <w:right w:val="none" w:sz="0" w:space="0" w:color="auto"/>
      </w:divBdr>
    </w:div>
    <w:div w:id="555312168">
      <w:bodyDiv w:val="1"/>
      <w:marLeft w:val="0"/>
      <w:marRight w:val="0"/>
      <w:marTop w:val="0"/>
      <w:marBottom w:val="0"/>
      <w:divBdr>
        <w:top w:val="none" w:sz="0" w:space="0" w:color="auto"/>
        <w:left w:val="none" w:sz="0" w:space="0" w:color="auto"/>
        <w:bottom w:val="none" w:sz="0" w:space="0" w:color="auto"/>
        <w:right w:val="none" w:sz="0" w:space="0" w:color="auto"/>
      </w:divBdr>
    </w:div>
    <w:div w:id="556744203">
      <w:bodyDiv w:val="1"/>
      <w:marLeft w:val="0"/>
      <w:marRight w:val="0"/>
      <w:marTop w:val="0"/>
      <w:marBottom w:val="0"/>
      <w:divBdr>
        <w:top w:val="none" w:sz="0" w:space="0" w:color="auto"/>
        <w:left w:val="none" w:sz="0" w:space="0" w:color="auto"/>
        <w:bottom w:val="none" w:sz="0" w:space="0" w:color="auto"/>
        <w:right w:val="none" w:sz="0" w:space="0" w:color="auto"/>
      </w:divBdr>
    </w:div>
    <w:div w:id="557010514">
      <w:bodyDiv w:val="1"/>
      <w:marLeft w:val="0"/>
      <w:marRight w:val="0"/>
      <w:marTop w:val="0"/>
      <w:marBottom w:val="0"/>
      <w:divBdr>
        <w:top w:val="none" w:sz="0" w:space="0" w:color="auto"/>
        <w:left w:val="none" w:sz="0" w:space="0" w:color="auto"/>
        <w:bottom w:val="none" w:sz="0" w:space="0" w:color="auto"/>
        <w:right w:val="none" w:sz="0" w:space="0" w:color="auto"/>
      </w:divBdr>
    </w:div>
    <w:div w:id="557010715">
      <w:bodyDiv w:val="1"/>
      <w:marLeft w:val="0"/>
      <w:marRight w:val="0"/>
      <w:marTop w:val="0"/>
      <w:marBottom w:val="0"/>
      <w:divBdr>
        <w:top w:val="none" w:sz="0" w:space="0" w:color="auto"/>
        <w:left w:val="none" w:sz="0" w:space="0" w:color="auto"/>
        <w:bottom w:val="none" w:sz="0" w:space="0" w:color="auto"/>
        <w:right w:val="none" w:sz="0" w:space="0" w:color="auto"/>
      </w:divBdr>
    </w:div>
    <w:div w:id="557016427">
      <w:bodyDiv w:val="1"/>
      <w:marLeft w:val="0"/>
      <w:marRight w:val="0"/>
      <w:marTop w:val="0"/>
      <w:marBottom w:val="0"/>
      <w:divBdr>
        <w:top w:val="none" w:sz="0" w:space="0" w:color="auto"/>
        <w:left w:val="none" w:sz="0" w:space="0" w:color="auto"/>
        <w:bottom w:val="none" w:sz="0" w:space="0" w:color="auto"/>
        <w:right w:val="none" w:sz="0" w:space="0" w:color="auto"/>
      </w:divBdr>
    </w:div>
    <w:div w:id="557203489">
      <w:bodyDiv w:val="1"/>
      <w:marLeft w:val="0"/>
      <w:marRight w:val="0"/>
      <w:marTop w:val="0"/>
      <w:marBottom w:val="0"/>
      <w:divBdr>
        <w:top w:val="none" w:sz="0" w:space="0" w:color="auto"/>
        <w:left w:val="none" w:sz="0" w:space="0" w:color="auto"/>
        <w:bottom w:val="none" w:sz="0" w:space="0" w:color="auto"/>
        <w:right w:val="none" w:sz="0" w:space="0" w:color="auto"/>
      </w:divBdr>
      <w:divsChild>
        <w:div w:id="1855070765">
          <w:marLeft w:val="547"/>
          <w:marRight w:val="0"/>
          <w:marTop w:val="0"/>
          <w:marBottom w:val="0"/>
          <w:divBdr>
            <w:top w:val="none" w:sz="0" w:space="0" w:color="auto"/>
            <w:left w:val="none" w:sz="0" w:space="0" w:color="auto"/>
            <w:bottom w:val="none" w:sz="0" w:space="0" w:color="auto"/>
            <w:right w:val="none" w:sz="0" w:space="0" w:color="auto"/>
          </w:divBdr>
        </w:div>
      </w:divsChild>
    </w:div>
    <w:div w:id="557975767">
      <w:bodyDiv w:val="1"/>
      <w:marLeft w:val="0"/>
      <w:marRight w:val="0"/>
      <w:marTop w:val="0"/>
      <w:marBottom w:val="0"/>
      <w:divBdr>
        <w:top w:val="none" w:sz="0" w:space="0" w:color="auto"/>
        <w:left w:val="none" w:sz="0" w:space="0" w:color="auto"/>
        <w:bottom w:val="none" w:sz="0" w:space="0" w:color="auto"/>
        <w:right w:val="none" w:sz="0" w:space="0" w:color="auto"/>
      </w:divBdr>
    </w:div>
    <w:div w:id="558172889">
      <w:bodyDiv w:val="1"/>
      <w:marLeft w:val="0"/>
      <w:marRight w:val="0"/>
      <w:marTop w:val="0"/>
      <w:marBottom w:val="0"/>
      <w:divBdr>
        <w:top w:val="none" w:sz="0" w:space="0" w:color="auto"/>
        <w:left w:val="none" w:sz="0" w:space="0" w:color="auto"/>
        <w:bottom w:val="none" w:sz="0" w:space="0" w:color="auto"/>
        <w:right w:val="none" w:sz="0" w:space="0" w:color="auto"/>
      </w:divBdr>
    </w:div>
    <w:div w:id="558325703">
      <w:bodyDiv w:val="1"/>
      <w:marLeft w:val="0"/>
      <w:marRight w:val="0"/>
      <w:marTop w:val="0"/>
      <w:marBottom w:val="0"/>
      <w:divBdr>
        <w:top w:val="none" w:sz="0" w:space="0" w:color="auto"/>
        <w:left w:val="none" w:sz="0" w:space="0" w:color="auto"/>
        <w:bottom w:val="none" w:sz="0" w:space="0" w:color="auto"/>
        <w:right w:val="none" w:sz="0" w:space="0" w:color="auto"/>
      </w:divBdr>
    </w:div>
    <w:div w:id="558563382">
      <w:bodyDiv w:val="1"/>
      <w:marLeft w:val="0"/>
      <w:marRight w:val="0"/>
      <w:marTop w:val="0"/>
      <w:marBottom w:val="0"/>
      <w:divBdr>
        <w:top w:val="none" w:sz="0" w:space="0" w:color="auto"/>
        <w:left w:val="none" w:sz="0" w:space="0" w:color="auto"/>
        <w:bottom w:val="none" w:sz="0" w:space="0" w:color="auto"/>
        <w:right w:val="none" w:sz="0" w:space="0" w:color="auto"/>
      </w:divBdr>
    </w:div>
    <w:div w:id="558714620">
      <w:bodyDiv w:val="1"/>
      <w:marLeft w:val="0"/>
      <w:marRight w:val="0"/>
      <w:marTop w:val="0"/>
      <w:marBottom w:val="0"/>
      <w:divBdr>
        <w:top w:val="none" w:sz="0" w:space="0" w:color="auto"/>
        <w:left w:val="none" w:sz="0" w:space="0" w:color="auto"/>
        <w:bottom w:val="none" w:sz="0" w:space="0" w:color="auto"/>
        <w:right w:val="none" w:sz="0" w:space="0" w:color="auto"/>
      </w:divBdr>
    </w:div>
    <w:div w:id="559171452">
      <w:bodyDiv w:val="1"/>
      <w:marLeft w:val="0"/>
      <w:marRight w:val="0"/>
      <w:marTop w:val="0"/>
      <w:marBottom w:val="0"/>
      <w:divBdr>
        <w:top w:val="none" w:sz="0" w:space="0" w:color="auto"/>
        <w:left w:val="none" w:sz="0" w:space="0" w:color="auto"/>
        <w:bottom w:val="none" w:sz="0" w:space="0" w:color="auto"/>
        <w:right w:val="none" w:sz="0" w:space="0" w:color="auto"/>
      </w:divBdr>
    </w:div>
    <w:div w:id="559362744">
      <w:bodyDiv w:val="1"/>
      <w:marLeft w:val="0"/>
      <w:marRight w:val="0"/>
      <w:marTop w:val="0"/>
      <w:marBottom w:val="0"/>
      <w:divBdr>
        <w:top w:val="none" w:sz="0" w:space="0" w:color="auto"/>
        <w:left w:val="none" w:sz="0" w:space="0" w:color="auto"/>
        <w:bottom w:val="none" w:sz="0" w:space="0" w:color="auto"/>
        <w:right w:val="none" w:sz="0" w:space="0" w:color="auto"/>
      </w:divBdr>
    </w:div>
    <w:div w:id="559827203">
      <w:bodyDiv w:val="1"/>
      <w:marLeft w:val="0"/>
      <w:marRight w:val="0"/>
      <w:marTop w:val="0"/>
      <w:marBottom w:val="0"/>
      <w:divBdr>
        <w:top w:val="none" w:sz="0" w:space="0" w:color="auto"/>
        <w:left w:val="none" w:sz="0" w:space="0" w:color="auto"/>
        <w:bottom w:val="none" w:sz="0" w:space="0" w:color="auto"/>
        <w:right w:val="none" w:sz="0" w:space="0" w:color="auto"/>
      </w:divBdr>
    </w:div>
    <w:div w:id="559901443">
      <w:bodyDiv w:val="1"/>
      <w:marLeft w:val="0"/>
      <w:marRight w:val="0"/>
      <w:marTop w:val="0"/>
      <w:marBottom w:val="0"/>
      <w:divBdr>
        <w:top w:val="none" w:sz="0" w:space="0" w:color="auto"/>
        <w:left w:val="none" w:sz="0" w:space="0" w:color="auto"/>
        <w:bottom w:val="none" w:sz="0" w:space="0" w:color="auto"/>
        <w:right w:val="none" w:sz="0" w:space="0" w:color="auto"/>
      </w:divBdr>
    </w:div>
    <w:div w:id="560016787">
      <w:bodyDiv w:val="1"/>
      <w:marLeft w:val="0"/>
      <w:marRight w:val="0"/>
      <w:marTop w:val="0"/>
      <w:marBottom w:val="0"/>
      <w:divBdr>
        <w:top w:val="none" w:sz="0" w:space="0" w:color="auto"/>
        <w:left w:val="none" w:sz="0" w:space="0" w:color="auto"/>
        <w:bottom w:val="none" w:sz="0" w:space="0" w:color="auto"/>
        <w:right w:val="none" w:sz="0" w:space="0" w:color="auto"/>
      </w:divBdr>
    </w:div>
    <w:div w:id="560406061">
      <w:bodyDiv w:val="1"/>
      <w:marLeft w:val="0"/>
      <w:marRight w:val="0"/>
      <w:marTop w:val="0"/>
      <w:marBottom w:val="0"/>
      <w:divBdr>
        <w:top w:val="none" w:sz="0" w:space="0" w:color="auto"/>
        <w:left w:val="none" w:sz="0" w:space="0" w:color="auto"/>
        <w:bottom w:val="none" w:sz="0" w:space="0" w:color="auto"/>
        <w:right w:val="none" w:sz="0" w:space="0" w:color="auto"/>
      </w:divBdr>
    </w:div>
    <w:div w:id="560750395">
      <w:bodyDiv w:val="1"/>
      <w:marLeft w:val="0"/>
      <w:marRight w:val="0"/>
      <w:marTop w:val="0"/>
      <w:marBottom w:val="0"/>
      <w:divBdr>
        <w:top w:val="none" w:sz="0" w:space="0" w:color="auto"/>
        <w:left w:val="none" w:sz="0" w:space="0" w:color="auto"/>
        <w:bottom w:val="none" w:sz="0" w:space="0" w:color="auto"/>
        <w:right w:val="none" w:sz="0" w:space="0" w:color="auto"/>
      </w:divBdr>
    </w:div>
    <w:div w:id="560867141">
      <w:bodyDiv w:val="1"/>
      <w:marLeft w:val="0"/>
      <w:marRight w:val="0"/>
      <w:marTop w:val="0"/>
      <w:marBottom w:val="0"/>
      <w:divBdr>
        <w:top w:val="none" w:sz="0" w:space="0" w:color="auto"/>
        <w:left w:val="none" w:sz="0" w:space="0" w:color="auto"/>
        <w:bottom w:val="none" w:sz="0" w:space="0" w:color="auto"/>
        <w:right w:val="none" w:sz="0" w:space="0" w:color="auto"/>
      </w:divBdr>
    </w:div>
    <w:div w:id="561327403">
      <w:bodyDiv w:val="1"/>
      <w:marLeft w:val="0"/>
      <w:marRight w:val="0"/>
      <w:marTop w:val="0"/>
      <w:marBottom w:val="0"/>
      <w:divBdr>
        <w:top w:val="none" w:sz="0" w:space="0" w:color="auto"/>
        <w:left w:val="none" w:sz="0" w:space="0" w:color="auto"/>
        <w:bottom w:val="none" w:sz="0" w:space="0" w:color="auto"/>
        <w:right w:val="none" w:sz="0" w:space="0" w:color="auto"/>
      </w:divBdr>
    </w:div>
    <w:div w:id="561329232">
      <w:bodyDiv w:val="1"/>
      <w:marLeft w:val="0"/>
      <w:marRight w:val="0"/>
      <w:marTop w:val="0"/>
      <w:marBottom w:val="0"/>
      <w:divBdr>
        <w:top w:val="none" w:sz="0" w:space="0" w:color="auto"/>
        <w:left w:val="none" w:sz="0" w:space="0" w:color="auto"/>
        <w:bottom w:val="none" w:sz="0" w:space="0" w:color="auto"/>
        <w:right w:val="none" w:sz="0" w:space="0" w:color="auto"/>
      </w:divBdr>
    </w:div>
    <w:div w:id="561331473">
      <w:bodyDiv w:val="1"/>
      <w:marLeft w:val="0"/>
      <w:marRight w:val="0"/>
      <w:marTop w:val="0"/>
      <w:marBottom w:val="0"/>
      <w:divBdr>
        <w:top w:val="none" w:sz="0" w:space="0" w:color="auto"/>
        <w:left w:val="none" w:sz="0" w:space="0" w:color="auto"/>
        <w:bottom w:val="none" w:sz="0" w:space="0" w:color="auto"/>
        <w:right w:val="none" w:sz="0" w:space="0" w:color="auto"/>
      </w:divBdr>
    </w:div>
    <w:div w:id="561403856">
      <w:bodyDiv w:val="1"/>
      <w:marLeft w:val="0"/>
      <w:marRight w:val="0"/>
      <w:marTop w:val="0"/>
      <w:marBottom w:val="0"/>
      <w:divBdr>
        <w:top w:val="none" w:sz="0" w:space="0" w:color="auto"/>
        <w:left w:val="none" w:sz="0" w:space="0" w:color="auto"/>
        <w:bottom w:val="none" w:sz="0" w:space="0" w:color="auto"/>
        <w:right w:val="none" w:sz="0" w:space="0" w:color="auto"/>
      </w:divBdr>
    </w:div>
    <w:div w:id="561643897">
      <w:bodyDiv w:val="1"/>
      <w:marLeft w:val="0"/>
      <w:marRight w:val="0"/>
      <w:marTop w:val="0"/>
      <w:marBottom w:val="0"/>
      <w:divBdr>
        <w:top w:val="none" w:sz="0" w:space="0" w:color="auto"/>
        <w:left w:val="none" w:sz="0" w:space="0" w:color="auto"/>
        <w:bottom w:val="none" w:sz="0" w:space="0" w:color="auto"/>
        <w:right w:val="none" w:sz="0" w:space="0" w:color="auto"/>
      </w:divBdr>
    </w:div>
    <w:div w:id="562831511">
      <w:bodyDiv w:val="1"/>
      <w:marLeft w:val="0"/>
      <w:marRight w:val="0"/>
      <w:marTop w:val="0"/>
      <w:marBottom w:val="0"/>
      <w:divBdr>
        <w:top w:val="none" w:sz="0" w:space="0" w:color="auto"/>
        <w:left w:val="none" w:sz="0" w:space="0" w:color="auto"/>
        <w:bottom w:val="none" w:sz="0" w:space="0" w:color="auto"/>
        <w:right w:val="none" w:sz="0" w:space="0" w:color="auto"/>
      </w:divBdr>
    </w:div>
    <w:div w:id="562832676">
      <w:bodyDiv w:val="1"/>
      <w:marLeft w:val="0"/>
      <w:marRight w:val="0"/>
      <w:marTop w:val="0"/>
      <w:marBottom w:val="0"/>
      <w:divBdr>
        <w:top w:val="none" w:sz="0" w:space="0" w:color="auto"/>
        <w:left w:val="none" w:sz="0" w:space="0" w:color="auto"/>
        <w:bottom w:val="none" w:sz="0" w:space="0" w:color="auto"/>
        <w:right w:val="none" w:sz="0" w:space="0" w:color="auto"/>
      </w:divBdr>
    </w:div>
    <w:div w:id="563102923">
      <w:bodyDiv w:val="1"/>
      <w:marLeft w:val="0"/>
      <w:marRight w:val="0"/>
      <w:marTop w:val="0"/>
      <w:marBottom w:val="0"/>
      <w:divBdr>
        <w:top w:val="none" w:sz="0" w:space="0" w:color="auto"/>
        <w:left w:val="none" w:sz="0" w:space="0" w:color="auto"/>
        <w:bottom w:val="none" w:sz="0" w:space="0" w:color="auto"/>
        <w:right w:val="none" w:sz="0" w:space="0" w:color="auto"/>
      </w:divBdr>
    </w:div>
    <w:div w:id="563293452">
      <w:bodyDiv w:val="1"/>
      <w:marLeft w:val="0"/>
      <w:marRight w:val="0"/>
      <w:marTop w:val="0"/>
      <w:marBottom w:val="0"/>
      <w:divBdr>
        <w:top w:val="none" w:sz="0" w:space="0" w:color="auto"/>
        <w:left w:val="none" w:sz="0" w:space="0" w:color="auto"/>
        <w:bottom w:val="none" w:sz="0" w:space="0" w:color="auto"/>
        <w:right w:val="none" w:sz="0" w:space="0" w:color="auto"/>
      </w:divBdr>
    </w:div>
    <w:div w:id="563951095">
      <w:bodyDiv w:val="1"/>
      <w:marLeft w:val="0"/>
      <w:marRight w:val="0"/>
      <w:marTop w:val="0"/>
      <w:marBottom w:val="0"/>
      <w:divBdr>
        <w:top w:val="none" w:sz="0" w:space="0" w:color="auto"/>
        <w:left w:val="none" w:sz="0" w:space="0" w:color="auto"/>
        <w:bottom w:val="none" w:sz="0" w:space="0" w:color="auto"/>
        <w:right w:val="none" w:sz="0" w:space="0" w:color="auto"/>
      </w:divBdr>
    </w:div>
    <w:div w:id="564686451">
      <w:bodyDiv w:val="1"/>
      <w:marLeft w:val="0"/>
      <w:marRight w:val="0"/>
      <w:marTop w:val="0"/>
      <w:marBottom w:val="0"/>
      <w:divBdr>
        <w:top w:val="none" w:sz="0" w:space="0" w:color="auto"/>
        <w:left w:val="none" w:sz="0" w:space="0" w:color="auto"/>
        <w:bottom w:val="none" w:sz="0" w:space="0" w:color="auto"/>
        <w:right w:val="none" w:sz="0" w:space="0" w:color="auto"/>
      </w:divBdr>
    </w:div>
    <w:div w:id="564755742">
      <w:bodyDiv w:val="1"/>
      <w:marLeft w:val="0"/>
      <w:marRight w:val="0"/>
      <w:marTop w:val="0"/>
      <w:marBottom w:val="0"/>
      <w:divBdr>
        <w:top w:val="none" w:sz="0" w:space="0" w:color="auto"/>
        <w:left w:val="none" w:sz="0" w:space="0" w:color="auto"/>
        <w:bottom w:val="none" w:sz="0" w:space="0" w:color="auto"/>
        <w:right w:val="none" w:sz="0" w:space="0" w:color="auto"/>
      </w:divBdr>
    </w:div>
    <w:div w:id="564803491">
      <w:bodyDiv w:val="1"/>
      <w:marLeft w:val="0"/>
      <w:marRight w:val="0"/>
      <w:marTop w:val="0"/>
      <w:marBottom w:val="0"/>
      <w:divBdr>
        <w:top w:val="none" w:sz="0" w:space="0" w:color="auto"/>
        <w:left w:val="none" w:sz="0" w:space="0" w:color="auto"/>
        <w:bottom w:val="none" w:sz="0" w:space="0" w:color="auto"/>
        <w:right w:val="none" w:sz="0" w:space="0" w:color="auto"/>
      </w:divBdr>
    </w:div>
    <w:div w:id="565147091">
      <w:bodyDiv w:val="1"/>
      <w:marLeft w:val="0"/>
      <w:marRight w:val="0"/>
      <w:marTop w:val="0"/>
      <w:marBottom w:val="0"/>
      <w:divBdr>
        <w:top w:val="none" w:sz="0" w:space="0" w:color="auto"/>
        <w:left w:val="none" w:sz="0" w:space="0" w:color="auto"/>
        <w:bottom w:val="none" w:sz="0" w:space="0" w:color="auto"/>
        <w:right w:val="none" w:sz="0" w:space="0" w:color="auto"/>
      </w:divBdr>
    </w:div>
    <w:div w:id="565535884">
      <w:bodyDiv w:val="1"/>
      <w:marLeft w:val="0"/>
      <w:marRight w:val="0"/>
      <w:marTop w:val="0"/>
      <w:marBottom w:val="0"/>
      <w:divBdr>
        <w:top w:val="none" w:sz="0" w:space="0" w:color="auto"/>
        <w:left w:val="none" w:sz="0" w:space="0" w:color="auto"/>
        <w:bottom w:val="none" w:sz="0" w:space="0" w:color="auto"/>
        <w:right w:val="none" w:sz="0" w:space="0" w:color="auto"/>
      </w:divBdr>
    </w:div>
    <w:div w:id="565919019">
      <w:bodyDiv w:val="1"/>
      <w:marLeft w:val="0"/>
      <w:marRight w:val="0"/>
      <w:marTop w:val="0"/>
      <w:marBottom w:val="0"/>
      <w:divBdr>
        <w:top w:val="none" w:sz="0" w:space="0" w:color="auto"/>
        <w:left w:val="none" w:sz="0" w:space="0" w:color="auto"/>
        <w:bottom w:val="none" w:sz="0" w:space="0" w:color="auto"/>
        <w:right w:val="none" w:sz="0" w:space="0" w:color="auto"/>
      </w:divBdr>
    </w:div>
    <w:div w:id="566263422">
      <w:bodyDiv w:val="1"/>
      <w:marLeft w:val="0"/>
      <w:marRight w:val="0"/>
      <w:marTop w:val="0"/>
      <w:marBottom w:val="0"/>
      <w:divBdr>
        <w:top w:val="none" w:sz="0" w:space="0" w:color="auto"/>
        <w:left w:val="none" w:sz="0" w:space="0" w:color="auto"/>
        <w:bottom w:val="none" w:sz="0" w:space="0" w:color="auto"/>
        <w:right w:val="none" w:sz="0" w:space="0" w:color="auto"/>
      </w:divBdr>
    </w:div>
    <w:div w:id="566379378">
      <w:bodyDiv w:val="1"/>
      <w:marLeft w:val="0"/>
      <w:marRight w:val="0"/>
      <w:marTop w:val="0"/>
      <w:marBottom w:val="0"/>
      <w:divBdr>
        <w:top w:val="none" w:sz="0" w:space="0" w:color="auto"/>
        <w:left w:val="none" w:sz="0" w:space="0" w:color="auto"/>
        <w:bottom w:val="none" w:sz="0" w:space="0" w:color="auto"/>
        <w:right w:val="none" w:sz="0" w:space="0" w:color="auto"/>
      </w:divBdr>
    </w:div>
    <w:div w:id="566498913">
      <w:bodyDiv w:val="1"/>
      <w:marLeft w:val="0"/>
      <w:marRight w:val="0"/>
      <w:marTop w:val="0"/>
      <w:marBottom w:val="0"/>
      <w:divBdr>
        <w:top w:val="none" w:sz="0" w:space="0" w:color="auto"/>
        <w:left w:val="none" w:sz="0" w:space="0" w:color="auto"/>
        <w:bottom w:val="none" w:sz="0" w:space="0" w:color="auto"/>
        <w:right w:val="none" w:sz="0" w:space="0" w:color="auto"/>
      </w:divBdr>
    </w:div>
    <w:div w:id="566693895">
      <w:bodyDiv w:val="1"/>
      <w:marLeft w:val="0"/>
      <w:marRight w:val="0"/>
      <w:marTop w:val="0"/>
      <w:marBottom w:val="0"/>
      <w:divBdr>
        <w:top w:val="none" w:sz="0" w:space="0" w:color="auto"/>
        <w:left w:val="none" w:sz="0" w:space="0" w:color="auto"/>
        <w:bottom w:val="none" w:sz="0" w:space="0" w:color="auto"/>
        <w:right w:val="none" w:sz="0" w:space="0" w:color="auto"/>
      </w:divBdr>
    </w:div>
    <w:div w:id="567156018">
      <w:bodyDiv w:val="1"/>
      <w:marLeft w:val="0"/>
      <w:marRight w:val="0"/>
      <w:marTop w:val="0"/>
      <w:marBottom w:val="0"/>
      <w:divBdr>
        <w:top w:val="none" w:sz="0" w:space="0" w:color="auto"/>
        <w:left w:val="none" w:sz="0" w:space="0" w:color="auto"/>
        <w:bottom w:val="none" w:sz="0" w:space="0" w:color="auto"/>
        <w:right w:val="none" w:sz="0" w:space="0" w:color="auto"/>
      </w:divBdr>
    </w:div>
    <w:div w:id="567543932">
      <w:bodyDiv w:val="1"/>
      <w:marLeft w:val="0"/>
      <w:marRight w:val="0"/>
      <w:marTop w:val="0"/>
      <w:marBottom w:val="0"/>
      <w:divBdr>
        <w:top w:val="none" w:sz="0" w:space="0" w:color="auto"/>
        <w:left w:val="none" w:sz="0" w:space="0" w:color="auto"/>
        <w:bottom w:val="none" w:sz="0" w:space="0" w:color="auto"/>
        <w:right w:val="none" w:sz="0" w:space="0" w:color="auto"/>
      </w:divBdr>
    </w:div>
    <w:div w:id="567807244">
      <w:bodyDiv w:val="1"/>
      <w:marLeft w:val="0"/>
      <w:marRight w:val="0"/>
      <w:marTop w:val="0"/>
      <w:marBottom w:val="0"/>
      <w:divBdr>
        <w:top w:val="none" w:sz="0" w:space="0" w:color="auto"/>
        <w:left w:val="none" w:sz="0" w:space="0" w:color="auto"/>
        <w:bottom w:val="none" w:sz="0" w:space="0" w:color="auto"/>
        <w:right w:val="none" w:sz="0" w:space="0" w:color="auto"/>
      </w:divBdr>
    </w:div>
    <w:div w:id="567955532">
      <w:bodyDiv w:val="1"/>
      <w:marLeft w:val="0"/>
      <w:marRight w:val="0"/>
      <w:marTop w:val="0"/>
      <w:marBottom w:val="0"/>
      <w:divBdr>
        <w:top w:val="none" w:sz="0" w:space="0" w:color="auto"/>
        <w:left w:val="none" w:sz="0" w:space="0" w:color="auto"/>
        <w:bottom w:val="none" w:sz="0" w:space="0" w:color="auto"/>
        <w:right w:val="none" w:sz="0" w:space="0" w:color="auto"/>
      </w:divBdr>
    </w:div>
    <w:div w:id="568079784">
      <w:bodyDiv w:val="1"/>
      <w:marLeft w:val="0"/>
      <w:marRight w:val="0"/>
      <w:marTop w:val="0"/>
      <w:marBottom w:val="0"/>
      <w:divBdr>
        <w:top w:val="none" w:sz="0" w:space="0" w:color="auto"/>
        <w:left w:val="none" w:sz="0" w:space="0" w:color="auto"/>
        <w:bottom w:val="none" w:sz="0" w:space="0" w:color="auto"/>
        <w:right w:val="none" w:sz="0" w:space="0" w:color="auto"/>
      </w:divBdr>
    </w:div>
    <w:div w:id="568152620">
      <w:bodyDiv w:val="1"/>
      <w:marLeft w:val="0"/>
      <w:marRight w:val="0"/>
      <w:marTop w:val="0"/>
      <w:marBottom w:val="0"/>
      <w:divBdr>
        <w:top w:val="none" w:sz="0" w:space="0" w:color="auto"/>
        <w:left w:val="none" w:sz="0" w:space="0" w:color="auto"/>
        <w:bottom w:val="none" w:sz="0" w:space="0" w:color="auto"/>
        <w:right w:val="none" w:sz="0" w:space="0" w:color="auto"/>
      </w:divBdr>
    </w:div>
    <w:div w:id="568224578">
      <w:bodyDiv w:val="1"/>
      <w:marLeft w:val="0"/>
      <w:marRight w:val="0"/>
      <w:marTop w:val="0"/>
      <w:marBottom w:val="0"/>
      <w:divBdr>
        <w:top w:val="none" w:sz="0" w:space="0" w:color="auto"/>
        <w:left w:val="none" w:sz="0" w:space="0" w:color="auto"/>
        <w:bottom w:val="none" w:sz="0" w:space="0" w:color="auto"/>
        <w:right w:val="none" w:sz="0" w:space="0" w:color="auto"/>
      </w:divBdr>
    </w:div>
    <w:div w:id="568271058">
      <w:bodyDiv w:val="1"/>
      <w:marLeft w:val="0"/>
      <w:marRight w:val="0"/>
      <w:marTop w:val="0"/>
      <w:marBottom w:val="0"/>
      <w:divBdr>
        <w:top w:val="none" w:sz="0" w:space="0" w:color="auto"/>
        <w:left w:val="none" w:sz="0" w:space="0" w:color="auto"/>
        <w:bottom w:val="none" w:sz="0" w:space="0" w:color="auto"/>
        <w:right w:val="none" w:sz="0" w:space="0" w:color="auto"/>
      </w:divBdr>
    </w:div>
    <w:div w:id="568462263">
      <w:bodyDiv w:val="1"/>
      <w:marLeft w:val="0"/>
      <w:marRight w:val="0"/>
      <w:marTop w:val="0"/>
      <w:marBottom w:val="0"/>
      <w:divBdr>
        <w:top w:val="none" w:sz="0" w:space="0" w:color="auto"/>
        <w:left w:val="none" w:sz="0" w:space="0" w:color="auto"/>
        <w:bottom w:val="none" w:sz="0" w:space="0" w:color="auto"/>
        <w:right w:val="none" w:sz="0" w:space="0" w:color="auto"/>
      </w:divBdr>
    </w:div>
    <w:div w:id="568884040">
      <w:bodyDiv w:val="1"/>
      <w:marLeft w:val="0"/>
      <w:marRight w:val="0"/>
      <w:marTop w:val="0"/>
      <w:marBottom w:val="0"/>
      <w:divBdr>
        <w:top w:val="none" w:sz="0" w:space="0" w:color="auto"/>
        <w:left w:val="none" w:sz="0" w:space="0" w:color="auto"/>
        <w:bottom w:val="none" w:sz="0" w:space="0" w:color="auto"/>
        <w:right w:val="none" w:sz="0" w:space="0" w:color="auto"/>
      </w:divBdr>
    </w:div>
    <w:div w:id="568926993">
      <w:bodyDiv w:val="1"/>
      <w:marLeft w:val="0"/>
      <w:marRight w:val="0"/>
      <w:marTop w:val="0"/>
      <w:marBottom w:val="0"/>
      <w:divBdr>
        <w:top w:val="none" w:sz="0" w:space="0" w:color="auto"/>
        <w:left w:val="none" w:sz="0" w:space="0" w:color="auto"/>
        <w:bottom w:val="none" w:sz="0" w:space="0" w:color="auto"/>
        <w:right w:val="none" w:sz="0" w:space="0" w:color="auto"/>
      </w:divBdr>
    </w:div>
    <w:div w:id="569733846">
      <w:bodyDiv w:val="1"/>
      <w:marLeft w:val="0"/>
      <w:marRight w:val="0"/>
      <w:marTop w:val="0"/>
      <w:marBottom w:val="0"/>
      <w:divBdr>
        <w:top w:val="none" w:sz="0" w:space="0" w:color="auto"/>
        <w:left w:val="none" w:sz="0" w:space="0" w:color="auto"/>
        <w:bottom w:val="none" w:sz="0" w:space="0" w:color="auto"/>
        <w:right w:val="none" w:sz="0" w:space="0" w:color="auto"/>
      </w:divBdr>
    </w:div>
    <w:div w:id="569928858">
      <w:bodyDiv w:val="1"/>
      <w:marLeft w:val="0"/>
      <w:marRight w:val="0"/>
      <w:marTop w:val="0"/>
      <w:marBottom w:val="0"/>
      <w:divBdr>
        <w:top w:val="none" w:sz="0" w:space="0" w:color="auto"/>
        <w:left w:val="none" w:sz="0" w:space="0" w:color="auto"/>
        <w:bottom w:val="none" w:sz="0" w:space="0" w:color="auto"/>
        <w:right w:val="none" w:sz="0" w:space="0" w:color="auto"/>
      </w:divBdr>
    </w:div>
    <w:div w:id="570308168">
      <w:bodyDiv w:val="1"/>
      <w:marLeft w:val="0"/>
      <w:marRight w:val="0"/>
      <w:marTop w:val="0"/>
      <w:marBottom w:val="0"/>
      <w:divBdr>
        <w:top w:val="none" w:sz="0" w:space="0" w:color="auto"/>
        <w:left w:val="none" w:sz="0" w:space="0" w:color="auto"/>
        <w:bottom w:val="none" w:sz="0" w:space="0" w:color="auto"/>
        <w:right w:val="none" w:sz="0" w:space="0" w:color="auto"/>
      </w:divBdr>
    </w:div>
    <w:div w:id="570392339">
      <w:bodyDiv w:val="1"/>
      <w:marLeft w:val="0"/>
      <w:marRight w:val="0"/>
      <w:marTop w:val="0"/>
      <w:marBottom w:val="0"/>
      <w:divBdr>
        <w:top w:val="none" w:sz="0" w:space="0" w:color="auto"/>
        <w:left w:val="none" w:sz="0" w:space="0" w:color="auto"/>
        <w:bottom w:val="none" w:sz="0" w:space="0" w:color="auto"/>
        <w:right w:val="none" w:sz="0" w:space="0" w:color="auto"/>
      </w:divBdr>
    </w:div>
    <w:div w:id="570430265">
      <w:bodyDiv w:val="1"/>
      <w:marLeft w:val="0"/>
      <w:marRight w:val="0"/>
      <w:marTop w:val="0"/>
      <w:marBottom w:val="0"/>
      <w:divBdr>
        <w:top w:val="none" w:sz="0" w:space="0" w:color="auto"/>
        <w:left w:val="none" w:sz="0" w:space="0" w:color="auto"/>
        <w:bottom w:val="none" w:sz="0" w:space="0" w:color="auto"/>
        <w:right w:val="none" w:sz="0" w:space="0" w:color="auto"/>
      </w:divBdr>
    </w:div>
    <w:div w:id="570430935">
      <w:bodyDiv w:val="1"/>
      <w:marLeft w:val="0"/>
      <w:marRight w:val="0"/>
      <w:marTop w:val="0"/>
      <w:marBottom w:val="0"/>
      <w:divBdr>
        <w:top w:val="none" w:sz="0" w:space="0" w:color="auto"/>
        <w:left w:val="none" w:sz="0" w:space="0" w:color="auto"/>
        <w:bottom w:val="none" w:sz="0" w:space="0" w:color="auto"/>
        <w:right w:val="none" w:sz="0" w:space="0" w:color="auto"/>
      </w:divBdr>
    </w:div>
    <w:div w:id="571085120">
      <w:bodyDiv w:val="1"/>
      <w:marLeft w:val="0"/>
      <w:marRight w:val="0"/>
      <w:marTop w:val="0"/>
      <w:marBottom w:val="0"/>
      <w:divBdr>
        <w:top w:val="none" w:sz="0" w:space="0" w:color="auto"/>
        <w:left w:val="none" w:sz="0" w:space="0" w:color="auto"/>
        <w:bottom w:val="none" w:sz="0" w:space="0" w:color="auto"/>
        <w:right w:val="none" w:sz="0" w:space="0" w:color="auto"/>
      </w:divBdr>
    </w:div>
    <w:div w:id="571306849">
      <w:bodyDiv w:val="1"/>
      <w:marLeft w:val="0"/>
      <w:marRight w:val="0"/>
      <w:marTop w:val="0"/>
      <w:marBottom w:val="0"/>
      <w:divBdr>
        <w:top w:val="none" w:sz="0" w:space="0" w:color="auto"/>
        <w:left w:val="none" w:sz="0" w:space="0" w:color="auto"/>
        <w:bottom w:val="none" w:sz="0" w:space="0" w:color="auto"/>
        <w:right w:val="none" w:sz="0" w:space="0" w:color="auto"/>
      </w:divBdr>
    </w:div>
    <w:div w:id="572544521">
      <w:bodyDiv w:val="1"/>
      <w:marLeft w:val="0"/>
      <w:marRight w:val="0"/>
      <w:marTop w:val="0"/>
      <w:marBottom w:val="0"/>
      <w:divBdr>
        <w:top w:val="none" w:sz="0" w:space="0" w:color="auto"/>
        <w:left w:val="none" w:sz="0" w:space="0" w:color="auto"/>
        <w:bottom w:val="none" w:sz="0" w:space="0" w:color="auto"/>
        <w:right w:val="none" w:sz="0" w:space="0" w:color="auto"/>
      </w:divBdr>
    </w:div>
    <w:div w:id="572786426">
      <w:bodyDiv w:val="1"/>
      <w:marLeft w:val="0"/>
      <w:marRight w:val="0"/>
      <w:marTop w:val="0"/>
      <w:marBottom w:val="0"/>
      <w:divBdr>
        <w:top w:val="none" w:sz="0" w:space="0" w:color="auto"/>
        <w:left w:val="none" w:sz="0" w:space="0" w:color="auto"/>
        <w:bottom w:val="none" w:sz="0" w:space="0" w:color="auto"/>
        <w:right w:val="none" w:sz="0" w:space="0" w:color="auto"/>
      </w:divBdr>
    </w:div>
    <w:div w:id="573467550">
      <w:bodyDiv w:val="1"/>
      <w:marLeft w:val="0"/>
      <w:marRight w:val="0"/>
      <w:marTop w:val="0"/>
      <w:marBottom w:val="0"/>
      <w:divBdr>
        <w:top w:val="none" w:sz="0" w:space="0" w:color="auto"/>
        <w:left w:val="none" w:sz="0" w:space="0" w:color="auto"/>
        <w:bottom w:val="none" w:sz="0" w:space="0" w:color="auto"/>
        <w:right w:val="none" w:sz="0" w:space="0" w:color="auto"/>
      </w:divBdr>
    </w:div>
    <w:div w:id="573509585">
      <w:bodyDiv w:val="1"/>
      <w:marLeft w:val="0"/>
      <w:marRight w:val="0"/>
      <w:marTop w:val="0"/>
      <w:marBottom w:val="0"/>
      <w:divBdr>
        <w:top w:val="none" w:sz="0" w:space="0" w:color="auto"/>
        <w:left w:val="none" w:sz="0" w:space="0" w:color="auto"/>
        <w:bottom w:val="none" w:sz="0" w:space="0" w:color="auto"/>
        <w:right w:val="none" w:sz="0" w:space="0" w:color="auto"/>
      </w:divBdr>
    </w:div>
    <w:div w:id="573902496">
      <w:bodyDiv w:val="1"/>
      <w:marLeft w:val="0"/>
      <w:marRight w:val="0"/>
      <w:marTop w:val="0"/>
      <w:marBottom w:val="0"/>
      <w:divBdr>
        <w:top w:val="none" w:sz="0" w:space="0" w:color="auto"/>
        <w:left w:val="none" w:sz="0" w:space="0" w:color="auto"/>
        <w:bottom w:val="none" w:sz="0" w:space="0" w:color="auto"/>
        <w:right w:val="none" w:sz="0" w:space="0" w:color="auto"/>
      </w:divBdr>
    </w:div>
    <w:div w:id="574314840">
      <w:bodyDiv w:val="1"/>
      <w:marLeft w:val="0"/>
      <w:marRight w:val="0"/>
      <w:marTop w:val="0"/>
      <w:marBottom w:val="0"/>
      <w:divBdr>
        <w:top w:val="none" w:sz="0" w:space="0" w:color="auto"/>
        <w:left w:val="none" w:sz="0" w:space="0" w:color="auto"/>
        <w:bottom w:val="none" w:sz="0" w:space="0" w:color="auto"/>
        <w:right w:val="none" w:sz="0" w:space="0" w:color="auto"/>
      </w:divBdr>
    </w:div>
    <w:div w:id="574514625">
      <w:bodyDiv w:val="1"/>
      <w:marLeft w:val="0"/>
      <w:marRight w:val="0"/>
      <w:marTop w:val="0"/>
      <w:marBottom w:val="0"/>
      <w:divBdr>
        <w:top w:val="none" w:sz="0" w:space="0" w:color="auto"/>
        <w:left w:val="none" w:sz="0" w:space="0" w:color="auto"/>
        <w:bottom w:val="none" w:sz="0" w:space="0" w:color="auto"/>
        <w:right w:val="none" w:sz="0" w:space="0" w:color="auto"/>
      </w:divBdr>
    </w:div>
    <w:div w:id="574632634">
      <w:bodyDiv w:val="1"/>
      <w:marLeft w:val="0"/>
      <w:marRight w:val="0"/>
      <w:marTop w:val="0"/>
      <w:marBottom w:val="0"/>
      <w:divBdr>
        <w:top w:val="none" w:sz="0" w:space="0" w:color="auto"/>
        <w:left w:val="none" w:sz="0" w:space="0" w:color="auto"/>
        <w:bottom w:val="none" w:sz="0" w:space="0" w:color="auto"/>
        <w:right w:val="none" w:sz="0" w:space="0" w:color="auto"/>
      </w:divBdr>
    </w:div>
    <w:div w:id="574705313">
      <w:bodyDiv w:val="1"/>
      <w:marLeft w:val="0"/>
      <w:marRight w:val="0"/>
      <w:marTop w:val="0"/>
      <w:marBottom w:val="0"/>
      <w:divBdr>
        <w:top w:val="none" w:sz="0" w:space="0" w:color="auto"/>
        <w:left w:val="none" w:sz="0" w:space="0" w:color="auto"/>
        <w:bottom w:val="none" w:sz="0" w:space="0" w:color="auto"/>
        <w:right w:val="none" w:sz="0" w:space="0" w:color="auto"/>
      </w:divBdr>
    </w:div>
    <w:div w:id="575363288">
      <w:bodyDiv w:val="1"/>
      <w:marLeft w:val="0"/>
      <w:marRight w:val="0"/>
      <w:marTop w:val="0"/>
      <w:marBottom w:val="0"/>
      <w:divBdr>
        <w:top w:val="none" w:sz="0" w:space="0" w:color="auto"/>
        <w:left w:val="none" w:sz="0" w:space="0" w:color="auto"/>
        <w:bottom w:val="none" w:sz="0" w:space="0" w:color="auto"/>
        <w:right w:val="none" w:sz="0" w:space="0" w:color="auto"/>
      </w:divBdr>
    </w:div>
    <w:div w:id="575627352">
      <w:bodyDiv w:val="1"/>
      <w:marLeft w:val="0"/>
      <w:marRight w:val="0"/>
      <w:marTop w:val="0"/>
      <w:marBottom w:val="0"/>
      <w:divBdr>
        <w:top w:val="none" w:sz="0" w:space="0" w:color="auto"/>
        <w:left w:val="none" w:sz="0" w:space="0" w:color="auto"/>
        <w:bottom w:val="none" w:sz="0" w:space="0" w:color="auto"/>
        <w:right w:val="none" w:sz="0" w:space="0" w:color="auto"/>
      </w:divBdr>
    </w:div>
    <w:div w:id="576668400">
      <w:bodyDiv w:val="1"/>
      <w:marLeft w:val="0"/>
      <w:marRight w:val="0"/>
      <w:marTop w:val="0"/>
      <w:marBottom w:val="0"/>
      <w:divBdr>
        <w:top w:val="none" w:sz="0" w:space="0" w:color="auto"/>
        <w:left w:val="none" w:sz="0" w:space="0" w:color="auto"/>
        <w:bottom w:val="none" w:sz="0" w:space="0" w:color="auto"/>
        <w:right w:val="none" w:sz="0" w:space="0" w:color="auto"/>
      </w:divBdr>
    </w:div>
    <w:div w:id="576668937">
      <w:bodyDiv w:val="1"/>
      <w:marLeft w:val="0"/>
      <w:marRight w:val="0"/>
      <w:marTop w:val="0"/>
      <w:marBottom w:val="0"/>
      <w:divBdr>
        <w:top w:val="none" w:sz="0" w:space="0" w:color="auto"/>
        <w:left w:val="none" w:sz="0" w:space="0" w:color="auto"/>
        <w:bottom w:val="none" w:sz="0" w:space="0" w:color="auto"/>
        <w:right w:val="none" w:sz="0" w:space="0" w:color="auto"/>
      </w:divBdr>
    </w:div>
    <w:div w:id="576745050">
      <w:bodyDiv w:val="1"/>
      <w:marLeft w:val="0"/>
      <w:marRight w:val="0"/>
      <w:marTop w:val="0"/>
      <w:marBottom w:val="0"/>
      <w:divBdr>
        <w:top w:val="none" w:sz="0" w:space="0" w:color="auto"/>
        <w:left w:val="none" w:sz="0" w:space="0" w:color="auto"/>
        <w:bottom w:val="none" w:sz="0" w:space="0" w:color="auto"/>
        <w:right w:val="none" w:sz="0" w:space="0" w:color="auto"/>
      </w:divBdr>
    </w:div>
    <w:div w:id="576862691">
      <w:bodyDiv w:val="1"/>
      <w:marLeft w:val="0"/>
      <w:marRight w:val="0"/>
      <w:marTop w:val="0"/>
      <w:marBottom w:val="0"/>
      <w:divBdr>
        <w:top w:val="none" w:sz="0" w:space="0" w:color="auto"/>
        <w:left w:val="none" w:sz="0" w:space="0" w:color="auto"/>
        <w:bottom w:val="none" w:sz="0" w:space="0" w:color="auto"/>
        <w:right w:val="none" w:sz="0" w:space="0" w:color="auto"/>
      </w:divBdr>
    </w:div>
    <w:div w:id="577326799">
      <w:bodyDiv w:val="1"/>
      <w:marLeft w:val="0"/>
      <w:marRight w:val="0"/>
      <w:marTop w:val="0"/>
      <w:marBottom w:val="0"/>
      <w:divBdr>
        <w:top w:val="none" w:sz="0" w:space="0" w:color="auto"/>
        <w:left w:val="none" w:sz="0" w:space="0" w:color="auto"/>
        <w:bottom w:val="none" w:sz="0" w:space="0" w:color="auto"/>
        <w:right w:val="none" w:sz="0" w:space="0" w:color="auto"/>
      </w:divBdr>
    </w:div>
    <w:div w:id="577983800">
      <w:bodyDiv w:val="1"/>
      <w:marLeft w:val="0"/>
      <w:marRight w:val="0"/>
      <w:marTop w:val="0"/>
      <w:marBottom w:val="0"/>
      <w:divBdr>
        <w:top w:val="none" w:sz="0" w:space="0" w:color="auto"/>
        <w:left w:val="none" w:sz="0" w:space="0" w:color="auto"/>
        <w:bottom w:val="none" w:sz="0" w:space="0" w:color="auto"/>
        <w:right w:val="none" w:sz="0" w:space="0" w:color="auto"/>
      </w:divBdr>
    </w:div>
    <w:div w:id="578100146">
      <w:bodyDiv w:val="1"/>
      <w:marLeft w:val="0"/>
      <w:marRight w:val="0"/>
      <w:marTop w:val="0"/>
      <w:marBottom w:val="0"/>
      <w:divBdr>
        <w:top w:val="none" w:sz="0" w:space="0" w:color="auto"/>
        <w:left w:val="none" w:sz="0" w:space="0" w:color="auto"/>
        <w:bottom w:val="none" w:sz="0" w:space="0" w:color="auto"/>
        <w:right w:val="none" w:sz="0" w:space="0" w:color="auto"/>
      </w:divBdr>
    </w:div>
    <w:div w:id="578295332">
      <w:bodyDiv w:val="1"/>
      <w:marLeft w:val="0"/>
      <w:marRight w:val="0"/>
      <w:marTop w:val="0"/>
      <w:marBottom w:val="0"/>
      <w:divBdr>
        <w:top w:val="none" w:sz="0" w:space="0" w:color="auto"/>
        <w:left w:val="none" w:sz="0" w:space="0" w:color="auto"/>
        <w:bottom w:val="none" w:sz="0" w:space="0" w:color="auto"/>
        <w:right w:val="none" w:sz="0" w:space="0" w:color="auto"/>
      </w:divBdr>
    </w:div>
    <w:div w:id="578518048">
      <w:bodyDiv w:val="1"/>
      <w:marLeft w:val="0"/>
      <w:marRight w:val="0"/>
      <w:marTop w:val="0"/>
      <w:marBottom w:val="0"/>
      <w:divBdr>
        <w:top w:val="none" w:sz="0" w:space="0" w:color="auto"/>
        <w:left w:val="none" w:sz="0" w:space="0" w:color="auto"/>
        <w:bottom w:val="none" w:sz="0" w:space="0" w:color="auto"/>
        <w:right w:val="none" w:sz="0" w:space="0" w:color="auto"/>
      </w:divBdr>
    </w:div>
    <w:div w:id="579101266">
      <w:bodyDiv w:val="1"/>
      <w:marLeft w:val="0"/>
      <w:marRight w:val="0"/>
      <w:marTop w:val="0"/>
      <w:marBottom w:val="0"/>
      <w:divBdr>
        <w:top w:val="none" w:sz="0" w:space="0" w:color="auto"/>
        <w:left w:val="none" w:sz="0" w:space="0" w:color="auto"/>
        <w:bottom w:val="none" w:sz="0" w:space="0" w:color="auto"/>
        <w:right w:val="none" w:sz="0" w:space="0" w:color="auto"/>
      </w:divBdr>
    </w:div>
    <w:div w:id="579370736">
      <w:bodyDiv w:val="1"/>
      <w:marLeft w:val="0"/>
      <w:marRight w:val="0"/>
      <w:marTop w:val="0"/>
      <w:marBottom w:val="0"/>
      <w:divBdr>
        <w:top w:val="none" w:sz="0" w:space="0" w:color="auto"/>
        <w:left w:val="none" w:sz="0" w:space="0" w:color="auto"/>
        <w:bottom w:val="none" w:sz="0" w:space="0" w:color="auto"/>
        <w:right w:val="none" w:sz="0" w:space="0" w:color="auto"/>
      </w:divBdr>
    </w:div>
    <w:div w:id="579869629">
      <w:bodyDiv w:val="1"/>
      <w:marLeft w:val="0"/>
      <w:marRight w:val="0"/>
      <w:marTop w:val="0"/>
      <w:marBottom w:val="0"/>
      <w:divBdr>
        <w:top w:val="none" w:sz="0" w:space="0" w:color="auto"/>
        <w:left w:val="none" w:sz="0" w:space="0" w:color="auto"/>
        <w:bottom w:val="none" w:sz="0" w:space="0" w:color="auto"/>
        <w:right w:val="none" w:sz="0" w:space="0" w:color="auto"/>
      </w:divBdr>
    </w:div>
    <w:div w:id="580650551">
      <w:bodyDiv w:val="1"/>
      <w:marLeft w:val="0"/>
      <w:marRight w:val="0"/>
      <w:marTop w:val="0"/>
      <w:marBottom w:val="0"/>
      <w:divBdr>
        <w:top w:val="none" w:sz="0" w:space="0" w:color="auto"/>
        <w:left w:val="none" w:sz="0" w:space="0" w:color="auto"/>
        <w:bottom w:val="none" w:sz="0" w:space="0" w:color="auto"/>
        <w:right w:val="none" w:sz="0" w:space="0" w:color="auto"/>
      </w:divBdr>
    </w:div>
    <w:div w:id="580794878">
      <w:bodyDiv w:val="1"/>
      <w:marLeft w:val="0"/>
      <w:marRight w:val="0"/>
      <w:marTop w:val="0"/>
      <w:marBottom w:val="0"/>
      <w:divBdr>
        <w:top w:val="none" w:sz="0" w:space="0" w:color="auto"/>
        <w:left w:val="none" w:sz="0" w:space="0" w:color="auto"/>
        <w:bottom w:val="none" w:sz="0" w:space="0" w:color="auto"/>
        <w:right w:val="none" w:sz="0" w:space="0" w:color="auto"/>
      </w:divBdr>
    </w:div>
    <w:div w:id="581333684">
      <w:bodyDiv w:val="1"/>
      <w:marLeft w:val="0"/>
      <w:marRight w:val="0"/>
      <w:marTop w:val="0"/>
      <w:marBottom w:val="0"/>
      <w:divBdr>
        <w:top w:val="none" w:sz="0" w:space="0" w:color="auto"/>
        <w:left w:val="none" w:sz="0" w:space="0" w:color="auto"/>
        <w:bottom w:val="none" w:sz="0" w:space="0" w:color="auto"/>
        <w:right w:val="none" w:sz="0" w:space="0" w:color="auto"/>
      </w:divBdr>
    </w:div>
    <w:div w:id="581380511">
      <w:bodyDiv w:val="1"/>
      <w:marLeft w:val="0"/>
      <w:marRight w:val="0"/>
      <w:marTop w:val="0"/>
      <w:marBottom w:val="0"/>
      <w:divBdr>
        <w:top w:val="none" w:sz="0" w:space="0" w:color="auto"/>
        <w:left w:val="none" w:sz="0" w:space="0" w:color="auto"/>
        <w:bottom w:val="none" w:sz="0" w:space="0" w:color="auto"/>
        <w:right w:val="none" w:sz="0" w:space="0" w:color="auto"/>
      </w:divBdr>
    </w:div>
    <w:div w:id="581570168">
      <w:bodyDiv w:val="1"/>
      <w:marLeft w:val="0"/>
      <w:marRight w:val="0"/>
      <w:marTop w:val="0"/>
      <w:marBottom w:val="0"/>
      <w:divBdr>
        <w:top w:val="none" w:sz="0" w:space="0" w:color="auto"/>
        <w:left w:val="none" w:sz="0" w:space="0" w:color="auto"/>
        <w:bottom w:val="none" w:sz="0" w:space="0" w:color="auto"/>
        <w:right w:val="none" w:sz="0" w:space="0" w:color="auto"/>
      </w:divBdr>
    </w:div>
    <w:div w:id="581960920">
      <w:bodyDiv w:val="1"/>
      <w:marLeft w:val="0"/>
      <w:marRight w:val="0"/>
      <w:marTop w:val="0"/>
      <w:marBottom w:val="0"/>
      <w:divBdr>
        <w:top w:val="none" w:sz="0" w:space="0" w:color="auto"/>
        <w:left w:val="none" w:sz="0" w:space="0" w:color="auto"/>
        <w:bottom w:val="none" w:sz="0" w:space="0" w:color="auto"/>
        <w:right w:val="none" w:sz="0" w:space="0" w:color="auto"/>
      </w:divBdr>
    </w:div>
    <w:div w:id="582181214">
      <w:bodyDiv w:val="1"/>
      <w:marLeft w:val="0"/>
      <w:marRight w:val="0"/>
      <w:marTop w:val="0"/>
      <w:marBottom w:val="0"/>
      <w:divBdr>
        <w:top w:val="none" w:sz="0" w:space="0" w:color="auto"/>
        <w:left w:val="none" w:sz="0" w:space="0" w:color="auto"/>
        <w:bottom w:val="none" w:sz="0" w:space="0" w:color="auto"/>
        <w:right w:val="none" w:sz="0" w:space="0" w:color="auto"/>
      </w:divBdr>
    </w:div>
    <w:div w:id="582182700">
      <w:bodyDiv w:val="1"/>
      <w:marLeft w:val="0"/>
      <w:marRight w:val="0"/>
      <w:marTop w:val="0"/>
      <w:marBottom w:val="0"/>
      <w:divBdr>
        <w:top w:val="none" w:sz="0" w:space="0" w:color="auto"/>
        <w:left w:val="none" w:sz="0" w:space="0" w:color="auto"/>
        <w:bottom w:val="none" w:sz="0" w:space="0" w:color="auto"/>
        <w:right w:val="none" w:sz="0" w:space="0" w:color="auto"/>
      </w:divBdr>
    </w:div>
    <w:div w:id="583150253">
      <w:bodyDiv w:val="1"/>
      <w:marLeft w:val="0"/>
      <w:marRight w:val="0"/>
      <w:marTop w:val="0"/>
      <w:marBottom w:val="0"/>
      <w:divBdr>
        <w:top w:val="none" w:sz="0" w:space="0" w:color="auto"/>
        <w:left w:val="none" w:sz="0" w:space="0" w:color="auto"/>
        <w:bottom w:val="none" w:sz="0" w:space="0" w:color="auto"/>
        <w:right w:val="none" w:sz="0" w:space="0" w:color="auto"/>
      </w:divBdr>
    </w:div>
    <w:div w:id="583219661">
      <w:bodyDiv w:val="1"/>
      <w:marLeft w:val="0"/>
      <w:marRight w:val="0"/>
      <w:marTop w:val="0"/>
      <w:marBottom w:val="0"/>
      <w:divBdr>
        <w:top w:val="none" w:sz="0" w:space="0" w:color="auto"/>
        <w:left w:val="none" w:sz="0" w:space="0" w:color="auto"/>
        <w:bottom w:val="none" w:sz="0" w:space="0" w:color="auto"/>
        <w:right w:val="none" w:sz="0" w:space="0" w:color="auto"/>
      </w:divBdr>
    </w:div>
    <w:div w:id="583221583">
      <w:bodyDiv w:val="1"/>
      <w:marLeft w:val="0"/>
      <w:marRight w:val="0"/>
      <w:marTop w:val="0"/>
      <w:marBottom w:val="0"/>
      <w:divBdr>
        <w:top w:val="none" w:sz="0" w:space="0" w:color="auto"/>
        <w:left w:val="none" w:sz="0" w:space="0" w:color="auto"/>
        <w:bottom w:val="none" w:sz="0" w:space="0" w:color="auto"/>
        <w:right w:val="none" w:sz="0" w:space="0" w:color="auto"/>
      </w:divBdr>
    </w:div>
    <w:div w:id="583497297">
      <w:bodyDiv w:val="1"/>
      <w:marLeft w:val="0"/>
      <w:marRight w:val="0"/>
      <w:marTop w:val="0"/>
      <w:marBottom w:val="0"/>
      <w:divBdr>
        <w:top w:val="none" w:sz="0" w:space="0" w:color="auto"/>
        <w:left w:val="none" w:sz="0" w:space="0" w:color="auto"/>
        <w:bottom w:val="none" w:sz="0" w:space="0" w:color="auto"/>
        <w:right w:val="none" w:sz="0" w:space="0" w:color="auto"/>
      </w:divBdr>
    </w:div>
    <w:div w:id="583606992">
      <w:bodyDiv w:val="1"/>
      <w:marLeft w:val="0"/>
      <w:marRight w:val="0"/>
      <w:marTop w:val="0"/>
      <w:marBottom w:val="0"/>
      <w:divBdr>
        <w:top w:val="none" w:sz="0" w:space="0" w:color="auto"/>
        <w:left w:val="none" w:sz="0" w:space="0" w:color="auto"/>
        <w:bottom w:val="none" w:sz="0" w:space="0" w:color="auto"/>
        <w:right w:val="none" w:sz="0" w:space="0" w:color="auto"/>
      </w:divBdr>
    </w:div>
    <w:div w:id="583760851">
      <w:bodyDiv w:val="1"/>
      <w:marLeft w:val="0"/>
      <w:marRight w:val="0"/>
      <w:marTop w:val="0"/>
      <w:marBottom w:val="0"/>
      <w:divBdr>
        <w:top w:val="none" w:sz="0" w:space="0" w:color="auto"/>
        <w:left w:val="none" w:sz="0" w:space="0" w:color="auto"/>
        <w:bottom w:val="none" w:sz="0" w:space="0" w:color="auto"/>
        <w:right w:val="none" w:sz="0" w:space="0" w:color="auto"/>
      </w:divBdr>
    </w:div>
    <w:div w:id="583802640">
      <w:bodyDiv w:val="1"/>
      <w:marLeft w:val="0"/>
      <w:marRight w:val="0"/>
      <w:marTop w:val="0"/>
      <w:marBottom w:val="0"/>
      <w:divBdr>
        <w:top w:val="none" w:sz="0" w:space="0" w:color="auto"/>
        <w:left w:val="none" w:sz="0" w:space="0" w:color="auto"/>
        <w:bottom w:val="none" w:sz="0" w:space="0" w:color="auto"/>
        <w:right w:val="none" w:sz="0" w:space="0" w:color="auto"/>
      </w:divBdr>
    </w:div>
    <w:div w:id="584344782">
      <w:bodyDiv w:val="1"/>
      <w:marLeft w:val="0"/>
      <w:marRight w:val="0"/>
      <w:marTop w:val="0"/>
      <w:marBottom w:val="0"/>
      <w:divBdr>
        <w:top w:val="none" w:sz="0" w:space="0" w:color="auto"/>
        <w:left w:val="none" w:sz="0" w:space="0" w:color="auto"/>
        <w:bottom w:val="none" w:sz="0" w:space="0" w:color="auto"/>
        <w:right w:val="none" w:sz="0" w:space="0" w:color="auto"/>
      </w:divBdr>
    </w:div>
    <w:div w:id="585042438">
      <w:bodyDiv w:val="1"/>
      <w:marLeft w:val="0"/>
      <w:marRight w:val="0"/>
      <w:marTop w:val="0"/>
      <w:marBottom w:val="0"/>
      <w:divBdr>
        <w:top w:val="none" w:sz="0" w:space="0" w:color="auto"/>
        <w:left w:val="none" w:sz="0" w:space="0" w:color="auto"/>
        <w:bottom w:val="none" w:sz="0" w:space="0" w:color="auto"/>
        <w:right w:val="none" w:sz="0" w:space="0" w:color="auto"/>
      </w:divBdr>
    </w:div>
    <w:div w:id="585110462">
      <w:bodyDiv w:val="1"/>
      <w:marLeft w:val="0"/>
      <w:marRight w:val="0"/>
      <w:marTop w:val="0"/>
      <w:marBottom w:val="0"/>
      <w:divBdr>
        <w:top w:val="none" w:sz="0" w:space="0" w:color="auto"/>
        <w:left w:val="none" w:sz="0" w:space="0" w:color="auto"/>
        <w:bottom w:val="none" w:sz="0" w:space="0" w:color="auto"/>
        <w:right w:val="none" w:sz="0" w:space="0" w:color="auto"/>
      </w:divBdr>
    </w:div>
    <w:div w:id="585309170">
      <w:bodyDiv w:val="1"/>
      <w:marLeft w:val="0"/>
      <w:marRight w:val="0"/>
      <w:marTop w:val="0"/>
      <w:marBottom w:val="0"/>
      <w:divBdr>
        <w:top w:val="none" w:sz="0" w:space="0" w:color="auto"/>
        <w:left w:val="none" w:sz="0" w:space="0" w:color="auto"/>
        <w:bottom w:val="none" w:sz="0" w:space="0" w:color="auto"/>
        <w:right w:val="none" w:sz="0" w:space="0" w:color="auto"/>
      </w:divBdr>
    </w:div>
    <w:div w:id="585498724">
      <w:bodyDiv w:val="1"/>
      <w:marLeft w:val="0"/>
      <w:marRight w:val="0"/>
      <w:marTop w:val="0"/>
      <w:marBottom w:val="0"/>
      <w:divBdr>
        <w:top w:val="none" w:sz="0" w:space="0" w:color="auto"/>
        <w:left w:val="none" w:sz="0" w:space="0" w:color="auto"/>
        <w:bottom w:val="none" w:sz="0" w:space="0" w:color="auto"/>
        <w:right w:val="none" w:sz="0" w:space="0" w:color="auto"/>
      </w:divBdr>
    </w:div>
    <w:div w:id="585961578">
      <w:bodyDiv w:val="1"/>
      <w:marLeft w:val="0"/>
      <w:marRight w:val="0"/>
      <w:marTop w:val="0"/>
      <w:marBottom w:val="0"/>
      <w:divBdr>
        <w:top w:val="none" w:sz="0" w:space="0" w:color="auto"/>
        <w:left w:val="none" w:sz="0" w:space="0" w:color="auto"/>
        <w:bottom w:val="none" w:sz="0" w:space="0" w:color="auto"/>
        <w:right w:val="none" w:sz="0" w:space="0" w:color="auto"/>
      </w:divBdr>
    </w:div>
    <w:div w:id="586230393">
      <w:bodyDiv w:val="1"/>
      <w:marLeft w:val="0"/>
      <w:marRight w:val="0"/>
      <w:marTop w:val="0"/>
      <w:marBottom w:val="0"/>
      <w:divBdr>
        <w:top w:val="none" w:sz="0" w:space="0" w:color="auto"/>
        <w:left w:val="none" w:sz="0" w:space="0" w:color="auto"/>
        <w:bottom w:val="none" w:sz="0" w:space="0" w:color="auto"/>
        <w:right w:val="none" w:sz="0" w:space="0" w:color="auto"/>
      </w:divBdr>
    </w:div>
    <w:div w:id="586577116">
      <w:bodyDiv w:val="1"/>
      <w:marLeft w:val="0"/>
      <w:marRight w:val="0"/>
      <w:marTop w:val="0"/>
      <w:marBottom w:val="0"/>
      <w:divBdr>
        <w:top w:val="none" w:sz="0" w:space="0" w:color="auto"/>
        <w:left w:val="none" w:sz="0" w:space="0" w:color="auto"/>
        <w:bottom w:val="none" w:sz="0" w:space="0" w:color="auto"/>
        <w:right w:val="none" w:sz="0" w:space="0" w:color="auto"/>
      </w:divBdr>
    </w:div>
    <w:div w:id="586619858">
      <w:bodyDiv w:val="1"/>
      <w:marLeft w:val="0"/>
      <w:marRight w:val="0"/>
      <w:marTop w:val="0"/>
      <w:marBottom w:val="0"/>
      <w:divBdr>
        <w:top w:val="none" w:sz="0" w:space="0" w:color="auto"/>
        <w:left w:val="none" w:sz="0" w:space="0" w:color="auto"/>
        <w:bottom w:val="none" w:sz="0" w:space="0" w:color="auto"/>
        <w:right w:val="none" w:sz="0" w:space="0" w:color="auto"/>
      </w:divBdr>
    </w:div>
    <w:div w:id="586620924">
      <w:bodyDiv w:val="1"/>
      <w:marLeft w:val="0"/>
      <w:marRight w:val="0"/>
      <w:marTop w:val="0"/>
      <w:marBottom w:val="0"/>
      <w:divBdr>
        <w:top w:val="none" w:sz="0" w:space="0" w:color="auto"/>
        <w:left w:val="none" w:sz="0" w:space="0" w:color="auto"/>
        <w:bottom w:val="none" w:sz="0" w:space="0" w:color="auto"/>
        <w:right w:val="none" w:sz="0" w:space="0" w:color="auto"/>
      </w:divBdr>
    </w:div>
    <w:div w:id="586767164">
      <w:bodyDiv w:val="1"/>
      <w:marLeft w:val="0"/>
      <w:marRight w:val="0"/>
      <w:marTop w:val="0"/>
      <w:marBottom w:val="0"/>
      <w:divBdr>
        <w:top w:val="none" w:sz="0" w:space="0" w:color="auto"/>
        <w:left w:val="none" w:sz="0" w:space="0" w:color="auto"/>
        <w:bottom w:val="none" w:sz="0" w:space="0" w:color="auto"/>
        <w:right w:val="none" w:sz="0" w:space="0" w:color="auto"/>
      </w:divBdr>
    </w:div>
    <w:div w:id="587269335">
      <w:bodyDiv w:val="1"/>
      <w:marLeft w:val="0"/>
      <w:marRight w:val="0"/>
      <w:marTop w:val="0"/>
      <w:marBottom w:val="0"/>
      <w:divBdr>
        <w:top w:val="none" w:sz="0" w:space="0" w:color="auto"/>
        <w:left w:val="none" w:sz="0" w:space="0" w:color="auto"/>
        <w:bottom w:val="none" w:sz="0" w:space="0" w:color="auto"/>
        <w:right w:val="none" w:sz="0" w:space="0" w:color="auto"/>
      </w:divBdr>
    </w:div>
    <w:div w:id="587271659">
      <w:bodyDiv w:val="1"/>
      <w:marLeft w:val="0"/>
      <w:marRight w:val="0"/>
      <w:marTop w:val="0"/>
      <w:marBottom w:val="0"/>
      <w:divBdr>
        <w:top w:val="none" w:sz="0" w:space="0" w:color="auto"/>
        <w:left w:val="none" w:sz="0" w:space="0" w:color="auto"/>
        <w:bottom w:val="none" w:sz="0" w:space="0" w:color="auto"/>
        <w:right w:val="none" w:sz="0" w:space="0" w:color="auto"/>
      </w:divBdr>
    </w:div>
    <w:div w:id="587615344">
      <w:bodyDiv w:val="1"/>
      <w:marLeft w:val="0"/>
      <w:marRight w:val="0"/>
      <w:marTop w:val="0"/>
      <w:marBottom w:val="0"/>
      <w:divBdr>
        <w:top w:val="none" w:sz="0" w:space="0" w:color="auto"/>
        <w:left w:val="none" w:sz="0" w:space="0" w:color="auto"/>
        <w:bottom w:val="none" w:sz="0" w:space="0" w:color="auto"/>
        <w:right w:val="none" w:sz="0" w:space="0" w:color="auto"/>
      </w:divBdr>
    </w:div>
    <w:div w:id="587618715">
      <w:bodyDiv w:val="1"/>
      <w:marLeft w:val="0"/>
      <w:marRight w:val="0"/>
      <w:marTop w:val="0"/>
      <w:marBottom w:val="0"/>
      <w:divBdr>
        <w:top w:val="none" w:sz="0" w:space="0" w:color="auto"/>
        <w:left w:val="none" w:sz="0" w:space="0" w:color="auto"/>
        <w:bottom w:val="none" w:sz="0" w:space="0" w:color="auto"/>
        <w:right w:val="none" w:sz="0" w:space="0" w:color="auto"/>
      </w:divBdr>
    </w:div>
    <w:div w:id="587663912">
      <w:bodyDiv w:val="1"/>
      <w:marLeft w:val="0"/>
      <w:marRight w:val="0"/>
      <w:marTop w:val="0"/>
      <w:marBottom w:val="0"/>
      <w:divBdr>
        <w:top w:val="none" w:sz="0" w:space="0" w:color="auto"/>
        <w:left w:val="none" w:sz="0" w:space="0" w:color="auto"/>
        <w:bottom w:val="none" w:sz="0" w:space="0" w:color="auto"/>
        <w:right w:val="none" w:sz="0" w:space="0" w:color="auto"/>
      </w:divBdr>
    </w:div>
    <w:div w:id="587692025">
      <w:bodyDiv w:val="1"/>
      <w:marLeft w:val="0"/>
      <w:marRight w:val="0"/>
      <w:marTop w:val="0"/>
      <w:marBottom w:val="0"/>
      <w:divBdr>
        <w:top w:val="none" w:sz="0" w:space="0" w:color="auto"/>
        <w:left w:val="none" w:sz="0" w:space="0" w:color="auto"/>
        <w:bottom w:val="none" w:sz="0" w:space="0" w:color="auto"/>
        <w:right w:val="none" w:sz="0" w:space="0" w:color="auto"/>
      </w:divBdr>
    </w:div>
    <w:div w:id="588202373">
      <w:bodyDiv w:val="1"/>
      <w:marLeft w:val="0"/>
      <w:marRight w:val="0"/>
      <w:marTop w:val="0"/>
      <w:marBottom w:val="0"/>
      <w:divBdr>
        <w:top w:val="none" w:sz="0" w:space="0" w:color="auto"/>
        <w:left w:val="none" w:sz="0" w:space="0" w:color="auto"/>
        <w:bottom w:val="none" w:sz="0" w:space="0" w:color="auto"/>
        <w:right w:val="none" w:sz="0" w:space="0" w:color="auto"/>
      </w:divBdr>
    </w:div>
    <w:div w:id="589583001">
      <w:bodyDiv w:val="1"/>
      <w:marLeft w:val="0"/>
      <w:marRight w:val="0"/>
      <w:marTop w:val="0"/>
      <w:marBottom w:val="0"/>
      <w:divBdr>
        <w:top w:val="none" w:sz="0" w:space="0" w:color="auto"/>
        <w:left w:val="none" w:sz="0" w:space="0" w:color="auto"/>
        <w:bottom w:val="none" w:sz="0" w:space="0" w:color="auto"/>
        <w:right w:val="none" w:sz="0" w:space="0" w:color="auto"/>
      </w:divBdr>
    </w:div>
    <w:div w:id="589629664">
      <w:bodyDiv w:val="1"/>
      <w:marLeft w:val="0"/>
      <w:marRight w:val="0"/>
      <w:marTop w:val="0"/>
      <w:marBottom w:val="0"/>
      <w:divBdr>
        <w:top w:val="none" w:sz="0" w:space="0" w:color="auto"/>
        <w:left w:val="none" w:sz="0" w:space="0" w:color="auto"/>
        <w:bottom w:val="none" w:sz="0" w:space="0" w:color="auto"/>
        <w:right w:val="none" w:sz="0" w:space="0" w:color="auto"/>
      </w:divBdr>
    </w:div>
    <w:div w:id="589701517">
      <w:bodyDiv w:val="1"/>
      <w:marLeft w:val="0"/>
      <w:marRight w:val="0"/>
      <w:marTop w:val="0"/>
      <w:marBottom w:val="0"/>
      <w:divBdr>
        <w:top w:val="none" w:sz="0" w:space="0" w:color="auto"/>
        <w:left w:val="none" w:sz="0" w:space="0" w:color="auto"/>
        <w:bottom w:val="none" w:sz="0" w:space="0" w:color="auto"/>
        <w:right w:val="none" w:sz="0" w:space="0" w:color="auto"/>
      </w:divBdr>
    </w:div>
    <w:div w:id="589853803">
      <w:bodyDiv w:val="1"/>
      <w:marLeft w:val="0"/>
      <w:marRight w:val="0"/>
      <w:marTop w:val="0"/>
      <w:marBottom w:val="0"/>
      <w:divBdr>
        <w:top w:val="none" w:sz="0" w:space="0" w:color="auto"/>
        <w:left w:val="none" w:sz="0" w:space="0" w:color="auto"/>
        <w:bottom w:val="none" w:sz="0" w:space="0" w:color="auto"/>
        <w:right w:val="none" w:sz="0" w:space="0" w:color="auto"/>
      </w:divBdr>
    </w:div>
    <w:div w:id="590357034">
      <w:bodyDiv w:val="1"/>
      <w:marLeft w:val="0"/>
      <w:marRight w:val="0"/>
      <w:marTop w:val="0"/>
      <w:marBottom w:val="0"/>
      <w:divBdr>
        <w:top w:val="none" w:sz="0" w:space="0" w:color="auto"/>
        <w:left w:val="none" w:sz="0" w:space="0" w:color="auto"/>
        <w:bottom w:val="none" w:sz="0" w:space="0" w:color="auto"/>
        <w:right w:val="none" w:sz="0" w:space="0" w:color="auto"/>
      </w:divBdr>
    </w:div>
    <w:div w:id="590700404">
      <w:bodyDiv w:val="1"/>
      <w:marLeft w:val="0"/>
      <w:marRight w:val="0"/>
      <w:marTop w:val="0"/>
      <w:marBottom w:val="0"/>
      <w:divBdr>
        <w:top w:val="none" w:sz="0" w:space="0" w:color="auto"/>
        <w:left w:val="none" w:sz="0" w:space="0" w:color="auto"/>
        <w:bottom w:val="none" w:sz="0" w:space="0" w:color="auto"/>
        <w:right w:val="none" w:sz="0" w:space="0" w:color="auto"/>
      </w:divBdr>
    </w:div>
    <w:div w:id="590823439">
      <w:bodyDiv w:val="1"/>
      <w:marLeft w:val="0"/>
      <w:marRight w:val="0"/>
      <w:marTop w:val="0"/>
      <w:marBottom w:val="0"/>
      <w:divBdr>
        <w:top w:val="none" w:sz="0" w:space="0" w:color="auto"/>
        <w:left w:val="none" w:sz="0" w:space="0" w:color="auto"/>
        <w:bottom w:val="none" w:sz="0" w:space="0" w:color="auto"/>
        <w:right w:val="none" w:sz="0" w:space="0" w:color="auto"/>
      </w:divBdr>
    </w:div>
    <w:div w:id="591082635">
      <w:bodyDiv w:val="1"/>
      <w:marLeft w:val="0"/>
      <w:marRight w:val="0"/>
      <w:marTop w:val="0"/>
      <w:marBottom w:val="0"/>
      <w:divBdr>
        <w:top w:val="none" w:sz="0" w:space="0" w:color="auto"/>
        <w:left w:val="none" w:sz="0" w:space="0" w:color="auto"/>
        <w:bottom w:val="none" w:sz="0" w:space="0" w:color="auto"/>
        <w:right w:val="none" w:sz="0" w:space="0" w:color="auto"/>
      </w:divBdr>
    </w:div>
    <w:div w:id="591201828">
      <w:bodyDiv w:val="1"/>
      <w:marLeft w:val="0"/>
      <w:marRight w:val="0"/>
      <w:marTop w:val="0"/>
      <w:marBottom w:val="0"/>
      <w:divBdr>
        <w:top w:val="none" w:sz="0" w:space="0" w:color="auto"/>
        <w:left w:val="none" w:sz="0" w:space="0" w:color="auto"/>
        <w:bottom w:val="none" w:sz="0" w:space="0" w:color="auto"/>
        <w:right w:val="none" w:sz="0" w:space="0" w:color="auto"/>
      </w:divBdr>
    </w:div>
    <w:div w:id="591352240">
      <w:bodyDiv w:val="1"/>
      <w:marLeft w:val="0"/>
      <w:marRight w:val="0"/>
      <w:marTop w:val="0"/>
      <w:marBottom w:val="0"/>
      <w:divBdr>
        <w:top w:val="none" w:sz="0" w:space="0" w:color="auto"/>
        <w:left w:val="none" w:sz="0" w:space="0" w:color="auto"/>
        <w:bottom w:val="none" w:sz="0" w:space="0" w:color="auto"/>
        <w:right w:val="none" w:sz="0" w:space="0" w:color="auto"/>
      </w:divBdr>
    </w:div>
    <w:div w:id="591544893">
      <w:bodyDiv w:val="1"/>
      <w:marLeft w:val="0"/>
      <w:marRight w:val="0"/>
      <w:marTop w:val="0"/>
      <w:marBottom w:val="0"/>
      <w:divBdr>
        <w:top w:val="none" w:sz="0" w:space="0" w:color="auto"/>
        <w:left w:val="none" w:sz="0" w:space="0" w:color="auto"/>
        <w:bottom w:val="none" w:sz="0" w:space="0" w:color="auto"/>
        <w:right w:val="none" w:sz="0" w:space="0" w:color="auto"/>
      </w:divBdr>
    </w:div>
    <w:div w:id="592014182">
      <w:bodyDiv w:val="1"/>
      <w:marLeft w:val="0"/>
      <w:marRight w:val="0"/>
      <w:marTop w:val="0"/>
      <w:marBottom w:val="0"/>
      <w:divBdr>
        <w:top w:val="none" w:sz="0" w:space="0" w:color="auto"/>
        <w:left w:val="none" w:sz="0" w:space="0" w:color="auto"/>
        <w:bottom w:val="none" w:sz="0" w:space="0" w:color="auto"/>
        <w:right w:val="none" w:sz="0" w:space="0" w:color="auto"/>
      </w:divBdr>
    </w:div>
    <w:div w:id="592132414">
      <w:bodyDiv w:val="1"/>
      <w:marLeft w:val="0"/>
      <w:marRight w:val="0"/>
      <w:marTop w:val="0"/>
      <w:marBottom w:val="0"/>
      <w:divBdr>
        <w:top w:val="none" w:sz="0" w:space="0" w:color="auto"/>
        <w:left w:val="none" w:sz="0" w:space="0" w:color="auto"/>
        <w:bottom w:val="none" w:sz="0" w:space="0" w:color="auto"/>
        <w:right w:val="none" w:sz="0" w:space="0" w:color="auto"/>
      </w:divBdr>
    </w:div>
    <w:div w:id="592279877">
      <w:bodyDiv w:val="1"/>
      <w:marLeft w:val="0"/>
      <w:marRight w:val="0"/>
      <w:marTop w:val="0"/>
      <w:marBottom w:val="0"/>
      <w:divBdr>
        <w:top w:val="none" w:sz="0" w:space="0" w:color="auto"/>
        <w:left w:val="none" w:sz="0" w:space="0" w:color="auto"/>
        <w:bottom w:val="none" w:sz="0" w:space="0" w:color="auto"/>
        <w:right w:val="none" w:sz="0" w:space="0" w:color="auto"/>
      </w:divBdr>
    </w:div>
    <w:div w:id="592320099">
      <w:bodyDiv w:val="1"/>
      <w:marLeft w:val="0"/>
      <w:marRight w:val="0"/>
      <w:marTop w:val="0"/>
      <w:marBottom w:val="0"/>
      <w:divBdr>
        <w:top w:val="none" w:sz="0" w:space="0" w:color="auto"/>
        <w:left w:val="none" w:sz="0" w:space="0" w:color="auto"/>
        <w:bottom w:val="none" w:sz="0" w:space="0" w:color="auto"/>
        <w:right w:val="none" w:sz="0" w:space="0" w:color="auto"/>
      </w:divBdr>
    </w:div>
    <w:div w:id="592516588">
      <w:bodyDiv w:val="1"/>
      <w:marLeft w:val="0"/>
      <w:marRight w:val="0"/>
      <w:marTop w:val="0"/>
      <w:marBottom w:val="0"/>
      <w:divBdr>
        <w:top w:val="none" w:sz="0" w:space="0" w:color="auto"/>
        <w:left w:val="none" w:sz="0" w:space="0" w:color="auto"/>
        <w:bottom w:val="none" w:sz="0" w:space="0" w:color="auto"/>
        <w:right w:val="none" w:sz="0" w:space="0" w:color="auto"/>
      </w:divBdr>
    </w:div>
    <w:div w:id="592934602">
      <w:bodyDiv w:val="1"/>
      <w:marLeft w:val="0"/>
      <w:marRight w:val="0"/>
      <w:marTop w:val="0"/>
      <w:marBottom w:val="0"/>
      <w:divBdr>
        <w:top w:val="none" w:sz="0" w:space="0" w:color="auto"/>
        <w:left w:val="none" w:sz="0" w:space="0" w:color="auto"/>
        <w:bottom w:val="none" w:sz="0" w:space="0" w:color="auto"/>
        <w:right w:val="none" w:sz="0" w:space="0" w:color="auto"/>
      </w:divBdr>
    </w:div>
    <w:div w:id="593053617">
      <w:bodyDiv w:val="1"/>
      <w:marLeft w:val="0"/>
      <w:marRight w:val="0"/>
      <w:marTop w:val="0"/>
      <w:marBottom w:val="0"/>
      <w:divBdr>
        <w:top w:val="none" w:sz="0" w:space="0" w:color="auto"/>
        <w:left w:val="none" w:sz="0" w:space="0" w:color="auto"/>
        <w:bottom w:val="none" w:sz="0" w:space="0" w:color="auto"/>
        <w:right w:val="none" w:sz="0" w:space="0" w:color="auto"/>
      </w:divBdr>
    </w:div>
    <w:div w:id="593369343">
      <w:bodyDiv w:val="1"/>
      <w:marLeft w:val="0"/>
      <w:marRight w:val="0"/>
      <w:marTop w:val="0"/>
      <w:marBottom w:val="0"/>
      <w:divBdr>
        <w:top w:val="none" w:sz="0" w:space="0" w:color="auto"/>
        <w:left w:val="none" w:sz="0" w:space="0" w:color="auto"/>
        <w:bottom w:val="none" w:sz="0" w:space="0" w:color="auto"/>
        <w:right w:val="none" w:sz="0" w:space="0" w:color="auto"/>
      </w:divBdr>
    </w:div>
    <w:div w:id="594442416">
      <w:bodyDiv w:val="1"/>
      <w:marLeft w:val="0"/>
      <w:marRight w:val="0"/>
      <w:marTop w:val="0"/>
      <w:marBottom w:val="0"/>
      <w:divBdr>
        <w:top w:val="none" w:sz="0" w:space="0" w:color="auto"/>
        <w:left w:val="none" w:sz="0" w:space="0" w:color="auto"/>
        <w:bottom w:val="none" w:sz="0" w:space="0" w:color="auto"/>
        <w:right w:val="none" w:sz="0" w:space="0" w:color="auto"/>
      </w:divBdr>
    </w:div>
    <w:div w:id="594558654">
      <w:bodyDiv w:val="1"/>
      <w:marLeft w:val="0"/>
      <w:marRight w:val="0"/>
      <w:marTop w:val="0"/>
      <w:marBottom w:val="0"/>
      <w:divBdr>
        <w:top w:val="none" w:sz="0" w:space="0" w:color="auto"/>
        <w:left w:val="none" w:sz="0" w:space="0" w:color="auto"/>
        <w:bottom w:val="none" w:sz="0" w:space="0" w:color="auto"/>
        <w:right w:val="none" w:sz="0" w:space="0" w:color="auto"/>
      </w:divBdr>
    </w:div>
    <w:div w:id="595599354">
      <w:bodyDiv w:val="1"/>
      <w:marLeft w:val="0"/>
      <w:marRight w:val="0"/>
      <w:marTop w:val="0"/>
      <w:marBottom w:val="0"/>
      <w:divBdr>
        <w:top w:val="none" w:sz="0" w:space="0" w:color="auto"/>
        <w:left w:val="none" w:sz="0" w:space="0" w:color="auto"/>
        <w:bottom w:val="none" w:sz="0" w:space="0" w:color="auto"/>
        <w:right w:val="none" w:sz="0" w:space="0" w:color="auto"/>
      </w:divBdr>
    </w:div>
    <w:div w:id="595601191">
      <w:bodyDiv w:val="1"/>
      <w:marLeft w:val="0"/>
      <w:marRight w:val="0"/>
      <w:marTop w:val="0"/>
      <w:marBottom w:val="0"/>
      <w:divBdr>
        <w:top w:val="none" w:sz="0" w:space="0" w:color="auto"/>
        <w:left w:val="none" w:sz="0" w:space="0" w:color="auto"/>
        <w:bottom w:val="none" w:sz="0" w:space="0" w:color="auto"/>
        <w:right w:val="none" w:sz="0" w:space="0" w:color="auto"/>
      </w:divBdr>
    </w:div>
    <w:div w:id="595747521">
      <w:bodyDiv w:val="1"/>
      <w:marLeft w:val="0"/>
      <w:marRight w:val="0"/>
      <w:marTop w:val="0"/>
      <w:marBottom w:val="0"/>
      <w:divBdr>
        <w:top w:val="none" w:sz="0" w:space="0" w:color="auto"/>
        <w:left w:val="none" w:sz="0" w:space="0" w:color="auto"/>
        <w:bottom w:val="none" w:sz="0" w:space="0" w:color="auto"/>
        <w:right w:val="none" w:sz="0" w:space="0" w:color="auto"/>
      </w:divBdr>
    </w:div>
    <w:div w:id="596447929">
      <w:bodyDiv w:val="1"/>
      <w:marLeft w:val="0"/>
      <w:marRight w:val="0"/>
      <w:marTop w:val="0"/>
      <w:marBottom w:val="0"/>
      <w:divBdr>
        <w:top w:val="none" w:sz="0" w:space="0" w:color="auto"/>
        <w:left w:val="none" w:sz="0" w:space="0" w:color="auto"/>
        <w:bottom w:val="none" w:sz="0" w:space="0" w:color="auto"/>
        <w:right w:val="none" w:sz="0" w:space="0" w:color="auto"/>
      </w:divBdr>
    </w:div>
    <w:div w:id="596448191">
      <w:bodyDiv w:val="1"/>
      <w:marLeft w:val="0"/>
      <w:marRight w:val="0"/>
      <w:marTop w:val="0"/>
      <w:marBottom w:val="0"/>
      <w:divBdr>
        <w:top w:val="none" w:sz="0" w:space="0" w:color="auto"/>
        <w:left w:val="none" w:sz="0" w:space="0" w:color="auto"/>
        <w:bottom w:val="none" w:sz="0" w:space="0" w:color="auto"/>
        <w:right w:val="none" w:sz="0" w:space="0" w:color="auto"/>
      </w:divBdr>
    </w:div>
    <w:div w:id="596524030">
      <w:bodyDiv w:val="1"/>
      <w:marLeft w:val="0"/>
      <w:marRight w:val="0"/>
      <w:marTop w:val="0"/>
      <w:marBottom w:val="0"/>
      <w:divBdr>
        <w:top w:val="none" w:sz="0" w:space="0" w:color="auto"/>
        <w:left w:val="none" w:sz="0" w:space="0" w:color="auto"/>
        <w:bottom w:val="none" w:sz="0" w:space="0" w:color="auto"/>
        <w:right w:val="none" w:sz="0" w:space="0" w:color="auto"/>
      </w:divBdr>
    </w:div>
    <w:div w:id="596788941">
      <w:bodyDiv w:val="1"/>
      <w:marLeft w:val="0"/>
      <w:marRight w:val="0"/>
      <w:marTop w:val="0"/>
      <w:marBottom w:val="0"/>
      <w:divBdr>
        <w:top w:val="none" w:sz="0" w:space="0" w:color="auto"/>
        <w:left w:val="none" w:sz="0" w:space="0" w:color="auto"/>
        <w:bottom w:val="none" w:sz="0" w:space="0" w:color="auto"/>
        <w:right w:val="none" w:sz="0" w:space="0" w:color="auto"/>
      </w:divBdr>
    </w:div>
    <w:div w:id="596989511">
      <w:bodyDiv w:val="1"/>
      <w:marLeft w:val="0"/>
      <w:marRight w:val="0"/>
      <w:marTop w:val="0"/>
      <w:marBottom w:val="0"/>
      <w:divBdr>
        <w:top w:val="none" w:sz="0" w:space="0" w:color="auto"/>
        <w:left w:val="none" w:sz="0" w:space="0" w:color="auto"/>
        <w:bottom w:val="none" w:sz="0" w:space="0" w:color="auto"/>
        <w:right w:val="none" w:sz="0" w:space="0" w:color="auto"/>
      </w:divBdr>
    </w:div>
    <w:div w:id="597105497">
      <w:bodyDiv w:val="1"/>
      <w:marLeft w:val="0"/>
      <w:marRight w:val="0"/>
      <w:marTop w:val="0"/>
      <w:marBottom w:val="0"/>
      <w:divBdr>
        <w:top w:val="none" w:sz="0" w:space="0" w:color="auto"/>
        <w:left w:val="none" w:sz="0" w:space="0" w:color="auto"/>
        <w:bottom w:val="none" w:sz="0" w:space="0" w:color="auto"/>
        <w:right w:val="none" w:sz="0" w:space="0" w:color="auto"/>
      </w:divBdr>
    </w:div>
    <w:div w:id="597178968">
      <w:bodyDiv w:val="1"/>
      <w:marLeft w:val="0"/>
      <w:marRight w:val="0"/>
      <w:marTop w:val="0"/>
      <w:marBottom w:val="0"/>
      <w:divBdr>
        <w:top w:val="none" w:sz="0" w:space="0" w:color="auto"/>
        <w:left w:val="none" w:sz="0" w:space="0" w:color="auto"/>
        <w:bottom w:val="none" w:sz="0" w:space="0" w:color="auto"/>
        <w:right w:val="none" w:sz="0" w:space="0" w:color="auto"/>
      </w:divBdr>
    </w:div>
    <w:div w:id="597566415">
      <w:bodyDiv w:val="1"/>
      <w:marLeft w:val="0"/>
      <w:marRight w:val="0"/>
      <w:marTop w:val="0"/>
      <w:marBottom w:val="0"/>
      <w:divBdr>
        <w:top w:val="none" w:sz="0" w:space="0" w:color="auto"/>
        <w:left w:val="none" w:sz="0" w:space="0" w:color="auto"/>
        <w:bottom w:val="none" w:sz="0" w:space="0" w:color="auto"/>
        <w:right w:val="none" w:sz="0" w:space="0" w:color="auto"/>
      </w:divBdr>
    </w:div>
    <w:div w:id="597757601">
      <w:bodyDiv w:val="1"/>
      <w:marLeft w:val="0"/>
      <w:marRight w:val="0"/>
      <w:marTop w:val="0"/>
      <w:marBottom w:val="0"/>
      <w:divBdr>
        <w:top w:val="none" w:sz="0" w:space="0" w:color="auto"/>
        <w:left w:val="none" w:sz="0" w:space="0" w:color="auto"/>
        <w:bottom w:val="none" w:sz="0" w:space="0" w:color="auto"/>
        <w:right w:val="none" w:sz="0" w:space="0" w:color="auto"/>
      </w:divBdr>
    </w:div>
    <w:div w:id="597830947">
      <w:bodyDiv w:val="1"/>
      <w:marLeft w:val="0"/>
      <w:marRight w:val="0"/>
      <w:marTop w:val="0"/>
      <w:marBottom w:val="0"/>
      <w:divBdr>
        <w:top w:val="none" w:sz="0" w:space="0" w:color="auto"/>
        <w:left w:val="none" w:sz="0" w:space="0" w:color="auto"/>
        <w:bottom w:val="none" w:sz="0" w:space="0" w:color="auto"/>
        <w:right w:val="none" w:sz="0" w:space="0" w:color="auto"/>
      </w:divBdr>
    </w:div>
    <w:div w:id="598879238">
      <w:bodyDiv w:val="1"/>
      <w:marLeft w:val="0"/>
      <w:marRight w:val="0"/>
      <w:marTop w:val="0"/>
      <w:marBottom w:val="0"/>
      <w:divBdr>
        <w:top w:val="none" w:sz="0" w:space="0" w:color="auto"/>
        <w:left w:val="none" w:sz="0" w:space="0" w:color="auto"/>
        <w:bottom w:val="none" w:sz="0" w:space="0" w:color="auto"/>
        <w:right w:val="none" w:sz="0" w:space="0" w:color="auto"/>
      </w:divBdr>
    </w:div>
    <w:div w:id="598953945">
      <w:bodyDiv w:val="1"/>
      <w:marLeft w:val="0"/>
      <w:marRight w:val="0"/>
      <w:marTop w:val="0"/>
      <w:marBottom w:val="0"/>
      <w:divBdr>
        <w:top w:val="none" w:sz="0" w:space="0" w:color="auto"/>
        <w:left w:val="none" w:sz="0" w:space="0" w:color="auto"/>
        <w:bottom w:val="none" w:sz="0" w:space="0" w:color="auto"/>
        <w:right w:val="none" w:sz="0" w:space="0" w:color="auto"/>
      </w:divBdr>
    </w:div>
    <w:div w:id="599217786">
      <w:bodyDiv w:val="1"/>
      <w:marLeft w:val="0"/>
      <w:marRight w:val="0"/>
      <w:marTop w:val="0"/>
      <w:marBottom w:val="0"/>
      <w:divBdr>
        <w:top w:val="none" w:sz="0" w:space="0" w:color="auto"/>
        <w:left w:val="none" w:sz="0" w:space="0" w:color="auto"/>
        <w:bottom w:val="none" w:sz="0" w:space="0" w:color="auto"/>
        <w:right w:val="none" w:sz="0" w:space="0" w:color="auto"/>
      </w:divBdr>
    </w:div>
    <w:div w:id="599339801">
      <w:bodyDiv w:val="1"/>
      <w:marLeft w:val="0"/>
      <w:marRight w:val="0"/>
      <w:marTop w:val="0"/>
      <w:marBottom w:val="0"/>
      <w:divBdr>
        <w:top w:val="none" w:sz="0" w:space="0" w:color="auto"/>
        <w:left w:val="none" w:sz="0" w:space="0" w:color="auto"/>
        <w:bottom w:val="none" w:sz="0" w:space="0" w:color="auto"/>
        <w:right w:val="none" w:sz="0" w:space="0" w:color="auto"/>
      </w:divBdr>
    </w:div>
    <w:div w:id="599340924">
      <w:bodyDiv w:val="1"/>
      <w:marLeft w:val="0"/>
      <w:marRight w:val="0"/>
      <w:marTop w:val="0"/>
      <w:marBottom w:val="0"/>
      <w:divBdr>
        <w:top w:val="none" w:sz="0" w:space="0" w:color="auto"/>
        <w:left w:val="none" w:sz="0" w:space="0" w:color="auto"/>
        <w:bottom w:val="none" w:sz="0" w:space="0" w:color="auto"/>
        <w:right w:val="none" w:sz="0" w:space="0" w:color="auto"/>
      </w:divBdr>
    </w:div>
    <w:div w:id="599876732">
      <w:bodyDiv w:val="1"/>
      <w:marLeft w:val="0"/>
      <w:marRight w:val="0"/>
      <w:marTop w:val="0"/>
      <w:marBottom w:val="0"/>
      <w:divBdr>
        <w:top w:val="none" w:sz="0" w:space="0" w:color="auto"/>
        <w:left w:val="none" w:sz="0" w:space="0" w:color="auto"/>
        <w:bottom w:val="none" w:sz="0" w:space="0" w:color="auto"/>
        <w:right w:val="none" w:sz="0" w:space="0" w:color="auto"/>
      </w:divBdr>
    </w:div>
    <w:div w:id="600184861">
      <w:bodyDiv w:val="1"/>
      <w:marLeft w:val="0"/>
      <w:marRight w:val="0"/>
      <w:marTop w:val="0"/>
      <w:marBottom w:val="0"/>
      <w:divBdr>
        <w:top w:val="none" w:sz="0" w:space="0" w:color="auto"/>
        <w:left w:val="none" w:sz="0" w:space="0" w:color="auto"/>
        <w:bottom w:val="none" w:sz="0" w:space="0" w:color="auto"/>
        <w:right w:val="none" w:sz="0" w:space="0" w:color="auto"/>
      </w:divBdr>
    </w:div>
    <w:div w:id="600262150">
      <w:bodyDiv w:val="1"/>
      <w:marLeft w:val="0"/>
      <w:marRight w:val="0"/>
      <w:marTop w:val="0"/>
      <w:marBottom w:val="0"/>
      <w:divBdr>
        <w:top w:val="none" w:sz="0" w:space="0" w:color="auto"/>
        <w:left w:val="none" w:sz="0" w:space="0" w:color="auto"/>
        <w:bottom w:val="none" w:sz="0" w:space="0" w:color="auto"/>
        <w:right w:val="none" w:sz="0" w:space="0" w:color="auto"/>
      </w:divBdr>
    </w:div>
    <w:div w:id="600383427">
      <w:bodyDiv w:val="1"/>
      <w:marLeft w:val="0"/>
      <w:marRight w:val="0"/>
      <w:marTop w:val="0"/>
      <w:marBottom w:val="0"/>
      <w:divBdr>
        <w:top w:val="none" w:sz="0" w:space="0" w:color="auto"/>
        <w:left w:val="none" w:sz="0" w:space="0" w:color="auto"/>
        <w:bottom w:val="none" w:sz="0" w:space="0" w:color="auto"/>
        <w:right w:val="none" w:sz="0" w:space="0" w:color="auto"/>
      </w:divBdr>
    </w:div>
    <w:div w:id="600602737">
      <w:bodyDiv w:val="1"/>
      <w:marLeft w:val="0"/>
      <w:marRight w:val="0"/>
      <w:marTop w:val="0"/>
      <w:marBottom w:val="0"/>
      <w:divBdr>
        <w:top w:val="none" w:sz="0" w:space="0" w:color="auto"/>
        <w:left w:val="none" w:sz="0" w:space="0" w:color="auto"/>
        <w:bottom w:val="none" w:sz="0" w:space="0" w:color="auto"/>
        <w:right w:val="none" w:sz="0" w:space="0" w:color="auto"/>
      </w:divBdr>
    </w:div>
    <w:div w:id="601034276">
      <w:bodyDiv w:val="1"/>
      <w:marLeft w:val="0"/>
      <w:marRight w:val="0"/>
      <w:marTop w:val="0"/>
      <w:marBottom w:val="0"/>
      <w:divBdr>
        <w:top w:val="none" w:sz="0" w:space="0" w:color="auto"/>
        <w:left w:val="none" w:sz="0" w:space="0" w:color="auto"/>
        <w:bottom w:val="none" w:sz="0" w:space="0" w:color="auto"/>
        <w:right w:val="none" w:sz="0" w:space="0" w:color="auto"/>
      </w:divBdr>
    </w:div>
    <w:div w:id="601062651">
      <w:bodyDiv w:val="1"/>
      <w:marLeft w:val="0"/>
      <w:marRight w:val="0"/>
      <w:marTop w:val="0"/>
      <w:marBottom w:val="0"/>
      <w:divBdr>
        <w:top w:val="none" w:sz="0" w:space="0" w:color="auto"/>
        <w:left w:val="none" w:sz="0" w:space="0" w:color="auto"/>
        <w:bottom w:val="none" w:sz="0" w:space="0" w:color="auto"/>
        <w:right w:val="none" w:sz="0" w:space="0" w:color="auto"/>
      </w:divBdr>
    </w:div>
    <w:div w:id="601112689">
      <w:bodyDiv w:val="1"/>
      <w:marLeft w:val="0"/>
      <w:marRight w:val="0"/>
      <w:marTop w:val="0"/>
      <w:marBottom w:val="0"/>
      <w:divBdr>
        <w:top w:val="none" w:sz="0" w:space="0" w:color="auto"/>
        <w:left w:val="none" w:sz="0" w:space="0" w:color="auto"/>
        <w:bottom w:val="none" w:sz="0" w:space="0" w:color="auto"/>
        <w:right w:val="none" w:sz="0" w:space="0" w:color="auto"/>
      </w:divBdr>
    </w:div>
    <w:div w:id="601189576">
      <w:bodyDiv w:val="1"/>
      <w:marLeft w:val="0"/>
      <w:marRight w:val="0"/>
      <w:marTop w:val="0"/>
      <w:marBottom w:val="0"/>
      <w:divBdr>
        <w:top w:val="none" w:sz="0" w:space="0" w:color="auto"/>
        <w:left w:val="none" w:sz="0" w:space="0" w:color="auto"/>
        <w:bottom w:val="none" w:sz="0" w:space="0" w:color="auto"/>
        <w:right w:val="none" w:sz="0" w:space="0" w:color="auto"/>
      </w:divBdr>
    </w:div>
    <w:div w:id="601566856">
      <w:bodyDiv w:val="1"/>
      <w:marLeft w:val="0"/>
      <w:marRight w:val="0"/>
      <w:marTop w:val="0"/>
      <w:marBottom w:val="0"/>
      <w:divBdr>
        <w:top w:val="none" w:sz="0" w:space="0" w:color="auto"/>
        <w:left w:val="none" w:sz="0" w:space="0" w:color="auto"/>
        <w:bottom w:val="none" w:sz="0" w:space="0" w:color="auto"/>
        <w:right w:val="none" w:sz="0" w:space="0" w:color="auto"/>
      </w:divBdr>
    </w:div>
    <w:div w:id="601573784">
      <w:bodyDiv w:val="1"/>
      <w:marLeft w:val="0"/>
      <w:marRight w:val="0"/>
      <w:marTop w:val="0"/>
      <w:marBottom w:val="0"/>
      <w:divBdr>
        <w:top w:val="none" w:sz="0" w:space="0" w:color="auto"/>
        <w:left w:val="none" w:sz="0" w:space="0" w:color="auto"/>
        <w:bottom w:val="none" w:sz="0" w:space="0" w:color="auto"/>
        <w:right w:val="none" w:sz="0" w:space="0" w:color="auto"/>
      </w:divBdr>
    </w:div>
    <w:div w:id="601844962">
      <w:bodyDiv w:val="1"/>
      <w:marLeft w:val="0"/>
      <w:marRight w:val="0"/>
      <w:marTop w:val="0"/>
      <w:marBottom w:val="0"/>
      <w:divBdr>
        <w:top w:val="none" w:sz="0" w:space="0" w:color="auto"/>
        <w:left w:val="none" w:sz="0" w:space="0" w:color="auto"/>
        <w:bottom w:val="none" w:sz="0" w:space="0" w:color="auto"/>
        <w:right w:val="none" w:sz="0" w:space="0" w:color="auto"/>
      </w:divBdr>
    </w:div>
    <w:div w:id="602230895">
      <w:bodyDiv w:val="1"/>
      <w:marLeft w:val="0"/>
      <w:marRight w:val="0"/>
      <w:marTop w:val="0"/>
      <w:marBottom w:val="0"/>
      <w:divBdr>
        <w:top w:val="none" w:sz="0" w:space="0" w:color="auto"/>
        <w:left w:val="none" w:sz="0" w:space="0" w:color="auto"/>
        <w:bottom w:val="none" w:sz="0" w:space="0" w:color="auto"/>
        <w:right w:val="none" w:sz="0" w:space="0" w:color="auto"/>
      </w:divBdr>
    </w:div>
    <w:div w:id="602419293">
      <w:bodyDiv w:val="1"/>
      <w:marLeft w:val="0"/>
      <w:marRight w:val="0"/>
      <w:marTop w:val="0"/>
      <w:marBottom w:val="0"/>
      <w:divBdr>
        <w:top w:val="none" w:sz="0" w:space="0" w:color="auto"/>
        <w:left w:val="none" w:sz="0" w:space="0" w:color="auto"/>
        <w:bottom w:val="none" w:sz="0" w:space="0" w:color="auto"/>
        <w:right w:val="none" w:sz="0" w:space="0" w:color="auto"/>
      </w:divBdr>
    </w:div>
    <w:div w:id="602497783">
      <w:bodyDiv w:val="1"/>
      <w:marLeft w:val="0"/>
      <w:marRight w:val="0"/>
      <w:marTop w:val="0"/>
      <w:marBottom w:val="0"/>
      <w:divBdr>
        <w:top w:val="none" w:sz="0" w:space="0" w:color="auto"/>
        <w:left w:val="none" w:sz="0" w:space="0" w:color="auto"/>
        <w:bottom w:val="none" w:sz="0" w:space="0" w:color="auto"/>
        <w:right w:val="none" w:sz="0" w:space="0" w:color="auto"/>
      </w:divBdr>
    </w:div>
    <w:div w:id="602804309">
      <w:bodyDiv w:val="1"/>
      <w:marLeft w:val="0"/>
      <w:marRight w:val="0"/>
      <w:marTop w:val="0"/>
      <w:marBottom w:val="0"/>
      <w:divBdr>
        <w:top w:val="none" w:sz="0" w:space="0" w:color="auto"/>
        <w:left w:val="none" w:sz="0" w:space="0" w:color="auto"/>
        <w:bottom w:val="none" w:sz="0" w:space="0" w:color="auto"/>
        <w:right w:val="none" w:sz="0" w:space="0" w:color="auto"/>
      </w:divBdr>
    </w:div>
    <w:div w:id="602808169">
      <w:bodyDiv w:val="1"/>
      <w:marLeft w:val="0"/>
      <w:marRight w:val="0"/>
      <w:marTop w:val="0"/>
      <w:marBottom w:val="0"/>
      <w:divBdr>
        <w:top w:val="none" w:sz="0" w:space="0" w:color="auto"/>
        <w:left w:val="none" w:sz="0" w:space="0" w:color="auto"/>
        <w:bottom w:val="none" w:sz="0" w:space="0" w:color="auto"/>
        <w:right w:val="none" w:sz="0" w:space="0" w:color="auto"/>
      </w:divBdr>
    </w:div>
    <w:div w:id="602885110">
      <w:bodyDiv w:val="1"/>
      <w:marLeft w:val="0"/>
      <w:marRight w:val="0"/>
      <w:marTop w:val="0"/>
      <w:marBottom w:val="0"/>
      <w:divBdr>
        <w:top w:val="none" w:sz="0" w:space="0" w:color="auto"/>
        <w:left w:val="none" w:sz="0" w:space="0" w:color="auto"/>
        <w:bottom w:val="none" w:sz="0" w:space="0" w:color="auto"/>
        <w:right w:val="none" w:sz="0" w:space="0" w:color="auto"/>
      </w:divBdr>
    </w:div>
    <w:div w:id="602953086">
      <w:bodyDiv w:val="1"/>
      <w:marLeft w:val="0"/>
      <w:marRight w:val="0"/>
      <w:marTop w:val="0"/>
      <w:marBottom w:val="0"/>
      <w:divBdr>
        <w:top w:val="none" w:sz="0" w:space="0" w:color="auto"/>
        <w:left w:val="none" w:sz="0" w:space="0" w:color="auto"/>
        <w:bottom w:val="none" w:sz="0" w:space="0" w:color="auto"/>
        <w:right w:val="none" w:sz="0" w:space="0" w:color="auto"/>
      </w:divBdr>
    </w:div>
    <w:div w:id="603003985">
      <w:bodyDiv w:val="1"/>
      <w:marLeft w:val="0"/>
      <w:marRight w:val="0"/>
      <w:marTop w:val="0"/>
      <w:marBottom w:val="0"/>
      <w:divBdr>
        <w:top w:val="none" w:sz="0" w:space="0" w:color="auto"/>
        <w:left w:val="none" w:sz="0" w:space="0" w:color="auto"/>
        <w:bottom w:val="none" w:sz="0" w:space="0" w:color="auto"/>
        <w:right w:val="none" w:sz="0" w:space="0" w:color="auto"/>
      </w:divBdr>
    </w:div>
    <w:div w:id="603390364">
      <w:bodyDiv w:val="1"/>
      <w:marLeft w:val="0"/>
      <w:marRight w:val="0"/>
      <w:marTop w:val="0"/>
      <w:marBottom w:val="0"/>
      <w:divBdr>
        <w:top w:val="none" w:sz="0" w:space="0" w:color="auto"/>
        <w:left w:val="none" w:sz="0" w:space="0" w:color="auto"/>
        <w:bottom w:val="none" w:sz="0" w:space="0" w:color="auto"/>
        <w:right w:val="none" w:sz="0" w:space="0" w:color="auto"/>
      </w:divBdr>
    </w:div>
    <w:div w:id="603466057">
      <w:bodyDiv w:val="1"/>
      <w:marLeft w:val="0"/>
      <w:marRight w:val="0"/>
      <w:marTop w:val="0"/>
      <w:marBottom w:val="0"/>
      <w:divBdr>
        <w:top w:val="none" w:sz="0" w:space="0" w:color="auto"/>
        <w:left w:val="none" w:sz="0" w:space="0" w:color="auto"/>
        <w:bottom w:val="none" w:sz="0" w:space="0" w:color="auto"/>
        <w:right w:val="none" w:sz="0" w:space="0" w:color="auto"/>
      </w:divBdr>
    </w:div>
    <w:div w:id="604075561">
      <w:bodyDiv w:val="1"/>
      <w:marLeft w:val="0"/>
      <w:marRight w:val="0"/>
      <w:marTop w:val="0"/>
      <w:marBottom w:val="0"/>
      <w:divBdr>
        <w:top w:val="none" w:sz="0" w:space="0" w:color="auto"/>
        <w:left w:val="none" w:sz="0" w:space="0" w:color="auto"/>
        <w:bottom w:val="none" w:sz="0" w:space="0" w:color="auto"/>
        <w:right w:val="none" w:sz="0" w:space="0" w:color="auto"/>
      </w:divBdr>
    </w:div>
    <w:div w:id="604309752">
      <w:bodyDiv w:val="1"/>
      <w:marLeft w:val="0"/>
      <w:marRight w:val="0"/>
      <w:marTop w:val="0"/>
      <w:marBottom w:val="0"/>
      <w:divBdr>
        <w:top w:val="none" w:sz="0" w:space="0" w:color="auto"/>
        <w:left w:val="none" w:sz="0" w:space="0" w:color="auto"/>
        <w:bottom w:val="none" w:sz="0" w:space="0" w:color="auto"/>
        <w:right w:val="none" w:sz="0" w:space="0" w:color="auto"/>
      </w:divBdr>
    </w:div>
    <w:div w:id="604650600">
      <w:bodyDiv w:val="1"/>
      <w:marLeft w:val="0"/>
      <w:marRight w:val="0"/>
      <w:marTop w:val="0"/>
      <w:marBottom w:val="0"/>
      <w:divBdr>
        <w:top w:val="none" w:sz="0" w:space="0" w:color="auto"/>
        <w:left w:val="none" w:sz="0" w:space="0" w:color="auto"/>
        <w:bottom w:val="none" w:sz="0" w:space="0" w:color="auto"/>
        <w:right w:val="none" w:sz="0" w:space="0" w:color="auto"/>
      </w:divBdr>
    </w:div>
    <w:div w:id="605888752">
      <w:bodyDiv w:val="1"/>
      <w:marLeft w:val="0"/>
      <w:marRight w:val="0"/>
      <w:marTop w:val="0"/>
      <w:marBottom w:val="0"/>
      <w:divBdr>
        <w:top w:val="none" w:sz="0" w:space="0" w:color="auto"/>
        <w:left w:val="none" w:sz="0" w:space="0" w:color="auto"/>
        <w:bottom w:val="none" w:sz="0" w:space="0" w:color="auto"/>
        <w:right w:val="none" w:sz="0" w:space="0" w:color="auto"/>
      </w:divBdr>
    </w:div>
    <w:div w:id="605890678">
      <w:bodyDiv w:val="1"/>
      <w:marLeft w:val="0"/>
      <w:marRight w:val="0"/>
      <w:marTop w:val="0"/>
      <w:marBottom w:val="0"/>
      <w:divBdr>
        <w:top w:val="none" w:sz="0" w:space="0" w:color="auto"/>
        <w:left w:val="none" w:sz="0" w:space="0" w:color="auto"/>
        <w:bottom w:val="none" w:sz="0" w:space="0" w:color="auto"/>
        <w:right w:val="none" w:sz="0" w:space="0" w:color="auto"/>
      </w:divBdr>
    </w:div>
    <w:div w:id="606157393">
      <w:bodyDiv w:val="1"/>
      <w:marLeft w:val="0"/>
      <w:marRight w:val="0"/>
      <w:marTop w:val="0"/>
      <w:marBottom w:val="0"/>
      <w:divBdr>
        <w:top w:val="none" w:sz="0" w:space="0" w:color="auto"/>
        <w:left w:val="none" w:sz="0" w:space="0" w:color="auto"/>
        <w:bottom w:val="none" w:sz="0" w:space="0" w:color="auto"/>
        <w:right w:val="none" w:sz="0" w:space="0" w:color="auto"/>
      </w:divBdr>
    </w:div>
    <w:div w:id="606236966">
      <w:bodyDiv w:val="1"/>
      <w:marLeft w:val="0"/>
      <w:marRight w:val="0"/>
      <w:marTop w:val="0"/>
      <w:marBottom w:val="0"/>
      <w:divBdr>
        <w:top w:val="none" w:sz="0" w:space="0" w:color="auto"/>
        <w:left w:val="none" w:sz="0" w:space="0" w:color="auto"/>
        <w:bottom w:val="none" w:sz="0" w:space="0" w:color="auto"/>
        <w:right w:val="none" w:sz="0" w:space="0" w:color="auto"/>
      </w:divBdr>
    </w:div>
    <w:div w:id="606278657">
      <w:bodyDiv w:val="1"/>
      <w:marLeft w:val="0"/>
      <w:marRight w:val="0"/>
      <w:marTop w:val="0"/>
      <w:marBottom w:val="0"/>
      <w:divBdr>
        <w:top w:val="none" w:sz="0" w:space="0" w:color="auto"/>
        <w:left w:val="none" w:sz="0" w:space="0" w:color="auto"/>
        <w:bottom w:val="none" w:sz="0" w:space="0" w:color="auto"/>
        <w:right w:val="none" w:sz="0" w:space="0" w:color="auto"/>
      </w:divBdr>
    </w:div>
    <w:div w:id="606422831">
      <w:bodyDiv w:val="1"/>
      <w:marLeft w:val="0"/>
      <w:marRight w:val="0"/>
      <w:marTop w:val="0"/>
      <w:marBottom w:val="0"/>
      <w:divBdr>
        <w:top w:val="none" w:sz="0" w:space="0" w:color="auto"/>
        <w:left w:val="none" w:sz="0" w:space="0" w:color="auto"/>
        <w:bottom w:val="none" w:sz="0" w:space="0" w:color="auto"/>
        <w:right w:val="none" w:sz="0" w:space="0" w:color="auto"/>
      </w:divBdr>
    </w:div>
    <w:div w:id="606542869">
      <w:bodyDiv w:val="1"/>
      <w:marLeft w:val="0"/>
      <w:marRight w:val="0"/>
      <w:marTop w:val="0"/>
      <w:marBottom w:val="0"/>
      <w:divBdr>
        <w:top w:val="none" w:sz="0" w:space="0" w:color="auto"/>
        <w:left w:val="none" w:sz="0" w:space="0" w:color="auto"/>
        <w:bottom w:val="none" w:sz="0" w:space="0" w:color="auto"/>
        <w:right w:val="none" w:sz="0" w:space="0" w:color="auto"/>
      </w:divBdr>
    </w:div>
    <w:div w:id="607197018">
      <w:bodyDiv w:val="1"/>
      <w:marLeft w:val="0"/>
      <w:marRight w:val="0"/>
      <w:marTop w:val="0"/>
      <w:marBottom w:val="0"/>
      <w:divBdr>
        <w:top w:val="none" w:sz="0" w:space="0" w:color="auto"/>
        <w:left w:val="none" w:sz="0" w:space="0" w:color="auto"/>
        <w:bottom w:val="none" w:sz="0" w:space="0" w:color="auto"/>
        <w:right w:val="none" w:sz="0" w:space="0" w:color="auto"/>
      </w:divBdr>
    </w:div>
    <w:div w:id="607202019">
      <w:bodyDiv w:val="1"/>
      <w:marLeft w:val="0"/>
      <w:marRight w:val="0"/>
      <w:marTop w:val="0"/>
      <w:marBottom w:val="0"/>
      <w:divBdr>
        <w:top w:val="none" w:sz="0" w:space="0" w:color="auto"/>
        <w:left w:val="none" w:sz="0" w:space="0" w:color="auto"/>
        <w:bottom w:val="none" w:sz="0" w:space="0" w:color="auto"/>
        <w:right w:val="none" w:sz="0" w:space="0" w:color="auto"/>
      </w:divBdr>
    </w:div>
    <w:div w:id="607548405">
      <w:bodyDiv w:val="1"/>
      <w:marLeft w:val="0"/>
      <w:marRight w:val="0"/>
      <w:marTop w:val="0"/>
      <w:marBottom w:val="0"/>
      <w:divBdr>
        <w:top w:val="none" w:sz="0" w:space="0" w:color="auto"/>
        <w:left w:val="none" w:sz="0" w:space="0" w:color="auto"/>
        <w:bottom w:val="none" w:sz="0" w:space="0" w:color="auto"/>
        <w:right w:val="none" w:sz="0" w:space="0" w:color="auto"/>
      </w:divBdr>
    </w:div>
    <w:div w:id="607859464">
      <w:bodyDiv w:val="1"/>
      <w:marLeft w:val="0"/>
      <w:marRight w:val="0"/>
      <w:marTop w:val="0"/>
      <w:marBottom w:val="0"/>
      <w:divBdr>
        <w:top w:val="none" w:sz="0" w:space="0" w:color="auto"/>
        <w:left w:val="none" w:sz="0" w:space="0" w:color="auto"/>
        <w:bottom w:val="none" w:sz="0" w:space="0" w:color="auto"/>
        <w:right w:val="none" w:sz="0" w:space="0" w:color="auto"/>
      </w:divBdr>
    </w:div>
    <w:div w:id="608045955">
      <w:bodyDiv w:val="1"/>
      <w:marLeft w:val="0"/>
      <w:marRight w:val="0"/>
      <w:marTop w:val="0"/>
      <w:marBottom w:val="0"/>
      <w:divBdr>
        <w:top w:val="none" w:sz="0" w:space="0" w:color="auto"/>
        <w:left w:val="none" w:sz="0" w:space="0" w:color="auto"/>
        <w:bottom w:val="none" w:sz="0" w:space="0" w:color="auto"/>
        <w:right w:val="none" w:sz="0" w:space="0" w:color="auto"/>
      </w:divBdr>
    </w:div>
    <w:div w:id="608320331">
      <w:bodyDiv w:val="1"/>
      <w:marLeft w:val="0"/>
      <w:marRight w:val="0"/>
      <w:marTop w:val="0"/>
      <w:marBottom w:val="0"/>
      <w:divBdr>
        <w:top w:val="none" w:sz="0" w:space="0" w:color="auto"/>
        <w:left w:val="none" w:sz="0" w:space="0" w:color="auto"/>
        <w:bottom w:val="none" w:sz="0" w:space="0" w:color="auto"/>
        <w:right w:val="none" w:sz="0" w:space="0" w:color="auto"/>
      </w:divBdr>
    </w:div>
    <w:div w:id="608395985">
      <w:bodyDiv w:val="1"/>
      <w:marLeft w:val="0"/>
      <w:marRight w:val="0"/>
      <w:marTop w:val="0"/>
      <w:marBottom w:val="0"/>
      <w:divBdr>
        <w:top w:val="none" w:sz="0" w:space="0" w:color="auto"/>
        <w:left w:val="none" w:sz="0" w:space="0" w:color="auto"/>
        <w:bottom w:val="none" w:sz="0" w:space="0" w:color="auto"/>
        <w:right w:val="none" w:sz="0" w:space="0" w:color="auto"/>
      </w:divBdr>
    </w:div>
    <w:div w:id="608509854">
      <w:bodyDiv w:val="1"/>
      <w:marLeft w:val="0"/>
      <w:marRight w:val="0"/>
      <w:marTop w:val="0"/>
      <w:marBottom w:val="0"/>
      <w:divBdr>
        <w:top w:val="none" w:sz="0" w:space="0" w:color="auto"/>
        <w:left w:val="none" w:sz="0" w:space="0" w:color="auto"/>
        <w:bottom w:val="none" w:sz="0" w:space="0" w:color="auto"/>
        <w:right w:val="none" w:sz="0" w:space="0" w:color="auto"/>
      </w:divBdr>
    </w:div>
    <w:div w:id="609360133">
      <w:bodyDiv w:val="1"/>
      <w:marLeft w:val="0"/>
      <w:marRight w:val="0"/>
      <w:marTop w:val="0"/>
      <w:marBottom w:val="0"/>
      <w:divBdr>
        <w:top w:val="none" w:sz="0" w:space="0" w:color="auto"/>
        <w:left w:val="none" w:sz="0" w:space="0" w:color="auto"/>
        <w:bottom w:val="none" w:sz="0" w:space="0" w:color="auto"/>
        <w:right w:val="none" w:sz="0" w:space="0" w:color="auto"/>
      </w:divBdr>
    </w:div>
    <w:div w:id="609360283">
      <w:bodyDiv w:val="1"/>
      <w:marLeft w:val="0"/>
      <w:marRight w:val="0"/>
      <w:marTop w:val="0"/>
      <w:marBottom w:val="0"/>
      <w:divBdr>
        <w:top w:val="none" w:sz="0" w:space="0" w:color="auto"/>
        <w:left w:val="none" w:sz="0" w:space="0" w:color="auto"/>
        <w:bottom w:val="none" w:sz="0" w:space="0" w:color="auto"/>
        <w:right w:val="none" w:sz="0" w:space="0" w:color="auto"/>
      </w:divBdr>
    </w:div>
    <w:div w:id="609439502">
      <w:bodyDiv w:val="1"/>
      <w:marLeft w:val="0"/>
      <w:marRight w:val="0"/>
      <w:marTop w:val="0"/>
      <w:marBottom w:val="0"/>
      <w:divBdr>
        <w:top w:val="none" w:sz="0" w:space="0" w:color="auto"/>
        <w:left w:val="none" w:sz="0" w:space="0" w:color="auto"/>
        <w:bottom w:val="none" w:sz="0" w:space="0" w:color="auto"/>
        <w:right w:val="none" w:sz="0" w:space="0" w:color="auto"/>
      </w:divBdr>
    </w:div>
    <w:div w:id="609582804">
      <w:bodyDiv w:val="1"/>
      <w:marLeft w:val="0"/>
      <w:marRight w:val="0"/>
      <w:marTop w:val="0"/>
      <w:marBottom w:val="0"/>
      <w:divBdr>
        <w:top w:val="none" w:sz="0" w:space="0" w:color="auto"/>
        <w:left w:val="none" w:sz="0" w:space="0" w:color="auto"/>
        <w:bottom w:val="none" w:sz="0" w:space="0" w:color="auto"/>
        <w:right w:val="none" w:sz="0" w:space="0" w:color="auto"/>
      </w:divBdr>
    </w:div>
    <w:div w:id="609632593">
      <w:bodyDiv w:val="1"/>
      <w:marLeft w:val="0"/>
      <w:marRight w:val="0"/>
      <w:marTop w:val="0"/>
      <w:marBottom w:val="0"/>
      <w:divBdr>
        <w:top w:val="none" w:sz="0" w:space="0" w:color="auto"/>
        <w:left w:val="none" w:sz="0" w:space="0" w:color="auto"/>
        <w:bottom w:val="none" w:sz="0" w:space="0" w:color="auto"/>
        <w:right w:val="none" w:sz="0" w:space="0" w:color="auto"/>
      </w:divBdr>
    </w:div>
    <w:div w:id="609778908">
      <w:bodyDiv w:val="1"/>
      <w:marLeft w:val="0"/>
      <w:marRight w:val="0"/>
      <w:marTop w:val="0"/>
      <w:marBottom w:val="0"/>
      <w:divBdr>
        <w:top w:val="none" w:sz="0" w:space="0" w:color="auto"/>
        <w:left w:val="none" w:sz="0" w:space="0" w:color="auto"/>
        <w:bottom w:val="none" w:sz="0" w:space="0" w:color="auto"/>
        <w:right w:val="none" w:sz="0" w:space="0" w:color="auto"/>
      </w:divBdr>
    </w:div>
    <w:div w:id="610164752">
      <w:bodyDiv w:val="1"/>
      <w:marLeft w:val="0"/>
      <w:marRight w:val="0"/>
      <w:marTop w:val="0"/>
      <w:marBottom w:val="0"/>
      <w:divBdr>
        <w:top w:val="none" w:sz="0" w:space="0" w:color="auto"/>
        <w:left w:val="none" w:sz="0" w:space="0" w:color="auto"/>
        <w:bottom w:val="none" w:sz="0" w:space="0" w:color="auto"/>
        <w:right w:val="none" w:sz="0" w:space="0" w:color="auto"/>
      </w:divBdr>
    </w:div>
    <w:div w:id="610212180">
      <w:bodyDiv w:val="1"/>
      <w:marLeft w:val="0"/>
      <w:marRight w:val="0"/>
      <w:marTop w:val="0"/>
      <w:marBottom w:val="0"/>
      <w:divBdr>
        <w:top w:val="none" w:sz="0" w:space="0" w:color="auto"/>
        <w:left w:val="none" w:sz="0" w:space="0" w:color="auto"/>
        <w:bottom w:val="none" w:sz="0" w:space="0" w:color="auto"/>
        <w:right w:val="none" w:sz="0" w:space="0" w:color="auto"/>
      </w:divBdr>
    </w:div>
    <w:div w:id="610405954">
      <w:bodyDiv w:val="1"/>
      <w:marLeft w:val="0"/>
      <w:marRight w:val="0"/>
      <w:marTop w:val="0"/>
      <w:marBottom w:val="0"/>
      <w:divBdr>
        <w:top w:val="none" w:sz="0" w:space="0" w:color="auto"/>
        <w:left w:val="none" w:sz="0" w:space="0" w:color="auto"/>
        <w:bottom w:val="none" w:sz="0" w:space="0" w:color="auto"/>
        <w:right w:val="none" w:sz="0" w:space="0" w:color="auto"/>
      </w:divBdr>
    </w:div>
    <w:div w:id="610891571">
      <w:bodyDiv w:val="1"/>
      <w:marLeft w:val="0"/>
      <w:marRight w:val="0"/>
      <w:marTop w:val="0"/>
      <w:marBottom w:val="0"/>
      <w:divBdr>
        <w:top w:val="none" w:sz="0" w:space="0" w:color="auto"/>
        <w:left w:val="none" w:sz="0" w:space="0" w:color="auto"/>
        <w:bottom w:val="none" w:sz="0" w:space="0" w:color="auto"/>
        <w:right w:val="none" w:sz="0" w:space="0" w:color="auto"/>
      </w:divBdr>
    </w:div>
    <w:div w:id="611128612">
      <w:bodyDiv w:val="1"/>
      <w:marLeft w:val="0"/>
      <w:marRight w:val="0"/>
      <w:marTop w:val="0"/>
      <w:marBottom w:val="0"/>
      <w:divBdr>
        <w:top w:val="none" w:sz="0" w:space="0" w:color="auto"/>
        <w:left w:val="none" w:sz="0" w:space="0" w:color="auto"/>
        <w:bottom w:val="none" w:sz="0" w:space="0" w:color="auto"/>
        <w:right w:val="none" w:sz="0" w:space="0" w:color="auto"/>
      </w:divBdr>
    </w:div>
    <w:div w:id="611208371">
      <w:bodyDiv w:val="1"/>
      <w:marLeft w:val="0"/>
      <w:marRight w:val="0"/>
      <w:marTop w:val="0"/>
      <w:marBottom w:val="0"/>
      <w:divBdr>
        <w:top w:val="none" w:sz="0" w:space="0" w:color="auto"/>
        <w:left w:val="none" w:sz="0" w:space="0" w:color="auto"/>
        <w:bottom w:val="none" w:sz="0" w:space="0" w:color="auto"/>
        <w:right w:val="none" w:sz="0" w:space="0" w:color="auto"/>
      </w:divBdr>
    </w:div>
    <w:div w:id="611209943">
      <w:bodyDiv w:val="1"/>
      <w:marLeft w:val="0"/>
      <w:marRight w:val="0"/>
      <w:marTop w:val="0"/>
      <w:marBottom w:val="0"/>
      <w:divBdr>
        <w:top w:val="none" w:sz="0" w:space="0" w:color="auto"/>
        <w:left w:val="none" w:sz="0" w:space="0" w:color="auto"/>
        <w:bottom w:val="none" w:sz="0" w:space="0" w:color="auto"/>
        <w:right w:val="none" w:sz="0" w:space="0" w:color="auto"/>
      </w:divBdr>
    </w:div>
    <w:div w:id="611402791">
      <w:bodyDiv w:val="1"/>
      <w:marLeft w:val="0"/>
      <w:marRight w:val="0"/>
      <w:marTop w:val="0"/>
      <w:marBottom w:val="0"/>
      <w:divBdr>
        <w:top w:val="none" w:sz="0" w:space="0" w:color="auto"/>
        <w:left w:val="none" w:sz="0" w:space="0" w:color="auto"/>
        <w:bottom w:val="none" w:sz="0" w:space="0" w:color="auto"/>
        <w:right w:val="none" w:sz="0" w:space="0" w:color="auto"/>
      </w:divBdr>
    </w:div>
    <w:div w:id="611715247">
      <w:bodyDiv w:val="1"/>
      <w:marLeft w:val="0"/>
      <w:marRight w:val="0"/>
      <w:marTop w:val="0"/>
      <w:marBottom w:val="0"/>
      <w:divBdr>
        <w:top w:val="none" w:sz="0" w:space="0" w:color="auto"/>
        <w:left w:val="none" w:sz="0" w:space="0" w:color="auto"/>
        <w:bottom w:val="none" w:sz="0" w:space="0" w:color="auto"/>
        <w:right w:val="none" w:sz="0" w:space="0" w:color="auto"/>
      </w:divBdr>
    </w:div>
    <w:div w:id="611858470">
      <w:bodyDiv w:val="1"/>
      <w:marLeft w:val="0"/>
      <w:marRight w:val="0"/>
      <w:marTop w:val="0"/>
      <w:marBottom w:val="0"/>
      <w:divBdr>
        <w:top w:val="none" w:sz="0" w:space="0" w:color="auto"/>
        <w:left w:val="none" w:sz="0" w:space="0" w:color="auto"/>
        <w:bottom w:val="none" w:sz="0" w:space="0" w:color="auto"/>
        <w:right w:val="none" w:sz="0" w:space="0" w:color="auto"/>
      </w:divBdr>
    </w:div>
    <w:div w:id="612056875">
      <w:bodyDiv w:val="1"/>
      <w:marLeft w:val="0"/>
      <w:marRight w:val="0"/>
      <w:marTop w:val="0"/>
      <w:marBottom w:val="0"/>
      <w:divBdr>
        <w:top w:val="none" w:sz="0" w:space="0" w:color="auto"/>
        <w:left w:val="none" w:sz="0" w:space="0" w:color="auto"/>
        <w:bottom w:val="none" w:sz="0" w:space="0" w:color="auto"/>
        <w:right w:val="none" w:sz="0" w:space="0" w:color="auto"/>
      </w:divBdr>
    </w:div>
    <w:div w:id="612252380">
      <w:bodyDiv w:val="1"/>
      <w:marLeft w:val="0"/>
      <w:marRight w:val="0"/>
      <w:marTop w:val="0"/>
      <w:marBottom w:val="0"/>
      <w:divBdr>
        <w:top w:val="none" w:sz="0" w:space="0" w:color="auto"/>
        <w:left w:val="none" w:sz="0" w:space="0" w:color="auto"/>
        <w:bottom w:val="none" w:sz="0" w:space="0" w:color="auto"/>
        <w:right w:val="none" w:sz="0" w:space="0" w:color="auto"/>
      </w:divBdr>
    </w:div>
    <w:div w:id="612328911">
      <w:bodyDiv w:val="1"/>
      <w:marLeft w:val="0"/>
      <w:marRight w:val="0"/>
      <w:marTop w:val="0"/>
      <w:marBottom w:val="0"/>
      <w:divBdr>
        <w:top w:val="none" w:sz="0" w:space="0" w:color="auto"/>
        <w:left w:val="none" w:sz="0" w:space="0" w:color="auto"/>
        <w:bottom w:val="none" w:sz="0" w:space="0" w:color="auto"/>
        <w:right w:val="none" w:sz="0" w:space="0" w:color="auto"/>
      </w:divBdr>
    </w:div>
    <w:div w:id="612445943">
      <w:bodyDiv w:val="1"/>
      <w:marLeft w:val="0"/>
      <w:marRight w:val="0"/>
      <w:marTop w:val="0"/>
      <w:marBottom w:val="0"/>
      <w:divBdr>
        <w:top w:val="none" w:sz="0" w:space="0" w:color="auto"/>
        <w:left w:val="none" w:sz="0" w:space="0" w:color="auto"/>
        <w:bottom w:val="none" w:sz="0" w:space="0" w:color="auto"/>
        <w:right w:val="none" w:sz="0" w:space="0" w:color="auto"/>
      </w:divBdr>
    </w:div>
    <w:div w:id="612593835">
      <w:bodyDiv w:val="1"/>
      <w:marLeft w:val="0"/>
      <w:marRight w:val="0"/>
      <w:marTop w:val="0"/>
      <w:marBottom w:val="0"/>
      <w:divBdr>
        <w:top w:val="none" w:sz="0" w:space="0" w:color="auto"/>
        <w:left w:val="none" w:sz="0" w:space="0" w:color="auto"/>
        <w:bottom w:val="none" w:sz="0" w:space="0" w:color="auto"/>
        <w:right w:val="none" w:sz="0" w:space="0" w:color="auto"/>
      </w:divBdr>
    </w:div>
    <w:div w:id="612634768">
      <w:bodyDiv w:val="1"/>
      <w:marLeft w:val="0"/>
      <w:marRight w:val="0"/>
      <w:marTop w:val="0"/>
      <w:marBottom w:val="0"/>
      <w:divBdr>
        <w:top w:val="none" w:sz="0" w:space="0" w:color="auto"/>
        <w:left w:val="none" w:sz="0" w:space="0" w:color="auto"/>
        <w:bottom w:val="none" w:sz="0" w:space="0" w:color="auto"/>
        <w:right w:val="none" w:sz="0" w:space="0" w:color="auto"/>
      </w:divBdr>
    </w:div>
    <w:div w:id="613025499">
      <w:bodyDiv w:val="1"/>
      <w:marLeft w:val="0"/>
      <w:marRight w:val="0"/>
      <w:marTop w:val="0"/>
      <w:marBottom w:val="0"/>
      <w:divBdr>
        <w:top w:val="none" w:sz="0" w:space="0" w:color="auto"/>
        <w:left w:val="none" w:sz="0" w:space="0" w:color="auto"/>
        <w:bottom w:val="none" w:sz="0" w:space="0" w:color="auto"/>
        <w:right w:val="none" w:sz="0" w:space="0" w:color="auto"/>
      </w:divBdr>
    </w:div>
    <w:div w:id="613173854">
      <w:bodyDiv w:val="1"/>
      <w:marLeft w:val="0"/>
      <w:marRight w:val="0"/>
      <w:marTop w:val="0"/>
      <w:marBottom w:val="0"/>
      <w:divBdr>
        <w:top w:val="none" w:sz="0" w:space="0" w:color="auto"/>
        <w:left w:val="none" w:sz="0" w:space="0" w:color="auto"/>
        <w:bottom w:val="none" w:sz="0" w:space="0" w:color="auto"/>
        <w:right w:val="none" w:sz="0" w:space="0" w:color="auto"/>
      </w:divBdr>
    </w:div>
    <w:div w:id="613487614">
      <w:bodyDiv w:val="1"/>
      <w:marLeft w:val="0"/>
      <w:marRight w:val="0"/>
      <w:marTop w:val="0"/>
      <w:marBottom w:val="0"/>
      <w:divBdr>
        <w:top w:val="none" w:sz="0" w:space="0" w:color="auto"/>
        <w:left w:val="none" w:sz="0" w:space="0" w:color="auto"/>
        <w:bottom w:val="none" w:sz="0" w:space="0" w:color="auto"/>
        <w:right w:val="none" w:sz="0" w:space="0" w:color="auto"/>
      </w:divBdr>
    </w:div>
    <w:div w:id="613557475">
      <w:bodyDiv w:val="1"/>
      <w:marLeft w:val="0"/>
      <w:marRight w:val="0"/>
      <w:marTop w:val="0"/>
      <w:marBottom w:val="0"/>
      <w:divBdr>
        <w:top w:val="none" w:sz="0" w:space="0" w:color="auto"/>
        <w:left w:val="none" w:sz="0" w:space="0" w:color="auto"/>
        <w:bottom w:val="none" w:sz="0" w:space="0" w:color="auto"/>
        <w:right w:val="none" w:sz="0" w:space="0" w:color="auto"/>
      </w:divBdr>
    </w:div>
    <w:div w:id="613831654">
      <w:bodyDiv w:val="1"/>
      <w:marLeft w:val="0"/>
      <w:marRight w:val="0"/>
      <w:marTop w:val="0"/>
      <w:marBottom w:val="0"/>
      <w:divBdr>
        <w:top w:val="none" w:sz="0" w:space="0" w:color="auto"/>
        <w:left w:val="none" w:sz="0" w:space="0" w:color="auto"/>
        <w:bottom w:val="none" w:sz="0" w:space="0" w:color="auto"/>
        <w:right w:val="none" w:sz="0" w:space="0" w:color="auto"/>
      </w:divBdr>
    </w:div>
    <w:div w:id="614100927">
      <w:bodyDiv w:val="1"/>
      <w:marLeft w:val="0"/>
      <w:marRight w:val="0"/>
      <w:marTop w:val="0"/>
      <w:marBottom w:val="0"/>
      <w:divBdr>
        <w:top w:val="none" w:sz="0" w:space="0" w:color="auto"/>
        <w:left w:val="none" w:sz="0" w:space="0" w:color="auto"/>
        <w:bottom w:val="none" w:sz="0" w:space="0" w:color="auto"/>
        <w:right w:val="none" w:sz="0" w:space="0" w:color="auto"/>
      </w:divBdr>
    </w:div>
    <w:div w:id="614679009">
      <w:bodyDiv w:val="1"/>
      <w:marLeft w:val="0"/>
      <w:marRight w:val="0"/>
      <w:marTop w:val="0"/>
      <w:marBottom w:val="0"/>
      <w:divBdr>
        <w:top w:val="none" w:sz="0" w:space="0" w:color="auto"/>
        <w:left w:val="none" w:sz="0" w:space="0" w:color="auto"/>
        <w:bottom w:val="none" w:sz="0" w:space="0" w:color="auto"/>
        <w:right w:val="none" w:sz="0" w:space="0" w:color="auto"/>
      </w:divBdr>
    </w:div>
    <w:div w:id="615254422">
      <w:bodyDiv w:val="1"/>
      <w:marLeft w:val="0"/>
      <w:marRight w:val="0"/>
      <w:marTop w:val="0"/>
      <w:marBottom w:val="0"/>
      <w:divBdr>
        <w:top w:val="none" w:sz="0" w:space="0" w:color="auto"/>
        <w:left w:val="none" w:sz="0" w:space="0" w:color="auto"/>
        <w:bottom w:val="none" w:sz="0" w:space="0" w:color="auto"/>
        <w:right w:val="none" w:sz="0" w:space="0" w:color="auto"/>
      </w:divBdr>
    </w:div>
    <w:div w:id="615481002">
      <w:bodyDiv w:val="1"/>
      <w:marLeft w:val="0"/>
      <w:marRight w:val="0"/>
      <w:marTop w:val="0"/>
      <w:marBottom w:val="0"/>
      <w:divBdr>
        <w:top w:val="none" w:sz="0" w:space="0" w:color="auto"/>
        <w:left w:val="none" w:sz="0" w:space="0" w:color="auto"/>
        <w:bottom w:val="none" w:sz="0" w:space="0" w:color="auto"/>
        <w:right w:val="none" w:sz="0" w:space="0" w:color="auto"/>
      </w:divBdr>
    </w:div>
    <w:div w:id="615865759">
      <w:bodyDiv w:val="1"/>
      <w:marLeft w:val="0"/>
      <w:marRight w:val="0"/>
      <w:marTop w:val="0"/>
      <w:marBottom w:val="0"/>
      <w:divBdr>
        <w:top w:val="none" w:sz="0" w:space="0" w:color="auto"/>
        <w:left w:val="none" w:sz="0" w:space="0" w:color="auto"/>
        <w:bottom w:val="none" w:sz="0" w:space="0" w:color="auto"/>
        <w:right w:val="none" w:sz="0" w:space="0" w:color="auto"/>
      </w:divBdr>
    </w:div>
    <w:div w:id="616062367">
      <w:bodyDiv w:val="1"/>
      <w:marLeft w:val="0"/>
      <w:marRight w:val="0"/>
      <w:marTop w:val="0"/>
      <w:marBottom w:val="0"/>
      <w:divBdr>
        <w:top w:val="none" w:sz="0" w:space="0" w:color="auto"/>
        <w:left w:val="none" w:sz="0" w:space="0" w:color="auto"/>
        <w:bottom w:val="none" w:sz="0" w:space="0" w:color="auto"/>
        <w:right w:val="none" w:sz="0" w:space="0" w:color="auto"/>
      </w:divBdr>
    </w:div>
    <w:div w:id="616647750">
      <w:bodyDiv w:val="1"/>
      <w:marLeft w:val="0"/>
      <w:marRight w:val="0"/>
      <w:marTop w:val="0"/>
      <w:marBottom w:val="0"/>
      <w:divBdr>
        <w:top w:val="none" w:sz="0" w:space="0" w:color="auto"/>
        <w:left w:val="none" w:sz="0" w:space="0" w:color="auto"/>
        <w:bottom w:val="none" w:sz="0" w:space="0" w:color="auto"/>
        <w:right w:val="none" w:sz="0" w:space="0" w:color="auto"/>
      </w:divBdr>
    </w:div>
    <w:div w:id="616760663">
      <w:bodyDiv w:val="1"/>
      <w:marLeft w:val="0"/>
      <w:marRight w:val="0"/>
      <w:marTop w:val="0"/>
      <w:marBottom w:val="0"/>
      <w:divBdr>
        <w:top w:val="none" w:sz="0" w:space="0" w:color="auto"/>
        <w:left w:val="none" w:sz="0" w:space="0" w:color="auto"/>
        <w:bottom w:val="none" w:sz="0" w:space="0" w:color="auto"/>
        <w:right w:val="none" w:sz="0" w:space="0" w:color="auto"/>
      </w:divBdr>
    </w:div>
    <w:div w:id="616914791">
      <w:bodyDiv w:val="1"/>
      <w:marLeft w:val="0"/>
      <w:marRight w:val="0"/>
      <w:marTop w:val="0"/>
      <w:marBottom w:val="0"/>
      <w:divBdr>
        <w:top w:val="none" w:sz="0" w:space="0" w:color="auto"/>
        <w:left w:val="none" w:sz="0" w:space="0" w:color="auto"/>
        <w:bottom w:val="none" w:sz="0" w:space="0" w:color="auto"/>
        <w:right w:val="none" w:sz="0" w:space="0" w:color="auto"/>
      </w:divBdr>
    </w:div>
    <w:div w:id="617838043">
      <w:bodyDiv w:val="1"/>
      <w:marLeft w:val="0"/>
      <w:marRight w:val="0"/>
      <w:marTop w:val="0"/>
      <w:marBottom w:val="0"/>
      <w:divBdr>
        <w:top w:val="none" w:sz="0" w:space="0" w:color="auto"/>
        <w:left w:val="none" w:sz="0" w:space="0" w:color="auto"/>
        <w:bottom w:val="none" w:sz="0" w:space="0" w:color="auto"/>
        <w:right w:val="none" w:sz="0" w:space="0" w:color="auto"/>
      </w:divBdr>
    </w:div>
    <w:div w:id="618341610">
      <w:bodyDiv w:val="1"/>
      <w:marLeft w:val="0"/>
      <w:marRight w:val="0"/>
      <w:marTop w:val="0"/>
      <w:marBottom w:val="0"/>
      <w:divBdr>
        <w:top w:val="none" w:sz="0" w:space="0" w:color="auto"/>
        <w:left w:val="none" w:sz="0" w:space="0" w:color="auto"/>
        <w:bottom w:val="none" w:sz="0" w:space="0" w:color="auto"/>
        <w:right w:val="none" w:sz="0" w:space="0" w:color="auto"/>
      </w:divBdr>
    </w:div>
    <w:div w:id="618607638">
      <w:bodyDiv w:val="1"/>
      <w:marLeft w:val="0"/>
      <w:marRight w:val="0"/>
      <w:marTop w:val="0"/>
      <w:marBottom w:val="0"/>
      <w:divBdr>
        <w:top w:val="none" w:sz="0" w:space="0" w:color="auto"/>
        <w:left w:val="none" w:sz="0" w:space="0" w:color="auto"/>
        <w:bottom w:val="none" w:sz="0" w:space="0" w:color="auto"/>
        <w:right w:val="none" w:sz="0" w:space="0" w:color="auto"/>
      </w:divBdr>
    </w:div>
    <w:div w:id="618874019">
      <w:bodyDiv w:val="1"/>
      <w:marLeft w:val="0"/>
      <w:marRight w:val="0"/>
      <w:marTop w:val="0"/>
      <w:marBottom w:val="0"/>
      <w:divBdr>
        <w:top w:val="none" w:sz="0" w:space="0" w:color="auto"/>
        <w:left w:val="none" w:sz="0" w:space="0" w:color="auto"/>
        <w:bottom w:val="none" w:sz="0" w:space="0" w:color="auto"/>
        <w:right w:val="none" w:sz="0" w:space="0" w:color="auto"/>
      </w:divBdr>
    </w:div>
    <w:div w:id="618998945">
      <w:bodyDiv w:val="1"/>
      <w:marLeft w:val="0"/>
      <w:marRight w:val="0"/>
      <w:marTop w:val="0"/>
      <w:marBottom w:val="0"/>
      <w:divBdr>
        <w:top w:val="none" w:sz="0" w:space="0" w:color="auto"/>
        <w:left w:val="none" w:sz="0" w:space="0" w:color="auto"/>
        <w:bottom w:val="none" w:sz="0" w:space="0" w:color="auto"/>
        <w:right w:val="none" w:sz="0" w:space="0" w:color="auto"/>
      </w:divBdr>
    </w:div>
    <w:div w:id="619145600">
      <w:bodyDiv w:val="1"/>
      <w:marLeft w:val="0"/>
      <w:marRight w:val="0"/>
      <w:marTop w:val="0"/>
      <w:marBottom w:val="0"/>
      <w:divBdr>
        <w:top w:val="none" w:sz="0" w:space="0" w:color="auto"/>
        <w:left w:val="none" w:sz="0" w:space="0" w:color="auto"/>
        <w:bottom w:val="none" w:sz="0" w:space="0" w:color="auto"/>
        <w:right w:val="none" w:sz="0" w:space="0" w:color="auto"/>
      </w:divBdr>
    </w:div>
    <w:div w:id="619380942">
      <w:bodyDiv w:val="1"/>
      <w:marLeft w:val="0"/>
      <w:marRight w:val="0"/>
      <w:marTop w:val="0"/>
      <w:marBottom w:val="0"/>
      <w:divBdr>
        <w:top w:val="none" w:sz="0" w:space="0" w:color="auto"/>
        <w:left w:val="none" w:sz="0" w:space="0" w:color="auto"/>
        <w:bottom w:val="none" w:sz="0" w:space="0" w:color="auto"/>
        <w:right w:val="none" w:sz="0" w:space="0" w:color="auto"/>
      </w:divBdr>
    </w:div>
    <w:div w:id="619914693">
      <w:bodyDiv w:val="1"/>
      <w:marLeft w:val="0"/>
      <w:marRight w:val="0"/>
      <w:marTop w:val="0"/>
      <w:marBottom w:val="0"/>
      <w:divBdr>
        <w:top w:val="none" w:sz="0" w:space="0" w:color="auto"/>
        <w:left w:val="none" w:sz="0" w:space="0" w:color="auto"/>
        <w:bottom w:val="none" w:sz="0" w:space="0" w:color="auto"/>
        <w:right w:val="none" w:sz="0" w:space="0" w:color="auto"/>
      </w:divBdr>
    </w:div>
    <w:div w:id="620307823">
      <w:bodyDiv w:val="1"/>
      <w:marLeft w:val="0"/>
      <w:marRight w:val="0"/>
      <w:marTop w:val="0"/>
      <w:marBottom w:val="0"/>
      <w:divBdr>
        <w:top w:val="none" w:sz="0" w:space="0" w:color="auto"/>
        <w:left w:val="none" w:sz="0" w:space="0" w:color="auto"/>
        <w:bottom w:val="none" w:sz="0" w:space="0" w:color="auto"/>
        <w:right w:val="none" w:sz="0" w:space="0" w:color="auto"/>
      </w:divBdr>
    </w:div>
    <w:div w:id="620963630">
      <w:bodyDiv w:val="1"/>
      <w:marLeft w:val="0"/>
      <w:marRight w:val="0"/>
      <w:marTop w:val="0"/>
      <w:marBottom w:val="0"/>
      <w:divBdr>
        <w:top w:val="none" w:sz="0" w:space="0" w:color="auto"/>
        <w:left w:val="none" w:sz="0" w:space="0" w:color="auto"/>
        <w:bottom w:val="none" w:sz="0" w:space="0" w:color="auto"/>
        <w:right w:val="none" w:sz="0" w:space="0" w:color="auto"/>
      </w:divBdr>
    </w:div>
    <w:div w:id="621611881">
      <w:bodyDiv w:val="1"/>
      <w:marLeft w:val="0"/>
      <w:marRight w:val="0"/>
      <w:marTop w:val="0"/>
      <w:marBottom w:val="0"/>
      <w:divBdr>
        <w:top w:val="none" w:sz="0" w:space="0" w:color="auto"/>
        <w:left w:val="none" w:sz="0" w:space="0" w:color="auto"/>
        <w:bottom w:val="none" w:sz="0" w:space="0" w:color="auto"/>
        <w:right w:val="none" w:sz="0" w:space="0" w:color="auto"/>
      </w:divBdr>
    </w:div>
    <w:div w:id="621809147">
      <w:bodyDiv w:val="1"/>
      <w:marLeft w:val="0"/>
      <w:marRight w:val="0"/>
      <w:marTop w:val="0"/>
      <w:marBottom w:val="0"/>
      <w:divBdr>
        <w:top w:val="none" w:sz="0" w:space="0" w:color="auto"/>
        <w:left w:val="none" w:sz="0" w:space="0" w:color="auto"/>
        <w:bottom w:val="none" w:sz="0" w:space="0" w:color="auto"/>
        <w:right w:val="none" w:sz="0" w:space="0" w:color="auto"/>
      </w:divBdr>
    </w:div>
    <w:div w:id="622225427">
      <w:bodyDiv w:val="1"/>
      <w:marLeft w:val="0"/>
      <w:marRight w:val="0"/>
      <w:marTop w:val="0"/>
      <w:marBottom w:val="0"/>
      <w:divBdr>
        <w:top w:val="none" w:sz="0" w:space="0" w:color="auto"/>
        <w:left w:val="none" w:sz="0" w:space="0" w:color="auto"/>
        <w:bottom w:val="none" w:sz="0" w:space="0" w:color="auto"/>
        <w:right w:val="none" w:sz="0" w:space="0" w:color="auto"/>
      </w:divBdr>
    </w:div>
    <w:div w:id="622923968">
      <w:bodyDiv w:val="1"/>
      <w:marLeft w:val="0"/>
      <w:marRight w:val="0"/>
      <w:marTop w:val="0"/>
      <w:marBottom w:val="0"/>
      <w:divBdr>
        <w:top w:val="none" w:sz="0" w:space="0" w:color="auto"/>
        <w:left w:val="none" w:sz="0" w:space="0" w:color="auto"/>
        <w:bottom w:val="none" w:sz="0" w:space="0" w:color="auto"/>
        <w:right w:val="none" w:sz="0" w:space="0" w:color="auto"/>
      </w:divBdr>
    </w:div>
    <w:div w:id="623007167">
      <w:bodyDiv w:val="1"/>
      <w:marLeft w:val="0"/>
      <w:marRight w:val="0"/>
      <w:marTop w:val="0"/>
      <w:marBottom w:val="0"/>
      <w:divBdr>
        <w:top w:val="none" w:sz="0" w:space="0" w:color="auto"/>
        <w:left w:val="none" w:sz="0" w:space="0" w:color="auto"/>
        <w:bottom w:val="none" w:sz="0" w:space="0" w:color="auto"/>
        <w:right w:val="none" w:sz="0" w:space="0" w:color="auto"/>
      </w:divBdr>
    </w:div>
    <w:div w:id="623119973">
      <w:bodyDiv w:val="1"/>
      <w:marLeft w:val="0"/>
      <w:marRight w:val="0"/>
      <w:marTop w:val="0"/>
      <w:marBottom w:val="0"/>
      <w:divBdr>
        <w:top w:val="none" w:sz="0" w:space="0" w:color="auto"/>
        <w:left w:val="none" w:sz="0" w:space="0" w:color="auto"/>
        <w:bottom w:val="none" w:sz="0" w:space="0" w:color="auto"/>
        <w:right w:val="none" w:sz="0" w:space="0" w:color="auto"/>
      </w:divBdr>
    </w:div>
    <w:div w:id="623729195">
      <w:bodyDiv w:val="1"/>
      <w:marLeft w:val="0"/>
      <w:marRight w:val="0"/>
      <w:marTop w:val="0"/>
      <w:marBottom w:val="0"/>
      <w:divBdr>
        <w:top w:val="none" w:sz="0" w:space="0" w:color="auto"/>
        <w:left w:val="none" w:sz="0" w:space="0" w:color="auto"/>
        <w:bottom w:val="none" w:sz="0" w:space="0" w:color="auto"/>
        <w:right w:val="none" w:sz="0" w:space="0" w:color="auto"/>
      </w:divBdr>
    </w:div>
    <w:div w:id="623777026">
      <w:bodyDiv w:val="1"/>
      <w:marLeft w:val="0"/>
      <w:marRight w:val="0"/>
      <w:marTop w:val="0"/>
      <w:marBottom w:val="0"/>
      <w:divBdr>
        <w:top w:val="none" w:sz="0" w:space="0" w:color="auto"/>
        <w:left w:val="none" w:sz="0" w:space="0" w:color="auto"/>
        <w:bottom w:val="none" w:sz="0" w:space="0" w:color="auto"/>
        <w:right w:val="none" w:sz="0" w:space="0" w:color="auto"/>
      </w:divBdr>
    </w:div>
    <w:div w:id="623847915">
      <w:bodyDiv w:val="1"/>
      <w:marLeft w:val="0"/>
      <w:marRight w:val="0"/>
      <w:marTop w:val="0"/>
      <w:marBottom w:val="0"/>
      <w:divBdr>
        <w:top w:val="none" w:sz="0" w:space="0" w:color="auto"/>
        <w:left w:val="none" w:sz="0" w:space="0" w:color="auto"/>
        <w:bottom w:val="none" w:sz="0" w:space="0" w:color="auto"/>
        <w:right w:val="none" w:sz="0" w:space="0" w:color="auto"/>
      </w:divBdr>
    </w:div>
    <w:div w:id="624040865">
      <w:bodyDiv w:val="1"/>
      <w:marLeft w:val="0"/>
      <w:marRight w:val="0"/>
      <w:marTop w:val="0"/>
      <w:marBottom w:val="0"/>
      <w:divBdr>
        <w:top w:val="none" w:sz="0" w:space="0" w:color="auto"/>
        <w:left w:val="none" w:sz="0" w:space="0" w:color="auto"/>
        <w:bottom w:val="none" w:sz="0" w:space="0" w:color="auto"/>
        <w:right w:val="none" w:sz="0" w:space="0" w:color="auto"/>
      </w:divBdr>
    </w:div>
    <w:div w:id="624044242">
      <w:bodyDiv w:val="1"/>
      <w:marLeft w:val="0"/>
      <w:marRight w:val="0"/>
      <w:marTop w:val="0"/>
      <w:marBottom w:val="0"/>
      <w:divBdr>
        <w:top w:val="none" w:sz="0" w:space="0" w:color="auto"/>
        <w:left w:val="none" w:sz="0" w:space="0" w:color="auto"/>
        <w:bottom w:val="none" w:sz="0" w:space="0" w:color="auto"/>
        <w:right w:val="none" w:sz="0" w:space="0" w:color="auto"/>
      </w:divBdr>
    </w:div>
    <w:div w:id="624118064">
      <w:bodyDiv w:val="1"/>
      <w:marLeft w:val="0"/>
      <w:marRight w:val="0"/>
      <w:marTop w:val="0"/>
      <w:marBottom w:val="0"/>
      <w:divBdr>
        <w:top w:val="none" w:sz="0" w:space="0" w:color="auto"/>
        <w:left w:val="none" w:sz="0" w:space="0" w:color="auto"/>
        <w:bottom w:val="none" w:sz="0" w:space="0" w:color="auto"/>
        <w:right w:val="none" w:sz="0" w:space="0" w:color="auto"/>
      </w:divBdr>
    </w:div>
    <w:div w:id="624893654">
      <w:bodyDiv w:val="1"/>
      <w:marLeft w:val="0"/>
      <w:marRight w:val="0"/>
      <w:marTop w:val="0"/>
      <w:marBottom w:val="0"/>
      <w:divBdr>
        <w:top w:val="none" w:sz="0" w:space="0" w:color="auto"/>
        <w:left w:val="none" w:sz="0" w:space="0" w:color="auto"/>
        <w:bottom w:val="none" w:sz="0" w:space="0" w:color="auto"/>
        <w:right w:val="none" w:sz="0" w:space="0" w:color="auto"/>
      </w:divBdr>
    </w:div>
    <w:div w:id="625082741">
      <w:bodyDiv w:val="1"/>
      <w:marLeft w:val="0"/>
      <w:marRight w:val="0"/>
      <w:marTop w:val="0"/>
      <w:marBottom w:val="0"/>
      <w:divBdr>
        <w:top w:val="none" w:sz="0" w:space="0" w:color="auto"/>
        <w:left w:val="none" w:sz="0" w:space="0" w:color="auto"/>
        <w:bottom w:val="none" w:sz="0" w:space="0" w:color="auto"/>
        <w:right w:val="none" w:sz="0" w:space="0" w:color="auto"/>
      </w:divBdr>
    </w:div>
    <w:div w:id="625282268">
      <w:bodyDiv w:val="1"/>
      <w:marLeft w:val="0"/>
      <w:marRight w:val="0"/>
      <w:marTop w:val="0"/>
      <w:marBottom w:val="0"/>
      <w:divBdr>
        <w:top w:val="none" w:sz="0" w:space="0" w:color="auto"/>
        <w:left w:val="none" w:sz="0" w:space="0" w:color="auto"/>
        <w:bottom w:val="none" w:sz="0" w:space="0" w:color="auto"/>
        <w:right w:val="none" w:sz="0" w:space="0" w:color="auto"/>
      </w:divBdr>
    </w:div>
    <w:div w:id="625546274">
      <w:bodyDiv w:val="1"/>
      <w:marLeft w:val="0"/>
      <w:marRight w:val="0"/>
      <w:marTop w:val="0"/>
      <w:marBottom w:val="0"/>
      <w:divBdr>
        <w:top w:val="none" w:sz="0" w:space="0" w:color="auto"/>
        <w:left w:val="none" w:sz="0" w:space="0" w:color="auto"/>
        <w:bottom w:val="none" w:sz="0" w:space="0" w:color="auto"/>
        <w:right w:val="none" w:sz="0" w:space="0" w:color="auto"/>
      </w:divBdr>
    </w:div>
    <w:div w:id="625550118">
      <w:bodyDiv w:val="1"/>
      <w:marLeft w:val="0"/>
      <w:marRight w:val="0"/>
      <w:marTop w:val="0"/>
      <w:marBottom w:val="0"/>
      <w:divBdr>
        <w:top w:val="none" w:sz="0" w:space="0" w:color="auto"/>
        <w:left w:val="none" w:sz="0" w:space="0" w:color="auto"/>
        <w:bottom w:val="none" w:sz="0" w:space="0" w:color="auto"/>
        <w:right w:val="none" w:sz="0" w:space="0" w:color="auto"/>
      </w:divBdr>
    </w:div>
    <w:div w:id="625938101">
      <w:bodyDiv w:val="1"/>
      <w:marLeft w:val="0"/>
      <w:marRight w:val="0"/>
      <w:marTop w:val="0"/>
      <w:marBottom w:val="0"/>
      <w:divBdr>
        <w:top w:val="none" w:sz="0" w:space="0" w:color="auto"/>
        <w:left w:val="none" w:sz="0" w:space="0" w:color="auto"/>
        <w:bottom w:val="none" w:sz="0" w:space="0" w:color="auto"/>
        <w:right w:val="none" w:sz="0" w:space="0" w:color="auto"/>
      </w:divBdr>
    </w:div>
    <w:div w:id="625938419">
      <w:bodyDiv w:val="1"/>
      <w:marLeft w:val="0"/>
      <w:marRight w:val="0"/>
      <w:marTop w:val="0"/>
      <w:marBottom w:val="0"/>
      <w:divBdr>
        <w:top w:val="none" w:sz="0" w:space="0" w:color="auto"/>
        <w:left w:val="none" w:sz="0" w:space="0" w:color="auto"/>
        <w:bottom w:val="none" w:sz="0" w:space="0" w:color="auto"/>
        <w:right w:val="none" w:sz="0" w:space="0" w:color="auto"/>
      </w:divBdr>
    </w:div>
    <w:div w:id="626131114">
      <w:bodyDiv w:val="1"/>
      <w:marLeft w:val="0"/>
      <w:marRight w:val="0"/>
      <w:marTop w:val="0"/>
      <w:marBottom w:val="0"/>
      <w:divBdr>
        <w:top w:val="none" w:sz="0" w:space="0" w:color="auto"/>
        <w:left w:val="none" w:sz="0" w:space="0" w:color="auto"/>
        <w:bottom w:val="none" w:sz="0" w:space="0" w:color="auto"/>
        <w:right w:val="none" w:sz="0" w:space="0" w:color="auto"/>
      </w:divBdr>
    </w:div>
    <w:div w:id="626157055">
      <w:bodyDiv w:val="1"/>
      <w:marLeft w:val="0"/>
      <w:marRight w:val="0"/>
      <w:marTop w:val="0"/>
      <w:marBottom w:val="0"/>
      <w:divBdr>
        <w:top w:val="none" w:sz="0" w:space="0" w:color="auto"/>
        <w:left w:val="none" w:sz="0" w:space="0" w:color="auto"/>
        <w:bottom w:val="none" w:sz="0" w:space="0" w:color="auto"/>
        <w:right w:val="none" w:sz="0" w:space="0" w:color="auto"/>
      </w:divBdr>
    </w:div>
    <w:div w:id="626278198">
      <w:bodyDiv w:val="1"/>
      <w:marLeft w:val="0"/>
      <w:marRight w:val="0"/>
      <w:marTop w:val="0"/>
      <w:marBottom w:val="0"/>
      <w:divBdr>
        <w:top w:val="none" w:sz="0" w:space="0" w:color="auto"/>
        <w:left w:val="none" w:sz="0" w:space="0" w:color="auto"/>
        <w:bottom w:val="none" w:sz="0" w:space="0" w:color="auto"/>
        <w:right w:val="none" w:sz="0" w:space="0" w:color="auto"/>
      </w:divBdr>
    </w:div>
    <w:div w:id="626395078">
      <w:bodyDiv w:val="1"/>
      <w:marLeft w:val="0"/>
      <w:marRight w:val="0"/>
      <w:marTop w:val="0"/>
      <w:marBottom w:val="0"/>
      <w:divBdr>
        <w:top w:val="none" w:sz="0" w:space="0" w:color="auto"/>
        <w:left w:val="none" w:sz="0" w:space="0" w:color="auto"/>
        <w:bottom w:val="none" w:sz="0" w:space="0" w:color="auto"/>
        <w:right w:val="none" w:sz="0" w:space="0" w:color="auto"/>
      </w:divBdr>
    </w:div>
    <w:div w:id="626854953">
      <w:bodyDiv w:val="1"/>
      <w:marLeft w:val="0"/>
      <w:marRight w:val="0"/>
      <w:marTop w:val="0"/>
      <w:marBottom w:val="0"/>
      <w:divBdr>
        <w:top w:val="none" w:sz="0" w:space="0" w:color="auto"/>
        <w:left w:val="none" w:sz="0" w:space="0" w:color="auto"/>
        <w:bottom w:val="none" w:sz="0" w:space="0" w:color="auto"/>
        <w:right w:val="none" w:sz="0" w:space="0" w:color="auto"/>
      </w:divBdr>
    </w:div>
    <w:div w:id="626932535">
      <w:bodyDiv w:val="1"/>
      <w:marLeft w:val="0"/>
      <w:marRight w:val="0"/>
      <w:marTop w:val="0"/>
      <w:marBottom w:val="0"/>
      <w:divBdr>
        <w:top w:val="none" w:sz="0" w:space="0" w:color="auto"/>
        <w:left w:val="none" w:sz="0" w:space="0" w:color="auto"/>
        <w:bottom w:val="none" w:sz="0" w:space="0" w:color="auto"/>
        <w:right w:val="none" w:sz="0" w:space="0" w:color="auto"/>
      </w:divBdr>
    </w:div>
    <w:div w:id="627080836">
      <w:bodyDiv w:val="1"/>
      <w:marLeft w:val="0"/>
      <w:marRight w:val="0"/>
      <w:marTop w:val="0"/>
      <w:marBottom w:val="0"/>
      <w:divBdr>
        <w:top w:val="none" w:sz="0" w:space="0" w:color="auto"/>
        <w:left w:val="none" w:sz="0" w:space="0" w:color="auto"/>
        <w:bottom w:val="none" w:sz="0" w:space="0" w:color="auto"/>
        <w:right w:val="none" w:sz="0" w:space="0" w:color="auto"/>
      </w:divBdr>
    </w:div>
    <w:div w:id="627319255">
      <w:bodyDiv w:val="1"/>
      <w:marLeft w:val="0"/>
      <w:marRight w:val="0"/>
      <w:marTop w:val="0"/>
      <w:marBottom w:val="0"/>
      <w:divBdr>
        <w:top w:val="none" w:sz="0" w:space="0" w:color="auto"/>
        <w:left w:val="none" w:sz="0" w:space="0" w:color="auto"/>
        <w:bottom w:val="none" w:sz="0" w:space="0" w:color="auto"/>
        <w:right w:val="none" w:sz="0" w:space="0" w:color="auto"/>
      </w:divBdr>
    </w:div>
    <w:div w:id="627709948">
      <w:bodyDiv w:val="1"/>
      <w:marLeft w:val="0"/>
      <w:marRight w:val="0"/>
      <w:marTop w:val="0"/>
      <w:marBottom w:val="0"/>
      <w:divBdr>
        <w:top w:val="none" w:sz="0" w:space="0" w:color="auto"/>
        <w:left w:val="none" w:sz="0" w:space="0" w:color="auto"/>
        <w:bottom w:val="none" w:sz="0" w:space="0" w:color="auto"/>
        <w:right w:val="none" w:sz="0" w:space="0" w:color="auto"/>
      </w:divBdr>
    </w:div>
    <w:div w:id="627779144">
      <w:bodyDiv w:val="1"/>
      <w:marLeft w:val="0"/>
      <w:marRight w:val="0"/>
      <w:marTop w:val="0"/>
      <w:marBottom w:val="0"/>
      <w:divBdr>
        <w:top w:val="none" w:sz="0" w:space="0" w:color="auto"/>
        <w:left w:val="none" w:sz="0" w:space="0" w:color="auto"/>
        <w:bottom w:val="none" w:sz="0" w:space="0" w:color="auto"/>
        <w:right w:val="none" w:sz="0" w:space="0" w:color="auto"/>
      </w:divBdr>
    </w:div>
    <w:div w:id="627781609">
      <w:bodyDiv w:val="1"/>
      <w:marLeft w:val="0"/>
      <w:marRight w:val="0"/>
      <w:marTop w:val="0"/>
      <w:marBottom w:val="0"/>
      <w:divBdr>
        <w:top w:val="none" w:sz="0" w:space="0" w:color="auto"/>
        <w:left w:val="none" w:sz="0" w:space="0" w:color="auto"/>
        <w:bottom w:val="none" w:sz="0" w:space="0" w:color="auto"/>
        <w:right w:val="none" w:sz="0" w:space="0" w:color="auto"/>
      </w:divBdr>
    </w:div>
    <w:div w:id="627973970">
      <w:bodyDiv w:val="1"/>
      <w:marLeft w:val="0"/>
      <w:marRight w:val="0"/>
      <w:marTop w:val="0"/>
      <w:marBottom w:val="0"/>
      <w:divBdr>
        <w:top w:val="none" w:sz="0" w:space="0" w:color="auto"/>
        <w:left w:val="none" w:sz="0" w:space="0" w:color="auto"/>
        <w:bottom w:val="none" w:sz="0" w:space="0" w:color="auto"/>
        <w:right w:val="none" w:sz="0" w:space="0" w:color="auto"/>
      </w:divBdr>
    </w:div>
    <w:div w:id="629475299">
      <w:bodyDiv w:val="1"/>
      <w:marLeft w:val="0"/>
      <w:marRight w:val="0"/>
      <w:marTop w:val="0"/>
      <w:marBottom w:val="0"/>
      <w:divBdr>
        <w:top w:val="none" w:sz="0" w:space="0" w:color="auto"/>
        <w:left w:val="none" w:sz="0" w:space="0" w:color="auto"/>
        <w:bottom w:val="none" w:sz="0" w:space="0" w:color="auto"/>
        <w:right w:val="none" w:sz="0" w:space="0" w:color="auto"/>
      </w:divBdr>
    </w:div>
    <w:div w:id="629946463">
      <w:bodyDiv w:val="1"/>
      <w:marLeft w:val="0"/>
      <w:marRight w:val="0"/>
      <w:marTop w:val="0"/>
      <w:marBottom w:val="0"/>
      <w:divBdr>
        <w:top w:val="none" w:sz="0" w:space="0" w:color="auto"/>
        <w:left w:val="none" w:sz="0" w:space="0" w:color="auto"/>
        <w:bottom w:val="none" w:sz="0" w:space="0" w:color="auto"/>
        <w:right w:val="none" w:sz="0" w:space="0" w:color="auto"/>
      </w:divBdr>
    </w:div>
    <w:div w:id="630017500">
      <w:bodyDiv w:val="1"/>
      <w:marLeft w:val="0"/>
      <w:marRight w:val="0"/>
      <w:marTop w:val="0"/>
      <w:marBottom w:val="0"/>
      <w:divBdr>
        <w:top w:val="none" w:sz="0" w:space="0" w:color="auto"/>
        <w:left w:val="none" w:sz="0" w:space="0" w:color="auto"/>
        <w:bottom w:val="none" w:sz="0" w:space="0" w:color="auto"/>
        <w:right w:val="none" w:sz="0" w:space="0" w:color="auto"/>
      </w:divBdr>
    </w:div>
    <w:div w:id="630523590">
      <w:bodyDiv w:val="1"/>
      <w:marLeft w:val="0"/>
      <w:marRight w:val="0"/>
      <w:marTop w:val="0"/>
      <w:marBottom w:val="0"/>
      <w:divBdr>
        <w:top w:val="none" w:sz="0" w:space="0" w:color="auto"/>
        <w:left w:val="none" w:sz="0" w:space="0" w:color="auto"/>
        <w:bottom w:val="none" w:sz="0" w:space="0" w:color="auto"/>
        <w:right w:val="none" w:sz="0" w:space="0" w:color="auto"/>
      </w:divBdr>
    </w:div>
    <w:div w:id="630524047">
      <w:bodyDiv w:val="1"/>
      <w:marLeft w:val="0"/>
      <w:marRight w:val="0"/>
      <w:marTop w:val="0"/>
      <w:marBottom w:val="0"/>
      <w:divBdr>
        <w:top w:val="none" w:sz="0" w:space="0" w:color="auto"/>
        <w:left w:val="none" w:sz="0" w:space="0" w:color="auto"/>
        <w:bottom w:val="none" w:sz="0" w:space="0" w:color="auto"/>
        <w:right w:val="none" w:sz="0" w:space="0" w:color="auto"/>
      </w:divBdr>
    </w:div>
    <w:div w:id="631136586">
      <w:bodyDiv w:val="1"/>
      <w:marLeft w:val="0"/>
      <w:marRight w:val="0"/>
      <w:marTop w:val="0"/>
      <w:marBottom w:val="0"/>
      <w:divBdr>
        <w:top w:val="none" w:sz="0" w:space="0" w:color="auto"/>
        <w:left w:val="none" w:sz="0" w:space="0" w:color="auto"/>
        <w:bottom w:val="none" w:sz="0" w:space="0" w:color="auto"/>
        <w:right w:val="none" w:sz="0" w:space="0" w:color="auto"/>
      </w:divBdr>
    </w:div>
    <w:div w:id="631327331">
      <w:bodyDiv w:val="1"/>
      <w:marLeft w:val="0"/>
      <w:marRight w:val="0"/>
      <w:marTop w:val="0"/>
      <w:marBottom w:val="0"/>
      <w:divBdr>
        <w:top w:val="none" w:sz="0" w:space="0" w:color="auto"/>
        <w:left w:val="none" w:sz="0" w:space="0" w:color="auto"/>
        <w:bottom w:val="none" w:sz="0" w:space="0" w:color="auto"/>
        <w:right w:val="none" w:sz="0" w:space="0" w:color="auto"/>
      </w:divBdr>
    </w:div>
    <w:div w:id="631329926">
      <w:bodyDiv w:val="1"/>
      <w:marLeft w:val="0"/>
      <w:marRight w:val="0"/>
      <w:marTop w:val="0"/>
      <w:marBottom w:val="0"/>
      <w:divBdr>
        <w:top w:val="none" w:sz="0" w:space="0" w:color="auto"/>
        <w:left w:val="none" w:sz="0" w:space="0" w:color="auto"/>
        <w:bottom w:val="none" w:sz="0" w:space="0" w:color="auto"/>
        <w:right w:val="none" w:sz="0" w:space="0" w:color="auto"/>
      </w:divBdr>
    </w:div>
    <w:div w:id="631641344">
      <w:bodyDiv w:val="1"/>
      <w:marLeft w:val="0"/>
      <w:marRight w:val="0"/>
      <w:marTop w:val="0"/>
      <w:marBottom w:val="0"/>
      <w:divBdr>
        <w:top w:val="none" w:sz="0" w:space="0" w:color="auto"/>
        <w:left w:val="none" w:sz="0" w:space="0" w:color="auto"/>
        <w:bottom w:val="none" w:sz="0" w:space="0" w:color="auto"/>
        <w:right w:val="none" w:sz="0" w:space="0" w:color="auto"/>
      </w:divBdr>
    </w:div>
    <w:div w:id="631642275">
      <w:bodyDiv w:val="1"/>
      <w:marLeft w:val="0"/>
      <w:marRight w:val="0"/>
      <w:marTop w:val="0"/>
      <w:marBottom w:val="0"/>
      <w:divBdr>
        <w:top w:val="none" w:sz="0" w:space="0" w:color="auto"/>
        <w:left w:val="none" w:sz="0" w:space="0" w:color="auto"/>
        <w:bottom w:val="none" w:sz="0" w:space="0" w:color="auto"/>
        <w:right w:val="none" w:sz="0" w:space="0" w:color="auto"/>
      </w:divBdr>
    </w:div>
    <w:div w:id="631785501">
      <w:bodyDiv w:val="1"/>
      <w:marLeft w:val="0"/>
      <w:marRight w:val="0"/>
      <w:marTop w:val="0"/>
      <w:marBottom w:val="0"/>
      <w:divBdr>
        <w:top w:val="none" w:sz="0" w:space="0" w:color="auto"/>
        <w:left w:val="none" w:sz="0" w:space="0" w:color="auto"/>
        <w:bottom w:val="none" w:sz="0" w:space="0" w:color="auto"/>
        <w:right w:val="none" w:sz="0" w:space="0" w:color="auto"/>
      </w:divBdr>
    </w:div>
    <w:div w:id="632100827">
      <w:bodyDiv w:val="1"/>
      <w:marLeft w:val="0"/>
      <w:marRight w:val="0"/>
      <w:marTop w:val="0"/>
      <w:marBottom w:val="0"/>
      <w:divBdr>
        <w:top w:val="none" w:sz="0" w:space="0" w:color="auto"/>
        <w:left w:val="none" w:sz="0" w:space="0" w:color="auto"/>
        <w:bottom w:val="none" w:sz="0" w:space="0" w:color="auto"/>
        <w:right w:val="none" w:sz="0" w:space="0" w:color="auto"/>
      </w:divBdr>
    </w:div>
    <w:div w:id="632323606">
      <w:bodyDiv w:val="1"/>
      <w:marLeft w:val="0"/>
      <w:marRight w:val="0"/>
      <w:marTop w:val="0"/>
      <w:marBottom w:val="0"/>
      <w:divBdr>
        <w:top w:val="none" w:sz="0" w:space="0" w:color="auto"/>
        <w:left w:val="none" w:sz="0" w:space="0" w:color="auto"/>
        <w:bottom w:val="none" w:sz="0" w:space="0" w:color="auto"/>
        <w:right w:val="none" w:sz="0" w:space="0" w:color="auto"/>
      </w:divBdr>
    </w:div>
    <w:div w:id="632444393">
      <w:bodyDiv w:val="1"/>
      <w:marLeft w:val="0"/>
      <w:marRight w:val="0"/>
      <w:marTop w:val="0"/>
      <w:marBottom w:val="0"/>
      <w:divBdr>
        <w:top w:val="none" w:sz="0" w:space="0" w:color="auto"/>
        <w:left w:val="none" w:sz="0" w:space="0" w:color="auto"/>
        <w:bottom w:val="none" w:sz="0" w:space="0" w:color="auto"/>
        <w:right w:val="none" w:sz="0" w:space="0" w:color="auto"/>
      </w:divBdr>
    </w:div>
    <w:div w:id="632448965">
      <w:bodyDiv w:val="1"/>
      <w:marLeft w:val="0"/>
      <w:marRight w:val="0"/>
      <w:marTop w:val="0"/>
      <w:marBottom w:val="0"/>
      <w:divBdr>
        <w:top w:val="none" w:sz="0" w:space="0" w:color="auto"/>
        <w:left w:val="none" w:sz="0" w:space="0" w:color="auto"/>
        <w:bottom w:val="none" w:sz="0" w:space="0" w:color="auto"/>
        <w:right w:val="none" w:sz="0" w:space="0" w:color="auto"/>
      </w:divBdr>
    </w:div>
    <w:div w:id="632909114">
      <w:bodyDiv w:val="1"/>
      <w:marLeft w:val="0"/>
      <w:marRight w:val="0"/>
      <w:marTop w:val="0"/>
      <w:marBottom w:val="0"/>
      <w:divBdr>
        <w:top w:val="none" w:sz="0" w:space="0" w:color="auto"/>
        <w:left w:val="none" w:sz="0" w:space="0" w:color="auto"/>
        <w:bottom w:val="none" w:sz="0" w:space="0" w:color="auto"/>
        <w:right w:val="none" w:sz="0" w:space="0" w:color="auto"/>
      </w:divBdr>
    </w:div>
    <w:div w:id="633171987">
      <w:bodyDiv w:val="1"/>
      <w:marLeft w:val="0"/>
      <w:marRight w:val="0"/>
      <w:marTop w:val="0"/>
      <w:marBottom w:val="0"/>
      <w:divBdr>
        <w:top w:val="none" w:sz="0" w:space="0" w:color="auto"/>
        <w:left w:val="none" w:sz="0" w:space="0" w:color="auto"/>
        <w:bottom w:val="none" w:sz="0" w:space="0" w:color="auto"/>
        <w:right w:val="none" w:sz="0" w:space="0" w:color="auto"/>
      </w:divBdr>
    </w:div>
    <w:div w:id="633290592">
      <w:bodyDiv w:val="1"/>
      <w:marLeft w:val="0"/>
      <w:marRight w:val="0"/>
      <w:marTop w:val="0"/>
      <w:marBottom w:val="0"/>
      <w:divBdr>
        <w:top w:val="none" w:sz="0" w:space="0" w:color="auto"/>
        <w:left w:val="none" w:sz="0" w:space="0" w:color="auto"/>
        <w:bottom w:val="none" w:sz="0" w:space="0" w:color="auto"/>
        <w:right w:val="none" w:sz="0" w:space="0" w:color="auto"/>
      </w:divBdr>
    </w:div>
    <w:div w:id="633606576">
      <w:bodyDiv w:val="1"/>
      <w:marLeft w:val="0"/>
      <w:marRight w:val="0"/>
      <w:marTop w:val="0"/>
      <w:marBottom w:val="0"/>
      <w:divBdr>
        <w:top w:val="none" w:sz="0" w:space="0" w:color="auto"/>
        <w:left w:val="none" w:sz="0" w:space="0" w:color="auto"/>
        <w:bottom w:val="none" w:sz="0" w:space="0" w:color="auto"/>
        <w:right w:val="none" w:sz="0" w:space="0" w:color="auto"/>
      </w:divBdr>
    </w:div>
    <w:div w:id="633633946">
      <w:bodyDiv w:val="1"/>
      <w:marLeft w:val="0"/>
      <w:marRight w:val="0"/>
      <w:marTop w:val="0"/>
      <w:marBottom w:val="0"/>
      <w:divBdr>
        <w:top w:val="none" w:sz="0" w:space="0" w:color="auto"/>
        <w:left w:val="none" w:sz="0" w:space="0" w:color="auto"/>
        <w:bottom w:val="none" w:sz="0" w:space="0" w:color="auto"/>
        <w:right w:val="none" w:sz="0" w:space="0" w:color="auto"/>
      </w:divBdr>
    </w:div>
    <w:div w:id="633752097">
      <w:bodyDiv w:val="1"/>
      <w:marLeft w:val="0"/>
      <w:marRight w:val="0"/>
      <w:marTop w:val="0"/>
      <w:marBottom w:val="0"/>
      <w:divBdr>
        <w:top w:val="none" w:sz="0" w:space="0" w:color="auto"/>
        <w:left w:val="none" w:sz="0" w:space="0" w:color="auto"/>
        <w:bottom w:val="none" w:sz="0" w:space="0" w:color="auto"/>
        <w:right w:val="none" w:sz="0" w:space="0" w:color="auto"/>
      </w:divBdr>
    </w:div>
    <w:div w:id="633826543">
      <w:bodyDiv w:val="1"/>
      <w:marLeft w:val="0"/>
      <w:marRight w:val="0"/>
      <w:marTop w:val="0"/>
      <w:marBottom w:val="0"/>
      <w:divBdr>
        <w:top w:val="none" w:sz="0" w:space="0" w:color="auto"/>
        <w:left w:val="none" w:sz="0" w:space="0" w:color="auto"/>
        <w:bottom w:val="none" w:sz="0" w:space="0" w:color="auto"/>
        <w:right w:val="none" w:sz="0" w:space="0" w:color="auto"/>
      </w:divBdr>
    </w:div>
    <w:div w:id="634020826">
      <w:bodyDiv w:val="1"/>
      <w:marLeft w:val="0"/>
      <w:marRight w:val="0"/>
      <w:marTop w:val="0"/>
      <w:marBottom w:val="0"/>
      <w:divBdr>
        <w:top w:val="none" w:sz="0" w:space="0" w:color="auto"/>
        <w:left w:val="none" w:sz="0" w:space="0" w:color="auto"/>
        <w:bottom w:val="none" w:sz="0" w:space="0" w:color="auto"/>
        <w:right w:val="none" w:sz="0" w:space="0" w:color="auto"/>
      </w:divBdr>
    </w:div>
    <w:div w:id="634062537">
      <w:bodyDiv w:val="1"/>
      <w:marLeft w:val="0"/>
      <w:marRight w:val="0"/>
      <w:marTop w:val="0"/>
      <w:marBottom w:val="0"/>
      <w:divBdr>
        <w:top w:val="none" w:sz="0" w:space="0" w:color="auto"/>
        <w:left w:val="none" w:sz="0" w:space="0" w:color="auto"/>
        <w:bottom w:val="none" w:sz="0" w:space="0" w:color="auto"/>
        <w:right w:val="none" w:sz="0" w:space="0" w:color="auto"/>
      </w:divBdr>
    </w:div>
    <w:div w:id="634068954">
      <w:bodyDiv w:val="1"/>
      <w:marLeft w:val="0"/>
      <w:marRight w:val="0"/>
      <w:marTop w:val="0"/>
      <w:marBottom w:val="0"/>
      <w:divBdr>
        <w:top w:val="none" w:sz="0" w:space="0" w:color="auto"/>
        <w:left w:val="none" w:sz="0" w:space="0" w:color="auto"/>
        <w:bottom w:val="none" w:sz="0" w:space="0" w:color="auto"/>
        <w:right w:val="none" w:sz="0" w:space="0" w:color="auto"/>
      </w:divBdr>
    </w:div>
    <w:div w:id="634212721">
      <w:bodyDiv w:val="1"/>
      <w:marLeft w:val="0"/>
      <w:marRight w:val="0"/>
      <w:marTop w:val="0"/>
      <w:marBottom w:val="0"/>
      <w:divBdr>
        <w:top w:val="none" w:sz="0" w:space="0" w:color="auto"/>
        <w:left w:val="none" w:sz="0" w:space="0" w:color="auto"/>
        <w:bottom w:val="none" w:sz="0" w:space="0" w:color="auto"/>
        <w:right w:val="none" w:sz="0" w:space="0" w:color="auto"/>
      </w:divBdr>
    </w:div>
    <w:div w:id="634264101">
      <w:bodyDiv w:val="1"/>
      <w:marLeft w:val="0"/>
      <w:marRight w:val="0"/>
      <w:marTop w:val="0"/>
      <w:marBottom w:val="0"/>
      <w:divBdr>
        <w:top w:val="none" w:sz="0" w:space="0" w:color="auto"/>
        <w:left w:val="none" w:sz="0" w:space="0" w:color="auto"/>
        <w:bottom w:val="none" w:sz="0" w:space="0" w:color="auto"/>
        <w:right w:val="none" w:sz="0" w:space="0" w:color="auto"/>
      </w:divBdr>
    </w:div>
    <w:div w:id="634682883">
      <w:bodyDiv w:val="1"/>
      <w:marLeft w:val="0"/>
      <w:marRight w:val="0"/>
      <w:marTop w:val="0"/>
      <w:marBottom w:val="0"/>
      <w:divBdr>
        <w:top w:val="none" w:sz="0" w:space="0" w:color="auto"/>
        <w:left w:val="none" w:sz="0" w:space="0" w:color="auto"/>
        <w:bottom w:val="none" w:sz="0" w:space="0" w:color="auto"/>
        <w:right w:val="none" w:sz="0" w:space="0" w:color="auto"/>
      </w:divBdr>
    </w:div>
    <w:div w:id="634718435">
      <w:bodyDiv w:val="1"/>
      <w:marLeft w:val="0"/>
      <w:marRight w:val="0"/>
      <w:marTop w:val="0"/>
      <w:marBottom w:val="0"/>
      <w:divBdr>
        <w:top w:val="none" w:sz="0" w:space="0" w:color="auto"/>
        <w:left w:val="none" w:sz="0" w:space="0" w:color="auto"/>
        <w:bottom w:val="none" w:sz="0" w:space="0" w:color="auto"/>
        <w:right w:val="none" w:sz="0" w:space="0" w:color="auto"/>
      </w:divBdr>
    </w:div>
    <w:div w:id="635453896">
      <w:bodyDiv w:val="1"/>
      <w:marLeft w:val="0"/>
      <w:marRight w:val="0"/>
      <w:marTop w:val="0"/>
      <w:marBottom w:val="0"/>
      <w:divBdr>
        <w:top w:val="none" w:sz="0" w:space="0" w:color="auto"/>
        <w:left w:val="none" w:sz="0" w:space="0" w:color="auto"/>
        <w:bottom w:val="none" w:sz="0" w:space="0" w:color="auto"/>
        <w:right w:val="none" w:sz="0" w:space="0" w:color="auto"/>
      </w:divBdr>
    </w:div>
    <w:div w:id="635839679">
      <w:bodyDiv w:val="1"/>
      <w:marLeft w:val="0"/>
      <w:marRight w:val="0"/>
      <w:marTop w:val="0"/>
      <w:marBottom w:val="0"/>
      <w:divBdr>
        <w:top w:val="none" w:sz="0" w:space="0" w:color="auto"/>
        <w:left w:val="none" w:sz="0" w:space="0" w:color="auto"/>
        <w:bottom w:val="none" w:sz="0" w:space="0" w:color="auto"/>
        <w:right w:val="none" w:sz="0" w:space="0" w:color="auto"/>
      </w:divBdr>
    </w:div>
    <w:div w:id="636178371">
      <w:bodyDiv w:val="1"/>
      <w:marLeft w:val="0"/>
      <w:marRight w:val="0"/>
      <w:marTop w:val="0"/>
      <w:marBottom w:val="0"/>
      <w:divBdr>
        <w:top w:val="none" w:sz="0" w:space="0" w:color="auto"/>
        <w:left w:val="none" w:sz="0" w:space="0" w:color="auto"/>
        <w:bottom w:val="none" w:sz="0" w:space="0" w:color="auto"/>
        <w:right w:val="none" w:sz="0" w:space="0" w:color="auto"/>
      </w:divBdr>
    </w:div>
    <w:div w:id="636183231">
      <w:bodyDiv w:val="1"/>
      <w:marLeft w:val="0"/>
      <w:marRight w:val="0"/>
      <w:marTop w:val="0"/>
      <w:marBottom w:val="0"/>
      <w:divBdr>
        <w:top w:val="none" w:sz="0" w:space="0" w:color="auto"/>
        <w:left w:val="none" w:sz="0" w:space="0" w:color="auto"/>
        <w:bottom w:val="none" w:sz="0" w:space="0" w:color="auto"/>
        <w:right w:val="none" w:sz="0" w:space="0" w:color="auto"/>
      </w:divBdr>
    </w:div>
    <w:div w:id="636184919">
      <w:bodyDiv w:val="1"/>
      <w:marLeft w:val="0"/>
      <w:marRight w:val="0"/>
      <w:marTop w:val="0"/>
      <w:marBottom w:val="0"/>
      <w:divBdr>
        <w:top w:val="none" w:sz="0" w:space="0" w:color="auto"/>
        <w:left w:val="none" w:sz="0" w:space="0" w:color="auto"/>
        <w:bottom w:val="none" w:sz="0" w:space="0" w:color="auto"/>
        <w:right w:val="none" w:sz="0" w:space="0" w:color="auto"/>
      </w:divBdr>
    </w:div>
    <w:div w:id="636229920">
      <w:bodyDiv w:val="1"/>
      <w:marLeft w:val="0"/>
      <w:marRight w:val="0"/>
      <w:marTop w:val="0"/>
      <w:marBottom w:val="0"/>
      <w:divBdr>
        <w:top w:val="none" w:sz="0" w:space="0" w:color="auto"/>
        <w:left w:val="none" w:sz="0" w:space="0" w:color="auto"/>
        <w:bottom w:val="none" w:sz="0" w:space="0" w:color="auto"/>
        <w:right w:val="none" w:sz="0" w:space="0" w:color="auto"/>
      </w:divBdr>
    </w:div>
    <w:div w:id="636372104">
      <w:bodyDiv w:val="1"/>
      <w:marLeft w:val="0"/>
      <w:marRight w:val="0"/>
      <w:marTop w:val="0"/>
      <w:marBottom w:val="0"/>
      <w:divBdr>
        <w:top w:val="none" w:sz="0" w:space="0" w:color="auto"/>
        <w:left w:val="none" w:sz="0" w:space="0" w:color="auto"/>
        <w:bottom w:val="none" w:sz="0" w:space="0" w:color="auto"/>
        <w:right w:val="none" w:sz="0" w:space="0" w:color="auto"/>
      </w:divBdr>
    </w:div>
    <w:div w:id="636377940">
      <w:bodyDiv w:val="1"/>
      <w:marLeft w:val="0"/>
      <w:marRight w:val="0"/>
      <w:marTop w:val="0"/>
      <w:marBottom w:val="0"/>
      <w:divBdr>
        <w:top w:val="none" w:sz="0" w:space="0" w:color="auto"/>
        <w:left w:val="none" w:sz="0" w:space="0" w:color="auto"/>
        <w:bottom w:val="none" w:sz="0" w:space="0" w:color="auto"/>
        <w:right w:val="none" w:sz="0" w:space="0" w:color="auto"/>
      </w:divBdr>
    </w:div>
    <w:div w:id="636649106">
      <w:bodyDiv w:val="1"/>
      <w:marLeft w:val="0"/>
      <w:marRight w:val="0"/>
      <w:marTop w:val="0"/>
      <w:marBottom w:val="0"/>
      <w:divBdr>
        <w:top w:val="none" w:sz="0" w:space="0" w:color="auto"/>
        <w:left w:val="none" w:sz="0" w:space="0" w:color="auto"/>
        <w:bottom w:val="none" w:sz="0" w:space="0" w:color="auto"/>
        <w:right w:val="none" w:sz="0" w:space="0" w:color="auto"/>
      </w:divBdr>
    </w:div>
    <w:div w:id="637147156">
      <w:bodyDiv w:val="1"/>
      <w:marLeft w:val="0"/>
      <w:marRight w:val="0"/>
      <w:marTop w:val="0"/>
      <w:marBottom w:val="0"/>
      <w:divBdr>
        <w:top w:val="none" w:sz="0" w:space="0" w:color="auto"/>
        <w:left w:val="none" w:sz="0" w:space="0" w:color="auto"/>
        <w:bottom w:val="none" w:sz="0" w:space="0" w:color="auto"/>
        <w:right w:val="none" w:sz="0" w:space="0" w:color="auto"/>
      </w:divBdr>
    </w:div>
    <w:div w:id="637416324">
      <w:bodyDiv w:val="1"/>
      <w:marLeft w:val="0"/>
      <w:marRight w:val="0"/>
      <w:marTop w:val="0"/>
      <w:marBottom w:val="0"/>
      <w:divBdr>
        <w:top w:val="none" w:sz="0" w:space="0" w:color="auto"/>
        <w:left w:val="none" w:sz="0" w:space="0" w:color="auto"/>
        <w:bottom w:val="none" w:sz="0" w:space="0" w:color="auto"/>
        <w:right w:val="none" w:sz="0" w:space="0" w:color="auto"/>
      </w:divBdr>
    </w:div>
    <w:div w:id="637564283">
      <w:bodyDiv w:val="1"/>
      <w:marLeft w:val="0"/>
      <w:marRight w:val="0"/>
      <w:marTop w:val="0"/>
      <w:marBottom w:val="0"/>
      <w:divBdr>
        <w:top w:val="none" w:sz="0" w:space="0" w:color="auto"/>
        <w:left w:val="none" w:sz="0" w:space="0" w:color="auto"/>
        <w:bottom w:val="none" w:sz="0" w:space="0" w:color="auto"/>
        <w:right w:val="none" w:sz="0" w:space="0" w:color="auto"/>
      </w:divBdr>
    </w:div>
    <w:div w:id="637613689">
      <w:bodyDiv w:val="1"/>
      <w:marLeft w:val="0"/>
      <w:marRight w:val="0"/>
      <w:marTop w:val="0"/>
      <w:marBottom w:val="0"/>
      <w:divBdr>
        <w:top w:val="none" w:sz="0" w:space="0" w:color="auto"/>
        <w:left w:val="none" w:sz="0" w:space="0" w:color="auto"/>
        <w:bottom w:val="none" w:sz="0" w:space="0" w:color="auto"/>
        <w:right w:val="none" w:sz="0" w:space="0" w:color="auto"/>
      </w:divBdr>
    </w:div>
    <w:div w:id="637690566">
      <w:bodyDiv w:val="1"/>
      <w:marLeft w:val="0"/>
      <w:marRight w:val="0"/>
      <w:marTop w:val="0"/>
      <w:marBottom w:val="0"/>
      <w:divBdr>
        <w:top w:val="none" w:sz="0" w:space="0" w:color="auto"/>
        <w:left w:val="none" w:sz="0" w:space="0" w:color="auto"/>
        <w:bottom w:val="none" w:sz="0" w:space="0" w:color="auto"/>
        <w:right w:val="none" w:sz="0" w:space="0" w:color="auto"/>
      </w:divBdr>
    </w:div>
    <w:div w:id="638344484">
      <w:bodyDiv w:val="1"/>
      <w:marLeft w:val="0"/>
      <w:marRight w:val="0"/>
      <w:marTop w:val="0"/>
      <w:marBottom w:val="0"/>
      <w:divBdr>
        <w:top w:val="none" w:sz="0" w:space="0" w:color="auto"/>
        <w:left w:val="none" w:sz="0" w:space="0" w:color="auto"/>
        <w:bottom w:val="none" w:sz="0" w:space="0" w:color="auto"/>
        <w:right w:val="none" w:sz="0" w:space="0" w:color="auto"/>
      </w:divBdr>
    </w:div>
    <w:div w:id="638414729">
      <w:bodyDiv w:val="1"/>
      <w:marLeft w:val="0"/>
      <w:marRight w:val="0"/>
      <w:marTop w:val="0"/>
      <w:marBottom w:val="0"/>
      <w:divBdr>
        <w:top w:val="none" w:sz="0" w:space="0" w:color="auto"/>
        <w:left w:val="none" w:sz="0" w:space="0" w:color="auto"/>
        <w:bottom w:val="none" w:sz="0" w:space="0" w:color="auto"/>
        <w:right w:val="none" w:sz="0" w:space="0" w:color="auto"/>
      </w:divBdr>
    </w:div>
    <w:div w:id="639310650">
      <w:bodyDiv w:val="1"/>
      <w:marLeft w:val="0"/>
      <w:marRight w:val="0"/>
      <w:marTop w:val="0"/>
      <w:marBottom w:val="0"/>
      <w:divBdr>
        <w:top w:val="none" w:sz="0" w:space="0" w:color="auto"/>
        <w:left w:val="none" w:sz="0" w:space="0" w:color="auto"/>
        <w:bottom w:val="none" w:sz="0" w:space="0" w:color="auto"/>
        <w:right w:val="none" w:sz="0" w:space="0" w:color="auto"/>
      </w:divBdr>
    </w:div>
    <w:div w:id="639388060">
      <w:bodyDiv w:val="1"/>
      <w:marLeft w:val="0"/>
      <w:marRight w:val="0"/>
      <w:marTop w:val="0"/>
      <w:marBottom w:val="0"/>
      <w:divBdr>
        <w:top w:val="none" w:sz="0" w:space="0" w:color="auto"/>
        <w:left w:val="none" w:sz="0" w:space="0" w:color="auto"/>
        <w:bottom w:val="none" w:sz="0" w:space="0" w:color="auto"/>
        <w:right w:val="none" w:sz="0" w:space="0" w:color="auto"/>
      </w:divBdr>
    </w:div>
    <w:div w:id="639463726">
      <w:bodyDiv w:val="1"/>
      <w:marLeft w:val="0"/>
      <w:marRight w:val="0"/>
      <w:marTop w:val="0"/>
      <w:marBottom w:val="0"/>
      <w:divBdr>
        <w:top w:val="none" w:sz="0" w:space="0" w:color="auto"/>
        <w:left w:val="none" w:sz="0" w:space="0" w:color="auto"/>
        <w:bottom w:val="none" w:sz="0" w:space="0" w:color="auto"/>
        <w:right w:val="none" w:sz="0" w:space="0" w:color="auto"/>
      </w:divBdr>
    </w:div>
    <w:div w:id="639769723">
      <w:bodyDiv w:val="1"/>
      <w:marLeft w:val="0"/>
      <w:marRight w:val="0"/>
      <w:marTop w:val="0"/>
      <w:marBottom w:val="0"/>
      <w:divBdr>
        <w:top w:val="none" w:sz="0" w:space="0" w:color="auto"/>
        <w:left w:val="none" w:sz="0" w:space="0" w:color="auto"/>
        <w:bottom w:val="none" w:sz="0" w:space="0" w:color="auto"/>
        <w:right w:val="none" w:sz="0" w:space="0" w:color="auto"/>
      </w:divBdr>
    </w:div>
    <w:div w:id="639923527">
      <w:bodyDiv w:val="1"/>
      <w:marLeft w:val="0"/>
      <w:marRight w:val="0"/>
      <w:marTop w:val="0"/>
      <w:marBottom w:val="0"/>
      <w:divBdr>
        <w:top w:val="none" w:sz="0" w:space="0" w:color="auto"/>
        <w:left w:val="none" w:sz="0" w:space="0" w:color="auto"/>
        <w:bottom w:val="none" w:sz="0" w:space="0" w:color="auto"/>
        <w:right w:val="none" w:sz="0" w:space="0" w:color="auto"/>
      </w:divBdr>
    </w:div>
    <w:div w:id="640035034">
      <w:bodyDiv w:val="1"/>
      <w:marLeft w:val="0"/>
      <w:marRight w:val="0"/>
      <w:marTop w:val="0"/>
      <w:marBottom w:val="0"/>
      <w:divBdr>
        <w:top w:val="none" w:sz="0" w:space="0" w:color="auto"/>
        <w:left w:val="none" w:sz="0" w:space="0" w:color="auto"/>
        <w:bottom w:val="none" w:sz="0" w:space="0" w:color="auto"/>
        <w:right w:val="none" w:sz="0" w:space="0" w:color="auto"/>
      </w:divBdr>
    </w:div>
    <w:div w:id="640428565">
      <w:bodyDiv w:val="1"/>
      <w:marLeft w:val="0"/>
      <w:marRight w:val="0"/>
      <w:marTop w:val="0"/>
      <w:marBottom w:val="0"/>
      <w:divBdr>
        <w:top w:val="none" w:sz="0" w:space="0" w:color="auto"/>
        <w:left w:val="none" w:sz="0" w:space="0" w:color="auto"/>
        <w:bottom w:val="none" w:sz="0" w:space="0" w:color="auto"/>
        <w:right w:val="none" w:sz="0" w:space="0" w:color="auto"/>
      </w:divBdr>
    </w:div>
    <w:div w:id="640503359">
      <w:bodyDiv w:val="1"/>
      <w:marLeft w:val="0"/>
      <w:marRight w:val="0"/>
      <w:marTop w:val="0"/>
      <w:marBottom w:val="0"/>
      <w:divBdr>
        <w:top w:val="none" w:sz="0" w:space="0" w:color="auto"/>
        <w:left w:val="none" w:sz="0" w:space="0" w:color="auto"/>
        <w:bottom w:val="none" w:sz="0" w:space="0" w:color="auto"/>
        <w:right w:val="none" w:sz="0" w:space="0" w:color="auto"/>
      </w:divBdr>
    </w:div>
    <w:div w:id="640842417">
      <w:bodyDiv w:val="1"/>
      <w:marLeft w:val="0"/>
      <w:marRight w:val="0"/>
      <w:marTop w:val="0"/>
      <w:marBottom w:val="0"/>
      <w:divBdr>
        <w:top w:val="none" w:sz="0" w:space="0" w:color="auto"/>
        <w:left w:val="none" w:sz="0" w:space="0" w:color="auto"/>
        <w:bottom w:val="none" w:sz="0" w:space="0" w:color="auto"/>
        <w:right w:val="none" w:sz="0" w:space="0" w:color="auto"/>
      </w:divBdr>
    </w:div>
    <w:div w:id="640962263">
      <w:bodyDiv w:val="1"/>
      <w:marLeft w:val="0"/>
      <w:marRight w:val="0"/>
      <w:marTop w:val="0"/>
      <w:marBottom w:val="0"/>
      <w:divBdr>
        <w:top w:val="none" w:sz="0" w:space="0" w:color="auto"/>
        <w:left w:val="none" w:sz="0" w:space="0" w:color="auto"/>
        <w:bottom w:val="none" w:sz="0" w:space="0" w:color="auto"/>
        <w:right w:val="none" w:sz="0" w:space="0" w:color="auto"/>
      </w:divBdr>
    </w:div>
    <w:div w:id="641082836">
      <w:bodyDiv w:val="1"/>
      <w:marLeft w:val="0"/>
      <w:marRight w:val="0"/>
      <w:marTop w:val="0"/>
      <w:marBottom w:val="0"/>
      <w:divBdr>
        <w:top w:val="none" w:sz="0" w:space="0" w:color="auto"/>
        <w:left w:val="none" w:sz="0" w:space="0" w:color="auto"/>
        <w:bottom w:val="none" w:sz="0" w:space="0" w:color="auto"/>
        <w:right w:val="none" w:sz="0" w:space="0" w:color="auto"/>
      </w:divBdr>
    </w:div>
    <w:div w:id="641236610">
      <w:bodyDiv w:val="1"/>
      <w:marLeft w:val="0"/>
      <w:marRight w:val="0"/>
      <w:marTop w:val="0"/>
      <w:marBottom w:val="0"/>
      <w:divBdr>
        <w:top w:val="none" w:sz="0" w:space="0" w:color="auto"/>
        <w:left w:val="none" w:sz="0" w:space="0" w:color="auto"/>
        <w:bottom w:val="none" w:sz="0" w:space="0" w:color="auto"/>
        <w:right w:val="none" w:sz="0" w:space="0" w:color="auto"/>
      </w:divBdr>
    </w:div>
    <w:div w:id="641420721">
      <w:bodyDiv w:val="1"/>
      <w:marLeft w:val="0"/>
      <w:marRight w:val="0"/>
      <w:marTop w:val="0"/>
      <w:marBottom w:val="0"/>
      <w:divBdr>
        <w:top w:val="none" w:sz="0" w:space="0" w:color="auto"/>
        <w:left w:val="none" w:sz="0" w:space="0" w:color="auto"/>
        <w:bottom w:val="none" w:sz="0" w:space="0" w:color="auto"/>
        <w:right w:val="none" w:sz="0" w:space="0" w:color="auto"/>
      </w:divBdr>
    </w:div>
    <w:div w:id="641732170">
      <w:bodyDiv w:val="1"/>
      <w:marLeft w:val="0"/>
      <w:marRight w:val="0"/>
      <w:marTop w:val="0"/>
      <w:marBottom w:val="0"/>
      <w:divBdr>
        <w:top w:val="none" w:sz="0" w:space="0" w:color="auto"/>
        <w:left w:val="none" w:sz="0" w:space="0" w:color="auto"/>
        <w:bottom w:val="none" w:sz="0" w:space="0" w:color="auto"/>
        <w:right w:val="none" w:sz="0" w:space="0" w:color="auto"/>
      </w:divBdr>
    </w:div>
    <w:div w:id="641812589">
      <w:bodyDiv w:val="1"/>
      <w:marLeft w:val="0"/>
      <w:marRight w:val="0"/>
      <w:marTop w:val="0"/>
      <w:marBottom w:val="0"/>
      <w:divBdr>
        <w:top w:val="none" w:sz="0" w:space="0" w:color="auto"/>
        <w:left w:val="none" w:sz="0" w:space="0" w:color="auto"/>
        <w:bottom w:val="none" w:sz="0" w:space="0" w:color="auto"/>
        <w:right w:val="none" w:sz="0" w:space="0" w:color="auto"/>
      </w:divBdr>
    </w:div>
    <w:div w:id="641884577">
      <w:bodyDiv w:val="1"/>
      <w:marLeft w:val="0"/>
      <w:marRight w:val="0"/>
      <w:marTop w:val="0"/>
      <w:marBottom w:val="0"/>
      <w:divBdr>
        <w:top w:val="none" w:sz="0" w:space="0" w:color="auto"/>
        <w:left w:val="none" w:sz="0" w:space="0" w:color="auto"/>
        <w:bottom w:val="none" w:sz="0" w:space="0" w:color="auto"/>
        <w:right w:val="none" w:sz="0" w:space="0" w:color="auto"/>
      </w:divBdr>
    </w:div>
    <w:div w:id="641885596">
      <w:bodyDiv w:val="1"/>
      <w:marLeft w:val="0"/>
      <w:marRight w:val="0"/>
      <w:marTop w:val="0"/>
      <w:marBottom w:val="0"/>
      <w:divBdr>
        <w:top w:val="none" w:sz="0" w:space="0" w:color="auto"/>
        <w:left w:val="none" w:sz="0" w:space="0" w:color="auto"/>
        <w:bottom w:val="none" w:sz="0" w:space="0" w:color="auto"/>
        <w:right w:val="none" w:sz="0" w:space="0" w:color="auto"/>
      </w:divBdr>
    </w:div>
    <w:div w:id="642083218">
      <w:bodyDiv w:val="1"/>
      <w:marLeft w:val="0"/>
      <w:marRight w:val="0"/>
      <w:marTop w:val="0"/>
      <w:marBottom w:val="0"/>
      <w:divBdr>
        <w:top w:val="none" w:sz="0" w:space="0" w:color="auto"/>
        <w:left w:val="none" w:sz="0" w:space="0" w:color="auto"/>
        <w:bottom w:val="none" w:sz="0" w:space="0" w:color="auto"/>
        <w:right w:val="none" w:sz="0" w:space="0" w:color="auto"/>
      </w:divBdr>
    </w:div>
    <w:div w:id="642468828">
      <w:bodyDiv w:val="1"/>
      <w:marLeft w:val="0"/>
      <w:marRight w:val="0"/>
      <w:marTop w:val="0"/>
      <w:marBottom w:val="0"/>
      <w:divBdr>
        <w:top w:val="none" w:sz="0" w:space="0" w:color="auto"/>
        <w:left w:val="none" w:sz="0" w:space="0" w:color="auto"/>
        <w:bottom w:val="none" w:sz="0" w:space="0" w:color="auto"/>
        <w:right w:val="none" w:sz="0" w:space="0" w:color="auto"/>
      </w:divBdr>
    </w:div>
    <w:div w:id="642582925">
      <w:bodyDiv w:val="1"/>
      <w:marLeft w:val="0"/>
      <w:marRight w:val="0"/>
      <w:marTop w:val="0"/>
      <w:marBottom w:val="0"/>
      <w:divBdr>
        <w:top w:val="none" w:sz="0" w:space="0" w:color="auto"/>
        <w:left w:val="none" w:sz="0" w:space="0" w:color="auto"/>
        <w:bottom w:val="none" w:sz="0" w:space="0" w:color="auto"/>
        <w:right w:val="none" w:sz="0" w:space="0" w:color="auto"/>
      </w:divBdr>
    </w:div>
    <w:div w:id="642660348">
      <w:bodyDiv w:val="1"/>
      <w:marLeft w:val="0"/>
      <w:marRight w:val="0"/>
      <w:marTop w:val="0"/>
      <w:marBottom w:val="0"/>
      <w:divBdr>
        <w:top w:val="none" w:sz="0" w:space="0" w:color="auto"/>
        <w:left w:val="none" w:sz="0" w:space="0" w:color="auto"/>
        <w:bottom w:val="none" w:sz="0" w:space="0" w:color="auto"/>
        <w:right w:val="none" w:sz="0" w:space="0" w:color="auto"/>
      </w:divBdr>
    </w:div>
    <w:div w:id="643196197">
      <w:bodyDiv w:val="1"/>
      <w:marLeft w:val="0"/>
      <w:marRight w:val="0"/>
      <w:marTop w:val="0"/>
      <w:marBottom w:val="0"/>
      <w:divBdr>
        <w:top w:val="none" w:sz="0" w:space="0" w:color="auto"/>
        <w:left w:val="none" w:sz="0" w:space="0" w:color="auto"/>
        <w:bottom w:val="none" w:sz="0" w:space="0" w:color="auto"/>
        <w:right w:val="none" w:sz="0" w:space="0" w:color="auto"/>
      </w:divBdr>
    </w:div>
    <w:div w:id="643318300">
      <w:bodyDiv w:val="1"/>
      <w:marLeft w:val="0"/>
      <w:marRight w:val="0"/>
      <w:marTop w:val="0"/>
      <w:marBottom w:val="0"/>
      <w:divBdr>
        <w:top w:val="none" w:sz="0" w:space="0" w:color="auto"/>
        <w:left w:val="none" w:sz="0" w:space="0" w:color="auto"/>
        <w:bottom w:val="none" w:sz="0" w:space="0" w:color="auto"/>
        <w:right w:val="none" w:sz="0" w:space="0" w:color="auto"/>
      </w:divBdr>
    </w:div>
    <w:div w:id="643511520">
      <w:bodyDiv w:val="1"/>
      <w:marLeft w:val="0"/>
      <w:marRight w:val="0"/>
      <w:marTop w:val="0"/>
      <w:marBottom w:val="0"/>
      <w:divBdr>
        <w:top w:val="none" w:sz="0" w:space="0" w:color="auto"/>
        <w:left w:val="none" w:sz="0" w:space="0" w:color="auto"/>
        <w:bottom w:val="none" w:sz="0" w:space="0" w:color="auto"/>
        <w:right w:val="none" w:sz="0" w:space="0" w:color="auto"/>
      </w:divBdr>
    </w:div>
    <w:div w:id="643856971">
      <w:bodyDiv w:val="1"/>
      <w:marLeft w:val="0"/>
      <w:marRight w:val="0"/>
      <w:marTop w:val="0"/>
      <w:marBottom w:val="0"/>
      <w:divBdr>
        <w:top w:val="none" w:sz="0" w:space="0" w:color="auto"/>
        <w:left w:val="none" w:sz="0" w:space="0" w:color="auto"/>
        <w:bottom w:val="none" w:sz="0" w:space="0" w:color="auto"/>
        <w:right w:val="none" w:sz="0" w:space="0" w:color="auto"/>
      </w:divBdr>
    </w:div>
    <w:div w:id="643973143">
      <w:bodyDiv w:val="1"/>
      <w:marLeft w:val="0"/>
      <w:marRight w:val="0"/>
      <w:marTop w:val="0"/>
      <w:marBottom w:val="0"/>
      <w:divBdr>
        <w:top w:val="none" w:sz="0" w:space="0" w:color="auto"/>
        <w:left w:val="none" w:sz="0" w:space="0" w:color="auto"/>
        <w:bottom w:val="none" w:sz="0" w:space="0" w:color="auto"/>
        <w:right w:val="none" w:sz="0" w:space="0" w:color="auto"/>
      </w:divBdr>
    </w:div>
    <w:div w:id="644698428">
      <w:bodyDiv w:val="1"/>
      <w:marLeft w:val="0"/>
      <w:marRight w:val="0"/>
      <w:marTop w:val="0"/>
      <w:marBottom w:val="0"/>
      <w:divBdr>
        <w:top w:val="none" w:sz="0" w:space="0" w:color="auto"/>
        <w:left w:val="none" w:sz="0" w:space="0" w:color="auto"/>
        <w:bottom w:val="none" w:sz="0" w:space="0" w:color="auto"/>
        <w:right w:val="none" w:sz="0" w:space="0" w:color="auto"/>
      </w:divBdr>
    </w:div>
    <w:div w:id="644747450">
      <w:bodyDiv w:val="1"/>
      <w:marLeft w:val="0"/>
      <w:marRight w:val="0"/>
      <w:marTop w:val="0"/>
      <w:marBottom w:val="0"/>
      <w:divBdr>
        <w:top w:val="none" w:sz="0" w:space="0" w:color="auto"/>
        <w:left w:val="none" w:sz="0" w:space="0" w:color="auto"/>
        <w:bottom w:val="none" w:sz="0" w:space="0" w:color="auto"/>
        <w:right w:val="none" w:sz="0" w:space="0" w:color="auto"/>
      </w:divBdr>
    </w:div>
    <w:div w:id="645277308">
      <w:bodyDiv w:val="1"/>
      <w:marLeft w:val="0"/>
      <w:marRight w:val="0"/>
      <w:marTop w:val="0"/>
      <w:marBottom w:val="0"/>
      <w:divBdr>
        <w:top w:val="none" w:sz="0" w:space="0" w:color="auto"/>
        <w:left w:val="none" w:sz="0" w:space="0" w:color="auto"/>
        <w:bottom w:val="none" w:sz="0" w:space="0" w:color="auto"/>
        <w:right w:val="none" w:sz="0" w:space="0" w:color="auto"/>
      </w:divBdr>
    </w:div>
    <w:div w:id="645430901">
      <w:bodyDiv w:val="1"/>
      <w:marLeft w:val="0"/>
      <w:marRight w:val="0"/>
      <w:marTop w:val="0"/>
      <w:marBottom w:val="0"/>
      <w:divBdr>
        <w:top w:val="none" w:sz="0" w:space="0" w:color="auto"/>
        <w:left w:val="none" w:sz="0" w:space="0" w:color="auto"/>
        <w:bottom w:val="none" w:sz="0" w:space="0" w:color="auto"/>
        <w:right w:val="none" w:sz="0" w:space="0" w:color="auto"/>
      </w:divBdr>
    </w:div>
    <w:div w:id="645816981">
      <w:bodyDiv w:val="1"/>
      <w:marLeft w:val="0"/>
      <w:marRight w:val="0"/>
      <w:marTop w:val="0"/>
      <w:marBottom w:val="0"/>
      <w:divBdr>
        <w:top w:val="none" w:sz="0" w:space="0" w:color="auto"/>
        <w:left w:val="none" w:sz="0" w:space="0" w:color="auto"/>
        <w:bottom w:val="none" w:sz="0" w:space="0" w:color="auto"/>
        <w:right w:val="none" w:sz="0" w:space="0" w:color="auto"/>
      </w:divBdr>
    </w:div>
    <w:div w:id="646517702">
      <w:bodyDiv w:val="1"/>
      <w:marLeft w:val="0"/>
      <w:marRight w:val="0"/>
      <w:marTop w:val="0"/>
      <w:marBottom w:val="0"/>
      <w:divBdr>
        <w:top w:val="none" w:sz="0" w:space="0" w:color="auto"/>
        <w:left w:val="none" w:sz="0" w:space="0" w:color="auto"/>
        <w:bottom w:val="none" w:sz="0" w:space="0" w:color="auto"/>
        <w:right w:val="none" w:sz="0" w:space="0" w:color="auto"/>
      </w:divBdr>
    </w:div>
    <w:div w:id="646907778">
      <w:bodyDiv w:val="1"/>
      <w:marLeft w:val="0"/>
      <w:marRight w:val="0"/>
      <w:marTop w:val="0"/>
      <w:marBottom w:val="0"/>
      <w:divBdr>
        <w:top w:val="none" w:sz="0" w:space="0" w:color="auto"/>
        <w:left w:val="none" w:sz="0" w:space="0" w:color="auto"/>
        <w:bottom w:val="none" w:sz="0" w:space="0" w:color="auto"/>
        <w:right w:val="none" w:sz="0" w:space="0" w:color="auto"/>
      </w:divBdr>
    </w:div>
    <w:div w:id="647243962">
      <w:bodyDiv w:val="1"/>
      <w:marLeft w:val="0"/>
      <w:marRight w:val="0"/>
      <w:marTop w:val="0"/>
      <w:marBottom w:val="0"/>
      <w:divBdr>
        <w:top w:val="none" w:sz="0" w:space="0" w:color="auto"/>
        <w:left w:val="none" w:sz="0" w:space="0" w:color="auto"/>
        <w:bottom w:val="none" w:sz="0" w:space="0" w:color="auto"/>
        <w:right w:val="none" w:sz="0" w:space="0" w:color="auto"/>
      </w:divBdr>
    </w:div>
    <w:div w:id="647367665">
      <w:bodyDiv w:val="1"/>
      <w:marLeft w:val="0"/>
      <w:marRight w:val="0"/>
      <w:marTop w:val="0"/>
      <w:marBottom w:val="0"/>
      <w:divBdr>
        <w:top w:val="none" w:sz="0" w:space="0" w:color="auto"/>
        <w:left w:val="none" w:sz="0" w:space="0" w:color="auto"/>
        <w:bottom w:val="none" w:sz="0" w:space="0" w:color="auto"/>
        <w:right w:val="none" w:sz="0" w:space="0" w:color="auto"/>
      </w:divBdr>
    </w:div>
    <w:div w:id="647444820">
      <w:bodyDiv w:val="1"/>
      <w:marLeft w:val="0"/>
      <w:marRight w:val="0"/>
      <w:marTop w:val="0"/>
      <w:marBottom w:val="0"/>
      <w:divBdr>
        <w:top w:val="none" w:sz="0" w:space="0" w:color="auto"/>
        <w:left w:val="none" w:sz="0" w:space="0" w:color="auto"/>
        <w:bottom w:val="none" w:sz="0" w:space="0" w:color="auto"/>
        <w:right w:val="none" w:sz="0" w:space="0" w:color="auto"/>
      </w:divBdr>
    </w:div>
    <w:div w:id="647591214">
      <w:bodyDiv w:val="1"/>
      <w:marLeft w:val="0"/>
      <w:marRight w:val="0"/>
      <w:marTop w:val="0"/>
      <w:marBottom w:val="0"/>
      <w:divBdr>
        <w:top w:val="none" w:sz="0" w:space="0" w:color="auto"/>
        <w:left w:val="none" w:sz="0" w:space="0" w:color="auto"/>
        <w:bottom w:val="none" w:sz="0" w:space="0" w:color="auto"/>
        <w:right w:val="none" w:sz="0" w:space="0" w:color="auto"/>
      </w:divBdr>
    </w:div>
    <w:div w:id="647829698">
      <w:bodyDiv w:val="1"/>
      <w:marLeft w:val="0"/>
      <w:marRight w:val="0"/>
      <w:marTop w:val="0"/>
      <w:marBottom w:val="0"/>
      <w:divBdr>
        <w:top w:val="none" w:sz="0" w:space="0" w:color="auto"/>
        <w:left w:val="none" w:sz="0" w:space="0" w:color="auto"/>
        <w:bottom w:val="none" w:sz="0" w:space="0" w:color="auto"/>
        <w:right w:val="none" w:sz="0" w:space="0" w:color="auto"/>
      </w:divBdr>
    </w:div>
    <w:div w:id="647902346">
      <w:bodyDiv w:val="1"/>
      <w:marLeft w:val="0"/>
      <w:marRight w:val="0"/>
      <w:marTop w:val="0"/>
      <w:marBottom w:val="0"/>
      <w:divBdr>
        <w:top w:val="none" w:sz="0" w:space="0" w:color="auto"/>
        <w:left w:val="none" w:sz="0" w:space="0" w:color="auto"/>
        <w:bottom w:val="none" w:sz="0" w:space="0" w:color="auto"/>
        <w:right w:val="none" w:sz="0" w:space="0" w:color="auto"/>
      </w:divBdr>
    </w:div>
    <w:div w:id="648024630">
      <w:bodyDiv w:val="1"/>
      <w:marLeft w:val="0"/>
      <w:marRight w:val="0"/>
      <w:marTop w:val="0"/>
      <w:marBottom w:val="0"/>
      <w:divBdr>
        <w:top w:val="none" w:sz="0" w:space="0" w:color="auto"/>
        <w:left w:val="none" w:sz="0" w:space="0" w:color="auto"/>
        <w:bottom w:val="none" w:sz="0" w:space="0" w:color="auto"/>
        <w:right w:val="none" w:sz="0" w:space="0" w:color="auto"/>
      </w:divBdr>
    </w:div>
    <w:div w:id="648241804">
      <w:bodyDiv w:val="1"/>
      <w:marLeft w:val="0"/>
      <w:marRight w:val="0"/>
      <w:marTop w:val="0"/>
      <w:marBottom w:val="0"/>
      <w:divBdr>
        <w:top w:val="none" w:sz="0" w:space="0" w:color="auto"/>
        <w:left w:val="none" w:sz="0" w:space="0" w:color="auto"/>
        <w:bottom w:val="none" w:sz="0" w:space="0" w:color="auto"/>
        <w:right w:val="none" w:sz="0" w:space="0" w:color="auto"/>
      </w:divBdr>
    </w:div>
    <w:div w:id="648631336">
      <w:bodyDiv w:val="1"/>
      <w:marLeft w:val="0"/>
      <w:marRight w:val="0"/>
      <w:marTop w:val="0"/>
      <w:marBottom w:val="0"/>
      <w:divBdr>
        <w:top w:val="none" w:sz="0" w:space="0" w:color="auto"/>
        <w:left w:val="none" w:sz="0" w:space="0" w:color="auto"/>
        <w:bottom w:val="none" w:sz="0" w:space="0" w:color="auto"/>
        <w:right w:val="none" w:sz="0" w:space="0" w:color="auto"/>
      </w:divBdr>
    </w:div>
    <w:div w:id="648830884">
      <w:bodyDiv w:val="1"/>
      <w:marLeft w:val="0"/>
      <w:marRight w:val="0"/>
      <w:marTop w:val="0"/>
      <w:marBottom w:val="0"/>
      <w:divBdr>
        <w:top w:val="none" w:sz="0" w:space="0" w:color="auto"/>
        <w:left w:val="none" w:sz="0" w:space="0" w:color="auto"/>
        <w:bottom w:val="none" w:sz="0" w:space="0" w:color="auto"/>
        <w:right w:val="none" w:sz="0" w:space="0" w:color="auto"/>
      </w:divBdr>
    </w:div>
    <w:div w:id="648900692">
      <w:bodyDiv w:val="1"/>
      <w:marLeft w:val="0"/>
      <w:marRight w:val="0"/>
      <w:marTop w:val="0"/>
      <w:marBottom w:val="0"/>
      <w:divBdr>
        <w:top w:val="none" w:sz="0" w:space="0" w:color="auto"/>
        <w:left w:val="none" w:sz="0" w:space="0" w:color="auto"/>
        <w:bottom w:val="none" w:sz="0" w:space="0" w:color="auto"/>
        <w:right w:val="none" w:sz="0" w:space="0" w:color="auto"/>
      </w:divBdr>
    </w:div>
    <w:div w:id="648903001">
      <w:bodyDiv w:val="1"/>
      <w:marLeft w:val="0"/>
      <w:marRight w:val="0"/>
      <w:marTop w:val="0"/>
      <w:marBottom w:val="0"/>
      <w:divBdr>
        <w:top w:val="none" w:sz="0" w:space="0" w:color="auto"/>
        <w:left w:val="none" w:sz="0" w:space="0" w:color="auto"/>
        <w:bottom w:val="none" w:sz="0" w:space="0" w:color="auto"/>
        <w:right w:val="none" w:sz="0" w:space="0" w:color="auto"/>
      </w:divBdr>
    </w:div>
    <w:div w:id="649020676">
      <w:bodyDiv w:val="1"/>
      <w:marLeft w:val="0"/>
      <w:marRight w:val="0"/>
      <w:marTop w:val="0"/>
      <w:marBottom w:val="0"/>
      <w:divBdr>
        <w:top w:val="none" w:sz="0" w:space="0" w:color="auto"/>
        <w:left w:val="none" w:sz="0" w:space="0" w:color="auto"/>
        <w:bottom w:val="none" w:sz="0" w:space="0" w:color="auto"/>
        <w:right w:val="none" w:sz="0" w:space="0" w:color="auto"/>
      </w:divBdr>
    </w:div>
    <w:div w:id="649283757">
      <w:bodyDiv w:val="1"/>
      <w:marLeft w:val="0"/>
      <w:marRight w:val="0"/>
      <w:marTop w:val="0"/>
      <w:marBottom w:val="0"/>
      <w:divBdr>
        <w:top w:val="none" w:sz="0" w:space="0" w:color="auto"/>
        <w:left w:val="none" w:sz="0" w:space="0" w:color="auto"/>
        <w:bottom w:val="none" w:sz="0" w:space="0" w:color="auto"/>
        <w:right w:val="none" w:sz="0" w:space="0" w:color="auto"/>
      </w:divBdr>
    </w:div>
    <w:div w:id="649331969">
      <w:bodyDiv w:val="1"/>
      <w:marLeft w:val="0"/>
      <w:marRight w:val="0"/>
      <w:marTop w:val="0"/>
      <w:marBottom w:val="0"/>
      <w:divBdr>
        <w:top w:val="none" w:sz="0" w:space="0" w:color="auto"/>
        <w:left w:val="none" w:sz="0" w:space="0" w:color="auto"/>
        <w:bottom w:val="none" w:sz="0" w:space="0" w:color="auto"/>
        <w:right w:val="none" w:sz="0" w:space="0" w:color="auto"/>
      </w:divBdr>
    </w:div>
    <w:div w:id="649672404">
      <w:bodyDiv w:val="1"/>
      <w:marLeft w:val="0"/>
      <w:marRight w:val="0"/>
      <w:marTop w:val="0"/>
      <w:marBottom w:val="0"/>
      <w:divBdr>
        <w:top w:val="none" w:sz="0" w:space="0" w:color="auto"/>
        <w:left w:val="none" w:sz="0" w:space="0" w:color="auto"/>
        <w:bottom w:val="none" w:sz="0" w:space="0" w:color="auto"/>
        <w:right w:val="none" w:sz="0" w:space="0" w:color="auto"/>
      </w:divBdr>
    </w:div>
    <w:div w:id="650214730">
      <w:bodyDiv w:val="1"/>
      <w:marLeft w:val="0"/>
      <w:marRight w:val="0"/>
      <w:marTop w:val="0"/>
      <w:marBottom w:val="0"/>
      <w:divBdr>
        <w:top w:val="none" w:sz="0" w:space="0" w:color="auto"/>
        <w:left w:val="none" w:sz="0" w:space="0" w:color="auto"/>
        <w:bottom w:val="none" w:sz="0" w:space="0" w:color="auto"/>
        <w:right w:val="none" w:sz="0" w:space="0" w:color="auto"/>
      </w:divBdr>
    </w:div>
    <w:div w:id="650251279">
      <w:bodyDiv w:val="1"/>
      <w:marLeft w:val="0"/>
      <w:marRight w:val="0"/>
      <w:marTop w:val="0"/>
      <w:marBottom w:val="0"/>
      <w:divBdr>
        <w:top w:val="none" w:sz="0" w:space="0" w:color="auto"/>
        <w:left w:val="none" w:sz="0" w:space="0" w:color="auto"/>
        <w:bottom w:val="none" w:sz="0" w:space="0" w:color="auto"/>
        <w:right w:val="none" w:sz="0" w:space="0" w:color="auto"/>
      </w:divBdr>
    </w:div>
    <w:div w:id="650476867">
      <w:bodyDiv w:val="1"/>
      <w:marLeft w:val="0"/>
      <w:marRight w:val="0"/>
      <w:marTop w:val="0"/>
      <w:marBottom w:val="0"/>
      <w:divBdr>
        <w:top w:val="none" w:sz="0" w:space="0" w:color="auto"/>
        <w:left w:val="none" w:sz="0" w:space="0" w:color="auto"/>
        <w:bottom w:val="none" w:sz="0" w:space="0" w:color="auto"/>
        <w:right w:val="none" w:sz="0" w:space="0" w:color="auto"/>
      </w:divBdr>
    </w:div>
    <w:div w:id="650602888">
      <w:bodyDiv w:val="1"/>
      <w:marLeft w:val="0"/>
      <w:marRight w:val="0"/>
      <w:marTop w:val="0"/>
      <w:marBottom w:val="0"/>
      <w:divBdr>
        <w:top w:val="none" w:sz="0" w:space="0" w:color="auto"/>
        <w:left w:val="none" w:sz="0" w:space="0" w:color="auto"/>
        <w:bottom w:val="none" w:sz="0" w:space="0" w:color="auto"/>
        <w:right w:val="none" w:sz="0" w:space="0" w:color="auto"/>
      </w:divBdr>
    </w:div>
    <w:div w:id="651181685">
      <w:bodyDiv w:val="1"/>
      <w:marLeft w:val="0"/>
      <w:marRight w:val="0"/>
      <w:marTop w:val="0"/>
      <w:marBottom w:val="0"/>
      <w:divBdr>
        <w:top w:val="none" w:sz="0" w:space="0" w:color="auto"/>
        <w:left w:val="none" w:sz="0" w:space="0" w:color="auto"/>
        <w:bottom w:val="none" w:sz="0" w:space="0" w:color="auto"/>
        <w:right w:val="none" w:sz="0" w:space="0" w:color="auto"/>
      </w:divBdr>
    </w:div>
    <w:div w:id="651256875">
      <w:bodyDiv w:val="1"/>
      <w:marLeft w:val="0"/>
      <w:marRight w:val="0"/>
      <w:marTop w:val="0"/>
      <w:marBottom w:val="0"/>
      <w:divBdr>
        <w:top w:val="none" w:sz="0" w:space="0" w:color="auto"/>
        <w:left w:val="none" w:sz="0" w:space="0" w:color="auto"/>
        <w:bottom w:val="none" w:sz="0" w:space="0" w:color="auto"/>
        <w:right w:val="none" w:sz="0" w:space="0" w:color="auto"/>
      </w:divBdr>
    </w:div>
    <w:div w:id="651637878">
      <w:bodyDiv w:val="1"/>
      <w:marLeft w:val="0"/>
      <w:marRight w:val="0"/>
      <w:marTop w:val="0"/>
      <w:marBottom w:val="0"/>
      <w:divBdr>
        <w:top w:val="none" w:sz="0" w:space="0" w:color="auto"/>
        <w:left w:val="none" w:sz="0" w:space="0" w:color="auto"/>
        <w:bottom w:val="none" w:sz="0" w:space="0" w:color="auto"/>
        <w:right w:val="none" w:sz="0" w:space="0" w:color="auto"/>
      </w:divBdr>
    </w:div>
    <w:div w:id="652027189">
      <w:bodyDiv w:val="1"/>
      <w:marLeft w:val="0"/>
      <w:marRight w:val="0"/>
      <w:marTop w:val="0"/>
      <w:marBottom w:val="0"/>
      <w:divBdr>
        <w:top w:val="none" w:sz="0" w:space="0" w:color="auto"/>
        <w:left w:val="none" w:sz="0" w:space="0" w:color="auto"/>
        <w:bottom w:val="none" w:sz="0" w:space="0" w:color="auto"/>
        <w:right w:val="none" w:sz="0" w:space="0" w:color="auto"/>
      </w:divBdr>
    </w:div>
    <w:div w:id="652223080">
      <w:bodyDiv w:val="1"/>
      <w:marLeft w:val="0"/>
      <w:marRight w:val="0"/>
      <w:marTop w:val="0"/>
      <w:marBottom w:val="0"/>
      <w:divBdr>
        <w:top w:val="none" w:sz="0" w:space="0" w:color="auto"/>
        <w:left w:val="none" w:sz="0" w:space="0" w:color="auto"/>
        <w:bottom w:val="none" w:sz="0" w:space="0" w:color="auto"/>
        <w:right w:val="none" w:sz="0" w:space="0" w:color="auto"/>
      </w:divBdr>
    </w:div>
    <w:div w:id="652488404">
      <w:bodyDiv w:val="1"/>
      <w:marLeft w:val="0"/>
      <w:marRight w:val="0"/>
      <w:marTop w:val="0"/>
      <w:marBottom w:val="0"/>
      <w:divBdr>
        <w:top w:val="none" w:sz="0" w:space="0" w:color="auto"/>
        <w:left w:val="none" w:sz="0" w:space="0" w:color="auto"/>
        <w:bottom w:val="none" w:sz="0" w:space="0" w:color="auto"/>
        <w:right w:val="none" w:sz="0" w:space="0" w:color="auto"/>
      </w:divBdr>
    </w:div>
    <w:div w:id="652757763">
      <w:bodyDiv w:val="1"/>
      <w:marLeft w:val="0"/>
      <w:marRight w:val="0"/>
      <w:marTop w:val="0"/>
      <w:marBottom w:val="0"/>
      <w:divBdr>
        <w:top w:val="none" w:sz="0" w:space="0" w:color="auto"/>
        <w:left w:val="none" w:sz="0" w:space="0" w:color="auto"/>
        <w:bottom w:val="none" w:sz="0" w:space="0" w:color="auto"/>
        <w:right w:val="none" w:sz="0" w:space="0" w:color="auto"/>
      </w:divBdr>
    </w:div>
    <w:div w:id="653098728">
      <w:bodyDiv w:val="1"/>
      <w:marLeft w:val="0"/>
      <w:marRight w:val="0"/>
      <w:marTop w:val="0"/>
      <w:marBottom w:val="0"/>
      <w:divBdr>
        <w:top w:val="none" w:sz="0" w:space="0" w:color="auto"/>
        <w:left w:val="none" w:sz="0" w:space="0" w:color="auto"/>
        <w:bottom w:val="none" w:sz="0" w:space="0" w:color="auto"/>
        <w:right w:val="none" w:sz="0" w:space="0" w:color="auto"/>
      </w:divBdr>
    </w:div>
    <w:div w:id="653219519">
      <w:bodyDiv w:val="1"/>
      <w:marLeft w:val="0"/>
      <w:marRight w:val="0"/>
      <w:marTop w:val="0"/>
      <w:marBottom w:val="0"/>
      <w:divBdr>
        <w:top w:val="none" w:sz="0" w:space="0" w:color="auto"/>
        <w:left w:val="none" w:sz="0" w:space="0" w:color="auto"/>
        <w:bottom w:val="none" w:sz="0" w:space="0" w:color="auto"/>
        <w:right w:val="none" w:sz="0" w:space="0" w:color="auto"/>
      </w:divBdr>
    </w:div>
    <w:div w:id="653606723">
      <w:bodyDiv w:val="1"/>
      <w:marLeft w:val="0"/>
      <w:marRight w:val="0"/>
      <w:marTop w:val="0"/>
      <w:marBottom w:val="0"/>
      <w:divBdr>
        <w:top w:val="none" w:sz="0" w:space="0" w:color="auto"/>
        <w:left w:val="none" w:sz="0" w:space="0" w:color="auto"/>
        <w:bottom w:val="none" w:sz="0" w:space="0" w:color="auto"/>
        <w:right w:val="none" w:sz="0" w:space="0" w:color="auto"/>
      </w:divBdr>
    </w:div>
    <w:div w:id="653993557">
      <w:bodyDiv w:val="1"/>
      <w:marLeft w:val="0"/>
      <w:marRight w:val="0"/>
      <w:marTop w:val="0"/>
      <w:marBottom w:val="0"/>
      <w:divBdr>
        <w:top w:val="none" w:sz="0" w:space="0" w:color="auto"/>
        <w:left w:val="none" w:sz="0" w:space="0" w:color="auto"/>
        <w:bottom w:val="none" w:sz="0" w:space="0" w:color="auto"/>
        <w:right w:val="none" w:sz="0" w:space="0" w:color="auto"/>
      </w:divBdr>
    </w:div>
    <w:div w:id="654333216">
      <w:bodyDiv w:val="1"/>
      <w:marLeft w:val="0"/>
      <w:marRight w:val="0"/>
      <w:marTop w:val="0"/>
      <w:marBottom w:val="0"/>
      <w:divBdr>
        <w:top w:val="none" w:sz="0" w:space="0" w:color="auto"/>
        <w:left w:val="none" w:sz="0" w:space="0" w:color="auto"/>
        <w:bottom w:val="none" w:sz="0" w:space="0" w:color="auto"/>
        <w:right w:val="none" w:sz="0" w:space="0" w:color="auto"/>
      </w:divBdr>
    </w:div>
    <w:div w:id="654650383">
      <w:bodyDiv w:val="1"/>
      <w:marLeft w:val="0"/>
      <w:marRight w:val="0"/>
      <w:marTop w:val="0"/>
      <w:marBottom w:val="0"/>
      <w:divBdr>
        <w:top w:val="none" w:sz="0" w:space="0" w:color="auto"/>
        <w:left w:val="none" w:sz="0" w:space="0" w:color="auto"/>
        <w:bottom w:val="none" w:sz="0" w:space="0" w:color="auto"/>
        <w:right w:val="none" w:sz="0" w:space="0" w:color="auto"/>
      </w:divBdr>
    </w:div>
    <w:div w:id="654845086">
      <w:bodyDiv w:val="1"/>
      <w:marLeft w:val="0"/>
      <w:marRight w:val="0"/>
      <w:marTop w:val="0"/>
      <w:marBottom w:val="0"/>
      <w:divBdr>
        <w:top w:val="none" w:sz="0" w:space="0" w:color="auto"/>
        <w:left w:val="none" w:sz="0" w:space="0" w:color="auto"/>
        <w:bottom w:val="none" w:sz="0" w:space="0" w:color="auto"/>
        <w:right w:val="none" w:sz="0" w:space="0" w:color="auto"/>
      </w:divBdr>
    </w:div>
    <w:div w:id="654988423">
      <w:bodyDiv w:val="1"/>
      <w:marLeft w:val="0"/>
      <w:marRight w:val="0"/>
      <w:marTop w:val="0"/>
      <w:marBottom w:val="0"/>
      <w:divBdr>
        <w:top w:val="none" w:sz="0" w:space="0" w:color="auto"/>
        <w:left w:val="none" w:sz="0" w:space="0" w:color="auto"/>
        <w:bottom w:val="none" w:sz="0" w:space="0" w:color="auto"/>
        <w:right w:val="none" w:sz="0" w:space="0" w:color="auto"/>
      </w:divBdr>
    </w:div>
    <w:div w:id="656038853">
      <w:bodyDiv w:val="1"/>
      <w:marLeft w:val="0"/>
      <w:marRight w:val="0"/>
      <w:marTop w:val="0"/>
      <w:marBottom w:val="0"/>
      <w:divBdr>
        <w:top w:val="none" w:sz="0" w:space="0" w:color="auto"/>
        <w:left w:val="none" w:sz="0" w:space="0" w:color="auto"/>
        <w:bottom w:val="none" w:sz="0" w:space="0" w:color="auto"/>
        <w:right w:val="none" w:sz="0" w:space="0" w:color="auto"/>
      </w:divBdr>
    </w:div>
    <w:div w:id="656149353">
      <w:bodyDiv w:val="1"/>
      <w:marLeft w:val="0"/>
      <w:marRight w:val="0"/>
      <w:marTop w:val="0"/>
      <w:marBottom w:val="0"/>
      <w:divBdr>
        <w:top w:val="none" w:sz="0" w:space="0" w:color="auto"/>
        <w:left w:val="none" w:sz="0" w:space="0" w:color="auto"/>
        <w:bottom w:val="none" w:sz="0" w:space="0" w:color="auto"/>
        <w:right w:val="none" w:sz="0" w:space="0" w:color="auto"/>
      </w:divBdr>
    </w:div>
    <w:div w:id="656374100">
      <w:bodyDiv w:val="1"/>
      <w:marLeft w:val="0"/>
      <w:marRight w:val="0"/>
      <w:marTop w:val="0"/>
      <w:marBottom w:val="0"/>
      <w:divBdr>
        <w:top w:val="none" w:sz="0" w:space="0" w:color="auto"/>
        <w:left w:val="none" w:sz="0" w:space="0" w:color="auto"/>
        <w:bottom w:val="none" w:sz="0" w:space="0" w:color="auto"/>
        <w:right w:val="none" w:sz="0" w:space="0" w:color="auto"/>
      </w:divBdr>
    </w:div>
    <w:div w:id="657660072">
      <w:bodyDiv w:val="1"/>
      <w:marLeft w:val="0"/>
      <w:marRight w:val="0"/>
      <w:marTop w:val="0"/>
      <w:marBottom w:val="0"/>
      <w:divBdr>
        <w:top w:val="none" w:sz="0" w:space="0" w:color="auto"/>
        <w:left w:val="none" w:sz="0" w:space="0" w:color="auto"/>
        <w:bottom w:val="none" w:sz="0" w:space="0" w:color="auto"/>
        <w:right w:val="none" w:sz="0" w:space="0" w:color="auto"/>
      </w:divBdr>
    </w:div>
    <w:div w:id="657809889">
      <w:bodyDiv w:val="1"/>
      <w:marLeft w:val="0"/>
      <w:marRight w:val="0"/>
      <w:marTop w:val="0"/>
      <w:marBottom w:val="0"/>
      <w:divBdr>
        <w:top w:val="none" w:sz="0" w:space="0" w:color="auto"/>
        <w:left w:val="none" w:sz="0" w:space="0" w:color="auto"/>
        <w:bottom w:val="none" w:sz="0" w:space="0" w:color="auto"/>
        <w:right w:val="none" w:sz="0" w:space="0" w:color="auto"/>
      </w:divBdr>
    </w:div>
    <w:div w:id="658073092">
      <w:bodyDiv w:val="1"/>
      <w:marLeft w:val="0"/>
      <w:marRight w:val="0"/>
      <w:marTop w:val="0"/>
      <w:marBottom w:val="0"/>
      <w:divBdr>
        <w:top w:val="none" w:sz="0" w:space="0" w:color="auto"/>
        <w:left w:val="none" w:sz="0" w:space="0" w:color="auto"/>
        <w:bottom w:val="none" w:sz="0" w:space="0" w:color="auto"/>
        <w:right w:val="none" w:sz="0" w:space="0" w:color="auto"/>
      </w:divBdr>
    </w:div>
    <w:div w:id="658076296">
      <w:bodyDiv w:val="1"/>
      <w:marLeft w:val="0"/>
      <w:marRight w:val="0"/>
      <w:marTop w:val="0"/>
      <w:marBottom w:val="0"/>
      <w:divBdr>
        <w:top w:val="none" w:sz="0" w:space="0" w:color="auto"/>
        <w:left w:val="none" w:sz="0" w:space="0" w:color="auto"/>
        <w:bottom w:val="none" w:sz="0" w:space="0" w:color="auto"/>
        <w:right w:val="none" w:sz="0" w:space="0" w:color="auto"/>
      </w:divBdr>
    </w:div>
    <w:div w:id="658189033">
      <w:bodyDiv w:val="1"/>
      <w:marLeft w:val="0"/>
      <w:marRight w:val="0"/>
      <w:marTop w:val="0"/>
      <w:marBottom w:val="0"/>
      <w:divBdr>
        <w:top w:val="none" w:sz="0" w:space="0" w:color="auto"/>
        <w:left w:val="none" w:sz="0" w:space="0" w:color="auto"/>
        <w:bottom w:val="none" w:sz="0" w:space="0" w:color="auto"/>
        <w:right w:val="none" w:sz="0" w:space="0" w:color="auto"/>
      </w:divBdr>
    </w:div>
    <w:div w:id="658459058">
      <w:bodyDiv w:val="1"/>
      <w:marLeft w:val="0"/>
      <w:marRight w:val="0"/>
      <w:marTop w:val="0"/>
      <w:marBottom w:val="0"/>
      <w:divBdr>
        <w:top w:val="none" w:sz="0" w:space="0" w:color="auto"/>
        <w:left w:val="none" w:sz="0" w:space="0" w:color="auto"/>
        <w:bottom w:val="none" w:sz="0" w:space="0" w:color="auto"/>
        <w:right w:val="none" w:sz="0" w:space="0" w:color="auto"/>
      </w:divBdr>
    </w:div>
    <w:div w:id="659037848">
      <w:bodyDiv w:val="1"/>
      <w:marLeft w:val="0"/>
      <w:marRight w:val="0"/>
      <w:marTop w:val="0"/>
      <w:marBottom w:val="0"/>
      <w:divBdr>
        <w:top w:val="none" w:sz="0" w:space="0" w:color="auto"/>
        <w:left w:val="none" w:sz="0" w:space="0" w:color="auto"/>
        <w:bottom w:val="none" w:sz="0" w:space="0" w:color="auto"/>
        <w:right w:val="none" w:sz="0" w:space="0" w:color="auto"/>
      </w:divBdr>
    </w:div>
    <w:div w:id="659504954">
      <w:bodyDiv w:val="1"/>
      <w:marLeft w:val="0"/>
      <w:marRight w:val="0"/>
      <w:marTop w:val="0"/>
      <w:marBottom w:val="0"/>
      <w:divBdr>
        <w:top w:val="none" w:sz="0" w:space="0" w:color="auto"/>
        <w:left w:val="none" w:sz="0" w:space="0" w:color="auto"/>
        <w:bottom w:val="none" w:sz="0" w:space="0" w:color="auto"/>
        <w:right w:val="none" w:sz="0" w:space="0" w:color="auto"/>
      </w:divBdr>
    </w:div>
    <w:div w:id="659968947">
      <w:bodyDiv w:val="1"/>
      <w:marLeft w:val="0"/>
      <w:marRight w:val="0"/>
      <w:marTop w:val="0"/>
      <w:marBottom w:val="0"/>
      <w:divBdr>
        <w:top w:val="none" w:sz="0" w:space="0" w:color="auto"/>
        <w:left w:val="none" w:sz="0" w:space="0" w:color="auto"/>
        <w:bottom w:val="none" w:sz="0" w:space="0" w:color="auto"/>
        <w:right w:val="none" w:sz="0" w:space="0" w:color="auto"/>
      </w:divBdr>
    </w:div>
    <w:div w:id="660160981">
      <w:bodyDiv w:val="1"/>
      <w:marLeft w:val="0"/>
      <w:marRight w:val="0"/>
      <w:marTop w:val="0"/>
      <w:marBottom w:val="0"/>
      <w:divBdr>
        <w:top w:val="none" w:sz="0" w:space="0" w:color="auto"/>
        <w:left w:val="none" w:sz="0" w:space="0" w:color="auto"/>
        <w:bottom w:val="none" w:sz="0" w:space="0" w:color="auto"/>
        <w:right w:val="none" w:sz="0" w:space="0" w:color="auto"/>
      </w:divBdr>
    </w:div>
    <w:div w:id="660277271">
      <w:bodyDiv w:val="1"/>
      <w:marLeft w:val="0"/>
      <w:marRight w:val="0"/>
      <w:marTop w:val="0"/>
      <w:marBottom w:val="0"/>
      <w:divBdr>
        <w:top w:val="none" w:sz="0" w:space="0" w:color="auto"/>
        <w:left w:val="none" w:sz="0" w:space="0" w:color="auto"/>
        <w:bottom w:val="none" w:sz="0" w:space="0" w:color="auto"/>
        <w:right w:val="none" w:sz="0" w:space="0" w:color="auto"/>
      </w:divBdr>
    </w:div>
    <w:div w:id="660349680">
      <w:bodyDiv w:val="1"/>
      <w:marLeft w:val="0"/>
      <w:marRight w:val="0"/>
      <w:marTop w:val="0"/>
      <w:marBottom w:val="0"/>
      <w:divBdr>
        <w:top w:val="none" w:sz="0" w:space="0" w:color="auto"/>
        <w:left w:val="none" w:sz="0" w:space="0" w:color="auto"/>
        <w:bottom w:val="none" w:sz="0" w:space="0" w:color="auto"/>
        <w:right w:val="none" w:sz="0" w:space="0" w:color="auto"/>
      </w:divBdr>
    </w:div>
    <w:div w:id="660426855">
      <w:bodyDiv w:val="1"/>
      <w:marLeft w:val="0"/>
      <w:marRight w:val="0"/>
      <w:marTop w:val="0"/>
      <w:marBottom w:val="0"/>
      <w:divBdr>
        <w:top w:val="none" w:sz="0" w:space="0" w:color="auto"/>
        <w:left w:val="none" w:sz="0" w:space="0" w:color="auto"/>
        <w:bottom w:val="none" w:sz="0" w:space="0" w:color="auto"/>
        <w:right w:val="none" w:sz="0" w:space="0" w:color="auto"/>
      </w:divBdr>
    </w:div>
    <w:div w:id="660546751">
      <w:bodyDiv w:val="1"/>
      <w:marLeft w:val="0"/>
      <w:marRight w:val="0"/>
      <w:marTop w:val="0"/>
      <w:marBottom w:val="0"/>
      <w:divBdr>
        <w:top w:val="none" w:sz="0" w:space="0" w:color="auto"/>
        <w:left w:val="none" w:sz="0" w:space="0" w:color="auto"/>
        <w:bottom w:val="none" w:sz="0" w:space="0" w:color="auto"/>
        <w:right w:val="none" w:sz="0" w:space="0" w:color="auto"/>
      </w:divBdr>
    </w:div>
    <w:div w:id="661009170">
      <w:bodyDiv w:val="1"/>
      <w:marLeft w:val="0"/>
      <w:marRight w:val="0"/>
      <w:marTop w:val="0"/>
      <w:marBottom w:val="0"/>
      <w:divBdr>
        <w:top w:val="none" w:sz="0" w:space="0" w:color="auto"/>
        <w:left w:val="none" w:sz="0" w:space="0" w:color="auto"/>
        <w:bottom w:val="none" w:sz="0" w:space="0" w:color="auto"/>
        <w:right w:val="none" w:sz="0" w:space="0" w:color="auto"/>
      </w:divBdr>
    </w:div>
    <w:div w:id="661130189">
      <w:bodyDiv w:val="1"/>
      <w:marLeft w:val="0"/>
      <w:marRight w:val="0"/>
      <w:marTop w:val="0"/>
      <w:marBottom w:val="0"/>
      <w:divBdr>
        <w:top w:val="none" w:sz="0" w:space="0" w:color="auto"/>
        <w:left w:val="none" w:sz="0" w:space="0" w:color="auto"/>
        <w:bottom w:val="none" w:sz="0" w:space="0" w:color="auto"/>
        <w:right w:val="none" w:sz="0" w:space="0" w:color="auto"/>
      </w:divBdr>
    </w:div>
    <w:div w:id="661154560">
      <w:bodyDiv w:val="1"/>
      <w:marLeft w:val="0"/>
      <w:marRight w:val="0"/>
      <w:marTop w:val="0"/>
      <w:marBottom w:val="0"/>
      <w:divBdr>
        <w:top w:val="none" w:sz="0" w:space="0" w:color="auto"/>
        <w:left w:val="none" w:sz="0" w:space="0" w:color="auto"/>
        <w:bottom w:val="none" w:sz="0" w:space="0" w:color="auto"/>
        <w:right w:val="none" w:sz="0" w:space="0" w:color="auto"/>
      </w:divBdr>
    </w:div>
    <w:div w:id="661465716">
      <w:bodyDiv w:val="1"/>
      <w:marLeft w:val="0"/>
      <w:marRight w:val="0"/>
      <w:marTop w:val="0"/>
      <w:marBottom w:val="0"/>
      <w:divBdr>
        <w:top w:val="none" w:sz="0" w:space="0" w:color="auto"/>
        <w:left w:val="none" w:sz="0" w:space="0" w:color="auto"/>
        <w:bottom w:val="none" w:sz="0" w:space="0" w:color="auto"/>
        <w:right w:val="none" w:sz="0" w:space="0" w:color="auto"/>
      </w:divBdr>
    </w:div>
    <w:div w:id="661617811">
      <w:bodyDiv w:val="1"/>
      <w:marLeft w:val="0"/>
      <w:marRight w:val="0"/>
      <w:marTop w:val="0"/>
      <w:marBottom w:val="0"/>
      <w:divBdr>
        <w:top w:val="none" w:sz="0" w:space="0" w:color="auto"/>
        <w:left w:val="none" w:sz="0" w:space="0" w:color="auto"/>
        <w:bottom w:val="none" w:sz="0" w:space="0" w:color="auto"/>
        <w:right w:val="none" w:sz="0" w:space="0" w:color="auto"/>
      </w:divBdr>
    </w:div>
    <w:div w:id="661813312">
      <w:bodyDiv w:val="1"/>
      <w:marLeft w:val="0"/>
      <w:marRight w:val="0"/>
      <w:marTop w:val="0"/>
      <w:marBottom w:val="0"/>
      <w:divBdr>
        <w:top w:val="none" w:sz="0" w:space="0" w:color="auto"/>
        <w:left w:val="none" w:sz="0" w:space="0" w:color="auto"/>
        <w:bottom w:val="none" w:sz="0" w:space="0" w:color="auto"/>
        <w:right w:val="none" w:sz="0" w:space="0" w:color="auto"/>
      </w:divBdr>
    </w:div>
    <w:div w:id="661933345">
      <w:bodyDiv w:val="1"/>
      <w:marLeft w:val="0"/>
      <w:marRight w:val="0"/>
      <w:marTop w:val="0"/>
      <w:marBottom w:val="0"/>
      <w:divBdr>
        <w:top w:val="none" w:sz="0" w:space="0" w:color="auto"/>
        <w:left w:val="none" w:sz="0" w:space="0" w:color="auto"/>
        <w:bottom w:val="none" w:sz="0" w:space="0" w:color="auto"/>
        <w:right w:val="none" w:sz="0" w:space="0" w:color="auto"/>
      </w:divBdr>
    </w:div>
    <w:div w:id="662316074">
      <w:bodyDiv w:val="1"/>
      <w:marLeft w:val="0"/>
      <w:marRight w:val="0"/>
      <w:marTop w:val="0"/>
      <w:marBottom w:val="0"/>
      <w:divBdr>
        <w:top w:val="none" w:sz="0" w:space="0" w:color="auto"/>
        <w:left w:val="none" w:sz="0" w:space="0" w:color="auto"/>
        <w:bottom w:val="none" w:sz="0" w:space="0" w:color="auto"/>
        <w:right w:val="none" w:sz="0" w:space="0" w:color="auto"/>
      </w:divBdr>
    </w:div>
    <w:div w:id="662968801">
      <w:bodyDiv w:val="1"/>
      <w:marLeft w:val="0"/>
      <w:marRight w:val="0"/>
      <w:marTop w:val="0"/>
      <w:marBottom w:val="0"/>
      <w:divBdr>
        <w:top w:val="none" w:sz="0" w:space="0" w:color="auto"/>
        <w:left w:val="none" w:sz="0" w:space="0" w:color="auto"/>
        <w:bottom w:val="none" w:sz="0" w:space="0" w:color="auto"/>
        <w:right w:val="none" w:sz="0" w:space="0" w:color="auto"/>
      </w:divBdr>
    </w:div>
    <w:div w:id="663247013">
      <w:bodyDiv w:val="1"/>
      <w:marLeft w:val="0"/>
      <w:marRight w:val="0"/>
      <w:marTop w:val="0"/>
      <w:marBottom w:val="0"/>
      <w:divBdr>
        <w:top w:val="none" w:sz="0" w:space="0" w:color="auto"/>
        <w:left w:val="none" w:sz="0" w:space="0" w:color="auto"/>
        <w:bottom w:val="none" w:sz="0" w:space="0" w:color="auto"/>
        <w:right w:val="none" w:sz="0" w:space="0" w:color="auto"/>
      </w:divBdr>
    </w:div>
    <w:div w:id="663356301">
      <w:bodyDiv w:val="1"/>
      <w:marLeft w:val="0"/>
      <w:marRight w:val="0"/>
      <w:marTop w:val="0"/>
      <w:marBottom w:val="0"/>
      <w:divBdr>
        <w:top w:val="none" w:sz="0" w:space="0" w:color="auto"/>
        <w:left w:val="none" w:sz="0" w:space="0" w:color="auto"/>
        <w:bottom w:val="none" w:sz="0" w:space="0" w:color="auto"/>
        <w:right w:val="none" w:sz="0" w:space="0" w:color="auto"/>
      </w:divBdr>
    </w:div>
    <w:div w:id="663509895">
      <w:bodyDiv w:val="1"/>
      <w:marLeft w:val="0"/>
      <w:marRight w:val="0"/>
      <w:marTop w:val="0"/>
      <w:marBottom w:val="0"/>
      <w:divBdr>
        <w:top w:val="none" w:sz="0" w:space="0" w:color="auto"/>
        <w:left w:val="none" w:sz="0" w:space="0" w:color="auto"/>
        <w:bottom w:val="none" w:sz="0" w:space="0" w:color="auto"/>
        <w:right w:val="none" w:sz="0" w:space="0" w:color="auto"/>
      </w:divBdr>
    </w:div>
    <w:div w:id="663626704">
      <w:bodyDiv w:val="1"/>
      <w:marLeft w:val="0"/>
      <w:marRight w:val="0"/>
      <w:marTop w:val="0"/>
      <w:marBottom w:val="0"/>
      <w:divBdr>
        <w:top w:val="none" w:sz="0" w:space="0" w:color="auto"/>
        <w:left w:val="none" w:sz="0" w:space="0" w:color="auto"/>
        <w:bottom w:val="none" w:sz="0" w:space="0" w:color="auto"/>
        <w:right w:val="none" w:sz="0" w:space="0" w:color="auto"/>
      </w:divBdr>
    </w:div>
    <w:div w:id="663896296">
      <w:bodyDiv w:val="1"/>
      <w:marLeft w:val="0"/>
      <w:marRight w:val="0"/>
      <w:marTop w:val="0"/>
      <w:marBottom w:val="0"/>
      <w:divBdr>
        <w:top w:val="none" w:sz="0" w:space="0" w:color="auto"/>
        <w:left w:val="none" w:sz="0" w:space="0" w:color="auto"/>
        <w:bottom w:val="none" w:sz="0" w:space="0" w:color="auto"/>
        <w:right w:val="none" w:sz="0" w:space="0" w:color="auto"/>
      </w:divBdr>
    </w:div>
    <w:div w:id="664012826">
      <w:bodyDiv w:val="1"/>
      <w:marLeft w:val="0"/>
      <w:marRight w:val="0"/>
      <w:marTop w:val="0"/>
      <w:marBottom w:val="0"/>
      <w:divBdr>
        <w:top w:val="none" w:sz="0" w:space="0" w:color="auto"/>
        <w:left w:val="none" w:sz="0" w:space="0" w:color="auto"/>
        <w:bottom w:val="none" w:sz="0" w:space="0" w:color="auto"/>
        <w:right w:val="none" w:sz="0" w:space="0" w:color="auto"/>
      </w:divBdr>
    </w:div>
    <w:div w:id="664669017">
      <w:bodyDiv w:val="1"/>
      <w:marLeft w:val="0"/>
      <w:marRight w:val="0"/>
      <w:marTop w:val="0"/>
      <w:marBottom w:val="0"/>
      <w:divBdr>
        <w:top w:val="none" w:sz="0" w:space="0" w:color="auto"/>
        <w:left w:val="none" w:sz="0" w:space="0" w:color="auto"/>
        <w:bottom w:val="none" w:sz="0" w:space="0" w:color="auto"/>
        <w:right w:val="none" w:sz="0" w:space="0" w:color="auto"/>
      </w:divBdr>
    </w:div>
    <w:div w:id="664675215">
      <w:bodyDiv w:val="1"/>
      <w:marLeft w:val="0"/>
      <w:marRight w:val="0"/>
      <w:marTop w:val="0"/>
      <w:marBottom w:val="0"/>
      <w:divBdr>
        <w:top w:val="none" w:sz="0" w:space="0" w:color="auto"/>
        <w:left w:val="none" w:sz="0" w:space="0" w:color="auto"/>
        <w:bottom w:val="none" w:sz="0" w:space="0" w:color="auto"/>
        <w:right w:val="none" w:sz="0" w:space="0" w:color="auto"/>
      </w:divBdr>
    </w:div>
    <w:div w:id="665672779">
      <w:bodyDiv w:val="1"/>
      <w:marLeft w:val="0"/>
      <w:marRight w:val="0"/>
      <w:marTop w:val="0"/>
      <w:marBottom w:val="0"/>
      <w:divBdr>
        <w:top w:val="none" w:sz="0" w:space="0" w:color="auto"/>
        <w:left w:val="none" w:sz="0" w:space="0" w:color="auto"/>
        <w:bottom w:val="none" w:sz="0" w:space="0" w:color="auto"/>
        <w:right w:val="none" w:sz="0" w:space="0" w:color="auto"/>
      </w:divBdr>
    </w:div>
    <w:div w:id="665791292">
      <w:bodyDiv w:val="1"/>
      <w:marLeft w:val="0"/>
      <w:marRight w:val="0"/>
      <w:marTop w:val="0"/>
      <w:marBottom w:val="0"/>
      <w:divBdr>
        <w:top w:val="none" w:sz="0" w:space="0" w:color="auto"/>
        <w:left w:val="none" w:sz="0" w:space="0" w:color="auto"/>
        <w:bottom w:val="none" w:sz="0" w:space="0" w:color="auto"/>
        <w:right w:val="none" w:sz="0" w:space="0" w:color="auto"/>
      </w:divBdr>
    </w:div>
    <w:div w:id="666052090">
      <w:bodyDiv w:val="1"/>
      <w:marLeft w:val="0"/>
      <w:marRight w:val="0"/>
      <w:marTop w:val="0"/>
      <w:marBottom w:val="0"/>
      <w:divBdr>
        <w:top w:val="none" w:sz="0" w:space="0" w:color="auto"/>
        <w:left w:val="none" w:sz="0" w:space="0" w:color="auto"/>
        <w:bottom w:val="none" w:sz="0" w:space="0" w:color="auto"/>
        <w:right w:val="none" w:sz="0" w:space="0" w:color="auto"/>
      </w:divBdr>
    </w:div>
    <w:div w:id="666399690">
      <w:bodyDiv w:val="1"/>
      <w:marLeft w:val="0"/>
      <w:marRight w:val="0"/>
      <w:marTop w:val="0"/>
      <w:marBottom w:val="0"/>
      <w:divBdr>
        <w:top w:val="none" w:sz="0" w:space="0" w:color="auto"/>
        <w:left w:val="none" w:sz="0" w:space="0" w:color="auto"/>
        <w:bottom w:val="none" w:sz="0" w:space="0" w:color="auto"/>
        <w:right w:val="none" w:sz="0" w:space="0" w:color="auto"/>
      </w:divBdr>
    </w:div>
    <w:div w:id="666519377">
      <w:bodyDiv w:val="1"/>
      <w:marLeft w:val="0"/>
      <w:marRight w:val="0"/>
      <w:marTop w:val="0"/>
      <w:marBottom w:val="0"/>
      <w:divBdr>
        <w:top w:val="none" w:sz="0" w:space="0" w:color="auto"/>
        <w:left w:val="none" w:sz="0" w:space="0" w:color="auto"/>
        <w:bottom w:val="none" w:sz="0" w:space="0" w:color="auto"/>
        <w:right w:val="none" w:sz="0" w:space="0" w:color="auto"/>
      </w:divBdr>
    </w:div>
    <w:div w:id="666639426">
      <w:bodyDiv w:val="1"/>
      <w:marLeft w:val="0"/>
      <w:marRight w:val="0"/>
      <w:marTop w:val="0"/>
      <w:marBottom w:val="0"/>
      <w:divBdr>
        <w:top w:val="none" w:sz="0" w:space="0" w:color="auto"/>
        <w:left w:val="none" w:sz="0" w:space="0" w:color="auto"/>
        <w:bottom w:val="none" w:sz="0" w:space="0" w:color="auto"/>
        <w:right w:val="none" w:sz="0" w:space="0" w:color="auto"/>
      </w:divBdr>
    </w:div>
    <w:div w:id="666980824">
      <w:bodyDiv w:val="1"/>
      <w:marLeft w:val="0"/>
      <w:marRight w:val="0"/>
      <w:marTop w:val="0"/>
      <w:marBottom w:val="0"/>
      <w:divBdr>
        <w:top w:val="none" w:sz="0" w:space="0" w:color="auto"/>
        <w:left w:val="none" w:sz="0" w:space="0" w:color="auto"/>
        <w:bottom w:val="none" w:sz="0" w:space="0" w:color="auto"/>
        <w:right w:val="none" w:sz="0" w:space="0" w:color="auto"/>
      </w:divBdr>
    </w:div>
    <w:div w:id="667102739">
      <w:bodyDiv w:val="1"/>
      <w:marLeft w:val="0"/>
      <w:marRight w:val="0"/>
      <w:marTop w:val="0"/>
      <w:marBottom w:val="0"/>
      <w:divBdr>
        <w:top w:val="none" w:sz="0" w:space="0" w:color="auto"/>
        <w:left w:val="none" w:sz="0" w:space="0" w:color="auto"/>
        <w:bottom w:val="none" w:sz="0" w:space="0" w:color="auto"/>
        <w:right w:val="none" w:sz="0" w:space="0" w:color="auto"/>
      </w:divBdr>
    </w:div>
    <w:div w:id="667247378">
      <w:bodyDiv w:val="1"/>
      <w:marLeft w:val="0"/>
      <w:marRight w:val="0"/>
      <w:marTop w:val="0"/>
      <w:marBottom w:val="0"/>
      <w:divBdr>
        <w:top w:val="none" w:sz="0" w:space="0" w:color="auto"/>
        <w:left w:val="none" w:sz="0" w:space="0" w:color="auto"/>
        <w:bottom w:val="none" w:sz="0" w:space="0" w:color="auto"/>
        <w:right w:val="none" w:sz="0" w:space="0" w:color="auto"/>
      </w:divBdr>
    </w:div>
    <w:div w:id="667368563">
      <w:bodyDiv w:val="1"/>
      <w:marLeft w:val="0"/>
      <w:marRight w:val="0"/>
      <w:marTop w:val="0"/>
      <w:marBottom w:val="0"/>
      <w:divBdr>
        <w:top w:val="none" w:sz="0" w:space="0" w:color="auto"/>
        <w:left w:val="none" w:sz="0" w:space="0" w:color="auto"/>
        <w:bottom w:val="none" w:sz="0" w:space="0" w:color="auto"/>
        <w:right w:val="none" w:sz="0" w:space="0" w:color="auto"/>
      </w:divBdr>
    </w:div>
    <w:div w:id="667709508">
      <w:bodyDiv w:val="1"/>
      <w:marLeft w:val="0"/>
      <w:marRight w:val="0"/>
      <w:marTop w:val="0"/>
      <w:marBottom w:val="0"/>
      <w:divBdr>
        <w:top w:val="none" w:sz="0" w:space="0" w:color="auto"/>
        <w:left w:val="none" w:sz="0" w:space="0" w:color="auto"/>
        <w:bottom w:val="none" w:sz="0" w:space="0" w:color="auto"/>
        <w:right w:val="none" w:sz="0" w:space="0" w:color="auto"/>
      </w:divBdr>
    </w:div>
    <w:div w:id="667951538">
      <w:bodyDiv w:val="1"/>
      <w:marLeft w:val="0"/>
      <w:marRight w:val="0"/>
      <w:marTop w:val="0"/>
      <w:marBottom w:val="0"/>
      <w:divBdr>
        <w:top w:val="none" w:sz="0" w:space="0" w:color="auto"/>
        <w:left w:val="none" w:sz="0" w:space="0" w:color="auto"/>
        <w:bottom w:val="none" w:sz="0" w:space="0" w:color="auto"/>
        <w:right w:val="none" w:sz="0" w:space="0" w:color="auto"/>
      </w:divBdr>
    </w:div>
    <w:div w:id="669067870">
      <w:bodyDiv w:val="1"/>
      <w:marLeft w:val="0"/>
      <w:marRight w:val="0"/>
      <w:marTop w:val="0"/>
      <w:marBottom w:val="0"/>
      <w:divBdr>
        <w:top w:val="none" w:sz="0" w:space="0" w:color="auto"/>
        <w:left w:val="none" w:sz="0" w:space="0" w:color="auto"/>
        <w:bottom w:val="none" w:sz="0" w:space="0" w:color="auto"/>
        <w:right w:val="none" w:sz="0" w:space="0" w:color="auto"/>
      </w:divBdr>
    </w:div>
    <w:div w:id="669482885">
      <w:bodyDiv w:val="1"/>
      <w:marLeft w:val="0"/>
      <w:marRight w:val="0"/>
      <w:marTop w:val="0"/>
      <w:marBottom w:val="0"/>
      <w:divBdr>
        <w:top w:val="none" w:sz="0" w:space="0" w:color="auto"/>
        <w:left w:val="none" w:sz="0" w:space="0" w:color="auto"/>
        <w:bottom w:val="none" w:sz="0" w:space="0" w:color="auto"/>
        <w:right w:val="none" w:sz="0" w:space="0" w:color="auto"/>
      </w:divBdr>
    </w:div>
    <w:div w:id="669598155">
      <w:bodyDiv w:val="1"/>
      <w:marLeft w:val="0"/>
      <w:marRight w:val="0"/>
      <w:marTop w:val="0"/>
      <w:marBottom w:val="0"/>
      <w:divBdr>
        <w:top w:val="none" w:sz="0" w:space="0" w:color="auto"/>
        <w:left w:val="none" w:sz="0" w:space="0" w:color="auto"/>
        <w:bottom w:val="none" w:sz="0" w:space="0" w:color="auto"/>
        <w:right w:val="none" w:sz="0" w:space="0" w:color="auto"/>
      </w:divBdr>
    </w:div>
    <w:div w:id="669724120">
      <w:bodyDiv w:val="1"/>
      <w:marLeft w:val="0"/>
      <w:marRight w:val="0"/>
      <w:marTop w:val="0"/>
      <w:marBottom w:val="0"/>
      <w:divBdr>
        <w:top w:val="none" w:sz="0" w:space="0" w:color="auto"/>
        <w:left w:val="none" w:sz="0" w:space="0" w:color="auto"/>
        <w:bottom w:val="none" w:sz="0" w:space="0" w:color="auto"/>
        <w:right w:val="none" w:sz="0" w:space="0" w:color="auto"/>
      </w:divBdr>
    </w:div>
    <w:div w:id="670254623">
      <w:bodyDiv w:val="1"/>
      <w:marLeft w:val="0"/>
      <w:marRight w:val="0"/>
      <w:marTop w:val="0"/>
      <w:marBottom w:val="0"/>
      <w:divBdr>
        <w:top w:val="none" w:sz="0" w:space="0" w:color="auto"/>
        <w:left w:val="none" w:sz="0" w:space="0" w:color="auto"/>
        <w:bottom w:val="none" w:sz="0" w:space="0" w:color="auto"/>
        <w:right w:val="none" w:sz="0" w:space="0" w:color="auto"/>
      </w:divBdr>
    </w:div>
    <w:div w:id="670572159">
      <w:bodyDiv w:val="1"/>
      <w:marLeft w:val="0"/>
      <w:marRight w:val="0"/>
      <w:marTop w:val="0"/>
      <w:marBottom w:val="0"/>
      <w:divBdr>
        <w:top w:val="none" w:sz="0" w:space="0" w:color="auto"/>
        <w:left w:val="none" w:sz="0" w:space="0" w:color="auto"/>
        <w:bottom w:val="none" w:sz="0" w:space="0" w:color="auto"/>
        <w:right w:val="none" w:sz="0" w:space="0" w:color="auto"/>
      </w:divBdr>
    </w:div>
    <w:div w:id="670717314">
      <w:bodyDiv w:val="1"/>
      <w:marLeft w:val="0"/>
      <w:marRight w:val="0"/>
      <w:marTop w:val="0"/>
      <w:marBottom w:val="0"/>
      <w:divBdr>
        <w:top w:val="none" w:sz="0" w:space="0" w:color="auto"/>
        <w:left w:val="none" w:sz="0" w:space="0" w:color="auto"/>
        <w:bottom w:val="none" w:sz="0" w:space="0" w:color="auto"/>
        <w:right w:val="none" w:sz="0" w:space="0" w:color="auto"/>
      </w:divBdr>
    </w:div>
    <w:div w:id="671419032">
      <w:bodyDiv w:val="1"/>
      <w:marLeft w:val="0"/>
      <w:marRight w:val="0"/>
      <w:marTop w:val="0"/>
      <w:marBottom w:val="0"/>
      <w:divBdr>
        <w:top w:val="none" w:sz="0" w:space="0" w:color="auto"/>
        <w:left w:val="none" w:sz="0" w:space="0" w:color="auto"/>
        <w:bottom w:val="none" w:sz="0" w:space="0" w:color="auto"/>
        <w:right w:val="none" w:sz="0" w:space="0" w:color="auto"/>
      </w:divBdr>
    </w:div>
    <w:div w:id="671878792">
      <w:bodyDiv w:val="1"/>
      <w:marLeft w:val="0"/>
      <w:marRight w:val="0"/>
      <w:marTop w:val="0"/>
      <w:marBottom w:val="0"/>
      <w:divBdr>
        <w:top w:val="none" w:sz="0" w:space="0" w:color="auto"/>
        <w:left w:val="none" w:sz="0" w:space="0" w:color="auto"/>
        <w:bottom w:val="none" w:sz="0" w:space="0" w:color="auto"/>
        <w:right w:val="none" w:sz="0" w:space="0" w:color="auto"/>
      </w:divBdr>
    </w:div>
    <w:div w:id="671879988">
      <w:bodyDiv w:val="1"/>
      <w:marLeft w:val="0"/>
      <w:marRight w:val="0"/>
      <w:marTop w:val="0"/>
      <w:marBottom w:val="0"/>
      <w:divBdr>
        <w:top w:val="none" w:sz="0" w:space="0" w:color="auto"/>
        <w:left w:val="none" w:sz="0" w:space="0" w:color="auto"/>
        <w:bottom w:val="none" w:sz="0" w:space="0" w:color="auto"/>
        <w:right w:val="none" w:sz="0" w:space="0" w:color="auto"/>
      </w:divBdr>
    </w:div>
    <w:div w:id="672609699">
      <w:bodyDiv w:val="1"/>
      <w:marLeft w:val="0"/>
      <w:marRight w:val="0"/>
      <w:marTop w:val="0"/>
      <w:marBottom w:val="0"/>
      <w:divBdr>
        <w:top w:val="none" w:sz="0" w:space="0" w:color="auto"/>
        <w:left w:val="none" w:sz="0" w:space="0" w:color="auto"/>
        <w:bottom w:val="none" w:sz="0" w:space="0" w:color="auto"/>
        <w:right w:val="none" w:sz="0" w:space="0" w:color="auto"/>
      </w:divBdr>
    </w:div>
    <w:div w:id="672757305">
      <w:bodyDiv w:val="1"/>
      <w:marLeft w:val="0"/>
      <w:marRight w:val="0"/>
      <w:marTop w:val="0"/>
      <w:marBottom w:val="0"/>
      <w:divBdr>
        <w:top w:val="none" w:sz="0" w:space="0" w:color="auto"/>
        <w:left w:val="none" w:sz="0" w:space="0" w:color="auto"/>
        <w:bottom w:val="none" w:sz="0" w:space="0" w:color="auto"/>
        <w:right w:val="none" w:sz="0" w:space="0" w:color="auto"/>
      </w:divBdr>
    </w:div>
    <w:div w:id="673188021">
      <w:bodyDiv w:val="1"/>
      <w:marLeft w:val="0"/>
      <w:marRight w:val="0"/>
      <w:marTop w:val="0"/>
      <w:marBottom w:val="0"/>
      <w:divBdr>
        <w:top w:val="none" w:sz="0" w:space="0" w:color="auto"/>
        <w:left w:val="none" w:sz="0" w:space="0" w:color="auto"/>
        <w:bottom w:val="none" w:sz="0" w:space="0" w:color="auto"/>
        <w:right w:val="none" w:sz="0" w:space="0" w:color="auto"/>
      </w:divBdr>
    </w:div>
    <w:div w:id="673454470">
      <w:bodyDiv w:val="1"/>
      <w:marLeft w:val="0"/>
      <w:marRight w:val="0"/>
      <w:marTop w:val="0"/>
      <w:marBottom w:val="0"/>
      <w:divBdr>
        <w:top w:val="none" w:sz="0" w:space="0" w:color="auto"/>
        <w:left w:val="none" w:sz="0" w:space="0" w:color="auto"/>
        <w:bottom w:val="none" w:sz="0" w:space="0" w:color="auto"/>
        <w:right w:val="none" w:sz="0" w:space="0" w:color="auto"/>
      </w:divBdr>
    </w:div>
    <w:div w:id="673461327">
      <w:bodyDiv w:val="1"/>
      <w:marLeft w:val="0"/>
      <w:marRight w:val="0"/>
      <w:marTop w:val="0"/>
      <w:marBottom w:val="0"/>
      <w:divBdr>
        <w:top w:val="none" w:sz="0" w:space="0" w:color="auto"/>
        <w:left w:val="none" w:sz="0" w:space="0" w:color="auto"/>
        <w:bottom w:val="none" w:sz="0" w:space="0" w:color="auto"/>
        <w:right w:val="none" w:sz="0" w:space="0" w:color="auto"/>
      </w:divBdr>
    </w:div>
    <w:div w:id="673990689">
      <w:bodyDiv w:val="1"/>
      <w:marLeft w:val="0"/>
      <w:marRight w:val="0"/>
      <w:marTop w:val="0"/>
      <w:marBottom w:val="0"/>
      <w:divBdr>
        <w:top w:val="none" w:sz="0" w:space="0" w:color="auto"/>
        <w:left w:val="none" w:sz="0" w:space="0" w:color="auto"/>
        <w:bottom w:val="none" w:sz="0" w:space="0" w:color="auto"/>
        <w:right w:val="none" w:sz="0" w:space="0" w:color="auto"/>
      </w:divBdr>
    </w:div>
    <w:div w:id="674070136">
      <w:bodyDiv w:val="1"/>
      <w:marLeft w:val="0"/>
      <w:marRight w:val="0"/>
      <w:marTop w:val="0"/>
      <w:marBottom w:val="0"/>
      <w:divBdr>
        <w:top w:val="none" w:sz="0" w:space="0" w:color="auto"/>
        <w:left w:val="none" w:sz="0" w:space="0" w:color="auto"/>
        <w:bottom w:val="none" w:sz="0" w:space="0" w:color="auto"/>
        <w:right w:val="none" w:sz="0" w:space="0" w:color="auto"/>
      </w:divBdr>
    </w:div>
    <w:div w:id="674110235">
      <w:bodyDiv w:val="1"/>
      <w:marLeft w:val="0"/>
      <w:marRight w:val="0"/>
      <w:marTop w:val="0"/>
      <w:marBottom w:val="0"/>
      <w:divBdr>
        <w:top w:val="none" w:sz="0" w:space="0" w:color="auto"/>
        <w:left w:val="none" w:sz="0" w:space="0" w:color="auto"/>
        <w:bottom w:val="none" w:sz="0" w:space="0" w:color="auto"/>
        <w:right w:val="none" w:sz="0" w:space="0" w:color="auto"/>
      </w:divBdr>
    </w:div>
    <w:div w:id="674190113">
      <w:bodyDiv w:val="1"/>
      <w:marLeft w:val="0"/>
      <w:marRight w:val="0"/>
      <w:marTop w:val="0"/>
      <w:marBottom w:val="0"/>
      <w:divBdr>
        <w:top w:val="none" w:sz="0" w:space="0" w:color="auto"/>
        <w:left w:val="none" w:sz="0" w:space="0" w:color="auto"/>
        <w:bottom w:val="none" w:sz="0" w:space="0" w:color="auto"/>
        <w:right w:val="none" w:sz="0" w:space="0" w:color="auto"/>
      </w:divBdr>
    </w:div>
    <w:div w:id="674192475">
      <w:bodyDiv w:val="1"/>
      <w:marLeft w:val="0"/>
      <w:marRight w:val="0"/>
      <w:marTop w:val="0"/>
      <w:marBottom w:val="0"/>
      <w:divBdr>
        <w:top w:val="none" w:sz="0" w:space="0" w:color="auto"/>
        <w:left w:val="none" w:sz="0" w:space="0" w:color="auto"/>
        <w:bottom w:val="none" w:sz="0" w:space="0" w:color="auto"/>
        <w:right w:val="none" w:sz="0" w:space="0" w:color="auto"/>
      </w:divBdr>
    </w:div>
    <w:div w:id="674503275">
      <w:bodyDiv w:val="1"/>
      <w:marLeft w:val="0"/>
      <w:marRight w:val="0"/>
      <w:marTop w:val="0"/>
      <w:marBottom w:val="0"/>
      <w:divBdr>
        <w:top w:val="none" w:sz="0" w:space="0" w:color="auto"/>
        <w:left w:val="none" w:sz="0" w:space="0" w:color="auto"/>
        <w:bottom w:val="none" w:sz="0" w:space="0" w:color="auto"/>
        <w:right w:val="none" w:sz="0" w:space="0" w:color="auto"/>
      </w:divBdr>
    </w:div>
    <w:div w:id="674577906">
      <w:bodyDiv w:val="1"/>
      <w:marLeft w:val="0"/>
      <w:marRight w:val="0"/>
      <w:marTop w:val="0"/>
      <w:marBottom w:val="0"/>
      <w:divBdr>
        <w:top w:val="none" w:sz="0" w:space="0" w:color="auto"/>
        <w:left w:val="none" w:sz="0" w:space="0" w:color="auto"/>
        <w:bottom w:val="none" w:sz="0" w:space="0" w:color="auto"/>
        <w:right w:val="none" w:sz="0" w:space="0" w:color="auto"/>
      </w:divBdr>
    </w:div>
    <w:div w:id="674577925">
      <w:bodyDiv w:val="1"/>
      <w:marLeft w:val="0"/>
      <w:marRight w:val="0"/>
      <w:marTop w:val="0"/>
      <w:marBottom w:val="0"/>
      <w:divBdr>
        <w:top w:val="none" w:sz="0" w:space="0" w:color="auto"/>
        <w:left w:val="none" w:sz="0" w:space="0" w:color="auto"/>
        <w:bottom w:val="none" w:sz="0" w:space="0" w:color="auto"/>
        <w:right w:val="none" w:sz="0" w:space="0" w:color="auto"/>
      </w:divBdr>
    </w:div>
    <w:div w:id="674725410">
      <w:bodyDiv w:val="1"/>
      <w:marLeft w:val="0"/>
      <w:marRight w:val="0"/>
      <w:marTop w:val="0"/>
      <w:marBottom w:val="0"/>
      <w:divBdr>
        <w:top w:val="none" w:sz="0" w:space="0" w:color="auto"/>
        <w:left w:val="none" w:sz="0" w:space="0" w:color="auto"/>
        <w:bottom w:val="none" w:sz="0" w:space="0" w:color="auto"/>
        <w:right w:val="none" w:sz="0" w:space="0" w:color="auto"/>
      </w:divBdr>
    </w:div>
    <w:div w:id="675307306">
      <w:bodyDiv w:val="1"/>
      <w:marLeft w:val="0"/>
      <w:marRight w:val="0"/>
      <w:marTop w:val="0"/>
      <w:marBottom w:val="0"/>
      <w:divBdr>
        <w:top w:val="none" w:sz="0" w:space="0" w:color="auto"/>
        <w:left w:val="none" w:sz="0" w:space="0" w:color="auto"/>
        <w:bottom w:val="none" w:sz="0" w:space="0" w:color="auto"/>
        <w:right w:val="none" w:sz="0" w:space="0" w:color="auto"/>
      </w:divBdr>
    </w:div>
    <w:div w:id="675616308">
      <w:bodyDiv w:val="1"/>
      <w:marLeft w:val="0"/>
      <w:marRight w:val="0"/>
      <w:marTop w:val="0"/>
      <w:marBottom w:val="0"/>
      <w:divBdr>
        <w:top w:val="none" w:sz="0" w:space="0" w:color="auto"/>
        <w:left w:val="none" w:sz="0" w:space="0" w:color="auto"/>
        <w:bottom w:val="none" w:sz="0" w:space="0" w:color="auto"/>
        <w:right w:val="none" w:sz="0" w:space="0" w:color="auto"/>
      </w:divBdr>
    </w:div>
    <w:div w:id="675960100">
      <w:bodyDiv w:val="1"/>
      <w:marLeft w:val="0"/>
      <w:marRight w:val="0"/>
      <w:marTop w:val="0"/>
      <w:marBottom w:val="0"/>
      <w:divBdr>
        <w:top w:val="none" w:sz="0" w:space="0" w:color="auto"/>
        <w:left w:val="none" w:sz="0" w:space="0" w:color="auto"/>
        <w:bottom w:val="none" w:sz="0" w:space="0" w:color="auto"/>
        <w:right w:val="none" w:sz="0" w:space="0" w:color="auto"/>
      </w:divBdr>
    </w:div>
    <w:div w:id="676226288">
      <w:bodyDiv w:val="1"/>
      <w:marLeft w:val="0"/>
      <w:marRight w:val="0"/>
      <w:marTop w:val="0"/>
      <w:marBottom w:val="0"/>
      <w:divBdr>
        <w:top w:val="none" w:sz="0" w:space="0" w:color="auto"/>
        <w:left w:val="none" w:sz="0" w:space="0" w:color="auto"/>
        <w:bottom w:val="none" w:sz="0" w:space="0" w:color="auto"/>
        <w:right w:val="none" w:sz="0" w:space="0" w:color="auto"/>
      </w:divBdr>
    </w:div>
    <w:div w:id="677080435">
      <w:bodyDiv w:val="1"/>
      <w:marLeft w:val="0"/>
      <w:marRight w:val="0"/>
      <w:marTop w:val="0"/>
      <w:marBottom w:val="0"/>
      <w:divBdr>
        <w:top w:val="none" w:sz="0" w:space="0" w:color="auto"/>
        <w:left w:val="none" w:sz="0" w:space="0" w:color="auto"/>
        <w:bottom w:val="none" w:sz="0" w:space="0" w:color="auto"/>
        <w:right w:val="none" w:sz="0" w:space="0" w:color="auto"/>
      </w:divBdr>
    </w:div>
    <w:div w:id="677970101">
      <w:bodyDiv w:val="1"/>
      <w:marLeft w:val="0"/>
      <w:marRight w:val="0"/>
      <w:marTop w:val="0"/>
      <w:marBottom w:val="0"/>
      <w:divBdr>
        <w:top w:val="none" w:sz="0" w:space="0" w:color="auto"/>
        <w:left w:val="none" w:sz="0" w:space="0" w:color="auto"/>
        <w:bottom w:val="none" w:sz="0" w:space="0" w:color="auto"/>
        <w:right w:val="none" w:sz="0" w:space="0" w:color="auto"/>
      </w:divBdr>
    </w:div>
    <w:div w:id="678704686">
      <w:bodyDiv w:val="1"/>
      <w:marLeft w:val="0"/>
      <w:marRight w:val="0"/>
      <w:marTop w:val="0"/>
      <w:marBottom w:val="0"/>
      <w:divBdr>
        <w:top w:val="none" w:sz="0" w:space="0" w:color="auto"/>
        <w:left w:val="none" w:sz="0" w:space="0" w:color="auto"/>
        <w:bottom w:val="none" w:sz="0" w:space="0" w:color="auto"/>
        <w:right w:val="none" w:sz="0" w:space="0" w:color="auto"/>
      </w:divBdr>
    </w:div>
    <w:div w:id="679162820">
      <w:bodyDiv w:val="1"/>
      <w:marLeft w:val="0"/>
      <w:marRight w:val="0"/>
      <w:marTop w:val="0"/>
      <w:marBottom w:val="0"/>
      <w:divBdr>
        <w:top w:val="none" w:sz="0" w:space="0" w:color="auto"/>
        <w:left w:val="none" w:sz="0" w:space="0" w:color="auto"/>
        <w:bottom w:val="none" w:sz="0" w:space="0" w:color="auto"/>
        <w:right w:val="none" w:sz="0" w:space="0" w:color="auto"/>
      </w:divBdr>
    </w:div>
    <w:div w:id="679164230">
      <w:bodyDiv w:val="1"/>
      <w:marLeft w:val="0"/>
      <w:marRight w:val="0"/>
      <w:marTop w:val="0"/>
      <w:marBottom w:val="0"/>
      <w:divBdr>
        <w:top w:val="none" w:sz="0" w:space="0" w:color="auto"/>
        <w:left w:val="none" w:sz="0" w:space="0" w:color="auto"/>
        <w:bottom w:val="none" w:sz="0" w:space="0" w:color="auto"/>
        <w:right w:val="none" w:sz="0" w:space="0" w:color="auto"/>
      </w:divBdr>
    </w:div>
    <w:div w:id="680084764">
      <w:bodyDiv w:val="1"/>
      <w:marLeft w:val="0"/>
      <w:marRight w:val="0"/>
      <w:marTop w:val="0"/>
      <w:marBottom w:val="0"/>
      <w:divBdr>
        <w:top w:val="none" w:sz="0" w:space="0" w:color="auto"/>
        <w:left w:val="none" w:sz="0" w:space="0" w:color="auto"/>
        <w:bottom w:val="none" w:sz="0" w:space="0" w:color="auto"/>
        <w:right w:val="none" w:sz="0" w:space="0" w:color="auto"/>
      </w:divBdr>
    </w:div>
    <w:div w:id="680358203">
      <w:bodyDiv w:val="1"/>
      <w:marLeft w:val="0"/>
      <w:marRight w:val="0"/>
      <w:marTop w:val="0"/>
      <w:marBottom w:val="0"/>
      <w:divBdr>
        <w:top w:val="none" w:sz="0" w:space="0" w:color="auto"/>
        <w:left w:val="none" w:sz="0" w:space="0" w:color="auto"/>
        <w:bottom w:val="none" w:sz="0" w:space="0" w:color="auto"/>
        <w:right w:val="none" w:sz="0" w:space="0" w:color="auto"/>
      </w:divBdr>
    </w:div>
    <w:div w:id="680667133">
      <w:bodyDiv w:val="1"/>
      <w:marLeft w:val="0"/>
      <w:marRight w:val="0"/>
      <w:marTop w:val="0"/>
      <w:marBottom w:val="0"/>
      <w:divBdr>
        <w:top w:val="none" w:sz="0" w:space="0" w:color="auto"/>
        <w:left w:val="none" w:sz="0" w:space="0" w:color="auto"/>
        <w:bottom w:val="none" w:sz="0" w:space="0" w:color="auto"/>
        <w:right w:val="none" w:sz="0" w:space="0" w:color="auto"/>
      </w:divBdr>
    </w:div>
    <w:div w:id="680740056">
      <w:bodyDiv w:val="1"/>
      <w:marLeft w:val="0"/>
      <w:marRight w:val="0"/>
      <w:marTop w:val="0"/>
      <w:marBottom w:val="0"/>
      <w:divBdr>
        <w:top w:val="none" w:sz="0" w:space="0" w:color="auto"/>
        <w:left w:val="none" w:sz="0" w:space="0" w:color="auto"/>
        <w:bottom w:val="none" w:sz="0" w:space="0" w:color="auto"/>
        <w:right w:val="none" w:sz="0" w:space="0" w:color="auto"/>
      </w:divBdr>
    </w:div>
    <w:div w:id="680858922">
      <w:bodyDiv w:val="1"/>
      <w:marLeft w:val="0"/>
      <w:marRight w:val="0"/>
      <w:marTop w:val="0"/>
      <w:marBottom w:val="0"/>
      <w:divBdr>
        <w:top w:val="none" w:sz="0" w:space="0" w:color="auto"/>
        <w:left w:val="none" w:sz="0" w:space="0" w:color="auto"/>
        <w:bottom w:val="none" w:sz="0" w:space="0" w:color="auto"/>
        <w:right w:val="none" w:sz="0" w:space="0" w:color="auto"/>
      </w:divBdr>
    </w:div>
    <w:div w:id="681125734">
      <w:bodyDiv w:val="1"/>
      <w:marLeft w:val="0"/>
      <w:marRight w:val="0"/>
      <w:marTop w:val="0"/>
      <w:marBottom w:val="0"/>
      <w:divBdr>
        <w:top w:val="none" w:sz="0" w:space="0" w:color="auto"/>
        <w:left w:val="none" w:sz="0" w:space="0" w:color="auto"/>
        <w:bottom w:val="none" w:sz="0" w:space="0" w:color="auto"/>
        <w:right w:val="none" w:sz="0" w:space="0" w:color="auto"/>
      </w:divBdr>
    </w:div>
    <w:div w:id="681973234">
      <w:bodyDiv w:val="1"/>
      <w:marLeft w:val="0"/>
      <w:marRight w:val="0"/>
      <w:marTop w:val="0"/>
      <w:marBottom w:val="0"/>
      <w:divBdr>
        <w:top w:val="none" w:sz="0" w:space="0" w:color="auto"/>
        <w:left w:val="none" w:sz="0" w:space="0" w:color="auto"/>
        <w:bottom w:val="none" w:sz="0" w:space="0" w:color="auto"/>
        <w:right w:val="none" w:sz="0" w:space="0" w:color="auto"/>
      </w:divBdr>
    </w:div>
    <w:div w:id="681974489">
      <w:bodyDiv w:val="1"/>
      <w:marLeft w:val="0"/>
      <w:marRight w:val="0"/>
      <w:marTop w:val="0"/>
      <w:marBottom w:val="0"/>
      <w:divBdr>
        <w:top w:val="none" w:sz="0" w:space="0" w:color="auto"/>
        <w:left w:val="none" w:sz="0" w:space="0" w:color="auto"/>
        <w:bottom w:val="none" w:sz="0" w:space="0" w:color="auto"/>
        <w:right w:val="none" w:sz="0" w:space="0" w:color="auto"/>
      </w:divBdr>
    </w:div>
    <w:div w:id="682128440">
      <w:bodyDiv w:val="1"/>
      <w:marLeft w:val="0"/>
      <w:marRight w:val="0"/>
      <w:marTop w:val="0"/>
      <w:marBottom w:val="0"/>
      <w:divBdr>
        <w:top w:val="none" w:sz="0" w:space="0" w:color="auto"/>
        <w:left w:val="none" w:sz="0" w:space="0" w:color="auto"/>
        <w:bottom w:val="none" w:sz="0" w:space="0" w:color="auto"/>
        <w:right w:val="none" w:sz="0" w:space="0" w:color="auto"/>
      </w:divBdr>
    </w:div>
    <w:div w:id="682705359">
      <w:bodyDiv w:val="1"/>
      <w:marLeft w:val="0"/>
      <w:marRight w:val="0"/>
      <w:marTop w:val="0"/>
      <w:marBottom w:val="0"/>
      <w:divBdr>
        <w:top w:val="none" w:sz="0" w:space="0" w:color="auto"/>
        <w:left w:val="none" w:sz="0" w:space="0" w:color="auto"/>
        <w:bottom w:val="none" w:sz="0" w:space="0" w:color="auto"/>
        <w:right w:val="none" w:sz="0" w:space="0" w:color="auto"/>
      </w:divBdr>
    </w:div>
    <w:div w:id="683048392">
      <w:bodyDiv w:val="1"/>
      <w:marLeft w:val="0"/>
      <w:marRight w:val="0"/>
      <w:marTop w:val="0"/>
      <w:marBottom w:val="0"/>
      <w:divBdr>
        <w:top w:val="none" w:sz="0" w:space="0" w:color="auto"/>
        <w:left w:val="none" w:sz="0" w:space="0" w:color="auto"/>
        <w:bottom w:val="none" w:sz="0" w:space="0" w:color="auto"/>
        <w:right w:val="none" w:sz="0" w:space="0" w:color="auto"/>
      </w:divBdr>
    </w:div>
    <w:div w:id="683360862">
      <w:bodyDiv w:val="1"/>
      <w:marLeft w:val="0"/>
      <w:marRight w:val="0"/>
      <w:marTop w:val="0"/>
      <w:marBottom w:val="0"/>
      <w:divBdr>
        <w:top w:val="none" w:sz="0" w:space="0" w:color="auto"/>
        <w:left w:val="none" w:sz="0" w:space="0" w:color="auto"/>
        <w:bottom w:val="none" w:sz="0" w:space="0" w:color="auto"/>
        <w:right w:val="none" w:sz="0" w:space="0" w:color="auto"/>
      </w:divBdr>
    </w:div>
    <w:div w:id="683628499">
      <w:bodyDiv w:val="1"/>
      <w:marLeft w:val="0"/>
      <w:marRight w:val="0"/>
      <w:marTop w:val="0"/>
      <w:marBottom w:val="0"/>
      <w:divBdr>
        <w:top w:val="none" w:sz="0" w:space="0" w:color="auto"/>
        <w:left w:val="none" w:sz="0" w:space="0" w:color="auto"/>
        <w:bottom w:val="none" w:sz="0" w:space="0" w:color="auto"/>
        <w:right w:val="none" w:sz="0" w:space="0" w:color="auto"/>
      </w:divBdr>
    </w:div>
    <w:div w:id="683630590">
      <w:bodyDiv w:val="1"/>
      <w:marLeft w:val="0"/>
      <w:marRight w:val="0"/>
      <w:marTop w:val="0"/>
      <w:marBottom w:val="0"/>
      <w:divBdr>
        <w:top w:val="none" w:sz="0" w:space="0" w:color="auto"/>
        <w:left w:val="none" w:sz="0" w:space="0" w:color="auto"/>
        <w:bottom w:val="none" w:sz="0" w:space="0" w:color="auto"/>
        <w:right w:val="none" w:sz="0" w:space="0" w:color="auto"/>
      </w:divBdr>
    </w:div>
    <w:div w:id="683819983">
      <w:bodyDiv w:val="1"/>
      <w:marLeft w:val="0"/>
      <w:marRight w:val="0"/>
      <w:marTop w:val="0"/>
      <w:marBottom w:val="0"/>
      <w:divBdr>
        <w:top w:val="none" w:sz="0" w:space="0" w:color="auto"/>
        <w:left w:val="none" w:sz="0" w:space="0" w:color="auto"/>
        <w:bottom w:val="none" w:sz="0" w:space="0" w:color="auto"/>
        <w:right w:val="none" w:sz="0" w:space="0" w:color="auto"/>
      </w:divBdr>
    </w:div>
    <w:div w:id="684290072">
      <w:bodyDiv w:val="1"/>
      <w:marLeft w:val="0"/>
      <w:marRight w:val="0"/>
      <w:marTop w:val="0"/>
      <w:marBottom w:val="0"/>
      <w:divBdr>
        <w:top w:val="none" w:sz="0" w:space="0" w:color="auto"/>
        <w:left w:val="none" w:sz="0" w:space="0" w:color="auto"/>
        <w:bottom w:val="none" w:sz="0" w:space="0" w:color="auto"/>
        <w:right w:val="none" w:sz="0" w:space="0" w:color="auto"/>
      </w:divBdr>
    </w:div>
    <w:div w:id="684524502">
      <w:bodyDiv w:val="1"/>
      <w:marLeft w:val="0"/>
      <w:marRight w:val="0"/>
      <w:marTop w:val="0"/>
      <w:marBottom w:val="0"/>
      <w:divBdr>
        <w:top w:val="none" w:sz="0" w:space="0" w:color="auto"/>
        <w:left w:val="none" w:sz="0" w:space="0" w:color="auto"/>
        <w:bottom w:val="none" w:sz="0" w:space="0" w:color="auto"/>
        <w:right w:val="none" w:sz="0" w:space="0" w:color="auto"/>
      </w:divBdr>
    </w:div>
    <w:div w:id="684593903">
      <w:bodyDiv w:val="1"/>
      <w:marLeft w:val="0"/>
      <w:marRight w:val="0"/>
      <w:marTop w:val="0"/>
      <w:marBottom w:val="0"/>
      <w:divBdr>
        <w:top w:val="none" w:sz="0" w:space="0" w:color="auto"/>
        <w:left w:val="none" w:sz="0" w:space="0" w:color="auto"/>
        <w:bottom w:val="none" w:sz="0" w:space="0" w:color="auto"/>
        <w:right w:val="none" w:sz="0" w:space="0" w:color="auto"/>
      </w:divBdr>
    </w:div>
    <w:div w:id="684867719">
      <w:bodyDiv w:val="1"/>
      <w:marLeft w:val="0"/>
      <w:marRight w:val="0"/>
      <w:marTop w:val="0"/>
      <w:marBottom w:val="0"/>
      <w:divBdr>
        <w:top w:val="none" w:sz="0" w:space="0" w:color="auto"/>
        <w:left w:val="none" w:sz="0" w:space="0" w:color="auto"/>
        <w:bottom w:val="none" w:sz="0" w:space="0" w:color="auto"/>
        <w:right w:val="none" w:sz="0" w:space="0" w:color="auto"/>
      </w:divBdr>
    </w:div>
    <w:div w:id="685252123">
      <w:bodyDiv w:val="1"/>
      <w:marLeft w:val="0"/>
      <w:marRight w:val="0"/>
      <w:marTop w:val="0"/>
      <w:marBottom w:val="0"/>
      <w:divBdr>
        <w:top w:val="none" w:sz="0" w:space="0" w:color="auto"/>
        <w:left w:val="none" w:sz="0" w:space="0" w:color="auto"/>
        <w:bottom w:val="none" w:sz="0" w:space="0" w:color="auto"/>
        <w:right w:val="none" w:sz="0" w:space="0" w:color="auto"/>
      </w:divBdr>
    </w:div>
    <w:div w:id="685402958">
      <w:bodyDiv w:val="1"/>
      <w:marLeft w:val="0"/>
      <w:marRight w:val="0"/>
      <w:marTop w:val="0"/>
      <w:marBottom w:val="0"/>
      <w:divBdr>
        <w:top w:val="none" w:sz="0" w:space="0" w:color="auto"/>
        <w:left w:val="none" w:sz="0" w:space="0" w:color="auto"/>
        <w:bottom w:val="none" w:sz="0" w:space="0" w:color="auto"/>
        <w:right w:val="none" w:sz="0" w:space="0" w:color="auto"/>
      </w:divBdr>
    </w:div>
    <w:div w:id="686055689">
      <w:bodyDiv w:val="1"/>
      <w:marLeft w:val="0"/>
      <w:marRight w:val="0"/>
      <w:marTop w:val="0"/>
      <w:marBottom w:val="0"/>
      <w:divBdr>
        <w:top w:val="none" w:sz="0" w:space="0" w:color="auto"/>
        <w:left w:val="none" w:sz="0" w:space="0" w:color="auto"/>
        <w:bottom w:val="none" w:sz="0" w:space="0" w:color="auto"/>
        <w:right w:val="none" w:sz="0" w:space="0" w:color="auto"/>
      </w:divBdr>
    </w:div>
    <w:div w:id="686517591">
      <w:bodyDiv w:val="1"/>
      <w:marLeft w:val="0"/>
      <w:marRight w:val="0"/>
      <w:marTop w:val="0"/>
      <w:marBottom w:val="0"/>
      <w:divBdr>
        <w:top w:val="none" w:sz="0" w:space="0" w:color="auto"/>
        <w:left w:val="none" w:sz="0" w:space="0" w:color="auto"/>
        <w:bottom w:val="none" w:sz="0" w:space="0" w:color="auto"/>
        <w:right w:val="none" w:sz="0" w:space="0" w:color="auto"/>
      </w:divBdr>
    </w:div>
    <w:div w:id="687293836">
      <w:bodyDiv w:val="1"/>
      <w:marLeft w:val="0"/>
      <w:marRight w:val="0"/>
      <w:marTop w:val="0"/>
      <w:marBottom w:val="0"/>
      <w:divBdr>
        <w:top w:val="none" w:sz="0" w:space="0" w:color="auto"/>
        <w:left w:val="none" w:sz="0" w:space="0" w:color="auto"/>
        <w:bottom w:val="none" w:sz="0" w:space="0" w:color="auto"/>
        <w:right w:val="none" w:sz="0" w:space="0" w:color="auto"/>
      </w:divBdr>
    </w:div>
    <w:div w:id="687367635">
      <w:bodyDiv w:val="1"/>
      <w:marLeft w:val="0"/>
      <w:marRight w:val="0"/>
      <w:marTop w:val="0"/>
      <w:marBottom w:val="0"/>
      <w:divBdr>
        <w:top w:val="none" w:sz="0" w:space="0" w:color="auto"/>
        <w:left w:val="none" w:sz="0" w:space="0" w:color="auto"/>
        <w:bottom w:val="none" w:sz="0" w:space="0" w:color="auto"/>
        <w:right w:val="none" w:sz="0" w:space="0" w:color="auto"/>
      </w:divBdr>
    </w:div>
    <w:div w:id="688487677">
      <w:bodyDiv w:val="1"/>
      <w:marLeft w:val="0"/>
      <w:marRight w:val="0"/>
      <w:marTop w:val="0"/>
      <w:marBottom w:val="0"/>
      <w:divBdr>
        <w:top w:val="none" w:sz="0" w:space="0" w:color="auto"/>
        <w:left w:val="none" w:sz="0" w:space="0" w:color="auto"/>
        <w:bottom w:val="none" w:sz="0" w:space="0" w:color="auto"/>
        <w:right w:val="none" w:sz="0" w:space="0" w:color="auto"/>
      </w:divBdr>
    </w:div>
    <w:div w:id="688527750">
      <w:bodyDiv w:val="1"/>
      <w:marLeft w:val="0"/>
      <w:marRight w:val="0"/>
      <w:marTop w:val="0"/>
      <w:marBottom w:val="0"/>
      <w:divBdr>
        <w:top w:val="none" w:sz="0" w:space="0" w:color="auto"/>
        <w:left w:val="none" w:sz="0" w:space="0" w:color="auto"/>
        <w:bottom w:val="none" w:sz="0" w:space="0" w:color="auto"/>
        <w:right w:val="none" w:sz="0" w:space="0" w:color="auto"/>
      </w:divBdr>
    </w:div>
    <w:div w:id="689181576">
      <w:bodyDiv w:val="1"/>
      <w:marLeft w:val="0"/>
      <w:marRight w:val="0"/>
      <w:marTop w:val="0"/>
      <w:marBottom w:val="0"/>
      <w:divBdr>
        <w:top w:val="none" w:sz="0" w:space="0" w:color="auto"/>
        <w:left w:val="none" w:sz="0" w:space="0" w:color="auto"/>
        <w:bottom w:val="none" w:sz="0" w:space="0" w:color="auto"/>
        <w:right w:val="none" w:sz="0" w:space="0" w:color="auto"/>
      </w:divBdr>
    </w:div>
    <w:div w:id="689257330">
      <w:bodyDiv w:val="1"/>
      <w:marLeft w:val="0"/>
      <w:marRight w:val="0"/>
      <w:marTop w:val="0"/>
      <w:marBottom w:val="0"/>
      <w:divBdr>
        <w:top w:val="none" w:sz="0" w:space="0" w:color="auto"/>
        <w:left w:val="none" w:sz="0" w:space="0" w:color="auto"/>
        <w:bottom w:val="none" w:sz="0" w:space="0" w:color="auto"/>
        <w:right w:val="none" w:sz="0" w:space="0" w:color="auto"/>
      </w:divBdr>
    </w:div>
    <w:div w:id="689986504">
      <w:bodyDiv w:val="1"/>
      <w:marLeft w:val="0"/>
      <w:marRight w:val="0"/>
      <w:marTop w:val="0"/>
      <w:marBottom w:val="0"/>
      <w:divBdr>
        <w:top w:val="none" w:sz="0" w:space="0" w:color="auto"/>
        <w:left w:val="none" w:sz="0" w:space="0" w:color="auto"/>
        <w:bottom w:val="none" w:sz="0" w:space="0" w:color="auto"/>
        <w:right w:val="none" w:sz="0" w:space="0" w:color="auto"/>
      </w:divBdr>
    </w:div>
    <w:div w:id="690033850">
      <w:bodyDiv w:val="1"/>
      <w:marLeft w:val="0"/>
      <w:marRight w:val="0"/>
      <w:marTop w:val="0"/>
      <w:marBottom w:val="0"/>
      <w:divBdr>
        <w:top w:val="none" w:sz="0" w:space="0" w:color="auto"/>
        <w:left w:val="none" w:sz="0" w:space="0" w:color="auto"/>
        <w:bottom w:val="none" w:sz="0" w:space="0" w:color="auto"/>
        <w:right w:val="none" w:sz="0" w:space="0" w:color="auto"/>
      </w:divBdr>
    </w:div>
    <w:div w:id="690453923">
      <w:bodyDiv w:val="1"/>
      <w:marLeft w:val="0"/>
      <w:marRight w:val="0"/>
      <w:marTop w:val="0"/>
      <w:marBottom w:val="0"/>
      <w:divBdr>
        <w:top w:val="none" w:sz="0" w:space="0" w:color="auto"/>
        <w:left w:val="none" w:sz="0" w:space="0" w:color="auto"/>
        <w:bottom w:val="none" w:sz="0" w:space="0" w:color="auto"/>
        <w:right w:val="none" w:sz="0" w:space="0" w:color="auto"/>
      </w:divBdr>
    </w:div>
    <w:div w:id="690646395">
      <w:bodyDiv w:val="1"/>
      <w:marLeft w:val="0"/>
      <w:marRight w:val="0"/>
      <w:marTop w:val="0"/>
      <w:marBottom w:val="0"/>
      <w:divBdr>
        <w:top w:val="none" w:sz="0" w:space="0" w:color="auto"/>
        <w:left w:val="none" w:sz="0" w:space="0" w:color="auto"/>
        <w:bottom w:val="none" w:sz="0" w:space="0" w:color="auto"/>
        <w:right w:val="none" w:sz="0" w:space="0" w:color="auto"/>
      </w:divBdr>
    </w:div>
    <w:div w:id="690765604">
      <w:bodyDiv w:val="1"/>
      <w:marLeft w:val="0"/>
      <w:marRight w:val="0"/>
      <w:marTop w:val="0"/>
      <w:marBottom w:val="0"/>
      <w:divBdr>
        <w:top w:val="none" w:sz="0" w:space="0" w:color="auto"/>
        <w:left w:val="none" w:sz="0" w:space="0" w:color="auto"/>
        <w:bottom w:val="none" w:sz="0" w:space="0" w:color="auto"/>
        <w:right w:val="none" w:sz="0" w:space="0" w:color="auto"/>
      </w:divBdr>
    </w:div>
    <w:div w:id="691032195">
      <w:bodyDiv w:val="1"/>
      <w:marLeft w:val="0"/>
      <w:marRight w:val="0"/>
      <w:marTop w:val="0"/>
      <w:marBottom w:val="0"/>
      <w:divBdr>
        <w:top w:val="none" w:sz="0" w:space="0" w:color="auto"/>
        <w:left w:val="none" w:sz="0" w:space="0" w:color="auto"/>
        <w:bottom w:val="none" w:sz="0" w:space="0" w:color="auto"/>
        <w:right w:val="none" w:sz="0" w:space="0" w:color="auto"/>
      </w:divBdr>
    </w:div>
    <w:div w:id="691420200">
      <w:bodyDiv w:val="1"/>
      <w:marLeft w:val="0"/>
      <w:marRight w:val="0"/>
      <w:marTop w:val="0"/>
      <w:marBottom w:val="0"/>
      <w:divBdr>
        <w:top w:val="none" w:sz="0" w:space="0" w:color="auto"/>
        <w:left w:val="none" w:sz="0" w:space="0" w:color="auto"/>
        <w:bottom w:val="none" w:sz="0" w:space="0" w:color="auto"/>
        <w:right w:val="none" w:sz="0" w:space="0" w:color="auto"/>
      </w:divBdr>
    </w:div>
    <w:div w:id="691492628">
      <w:bodyDiv w:val="1"/>
      <w:marLeft w:val="0"/>
      <w:marRight w:val="0"/>
      <w:marTop w:val="0"/>
      <w:marBottom w:val="0"/>
      <w:divBdr>
        <w:top w:val="none" w:sz="0" w:space="0" w:color="auto"/>
        <w:left w:val="none" w:sz="0" w:space="0" w:color="auto"/>
        <w:bottom w:val="none" w:sz="0" w:space="0" w:color="auto"/>
        <w:right w:val="none" w:sz="0" w:space="0" w:color="auto"/>
      </w:divBdr>
    </w:div>
    <w:div w:id="691612803">
      <w:bodyDiv w:val="1"/>
      <w:marLeft w:val="0"/>
      <w:marRight w:val="0"/>
      <w:marTop w:val="0"/>
      <w:marBottom w:val="0"/>
      <w:divBdr>
        <w:top w:val="none" w:sz="0" w:space="0" w:color="auto"/>
        <w:left w:val="none" w:sz="0" w:space="0" w:color="auto"/>
        <w:bottom w:val="none" w:sz="0" w:space="0" w:color="auto"/>
        <w:right w:val="none" w:sz="0" w:space="0" w:color="auto"/>
      </w:divBdr>
    </w:div>
    <w:div w:id="691685438">
      <w:bodyDiv w:val="1"/>
      <w:marLeft w:val="0"/>
      <w:marRight w:val="0"/>
      <w:marTop w:val="0"/>
      <w:marBottom w:val="0"/>
      <w:divBdr>
        <w:top w:val="none" w:sz="0" w:space="0" w:color="auto"/>
        <w:left w:val="none" w:sz="0" w:space="0" w:color="auto"/>
        <w:bottom w:val="none" w:sz="0" w:space="0" w:color="auto"/>
        <w:right w:val="none" w:sz="0" w:space="0" w:color="auto"/>
      </w:divBdr>
    </w:div>
    <w:div w:id="692145959">
      <w:bodyDiv w:val="1"/>
      <w:marLeft w:val="0"/>
      <w:marRight w:val="0"/>
      <w:marTop w:val="0"/>
      <w:marBottom w:val="0"/>
      <w:divBdr>
        <w:top w:val="none" w:sz="0" w:space="0" w:color="auto"/>
        <w:left w:val="none" w:sz="0" w:space="0" w:color="auto"/>
        <w:bottom w:val="none" w:sz="0" w:space="0" w:color="auto"/>
        <w:right w:val="none" w:sz="0" w:space="0" w:color="auto"/>
      </w:divBdr>
    </w:div>
    <w:div w:id="692193203">
      <w:bodyDiv w:val="1"/>
      <w:marLeft w:val="0"/>
      <w:marRight w:val="0"/>
      <w:marTop w:val="0"/>
      <w:marBottom w:val="0"/>
      <w:divBdr>
        <w:top w:val="none" w:sz="0" w:space="0" w:color="auto"/>
        <w:left w:val="none" w:sz="0" w:space="0" w:color="auto"/>
        <w:bottom w:val="none" w:sz="0" w:space="0" w:color="auto"/>
        <w:right w:val="none" w:sz="0" w:space="0" w:color="auto"/>
      </w:divBdr>
    </w:div>
    <w:div w:id="692456336">
      <w:bodyDiv w:val="1"/>
      <w:marLeft w:val="0"/>
      <w:marRight w:val="0"/>
      <w:marTop w:val="0"/>
      <w:marBottom w:val="0"/>
      <w:divBdr>
        <w:top w:val="none" w:sz="0" w:space="0" w:color="auto"/>
        <w:left w:val="none" w:sz="0" w:space="0" w:color="auto"/>
        <w:bottom w:val="none" w:sz="0" w:space="0" w:color="auto"/>
        <w:right w:val="none" w:sz="0" w:space="0" w:color="auto"/>
      </w:divBdr>
    </w:div>
    <w:div w:id="692613824">
      <w:bodyDiv w:val="1"/>
      <w:marLeft w:val="0"/>
      <w:marRight w:val="0"/>
      <w:marTop w:val="0"/>
      <w:marBottom w:val="0"/>
      <w:divBdr>
        <w:top w:val="none" w:sz="0" w:space="0" w:color="auto"/>
        <w:left w:val="none" w:sz="0" w:space="0" w:color="auto"/>
        <w:bottom w:val="none" w:sz="0" w:space="0" w:color="auto"/>
        <w:right w:val="none" w:sz="0" w:space="0" w:color="auto"/>
      </w:divBdr>
    </w:div>
    <w:div w:id="692806315">
      <w:bodyDiv w:val="1"/>
      <w:marLeft w:val="0"/>
      <w:marRight w:val="0"/>
      <w:marTop w:val="0"/>
      <w:marBottom w:val="0"/>
      <w:divBdr>
        <w:top w:val="none" w:sz="0" w:space="0" w:color="auto"/>
        <w:left w:val="none" w:sz="0" w:space="0" w:color="auto"/>
        <w:bottom w:val="none" w:sz="0" w:space="0" w:color="auto"/>
        <w:right w:val="none" w:sz="0" w:space="0" w:color="auto"/>
      </w:divBdr>
    </w:div>
    <w:div w:id="692875354">
      <w:bodyDiv w:val="1"/>
      <w:marLeft w:val="0"/>
      <w:marRight w:val="0"/>
      <w:marTop w:val="0"/>
      <w:marBottom w:val="0"/>
      <w:divBdr>
        <w:top w:val="none" w:sz="0" w:space="0" w:color="auto"/>
        <w:left w:val="none" w:sz="0" w:space="0" w:color="auto"/>
        <w:bottom w:val="none" w:sz="0" w:space="0" w:color="auto"/>
        <w:right w:val="none" w:sz="0" w:space="0" w:color="auto"/>
      </w:divBdr>
    </w:div>
    <w:div w:id="693070391">
      <w:bodyDiv w:val="1"/>
      <w:marLeft w:val="0"/>
      <w:marRight w:val="0"/>
      <w:marTop w:val="0"/>
      <w:marBottom w:val="0"/>
      <w:divBdr>
        <w:top w:val="none" w:sz="0" w:space="0" w:color="auto"/>
        <w:left w:val="none" w:sz="0" w:space="0" w:color="auto"/>
        <w:bottom w:val="none" w:sz="0" w:space="0" w:color="auto"/>
        <w:right w:val="none" w:sz="0" w:space="0" w:color="auto"/>
      </w:divBdr>
    </w:div>
    <w:div w:id="693337491">
      <w:bodyDiv w:val="1"/>
      <w:marLeft w:val="0"/>
      <w:marRight w:val="0"/>
      <w:marTop w:val="0"/>
      <w:marBottom w:val="0"/>
      <w:divBdr>
        <w:top w:val="none" w:sz="0" w:space="0" w:color="auto"/>
        <w:left w:val="none" w:sz="0" w:space="0" w:color="auto"/>
        <w:bottom w:val="none" w:sz="0" w:space="0" w:color="auto"/>
        <w:right w:val="none" w:sz="0" w:space="0" w:color="auto"/>
      </w:divBdr>
    </w:div>
    <w:div w:id="693771095">
      <w:bodyDiv w:val="1"/>
      <w:marLeft w:val="0"/>
      <w:marRight w:val="0"/>
      <w:marTop w:val="0"/>
      <w:marBottom w:val="0"/>
      <w:divBdr>
        <w:top w:val="none" w:sz="0" w:space="0" w:color="auto"/>
        <w:left w:val="none" w:sz="0" w:space="0" w:color="auto"/>
        <w:bottom w:val="none" w:sz="0" w:space="0" w:color="auto"/>
        <w:right w:val="none" w:sz="0" w:space="0" w:color="auto"/>
      </w:divBdr>
    </w:div>
    <w:div w:id="693845610">
      <w:bodyDiv w:val="1"/>
      <w:marLeft w:val="0"/>
      <w:marRight w:val="0"/>
      <w:marTop w:val="0"/>
      <w:marBottom w:val="0"/>
      <w:divBdr>
        <w:top w:val="none" w:sz="0" w:space="0" w:color="auto"/>
        <w:left w:val="none" w:sz="0" w:space="0" w:color="auto"/>
        <w:bottom w:val="none" w:sz="0" w:space="0" w:color="auto"/>
        <w:right w:val="none" w:sz="0" w:space="0" w:color="auto"/>
      </w:divBdr>
    </w:div>
    <w:div w:id="694116726">
      <w:bodyDiv w:val="1"/>
      <w:marLeft w:val="0"/>
      <w:marRight w:val="0"/>
      <w:marTop w:val="0"/>
      <w:marBottom w:val="0"/>
      <w:divBdr>
        <w:top w:val="none" w:sz="0" w:space="0" w:color="auto"/>
        <w:left w:val="none" w:sz="0" w:space="0" w:color="auto"/>
        <w:bottom w:val="none" w:sz="0" w:space="0" w:color="auto"/>
        <w:right w:val="none" w:sz="0" w:space="0" w:color="auto"/>
      </w:divBdr>
    </w:div>
    <w:div w:id="694162084">
      <w:bodyDiv w:val="1"/>
      <w:marLeft w:val="0"/>
      <w:marRight w:val="0"/>
      <w:marTop w:val="0"/>
      <w:marBottom w:val="0"/>
      <w:divBdr>
        <w:top w:val="none" w:sz="0" w:space="0" w:color="auto"/>
        <w:left w:val="none" w:sz="0" w:space="0" w:color="auto"/>
        <w:bottom w:val="none" w:sz="0" w:space="0" w:color="auto"/>
        <w:right w:val="none" w:sz="0" w:space="0" w:color="auto"/>
      </w:divBdr>
    </w:div>
    <w:div w:id="694381657">
      <w:bodyDiv w:val="1"/>
      <w:marLeft w:val="0"/>
      <w:marRight w:val="0"/>
      <w:marTop w:val="0"/>
      <w:marBottom w:val="0"/>
      <w:divBdr>
        <w:top w:val="none" w:sz="0" w:space="0" w:color="auto"/>
        <w:left w:val="none" w:sz="0" w:space="0" w:color="auto"/>
        <w:bottom w:val="none" w:sz="0" w:space="0" w:color="auto"/>
        <w:right w:val="none" w:sz="0" w:space="0" w:color="auto"/>
      </w:divBdr>
    </w:div>
    <w:div w:id="694499210">
      <w:bodyDiv w:val="1"/>
      <w:marLeft w:val="0"/>
      <w:marRight w:val="0"/>
      <w:marTop w:val="0"/>
      <w:marBottom w:val="0"/>
      <w:divBdr>
        <w:top w:val="none" w:sz="0" w:space="0" w:color="auto"/>
        <w:left w:val="none" w:sz="0" w:space="0" w:color="auto"/>
        <w:bottom w:val="none" w:sz="0" w:space="0" w:color="auto"/>
        <w:right w:val="none" w:sz="0" w:space="0" w:color="auto"/>
      </w:divBdr>
    </w:div>
    <w:div w:id="695614945">
      <w:bodyDiv w:val="1"/>
      <w:marLeft w:val="0"/>
      <w:marRight w:val="0"/>
      <w:marTop w:val="0"/>
      <w:marBottom w:val="0"/>
      <w:divBdr>
        <w:top w:val="none" w:sz="0" w:space="0" w:color="auto"/>
        <w:left w:val="none" w:sz="0" w:space="0" w:color="auto"/>
        <w:bottom w:val="none" w:sz="0" w:space="0" w:color="auto"/>
        <w:right w:val="none" w:sz="0" w:space="0" w:color="auto"/>
      </w:divBdr>
    </w:div>
    <w:div w:id="695885620">
      <w:bodyDiv w:val="1"/>
      <w:marLeft w:val="0"/>
      <w:marRight w:val="0"/>
      <w:marTop w:val="0"/>
      <w:marBottom w:val="0"/>
      <w:divBdr>
        <w:top w:val="none" w:sz="0" w:space="0" w:color="auto"/>
        <w:left w:val="none" w:sz="0" w:space="0" w:color="auto"/>
        <w:bottom w:val="none" w:sz="0" w:space="0" w:color="auto"/>
        <w:right w:val="none" w:sz="0" w:space="0" w:color="auto"/>
      </w:divBdr>
    </w:div>
    <w:div w:id="695934775">
      <w:bodyDiv w:val="1"/>
      <w:marLeft w:val="0"/>
      <w:marRight w:val="0"/>
      <w:marTop w:val="0"/>
      <w:marBottom w:val="0"/>
      <w:divBdr>
        <w:top w:val="none" w:sz="0" w:space="0" w:color="auto"/>
        <w:left w:val="none" w:sz="0" w:space="0" w:color="auto"/>
        <w:bottom w:val="none" w:sz="0" w:space="0" w:color="auto"/>
        <w:right w:val="none" w:sz="0" w:space="0" w:color="auto"/>
      </w:divBdr>
    </w:div>
    <w:div w:id="696542382">
      <w:bodyDiv w:val="1"/>
      <w:marLeft w:val="0"/>
      <w:marRight w:val="0"/>
      <w:marTop w:val="0"/>
      <w:marBottom w:val="0"/>
      <w:divBdr>
        <w:top w:val="none" w:sz="0" w:space="0" w:color="auto"/>
        <w:left w:val="none" w:sz="0" w:space="0" w:color="auto"/>
        <w:bottom w:val="none" w:sz="0" w:space="0" w:color="auto"/>
        <w:right w:val="none" w:sz="0" w:space="0" w:color="auto"/>
      </w:divBdr>
    </w:div>
    <w:div w:id="696614447">
      <w:bodyDiv w:val="1"/>
      <w:marLeft w:val="0"/>
      <w:marRight w:val="0"/>
      <w:marTop w:val="0"/>
      <w:marBottom w:val="0"/>
      <w:divBdr>
        <w:top w:val="none" w:sz="0" w:space="0" w:color="auto"/>
        <w:left w:val="none" w:sz="0" w:space="0" w:color="auto"/>
        <w:bottom w:val="none" w:sz="0" w:space="0" w:color="auto"/>
        <w:right w:val="none" w:sz="0" w:space="0" w:color="auto"/>
      </w:divBdr>
    </w:div>
    <w:div w:id="696659160">
      <w:bodyDiv w:val="1"/>
      <w:marLeft w:val="0"/>
      <w:marRight w:val="0"/>
      <w:marTop w:val="0"/>
      <w:marBottom w:val="0"/>
      <w:divBdr>
        <w:top w:val="none" w:sz="0" w:space="0" w:color="auto"/>
        <w:left w:val="none" w:sz="0" w:space="0" w:color="auto"/>
        <w:bottom w:val="none" w:sz="0" w:space="0" w:color="auto"/>
        <w:right w:val="none" w:sz="0" w:space="0" w:color="auto"/>
      </w:divBdr>
    </w:div>
    <w:div w:id="697853759">
      <w:bodyDiv w:val="1"/>
      <w:marLeft w:val="0"/>
      <w:marRight w:val="0"/>
      <w:marTop w:val="0"/>
      <w:marBottom w:val="0"/>
      <w:divBdr>
        <w:top w:val="none" w:sz="0" w:space="0" w:color="auto"/>
        <w:left w:val="none" w:sz="0" w:space="0" w:color="auto"/>
        <w:bottom w:val="none" w:sz="0" w:space="0" w:color="auto"/>
        <w:right w:val="none" w:sz="0" w:space="0" w:color="auto"/>
      </w:divBdr>
    </w:div>
    <w:div w:id="697973626">
      <w:bodyDiv w:val="1"/>
      <w:marLeft w:val="0"/>
      <w:marRight w:val="0"/>
      <w:marTop w:val="0"/>
      <w:marBottom w:val="0"/>
      <w:divBdr>
        <w:top w:val="none" w:sz="0" w:space="0" w:color="auto"/>
        <w:left w:val="none" w:sz="0" w:space="0" w:color="auto"/>
        <w:bottom w:val="none" w:sz="0" w:space="0" w:color="auto"/>
        <w:right w:val="none" w:sz="0" w:space="0" w:color="auto"/>
      </w:divBdr>
    </w:div>
    <w:div w:id="698166988">
      <w:bodyDiv w:val="1"/>
      <w:marLeft w:val="0"/>
      <w:marRight w:val="0"/>
      <w:marTop w:val="0"/>
      <w:marBottom w:val="0"/>
      <w:divBdr>
        <w:top w:val="none" w:sz="0" w:space="0" w:color="auto"/>
        <w:left w:val="none" w:sz="0" w:space="0" w:color="auto"/>
        <w:bottom w:val="none" w:sz="0" w:space="0" w:color="auto"/>
        <w:right w:val="none" w:sz="0" w:space="0" w:color="auto"/>
      </w:divBdr>
    </w:div>
    <w:div w:id="698315915">
      <w:bodyDiv w:val="1"/>
      <w:marLeft w:val="0"/>
      <w:marRight w:val="0"/>
      <w:marTop w:val="0"/>
      <w:marBottom w:val="0"/>
      <w:divBdr>
        <w:top w:val="none" w:sz="0" w:space="0" w:color="auto"/>
        <w:left w:val="none" w:sz="0" w:space="0" w:color="auto"/>
        <w:bottom w:val="none" w:sz="0" w:space="0" w:color="auto"/>
        <w:right w:val="none" w:sz="0" w:space="0" w:color="auto"/>
      </w:divBdr>
    </w:div>
    <w:div w:id="698431135">
      <w:bodyDiv w:val="1"/>
      <w:marLeft w:val="0"/>
      <w:marRight w:val="0"/>
      <w:marTop w:val="0"/>
      <w:marBottom w:val="0"/>
      <w:divBdr>
        <w:top w:val="none" w:sz="0" w:space="0" w:color="auto"/>
        <w:left w:val="none" w:sz="0" w:space="0" w:color="auto"/>
        <w:bottom w:val="none" w:sz="0" w:space="0" w:color="auto"/>
        <w:right w:val="none" w:sz="0" w:space="0" w:color="auto"/>
      </w:divBdr>
    </w:div>
    <w:div w:id="698941977">
      <w:bodyDiv w:val="1"/>
      <w:marLeft w:val="0"/>
      <w:marRight w:val="0"/>
      <w:marTop w:val="0"/>
      <w:marBottom w:val="0"/>
      <w:divBdr>
        <w:top w:val="none" w:sz="0" w:space="0" w:color="auto"/>
        <w:left w:val="none" w:sz="0" w:space="0" w:color="auto"/>
        <w:bottom w:val="none" w:sz="0" w:space="0" w:color="auto"/>
        <w:right w:val="none" w:sz="0" w:space="0" w:color="auto"/>
      </w:divBdr>
    </w:div>
    <w:div w:id="699167807">
      <w:bodyDiv w:val="1"/>
      <w:marLeft w:val="0"/>
      <w:marRight w:val="0"/>
      <w:marTop w:val="0"/>
      <w:marBottom w:val="0"/>
      <w:divBdr>
        <w:top w:val="none" w:sz="0" w:space="0" w:color="auto"/>
        <w:left w:val="none" w:sz="0" w:space="0" w:color="auto"/>
        <w:bottom w:val="none" w:sz="0" w:space="0" w:color="auto"/>
        <w:right w:val="none" w:sz="0" w:space="0" w:color="auto"/>
      </w:divBdr>
    </w:div>
    <w:div w:id="699475372">
      <w:bodyDiv w:val="1"/>
      <w:marLeft w:val="0"/>
      <w:marRight w:val="0"/>
      <w:marTop w:val="0"/>
      <w:marBottom w:val="0"/>
      <w:divBdr>
        <w:top w:val="none" w:sz="0" w:space="0" w:color="auto"/>
        <w:left w:val="none" w:sz="0" w:space="0" w:color="auto"/>
        <w:bottom w:val="none" w:sz="0" w:space="0" w:color="auto"/>
        <w:right w:val="none" w:sz="0" w:space="0" w:color="auto"/>
      </w:divBdr>
    </w:div>
    <w:div w:id="699822459">
      <w:bodyDiv w:val="1"/>
      <w:marLeft w:val="0"/>
      <w:marRight w:val="0"/>
      <w:marTop w:val="0"/>
      <w:marBottom w:val="0"/>
      <w:divBdr>
        <w:top w:val="none" w:sz="0" w:space="0" w:color="auto"/>
        <w:left w:val="none" w:sz="0" w:space="0" w:color="auto"/>
        <w:bottom w:val="none" w:sz="0" w:space="0" w:color="auto"/>
        <w:right w:val="none" w:sz="0" w:space="0" w:color="auto"/>
      </w:divBdr>
    </w:div>
    <w:div w:id="699890601">
      <w:bodyDiv w:val="1"/>
      <w:marLeft w:val="0"/>
      <w:marRight w:val="0"/>
      <w:marTop w:val="0"/>
      <w:marBottom w:val="0"/>
      <w:divBdr>
        <w:top w:val="none" w:sz="0" w:space="0" w:color="auto"/>
        <w:left w:val="none" w:sz="0" w:space="0" w:color="auto"/>
        <w:bottom w:val="none" w:sz="0" w:space="0" w:color="auto"/>
        <w:right w:val="none" w:sz="0" w:space="0" w:color="auto"/>
      </w:divBdr>
    </w:div>
    <w:div w:id="700284492">
      <w:bodyDiv w:val="1"/>
      <w:marLeft w:val="0"/>
      <w:marRight w:val="0"/>
      <w:marTop w:val="0"/>
      <w:marBottom w:val="0"/>
      <w:divBdr>
        <w:top w:val="none" w:sz="0" w:space="0" w:color="auto"/>
        <w:left w:val="none" w:sz="0" w:space="0" w:color="auto"/>
        <w:bottom w:val="none" w:sz="0" w:space="0" w:color="auto"/>
        <w:right w:val="none" w:sz="0" w:space="0" w:color="auto"/>
      </w:divBdr>
    </w:div>
    <w:div w:id="700396240">
      <w:bodyDiv w:val="1"/>
      <w:marLeft w:val="0"/>
      <w:marRight w:val="0"/>
      <w:marTop w:val="0"/>
      <w:marBottom w:val="0"/>
      <w:divBdr>
        <w:top w:val="none" w:sz="0" w:space="0" w:color="auto"/>
        <w:left w:val="none" w:sz="0" w:space="0" w:color="auto"/>
        <w:bottom w:val="none" w:sz="0" w:space="0" w:color="auto"/>
        <w:right w:val="none" w:sz="0" w:space="0" w:color="auto"/>
      </w:divBdr>
    </w:div>
    <w:div w:id="700475218">
      <w:bodyDiv w:val="1"/>
      <w:marLeft w:val="0"/>
      <w:marRight w:val="0"/>
      <w:marTop w:val="0"/>
      <w:marBottom w:val="0"/>
      <w:divBdr>
        <w:top w:val="none" w:sz="0" w:space="0" w:color="auto"/>
        <w:left w:val="none" w:sz="0" w:space="0" w:color="auto"/>
        <w:bottom w:val="none" w:sz="0" w:space="0" w:color="auto"/>
        <w:right w:val="none" w:sz="0" w:space="0" w:color="auto"/>
      </w:divBdr>
    </w:div>
    <w:div w:id="700664342">
      <w:bodyDiv w:val="1"/>
      <w:marLeft w:val="0"/>
      <w:marRight w:val="0"/>
      <w:marTop w:val="0"/>
      <w:marBottom w:val="0"/>
      <w:divBdr>
        <w:top w:val="none" w:sz="0" w:space="0" w:color="auto"/>
        <w:left w:val="none" w:sz="0" w:space="0" w:color="auto"/>
        <w:bottom w:val="none" w:sz="0" w:space="0" w:color="auto"/>
        <w:right w:val="none" w:sz="0" w:space="0" w:color="auto"/>
      </w:divBdr>
    </w:div>
    <w:div w:id="701126462">
      <w:bodyDiv w:val="1"/>
      <w:marLeft w:val="0"/>
      <w:marRight w:val="0"/>
      <w:marTop w:val="0"/>
      <w:marBottom w:val="0"/>
      <w:divBdr>
        <w:top w:val="none" w:sz="0" w:space="0" w:color="auto"/>
        <w:left w:val="none" w:sz="0" w:space="0" w:color="auto"/>
        <w:bottom w:val="none" w:sz="0" w:space="0" w:color="auto"/>
        <w:right w:val="none" w:sz="0" w:space="0" w:color="auto"/>
      </w:divBdr>
    </w:div>
    <w:div w:id="701636704">
      <w:bodyDiv w:val="1"/>
      <w:marLeft w:val="0"/>
      <w:marRight w:val="0"/>
      <w:marTop w:val="0"/>
      <w:marBottom w:val="0"/>
      <w:divBdr>
        <w:top w:val="none" w:sz="0" w:space="0" w:color="auto"/>
        <w:left w:val="none" w:sz="0" w:space="0" w:color="auto"/>
        <w:bottom w:val="none" w:sz="0" w:space="0" w:color="auto"/>
        <w:right w:val="none" w:sz="0" w:space="0" w:color="auto"/>
      </w:divBdr>
    </w:div>
    <w:div w:id="702369963">
      <w:bodyDiv w:val="1"/>
      <w:marLeft w:val="0"/>
      <w:marRight w:val="0"/>
      <w:marTop w:val="0"/>
      <w:marBottom w:val="0"/>
      <w:divBdr>
        <w:top w:val="none" w:sz="0" w:space="0" w:color="auto"/>
        <w:left w:val="none" w:sz="0" w:space="0" w:color="auto"/>
        <w:bottom w:val="none" w:sz="0" w:space="0" w:color="auto"/>
        <w:right w:val="none" w:sz="0" w:space="0" w:color="auto"/>
      </w:divBdr>
    </w:div>
    <w:div w:id="703482380">
      <w:bodyDiv w:val="1"/>
      <w:marLeft w:val="0"/>
      <w:marRight w:val="0"/>
      <w:marTop w:val="0"/>
      <w:marBottom w:val="0"/>
      <w:divBdr>
        <w:top w:val="none" w:sz="0" w:space="0" w:color="auto"/>
        <w:left w:val="none" w:sz="0" w:space="0" w:color="auto"/>
        <w:bottom w:val="none" w:sz="0" w:space="0" w:color="auto"/>
        <w:right w:val="none" w:sz="0" w:space="0" w:color="auto"/>
      </w:divBdr>
    </w:div>
    <w:div w:id="703483944">
      <w:bodyDiv w:val="1"/>
      <w:marLeft w:val="0"/>
      <w:marRight w:val="0"/>
      <w:marTop w:val="0"/>
      <w:marBottom w:val="0"/>
      <w:divBdr>
        <w:top w:val="none" w:sz="0" w:space="0" w:color="auto"/>
        <w:left w:val="none" w:sz="0" w:space="0" w:color="auto"/>
        <w:bottom w:val="none" w:sz="0" w:space="0" w:color="auto"/>
        <w:right w:val="none" w:sz="0" w:space="0" w:color="auto"/>
      </w:divBdr>
    </w:div>
    <w:div w:id="703602831">
      <w:bodyDiv w:val="1"/>
      <w:marLeft w:val="0"/>
      <w:marRight w:val="0"/>
      <w:marTop w:val="0"/>
      <w:marBottom w:val="0"/>
      <w:divBdr>
        <w:top w:val="none" w:sz="0" w:space="0" w:color="auto"/>
        <w:left w:val="none" w:sz="0" w:space="0" w:color="auto"/>
        <w:bottom w:val="none" w:sz="0" w:space="0" w:color="auto"/>
        <w:right w:val="none" w:sz="0" w:space="0" w:color="auto"/>
      </w:divBdr>
    </w:div>
    <w:div w:id="703750386">
      <w:bodyDiv w:val="1"/>
      <w:marLeft w:val="0"/>
      <w:marRight w:val="0"/>
      <w:marTop w:val="0"/>
      <w:marBottom w:val="0"/>
      <w:divBdr>
        <w:top w:val="none" w:sz="0" w:space="0" w:color="auto"/>
        <w:left w:val="none" w:sz="0" w:space="0" w:color="auto"/>
        <w:bottom w:val="none" w:sz="0" w:space="0" w:color="auto"/>
        <w:right w:val="none" w:sz="0" w:space="0" w:color="auto"/>
      </w:divBdr>
    </w:div>
    <w:div w:id="704253239">
      <w:bodyDiv w:val="1"/>
      <w:marLeft w:val="0"/>
      <w:marRight w:val="0"/>
      <w:marTop w:val="0"/>
      <w:marBottom w:val="0"/>
      <w:divBdr>
        <w:top w:val="none" w:sz="0" w:space="0" w:color="auto"/>
        <w:left w:val="none" w:sz="0" w:space="0" w:color="auto"/>
        <w:bottom w:val="none" w:sz="0" w:space="0" w:color="auto"/>
        <w:right w:val="none" w:sz="0" w:space="0" w:color="auto"/>
      </w:divBdr>
    </w:div>
    <w:div w:id="704327966">
      <w:bodyDiv w:val="1"/>
      <w:marLeft w:val="0"/>
      <w:marRight w:val="0"/>
      <w:marTop w:val="0"/>
      <w:marBottom w:val="0"/>
      <w:divBdr>
        <w:top w:val="none" w:sz="0" w:space="0" w:color="auto"/>
        <w:left w:val="none" w:sz="0" w:space="0" w:color="auto"/>
        <w:bottom w:val="none" w:sz="0" w:space="0" w:color="auto"/>
        <w:right w:val="none" w:sz="0" w:space="0" w:color="auto"/>
      </w:divBdr>
    </w:div>
    <w:div w:id="704332763">
      <w:bodyDiv w:val="1"/>
      <w:marLeft w:val="0"/>
      <w:marRight w:val="0"/>
      <w:marTop w:val="0"/>
      <w:marBottom w:val="0"/>
      <w:divBdr>
        <w:top w:val="none" w:sz="0" w:space="0" w:color="auto"/>
        <w:left w:val="none" w:sz="0" w:space="0" w:color="auto"/>
        <w:bottom w:val="none" w:sz="0" w:space="0" w:color="auto"/>
        <w:right w:val="none" w:sz="0" w:space="0" w:color="auto"/>
      </w:divBdr>
    </w:div>
    <w:div w:id="704911195">
      <w:bodyDiv w:val="1"/>
      <w:marLeft w:val="0"/>
      <w:marRight w:val="0"/>
      <w:marTop w:val="0"/>
      <w:marBottom w:val="0"/>
      <w:divBdr>
        <w:top w:val="none" w:sz="0" w:space="0" w:color="auto"/>
        <w:left w:val="none" w:sz="0" w:space="0" w:color="auto"/>
        <w:bottom w:val="none" w:sz="0" w:space="0" w:color="auto"/>
        <w:right w:val="none" w:sz="0" w:space="0" w:color="auto"/>
      </w:divBdr>
    </w:div>
    <w:div w:id="704915444">
      <w:bodyDiv w:val="1"/>
      <w:marLeft w:val="0"/>
      <w:marRight w:val="0"/>
      <w:marTop w:val="0"/>
      <w:marBottom w:val="0"/>
      <w:divBdr>
        <w:top w:val="none" w:sz="0" w:space="0" w:color="auto"/>
        <w:left w:val="none" w:sz="0" w:space="0" w:color="auto"/>
        <w:bottom w:val="none" w:sz="0" w:space="0" w:color="auto"/>
        <w:right w:val="none" w:sz="0" w:space="0" w:color="auto"/>
      </w:divBdr>
    </w:div>
    <w:div w:id="705103951">
      <w:bodyDiv w:val="1"/>
      <w:marLeft w:val="0"/>
      <w:marRight w:val="0"/>
      <w:marTop w:val="0"/>
      <w:marBottom w:val="0"/>
      <w:divBdr>
        <w:top w:val="none" w:sz="0" w:space="0" w:color="auto"/>
        <w:left w:val="none" w:sz="0" w:space="0" w:color="auto"/>
        <w:bottom w:val="none" w:sz="0" w:space="0" w:color="auto"/>
        <w:right w:val="none" w:sz="0" w:space="0" w:color="auto"/>
      </w:divBdr>
    </w:div>
    <w:div w:id="705251636">
      <w:bodyDiv w:val="1"/>
      <w:marLeft w:val="0"/>
      <w:marRight w:val="0"/>
      <w:marTop w:val="0"/>
      <w:marBottom w:val="0"/>
      <w:divBdr>
        <w:top w:val="none" w:sz="0" w:space="0" w:color="auto"/>
        <w:left w:val="none" w:sz="0" w:space="0" w:color="auto"/>
        <w:bottom w:val="none" w:sz="0" w:space="0" w:color="auto"/>
        <w:right w:val="none" w:sz="0" w:space="0" w:color="auto"/>
      </w:divBdr>
    </w:div>
    <w:div w:id="705327546">
      <w:bodyDiv w:val="1"/>
      <w:marLeft w:val="0"/>
      <w:marRight w:val="0"/>
      <w:marTop w:val="0"/>
      <w:marBottom w:val="0"/>
      <w:divBdr>
        <w:top w:val="none" w:sz="0" w:space="0" w:color="auto"/>
        <w:left w:val="none" w:sz="0" w:space="0" w:color="auto"/>
        <w:bottom w:val="none" w:sz="0" w:space="0" w:color="auto"/>
        <w:right w:val="none" w:sz="0" w:space="0" w:color="auto"/>
      </w:divBdr>
    </w:div>
    <w:div w:id="705522497">
      <w:bodyDiv w:val="1"/>
      <w:marLeft w:val="0"/>
      <w:marRight w:val="0"/>
      <w:marTop w:val="0"/>
      <w:marBottom w:val="0"/>
      <w:divBdr>
        <w:top w:val="none" w:sz="0" w:space="0" w:color="auto"/>
        <w:left w:val="none" w:sz="0" w:space="0" w:color="auto"/>
        <w:bottom w:val="none" w:sz="0" w:space="0" w:color="auto"/>
        <w:right w:val="none" w:sz="0" w:space="0" w:color="auto"/>
      </w:divBdr>
    </w:div>
    <w:div w:id="705719775">
      <w:bodyDiv w:val="1"/>
      <w:marLeft w:val="0"/>
      <w:marRight w:val="0"/>
      <w:marTop w:val="0"/>
      <w:marBottom w:val="0"/>
      <w:divBdr>
        <w:top w:val="none" w:sz="0" w:space="0" w:color="auto"/>
        <w:left w:val="none" w:sz="0" w:space="0" w:color="auto"/>
        <w:bottom w:val="none" w:sz="0" w:space="0" w:color="auto"/>
        <w:right w:val="none" w:sz="0" w:space="0" w:color="auto"/>
      </w:divBdr>
    </w:div>
    <w:div w:id="705834019">
      <w:bodyDiv w:val="1"/>
      <w:marLeft w:val="0"/>
      <w:marRight w:val="0"/>
      <w:marTop w:val="0"/>
      <w:marBottom w:val="0"/>
      <w:divBdr>
        <w:top w:val="none" w:sz="0" w:space="0" w:color="auto"/>
        <w:left w:val="none" w:sz="0" w:space="0" w:color="auto"/>
        <w:bottom w:val="none" w:sz="0" w:space="0" w:color="auto"/>
        <w:right w:val="none" w:sz="0" w:space="0" w:color="auto"/>
      </w:divBdr>
    </w:div>
    <w:div w:id="705908413">
      <w:bodyDiv w:val="1"/>
      <w:marLeft w:val="0"/>
      <w:marRight w:val="0"/>
      <w:marTop w:val="0"/>
      <w:marBottom w:val="0"/>
      <w:divBdr>
        <w:top w:val="none" w:sz="0" w:space="0" w:color="auto"/>
        <w:left w:val="none" w:sz="0" w:space="0" w:color="auto"/>
        <w:bottom w:val="none" w:sz="0" w:space="0" w:color="auto"/>
        <w:right w:val="none" w:sz="0" w:space="0" w:color="auto"/>
      </w:divBdr>
    </w:div>
    <w:div w:id="706025178">
      <w:bodyDiv w:val="1"/>
      <w:marLeft w:val="0"/>
      <w:marRight w:val="0"/>
      <w:marTop w:val="0"/>
      <w:marBottom w:val="0"/>
      <w:divBdr>
        <w:top w:val="none" w:sz="0" w:space="0" w:color="auto"/>
        <w:left w:val="none" w:sz="0" w:space="0" w:color="auto"/>
        <w:bottom w:val="none" w:sz="0" w:space="0" w:color="auto"/>
        <w:right w:val="none" w:sz="0" w:space="0" w:color="auto"/>
      </w:divBdr>
    </w:div>
    <w:div w:id="706299738">
      <w:bodyDiv w:val="1"/>
      <w:marLeft w:val="0"/>
      <w:marRight w:val="0"/>
      <w:marTop w:val="0"/>
      <w:marBottom w:val="0"/>
      <w:divBdr>
        <w:top w:val="none" w:sz="0" w:space="0" w:color="auto"/>
        <w:left w:val="none" w:sz="0" w:space="0" w:color="auto"/>
        <w:bottom w:val="none" w:sz="0" w:space="0" w:color="auto"/>
        <w:right w:val="none" w:sz="0" w:space="0" w:color="auto"/>
      </w:divBdr>
    </w:div>
    <w:div w:id="706419148">
      <w:bodyDiv w:val="1"/>
      <w:marLeft w:val="0"/>
      <w:marRight w:val="0"/>
      <w:marTop w:val="0"/>
      <w:marBottom w:val="0"/>
      <w:divBdr>
        <w:top w:val="none" w:sz="0" w:space="0" w:color="auto"/>
        <w:left w:val="none" w:sz="0" w:space="0" w:color="auto"/>
        <w:bottom w:val="none" w:sz="0" w:space="0" w:color="auto"/>
        <w:right w:val="none" w:sz="0" w:space="0" w:color="auto"/>
      </w:divBdr>
    </w:div>
    <w:div w:id="706758389">
      <w:bodyDiv w:val="1"/>
      <w:marLeft w:val="0"/>
      <w:marRight w:val="0"/>
      <w:marTop w:val="0"/>
      <w:marBottom w:val="0"/>
      <w:divBdr>
        <w:top w:val="none" w:sz="0" w:space="0" w:color="auto"/>
        <w:left w:val="none" w:sz="0" w:space="0" w:color="auto"/>
        <w:bottom w:val="none" w:sz="0" w:space="0" w:color="auto"/>
        <w:right w:val="none" w:sz="0" w:space="0" w:color="auto"/>
      </w:divBdr>
    </w:div>
    <w:div w:id="707143721">
      <w:bodyDiv w:val="1"/>
      <w:marLeft w:val="0"/>
      <w:marRight w:val="0"/>
      <w:marTop w:val="0"/>
      <w:marBottom w:val="0"/>
      <w:divBdr>
        <w:top w:val="none" w:sz="0" w:space="0" w:color="auto"/>
        <w:left w:val="none" w:sz="0" w:space="0" w:color="auto"/>
        <w:bottom w:val="none" w:sz="0" w:space="0" w:color="auto"/>
        <w:right w:val="none" w:sz="0" w:space="0" w:color="auto"/>
      </w:divBdr>
    </w:div>
    <w:div w:id="707148449">
      <w:bodyDiv w:val="1"/>
      <w:marLeft w:val="0"/>
      <w:marRight w:val="0"/>
      <w:marTop w:val="0"/>
      <w:marBottom w:val="0"/>
      <w:divBdr>
        <w:top w:val="none" w:sz="0" w:space="0" w:color="auto"/>
        <w:left w:val="none" w:sz="0" w:space="0" w:color="auto"/>
        <w:bottom w:val="none" w:sz="0" w:space="0" w:color="auto"/>
        <w:right w:val="none" w:sz="0" w:space="0" w:color="auto"/>
      </w:divBdr>
    </w:div>
    <w:div w:id="707291337">
      <w:bodyDiv w:val="1"/>
      <w:marLeft w:val="0"/>
      <w:marRight w:val="0"/>
      <w:marTop w:val="0"/>
      <w:marBottom w:val="0"/>
      <w:divBdr>
        <w:top w:val="none" w:sz="0" w:space="0" w:color="auto"/>
        <w:left w:val="none" w:sz="0" w:space="0" w:color="auto"/>
        <w:bottom w:val="none" w:sz="0" w:space="0" w:color="auto"/>
        <w:right w:val="none" w:sz="0" w:space="0" w:color="auto"/>
      </w:divBdr>
    </w:div>
    <w:div w:id="707341866">
      <w:bodyDiv w:val="1"/>
      <w:marLeft w:val="0"/>
      <w:marRight w:val="0"/>
      <w:marTop w:val="0"/>
      <w:marBottom w:val="0"/>
      <w:divBdr>
        <w:top w:val="none" w:sz="0" w:space="0" w:color="auto"/>
        <w:left w:val="none" w:sz="0" w:space="0" w:color="auto"/>
        <w:bottom w:val="none" w:sz="0" w:space="0" w:color="auto"/>
        <w:right w:val="none" w:sz="0" w:space="0" w:color="auto"/>
      </w:divBdr>
    </w:div>
    <w:div w:id="707489846">
      <w:bodyDiv w:val="1"/>
      <w:marLeft w:val="0"/>
      <w:marRight w:val="0"/>
      <w:marTop w:val="0"/>
      <w:marBottom w:val="0"/>
      <w:divBdr>
        <w:top w:val="none" w:sz="0" w:space="0" w:color="auto"/>
        <w:left w:val="none" w:sz="0" w:space="0" w:color="auto"/>
        <w:bottom w:val="none" w:sz="0" w:space="0" w:color="auto"/>
        <w:right w:val="none" w:sz="0" w:space="0" w:color="auto"/>
      </w:divBdr>
    </w:div>
    <w:div w:id="708142632">
      <w:bodyDiv w:val="1"/>
      <w:marLeft w:val="0"/>
      <w:marRight w:val="0"/>
      <w:marTop w:val="0"/>
      <w:marBottom w:val="0"/>
      <w:divBdr>
        <w:top w:val="none" w:sz="0" w:space="0" w:color="auto"/>
        <w:left w:val="none" w:sz="0" w:space="0" w:color="auto"/>
        <w:bottom w:val="none" w:sz="0" w:space="0" w:color="auto"/>
        <w:right w:val="none" w:sz="0" w:space="0" w:color="auto"/>
      </w:divBdr>
    </w:div>
    <w:div w:id="708183778">
      <w:bodyDiv w:val="1"/>
      <w:marLeft w:val="0"/>
      <w:marRight w:val="0"/>
      <w:marTop w:val="0"/>
      <w:marBottom w:val="0"/>
      <w:divBdr>
        <w:top w:val="none" w:sz="0" w:space="0" w:color="auto"/>
        <w:left w:val="none" w:sz="0" w:space="0" w:color="auto"/>
        <w:bottom w:val="none" w:sz="0" w:space="0" w:color="auto"/>
        <w:right w:val="none" w:sz="0" w:space="0" w:color="auto"/>
      </w:divBdr>
    </w:div>
    <w:div w:id="708191623">
      <w:bodyDiv w:val="1"/>
      <w:marLeft w:val="0"/>
      <w:marRight w:val="0"/>
      <w:marTop w:val="0"/>
      <w:marBottom w:val="0"/>
      <w:divBdr>
        <w:top w:val="none" w:sz="0" w:space="0" w:color="auto"/>
        <w:left w:val="none" w:sz="0" w:space="0" w:color="auto"/>
        <w:bottom w:val="none" w:sz="0" w:space="0" w:color="auto"/>
        <w:right w:val="none" w:sz="0" w:space="0" w:color="auto"/>
      </w:divBdr>
    </w:div>
    <w:div w:id="708258819">
      <w:bodyDiv w:val="1"/>
      <w:marLeft w:val="0"/>
      <w:marRight w:val="0"/>
      <w:marTop w:val="0"/>
      <w:marBottom w:val="0"/>
      <w:divBdr>
        <w:top w:val="none" w:sz="0" w:space="0" w:color="auto"/>
        <w:left w:val="none" w:sz="0" w:space="0" w:color="auto"/>
        <w:bottom w:val="none" w:sz="0" w:space="0" w:color="auto"/>
        <w:right w:val="none" w:sz="0" w:space="0" w:color="auto"/>
      </w:divBdr>
    </w:div>
    <w:div w:id="708336448">
      <w:bodyDiv w:val="1"/>
      <w:marLeft w:val="0"/>
      <w:marRight w:val="0"/>
      <w:marTop w:val="0"/>
      <w:marBottom w:val="0"/>
      <w:divBdr>
        <w:top w:val="none" w:sz="0" w:space="0" w:color="auto"/>
        <w:left w:val="none" w:sz="0" w:space="0" w:color="auto"/>
        <w:bottom w:val="none" w:sz="0" w:space="0" w:color="auto"/>
        <w:right w:val="none" w:sz="0" w:space="0" w:color="auto"/>
      </w:divBdr>
    </w:div>
    <w:div w:id="708383213">
      <w:bodyDiv w:val="1"/>
      <w:marLeft w:val="0"/>
      <w:marRight w:val="0"/>
      <w:marTop w:val="0"/>
      <w:marBottom w:val="0"/>
      <w:divBdr>
        <w:top w:val="none" w:sz="0" w:space="0" w:color="auto"/>
        <w:left w:val="none" w:sz="0" w:space="0" w:color="auto"/>
        <w:bottom w:val="none" w:sz="0" w:space="0" w:color="auto"/>
        <w:right w:val="none" w:sz="0" w:space="0" w:color="auto"/>
      </w:divBdr>
    </w:div>
    <w:div w:id="708652075">
      <w:bodyDiv w:val="1"/>
      <w:marLeft w:val="0"/>
      <w:marRight w:val="0"/>
      <w:marTop w:val="0"/>
      <w:marBottom w:val="0"/>
      <w:divBdr>
        <w:top w:val="none" w:sz="0" w:space="0" w:color="auto"/>
        <w:left w:val="none" w:sz="0" w:space="0" w:color="auto"/>
        <w:bottom w:val="none" w:sz="0" w:space="0" w:color="auto"/>
        <w:right w:val="none" w:sz="0" w:space="0" w:color="auto"/>
      </w:divBdr>
    </w:div>
    <w:div w:id="708996321">
      <w:bodyDiv w:val="1"/>
      <w:marLeft w:val="0"/>
      <w:marRight w:val="0"/>
      <w:marTop w:val="0"/>
      <w:marBottom w:val="0"/>
      <w:divBdr>
        <w:top w:val="none" w:sz="0" w:space="0" w:color="auto"/>
        <w:left w:val="none" w:sz="0" w:space="0" w:color="auto"/>
        <w:bottom w:val="none" w:sz="0" w:space="0" w:color="auto"/>
        <w:right w:val="none" w:sz="0" w:space="0" w:color="auto"/>
      </w:divBdr>
    </w:div>
    <w:div w:id="709036134">
      <w:bodyDiv w:val="1"/>
      <w:marLeft w:val="0"/>
      <w:marRight w:val="0"/>
      <w:marTop w:val="0"/>
      <w:marBottom w:val="0"/>
      <w:divBdr>
        <w:top w:val="none" w:sz="0" w:space="0" w:color="auto"/>
        <w:left w:val="none" w:sz="0" w:space="0" w:color="auto"/>
        <w:bottom w:val="none" w:sz="0" w:space="0" w:color="auto"/>
        <w:right w:val="none" w:sz="0" w:space="0" w:color="auto"/>
      </w:divBdr>
    </w:div>
    <w:div w:id="709719612">
      <w:bodyDiv w:val="1"/>
      <w:marLeft w:val="0"/>
      <w:marRight w:val="0"/>
      <w:marTop w:val="0"/>
      <w:marBottom w:val="0"/>
      <w:divBdr>
        <w:top w:val="none" w:sz="0" w:space="0" w:color="auto"/>
        <w:left w:val="none" w:sz="0" w:space="0" w:color="auto"/>
        <w:bottom w:val="none" w:sz="0" w:space="0" w:color="auto"/>
        <w:right w:val="none" w:sz="0" w:space="0" w:color="auto"/>
      </w:divBdr>
    </w:div>
    <w:div w:id="709846030">
      <w:bodyDiv w:val="1"/>
      <w:marLeft w:val="0"/>
      <w:marRight w:val="0"/>
      <w:marTop w:val="0"/>
      <w:marBottom w:val="0"/>
      <w:divBdr>
        <w:top w:val="none" w:sz="0" w:space="0" w:color="auto"/>
        <w:left w:val="none" w:sz="0" w:space="0" w:color="auto"/>
        <w:bottom w:val="none" w:sz="0" w:space="0" w:color="auto"/>
        <w:right w:val="none" w:sz="0" w:space="0" w:color="auto"/>
      </w:divBdr>
    </w:div>
    <w:div w:id="710039735">
      <w:bodyDiv w:val="1"/>
      <w:marLeft w:val="0"/>
      <w:marRight w:val="0"/>
      <w:marTop w:val="0"/>
      <w:marBottom w:val="0"/>
      <w:divBdr>
        <w:top w:val="none" w:sz="0" w:space="0" w:color="auto"/>
        <w:left w:val="none" w:sz="0" w:space="0" w:color="auto"/>
        <w:bottom w:val="none" w:sz="0" w:space="0" w:color="auto"/>
        <w:right w:val="none" w:sz="0" w:space="0" w:color="auto"/>
      </w:divBdr>
    </w:div>
    <w:div w:id="710231919">
      <w:bodyDiv w:val="1"/>
      <w:marLeft w:val="0"/>
      <w:marRight w:val="0"/>
      <w:marTop w:val="0"/>
      <w:marBottom w:val="0"/>
      <w:divBdr>
        <w:top w:val="none" w:sz="0" w:space="0" w:color="auto"/>
        <w:left w:val="none" w:sz="0" w:space="0" w:color="auto"/>
        <w:bottom w:val="none" w:sz="0" w:space="0" w:color="auto"/>
        <w:right w:val="none" w:sz="0" w:space="0" w:color="auto"/>
      </w:divBdr>
    </w:div>
    <w:div w:id="710493420">
      <w:bodyDiv w:val="1"/>
      <w:marLeft w:val="0"/>
      <w:marRight w:val="0"/>
      <w:marTop w:val="0"/>
      <w:marBottom w:val="0"/>
      <w:divBdr>
        <w:top w:val="none" w:sz="0" w:space="0" w:color="auto"/>
        <w:left w:val="none" w:sz="0" w:space="0" w:color="auto"/>
        <w:bottom w:val="none" w:sz="0" w:space="0" w:color="auto"/>
        <w:right w:val="none" w:sz="0" w:space="0" w:color="auto"/>
      </w:divBdr>
    </w:div>
    <w:div w:id="710615446">
      <w:bodyDiv w:val="1"/>
      <w:marLeft w:val="0"/>
      <w:marRight w:val="0"/>
      <w:marTop w:val="0"/>
      <w:marBottom w:val="0"/>
      <w:divBdr>
        <w:top w:val="none" w:sz="0" w:space="0" w:color="auto"/>
        <w:left w:val="none" w:sz="0" w:space="0" w:color="auto"/>
        <w:bottom w:val="none" w:sz="0" w:space="0" w:color="auto"/>
        <w:right w:val="none" w:sz="0" w:space="0" w:color="auto"/>
      </w:divBdr>
    </w:div>
    <w:div w:id="710615688">
      <w:bodyDiv w:val="1"/>
      <w:marLeft w:val="0"/>
      <w:marRight w:val="0"/>
      <w:marTop w:val="0"/>
      <w:marBottom w:val="0"/>
      <w:divBdr>
        <w:top w:val="none" w:sz="0" w:space="0" w:color="auto"/>
        <w:left w:val="none" w:sz="0" w:space="0" w:color="auto"/>
        <w:bottom w:val="none" w:sz="0" w:space="0" w:color="auto"/>
        <w:right w:val="none" w:sz="0" w:space="0" w:color="auto"/>
      </w:divBdr>
    </w:div>
    <w:div w:id="710956876">
      <w:bodyDiv w:val="1"/>
      <w:marLeft w:val="0"/>
      <w:marRight w:val="0"/>
      <w:marTop w:val="0"/>
      <w:marBottom w:val="0"/>
      <w:divBdr>
        <w:top w:val="none" w:sz="0" w:space="0" w:color="auto"/>
        <w:left w:val="none" w:sz="0" w:space="0" w:color="auto"/>
        <w:bottom w:val="none" w:sz="0" w:space="0" w:color="auto"/>
        <w:right w:val="none" w:sz="0" w:space="0" w:color="auto"/>
      </w:divBdr>
    </w:div>
    <w:div w:id="711003687">
      <w:bodyDiv w:val="1"/>
      <w:marLeft w:val="0"/>
      <w:marRight w:val="0"/>
      <w:marTop w:val="0"/>
      <w:marBottom w:val="0"/>
      <w:divBdr>
        <w:top w:val="none" w:sz="0" w:space="0" w:color="auto"/>
        <w:left w:val="none" w:sz="0" w:space="0" w:color="auto"/>
        <w:bottom w:val="none" w:sz="0" w:space="0" w:color="auto"/>
        <w:right w:val="none" w:sz="0" w:space="0" w:color="auto"/>
      </w:divBdr>
    </w:div>
    <w:div w:id="711078454">
      <w:bodyDiv w:val="1"/>
      <w:marLeft w:val="0"/>
      <w:marRight w:val="0"/>
      <w:marTop w:val="0"/>
      <w:marBottom w:val="0"/>
      <w:divBdr>
        <w:top w:val="none" w:sz="0" w:space="0" w:color="auto"/>
        <w:left w:val="none" w:sz="0" w:space="0" w:color="auto"/>
        <w:bottom w:val="none" w:sz="0" w:space="0" w:color="auto"/>
        <w:right w:val="none" w:sz="0" w:space="0" w:color="auto"/>
      </w:divBdr>
    </w:div>
    <w:div w:id="711342487">
      <w:bodyDiv w:val="1"/>
      <w:marLeft w:val="0"/>
      <w:marRight w:val="0"/>
      <w:marTop w:val="0"/>
      <w:marBottom w:val="0"/>
      <w:divBdr>
        <w:top w:val="none" w:sz="0" w:space="0" w:color="auto"/>
        <w:left w:val="none" w:sz="0" w:space="0" w:color="auto"/>
        <w:bottom w:val="none" w:sz="0" w:space="0" w:color="auto"/>
        <w:right w:val="none" w:sz="0" w:space="0" w:color="auto"/>
      </w:divBdr>
    </w:div>
    <w:div w:id="711462541">
      <w:bodyDiv w:val="1"/>
      <w:marLeft w:val="0"/>
      <w:marRight w:val="0"/>
      <w:marTop w:val="0"/>
      <w:marBottom w:val="0"/>
      <w:divBdr>
        <w:top w:val="none" w:sz="0" w:space="0" w:color="auto"/>
        <w:left w:val="none" w:sz="0" w:space="0" w:color="auto"/>
        <w:bottom w:val="none" w:sz="0" w:space="0" w:color="auto"/>
        <w:right w:val="none" w:sz="0" w:space="0" w:color="auto"/>
      </w:divBdr>
    </w:div>
    <w:div w:id="711466277">
      <w:bodyDiv w:val="1"/>
      <w:marLeft w:val="0"/>
      <w:marRight w:val="0"/>
      <w:marTop w:val="0"/>
      <w:marBottom w:val="0"/>
      <w:divBdr>
        <w:top w:val="none" w:sz="0" w:space="0" w:color="auto"/>
        <w:left w:val="none" w:sz="0" w:space="0" w:color="auto"/>
        <w:bottom w:val="none" w:sz="0" w:space="0" w:color="auto"/>
        <w:right w:val="none" w:sz="0" w:space="0" w:color="auto"/>
      </w:divBdr>
    </w:div>
    <w:div w:id="711853136">
      <w:bodyDiv w:val="1"/>
      <w:marLeft w:val="0"/>
      <w:marRight w:val="0"/>
      <w:marTop w:val="0"/>
      <w:marBottom w:val="0"/>
      <w:divBdr>
        <w:top w:val="none" w:sz="0" w:space="0" w:color="auto"/>
        <w:left w:val="none" w:sz="0" w:space="0" w:color="auto"/>
        <w:bottom w:val="none" w:sz="0" w:space="0" w:color="auto"/>
        <w:right w:val="none" w:sz="0" w:space="0" w:color="auto"/>
      </w:divBdr>
    </w:div>
    <w:div w:id="712314209">
      <w:bodyDiv w:val="1"/>
      <w:marLeft w:val="0"/>
      <w:marRight w:val="0"/>
      <w:marTop w:val="0"/>
      <w:marBottom w:val="0"/>
      <w:divBdr>
        <w:top w:val="none" w:sz="0" w:space="0" w:color="auto"/>
        <w:left w:val="none" w:sz="0" w:space="0" w:color="auto"/>
        <w:bottom w:val="none" w:sz="0" w:space="0" w:color="auto"/>
        <w:right w:val="none" w:sz="0" w:space="0" w:color="auto"/>
      </w:divBdr>
    </w:div>
    <w:div w:id="712582556">
      <w:bodyDiv w:val="1"/>
      <w:marLeft w:val="0"/>
      <w:marRight w:val="0"/>
      <w:marTop w:val="0"/>
      <w:marBottom w:val="0"/>
      <w:divBdr>
        <w:top w:val="none" w:sz="0" w:space="0" w:color="auto"/>
        <w:left w:val="none" w:sz="0" w:space="0" w:color="auto"/>
        <w:bottom w:val="none" w:sz="0" w:space="0" w:color="auto"/>
        <w:right w:val="none" w:sz="0" w:space="0" w:color="auto"/>
      </w:divBdr>
    </w:div>
    <w:div w:id="712584263">
      <w:bodyDiv w:val="1"/>
      <w:marLeft w:val="0"/>
      <w:marRight w:val="0"/>
      <w:marTop w:val="0"/>
      <w:marBottom w:val="0"/>
      <w:divBdr>
        <w:top w:val="none" w:sz="0" w:space="0" w:color="auto"/>
        <w:left w:val="none" w:sz="0" w:space="0" w:color="auto"/>
        <w:bottom w:val="none" w:sz="0" w:space="0" w:color="auto"/>
        <w:right w:val="none" w:sz="0" w:space="0" w:color="auto"/>
      </w:divBdr>
    </w:div>
    <w:div w:id="713507423">
      <w:bodyDiv w:val="1"/>
      <w:marLeft w:val="0"/>
      <w:marRight w:val="0"/>
      <w:marTop w:val="0"/>
      <w:marBottom w:val="0"/>
      <w:divBdr>
        <w:top w:val="none" w:sz="0" w:space="0" w:color="auto"/>
        <w:left w:val="none" w:sz="0" w:space="0" w:color="auto"/>
        <w:bottom w:val="none" w:sz="0" w:space="0" w:color="auto"/>
        <w:right w:val="none" w:sz="0" w:space="0" w:color="auto"/>
      </w:divBdr>
    </w:div>
    <w:div w:id="713579374">
      <w:bodyDiv w:val="1"/>
      <w:marLeft w:val="0"/>
      <w:marRight w:val="0"/>
      <w:marTop w:val="0"/>
      <w:marBottom w:val="0"/>
      <w:divBdr>
        <w:top w:val="none" w:sz="0" w:space="0" w:color="auto"/>
        <w:left w:val="none" w:sz="0" w:space="0" w:color="auto"/>
        <w:bottom w:val="none" w:sz="0" w:space="0" w:color="auto"/>
        <w:right w:val="none" w:sz="0" w:space="0" w:color="auto"/>
      </w:divBdr>
    </w:div>
    <w:div w:id="713699861">
      <w:bodyDiv w:val="1"/>
      <w:marLeft w:val="0"/>
      <w:marRight w:val="0"/>
      <w:marTop w:val="0"/>
      <w:marBottom w:val="0"/>
      <w:divBdr>
        <w:top w:val="none" w:sz="0" w:space="0" w:color="auto"/>
        <w:left w:val="none" w:sz="0" w:space="0" w:color="auto"/>
        <w:bottom w:val="none" w:sz="0" w:space="0" w:color="auto"/>
        <w:right w:val="none" w:sz="0" w:space="0" w:color="auto"/>
      </w:divBdr>
    </w:div>
    <w:div w:id="713770398">
      <w:bodyDiv w:val="1"/>
      <w:marLeft w:val="0"/>
      <w:marRight w:val="0"/>
      <w:marTop w:val="0"/>
      <w:marBottom w:val="0"/>
      <w:divBdr>
        <w:top w:val="none" w:sz="0" w:space="0" w:color="auto"/>
        <w:left w:val="none" w:sz="0" w:space="0" w:color="auto"/>
        <w:bottom w:val="none" w:sz="0" w:space="0" w:color="auto"/>
        <w:right w:val="none" w:sz="0" w:space="0" w:color="auto"/>
      </w:divBdr>
    </w:div>
    <w:div w:id="713887271">
      <w:bodyDiv w:val="1"/>
      <w:marLeft w:val="0"/>
      <w:marRight w:val="0"/>
      <w:marTop w:val="0"/>
      <w:marBottom w:val="0"/>
      <w:divBdr>
        <w:top w:val="none" w:sz="0" w:space="0" w:color="auto"/>
        <w:left w:val="none" w:sz="0" w:space="0" w:color="auto"/>
        <w:bottom w:val="none" w:sz="0" w:space="0" w:color="auto"/>
        <w:right w:val="none" w:sz="0" w:space="0" w:color="auto"/>
      </w:divBdr>
    </w:div>
    <w:div w:id="713964325">
      <w:bodyDiv w:val="1"/>
      <w:marLeft w:val="0"/>
      <w:marRight w:val="0"/>
      <w:marTop w:val="0"/>
      <w:marBottom w:val="0"/>
      <w:divBdr>
        <w:top w:val="none" w:sz="0" w:space="0" w:color="auto"/>
        <w:left w:val="none" w:sz="0" w:space="0" w:color="auto"/>
        <w:bottom w:val="none" w:sz="0" w:space="0" w:color="auto"/>
        <w:right w:val="none" w:sz="0" w:space="0" w:color="auto"/>
      </w:divBdr>
    </w:div>
    <w:div w:id="714044162">
      <w:bodyDiv w:val="1"/>
      <w:marLeft w:val="0"/>
      <w:marRight w:val="0"/>
      <w:marTop w:val="0"/>
      <w:marBottom w:val="0"/>
      <w:divBdr>
        <w:top w:val="none" w:sz="0" w:space="0" w:color="auto"/>
        <w:left w:val="none" w:sz="0" w:space="0" w:color="auto"/>
        <w:bottom w:val="none" w:sz="0" w:space="0" w:color="auto"/>
        <w:right w:val="none" w:sz="0" w:space="0" w:color="auto"/>
      </w:divBdr>
    </w:div>
    <w:div w:id="714157490">
      <w:bodyDiv w:val="1"/>
      <w:marLeft w:val="0"/>
      <w:marRight w:val="0"/>
      <w:marTop w:val="0"/>
      <w:marBottom w:val="0"/>
      <w:divBdr>
        <w:top w:val="none" w:sz="0" w:space="0" w:color="auto"/>
        <w:left w:val="none" w:sz="0" w:space="0" w:color="auto"/>
        <w:bottom w:val="none" w:sz="0" w:space="0" w:color="auto"/>
        <w:right w:val="none" w:sz="0" w:space="0" w:color="auto"/>
      </w:divBdr>
    </w:div>
    <w:div w:id="714237707">
      <w:bodyDiv w:val="1"/>
      <w:marLeft w:val="0"/>
      <w:marRight w:val="0"/>
      <w:marTop w:val="0"/>
      <w:marBottom w:val="0"/>
      <w:divBdr>
        <w:top w:val="none" w:sz="0" w:space="0" w:color="auto"/>
        <w:left w:val="none" w:sz="0" w:space="0" w:color="auto"/>
        <w:bottom w:val="none" w:sz="0" w:space="0" w:color="auto"/>
        <w:right w:val="none" w:sz="0" w:space="0" w:color="auto"/>
      </w:divBdr>
    </w:div>
    <w:div w:id="714277569">
      <w:bodyDiv w:val="1"/>
      <w:marLeft w:val="0"/>
      <w:marRight w:val="0"/>
      <w:marTop w:val="0"/>
      <w:marBottom w:val="0"/>
      <w:divBdr>
        <w:top w:val="none" w:sz="0" w:space="0" w:color="auto"/>
        <w:left w:val="none" w:sz="0" w:space="0" w:color="auto"/>
        <w:bottom w:val="none" w:sz="0" w:space="0" w:color="auto"/>
        <w:right w:val="none" w:sz="0" w:space="0" w:color="auto"/>
      </w:divBdr>
    </w:div>
    <w:div w:id="714350099">
      <w:bodyDiv w:val="1"/>
      <w:marLeft w:val="0"/>
      <w:marRight w:val="0"/>
      <w:marTop w:val="0"/>
      <w:marBottom w:val="0"/>
      <w:divBdr>
        <w:top w:val="none" w:sz="0" w:space="0" w:color="auto"/>
        <w:left w:val="none" w:sz="0" w:space="0" w:color="auto"/>
        <w:bottom w:val="none" w:sz="0" w:space="0" w:color="auto"/>
        <w:right w:val="none" w:sz="0" w:space="0" w:color="auto"/>
      </w:divBdr>
    </w:div>
    <w:div w:id="714543216">
      <w:bodyDiv w:val="1"/>
      <w:marLeft w:val="0"/>
      <w:marRight w:val="0"/>
      <w:marTop w:val="0"/>
      <w:marBottom w:val="0"/>
      <w:divBdr>
        <w:top w:val="none" w:sz="0" w:space="0" w:color="auto"/>
        <w:left w:val="none" w:sz="0" w:space="0" w:color="auto"/>
        <w:bottom w:val="none" w:sz="0" w:space="0" w:color="auto"/>
        <w:right w:val="none" w:sz="0" w:space="0" w:color="auto"/>
      </w:divBdr>
    </w:div>
    <w:div w:id="714545899">
      <w:bodyDiv w:val="1"/>
      <w:marLeft w:val="0"/>
      <w:marRight w:val="0"/>
      <w:marTop w:val="0"/>
      <w:marBottom w:val="0"/>
      <w:divBdr>
        <w:top w:val="none" w:sz="0" w:space="0" w:color="auto"/>
        <w:left w:val="none" w:sz="0" w:space="0" w:color="auto"/>
        <w:bottom w:val="none" w:sz="0" w:space="0" w:color="auto"/>
        <w:right w:val="none" w:sz="0" w:space="0" w:color="auto"/>
      </w:divBdr>
    </w:div>
    <w:div w:id="714550194">
      <w:bodyDiv w:val="1"/>
      <w:marLeft w:val="0"/>
      <w:marRight w:val="0"/>
      <w:marTop w:val="0"/>
      <w:marBottom w:val="0"/>
      <w:divBdr>
        <w:top w:val="none" w:sz="0" w:space="0" w:color="auto"/>
        <w:left w:val="none" w:sz="0" w:space="0" w:color="auto"/>
        <w:bottom w:val="none" w:sz="0" w:space="0" w:color="auto"/>
        <w:right w:val="none" w:sz="0" w:space="0" w:color="auto"/>
      </w:divBdr>
    </w:div>
    <w:div w:id="714811393">
      <w:bodyDiv w:val="1"/>
      <w:marLeft w:val="0"/>
      <w:marRight w:val="0"/>
      <w:marTop w:val="0"/>
      <w:marBottom w:val="0"/>
      <w:divBdr>
        <w:top w:val="none" w:sz="0" w:space="0" w:color="auto"/>
        <w:left w:val="none" w:sz="0" w:space="0" w:color="auto"/>
        <w:bottom w:val="none" w:sz="0" w:space="0" w:color="auto"/>
        <w:right w:val="none" w:sz="0" w:space="0" w:color="auto"/>
      </w:divBdr>
    </w:div>
    <w:div w:id="714934832">
      <w:bodyDiv w:val="1"/>
      <w:marLeft w:val="0"/>
      <w:marRight w:val="0"/>
      <w:marTop w:val="0"/>
      <w:marBottom w:val="0"/>
      <w:divBdr>
        <w:top w:val="none" w:sz="0" w:space="0" w:color="auto"/>
        <w:left w:val="none" w:sz="0" w:space="0" w:color="auto"/>
        <w:bottom w:val="none" w:sz="0" w:space="0" w:color="auto"/>
        <w:right w:val="none" w:sz="0" w:space="0" w:color="auto"/>
      </w:divBdr>
    </w:div>
    <w:div w:id="716320845">
      <w:bodyDiv w:val="1"/>
      <w:marLeft w:val="0"/>
      <w:marRight w:val="0"/>
      <w:marTop w:val="0"/>
      <w:marBottom w:val="0"/>
      <w:divBdr>
        <w:top w:val="none" w:sz="0" w:space="0" w:color="auto"/>
        <w:left w:val="none" w:sz="0" w:space="0" w:color="auto"/>
        <w:bottom w:val="none" w:sz="0" w:space="0" w:color="auto"/>
        <w:right w:val="none" w:sz="0" w:space="0" w:color="auto"/>
      </w:divBdr>
    </w:div>
    <w:div w:id="716399049">
      <w:bodyDiv w:val="1"/>
      <w:marLeft w:val="0"/>
      <w:marRight w:val="0"/>
      <w:marTop w:val="0"/>
      <w:marBottom w:val="0"/>
      <w:divBdr>
        <w:top w:val="none" w:sz="0" w:space="0" w:color="auto"/>
        <w:left w:val="none" w:sz="0" w:space="0" w:color="auto"/>
        <w:bottom w:val="none" w:sz="0" w:space="0" w:color="auto"/>
        <w:right w:val="none" w:sz="0" w:space="0" w:color="auto"/>
      </w:divBdr>
    </w:div>
    <w:div w:id="716659781">
      <w:bodyDiv w:val="1"/>
      <w:marLeft w:val="0"/>
      <w:marRight w:val="0"/>
      <w:marTop w:val="0"/>
      <w:marBottom w:val="0"/>
      <w:divBdr>
        <w:top w:val="none" w:sz="0" w:space="0" w:color="auto"/>
        <w:left w:val="none" w:sz="0" w:space="0" w:color="auto"/>
        <w:bottom w:val="none" w:sz="0" w:space="0" w:color="auto"/>
        <w:right w:val="none" w:sz="0" w:space="0" w:color="auto"/>
      </w:divBdr>
    </w:div>
    <w:div w:id="716705979">
      <w:bodyDiv w:val="1"/>
      <w:marLeft w:val="0"/>
      <w:marRight w:val="0"/>
      <w:marTop w:val="0"/>
      <w:marBottom w:val="0"/>
      <w:divBdr>
        <w:top w:val="none" w:sz="0" w:space="0" w:color="auto"/>
        <w:left w:val="none" w:sz="0" w:space="0" w:color="auto"/>
        <w:bottom w:val="none" w:sz="0" w:space="0" w:color="auto"/>
        <w:right w:val="none" w:sz="0" w:space="0" w:color="auto"/>
      </w:divBdr>
    </w:div>
    <w:div w:id="717097176">
      <w:bodyDiv w:val="1"/>
      <w:marLeft w:val="0"/>
      <w:marRight w:val="0"/>
      <w:marTop w:val="0"/>
      <w:marBottom w:val="0"/>
      <w:divBdr>
        <w:top w:val="none" w:sz="0" w:space="0" w:color="auto"/>
        <w:left w:val="none" w:sz="0" w:space="0" w:color="auto"/>
        <w:bottom w:val="none" w:sz="0" w:space="0" w:color="auto"/>
        <w:right w:val="none" w:sz="0" w:space="0" w:color="auto"/>
      </w:divBdr>
    </w:div>
    <w:div w:id="717507228">
      <w:bodyDiv w:val="1"/>
      <w:marLeft w:val="0"/>
      <w:marRight w:val="0"/>
      <w:marTop w:val="0"/>
      <w:marBottom w:val="0"/>
      <w:divBdr>
        <w:top w:val="none" w:sz="0" w:space="0" w:color="auto"/>
        <w:left w:val="none" w:sz="0" w:space="0" w:color="auto"/>
        <w:bottom w:val="none" w:sz="0" w:space="0" w:color="auto"/>
        <w:right w:val="none" w:sz="0" w:space="0" w:color="auto"/>
      </w:divBdr>
    </w:div>
    <w:div w:id="717558678">
      <w:bodyDiv w:val="1"/>
      <w:marLeft w:val="0"/>
      <w:marRight w:val="0"/>
      <w:marTop w:val="0"/>
      <w:marBottom w:val="0"/>
      <w:divBdr>
        <w:top w:val="none" w:sz="0" w:space="0" w:color="auto"/>
        <w:left w:val="none" w:sz="0" w:space="0" w:color="auto"/>
        <w:bottom w:val="none" w:sz="0" w:space="0" w:color="auto"/>
        <w:right w:val="none" w:sz="0" w:space="0" w:color="auto"/>
      </w:divBdr>
    </w:div>
    <w:div w:id="717974994">
      <w:bodyDiv w:val="1"/>
      <w:marLeft w:val="0"/>
      <w:marRight w:val="0"/>
      <w:marTop w:val="0"/>
      <w:marBottom w:val="0"/>
      <w:divBdr>
        <w:top w:val="none" w:sz="0" w:space="0" w:color="auto"/>
        <w:left w:val="none" w:sz="0" w:space="0" w:color="auto"/>
        <w:bottom w:val="none" w:sz="0" w:space="0" w:color="auto"/>
        <w:right w:val="none" w:sz="0" w:space="0" w:color="auto"/>
      </w:divBdr>
    </w:div>
    <w:div w:id="718096521">
      <w:bodyDiv w:val="1"/>
      <w:marLeft w:val="0"/>
      <w:marRight w:val="0"/>
      <w:marTop w:val="0"/>
      <w:marBottom w:val="0"/>
      <w:divBdr>
        <w:top w:val="none" w:sz="0" w:space="0" w:color="auto"/>
        <w:left w:val="none" w:sz="0" w:space="0" w:color="auto"/>
        <w:bottom w:val="none" w:sz="0" w:space="0" w:color="auto"/>
        <w:right w:val="none" w:sz="0" w:space="0" w:color="auto"/>
      </w:divBdr>
    </w:div>
    <w:div w:id="718209086">
      <w:bodyDiv w:val="1"/>
      <w:marLeft w:val="0"/>
      <w:marRight w:val="0"/>
      <w:marTop w:val="0"/>
      <w:marBottom w:val="0"/>
      <w:divBdr>
        <w:top w:val="none" w:sz="0" w:space="0" w:color="auto"/>
        <w:left w:val="none" w:sz="0" w:space="0" w:color="auto"/>
        <w:bottom w:val="none" w:sz="0" w:space="0" w:color="auto"/>
        <w:right w:val="none" w:sz="0" w:space="0" w:color="auto"/>
      </w:divBdr>
    </w:div>
    <w:div w:id="718671452">
      <w:bodyDiv w:val="1"/>
      <w:marLeft w:val="0"/>
      <w:marRight w:val="0"/>
      <w:marTop w:val="0"/>
      <w:marBottom w:val="0"/>
      <w:divBdr>
        <w:top w:val="none" w:sz="0" w:space="0" w:color="auto"/>
        <w:left w:val="none" w:sz="0" w:space="0" w:color="auto"/>
        <w:bottom w:val="none" w:sz="0" w:space="0" w:color="auto"/>
        <w:right w:val="none" w:sz="0" w:space="0" w:color="auto"/>
      </w:divBdr>
    </w:div>
    <w:div w:id="719090107">
      <w:bodyDiv w:val="1"/>
      <w:marLeft w:val="0"/>
      <w:marRight w:val="0"/>
      <w:marTop w:val="0"/>
      <w:marBottom w:val="0"/>
      <w:divBdr>
        <w:top w:val="none" w:sz="0" w:space="0" w:color="auto"/>
        <w:left w:val="none" w:sz="0" w:space="0" w:color="auto"/>
        <w:bottom w:val="none" w:sz="0" w:space="0" w:color="auto"/>
        <w:right w:val="none" w:sz="0" w:space="0" w:color="auto"/>
      </w:divBdr>
    </w:div>
    <w:div w:id="719211824">
      <w:bodyDiv w:val="1"/>
      <w:marLeft w:val="0"/>
      <w:marRight w:val="0"/>
      <w:marTop w:val="0"/>
      <w:marBottom w:val="0"/>
      <w:divBdr>
        <w:top w:val="none" w:sz="0" w:space="0" w:color="auto"/>
        <w:left w:val="none" w:sz="0" w:space="0" w:color="auto"/>
        <w:bottom w:val="none" w:sz="0" w:space="0" w:color="auto"/>
        <w:right w:val="none" w:sz="0" w:space="0" w:color="auto"/>
      </w:divBdr>
    </w:div>
    <w:div w:id="719280077">
      <w:bodyDiv w:val="1"/>
      <w:marLeft w:val="0"/>
      <w:marRight w:val="0"/>
      <w:marTop w:val="0"/>
      <w:marBottom w:val="0"/>
      <w:divBdr>
        <w:top w:val="none" w:sz="0" w:space="0" w:color="auto"/>
        <w:left w:val="none" w:sz="0" w:space="0" w:color="auto"/>
        <w:bottom w:val="none" w:sz="0" w:space="0" w:color="auto"/>
        <w:right w:val="none" w:sz="0" w:space="0" w:color="auto"/>
      </w:divBdr>
    </w:div>
    <w:div w:id="719328269">
      <w:bodyDiv w:val="1"/>
      <w:marLeft w:val="0"/>
      <w:marRight w:val="0"/>
      <w:marTop w:val="0"/>
      <w:marBottom w:val="0"/>
      <w:divBdr>
        <w:top w:val="none" w:sz="0" w:space="0" w:color="auto"/>
        <w:left w:val="none" w:sz="0" w:space="0" w:color="auto"/>
        <w:bottom w:val="none" w:sz="0" w:space="0" w:color="auto"/>
        <w:right w:val="none" w:sz="0" w:space="0" w:color="auto"/>
      </w:divBdr>
    </w:div>
    <w:div w:id="719784762">
      <w:bodyDiv w:val="1"/>
      <w:marLeft w:val="0"/>
      <w:marRight w:val="0"/>
      <w:marTop w:val="0"/>
      <w:marBottom w:val="0"/>
      <w:divBdr>
        <w:top w:val="none" w:sz="0" w:space="0" w:color="auto"/>
        <w:left w:val="none" w:sz="0" w:space="0" w:color="auto"/>
        <w:bottom w:val="none" w:sz="0" w:space="0" w:color="auto"/>
        <w:right w:val="none" w:sz="0" w:space="0" w:color="auto"/>
      </w:divBdr>
    </w:div>
    <w:div w:id="719867452">
      <w:bodyDiv w:val="1"/>
      <w:marLeft w:val="0"/>
      <w:marRight w:val="0"/>
      <w:marTop w:val="0"/>
      <w:marBottom w:val="0"/>
      <w:divBdr>
        <w:top w:val="none" w:sz="0" w:space="0" w:color="auto"/>
        <w:left w:val="none" w:sz="0" w:space="0" w:color="auto"/>
        <w:bottom w:val="none" w:sz="0" w:space="0" w:color="auto"/>
        <w:right w:val="none" w:sz="0" w:space="0" w:color="auto"/>
      </w:divBdr>
    </w:div>
    <w:div w:id="720060583">
      <w:bodyDiv w:val="1"/>
      <w:marLeft w:val="0"/>
      <w:marRight w:val="0"/>
      <w:marTop w:val="0"/>
      <w:marBottom w:val="0"/>
      <w:divBdr>
        <w:top w:val="none" w:sz="0" w:space="0" w:color="auto"/>
        <w:left w:val="none" w:sz="0" w:space="0" w:color="auto"/>
        <w:bottom w:val="none" w:sz="0" w:space="0" w:color="auto"/>
        <w:right w:val="none" w:sz="0" w:space="0" w:color="auto"/>
      </w:divBdr>
    </w:div>
    <w:div w:id="720328505">
      <w:bodyDiv w:val="1"/>
      <w:marLeft w:val="0"/>
      <w:marRight w:val="0"/>
      <w:marTop w:val="0"/>
      <w:marBottom w:val="0"/>
      <w:divBdr>
        <w:top w:val="none" w:sz="0" w:space="0" w:color="auto"/>
        <w:left w:val="none" w:sz="0" w:space="0" w:color="auto"/>
        <w:bottom w:val="none" w:sz="0" w:space="0" w:color="auto"/>
        <w:right w:val="none" w:sz="0" w:space="0" w:color="auto"/>
      </w:divBdr>
    </w:div>
    <w:div w:id="720396881">
      <w:bodyDiv w:val="1"/>
      <w:marLeft w:val="0"/>
      <w:marRight w:val="0"/>
      <w:marTop w:val="0"/>
      <w:marBottom w:val="0"/>
      <w:divBdr>
        <w:top w:val="none" w:sz="0" w:space="0" w:color="auto"/>
        <w:left w:val="none" w:sz="0" w:space="0" w:color="auto"/>
        <w:bottom w:val="none" w:sz="0" w:space="0" w:color="auto"/>
        <w:right w:val="none" w:sz="0" w:space="0" w:color="auto"/>
      </w:divBdr>
    </w:div>
    <w:div w:id="720590149">
      <w:bodyDiv w:val="1"/>
      <w:marLeft w:val="0"/>
      <w:marRight w:val="0"/>
      <w:marTop w:val="0"/>
      <w:marBottom w:val="0"/>
      <w:divBdr>
        <w:top w:val="none" w:sz="0" w:space="0" w:color="auto"/>
        <w:left w:val="none" w:sz="0" w:space="0" w:color="auto"/>
        <w:bottom w:val="none" w:sz="0" w:space="0" w:color="auto"/>
        <w:right w:val="none" w:sz="0" w:space="0" w:color="auto"/>
      </w:divBdr>
    </w:div>
    <w:div w:id="720902655">
      <w:bodyDiv w:val="1"/>
      <w:marLeft w:val="0"/>
      <w:marRight w:val="0"/>
      <w:marTop w:val="0"/>
      <w:marBottom w:val="0"/>
      <w:divBdr>
        <w:top w:val="none" w:sz="0" w:space="0" w:color="auto"/>
        <w:left w:val="none" w:sz="0" w:space="0" w:color="auto"/>
        <w:bottom w:val="none" w:sz="0" w:space="0" w:color="auto"/>
        <w:right w:val="none" w:sz="0" w:space="0" w:color="auto"/>
      </w:divBdr>
    </w:div>
    <w:div w:id="721096229">
      <w:bodyDiv w:val="1"/>
      <w:marLeft w:val="0"/>
      <w:marRight w:val="0"/>
      <w:marTop w:val="0"/>
      <w:marBottom w:val="0"/>
      <w:divBdr>
        <w:top w:val="none" w:sz="0" w:space="0" w:color="auto"/>
        <w:left w:val="none" w:sz="0" w:space="0" w:color="auto"/>
        <w:bottom w:val="none" w:sz="0" w:space="0" w:color="auto"/>
        <w:right w:val="none" w:sz="0" w:space="0" w:color="auto"/>
      </w:divBdr>
    </w:div>
    <w:div w:id="721560393">
      <w:bodyDiv w:val="1"/>
      <w:marLeft w:val="0"/>
      <w:marRight w:val="0"/>
      <w:marTop w:val="0"/>
      <w:marBottom w:val="0"/>
      <w:divBdr>
        <w:top w:val="none" w:sz="0" w:space="0" w:color="auto"/>
        <w:left w:val="none" w:sz="0" w:space="0" w:color="auto"/>
        <w:bottom w:val="none" w:sz="0" w:space="0" w:color="auto"/>
        <w:right w:val="none" w:sz="0" w:space="0" w:color="auto"/>
      </w:divBdr>
    </w:div>
    <w:div w:id="722022547">
      <w:bodyDiv w:val="1"/>
      <w:marLeft w:val="0"/>
      <w:marRight w:val="0"/>
      <w:marTop w:val="0"/>
      <w:marBottom w:val="0"/>
      <w:divBdr>
        <w:top w:val="none" w:sz="0" w:space="0" w:color="auto"/>
        <w:left w:val="none" w:sz="0" w:space="0" w:color="auto"/>
        <w:bottom w:val="none" w:sz="0" w:space="0" w:color="auto"/>
        <w:right w:val="none" w:sz="0" w:space="0" w:color="auto"/>
      </w:divBdr>
    </w:div>
    <w:div w:id="722677525">
      <w:bodyDiv w:val="1"/>
      <w:marLeft w:val="0"/>
      <w:marRight w:val="0"/>
      <w:marTop w:val="0"/>
      <w:marBottom w:val="0"/>
      <w:divBdr>
        <w:top w:val="none" w:sz="0" w:space="0" w:color="auto"/>
        <w:left w:val="none" w:sz="0" w:space="0" w:color="auto"/>
        <w:bottom w:val="none" w:sz="0" w:space="0" w:color="auto"/>
        <w:right w:val="none" w:sz="0" w:space="0" w:color="auto"/>
      </w:divBdr>
    </w:div>
    <w:div w:id="722682256">
      <w:bodyDiv w:val="1"/>
      <w:marLeft w:val="0"/>
      <w:marRight w:val="0"/>
      <w:marTop w:val="0"/>
      <w:marBottom w:val="0"/>
      <w:divBdr>
        <w:top w:val="none" w:sz="0" w:space="0" w:color="auto"/>
        <w:left w:val="none" w:sz="0" w:space="0" w:color="auto"/>
        <w:bottom w:val="none" w:sz="0" w:space="0" w:color="auto"/>
        <w:right w:val="none" w:sz="0" w:space="0" w:color="auto"/>
      </w:divBdr>
    </w:div>
    <w:div w:id="722867777">
      <w:bodyDiv w:val="1"/>
      <w:marLeft w:val="0"/>
      <w:marRight w:val="0"/>
      <w:marTop w:val="0"/>
      <w:marBottom w:val="0"/>
      <w:divBdr>
        <w:top w:val="none" w:sz="0" w:space="0" w:color="auto"/>
        <w:left w:val="none" w:sz="0" w:space="0" w:color="auto"/>
        <w:bottom w:val="none" w:sz="0" w:space="0" w:color="auto"/>
        <w:right w:val="none" w:sz="0" w:space="0" w:color="auto"/>
      </w:divBdr>
    </w:div>
    <w:div w:id="722947398">
      <w:bodyDiv w:val="1"/>
      <w:marLeft w:val="0"/>
      <w:marRight w:val="0"/>
      <w:marTop w:val="0"/>
      <w:marBottom w:val="0"/>
      <w:divBdr>
        <w:top w:val="none" w:sz="0" w:space="0" w:color="auto"/>
        <w:left w:val="none" w:sz="0" w:space="0" w:color="auto"/>
        <w:bottom w:val="none" w:sz="0" w:space="0" w:color="auto"/>
        <w:right w:val="none" w:sz="0" w:space="0" w:color="auto"/>
      </w:divBdr>
    </w:div>
    <w:div w:id="723219090">
      <w:bodyDiv w:val="1"/>
      <w:marLeft w:val="0"/>
      <w:marRight w:val="0"/>
      <w:marTop w:val="0"/>
      <w:marBottom w:val="0"/>
      <w:divBdr>
        <w:top w:val="none" w:sz="0" w:space="0" w:color="auto"/>
        <w:left w:val="none" w:sz="0" w:space="0" w:color="auto"/>
        <w:bottom w:val="none" w:sz="0" w:space="0" w:color="auto"/>
        <w:right w:val="none" w:sz="0" w:space="0" w:color="auto"/>
      </w:divBdr>
    </w:div>
    <w:div w:id="723724698">
      <w:bodyDiv w:val="1"/>
      <w:marLeft w:val="0"/>
      <w:marRight w:val="0"/>
      <w:marTop w:val="0"/>
      <w:marBottom w:val="0"/>
      <w:divBdr>
        <w:top w:val="none" w:sz="0" w:space="0" w:color="auto"/>
        <w:left w:val="none" w:sz="0" w:space="0" w:color="auto"/>
        <w:bottom w:val="none" w:sz="0" w:space="0" w:color="auto"/>
        <w:right w:val="none" w:sz="0" w:space="0" w:color="auto"/>
      </w:divBdr>
    </w:div>
    <w:div w:id="723874750">
      <w:bodyDiv w:val="1"/>
      <w:marLeft w:val="0"/>
      <w:marRight w:val="0"/>
      <w:marTop w:val="0"/>
      <w:marBottom w:val="0"/>
      <w:divBdr>
        <w:top w:val="none" w:sz="0" w:space="0" w:color="auto"/>
        <w:left w:val="none" w:sz="0" w:space="0" w:color="auto"/>
        <w:bottom w:val="none" w:sz="0" w:space="0" w:color="auto"/>
        <w:right w:val="none" w:sz="0" w:space="0" w:color="auto"/>
      </w:divBdr>
    </w:div>
    <w:div w:id="724061438">
      <w:bodyDiv w:val="1"/>
      <w:marLeft w:val="0"/>
      <w:marRight w:val="0"/>
      <w:marTop w:val="0"/>
      <w:marBottom w:val="0"/>
      <w:divBdr>
        <w:top w:val="none" w:sz="0" w:space="0" w:color="auto"/>
        <w:left w:val="none" w:sz="0" w:space="0" w:color="auto"/>
        <w:bottom w:val="none" w:sz="0" w:space="0" w:color="auto"/>
        <w:right w:val="none" w:sz="0" w:space="0" w:color="auto"/>
      </w:divBdr>
    </w:div>
    <w:div w:id="724066570">
      <w:bodyDiv w:val="1"/>
      <w:marLeft w:val="0"/>
      <w:marRight w:val="0"/>
      <w:marTop w:val="0"/>
      <w:marBottom w:val="0"/>
      <w:divBdr>
        <w:top w:val="none" w:sz="0" w:space="0" w:color="auto"/>
        <w:left w:val="none" w:sz="0" w:space="0" w:color="auto"/>
        <w:bottom w:val="none" w:sz="0" w:space="0" w:color="auto"/>
        <w:right w:val="none" w:sz="0" w:space="0" w:color="auto"/>
      </w:divBdr>
    </w:div>
    <w:div w:id="724137068">
      <w:bodyDiv w:val="1"/>
      <w:marLeft w:val="0"/>
      <w:marRight w:val="0"/>
      <w:marTop w:val="0"/>
      <w:marBottom w:val="0"/>
      <w:divBdr>
        <w:top w:val="none" w:sz="0" w:space="0" w:color="auto"/>
        <w:left w:val="none" w:sz="0" w:space="0" w:color="auto"/>
        <w:bottom w:val="none" w:sz="0" w:space="0" w:color="auto"/>
        <w:right w:val="none" w:sz="0" w:space="0" w:color="auto"/>
      </w:divBdr>
    </w:div>
    <w:div w:id="724335384">
      <w:bodyDiv w:val="1"/>
      <w:marLeft w:val="0"/>
      <w:marRight w:val="0"/>
      <w:marTop w:val="0"/>
      <w:marBottom w:val="0"/>
      <w:divBdr>
        <w:top w:val="none" w:sz="0" w:space="0" w:color="auto"/>
        <w:left w:val="none" w:sz="0" w:space="0" w:color="auto"/>
        <w:bottom w:val="none" w:sz="0" w:space="0" w:color="auto"/>
        <w:right w:val="none" w:sz="0" w:space="0" w:color="auto"/>
      </w:divBdr>
    </w:div>
    <w:div w:id="724448033">
      <w:bodyDiv w:val="1"/>
      <w:marLeft w:val="0"/>
      <w:marRight w:val="0"/>
      <w:marTop w:val="0"/>
      <w:marBottom w:val="0"/>
      <w:divBdr>
        <w:top w:val="none" w:sz="0" w:space="0" w:color="auto"/>
        <w:left w:val="none" w:sz="0" w:space="0" w:color="auto"/>
        <w:bottom w:val="none" w:sz="0" w:space="0" w:color="auto"/>
        <w:right w:val="none" w:sz="0" w:space="0" w:color="auto"/>
      </w:divBdr>
    </w:div>
    <w:div w:id="724455176">
      <w:bodyDiv w:val="1"/>
      <w:marLeft w:val="0"/>
      <w:marRight w:val="0"/>
      <w:marTop w:val="0"/>
      <w:marBottom w:val="0"/>
      <w:divBdr>
        <w:top w:val="none" w:sz="0" w:space="0" w:color="auto"/>
        <w:left w:val="none" w:sz="0" w:space="0" w:color="auto"/>
        <w:bottom w:val="none" w:sz="0" w:space="0" w:color="auto"/>
        <w:right w:val="none" w:sz="0" w:space="0" w:color="auto"/>
      </w:divBdr>
    </w:div>
    <w:div w:id="724717157">
      <w:bodyDiv w:val="1"/>
      <w:marLeft w:val="0"/>
      <w:marRight w:val="0"/>
      <w:marTop w:val="0"/>
      <w:marBottom w:val="0"/>
      <w:divBdr>
        <w:top w:val="none" w:sz="0" w:space="0" w:color="auto"/>
        <w:left w:val="none" w:sz="0" w:space="0" w:color="auto"/>
        <w:bottom w:val="none" w:sz="0" w:space="0" w:color="auto"/>
        <w:right w:val="none" w:sz="0" w:space="0" w:color="auto"/>
      </w:divBdr>
    </w:div>
    <w:div w:id="724724153">
      <w:bodyDiv w:val="1"/>
      <w:marLeft w:val="0"/>
      <w:marRight w:val="0"/>
      <w:marTop w:val="0"/>
      <w:marBottom w:val="0"/>
      <w:divBdr>
        <w:top w:val="none" w:sz="0" w:space="0" w:color="auto"/>
        <w:left w:val="none" w:sz="0" w:space="0" w:color="auto"/>
        <w:bottom w:val="none" w:sz="0" w:space="0" w:color="auto"/>
        <w:right w:val="none" w:sz="0" w:space="0" w:color="auto"/>
      </w:divBdr>
    </w:div>
    <w:div w:id="724791556">
      <w:bodyDiv w:val="1"/>
      <w:marLeft w:val="0"/>
      <w:marRight w:val="0"/>
      <w:marTop w:val="0"/>
      <w:marBottom w:val="0"/>
      <w:divBdr>
        <w:top w:val="none" w:sz="0" w:space="0" w:color="auto"/>
        <w:left w:val="none" w:sz="0" w:space="0" w:color="auto"/>
        <w:bottom w:val="none" w:sz="0" w:space="0" w:color="auto"/>
        <w:right w:val="none" w:sz="0" w:space="0" w:color="auto"/>
      </w:divBdr>
    </w:div>
    <w:div w:id="724988798">
      <w:bodyDiv w:val="1"/>
      <w:marLeft w:val="0"/>
      <w:marRight w:val="0"/>
      <w:marTop w:val="0"/>
      <w:marBottom w:val="0"/>
      <w:divBdr>
        <w:top w:val="none" w:sz="0" w:space="0" w:color="auto"/>
        <w:left w:val="none" w:sz="0" w:space="0" w:color="auto"/>
        <w:bottom w:val="none" w:sz="0" w:space="0" w:color="auto"/>
        <w:right w:val="none" w:sz="0" w:space="0" w:color="auto"/>
      </w:divBdr>
    </w:div>
    <w:div w:id="725953953">
      <w:bodyDiv w:val="1"/>
      <w:marLeft w:val="0"/>
      <w:marRight w:val="0"/>
      <w:marTop w:val="0"/>
      <w:marBottom w:val="0"/>
      <w:divBdr>
        <w:top w:val="none" w:sz="0" w:space="0" w:color="auto"/>
        <w:left w:val="none" w:sz="0" w:space="0" w:color="auto"/>
        <w:bottom w:val="none" w:sz="0" w:space="0" w:color="auto"/>
        <w:right w:val="none" w:sz="0" w:space="0" w:color="auto"/>
      </w:divBdr>
    </w:div>
    <w:div w:id="726689479">
      <w:bodyDiv w:val="1"/>
      <w:marLeft w:val="0"/>
      <w:marRight w:val="0"/>
      <w:marTop w:val="0"/>
      <w:marBottom w:val="0"/>
      <w:divBdr>
        <w:top w:val="none" w:sz="0" w:space="0" w:color="auto"/>
        <w:left w:val="none" w:sz="0" w:space="0" w:color="auto"/>
        <w:bottom w:val="none" w:sz="0" w:space="0" w:color="auto"/>
        <w:right w:val="none" w:sz="0" w:space="0" w:color="auto"/>
      </w:divBdr>
    </w:div>
    <w:div w:id="727341982">
      <w:bodyDiv w:val="1"/>
      <w:marLeft w:val="0"/>
      <w:marRight w:val="0"/>
      <w:marTop w:val="0"/>
      <w:marBottom w:val="0"/>
      <w:divBdr>
        <w:top w:val="none" w:sz="0" w:space="0" w:color="auto"/>
        <w:left w:val="none" w:sz="0" w:space="0" w:color="auto"/>
        <w:bottom w:val="none" w:sz="0" w:space="0" w:color="auto"/>
        <w:right w:val="none" w:sz="0" w:space="0" w:color="auto"/>
      </w:divBdr>
    </w:div>
    <w:div w:id="727916504">
      <w:bodyDiv w:val="1"/>
      <w:marLeft w:val="0"/>
      <w:marRight w:val="0"/>
      <w:marTop w:val="0"/>
      <w:marBottom w:val="0"/>
      <w:divBdr>
        <w:top w:val="none" w:sz="0" w:space="0" w:color="auto"/>
        <w:left w:val="none" w:sz="0" w:space="0" w:color="auto"/>
        <w:bottom w:val="none" w:sz="0" w:space="0" w:color="auto"/>
        <w:right w:val="none" w:sz="0" w:space="0" w:color="auto"/>
      </w:divBdr>
    </w:div>
    <w:div w:id="728069250">
      <w:bodyDiv w:val="1"/>
      <w:marLeft w:val="0"/>
      <w:marRight w:val="0"/>
      <w:marTop w:val="0"/>
      <w:marBottom w:val="0"/>
      <w:divBdr>
        <w:top w:val="none" w:sz="0" w:space="0" w:color="auto"/>
        <w:left w:val="none" w:sz="0" w:space="0" w:color="auto"/>
        <w:bottom w:val="none" w:sz="0" w:space="0" w:color="auto"/>
        <w:right w:val="none" w:sz="0" w:space="0" w:color="auto"/>
      </w:divBdr>
    </w:div>
    <w:div w:id="728305880">
      <w:bodyDiv w:val="1"/>
      <w:marLeft w:val="0"/>
      <w:marRight w:val="0"/>
      <w:marTop w:val="0"/>
      <w:marBottom w:val="0"/>
      <w:divBdr>
        <w:top w:val="none" w:sz="0" w:space="0" w:color="auto"/>
        <w:left w:val="none" w:sz="0" w:space="0" w:color="auto"/>
        <w:bottom w:val="none" w:sz="0" w:space="0" w:color="auto"/>
        <w:right w:val="none" w:sz="0" w:space="0" w:color="auto"/>
      </w:divBdr>
    </w:div>
    <w:div w:id="728655668">
      <w:bodyDiv w:val="1"/>
      <w:marLeft w:val="0"/>
      <w:marRight w:val="0"/>
      <w:marTop w:val="0"/>
      <w:marBottom w:val="0"/>
      <w:divBdr>
        <w:top w:val="none" w:sz="0" w:space="0" w:color="auto"/>
        <w:left w:val="none" w:sz="0" w:space="0" w:color="auto"/>
        <w:bottom w:val="none" w:sz="0" w:space="0" w:color="auto"/>
        <w:right w:val="none" w:sz="0" w:space="0" w:color="auto"/>
      </w:divBdr>
    </w:div>
    <w:div w:id="729109963">
      <w:bodyDiv w:val="1"/>
      <w:marLeft w:val="0"/>
      <w:marRight w:val="0"/>
      <w:marTop w:val="0"/>
      <w:marBottom w:val="0"/>
      <w:divBdr>
        <w:top w:val="none" w:sz="0" w:space="0" w:color="auto"/>
        <w:left w:val="none" w:sz="0" w:space="0" w:color="auto"/>
        <w:bottom w:val="none" w:sz="0" w:space="0" w:color="auto"/>
        <w:right w:val="none" w:sz="0" w:space="0" w:color="auto"/>
      </w:divBdr>
    </w:div>
    <w:div w:id="729184418">
      <w:bodyDiv w:val="1"/>
      <w:marLeft w:val="0"/>
      <w:marRight w:val="0"/>
      <w:marTop w:val="0"/>
      <w:marBottom w:val="0"/>
      <w:divBdr>
        <w:top w:val="none" w:sz="0" w:space="0" w:color="auto"/>
        <w:left w:val="none" w:sz="0" w:space="0" w:color="auto"/>
        <w:bottom w:val="none" w:sz="0" w:space="0" w:color="auto"/>
        <w:right w:val="none" w:sz="0" w:space="0" w:color="auto"/>
      </w:divBdr>
    </w:div>
    <w:div w:id="729614898">
      <w:bodyDiv w:val="1"/>
      <w:marLeft w:val="0"/>
      <w:marRight w:val="0"/>
      <w:marTop w:val="0"/>
      <w:marBottom w:val="0"/>
      <w:divBdr>
        <w:top w:val="none" w:sz="0" w:space="0" w:color="auto"/>
        <w:left w:val="none" w:sz="0" w:space="0" w:color="auto"/>
        <w:bottom w:val="none" w:sz="0" w:space="0" w:color="auto"/>
        <w:right w:val="none" w:sz="0" w:space="0" w:color="auto"/>
      </w:divBdr>
    </w:div>
    <w:div w:id="729768058">
      <w:bodyDiv w:val="1"/>
      <w:marLeft w:val="0"/>
      <w:marRight w:val="0"/>
      <w:marTop w:val="0"/>
      <w:marBottom w:val="0"/>
      <w:divBdr>
        <w:top w:val="none" w:sz="0" w:space="0" w:color="auto"/>
        <w:left w:val="none" w:sz="0" w:space="0" w:color="auto"/>
        <w:bottom w:val="none" w:sz="0" w:space="0" w:color="auto"/>
        <w:right w:val="none" w:sz="0" w:space="0" w:color="auto"/>
      </w:divBdr>
    </w:div>
    <w:div w:id="729841333">
      <w:bodyDiv w:val="1"/>
      <w:marLeft w:val="0"/>
      <w:marRight w:val="0"/>
      <w:marTop w:val="0"/>
      <w:marBottom w:val="0"/>
      <w:divBdr>
        <w:top w:val="none" w:sz="0" w:space="0" w:color="auto"/>
        <w:left w:val="none" w:sz="0" w:space="0" w:color="auto"/>
        <w:bottom w:val="none" w:sz="0" w:space="0" w:color="auto"/>
        <w:right w:val="none" w:sz="0" w:space="0" w:color="auto"/>
      </w:divBdr>
    </w:div>
    <w:div w:id="730078446">
      <w:bodyDiv w:val="1"/>
      <w:marLeft w:val="0"/>
      <w:marRight w:val="0"/>
      <w:marTop w:val="0"/>
      <w:marBottom w:val="0"/>
      <w:divBdr>
        <w:top w:val="none" w:sz="0" w:space="0" w:color="auto"/>
        <w:left w:val="none" w:sz="0" w:space="0" w:color="auto"/>
        <w:bottom w:val="none" w:sz="0" w:space="0" w:color="auto"/>
        <w:right w:val="none" w:sz="0" w:space="0" w:color="auto"/>
      </w:divBdr>
    </w:div>
    <w:div w:id="730229750">
      <w:bodyDiv w:val="1"/>
      <w:marLeft w:val="0"/>
      <w:marRight w:val="0"/>
      <w:marTop w:val="0"/>
      <w:marBottom w:val="0"/>
      <w:divBdr>
        <w:top w:val="none" w:sz="0" w:space="0" w:color="auto"/>
        <w:left w:val="none" w:sz="0" w:space="0" w:color="auto"/>
        <w:bottom w:val="none" w:sz="0" w:space="0" w:color="auto"/>
        <w:right w:val="none" w:sz="0" w:space="0" w:color="auto"/>
      </w:divBdr>
    </w:div>
    <w:div w:id="730233394">
      <w:bodyDiv w:val="1"/>
      <w:marLeft w:val="0"/>
      <w:marRight w:val="0"/>
      <w:marTop w:val="0"/>
      <w:marBottom w:val="0"/>
      <w:divBdr>
        <w:top w:val="none" w:sz="0" w:space="0" w:color="auto"/>
        <w:left w:val="none" w:sz="0" w:space="0" w:color="auto"/>
        <w:bottom w:val="none" w:sz="0" w:space="0" w:color="auto"/>
        <w:right w:val="none" w:sz="0" w:space="0" w:color="auto"/>
      </w:divBdr>
    </w:div>
    <w:div w:id="730351637">
      <w:bodyDiv w:val="1"/>
      <w:marLeft w:val="0"/>
      <w:marRight w:val="0"/>
      <w:marTop w:val="0"/>
      <w:marBottom w:val="0"/>
      <w:divBdr>
        <w:top w:val="none" w:sz="0" w:space="0" w:color="auto"/>
        <w:left w:val="none" w:sz="0" w:space="0" w:color="auto"/>
        <w:bottom w:val="none" w:sz="0" w:space="0" w:color="auto"/>
        <w:right w:val="none" w:sz="0" w:space="0" w:color="auto"/>
      </w:divBdr>
    </w:div>
    <w:div w:id="730616401">
      <w:bodyDiv w:val="1"/>
      <w:marLeft w:val="0"/>
      <w:marRight w:val="0"/>
      <w:marTop w:val="0"/>
      <w:marBottom w:val="0"/>
      <w:divBdr>
        <w:top w:val="none" w:sz="0" w:space="0" w:color="auto"/>
        <w:left w:val="none" w:sz="0" w:space="0" w:color="auto"/>
        <w:bottom w:val="none" w:sz="0" w:space="0" w:color="auto"/>
        <w:right w:val="none" w:sz="0" w:space="0" w:color="auto"/>
      </w:divBdr>
    </w:div>
    <w:div w:id="730933203">
      <w:bodyDiv w:val="1"/>
      <w:marLeft w:val="0"/>
      <w:marRight w:val="0"/>
      <w:marTop w:val="0"/>
      <w:marBottom w:val="0"/>
      <w:divBdr>
        <w:top w:val="none" w:sz="0" w:space="0" w:color="auto"/>
        <w:left w:val="none" w:sz="0" w:space="0" w:color="auto"/>
        <w:bottom w:val="none" w:sz="0" w:space="0" w:color="auto"/>
        <w:right w:val="none" w:sz="0" w:space="0" w:color="auto"/>
      </w:divBdr>
    </w:div>
    <w:div w:id="731120025">
      <w:bodyDiv w:val="1"/>
      <w:marLeft w:val="0"/>
      <w:marRight w:val="0"/>
      <w:marTop w:val="0"/>
      <w:marBottom w:val="0"/>
      <w:divBdr>
        <w:top w:val="none" w:sz="0" w:space="0" w:color="auto"/>
        <w:left w:val="none" w:sz="0" w:space="0" w:color="auto"/>
        <w:bottom w:val="none" w:sz="0" w:space="0" w:color="auto"/>
        <w:right w:val="none" w:sz="0" w:space="0" w:color="auto"/>
      </w:divBdr>
    </w:div>
    <w:div w:id="731270299">
      <w:bodyDiv w:val="1"/>
      <w:marLeft w:val="0"/>
      <w:marRight w:val="0"/>
      <w:marTop w:val="0"/>
      <w:marBottom w:val="0"/>
      <w:divBdr>
        <w:top w:val="none" w:sz="0" w:space="0" w:color="auto"/>
        <w:left w:val="none" w:sz="0" w:space="0" w:color="auto"/>
        <w:bottom w:val="none" w:sz="0" w:space="0" w:color="auto"/>
        <w:right w:val="none" w:sz="0" w:space="0" w:color="auto"/>
      </w:divBdr>
    </w:div>
    <w:div w:id="731729611">
      <w:bodyDiv w:val="1"/>
      <w:marLeft w:val="0"/>
      <w:marRight w:val="0"/>
      <w:marTop w:val="0"/>
      <w:marBottom w:val="0"/>
      <w:divBdr>
        <w:top w:val="none" w:sz="0" w:space="0" w:color="auto"/>
        <w:left w:val="none" w:sz="0" w:space="0" w:color="auto"/>
        <w:bottom w:val="none" w:sz="0" w:space="0" w:color="auto"/>
        <w:right w:val="none" w:sz="0" w:space="0" w:color="auto"/>
      </w:divBdr>
    </w:div>
    <w:div w:id="731730143">
      <w:bodyDiv w:val="1"/>
      <w:marLeft w:val="0"/>
      <w:marRight w:val="0"/>
      <w:marTop w:val="0"/>
      <w:marBottom w:val="0"/>
      <w:divBdr>
        <w:top w:val="none" w:sz="0" w:space="0" w:color="auto"/>
        <w:left w:val="none" w:sz="0" w:space="0" w:color="auto"/>
        <w:bottom w:val="none" w:sz="0" w:space="0" w:color="auto"/>
        <w:right w:val="none" w:sz="0" w:space="0" w:color="auto"/>
      </w:divBdr>
    </w:div>
    <w:div w:id="731807347">
      <w:bodyDiv w:val="1"/>
      <w:marLeft w:val="0"/>
      <w:marRight w:val="0"/>
      <w:marTop w:val="0"/>
      <w:marBottom w:val="0"/>
      <w:divBdr>
        <w:top w:val="none" w:sz="0" w:space="0" w:color="auto"/>
        <w:left w:val="none" w:sz="0" w:space="0" w:color="auto"/>
        <w:bottom w:val="none" w:sz="0" w:space="0" w:color="auto"/>
        <w:right w:val="none" w:sz="0" w:space="0" w:color="auto"/>
      </w:divBdr>
    </w:div>
    <w:div w:id="731926703">
      <w:bodyDiv w:val="1"/>
      <w:marLeft w:val="0"/>
      <w:marRight w:val="0"/>
      <w:marTop w:val="0"/>
      <w:marBottom w:val="0"/>
      <w:divBdr>
        <w:top w:val="none" w:sz="0" w:space="0" w:color="auto"/>
        <w:left w:val="none" w:sz="0" w:space="0" w:color="auto"/>
        <w:bottom w:val="none" w:sz="0" w:space="0" w:color="auto"/>
        <w:right w:val="none" w:sz="0" w:space="0" w:color="auto"/>
      </w:divBdr>
    </w:div>
    <w:div w:id="732117238">
      <w:bodyDiv w:val="1"/>
      <w:marLeft w:val="0"/>
      <w:marRight w:val="0"/>
      <w:marTop w:val="0"/>
      <w:marBottom w:val="0"/>
      <w:divBdr>
        <w:top w:val="none" w:sz="0" w:space="0" w:color="auto"/>
        <w:left w:val="none" w:sz="0" w:space="0" w:color="auto"/>
        <w:bottom w:val="none" w:sz="0" w:space="0" w:color="auto"/>
        <w:right w:val="none" w:sz="0" w:space="0" w:color="auto"/>
      </w:divBdr>
    </w:div>
    <w:div w:id="732119752">
      <w:bodyDiv w:val="1"/>
      <w:marLeft w:val="0"/>
      <w:marRight w:val="0"/>
      <w:marTop w:val="0"/>
      <w:marBottom w:val="0"/>
      <w:divBdr>
        <w:top w:val="none" w:sz="0" w:space="0" w:color="auto"/>
        <w:left w:val="none" w:sz="0" w:space="0" w:color="auto"/>
        <w:bottom w:val="none" w:sz="0" w:space="0" w:color="auto"/>
        <w:right w:val="none" w:sz="0" w:space="0" w:color="auto"/>
      </w:divBdr>
    </w:div>
    <w:div w:id="732241195">
      <w:bodyDiv w:val="1"/>
      <w:marLeft w:val="0"/>
      <w:marRight w:val="0"/>
      <w:marTop w:val="0"/>
      <w:marBottom w:val="0"/>
      <w:divBdr>
        <w:top w:val="none" w:sz="0" w:space="0" w:color="auto"/>
        <w:left w:val="none" w:sz="0" w:space="0" w:color="auto"/>
        <w:bottom w:val="none" w:sz="0" w:space="0" w:color="auto"/>
        <w:right w:val="none" w:sz="0" w:space="0" w:color="auto"/>
      </w:divBdr>
    </w:div>
    <w:div w:id="733167333">
      <w:bodyDiv w:val="1"/>
      <w:marLeft w:val="0"/>
      <w:marRight w:val="0"/>
      <w:marTop w:val="0"/>
      <w:marBottom w:val="0"/>
      <w:divBdr>
        <w:top w:val="none" w:sz="0" w:space="0" w:color="auto"/>
        <w:left w:val="none" w:sz="0" w:space="0" w:color="auto"/>
        <w:bottom w:val="none" w:sz="0" w:space="0" w:color="auto"/>
        <w:right w:val="none" w:sz="0" w:space="0" w:color="auto"/>
      </w:divBdr>
    </w:div>
    <w:div w:id="733428673">
      <w:bodyDiv w:val="1"/>
      <w:marLeft w:val="0"/>
      <w:marRight w:val="0"/>
      <w:marTop w:val="0"/>
      <w:marBottom w:val="0"/>
      <w:divBdr>
        <w:top w:val="none" w:sz="0" w:space="0" w:color="auto"/>
        <w:left w:val="none" w:sz="0" w:space="0" w:color="auto"/>
        <w:bottom w:val="none" w:sz="0" w:space="0" w:color="auto"/>
        <w:right w:val="none" w:sz="0" w:space="0" w:color="auto"/>
      </w:divBdr>
    </w:div>
    <w:div w:id="734160360">
      <w:bodyDiv w:val="1"/>
      <w:marLeft w:val="0"/>
      <w:marRight w:val="0"/>
      <w:marTop w:val="0"/>
      <w:marBottom w:val="0"/>
      <w:divBdr>
        <w:top w:val="none" w:sz="0" w:space="0" w:color="auto"/>
        <w:left w:val="none" w:sz="0" w:space="0" w:color="auto"/>
        <w:bottom w:val="none" w:sz="0" w:space="0" w:color="auto"/>
        <w:right w:val="none" w:sz="0" w:space="0" w:color="auto"/>
      </w:divBdr>
    </w:div>
    <w:div w:id="734280528">
      <w:bodyDiv w:val="1"/>
      <w:marLeft w:val="0"/>
      <w:marRight w:val="0"/>
      <w:marTop w:val="0"/>
      <w:marBottom w:val="0"/>
      <w:divBdr>
        <w:top w:val="none" w:sz="0" w:space="0" w:color="auto"/>
        <w:left w:val="none" w:sz="0" w:space="0" w:color="auto"/>
        <w:bottom w:val="none" w:sz="0" w:space="0" w:color="auto"/>
        <w:right w:val="none" w:sz="0" w:space="0" w:color="auto"/>
      </w:divBdr>
    </w:div>
    <w:div w:id="734472616">
      <w:bodyDiv w:val="1"/>
      <w:marLeft w:val="0"/>
      <w:marRight w:val="0"/>
      <w:marTop w:val="0"/>
      <w:marBottom w:val="0"/>
      <w:divBdr>
        <w:top w:val="none" w:sz="0" w:space="0" w:color="auto"/>
        <w:left w:val="none" w:sz="0" w:space="0" w:color="auto"/>
        <w:bottom w:val="none" w:sz="0" w:space="0" w:color="auto"/>
        <w:right w:val="none" w:sz="0" w:space="0" w:color="auto"/>
      </w:divBdr>
    </w:div>
    <w:div w:id="734477485">
      <w:bodyDiv w:val="1"/>
      <w:marLeft w:val="0"/>
      <w:marRight w:val="0"/>
      <w:marTop w:val="0"/>
      <w:marBottom w:val="0"/>
      <w:divBdr>
        <w:top w:val="none" w:sz="0" w:space="0" w:color="auto"/>
        <w:left w:val="none" w:sz="0" w:space="0" w:color="auto"/>
        <w:bottom w:val="none" w:sz="0" w:space="0" w:color="auto"/>
        <w:right w:val="none" w:sz="0" w:space="0" w:color="auto"/>
      </w:divBdr>
    </w:div>
    <w:div w:id="734595506">
      <w:bodyDiv w:val="1"/>
      <w:marLeft w:val="0"/>
      <w:marRight w:val="0"/>
      <w:marTop w:val="0"/>
      <w:marBottom w:val="0"/>
      <w:divBdr>
        <w:top w:val="none" w:sz="0" w:space="0" w:color="auto"/>
        <w:left w:val="none" w:sz="0" w:space="0" w:color="auto"/>
        <w:bottom w:val="none" w:sz="0" w:space="0" w:color="auto"/>
        <w:right w:val="none" w:sz="0" w:space="0" w:color="auto"/>
      </w:divBdr>
    </w:div>
    <w:div w:id="734665410">
      <w:bodyDiv w:val="1"/>
      <w:marLeft w:val="0"/>
      <w:marRight w:val="0"/>
      <w:marTop w:val="0"/>
      <w:marBottom w:val="0"/>
      <w:divBdr>
        <w:top w:val="none" w:sz="0" w:space="0" w:color="auto"/>
        <w:left w:val="none" w:sz="0" w:space="0" w:color="auto"/>
        <w:bottom w:val="none" w:sz="0" w:space="0" w:color="auto"/>
        <w:right w:val="none" w:sz="0" w:space="0" w:color="auto"/>
      </w:divBdr>
    </w:div>
    <w:div w:id="734820647">
      <w:bodyDiv w:val="1"/>
      <w:marLeft w:val="0"/>
      <w:marRight w:val="0"/>
      <w:marTop w:val="0"/>
      <w:marBottom w:val="0"/>
      <w:divBdr>
        <w:top w:val="none" w:sz="0" w:space="0" w:color="auto"/>
        <w:left w:val="none" w:sz="0" w:space="0" w:color="auto"/>
        <w:bottom w:val="none" w:sz="0" w:space="0" w:color="auto"/>
        <w:right w:val="none" w:sz="0" w:space="0" w:color="auto"/>
      </w:divBdr>
    </w:div>
    <w:div w:id="734934303">
      <w:bodyDiv w:val="1"/>
      <w:marLeft w:val="0"/>
      <w:marRight w:val="0"/>
      <w:marTop w:val="0"/>
      <w:marBottom w:val="0"/>
      <w:divBdr>
        <w:top w:val="none" w:sz="0" w:space="0" w:color="auto"/>
        <w:left w:val="none" w:sz="0" w:space="0" w:color="auto"/>
        <w:bottom w:val="none" w:sz="0" w:space="0" w:color="auto"/>
        <w:right w:val="none" w:sz="0" w:space="0" w:color="auto"/>
      </w:divBdr>
    </w:div>
    <w:div w:id="734938232">
      <w:bodyDiv w:val="1"/>
      <w:marLeft w:val="0"/>
      <w:marRight w:val="0"/>
      <w:marTop w:val="0"/>
      <w:marBottom w:val="0"/>
      <w:divBdr>
        <w:top w:val="none" w:sz="0" w:space="0" w:color="auto"/>
        <w:left w:val="none" w:sz="0" w:space="0" w:color="auto"/>
        <w:bottom w:val="none" w:sz="0" w:space="0" w:color="auto"/>
        <w:right w:val="none" w:sz="0" w:space="0" w:color="auto"/>
      </w:divBdr>
    </w:div>
    <w:div w:id="735207506">
      <w:bodyDiv w:val="1"/>
      <w:marLeft w:val="0"/>
      <w:marRight w:val="0"/>
      <w:marTop w:val="0"/>
      <w:marBottom w:val="0"/>
      <w:divBdr>
        <w:top w:val="none" w:sz="0" w:space="0" w:color="auto"/>
        <w:left w:val="none" w:sz="0" w:space="0" w:color="auto"/>
        <w:bottom w:val="none" w:sz="0" w:space="0" w:color="auto"/>
        <w:right w:val="none" w:sz="0" w:space="0" w:color="auto"/>
      </w:divBdr>
    </w:div>
    <w:div w:id="735395085">
      <w:bodyDiv w:val="1"/>
      <w:marLeft w:val="0"/>
      <w:marRight w:val="0"/>
      <w:marTop w:val="0"/>
      <w:marBottom w:val="0"/>
      <w:divBdr>
        <w:top w:val="none" w:sz="0" w:space="0" w:color="auto"/>
        <w:left w:val="none" w:sz="0" w:space="0" w:color="auto"/>
        <w:bottom w:val="none" w:sz="0" w:space="0" w:color="auto"/>
        <w:right w:val="none" w:sz="0" w:space="0" w:color="auto"/>
      </w:divBdr>
    </w:div>
    <w:div w:id="735707626">
      <w:bodyDiv w:val="1"/>
      <w:marLeft w:val="0"/>
      <w:marRight w:val="0"/>
      <w:marTop w:val="0"/>
      <w:marBottom w:val="0"/>
      <w:divBdr>
        <w:top w:val="none" w:sz="0" w:space="0" w:color="auto"/>
        <w:left w:val="none" w:sz="0" w:space="0" w:color="auto"/>
        <w:bottom w:val="none" w:sz="0" w:space="0" w:color="auto"/>
        <w:right w:val="none" w:sz="0" w:space="0" w:color="auto"/>
      </w:divBdr>
    </w:div>
    <w:div w:id="735739178">
      <w:bodyDiv w:val="1"/>
      <w:marLeft w:val="0"/>
      <w:marRight w:val="0"/>
      <w:marTop w:val="0"/>
      <w:marBottom w:val="0"/>
      <w:divBdr>
        <w:top w:val="none" w:sz="0" w:space="0" w:color="auto"/>
        <w:left w:val="none" w:sz="0" w:space="0" w:color="auto"/>
        <w:bottom w:val="none" w:sz="0" w:space="0" w:color="auto"/>
        <w:right w:val="none" w:sz="0" w:space="0" w:color="auto"/>
      </w:divBdr>
    </w:div>
    <w:div w:id="736055147">
      <w:bodyDiv w:val="1"/>
      <w:marLeft w:val="0"/>
      <w:marRight w:val="0"/>
      <w:marTop w:val="0"/>
      <w:marBottom w:val="0"/>
      <w:divBdr>
        <w:top w:val="none" w:sz="0" w:space="0" w:color="auto"/>
        <w:left w:val="none" w:sz="0" w:space="0" w:color="auto"/>
        <w:bottom w:val="none" w:sz="0" w:space="0" w:color="auto"/>
        <w:right w:val="none" w:sz="0" w:space="0" w:color="auto"/>
      </w:divBdr>
    </w:div>
    <w:div w:id="736511262">
      <w:bodyDiv w:val="1"/>
      <w:marLeft w:val="0"/>
      <w:marRight w:val="0"/>
      <w:marTop w:val="0"/>
      <w:marBottom w:val="0"/>
      <w:divBdr>
        <w:top w:val="none" w:sz="0" w:space="0" w:color="auto"/>
        <w:left w:val="none" w:sz="0" w:space="0" w:color="auto"/>
        <w:bottom w:val="none" w:sz="0" w:space="0" w:color="auto"/>
        <w:right w:val="none" w:sz="0" w:space="0" w:color="auto"/>
      </w:divBdr>
    </w:div>
    <w:div w:id="736627899">
      <w:bodyDiv w:val="1"/>
      <w:marLeft w:val="0"/>
      <w:marRight w:val="0"/>
      <w:marTop w:val="0"/>
      <w:marBottom w:val="0"/>
      <w:divBdr>
        <w:top w:val="none" w:sz="0" w:space="0" w:color="auto"/>
        <w:left w:val="none" w:sz="0" w:space="0" w:color="auto"/>
        <w:bottom w:val="none" w:sz="0" w:space="0" w:color="auto"/>
        <w:right w:val="none" w:sz="0" w:space="0" w:color="auto"/>
      </w:divBdr>
    </w:div>
    <w:div w:id="736787667">
      <w:bodyDiv w:val="1"/>
      <w:marLeft w:val="0"/>
      <w:marRight w:val="0"/>
      <w:marTop w:val="0"/>
      <w:marBottom w:val="0"/>
      <w:divBdr>
        <w:top w:val="none" w:sz="0" w:space="0" w:color="auto"/>
        <w:left w:val="none" w:sz="0" w:space="0" w:color="auto"/>
        <w:bottom w:val="none" w:sz="0" w:space="0" w:color="auto"/>
        <w:right w:val="none" w:sz="0" w:space="0" w:color="auto"/>
      </w:divBdr>
    </w:div>
    <w:div w:id="736974798">
      <w:bodyDiv w:val="1"/>
      <w:marLeft w:val="0"/>
      <w:marRight w:val="0"/>
      <w:marTop w:val="0"/>
      <w:marBottom w:val="0"/>
      <w:divBdr>
        <w:top w:val="none" w:sz="0" w:space="0" w:color="auto"/>
        <w:left w:val="none" w:sz="0" w:space="0" w:color="auto"/>
        <w:bottom w:val="none" w:sz="0" w:space="0" w:color="auto"/>
        <w:right w:val="none" w:sz="0" w:space="0" w:color="auto"/>
      </w:divBdr>
    </w:div>
    <w:div w:id="737095062">
      <w:bodyDiv w:val="1"/>
      <w:marLeft w:val="0"/>
      <w:marRight w:val="0"/>
      <w:marTop w:val="0"/>
      <w:marBottom w:val="0"/>
      <w:divBdr>
        <w:top w:val="none" w:sz="0" w:space="0" w:color="auto"/>
        <w:left w:val="none" w:sz="0" w:space="0" w:color="auto"/>
        <w:bottom w:val="none" w:sz="0" w:space="0" w:color="auto"/>
        <w:right w:val="none" w:sz="0" w:space="0" w:color="auto"/>
      </w:divBdr>
    </w:div>
    <w:div w:id="737174224">
      <w:bodyDiv w:val="1"/>
      <w:marLeft w:val="0"/>
      <w:marRight w:val="0"/>
      <w:marTop w:val="0"/>
      <w:marBottom w:val="0"/>
      <w:divBdr>
        <w:top w:val="none" w:sz="0" w:space="0" w:color="auto"/>
        <w:left w:val="none" w:sz="0" w:space="0" w:color="auto"/>
        <w:bottom w:val="none" w:sz="0" w:space="0" w:color="auto"/>
        <w:right w:val="none" w:sz="0" w:space="0" w:color="auto"/>
      </w:divBdr>
    </w:div>
    <w:div w:id="737438557">
      <w:bodyDiv w:val="1"/>
      <w:marLeft w:val="0"/>
      <w:marRight w:val="0"/>
      <w:marTop w:val="0"/>
      <w:marBottom w:val="0"/>
      <w:divBdr>
        <w:top w:val="none" w:sz="0" w:space="0" w:color="auto"/>
        <w:left w:val="none" w:sz="0" w:space="0" w:color="auto"/>
        <w:bottom w:val="none" w:sz="0" w:space="0" w:color="auto"/>
        <w:right w:val="none" w:sz="0" w:space="0" w:color="auto"/>
      </w:divBdr>
    </w:div>
    <w:div w:id="738213739">
      <w:bodyDiv w:val="1"/>
      <w:marLeft w:val="0"/>
      <w:marRight w:val="0"/>
      <w:marTop w:val="0"/>
      <w:marBottom w:val="0"/>
      <w:divBdr>
        <w:top w:val="none" w:sz="0" w:space="0" w:color="auto"/>
        <w:left w:val="none" w:sz="0" w:space="0" w:color="auto"/>
        <w:bottom w:val="none" w:sz="0" w:space="0" w:color="auto"/>
        <w:right w:val="none" w:sz="0" w:space="0" w:color="auto"/>
      </w:divBdr>
    </w:div>
    <w:div w:id="738598846">
      <w:bodyDiv w:val="1"/>
      <w:marLeft w:val="0"/>
      <w:marRight w:val="0"/>
      <w:marTop w:val="0"/>
      <w:marBottom w:val="0"/>
      <w:divBdr>
        <w:top w:val="none" w:sz="0" w:space="0" w:color="auto"/>
        <w:left w:val="none" w:sz="0" w:space="0" w:color="auto"/>
        <w:bottom w:val="none" w:sz="0" w:space="0" w:color="auto"/>
        <w:right w:val="none" w:sz="0" w:space="0" w:color="auto"/>
      </w:divBdr>
    </w:div>
    <w:div w:id="739057023">
      <w:bodyDiv w:val="1"/>
      <w:marLeft w:val="0"/>
      <w:marRight w:val="0"/>
      <w:marTop w:val="0"/>
      <w:marBottom w:val="0"/>
      <w:divBdr>
        <w:top w:val="none" w:sz="0" w:space="0" w:color="auto"/>
        <w:left w:val="none" w:sz="0" w:space="0" w:color="auto"/>
        <w:bottom w:val="none" w:sz="0" w:space="0" w:color="auto"/>
        <w:right w:val="none" w:sz="0" w:space="0" w:color="auto"/>
      </w:divBdr>
    </w:div>
    <w:div w:id="739207721">
      <w:bodyDiv w:val="1"/>
      <w:marLeft w:val="0"/>
      <w:marRight w:val="0"/>
      <w:marTop w:val="0"/>
      <w:marBottom w:val="0"/>
      <w:divBdr>
        <w:top w:val="none" w:sz="0" w:space="0" w:color="auto"/>
        <w:left w:val="none" w:sz="0" w:space="0" w:color="auto"/>
        <w:bottom w:val="none" w:sz="0" w:space="0" w:color="auto"/>
        <w:right w:val="none" w:sz="0" w:space="0" w:color="auto"/>
      </w:divBdr>
    </w:div>
    <w:div w:id="739669817">
      <w:bodyDiv w:val="1"/>
      <w:marLeft w:val="0"/>
      <w:marRight w:val="0"/>
      <w:marTop w:val="0"/>
      <w:marBottom w:val="0"/>
      <w:divBdr>
        <w:top w:val="none" w:sz="0" w:space="0" w:color="auto"/>
        <w:left w:val="none" w:sz="0" w:space="0" w:color="auto"/>
        <w:bottom w:val="none" w:sz="0" w:space="0" w:color="auto"/>
        <w:right w:val="none" w:sz="0" w:space="0" w:color="auto"/>
      </w:divBdr>
    </w:div>
    <w:div w:id="739790751">
      <w:bodyDiv w:val="1"/>
      <w:marLeft w:val="0"/>
      <w:marRight w:val="0"/>
      <w:marTop w:val="0"/>
      <w:marBottom w:val="0"/>
      <w:divBdr>
        <w:top w:val="none" w:sz="0" w:space="0" w:color="auto"/>
        <w:left w:val="none" w:sz="0" w:space="0" w:color="auto"/>
        <w:bottom w:val="none" w:sz="0" w:space="0" w:color="auto"/>
        <w:right w:val="none" w:sz="0" w:space="0" w:color="auto"/>
      </w:divBdr>
    </w:div>
    <w:div w:id="739907172">
      <w:bodyDiv w:val="1"/>
      <w:marLeft w:val="0"/>
      <w:marRight w:val="0"/>
      <w:marTop w:val="0"/>
      <w:marBottom w:val="0"/>
      <w:divBdr>
        <w:top w:val="none" w:sz="0" w:space="0" w:color="auto"/>
        <w:left w:val="none" w:sz="0" w:space="0" w:color="auto"/>
        <w:bottom w:val="none" w:sz="0" w:space="0" w:color="auto"/>
        <w:right w:val="none" w:sz="0" w:space="0" w:color="auto"/>
      </w:divBdr>
    </w:div>
    <w:div w:id="740761054">
      <w:bodyDiv w:val="1"/>
      <w:marLeft w:val="0"/>
      <w:marRight w:val="0"/>
      <w:marTop w:val="0"/>
      <w:marBottom w:val="0"/>
      <w:divBdr>
        <w:top w:val="none" w:sz="0" w:space="0" w:color="auto"/>
        <w:left w:val="none" w:sz="0" w:space="0" w:color="auto"/>
        <w:bottom w:val="none" w:sz="0" w:space="0" w:color="auto"/>
        <w:right w:val="none" w:sz="0" w:space="0" w:color="auto"/>
      </w:divBdr>
    </w:div>
    <w:div w:id="740829535">
      <w:bodyDiv w:val="1"/>
      <w:marLeft w:val="0"/>
      <w:marRight w:val="0"/>
      <w:marTop w:val="0"/>
      <w:marBottom w:val="0"/>
      <w:divBdr>
        <w:top w:val="none" w:sz="0" w:space="0" w:color="auto"/>
        <w:left w:val="none" w:sz="0" w:space="0" w:color="auto"/>
        <w:bottom w:val="none" w:sz="0" w:space="0" w:color="auto"/>
        <w:right w:val="none" w:sz="0" w:space="0" w:color="auto"/>
      </w:divBdr>
    </w:div>
    <w:div w:id="741101655">
      <w:bodyDiv w:val="1"/>
      <w:marLeft w:val="0"/>
      <w:marRight w:val="0"/>
      <w:marTop w:val="0"/>
      <w:marBottom w:val="0"/>
      <w:divBdr>
        <w:top w:val="none" w:sz="0" w:space="0" w:color="auto"/>
        <w:left w:val="none" w:sz="0" w:space="0" w:color="auto"/>
        <w:bottom w:val="none" w:sz="0" w:space="0" w:color="auto"/>
        <w:right w:val="none" w:sz="0" w:space="0" w:color="auto"/>
      </w:divBdr>
    </w:div>
    <w:div w:id="741371389">
      <w:bodyDiv w:val="1"/>
      <w:marLeft w:val="0"/>
      <w:marRight w:val="0"/>
      <w:marTop w:val="0"/>
      <w:marBottom w:val="0"/>
      <w:divBdr>
        <w:top w:val="none" w:sz="0" w:space="0" w:color="auto"/>
        <w:left w:val="none" w:sz="0" w:space="0" w:color="auto"/>
        <w:bottom w:val="none" w:sz="0" w:space="0" w:color="auto"/>
        <w:right w:val="none" w:sz="0" w:space="0" w:color="auto"/>
      </w:divBdr>
    </w:div>
    <w:div w:id="741829470">
      <w:bodyDiv w:val="1"/>
      <w:marLeft w:val="0"/>
      <w:marRight w:val="0"/>
      <w:marTop w:val="0"/>
      <w:marBottom w:val="0"/>
      <w:divBdr>
        <w:top w:val="none" w:sz="0" w:space="0" w:color="auto"/>
        <w:left w:val="none" w:sz="0" w:space="0" w:color="auto"/>
        <w:bottom w:val="none" w:sz="0" w:space="0" w:color="auto"/>
        <w:right w:val="none" w:sz="0" w:space="0" w:color="auto"/>
      </w:divBdr>
    </w:div>
    <w:div w:id="742415751">
      <w:bodyDiv w:val="1"/>
      <w:marLeft w:val="0"/>
      <w:marRight w:val="0"/>
      <w:marTop w:val="0"/>
      <w:marBottom w:val="0"/>
      <w:divBdr>
        <w:top w:val="none" w:sz="0" w:space="0" w:color="auto"/>
        <w:left w:val="none" w:sz="0" w:space="0" w:color="auto"/>
        <w:bottom w:val="none" w:sz="0" w:space="0" w:color="auto"/>
        <w:right w:val="none" w:sz="0" w:space="0" w:color="auto"/>
      </w:divBdr>
    </w:div>
    <w:div w:id="742727170">
      <w:bodyDiv w:val="1"/>
      <w:marLeft w:val="0"/>
      <w:marRight w:val="0"/>
      <w:marTop w:val="0"/>
      <w:marBottom w:val="0"/>
      <w:divBdr>
        <w:top w:val="none" w:sz="0" w:space="0" w:color="auto"/>
        <w:left w:val="none" w:sz="0" w:space="0" w:color="auto"/>
        <w:bottom w:val="none" w:sz="0" w:space="0" w:color="auto"/>
        <w:right w:val="none" w:sz="0" w:space="0" w:color="auto"/>
      </w:divBdr>
    </w:div>
    <w:div w:id="742996405">
      <w:bodyDiv w:val="1"/>
      <w:marLeft w:val="0"/>
      <w:marRight w:val="0"/>
      <w:marTop w:val="0"/>
      <w:marBottom w:val="0"/>
      <w:divBdr>
        <w:top w:val="none" w:sz="0" w:space="0" w:color="auto"/>
        <w:left w:val="none" w:sz="0" w:space="0" w:color="auto"/>
        <w:bottom w:val="none" w:sz="0" w:space="0" w:color="auto"/>
        <w:right w:val="none" w:sz="0" w:space="0" w:color="auto"/>
      </w:divBdr>
    </w:div>
    <w:div w:id="743070191">
      <w:bodyDiv w:val="1"/>
      <w:marLeft w:val="0"/>
      <w:marRight w:val="0"/>
      <w:marTop w:val="0"/>
      <w:marBottom w:val="0"/>
      <w:divBdr>
        <w:top w:val="none" w:sz="0" w:space="0" w:color="auto"/>
        <w:left w:val="none" w:sz="0" w:space="0" w:color="auto"/>
        <w:bottom w:val="none" w:sz="0" w:space="0" w:color="auto"/>
        <w:right w:val="none" w:sz="0" w:space="0" w:color="auto"/>
      </w:divBdr>
    </w:div>
    <w:div w:id="743377668">
      <w:bodyDiv w:val="1"/>
      <w:marLeft w:val="0"/>
      <w:marRight w:val="0"/>
      <w:marTop w:val="0"/>
      <w:marBottom w:val="0"/>
      <w:divBdr>
        <w:top w:val="none" w:sz="0" w:space="0" w:color="auto"/>
        <w:left w:val="none" w:sz="0" w:space="0" w:color="auto"/>
        <w:bottom w:val="none" w:sz="0" w:space="0" w:color="auto"/>
        <w:right w:val="none" w:sz="0" w:space="0" w:color="auto"/>
      </w:divBdr>
    </w:div>
    <w:div w:id="743382834">
      <w:bodyDiv w:val="1"/>
      <w:marLeft w:val="0"/>
      <w:marRight w:val="0"/>
      <w:marTop w:val="0"/>
      <w:marBottom w:val="0"/>
      <w:divBdr>
        <w:top w:val="none" w:sz="0" w:space="0" w:color="auto"/>
        <w:left w:val="none" w:sz="0" w:space="0" w:color="auto"/>
        <w:bottom w:val="none" w:sz="0" w:space="0" w:color="auto"/>
        <w:right w:val="none" w:sz="0" w:space="0" w:color="auto"/>
      </w:divBdr>
    </w:div>
    <w:div w:id="743529049">
      <w:bodyDiv w:val="1"/>
      <w:marLeft w:val="0"/>
      <w:marRight w:val="0"/>
      <w:marTop w:val="0"/>
      <w:marBottom w:val="0"/>
      <w:divBdr>
        <w:top w:val="none" w:sz="0" w:space="0" w:color="auto"/>
        <w:left w:val="none" w:sz="0" w:space="0" w:color="auto"/>
        <w:bottom w:val="none" w:sz="0" w:space="0" w:color="auto"/>
        <w:right w:val="none" w:sz="0" w:space="0" w:color="auto"/>
      </w:divBdr>
    </w:div>
    <w:div w:id="743722313">
      <w:bodyDiv w:val="1"/>
      <w:marLeft w:val="0"/>
      <w:marRight w:val="0"/>
      <w:marTop w:val="0"/>
      <w:marBottom w:val="0"/>
      <w:divBdr>
        <w:top w:val="none" w:sz="0" w:space="0" w:color="auto"/>
        <w:left w:val="none" w:sz="0" w:space="0" w:color="auto"/>
        <w:bottom w:val="none" w:sz="0" w:space="0" w:color="auto"/>
        <w:right w:val="none" w:sz="0" w:space="0" w:color="auto"/>
      </w:divBdr>
    </w:div>
    <w:div w:id="744034186">
      <w:bodyDiv w:val="1"/>
      <w:marLeft w:val="0"/>
      <w:marRight w:val="0"/>
      <w:marTop w:val="0"/>
      <w:marBottom w:val="0"/>
      <w:divBdr>
        <w:top w:val="none" w:sz="0" w:space="0" w:color="auto"/>
        <w:left w:val="none" w:sz="0" w:space="0" w:color="auto"/>
        <w:bottom w:val="none" w:sz="0" w:space="0" w:color="auto"/>
        <w:right w:val="none" w:sz="0" w:space="0" w:color="auto"/>
      </w:divBdr>
    </w:div>
    <w:div w:id="744379168">
      <w:bodyDiv w:val="1"/>
      <w:marLeft w:val="0"/>
      <w:marRight w:val="0"/>
      <w:marTop w:val="0"/>
      <w:marBottom w:val="0"/>
      <w:divBdr>
        <w:top w:val="none" w:sz="0" w:space="0" w:color="auto"/>
        <w:left w:val="none" w:sz="0" w:space="0" w:color="auto"/>
        <w:bottom w:val="none" w:sz="0" w:space="0" w:color="auto"/>
        <w:right w:val="none" w:sz="0" w:space="0" w:color="auto"/>
      </w:divBdr>
    </w:div>
    <w:div w:id="744450482">
      <w:bodyDiv w:val="1"/>
      <w:marLeft w:val="0"/>
      <w:marRight w:val="0"/>
      <w:marTop w:val="0"/>
      <w:marBottom w:val="0"/>
      <w:divBdr>
        <w:top w:val="none" w:sz="0" w:space="0" w:color="auto"/>
        <w:left w:val="none" w:sz="0" w:space="0" w:color="auto"/>
        <w:bottom w:val="none" w:sz="0" w:space="0" w:color="auto"/>
        <w:right w:val="none" w:sz="0" w:space="0" w:color="auto"/>
      </w:divBdr>
    </w:div>
    <w:div w:id="744493828">
      <w:bodyDiv w:val="1"/>
      <w:marLeft w:val="0"/>
      <w:marRight w:val="0"/>
      <w:marTop w:val="0"/>
      <w:marBottom w:val="0"/>
      <w:divBdr>
        <w:top w:val="none" w:sz="0" w:space="0" w:color="auto"/>
        <w:left w:val="none" w:sz="0" w:space="0" w:color="auto"/>
        <w:bottom w:val="none" w:sz="0" w:space="0" w:color="auto"/>
        <w:right w:val="none" w:sz="0" w:space="0" w:color="auto"/>
      </w:divBdr>
    </w:div>
    <w:div w:id="744497853">
      <w:bodyDiv w:val="1"/>
      <w:marLeft w:val="0"/>
      <w:marRight w:val="0"/>
      <w:marTop w:val="0"/>
      <w:marBottom w:val="0"/>
      <w:divBdr>
        <w:top w:val="none" w:sz="0" w:space="0" w:color="auto"/>
        <w:left w:val="none" w:sz="0" w:space="0" w:color="auto"/>
        <w:bottom w:val="none" w:sz="0" w:space="0" w:color="auto"/>
        <w:right w:val="none" w:sz="0" w:space="0" w:color="auto"/>
      </w:divBdr>
    </w:div>
    <w:div w:id="744841444">
      <w:bodyDiv w:val="1"/>
      <w:marLeft w:val="0"/>
      <w:marRight w:val="0"/>
      <w:marTop w:val="0"/>
      <w:marBottom w:val="0"/>
      <w:divBdr>
        <w:top w:val="none" w:sz="0" w:space="0" w:color="auto"/>
        <w:left w:val="none" w:sz="0" w:space="0" w:color="auto"/>
        <w:bottom w:val="none" w:sz="0" w:space="0" w:color="auto"/>
        <w:right w:val="none" w:sz="0" w:space="0" w:color="auto"/>
      </w:divBdr>
    </w:div>
    <w:div w:id="744958045">
      <w:bodyDiv w:val="1"/>
      <w:marLeft w:val="0"/>
      <w:marRight w:val="0"/>
      <w:marTop w:val="0"/>
      <w:marBottom w:val="0"/>
      <w:divBdr>
        <w:top w:val="none" w:sz="0" w:space="0" w:color="auto"/>
        <w:left w:val="none" w:sz="0" w:space="0" w:color="auto"/>
        <w:bottom w:val="none" w:sz="0" w:space="0" w:color="auto"/>
        <w:right w:val="none" w:sz="0" w:space="0" w:color="auto"/>
      </w:divBdr>
    </w:div>
    <w:div w:id="745033883">
      <w:bodyDiv w:val="1"/>
      <w:marLeft w:val="0"/>
      <w:marRight w:val="0"/>
      <w:marTop w:val="0"/>
      <w:marBottom w:val="0"/>
      <w:divBdr>
        <w:top w:val="none" w:sz="0" w:space="0" w:color="auto"/>
        <w:left w:val="none" w:sz="0" w:space="0" w:color="auto"/>
        <w:bottom w:val="none" w:sz="0" w:space="0" w:color="auto"/>
        <w:right w:val="none" w:sz="0" w:space="0" w:color="auto"/>
      </w:divBdr>
    </w:div>
    <w:div w:id="745346057">
      <w:bodyDiv w:val="1"/>
      <w:marLeft w:val="0"/>
      <w:marRight w:val="0"/>
      <w:marTop w:val="0"/>
      <w:marBottom w:val="0"/>
      <w:divBdr>
        <w:top w:val="none" w:sz="0" w:space="0" w:color="auto"/>
        <w:left w:val="none" w:sz="0" w:space="0" w:color="auto"/>
        <w:bottom w:val="none" w:sz="0" w:space="0" w:color="auto"/>
        <w:right w:val="none" w:sz="0" w:space="0" w:color="auto"/>
      </w:divBdr>
    </w:div>
    <w:div w:id="745763278">
      <w:bodyDiv w:val="1"/>
      <w:marLeft w:val="0"/>
      <w:marRight w:val="0"/>
      <w:marTop w:val="0"/>
      <w:marBottom w:val="0"/>
      <w:divBdr>
        <w:top w:val="none" w:sz="0" w:space="0" w:color="auto"/>
        <w:left w:val="none" w:sz="0" w:space="0" w:color="auto"/>
        <w:bottom w:val="none" w:sz="0" w:space="0" w:color="auto"/>
        <w:right w:val="none" w:sz="0" w:space="0" w:color="auto"/>
      </w:divBdr>
    </w:div>
    <w:div w:id="745807591">
      <w:bodyDiv w:val="1"/>
      <w:marLeft w:val="0"/>
      <w:marRight w:val="0"/>
      <w:marTop w:val="0"/>
      <w:marBottom w:val="0"/>
      <w:divBdr>
        <w:top w:val="none" w:sz="0" w:space="0" w:color="auto"/>
        <w:left w:val="none" w:sz="0" w:space="0" w:color="auto"/>
        <w:bottom w:val="none" w:sz="0" w:space="0" w:color="auto"/>
        <w:right w:val="none" w:sz="0" w:space="0" w:color="auto"/>
      </w:divBdr>
    </w:div>
    <w:div w:id="745884430">
      <w:bodyDiv w:val="1"/>
      <w:marLeft w:val="0"/>
      <w:marRight w:val="0"/>
      <w:marTop w:val="0"/>
      <w:marBottom w:val="0"/>
      <w:divBdr>
        <w:top w:val="none" w:sz="0" w:space="0" w:color="auto"/>
        <w:left w:val="none" w:sz="0" w:space="0" w:color="auto"/>
        <w:bottom w:val="none" w:sz="0" w:space="0" w:color="auto"/>
        <w:right w:val="none" w:sz="0" w:space="0" w:color="auto"/>
      </w:divBdr>
    </w:div>
    <w:div w:id="746147558">
      <w:bodyDiv w:val="1"/>
      <w:marLeft w:val="0"/>
      <w:marRight w:val="0"/>
      <w:marTop w:val="0"/>
      <w:marBottom w:val="0"/>
      <w:divBdr>
        <w:top w:val="none" w:sz="0" w:space="0" w:color="auto"/>
        <w:left w:val="none" w:sz="0" w:space="0" w:color="auto"/>
        <w:bottom w:val="none" w:sz="0" w:space="0" w:color="auto"/>
        <w:right w:val="none" w:sz="0" w:space="0" w:color="auto"/>
      </w:divBdr>
    </w:div>
    <w:div w:id="746153691">
      <w:bodyDiv w:val="1"/>
      <w:marLeft w:val="0"/>
      <w:marRight w:val="0"/>
      <w:marTop w:val="0"/>
      <w:marBottom w:val="0"/>
      <w:divBdr>
        <w:top w:val="none" w:sz="0" w:space="0" w:color="auto"/>
        <w:left w:val="none" w:sz="0" w:space="0" w:color="auto"/>
        <w:bottom w:val="none" w:sz="0" w:space="0" w:color="auto"/>
        <w:right w:val="none" w:sz="0" w:space="0" w:color="auto"/>
      </w:divBdr>
    </w:div>
    <w:div w:id="746613360">
      <w:bodyDiv w:val="1"/>
      <w:marLeft w:val="0"/>
      <w:marRight w:val="0"/>
      <w:marTop w:val="0"/>
      <w:marBottom w:val="0"/>
      <w:divBdr>
        <w:top w:val="none" w:sz="0" w:space="0" w:color="auto"/>
        <w:left w:val="none" w:sz="0" w:space="0" w:color="auto"/>
        <w:bottom w:val="none" w:sz="0" w:space="0" w:color="auto"/>
        <w:right w:val="none" w:sz="0" w:space="0" w:color="auto"/>
      </w:divBdr>
    </w:div>
    <w:div w:id="747116489">
      <w:bodyDiv w:val="1"/>
      <w:marLeft w:val="0"/>
      <w:marRight w:val="0"/>
      <w:marTop w:val="0"/>
      <w:marBottom w:val="0"/>
      <w:divBdr>
        <w:top w:val="none" w:sz="0" w:space="0" w:color="auto"/>
        <w:left w:val="none" w:sz="0" w:space="0" w:color="auto"/>
        <w:bottom w:val="none" w:sz="0" w:space="0" w:color="auto"/>
        <w:right w:val="none" w:sz="0" w:space="0" w:color="auto"/>
      </w:divBdr>
    </w:div>
    <w:div w:id="747533665">
      <w:bodyDiv w:val="1"/>
      <w:marLeft w:val="0"/>
      <w:marRight w:val="0"/>
      <w:marTop w:val="0"/>
      <w:marBottom w:val="0"/>
      <w:divBdr>
        <w:top w:val="none" w:sz="0" w:space="0" w:color="auto"/>
        <w:left w:val="none" w:sz="0" w:space="0" w:color="auto"/>
        <w:bottom w:val="none" w:sz="0" w:space="0" w:color="auto"/>
        <w:right w:val="none" w:sz="0" w:space="0" w:color="auto"/>
      </w:divBdr>
    </w:div>
    <w:div w:id="747842687">
      <w:bodyDiv w:val="1"/>
      <w:marLeft w:val="0"/>
      <w:marRight w:val="0"/>
      <w:marTop w:val="0"/>
      <w:marBottom w:val="0"/>
      <w:divBdr>
        <w:top w:val="none" w:sz="0" w:space="0" w:color="auto"/>
        <w:left w:val="none" w:sz="0" w:space="0" w:color="auto"/>
        <w:bottom w:val="none" w:sz="0" w:space="0" w:color="auto"/>
        <w:right w:val="none" w:sz="0" w:space="0" w:color="auto"/>
      </w:divBdr>
    </w:div>
    <w:div w:id="748038082">
      <w:bodyDiv w:val="1"/>
      <w:marLeft w:val="0"/>
      <w:marRight w:val="0"/>
      <w:marTop w:val="0"/>
      <w:marBottom w:val="0"/>
      <w:divBdr>
        <w:top w:val="none" w:sz="0" w:space="0" w:color="auto"/>
        <w:left w:val="none" w:sz="0" w:space="0" w:color="auto"/>
        <w:bottom w:val="none" w:sz="0" w:space="0" w:color="auto"/>
        <w:right w:val="none" w:sz="0" w:space="0" w:color="auto"/>
      </w:divBdr>
    </w:div>
    <w:div w:id="748187613">
      <w:bodyDiv w:val="1"/>
      <w:marLeft w:val="0"/>
      <w:marRight w:val="0"/>
      <w:marTop w:val="0"/>
      <w:marBottom w:val="0"/>
      <w:divBdr>
        <w:top w:val="none" w:sz="0" w:space="0" w:color="auto"/>
        <w:left w:val="none" w:sz="0" w:space="0" w:color="auto"/>
        <w:bottom w:val="none" w:sz="0" w:space="0" w:color="auto"/>
        <w:right w:val="none" w:sz="0" w:space="0" w:color="auto"/>
      </w:divBdr>
    </w:div>
    <w:div w:id="748814972">
      <w:bodyDiv w:val="1"/>
      <w:marLeft w:val="0"/>
      <w:marRight w:val="0"/>
      <w:marTop w:val="0"/>
      <w:marBottom w:val="0"/>
      <w:divBdr>
        <w:top w:val="none" w:sz="0" w:space="0" w:color="auto"/>
        <w:left w:val="none" w:sz="0" w:space="0" w:color="auto"/>
        <w:bottom w:val="none" w:sz="0" w:space="0" w:color="auto"/>
        <w:right w:val="none" w:sz="0" w:space="0" w:color="auto"/>
      </w:divBdr>
    </w:div>
    <w:div w:id="749153854">
      <w:bodyDiv w:val="1"/>
      <w:marLeft w:val="0"/>
      <w:marRight w:val="0"/>
      <w:marTop w:val="0"/>
      <w:marBottom w:val="0"/>
      <w:divBdr>
        <w:top w:val="none" w:sz="0" w:space="0" w:color="auto"/>
        <w:left w:val="none" w:sz="0" w:space="0" w:color="auto"/>
        <w:bottom w:val="none" w:sz="0" w:space="0" w:color="auto"/>
        <w:right w:val="none" w:sz="0" w:space="0" w:color="auto"/>
      </w:divBdr>
    </w:div>
    <w:div w:id="749277546">
      <w:bodyDiv w:val="1"/>
      <w:marLeft w:val="0"/>
      <w:marRight w:val="0"/>
      <w:marTop w:val="0"/>
      <w:marBottom w:val="0"/>
      <w:divBdr>
        <w:top w:val="none" w:sz="0" w:space="0" w:color="auto"/>
        <w:left w:val="none" w:sz="0" w:space="0" w:color="auto"/>
        <w:bottom w:val="none" w:sz="0" w:space="0" w:color="auto"/>
        <w:right w:val="none" w:sz="0" w:space="0" w:color="auto"/>
      </w:divBdr>
    </w:div>
    <w:div w:id="749423166">
      <w:bodyDiv w:val="1"/>
      <w:marLeft w:val="0"/>
      <w:marRight w:val="0"/>
      <w:marTop w:val="0"/>
      <w:marBottom w:val="0"/>
      <w:divBdr>
        <w:top w:val="none" w:sz="0" w:space="0" w:color="auto"/>
        <w:left w:val="none" w:sz="0" w:space="0" w:color="auto"/>
        <w:bottom w:val="none" w:sz="0" w:space="0" w:color="auto"/>
        <w:right w:val="none" w:sz="0" w:space="0" w:color="auto"/>
      </w:divBdr>
    </w:div>
    <w:div w:id="749425843">
      <w:bodyDiv w:val="1"/>
      <w:marLeft w:val="0"/>
      <w:marRight w:val="0"/>
      <w:marTop w:val="0"/>
      <w:marBottom w:val="0"/>
      <w:divBdr>
        <w:top w:val="none" w:sz="0" w:space="0" w:color="auto"/>
        <w:left w:val="none" w:sz="0" w:space="0" w:color="auto"/>
        <w:bottom w:val="none" w:sz="0" w:space="0" w:color="auto"/>
        <w:right w:val="none" w:sz="0" w:space="0" w:color="auto"/>
      </w:divBdr>
    </w:div>
    <w:div w:id="749616316">
      <w:bodyDiv w:val="1"/>
      <w:marLeft w:val="0"/>
      <w:marRight w:val="0"/>
      <w:marTop w:val="0"/>
      <w:marBottom w:val="0"/>
      <w:divBdr>
        <w:top w:val="none" w:sz="0" w:space="0" w:color="auto"/>
        <w:left w:val="none" w:sz="0" w:space="0" w:color="auto"/>
        <w:bottom w:val="none" w:sz="0" w:space="0" w:color="auto"/>
        <w:right w:val="none" w:sz="0" w:space="0" w:color="auto"/>
      </w:divBdr>
    </w:div>
    <w:div w:id="749815467">
      <w:bodyDiv w:val="1"/>
      <w:marLeft w:val="0"/>
      <w:marRight w:val="0"/>
      <w:marTop w:val="0"/>
      <w:marBottom w:val="0"/>
      <w:divBdr>
        <w:top w:val="none" w:sz="0" w:space="0" w:color="auto"/>
        <w:left w:val="none" w:sz="0" w:space="0" w:color="auto"/>
        <w:bottom w:val="none" w:sz="0" w:space="0" w:color="auto"/>
        <w:right w:val="none" w:sz="0" w:space="0" w:color="auto"/>
      </w:divBdr>
    </w:div>
    <w:div w:id="750080611">
      <w:bodyDiv w:val="1"/>
      <w:marLeft w:val="0"/>
      <w:marRight w:val="0"/>
      <w:marTop w:val="0"/>
      <w:marBottom w:val="0"/>
      <w:divBdr>
        <w:top w:val="none" w:sz="0" w:space="0" w:color="auto"/>
        <w:left w:val="none" w:sz="0" w:space="0" w:color="auto"/>
        <w:bottom w:val="none" w:sz="0" w:space="0" w:color="auto"/>
        <w:right w:val="none" w:sz="0" w:space="0" w:color="auto"/>
      </w:divBdr>
    </w:div>
    <w:div w:id="750196238">
      <w:bodyDiv w:val="1"/>
      <w:marLeft w:val="0"/>
      <w:marRight w:val="0"/>
      <w:marTop w:val="0"/>
      <w:marBottom w:val="0"/>
      <w:divBdr>
        <w:top w:val="none" w:sz="0" w:space="0" w:color="auto"/>
        <w:left w:val="none" w:sz="0" w:space="0" w:color="auto"/>
        <w:bottom w:val="none" w:sz="0" w:space="0" w:color="auto"/>
        <w:right w:val="none" w:sz="0" w:space="0" w:color="auto"/>
      </w:divBdr>
    </w:div>
    <w:div w:id="750584277">
      <w:bodyDiv w:val="1"/>
      <w:marLeft w:val="0"/>
      <w:marRight w:val="0"/>
      <w:marTop w:val="0"/>
      <w:marBottom w:val="0"/>
      <w:divBdr>
        <w:top w:val="none" w:sz="0" w:space="0" w:color="auto"/>
        <w:left w:val="none" w:sz="0" w:space="0" w:color="auto"/>
        <w:bottom w:val="none" w:sz="0" w:space="0" w:color="auto"/>
        <w:right w:val="none" w:sz="0" w:space="0" w:color="auto"/>
      </w:divBdr>
    </w:div>
    <w:div w:id="750659353">
      <w:bodyDiv w:val="1"/>
      <w:marLeft w:val="0"/>
      <w:marRight w:val="0"/>
      <w:marTop w:val="0"/>
      <w:marBottom w:val="0"/>
      <w:divBdr>
        <w:top w:val="none" w:sz="0" w:space="0" w:color="auto"/>
        <w:left w:val="none" w:sz="0" w:space="0" w:color="auto"/>
        <w:bottom w:val="none" w:sz="0" w:space="0" w:color="auto"/>
        <w:right w:val="none" w:sz="0" w:space="0" w:color="auto"/>
      </w:divBdr>
    </w:div>
    <w:div w:id="752169001">
      <w:bodyDiv w:val="1"/>
      <w:marLeft w:val="0"/>
      <w:marRight w:val="0"/>
      <w:marTop w:val="0"/>
      <w:marBottom w:val="0"/>
      <w:divBdr>
        <w:top w:val="none" w:sz="0" w:space="0" w:color="auto"/>
        <w:left w:val="none" w:sz="0" w:space="0" w:color="auto"/>
        <w:bottom w:val="none" w:sz="0" w:space="0" w:color="auto"/>
        <w:right w:val="none" w:sz="0" w:space="0" w:color="auto"/>
      </w:divBdr>
    </w:div>
    <w:div w:id="752892409">
      <w:bodyDiv w:val="1"/>
      <w:marLeft w:val="0"/>
      <w:marRight w:val="0"/>
      <w:marTop w:val="0"/>
      <w:marBottom w:val="0"/>
      <w:divBdr>
        <w:top w:val="none" w:sz="0" w:space="0" w:color="auto"/>
        <w:left w:val="none" w:sz="0" w:space="0" w:color="auto"/>
        <w:bottom w:val="none" w:sz="0" w:space="0" w:color="auto"/>
        <w:right w:val="none" w:sz="0" w:space="0" w:color="auto"/>
      </w:divBdr>
    </w:div>
    <w:div w:id="752896185">
      <w:bodyDiv w:val="1"/>
      <w:marLeft w:val="0"/>
      <w:marRight w:val="0"/>
      <w:marTop w:val="0"/>
      <w:marBottom w:val="0"/>
      <w:divBdr>
        <w:top w:val="none" w:sz="0" w:space="0" w:color="auto"/>
        <w:left w:val="none" w:sz="0" w:space="0" w:color="auto"/>
        <w:bottom w:val="none" w:sz="0" w:space="0" w:color="auto"/>
        <w:right w:val="none" w:sz="0" w:space="0" w:color="auto"/>
      </w:divBdr>
    </w:div>
    <w:div w:id="753357565">
      <w:bodyDiv w:val="1"/>
      <w:marLeft w:val="0"/>
      <w:marRight w:val="0"/>
      <w:marTop w:val="0"/>
      <w:marBottom w:val="0"/>
      <w:divBdr>
        <w:top w:val="none" w:sz="0" w:space="0" w:color="auto"/>
        <w:left w:val="none" w:sz="0" w:space="0" w:color="auto"/>
        <w:bottom w:val="none" w:sz="0" w:space="0" w:color="auto"/>
        <w:right w:val="none" w:sz="0" w:space="0" w:color="auto"/>
      </w:divBdr>
    </w:div>
    <w:div w:id="753667956">
      <w:bodyDiv w:val="1"/>
      <w:marLeft w:val="0"/>
      <w:marRight w:val="0"/>
      <w:marTop w:val="0"/>
      <w:marBottom w:val="0"/>
      <w:divBdr>
        <w:top w:val="none" w:sz="0" w:space="0" w:color="auto"/>
        <w:left w:val="none" w:sz="0" w:space="0" w:color="auto"/>
        <w:bottom w:val="none" w:sz="0" w:space="0" w:color="auto"/>
        <w:right w:val="none" w:sz="0" w:space="0" w:color="auto"/>
      </w:divBdr>
    </w:div>
    <w:div w:id="754059974">
      <w:bodyDiv w:val="1"/>
      <w:marLeft w:val="0"/>
      <w:marRight w:val="0"/>
      <w:marTop w:val="0"/>
      <w:marBottom w:val="0"/>
      <w:divBdr>
        <w:top w:val="none" w:sz="0" w:space="0" w:color="auto"/>
        <w:left w:val="none" w:sz="0" w:space="0" w:color="auto"/>
        <w:bottom w:val="none" w:sz="0" w:space="0" w:color="auto"/>
        <w:right w:val="none" w:sz="0" w:space="0" w:color="auto"/>
      </w:divBdr>
    </w:div>
    <w:div w:id="754085049">
      <w:bodyDiv w:val="1"/>
      <w:marLeft w:val="0"/>
      <w:marRight w:val="0"/>
      <w:marTop w:val="0"/>
      <w:marBottom w:val="0"/>
      <w:divBdr>
        <w:top w:val="none" w:sz="0" w:space="0" w:color="auto"/>
        <w:left w:val="none" w:sz="0" w:space="0" w:color="auto"/>
        <w:bottom w:val="none" w:sz="0" w:space="0" w:color="auto"/>
        <w:right w:val="none" w:sz="0" w:space="0" w:color="auto"/>
      </w:divBdr>
    </w:div>
    <w:div w:id="754128408">
      <w:bodyDiv w:val="1"/>
      <w:marLeft w:val="0"/>
      <w:marRight w:val="0"/>
      <w:marTop w:val="0"/>
      <w:marBottom w:val="0"/>
      <w:divBdr>
        <w:top w:val="none" w:sz="0" w:space="0" w:color="auto"/>
        <w:left w:val="none" w:sz="0" w:space="0" w:color="auto"/>
        <w:bottom w:val="none" w:sz="0" w:space="0" w:color="auto"/>
        <w:right w:val="none" w:sz="0" w:space="0" w:color="auto"/>
      </w:divBdr>
    </w:div>
    <w:div w:id="754397758">
      <w:bodyDiv w:val="1"/>
      <w:marLeft w:val="0"/>
      <w:marRight w:val="0"/>
      <w:marTop w:val="0"/>
      <w:marBottom w:val="0"/>
      <w:divBdr>
        <w:top w:val="none" w:sz="0" w:space="0" w:color="auto"/>
        <w:left w:val="none" w:sz="0" w:space="0" w:color="auto"/>
        <w:bottom w:val="none" w:sz="0" w:space="0" w:color="auto"/>
        <w:right w:val="none" w:sz="0" w:space="0" w:color="auto"/>
      </w:divBdr>
    </w:div>
    <w:div w:id="754865033">
      <w:bodyDiv w:val="1"/>
      <w:marLeft w:val="0"/>
      <w:marRight w:val="0"/>
      <w:marTop w:val="0"/>
      <w:marBottom w:val="0"/>
      <w:divBdr>
        <w:top w:val="none" w:sz="0" w:space="0" w:color="auto"/>
        <w:left w:val="none" w:sz="0" w:space="0" w:color="auto"/>
        <w:bottom w:val="none" w:sz="0" w:space="0" w:color="auto"/>
        <w:right w:val="none" w:sz="0" w:space="0" w:color="auto"/>
      </w:divBdr>
    </w:div>
    <w:div w:id="754936191">
      <w:bodyDiv w:val="1"/>
      <w:marLeft w:val="0"/>
      <w:marRight w:val="0"/>
      <w:marTop w:val="0"/>
      <w:marBottom w:val="0"/>
      <w:divBdr>
        <w:top w:val="none" w:sz="0" w:space="0" w:color="auto"/>
        <w:left w:val="none" w:sz="0" w:space="0" w:color="auto"/>
        <w:bottom w:val="none" w:sz="0" w:space="0" w:color="auto"/>
        <w:right w:val="none" w:sz="0" w:space="0" w:color="auto"/>
      </w:divBdr>
    </w:div>
    <w:div w:id="755127858">
      <w:bodyDiv w:val="1"/>
      <w:marLeft w:val="0"/>
      <w:marRight w:val="0"/>
      <w:marTop w:val="0"/>
      <w:marBottom w:val="0"/>
      <w:divBdr>
        <w:top w:val="none" w:sz="0" w:space="0" w:color="auto"/>
        <w:left w:val="none" w:sz="0" w:space="0" w:color="auto"/>
        <w:bottom w:val="none" w:sz="0" w:space="0" w:color="auto"/>
        <w:right w:val="none" w:sz="0" w:space="0" w:color="auto"/>
      </w:divBdr>
    </w:div>
    <w:div w:id="755132204">
      <w:bodyDiv w:val="1"/>
      <w:marLeft w:val="0"/>
      <w:marRight w:val="0"/>
      <w:marTop w:val="0"/>
      <w:marBottom w:val="0"/>
      <w:divBdr>
        <w:top w:val="none" w:sz="0" w:space="0" w:color="auto"/>
        <w:left w:val="none" w:sz="0" w:space="0" w:color="auto"/>
        <w:bottom w:val="none" w:sz="0" w:space="0" w:color="auto"/>
        <w:right w:val="none" w:sz="0" w:space="0" w:color="auto"/>
      </w:divBdr>
    </w:div>
    <w:div w:id="755172307">
      <w:bodyDiv w:val="1"/>
      <w:marLeft w:val="0"/>
      <w:marRight w:val="0"/>
      <w:marTop w:val="0"/>
      <w:marBottom w:val="0"/>
      <w:divBdr>
        <w:top w:val="none" w:sz="0" w:space="0" w:color="auto"/>
        <w:left w:val="none" w:sz="0" w:space="0" w:color="auto"/>
        <w:bottom w:val="none" w:sz="0" w:space="0" w:color="auto"/>
        <w:right w:val="none" w:sz="0" w:space="0" w:color="auto"/>
      </w:divBdr>
    </w:div>
    <w:div w:id="755201606">
      <w:bodyDiv w:val="1"/>
      <w:marLeft w:val="0"/>
      <w:marRight w:val="0"/>
      <w:marTop w:val="0"/>
      <w:marBottom w:val="0"/>
      <w:divBdr>
        <w:top w:val="none" w:sz="0" w:space="0" w:color="auto"/>
        <w:left w:val="none" w:sz="0" w:space="0" w:color="auto"/>
        <w:bottom w:val="none" w:sz="0" w:space="0" w:color="auto"/>
        <w:right w:val="none" w:sz="0" w:space="0" w:color="auto"/>
      </w:divBdr>
    </w:div>
    <w:div w:id="755247154">
      <w:bodyDiv w:val="1"/>
      <w:marLeft w:val="0"/>
      <w:marRight w:val="0"/>
      <w:marTop w:val="0"/>
      <w:marBottom w:val="0"/>
      <w:divBdr>
        <w:top w:val="none" w:sz="0" w:space="0" w:color="auto"/>
        <w:left w:val="none" w:sz="0" w:space="0" w:color="auto"/>
        <w:bottom w:val="none" w:sz="0" w:space="0" w:color="auto"/>
        <w:right w:val="none" w:sz="0" w:space="0" w:color="auto"/>
      </w:divBdr>
    </w:div>
    <w:div w:id="755594853">
      <w:bodyDiv w:val="1"/>
      <w:marLeft w:val="0"/>
      <w:marRight w:val="0"/>
      <w:marTop w:val="0"/>
      <w:marBottom w:val="0"/>
      <w:divBdr>
        <w:top w:val="none" w:sz="0" w:space="0" w:color="auto"/>
        <w:left w:val="none" w:sz="0" w:space="0" w:color="auto"/>
        <w:bottom w:val="none" w:sz="0" w:space="0" w:color="auto"/>
        <w:right w:val="none" w:sz="0" w:space="0" w:color="auto"/>
      </w:divBdr>
    </w:div>
    <w:div w:id="755631129">
      <w:bodyDiv w:val="1"/>
      <w:marLeft w:val="0"/>
      <w:marRight w:val="0"/>
      <w:marTop w:val="0"/>
      <w:marBottom w:val="0"/>
      <w:divBdr>
        <w:top w:val="none" w:sz="0" w:space="0" w:color="auto"/>
        <w:left w:val="none" w:sz="0" w:space="0" w:color="auto"/>
        <w:bottom w:val="none" w:sz="0" w:space="0" w:color="auto"/>
        <w:right w:val="none" w:sz="0" w:space="0" w:color="auto"/>
      </w:divBdr>
    </w:div>
    <w:div w:id="756362373">
      <w:bodyDiv w:val="1"/>
      <w:marLeft w:val="0"/>
      <w:marRight w:val="0"/>
      <w:marTop w:val="0"/>
      <w:marBottom w:val="0"/>
      <w:divBdr>
        <w:top w:val="none" w:sz="0" w:space="0" w:color="auto"/>
        <w:left w:val="none" w:sz="0" w:space="0" w:color="auto"/>
        <w:bottom w:val="none" w:sz="0" w:space="0" w:color="auto"/>
        <w:right w:val="none" w:sz="0" w:space="0" w:color="auto"/>
      </w:divBdr>
    </w:div>
    <w:div w:id="756563079">
      <w:bodyDiv w:val="1"/>
      <w:marLeft w:val="0"/>
      <w:marRight w:val="0"/>
      <w:marTop w:val="0"/>
      <w:marBottom w:val="0"/>
      <w:divBdr>
        <w:top w:val="none" w:sz="0" w:space="0" w:color="auto"/>
        <w:left w:val="none" w:sz="0" w:space="0" w:color="auto"/>
        <w:bottom w:val="none" w:sz="0" w:space="0" w:color="auto"/>
        <w:right w:val="none" w:sz="0" w:space="0" w:color="auto"/>
      </w:divBdr>
    </w:div>
    <w:div w:id="756826900">
      <w:bodyDiv w:val="1"/>
      <w:marLeft w:val="0"/>
      <w:marRight w:val="0"/>
      <w:marTop w:val="0"/>
      <w:marBottom w:val="0"/>
      <w:divBdr>
        <w:top w:val="none" w:sz="0" w:space="0" w:color="auto"/>
        <w:left w:val="none" w:sz="0" w:space="0" w:color="auto"/>
        <w:bottom w:val="none" w:sz="0" w:space="0" w:color="auto"/>
        <w:right w:val="none" w:sz="0" w:space="0" w:color="auto"/>
      </w:divBdr>
    </w:div>
    <w:div w:id="757361595">
      <w:bodyDiv w:val="1"/>
      <w:marLeft w:val="0"/>
      <w:marRight w:val="0"/>
      <w:marTop w:val="0"/>
      <w:marBottom w:val="0"/>
      <w:divBdr>
        <w:top w:val="none" w:sz="0" w:space="0" w:color="auto"/>
        <w:left w:val="none" w:sz="0" w:space="0" w:color="auto"/>
        <w:bottom w:val="none" w:sz="0" w:space="0" w:color="auto"/>
        <w:right w:val="none" w:sz="0" w:space="0" w:color="auto"/>
      </w:divBdr>
    </w:div>
    <w:div w:id="757751747">
      <w:bodyDiv w:val="1"/>
      <w:marLeft w:val="0"/>
      <w:marRight w:val="0"/>
      <w:marTop w:val="0"/>
      <w:marBottom w:val="0"/>
      <w:divBdr>
        <w:top w:val="none" w:sz="0" w:space="0" w:color="auto"/>
        <w:left w:val="none" w:sz="0" w:space="0" w:color="auto"/>
        <w:bottom w:val="none" w:sz="0" w:space="0" w:color="auto"/>
        <w:right w:val="none" w:sz="0" w:space="0" w:color="auto"/>
      </w:divBdr>
    </w:div>
    <w:div w:id="757822866">
      <w:bodyDiv w:val="1"/>
      <w:marLeft w:val="0"/>
      <w:marRight w:val="0"/>
      <w:marTop w:val="0"/>
      <w:marBottom w:val="0"/>
      <w:divBdr>
        <w:top w:val="none" w:sz="0" w:space="0" w:color="auto"/>
        <w:left w:val="none" w:sz="0" w:space="0" w:color="auto"/>
        <w:bottom w:val="none" w:sz="0" w:space="0" w:color="auto"/>
        <w:right w:val="none" w:sz="0" w:space="0" w:color="auto"/>
      </w:divBdr>
    </w:div>
    <w:div w:id="757949232">
      <w:bodyDiv w:val="1"/>
      <w:marLeft w:val="0"/>
      <w:marRight w:val="0"/>
      <w:marTop w:val="0"/>
      <w:marBottom w:val="0"/>
      <w:divBdr>
        <w:top w:val="none" w:sz="0" w:space="0" w:color="auto"/>
        <w:left w:val="none" w:sz="0" w:space="0" w:color="auto"/>
        <w:bottom w:val="none" w:sz="0" w:space="0" w:color="auto"/>
        <w:right w:val="none" w:sz="0" w:space="0" w:color="auto"/>
      </w:divBdr>
    </w:div>
    <w:div w:id="758066541">
      <w:bodyDiv w:val="1"/>
      <w:marLeft w:val="0"/>
      <w:marRight w:val="0"/>
      <w:marTop w:val="0"/>
      <w:marBottom w:val="0"/>
      <w:divBdr>
        <w:top w:val="none" w:sz="0" w:space="0" w:color="auto"/>
        <w:left w:val="none" w:sz="0" w:space="0" w:color="auto"/>
        <w:bottom w:val="none" w:sz="0" w:space="0" w:color="auto"/>
        <w:right w:val="none" w:sz="0" w:space="0" w:color="auto"/>
      </w:divBdr>
    </w:div>
    <w:div w:id="758333464">
      <w:bodyDiv w:val="1"/>
      <w:marLeft w:val="0"/>
      <w:marRight w:val="0"/>
      <w:marTop w:val="0"/>
      <w:marBottom w:val="0"/>
      <w:divBdr>
        <w:top w:val="none" w:sz="0" w:space="0" w:color="auto"/>
        <w:left w:val="none" w:sz="0" w:space="0" w:color="auto"/>
        <w:bottom w:val="none" w:sz="0" w:space="0" w:color="auto"/>
        <w:right w:val="none" w:sz="0" w:space="0" w:color="auto"/>
      </w:divBdr>
    </w:div>
    <w:div w:id="758915877">
      <w:bodyDiv w:val="1"/>
      <w:marLeft w:val="0"/>
      <w:marRight w:val="0"/>
      <w:marTop w:val="0"/>
      <w:marBottom w:val="0"/>
      <w:divBdr>
        <w:top w:val="none" w:sz="0" w:space="0" w:color="auto"/>
        <w:left w:val="none" w:sz="0" w:space="0" w:color="auto"/>
        <w:bottom w:val="none" w:sz="0" w:space="0" w:color="auto"/>
        <w:right w:val="none" w:sz="0" w:space="0" w:color="auto"/>
      </w:divBdr>
    </w:div>
    <w:div w:id="759061655">
      <w:bodyDiv w:val="1"/>
      <w:marLeft w:val="0"/>
      <w:marRight w:val="0"/>
      <w:marTop w:val="0"/>
      <w:marBottom w:val="0"/>
      <w:divBdr>
        <w:top w:val="none" w:sz="0" w:space="0" w:color="auto"/>
        <w:left w:val="none" w:sz="0" w:space="0" w:color="auto"/>
        <w:bottom w:val="none" w:sz="0" w:space="0" w:color="auto"/>
        <w:right w:val="none" w:sz="0" w:space="0" w:color="auto"/>
      </w:divBdr>
    </w:div>
    <w:div w:id="759448125">
      <w:bodyDiv w:val="1"/>
      <w:marLeft w:val="0"/>
      <w:marRight w:val="0"/>
      <w:marTop w:val="0"/>
      <w:marBottom w:val="0"/>
      <w:divBdr>
        <w:top w:val="none" w:sz="0" w:space="0" w:color="auto"/>
        <w:left w:val="none" w:sz="0" w:space="0" w:color="auto"/>
        <w:bottom w:val="none" w:sz="0" w:space="0" w:color="auto"/>
        <w:right w:val="none" w:sz="0" w:space="0" w:color="auto"/>
      </w:divBdr>
    </w:div>
    <w:div w:id="759568427">
      <w:bodyDiv w:val="1"/>
      <w:marLeft w:val="0"/>
      <w:marRight w:val="0"/>
      <w:marTop w:val="0"/>
      <w:marBottom w:val="0"/>
      <w:divBdr>
        <w:top w:val="none" w:sz="0" w:space="0" w:color="auto"/>
        <w:left w:val="none" w:sz="0" w:space="0" w:color="auto"/>
        <w:bottom w:val="none" w:sz="0" w:space="0" w:color="auto"/>
        <w:right w:val="none" w:sz="0" w:space="0" w:color="auto"/>
      </w:divBdr>
    </w:div>
    <w:div w:id="759957091">
      <w:bodyDiv w:val="1"/>
      <w:marLeft w:val="0"/>
      <w:marRight w:val="0"/>
      <w:marTop w:val="0"/>
      <w:marBottom w:val="0"/>
      <w:divBdr>
        <w:top w:val="none" w:sz="0" w:space="0" w:color="auto"/>
        <w:left w:val="none" w:sz="0" w:space="0" w:color="auto"/>
        <w:bottom w:val="none" w:sz="0" w:space="0" w:color="auto"/>
        <w:right w:val="none" w:sz="0" w:space="0" w:color="auto"/>
      </w:divBdr>
    </w:div>
    <w:div w:id="760372923">
      <w:bodyDiv w:val="1"/>
      <w:marLeft w:val="0"/>
      <w:marRight w:val="0"/>
      <w:marTop w:val="0"/>
      <w:marBottom w:val="0"/>
      <w:divBdr>
        <w:top w:val="none" w:sz="0" w:space="0" w:color="auto"/>
        <w:left w:val="none" w:sz="0" w:space="0" w:color="auto"/>
        <w:bottom w:val="none" w:sz="0" w:space="0" w:color="auto"/>
        <w:right w:val="none" w:sz="0" w:space="0" w:color="auto"/>
      </w:divBdr>
    </w:div>
    <w:div w:id="760561478">
      <w:bodyDiv w:val="1"/>
      <w:marLeft w:val="0"/>
      <w:marRight w:val="0"/>
      <w:marTop w:val="0"/>
      <w:marBottom w:val="0"/>
      <w:divBdr>
        <w:top w:val="none" w:sz="0" w:space="0" w:color="auto"/>
        <w:left w:val="none" w:sz="0" w:space="0" w:color="auto"/>
        <w:bottom w:val="none" w:sz="0" w:space="0" w:color="auto"/>
        <w:right w:val="none" w:sz="0" w:space="0" w:color="auto"/>
      </w:divBdr>
    </w:div>
    <w:div w:id="760567873">
      <w:bodyDiv w:val="1"/>
      <w:marLeft w:val="0"/>
      <w:marRight w:val="0"/>
      <w:marTop w:val="0"/>
      <w:marBottom w:val="0"/>
      <w:divBdr>
        <w:top w:val="none" w:sz="0" w:space="0" w:color="auto"/>
        <w:left w:val="none" w:sz="0" w:space="0" w:color="auto"/>
        <w:bottom w:val="none" w:sz="0" w:space="0" w:color="auto"/>
        <w:right w:val="none" w:sz="0" w:space="0" w:color="auto"/>
      </w:divBdr>
    </w:div>
    <w:div w:id="760830611">
      <w:bodyDiv w:val="1"/>
      <w:marLeft w:val="0"/>
      <w:marRight w:val="0"/>
      <w:marTop w:val="0"/>
      <w:marBottom w:val="0"/>
      <w:divBdr>
        <w:top w:val="none" w:sz="0" w:space="0" w:color="auto"/>
        <w:left w:val="none" w:sz="0" w:space="0" w:color="auto"/>
        <w:bottom w:val="none" w:sz="0" w:space="0" w:color="auto"/>
        <w:right w:val="none" w:sz="0" w:space="0" w:color="auto"/>
      </w:divBdr>
    </w:div>
    <w:div w:id="760951847">
      <w:bodyDiv w:val="1"/>
      <w:marLeft w:val="0"/>
      <w:marRight w:val="0"/>
      <w:marTop w:val="0"/>
      <w:marBottom w:val="0"/>
      <w:divBdr>
        <w:top w:val="none" w:sz="0" w:space="0" w:color="auto"/>
        <w:left w:val="none" w:sz="0" w:space="0" w:color="auto"/>
        <w:bottom w:val="none" w:sz="0" w:space="0" w:color="auto"/>
        <w:right w:val="none" w:sz="0" w:space="0" w:color="auto"/>
      </w:divBdr>
    </w:div>
    <w:div w:id="761099525">
      <w:bodyDiv w:val="1"/>
      <w:marLeft w:val="0"/>
      <w:marRight w:val="0"/>
      <w:marTop w:val="0"/>
      <w:marBottom w:val="0"/>
      <w:divBdr>
        <w:top w:val="none" w:sz="0" w:space="0" w:color="auto"/>
        <w:left w:val="none" w:sz="0" w:space="0" w:color="auto"/>
        <w:bottom w:val="none" w:sz="0" w:space="0" w:color="auto"/>
        <w:right w:val="none" w:sz="0" w:space="0" w:color="auto"/>
      </w:divBdr>
    </w:div>
    <w:div w:id="761413156">
      <w:bodyDiv w:val="1"/>
      <w:marLeft w:val="0"/>
      <w:marRight w:val="0"/>
      <w:marTop w:val="0"/>
      <w:marBottom w:val="0"/>
      <w:divBdr>
        <w:top w:val="none" w:sz="0" w:space="0" w:color="auto"/>
        <w:left w:val="none" w:sz="0" w:space="0" w:color="auto"/>
        <w:bottom w:val="none" w:sz="0" w:space="0" w:color="auto"/>
        <w:right w:val="none" w:sz="0" w:space="0" w:color="auto"/>
      </w:divBdr>
    </w:div>
    <w:div w:id="761990744">
      <w:bodyDiv w:val="1"/>
      <w:marLeft w:val="0"/>
      <w:marRight w:val="0"/>
      <w:marTop w:val="0"/>
      <w:marBottom w:val="0"/>
      <w:divBdr>
        <w:top w:val="none" w:sz="0" w:space="0" w:color="auto"/>
        <w:left w:val="none" w:sz="0" w:space="0" w:color="auto"/>
        <w:bottom w:val="none" w:sz="0" w:space="0" w:color="auto"/>
        <w:right w:val="none" w:sz="0" w:space="0" w:color="auto"/>
      </w:divBdr>
    </w:div>
    <w:div w:id="762070277">
      <w:bodyDiv w:val="1"/>
      <w:marLeft w:val="0"/>
      <w:marRight w:val="0"/>
      <w:marTop w:val="0"/>
      <w:marBottom w:val="0"/>
      <w:divBdr>
        <w:top w:val="none" w:sz="0" w:space="0" w:color="auto"/>
        <w:left w:val="none" w:sz="0" w:space="0" w:color="auto"/>
        <w:bottom w:val="none" w:sz="0" w:space="0" w:color="auto"/>
        <w:right w:val="none" w:sz="0" w:space="0" w:color="auto"/>
      </w:divBdr>
    </w:div>
    <w:div w:id="763305445">
      <w:bodyDiv w:val="1"/>
      <w:marLeft w:val="0"/>
      <w:marRight w:val="0"/>
      <w:marTop w:val="0"/>
      <w:marBottom w:val="0"/>
      <w:divBdr>
        <w:top w:val="none" w:sz="0" w:space="0" w:color="auto"/>
        <w:left w:val="none" w:sz="0" w:space="0" w:color="auto"/>
        <w:bottom w:val="none" w:sz="0" w:space="0" w:color="auto"/>
        <w:right w:val="none" w:sz="0" w:space="0" w:color="auto"/>
      </w:divBdr>
    </w:div>
    <w:div w:id="763382915">
      <w:bodyDiv w:val="1"/>
      <w:marLeft w:val="0"/>
      <w:marRight w:val="0"/>
      <w:marTop w:val="0"/>
      <w:marBottom w:val="0"/>
      <w:divBdr>
        <w:top w:val="none" w:sz="0" w:space="0" w:color="auto"/>
        <w:left w:val="none" w:sz="0" w:space="0" w:color="auto"/>
        <w:bottom w:val="none" w:sz="0" w:space="0" w:color="auto"/>
        <w:right w:val="none" w:sz="0" w:space="0" w:color="auto"/>
      </w:divBdr>
    </w:div>
    <w:div w:id="763721645">
      <w:bodyDiv w:val="1"/>
      <w:marLeft w:val="0"/>
      <w:marRight w:val="0"/>
      <w:marTop w:val="0"/>
      <w:marBottom w:val="0"/>
      <w:divBdr>
        <w:top w:val="none" w:sz="0" w:space="0" w:color="auto"/>
        <w:left w:val="none" w:sz="0" w:space="0" w:color="auto"/>
        <w:bottom w:val="none" w:sz="0" w:space="0" w:color="auto"/>
        <w:right w:val="none" w:sz="0" w:space="0" w:color="auto"/>
      </w:divBdr>
    </w:div>
    <w:div w:id="763959021">
      <w:bodyDiv w:val="1"/>
      <w:marLeft w:val="0"/>
      <w:marRight w:val="0"/>
      <w:marTop w:val="0"/>
      <w:marBottom w:val="0"/>
      <w:divBdr>
        <w:top w:val="none" w:sz="0" w:space="0" w:color="auto"/>
        <w:left w:val="none" w:sz="0" w:space="0" w:color="auto"/>
        <w:bottom w:val="none" w:sz="0" w:space="0" w:color="auto"/>
        <w:right w:val="none" w:sz="0" w:space="0" w:color="auto"/>
      </w:divBdr>
    </w:div>
    <w:div w:id="764033283">
      <w:bodyDiv w:val="1"/>
      <w:marLeft w:val="0"/>
      <w:marRight w:val="0"/>
      <w:marTop w:val="0"/>
      <w:marBottom w:val="0"/>
      <w:divBdr>
        <w:top w:val="none" w:sz="0" w:space="0" w:color="auto"/>
        <w:left w:val="none" w:sz="0" w:space="0" w:color="auto"/>
        <w:bottom w:val="none" w:sz="0" w:space="0" w:color="auto"/>
        <w:right w:val="none" w:sz="0" w:space="0" w:color="auto"/>
      </w:divBdr>
    </w:div>
    <w:div w:id="764036399">
      <w:bodyDiv w:val="1"/>
      <w:marLeft w:val="0"/>
      <w:marRight w:val="0"/>
      <w:marTop w:val="0"/>
      <w:marBottom w:val="0"/>
      <w:divBdr>
        <w:top w:val="none" w:sz="0" w:space="0" w:color="auto"/>
        <w:left w:val="none" w:sz="0" w:space="0" w:color="auto"/>
        <w:bottom w:val="none" w:sz="0" w:space="0" w:color="auto"/>
        <w:right w:val="none" w:sz="0" w:space="0" w:color="auto"/>
      </w:divBdr>
    </w:div>
    <w:div w:id="764111648">
      <w:bodyDiv w:val="1"/>
      <w:marLeft w:val="0"/>
      <w:marRight w:val="0"/>
      <w:marTop w:val="0"/>
      <w:marBottom w:val="0"/>
      <w:divBdr>
        <w:top w:val="none" w:sz="0" w:space="0" w:color="auto"/>
        <w:left w:val="none" w:sz="0" w:space="0" w:color="auto"/>
        <w:bottom w:val="none" w:sz="0" w:space="0" w:color="auto"/>
        <w:right w:val="none" w:sz="0" w:space="0" w:color="auto"/>
      </w:divBdr>
    </w:div>
    <w:div w:id="764617088">
      <w:bodyDiv w:val="1"/>
      <w:marLeft w:val="0"/>
      <w:marRight w:val="0"/>
      <w:marTop w:val="0"/>
      <w:marBottom w:val="0"/>
      <w:divBdr>
        <w:top w:val="none" w:sz="0" w:space="0" w:color="auto"/>
        <w:left w:val="none" w:sz="0" w:space="0" w:color="auto"/>
        <w:bottom w:val="none" w:sz="0" w:space="0" w:color="auto"/>
        <w:right w:val="none" w:sz="0" w:space="0" w:color="auto"/>
      </w:divBdr>
    </w:div>
    <w:div w:id="764888099">
      <w:bodyDiv w:val="1"/>
      <w:marLeft w:val="0"/>
      <w:marRight w:val="0"/>
      <w:marTop w:val="0"/>
      <w:marBottom w:val="0"/>
      <w:divBdr>
        <w:top w:val="none" w:sz="0" w:space="0" w:color="auto"/>
        <w:left w:val="none" w:sz="0" w:space="0" w:color="auto"/>
        <w:bottom w:val="none" w:sz="0" w:space="0" w:color="auto"/>
        <w:right w:val="none" w:sz="0" w:space="0" w:color="auto"/>
      </w:divBdr>
    </w:div>
    <w:div w:id="765080904">
      <w:bodyDiv w:val="1"/>
      <w:marLeft w:val="0"/>
      <w:marRight w:val="0"/>
      <w:marTop w:val="0"/>
      <w:marBottom w:val="0"/>
      <w:divBdr>
        <w:top w:val="none" w:sz="0" w:space="0" w:color="auto"/>
        <w:left w:val="none" w:sz="0" w:space="0" w:color="auto"/>
        <w:bottom w:val="none" w:sz="0" w:space="0" w:color="auto"/>
        <w:right w:val="none" w:sz="0" w:space="0" w:color="auto"/>
      </w:divBdr>
    </w:div>
    <w:div w:id="765080919">
      <w:bodyDiv w:val="1"/>
      <w:marLeft w:val="0"/>
      <w:marRight w:val="0"/>
      <w:marTop w:val="0"/>
      <w:marBottom w:val="0"/>
      <w:divBdr>
        <w:top w:val="none" w:sz="0" w:space="0" w:color="auto"/>
        <w:left w:val="none" w:sz="0" w:space="0" w:color="auto"/>
        <w:bottom w:val="none" w:sz="0" w:space="0" w:color="auto"/>
        <w:right w:val="none" w:sz="0" w:space="0" w:color="auto"/>
      </w:divBdr>
    </w:div>
    <w:div w:id="765612325">
      <w:bodyDiv w:val="1"/>
      <w:marLeft w:val="0"/>
      <w:marRight w:val="0"/>
      <w:marTop w:val="0"/>
      <w:marBottom w:val="0"/>
      <w:divBdr>
        <w:top w:val="none" w:sz="0" w:space="0" w:color="auto"/>
        <w:left w:val="none" w:sz="0" w:space="0" w:color="auto"/>
        <w:bottom w:val="none" w:sz="0" w:space="0" w:color="auto"/>
        <w:right w:val="none" w:sz="0" w:space="0" w:color="auto"/>
      </w:divBdr>
    </w:div>
    <w:div w:id="765809552">
      <w:bodyDiv w:val="1"/>
      <w:marLeft w:val="0"/>
      <w:marRight w:val="0"/>
      <w:marTop w:val="0"/>
      <w:marBottom w:val="0"/>
      <w:divBdr>
        <w:top w:val="none" w:sz="0" w:space="0" w:color="auto"/>
        <w:left w:val="none" w:sz="0" w:space="0" w:color="auto"/>
        <w:bottom w:val="none" w:sz="0" w:space="0" w:color="auto"/>
        <w:right w:val="none" w:sz="0" w:space="0" w:color="auto"/>
      </w:divBdr>
    </w:div>
    <w:div w:id="766117001">
      <w:bodyDiv w:val="1"/>
      <w:marLeft w:val="0"/>
      <w:marRight w:val="0"/>
      <w:marTop w:val="0"/>
      <w:marBottom w:val="0"/>
      <w:divBdr>
        <w:top w:val="none" w:sz="0" w:space="0" w:color="auto"/>
        <w:left w:val="none" w:sz="0" w:space="0" w:color="auto"/>
        <w:bottom w:val="none" w:sz="0" w:space="0" w:color="auto"/>
        <w:right w:val="none" w:sz="0" w:space="0" w:color="auto"/>
      </w:divBdr>
    </w:div>
    <w:div w:id="766117599">
      <w:bodyDiv w:val="1"/>
      <w:marLeft w:val="0"/>
      <w:marRight w:val="0"/>
      <w:marTop w:val="0"/>
      <w:marBottom w:val="0"/>
      <w:divBdr>
        <w:top w:val="none" w:sz="0" w:space="0" w:color="auto"/>
        <w:left w:val="none" w:sz="0" w:space="0" w:color="auto"/>
        <w:bottom w:val="none" w:sz="0" w:space="0" w:color="auto"/>
        <w:right w:val="none" w:sz="0" w:space="0" w:color="auto"/>
      </w:divBdr>
    </w:div>
    <w:div w:id="766392042">
      <w:bodyDiv w:val="1"/>
      <w:marLeft w:val="0"/>
      <w:marRight w:val="0"/>
      <w:marTop w:val="0"/>
      <w:marBottom w:val="0"/>
      <w:divBdr>
        <w:top w:val="none" w:sz="0" w:space="0" w:color="auto"/>
        <w:left w:val="none" w:sz="0" w:space="0" w:color="auto"/>
        <w:bottom w:val="none" w:sz="0" w:space="0" w:color="auto"/>
        <w:right w:val="none" w:sz="0" w:space="0" w:color="auto"/>
      </w:divBdr>
    </w:div>
    <w:div w:id="766775260">
      <w:bodyDiv w:val="1"/>
      <w:marLeft w:val="0"/>
      <w:marRight w:val="0"/>
      <w:marTop w:val="0"/>
      <w:marBottom w:val="0"/>
      <w:divBdr>
        <w:top w:val="none" w:sz="0" w:space="0" w:color="auto"/>
        <w:left w:val="none" w:sz="0" w:space="0" w:color="auto"/>
        <w:bottom w:val="none" w:sz="0" w:space="0" w:color="auto"/>
        <w:right w:val="none" w:sz="0" w:space="0" w:color="auto"/>
      </w:divBdr>
    </w:div>
    <w:div w:id="766851227">
      <w:bodyDiv w:val="1"/>
      <w:marLeft w:val="0"/>
      <w:marRight w:val="0"/>
      <w:marTop w:val="0"/>
      <w:marBottom w:val="0"/>
      <w:divBdr>
        <w:top w:val="none" w:sz="0" w:space="0" w:color="auto"/>
        <w:left w:val="none" w:sz="0" w:space="0" w:color="auto"/>
        <w:bottom w:val="none" w:sz="0" w:space="0" w:color="auto"/>
        <w:right w:val="none" w:sz="0" w:space="0" w:color="auto"/>
      </w:divBdr>
    </w:div>
    <w:div w:id="766853917">
      <w:bodyDiv w:val="1"/>
      <w:marLeft w:val="0"/>
      <w:marRight w:val="0"/>
      <w:marTop w:val="0"/>
      <w:marBottom w:val="0"/>
      <w:divBdr>
        <w:top w:val="none" w:sz="0" w:space="0" w:color="auto"/>
        <w:left w:val="none" w:sz="0" w:space="0" w:color="auto"/>
        <w:bottom w:val="none" w:sz="0" w:space="0" w:color="auto"/>
        <w:right w:val="none" w:sz="0" w:space="0" w:color="auto"/>
      </w:divBdr>
    </w:div>
    <w:div w:id="766925497">
      <w:bodyDiv w:val="1"/>
      <w:marLeft w:val="0"/>
      <w:marRight w:val="0"/>
      <w:marTop w:val="0"/>
      <w:marBottom w:val="0"/>
      <w:divBdr>
        <w:top w:val="none" w:sz="0" w:space="0" w:color="auto"/>
        <w:left w:val="none" w:sz="0" w:space="0" w:color="auto"/>
        <w:bottom w:val="none" w:sz="0" w:space="0" w:color="auto"/>
        <w:right w:val="none" w:sz="0" w:space="0" w:color="auto"/>
      </w:divBdr>
    </w:div>
    <w:div w:id="767388977">
      <w:bodyDiv w:val="1"/>
      <w:marLeft w:val="0"/>
      <w:marRight w:val="0"/>
      <w:marTop w:val="0"/>
      <w:marBottom w:val="0"/>
      <w:divBdr>
        <w:top w:val="none" w:sz="0" w:space="0" w:color="auto"/>
        <w:left w:val="none" w:sz="0" w:space="0" w:color="auto"/>
        <w:bottom w:val="none" w:sz="0" w:space="0" w:color="auto"/>
        <w:right w:val="none" w:sz="0" w:space="0" w:color="auto"/>
      </w:divBdr>
    </w:div>
    <w:div w:id="767429457">
      <w:bodyDiv w:val="1"/>
      <w:marLeft w:val="0"/>
      <w:marRight w:val="0"/>
      <w:marTop w:val="0"/>
      <w:marBottom w:val="0"/>
      <w:divBdr>
        <w:top w:val="none" w:sz="0" w:space="0" w:color="auto"/>
        <w:left w:val="none" w:sz="0" w:space="0" w:color="auto"/>
        <w:bottom w:val="none" w:sz="0" w:space="0" w:color="auto"/>
        <w:right w:val="none" w:sz="0" w:space="0" w:color="auto"/>
      </w:divBdr>
    </w:div>
    <w:div w:id="767776822">
      <w:bodyDiv w:val="1"/>
      <w:marLeft w:val="0"/>
      <w:marRight w:val="0"/>
      <w:marTop w:val="0"/>
      <w:marBottom w:val="0"/>
      <w:divBdr>
        <w:top w:val="none" w:sz="0" w:space="0" w:color="auto"/>
        <w:left w:val="none" w:sz="0" w:space="0" w:color="auto"/>
        <w:bottom w:val="none" w:sz="0" w:space="0" w:color="auto"/>
        <w:right w:val="none" w:sz="0" w:space="0" w:color="auto"/>
      </w:divBdr>
    </w:div>
    <w:div w:id="768086144">
      <w:bodyDiv w:val="1"/>
      <w:marLeft w:val="0"/>
      <w:marRight w:val="0"/>
      <w:marTop w:val="0"/>
      <w:marBottom w:val="0"/>
      <w:divBdr>
        <w:top w:val="none" w:sz="0" w:space="0" w:color="auto"/>
        <w:left w:val="none" w:sz="0" w:space="0" w:color="auto"/>
        <w:bottom w:val="none" w:sz="0" w:space="0" w:color="auto"/>
        <w:right w:val="none" w:sz="0" w:space="0" w:color="auto"/>
      </w:divBdr>
    </w:div>
    <w:div w:id="768234637">
      <w:bodyDiv w:val="1"/>
      <w:marLeft w:val="0"/>
      <w:marRight w:val="0"/>
      <w:marTop w:val="0"/>
      <w:marBottom w:val="0"/>
      <w:divBdr>
        <w:top w:val="none" w:sz="0" w:space="0" w:color="auto"/>
        <w:left w:val="none" w:sz="0" w:space="0" w:color="auto"/>
        <w:bottom w:val="none" w:sz="0" w:space="0" w:color="auto"/>
        <w:right w:val="none" w:sz="0" w:space="0" w:color="auto"/>
      </w:divBdr>
    </w:div>
    <w:div w:id="768308141">
      <w:bodyDiv w:val="1"/>
      <w:marLeft w:val="0"/>
      <w:marRight w:val="0"/>
      <w:marTop w:val="0"/>
      <w:marBottom w:val="0"/>
      <w:divBdr>
        <w:top w:val="none" w:sz="0" w:space="0" w:color="auto"/>
        <w:left w:val="none" w:sz="0" w:space="0" w:color="auto"/>
        <w:bottom w:val="none" w:sz="0" w:space="0" w:color="auto"/>
        <w:right w:val="none" w:sz="0" w:space="0" w:color="auto"/>
      </w:divBdr>
    </w:div>
    <w:div w:id="768737882">
      <w:bodyDiv w:val="1"/>
      <w:marLeft w:val="0"/>
      <w:marRight w:val="0"/>
      <w:marTop w:val="0"/>
      <w:marBottom w:val="0"/>
      <w:divBdr>
        <w:top w:val="none" w:sz="0" w:space="0" w:color="auto"/>
        <w:left w:val="none" w:sz="0" w:space="0" w:color="auto"/>
        <w:bottom w:val="none" w:sz="0" w:space="0" w:color="auto"/>
        <w:right w:val="none" w:sz="0" w:space="0" w:color="auto"/>
      </w:divBdr>
    </w:div>
    <w:div w:id="768935390">
      <w:bodyDiv w:val="1"/>
      <w:marLeft w:val="0"/>
      <w:marRight w:val="0"/>
      <w:marTop w:val="0"/>
      <w:marBottom w:val="0"/>
      <w:divBdr>
        <w:top w:val="none" w:sz="0" w:space="0" w:color="auto"/>
        <w:left w:val="none" w:sz="0" w:space="0" w:color="auto"/>
        <w:bottom w:val="none" w:sz="0" w:space="0" w:color="auto"/>
        <w:right w:val="none" w:sz="0" w:space="0" w:color="auto"/>
      </w:divBdr>
    </w:div>
    <w:div w:id="769087270">
      <w:bodyDiv w:val="1"/>
      <w:marLeft w:val="0"/>
      <w:marRight w:val="0"/>
      <w:marTop w:val="0"/>
      <w:marBottom w:val="0"/>
      <w:divBdr>
        <w:top w:val="none" w:sz="0" w:space="0" w:color="auto"/>
        <w:left w:val="none" w:sz="0" w:space="0" w:color="auto"/>
        <w:bottom w:val="none" w:sz="0" w:space="0" w:color="auto"/>
        <w:right w:val="none" w:sz="0" w:space="0" w:color="auto"/>
      </w:divBdr>
    </w:div>
    <w:div w:id="769131541">
      <w:bodyDiv w:val="1"/>
      <w:marLeft w:val="0"/>
      <w:marRight w:val="0"/>
      <w:marTop w:val="0"/>
      <w:marBottom w:val="0"/>
      <w:divBdr>
        <w:top w:val="none" w:sz="0" w:space="0" w:color="auto"/>
        <w:left w:val="none" w:sz="0" w:space="0" w:color="auto"/>
        <w:bottom w:val="none" w:sz="0" w:space="0" w:color="auto"/>
        <w:right w:val="none" w:sz="0" w:space="0" w:color="auto"/>
      </w:divBdr>
    </w:div>
    <w:div w:id="769817199">
      <w:bodyDiv w:val="1"/>
      <w:marLeft w:val="0"/>
      <w:marRight w:val="0"/>
      <w:marTop w:val="0"/>
      <w:marBottom w:val="0"/>
      <w:divBdr>
        <w:top w:val="none" w:sz="0" w:space="0" w:color="auto"/>
        <w:left w:val="none" w:sz="0" w:space="0" w:color="auto"/>
        <w:bottom w:val="none" w:sz="0" w:space="0" w:color="auto"/>
        <w:right w:val="none" w:sz="0" w:space="0" w:color="auto"/>
      </w:divBdr>
    </w:div>
    <w:div w:id="770048131">
      <w:bodyDiv w:val="1"/>
      <w:marLeft w:val="0"/>
      <w:marRight w:val="0"/>
      <w:marTop w:val="0"/>
      <w:marBottom w:val="0"/>
      <w:divBdr>
        <w:top w:val="none" w:sz="0" w:space="0" w:color="auto"/>
        <w:left w:val="none" w:sz="0" w:space="0" w:color="auto"/>
        <w:bottom w:val="none" w:sz="0" w:space="0" w:color="auto"/>
        <w:right w:val="none" w:sz="0" w:space="0" w:color="auto"/>
      </w:divBdr>
    </w:div>
    <w:div w:id="770130790">
      <w:bodyDiv w:val="1"/>
      <w:marLeft w:val="0"/>
      <w:marRight w:val="0"/>
      <w:marTop w:val="0"/>
      <w:marBottom w:val="0"/>
      <w:divBdr>
        <w:top w:val="none" w:sz="0" w:space="0" w:color="auto"/>
        <w:left w:val="none" w:sz="0" w:space="0" w:color="auto"/>
        <w:bottom w:val="none" w:sz="0" w:space="0" w:color="auto"/>
        <w:right w:val="none" w:sz="0" w:space="0" w:color="auto"/>
      </w:divBdr>
    </w:div>
    <w:div w:id="770320449">
      <w:bodyDiv w:val="1"/>
      <w:marLeft w:val="0"/>
      <w:marRight w:val="0"/>
      <w:marTop w:val="0"/>
      <w:marBottom w:val="0"/>
      <w:divBdr>
        <w:top w:val="none" w:sz="0" w:space="0" w:color="auto"/>
        <w:left w:val="none" w:sz="0" w:space="0" w:color="auto"/>
        <w:bottom w:val="none" w:sz="0" w:space="0" w:color="auto"/>
        <w:right w:val="none" w:sz="0" w:space="0" w:color="auto"/>
      </w:divBdr>
    </w:div>
    <w:div w:id="770391720">
      <w:bodyDiv w:val="1"/>
      <w:marLeft w:val="0"/>
      <w:marRight w:val="0"/>
      <w:marTop w:val="0"/>
      <w:marBottom w:val="0"/>
      <w:divBdr>
        <w:top w:val="none" w:sz="0" w:space="0" w:color="auto"/>
        <w:left w:val="none" w:sz="0" w:space="0" w:color="auto"/>
        <w:bottom w:val="none" w:sz="0" w:space="0" w:color="auto"/>
        <w:right w:val="none" w:sz="0" w:space="0" w:color="auto"/>
      </w:divBdr>
    </w:div>
    <w:div w:id="771242618">
      <w:bodyDiv w:val="1"/>
      <w:marLeft w:val="0"/>
      <w:marRight w:val="0"/>
      <w:marTop w:val="0"/>
      <w:marBottom w:val="0"/>
      <w:divBdr>
        <w:top w:val="none" w:sz="0" w:space="0" w:color="auto"/>
        <w:left w:val="none" w:sz="0" w:space="0" w:color="auto"/>
        <w:bottom w:val="none" w:sz="0" w:space="0" w:color="auto"/>
        <w:right w:val="none" w:sz="0" w:space="0" w:color="auto"/>
      </w:divBdr>
    </w:div>
    <w:div w:id="771364670">
      <w:bodyDiv w:val="1"/>
      <w:marLeft w:val="0"/>
      <w:marRight w:val="0"/>
      <w:marTop w:val="0"/>
      <w:marBottom w:val="0"/>
      <w:divBdr>
        <w:top w:val="none" w:sz="0" w:space="0" w:color="auto"/>
        <w:left w:val="none" w:sz="0" w:space="0" w:color="auto"/>
        <w:bottom w:val="none" w:sz="0" w:space="0" w:color="auto"/>
        <w:right w:val="none" w:sz="0" w:space="0" w:color="auto"/>
      </w:divBdr>
    </w:div>
    <w:div w:id="771365577">
      <w:bodyDiv w:val="1"/>
      <w:marLeft w:val="0"/>
      <w:marRight w:val="0"/>
      <w:marTop w:val="0"/>
      <w:marBottom w:val="0"/>
      <w:divBdr>
        <w:top w:val="none" w:sz="0" w:space="0" w:color="auto"/>
        <w:left w:val="none" w:sz="0" w:space="0" w:color="auto"/>
        <w:bottom w:val="none" w:sz="0" w:space="0" w:color="auto"/>
        <w:right w:val="none" w:sz="0" w:space="0" w:color="auto"/>
      </w:divBdr>
    </w:div>
    <w:div w:id="771511146">
      <w:bodyDiv w:val="1"/>
      <w:marLeft w:val="0"/>
      <w:marRight w:val="0"/>
      <w:marTop w:val="0"/>
      <w:marBottom w:val="0"/>
      <w:divBdr>
        <w:top w:val="none" w:sz="0" w:space="0" w:color="auto"/>
        <w:left w:val="none" w:sz="0" w:space="0" w:color="auto"/>
        <w:bottom w:val="none" w:sz="0" w:space="0" w:color="auto"/>
        <w:right w:val="none" w:sz="0" w:space="0" w:color="auto"/>
      </w:divBdr>
    </w:div>
    <w:div w:id="771511257">
      <w:bodyDiv w:val="1"/>
      <w:marLeft w:val="0"/>
      <w:marRight w:val="0"/>
      <w:marTop w:val="0"/>
      <w:marBottom w:val="0"/>
      <w:divBdr>
        <w:top w:val="none" w:sz="0" w:space="0" w:color="auto"/>
        <w:left w:val="none" w:sz="0" w:space="0" w:color="auto"/>
        <w:bottom w:val="none" w:sz="0" w:space="0" w:color="auto"/>
        <w:right w:val="none" w:sz="0" w:space="0" w:color="auto"/>
      </w:divBdr>
    </w:div>
    <w:div w:id="771972641">
      <w:bodyDiv w:val="1"/>
      <w:marLeft w:val="0"/>
      <w:marRight w:val="0"/>
      <w:marTop w:val="0"/>
      <w:marBottom w:val="0"/>
      <w:divBdr>
        <w:top w:val="none" w:sz="0" w:space="0" w:color="auto"/>
        <w:left w:val="none" w:sz="0" w:space="0" w:color="auto"/>
        <w:bottom w:val="none" w:sz="0" w:space="0" w:color="auto"/>
        <w:right w:val="none" w:sz="0" w:space="0" w:color="auto"/>
      </w:divBdr>
    </w:div>
    <w:div w:id="772096358">
      <w:bodyDiv w:val="1"/>
      <w:marLeft w:val="0"/>
      <w:marRight w:val="0"/>
      <w:marTop w:val="0"/>
      <w:marBottom w:val="0"/>
      <w:divBdr>
        <w:top w:val="none" w:sz="0" w:space="0" w:color="auto"/>
        <w:left w:val="none" w:sz="0" w:space="0" w:color="auto"/>
        <w:bottom w:val="none" w:sz="0" w:space="0" w:color="auto"/>
        <w:right w:val="none" w:sz="0" w:space="0" w:color="auto"/>
      </w:divBdr>
    </w:div>
    <w:div w:id="772284787">
      <w:bodyDiv w:val="1"/>
      <w:marLeft w:val="0"/>
      <w:marRight w:val="0"/>
      <w:marTop w:val="0"/>
      <w:marBottom w:val="0"/>
      <w:divBdr>
        <w:top w:val="none" w:sz="0" w:space="0" w:color="auto"/>
        <w:left w:val="none" w:sz="0" w:space="0" w:color="auto"/>
        <w:bottom w:val="none" w:sz="0" w:space="0" w:color="auto"/>
        <w:right w:val="none" w:sz="0" w:space="0" w:color="auto"/>
      </w:divBdr>
    </w:div>
    <w:div w:id="772549727">
      <w:bodyDiv w:val="1"/>
      <w:marLeft w:val="0"/>
      <w:marRight w:val="0"/>
      <w:marTop w:val="0"/>
      <w:marBottom w:val="0"/>
      <w:divBdr>
        <w:top w:val="none" w:sz="0" w:space="0" w:color="auto"/>
        <w:left w:val="none" w:sz="0" w:space="0" w:color="auto"/>
        <w:bottom w:val="none" w:sz="0" w:space="0" w:color="auto"/>
        <w:right w:val="none" w:sz="0" w:space="0" w:color="auto"/>
      </w:divBdr>
    </w:div>
    <w:div w:id="772555093">
      <w:bodyDiv w:val="1"/>
      <w:marLeft w:val="0"/>
      <w:marRight w:val="0"/>
      <w:marTop w:val="0"/>
      <w:marBottom w:val="0"/>
      <w:divBdr>
        <w:top w:val="none" w:sz="0" w:space="0" w:color="auto"/>
        <w:left w:val="none" w:sz="0" w:space="0" w:color="auto"/>
        <w:bottom w:val="none" w:sz="0" w:space="0" w:color="auto"/>
        <w:right w:val="none" w:sz="0" w:space="0" w:color="auto"/>
      </w:divBdr>
    </w:div>
    <w:div w:id="772823174">
      <w:bodyDiv w:val="1"/>
      <w:marLeft w:val="0"/>
      <w:marRight w:val="0"/>
      <w:marTop w:val="0"/>
      <w:marBottom w:val="0"/>
      <w:divBdr>
        <w:top w:val="none" w:sz="0" w:space="0" w:color="auto"/>
        <w:left w:val="none" w:sz="0" w:space="0" w:color="auto"/>
        <w:bottom w:val="none" w:sz="0" w:space="0" w:color="auto"/>
        <w:right w:val="none" w:sz="0" w:space="0" w:color="auto"/>
      </w:divBdr>
    </w:div>
    <w:div w:id="773129468">
      <w:bodyDiv w:val="1"/>
      <w:marLeft w:val="0"/>
      <w:marRight w:val="0"/>
      <w:marTop w:val="0"/>
      <w:marBottom w:val="0"/>
      <w:divBdr>
        <w:top w:val="none" w:sz="0" w:space="0" w:color="auto"/>
        <w:left w:val="none" w:sz="0" w:space="0" w:color="auto"/>
        <w:bottom w:val="none" w:sz="0" w:space="0" w:color="auto"/>
        <w:right w:val="none" w:sz="0" w:space="0" w:color="auto"/>
      </w:divBdr>
    </w:div>
    <w:div w:id="773204902">
      <w:bodyDiv w:val="1"/>
      <w:marLeft w:val="0"/>
      <w:marRight w:val="0"/>
      <w:marTop w:val="0"/>
      <w:marBottom w:val="0"/>
      <w:divBdr>
        <w:top w:val="none" w:sz="0" w:space="0" w:color="auto"/>
        <w:left w:val="none" w:sz="0" w:space="0" w:color="auto"/>
        <w:bottom w:val="none" w:sz="0" w:space="0" w:color="auto"/>
        <w:right w:val="none" w:sz="0" w:space="0" w:color="auto"/>
      </w:divBdr>
    </w:div>
    <w:div w:id="773478036">
      <w:bodyDiv w:val="1"/>
      <w:marLeft w:val="0"/>
      <w:marRight w:val="0"/>
      <w:marTop w:val="0"/>
      <w:marBottom w:val="0"/>
      <w:divBdr>
        <w:top w:val="none" w:sz="0" w:space="0" w:color="auto"/>
        <w:left w:val="none" w:sz="0" w:space="0" w:color="auto"/>
        <w:bottom w:val="none" w:sz="0" w:space="0" w:color="auto"/>
        <w:right w:val="none" w:sz="0" w:space="0" w:color="auto"/>
      </w:divBdr>
    </w:div>
    <w:div w:id="773478545">
      <w:bodyDiv w:val="1"/>
      <w:marLeft w:val="0"/>
      <w:marRight w:val="0"/>
      <w:marTop w:val="0"/>
      <w:marBottom w:val="0"/>
      <w:divBdr>
        <w:top w:val="none" w:sz="0" w:space="0" w:color="auto"/>
        <w:left w:val="none" w:sz="0" w:space="0" w:color="auto"/>
        <w:bottom w:val="none" w:sz="0" w:space="0" w:color="auto"/>
        <w:right w:val="none" w:sz="0" w:space="0" w:color="auto"/>
      </w:divBdr>
    </w:div>
    <w:div w:id="773985049">
      <w:bodyDiv w:val="1"/>
      <w:marLeft w:val="0"/>
      <w:marRight w:val="0"/>
      <w:marTop w:val="0"/>
      <w:marBottom w:val="0"/>
      <w:divBdr>
        <w:top w:val="none" w:sz="0" w:space="0" w:color="auto"/>
        <w:left w:val="none" w:sz="0" w:space="0" w:color="auto"/>
        <w:bottom w:val="none" w:sz="0" w:space="0" w:color="auto"/>
        <w:right w:val="none" w:sz="0" w:space="0" w:color="auto"/>
      </w:divBdr>
    </w:div>
    <w:div w:id="774640932">
      <w:bodyDiv w:val="1"/>
      <w:marLeft w:val="0"/>
      <w:marRight w:val="0"/>
      <w:marTop w:val="0"/>
      <w:marBottom w:val="0"/>
      <w:divBdr>
        <w:top w:val="none" w:sz="0" w:space="0" w:color="auto"/>
        <w:left w:val="none" w:sz="0" w:space="0" w:color="auto"/>
        <w:bottom w:val="none" w:sz="0" w:space="0" w:color="auto"/>
        <w:right w:val="none" w:sz="0" w:space="0" w:color="auto"/>
      </w:divBdr>
    </w:div>
    <w:div w:id="774711246">
      <w:bodyDiv w:val="1"/>
      <w:marLeft w:val="0"/>
      <w:marRight w:val="0"/>
      <w:marTop w:val="0"/>
      <w:marBottom w:val="0"/>
      <w:divBdr>
        <w:top w:val="none" w:sz="0" w:space="0" w:color="auto"/>
        <w:left w:val="none" w:sz="0" w:space="0" w:color="auto"/>
        <w:bottom w:val="none" w:sz="0" w:space="0" w:color="auto"/>
        <w:right w:val="none" w:sz="0" w:space="0" w:color="auto"/>
      </w:divBdr>
    </w:div>
    <w:div w:id="775102035">
      <w:bodyDiv w:val="1"/>
      <w:marLeft w:val="0"/>
      <w:marRight w:val="0"/>
      <w:marTop w:val="0"/>
      <w:marBottom w:val="0"/>
      <w:divBdr>
        <w:top w:val="none" w:sz="0" w:space="0" w:color="auto"/>
        <w:left w:val="none" w:sz="0" w:space="0" w:color="auto"/>
        <w:bottom w:val="none" w:sz="0" w:space="0" w:color="auto"/>
        <w:right w:val="none" w:sz="0" w:space="0" w:color="auto"/>
      </w:divBdr>
    </w:div>
    <w:div w:id="775103419">
      <w:bodyDiv w:val="1"/>
      <w:marLeft w:val="0"/>
      <w:marRight w:val="0"/>
      <w:marTop w:val="0"/>
      <w:marBottom w:val="0"/>
      <w:divBdr>
        <w:top w:val="none" w:sz="0" w:space="0" w:color="auto"/>
        <w:left w:val="none" w:sz="0" w:space="0" w:color="auto"/>
        <w:bottom w:val="none" w:sz="0" w:space="0" w:color="auto"/>
        <w:right w:val="none" w:sz="0" w:space="0" w:color="auto"/>
      </w:divBdr>
    </w:div>
    <w:div w:id="775176504">
      <w:bodyDiv w:val="1"/>
      <w:marLeft w:val="0"/>
      <w:marRight w:val="0"/>
      <w:marTop w:val="0"/>
      <w:marBottom w:val="0"/>
      <w:divBdr>
        <w:top w:val="none" w:sz="0" w:space="0" w:color="auto"/>
        <w:left w:val="none" w:sz="0" w:space="0" w:color="auto"/>
        <w:bottom w:val="none" w:sz="0" w:space="0" w:color="auto"/>
        <w:right w:val="none" w:sz="0" w:space="0" w:color="auto"/>
      </w:divBdr>
    </w:div>
    <w:div w:id="776026740">
      <w:bodyDiv w:val="1"/>
      <w:marLeft w:val="0"/>
      <w:marRight w:val="0"/>
      <w:marTop w:val="0"/>
      <w:marBottom w:val="0"/>
      <w:divBdr>
        <w:top w:val="none" w:sz="0" w:space="0" w:color="auto"/>
        <w:left w:val="none" w:sz="0" w:space="0" w:color="auto"/>
        <w:bottom w:val="none" w:sz="0" w:space="0" w:color="auto"/>
        <w:right w:val="none" w:sz="0" w:space="0" w:color="auto"/>
      </w:divBdr>
    </w:div>
    <w:div w:id="777024613">
      <w:bodyDiv w:val="1"/>
      <w:marLeft w:val="0"/>
      <w:marRight w:val="0"/>
      <w:marTop w:val="0"/>
      <w:marBottom w:val="0"/>
      <w:divBdr>
        <w:top w:val="none" w:sz="0" w:space="0" w:color="auto"/>
        <w:left w:val="none" w:sz="0" w:space="0" w:color="auto"/>
        <w:bottom w:val="none" w:sz="0" w:space="0" w:color="auto"/>
        <w:right w:val="none" w:sz="0" w:space="0" w:color="auto"/>
      </w:divBdr>
    </w:div>
    <w:div w:id="777026488">
      <w:bodyDiv w:val="1"/>
      <w:marLeft w:val="0"/>
      <w:marRight w:val="0"/>
      <w:marTop w:val="0"/>
      <w:marBottom w:val="0"/>
      <w:divBdr>
        <w:top w:val="none" w:sz="0" w:space="0" w:color="auto"/>
        <w:left w:val="none" w:sz="0" w:space="0" w:color="auto"/>
        <w:bottom w:val="none" w:sz="0" w:space="0" w:color="auto"/>
        <w:right w:val="none" w:sz="0" w:space="0" w:color="auto"/>
      </w:divBdr>
    </w:div>
    <w:div w:id="777141292">
      <w:bodyDiv w:val="1"/>
      <w:marLeft w:val="0"/>
      <w:marRight w:val="0"/>
      <w:marTop w:val="0"/>
      <w:marBottom w:val="0"/>
      <w:divBdr>
        <w:top w:val="none" w:sz="0" w:space="0" w:color="auto"/>
        <w:left w:val="none" w:sz="0" w:space="0" w:color="auto"/>
        <w:bottom w:val="none" w:sz="0" w:space="0" w:color="auto"/>
        <w:right w:val="none" w:sz="0" w:space="0" w:color="auto"/>
      </w:divBdr>
    </w:div>
    <w:div w:id="777794996">
      <w:bodyDiv w:val="1"/>
      <w:marLeft w:val="0"/>
      <w:marRight w:val="0"/>
      <w:marTop w:val="0"/>
      <w:marBottom w:val="0"/>
      <w:divBdr>
        <w:top w:val="none" w:sz="0" w:space="0" w:color="auto"/>
        <w:left w:val="none" w:sz="0" w:space="0" w:color="auto"/>
        <w:bottom w:val="none" w:sz="0" w:space="0" w:color="auto"/>
        <w:right w:val="none" w:sz="0" w:space="0" w:color="auto"/>
      </w:divBdr>
      <w:divsChild>
        <w:div w:id="639309256">
          <w:marLeft w:val="547"/>
          <w:marRight w:val="0"/>
          <w:marTop w:val="0"/>
          <w:marBottom w:val="0"/>
          <w:divBdr>
            <w:top w:val="none" w:sz="0" w:space="0" w:color="auto"/>
            <w:left w:val="none" w:sz="0" w:space="0" w:color="auto"/>
            <w:bottom w:val="none" w:sz="0" w:space="0" w:color="auto"/>
            <w:right w:val="none" w:sz="0" w:space="0" w:color="auto"/>
          </w:divBdr>
        </w:div>
      </w:divsChild>
    </w:div>
    <w:div w:id="778642493">
      <w:bodyDiv w:val="1"/>
      <w:marLeft w:val="0"/>
      <w:marRight w:val="0"/>
      <w:marTop w:val="0"/>
      <w:marBottom w:val="0"/>
      <w:divBdr>
        <w:top w:val="none" w:sz="0" w:space="0" w:color="auto"/>
        <w:left w:val="none" w:sz="0" w:space="0" w:color="auto"/>
        <w:bottom w:val="none" w:sz="0" w:space="0" w:color="auto"/>
        <w:right w:val="none" w:sz="0" w:space="0" w:color="auto"/>
      </w:divBdr>
    </w:div>
    <w:div w:id="778767123">
      <w:bodyDiv w:val="1"/>
      <w:marLeft w:val="0"/>
      <w:marRight w:val="0"/>
      <w:marTop w:val="0"/>
      <w:marBottom w:val="0"/>
      <w:divBdr>
        <w:top w:val="none" w:sz="0" w:space="0" w:color="auto"/>
        <w:left w:val="none" w:sz="0" w:space="0" w:color="auto"/>
        <w:bottom w:val="none" w:sz="0" w:space="0" w:color="auto"/>
        <w:right w:val="none" w:sz="0" w:space="0" w:color="auto"/>
      </w:divBdr>
    </w:div>
    <w:div w:id="778911784">
      <w:bodyDiv w:val="1"/>
      <w:marLeft w:val="0"/>
      <w:marRight w:val="0"/>
      <w:marTop w:val="0"/>
      <w:marBottom w:val="0"/>
      <w:divBdr>
        <w:top w:val="none" w:sz="0" w:space="0" w:color="auto"/>
        <w:left w:val="none" w:sz="0" w:space="0" w:color="auto"/>
        <w:bottom w:val="none" w:sz="0" w:space="0" w:color="auto"/>
        <w:right w:val="none" w:sz="0" w:space="0" w:color="auto"/>
      </w:divBdr>
    </w:div>
    <w:div w:id="780219819">
      <w:bodyDiv w:val="1"/>
      <w:marLeft w:val="0"/>
      <w:marRight w:val="0"/>
      <w:marTop w:val="0"/>
      <w:marBottom w:val="0"/>
      <w:divBdr>
        <w:top w:val="none" w:sz="0" w:space="0" w:color="auto"/>
        <w:left w:val="none" w:sz="0" w:space="0" w:color="auto"/>
        <w:bottom w:val="none" w:sz="0" w:space="0" w:color="auto"/>
        <w:right w:val="none" w:sz="0" w:space="0" w:color="auto"/>
      </w:divBdr>
    </w:div>
    <w:div w:id="780883893">
      <w:bodyDiv w:val="1"/>
      <w:marLeft w:val="0"/>
      <w:marRight w:val="0"/>
      <w:marTop w:val="0"/>
      <w:marBottom w:val="0"/>
      <w:divBdr>
        <w:top w:val="none" w:sz="0" w:space="0" w:color="auto"/>
        <w:left w:val="none" w:sz="0" w:space="0" w:color="auto"/>
        <w:bottom w:val="none" w:sz="0" w:space="0" w:color="auto"/>
        <w:right w:val="none" w:sz="0" w:space="0" w:color="auto"/>
      </w:divBdr>
    </w:div>
    <w:div w:id="780958289">
      <w:bodyDiv w:val="1"/>
      <w:marLeft w:val="0"/>
      <w:marRight w:val="0"/>
      <w:marTop w:val="0"/>
      <w:marBottom w:val="0"/>
      <w:divBdr>
        <w:top w:val="none" w:sz="0" w:space="0" w:color="auto"/>
        <w:left w:val="none" w:sz="0" w:space="0" w:color="auto"/>
        <w:bottom w:val="none" w:sz="0" w:space="0" w:color="auto"/>
        <w:right w:val="none" w:sz="0" w:space="0" w:color="auto"/>
      </w:divBdr>
    </w:div>
    <w:div w:id="781073597">
      <w:bodyDiv w:val="1"/>
      <w:marLeft w:val="0"/>
      <w:marRight w:val="0"/>
      <w:marTop w:val="0"/>
      <w:marBottom w:val="0"/>
      <w:divBdr>
        <w:top w:val="none" w:sz="0" w:space="0" w:color="auto"/>
        <w:left w:val="none" w:sz="0" w:space="0" w:color="auto"/>
        <w:bottom w:val="none" w:sz="0" w:space="0" w:color="auto"/>
        <w:right w:val="none" w:sz="0" w:space="0" w:color="auto"/>
      </w:divBdr>
    </w:div>
    <w:div w:id="781342210">
      <w:bodyDiv w:val="1"/>
      <w:marLeft w:val="0"/>
      <w:marRight w:val="0"/>
      <w:marTop w:val="0"/>
      <w:marBottom w:val="0"/>
      <w:divBdr>
        <w:top w:val="none" w:sz="0" w:space="0" w:color="auto"/>
        <w:left w:val="none" w:sz="0" w:space="0" w:color="auto"/>
        <w:bottom w:val="none" w:sz="0" w:space="0" w:color="auto"/>
        <w:right w:val="none" w:sz="0" w:space="0" w:color="auto"/>
      </w:divBdr>
    </w:div>
    <w:div w:id="782577347">
      <w:bodyDiv w:val="1"/>
      <w:marLeft w:val="0"/>
      <w:marRight w:val="0"/>
      <w:marTop w:val="0"/>
      <w:marBottom w:val="0"/>
      <w:divBdr>
        <w:top w:val="none" w:sz="0" w:space="0" w:color="auto"/>
        <w:left w:val="none" w:sz="0" w:space="0" w:color="auto"/>
        <w:bottom w:val="none" w:sz="0" w:space="0" w:color="auto"/>
        <w:right w:val="none" w:sz="0" w:space="0" w:color="auto"/>
      </w:divBdr>
    </w:div>
    <w:div w:id="782651945">
      <w:bodyDiv w:val="1"/>
      <w:marLeft w:val="0"/>
      <w:marRight w:val="0"/>
      <w:marTop w:val="0"/>
      <w:marBottom w:val="0"/>
      <w:divBdr>
        <w:top w:val="none" w:sz="0" w:space="0" w:color="auto"/>
        <w:left w:val="none" w:sz="0" w:space="0" w:color="auto"/>
        <w:bottom w:val="none" w:sz="0" w:space="0" w:color="auto"/>
        <w:right w:val="none" w:sz="0" w:space="0" w:color="auto"/>
      </w:divBdr>
    </w:div>
    <w:div w:id="782845232">
      <w:bodyDiv w:val="1"/>
      <w:marLeft w:val="0"/>
      <w:marRight w:val="0"/>
      <w:marTop w:val="0"/>
      <w:marBottom w:val="0"/>
      <w:divBdr>
        <w:top w:val="none" w:sz="0" w:space="0" w:color="auto"/>
        <w:left w:val="none" w:sz="0" w:space="0" w:color="auto"/>
        <w:bottom w:val="none" w:sz="0" w:space="0" w:color="auto"/>
        <w:right w:val="none" w:sz="0" w:space="0" w:color="auto"/>
      </w:divBdr>
    </w:div>
    <w:div w:id="782920835">
      <w:bodyDiv w:val="1"/>
      <w:marLeft w:val="0"/>
      <w:marRight w:val="0"/>
      <w:marTop w:val="0"/>
      <w:marBottom w:val="0"/>
      <w:divBdr>
        <w:top w:val="none" w:sz="0" w:space="0" w:color="auto"/>
        <w:left w:val="none" w:sz="0" w:space="0" w:color="auto"/>
        <w:bottom w:val="none" w:sz="0" w:space="0" w:color="auto"/>
        <w:right w:val="none" w:sz="0" w:space="0" w:color="auto"/>
      </w:divBdr>
    </w:div>
    <w:div w:id="783115484">
      <w:bodyDiv w:val="1"/>
      <w:marLeft w:val="0"/>
      <w:marRight w:val="0"/>
      <w:marTop w:val="0"/>
      <w:marBottom w:val="0"/>
      <w:divBdr>
        <w:top w:val="none" w:sz="0" w:space="0" w:color="auto"/>
        <w:left w:val="none" w:sz="0" w:space="0" w:color="auto"/>
        <w:bottom w:val="none" w:sz="0" w:space="0" w:color="auto"/>
        <w:right w:val="none" w:sz="0" w:space="0" w:color="auto"/>
      </w:divBdr>
    </w:div>
    <w:div w:id="783160761">
      <w:bodyDiv w:val="1"/>
      <w:marLeft w:val="0"/>
      <w:marRight w:val="0"/>
      <w:marTop w:val="0"/>
      <w:marBottom w:val="0"/>
      <w:divBdr>
        <w:top w:val="none" w:sz="0" w:space="0" w:color="auto"/>
        <w:left w:val="none" w:sz="0" w:space="0" w:color="auto"/>
        <w:bottom w:val="none" w:sz="0" w:space="0" w:color="auto"/>
        <w:right w:val="none" w:sz="0" w:space="0" w:color="auto"/>
      </w:divBdr>
    </w:div>
    <w:div w:id="783161459">
      <w:bodyDiv w:val="1"/>
      <w:marLeft w:val="0"/>
      <w:marRight w:val="0"/>
      <w:marTop w:val="0"/>
      <w:marBottom w:val="0"/>
      <w:divBdr>
        <w:top w:val="none" w:sz="0" w:space="0" w:color="auto"/>
        <w:left w:val="none" w:sz="0" w:space="0" w:color="auto"/>
        <w:bottom w:val="none" w:sz="0" w:space="0" w:color="auto"/>
        <w:right w:val="none" w:sz="0" w:space="0" w:color="auto"/>
      </w:divBdr>
    </w:div>
    <w:div w:id="783235593">
      <w:bodyDiv w:val="1"/>
      <w:marLeft w:val="0"/>
      <w:marRight w:val="0"/>
      <w:marTop w:val="0"/>
      <w:marBottom w:val="0"/>
      <w:divBdr>
        <w:top w:val="none" w:sz="0" w:space="0" w:color="auto"/>
        <w:left w:val="none" w:sz="0" w:space="0" w:color="auto"/>
        <w:bottom w:val="none" w:sz="0" w:space="0" w:color="auto"/>
        <w:right w:val="none" w:sz="0" w:space="0" w:color="auto"/>
      </w:divBdr>
    </w:div>
    <w:div w:id="783421797">
      <w:bodyDiv w:val="1"/>
      <w:marLeft w:val="0"/>
      <w:marRight w:val="0"/>
      <w:marTop w:val="0"/>
      <w:marBottom w:val="0"/>
      <w:divBdr>
        <w:top w:val="none" w:sz="0" w:space="0" w:color="auto"/>
        <w:left w:val="none" w:sz="0" w:space="0" w:color="auto"/>
        <w:bottom w:val="none" w:sz="0" w:space="0" w:color="auto"/>
        <w:right w:val="none" w:sz="0" w:space="0" w:color="auto"/>
      </w:divBdr>
    </w:div>
    <w:div w:id="783580624">
      <w:bodyDiv w:val="1"/>
      <w:marLeft w:val="0"/>
      <w:marRight w:val="0"/>
      <w:marTop w:val="0"/>
      <w:marBottom w:val="0"/>
      <w:divBdr>
        <w:top w:val="none" w:sz="0" w:space="0" w:color="auto"/>
        <w:left w:val="none" w:sz="0" w:space="0" w:color="auto"/>
        <w:bottom w:val="none" w:sz="0" w:space="0" w:color="auto"/>
        <w:right w:val="none" w:sz="0" w:space="0" w:color="auto"/>
      </w:divBdr>
    </w:div>
    <w:div w:id="783614770">
      <w:bodyDiv w:val="1"/>
      <w:marLeft w:val="0"/>
      <w:marRight w:val="0"/>
      <w:marTop w:val="0"/>
      <w:marBottom w:val="0"/>
      <w:divBdr>
        <w:top w:val="none" w:sz="0" w:space="0" w:color="auto"/>
        <w:left w:val="none" w:sz="0" w:space="0" w:color="auto"/>
        <w:bottom w:val="none" w:sz="0" w:space="0" w:color="auto"/>
        <w:right w:val="none" w:sz="0" w:space="0" w:color="auto"/>
      </w:divBdr>
    </w:div>
    <w:div w:id="784808647">
      <w:bodyDiv w:val="1"/>
      <w:marLeft w:val="0"/>
      <w:marRight w:val="0"/>
      <w:marTop w:val="0"/>
      <w:marBottom w:val="0"/>
      <w:divBdr>
        <w:top w:val="none" w:sz="0" w:space="0" w:color="auto"/>
        <w:left w:val="none" w:sz="0" w:space="0" w:color="auto"/>
        <w:bottom w:val="none" w:sz="0" w:space="0" w:color="auto"/>
        <w:right w:val="none" w:sz="0" w:space="0" w:color="auto"/>
      </w:divBdr>
    </w:div>
    <w:div w:id="784810578">
      <w:bodyDiv w:val="1"/>
      <w:marLeft w:val="0"/>
      <w:marRight w:val="0"/>
      <w:marTop w:val="0"/>
      <w:marBottom w:val="0"/>
      <w:divBdr>
        <w:top w:val="none" w:sz="0" w:space="0" w:color="auto"/>
        <w:left w:val="none" w:sz="0" w:space="0" w:color="auto"/>
        <w:bottom w:val="none" w:sz="0" w:space="0" w:color="auto"/>
        <w:right w:val="none" w:sz="0" w:space="0" w:color="auto"/>
      </w:divBdr>
    </w:div>
    <w:div w:id="785082627">
      <w:bodyDiv w:val="1"/>
      <w:marLeft w:val="0"/>
      <w:marRight w:val="0"/>
      <w:marTop w:val="0"/>
      <w:marBottom w:val="0"/>
      <w:divBdr>
        <w:top w:val="none" w:sz="0" w:space="0" w:color="auto"/>
        <w:left w:val="none" w:sz="0" w:space="0" w:color="auto"/>
        <w:bottom w:val="none" w:sz="0" w:space="0" w:color="auto"/>
        <w:right w:val="none" w:sz="0" w:space="0" w:color="auto"/>
      </w:divBdr>
    </w:div>
    <w:div w:id="785468558">
      <w:bodyDiv w:val="1"/>
      <w:marLeft w:val="0"/>
      <w:marRight w:val="0"/>
      <w:marTop w:val="0"/>
      <w:marBottom w:val="0"/>
      <w:divBdr>
        <w:top w:val="none" w:sz="0" w:space="0" w:color="auto"/>
        <w:left w:val="none" w:sz="0" w:space="0" w:color="auto"/>
        <w:bottom w:val="none" w:sz="0" w:space="0" w:color="auto"/>
        <w:right w:val="none" w:sz="0" w:space="0" w:color="auto"/>
      </w:divBdr>
    </w:div>
    <w:div w:id="785660945">
      <w:bodyDiv w:val="1"/>
      <w:marLeft w:val="0"/>
      <w:marRight w:val="0"/>
      <w:marTop w:val="0"/>
      <w:marBottom w:val="0"/>
      <w:divBdr>
        <w:top w:val="none" w:sz="0" w:space="0" w:color="auto"/>
        <w:left w:val="none" w:sz="0" w:space="0" w:color="auto"/>
        <w:bottom w:val="none" w:sz="0" w:space="0" w:color="auto"/>
        <w:right w:val="none" w:sz="0" w:space="0" w:color="auto"/>
      </w:divBdr>
    </w:div>
    <w:div w:id="785779624">
      <w:bodyDiv w:val="1"/>
      <w:marLeft w:val="0"/>
      <w:marRight w:val="0"/>
      <w:marTop w:val="0"/>
      <w:marBottom w:val="0"/>
      <w:divBdr>
        <w:top w:val="none" w:sz="0" w:space="0" w:color="auto"/>
        <w:left w:val="none" w:sz="0" w:space="0" w:color="auto"/>
        <w:bottom w:val="none" w:sz="0" w:space="0" w:color="auto"/>
        <w:right w:val="none" w:sz="0" w:space="0" w:color="auto"/>
      </w:divBdr>
    </w:div>
    <w:div w:id="786195107">
      <w:bodyDiv w:val="1"/>
      <w:marLeft w:val="0"/>
      <w:marRight w:val="0"/>
      <w:marTop w:val="0"/>
      <w:marBottom w:val="0"/>
      <w:divBdr>
        <w:top w:val="none" w:sz="0" w:space="0" w:color="auto"/>
        <w:left w:val="none" w:sz="0" w:space="0" w:color="auto"/>
        <w:bottom w:val="none" w:sz="0" w:space="0" w:color="auto"/>
        <w:right w:val="none" w:sz="0" w:space="0" w:color="auto"/>
      </w:divBdr>
    </w:div>
    <w:div w:id="786312104">
      <w:bodyDiv w:val="1"/>
      <w:marLeft w:val="0"/>
      <w:marRight w:val="0"/>
      <w:marTop w:val="0"/>
      <w:marBottom w:val="0"/>
      <w:divBdr>
        <w:top w:val="none" w:sz="0" w:space="0" w:color="auto"/>
        <w:left w:val="none" w:sz="0" w:space="0" w:color="auto"/>
        <w:bottom w:val="none" w:sz="0" w:space="0" w:color="auto"/>
        <w:right w:val="none" w:sz="0" w:space="0" w:color="auto"/>
      </w:divBdr>
    </w:div>
    <w:div w:id="786318842">
      <w:bodyDiv w:val="1"/>
      <w:marLeft w:val="0"/>
      <w:marRight w:val="0"/>
      <w:marTop w:val="0"/>
      <w:marBottom w:val="0"/>
      <w:divBdr>
        <w:top w:val="none" w:sz="0" w:space="0" w:color="auto"/>
        <w:left w:val="none" w:sz="0" w:space="0" w:color="auto"/>
        <w:bottom w:val="none" w:sz="0" w:space="0" w:color="auto"/>
        <w:right w:val="none" w:sz="0" w:space="0" w:color="auto"/>
      </w:divBdr>
    </w:div>
    <w:div w:id="786505155">
      <w:bodyDiv w:val="1"/>
      <w:marLeft w:val="0"/>
      <w:marRight w:val="0"/>
      <w:marTop w:val="0"/>
      <w:marBottom w:val="0"/>
      <w:divBdr>
        <w:top w:val="none" w:sz="0" w:space="0" w:color="auto"/>
        <w:left w:val="none" w:sz="0" w:space="0" w:color="auto"/>
        <w:bottom w:val="none" w:sz="0" w:space="0" w:color="auto"/>
        <w:right w:val="none" w:sz="0" w:space="0" w:color="auto"/>
      </w:divBdr>
    </w:div>
    <w:div w:id="788012063">
      <w:bodyDiv w:val="1"/>
      <w:marLeft w:val="0"/>
      <w:marRight w:val="0"/>
      <w:marTop w:val="0"/>
      <w:marBottom w:val="0"/>
      <w:divBdr>
        <w:top w:val="none" w:sz="0" w:space="0" w:color="auto"/>
        <w:left w:val="none" w:sz="0" w:space="0" w:color="auto"/>
        <w:bottom w:val="none" w:sz="0" w:space="0" w:color="auto"/>
        <w:right w:val="none" w:sz="0" w:space="0" w:color="auto"/>
      </w:divBdr>
    </w:div>
    <w:div w:id="788357139">
      <w:bodyDiv w:val="1"/>
      <w:marLeft w:val="0"/>
      <w:marRight w:val="0"/>
      <w:marTop w:val="0"/>
      <w:marBottom w:val="0"/>
      <w:divBdr>
        <w:top w:val="none" w:sz="0" w:space="0" w:color="auto"/>
        <w:left w:val="none" w:sz="0" w:space="0" w:color="auto"/>
        <w:bottom w:val="none" w:sz="0" w:space="0" w:color="auto"/>
        <w:right w:val="none" w:sz="0" w:space="0" w:color="auto"/>
      </w:divBdr>
    </w:div>
    <w:div w:id="788360672">
      <w:bodyDiv w:val="1"/>
      <w:marLeft w:val="0"/>
      <w:marRight w:val="0"/>
      <w:marTop w:val="0"/>
      <w:marBottom w:val="0"/>
      <w:divBdr>
        <w:top w:val="none" w:sz="0" w:space="0" w:color="auto"/>
        <w:left w:val="none" w:sz="0" w:space="0" w:color="auto"/>
        <w:bottom w:val="none" w:sz="0" w:space="0" w:color="auto"/>
        <w:right w:val="none" w:sz="0" w:space="0" w:color="auto"/>
      </w:divBdr>
    </w:div>
    <w:div w:id="788470249">
      <w:bodyDiv w:val="1"/>
      <w:marLeft w:val="0"/>
      <w:marRight w:val="0"/>
      <w:marTop w:val="0"/>
      <w:marBottom w:val="0"/>
      <w:divBdr>
        <w:top w:val="none" w:sz="0" w:space="0" w:color="auto"/>
        <w:left w:val="none" w:sz="0" w:space="0" w:color="auto"/>
        <w:bottom w:val="none" w:sz="0" w:space="0" w:color="auto"/>
        <w:right w:val="none" w:sz="0" w:space="0" w:color="auto"/>
      </w:divBdr>
    </w:div>
    <w:div w:id="789858508">
      <w:bodyDiv w:val="1"/>
      <w:marLeft w:val="0"/>
      <w:marRight w:val="0"/>
      <w:marTop w:val="0"/>
      <w:marBottom w:val="0"/>
      <w:divBdr>
        <w:top w:val="none" w:sz="0" w:space="0" w:color="auto"/>
        <w:left w:val="none" w:sz="0" w:space="0" w:color="auto"/>
        <w:bottom w:val="none" w:sz="0" w:space="0" w:color="auto"/>
        <w:right w:val="none" w:sz="0" w:space="0" w:color="auto"/>
      </w:divBdr>
    </w:div>
    <w:div w:id="790562742">
      <w:bodyDiv w:val="1"/>
      <w:marLeft w:val="0"/>
      <w:marRight w:val="0"/>
      <w:marTop w:val="0"/>
      <w:marBottom w:val="0"/>
      <w:divBdr>
        <w:top w:val="none" w:sz="0" w:space="0" w:color="auto"/>
        <w:left w:val="none" w:sz="0" w:space="0" w:color="auto"/>
        <w:bottom w:val="none" w:sz="0" w:space="0" w:color="auto"/>
        <w:right w:val="none" w:sz="0" w:space="0" w:color="auto"/>
      </w:divBdr>
    </w:div>
    <w:div w:id="790593154">
      <w:bodyDiv w:val="1"/>
      <w:marLeft w:val="0"/>
      <w:marRight w:val="0"/>
      <w:marTop w:val="0"/>
      <w:marBottom w:val="0"/>
      <w:divBdr>
        <w:top w:val="none" w:sz="0" w:space="0" w:color="auto"/>
        <w:left w:val="none" w:sz="0" w:space="0" w:color="auto"/>
        <w:bottom w:val="none" w:sz="0" w:space="0" w:color="auto"/>
        <w:right w:val="none" w:sz="0" w:space="0" w:color="auto"/>
      </w:divBdr>
    </w:div>
    <w:div w:id="790628309">
      <w:bodyDiv w:val="1"/>
      <w:marLeft w:val="0"/>
      <w:marRight w:val="0"/>
      <w:marTop w:val="0"/>
      <w:marBottom w:val="0"/>
      <w:divBdr>
        <w:top w:val="none" w:sz="0" w:space="0" w:color="auto"/>
        <w:left w:val="none" w:sz="0" w:space="0" w:color="auto"/>
        <w:bottom w:val="none" w:sz="0" w:space="0" w:color="auto"/>
        <w:right w:val="none" w:sz="0" w:space="0" w:color="auto"/>
      </w:divBdr>
    </w:div>
    <w:div w:id="791291039">
      <w:bodyDiv w:val="1"/>
      <w:marLeft w:val="0"/>
      <w:marRight w:val="0"/>
      <w:marTop w:val="0"/>
      <w:marBottom w:val="0"/>
      <w:divBdr>
        <w:top w:val="none" w:sz="0" w:space="0" w:color="auto"/>
        <w:left w:val="none" w:sz="0" w:space="0" w:color="auto"/>
        <w:bottom w:val="none" w:sz="0" w:space="0" w:color="auto"/>
        <w:right w:val="none" w:sz="0" w:space="0" w:color="auto"/>
      </w:divBdr>
    </w:div>
    <w:div w:id="791364843">
      <w:bodyDiv w:val="1"/>
      <w:marLeft w:val="0"/>
      <w:marRight w:val="0"/>
      <w:marTop w:val="0"/>
      <w:marBottom w:val="0"/>
      <w:divBdr>
        <w:top w:val="none" w:sz="0" w:space="0" w:color="auto"/>
        <w:left w:val="none" w:sz="0" w:space="0" w:color="auto"/>
        <w:bottom w:val="none" w:sz="0" w:space="0" w:color="auto"/>
        <w:right w:val="none" w:sz="0" w:space="0" w:color="auto"/>
      </w:divBdr>
    </w:div>
    <w:div w:id="791483838">
      <w:bodyDiv w:val="1"/>
      <w:marLeft w:val="0"/>
      <w:marRight w:val="0"/>
      <w:marTop w:val="0"/>
      <w:marBottom w:val="0"/>
      <w:divBdr>
        <w:top w:val="none" w:sz="0" w:space="0" w:color="auto"/>
        <w:left w:val="none" w:sz="0" w:space="0" w:color="auto"/>
        <w:bottom w:val="none" w:sz="0" w:space="0" w:color="auto"/>
        <w:right w:val="none" w:sz="0" w:space="0" w:color="auto"/>
      </w:divBdr>
    </w:div>
    <w:div w:id="792285449">
      <w:bodyDiv w:val="1"/>
      <w:marLeft w:val="0"/>
      <w:marRight w:val="0"/>
      <w:marTop w:val="0"/>
      <w:marBottom w:val="0"/>
      <w:divBdr>
        <w:top w:val="none" w:sz="0" w:space="0" w:color="auto"/>
        <w:left w:val="none" w:sz="0" w:space="0" w:color="auto"/>
        <w:bottom w:val="none" w:sz="0" w:space="0" w:color="auto"/>
        <w:right w:val="none" w:sz="0" w:space="0" w:color="auto"/>
      </w:divBdr>
    </w:div>
    <w:div w:id="792287671">
      <w:bodyDiv w:val="1"/>
      <w:marLeft w:val="0"/>
      <w:marRight w:val="0"/>
      <w:marTop w:val="0"/>
      <w:marBottom w:val="0"/>
      <w:divBdr>
        <w:top w:val="none" w:sz="0" w:space="0" w:color="auto"/>
        <w:left w:val="none" w:sz="0" w:space="0" w:color="auto"/>
        <w:bottom w:val="none" w:sz="0" w:space="0" w:color="auto"/>
        <w:right w:val="none" w:sz="0" w:space="0" w:color="auto"/>
      </w:divBdr>
    </w:div>
    <w:div w:id="792292397">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
    <w:div w:id="792751923">
      <w:bodyDiv w:val="1"/>
      <w:marLeft w:val="0"/>
      <w:marRight w:val="0"/>
      <w:marTop w:val="0"/>
      <w:marBottom w:val="0"/>
      <w:divBdr>
        <w:top w:val="none" w:sz="0" w:space="0" w:color="auto"/>
        <w:left w:val="none" w:sz="0" w:space="0" w:color="auto"/>
        <w:bottom w:val="none" w:sz="0" w:space="0" w:color="auto"/>
        <w:right w:val="none" w:sz="0" w:space="0" w:color="auto"/>
      </w:divBdr>
    </w:div>
    <w:div w:id="793251042">
      <w:bodyDiv w:val="1"/>
      <w:marLeft w:val="0"/>
      <w:marRight w:val="0"/>
      <w:marTop w:val="0"/>
      <w:marBottom w:val="0"/>
      <w:divBdr>
        <w:top w:val="none" w:sz="0" w:space="0" w:color="auto"/>
        <w:left w:val="none" w:sz="0" w:space="0" w:color="auto"/>
        <w:bottom w:val="none" w:sz="0" w:space="0" w:color="auto"/>
        <w:right w:val="none" w:sz="0" w:space="0" w:color="auto"/>
      </w:divBdr>
    </w:div>
    <w:div w:id="793329170">
      <w:bodyDiv w:val="1"/>
      <w:marLeft w:val="0"/>
      <w:marRight w:val="0"/>
      <w:marTop w:val="0"/>
      <w:marBottom w:val="0"/>
      <w:divBdr>
        <w:top w:val="none" w:sz="0" w:space="0" w:color="auto"/>
        <w:left w:val="none" w:sz="0" w:space="0" w:color="auto"/>
        <w:bottom w:val="none" w:sz="0" w:space="0" w:color="auto"/>
        <w:right w:val="none" w:sz="0" w:space="0" w:color="auto"/>
      </w:divBdr>
    </w:div>
    <w:div w:id="793403100">
      <w:bodyDiv w:val="1"/>
      <w:marLeft w:val="0"/>
      <w:marRight w:val="0"/>
      <w:marTop w:val="0"/>
      <w:marBottom w:val="0"/>
      <w:divBdr>
        <w:top w:val="none" w:sz="0" w:space="0" w:color="auto"/>
        <w:left w:val="none" w:sz="0" w:space="0" w:color="auto"/>
        <w:bottom w:val="none" w:sz="0" w:space="0" w:color="auto"/>
        <w:right w:val="none" w:sz="0" w:space="0" w:color="auto"/>
      </w:divBdr>
    </w:div>
    <w:div w:id="793792530">
      <w:bodyDiv w:val="1"/>
      <w:marLeft w:val="0"/>
      <w:marRight w:val="0"/>
      <w:marTop w:val="0"/>
      <w:marBottom w:val="0"/>
      <w:divBdr>
        <w:top w:val="none" w:sz="0" w:space="0" w:color="auto"/>
        <w:left w:val="none" w:sz="0" w:space="0" w:color="auto"/>
        <w:bottom w:val="none" w:sz="0" w:space="0" w:color="auto"/>
        <w:right w:val="none" w:sz="0" w:space="0" w:color="auto"/>
      </w:divBdr>
    </w:div>
    <w:div w:id="794251921">
      <w:bodyDiv w:val="1"/>
      <w:marLeft w:val="0"/>
      <w:marRight w:val="0"/>
      <w:marTop w:val="0"/>
      <w:marBottom w:val="0"/>
      <w:divBdr>
        <w:top w:val="none" w:sz="0" w:space="0" w:color="auto"/>
        <w:left w:val="none" w:sz="0" w:space="0" w:color="auto"/>
        <w:bottom w:val="none" w:sz="0" w:space="0" w:color="auto"/>
        <w:right w:val="none" w:sz="0" w:space="0" w:color="auto"/>
      </w:divBdr>
    </w:div>
    <w:div w:id="794253317">
      <w:bodyDiv w:val="1"/>
      <w:marLeft w:val="0"/>
      <w:marRight w:val="0"/>
      <w:marTop w:val="0"/>
      <w:marBottom w:val="0"/>
      <w:divBdr>
        <w:top w:val="none" w:sz="0" w:space="0" w:color="auto"/>
        <w:left w:val="none" w:sz="0" w:space="0" w:color="auto"/>
        <w:bottom w:val="none" w:sz="0" w:space="0" w:color="auto"/>
        <w:right w:val="none" w:sz="0" w:space="0" w:color="auto"/>
      </w:divBdr>
    </w:div>
    <w:div w:id="794563649">
      <w:bodyDiv w:val="1"/>
      <w:marLeft w:val="0"/>
      <w:marRight w:val="0"/>
      <w:marTop w:val="0"/>
      <w:marBottom w:val="0"/>
      <w:divBdr>
        <w:top w:val="none" w:sz="0" w:space="0" w:color="auto"/>
        <w:left w:val="none" w:sz="0" w:space="0" w:color="auto"/>
        <w:bottom w:val="none" w:sz="0" w:space="0" w:color="auto"/>
        <w:right w:val="none" w:sz="0" w:space="0" w:color="auto"/>
      </w:divBdr>
    </w:div>
    <w:div w:id="794635750">
      <w:bodyDiv w:val="1"/>
      <w:marLeft w:val="0"/>
      <w:marRight w:val="0"/>
      <w:marTop w:val="0"/>
      <w:marBottom w:val="0"/>
      <w:divBdr>
        <w:top w:val="none" w:sz="0" w:space="0" w:color="auto"/>
        <w:left w:val="none" w:sz="0" w:space="0" w:color="auto"/>
        <w:bottom w:val="none" w:sz="0" w:space="0" w:color="auto"/>
        <w:right w:val="none" w:sz="0" w:space="0" w:color="auto"/>
      </w:divBdr>
    </w:div>
    <w:div w:id="794712471">
      <w:bodyDiv w:val="1"/>
      <w:marLeft w:val="0"/>
      <w:marRight w:val="0"/>
      <w:marTop w:val="0"/>
      <w:marBottom w:val="0"/>
      <w:divBdr>
        <w:top w:val="none" w:sz="0" w:space="0" w:color="auto"/>
        <w:left w:val="none" w:sz="0" w:space="0" w:color="auto"/>
        <w:bottom w:val="none" w:sz="0" w:space="0" w:color="auto"/>
        <w:right w:val="none" w:sz="0" w:space="0" w:color="auto"/>
      </w:divBdr>
    </w:div>
    <w:div w:id="794713822">
      <w:bodyDiv w:val="1"/>
      <w:marLeft w:val="0"/>
      <w:marRight w:val="0"/>
      <w:marTop w:val="0"/>
      <w:marBottom w:val="0"/>
      <w:divBdr>
        <w:top w:val="none" w:sz="0" w:space="0" w:color="auto"/>
        <w:left w:val="none" w:sz="0" w:space="0" w:color="auto"/>
        <w:bottom w:val="none" w:sz="0" w:space="0" w:color="auto"/>
        <w:right w:val="none" w:sz="0" w:space="0" w:color="auto"/>
      </w:divBdr>
    </w:div>
    <w:div w:id="794906287">
      <w:bodyDiv w:val="1"/>
      <w:marLeft w:val="0"/>
      <w:marRight w:val="0"/>
      <w:marTop w:val="0"/>
      <w:marBottom w:val="0"/>
      <w:divBdr>
        <w:top w:val="none" w:sz="0" w:space="0" w:color="auto"/>
        <w:left w:val="none" w:sz="0" w:space="0" w:color="auto"/>
        <w:bottom w:val="none" w:sz="0" w:space="0" w:color="auto"/>
        <w:right w:val="none" w:sz="0" w:space="0" w:color="auto"/>
      </w:divBdr>
    </w:div>
    <w:div w:id="795104608">
      <w:bodyDiv w:val="1"/>
      <w:marLeft w:val="0"/>
      <w:marRight w:val="0"/>
      <w:marTop w:val="0"/>
      <w:marBottom w:val="0"/>
      <w:divBdr>
        <w:top w:val="none" w:sz="0" w:space="0" w:color="auto"/>
        <w:left w:val="none" w:sz="0" w:space="0" w:color="auto"/>
        <w:bottom w:val="none" w:sz="0" w:space="0" w:color="auto"/>
        <w:right w:val="none" w:sz="0" w:space="0" w:color="auto"/>
      </w:divBdr>
    </w:div>
    <w:div w:id="795174734">
      <w:bodyDiv w:val="1"/>
      <w:marLeft w:val="0"/>
      <w:marRight w:val="0"/>
      <w:marTop w:val="0"/>
      <w:marBottom w:val="0"/>
      <w:divBdr>
        <w:top w:val="none" w:sz="0" w:space="0" w:color="auto"/>
        <w:left w:val="none" w:sz="0" w:space="0" w:color="auto"/>
        <w:bottom w:val="none" w:sz="0" w:space="0" w:color="auto"/>
        <w:right w:val="none" w:sz="0" w:space="0" w:color="auto"/>
      </w:divBdr>
    </w:div>
    <w:div w:id="795224510">
      <w:bodyDiv w:val="1"/>
      <w:marLeft w:val="0"/>
      <w:marRight w:val="0"/>
      <w:marTop w:val="0"/>
      <w:marBottom w:val="0"/>
      <w:divBdr>
        <w:top w:val="none" w:sz="0" w:space="0" w:color="auto"/>
        <w:left w:val="none" w:sz="0" w:space="0" w:color="auto"/>
        <w:bottom w:val="none" w:sz="0" w:space="0" w:color="auto"/>
        <w:right w:val="none" w:sz="0" w:space="0" w:color="auto"/>
      </w:divBdr>
    </w:div>
    <w:div w:id="795611263">
      <w:bodyDiv w:val="1"/>
      <w:marLeft w:val="0"/>
      <w:marRight w:val="0"/>
      <w:marTop w:val="0"/>
      <w:marBottom w:val="0"/>
      <w:divBdr>
        <w:top w:val="none" w:sz="0" w:space="0" w:color="auto"/>
        <w:left w:val="none" w:sz="0" w:space="0" w:color="auto"/>
        <w:bottom w:val="none" w:sz="0" w:space="0" w:color="auto"/>
        <w:right w:val="none" w:sz="0" w:space="0" w:color="auto"/>
      </w:divBdr>
    </w:div>
    <w:div w:id="797072626">
      <w:bodyDiv w:val="1"/>
      <w:marLeft w:val="0"/>
      <w:marRight w:val="0"/>
      <w:marTop w:val="0"/>
      <w:marBottom w:val="0"/>
      <w:divBdr>
        <w:top w:val="none" w:sz="0" w:space="0" w:color="auto"/>
        <w:left w:val="none" w:sz="0" w:space="0" w:color="auto"/>
        <w:bottom w:val="none" w:sz="0" w:space="0" w:color="auto"/>
        <w:right w:val="none" w:sz="0" w:space="0" w:color="auto"/>
      </w:divBdr>
    </w:div>
    <w:div w:id="797382366">
      <w:bodyDiv w:val="1"/>
      <w:marLeft w:val="0"/>
      <w:marRight w:val="0"/>
      <w:marTop w:val="0"/>
      <w:marBottom w:val="0"/>
      <w:divBdr>
        <w:top w:val="none" w:sz="0" w:space="0" w:color="auto"/>
        <w:left w:val="none" w:sz="0" w:space="0" w:color="auto"/>
        <w:bottom w:val="none" w:sz="0" w:space="0" w:color="auto"/>
        <w:right w:val="none" w:sz="0" w:space="0" w:color="auto"/>
      </w:divBdr>
    </w:div>
    <w:div w:id="798843365">
      <w:bodyDiv w:val="1"/>
      <w:marLeft w:val="0"/>
      <w:marRight w:val="0"/>
      <w:marTop w:val="0"/>
      <w:marBottom w:val="0"/>
      <w:divBdr>
        <w:top w:val="none" w:sz="0" w:space="0" w:color="auto"/>
        <w:left w:val="none" w:sz="0" w:space="0" w:color="auto"/>
        <w:bottom w:val="none" w:sz="0" w:space="0" w:color="auto"/>
        <w:right w:val="none" w:sz="0" w:space="0" w:color="auto"/>
      </w:divBdr>
    </w:div>
    <w:div w:id="799226895">
      <w:bodyDiv w:val="1"/>
      <w:marLeft w:val="0"/>
      <w:marRight w:val="0"/>
      <w:marTop w:val="0"/>
      <w:marBottom w:val="0"/>
      <w:divBdr>
        <w:top w:val="none" w:sz="0" w:space="0" w:color="auto"/>
        <w:left w:val="none" w:sz="0" w:space="0" w:color="auto"/>
        <w:bottom w:val="none" w:sz="0" w:space="0" w:color="auto"/>
        <w:right w:val="none" w:sz="0" w:space="0" w:color="auto"/>
      </w:divBdr>
    </w:div>
    <w:div w:id="799422010">
      <w:bodyDiv w:val="1"/>
      <w:marLeft w:val="0"/>
      <w:marRight w:val="0"/>
      <w:marTop w:val="0"/>
      <w:marBottom w:val="0"/>
      <w:divBdr>
        <w:top w:val="none" w:sz="0" w:space="0" w:color="auto"/>
        <w:left w:val="none" w:sz="0" w:space="0" w:color="auto"/>
        <w:bottom w:val="none" w:sz="0" w:space="0" w:color="auto"/>
        <w:right w:val="none" w:sz="0" w:space="0" w:color="auto"/>
      </w:divBdr>
    </w:div>
    <w:div w:id="799491481">
      <w:bodyDiv w:val="1"/>
      <w:marLeft w:val="0"/>
      <w:marRight w:val="0"/>
      <w:marTop w:val="0"/>
      <w:marBottom w:val="0"/>
      <w:divBdr>
        <w:top w:val="none" w:sz="0" w:space="0" w:color="auto"/>
        <w:left w:val="none" w:sz="0" w:space="0" w:color="auto"/>
        <w:bottom w:val="none" w:sz="0" w:space="0" w:color="auto"/>
        <w:right w:val="none" w:sz="0" w:space="0" w:color="auto"/>
      </w:divBdr>
    </w:div>
    <w:div w:id="799539587">
      <w:bodyDiv w:val="1"/>
      <w:marLeft w:val="0"/>
      <w:marRight w:val="0"/>
      <w:marTop w:val="0"/>
      <w:marBottom w:val="0"/>
      <w:divBdr>
        <w:top w:val="none" w:sz="0" w:space="0" w:color="auto"/>
        <w:left w:val="none" w:sz="0" w:space="0" w:color="auto"/>
        <w:bottom w:val="none" w:sz="0" w:space="0" w:color="auto"/>
        <w:right w:val="none" w:sz="0" w:space="0" w:color="auto"/>
      </w:divBdr>
    </w:div>
    <w:div w:id="799567944">
      <w:bodyDiv w:val="1"/>
      <w:marLeft w:val="0"/>
      <w:marRight w:val="0"/>
      <w:marTop w:val="0"/>
      <w:marBottom w:val="0"/>
      <w:divBdr>
        <w:top w:val="none" w:sz="0" w:space="0" w:color="auto"/>
        <w:left w:val="none" w:sz="0" w:space="0" w:color="auto"/>
        <w:bottom w:val="none" w:sz="0" w:space="0" w:color="auto"/>
        <w:right w:val="none" w:sz="0" w:space="0" w:color="auto"/>
      </w:divBdr>
    </w:div>
    <w:div w:id="799960769">
      <w:bodyDiv w:val="1"/>
      <w:marLeft w:val="0"/>
      <w:marRight w:val="0"/>
      <w:marTop w:val="0"/>
      <w:marBottom w:val="0"/>
      <w:divBdr>
        <w:top w:val="none" w:sz="0" w:space="0" w:color="auto"/>
        <w:left w:val="none" w:sz="0" w:space="0" w:color="auto"/>
        <w:bottom w:val="none" w:sz="0" w:space="0" w:color="auto"/>
        <w:right w:val="none" w:sz="0" w:space="0" w:color="auto"/>
      </w:divBdr>
    </w:div>
    <w:div w:id="800225073">
      <w:bodyDiv w:val="1"/>
      <w:marLeft w:val="0"/>
      <w:marRight w:val="0"/>
      <w:marTop w:val="0"/>
      <w:marBottom w:val="0"/>
      <w:divBdr>
        <w:top w:val="none" w:sz="0" w:space="0" w:color="auto"/>
        <w:left w:val="none" w:sz="0" w:space="0" w:color="auto"/>
        <w:bottom w:val="none" w:sz="0" w:space="0" w:color="auto"/>
        <w:right w:val="none" w:sz="0" w:space="0" w:color="auto"/>
      </w:divBdr>
    </w:div>
    <w:div w:id="800467075">
      <w:bodyDiv w:val="1"/>
      <w:marLeft w:val="0"/>
      <w:marRight w:val="0"/>
      <w:marTop w:val="0"/>
      <w:marBottom w:val="0"/>
      <w:divBdr>
        <w:top w:val="none" w:sz="0" w:space="0" w:color="auto"/>
        <w:left w:val="none" w:sz="0" w:space="0" w:color="auto"/>
        <w:bottom w:val="none" w:sz="0" w:space="0" w:color="auto"/>
        <w:right w:val="none" w:sz="0" w:space="0" w:color="auto"/>
      </w:divBdr>
    </w:div>
    <w:div w:id="800685736">
      <w:bodyDiv w:val="1"/>
      <w:marLeft w:val="0"/>
      <w:marRight w:val="0"/>
      <w:marTop w:val="0"/>
      <w:marBottom w:val="0"/>
      <w:divBdr>
        <w:top w:val="none" w:sz="0" w:space="0" w:color="auto"/>
        <w:left w:val="none" w:sz="0" w:space="0" w:color="auto"/>
        <w:bottom w:val="none" w:sz="0" w:space="0" w:color="auto"/>
        <w:right w:val="none" w:sz="0" w:space="0" w:color="auto"/>
      </w:divBdr>
    </w:div>
    <w:div w:id="800727284">
      <w:bodyDiv w:val="1"/>
      <w:marLeft w:val="0"/>
      <w:marRight w:val="0"/>
      <w:marTop w:val="0"/>
      <w:marBottom w:val="0"/>
      <w:divBdr>
        <w:top w:val="none" w:sz="0" w:space="0" w:color="auto"/>
        <w:left w:val="none" w:sz="0" w:space="0" w:color="auto"/>
        <w:bottom w:val="none" w:sz="0" w:space="0" w:color="auto"/>
        <w:right w:val="none" w:sz="0" w:space="0" w:color="auto"/>
      </w:divBdr>
    </w:div>
    <w:div w:id="801270857">
      <w:bodyDiv w:val="1"/>
      <w:marLeft w:val="0"/>
      <w:marRight w:val="0"/>
      <w:marTop w:val="0"/>
      <w:marBottom w:val="0"/>
      <w:divBdr>
        <w:top w:val="none" w:sz="0" w:space="0" w:color="auto"/>
        <w:left w:val="none" w:sz="0" w:space="0" w:color="auto"/>
        <w:bottom w:val="none" w:sz="0" w:space="0" w:color="auto"/>
        <w:right w:val="none" w:sz="0" w:space="0" w:color="auto"/>
      </w:divBdr>
    </w:div>
    <w:div w:id="801730495">
      <w:bodyDiv w:val="1"/>
      <w:marLeft w:val="0"/>
      <w:marRight w:val="0"/>
      <w:marTop w:val="0"/>
      <w:marBottom w:val="0"/>
      <w:divBdr>
        <w:top w:val="none" w:sz="0" w:space="0" w:color="auto"/>
        <w:left w:val="none" w:sz="0" w:space="0" w:color="auto"/>
        <w:bottom w:val="none" w:sz="0" w:space="0" w:color="auto"/>
        <w:right w:val="none" w:sz="0" w:space="0" w:color="auto"/>
      </w:divBdr>
    </w:div>
    <w:div w:id="802116930">
      <w:bodyDiv w:val="1"/>
      <w:marLeft w:val="0"/>
      <w:marRight w:val="0"/>
      <w:marTop w:val="0"/>
      <w:marBottom w:val="0"/>
      <w:divBdr>
        <w:top w:val="none" w:sz="0" w:space="0" w:color="auto"/>
        <w:left w:val="none" w:sz="0" w:space="0" w:color="auto"/>
        <w:bottom w:val="none" w:sz="0" w:space="0" w:color="auto"/>
        <w:right w:val="none" w:sz="0" w:space="0" w:color="auto"/>
      </w:divBdr>
    </w:div>
    <w:div w:id="802769987">
      <w:bodyDiv w:val="1"/>
      <w:marLeft w:val="0"/>
      <w:marRight w:val="0"/>
      <w:marTop w:val="0"/>
      <w:marBottom w:val="0"/>
      <w:divBdr>
        <w:top w:val="none" w:sz="0" w:space="0" w:color="auto"/>
        <w:left w:val="none" w:sz="0" w:space="0" w:color="auto"/>
        <w:bottom w:val="none" w:sz="0" w:space="0" w:color="auto"/>
        <w:right w:val="none" w:sz="0" w:space="0" w:color="auto"/>
      </w:divBdr>
    </w:div>
    <w:div w:id="802776571">
      <w:bodyDiv w:val="1"/>
      <w:marLeft w:val="0"/>
      <w:marRight w:val="0"/>
      <w:marTop w:val="0"/>
      <w:marBottom w:val="0"/>
      <w:divBdr>
        <w:top w:val="none" w:sz="0" w:space="0" w:color="auto"/>
        <w:left w:val="none" w:sz="0" w:space="0" w:color="auto"/>
        <w:bottom w:val="none" w:sz="0" w:space="0" w:color="auto"/>
        <w:right w:val="none" w:sz="0" w:space="0" w:color="auto"/>
      </w:divBdr>
    </w:div>
    <w:div w:id="802885198">
      <w:bodyDiv w:val="1"/>
      <w:marLeft w:val="0"/>
      <w:marRight w:val="0"/>
      <w:marTop w:val="0"/>
      <w:marBottom w:val="0"/>
      <w:divBdr>
        <w:top w:val="none" w:sz="0" w:space="0" w:color="auto"/>
        <w:left w:val="none" w:sz="0" w:space="0" w:color="auto"/>
        <w:bottom w:val="none" w:sz="0" w:space="0" w:color="auto"/>
        <w:right w:val="none" w:sz="0" w:space="0" w:color="auto"/>
      </w:divBdr>
    </w:div>
    <w:div w:id="802893087">
      <w:bodyDiv w:val="1"/>
      <w:marLeft w:val="0"/>
      <w:marRight w:val="0"/>
      <w:marTop w:val="0"/>
      <w:marBottom w:val="0"/>
      <w:divBdr>
        <w:top w:val="none" w:sz="0" w:space="0" w:color="auto"/>
        <w:left w:val="none" w:sz="0" w:space="0" w:color="auto"/>
        <w:bottom w:val="none" w:sz="0" w:space="0" w:color="auto"/>
        <w:right w:val="none" w:sz="0" w:space="0" w:color="auto"/>
      </w:divBdr>
    </w:div>
    <w:div w:id="803081601">
      <w:bodyDiv w:val="1"/>
      <w:marLeft w:val="0"/>
      <w:marRight w:val="0"/>
      <w:marTop w:val="0"/>
      <w:marBottom w:val="0"/>
      <w:divBdr>
        <w:top w:val="none" w:sz="0" w:space="0" w:color="auto"/>
        <w:left w:val="none" w:sz="0" w:space="0" w:color="auto"/>
        <w:bottom w:val="none" w:sz="0" w:space="0" w:color="auto"/>
        <w:right w:val="none" w:sz="0" w:space="0" w:color="auto"/>
      </w:divBdr>
    </w:div>
    <w:div w:id="803160283">
      <w:bodyDiv w:val="1"/>
      <w:marLeft w:val="0"/>
      <w:marRight w:val="0"/>
      <w:marTop w:val="0"/>
      <w:marBottom w:val="0"/>
      <w:divBdr>
        <w:top w:val="none" w:sz="0" w:space="0" w:color="auto"/>
        <w:left w:val="none" w:sz="0" w:space="0" w:color="auto"/>
        <w:bottom w:val="none" w:sz="0" w:space="0" w:color="auto"/>
        <w:right w:val="none" w:sz="0" w:space="0" w:color="auto"/>
      </w:divBdr>
    </w:div>
    <w:div w:id="803231916">
      <w:bodyDiv w:val="1"/>
      <w:marLeft w:val="0"/>
      <w:marRight w:val="0"/>
      <w:marTop w:val="0"/>
      <w:marBottom w:val="0"/>
      <w:divBdr>
        <w:top w:val="none" w:sz="0" w:space="0" w:color="auto"/>
        <w:left w:val="none" w:sz="0" w:space="0" w:color="auto"/>
        <w:bottom w:val="none" w:sz="0" w:space="0" w:color="auto"/>
        <w:right w:val="none" w:sz="0" w:space="0" w:color="auto"/>
      </w:divBdr>
    </w:div>
    <w:div w:id="803424945">
      <w:bodyDiv w:val="1"/>
      <w:marLeft w:val="0"/>
      <w:marRight w:val="0"/>
      <w:marTop w:val="0"/>
      <w:marBottom w:val="0"/>
      <w:divBdr>
        <w:top w:val="none" w:sz="0" w:space="0" w:color="auto"/>
        <w:left w:val="none" w:sz="0" w:space="0" w:color="auto"/>
        <w:bottom w:val="none" w:sz="0" w:space="0" w:color="auto"/>
        <w:right w:val="none" w:sz="0" w:space="0" w:color="auto"/>
      </w:divBdr>
    </w:div>
    <w:div w:id="803698527">
      <w:bodyDiv w:val="1"/>
      <w:marLeft w:val="0"/>
      <w:marRight w:val="0"/>
      <w:marTop w:val="0"/>
      <w:marBottom w:val="0"/>
      <w:divBdr>
        <w:top w:val="none" w:sz="0" w:space="0" w:color="auto"/>
        <w:left w:val="none" w:sz="0" w:space="0" w:color="auto"/>
        <w:bottom w:val="none" w:sz="0" w:space="0" w:color="auto"/>
        <w:right w:val="none" w:sz="0" w:space="0" w:color="auto"/>
      </w:divBdr>
    </w:div>
    <w:div w:id="803886851">
      <w:bodyDiv w:val="1"/>
      <w:marLeft w:val="0"/>
      <w:marRight w:val="0"/>
      <w:marTop w:val="0"/>
      <w:marBottom w:val="0"/>
      <w:divBdr>
        <w:top w:val="none" w:sz="0" w:space="0" w:color="auto"/>
        <w:left w:val="none" w:sz="0" w:space="0" w:color="auto"/>
        <w:bottom w:val="none" w:sz="0" w:space="0" w:color="auto"/>
        <w:right w:val="none" w:sz="0" w:space="0" w:color="auto"/>
      </w:divBdr>
    </w:div>
    <w:div w:id="804003122">
      <w:bodyDiv w:val="1"/>
      <w:marLeft w:val="0"/>
      <w:marRight w:val="0"/>
      <w:marTop w:val="0"/>
      <w:marBottom w:val="0"/>
      <w:divBdr>
        <w:top w:val="none" w:sz="0" w:space="0" w:color="auto"/>
        <w:left w:val="none" w:sz="0" w:space="0" w:color="auto"/>
        <w:bottom w:val="none" w:sz="0" w:space="0" w:color="auto"/>
        <w:right w:val="none" w:sz="0" w:space="0" w:color="auto"/>
      </w:divBdr>
    </w:div>
    <w:div w:id="804157483">
      <w:bodyDiv w:val="1"/>
      <w:marLeft w:val="0"/>
      <w:marRight w:val="0"/>
      <w:marTop w:val="0"/>
      <w:marBottom w:val="0"/>
      <w:divBdr>
        <w:top w:val="none" w:sz="0" w:space="0" w:color="auto"/>
        <w:left w:val="none" w:sz="0" w:space="0" w:color="auto"/>
        <w:bottom w:val="none" w:sz="0" w:space="0" w:color="auto"/>
        <w:right w:val="none" w:sz="0" w:space="0" w:color="auto"/>
      </w:divBdr>
    </w:div>
    <w:div w:id="804351091">
      <w:bodyDiv w:val="1"/>
      <w:marLeft w:val="0"/>
      <w:marRight w:val="0"/>
      <w:marTop w:val="0"/>
      <w:marBottom w:val="0"/>
      <w:divBdr>
        <w:top w:val="none" w:sz="0" w:space="0" w:color="auto"/>
        <w:left w:val="none" w:sz="0" w:space="0" w:color="auto"/>
        <w:bottom w:val="none" w:sz="0" w:space="0" w:color="auto"/>
        <w:right w:val="none" w:sz="0" w:space="0" w:color="auto"/>
      </w:divBdr>
    </w:div>
    <w:div w:id="804811342">
      <w:bodyDiv w:val="1"/>
      <w:marLeft w:val="0"/>
      <w:marRight w:val="0"/>
      <w:marTop w:val="0"/>
      <w:marBottom w:val="0"/>
      <w:divBdr>
        <w:top w:val="none" w:sz="0" w:space="0" w:color="auto"/>
        <w:left w:val="none" w:sz="0" w:space="0" w:color="auto"/>
        <w:bottom w:val="none" w:sz="0" w:space="0" w:color="auto"/>
        <w:right w:val="none" w:sz="0" w:space="0" w:color="auto"/>
      </w:divBdr>
    </w:div>
    <w:div w:id="804853007">
      <w:bodyDiv w:val="1"/>
      <w:marLeft w:val="0"/>
      <w:marRight w:val="0"/>
      <w:marTop w:val="0"/>
      <w:marBottom w:val="0"/>
      <w:divBdr>
        <w:top w:val="none" w:sz="0" w:space="0" w:color="auto"/>
        <w:left w:val="none" w:sz="0" w:space="0" w:color="auto"/>
        <w:bottom w:val="none" w:sz="0" w:space="0" w:color="auto"/>
        <w:right w:val="none" w:sz="0" w:space="0" w:color="auto"/>
      </w:divBdr>
    </w:div>
    <w:div w:id="805198235">
      <w:bodyDiv w:val="1"/>
      <w:marLeft w:val="0"/>
      <w:marRight w:val="0"/>
      <w:marTop w:val="0"/>
      <w:marBottom w:val="0"/>
      <w:divBdr>
        <w:top w:val="none" w:sz="0" w:space="0" w:color="auto"/>
        <w:left w:val="none" w:sz="0" w:space="0" w:color="auto"/>
        <w:bottom w:val="none" w:sz="0" w:space="0" w:color="auto"/>
        <w:right w:val="none" w:sz="0" w:space="0" w:color="auto"/>
      </w:divBdr>
    </w:div>
    <w:div w:id="805245484">
      <w:bodyDiv w:val="1"/>
      <w:marLeft w:val="0"/>
      <w:marRight w:val="0"/>
      <w:marTop w:val="0"/>
      <w:marBottom w:val="0"/>
      <w:divBdr>
        <w:top w:val="none" w:sz="0" w:space="0" w:color="auto"/>
        <w:left w:val="none" w:sz="0" w:space="0" w:color="auto"/>
        <w:bottom w:val="none" w:sz="0" w:space="0" w:color="auto"/>
        <w:right w:val="none" w:sz="0" w:space="0" w:color="auto"/>
      </w:divBdr>
    </w:div>
    <w:div w:id="805392310">
      <w:bodyDiv w:val="1"/>
      <w:marLeft w:val="0"/>
      <w:marRight w:val="0"/>
      <w:marTop w:val="0"/>
      <w:marBottom w:val="0"/>
      <w:divBdr>
        <w:top w:val="none" w:sz="0" w:space="0" w:color="auto"/>
        <w:left w:val="none" w:sz="0" w:space="0" w:color="auto"/>
        <w:bottom w:val="none" w:sz="0" w:space="0" w:color="auto"/>
        <w:right w:val="none" w:sz="0" w:space="0" w:color="auto"/>
      </w:divBdr>
    </w:div>
    <w:div w:id="805467108">
      <w:bodyDiv w:val="1"/>
      <w:marLeft w:val="0"/>
      <w:marRight w:val="0"/>
      <w:marTop w:val="0"/>
      <w:marBottom w:val="0"/>
      <w:divBdr>
        <w:top w:val="none" w:sz="0" w:space="0" w:color="auto"/>
        <w:left w:val="none" w:sz="0" w:space="0" w:color="auto"/>
        <w:bottom w:val="none" w:sz="0" w:space="0" w:color="auto"/>
        <w:right w:val="none" w:sz="0" w:space="0" w:color="auto"/>
      </w:divBdr>
    </w:div>
    <w:div w:id="805854198">
      <w:bodyDiv w:val="1"/>
      <w:marLeft w:val="0"/>
      <w:marRight w:val="0"/>
      <w:marTop w:val="0"/>
      <w:marBottom w:val="0"/>
      <w:divBdr>
        <w:top w:val="none" w:sz="0" w:space="0" w:color="auto"/>
        <w:left w:val="none" w:sz="0" w:space="0" w:color="auto"/>
        <w:bottom w:val="none" w:sz="0" w:space="0" w:color="auto"/>
        <w:right w:val="none" w:sz="0" w:space="0" w:color="auto"/>
      </w:divBdr>
    </w:div>
    <w:div w:id="805927419">
      <w:bodyDiv w:val="1"/>
      <w:marLeft w:val="0"/>
      <w:marRight w:val="0"/>
      <w:marTop w:val="0"/>
      <w:marBottom w:val="0"/>
      <w:divBdr>
        <w:top w:val="none" w:sz="0" w:space="0" w:color="auto"/>
        <w:left w:val="none" w:sz="0" w:space="0" w:color="auto"/>
        <w:bottom w:val="none" w:sz="0" w:space="0" w:color="auto"/>
        <w:right w:val="none" w:sz="0" w:space="0" w:color="auto"/>
      </w:divBdr>
    </w:div>
    <w:div w:id="806049484">
      <w:bodyDiv w:val="1"/>
      <w:marLeft w:val="0"/>
      <w:marRight w:val="0"/>
      <w:marTop w:val="0"/>
      <w:marBottom w:val="0"/>
      <w:divBdr>
        <w:top w:val="none" w:sz="0" w:space="0" w:color="auto"/>
        <w:left w:val="none" w:sz="0" w:space="0" w:color="auto"/>
        <w:bottom w:val="none" w:sz="0" w:space="0" w:color="auto"/>
        <w:right w:val="none" w:sz="0" w:space="0" w:color="auto"/>
      </w:divBdr>
    </w:div>
    <w:div w:id="806051911">
      <w:bodyDiv w:val="1"/>
      <w:marLeft w:val="0"/>
      <w:marRight w:val="0"/>
      <w:marTop w:val="0"/>
      <w:marBottom w:val="0"/>
      <w:divBdr>
        <w:top w:val="none" w:sz="0" w:space="0" w:color="auto"/>
        <w:left w:val="none" w:sz="0" w:space="0" w:color="auto"/>
        <w:bottom w:val="none" w:sz="0" w:space="0" w:color="auto"/>
        <w:right w:val="none" w:sz="0" w:space="0" w:color="auto"/>
      </w:divBdr>
    </w:div>
    <w:div w:id="806169825">
      <w:bodyDiv w:val="1"/>
      <w:marLeft w:val="0"/>
      <w:marRight w:val="0"/>
      <w:marTop w:val="0"/>
      <w:marBottom w:val="0"/>
      <w:divBdr>
        <w:top w:val="none" w:sz="0" w:space="0" w:color="auto"/>
        <w:left w:val="none" w:sz="0" w:space="0" w:color="auto"/>
        <w:bottom w:val="none" w:sz="0" w:space="0" w:color="auto"/>
        <w:right w:val="none" w:sz="0" w:space="0" w:color="auto"/>
      </w:divBdr>
    </w:div>
    <w:div w:id="806244077">
      <w:bodyDiv w:val="1"/>
      <w:marLeft w:val="0"/>
      <w:marRight w:val="0"/>
      <w:marTop w:val="0"/>
      <w:marBottom w:val="0"/>
      <w:divBdr>
        <w:top w:val="none" w:sz="0" w:space="0" w:color="auto"/>
        <w:left w:val="none" w:sz="0" w:space="0" w:color="auto"/>
        <w:bottom w:val="none" w:sz="0" w:space="0" w:color="auto"/>
        <w:right w:val="none" w:sz="0" w:space="0" w:color="auto"/>
      </w:divBdr>
    </w:div>
    <w:div w:id="806357323">
      <w:bodyDiv w:val="1"/>
      <w:marLeft w:val="0"/>
      <w:marRight w:val="0"/>
      <w:marTop w:val="0"/>
      <w:marBottom w:val="0"/>
      <w:divBdr>
        <w:top w:val="none" w:sz="0" w:space="0" w:color="auto"/>
        <w:left w:val="none" w:sz="0" w:space="0" w:color="auto"/>
        <w:bottom w:val="none" w:sz="0" w:space="0" w:color="auto"/>
        <w:right w:val="none" w:sz="0" w:space="0" w:color="auto"/>
      </w:divBdr>
    </w:div>
    <w:div w:id="806509052">
      <w:bodyDiv w:val="1"/>
      <w:marLeft w:val="0"/>
      <w:marRight w:val="0"/>
      <w:marTop w:val="0"/>
      <w:marBottom w:val="0"/>
      <w:divBdr>
        <w:top w:val="none" w:sz="0" w:space="0" w:color="auto"/>
        <w:left w:val="none" w:sz="0" w:space="0" w:color="auto"/>
        <w:bottom w:val="none" w:sz="0" w:space="0" w:color="auto"/>
        <w:right w:val="none" w:sz="0" w:space="0" w:color="auto"/>
      </w:divBdr>
    </w:div>
    <w:div w:id="806511070">
      <w:bodyDiv w:val="1"/>
      <w:marLeft w:val="0"/>
      <w:marRight w:val="0"/>
      <w:marTop w:val="0"/>
      <w:marBottom w:val="0"/>
      <w:divBdr>
        <w:top w:val="none" w:sz="0" w:space="0" w:color="auto"/>
        <w:left w:val="none" w:sz="0" w:space="0" w:color="auto"/>
        <w:bottom w:val="none" w:sz="0" w:space="0" w:color="auto"/>
        <w:right w:val="none" w:sz="0" w:space="0" w:color="auto"/>
      </w:divBdr>
    </w:div>
    <w:div w:id="806820091">
      <w:bodyDiv w:val="1"/>
      <w:marLeft w:val="0"/>
      <w:marRight w:val="0"/>
      <w:marTop w:val="0"/>
      <w:marBottom w:val="0"/>
      <w:divBdr>
        <w:top w:val="none" w:sz="0" w:space="0" w:color="auto"/>
        <w:left w:val="none" w:sz="0" w:space="0" w:color="auto"/>
        <w:bottom w:val="none" w:sz="0" w:space="0" w:color="auto"/>
        <w:right w:val="none" w:sz="0" w:space="0" w:color="auto"/>
      </w:divBdr>
    </w:div>
    <w:div w:id="807357980">
      <w:bodyDiv w:val="1"/>
      <w:marLeft w:val="0"/>
      <w:marRight w:val="0"/>
      <w:marTop w:val="0"/>
      <w:marBottom w:val="0"/>
      <w:divBdr>
        <w:top w:val="none" w:sz="0" w:space="0" w:color="auto"/>
        <w:left w:val="none" w:sz="0" w:space="0" w:color="auto"/>
        <w:bottom w:val="none" w:sz="0" w:space="0" w:color="auto"/>
        <w:right w:val="none" w:sz="0" w:space="0" w:color="auto"/>
      </w:divBdr>
    </w:div>
    <w:div w:id="807435412">
      <w:bodyDiv w:val="1"/>
      <w:marLeft w:val="0"/>
      <w:marRight w:val="0"/>
      <w:marTop w:val="0"/>
      <w:marBottom w:val="0"/>
      <w:divBdr>
        <w:top w:val="none" w:sz="0" w:space="0" w:color="auto"/>
        <w:left w:val="none" w:sz="0" w:space="0" w:color="auto"/>
        <w:bottom w:val="none" w:sz="0" w:space="0" w:color="auto"/>
        <w:right w:val="none" w:sz="0" w:space="0" w:color="auto"/>
      </w:divBdr>
    </w:div>
    <w:div w:id="807673158">
      <w:bodyDiv w:val="1"/>
      <w:marLeft w:val="0"/>
      <w:marRight w:val="0"/>
      <w:marTop w:val="0"/>
      <w:marBottom w:val="0"/>
      <w:divBdr>
        <w:top w:val="none" w:sz="0" w:space="0" w:color="auto"/>
        <w:left w:val="none" w:sz="0" w:space="0" w:color="auto"/>
        <w:bottom w:val="none" w:sz="0" w:space="0" w:color="auto"/>
        <w:right w:val="none" w:sz="0" w:space="0" w:color="auto"/>
      </w:divBdr>
    </w:div>
    <w:div w:id="807862313">
      <w:bodyDiv w:val="1"/>
      <w:marLeft w:val="0"/>
      <w:marRight w:val="0"/>
      <w:marTop w:val="0"/>
      <w:marBottom w:val="0"/>
      <w:divBdr>
        <w:top w:val="none" w:sz="0" w:space="0" w:color="auto"/>
        <w:left w:val="none" w:sz="0" w:space="0" w:color="auto"/>
        <w:bottom w:val="none" w:sz="0" w:space="0" w:color="auto"/>
        <w:right w:val="none" w:sz="0" w:space="0" w:color="auto"/>
      </w:divBdr>
    </w:div>
    <w:div w:id="808134822">
      <w:bodyDiv w:val="1"/>
      <w:marLeft w:val="0"/>
      <w:marRight w:val="0"/>
      <w:marTop w:val="0"/>
      <w:marBottom w:val="0"/>
      <w:divBdr>
        <w:top w:val="none" w:sz="0" w:space="0" w:color="auto"/>
        <w:left w:val="none" w:sz="0" w:space="0" w:color="auto"/>
        <w:bottom w:val="none" w:sz="0" w:space="0" w:color="auto"/>
        <w:right w:val="none" w:sz="0" w:space="0" w:color="auto"/>
      </w:divBdr>
    </w:div>
    <w:div w:id="808328935">
      <w:bodyDiv w:val="1"/>
      <w:marLeft w:val="0"/>
      <w:marRight w:val="0"/>
      <w:marTop w:val="0"/>
      <w:marBottom w:val="0"/>
      <w:divBdr>
        <w:top w:val="none" w:sz="0" w:space="0" w:color="auto"/>
        <w:left w:val="none" w:sz="0" w:space="0" w:color="auto"/>
        <w:bottom w:val="none" w:sz="0" w:space="0" w:color="auto"/>
        <w:right w:val="none" w:sz="0" w:space="0" w:color="auto"/>
      </w:divBdr>
    </w:div>
    <w:div w:id="808400595">
      <w:bodyDiv w:val="1"/>
      <w:marLeft w:val="0"/>
      <w:marRight w:val="0"/>
      <w:marTop w:val="0"/>
      <w:marBottom w:val="0"/>
      <w:divBdr>
        <w:top w:val="none" w:sz="0" w:space="0" w:color="auto"/>
        <w:left w:val="none" w:sz="0" w:space="0" w:color="auto"/>
        <w:bottom w:val="none" w:sz="0" w:space="0" w:color="auto"/>
        <w:right w:val="none" w:sz="0" w:space="0" w:color="auto"/>
      </w:divBdr>
    </w:div>
    <w:div w:id="808475573">
      <w:bodyDiv w:val="1"/>
      <w:marLeft w:val="0"/>
      <w:marRight w:val="0"/>
      <w:marTop w:val="0"/>
      <w:marBottom w:val="0"/>
      <w:divBdr>
        <w:top w:val="none" w:sz="0" w:space="0" w:color="auto"/>
        <w:left w:val="none" w:sz="0" w:space="0" w:color="auto"/>
        <w:bottom w:val="none" w:sz="0" w:space="0" w:color="auto"/>
        <w:right w:val="none" w:sz="0" w:space="0" w:color="auto"/>
      </w:divBdr>
    </w:div>
    <w:div w:id="809324964">
      <w:bodyDiv w:val="1"/>
      <w:marLeft w:val="0"/>
      <w:marRight w:val="0"/>
      <w:marTop w:val="0"/>
      <w:marBottom w:val="0"/>
      <w:divBdr>
        <w:top w:val="none" w:sz="0" w:space="0" w:color="auto"/>
        <w:left w:val="none" w:sz="0" w:space="0" w:color="auto"/>
        <w:bottom w:val="none" w:sz="0" w:space="0" w:color="auto"/>
        <w:right w:val="none" w:sz="0" w:space="0" w:color="auto"/>
      </w:divBdr>
    </w:div>
    <w:div w:id="809444320">
      <w:bodyDiv w:val="1"/>
      <w:marLeft w:val="0"/>
      <w:marRight w:val="0"/>
      <w:marTop w:val="0"/>
      <w:marBottom w:val="0"/>
      <w:divBdr>
        <w:top w:val="none" w:sz="0" w:space="0" w:color="auto"/>
        <w:left w:val="none" w:sz="0" w:space="0" w:color="auto"/>
        <w:bottom w:val="none" w:sz="0" w:space="0" w:color="auto"/>
        <w:right w:val="none" w:sz="0" w:space="0" w:color="auto"/>
      </w:divBdr>
    </w:div>
    <w:div w:id="809591792">
      <w:bodyDiv w:val="1"/>
      <w:marLeft w:val="0"/>
      <w:marRight w:val="0"/>
      <w:marTop w:val="0"/>
      <w:marBottom w:val="0"/>
      <w:divBdr>
        <w:top w:val="none" w:sz="0" w:space="0" w:color="auto"/>
        <w:left w:val="none" w:sz="0" w:space="0" w:color="auto"/>
        <w:bottom w:val="none" w:sz="0" w:space="0" w:color="auto"/>
        <w:right w:val="none" w:sz="0" w:space="0" w:color="auto"/>
      </w:divBdr>
    </w:div>
    <w:div w:id="809833594">
      <w:bodyDiv w:val="1"/>
      <w:marLeft w:val="0"/>
      <w:marRight w:val="0"/>
      <w:marTop w:val="0"/>
      <w:marBottom w:val="0"/>
      <w:divBdr>
        <w:top w:val="none" w:sz="0" w:space="0" w:color="auto"/>
        <w:left w:val="none" w:sz="0" w:space="0" w:color="auto"/>
        <w:bottom w:val="none" w:sz="0" w:space="0" w:color="auto"/>
        <w:right w:val="none" w:sz="0" w:space="0" w:color="auto"/>
      </w:divBdr>
    </w:div>
    <w:div w:id="810365791">
      <w:bodyDiv w:val="1"/>
      <w:marLeft w:val="0"/>
      <w:marRight w:val="0"/>
      <w:marTop w:val="0"/>
      <w:marBottom w:val="0"/>
      <w:divBdr>
        <w:top w:val="none" w:sz="0" w:space="0" w:color="auto"/>
        <w:left w:val="none" w:sz="0" w:space="0" w:color="auto"/>
        <w:bottom w:val="none" w:sz="0" w:space="0" w:color="auto"/>
        <w:right w:val="none" w:sz="0" w:space="0" w:color="auto"/>
      </w:divBdr>
    </w:div>
    <w:div w:id="810484839">
      <w:bodyDiv w:val="1"/>
      <w:marLeft w:val="0"/>
      <w:marRight w:val="0"/>
      <w:marTop w:val="0"/>
      <w:marBottom w:val="0"/>
      <w:divBdr>
        <w:top w:val="none" w:sz="0" w:space="0" w:color="auto"/>
        <w:left w:val="none" w:sz="0" w:space="0" w:color="auto"/>
        <w:bottom w:val="none" w:sz="0" w:space="0" w:color="auto"/>
        <w:right w:val="none" w:sz="0" w:space="0" w:color="auto"/>
      </w:divBdr>
    </w:div>
    <w:div w:id="810755570">
      <w:bodyDiv w:val="1"/>
      <w:marLeft w:val="0"/>
      <w:marRight w:val="0"/>
      <w:marTop w:val="0"/>
      <w:marBottom w:val="0"/>
      <w:divBdr>
        <w:top w:val="none" w:sz="0" w:space="0" w:color="auto"/>
        <w:left w:val="none" w:sz="0" w:space="0" w:color="auto"/>
        <w:bottom w:val="none" w:sz="0" w:space="0" w:color="auto"/>
        <w:right w:val="none" w:sz="0" w:space="0" w:color="auto"/>
      </w:divBdr>
    </w:div>
    <w:div w:id="810908022">
      <w:bodyDiv w:val="1"/>
      <w:marLeft w:val="0"/>
      <w:marRight w:val="0"/>
      <w:marTop w:val="0"/>
      <w:marBottom w:val="0"/>
      <w:divBdr>
        <w:top w:val="none" w:sz="0" w:space="0" w:color="auto"/>
        <w:left w:val="none" w:sz="0" w:space="0" w:color="auto"/>
        <w:bottom w:val="none" w:sz="0" w:space="0" w:color="auto"/>
        <w:right w:val="none" w:sz="0" w:space="0" w:color="auto"/>
      </w:divBdr>
    </w:div>
    <w:div w:id="812412150">
      <w:bodyDiv w:val="1"/>
      <w:marLeft w:val="0"/>
      <w:marRight w:val="0"/>
      <w:marTop w:val="0"/>
      <w:marBottom w:val="0"/>
      <w:divBdr>
        <w:top w:val="none" w:sz="0" w:space="0" w:color="auto"/>
        <w:left w:val="none" w:sz="0" w:space="0" w:color="auto"/>
        <w:bottom w:val="none" w:sz="0" w:space="0" w:color="auto"/>
        <w:right w:val="none" w:sz="0" w:space="0" w:color="auto"/>
      </w:divBdr>
    </w:div>
    <w:div w:id="812478373">
      <w:bodyDiv w:val="1"/>
      <w:marLeft w:val="0"/>
      <w:marRight w:val="0"/>
      <w:marTop w:val="0"/>
      <w:marBottom w:val="0"/>
      <w:divBdr>
        <w:top w:val="none" w:sz="0" w:space="0" w:color="auto"/>
        <w:left w:val="none" w:sz="0" w:space="0" w:color="auto"/>
        <w:bottom w:val="none" w:sz="0" w:space="0" w:color="auto"/>
        <w:right w:val="none" w:sz="0" w:space="0" w:color="auto"/>
      </w:divBdr>
    </w:div>
    <w:div w:id="812527963">
      <w:bodyDiv w:val="1"/>
      <w:marLeft w:val="0"/>
      <w:marRight w:val="0"/>
      <w:marTop w:val="0"/>
      <w:marBottom w:val="0"/>
      <w:divBdr>
        <w:top w:val="none" w:sz="0" w:space="0" w:color="auto"/>
        <w:left w:val="none" w:sz="0" w:space="0" w:color="auto"/>
        <w:bottom w:val="none" w:sz="0" w:space="0" w:color="auto"/>
        <w:right w:val="none" w:sz="0" w:space="0" w:color="auto"/>
      </w:divBdr>
    </w:div>
    <w:div w:id="812601641">
      <w:bodyDiv w:val="1"/>
      <w:marLeft w:val="0"/>
      <w:marRight w:val="0"/>
      <w:marTop w:val="0"/>
      <w:marBottom w:val="0"/>
      <w:divBdr>
        <w:top w:val="none" w:sz="0" w:space="0" w:color="auto"/>
        <w:left w:val="none" w:sz="0" w:space="0" w:color="auto"/>
        <w:bottom w:val="none" w:sz="0" w:space="0" w:color="auto"/>
        <w:right w:val="none" w:sz="0" w:space="0" w:color="auto"/>
      </w:divBdr>
    </w:div>
    <w:div w:id="812874123">
      <w:bodyDiv w:val="1"/>
      <w:marLeft w:val="0"/>
      <w:marRight w:val="0"/>
      <w:marTop w:val="0"/>
      <w:marBottom w:val="0"/>
      <w:divBdr>
        <w:top w:val="none" w:sz="0" w:space="0" w:color="auto"/>
        <w:left w:val="none" w:sz="0" w:space="0" w:color="auto"/>
        <w:bottom w:val="none" w:sz="0" w:space="0" w:color="auto"/>
        <w:right w:val="none" w:sz="0" w:space="0" w:color="auto"/>
      </w:divBdr>
    </w:div>
    <w:div w:id="813522959">
      <w:bodyDiv w:val="1"/>
      <w:marLeft w:val="0"/>
      <w:marRight w:val="0"/>
      <w:marTop w:val="0"/>
      <w:marBottom w:val="0"/>
      <w:divBdr>
        <w:top w:val="none" w:sz="0" w:space="0" w:color="auto"/>
        <w:left w:val="none" w:sz="0" w:space="0" w:color="auto"/>
        <w:bottom w:val="none" w:sz="0" w:space="0" w:color="auto"/>
        <w:right w:val="none" w:sz="0" w:space="0" w:color="auto"/>
      </w:divBdr>
    </w:div>
    <w:div w:id="813838027">
      <w:bodyDiv w:val="1"/>
      <w:marLeft w:val="0"/>
      <w:marRight w:val="0"/>
      <w:marTop w:val="0"/>
      <w:marBottom w:val="0"/>
      <w:divBdr>
        <w:top w:val="none" w:sz="0" w:space="0" w:color="auto"/>
        <w:left w:val="none" w:sz="0" w:space="0" w:color="auto"/>
        <w:bottom w:val="none" w:sz="0" w:space="0" w:color="auto"/>
        <w:right w:val="none" w:sz="0" w:space="0" w:color="auto"/>
      </w:divBdr>
    </w:div>
    <w:div w:id="813907508">
      <w:bodyDiv w:val="1"/>
      <w:marLeft w:val="0"/>
      <w:marRight w:val="0"/>
      <w:marTop w:val="0"/>
      <w:marBottom w:val="0"/>
      <w:divBdr>
        <w:top w:val="none" w:sz="0" w:space="0" w:color="auto"/>
        <w:left w:val="none" w:sz="0" w:space="0" w:color="auto"/>
        <w:bottom w:val="none" w:sz="0" w:space="0" w:color="auto"/>
        <w:right w:val="none" w:sz="0" w:space="0" w:color="auto"/>
      </w:divBdr>
    </w:div>
    <w:div w:id="814222111">
      <w:bodyDiv w:val="1"/>
      <w:marLeft w:val="0"/>
      <w:marRight w:val="0"/>
      <w:marTop w:val="0"/>
      <w:marBottom w:val="0"/>
      <w:divBdr>
        <w:top w:val="none" w:sz="0" w:space="0" w:color="auto"/>
        <w:left w:val="none" w:sz="0" w:space="0" w:color="auto"/>
        <w:bottom w:val="none" w:sz="0" w:space="0" w:color="auto"/>
        <w:right w:val="none" w:sz="0" w:space="0" w:color="auto"/>
      </w:divBdr>
    </w:div>
    <w:div w:id="814762865">
      <w:bodyDiv w:val="1"/>
      <w:marLeft w:val="0"/>
      <w:marRight w:val="0"/>
      <w:marTop w:val="0"/>
      <w:marBottom w:val="0"/>
      <w:divBdr>
        <w:top w:val="none" w:sz="0" w:space="0" w:color="auto"/>
        <w:left w:val="none" w:sz="0" w:space="0" w:color="auto"/>
        <w:bottom w:val="none" w:sz="0" w:space="0" w:color="auto"/>
        <w:right w:val="none" w:sz="0" w:space="0" w:color="auto"/>
      </w:divBdr>
    </w:div>
    <w:div w:id="814840035">
      <w:bodyDiv w:val="1"/>
      <w:marLeft w:val="0"/>
      <w:marRight w:val="0"/>
      <w:marTop w:val="0"/>
      <w:marBottom w:val="0"/>
      <w:divBdr>
        <w:top w:val="none" w:sz="0" w:space="0" w:color="auto"/>
        <w:left w:val="none" w:sz="0" w:space="0" w:color="auto"/>
        <w:bottom w:val="none" w:sz="0" w:space="0" w:color="auto"/>
        <w:right w:val="none" w:sz="0" w:space="0" w:color="auto"/>
      </w:divBdr>
    </w:div>
    <w:div w:id="815225070">
      <w:bodyDiv w:val="1"/>
      <w:marLeft w:val="0"/>
      <w:marRight w:val="0"/>
      <w:marTop w:val="0"/>
      <w:marBottom w:val="0"/>
      <w:divBdr>
        <w:top w:val="none" w:sz="0" w:space="0" w:color="auto"/>
        <w:left w:val="none" w:sz="0" w:space="0" w:color="auto"/>
        <w:bottom w:val="none" w:sz="0" w:space="0" w:color="auto"/>
        <w:right w:val="none" w:sz="0" w:space="0" w:color="auto"/>
      </w:divBdr>
    </w:div>
    <w:div w:id="815300010">
      <w:bodyDiv w:val="1"/>
      <w:marLeft w:val="0"/>
      <w:marRight w:val="0"/>
      <w:marTop w:val="0"/>
      <w:marBottom w:val="0"/>
      <w:divBdr>
        <w:top w:val="none" w:sz="0" w:space="0" w:color="auto"/>
        <w:left w:val="none" w:sz="0" w:space="0" w:color="auto"/>
        <w:bottom w:val="none" w:sz="0" w:space="0" w:color="auto"/>
        <w:right w:val="none" w:sz="0" w:space="0" w:color="auto"/>
      </w:divBdr>
    </w:div>
    <w:div w:id="815679533">
      <w:bodyDiv w:val="1"/>
      <w:marLeft w:val="0"/>
      <w:marRight w:val="0"/>
      <w:marTop w:val="0"/>
      <w:marBottom w:val="0"/>
      <w:divBdr>
        <w:top w:val="none" w:sz="0" w:space="0" w:color="auto"/>
        <w:left w:val="none" w:sz="0" w:space="0" w:color="auto"/>
        <w:bottom w:val="none" w:sz="0" w:space="0" w:color="auto"/>
        <w:right w:val="none" w:sz="0" w:space="0" w:color="auto"/>
      </w:divBdr>
    </w:div>
    <w:div w:id="815687871">
      <w:bodyDiv w:val="1"/>
      <w:marLeft w:val="0"/>
      <w:marRight w:val="0"/>
      <w:marTop w:val="0"/>
      <w:marBottom w:val="0"/>
      <w:divBdr>
        <w:top w:val="none" w:sz="0" w:space="0" w:color="auto"/>
        <w:left w:val="none" w:sz="0" w:space="0" w:color="auto"/>
        <w:bottom w:val="none" w:sz="0" w:space="0" w:color="auto"/>
        <w:right w:val="none" w:sz="0" w:space="0" w:color="auto"/>
      </w:divBdr>
    </w:div>
    <w:div w:id="816187983">
      <w:bodyDiv w:val="1"/>
      <w:marLeft w:val="0"/>
      <w:marRight w:val="0"/>
      <w:marTop w:val="0"/>
      <w:marBottom w:val="0"/>
      <w:divBdr>
        <w:top w:val="none" w:sz="0" w:space="0" w:color="auto"/>
        <w:left w:val="none" w:sz="0" w:space="0" w:color="auto"/>
        <w:bottom w:val="none" w:sz="0" w:space="0" w:color="auto"/>
        <w:right w:val="none" w:sz="0" w:space="0" w:color="auto"/>
      </w:divBdr>
    </w:div>
    <w:div w:id="816268397">
      <w:bodyDiv w:val="1"/>
      <w:marLeft w:val="0"/>
      <w:marRight w:val="0"/>
      <w:marTop w:val="0"/>
      <w:marBottom w:val="0"/>
      <w:divBdr>
        <w:top w:val="none" w:sz="0" w:space="0" w:color="auto"/>
        <w:left w:val="none" w:sz="0" w:space="0" w:color="auto"/>
        <w:bottom w:val="none" w:sz="0" w:space="0" w:color="auto"/>
        <w:right w:val="none" w:sz="0" w:space="0" w:color="auto"/>
      </w:divBdr>
    </w:div>
    <w:div w:id="816340043">
      <w:bodyDiv w:val="1"/>
      <w:marLeft w:val="0"/>
      <w:marRight w:val="0"/>
      <w:marTop w:val="0"/>
      <w:marBottom w:val="0"/>
      <w:divBdr>
        <w:top w:val="none" w:sz="0" w:space="0" w:color="auto"/>
        <w:left w:val="none" w:sz="0" w:space="0" w:color="auto"/>
        <w:bottom w:val="none" w:sz="0" w:space="0" w:color="auto"/>
        <w:right w:val="none" w:sz="0" w:space="0" w:color="auto"/>
      </w:divBdr>
    </w:div>
    <w:div w:id="817184063">
      <w:bodyDiv w:val="1"/>
      <w:marLeft w:val="0"/>
      <w:marRight w:val="0"/>
      <w:marTop w:val="0"/>
      <w:marBottom w:val="0"/>
      <w:divBdr>
        <w:top w:val="none" w:sz="0" w:space="0" w:color="auto"/>
        <w:left w:val="none" w:sz="0" w:space="0" w:color="auto"/>
        <w:bottom w:val="none" w:sz="0" w:space="0" w:color="auto"/>
        <w:right w:val="none" w:sz="0" w:space="0" w:color="auto"/>
      </w:divBdr>
    </w:div>
    <w:div w:id="817310441">
      <w:bodyDiv w:val="1"/>
      <w:marLeft w:val="0"/>
      <w:marRight w:val="0"/>
      <w:marTop w:val="0"/>
      <w:marBottom w:val="0"/>
      <w:divBdr>
        <w:top w:val="none" w:sz="0" w:space="0" w:color="auto"/>
        <w:left w:val="none" w:sz="0" w:space="0" w:color="auto"/>
        <w:bottom w:val="none" w:sz="0" w:space="0" w:color="auto"/>
        <w:right w:val="none" w:sz="0" w:space="0" w:color="auto"/>
      </w:divBdr>
    </w:div>
    <w:div w:id="817498999">
      <w:bodyDiv w:val="1"/>
      <w:marLeft w:val="0"/>
      <w:marRight w:val="0"/>
      <w:marTop w:val="0"/>
      <w:marBottom w:val="0"/>
      <w:divBdr>
        <w:top w:val="none" w:sz="0" w:space="0" w:color="auto"/>
        <w:left w:val="none" w:sz="0" w:space="0" w:color="auto"/>
        <w:bottom w:val="none" w:sz="0" w:space="0" w:color="auto"/>
        <w:right w:val="none" w:sz="0" w:space="0" w:color="auto"/>
      </w:divBdr>
    </w:div>
    <w:div w:id="817527256">
      <w:bodyDiv w:val="1"/>
      <w:marLeft w:val="0"/>
      <w:marRight w:val="0"/>
      <w:marTop w:val="0"/>
      <w:marBottom w:val="0"/>
      <w:divBdr>
        <w:top w:val="none" w:sz="0" w:space="0" w:color="auto"/>
        <w:left w:val="none" w:sz="0" w:space="0" w:color="auto"/>
        <w:bottom w:val="none" w:sz="0" w:space="0" w:color="auto"/>
        <w:right w:val="none" w:sz="0" w:space="0" w:color="auto"/>
      </w:divBdr>
    </w:div>
    <w:div w:id="817915394">
      <w:bodyDiv w:val="1"/>
      <w:marLeft w:val="0"/>
      <w:marRight w:val="0"/>
      <w:marTop w:val="0"/>
      <w:marBottom w:val="0"/>
      <w:divBdr>
        <w:top w:val="none" w:sz="0" w:space="0" w:color="auto"/>
        <w:left w:val="none" w:sz="0" w:space="0" w:color="auto"/>
        <w:bottom w:val="none" w:sz="0" w:space="0" w:color="auto"/>
        <w:right w:val="none" w:sz="0" w:space="0" w:color="auto"/>
      </w:divBdr>
    </w:div>
    <w:div w:id="818425350">
      <w:bodyDiv w:val="1"/>
      <w:marLeft w:val="0"/>
      <w:marRight w:val="0"/>
      <w:marTop w:val="0"/>
      <w:marBottom w:val="0"/>
      <w:divBdr>
        <w:top w:val="none" w:sz="0" w:space="0" w:color="auto"/>
        <w:left w:val="none" w:sz="0" w:space="0" w:color="auto"/>
        <w:bottom w:val="none" w:sz="0" w:space="0" w:color="auto"/>
        <w:right w:val="none" w:sz="0" w:space="0" w:color="auto"/>
      </w:divBdr>
    </w:div>
    <w:div w:id="818614965">
      <w:bodyDiv w:val="1"/>
      <w:marLeft w:val="0"/>
      <w:marRight w:val="0"/>
      <w:marTop w:val="0"/>
      <w:marBottom w:val="0"/>
      <w:divBdr>
        <w:top w:val="none" w:sz="0" w:space="0" w:color="auto"/>
        <w:left w:val="none" w:sz="0" w:space="0" w:color="auto"/>
        <w:bottom w:val="none" w:sz="0" w:space="0" w:color="auto"/>
        <w:right w:val="none" w:sz="0" w:space="0" w:color="auto"/>
      </w:divBdr>
    </w:div>
    <w:div w:id="818616925">
      <w:bodyDiv w:val="1"/>
      <w:marLeft w:val="0"/>
      <w:marRight w:val="0"/>
      <w:marTop w:val="0"/>
      <w:marBottom w:val="0"/>
      <w:divBdr>
        <w:top w:val="none" w:sz="0" w:space="0" w:color="auto"/>
        <w:left w:val="none" w:sz="0" w:space="0" w:color="auto"/>
        <w:bottom w:val="none" w:sz="0" w:space="0" w:color="auto"/>
        <w:right w:val="none" w:sz="0" w:space="0" w:color="auto"/>
      </w:divBdr>
    </w:div>
    <w:div w:id="818687616">
      <w:bodyDiv w:val="1"/>
      <w:marLeft w:val="0"/>
      <w:marRight w:val="0"/>
      <w:marTop w:val="0"/>
      <w:marBottom w:val="0"/>
      <w:divBdr>
        <w:top w:val="none" w:sz="0" w:space="0" w:color="auto"/>
        <w:left w:val="none" w:sz="0" w:space="0" w:color="auto"/>
        <w:bottom w:val="none" w:sz="0" w:space="0" w:color="auto"/>
        <w:right w:val="none" w:sz="0" w:space="0" w:color="auto"/>
      </w:divBdr>
    </w:div>
    <w:div w:id="818763283">
      <w:bodyDiv w:val="1"/>
      <w:marLeft w:val="0"/>
      <w:marRight w:val="0"/>
      <w:marTop w:val="0"/>
      <w:marBottom w:val="0"/>
      <w:divBdr>
        <w:top w:val="none" w:sz="0" w:space="0" w:color="auto"/>
        <w:left w:val="none" w:sz="0" w:space="0" w:color="auto"/>
        <w:bottom w:val="none" w:sz="0" w:space="0" w:color="auto"/>
        <w:right w:val="none" w:sz="0" w:space="0" w:color="auto"/>
      </w:divBdr>
    </w:div>
    <w:div w:id="819035278">
      <w:bodyDiv w:val="1"/>
      <w:marLeft w:val="0"/>
      <w:marRight w:val="0"/>
      <w:marTop w:val="0"/>
      <w:marBottom w:val="0"/>
      <w:divBdr>
        <w:top w:val="none" w:sz="0" w:space="0" w:color="auto"/>
        <w:left w:val="none" w:sz="0" w:space="0" w:color="auto"/>
        <w:bottom w:val="none" w:sz="0" w:space="0" w:color="auto"/>
        <w:right w:val="none" w:sz="0" w:space="0" w:color="auto"/>
      </w:divBdr>
    </w:div>
    <w:div w:id="819426240">
      <w:bodyDiv w:val="1"/>
      <w:marLeft w:val="0"/>
      <w:marRight w:val="0"/>
      <w:marTop w:val="0"/>
      <w:marBottom w:val="0"/>
      <w:divBdr>
        <w:top w:val="none" w:sz="0" w:space="0" w:color="auto"/>
        <w:left w:val="none" w:sz="0" w:space="0" w:color="auto"/>
        <w:bottom w:val="none" w:sz="0" w:space="0" w:color="auto"/>
        <w:right w:val="none" w:sz="0" w:space="0" w:color="auto"/>
      </w:divBdr>
    </w:div>
    <w:div w:id="819810263">
      <w:bodyDiv w:val="1"/>
      <w:marLeft w:val="0"/>
      <w:marRight w:val="0"/>
      <w:marTop w:val="0"/>
      <w:marBottom w:val="0"/>
      <w:divBdr>
        <w:top w:val="none" w:sz="0" w:space="0" w:color="auto"/>
        <w:left w:val="none" w:sz="0" w:space="0" w:color="auto"/>
        <w:bottom w:val="none" w:sz="0" w:space="0" w:color="auto"/>
        <w:right w:val="none" w:sz="0" w:space="0" w:color="auto"/>
      </w:divBdr>
    </w:div>
    <w:div w:id="819886502">
      <w:bodyDiv w:val="1"/>
      <w:marLeft w:val="0"/>
      <w:marRight w:val="0"/>
      <w:marTop w:val="0"/>
      <w:marBottom w:val="0"/>
      <w:divBdr>
        <w:top w:val="none" w:sz="0" w:space="0" w:color="auto"/>
        <w:left w:val="none" w:sz="0" w:space="0" w:color="auto"/>
        <w:bottom w:val="none" w:sz="0" w:space="0" w:color="auto"/>
        <w:right w:val="none" w:sz="0" w:space="0" w:color="auto"/>
      </w:divBdr>
    </w:div>
    <w:div w:id="819923661">
      <w:bodyDiv w:val="1"/>
      <w:marLeft w:val="0"/>
      <w:marRight w:val="0"/>
      <w:marTop w:val="0"/>
      <w:marBottom w:val="0"/>
      <w:divBdr>
        <w:top w:val="none" w:sz="0" w:space="0" w:color="auto"/>
        <w:left w:val="none" w:sz="0" w:space="0" w:color="auto"/>
        <w:bottom w:val="none" w:sz="0" w:space="0" w:color="auto"/>
        <w:right w:val="none" w:sz="0" w:space="0" w:color="auto"/>
      </w:divBdr>
    </w:div>
    <w:div w:id="820193229">
      <w:bodyDiv w:val="1"/>
      <w:marLeft w:val="0"/>
      <w:marRight w:val="0"/>
      <w:marTop w:val="0"/>
      <w:marBottom w:val="0"/>
      <w:divBdr>
        <w:top w:val="none" w:sz="0" w:space="0" w:color="auto"/>
        <w:left w:val="none" w:sz="0" w:space="0" w:color="auto"/>
        <w:bottom w:val="none" w:sz="0" w:space="0" w:color="auto"/>
        <w:right w:val="none" w:sz="0" w:space="0" w:color="auto"/>
      </w:divBdr>
    </w:div>
    <w:div w:id="820511532">
      <w:bodyDiv w:val="1"/>
      <w:marLeft w:val="0"/>
      <w:marRight w:val="0"/>
      <w:marTop w:val="0"/>
      <w:marBottom w:val="0"/>
      <w:divBdr>
        <w:top w:val="none" w:sz="0" w:space="0" w:color="auto"/>
        <w:left w:val="none" w:sz="0" w:space="0" w:color="auto"/>
        <w:bottom w:val="none" w:sz="0" w:space="0" w:color="auto"/>
        <w:right w:val="none" w:sz="0" w:space="0" w:color="auto"/>
      </w:divBdr>
    </w:div>
    <w:div w:id="820662215">
      <w:bodyDiv w:val="1"/>
      <w:marLeft w:val="0"/>
      <w:marRight w:val="0"/>
      <w:marTop w:val="0"/>
      <w:marBottom w:val="0"/>
      <w:divBdr>
        <w:top w:val="none" w:sz="0" w:space="0" w:color="auto"/>
        <w:left w:val="none" w:sz="0" w:space="0" w:color="auto"/>
        <w:bottom w:val="none" w:sz="0" w:space="0" w:color="auto"/>
        <w:right w:val="none" w:sz="0" w:space="0" w:color="auto"/>
      </w:divBdr>
    </w:div>
    <w:div w:id="821040902">
      <w:bodyDiv w:val="1"/>
      <w:marLeft w:val="0"/>
      <w:marRight w:val="0"/>
      <w:marTop w:val="0"/>
      <w:marBottom w:val="0"/>
      <w:divBdr>
        <w:top w:val="none" w:sz="0" w:space="0" w:color="auto"/>
        <w:left w:val="none" w:sz="0" w:space="0" w:color="auto"/>
        <w:bottom w:val="none" w:sz="0" w:space="0" w:color="auto"/>
        <w:right w:val="none" w:sz="0" w:space="0" w:color="auto"/>
      </w:divBdr>
    </w:div>
    <w:div w:id="821314822">
      <w:bodyDiv w:val="1"/>
      <w:marLeft w:val="0"/>
      <w:marRight w:val="0"/>
      <w:marTop w:val="0"/>
      <w:marBottom w:val="0"/>
      <w:divBdr>
        <w:top w:val="none" w:sz="0" w:space="0" w:color="auto"/>
        <w:left w:val="none" w:sz="0" w:space="0" w:color="auto"/>
        <w:bottom w:val="none" w:sz="0" w:space="0" w:color="auto"/>
        <w:right w:val="none" w:sz="0" w:space="0" w:color="auto"/>
      </w:divBdr>
    </w:div>
    <w:div w:id="821775139">
      <w:bodyDiv w:val="1"/>
      <w:marLeft w:val="0"/>
      <w:marRight w:val="0"/>
      <w:marTop w:val="0"/>
      <w:marBottom w:val="0"/>
      <w:divBdr>
        <w:top w:val="none" w:sz="0" w:space="0" w:color="auto"/>
        <w:left w:val="none" w:sz="0" w:space="0" w:color="auto"/>
        <w:bottom w:val="none" w:sz="0" w:space="0" w:color="auto"/>
        <w:right w:val="none" w:sz="0" w:space="0" w:color="auto"/>
      </w:divBdr>
    </w:div>
    <w:div w:id="822506969">
      <w:bodyDiv w:val="1"/>
      <w:marLeft w:val="0"/>
      <w:marRight w:val="0"/>
      <w:marTop w:val="0"/>
      <w:marBottom w:val="0"/>
      <w:divBdr>
        <w:top w:val="none" w:sz="0" w:space="0" w:color="auto"/>
        <w:left w:val="none" w:sz="0" w:space="0" w:color="auto"/>
        <w:bottom w:val="none" w:sz="0" w:space="0" w:color="auto"/>
        <w:right w:val="none" w:sz="0" w:space="0" w:color="auto"/>
      </w:divBdr>
    </w:div>
    <w:div w:id="823089535">
      <w:bodyDiv w:val="1"/>
      <w:marLeft w:val="0"/>
      <w:marRight w:val="0"/>
      <w:marTop w:val="0"/>
      <w:marBottom w:val="0"/>
      <w:divBdr>
        <w:top w:val="none" w:sz="0" w:space="0" w:color="auto"/>
        <w:left w:val="none" w:sz="0" w:space="0" w:color="auto"/>
        <w:bottom w:val="none" w:sz="0" w:space="0" w:color="auto"/>
        <w:right w:val="none" w:sz="0" w:space="0" w:color="auto"/>
      </w:divBdr>
    </w:div>
    <w:div w:id="823274173">
      <w:bodyDiv w:val="1"/>
      <w:marLeft w:val="0"/>
      <w:marRight w:val="0"/>
      <w:marTop w:val="0"/>
      <w:marBottom w:val="0"/>
      <w:divBdr>
        <w:top w:val="none" w:sz="0" w:space="0" w:color="auto"/>
        <w:left w:val="none" w:sz="0" w:space="0" w:color="auto"/>
        <w:bottom w:val="none" w:sz="0" w:space="0" w:color="auto"/>
        <w:right w:val="none" w:sz="0" w:space="0" w:color="auto"/>
      </w:divBdr>
    </w:div>
    <w:div w:id="823424804">
      <w:bodyDiv w:val="1"/>
      <w:marLeft w:val="0"/>
      <w:marRight w:val="0"/>
      <w:marTop w:val="0"/>
      <w:marBottom w:val="0"/>
      <w:divBdr>
        <w:top w:val="none" w:sz="0" w:space="0" w:color="auto"/>
        <w:left w:val="none" w:sz="0" w:space="0" w:color="auto"/>
        <w:bottom w:val="none" w:sz="0" w:space="0" w:color="auto"/>
        <w:right w:val="none" w:sz="0" w:space="0" w:color="auto"/>
      </w:divBdr>
    </w:div>
    <w:div w:id="824511228">
      <w:bodyDiv w:val="1"/>
      <w:marLeft w:val="0"/>
      <w:marRight w:val="0"/>
      <w:marTop w:val="0"/>
      <w:marBottom w:val="0"/>
      <w:divBdr>
        <w:top w:val="none" w:sz="0" w:space="0" w:color="auto"/>
        <w:left w:val="none" w:sz="0" w:space="0" w:color="auto"/>
        <w:bottom w:val="none" w:sz="0" w:space="0" w:color="auto"/>
        <w:right w:val="none" w:sz="0" w:space="0" w:color="auto"/>
      </w:divBdr>
    </w:div>
    <w:div w:id="824664634">
      <w:bodyDiv w:val="1"/>
      <w:marLeft w:val="0"/>
      <w:marRight w:val="0"/>
      <w:marTop w:val="0"/>
      <w:marBottom w:val="0"/>
      <w:divBdr>
        <w:top w:val="none" w:sz="0" w:space="0" w:color="auto"/>
        <w:left w:val="none" w:sz="0" w:space="0" w:color="auto"/>
        <w:bottom w:val="none" w:sz="0" w:space="0" w:color="auto"/>
        <w:right w:val="none" w:sz="0" w:space="0" w:color="auto"/>
      </w:divBdr>
    </w:div>
    <w:div w:id="825440417">
      <w:bodyDiv w:val="1"/>
      <w:marLeft w:val="0"/>
      <w:marRight w:val="0"/>
      <w:marTop w:val="0"/>
      <w:marBottom w:val="0"/>
      <w:divBdr>
        <w:top w:val="none" w:sz="0" w:space="0" w:color="auto"/>
        <w:left w:val="none" w:sz="0" w:space="0" w:color="auto"/>
        <w:bottom w:val="none" w:sz="0" w:space="0" w:color="auto"/>
        <w:right w:val="none" w:sz="0" w:space="0" w:color="auto"/>
      </w:divBdr>
    </w:div>
    <w:div w:id="825628529">
      <w:bodyDiv w:val="1"/>
      <w:marLeft w:val="0"/>
      <w:marRight w:val="0"/>
      <w:marTop w:val="0"/>
      <w:marBottom w:val="0"/>
      <w:divBdr>
        <w:top w:val="none" w:sz="0" w:space="0" w:color="auto"/>
        <w:left w:val="none" w:sz="0" w:space="0" w:color="auto"/>
        <w:bottom w:val="none" w:sz="0" w:space="0" w:color="auto"/>
        <w:right w:val="none" w:sz="0" w:space="0" w:color="auto"/>
      </w:divBdr>
    </w:div>
    <w:div w:id="825709569">
      <w:bodyDiv w:val="1"/>
      <w:marLeft w:val="0"/>
      <w:marRight w:val="0"/>
      <w:marTop w:val="0"/>
      <w:marBottom w:val="0"/>
      <w:divBdr>
        <w:top w:val="none" w:sz="0" w:space="0" w:color="auto"/>
        <w:left w:val="none" w:sz="0" w:space="0" w:color="auto"/>
        <w:bottom w:val="none" w:sz="0" w:space="0" w:color="auto"/>
        <w:right w:val="none" w:sz="0" w:space="0" w:color="auto"/>
      </w:divBdr>
    </w:div>
    <w:div w:id="826022388">
      <w:bodyDiv w:val="1"/>
      <w:marLeft w:val="0"/>
      <w:marRight w:val="0"/>
      <w:marTop w:val="0"/>
      <w:marBottom w:val="0"/>
      <w:divBdr>
        <w:top w:val="none" w:sz="0" w:space="0" w:color="auto"/>
        <w:left w:val="none" w:sz="0" w:space="0" w:color="auto"/>
        <w:bottom w:val="none" w:sz="0" w:space="0" w:color="auto"/>
        <w:right w:val="none" w:sz="0" w:space="0" w:color="auto"/>
      </w:divBdr>
    </w:div>
    <w:div w:id="827214140">
      <w:bodyDiv w:val="1"/>
      <w:marLeft w:val="0"/>
      <w:marRight w:val="0"/>
      <w:marTop w:val="0"/>
      <w:marBottom w:val="0"/>
      <w:divBdr>
        <w:top w:val="none" w:sz="0" w:space="0" w:color="auto"/>
        <w:left w:val="none" w:sz="0" w:space="0" w:color="auto"/>
        <w:bottom w:val="none" w:sz="0" w:space="0" w:color="auto"/>
        <w:right w:val="none" w:sz="0" w:space="0" w:color="auto"/>
      </w:divBdr>
    </w:div>
    <w:div w:id="827329087">
      <w:bodyDiv w:val="1"/>
      <w:marLeft w:val="0"/>
      <w:marRight w:val="0"/>
      <w:marTop w:val="0"/>
      <w:marBottom w:val="0"/>
      <w:divBdr>
        <w:top w:val="none" w:sz="0" w:space="0" w:color="auto"/>
        <w:left w:val="none" w:sz="0" w:space="0" w:color="auto"/>
        <w:bottom w:val="none" w:sz="0" w:space="0" w:color="auto"/>
        <w:right w:val="none" w:sz="0" w:space="0" w:color="auto"/>
      </w:divBdr>
    </w:div>
    <w:div w:id="827475957">
      <w:bodyDiv w:val="1"/>
      <w:marLeft w:val="0"/>
      <w:marRight w:val="0"/>
      <w:marTop w:val="0"/>
      <w:marBottom w:val="0"/>
      <w:divBdr>
        <w:top w:val="none" w:sz="0" w:space="0" w:color="auto"/>
        <w:left w:val="none" w:sz="0" w:space="0" w:color="auto"/>
        <w:bottom w:val="none" w:sz="0" w:space="0" w:color="auto"/>
        <w:right w:val="none" w:sz="0" w:space="0" w:color="auto"/>
      </w:divBdr>
    </w:div>
    <w:div w:id="827791197">
      <w:bodyDiv w:val="1"/>
      <w:marLeft w:val="0"/>
      <w:marRight w:val="0"/>
      <w:marTop w:val="0"/>
      <w:marBottom w:val="0"/>
      <w:divBdr>
        <w:top w:val="none" w:sz="0" w:space="0" w:color="auto"/>
        <w:left w:val="none" w:sz="0" w:space="0" w:color="auto"/>
        <w:bottom w:val="none" w:sz="0" w:space="0" w:color="auto"/>
        <w:right w:val="none" w:sz="0" w:space="0" w:color="auto"/>
      </w:divBdr>
    </w:div>
    <w:div w:id="827862013">
      <w:bodyDiv w:val="1"/>
      <w:marLeft w:val="0"/>
      <w:marRight w:val="0"/>
      <w:marTop w:val="0"/>
      <w:marBottom w:val="0"/>
      <w:divBdr>
        <w:top w:val="none" w:sz="0" w:space="0" w:color="auto"/>
        <w:left w:val="none" w:sz="0" w:space="0" w:color="auto"/>
        <w:bottom w:val="none" w:sz="0" w:space="0" w:color="auto"/>
        <w:right w:val="none" w:sz="0" w:space="0" w:color="auto"/>
      </w:divBdr>
    </w:div>
    <w:div w:id="827936799">
      <w:bodyDiv w:val="1"/>
      <w:marLeft w:val="0"/>
      <w:marRight w:val="0"/>
      <w:marTop w:val="0"/>
      <w:marBottom w:val="0"/>
      <w:divBdr>
        <w:top w:val="none" w:sz="0" w:space="0" w:color="auto"/>
        <w:left w:val="none" w:sz="0" w:space="0" w:color="auto"/>
        <w:bottom w:val="none" w:sz="0" w:space="0" w:color="auto"/>
        <w:right w:val="none" w:sz="0" w:space="0" w:color="auto"/>
      </w:divBdr>
    </w:div>
    <w:div w:id="827940400">
      <w:bodyDiv w:val="1"/>
      <w:marLeft w:val="0"/>
      <w:marRight w:val="0"/>
      <w:marTop w:val="0"/>
      <w:marBottom w:val="0"/>
      <w:divBdr>
        <w:top w:val="none" w:sz="0" w:space="0" w:color="auto"/>
        <w:left w:val="none" w:sz="0" w:space="0" w:color="auto"/>
        <w:bottom w:val="none" w:sz="0" w:space="0" w:color="auto"/>
        <w:right w:val="none" w:sz="0" w:space="0" w:color="auto"/>
      </w:divBdr>
    </w:div>
    <w:div w:id="828012244">
      <w:bodyDiv w:val="1"/>
      <w:marLeft w:val="0"/>
      <w:marRight w:val="0"/>
      <w:marTop w:val="0"/>
      <w:marBottom w:val="0"/>
      <w:divBdr>
        <w:top w:val="none" w:sz="0" w:space="0" w:color="auto"/>
        <w:left w:val="none" w:sz="0" w:space="0" w:color="auto"/>
        <w:bottom w:val="none" w:sz="0" w:space="0" w:color="auto"/>
        <w:right w:val="none" w:sz="0" w:space="0" w:color="auto"/>
      </w:divBdr>
    </w:div>
    <w:div w:id="828250192">
      <w:bodyDiv w:val="1"/>
      <w:marLeft w:val="0"/>
      <w:marRight w:val="0"/>
      <w:marTop w:val="0"/>
      <w:marBottom w:val="0"/>
      <w:divBdr>
        <w:top w:val="none" w:sz="0" w:space="0" w:color="auto"/>
        <w:left w:val="none" w:sz="0" w:space="0" w:color="auto"/>
        <w:bottom w:val="none" w:sz="0" w:space="0" w:color="auto"/>
        <w:right w:val="none" w:sz="0" w:space="0" w:color="auto"/>
      </w:divBdr>
    </w:div>
    <w:div w:id="828909598">
      <w:bodyDiv w:val="1"/>
      <w:marLeft w:val="0"/>
      <w:marRight w:val="0"/>
      <w:marTop w:val="0"/>
      <w:marBottom w:val="0"/>
      <w:divBdr>
        <w:top w:val="none" w:sz="0" w:space="0" w:color="auto"/>
        <w:left w:val="none" w:sz="0" w:space="0" w:color="auto"/>
        <w:bottom w:val="none" w:sz="0" w:space="0" w:color="auto"/>
        <w:right w:val="none" w:sz="0" w:space="0" w:color="auto"/>
      </w:divBdr>
    </w:div>
    <w:div w:id="829296361">
      <w:bodyDiv w:val="1"/>
      <w:marLeft w:val="0"/>
      <w:marRight w:val="0"/>
      <w:marTop w:val="0"/>
      <w:marBottom w:val="0"/>
      <w:divBdr>
        <w:top w:val="none" w:sz="0" w:space="0" w:color="auto"/>
        <w:left w:val="none" w:sz="0" w:space="0" w:color="auto"/>
        <w:bottom w:val="none" w:sz="0" w:space="0" w:color="auto"/>
        <w:right w:val="none" w:sz="0" w:space="0" w:color="auto"/>
      </w:divBdr>
    </w:div>
    <w:div w:id="829833759">
      <w:bodyDiv w:val="1"/>
      <w:marLeft w:val="0"/>
      <w:marRight w:val="0"/>
      <w:marTop w:val="0"/>
      <w:marBottom w:val="0"/>
      <w:divBdr>
        <w:top w:val="none" w:sz="0" w:space="0" w:color="auto"/>
        <w:left w:val="none" w:sz="0" w:space="0" w:color="auto"/>
        <w:bottom w:val="none" w:sz="0" w:space="0" w:color="auto"/>
        <w:right w:val="none" w:sz="0" w:space="0" w:color="auto"/>
      </w:divBdr>
    </w:div>
    <w:div w:id="830559764">
      <w:bodyDiv w:val="1"/>
      <w:marLeft w:val="0"/>
      <w:marRight w:val="0"/>
      <w:marTop w:val="0"/>
      <w:marBottom w:val="0"/>
      <w:divBdr>
        <w:top w:val="none" w:sz="0" w:space="0" w:color="auto"/>
        <w:left w:val="none" w:sz="0" w:space="0" w:color="auto"/>
        <w:bottom w:val="none" w:sz="0" w:space="0" w:color="auto"/>
        <w:right w:val="none" w:sz="0" w:space="0" w:color="auto"/>
      </w:divBdr>
    </w:div>
    <w:div w:id="831026092">
      <w:bodyDiv w:val="1"/>
      <w:marLeft w:val="0"/>
      <w:marRight w:val="0"/>
      <w:marTop w:val="0"/>
      <w:marBottom w:val="0"/>
      <w:divBdr>
        <w:top w:val="none" w:sz="0" w:space="0" w:color="auto"/>
        <w:left w:val="none" w:sz="0" w:space="0" w:color="auto"/>
        <w:bottom w:val="none" w:sz="0" w:space="0" w:color="auto"/>
        <w:right w:val="none" w:sz="0" w:space="0" w:color="auto"/>
      </w:divBdr>
    </w:div>
    <w:div w:id="831993380">
      <w:bodyDiv w:val="1"/>
      <w:marLeft w:val="0"/>
      <w:marRight w:val="0"/>
      <w:marTop w:val="0"/>
      <w:marBottom w:val="0"/>
      <w:divBdr>
        <w:top w:val="none" w:sz="0" w:space="0" w:color="auto"/>
        <w:left w:val="none" w:sz="0" w:space="0" w:color="auto"/>
        <w:bottom w:val="none" w:sz="0" w:space="0" w:color="auto"/>
        <w:right w:val="none" w:sz="0" w:space="0" w:color="auto"/>
      </w:divBdr>
    </w:div>
    <w:div w:id="832334803">
      <w:bodyDiv w:val="1"/>
      <w:marLeft w:val="0"/>
      <w:marRight w:val="0"/>
      <w:marTop w:val="0"/>
      <w:marBottom w:val="0"/>
      <w:divBdr>
        <w:top w:val="none" w:sz="0" w:space="0" w:color="auto"/>
        <w:left w:val="none" w:sz="0" w:space="0" w:color="auto"/>
        <w:bottom w:val="none" w:sz="0" w:space="0" w:color="auto"/>
        <w:right w:val="none" w:sz="0" w:space="0" w:color="auto"/>
      </w:divBdr>
    </w:div>
    <w:div w:id="832645617">
      <w:bodyDiv w:val="1"/>
      <w:marLeft w:val="0"/>
      <w:marRight w:val="0"/>
      <w:marTop w:val="0"/>
      <w:marBottom w:val="0"/>
      <w:divBdr>
        <w:top w:val="none" w:sz="0" w:space="0" w:color="auto"/>
        <w:left w:val="none" w:sz="0" w:space="0" w:color="auto"/>
        <w:bottom w:val="none" w:sz="0" w:space="0" w:color="auto"/>
        <w:right w:val="none" w:sz="0" w:space="0" w:color="auto"/>
      </w:divBdr>
    </w:div>
    <w:div w:id="832649017">
      <w:bodyDiv w:val="1"/>
      <w:marLeft w:val="0"/>
      <w:marRight w:val="0"/>
      <w:marTop w:val="0"/>
      <w:marBottom w:val="0"/>
      <w:divBdr>
        <w:top w:val="none" w:sz="0" w:space="0" w:color="auto"/>
        <w:left w:val="none" w:sz="0" w:space="0" w:color="auto"/>
        <w:bottom w:val="none" w:sz="0" w:space="0" w:color="auto"/>
        <w:right w:val="none" w:sz="0" w:space="0" w:color="auto"/>
      </w:divBdr>
    </w:div>
    <w:div w:id="833691690">
      <w:bodyDiv w:val="1"/>
      <w:marLeft w:val="0"/>
      <w:marRight w:val="0"/>
      <w:marTop w:val="0"/>
      <w:marBottom w:val="0"/>
      <w:divBdr>
        <w:top w:val="none" w:sz="0" w:space="0" w:color="auto"/>
        <w:left w:val="none" w:sz="0" w:space="0" w:color="auto"/>
        <w:bottom w:val="none" w:sz="0" w:space="0" w:color="auto"/>
        <w:right w:val="none" w:sz="0" w:space="0" w:color="auto"/>
      </w:divBdr>
    </w:div>
    <w:div w:id="833842904">
      <w:bodyDiv w:val="1"/>
      <w:marLeft w:val="0"/>
      <w:marRight w:val="0"/>
      <w:marTop w:val="0"/>
      <w:marBottom w:val="0"/>
      <w:divBdr>
        <w:top w:val="none" w:sz="0" w:space="0" w:color="auto"/>
        <w:left w:val="none" w:sz="0" w:space="0" w:color="auto"/>
        <w:bottom w:val="none" w:sz="0" w:space="0" w:color="auto"/>
        <w:right w:val="none" w:sz="0" w:space="0" w:color="auto"/>
      </w:divBdr>
    </w:div>
    <w:div w:id="833880960">
      <w:bodyDiv w:val="1"/>
      <w:marLeft w:val="0"/>
      <w:marRight w:val="0"/>
      <w:marTop w:val="0"/>
      <w:marBottom w:val="0"/>
      <w:divBdr>
        <w:top w:val="none" w:sz="0" w:space="0" w:color="auto"/>
        <w:left w:val="none" w:sz="0" w:space="0" w:color="auto"/>
        <w:bottom w:val="none" w:sz="0" w:space="0" w:color="auto"/>
        <w:right w:val="none" w:sz="0" w:space="0" w:color="auto"/>
      </w:divBdr>
    </w:div>
    <w:div w:id="835609601">
      <w:bodyDiv w:val="1"/>
      <w:marLeft w:val="0"/>
      <w:marRight w:val="0"/>
      <w:marTop w:val="0"/>
      <w:marBottom w:val="0"/>
      <w:divBdr>
        <w:top w:val="none" w:sz="0" w:space="0" w:color="auto"/>
        <w:left w:val="none" w:sz="0" w:space="0" w:color="auto"/>
        <w:bottom w:val="none" w:sz="0" w:space="0" w:color="auto"/>
        <w:right w:val="none" w:sz="0" w:space="0" w:color="auto"/>
      </w:divBdr>
    </w:div>
    <w:div w:id="835657421">
      <w:bodyDiv w:val="1"/>
      <w:marLeft w:val="0"/>
      <w:marRight w:val="0"/>
      <w:marTop w:val="0"/>
      <w:marBottom w:val="0"/>
      <w:divBdr>
        <w:top w:val="none" w:sz="0" w:space="0" w:color="auto"/>
        <w:left w:val="none" w:sz="0" w:space="0" w:color="auto"/>
        <w:bottom w:val="none" w:sz="0" w:space="0" w:color="auto"/>
        <w:right w:val="none" w:sz="0" w:space="0" w:color="auto"/>
      </w:divBdr>
    </w:div>
    <w:div w:id="836454545">
      <w:bodyDiv w:val="1"/>
      <w:marLeft w:val="0"/>
      <w:marRight w:val="0"/>
      <w:marTop w:val="0"/>
      <w:marBottom w:val="0"/>
      <w:divBdr>
        <w:top w:val="none" w:sz="0" w:space="0" w:color="auto"/>
        <w:left w:val="none" w:sz="0" w:space="0" w:color="auto"/>
        <w:bottom w:val="none" w:sz="0" w:space="0" w:color="auto"/>
        <w:right w:val="none" w:sz="0" w:space="0" w:color="auto"/>
      </w:divBdr>
    </w:div>
    <w:div w:id="836843596">
      <w:bodyDiv w:val="1"/>
      <w:marLeft w:val="0"/>
      <w:marRight w:val="0"/>
      <w:marTop w:val="0"/>
      <w:marBottom w:val="0"/>
      <w:divBdr>
        <w:top w:val="none" w:sz="0" w:space="0" w:color="auto"/>
        <w:left w:val="none" w:sz="0" w:space="0" w:color="auto"/>
        <w:bottom w:val="none" w:sz="0" w:space="0" w:color="auto"/>
        <w:right w:val="none" w:sz="0" w:space="0" w:color="auto"/>
      </w:divBdr>
    </w:div>
    <w:div w:id="836846199">
      <w:bodyDiv w:val="1"/>
      <w:marLeft w:val="0"/>
      <w:marRight w:val="0"/>
      <w:marTop w:val="0"/>
      <w:marBottom w:val="0"/>
      <w:divBdr>
        <w:top w:val="none" w:sz="0" w:space="0" w:color="auto"/>
        <w:left w:val="none" w:sz="0" w:space="0" w:color="auto"/>
        <w:bottom w:val="none" w:sz="0" w:space="0" w:color="auto"/>
        <w:right w:val="none" w:sz="0" w:space="0" w:color="auto"/>
      </w:divBdr>
    </w:div>
    <w:div w:id="837157604">
      <w:bodyDiv w:val="1"/>
      <w:marLeft w:val="0"/>
      <w:marRight w:val="0"/>
      <w:marTop w:val="0"/>
      <w:marBottom w:val="0"/>
      <w:divBdr>
        <w:top w:val="none" w:sz="0" w:space="0" w:color="auto"/>
        <w:left w:val="none" w:sz="0" w:space="0" w:color="auto"/>
        <w:bottom w:val="none" w:sz="0" w:space="0" w:color="auto"/>
        <w:right w:val="none" w:sz="0" w:space="0" w:color="auto"/>
      </w:divBdr>
    </w:div>
    <w:div w:id="837159440">
      <w:bodyDiv w:val="1"/>
      <w:marLeft w:val="0"/>
      <w:marRight w:val="0"/>
      <w:marTop w:val="0"/>
      <w:marBottom w:val="0"/>
      <w:divBdr>
        <w:top w:val="none" w:sz="0" w:space="0" w:color="auto"/>
        <w:left w:val="none" w:sz="0" w:space="0" w:color="auto"/>
        <w:bottom w:val="none" w:sz="0" w:space="0" w:color="auto"/>
        <w:right w:val="none" w:sz="0" w:space="0" w:color="auto"/>
      </w:divBdr>
    </w:div>
    <w:div w:id="837306759">
      <w:bodyDiv w:val="1"/>
      <w:marLeft w:val="0"/>
      <w:marRight w:val="0"/>
      <w:marTop w:val="0"/>
      <w:marBottom w:val="0"/>
      <w:divBdr>
        <w:top w:val="none" w:sz="0" w:space="0" w:color="auto"/>
        <w:left w:val="none" w:sz="0" w:space="0" w:color="auto"/>
        <w:bottom w:val="none" w:sz="0" w:space="0" w:color="auto"/>
        <w:right w:val="none" w:sz="0" w:space="0" w:color="auto"/>
      </w:divBdr>
    </w:div>
    <w:div w:id="837699242">
      <w:bodyDiv w:val="1"/>
      <w:marLeft w:val="0"/>
      <w:marRight w:val="0"/>
      <w:marTop w:val="0"/>
      <w:marBottom w:val="0"/>
      <w:divBdr>
        <w:top w:val="none" w:sz="0" w:space="0" w:color="auto"/>
        <w:left w:val="none" w:sz="0" w:space="0" w:color="auto"/>
        <w:bottom w:val="none" w:sz="0" w:space="0" w:color="auto"/>
        <w:right w:val="none" w:sz="0" w:space="0" w:color="auto"/>
      </w:divBdr>
    </w:div>
    <w:div w:id="837962887">
      <w:bodyDiv w:val="1"/>
      <w:marLeft w:val="0"/>
      <w:marRight w:val="0"/>
      <w:marTop w:val="0"/>
      <w:marBottom w:val="0"/>
      <w:divBdr>
        <w:top w:val="none" w:sz="0" w:space="0" w:color="auto"/>
        <w:left w:val="none" w:sz="0" w:space="0" w:color="auto"/>
        <w:bottom w:val="none" w:sz="0" w:space="0" w:color="auto"/>
        <w:right w:val="none" w:sz="0" w:space="0" w:color="auto"/>
      </w:divBdr>
    </w:div>
    <w:div w:id="838429882">
      <w:bodyDiv w:val="1"/>
      <w:marLeft w:val="0"/>
      <w:marRight w:val="0"/>
      <w:marTop w:val="0"/>
      <w:marBottom w:val="0"/>
      <w:divBdr>
        <w:top w:val="none" w:sz="0" w:space="0" w:color="auto"/>
        <w:left w:val="none" w:sz="0" w:space="0" w:color="auto"/>
        <w:bottom w:val="none" w:sz="0" w:space="0" w:color="auto"/>
        <w:right w:val="none" w:sz="0" w:space="0" w:color="auto"/>
      </w:divBdr>
    </w:div>
    <w:div w:id="838617488">
      <w:bodyDiv w:val="1"/>
      <w:marLeft w:val="0"/>
      <w:marRight w:val="0"/>
      <w:marTop w:val="0"/>
      <w:marBottom w:val="0"/>
      <w:divBdr>
        <w:top w:val="none" w:sz="0" w:space="0" w:color="auto"/>
        <w:left w:val="none" w:sz="0" w:space="0" w:color="auto"/>
        <w:bottom w:val="none" w:sz="0" w:space="0" w:color="auto"/>
        <w:right w:val="none" w:sz="0" w:space="0" w:color="auto"/>
      </w:divBdr>
    </w:div>
    <w:div w:id="838622943">
      <w:bodyDiv w:val="1"/>
      <w:marLeft w:val="0"/>
      <w:marRight w:val="0"/>
      <w:marTop w:val="0"/>
      <w:marBottom w:val="0"/>
      <w:divBdr>
        <w:top w:val="none" w:sz="0" w:space="0" w:color="auto"/>
        <w:left w:val="none" w:sz="0" w:space="0" w:color="auto"/>
        <w:bottom w:val="none" w:sz="0" w:space="0" w:color="auto"/>
        <w:right w:val="none" w:sz="0" w:space="0" w:color="auto"/>
      </w:divBdr>
    </w:div>
    <w:div w:id="838691784">
      <w:bodyDiv w:val="1"/>
      <w:marLeft w:val="0"/>
      <w:marRight w:val="0"/>
      <w:marTop w:val="0"/>
      <w:marBottom w:val="0"/>
      <w:divBdr>
        <w:top w:val="none" w:sz="0" w:space="0" w:color="auto"/>
        <w:left w:val="none" w:sz="0" w:space="0" w:color="auto"/>
        <w:bottom w:val="none" w:sz="0" w:space="0" w:color="auto"/>
        <w:right w:val="none" w:sz="0" w:space="0" w:color="auto"/>
      </w:divBdr>
    </w:div>
    <w:div w:id="838813190">
      <w:bodyDiv w:val="1"/>
      <w:marLeft w:val="0"/>
      <w:marRight w:val="0"/>
      <w:marTop w:val="0"/>
      <w:marBottom w:val="0"/>
      <w:divBdr>
        <w:top w:val="none" w:sz="0" w:space="0" w:color="auto"/>
        <w:left w:val="none" w:sz="0" w:space="0" w:color="auto"/>
        <w:bottom w:val="none" w:sz="0" w:space="0" w:color="auto"/>
        <w:right w:val="none" w:sz="0" w:space="0" w:color="auto"/>
      </w:divBdr>
    </w:div>
    <w:div w:id="839125586">
      <w:bodyDiv w:val="1"/>
      <w:marLeft w:val="0"/>
      <w:marRight w:val="0"/>
      <w:marTop w:val="0"/>
      <w:marBottom w:val="0"/>
      <w:divBdr>
        <w:top w:val="none" w:sz="0" w:space="0" w:color="auto"/>
        <w:left w:val="none" w:sz="0" w:space="0" w:color="auto"/>
        <w:bottom w:val="none" w:sz="0" w:space="0" w:color="auto"/>
        <w:right w:val="none" w:sz="0" w:space="0" w:color="auto"/>
      </w:divBdr>
    </w:div>
    <w:div w:id="839272714">
      <w:bodyDiv w:val="1"/>
      <w:marLeft w:val="0"/>
      <w:marRight w:val="0"/>
      <w:marTop w:val="0"/>
      <w:marBottom w:val="0"/>
      <w:divBdr>
        <w:top w:val="none" w:sz="0" w:space="0" w:color="auto"/>
        <w:left w:val="none" w:sz="0" w:space="0" w:color="auto"/>
        <w:bottom w:val="none" w:sz="0" w:space="0" w:color="auto"/>
        <w:right w:val="none" w:sz="0" w:space="0" w:color="auto"/>
      </w:divBdr>
    </w:div>
    <w:div w:id="839663031">
      <w:bodyDiv w:val="1"/>
      <w:marLeft w:val="0"/>
      <w:marRight w:val="0"/>
      <w:marTop w:val="0"/>
      <w:marBottom w:val="0"/>
      <w:divBdr>
        <w:top w:val="none" w:sz="0" w:space="0" w:color="auto"/>
        <w:left w:val="none" w:sz="0" w:space="0" w:color="auto"/>
        <w:bottom w:val="none" w:sz="0" w:space="0" w:color="auto"/>
        <w:right w:val="none" w:sz="0" w:space="0" w:color="auto"/>
      </w:divBdr>
    </w:div>
    <w:div w:id="839779546">
      <w:bodyDiv w:val="1"/>
      <w:marLeft w:val="0"/>
      <w:marRight w:val="0"/>
      <w:marTop w:val="0"/>
      <w:marBottom w:val="0"/>
      <w:divBdr>
        <w:top w:val="none" w:sz="0" w:space="0" w:color="auto"/>
        <w:left w:val="none" w:sz="0" w:space="0" w:color="auto"/>
        <w:bottom w:val="none" w:sz="0" w:space="0" w:color="auto"/>
        <w:right w:val="none" w:sz="0" w:space="0" w:color="auto"/>
      </w:divBdr>
    </w:div>
    <w:div w:id="840704176">
      <w:bodyDiv w:val="1"/>
      <w:marLeft w:val="0"/>
      <w:marRight w:val="0"/>
      <w:marTop w:val="0"/>
      <w:marBottom w:val="0"/>
      <w:divBdr>
        <w:top w:val="none" w:sz="0" w:space="0" w:color="auto"/>
        <w:left w:val="none" w:sz="0" w:space="0" w:color="auto"/>
        <w:bottom w:val="none" w:sz="0" w:space="0" w:color="auto"/>
        <w:right w:val="none" w:sz="0" w:space="0" w:color="auto"/>
      </w:divBdr>
    </w:div>
    <w:div w:id="841116942">
      <w:bodyDiv w:val="1"/>
      <w:marLeft w:val="0"/>
      <w:marRight w:val="0"/>
      <w:marTop w:val="0"/>
      <w:marBottom w:val="0"/>
      <w:divBdr>
        <w:top w:val="none" w:sz="0" w:space="0" w:color="auto"/>
        <w:left w:val="none" w:sz="0" w:space="0" w:color="auto"/>
        <w:bottom w:val="none" w:sz="0" w:space="0" w:color="auto"/>
        <w:right w:val="none" w:sz="0" w:space="0" w:color="auto"/>
      </w:divBdr>
    </w:div>
    <w:div w:id="841357584">
      <w:bodyDiv w:val="1"/>
      <w:marLeft w:val="0"/>
      <w:marRight w:val="0"/>
      <w:marTop w:val="0"/>
      <w:marBottom w:val="0"/>
      <w:divBdr>
        <w:top w:val="none" w:sz="0" w:space="0" w:color="auto"/>
        <w:left w:val="none" w:sz="0" w:space="0" w:color="auto"/>
        <w:bottom w:val="none" w:sz="0" w:space="0" w:color="auto"/>
        <w:right w:val="none" w:sz="0" w:space="0" w:color="auto"/>
      </w:divBdr>
    </w:div>
    <w:div w:id="842626368">
      <w:bodyDiv w:val="1"/>
      <w:marLeft w:val="0"/>
      <w:marRight w:val="0"/>
      <w:marTop w:val="0"/>
      <w:marBottom w:val="0"/>
      <w:divBdr>
        <w:top w:val="none" w:sz="0" w:space="0" w:color="auto"/>
        <w:left w:val="none" w:sz="0" w:space="0" w:color="auto"/>
        <w:bottom w:val="none" w:sz="0" w:space="0" w:color="auto"/>
        <w:right w:val="none" w:sz="0" w:space="0" w:color="auto"/>
      </w:divBdr>
    </w:div>
    <w:div w:id="842628504">
      <w:bodyDiv w:val="1"/>
      <w:marLeft w:val="0"/>
      <w:marRight w:val="0"/>
      <w:marTop w:val="0"/>
      <w:marBottom w:val="0"/>
      <w:divBdr>
        <w:top w:val="none" w:sz="0" w:space="0" w:color="auto"/>
        <w:left w:val="none" w:sz="0" w:space="0" w:color="auto"/>
        <w:bottom w:val="none" w:sz="0" w:space="0" w:color="auto"/>
        <w:right w:val="none" w:sz="0" w:space="0" w:color="auto"/>
      </w:divBdr>
    </w:div>
    <w:div w:id="842937645">
      <w:bodyDiv w:val="1"/>
      <w:marLeft w:val="0"/>
      <w:marRight w:val="0"/>
      <w:marTop w:val="0"/>
      <w:marBottom w:val="0"/>
      <w:divBdr>
        <w:top w:val="none" w:sz="0" w:space="0" w:color="auto"/>
        <w:left w:val="none" w:sz="0" w:space="0" w:color="auto"/>
        <w:bottom w:val="none" w:sz="0" w:space="0" w:color="auto"/>
        <w:right w:val="none" w:sz="0" w:space="0" w:color="auto"/>
      </w:divBdr>
    </w:div>
    <w:div w:id="844632288">
      <w:bodyDiv w:val="1"/>
      <w:marLeft w:val="0"/>
      <w:marRight w:val="0"/>
      <w:marTop w:val="0"/>
      <w:marBottom w:val="0"/>
      <w:divBdr>
        <w:top w:val="none" w:sz="0" w:space="0" w:color="auto"/>
        <w:left w:val="none" w:sz="0" w:space="0" w:color="auto"/>
        <w:bottom w:val="none" w:sz="0" w:space="0" w:color="auto"/>
        <w:right w:val="none" w:sz="0" w:space="0" w:color="auto"/>
      </w:divBdr>
    </w:div>
    <w:div w:id="844979244">
      <w:bodyDiv w:val="1"/>
      <w:marLeft w:val="0"/>
      <w:marRight w:val="0"/>
      <w:marTop w:val="0"/>
      <w:marBottom w:val="0"/>
      <w:divBdr>
        <w:top w:val="none" w:sz="0" w:space="0" w:color="auto"/>
        <w:left w:val="none" w:sz="0" w:space="0" w:color="auto"/>
        <w:bottom w:val="none" w:sz="0" w:space="0" w:color="auto"/>
        <w:right w:val="none" w:sz="0" w:space="0" w:color="auto"/>
      </w:divBdr>
    </w:div>
    <w:div w:id="845022708">
      <w:bodyDiv w:val="1"/>
      <w:marLeft w:val="0"/>
      <w:marRight w:val="0"/>
      <w:marTop w:val="0"/>
      <w:marBottom w:val="0"/>
      <w:divBdr>
        <w:top w:val="none" w:sz="0" w:space="0" w:color="auto"/>
        <w:left w:val="none" w:sz="0" w:space="0" w:color="auto"/>
        <w:bottom w:val="none" w:sz="0" w:space="0" w:color="auto"/>
        <w:right w:val="none" w:sz="0" w:space="0" w:color="auto"/>
      </w:divBdr>
    </w:div>
    <w:div w:id="845096954">
      <w:bodyDiv w:val="1"/>
      <w:marLeft w:val="0"/>
      <w:marRight w:val="0"/>
      <w:marTop w:val="0"/>
      <w:marBottom w:val="0"/>
      <w:divBdr>
        <w:top w:val="none" w:sz="0" w:space="0" w:color="auto"/>
        <w:left w:val="none" w:sz="0" w:space="0" w:color="auto"/>
        <w:bottom w:val="none" w:sz="0" w:space="0" w:color="auto"/>
        <w:right w:val="none" w:sz="0" w:space="0" w:color="auto"/>
      </w:divBdr>
    </w:div>
    <w:div w:id="845486604">
      <w:bodyDiv w:val="1"/>
      <w:marLeft w:val="0"/>
      <w:marRight w:val="0"/>
      <w:marTop w:val="0"/>
      <w:marBottom w:val="0"/>
      <w:divBdr>
        <w:top w:val="none" w:sz="0" w:space="0" w:color="auto"/>
        <w:left w:val="none" w:sz="0" w:space="0" w:color="auto"/>
        <w:bottom w:val="none" w:sz="0" w:space="0" w:color="auto"/>
        <w:right w:val="none" w:sz="0" w:space="0" w:color="auto"/>
      </w:divBdr>
    </w:div>
    <w:div w:id="845636133">
      <w:bodyDiv w:val="1"/>
      <w:marLeft w:val="0"/>
      <w:marRight w:val="0"/>
      <w:marTop w:val="0"/>
      <w:marBottom w:val="0"/>
      <w:divBdr>
        <w:top w:val="none" w:sz="0" w:space="0" w:color="auto"/>
        <w:left w:val="none" w:sz="0" w:space="0" w:color="auto"/>
        <w:bottom w:val="none" w:sz="0" w:space="0" w:color="auto"/>
        <w:right w:val="none" w:sz="0" w:space="0" w:color="auto"/>
      </w:divBdr>
    </w:div>
    <w:div w:id="845948832">
      <w:bodyDiv w:val="1"/>
      <w:marLeft w:val="0"/>
      <w:marRight w:val="0"/>
      <w:marTop w:val="0"/>
      <w:marBottom w:val="0"/>
      <w:divBdr>
        <w:top w:val="none" w:sz="0" w:space="0" w:color="auto"/>
        <w:left w:val="none" w:sz="0" w:space="0" w:color="auto"/>
        <w:bottom w:val="none" w:sz="0" w:space="0" w:color="auto"/>
        <w:right w:val="none" w:sz="0" w:space="0" w:color="auto"/>
      </w:divBdr>
    </w:div>
    <w:div w:id="846022224">
      <w:bodyDiv w:val="1"/>
      <w:marLeft w:val="0"/>
      <w:marRight w:val="0"/>
      <w:marTop w:val="0"/>
      <w:marBottom w:val="0"/>
      <w:divBdr>
        <w:top w:val="none" w:sz="0" w:space="0" w:color="auto"/>
        <w:left w:val="none" w:sz="0" w:space="0" w:color="auto"/>
        <w:bottom w:val="none" w:sz="0" w:space="0" w:color="auto"/>
        <w:right w:val="none" w:sz="0" w:space="0" w:color="auto"/>
      </w:divBdr>
    </w:div>
    <w:div w:id="846333103">
      <w:bodyDiv w:val="1"/>
      <w:marLeft w:val="0"/>
      <w:marRight w:val="0"/>
      <w:marTop w:val="0"/>
      <w:marBottom w:val="0"/>
      <w:divBdr>
        <w:top w:val="none" w:sz="0" w:space="0" w:color="auto"/>
        <w:left w:val="none" w:sz="0" w:space="0" w:color="auto"/>
        <w:bottom w:val="none" w:sz="0" w:space="0" w:color="auto"/>
        <w:right w:val="none" w:sz="0" w:space="0" w:color="auto"/>
      </w:divBdr>
    </w:div>
    <w:div w:id="846864668">
      <w:bodyDiv w:val="1"/>
      <w:marLeft w:val="0"/>
      <w:marRight w:val="0"/>
      <w:marTop w:val="0"/>
      <w:marBottom w:val="0"/>
      <w:divBdr>
        <w:top w:val="none" w:sz="0" w:space="0" w:color="auto"/>
        <w:left w:val="none" w:sz="0" w:space="0" w:color="auto"/>
        <w:bottom w:val="none" w:sz="0" w:space="0" w:color="auto"/>
        <w:right w:val="none" w:sz="0" w:space="0" w:color="auto"/>
      </w:divBdr>
    </w:div>
    <w:div w:id="847255243">
      <w:bodyDiv w:val="1"/>
      <w:marLeft w:val="0"/>
      <w:marRight w:val="0"/>
      <w:marTop w:val="0"/>
      <w:marBottom w:val="0"/>
      <w:divBdr>
        <w:top w:val="none" w:sz="0" w:space="0" w:color="auto"/>
        <w:left w:val="none" w:sz="0" w:space="0" w:color="auto"/>
        <w:bottom w:val="none" w:sz="0" w:space="0" w:color="auto"/>
        <w:right w:val="none" w:sz="0" w:space="0" w:color="auto"/>
      </w:divBdr>
    </w:div>
    <w:div w:id="847446828">
      <w:bodyDiv w:val="1"/>
      <w:marLeft w:val="0"/>
      <w:marRight w:val="0"/>
      <w:marTop w:val="0"/>
      <w:marBottom w:val="0"/>
      <w:divBdr>
        <w:top w:val="none" w:sz="0" w:space="0" w:color="auto"/>
        <w:left w:val="none" w:sz="0" w:space="0" w:color="auto"/>
        <w:bottom w:val="none" w:sz="0" w:space="0" w:color="auto"/>
        <w:right w:val="none" w:sz="0" w:space="0" w:color="auto"/>
      </w:divBdr>
    </w:div>
    <w:div w:id="847670650">
      <w:bodyDiv w:val="1"/>
      <w:marLeft w:val="0"/>
      <w:marRight w:val="0"/>
      <w:marTop w:val="0"/>
      <w:marBottom w:val="0"/>
      <w:divBdr>
        <w:top w:val="none" w:sz="0" w:space="0" w:color="auto"/>
        <w:left w:val="none" w:sz="0" w:space="0" w:color="auto"/>
        <w:bottom w:val="none" w:sz="0" w:space="0" w:color="auto"/>
        <w:right w:val="none" w:sz="0" w:space="0" w:color="auto"/>
      </w:divBdr>
    </w:div>
    <w:div w:id="847720455">
      <w:bodyDiv w:val="1"/>
      <w:marLeft w:val="0"/>
      <w:marRight w:val="0"/>
      <w:marTop w:val="0"/>
      <w:marBottom w:val="0"/>
      <w:divBdr>
        <w:top w:val="none" w:sz="0" w:space="0" w:color="auto"/>
        <w:left w:val="none" w:sz="0" w:space="0" w:color="auto"/>
        <w:bottom w:val="none" w:sz="0" w:space="0" w:color="auto"/>
        <w:right w:val="none" w:sz="0" w:space="0" w:color="auto"/>
      </w:divBdr>
    </w:div>
    <w:div w:id="847791860">
      <w:bodyDiv w:val="1"/>
      <w:marLeft w:val="0"/>
      <w:marRight w:val="0"/>
      <w:marTop w:val="0"/>
      <w:marBottom w:val="0"/>
      <w:divBdr>
        <w:top w:val="none" w:sz="0" w:space="0" w:color="auto"/>
        <w:left w:val="none" w:sz="0" w:space="0" w:color="auto"/>
        <w:bottom w:val="none" w:sz="0" w:space="0" w:color="auto"/>
        <w:right w:val="none" w:sz="0" w:space="0" w:color="auto"/>
      </w:divBdr>
    </w:div>
    <w:div w:id="847985405">
      <w:bodyDiv w:val="1"/>
      <w:marLeft w:val="0"/>
      <w:marRight w:val="0"/>
      <w:marTop w:val="0"/>
      <w:marBottom w:val="0"/>
      <w:divBdr>
        <w:top w:val="none" w:sz="0" w:space="0" w:color="auto"/>
        <w:left w:val="none" w:sz="0" w:space="0" w:color="auto"/>
        <w:bottom w:val="none" w:sz="0" w:space="0" w:color="auto"/>
        <w:right w:val="none" w:sz="0" w:space="0" w:color="auto"/>
      </w:divBdr>
    </w:div>
    <w:div w:id="848174186">
      <w:bodyDiv w:val="1"/>
      <w:marLeft w:val="0"/>
      <w:marRight w:val="0"/>
      <w:marTop w:val="0"/>
      <w:marBottom w:val="0"/>
      <w:divBdr>
        <w:top w:val="none" w:sz="0" w:space="0" w:color="auto"/>
        <w:left w:val="none" w:sz="0" w:space="0" w:color="auto"/>
        <w:bottom w:val="none" w:sz="0" w:space="0" w:color="auto"/>
        <w:right w:val="none" w:sz="0" w:space="0" w:color="auto"/>
      </w:divBdr>
    </w:div>
    <w:div w:id="848519353">
      <w:bodyDiv w:val="1"/>
      <w:marLeft w:val="0"/>
      <w:marRight w:val="0"/>
      <w:marTop w:val="0"/>
      <w:marBottom w:val="0"/>
      <w:divBdr>
        <w:top w:val="none" w:sz="0" w:space="0" w:color="auto"/>
        <w:left w:val="none" w:sz="0" w:space="0" w:color="auto"/>
        <w:bottom w:val="none" w:sz="0" w:space="0" w:color="auto"/>
        <w:right w:val="none" w:sz="0" w:space="0" w:color="auto"/>
      </w:divBdr>
    </w:div>
    <w:div w:id="848954973">
      <w:bodyDiv w:val="1"/>
      <w:marLeft w:val="0"/>
      <w:marRight w:val="0"/>
      <w:marTop w:val="0"/>
      <w:marBottom w:val="0"/>
      <w:divBdr>
        <w:top w:val="none" w:sz="0" w:space="0" w:color="auto"/>
        <w:left w:val="none" w:sz="0" w:space="0" w:color="auto"/>
        <w:bottom w:val="none" w:sz="0" w:space="0" w:color="auto"/>
        <w:right w:val="none" w:sz="0" w:space="0" w:color="auto"/>
      </w:divBdr>
    </w:div>
    <w:div w:id="849874283">
      <w:bodyDiv w:val="1"/>
      <w:marLeft w:val="0"/>
      <w:marRight w:val="0"/>
      <w:marTop w:val="0"/>
      <w:marBottom w:val="0"/>
      <w:divBdr>
        <w:top w:val="none" w:sz="0" w:space="0" w:color="auto"/>
        <w:left w:val="none" w:sz="0" w:space="0" w:color="auto"/>
        <w:bottom w:val="none" w:sz="0" w:space="0" w:color="auto"/>
        <w:right w:val="none" w:sz="0" w:space="0" w:color="auto"/>
      </w:divBdr>
    </w:div>
    <w:div w:id="849950731">
      <w:bodyDiv w:val="1"/>
      <w:marLeft w:val="0"/>
      <w:marRight w:val="0"/>
      <w:marTop w:val="0"/>
      <w:marBottom w:val="0"/>
      <w:divBdr>
        <w:top w:val="none" w:sz="0" w:space="0" w:color="auto"/>
        <w:left w:val="none" w:sz="0" w:space="0" w:color="auto"/>
        <w:bottom w:val="none" w:sz="0" w:space="0" w:color="auto"/>
        <w:right w:val="none" w:sz="0" w:space="0" w:color="auto"/>
      </w:divBdr>
    </w:div>
    <w:div w:id="850029190">
      <w:bodyDiv w:val="1"/>
      <w:marLeft w:val="0"/>
      <w:marRight w:val="0"/>
      <w:marTop w:val="0"/>
      <w:marBottom w:val="0"/>
      <w:divBdr>
        <w:top w:val="none" w:sz="0" w:space="0" w:color="auto"/>
        <w:left w:val="none" w:sz="0" w:space="0" w:color="auto"/>
        <w:bottom w:val="none" w:sz="0" w:space="0" w:color="auto"/>
        <w:right w:val="none" w:sz="0" w:space="0" w:color="auto"/>
      </w:divBdr>
    </w:div>
    <w:div w:id="850142883">
      <w:bodyDiv w:val="1"/>
      <w:marLeft w:val="0"/>
      <w:marRight w:val="0"/>
      <w:marTop w:val="0"/>
      <w:marBottom w:val="0"/>
      <w:divBdr>
        <w:top w:val="none" w:sz="0" w:space="0" w:color="auto"/>
        <w:left w:val="none" w:sz="0" w:space="0" w:color="auto"/>
        <w:bottom w:val="none" w:sz="0" w:space="0" w:color="auto"/>
        <w:right w:val="none" w:sz="0" w:space="0" w:color="auto"/>
      </w:divBdr>
    </w:div>
    <w:div w:id="850532313">
      <w:bodyDiv w:val="1"/>
      <w:marLeft w:val="0"/>
      <w:marRight w:val="0"/>
      <w:marTop w:val="0"/>
      <w:marBottom w:val="0"/>
      <w:divBdr>
        <w:top w:val="none" w:sz="0" w:space="0" w:color="auto"/>
        <w:left w:val="none" w:sz="0" w:space="0" w:color="auto"/>
        <w:bottom w:val="none" w:sz="0" w:space="0" w:color="auto"/>
        <w:right w:val="none" w:sz="0" w:space="0" w:color="auto"/>
      </w:divBdr>
    </w:div>
    <w:div w:id="850871650">
      <w:bodyDiv w:val="1"/>
      <w:marLeft w:val="0"/>
      <w:marRight w:val="0"/>
      <w:marTop w:val="0"/>
      <w:marBottom w:val="0"/>
      <w:divBdr>
        <w:top w:val="none" w:sz="0" w:space="0" w:color="auto"/>
        <w:left w:val="none" w:sz="0" w:space="0" w:color="auto"/>
        <w:bottom w:val="none" w:sz="0" w:space="0" w:color="auto"/>
        <w:right w:val="none" w:sz="0" w:space="0" w:color="auto"/>
      </w:divBdr>
    </w:div>
    <w:div w:id="850874779">
      <w:bodyDiv w:val="1"/>
      <w:marLeft w:val="0"/>
      <w:marRight w:val="0"/>
      <w:marTop w:val="0"/>
      <w:marBottom w:val="0"/>
      <w:divBdr>
        <w:top w:val="none" w:sz="0" w:space="0" w:color="auto"/>
        <w:left w:val="none" w:sz="0" w:space="0" w:color="auto"/>
        <w:bottom w:val="none" w:sz="0" w:space="0" w:color="auto"/>
        <w:right w:val="none" w:sz="0" w:space="0" w:color="auto"/>
      </w:divBdr>
    </w:div>
    <w:div w:id="850922641">
      <w:bodyDiv w:val="1"/>
      <w:marLeft w:val="0"/>
      <w:marRight w:val="0"/>
      <w:marTop w:val="0"/>
      <w:marBottom w:val="0"/>
      <w:divBdr>
        <w:top w:val="none" w:sz="0" w:space="0" w:color="auto"/>
        <w:left w:val="none" w:sz="0" w:space="0" w:color="auto"/>
        <w:bottom w:val="none" w:sz="0" w:space="0" w:color="auto"/>
        <w:right w:val="none" w:sz="0" w:space="0" w:color="auto"/>
      </w:divBdr>
    </w:div>
    <w:div w:id="850990048">
      <w:bodyDiv w:val="1"/>
      <w:marLeft w:val="0"/>
      <w:marRight w:val="0"/>
      <w:marTop w:val="0"/>
      <w:marBottom w:val="0"/>
      <w:divBdr>
        <w:top w:val="none" w:sz="0" w:space="0" w:color="auto"/>
        <w:left w:val="none" w:sz="0" w:space="0" w:color="auto"/>
        <w:bottom w:val="none" w:sz="0" w:space="0" w:color="auto"/>
        <w:right w:val="none" w:sz="0" w:space="0" w:color="auto"/>
      </w:divBdr>
    </w:div>
    <w:div w:id="851650673">
      <w:bodyDiv w:val="1"/>
      <w:marLeft w:val="0"/>
      <w:marRight w:val="0"/>
      <w:marTop w:val="0"/>
      <w:marBottom w:val="0"/>
      <w:divBdr>
        <w:top w:val="none" w:sz="0" w:space="0" w:color="auto"/>
        <w:left w:val="none" w:sz="0" w:space="0" w:color="auto"/>
        <w:bottom w:val="none" w:sz="0" w:space="0" w:color="auto"/>
        <w:right w:val="none" w:sz="0" w:space="0" w:color="auto"/>
      </w:divBdr>
    </w:div>
    <w:div w:id="851722212">
      <w:bodyDiv w:val="1"/>
      <w:marLeft w:val="0"/>
      <w:marRight w:val="0"/>
      <w:marTop w:val="0"/>
      <w:marBottom w:val="0"/>
      <w:divBdr>
        <w:top w:val="none" w:sz="0" w:space="0" w:color="auto"/>
        <w:left w:val="none" w:sz="0" w:space="0" w:color="auto"/>
        <w:bottom w:val="none" w:sz="0" w:space="0" w:color="auto"/>
        <w:right w:val="none" w:sz="0" w:space="0" w:color="auto"/>
      </w:divBdr>
    </w:div>
    <w:div w:id="851794398">
      <w:bodyDiv w:val="1"/>
      <w:marLeft w:val="0"/>
      <w:marRight w:val="0"/>
      <w:marTop w:val="0"/>
      <w:marBottom w:val="0"/>
      <w:divBdr>
        <w:top w:val="none" w:sz="0" w:space="0" w:color="auto"/>
        <w:left w:val="none" w:sz="0" w:space="0" w:color="auto"/>
        <w:bottom w:val="none" w:sz="0" w:space="0" w:color="auto"/>
        <w:right w:val="none" w:sz="0" w:space="0" w:color="auto"/>
      </w:divBdr>
    </w:div>
    <w:div w:id="852037851">
      <w:bodyDiv w:val="1"/>
      <w:marLeft w:val="0"/>
      <w:marRight w:val="0"/>
      <w:marTop w:val="0"/>
      <w:marBottom w:val="0"/>
      <w:divBdr>
        <w:top w:val="none" w:sz="0" w:space="0" w:color="auto"/>
        <w:left w:val="none" w:sz="0" w:space="0" w:color="auto"/>
        <w:bottom w:val="none" w:sz="0" w:space="0" w:color="auto"/>
        <w:right w:val="none" w:sz="0" w:space="0" w:color="auto"/>
      </w:divBdr>
    </w:div>
    <w:div w:id="852841661">
      <w:bodyDiv w:val="1"/>
      <w:marLeft w:val="0"/>
      <w:marRight w:val="0"/>
      <w:marTop w:val="0"/>
      <w:marBottom w:val="0"/>
      <w:divBdr>
        <w:top w:val="none" w:sz="0" w:space="0" w:color="auto"/>
        <w:left w:val="none" w:sz="0" w:space="0" w:color="auto"/>
        <w:bottom w:val="none" w:sz="0" w:space="0" w:color="auto"/>
        <w:right w:val="none" w:sz="0" w:space="0" w:color="auto"/>
      </w:divBdr>
    </w:div>
    <w:div w:id="853037131">
      <w:bodyDiv w:val="1"/>
      <w:marLeft w:val="0"/>
      <w:marRight w:val="0"/>
      <w:marTop w:val="0"/>
      <w:marBottom w:val="0"/>
      <w:divBdr>
        <w:top w:val="none" w:sz="0" w:space="0" w:color="auto"/>
        <w:left w:val="none" w:sz="0" w:space="0" w:color="auto"/>
        <w:bottom w:val="none" w:sz="0" w:space="0" w:color="auto"/>
        <w:right w:val="none" w:sz="0" w:space="0" w:color="auto"/>
      </w:divBdr>
    </w:div>
    <w:div w:id="853228016">
      <w:bodyDiv w:val="1"/>
      <w:marLeft w:val="0"/>
      <w:marRight w:val="0"/>
      <w:marTop w:val="0"/>
      <w:marBottom w:val="0"/>
      <w:divBdr>
        <w:top w:val="none" w:sz="0" w:space="0" w:color="auto"/>
        <w:left w:val="none" w:sz="0" w:space="0" w:color="auto"/>
        <w:bottom w:val="none" w:sz="0" w:space="0" w:color="auto"/>
        <w:right w:val="none" w:sz="0" w:space="0" w:color="auto"/>
      </w:divBdr>
    </w:div>
    <w:div w:id="853616856">
      <w:bodyDiv w:val="1"/>
      <w:marLeft w:val="0"/>
      <w:marRight w:val="0"/>
      <w:marTop w:val="0"/>
      <w:marBottom w:val="0"/>
      <w:divBdr>
        <w:top w:val="none" w:sz="0" w:space="0" w:color="auto"/>
        <w:left w:val="none" w:sz="0" w:space="0" w:color="auto"/>
        <w:bottom w:val="none" w:sz="0" w:space="0" w:color="auto"/>
        <w:right w:val="none" w:sz="0" w:space="0" w:color="auto"/>
      </w:divBdr>
    </w:div>
    <w:div w:id="853881933">
      <w:bodyDiv w:val="1"/>
      <w:marLeft w:val="0"/>
      <w:marRight w:val="0"/>
      <w:marTop w:val="0"/>
      <w:marBottom w:val="0"/>
      <w:divBdr>
        <w:top w:val="none" w:sz="0" w:space="0" w:color="auto"/>
        <w:left w:val="none" w:sz="0" w:space="0" w:color="auto"/>
        <w:bottom w:val="none" w:sz="0" w:space="0" w:color="auto"/>
        <w:right w:val="none" w:sz="0" w:space="0" w:color="auto"/>
      </w:divBdr>
    </w:div>
    <w:div w:id="854072175">
      <w:bodyDiv w:val="1"/>
      <w:marLeft w:val="0"/>
      <w:marRight w:val="0"/>
      <w:marTop w:val="0"/>
      <w:marBottom w:val="0"/>
      <w:divBdr>
        <w:top w:val="none" w:sz="0" w:space="0" w:color="auto"/>
        <w:left w:val="none" w:sz="0" w:space="0" w:color="auto"/>
        <w:bottom w:val="none" w:sz="0" w:space="0" w:color="auto"/>
        <w:right w:val="none" w:sz="0" w:space="0" w:color="auto"/>
      </w:divBdr>
    </w:div>
    <w:div w:id="854197935">
      <w:bodyDiv w:val="1"/>
      <w:marLeft w:val="0"/>
      <w:marRight w:val="0"/>
      <w:marTop w:val="0"/>
      <w:marBottom w:val="0"/>
      <w:divBdr>
        <w:top w:val="none" w:sz="0" w:space="0" w:color="auto"/>
        <w:left w:val="none" w:sz="0" w:space="0" w:color="auto"/>
        <w:bottom w:val="none" w:sz="0" w:space="0" w:color="auto"/>
        <w:right w:val="none" w:sz="0" w:space="0" w:color="auto"/>
      </w:divBdr>
    </w:div>
    <w:div w:id="854269595">
      <w:bodyDiv w:val="1"/>
      <w:marLeft w:val="0"/>
      <w:marRight w:val="0"/>
      <w:marTop w:val="0"/>
      <w:marBottom w:val="0"/>
      <w:divBdr>
        <w:top w:val="none" w:sz="0" w:space="0" w:color="auto"/>
        <w:left w:val="none" w:sz="0" w:space="0" w:color="auto"/>
        <w:bottom w:val="none" w:sz="0" w:space="0" w:color="auto"/>
        <w:right w:val="none" w:sz="0" w:space="0" w:color="auto"/>
      </w:divBdr>
    </w:div>
    <w:div w:id="854538438">
      <w:bodyDiv w:val="1"/>
      <w:marLeft w:val="0"/>
      <w:marRight w:val="0"/>
      <w:marTop w:val="0"/>
      <w:marBottom w:val="0"/>
      <w:divBdr>
        <w:top w:val="none" w:sz="0" w:space="0" w:color="auto"/>
        <w:left w:val="none" w:sz="0" w:space="0" w:color="auto"/>
        <w:bottom w:val="none" w:sz="0" w:space="0" w:color="auto"/>
        <w:right w:val="none" w:sz="0" w:space="0" w:color="auto"/>
      </w:divBdr>
    </w:div>
    <w:div w:id="854922856">
      <w:bodyDiv w:val="1"/>
      <w:marLeft w:val="0"/>
      <w:marRight w:val="0"/>
      <w:marTop w:val="0"/>
      <w:marBottom w:val="0"/>
      <w:divBdr>
        <w:top w:val="none" w:sz="0" w:space="0" w:color="auto"/>
        <w:left w:val="none" w:sz="0" w:space="0" w:color="auto"/>
        <w:bottom w:val="none" w:sz="0" w:space="0" w:color="auto"/>
        <w:right w:val="none" w:sz="0" w:space="0" w:color="auto"/>
      </w:divBdr>
    </w:div>
    <w:div w:id="855460307">
      <w:bodyDiv w:val="1"/>
      <w:marLeft w:val="0"/>
      <w:marRight w:val="0"/>
      <w:marTop w:val="0"/>
      <w:marBottom w:val="0"/>
      <w:divBdr>
        <w:top w:val="none" w:sz="0" w:space="0" w:color="auto"/>
        <w:left w:val="none" w:sz="0" w:space="0" w:color="auto"/>
        <w:bottom w:val="none" w:sz="0" w:space="0" w:color="auto"/>
        <w:right w:val="none" w:sz="0" w:space="0" w:color="auto"/>
      </w:divBdr>
    </w:div>
    <w:div w:id="855845151">
      <w:bodyDiv w:val="1"/>
      <w:marLeft w:val="0"/>
      <w:marRight w:val="0"/>
      <w:marTop w:val="0"/>
      <w:marBottom w:val="0"/>
      <w:divBdr>
        <w:top w:val="none" w:sz="0" w:space="0" w:color="auto"/>
        <w:left w:val="none" w:sz="0" w:space="0" w:color="auto"/>
        <w:bottom w:val="none" w:sz="0" w:space="0" w:color="auto"/>
        <w:right w:val="none" w:sz="0" w:space="0" w:color="auto"/>
      </w:divBdr>
    </w:div>
    <w:div w:id="855922198">
      <w:bodyDiv w:val="1"/>
      <w:marLeft w:val="0"/>
      <w:marRight w:val="0"/>
      <w:marTop w:val="0"/>
      <w:marBottom w:val="0"/>
      <w:divBdr>
        <w:top w:val="none" w:sz="0" w:space="0" w:color="auto"/>
        <w:left w:val="none" w:sz="0" w:space="0" w:color="auto"/>
        <w:bottom w:val="none" w:sz="0" w:space="0" w:color="auto"/>
        <w:right w:val="none" w:sz="0" w:space="0" w:color="auto"/>
      </w:divBdr>
    </w:div>
    <w:div w:id="856774843">
      <w:bodyDiv w:val="1"/>
      <w:marLeft w:val="0"/>
      <w:marRight w:val="0"/>
      <w:marTop w:val="0"/>
      <w:marBottom w:val="0"/>
      <w:divBdr>
        <w:top w:val="none" w:sz="0" w:space="0" w:color="auto"/>
        <w:left w:val="none" w:sz="0" w:space="0" w:color="auto"/>
        <w:bottom w:val="none" w:sz="0" w:space="0" w:color="auto"/>
        <w:right w:val="none" w:sz="0" w:space="0" w:color="auto"/>
      </w:divBdr>
    </w:div>
    <w:div w:id="856846183">
      <w:bodyDiv w:val="1"/>
      <w:marLeft w:val="0"/>
      <w:marRight w:val="0"/>
      <w:marTop w:val="0"/>
      <w:marBottom w:val="0"/>
      <w:divBdr>
        <w:top w:val="none" w:sz="0" w:space="0" w:color="auto"/>
        <w:left w:val="none" w:sz="0" w:space="0" w:color="auto"/>
        <w:bottom w:val="none" w:sz="0" w:space="0" w:color="auto"/>
        <w:right w:val="none" w:sz="0" w:space="0" w:color="auto"/>
      </w:divBdr>
    </w:div>
    <w:div w:id="856894160">
      <w:bodyDiv w:val="1"/>
      <w:marLeft w:val="0"/>
      <w:marRight w:val="0"/>
      <w:marTop w:val="0"/>
      <w:marBottom w:val="0"/>
      <w:divBdr>
        <w:top w:val="none" w:sz="0" w:space="0" w:color="auto"/>
        <w:left w:val="none" w:sz="0" w:space="0" w:color="auto"/>
        <w:bottom w:val="none" w:sz="0" w:space="0" w:color="auto"/>
        <w:right w:val="none" w:sz="0" w:space="0" w:color="auto"/>
      </w:divBdr>
    </w:div>
    <w:div w:id="857082513">
      <w:bodyDiv w:val="1"/>
      <w:marLeft w:val="0"/>
      <w:marRight w:val="0"/>
      <w:marTop w:val="0"/>
      <w:marBottom w:val="0"/>
      <w:divBdr>
        <w:top w:val="none" w:sz="0" w:space="0" w:color="auto"/>
        <w:left w:val="none" w:sz="0" w:space="0" w:color="auto"/>
        <w:bottom w:val="none" w:sz="0" w:space="0" w:color="auto"/>
        <w:right w:val="none" w:sz="0" w:space="0" w:color="auto"/>
      </w:divBdr>
    </w:div>
    <w:div w:id="857424907">
      <w:bodyDiv w:val="1"/>
      <w:marLeft w:val="0"/>
      <w:marRight w:val="0"/>
      <w:marTop w:val="0"/>
      <w:marBottom w:val="0"/>
      <w:divBdr>
        <w:top w:val="none" w:sz="0" w:space="0" w:color="auto"/>
        <w:left w:val="none" w:sz="0" w:space="0" w:color="auto"/>
        <w:bottom w:val="none" w:sz="0" w:space="0" w:color="auto"/>
        <w:right w:val="none" w:sz="0" w:space="0" w:color="auto"/>
      </w:divBdr>
    </w:div>
    <w:div w:id="857429201">
      <w:bodyDiv w:val="1"/>
      <w:marLeft w:val="0"/>
      <w:marRight w:val="0"/>
      <w:marTop w:val="0"/>
      <w:marBottom w:val="0"/>
      <w:divBdr>
        <w:top w:val="none" w:sz="0" w:space="0" w:color="auto"/>
        <w:left w:val="none" w:sz="0" w:space="0" w:color="auto"/>
        <w:bottom w:val="none" w:sz="0" w:space="0" w:color="auto"/>
        <w:right w:val="none" w:sz="0" w:space="0" w:color="auto"/>
      </w:divBdr>
    </w:div>
    <w:div w:id="857695613">
      <w:bodyDiv w:val="1"/>
      <w:marLeft w:val="0"/>
      <w:marRight w:val="0"/>
      <w:marTop w:val="0"/>
      <w:marBottom w:val="0"/>
      <w:divBdr>
        <w:top w:val="none" w:sz="0" w:space="0" w:color="auto"/>
        <w:left w:val="none" w:sz="0" w:space="0" w:color="auto"/>
        <w:bottom w:val="none" w:sz="0" w:space="0" w:color="auto"/>
        <w:right w:val="none" w:sz="0" w:space="0" w:color="auto"/>
      </w:divBdr>
    </w:div>
    <w:div w:id="858005254">
      <w:bodyDiv w:val="1"/>
      <w:marLeft w:val="0"/>
      <w:marRight w:val="0"/>
      <w:marTop w:val="0"/>
      <w:marBottom w:val="0"/>
      <w:divBdr>
        <w:top w:val="none" w:sz="0" w:space="0" w:color="auto"/>
        <w:left w:val="none" w:sz="0" w:space="0" w:color="auto"/>
        <w:bottom w:val="none" w:sz="0" w:space="0" w:color="auto"/>
        <w:right w:val="none" w:sz="0" w:space="0" w:color="auto"/>
      </w:divBdr>
    </w:div>
    <w:div w:id="858274691">
      <w:bodyDiv w:val="1"/>
      <w:marLeft w:val="0"/>
      <w:marRight w:val="0"/>
      <w:marTop w:val="0"/>
      <w:marBottom w:val="0"/>
      <w:divBdr>
        <w:top w:val="none" w:sz="0" w:space="0" w:color="auto"/>
        <w:left w:val="none" w:sz="0" w:space="0" w:color="auto"/>
        <w:bottom w:val="none" w:sz="0" w:space="0" w:color="auto"/>
        <w:right w:val="none" w:sz="0" w:space="0" w:color="auto"/>
      </w:divBdr>
    </w:div>
    <w:div w:id="858352023">
      <w:bodyDiv w:val="1"/>
      <w:marLeft w:val="0"/>
      <w:marRight w:val="0"/>
      <w:marTop w:val="0"/>
      <w:marBottom w:val="0"/>
      <w:divBdr>
        <w:top w:val="none" w:sz="0" w:space="0" w:color="auto"/>
        <w:left w:val="none" w:sz="0" w:space="0" w:color="auto"/>
        <w:bottom w:val="none" w:sz="0" w:space="0" w:color="auto"/>
        <w:right w:val="none" w:sz="0" w:space="0" w:color="auto"/>
      </w:divBdr>
    </w:div>
    <w:div w:id="858474542">
      <w:bodyDiv w:val="1"/>
      <w:marLeft w:val="0"/>
      <w:marRight w:val="0"/>
      <w:marTop w:val="0"/>
      <w:marBottom w:val="0"/>
      <w:divBdr>
        <w:top w:val="none" w:sz="0" w:space="0" w:color="auto"/>
        <w:left w:val="none" w:sz="0" w:space="0" w:color="auto"/>
        <w:bottom w:val="none" w:sz="0" w:space="0" w:color="auto"/>
        <w:right w:val="none" w:sz="0" w:space="0" w:color="auto"/>
      </w:divBdr>
    </w:div>
    <w:div w:id="858588008">
      <w:bodyDiv w:val="1"/>
      <w:marLeft w:val="0"/>
      <w:marRight w:val="0"/>
      <w:marTop w:val="0"/>
      <w:marBottom w:val="0"/>
      <w:divBdr>
        <w:top w:val="none" w:sz="0" w:space="0" w:color="auto"/>
        <w:left w:val="none" w:sz="0" w:space="0" w:color="auto"/>
        <w:bottom w:val="none" w:sz="0" w:space="0" w:color="auto"/>
        <w:right w:val="none" w:sz="0" w:space="0" w:color="auto"/>
      </w:divBdr>
    </w:div>
    <w:div w:id="858619808">
      <w:bodyDiv w:val="1"/>
      <w:marLeft w:val="0"/>
      <w:marRight w:val="0"/>
      <w:marTop w:val="0"/>
      <w:marBottom w:val="0"/>
      <w:divBdr>
        <w:top w:val="none" w:sz="0" w:space="0" w:color="auto"/>
        <w:left w:val="none" w:sz="0" w:space="0" w:color="auto"/>
        <w:bottom w:val="none" w:sz="0" w:space="0" w:color="auto"/>
        <w:right w:val="none" w:sz="0" w:space="0" w:color="auto"/>
      </w:divBdr>
    </w:div>
    <w:div w:id="859466735">
      <w:bodyDiv w:val="1"/>
      <w:marLeft w:val="0"/>
      <w:marRight w:val="0"/>
      <w:marTop w:val="0"/>
      <w:marBottom w:val="0"/>
      <w:divBdr>
        <w:top w:val="none" w:sz="0" w:space="0" w:color="auto"/>
        <w:left w:val="none" w:sz="0" w:space="0" w:color="auto"/>
        <w:bottom w:val="none" w:sz="0" w:space="0" w:color="auto"/>
        <w:right w:val="none" w:sz="0" w:space="0" w:color="auto"/>
      </w:divBdr>
    </w:div>
    <w:div w:id="860094673">
      <w:bodyDiv w:val="1"/>
      <w:marLeft w:val="0"/>
      <w:marRight w:val="0"/>
      <w:marTop w:val="0"/>
      <w:marBottom w:val="0"/>
      <w:divBdr>
        <w:top w:val="none" w:sz="0" w:space="0" w:color="auto"/>
        <w:left w:val="none" w:sz="0" w:space="0" w:color="auto"/>
        <w:bottom w:val="none" w:sz="0" w:space="0" w:color="auto"/>
        <w:right w:val="none" w:sz="0" w:space="0" w:color="auto"/>
      </w:divBdr>
    </w:div>
    <w:div w:id="860555703">
      <w:bodyDiv w:val="1"/>
      <w:marLeft w:val="0"/>
      <w:marRight w:val="0"/>
      <w:marTop w:val="0"/>
      <w:marBottom w:val="0"/>
      <w:divBdr>
        <w:top w:val="none" w:sz="0" w:space="0" w:color="auto"/>
        <w:left w:val="none" w:sz="0" w:space="0" w:color="auto"/>
        <w:bottom w:val="none" w:sz="0" w:space="0" w:color="auto"/>
        <w:right w:val="none" w:sz="0" w:space="0" w:color="auto"/>
      </w:divBdr>
    </w:div>
    <w:div w:id="861282695">
      <w:bodyDiv w:val="1"/>
      <w:marLeft w:val="0"/>
      <w:marRight w:val="0"/>
      <w:marTop w:val="0"/>
      <w:marBottom w:val="0"/>
      <w:divBdr>
        <w:top w:val="none" w:sz="0" w:space="0" w:color="auto"/>
        <w:left w:val="none" w:sz="0" w:space="0" w:color="auto"/>
        <w:bottom w:val="none" w:sz="0" w:space="0" w:color="auto"/>
        <w:right w:val="none" w:sz="0" w:space="0" w:color="auto"/>
      </w:divBdr>
    </w:div>
    <w:div w:id="861868417">
      <w:bodyDiv w:val="1"/>
      <w:marLeft w:val="0"/>
      <w:marRight w:val="0"/>
      <w:marTop w:val="0"/>
      <w:marBottom w:val="0"/>
      <w:divBdr>
        <w:top w:val="none" w:sz="0" w:space="0" w:color="auto"/>
        <w:left w:val="none" w:sz="0" w:space="0" w:color="auto"/>
        <w:bottom w:val="none" w:sz="0" w:space="0" w:color="auto"/>
        <w:right w:val="none" w:sz="0" w:space="0" w:color="auto"/>
      </w:divBdr>
    </w:div>
    <w:div w:id="862015757">
      <w:bodyDiv w:val="1"/>
      <w:marLeft w:val="0"/>
      <w:marRight w:val="0"/>
      <w:marTop w:val="0"/>
      <w:marBottom w:val="0"/>
      <w:divBdr>
        <w:top w:val="none" w:sz="0" w:space="0" w:color="auto"/>
        <w:left w:val="none" w:sz="0" w:space="0" w:color="auto"/>
        <w:bottom w:val="none" w:sz="0" w:space="0" w:color="auto"/>
        <w:right w:val="none" w:sz="0" w:space="0" w:color="auto"/>
      </w:divBdr>
    </w:div>
    <w:div w:id="862743001">
      <w:bodyDiv w:val="1"/>
      <w:marLeft w:val="0"/>
      <w:marRight w:val="0"/>
      <w:marTop w:val="0"/>
      <w:marBottom w:val="0"/>
      <w:divBdr>
        <w:top w:val="none" w:sz="0" w:space="0" w:color="auto"/>
        <w:left w:val="none" w:sz="0" w:space="0" w:color="auto"/>
        <w:bottom w:val="none" w:sz="0" w:space="0" w:color="auto"/>
        <w:right w:val="none" w:sz="0" w:space="0" w:color="auto"/>
      </w:divBdr>
    </w:div>
    <w:div w:id="863128905">
      <w:bodyDiv w:val="1"/>
      <w:marLeft w:val="0"/>
      <w:marRight w:val="0"/>
      <w:marTop w:val="0"/>
      <w:marBottom w:val="0"/>
      <w:divBdr>
        <w:top w:val="none" w:sz="0" w:space="0" w:color="auto"/>
        <w:left w:val="none" w:sz="0" w:space="0" w:color="auto"/>
        <w:bottom w:val="none" w:sz="0" w:space="0" w:color="auto"/>
        <w:right w:val="none" w:sz="0" w:space="0" w:color="auto"/>
      </w:divBdr>
    </w:div>
    <w:div w:id="863522189">
      <w:bodyDiv w:val="1"/>
      <w:marLeft w:val="0"/>
      <w:marRight w:val="0"/>
      <w:marTop w:val="0"/>
      <w:marBottom w:val="0"/>
      <w:divBdr>
        <w:top w:val="none" w:sz="0" w:space="0" w:color="auto"/>
        <w:left w:val="none" w:sz="0" w:space="0" w:color="auto"/>
        <w:bottom w:val="none" w:sz="0" w:space="0" w:color="auto"/>
        <w:right w:val="none" w:sz="0" w:space="0" w:color="auto"/>
      </w:divBdr>
    </w:div>
    <w:div w:id="863710128">
      <w:bodyDiv w:val="1"/>
      <w:marLeft w:val="0"/>
      <w:marRight w:val="0"/>
      <w:marTop w:val="0"/>
      <w:marBottom w:val="0"/>
      <w:divBdr>
        <w:top w:val="none" w:sz="0" w:space="0" w:color="auto"/>
        <w:left w:val="none" w:sz="0" w:space="0" w:color="auto"/>
        <w:bottom w:val="none" w:sz="0" w:space="0" w:color="auto"/>
        <w:right w:val="none" w:sz="0" w:space="0" w:color="auto"/>
      </w:divBdr>
    </w:div>
    <w:div w:id="863984749">
      <w:bodyDiv w:val="1"/>
      <w:marLeft w:val="0"/>
      <w:marRight w:val="0"/>
      <w:marTop w:val="0"/>
      <w:marBottom w:val="0"/>
      <w:divBdr>
        <w:top w:val="none" w:sz="0" w:space="0" w:color="auto"/>
        <w:left w:val="none" w:sz="0" w:space="0" w:color="auto"/>
        <w:bottom w:val="none" w:sz="0" w:space="0" w:color="auto"/>
        <w:right w:val="none" w:sz="0" w:space="0" w:color="auto"/>
      </w:divBdr>
    </w:div>
    <w:div w:id="864294372">
      <w:bodyDiv w:val="1"/>
      <w:marLeft w:val="0"/>
      <w:marRight w:val="0"/>
      <w:marTop w:val="0"/>
      <w:marBottom w:val="0"/>
      <w:divBdr>
        <w:top w:val="none" w:sz="0" w:space="0" w:color="auto"/>
        <w:left w:val="none" w:sz="0" w:space="0" w:color="auto"/>
        <w:bottom w:val="none" w:sz="0" w:space="0" w:color="auto"/>
        <w:right w:val="none" w:sz="0" w:space="0" w:color="auto"/>
      </w:divBdr>
    </w:div>
    <w:div w:id="864710084">
      <w:bodyDiv w:val="1"/>
      <w:marLeft w:val="0"/>
      <w:marRight w:val="0"/>
      <w:marTop w:val="0"/>
      <w:marBottom w:val="0"/>
      <w:divBdr>
        <w:top w:val="none" w:sz="0" w:space="0" w:color="auto"/>
        <w:left w:val="none" w:sz="0" w:space="0" w:color="auto"/>
        <w:bottom w:val="none" w:sz="0" w:space="0" w:color="auto"/>
        <w:right w:val="none" w:sz="0" w:space="0" w:color="auto"/>
      </w:divBdr>
    </w:div>
    <w:div w:id="865019327">
      <w:bodyDiv w:val="1"/>
      <w:marLeft w:val="0"/>
      <w:marRight w:val="0"/>
      <w:marTop w:val="0"/>
      <w:marBottom w:val="0"/>
      <w:divBdr>
        <w:top w:val="none" w:sz="0" w:space="0" w:color="auto"/>
        <w:left w:val="none" w:sz="0" w:space="0" w:color="auto"/>
        <w:bottom w:val="none" w:sz="0" w:space="0" w:color="auto"/>
        <w:right w:val="none" w:sz="0" w:space="0" w:color="auto"/>
      </w:divBdr>
    </w:div>
    <w:div w:id="865096089">
      <w:bodyDiv w:val="1"/>
      <w:marLeft w:val="0"/>
      <w:marRight w:val="0"/>
      <w:marTop w:val="0"/>
      <w:marBottom w:val="0"/>
      <w:divBdr>
        <w:top w:val="none" w:sz="0" w:space="0" w:color="auto"/>
        <w:left w:val="none" w:sz="0" w:space="0" w:color="auto"/>
        <w:bottom w:val="none" w:sz="0" w:space="0" w:color="auto"/>
        <w:right w:val="none" w:sz="0" w:space="0" w:color="auto"/>
      </w:divBdr>
    </w:div>
    <w:div w:id="865486815">
      <w:bodyDiv w:val="1"/>
      <w:marLeft w:val="0"/>
      <w:marRight w:val="0"/>
      <w:marTop w:val="0"/>
      <w:marBottom w:val="0"/>
      <w:divBdr>
        <w:top w:val="none" w:sz="0" w:space="0" w:color="auto"/>
        <w:left w:val="none" w:sz="0" w:space="0" w:color="auto"/>
        <w:bottom w:val="none" w:sz="0" w:space="0" w:color="auto"/>
        <w:right w:val="none" w:sz="0" w:space="0" w:color="auto"/>
      </w:divBdr>
    </w:div>
    <w:div w:id="865828257">
      <w:bodyDiv w:val="1"/>
      <w:marLeft w:val="0"/>
      <w:marRight w:val="0"/>
      <w:marTop w:val="0"/>
      <w:marBottom w:val="0"/>
      <w:divBdr>
        <w:top w:val="none" w:sz="0" w:space="0" w:color="auto"/>
        <w:left w:val="none" w:sz="0" w:space="0" w:color="auto"/>
        <w:bottom w:val="none" w:sz="0" w:space="0" w:color="auto"/>
        <w:right w:val="none" w:sz="0" w:space="0" w:color="auto"/>
      </w:divBdr>
    </w:div>
    <w:div w:id="866068746">
      <w:bodyDiv w:val="1"/>
      <w:marLeft w:val="0"/>
      <w:marRight w:val="0"/>
      <w:marTop w:val="0"/>
      <w:marBottom w:val="0"/>
      <w:divBdr>
        <w:top w:val="none" w:sz="0" w:space="0" w:color="auto"/>
        <w:left w:val="none" w:sz="0" w:space="0" w:color="auto"/>
        <w:bottom w:val="none" w:sz="0" w:space="0" w:color="auto"/>
        <w:right w:val="none" w:sz="0" w:space="0" w:color="auto"/>
      </w:divBdr>
    </w:div>
    <w:div w:id="866791819">
      <w:bodyDiv w:val="1"/>
      <w:marLeft w:val="0"/>
      <w:marRight w:val="0"/>
      <w:marTop w:val="0"/>
      <w:marBottom w:val="0"/>
      <w:divBdr>
        <w:top w:val="none" w:sz="0" w:space="0" w:color="auto"/>
        <w:left w:val="none" w:sz="0" w:space="0" w:color="auto"/>
        <w:bottom w:val="none" w:sz="0" w:space="0" w:color="auto"/>
        <w:right w:val="none" w:sz="0" w:space="0" w:color="auto"/>
      </w:divBdr>
    </w:div>
    <w:div w:id="866867242">
      <w:bodyDiv w:val="1"/>
      <w:marLeft w:val="0"/>
      <w:marRight w:val="0"/>
      <w:marTop w:val="0"/>
      <w:marBottom w:val="0"/>
      <w:divBdr>
        <w:top w:val="none" w:sz="0" w:space="0" w:color="auto"/>
        <w:left w:val="none" w:sz="0" w:space="0" w:color="auto"/>
        <w:bottom w:val="none" w:sz="0" w:space="0" w:color="auto"/>
        <w:right w:val="none" w:sz="0" w:space="0" w:color="auto"/>
      </w:divBdr>
    </w:div>
    <w:div w:id="866910391">
      <w:bodyDiv w:val="1"/>
      <w:marLeft w:val="0"/>
      <w:marRight w:val="0"/>
      <w:marTop w:val="0"/>
      <w:marBottom w:val="0"/>
      <w:divBdr>
        <w:top w:val="none" w:sz="0" w:space="0" w:color="auto"/>
        <w:left w:val="none" w:sz="0" w:space="0" w:color="auto"/>
        <w:bottom w:val="none" w:sz="0" w:space="0" w:color="auto"/>
        <w:right w:val="none" w:sz="0" w:space="0" w:color="auto"/>
      </w:divBdr>
    </w:div>
    <w:div w:id="866912588">
      <w:bodyDiv w:val="1"/>
      <w:marLeft w:val="0"/>
      <w:marRight w:val="0"/>
      <w:marTop w:val="0"/>
      <w:marBottom w:val="0"/>
      <w:divBdr>
        <w:top w:val="none" w:sz="0" w:space="0" w:color="auto"/>
        <w:left w:val="none" w:sz="0" w:space="0" w:color="auto"/>
        <w:bottom w:val="none" w:sz="0" w:space="0" w:color="auto"/>
        <w:right w:val="none" w:sz="0" w:space="0" w:color="auto"/>
      </w:divBdr>
    </w:div>
    <w:div w:id="867257519">
      <w:bodyDiv w:val="1"/>
      <w:marLeft w:val="0"/>
      <w:marRight w:val="0"/>
      <w:marTop w:val="0"/>
      <w:marBottom w:val="0"/>
      <w:divBdr>
        <w:top w:val="none" w:sz="0" w:space="0" w:color="auto"/>
        <w:left w:val="none" w:sz="0" w:space="0" w:color="auto"/>
        <w:bottom w:val="none" w:sz="0" w:space="0" w:color="auto"/>
        <w:right w:val="none" w:sz="0" w:space="0" w:color="auto"/>
      </w:divBdr>
    </w:div>
    <w:div w:id="867766357">
      <w:bodyDiv w:val="1"/>
      <w:marLeft w:val="0"/>
      <w:marRight w:val="0"/>
      <w:marTop w:val="0"/>
      <w:marBottom w:val="0"/>
      <w:divBdr>
        <w:top w:val="none" w:sz="0" w:space="0" w:color="auto"/>
        <w:left w:val="none" w:sz="0" w:space="0" w:color="auto"/>
        <w:bottom w:val="none" w:sz="0" w:space="0" w:color="auto"/>
        <w:right w:val="none" w:sz="0" w:space="0" w:color="auto"/>
      </w:divBdr>
    </w:div>
    <w:div w:id="867790028">
      <w:bodyDiv w:val="1"/>
      <w:marLeft w:val="0"/>
      <w:marRight w:val="0"/>
      <w:marTop w:val="0"/>
      <w:marBottom w:val="0"/>
      <w:divBdr>
        <w:top w:val="none" w:sz="0" w:space="0" w:color="auto"/>
        <w:left w:val="none" w:sz="0" w:space="0" w:color="auto"/>
        <w:bottom w:val="none" w:sz="0" w:space="0" w:color="auto"/>
        <w:right w:val="none" w:sz="0" w:space="0" w:color="auto"/>
      </w:divBdr>
    </w:div>
    <w:div w:id="867987886">
      <w:bodyDiv w:val="1"/>
      <w:marLeft w:val="0"/>
      <w:marRight w:val="0"/>
      <w:marTop w:val="0"/>
      <w:marBottom w:val="0"/>
      <w:divBdr>
        <w:top w:val="none" w:sz="0" w:space="0" w:color="auto"/>
        <w:left w:val="none" w:sz="0" w:space="0" w:color="auto"/>
        <w:bottom w:val="none" w:sz="0" w:space="0" w:color="auto"/>
        <w:right w:val="none" w:sz="0" w:space="0" w:color="auto"/>
      </w:divBdr>
    </w:div>
    <w:div w:id="868645525">
      <w:bodyDiv w:val="1"/>
      <w:marLeft w:val="0"/>
      <w:marRight w:val="0"/>
      <w:marTop w:val="0"/>
      <w:marBottom w:val="0"/>
      <w:divBdr>
        <w:top w:val="none" w:sz="0" w:space="0" w:color="auto"/>
        <w:left w:val="none" w:sz="0" w:space="0" w:color="auto"/>
        <w:bottom w:val="none" w:sz="0" w:space="0" w:color="auto"/>
        <w:right w:val="none" w:sz="0" w:space="0" w:color="auto"/>
      </w:divBdr>
    </w:div>
    <w:div w:id="868761164">
      <w:bodyDiv w:val="1"/>
      <w:marLeft w:val="0"/>
      <w:marRight w:val="0"/>
      <w:marTop w:val="0"/>
      <w:marBottom w:val="0"/>
      <w:divBdr>
        <w:top w:val="none" w:sz="0" w:space="0" w:color="auto"/>
        <w:left w:val="none" w:sz="0" w:space="0" w:color="auto"/>
        <w:bottom w:val="none" w:sz="0" w:space="0" w:color="auto"/>
        <w:right w:val="none" w:sz="0" w:space="0" w:color="auto"/>
      </w:divBdr>
    </w:div>
    <w:div w:id="869419067">
      <w:bodyDiv w:val="1"/>
      <w:marLeft w:val="0"/>
      <w:marRight w:val="0"/>
      <w:marTop w:val="0"/>
      <w:marBottom w:val="0"/>
      <w:divBdr>
        <w:top w:val="none" w:sz="0" w:space="0" w:color="auto"/>
        <w:left w:val="none" w:sz="0" w:space="0" w:color="auto"/>
        <w:bottom w:val="none" w:sz="0" w:space="0" w:color="auto"/>
        <w:right w:val="none" w:sz="0" w:space="0" w:color="auto"/>
      </w:divBdr>
    </w:div>
    <w:div w:id="869494308">
      <w:bodyDiv w:val="1"/>
      <w:marLeft w:val="0"/>
      <w:marRight w:val="0"/>
      <w:marTop w:val="0"/>
      <w:marBottom w:val="0"/>
      <w:divBdr>
        <w:top w:val="none" w:sz="0" w:space="0" w:color="auto"/>
        <w:left w:val="none" w:sz="0" w:space="0" w:color="auto"/>
        <w:bottom w:val="none" w:sz="0" w:space="0" w:color="auto"/>
        <w:right w:val="none" w:sz="0" w:space="0" w:color="auto"/>
      </w:divBdr>
    </w:div>
    <w:div w:id="870074772">
      <w:bodyDiv w:val="1"/>
      <w:marLeft w:val="0"/>
      <w:marRight w:val="0"/>
      <w:marTop w:val="0"/>
      <w:marBottom w:val="0"/>
      <w:divBdr>
        <w:top w:val="none" w:sz="0" w:space="0" w:color="auto"/>
        <w:left w:val="none" w:sz="0" w:space="0" w:color="auto"/>
        <w:bottom w:val="none" w:sz="0" w:space="0" w:color="auto"/>
        <w:right w:val="none" w:sz="0" w:space="0" w:color="auto"/>
      </w:divBdr>
    </w:div>
    <w:div w:id="870337188">
      <w:bodyDiv w:val="1"/>
      <w:marLeft w:val="0"/>
      <w:marRight w:val="0"/>
      <w:marTop w:val="0"/>
      <w:marBottom w:val="0"/>
      <w:divBdr>
        <w:top w:val="none" w:sz="0" w:space="0" w:color="auto"/>
        <w:left w:val="none" w:sz="0" w:space="0" w:color="auto"/>
        <w:bottom w:val="none" w:sz="0" w:space="0" w:color="auto"/>
        <w:right w:val="none" w:sz="0" w:space="0" w:color="auto"/>
      </w:divBdr>
    </w:div>
    <w:div w:id="870455162">
      <w:bodyDiv w:val="1"/>
      <w:marLeft w:val="0"/>
      <w:marRight w:val="0"/>
      <w:marTop w:val="0"/>
      <w:marBottom w:val="0"/>
      <w:divBdr>
        <w:top w:val="none" w:sz="0" w:space="0" w:color="auto"/>
        <w:left w:val="none" w:sz="0" w:space="0" w:color="auto"/>
        <w:bottom w:val="none" w:sz="0" w:space="0" w:color="auto"/>
        <w:right w:val="none" w:sz="0" w:space="0" w:color="auto"/>
      </w:divBdr>
    </w:div>
    <w:div w:id="871498700">
      <w:bodyDiv w:val="1"/>
      <w:marLeft w:val="0"/>
      <w:marRight w:val="0"/>
      <w:marTop w:val="0"/>
      <w:marBottom w:val="0"/>
      <w:divBdr>
        <w:top w:val="none" w:sz="0" w:space="0" w:color="auto"/>
        <w:left w:val="none" w:sz="0" w:space="0" w:color="auto"/>
        <w:bottom w:val="none" w:sz="0" w:space="0" w:color="auto"/>
        <w:right w:val="none" w:sz="0" w:space="0" w:color="auto"/>
      </w:divBdr>
    </w:div>
    <w:div w:id="871958987">
      <w:bodyDiv w:val="1"/>
      <w:marLeft w:val="0"/>
      <w:marRight w:val="0"/>
      <w:marTop w:val="0"/>
      <w:marBottom w:val="0"/>
      <w:divBdr>
        <w:top w:val="none" w:sz="0" w:space="0" w:color="auto"/>
        <w:left w:val="none" w:sz="0" w:space="0" w:color="auto"/>
        <w:bottom w:val="none" w:sz="0" w:space="0" w:color="auto"/>
        <w:right w:val="none" w:sz="0" w:space="0" w:color="auto"/>
      </w:divBdr>
    </w:div>
    <w:div w:id="872033760">
      <w:bodyDiv w:val="1"/>
      <w:marLeft w:val="0"/>
      <w:marRight w:val="0"/>
      <w:marTop w:val="0"/>
      <w:marBottom w:val="0"/>
      <w:divBdr>
        <w:top w:val="none" w:sz="0" w:space="0" w:color="auto"/>
        <w:left w:val="none" w:sz="0" w:space="0" w:color="auto"/>
        <w:bottom w:val="none" w:sz="0" w:space="0" w:color="auto"/>
        <w:right w:val="none" w:sz="0" w:space="0" w:color="auto"/>
      </w:divBdr>
    </w:div>
    <w:div w:id="872109798">
      <w:bodyDiv w:val="1"/>
      <w:marLeft w:val="0"/>
      <w:marRight w:val="0"/>
      <w:marTop w:val="0"/>
      <w:marBottom w:val="0"/>
      <w:divBdr>
        <w:top w:val="none" w:sz="0" w:space="0" w:color="auto"/>
        <w:left w:val="none" w:sz="0" w:space="0" w:color="auto"/>
        <w:bottom w:val="none" w:sz="0" w:space="0" w:color="auto"/>
        <w:right w:val="none" w:sz="0" w:space="0" w:color="auto"/>
      </w:divBdr>
    </w:div>
    <w:div w:id="872110301">
      <w:bodyDiv w:val="1"/>
      <w:marLeft w:val="0"/>
      <w:marRight w:val="0"/>
      <w:marTop w:val="0"/>
      <w:marBottom w:val="0"/>
      <w:divBdr>
        <w:top w:val="none" w:sz="0" w:space="0" w:color="auto"/>
        <w:left w:val="none" w:sz="0" w:space="0" w:color="auto"/>
        <w:bottom w:val="none" w:sz="0" w:space="0" w:color="auto"/>
        <w:right w:val="none" w:sz="0" w:space="0" w:color="auto"/>
      </w:divBdr>
    </w:div>
    <w:div w:id="872183567">
      <w:bodyDiv w:val="1"/>
      <w:marLeft w:val="0"/>
      <w:marRight w:val="0"/>
      <w:marTop w:val="0"/>
      <w:marBottom w:val="0"/>
      <w:divBdr>
        <w:top w:val="none" w:sz="0" w:space="0" w:color="auto"/>
        <w:left w:val="none" w:sz="0" w:space="0" w:color="auto"/>
        <w:bottom w:val="none" w:sz="0" w:space="0" w:color="auto"/>
        <w:right w:val="none" w:sz="0" w:space="0" w:color="auto"/>
      </w:divBdr>
    </w:div>
    <w:div w:id="872225962">
      <w:bodyDiv w:val="1"/>
      <w:marLeft w:val="0"/>
      <w:marRight w:val="0"/>
      <w:marTop w:val="0"/>
      <w:marBottom w:val="0"/>
      <w:divBdr>
        <w:top w:val="none" w:sz="0" w:space="0" w:color="auto"/>
        <w:left w:val="none" w:sz="0" w:space="0" w:color="auto"/>
        <w:bottom w:val="none" w:sz="0" w:space="0" w:color="auto"/>
        <w:right w:val="none" w:sz="0" w:space="0" w:color="auto"/>
      </w:divBdr>
    </w:div>
    <w:div w:id="872310767">
      <w:bodyDiv w:val="1"/>
      <w:marLeft w:val="0"/>
      <w:marRight w:val="0"/>
      <w:marTop w:val="0"/>
      <w:marBottom w:val="0"/>
      <w:divBdr>
        <w:top w:val="none" w:sz="0" w:space="0" w:color="auto"/>
        <w:left w:val="none" w:sz="0" w:space="0" w:color="auto"/>
        <w:bottom w:val="none" w:sz="0" w:space="0" w:color="auto"/>
        <w:right w:val="none" w:sz="0" w:space="0" w:color="auto"/>
      </w:divBdr>
    </w:div>
    <w:div w:id="872423499">
      <w:bodyDiv w:val="1"/>
      <w:marLeft w:val="0"/>
      <w:marRight w:val="0"/>
      <w:marTop w:val="0"/>
      <w:marBottom w:val="0"/>
      <w:divBdr>
        <w:top w:val="none" w:sz="0" w:space="0" w:color="auto"/>
        <w:left w:val="none" w:sz="0" w:space="0" w:color="auto"/>
        <w:bottom w:val="none" w:sz="0" w:space="0" w:color="auto"/>
        <w:right w:val="none" w:sz="0" w:space="0" w:color="auto"/>
      </w:divBdr>
    </w:div>
    <w:div w:id="872840851">
      <w:bodyDiv w:val="1"/>
      <w:marLeft w:val="0"/>
      <w:marRight w:val="0"/>
      <w:marTop w:val="0"/>
      <w:marBottom w:val="0"/>
      <w:divBdr>
        <w:top w:val="none" w:sz="0" w:space="0" w:color="auto"/>
        <w:left w:val="none" w:sz="0" w:space="0" w:color="auto"/>
        <w:bottom w:val="none" w:sz="0" w:space="0" w:color="auto"/>
        <w:right w:val="none" w:sz="0" w:space="0" w:color="auto"/>
      </w:divBdr>
    </w:div>
    <w:div w:id="873231139">
      <w:bodyDiv w:val="1"/>
      <w:marLeft w:val="0"/>
      <w:marRight w:val="0"/>
      <w:marTop w:val="0"/>
      <w:marBottom w:val="0"/>
      <w:divBdr>
        <w:top w:val="none" w:sz="0" w:space="0" w:color="auto"/>
        <w:left w:val="none" w:sz="0" w:space="0" w:color="auto"/>
        <w:bottom w:val="none" w:sz="0" w:space="0" w:color="auto"/>
        <w:right w:val="none" w:sz="0" w:space="0" w:color="auto"/>
      </w:divBdr>
    </w:div>
    <w:div w:id="874392592">
      <w:bodyDiv w:val="1"/>
      <w:marLeft w:val="0"/>
      <w:marRight w:val="0"/>
      <w:marTop w:val="0"/>
      <w:marBottom w:val="0"/>
      <w:divBdr>
        <w:top w:val="none" w:sz="0" w:space="0" w:color="auto"/>
        <w:left w:val="none" w:sz="0" w:space="0" w:color="auto"/>
        <w:bottom w:val="none" w:sz="0" w:space="0" w:color="auto"/>
        <w:right w:val="none" w:sz="0" w:space="0" w:color="auto"/>
      </w:divBdr>
    </w:div>
    <w:div w:id="874467659">
      <w:bodyDiv w:val="1"/>
      <w:marLeft w:val="0"/>
      <w:marRight w:val="0"/>
      <w:marTop w:val="0"/>
      <w:marBottom w:val="0"/>
      <w:divBdr>
        <w:top w:val="none" w:sz="0" w:space="0" w:color="auto"/>
        <w:left w:val="none" w:sz="0" w:space="0" w:color="auto"/>
        <w:bottom w:val="none" w:sz="0" w:space="0" w:color="auto"/>
        <w:right w:val="none" w:sz="0" w:space="0" w:color="auto"/>
      </w:divBdr>
    </w:div>
    <w:div w:id="874583931">
      <w:bodyDiv w:val="1"/>
      <w:marLeft w:val="0"/>
      <w:marRight w:val="0"/>
      <w:marTop w:val="0"/>
      <w:marBottom w:val="0"/>
      <w:divBdr>
        <w:top w:val="none" w:sz="0" w:space="0" w:color="auto"/>
        <w:left w:val="none" w:sz="0" w:space="0" w:color="auto"/>
        <w:bottom w:val="none" w:sz="0" w:space="0" w:color="auto"/>
        <w:right w:val="none" w:sz="0" w:space="0" w:color="auto"/>
      </w:divBdr>
    </w:div>
    <w:div w:id="874587268">
      <w:bodyDiv w:val="1"/>
      <w:marLeft w:val="0"/>
      <w:marRight w:val="0"/>
      <w:marTop w:val="0"/>
      <w:marBottom w:val="0"/>
      <w:divBdr>
        <w:top w:val="none" w:sz="0" w:space="0" w:color="auto"/>
        <w:left w:val="none" w:sz="0" w:space="0" w:color="auto"/>
        <w:bottom w:val="none" w:sz="0" w:space="0" w:color="auto"/>
        <w:right w:val="none" w:sz="0" w:space="0" w:color="auto"/>
      </w:divBdr>
    </w:div>
    <w:div w:id="875388568">
      <w:bodyDiv w:val="1"/>
      <w:marLeft w:val="0"/>
      <w:marRight w:val="0"/>
      <w:marTop w:val="0"/>
      <w:marBottom w:val="0"/>
      <w:divBdr>
        <w:top w:val="none" w:sz="0" w:space="0" w:color="auto"/>
        <w:left w:val="none" w:sz="0" w:space="0" w:color="auto"/>
        <w:bottom w:val="none" w:sz="0" w:space="0" w:color="auto"/>
        <w:right w:val="none" w:sz="0" w:space="0" w:color="auto"/>
      </w:divBdr>
    </w:div>
    <w:div w:id="875433527">
      <w:bodyDiv w:val="1"/>
      <w:marLeft w:val="0"/>
      <w:marRight w:val="0"/>
      <w:marTop w:val="0"/>
      <w:marBottom w:val="0"/>
      <w:divBdr>
        <w:top w:val="none" w:sz="0" w:space="0" w:color="auto"/>
        <w:left w:val="none" w:sz="0" w:space="0" w:color="auto"/>
        <w:bottom w:val="none" w:sz="0" w:space="0" w:color="auto"/>
        <w:right w:val="none" w:sz="0" w:space="0" w:color="auto"/>
      </w:divBdr>
    </w:div>
    <w:div w:id="875778905">
      <w:bodyDiv w:val="1"/>
      <w:marLeft w:val="0"/>
      <w:marRight w:val="0"/>
      <w:marTop w:val="0"/>
      <w:marBottom w:val="0"/>
      <w:divBdr>
        <w:top w:val="none" w:sz="0" w:space="0" w:color="auto"/>
        <w:left w:val="none" w:sz="0" w:space="0" w:color="auto"/>
        <w:bottom w:val="none" w:sz="0" w:space="0" w:color="auto"/>
        <w:right w:val="none" w:sz="0" w:space="0" w:color="auto"/>
      </w:divBdr>
    </w:div>
    <w:div w:id="876039897">
      <w:bodyDiv w:val="1"/>
      <w:marLeft w:val="0"/>
      <w:marRight w:val="0"/>
      <w:marTop w:val="0"/>
      <w:marBottom w:val="0"/>
      <w:divBdr>
        <w:top w:val="none" w:sz="0" w:space="0" w:color="auto"/>
        <w:left w:val="none" w:sz="0" w:space="0" w:color="auto"/>
        <w:bottom w:val="none" w:sz="0" w:space="0" w:color="auto"/>
        <w:right w:val="none" w:sz="0" w:space="0" w:color="auto"/>
      </w:divBdr>
    </w:div>
    <w:div w:id="876158580">
      <w:bodyDiv w:val="1"/>
      <w:marLeft w:val="0"/>
      <w:marRight w:val="0"/>
      <w:marTop w:val="0"/>
      <w:marBottom w:val="0"/>
      <w:divBdr>
        <w:top w:val="none" w:sz="0" w:space="0" w:color="auto"/>
        <w:left w:val="none" w:sz="0" w:space="0" w:color="auto"/>
        <w:bottom w:val="none" w:sz="0" w:space="0" w:color="auto"/>
        <w:right w:val="none" w:sz="0" w:space="0" w:color="auto"/>
      </w:divBdr>
    </w:div>
    <w:div w:id="876426172">
      <w:bodyDiv w:val="1"/>
      <w:marLeft w:val="0"/>
      <w:marRight w:val="0"/>
      <w:marTop w:val="0"/>
      <w:marBottom w:val="0"/>
      <w:divBdr>
        <w:top w:val="none" w:sz="0" w:space="0" w:color="auto"/>
        <w:left w:val="none" w:sz="0" w:space="0" w:color="auto"/>
        <w:bottom w:val="none" w:sz="0" w:space="0" w:color="auto"/>
        <w:right w:val="none" w:sz="0" w:space="0" w:color="auto"/>
      </w:divBdr>
    </w:div>
    <w:div w:id="876742686">
      <w:bodyDiv w:val="1"/>
      <w:marLeft w:val="0"/>
      <w:marRight w:val="0"/>
      <w:marTop w:val="0"/>
      <w:marBottom w:val="0"/>
      <w:divBdr>
        <w:top w:val="none" w:sz="0" w:space="0" w:color="auto"/>
        <w:left w:val="none" w:sz="0" w:space="0" w:color="auto"/>
        <w:bottom w:val="none" w:sz="0" w:space="0" w:color="auto"/>
        <w:right w:val="none" w:sz="0" w:space="0" w:color="auto"/>
      </w:divBdr>
    </w:div>
    <w:div w:id="876894679">
      <w:bodyDiv w:val="1"/>
      <w:marLeft w:val="0"/>
      <w:marRight w:val="0"/>
      <w:marTop w:val="0"/>
      <w:marBottom w:val="0"/>
      <w:divBdr>
        <w:top w:val="none" w:sz="0" w:space="0" w:color="auto"/>
        <w:left w:val="none" w:sz="0" w:space="0" w:color="auto"/>
        <w:bottom w:val="none" w:sz="0" w:space="0" w:color="auto"/>
        <w:right w:val="none" w:sz="0" w:space="0" w:color="auto"/>
      </w:divBdr>
    </w:div>
    <w:div w:id="876895974">
      <w:bodyDiv w:val="1"/>
      <w:marLeft w:val="0"/>
      <w:marRight w:val="0"/>
      <w:marTop w:val="0"/>
      <w:marBottom w:val="0"/>
      <w:divBdr>
        <w:top w:val="none" w:sz="0" w:space="0" w:color="auto"/>
        <w:left w:val="none" w:sz="0" w:space="0" w:color="auto"/>
        <w:bottom w:val="none" w:sz="0" w:space="0" w:color="auto"/>
        <w:right w:val="none" w:sz="0" w:space="0" w:color="auto"/>
      </w:divBdr>
    </w:div>
    <w:div w:id="877163419">
      <w:bodyDiv w:val="1"/>
      <w:marLeft w:val="0"/>
      <w:marRight w:val="0"/>
      <w:marTop w:val="0"/>
      <w:marBottom w:val="0"/>
      <w:divBdr>
        <w:top w:val="none" w:sz="0" w:space="0" w:color="auto"/>
        <w:left w:val="none" w:sz="0" w:space="0" w:color="auto"/>
        <w:bottom w:val="none" w:sz="0" w:space="0" w:color="auto"/>
        <w:right w:val="none" w:sz="0" w:space="0" w:color="auto"/>
      </w:divBdr>
    </w:div>
    <w:div w:id="877283376">
      <w:bodyDiv w:val="1"/>
      <w:marLeft w:val="0"/>
      <w:marRight w:val="0"/>
      <w:marTop w:val="0"/>
      <w:marBottom w:val="0"/>
      <w:divBdr>
        <w:top w:val="none" w:sz="0" w:space="0" w:color="auto"/>
        <w:left w:val="none" w:sz="0" w:space="0" w:color="auto"/>
        <w:bottom w:val="none" w:sz="0" w:space="0" w:color="auto"/>
        <w:right w:val="none" w:sz="0" w:space="0" w:color="auto"/>
      </w:divBdr>
    </w:div>
    <w:div w:id="877358057">
      <w:bodyDiv w:val="1"/>
      <w:marLeft w:val="0"/>
      <w:marRight w:val="0"/>
      <w:marTop w:val="0"/>
      <w:marBottom w:val="0"/>
      <w:divBdr>
        <w:top w:val="none" w:sz="0" w:space="0" w:color="auto"/>
        <w:left w:val="none" w:sz="0" w:space="0" w:color="auto"/>
        <w:bottom w:val="none" w:sz="0" w:space="0" w:color="auto"/>
        <w:right w:val="none" w:sz="0" w:space="0" w:color="auto"/>
      </w:divBdr>
    </w:div>
    <w:div w:id="877397296">
      <w:bodyDiv w:val="1"/>
      <w:marLeft w:val="0"/>
      <w:marRight w:val="0"/>
      <w:marTop w:val="0"/>
      <w:marBottom w:val="0"/>
      <w:divBdr>
        <w:top w:val="none" w:sz="0" w:space="0" w:color="auto"/>
        <w:left w:val="none" w:sz="0" w:space="0" w:color="auto"/>
        <w:bottom w:val="none" w:sz="0" w:space="0" w:color="auto"/>
        <w:right w:val="none" w:sz="0" w:space="0" w:color="auto"/>
      </w:divBdr>
    </w:div>
    <w:div w:id="878972938">
      <w:bodyDiv w:val="1"/>
      <w:marLeft w:val="0"/>
      <w:marRight w:val="0"/>
      <w:marTop w:val="0"/>
      <w:marBottom w:val="0"/>
      <w:divBdr>
        <w:top w:val="none" w:sz="0" w:space="0" w:color="auto"/>
        <w:left w:val="none" w:sz="0" w:space="0" w:color="auto"/>
        <w:bottom w:val="none" w:sz="0" w:space="0" w:color="auto"/>
        <w:right w:val="none" w:sz="0" w:space="0" w:color="auto"/>
      </w:divBdr>
    </w:div>
    <w:div w:id="878973398">
      <w:bodyDiv w:val="1"/>
      <w:marLeft w:val="0"/>
      <w:marRight w:val="0"/>
      <w:marTop w:val="0"/>
      <w:marBottom w:val="0"/>
      <w:divBdr>
        <w:top w:val="none" w:sz="0" w:space="0" w:color="auto"/>
        <w:left w:val="none" w:sz="0" w:space="0" w:color="auto"/>
        <w:bottom w:val="none" w:sz="0" w:space="0" w:color="auto"/>
        <w:right w:val="none" w:sz="0" w:space="0" w:color="auto"/>
      </w:divBdr>
    </w:div>
    <w:div w:id="879438347">
      <w:bodyDiv w:val="1"/>
      <w:marLeft w:val="0"/>
      <w:marRight w:val="0"/>
      <w:marTop w:val="0"/>
      <w:marBottom w:val="0"/>
      <w:divBdr>
        <w:top w:val="none" w:sz="0" w:space="0" w:color="auto"/>
        <w:left w:val="none" w:sz="0" w:space="0" w:color="auto"/>
        <w:bottom w:val="none" w:sz="0" w:space="0" w:color="auto"/>
        <w:right w:val="none" w:sz="0" w:space="0" w:color="auto"/>
      </w:divBdr>
    </w:div>
    <w:div w:id="879631275">
      <w:bodyDiv w:val="1"/>
      <w:marLeft w:val="0"/>
      <w:marRight w:val="0"/>
      <w:marTop w:val="0"/>
      <w:marBottom w:val="0"/>
      <w:divBdr>
        <w:top w:val="none" w:sz="0" w:space="0" w:color="auto"/>
        <w:left w:val="none" w:sz="0" w:space="0" w:color="auto"/>
        <w:bottom w:val="none" w:sz="0" w:space="0" w:color="auto"/>
        <w:right w:val="none" w:sz="0" w:space="0" w:color="auto"/>
      </w:divBdr>
    </w:div>
    <w:div w:id="879704146">
      <w:bodyDiv w:val="1"/>
      <w:marLeft w:val="0"/>
      <w:marRight w:val="0"/>
      <w:marTop w:val="0"/>
      <w:marBottom w:val="0"/>
      <w:divBdr>
        <w:top w:val="none" w:sz="0" w:space="0" w:color="auto"/>
        <w:left w:val="none" w:sz="0" w:space="0" w:color="auto"/>
        <w:bottom w:val="none" w:sz="0" w:space="0" w:color="auto"/>
        <w:right w:val="none" w:sz="0" w:space="0" w:color="auto"/>
      </w:divBdr>
    </w:div>
    <w:div w:id="879829110">
      <w:bodyDiv w:val="1"/>
      <w:marLeft w:val="0"/>
      <w:marRight w:val="0"/>
      <w:marTop w:val="0"/>
      <w:marBottom w:val="0"/>
      <w:divBdr>
        <w:top w:val="none" w:sz="0" w:space="0" w:color="auto"/>
        <w:left w:val="none" w:sz="0" w:space="0" w:color="auto"/>
        <w:bottom w:val="none" w:sz="0" w:space="0" w:color="auto"/>
        <w:right w:val="none" w:sz="0" w:space="0" w:color="auto"/>
      </w:divBdr>
    </w:div>
    <w:div w:id="879976832">
      <w:bodyDiv w:val="1"/>
      <w:marLeft w:val="0"/>
      <w:marRight w:val="0"/>
      <w:marTop w:val="0"/>
      <w:marBottom w:val="0"/>
      <w:divBdr>
        <w:top w:val="none" w:sz="0" w:space="0" w:color="auto"/>
        <w:left w:val="none" w:sz="0" w:space="0" w:color="auto"/>
        <w:bottom w:val="none" w:sz="0" w:space="0" w:color="auto"/>
        <w:right w:val="none" w:sz="0" w:space="0" w:color="auto"/>
      </w:divBdr>
    </w:div>
    <w:div w:id="880360184">
      <w:bodyDiv w:val="1"/>
      <w:marLeft w:val="0"/>
      <w:marRight w:val="0"/>
      <w:marTop w:val="0"/>
      <w:marBottom w:val="0"/>
      <w:divBdr>
        <w:top w:val="none" w:sz="0" w:space="0" w:color="auto"/>
        <w:left w:val="none" w:sz="0" w:space="0" w:color="auto"/>
        <w:bottom w:val="none" w:sz="0" w:space="0" w:color="auto"/>
        <w:right w:val="none" w:sz="0" w:space="0" w:color="auto"/>
      </w:divBdr>
    </w:div>
    <w:div w:id="880630018">
      <w:bodyDiv w:val="1"/>
      <w:marLeft w:val="0"/>
      <w:marRight w:val="0"/>
      <w:marTop w:val="0"/>
      <w:marBottom w:val="0"/>
      <w:divBdr>
        <w:top w:val="none" w:sz="0" w:space="0" w:color="auto"/>
        <w:left w:val="none" w:sz="0" w:space="0" w:color="auto"/>
        <w:bottom w:val="none" w:sz="0" w:space="0" w:color="auto"/>
        <w:right w:val="none" w:sz="0" w:space="0" w:color="auto"/>
      </w:divBdr>
    </w:div>
    <w:div w:id="880632320">
      <w:bodyDiv w:val="1"/>
      <w:marLeft w:val="0"/>
      <w:marRight w:val="0"/>
      <w:marTop w:val="0"/>
      <w:marBottom w:val="0"/>
      <w:divBdr>
        <w:top w:val="none" w:sz="0" w:space="0" w:color="auto"/>
        <w:left w:val="none" w:sz="0" w:space="0" w:color="auto"/>
        <w:bottom w:val="none" w:sz="0" w:space="0" w:color="auto"/>
        <w:right w:val="none" w:sz="0" w:space="0" w:color="auto"/>
      </w:divBdr>
    </w:div>
    <w:div w:id="881551836">
      <w:bodyDiv w:val="1"/>
      <w:marLeft w:val="0"/>
      <w:marRight w:val="0"/>
      <w:marTop w:val="0"/>
      <w:marBottom w:val="0"/>
      <w:divBdr>
        <w:top w:val="none" w:sz="0" w:space="0" w:color="auto"/>
        <w:left w:val="none" w:sz="0" w:space="0" w:color="auto"/>
        <w:bottom w:val="none" w:sz="0" w:space="0" w:color="auto"/>
        <w:right w:val="none" w:sz="0" w:space="0" w:color="auto"/>
      </w:divBdr>
    </w:div>
    <w:div w:id="882330519">
      <w:bodyDiv w:val="1"/>
      <w:marLeft w:val="0"/>
      <w:marRight w:val="0"/>
      <w:marTop w:val="0"/>
      <w:marBottom w:val="0"/>
      <w:divBdr>
        <w:top w:val="none" w:sz="0" w:space="0" w:color="auto"/>
        <w:left w:val="none" w:sz="0" w:space="0" w:color="auto"/>
        <w:bottom w:val="none" w:sz="0" w:space="0" w:color="auto"/>
        <w:right w:val="none" w:sz="0" w:space="0" w:color="auto"/>
      </w:divBdr>
    </w:div>
    <w:div w:id="883326902">
      <w:bodyDiv w:val="1"/>
      <w:marLeft w:val="0"/>
      <w:marRight w:val="0"/>
      <w:marTop w:val="0"/>
      <w:marBottom w:val="0"/>
      <w:divBdr>
        <w:top w:val="none" w:sz="0" w:space="0" w:color="auto"/>
        <w:left w:val="none" w:sz="0" w:space="0" w:color="auto"/>
        <w:bottom w:val="none" w:sz="0" w:space="0" w:color="auto"/>
        <w:right w:val="none" w:sz="0" w:space="0" w:color="auto"/>
      </w:divBdr>
    </w:div>
    <w:div w:id="883520968">
      <w:bodyDiv w:val="1"/>
      <w:marLeft w:val="0"/>
      <w:marRight w:val="0"/>
      <w:marTop w:val="0"/>
      <w:marBottom w:val="0"/>
      <w:divBdr>
        <w:top w:val="none" w:sz="0" w:space="0" w:color="auto"/>
        <w:left w:val="none" w:sz="0" w:space="0" w:color="auto"/>
        <w:bottom w:val="none" w:sz="0" w:space="0" w:color="auto"/>
        <w:right w:val="none" w:sz="0" w:space="0" w:color="auto"/>
      </w:divBdr>
    </w:div>
    <w:div w:id="883522261">
      <w:bodyDiv w:val="1"/>
      <w:marLeft w:val="0"/>
      <w:marRight w:val="0"/>
      <w:marTop w:val="0"/>
      <w:marBottom w:val="0"/>
      <w:divBdr>
        <w:top w:val="none" w:sz="0" w:space="0" w:color="auto"/>
        <w:left w:val="none" w:sz="0" w:space="0" w:color="auto"/>
        <w:bottom w:val="none" w:sz="0" w:space="0" w:color="auto"/>
        <w:right w:val="none" w:sz="0" w:space="0" w:color="auto"/>
      </w:divBdr>
    </w:div>
    <w:div w:id="884028851">
      <w:bodyDiv w:val="1"/>
      <w:marLeft w:val="0"/>
      <w:marRight w:val="0"/>
      <w:marTop w:val="0"/>
      <w:marBottom w:val="0"/>
      <w:divBdr>
        <w:top w:val="none" w:sz="0" w:space="0" w:color="auto"/>
        <w:left w:val="none" w:sz="0" w:space="0" w:color="auto"/>
        <w:bottom w:val="none" w:sz="0" w:space="0" w:color="auto"/>
        <w:right w:val="none" w:sz="0" w:space="0" w:color="auto"/>
      </w:divBdr>
    </w:div>
    <w:div w:id="884565929">
      <w:bodyDiv w:val="1"/>
      <w:marLeft w:val="0"/>
      <w:marRight w:val="0"/>
      <w:marTop w:val="0"/>
      <w:marBottom w:val="0"/>
      <w:divBdr>
        <w:top w:val="none" w:sz="0" w:space="0" w:color="auto"/>
        <w:left w:val="none" w:sz="0" w:space="0" w:color="auto"/>
        <w:bottom w:val="none" w:sz="0" w:space="0" w:color="auto"/>
        <w:right w:val="none" w:sz="0" w:space="0" w:color="auto"/>
      </w:divBdr>
    </w:div>
    <w:div w:id="884678122">
      <w:bodyDiv w:val="1"/>
      <w:marLeft w:val="0"/>
      <w:marRight w:val="0"/>
      <w:marTop w:val="0"/>
      <w:marBottom w:val="0"/>
      <w:divBdr>
        <w:top w:val="none" w:sz="0" w:space="0" w:color="auto"/>
        <w:left w:val="none" w:sz="0" w:space="0" w:color="auto"/>
        <w:bottom w:val="none" w:sz="0" w:space="0" w:color="auto"/>
        <w:right w:val="none" w:sz="0" w:space="0" w:color="auto"/>
      </w:divBdr>
    </w:div>
    <w:div w:id="884833271">
      <w:bodyDiv w:val="1"/>
      <w:marLeft w:val="0"/>
      <w:marRight w:val="0"/>
      <w:marTop w:val="0"/>
      <w:marBottom w:val="0"/>
      <w:divBdr>
        <w:top w:val="none" w:sz="0" w:space="0" w:color="auto"/>
        <w:left w:val="none" w:sz="0" w:space="0" w:color="auto"/>
        <w:bottom w:val="none" w:sz="0" w:space="0" w:color="auto"/>
        <w:right w:val="none" w:sz="0" w:space="0" w:color="auto"/>
      </w:divBdr>
    </w:div>
    <w:div w:id="884871571">
      <w:bodyDiv w:val="1"/>
      <w:marLeft w:val="0"/>
      <w:marRight w:val="0"/>
      <w:marTop w:val="0"/>
      <w:marBottom w:val="0"/>
      <w:divBdr>
        <w:top w:val="none" w:sz="0" w:space="0" w:color="auto"/>
        <w:left w:val="none" w:sz="0" w:space="0" w:color="auto"/>
        <w:bottom w:val="none" w:sz="0" w:space="0" w:color="auto"/>
        <w:right w:val="none" w:sz="0" w:space="0" w:color="auto"/>
      </w:divBdr>
    </w:div>
    <w:div w:id="884872944">
      <w:bodyDiv w:val="1"/>
      <w:marLeft w:val="0"/>
      <w:marRight w:val="0"/>
      <w:marTop w:val="0"/>
      <w:marBottom w:val="0"/>
      <w:divBdr>
        <w:top w:val="none" w:sz="0" w:space="0" w:color="auto"/>
        <w:left w:val="none" w:sz="0" w:space="0" w:color="auto"/>
        <w:bottom w:val="none" w:sz="0" w:space="0" w:color="auto"/>
        <w:right w:val="none" w:sz="0" w:space="0" w:color="auto"/>
      </w:divBdr>
    </w:div>
    <w:div w:id="884945989">
      <w:bodyDiv w:val="1"/>
      <w:marLeft w:val="0"/>
      <w:marRight w:val="0"/>
      <w:marTop w:val="0"/>
      <w:marBottom w:val="0"/>
      <w:divBdr>
        <w:top w:val="none" w:sz="0" w:space="0" w:color="auto"/>
        <w:left w:val="none" w:sz="0" w:space="0" w:color="auto"/>
        <w:bottom w:val="none" w:sz="0" w:space="0" w:color="auto"/>
        <w:right w:val="none" w:sz="0" w:space="0" w:color="auto"/>
      </w:divBdr>
    </w:div>
    <w:div w:id="885022763">
      <w:bodyDiv w:val="1"/>
      <w:marLeft w:val="0"/>
      <w:marRight w:val="0"/>
      <w:marTop w:val="0"/>
      <w:marBottom w:val="0"/>
      <w:divBdr>
        <w:top w:val="none" w:sz="0" w:space="0" w:color="auto"/>
        <w:left w:val="none" w:sz="0" w:space="0" w:color="auto"/>
        <w:bottom w:val="none" w:sz="0" w:space="0" w:color="auto"/>
        <w:right w:val="none" w:sz="0" w:space="0" w:color="auto"/>
      </w:divBdr>
    </w:div>
    <w:div w:id="885026216">
      <w:bodyDiv w:val="1"/>
      <w:marLeft w:val="0"/>
      <w:marRight w:val="0"/>
      <w:marTop w:val="0"/>
      <w:marBottom w:val="0"/>
      <w:divBdr>
        <w:top w:val="none" w:sz="0" w:space="0" w:color="auto"/>
        <w:left w:val="none" w:sz="0" w:space="0" w:color="auto"/>
        <w:bottom w:val="none" w:sz="0" w:space="0" w:color="auto"/>
        <w:right w:val="none" w:sz="0" w:space="0" w:color="auto"/>
      </w:divBdr>
    </w:div>
    <w:div w:id="885026509">
      <w:bodyDiv w:val="1"/>
      <w:marLeft w:val="0"/>
      <w:marRight w:val="0"/>
      <w:marTop w:val="0"/>
      <w:marBottom w:val="0"/>
      <w:divBdr>
        <w:top w:val="none" w:sz="0" w:space="0" w:color="auto"/>
        <w:left w:val="none" w:sz="0" w:space="0" w:color="auto"/>
        <w:bottom w:val="none" w:sz="0" w:space="0" w:color="auto"/>
        <w:right w:val="none" w:sz="0" w:space="0" w:color="auto"/>
      </w:divBdr>
    </w:div>
    <w:div w:id="885331128">
      <w:bodyDiv w:val="1"/>
      <w:marLeft w:val="0"/>
      <w:marRight w:val="0"/>
      <w:marTop w:val="0"/>
      <w:marBottom w:val="0"/>
      <w:divBdr>
        <w:top w:val="none" w:sz="0" w:space="0" w:color="auto"/>
        <w:left w:val="none" w:sz="0" w:space="0" w:color="auto"/>
        <w:bottom w:val="none" w:sz="0" w:space="0" w:color="auto"/>
        <w:right w:val="none" w:sz="0" w:space="0" w:color="auto"/>
      </w:divBdr>
    </w:div>
    <w:div w:id="886182951">
      <w:bodyDiv w:val="1"/>
      <w:marLeft w:val="0"/>
      <w:marRight w:val="0"/>
      <w:marTop w:val="0"/>
      <w:marBottom w:val="0"/>
      <w:divBdr>
        <w:top w:val="none" w:sz="0" w:space="0" w:color="auto"/>
        <w:left w:val="none" w:sz="0" w:space="0" w:color="auto"/>
        <w:bottom w:val="none" w:sz="0" w:space="0" w:color="auto"/>
        <w:right w:val="none" w:sz="0" w:space="0" w:color="auto"/>
      </w:divBdr>
    </w:div>
    <w:div w:id="887301369">
      <w:bodyDiv w:val="1"/>
      <w:marLeft w:val="0"/>
      <w:marRight w:val="0"/>
      <w:marTop w:val="0"/>
      <w:marBottom w:val="0"/>
      <w:divBdr>
        <w:top w:val="none" w:sz="0" w:space="0" w:color="auto"/>
        <w:left w:val="none" w:sz="0" w:space="0" w:color="auto"/>
        <w:bottom w:val="none" w:sz="0" w:space="0" w:color="auto"/>
        <w:right w:val="none" w:sz="0" w:space="0" w:color="auto"/>
      </w:divBdr>
    </w:div>
    <w:div w:id="887453163">
      <w:bodyDiv w:val="1"/>
      <w:marLeft w:val="0"/>
      <w:marRight w:val="0"/>
      <w:marTop w:val="0"/>
      <w:marBottom w:val="0"/>
      <w:divBdr>
        <w:top w:val="none" w:sz="0" w:space="0" w:color="auto"/>
        <w:left w:val="none" w:sz="0" w:space="0" w:color="auto"/>
        <w:bottom w:val="none" w:sz="0" w:space="0" w:color="auto"/>
        <w:right w:val="none" w:sz="0" w:space="0" w:color="auto"/>
      </w:divBdr>
    </w:div>
    <w:div w:id="887574408">
      <w:bodyDiv w:val="1"/>
      <w:marLeft w:val="0"/>
      <w:marRight w:val="0"/>
      <w:marTop w:val="0"/>
      <w:marBottom w:val="0"/>
      <w:divBdr>
        <w:top w:val="none" w:sz="0" w:space="0" w:color="auto"/>
        <w:left w:val="none" w:sz="0" w:space="0" w:color="auto"/>
        <w:bottom w:val="none" w:sz="0" w:space="0" w:color="auto"/>
        <w:right w:val="none" w:sz="0" w:space="0" w:color="auto"/>
      </w:divBdr>
    </w:div>
    <w:div w:id="887766823">
      <w:bodyDiv w:val="1"/>
      <w:marLeft w:val="0"/>
      <w:marRight w:val="0"/>
      <w:marTop w:val="0"/>
      <w:marBottom w:val="0"/>
      <w:divBdr>
        <w:top w:val="none" w:sz="0" w:space="0" w:color="auto"/>
        <w:left w:val="none" w:sz="0" w:space="0" w:color="auto"/>
        <w:bottom w:val="none" w:sz="0" w:space="0" w:color="auto"/>
        <w:right w:val="none" w:sz="0" w:space="0" w:color="auto"/>
      </w:divBdr>
    </w:div>
    <w:div w:id="888149987">
      <w:bodyDiv w:val="1"/>
      <w:marLeft w:val="0"/>
      <w:marRight w:val="0"/>
      <w:marTop w:val="0"/>
      <w:marBottom w:val="0"/>
      <w:divBdr>
        <w:top w:val="none" w:sz="0" w:space="0" w:color="auto"/>
        <w:left w:val="none" w:sz="0" w:space="0" w:color="auto"/>
        <w:bottom w:val="none" w:sz="0" w:space="0" w:color="auto"/>
        <w:right w:val="none" w:sz="0" w:space="0" w:color="auto"/>
      </w:divBdr>
    </w:div>
    <w:div w:id="888221472">
      <w:bodyDiv w:val="1"/>
      <w:marLeft w:val="0"/>
      <w:marRight w:val="0"/>
      <w:marTop w:val="0"/>
      <w:marBottom w:val="0"/>
      <w:divBdr>
        <w:top w:val="none" w:sz="0" w:space="0" w:color="auto"/>
        <w:left w:val="none" w:sz="0" w:space="0" w:color="auto"/>
        <w:bottom w:val="none" w:sz="0" w:space="0" w:color="auto"/>
        <w:right w:val="none" w:sz="0" w:space="0" w:color="auto"/>
      </w:divBdr>
    </w:div>
    <w:div w:id="888804914">
      <w:bodyDiv w:val="1"/>
      <w:marLeft w:val="0"/>
      <w:marRight w:val="0"/>
      <w:marTop w:val="0"/>
      <w:marBottom w:val="0"/>
      <w:divBdr>
        <w:top w:val="none" w:sz="0" w:space="0" w:color="auto"/>
        <w:left w:val="none" w:sz="0" w:space="0" w:color="auto"/>
        <w:bottom w:val="none" w:sz="0" w:space="0" w:color="auto"/>
        <w:right w:val="none" w:sz="0" w:space="0" w:color="auto"/>
      </w:divBdr>
    </w:div>
    <w:div w:id="888996393">
      <w:bodyDiv w:val="1"/>
      <w:marLeft w:val="0"/>
      <w:marRight w:val="0"/>
      <w:marTop w:val="0"/>
      <w:marBottom w:val="0"/>
      <w:divBdr>
        <w:top w:val="none" w:sz="0" w:space="0" w:color="auto"/>
        <w:left w:val="none" w:sz="0" w:space="0" w:color="auto"/>
        <w:bottom w:val="none" w:sz="0" w:space="0" w:color="auto"/>
        <w:right w:val="none" w:sz="0" w:space="0" w:color="auto"/>
      </w:divBdr>
    </w:div>
    <w:div w:id="889148020">
      <w:bodyDiv w:val="1"/>
      <w:marLeft w:val="0"/>
      <w:marRight w:val="0"/>
      <w:marTop w:val="0"/>
      <w:marBottom w:val="0"/>
      <w:divBdr>
        <w:top w:val="none" w:sz="0" w:space="0" w:color="auto"/>
        <w:left w:val="none" w:sz="0" w:space="0" w:color="auto"/>
        <w:bottom w:val="none" w:sz="0" w:space="0" w:color="auto"/>
        <w:right w:val="none" w:sz="0" w:space="0" w:color="auto"/>
      </w:divBdr>
    </w:div>
    <w:div w:id="889196356">
      <w:bodyDiv w:val="1"/>
      <w:marLeft w:val="0"/>
      <w:marRight w:val="0"/>
      <w:marTop w:val="0"/>
      <w:marBottom w:val="0"/>
      <w:divBdr>
        <w:top w:val="none" w:sz="0" w:space="0" w:color="auto"/>
        <w:left w:val="none" w:sz="0" w:space="0" w:color="auto"/>
        <w:bottom w:val="none" w:sz="0" w:space="0" w:color="auto"/>
        <w:right w:val="none" w:sz="0" w:space="0" w:color="auto"/>
      </w:divBdr>
    </w:div>
    <w:div w:id="889731904">
      <w:bodyDiv w:val="1"/>
      <w:marLeft w:val="0"/>
      <w:marRight w:val="0"/>
      <w:marTop w:val="0"/>
      <w:marBottom w:val="0"/>
      <w:divBdr>
        <w:top w:val="none" w:sz="0" w:space="0" w:color="auto"/>
        <w:left w:val="none" w:sz="0" w:space="0" w:color="auto"/>
        <w:bottom w:val="none" w:sz="0" w:space="0" w:color="auto"/>
        <w:right w:val="none" w:sz="0" w:space="0" w:color="auto"/>
      </w:divBdr>
    </w:div>
    <w:div w:id="889919831">
      <w:bodyDiv w:val="1"/>
      <w:marLeft w:val="0"/>
      <w:marRight w:val="0"/>
      <w:marTop w:val="0"/>
      <w:marBottom w:val="0"/>
      <w:divBdr>
        <w:top w:val="none" w:sz="0" w:space="0" w:color="auto"/>
        <w:left w:val="none" w:sz="0" w:space="0" w:color="auto"/>
        <w:bottom w:val="none" w:sz="0" w:space="0" w:color="auto"/>
        <w:right w:val="none" w:sz="0" w:space="0" w:color="auto"/>
      </w:divBdr>
    </w:div>
    <w:div w:id="890075376">
      <w:bodyDiv w:val="1"/>
      <w:marLeft w:val="0"/>
      <w:marRight w:val="0"/>
      <w:marTop w:val="0"/>
      <w:marBottom w:val="0"/>
      <w:divBdr>
        <w:top w:val="none" w:sz="0" w:space="0" w:color="auto"/>
        <w:left w:val="none" w:sz="0" w:space="0" w:color="auto"/>
        <w:bottom w:val="none" w:sz="0" w:space="0" w:color="auto"/>
        <w:right w:val="none" w:sz="0" w:space="0" w:color="auto"/>
      </w:divBdr>
    </w:div>
    <w:div w:id="890732272">
      <w:bodyDiv w:val="1"/>
      <w:marLeft w:val="0"/>
      <w:marRight w:val="0"/>
      <w:marTop w:val="0"/>
      <w:marBottom w:val="0"/>
      <w:divBdr>
        <w:top w:val="none" w:sz="0" w:space="0" w:color="auto"/>
        <w:left w:val="none" w:sz="0" w:space="0" w:color="auto"/>
        <w:bottom w:val="none" w:sz="0" w:space="0" w:color="auto"/>
        <w:right w:val="none" w:sz="0" w:space="0" w:color="auto"/>
      </w:divBdr>
    </w:div>
    <w:div w:id="890772995">
      <w:bodyDiv w:val="1"/>
      <w:marLeft w:val="0"/>
      <w:marRight w:val="0"/>
      <w:marTop w:val="0"/>
      <w:marBottom w:val="0"/>
      <w:divBdr>
        <w:top w:val="none" w:sz="0" w:space="0" w:color="auto"/>
        <w:left w:val="none" w:sz="0" w:space="0" w:color="auto"/>
        <w:bottom w:val="none" w:sz="0" w:space="0" w:color="auto"/>
        <w:right w:val="none" w:sz="0" w:space="0" w:color="auto"/>
      </w:divBdr>
    </w:div>
    <w:div w:id="890994093">
      <w:bodyDiv w:val="1"/>
      <w:marLeft w:val="0"/>
      <w:marRight w:val="0"/>
      <w:marTop w:val="0"/>
      <w:marBottom w:val="0"/>
      <w:divBdr>
        <w:top w:val="none" w:sz="0" w:space="0" w:color="auto"/>
        <w:left w:val="none" w:sz="0" w:space="0" w:color="auto"/>
        <w:bottom w:val="none" w:sz="0" w:space="0" w:color="auto"/>
        <w:right w:val="none" w:sz="0" w:space="0" w:color="auto"/>
      </w:divBdr>
    </w:div>
    <w:div w:id="891235619">
      <w:bodyDiv w:val="1"/>
      <w:marLeft w:val="0"/>
      <w:marRight w:val="0"/>
      <w:marTop w:val="0"/>
      <w:marBottom w:val="0"/>
      <w:divBdr>
        <w:top w:val="none" w:sz="0" w:space="0" w:color="auto"/>
        <w:left w:val="none" w:sz="0" w:space="0" w:color="auto"/>
        <w:bottom w:val="none" w:sz="0" w:space="0" w:color="auto"/>
        <w:right w:val="none" w:sz="0" w:space="0" w:color="auto"/>
      </w:divBdr>
    </w:div>
    <w:div w:id="891312354">
      <w:bodyDiv w:val="1"/>
      <w:marLeft w:val="0"/>
      <w:marRight w:val="0"/>
      <w:marTop w:val="0"/>
      <w:marBottom w:val="0"/>
      <w:divBdr>
        <w:top w:val="none" w:sz="0" w:space="0" w:color="auto"/>
        <w:left w:val="none" w:sz="0" w:space="0" w:color="auto"/>
        <w:bottom w:val="none" w:sz="0" w:space="0" w:color="auto"/>
        <w:right w:val="none" w:sz="0" w:space="0" w:color="auto"/>
      </w:divBdr>
    </w:div>
    <w:div w:id="891502627">
      <w:bodyDiv w:val="1"/>
      <w:marLeft w:val="0"/>
      <w:marRight w:val="0"/>
      <w:marTop w:val="0"/>
      <w:marBottom w:val="0"/>
      <w:divBdr>
        <w:top w:val="none" w:sz="0" w:space="0" w:color="auto"/>
        <w:left w:val="none" w:sz="0" w:space="0" w:color="auto"/>
        <w:bottom w:val="none" w:sz="0" w:space="0" w:color="auto"/>
        <w:right w:val="none" w:sz="0" w:space="0" w:color="auto"/>
      </w:divBdr>
    </w:div>
    <w:div w:id="891618495">
      <w:bodyDiv w:val="1"/>
      <w:marLeft w:val="0"/>
      <w:marRight w:val="0"/>
      <w:marTop w:val="0"/>
      <w:marBottom w:val="0"/>
      <w:divBdr>
        <w:top w:val="none" w:sz="0" w:space="0" w:color="auto"/>
        <w:left w:val="none" w:sz="0" w:space="0" w:color="auto"/>
        <w:bottom w:val="none" w:sz="0" w:space="0" w:color="auto"/>
        <w:right w:val="none" w:sz="0" w:space="0" w:color="auto"/>
      </w:divBdr>
    </w:div>
    <w:div w:id="891963032">
      <w:bodyDiv w:val="1"/>
      <w:marLeft w:val="0"/>
      <w:marRight w:val="0"/>
      <w:marTop w:val="0"/>
      <w:marBottom w:val="0"/>
      <w:divBdr>
        <w:top w:val="none" w:sz="0" w:space="0" w:color="auto"/>
        <w:left w:val="none" w:sz="0" w:space="0" w:color="auto"/>
        <w:bottom w:val="none" w:sz="0" w:space="0" w:color="auto"/>
        <w:right w:val="none" w:sz="0" w:space="0" w:color="auto"/>
      </w:divBdr>
    </w:div>
    <w:div w:id="892231786">
      <w:bodyDiv w:val="1"/>
      <w:marLeft w:val="0"/>
      <w:marRight w:val="0"/>
      <w:marTop w:val="0"/>
      <w:marBottom w:val="0"/>
      <w:divBdr>
        <w:top w:val="none" w:sz="0" w:space="0" w:color="auto"/>
        <w:left w:val="none" w:sz="0" w:space="0" w:color="auto"/>
        <w:bottom w:val="none" w:sz="0" w:space="0" w:color="auto"/>
        <w:right w:val="none" w:sz="0" w:space="0" w:color="auto"/>
      </w:divBdr>
    </w:div>
    <w:div w:id="892430602">
      <w:bodyDiv w:val="1"/>
      <w:marLeft w:val="0"/>
      <w:marRight w:val="0"/>
      <w:marTop w:val="0"/>
      <w:marBottom w:val="0"/>
      <w:divBdr>
        <w:top w:val="none" w:sz="0" w:space="0" w:color="auto"/>
        <w:left w:val="none" w:sz="0" w:space="0" w:color="auto"/>
        <w:bottom w:val="none" w:sz="0" w:space="0" w:color="auto"/>
        <w:right w:val="none" w:sz="0" w:space="0" w:color="auto"/>
      </w:divBdr>
    </w:div>
    <w:div w:id="893008282">
      <w:bodyDiv w:val="1"/>
      <w:marLeft w:val="0"/>
      <w:marRight w:val="0"/>
      <w:marTop w:val="0"/>
      <w:marBottom w:val="0"/>
      <w:divBdr>
        <w:top w:val="none" w:sz="0" w:space="0" w:color="auto"/>
        <w:left w:val="none" w:sz="0" w:space="0" w:color="auto"/>
        <w:bottom w:val="none" w:sz="0" w:space="0" w:color="auto"/>
        <w:right w:val="none" w:sz="0" w:space="0" w:color="auto"/>
      </w:divBdr>
    </w:div>
    <w:div w:id="893080004">
      <w:bodyDiv w:val="1"/>
      <w:marLeft w:val="0"/>
      <w:marRight w:val="0"/>
      <w:marTop w:val="0"/>
      <w:marBottom w:val="0"/>
      <w:divBdr>
        <w:top w:val="none" w:sz="0" w:space="0" w:color="auto"/>
        <w:left w:val="none" w:sz="0" w:space="0" w:color="auto"/>
        <w:bottom w:val="none" w:sz="0" w:space="0" w:color="auto"/>
        <w:right w:val="none" w:sz="0" w:space="0" w:color="auto"/>
      </w:divBdr>
    </w:div>
    <w:div w:id="893269912">
      <w:bodyDiv w:val="1"/>
      <w:marLeft w:val="0"/>
      <w:marRight w:val="0"/>
      <w:marTop w:val="0"/>
      <w:marBottom w:val="0"/>
      <w:divBdr>
        <w:top w:val="none" w:sz="0" w:space="0" w:color="auto"/>
        <w:left w:val="none" w:sz="0" w:space="0" w:color="auto"/>
        <w:bottom w:val="none" w:sz="0" w:space="0" w:color="auto"/>
        <w:right w:val="none" w:sz="0" w:space="0" w:color="auto"/>
      </w:divBdr>
    </w:div>
    <w:div w:id="893464796">
      <w:bodyDiv w:val="1"/>
      <w:marLeft w:val="0"/>
      <w:marRight w:val="0"/>
      <w:marTop w:val="0"/>
      <w:marBottom w:val="0"/>
      <w:divBdr>
        <w:top w:val="none" w:sz="0" w:space="0" w:color="auto"/>
        <w:left w:val="none" w:sz="0" w:space="0" w:color="auto"/>
        <w:bottom w:val="none" w:sz="0" w:space="0" w:color="auto"/>
        <w:right w:val="none" w:sz="0" w:space="0" w:color="auto"/>
      </w:divBdr>
    </w:div>
    <w:div w:id="893585903">
      <w:bodyDiv w:val="1"/>
      <w:marLeft w:val="0"/>
      <w:marRight w:val="0"/>
      <w:marTop w:val="0"/>
      <w:marBottom w:val="0"/>
      <w:divBdr>
        <w:top w:val="none" w:sz="0" w:space="0" w:color="auto"/>
        <w:left w:val="none" w:sz="0" w:space="0" w:color="auto"/>
        <w:bottom w:val="none" w:sz="0" w:space="0" w:color="auto"/>
        <w:right w:val="none" w:sz="0" w:space="0" w:color="auto"/>
      </w:divBdr>
    </w:div>
    <w:div w:id="893781081">
      <w:bodyDiv w:val="1"/>
      <w:marLeft w:val="0"/>
      <w:marRight w:val="0"/>
      <w:marTop w:val="0"/>
      <w:marBottom w:val="0"/>
      <w:divBdr>
        <w:top w:val="none" w:sz="0" w:space="0" w:color="auto"/>
        <w:left w:val="none" w:sz="0" w:space="0" w:color="auto"/>
        <w:bottom w:val="none" w:sz="0" w:space="0" w:color="auto"/>
        <w:right w:val="none" w:sz="0" w:space="0" w:color="auto"/>
      </w:divBdr>
    </w:div>
    <w:div w:id="894463924">
      <w:bodyDiv w:val="1"/>
      <w:marLeft w:val="0"/>
      <w:marRight w:val="0"/>
      <w:marTop w:val="0"/>
      <w:marBottom w:val="0"/>
      <w:divBdr>
        <w:top w:val="none" w:sz="0" w:space="0" w:color="auto"/>
        <w:left w:val="none" w:sz="0" w:space="0" w:color="auto"/>
        <w:bottom w:val="none" w:sz="0" w:space="0" w:color="auto"/>
        <w:right w:val="none" w:sz="0" w:space="0" w:color="auto"/>
      </w:divBdr>
    </w:div>
    <w:div w:id="894774109">
      <w:bodyDiv w:val="1"/>
      <w:marLeft w:val="0"/>
      <w:marRight w:val="0"/>
      <w:marTop w:val="0"/>
      <w:marBottom w:val="0"/>
      <w:divBdr>
        <w:top w:val="none" w:sz="0" w:space="0" w:color="auto"/>
        <w:left w:val="none" w:sz="0" w:space="0" w:color="auto"/>
        <w:bottom w:val="none" w:sz="0" w:space="0" w:color="auto"/>
        <w:right w:val="none" w:sz="0" w:space="0" w:color="auto"/>
      </w:divBdr>
    </w:div>
    <w:div w:id="894780160">
      <w:bodyDiv w:val="1"/>
      <w:marLeft w:val="0"/>
      <w:marRight w:val="0"/>
      <w:marTop w:val="0"/>
      <w:marBottom w:val="0"/>
      <w:divBdr>
        <w:top w:val="none" w:sz="0" w:space="0" w:color="auto"/>
        <w:left w:val="none" w:sz="0" w:space="0" w:color="auto"/>
        <w:bottom w:val="none" w:sz="0" w:space="0" w:color="auto"/>
        <w:right w:val="none" w:sz="0" w:space="0" w:color="auto"/>
      </w:divBdr>
    </w:div>
    <w:div w:id="894973246">
      <w:bodyDiv w:val="1"/>
      <w:marLeft w:val="0"/>
      <w:marRight w:val="0"/>
      <w:marTop w:val="0"/>
      <w:marBottom w:val="0"/>
      <w:divBdr>
        <w:top w:val="none" w:sz="0" w:space="0" w:color="auto"/>
        <w:left w:val="none" w:sz="0" w:space="0" w:color="auto"/>
        <w:bottom w:val="none" w:sz="0" w:space="0" w:color="auto"/>
        <w:right w:val="none" w:sz="0" w:space="0" w:color="auto"/>
      </w:divBdr>
    </w:div>
    <w:div w:id="895047276">
      <w:bodyDiv w:val="1"/>
      <w:marLeft w:val="0"/>
      <w:marRight w:val="0"/>
      <w:marTop w:val="0"/>
      <w:marBottom w:val="0"/>
      <w:divBdr>
        <w:top w:val="none" w:sz="0" w:space="0" w:color="auto"/>
        <w:left w:val="none" w:sz="0" w:space="0" w:color="auto"/>
        <w:bottom w:val="none" w:sz="0" w:space="0" w:color="auto"/>
        <w:right w:val="none" w:sz="0" w:space="0" w:color="auto"/>
      </w:divBdr>
    </w:div>
    <w:div w:id="895314789">
      <w:bodyDiv w:val="1"/>
      <w:marLeft w:val="0"/>
      <w:marRight w:val="0"/>
      <w:marTop w:val="0"/>
      <w:marBottom w:val="0"/>
      <w:divBdr>
        <w:top w:val="none" w:sz="0" w:space="0" w:color="auto"/>
        <w:left w:val="none" w:sz="0" w:space="0" w:color="auto"/>
        <w:bottom w:val="none" w:sz="0" w:space="0" w:color="auto"/>
        <w:right w:val="none" w:sz="0" w:space="0" w:color="auto"/>
      </w:divBdr>
    </w:div>
    <w:div w:id="895776639">
      <w:bodyDiv w:val="1"/>
      <w:marLeft w:val="0"/>
      <w:marRight w:val="0"/>
      <w:marTop w:val="0"/>
      <w:marBottom w:val="0"/>
      <w:divBdr>
        <w:top w:val="none" w:sz="0" w:space="0" w:color="auto"/>
        <w:left w:val="none" w:sz="0" w:space="0" w:color="auto"/>
        <w:bottom w:val="none" w:sz="0" w:space="0" w:color="auto"/>
        <w:right w:val="none" w:sz="0" w:space="0" w:color="auto"/>
      </w:divBdr>
    </w:div>
    <w:div w:id="895967507">
      <w:bodyDiv w:val="1"/>
      <w:marLeft w:val="0"/>
      <w:marRight w:val="0"/>
      <w:marTop w:val="0"/>
      <w:marBottom w:val="0"/>
      <w:divBdr>
        <w:top w:val="none" w:sz="0" w:space="0" w:color="auto"/>
        <w:left w:val="none" w:sz="0" w:space="0" w:color="auto"/>
        <w:bottom w:val="none" w:sz="0" w:space="0" w:color="auto"/>
        <w:right w:val="none" w:sz="0" w:space="0" w:color="auto"/>
      </w:divBdr>
    </w:div>
    <w:div w:id="895967647">
      <w:bodyDiv w:val="1"/>
      <w:marLeft w:val="0"/>
      <w:marRight w:val="0"/>
      <w:marTop w:val="0"/>
      <w:marBottom w:val="0"/>
      <w:divBdr>
        <w:top w:val="none" w:sz="0" w:space="0" w:color="auto"/>
        <w:left w:val="none" w:sz="0" w:space="0" w:color="auto"/>
        <w:bottom w:val="none" w:sz="0" w:space="0" w:color="auto"/>
        <w:right w:val="none" w:sz="0" w:space="0" w:color="auto"/>
      </w:divBdr>
    </w:div>
    <w:div w:id="896016781">
      <w:bodyDiv w:val="1"/>
      <w:marLeft w:val="0"/>
      <w:marRight w:val="0"/>
      <w:marTop w:val="0"/>
      <w:marBottom w:val="0"/>
      <w:divBdr>
        <w:top w:val="none" w:sz="0" w:space="0" w:color="auto"/>
        <w:left w:val="none" w:sz="0" w:space="0" w:color="auto"/>
        <w:bottom w:val="none" w:sz="0" w:space="0" w:color="auto"/>
        <w:right w:val="none" w:sz="0" w:space="0" w:color="auto"/>
      </w:divBdr>
    </w:div>
    <w:div w:id="896234763">
      <w:bodyDiv w:val="1"/>
      <w:marLeft w:val="0"/>
      <w:marRight w:val="0"/>
      <w:marTop w:val="0"/>
      <w:marBottom w:val="0"/>
      <w:divBdr>
        <w:top w:val="none" w:sz="0" w:space="0" w:color="auto"/>
        <w:left w:val="none" w:sz="0" w:space="0" w:color="auto"/>
        <w:bottom w:val="none" w:sz="0" w:space="0" w:color="auto"/>
        <w:right w:val="none" w:sz="0" w:space="0" w:color="auto"/>
      </w:divBdr>
    </w:div>
    <w:div w:id="896740882">
      <w:bodyDiv w:val="1"/>
      <w:marLeft w:val="0"/>
      <w:marRight w:val="0"/>
      <w:marTop w:val="0"/>
      <w:marBottom w:val="0"/>
      <w:divBdr>
        <w:top w:val="none" w:sz="0" w:space="0" w:color="auto"/>
        <w:left w:val="none" w:sz="0" w:space="0" w:color="auto"/>
        <w:bottom w:val="none" w:sz="0" w:space="0" w:color="auto"/>
        <w:right w:val="none" w:sz="0" w:space="0" w:color="auto"/>
      </w:divBdr>
    </w:div>
    <w:div w:id="896939371">
      <w:bodyDiv w:val="1"/>
      <w:marLeft w:val="0"/>
      <w:marRight w:val="0"/>
      <w:marTop w:val="0"/>
      <w:marBottom w:val="0"/>
      <w:divBdr>
        <w:top w:val="none" w:sz="0" w:space="0" w:color="auto"/>
        <w:left w:val="none" w:sz="0" w:space="0" w:color="auto"/>
        <w:bottom w:val="none" w:sz="0" w:space="0" w:color="auto"/>
        <w:right w:val="none" w:sz="0" w:space="0" w:color="auto"/>
      </w:divBdr>
    </w:div>
    <w:div w:id="897013580">
      <w:bodyDiv w:val="1"/>
      <w:marLeft w:val="0"/>
      <w:marRight w:val="0"/>
      <w:marTop w:val="0"/>
      <w:marBottom w:val="0"/>
      <w:divBdr>
        <w:top w:val="none" w:sz="0" w:space="0" w:color="auto"/>
        <w:left w:val="none" w:sz="0" w:space="0" w:color="auto"/>
        <w:bottom w:val="none" w:sz="0" w:space="0" w:color="auto"/>
        <w:right w:val="none" w:sz="0" w:space="0" w:color="auto"/>
      </w:divBdr>
    </w:div>
    <w:div w:id="897322279">
      <w:bodyDiv w:val="1"/>
      <w:marLeft w:val="0"/>
      <w:marRight w:val="0"/>
      <w:marTop w:val="0"/>
      <w:marBottom w:val="0"/>
      <w:divBdr>
        <w:top w:val="none" w:sz="0" w:space="0" w:color="auto"/>
        <w:left w:val="none" w:sz="0" w:space="0" w:color="auto"/>
        <w:bottom w:val="none" w:sz="0" w:space="0" w:color="auto"/>
        <w:right w:val="none" w:sz="0" w:space="0" w:color="auto"/>
      </w:divBdr>
    </w:div>
    <w:div w:id="897785409">
      <w:bodyDiv w:val="1"/>
      <w:marLeft w:val="0"/>
      <w:marRight w:val="0"/>
      <w:marTop w:val="0"/>
      <w:marBottom w:val="0"/>
      <w:divBdr>
        <w:top w:val="none" w:sz="0" w:space="0" w:color="auto"/>
        <w:left w:val="none" w:sz="0" w:space="0" w:color="auto"/>
        <w:bottom w:val="none" w:sz="0" w:space="0" w:color="auto"/>
        <w:right w:val="none" w:sz="0" w:space="0" w:color="auto"/>
      </w:divBdr>
    </w:div>
    <w:div w:id="897858112">
      <w:bodyDiv w:val="1"/>
      <w:marLeft w:val="0"/>
      <w:marRight w:val="0"/>
      <w:marTop w:val="0"/>
      <w:marBottom w:val="0"/>
      <w:divBdr>
        <w:top w:val="none" w:sz="0" w:space="0" w:color="auto"/>
        <w:left w:val="none" w:sz="0" w:space="0" w:color="auto"/>
        <w:bottom w:val="none" w:sz="0" w:space="0" w:color="auto"/>
        <w:right w:val="none" w:sz="0" w:space="0" w:color="auto"/>
      </w:divBdr>
    </w:div>
    <w:div w:id="898437641">
      <w:bodyDiv w:val="1"/>
      <w:marLeft w:val="0"/>
      <w:marRight w:val="0"/>
      <w:marTop w:val="0"/>
      <w:marBottom w:val="0"/>
      <w:divBdr>
        <w:top w:val="none" w:sz="0" w:space="0" w:color="auto"/>
        <w:left w:val="none" w:sz="0" w:space="0" w:color="auto"/>
        <w:bottom w:val="none" w:sz="0" w:space="0" w:color="auto"/>
        <w:right w:val="none" w:sz="0" w:space="0" w:color="auto"/>
      </w:divBdr>
    </w:div>
    <w:div w:id="899832032">
      <w:bodyDiv w:val="1"/>
      <w:marLeft w:val="0"/>
      <w:marRight w:val="0"/>
      <w:marTop w:val="0"/>
      <w:marBottom w:val="0"/>
      <w:divBdr>
        <w:top w:val="none" w:sz="0" w:space="0" w:color="auto"/>
        <w:left w:val="none" w:sz="0" w:space="0" w:color="auto"/>
        <w:bottom w:val="none" w:sz="0" w:space="0" w:color="auto"/>
        <w:right w:val="none" w:sz="0" w:space="0" w:color="auto"/>
      </w:divBdr>
    </w:div>
    <w:div w:id="900484115">
      <w:bodyDiv w:val="1"/>
      <w:marLeft w:val="0"/>
      <w:marRight w:val="0"/>
      <w:marTop w:val="0"/>
      <w:marBottom w:val="0"/>
      <w:divBdr>
        <w:top w:val="none" w:sz="0" w:space="0" w:color="auto"/>
        <w:left w:val="none" w:sz="0" w:space="0" w:color="auto"/>
        <w:bottom w:val="none" w:sz="0" w:space="0" w:color="auto"/>
        <w:right w:val="none" w:sz="0" w:space="0" w:color="auto"/>
      </w:divBdr>
    </w:div>
    <w:div w:id="901251580">
      <w:bodyDiv w:val="1"/>
      <w:marLeft w:val="0"/>
      <w:marRight w:val="0"/>
      <w:marTop w:val="0"/>
      <w:marBottom w:val="0"/>
      <w:divBdr>
        <w:top w:val="none" w:sz="0" w:space="0" w:color="auto"/>
        <w:left w:val="none" w:sz="0" w:space="0" w:color="auto"/>
        <w:bottom w:val="none" w:sz="0" w:space="0" w:color="auto"/>
        <w:right w:val="none" w:sz="0" w:space="0" w:color="auto"/>
      </w:divBdr>
    </w:div>
    <w:div w:id="901404395">
      <w:bodyDiv w:val="1"/>
      <w:marLeft w:val="0"/>
      <w:marRight w:val="0"/>
      <w:marTop w:val="0"/>
      <w:marBottom w:val="0"/>
      <w:divBdr>
        <w:top w:val="none" w:sz="0" w:space="0" w:color="auto"/>
        <w:left w:val="none" w:sz="0" w:space="0" w:color="auto"/>
        <w:bottom w:val="none" w:sz="0" w:space="0" w:color="auto"/>
        <w:right w:val="none" w:sz="0" w:space="0" w:color="auto"/>
      </w:divBdr>
    </w:div>
    <w:div w:id="901521674">
      <w:bodyDiv w:val="1"/>
      <w:marLeft w:val="0"/>
      <w:marRight w:val="0"/>
      <w:marTop w:val="0"/>
      <w:marBottom w:val="0"/>
      <w:divBdr>
        <w:top w:val="none" w:sz="0" w:space="0" w:color="auto"/>
        <w:left w:val="none" w:sz="0" w:space="0" w:color="auto"/>
        <w:bottom w:val="none" w:sz="0" w:space="0" w:color="auto"/>
        <w:right w:val="none" w:sz="0" w:space="0" w:color="auto"/>
      </w:divBdr>
    </w:div>
    <w:div w:id="901523971">
      <w:bodyDiv w:val="1"/>
      <w:marLeft w:val="0"/>
      <w:marRight w:val="0"/>
      <w:marTop w:val="0"/>
      <w:marBottom w:val="0"/>
      <w:divBdr>
        <w:top w:val="none" w:sz="0" w:space="0" w:color="auto"/>
        <w:left w:val="none" w:sz="0" w:space="0" w:color="auto"/>
        <w:bottom w:val="none" w:sz="0" w:space="0" w:color="auto"/>
        <w:right w:val="none" w:sz="0" w:space="0" w:color="auto"/>
      </w:divBdr>
    </w:div>
    <w:div w:id="901673780">
      <w:bodyDiv w:val="1"/>
      <w:marLeft w:val="0"/>
      <w:marRight w:val="0"/>
      <w:marTop w:val="0"/>
      <w:marBottom w:val="0"/>
      <w:divBdr>
        <w:top w:val="none" w:sz="0" w:space="0" w:color="auto"/>
        <w:left w:val="none" w:sz="0" w:space="0" w:color="auto"/>
        <w:bottom w:val="none" w:sz="0" w:space="0" w:color="auto"/>
        <w:right w:val="none" w:sz="0" w:space="0" w:color="auto"/>
      </w:divBdr>
    </w:div>
    <w:div w:id="901674193">
      <w:bodyDiv w:val="1"/>
      <w:marLeft w:val="0"/>
      <w:marRight w:val="0"/>
      <w:marTop w:val="0"/>
      <w:marBottom w:val="0"/>
      <w:divBdr>
        <w:top w:val="none" w:sz="0" w:space="0" w:color="auto"/>
        <w:left w:val="none" w:sz="0" w:space="0" w:color="auto"/>
        <w:bottom w:val="none" w:sz="0" w:space="0" w:color="auto"/>
        <w:right w:val="none" w:sz="0" w:space="0" w:color="auto"/>
      </w:divBdr>
    </w:div>
    <w:div w:id="902063917">
      <w:bodyDiv w:val="1"/>
      <w:marLeft w:val="0"/>
      <w:marRight w:val="0"/>
      <w:marTop w:val="0"/>
      <w:marBottom w:val="0"/>
      <w:divBdr>
        <w:top w:val="none" w:sz="0" w:space="0" w:color="auto"/>
        <w:left w:val="none" w:sz="0" w:space="0" w:color="auto"/>
        <w:bottom w:val="none" w:sz="0" w:space="0" w:color="auto"/>
        <w:right w:val="none" w:sz="0" w:space="0" w:color="auto"/>
      </w:divBdr>
    </w:div>
    <w:div w:id="902446033">
      <w:bodyDiv w:val="1"/>
      <w:marLeft w:val="0"/>
      <w:marRight w:val="0"/>
      <w:marTop w:val="0"/>
      <w:marBottom w:val="0"/>
      <w:divBdr>
        <w:top w:val="none" w:sz="0" w:space="0" w:color="auto"/>
        <w:left w:val="none" w:sz="0" w:space="0" w:color="auto"/>
        <w:bottom w:val="none" w:sz="0" w:space="0" w:color="auto"/>
        <w:right w:val="none" w:sz="0" w:space="0" w:color="auto"/>
      </w:divBdr>
    </w:div>
    <w:div w:id="902451611">
      <w:bodyDiv w:val="1"/>
      <w:marLeft w:val="0"/>
      <w:marRight w:val="0"/>
      <w:marTop w:val="0"/>
      <w:marBottom w:val="0"/>
      <w:divBdr>
        <w:top w:val="none" w:sz="0" w:space="0" w:color="auto"/>
        <w:left w:val="none" w:sz="0" w:space="0" w:color="auto"/>
        <w:bottom w:val="none" w:sz="0" w:space="0" w:color="auto"/>
        <w:right w:val="none" w:sz="0" w:space="0" w:color="auto"/>
      </w:divBdr>
    </w:div>
    <w:div w:id="902563181">
      <w:bodyDiv w:val="1"/>
      <w:marLeft w:val="0"/>
      <w:marRight w:val="0"/>
      <w:marTop w:val="0"/>
      <w:marBottom w:val="0"/>
      <w:divBdr>
        <w:top w:val="none" w:sz="0" w:space="0" w:color="auto"/>
        <w:left w:val="none" w:sz="0" w:space="0" w:color="auto"/>
        <w:bottom w:val="none" w:sz="0" w:space="0" w:color="auto"/>
        <w:right w:val="none" w:sz="0" w:space="0" w:color="auto"/>
      </w:divBdr>
    </w:div>
    <w:div w:id="903031874">
      <w:bodyDiv w:val="1"/>
      <w:marLeft w:val="0"/>
      <w:marRight w:val="0"/>
      <w:marTop w:val="0"/>
      <w:marBottom w:val="0"/>
      <w:divBdr>
        <w:top w:val="none" w:sz="0" w:space="0" w:color="auto"/>
        <w:left w:val="none" w:sz="0" w:space="0" w:color="auto"/>
        <w:bottom w:val="none" w:sz="0" w:space="0" w:color="auto"/>
        <w:right w:val="none" w:sz="0" w:space="0" w:color="auto"/>
      </w:divBdr>
    </w:div>
    <w:div w:id="903418035">
      <w:bodyDiv w:val="1"/>
      <w:marLeft w:val="0"/>
      <w:marRight w:val="0"/>
      <w:marTop w:val="0"/>
      <w:marBottom w:val="0"/>
      <w:divBdr>
        <w:top w:val="none" w:sz="0" w:space="0" w:color="auto"/>
        <w:left w:val="none" w:sz="0" w:space="0" w:color="auto"/>
        <w:bottom w:val="none" w:sz="0" w:space="0" w:color="auto"/>
        <w:right w:val="none" w:sz="0" w:space="0" w:color="auto"/>
      </w:divBdr>
    </w:div>
    <w:div w:id="904145245">
      <w:bodyDiv w:val="1"/>
      <w:marLeft w:val="0"/>
      <w:marRight w:val="0"/>
      <w:marTop w:val="0"/>
      <w:marBottom w:val="0"/>
      <w:divBdr>
        <w:top w:val="none" w:sz="0" w:space="0" w:color="auto"/>
        <w:left w:val="none" w:sz="0" w:space="0" w:color="auto"/>
        <w:bottom w:val="none" w:sz="0" w:space="0" w:color="auto"/>
        <w:right w:val="none" w:sz="0" w:space="0" w:color="auto"/>
      </w:divBdr>
    </w:div>
    <w:div w:id="904411695">
      <w:bodyDiv w:val="1"/>
      <w:marLeft w:val="0"/>
      <w:marRight w:val="0"/>
      <w:marTop w:val="0"/>
      <w:marBottom w:val="0"/>
      <w:divBdr>
        <w:top w:val="none" w:sz="0" w:space="0" w:color="auto"/>
        <w:left w:val="none" w:sz="0" w:space="0" w:color="auto"/>
        <w:bottom w:val="none" w:sz="0" w:space="0" w:color="auto"/>
        <w:right w:val="none" w:sz="0" w:space="0" w:color="auto"/>
      </w:divBdr>
    </w:div>
    <w:div w:id="904416132">
      <w:bodyDiv w:val="1"/>
      <w:marLeft w:val="0"/>
      <w:marRight w:val="0"/>
      <w:marTop w:val="0"/>
      <w:marBottom w:val="0"/>
      <w:divBdr>
        <w:top w:val="none" w:sz="0" w:space="0" w:color="auto"/>
        <w:left w:val="none" w:sz="0" w:space="0" w:color="auto"/>
        <w:bottom w:val="none" w:sz="0" w:space="0" w:color="auto"/>
        <w:right w:val="none" w:sz="0" w:space="0" w:color="auto"/>
      </w:divBdr>
    </w:div>
    <w:div w:id="904685971">
      <w:bodyDiv w:val="1"/>
      <w:marLeft w:val="0"/>
      <w:marRight w:val="0"/>
      <w:marTop w:val="0"/>
      <w:marBottom w:val="0"/>
      <w:divBdr>
        <w:top w:val="none" w:sz="0" w:space="0" w:color="auto"/>
        <w:left w:val="none" w:sz="0" w:space="0" w:color="auto"/>
        <w:bottom w:val="none" w:sz="0" w:space="0" w:color="auto"/>
        <w:right w:val="none" w:sz="0" w:space="0" w:color="auto"/>
      </w:divBdr>
    </w:div>
    <w:div w:id="905647840">
      <w:bodyDiv w:val="1"/>
      <w:marLeft w:val="0"/>
      <w:marRight w:val="0"/>
      <w:marTop w:val="0"/>
      <w:marBottom w:val="0"/>
      <w:divBdr>
        <w:top w:val="none" w:sz="0" w:space="0" w:color="auto"/>
        <w:left w:val="none" w:sz="0" w:space="0" w:color="auto"/>
        <w:bottom w:val="none" w:sz="0" w:space="0" w:color="auto"/>
        <w:right w:val="none" w:sz="0" w:space="0" w:color="auto"/>
      </w:divBdr>
    </w:div>
    <w:div w:id="905723891">
      <w:bodyDiv w:val="1"/>
      <w:marLeft w:val="0"/>
      <w:marRight w:val="0"/>
      <w:marTop w:val="0"/>
      <w:marBottom w:val="0"/>
      <w:divBdr>
        <w:top w:val="none" w:sz="0" w:space="0" w:color="auto"/>
        <w:left w:val="none" w:sz="0" w:space="0" w:color="auto"/>
        <w:bottom w:val="none" w:sz="0" w:space="0" w:color="auto"/>
        <w:right w:val="none" w:sz="0" w:space="0" w:color="auto"/>
      </w:divBdr>
    </w:div>
    <w:div w:id="905798026">
      <w:bodyDiv w:val="1"/>
      <w:marLeft w:val="0"/>
      <w:marRight w:val="0"/>
      <w:marTop w:val="0"/>
      <w:marBottom w:val="0"/>
      <w:divBdr>
        <w:top w:val="none" w:sz="0" w:space="0" w:color="auto"/>
        <w:left w:val="none" w:sz="0" w:space="0" w:color="auto"/>
        <w:bottom w:val="none" w:sz="0" w:space="0" w:color="auto"/>
        <w:right w:val="none" w:sz="0" w:space="0" w:color="auto"/>
      </w:divBdr>
    </w:div>
    <w:div w:id="906190650">
      <w:bodyDiv w:val="1"/>
      <w:marLeft w:val="0"/>
      <w:marRight w:val="0"/>
      <w:marTop w:val="0"/>
      <w:marBottom w:val="0"/>
      <w:divBdr>
        <w:top w:val="none" w:sz="0" w:space="0" w:color="auto"/>
        <w:left w:val="none" w:sz="0" w:space="0" w:color="auto"/>
        <w:bottom w:val="none" w:sz="0" w:space="0" w:color="auto"/>
        <w:right w:val="none" w:sz="0" w:space="0" w:color="auto"/>
      </w:divBdr>
    </w:div>
    <w:div w:id="906840386">
      <w:bodyDiv w:val="1"/>
      <w:marLeft w:val="0"/>
      <w:marRight w:val="0"/>
      <w:marTop w:val="0"/>
      <w:marBottom w:val="0"/>
      <w:divBdr>
        <w:top w:val="none" w:sz="0" w:space="0" w:color="auto"/>
        <w:left w:val="none" w:sz="0" w:space="0" w:color="auto"/>
        <w:bottom w:val="none" w:sz="0" w:space="0" w:color="auto"/>
        <w:right w:val="none" w:sz="0" w:space="0" w:color="auto"/>
      </w:divBdr>
    </w:div>
    <w:div w:id="906962719">
      <w:bodyDiv w:val="1"/>
      <w:marLeft w:val="0"/>
      <w:marRight w:val="0"/>
      <w:marTop w:val="0"/>
      <w:marBottom w:val="0"/>
      <w:divBdr>
        <w:top w:val="none" w:sz="0" w:space="0" w:color="auto"/>
        <w:left w:val="none" w:sz="0" w:space="0" w:color="auto"/>
        <w:bottom w:val="none" w:sz="0" w:space="0" w:color="auto"/>
        <w:right w:val="none" w:sz="0" w:space="0" w:color="auto"/>
      </w:divBdr>
    </w:div>
    <w:div w:id="907230227">
      <w:bodyDiv w:val="1"/>
      <w:marLeft w:val="0"/>
      <w:marRight w:val="0"/>
      <w:marTop w:val="0"/>
      <w:marBottom w:val="0"/>
      <w:divBdr>
        <w:top w:val="none" w:sz="0" w:space="0" w:color="auto"/>
        <w:left w:val="none" w:sz="0" w:space="0" w:color="auto"/>
        <w:bottom w:val="none" w:sz="0" w:space="0" w:color="auto"/>
        <w:right w:val="none" w:sz="0" w:space="0" w:color="auto"/>
      </w:divBdr>
    </w:div>
    <w:div w:id="907961745">
      <w:bodyDiv w:val="1"/>
      <w:marLeft w:val="0"/>
      <w:marRight w:val="0"/>
      <w:marTop w:val="0"/>
      <w:marBottom w:val="0"/>
      <w:divBdr>
        <w:top w:val="none" w:sz="0" w:space="0" w:color="auto"/>
        <w:left w:val="none" w:sz="0" w:space="0" w:color="auto"/>
        <w:bottom w:val="none" w:sz="0" w:space="0" w:color="auto"/>
        <w:right w:val="none" w:sz="0" w:space="0" w:color="auto"/>
      </w:divBdr>
    </w:div>
    <w:div w:id="908079379">
      <w:bodyDiv w:val="1"/>
      <w:marLeft w:val="0"/>
      <w:marRight w:val="0"/>
      <w:marTop w:val="0"/>
      <w:marBottom w:val="0"/>
      <w:divBdr>
        <w:top w:val="none" w:sz="0" w:space="0" w:color="auto"/>
        <w:left w:val="none" w:sz="0" w:space="0" w:color="auto"/>
        <w:bottom w:val="none" w:sz="0" w:space="0" w:color="auto"/>
        <w:right w:val="none" w:sz="0" w:space="0" w:color="auto"/>
      </w:divBdr>
    </w:div>
    <w:div w:id="909079474">
      <w:bodyDiv w:val="1"/>
      <w:marLeft w:val="0"/>
      <w:marRight w:val="0"/>
      <w:marTop w:val="0"/>
      <w:marBottom w:val="0"/>
      <w:divBdr>
        <w:top w:val="none" w:sz="0" w:space="0" w:color="auto"/>
        <w:left w:val="none" w:sz="0" w:space="0" w:color="auto"/>
        <w:bottom w:val="none" w:sz="0" w:space="0" w:color="auto"/>
        <w:right w:val="none" w:sz="0" w:space="0" w:color="auto"/>
      </w:divBdr>
    </w:div>
    <w:div w:id="909116475">
      <w:bodyDiv w:val="1"/>
      <w:marLeft w:val="0"/>
      <w:marRight w:val="0"/>
      <w:marTop w:val="0"/>
      <w:marBottom w:val="0"/>
      <w:divBdr>
        <w:top w:val="none" w:sz="0" w:space="0" w:color="auto"/>
        <w:left w:val="none" w:sz="0" w:space="0" w:color="auto"/>
        <w:bottom w:val="none" w:sz="0" w:space="0" w:color="auto"/>
        <w:right w:val="none" w:sz="0" w:space="0" w:color="auto"/>
      </w:divBdr>
    </w:div>
    <w:div w:id="910189625">
      <w:bodyDiv w:val="1"/>
      <w:marLeft w:val="0"/>
      <w:marRight w:val="0"/>
      <w:marTop w:val="0"/>
      <w:marBottom w:val="0"/>
      <w:divBdr>
        <w:top w:val="none" w:sz="0" w:space="0" w:color="auto"/>
        <w:left w:val="none" w:sz="0" w:space="0" w:color="auto"/>
        <w:bottom w:val="none" w:sz="0" w:space="0" w:color="auto"/>
        <w:right w:val="none" w:sz="0" w:space="0" w:color="auto"/>
      </w:divBdr>
    </w:div>
    <w:div w:id="910231820">
      <w:bodyDiv w:val="1"/>
      <w:marLeft w:val="0"/>
      <w:marRight w:val="0"/>
      <w:marTop w:val="0"/>
      <w:marBottom w:val="0"/>
      <w:divBdr>
        <w:top w:val="none" w:sz="0" w:space="0" w:color="auto"/>
        <w:left w:val="none" w:sz="0" w:space="0" w:color="auto"/>
        <w:bottom w:val="none" w:sz="0" w:space="0" w:color="auto"/>
        <w:right w:val="none" w:sz="0" w:space="0" w:color="auto"/>
      </w:divBdr>
    </w:div>
    <w:div w:id="911082499">
      <w:bodyDiv w:val="1"/>
      <w:marLeft w:val="0"/>
      <w:marRight w:val="0"/>
      <w:marTop w:val="0"/>
      <w:marBottom w:val="0"/>
      <w:divBdr>
        <w:top w:val="none" w:sz="0" w:space="0" w:color="auto"/>
        <w:left w:val="none" w:sz="0" w:space="0" w:color="auto"/>
        <w:bottom w:val="none" w:sz="0" w:space="0" w:color="auto"/>
        <w:right w:val="none" w:sz="0" w:space="0" w:color="auto"/>
      </w:divBdr>
    </w:div>
    <w:div w:id="911349190">
      <w:bodyDiv w:val="1"/>
      <w:marLeft w:val="0"/>
      <w:marRight w:val="0"/>
      <w:marTop w:val="0"/>
      <w:marBottom w:val="0"/>
      <w:divBdr>
        <w:top w:val="none" w:sz="0" w:space="0" w:color="auto"/>
        <w:left w:val="none" w:sz="0" w:space="0" w:color="auto"/>
        <w:bottom w:val="none" w:sz="0" w:space="0" w:color="auto"/>
        <w:right w:val="none" w:sz="0" w:space="0" w:color="auto"/>
      </w:divBdr>
    </w:div>
    <w:div w:id="911432050">
      <w:bodyDiv w:val="1"/>
      <w:marLeft w:val="0"/>
      <w:marRight w:val="0"/>
      <w:marTop w:val="0"/>
      <w:marBottom w:val="0"/>
      <w:divBdr>
        <w:top w:val="none" w:sz="0" w:space="0" w:color="auto"/>
        <w:left w:val="none" w:sz="0" w:space="0" w:color="auto"/>
        <w:bottom w:val="none" w:sz="0" w:space="0" w:color="auto"/>
        <w:right w:val="none" w:sz="0" w:space="0" w:color="auto"/>
      </w:divBdr>
    </w:div>
    <w:div w:id="911698061">
      <w:bodyDiv w:val="1"/>
      <w:marLeft w:val="0"/>
      <w:marRight w:val="0"/>
      <w:marTop w:val="0"/>
      <w:marBottom w:val="0"/>
      <w:divBdr>
        <w:top w:val="none" w:sz="0" w:space="0" w:color="auto"/>
        <w:left w:val="none" w:sz="0" w:space="0" w:color="auto"/>
        <w:bottom w:val="none" w:sz="0" w:space="0" w:color="auto"/>
        <w:right w:val="none" w:sz="0" w:space="0" w:color="auto"/>
      </w:divBdr>
    </w:div>
    <w:div w:id="911740218">
      <w:bodyDiv w:val="1"/>
      <w:marLeft w:val="0"/>
      <w:marRight w:val="0"/>
      <w:marTop w:val="0"/>
      <w:marBottom w:val="0"/>
      <w:divBdr>
        <w:top w:val="none" w:sz="0" w:space="0" w:color="auto"/>
        <w:left w:val="none" w:sz="0" w:space="0" w:color="auto"/>
        <w:bottom w:val="none" w:sz="0" w:space="0" w:color="auto"/>
        <w:right w:val="none" w:sz="0" w:space="0" w:color="auto"/>
      </w:divBdr>
    </w:div>
    <w:div w:id="911743291">
      <w:bodyDiv w:val="1"/>
      <w:marLeft w:val="0"/>
      <w:marRight w:val="0"/>
      <w:marTop w:val="0"/>
      <w:marBottom w:val="0"/>
      <w:divBdr>
        <w:top w:val="none" w:sz="0" w:space="0" w:color="auto"/>
        <w:left w:val="none" w:sz="0" w:space="0" w:color="auto"/>
        <w:bottom w:val="none" w:sz="0" w:space="0" w:color="auto"/>
        <w:right w:val="none" w:sz="0" w:space="0" w:color="auto"/>
      </w:divBdr>
    </w:div>
    <w:div w:id="911744197">
      <w:bodyDiv w:val="1"/>
      <w:marLeft w:val="0"/>
      <w:marRight w:val="0"/>
      <w:marTop w:val="0"/>
      <w:marBottom w:val="0"/>
      <w:divBdr>
        <w:top w:val="none" w:sz="0" w:space="0" w:color="auto"/>
        <w:left w:val="none" w:sz="0" w:space="0" w:color="auto"/>
        <w:bottom w:val="none" w:sz="0" w:space="0" w:color="auto"/>
        <w:right w:val="none" w:sz="0" w:space="0" w:color="auto"/>
      </w:divBdr>
    </w:div>
    <w:div w:id="912354321">
      <w:bodyDiv w:val="1"/>
      <w:marLeft w:val="0"/>
      <w:marRight w:val="0"/>
      <w:marTop w:val="0"/>
      <w:marBottom w:val="0"/>
      <w:divBdr>
        <w:top w:val="none" w:sz="0" w:space="0" w:color="auto"/>
        <w:left w:val="none" w:sz="0" w:space="0" w:color="auto"/>
        <w:bottom w:val="none" w:sz="0" w:space="0" w:color="auto"/>
        <w:right w:val="none" w:sz="0" w:space="0" w:color="auto"/>
      </w:divBdr>
    </w:div>
    <w:div w:id="912591987">
      <w:bodyDiv w:val="1"/>
      <w:marLeft w:val="0"/>
      <w:marRight w:val="0"/>
      <w:marTop w:val="0"/>
      <w:marBottom w:val="0"/>
      <w:divBdr>
        <w:top w:val="none" w:sz="0" w:space="0" w:color="auto"/>
        <w:left w:val="none" w:sz="0" w:space="0" w:color="auto"/>
        <w:bottom w:val="none" w:sz="0" w:space="0" w:color="auto"/>
        <w:right w:val="none" w:sz="0" w:space="0" w:color="auto"/>
      </w:divBdr>
    </w:div>
    <w:div w:id="912666063">
      <w:bodyDiv w:val="1"/>
      <w:marLeft w:val="0"/>
      <w:marRight w:val="0"/>
      <w:marTop w:val="0"/>
      <w:marBottom w:val="0"/>
      <w:divBdr>
        <w:top w:val="none" w:sz="0" w:space="0" w:color="auto"/>
        <w:left w:val="none" w:sz="0" w:space="0" w:color="auto"/>
        <w:bottom w:val="none" w:sz="0" w:space="0" w:color="auto"/>
        <w:right w:val="none" w:sz="0" w:space="0" w:color="auto"/>
      </w:divBdr>
    </w:div>
    <w:div w:id="913122207">
      <w:bodyDiv w:val="1"/>
      <w:marLeft w:val="0"/>
      <w:marRight w:val="0"/>
      <w:marTop w:val="0"/>
      <w:marBottom w:val="0"/>
      <w:divBdr>
        <w:top w:val="none" w:sz="0" w:space="0" w:color="auto"/>
        <w:left w:val="none" w:sz="0" w:space="0" w:color="auto"/>
        <w:bottom w:val="none" w:sz="0" w:space="0" w:color="auto"/>
        <w:right w:val="none" w:sz="0" w:space="0" w:color="auto"/>
      </w:divBdr>
    </w:div>
    <w:div w:id="913205416">
      <w:bodyDiv w:val="1"/>
      <w:marLeft w:val="0"/>
      <w:marRight w:val="0"/>
      <w:marTop w:val="0"/>
      <w:marBottom w:val="0"/>
      <w:divBdr>
        <w:top w:val="none" w:sz="0" w:space="0" w:color="auto"/>
        <w:left w:val="none" w:sz="0" w:space="0" w:color="auto"/>
        <w:bottom w:val="none" w:sz="0" w:space="0" w:color="auto"/>
        <w:right w:val="none" w:sz="0" w:space="0" w:color="auto"/>
      </w:divBdr>
    </w:div>
    <w:div w:id="913273095">
      <w:bodyDiv w:val="1"/>
      <w:marLeft w:val="0"/>
      <w:marRight w:val="0"/>
      <w:marTop w:val="0"/>
      <w:marBottom w:val="0"/>
      <w:divBdr>
        <w:top w:val="none" w:sz="0" w:space="0" w:color="auto"/>
        <w:left w:val="none" w:sz="0" w:space="0" w:color="auto"/>
        <w:bottom w:val="none" w:sz="0" w:space="0" w:color="auto"/>
        <w:right w:val="none" w:sz="0" w:space="0" w:color="auto"/>
      </w:divBdr>
    </w:div>
    <w:div w:id="913512873">
      <w:bodyDiv w:val="1"/>
      <w:marLeft w:val="0"/>
      <w:marRight w:val="0"/>
      <w:marTop w:val="0"/>
      <w:marBottom w:val="0"/>
      <w:divBdr>
        <w:top w:val="none" w:sz="0" w:space="0" w:color="auto"/>
        <w:left w:val="none" w:sz="0" w:space="0" w:color="auto"/>
        <w:bottom w:val="none" w:sz="0" w:space="0" w:color="auto"/>
        <w:right w:val="none" w:sz="0" w:space="0" w:color="auto"/>
      </w:divBdr>
    </w:div>
    <w:div w:id="913857291">
      <w:bodyDiv w:val="1"/>
      <w:marLeft w:val="0"/>
      <w:marRight w:val="0"/>
      <w:marTop w:val="0"/>
      <w:marBottom w:val="0"/>
      <w:divBdr>
        <w:top w:val="none" w:sz="0" w:space="0" w:color="auto"/>
        <w:left w:val="none" w:sz="0" w:space="0" w:color="auto"/>
        <w:bottom w:val="none" w:sz="0" w:space="0" w:color="auto"/>
        <w:right w:val="none" w:sz="0" w:space="0" w:color="auto"/>
      </w:divBdr>
    </w:div>
    <w:div w:id="913861190">
      <w:bodyDiv w:val="1"/>
      <w:marLeft w:val="0"/>
      <w:marRight w:val="0"/>
      <w:marTop w:val="0"/>
      <w:marBottom w:val="0"/>
      <w:divBdr>
        <w:top w:val="none" w:sz="0" w:space="0" w:color="auto"/>
        <w:left w:val="none" w:sz="0" w:space="0" w:color="auto"/>
        <w:bottom w:val="none" w:sz="0" w:space="0" w:color="auto"/>
        <w:right w:val="none" w:sz="0" w:space="0" w:color="auto"/>
      </w:divBdr>
    </w:div>
    <w:div w:id="914049955">
      <w:bodyDiv w:val="1"/>
      <w:marLeft w:val="0"/>
      <w:marRight w:val="0"/>
      <w:marTop w:val="0"/>
      <w:marBottom w:val="0"/>
      <w:divBdr>
        <w:top w:val="none" w:sz="0" w:space="0" w:color="auto"/>
        <w:left w:val="none" w:sz="0" w:space="0" w:color="auto"/>
        <w:bottom w:val="none" w:sz="0" w:space="0" w:color="auto"/>
        <w:right w:val="none" w:sz="0" w:space="0" w:color="auto"/>
      </w:divBdr>
    </w:div>
    <w:div w:id="914125126">
      <w:bodyDiv w:val="1"/>
      <w:marLeft w:val="0"/>
      <w:marRight w:val="0"/>
      <w:marTop w:val="0"/>
      <w:marBottom w:val="0"/>
      <w:divBdr>
        <w:top w:val="none" w:sz="0" w:space="0" w:color="auto"/>
        <w:left w:val="none" w:sz="0" w:space="0" w:color="auto"/>
        <w:bottom w:val="none" w:sz="0" w:space="0" w:color="auto"/>
        <w:right w:val="none" w:sz="0" w:space="0" w:color="auto"/>
      </w:divBdr>
    </w:div>
    <w:div w:id="914515131">
      <w:bodyDiv w:val="1"/>
      <w:marLeft w:val="0"/>
      <w:marRight w:val="0"/>
      <w:marTop w:val="0"/>
      <w:marBottom w:val="0"/>
      <w:divBdr>
        <w:top w:val="none" w:sz="0" w:space="0" w:color="auto"/>
        <w:left w:val="none" w:sz="0" w:space="0" w:color="auto"/>
        <w:bottom w:val="none" w:sz="0" w:space="0" w:color="auto"/>
        <w:right w:val="none" w:sz="0" w:space="0" w:color="auto"/>
      </w:divBdr>
    </w:div>
    <w:div w:id="914516620">
      <w:bodyDiv w:val="1"/>
      <w:marLeft w:val="0"/>
      <w:marRight w:val="0"/>
      <w:marTop w:val="0"/>
      <w:marBottom w:val="0"/>
      <w:divBdr>
        <w:top w:val="none" w:sz="0" w:space="0" w:color="auto"/>
        <w:left w:val="none" w:sz="0" w:space="0" w:color="auto"/>
        <w:bottom w:val="none" w:sz="0" w:space="0" w:color="auto"/>
        <w:right w:val="none" w:sz="0" w:space="0" w:color="auto"/>
      </w:divBdr>
    </w:div>
    <w:div w:id="914970187">
      <w:bodyDiv w:val="1"/>
      <w:marLeft w:val="0"/>
      <w:marRight w:val="0"/>
      <w:marTop w:val="0"/>
      <w:marBottom w:val="0"/>
      <w:divBdr>
        <w:top w:val="none" w:sz="0" w:space="0" w:color="auto"/>
        <w:left w:val="none" w:sz="0" w:space="0" w:color="auto"/>
        <w:bottom w:val="none" w:sz="0" w:space="0" w:color="auto"/>
        <w:right w:val="none" w:sz="0" w:space="0" w:color="auto"/>
      </w:divBdr>
    </w:div>
    <w:div w:id="914977528">
      <w:bodyDiv w:val="1"/>
      <w:marLeft w:val="0"/>
      <w:marRight w:val="0"/>
      <w:marTop w:val="0"/>
      <w:marBottom w:val="0"/>
      <w:divBdr>
        <w:top w:val="none" w:sz="0" w:space="0" w:color="auto"/>
        <w:left w:val="none" w:sz="0" w:space="0" w:color="auto"/>
        <w:bottom w:val="none" w:sz="0" w:space="0" w:color="auto"/>
        <w:right w:val="none" w:sz="0" w:space="0" w:color="auto"/>
      </w:divBdr>
    </w:div>
    <w:div w:id="915093864">
      <w:bodyDiv w:val="1"/>
      <w:marLeft w:val="0"/>
      <w:marRight w:val="0"/>
      <w:marTop w:val="0"/>
      <w:marBottom w:val="0"/>
      <w:divBdr>
        <w:top w:val="none" w:sz="0" w:space="0" w:color="auto"/>
        <w:left w:val="none" w:sz="0" w:space="0" w:color="auto"/>
        <w:bottom w:val="none" w:sz="0" w:space="0" w:color="auto"/>
        <w:right w:val="none" w:sz="0" w:space="0" w:color="auto"/>
      </w:divBdr>
    </w:div>
    <w:div w:id="915280953">
      <w:bodyDiv w:val="1"/>
      <w:marLeft w:val="0"/>
      <w:marRight w:val="0"/>
      <w:marTop w:val="0"/>
      <w:marBottom w:val="0"/>
      <w:divBdr>
        <w:top w:val="none" w:sz="0" w:space="0" w:color="auto"/>
        <w:left w:val="none" w:sz="0" w:space="0" w:color="auto"/>
        <w:bottom w:val="none" w:sz="0" w:space="0" w:color="auto"/>
        <w:right w:val="none" w:sz="0" w:space="0" w:color="auto"/>
      </w:divBdr>
    </w:div>
    <w:div w:id="915357240">
      <w:bodyDiv w:val="1"/>
      <w:marLeft w:val="0"/>
      <w:marRight w:val="0"/>
      <w:marTop w:val="0"/>
      <w:marBottom w:val="0"/>
      <w:divBdr>
        <w:top w:val="none" w:sz="0" w:space="0" w:color="auto"/>
        <w:left w:val="none" w:sz="0" w:space="0" w:color="auto"/>
        <w:bottom w:val="none" w:sz="0" w:space="0" w:color="auto"/>
        <w:right w:val="none" w:sz="0" w:space="0" w:color="auto"/>
      </w:divBdr>
    </w:div>
    <w:div w:id="915747521">
      <w:bodyDiv w:val="1"/>
      <w:marLeft w:val="0"/>
      <w:marRight w:val="0"/>
      <w:marTop w:val="0"/>
      <w:marBottom w:val="0"/>
      <w:divBdr>
        <w:top w:val="none" w:sz="0" w:space="0" w:color="auto"/>
        <w:left w:val="none" w:sz="0" w:space="0" w:color="auto"/>
        <w:bottom w:val="none" w:sz="0" w:space="0" w:color="auto"/>
        <w:right w:val="none" w:sz="0" w:space="0" w:color="auto"/>
      </w:divBdr>
    </w:div>
    <w:div w:id="916092593">
      <w:bodyDiv w:val="1"/>
      <w:marLeft w:val="0"/>
      <w:marRight w:val="0"/>
      <w:marTop w:val="0"/>
      <w:marBottom w:val="0"/>
      <w:divBdr>
        <w:top w:val="none" w:sz="0" w:space="0" w:color="auto"/>
        <w:left w:val="none" w:sz="0" w:space="0" w:color="auto"/>
        <w:bottom w:val="none" w:sz="0" w:space="0" w:color="auto"/>
        <w:right w:val="none" w:sz="0" w:space="0" w:color="auto"/>
      </w:divBdr>
    </w:div>
    <w:div w:id="916742440">
      <w:bodyDiv w:val="1"/>
      <w:marLeft w:val="0"/>
      <w:marRight w:val="0"/>
      <w:marTop w:val="0"/>
      <w:marBottom w:val="0"/>
      <w:divBdr>
        <w:top w:val="none" w:sz="0" w:space="0" w:color="auto"/>
        <w:left w:val="none" w:sz="0" w:space="0" w:color="auto"/>
        <w:bottom w:val="none" w:sz="0" w:space="0" w:color="auto"/>
        <w:right w:val="none" w:sz="0" w:space="0" w:color="auto"/>
      </w:divBdr>
    </w:div>
    <w:div w:id="917404424">
      <w:bodyDiv w:val="1"/>
      <w:marLeft w:val="0"/>
      <w:marRight w:val="0"/>
      <w:marTop w:val="0"/>
      <w:marBottom w:val="0"/>
      <w:divBdr>
        <w:top w:val="none" w:sz="0" w:space="0" w:color="auto"/>
        <w:left w:val="none" w:sz="0" w:space="0" w:color="auto"/>
        <w:bottom w:val="none" w:sz="0" w:space="0" w:color="auto"/>
        <w:right w:val="none" w:sz="0" w:space="0" w:color="auto"/>
      </w:divBdr>
    </w:div>
    <w:div w:id="917439469">
      <w:bodyDiv w:val="1"/>
      <w:marLeft w:val="0"/>
      <w:marRight w:val="0"/>
      <w:marTop w:val="0"/>
      <w:marBottom w:val="0"/>
      <w:divBdr>
        <w:top w:val="none" w:sz="0" w:space="0" w:color="auto"/>
        <w:left w:val="none" w:sz="0" w:space="0" w:color="auto"/>
        <w:bottom w:val="none" w:sz="0" w:space="0" w:color="auto"/>
        <w:right w:val="none" w:sz="0" w:space="0" w:color="auto"/>
      </w:divBdr>
    </w:div>
    <w:div w:id="917515366">
      <w:bodyDiv w:val="1"/>
      <w:marLeft w:val="0"/>
      <w:marRight w:val="0"/>
      <w:marTop w:val="0"/>
      <w:marBottom w:val="0"/>
      <w:divBdr>
        <w:top w:val="none" w:sz="0" w:space="0" w:color="auto"/>
        <w:left w:val="none" w:sz="0" w:space="0" w:color="auto"/>
        <w:bottom w:val="none" w:sz="0" w:space="0" w:color="auto"/>
        <w:right w:val="none" w:sz="0" w:space="0" w:color="auto"/>
      </w:divBdr>
    </w:div>
    <w:div w:id="918290620">
      <w:bodyDiv w:val="1"/>
      <w:marLeft w:val="0"/>
      <w:marRight w:val="0"/>
      <w:marTop w:val="0"/>
      <w:marBottom w:val="0"/>
      <w:divBdr>
        <w:top w:val="none" w:sz="0" w:space="0" w:color="auto"/>
        <w:left w:val="none" w:sz="0" w:space="0" w:color="auto"/>
        <w:bottom w:val="none" w:sz="0" w:space="0" w:color="auto"/>
        <w:right w:val="none" w:sz="0" w:space="0" w:color="auto"/>
      </w:divBdr>
    </w:div>
    <w:div w:id="918564844">
      <w:bodyDiv w:val="1"/>
      <w:marLeft w:val="0"/>
      <w:marRight w:val="0"/>
      <w:marTop w:val="0"/>
      <w:marBottom w:val="0"/>
      <w:divBdr>
        <w:top w:val="none" w:sz="0" w:space="0" w:color="auto"/>
        <w:left w:val="none" w:sz="0" w:space="0" w:color="auto"/>
        <w:bottom w:val="none" w:sz="0" w:space="0" w:color="auto"/>
        <w:right w:val="none" w:sz="0" w:space="0" w:color="auto"/>
      </w:divBdr>
    </w:div>
    <w:div w:id="918908835">
      <w:bodyDiv w:val="1"/>
      <w:marLeft w:val="0"/>
      <w:marRight w:val="0"/>
      <w:marTop w:val="0"/>
      <w:marBottom w:val="0"/>
      <w:divBdr>
        <w:top w:val="none" w:sz="0" w:space="0" w:color="auto"/>
        <w:left w:val="none" w:sz="0" w:space="0" w:color="auto"/>
        <w:bottom w:val="none" w:sz="0" w:space="0" w:color="auto"/>
        <w:right w:val="none" w:sz="0" w:space="0" w:color="auto"/>
      </w:divBdr>
    </w:div>
    <w:div w:id="918947924">
      <w:bodyDiv w:val="1"/>
      <w:marLeft w:val="0"/>
      <w:marRight w:val="0"/>
      <w:marTop w:val="0"/>
      <w:marBottom w:val="0"/>
      <w:divBdr>
        <w:top w:val="none" w:sz="0" w:space="0" w:color="auto"/>
        <w:left w:val="none" w:sz="0" w:space="0" w:color="auto"/>
        <w:bottom w:val="none" w:sz="0" w:space="0" w:color="auto"/>
        <w:right w:val="none" w:sz="0" w:space="0" w:color="auto"/>
      </w:divBdr>
    </w:div>
    <w:div w:id="919556001">
      <w:bodyDiv w:val="1"/>
      <w:marLeft w:val="0"/>
      <w:marRight w:val="0"/>
      <w:marTop w:val="0"/>
      <w:marBottom w:val="0"/>
      <w:divBdr>
        <w:top w:val="none" w:sz="0" w:space="0" w:color="auto"/>
        <w:left w:val="none" w:sz="0" w:space="0" w:color="auto"/>
        <w:bottom w:val="none" w:sz="0" w:space="0" w:color="auto"/>
        <w:right w:val="none" w:sz="0" w:space="0" w:color="auto"/>
      </w:divBdr>
    </w:div>
    <w:div w:id="920407973">
      <w:bodyDiv w:val="1"/>
      <w:marLeft w:val="0"/>
      <w:marRight w:val="0"/>
      <w:marTop w:val="0"/>
      <w:marBottom w:val="0"/>
      <w:divBdr>
        <w:top w:val="none" w:sz="0" w:space="0" w:color="auto"/>
        <w:left w:val="none" w:sz="0" w:space="0" w:color="auto"/>
        <w:bottom w:val="none" w:sz="0" w:space="0" w:color="auto"/>
        <w:right w:val="none" w:sz="0" w:space="0" w:color="auto"/>
      </w:divBdr>
    </w:div>
    <w:div w:id="920604266">
      <w:bodyDiv w:val="1"/>
      <w:marLeft w:val="0"/>
      <w:marRight w:val="0"/>
      <w:marTop w:val="0"/>
      <w:marBottom w:val="0"/>
      <w:divBdr>
        <w:top w:val="none" w:sz="0" w:space="0" w:color="auto"/>
        <w:left w:val="none" w:sz="0" w:space="0" w:color="auto"/>
        <w:bottom w:val="none" w:sz="0" w:space="0" w:color="auto"/>
        <w:right w:val="none" w:sz="0" w:space="0" w:color="auto"/>
      </w:divBdr>
    </w:div>
    <w:div w:id="920793300">
      <w:bodyDiv w:val="1"/>
      <w:marLeft w:val="0"/>
      <w:marRight w:val="0"/>
      <w:marTop w:val="0"/>
      <w:marBottom w:val="0"/>
      <w:divBdr>
        <w:top w:val="none" w:sz="0" w:space="0" w:color="auto"/>
        <w:left w:val="none" w:sz="0" w:space="0" w:color="auto"/>
        <w:bottom w:val="none" w:sz="0" w:space="0" w:color="auto"/>
        <w:right w:val="none" w:sz="0" w:space="0" w:color="auto"/>
      </w:divBdr>
    </w:div>
    <w:div w:id="921136455">
      <w:bodyDiv w:val="1"/>
      <w:marLeft w:val="0"/>
      <w:marRight w:val="0"/>
      <w:marTop w:val="0"/>
      <w:marBottom w:val="0"/>
      <w:divBdr>
        <w:top w:val="none" w:sz="0" w:space="0" w:color="auto"/>
        <w:left w:val="none" w:sz="0" w:space="0" w:color="auto"/>
        <w:bottom w:val="none" w:sz="0" w:space="0" w:color="auto"/>
        <w:right w:val="none" w:sz="0" w:space="0" w:color="auto"/>
      </w:divBdr>
    </w:div>
    <w:div w:id="921262111">
      <w:bodyDiv w:val="1"/>
      <w:marLeft w:val="0"/>
      <w:marRight w:val="0"/>
      <w:marTop w:val="0"/>
      <w:marBottom w:val="0"/>
      <w:divBdr>
        <w:top w:val="none" w:sz="0" w:space="0" w:color="auto"/>
        <w:left w:val="none" w:sz="0" w:space="0" w:color="auto"/>
        <w:bottom w:val="none" w:sz="0" w:space="0" w:color="auto"/>
        <w:right w:val="none" w:sz="0" w:space="0" w:color="auto"/>
      </w:divBdr>
    </w:div>
    <w:div w:id="921375781">
      <w:bodyDiv w:val="1"/>
      <w:marLeft w:val="0"/>
      <w:marRight w:val="0"/>
      <w:marTop w:val="0"/>
      <w:marBottom w:val="0"/>
      <w:divBdr>
        <w:top w:val="none" w:sz="0" w:space="0" w:color="auto"/>
        <w:left w:val="none" w:sz="0" w:space="0" w:color="auto"/>
        <w:bottom w:val="none" w:sz="0" w:space="0" w:color="auto"/>
        <w:right w:val="none" w:sz="0" w:space="0" w:color="auto"/>
      </w:divBdr>
      <w:divsChild>
        <w:div w:id="110321122">
          <w:marLeft w:val="0"/>
          <w:marRight w:val="0"/>
          <w:marTop w:val="0"/>
          <w:marBottom w:val="0"/>
          <w:divBdr>
            <w:top w:val="none" w:sz="0" w:space="0" w:color="auto"/>
            <w:left w:val="none" w:sz="0" w:space="0" w:color="auto"/>
            <w:bottom w:val="none" w:sz="0" w:space="0" w:color="auto"/>
            <w:right w:val="none" w:sz="0" w:space="0" w:color="auto"/>
          </w:divBdr>
        </w:div>
        <w:div w:id="263000445">
          <w:marLeft w:val="0"/>
          <w:marRight w:val="0"/>
          <w:marTop w:val="0"/>
          <w:marBottom w:val="0"/>
          <w:divBdr>
            <w:top w:val="none" w:sz="0" w:space="0" w:color="auto"/>
            <w:left w:val="none" w:sz="0" w:space="0" w:color="auto"/>
            <w:bottom w:val="none" w:sz="0" w:space="0" w:color="auto"/>
            <w:right w:val="none" w:sz="0" w:space="0" w:color="auto"/>
          </w:divBdr>
        </w:div>
        <w:div w:id="1159736423">
          <w:marLeft w:val="0"/>
          <w:marRight w:val="0"/>
          <w:marTop w:val="0"/>
          <w:marBottom w:val="0"/>
          <w:divBdr>
            <w:top w:val="none" w:sz="0" w:space="0" w:color="auto"/>
            <w:left w:val="none" w:sz="0" w:space="0" w:color="auto"/>
            <w:bottom w:val="none" w:sz="0" w:space="0" w:color="auto"/>
            <w:right w:val="none" w:sz="0" w:space="0" w:color="auto"/>
          </w:divBdr>
        </w:div>
        <w:div w:id="1216430561">
          <w:marLeft w:val="0"/>
          <w:marRight w:val="0"/>
          <w:marTop w:val="0"/>
          <w:marBottom w:val="0"/>
          <w:divBdr>
            <w:top w:val="none" w:sz="0" w:space="0" w:color="auto"/>
            <w:left w:val="none" w:sz="0" w:space="0" w:color="auto"/>
            <w:bottom w:val="none" w:sz="0" w:space="0" w:color="auto"/>
            <w:right w:val="none" w:sz="0" w:space="0" w:color="auto"/>
          </w:divBdr>
        </w:div>
        <w:div w:id="1309017724">
          <w:marLeft w:val="0"/>
          <w:marRight w:val="0"/>
          <w:marTop w:val="0"/>
          <w:marBottom w:val="0"/>
          <w:divBdr>
            <w:top w:val="none" w:sz="0" w:space="0" w:color="auto"/>
            <w:left w:val="none" w:sz="0" w:space="0" w:color="auto"/>
            <w:bottom w:val="none" w:sz="0" w:space="0" w:color="auto"/>
            <w:right w:val="none" w:sz="0" w:space="0" w:color="auto"/>
          </w:divBdr>
        </w:div>
        <w:div w:id="1656563620">
          <w:marLeft w:val="0"/>
          <w:marRight w:val="0"/>
          <w:marTop w:val="0"/>
          <w:marBottom w:val="0"/>
          <w:divBdr>
            <w:top w:val="none" w:sz="0" w:space="0" w:color="auto"/>
            <w:left w:val="none" w:sz="0" w:space="0" w:color="auto"/>
            <w:bottom w:val="none" w:sz="0" w:space="0" w:color="auto"/>
            <w:right w:val="none" w:sz="0" w:space="0" w:color="auto"/>
          </w:divBdr>
        </w:div>
        <w:div w:id="1835804742">
          <w:marLeft w:val="0"/>
          <w:marRight w:val="0"/>
          <w:marTop w:val="0"/>
          <w:marBottom w:val="0"/>
          <w:divBdr>
            <w:top w:val="none" w:sz="0" w:space="0" w:color="auto"/>
            <w:left w:val="none" w:sz="0" w:space="0" w:color="auto"/>
            <w:bottom w:val="none" w:sz="0" w:space="0" w:color="auto"/>
            <w:right w:val="none" w:sz="0" w:space="0" w:color="auto"/>
          </w:divBdr>
        </w:div>
        <w:div w:id="1892770544">
          <w:marLeft w:val="0"/>
          <w:marRight w:val="0"/>
          <w:marTop w:val="0"/>
          <w:marBottom w:val="0"/>
          <w:divBdr>
            <w:top w:val="none" w:sz="0" w:space="0" w:color="auto"/>
            <w:left w:val="none" w:sz="0" w:space="0" w:color="auto"/>
            <w:bottom w:val="none" w:sz="0" w:space="0" w:color="auto"/>
            <w:right w:val="none" w:sz="0" w:space="0" w:color="auto"/>
          </w:divBdr>
        </w:div>
      </w:divsChild>
    </w:div>
    <w:div w:id="921376067">
      <w:bodyDiv w:val="1"/>
      <w:marLeft w:val="0"/>
      <w:marRight w:val="0"/>
      <w:marTop w:val="0"/>
      <w:marBottom w:val="0"/>
      <w:divBdr>
        <w:top w:val="none" w:sz="0" w:space="0" w:color="auto"/>
        <w:left w:val="none" w:sz="0" w:space="0" w:color="auto"/>
        <w:bottom w:val="none" w:sz="0" w:space="0" w:color="auto"/>
        <w:right w:val="none" w:sz="0" w:space="0" w:color="auto"/>
      </w:divBdr>
    </w:div>
    <w:div w:id="921641588">
      <w:bodyDiv w:val="1"/>
      <w:marLeft w:val="0"/>
      <w:marRight w:val="0"/>
      <w:marTop w:val="0"/>
      <w:marBottom w:val="0"/>
      <w:divBdr>
        <w:top w:val="none" w:sz="0" w:space="0" w:color="auto"/>
        <w:left w:val="none" w:sz="0" w:space="0" w:color="auto"/>
        <w:bottom w:val="none" w:sz="0" w:space="0" w:color="auto"/>
        <w:right w:val="none" w:sz="0" w:space="0" w:color="auto"/>
      </w:divBdr>
    </w:div>
    <w:div w:id="921646529">
      <w:bodyDiv w:val="1"/>
      <w:marLeft w:val="0"/>
      <w:marRight w:val="0"/>
      <w:marTop w:val="0"/>
      <w:marBottom w:val="0"/>
      <w:divBdr>
        <w:top w:val="none" w:sz="0" w:space="0" w:color="auto"/>
        <w:left w:val="none" w:sz="0" w:space="0" w:color="auto"/>
        <w:bottom w:val="none" w:sz="0" w:space="0" w:color="auto"/>
        <w:right w:val="none" w:sz="0" w:space="0" w:color="auto"/>
      </w:divBdr>
    </w:div>
    <w:div w:id="921914574">
      <w:bodyDiv w:val="1"/>
      <w:marLeft w:val="0"/>
      <w:marRight w:val="0"/>
      <w:marTop w:val="0"/>
      <w:marBottom w:val="0"/>
      <w:divBdr>
        <w:top w:val="none" w:sz="0" w:space="0" w:color="auto"/>
        <w:left w:val="none" w:sz="0" w:space="0" w:color="auto"/>
        <w:bottom w:val="none" w:sz="0" w:space="0" w:color="auto"/>
        <w:right w:val="none" w:sz="0" w:space="0" w:color="auto"/>
      </w:divBdr>
    </w:div>
    <w:div w:id="923295432">
      <w:bodyDiv w:val="1"/>
      <w:marLeft w:val="0"/>
      <w:marRight w:val="0"/>
      <w:marTop w:val="0"/>
      <w:marBottom w:val="0"/>
      <w:divBdr>
        <w:top w:val="none" w:sz="0" w:space="0" w:color="auto"/>
        <w:left w:val="none" w:sz="0" w:space="0" w:color="auto"/>
        <w:bottom w:val="none" w:sz="0" w:space="0" w:color="auto"/>
        <w:right w:val="none" w:sz="0" w:space="0" w:color="auto"/>
      </w:divBdr>
    </w:div>
    <w:div w:id="923609331">
      <w:bodyDiv w:val="1"/>
      <w:marLeft w:val="0"/>
      <w:marRight w:val="0"/>
      <w:marTop w:val="0"/>
      <w:marBottom w:val="0"/>
      <w:divBdr>
        <w:top w:val="none" w:sz="0" w:space="0" w:color="auto"/>
        <w:left w:val="none" w:sz="0" w:space="0" w:color="auto"/>
        <w:bottom w:val="none" w:sz="0" w:space="0" w:color="auto"/>
        <w:right w:val="none" w:sz="0" w:space="0" w:color="auto"/>
      </w:divBdr>
    </w:div>
    <w:div w:id="924189995">
      <w:bodyDiv w:val="1"/>
      <w:marLeft w:val="0"/>
      <w:marRight w:val="0"/>
      <w:marTop w:val="0"/>
      <w:marBottom w:val="0"/>
      <w:divBdr>
        <w:top w:val="none" w:sz="0" w:space="0" w:color="auto"/>
        <w:left w:val="none" w:sz="0" w:space="0" w:color="auto"/>
        <w:bottom w:val="none" w:sz="0" w:space="0" w:color="auto"/>
        <w:right w:val="none" w:sz="0" w:space="0" w:color="auto"/>
      </w:divBdr>
    </w:div>
    <w:div w:id="924191477">
      <w:bodyDiv w:val="1"/>
      <w:marLeft w:val="0"/>
      <w:marRight w:val="0"/>
      <w:marTop w:val="0"/>
      <w:marBottom w:val="0"/>
      <w:divBdr>
        <w:top w:val="none" w:sz="0" w:space="0" w:color="auto"/>
        <w:left w:val="none" w:sz="0" w:space="0" w:color="auto"/>
        <w:bottom w:val="none" w:sz="0" w:space="0" w:color="auto"/>
        <w:right w:val="none" w:sz="0" w:space="0" w:color="auto"/>
      </w:divBdr>
    </w:div>
    <w:div w:id="924462619">
      <w:bodyDiv w:val="1"/>
      <w:marLeft w:val="0"/>
      <w:marRight w:val="0"/>
      <w:marTop w:val="0"/>
      <w:marBottom w:val="0"/>
      <w:divBdr>
        <w:top w:val="none" w:sz="0" w:space="0" w:color="auto"/>
        <w:left w:val="none" w:sz="0" w:space="0" w:color="auto"/>
        <w:bottom w:val="none" w:sz="0" w:space="0" w:color="auto"/>
        <w:right w:val="none" w:sz="0" w:space="0" w:color="auto"/>
      </w:divBdr>
    </w:div>
    <w:div w:id="924610658">
      <w:bodyDiv w:val="1"/>
      <w:marLeft w:val="0"/>
      <w:marRight w:val="0"/>
      <w:marTop w:val="0"/>
      <w:marBottom w:val="0"/>
      <w:divBdr>
        <w:top w:val="none" w:sz="0" w:space="0" w:color="auto"/>
        <w:left w:val="none" w:sz="0" w:space="0" w:color="auto"/>
        <w:bottom w:val="none" w:sz="0" w:space="0" w:color="auto"/>
        <w:right w:val="none" w:sz="0" w:space="0" w:color="auto"/>
      </w:divBdr>
    </w:div>
    <w:div w:id="925579519">
      <w:bodyDiv w:val="1"/>
      <w:marLeft w:val="0"/>
      <w:marRight w:val="0"/>
      <w:marTop w:val="0"/>
      <w:marBottom w:val="0"/>
      <w:divBdr>
        <w:top w:val="none" w:sz="0" w:space="0" w:color="auto"/>
        <w:left w:val="none" w:sz="0" w:space="0" w:color="auto"/>
        <w:bottom w:val="none" w:sz="0" w:space="0" w:color="auto"/>
        <w:right w:val="none" w:sz="0" w:space="0" w:color="auto"/>
      </w:divBdr>
    </w:div>
    <w:div w:id="925919413">
      <w:bodyDiv w:val="1"/>
      <w:marLeft w:val="0"/>
      <w:marRight w:val="0"/>
      <w:marTop w:val="0"/>
      <w:marBottom w:val="0"/>
      <w:divBdr>
        <w:top w:val="none" w:sz="0" w:space="0" w:color="auto"/>
        <w:left w:val="none" w:sz="0" w:space="0" w:color="auto"/>
        <w:bottom w:val="none" w:sz="0" w:space="0" w:color="auto"/>
        <w:right w:val="none" w:sz="0" w:space="0" w:color="auto"/>
      </w:divBdr>
    </w:div>
    <w:div w:id="926227782">
      <w:bodyDiv w:val="1"/>
      <w:marLeft w:val="0"/>
      <w:marRight w:val="0"/>
      <w:marTop w:val="0"/>
      <w:marBottom w:val="0"/>
      <w:divBdr>
        <w:top w:val="none" w:sz="0" w:space="0" w:color="auto"/>
        <w:left w:val="none" w:sz="0" w:space="0" w:color="auto"/>
        <w:bottom w:val="none" w:sz="0" w:space="0" w:color="auto"/>
        <w:right w:val="none" w:sz="0" w:space="0" w:color="auto"/>
      </w:divBdr>
    </w:div>
    <w:div w:id="926379384">
      <w:bodyDiv w:val="1"/>
      <w:marLeft w:val="0"/>
      <w:marRight w:val="0"/>
      <w:marTop w:val="0"/>
      <w:marBottom w:val="0"/>
      <w:divBdr>
        <w:top w:val="none" w:sz="0" w:space="0" w:color="auto"/>
        <w:left w:val="none" w:sz="0" w:space="0" w:color="auto"/>
        <w:bottom w:val="none" w:sz="0" w:space="0" w:color="auto"/>
        <w:right w:val="none" w:sz="0" w:space="0" w:color="auto"/>
      </w:divBdr>
    </w:div>
    <w:div w:id="927154852">
      <w:bodyDiv w:val="1"/>
      <w:marLeft w:val="0"/>
      <w:marRight w:val="0"/>
      <w:marTop w:val="0"/>
      <w:marBottom w:val="0"/>
      <w:divBdr>
        <w:top w:val="none" w:sz="0" w:space="0" w:color="auto"/>
        <w:left w:val="none" w:sz="0" w:space="0" w:color="auto"/>
        <w:bottom w:val="none" w:sz="0" w:space="0" w:color="auto"/>
        <w:right w:val="none" w:sz="0" w:space="0" w:color="auto"/>
      </w:divBdr>
    </w:div>
    <w:div w:id="927227865">
      <w:bodyDiv w:val="1"/>
      <w:marLeft w:val="0"/>
      <w:marRight w:val="0"/>
      <w:marTop w:val="0"/>
      <w:marBottom w:val="0"/>
      <w:divBdr>
        <w:top w:val="none" w:sz="0" w:space="0" w:color="auto"/>
        <w:left w:val="none" w:sz="0" w:space="0" w:color="auto"/>
        <w:bottom w:val="none" w:sz="0" w:space="0" w:color="auto"/>
        <w:right w:val="none" w:sz="0" w:space="0" w:color="auto"/>
      </w:divBdr>
    </w:div>
    <w:div w:id="927731073">
      <w:bodyDiv w:val="1"/>
      <w:marLeft w:val="0"/>
      <w:marRight w:val="0"/>
      <w:marTop w:val="0"/>
      <w:marBottom w:val="0"/>
      <w:divBdr>
        <w:top w:val="none" w:sz="0" w:space="0" w:color="auto"/>
        <w:left w:val="none" w:sz="0" w:space="0" w:color="auto"/>
        <w:bottom w:val="none" w:sz="0" w:space="0" w:color="auto"/>
        <w:right w:val="none" w:sz="0" w:space="0" w:color="auto"/>
      </w:divBdr>
    </w:div>
    <w:div w:id="927927050">
      <w:bodyDiv w:val="1"/>
      <w:marLeft w:val="0"/>
      <w:marRight w:val="0"/>
      <w:marTop w:val="0"/>
      <w:marBottom w:val="0"/>
      <w:divBdr>
        <w:top w:val="none" w:sz="0" w:space="0" w:color="auto"/>
        <w:left w:val="none" w:sz="0" w:space="0" w:color="auto"/>
        <w:bottom w:val="none" w:sz="0" w:space="0" w:color="auto"/>
        <w:right w:val="none" w:sz="0" w:space="0" w:color="auto"/>
      </w:divBdr>
    </w:div>
    <w:div w:id="928076986">
      <w:bodyDiv w:val="1"/>
      <w:marLeft w:val="0"/>
      <w:marRight w:val="0"/>
      <w:marTop w:val="0"/>
      <w:marBottom w:val="0"/>
      <w:divBdr>
        <w:top w:val="none" w:sz="0" w:space="0" w:color="auto"/>
        <w:left w:val="none" w:sz="0" w:space="0" w:color="auto"/>
        <w:bottom w:val="none" w:sz="0" w:space="0" w:color="auto"/>
        <w:right w:val="none" w:sz="0" w:space="0" w:color="auto"/>
      </w:divBdr>
    </w:div>
    <w:div w:id="928391657">
      <w:bodyDiv w:val="1"/>
      <w:marLeft w:val="0"/>
      <w:marRight w:val="0"/>
      <w:marTop w:val="0"/>
      <w:marBottom w:val="0"/>
      <w:divBdr>
        <w:top w:val="none" w:sz="0" w:space="0" w:color="auto"/>
        <w:left w:val="none" w:sz="0" w:space="0" w:color="auto"/>
        <w:bottom w:val="none" w:sz="0" w:space="0" w:color="auto"/>
        <w:right w:val="none" w:sz="0" w:space="0" w:color="auto"/>
      </w:divBdr>
    </w:div>
    <w:div w:id="928581347">
      <w:bodyDiv w:val="1"/>
      <w:marLeft w:val="0"/>
      <w:marRight w:val="0"/>
      <w:marTop w:val="0"/>
      <w:marBottom w:val="0"/>
      <w:divBdr>
        <w:top w:val="none" w:sz="0" w:space="0" w:color="auto"/>
        <w:left w:val="none" w:sz="0" w:space="0" w:color="auto"/>
        <w:bottom w:val="none" w:sz="0" w:space="0" w:color="auto"/>
        <w:right w:val="none" w:sz="0" w:space="0" w:color="auto"/>
      </w:divBdr>
    </w:div>
    <w:div w:id="928776899">
      <w:bodyDiv w:val="1"/>
      <w:marLeft w:val="0"/>
      <w:marRight w:val="0"/>
      <w:marTop w:val="0"/>
      <w:marBottom w:val="0"/>
      <w:divBdr>
        <w:top w:val="none" w:sz="0" w:space="0" w:color="auto"/>
        <w:left w:val="none" w:sz="0" w:space="0" w:color="auto"/>
        <w:bottom w:val="none" w:sz="0" w:space="0" w:color="auto"/>
        <w:right w:val="none" w:sz="0" w:space="0" w:color="auto"/>
      </w:divBdr>
    </w:div>
    <w:div w:id="929043446">
      <w:bodyDiv w:val="1"/>
      <w:marLeft w:val="0"/>
      <w:marRight w:val="0"/>
      <w:marTop w:val="0"/>
      <w:marBottom w:val="0"/>
      <w:divBdr>
        <w:top w:val="none" w:sz="0" w:space="0" w:color="auto"/>
        <w:left w:val="none" w:sz="0" w:space="0" w:color="auto"/>
        <w:bottom w:val="none" w:sz="0" w:space="0" w:color="auto"/>
        <w:right w:val="none" w:sz="0" w:space="0" w:color="auto"/>
      </w:divBdr>
    </w:div>
    <w:div w:id="929198686">
      <w:bodyDiv w:val="1"/>
      <w:marLeft w:val="0"/>
      <w:marRight w:val="0"/>
      <w:marTop w:val="0"/>
      <w:marBottom w:val="0"/>
      <w:divBdr>
        <w:top w:val="none" w:sz="0" w:space="0" w:color="auto"/>
        <w:left w:val="none" w:sz="0" w:space="0" w:color="auto"/>
        <w:bottom w:val="none" w:sz="0" w:space="0" w:color="auto"/>
        <w:right w:val="none" w:sz="0" w:space="0" w:color="auto"/>
      </w:divBdr>
    </w:div>
    <w:div w:id="929463423">
      <w:bodyDiv w:val="1"/>
      <w:marLeft w:val="0"/>
      <w:marRight w:val="0"/>
      <w:marTop w:val="0"/>
      <w:marBottom w:val="0"/>
      <w:divBdr>
        <w:top w:val="none" w:sz="0" w:space="0" w:color="auto"/>
        <w:left w:val="none" w:sz="0" w:space="0" w:color="auto"/>
        <w:bottom w:val="none" w:sz="0" w:space="0" w:color="auto"/>
        <w:right w:val="none" w:sz="0" w:space="0" w:color="auto"/>
      </w:divBdr>
    </w:div>
    <w:div w:id="929696754">
      <w:bodyDiv w:val="1"/>
      <w:marLeft w:val="0"/>
      <w:marRight w:val="0"/>
      <w:marTop w:val="0"/>
      <w:marBottom w:val="0"/>
      <w:divBdr>
        <w:top w:val="none" w:sz="0" w:space="0" w:color="auto"/>
        <w:left w:val="none" w:sz="0" w:space="0" w:color="auto"/>
        <w:bottom w:val="none" w:sz="0" w:space="0" w:color="auto"/>
        <w:right w:val="none" w:sz="0" w:space="0" w:color="auto"/>
      </w:divBdr>
    </w:div>
    <w:div w:id="930508852">
      <w:bodyDiv w:val="1"/>
      <w:marLeft w:val="0"/>
      <w:marRight w:val="0"/>
      <w:marTop w:val="0"/>
      <w:marBottom w:val="0"/>
      <w:divBdr>
        <w:top w:val="none" w:sz="0" w:space="0" w:color="auto"/>
        <w:left w:val="none" w:sz="0" w:space="0" w:color="auto"/>
        <w:bottom w:val="none" w:sz="0" w:space="0" w:color="auto"/>
        <w:right w:val="none" w:sz="0" w:space="0" w:color="auto"/>
      </w:divBdr>
    </w:div>
    <w:div w:id="931008029">
      <w:bodyDiv w:val="1"/>
      <w:marLeft w:val="0"/>
      <w:marRight w:val="0"/>
      <w:marTop w:val="0"/>
      <w:marBottom w:val="0"/>
      <w:divBdr>
        <w:top w:val="none" w:sz="0" w:space="0" w:color="auto"/>
        <w:left w:val="none" w:sz="0" w:space="0" w:color="auto"/>
        <w:bottom w:val="none" w:sz="0" w:space="0" w:color="auto"/>
        <w:right w:val="none" w:sz="0" w:space="0" w:color="auto"/>
      </w:divBdr>
    </w:div>
    <w:div w:id="931352798">
      <w:bodyDiv w:val="1"/>
      <w:marLeft w:val="0"/>
      <w:marRight w:val="0"/>
      <w:marTop w:val="0"/>
      <w:marBottom w:val="0"/>
      <w:divBdr>
        <w:top w:val="none" w:sz="0" w:space="0" w:color="auto"/>
        <w:left w:val="none" w:sz="0" w:space="0" w:color="auto"/>
        <w:bottom w:val="none" w:sz="0" w:space="0" w:color="auto"/>
        <w:right w:val="none" w:sz="0" w:space="0" w:color="auto"/>
      </w:divBdr>
    </w:div>
    <w:div w:id="931545418">
      <w:bodyDiv w:val="1"/>
      <w:marLeft w:val="0"/>
      <w:marRight w:val="0"/>
      <w:marTop w:val="0"/>
      <w:marBottom w:val="0"/>
      <w:divBdr>
        <w:top w:val="none" w:sz="0" w:space="0" w:color="auto"/>
        <w:left w:val="none" w:sz="0" w:space="0" w:color="auto"/>
        <w:bottom w:val="none" w:sz="0" w:space="0" w:color="auto"/>
        <w:right w:val="none" w:sz="0" w:space="0" w:color="auto"/>
      </w:divBdr>
    </w:div>
    <w:div w:id="931738497">
      <w:bodyDiv w:val="1"/>
      <w:marLeft w:val="0"/>
      <w:marRight w:val="0"/>
      <w:marTop w:val="0"/>
      <w:marBottom w:val="0"/>
      <w:divBdr>
        <w:top w:val="none" w:sz="0" w:space="0" w:color="auto"/>
        <w:left w:val="none" w:sz="0" w:space="0" w:color="auto"/>
        <w:bottom w:val="none" w:sz="0" w:space="0" w:color="auto"/>
        <w:right w:val="none" w:sz="0" w:space="0" w:color="auto"/>
      </w:divBdr>
    </w:div>
    <w:div w:id="932012988">
      <w:bodyDiv w:val="1"/>
      <w:marLeft w:val="0"/>
      <w:marRight w:val="0"/>
      <w:marTop w:val="0"/>
      <w:marBottom w:val="0"/>
      <w:divBdr>
        <w:top w:val="none" w:sz="0" w:space="0" w:color="auto"/>
        <w:left w:val="none" w:sz="0" w:space="0" w:color="auto"/>
        <w:bottom w:val="none" w:sz="0" w:space="0" w:color="auto"/>
        <w:right w:val="none" w:sz="0" w:space="0" w:color="auto"/>
      </w:divBdr>
    </w:div>
    <w:div w:id="932200373">
      <w:bodyDiv w:val="1"/>
      <w:marLeft w:val="0"/>
      <w:marRight w:val="0"/>
      <w:marTop w:val="0"/>
      <w:marBottom w:val="0"/>
      <w:divBdr>
        <w:top w:val="none" w:sz="0" w:space="0" w:color="auto"/>
        <w:left w:val="none" w:sz="0" w:space="0" w:color="auto"/>
        <w:bottom w:val="none" w:sz="0" w:space="0" w:color="auto"/>
        <w:right w:val="none" w:sz="0" w:space="0" w:color="auto"/>
      </w:divBdr>
    </w:div>
    <w:div w:id="932324271">
      <w:bodyDiv w:val="1"/>
      <w:marLeft w:val="0"/>
      <w:marRight w:val="0"/>
      <w:marTop w:val="0"/>
      <w:marBottom w:val="0"/>
      <w:divBdr>
        <w:top w:val="none" w:sz="0" w:space="0" w:color="auto"/>
        <w:left w:val="none" w:sz="0" w:space="0" w:color="auto"/>
        <w:bottom w:val="none" w:sz="0" w:space="0" w:color="auto"/>
        <w:right w:val="none" w:sz="0" w:space="0" w:color="auto"/>
      </w:divBdr>
    </w:div>
    <w:div w:id="932399406">
      <w:bodyDiv w:val="1"/>
      <w:marLeft w:val="0"/>
      <w:marRight w:val="0"/>
      <w:marTop w:val="0"/>
      <w:marBottom w:val="0"/>
      <w:divBdr>
        <w:top w:val="none" w:sz="0" w:space="0" w:color="auto"/>
        <w:left w:val="none" w:sz="0" w:space="0" w:color="auto"/>
        <w:bottom w:val="none" w:sz="0" w:space="0" w:color="auto"/>
        <w:right w:val="none" w:sz="0" w:space="0" w:color="auto"/>
      </w:divBdr>
    </w:div>
    <w:div w:id="932661282">
      <w:bodyDiv w:val="1"/>
      <w:marLeft w:val="0"/>
      <w:marRight w:val="0"/>
      <w:marTop w:val="0"/>
      <w:marBottom w:val="0"/>
      <w:divBdr>
        <w:top w:val="none" w:sz="0" w:space="0" w:color="auto"/>
        <w:left w:val="none" w:sz="0" w:space="0" w:color="auto"/>
        <w:bottom w:val="none" w:sz="0" w:space="0" w:color="auto"/>
        <w:right w:val="none" w:sz="0" w:space="0" w:color="auto"/>
      </w:divBdr>
    </w:div>
    <w:div w:id="932668100">
      <w:bodyDiv w:val="1"/>
      <w:marLeft w:val="0"/>
      <w:marRight w:val="0"/>
      <w:marTop w:val="0"/>
      <w:marBottom w:val="0"/>
      <w:divBdr>
        <w:top w:val="none" w:sz="0" w:space="0" w:color="auto"/>
        <w:left w:val="none" w:sz="0" w:space="0" w:color="auto"/>
        <w:bottom w:val="none" w:sz="0" w:space="0" w:color="auto"/>
        <w:right w:val="none" w:sz="0" w:space="0" w:color="auto"/>
      </w:divBdr>
    </w:div>
    <w:div w:id="932856046">
      <w:bodyDiv w:val="1"/>
      <w:marLeft w:val="0"/>
      <w:marRight w:val="0"/>
      <w:marTop w:val="0"/>
      <w:marBottom w:val="0"/>
      <w:divBdr>
        <w:top w:val="none" w:sz="0" w:space="0" w:color="auto"/>
        <w:left w:val="none" w:sz="0" w:space="0" w:color="auto"/>
        <w:bottom w:val="none" w:sz="0" w:space="0" w:color="auto"/>
        <w:right w:val="none" w:sz="0" w:space="0" w:color="auto"/>
      </w:divBdr>
    </w:div>
    <w:div w:id="933123668">
      <w:bodyDiv w:val="1"/>
      <w:marLeft w:val="0"/>
      <w:marRight w:val="0"/>
      <w:marTop w:val="0"/>
      <w:marBottom w:val="0"/>
      <w:divBdr>
        <w:top w:val="none" w:sz="0" w:space="0" w:color="auto"/>
        <w:left w:val="none" w:sz="0" w:space="0" w:color="auto"/>
        <w:bottom w:val="none" w:sz="0" w:space="0" w:color="auto"/>
        <w:right w:val="none" w:sz="0" w:space="0" w:color="auto"/>
      </w:divBdr>
    </w:div>
    <w:div w:id="933366164">
      <w:bodyDiv w:val="1"/>
      <w:marLeft w:val="0"/>
      <w:marRight w:val="0"/>
      <w:marTop w:val="0"/>
      <w:marBottom w:val="0"/>
      <w:divBdr>
        <w:top w:val="none" w:sz="0" w:space="0" w:color="auto"/>
        <w:left w:val="none" w:sz="0" w:space="0" w:color="auto"/>
        <w:bottom w:val="none" w:sz="0" w:space="0" w:color="auto"/>
        <w:right w:val="none" w:sz="0" w:space="0" w:color="auto"/>
      </w:divBdr>
    </w:div>
    <w:div w:id="933824679">
      <w:bodyDiv w:val="1"/>
      <w:marLeft w:val="0"/>
      <w:marRight w:val="0"/>
      <w:marTop w:val="0"/>
      <w:marBottom w:val="0"/>
      <w:divBdr>
        <w:top w:val="none" w:sz="0" w:space="0" w:color="auto"/>
        <w:left w:val="none" w:sz="0" w:space="0" w:color="auto"/>
        <w:bottom w:val="none" w:sz="0" w:space="0" w:color="auto"/>
        <w:right w:val="none" w:sz="0" w:space="0" w:color="auto"/>
      </w:divBdr>
    </w:div>
    <w:div w:id="933977405">
      <w:bodyDiv w:val="1"/>
      <w:marLeft w:val="0"/>
      <w:marRight w:val="0"/>
      <w:marTop w:val="0"/>
      <w:marBottom w:val="0"/>
      <w:divBdr>
        <w:top w:val="none" w:sz="0" w:space="0" w:color="auto"/>
        <w:left w:val="none" w:sz="0" w:space="0" w:color="auto"/>
        <w:bottom w:val="none" w:sz="0" w:space="0" w:color="auto"/>
        <w:right w:val="none" w:sz="0" w:space="0" w:color="auto"/>
      </w:divBdr>
    </w:div>
    <w:div w:id="934048339">
      <w:bodyDiv w:val="1"/>
      <w:marLeft w:val="0"/>
      <w:marRight w:val="0"/>
      <w:marTop w:val="0"/>
      <w:marBottom w:val="0"/>
      <w:divBdr>
        <w:top w:val="none" w:sz="0" w:space="0" w:color="auto"/>
        <w:left w:val="none" w:sz="0" w:space="0" w:color="auto"/>
        <w:bottom w:val="none" w:sz="0" w:space="0" w:color="auto"/>
        <w:right w:val="none" w:sz="0" w:space="0" w:color="auto"/>
      </w:divBdr>
    </w:div>
    <w:div w:id="934434860">
      <w:bodyDiv w:val="1"/>
      <w:marLeft w:val="0"/>
      <w:marRight w:val="0"/>
      <w:marTop w:val="0"/>
      <w:marBottom w:val="0"/>
      <w:divBdr>
        <w:top w:val="none" w:sz="0" w:space="0" w:color="auto"/>
        <w:left w:val="none" w:sz="0" w:space="0" w:color="auto"/>
        <w:bottom w:val="none" w:sz="0" w:space="0" w:color="auto"/>
        <w:right w:val="none" w:sz="0" w:space="0" w:color="auto"/>
      </w:divBdr>
    </w:div>
    <w:div w:id="934703644">
      <w:bodyDiv w:val="1"/>
      <w:marLeft w:val="0"/>
      <w:marRight w:val="0"/>
      <w:marTop w:val="0"/>
      <w:marBottom w:val="0"/>
      <w:divBdr>
        <w:top w:val="none" w:sz="0" w:space="0" w:color="auto"/>
        <w:left w:val="none" w:sz="0" w:space="0" w:color="auto"/>
        <w:bottom w:val="none" w:sz="0" w:space="0" w:color="auto"/>
        <w:right w:val="none" w:sz="0" w:space="0" w:color="auto"/>
      </w:divBdr>
    </w:div>
    <w:div w:id="934946069">
      <w:bodyDiv w:val="1"/>
      <w:marLeft w:val="0"/>
      <w:marRight w:val="0"/>
      <w:marTop w:val="0"/>
      <w:marBottom w:val="0"/>
      <w:divBdr>
        <w:top w:val="none" w:sz="0" w:space="0" w:color="auto"/>
        <w:left w:val="none" w:sz="0" w:space="0" w:color="auto"/>
        <w:bottom w:val="none" w:sz="0" w:space="0" w:color="auto"/>
        <w:right w:val="none" w:sz="0" w:space="0" w:color="auto"/>
      </w:divBdr>
    </w:div>
    <w:div w:id="935093494">
      <w:bodyDiv w:val="1"/>
      <w:marLeft w:val="0"/>
      <w:marRight w:val="0"/>
      <w:marTop w:val="0"/>
      <w:marBottom w:val="0"/>
      <w:divBdr>
        <w:top w:val="none" w:sz="0" w:space="0" w:color="auto"/>
        <w:left w:val="none" w:sz="0" w:space="0" w:color="auto"/>
        <w:bottom w:val="none" w:sz="0" w:space="0" w:color="auto"/>
        <w:right w:val="none" w:sz="0" w:space="0" w:color="auto"/>
      </w:divBdr>
    </w:div>
    <w:div w:id="935098291">
      <w:bodyDiv w:val="1"/>
      <w:marLeft w:val="0"/>
      <w:marRight w:val="0"/>
      <w:marTop w:val="0"/>
      <w:marBottom w:val="0"/>
      <w:divBdr>
        <w:top w:val="none" w:sz="0" w:space="0" w:color="auto"/>
        <w:left w:val="none" w:sz="0" w:space="0" w:color="auto"/>
        <w:bottom w:val="none" w:sz="0" w:space="0" w:color="auto"/>
        <w:right w:val="none" w:sz="0" w:space="0" w:color="auto"/>
      </w:divBdr>
    </w:div>
    <w:div w:id="935134788">
      <w:bodyDiv w:val="1"/>
      <w:marLeft w:val="0"/>
      <w:marRight w:val="0"/>
      <w:marTop w:val="0"/>
      <w:marBottom w:val="0"/>
      <w:divBdr>
        <w:top w:val="none" w:sz="0" w:space="0" w:color="auto"/>
        <w:left w:val="none" w:sz="0" w:space="0" w:color="auto"/>
        <w:bottom w:val="none" w:sz="0" w:space="0" w:color="auto"/>
        <w:right w:val="none" w:sz="0" w:space="0" w:color="auto"/>
      </w:divBdr>
    </w:div>
    <w:div w:id="935670025">
      <w:bodyDiv w:val="1"/>
      <w:marLeft w:val="0"/>
      <w:marRight w:val="0"/>
      <w:marTop w:val="0"/>
      <w:marBottom w:val="0"/>
      <w:divBdr>
        <w:top w:val="none" w:sz="0" w:space="0" w:color="auto"/>
        <w:left w:val="none" w:sz="0" w:space="0" w:color="auto"/>
        <w:bottom w:val="none" w:sz="0" w:space="0" w:color="auto"/>
        <w:right w:val="none" w:sz="0" w:space="0" w:color="auto"/>
      </w:divBdr>
    </w:div>
    <w:div w:id="935941604">
      <w:bodyDiv w:val="1"/>
      <w:marLeft w:val="0"/>
      <w:marRight w:val="0"/>
      <w:marTop w:val="0"/>
      <w:marBottom w:val="0"/>
      <w:divBdr>
        <w:top w:val="none" w:sz="0" w:space="0" w:color="auto"/>
        <w:left w:val="none" w:sz="0" w:space="0" w:color="auto"/>
        <w:bottom w:val="none" w:sz="0" w:space="0" w:color="auto"/>
        <w:right w:val="none" w:sz="0" w:space="0" w:color="auto"/>
      </w:divBdr>
    </w:div>
    <w:div w:id="936327801">
      <w:bodyDiv w:val="1"/>
      <w:marLeft w:val="0"/>
      <w:marRight w:val="0"/>
      <w:marTop w:val="0"/>
      <w:marBottom w:val="0"/>
      <w:divBdr>
        <w:top w:val="none" w:sz="0" w:space="0" w:color="auto"/>
        <w:left w:val="none" w:sz="0" w:space="0" w:color="auto"/>
        <w:bottom w:val="none" w:sz="0" w:space="0" w:color="auto"/>
        <w:right w:val="none" w:sz="0" w:space="0" w:color="auto"/>
      </w:divBdr>
    </w:div>
    <w:div w:id="936598291">
      <w:bodyDiv w:val="1"/>
      <w:marLeft w:val="0"/>
      <w:marRight w:val="0"/>
      <w:marTop w:val="0"/>
      <w:marBottom w:val="0"/>
      <w:divBdr>
        <w:top w:val="none" w:sz="0" w:space="0" w:color="auto"/>
        <w:left w:val="none" w:sz="0" w:space="0" w:color="auto"/>
        <w:bottom w:val="none" w:sz="0" w:space="0" w:color="auto"/>
        <w:right w:val="none" w:sz="0" w:space="0" w:color="auto"/>
      </w:divBdr>
    </w:div>
    <w:div w:id="936837448">
      <w:bodyDiv w:val="1"/>
      <w:marLeft w:val="0"/>
      <w:marRight w:val="0"/>
      <w:marTop w:val="0"/>
      <w:marBottom w:val="0"/>
      <w:divBdr>
        <w:top w:val="none" w:sz="0" w:space="0" w:color="auto"/>
        <w:left w:val="none" w:sz="0" w:space="0" w:color="auto"/>
        <w:bottom w:val="none" w:sz="0" w:space="0" w:color="auto"/>
        <w:right w:val="none" w:sz="0" w:space="0" w:color="auto"/>
      </w:divBdr>
    </w:div>
    <w:div w:id="936910994">
      <w:bodyDiv w:val="1"/>
      <w:marLeft w:val="0"/>
      <w:marRight w:val="0"/>
      <w:marTop w:val="0"/>
      <w:marBottom w:val="0"/>
      <w:divBdr>
        <w:top w:val="none" w:sz="0" w:space="0" w:color="auto"/>
        <w:left w:val="none" w:sz="0" w:space="0" w:color="auto"/>
        <w:bottom w:val="none" w:sz="0" w:space="0" w:color="auto"/>
        <w:right w:val="none" w:sz="0" w:space="0" w:color="auto"/>
      </w:divBdr>
    </w:div>
    <w:div w:id="937251623">
      <w:bodyDiv w:val="1"/>
      <w:marLeft w:val="0"/>
      <w:marRight w:val="0"/>
      <w:marTop w:val="0"/>
      <w:marBottom w:val="0"/>
      <w:divBdr>
        <w:top w:val="none" w:sz="0" w:space="0" w:color="auto"/>
        <w:left w:val="none" w:sz="0" w:space="0" w:color="auto"/>
        <w:bottom w:val="none" w:sz="0" w:space="0" w:color="auto"/>
        <w:right w:val="none" w:sz="0" w:space="0" w:color="auto"/>
      </w:divBdr>
    </w:div>
    <w:div w:id="937326768">
      <w:bodyDiv w:val="1"/>
      <w:marLeft w:val="0"/>
      <w:marRight w:val="0"/>
      <w:marTop w:val="0"/>
      <w:marBottom w:val="0"/>
      <w:divBdr>
        <w:top w:val="none" w:sz="0" w:space="0" w:color="auto"/>
        <w:left w:val="none" w:sz="0" w:space="0" w:color="auto"/>
        <w:bottom w:val="none" w:sz="0" w:space="0" w:color="auto"/>
        <w:right w:val="none" w:sz="0" w:space="0" w:color="auto"/>
      </w:divBdr>
    </w:div>
    <w:div w:id="937449208">
      <w:bodyDiv w:val="1"/>
      <w:marLeft w:val="0"/>
      <w:marRight w:val="0"/>
      <w:marTop w:val="0"/>
      <w:marBottom w:val="0"/>
      <w:divBdr>
        <w:top w:val="none" w:sz="0" w:space="0" w:color="auto"/>
        <w:left w:val="none" w:sz="0" w:space="0" w:color="auto"/>
        <w:bottom w:val="none" w:sz="0" w:space="0" w:color="auto"/>
        <w:right w:val="none" w:sz="0" w:space="0" w:color="auto"/>
      </w:divBdr>
    </w:div>
    <w:div w:id="937719335">
      <w:bodyDiv w:val="1"/>
      <w:marLeft w:val="0"/>
      <w:marRight w:val="0"/>
      <w:marTop w:val="0"/>
      <w:marBottom w:val="0"/>
      <w:divBdr>
        <w:top w:val="none" w:sz="0" w:space="0" w:color="auto"/>
        <w:left w:val="none" w:sz="0" w:space="0" w:color="auto"/>
        <w:bottom w:val="none" w:sz="0" w:space="0" w:color="auto"/>
        <w:right w:val="none" w:sz="0" w:space="0" w:color="auto"/>
      </w:divBdr>
    </w:div>
    <w:div w:id="937786755">
      <w:bodyDiv w:val="1"/>
      <w:marLeft w:val="0"/>
      <w:marRight w:val="0"/>
      <w:marTop w:val="0"/>
      <w:marBottom w:val="0"/>
      <w:divBdr>
        <w:top w:val="none" w:sz="0" w:space="0" w:color="auto"/>
        <w:left w:val="none" w:sz="0" w:space="0" w:color="auto"/>
        <w:bottom w:val="none" w:sz="0" w:space="0" w:color="auto"/>
        <w:right w:val="none" w:sz="0" w:space="0" w:color="auto"/>
      </w:divBdr>
    </w:div>
    <w:div w:id="938677579">
      <w:bodyDiv w:val="1"/>
      <w:marLeft w:val="0"/>
      <w:marRight w:val="0"/>
      <w:marTop w:val="0"/>
      <w:marBottom w:val="0"/>
      <w:divBdr>
        <w:top w:val="none" w:sz="0" w:space="0" w:color="auto"/>
        <w:left w:val="none" w:sz="0" w:space="0" w:color="auto"/>
        <w:bottom w:val="none" w:sz="0" w:space="0" w:color="auto"/>
        <w:right w:val="none" w:sz="0" w:space="0" w:color="auto"/>
      </w:divBdr>
    </w:div>
    <w:div w:id="938947938">
      <w:bodyDiv w:val="1"/>
      <w:marLeft w:val="0"/>
      <w:marRight w:val="0"/>
      <w:marTop w:val="0"/>
      <w:marBottom w:val="0"/>
      <w:divBdr>
        <w:top w:val="none" w:sz="0" w:space="0" w:color="auto"/>
        <w:left w:val="none" w:sz="0" w:space="0" w:color="auto"/>
        <w:bottom w:val="none" w:sz="0" w:space="0" w:color="auto"/>
        <w:right w:val="none" w:sz="0" w:space="0" w:color="auto"/>
      </w:divBdr>
    </w:div>
    <w:div w:id="939601093">
      <w:bodyDiv w:val="1"/>
      <w:marLeft w:val="0"/>
      <w:marRight w:val="0"/>
      <w:marTop w:val="0"/>
      <w:marBottom w:val="0"/>
      <w:divBdr>
        <w:top w:val="none" w:sz="0" w:space="0" w:color="auto"/>
        <w:left w:val="none" w:sz="0" w:space="0" w:color="auto"/>
        <w:bottom w:val="none" w:sz="0" w:space="0" w:color="auto"/>
        <w:right w:val="none" w:sz="0" w:space="0" w:color="auto"/>
      </w:divBdr>
    </w:div>
    <w:div w:id="939946277">
      <w:bodyDiv w:val="1"/>
      <w:marLeft w:val="0"/>
      <w:marRight w:val="0"/>
      <w:marTop w:val="0"/>
      <w:marBottom w:val="0"/>
      <w:divBdr>
        <w:top w:val="none" w:sz="0" w:space="0" w:color="auto"/>
        <w:left w:val="none" w:sz="0" w:space="0" w:color="auto"/>
        <w:bottom w:val="none" w:sz="0" w:space="0" w:color="auto"/>
        <w:right w:val="none" w:sz="0" w:space="0" w:color="auto"/>
      </w:divBdr>
    </w:div>
    <w:div w:id="940070641">
      <w:bodyDiv w:val="1"/>
      <w:marLeft w:val="0"/>
      <w:marRight w:val="0"/>
      <w:marTop w:val="0"/>
      <w:marBottom w:val="0"/>
      <w:divBdr>
        <w:top w:val="none" w:sz="0" w:space="0" w:color="auto"/>
        <w:left w:val="none" w:sz="0" w:space="0" w:color="auto"/>
        <w:bottom w:val="none" w:sz="0" w:space="0" w:color="auto"/>
        <w:right w:val="none" w:sz="0" w:space="0" w:color="auto"/>
      </w:divBdr>
    </w:div>
    <w:div w:id="940256041">
      <w:bodyDiv w:val="1"/>
      <w:marLeft w:val="0"/>
      <w:marRight w:val="0"/>
      <w:marTop w:val="0"/>
      <w:marBottom w:val="0"/>
      <w:divBdr>
        <w:top w:val="none" w:sz="0" w:space="0" w:color="auto"/>
        <w:left w:val="none" w:sz="0" w:space="0" w:color="auto"/>
        <w:bottom w:val="none" w:sz="0" w:space="0" w:color="auto"/>
        <w:right w:val="none" w:sz="0" w:space="0" w:color="auto"/>
      </w:divBdr>
    </w:div>
    <w:div w:id="940454804">
      <w:bodyDiv w:val="1"/>
      <w:marLeft w:val="0"/>
      <w:marRight w:val="0"/>
      <w:marTop w:val="0"/>
      <w:marBottom w:val="0"/>
      <w:divBdr>
        <w:top w:val="none" w:sz="0" w:space="0" w:color="auto"/>
        <w:left w:val="none" w:sz="0" w:space="0" w:color="auto"/>
        <w:bottom w:val="none" w:sz="0" w:space="0" w:color="auto"/>
        <w:right w:val="none" w:sz="0" w:space="0" w:color="auto"/>
      </w:divBdr>
    </w:div>
    <w:div w:id="940528604">
      <w:bodyDiv w:val="1"/>
      <w:marLeft w:val="0"/>
      <w:marRight w:val="0"/>
      <w:marTop w:val="0"/>
      <w:marBottom w:val="0"/>
      <w:divBdr>
        <w:top w:val="none" w:sz="0" w:space="0" w:color="auto"/>
        <w:left w:val="none" w:sz="0" w:space="0" w:color="auto"/>
        <w:bottom w:val="none" w:sz="0" w:space="0" w:color="auto"/>
        <w:right w:val="none" w:sz="0" w:space="0" w:color="auto"/>
      </w:divBdr>
    </w:div>
    <w:div w:id="940532705">
      <w:bodyDiv w:val="1"/>
      <w:marLeft w:val="0"/>
      <w:marRight w:val="0"/>
      <w:marTop w:val="0"/>
      <w:marBottom w:val="0"/>
      <w:divBdr>
        <w:top w:val="none" w:sz="0" w:space="0" w:color="auto"/>
        <w:left w:val="none" w:sz="0" w:space="0" w:color="auto"/>
        <w:bottom w:val="none" w:sz="0" w:space="0" w:color="auto"/>
        <w:right w:val="none" w:sz="0" w:space="0" w:color="auto"/>
      </w:divBdr>
    </w:div>
    <w:div w:id="940648133">
      <w:bodyDiv w:val="1"/>
      <w:marLeft w:val="0"/>
      <w:marRight w:val="0"/>
      <w:marTop w:val="0"/>
      <w:marBottom w:val="0"/>
      <w:divBdr>
        <w:top w:val="none" w:sz="0" w:space="0" w:color="auto"/>
        <w:left w:val="none" w:sz="0" w:space="0" w:color="auto"/>
        <w:bottom w:val="none" w:sz="0" w:space="0" w:color="auto"/>
        <w:right w:val="none" w:sz="0" w:space="0" w:color="auto"/>
      </w:divBdr>
    </w:div>
    <w:div w:id="940721560">
      <w:bodyDiv w:val="1"/>
      <w:marLeft w:val="0"/>
      <w:marRight w:val="0"/>
      <w:marTop w:val="0"/>
      <w:marBottom w:val="0"/>
      <w:divBdr>
        <w:top w:val="none" w:sz="0" w:space="0" w:color="auto"/>
        <w:left w:val="none" w:sz="0" w:space="0" w:color="auto"/>
        <w:bottom w:val="none" w:sz="0" w:space="0" w:color="auto"/>
        <w:right w:val="none" w:sz="0" w:space="0" w:color="auto"/>
      </w:divBdr>
    </w:div>
    <w:div w:id="940795809">
      <w:bodyDiv w:val="1"/>
      <w:marLeft w:val="0"/>
      <w:marRight w:val="0"/>
      <w:marTop w:val="0"/>
      <w:marBottom w:val="0"/>
      <w:divBdr>
        <w:top w:val="none" w:sz="0" w:space="0" w:color="auto"/>
        <w:left w:val="none" w:sz="0" w:space="0" w:color="auto"/>
        <w:bottom w:val="none" w:sz="0" w:space="0" w:color="auto"/>
        <w:right w:val="none" w:sz="0" w:space="0" w:color="auto"/>
      </w:divBdr>
    </w:div>
    <w:div w:id="941492153">
      <w:bodyDiv w:val="1"/>
      <w:marLeft w:val="0"/>
      <w:marRight w:val="0"/>
      <w:marTop w:val="0"/>
      <w:marBottom w:val="0"/>
      <w:divBdr>
        <w:top w:val="none" w:sz="0" w:space="0" w:color="auto"/>
        <w:left w:val="none" w:sz="0" w:space="0" w:color="auto"/>
        <w:bottom w:val="none" w:sz="0" w:space="0" w:color="auto"/>
        <w:right w:val="none" w:sz="0" w:space="0" w:color="auto"/>
      </w:divBdr>
    </w:div>
    <w:div w:id="941760254">
      <w:bodyDiv w:val="1"/>
      <w:marLeft w:val="0"/>
      <w:marRight w:val="0"/>
      <w:marTop w:val="0"/>
      <w:marBottom w:val="0"/>
      <w:divBdr>
        <w:top w:val="none" w:sz="0" w:space="0" w:color="auto"/>
        <w:left w:val="none" w:sz="0" w:space="0" w:color="auto"/>
        <w:bottom w:val="none" w:sz="0" w:space="0" w:color="auto"/>
        <w:right w:val="none" w:sz="0" w:space="0" w:color="auto"/>
      </w:divBdr>
    </w:div>
    <w:div w:id="942541208">
      <w:bodyDiv w:val="1"/>
      <w:marLeft w:val="0"/>
      <w:marRight w:val="0"/>
      <w:marTop w:val="0"/>
      <w:marBottom w:val="0"/>
      <w:divBdr>
        <w:top w:val="none" w:sz="0" w:space="0" w:color="auto"/>
        <w:left w:val="none" w:sz="0" w:space="0" w:color="auto"/>
        <w:bottom w:val="none" w:sz="0" w:space="0" w:color="auto"/>
        <w:right w:val="none" w:sz="0" w:space="0" w:color="auto"/>
      </w:divBdr>
    </w:div>
    <w:div w:id="942617038">
      <w:bodyDiv w:val="1"/>
      <w:marLeft w:val="0"/>
      <w:marRight w:val="0"/>
      <w:marTop w:val="0"/>
      <w:marBottom w:val="0"/>
      <w:divBdr>
        <w:top w:val="none" w:sz="0" w:space="0" w:color="auto"/>
        <w:left w:val="none" w:sz="0" w:space="0" w:color="auto"/>
        <w:bottom w:val="none" w:sz="0" w:space="0" w:color="auto"/>
        <w:right w:val="none" w:sz="0" w:space="0" w:color="auto"/>
      </w:divBdr>
    </w:div>
    <w:div w:id="942687879">
      <w:bodyDiv w:val="1"/>
      <w:marLeft w:val="0"/>
      <w:marRight w:val="0"/>
      <w:marTop w:val="0"/>
      <w:marBottom w:val="0"/>
      <w:divBdr>
        <w:top w:val="none" w:sz="0" w:space="0" w:color="auto"/>
        <w:left w:val="none" w:sz="0" w:space="0" w:color="auto"/>
        <w:bottom w:val="none" w:sz="0" w:space="0" w:color="auto"/>
        <w:right w:val="none" w:sz="0" w:space="0" w:color="auto"/>
      </w:divBdr>
    </w:div>
    <w:div w:id="943030088">
      <w:bodyDiv w:val="1"/>
      <w:marLeft w:val="0"/>
      <w:marRight w:val="0"/>
      <w:marTop w:val="0"/>
      <w:marBottom w:val="0"/>
      <w:divBdr>
        <w:top w:val="none" w:sz="0" w:space="0" w:color="auto"/>
        <w:left w:val="none" w:sz="0" w:space="0" w:color="auto"/>
        <w:bottom w:val="none" w:sz="0" w:space="0" w:color="auto"/>
        <w:right w:val="none" w:sz="0" w:space="0" w:color="auto"/>
      </w:divBdr>
    </w:div>
    <w:div w:id="943342335">
      <w:bodyDiv w:val="1"/>
      <w:marLeft w:val="0"/>
      <w:marRight w:val="0"/>
      <w:marTop w:val="0"/>
      <w:marBottom w:val="0"/>
      <w:divBdr>
        <w:top w:val="none" w:sz="0" w:space="0" w:color="auto"/>
        <w:left w:val="none" w:sz="0" w:space="0" w:color="auto"/>
        <w:bottom w:val="none" w:sz="0" w:space="0" w:color="auto"/>
        <w:right w:val="none" w:sz="0" w:space="0" w:color="auto"/>
      </w:divBdr>
    </w:div>
    <w:div w:id="943533658">
      <w:bodyDiv w:val="1"/>
      <w:marLeft w:val="0"/>
      <w:marRight w:val="0"/>
      <w:marTop w:val="0"/>
      <w:marBottom w:val="0"/>
      <w:divBdr>
        <w:top w:val="none" w:sz="0" w:space="0" w:color="auto"/>
        <w:left w:val="none" w:sz="0" w:space="0" w:color="auto"/>
        <w:bottom w:val="none" w:sz="0" w:space="0" w:color="auto"/>
        <w:right w:val="none" w:sz="0" w:space="0" w:color="auto"/>
      </w:divBdr>
    </w:div>
    <w:div w:id="943614773">
      <w:bodyDiv w:val="1"/>
      <w:marLeft w:val="0"/>
      <w:marRight w:val="0"/>
      <w:marTop w:val="0"/>
      <w:marBottom w:val="0"/>
      <w:divBdr>
        <w:top w:val="none" w:sz="0" w:space="0" w:color="auto"/>
        <w:left w:val="none" w:sz="0" w:space="0" w:color="auto"/>
        <w:bottom w:val="none" w:sz="0" w:space="0" w:color="auto"/>
        <w:right w:val="none" w:sz="0" w:space="0" w:color="auto"/>
      </w:divBdr>
    </w:div>
    <w:div w:id="944658835">
      <w:bodyDiv w:val="1"/>
      <w:marLeft w:val="0"/>
      <w:marRight w:val="0"/>
      <w:marTop w:val="0"/>
      <w:marBottom w:val="0"/>
      <w:divBdr>
        <w:top w:val="none" w:sz="0" w:space="0" w:color="auto"/>
        <w:left w:val="none" w:sz="0" w:space="0" w:color="auto"/>
        <w:bottom w:val="none" w:sz="0" w:space="0" w:color="auto"/>
        <w:right w:val="none" w:sz="0" w:space="0" w:color="auto"/>
      </w:divBdr>
    </w:div>
    <w:div w:id="945119817">
      <w:bodyDiv w:val="1"/>
      <w:marLeft w:val="0"/>
      <w:marRight w:val="0"/>
      <w:marTop w:val="0"/>
      <w:marBottom w:val="0"/>
      <w:divBdr>
        <w:top w:val="none" w:sz="0" w:space="0" w:color="auto"/>
        <w:left w:val="none" w:sz="0" w:space="0" w:color="auto"/>
        <w:bottom w:val="none" w:sz="0" w:space="0" w:color="auto"/>
        <w:right w:val="none" w:sz="0" w:space="0" w:color="auto"/>
      </w:divBdr>
    </w:div>
    <w:div w:id="946499318">
      <w:bodyDiv w:val="1"/>
      <w:marLeft w:val="0"/>
      <w:marRight w:val="0"/>
      <w:marTop w:val="0"/>
      <w:marBottom w:val="0"/>
      <w:divBdr>
        <w:top w:val="none" w:sz="0" w:space="0" w:color="auto"/>
        <w:left w:val="none" w:sz="0" w:space="0" w:color="auto"/>
        <w:bottom w:val="none" w:sz="0" w:space="0" w:color="auto"/>
        <w:right w:val="none" w:sz="0" w:space="0" w:color="auto"/>
      </w:divBdr>
    </w:div>
    <w:div w:id="946930899">
      <w:bodyDiv w:val="1"/>
      <w:marLeft w:val="0"/>
      <w:marRight w:val="0"/>
      <w:marTop w:val="0"/>
      <w:marBottom w:val="0"/>
      <w:divBdr>
        <w:top w:val="none" w:sz="0" w:space="0" w:color="auto"/>
        <w:left w:val="none" w:sz="0" w:space="0" w:color="auto"/>
        <w:bottom w:val="none" w:sz="0" w:space="0" w:color="auto"/>
        <w:right w:val="none" w:sz="0" w:space="0" w:color="auto"/>
      </w:divBdr>
    </w:div>
    <w:div w:id="947277032">
      <w:bodyDiv w:val="1"/>
      <w:marLeft w:val="0"/>
      <w:marRight w:val="0"/>
      <w:marTop w:val="0"/>
      <w:marBottom w:val="0"/>
      <w:divBdr>
        <w:top w:val="none" w:sz="0" w:space="0" w:color="auto"/>
        <w:left w:val="none" w:sz="0" w:space="0" w:color="auto"/>
        <w:bottom w:val="none" w:sz="0" w:space="0" w:color="auto"/>
        <w:right w:val="none" w:sz="0" w:space="0" w:color="auto"/>
      </w:divBdr>
    </w:div>
    <w:div w:id="947470069">
      <w:bodyDiv w:val="1"/>
      <w:marLeft w:val="0"/>
      <w:marRight w:val="0"/>
      <w:marTop w:val="0"/>
      <w:marBottom w:val="0"/>
      <w:divBdr>
        <w:top w:val="none" w:sz="0" w:space="0" w:color="auto"/>
        <w:left w:val="none" w:sz="0" w:space="0" w:color="auto"/>
        <w:bottom w:val="none" w:sz="0" w:space="0" w:color="auto"/>
        <w:right w:val="none" w:sz="0" w:space="0" w:color="auto"/>
      </w:divBdr>
    </w:div>
    <w:div w:id="947739895">
      <w:bodyDiv w:val="1"/>
      <w:marLeft w:val="0"/>
      <w:marRight w:val="0"/>
      <w:marTop w:val="0"/>
      <w:marBottom w:val="0"/>
      <w:divBdr>
        <w:top w:val="none" w:sz="0" w:space="0" w:color="auto"/>
        <w:left w:val="none" w:sz="0" w:space="0" w:color="auto"/>
        <w:bottom w:val="none" w:sz="0" w:space="0" w:color="auto"/>
        <w:right w:val="none" w:sz="0" w:space="0" w:color="auto"/>
      </w:divBdr>
    </w:div>
    <w:div w:id="948977264">
      <w:bodyDiv w:val="1"/>
      <w:marLeft w:val="0"/>
      <w:marRight w:val="0"/>
      <w:marTop w:val="0"/>
      <w:marBottom w:val="0"/>
      <w:divBdr>
        <w:top w:val="none" w:sz="0" w:space="0" w:color="auto"/>
        <w:left w:val="none" w:sz="0" w:space="0" w:color="auto"/>
        <w:bottom w:val="none" w:sz="0" w:space="0" w:color="auto"/>
        <w:right w:val="none" w:sz="0" w:space="0" w:color="auto"/>
      </w:divBdr>
    </w:div>
    <w:div w:id="949363854">
      <w:bodyDiv w:val="1"/>
      <w:marLeft w:val="0"/>
      <w:marRight w:val="0"/>
      <w:marTop w:val="0"/>
      <w:marBottom w:val="0"/>
      <w:divBdr>
        <w:top w:val="none" w:sz="0" w:space="0" w:color="auto"/>
        <w:left w:val="none" w:sz="0" w:space="0" w:color="auto"/>
        <w:bottom w:val="none" w:sz="0" w:space="0" w:color="auto"/>
        <w:right w:val="none" w:sz="0" w:space="0" w:color="auto"/>
      </w:divBdr>
    </w:div>
    <w:div w:id="949582732">
      <w:bodyDiv w:val="1"/>
      <w:marLeft w:val="0"/>
      <w:marRight w:val="0"/>
      <w:marTop w:val="0"/>
      <w:marBottom w:val="0"/>
      <w:divBdr>
        <w:top w:val="none" w:sz="0" w:space="0" w:color="auto"/>
        <w:left w:val="none" w:sz="0" w:space="0" w:color="auto"/>
        <w:bottom w:val="none" w:sz="0" w:space="0" w:color="auto"/>
        <w:right w:val="none" w:sz="0" w:space="0" w:color="auto"/>
      </w:divBdr>
    </w:div>
    <w:div w:id="949779083">
      <w:bodyDiv w:val="1"/>
      <w:marLeft w:val="0"/>
      <w:marRight w:val="0"/>
      <w:marTop w:val="0"/>
      <w:marBottom w:val="0"/>
      <w:divBdr>
        <w:top w:val="none" w:sz="0" w:space="0" w:color="auto"/>
        <w:left w:val="none" w:sz="0" w:space="0" w:color="auto"/>
        <w:bottom w:val="none" w:sz="0" w:space="0" w:color="auto"/>
        <w:right w:val="none" w:sz="0" w:space="0" w:color="auto"/>
      </w:divBdr>
    </w:div>
    <w:div w:id="949898070">
      <w:bodyDiv w:val="1"/>
      <w:marLeft w:val="0"/>
      <w:marRight w:val="0"/>
      <w:marTop w:val="0"/>
      <w:marBottom w:val="0"/>
      <w:divBdr>
        <w:top w:val="none" w:sz="0" w:space="0" w:color="auto"/>
        <w:left w:val="none" w:sz="0" w:space="0" w:color="auto"/>
        <w:bottom w:val="none" w:sz="0" w:space="0" w:color="auto"/>
        <w:right w:val="none" w:sz="0" w:space="0" w:color="auto"/>
      </w:divBdr>
    </w:div>
    <w:div w:id="950474322">
      <w:bodyDiv w:val="1"/>
      <w:marLeft w:val="0"/>
      <w:marRight w:val="0"/>
      <w:marTop w:val="0"/>
      <w:marBottom w:val="0"/>
      <w:divBdr>
        <w:top w:val="none" w:sz="0" w:space="0" w:color="auto"/>
        <w:left w:val="none" w:sz="0" w:space="0" w:color="auto"/>
        <w:bottom w:val="none" w:sz="0" w:space="0" w:color="auto"/>
        <w:right w:val="none" w:sz="0" w:space="0" w:color="auto"/>
      </w:divBdr>
    </w:div>
    <w:div w:id="950937680">
      <w:bodyDiv w:val="1"/>
      <w:marLeft w:val="0"/>
      <w:marRight w:val="0"/>
      <w:marTop w:val="0"/>
      <w:marBottom w:val="0"/>
      <w:divBdr>
        <w:top w:val="none" w:sz="0" w:space="0" w:color="auto"/>
        <w:left w:val="none" w:sz="0" w:space="0" w:color="auto"/>
        <w:bottom w:val="none" w:sz="0" w:space="0" w:color="auto"/>
        <w:right w:val="none" w:sz="0" w:space="0" w:color="auto"/>
      </w:divBdr>
    </w:div>
    <w:div w:id="951058972">
      <w:bodyDiv w:val="1"/>
      <w:marLeft w:val="0"/>
      <w:marRight w:val="0"/>
      <w:marTop w:val="0"/>
      <w:marBottom w:val="0"/>
      <w:divBdr>
        <w:top w:val="none" w:sz="0" w:space="0" w:color="auto"/>
        <w:left w:val="none" w:sz="0" w:space="0" w:color="auto"/>
        <w:bottom w:val="none" w:sz="0" w:space="0" w:color="auto"/>
        <w:right w:val="none" w:sz="0" w:space="0" w:color="auto"/>
      </w:divBdr>
    </w:div>
    <w:div w:id="951089577">
      <w:bodyDiv w:val="1"/>
      <w:marLeft w:val="0"/>
      <w:marRight w:val="0"/>
      <w:marTop w:val="0"/>
      <w:marBottom w:val="0"/>
      <w:divBdr>
        <w:top w:val="none" w:sz="0" w:space="0" w:color="auto"/>
        <w:left w:val="none" w:sz="0" w:space="0" w:color="auto"/>
        <w:bottom w:val="none" w:sz="0" w:space="0" w:color="auto"/>
        <w:right w:val="none" w:sz="0" w:space="0" w:color="auto"/>
      </w:divBdr>
    </w:div>
    <w:div w:id="951352812">
      <w:bodyDiv w:val="1"/>
      <w:marLeft w:val="0"/>
      <w:marRight w:val="0"/>
      <w:marTop w:val="0"/>
      <w:marBottom w:val="0"/>
      <w:divBdr>
        <w:top w:val="none" w:sz="0" w:space="0" w:color="auto"/>
        <w:left w:val="none" w:sz="0" w:space="0" w:color="auto"/>
        <w:bottom w:val="none" w:sz="0" w:space="0" w:color="auto"/>
        <w:right w:val="none" w:sz="0" w:space="0" w:color="auto"/>
      </w:divBdr>
    </w:div>
    <w:div w:id="951984162">
      <w:bodyDiv w:val="1"/>
      <w:marLeft w:val="0"/>
      <w:marRight w:val="0"/>
      <w:marTop w:val="0"/>
      <w:marBottom w:val="0"/>
      <w:divBdr>
        <w:top w:val="none" w:sz="0" w:space="0" w:color="auto"/>
        <w:left w:val="none" w:sz="0" w:space="0" w:color="auto"/>
        <w:bottom w:val="none" w:sz="0" w:space="0" w:color="auto"/>
        <w:right w:val="none" w:sz="0" w:space="0" w:color="auto"/>
      </w:divBdr>
    </w:div>
    <w:div w:id="952055385">
      <w:bodyDiv w:val="1"/>
      <w:marLeft w:val="0"/>
      <w:marRight w:val="0"/>
      <w:marTop w:val="0"/>
      <w:marBottom w:val="0"/>
      <w:divBdr>
        <w:top w:val="none" w:sz="0" w:space="0" w:color="auto"/>
        <w:left w:val="none" w:sz="0" w:space="0" w:color="auto"/>
        <w:bottom w:val="none" w:sz="0" w:space="0" w:color="auto"/>
        <w:right w:val="none" w:sz="0" w:space="0" w:color="auto"/>
      </w:divBdr>
    </w:div>
    <w:div w:id="952713536">
      <w:bodyDiv w:val="1"/>
      <w:marLeft w:val="0"/>
      <w:marRight w:val="0"/>
      <w:marTop w:val="0"/>
      <w:marBottom w:val="0"/>
      <w:divBdr>
        <w:top w:val="none" w:sz="0" w:space="0" w:color="auto"/>
        <w:left w:val="none" w:sz="0" w:space="0" w:color="auto"/>
        <w:bottom w:val="none" w:sz="0" w:space="0" w:color="auto"/>
        <w:right w:val="none" w:sz="0" w:space="0" w:color="auto"/>
      </w:divBdr>
    </w:div>
    <w:div w:id="952830244">
      <w:bodyDiv w:val="1"/>
      <w:marLeft w:val="0"/>
      <w:marRight w:val="0"/>
      <w:marTop w:val="0"/>
      <w:marBottom w:val="0"/>
      <w:divBdr>
        <w:top w:val="none" w:sz="0" w:space="0" w:color="auto"/>
        <w:left w:val="none" w:sz="0" w:space="0" w:color="auto"/>
        <w:bottom w:val="none" w:sz="0" w:space="0" w:color="auto"/>
        <w:right w:val="none" w:sz="0" w:space="0" w:color="auto"/>
      </w:divBdr>
    </w:div>
    <w:div w:id="952900662">
      <w:bodyDiv w:val="1"/>
      <w:marLeft w:val="0"/>
      <w:marRight w:val="0"/>
      <w:marTop w:val="0"/>
      <w:marBottom w:val="0"/>
      <w:divBdr>
        <w:top w:val="none" w:sz="0" w:space="0" w:color="auto"/>
        <w:left w:val="none" w:sz="0" w:space="0" w:color="auto"/>
        <w:bottom w:val="none" w:sz="0" w:space="0" w:color="auto"/>
        <w:right w:val="none" w:sz="0" w:space="0" w:color="auto"/>
      </w:divBdr>
    </w:div>
    <w:div w:id="953168905">
      <w:bodyDiv w:val="1"/>
      <w:marLeft w:val="0"/>
      <w:marRight w:val="0"/>
      <w:marTop w:val="0"/>
      <w:marBottom w:val="0"/>
      <w:divBdr>
        <w:top w:val="none" w:sz="0" w:space="0" w:color="auto"/>
        <w:left w:val="none" w:sz="0" w:space="0" w:color="auto"/>
        <w:bottom w:val="none" w:sz="0" w:space="0" w:color="auto"/>
        <w:right w:val="none" w:sz="0" w:space="0" w:color="auto"/>
      </w:divBdr>
    </w:div>
    <w:div w:id="953294299">
      <w:bodyDiv w:val="1"/>
      <w:marLeft w:val="0"/>
      <w:marRight w:val="0"/>
      <w:marTop w:val="0"/>
      <w:marBottom w:val="0"/>
      <w:divBdr>
        <w:top w:val="none" w:sz="0" w:space="0" w:color="auto"/>
        <w:left w:val="none" w:sz="0" w:space="0" w:color="auto"/>
        <w:bottom w:val="none" w:sz="0" w:space="0" w:color="auto"/>
        <w:right w:val="none" w:sz="0" w:space="0" w:color="auto"/>
      </w:divBdr>
    </w:div>
    <w:div w:id="953485878">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5016798">
      <w:bodyDiv w:val="1"/>
      <w:marLeft w:val="0"/>
      <w:marRight w:val="0"/>
      <w:marTop w:val="0"/>
      <w:marBottom w:val="0"/>
      <w:divBdr>
        <w:top w:val="none" w:sz="0" w:space="0" w:color="auto"/>
        <w:left w:val="none" w:sz="0" w:space="0" w:color="auto"/>
        <w:bottom w:val="none" w:sz="0" w:space="0" w:color="auto"/>
        <w:right w:val="none" w:sz="0" w:space="0" w:color="auto"/>
      </w:divBdr>
    </w:div>
    <w:div w:id="955060695">
      <w:bodyDiv w:val="1"/>
      <w:marLeft w:val="0"/>
      <w:marRight w:val="0"/>
      <w:marTop w:val="0"/>
      <w:marBottom w:val="0"/>
      <w:divBdr>
        <w:top w:val="none" w:sz="0" w:space="0" w:color="auto"/>
        <w:left w:val="none" w:sz="0" w:space="0" w:color="auto"/>
        <w:bottom w:val="none" w:sz="0" w:space="0" w:color="auto"/>
        <w:right w:val="none" w:sz="0" w:space="0" w:color="auto"/>
      </w:divBdr>
    </w:div>
    <w:div w:id="955139952">
      <w:bodyDiv w:val="1"/>
      <w:marLeft w:val="0"/>
      <w:marRight w:val="0"/>
      <w:marTop w:val="0"/>
      <w:marBottom w:val="0"/>
      <w:divBdr>
        <w:top w:val="none" w:sz="0" w:space="0" w:color="auto"/>
        <w:left w:val="none" w:sz="0" w:space="0" w:color="auto"/>
        <w:bottom w:val="none" w:sz="0" w:space="0" w:color="auto"/>
        <w:right w:val="none" w:sz="0" w:space="0" w:color="auto"/>
      </w:divBdr>
    </w:div>
    <w:div w:id="955260321">
      <w:bodyDiv w:val="1"/>
      <w:marLeft w:val="0"/>
      <w:marRight w:val="0"/>
      <w:marTop w:val="0"/>
      <w:marBottom w:val="0"/>
      <w:divBdr>
        <w:top w:val="none" w:sz="0" w:space="0" w:color="auto"/>
        <w:left w:val="none" w:sz="0" w:space="0" w:color="auto"/>
        <w:bottom w:val="none" w:sz="0" w:space="0" w:color="auto"/>
        <w:right w:val="none" w:sz="0" w:space="0" w:color="auto"/>
      </w:divBdr>
    </w:div>
    <w:div w:id="956369866">
      <w:bodyDiv w:val="1"/>
      <w:marLeft w:val="0"/>
      <w:marRight w:val="0"/>
      <w:marTop w:val="0"/>
      <w:marBottom w:val="0"/>
      <w:divBdr>
        <w:top w:val="none" w:sz="0" w:space="0" w:color="auto"/>
        <w:left w:val="none" w:sz="0" w:space="0" w:color="auto"/>
        <w:bottom w:val="none" w:sz="0" w:space="0" w:color="auto"/>
        <w:right w:val="none" w:sz="0" w:space="0" w:color="auto"/>
      </w:divBdr>
    </w:div>
    <w:div w:id="956528488">
      <w:bodyDiv w:val="1"/>
      <w:marLeft w:val="0"/>
      <w:marRight w:val="0"/>
      <w:marTop w:val="0"/>
      <w:marBottom w:val="0"/>
      <w:divBdr>
        <w:top w:val="none" w:sz="0" w:space="0" w:color="auto"/>
        <w:left w:val="none" w:sz="0" w:space="0" w:color="auto"/>
        <w:bottom w:val="none" w:sz="0" w:space="0" w:color="auto"/>
        <w:right w:val="none" w:sz="0" w:space="0" w:color="auto"/>
      </w:divBdr>
    </w:div>
    <w:div w:id="956720616">
      <w:bodyDiv w:val="1"/>
      <w:marLeft w:val="0"/>
      <w:marRight w:val="0"/>
      <w:marTop w:val="0"/>
      <w:marBottom w:val="0"/>
      <w:divBdr>
        <w:top w:val="none" w:sz="0" w:space="0" w:color="auto"/>
        <w:left w:val="none" w:sz="0" w:space="0" w:color="auto"/>
        <w:bottom w:val="none" w:sz="0" w:space="0" w:color="auto"/>
        <w:right w:val="none" w:sz="0" w:space="0" w:color="auto"/>
      </w:divBdr>
    </w:div>
    <w:div w:id="957175394">
      <w:bodyDiv w:val="1"/>
      <w:marLeft w:val="0"/>
      <w:marRight w:val="0"/>
      <w:marTop w:val="0"/>
      <w:marBottom w:val="0"/>
      <w:divBdr>
        <w:top w:val="none" w:sz="0" w:space="0" w:color="auto"/>
        <w:left w:val="none" w:sz="0" w:space="0" w:color="auto"/>
        <w:bottom w:val="none" w:sz="0" w:space="0" w:color="auto"/>
        <w:right w:val="none" w:sz="0" w:space="0" w:color="auto"/>
      </w:divBdr>
    </w:div>
    <w:div w:id="957219868">
      <w:bodyDiv w:val="1"/>
      <w:marLeft w:val="0"/>
      <w:marRight w:val="0"/>
      <w:marTop w:val="0"/>
      <w:marBottom w:val="0"/>
      <w:divBdr>
        <w:top w:val="none" w:sz="0" w:space="0" w:color="auto"/>
        <w:left w:val="none" w:sz="0" w:space="0" w:color="auto"/>
        <w:bottom w:val="none" w:sz="0" w:space="0" w:color="auto"/>
        <w:right w:val="none" w:sz="0" w:space="0" w:color="auto"/>
      </w:divBdr>
    </w:div>
    <w:div w:id="958099020">
      <w:bodyDiv w:val="1"/>
      <w:marLeft w:val="0"/>
      <w:marRight w:val="0"/>
      <w:marTop w:val="0"/>
      <w:marBottom w:val="0"/>
      <w:divBdr>
        <w:top w:val="none" w:sz="0" w:space="0" w:color="auto"/>
        <w:left w:val="none" w:sz="0" w:space="0" w:color="auto"/>
        <w:bottom w:val="none" w:sz="0" w:space="0" w:color="auto"/>
        <w:right w:val="none" w:sz="0" w:space="0" w:color="auto"/>
      </w:divBdr>
    </w:div>
    <w:div w:id="958537067">
      <w:bodyDiv w:val="1"/>
      <w:marLeft w:val="0"/>
      <w:marRight w:val="0"/>
      <w:marTop w:val="0"/>
      <w:marBottom w:val="0"/>
      <w:divBdr>
        <w:top w:val="none" w:sz="0" w:space="0" w:color="auto"/>
        <w:left w:val="none" w:sz="0" w:space="0" w:color="auto"/>
        <w:bottom w:val="none" w:sz="0" w:space="0" w:color="auto"/>
        <w:right w:val="none" w:sz="0" w:space="0" w:color="auto"/>
      </w:divBdr>
    </w:div>
    <w:div w:id="958537145">
      <w:bodyDiv w:val="1"/>
      <w:marLeft w:val="0"/>
      <w:marRight w:val="0"/>
      <w:marTop w:val="0"/>
      <w:marBottom w:val="0"/>
      <w:divBdr>
        <w:top w:val="none" w:sz="0" w:space="0" w:color="auto"/>
        <w:left w:val="none" w:sz="0" w:space="0" w:color="auto"/>
        <w:bottom w:val="none" w:sz="0" w:space="0" w:color="auto"/>
        <w:right w:val="none" w:sz="0" w:space="0" w:color="auto"/>
      </w:divBdr>
    </w:div>
    <w:div w:id="959265668">
      <w:bodyDiv w:val="1"/>
      <w:marLeft w:val="0"/>
      <w:marRight w:val="0"/>
      <w:marTop w:val="0"/>
      <w:marBottom w:val="0"/>
      <w:divBdr>
        <w:top w:val="none" w:sz="0" w:space="0" w:color="auto"/>
        <w:left w:val="none" w:sz="0" w:space="0" w:color="auto"/>
        <w:bottom w:val="none" w:sz="0" w:space="0" w:color="auto"/>
        <w:right w:val="none" w:sz="0" w:space="0" w:color="auto"/>
      </w:divBdr>
    </w:div>
    <w:div w:id="959452739">
      <w:bodyDiv w:val="1"/>
      <w:marLeft w:val="0"/>
      <w:marRight w:val="0"/>
      <w:marTop w:val="0"/>
      <w:marBottom w:val="0"/>
      <w:divBdr>
        <w:top w:val="none" w:sz="0" w:space="0" w:color="auto"/>
        <w:left w:val="none" w:sz="0" w:space="0" w:color="auto"/>
        <w:bottom w:val="none" w:sz="0" w:space="0" w:color="auto"/>
        <w:right w:val="none" w:sz="0" w:space="0" w:color="auto"/>
      </w:divBdr>
    </w:div>
    <w:div w:id="959455232">
      <w:bodyDiv w:val="1"/>
      <w:marLeft w:val="0"/>
      <w:marRight w:val="0"/>
      <w:marTop w:val="0"/>
      <w:marBottom w:val="0"/>
      <w:divBdr>
        <w:top w:val="none" w:sz="0" w:space="0" w:color="auto"/>
        <w:left w:val="none" w:sz="0" w:space="0" w:color="auto"/>
        <w:bottom w:val="none" w:sz="0" w:space="0" w:color="auto"/>
        <w:right w:val="none" w:sz="0" w:space="0" w:color="auto"/>
      </w:divBdr>
    </w:div>
    <w:div w:id="959729893">
      <w:bodyDiv w:val="1"/>
      <w:marLeft w:val="0"/>
      <w:marRight w:val="0"/>
      <w:marTop w:val="0"/>
      <w:marBottom w:val="0"/>
      <w:divBdr>
        <w:top w:val="none" w:sz="0" w:space="0" w:color="auto"/>
        <w:left w:val="none" w:sz="0" w:space="0" w:color="auto"/>
        <w:bottom w:val="none" w:sz="0" w:space="0" w:color="auto"/>
        <w:right w:val="none" w:sz="0" w:space="0" w:color="auto"/>
      </w:divBdr>
    </w:div>
    <w:div w:id="959796362">
      <w:bodyDiv w:val="1"/>
      <w:marLeft w:val="0"/>
      <w:marRight w:val="0"/>
      <w:marTop w:val="0"/>
      <w:marBottom w:val="0"/>
      <w:divBdr>
        <w:top w:val="none" w:sz="0" w:space="0" w:color="auto"/>
        <w:left w:val="none" w:sz="0" w:space="0" w:color="auto"/>
        <w:bottom w:val="none" w:sz="0" w:space="0" w:color="auto"/>
        <w:right w:val="none" w:sz="0" w:space="0" w:color="auto"/>
      </w:divBdr>
    </w:div>
    <w:div w:id="959991458">
      <w:bodyDiv w:val="1"/>
      <w:marLeft w:val="0"/>
      <w:marRight w:val="0"/>
      <w:marTop w:val="0"/>
      <w:marBottom w:val="0"/>
      <w:divBdr>
        <w:top w:val="none" w:sz="0" w:space="0" w:color="auto"/>
        <w:left w:val="none" w:sz="0" w:space="0" w:color="auto"/>
        <w:bottom w:val="none" w:sz="0" w:space="0" w:color="auto"/>
        <w:right w:val="none" w:sz="0" w:space="0" w:color="auto"/>
      </w:divBdr>
    </w:div>
    <w:div w:id="960114445">
      <w:bodyDiv w:val="1"/>
      <w:marLeft w:val="0"/>
      <w:marRight w:val="0"/>
      <w:marTop w:val="0"/>
      <w:marBottom w:val="0"/>
      <w:divBdr>
        <w:top w:val="none" w:sz="0" w:space="0" w:color="auto"/>
        <w:left w:val="none" w:sz="0" w:space="0" w:color="auto"/>
        <w:bottom w:val="none" w:sz="0" w:space="0" w:color="auto"/>
        <w:right w:val="none" w:sz="0" w:space="0" w:color="auto"/>
      </w:divBdr>
    </w:div>
    <w:div w:id="960309596">
      <w:bodyDiv w:val="1"/>
      <w:marLeft w:val="0"/>
      <w:marRight w:val="0"/>
      <w:marTop w:val="0"/>
      <w:marBottom w:val="0"/>
      <w:divBdr>
        <w:top w:val="none" w:sz="0" w:space="0" w:color="auto"/>
        <w:left w:val="none" w:sz="0" w:space="0" w:color="auto"/>
        <w:bottom w:val="none" w:sz="0" w:space="0" w:color="auto"/>
        <w:right w:val="none" w:sz="0" w:space="0" w:color="auto"/>
      </w:divBdr>
    </w:div>
    <w:div w:id="960377135">
      <w:bodyDiv w:val="1"/>
      <w:marLeft w:val="0"/>
      <w:marRight w:val="0"/>
      <w:marTop w:val="0"/>
      <w:marBottom w:val="0"/>
      <w:divBdr>
        <w:top w:val="none" w:sz="0" w:space="0" w:color="auto"/>
        <w:left w:val="none" w:sz="0" w:space="0" w:color="auto"/>
        <w:bottom w:val="none" w:sz="0" w:space="0" w:color="auto"/>
        <w:right w:val="none" w:sz="0" w:space="0" w:color="auto"/>
      </w:divBdr>
    </w:div>
    <w:div w:id="960693101">
      <w:bodyDiv w:val="1"/>
      <w:marLeft w:val="0"/>
      <w:marRight w:val="0"/>
      <w:marTop w:val="0"/>
      <w:marBottom w:val="0"/>
      <w:divBdr>
        <w:top w:val="none" w:sz="0" w:space="0" w:color="auto"/>
        <w:left w:val="none" w:sz="0" w:space="0" w:color="auto"/>
        <w:bottom w:val="none" w:sz="0" w:space="0" w:color="auto"/>
        <w:right w:val="none" w:sz="0" w:space="0" w:color="auto"/>
      </w:divBdr>
    </w:div>
    <w:div w:id="960722898">
      <w:bodyDiv w:val="1"/>
      <w:marLeft w:val="0"/>
      <w:marRight w:val="0"/>
      <w:marTop w:val="0"/>
      <w:marBottom w:val="0"/>
      <w:divBdr>
        <w:top w:val="none" w:sz="0" w:space="0" w:color="auto"/>
        <w:left w:val="none" w:sz="0" w:space="0" w:color="auto"/>
        <w:bottom w:val="none" w:sz="0" w:space="0" w:color="auto"/>
        <w:right w:val="none" w:sz="0" w:space="0" w:color="auto"/>
      </w:divBdr>
    </w:div>
    <w:div w:id="960889778">
      <w:bodyDiv w:val="1"/>
      <w:marLeft w:val="0"/>
      <w:marRight w:val="0"/>
      <w:marTop w:val="0"/>
      <w:marBottom w:val="0"/>
      <w:divBdr>
        <w:top w:val="none" w:sz="0" w:space="0" w:color="auto"/>
        <w:left w:val="none" w:sz="0" w:space="0" w:color="auto"/>
        <w:bottom w:val="none" w:sz="0" w:space="0" w:color="auto"/>
        <w:right w:val="none" w:sz="0" w:space="0" w:color="auto"/>
      </w:divBdr>
    </w:div>
    <w:div w:id="961421317">
      <w:bodyDiv w:val="1"/>
      <w:marLeft w:val="0"/>
      <w:marRight w:val="0"/>
      <w:marTop w:val="0"/>
      <w:marBottom w:val="0"/>
      <w:divBdr>
        <w:top w:val="none" w:sz="0" w:space="0" w:color="auto"/>
        <w:left w:val="none" w:sz="0" w:space="0" w:color="auto"/>
        <w:bottom w:val="none" w:sz="0" w:space="0" w:color="auto"/>
        <w:right w:val="none" w:sz="0" w:space="0" w:color="auto"/>
      </w:divBdr>
    </w:div>
    <w:div w:id="961425536">
      <w:bodyDiv w:val="1"/>
      <w:marLeft w:val="0"/>
      <w:marRight w:val="0"/>
      <w:marTop w:val="0"/>
      <w:marBottom w:val="0"/>
      <w:divBdr>
        <w:top w:val="none" w:sz="0" w:space="0" w:color="auto"/>
        <w:left w:val="none" w:sz="0" w:space="0" w:color="auto"/>
        <w:bottom w:val="none" w:sz="0" w:space="0" w:color="auto"/>
        <w:right w:val="none" w:sz="0" w:space="0" w:color="auto"/>
      </w:divBdr>
    </w:div>
    <w:div w:id="961573134">
      <w:bodyDiv w:val="1"/>
      <w:marLeft w:val="0"/>
      <w:marRight w:val="0"/>
      <w:marTop w:val="0"/>
      <w:marBottom w:val="0"/>
      <w:divBdr>
        <w:top w:val="none" w:sz="0" w:space="0" w:color="auto"/>
        <w:left w:val="none" w:sz="0" w:space="0" w:color="auto"/>
        <w:bottom w:val="none" w:sz="0" w:space="0" w:color="auto"/>
        <w:right w:val="none" w:sz="0" w:space="0" w:color="auto"/>
      </w:divBdr>
    </w:div>
    <w:div w:id="961575907">
      <w:bodyDiv w:val="1"/>
      <w:marLeft w:val="0"/>
      <w:marRight w:val="0"/>
      <w:marTop w:val="0"/>
      <w:marBottom w:val="0"/>
      <w:divBdr>
        <w:top w:val="none" w:sz="0" w:space="0" w:color="auto"/>
        <w:left w:val="none" w:sz="0" w:space="0" w:color="auto"/>
        <w:bottom w:val="none" w:sz="0" w:space="0" w:color="auto"/>
        <w:right w:val="none" w:sz="0" w:space="0" w:color="auto"/>
      </w:divBdr>
    </w:div>
    <w:div w:id="961616519">
      <w:bodyDiv w:val="1"/>
      <w:marLeft w:val="0"/>
      <w:marRight w:val="0"/>
      <w:marTop w:val="0"/>
      <w:marBottom w:val="0"/>
      <w:divBdr>
        <w:top w:val="none" w:sz="0" w:space="0" w:color="auto"/>
        <w:left w:val="none" w:sz="0" w:space="0" w:color="auto"/>
        <w:bottom w:val="none" w:sz="0" w:space="0" w:color="auto"/>
        <w:right w:val="none" w:sz="0" w:space="0" w:color="auto"/>
      </w:divBdr>
    </w:div>
    <w:div w:id="961811059">
      <w:bodyDiv w:val="1"/>
      <w:marLeft w:val="0"/>
      <w:marRight w:val="0"/>
      <w:marTop w:val="0"/>
      <w:marBottom w:val="0"/>
      <w:divBdr>
        <w:top w:val="none" w:sz="0" w:space="0" w:color="auto"/>
        <w:left w:val="none" w:sz="0" w:space="0" w:color="auto"/>
        <w:bottom w:val="none" w:sz="0" w:space="0" w:color="auto"/>
        <w:right w:val="none" w:sz="0" w:space="0" w:color="auto"/>
      </w:divBdr>
    </w:div>
    <w:div w:id="962542731">
      <w:bodyDiv w:val="1"/>
      <w:marLeft w:val="0"/>
      <w:marRight w:val="0"/>
      <w:marTop w:val="0"/>
      <w:marBottom w:val="0"/>
      <w:divBdr>
        <w:top w:val="none" w:sz="0" w:space="0" w:color="auto"/>
        <w:left w:val="none" w:sz="0" w:space="0" w:color="auto"/>
        <w:bottom w:val="none" w:sz="0" w:space="0" w:color="auto"/>
        <w:right w:val="none" w:sz="0" w:space="0" w:color="auto"/>
      </w:divBdr>
    </w:div>
    <w:div w:id="962686700">
      <w:bodyDiv w:val="1"/>
      <w:marLeft w:val="0"/>
      <w:marRight w:val="0"/>
      <w:marTop w:val="0"/>
      <w:marBottom w:val="0"/>
      <w:divBdr>
        <w:top w:val="none" w:sz="0" w:space="0" w:color="auto"/>
        <w:left w:val="none" w:sz="0" w:space="0" w:color="auto"/>
        <w:bottom w:val="none" w:sz="0" w:space="0" w:color="auto"/>
        <w:right w:val="none" w:sz="0" w:space="0" w:color="auto"/>
      </w:divBdr>
    </w:div>
    <w:div w:id="963075567">
      <w:bodyDiv w:val="1"/>
      <w:marLeft w:val="0"/>
      <w:marRight w:val="0"/>
      <w:marTop w:val="0"/>
      <w:marBottom w:val="0"/>
      <w:divBdr>
        <w:top w:val="none" w:sz="0" w:space="0" w:color="auto"/>
        <w:left w:val="none" w:sz="0" w:space="0" w:color="auto"/>
        <w:bottom w:val="none" w:sz="0" w:space="0" w:color="auto"/>
        <w:right w:val="none" w:sz="0" w:space="0" w:color="auto"/>
      </w:divBdr>
    </w:div>
    <w:div w:id="963393199">
      <w:bodyDiv w:val="1"/>
      <w:marLeft w:val="0"/>
      <w:marRight w:val="0"/>
      <w:marTop w:val="0"/>
      <w:marBottom w:val="0"/>
      <w:divBdr>
        <w:top w:val="none" w:sz="0" w:space="0" w:color="auto"/>
        <w:left w:val="none" w:sz="0" w:space="0" w:color="auto"/>
        <w:bottom w:val="none" w:sz="0" w:space="0" w:color="auto"/>
        <w:right w:val="none" w:sz="0" w:space="0" w:color="auto"/>
      </w:divBdr>
    </w:div>
    <w:div w:id="963542045">
      <w:bodyDiv w:val="1"/>
      <w:marLeft w:val="0"/>
      <w:marRight w:val="0"/>
      <w:marTop w:val="0"/>
      <w:marBottom w:val="0"/>
      <w:divBdr>
        <w:top w:val="none" w:sz="0" w:space="0" w:color="auto"/>
        <w:left w:val="none" w:sz="0" w:space="0" w:color="auto"/>
        <w:bottom w:val="none" w:sz="0" w:space="0" w:color="auto"/>
        <w:right w:val="none" w:sz="0" w:space="0" w:color="auto"/>
      </w:divBdr>
    </w:div>
    <w:div w:id="963727593">
      <w:bodyDiv w:val="1"/>
      <w:marLeft w:val="0"/>
      <w:marRight w:val="0"/>
      <w:marTop w:val="0"/>
      <w:marBottom w:val="0"/>
      <w:divBdr>
        <w:top w:val="none" w:sz="0" w:space="0" w:color="auto"/>
        <w:left w:val="none" w:sz="0" w:space="0" w:color="auto"/>
        <w:bottom w:val="none" w:sz="0" w:space="0" w:color="auto"/>
        <w:right w:val="none" w:sz="0" w:space="0" w:color="auto"/>
      </w:divBdr>
    </w:div>
    <w:div w:id="965043339">
      <w:bodyDiv w:val="1"/>
      <w:marLeft w:val="0"/>
      <w:marRight w:val="0"/>
      <w:marTop w:val="0"/>
      <w:marBottom w:val="0"/>
      <w:divBdr>
        <w:top w:val="none" w:sz="0" w:space="0" w:color="auto"/>
        <w:left w:val="none" w:sz="0" w:space="0" w:color="auto"/>
        <w:bottom w:val="none" w:sz="0" w:space="0" w:color="auto"/>
        <w:right w:val="none" w:sz="0" w:space="0" w:color="auto"/>
      </w:divBdr>
    </w:div>
    <w:div w:id="965501876">
      <w:bodyDiv w:val="1"/>
      <w:marLeft w:val="0"/>
      <w:marRight w:val="0"/>
      <w:marTop w:val="0"/>
      <w:marBottom w:val="0"/>
      <w:divBdr>
        <w:top w:val="none" w:sz="0" w:space="0" w:color="auto"/>
        <w:left w:val="none" w:sz="0" w:space="0" w:color="auto"/>
        <w:bottom w:val="none" w:sz="0" w:space="0" w:color="auto"/>
        <w:right w:val="none" w:sz="0" w:space="0" w:color="auto"/>
      </w:divBdr>
    </w:div>
    <w:div w:id="965503206">
      <w:bodyDiv w:val="1"/>
      <w:marLeft w:val="0"/>
      <w:marRight w:val="0"/>
      <w:marTop w:val="0"/>
      <w:marBottom w:val="0"/>
      <w:divBdr>
        <w:top w:val="none" w:sz="0" w:space="0" w:color="auto"/>
        <w:left w:val="none" w:sz="0" w:space="0" w:color="auto"/>
        <w:bottom w:val="none" w:sz="0" w:space="0" w:color="auto"/>
        <w:right w:val="none" w:sz="0" w:space="0" w:color="auto"/>
      </w:divBdr>
    </w:div>
    <w:div w:id="965547049">
      <w:bodyDiv w:val="1"/>
      <w:marLeft w:val="0"/>
      <w:marRight w:val="0"/>
      <w:marTop w:val="0"/>
      <w:marBottom w:val="0"/>
      <w:divBdr>
        <w:top w:val="none" w:sz="0" w:space="0" w:color="auto"/>
        <w:left w:val="none" w:sz="0" w:space="0" w:color="auto"/>
        <w:bottom w:val="none" w:sz="0" w:space="0" w:color="auto"/>
        <w:right w:val="none" w:sz="0" w:space="0" w:color="auto"/>
      </w:divBdr>
    </w:div>
    <w:div w:id="965739859">
      <w:bodyDiv w:val="1"/>
      <w:marLeft w:val="0"/>
      <w:marRight w:val="0"/>
      <w:marTop w:val="0"/>
      <w:marBottom w:val="0"/>
      <w:divBdr>
        <w:top w:val="none" w:sz="0" w:space="0" w:color="auto"/>
        <w:left w:val="none" w:sz="0" w:space="0" w:color="auto"/>
        <w:bottom w:val="none" w:sz="0" w:space="0" w:color="auto"/>
        <w:right w:val="none" w:sz="0" w:space="0" w:color="auto"/>
      </w:divBdr>
    </w:div>
    <w:div w:id="965891498">
      <w:bodyDiv w:val="1"/>
      <w:marLeft w:val="0"/>
      <w:marRight w:val="0"/>
      <w:marTop w:val="0"/>
      <w:marBottom w:val="0"/>
      <w:divBdr>
        <w:top w:val="none" w:sz="0" w:space="0" w:color="auto"/>
        <w:left w:val="none" w:sz="0" w:space="0" w:color="auto"/>
        <w:bottom w:val="none" w:sz="0" w:space="0" w:color="auto"/>
        <w:right w:val="none" w:sz="0" w:space="0" w:color="auto"/>
      </w:divBdr>
    </w:div>
    <w:div w:id="966548558">
      <w:bodyDiv w:val="1"/>
      <w:marLeft w:val="0"/>
      <w:marRight w:val="0"/>
      <w:marTop w:val="0"/>
      <w:marBottom w:val="0"/>
      <w:divBdr>
        <w:top w:val="none" w:sz="0" w:space="0" w:color="auto"/>
        <w:left w:val="none" w:sz="0" w:space="0" w:color="auto"/>
        <w:bottom w:val="none" w:sz="0" w:space="0" w:color="auto"/>
        <w:right w:val="none" w:sz="0" w:space="0" w:color="auto"/>
      </w:divBdr>
    </w:div>
    <w:div w:id="966740833">
      <w:bodyDiv w:val="1"/>
      <w:marLeft w:val="0"/>
      <w:marRight w:val="0"/>
      <w:marTop w:val="0"/>
      <w:marBottom w:val="0"/>
      <w:divBdr>
        <w:top w:val="none" w:sz="0" w:space="0" w:color="auto"/>
        <w:left w:val="none" w:sz="0" w:space="0" w:color="auto"/>
        <w:bottom w:val="none" w:sz="0" w:space="0" w:color="auto"/>
        <w:right w:val="none" w:sz="0" w:space="0" w:color="auto"/>
      </w:divBdr>
    </w:div>
    <w:div w:id="966743370">
      <w:bodyDiv w:val="1"/>
      <w:marLeft w:val="0"/>
      <w:marRight w:val="0"/>
      <w:marTop w:val="0"/>
      <w:marBottom w:val="0"/>
      <w:divBdr>
        <w:top w:val="none" w:sz="0" w:space="0" w:color="auto"/>
        <w:left w:val="none" w:sz="0" w:space="0" w:color="auto"/>
        <w:bottom w:val="none" w:sz="0" w:space="0" w:color="auto"/>
        <w:right w:val="none" w:sz="0" w:space="0" w:color="auto"/>
      </w:divBdr>
    </w:div>
    <w:div w:id="966854814">
      <w:bodyDiv w:val="1"/>
      <w:marLeft w:val="0"/>
      <w:marRight w:val="0"/>
      <w:marTop w:val="0"/>
      <w:marBottom w:val="0"/>
      <w:divBdr>
        <w:top w:val="none" w:sz="0" w:space="0" w:color="auto"/>
        <w:left w:val="none" w:sz="0" w:space="0" w:color="auto"/>
        <w:bottom w:val="none" w:sz="0" w:space="0" w:color="auto"/>
        <w:right w:val="none" w:sz="0" w:space="0" w:color="auto"/>
      </w:divBdr>
    </w:div>
    <w:div w:id="967129743">
      <w:bodyDiv w:val="1"/>
      <w:marLeft w:val="0"/>
      <w:marRight w:val="0"/>
      <w:marTop w:val="0"/>
      <w:marBottom w:val="0"/>
      <w:divBdr>
        <w:top w:val="none" w:sz="0" w:space="0" w:color="auto"/>
        <w:left w:val="none" w:sz="0" w:space="0" w:color="auto"/>
        <w:bottom w:val="none" w:sz="0" w:space="0" w:color="auto"/>
        <w:right w:val="none" w:sz="0" w:space="0" w:color="auto"/>
      </w:divBdr>
    </w:div>
    <w:div w:id="967511015">
      <w:bodyDiv w:val="1"/>
      <w:marLeft w:val="0"/>
      <w:marRight w:val="0"/>
      <w:marTop w:val="0"/>
      <w:marBottom w:val="0"/>
      <w:divBdr>
        <w:top w:val="none" w:sz="0" w:space="0" w:color="auto"/>
        <w:left w:val="none" w:sz="0" w:space="0" w:color="auto"/>
        <w:bottom w:val="none" w:sz="0" w:space="0" w:color="auto"/>
        <w:right w:val="none" w:sz="0" w:space="0" w:color="auto"/>
      </w:divBdr>
    </w:div>
    <w:div w:id="967585594">
      <w:bodyDiv w:val="1"/>
      <w:marLeft w:val="0"/>
      <w:marRight w:val="0"/>
      <w:marTop w:val="0"/>
      <w:marBottom w:val="0"/>
      <w:divBdr>
        <w:top w:val="none" w:sz="0" w:space="0" w:color="auto"/>
        <w:left w:val="none" w:sz="0" w:space="0" w:color="auto"/>
        <w:bottom w:val="none" w:sz="0" w:space="0" w:color="auto"/>
        <w:right w:val="none" w:sz="0" w:space="0" w:color="auto"/>
      </w:divBdr>
    </w:div>
    <w:div w:id="967590074">
      <w:bodyDiv w:val="1"/>
      <w:marLeft w:val="0"/>
      <w:marRight w:val="0"/>
      <w:marTop w:val="0"/>
      <w:marBottom w:val="0"/>
      <w:divBdr>
        <w:top w:val="none" w:sz="0" w:space="0" w:color="auto"/>
        <w:left w:val="none" w:sz="0" w:space="0" w:color="auto"/>
        <w:bottom w:val="none" w:sz="0" w:space="0" w:color="auto"/>
        <w:right w:val="none" w:sz="0" w:space="0" w:color="auto"/>
      </w:divBdr>
    </w:div>
    <w:div w:id="968785695">
      <w:bodyDiv w:val="1"/>
      <w:marLeft w:val="0"/>
      <w:marRight w:val="0"/>
      <w:marTop w:val="0"/>
      <w:marBottom w:val="0"/>
      <w:divBdr>
        <w:top w:val="none" w:sz="0" w:space="0" w:color="auto"/>
        <w:left w:val="none" w:sz="0" w:space="0" w:color="auto"/>
        <w:bottom w:val="none" w:sz="0" w:space="0" w:color="auto"/>
        <w:right w:val="none" w:sz="0" w:space="0" w:color="auto"/>
      </w:divBdr>
    </w:div>
    <w:div w:id="968901660">
      <w:bodyDiv w:val="1"/>
      <w:marLeft w:val="0"/>
      <w:marRight w:val="0"/>
      <w:marTop w:val="0"/>
      <w:marBottom w:val="0"/>
      <w:divBdr>
        <w:top w:val="none" w:sz="0" w:space="0" w:color="auto"/>
        <w:left w:val="none" w:sz="0" w:space="0" w:color="auto"/>
        <w:bottom w:val="none" w:sz="0" w:space="0" w:color="auto"/>
        <w:right w:val="none" w:sz="0" w:space="0" w:color="auto"/>
      </w:divBdr>
    </w:div>
    <w:div w:id="969019424">
      <w:bodyDiv w:val="1"/>
      <w:marLeft w:val="0"/>
      <w:marRight w:val="0"/>
      <w:marTop w:val="0"/>
      <w:marBottom w:val="0"/>
      <w:divBdr>
        <w:top w:val="none" w:sz="0" w:space="0" w:color="auto"/>
        <w:left w:val="none" w:sz="0" w:space="0" w:color="auto"/>
        <w:bottom w:val="none" w:sz="0" w:space="0" w:color="auto"/>
        <w:right w:val="none" w:sz="0" w:space="0" w:color="auto"/>
      </w:divBdr>
    </w:div>
    <w:div w:id="969019755">
      <w:bodyDiv w:val="1"/>
      <w:marLeft w:val="0"/>
      <w:marRight w:val="0"/>
      <w:marTop w:val="0"/>
      <w:marBottom w:val="0"/>
      <w:divBdr>
        <w:top w:val="none" w:sz="0" w:space="0" w:color="auto"/>
        <w:left w:val="none" w:sz="0" w:space="0" w:color="auto"/>
        <w:bottom w:val="none" w:sz="0" w:space="0" w:color="auto"/>
        <w:right w:val="none" w:sz="0" w:space="0" w:color="auto"/>
      </w:divBdr>
    </w:div>
    <w:div w:id="969552591">
      <w:bodyDiv w:val="1"/>
      <w:marLeft w:val="0"/>
      <w:marRight w:val="0"/>
      <w:marTop w:val="0"/>
      <w:marBottom w:val="0"/>
      <w:divBdr>
        <w:top w:val="none" w:sz="0" w:space="0" w:color="auto"/>
        <w:left w:val="none" w:sz="0" w:space="0" w:color="auto"/>
        <w:bottom w:val="none" w:sz="0" w:space="0" w:color="auto"/>
        <w:right w:val="none" w:sz="0" w:space="0" w:color="auto"/>
      </w:divBdr>
    </w:div>
    <w:div w:id="970018292">
      <w:bodyDiv w:val="1"/>
      <w:marLeft w:val="0"/>
      <w:marRight w:val="0"/>
      <w:marTop w:val="0"/>
      <w:marBottom w:val="0"/>
      <w:divBdr>
        <w:top w:val="none" w:sz="0" w:space="0" w:color="auto"/>
        <w:left w:val="none" w:sz="0" w:space="0" w:color="auto"/>
        <w:bottom w:val="none" w:sz="0" w:space="0" w:color="auto"/>
        <w:right w:val="none" w:sz="0" w:space="0" w:color="auto"/>
      </w:divBdr>
    </w:div>
    <w:div w:id="970214208">
      <w:bodyDiv w:val="1"/>
      <w:marLeft w:val="0"/>
      <w:marRight w:val="0"/>
      <w:marTop w:val="0"/>
      <w:marBottom w:val="0"/>
      <w:divBdr>
        <w:top w:val="none" w:sz="0" w:space="0" w:color="auto"/>
        <w:left w:val="none" w:sz="0" w:space="0" w:color="auto"/>
        <w:bottom w:val="none" w:sz="0" w:space="0" w:color="auto"/>
        <w:right w:val="none" w:sz="0" w:space="0" w:color="auto"/>
      </w:divBdr>
    </w:div>
    <w:div w:id="970280184">
      <w:bodyDiv w:val="1"/>
      <w:marLeft w:val="0"/>
      <w:marRight w:val="0"/>
      <w:marTop w:val="0"/>
      <w:marBottom w:val="0"/>
      <w:divBdr>
        <w:top w:val="none" w:sz="0" w:space="0" w:color="auto"/>
        <w:left w:val="none" w:sz="0" w:space="0" w:color="auto"/>
        <w:bottom w:val="none" w:sz="0" w:space="0" w:color="auto"/>
        <w:right w:val="none" w:sz="0" w:space="0" w:color="auto"/>
      </w:divBdr>
    </w:div>
    <w:div w:id="970402625">
      <w:bodyDiv w:val="1"/>
      <w:marLeft w:val="0"/>
      <w:marRight w:val="0"/>
      <w:marTop w:val="0"/>
      <w:marBottom w:val="0"/>
      <w:divBdr>
        <w:top w:val="none" w:sz="0" w:space="0" w:color="auto"/>
        <w:left w:val="none" w:sz="0" w:space="0" w:color="auto"/>
        <w:bottom w:val="none" w:sz="0" w:space="0" w:color="auto"/>
        <w:right w:val="none" w:sz="0" w:space="0" w:color="auto"/>
      </w:divBdr>
    </w:div>
    <w:div w:id="970478895">
      <w:bodyDiv w:val="1"/>
      <w:marLeft w:val="0"/>
      <w:marRight w:val="0"/>
      <w:marTop w:val="0"/>
      <w:marBottom w:val="0"/>
      <w:divBdr>
        <w:top w:val="none" w:sz="0" w:space="0" w:color="auto"/>
        <w:left w:val="none" w:sz="0" w:space="0" w:color="auto"/>
        <w:bottom w:val="none" w:sz="0" w:space="0" w:color="auto"/>
        <w:right w:val="none" w:sz="0" w:space="0" w:color="auto"/>
      </w:divBdr>
    </w:div>
    <w:div w:id="970595223">
      <w:bodyDiv w:val="1"/>
      <w:marLeft w:val="0"/>
      <w:marRight w:val="0"/>
      <w:marTop w:val="0"/>
      <w:marBottom w:val="0"/>
      <w:divBdr>
        <w:top w:val="none" w:sz="0" w:space="0" w:color="auto"/>
        <w:left w:val="none" w:sz="0" w:space="0" w:color="auto"/>
        <w:bottom w:val="none" w:sz="0" w:space="0" w:color="auto"/>
        <w:right w:val="none" w:sz="0" w:space="0" w:color="auto"/>
      </w:divBdr>
    </w:div>
    <w:div w:id="970789718">
      <w:bodyDiv w:val="1"/>
      <w:marLeft w:val="0"/>
      <w:marRight w:val="0"/>
      <w:marTop w:val="0"/>
      <w:marBottom w:val="0"/>
      <w:divBdr>
        <w:top w:val="none" w:sz="0" w:space="0" w:color="auto"/>
        <w:left w:val="none" w:sz="0" w:space="0" w:color="auto"/>
        <w:bottom w:val="none" w:sz="0" w:space="0" w:color="auto"/>
        <w:right w:val="none" w:sz="0" w:space="0" w:color="auto"/>
      </w:divBdr>
    </w:div>
    <w:div w:id="970986589">
      <w:bodyDiv w:val="1"/>
      <w:marLeft w:val="0"/>
      <w:marRight w:val="0"/>
      <w:marTop w:val="0"/>
      <w:marBottom w:val="0"/>
      <w:divBdr>
        <w:top w:val="none" w:sz="0" w:space="0" w:color="auto"/>
        <w:left w:val="none" w:sz="0" w:space="0" w:color="auto"/>
        <w:bottom w:val="none" w:sz="0" w:space="0" w:color="auto"/>
        <w:right w:val="none" w:sz="0" w:space="0" w:color="auto"/>
      </w:divBdr>
    </w:div>
    <w:div w:id="971061414">
      <w:bodyDiv w:val="1"/>
      <w:marLeft w:val="0"/>
      <w:marRight w:val="0"/>
      <w:marTop w:val="0"/>
      <w:marBottom w:val="0"/>
      <w:divBdr>
        <w:top w:val="none" w:sz="0" w:space="0" w:color="auto"/>
        <w:left w:val="none" w:sz="0" w:space="0" w:color="auto"/>
        <w:bottom w:val="none" w:sz="0" w:space="0" w:color="auto"/>
        <w:right w:val="none" w:sz="0" w:space="0" w:color="auto"/>
      </w:divBdr>
    </w:div>
    <w:div w:id="971204336">
      <w:bodyDiv w:val="1"/>
      <w:marLeft w:val="0"/>
      <w:marRight w:val="0"/>
      <w:marTop w:val="0"/>
      <w:marBottom w:val="0"/>
      <w:divBdr>
        <w:top w:val="none" w:sz="0" w:space="0" w:color="auto"/>
        <w:left w:val="none" w:sz="0" w:space="0" w:color="auto"/>
        <w:bottom w:val="none" w:sz="0" w:space="0" w:color="auto"/>
        <w:right w:val="none" w:sz="0" w:space="0" w:color="auto"/>
      </w:divBdr>
    </w:div>
    <w:div w:id="971206436">
      <w:bodyDiv w:val="1"/>
      <w:marLeft w:val="0"/>
      <w:marRight w:val="0"/>
      <w:marTop w:val="0"/>
      <w:marBottom w:val="0"/>
      <w:divBdr>
        <w:top w:val="none" w:sz="0" w:space="0" w:color="auto"/>
        <w:left w:val="none" w:sz="0" w:space="0" w:color="auto"/>
        <w:bottom w:val="none" w:sz="0" w:space="0" w:color="auto"/>
        <w:right w:val="none" w:sz="0" w:space="0" w:color="auto"/>
      </w:divBdr>
    </w:div>
    <w:div w:id="971398473">
      <w:bodyDiv w:val="1"/>
      <w:marLeft w:val="0"/>
      <w:marRight w:val="0"/>
      <w:marTop w:val="0"/>
      <w:marBottom w:val="0"/>
      <w:divBdr>
        <w:top w:val="none" w:sz="0" w:space="0" w:color="auto"/>
        <w:left w:val="none" w:sz="0" w:space="0" w:color="auto"/>
        <w:bottom w:val="none" w:sz="0" w:space="0" w:color="auto"/>
        <w:right w:val="none" w:sz="0" w:space="0" w:color="auto"/>
      </w:divBdr>
    </w:div>
    <w:div w:id="971910835">
      <w:bodyDiv w:val="1"/>
      <w:marLeft w:val="0"/>
      <w:marRight w:val="0"/>
      <w:marTop w:val="0"/>
      <w:marBottom w:val="0"/>
      <w:divBdr>
        <w:top w:val="none" w:sz="0" w:space="0" w:color="auto"/>
        <w:left w:val="none" w:sz="0" w:space="0" w:color="auto"/>
        <w:bottom w:val="none" w:sz="0" w:space="0" w:color="auto"/>
        <w:right w:val="none" w:sz="0" w:space="0" w:color="auto"/>
      </w:divBdr>
    </w:div>
    <w:div w:id="972055225">
      <w:bodyDiv w:val="1"/>
      <w:marLeft w:val="0"/>
      <w:marRight w:val="0"/>
      <w:marTop w:val="0"/>
      <w:marBottom w:val="0"/>
      <w:divBdr>
        <w:top w:val="none" w:sz="0" w:space="0" w:color="auto"/>
        <w:left w:val="none" w:sz="0" w:space="0" w:color="auto"/>
        <w:bottom w:val="none" w:sz="0" w:space="0" w:color="auto"/>
        <w:right w:val="none" w:sz="0" w:space="0" w:color="auto"/>
      </w:divBdr>
    </w:div>
    <w:div w:id="972831256">
      <w:bodyDiv w:val="1"/>
      <w:marLeft w:val="0"/>
      <w:marRight w:val="0"/>
      <w:marTop w:val="0"/>
      <w:marBottom w:val="0"/>
      <w:divBdr>
        <w:top w:val="none" w:sz="0" w:space="0" w:color="auto"/>
        <w:left w:val="none" w:sz="0" w:space="0" w:color="auto"/>
        <w:bottom w:val="none" w:sz="0" w:space="0" w:color="auto"/>
        <w:right w:val="none" w:sz="0" w:space="0" w:color="auto"/>
      </w:divBdr>
    </w:div>
    <w:div w:id="972909720">
      <w:bodyDiv w:val="1"/>
      <w:marLeft w:val="0"/>
      <w:marRight w:val="0"/>
      <w:marTop w:val="0"/>
      <w:marBottom w:val="0"/>
      <w:divBdr>
        <w:top w:val="none" w:sz="0" w:space="0" w:color="auto"/>
        <w:left w:val="none" w:sz="0" w:space="0" w:color="auto"/>
        <w:bottom w:val="none" w:sz="0" w:space="0" w:color="auto"/>
        <w:right w:val="none" w:sz="0" w:space="0" w:color="auto"/>
      </w:divBdr>
    </w:div>
    <w:div w:id="973413678">
      <w:bodyDiv w:val="1"/>
      <w:marLeft w:val="0"/>
      <w:marRight w:val="0"/>
      <w:marTop w:val="0"/>
      <w:marBottom w:val="0"/>
      <w:divBdr>
        <w:top w:val="none" w:sz="0" w:space="0" w:color="auto"/>
        <w:left w:val="none" w:sz="0" w:space="0" w:color="auto"/>
        <w:bottom w:val="none" w:sz="0" w:space="0" w:color="auto"/>
        <w:right w:val="none" w:sz="0" w:space="0" w:color="auto"/>
      </w:divBdr>
    </w:div>
    <w:div w:id="974681813">
      <w:bodyDiv w:val="1"/>
      <w:marLeft w:val="0"/>
      <w:marRight w:val="0"/>
      <w:marTop w:val="0"/>
      <w:marBottom w:val="0"/>
      <w:divBdr>
        <w:top w:val="none" w:sz="0" w:space="0" w:color="auto"/>
        <w:left w:val="none" w:sz="0" w:space="0" w:color="auto"/>
        <w:bottom w:val="none" w:sz="0" w:space="0" w:color="auto"/>
        <w:right w:val="none" w:sz="0" w:space="0" w:color="auto"/>
      </w:divBdr>
    </w:div>
    <w:div w:id="974800039">
      <w:bodyDiv w:val="1"/>
      <w:marLeft w:val="0"/>
      <w:marRight w:val="0"/>
      <w:marTop w:val="0"/>
      <w:marBottom w:val="0"/>
      <w:divBdr>
        <w:top w:val="none" w:sz="0" w:space="0" w:color="auto"/>
        <w:left w:val="none" w:sz="0" w:space="0" w:color="auto"/>
        <w:bottom w:val="none" w:sz="0" w:space="0" w:color="auto"/>
        <w:right w:val="none" w:sz="0" w:space="0" w:color="auto"/>
      </w:divBdr>
    </w:div>
    <w:div w:id="975142051">
      <w:bodyDiv w:val="1"/>
      <w:marLeft w:val="0"/>
      <w:marRight w:val="0"/>
      <w:marTop w:val="0"/>
      <w:marBottom w:val="0"/>
      <w:divBdr>
        <w:top w:val="none" w:sz="0" w:space="0" w:color="auto"/>
        <w:left w:val="none" w:sz="0" w:space="0" w:color="auto"/>
        <w:bottom w:val="none" w:sz="0" w:space="0" w:color="auto"/>
        <w:right w:val="none" w:sz="0" w:space="0" w:color="auto"/>
      </w:divBdr>
    </w:div>
    <w:div w:id="975454353">
      <w:bodyDiv w:val="1"/>
      <w:marLeft w:val="0"/>
      <w:marRight w:val="0"/>
      <w:marTop w:val="0"/>
      <w:marBottom w:val="0"/>
      <w:divBdr>
        <w:top w:val="none" w:sz="0" w:space="0" w:color="auto"/>
        <w:left w:val="none" w:sz="0" w:space="0" w:color="auto"/>
        <w:bottom w:val="none" w:sz="0" w:space="0" w:color="auto"/>
        <w:right w:val="none" w:sz="0" w:space="0" w:color="auto"/>
      </w:divBdr>
    </w:div>
    <w:div w:id="975523754">
      <w:bodyDiv w:val="1"/>
      <w:marLeft w:val="0"/>
      <w:marRight w:val="0"/>
      <w:marTop w:val="0"/>
      <w:marBottom w:val="0"/>
      <w:divBdr>
        <w:top w:val="none" w:sz="0" w:space="0" w:color="auto"/>
        <w:left w:val="none" w:sz="0" w:space="0" w:color="auto"/>
        <w:bottom w:val="none" w:sz="0" w:space="0" w:color="auto"/>
        <w:right w:val="none" w:sz="0" w:space="0" w:color="auto"/>
      </w:divBdr>
    </w:div>
    <w:div w:id="975843196">
      <w:bodyDiv w:val="1"/>
      <w:marLeft w:val="0"/>
      <w:marRight w:val="0"/>
      <w:marTop w:val="0"/>
      <w:marBottom w:val="0"/>
      <w:divBdr>
        <w:top w:val="none" w:sz="0" w:space="0" w:color="auto"/>
        <w:left w:val="none" w:sz="0" w:space="0" w:color="auto"/>
        <w:bottom w:val="none" w:sz="0" w:space="0" w:color="auto"/>
        <w:right w:val="none" w:sz="0" w:space="0" w:color="auto"/>
      </w:divBdr>
    </w:div>
    <w:div w:id="976489508">
      <w:bodyDiv w:val="1"/>
      <w:marLeft w:val="0"/>
      <w:marRight w:val="0"/>
      <w:marTop w:val="0"/>
      <w:marBottom w:val="0"/>
      <w:divBdr>
        <w:top w:val="none" w:sz="0" w:space="0" w:color="auto"/>
        <w:left w:val="none" w:sz="0" w:space="0" w:color="auto"/>
        <w:bottom w:val="none" w:sz="0" w:space="0" w:color="auto"/>
        <w:right w:val="none" w:sz="0" w:space="0" w:color="auto"/>
      </w:divBdr>
    </w:div>
    <w:div w:id="976758562">
      <w:bodyDiv w:val="1"/>
      <w:marLeft w:val="0"/>
      <w:marRight w:val="0"/>
      <w:marTop w:val="0"/>
      <w:marBottom w:val="0"/>
      <w:divBdr>
        <w:top w:val="none" w:sz="0" w:space="0" w:color="auto"/>
        <w:left w:val="none" w:sz="0" w:space="0" w:color="auto"/>
        <w:bottom w:val="none" w:sz="0" w:space="0" w:color="auto"/>
        <w:right w:val="none" w:sz="0" w:space="0" w:color="auto"/>
      </w:divBdr>
    </w:div>
    <w:div w:id="976759913">
      <w:bodyDiv w:val="1"/>
      <w:marLeft w:val="0"/>
      <w:marRight w:val="0"/>
      <w:marTop w:val="0"/>
      <w:marBottom w:val="0"/>
      <w:divBdr>
        <w:top w:val="none" w:sz="0" w:space="0" w:color="auto"/>
        <w:left w:val="none" w:sz="0" w:space="0" w:color="auto"/>
        <w:bottom w:val="none" w:sz="0" w:space="0" w:color="auto"/>
        <w:right w:val="none" w:sz="0" w:space="0" w:color="auto"/>
      </w:divBdr>
    </w:div>
    <w:div w:id="976959652">
      <w:bodyDiv w:val="1"/>
      <w:marLeft w:val="0"/>
      <w:marRight w:val="0"/>
      <w:marTop w:val="0"/>
      <w:marBottom w:val="0"/>
      <w:divBdr>
        <w:top w:val="none" w:sz="0" w:space="0" w:color="auto"/>
        <w:left w:val="none" w:sz="0" w:space="0" w:color="auto"/>
        <w:bottom w:val="none" w:sz="0" w:space="0" w:color="auto"/>
        <w:right w:val="none" w:sz="0" w:space="0" w:color="auto"/>
      </w:divBdr>
    </w:div>
    <w:div w:id="978536236">
      <w:bodyDiv w:val="1"/>
      <w:marLeft w:val="0"/>
      <w:marRight w:val="0"/>
      <w:marTop w:val="0"/>
      <w:marBottom w:val="0"/>
      <w:divBdr>
        <w:top w:val="none" w:sz="0" w:space="0" w:color="auto"/>
        <w:left w:val="none" w:sz="0" w:space="0" w:color="auto"/>
        <w:bottom w:val="none" w:sz="0" w:space="0" w:color="auto"/>
        <w:right w:val="none" w:sz="0" w:space="0" w:color="auto"/>
      </w:divBdr>
    </w:div>
    <w:div w:id="978925652">
      <w:bodyDiv w:val="1"/>
      <w:marLeft w:val="0"/>
      <w:marRight w:val="0"/>
      <w:marTop w:val="0"/>
      <w:marBottom w:val="0"/>
      <w:divBdr>
        <w:top w:val="none" w:sz="0" w:space="0" w:color="auto"/>
        <w:left w:val="none" w:sz="0" w:space="0" w:color="auto"/>
        <w:bottom w:val="none" w:sz="0" w:space="0" w:color="auto"/>
        <w:right w:val="none" w:sz="0" w:space="0" w:color="auto"/>
      </w:divBdr>
    </w:div>
    <w:div w:id="979001040">
      <w:bodyDiv w:val="1"/>
      <w:marLeft w:val="0"/>
      <w:marRight w:val="0"/>
      <w:marTop w:val="0"/>
      <w:marBottom w:val="0"/>
      <w:divBdr>
        <w:top w:val="none" w:sz="0" w:space="0" w:color="auto"/>
        <w:left w:val="none" w:sz="0" w:space="0" w:color="auto"/>
        <w:bottom w:val="none" w:sz="0" w:space="0" w:color="auto"/>
        <w:right w:val="none" w:sz="0" w:space="0" w:color="auto"/>
      </w:divBdr>
    </w:div>
    <w:div w:id="979187363">
      <w:bodyDiv w:val="1"/>
      <w:marLeft w:val="0"/>
      <w:marRight w:val="0"/>
      <w:marTop w:val="0"/>
      <w:marBottom w:val="0"/>
      <w:divBdr>
        <w:top w:val="none" w:sz="0" w:space="0" w:color="auto"/>
        <w:left w:val="none" w:sz="0" w:space="0" w:color="auto"/>
        <w:bottom w:val="none" w:sz="0" w:space="0" w:color="auto"/>
        <w:right w:val="none" w:sz="0" w:space="0" w:color="auto"/>
      </w:divBdr>
    </w:div>
    <w:div w:id="979728278">
      <w:bodyDiv w:val="1"/>
      <w:marLeft w:val="0"/>
      <w:marRight w:val="0"/>
      <w:marTop w:val="0"/>
      <w:marBottom w:val="0"/>
      <w:divBdr>
        <w:top w:val="none" w:sz="0" w:space="0" w:color="auto"/>
        <w:left w:val="none" w:sz="0" w:space="0" w:color="auto"/>
        <w:bottom w:val="none" w:sz="0" w:space="0" w:color="auto"/>
        <w:right w:val="none" w:sz="0" w:space="0" w:color="auto"/>
      </w:divBdr>
    </w:div>
    <w:div w:id="979961394">
      <w:bodyDiv w:val="1"/>
      <w:marLeft w:val="0"/>
      <w:marRight w:val="0"/>
      <w:marTop w:val="0"/>
      <w:marBottom w:val="0"/>
      <w:divBdr>
        <w:top w:val="none" w:sz="0" w:space="0" w:color="auto"/>
        <w:left w:val="none" w:sz="0" w:space="0" w:color="auto"/>
        <w:bottom w:val="none" w:sz="0" w:space="0" w:color="auto"/>
        <w:right w:val="none" w:sz="0" w:space="0" w:color="auto"/>
      </w:divBdr>
    </w:div>
    <w:div w:id="979964345">
      <w:bodyDiv w:val="1"/>
      <w:marLeft w:val="0"/>
      <w:marRight w:val="0"/>
      <w:marTop w:val="0"/>
      <w:marBottom w:val="0"/>
      <w:divBdr>
        <w:top w:val="none" w:sz="0" w:space="0" w:color="auto"/>
        <w:left w:val="none" w:sz="0" w:space="0" w:color="auto"/>
        <w:bottom w:val="none" w:sz="0" w:space="0" w:color="auto"/>
        <w:right w:val="none" w:sz="0" w:space="0" w:color="auto"/>
      </w:divBdr>
    </w:div>
    <w:div w:id="980577068">
      <w:bodyDiv w:val="1"/>
      <w:marLeft w:val="0"/>
      <w:marRight w:val="0"/>
      <w:marTop w:val="0"/>
      <w:marBottom w:val="0"/>
      <w:divBdr>
        <w:top w:val="none" w:sz="0" w:space="0" w:color="auto"/>
        <w:left w:val="none" w:sz="0" w:space="0" w:color="auto"/>
        <w:bottom w:val="none" w:sz="0" w:space="0" w:color="auto"/>
        <w:right w:val="none" w:sz="0" w:space="0" w:color="auto"/>
      </w:divBdr>
    </w:div>
    <w:div w:id="980692881">
      <w:bodyDiv w:val="1"/>
      <w:marLeft w:val="0"/>
      <w:marRight w:val="0"/>
      <w:marTop w:val="0"/>
      <w:marBottom w:val="0"/>
      <w:divBdr>
        <w:top w:val="none" w:sz="0" w:space="0" w:color="auto"/>
        <w:left w:val="none" w:sz="0" w:space="0" w:color="auto"/>
        <w:bottom w:val="none" w:sz="0" w:space="0" w:color="auto"/>
        <w:right w:val="none" w:sz="0" w:space="0" w:color="auto"/>
      </w:divBdr>
    </w:div>
    <w:div w:id="981275247">
      <w:bodyDiv w:val="1"/>
      <w:marLeft w:val="0"/>
      <w:marRight w:val="0"/>
      <w:marTop w:val="0"/>
      <w:marBottom w:val="0"/>
      <w:divBdr>
        <w:top w:val="none" w:sz="0" w:space="0" w:color="auto"/>
        <w:left w:val="none" w:sz="0" w:space="0" w:color="auto"/>
        <w:bottom w:val="none" w:sz="0" w:space="0" w:color="auto"/>
        <w:right w:val="none" w:sz="0" w:space="0" w:color="auto"/>
      </w:divBdr>
    </w:div>
    <w:div w:id="981349986">
      <w:bodyDiv w:val="1"/>
      <w:marLeft w:val="0"/>
      <w:marRight w:val="0"/>
      <w:marTop w:val="0"/>
      <w:marBottom w:val="0"/>
      <w:divBdr>
        <w:top w:val="none" w:sz="0" w:space="0" w:color="auto"/>
        <w:left w:val="none" w:sz="0" w:space="0" w:color="auto"/>
        <w:bottom w:val="none" w:sz="0" w:space="0" w:color="auto"/>
        <w:right w:val="none" w:sz="0" w:space="0" w:color="auto"/>
      </w:divBdr>
    </w:div>
    <w:div w:id="981352676">
      <w:bodyDiv w:val="1"/>
      <w:marLeft w:val="0"/>
      <w:marRight w:val="0"/>
      <w:marTop w:val="0"/>
      <w:marBottom w:val="0"/>
      <w:divBdr>
        <w:top w:val="none" w:sz="0" w:space="0" w:color="auto"/>
        <w:left w:val="none" w:sz="0" w:space="0" w:color="auto"/>
        <w:bottom w:val="none" w:sz="0" w:space="0" w:color="auto"/>
        <w:right w:val="none" w:sz="0" w:space="0" w:color="auto"/>
      </w:divBdr>
    </w:div>
    <w:div w:id="981545082">
      <w:bodyDiv w:val="1"/>
      <w:marLeft w:val="0"/>
      <w:marRight w:val="0"/>
      <w:marTop w:val="0"/>
      <w:marBottom w:val="0"/>
      <w:divBdr>
        <w:top w:val="none" w:sz="0" w:space="0" w:color="auto"/>
        <w:left w:val="none" w:sz="0" w:space="0" w:color="auto"/>
        <w:bottom w:val="none" w:sz="0" w:space="0" w:color="auto"/>
        <w:right w:val="none" w:sz="0" w:space="0" w:color="auto"/>
      </w:divBdr>
    </w:div>
    <w:div w:id="982006094">
      <w:bodyDiv w:val="1"/>
      <w:marLeft w:val="0"/>
      <w:marRight w:val="0"/>
      <w:marTop w:val="0"/>
      <w:marBottom w:val="0"/>
      <w:divBdr>
        <w:top w:val="none" w:sz="0" w:space="0" w:color="auto"/>
        <w:left w:val="none" w:sz="0" w:space="0" w:color="auto"/>
        <w:bottom w:val="none" w:sz="0" w:space="0" w:color="auto"/>
        <w:right w:val="none" w:sz="0" w:space="0" w:color="auto"/>
      </w:divBdr>
    </w:div>
    <w:div w:id="982659450">
      <w:bodyDiv w:val="1"/>
      <w:marLeft w:val="0"/>
      <w:marRight w:val="0"/>
      <w:marTop w:val="0"/>
      <w:marBottom w:val="0"/>
      <w:divBdr>
        <w:top w:val="none" w:sz="0" w:space="0" w:color="auto"/>
        <w:left w:val="none" w:sz="0" w:space="0" w:color="auto"/>
        <w:bottom w:val="none" w:sz="0" w:space="0" w:color="auto"/>
        <w:right w:val="none" w:sz="0" w:space="0" w:color="auto"/>
      </w:divBdr>
    </w:div>
    <w:div w:id="982777886">
      <w:bodyDiv w:val="1"/>
      <w:marLeft w:val="0"/>
      <w:marRight w:val="0"/>
      <w:marTop w:val="0"/>
      <w:marBottom w:val="0"/>
      <w:divBdr>
        <w:top w:val="none" w:sz="0" w:space="0" w:color="auto"/>
        <w:left w:val="none" w:sz="0" w:space="0" w:color="auto"/>
        <w:bottom w:val="none" w:sz="0" w:space="0" w:color="auto"/>
        <w:right w:val="none" w:sz="0" w:space="0" w:color="auto"/>
      </w:divBdr>
    </w:div>
    <w:div w:id="983655633">
      <w:bodyDiv w:val="1"/>
      <w:marLeft w:val="0"/>
      <w:marRight w:val="0"/>
      <w:marTop w:val="0"/>
      <w:marBottom w:val="0"/>
      <w:divBdr>
        <w:top w:val="none" w:sz="0" w:space="0" w:color="auto"/>
        <w:left w:val="none" w:sz="0" w:space="0" w:color="auto"/>
        <w:bottom w:val="none" w:sz="0" w:space="0" w:color="auto"/>
        <w:right w:val="none" w:sz="0" w:space="0" w:color="auto"/>
      </w:divBdr>
    </w:div>
    <w:div w:id="983704924">
      <w:bodyDiv w:val="1"/>
      <w:marLeft w:val="0"/>
      <w:marRight w:val="0"/>
      <w:marTop w:val="0"/>
      <w:marBottom w:val="0"/>
      <w:divBdr>
        <w:top w:val="none" w:sz="0" w:space="0" w:color="auto"/>
        <w:left w:val="none" w:sz="0" w:space="0" w:color="auto"/>
        <w:bottom w:val="none" w:sz="0" w:space="0" w:color="auto"/>
        <w:right w:val="none" w:sz="0" w:space="0" w:color="auto"/>
      </w:divBdr>
    </w:div>
    <w:div w:id="983774752">
      <w:bodyDiv w:val="1"/>
      <w:marLeft w:val="0"/>
      <w:marRight w:val="0"/>
      <w:marTop w:val="0"/>
      <w:marBottom w:val="0"/>
      <w:divBdr>
        <w:top w:val="none" w:sz="0" w:space="0" w:color="auto"/>
        <w:left w:val="none" w:sz="0" w:space="0" w:color="auto"/>
        <w:bottom w:val="none" w:sz="0" w:space="0" w:color="auto"/>
        <w:right w:val="none" w:sz="0" w:space="0" w:color="auto"/>
      </w:divBdr>
    </w:div>
    <w:div w:id="983852671">
      <w:bodyDiv w:val="1"/>
      <w:marLeft w:val="0"/>
      <w:marRight w:val="0"/>
      <w:marTop w:val="0"/>
      <w:marBottom w:val="0"/>
      <w:divBdr>
        <w:top w:val="none" w:sz="0" w:space="0" w:color="auto"/>
        <w:left w:val="none" w:sz="0" w:space="0" w:color="auto"/>
        <w:bottom w:val="none" w:sz="0" w:space="0" w:color="auto"/>
        <w:right w:val="none" w:sz="0" w:space="0" w:color="auto"/>
      </w:divBdr>
    </w:div>
    <w:div w:id="984159954">
      <w:bodyDiv w:val="1"/>
      <w:marLeft w:val="0"/>
      <w:marRight w:val="0"/>
      <w:marTop w:val="0"/>
      <w:marBottom w:val="0"/>
      <w:divBdr>
        <w:top w:val="none" w:sz="0" w:space="0" w:color="auto"/>
        <w:left w:val="none" w:sz="0" w:space="0" w:color="auto"/>
        <w:bottom w:val="none" w:sz="0" w:space="0" w:color="auto"/>
        <w:right w:val="none" w:sz="0" w:space="0" w:color="auto"/>
      </w:divBdr>
    </w:div>
    <w:div w:id="984891218">
      <w:bodyDiv w:val="1"/>
      <w:marLeft w:val="0"/>
      <w:marRight w:val="0"/>
      <w:marTop w:val="0"/>
      <w:marBottom w:val="0"/>
      <w:divBdr>
        <w:top w:val="none" w:sz="0" w:space="0" w:color="auto"/>
        <w:left w:val="none" w:sz="0" w:space="0" w:color="auto"/>
        <w:bottom w:val="none" w:sz="0" w:space="0" w:color="auto"/>
        <w:right w:val="none" w:sz="0" w:space="0" w:color="auto"/>
      </w:divBdr>
    </w:div>
    <w:div w:id="985092122">
      <w:bodyDiv w:val="1"/>
      <w:marLeft w:val="0"/>
      <w:marRight w:val="0"/>
      <w:marTop w:val="0"/>
      <w:marBottom w:val="0"/>
      <w:divBdr>
        <w:top w:val="none" w:sz="0" w:space="0" w:color="auto"/>
        <w:left w:val="none" w:sz="0" w:space="0" w:color="auto"/>
        <w:bottom w:val="none" w:sz="0" w:space="0" w:color="auto"/>
        <w:right w:val="none" w:sz="0" w:space="0" w:color="auto"/>
      </w:divBdr>
    </w:div>
    <w:div w:id="985473959">
      <w:bodyDiv w:val="1"/>
      <w:marLeft w:val="0"/>
      <w:marRight w:val="0"/>
      <w:marTop w:val="0"/>
      <w:marBottom w:val="0"/>
      <w:divBdr>
        <w:top w:val="none" w:sz="0" w:space="0" w:color="auto"/>
        <w:left w:val="none" w:sz="0" w:space="0" w:color="auto"/>
        <w:bottom w:val="none" w:sz="0" w:space="0" w:color="auto"/>
        <w:right w:val="none" w:sz="0" w:space="0" w:color="auto"/>
      </w:divBdr>
    </w:div>
    <w:div w:id="985822829">
      <w:bodyDiv w:val="1"/>
      <w:marLeft w:val="0"/>
      <w:marRight w:val="0"/>
      <w:marTop w:val="0"/>
      <w:marBottom w:val="0"/>
      <w:divBdr>
        <w:top w:val="none" w:sz="0" w:space="0" w:color="auto"/>
        <w:left w:val="none" w:sz="0" w:space="0" w:color="auto"/>
        <w:bottom w:val="none" w:sz="0" w:space="0" w:color="auto"/>
        <w:right w:val="none" w:sz="0" w:space="0" w:color="auto"/>
      </w:divBdr>
    </w:div>
    <w:div w:id="986278936">
      <w:bodyDiv w:val="1"/>
      <w:marLeft w:val="0"/>
      <w:marRight w:val="0"/>
      <w:marTop w:val="0"/>
      <w:marBottom w:val="0"/>
      <w:divBdr>
        <w:top w:val="none" w:sz="0" w:space="0" w:color="auto"/>
        <w:left w:val="none" w:sz="0" w:space="0" w:color="auto"/>
        <w:bottom w:val="none" w:sz="0" w:space="0" w:color="auto"/>
        <w:right w:val="none" w:sz="0" w:space="0" w:color="auto"/>
      </w:divBdr>
    </w:div>
    <w:div w:id="986393861">
      <w:bodyDiv w:val="1"/>
      <w:marLeft w:val="0"/>
      <w:marRight w:val="0"/>
      <w:marTop w:val="0"/>
      <w:marBottom w:val="0"/>
      <w:divBdr>
        <w:top w:val="none" w:sz="0" w:space="0" w:color="auto"/>
        <w:left w:val="none" w:sz="0" w:space="0" w:color="auto"/>
        <w:bottom w:val="none" w:sz="0" w:space="0" w:color="auto"/>
        <w:right w:val="none" w:sz="0" w:space="0" w:color="auto"/>
      </w:divBdr>
    </w:div>
    <w:div w:id="986544973">
      <w:bodyDiv w:val="1"/>
      <w:marLeft w:val="0"/>
      <w:marRight w:val="0"/>
      <w:marTop w:val="0"/>
      <w:marBottom w:val="0"/>
      <w:divBdr>
        <w:top w:val="none" w:sz="0" w:space="0" w:color="auto"/>
        <w:left w:val="none" w:sz="0" w:space="0" w:color="auto"/>
        <w:bottom w:val="none" w:sz="0" w:space="0" w:color="auto"/>
        <w:right w:val="none" w:sz="0" w:space="0" w:color="auto"/>
      </w:divBdr>
    </w:div>
    <w:div w:id="986711304">
      <w:bodyDiv w:val="1"/>
      <w:marLeft w:val="0"/>
      <w:marRight w:val="0"/>
      <w:marTop w:val="0"/>
      <w:marBottom w:val="0"/>
      <w:divBdr>
        <w:top w:val="none" w:sz="0" w:space="0" w:color="auto"/>
        <w:left w:val="none" w:sz="0" w:space="0" w:color="auto"/>
        <w:bottom w:val="none" w:sz="0" w:space="0" w:color="auto"/>
        <w:right w:val="none" w:sz="0" w:space="0" w:color="auto"/>
      </w:divBdr>
    </w:div>
    <w:div w:id="986974165">
      <w:bodyDiv w:val="1"/>
      <w:marLeft w:val="0"/>
      <w:marRight w:val="0"/>
      <w:marTop w:val="0"/>
      <w:marBottom w:val="0"/>
      <w:divBdr>
        <w:top w:val="none" w:sz="0" w:space="0" w:color="auto"/>
        <w:left w:val="none" w:sz="0" w:space="0" w:color="auto"/>
        <w:bottom w:val="none" w:sz="0" w:space="0" w:color="auto"/>
        <w:right w:val="none" w:sz="0" w:space="0" w:color="auto"/>
      </w:divBdr>
    </w:div>
    <w:div w:id="987704714">
      <w:bodyDiv w:val="1"/>
      <w:marLeft w:val="0"/>
      <w:marRight w:val="0"/>
      <w:marTop w:val="0"/>
      <w:marBottom w:val="0"/>
      <w:divBdr>
        <w:top w:val="none" w:sz="0" w:space="0" w:color="auto"/>
        <w:left w:val="none" w:sz="0" w:space="0" w:color="auto"/>
        <w:bottom w:val="none" w:sz="0" w:space="0" w:color="auto"/>
        <w:right w:val="none" w:sz="0" w:space="0" w:color="auto"/>
      </w:divBdr>
    </w:div>
    <w:div w:id="987977743">
      <w:bodyDiv w:val="1"/>
      <w:marLeft w:val="0"/>
      <w:marRight w:val="0"/>
      <w:marTop w:val="0"/>
      <w:marBottom w:val="0"/>
      <w:divBdr>
        <w:top w:val="none" w:sz="0" w:space="0" w:color="auto"/>
        <w:left w:val="none" w:sz="0" w:space="0" w:color="auto"/>
        <w:bottom w:val="none" w:sz="0" w:space="0" w:color="auto"/>
        <w:right w:val="none" w:sz="0" w:space="0" w:color="auto"/>
      </w:divBdr>
    </w:div>
    <w:div w:id="987981286">
      <w:bodyDiv w:val="1"/>
      <w:marLeft w:val="0"/>
      <w:marRight w:val="0"/>
      <w:marTop w:val="0"/>
      <w:marBottom w:val="0"/>
      <w:divBdr>
        <w:top w:val="none" w:sz="0" w:space="0" w:color="auto"/>
        <w:left w:val="none" w:sz="0" w:space="0" w:color="auto"/>
        <w:bottom w:val="none" w:sz="0" w:space="0" w:color="auto"/>
        <w:right w:val="none" w:sz="0" w:space="0" w:color="auto"/>
      </w:divBdr>
    </w:div>
    <w:div w:id="988048664">
      <w:bodyDiv w:val="1"/>
      <w:marLeft w:val="0"/>
      <w:marRight w:val="0"/>
      <w:marTop w:val="0"/>
      <w:marBottom w:val="0"/>
      <w:divBdr>
        <w:top w:val="none" w:sz="0" w:space="0" w:color="auto"/>
        <w:left w:val="none" w:sz="0" w:space="0" w:color="auto"/>
        <w:bottom w:val="none" w:sz="0" w:space="0" w:color="auto"/>
        <w:right w:val="none" w:sz="0" w:space="0" w:color="auto"/>
      </w:divBdr>
    </w:div>
    <w:div w:id="988093087">
      <w:bodyDiv w:val="1"/>
      <w:marLeft w:val="0"/>
      <w:marRight w:val="0"/>
      <w:marTop w:val="0"/>
      <w:marBottom w:val="0"/>
      <w:divBdr>
        <w:top w:val="none" w:sz="0" w:space="0" w:color="auto"/>
        <w:left w:val="none" w:sz="0" w:space="0" w:color="auto"/>
        <w:bottom w:val="none" w:sz="0" w:space="0" w:color="auto"/>
        <w:right w:val="none" w:sz="0" w:space="0" w:color="auto"/>
      </w:divBdr>
    </w:div>
    <w:div w:id="988167275">
      <w:bodyDiv w:val="1"/>
      <w:marLeft w:val="0"/>
      <w:marRight w:val="0"/>
      <w:marTop w:val="0"/>
      <w:marBottom w:val="0"/>
      <w:divBdr>
        <w:top w:val="none" w:sz="0" w:space="0" w:color="auto"/>
        <w:left w:val="none" w:sz="0" w:space="0" w:color="auto"/>
        <w:bottom w:val="none" w:sz="0" w:space="0" w:color="auto"/>
        <w:right w:val="none" w:sz="0" w:space="0" w:color="auto"/>
      </w:divBdr>
    </w:div>
    <w:div w:id="988291704">
      <w:bodyDiv w:val="1"/>
      <w:marLeft w:val="0"/>
      <w:marRight w:val="0"/>
      <w:marTop w:val="0"/>
      <w:marBottom w:val="0"/>
      <w:divBdr>
        <w:top w:val="none" w:sz="0" w:space="0" w:color="auto"/>
        <w:left w:val="none" w:sz="0" w:space="0" w:color="auto"/>
        <w:bottom w:val="none" w:sz="0" w:space="0" w:color="auto"/>
        <w:right w:val="none" w:sz="0" w:space="0" w:color="auto"/>
      </w:divBdr>
    </w:div>
    <w:div w:id="988555716">
      <w:bodyDiv w:val="1"/>
      <w:marLeft w:val="0"/>
      <w:marRight w:val="0"/>
      <w:marTop w:val="0"/>
      <w:marBottom w:val="0"/>
      <w:divBdr>
        <w:top w:val="none" w:sz="0" w:space="0" w:color="auto"/>
        <w:left w:val="none" w:sz="0" w:space="0" w:color="auto"/>
        <w:bottom w:val="none" w:sz="0" w:space="0" w:color="auto"/>
        <w:right w:val="none" w:sz="0" w:space="0" w:color="auto"/>
      </w:divBdr>
    </w:div>
    <w:div w:id="988632263">
      <w:bodyDiv w:val="1"/>
      <w:marLeft w:val="0"/>
      <w:marRight w:val="0"/>
      <w:marTop w:val="0"/>
      <w:marBottom w:val="0"/>
      <w:divBdr>
        <w:top w:val="none" w:sz="0" w:space="0" w:color="auto"/>
        <w:left w:val="none" w:sz="0" w:space="0" w:color="auto"/>
        <w:bottom w:val="none" w:sz="0" w:space="0" w:color="auto"/>
        <w:right w:val="none" w:sz="0" w:space="0" w:color="auto"/>
      </w:divBdr>
    </w:div>
    <w:div w:id="989093472">
      <w:bodyDiv w:val="1"/>
      <w:marLeft w:val="0"/>
      <w:marRight w:val="0"/>
      <w:marTop w:val="0"/>
      <w:marBottom w:val="0"/>
      <w:divBdr>
        <w:top w:val="none" w:sz="0" w:space="0" w:color="auto"/>
        <w:left w:val="none" w:sz="0" w:space="0" w:color="auto"/>
        <w:bottom w:val="none" w:sz="0" w:space="0" w:color="auto"/>
        <w:right w:val="none" w:sz="0" w:space="0" w:color="auto"/>
      </w:divBdr>
    </w:div>
    <w:div w:id="989405167">
      <w:bodyDiv w:val="1"/>
      <w:marLeft w:val="0"/>
      <w:marRight w:val="0"/>
      <w:marTop w:val="0"/>
      <w:marBottom w:val="0"/>
      <w:divBdr>
        <w:top w:val="none" w:sz="0" w:space="0" w:color="auto"/>
        <w:left w:val="none" w:sz="0" w:space="0" w:color="auto"/>
        <w:bottom w:val="none" w:sz="0" w:space="0" w:color="auto"/>
        <w:right w:val="none" w:sz="0" w:space="0" w:color="auto"/>
      </w:divBdr>
    </w:div>
    <w:div w:id="989552693">
      <w:bodyDiv w:val="1"/>
      <w:marLeft w:val="0"/>
      <w:marRight w:val="0"/>
      <w:marTop w:val="0"/>
      <w:marBottom w:val="0"/>
      <w:divBdr>
        <w:top w:val="none" w:sz="0" w:space="0" w:color="auto"/>
        <w:left w:val="none" w:sz="0" w:space="0" w:color="auto"/>
        <w:bottom w:val="none" w:sz="0" w:space="0" w:color="auto"/>
        <w:right w:val="none" w:sz="0" w:space="0" w:color="auto"/>
      </w:divBdr>
    </w:div>
    <w:div w:id="989863725">
      <w:bodyDiv w:val="1"/>
      <w:marLeft w:val="0"/>
      <w:marRight w:val="0"/>
      <w:marTop w:val="0"/>
      <w:marBottom w:val="0"/>
      <w:divBdr>
        <w:top w:val="none" w:sz="0" w:space="0" w:color="auto"/>
        <w:left w:val="none" w:sz="0" w:space="0" w:color="auto"/>
        <w:bottom w:val="none" w:sz="0" w:space="0" w:color="auto"/>
        <w:right w:val="none" w:sz="0" w:space="0" w:color="auto"/>
      </w:divBdr>
    </w:div>
    <w:div w:id="989871718">
      <w:bodyDiv w:val="1"/>
      <w:marLeft w:val="0"/>
      <w:marRight w:val="0"/>
      <w:marTop w:val="0"/>
      <w:marBottom w:val="0"/>
      <w:divBdr>
        <w:top w:val="none" w:sz="0" w:space="0" w:color="auto"/>
        <w:left w:val="none" w:sz="0" w:space="0" w:color="auto"/>
        <w:bottom w:val="none" w:sz="0" w:space="0" w:color="auto"/>
        <w:right w:val="none" w:sz="0" w:space="0" w:color="auto"/>
      </w:divBdr>
    </w:div>
    <w:div w:id="990064250">
      <w:bodyDiv w:val="1"/>
      <w:marLeft w:val="0"/>
      <w:marRight w:val="0"/>
      <w:marTop w:val="0"/>
      <w:marBottom w:val="0"/>
      <w:divBdr>
        <w:top w:val="none" w:sz="0" w:space="0" w:color="auto"/>
        <w:left w:val="none" w:sz="0" w:space="0" w:color="auto"/>
        <w:bottom w:val="none" w:sz="0" w:space="0" w:color="auto"/>
        <w:right w:val="none" w:sz="0" w:space="0" w:color="auto"/>
      </w:divBdr>
    </w:div>
    <w:div w:id="990133818">
      <w:bodyDiv w:val="1"/>
      <w:marLeft w:val="0"/>
      <w:marRight w:val="0"/>
      <w:marTop w:val="0"/>
      <w:marBottom w:val="0"/>
      <w:divBdr>
        <w:top w:val="none" w:sz="0" w:space="0" w:color="auto"/>
        <w:left w:val="none" w:sz="0" w:space="0" w:color="auto"/>
        <w:bottom w:val="none" w:sz="0" w:space="0" w:color="auto"/>
        <w:right w:val="none" w:sz="0" w:space="0" w:color="auto"/>
      </w:divBdr>
    </w:div>
    <w:div w:id="990212418">
      <w:bodyDiv w:val="1"/>
      <w:marLeft w:val="0"/>
      <w:marRight w:val="0"/>
      <w:marTop w:val="0"/>
      <w:marBottom w:val="0"/>
      <w:divBdr>
        <w:top w:val="none" w:sz="0" w:space="0" w:color="auto"/>
        <w:left w:val="none" w:sz="0" w:space="0" w:color="auto"/>
        <w:bottom w:val="none" w:sz="0" w:space="0" w:color="auto"/>
        <w:right w:val="none" w:sz="0" w:space="0" w:color="auto"/>
      </w:divBdr>
    </w:div>
    <w:div w:id="990713868">
      <w:bodyDiv w:val="1"/>
      <w:marLeft w:val="0"/>
      <w:marRight w:val="0"/>
      <w:marTop w:val="0"/>
      <w:marBottom w:val="0"/>
      <w:divBdr>
        <w:top w:val="none" w:sz="0" w:space="0" w:color="auto"/>
        <w:left w:val="none" w:sz="0" w:space="0" w:color="auto"/>
        <w:bottom w:val="none" w:sz="0" w:space="0" w:color="auto"/>
        <w:right w:val="none" w:sz="0" w:space="0" w:color="auto"/>
      </w:divBdr>
    </w:div>
    <w:div w:id="991062737">
      <w:bodyDiv w:val="1"/>
      <w:marLeft w:val="0"/>
      <w:marRight w:val="0"/>
      <w:marTop w:val="0"/>
      <w:marBottom w:val="0"/>
      <w:divBdr>
        <w:top w:val="none" w:sz="0" w:space="0" w:color="auto"/>
        <w:left w:val="none" w:sz="0" w:space="0" w:color="auto"/>
        <w:bottom w:val="none" w:sz="0" w:space="0" w:color="auto"/>
        <w:right w:val="none" w:sz="0" w:space="0" w:color="auto"/>
      </w:divBdr>
    </w:div>
    <w:div w:id="991253664">
      <w:bodyDiv w:val="1"/>
      <w:marLeft w:val="0"/>
      <w:marRight w:val="0"/>
      <w:marTop w:val="0"/>
      <w:marBottom w:val="0"/>
      <w:divBdr>
        <w:top w:val="none" w:sz="0" w:space="0" w:color="auto"/>
        <w:left w:val="none" w:sz="0" w:space="0" w:color="auto"/>
        <w:bottom w:val="none" w:sz="0" w:space="0" w:color="auto"/>
        <w:right w:val="none" w:sz="0" w:space="0" w:color="auto"/>
      </w:divBdr>
    </w:div>
    <w:div w:id="991450025">
      <w:bodyDiv w:val="1"/>
      <w:marLeft w:val="0"/>
      <w:marRight w:val="0"/>
      <w:marTop w:val="0"/>
      <w:marBottom w:val="0"/>
      <w:divBdr>
        <w:top w:val="none" w:sz="0" w:space="0" w:color="auto"/>
        <w:left w:val="none" w:sz="0" w:space="0" w:color="auto"/>
        <w:bottom w:val="none" w:sz="0" w:space="0" w:color="auto"/>
        <w:right w:val="none" w:sz="0" w:space="0" w:color="auto"/>
      </w:divBdr>
    </w:div>
    <w:div w:id="991520650">
      <w:bodyDiv w:val="1"/>
      <w:marLeft w:val="0"/>
      <w:marRight w:val="0"/>
      <w:marTop w:val="0"/>
      <w:marBottom w:val="0"/>
      <w:divBdr>
        <w:top w:val="none" w:sz="0" w:space="0" w:color="auto"/>
        <w:left w:val="none" w:sz="0" w:space="0" w:color="auto"/>
        <w:bottom w:val="none" w:sz="0" w:space="0" w:color="auto"/>
        <w:right w:val="none" w:sz="0" w:space="0" w:color="auto"/>
      </w:divBdr>
    </w:div>
    <w:div w:id="991561623">
      <w:bodyDiv w:val="1"/>
      <w:marLeft w:val="0"/>
      <w:marRight w:val="0"/>
      <w:marTop w:val="0"/>
      <w:marBottom w:val="0"/>
      <w:divBdr>
        <w:top w:val="none" w:sz="0" w:space="0" w:color="auto"/>
        <w:left w:val="none" w:sz="0" w:space="0" w:color="auto"/>
        <w:bottom w:val="none" w:sz="0" w:space="0" w:color="auto"/>
        <w:right w:val="none" w:sz="0" w:space="0" w:color="auto"/>
      </w:divBdr>
    </w:div>
    <w:div w:id="991564436">
      <w:bodyDiv w:val="1"/>
      <w:marLeft w:val="0"/>
      <w:marRight w:val="0"/>
      <w:marTop w:val="0"/>
      <w:marBottom w:val="0"/>
      <w:divBdr>
        <w:top w:val="none" w:sz="0" w:space="0" w:color="auto"/>
        <w:left w:val="none" w:sz="0" w:space="0" w:color="auto"/>
        <w:bottom w:val="none" w:sz="0" w:space="0" w:color="auto"/>
        <w:right w:val="none" w:sz="0" w:space="0" w:color="auto"/>
      </w:divBdr>
    </w:div>
    <w:div w:id="991759484">
      <w:bodyDiv w:val="1"/>
      <w:marLeft w:val="0"/>
      <w:marRight w:val="0"/>
      <w:marTop w:val="0"/>
      <w:marBottom w:val="0"/>
      <w:divBdr>
        <w:top w:val="none" w:sz="0" w:space="0" w:color="auto"/>
        <w:left w:val="none" w:sz="0" w:space="0" w:color="auto"/>
        <w:bottom w:val="none" w:sz="0" w:space="0" w:color="auto"/>
        <w:right w:val="none" w:sz="0" w:space="0" w:color="auto"/>
      </w:divBdr>
    </w:div>
    <w:div w:id="991830902">
      <w:bodyDiv w:val="1"/>
      <w:marLeft w:val="0"/>
      <w:marRight w:val="0"/>
      <w:marTop w:val="0"/>
      <w:marBottom w:val="0"/>
      <w:divBdr>
        <w:top w:val="none" w:sz="0" w:space="0" w:color="auto"/>
        <w:left w:val="none" w:sz="0" w:space="0" w:color="auto"/>
        <w:bottom w:val="none" w:sz="0" w:space="0" w:color="auto"/>
        <w:right w:val="none" w:sz="0" w:space="0" w:color="auto"/>
      </w:divBdr>
    </w:div>
    <w:div w:id="991912389">
      <w:bodyDiv w:val="1"/>
      <w:marLeft w:val="0"/>
      <w:marRight w:val="0"/>
      <w:marTop w:val="0"/>
      <w:marBottom w:val="0"/>
      <w:divBdr>
        <w:top w:val="none" w:sz="0" w:space="0" w:color="auto"/>
        <w:left w:val="none" w:sz="0" w:space="0" w:color="auto"/>
        <w:bottom w:val="none" w:sz="0" w:space="0" w:color="auto"/>
        <w:right w:val="none" w:sz="0" w:space="0" w:color="auto"/>
      </w:divBdr>
    </w:div>
    <w:div w:id="991980613">
      <w:bodyDiv w:val="1"/>
      <w:marLeft w:val="0"/>
      <w:marRight w:val="0"/>
      <w:marTop w:val="0"/>
      <w:marBottom w:val="0"/>
      <w:divBdr>
        <w:top w:val="none" w:sz="0" w:space="0" w:color="auto"/>
        <w:left w:val="none" w:sz="0" w:space="0" w:color="auto"/>
        <w:bottom w:val="none" w:sz="0" w:space="0" w:color="auto"/>
        <w:right w:val="none" w:sz="0" w:space="0" w:color="auto"/>
      </w:divBdr>
    </w:div>
    <w:div w:id="992292982">
      <w:bodyDiv w:val="1"/>
      <w:marLeft w:val="0"/>
      <w:marRight w:val="0"/>
      <w:marTop w:val="0"/>
      <w:marBottom w:val="0"/>
      <w:divBdr>
        <w:top w:val="none" w:sz="0" w:space="0" w:color="auto"/>
        <w:left w:val="none" w:sz="0" w:space="0" w:color="auto"/>
        <w:bottom w:val="none" w:sz="0" w:space="0" w:color="auto"/>
        <w:right w:val="none" w:sz="0" w:space="0" w:color="auto"/>
      </w:divBdr>
    </w:div>
    <w:div w:id="992299841">
      <w:bodyDiv w:val="1"/>
      <w:marLeft w:val="0"/>
      <w:marRight w:val="0"/>
      <w:marTop w:val="0"/>
      <w:marBottom w:val="0"/>
      <w:divBdr>
        <w:top w:val="none" w:sz="0" w:space="0" w:color="auto"/>
        <w:left w:val="none" w:sz="0" w:space="0" w:color="auto"/>
        <w:bottom w:val="none" w:sz="0" w:space="0" w:color="auto"/>
        <w:right w:val="none" w:sz="0" w:space="0" w:color="auto"/>
      </w:divBdr>
    </w:div>
    <w:div w:id="992443768">
      <w:bodyDiv w:val="1"/>
      <w:marLeft w:val="0"/>
      <w:marRight w:val="0"/>
      <w:marTop w:val="0"/>
      <w:marBottom w:val="0"/>
      <w:divBdr>
        <w:top w:val="none" w:sz="0" w:space="0" w:color="auto"/>
        <w:left w:val="none" w:sz="0" w:space="0" w:color="auto"/>
        <w:bottom w:val="none" w:sz="0" w:space="0" w:color="auto"/>
        <w:right w:val="none" w:sz="0" w:space="0" w:color="auto"/>
      </w:divBdr>
    </w:div>
    <w:div w:id="992828565">
      <w:bodyDiv w:val="1"/>
      <w:marLeft w:val="0"/>
      <w:marRight w:val="0"/>
      <w:marTop w:val="0"/>
      <w:marBottom w:val="0"/>
      <w:divBdr>
        <w:top w:val="none" w:sz="0" w:space="0" w:color="auto"/>
        <w:left w:val="none" w:sz="0" w:space="0" w:color="auto"/>
        <w:bottom w:val="none" w:sz="0" w:space="0" w:color="auto"/>
        <w:right w:val="none" w:sz="0" w:space="0" w:color="auto"/>
      </w:divBdr>
    </w:div>
    <w:div w:id="992876641">
      <w:bodyDiv w:val="1"/>
      <w:marLeft w:val="0"/>
      <w:marRight w:val="0"/>
      <w:marTop w:val="0"/>
      <w:marBottom w:val="0"/>
      <w:divBdr>
        <w:top w:val="none" w:sz="0" w:space="0" w:color="auto"/>
        <w:left w:val="none" w:sz="0" w:space="0" w:color="auto"/>
        <w:bottom w:val="none" w:sz="0" w:space="0" w:color="auto"/>
        <w:right w:val="none" w:sz="0" w:space="0" w:color="auto"/>
      </w:divBdr>
    </w:div>
    <w:div w:id="993948824">
      <w:bodyDiv w:val="1"/>
      <w:marLeft w:val="0"/>
      <w:marRight w:val="0"/>
      <w:marTop w:val="0"/>
      <w:marBottom w:val="0"/>
      <w:divBdr>
        <w:top w:val="none" w:sz="0" w:space="0" w:color="auto"/>
        <w:left w:val="none" w:sz="0" w:space="0" w:color="auto"/>
        <w:bottom w:val="none" w:sz="0" w:space="0" w:color="auto"/>
        <w:right w:val="none" w:sz="0" w:space="0" w:color="auto"/>
      </w:divBdr>
    </w:div>
    <w:div w:id="994187390">
      <w:bodyDiv w:val="1"/>
      <w:marLeft w:val="0"/>
      <w:marRight w:val="0"/>
      <w:marTop w:val="0"/>
      <w:marBottom w:val="0"/>
      <w:divBdr>
        <w:top w:val="none" w:sz="0" w:space="0" w:color="auto"/>
        <w:left w:val="none" w:sz="0" w:space="0" w:color="auto"/>
        <w:bottom w:val="none" w:sz="0" w:space="0" w:color="auto"/>
        <w:right w:val="none" w:sz="0" w:space="0" w:color="auto"/>
      </w:divBdr>
    </w:div>
    <w:div w:id="994260850">
      <w:bodyDiv w:val="1"/>
      <w:marLeft w:val="0"/>
      <w:marRight w:val="0"/>
      <w:marTop w:val="0"/>
      <w:marBottom w:val="0"/>
      <w:divBdr>
        <w:top w:val="none" w:sz="0" w:space="0" w:color="auto"/>
        <w:left w:val="none" w:sz="0" w:space="0" w:color="auto"/>
        <w:bottom w:val="none" w:sz="0" w:space="0" w:color="auto"/>
        <w:right w:val="none" w:sz="0" w:space="0" w:color="auto"/>
      </w:divBdr>
    </w:div>
    <w:div w:id="994332205">
      <w:bodyDiv w:val="1"/>
      <w:marLeft w:val="0"/>
      <w:marRight w:val="0"/>
      <w:marTop w:val="0"/>
      <w:marBottom w:val="0"/>
      <w:divBdr>
        <w:top w:val="none" w:sz="0" w:space="0" w:color="auto"/>
        <w:left w:val="none" w:sz="0" w:space="0" w:color="auto"/>
        <w:bottom w:val="none" w:sz="0" w:space="0" w:color="auto"/>
        <w:right w:val="none" w:sz="0" w:space="0" w:color="auto"/>
      </w:divBdr>
    </w:div>
    <w:div w:id="994382052">
      <w:bodyDiv w:val="1"/>
      <w:marLeft w:val="0"/>
      <w:marRight w:val="0"/>
      <w:marTop w:val="0"/>
      <w:marBottom w:val="0"/>
      <w:divBdr>
        <w:top w:val="none" w:sz="0" w:space="0" w:color="auto"/>
        <w:left w:val="none" w:sz="0" w:space="0" w:color="auto"/>
        <w:bottom w:val="none" w:sz="0" w:space="0" w:color="auto"/>
        <w:right w:val="none" w:sz="0" w:space="0" w:color="auto"/>
      </w:divBdr>
    </w:div>
    <w:div w:id="995840063">
      <w:bodyDiv w:val="1"/>
      <w:marLeft w:val="0"/>
      <w:marRight w:val="0"/>
      <w:marTop w:val="0"/>
      <w:marBottom w:val="0"/>
      <w:divBdr>
        <w:top w:val="none" w:sz="0" w:space="0" w:color="auto"/>
        <w:left w:val="none" w:sz="0" w:space="0" w:color="auto"/>
        <w:bottom w:val="none" w:sz="0" w:space="0" w:color="auto"/>
        <w:right w:val="none" w:sz="0" w:space="0" w:color="auto"/>
      </w:divBdr>
    </w:div>
    <w:div w:id="995885734">
      <w:bodyDiv w:val="1"/>
      <w:marLeft w:val="0"/>
      <w:marRight w:val="0"/>
      <w:marTop w:val="0"/>
      <w:marBottom w:val="0"/>
      <w:divBdr>
        <w:top w:val="none" w:sz="0" w:space="0" w:color="auto"/>
        <w:left w:val="none" w:sz="0" w:space="0" w:color="auto"/>
        <w:bottom w:val="none" w:sz="0" w:space="0" w:color="auto"/>
        <w:right w:val="none" w:sz="0" w:space="0" w:color="auto"/>
      </w:divBdr>
    </w:div>
    <w:div w:id="996807247">
      <w:bodyDiv w:val="1"/>
      <w:marLeft w:val="0"/>
      <w:marRight w:val="0"/>
      <w:marTop w:val="0"/>
      <w:marBottom w:val="0"/>
      <w:divBdr>
        <w:top w:val="none" w:sz="0" w:space="0" w:color="auto"/>
        <w:left w:val="none" w:sz="0" w:space="0" w:color="auto"/>
        <w:bottom w:val="none" w:sz="0" w:space="0" w:color="auto"/>
        <w:right w:val="none" w:sz="0" w:space="0" w:color="auto"/>
      </w:divBdr>
    </w:div>
    <w:div w:id="997151396">
      <w:bodyDiv w:val="1"/>
      <w:marLeft w:val="0"/>
      <w:marRight w:val="0"/>
      <w:marTop w:val="0"/>
      <w:marBottom w:val="0"/>
      <w:divBdr>
        <w:top w:val="none" w:sz="0" w:space="0" w:color="auto"/>
        <w:left w:val="none" w:sz="0" w:space="0" w:color="auto"/>
        <w:bottom w:val="none" w:sz="0" w:space="0" w:color="auto"/>
        <w:right w:val="none" w:sz="0" w:space="0" w:color="auto"/>
      </w:divBdr>
    </w:div>
    <w:div w:id="997226181">
      <w:bodyDiv w:val="1"/>
      <w:marLeft w:val="0"/>
      <w:marRight w:val="0"/>
      <w:marTop w:val="0"/>
      <w:marBottom w:val="0"/>
      <w:divBdr>
        <w:top w:val="none" w:sz="0" w:space="0" w:color="auto"/>
        <w:left w:val="none" w:sz="0" w:space="0" w:color="auto"/>
        <w:bottom w:val="none" w:sz="0" w:space="0" w:color="auto"/>
        <w:right w:val="none" w:sz="0" w:space="0" w:color="auto"/>
      </w:divBdr>
    </w:div>
    <w:div w:id="997882669">
      <w:bodyDiv w:val="1"/>
      <w:marLeft w:val="0"/>
      <w:marRight w:val="0"/>
      <w:marTop w:val="0"/>
      <w:marBottom w:val="0"/>
      <w:divBdr>
        <w:top w:val="none" w:sz="0" w:space="0" w:color="auto"/>
        <w:left w:val="none" w:sz="0" w:space="0" w:color="auto"/>
        <w:bottom w:val="none" w:sz="0" w:space="0" w:color="auto"/>
        <w:right w:val="none" w:sz="0" w:space="0" w:color="auto"/>
      </w:divBdr>
    </w:div>
    <w:div w:id="997999642">
      <w:bodyDiv w:val="1"/>
      <w:marLeft w:val="0"/>
      <w:marRight w:val="0"/>
      <w:marTop w:val="0"/>
      <w:marBottom w:val="0"/>
      <w:divBdr>
        <w:top w:val="none" w:sz="0" w:space="0" w:color="auto"/>
        <w:left w:val="none" w:sz="0" w:space="0" w:color="auto"/>
        <w:bottom w:val="none" w:sz="0" w:space="0" w:color="auto"/>
        <w:right w:val="none" w:sz="0" w:space="0" w:color="auto"/>
      </w:divBdr>
    </w:div>
    <w:div w:id="998115865">
      <w:bodyDiv w:val="1"/>
      <w:marLeft w:val="0"/>
      <w:marRight w:val="0"/>
      <w:marTop w:val="0"/>
      <w:marBottom w:val="0"/>
      <w:divBdr>
        <w:top w:val="none" w:sz="0" w:space="0" w:color="auto"/>
        <w:left w:val="none" w:sz="0" w:space="0" w:color="auto"/>
        <w:bottom w:val="none" w:sz="0" w:space="0" w:color="auto"/>
        <w:right w:val="none" w:sz="0" w:space="0" w:color="auto"/>
      </w:divBdr>
    </w:div>
    <w:div w:id="998269863">
      <w:bodyDiv w:val="1"/>
      <w:marLeft w:val="0"/>
      <w:marRight w:val="0"/>
      <w:marTop w:val="0"/>
      <w:marBottom w:val="0"/>
      <w:divBdr>
        <w:top w:val="none" w:sz="0" w:space="0" w:color="auto"/>
        <w:left w:val="none" w:sz="0" w:space="0" w:color="auto"/>
        <w:bottom w:val="none" w:sz="0" w:space="0" w:color="auto"/>
        <w:right w:val="none" w:sz="0" w:space="0" w:color="auto"/>
      </w:divBdr>
    </w:div>
    <w:div w:id="998388101">
      <w:bodyDiv w:val="1"/>
      <w:marLeft w:val="0"/>
      <w:marRight w:val="0"/>
      <w:marTop w:val="0"/>
      <w:marBottom w:val="0"/>
      <w:divBdr>
        <w:top w:val="none" w:sz="0" w:space="0" w:color="auto"/>
        <w:left w:val="none" w:sz="0" w:space="0" w:color="auto"/>
        <w:bottom w:val="none" w:sz="0" w:space="0" w:color="auto"/>
        <w:right w:val="none" w:sz="0" w:space="0" w:color="auto"/>
      </w:divBdr>
    </w:div>
    <w:div w:id="998733931">
      <w:bodyDiv w:val="1"/>
      <w:marLeft w:val="0"/>
      <w:marRight w:val="0"/>
      <w:marTop w:val="0"/>
      <w:marBottom w:val="0"/>
      <w:divBdr>
        <w:top w:val="none" w:sz="0" w:space="0" w:color="auto"/>
        <w:left w:val="none" w:sz="0" w:space="0" w:color="auto"/>
        <w:bottom w:val="none" w:sz="0" w:space="0" w:color="auto"/>
        <w:right w:val="none" w:sz="0" w:space="0" w:color="auto"/>
      </w:divBdr>
    </w:div>
    <w:div w:id="998733983">
      <w:bodyDiv w:val="1"/>
      <w:marLeft w:val="0"/>
      <w:marRight w:val="0"/>
      <w:marTop w:val="0"/>
      <w:marBottom w:val="0"/>
      <w:divBdr>
        <w:top w:val="none" w:sz="0" w:space="0" w:color="auto"/>
        <w:left w:val="none" w:sz="0" w:space="0" w:color="auto"/>
        <w:bottom w:val="none" w:sz="0" w:space="0" w:color="auto"/>
        <w:right w:val="none" w:sz="0" w:space="0" w:color="auto"/>
      </w:divBdr>
    </w:div>
    <w:div w:id="998777394">
      <w:bodyDiv w:val="1"/>
      <w:marLeft w:val="0"/>
      <w:marRight w:val="0"/>
      <w:marTop w:val="0"/>
      <w:marBottom w:val="0"/>
      <w:divBdr>
        <w:top w:val="none" w:sz="0" w:space="0" w:color="auto"/>
        <w:left w:val="none" w:sz="0" w:space="0" w:color="auto"/>
        <w:bottom w:val="none" w:sz="0" w:space="0" w:color="auto"/>
        <w:right w:val="none" w:sz="0" w:space="0" w:color="auto"/>
      </w:divBdr>
    </w:div>
    <w:div w:id="998846809">
      <w:bodyDiv w:val="1"/>
      <w:marLeft w:val="0"/>
      <w:marRight w:val="0"/>
      <w:marTop w:val="0"/>
      <w:marBottom w:val="0"/>
      <w:divBdr>
        <w:top w:val="none" w:sz="0" w:space="0" w:color="auto"/>
        <w:left w:val="none" w:sz="0" w:space="0" w:color="auto"/>
        <w:bottom w:val="none" w:sz="0" w:space="0" w:color="auto"/>
        <w:right w:val="none" w:sz="0" w:space="0" w:color="auto"/>
      </w:divBdr>
    </w:div>
    <w:div w:id="998997799">
      <w:bodyDiv w:val="1"/>
      <w:marLeft w:val="0"/>
      <w:marRight w:val="0"/>
      <w:marTop w:val="0"/>
      <w:marBottom w:val="0"/>
      <w:divBdr>
        <w:top w:val="none" w:sz="0" w:space="0" w:color="auto"/>
        <w:left w:val="none" w:sz="0" w:space="0" w:color="auto"/>
        <w:bottom w:val="none" w:sz="0" w:space="0" w:color="auto"/>
        <w:right w:val="none" w:sz="0" w:space="0" w:color="auto"/>
      </w:divBdr>
    </w:div>
    <w:div w:id="999499565">
      <w:bodyDiv w:val="1"/>
      <w:marLeft w:val="0"/>
      <w:marRight w:val="0"/>
      <w:marTop w:val="0"/>
      <w:marBottom w:val="0"/>
      <w:divBdr>
        <w:top w:val="none" w:sz="0" w:space="0" w:color="auto"/>
        <w:left w:val="none" w:sz="0" w:space="0" w:color="auto"/>
        <w:bottom w:val="none" w:sz="0" w:space="0" w:color="auto"/>
        <w:right w:val="none" w:sz="0" w:space="0" w:color="auto"/>
      </w:divBdr>
    </w:div>
    <w:div w:id="999885291">
      <w:bodyDiv w:val="1"/>
      <w:marLeft w:val="0"/>
      <w:marRight w:val="0"/>
      <w:marTop w:val="0"/>
      <w:marBottom w:val="0"/>
      <w:divBdr>
        <w:top w:val="none" w:sz="0" w:space="0" w:color="auto"/>
        <w:left w:val="none" w:sz="0" w:space="0" w:color="auto"/>
        <w:bottom w:val="none" w:sz="0" w:space="0" w:color="auto"/>
        <w:right w:val="none" w:sz="0" w:space="0" w:color="auto"/>
      </w:divBdr>
    </w:div>
    <w:div w:id="1000234576">
      <w:bodyDiv w:val="1"/>
      <w:marLeft w:val="0"/>
      <w:marRight w:val="0"/>
      <w:marTop w:val="0"/>
      <w:marBottom w:val="0"/>
      <w:divBdr>
        <w:top w:val="none" w:sz="0" w:space="0" w:color="auto"/>
        <w:left w:val="none" w:sz="0" w:space="0" w:color="auto"/>
        <w:bottom w:val="none" w:sz="0" w:space="0" w:color="auto"/>
        <w:right w:val="none" w:sz="0" w:space="0" w:color="auto"/>
      </w:divBdr>
    </w:div>
    <w:div w:id="1000351073">
      <w:bodyDiv w:val="1"/>
      <w:marLeft w:val="0"/>
      <w:marRight w:val="0"/>
      <w:marTop w:val="0"/>
      <w:marBottom w:val="0"/>
      <w:divBdr>
        <w:top w:val="none" w:sz="0" w:space="0" w:color="auto"/>
        <w:left w:val="none" w:sz="0" w:space="0" w:color="auto"/>
        <w:bottom w:val="none" w:sz="0" w:space="0" w:color="auto"/>
        <w:right w:val="none" w:sz="0" w:space="0" w:color="auto"/>
      </w:divBdr>
    </w:div>
    <w:div w:id="1000352165">
      <w:bodyDiv w:val="1"/>
      <w:marLeft w:val="0"/>
      <w:marRight w:val="0"/>
      <w:marTop w:val="0"/>
      <w:marBottom w:val="0"/>
      <w:divBdr>
        <w:top w:val="none" w:sz="0" w:space="0" w:color="auto"/>
        <w:left w:val="none" w:sz="0" w:space="0" w:color="auto"/>
        <w:bottom w:val="none" w:sz="0" w:space="0" w:color="auto"/>
        <w:right w:val="none" w:sz="0" w:space="0" w:color="auto"/>
      </w:divBdr>
    </w:div>
    <w:div w:id="1000354900">
      <w:bodyDiv w:val="1"/>
      <w:marLeft w:val="0"/>
      <w:marRight w:val="0"/>
      <w:marTop w:val="0"/>
      <w:marBottom w:val="0"/>
      <w:divBdr>
        <w:top w:val="none" w:sz="0" w:space="0" w:color="auto"/>
        <w:left w:val="none" w:sz="0" w:space="0" w:color="auto"/>
        <w:bottom w:val="none" w:sz="0" w:space="0" w:color="auto"/>
        <w:right w:val="none" w:sz="0" w:space="0" w:color="auto"/>
      </w:divBdr>
    </w:div>
    <w:div w:id="1000622772">
      <w:bodyDiv w:val="1"/>
      <w:marLeft w:val="0"/>
      <w:marRight w:val="0"/>
      <w:marTop w:val="0"/>
      <w:marBottom w:val="0"/>
      <w:divBdr>
        <w:top w:val="none" w:sz="0" w:space="0" w:color="auto"/>
        <w:left w:val="none" w:sz="0" w:space="0" w:color="auto"/>
        <w:bottom w:val="none" w:sz="0" w:space="0" w:color="auto"/>
        <w:right w:val="none" w:sz="0" w:space="0" w:color="auto"/>
      </w:divBdr>
    </w:div>
    <w:div w:id="1001546196">
      <w:bodyDiv w:val="1"/>
      <w:marLeft w:val="0"/>
      <w:marRight w:val="0"/>
      <w:marTop w:val="0"/>
      <w:marBottom w:val="0"/>
      <w:divBdr>
        <w:top w:val="none" w:sz="0" w:space="0" w:color="auto"/>
        <w:left w:val="none" w:sz="0" w:space="0" w:color="auto"/>
        <w:bottom w:val="none" w:sz="0" w:space="0" w:color="auto"/>
        <w:right w:val="none" w:sz="0" w:space="0" w:color="auto"/>
      </w:divBdr>
    </w:div>
    <w:div w:id="1001591466">
      <w:bodyDiv w:val="1"/>
      <w:marLeft w:val="0"/>
      <w:marRight w:val="0"/>
      <w:marTop w:val="0"/>
      <w:marBottom w:val="0"/>
      <w:divBdr>
        <w:top w:val="none" w:sz="0" w:space="0" w:color="auto"/>
        <w:left w:val="none" w:sz="0" w:space="0" w:color="auto"/>
        <w:bottom w:val="none" w:sz="0" w:space="0" w:color="auto"/>
        <w:right w:val="none" w:sz="0" w:space="0" w:color="auto"/>
      </w:divBdr>
    </w:div>
    <w:div w:id="1001615768">
      <w:bodyDiv w:val="1"/>
      <w:marLeft w:val="0"/>
      <w:marRight w:val="0"/>
      <w:marTop w:val="0"/>
      <w:marBottom w:val="0"/>
      <w:divBdr>
        <w:top w:val="none" w:sz="0" w:space="0" w:color="auto"/>
        <w:left w:val="none" w:sz="0" w:space="0" w:color="auto"/>
        <w:bottom w:val="none" w:sz="0" w:space="0" w:color="auto"/>
        <w:right w:val="none" w:sz="0" w:space="0" w:color="auto"/>
      </w:divBdr>
    </w:div>
    <w:div w:id="1001783429">
      <w:bodyDiv w:val="1"/>
      <w:marLeft w:val="0"/>
      <w:marRight w:val="0"/>
      <w:marTop w:val="0"/>
      <w:marBottom w:val="0"/>
      <w:divBdr>
        <w:top w:val="none" w:sz="0" w:space="0" w:color="auto"/>
        <w:left w:val="none" w:sz="0" w:space="0" w:color="auto"/>
        <w:bottom w:val="none" w:sz="0" w:space="0" w:color="auto"/>
        <w:right w:val="none" w:sz="0" w:space="0" w:color="auto"/>
      </w:divBdr>
    </w:div>
    <w:div w:id="1001811491">
      <w:bodyDiv w:val="1"/>
      <w:marLeft w:val="0"/>
      <w:marRight w:val="0"/>
      <w:marTop w:val="0"/>
      <w:marBottom w:val="0"/>
      <w:divBdr>
        <w:top w:val="none" w:sz="0" w:space="0" w:color="auto"/>
        <w:left w:val="none" w:sz="0" w:space="0" w:color="auto"/>
        <w:bottom w:val="none" w:sz="0" w:space="0" w:color="auto"/>
        <w:right w:val="none" w:sz="0" w:space="0" w:color="auto"/>
      </w:divBdr>
    </w:div>
    <w:div w:id="1003043632">
      <w:bodyDiv w:val="1"/>
      <w:marLeft w:val="0"/>
      <w:marRight w:val="0"/>
      <w:marTop w:val="0"/>
      <w:marBottom w:val="0"/>
      <w:divBdr>
        <w:top w:val="none" w:sz="0" w:space="0" w:color="auto"/>
        <w:left w:val="none" w:sz="0" w:space="0" w:color="auto"/>
        <w:bottom w:val="none" w:sz="0" w:space="0" w:color="auto"/>
        <w:right w:val="none" w:sz="0" w:space="0" w:color="auto"/>
      </w:divBdr>
    </w:div>
    <w:div w:id="1003047680">
      <w:bodyDiv w:val="1"/>
      <w:marLeft w:val="0"/>
      <w:marRight w:val="0"/>
      <w:marTop w:val="0"/>
      <w:marBottom w:val="0"/>
      <w:divBdr>
        <w:top w:val="none" w:sz="0" w:space="0" w:color="auto"/>
        <w:left w:val="none" w:sz="0" w:space="0" w:color="auto"/>
        <w:bottom w:val="none" w:sz="0" w:space="0" w:color="auto"/>
        <w:right w:val="none" w:sz="0" w:space="0" w:color="auto"/>
      </w:divBdr>
    </w:div>
    <w:div w:id="1003238134">
      <w:bodyDiv w:val="1"/>
      <w:marLeft w:val="0"/>
      <w:marRight w:val="0"/>
      <w:marTop w:val="0"/>
      <w:marBottom w:val="0"/>
      <w:divBdr>
        <w:top w:val="none" w:sz="0" w:space="0" w:color="auto"/>
        <w:left w:val="none" w:sz="0" w:space="0" w:color="auto"/>
        <w:bottom w:val="none" w:sz="0" w:space="0" w:color="auto"/>
        <w:right w:val="none" w:sz="0" w:space="0" w:color="auto"/>
      </w:divBdr>
    </w:div>
    <w:div w:id="1003555519">
      <w:bodyDiv w:val="1"/>
      <w:marLeft w:val="0"/>
      <w:marRight w:val="0"/>
      <w:marTop w:val="0"/>
      <w:marBottom w:val="0"/>
      <w:divBdr>
        <w:top w:val="none" w:sz="0" w:space="0" w:color="auto"/>
        <w:left w:val="none" w:sz="0" w:space="0" w:color="auto"/>
        <w:bottom w:val="none" w:sz="0" w:space="0" w:color="auto"/>
        <w:right w:val="none" w:sz="0" w:space="0" w:color="auto"/>
      </w:divBdr>
    </w:div>
    <w:div w:id="1003557808">
      <w:bodyDiv w:val="1"/>
      <w:marLeft w:val="0"/>
      <w:marRight w:val="0"/>
      <w:marTop w:val="0"/>
      <w:marBottom w:val="0"/>
      <w:divBdr>
        <w:top w:val="none" w:sz="0" w:space="0" w:color="auto"/>
        <w:left w:val="none" w:sz="0" w:space="0" w:color="auto"/>
        <w:bottom w:val="none" w:sz="0" w:space="0" w:color="auto"/>
        <w:right w:val="none" w:sz="0" w:space="0" w:color="auto"/>
      </w:divBdr>
    </w:div>
    <w:div w:id="1003705504">
      <w:bodyDiv w:val="1"/>
      <w:marLeft w:val="0"/>
      <w:marRight w:val="0"/>
      <w:marTop w:val="0"/>
      <w:marBottom w:val="0"/>
      <w:divBdr>
        <w:top w:val="none" w:sz="0" w:space="0" w:color="auto"/>
        <w:left w:val="none" w:sz="0" w:space="0" w:color="auto"/>
        <w:bottom w:val="none" w:sz="0" w:space="0" w:color="auto"/>
        <w:right w:val="none" w:sz="0" w:space="0" w:color="auto"/>
      </w:divBdr>
    </w:div>
    <w:div w:id="1003817454">
      <w:bodyDiv w:val="1"/>
      <w:marLeft w:val="0"/>
      <w:marRight w:val="0"/>
      <w:marTop w:val="0"/>
      <w:marBottom w:val="0"/>
      <w:divBdr>
        <w:top w:val="none" w:sz="0" w:space="0" w:color="auto"/>
        <w:left w:val="none" w:sz="0" w:space="0" w:color="auto"/>
        <w:bottom w:val="none" w:sz="0" w:space="0" w:color="auto"/>
        <w:right w:val="none" w:sz="0" w:space="0" w:color="auto"/>
      </w:divBdr>
    </w:div>
    <w:div w:id="1004085969">
      <w:bodyDiv w:val="1"/>
      <w:marLeft w:val="0"/>
      <w:marRight w:val="0"/>
      <w:marTop w:val="0"/>
      <w:marBottom w:val="0"/>
      <w:divBdr>
        <w:top w:val="none" w:sz="0" w:space="0" w:color="auto"/>
        <w:left w:val="none" w:sz="0" w:space="0" w:color="auto"/>
        <w:bottom w:val="none" w:sz="0" w:space="0" w:color="auto"/>
        <w:right w:val="none" w:sz="0" w:space="0" w:color="auto"/>
      </w:divBdr>
    </w:div>
    <w:div w:id="1004090082">
      <w:bodyDiv w:val="1"/>
      <w:marLeft w:val="0"/>
      <w:marRight w:val="0"/>
      <w:marTop w:val="0"/>
      <w:marBottom w:val="0"/>
      <w:divBdr>
        <w:top w:val="none" w:sz="0" w:space="0" w:color="auto"/>
        <w:left w:val="none" w:sz="0" w:space="0" w:color="auto"/>
        <w:bottom w:val="none" w:sz="0" w:space="0" w:color="auto"/>
        <w:right w:val="none" w:sz="0" w:space="0" w:color="auto"/>
      </w:divBdr>
    </w:div>
    <w:div w:id="1004360174">
      <w:bodyDiv w:val="1"/>
      <w:marLeft w:val="0"/>
      <w:marRight w:val="0"/>
      <w:marTop w:val="0"/>
      <w:marBottom w:val="0"/>
      <w:divBdr>
        <w:top w:val="none" w:sz="0" w:space="0" w:color="auto"/>
        <w:left w:val="none" w:sz="0" w:space="0" w:color="auto"/>
        <w:bottom w:val="none" w:sz="0" w:space="0" w:color="auto"/>
        <w:right w:val="none" w:sz="0" w:space="0" w:color="auto"/>
      </w:divBdr>
    </w:div>
    <w:div w:id="1004472540">
      <w:bodyDiv w:val="1"/>
      <w:marLeft w:val="0"/>
      <w:marRight w:val="0"/>
      <w:marTop w:val="0"/>
      <w:marBottom w:val="0"/>
      <w:divBdr>
        <w:top w:val="none" w:sz="0" w:space="0" w:color="auto"/>
        <w:left w:val="none" w:sz="0" w:space="0" w:color="auto"/>
        <w:bottom w:val="none" w:sz="0" w:space="0" w:color="auto"/>
        <w:right w:val="none" w:sz="0" w:space="0" w:color="auto"/>
      </w:divBdr>
    </w:div>
    <w:div w:id="1004747177">
      <w:bodyDiv w:val="1"/>
      <w:marLeft w:val="0"/>
      <w:marRight w:val="0"/>
      <w:marTop w:val="0"/>
      <w:marBottom w:val="0"/>
      <w:divBdr>
        <w:top w:val="none" w:sz="0" w:space="0" w:color="auto"/>
        <w:left w:val="none" w:sz="0" w:space="0" w:color="auto"/>
        <w:bottom w:val="none" w:sz="0" w:space="0" w:color="auto"/>
        <w:right w:val="none" w:sz="0" w:space="0" w:color="auto"/>
      </w:divBdr>
    </w:div>
    <w:div w:id="1005207845">
      <w:bodyDiv w:val="1"/>
      <w:marLeft w:val="0"/>
      <w:marRight w:val="0"/>
      <w:marTop w:val="0"/>
      <w:marBottom w:val="0"/>
      <w:divBdr>
        <w:top w:val="none" w:sz="0" w:space="0" w:color="auto"/>
        <w:left w:val="none" w:sz="0" w:space="0" w:color="auto"/>
        <w:bottom w:val="none" w:sz="0" w:space="0" w:color="auto"/>
        <w:right w:val="none" w:sz="0" w:space="0" w:color="auto"/>
      </w:divBdr>
    </w:div>
    <w:div w:id="1005279891">
      <w:bodyDiv w:val="1"/>
      <w:marLeft w:val="0"/>
      <w:marRight w:val="0"/>
      <w:marTop w:val="0"/>
      <w:marBottom w:val="0"/>
      <w:divBdr>
        <w:top w:val="none" w:sz="0" w:space="0" w:color="auto"/>
        <w:left w:val="none" w:sz="0" w:space="0" w:color="auto"/>
        <w:bottom w:val="none" w:sz="0" w:space="0" w:color="auto"/>
        <w:right w:val="none" w:sz="0" w:space="0" w:color="auto"/>
      </w:divBdr>
    </w:div>
    <w:div w:id="1006398174">
      <w:bodyDiv w:val="1"/>
      <w:marLeft w:val="0"/>
      <w:marRight w:val="0"/>
      <w:marTop w:val="0"/>
      <w:marBottom w:val="0"/>
      <w:divBdr>
        <w:top w:val="none" w:sz="0" w:space="0" w:color="auto"/>
        <w:left w:val="none" w:sz="0" w:space="0" w:color="auto"/>
        <w:bottom w:val="none" w:sz="0" w:space="0" w:color="auto"/>
        <w:right w:val="none" w:sz="0" w:space="0" w:color="auto"/>
      </w:divBdr>
    </w:div>
    <w:div w:id="1006981322">
      <w:bodyDiv w:val="1"/>
      <w:marLeft w:val="0"/>
      <w:marRight w:val="0"/>
      <w:marTop w:val="0"/>
      <w:marBottom w:val="0"/>
      <w:divBdr>
        <w:top w:val="none" w:sz="0" w:space="0" w:color="auto"/>
        <w:left w:val="none" w:sz="0" w:space="0" w:color="auto"/>
        <w:bottom w:val="none" w:sz="0" w:space="0" w:color="auto"/>
        <w:right w:val="none" w:sz="0" w:space="0" w:color="auto"/>
      </w:divBdr>
    </w:div>
    <w:div w:id="1007093855">
      <w:bodyDiv w:val="1"/>
      <w:marLeft w:val="0"/>
      <w:marRight w:val="0"/>
      <w:marTop w:val="0"/>
      <w:marBottom w:val="0"/>
      <w:divBdr>
        <w:top w:val="none" w:sz="0" w:space="0" w:color="auto"/>
        <w:left w:val="none" w:sz="0" w:space="0" w:color="auto"/>
        <w:bottom w:val="none" w:sz="0" w:space="0" w:color="auto"/>
        <w:right w:val="none" w:sz="0" w:space="0" w:color="auto"/>
      </w:divBdr>
    </w:div>
    <w:div w:id="1007557008">
      <w:bodyDiv w:val="1"/>
      <w:marLeft w:val="0"/>
      <w:marRight w:val="0"/>
      <w:marTop w:val="0"/>
      <w:marBottom w:val="0"/>
      <w:divBdr>
        <w:top w:val="none" w:sz="0" w:space="0" w:color="auto"/>
        <w:left w:val="none" w:sz="0" w:space="0" w:color="auto"/>
        <w:bottom w:val="none" w:sz="0" w:space="0" w:color="auto"/>
        <w:right w:val="none" w:sz="0" w:space="0" w:color="auto"/>
      </w:divBdr>
    </w:div>
    <w:div w:id="1008094815">
      <w:bodyDiv w:val="1"/>
      <w:marLeft w:val="0"/>
      <w:marRight w:val="0"/>
      <w:marTop w:val="0"/>
      <w:marBottom w:val="0"/>
      <w:divBdr>
        <w:top w:val="none" w:sz="0" w:space="0" w:color="auto"/>
        <w:left w:val="none" w:sz="0" w:space="0" w:color="auto"/>
        <w:bottom w:val="none" w:sz="0" w:space="0" w:color="auto"/>
        <w:right w:val="none" w:sz="0" w:space="0" w:color="auto"/>
      </w:divBdr>
    </w:div>
    <w:div w:id="1008211561">
      <w:bodyDiv w:val="1"/>
      <w:marLeft w:val="0"/>
      <w:marRight w:val="0"/>
      <w:marTop w:val="0"/>
      <w:marBottom w:val="0"/>
      <w:divBdr>
        <w:top w:val="none" w:sz="0" w:space="0" w:color="auto"/>
        <w:left w:val="none" w:sz="0" w:space="0" w:color="auto"/>
        <w:bottom w:val="none" w:sz="0" w:space="0" w:color="auto"/>
        <w:right w:val="none" w:sz="0" w:space="0" w:color="auto"/>
      </w:divBdr>
    </w:div>
    <w:div w:id="1008367861">
      <w:bodyDiv w:val="1"/>
      <w:marLeft w:val="0"/>
      <w:marRight w:val="0"/>
      <w:marTop w:val="0"/>
      <w:marBottom w:val="0"/>
      <w:divBdr>
        <w:top w:val="none" w:sz="0" w:space="0" w:color="auto"/>
        <w:left w:val="none" w:sz="0" w:space="0" w:color="auto"/>
        <w:bottom w:val="none" w:sz="0" w:space="0" w:color="auto"/>
        <w:right w:val="none" w:sz="0" w:space="0" w:color="auto"/>
      </w:divBdr>
    </w:div>
    <w:div w:id="1008488726">
      <w:bodyDiv w:val="1"/>
      <w:marLeft w:val="0"/>
      <w:marRight w:val="0"/>
      <w:marTop w:val="0"/>
      <w:marBottom w:val="0"/>
      <w:divBdr>
        <w:top w:val="none" w:sz="0" w:space="0" w:color="auto"/>
        <w:left w:val="none" w:sz="0" w:space="0" w:color="auto"/>
        <w:bottom w:val="none" w:sz="0" w:space="0" w:color="auto"/>
        <w:right w:val="none" w:sz="0" w:space="0" w:color="auto"/>
      </w:divBdr>
    </w:div>
    <w:div w:id="1008603998">
      <w:bodyDiv w:val="1"/>
      <w:marLeft w:val="0"/>
      <w:marRight w:val="0"/>
      <w:marTop w:val="0"/>
      <w:marBottom w:val="0"/>
      <w:divBdr>
        <w:top w:val="none" w:sz="0" w:space="0" w:color="auto"/>
        <w:left w:val="none" w:sz="0" w:space="0" w:color="auto"/>
        <w:bottom w:val="none" w:sz="0" w:space="0" w:color="auto"/>
        <w:right w:val="none" w:sz="0" w:space="0" w:color="auto"/>
      </w:divBdr>
    </w:div>
    <w:div w:id="1008606099">
      <w:bodyDiv w:val="1"/>
      <w:marLeft w:val="0"/>
      <w:marRight w:val="0"/>
      <w:marTop w:val="0"/>
      <w:marBottom w:val="0"/>
      <w:divBdr>
        <w:top w:val="none" w:sz="0" w:space="0" w:color="auto"/>
        <w:left w:val="none" w:sz="0" w:space="0" w:color="auto"/>
        <w:bottom w:val="none" w:sz="0" w:space="0" w:color="auto"/>
        <w:right w:val="none" w:sz="0" w:space="0" w:color="auto"/>
      </w:divBdr>
    </w:div>
    <w:div w:id="1010253429">
      <w:bodyDiv w:val="1"/>
      <w:marLeft w:val="0"/>
      <w:marRight w:val="0"/>
      <w:marTop w:val="0"/>
      <w:marBottom w:val="0"/>
      <w:divBdr>
        <w:top w:val="none" w:sz="0" w:space="0" w:color="auto"/>
        <w:left w:val="none" w:sz="0" w:space="0" w:color="auto"/>
        <w:bottom w:val="none" w:sz="0" w:space="0" w:color="auto"/>
        <w:right w:val="none" w:sz="0" w:space="0" w:color="auto"/>
      </w:divBdr>
    </w:div>
    <w:div w:id="1010445153">
      <w:bodyDiv w:val="1"/>
      <w:marLeft w:val="0"/>
      <w:marRight w:val="0"/>
      <w:marTop w:val="0"/>
      <w:marBottom w:val="0"/>
      <w:divBdr>
        <w:top w:val="none" w:sz="0" w:space="0" w:color="auto"/>
        <w:left w:val="none" w:sz="0" w:space="0" w:color="auto"/>
        <w:bottom w:val="none" w:sz="0" w:space="0" w:color="auto"/>
        <w:right w:val="none" w:sz="0" w:space="0" w:color="auto"/>
      </w:divBdr>
    </w:div>
    <w:div w:id="1010527990">
      <w:bodyDiv w:val="1"/>
      <w:marLeft w:val="0"/>
      <w:marRight w:val="0"/>
      <w:marTop w:val="0"/>
      <w:marBottom w:val="0"/>
      <w:divBdr>
        <w:top w:val="none" w:sz="0" w:space="0" w:color="auto"/>
        <w:left w:val="none" w:sz="0" w:space="0" w:color="auto"/>
        <w:bottom w:val="none" w:sz="0" w:space="0" w:color="auto"/>
        <w:right w:val="none" w:sz="0" w:space="0" w:color="auto"/>
      </w:divBdr>
    </w:div>
    <w:div w:id="1011252853">
      <w:bodyDiv w:val="1"/>
      <w:marLeft w:val="0"/>
      <w:marRight w:val="0"/>
      <w:marTop w:val="0"/>
      <w:marBottom w:val="0"/>
      <w:divBdr>
        <w:top w:val="none" w:sz="0" w:space="0" w:color="auto"/>
        <w:left w:val="none" w:sz="0" w:space="0" w:color="auto"/>
        <w:bottom w:val="none" w:sz="0" w:space="0" w:color="auto"/>
        <w:right w:val="none" w:sz="0" w:space="0" w:color="auto"/>
      </w:divBdr>
    </w:div>
    <w:div w:id="1011296341">
      <w:bodyDiv w:val="1"/>
      <w:marLeft w:val="0"/>
      <w:marRight w:val="0"/>
      <w:marTop w:val="0"/>
      <w:marBottom w:val="0"/>
      <w:divBdr>
        <w:top w:val="none" w:sz="0" w:space="0" w:color="auto"/>
        <w:left w:val="none" w:sz="0" w:space="0" w:color="auto"/>
        <w:bottom w:val="none" w:sz="0" w:space="0" w:color="auto"/>
        <w:right w:val="none" w:sz="0" w:space="0" w:color="auto"/>
      </w:divBdr>
    </w:div>
    <w:div w:id="1011446419">
      <w:bodyDiv w:val="1"/>
      <w:marLeft w:val="0"/>
      <w:marRight w:val="0"/>
      <w:marTop w:val="0"/>
      <w:marBottom w:val="0"/>
      <w:divBdr>
        <w:top w:val="none" w:sz="0" w:space="0" w:color="auto"/>
        <w:left w:val="none" w:sz="0" w:space="0" w:color="auto"/>
        <w:bottom w:val="none" w:sz="0" w:space="0" w:color="auto"/>
        <w:right w:val="none" w:sz="0" w:space="0" w:color="auto"/>
      </w:divBdr>
    </w:div>
    <w:div w:id="1011449168">
      <w:bodyDiv w:val="1"/>
      <w:marLeft w:val="0"/>
      <w:marRight w:val="0"/>
      <w:marTop w:val="0"/>
      <w:marBottom w:val="0"/>
      <w:divBdr>
        <w:top w:val="none" w:sz="0" w:space="0" w:color="auto"/>
        <w:left w:val="none" w:sz="0" w:space="0" w:color="auto"/>
        <w:bottom w:val="none" w:sz="0" w:space="0" w:color="auto"/>
        <w:right w:val="none" w:sz="0" w:space="0" w:color="auto"/>
      </w:divBdr>
    </w:div>
    <w:div w:id="1011907615">
      <w:bodyDiv w:val="1"/>
      <w:marLeft w:val="0"/>
      <w:marRight w:val="0"/>
      <w:marTop w:val="0"/>
      <w:marBottom w:val="0"/>
      <w:divBdr>
        <w:top w:val="none" w:sz="0" w:space="0" w:color="auto"/>
        <w:left w:val="none" w:sz="0" w:space="0" w:color="auto"/>
        <w:bottom w:val="none" w:sz="0" w:space="0" w:color="auto"/>
        <w:right w:val="none" w:sz="0" w:space="0" w:color="auto"/>
      </w:divBdr>
    </w:div>
    <w:div w:id="1012102280">
      <w:bodyDiv w:val="1"/>
      <w:marLeft w:val="0"/>
      <w:marRight w:val="0"/>
      <w:marTop w:val="0"/>
      <w:marBottom w:val="0"/>
      <w:divBdr>
        <w:top w:val="none" w:sz="0" w:space="0" w:color="auto"/>
        <w:left w:val="none" w:sz="0" w:space="0" w:color="auto"/>
        <w:bottom w:val="none" w:sz="0" w:space="0" w:color="auto"/>
        <w:right w:val="none" w:sz="0" w:space="0" w:color="auto"/>
      </w:divBdr>
    </w:div>
    <w:div w:id="1012227093">
      <w:bodyDiv w:val="1"/>
      <w:marLeft w:val="0"/>
      <w:marRight w:val="0"/>
      <w:marTop w:val="0"/>
      <w:marBottom w:val="0"/>
      <w:divBdr>
        <w:top w:val="none" w:sz="0" w:space="0" w:color="auto"/>
        <w:left w:val="none" w:sz="0" w:space="0" w:color="auto"/>
        <w:bottom w:val="none" w:sz="0" w:space="0" w:color="auto"/>
        <w:right w:val="none" w:sz="0" w:space="0" w:color="auto"/>
      </w:divBdr>
    </w:div>
    <w:div w:id="1012297762">
      <w:bodyDiv w:val="1"/>
      <w:marLeft w:val="0"/>
      <w:marRight w:val="0"/>
      <w:marTop w:val="0"/>
      <w:marBottom w:val="0"/>
      <w:divBdr>
        <w:top w:val="none" w:sz="0" w:space="0" w:color="auto"/>
        <w:left w:val="none" w:sz="0" w:space="0" w:color="auto"/>
        <w:bottom w:val="none" w:sz="0" w:space="0" w:color="auto"/>
        <w:right w:val="none" w:sz="0" w:space="0" w:color="auto"/>
      </w:divBdr>
    </w:div>
    <w:div w:id="1012799908">
      <w:bodyDiv w:val="1"/>
      <w:marLeft w:val="0"/>
      <w:marRight w:val="0"/>
      <w:marTop w:val="0"/>
      <w:marBottom w:val="0"/>
      <w:divBdr>
        <w:top w:val="none" w:sz="0" w:space="0" w:color="auto"/>
        <w:left w:val="none" w:sz="0" w:space="0" w:color="auto"/>
        <w:bottom w:val="none" w:sz="0" w:space="0" w:color="auto"/>
        <w:right w:val="none" w:sz="0" w:space="0" w:color="auto"/>
      </w:divBdr>
    </w:div>
    <w:div w:id="1012990763">
      <w:bodyDiv w:val="1"/>
      <w:marLeft w:val="0"/>
      <w:marRight w:val="0"/>
      <w:marTop w:val="0"/>
      <w:marBottom w:val="0"/>
      <w:divBdr>
        <w:top w:val="none" w:sz="0" w:space="0" w:color="auto"/>
        <w:left w:val="none" w:sz="0" w:space="0" w:color="auto"/>
        <w:bottom w:val="none" w:sz="0" w:space="0" w:color="auto"/>
        <w:right w:val="none" w:sz="0" w:space="0" w:color="auto"/>
      </w:divBdr>
    </w:div>
    <w:div w:id="1012995636">
      <w:bodyDiv w:val="1"/>
      <w:marLeft w:val="0"/>
      <w:marRight w:val="0"/>
      <w:marTop w:val="0"/>
      <w:marBottom w:val="0"/>
      <w:divBdr>
        <w:top w:val="none" w:sz="0" w:space="0" w:color="auto"/>
        <w:left w:val="none" w:sz="0" w:space="0" w:color="auto"/>
        <w:bottom w:val="none" w:sz="0" w:space="0" w:color="auto"/>
        <w:right w:val="none" w:sz="0" w:space="0" w:color="auto"/>
      </w:divBdr>
    </w:div>
    <w:div w:id="1013652054">
      <w:bodyDiv w:val="1"/>
      <w:marLeft w:val="0"/>
      <w:marRight w:val="0"/>
      <w:marTop w:val="0"/>
      <w:marBottom w:val="0"/>
      <w:divBdr>
        <w:top w:val="none" w:sz="0" w:space="0" w:color="auto"/>
        <w:left w:val="none" w:sz="0" w:space="0" w:color="auto"/>
        <w:bottom w:val="none" w:sz="0" w:space="0" w:color="auto"/>
        <w:right w:val="none" w:sz="0" w:space="0" w:color="auto"/>
      </w:divBdr>
    </w:div>
    <w:div w:id="1014188526">
      <w:bodyDiv w:val="1"/>
      <w:marLeft w:val="0"/>
      <w:marRight w:val="0"/>
      <w:marTop w:val="0"/>
      <w:marBottom w:val="0"/>
      <w:divBdr>
        <w:top w:val="none" w:sz="0" w:space="0" w:color="auto"/>
        <w:left w:val="none" w:sz="0" w:space="0" w:color="auto"/>
        <w:bottom w:val="none" w:sz="0" w:space="0" w:color="auto"/>
        <w:right w:val="none" w:sz="0" w:space="0" w:color="auto"/>
      </w:divBdr>
    </w:div>
    <w:div w:id="1014769801">
      <w:bodyDiv w:val="1"/>
      <w:marLeft w:val="0"/>
      <w:marRight w:val="0"/>
      <w:marTop w:val="0"/>
      <w:marBottom w:val="0"/>
      <w:divBdr>
        <w:top w:val="none" w:sz="0" w:space="0" w:color="auto"/>
        <w:left w:val="none" w:sz="0" w:space="0" w:color="auto"/>
        <w:bottom w:val="none" w:sz="0" w:space="0" w:color="auto"/>
        <w:right w:val="none" w:sz="0" w:space="0" w:color="auto"/>
      </w:divBdr>
    </w:div>
    <w:div w:id="1014961020">
      <w:bodyDiv w:val="1"/>
      <w:marLeft w:val="0"/>
      <w:marRight w:val="0"/>
      <w:marTop w:val="0"/>
      <w:marBottom w:val="0"/>
      <w:divBdr>
        <w:top w:val="none" w:sz="0" w:space="0" w:color="auto"/>
        <w:left w:val="none" w:sz="0" w:space="0" w:color="auto"/>
        <w:bottom w:val="none" w:sz="0" w:space="0" w:color="auto"/>
        <w:right w:val="none" w:sz="0" w:space="0" w:color="auto"/>
      </w:divBdr>
    </w:div>
    <w:div w:id="1014962856">
      <w:bodyDiv w:val="1"/>
      <w:marLeft w:val="0"/>
      <w:marRight w:val="0"/>
      <w:marTop w:val="0"/>
      <w:marBottom w:val="0"/>
      <w:divBdr>
        <w:top w:val="none" w:sz="0" w:space="0" w:color="auto"/>
        <w:left w:val="none" w:sz="0" w:space="0" w:color="auto"/>
        <w:bottom w:val="none" w:sz="0" w:space="0" w:color="auto"/>
        <w:right w:val="none" w:sz="0" w:space="0" w:color="auto"/>
      </w:divBdr>
    </w:div>
    <w:div w:id="1015111397">
      <w:bodyDiv w:val="1"/>
      <w:marLeft w:val="0"/>
      <w:marRight w:val="0"/>
      <w:marTop w:val="0"/>
      <w:marBottom w:val="0"/>
      <w:divBdr>
        <w:top w:val="none" w:sz="0" w:space="0" w:color="auto"/>
        <w:left w:val="none" w:sz="0" w:space="0" w:color="auto"/>
        <w:bottom w:val="none" w:sz="0" w:space="0" w:color="auto"/>
        <w:right w:val="none" w:sz="0" w:space="0" w:color="auto"/>
      </w:divBdr>
    </w:div>
    <w:div w:id="1015962845">
      <w:bodyDiv w:val="1"/>
      <w:marLeft w:val="0"/>
      <w:marRight w:val="0"/>
      <w:marTop w:val="0"/>
      <w:marBottom w:val="0"/>
      <w:divBdr>
        <w:top w:val="none" w:sz="0" w:space="0" w:color="auto"/>
        <w:left w:val="none" w:sz="0" w:space="0" w:color="auto"/>
        <w:bottom w:val="none" w:sz="0" w:space="0" w:color="auto"/>
        <w:right w:val="none" w:sz="0" w:space="0" w:color="auto"/>
      </w:divBdr>
    </w:div>
    <w:div w:id="1016033141">
      <w:bodyDiv w:val="1"/>
      <w:marLeft w:val="0"/>
      <w:marRight w:val="0"/>
      <w:marTop w:val="0"/>
      <w:marBottom w:val="0"/>
      <w:divBdr>
        <w:top w:val="none" w:sz="0" w:space="0" w:color="auto"/>
        <w:left w:val="none" w:sz="0" w:space="0" w:color="auto"/>
        <w:bottom w:val="none" w:sz="0" w:space="0" w:color="auto"/>
        <w:right w:val="none" w:sz="0" w:space="0" w:color="auto"/>
      </w:divBdr>
    </w:div>
    <w:div w:id="1016614932">
      <w:bodyDiv w:val="1"/>
      <w:marLeft w:val="0"/>
      <w:marRight w:val="0"/>
      <w:marTop w:val="0"/>
      <w:marBottom w:val="0"/>
      <w:divBdr>
        <w:top w:val="none" w:sz="0" w:space="0" w:color="auto"/>
        <w:left w:val="none" w:sz="0" w:space="0" w:color="auto"/>
        <w:bottom w:val="none" w:sz="0" w:space="0" w:color="auto"/>
        <w:right w:val="none" w:sz="0" w:space="0" w:color="auto"/>
      </w:divBdr>
    </w:div>
    <w:div w:id="1018311916">
      <w:bodyDiv w:val="1"/>
      <w:marLeft w:val="0"/>
      <w:marRight w:val="0"/>
      <w:marTop w:val="0"/>
      <w:marBottom w:val="0"/>
      <w:divBdr>
        <w:top w:val="none" w:sz="0" w:space="0" w:color="auto"/>
        <w:left w:val="none" w:sz="0" w:space="0" w:color="auto"/>
        <w:bottom w:val="none" w:sz="0" w:space="0" w:color="auto"/>
        <w:right w:val="none" w:sz="0" w:space="0" w:color="auto"/>
      </w:divBdr>
    </w:div>
    <w:div w:id="1019234886">
      <w:bodyDiv w:val="1"/>
      <w:marLeft w:val="0"/>
      <w:marRight w:val="0"/>
      <w:marTop w:val="0"/>
      <w:marBottom w:val="0"/>
      <w:divBdr>
        <w:top w:val="none" w:sz="0" w:space="0" w:color="auto"/>
        <w:left w:val="none" w:sz="0" w:space="0" w:color="auto"/>
        <w:bottom w:val="none" w:sz="0" w:space="0" w:color="auto"/>
        <w:right w:val="none" w:sz="0" w:space="0" w:color="auto"/>
      </w:divBdr>
    </w:div>
    <w:div w:id="1019283649">
      <w:bodyDiv w:val="1"/>
      <w:marLeft w:val="0"/>
      <w:marRight w:val="0"/>
      <w:marTop w:val="0"/>
      <w:marBottom w:val="0"/>
      <w:divBdr>
        <w:top w:val="none" w:sz="0" w:space="0" w:color="auto"/>
        <w:left w:val="none" w:sz="0" w:space="0" w:color="auto"/>
        <w:bottom w:val="none" w:sz="0" w:space="0" w:color="auto"/>
        <w:right w:val="none" w:sz="0" w:space="0" w:color="auto"/>
      </w:divBdr>
    </w:div>
    <w:div w:id="1019701098">
      <w:bodyDiv w:val="1"/>
      <w:marLeft w:val="0"/>
      <w:marRight w:val="0"/>
      <w:marTop w:val="0"/>
      <w:marBottom w:val="0"/>
      <w:divBdr>
        <w:top w:val="none" w:sz="0" w:space="0" w:color="auto"/>
        <w:left w:val="none" w:sz="0" w:space="0" w:color="auto"/>
        <w:bottom w:val="none" w:sz="0" w:space="0" w:color="auto"/>
        <w:right w:val="none" w:sz="0" w:space="0" w:color="auto"/>
      </w:divBdr>
    </w:div>
    <w:div w:id="1019701777">
      <w:bodyDiv w:val="1"/>
      <w:marLeft w:val="0"/>
      <w:marRight w:val="0"/>
      <w:marTop w:val="0"/>
      <w:marBottom w:val="0"/>
      <w:divBdr>
        <w:top w:val="none" w:sz="0" w:space="0" w:color="auto"/>
        <w:left w:val="none" w:sz="0" w:space="0" w:color="auto"/>
        <w:bottom w:val="none" w:sz="0" w:space="0" w:color="auto"/>
        <w:right w:val="none" w:sz="0" w:space="0" w:color="auto"/>
      </w:divBdr>
    </w:div>
    <w:div w:id="1019772682">
      <w:bodyDiv w:val="1"/>
      <w:marLeft w:val="0"/>
      <w:marRight w:val="0"/>
      <w:marTop w:val="0"/>
      <w:marBottom w:val="0"/>
      <w:divBdr>
        <w:top w:val="none" w:sz="0" w:space="0" w:color="auto"/>
        <w:left w:val="none" w:sz="0" w:space="0" w:color="auto"/>
        <w:bottom w:val="none" w:sz="0" w:space="0" w:color="auto"/>
        <w:right w:val="none" w:sz="0" w:space="0" w:color="auto"/>
      </w:divBdr>
    </w:div>
    <w:div w:id="1019966887">
      <w:bodyDiv w:val="1"/>
      <w:marLeft w:val="0"/>
      <w:marRight w:val="0"/>
      <w:marTop w:val="0"/>
      <w:marBottom w:val="0"/>
      <w:divBdr>
        <w:top w:val="none" w:sz="0" w:space="0" w:color="auto"/>
        <w:left w:val="none" w:sz="0" w:space="0" w:color="auto"/>
        <w:bottom w:val="none" w:sz="0" w:space="0" w:color="auto"/>
        <w:right w:val="none" w:sz="0" w:space="0" w:color="auto"/>
      </w:divBdr>
    </w:div>
    <w:div w:id="1020467572">
      <w:bodyDiv w:val="1"/>
      <w:marLeft w:val="0"/>
      <w:marRight w:val="0"/>
      <w:marTop w:val="0"/>
      <w:marBottom w:val="0"/>
      <w:divBdr>
        <w:top w:val="none" w:sz="0" w:space="0" w:color="auto"/>
        <w:left w:val="none" w:sz="0" w:space="0" w:color="auto"/>
        <w:bottom w:val="none" w:sz="0" w:space="0" w:color="auto"/>
        <w:right w:val="none" w:sz="0" w:space="0" w:color="auto"/>
      </w:divBdr>
    </w:div>
    <w:div w:id="1021080448">
      <w:bodyDiv w:val="1"/>
      <w:marLeft w:val="0"/>
      <w:marRight w:val="0"/>
      <w:marTop w:val="0"/>
      <w:marBottom w:val="0"/>
      <w:divBdr>
        <w:top w:val="none" w:sz="0" w:space="0" w:color="auto"/>
        <w:left w:val="none" w:sz="0" w:space="0" w:color="auto"/>
        <w:bottom w:val="none" w:sz="0" w:space="0" w:color="auto"/>
        <w:right w:val="none" w:sz="0" w:space="0" w:color="auto"/>
      </w:divBdr>
    </w:div>
    <w:div w:id="1021391962">
      <w:bodyDiv w:val="1"/>
      <w:marLeft w:val="0"/>
      <w:marRight w:val="0"/>
      <w:marTop w:val="0"/>
      <w:marBottom w:val="0"/>
      <w:divBdr>
        <w:top w:val="none" w:sz="0" w:space="0" w:color="auto"/>
        <w:left w:val="none" w:sz="0" w:space="0" w:color="auto"/>
        <w:bottom w:val="none" w:sz="0" w:space="0" w:color="auto"/>
        <w:right w:val="none" w:sz="0" w:space="0" w:color="auto"/>
      </w:divBdr>
    </w:div>
    <w:div w:id="1021707895">
      <w:bodyDiv w:val="1"/>
      <w:marLeft w:val="0"/>
      <w:marRight w:val="0"/>
      <w:marTop w:val="0"/>
      <w:marBottom w:val="0"/>
      <w:divBdr>
        <w:top w:val="none" w:sz="0" w:space="0" w:color="auto"/>
        <w:left w:val="none" w:sz="0" w:space="0" w:color="auto"/>
        <w:bottom w:val="none" w:sz="0" w:space="0" w:color="auto"/>
        <w:right w:val="none" w:sz="0" w:space="0" w:color="auto"/>
      </w:divBdr>
    </w:div>
    <w:div w:id="1022124639">
      <w:bodyDiv w:val="1"/>
      <w:marLeft w:val="0"/>
      <w:marRight w:val="0"/>
      <w:marTop w:val="0"/>
      <w:marBottom w:val="0"/>
      <w:divBdr>
        <w:top w:val="none" w:sz="0" w:space="0" w:color="auto"/>
        <w:left w:val="none" w:sz="0" w:space="0" w:color="auto"/>
        <w:bottom w:val="none" w:sz="0" w:space="0" w:color="auto"/>
        <w:right w:val="none" w:sz="0" w:space="0" w:color="auto"/>
      </w:divBdr>
    </w:div>
    <w:div w:id="1022129925">
      <w:bodyDiv w:val="1"/>
      <w:marLeft w:val="0"/>
      <w:marRight w:val="0"/>
      <w:marTop w:val="0"/>
      <w:marBottom w:val="0"/>
      <w:divBdr>
        <w:top w:val="none" w:sz="0" w:space="0" w:color="auto"/>
        <w:left w:val="none" w:sz="0" w:space="0" w:color="auto"/>
        <w:bottom w:val="none" w:sz="0" w:space="0" w:color="auto"/>
        <w:right w:val="none" w:sz="0" w:space="0" w:color="auto"/>
      </w:divBdr>
      <w:divsChild>
        <w:div w:id="135220899">
          <w:marLeft w:val="0"/>
          <w:marRight w:val="0"/>
          <w:marTop w:val="0"/>
          <w:marBottom w:val="0"/>
          <w:divBdr>
            <w:top w:val="none" w:sz="0" w:space="0" w:color="auto"/>
            <w:left w:val="none" w:sz="0" w:space="0" w:color="auto"/>
            <w:bottom w:val="none" w:sz="0" w:space="0" w:color="auto"/>
            <w:right w:val="none" w:sz="0" w:space="0" w:color="auto"/>
          </w:divBdr>
        </w:div>
        <w:div w:id="184829311">
          <w:marLeft w:val="0"/>
          <w:marRight w:val="0"/>
          <w:marTop w:val="0"/>
          <w:marBottom w:val="0"/>
          <w:divBdr>
            <w:top w:val="none" w:sz="0" w:space="0" w:color="auto"/>
            <w:left w:val="none" w:sz="0" w:space="0" w:color="auto"/>
            <w:bottom w:val="none" w:sz="0" w:space="0" w:color="auto"/>
            <w:right w:val="none" w:sz="0" w:space="0" w:color="auto"/>
          </w:divBdr>
        </w:div>
        <w:div w:id="973946384">
          <w:marLeft w:val="0"/>
          <w:marRight w:val="0"/>
          <w:marTop w:val="0"/>
          <w:marBottom w:val="0"/>
          <w:divBdr>
            <w:top w:val="none" w:sz="0" w:space="0" w:color="auto"/>
            <w:left w:val="none" w:sz="0" w:space="0" w:color="auto"/>
            <w:bottom w:val="none" w:sz="0" w:space="0" w:color="auto"/>
            <w:right w:val="none" w:sz="0" w:space="0" w:color="auto"/>
          </w:divBdr>
        </w:div>
        <w:div w:id="997926997">
          <w:marLeft w:val="0"/>
          <w:marRight w:val="0"/>
          <w:marTop w:val="0"/>
          <w:marBottom w:val="0"/>
          <w:divBdr>
            <w:top w:val="none" w:sz="0" w:space="0" w:color="auto"/>
            <w:left w:val="none" w:sz="0" w:space="0" w:color="auto"/>
            <w:bottom w:val="none" w:sz="0" w:space="0" w:color="auto"/>
            <w:right w:val="none" w:sz="0" w:space="0" w:color="auto"/>
          </w:divBdr>
        </w:div>
        <w:div w:id="1286503188">
          <w:marLeft w:val="0"/>
          <w:marRight w:val="0"/>
          <w:marTop w:val="0"/>
          <w:marBottom w:val="0"/>
          <w:divBdr>
            <w:top w:val="none" w:sz="0" w:space="0" w:color="auto"/>
            <w:left w:val="none" w:sz="0" w:space="0" w:color="auto"/>
            <w:bottom w:val="none" w:sz="0" w:space="0" w:color="auto"/>
            <w:right w:val="none" w:sz="0" w:space="0" w:color="auto"/>
          </w:divBdr>
        </w:div>
        <w:div w:id="1421180141">
          <w:marLeft w:val="0"/>
          <w:marRight w:val="0"/>
          <w:marTop w:val="0"/>
          <w:marBottom w:val="0"/>
          <w:divBdr>
            <w:top w:val="none" w:sz="0" w:space="0" w:color="auto"/>
            <w:left w:val="none" w:sz="0" w:space="0" w:color="auto"/>
            <w:bottom w:val="none" w:sz="0" w:space="0" w:color="auto"/>
            <w:right w:val="none" w:sz="0" w:space="0" w:color="auto"/>
          </w:divBdr>
        </w:div>
        <w:div w:id="1543253067">
          <w:marLeft w:val="0"/>
          <w:marRight w:val="0"/>
          <w:marTop w:val="0"/>
          <w:marBottom w:val="0"/>
          <w:divBdr>
            <w:top w:val="none" w:sz="0" w:space="0" w:color="auto"/>
            <w:left w:val="none" w:sz="0" w:space="0" w:color="auto"/>
            <w:bottom w:val="none" w:sz="0" w:space="0" w:color="auto"/>
            <w:right w:val="none" w:sz="0" w:space="0" w:color="auto"/>
          </w:divBdr>
        </w:div>
        <w:div w:id="1546988634">
          <w:marLeft w:val="0"/>
          <w:marRight w:val="0"/>
          <w:marTop w:val="0"/>
          <w:marBottom w:val="0"/>
          <w:divBdr>
            <w:top w:val="none" w:sz="0" w:space="0" w:color="auto"/>
            <w:left w:val="none" w:sz="0" w:space="0" w:color="auto"/>
            <w:bottom w:val="none" w:sz="0" w:space="0" w:color="auto"/>
            <w:right w:val="none" w:sz="0" w:space="0" w:color="auto"/>
          </w:divBdr>
        </w:div>
        <w:div w:id="1549489113">
          <w:marLeft w:val="0"/>
          <w:marRight w:val="0"/>
          <w:marTop w:val="0"/>
          <w:marBottom w:val="0"/>
          <w:divBdr>
            <w:top w:val="none" w:sz="0" w:space="0" w:color="auto"/>
            <w:left w:val="none" w:sz="0" w:space="0" w:color="auto"/>
            <w:bottom w:val="none" w:sz="0" w:space="0" w:color="auto"/>
            <w:right w:val="none" w:sz="0" w:space="0" w:color="auto"/>
          </w:divBdr>
        </w:div>
        <w:div w:id="1685864241">
          <w:marLeft w:val="0"/>
          <w:marRight w:val="0"/>
          <w:marTop w:val="0"/>
          <w:marBottom w:val="0"/>
          <w:divBdr>
            <w:top w:val="none" w:sz="0" w:space="0" w:color="auto"/>
            <w:left w:val="none" w:sz="0" w:space="0" w:color="auto"/>
            <w:bottom w:val="none" w:sz="0" w:space="0" w:color="auto"/>
            <w:right w:val="none" w:sz="0" w:space="0" w:color="auto"/>
          </w:divBdr>
        </w:div>
        <w:div w:id="1707022940">
          <w:marLeft w:val="0"/>
          <w:marRight w:val="0"/>
          <w:marTop w:val="0"/>
          <w:marBottom w:val="0"/>
          <w:divBdr>
            <w:top w:val="none" w:sz="0" w:space="0" w:color="auto"/>
            <w:left w:val="none" w:sz="0" w:space="0" w:color="auto"/>
            <w:bottom w:val="none" w:sz="0" w:space="0" w:color="auto"/>
            <w:right w:val="none" w:sz="0" w:space="0" w:color="auto"/>
          </w:divBdr>
        </w:div>
        <w:div w:id="2016494442">
          <w:marLeft w:val="0"/>
          <w:marRight w:val="0"/>
          <w:marTop w:val="0"/>
          <w:marBottom w:val="0"/>
          <w:divBdr>
            <w:top w:val="none" w:sz="0" w:space="0" w:color="auto"/>
            <w:left w:val="none" w:sz="0" w:space="0" w:color="auto"/>
            <w:bottom w:val="none" w:sz="0" w:space="0" w:color="auto"/>
            <w:right w:val="none" w:sz="0" w:space="0" w:color="auto"/>
          </w:divBdr>
        </w:div>
      </w:divsChild>
    </w:div>
    <w:div w:id="1022364227">
      <w:bodyDiv w:val="1"/>
      <w:marLeft w:val="0"/>
      <w:marRight w:val="0"/>
      <w:marTop w:val="0"/>
      <w:marBottom w:val="0"/>
      <w:divBdr>
        <w:top w:val="none" w:sz="0" w:space="0" w:color="auto"/>
        <w:left w:val="none" w:sz="0" w:space="0" w:color="auto"/>
        <w:bottom w:val="none" w:sz="0" w:space="0" w:color="auto"/>
        <w:right w:val="none" w:sz="0" w:space="0" w:color="auto"/>
      </w:divBdr>
    </w:div>
    <w:div w:id="1022441597">
      <w:bodyDiv w:val="1"/>
      <w:marLeft w:val="0"/>
      <w:marRight w:val="0"/>
      <w:marTop w:val="0"/>
      <w:marBottom w:val="0"/>
      <w:divBdr>
        <w:top w:val="none" w:sz="0" w:space="0" w:color="auto"/>
        <w:left w:val="none" w:sz="0" w:space="0" w:color="auto"/>
        <w:bottom w:val="none" w:sz="0" w:space="0" w:color="auto"/>
        <w:right w:val="none" w:sz="0" w:space="0" w:color="auto"/>
      </w:divBdr>
    </w:div>
    <w:div w:id="1022626835">
      <w:bodyDiv w:val="1"/>
      <w:marLeft w:val="0"/>
      <w:marRight w:val="0"/>
      <w:marTop w:val="0"/>
      <w:marBottom w:val="0"/>
      <w:divBdr>
        <w:top w:val="none" w:sz="0" w:space="0" w:color="auto"/>
        <w:left w:val="none" w:sz="0" w:space="0" w:color="auto"/>
        <w:bottom w:val="none" w:sz="0" w:space="0" w:color="auto"/>
        <w:right w:val="none" w:sz="0" w:space="0" w:color="auto"/>
      </w:divBdr>
    </w:div>
    <w:div w:id="1022782817">
      <w:bodyDiv w:val="1"/>
      <w:marLeft w:val="0"/>
      <w:marRight w:val="0"/>
      <w:marTop w:val="0"/>
      <w:marBottom w:val="0"/>
      <w:divBdr>
        <w:top w:val="none" w:sz="0" w:space="0" w:color="auto"/>
        <w:left w:val="none" w:sz="0" w:space="0" w:color="auto"/>
        <w:bottom w:val="none" w:sz="0" w:space="0" w:color="auto"/>
        <w:right w:val="none" w:sz="0" w:space="0" w:color="auto"/>
      </w:divBdr>
    </w:div>
    <w:div w:id="1023358711">
      <w:bodyDiv w:val="1"/>
      <w:marLeft w:val="0"/>
      <w:marRight w:val="0"/>
      <w:marTop w:val="0"/>
      <w:marBottom w:val="0"/>
      <w:divBdr>
        <w:top w:val="none" w:sz="0" w:space="0" w:color="auto"/>
        <w:left w:val="none" w:sz="0" w:space="0" w:color="auto"/>
        <w:bottom w:val="none" w:sz="0" w:space="0" w:color="auto"/>
        <w:right w:val="none" w:sz="0" w:space="0" w:color="auto"/>
      </w:divBdr>
    </w:div>
    <w:div w:id="1023704136">
      <w:bodyDiv w:val="1"/>
      <w:marLeft w:val="0"/>
      <w:marRight w:val="0"/>
      <w:marTop w:val="0"/>
      <w:marBottom w:val="0"/>
      <w:divBdr>
        <w:top w:val="none" w:sz="0" w:space="0" w:color="auto"/>
        <w:left w:val="none" w:sz="0" w:space="0" w:color="auto"/>
        <w:bottom w:val="none" w:sz="0" w:space="0" w:color="auto"/>
        <w:right w:val="none" w:sz="0" w:space="0" w:color="auto"/>
      </w:divBdr>
    </w:div>
    <w:div w:id="1023900931">
      <w:bodyDiv w:val="1"/>
      <w:marLeft w:val="0"/>
      <w:marRight w:val="0"/>
      <w:marTop w:val="0"/>
      <w:marBottom w:val="0"/>
      <w:divBdr>
        <w:top w:val="none" w:sz="0" w:space="0" w:color="auto"/>
        <w:left w:val="none" w:sz="0" w:space="0" w:color="auto"/>
        <w:bottom w:val="none" w:sz="0" w:space="0" w:color="auto"/>
        <w:right w:val="none" w:sz="0" w:space="0" w:color="auto"/>
      </w:divBdr>
    </w:div>
    <w:div w:id="1024137382">
      <w:bodyDiv w:val="1"/>
      <w:marLeft w:val="0"/>
      <w:marRight w:val="0"/>
      <w:marTop w:val="0"/>
      <w:marBottom w:val="0"/>
      <w:divBdr>
        <w:top w:val="none" w:sz="0" w:space="0" w:color="auto"/>
        <w:left w:val="none" w:sz="0" w:space="0" w:color="auto"/>
        <w:bottom w:val="none" w:sz="0" w:space="0" w:color="auto"/>
        <w:right w:val="none" w:sz="0" w:space="0" w:color="auto"/>
      </w:divBdr>
    </w:div>
    <w:div w:id="1024601668">
      <w:bodyDiv w:val="1"/>
      <w:marLeft w:val="0"/>
      <w:marRight w:val="0"/>
      <w:marTop w:val="0"/>
      <w:marBottom w:val="0"/>
      <w:divBdr>
        <w:top w:val="none" w:sz="0" w:space="0" w:color="auto"/>
        <w:left w:val="none" w:sz="0" w:space="0" w:color="auto"/>
        <w:bottom w:val="none" w:sz="0" w:space="0" w:color="auto"/>
        <w:right w:val="none" w:sz="0" w:space="0" w:color="auto"/>
      </w:divBdr>
    </w:div>
    <w:div w:id="1024790093">
      <w:bodyDiv w:val="1"/>
      <w:marLeft w:val="0"/>
      <w:marRight w:val="0"/>
      <w:marTop w:val="0"/>
      <w:marBottom w:val="0"/>
      <w:divBdr>
        <w:top w:val="none" w:sz="0" w:space="0" w:color="auto"/>
        <w:left w:val="none" w:sz="0" w:space="0" w:color="auto"/>
        <w:bottom w:val="none" w:sz="0" w:space="0" w:color="auto"/>
        <w:right w:val="none" w:sz="0" w:space="0" w:color="auto"/>
      </w:divBdr>
    </w:div>
    <w:div w:id="1026097945">
      <w:bodyDiv w:val="1"/>
      <w:marLeft w:val="0"/>
      <w:marRight w:val="0"/>
      <w:marTop w:val="0"/>
      <w:marBottom w:val="0"/>
      <w:divBdr>
        <w:top w:val="none" w:sz="0" w:space="0" w:color="auto"/>
        <w:left w:val="none" w:sz="0" w:space="0" w:color="auto"/>
        <w:bottom w:val="none" w:sz="0" w:space="0" w:color="auto"/>
        <w:right w:val="none" w:sz="0" w:space="0" w:color="auto"/>
      </w:divBdr>
    </w:div>
    <w:div w:id="1026561410">
      <w:bodyDiv w:val="1"/>
      <w:marLeft w:val="0"/>
      <w:marRight w:val="0"/>
      <w:marTop w:val="0"/>
      <w:marBottom w:val="0"/>
      <w:divBdr>
        <w:top w:val="none" w:sz="0" w:space="0" w:color="auto"/>
        <w:left w:val="none" w:sz="0" w:space="0" w:color="auto"/>
        <w:bottom w:val="none" w:sz="0" w:space="0" w:color="auto"/>
        <w:right w:val="none" w:sz="0" w:space="0" w:color="auto"/>
      </w:divBdr>
    </w:div>
    <w:div w:id="1026949717">
      <w:bodyDiv w:val="1"/>
      <w:marLeft w:val="0"/>
      <w:marRight w:val="0"/>
      <w:marTop w:val="0"/>
      <w:marBottom w:val="0"/>
      <w:divBdr>
        <w:top w:val="none" w:sz="0" w:space="0" w:color="auto"/>
        <w:left w:val="none" w:sz="0" w:space="0" w:color="auto"/>
        <w:bottom w:val="none" w:sz="0" w:space="0" w:color="auto"/>
        <w:right w:val="none" w:sz="0" w:space="0" w:color="auto"/>
      </w:divBdr>
    </w:div>
    <w:div w:id="1027754784">
      <w:bodyDiv w:val="1"/>
      <w:marLeft w:val="0"/>
      <w:marRight w:val="0"/>
      <w:marTop w:val="0"/>
      <w:marBottom w:val="0"/>
      <w:divBdr>
        <w:top w:val="none" w:sz="0" w:space="0" w:color="auto"/>
        <w:left w:val="none" w:sz="0" w:space="0" w:color="auto"/>
        <w:bottom w:val="none" w:sz="0" w:space="0" w:color="auto"/>
        <w:right w:val="none" w:sz="0" w:space="0" w:color="auto"/>
      </w:divBdr>
    </w:div>
    <w:div w:id="1028264702">
      <w:bodyDiv w:val="1"/>
      <w:marLeft w:val="0"/>
      <w:marRight w:val="0"/>
      <w:marTop w:val="0"/>
      <w:marBottom w:val="0"/>
      <w:divBdr>
        <w:top w:val="none" w:sz="0" w:space="0" w:color="auto"/>
        <w:left w:val="none" w:sz="0" w:space="0" w:color="auto"/>
        <w:bottom w:val="none" w:sz="0" w:space="0" w:color="auto"/>
        <w:right w:val="none" w:sz="0" w:space="0" w:color="auto"/>
      </w:divBdr>
    </w:div>
    <w:div w:id="1028719105">
      <w:bodyDiv w:val="1"/>
      <w:marLeft w:val="0"/>
      <w:marRight w:val="0"/>
      <w:marTop w:val="0"/>
      <w:marBottom w:val="0"/>
      <w:divBdr>
        <w:top w:val="none" w:sz="0" w:space="0" w:color="auto"/>
        <w:left w:val="none" w:sz="0" w:space="0" w:color="auto"/>
        <w:bottom w:val="none" w:sz="0" w:space="0" w:color="auto"/>
        <w:right w:val="none" w:sz="0" w:space="0" w:color="auto"/>
      </w:divBdr>
    </w:div>
    <w:div w:id="1028722935">
      <w:bodyDiv w:val="1"/>
      <w:marLeft w:val="0"/>
      <w:marRight w:val="0"/>
      <w:marTop w:val="0"/>
      <w:marBottom w:val="0"/>
      <w:divBdr>
        <w:top w:val="none" w:sz="0" w:space="0" w:color="auto"/>
        <w:left w:val="none" w:sz="0" w:space="0" w:color="auto"/>
        <w:bottom w:val="none" w:sz="0" w:space="0" w:color="auto"/>
        <w:right w:val="none" w:sz="0" w:space="0" w:color="auto"/>
      </w:divBdr>
    </w:div>
    <w:div w:id="1028868384">
      <w:bodyDiv w:val="1"/>
      <w:marLeft w:val="0"/>
      <w:marRight w:val="0"/>
      <w:marTop w:val="0"/>
      <w:marBottom w:val="0"/>
      <w:divBdr>
        <w:top w:val="none" w:sz="0" w:space="0" w:color="auto"/>
        <w:left w:val="none" w:sz="0" w:space="0" w:color="auto"/>
        <w:bottom w:val="none" w:sz="0" w:space="0" w:color="auto"/>
        <w:right w:val="none" w:sz="0" w:space="0" w:color="auto"/>
      </w:divBdr>
    </w:div>
    <w:div w:id="1028988171">
      <w:bodyDiv w:val="1"/>
      <w:marLeft w:val="0"/>
      <w:marRight w:val="0"/>
      <w:marTop w:val="0"/>
      <w:marBottom w:val="0"/>
      <w:divBdr>
        <w:top w:val="none" w:sz="0" w:space="0" w:color="auto"/>
        <w:left w:val="none" w:sz="0" w:space="0" w:color="auto"/>
        <w:bottom w:val="none" w:sz="0" w:space="0" w:color="auto"/>
        <w:right w:val="none" w:sz="0" w:space="0" w:color="auto"/>
      </w:divBdr>
    </w:div>
    <w:div w:id="1029188064">
      <w:bodyDiv w:val="1"/>
      <w:marLeft w:val="0"/>
      <w:marRight w:val="0"/>
      <w:marTop w:val="0"/>
      <w:marBottom w:val="0"/>
      <w:divBdr>
        <w:top w:val="none" w:sz="0" w:space="0" w:color="auto"/>
        <w:left w:val="none" w:sz="0" w:space="0" w:color="auto"/>
        <w:bottom w:val="none" w:sz="0" w:space="0" w:color="auto"/>
        <w:right w:val="none" w:sz="0" w:space="0" w:color="auto"/>
      </w:divBdr>
    </w:div>
    <w:div w:id="1029993079">
      <w:bodyDiv w:val="1"/>
      <w:marLeft w:val="0"/>
      <w:marRight w:val="0"/>
      <w:marTop w:val="0"/>
      <w:marBottom w:val="0"/>
      <w:divBdr>
        <w:top w:val="none" w:sz="0" w:space="0" w:color="auto"/>
        <w:left w:val="none" w:sz="0" w:space="0" w:color="auto"/>
        <w:bottom w:val="none" w:sz="0" w:space="0" w:color="auto"/>
        <w:right w:val="none" w:sz="0" w:space="0" w:color="auto"/>
      </w:divBdr>
    </w:div>
    <w:div w:id="1029994045">
      <w:bodyDiv w:val="1"/>
      <w:marLeft w:val="0"/>
      <w:marRight w:val="0"/>
      <w:marTop w:val="0"/>
      <w:marBottom w:val="0"/>
      <w:divBdr>
        <w:top w:val="none" w:sz="0" w:space="0" w:color="auto"/>
        <w:left w:val="none" w:sz="0" w:space="0" w:color="auto"/>
        <w:bottom w:val="none" w:sz="0" w:space="0" w:color="auto"/>
        <w:right w:val="none" w:sz="0" w:space="0" w:color="auto"/>
      </w:divBdr>
    </w:div>
    <w:div w:id="1030951732">
      <w:bodyDiv w:val="1"/>
      <w:marLeft w:val="0"/>
      <w:marRight w:val="0"/>
      <w:marTop w:val="0"/>
      <w:marBottom w:val="0"/>
      <w:divBdr>
        <w:top w:val="none" w:sz="0" w:space="0" w:color="auto"/>
        <w:left w:val="none" w:sz="0" w:space="0" w:color="auto"/>
        <w:bottom w:val="none" w:sz="0" w:space="0" w:color="auto"/>
        <w:right w:val="none" w:sz="0" w:space="0" w:color="auto"/>
      </w:divBdr>
    </w:div>
    <w:div w:id="1031302774">
      <w:bodyDiv w:val="1"/>
      <w:marLeft w:val="0"/>
      <w:marRight w:val="0"/>
      <w:marTop w:val="0"/>
      <w:marBottom w:val="0"/>
      <w:divBdr>
        <w:top w:val="none" w:sz="0" w:space="0" w:color="auto"/>
        <w:left w:val="none" w:sz="0" w:space="0" w:color="auto"/>
        <w:bottom w:val="none" w:sz="0" w:space="0" w:color="auto"/>
        <w:right w:val="none" w:sz="0" w:space="0" w:color="auto"/>
      </w:divBdr>
    </w:div>
    <w:div w:id="1031372501">
      <w:bodyDiv w:val="1"/>
      <w:marLeft w:val="0"/>
      <w:marRight w:val="0"/>
      <w:marTop w:val="0"/>
      <w:marBottom w:val="0"/>
      <w:divBdr>
        <w:top w:val="none" w:sz="0" w:space="0" w:color="auto"/>
        <w:left w:val="none" w:sz="0" w:space="0" w:color="auto"/>
        <w:bottom w:val="none" w:sz="0" w:space="0" w:color="auto"/>
        <w:right w:val="none" w:sz="0" w:space="0" w:color="auto"/>
      </w:divBdr>
    </w:div>
    <w:div w:id="1031565761">
      <w:bodyDiv w:val="1"/>
      <w:marLeft w:val="0"/>
      <w:marRight w:val="0"/>
      <w:marTop w:val="0"/>
      <w:marBottom w:val="0"/>
      <w:divBdr>
        <w:top w:val="none" w:sz="0" w:space="0" w:color="auto"/>
        <w:left w:val="none" w:sz="0" w:space="0" w:color="auto"/>
        <w:bottom w:val="none" w:sz="0" w:space="0" w:color="auto"/>
        <w:right w:val="none" w:sz="0" w:space="0" w:color="auto"/>
      </w:divBdr>
    </w:div>
    <w:div w:id="1031614891">
      <w:bodyDiv w:val="1"/>
      <w:marLeft w:val="0"/>
      <w:marRight w:val="0"/>
      <w:marTop w:val="0"/>
      <w:marBottom w:val="0"/>
      <w:divBdr>
        <w:top w:val="none" w:sz="0" w:space="0" w:color="auto"/>
        <w:left w:val="none" w:sz="0" w:space="0" w:color="auto"/>
        <w:bottom w:val="none" w:sz="0" w:space="0" w:color="auto"/>
        <w:right w:val="none" w:sz="0" w:space="0" w:color="auto"/>
      </w:divBdr>
    </w:div>
    <w:div w:id="1031683587">
      <w:bodyDiv w:val="1"/>
      <w:marLeft w:val="0"/>
      <w:marRight w:val="0"/>
      <w:marTop w:val="0"/>
      <w:marBottom w:val="0"/>
      <w:divBdr>
        <w:top w:val="none" w:sz="0" w:space="0" w:color="auto"/>
        <w:left w:val="none" w:sz="0" w:space="0" w:color="auto"/>
        <w:bottom w:val="none" w:sz="0" w:space="0" w:color="auto"/>
        <w:right w:val="none" w:sz="0" w:space="0" w:color="auto"/>
      </w:divBdr>
    </w:div>
    <w:div w:id="1031958043">
      <w:bodyDiv w:val="1"/>
      <w:marLeft w:val="0"/>
      <w:marRight w:val="0"/>
      <w:marTop w:val="0"/>
      <w:marBottom w:val="0"/>
      <w:divBdr>
        <w:top w:val="none" w:sz="0" w:space="0" w:color="auto"/>
        <w:left w:val="none" w:sz="0" w:space="0" w:color="auto"/>
        <w:bottom w:val="none" w:sz="0" w:space="0" w:color="auto"/>
        <w:right w:val="none" w:sz="0" w:space="0" w:color="auto"/>
      </w:divBdr>
    </w:div>
    <w:div w:id="1032149431">
      <w:bodyDiv w:val="1"/>
      <w:marLeft w:val="0"/>
      <w:marRight w:val="0"/>
      <w:marTop w:val="0"/>
      <w:marBottom w:val="0"/>
      <w:divBdr>
        <w:top w:val="none" w:sz="0" w:space="0" w:color="auto"/>
        <w:left w:val="none" w:sz="0" w:space="0" w:color="auto"/>
        <w:bottom w:val="none" w:sz="0" w:space="0" w:color="auto"/>
        <w:right w:val="none" w:sz="0" w:space="0" w:color="auto"/>
      </w:divBdr>
    </w:div>
    <w:div w:id="1032270114">
      <w:bodyDiv w:val="1"/>
      <w:marLeft w:val="0"/>
      <w:marRight w:val="0"/>
      <w:marTop w:val="0"/>
      <w:marBottom w:val="0"/>
      <w:divBdr>
        <w:top w:val="none" w:sz="0" w:space="0" w:color="auto"/>
        <w:left w:val="none" w:sz="0" w:space="0" w:color="auto"/>
        <w:bottom w:val="none" w:sz="0" w:space="0" w:color="auto"/>
        <w:right w:val="none" w:sz="0" w:space="0" w:color="auto"/>
      </w:divBdr>
    </w:div>
    <w:div w:id="1032917966">
      <w:bodyDiv w:val="1"/>
      <w:marLeft w:val="0"/>
      <w:marRight w:val="0"/>
      <w:marTop w:val="0"/>
      <w:marBottom w:val="0"/>
      <w:divBdr>
        <w:top w:val="none" w:sz="0" w:space="0" w:color="auto"/>
        <w:left w:val="none" w:sz="0" w:space="0" w:color="auto"/>
        <w:bottom w:val="none" w:sz="0" w:space="0" w:color="auto"/>
        <w:right w:val="none" w:sz="0" w:space="0" w:color="auto"/>
      </w:divBdr>
    </w:div>
    <w:div w:id="1032997909">
      <w:bodyDiv w:val="1"/>
      <w:marLeft w:val="0"/>
      <w:marRight w:val="0"/>
      <w:marTop w:val="0"/>
      <w:marBottom w:val="0"/>
      <w:divBdr>
        <w:top w:val="none" w:sz="0" w:space="0" w:color="auto"/>
        <w:left w:val="none" w:sz="0" w:space="0" w:color="auto"/>
        <w:bottom w:val="none" w:sz="0" w:space="0" w:color="auto"/>
        <w:right w:val="none" w:sz="0" w:space="0" w:color="auto"/>
      </w:divBdr>
    </w:div>
    <w:div w:id="1033119512">
      <w:bodyDiv w:val="1"/>
      <w:marLeft w:val="0"/>
      <w:marRight w:val="0"/>
      <w:marTop w:val="0"/>
      <w:marBottom w:val="0"/>
      <w:divBdr>
        <w:top w:val="none" w:sz="0" w:space="0" w:color="auto"/>
        <w:left w:val="none" w:sz="0" w:space="0" w:color="auto"/>
        <w:bottom w:val="none" w:sz="0" w:space="0" w:color="auto"/>
        <w:right w:val="none" w:sz="0" w:space="0" w:color="auto"/>
      </w:divBdr>
    </w:div>
    <w:div w:id="1033384884">
      <w:bodyDiv w:val="1"/>
      <w:marLeft w:val="0"/>
      <w:marRight w:val="0"/>
      <w:marTop w:val="0"/>
      <w:marBottom w:val="0"/>
      <w:divBdr>
        <w:top w:val="none" w:sz="0" w:space="0" w:color="auto"/>
        <w:left w:val="none" w:sz="0" w:space="0" w:color="auto"/>
        <w:bottom w:val="none" w:sz="0" w:space="0" w:color="auto"/>
        <w:right w:val="none" w:sz="0" w:space="0" w:color="auto"/>
      </w:divBdr>
    </w:div>
    <w:div w:id="1033579852">
      <w:bodyDiv w:val="1"/>
      <w:marLeft w:val="0"/>
      <w:marRight w:val="0"/>
      <w:marTop w:val="0"/>
      <w:marBottom w:val="0"/>
      <w:divBdr>
        <w:top w:val="none" w:sz="0" w:space="0" w:color="auto"/>
        <w:left w:val="none" w:sz="0" w:space="0" w:color="auto"/>
        <w:bottom w:val="none" w:sz="0" w:space="0" w:color="auto"/>
        <w:right w:val="none" w:sz="0" w:space="0" w:color="auto"/>
      </w:divBdr>
    </w:div>
    <w:div w:id="1033650879">
      <w:bodyDiv w:val="1"/>
      <w:marLeft w:val="0"/>
      <w:marRight w:val="0"/>
      <w:marTop w:val="0"/>
      <w:marBottom w:val="0"/>
      <w:divBdr>
        <w:top w:val="none" w:sz="0" w:space="0" w:color="auto"/>
        <w:left w:val="none" w:sz="0" w:space="0" w:color="auto"/>
        <w:bottom w:val="none" w:sz="0" w:space="0" w:color="auto"/>
        <w:right w:val="none" w:sz="0" w:space="0" w:color="auto"/>
      </w:divBdr>
    </w:div>
    <w:div w:id="1033772689">
      <w:bodyDiv w:val="1"/>
      <w:marLeft w:val="0"/>
      <w:marRight w:val="0"/>
      <w:marTop w:val="0"/>
      <w:marBottom w:val="0"/>
      <w:divBdr>
        <w:top w:val="none" w:sz="0" w:space="0" w:color="auto"/>
        <w:left w:val="none" w:sz="0" w:space="0" w:color="auto"/>
        <w:bottom w:val="none" w:sz="0" w:space="0" w:color="auto"/>
        <w:right w:val="none" w:sz="0" w:space="0" w:color="auto"/>
      </w:divBdr>
    </w:div>
    <w:div w:id="1034236146">
      <w:bodyDiv w:val="1"/>
      <w:marLeft w:val="0"/>
      <w:marRight w:val="0"/>
      <w:marTop w:val="0"/>
      <w:marBottom w:val="0"/>
      <w:divBdr>
        <w:top w:val="none" w:sz="0" w:space="0" w:color="auto"/>
        <w:left w:val="none" w:sz="0" w:space="0" w:color="auto"/>
        <w:bottom w:val="none" w:sz="0" w:space="0" w:color="auto"/>
        <w:right w:val="none" w:sz="0" w:space="0" w:color="auto"/>
      </w:divBdr>
    </w:div>
    <w:div w:id="1034422712">
      <w:bodyDiv w:val="1"/>
      <w:marLeft w:val="0"/>
      <w:marRight w:val="0"/>
      <w:marTop w:val="0"/>
      <w:marBottom w:val="0"/>
      <w:divBdr>
        <w:top w:val="none" w:sz="0" w:space="0" w:color="auto"/>
        <w:left w:val="none" w:sz="0" w:space="0" w:color="auto"/>
        <w:bottom w:val="none" w:sz="0" w:space="0" w:color="auto"/>
        <w:right w:val="none" w:sz="0" w:space="0" w:color="auto"/>
      </w:divBdr>
    </w:div>
    <w:div w:id="1034424142">
      <w:bodyDiv w:val="1"/>
      <w:marLeft w:val="0"/>
      <w:marRight w:val="0"/>
      <w:marTop w:val="0"/>
      <w:marBottom w:val="0"/>
      <w:divBdr>
        <w:top w:val="none" w:sz="0" w:space="0" w:color="auto"/>
        <w:left w:val="none" w:sz="0" w:space="0" w:color="auto"/>
        <w:bottom w:val="none" w:sz="0" w:space="0" w:color="auto"/>
        <w:right w:val="none" w:sz="0" w:space="0" w:color="auto"/>
      </w:divBdr>
    </w:div>
    <w:div w:id="1034886865">
      <w:bodyDiv w:val="1"/>
      <w:marLeft w:val="0"/>
      <w:marRight w:val="0"/>
      <w:marTop w:val="0"/>
      <w:marBottom w:val="0"/>
      <w:divBdr>
        <w:top w:val="none" w:sz="0" w:space="0" w:color="auto"/>
        <w:left w:val="none" w:sz="0" w:space="0" w:color="auto"/>
        <w:bottom w:val="none" w:sz="0" w:space="0" w:color="auto"/>
        <w:right w:val="none" w:sz="0" w:space="0" w:color="auto"/>
      </w:divBdr>
    </w:div>
    <w:div w:id="1034959487">
      <w:bodyDiv w:val="1"/>
      <w:marLeft w:val="0"/>
      <w:marRight w:val="0"/>
      <w:marTop w:val="0"/>
      <w:marBottom w:val="0"/>
      <w:divBdr>
        <w:top w:val="none" w:sz="0" w:space="0" w:color="auto"/>
        <w:left w:val="none" w:sz="0" w:space="0" w:color="auto"/>
        <w:bottom w:val="none" w:sz="0" w:space="0" w:color="auto"/>
        <w:right w:val="none" w:sz="0" w:space="0" w:color="auto"/>
      </w:divBdr>
    </w:div>
    <w:div w:id="1035160205">
      <w:bodyDiv w:val="1"/>
      <w:marLeft w:val="0"/>
      <w:marRight w:val="0"/>
      <w:marTop w:val="0"/>
      <w:marBottom w:val="0"/>
      <w:divBdr>
        <w:top w:val="none" w:sz="0" w:space="0" w:color="auto"/>
        <w:left w:val="none" w:sz="0" w:space="0" w:color="auto"/>
        <w:bottom w:val="none" w:sz="0" w:space="0" w:color="auto"/>
        <w:right w:val="none" w:sz="0" w:space="0" w:color="auto"/>
      </w:divBdr>
    </w:div>
    <w:div w:id="1035615465">
      <w:bodyDiv w:val="1"/>
      <w:marLeft w:val="0"/>
      <w:marRight w:val="0"/>
      <w:marTop w:val="0"/>
      <w:marBottom w:val="0"/>
      <w:divBdr>
        <w:top w:val="none" w:sz="0" w:space="0" w:color="auto"/>
        <w:left w:val="none" w:sz="0" w:space="0" w:color="auto"/>
        <w:bottom w:val="none" w:sz="0" w:space="0" w:color="auto"/>
        <w:right w:val="none" w:sz="0" w:space="0" w:color="auto"/>
      </w:divBdr>
    </w:div>
    <w:div w:id="1036347996">
      <w:bodyDiv w:val="1"/>
      <w:marLeft w:val="0"/>
      <w:marRight w:val="0"/>
      <w:marTop w:val="0"/>
      <w:marBottom w:val="0"/>
      <w:divBdr>
        <w:top w:val="none" w:sz="0" w:space="0" w:color="auto"/>
        <w:left w:val="none" w:sz="0" w:space="0" w:color="auto"/>
        <w:bottom w:val="none" w:sz="0" w:space="0" w:color="auto"/>
        <w:right w:val="none" w:sz="0" w:space="0" w:color="auto"/>
      </w:divBdr>
    </w:div>
    <w:div w:id="1036352524">
      <w:bodyDiv w:val="1"/>
      <w:marLeft w:val="0"/>
      <w:marRight w:val="0"/>
      <w:marTop w:val="0"/>
      <w:marBottom w:val="0"/>
      <w:divBdr>
        <w:top w:val="none" w:sz="0" w:space="0" w:color="auto"/>
        <w:left w:val="none" w:sz="0" w:space="0" w:color="auto"/>
        <w:bottom w:val="none" w:sz="0" w:space="0" w:color="auto"/>
        <w:right w:val="none" w:sz="0" w:space="0" w:color="auto"/>
      </w:divBdr>
    </w:div>
    <w:div w:id="1036545605">
      <w:bodyDiv w:val="1"/>
      <w:marLeft w:val="0"/>
      <w:marRight w:val="0"/>
      <w:marTop w:val="0"/>
      <w:marBottom w:val="0"/>
      <w:divBdr>
        <w:top w:val="none" w:sz="0" w:space="0" w:color="auto"/>
        <w:left w:val="none" w:sz="0" w:space="0" w:color="auto"/>
        <w:bottom w:val="none" w:sz="0" w:space="0" w:color="auto"/>
        <w:right w:val="none" w:sz="0" w:space="0" w:color="auto"/>
      </w:divBdr>
    </w:div>
    <w:div w:id="1036585746">
      <w:bodyDiv w:val="1"/>
      <w:marLeft w:val="0"/>
      <w:marRight w:val="0"/>
      <w:marTop w:val="0"/>
      <w:marBottom w:val="0"/>
      <w:divBdr>
        <w:top w:val="none" w:sz="0" w:space="0" w:color="auto"/>
        <w:left w:val="none" w:sz="0" w:space="0" w:color="auto"/>
        <w:bottom w:val="none" w:sz="0" w:space="0" w:color="auto"/>
        <w:right w:val="none" w:sz="0" w:space="0" w:color="auto"/>
      </w:divBdr>
    </w:div>
    <w:div w:id="1036658517">
      <w:bodyDiv w:val="1"/>
      <w:marLeft w:val="0"/>
      <w:marRight w:val="0"/>
      <w:marTop w:val="0"/>
      <w:marBottom w:val="0"/>
      <w:divBdr>
        <w:top w:val="none" w:sz="0" w:space="0" w:color="auto"/>
        <w:left w:val="none" w:sz="0" w:space="0" w:color="auto"/>
        <w:bottom w:val="none" w:sz="0" w:space="0" w:color="auto"/>
        <w:right w:val="none" w:sz="0" w:space="0" w:color="auto"/>
      </w:divBdr>
    </w:div>
    <w:div w:id="1036740488">
      <w:bodyDiv w:val="1"/>
      <w:marLeft w:val="0"/>
      <w:marRight w:val="0"/>
      <w:marTop w:val="0"/>
      <w:marBottom w:val="0"/>
      <w:divBdr>
        <w:top w:val="none" w:sz="0" w:space="0" w:color="auto"/>
        <w:left w:val="none" w:sz="0" w:space="0" w:color="auto"/>
        <w:bottom w:val="none" w:sz="0" w:space="0" w:color="auto"/>
        <w:right w:val="none" w:sz="0" w:space="0" w:color="auto"/>
      </w:divBdr>
    </w:div>
    <w:div w:id="1036808830">
      <w:bodyDiv w:val="1"/>
      <w:marLeft w:val="0"/>
      <w:marRight w:val="0"/>
      <w:marTop w:val="0"/>
      <w:marBottom w:val="0"/>
      <w:divBdr>
        <w:top w:val="none" w:sz="0" w:space="0" w:color="auto"/>
        <w:left w:val="none" w:sz="0" w:space="0" w:color="auto"/>
        <w:bottom w:val="none" w:sz="0" w:space="0" w:color="auto"/>
        <w:right w:val="none" w:sz="0" w:space="0" w:color="auto"/>
      </w:divBdr>
    </w:div>
    <w:div w:id="1037507804">
      <w:bodyDiv w:val="1"/>
      <w:marLeft w:val="0"/>
      <w:marRight w:val="0"/>
      <w:marTop w:val="0"/>
      <w:marBottom w:val="0"/>
      <w:divBdr>
        <w:top w:val="none" w:sz="0" w:space="0" w:color="auto"/>
        <w:left w:val="none" w:sz="0" w:space="0" w:color="auto"/>
        <w:bottom w:val="none" w:sz="0" w:space="0" w:color="auto"/>
        <w:right w:val="none" w:sz="0" w:space="0" w:color="auto"/>
      </w:divBdr>
    </w:div>
    <w:div w:id="1037584388">
      <w:bodyDiv w:val="1"/>
      <w:marLeft w:val="0"/>
      <w:marRight w:val="0"/>
      <w:marTop w:val="0"/>
      <w:marBottom w:val="0"/>
      <w:divBdr>
        <w:top w:val="none" w:sz="0" w:space="0" w:color="auto"/>
        <w:left w:val="none" w:sz="0" w:space="0" w:color="auto"/>
        <w:bottom w:val="none" w:sz="0" w:space="0" w:color="auto"/>
        <w:right w:val="none" w:sz="0" w:space="0" w:color="auto"/>
      </w:divBdr>
    </w:div>
    <w:div w:id="1038119853">
      <w:bodyDiv w:val="1"/>
      <w:marLeft w:val="0"/>
      <w:marRight w:val="0"/>
      <w:marTop w:val="0"/>
      <w:marBottom w:val="0"/>
      <w:divBdr>
        <w:top w:val="none" w:sz="0" w:space="0" w:color="auto"/>
        <w:left w:val="none" w:sz="0" w:space="0" w:color="auto"/>
        <w:bottom w:val="none" w:sz="0" w:space="0" w:color="auto"/>
        <w:right w:val="none" w:sz="0" w:space="0" w:color="auto"/>
      </w:divBdr>
    </w:div>
    <w:div w:id="1038898865">
      <w:bodyDiv w:val="1"/>
      <w:marLeft w:val="0"/>
      <w:marRight w:val="0"/>
      <w:marTop w:val="0"/>
      <w:marBottom w:val="0"/>
      <w:divBdr>
        <w:top w:val="none" w:sz="0" w:space="0" w:color="auto"/>
        <w:left w:val="none" w:sz="0" w:space="0" w:color="auto"/>
        <w:bottom w:val="none" w:sz="0" w:space="0" w:color="auto"/>
        <w:right w:val="none" w:sz="0" w:space="0" w:color="auto"/>
      </w:divBdr>
    </w:div>
    <w:div w:id="1040011080">
      <w:bodyDiv w:val="1"/>
      <w:marLeft w:val="0"/>
      <w:marRight w:val="0"/>
      <w:marTop w:val="0"/>
      <w:marBottom w:val="0"/>
      <w:divBdr>
        <w:top w:val="none" w:sz="0" w:space="0" w:color="auto"/>
        <w:left w:val="none" w:sz="0" w:space="0" w:color="auto"/>
        <w:bottom w:val="none" w:sz="0" w:space="0" w:color="auto"/>
        <w:right w:val="none" w:sz="0" w:space="0" w:color="auto"/>
      </w:divBdr>
    </w:div>
    <w:div w:id="1040320567">
      <w:bodyDiv w:val="1"/>
      <w:marLeft w:val="0"/>
      <w:marRight w:val="0"/>
      <w:marTop w:val="0"/>
      <w:marBottom w:val="0"/>
      <w:divBdr>
        <w:top w:val="none" w:sz="0" w:space="0" w:color="auto"/>
        <w:left w:val="none" w:sz="0" w:space="0" w:color="auto"/>
        <w:bottom w:val="none" w:sz="0" w:space="0" w:color="auto"/>
        <w:right w:val="none" w:sz="0" w:space="0" w:color="auto"/>
      </w:divBdr>
    </w:div>
    <w:div w:id="1040670827">
      <w:bodyDiv w:val="1"/>
      <w:marLeft w:val="0"/>
      <w:marRight w:val="0"/>
      <w:marTop w:val="0"/>
      <w:marBottom w:val="0"/>
      <w:divBdr>
        <w:top w:val="none" w:sz="0" w:space="0" w:color="auto"/>
        <w:left w:val="none" w:sz="0" w:space="0" w:color="auto"/>
        <w:bottom w:val="none" w:sz="0" w:space="0" w:color="auto"/>
        <w:right w:val="none" w:sz="0" w:space="0" w:color="auto"/>
      </w:divBdr>
    </w:div>
    <w:div w:id="1040858744">
      <w:bodyDiv w:val="1"/>
      <w:marLeft w:val="0"/>
      <w:marRight w:val="0"/>
      <w:marTop w:val="0"/>
      <w:marBottom w:val="0"/>
      <w:divBdr>
        <w:top w:val="none" w:sz="0" w:space="0" w:color="auto"/>
        <w:left w:val="none" w:sz="0" w:space="0" w:color="auto"/>
        <w:bottom w:val="none" w:sz="0" w:space="0" w:color="auto"/>
        <w:right w:val="none" w:sz="0" w:space="0" w:color="auto"/>
      </w:divBdr>
    </w:div>
    <w:div w:id="1041128881">
      <w:bodyDiv w:val="1"/>
      <w:marLeft w:val="0"/>
      <w:marRight w:val="0"/>
      <w:marTop w:val="0"/>
      <w:marBottom w:val="0"/>
      <w:divBdr>
        <w:top w:val="none" w:sz="0" w:space="0" w:color="auto"/>
        <w:left w:val="none" w:sz="0" w:space="0" w:color="auto"/>
        <w:bottom w:val="none" w:sz="0" w:space="0" w:color="auto"/>
        <w:right w:val="none" w:sz="0" w:space="0" w:color="auto"/>
      </w:divBdr>
    </w:div>
    <w:div w:id="1041855396">
      <w:bodyDiv w:val="1"/>
      <w:marLeft w:val="0"/>
      <w:marRight w:val="0"/>
      <w:marTop w:val="0"/>
      <w:marBottom w:val="0"/>
      <w:divBdr>
        <w:top w:val="none" w:sz="0" w:space="0" w:color="auto"/>
        <w:left w:val="none" w:sz="0" w:space="0" w:color="auto"/>
        <w:bottom w:val="none" w:sz="0" w:space="0" w:color="auto"/>
        <w:right w:val="none" w:sz="0" w:space="0" w:color="auto"/>
      </w:divBdr>
    </w:div>
    <w:div w:id="1041975971">
      <w:bodyDiv w:val="1"/>
      <w:marLeft w:val="0"/>
      <w:marRight w:val="0"/>
      <w:marTop w:val="0"/>
      <w:marBottom w:val="0"/>
      <w:divBdr>
        <w:top w:val="none" w:sz="0" w:space="0" w:color="auto"/>
        <w:left w:val="none" w:sz="0" w:space="0" w:color="auto"/>
        <w:bottom w:val="none" w:sz="0" w:space="0" w:color="auto"/>
        <w:right w:val="none" w:sz="0" w:space="0" w:color="auto"/>
      </w:divBdr>
    </w:div>
    <w:div w:id="1042049823">
      <w:bodyDiv w:val="1"/>
      <w:marLeft w:val="0"/>
      <w:marRight w:val="0"/>
      <w:marTop w:val="0"/>
      <w:marBottom w:val="0"/>
      <w:divBdr>
        <w:top w:val="none" w:sz="0" w:space="0" w:color="auto"/>
        <w:left w:val="none" w:sz="0" w:space="0" w:color="auto"/>
        <w:bottom w:val="none" w:sz="0" w:space="0" w:color="auto"/>
        <w:right w:val="none" w:sz="0" w:space="0" w:color="auto"/>
      </w:divBdr>
    </w:div>
    <w:div w:id="1042287378">
      <w:bodyDiv w:val="1"/>
      <w:marLeft w:val="0"/>
      <w:marRight w:val="0"/>
      <w:marTop w:val="0"/>
      <w:marBottom w:val="0"/>
      <w:divBdr>
        <w:top w:val="none" w:sz="0" w:space="0" w:color="auto"/>
        <w:left w:val="none" w:sz="0" w:space="0" w:color="auto"/>
        <w:bottom w:val="none" w:sz="0" w:space="0" w:color="auto"/>
        <w:right w:val="none" w:sz="0" w:space="0" w:color="auto"/>
      </w:divBdr>
    </w:div>
    <w:div w:id="1043941061">
      <w:bodyDiv w:val="1"/>
      <w:marLeft w:val="0"/>
      <w:marRight w:val="0"/>
      <w:marTop w:val="0"/>
      <w:marBottom w:val="0"/>
      <w:divBdr>
        <w:top w:val="none" w:sz="0" w:space="0" w:color="auto"/>
        <w:left w:val="none" w:sz="0" w:space="0" w:color="auto"/>
        <w:bottom w:val="none" w:sz="0" w:space="0" w:color="auto"/>
        <w:right w:val="none" w:sz="0" w:space="0" w:color="auto"/>
      </w:divBdr>
    </w:div>
    <w:div w:id="1044016080">
      <w:bodyDiv w:val="1"/>
      <w:marLeft w:val="0"/>
      <w:marRight w:val="0"/>
      <w:marTop w:val="0"/>
      <w:marBottom w:val="0"/>
      <w:divBdr>
        <w:top w:val="none" w:sz="0" w:space="0" w:color="auto"/>
        <w:left w:val="none" w:sz="0" w:space="0" w:color="auto"/>
        <w:bottom w:val="none" w:sz="0" w:space="0" w:color="auto"/>
        <w:right w:val="none" w:sz="0" w:space="0" w:color="auto"/>
      </w:divBdr>
    </w:div>
    <w:div w:id="1044132763">
      <w:bodyDiv w:val="1"/>
      <w:marLeft w:val="0"/>
      <w:marRight w:val="0"/>
      <w:marTop w:val="0"/>
      <w:marBottom w:val="0"/>
      <w:divBdr>
        <w:top w:val="none" w:sz="0" w:space="0" w:color="auto"/>
        <w:left w:val="none" w:sz="0" w:space="0" w:color="auto"/>
        <w:bottom w:val="none" w:sz="0" w:space="0" w:color="auto"/>
        <w:right w:val="none" w:sz="0" w:space="0" w:color="auto"/>
      </w:divBdr>
    </w:div>
    <w:div w:id="1044255085">
      <w:bodyDiv w:val="1"/>
      <w:marLeft w:val="0"/>
      <w:marRight w:val="0"/>
      <w:marTop w:val="0"/>
      <w:marBottom w:val="0"/>
      <w:divBdr>
        <w:top w:val="none" w:sz="0" w:space="0" w:color="auto"/>
        <w:left w:val="none" w:sz="0" w:space="0" w:color="auto"/>
        <w:bottom w:val="none" w:sz="0" w:space="0" w:color="auto"/>
        <w:right w:val="none" w:sz="0" w:space="0" w:color="auto"/>
      </w:divBdr>
    </w:div>
    <w:div w:id="1044331158">
      <w:bodyDiv w:val="1"/>
      <w:marLeft w:val="0"/>
      <w:marRight w:val="0"/>
      <w:marTop w:val="0"/>
      <w:marBottom w:val="0"/>
      <w:divBdr>
        <w:top w:val="none" w:sz="0" w:space="0" w:color="auto"/>
        <w:left w:val="none" w:sz="0" w:space="0" w:color="auto"/>
        <w:bottom w:val="none" w:sz="0" w:space="0" w:color="auto"/>
        <w:right w:val="none" w:sz="0" w:space="0" w:color="auto"/>
      </w:divBdr>
    </w:div>
    <w:div w:id="1044451998">
      <w:bodyDiv w:val="1"/>
      <w:marLeft w:val="0"/>
      <w:marRight w:val="0"/>
      <w:marTop w:val="0"/>
      <w:marBottom w:val="0"/>
      <w:divBdr>
        <w:top w:val="none" w:sz="0" w:space="0" w:color="auto"/>
        <w:left w:val="none" w:sz="0" w:space="0" w:color="auto"/>
        <w:bottom w:val="none" w:sz="0" w:space="0" w:color="auto"/>
        <w:right w:val="none" w:sz="0" w:space="0" w:color="auto"/>
      </w:divBdr>
    </w:div>
    <w:div w:id="1044669973">
      <w:bodyDiv w:val="1"/>
      <w:marLeft w:val="0"/>
      <w:marRight w:val="0"/>
      <w:marTop w:val="0"/>
      <w:marBottom w:val="0"/>
      <w:divBdr>
        <w:top w:val="none" w:sz="0" w:space="0" w:color="auto"/>
        <w:left w:val="none" w:sz="0" w:space="0" w:color="auto"/>
        <w:bottom w:val="none" w:sz="0" w:space="0" w:color="auto"/>
        <w:right w:val="none" w:sz="0" w:space="0" w:color="auto"/>
      </w:divBdr>
    </w:div>
    <w:div w:id="1044670088">
      <w:bodyDiv w:val="1"/>
      <w:marLeft w:val="0"/>
      <w:marRight w:val="0"/>
      <w:marTop w:val="0"/>
      <w:marBottom w:val="0"/>
      <w:divBdr>
        <w:top w:val="none" w:sz="0" w:space="0" w:color="auto"/>
        <w:left w:val="none" w:sz="0" w:space="0" w:color="auto"/>
        <w:bottom w:val="none" w:sz="0" w:space="0" w:color="auto"/>
        <w:right w:val="none" w:sz="0" w:space="0" w:color="auto"/>
      </w:divBdr>
    </w:div>
    <w:div w:id="1045370832">
      <w:bodyDiv w:val="1"/>
      <w:marLeft w:val="0"/>
      <w:marRight w:val="0"/>
      <w:marTop w:val="0"/>
      <w:marBottom w:val="0"/>
      <w:divBdr>
        <w:top w:val="none" w:sz="0" w:space="0" w:color="auto"/>
        <w:left w:val="none" w:sz="0" w:space="0" w:color="auto"/>
        <w:bottom w:val="none" w:sz="0" w:space="0" w:color="auto"/>
        <w:right w:val="none" w:sz="0" w:space="0" w:color="auto"/>
      </w:divBdr>
    </w:div>
    <w:div w:id="1045523897">
      <w:bodyDiv w:val="1"/>
      <w:marLeft w:val="0"/>
      <w:marRight w:val="0"/>
      <w:marTop w:val="0"/>
      <w:marBottom w:val="0"/>
      <w:divBdr>
        <w:top w:val="none" w:sz="0" w:space="0" w:color="auto"/>
        <w:left w:val="none" w:sz="0" w:space="0" w:color="auto"/>
        <w:bottom w:val="none" w:sz="0" w:space="0" w:color="auto"/>
        <w:right w:val="none" w:sz="0" w:space="0" w:color="auto"/>
      </w:divBdr>
    </w:div>
    <w:div w:id="1045643110">
      <w:bodyDiv w:val="1"/>
      <w:marLeft w:val="0"/>
      <w:marRight w:val="0"/>
      <w:marTop w:val="0"/>
      <w:marBottom w:val="0"/>
      <w:divBdr>
        <w:top w:val="none" w:sz="0" w:space="0" w:color="auto"/>
        <w:left w:val="none" w:sz="0" w:space="0" w:color="auto"/>
        <w:bottom w:val="none" w:sz="0" w:space="0" w:color="auto"/>
        <w:right w:val="none" w:sz="0" w:space="0" w:color="auto"/>
      </w:divBdr>
    </w:div>
    <w:div w:id="1045913978">
      <w:bodyDiv w:val="1"/>
      <w:marLeft w:val="0"/>
      <w:marRight w:val="0"/>
      <w:marTop w:val="0"/>
      <w:marBottom w:val="0"/>
      <w:divBdr>
        <w:top w:val="none" w:sz="0" w:space="0" w:color="auto"/>
        <w:left w:val="none" w:sz="0" w:space="0" w:color="auto"/>
        <w:bottom w:val="none" w:sz="0" w:space="0" w:color="auto"/>
        <w:right w:val="none" w:sz="0" w:space="0" w:color="auto"/>
      </w:divBdr>
    </w:div>
    <w:div w:id="1046372245">
      <w:bodyDiv w:val="1"/>
      <w:marLeft w:val="0"/>
      <w:marRight w:val="0"/>
      <w:marTop w:val="0"/>
      <w:marBottom w:val="0"/>
      <w:divBdr>
        <w:top w:val="none" w:sz="0" w:space="0" w:color="auto"/>
        <w:left w:val="none" w:sz="0" w:space="0" w:color="auto"/>
        <w:bottom w:val="none" w:sz="0" w:space="0" w:color="auto"/>
        <w:right w:val="none" w:sz="0" w:space="0" w:color="auto"/>
      </w:divBdr>
    </w:div>
    <w:div w:id="1046678029">
      <w:bodyDiv w:val="1"/>
      <w:marLeft w:val="0"/>
      <w:marRight w:val="0"/>
      <w:marTop w:val="0"/>
      <w:marBottom w:val="0"/>
      <w:divBdr>
        <w:top w:val="none" w:sz="0" w:space="0" w:color="auto"/>
        <w:left w:val="none" w:sz="0" w:space="0" w:color="auto"/>
        <w:bottom w:val="none" w:sz="0" w:space="0" w:color="auto"/>
        <w:right w:val="none" w:sz="0" w:space="0" w:color="auto"/>
      </w:divBdr>
    </w:div>
    <w:div w:id="1046687091">
      <w:bodyDiv w:val="1"/>
      <w:marLeft w:val="0"/>
      <w:marRight w:val="0"/>
      <w:marTop w:val="0"/>
      <w:marBottom w:val="0"/>
      <w:divBdr>
        <w:top w:val="none" w:sz="0" w:space="0" w:color="auto"/>
        <w:left w:val="none" w:sz="0" w:space="0" w:color="auto"/>
        <w:bottom w:val="none" w:sz="0" w:space="0" w:color="auto"/>
        <w:right w:val="none" w:sz="0" w:space="0" w:color="auto"/>
      </w:divBdr>
    </w:div>
    <w:div w:id="1046829020">
      <w:bodyDiv w:val="1"/>
      <w:marLeft w:val="0"/>
      <w:marRight w:val="0"/>
      <w:marTop w:val="0"/>
      <w:marBottom w:val="0"/>
      <w:divBdr>
        <w:top w:val="none" w:sz="0" w:space="0" w:color="auto"/>
        <w:left w:val="none" w:sz="0" w:space="0" w:color="auto"/>
        <w:bottom w:val="none" w:sz="0" w:space="0" w:color="auto"/>
        <w:right w:val="none" w:sz="0" w:space="0" w:color="auto"/>
      </w:divBdr>
    </w:div>
    <w:div w:id="1046874687">
      <w:bodyDiv w:val="1"/>
      <w:marLeft w:val="0"/>
      <w:marRight w:val="0"/>
      <w:marTop w:val="0"/>
      <w:marBottom w:val="0"/>
      <w:divBdr>
        <w:top w:val="none" w:sz="0" w:space="0" w:color="auto"/>
        <w:left w:val="none" w:sz="0" w:space="0" w:color="auto"/>
        <w:bottom w:val="none" w:sz="0" w:space="0" w:color="auto"/>
        <w:right w:val="none" w:sz="0" w:space="0" w:color="auto"/>
      </w:divBdr>
    </w:div>
    <w:div w:id="1047411594">
      <w:bodyDiv w:val="1"/>
      <w:marLeft w:val="0"/>
      <w:marRight w:val="0"/>
      <w:marTop w:val="0"/>
      <w:marBottom w:val="0"/>
      <w:divBdr>
        <w:top w:val="none" w:sz="0" w:space="0" w:color="auto"/>
        <w:left w:val="none" w:sz="0" w:space="0" w:color="auto"/>
        <w:bottom w:val="none" w:sz="0" w:space="0" w:color="auto"/>
        <w:right w:val="none" w:sz="0" w:space="0" w:color="auto"/>
      </w:divBdr>
    </w:div>
    <w:div w:id="1047412806">
      <w:bodyDiv w:val="1"/>
      <w:marLeft w:val="0"/>
      <w:marRight w:val="0"/>
      <w:marTop w:val="0"/>
      <w:marBottom w:val="0"/>
      <w:divBdr>
        <w:top w:val="none" w:sz="0" w:space="0" w:color="auto"/>
        <w:left w:val="none" w:sz="0" w:space="0" w:color="auto"/>
        <w:bottom w:val="none" w:sz="0" w:space="0" w:color="auto"/>
        <w:right w:val="none" w:sz="0" w:space="0" w:color="auto"/>
      </w:divBdr>
    </w:div>
    <w:div w:id="1047532557">
      <w:bodyDiv w:val="1"/>
      <w:marLeft w:val="0"/>
      <w:marRight w:val="0"/>
      <w:marTop w:val="0"/>
      <w:marBottom w:val="0"/>
      <w:divBdr>
        <w:top w:val="none" w:sz="0" w:space="0" w:color="auto"/>
        <w:left w:val="none" w:sz="0" w:space="0" w:color="auto"/>
        <w:bottom w:val="none" w:sz="0" w:space="0" w:color="auto"/>
        <w:right w:val="none" w:sz="0" w:space="0" w:color="auto"/>
      </w:divBdr>
    </w:div>
    <w:div w:id="1047611387">
      <w:bodyDiv w:val="1"/>
      <w:marLeft w:val="0"/>
      <w:marRight w:val="0"/>
      <w:marTop w:val="0"/>
      <w:marBottom w:val="0"/>
      <w:divBdr>
        <w:top w:val="none" w:sz="0" w:space="0" w:color="auto"/>
        <w:left w:val="none" w:sz="0" w:space="0" w:color="auto"/>
        <w:bottom w:val="none" w:sz="0" w:space="0" w:color="auto"/>
        <w:right w:val="none" w:sz="0" w:space="0" w:color="auto"/>
      </w:divBdr>
    </w:div>
    <w:div w:id="1047799419">
      <w:bodyDiv w:val="1"/>
      <w:marLeft w:val="0"/>
      <w:marRight w:val="0"/>
      <w:marTop w:val="0"/>
      <w:marBottom w:val="0"/>
      <w:divBdr>
        <w:top w:val="none" w:sz="0" w:space="0" w:color="auto"/>
        <w:left w:val="none" w:sz="0" w:space="0" w:color="auto"/>
        <w:bottom w:val="none" w:sz="0" w:space="0" w:color="auto"/>
        <w:right w:val="none" w:sz="0" w:space="0" w:color="auto"/>
      </w:divBdr>
    </w:div>
    <w:div w:id="1047951218">
      <w:bodyDiv w:val="1"/>
      <w:marLeft w:val="0"/>
      <w:marRight w:val="0"/>
      <w:marTop w:val="0"/>
      <w:marBottom w:val="0"/>
      <w:divBdr>
        <w:top w:val="none" w:sz="0" w:space="0" w:color="auto"/>
        <w:left w:val="none" w:sz="0" w:space="0" w:color="auto"/>
        <w:bottom w:val="none" w:sz="0" w:space="0" w:color="auto"/>
        <w:right w:val="none" w:sz="0" w:space="0" w:color="auto"/>
      </w:divBdr>
    </w:div>
    <w:div w:id="1048721785">
      <w:bodyDiv w:val="1"/>
      <w:marLeft w:val="0"/>
      <w:marRight w:val="0"/>
      <w:marTop w:val="0"/>
      <w:marBottom w:val="0"/>
      <w:divBdr>
        <w:top w:val="none" w:sz="0" w:space="0" w:color="auto"/>
        <w:left w:val="none" w:sz="0" w:space="0" w:color="auto"/>
        <w:bottom w:val="none" w:sz="0" w:space="0" w:color="auto"/>
        <w:right w:val="none" w:sz="0" w:space="0" w:color="auto"/>
      </w:divBdr>
    </w:div>
    <w:div w:id="1048917686">
      <w:bodyDiv w:val="1"/>
      <w:marLeft w:val="0"/>
      <w:marRight w:val="0"/>
      <w:marTop w:val="0"/>
      <w:marBottom w:val="0"/>
      <w:divBdr>
        <w:top w:val="none" w:sz="0" w:space="0" w:color="auto"/>
        <w:left w:val="none" w:sz="0" w:space="0" w:color="auto"/>
        <w:bottom w:val="none" w:sz="0" w:space="0" w:color="auto"/>
        <w:right w:val="none" w:sz="0" w:space="0" w:color="auto"/>
      </w:divBdr>
    </w:div>
    <w:div w:id="1049113078">
      <w:bodyDiv w:val="1"/>
      <w:marLeft w:val="0"/>
      <w:marRight w:val="0"/>
      <w:marTop w:val="0"/>
      <w:marBottom w:val="0"/>
      <w:divBdr>
        <w:top w:val="none" w:sz="0" w:space="0" w:color="auto"/>
        <w:left w:val="none" w:sz="0" w:space="0" w:color="auto"/>
        <w:bottom w:val="none" w:sz="0" w:space="0" w:color="auto"/>
        <w:right w:val="none" w:sz="0" w:space="0" w:color="auto"/>
      </w:divBdr>
    </w:div>
    <w:div w:id="1049646114">
      <w:bodyDiv w:val="1"/>
      <w:marLeft w:val="0"/>
      <w:marRight w:val="0"/>
      <w:marTop w:val="0"/>
      <w:marBottom w:val="0"/>
      <w:divBdr>
        <w:top w:val="none" w:sz="0" w:space="0" w:color="auto"/>
        <w:left w:val="none" w:sz="0" w:space="0" w:color="auto"/>
        <w:bottom w:val="none" w:sz="0" w:space="0" w:color="auto"/>
        <w:right w:val="none" w:sz="0" w:space="0" w:color="auto"/>
      </w:divBdr>
    </w:div>
    <w:div w:id="1050230098">
      <w:bodyDiv w:val="1"/>
      <w:marLeft w:val="0"/>
      <w:marRight w:val="0"/>
      <w:marTop w:val="0"/>
      <w:marBottom w:val="0"/>
      <w:divBdr>
        <w:top w:val="none" w:sz="0" w:space="0" w:color="auto"/>
        <w:left w:val="none" w:sz="0" w:space="0" w:color="auto"/>
        <w:bottom w:val="none" w:sz="0" w:space="0" w:color="auto"/>
        <w:right w:val="none" w:sz="0" w:space="0" w:color="auto"/>
      </w:divBdr>
    </w:div>
    <w:div w:id="1050543627">
      <w:bodyDiv w:val="1"/>
      <w:marLeft w:val="0"/>
      <w:marRight w:val="0"/>
      <w:marTop w:val="0"/>
      <w:marBottom w:val="0"/>
      <w:divBdr>
        <w:top w:val="none" w:sz="0" w:space="0" w:color="auto"/>
        <w:left w:val="none" w:sz="0" w:space="0" w:color="auto"/>
        <w:bottom w:val="none" w:sz="0" w:space="0" w:color="auto"/>
        <w:right w:val="none" w:sz="0" w:space="0" w:color="auto"/>
      </w:divBdr>
    </w:div>
    <w:div w:id="1051224652">
      <w:bodyDiv w:val="1"/>
      <w:marLeft w:val="0"/>
      <w:marRight w:val="0"/>
      <w:marTop w:val="0"/>
      <w:marBottom w:val="0"/>
      <w:divBdr>
        <w:top w:val="none" w:sz="0" w:space="0" w:color="auto"/>
        <w:left w:val="none" w:sz="0" w:space="0" w:color="auto"/>
        <w:bottom w:val="none" w:sz="0" w:space="0" w:color="auto"/>
        <w:right w:val="none" w:sz="0" w:space="0" w:color="auto"/>
      </w:divBdr>
    </w:div>
    <w:div w:id="1051346814">
      <w:bodyDiv w:val="1"/>
      <w:marLeft w:val="0"/>
      <w:marRight w:val="0"/>
      <w:marTop w:val="0"/>
      <w:marBottom w:val="0"/>
      <w:divBdr>
        <w:top w:val="none" w:sz="0" w:space="0" w:color="auto"/>
        <w:left w:val="none" w:sz="0" w:space="0" w:color="auto"/>
        <w:bottom w:val="none" w:sz="0" w:space="0" w:color="auto"/>
        <w:right w:val="none" w:sz="0" w:space="0" w:color="auto"/>
      </w:divBdr>
    </w:div>
    <w:div w:id="1051731987">
      <w:bodyDiv w:val="1"/>
      <w:marLeft w:val="0"/>
      <w:marRight w:val="0"/>
      <w:marTop w:val="0"/>
      <w:marBottom w:val="0"/>
      <w:divBdr>
        <w:top w:val="none" w:sz="0" w:space="0" w:color="auto"/>
        <w:left w:val="none" w:sz="0" w:space="0" w:color="auto"/>
        <w:bottom w:val="none" w:sz="0" w:space="0" w:color="auto"/>
        <w:right w:val="none" w:sz="0" w:space="0" w:color="auto"/>
      </w:divBdr>
    </w:div>
    <w:div w:id="1051804260">
      <w:bodyDiv w:val="1"/>
      <w:marLeft w:val="0"/>
      <w:marRight w:val="0"/>
      <w:marTop w:val="0"/>
      <w:marBottom w:val="0"/>
      <w:divBdr>
        <w:top w:val="none" w:sz="0" w:space="0" w:color="auto"/>
        <w:left w:val="none" w:sz="0" w:space="0" w:color="auto"/>
        <w:bottom w:val="none" w:sz="0" w:space="0" w:color="auto"/>
        <w:right w:val="none" w:sz="0" w:space="0" w:color="auto"/>
      </w:divBdr>
    </w:div>
    <w:div w:id="1052119135">
      <w:bodyDiv w:val="1"/>
      <w:marLeft w:val="0"/>
      <w:marRight w:val="0"/>
      <w:marTop w:val="0"/>
      <w:marBottom w:val="0"/>
      <w:divBdr>
        <w:top w:val="none" w:sz="0" w:space="0" w:color="auto"/>
        <w:left w:val="none" w:sz="0" w:space="0" w:color="auto"/>
        <w:bottom w:val="none" w:sz="0" w:space="0" w:color="auto"/>
        <w:right w:val="none" w:sz="0" w:space="0" w:color="auto"/>
      </w:divBdr>
    </w:div>
    <w:div w:id="1052315917">
      <w:bodyDiv w:val="1"/>
      <w:marLeft w:val="0"/>
      <w:marRight w:val="0"/>
      <w:marTop w:val="0"/>
      <w:marBottom w:val="0"/>
      <w:divBdr>
        <w:top w:val="none" w:sz="0" w:space="0" w:color="auto"/>
        <w:left w:val="none" w:sz="0" w:space="0" w:color="auto"/>
        <w:bottom w:val="none" w:sz="0" w:space="0" w:color="auto"/>
        <w:right w:val="none" w:sz="0" w:space="0" w:color="auto"/>
      </w:divBdr>
    </w:div>
    <w:div w:id="1052845673">
      <w:bodyDiv w:val="1"/>
      <w:marLeft w:val="0"/>
      <w:marRight w:val="0"/>
      <w:marTop w:val="0"/>
      <w:marBottom w:val="0"/>
      <w:divBdr>
        <w:top w:val="none" w:sz="0" w:space="0" w:color="auto"/>
        <w:left w:val="none" w:sz="0" w:space="0" w:color="auto"/>
        <w:bottom w:val="none" w:sz="0" w:space="0" w:color="auto"/>
        <w:right w:val="none" w:sz="0" w:space="0" w:color="auto"/>
      </w:divBdr>
    </w:div>
    <w:div w:id="1052853273">
      <w:bodyDiv w:val="1"/>
      <w:marLeft w:val="0"/>
      <w:marRight w:val="0"/>
      <w:marTop w:val="0"/>
      <w:marBottom w:val="0"/>
      <w:divBdr>
        <w:top w:val="none" w:sz="0" w:space="0" w:color="auto"/>
        <w:left w:val="none" w:sz="0" w:space="0" w:color="auto"/>
        <w:bottom w:val="none" w:sz="0" w:space="0" w:color="auto"/>
        <w:right w:val="none" w:sz="0" w:space="0" w:color="auto"/>
      </w:divBdr>
    </w:div>
    <w:div w:id="1053189275">
      <w:bodyDiv w:val="1"/>
      <w:marLeft w:val="0"/>
      <w:marRight w:val="0"/>
      <w:marTop w:val="0"/>
      <w:marBottom w:val="0"/>
      <w:divBdr>
        <w:top w:val="none" w:sz="0" w:space="0" w:color="auto"/>
        <w:left w:val="none" w:sz="0" w:space="0" w:color="auto"/>
        <w:bottom w:val="none" w:sz="0" w:space="0" w:color="auto"/>
        <w:right w:val="none" w:sz="0" w:space="0" w:color="auto"/>
      </w:divBdr>
    </w:div>
    <w:div w:id="1053508104">
      <w:bodyDiv w:val="1"/>
      <w:marLeft w:val="0"/>
      <w:marRight w:val="0"/>
      <w:marTop w:val="0"/>
      <w:marBottom w:val="0"/>
      <w:divBdr>
        <w:top w:val="none" w:sz="0" w:space="0" w:color="auto"/>
        <w:left w:val="none" w:sz="0" w:space="0" w:color="auto"/>
        <w:bottom w:val="none" w:sz="0" w:space="0" w:color="auto"/>
        <w:right w:val="none" w:sz="0" w:space="0" w:color="auto"/>
      </w:divBdr>
    </w:div>
    <w:div w:id="1053581882">
      <w:bodyDiv w:val="1"/>
      <w:marLeft w:val="0"/>
      <w:marRight w:val="0"/>
      <w:marTop w:val="0"/>
      <w:marBottom w:val="0"/>
      <w:divBdr>
        <w:top w:val="none" w:sz="0" w:space="0" w:color="auto"/>
        <w:left w:val="none" w:sz="0" w:space="0" w:color="auto"/>
        <w:bottom w:val="none" w:sz="0" w:space="0" w:color="auto"/>
        <w:right w:val="none" w:sz="0" w:space="0" w:color="auto"/>
      </w:divBdr>
    </w:div>
    <w:div w:id="1054161893">
      <w:bodyDiv w:val="1"/>
      <w:marLeft w:val="0"/>
      <w:marRight w:val="0"/>
      <w:marTop w:val="0"/>
      <w:marBottom w:val="0"/>
      <w:divBdr>
        <w:top w:val="none" w:sz="0" w:space="0" w:color="auto"/>
        <w:left w:val="none" w:sz="0" w:space="0" w:color="auto"/>
        <w:bottom w:val="none" w:sz="0" w:space="0" w:color="auto"/>
        <w:right w:val="none" w:sz="0" w:space="0" w:color="auto"/>
      </w:divBdr>
    </w:div>
    <w:div w:id="1054354589">
      <w:bodyDiv w:val="1"/>
      <w:marLeft w:val="0"/>
      <w:marRight w:val="0"/>
      <w:marTop w:val="0"/>
      <w:marBottom w:val="0"/>
      <w:divBdr>
        <w:top w:val="none" w:sz="0" w:space="0" w:color="auto"/>
        <w:left w:val="none" w:sz="0" w:space="0" w:color="auto"/>
        <w:bottom w:val="none" w:sz="0" w:space="0" w:color="auto"/>
        <w:right w:val="none" w:sz="0" w:space="0" w:color="auto"/>
      </w:divBdr>
    </w:div>
    <w:div w:id="1054626086">
      <w:bodyDiv w:val="1"/>
      <w:marLeft w:val="0"/>
      <w:marRight w:val="0"/>
      <w:marTop w:val="0"/>
      <w:marBottom w:val="0"/>
      <w:divBdr>
        <w:top w:val="none" w:sz="0" w:space="0" w:color="auto"/>
        <w:left w:val="none" w:sz="0" w:space="0" w:color="auto"/>
        <w:bottom w:val="none" w:sz="0" w:space="0" w:color="auto"/>
        <w:right w:val="none" w:sz="0" w:space="0" w:color="auto"/>
      </w:divBdr>
    </w:div>
    <w:div w:id="1054768464">
      <w:bodyDiv w:val="1"/>
      <w:marLeft w:val="0"/>
      <w:marRight w:val="0"/>
      <w:marTop w:val="0"/>
      <w:marBottom w:val="0"/>
      <w:divBdr>
        <w:top w:val="none" w:sz="0" w:space="0" w:color="auto"/>
        <w:left w:val="none" w:sz="0" w:space="0" w:color="auto"/>
        <w:bottom w:val="none" w:sz="0" w:space="0" w:color="auto"/>
        <w:right w:val="none" w:sz="0" w:space="0" w:color="auto"/>
      </w:divBdr>
    </w:div>
    <w:div w:id="1054961388">
      <w:bodyDiv w:val="1"/>
      <w:marLeft w:val="0"/>
      <w:marRight w:val="0"/>
      <w:marTop w:val="0"/>
      <w:marBottom w:val="0"/>
      <w:divBdr>
        <w:top w:val="none" w:sz="0" w:space="0" w:color="auto"/>
        <w:left w:val="none" w:sz="0" w:space="0" w:color="auto"/>
        <w:bottom w:val="none" w:sz="0" w:space="0" w:color="auto"/>
        <w:right w:val="none" w:sz="0" w:space="0" w:color="auto"/>
      </w:divBdr>
    </w:div>
    <w:div w:id="1055004231">
      <w:bodyDiv w:val="1"/>
      <w:marLeft w:val="0"/>
      <w:marRight w:val="0"/>
      <w:marTop w:val="0"/>
      <w:marBottom w:val="0"/>
      <w:divBdr>
        <w:top w:val="none" w:sz="0" w:space="0" w:color="auto"/>
        <w:left w:val="none" w:sz="0" w:space="0" w:color="auto"/>
        <w:bottom w:val="none" w:sz="0" w:space="0" w:color="auto"/>
        <w:right w:val="none" w:sz="0" w:space="0" w:color="auto"/>
      </w:divBdr>
    </w:div>
    <w:div w:id="1055129897">
      <w:bodyDiv w:val="1"/>
      <w:marLeft w:val="0"/>
      <w:marRight w:val="0"/>
      <w:marTop w:val="0"/>
      <w:marBottom w:val="0"/>
      <w:divBdr>
        <w:top w:val="none" w:sz="0" w:space="0" w:color="auto"/>
        <w:left w:val="none" w:sz="0" w:space="0" w:color="auto"/>
        <w:bottom w:val="none" w:sz="0" w:space="0" w:color="auto"/>
        <w:right w:val="none" w:sz="0" w:space="0" w:color="auto"/>
      </w:divBdr>
    </w:div>
    <w:div w:id="1055473854">
      <w:bodyDiv w:val="1"/>
      <w:marLeft w:val="0"/>
      <w:marRight w:val="0"/>
      <w:marTop w:val="0"/>
      <w:marBottom w:val="0"/>
      <w:divBdr>
        <w:top w:val="none" w:sz="0" w:space="0" w:color="auto"/>
        <w:left w:val="none" w:sz="0" w:space="0" w:color="auto"/>
        <w:bottom w:val="none" w:sz="0" w:space="0" w:color="auto"/>
        <w:right w:val="none" w:sz="0" w:space="0" w:color="auto"/>
      </w:divBdr>
    </w:div>
    <w:div w:id="1056703368">
      <w:bodyDiv w:val="1"/>
      <w:marLeft w:val="0"/>
      <w:marRight w:val="0"/>
      <w:marTop w:val="0"/>
      <w:marBottom w:val="0"/>
      <w:divBdr>
        <w:top w:val="none" w:sz="0" w:space="0" w:color="auto"/>
        <w:left w:val="none" w:sz="0" w:space="0" w:color="auto"/>
        <w:bottom w:val="none" w:sz="0" w:space="0" w:color="auto"/>
        <w:right w:val="none" w:sz="0" w:space="0" w:color="auto"/>
      </w:divBdr>
    </w:div>
    <w:div w:id="1056859230">
      <w:bodyDiv w:val="1"/>
      <w:marLeft w:val="0"/>
      <w:marRight w:val="0"/>
      <w:marTop w:val="0"/>
      <w:marBottom w:val="0"/>
      <w:divBdr>
        <w:top w:val="none" w:sz="0" w:space="0" w:color="auto"/>
        <w:left w:val="none" w:sz="0" w:space="0" w:color="auto"/>
        <w:bottom w:val="none" w:sz="0" w:space="0" w:color="auto"/>
        <w:right w:val="none" w:sz="0" w:space="0" w:color="auto"/>
      </w:divBdr>
    </w:div>
    <w:div w:id="1056930669">
      <w:bodyDiv w:val="1"/>
      <w:marLeft w:val="0"/>
      <w:marRight w:val="0"/>
      <w:marTop w:val="0"/>
      <w:marBottom w:val="0"/>
      <w:divBdr>
        <w:top w:val="none" w:sz="0" w:space="0" w:color="auto"/>
        <w:left w:val="none" w:sz="0" w:space="0" w:color="auto"/>
        <w:bottom w:val="none" w:sz="0" w:space="0" w:color="auto"/>
        <w:right w:val="none" w:sz="0" w:space="0" w:color="auto"/>
      </w:divBdr>
    </w:div>
    <w:div w:id="1056976411">
      <w:bodyDiv w:val="1"/>
      <w:marLeft w:val="0"/>
      <w:marRight w:val="0"/>
      <w:marTop w:val="0"/>
      <w:marBottom w:val="0"/>
      <w:divBdr>
        <w:top w:val="none" w:sz="0" w:space="0" w:color="auto"/>
        <w:left w:val="none" w:sz="0" w:space="0" w:color="auto"/>
        <w:bottom w:val="none" w:sz="0" w:space="0" w:color="auto"/>
        <w:right w:val="none" w:sz="0" w:space="0" w:color="auto"/>
      </w:divBdr>
    </w:div>
    <w:div w:id="1057433391">
      <w:bodyDiv w:val="1"/>
      <w:marLeft w:val="0"/>
      <w:marRight w:val="0"/>
      <w:marTop w:val="0"/>
      <w:marBottom w:val="0"/>
      <w:divBdr>
        <w:top w:val="none" w:sz="0" w:space="0" w:color="auto"/>
        <w:left w:val="none" w:sz="0" w:space="0" w:color="auto"/>
        <w:bottom w:val="none" w:sz="0" w:space="0" w:color="auto"/>
        <w:right w:val="none" w:sz="0" w:space="0" w:color="auto"/>
      </w:divBdr>
    </w:div>
    <w:div w:id="1057708085">
      <w:bodyDiv w:val="1"/>
      <w:marLeft w:val="0"/>
      <w:marRight w:val="0"/>
      <w:marTop w:val="0"/>
      <w:marBottom w:val="0"/>
      <w:divBdr>
        <w:top w:val="none" w:sz="0" w:space="0" w:color="auto"/>
        <w:left w:val="none" w:sz="0" w:space="0" w:color="auto"/>
        <w:bottom w:val="none" w:sz="0" w:space="0" w:color="auto"/>
        <w:right w:val="none" w:sz="0" w:space="0" w:color="auto"/>
      </w:divBdr>
    </w:div>
    <w:div w:id="1057779016">
      <w:bodyDiv w:val="1"/>
      <w:marLeft w:val="0"/>
      <w:marRight w:val="0"/>
      <w:marTop w:val="0"/>
      <w:marBottom w:val="0"/>
      <w:divBdr>
        <w:top w:val="none" w:sz="0" w:space="0" w:color="auto"/>
        <w:left w:val="none" w:sz="0" w:space="0" w:color="auto"/>
        <w:bottom w:val="none" w:sz="0" w:space="0" w:color="auto"/>
        <w:right w:val="none" w:sz="0" w:space="0" w:color="auto"/>
      </w:divBdr>
    </w:div>
    <w:div w:id="1057819138">
      <w:bodyDiv w:val="1"/>
      <w:marLeft w:val="0"/>
      <w:marRight w:val="0"/>
      <w:marTop w:val="0"/>
      <w:marBottom w:val="0"/>
      <w:divBdr>
        <w:top w:val="none" w:sz="0" w:space="0" w:color="auto"/>
        <w:left w:val="none" w:sz="0" w:space="0" w:color="auto"/>
        <w:bottom w:val="none" w:sz="0" w:space="0" w:color="auto"/>
        <w:right w:val="none" w:sz="0" w:space="0" w:color="auto"/>
      </w:divBdr>
    </w:div>
    <w:div w:id="1057970712">
      <w:bodyDiv w:val="1"/>
      <w:marLeft w:val="0"/>
      <w:marRight w:val="0"/>
      <w:marTop w:val="0"/>
      <w:marBottom w:val="0"/>
      <w:divBdr>
        <w:top w:val="none" w:sz="0" w:space="0" w:color="auto"/>
        <w:left w:val="none" w:sz="0" w:space="0" w:color="auto"/>
        <w:bottom w:val="none" w:sz="0" w:space="0" w:color="auto"/>
        <w:right w:val="none" w:sz="0" w:space="0" w:color="auto"/>
      </w:divBdr>
    </w:div>
    <w:div w:id="1058286411">
      <w:bodyDiv w:val="1"/>
      <w:marLeft w:val="0"/>
      <w:marRight w:val="0"/>
      <w:marTop w:val="0"/>
      <w:marBottom w:val="0"/>
      <w:divBdr>
        <w:top w:val="none" w:sz="0" w:space="0" w:color="auto"/>
        <w:left w:val="none" w:sz="0" w:space="0" w:color="auto"/>
        <w:bottom w:val="none" w:sz="0" w:space="0" w:color="auto"/>
        <w:right w:val="none" w:sz="0" w:space="0" w:color="auto"/>
      </w:divBdr>
    </w:div>
    <w:div w:id="1058436189">
      <w:bodyDiv w:val="1"/>
      <w:marLeft w:val="0"/>
      <w:marRight w:val="0"/>
      <w:marTop w:val="0"/>
      <w:marBottom w:val="0"/>
      <w:divBdr>
        <w:top w:val="none" w:sz="0" w:space="0" w:color="auto"/>
        <w:left w:val="none" w:sz="0" w:space="0" w:color="auto"/>
        <w:bottom w:val="none" w:sz="0" w:space="0" w:color="auto"/>
        <w:right w:val="none" w:sz="0" w:space="0" w:color="auto"/>
      </w:divBdr>
    </w:div>
    <w:div w:id="1058475184">
      <w:bodyDiv w:val="1"/>
      <w:marLeft w:val="0"/>
      <w:marRight w:val="0"/>
      <w:marTop w:val="0"/>
      <w:marBottom w:val="0"/>
      <w:divBdr>
        <w:top w:val="none" w:sz="0" w:space="0" w:color="auto"/>
        <w:left w:val="none" w:sz="0" w:space="0" w:color="auto"/>
        <w:bottom w:val="none" w:sz="0" w:space="0" w:color="auto"/>
        <w:right w:val="none" w:sz="0" w:space="0" w:color="auto"/>
      </w:divBdr>
    </w:div>
    <w:div w:id="1058818166">
      <w:bodyDiv w:val="1"/>
      <w:marLeft w:val="0"/>
      <w:marRight w:val="0"/>
      <w:marTop w:val="0"/>
      <w:marBottom w:val="0"/>
      <w:divBdr>
        <w:top w:val="none" w:sz="0" w:space="0" w:color="auto"/>
        <w:left w:val="none" w:sz="0" w:space="0" w:color="auto"/>
        <w:bottom w:val="none" w:sz="0" w:space="0" w:color="auto"/>
        <w:right w:val="none" w:sz="0" w:space="0" w:color="auto"/>
      </w:divBdr>
    </w:div>
    <w:div w:id="1058939475">
      <w:bodyDiv w:val="1"/>
      <w:marLeft w:val="0"/>
      <w:marRight w:val="0"/>
      <w:marTop w:val="0"/>
      <w:marBottom w:val="0"/>
      <w:divBdr>
        <w:top w:val="none" w:sz="0" w:space="0" w:color="auto"/>
        <w:left w:val="none" w:sz="0" w:space="0" w:color="auto"/>
        <w:bottom w:val="none" w:sz="0" w:space="0" w:color="auto"/>
        <w:right w:val="none" w:sz="0" w:space="0" w:color="auto"/>
      </w:divBdr>
    </w:div>
    <w:div w:id="1059204058">
      <w:bodyDiv w:val="1"/>
      <w:marLeft w:val="0"/>
      <w:marRight w:val="0"/>
      <w:marTop w:val="0"/>
      <w:marBottom w:val="0"/>
      <w:divBdr>
        <w:top w:val="none" w:sz="0" w:space="0" w:color="auto"/>
        <w:left w:val="none" w:sz="0" w:space="0" w:color="auto"/>
        <w:bottom w:val="none" w:sz="0" w:space="0" w:color="auto"/>
        <w:right w:val="none" w:sz="0" w:space="0" w:color="auto"/>
      </w:divBdr>
    </w:div>
    <w:div w:id="1059523785">
      <w:bodyDiv w:val="1"/>
      <w:marLeft w:val="0"/>
      <w:marRight w:val="0"/>
      <w:marTop w:val="0"/>
      <w:marBottom w:val="0"/>
      <w:divBdr>
        <w:top w:val="none" w:sz="0" w:space="0" w:color="auto"/>
        <w:left w:val="none" w:sz="0" w:space="0" w:color="auto"/>
        <w:bottom w:val="none" w:sz="0" w:space="0" w:color="auto"/>
        <w:right w:val="none" w:sz="0" w:space="0" w:color="auto"/>
      </w:divBdr>
    </w:div>
    <w:div w:id="1059592266">
      <w:bodyDiv w:val="1"/>
      <w:marLeft w:val="0"/>
      <w:marRight w:val="0"/>
      <w:marTop w:val="0"/>
      <w:marBottom w:val="0"/>
      <w:divBdr>
        <w:top w:val="none" w:sz="0" w:space="0" w:color="auto"/>
        <w:left w:val="none" w:sz="0" w:space="0" w:color="auto"/>
        <w:bottom w:val="none" w:sz="0" w:space="0" w:color="auto"/>
        <w:right w:val="none" w:sz="0" w:space="0" w:color="auto"/>
      </w:divBdr>
    </w:div>
    <w:div w:id="1059674826">
      <w:bodyDiv w:val="1"/>
      <w:marLeft w:val="0"/>
      <w:marRight w:val="0"/>
      <w:marTop w:val="0"/>
      <w:marBottom w:val="0"/>
      <w:divBdr>
        <w:top w:val="none" w:sz="0" w:space="0" w:color="auto"/>
        <w:left w:val="none" w:sz="0" w:space="0" w:color="auto"/>
        <w:bottom w:val="none" w:sz="0" w:space="0" w:color="auto"/>
        <w:right w:val="none" w:sz="0" w:space="0" w:color="auto"/>
      </w:divBdr>
    </w:div>
    <w:div w:id="1060206468">
      <w:bodyDiv w:val="1"/>
      <w:marLeft w:val="0"/>
      <w:marRight w:val="0"/>
      <w:marTop w:val="0"/>
      <w:marBottom w:val="0"/>
      <w:divBdr>
        <w:top w:val="none" w:sz="0" w:space="0" w:color="auto"/>
        <w:left w:val="none" w:sz="0" w:space="0" w:color="auto"/>
        <w:bottom w:val="none" w:sz="0" w:space="0" w:color="auto"/>
        <w:right w:val="none" w:sz="0" w:space="0" w:color="auto"/>
      </w:divBdr>
    </w:div>
    <w:div w:id="1060248973">
      <w:bodyDiv w:val="1"/>
      <w:marLeft w:val="0"/>
      <w:marRight w:val="0"/>
      <w:marTop w:val="0"/>
      <w:marBottom w:val="0"/>
      <w:divBdr>
        <w:top w:val="none" w:sz="0" w:space="0" w:color="auto"/>
        <w:left w:val="none" w:sz="0" w:space="0" w:color="auto"/>
        <w:bottom w:val="none" w:sz="0" w:space="0" w:color="auto"/>
        <w:right w:val="none" w:sz="0" w:space="0" w:color="auto"/>
      </w:divBdr>
    </w:div>
    <w:div w:id="1060254354">
      <w:bodyDiv w:val="1"/>
      <w:marLeft w:val="0"/>
      <w:marRight w:val="0"/>
      <w:marTop w:val="0"/>
      <w:marBottom w:val="0"/>
      <w:divBdr>
        <w:top w:val="none" w:sz="0" w:space="0" w:color="auto"/>
        <w:left w:val="none" w:sz="0" w:space="0" w:color="auto"/>
        <w:bottom w:val="none" w:sz="0" w:space="0" w:color="auto"/>
        <w:right w:val="none" w:sz="0" w:space="0" w:color="auto"/>
      </w:divBdr>
    </w:div>
    <w:div w:id="1060324809">
      <w:bodyDiv w:val="1"/>
      <w:marLeft w:val="0"/>
      <w:marRight w:val="0"/>
      <w:marTop w:val="0"/>
      <w:marBottom w:val="0"/>
      <w:divBdr>
        <w:top w:val="none" w:sz="0" w:space="0" w:color="auto"/>
        <w:left w:val="none" w:sz="0" w:space="0" w:color="auto"/>
        <w:bottom w:val="none" w:sz="0" w:space="0" w:color="auto"/>
        <w:right w:val="none" w:sz="0" w:space="0" w:color="auto"/>
      </w:divBdr>
    </w:div>
    <w:div w:id="1060792412">
      <w:bodyDiv w:val="1"/>
      <w:marLeft w:val="0"/>
      <w:marRight w:val="0"/>
      <w:marTop w:val="0"/>
      <w:marBottom w:val="0"/>
      <w:divBdr>
        <w:top w:val="none" w:sz="0" w:space="0" w:color="auto"/>
        <w:left w:val="none" w:sz="0" w:space="0" w:color="auto"/>
        <w:bottom w:val="none" w:sz="0" w:space="0" w:color="auto"/>
        <w:right w:val="none" w:sz="0" w:space="0" w:color="auto"/>
      </w:divBdr>
    </w:div>
    <w:div w:id="1061051737">
      <w:bodyDiv w:val="1"/>
      <w:marLeft w:val="0"/>
      <w:marRight w:val="0"/>
      <w:marTop w:val="0"/>
      <w:marBottom w:val="0"/>
      <w:divBdr>
        <w:top w:val="none" w:sz="0" w:space="0" w:color="auto"/>
        <w:left w:val="none" w:sz="0" w:space="0" w:color="auto"/>
        <w:bottom w:val="none" w:sz="0" w:space="0" w:color="auto"/>
        <w:right w:val="none" w:sz="0" w:space="0" w:color="auto"/>
      </w:divBdr>
    </w:div>
    <w:div w:id="1061516683">
      <w:bodyDiv w:val="1"/>
      <w:marLeft w:val="0"/>
      <w:marRight w:val="0"/>
      <w:marTop w:val="0"/>
      <w:marBottom w:val="0"/>
      <w:divBdr>
        <w:top w:val="none" w:sz="0" w:space="0" w:color="auto"/>
        <w:left w:val="none" w:sz="0" w:space="0" w:color="auto"/>
        <w:bottom w:val="none" w:sz="0" w:space="0" w:color="auto"/>
        <w:right w:val="none" w:sz="0" w:space="0" w:color="auto"/>
      </w:divBdr>
    </w:div>
    <w:div w:id="1061633953">
      <w:bodyDiv w:val="1"/>
      <w:marLeft w:val="0"/>
      <w:marRight w:val="0"/>
      <w:marTop w:val="0"/>
      <w:marBottom w:val="0"/>
      <w:divBdr>
        <w:top w:val="none" w:sz="0" w:space="0" w:color="auto"/>
        <w:left w:val="none" w:sz="0" w:space="0" w:color="auto"/>
        <w:bottom w:val="none" w:sz="0" w:space="0" w:color="auto"/>
        <w:right w:val="none" w:sz="0" w:space="0" w:color="auto"/>
      </w:divBdr>
    </w:div>
    <w:div w:id="1061634837">
      <w:bodyDiv w:val="1"/>
      <w:marLeft w:val="0"/>
      <w:marRight w:val="0"/>
      <w:marTop w:val="0"/>
      <w:marBottom w:val="0"/>
      <w:divBdr>
        <w:top w:val="none" w:sz="0" w:space="0" w:color="auto"/>
        <w:left w:val="none" w:sz="0" w:space="0" w:color="auto"/>
        <w:bottom w:val="none" w:sz="0" w:space="0" w:color="auto"/>
        <w:right w:val="none" w:sz="0" w:space="0" w:color="auto"/>
      </w:divBdr>
    </w:div>
    <w:div w:id="1061751244">
      <w:bodyDiv w:val="1"/>
      <w:marLeft w:val="0"/>
      <w:marRight w:val="0"/>
      <w:marTop w:val="0"/>
      <w:marBottom w:val="0"/>
      <w:divBdr>
        <w:top w:val="none" w:sz="0" w:space="0" w:color="auto"/>
        <w:left w:val="none" w:sz="0" w:space="0" w:color="auto"/>
        <w:bottom w:val="none" w:sz="0" w:space="0" w:color="auto"/>
        <w:right w:val="none" w:sz="0" w:space="0" w:color="auto"/>
      </w:divBdr>
    </w:div>
    <w:div w:id="1062026260">
      <w:bodyDiv w:val="1"/>
      <w:marLeft w:val="0"/>
      <w:marRight w:val="0"/>
      <w:marTop w:val="0"/>
      <w:marBottom w:val="0"/>
      <w:divBdr>
        <w:top w:val="none" w:sz="0" w:space="0" w:color="auto"/>
        <w:left w:val="none" w:sz="0" w:space="0" w:color="auto"/>
        <w:bottom w:val="none" w:sz="0" w:space="0" w:color="auto"/>
        <w:right w:val="none" w:sz="0" w:space="0" w:color="auto"/>
      </w:divBdr>
    </w:div>
    <w:div w:id="1062673227">
      <w:bodyDiv w:val="1"/>
      <w:marLeft w:val="0"/>
      <w:marRight w:val="0"/>
      <w:marTop w:val="0"/>
      <w:marBottom w:val="0"/>
      <w:divBdr>
        <w:top w:val="none" w:sz="0" w:space="0" w:color="auto"/>
        <w:left w:val="none" w:sz="0" w:space="0" w:color="auto"/>
        <w:bottom w:val="none" w:sz="0" w:space="0" w:color="auto"/>
        <w:right w:val="none" w:sz="0" w:space="0" w:color="auto"/>
      </w:divBdr>
    </w:div>
    <w:div w:id="1062678292">
      <w:bodyDiv w:val="1"/>
      <w:marLeft w:val="0"/>
      <w:marRight w:val="0"/>
      <w:marTop w:val="0"/>
      <w:marBottom w:val="0"/>
      <w:divBdr>
        <w:top w:val="none" w:sz="0" w:space="0" w:color="auto"/>
        <w:left w:val="none" w:sz="0" w:space="0" w:color="auto"/>
        <w:bottom w:val="none" w:sz="0" w:space="0" w:color="auto"/>
        <w:right w:val="none" w:sz="0" w:space="0" w:color="auto"/>
      </w:divBdr>
    </w:div>
    <w:div w:id="1063018533">
      <w:bodyDiv w:val="1"/>
      <w:marLeft w:val="0"/>
      <w:marRight w:val="0"/>
      <w:marTop w:val="0"/>
      <w:marBottom w:val="0"/>
      <w:divBdr>
        <w:top w:val="none" w:sz="0" w:space="0" w:color="auto"/>
        <w:left w:val="none" w:sz="0" w:space="0" w:color="auto"/>
        <w:bottom w:val="none" w:sz="0" w:space="0" w:color="auto"/>
        <w:right w:val="none" w:sz="0" w:space="0" w:color="auto"/>
      </w:divBdr>
    </w:div>
    <w:div w:id="1063287758">
      <w:bodyDiv w:val="1"/>
      <w:marLeft w:val="0"/>
      <w:marRight w:val="0"/>
      <w:marTop w:val="0"/>
      <w:marBottom w:val="0"/>
      <w:divBdr>
        <w:top w:val="none" w:sz="0" w:space="0" w:color="auto"/>
        <w:left w:val="none" w:sz="0" w:space="0" w:color="auto"/>
        <w:bottom w:val="none" w:sz="0" w:space="0" w:color="auto"/>
        <w:right w:val="none" w:sz="0" w:space="0" w:color="auto"/>
      </w:divBdr>
    </w:div>
    <w:div w:id="1063724587">
      <w:bodyDiv w:val="1"/>
      <w:marLeft w:val="0"/>
      <w:marRight w:val="0"/>
      <w:marTop w:val="0"/>
      <w:marBottom w:val="0"/>
      <w:divBdr>
        <w:top w:val="none" w:sz="0" w:space="0" w:color="auto"/>
        <w:left w:val="none" w:sz="0" w:space="0" w:color="auto"/>
        <w:bottom w:val="none" w:sz="0" w:space="0" w:color="auto"/>
        <w:right w:val="none" w:sz="0" w:space="0" w:color="auto"/>
      </w:divBdr>
    </w:div>
    <w:div w:id="1063869792">
      <w:bodyDiv w:val="1"/>
      <w:marLeft w:val="0"/>
      <w:marRight w:val="0"/>
      <w:marTop w:val="0"/>
      <w:marBottom w:val="0"/>
      <w:divBdr>
        <w:top w:val="none" w:sz="0" w:space="0" w:color="auto"/>
        <w:left w:val="none" w:sz="0" w:space="0" w:color="auto"/>
        <w:bottom w:val="none" w:sz="0" w:space="0" w:color="auto"/>
        <w:right w:val="none" w:sz="0" w:space="0" w:color="auto"/>
      </w:divBdr>
    </w:div>
    <w:div w:id="1064134851">
      <w:bodyDiv w:val="1"/>
      <w:marLeft w:val="0"/>
      <w:marRight w:val="0"/>
      <w:marTop w:val="0"/>
      <w:marBottom w:val="0"/>
      <w:divBdr>
        <w:top w:val="none" w:sz="0" w:space="0" w:color="auto"/>
        <w:left w:val="none" w:sz="0" w:space="0" w:color="auto"/>
        <w:bottom w:val="none" w:sz="0" w:space="0" w:color="auto"/>
        <w:right w:val="none" w:sz="0" w:space="0" w:color="auto"/>
      </w:divBdr>
    </w:div>
    <w:div w:id="1064521440">
      <w:bodyDiv w:val="1"/>
      <w:marLeft w:val="0"/>
      <w:marRight w:val="0"/>
      <w:marTop w:val="0"/>
      <w:marBottom w:val="0"/>
      <w:divBdr>
        <w:top w:val="none" w:sz="0" w:space="0" w:color="auto"/>
        <w:left w:val="none" w:sz="0" w:space="0" w:color="auto"/>
        <w:bottom w:val="none" w:sz="0" w:space="0" w:color="auto"/>
        <w:right w:val="none" w:sz="0" w:space="0" w:color="auto"/>
      </w:divBdr>
    </w:div>
    <w:div w:id="1064572078">
      <w:bodyDiv w:val="1"/>
      <w:marLeft w:val="0"/>
      <w:marRight w:val="0"/>
      <w:marTop w:val="0"/>
      <w:marBottom w:val="0"/>
      <w:divBdr>
        <w:top w:val="none" w:sz="0" w:space="0" w:color="auto"/>
        <w:left w:val="none" w:sz="0" w:space="0" w:color="auto"/>
        <w:bottom w:val="none" w:sz="0" w:space="0" w:color="auto"/>
        <w:right w:val="none" w:sz="0" w:space="0" w:color="auto"/>
      </w:divBdr>
    </w:div>
    <w:div w:id="1064643147">
      <w:bodyDiv w:val="1"/>
      <w:marLeft w:val="0"/>
      <w:marRight w:val="0"/>
      <w:marTop w:val="0"/>
      <w:marBottom w:val="0"/>
      <w:divBdr>
        <w:top w:val="none" w:sz="0" w:space="0" w:color="auto"/>
        <w:left w:val="none" w:sz="0" w:space="0" w:color="auto"/>
        <w:bottom w:val="none" w:sz="0" w:space="0" w:color="auto"/>
        <w:right w:val="none" w:sz="0" w:space="0" w:color="auto"/>
      </w:divBdr>
    </w:div>
    <w:div w:id="1064792897">
      <w:bodyDiv w:val="1"/>
      <w:marLeft w:val="0"/>
      <w:marRight w:val="0"/>
      <w:marTop w:val="0"/>
      <w:marBottom w:val="0"/>
      <w:divBdr>
        <w:top w:val="none" w:sz="0" w:space="0" w:color="auto"/>
        <w:left w:val="none" w:sz="0" w:space="0" w:color="auto"/>
        <w:bottom w:val="none" w:sz="0" w:space="0" w:color="auto"/>
        <w:right w:val="none" w:sz="0" w:space="0" w:color="auto"/>
      </w:divBdr>
    </w:div>
    <w:div w:id="1064837761">
      <w:bodyDiv w:val="1"/>
      <w:marLeft w:val="0"/>
      <w:marRight w:val="0"/>
      <w:marTop w:val="0"/>
      <w:marBottom w:val="0"/>
      <w:divBdr>
        <w:top w:val="none" w:sz="0" w:space="0" w:color="auto"/>
        <w:left w:val="none" w:sz="0" w:space="0" w:color="auto"/>
        <w:bottom w:val="none" w:sz="0" w:space="0" w:color="auto"/>
        <w:right w:val="none" w:sz="0" w:space="0" w:color="auto"/>
      </w:divBdr>
    </w:div>
    <w:div w:id="1065184244">
      <w:bodyDiv w:val="1"/>
      <w:marLeft w:val="0"/>
      <w:marRight w:val="0"/>
      <w:marTop w:val="0"/>
      <w:marBottom w:val="0"/>
      <w:divBdr>
        <w:top w:val="none" w:sz="0" w:space="0" w:color="auto"/>
        <w:left w:val="none" w:sz="0" w:space="0" w:color="auto"/>
        <w:bottom w:val="none" w:sz="0" w:space="0" w:color="auto"/>
        <w:right w:val="none" w:sz="0" w:space="0" w:color="auto"/>
      </w:divBdr>
    </w:div>
    <w:div w:id="1065647315">
      <w:bodyDiv w:val="1"/>
      <w:marLeft w:val="0"/>
      <w:marRight w:val="0"/>
      <w:marTop w:val="0"/>
      <w:marBottom w:val="0"/>
      <w:divBdr>
        <w:top w:val="none" w:sz="0" w:space="0" w:color="auto"/>
        <w:left w:val="none" w:sz="0" w:space="0" w:color="auto"/>
        <w:bottom w:val="none" w:sz="0" w:space="0" w:color="auto"/>
        <w:right w:val="none" w:sz="0" w:space="0" w:color="auto"/>
      </w:divBdr>
    </w:div>
    <w:div w:id="1065833217">
      <w:bodyDiv w:val="1"/>
      <w:marLeft w:val="0"/>
      <w:marRight w:val="0"/>
      <w:marTop w:val="0"/>
      <w:marBottom w:val="0"/>
      <w:divBdr>
        <w:top w:val="none" w:sz="0" w:space="0" w:color="auto"/>
        <w:left w:val="none" w:sz="0" w:space="0" w:color="auto"/>
        <w:bottom w:val="none" w:sz="0" w:space="0" w:color="auto"/>
        <w:right w:val="none" w:sz="0" w:space="0" w:color="auto"/>
      </w:divBdr>
    </w:div>
    <w:div w:id="1066149774">
      <w:bodyDiv w:val="1"/>
      <w:marLeft w:val="0"/>
      <w:marRight w:val="0"/>
      <w:marTop w:val="0"/>
      <w:marBottom w:val="0"/>
      <w:divBdr>
        <w:top w:val="none" w:sz="0" w:space="0" w:color="auto"/>
        <w:left w:val="none" w:sz="0" w:space="0" w:color="auto"/>
        <w:bottom w:val="none" w:sz="0" w:space="0" w:color="auto"/>
        <w:right w:val="none" w:sz="0" w:space="0" w:color="auto"/>
      </w:divBdr>
    </w:div>
    <w:div w:id="1066302483">
      <w:bodyDiv w:val="1"/>
      <w:marLeft w:val="0"/>
      <w:marRight w:val="0"/>
      <w:marTop w:val="0"/>
      <w:marBottom w:val="0"/>
      <w:divBdr>
        <w:top w:val="none" w:sz="0" w:space="0" w:color="auto"/>
        <w:left w:val="none" w:sz="0" w:space="0" w:color="auto"/>
        <w:bottom w:val="none" w:sz="0" w:space="0" w:color="auto"/>
        <w:right w:val="none" w:sz="0" w:space="0" w:color="auto"/>
      </w:divBdr>
    </w:div>
    <w:div w:id="1066337030">
      <w:bodyDiv w:val="1"/>
      <w:marLeft w:val="0"/>
      <w:marRight w:val="0"/>
      <w:marTop w:val="0"/>
      <w:marBottom w:val="0"/>
      <w:divBdr>
        <w:top w:val="none" w:sz="0" w:space="0" w:color="auto"/>
        <w:left w:val="none" w:sz="0" w:space="0" w:color="auto"/>
        <w:bottom w:val="none" w:sz="0" w:space="0" w:color="auto"/>
        <w:right w:val="none" w:sz="0" w:space="0" w:color="auto"/>
      </w:divBdr>
    </w:div>
    <w:div w:id="1066492698">
      <w:bodyDiv w:val="1"/>
      <w:marLeft w:val="0"/>
      <w:marRight w:val="0"/>
      <w:marTop w:val="0"/>
      <w:marBottom w:val="0"/>
      <w:divBdr>
        <w:top w:val="none" w:sz="0" w:space="0" w:color="auto"/>
        <w:left w:val="none" w:sz="0" w:space="0" w:color="auto"/>
        <w:bottom w:val="none" w:sz="0" w:space="0" w:color="auto"/>
        <w:right w:val="none" w:sz="0" w:space="0" w:color="auto"/>
      </w:divBdr>
    </w:div>
    <w:div w:id="1066873968">
      <w:bodyDiv w:val="1"/>
      <w:marLeft w:val="0"/>
      <w:marRight w:val="0"/>
      <w:marTop w:val="0"/>
      <w:marBottom w:val="0"/>
      <w:divBdr>
        <w:top w:val="none" w:sz="0" w:space="0" w:color="auto"/>
        <w:left w:val="none" w:sz="0" w:space="0" w:color="auto"/>
        <w:bottom w:val="none" w:sz="0" w:space="0" w:color="auto"/>
        <w:right w:val="none" w:sz="0" w:space="0" w:color="auto"/>
      </w:divBdr>
    </w:div>
    <w:div w:id="1066877952">
      <w:bodyDiv w:val="1"/>
      <w:marLeft w:val="0"/>
      <w:marRight w:val="0"/>
      <w:marTop w:val="0"/>
      <w:marBottom w:val="0"/>
      <w:divBdr>
        <w:top w:val="none" w:sz="0" w:space="0" w:color="auto"/>
        <w:left w:val="none" w:sz="0" w:space="0" w:color="auto"/>
        <w:bottom w:val="none" w:sz="0" w:space="0" w:color="auto"/>
        <w:right w:val="none" w:sz="0" w:space="0" w:color="auto"/>
      </w:divBdr>
    </w:div>
    <w:div w:id="1066998116">
      <w:bodyDiv w:val="1"/>
      <w:marLeft w:val="0"/>
      <w:marRight w:val="0"/>
      <w:marTop w:val="0"/>
      <w:marBottom w:val="0"/>
      <w:divBdr>
        <w:top w:val="none" w:sz="0" w:space="0" w:color="auto"/>
        <w:left w:val="none" w:sz="0" w:space="0" w:color="auto"/>
        <w:bottom w:val="none" w:sz="0" w:space="0" w:color="auto"/>
        <w:right w:val="none" w:sz="0" w:space="0" w:color="auto"/>
      </w:divBdr>
    </w:div>
    <w:div w:id="1067338180">
      <w:bodyDiv w:val="1"/>
      <w:marLeft w:val="0"/>
      <w:marRight w:val="0"/>
      <w:marTop w:val="0"/>
      <w:marBottom w:val="0"/>
      <w:divBdr>
        <w:top w:val="none" w:sz="0" w:space="0" w:color="auto"/>
        <w:left w:val="none" w:sz="0" w:space="0" w:color="auto"/>
        <w:bottom w:val="none" w:sz="0" w:space="0" w:color="auto"/>
        <w:right w:val="none" w:sz="0" w:space="0" w:color="auto"/>
      </w:divBdr>
    </w:div>
    <w:div w:id="1067411133">
      <w:bodyDiv w:val="1"/>
      <w:marLeft w:val="0"/>
      <w:marRight w:val="0"/>
      <w:marTop w:val="0"/>
      <w:marBottom w:val="0"/>
      <w:divBdr>
        <w:top w:val="none" w:sz="0" w:space="0" w:color="auto"/>
        <w:left w:val="none" w:sz="0" w:space="0" w:color="auto"/>
        <w:bottom w:val="none" w:sz="0" w:space="0" w:color="auto"/>
        <w:right w:val="none" w:sz="0" w:space="0" w:color="auto"/>
      </w:divBdr>
    </w:div>
    <w:div w:id="1067462562">
      <w:bodyDiv w:val="1"/>
      <w:marLeft w:val="0"/>
      <w:marRight w:val="0"/>
      <w:marTop w:val="0"/>
      <w:marBottom w:val="0"/>
      <w:divBdr>
        <w:top w:val="none" w:sz="0" w:space="0" w:color="auto"/>
        <w:left w:val="none" w:sz="0" w:space="0" w:color="auto"/>
        <w:bottom w:val="none" w:sz="0" w:space="0" w:color="auto"/>
        <w:right w:val="none" w:sz="0" w:space="0" w:color="auto"/>
      </w:divBdr>
    </w:div>
    <w:div w:id="1067533818">
      <w:bodyDiv w:val="1"/>
      <w:marLeft w:val="0"/>
      <w:marRight w:val="0"/>
      <w:marTop w:val="0"/>
      <w:marBottom w:val="0"/>
      <w:divBdr>
        <w:top w:val="none" w:sz="0" w:space="0" w:color="auto"/>
        <w:left w:val="none" w:sz="0" w:space="0" w:color="auto"/>
        <w:bottom w:val="none" w:sz="0" w:space="0" w:color="auto"/>
        <w:right w:val="none" w:sz="0" w:space="0" w:color="auto"/>
      </w:divBdr>
    </w:div>
    <w:div w:id="1067916107">
      <w:bodyDiv w:val="1"/>
      <w:marLeft w:val="0"/>
      <w:marRight w:val="0"/>
      <w:marTop w:val="0"/>
      <w:marBottom w:val="0"/>
      <w:divBdr>
        <w:top w:val="none" w:sz="0" w:space="0" w:color="auto"/>
        <w:left w:val="none" w:sz="0" w:space="0" w:color="auto"/>
        <w:bottom w:val="none" w:sz="0" w:space="0" w:color="auto"/>
        <w:right w:val="none" w:sz="0" w:space="0" w:color="auto"/>
      </w:divBdr>
    </w:div>
    <w:div w:id="1068066703">
      <w:bodyDiv w:val="1"/>
      <w:marLeft w:val="0"/>
      <w:marRight w:val="0"/>
      <w:marTop w:val="0"/>
      <w:marBottom w:val="0"/>
      <w:divBdr>
        <w:top w:val="none" w:sz="0" w:space="0" w:color="auto"/>
        <w:left w:val="none" w:sz="0" w:space="0" w:color="auto"/>
        <w:bottom w:val="none" w:sz="0" w:space="0" w:color="auto"/>
        <w:right w:val="none" w:sz="0" w:space="0" w:color="auto"/>
      </w:divBdr>
    </w:div>
    <w:div w:id="1068263773">
      <w:bodyDiv w:val="1"/>
      <w:marLeft w:val="0"/>
      <w:marRight w:val="0"/>
      <w:marTop w:val="0"/>
      <w:marBottom w:val="0"/>
      <w:divBdr>
        <w:top w:val="none" w:sz="0" w:space="0" w:color="auto"/>
        <w:left w:val="none" w:sz="0" w:space="0" w:color="auto"/>
        <w:bottom w:val="none" w:sz="0" w:space="0" w:color="auto"/>
        <w:right w:val="none" w:sz="0" w:space="0" w:color="auto"/>
      </w:divBdr>
    </w:div>
    <w:div w:id="1068531096">
      <w:bodyDiv w:val="1"/>
      <w:marLeft w:val="0"/>
      <w:marRight w:val="0"/>
      <w:marTop w:val="0"/>
      <w:marBottom w:val="0"/>
      <w:divBdr>
        <w:top w:val="none" w:sz="0" w:space="0" w:color="auto"/>
        <w:left w:val="none" w:sz="0" w:space="0" w:color="auto"/>
        <w:bottom w:val="none" w:sz="0" w:space="0" w:color="auto"/>
        <w:right w:val="none" w:sz="0" w:space="0" w:color="auto"/>
      </w:divBdr>
    </w:div>
    <w:div w:id="1068723251">
      <w:bodyDiv w:val="1"/>
      <w:marLeft w:val="0"/>
      <w:marRight w:val="0"/>
      <w:marTop w:val="0"/>
      <w:marBottom w:val="0"/>
      <w:divBdr>
        <w:top w:val="none" w:sz="0" w:space="0" w:color="auto"/>
        <w:left w:val="none" w:sz="0" w:space="0" w:color="auto"/>
        <w:bottom w:val="none" w:sz="0" w:space="0" w:color="auto"/>
        <w:right w:val="none" w:sz="0" w:space="0" w:color="auto"/>
      </w:divBdr>
    </w:div>
    <w:div w:id="1068923370">
      <w:bodyDiv w:val="1"/>
      <w:marLeft w:val="0"/>
      <w:marRight w:val="0"/>
      <w:marTop w:val="0"/>
      <w:marBottom w:val="0"/>
      <w:divBdr>
        <w:top w:val="none" w:sz="0" w:space="0" w:color="auto"/>
        <w:left w:val="none" w:sz="0" w:space="0" w:color="auto"/>
        <w:bottom w:val="none" w:sz="0" w:space="0" w:color="auto"/>
        <w:right w:val="none" w:sz="0" w:space="0" w:color="auto"/>
      </w:divBdr>
    </w:div>
    <w:div w:id="1069116054">
      <w:bodyDiv w:val="1"/>
      <w:marLeft w:val="0"/>
      <w:marRight w:val="0"/>
      <w:marTop w:val="0"/>
      <w:marBottom w:val="0"/>
      <w:divBdr>
        <w:top w:val="none" w:sz="0" w:space="0" w:color="auto"/>
        <w:left w:val="none" w:sz="0" w:space="0" w:color="auto"/>
        <w:bottom w:val="none" w:sz="0" w:space="0" w:color="auto"/>
        <w:right w:val="none" w:sz="0" w:space="0" w:color="auto"/>
      </w:divBdr>
    </w:div>
    <w:div w:id="1069231478">
      <w:bodyDiv w:val="1"/>
      <w:marLeft w:val="0"/>
      <w:marRight w:val="0"/>
      <w:marTop w:val="0"/>
      <w:marBottom w:val="0"/>
      <w:divBdr>
        <w:top w:val="none" w:sz="0" w:space="0" w:color="auto"/>
        <w:left w:val="none" w:sz="0" w:space="0" w:color="auto"/>
        <w:bottom w:val="none" w:sz="0" w:space="0" w:color="auto"/>
        <w:right w:val="none" w:sz="0" w:space="0" w:color="auto"/>
      </w:divBdr>
    </w:div>
    <w:div w:id="1069302131">
      <w:bodyDiv w:val="1"/>
      <w:marLeft w:val="0"/>
      <w:marRight w:val="0"/>
      <w:marTop w:val="0"/>
      <w:marBottom w:val="0"/>
      <w:divBdr>
        <w:top w:val="none" w:sz="0" w:space="0" w:color="auto"/>
        <w:left w:val="none" w:sz="0" w:space="0" w:color="auto"/>
        <w:bottom w:val="none" w:sz="0" w:space="0" w:color="auto"/>
        <w:right w:val="none" w:sz="0" w:space="0" w:color="auto"/>
      </w:divBdr>
    </w:div>
    <w:div w:id="1069696496">
      <w:bodyDiv w:val="1"/>
      <w:marLeft w:val="0"/>
      <w:marRight w:val="0"/>
      <w:marTop w:val="0"/>
      <w:marBottom w:val="0"/>
      <w:divBdr>
        <w:top w:val="none" w:sz="0" w:space="0" w:color="auto"/>
        <w:left w:val="none" w:sz="0" w:space="0" w:color="auto"/>
        <w:bottom w:val="none" w:sz="0" w:space="0" w:color="auto"/>
        <w:right w:val="none" w:sz="0" w:space="0" w:color="auto"/>
      </w:divBdr>
    </w:div>
    <w:div w:id="1069890341">
      <w:bodyDiv w:val="1"/>
      <w:marLeft w:val="0"/>
      <w:marRight w:val="0"/>
      <w:marTop w:val="0"/>
      <w:marBottom w:val="0"/>
      <w:divBdr>
        <w:top w:val="none" w:sz="0" w:space="0" w:color="auto"/>
        <w:left w:val="none" w:sz="0" w:space="0" w:color="auto"/>
        <w:bottom w:val="none" w:sz="0" w:space="0" w:color="auto"/>
        <w:right w:val="none" w:sz="0" w:space="0" w:color="auto"/>
      </w:divBdr>
    </w:div>
    <w:div w:id="1070348292">
      <w:bodyDiv w:val="1"/>
      <w:marLeft w:val="0"/>
      <w:marRight w:val="0"/>
      <w:marTop w:val="0"/>
      <w:marBottom w:val="0"/>
      <w:divBdr>
        <w:top w:val="none" w:sz="0" w:space="0" w:color="auto"/>
        <w:left w:val="none" w:sz="0" w:space="0" w:color="auto"/>
        <w:bottom w:val="none" w:sz="0" w:space="0" w:color="auto"/>
        <w:right w:val="none" w:sz="0" w:space="0" w:color="auto"/>
      </w:divBdr>
    </w:div>
    <w:div w:id="1070539112">
      <w:bodyDiv w:val="1"/>
      <w:marLeft w:val="0"/>
      <w:marRight w:val="0"/>
      <w:marTop w:val="0"/>
      <w:marBottom w:val="0"/>
      <w:divBdr>
        <w:top w:val="none" w:sz="0" w:space="0" w:color="auto"/>
        <w:left w:val="none" w:sz="0" w:space="0" w:color="auto"/>
        <w:bottom w:val="none" w:sz="0" w:space="0" w:color="auto"/>
        <w:right w:val="none" w:sz="0" w:space="0" w:color="auto"/>
      </w:divBdr>
    </w:div>
    <w:div w:id="1070616755">
      <w:bodyDiv w:val="1"/>
      <w:marLeft w:val="0"/>
      <w:marRight w:val="0"/>
      <w:marTop w:val="0"/>
      <w:marBottom w:val="0"/>
      <w:divBdr>
        <w:top w:val="none" w:sz="0" w:space="0" w:color="auto"/>
        <w:left w:val="none" w:sz="0" w:space="0" w:color="auto"/>
        <w:bottom w:val="none" w:sz="0" w:space="0" w:color="auto"/>
        <w:right w:val="none" w:sz="0" w:space="0" w:color="auto"/>
      </w:divBdr>
    </w:div>
    <w:div w:id="1070618978">
      <w:bodyDiv w:val="1"/>
      <w:marLeft w:val="0"/>
      <w:marRight w:val="0"/>
      <w:marTop w:val="0"/>
      <w:marBottom w:val="0"/>
      <w:divBdr>
        <w:top w:val="none" w:sz="0" w:space="0" w:color="auto"/>
        <w:left w:val="none" w:sz="0" w:space="0" w:color="auto"/>
        <w:bottom w:val="none" w:sz="0" w:space="0" w:color="auto"/>
        <w:right w:val="none" w:sz="0" w:space="0" w:color="auto"/>
      </w:divBdr>
    </w:div>
    <w:div w:id="1070693345">
      <w:bodyDiv w:val="1"/>
      <w:marLeft w:val="0"/>
      <w:marRight w:val="0"/>
      <w:marTop w:val="0"/>
      <w:marBottom w:val="0"/>
      <w:divBdr>
        <w:top w:val="none" w:sz="0" w:space="0" w:color="auto"/>
        <w:left w:val="none" w:sz="0" w:space="0" w:color="auto"/>
        <w:bottom w:val="none" w:sz="0" w:space="0" w:color="auto"/>
        <w:right w:val="none" w:sz="0" w:space="0" w:color="auto"/>
      </w:divBdr>
    </w:div>
    <w:div w:id="1070731911">
      <w:bodyDiv w:val="1"/>
      <w:marLeft w:val="0"/>
      <w:marRight w:val="0"/>
      <w:marTop w:val="0"/>
      <w:marBottom w:val="0"/>
      <w:divBdr>
        <w:top w:val="none" w:sz="0" w:space="0" w:color="auto"/>
        <w:left w:val="none" w:sz="0" w:space="0" w:color="auto"/>
        <w:bottom w:val="none" w:sz="0" w:space="0" w:color="auto"/>
        <w:right w:val="none" w:sz="0" w:space="0" w:color="auto"/>
      </w:divBdr>
    </w:div>
    <w:div w:id="1071196740">
      <w:bodyDiv w:val="1"/>
      <w:marLeft w:val="0"/>
      <w:marRight w:val="0"/>
      <w:marTop w:val="0"/>
      <w:marBottom w:val="0"/>
      <w:divBdr>
        <w:top w:val="none" w:sz="0" w:space="0" w:color="auto"/>
        <w:left w:val="none" w:sz="0" w:space="0" w:color="auto"/>
        <w:bottom w:val="none" w:sz="0" w:space="0" w:color="auto"/>
        <w:right w:val="none" w:sz="0" w:space="0" w:color="auto"/>
      </w:divBdr>
    </w:div>
    <w:div w:id="1071272252">
      <w:bodyDiv w:val="1"/>
      <w:marLeft w:val="0"/>
      <w:marRight w:val="0"/>
      <w:marTop w:val="0"/>
      <w:marBottom w:val="0"/>
      <w:divBdr>
        <w:top w:val="none" w:sz="0" w:space="0" w:color="auto"/>
        <w:left w:val="none" w:sz="0" w:space="0" w:color="auto"/>
        <w:bottom w:val="none" w:sz="0" w:space="0" w:color="auto"/>
        <w:right w:val="none" w:sz="0" w:space="0" w:color="auto"/>
      </w:divBdr>
    </w:div>
    <w:div w:id="1071464195">
      <w:bodyDiv w:val="1"/>
      <w:marLeft w:val="0"/>
      <w:marRight w:val="0"/>
      <w:marTop w:val="0"/>
      <w:marBottom w:val="0"/>
      <w:divBdr>
        <w:top w:val="none" w:sz="0" w:space="0" w:color="auto"/>
        <w:left w:val="none" w:sz="0" w:space="0" w:color="auto"/>
        <w:bottom w:val="none" w:sz="0" w:space="0" w:color="auto"/>
        <w:right w:val="none" w:sz="0" w:space="0" w:color="auto"/>
      </w:divBdr>
    </w:div>
    <w:div w:id="1071660813">
      <w:bodyDiv w:val="1"/>
      <w:marLeft w:val="0"/>
      <w:marRight w:val="0"/>
      <w:marTop w:val="0"/>
      <w:marBottom w:val="0"/>
      <w:divBdr>
        <w:top w:val="none" w:sz="0" w:space="0" w:color="auto"/>
        <w:left w:val="none" w:sz="0" w:space="0" w:color="auto"/>
        <w:bottom w:val="none" w:sz="0" w:space="0" w:color="auto"/>
        <w:right w:val="none" w:sz="0" w:space="0" w:color="auto"/>
      </w:divBdr>
    </w:div>
    <w:div w:id="1071737056">
      <w:bodyDiv w:val="1"/>
      <w:marLeft w:val="0"/>
      <w:marRight w:val="0"/>
      <w:marTop w:val="0"/>
      <w:marBottom w:val="0"/>
      <w:divBdr>
        <w:top w:val="none" w:sz="0" w:space="0" w:color="auto"/>
        <w:left w:val="none" w:sz="0" w:space="0" w:color="auto"/>
        <w:bottom w:val="none" w:sz="0" w:space="0" w:color="auto"/>
        <w:right w:val="none" w:sz="0" w:space="0" w:color="auto"/>
      </w:divBdr>
    </w:div>
    <w:div w:id="1071777799">
      <w:bodyDiv w:val="1"/>
      <w:marLeft w:val="0"/>
      <w:marRight w:val="0"/>
      <w:marTop w:val="0"/>
      <w:marBottom w:val="0"/>
      <w:divBdr>
        <w:top w:val="none" w:sz="0" w:space="0" w:color="auto"/>
        <w:left w:val="none" w:sz="0" w:space="0" w:color="auto"/>
        <w:bottom w:val="none" w:sz="0" w:space="0" w:color="auto"/>
        <w:right w:val="none" w:sz="0" w:space="0" w:color="auto"/>
      </w:divBdr>
    </w:div>
    <w:div w:id="1071808273">
      <w:bodyDiv w:val="1"/>
      <w:marLeft w:val="0"/>
      <w:marRight w:val="0"/>
      <w:marTop w:val="0"/>
      <w:marBottom w:val="0"/>
      <w:divBdr>
        <w:top w:val="none" w:sz="0" w:space="0" w:color="auto"/>
        <w:left w:val="none" w:sz="0" w:space="0" w:color="auto"/>
        <w:bottom w:val="none" w:sz="0" w:space="0" w:color="auto"/>
        <w:right w:val="none" w:sz="0" w:space="0" w:color="auto"/>
      </w:divBdr>
    </w:div>
    <w:div w:id="1071924998">
      <w:bodyDiv w:val="1"/>
      <w:marLeft w:val="0"/>
      <w:marRight w:val="0"/>
      <w:marTop w:val="0"/>
      <w:marBottom w:val="0"/>
      <w:divBdr>
        <w:top w:val="none" w:sz="0" w:space="0" w:color="auto"/>
        <w:left w:val="none" w:sz="0" w:space="0" w:color="auto"/>
        <w:bottom w:val="none" w:sz="0" w:space="0" w:color="auto"/>
        <w:right w:val="none" w:sz="0" w:space="0" w:color="auto"/>
      </w:divBdr>
    </w:div>
    <w:div w:id="1071998306">
      <w:bodyDiv w:val="1"/>
      <w:marLeft w:val="0"/>
      <w:marRight w:val="0"/>
      <w:marTop w:val="0"/>
      <w:marBottom w:val="0"/>
      <w:divBdr>
        <w:top w:val="none" w:sz="0" w:space="0" w:color="auto"/>
        <w:left w:val="none" w:sz="0" w:space="0" w:color="auto"/>
        <w:bottom w:val="none" w:sz="0" w:space="0" w:color="auto"/>
        <w:right w:val="none" w:sz="0" w:space="0" w:color="auto"/>
      </w:divBdr>
    </w:div>
    <w:div w:id="1072046383">
      <w:bodyDiv w:val="1"/>
      <w:marLeft w:val="0"/>
      <w:marRight w:val="0"/>
      <w:marTop w:val="0"/>
      <w:marBottom w:val="0"/>
      <w:divBdr>
        <w:top w:val="none" w:sz="0" w:space="0" w:color="auto"/>
        <w:left w:val="none" w:sz="0" w:space="0" w:color="auto"/>
        <w:bottom w:val="none" w:sz="0" w:space="0" w:color="auto"/>
        <w:right w:val="none" w:sz="0" w:space="0" w:color="auto"/>
      </w:divBdr>
    </w:div>
    <w:div w:id="1072047349">
      <w:bodyDiv w:val="1"/>
      <w:marLeft w:val="0"/>
      <w:marRight w:val="0"/>
      <w:marTop w:val="0"/>
      <w:marBottom w:val="0"/>
      <w:divBdr>
        <w:top w:val="none" w:sz="0" w:space="0" w:color="auto"/>
        <w:left w:val="none" w:sz="0" w:space="0" w:color="auto"/>
        <w:bottom w:val="none" w:sz="0" w:space="0" w:color="auto"/>
        <w:right w:val="none" w:sz="0" w:space="0" w:color="auto"/>
      </w:divBdr>
    </w:div>
    <w:div w:id="1072197592">
      <w:bodyDiv w:val="1"/>
      <w:marLeft w:val="0"/>
      <w:marRight w:val="0"/>
      <w:marTop w:val="0"/>
      <w:marBottom w:val="0"/>
      <w:divBdr>
        <w:top w:val="none" w:sz="0" w:space="0" w:color="auto"/>
        <w:left w:val="none" w:sz="0" w:space="0" w:color="auto"/>
        <w:bottom w:val="none" w:sz="0" w:space="0" w:color="auto"/>
        <w:right w:val="none" w:sz="0" w:space="0" w:color="auto"/>
      </w:divBdr>
    </w:div>
    <w:div w:id="1072315884">
      <w:bodyDiv w:val="1"/>
      <w:marLeft w:val="0"/>
      <w:marRight w:val="0"/>
      <w:marTop w:val="0"/>
      <w:marBottom w:val="0"/>
      <w:divBdr>
        <w:top w:val="none" w:sz="0" w:space="0" w:color="auto"/>
        <w:left w:val="none" w:sz="0" w:space="0" w:color="auto"/>
        <w:bottom w:val="none" w:sz="0" w:space="0" w:color="auto"/>
        <w:right w:val="none" w:sz="0" w:space="0" w:color="auto"/>
      </w:divBdr>
    </w:div>
    <w:div w:id="1072462022">
      <w:bodyDiv w:val="1"/>
      <w:marLeft w:val="0"/>
      <w:marRight w:val="0"/>
      <w:marTop w:val="0"/>
      <w:marBottom w:val="0"/>
      <w:divBdr>
        <w:top w:val="none" w:sz="0" w:space="0" w:color="auto"/>
        <w:left w:val="none" w:sz="0" w:space="0" w:color="auto"/>
        <w:bottom w:val="none" w:sz="0" w:space="0" w:color="auto"/>
        <w:right w:val="none" w:sz="0" w:space="0" w:color="auto"/>
      </w:divBdr>
      <w:divsChild>
        <w:div w:id="561915885">
          <w:marLeft w:val="0"/>
          <w:marRight w:val="0"/>
          <w:marTop w:val="0"/>
          <w:marBottom w:val="0"/>
          <w:divBdr>
            <w:top w:val="none" w:sz="0" w:space="0" w:color="auto"/>
            <w:left w:val="none" w:sz="0" w:space="0" w:color="auto"/>
            <w:bottom w:val="none" w:sz="0" w:space="0" w:color="auto"/>
            <w:right w:val="none" w:sz="0" w:space="0" w:color="auto"/>
          </w:divBdr>
        </w:div>
        <w:div w:id="1266616269">
          <w:marLeft w:val="0"/>
          <w:marRight w:val="0"/>
          <w:marTop w:val="0"/>
          <w:marBottom w:val="0"/>
          <w:divBdr>
            <w:top w:val="none" w:sz="0" w:space="0" w:color="auto"/>
            <w:left w:val="none" w:sz="0" w:space="0" w:color="auto"/>
            <w:bottom w:val="none" w:sz="0" w:space="0" w:color="auto"/>
            <w:right w:val="none" w:sz="0" w:space="0" w:color="auto"/>
          </w:divBdr>
        </w:div>
      </w:divsChild>
    </w:div>
    <w:div w:id="1072699235">
      <w:bodyDiv w:val="1"/>
      <w:marLeft w:val="0"/>
      <w:marRight w:val="0"/>
      <w:marTop w:val="0"/>
      <w:marBottom w:val="0"/>
      <w:divBdr>
        <w:top w:val="none" w:sz="0" w:space="0" w:color="auto"/>
        <w:left w:val="none" w:sz="0" w:space="0" w:color="auto"/>
        <w:bottom w:val="none" w:sz="0" w:space="0" w:color="auto"/>
        <w:right w:val="none" w:sz="0" w:space="0" w:color="auto"/>
      </w:divBdr>
    </w:div>
    <w:div w:id="1072773154">
      <w:bodyDiv w:val="1"/>
      <w:marLeft w:val="0"/>
      <w:marRight w:val="0"/>
      <w:marTop w:val="0"/>
      <w:marBottom w:val="0"/>
      <w:divBdr>
        <w:top w:val="none" w:sz="0" w:space="0" w:color="auto"/>
        <w:left w:val="none" w:sz="0" w:space="0" w:color="auto"/>
        <w:bottom w:val="none" w:sz="0" w:space="0" w:color="auto"/>
        <w:right w:val="none" w:sz="0" w:space="0" w:color="auto"/>
      </w:divBdr>
    </w:div>
    <w:div w:id="1072774895">
      <w:bodyDiv w:val="1"/>
      <w:marLeft w:val="0"/>
      <w:marRight w:val="0"/>
      <w:marTop w:val="0"/>
      <w:marBottom w:val="0"/>
      <w:divBdr>
        <w:top w:val="none" w:sz="0" w:space="0" w:color="auto"/>
        <w:left w:val="none" w:sz="0" w:space="0" w:color="auto"/>
        <w:bottom w:val="none" w:sz="0" w:space="0" w:color="auto"/>
        <w:right w:val="none" w:sz="0" w:space="0" w:color="auto"/>
      </w:divBdr>
    </w:div>
    <w:div w:id="1072852864">
      <w:bodyDiv w:val="1"/>
      <w:marLeft w:val="0"/>
      <w:marRight w:val="0"/>
      <w:marTop w:val="0"/>
      <w:marBottom w:val="0"/>
      <w:divBdr>
        <w:top w:val="none" w:sz="0" w:space="0" w:color="auto"/>
        <w:left w:val="none" w:sz="0" w:space="0" w:color="auto"/>
        <w:bottom w:val="none" w:sz="0" w:space="0" w:color="auto"/>
        <w:right w:val="none" w:sz="0" w:space="0" w:color="auto"/>
      </w:divBdr>
    </w:div>
    <w:div w:id="1073116278">
      <w:bodyDiv w:val="1"/>
      <w:marLeft w:val="0"/>
      <w:marRight w:val="0"/>
      <w:marTop w:val="0"/>
      <w:marBottom w:val="0"/>
      <w:divBdr>
        <w:top w:val="none" w:sz="0" w:space="0" w:color="auto"/>
        <w:left w:val="none" w:sz="0" w:space="0" w:color="auto"/>
        <w:bottom w:val="none" w:sz="0" w:space="0" w:color="auto"/>
        <w:right w:val="none" w:sz="0" w:space="0" w:color="auto"/>
      </w:divBdr>
    </w:div>
    <w:div w:id="1073117887">
      <w:bodyDiv w:val="1"/>
      <w:marLeft w:val="0"/>
      <w:marRight w:val="0"/>
      <w:marTop w:val="0"/>
      <w:marBottom w:val="0"/>
      <w:divBdr>
        <w:top w:val="none" w:sz="0" w:space="0" w:color="auto"/>
        <w:left w:val="none" w:sz="0" w:space="0" w:color="auto"/>
        <w:bottom w:val="none" w:sz="0" w:space="0" w:color="auto"/>
        <w:right w:val="none" w:sz="0" w:space="0" w:color="auto"/>
      </w:divBdr>
    </w:div>
    <w:div w:id="1073240929">
      <w:bodyDiv w:val="1"/>
      <w:marLeft w:val="0"/>
      <w:marRight w:val="0"/>
      <w:marTop w:val="0"/>
      <w:marBottom w:val="0"/>
      <w:divBdr>
        <w:top w:val="none" w:sz="0" w:space="0" w:color="auto"/>
        <w:left w:val="none" w:sz="0" w:space="0" w:color="auto"/>
        <w:bottom w:val="none" w:sz="0" w:space="0" w:color="auto"/>
        <w:right w:val="none" w:sz="0" w:space="0" w:color="auto"/>
      </w:divBdr>
    </w:div>
    <w:div w:id="1073772712">
      <w:bodyDiv w:val="1"/>
      <w:marLeft w:val="0"/>
      <w:marRight w:val="0"/>
      <w:marTop w:val="0"/>
      <w:marBottom w:val="0"/>
      <w:divBdr>
        <w:top w:val="none" w:sz="0" w:space="0" w:color="auto"/>
        <w:left w:val="none" w:sz="0" w:space="0" w:color="auto"/>
        <w:bottom w:val="none" w:sz="0" w:space="0" w:color="auto"/>
        <w:right w:val="none" w:sz="0" w:space="0" w:color="auto"/>
      </w:divBdr>
    </w:div>
    <w:div w:id="1073814092">
      <w:bodyDiv w:val="1"/>
      <w:marLeft w:val="0"/>
      <w:marRight w:val="0"/>
      <w:marTop w:val="0"/>
      <w:marBottom w:val="0"/>
      <w:divBdr>
        <w:top w:val="none" w:sz="0" w:space="0" w:color="auto"/>
        <w:left w:val="none" w:sz="0" w:space="0" w:color="auto"/>
        <w:bottom w:val="none" w:sz="0" w:space="0" w:color="auto"/>
        <w:right w:val="none" w:sz="0" w:space="0" w:color="auto"/>
      </w:divBdr>
    </w:div>
    <w:div w:id="1073815966">
      <w:bodyDiv w:val="1"/>
      <w:marLeft w:val="0"/>
      <w:marRight w:val="0"/>
      <w:marTop w:val="0"/>
      <w:marBottom w:val="0"/>
      <w:divBdr>
        <w:top w:val="none" w:sz="0" w:space="0" w:color="auto"/>
        <w:left w:val="none" w:sz="0" w:space="0" w:color="auto"/>
        <w:bottom w:val="none" w:sz="0" w:space="0" w:color="auto"/>
        <w:right w:val="none" w:sz="0" w:space="0" w:color="auto"/>
      </w:divBdr>
    </w:div>
    <w:div w:id="1073891125">
      <w:bodyDiv w:val="1"/>
      <w:marLeft w:val="0"/>
      <w:marRight w:val="0"/>
      <w:marTop w:val="0"/>
      <w:marBottom w:val="0"/>
      <w:divBdr>
        <w:top w:val="none" w:sz="0" w:space="0" w:color="auto"/>
        <w:left w:val="none" w:sz="0" w:space="0" w:color="auto"/>
        <w:bottom w:val="none" w:sz="0" w:space="0" w:color="auto"/>
        <w:right w:val="none" w:sz="0" w:space="0" w:color="auto"/>
      </w:divBdr>
    </w:div>
    <w:div w:id="1074201479">
      <w:bodyDiv w:val="1"/>
      <w:marLeft w:val="0"/>
      <w:marRight w:val="0"/>
      <w:marTop w:val="0"/>
      <w:marBottom w:val="0"/>
      <w:divBdr>
        <w:top w:val="none" w:sz="0" w:space="0" w:color="auto"/>
        <w:left w:val="none" w:sz="0" w:space="0" w:color="auto"/>
        <w:bottom w:val="none" w:sz="0" w:space="0" w:color="auto"/>
        <w:right w:val="none" w:sz="0" w:space="0" w:color="auto"/>
      </w:divBdr>
    </w:div>
    <w:div w:id="1074552713">
      <w:bodyDiv w:val="1"/>
      <w:marLeft w:val="0"/>
      <w:marRight w:val="0"/>
      <w:marTop w:val="0"/>
      <w:marBottom w:val="0"/>
      <w:divBdr>
        <w:top w:val="none" w:sz="0" w:space="0" w:color="auto"/>
        <w:left w:val="none" w:sz="0" w:space="0" w:color="auto"/>
        <w:bottom w:val="none" w:sz="0" w:space="0" w:color="auto"/>
        <w:right w:val="none" w:sz="0" w:space="0" w:color="auto"/>
      </w:divBdr>
    </w:div>
    <w:div w:id="1074861969">
      <w:bodyDiv w:val="1"/>
      <w:marLeft w:val="0"/>
      <w:marRight w:val="0"/>
      <w:marTop w:val="0"/>
      <w:marBottom w:val="0"/>
      <w:divBdr>
        <w:top w:val="none" w:sz="0" w:space="0" w:color="auto"/>
        <w:left w:val="none" w:sz="0" w:space="0" w:color="auto"/>
        <w:bottom w:val="none" w:sz="0" w:space="0" w:color="auto"/>
        <w:right w:val="none" w:sz="0" w:space="0" w:color="auto"/>
      </w:divBdr>
    </w:div>
    <w:div w:id="1075130072">
      <w:bodyDiv w:val="1"/>
      <w:marLeft w:val="0"/>
      <w:marRight w:val="0"/>
      <w:marTop w:val="0"/>
      <w:marBottom w:val="0"/>
      <w:divBdr>
        <w:top w:val="none" w:sz="0" w:space="0" w:color="auto"/>
        <w:left w:val="none" w:sz="0" w:space="0" w:color="auto"/>
        <w:bottom w:val="none" w:sz="0" w:space="0" w:color="auto"/>
        <w:right w:val="none" w:sz="0" w:space="0" w:color="auto"/>
      </w:divBdr>
    </w:div>
    <w:div w:id="1075318227">
      <w:bodyDiv w:val="1"/>
      <w:marLeft w:val="0"/>
      <w:marRight w:val="0"/>
      <w:marTop w:val="0"/>
      <w:marBottom w:val="0"/>
      <w:divBdr>
        <w:top w:val="none" w:sz="0" w:space="0" w:color="auto"/>
        <w:left w:val="none" w:sz="0" w:space="0" w:color="auto"/>
        <w:bottom w:val="none" w:sz="0" w:space="0" w:color="auto"/>
        <w:right w:val="none" w:sz="0" w:space="0" w:color="auto"/>
      </w:divBdr>
    </w:div>
    <w:div w:id="1075859017">
      <w:bodyDiv w:val="1"/>
      <w:marLeft w:val="0"/>
      <w:marRight w:val="0"/>
      <w:marTop w:val="0"/>
      <w:marBottom w:val="0"/>
      <w:divBdr>
        <w:top w:val="none" w:sz="0" w:space="0" w:color="auto"/>
        <w:left w:val="none" w:sz="0" w:space="0" w:color="auto"/>
        <w:bottom w:val="none" w:sz="0" w:space="0" w:color="auto"/>
        <w:right w:val="none" w:sz="0" w:space="0" w:color="auto"/>
      </w:divBdr>
    </w:div>
    <w:div w:id="1076318819">
      <w:bodyDiv w:val="1"/>
      <w:marLeft w:val="0"/>
      <w:marRight w:val="0"/>
      <w:marTop w:val="0"/>
      <w:marBottom w:val="0"/>
      <w:divBdr>
        <w:top w:val="none" w:sz="0" w:space="0" w:color="auto"/>
        <w:left w:val="none" w:sz="0" w:space="0" w:color="auto"/>
        <w:bottom w:val="none" w:sz="0" w:space="0" w:color="auto"/>
        <w:right w:val="none" w:sz="0" w:space="0" w:color="auto"/>
      </w:divBdr>
    </w:div>
    <w:div w:id="1076321773">
      <w:bodyDiv w:val="1"/>
      <w:marLeft w:val="0"/>
      <w:marRight w:val="0"/>
      <w:marTop w:val="0"/>
      <w:marBottom w:val="0"/>
      <w:divBdr>
        <w:top w:val="none" w:sz="0" w:space="0" w:color="auto"/>
        <w:left w:val="none" w:sz="0" w:space="0" w:color="auto"/>
        <w:bottom w:val="none" w:sz="0" w:space="0" w:color="auto"/>
        <w:right w:val="none" w:sz="0" w:space="0" w:color="auto"/>
      </w:divBdr>
    </w:div>
    <w:div w:id="1076441337">
      <w:bodyDiv w:val="1"/>
      <w:marLeft w:val="0"/>
      <w:marRight w:val="0"/>
      <w:marTop w:val="0"/>
      <w:marBottom w:val="0"/>
      <w:divBdr>
        <w:top w:val="none" w:sz="0" w:space="0" w:color="auto"/>
        <w:left w:val="none" w:sz="0" w:space="0" w:color="auto"/>
        <w:bottom w:val="none" w:sz="0" w:space="0" w:color="auto"/>
        <w:right w:val="none" w:sz="0" w:space="0" w:color="auto"/>
      </w:divBdr>
    </w:div>
    <w:div w:id="1077288643">
      <w:bodyDiv w:val="1"/>
      <w:marLeft w:val="0"/>
      <w:marRight w:val="0"/>
      <w:marTop w:val="0"/>
      <w:marBottom w:val="0"/>
      <w:divBdr>
        <w:top w:val="none" w:sz="0" w:space="0" w:color="auto"/>
        <w:left w:val="none" w:sz="0" w:space="0" w:color="auto"/>
        <w:bottom w:val="none" w:sz="0" w:space="0" w:color="auto"/>
        <w:right w:val="none" w:sz="0" w:space="0" w:color="auto"/>
      </w:divBdr>
    </w:div>
    <w:div w:id="1077900806">
      <w:bodyDiv w:val="1"/>
      <w:marLeft w:val="0"/>
      <w:marRight w:val="0"/>
      <w:marTop w:val="0"/>
      <w:marBottom w:val="0"/>
      <w:divBdr>
        <w:top w:val="none" w:sz="0" w:space="0" w:color="auto"/>
        <w:left w:val="none" w:sz="0" w:space="0" w:color="auto"/>
        <w:bottom w:val="none" w:sz="0" w:space="0" w:color="auto"/>
        <w:right w:val="none" w:sz="0" w:space="0" w:color="auto"/>
      </w:divBdr>
    </w:div>
    <w:div w:id="1077943208">
      <w:bodyDiv w:val="1"/>
      <w:marLeft w:val="0"/>
      <w:marRight w:val="0"/>
      <w:marTop w:val="0"/>
      <w:marBottom w:val="0"/>
      <w:divBdr>
        <w:top w:val="none" w:sz="0" w:space="0" w:color="auto"/>
        <w:left w:val="none" w:sz="0" w:space="0" w:color="auto"/>
        <w:bottom w:val="none" w:sz="0" w:space="0" w:color="auto"/>
        <w:right w:val="none" w:sz="0" w:space="0" w:color="auto"/>
      </w:divBdr>
    </w:div>
    <w:div w:id="1078092596">
      <w:bodyDiv w:val="1"/>
      <w:marLeft w:val="0"/>
      <w:marRight w:val="0"/>
      <w:marTop w:val="0"/>
      <w:marBottom w:val="0"/>
      <w:divBdr>
        <w:top w:val="none" w:sz="0" w:space="0" w:color="auto"/>
        <w:left w:val="none" w:sz="0" w:space="0" w:color="auto"/>
        <w:bottom w:val="none" w:sz="0" w:space="0" w:color="auto"/>
        <w:right w:val="none" w:sz="0" w:space="0" w:color="auto"/>
      </w:divBdr>
    </w:div>
    <w:div w:id="1078550782">
      <w:bodyDiv w:val="1"/>
      <w:marLeft w:val="0"/>
      <w:marRight w:val="0"/>
      <w:marTop w:val="0"/>
      <w:marBottom w:val="0"/>
      <w:divBdr>
        <w:top w:val="none" w:sz="0" w:space="0" w:color="auto"/>
        <w:left w:val="none" w:sz="0" w:space="0" w:color="auto"/>
        <w:bottom w:val="none" w:sz="0" w:space="0" w:color="auto"/>
        <w:right w:val="none" w:sz="0" w:space="0" w:color="auto"/>
      </w:divBdr>
    </w:div>
    <w:div w:id="1078598913">
      <w:bodyDiv w:val="1"/>
      <w:marLeft w:val="0"/>
      <w:marRight w:val="0"/>
      <w:marTop w:val="0"/>
      <w:marBottom w:val="0"/>
      <w:divBdr>
        <w:top w:val="none" w:sz="0" w:space="0" w:color="auto"/>
        <w:left w:val="none" w:sz="0" w:space="0" w:color="auto"/>
        <w:bottom w:val="none" w:sz="0" w:space="0" w:color="auto"/>
        <w:right w:val="none" w:sz="0" w:space="0" w:color="auto"/>
      </w:divBdr>
    </w:div>
    <w:div w:id="1078676341">
      <w:bodyDiv w:val="1"/>
      <w:marLeft w:val="0"/>
      <w:marRight w:val="0"/>
      <w:marTop w:val="0"/>
      <w:marBottom w:val="0"/>
      <w:divBdr>
        <w:top w:val="none" w:sz="0" w:space="0" w:color="auto"/>
        <w:left w:val="none" w:sz="0" w:space="0" w:color="auto"/>
        <w:bottom w:val="none" w:sz="0" w:space="0" w:color="auto"/>
        <w:right w:val="none" w:sz="0" w:space="0" w:color="auto"/>
      </w:divBdr>
    </w:div>
    <w:div w:id="1078789471">
      <w:bodyDiv w:val="1"/>
      <w:marLeft w:val="0"/>
      <w:marRight w:val="0"/>
      <w:marTop w:val="0"/>
      <w:marBottom w:val="0"/>
      <w:divBdr>
        <w:top w:val="none" w:sz="0" w:space="0" w:color="auto"/>
        <w:left w:val="none" w:sz="0" w:space="0" w:color="auto"/>
        <w:bottom w:val="none" w:sz="0" w:space="0" w:color="auto"/>
        <w:right w:val="none" w:sz="0" w:space="0" w:color="auto"/>
      </w:divBdr>
    </w:div>
    <w:div w:id="1078794629">
      <w:bodyDiv w:val="1"/>
      <w:marLeft w:val="0"/>
      <w:marRight w:val="0"/>
      <w:marTop w:val="0"/>
      <w:marBottom w:val="0"/>
      <w:divBdr>
        <w:top w:val="none" w:sz="0" w:space="0" w:color="auto"/>
        <w:left w:val="none" w:sz="0" w:space="0" w:color="auto"/>
        <w:bottom w:val="none" w:sz="0" w:space="0" w:color="auto"/>
        <w:right w:val="none" w:sz="0" w:space="0" w:color="auto"/>
      </w:divBdr>
    </w:div>
    <w:div w:id="1079015890">
      <w:bodyDiv w:val="1"/>
      <w:marLeft w:val="0"/>
      <w:marRight w:val="0"/>
      <w:marTop w:val="0"/>
      <w:marBottom w:val="0"/>
      <w:divBdr>
        <w:top w:val="none" w:sz="0" w:space="0" w:color="auto"/>
        <w:left w:val="none" w:sz="0" w:space="0" w:color="auto"/>
        <w:bottom w:val="none" w:sz="0" w:space="0" w:color="auto"/>
        <w:right w:val="none" w:sz="0" w:space="0" w:color="auto"/>
      </w:divBdr>
    </w:div>
    <w:div w:id="1079398834">
      <w:bodyDiv w:val="1"/>
      <w:marLeft w:val="0"/>
      <w:marRight w:val="0"/>
      <w:marTop w:val="0"/>
      <w:marBottom w:val="0"/>
      <w:divBdr>
        <w:top w:val="none" w:sz="0" w:space="0" w:color="auto"/>
        <w:left w:val="none" w:sz="0" w:space="0" w:color="auto"/>
        <w:bottom w:val="none" w:sz="0" w:space="0" w:color="auto"/>
        <w:right w:val="none" w:sz="0" w:space="0" w:color="auto"/>
      </w:divBdr>
    </w:div>
    <w:div w:id="1079407956">
      <w:bodyDiv w:val="1"/>
      <w:marLeft w:val="0"/>
      <w:marRight w:val="0"/>
      <w:marTop w:val="0"/>
      <w:marBottom w:val="0"/>
      <w:divBdr>
        <w:top w:val="none" w:sz="0" w:space="0" w:color="auto"/>
        <w:left w:val="none" w:sz="0" w:space="0" w:color="auto"/>
        <w:bottom w:val="none" w:sz="0" w:space="0" w:color="auto"/>
        <w:right w:val="none" w:sz="0" w:space="0" w:color="auto"/>
      </w:divBdr>
    </w:div>
    <w:div w:id="1079450978">
      <w:bodyDiv w:val="1"/>
      <w:marLeft w:val="0"/>
      <w:marRight w:val="0"/>
      <w:marTop w:val="0"/>
      <w:marBottom w:val="0"/>
      <w:divBdr>
        <w:top w:val="none" w:sz="0" w:space="0" w:color="auto"/>
        <w:left w:val="none" w:sz="0" w:space="0" w:color="auto"/>
        <w:bottom w:val="none" w:sz="0" w:space="0" w:color="auto"/>
        <w:right w:val="none" w:sz="0" w:space="0" w:color="auto"/>
      </w:divBdr>
    </w:div>
    <w:div w:id="1079868375">
      <w:bodyDiv w:val="1"/>
      <w:marLeft w:val="0"/>
      <w:marRight w:val="0"/>
      <w:marTop w:val="0"/>
      <w:marBottom w:val="0"/>
      <w:divBdr>
        <w:top w:val="none" w:sz="0" w:space="0" w:color="auto"/>
        <w:left w:val="none" w:sz="0" w:space="0" w:color="auto"/>
        <w:bottom w:val="none" w:sz="0" w:space="0" w:color="auto"/>
        <w:right w:val="none" w:sz="0" w:space="0" w:color="auto"/>
      </w:divBdr>
    </w:div>
    <w:div w:id="1079906445">
      <w:bodyDiv w:val="1"/>
      <w:marLeft w:val="0"/>
      <w:marRight w:val="0"/>
      <w:marTop w:val="0"/>
      <w:marBottom w:val="0"/>
      <w:divBdr>
        <w:top w:val="none" w:sz="0" w:space="0" w:color="auto"/>
        <w:left w:val="none" w:sz="0" w:space="0" w:color="auto"/>
        <w:bottom w:val="none" w:sz="0" w:space="0" w:color="auto"/>
        <w:right w:val="none" w:sz="0" w:space="0" w:color="auto"/>
      </w:divBdr>
    </w:div>
    <w:div w:id="1079911448">
      <w:bodyDiv w:val="1"/>
      <w:marLeft w:val="0"/>
      <w:marRight w:val="0"/>
      <w:marTop w:val="0"/>
      <w:marBottom w:val="0"/>
      <w:divBdr>
        <w:top w:val="none" w:sz="0" w:space="0" w:color="auto"/>
        <w:left w:val="none" w:sz="0" w:space="0" w:color="auto"/>
        <w:bottom w:val="none" w:sz="0" w:space="0" w:color="auto"/>
        <w:right w:val="none" w:sz="0" w:space="0" w:color="auto"/>
      </w:divBdr>
    </w:div>
    <w:div w:id="1080560895">
      <w:bodyDiv w:val="1"/>
      <w:marLeft w:val="0"/>
      <w:marRight w:val="0"/>
      <w:marTop w:val="0"/>
      <w:marBottom w:val="0"/>
      <w:divBdr>
        <w:top w:val="none" w:sz="0" w:space="0" w:color="auto"/>
        <w:left w:val="none" w:sz="0" w:space="0" w:color="auto"/>
        <w:bottom w:val="none" w:sz="0" w:space="0" w:color="auto"/>
        <w:right w:val="none" w:sz="0" w:space="0" w:color="auto"/>
      </w:divBdr>
    </w:div>
    <w:div w:id="1080636853">
      <w:bodyDiv w:val="1"/>
      <w:marLeft w:val="0"/>
      <w:marRight w:val="0"/>
      <w:marTop w:val="0"/>
      <w:marBottom w:val="0"/>
      <w:divBdr>
        <w:top w:val="none" w:sz="0" w:space="0" w:color="auto"/>
        <w:left w:val="none" w:sz="0" w:space="0" w:color="auto"/>
        <w:bottom w:val="none" w:sz="0" w:space="0" w:color="auto"/>
        <w:right w:val="none" w:sz="0" w:space="0" w:color="auto"/>
      </w:divBdr>
    </w:div>
    <w:div w:id="1081482644">
      <w:bodyDiv w:val="1"/>
      <w:marLeft w:val="0"/>
      <w:marRight w:val="0"/>
      <w:marTop w:val="0"/>
      <w:marBottom w:val="0"/>
      <w:divBdr>
        <w:top w:val="none" w:sz="0" w:space="0" w:color="auto"/>
        <w:left w:val="none" w:sz="0" w:space="0" w:color="auto"/>
        <w:bottom w:val="none" w:sz="0" w:space="0" w:color="auto"/>
        <w:right w:val="none" w:sz="0" w:space="0" w:color="auto"/>
      </w:divBdr>
    </w:div>
    <w:div w:id="1081684600">
      <w:bodyDiv w:val="1"/>
      <w:marLeft w:val="0"/>
      <w:marRight w:val="0"/>
      <w:marTop w:val="0"/>
      <w:marBottom w:val="0"/>
      <w:divBdr>
        <w:top w:val="none" w:sz="0" w:space="0" w:color="auto"/>
        <w:left w:val="none" w:sz="0" w:space="0" w:color="auto"/>
        <w:bottom w:val="none" w:sz="0" w:space="0" w:color="auto"/>
        <w:right w:val="none" w:sz="0" w:space="0" w:color="auto"/>
      </w:divBdr>
    </w:div>
    <w:div w:id="1081870497">
      <w:bodyDiv w:val="1"/>
      <w:marLeft w:val="0"/>
      <w:marRight w:val="0"/>
      <w:marTop w:val="0"/>
      <w:marBottom w:val="0"/>
      <w:divBdr>
        <w:top w:val="none" w:sz="0" w:space="0" w:color="auto"/>
        <w:left w:val="none" w:sz="0" w:space="0" w:color="auto"/>
        <w:bottom w:val="none" w:sz="0" w:space="0" w:color="auto"/>
        <w:right w:val="none" w:sz="0" w:space="0" w:color="auto"/>
      </w:divBdr>
    </w:div>
    <w:div w:id="1082144467">
      <w:bodyDiv w:val="1"/>
      <w:marLeft w:val="0"/>
      <w:marRight w:val="0"/>
      <w:marTop w:val="0"/>
      <w:marBottom w:val="0"/>
      <w:divBdr>
        <w:top w:val="none" w:sz="0" w:space="0" w:color="auto"/>
        <w:left w:val="none" w:sz="0" w:space="0" w:color="auto"/>
        <w:bottom w:val="none" w:sz="0" w:space="0" w:color="auto"/>
        <w:right w:val="none" w:sz="0" w:space="0" w:color="auto"/>
      </w:divBdr>
    </w:div>
    <w:div w:id="1082221173">
      <w:bodyDiv w:val="1"/>
      <w:marLeft w:val="0"/>
      <w:marRight w:val="0"/>
      <w:marTop w:val="0"/>
      <w:marBottom w:val="0"/>
      <w:divBdr>
        <w:top w:val="none" w:sz="0" w:space="0" w:color="auto"/>
        <w:left w:val="none" w:sz="0" w:space="0" w:color="auto"/>
        <w:bottom w:val="none" w:sz="0" w:space="0" w:color="auto"/>
        <w:right w:val="none" w:sz="0" w:space="0" w:color="auto"/>
      </w:divBdr>
    </w:div>
    <w:div w:id="1082408758">
      <w:bodyDiv w:val="1"/>
      <w:marLeft w:val="0"/>
      <w:marRight w:val="0"/>
      <w:marTop w:val="0"/>
      <w:marBottom w:val="0"/>
      <w:divBdr>
        <w:top w:val="none" w:sz="0" w:space="0" w:color="auto"/>
        <w:left w:val="none" w:sz="0" w:space="0" w:color="auto"/>
        <w:bottom w:val="none" w:sz="0" w:space="0" w:color="auto"/>
        <w:right w:val="none" w:sz="0" w:space="0" w:color="auto"/>
      </w:divBdr>
    </w:div>
    <w:div w:id="1082413261">
      <w:bodyDiv w:val="1"/>
      <w:marLeft w:val="0"/>
      <w:marRight w:val="0"/>
      <w:marTop w:val="0"/>
      <w:marBottom w:val="0"/>
      <w:divBdr>
        <w:top w:val="none" w:sz="0" w:space="0" w:color="auto"/>
        <w:left w:val="none" w:sz="0" w:space="0" w:color="auto"/>
        <w:bottom w:val="none" w:sz="0" w:space="0" w:color="auto"/>
        <w:right w:val="none" w:sz="0" w:space="0" w:color="auto"/>
      </w:divBdr>
    </w:div>
    <w:div w:id="1082602435">
      <w:bodyDiv w:val="1"/>
      <w:marLeft w:val="0"/>
      <w:marRight w:val="0"/>
      <w:marTop w:val="0"/>
      <w:marBottom w:val="0"/>
      <w:divBdr>
        <w:top w:val="none" w:sz="0" w:space="0" w:color="auto"/>
        <w:left w:val="none" w:sz="0" w:space="0" w:color="auto"/>
        <w:bottom w:val="none" w:sz="0" w:space="0" w:color="auto"/>
        <w:right w:val="none" w:sz="0" w:space="0" w:color="auto"/>
      </w:divBdr>
    </w:div>
    <w:div w:id="1082799696">
      <w:bodyDiv w:val="1"/>
      <w:marLeft w:val="0"/>
      <w:marRight w:val="0"/>
      <w:marTop w:val="0"/>
      <w:marBottom w:val="0"/>
      <w:divBdr>
        <w:top w:val="none" w:sz="0" w:space="0" w:color="auto"/>
        <w:left w:val="none" w:sz="0" w:space="0" w:color="auto"/>
        <w:bottom w:val="none" w:sz="0" w:space="0" w:color="auto"/>
        <w:right w:val="none" w:sz="0" w:space="0" w:color="auto"/>
      </w:divBdr>
    </w:div>
    <w:div w:id="1082949014">
      <w:bodyDiv w:val="1"/>
      <w:marLeft w:val="0"/>
      <w:marRight w:val="0"/>
      <w:marTop w:val="0"/>
      <w:marBottom w:val="0"/>
      <w:divBdr>
        <w:top w:val="none" w:sz="0" w:space="0" w:color="auto"/>
        <w:left w:val="none" w:sz="0" w:space="0" w:color="auto"/>
        <w:bottom w:val="none" w:sz="0" w:space="0" w:color="auto"/>
        <w:right w:val="none" w:sz="0" w:space="0" w:color="auto"/>
      </w:divBdr>
    </w:div>
    <w:div w:id="1083071160">
      <w:bodyDiv w:val="1"/>
      <w:marLeft w:val="0"/>
      <w:marRight w:val="0"/>
      <w:marTop w:val="0"/>
      <w:marBottom w:val="0"/>
      <w:divBdr>
        <w:top w:val="none" w:sz="0" w:space="0" w:color="auto"/>
        <w:left w:val="none" w:sz="0" w:space="0" w:color="auto"/>
        <w:bottom w:val="none" w:sz="0" w:space="0" w:color="auto"/>
        <w:right w:val="none" w:sz="0" w:space="0" w:color="auto"/>
      </w:divBdr>
    </w:div>
    <w:div w:id="1083843419">
      <w:bodyDiv w:val="1"/>
      <w:marLeft w:val="0"/>
      <w:marRight w:val="0"/>
      <w:marTop w:val="0"/>
      <w:marBottom w:val="0"/>
      <w:divBdr>
        <w:top w:val="none" w:sz="0" w:space="0" w:color="auto"/>
        <w:left w:val="none" w:sz="0" w:space="0" w:color="auto"/>
        <w:bottom w:val="none" w:sz="0" w:space="0" w:color="auto"/>
        <w:right w:val="none" w:sz="0" w:space="0" w:color="auto"/>
      </w:divBdr>
    </w:div>
    <w:div w:id="1084497326">
      <w:bodyDiv w:val="1"/>
      <w:marLeft w:val="0"/>
      <w:marRight w:val="0"/>
      <w:marTop w:val="0"/>
      <w:marBottom w:val="0"/>
      <w:divBdr>
        <w:top w:val="none" w:sz="0" w:space="0" w:color="auto"/>
        <w:left w:val="none" w:sz="0" w:space="0" w:color="auto"/>
        <w:bottom w:val="none" w:sz="0" w:space="0" w:color="auto"/>
        <w:right w:val="none" w:sz="0" w:space="0" w:color="auto"/>
      </w:divBdr>
    </w:div>
    <w:div w:id="1084646929">
      <w:bodyDiv w:val="1"/>
      <w:marLeft w:val="0"/>
      <w:marRight w:val="0"/>
      <w:marTop w:val="0"/>
      <w:marBottom w:val="0"/>
      <w:divBdr>
        <w:top w:val="none" w:sz="0" w:space="0" w:color="auto"/>
        <w:left w:val="none" w:sz="0" w:space="0" w:color="auto"/>
        <w:bottom w:val="none" w:sz="0" w:space="0" w:color="auto"/>
        <w:right w:val="none" w:sz="0" w:space="0" w:color="auto"/>
      </w:divBdr>
    </w:div>
    <w:div w:id="1084766744">
      <w:bodyDiv w:val="1"/>
      <w:marLeft w:val="0"/>
      <w:marRight w:val="0"/>
      <w:marTop w:val="0"/>
      <w:marBottom w:val="0"/>
      <w:divBdr>
        <w:top w:val="none" w:sz="0" w:space="0" w:color="auto"/>
        <w:left w:val="none" w:sz="0" w:space="0" w:color="auto"/>
        <w:bottom w:val="none" w:sz="0" w:space="0" w:color="auto"/>
        <w:right w:val="none" w:sz="0" w:space="0" w:color="auto"/>
      </w:divBdr>
    </w:div>
    <w:div w:id="1085347585">
      <w:bodyDiv w:val="1"/>
      <w:marLeft w:val="0"/>
      <w:marRight w:val="0"/>
      <w:marTop w:val="0"/>
      <w:marBottom w:val="0"/>
      <w:divBdr>
        <w:top w:val="none" w:sz="0" w:space="0" w:color="auto"/>
        <w:left w:val="none" w:sz="0" w:space="0" w:color="auto"/>
        <w:bottom w:val="none" w:sz="0" w:space="0" w:color="auto"/>
        <w:right w:val="none" w:sz="0" w:space="0" w:color="auto"/>
      </w:divBdr>
    </w:div>
    <w:div w:id="1086146444">
      <w:bodyDiv w:val="1"/>
      <w:marLeft w:val="0"/>
      <w:marRight w:val="0"/>
      <w:marTop w:val="0"/>
      <w:marBottom w:val="0"/>
      <w:divBdr>
        <w:top w:val="none" w:sz="0" w:space="0" w:color="auto"/>
        <w:left w:val="none" w:sz="0" w:space="0" w:color="auto"/>
        <w:bottom w:val="none" w:sz="0" w:space="0" w:color="auto"/>
        <w:right w:val="none" w:sz="0" w:space="0" w:color="auto"/>
      </w:divBdr>
    </w:div>
    <w:div w:id="1086533617">
      <w:bodyDiv w:val="1"/>
      <w:marLeft w:val="0"/>
      <w:marRight w:val="0"/>
      <w:marTop w:val="0"/>
      <w:marBottom w:val="0"/>
      <w:divBdr>
        <w:top w:val="none" w:sz="0" w:space="0" w:color="auto"/>
        <w:left w:val="none" w:sz="0" w:space="0" w:color="auto"/>
        <w:bottom w:val="none" w:sz="0" w:space="0" w:color="auto"/>
        <w:right w:val="none" w:sz="0" w:space="0" w:color="auto"/>
      </w:divBdr>
    </w:div>
    <w:div w:id="1086608856">
      <w:bodyDiv w:val="1"/>
      <w:marLeft w:val="0"/>
      <w:marRight w:val="0"/>
      <w:marTop w:val="0"/>
      <w:marBottom w:val="0"/>
      <w:divBdr>
        <w:top w:val="none" w:sz="0" w:space="0" w:color="auto"/>
        <w:left w:val="none" w:sz="0" w:space="0" w:color="auto"/>
        <w:bottom w:val="none" w:sz="0" w:space="0" w:color="auto"/>
        <w:right w:val="none" w:sz="0" w:space="0" w:color="auto"/>
      </w:divBdr>
    </w:div>
    <w:div w:id="1086609768">
      <w:bodyDiv w:val="1"/>
      <w:marLeft w:val="0"/>
      <w:marRight w:val="0"/>
      <w:marTop w:val="0"/>
      <w:marBottom w:val="0"/>
      <w:divBdr>
        <w:top w:val="none" w:sz="0" w:space="0" w:color="auto"/>
        <w:left w:val="none" w:sz="0" w:space="0" w:color="auto"/>
        <w:bottom w:val="none" w:sz="0" w:space="0" w:color="auto"/>
        <w:right w:val="none" w:sz="0" w:space="0" w:color="auto"/>
      </w:divBdr>
    </w:div>
    <w:div w:id="1087111662">
      <w:bodyDiv w:val="1"/>
      <w:marLeft w:val="0"/>
      <w:marRight w:val="0"/>
      <w:marTop w:val="0"/>
      <w:marBottom w:val="0"/>
      <w:divBdr>
        <w:top w:val="none" w:sz="0" w:space="0" w:color="auto"/>
        <w:left w:val="none" w:sz="0" w:space="0" w:color="auto"/>
        <w:bottom w:val="none" w:sz="0" w:space="0" w:color="auto"/>
        <w:right w:val="none" w:sz="0" w:space="0" w:color="auto"/>
      </w:divBdr>
    </w:div>
    <w:div w:id="1087534547">
      <w:bodyDiv w:val="1"/>
      <w:marLeft w:val="0"/>
      <w:marRight w:val="0"/>
      <w:marTop w:val="0"/>
      <w:marBottom w:val="0"/>
      <w:divBdr>
        <w:top w:val="none" w:sz="0" w:space="0" w:color="auto"/>
        <w:left w:val="none" w:sz="0" w:space="0" w:color="auto"/>
        <w:bottom w:val="none" w:sz="0" w:space="0" w:color="auto"/>
        <w:right w:val="none" w:sz="0" w:space="0" w:color="auto"/>
      </w:divBdr>
    </w:div>
    <w:div w:id="1087843618">
      <w:bodyDiv w:val="1"/>
      <w:marLeft w:val="0"/>
      <w:marRight w:val="0"/>
      <w:marTop w:val="0"/>
      <w:marBottom w:val="0"/>
      <w:divBdr>
        <w:top w:val="none" w:sz="0" w:space="0" w:color="auto"/>
        <w:left w:val="none" w:sz="0" w:space="0" w:color="auto"/>
        <w:bottom w:val="none" w:sz="0" w:space="0" w:color="auto"/>
        <w:right w:val="none" w:sz="0" w:space="0" w:color="auto"/>
      </w:divBdr>
    </w:div>
    <w:div w:id="1087848209">
      <w:bodyDiv w:val="1"/>
      <w:marLeft w:val="0"/>
      <w:marRight w:val="0"/>
      <w:marTop w:val="0"/>
      <w:marBottom w:val="0"/>
      <w:divBdr>
        <w:top w:val="none" w:sz="0" w:space="0" w:color="auto"/>
        <w:left w:val="none" w:sz="0" w:space="0" w:color="auto"/>
        <w:bottom w:val="none" w:sz="0" w:space="0" w:color="auto"/>
        <w:right w:val="none" w:sz="0" w:space="0" w:color="auto"/>
      </w:divBdr>
    </w:div>
    <w:div w:id="1087995575">
      <w:bodyDiv w:val="1"/>
      <w:marLeft w:val="0"/>
      <w:marRight w:val="0"/>
      <w:marTop w:val="0"/>
      <w:marBottom w:val="0"/>
      <w:divBdr>
        <w:top w:val="none" w:sz="0" w:space="0" w:color="auto"/>
        <w:left w:val="none" w:sz="0" w:space="0" w:color="auto"/>
        <w:bottom w:val="none" w:sz="0" w:space="0" w:color="auto"/>
        <w:right w:val="none" w:sz="0" w:space="0" w:color="auto"/>
      </w:divBdr>
    </w:div>
    <w:div w:id="1088035256">
      <w:bodyDiv w:val="1"/>
      <w:marLeft w:val="0"/>
      <w:marRight w:val="0"/>
      <w:marTop w:val="0"/>
      <w:marBottom w:val="0"/>
      <w:divBdr>
        <w:top w:val="none" w:sz="0" w:space="0" w:color="auto"/>
        <w:left w:val="none" w:sz="0" w:space="0" w:color="auto"/>
        <w:bottom w:val="none" w:sz="0" w:space="0" w:color="auto"/>
        <w:right w:val="none" w:sz="0" w:space="0" w:color="auto"/>
      </w:divBdr>
    </w:div>
    <w:div w:id="1088041925">
      <w:bodyDiv w:val="1"/>
      <w:marLeft w:val="0"/>
      <w:marRight w:val="0"/>
      <w:marTop w:val="0"/>
      <w:marBottom w:val="0"/>
      <w:divBdr>
        <w:top w:val="none" w:sz="0" w:space="0" w:color="auto"/>
        <w:left w:val="none" w:sz="0" w:space="0" w:color="auto"/>
        <w:bottom w:val="none" w:sz="0" w:space="0" w:color="auto"/>
        <w:right w:val="none" w:sz="0" w:space="0" w:color="auto"/>
      </w:divBdr>
    </w:div>
    <w:div w:id="1088113423">
      <w:bodyDiv w:val="1"/>
      <w:marLeft w:val="0"/>
      <w:marRight w:val="0"/>
      <w:marTop w:val="0"/>
      <w:marBottom w:val="0"/>
      <w:divBdr>
        <w:top w:val="none" w:sz="0" w:space="0" w:color="auto"/>
        <w:left w:val="none" w:sz="0" w:space="0" w:color="auto"/>
        <w:bottom w:val="none" w:sz="0" w:space="0" w:color="auto"/>
        <w:right w:val="none" w:sz="0" w:space="0" w:color="auto"/>
      </w:divBdr>
    </w:div>
    <w:div w:id="1088189735">
      <w:bodyDiv w:val="1"/>
      <w:marLeft w:val="0"/>
      <w:marRight w:val="0"/>
      <w:marTop w:val="0"/>
      <w:marBottom w:val="0"/>
      <w:divBdr>
        <w:top w:val="none" w:sz="0" w:space="0" w:color="auto"/>
        <w:left w:val="none" w:sz="0" w:space="0" w:color="auto"/>
        <w:bottom w:val="none" w:sz="0" w:space="0" w:color="auto"/>
        <w:right w:val="none" w:sz="0" w:space="0" w:color="auto"/>
      </w:divBdr>
    </w:div>
    <w:div w:id="1088505914">
      <w:bodyDiv w:val="1"/>
      <w:marLeft w:val="0"/>
      <w:marRight w:val="0"/>
      <w:marTop w:val="0"/>
      <w:marBottom w:val="0"/>
      <w:divBdr>
        <w:top w:val="none" w:sz="0" w:space="0" w:color="auto"/>
        <w:left w:val="none" w:sz="0" w:space="0" w:color="auto"/>
        <w:bottom w:val="none" w:sz="0" w:space="0" w:color="auto"/>
        <w:right w:val="none" w:sz="0" w:space="0" w:color="auto"/>
      </w:divBdr>
    </w:div>
    <w:div w:id="1088623007">
      <w:bodyDiv w:val="1"/>
      <w:marLeft w:val="0"/>
      <w:marRight w:val="0"/>
      <w:marTop w:val="0"/>
      <w:marBottom w:val="0"/>
      <w:divBdr>
        <w:top w:val="none" w:sz="0" w:space="0" w:color="auto"/>
        <w:left w:val="none" w:sz="0" w:space="0" w:color="auto"/>
        <w:bottom w:val="none" w:sz="0" w:space="0" w:color="auto"/>
        <w:right w:val="none" w:sz="0" w:space="0" w:color="auto"/>
      </w:divBdr>
      <w:divsChild>
        <w:div w:id="193887642">
          <w:marLeft w:val="0"/>
          <w:marRight w:val="0"/>
          <w:marTop w:val="0"/>
          <w:marBottom w:val="0"/>
          <w:divBdr>
            <w:top w:val="none" w:sz="0" w:space="0" w:color="auto"/>
            <w:left w:val="none" w:sz="0" w:space="0" w:color="auto"/>
            <w:bottom w:val="none" w:sz="0" w:space="0" w:color="auto"/>
            <w:right w:val="none" w:sz="0" w:space="0" w:color="auto"/>
          </w:divBdr>
        </w:div>
        <w:div w:id="304047476">
          <w:marLeft w:val="0"/>
          <w:marRight w:val="0"/>
          <w:marTop w:val="0"/>
          <w:marBottom w:val="0"/>
          <w:divBdr>
            <w:top w:val="none" w:sz="0" w:space="0" w:color="auto"/>
            <w:left w:val="none" w:sz="0" w:space="0" w:color="auto"/>
            <w:bottom w:val="none" w:sz="0" w:space="0" w:color="auto"/>
            <w:right w:val="none" w:sz="0" w:space="0" w:color="auto"/>
          </w:divBdr>
        </w:div>
        <w:div w:id="1029065242">
          <w:marLeft w:val="0"/>
          <w:marRight w:val="0"/>
          <w:marTop w:val="0"/>
          <w:marBottom w:val="0"/>
          <w:divBdr>
            <w:top w:val="none" w:sz="0" w:space="0" w:color="auto"/>
            <w:left w:val="none" w:sz="0" w:space="0" w:color="auto"/>
            <w:bottom w:val="none" w:sz="0" w:space="0" w:color="auto"/>
            <w:right w:val="none" w:sz="0" w:space="0" w:color="auto"/>
          </w:divBdr>
        </w:div>
        <w:div w:id="1195969073">
          <w:marLeft w:val="0"/>
          <w:marRight w:val="0"/>
          <w:marTop w:val="0"/>
          <w:marBottom w:val="0"/>
          <w:divBdr>
            <w:top w:val="none" w:sz="0" w:space="0" w:color="auto"/>
            <w:left w:val="none" w:sz="0" w:space="0" w:color="auto"/>
            <w:bottom w:val="none" w:sz="0" w:space="0" w:color="auto"/>
            <w:right w:val="none" w:sz="0" w:space="0" w:color="auto"/>
          </w:divBdr>
        </w:div>
        <w:div w:id="1229681914">
          <w:marLeft w:val="0"/>
          <w:marRight w:val="0"/>
          <w:marTop w:val="0"/>
          <w:marBottom w:val="0"/>
          <w:divBdr>
            <w:top w:val="none" w:sz="0" w:space="0" w:color="auto"/>
            <w:left w:val="none" w:sz="0" w:space="0" w:color="auto"/>
            <w:bottom w:val="none" w:sz="0" w:space="0" w:color="auto"/>
            <w:right w:val="none" w:sz="0" w:space="0" w:color="auto"/>
          </w:divBdr>
        </w:div>
        <w:div w:id="1496611747">
          <w:marLeft w:val="0"/>
          <w:marRight w:val="0"/>
          <w:marTop w:val="0"/>
          <w:marBottom w:val="0"/>
          <w:divBdr>
            <w:top w:val="none" w:sz="0" w:space="0" w:color="auto"/>
            <w:left w:val="none" w:sz="0" w:space="0" w:color="auto"/>
            <w:bottom w:val="none" w:sz="0" w:space="0" w:color="auto"/>
            <w:right w:val="none" w:sz="0" w:space="0" w:color="auto"/>
          </w:divBdr>
        </w:div>
      </w:divsChild>
    </w:div>
    <w:div w:id="1088846998">
      <w:bodyDiv w:val="1"/>
      <w:marLeft w:val="0"/>
      <w:marRight w:val="0"/>
      <w:marTop w:val="0"/>
      <w:marBottom w:val="0"/>
      <w:divBdr>
        <w:top w:val="none" w:sz="0" w:space="0" w:color="auto"/>
        <w:left w:val="none" w:sz="0" w:space="0" w:color="auto"/>
        <w:bottom w:val="none" w:sz="0" w:space="0" w:color="auto"/>
        <w:right w:val="none" w:sz="0" w:space="0" w:color="auto"/>
      </w:divBdr>
    </w:div>
    <w:div w:id="1088888333">
      <w:bodyDiv w:val="1"/>
      <w:marLeft w:val="0"/>
      <w:marRight w:val="0"/>
      <w:marTop w:val="0"/>
      <w:marBottom w:val="0"/>
      <w:divBdr>
        <w:top w:val="none" w:sz="0" w:space="0" w:color="auto"/>
        <w:left w:val="none" w:sz="0" w:space="0" w:color="auto"/>
        <w:bottom w:val="none" w:sz="0" w:space="0" w:color="auto"/>
        <w:right w:val="none" w:sz="0" w:space="0" w:color="auto"/>
      </w:divBdr>
    </w:div>
    <w:div w:id="1089042018">
      <w:bodyDiv w:val="1"/>
      <w:marLeft w:val="0"/>
      <w:marRight w:val="0"/>
      <w:marTop w:val="0"/>
      <w:marBottom w:val="0"/>
      <w:divBdr>
        <w:top w:val="none" w:sz="0" w:space="0" w:color="auto"/>
        <w:left w:val="none" w:sz="0" w:space="0" w:color="auto"/>
        <w:bottom w:val="none" w:sz="0" w:space="0" w:color="auto"/>
        <w:right w:val="none" w:sz="0" w:space="0" w:color="auto"/>
      </w:divBdr>
    </w:div>
    <w:div w:id="1089154919">
      <w:bodyDiv w:val="1"/>
      <w:marLeft w:val="0"/>
      <w:marRight w:val="0"/>
      <w:marTop w:val="0"/>
      <w:marBottom w:val="0"/>
      <w:divBdr>
        <w:top w:val="none" w:sz="0" w:space="0" w:color="auto"/>
        <w:left w:val="none" w:sz="0" w:space="0" w:color="auto"/>
        <w:bottom w:val="none" w:sz="0" w:space="0" w:color="auto"/>
        <w:right w:val="none" w:sz="0" w:space="0" w:color="auto"/>
      </w:divBdr>
    </w:div>
    <w:div w:id="1089346429">
      <w:bodyDiv w:val="1"/>
      <w:marLeft w:val="0"/>
      <w:marRight w:val="0"/>
      <w:marTop w:val="0"/>
      <w:marBottom w:val="0"/>
      <w:divBdr>
        <w:top w:val="none" w:sz="0" w:space="0" w:color="auto"/>
        <w:left w:val="none" w:sz="0" w:space="0" w:color="auto"/>
        <w:bottom w:val="none" w:sz="0" w:space="0" w:color="auto"/>
        <w:right w:val="none" w:sz="0" w:space="0" w:color="auto"/>
      </w:divBdr>
    </w:div>
    <w:div w:id="1089961402">
      <w:bodyDiv w:val="1"/>
      <w:marLeft w:val="0"/>
      <w:marRight w:val="0"/>
      <w:marTop w:val="0"/>
      <w:marBottom w:val="0"/>
      <w:divBdr>
        <w:top w:val="none" w:sz="0" w:space="0" w:color="auto"/>
        <w:left w:val="none" w:sz="0" w:space="0" w:color="auto"/>
        <w:bottom w:val="none" w:sz="0" w:space="0" w:color="auto"/>
        <w:right w:val="none" w:sz="0" w:space="0" w:color="auto"/>
      </w:divBdr>
    </w:div>
    <w:div w:id="1090001619">
      <w:bodyDiv w:val="1"/>
      <w:marLeft w:val="0"/>
      <w:marRight w:val="0"/>
      <w:marTop w:val="0"/>
      <w:marBottom w:val="0"/>
      <w:divBdr>
        <w:top w:val="none" w:sz="0" w:space="0" w:color="auto"/>
        <w:left w:val="none" w:sz="0" w:space="0" w:color="auto"/>
        <w:bottom w:val="none" w:sz="0" w:space="0" w:color="auto"/>
        <w:right w:val="none" w:sz="0" w:space="0" w:color="auto"/>
      </w:divBdr>
    </w:div>
    <w:div w:id="1090084302">
      <w:bodyDiv w:val="1"/>
      <w:marLeft w:val="0"/>
      <w:marRight w:val="0"/>
      <w:marTop w:val="0"/>
      <w:marBottom w:val="0"/>
      <w:divBdr>
        <w:top w:val="none" w:sz="0" w:space="0" w:color="auto"/>
        <w:left w:val="none" w:sz="0" w:space="0" w:color="auto"/>
        <w:bottom w:val="none" w:sz="0" w:space="0" w:color="auto"/>
        <w:right w:val="none" w:sz="0" w:space="0" w:color="auto"/>
      </w:divBdr>
    </w:div>
    <w:div w:id="1090347804">
      <w:bodyDiv w:val="1"/>
      <w:marLeft w:val="0"/>
      <w:marRight w:val="0"/>
      <w:marTop w:val="0"/>
      <w:marBottom w:val="0"/>
      <w:divBdr>
        <w:top w:val="none" w:sz="0" w:space="0" w:color="auto"/>
        <w:left w:val="none" w:sz="0" w:space="0" w:color="auto"/>
        <w:bottom w:val="none" w:sz="0" w:space="0" w:color="auto"/>
        <w:right w:val="none" w:sz="0" w:space="0" w:color="auto"/>
      </w:divBdr>
    </w:div>
    <w:div w:id="1090350120">
      <w:bodyDiv w:val="1"/>
      <w:marLeft w:val="0"/>
      <w:marRight w:val="0"/>
      <w:marTop w:val="0"/>
      <w:marBottom w:val="0"/>
      <w:divBdr>
        <w:top w:val="none" w:sz="0" w:space="0" w:color="auto"/>
        <w:left w:val="none" w:sz="0" w:space="0" w:color="auto"/>
        <w:bottom w:val="none" w:sz="0" w:space="0" w:color="auto"/>
        <w:right w:val="none" w:sz="0" w:space="0" w:color="auto"/>
      </w:divBdr>
    </w:div>
    <w:div w:id="1090396817">
      <w:bodyDiv w:val="1"/>
      <w:marLeft w:val="0"/>
      <w:marRight w:val="0"/>
      <w:marTop w:val="0"/>
      <w:marBottom w:val="0"/>
      <w:divBdr>
        <w:top w:val="none" w:sz="0" w:space="0" w:color="auto"/>
        <w:left w:val="none" w:sz="0" w:space="0" w:color="auto"/>
        <w:bottom w:val="none" w:sz="0" w:space="0" w:color="auto"/>
        <w:right w:val="none" w:sz="0" w:space="0" w:color="auto"/>
      </w:divBdr>
    </w:div>
    <w:div w:id="1090854750">
      <w:bodyDiv w:val="1"/>
      <w:marLeft w:val="0"/>
      <w:marRight w:val="0"/>
      <w:marTop w:val="0"/>
      <w:marBottom w:val="0"/>
      <w:divBdr>
        <w:top w:val="none" w:sz="0" w:space="0" w:color="auto"/>
        <w:left w:val="none" w:sz="0" w:space="0" w:color="auto"/>
        <w:bottom w:val="none" w:sz="0" w:space="0" w:color="auto"/>
        <w:right w:val="none" w:sz="0" w:space="0" w:color="auto"/>
      </w:divBdr>
    </w:div>
    <w:div w:id="1090927495">
      <w:bodyDiv w:val="1"/>
      <w:marLeft w:val="0"/>
      <w:marRight w:val="0"/>
      <w:marTop w:val="0"/>
      <w:marBottom w:val="0"/>
      <w:divBdr>
        <w:top w:val="none" w:sz="0" w:space="0" w:color="auto"/>
        <w:left w:val="none" w:sz="0" w:space="0" w:color="auto"/>
        <w:bottom w:val="none" w:sz="0" w:space="0" w:color="auto"/>
        <w:right w:val="none" w:sz="0" w:space="0" w:color="auto"/>
      </w:divBdr>
    </w:div>
    <w:div w:id="1091126705">
      <w:bodyDiv w:val="1"/>
      <w:marLeft w:val="0"/>
      <w:marRight w:val="0"/>
      <w:marTop w:val="0"/>
      <w:marBottom w:val="0"/>
      <w:divBdr>
        <w:top w:val="none" w:sz="0" w:space="0" w:color="auto"/>
        <w:left w:val="none" w:sz="0" w:space="0" w:color="auto"/>
        <w:bottom w:val="none" w:sz="0" w:space="0" w:color="auto"/>
        <w:right w:val="none" w:sz="0" w:space="0" w:color="auto"/>
      </w:divBdr>
    </w:div>
    <w:div w:id="1091587472">
      <w:bodyDiv w:val="1"/>
      <w:marLeft w:val="0"/>
      <w:marRight w:val="0"/>
      <w:marTop w:val="0"/>
      <w:marBottom w:val="0"/>
      <w:divBdr>
        <w:top w:val="none" w:sz="0" w:space="0" w:color="auto"/>
        <w:left w:val="none" w:sz="0" w:space="0" w:color="auto"/>
        <w:bottom w:val="none" w:sz="0" w:space="0" w:color="auto"/>
        <w:right w:val="none" w:sz="0" w:space="0" w:color="auto"/>
      </w:divBdr>
    </w:div>
    <w:div w:id="1091900992">
      <w:bodyDiv w:val="1"/>
      <w:marLeft w:val="0"/>
      <w:marRight w:val="0"/>
      <w:marTop w:val="0"/>
      <w:marBottom w:val="0"/>
      <w:divBdr>
        <w:top w:val="none" w:sz="0" w:space="0" w:color="auto"/>
        <w:left w:val="none" w:sz="0" w:space="0" w:color="auto"/>
        <w:bottom w:val="none" w:sz="0" w:space="0" w:color="auto"/>
        <w:right w:val="none" w:sz="0" w:space="0" w:color="auto"/>
      </w:divBdr>
    </w:div>
    <w:div w:id="1092169959">
      <w:bodyDiv w:val="1"/>
      <w:marLeft w:val="0"/>
      <w:marRight w:val="0"/>
      <w:marTop w:val="0"/>
      <w:marBottom w:val="0"/>
      <w:divBdr>
        <w:top w:val="none" w:sz="0" w:space="0" w:color="auto"/>
        <w:left w:val="none" w:sz="0" w:space="0" w:color="auto"/>
        <w:bottom w:val="none" w:sz="0" w:space="0" w:color="auto"/>
        <w:right w:val="none" w:sz="0" w:space="0" w:color="auto"/>
      </w:divBdr>
    </w:div>
    <w:div w:id="1092359352">
      <w:bodyDiv w:val="1"/>
      <w:marLeft w:val="0"/>
      <w:marRight w:val="0"/>
      <w:marTop w:val="0"/>
      <w:marBottom w:val="0"/>
      <w:divBdr>
        <w:top w:val="none" w:sz="0" w:space="0" w:color="auto"/>
        <w:left w:val="none" w:sz="0" w:space="0" w:color="auto"/>
        <w:bottom w:val="none" w:sz="0" w:space="0" w:color="auto"/>
        <w:right w:val="none" w:sz="0" w:space="0" w:color="auto"/>
      </w:divBdr>
    </w:div>
    <w:div w:id="1092556050">
      <w:bodyDiv w:val="1"/>
      <w:marLeft w:val="0"/>
      <w:marRight w:val="0"/>
      <w:marTop w:val="0"/>
      <w:marBottom w:val="0"/>
      <w:divBdr>
        <w:top w:val="none" w:sz="0" w:space="0" w:color="auto"/>
        <w:left w:val="none" w:sz="0" w:space="0" w:color="auto"/>
        <w:bottom w:val="none" w:sz="0" w:space="0" w:color="auto"/>
        <w:right w:val="none" w:sz="0" w:space="0" w:color="auto"/>
      </w:divBdr>
    </w:div>
    <w:div w:id="1092822757">
      <w:bodyDiv w:val="1"/>
      <w:marLeft w:val="0"/>
      <w:marRight w:val="0"/>
      <w:marTop w:val="0"/>
      <w:marBottom w:val="0"/>
      <w:divBdr>
        <w:top w:val="none" w:sz="0" w:space="0" w:color="auto"/>
        <w:left w:val="none" w:sz="0" w:space="0" w:color="auto"/>
        <w:bottom w:val="none" w:sz="0" w:space="0" w:color="auto"/>
        <w:right w:val="none" w:sz="0" w:space="0" w:color="auto"/>
      </w:divBdr>
    </w:div>
    <w:div w:id="1093091043">
      <w:bodyDiv w:val="1"/>
      <w:marLeft w:val="0"/>
      <w:marRight w:val="0"/>
      <w:marTop w:val="0"/>
      <w:marBottom w:val="0"/>
      <w:divBdr>
        <w:top w:val="none" w:sz="0" w:space="0" w:color="auto"/>
        <w:left w:val="none" w:sz="0" w:space="0" w:color="auto"/>
        <w:bottom w:val="none" w:sz="0" w:space="0" w:color="auto"/>
        <w:right w:val="none" w:sz="0" w:space="0" w:color="auto"/>
      </w:divBdr>
    </w:div>
    <w:div w:id="1093432978">
      <w:bodyDiv w:val="1"/>
      <w:marLeft w:val="0"/>
      <w:marRight w:val="0"/>
      <w:marTop w:val="0"/>
      <w:marBottom w:val="0"/>
      <w:divBdr>
        <w:top w:val="none" w:sz="0" w:space="0" w:color="auto"/>
        <w:left w:val="none" w:sz="0" w:space="0" w:color="auto"/>
        <w:bottom w:val="none" w:sz="0" w:space="0" w:color="auto"/>
        <w:right w:val="none" w:sz="0" w:space="0" w:color="auto"/>
      </w:divBdr>
    </w:div>
    <w:div w:id="1093546064">
      <w:bodyDiv w:val="1"/>
      <w:marLeft w:val="0"/>
      <w:marRight w:val="0"/>
      <w:marTop w:val="0"/>
      <w:marBottom w:val="0"/>
      <w:divBdr>
        <w:top w:val="none" w:sz="0" w:space="0" w:color="auto"/>
        <w:left w:val="none" w:sz="0" w:space="0" w:color="auto"/>
        <w:bottom w:val="none" w:sz="0" w:space="0" w:color="auto"/>
        <w:right w:val="none" w:sz="0" w:space="0" w:color="auto"/>
      </w:divBdr>
    </w:div>
    <w:div w:id="1093550324">
      <w:bodyDiv w:val="1"/>
      <w:marLeft w:val="0"/>
      <w:marRight w:val="0"/>
      <w:marTop w:val="0"/>
      <w:marBottom w:val="0"/>
      <w:divBdr>
        <w:top w:val="none" w:sz="0" w:space="0" w:color="auto"/>
        <w:left w:val="none" w:sz="0" w:space="0" w:color="auto"/>
        <w:bottom w:val="none" w:sz="0" w:space="0" w:color="auto"/>
        <w:right w:val="none" w:sz="0" w:space="0" w:color="auto"/>
      </w:divBdr>
    </w:div>
    <w:div w:id="1094013317">
      <w:bodyDiv w:val="1"/>
      <w:marLeft w:val="0"/>
      <w:marRight w:val="0"/>
      <w:marTop w:val="0"/>
      <w:marBottom w:val="0"/>
      <w:divBdr>
        <w:top w:val="none" w:sz="0" w:space="0" w:color="auto"/>
        <w:left w:val="none" w:sz="0" w:space="0" w:color="auto"/>
        <w:bottom w:val="none" w:sz="0" w:space="0" w:color="auto"/>
        <w:right w:val="none" w:sz="0" w:space="0" w:color="auto"/>
      </w:divBdr>
    </w:div>
    <w:div w:id="1095705968">
      <w:bodyDiv w:val="1"/>
      <w:marLeft w:val="0"/>
      <w:marRight w:val="0"/>
      <w:marTop w:val="0"/>
      <w:marBottom w:val="0"/>
      <w:divBdr>
        <w:top w:val="none" w:sz="0" w:space="0" w:color="auto"/>
        <w:left w:val="none" w:sz="0" w:space="0" w:color="auto"/>
        <w:bottom w:val="none" w:sz="0" w:space="0" w:color="auto"/>
        <w:right w:val="none" w:sz="0" w:space="0" w:color="auto"/>
      </w:divBdr>
    </w:div>
    <w:div w:id="1095974441">
      <w:bodyDiv w:val="1"/>
      <w:marLeft w:val="0"/>
      <w:marRight w:val="0"/>
      <w:marTop w:val="0"/>
      <w:marBottom w:val="0"/>
      <w:divBdr>
        <w:top w:val="none" w:sz="0" w:space="0" w:color="auto"/>
        <w:left w:val="none" w:sz="0" w:space="0" w:color="auto"/>
        <w:bottom w:val="none" w:sz="0" w:space="0" w:color="auto"/>
        <w:right w:val="none" w:sz="0" w:space="0" w:color="auto"/>
      </w:divBdr>
    </w:div>
    <w:div w:id="1096053749">
      <w:bodyDiv w:val="1"/>
      <w:marLeft w:val="0"/>
      <w:marRight w:val="0"/>
      <w:marTop w:val="0"/>
      <w:marBottom w:val="0"/>
      <w:divBdr>
        <w:top w:val="none" w:sz="0" w:space="0" w:color="auto"/>
        <w:left w:val="none" w:sz="0" w:space="0" w:color="auto"/>
        <w:bottom w:val="none" w:sz="0" w:space="0" w:color="auto"/>
        <w:right w:val="none" w:sz="0" w:space="0" w:color="auto"/>
      </w:divBdr>
    </w:div>
    <w:div w:id="1096175032">
      <w:bodyDiv w:val="1"/>
      <w:marLeft w:val="0"/>
      <w:marRight w:val="0"/>
      <w:marTop w:val="0"/>
      <w:marBottom w:val="0"/>
      <w:divBdr>
        <w:top w:val="none" w:sz="0" w:space="0" w:color="auto"/>
        <w:left w:val="none" w:sz="0" w:space="0" w:color="auto"/>
        <w:bottom w:val="none" w:sz="0" w:space="0" w:color="auto"/>
        <w:right w:val="none" w:sz="0" w:space="0" w:color="auto"/>
      </w:divBdr>
    </w:div>
    <w:div w:id="1096247689">
      <w:bodyDiv w:val="1"/>
      <w:marLeft w:val="0"/>
      <w:marRight w:val="0"/>
      <w:marTop w:val="0"/>
      <w:marBottom w:val="0"/>
      <w:divBdr>
        <w:top w:val="none" w:sz="0" w:space="0" w:color="auto"/>
        <w:left w:val="none" w:sz="0" w:space="0" w:color="auto"/>
        <w:bottom w:val="none" w:sz="0" w:space="0" w:color="auto"/>
        <w:right w:val="none" w:sz="0" w:space="0" w:color="auto"/>
      </w:divBdr>
    </w:div>
    <w:div w:id="1096286614">
      <w:bodyDiv w:val="1"/>
      <w:marLeft w:val="0"/>
      <w:marRight w:val="0"/>
      <w:marTop w:val="0"/>
      <w:marBottom w:val="0"/>
      <w:divBdr>
        <w:top w:val="none" w:sz="0" w:space="0" w:color="auto"/>
        <w:left w:val="none" w:sz="0" w:space="0" w:color="auto"/>
        <w:bottom w:val="none" w:sz="0" w:space="0" w:color="auto"/>
        <w:right w:val="none" w:sz="0" w:space="0" w:color="auto"/>
      </w:divBdr>
    </w:div>
    <w:div w:id="1096293781">
      <w:bodyDiv w:val="1"/>
      <w:marLeft w:val="0"/>
      <w:marRight w:val="0"/>
      <w:marTop w:val="0"/>
      <w:marBottom w:val="0"/>
      <w:divBdr>
        <w:top w:val="none" w:sz="0" w:space="0" w:color="auto"/>
        <w:left w:val="none" w:sz="0" w:space="0" w:color="auto"/>
        <w:bottom w:val="none" w:sz="0" w:space="0" w:color="auto"/>
        <w:right w:val="none" w:sz="0" w:space="0" w:color="auto"/>
      </w:divBdr>
    </w:div>
    <w:div w:id="1096362084">
      <w:bodyDiv w:val="1"/>
      <w:marLeft w:val="0"/>
      <w:marRight w:val="0"/>
      <w:marTop w:val="0"/>
      <w:marBottom w:val="0"/>
      <w:divBdr>
        <w:top w:val="none" w:sz="0" w:space="0" w:color="auto"/>
        <w:left w:val="none" w:sz="0" w:space="0" w:color="auto"/>
        <w:bottom w:val="none" w:sz="0" w:space="0" w:color="auto"/>
        <w:right w:val="none" w:sz="0" w:space="0" w:color="auto"/>
      </w:divBdr>
    </w:div>
    <w:div w:id="1096704840">
      <w:bodyDiv w:val="1"/>
      <w:marLeft w:val="0"/>
      <w:marRight w:val="0"/>
      <w:marTop w:val="0"/>
      <w:marBottom w:val="0"/>
      <w:divBdr>
        <w:top w:val="none" w:sz="0" w:space="0" w:color="auto"/>
        <w:left w:val="none" w:sz="0" w:space="0" w:color="auto"/>
        <w:bottom w:val="none" w:sz="0" w:space="0" w:color="auto"/>
        <w:right w:val="none" w:sz="0" w:space="0" w:color="auto"/>
      </w:divBdr>
    </w:div>
    <w:div w:id="1096748975">
      <w:bodyDiv w:val="1"/>
      <w:marLeft w:val="0"/>
      <w:marRight w:val="0"/>
      <w:marTop w:val="0"/>
      <w:marBottom w:val="0"/>
      <w:divBdr>
        <w:top w:val="none" w:sz="0" w:space="0" w:color="auto"/>
        <w:left w:val="none" w:sz="0" w:space="0" w:color="auto"/>
        <w:bottom w:val="none" w:sz="0" w:space="0" w:color="auto"/>
        <w:right w:val="none" w:sz="0" w:space="0" w:color="auto"/>
      </w:divBdr>
    </w:div>
    <w:div w:id="1097022623">
      <w:bodyDiv w:val="1"/>
      <w:marLeft w:val="0"/>
      <w:marRight w:val="0"/>
      <w:marTop w:val="0"/>
      <w:marBottom w:val="0"/>
      <w:divBdr>
        <w:top w:val="none" w:sz="0" w:space="0" w:color="auto"/>
        <w:left w:val="none" w:sz="0" w:space="0" w:color="auto"/>
        <w:bottom w:val="none" w:sz="0" w:space="0" w:color="auto"/>
        <w:right w:val="none" w:sz="0" w:space="0" w:color="auto"/>
      </w:divBdr>
    </w:div>
    <w:div w:id="1097142601">
      <w:bodyDiv w:val="1"/>
      <w:marLeft w:val="0"/>
      <w:marRight w:val="0"/>
      <w:marTop w:val="0"/>
      <w:marBottom w:val="0"/>
      <w:divBdr>
        <w:top w:val="none" w:sz="0" w:space="0" w:color="auto"/>
        <w:left w:val="none" w:sz="0" w:space="0" w:color="auto"/>
        <w:bottom w:val="none" w:sz="0" w:space="0" w:color="auto"/>
        <w:right w:val="none" w:sz="0" w:space="0" w:color="auto"/>
      </w:divBdr>
    </w:div>
    <w:div w:id="1097211565">
      <w:bodyDiv w:val="1"/>
      <w:marLeft w:val="0"/>
      <w:marRight w:val="0"/>
      <w:marTop w:val="0"/>
      <w:marBottom w:val="0"/>
      <w:divBdr>
        <w:top w:val="none" w:sz="0" w:space="0" w:color="auto"/>
        <w:left w:val="none" w:sz="0" w:space="0" w:color="auto"/>
        <w:bottom w:val="none" w:sz="0" w:space="0" w:color="auto"/>
        <w:right w:val="none" w:sz="0" w:space="0" w:color="auto"/>
      </w:divBdr>
    </w:div>
    <w:div w:id="1097479810">
      <w:bodyDiv w:val="1"/>
      <w:marLeft w:val="0"/>
      <w:marRight w:val="0"/>
      <w:marTop w:val="0"/>
      <w:marBottom w:val="0"/>
      <w:divBdr>
        <w:top w:val="none" w:sz="0" w:space="0" w:color="auto"/>
        <w:left w:val="none" w:sz="0" w:space="0" w:color="auto"/>
        <w:bottom w:val="none" w:sz="0" w:space="0" w:color="auto"/>
        <w:right w:val="none" w:sz="0" w:space="0" w:color="auto"/>
      </w:divBdr>
    </w:div>
    <w:div w:id="1097560063">
      <w:bodyDiv w:val="1"/>
      <w:marLeft w:val="0"/>
      <w:marRight w:val="0"/>
      <w:marTop w:val="0"/>
      <w:marBottom w:val="0"/>
      <w:divBdr>
        <w:top w:val="none" w:sz="0" w:space="0" w:color="auto"/>
        <w:left w:val="none" w:sz="0" w:space="0" w:color="auto"/>
        <w:bottom w:val="none" w:sz="0" w:space="0" w:color="auto"/>
        <w:right w:val="none" w:sz="0" w:space="0" w:color="auto"/>
      </w:divBdr>
    </w:div>
    <w:div w:id="1098596055">
      <w:bodyDiv w:val="1"/>
      <w:marLeft w:val="0"/>
      <w:marRight w:val="0"/>
      <w:marTop w:val="0"/>
      <w:marBottom w:val="0"/>
      <w:divBdr>
        <w:top w:val="none" w:sz="0" w:space="0" w:color="auto"/>
        <w:left w:val="none" w:sz="0" w:space="0" w:color="auto"/>
        <w:bottom w:val="none" w:sz="0" w:space="0" w:color="auto"/>
        <w:right w:val="none" w:sz="0" w:space="0" w:color="auto"/>
      </w:divBdr>
    </w:div>
    <w:div w:id="1099134118">
      <w:bodyDiv w:val="1"/>
      <w:marLeft w:val="0"/>
      <w:marRight w:val="0"/>
      <w:marTop w:val="0"/>
      <w:marBottom w:val="0"/>
      <w:divBdr>
        <w:top w:val="none" w:sz="0" w:space="0" w:color="auto"/>
        <w:left w:val="none" w:sz="0" w:space="0" w:color="auto"/>
        <w:bottom w:val="none" w:sz="0" w:space="0" w:color="auto"/>
        <w:right w:val="none" w:sz="0" w:space="0" w:color="auto"/>
      </w:divBdr>
    </w:div>
    <w:div w:id="1099258187">
      <w:bodyDiv w:val="1"/>
      <w:marLeft w:val="0"/>
      <w:marRight w:val="0"/>
      <w:marTop w:val="0"/>
      <w:marBottom w:val="0"/>
      <w:divBdr>
        <w:top w:val="none" w:sz="0" w:space="0" w:color="auto"/>
        <w:left w:val="none" w:sz="0" w:space="0" w:color="auto"/>
        <w:bottom w:val="none" w:sz="0" w:space="0" w:color="auto"/>
        <w:right w:val="none" w:sz="0" w:space="0" w:color="auto"/>
      </w:divBdr>
    </w:div>
    <w:div w:id="1100641781">
      <w:bodyDiv w:val="1"/>
      <w:marLeft w:val="0"/>
      <w:marRight w:val="0"/>
      <w:marTop w:val="0"/>
      <w:marBottom w:val="0"/>
      <w:divBdr>
        <w:top w:val="none" w:sz="0" w:space="0" w:color="auto"/>
        <w:left w:val="none" w:sz="0" w:space="0" w:color="auto"/>
        <w:bottom w:val="none" w:sz="0" w:space="0" w:color="auto"/>
        <w:right w:val="none" w:sz="0" w:space="0" w:color="auto"/>
      </w:divBdr>
    </w:div>
    <w:div w:id="1100680583">
      <w:bodyDiv w:val="1"/>
      <w:marLeft w:val="0"/>
      <w:marRight w:val="0"/>
      <w:marTop w:val="0"/>
      <w:marBottom w:val="0"/>
      <w:divBdr>
        <w:top w:val="none" w:sz="0" w:space="0" w:color="auto"/>
        <w:left w:val="none" w:sz="0" w:space="0" w:color="auto"/>
        <w:bottom w:val="none" w:sz="0" w:space="0" w:color="auto"/>
        <w:right w:val="none" w:sz="0" w:space="0" w:color="auto"/>
      </w:divBdr>
    </w:div>
    <w:div w:id="1101219469">
      <w:bodyDiv w:val="1"/>
      <w:marLeft w:val="0"/>
      <w:marRight w:val="0"/>
      <w:marTop w:val="0"/>
      <w:marBottom w:val="0"/>
      <w:divBdr>
        <w:top w:val="none" w:sz="0" w:space="0" w:color="auto"/>
        <w:left w:val="none" w:sz="0" w:space="0" w:color="auto"/>
        <w:bottom w:val="none" w:sz="0" w:space="0" w:color="auto"/>
        <w:right w:val="none" w:sz="0" w:space="0" w:color="auto"/>
      </w:divBdr>
    </w:div>
    <w:div w:id="1101797993">
      <w:bodyDiv w:val="1"/>
      <w:marLeft w:val="0"/>
      <w:marRight w:val="0"/>
      <w:marTop w:val="0"/>
      <w:marBottom w:val="0"/>
      <w:divBdr>
        <w:top w:val="none" w:sz="0" w:space="0" w:color="auto"/>
        <w:left w:val="none" w:sz="0" w:space="0" w:color="auto"/>
        <w:bottom w:val="none" w:sz="0" w:space="0" w:color="auto"/>
        <w:right w:val="none" w:sz="0" w:space="0" w:color="auto"/>
      </w:divBdr>
    </w:div>
    <w:div w:id="1102185348">
      <w:bodyDiv w:val="1"/>
      <w:marLeft w:val="0"/>
      <w:marRight w:val="0"/>
      <w:marTop w:val="0"/>
      <w:marBottom w:val="0"/>
      <w:divBdr>
        <w:top w:val="none" w:sz="0" w:space="0" w:color="auto"/>
        <w:left w:val="none" w:sz="0" w:space="0" w:color="auto"/>
        <w:bottom w:val="none" w:sz="0" w:space="0" w:color="auto"/>
        <w:right w:val="none" w:sz="0" w:space="0" w:color="auto"/>
      </w:divBdr>
    </w:div>
    <w:div w:id="1102260145">
      <w:bodyDiv w:val="1"/>
      <w:marLeft w:val="0"/>
      <w:marRight w:val="0"/>
      <w:marTop w:val="0"/>
      <w:marBottom w:val="0"/>
      <w:divBdr>
        <w:top w:val="none" w:sz="0" w:space="0" w:color="auto"/>
        <w:left w:val="none" w:sz="0" w:space="0" w:color="auto"/>
        <w:bottom w:val="none" w:sz="0" w:space="0" w:color="auto"/>
        <w:right w:val="none" w:sz="0" w:space="0" w:color="auto"/>
      </w:divBdr>
    </w:div>
    <w:div w:id="1102265914">
      <w:bodyDiv w:val="1"/>
      <w:marLeft w:val="0"/>
      <w:marRight w:val="0"/>
      <w:marTop w:val="0"/>
      <w:marBottom w:val="0"/>
      <w:divBdr>
        <w:top w:val="none" w:sz="0" w:space="0" w:color="auto"/>
        <w:left w:val="none" w:sz="0" w:space="0" w:color="auto"/>
        <w:bottom w:val="none" w:sz="0" w:space="0" w:color="auto"/>
        <w:right w:val="none" w:sz="0" w:space="0" w:color="auto"/>
      </w:divBdr>
    </w:div>
    <w:div w:id="1102337802">
      <w:bodyDiv w:val="1"/>
      <w:marLeft w:val="0"/>
      <w:marRight w:val="0"/>
      <w:marTop w:val="0"/>
      <w:marBottom w:val="0"/>
      <w:divBdr>
        <w:top w:val="none" w:sz="0" w:space="0" w:color="auto"/>
        <w:left w:val="none" w:sz="0" w:space="0" w:color="auto"/>
        <w:bottom w:val="none" w:sz="0" w:space="0" w:color="auto"/>
        <w:right w:val="none" w:sz="0" w:space="0" w:color="auto"/>
      </w:divBdr>
    </w:div>
    <w:div w:id="1103183910">
      <w:bodyDiv w:val="1"/>
      <w:marLeft w:val="0"/>
      <w:marRight w:val="0"/>
      <w:marTop w:val="0"/>
      <w:marBottom w:val="0"/>
      <w:divBdr>
        <w:top w:val="none" w:sz="0" w:space="0" w:color="auto"/>
        <w:left w:val="none" w:sz="0" w:space="0" w:color="auto"/>
        <w:bottom w:val="none" w:sz="0" w:space="0" w:color="auto"/>
        <w:right w:val="none" w:sz="0" w:space="0" w:color="auto"/>
      </w:divBdr>
    </w:div>
    <w:div w:id="1103234182">
      <w:bodyDiv w:val="1"/>
      <w:marLeft w:val="0"/>
      <w:marRight w:val="0"/>
      <w:marTop w:val="0"/>
      <w:marBottom w:val="0"/>
      <w:divBdr>
        <w:top w:val="none" w:sz="0" w:space="0" w:color="auto"/>
        <w:left w:val="none" w:sz="0" w:space="0" w:color="auto"/>
        <w:bottom w:val="none" w:sz="0" w:space="0" w:color="auto"/>
        <w:right w:val="none" w:sz="0" w:space="0" w:color="auto"/>
      </w:divBdr>
    </w:div>
    <w:div w:id="1103303890">
      <w:bodyDiv w:val="1"/>
      <w:marLeft w:val="0"/>
      <w:marRight w:val="0"/>
      <w:marTop w:val="0"/>
      <w:marBottom w:val="0"/>
      <w:divBdr>
        <w:top w:val="none" w:sz="0" w:space="0" w:color="auto"/>
        <w:left w:val="none" w:sz="0" w:space="0" w:color="auto"/>
        <w:bottom w:val="none" w:sz="0" w:space="0" w:color="auto"/>
        <w:right w:val="none" w:sz="0" w:space="0" w:color="auto"/>
      </w:divBdr>
    </w:div>
    <w:div w:id="1103526150">
      <w:bodyDiv w:val="1"/>
      <w:marLeft w:val="0"/>
      <w:marRight w:val="0"/>
      <w:marTop w:val="0"/>
      <w:marBottom w:val="0"/>
      <w:divBdr>
        <w:top w:val="none" w:sz="0" w:space="0" w:color="auto"/>
        <w:left w:val="none" w:sz="0" w:space="0" w:color="auto"/>
        <w:bottom w:val="none" w:sz="0" w:space="0" w:color="auto"/>
        <w:right w:val="none" w:sz="0" w:space="0" w:color="auto"/>
      </w:divBdr>
    </w:div>
    <w:div w:id="1103771197">
      <w:bodyDiv w:val="1"/>
      <w:marLeft w:val="0"/>
      <w:marRight w:val="0"/>
      <w:marTop w:val="0"/>
      <w:marBottom w:val="0"/>
      <w:divBdr>
        <w:top w:val="none" w:sz="0" w:space="0" w:color="auto"/>
        <w:left w:val="none" w:sz="0" w:space="0" w:color="auto"/>
        <w:bottom w:val="none" w:sz="0" w:space="0" w:color="auto"/>
        <w:right w:val="none" w:sz="0" w:space="0" w:color="auto"/>
      </w:divBdr>
    </w:div>
    <w:div w:id="1104305314">
      <w:bodyDiv w:val="1"/>
      <w:marLeft w:val="0"/>
      <w:marRight w:val="0"/>
      <w:marTop w:val="0"/>
      <w:marBottom w:val="0"/>
      <w:divBdr>
        <w:top w:val="none" w:sz="0" w:space="0" w:color="auto"/>
        <w:left w:val="none" w:sz="0" w:space="0" w:color="auto"/>
        <w:bottom w:val="none" w:sz="0" w:space="0" w:color="auto"/>
        <w:right w:val="none" w:sz="0" w:space="0" w:color="auto"/>
      </w:divBdr>
    </w:div>
    <w:div w:id="1104379820">
      <w:bodyDiv w:val="1"/>
      <w:marLeft w:val="0"/>
      <w:marRight w:val="0"/>
      <w:marTop w:val="0"/>
      <w:marBottom w:val="0"/>
      <w:divBdr>
        <w:top w:val="none" w:sz="0" w:space="0" w:color="auto"/>
        <w:left w:val="none" w:sz="0" w:space="0" w:color="auto"/>
        <w:bottom w:val="none" w:sz="0" w:space="0" w:color="auto"/>
        <w:right w:val="none" w:sz="0" w:space="0" w:color="auto"/>
      </w:divBdr>
    </w:div>
    <w:div w:id="1105346730">
      <w:bodyDiv w:val="1"/>
      <w:marLeft w:val="0"/>
      <w:marRight w:val="0"/>
      <w:marTop w:val="0"/>
      <w:marBottom w:val="0"/>
      <w:divBdr>
        <w:top w:val="none" w:sz="0" w:space="0" w:color="auto"/>
        <w:left w:val="none" w:sz="0" w:space="0" w:color="auto"/>
        <w:bottom w:val="none" w:sz="0" w:space="0" w:color="auto"/>
        <w:right w:val="none" w:sz="0" w:space="0" w:color="auto"/>
      </w:divBdr>
    </w:div>
    <w:div w:id="1105810590">
      <w:bodyDiv w:val="1"/>
      <w:marLeft w:val="0"/>
      <w:marRight w:val="0"/>
      <w:marTop w:val="0"/>
      <w:marBottom w:val="0"/>
      <w:divBdr>
        <w:top w:val="none" w:sz="0" w:space="0" w:color="auto"/>
        <w:left w:val="none" w:sz="0" w:space="0" w:color="auto"/>
        <w:bottom w:val="none" w:sz="0" w:space="0" w:color="auto"/>
        <w:right w:val="none" w:sz="0" w:space="0" w:color="auto"/>
      </w:divBdr>
    </w:div>
    <w:div w:id="1107117065">
      <w:bodyDiv w:val="1"/>
      <w:marLeft w:val="0"/>
      <w:marRight w:val="0"/>
      <w:marTop w:val="0"/>
      <w:marBottom w:val="0"/>
      <w:divBdr>
        <w:top w:val="none" w:sz="0" w:space="0" w:color="auto"/>
        <w:left w:val="none" w:sz="0" w:space="0" w:color="auto"/>
        <w:bottom w:val="none" w:sz="0" w:space="0" w:color="auto"/>
        <w:right w:val="none" w:sz="0" w:space="0" w:color="auto"/>
      </w:divBdr>
    </w:div>
    <w:div w:id="1107193456">
      <w:bodyDiv w:val="1"/>
      <w:marLeft w:val="0"/>
      <w:marRight w:val="0"/>
      <w:marTop w:val="0"/>
      <w:marBottom w:val="0"/>
      <w:divBdr>
        <w:top w:val="none" w:sz="0" w:space="0" w:color="auto"/>
        <w:left w:val="none" w:sz="0" w:space="0" w:color="auto"/>
        <w:bottom w:val="none" w:sz="0" w:space="0" w:color="auto"/>
        <w:right w:val="none" w:sz="0" w:space="0" w:color="auto"/>
      </w:divBdr>
    </w:div>
    <w:div w:id="1107196281">
      <w:bodyDiv w:val="1"/>
      <w:marLeft w:val="0"/>
      <w:marRight w:val="0"/>
      <w:marTop w:val="0"/>
      <w:marBottom w:val="0"/>
      <w:divBdr>
        <w:top w:val="none" w:sz="0" w:space="0" w:color="auto"/>
        <w:left w:val="none" w:sz="0" w:space="0" w:color="auto"/>
        <w:bottom w:val="none" w:sz="0" w:space="0" w:color="auto"/>
        <w:right w:val="none" w:sz="0" w:space="0" w:color="auto"/>
      </w:divBdr>
    </w:div>
    <w:div w:id="1107503287">
      <w:bodyDiv w:val="1"/>
      <w:marLeft w:val="0"/>
      <w:marRight w:val="0"/>
      <w:marTop w:val="0"/>
      <w:marBottom w:val="0"/>
      <w:divBdr>
        <w:top w:val="none" w:sz="0" w:space="0" w:color="auto"/>
        <w:left w:val="none" w:sz="0" w:space="0" w:color="auto"/>
        <w:bottom w:val="none" w:sz="0" w:space="0" w:color="auto"/>
        <w:right w:val="none" w:sz="0" w:space="0" w:color="auto"/>
      </w:divBdr>
    </w:div>
    <w:div w:id="1107624456">
      <w:bodyDiv w:val="1"/>
      <w:marLeft w:val="0"/>
      <w:marRight w:val="0"/>
      <w:marTop w:val="0"/>
      <w:marBottom w:val="0"/>
      <w:divBdr>
        <w:top w:val="none" w:sz="0" w:space="0" w:color="auto"/>
        <w:left w:val="none" w:sz="0" w:space="0" w:color="auto"/>
        <w:bottom w:val="none" w:sz="0" w:space="0" w:color="auto"/>
        <w:right w:val="none" w:sz="0" w:space="0" w:color="auto"/>
      </w:divBdr>
    </w:div>
    <w:div w:id="1107700539">
      <w:bodyDiv w:val="1"/>
      <w:marLeft w:val="0"/>
      <w:marRight w:val="0"/>
      <w:marTop w:val="0"/>
      <w:marBottom w:val="0"/>
      <w:divBdr>
        <w:top w:val="none" w:sz="0" w:space="0" w:color="auto"/>
        <w:left w:val="none" w:sz="0" w:space="0" w:color="auto"/>
        <w:bottom w:val="none" w:sz="0" w:space="0" w:color="auto"/>
        <w:right w:val="none" w:sz="0" w:space="0" w:color="auto"/>
      </w:divBdr>
    </w:div>
    <w:div w:id="1107845037">
      <w:bodyDiv w:val="1"/>
      <w:marLeft w:val="0"/>
      <w:marRight w:val="0"/>
      <w:marTop w:val="0"/>
      <w:marBottom w:val="0"/>
      <w:divBdr>
        <w:top w:val="none" w:sz="0" w:space="0" w:color="auto"/>
        <w:left w:val="none" w:sz="0" w:space="0" w:color="auto"/>
        <w:bottom w:val="none" w:sz="0" w:space="0" w:color="auto"/>
        <w:right w:val="none" w:sz="0" w:space="0" w:color="auto"/>
      </w:divBdr>
    </w:div>
    <w:div w:id="1108037676">
      <w:bodyDiv w:val="1"/>
      <w:marLeft w:val="0"/>
      <w:marRight w:val="0"/>
      <w:marTop w:val="0"/>
      <w:marBottom w:val="0"/>
      <w:divBdr>
        <w:top w:val="none" w:sz="0" w:space="0" w:color="auto"/>
        <w:left w:val="none" w:sz="0" w:space="0" w:color="auto"/>
        <w:bottom w:val="none" w:sz="0" w:space="0" w:color="auto"/>
        <w:right w:val="none" w:sz="0" w:space="0" w:color="auto"/>
      </w:divBdr>
    </w:div>
    <w:div w:id="1108542729">
      <w:bodyDiv w:val="1"/>
      <w:marLeft w:val="0"/>
      <w:marRight w:val="0"/>
      <w:marTop w:val="0"/>
      <w:marBottom w:val="0"/>
      <w:divBdr>
        <w:top w:val="none" w:sz="0" w:space="0" w:color="auto"/>
        <w:left w:val="none" w:sz="0" w:space="0" w:color="auto"/>
        <w:bottom w:val="none" w:sz="0" w:space="0" w:color="auto"/>
        <w:right w:val="none" w:sz="0" w:space="0" w:color="auto"/>
      </w:divBdr>
    </w:div>
    <w:div w:id="1108546976">
      <w:bodyDiv w:val="1"/>
      <w:marLeft w:val="0"/>
      <w:marRight w:val="0"/>
      <w:marTop w:val="0"/>
      <w:marBottom w:val="0"/>
      <w:divBdr>
        <w:top w:val="none" w:sz="0" w:space="0" w:color="auto"/>
        <w:left w:val="none" w:sz="0" w:space="0" w:color="auto"/>
        <w:bottom w:val="none" w:sz="0" w:space="0" w:color="auto"/>
        <w:right w:val="none" w:sz="0" w:space="0" w:color="auto"/>
      </w:divBdr>
    </w:div>
    <w:div w:id="1108625167">
      <w:bodyDiv w:val="1"/>
      <w:marLeft w:val="0"/>
      <w:marRight w:val="0"/>
      <w:marTop w:val="0"/>
      <w:marBottom w:val="0"/>
      <w:divBdr>
        <w:top w:val="none" w:sz="0" w:space="0" w:color="auto"/>
        <w:left w:val="none" w:sz="0" w:space="0" w:color="auto"/>
        <w:bottom w:val="none" w:sz="0" w:space="0" w:color="auto"/>
        <w:right w:val="none" w:sz="0" w:space="0" w:color="auto"/>
      </w:divBdr>
    </w:div>
    <w:div w:id="1108698378">
      <w:bodyDiv w:val="1"/>
      <w:marLeft w:val="0"/>
      <w:marRight w:val="0"/>
      <w:marTop w:val="0"/>
      <w:marBottom w:val="0"/>
      <w:divBdr>
        <w:top w:val="none" w:sz="0" w:space="0" w:color="auto"/>
        <w:left w:val="none" w:sz="0" w:space="0" w:color="auto"/>
        <w:bottom w:val="none" w:sz="0" w:space="0" w:color="auto"/>
        <w:right w:val="none" w:sz="0" w:space="0" w:color="auto"/>
      </w:divBdr>
    </w:div>
    <w:div w:id="1109004423">
      <w:bodyDiv w:val="1"/>
      <w:marLeft w:val="0"/>
      <w:marRight w:val="0"/>
      <w:marTop w:val="0"/>
      <w:marBottom w:val="0"/>
      <w:divBdr>
        <w:top w:val="none" w:sz="0" w:space="0" w:color="auto"/>
        <w:left w:val="none" w:sz="0" w:space="0" w:color="auto"/>
        <w:bottom w:val="none" w:sz="0" w:space="0" w:color="auto"/>
        <w:right w:val="none" w:sz="0" w:space="0" w:color="auto"/>
      </w:divBdr>
    </w:div>
    <w:div w:id="1109080123">
      <w:bodyDiv w:val="1"/>
      <w:marLeft w:val="0"/>
      <w:marRight w:val="0"/>
      <w:marTop w:val="0"/>
      <w:marBottom w:val="0"/>
      <w:divBdr>
        <w:top w:val="none" w:sz="0" w:space="0" w:color="auto"/>
        <w:left w:val="none" w:sz="0" w:space="0" w:color="auto"/>
        <w:bottom w:val="none" w:sz="0" w:space="0" w:color="auto"/>
        <w:right w:val="none" w:sz="0" w:space="0" w:color="auto"/>
      </w:divBdr>
    </w:div>
    <w:div w:id="1109393734">
      <w:bodyDiv w:val="1"/>
      <w:marLeft w:val="0"/>
      <w:marRight w:val="0"/>
      <w:marTop w:val="0"/>
      <w:marBottom w:val="0"/>
      <w:divBdr>
        <w:top w:val="none" w:sz="0" w:space="0" w:color="auto"/>
        <w:left w:val="none" w:sz="0" w:space="0" w:color="auto"/>
        <w:bottom w:val="none" w:sz="0" w:space="0" w:color="auto"/>
        <w:right w:val="none" w:sz="0" w:space="0" w:color="auto"/>
      </w:divBdr>
    </w:div>
    <w:div w:id="1110049585">
      <w:bodyDiv w:val="1"/>
      <w:marLeft w:val="0"/>
      <w:marRight w:val="0"/>
      <w:marTop w:val="0"/>
      <w:marBottom w:val="0"/>
      <w:divBdr>
        <w:top w:val="none" w:sz="0" w:space="0" w:color="auto"/>
        <w:left w:val="none" w:sz="0" w:space="0" w:color="auto"/>
        <w:bottom w:val="none" w:sz="0" w:space="0" w:color="auto"/>
        <w:right w:val="none" w:sz="0" w:space="0" w:color="auto"/>
      </w:divBdr>
    </w:div>
    <w:div w:id="1110129119">
      <w:bodyDiv w:val="1"/>
      <w:marLeft w:val="0"/>
      <w:marRight w:val="0"/>
      <w:marTop w:val="0"/>
      <w:marBottom w:val="0"/>
      <w:divBdr>
        <w:top w:val="none" w:sz="0" w:space="0" w:color="auto"/>
        <w:left w:val="none" w:sz="0" w:space="0" w:color="auto"/>
        <w:bottom w:val="none" w:sz="0" w:space="0" w:color="auto"/>
        <w:right w:val="none" w:sz="0" w:space="0" w:color="auto"/>
      </w:divBdr>
    </w:div>
    <w:div w:id="1110468888">
      <w:bodyDiv w:val="1"/>
      <w:marLeft w:val="0"/>
      <w:marRight w:val="0"/>
      <w:marTop w:val="0"/>
      <w:marBottom w:val="0"/>
      <w:divBdr>
        <w:top w:val="none" w:sz="0" w:space="0" w:color="auto"/>
        <w:left w:val="none" w:sz="0" w:space="0" w:color="auto"/>
        <w:bottom w:val="none" w:sz="0" w:space="0" w:color="auto"/>
        <w:right w:val="none" w:sz="0" w:space="0" w:color="auto"/>
      </w:divBdr>
    </w:div>
    <w:div w:id="1110705145">
      <w:bodyDiv w:val="1"/>
      <w:marLeft w:val="0"/>
      <w:marRight w:val="0"/>
      <w:marTop w:val="0"/>
      <w:marBottom w:val="0"/>
      <w:divBdr>
        <w:top w:val="none" w:sz="0" w:space="0" w:color="auto"/>
        <w:left w:val="none" w:sz="0" w:space="0" w:color="auto"/>
        <w:bottom w:val="none" w:sz="0" w:space="0" w:color="auto"/>
        <w:right w:val="none" w:sz="0" w:space="0" w:color="auto"/>
      </w:divBdr>
    </w:div>
    <w:div w:id="1110709168">
      <w:bodyDiv w:val="1"/>
      <w:marLeft w:val="0"/>
      <w:marRight w:val="0"/>
      <w:marTop w:val="0"/>
      <w:marBottom w:val="0"/>
      <w:divBdr>
        <w:top w:val="none" w:sz="0" w:space="0" w:color="auto"/>
        <w:left w:val="none" w:sz="0" w:space="0" w:color="auto"/>
        <w:bottom w:val="none" w:sz="0" w:space="0" w:color="auto"/>
        <w:right w:val="none" w:sz="0" w:space="0" w:color="auto"/>
      </w:divBdr>
    </w:div>
    <w:div w:id="1110902200">
      <w:bodyDiv w:val="1"/>
      <w:marLeft w:val="0"/>
      <w:marRight w:val="0"/>
      <w:marTop w:val="0"/>
      <w:marBottom w:val="0"/>
      <w:divBdr>
        <w:top w:val="none" w:sz="0" w:space="0" w:color="auto"/>
        <w:left w:val="none" w:sz="0" w:space="0" w:color="auto"/>
        <w:bottom w:val="none" w:sz="0" w:space="0" w:color="auto"/>
        <w:right w:val="none" w:sz="0" w:space="0" w:color="auto"/>
      </w:divBdr>
    </w:div>
    <w:div w:id="1110975157">
      <w:bodyDiv w:val="1"/>
      <w:marLeft w:val="0"/>
      <w:marRight w:val="0"/>
      <w:marTop w:val="0"/>
      <w:marBottom w:val="0"/>
      <w:divBdr>
        <w:top w:val="none" w:sz="0" w:space="0" w:color="auto"/>
        <w:left w:val="none" w:sz="0" w:space="0" w:color="auto"/>
        <w:bottom w:val="none" w:sz="0" w:space="0" w:color="auto"/>
        <w:right w:val="none" w:sz="0" w:space="0" w:color="auto"/>
      </w:divBdr>
    </w:div>
    <w:div w:id="1111818777">
      <w:bodyDiv w:val="1"/>
      <w:marLeft w:val="0"/>
      <w:marRight w:val="0"/>
      <w:marTop w:val="0"/>
      <w:marBottom w:val="0"/>
      <w:divBdr>
        <w:top w:val="none" w:sz="0" w:space="0" w:color="auto"/>
        <w:left w:val="none" w:sz="0" w:space="0" w:color="auto"/>
        <w:bottom w:val="none" w:sz="0" w:space="0" w:color="auto"/>
        <w:right w:val="none" w:sz="0" w:space="0" w:color="auto"/>
      </w:divBdr>
    </w:div>
    <w:div w:id="1112554999">
      <w:bodyDiv w:val="1"/>
      <w:marLeft w:val="0"/>
      <w:marRight w:val="0"/>
      <w:marTop w:val="0"/>
      <w:marBottom w:val="0"/>
      <w:divBdr>
        <w:top w:val="none" w:sz="0" w:space="0" w:color="auto"/>
        <w:left w:val="none" w:sz="0" w:space="0" w:color="auto"/>
        <w:bottom w:val="none" w:sz="0" w:space="0" w:color="auto"/>
        <w:right w:val="none" w:sz="0" w:space="0" w:color="auto"/>
      </w:divBdr>
    </w:div>
    <w:div w:id="1112556775">
      <w:bodyDiv w:val="1"/>
      <w:marLeft w:val="0"/>
      <w:marRight w:val="0"/>
      <w:marTop w:val="0"/>
      <w:marBottom w:val="0"/>
      <w:divBdr>
        <w:top w:val="none" w:sz="0" w:space="0" w:color="auto"/>
        <w:left w:val="none" w:sz="0" w:space="0" w:color="auto"/>
        <w:bottom w:val="none" w:sz="0" w:space="0" w:color="auto"/>
        <w:right w:val="none" w:sz="0" w:space="0" w:color="auto"/>
      </w:divBdr>
    </w:div>
    <w:div w:id="1112748205">
      <w:bodyDiv w:val="1"/>
      <w:marLeft w:val="0"/>
      <w:marRight w:val="0"/>
      <w:marTop w:val="0"/>
      <w:marBottom w:val="0"/>
      <w:divBdr>
        <w:top w:val="none" w:sz="0" w:space="0" w:color="auto"/>
        <w:left w:val="none" w:sz="0" w:space="0" w:color="auto"/>
        <w:bottom w:val="none" w:sz="0" w:space="0" w:color="auto"/>
        <w:right w:val="none" w:sz="0" w:space="0" w:color="auto"/>
      </w:divBdr>
    </w:div>
    <w:div w:id="1113133399">
      <w:bodyDiv w:val="1"/>
      <w:marLeft w:val="0"/>
      <w:marRight w:val="0"/>
      <w:marTop w:val="0"/>
      <w:marBottom w:val="0"/>
      <w:divBdr>
        <w:top w:val="none" w:sz="0" w:space="0" w:color="auto"/>
        <w:left w:val="none" w:sz="0" w:space="0" w:color="auto"/>
        <w:bottom w:val="none" w:sz="0" w:space="0" w:color="auto"/>
        <w:right w:val="none" w:sz="0" w:space="0" w:color="auto"/>
      </w:divBdr>
    </w:div>
    <w:div w:id="1113473543">
      <w:bodyDiv w:val="1"/>
      <w:marLeft w:val="0"/>
      <w:marRight w:val="0"/>
      <w:marTop w:val="0"/>
      <w:marBottom w:val="0"/>
      <w:divBdr>
        <w:top w:val="none" w:sz="0" w:space="0" w:color="auto"/>
        <w:left w:val="none" w:sz="0" w:space="0" w:color="auto"/>
        <w:bottom w:val="none" w:sz="0" w:space="0" w:color="auto"/>
        <w:right w:val="none" w:sz="0" w:space="0" w:color="auto"/>
      </w:divBdr>
    </w:div>
    <w:div w:id="1114405802">
      <w:bodyDiv w:val="1"/>
      <w:marLeft w:val="0"/>
      <w:marRight w:val="0"/>
      <w:marTop w:val="0"/>
      <w:marBottom w:val="0"/>
      <w:divBdr>
        <w:top w:val="none" w:sz="0" w:space="0" w:color="auto"/>
        <w:left w:val="none" w:sz="0" w:space="0" w:color="auto"/>
        <w:bottom w:val="none" w:sz="0" w:space="0" w:color="auto"/>
        <w:right w:val="none" w:sz="0" w:space="0" w:color="auto"/>
      </w:divBdr>
    </w:div>
    <w:div w:id="1114715958">
      <w:bodyDiv w:val="1"/>
      <w:marLeft w:val="0"/>
      <w:marRight w:val="0"/>
      <w:marTop w:val="0"/>
      <w:marBottom w:val="0"/>
      <w:divBdr>
        <w:top w:val="none" w:sz="0" w:space="0" w:color="auto"/>
        <w:left w:val="none" w:sz="0" w:space="0" w:color="auto"/>
        <w:bottom w:val="none" w:sz="0" w:space="0" w:color="auto"/>
        <w:right w:val="none" w:sz="0" w:space="0" w:color="auto"/>
      </w:divBdr>
    </w:div>
    <w:div w:id="1114786463">
      <w:bodyDiv w:val="1"/>
      <w:marLeft w:val="0"/>
      <w:marRight w:val="0"/>
      <w:marTop w:val="0"/>
      <w:marBottom w:val="0"/>
      <w:divBdr>
        <w:top w:val="none" w:sz="0" w:space="0" w:color="auto"/>
        <w:left w:val="none" w:sz="0" w:space="0" w:color="auto"/>
        <w:bottom w:val="none" w:sz="0" w:space="0" w:color="auto"/>
        <w:right w:val="none" w:sz="0" w:space="0" w:color="auto"/>
      </w:divBdr>
    </w:div>
    <w:div w:id="1115179572">
      <w:bodyDiv w:val="1"/>
      <w:marLeft w:val="0"/>
      <w:marRight w:val="0"/>
      <w:marTop w:val="0"/>
      <w:marBottom w:val="0"/>
      <w:divBdr>
        <w:top w:val="none" w:sz="0" w:space="0" w:color="auto"/>
        <w:left w:val="none" w:sz="0" w:space="0" w:color="auto"/>
        <w:bottom w:val="none" w:sz="0" w:space="0" w:color="auto"/>
        <w:right w:val="none" w:sz="0" w:space="0" w:color="auto"/>
      </w:divBdr>
    </w:div>
    <w:div w:id="1115758769">
      <w:bodyDiv w:val="1"/>
      <w:marLeft w:val="0"/>
      <w:marRight w:val="0"/>
      <w:marTop w:val="0"/>
      <w:marBottom w:val="0"/>
      <w:divBdr>
        <w:top w:val="none" w:sz="0" w:space="0" w:color="auto"/>
        <w:left w:val="none" w:sz="0" w:space="0" w:color="auto"/>
        <w:bottom w:val="none" w:sz="0" w:space="0" w:color="auto"/>
        <w:right w:val="none" w:sz="0" w:space="0" w:color="auto"/>
      </w:divBdr>
    </w:div>
    <w:div w:id="1115832291">
      <w:bodyDiv w:val="1"/>
      <w:marLeft w:val="0"/>
      <w:marRight w:val="0"/>
      <w:marTop w:val="0"/>
      <w:marBottom w:val="0"/>
      <w:divBdr>
        <w:top w:val="none" w:sz="0" w:space="0" w:color="auto"/>
        <w:left w:val="none" w:sz="0" w:space="0" w:color="auto"/>
        <w:bottom w:val="none" w:sz="0" w:space="0" w:color="auto"/>
        <w:right w:val="none" w:sz="0" w:space="0" w:color="auto"/>
      </w:divBdr>
    </w:div>
    <w:div w:id="1116217034">
      <w:bodyDiv w:val="1"/>
      <w:marLeft w:val="0"/>
      <w:marRight w:val="0"/>
      <w:marTop w:val="0"/>
      <w:marBottom w:val="0"/>
      <w:divBdr>
        <w:top w:val="none" w:sz="0" w:space="0" w:color="auto"/>
        <w:left w:val="none" w:sz="0" w:space="0" w:color="auto"/>
        <w:bottom w:val="none" w:sz="0" w:space="0" w:color="auto"/>
        <w:right w:val="none" w:sz="0" w:space="0" w:color="auto"/>
      </w:divBdr>
    </w:div>
    <w:div w:id="1116412049">
      <w:bodyDiv w:val="1"/>
      <w:marLeft w:val="0"/>
      <w:marRight w:val="0"/>
      <w:marTop w:val="0"/>
      <w:marBottom w:val="0"/>
      <w:divBdr>
        <w:top w:val="none" w:sz="0" w:space="0" w:color="auto"/>
        <w:left w:val="none" w:sz="0" w:space="0" w:color="auto"/>
        <w:bottom w:val="none" w:sz="0" w:space="0" w:color="auto"/>
        <w:right w:val="none" w:sz="0" w:space="0" w:color="auto"/>
      </w:divBdr>
    </w:div>
    <w:div w:id="1116606486">
      <w:bodyDiv w:val="1"/>
      <w:marLeft w:val="0"/>
      <w:marRight w:val="0"/>
      <w:marTop w:val="0"/>
      <w:marBottom w:val="0"/>
      <w:divBdr>
        <w:top w:val="none" w:sz="0" w:space="0" w:color="auto"/>
        <w:left w:val="none" w:sz="0" w:space="0" w:color="auto"/>
        <w:bottom w:val="none" w:sz="0" w:space="0" w:color="auto"/>
        <w:right w:val="none" w:sz="0" w:space="0" w:color="auto"/>
      </w:divBdr>
    </w:div>
    <w:div w:id="1116674614">
      <w:bodyDiv w:val="1"/>
      <w:marLeft w:val="0"/>
      <w:marRight w:val="0"/>
      <w:marTop w:val="0"/>
      <w:marBottom w:val="0"/>
      <w:divBdr>
        <w:top w:val="none" w:sz="0" w:space="0" w:color="auto"/>
        <w:left w:val="none" w:sz="0" w:space="0" w:color="auto"/>
        <w:bottom w:val="none" w:sz="0" w:space="0" w:color="auto"/>
        <w:right w:val="none" w:sz="0" w:space="0" w:color="auto"/>
      </w:divBdr>
    </w:div>
    <w:div w:id="1116828817">
      <w:bodyDiv w:val="1"/>
      <w:marLeft w:val="0"/>
      <w:marRight w:val="0"/>
      <w:marTop w:val="0"/>
      <w:marBottom w:val="0"/>
      <w:divBdr>
        <w:top w:val="none" w:sz="0" w:space="0" w:color="auto"/>
        <w:left w:val="none" w:sz="0" w:space="0" w:color="auto"/>
        <w:bottom w:val="none" w:sz="0" w:space="0" w:color="auto"/>
        <w:right w:val="none" w:sz="0" w:space="0" w:color="auto"/>
      </w:divBdr>
    </w:div>
    <w:div w:id="1116872555">
      <w:bodyDiv w:val="1"/>
      <w:marLeft w:val="0"/>
      <w:marRight w:val="0"/>
      <w:marTop w:val="0"/>
      <w:marBottom w:val="0"/>
      <w:divBdr>
        <w:top w:val="none" w:sz="0" w:space="0" w:color="auto"/>
        <w:left w:val="none" w:sz="0" w:space="0" w:color="auto"/>
        <w:bottom w:val="none" w:sz="0" w:space="0" w:color="auto"/>
        <w:right w:val="none" w:sz="0" w:space="0" w:color="auto"/>
      </w:divBdr>
    </w:div>
    <w:div w:id="1117065826">
      <w:bodyDiv w:val="1"/>
      <w:marLeft w:val="0"/>
      <w:marRight w:val="0"/>
      <w:marTop w:val="0"/>
      <w:marBottom w:val="0"/>
      <w:divBdr>
        <w:top w:val="none" w:sz="0" w:space="0" w:color="auto"/>
        <w:left w:val="none" w:sz="0" w:space="0" w:color="auto"/>
        <w:bottom w:val="none" w:sz="0" w:space="0" w:color="auto"/>
        <w:right w:val="none" w:sz="0" w:space="0" w:color="auto"/>
      </w:divBdr>
    </w:div>
    <w:div w:id="1117260633">
      <w:bodyDiv w:val="1"/>
      <w:marLeft w:val="0"/>
      <w:marRight w:val="0"/>
      <w:marTop w:val="0"/>
      <w:marBottom w:val="0"/>
      <w:divBdr>
        <w:top w:val="none" w:sz="0" w:space="0" w:color="auto"/>
        <w:left w:val="none" w:sz="0" w:space="0" w:color="auto"/>
        <w:bottom w:val="none" w:sz="0" w:space="0" w:color="auto"/>
        <w:right w:val="none" w:sz="0" w:space="0" w:color="auto"/>
      </w:divBdr>
    </w:div>
    <w:div w:id="1117260897">
      <w:bodyDiv w:val="1"/>
      <w:marLeft w:val="0"/>
      <w:marRight w:val="0"/>
      <w:marTop w:val="0"/>
      <w:marBottom w:val="0"/>
      <w:divBdr>
        <w:top w:val="none" w:sz="0" w:space="0" w:color="auto"/>
        <w:left w:val="none" w:sz="0" w:space="0" w:color="auto"/>
        <w:bottom w:val="none" w:sz="0" w:space="0" w:color="auto"/>
        <w:right w:val="none" w:sz="0" w:space="0" w:color="auto"/>
      </w:divBdr>
    </w:div>
    <w:div w:id="1117330025">
      <w:bodyDiv w:val="1"/>
      <w:marLeft w:val="0"/>
      <w:marRight w:val="0"/>
      <w:marTop w:val="0"/>
      <w:marBottom w:val="0"/>
      <w:divBdr>
        <w:top w:val="none" w:sz="0" w:space="0" w:color="auto"/>
        <w:left w:val="none" w:sz="0" w:space="0" w:color="auto"/>
        <w:bottom w:val="none" w:sz="0" w:space="0" w:color="auto"/>
        <w:right w:val="none" w:sz="0" w:space="0" w:color="auto"/>
      </w:divBdr>
    </w:div>
    <w:div w:id="1117481597">
      <w:bodyDiv w:val="1"/>
      <w:marLeft w:val="0"/>
      <w:marRight w:val="0"/>
      <w:marTop w:val="0"/>
      <w:marBottom w:val="0"/>
      <w:divBdr>
        <w:top w:val="none" w:sz="0" w:space="0" w:color="auto"/>
        <w:left w:val="none" w:sz="0" w:space="0" w:color="auto"/>
        <w:bottom w:val="none" w:sz="0" w:space="0" w:color="auto"/>
        <w:right w:val="none" w:sz="0" w:space="0" w:color="auto"/>
      </w:divBdr>
    </w:div>
    <w:div w:id="1117943213">
      <w:bodyDiv w:val="1"/>
      <w:marLeft w:val="0"/>
      <w:marRight w:val="0"/>
      <w:marTop w:val="0"/>
      <w:marBottom w:val="0"/>
      <w:divBdr>
        <w:top w:val="none" w:sz="0" w:space="0" w:color="auto"/>
        <w:left w:val="none" w:sz="0" w:space="0" w:color="auto"/>
        <w:bottom w:val="none" w:sz="0" w:space="0" w:color="auto"/>
        <w:right w:val="none" w:sz="0" w:space="0" w:color="auto"/>
      </w:divBdr>
    </w:div>
    <w:div w:id="1117944103">
      <w:bodyDiv w:val="1"/>
      <w:marLeft w:val="0"/>
      <w:marRight w:val="0"/>
      <w:marTop w:val="0"/>
      <w:marBottom w:val="0"/>
      <w:divBdr>
        <w:top w:val="none" w:sz="0" w:space="0" w:color="auto"/>
        <w:left w:val="none" w:sz="0" w:space="0" w:color="auto"/>
        <w:bottom w:val="none" w:sz="0" w:space="0" w:color="auto"/>
        <w:right w:val="none" w:sz="0" w:space="0" w:color="auto"/>
      </w:divBdr>
    </w:div>
    <w:div w:id="1118183873">
      <w:bodyDiv w:val="1"/>
      <w:marLeft w:val="0"/>
      <w:marRight w:val="0"/>
      <w:marTop w:val="0"/>
      <w:marBottom w:val="0"/>
      <w:divBdr>
        <w:top w:val="none" w:sz="0" w:space="0" w:color="auto"/>
        <w:left w:val="none" w:sz="0" w:space="0" w:color="auto"/>
        <w:bottom w:val="none" w:sz="0" w:space="0" w:color="auto"/>
        <w:right w:val="none" w:sz="0" w:space="0" w:color="auto"/>
      </w:divBdr>
    </w:div>
    <w:div w:id="1118330987">
      <w:bodyDiv w:val="1"/>
      <w:marLeft w:val="0"/>
      <w:marRight w:val="0"/>
      <w:marTop w:val="0"/>
      <w:marBottom w:val="0"/>
      <w:divBdr>
        <w:top w:val="none" w:sz="0" w:space="0" w:color="auto"/>
        <w:left w:val="none" w:sz="0" w:space="0" w:color="auto"/>
        <w:bottom w:val="none" w:sz="0" w:space="0" w:color="auto"/>
        <w:right w:val="none" w:sz="0" w:space="0" w:color="auto"/>
      </w:divBdr>
    </w:div>
    <w:div w:id="1118988803">
      <w:bodyDiv w:val="1"/>
      <w:marLeft w:val="0"/>
      <w:marRight w:val="0"/>
      <w:marTop w:val="0"/>
      <w:marBottom w:val="0"/>
      <w:divBdr>
        <w:top w:val="none" w:sz="0" w:space="0" w:color="auto"/>
        <w:left w:val="none" w:sz="0" w:space="0" w:color="auto"/>
        <w:bottom w:val="none" w:sz="0" w:space="0" w:color="auto"/>
        <w:right w:val="none" w:sz="0" w:space="0" w:color="auto"/>
      </w:divBdr>
    </w:div>
    <w:div w:id="1119765804">
      <w:bodyDiv w:val="1"/>
      <w:marLeft w:val="0"/>
      <w:marRight w:val="0"/>
      <w:marTop w:val="0"/>
      <w:marBottom w:val="0"/>
      <w:divBdr>
        <w:top w:val="none" w:sz="0" w:space="0" w:color="auto"/>
        <w:left w:val="none" w:sz="0" w:space="0" w:color="auto"/>
        <w:bottom w:val="none" w:sz="0" w:space="0" w:color="auto"/>
        <w:right w:val="none" w:sz="0" w:space="0" w:color="auto"/>
      </w:divBdr>
    </w:div>
    <w:div w:id="1120341317">
      <w:bodyDiv w:val="1"/>
      <w:marLeft w:val="0"/>
      <w:marRight w:val="0"/>
      <w:marTop w:val="0"/>
      <w:marBottom w:val="0"/>
      <w:divBdr>
        <w:top w:val="none" w:sz="0" w:space="0" w:color="auto"/>
        <w:left w:val="none" w:sz="0" w:space="0" w:color="auto"/>
        <w:bottom w:val="none" w:sz="0" w:space="0" w:color="auto"/>
        <w:right w:val="none" w:sz="0" w:space="0" w:color="auto"/>
      </w:divBdr>
    </w:div>
    <w:div w:id="1120496405">
      <w:bodyDiv w:val="1"/>
      <w:marLeft w:val="0"/>
      <w:marRight w:val="0"/>
      <w:marTop w:val="0"/>
      <w:marBottom w:val="0"/>
      <w:divBdr>
        <w:top w:val="none" w:sz="0" w:space="0" w:color="auto"/>
        <w:left w:val="none" w:sz="0" w:space="0" w:color="auto"/>
        <w:bottom w:val="none" w:sz="0" w:space="0" w:color="auto"/>
        <w:right w:val="none" w:sz="0" w:space="0" w:color="auto"/>
      </w:divBdr>
    </w:div>
    <w:div w:id="1120805525">
      <w:bodyDiv w:val="1"/>
      <w:marLeft w:val="0"/>
      <w:marRight w:val="0"/>
      <w:marTop w:val="0"/>
      <w:marBottom w:val="0"/>
      <w:divBdr>
        <w:top w:val="none" w:sz="0" w:space="0" w:color="auto"/>
        <w:left w:val="none" w:sz="0" w:space="0" w:color="auto"/>
        <w:bottom w:val="none" w:sz="0" w:space="0" w:color="auto"/>
        <w:right w:val="none" w:sz="0" w:space="0" w:color="auto"/>
      </w:divBdr>
    </w:div>
    <w:div w:id="1120959132">
      <w:bodyDiv w:val="1"/>
      <w:marLeft w:val="0"/>
      <w:marRight w:val="0"/>
      <w:marTop w:val="0"/>
      <w:marBottom w:val="0"/>
      <w:divBdr>
        <w:top w:val="none" w:sz="0" w:space="0" w:color="auto"/>
        <w:left w:val="none" w:sz="0" w:space="0" w:color="auto"/>
        <w:bottom w:val="none" w:sz="0" w:space="0" w:color="auto"/>
        <w:right w:val="none" w:sz="0" w:space="0" w:color="auto"/>
      </w:divBdr>
    </w:div>
    <w:div w:id="1121411454">
      <w:bodyDiv w:val="1"/>
      <w:marLeft w:val="0"/>
      <w:marRight w:val="0"/>
      <w:marTop w:val="0"/>
      <w:marBottom w:val="0"/>
      <w:divBdr>
        <w:top w:val="none" w:sz="0" w:space="0" w:color="auto"/>
        <w:left w:val="none" w:sz="0" w:space="0" w:color="auto"/>
        <w:bottom w:val="none" w:sz="0" w:space="0" w:color="auto"/>
        <w:right w:val="none" w:sz="0" w:space="0" w:color="auto"/>
      </w:divBdr>
    </w:div>
    <w:div w:id="1121463698">
      <w:bodyDiv w:val="1"/>
      <w:marLeft w:val="0"/>
      <w:marRight w:val="0"/>
      <w:marTop w:val="0"/>
      <w:marBottom w:val="0"/>
      <w:divBdr>
        <w:top w:val="none" w:sz="0" w:space="0" w:color="auto"/>
        <w:left w:val="none" w:sz="0" w:space="0" w:color="auto"/>
        <w:bottom w:val="none" w:sz="0" w:space="0" w:color="auto"/>
        <w:right w:val="none" w:sz="0" w:space="0" w:color="auto"/>
      </w:divBdr>
      <w:divsChild>
        <w:div w:id="62528514">
          <w:marLeft w:val="0"/>
          <w:marRight w:val="0"/>
          <w:marTop w:val="0"/>
          <w:marBottom w:val="0"/>
          <w:divBdr>
            <w:top w:val="none" w:sz="0" w:space="0" w:color="auto"/>
            <w:left w:val="none" w:sz="0" w:space="0" w:color="auto"/>
            <w:bottom w:val="none" w:sz="0" w:space="0" w:color="auto"/>
            <w:right w:val="none" w:sz="0" w:space="0" w:color="auto"/>
          </w:divBdr>
        </w:div>
        <w:div w:id="113330618">
          <w:marLeft w:val="0"/>
          <w:marRight w:val="0"/>
          <w:marTop w:val="0"/>
          <w:marBottom w:val="0"/>
          <w:divBdr>
            <w:top w:val="none" w:sz="0" w:space="0" w:color="auto"/>
            <w:left w:val="none" w:sz="0" w:space="0" w:color="auto"/>
            <w:bottom w:val="none" w:sz="0" w:space="0" w:color="auto"/>
            <w:right w:val="none" w:sz="0" w:space="0" w:color="auto"/>
          </w:divBdr>
        </w:div>
        <w:div w:id="126513320">
          <w:marLeft w:val="0"/>
          <w:marRight w:val="0"/>
          <w:marTop w:val="0"/>
          <w:marBottom w:val="0"/>
          <w:divBdr>
            <w:top w:val="none" w:sz="0" w:space="0" w:color="auto"/>
            <w:left w:val="none" w:sz="0" w:space="0" w:color="auto"/>
            <w:bottom w:val="none" w:sz="0" w:space="0" w:color="auto"/>
            <w:right w:val="none" w:sz="0" w:space="0" w:color="auto"/>
          </w:divBdr>
        </w:div>
        <w:div w:id="128018084">
          <w:marLeft w:val="0"/>
          <w:marRight w:val="0"/>
          <w:marTop w:val="0"/>
          <w:marBottom w:val="0"/>
          <w:divBdr>
            <w:top w:val="none" w:sz="0" w:space="0" w:color="auto"/>
            <w:left w:val="none" w:sz="0" w:space="0" w:color="auto"/>
            <w:bottom w:val="none" w:sz="0" w:space="0" w:color="auto"/>
            <w:right w:val="none" w:sz="0" w:space="0" w:color="auto"/>
          </w:divBdr>
        </w:div>
        <w:div w:id="135606082">
          <w:marLeft w:val="0"/>
          <w:marRight w:val="0"/>
          <w:marTop w:val="0"/>
          <w:marBottom w:val="0"/>
          <w:divBdr>
            <w:top w:val="none" w:sz="0" w:space="0" w:color="auto"/>
            <w:left w:val="none" w:sz="0" w:space="0" w:color="auto"/>
            <w:bottom w:val="none" w:sz="0" w:space="0" w:color="auto"/>
            <w:right w:val="none" w:sz="0" w:space="0" w:color="auto"/>
          </w:divBdr>
        </w:div>
        <w:div w:id="148718873">
          <w:marLeft w:val="0"/>
          <w:marRight w:val="0"/>
          <w:marTop w:val="0"/>
          <w:marBottom w:val="0"/>
          <w:divBdr>
            <w:top w:val="none" w:sz="0" w:space="0" w:color="auto"/>
            <w:left w:val="none" w:sz="0" w:space="0" w:color="auto"/>
            <w:bottom w:val="none" w:sz="0" w:space="0" w:color="auto"/>
            <w:right w:val="none" w:sz="0" w:space="0" w:color="auto"/>
          </w:divBdr>
        </w:div>
        <w:div w:id="184563093">
          <w:marLeft w:val="0"/>
          <w:marRight w:val="0"/>
          <w:marTop w:val="0"/>
          <w:marBottom w:val="0"/>
          <w:divBdr>
            <w:top w:val="none" w:sz="0" w:space="0" w:color="auto"/>
            <w:left w:val="none" w:sz="0" w:space="0" w:color="auto"/>
            <w:bottom w:val="none" w:sz="0" w:space="0" w:color="auto"/>
            <w:right w:val="none" w:sz="0" w:space="0" w:color="auto"/>
          </w:divBdr>
        </w:div>
        <w:div w:id="188493842">
          <w:marLeft w:val="0"/>
          <w:marRight w:val="0"/>
          <w:marTop w:val="0"/>
          <w:marBottom w:val="0"/>
          <w:divBdr>
            <w:top w:val="none" w:sz="0" w:space="0" w:color="auto"/>
            <w:left w:val="none" w:sz="0" w:space="0" w:color="auto"/>
            <w:bottom w:val="none" w:sz="0" w:space="0" w:color="auto"/>
            <w:right w:val="none" w:sz="0" w:space="0" w:color="auto"/>
          </w:divBdr>
        </w:div>
        <w:div w:id="196354644">
          <w:marLeft w:val="0"/>
          <w:marRight w:val="0"/>
          <w:marTop w:val="0"/>
          <w:marBottom w:val="0"/>
          <w:divBdr>
            <w:top w:val="none" w:sz="0" w:space="0" w:color="auto"/>
            <w:left w:val="none" w:sz="0" w:space="0" w:color="auto"/>
            <w:bottom w:val="none" w:sz="0" w:space="0" w:color="auto"/>
            <w:right w:val="none" w:sz="0" w:space="0" w:color="auto"/>
          </w:divBdr>
        </w:div>
        <w:div w:id="263074062">
          <w:marLeft w:val="0"/>
          <w:marRight w:val="0"/>
          <w:marTop w:val="0"/>
          <w:marBottom w:val="0"/>
          <w:divBdr>
            <w:top w:val="none" w:sz="0" w:space="0" w:color="auto"/>
            <w:left w:val="none" w:sz="0" w:space="0" w:color="auto"/>
            <w:bottom w:val="none" w:sz="0" w:space="0" w:color="auto"/>
            <w:right w:val="none" w:sz="0" w:space="0" w:color="auto"/>
          </w:divBdr>
        </w:div>
        <w:div w:id="290285063">
          <w:marLeft w:val="0"/>
          <w:marRight w:val="0"/>
          <w:marTop w:val="0"/>
          <w:marBottom w:val="0"/>
          <w:divBdr>
            <w:top w:val="none" w:sz="0" w:space="0" w:color="auto"/>
            <w:left w:val="none" w:sz="0" w:space="0" w:color="auto"/>
            <w:bottom w:val="none" w:sz="0" w:space="0" w:color="auto"/>
            <w:right w:val="none" w:sz="0" w:space="0" w:color="auto"/>
          </w:divBdr>
        </w:div>
        <w:div w:id="293027617">
          <w:marLeft w:val="0"/>
          <w:marRight w:val="0"/>
          <w:marTop w:val="0"/>
          <w:marBottom w:val="0"/>
          <w:divBdr>
            <w:top w:val="none" w:sz="0" w:space="0" w:color="auto"/>
            <w:left w:val="none" w:sz="0" w:space="0" w:color="auto"/>
            <w:bottom w:val="none" w:sz="0" w:space="0" w:color="auto"/>
            <w:right w:val="none" w:sz="0" w:space="0" w:color="auto"/>
          </w:divBdr>
        </w:div>
        <w:div w:id="343632582">
          <w:marLeft w:val="0"/>
          <w:marRight w:val="0"/>
          <w:marTop w:val="0"/>
          <w:marBottom w:val="0"/>
          <w:divBdr>
            <w:top w:val="none" w:sz="0" w:space="0" w:color="auto"/>
            <w:left w:val="none" w:sz="0" w:space="0" w:color="auto"/>
            <w:bottom w:val="none" w:sz="0" w:space="0" w:color="auto"/>
            <w:right w:val="none" w:sz="0" w:space="0" w:color="auto"/>
          </w:divBdr>
        </w:div>
        <w:div w:id="444351606">
          <w:marLeft w:val="0"/>
          <w:marRight w:val="0"/>
          <w:marTop w:val="0"/>
          <w:marBottom w:val="0"/>
          <w:divBdr>
            <w:top w:val="none" w:sz="0" w:space="0" w:color="auto"/>
            <w:left w:val="none" w:sz="0" w:space="0" w:color="auto"/>
            <w:bottom w:val="none" w:sz="0" w:space="0" w:color="auto"/>
            <w:right w:val="none" w:sz="0" w:space="0" w:color="auto"/>
          </w:divBdr>
        </w:div>
        <w:div w:id="519708755">
          <w:marLeft w:val="0"/>
          <w:marRight w:val="0"/>
          <w:marTop w:val="0"/>
          <w:marBottom w:val="0"/>
          <w:divBdr>
            <w:top w:val="none" w:sz="0" w:space="0" w:color="auto"/>
            <w:left w:val="none" w:sz="0" w:space="0" w:color="auto"/>
            <w:bottom w:val="none" w:sz="0" w:space="0" w:color="auto"/>
            <w:right w:val="none" w:sz="0" w:space="0" w:color="auto"/>
          </w:divBdr>
        </w:div>
        <w:div w:id="527060559">
          <w:marLeft w:val="0"/>
          <w:marRight w:val="0"/>
          <w:marTop w:val="0"/>
          <w:marBottom w:val="0"/>
          <w:divBdr>
            <w:top w:val="none" w:sz="0" w:space="0" w:color="auto"/>
            <w:left w:val="none" w:sz="0" w:space="0" w:color="auto"/>
            <w:bottom w:val="none" w:sz="0" w:space="0" w:color="auto"/>
            <w:right w:val="none" w:sz="0" w:space="0" w:color="auto"/>
          </w:divBdr>
        </w:div>
        <w:div w:id="569464589">
          <w:marLeft w:val="0"/>
          <w:marRight w:val="0"/>
          <w:marTop w:val="0"/>
          <w:marBottom w:val="0"/>
          <w:divBdr>
            <w:top w:val="none" w:sz="0" w:space="0" w:color="auto"/>
            <w:left w:val="none" w:sz="0" w:space="0" w:color="auto"/>
            <w:bottom w:val="none" w:sz="0" w:space="0" w:color="auto"/>
            <w:right w:val="none" w:sz="0" w:space="0" w:color="auto"/>
          </w:divBdr>
        </w:div>
        <w:div w:id="580991624">
          <w:marLeft w:val="0"/>
          <w:marRight w:val="0"/>
          <w:marTop w:val="0"/>
          <w:marBottom w:val="0"/>
          <w:divBdr>
            <w:top w:val="none" w:sz="0" w:space="0" w:color="auto"/>
            <w:left w:val="none" w:sz="0" w:space="0" w:color="auto"/>
            <w:bottom w:val="none" w:sz="0" w:space="0" w:color="auto"/>
            <w:right w:val="none" w:sz="0" w:space="0" w:color="auto"/>
          </w:divBdr>
        </w:div>
        <w:div w:id="600375493">
          <w:marLeft w:val="0"/>
          <w:marRight w:val="0"/>
          <w:marTop w:val="0"/>
          <w:marBottom w:val="0"/>
          <w:divBdr>
            <w:top w:val="none" w:sz="0" w:space="0" w:color="auto"/>
            <w:left w:val="none" w:sz="0" w:space="0" w:color="auto"/>
            <w:bottom w:val="none" w:sz="0" w:space="0" w:color="auto"/>
            <w:right w:val="none" w:sz="0" w:space="0" w:color="auto"/>
          </w:divBdr>
        </w:div>
        <w:div w:id="602104139">
          <w:marLeft w:val="0"/>
          <w:marRight w:val="0"/>
          <w:marTop w:val="0"/>
          <w:marBottom w:val="0"/>
          <w:divBdr>
            <w:top w:val="none" w:sz="0" w:space="0" w:color="auto"/>
            <w:left w:val="none" w:sz="0" w:space="0" w:color="auto"/>
            <w:bottom w:val="none" w:sz="0" w:space="0" w:color="auto"/>
            <w:right w:val="none" w:sz="0" w:space="0" w:color="auto"/>
          </w:divBdr>
        </w:div>
        <w:div w:id="661391119">
          <w:marLeft w:val="0"/>
          <w:marRight w:val="0"/>
          <w:marTop w:val="0"/>
          <w:marBottom w:val="0"/>
          <w:divBdr>
            <w:top w:val="none" w:sz="0" w:space="0" w:color="auto"/>
            <w:left w:val="none" w:sz="0" w:space="0" w:color="auto"/>
            <w:bottom w:val="none" w:sz="0" w:space="0" w:color="auto"/>
            <w:right w:val="none" w:sz="0" w:space="0" w:color="auto"/>
          </w:divBdr>
        </w:div>
        <w:div w:id="673991099">
          <w:marLeft w:val="0"/>
          <w:marRight w:val="0"/>
          <w:marTop w:val="0"/>
          <w:marBottom w:val="0"/>
          <w:divBdr>
            <w:top w:val="none" w:sz="0" w:space="0" w:color="auto"/>
            <w:left w:val="none" w:sz="0" w:space="0" w:color="auto"/>
            <w:bottom w:val="none" w:sz="0" w:space="0" w:color="auto"/>
            <w:right w:val="none" w:sz="0" w:space="0" w:color="auto"/>
          </w:divBdr>
        </w:div>
        <w:div w:id="701633929">
          <w:marLeft w:val="0"/>
          <w:marRight w:val="0"/>
          <w:marTop w:val="0"/>
          <w:marBottom w:val="0"/>
          <w:divBdr>
            <w:top w:val="none" w:sz="0" w:space="0" w:color="auto"/>
            <w:left w:val="none" w:sz="0" w:space="0" w:color="auto"/>
            <w:bottom w:val="none" w:sz="0" w:space="0" w:color="auto"/>
            <w:right w:val="none" w:sz="0" w:space="0" w:color="auto"/>
          </w:divBdr>
        </w:div>
        <w:div w:id="754669347">
          <w:marLeft w:val="0"/>
          <w:marRight w:val="0"/>
          <w:marTop w:val="0"/>
          <w:marBottom w:val="0"/>
          <w:divBdr>
            <w:top w:val="none" w:sz="0" w:space="0" w:color="auto"/>
            <w:left w:val="none" w:sz="0" w:space="0" w:color="auto"/>
            <w:bottom w:val="none" w:sz="0" w:space="0" w:color="auto"/>
            <w:right w:val="none" w:sz="0" w:space="0" w:color="auto"/>
          </w:divBdr>
        </w:div>
        <w:div w:id="754858168">
          <w:marLeft w:val="0"/>
          <w:marRight w:val="0"/>
          <w:marTop w:val="0"/>
          <w:marBottom w:val="0"/>
          <w:divBdr>
            <w:top w:val="none" w:sz="0" w:space="0" w:color="auto"/>
            <w:left w:val="none" w:sz="0" w:space="0" w:color="auto"/>
            <w:bottom w:val="none" w:sz="0" w:space="0" w:color="auto"/>
            <w:right w:val="none" w:sz="0" w:space="0" w:color="auto"/>
          </w:divBdr>
        </w:div>
        <w:div w:id="834565998">
          <w:marLeft w:val="0"/>
          <w:marRight w:val="0"/>
          <w:marTop w:val="0"/>
          <w:marBottom w:val="0"/>
          <w:divBdr>
            <w:top w:val="none" w:sz="0" w:space="0" w:color="auto"/>
            <w:left w:val="none" w:sz="0" w:space="0" w:color="auto"/>
            <w:bottom w:val="none" w:sz="0" w:space="0" w:color="auto"/>
            <w:right w:val="none" w:sz="0" w:space="0" w:color="auto"/>
          </w:divBdr>
        </w:div>
        <w:div w:id="876699454">
          <w:marLeft w:val="0"/>
          <w:marRight w:val="0"/>
          <w:marTop w:val="0"/>
          <w:marBottom w:val="0"/>
          <w:divBdr>
            <w:top w:val="none" w:sz="0" w:space="0" w:color="auto"/>
            <w:left w:val="none" w:sz="0" w:space="0" w:color="auto"/>
            <w:bottom w:val="none" w:sz="0" w:space="0" w:color="auto"/>
            <w:right w:val="none" w:sz="0" w:space="0" w:color="auto"/>
          </w:divBdr>
        </w:div>
        <w:div w:id="878010103">
          <w:marLeft w:val="0"/>
          <w:marRight w:val="0"/>
          <w:marTop w:val="0"/>
          <w:marBottom w:val="0"/>
          <w:divBdr>
            <w:top w:val="none" w:sz="0" w:space="0" w:color="auto"/>
            <w:left w:val="none" w:sz="0" w:space="0" w:color="auto"/>
            <w:bottom w:val="none" w:sz="0" w:space="0" w:color="auto"/>
            <w:right w:val="none" w:sz="0" w:space="0" w:color="auto"/>
          </w:divBdr>
        </w:div>
        <w:div w:id="883055143">
          <w:marLeft w:val="0"/>
          <w:marRight w:val="0"/>
          <w:marTop w:val="0"/>
          <w:marBottom w:val="0"/>
          <w:divBdr>
            <w:top w:val="none" w:sz="0" w:space="0" w:color="auto"/>
            <w:left w:val="none" w:sz="0" w:space="0" w:color="auto"/>
            <w:bottom w:val="none" w:sz="0" w:space="0" w:color="auto"/>
            <w:right w:val="none" w:sz="0" w:space="0" w:color="auto"/>
          </w:divBdr>
        </w:div>
        <w:div w:id="883372492">
          <w:marLeft w:val="0"/>
          <w:marRight w:val="0"/>
          <w:marTop w:val="0"/>
          <w:marBottom w:val="0"/>
          <w:divBdr>
            <w:top w:val="none" w:sz="0" w:space="0" w:color="auto"/>
            <w:left w:val="none" w:sz="0" w:space="0" w:color="auto"/>
            <w:bottom w:val="none" w:sz="0" w:space="0" w:color="auto"/>
            <w:right w:val="none" w:sz="0" w:space="0" w:color="auto"/>
          </w:divBdr>
        </w:div>
        <w:div w:id="888541399">
          <w:marLeft w:val="0"/>
          <w:marRight w:val="0"/>
          <w:marTop w:val="0"/>
          <w:marBottom w:val="0"/>
          <w:divBdr>
            <w:top w:val="none" w:sz="0" w:space="0" w:color="auto"/>
            <w:left w:val="none" w:sz="0" w:space="0" w:color="auto"/>
            <w:bottom w:val="none" w:sz="0" w:space="0" w:color="auto"/>
            <w:right w:val="none" w:sz="0" w:space="0" w:color="auto"/>
          </w:divBdr>
        </w:div>
        <w:div w:id="892034784">
          <w:marLeft w:val="0"/>
          <w:marRight w:val="0"/>
          <w:marTop w:val="0"/>
          <w:marBottom w:val="0"/>
          <w:divBdr>
            <w:top w:val="none" w:sz="0" w:space="0" w:color="auto"/>
            <w:left w:val="none" w:sz="0" w:space="0" w:color="auto"/>
            <w:bottom w:val="none" w:sz="0" w:space="0" w:color="auto"/>
            <w:right w:val="none" w:sz="0" w:space="0" w:color="auto"/>
          </w:divBdr>
        </w:div>
        <w:div w:id="897281756">
          <w:marLeft w:val="0"/>
          <w:marRight w:val="0"/>
          <w:marTop w:val="0"/>
          <w:marBottom w:val="0"/>
          <w:divBdr>
            <w:top w:val="none" w:sz="0" w:space="0" w:color="auto"/>
            <w:left w:val="none" w:sz="0" w:space="0" w:color="auto"/>
            <w:bottom w:val="none" w:sz="0" w:space="0" w:color="auto"/>
            <w:right w:val="none" w:sz="0" w:space="0" w:color="auto"/>
          </w:divBdr>
        </w:div>
        <w:div w:id="988359881">
          <w:marLeft w:val="0"/>
          <w:marRight w:val="0"/>
          <w:marTop w:val="0"/>
          <w:marBottom w:val="0"/>
          <w:divBdr>
            <w:top w:val="none" w:sz="0" w:space="0" w:color="auto"/>
            <w:left w:val="none" w:sz="0" w:space="0" w:color="auto"/>
            <w:bottom w:val="none" w:sz="0" w:space="0" w:color="auto"/>
            <w:right w:val="none" w:sz="0" w:space="0" w:color="auto"/>
          </w:divBdr>
        </w:div>
        <w:div w:id="988483897">
          <w:marLeft w:val="0"/>
          <w:marRight w:val="0"/>
          <w:marTop w:val="0"/>
          <w:marBottom w:val="0"/>
          <w:divBdr>
            <w:top w:val="none" w:sz="0" w:space="0" w:color="auto"/>
            <w:left w:val="none" w:sz="0" w:space="0" w:color="auto"/>
            <w:bottom w:val="none" w:sz="0" w:space="0" w:color="auto"/>
            <w:right w:val="none" w:sz="0" w:space="0" w:color="auto"/>
          </w:divBdr>
        </w:div>
        <w:div w:id="1023632747">
          <w:marLeft w:val="0"/>
          <w:marRight w:val="0"/>
          <w:marTop w:val="0"/>
          <w:marBottom w:val="0"/>
          <w:divBdr>
            <w:top w:val="none" w:sz="0" w:space="0" w:color="auto"/>
            <w:left w:val="none" w:sz="0" w:space="0" w:color="auto"/>
            <w:bottom w:val="none" w:sz="0" w:space="0" w:color="auto"/>
            <w:right w:val="none" w:sz="0" w:space="0" w:color="auto"/>
          </w:divBdr>
        </w:div>
        <w:div w:id="1095590332">
          <w:marLeft w:val="0"/>
          <w:marRight w:val="0"/>
          <w:marTop w:val="0"/>
          <w:marBottom w:val="0"/>
          <w:divBdr>
            <w:top w:val="none" w:sz="0" w:space="0" w:color="auto"/>
            <w:left w:val="none" w:sz="0" w:space="0" w:color="auto"/>
            <w:bottom w:val="none" w:sz="0" w:space="0" w:color="auto"/>
            <w:right w:val="none" w:sz="0" w:space="0" w:color="auto"/>
          </w:divBdr>
        </w:div>
        <w:div w:id="1113524410">
          <w:marLeft w:val="0"/>
          <w:marRight w:val="0"/>
          <w:marTop w:val="0"/>
          <w:marBottom w:val="0"/>
          <w:divBdr>
            <w:top w:val="none" w:sz="0" w:space="0" w:color="auto"/>
            <w:left w:val="none" w:sz="0" w:space="0" w:color="auto"/>
            <w:bottom w:val="none" w:sz="0" w:space="0" w:color="auto"/>
            <w:right w:val="none" w:sz="0" w:space="0" w:color="auto"/>
          </w:divBdr>
        </w:div>
        <w:div w:id="1148984374">
          <w:marLeft w:val="0"/>
          <w:marRight w:val="0"/>
          <w:marTop w:val="0"/>
          <w:marBottom w:val="0"/>
          <w:divBdr>
            <w:top w:val="none" w:sz="0" w:space="0" w:color="auto"/>
            <w:left w:val="none" w:sz="0" w:space="0" w:color="auto"/>
            <w:bottom w:val="none" w:sz="0" w:space="0" w:color="auto"/>
            <w:right w:val="none" w:sz="0" w:space="0" w:color="auto"/>
          </w:divBdr>
        </w:div>
        <w:div w:id="1195538395">
          <w:marLeft w:val="0"/>
          <w:marRight w:val="0"/>
          <w:marTop w:val="0"/>
          <w:marBottom w:val="0"/>
          <w:divBdr>
            <w:top w:val="none" w:sz="0" w:space="0" w:color="auto"/>
            <w:left w:val="none" w:sz="0" w:space="0" w:color="auto"/>
            <w:bottom w:val="none" w:sz="0" w:space="0" w:color="auto"/>
            <w:right w:val="none" w:sz="0" w:space="0" w:color="auto"/>
          </w:divBdr>
        </w:div>
        <w:div w:id="1217357476">
          <w:marLeft w:val="0"/>
          <w:marRight w:val="0"/>
          <w:marTop w:val="0"/>
          <w:marBottom w:val="0"/>
          <w:divBdr>
            <w:top w:val="none" w:sz="0" w:space="0" w:color="auto"/>
            <w:left w:val="none" w:sz="0" w:space="0" w:color="auto"/>
            <w:bottom w:val="none" w:sz="0" w:space="0" w:color="auto"/>
            <w:right w:val="none" w:sz="0" w:space="0" w:color="auto"/>
          </w:divBdr>
        </w:div>
        <w:div w:id="1218973157">
          <w:marLeft w:val="0"/>
          <w:marRight w:val="0"/>
          <w:marTop w:val="0"/>
          <w:marBottom w:val="0"/>
          <w:divBdr>
            <w:top w:val="none" w:sz="0" w:space="0" w:color="auto"/>
            <w:left w:val="none" w:sz="0" w:space="0" w:color="auto"/>
            <w:bottom w:val="none" w:sz="0" w:space="0" w:color="auto"/>
            <w:right w:val="none" w:sz="0" w:space="0" w:color="auto"/>
          </w:divBdr>
        </w:div>
        <w:div w:id="1249197171">
          <w:marLeft w:val="0"/>
          <w:marRight w:val="0"/>
          <w:marTop w:val="0"/>
          <w:marBottom w:val="0"/>
          <w:divBdr>
            <w:top w:val="none" w:sz="0" w:space="0" w:color="auto"/>
            <w:left w:val="none" w:sz="0" w:space="0" w:color="auto"/>
            <w:bottom w:val="none" w:sz="0" w:space="0" w:color="auto"/>
            <w:right w:val="none" w:sz="0" w:space="0" w:color="auto"/>
          </w:divBdr>
        </w:div>
        <w:div w:id="1269922530">
          <w:marLeft w:val="0"/>
          <w:marRight w:val="0"/>
          <w:marTop w:val="0"/>
          <w:marBottom w:val="0"/>
          <w:divBdr>
            <w:top w:val="none" w:sz="0" w:space="0" w:color="auto"/>
            <w:left w:val="none" w:sz="0" w:space="0" w:color="auto"/>
            <w:bottom w:val="none" w:sz="0" w:space="0" w:color="auto"/>
            <w:right w:val="none" w:sz="0" w:space="0" w:color="auto"/>
          </w:divBdr>
        </w:div>
        <w:div w:id="1288705792">
          <w:marLeft w:val="0"/>
          <w:marRight w:val="0"/>
          <w:marTop w:val="0"/>
          <w:marBottom w:val="0"/>
          <w:divBdr>
            <w:top w:val="none" w:sz="0" w:space="0" w:color="auto"/>
            <w:left w:val="none" w:sz="0" w:space="0" w:color="auto"/>
            <w:bottom w:val="none" w:sz="0" w:space="0" w:color="auto"/>
            <w:right w:val="none" w:sz="0" w:space="0" w:color="auto"/>
          </w:divBdr>
        </w:div>
        <w:div w:id="1337804257">
          <w:marLeft w:val="0"/>
          <w:marRight w:val="0"/>
          <w:marTop w:val="0"/>
          <w:marBottom w:val="0"/>
          <w:divBdr>
            <w:top w:val="none" w:sz="0" w:space="0" w:color="auto"/>
            <w:left w:val="none" w:sz="0" w:space="0" w:color="auto"/>
            <w:bottom w:val="none" w:sz="0" w:space="0" w:color="auto"/>
            <w:right w:val="none" w:sz="0" w:space="0" w:color="auto"/>
          </w:divBdr>
        </w:div>
        <w:div w:id="1375614463">
          <w:marLeft w:val="0"/>
          <w:marRight w:val="0"/>
          <w:marTop w:val="0"/>
          <w:marBottom w:val="0"/>
          <w:divBdr>
            <w:top w:val="none" w:sz="0" w:space="0" w:color="auto"/>
            <w:left w:val="none" w:sz="0" w:space="0" w:color="auto"/>
            <w:bottom w:val="none" w:sz="0" w:space="0" w:color="auto"/>
            <w:right w:val="none" w:sz="0" w:space="0" w:color="auto"/>
          </w:divBdr>
        </w:div>
        <w:div w:id="1375815547">
          <w:marLeft w:val="0"/>
          <w:marRight w:val="0"/>
          <w:marTop w:val="0"/>
          <w:marBottom w:val="0"/>
          <w:divBdr>
            <w:top w:val="none" w:sz="0" w:space="0" w:color="auto"/>
            <w:left w:val="none" w:sz="0" w:space="0" w:color="auto"/>
            <w:bottom w:val="none" w:sz="0" w:space="0" w:color="auto"/>
            <w:right w:val="none" w:sz="0" w:space="0" w:color="auto"/>
          </w:divBdr>
        </w:div>
        <w:div w:id="1387417093">
          <w:marLeft w:val="0"/>
          <w:marRight w:val="0"/>
          <w:marTop w:val="0"/>
          <w:marBottom w:val="0"/>
          <w:divBdr>
            <w:top w:val="none" w:sz="0" w:space="0" w:color="auto"/>
            <w:left w:val="none" w:sz="0" w:space="0" w:color="auto"/>
            <w:bottom w:val="none" w:sz="0" w:space="0" w:color="auto"/>
            <w:right w:val="none" w:sz="0" w:space="0" w:color="auto"/>
          </w:divBdr>
        </w:div>
        <w:div w:id="1401751411">
          <w:marLeft w:val="0"/>
          <w:marRight w:val="0"/>
          <w:marTop w:val="0"/>
          <w:marBottom w:val="0"/>
          <w:divBdr>
            <w:top w:val="none" w:sz="0" w:space="0" w:color="auto"/>
            <w:left w:val="none" w:sz="0" w:space="0" w:color="auto"/>
            <w:bottom w:val="none" w:sz="0" w:space="0" w:color="auto"/>
            <w:right w:val="none" w:sz="0" w:space="0" w:color="auto"/>
          </w:divBdr>
        </w:div>
        <w:div w:id="1438402726">
          <w:marLeft w:val="0"/>
          <w:marRight w:val="0"/>
          <w:marTop w:val="0"/>
          <w:marBottom w:val="0"/>
          <w:divBdr>
            <w:top w:val="none" w:sz="0" w:space="0" w:color="auto"/>
            <w:left w:val="none" w:sz="0" w:space="0" w:color="auto"/>
            <w:bottom w:val="none" w:sz="0" w:space="0" w:color="auto"/>
            <w:right w:val="none" w:sz="0" w:space="0" w:color="auto"/>
          </w:divBdr>
        </w:div>
        <w:div w:id="1448089052">
          <w:marLeft w:val="0"/>
          <w:marRight w:val="0"/>
          <w:marTop w:val="0"/>
          <w:marBottom w:val="0"/>
          <w:divBdr>
            <w:top w:val="none" w:sz="0" w:space="0" w:color="auto"/>
            <w:left w:val="none" w:sz="0" w:space="0" w:color="auto"/>
            <w:bottom w:val="none" w:sz="0" w:space="0" w:color="auto"/>
            <w:right w:val="none" w:sz="0" w:space="0" w:color="auto"/>
          </w:divBdr>
        </w:div>
        <w:div w:id="1494101890">
          <w:marLeft w:val="0"/>
          <w:marRight w:val="0"/>
          <w:marTop w:val="0"/>
          <w:marBottom w:val="0"/>
          <w:divBdr>
            <w:top w:val="none" w:sz="0" w:space="0" w:color="auto"/>
            <w:left w:val="none" w:sz="0" w:space="0" w:color="auto"/>
            <w:bottom w:val="none" w:sz="0" w:space="0" w:color="auto"/>
            <w:right w:val="none" w:sz="0" w:space="0" w:color="auto"/>
          </w:divBdr>
        </w:div>
        <w:div w:id="1552645357">
          <w:marLeft w:val="0"/>
          <w:marRight w:val="0"/>
          <w:marTop w:val="0"/>
          <w:marBottom w:val="0"/>
          <w:divBdr>
            <w:top w:val="none" w:sz="0" w:space="0" w:color="auto"/>
            <w:left w:val="none" w:sz="0" w:space="0" w:color="auto"/>
            <w:bottom w:val="none" w:sz="0" w:space="0" w:color="auto"/>
            <w:right w:val="none" w:sz="0" w:space="0" w:color="auto"/>
          </w:divBdr>
        </w:div>
        <w:div w:id="1576819690">
          <w:marLeft w:val="0"/>
          <w:marRight w:val="0"/>
          <w:marTop w:val="0"/>
          <w:marBottom w:val="0"/>
          <w:divBdr>
            <w:top w:val="none" w:sz="0" w:space="0" w:color="auto"/>
            <w:left w:val="none" w:sz="0" w:space="0" w:color="auto"/>
            <w:bottom w:val="none" w:sz="0" w:space="0" w:color="auto"/>
            <w:right w:val="none" w:sz="0" w:space="0" w:color="auto"/>
          </w:divBdr>
        </w:div>
        <w:div w:id="1657152617">
          <w:marLeft w:val="0"/>
          <w:marRight w:val="0"/>
          <w:marTop w:val="0"/>
          <w:marBottom w:val="0"/>
          <w:divBdr>
            <w:top w:val="none" w:sz="0" w:space="0" w:color="auto"/>
            <w:left w:val="none" w:sz="0" w:space="0" w:color="auto"/>
            <w:bottom w:val="none" w:sz="0" w:space="0" w:color="auto"/>
            <w:right w:val="none" w:sz="0" w:space="0" w:color="auto"/>
          </w:divBdr>
        </w:div>
        <w:div w:id="1765345451">
          <w:marLeft w:val="0"/>
          <w:marRight w:val="0"/>
          <w:marTop w:val="0"/>
          <w:marBottom w:val="0"/>
          <w:divBdr>
            <w:top w:val="none" w:sz="0" w:space="0" w:color="auto"/>
            <w:left w:val="none" w:sz="0" w:space="0" w:color="auto"/>
            <w:bottom w:val="none" w:sz="0" w:space="0" w:color="auto"/>
            <w:right w:val="none" w:sz="0" w:space="0" w:color="auto"/>
          </w:divBdr>
        </w:div>
        <w:div w:id="1828323505">
          <w:marLeft w:val="0"/>
          <w:marRight w:val="0"/>
          <w:marTop w:val="0"/>
          <w:marBottom w:val="0"/>
          <w:divBdr>
            <w:top w:val="none" w:sz="0" w:space="0" w:color="auto"/>
            <w:left w:val="none" w:sz="0" w:space="0" w:color="auto"/>
            <w:bottom w:val="none" w:sz="0" w:space="0" w:color="auto"/>
            <w:right w:val="none" w:sz="0" w:space="0" w:color="auto"/>
          </w:divBdr>
        </w:div>
        <w:div w:id="1844122937">
          <w:marLeft w:val="0"/>
          <w:marRight w:val="0"/>
          <w:marTop w:val="0"/>
          <w:marBottom w:val="0"/>
          <w:divBdr>
            <w:top w:val="none" w:sz="0" w:space="0" w:color="auto"/>
            <w:left w:val="none" w:sz="0" w:space="0" w:color="auto"/>
            <w:bottom w:val="none" w:sz="0" w:space="0" w:color="auto"/>
            <w:right w:val="none" w:sz="0" w:space="0" w:color="auto"/>
          </w:divBdr>
        </w:div>
        <w:div w:id="1864052261">
          <w:marLeft w:val="0"/>
          <w:marRight w:val="0"/>
          <w:marTop w:val="0"/>
          <w:marBottom w:val="0"/>
          <w:divBdr>
            <w:top w:val="none" w:sz="0" w:space="0" w:color="auto"/>
            <w:left w:val="none" w:sz="0" w:space="0" w:color="auto"/>
            <w:bottom w:val="none" w:sz="0" w:space="0" w:color="auto"/>
            <w:right w:val="none" w:sz="0" w:space="0" w:color="auto"/>
          </w:divBdr>
        </w:div>
        <w:div w:id="1900820221">
          <w:marLeft w:val="0"/>
          <w:marRight w:val="0"/>
          <w:marTop w:val="0"/>
          <w:marBottom w:val="0"/>
          <w:divBdr>
            <w:top w:val="none" w:sz="0" w:space="0" w:color="auto"/>
            <w:left w:val="none" w:sz="0" w:space="0" w:color="auto"/>
            <w:bottom w:val="none" w:sz="0" w:space="0" w:color="auto"/>
            <w:right w:val="none" w:sz="0" w:space="0" w:color="auto"/>
          </w:divBdr>
        </w:div>
        <w:div w:id="1908221774">
          <w:marLeft w:val="0"/>
          <w:marRight w:val="0"/>
          <w:marTop w:val="0"/>
          <w:marBottom w:val="0"/>
          <w:divBdr>
            <w:top w:val="none" w:sz="0" w:space="0" w:color="auto"/>
            <w:left w:val="none" w:sz="0" w:space="0" w:color="auto"/>
            <w:bottom w:val="none" w:sz="0" w:space="0" w:color="auto"/>
            <w:right w:val="none" w:sz="0" w:space="0" w:color="auto"/>
          </w:divBdr>
        </w:div>
        <w:div w:id="1912887822">
          <w:marLeft w:val="0"/>
          <w:marRight w:val="0"/>
          <w:marTop w:val="0"/>
          <w:marBottom w:val="0"/>
          <w:divBdr>
            <w:top w:val="none" w:sz="0" w:space="0" w:color="auto"/>
            <w:left w:val="none" w:sz="0" w:space="0" w:color="auto"/>
            <w:bottom w:val="none" w:sz="0" w:space="0" w:color="auto"/>
            <w:right w:val="none" w:sz="0" w:space="0" w:color="auto"/>
          </w:divBdr>
        </w:div>
        <w:div w:id="1913352201">
          <w:marLeft w:val="0"/>
          <w:marRight w:val="0"/>
          <w:marTop w:val="0"/>
          <w:marBottom w:val="0"/>
          <w:divBdr>
            <w:top w:val="none" w:sz="0" w:space="0" w:color="auto"/>
            <w:left w:val="none" w:sz="0" w:space="0" w:color="auto"/>
            <w:bottom w:val="none" w:sz="0" w:space="0" w:color="auto"/>
            <w:right w:val="none" w:sz="0" w:space="0" w:color="auto"/>
          </w:divBdr>
        </w:div>
        <w:div w:id="1971354872">
          <w:marLeft w:val="0"/>
          <w:marRight w:val="0"/>
          <w:marTop w:val="0"/>
          <w:marBottom w:val="0"/>
          <w:divBdr>
            <w:top w:val="none" w:sz="0" w:space="0" w:color="auto"/>
            <w:left w:val="none" w:sz="0" w:space="0" w:color="auto"/>
            <w:bottom w:val="none" w:sz="0" w:space="0" w:color="auto"/>
            <w:right w:val="none" w:sz="0" w:space="0" w:color="auto"/>
          </w:divBdr>
        </w:div>
        <w:div w:id="1996686894">
          <w:marLeft w:val="0"/>
          <w:marRight w:val="0"/>
          <w:marTop w:val="0"/>
          <w:marBottom w:val="0"/>
          <w:divBdr>
            <w:top w:val="none" w:sz="0" w:space="0" w:color="auto"/>
            <w:left w:val="none" w:sz="0" w:space="0" w:color="auto"/>
            <w:bottom w:val="none" w:sz="0" w:space="0" w:color="auto"/>
            <w:right w:val="none" w:sz="0" w:space="0" w:color="auto"/>
          </w:divBdr>
        </w:div>
        <w:div w:id="2007709799">
          <w:marLeft w:val="0"/>
          <w:marRight w:val="0"/>
          <w:marTop w:val="0"/>
          <w:marBottom w:val="0"/>
          <w:divBdr>
            <w:top w:val="none" w:sz="0" w:space="0" w:color="auto"/>
            <w:left w:val="none" w:sz="0" w:space="0" w:color="auto"/>
            <w:bottom w:val="none" w:sz="0" w:space="0" w:color="auto"/>
            <w:right w:val="none" w:sz="0" w:space="0" w:color="auto"/>
          </w:divBdr>
        </w:div>
        <w:div w:id="2089770712">
          <w:marLeft w:val="0"/>
          <w:marRight w:val="0"/>
          <w:marTop w:val="0"/>
          <w:marBottom w:val="0"/>
          <w:divBdr>
            <w:top w:val="none" w:sz="0" w:space="0" w:color="auto"/>
            <w:left w:val="none" w:sz="0" w:space="0" w:color="auto"/>
            <w:bottom w:val="none" w:sz="0" w:space="0" w:color="auto"/>
            <w:right w:val="none" w:sz="0" w:space="0" w:color="auto"/>
          </w:divBdr>
        </w:div>
        <w:div w:id="2107000624">
          <w:marLeft w:val="0"/>
          <w:marRight w:val="0"/>
          <w:marTop w:val="0"/>
          <w:marBottom w:val="0"/>
          <w:divBdr>
            <w:top w:val="none" w:sz="0" w:space="0" w:color="auto"/>
            <w:left w:val="none" w:sz="0" w:space="0" w:color="auto"/>
            <w:bottom w:val="none" w:sz="0" w:space="0" w:color="auto"/>
            <w:right w:val="none" w:sz="0" w:space="0" w:color="auto"/>
          </w:divBdr>
        </w:div>
      </w:divsChild>
    </w:div>
    <w:div w:id="1122000950">
      <w:bodyDiv w:val="1"/>
      <w:marLeft w:val="0"/>
      <w:marRight w:val="0"/>
      <w:marTop w:val="0"/>
      <w:marBottom w:val="0"/>
      <w:divBdr>
        <w:top w:val="none" w:sz="0" w:space="0" w:color="auto"/>
        <w:left w:val="none" w:sz="0" w:space="0" w:color="auto"/>
        <w:bottom w:val="none" w:sz="0" w:space="0" w:color="auto"/>
        <w:right w:val="none" w:sz="0" w:space="0" w:color="auto"/>
      </w:divBdr>
    </w:div>
    <w:div w:id="1122041898">
      <w:bodyDiv w:val="1"/>
      <w:marLeft w:val="0"/>
      <w:marRight w:val="0"/>
      <w:marTop w:val="0"/>
      <w:marBottom w:val="0"/>
      <w:divBdr>
        <w:top w:val="none" w:sz="0" w:space="0" w:color="auto"/>
        <w:left w:val="none" w:sz="0" w:space="0" w:color="auto"/>
        <w:bottom w:val="none" w:sz="0" w:space="0" w:color="auto"/>
        <w:right w:val="none" w:sz="0" w:space="0" w:color="auto"/>
      </w:divBdr>
    </w:div>
    <w:div w:id="1122111216">
      <w:bodyDiv w:val="1"/>
      <w:marLeft w:val="0"/>
      <w:marRight w:val="0"/>
      <w:marTop w:val="0"/>
      <w:marBottom w:val="0"/>
      <w:divBdr>
        <w:top w:val="none" w:sz="0" w:space="0" w:color="auto"/>
        <w:left w:val="none" w:sz="0" w:space="0" w:color="auto"/>
        <w:bottom w:val="none" w:sz="0" w:space="0" w:color="auto"/>
        <w:right w:val="none" w:sz="0" w:space="0" w:color="auto"/>
      </w:divBdr>
    </w:div>
    <w:div w:id="1122186615">
      <w:bodyDiv w:val="1"/>
      <w:marLeft w:val="0"/>
      <w:marRight w:val="0"/>
      <w:marTop w:val="0"/>
      <w:marBottom w:val="0"/>
      <w:divBdr>
        <w:top w:val="none" w:sz="0" w:space="0" w:color="auto"/>
        <w:left w:val="none" w:sz="0" w:space="0" w:color="auto"/>
        <w:bottom w:val="none" w:sz="0" w:space="0" w:color="auto"/>
        <w:right w:val="none" w:sz="0" w:space="0" w:color="auto"/>
      </w:divBdr>
    </w:div>
    <w:div w:id="1122454364">
      <w:bodyDiv w:val="1"/>
      <w:marLeft w:val="0"/>
      <w:marRight w:val="0"/>
      <w:marTop w:val="0"/>
      <w:marBottom w:val="0"/>
      <w:divBdr>
        <w:top w:val="none" w:sz="0" w:space="0" w:color="auto"/>
        <w:left w:val="none" w:sz="0" w:space="0" w:color="auto"/>
        <w:bottom w:val="none" w:sz="0" w:space="0" w:color="auto"/>
        <w:right w:val="none" w:sz="0" w:space="0" w:color="auto"/>
      </w:divBdr>
    </w:div>
    <w:div w:id="1122571215">
      <w:bodyDiv w:val="1"/>
      <w:marLeft w:val="0"/>
      <w:marRight w:val="0"/>
      <w:marTop w:val="0"/>
      <w:marBottom w:val="0"/>
      <w:divBdr>
        <w:top w:val="none" w:sz="0" w:space="0" w:color="auto"/>
        <w:left w:val="none" w:sz="0" w:space="0" w:color="auto"/>
        <w:bottom w:val="none" w:sz="0" w:space="0" w:color="auto"/>
        <w:right w:val="none" w:sz="0" w:space="0" w:color="auto"/>
      </w:divBdr>
    </w:div>
    <w:div w:id="1122725397">
      <w:bodyDiv w:val="1"/>
      <w:marLeft w:val="0"/>
      <w:marRight w:val="0"/>
      <w:marTop w:val="0"/>
      <w:marBottom w:val="0"/>
      <w:divBdr>
        <w:top w:val="none" w:sz="0" w:space="0" w:color="auto"/>
        <w:left w:val="none" w:sz="0" w:space="0" w:color="auto"/>
        <w:bottom w:val="none" w:sz="0" w:space="0" w:color="auto"/>
        <w:right w:val="none" w:sz="0" w:space="0" w:color="auto"/>
      </w:divBdr>
    </w:div>
    <w:div w:id="1122965343">
      <w:bodyDiv w:val="1"/>
      <w:marLeft w:val="0"/>
      <w:marRight w:val="0"/>
      <w:marTop w:val="0"/>
      <w:marBottom w:val="0"/>
      <w:divBdr>
        <w:top w:val="none" w:sz="0" w:space="0" w:color="auto"/>
        <w:left w:val="none" w:sz="0" w:space="0" w:color="auto"/>
        <w:bottom w:val="none" w:sz="0" w:space="0" w:color="auto"/>
        <w:right w:val="none" w:sz="0" w:space="0" w:color="auto"/>
      </w:divBdr>
    </w:div>
    <w:div w:id="1123158414">
      <w:bodyDiv w:val="1"/>
      <w:marLeft w:val="0"/>
      <w:marRight w:val="0"/>
      <w:marTop w:val="0"/>
      <w:marBottom w:val="0"/>
      <w:divBdr>
        <w:top w:val="none" w:sz="0" w:space="0" w:color="auto"/>
        <w:left w:val="none" w:sz="0" w:space="0" w:color="auto"/>
        <w:bottom w:val="none" w:sz="0" w:space="0" w:color="auto"/>
        <w:right w:val="none" w:sz="0" w:space="0" w:color="auto"/>
      </w:divBdr>
    </w:div>
    <w:div w:id="1123379217">
      <w:bodyDiv w:val="1"/>
      <w:marLeft w:val="0"/>
      <w:marRight w:val="0"/>
      <w:marTop w:val="0"/>
      <w:marBottom w:val="0"/>
      <w:divBdr>
        <w:top w:val="none" w:sz="0" w:space="0" w:color="auto"/>
        <w:left w:val="none" w:sz="0" w:space="0" w:color="auto"/>
        <w:bottom w:val="none" w:sz="0" w:space="0" w:color="auto"/>
        <w:right w:val="none" w:sz="0" w:space="0" w:color="auto"/>
      </w:divBdr>
    </w:div>
    <w:div w:id="1123384993">
      <w:bodyDiv w:val="1"/>
      <w:marLeft w:val="0"/>
      <w:marRight w:val="0"/>
      <w:marTop w:val="0"/>
      <w:marBottom w:val="0"/>
      <w:divBdr>
        <w:top w:val="none" w:sz="0" w:space="0" w:color="auto"/>
        <w:left w:val="none" w:sz="0" w:space="0" w:color="auto"/>
        <w:bottom w:val="none" w:sz="0" w:space="0" w:color="auto"/>
        <w:right w:val="none" w:sz="0" w:space="0" w:color="auto"/>
      </w:divBdr>
    </w:div>
    <w:div w:id="1123571087">
      <w:bodyDiv w:val="1"/>
      <w:marLeft w:val="0"/>
      <w:marRight w:val="0"/>
      <w:marTop w:val="0"/>
      <w:marBottom w:val="0"/>
      <w:divBdr>
        <w:top w:val="none" w:sz="0" w:space="0" w:color="auto"/>
        <w:left w:val="none" w:sz="0" w:space="0" w:color="auto"/>
        <w:bottom w:val="none" w:sz="0" w:space="0" w:color="auto"/>
        <w:right w:val="none" w:sz="0" w:space="0" w:color="auto"/>
      </w:divBdr>
    </w:div>
    <w:div w:id="1123887671">
      <w:bodyDiv w:val="1"/>
      <w:marLeft w:val="0"/>
      <w:marRight w:val="0"/>
      <w:marTop w:val="0"/>
      <w:marBottom w:val="0"/>
      <w:divBdr>
        <w:top w:val="none" w:sz="0" w:space="0" w:color="auto"/>
        <w:left w:val="none" w:sz="0" w:space="0" w:color="auto"/>
        <w:bottom w:val="none" w:sz="0" w:space="0" w:color="auto"/>
        <w:right w:val="none" w:sz="0" w:space="0" w:color="auto"/>
      </w:divBdr>
    </w:div>
    <w:div w:id="1124227225">
      <w:bodyDiv w:val="1"/>
      <w:marLeft w:val="0"/>
      <w:marRight w:val="0"/>
      <w:marTop w:val="0"/>
      <w:marBottom w:val="0"/>
      <w:divBdr>
        <w:top w:val="none" w:sz="0" w:space="0" w:color="auto"/>
        <w:left w:val="none" w:sz="0" w:space="0" w:color="auto"/>
        <w:bottom w:val="none" w:sz="0" w:space="0" w:color="auto"/>
        <w:right w:val="none" w:sz="0" w:space="0" w:color="auto"/>
      </w:divBdr>
    </w:div>
    <w:div w:id="1124277865">
      <w:bodyDiv w:val="1"/>
      <w:marLeft w:val="0"/>
      <w:marRight w:val="0"/>
      <w:marTop w:val="0"/>
      <w:marBottom w:val="0"/>
      <w:divBdr>
        <w:top w:val="none" w:sz="0" w:space="0" w:color="auto"/>
        <w:left w:val="none" w:sz="0" w:space="0" w:color="auto"/>
        <w:bottom w:val="none" w:sz="0" w:space="0" w:color="auto"/>
        <w:right w:val="none" w:sz="0" w:space="0" w:color="auto"/>
      </w:divBdr>
    </w:div>
    <w:div w:id="1125194610">
      <w:bodyDiv w:val="1"/>
      <w:marLeft w:val="0"/>
      <w:marRight w:val="0"/>
      <w:marTop w:val="0"/>
      <w:marBottom w:val="0"/>
      <w:divBdr>
        <w:top w:val="none" w:sz="0" w:space="0" w:color="auto"/>
        <w:left w:val="none" w:sz="0" w:space="0" w:color="auto"/>
        <w:bottom w:val="none" w:sz="0" w:space="0" w:color="auto"/>
        <w:right w:val="none" w:sz="0" w:space="0" w:color="auto"/>
      </w:divBdr>
    </w:div>
    <w:div w:id="1125780185">
      <w:bodyDiv w:val="1"/>
      <w:marLeft w:val="0"/>
      <w:marRight w:val="0"/>
      <w:marTop w:val="0"/>
      <w:marBottom w:val="0"/>
      <w:divBdr>
        <w:top w:val="none" w:sz="0" w:space="0" w:color="auto"/>
        <w:left w:val="none" w:sz="0" w:space="0" w:color="auto"/>
        <w:bottom w:val="none" w:sz="0" w:space="0" w:color="auto"/>
        <w:right w:val="none" w:sz="0" w:space="0" w:color="auto"/>
      </w:divBdr>
    </w:div>
    <w:div w:id="1125851103">
      <w:bodyDiv w:val="1"/>
      <w:marLeft w:val="0"/>
      <w:marRight w:val="0"/>
      <w:marTop w:val="0"/>
      <w:marBottom w:val="0"/>
      <w:divBdr>
        <w:top w:val="none" w:sz="0" w:space="0" w:color="auto"/>
        <w:left w:val="none" w:sz="0" w:space="0" w:color="auto"/>
        <w:bottom w:val="none" w:sz="0" w:space="0" w:color="auto"/>
        <w:right w:val="none" w:sz="0" w:space="0" w:color="auto"/>
      </w:divBdr>
    </w:div>
    <w:div w:id="1126004521">
      <w:bodyDiv w:val="1"/>
      <w:marLeft w:val="0"/>
      <w:marRight w:val="0"/>
      <w:marTop w:val="0"/>
      <w:marBottom w:val="0"/>
      <w:divBdr>
        <w:top w:val="none" w:sz="0" w:space="0" w:color="auto"/>
        <w:left w:val="none" w:sz="0" w:space="0" w:color="auto"/>
        <w:bottom w:val="none" w:sz="0" w:space="0" w:color="auto"/>
        <w:right w:val="none" w:sz="0" w:space="0" w:color="auto"/>
      </w:divBdr>
    </w:div>
    <w:div w:id="1126237372">
      <w:bodyDiv w:val="1"/>
      <w:marLeft w:val="0"/>
      <w:marRight w:val="0"/>
      <w:marTop w:val="0"/>
      <w:marBottom w:val="0"/>
      <w:divBdr>
        <w:top w:val="none" w:sz="0" w:space="0" w:color="auto"/>
        <w:left w:val="none" w:sz="0" w:space="0" w:color="auto"/>
        <w:bottom w:val="none" w:sz="0" w:space="0" w:color="auto"/>
        <w:right w:val="none" w:sz="0" w:space="0" w:color="auto"/>
      </w:divBdr>
    </w:div>
    <w:div w:id="1126460858">
      <w:bodyDiv w:val="1"/>
      <w:marLeft w:val="0"/>
      <w:marRight w:val="0"/>
      <w:marTop w:val="0"/>
      <w:marBottom w:val="0"/>
      <w:divBdr>
        <w:top w:val="none" w:sz="0" w:space="0" w:color="auto"/>
        <w:left w:val="none" w:sz="0" w:space="0" w:color="auto"/>
        <w:bottom w:val="none" w:sz="0" w:space="0" w:color="auto"/>
        <w:right w:val="none" w:sz="0" w:space="0" w:color="auto"/>
      </w:divBdr>
    </w:div>
    <w:div w:id="1126776604">
      <w:bodyDiv w:val="1"/>
      <w:marLeft w:val="0"/>
      <w:marRight w:val="0"/>
      <w:marTop w:val="0"/>
      <w:marBottom w:val="0"/>
      <w:divBdr>
        <w:top w:val="none" w:sz="0" w:space="0" w:color="auto"/>
        <w:left w:val="none" w:sz="0" w:space="0" w:color="auto"/>
        <w:bottom w:val="none" w:sz="0" w:space="0" w:color="auto"/>
        <w:right w:val="none" w:sz="0" w:space="0" w:color="auto"/>
      </w:divBdr>
    </w:div>
    <w:div w:id="1126968890">
      <w:bodyDiv w:val="1"/>
      <w:marLeft w:val="0"/>
      <w:marRight w:val="0"/>
      <w:marTop w:val="0"/>
      <w:marBottom w:val="0"/>
      <w:divBdr>
        <w:top w:val="none" w:sz="0" w:space="0" w:color="auto"/>
        <w:left w:val="none" w:sz="0" w:space="0" w:color="auto"/>
        <w:bottom w:val="none" w:sz="0" w:space="0" w:color="auto"/>
        <w:right w:val="none" w:sz="0" w:space="0" w:color="auto"/>
      </w:divBdr>
    </w:div>
    <w:div w:id="1127046483">
      <w:bodyDiv w:val="1"/>
      <w:marLeft w:val="0"/>
      <w:marRight w:val="0"/>
      <w:marTop w:val="0"/>
      <w:marBottom w:val="0"/>
      <w:divBdr>
        <w:top w:val="none" w:sz="0" w:space="0" w:color="auto"/>
        <w:left w:val="none" w:sz="0" w:space="0" w:color="auto"/>
        <w:bottom w:val="none" w:sz="0" w:space="0" w:color="auto"/>
        <w:right w:val="none" w:sz="0" w:space="0" w:color="auto"/>
      </w:divBdr>
    </w:div>
    <w:div w:id="1127623693">
      <w:bodyDiv w:val="1"/>
      <w:marLeft w:val="0"/>
      <w:marRight w:val="0"/>
      <w:marTop w:val="0"/>
      <w:marBottom w:val="0"/>
      <w:divBdr>
        <w:top w:val="none" w:sz="0" w:space="0" w:color="auto"/>
        <w:left w:val="none" w:sz="0" w:space="0" w:color="auto"/>
        <w:bottom w:val="none" w:sz="0" w:space="0" w:color="auto"/>
        <w:right w:val="none" w:sz="0" w:space="0" w:color="auto"/>
      </w:divBdr>
    </w:div>
    <w:div w:id="1127747566">
      <w:bodyDiv w:val="1"/>
      <w:marLeft w:val="0"/>
      <w:marRight w:val="0"/>
      <w:marTop w:val="0"/>
      <w:marBottom w:val="0"/>
      <w:divBdr>
        <w:top w:val="none" w:sz="0" w:space="0" w:color="auto"/>
        <w:left w:val="none" w:sz="0" w:space="0" w:color="auto"/>
        <w:bottom w:val="none" w:sz="0" w:space="0" w:color="auto"/>
        <w:right w:val="none" w:sz="0" w:space="0" w:color="auto"/>
      </w:divBdr>
    </w:div>
    <w:div w:id="1127968549">
      <w:bodyDiv w:val="1"/>
      <w:marLeft w:val="0"/>
      <w:marRight w:val="0"/>
      <w:marTop w:val="0"/>
      <w:marBottom w:val="0"/>
      <w:divBdr>
        <w:top w:val="none" w:sz="0" w:space="0" w:color="auto"/>
        <w:left w:val="none" w:sz="0" w:space="0" w:color="auto"/>
        <w:bottom w:val="none" w:sz="0" w:space="0" w:color="auto"/>
        <w:right w:val="none" w:sz="0" w:space="0" w:color="auto"/>
      </w:divBdr>
    </w:div>
    <w:div w:id="1128013875">
      <w:bodyDiv w:val="1"/>
      <w:marLeft w:val="0"/>
      <w:marRight w:val="0"/>
      <w:marTop w:val="0"/>
      <w:marBottom w:val="0"/>
      <w:divBdr>
        <w:top w:val="none" w:sz="0" w:space="0" w:color="auto"/>
        <w:left w:val="none" w:sz="0" w:space="0" w:color="auto"/>
        <w:bottom w:val="none" w:sz="0" w:space="0" w:color="auto"/>
        <w:right w:val="none" w:sz="0" w:space="0" w:color="auto"/>
      </w:divBdr>
    </w:div>
    <w:div w:id="1128861960">
      <w:bodyDiv w:val="1"/>
      <w:marLeft w:val="0"/>
      <w:marRight w:val="0"/>
      <w:marTop w:val="0"/>
      <w:marBottom w:val="0"/>
      <w:divBdr>
        <w:top w:val="none" w:sz="0" w:space="0" w:color="auto"/>
        <w:left w:val="none" w:sz="0" w:space="0" w:color="auto"/>
        <w:bottom w:val="none" w:sz="0" w:space="0" w:color="auto"/>
        <w:right w:val="none" w:sz="0" w:space="0" w:color="auto"/>
      </w:divBdr>
    </w:div>
    <w:div w:id="1128940157">
      <w:bodyDiv w:val="1"/>
      <w:marLeft w:val="0"/>
      <w:marRight w:val="0"/>
      <w:marTop w:val="0"/>
      <w:marBottom w:val="0"/>
      <w:divBdr>
        <w:top w:val="none" w:sz="0" w:space="0" w:color="auto"/>
        <w:left w:val="none" w:sz="0" w:space="0" w:color="auto"/>
        <w:bottom w:val="none" w:sz="0" w:space="0" w:color="auto"/>
        <w:right w:val="none" w:sz="0" w:space="0" w:color="auto"/>
      </w:divBdr>
    </w:div>
    <w:div w:id="1129015372">
      <w:bodyDiv w:val="1"/>
      <w:marLeft w:val="0"/>
      <w:marRight w:val="0"/>
      <w:marTop w:val="0"/>
      <w:marBottom w:val="0"/>
      <w:divBdr>
        <w:top w:val="none" w:sz="0" w:space="0" w:color="auto"/>
        <w:left w:val="none" w:sz="0" w:space="0" w:color="auto"/>
        <w:bottom w:val="none" w:sz="0" w:space="0" w:color="auto"/>
        <w:right w:val="none" w:sz="0" w:space="0" w:color="auto"/>
      </w:divBdr>
    </w:div>
    <w:div w:id="1129133433">
      <w:bodyDiv w:val="1"/>
      <w:marLeft w:val="0"/>
      <w:marRight w:val="0"/>
      <w:marTop w:val="0"/>
      <w:marBottom w:val="0"/>
      <w:divBdr>
        <w:top w:val="none" w:sz="0" w:space="0" w:color="auto"/>
        <w:left w:val="none" w:sz="0" w:space="0" w:color="auto"/>
        <w:bottom w:val="none" w:sz="0" w:space="0" w:color="auto"/>
        <w:right w:val="none" w:sz="0" w:space="0" w:color="auto"/>
      </w:divBdr>
    </w:div>
    <w:div w:id="1129199903">
      <w:bodyDiv w:val="1"/>
      <w:marLeft w:val="0"/>
      <w:marRight w:val="0"/>
      <w:marTop w:val="0"/>
      <w:marBottom w:val="0"/>
      <w:divBdr>
        <w:top w:val="none" w:sz="0" w:space="0" w:color="auto"/>
        <w:left w:val="none" w:sz="0" w:space="0" w:color="auto"/>
        <w:bottom w:val="none" w:sz="0" w:space="0" w:color="auto"/>
        <w:right w:val="none" w:sz="0" w:space="0" w:color="auto"/>
      </w:divBdr>
    </w:div>
    <w:div w:id="1129200035">
      <w:bodyDiv w:val="1"/>
      <w:marLeft w:val="0"/>
      <w:marRight w:val="0"/>
      <w:marTop w:val="0"/>
      <w:marBottom w:val="0"/>
      <w:divBdr>
        <w:top w:val="none" w:sz="0" w:space="0" w:color="auto"/>
        <w:left w:val="none" w:sz="0" w:space="0" w:color="auto"/>
        <w:bottom w:val="none" w:sz="0" w:space="0" w:color="auto"/>
        <w:right w:val="none" w:sz="0" w:space="0" w:color="auto"/>
      </w:divBdr>
    </w:div>
    <w:div w:id="1129207389">
      <w:bodyDiv w:val="1"/>
      <w:marLeft w:val="0"/>
      <w:marRight w:val="0"/>
      <w:marTop w:val="0"/>
      <w:marBottom w:val="0"/>
      <w:divBdr>
        <w:top w:val="none" w:sz="0" w:space="0" w:color="auto"/>
        <w:left w:val="none" w:sz="0" w:space="0" w:color="auto"/>
        <w:bottom w:val="none" w:sz="0" w:space="0" w:color="auto"/>
        <w:right w:val="none" w:sz="0" w:space="0" w:color="auto"/>
      </w:divBdr>
    </w:div>
    <w:div w:id="1129399273">
      <w:bodyDiv w:val="1"/>
      <w:marLeft w:val="0"/>
      <w:marRight w:val="0"/>
      <w:marTop w:val="0"/>
      <w:marBottom w:val="0"/>
      <w:divBdr>
        <w:top w:val="none" w:sz="0" w:space="0" w:color="auto"/>
        <w:left w:val="none" w:sz="0" w:space="0" w:color="auto"/>
        <w:bottom w:val="none" w:sz="0" w:space="0" w:color="auto"/>
        <w:right w:val="none" w:sz="0" w:space="0" w:color="auto"/>
      </w:divBdr>
    </w:div>
    <w:div w:id="1129740252">
      <w:bodyDiv w:val="1"/>
      <w:marLeft w:val="0"/>
      <w:marRight w:val="0"/>
      <w:marTop w:val="0"/>
      <w:marBottom w:val="0"/>
      <w:divBdr>
        <w:top w:val="none" w:sz="0" w:space="0" w:color="auto"/>
        <w:left w:val="none" w:sz="0" w:space="0" w:color="auto"/>
        <w:bottom w:val="none" w:sz="0" w:space="0" w:color="auto"/>
        <w:right w:val="none" w:sz="0" w:space="0" w:color="auto"/>
      </w:divBdr>
    </w:div>
    <w:div w:id="1130128365">
      <w:bodyDiv w:val="1"/>
      <w:marLeft w:val="0"/>
      <w:marRight w:val="0"/>
      <w:marTop w:val="0"/>
      <w:marBottom w:val="0"/>
      <w:divBdr>
        <w:top w:val="none" w:sz="0" w:space="0" w:color="auto"/>
        <w:left w:val="none" w:sz="0" w:space="0" w:color="auto"/>
        <w:bottom w:val="none" w:sz="0" w:space="0" w:color="auto"/>
        <w:right w:val="none" w:sz="0" w:space="0" w:color="auto"/>
      </w:divBdr>
    </w:div>
    <w:div w:id="1130198774">
      <w:bodyDiv w:val="1"/>
      <w:marLeft w:val="0"/>
      <w:marRight w:val="0"/>
      <w:marTop w:val="0"/>
      <w:marBottom w:val="0"/>
      <w:divBdr>
        <w:top w:val="none" w:sz="0" w:space="0" w:color="auto"/>
        <w:left w:val="none" w:sz="0" w:space="0" w:color="auto"/>
        <w:bottom w:val="none" w:sz="0" w:space="0" w:color="auto"/>
        <w:right w:val="none" w:sz="0" w:space="0" w:color="auto"/>
      </w:divBdr>
    </w:div>
    <w:div w:id="1130631059">
      <w:bodyDiv w:val="1"/>
      <w:marLeft w:val="0"/>
      <w:marRight w:val="0"/>
      <w:marTop w:val="0"/>
      <w:marBottom w:val="0"/>
      <w:divBdr>
        <w:top w:val="none" w:sz="0" w:space="0" w:color="auto"/>
        <w:left w:val="none" w:sz="0" w:space="0" w:color="auto"/>
        <w:bottom w:val="none" w:sz="0" w:space="0" w:color="auto"/>
        <w:right w:val="none" w:sz="0" w:space="0" w:color="auto"/>
      </w:divBdr>
    </w:div>
    <w:div w:id="1130632476">
      <w:bodyDiv w:val="1"/>
      <w:marLeft w:val="0"/>
      <w:marRight w:val="0"/>
      <w:marTop w:val="0"/>
      <w:marBottom w:val="0"/>
      <w:divBdr>
        <w:top w:val="none" w:sz="0" w:space="0" w:color="auto"/>
        <w:left w:val="none" w:sz="0" w:space="0" w:color="auto"/>
        <w:bottom w:val="none" w:sz="0" w:space="0" w:color="auto"/>
        <w:right w:val="none" w:sz="0" w:space="0" w:color="auto"/>
      </w:divBdr>
    </w:div>
    <w:div w:id="1130830704">
      <w:bodyDiv w:val="1"/>
      <w:marLeft w:val="0"/>
      <w:marRight w:val="0"/>
      <w:marTop w:val="0"/>
      <w:marBottom w:val="0"/>
      <w:divBdr>
        <w:top w:val="none" w:sz="0" w:space="0" w:color="auto"/>
        <w:left w:val="none" w:sz="0" w:space="0" w:color="auto"/>
        <w:bottom w:val="none" w:sz="0" w:space="0" w:color="auto"/>
        <w:right w:val="none" w:sz="0" w:space="0" w:color="auto"/>
      </w:divBdr>
    </w:div>
    <w:div w:id="1131093188">
      <w:bodyDiv w:val="1"/>
      <w:marLeft w:val="0"/>
      <w:marRight w:val="0"/>
      <w:marTop w:val="0"/>
      <w:marBottom w:val="0"/>
      <w:divBdr>
        <w:top w:val="none" w:sz="0" w:space="0" w:color="auto"/>
        <w:left w:val="none" w:sz="0" w:space="0" w:color="auto"/>
        <w:bottom w:val="none" w:sz="0" w:space="0" w:color="auto"/>
        <w:right w:val="none" w:sz="0" w:space="0" w:color="auto"/>
      </w:divBdr>
    </w:div>
    <w:div w:id="1131249155">
      <w:bodyDiv w:val="1"/>
      <w:marLeft w:val="0"/>
      <w:marRight w:val="0"/>
      <w:marTop w:val="0"/>
      <w:marBottom w:val="0"/>
      <w:divBdr>
        <w:top w:val="none" w:sz="0" w:space="0" w:color="auto"/>
        <w:left w:val="none" w:sz="0" w:space="0" w:color="auto"/>
        <w:bottom w:val="none" w:sz="0" w:space="0" w:color="auto"/>
        <w:right w:val="none" w:sz="0" w:space="0" w:color="auto"/>
      </w:divBdr>
    </w:div>
    <w:div w:id="1131553831">
      <w:bodyDiv w:val="1"/>
      <w:marLeft w:val="0"/>
      <w:marRight w:val="0"/>
      <w:marTop w:val="0"/>
      <w:marBottom w:val="0"/>
      <w:divBdr>
        <w:top w:val="none" w:sz="0" w:space="0" w:color="auto"/>
        <w:left w:val="none" w:sz="0" w:space="0" w:color="auto"/>
        <w:bottom w:val="none" w:sz="0" w:space="0" w:color="auto"/>
        <w:right w:val="none" w:sz="0" w:space="0" w:color="auto"/>
      </w:divBdr>
    </w:div>
    <w:div w:id="1131706623">
      <w:bodyDiv w:val="1"/>
      <w:marLeft w:val="0"/>
      <w:marRight w:val="0"/>
      <w:marTop w:val="0"/>
      <w:marBottom w:val="0"/>
      <w:divBdr>
        <w:top w:val="none" w:sz="0" w:space="0" w:color="auto"/>
        <w:left w:val="none" w:sz="0" w:space="0" w:color="auto"/>
        <w:bottom w:val="none" w:sz="0" w:space="0" w:color="auto"/>
        <w:right w:val="none" w:sz="0" w:space="0" w:color="auto"/>
      </w:divBdr>
    </w:div>
    <w:div w:id="1131901839">
      <w:bodyDiv w:val="1"/>
      <w:marLeft w:val="0"/>
      <w:marRight w:val="0"/>
      <w:marTop w:val="0"/>
      <w:marBottom w:val="0"/>
      <w:divBdr>
        <w:top w:val="none" w:sz="0" w:space="0" w:color="auto"/>
        <w:left w:val="none" w:sz="0" w:space="0" w:color="auto"/>
        <w:bottom w:val="none" w:sz="0" w:space="0" w:color="auto"/>
        <w:right w:val="none" w:sz="0" w:space="0" w:color="auto"/>
      </w:divBdr>
    </w:div>
    <w:div w:id="1132284782">
      <w:bodyDiv w:val="1"/>
      <w:marLeft w:val="0"/>
      <w:marRight w:val="0"/>
      <w:marTop w:val="0"/>
      <w:marBottom w:val="0"/>
      <w:divBdr>
        <w:top w:val="none" w:sz="0" w:space="0" w:color="auto"/>
        <w:left w:val="none" w:sz="0" w:space="0" w:color="auto"/>
        <w:bottom w:val="none" w:sz="0" w:space="0" w:color="auto"/>
        <w:right w:val="none" w:sz="0" w:space="0" w:color="auto"/>
      </w:divBdr>
    </w:div>
    <w:div w:id="1132400500">
      <w:bodyDiv w:val="1"/>
      <w:marLeft w:val="0"/>
      <w:marRight w:val="0"/>
      <w:marTop w:val="0"/>
      <w:marBottom w:val="0"/>
      <w:divBdr>
        <w:top w:val="none" w:sz="0" w:space="0" w:color="auto"/>
        <w:left w:val="none" w:sz="0" w:space="0" w:color="auto"/>
        <w:bottom w:val="none" w:sz="0" w:space="0" w:color="auto"/>
        <w:right w:val="none" w:sz="0" w:space="0" w:color="auto"/>
      </w:divBdr>
    </w:div>
    <w:div w:id="1132597685">
      <w:bodyDiv w:val="1"/>
      <w:marLeft w:val="0"/>
      <w:marRight w:val="0"/>
      <w:marTop w:val="0"/>
      <w:marBottom w:val="0"/>
      <w:divBdr>
        <w:top w:val="none" w:sz="0" w:space="0" w:color="auto"/>
        <w:left w:val="none" w:sz="0" w:space="0" w:color="auto"/>
        <w:bottom w:val="none" w:sz="0" w:space="0" w:color="auto"/>
        <w:right w:val="none" w:sz="0" w:space="0" w:color="auto"/>
      </w:divBdr>
    </w:div>
    <w:div w:id="1132597889">
      <w:bodyDiv w:val="1"/>
      <w:marLeft w:val="0"/>
      <w:marRight w:val="0"/>
      <w:marTop w:val="0"/>
      <w:marBottom w:val="0"/>
      <w:divBdr>
        <w:top w:val="none" w:sz="0" w:space="0" w:color="auto"/>
        <w:left w:val="none" w:sz="0" w:space="0" w:color="auto"/>
        <w:bottom w:val="none" w:sz="0" w:space="0" w:color="auto"/>
        <w:right w:val="none" w:sz="0" w:space="0" w:color="auto"/>
      </w:divBdr>
    </w:div>
    <w:div w:id="1132744834">
      <w:bodyDiv w:val="1"/>
      <w:marLeft w:val="0"/>
      <w:marRight w:val="0"/>
      <w:marTop w:val="0"/>
      <w:marBottom w:val="0"/>
      <w:divBdr>
        <w:top w:val="none" w:sz="0" w:space="0" w:color="auto"/>
        <w:left w:val="none" w:sz="0" w:space="0" w:color="auto"/>
        <w:bottom w:val="none" w:sz="0" w:space="0" w:color="auto"/>
        <w:right w:val="none" w:sz="0" w:space="0" w:color="auto"/>
      </w:divBdr>
    </w:div>
    <w:div w:id="1133325941">
      <w:bodyDiv w:val="1"/>
      <w:marLeft w:val="0"/>
      <w:marRight w:val="0"/>
      <w:marTop w:val="0"/>
      <w:marBottom w:val="0"/>
      <w:divBdr>
        <w:top w:val="none" w:sz="0" w:space="0" w:color="auto"/>
        <w:left w:val="none" w:sz="0" w:space="0" w:color="auto"/>
        <w:bottom w:val="none" w:sz="0" w:space="0" w:color="auto"/>
        <w:right w:val="none" w:sz="0" w:space="0" w:color="auto"/>
      </w:divBdr>
    </w:div>
    <w:div w:id="1133793371">
      <w:bodyDiv w:val="1"/>
      <w:marLeft w:val="0"/>
      <w:marRight w:val="0"/>
      <w:marTop w:val="0"/>
      <w:marBottom w:val="0"/>
      <w:divBdr>
        <w:top w:val="none" w:sz="0" w:space="0" w:color="auto"/>
        <w:left w:val="none" w:sz="0" w:space="0" w:color="auto"/>
        <w:bottom w:val="none" w:sz="0" w:space="0" w:color="auto"/>
        <w:right w:val="none" w:sz="0" w:space="0" w:color="auto"/>
      </w:divBdr>
    </w:div>
    <w:div w:id="1133980817">
      <w:bodyDiv w:val="1"/>
      <w:marLeft w:val="0"/>
      <w:marRight w:val="0"/>
      <w:marTop w:val="0"/>
      <w:marBottom w:val="0"/>
      <w:divBdr>
        <w:top w:val="none" w:sz="0" w:space="0" w:color="auto"/>
        <w:left w:val="none" w:sz="0" w:space="0" w:color="auto"/>
        <w:bottom w:val="none" w:sz="0" w:space="0" w:color="auto"/>
        <w:right w:val="none" w:sz="0" w:space="0" w:color="auto"/>
      </w:divBdr>
    </w:div>
    <w:div w:id="1134299796">
      <w:bodyDiv w:val="1"/>
      <w:marLeft w:val="0"/>
      <w:marRight w:val="0"/>
      <w:marTop w:val="0"/>
      <w:marBottom w:val="0"/>
      <w:divBdr>
        <w:top w:val="none" w:sz="0" w:space="0" w:color="auto"/>
        <w:left w:val="none" w:sz="0" w:space="0" w:color="auto"/>
        <w:bottom w:val="none" w:sz="0" w:space="0" w:color="auto"/>
        <w:right w:val="none" w:sz="0" w:space="0" w:color="auto"/>
      </w:divBdr>
    </w:div>
    <w:div w:id="1134300211">
      <w:bodyDiv w:val="1"/>
      <w:marLeft w:val="0"/>
      <w:marRight w:val="0"/>
      <w:marTop w:val="0"/>
      <w:marBottom w:val="0"/>
      <w:divBdr>
        <w:top w:val="none" w:sz="0" w:space="0" w:color="auto"/>
        <w:left w:val="none" w:sz="0" w:space="0" w:color="auto"/>
        <w:bottom w:val="none" w:sz="0" w:space="0" w:color="auto"/>
        <w:right w:val="none" w:sz="0" w:space="0" w:color="auto"/>
      </w:divBdr>
    </w:div>
    <w:div w:id="1134639434">
      <w:bodyDiv w:val="1"/>
      <w:marLeft w:val="0"/>
      <w:marRight w:val="0"/>
      <w:marTop w:val="0"/>
      <w:marBottom w:val="0"/>
      <w:divBdr>
        <w:top w:val="none" w:sz="0" w:space="0" w:color="auto"/>
        <w:left w:val="none" w:sz="0" w:space="0" w:color="auto"/>
        <w:bottom w:val="none" w:sz="0" w:space="0" w:color="auto"/>
        <w:right w:val="none" w:sz="0" w:space="0" w:color="auto"/>
      </w:divBdr>
    </w:div>
    <w:div w:id="1134644164">
      <w:bodyDiv w:val="1"/>
      <w:marLeft w:val="0"/>
      <w:marRight w:val="0"/>
      <w:marTop w:val="0"/>
      <w:marBottom w:val="0"/>
      <w:divBdr>
        <w:top w:val="none" w:sz="0" w:space="0" w:color="auto"/>
        <w:left w:val="none" w:sz="0" w:space="0" w:color="auto"/>
        <w:bottom w:val="none" w:sz="0" w:space="0" w:color="auto"/>
        <w:right w:val="none" w:sz="0" w:space="0" w:color="auto"/>
      </w:divBdr>
    </w:div>
    <w:div w:id="1135028271">
      <w:bodyDiv w:val="1"/>
      <w:marLeft w:val="0"/>
      <w:marRight w:val="0"/>
      <w:marTop w:val="0"/>
      <w:marBottom w:val="0"/>
      <w:divBdr>
        <w:top w:val="none" w:sz="0" w:space="0" w:color="auto"/>
        <w:left w:val="none" w:sz="0" w:space="0" w:color="auto"/>
        <w:bottom w:val="none" w:sz="0" w:space="0" w:color="auto"/>
        <w:right w:val="none" w:sz="0" w:space="0" w:color="auto"/>
      </w:divBdr>
    </w:div>
    <w:div w:id="1135176022">
      <w:bodyDiv w:val="1"/>
      <w:marLeft w:val="0"/>
      <w:marRight w:val="0"/>
      <w:marTop w:val="0"/>
      <w:marBottom w:val="0"/>
      <w:divBdr>
        <w:top w:val="none" w:sz="0" w:space="0" w:color="auto"/>
        <w:left w:val="none" w:sz="0" w:space="0" w:color="auto"/>
        <w:bottom w:val="none" w:sz="0" w:space="0" w:color="auto"/>
        <w:right w:val="none" w:sz="0" w:space="0" w:color="auto"/>
      </w:divBdr>
    </w:div>
    <w:div w:id="1135836691">
      <w:bodyDiv w:val="1"/>
      <w:marLeft w:val="0"/>
      <w:marRight w:val="0"/>
      <w:marTop w:val="0"/>
      <w:marBottom w:val="0"/>
      <w:divBdr>
        <w:top w:val="none" w:sz="0" w:space="0" w:color="auto"/>
        <w:left w:val="none" w:sz="0" w:space="0" w:color="auto"/>
        <w:bottom w:val="none" w:sz="0" w:space="0" w:color="auto"/>
        <w:right w:val="none" w:sz="0" w:space="0" w:color="auto"/>
      </w:divBdr>
    </w:div>
    <w:div w:id="1136069425">
      <w:bodyDiv w:val="1"/>
      <w:marLeft w:val="0"/>
      <w:marRight w:val="0"/>
      <w:marTop w:val="0"/>
      <w:marBottom w:val="0"/>
      <w:divBdr>
        <w:top w:val="none" w:sz="0" w:space="0" w:color="auto"/>
        <w:left w:val="none" w:sz="0" w:space="0" w:color="auto"/>
        <w:bottom w:val="none" w:sz="0" w:space="0" w:color="auto"/>
        <w:right w:val="none" w:sz="0" w:space="0" w:color="auto"/>
      </w:divBdr>
    </w:div>
    <w:div w:id="1136222018">
      <w:bodyDiv w:val="1"/>
      <w:marLeft w:val="0"/>
      <w:marRight w:val="0"/>
      <w:marTop w:val="0"/>
      <w:marBottom w:val="0"/>
      <w:divBdr>
        <w:top w:val="none" w:sz="0" w:space="0" w:color="auto"/>
        <w:left w:val="none" w:sz="0" w:space="0" w:color="auto"/>
        <w:bottom w:val="none" w:sz="0" w:space="0" w:color="auto"/>
        <w:right w:val="none" w:sz="0" w:space="0" w:color="auto"/>
      </w:divBdr>
    </w:div>
    <w:div w:id="1136340734">
      <w:bodyDiv w:val="1"/>
      <w:marLeft w:val="0"/>
      <w:marRight w:val="0"/>
      <w:marTop w:val="0"/>
      <w:marBottom w:val="0"/>
      <w:divBdr>
        <w:top w:val="none" w:sz="0" w:space="0" w:color="auto"/>
        <w:left w:val="none" w:sz="0" w:space="0" w:color="auto"/>
        <w:bottom w:val="none" w:sz="0" w:space="0" w:color="auto"/>
        <w:right w:val="none" w:sz="0" w:space="0" w:color="auto"/>
      </w:divBdr>
    </w:div>
    <w:div w:id="1136482836">
      <w:bodyDiv w:val="1"/>
      <w:marLeft w:val="0"/>
      <w:marRight w:val="0"/>
      <w:marTop w:val="0"/>
      <w:marBottom w:val="0"/>
      <w:divBdr>
        <w:top w:val="none" w:sz="0" w:space="0" w:color="auto"/>
        <w:left w:val="none" w:sz="0" w:space="0" w:color="auto"/>
        <w:bottom w:val="none" w:sz="0" w:space="0" w:color="auto"/>
        <w:right w:val="none" w:sz="0" w:space="0" w:color="auto"/>
      </w:divBdr>
    </w:div>
    <w:div w:id="1136919439">
      <w:bodyDiv w:val="1"/>
      <w:marLeft w:val="0"/>
      <w:marRight w:val="0"/>
      <w:marTop w:val="0"/>
      <w:marBottom w:val="0"/>
      <w:divBdr>
        <w:top w:val="none" w:sz="0" w:space="0" w:color="auto"/>
        <w:left w:val="none" w:sz="0" w:space="0" w:color="auto"/>
        <w:bottom w:val="none" w:sz="0" w:space="0" w:color="auto"/>
        <w:right w:val="none" w:sz="0" w:space="0" w:color="auto"/>
      </w:divBdr>
    </w:div>
    <w:div w:id="1137407509">
      <w:bodyDiv w:val="1"/>
      <w:marLeft w:val="0"/>
      <w:marRight w:val="0"/>
      <w:marTop w:val="0"/>
      <w:marBottom w:val="0"/>
      <w:divBdr>
        <w:top w:val="none" w:sz="0" w:space="0" w:color="auto"/>
        <w:left w:val="none" w:sz="0" w:space="0" w:color="auto"/>
        <w:bottom w:val="none" w:sz="0" w:space="0" w:color="auto"/>
        <w:right w:val="none" w:sz="0" w:space="0" w:color="auto"/>
      </w:divBdr>
    </w:div>
    <w:div w:id="1137576407">
      <w:bodyDiv w:val="1"/>
      <w:marLeft w:val="0"/>
      <w:marRight w:val="0"/>
      <w:marTop w:val="0"/>
      <w:marBottom w:val="0"/>
      <w:divBdr>
        <w:top w:val="none" w:sz="0" w:space="0" w:color="auto"/>
        <w:left w:val="none" w:sz="0" w:space="0" w:color="auto"/>
        <w:bottom w:val="none" w:sz="0" w:space="0" w:color="auto"/>
        <w:right w:val="none" w:sz="0" w:space="0" w:color="auto"/>
      </w:divBdr>
    </w:div>
    <w:div w:id="1137837418">
      <w:bodyDiv w:val="1"/>
      <w:marLeft w:val="0"/>
      <w:marRight w:val="0"/>
      <w:marTop w:val="0"/>
      <w:marBottom w:val="0"/>
      <w:divBdr>
        <w:top w:val="none" w:sz="0" w:space="0" w:color="auto"/>
        <w:left w:val="none" w:sz="0" w:space="0" w:color="auto"/>
        <w:bottom w:val="none" w:sz="0" w:space="0" w:color="auto"/>
        <w:right w:val="none" w:sz="0" w:space="0" w:color="auto"/>
      </w:divBdr>
    </w:div>
    <w:div w:id="1138037895">
      <w:bodyDiv w:val="1"/>
      <w:marLeft w:val="0"/>
      <w:marRight w:val="0"/>
      <w:marTop w:val="0"/>
      <w:marBottom w:val="0"/>
      <w:divBdr>
        <w:top w:val="none" w:sz="0" w:space="0" w:color="auto"/>
        <w:left w:val="none" w:sz="0" w:space="0" w:color="auto"/>
        <w:bottom w:val="none" w:sz="0" w:space="0" w:color="auto"/>
        <w:right w:val="none" w:sz="0" w:space="0" w:color="auto"/>
      </w:divBdr>
    </w:div>
    <w:div w:id="1138453300">
      <w:bodyDiv w:val="1"/>
      <w:marLeft w:val="0"/>
      <w:marRight w:val="0"/>
      <w:marTop w:val="0"/>
      <w:marBottom w:val="0"/>
      <w:divBdr>
        <w:top w:val="none" w:sz="0" w:space="0" w:color="auto"/>
        <w:left w:val="none" w:sz="0" w:space="0" w:color="auto"/>
        <w:bottom w:val="none" w:sz="0" w:space="0" w:color="auto"/>
        <w:right w:val="none" w:sz="0" w:space="0" w:color="auto"/>
      </w:divBdr>
    </w:div>
    <w:div w:id="1138454528">
      <w:bodyDiv w:val="1"/>
      <w:marLeft w:val="0"/>
      <w:marRight w:val="0"/>
      <w:marTop w:val="0"/>
      <w:marBottom w:val="0"/>
      <w:divBdr>
        <w:top w:val="none" w:sz="0" w:space="0" w:color="auto"/>
        <w:left w:val="none" w:sz="0" w:space="0" w:color="auto"/>
        <w:bottom w:val="none" w:sz="0" w:space="0" w:color="auto"/>
        <w:right w:val="none" w:sz="0" w:space="0" w:color="auto"/>
      </w:divBdr>
    </w:div>
    <w:div w:id="1138692655">
      <w:bodyDiv w:val="1"/>
      <w:marLeft w:val="0"/>
      <w:marRight w:val="0"/>
      <w:marTop w:val="0"/>
      <w:marBottom w:val="0"/>
      <w:divBdr>
        <w:top w:val="none" w:sz="0" w:space="0" w:color="auto"/>
        <w:left w:val="none" w:sz="0" w:space="0" w:color="auto"/>
        <w:bottom w:val="none" w:sz="0" w:space="0" w:color="auto"/>
        <w:right w:val="none" w:sz="0" w:space="0" w:color="auto"/>
      </w:divBdr>
    </w:div>
    <w:div w:id="1139111033">
      <w:bodyDiv w:val="1"/>
      <w:marLeft w:val="0"/>
      <w:marRight w:val="0"/>
      <w:marTop w:val="0"/>
      <w:marBottom w:val="0"/>
      <w:divBdr>
        <w:top w:val="none" w:sz="0" w:space="0" w:color="auto"/>
        <w:left w:val="none" w:sz="0" w:space="0" w:color="auto"/>
        <w:bottom w:val="none" w:sz="0" w:space="0" w:color="auto"/>
        <w:right w:val="none" w:sz="0" w:space="0" w:color="auto"/>
      </w:divBdr>
    </w:div>
    <w:div w:id="1139151862">
      <w:bodyDiv w:val="1"/>
      <w:marLeft w:val="0"/>
      <w:marRight w:val="0"/>
      <w:marTop w:val="0"/>
      <w:marBottom w:val="0"/>
      <w:divBdr>
        <w:top w:val="none" w:sz="0" w:space="0" w:color="auto"/>
        <w:left w:val="none" w:sz="0" w:space="0" w:color="auto"/>
        <w:bottom w:val="none" w:sz="0" w:space="0" w:color="auto"/>
        <w:right w:val="none" w:sz="0" w:space="0" w:color="auto"/>
      </w:divBdr>
    </w:div>
    <w:div w:id="1139766301">
      <w:bodyDiv w:val="1"/>
      <w:marLeft w:val="0"/>
      <w:marRight w:val="0"/>
      <w:marTop w:val="0"/>
      <w:marBottom w:val="0"/>
      <w:divBdr>
        <w:top w:val="none" w:sz="0" w:space="0" w:color="auto"/>
        <w:left w:val="none" w:sz="0" w:space="0" w:color="auto"/>
        <w:bottom w:val="none" w:sz="0" w:space="0" w:color="auto"/>
        <w:right w:val="none" w:sz="0" w:space="0" w:color="auto"/>
      </w:divBdr>
    </w:div>
    <w:div w:id="1139885087">
      <w:bodyDiv w:val="1"/>
      <w:marLeft w:val="0"/>
      <w:marRight w:val="0"/>
      <w:marTop w:val="0"/>
      <w:marBottom w:val="0"/>
      <w:divBdr>
        <w:top w:val="none" w:sz="0" w:space="0" w:color="auto"/>
        <w:left w:val="none" w:sz="0" w:space="0" w:color="auto"/>
        <w:bottom w:val="none" w:sz="0" w:space="0" w:color="auto"/>
        <w:right w:val="none" w:sz="0" w:space="0" w:color="auto"/>
      </w:divBdr>
    </w:div>
    <w:div w:id="1140147741">
      <w:bodyDiv w:val="1"/>
      <w:marLeft w:val="0"/>
      <w:marRight w:val="0"/>
      <w:marTop w:val="0"/>
      <w:marBottom w:val="0"/>
      <w:divBdr>
        <w:top w:val="none" w:sz="0" w:space="0" w:color="auto"/>
        <w:left w:val="none" w:sz="0" w:space="0" w:color="auto"/>
        <w:bottom w:val="none" w:sz="0" w:space="0" w:color="auto"/>
        <w:right w:val="none" w:sz="0" w:space="0" w:color="auto"/>
      </w:divBdr>
    </w:div>
    <w:div w:id="1140415573">
      <w:bodyDiv w:val="1"/>
      <w:marLeft w:val="0"/>
      <w:marRight w:val="0"/>
      <w:marTop w:val="0"/>
      <w:marBottom w:val="0"/>
      <w:divBdr>
        <w:top w:val="none" w:sz="0" w:space="0" w:color="auto"/>
        <w:left w:val="none" w:sz="0" w:space="0" w:color="auto"/>
        <w:bottom w:val="none" w:sz="0" w:space="0" w:color="auto"/>
        <w:right w:val="none" w:sz="0" w:space="0" w:color="auto"/>
      </w:divBdr>
    </w:div>
    <w:div w:id="1140415606">
      <w:bodyDiv w:val="1"/>
      <w:marLeft w:val="0"/>
      <w:marRight w:val="0"/>
      <w:marTop w:val="0"/>
      <w:marBottom w:val="0"/>
      <w:divBdr>
        <w:top w:val="none" w:sz="0" w:space="0" w:color="auto"/>
        <w:left w:val="none" w:sz="0" w:space="0" w:color="auto"/>
        <w:bottom w:val="none" w:sz="0" w:space="0" w:color="auto"/>
        <w:right w:val="none" w:sz="0" w:space="0" w:color="auto"/>
      </w:divBdr>
    </w:div>
    <w:div w:id="1140808292">
      <w:bodyDiv w:val="1"/>
      <w:marLeft w:val="0"/>
      <w:marRight w:val="0"/>
      <w:marTop w:val="0"/>
      <w:marBottom w:val="0"/>
      <w:divBdr>
        <w:top w:val="none" w:sz="0" w:space="0" w:color="auto"/>
        <w:left w:val="none" w:sz="0" w:space="0" w:color="auto"/>
        <w:bottom w:val="none" w:sz="0" w:space="0" w:color="auto"/>
        <w:right w:val="none" w:sz="0" w:space="0" w:color="auto"/>
      </w:divBdr>
    </w:div>
    <w:div w:id="1141190746">
      <w:bodyDiv w:val="1"/>
      <w:marLeft w:val="0"/>
      <w:marRight w:val="0"/>
      <w:marTop w:val="0"/>
      <w:marBottom w:val="0"/>
      <w:divBdr>
        <w:top w:val="none" w:sz="0" w:space="0" w:color="auto"/>
        <w:left w:val="none" w:sz="0" w:space="0" w:color="auto"/>
        <w:bottom w:val="none" w:sz="0" w:space="0" w:color="auto"/>
        <w:right w:val="none" w:sz="0" w:space="0" w:color="auto"/>
      </w:divBdr>
    </w:div>
    <w:div w:id="1141465218">
      <w:bodyDiv w:val="1"/>
      <w:marLeft w:val="0"/>
      <w:marRight w:val="0"/>
      <w:marTop w:val="0"/>
      <w:marBottom w:val="0"/>
      <w:divBdr>
        <w:top w:val="none" w:sz="0" w:space="0" w:color="auto"/>
        <w:left w:val="none" w:sz="0" w:space="0" w:color="auto"/>
        <w:bottom w:val="none" w:sz="0" w:space="0" w:color="auto"/>
        <w:right w:val="none" w:sz="0" w:space="0" w:color="auto"/>
      </w:divBdr>
    </w:div>
    <w:div w:id="1141969082">
      <w:bodyDiv w:val="1"/>
      <w:marLeft w:val="0"/>
      <w:marRight w:val="0"/>
      <w:marTop w:val="0"/>
      <w:marBottom w:val="0"/>
      <w:divBdr>
        <w:top w:val="none" w:sz="0" w:space="0" w:color="auto"/>
        <w:left w:val="none" w:sz="0" w:space="0" w:color="auto"/>
        <w:bottom w:val="none" w:sz="0" w:space="0" w:color="auto"/>
        <w:right w:val="none" w:sz="0" w:space="0" w:color="auto"/>
      </w:divBdr>
    </w:div>
    <w:div w:id="1142232750">
      <w:bodyDiv w:val="1"/>
      <w:marLeft w:val="0"/>
      <w:marRight w:val="0"/>
      <w:marTop w:val="0"/>
      <w:marBottom w:val="0"/>
      <w:divBdr>
        <w:top w:val="none" w:sz="0" w:space="0" w:color="auto"/>
        <w:left w:val="none" w:sz="0" w:space="0" w:color="auto"/>
        <w:bottom w:val="none" w:sz="0" w:space="0" w:color="auto"/>
        <w:right w:val="none" w:sz="0" w:space="0" w:color="auto"/>
      </w:divBdr>
    </w:div>
    <w:div w:id="1142498422">
      <w:bodyDiv w:val="1"/>
      <w:marLeft w:val="0"/>
      <w:marRight w:val="0"/>
      <w:marTop w:val="0"/>
      <w:marBottom w:val="0"/>
      <w:divBdr>
        <w:top w:val="none" w:sz="0" w:space="0" w:color="auto"/>
        <w:left w:val="none" w:sz="0" w:space="0" w:color="auto"/>
        <w:bottom w:val="none" w:sz="0" w:space="0" w:color="auto"/>
        <w:right w:val="none" w:sz="0" w:space="0" w:color="auto"/>
      </w:divBdr>
    </w:div>
    <w:div w:id="1142504087">
      <w:bodyDiv w:val="1"/>
      <w:marLeft w:val="0"/>
      <w:marRight w:val="0"/>
      <w:marTop w:val="0"/>
      <w:marBottom w:val="0"/>
      <w:divBdr>
        <w:top w:val="none" w:sz="0" w:space="0" w:color="auto"/>
        <w:left w:val="none" w:sz="0" w:space="0" w:color="auto"/>
        <w:bottom w:val="none" w:sz="0" w:space="0" w:color="auto"/>
        <w:right w:val="none" w:sz="0" w:space="0" w:color="auto"/>
      </w:divBdr>
    </w:div>
    <w:div w:id="1142771967">
      <w:bodyDiv w:val="1"/>
      <w:marLeft w:val="0"/>
      <w:marRight w:val="0"/>
      <w:marTop w:val="0"/>
      <w:marBottom w:val="0"/>
      <w:divBdr>
        <w:top w:val="none" w:sz="0" w:space="0" w:color="auto"/>
        <w:left w:val="none" w:sz="0" w:space="0" w:color="auto"/>
        <w:bottom w:val="none" w:sz="0" w:space="0" w:color="auto"/>
        <w:right w:val="none" w:sz="0" w:space="0" w:color="auto"/>
      </w:divBdr>
    </w:div>
    <w:div w:id="1143352935">
      <w:bodyDiv w:val="1"/>
      <w:marLeft w:val="0"/>
      <w:marRight w:val="0"/>
      <w:marTop w:val="0"/>
      <w:marBottom w:val="0"/>
      <w:divBdr>
        <w:top w:val="none" w:sz="0" w:space="0" w:color="auto"/>
        <w:left w:val="none" w:sz="0" w:space="0" w:color="auto"/>
        <w:bottom w:val="none" w:sz="0" w:space="0" w:color="auto"/>
        <w:right w:val="none" w:sz="0" w:space="0" w:color="auto"/>
      </w:divBdr>
    </w:div>
    <w:div w:id="1143742887">
      <w:bodyDiv w:val="1"/>
      <w:marLeft w:val="0"/>
      <w:marRight w:val="0"/>
      <w:marTop w:val="0"/>
      <w:marBottom w:val="0"/>
      <w:divBdr>
        <w:top w:val="none" w:sz="0" w:space="0" w:color="auto"/>
        <w:left w:val="none" w:sz="0" w:space="0" w:color="auto"/>
        <w:bottom w:val="none" w:sz="0" w:space="0" w:color="auto"/>
        <w:right w:val="none" w:sz="0" w:space="0" w:color="auto"/>
      </w:divBdr>
    </w:div>
    <w:div w:id="1143936074">
      <w:bodyDiv w:val="1"/>
      <w:marLeft w:val="0"/>
      <w:marRight w:val="0"/>
      <w:marTop w:val="0"/>
      <w:marBottom w:val="0"/>
      <w:divBdr>
        <w:top w:val="none" w:sz="0" w:space="0" w:color="auto"/>
        <w:left w:val="none" w:sz="0" w:space="0" w:color="auto"/>
        <w:bottom w:val="none" w:sz="0" w:space="0" w:color="auto"/>
        <w:right w:val="none" w:sz="0" w:space="0" w:color="auto"/>
      </w:divBdr>
    </w:div>
    <w:div w:id="1144391011">
      <w:bodyDiv w:val="1"/>
      <w:marLeft w:val="0"/>
      <w:marRight w:val="0"/>
      <w:marTop w:val="0"/>
      <w:marBottom w:val="0"/>
      <w:divBdr>
        <w:top w:val="none" w:sz="0" w:space="0" w:color="auto"/>
        <w:left w:val="none" w:sz="0" w:space="0" w:color="auto"/>
        <w:bottom w:val="none" w:sz="0" w:space="0" w:color="auto"/>
        <w:right w:val="none" w:sz="0" w:space="0" w:color="auto"/>
      </w:divBdr>
    </w:div>
    <w:div w:id="1144394232">
      <w:bodyDiv w:val="1"/>
      <w:marLeft w:val="0"/>
      <w:marRight w:val="0"/>
      <w:marTop w:val="0"/>
      <w:marBottom w:val="0"/>
      <w:divBdr>
        <w:top w:val="none" w:sz="0" w:space="0" w:color="auto"/>
        <w:left w:val="none" w:sz="0" w:space="0" w:color="auto"/>
        <w:bottom w:val="none" w:sz="0" w:space="0" w:color="auto"/>
        <w:right w:val="none" w:sz="0" w:space="0" w:color="auto"/>
      </w:divBdr>
    </w:div>
    <w:div w:id="1144665470">
      <w:bodyDiv w:val="1"/>
      <w:marLeft w:val="0"/>
      <w:marRight w:val="0"/>
      <w:marTop w:val="0"/>
      <w:marBottom w:val="0"/>
      <w:divBdr>
        <w:top w:val="none" w:sz="0" w:space="0" w:color="auto"/>
        <w:left w:val="none" w:sz="0" w:space="0" w:color="auto"/>
        <w:bottom w:val="none" w:sz="0" w:space="0" w:color="auto"/>
        <w:right w:val="none" w:sz="0" w:space="0" w:color="auto"/>
      </w:divBdr>
    </w:div>
    <w:div w:id="1145010765">
      <w:bodyDiv w:val="1"/>
      <w:marLeft w:val="0"/>
      <w:marRight w:val="0"/>
      <w:marTop w:val="0"/>
      <w:marBottom w:val="0"/>
      <w:divBdr>
        <w:top w:val="none" w:sz="0" w:space="0" w:color="auto"/>
        <w:left w:val="none" w:sz="0" w:space="0" w:color="auto"/>
        <w:bottom w:val="none" w:sz="0" w:space="0" w:color="auto"/>
        <w:right w:val="none" w:sz="0" w:space="0" w:color="auto"/>
      </w:divBdr>
    </w:div>
    <w:div w:id="1145051454">
      <w:bodyDiv w:val="1"/>
      <w:marLeft w:val="0"/>
      <w:marRight w:val="0"/>
      <w:marTop w:val="0"/>
      <w:marBottom w:val="0"/>
      <w:divBdr>
        <w:top w:val="none" w:sz="0" w:space="0" w:color="auto"/>
        <w:left w:val="none" w:sz="0" w:space="0" w:color="auto"/>
        <w:bottom w:val="none" w:sz="0" w:space="0" w:color="auto"/>
        <w:right w:val="none" w:sz="0" w:space="0" w:color="auto"/>
      </w:divBdr>
    </w:div>
    <w:div w:id="1145975191">
      <w:bodyDiv w:val="1"/>
      <w:marLeft w:val="0"/>
      <w:marRight w:val="0"/>
      <w:marTop w:val="0"/>
      <w:marBottom w:val="0"/>
      <w:divBdr>
        <w:top w:val="none" w:sz="0" w:space="0" w:color="auto"/>
        <w:left w:val="none" w:sz="0" w:space="0" w:color="auto"/>
        <w:bottom w:val="none" w:sz="0" w:space="0" w:color="auto"/>
        <w:right w:val="none" w:sz="0" w:space="0" w:color="auto"/>
      </w:divBdr>
    </w:div>
    <w:div w:id="1146120628">
      <w:bodyDiv w:val="1"/>
      <w:marLeft w:val="0"/>
      <w:marRight w:val="0"/>
      <w:marTop w:val="0"/>
      <w:marBottom w:val="0"/>
      <w:divBdr>
        <w:top w:val="none" w:sz="0" w:space="0" w:color="auto"/>
        <w:left w:val="none" w:sz="0" w:space="0" w:color="auto"/>
        <w:bottom w:val="none" w:sz="0" w:space="0" w:color="auto"/>
        <w:right w:val="none" w:sz="0" w:space="0" w:color="auto"/>
      </w:divBdr>
    </w:div>
    <w:div w:id="1146120668">
      <w:bodyDiv w:val="1"/>
      <w:marLeft w:val="0"/>
      <w:marRight w:val="0"/>
      <w:marTop w:val="0"/>
      <w:marBottom w:val="0"/>
      <w:divBdr>
        <w:top w:val="none" w:sz="0" w:space="0" w:color="auto"/>
        <w:left w:val="none" w:sz="0" w:space="0" w:color="auto"/>
        <w:bottom w:val="none" w:sz="0" w:space="0" w:color="auto"/>
        <w:right w:val="none" w:sz="0" w:space="0" w:color="auto"/>
      </w:divBdr>
    </w:div>
    <w:div w:id="1146358114">
      <w:bodyDiv w:val="1"/>
      <w:marLeft w:val="0"/>
      <w:marRight w:val="0"/>
      <w:marTop w:val="0"/>
      <w:marBottom w:val="0"/>
      <w:divBdr>
        <w:top w:val="none" w:sz="0" w:space="0" w:color="auto"/>
        <w:left w:val="none" w:sz="0" w:space="0" w:color="auto"/>
        <w:bottom w:val="none" w:sz="0" w:space="0" w:color="auto"/>
        <w:right w:val="none" w:sz="0" w:space="0" w:color="auto"/>
      </w:divBdr>
    </w:div>
    <w:div w:id="1146584724">
      <w:bodyDiv w:val="1"/>
      <w:marLeft w:val="0"/>
      <w:marRight w:val="0"/>
      <w:marTop w:val="0"/>
      <w:marBottom w:val="0"/>
      <w:divBdr>
        <w:top w:val="none" w:sz="0" w:space="0" w:color="auto"/>
        <w:left w:val="none" w:sz="0" w:space="0" w:color="auto"/>
        <w:bottom w:val="none" w:sz="0" w:space="0" w:color="auto"/>
        <w:right w:val="none" w:sz="0" w:space="0" w:color="auto"/>
      </w:divBdr>
    </w:div>
    <w:div w:id="1147286356">
      <w:bodyDiv w:val="1"/>
      <w:marLeft w:val="0"/>
      <w:marRight w:val="0"/>
      <w:marTop w:val="0"/>
      <w:marBottom w:val="0"/>
      <w:divBdr>
        <w:top w:val="none" w:sz="0" w:space="0" w:color="auto"/>
        <w:left w:val="none" w:sz="0" w:space="0" w:color="auto"/>
        <w:bottom w:val="none" w:sz="0" w:space="0" w:color="auto"/>
        <w:right w:val="none" w:sz="0" w:space="0" w:color="auto"/>
      </w:divBdr>
    </w:div>
    <w:div w:id="1147287844">
      <w:bodyDiv w:val="1"/>
      <w:marLeft w:val="0"/>
      <w:marRight w:val="0"/>
      <w:marTop w:val="0"/>
      <w:marBottom w:val="0"/>
      <w:divBdr>
        <w:top w:val="none" w:sz="0" w:space="0" w:color="auto"/>
        <w:left w:val="none" w:sz="0" w:space="0" w:color="auto"/>
        <w:bottom w:val="none" w:sz="0" w:space="0" w:color="auto"/>
        <w:right w:val="none" w:sz="0" w:space="0" w:color="auto"/>
      </w:divBdr>
    </w:div>
    <w:div w:id="1147626384">
      <w:bodyDiv w:val="1"/>
      <w:marLeft w:val="0"/>
      <w:marRight w:val="0"/>
      <w:marTop w:val="0"/>
      <w:marBottom w:val="0"/>
      <w:divBdr>
        <w:top w:val="none" w:sz="0" w:space="0" w:color="auto"/>
        <w:left w:val="none" w:sz="0" w:space="0" w:color="auto"/>
        <w:bottom w:val="none" w:sz="0" w:space="0" w:color="auto"/>
        <w:right w:val="none" w:sz="0" w:space="0" w:color="auto"/>
      </w:divBdr>
    </w:div>
    <w:div w:id="1147824843">
      <w:bodyDiv w:val="1"/>
      <w:marLeft w:val="0"/>
      <w:marRight w:val="0"/>
      <w:marTop w:val="0"/>
      <w:marBottom w:val="0"/>
      <w:divBdr>
        <w:top w:val="none" w:sz="0" w:space="0" w:color="auto"/>
        <w:left w:val="none" w:sz="0" w:space="0" w:color="auto"/>
        <w:bottom w:val="none" w:sz="0" w:space="0" w:color="auto"/>
        <w:right w:val="none" w:sz="0" w:space="0" w:color="auto"/>
      </w:divBdr>
    </w:div>
    <w:div w:id="1147895451">
      <w:bodyDiv w:val="1"/>
      <w:marLeft w:val="0"/>
      <w:marRight w:val="0"/>
      <w:marTop w:val="0"/>
      <w:marBottom w:val="0"/>
      <w:divBdr>
        <w:top w:val="none" w:sz="0" w:space="0" w:color="auto"/>
        <w:left w:val="none" w:sz="0" w:space="0" w:color="auto"/>
        <w:bottom w:val="none" w:sz="0" w:space="0" w:color="auto"/>
        <w:right w:val="none" w:sz="0" w:space="0" w:color="auto"/>
      </w:divBdr>
    </w:div>
    <w:div w:id="1148086434">
      <w:bodyDiv w:val="1"/>
      <w:marLeft w:val="0"/>
      <w:marRight w:val="0"/>
      <w:marTop w:val="0"/>
      <w:marBottom w:val="0"/>
      <w:divBdr>
        <w:top w:val="none" w:sz="0" w:space="0" w:color="auto"/>
        <w:left w:val="none" w:sz="0" w:space="0" w:color="auto"/>
        <w:bottom w:val="none" w:sz="0" w:space="0" w:color="auto"/>
        <w:right w:val="none" w:sz="0" w:space="0" w:color="auto"/>
      </w:divBdr>
    </w:div>
    <w:div w:id="1148209811">
      <w:bodyDiv w:val="1"/>
      <w:marLeft w:val="0"/>
      <w:marRight w:val="0"/>
      <w:marTop w:val="0"/>
      <w:marBottom w:val="0"/>
      <w:divBdr>
        <w:top w:val="none" w:sz="0" w:space="0" w:color="auto"/>
        <w:left w:val="none" w:sz="0" w:space="0" w:color="auto"/>
        <w:bottom w:val="none" w:sz="0" w:space="0" w:color="auto"/>
        <w:right w:val="none" w:sz="0" w:space="0" w:color="auto"/>
      </w:divBdr>
    </w:div>
    <w:div w:id="1148281936">
      <w:bodyDiv w:val="1"/>
      <w:marLeft w:val="0"/>
      <w:marRight w:val="0"/>
      <w:marTop w:val="0"/>
      <w:marBottom w:val="0"/>
      <w:divBdr>
        <w:top w:val="none" w:sz="0" w:space="0" w:color="auto"/>
        <w:left w:val="none" w:sz="0" w:space="0" w:color="auto"/>
        <w:bottom w:val="none" w:sz="0" w:space="0" w:color="auto"/>
        <w:right w:val="none" w:sz="0" w:space="0" w:color="auto"/>
      </w:divBdr>
    </w:div>
    <w:div w:id="1148324699">
      <w:bodyDiv w:val="1"/>
      <w:marLeft w:val="0"/>
      <w:marRight w:val="0"/>
      <w:marTop w:val="0"/>
      <w:marBottom w:val="0"/>
      <w:divBdr>
        <w:top w:val="none" w:sz="0" w:space="0" w:color="auto"/>
        <w:left w:val="none" w:sz="0" w:space="0" w:color="auto"/>
        <w:bottom w:val="none" w:sz="0" w:space="0" w:color="auto"/>
        <w:right w:val="none" w:sz="0" w:space="0" w:color="auto"/>
      </w:divBdr>
    </w:div>
    <w:div w:id="1148403209">
      <w:bodyDiv w:val="1"/>
      <w:marLeft w:val="0"/>
      <w:marRight w:val="0"/>
      <w:marTop w:val="0"/>
      <w:marBottom w:val="0"/>
      <w:divBdr>
        <w:top w:val="none" w:sz="0" w:space="0" w:color="auto"/>
        <w:left w:val="none" w:sz="0" w:space="0" w:color="auto"/>
        <w:bottom w:val="none" w:sz="0" w:space="0" w:color="auto"/>
        <w:right w:val="none" w:sz="0" w:space="0" w:color="auto"/>
      </w:divBdr>
    </w:div>
    <w:div w:id="1148404345">
      <w:bodyDiv w:val="1"/>
      <w:marLeft w:val="0"/>
      <w:marRight w:val="0"/>
      <w:marTop w:val="0"/>
      <w:marBottom w:val="0"/>
      <w:divBdr>
        <w:top w:val="none" w:sz="0" w:space="0" w:color="auto"/>
        <w:left w:val="none" w:sz="0" w:space="0" w:color="auto"/>
        <w:bottom w:val="none" w:sz="0" w:space="0" w:color="auto"/>
        <w:right w:val="none" w:sz="0" w:space="0" w:color="auto"/>
      </w:divBdr>
    </w:div>
    <w:div w:id="1148667585">
      <w:bodyDiv w:val="1"/>
      <w:marLeft w:val="0"/>
      <w:marRight w:val="0"/>
      <w:marTop w:val="0"/>
      <w:marBottom w:val="0"/>
      <w:divBdr>
        <w:top w:val="none" w:sz="0" w:space="0" w:color="auto"/>
        <w:left w:val="none" w:sz="0" w:space="0" w:color="auto"/>
        <w:bottom w:val="none" w:sz="0" w:space="0" w:color="auto"/>
        <w:right w:val="none" w:sz="0" w:space="0" w:color="auto"/>
      </w:divBdr>
    </w:div>
    <w:div w:id="1148865805">
      <w:bodyDiv w:val="1"/>
      <w:marLeft w:val="0"/>
      <w:marRight w:val="0"/>
      <w:marTop w:val="0"/>
      <w:marBottom w:val="0"/>
      <w:divBdr>
        <w:top w:val="none" w:sz="0" w:space="0" w:color="auto"/>
        <w:left w:val="none" w:sz="0" w:space="0" w:color="auto"/>
        <w:bottom w:val="none" w:sz="0" w:space="0" w:color="auto"/>
        <w:right w:val="none" w:sz="0" w:space="0" w:color="auto"/>
      </w:divBdr>
    </w:div>
    <w:div w:id="1148941629">
      <w:bodyDiv w:val="1"/>
      <w:marLeft w:val="0"/>
      <w:marRight w:val="0"/>
      <w:marTop w:val="0"/>
      <w:marBottom w:val="0"/>
      <w:divBdr>
        <w:top w:val="none" w:sz="0" w:space="0" w:color="auto"/>
        <w:left w:val="none" w:sz="0" w:space="0" w:color="auto"/>
        <w:bottom w:val="none" w:sz="0" w:space="0" w:color="auto"/>
        <w:right w:val="none" w:sz="0" w:space="0" w:color="auto"/>
      </w:divBdr>
    </w:div>
    <w:div w:id="1149205384">
      <w:bodyDiv w:val="1"/>
      <w:marLeft w:val="0"/>
      <w:marRight w:val="0"/>
      <w:marTop w:val="0"/>
      <w:marBottom w:val="0"/>
      <w:divBdr>
        <w:top w:val="none" w:sz="0" w:space="0" w:color="auto"/>
        <w:left w:val="none" w:sz="0" w:space="0" w:color="auto"/>
        <w:bottom w:val="none" w:sz="0" w:space="0" w:color="auto"/>
        <w:right w:val="none" w:sz="0" w:space="0" w:color="auto"/>
      </w:divBdr>
    </w:div>
    <w:div w:id="1149789420">
      <w:bodyDiv w:val="1"/>
      <w:marLeft w:val="0"/>
      <w:marRight w:val="0"/>
      <w:marTop w:val="0"/>
      <w:marBottom w:val="0"/>
      <w:divBdr>
        <w:top w:val="none" w:sz="0" w:space="0" w:color="auto"/>
        <w:left w:val="none" w:sz="0" w:space="0" w:color="auto"/>
        <w:bottom w:val="none" w:sz="0" w:space="0" w:color="auto"/>
        <w:right w:val="none" w:sz="0" w:space="0" w:color="auto"/>
      </w:divBdr>
    </w:div>
    <w:div w:id="1150368192">
      <w:bodyDiv w:val="1"/>
      <w:marLeft w:val="0"/>
      <w:marRight w:val="0"/>
      <w:marTop w:val="0"/>
      <w:marBottom w:val="0"/>
      <w:divBdr>
        <w:top w:val="none" w:sz="0" w:space="0" w:color="auto"/>
        <w:left w:val="none" w:sz="0" w:space="0" w:color="auto"/>
        <w:bottom w:val="none" w:sz="0" w:space="0" w:color="auto"/>
        <w:right w:val="none" w:sz="0" w:space="0" w:color="auto"/>
      </w:divBdr>
    </w:div>
    <w:div w:id="1150750049">
      <w:bodyDiv w:val="1"/>
      <w:marLeft w:val="0"/>
      <w:marRight w:val="0"/>
      <w:marTop w:val="0"/>
      <w:marBottom w:val="0"/>
      <w:divBdr>
        <w:top w:val="none" w:sz="0" w:space="0" w:color="auto"/>
        <w:left w:val="none" w:sz="0" w:space="0" w:color="auto"/>
        <w:bottom w:val="none" w:sz="0" w:space="0" w:color="auto"/>
        <w:right w:val="none" w:sz="0" w:space="0" w:color="auto"/>
      </w:divBdr>
    </w:div>
    <w:div w:id="1151018662">
      <w:bodyDiv w:val="1"/>
      <w:marLeft w:val="0"/>
      <w:marRight w:val="0"/>
      <w:marTop w:val="0"/>
      <w:marBottom w:val="0"/>
      <w:divBdr>
        <w:top w:val="none" w:sz="0" w:space="0" w:color="auto"/>
        <w:left w:val="none" w:sz="0" w:space="0" w:color="auto"/>
        <w:bottom w:val="none" w:sz="0" w:space="0" w:color="auto"/>
        <w:right w:val="none" w:sz="0" w:space="0" w:color="auto"/>
      </w:divBdr>
    </w:div>
    <w:div w:id="1151019966">
      <w:bodyDiv w:val="1"/>
      <w:marLeft w:val="0"/>
      <w:marRight w:val="0"/>
      <w:marTop w:val="0"/>
      <w:marBottom w:val="0"/>
      <w:divBdr>
        <w:top w:val="none" w:sz="0" w:space="0" w:color="auto"/>
        <w:left w:val="none" w:sz="0" w:space="0" w:color="auto"/>
        <w:bottom w:val="none" w:sz="0" w:space="0" w:color="auto"/>
        <w:right w:val="none" w:sz="0" w:space="0" w:color="auto"/>
      </w:divBdr>
    </w:div>
    <w:div w:id="1151097778">
      <w:bodyDiv w:val="1"/>
      <w:marLeft w:val="0"/>
      <w:marRight w:val="0"/>
      <w:marTop w:val="0"/>
      <w:marBottom w:val="0"/>
      <w:divBdr>
        <w:top w:val="none" w:sz="0" w:space="0" w:color="auto"/>
        <w:left w:val="none" w:sz="0" w:space="0" w:color="auto"/>
        <w:bottom w:val="none" w:sz="0" w:space="0" w:color="auto"/>
        <w:right w:val="none" w:sz="0" w:space="0" w:color="auto"/>
      </w:divBdr>
    </w:div>
    <w:div w:id="1151100512">
      <w:bodyDiv w:val="1"/>
      <w:marLeft w:val="0"/>
      <w:marRight w:val="0"/>
      <w:marTop w:val="0"/>
      <w:marBottom w:val="0"/>
      <w:divBdr>
        <w:top w:val="none" w:sz="0" w:space="0" w:color="auto"/>
        <w:left w:val="none" w:sz="0" w:space="0" w:color="auto"/>
        <w:bottom w:val="none" w:sz="0" w:space="0" w:color="auto"/>
        <w:right w:val="none" w:sz="0" w:space="0" w:color="auto"/>
      </w:divBdr>
    </w:div>
    <w:div w:id="1151361166">
      <w:bodyDiv w:val="1"/>
      <w:marLeft w:val="0"/>
      <w:marRight w:val="0"/>
      <w:marTop w:val="0"/>
      <w:marBottom w:val="0"/>
      <w:divBdr>
        <w:top w:val="none" w:sz="0" w:space="0" w:color="auto"/>
        <w:left w:val="none" w:sz="0" w:space="0" w:color="auto"/>
        <w:bottom w:val="none" w:sz="0" w:space="0" w:color="auto"/>
        <w:right w:val="none" w:sz="0" w:space="0" w:color="auto"/>
      </w:divBdr>
    </w:div>
    <w:div w:id="1151599542">
      <w:bodyDiv w:val="1"/>
      <w:marLeft w:val="0"/>
      <w:marRight w:val="0"/>
      <w:marTop w:val="0"/>
      <w:marBottom w:val="0"/>
      <w:divBdr>
        <w:top w:val="none" w:sz="0" w:space="0" w:color="auto"/>
        <w:left w:val="none" w:sz="0" w:space="0" w:color="auto"/>
        <w:bottom w:val="none" w:sz="0" w:space="0" w:color="auto"/>
        <w:right w:val="none" w:sz="0" w:space="0" w:color="auto"/>
      </w:divBdr>
    </w:div>
    <w:div w:id="1151755716">
      <w:bodyDiv w:val="1"/>
      <w:marLeft w:val="0"/>
      <w:marRight w:val="0"/>
      <w:marTop w:val="0"/>
      <w:marBottom w:val="0"/>
      <w:divBdr>
        <w:top w:val="none" w:sz="0" w:space="0" w:color="auto"/>
        <w:left w:val="none" w:sz="0" w:space="0" w:color="auto"/>
        <w:bottom w:val="none" w:sz="0" w:space="0" w:color="auto"/>
        <w:right w:val="none" w:sz="0" w:space="0" w:color="auto"/>
      </w:divBdr>
    </w:div>
    <w:div w:id="1151948210">
      <w:bodyDiv w:val="1"/>
      <w:marLeft w:val="0"/>
      <w:marRight w:val="0"/>
      <w:marTop w:val="0"/>
      <w:marBottom w:val="0"/>
      <w:divBdr>
        <w:top w:val="none" w:sz="0" w:space="0" w:color="auto"/>
        <w:left w:val="none" w:sz="0" w:space="0" w:color="auto"/>
        <w:bottom w:val="none" w:sz="0" w:space="0" w:color="auto"/>
        <w:right w:val="none" w:sz="0" w:space="0" w:color="auto"/>
      </w:divBdr>
    </w:div>
    <w:div w:id="1152022255">
      <w:bodyDiv w:val="1"/>
      <w:marLeft w:val="0"/>
      <w:marRight w:val="0"/>
      <w:marTop w:val="0"/>
      <w:marBottom w:val="0"/>
      <w:divBdr>
        <w:top w:val="none" w:sz="0" w:space="0" w:color="auto"/>
        <w:left w:val="none" w:sz="0" w:space="0" w:color="auto"/>
        <w:bottom w:val="none" w:sz="0" w:space="0" w:color="auto"/>
        <w:right w:val="none" w:sz="0" w:space="0" w:color="auto"/>
      </w:divBdr>
    </w:div>
    <w:div w:id="1152135715">
      <w:bodyDiv w:val="1"/>
      <w:marLeft w:val="0"/>
      <w:marRight w:val="0"/>
      <w:marTop w:val="0"/>
      <w:marBottom w:val="0"/>
      <w:divBdr>
        <w:top w:val="none" w:sz="0" w:space="0" w:color="auto"/>
        <w:left w:val="none" w:sz="0" w:space="0" w:color="auto"/>
        <w:bottom w:val="none" w:sz="0" w:space="0" w:color="auto"/>
        <w:right w:val="none" w:sz="0" w:space="0" w:color="auto"/>
      </w:divBdr>
    </w:div>
    <w:div w:id="1152521501">
      <w:bodyDiv w:val="1"/>
      <w:marLeft w:val="0"/>
      <w:marRight w:val="0"/>
      <w:marTop w:val="0"/>
      <w:marBottom w:val="0"/>
      <w:divBdr>
        <w:top w:val="none" w:sz="0" w:space="0" w:color="auto"/>
        <w:left w:val="none" w:sz="0" w:space="0" w:color="auto"/>
        <w:bottom w:val="none" w:sz="0" w:space="0" w:color="auto"/>
        <w:right w:val="none" w:sz="0" w:space="0" w:color="auto"/>
      </w:divBdr>
    </w:div>
    <w:div w:id="1152790031">
      <w:bodyDiv w:val="1"/>
      <w:marLeft w:val="0"/>
      <w:marRight w:val="0"/>
      <w:marTop w:val="0"/>
      <w:marBottom w:val="0"/>
      <w:divBdr>
        <w:top w:val="none" w:sz="0" w:space="0" w:color="auto"/>
        <w:left w:val="none" w:sz="0" w:space="0" w:color="auto"/>
        <w:bottom w:val="none" w:sz="0" w:space="0" w:color="auto"/>
        <w:right w:val="none" w:sz="0" w:space="0" w:color="auto"/>
      </w:divBdr>
    </w:div>
    <w:div w:id="1152868007">
      <w:bodyDiv w:val="1"/>
      <w:marLeft w:val="0"/>
      <w:marRight w:val="0"/>
      <w:marTop w:val="0"/>
      <w:marBottom w:val="0"/>
      <w:divBdr>
        <w:top w:val="none" w:sz="0" w:space="0" w:color="auto"/>
        <w:left w:val="none" w:sz="0" w:space="0" w:color="auto"/>
        <w:bottom w:val="none" w:sz="0" w:space="0" w:color="auto"/>
        <w:right w:val="none" w:sz="0" w:space="0" w:color="auto"/>
      </w:divBdr>
    </w:div>
    <w:div w:id="1153064730">
      <w:bodyDiv w:val="1"/>
      <w:marLeft w:val="0"/>
      <w:marRight w:val="0"/>
      <w:marTop w:val="0"/>
      <w:marBottom w:val="0"/>
      <w:divBdr>
        <w:top w:val="none" w:sz="0" w:space="0" w:color="auto"/>
        <w:left w:val="none" w:sz="0" w:space="0" w:color="auto"/>
        <w:bottom w:val="none" w:sz="0" w:space="0" w:color="auto"/>
        <w:right w:val="none" w:sz="0" w:space="0" w:color="auto"/>
      </w:divBdr>
    </w:div>
    <w:div w:id="1153331732">
      <w:bodyDiv w:val="1"/>
      <w:marLeft w:val="0"/>
      <w:marRight w:val="0"/>
      <w:marTop w:val="0"/>
      <w:marBottom w:val="0"/>
      <w:divBdr>
        <w:top w:val="none" w:sz="0" w:space="0" w:color="auto"/>
        <w:left w:val="none" w:sz="0" w:space="0" w:color="auto"/>
        <w:bottom w:val="none" w:sz="0" w:space="0" w:color="auto"/>
        <w:right w:val="none" w:sz="0" w:space="0" w:color="auto"/>
      </w:divBdr>
    </w:div>
    <w:div w:id="1153378055">
      <w:bodyDiv w:val="1"/>
      <w:marLeft w:val="0"/>
      <w:marRight w:val="0"/>
      <w:marTop w:val="0"/>
      <w:marBottom w:val="0"/>
      <w:divBdr>
        <w:top w:val="none" w:sz="0" w:space="0" w:color="auto"/>
        <w:left w:val="none" w:sz="0" w:space="0" w:color="auto"/>
        <w:bottom w:val="none" w:sz="0" w:space="0" w:color="auto"/>
        <w:right w:val="none" w:sz="0" w:space="0" w:color="auto"/>
      </w:divBdr>
    </w:div>
    <w:div w:id="1153450033">
      <w:bodyDiv w:val="1"/>
      <w:marLeft w:val="0"/>
      <w:marRight w:val="0"/>
      <w:marTop w:val="0"/>
      <w:marBottom w:val="0"/>
      <w:divBdr>
        <w:top w:val="none" w:sz="0" w:space="0" w:color="auto"/>
        <w:left w:val="none" w:sz="0" w:space="0" w:color="auto"/>
        <w:bottom w:val="none" w:sz="0" w:space="0" w:color="auto"/>
        <w:right w:val="none" w:sz="0" w:space="0" w:color="auto"/>
      </w:divBdr>
    </w:div>
    <w:div w:id="1153638358">
      <w:bodyDiv w:val="1"/>
      <w:marLeft w:val="0"/>
      <w:marRight w:val="0"/>
      <w:marTop w:val="0"/>
      <w:marBottom w:val="0"/>
      <w:divBdr>
        <w:top w:val="none" w:sz="0" w:space="0" w:color="auto"/>
        <w:left w:val="none" w:sz="0" w:space="0" w:color="auto"/>
        <w:bottom w:val="none" w:sz="0" w:space="0" w:color="auto"/>
        <w:right w:val="none" w:sz="0" w:space="0" w:color="auto"/>
      </w:divBdr>
    </w:div>
    <w:div w:id="1153639241">
      <w:bodyDiv w:val="1"/>
      <w:marLeft w:val="0"/>
      <w:marRight w:val="0"/>
      <w:marTop w:val="0"/>
      <w:marBottom w:val="0"/>
      <w:divBdr>
        <w:top w:val="none" w:sz="0" w:space="0" w:color="auto"/>
        <w:left w:val="none" w:sz="0" w:space="0" w:color="auto"/>
        <w:bottom w:val="none" w:sz="0" w:space="0" w:color="auto"/>
        <w:right w:val="none" w:sz="0" w:space="0" w:color="auto"/>
      </w:divBdr>
    </w:div>
    <w:div w:id="1153984941">
      <w:bodyDiv w:val="1"/>
      <w:marLeft w:val="0"/>
      <w:marRight w:val="0"/>
      <w:marTop w:val="0"/>
      <w:marBottom w:val="0"/>
      <w:divBdr>
        <w:top w:val="none" w:sz="0" w:space="0" w:color="auto"/>
        <w:left w:val="none" w:sz="0" w:space="0" w:color="auto"/>
        <w:bottom w:val="none" w:sz="0" w:space="0" w:color="auto"/>
        <w:right w:val="none" w:sz="0" w:space="0" w:color="auto"/>
      </w:divBdr>
    </w:div>
    <w:div w:id="1154106640">
      <w:bodyDiv w:val="1"/>
      <w:marLeft w:val="0"/>
      <w:marRight w:val="0"/>
      <w:marTop w:val="0"/>
      <w:marBottom w:val="0"/>
      <w:divBdr>
        <w:top w:val="none" w:sz="0" w:space="0" w:color="auto"/>
        <w:left w:val="none" w:sz="0" w:space="0" w:color="auto"/>
        <w:bottom w:val="none" w:sz="0" w:space="0" w:color="auto"/>
        <w:right w:val="none" w:sz="0" w:space="0" w:color="auto"/>
      </w:divBdr>
    </w:div>
    <w:div w:id="1154640576">
      <w:bodyDiv w:val="1"/>
      <w:marLeft w:val="0"/>
      <w:marRight w:val="0"/>
      <w:marTop w:val="0"/>
      <w:marBottom w:val="0"/>
      <w:divBdr>
        <w:top w:val="none" w:sz="0" w:space="0" w:color="auto"/>
        <w:left w:val="none" w:sz="0" w:space="0" w:color="auto"/>
        <w:bottom w:val="none" w:sz="0" w:space="0" w:color="auto"/>
        <w:right w:val="none" w:sz="0" w:space="0" w:color="auto"/>
      </w:divBdr>
    </w:div>
    <w:div w:id="1154952880">
      <w:bodyDiv w:val="1"/>
      <w:marLeft w:val="0"/>
      <w:marRight w:val="0"/>
      <w:marTop w:val="0"/>
      <w:marBottom w:val="0"/>
      <w:divBdr>
        <w:top w:val="none" w:sz="0" w:space="0" w:color="auto"/>
        <w:left w:val="none" w:sz="0" w:space="0" w:color="auto"/>
        <w:bottom w:val="none" w:sz="0" w:space="0" w:color="auto"/>
        <w:right w:val="none" w:sz="0" w:space="0" w:color="auto"/>
      </w:divBdr>
    </w:div>
    <w:div w:id="1155031199">
      <w:bodyDiv w:val="1"/>
      <w:marLeft w:val="0"/>
      <w:marRight w:val="0"/>
      <w:marTop w:val="0"/>
      <w:marBottom w:val="0"/>
      <w:divBdr>
        <w:top w:val="none" w:sz="0" w:space="0" w:color="auto"/>
        <w:left w:val="none" w:sz="0" w:space="0" w:color="auto"/>
        <w:bottom w:val="none" w:sz="0" w:space="0" w:color="auto"/>
        <w:right w:val="none" w:sz="0" w:space="0" w:color="auto"/>
      </w:divBdr>
    </w:div>
    <w:div w:id="1155149145">
      <w:bodyDiv w:val="1"/>
      <w:marLeft w:val="0"/>
      <w:marRight w:val="0"/>
      <w:marTop w:val="0"/>
      <w:marBottom w:val="0"/>
      <w:divBdr>
        <w:top w:val="none" w:sz="0" w:space="0" w:color="auto"/>
        <w:left w:val="none" w:sz="0" w:space="0" w:color="auto"/>
        <w:bottom w:val="none" w:sz="0" w:space="0" w:color="auto"/>
        <w:right w:val="none" w:sz="0" w:space="0" w:color="auto"/>
      </w:divBdr>
    </w:div>
    <w:div w:id="1155337058">
      <w:bodyDiv w:val="1"/>
      <w:marLeft w:val="0"/>
      <w:marRight w:val="0"/>
      <w:marTop w:val="0"/>
      <w:marBottom w:val="0"/>
      <w:divBdr>
        <w:top w:val="none" w:sz="0" w:space="0" w:color="auto"/>
        <w:left w:val="none" w:sz="0" w:space="0" w:color="auto"/>
        <w:bottom w:val="none" w:sz="0" w:space="0" w:color="auto"/>
        <w:right w:val="none" w:sz="0" w:space="0" w:color="auto"/>
      </w:divBdr>
    </w:div>
    <w:div w:id="1155876568">
      <w:bodyDiv w:val="1"/>
      <w:marLeft w:val="0"/>
      <w:marRight w:val="0"/>
      <w:marTop w:val="0"/>
      <w:marBottom w:val="0"/>
      <w:divBdr>
        <w:top w:val="none" w:sz="0" w:space="0" w:color="auto"/>
        <w:left w:val="none" w:sz="0" w:space="0" w:color="auto"/>
        <w:bottom w:val="none" w:sz="0" w:space="0" w:color="auto"/>
        <w:right w:val="none" w:sz="0" w:space="0" w:color="auto"/>
      </w:divBdr>
    </w:div>
    <w:div w:id="1155992393">
      <w:bodyDiv w:val="1"/>
      <w:marLeft w:val="0"/>
      <w:marRight w:val="0"/>
      <w:marTop w:val="0"/>
      <w:marBottom w:val="0"/>
      <w:divBdr>
        <w:top w:val="none" w:sz="0" w:space="0" w:color="auto"/>
        <w:left w:val="none" w:sz="0" w:space="0" w:color="auto"/>
        <w:bottom w:val="none" w:sz="0" w:space="0" w:color="auto"/>
        <w:right w:val="none" w:sz="0" w:space="0" w:color="auto"/>
      </w:divBdr>
    </w:div>
    <w:div w:id="1155995721">
      <w:bodyDiv w:val="1"/>
      <w:marLeft w:val="0"/>
      <w:marRight w:val="0"/>
      <w:marTop w:val="0"/>
      <w:marBottom w:val="0"/>
      <w:divBdr>
        <w:top w:val="none" w:sz="0" w:space="0" w:color="auto"/>
        <w:left w:val="none" w:sz="0" w:space="0" w:color="auto"/>
        <w:bottom w:val="none" w:sz="0" w:space="0" w:color="auto"/>
        <w:right w:val="none" w:sz="0" w:space="0" w:color="auto"/>
      </w:divBdr>
    </w:div>
    <w:div w:id="1156142540">
      <w:bodyDiv w:val="1"/>
      <w:marLeft w:val="0"/>
      <w:marRight w:val="0"/>
      <w:marTop w:val="0"/>
      <w:marBottom w:val="0"/>
      <w:divBdr>
        <w:top w:val="none" w:sz="0" w:space="0" w:color="auto"/>
        <w:left w:val="none" w:sz="0" w:space="0" w:color="auto"/>
        <w:bottom w:val="none" w:sz="0" w:space="0" w:color="auto"/>
        <w:right w:val="none" w:sz="0" w:space="0" w:color="auto"/>
      </w:divBdr>
    </w:div>
    <w:div w:id="1156844464">
      <w:bodyDiv w:val="1"/>
      <w:marLeft w:val="0"/>
      <w:marRight w:val="0"/>
      <w:marTop w:val="0"/>
      <w:marBottom w:val="0"/>
      <w:divBdr>
        <w:top w:val="none" w:sz="0" w:space="0" w:color="auto"/>
        <w:left w:val="none" w:sz="0" w:space="0" w:color="auto"/>
        <w:bottom w:val="none" w:sz="0" w:space="0" w:color="auto"/>
        <w:right w:val="none" w:sz="0" w:space="0" w:color="auto"/>
      </w:divBdr>
    </w:div>
    <w:div w:id="1157107995">
      <w:bodyDiv w:val="1"/>
      <w:marLeft w:val="0"/>
      <w:marRight w:val="0"/>
      <w:marTop w:val="0"/>
      <w:marBottom w:val="0"/>
      <w:divBdr>
        <w:top w:val="none" w:sz="0" w:space="0" w:color="auto"/>
        <w:left w:val="none" w:sz="0" w:space="0" w:color="auto"/>
        <w:bottom w:val="none" w:sz="0" w:space="0" w:color="auto"/>
        <w:right w:val="none" w:sz="0" w:space="0" w:color="auto"/>
      </w:divBdr>
    </w:div>
    <w:div w:id="1157191013">
      <w:bodyDiv w:val="1"/>
      <w:marLeft w:val="0"/>
      <w:marRight w:val="0"/>
      <w:marTop w:val="0"/>
      <w:marBottom w:val="0"/>
      <w:divBdr>
        <w:top w:val="none" w:sz="0" w:space="0" w:color="auto"/>
        <w:left w:val="none" w:sz="0" w:space="0" w:color="auto"/>
        <w:bottom w:val="none" w:sz="0" w:space="0" w:color="auto"/>
        <w:right w:val="none" w:sz="0" w:space="0" w:color="auto"/>
      </w:divBdr>
    </w:div>
    <w:div w:id="1157570731">
      <w:bodyDiv w:val="1"/>
      <w:marLeft w:val="0"/>
      <w:marRight w:val="0"/>
      <w:marTop w:val="0"/>
      <w:marBottom w:val="0"/>
      <w:divBdr>
        <w:top w:val="none" w:sz="0" w:space="0" w:color="auto"/>
        <w:left w:val="none" w:sz="0" w:space="0" w:color="auto"/>
        <w:bottom w:val="none" w:sz="0" w:space="0" w:color="auto"/>
        <w:right w:val="none" w:sz="0" w:space="0" w:color="auto"/>
      </w:divBdr>
    </w:div>
    <w:div w:id="1157575357">
      <w:bodyDiv w:val="1"/>
      <w:marLeft w:val="0"/>
      <w:marRight w:val="0"/>
      <w:marTop w:val="0"/>
      <w:marBottom w:val="0"/>
      <w:divBdr>
        <w:top w:val="none" w:sz="0" w:space="0" w:color="auto"/>
        <w:left w:val="none" w:sz="0" w:space="0" w:color="auto"/>
        <w:bottom w:val="none" w:sz="0" w:space="0" w:color="auto"/>
        <w:right w:val="none" w:sz="0" w:space="0" w:color="auto"/>
      </w:divBdr>
    </w:div>
    <w:div w:id="1157575365">
      <w:bodyDiv w:val="1"/>
      <w:marLeft w:val="0"/>
      <w:marRight w:val="0"/>
      <w:marTop w:val="0"/>
      <w:marBottom w:val="0"/>
      <w:divBdr>
        <w:top w:val="none" w:sz="0" w:space="0" w:color="auto"/>
        <w:left w:val="none" w:sz="0" w:space="0" w:color="auto"/>
        <w:bottom w:val="none" w:sz="0" w:space="0" w:color="auto"/>
        <w:right w:val="none" w:sz="0" w:space="0" w:color="auto"/>
      </w:divBdr>
    </w:div>
    <w:div w:id="1158154894">
      <w:bodyDiv w:val="1"/>
      <w:marLeft w:val="0"/>
      <w:marRight w:val="0"/>
      <w:marTop w:val="0"/>
      <w:marBottom w:val="0"/>
      <w:divBdr>
        <w:top w:val="none" w:sz="0" w:space="0" w:color="auto"/>
        <w:left w:val="none" w:sz="0" w:space="0" w:color="auto"/>
        <w:bottom w:val="none" w:sz="0" w:space="0" w:color="auto"/>
        <w:right w:val="none" w:sz="0" w:space="0" w:color="auto"/>
      </w:divBdr>
    </w:div>
    <w:div w:id="1158154906">
      <w:bodyDiv w:val="1"/>
      <w:marLeft w:val="0"/>
      <w:marRight w:val="0"/>
      <w:marTop w:val="0"/>
      <w:marBottom w:val="0"/>
      <w:divBdr>
        <w:top w:val="none" w:sz="0" w:space="0" w:color="auto"/>
        <w:left w:val="none" w:sz="0" w:space="0" w:color="auto"/>
        <w:bottom w:val="none" w:sz="0" w:space="0" w:color="auto"/>
        <w:right w:val="none" w:sz="0" w:space="0" w:color="auto"/>
      </w:divBdr>
    </w:div>
    <w:div w:id="1158156334">
      <w:bodyDiv w:val="1"/>
      <w:marLeft w:val="0"/>
      <w:marRight w:val="0"/>
      <w:marTop w:val="0"/>
      <w:marBottom w:val="0"/>
      <w:divBdr>
        <w:top w:val="none" w:sz="0" w:space="0" w:color="auto"/>
        <w:left w:val="none" w:sz="0" w:space="0" w:color="auto"/>
        <w:bottom w:val="none" w:sz="0" w:space="0" w:color="auto"/>
        <w:right w:val="none" w:sz="0" w:space="0" w:color="auto"/>
      </w:divBdr>
    </w:div>
    <w:div w:id="1158306427">
      <w:bodyDiv w:val="1"/>
      <w:marLeft w:val="0"/>
      <w:marRight w:val="0"/>
      <w:marTop w:val="0"/>
      <w:marBottom w:val="0"/>
      <w:divBdr>
        <w:top w:val="none" w:sz="0" w:space="0" w:color="auto"/>
        <w:left w:val="none" w:sz="0" w:space="0" w:color="auto"/>
        <w:bottom w:val="none" w:sz="0" w:space="0" w:color="auto"/>
        <w:right w:val="none" w:sz="0" w:space="0" w:color="auto"/>
      </w:divBdr>
    </w:div>
    <w:div w:id="1158502179">
      <w:bodyDiv w:val="1"/>
      <w:marLeft w:val="0"/>
      <w:marRight w:val="0"/>
      <w:marTop w:val="0"/>
      <w:marBottom w:val="0"/>
      <w:divBdr>
        <w:top w:val="none" w:sz="0" w:space="0" w:color="auto"/>
        <w:left w:val="none" w:sz="0" w:space="0" w:color="auto"/>
        <w:bottom w:val="none" w:sz="0" w:space="0" w:color="auto"/>
        <w:right w:val="none" w:sz="0" w:space="0" w:color="auto"/>
      </w:divBdr>
    </w:div>
    <w:div w:id="1158809738">
      <w:bodyDiv w:val="1"/>
      <w:marLeft w:val="0"/>
      <w:marRight w:val="0"/>
      <w:marTop w:val="0"/>
      <w:marBottom w:val="0"/>
      <w:divBdr>
        <w:top w:val="none" w:sz="0" w:space="0" w:color="auto"/>
        <w:left w:val="none" w:sz="0" w:space="0" w:color="auto"/>
        <w:bottom w:val="none" w:sz="0" w:space="0" w:color="auto"/>
        <w:right w:val="none" w:sz="0" w:space="0" w:color="auto"/>
      </w:divBdr>
    </w:div>
    <w:div w:id="1158962173">
      <w:bodyDiv w:val="1"/>
      <w:marLeft w:val="0"/>
      <w:marRight w:val="0"/>
      <w:marTop w:val="0"/>
      <w:marBottom w:val="0"/>
      <w:divBdr>
        <w:top w:val="none" w:sz="0" w:space="0" w:color="auto"/>
        <w:left w:val="none" w:sz="0" w:space="0" w:color="auto"/>
        <w:bottom w:val="none" w:sz="0" w:space="0" w:color="auto"/>
        <w:right w:val="none" w:sz="0" w:space="0" w:color="auto"/>
      </w:divBdr>
    </w:div>
    <w:div w:id="1159268797">
      <w:bodyDiv w:val="1"/>
      <w:marLeft w:val="0"/>
      <w:marRight w:val="0"/>
      <w:marTop w:val="0"/>
      <w:marBottom w:val="0"/>
      <w:divBdr>
        <w:top w:val="none" w:sz="0" w:space="0" w:color="auto"/>
        <w:left w:val="none" w:sz="0" w:space="0" w:color="auto"/>
        <w:bottom w:val="none" w:sz="0" w:space="0" w:color="auto"/>
        <w:right w:val="none" w:sz="0" w:space="0" w:color="auto"/>
      </w:divBdr>
    </w:div>
    <w:div w:id="1159347861">
      <w:bodyDiv w:val="1"/>
      <w:marLeft w:val="0"/>
      <w:marRight w:val="0"/>
      <w:marTop w:val="0"/>
      <w:marBottom w:val="0"/>
      <w:divBdr>
        <w:top w:val="none" w:sz="0" w:space="0" w:color="auto"/>
        <w:left w:val="none" w:sz="0" w:space="0" w:color="auto"/>
        <w:bottom w:val="none" w:sz="0" w:space="0" w:color="auto"/>
        <w:right w:val="none" w:sz="0" w:space="0" w:color="auto"/>
      </w:divBdr>
    </w:div>
    <w:div w:id="1159729009">
      <w:bodyDiv w:val="1"/>
      <w:marLeft w:val="0"/>
      <w:marRight w:val="0"/>
      <w:marTop w:val="0"/>
      <w:marBottom w:val="0"/>
      <w:divBdr>
        <w:top w:val="none" w:sz="0" w:space="0" w:color="auto"/>
        <w:left w:val="none" w:sz="0" w:space="0" w:color="auto"/>
        <w:bottom w:val="none" w:sz="0" w:space="0" w:color="auto"/>
        <w:right w:val="none" w:sz="0" w:space="0" w:color="auto"/>
      </w:divBdr>
    </w:div>
    <w:div w:id="1159730457">
      <w:bodyDiv w:val="1"/>
      <w:marLeft w:val="0"/>
      <w:marRight w:val="0"/>
      <w:marTop w:val="0"/>
      <w:marBottom w:val="0"/>
      <w:divBdr>
        <w:top w:val="none" w:sz="0" w:space="0" w:color="auto"/>
        <w:left w:val="none" w:sz="0" w:space="0" w:color="auto"/>
        <w:bottom w:val="none" w:sz="0" w:space="0" w:color="auto"/>
        <w:right w:val="none" w:sz="0" w:space="0" w:color="auto"/>
      </w:divBdr>
    </w:div>
    <w:div w:id="1160191338">
      <w:bodyDiv w:val="1"/>
      <w:marLeft w:val="0"/>
      <w:marRight w:val="0"/>
      <w:marTop w:val="0"/>
      <w:marBottom w:val="0"/>
      <w:divBdr>
        <w:top w:val="none" w:sz="0" w:space="0" w:color="auto"/>
        <w:left w:val="none" w:sz="0" w:space="0" w:color="auto"/>
        <w:bottom w:val="none" w:sz="0" w:space="0" w:color="auto"/>
        <w:right w:val="none" w:sz="0" w:space="0" w:color="auto"/>
      </w:divBdr>
    </w:div>
    <w:div w:id="1160269341">
      <w:bodyDiv w:val="1"/>
      <w:marLeft w:val="0"/>
      <w:marRight w:val="0"/>
      <w:marTop w:val="0"/>
      <w:marBottom w:val="0"/>
      <w:divBdr>
        <w:top w:val="none" w:sz="0" w:space="0" w:color="auto"/>
        <w:left w:val="none" w:sz="0" w:space="0" w:color="auto"/>
        <w:bottom w:val="none" w:sz="0" w:space="0" w:color="auto"/>
        <w:right w:val="none" w:sz="0" w:space="0" w:color="auto"/>
      </w:divBdr>
    </w:div>
    <w:div w:id="1160269642">
      <w:bodyDiv w:val="1"/>
      <w:marLeft w:val="0"/>
      <w:marRight w:val="0"/>
      <w:marTop w:val="0"/>
      <w:marBottom w:val="0"/>
      <w:divBdr>
        <w:top w:val="none" w:sz="0" w:space="0" w:color="auto"/>
        <w:left w:val="none" w:sz="0" w:space="0" w:color="auto"/>
        <w:bottom w:val="none" w:sz="0" w:space="0" w:color="auto"/>
        <w:right w:val="none" w:sz="0" w:space="0" w:color="auto"/>
      </w:divBdr>
    </w:div>
    <w:div w:id="1160580791">
      <w:bodyDiv w:val="1"/>
      <w:marLeft w:val="0"/>
      <w:marRight w:val="0"/>
      <w:marTop w:val="0"/>
      <w:marBottom w:val="0"/>
      <w:divBdr>
        <w:top w:val="none" w:sz="0" w:space="0" w:color="auto"/>
        <w:left w:val="none" w:sz="0" w:space="0" w:color="auto"/>
        <w:bottom w:val="none" w:sz="0" w:space="0" w:color="auto"/>
        <w:right w:val="none" w:sz="0" w:space="0" w:color="auto"/>
      </w:divBdr>
    </w:div>
    <w:div w:id="1160731968">
      <w:bodyDiv w:val="1"/>
      <w:marLeft w:val="0"/>
      <w:marRight w:val="0"/>
      <w:marTop w:val="0"/>
      <w:marBottom w:val="0"/>
      <w:divBdr>
        <w:top w:val="none" w:sz="0" w:space="0" w:color="auto"/>
        <w:left w:val="none" w:sz="0" w:space="0" w:color="auto"/>
        <w:bottom w:val="none" w:sz="0" w:space="0" w:color="auto"/>
        <w:right w:val="none" w:sz="0" w:space="0" w:color="auto"/>
      </w:divBdr>
    </w:div>
    <w:div w:id="1160774729">
      <w:bodyDiv w:val="1"/>
      <w:marLeft w:val="0"/>
      <w:marRight w:val="0"/>
      <w:marTop w:val="0"/>
      <w:marBottom w:val="0"/>
      <w:divBdr>
        <w:top w:val="none" w:sz="0" w:space="0" w:color="auto"/>
        <w:left w:val="none" w:sz="0" w:space="0" w:color="auto"/>
        <w:bottom w:val="none" w:sz="0" w:space="0" w:color="auto"/>
        <w:right w:val="none" w:sz="0" w:space="0" w:color="auto"/>
      </w:divBdr>
    </w:div>
    <w:div w:id="1160923815">
      <w:bodyDiv w:val="1"/>
      <w:marLeft w:val="0"/>
      <w:marRight w:val="0"/>
      <w:marTop w:val="0"/>
      <w:marBottom w:val="0"/>
      <w:divBdr>
        <w:top w:val="none" w:sz="0" w:space="0" w:color="auto"/>
        <w:left w:val="none" w:sz="0" w:space="0" w:color="auto"/>
        <w:bottom w:val="none" w:sz="0" w:space="0" w:color="auto"/>
        <w:right w:val="none" w:sz="0" w:space="0" w:color="auto"/>
      </w:divBdr>
    </w:div>
    <w:div w:id="1161000490">
      <w:bodyDiv w:val="1"/>
      <w:marLeft w:val="0"/>
      <w:marRight w:val="0"/>
      <w:marTop w:val="0"/>
      <w:marBottom w:val="0"/>
      <w:divBdr>
        <w:top w:val="none" w:sz="0" w:space="0" w:color="auto"/>
        <w:left w:val="none" w:sz="0" w:space="0" w:color="auto"/>
        <w:bottom w:val="none" w:sz="0" w:space="0" w:color="auto"/>
        <w:right w:val="none" w:sz="0" w:space="0" w:color="auto"/>
      </w:divBdr>
    </w:div>
    <w:div w:id="1161193901">
      <w:bodyDiv w:val="1"/>
      <w:marLeft w:val="0"/>
      <w:marRight w:val="0"/>
      <w:marTop w:val="0"/>
      <w:marBottom w:val="0"/>
      <w:divBdr>
        <w:top w:val="none" w:sz="0" w:space="0" w:color="auto"/>
        <w:left w:val="none" w:sz="0" w:space="0" w:color="auto"/>
        <w:bottom w:val="none" w:sz="0" w:space="0" w:color="auto"/>
        <w:right w:val="none" w:sz="0" w:space="0" w:color="auto"/>
      </w:divBdr>
    </w:div>
    <w:div w:id="1161460830">
      <w:bodyDiv w:val="1"/>
      <w:marLeft w:val="0"/>
      <w:marRight w:val="0"/>
      <w:marTop w:val="0"/>
      <w:marBottom w:val="0"/>
      <w:divBdr>
        <w:top w:val="none" w:sz="0" w:space="0" w:color="auto"/>
        <w:left w:val="none" w:sz="0" w:space="0" w:color="auto"/>
        <w:bottom w:val="none" w:sz="0" w:space="0" w:color="auto"/>
        <w:right w:val="none" w:sz="0" w:space="0" w:color="auto"/>
      </w:divBdr>
    </w:div>
    <w:div w:id="1161506409">
      <w:bodyDiv w:val="1"/>
      <w:marLeft w:val="0"/>
      <w:marRight w:val="0"/>
      <w:marTop w:val="0"/>
      <w:marBottom w:val="0"/>
      <w:divBdr>
        <w:top w:val="none" w:sz="0" w:space="0" w:color="auto"/>
        <w:left w:val="none" w:sz="0" w:space="0" w:color="auto"/>
        <w:bottom w:val="none" w:sz="0" w:space="0" w:color="auto"/>
        <w:right w:val="none" w:sz="0" w:space="0" w:color="auto"/>
      </w:divBdr>
    </w:div>
    <w:div w:id="1162626049">
      <w:bodyDiv w:val="1"/>
      <w:marLeft w:val="0"/>
      <w:marRight w:val="0"/>
      <w:marTop w:val="0"/>
      <w:marBottom w:val="0"/>
      <w:divBdr>
        <w:top w:val="none" w:sz="0" w:space="0" w:color="auto"/>
        <w:left w:val="none" w:sz="0" w:space="0" w:color="auto"/>
        <w:bottom w:val="none" w:sz="0" w:space="0" w:color="auto"/>
        <w:right w:val="none" w:sz="0" w:space="0" w:color="auto"/>
      </w:divBdr>
    </w:div>
    <w:div w:id="1163424278">
      <w:bodyDiv w:val="1"/>
      <w:marLeft w:val="0"/>
      <w:marRight w:val="0"/>
      <w:marTop w:val="0"/>
      <w:marBottom w:val="0"/>
      <w:divBdr>
        <w:top w:val="none" w:sz="0" w:space="0" w:color="auto"/>
        <w:left w:val="none" w:sz="0" w:space="0" w:color="auto"/>
        <w:bottom w:val="none" w:sz="0" w:space="0" w:color="auto"/>
        <w:right w:val="none" w:sz="0" w:space="0" w:color="auto"/>
      </w:divBdr>
    </w:div>
    <w:div w:id="1163619773">
      <w:bodyDiv w:val="1"/>
      <w:marLeft w:val="0"/>
      <w:marRight w:val="0"/>
      <w:marTop w:val="0"/>
      <w:marBottom w:val="0"/>
      <w:divBdr>
        <w:top w:val="none" w:sz="0" w:space="0" w:color="auto"/>
        <w:left w:val="none" w:sz="0" w:space="0" w:color="auto"/>
        <w:bottom w:val="none" w:sz="0" w:space="0" w:color="auto"/>
        <w:right w:val="none" w:sz="0" w:space="0" w:color="auto"/>
      </w:divBdr>
    </w:div>
    <w:div w:id="1163667891">
      <w:bodyDiv w:val="1"/>
      <w:marLeft w:val="0"/>
      <w:marRight w:val="0"/>
      <w:marTop w:val="0"/>
      <w:marBottom w:val="0"/>
      <w:divBdr>
        <w:top w:val="none" w:sz="0" w:space="0" w:color="auto"/>
        <w:left w:val="none" w:sz="0" w:space="0" w:color="auto"/>
        <w:bottom w:val="none" w:sz="0" w:space="0" w:color="auto"/>
        <w:right w:val="none" w:sz="0" w:space="0" w:color="auto"/>
      </w:divBdr>
    </w:div>
    <w:div w:id="1164007451">
      <w:bodyDiv w:val="1"/>
      <w:marLeft w:val="0"/>
      <w:marRight w:val="0"/>
      <w:marTop w:val="0"/>
      <w:marBottom w:val="0"/>
      <w:divBdr>
        <w:top w:val="none" w:sz="0" w:space="0" w:color="auto"/>
        <w:left w:val="none" w:sz="0" w:space="0" w:color="auto"/>
        <w:bottom w:val="none" w:sz="0" w:space="0" w:color="auto"/>
        <w:right w:val="none" w:sz="0" w:space="0" w:color="auto"/>
      </w:divBdr>
    </w:div>
    <w:div w:id="1164011173">
      <w:bodyDiv w:val="1"/>
      <w:marLeft w:val="0"/>
      <w:marRight w:val="0"/>
      <w:marTop w:val="0"/>
      <w:marBottom w:val="0"/>
      <w:divBdr>
        <w:top w:val="none" w:sz="0" w:space="0" w:color="auto"/>
        <w:left w:val="none" w:sz="0" w:space="0" w:color="auto"/>
        <w:bottom w:val="none" w:sz="0" w:space="0" w:color="auto"/>
        <w:right w:val="none" w:sz="0" w:space="0" w:color="auto"/>
      </w:divBdr>
    </w:div>
    <w:div w:id="1164124261">
      <w:bodyDiv w:val="1"/>
      <w:marLeft w:val="0"/>
      <w:marRight w:val="0"/>
      <w:marTop w:val="0"/>
      <w:marBottom w:val="0"/>
      <w:divBdr>
        <w:top w:val="none" w:sz="0" w:space="0" w:color="auto"/>
        <w:left w:val="none" w:sz="0" w:space="0" w:color="auto"/>
        <w:bottom w:val="none" w:sz="0" w:space="0" w:color="auto"/>
        <w:right w:val="none" w:sz="0" w:space="0" w:color="auto"/>
      </w:divBdr>
    </w:div>
    <w:div w:id="1164472287">
      <w:bodyDiv w:val="1"/>
      <w:marLeft w:val="0"/>
      <w:marRight w:val="0"/>
      <w:marTop w:val="0"/>
      <w:marBottom w:val="0"/>
      <w:divBdr>
        <w:top w:val="none" w:sz="0" w:space="0" w:color="auto"/>
        <w:left w:val="none" w:sz="0" w:space="0" w:color="auto"/>
        <w:bottom w:val="none" w:sz="0" w:space="0" w:color="auto"/>
        <w:right w:val="none" w:sz="0" w:space="0" w:color="auto"/>
      </w:divBdr>
    </w:div>
    <w:div w:id="1165164929">
      <w:bodyDiv w:val="1"/>
      <w:marLeft w:val="0"/>
      <w:marRight w:val="0"/>
      <w:marTop w:val="0"/>
      <w:marBottom w:val="0"/>
      <w:divBdr>
        <w:top w:val="none" w:sz="0" w:space="0" w:color="auto"/>
        <w:left w:val="none" w:sz="0" w:space="0" w:color="auto"/>
        <w:bottom w:val="none" w:sz="0" w:space="0" w:color="auto"/>
        <w:right w:val="none" w:sz="0" w:space="0" w:color="auto"/>
      </w:divBdr>
    </w:div>
    <w:div w:id="1165240579">
      <w:bodyDiv w:val="1"/>
      <w:marLeft w:val="0"/>
      <w:marRight w:val="0"/>
      <w:marTop w:val="0"/>
      <w:marBottom w:val="0"/>
      <w:divBdr>
        <w:top w:val="none" w:sz="0" w:space="0" w:color="auto"/>
        <w:left w:val="none" w:sz="0" w:space="0" w:color="auto"/>
        <w:bottom w:val="none" w:sz="0" w:space="0" w:color="auto"/>
        <w:right w:val="none" w:sz="0" w:space="0" w:color="auto"/>
      </w:divBdr>
    </w:div>
    <w:div w:id="1165247047">
      <w:bodyDiv w:val="1"/>
      <w:marLeft w:val="0"/>
      <w:marRight w:val="0"/>
      <w:marTop w:val="0"/>
      <w:marBottom w:val="0"/>
      <w:divBdr>
        <w:top w:val="none" w:sz="0" w:space="0" w:color="auto"/>
        <w:left w:val="none" w:sz="0" w:space="0" w:color="auto"/>
        <w:bottom w:val="none" w:sz="0" w:space="0" w:color="auto"/>
        <w:right w:val="none" w:sz="0" w:space="0" w:color="auto"/>
      </w:divBdr>
    </w:div>
    <w:div w:id="1166017816">
      <w:bodyDiv w:val="1"/>
      <w:marLeft w:val="0"/>
      <w:marRight w:val="0"/>
      <w:marTop w:val="0"/>
      <w:marBottom w:val="0"/>
      <w:divBdr>
        <w:top w:val="none" w:sz="0" w:space="0" w:color="auto"/>
        <w:left w:val="none" w:sz="0" w:space="0" w:color="auto"/>
        <w:bottom w:val="none" w:sz="0" w:space="0" w:color="auto"/>
        <w:right w:val="none" w:sz="0" w:space="0" w:color="auto"/>
      </w:divBdr>
    </w:div>
    <w:div w:id="1166087859">
      <w:bodyDiv w:val="1"/>
      <w:marLeft w:val="0"/>
      <w:marRight w:val="0"/>
      <w:marTop w:val="0"/>
      <w:marBottom w:val="0"/>
      <w:divBdr>
        <w:top w:val="none" w:sz="0" w:space="0" w:color="auto"/>
        <w:left w:val="none" w:sz="0" w:space="0" w:color="auto"/>
        <w:bottom w:val="none" w:sz="0" w:space="0" w:color="auto"/>
        <w:right w:val="none" w:sz="0" w:space="0" w:color="auto"/>
      </w:divBdr>
    </w:div>
    <w:div w:id="1166440827">
      <w:bodyDiv w:val="1"/>
      <w:marLeft w:val="0"/>
      <w:marRight w:val="0"/>
      <w:marTop w:val="0"/>
      <w:marBottom w:val="0"/>
      <w:divBdr>
        <w:top w:val="none" w:sz="0" w:space="0" w:color="auto"/>
        <w:left w:val="none" w:sz="0" w:space="0" w:color="auto"/>
        <w:bottom w:val="none" w:sz="0" w:space="0" w:color="auto"/>
        <w:right w:val="none" w:sz="0" w:space="0" w:color="auto"/>
      </w:divBdr>
    </w:div>
    <w:div w:id="1166557219">
      <w:bodyDiv w:val="1"/>
      <w:marLeft w:val="0"/>
      <w:marRight w:val="0"/>
      <w:marTop w:val="0"/>
      <w:marBottom w:val="0"/>
      <w:divBdr>
        <w:top w:val="none" w:sz="0" w:space="0" w:color="auto"/>
        <w:left w:val="none" w:sz="0" w:space="0" w:color="auto"/>
        <w:bottom w:val="none" w:sz="0" w:space="0" w:color="auto"/>
        <w:right w:val="none" w:sz="0" w:space="0" w:color="auto"/>
      </w:divBdr>
    </w:div>
    <w:div w:id="1166944892">
      <w:bodyDiv w:val="1"/>
      <w:marLeft w:val="0"/>
      <w:marRight w:val="0"/>
      <w:marTop w:val="0"/>
      <w:marBottom w:val="0"/>
      <w:divBdr>
        <w:top w:val="none" w:sz="0" w:space="0" w:color="auto"/>
        <w:left w:val="none" w:sz="0" w:space="0" w:color="auto"/>
        <w:bottom w:val="none" w:sz="0" w:space="0" w:color="auto"/>
        <w:right w:val="none" w:sz="0" w:space="0" w:color="auto"/>
      </w:divBdr>
    </w:div>
    <w:div w:id="1167329042">
      <w:bodyDiv w:val="1"/>
      <w:marLeft w:val="0"/>
      <w:marRight w:val="0"/>
      <w:marTop w:val="0"/>
      <w:marBottom w:val="0"/>
      <w:divBdr>
        <w:top w:val="none" w:sz="0" w:space="0" w:color="auto"/>
        <w:left w:val="none" w:sz="0" w:space="0" w:color="auto"/>
        <w:bottom w:val="none" w:sz="0" w:space="0" w:color="auto"/>
        <w:right w:val="none" w:sz="0" w:space="0" w:color="auto"/>
      </w:divBdr>
    </w:div>
    <w:div w:id="1167401594">
      <w:bodyDiv w:val="1"/>
      <w:marLeft w:val="0"/>
      <w:marRight w:val="0"/>
      <w:marTop w:val="0"/>
      <w:marBottom w:val="0"/>
      <w:divBdr>
        <w:top w:val="none" w:sz="0" w:space="0" w:color="auto"/>
        <w:left w:val="none" w:sz="0" w:space="0" w:color="auto"/>
        <w:bottom w:val="none" w:sz="0" w:space="0" w:color="auto"/>
        <w:right w:val="none" w:sz="0" w:space="0" w:color="auto"/>
      </w:divBdr>
    </w:div>
    <w:div w:id="1167599089">
      <w:bodyDiv w:val="1"/>
      <w:marLeft w:val="0"/>
      <w:marRight w:val="0"/>
      <w:marTop w:val="0"/>
      <w:marBottom w:val="0"/>
      <w:divBdr>
        <w:top w:val="none" w:sz="0" w:space="0" w:color="auto"/>
        <w:left w:val="none" w:sz="0" w:space="0" w:color="auto"/>
        <w:bottom w:val="none" w:sz="0" w:space="0" w:color="auto"/>
        <w:right w:val="none" w:sz="0" w:space="0" w:color="auto"/>
      </w:divBdr>
    </w:div>
    <w:div w:id="1167750477">
      <w:bodyDiv w:val="1"/>
      <w:marLeft w:val="0"/>
      <w:marRight w:val="0"/>
      <w:marTop w:val="0"/>
      <w:marBottom w:val="0"/>
      <w:divBdr>
        <w:top w:val="none" w:sz="0" w:space="0" w:color="auto"/>
        <w:left w:val="none" w:sz="0" w:space="0" w:color="auto"/>
        <w:bottom w:val="none" w:sz="0" w:space="0" w:color="auto"/>
        <w:right w:val="none" w:sz="0" w:space="0" w:color="auto"/>
      </w:divBdr>
    </w:div>
    <w:div w:id="1167751743">
      <w:bodyDiv w:val="1"/>
      <w:marLeft w:val="0"/>
      <w:marRight w:val="0"/>
      <w:marTop w:val="0"/>
      <w:marBottom w:val="0"/>
      <w:divBdr>
        <w:top w:val="none" w:sz="0" w:space="0" w:color="auto"/>
        <w:left w:val="none" w:sz="0" w:space="0" w:color="auto"/>
        <w:bottom w:val="none" w:sz="0" w:space="0" w:color="auto"/>
        <w:right w:val="none" w:sz="0" w:space="0" w:color="auto"/>
      </w:divBdr>
    </w:div>
    <w:div w:id="1167793270">
      <w:bodyDiv w:val="1"/>
      <w:marLeft w:val="0"/>
      <w:marRight w:val="0"/>
      <w:marTop w:val="0"/>
      <w:marBottom w:val="0"/>
      <w:divBdr>
        <w:top w:val="none" w:sz="0" w:space="0" w:color="auto"/>
        <w:left w:val="none" w:sz="0" w:space="0" w:color="auto"/>
        <w:bottom w:val="none" w:sz="0" w:space="0" w:color="auto"/>
        <w:right w:val="none" w:sz="0" w:space="0" w:color="auto"/>
      </w:divBdr>
    </w:div>
    <w:div w:id="1168062722">
      <w:bodyDiv w:val="1"/>
      <w:marLeft w:val="0"/>
      <w:marRight w:val="0"/>
      <w:marTop w:val="0"/>
      <w:marBottom w:val="0"/>
      <w:divBdr>
        <w:top w:val="none" w:sz="0" w:space="0" w:color="auto"/>
        <w:left w:val="none" w:sz="0" w:space="0" w:color="auto"/>
        <w:bottom w:val="none" w:sz="0" w:space="0" w:color="auto"/>
        <w:right w:val="none" w:sz="0" w:space="0" w:color="auto"/>
      </w:divBdr>
    </w:div>
    <w:div w:id="1168331789">
      <w:bodyDiv w:val="1"/>
      <w:marLeft w:val="0"/>
      <w:marRight w:val="0"/>
      <w:marTop w:val="0"/>
      <w:marBottom w:val="0"/>
      <w:divBdr>
        <w:top w:val="none" w:sz="0" w:space="0" w:color="auto"/>
        <w:left w:val="none" w:sz="0" w:space="0" w:color="auto"/>
        <w:bottom w:val="none" w:sz="0" w:space="0" w:color="auto"/>
        <w:right w:val="none" w:sz="0" w:space="0" w:color="auto"/>
      </w:divBdr>
    </w:div>
    <w:div w:id="1168978911">
      <w:bodyDiv w:val="1"/>
      <w:marLeft w:val="0"/>
      <w:marRight w:val="0"/>
      <w:marTop w:val="0"/>
      <w:marBottom w:val="0"/>
      <w:divBdr>
        <w:top w:val="none" w:sz="0" w:space="0" w:color="auto"/>
        <w:left w:val="none" w:sz="0" w:space="0" w:color="auto"/>
        <w:bottom w:val="none" w:sz="0" w:space="0" w:color="auto"/>
        <w:right w:val="none" w:sz="0" w:space="0" w:color="auto"/>
      </w:divBdr>
    </w:div>
    <w:div w:id="1168986293">
      <w:bodyDiv w:val="1"/>
      <w:marLeft w:val="0"/>
      <w:marRight w:val="0"/>
      <w:marTop w:val="0"/>
      <w:marBottom w:val="0"/>
      <w:divBdr>
        <w:top w:val="none" w:sz="0" w:space="0" w:color="auto"/>
        <w:left w:val="none" w:sz="0" w:space="0" w:color="auto"/>
        <w:bottom w:val="none" w:sz="0" w:space="0" w:color="auto"/>
        <w:right w:val="none" w:sz="0" w:space="0" w:color="auto"/>
      </w:divBdr>
    </w:div>
    <w:div w:id="1169054243">
      <w:bodyDiv w:val="1"/>
      <w:marLeft w:val="0"/>
      <w:marRight w:val="0"/>
      <w:marTop w:val="0"/>
      <w:marBottom w:val="0"/>
      <w:divBdr>
        <w:top w:val="none" w:sz="0" w:space="0" w:color="auto"/>
        <w:left w:val="none" w:sz="0" w:space="0" w:color="auto"/>
        <w:bottom w:val="none" w:sz="0" w:space="0" w:color="auto"/>
        <w:right w:val="none" w:sz="0" w:space="0" w:color="auto"/>
      </w:divBdr>
    </w:div>
    <w:div w:id="1169448107">
      <w:bodyDiv w:val="1"/>
      <w:marLeft w:val="0"/>
      <w:marRight w:val="0"/>
      <w:marTop w:val="0"/>
      <w:marBottom w:val="0"/>
      <w:divBdr>
        <w:top w:val="none" w:sz="0" w:space="0" w:color="auto"/>
        <w:left w:val="none" w:sz="0" w:space="0" w:color="auto"/>
        <w:bottom w:val="none" w:sz="0" w:space="0" w:color="auto"/>
        <w:right w:val="none" w:sz="0" w:space="0" w:color="auto"/>
      </w:divBdr>
    </w:div>
    <w:div w:id="1169564255">
      <w:bodyDiv w:val="1"/>
      <w:marLeft w:val="0"/>
      <w:marRight w:val="0"/>
      <w:marTop w:val="0"/>
      <w:marBottom w:val="0"/>
      <w:divBdr>
        <w:top w:val="none" w:sz="0" w:space="0" w:color="auto"/>
        <w:left w:val="none" w:sz="0" w:space="0" w:color="auto"/>
        <w:bottom w:val="none" w:sz="0" w:space="0" w:color="auto"/>
        <w:right w:val="none" w:sz="0" w:space="0" w:color="auto"/>
      </w:divBdr>
    </w:div>
    <w:div w:id="1169715534">
      <w:bodyDiv w:val="1"/>
      <w:marLeft w:val="0"/>
      <w:marRight w:val="0"/>
      <w:marTop w:val="0"/>
      <w:marBottom w:val="0"/>
      <w:divBdr>
        <w:top w:val="none" w:sz="0" w:space="0" w:color="auto"/>
        <w:left w:val="none" w:sz="0" w:space="0" w:color="auto"/>
        <w:bottom w:val="none" w:sz="0" w:space="0" w:color="auto"/>
        <w:right w:val="none" w:sz="0" w:space="0" w:color="auto"/>
      </w:divBdr>
    </w:div>
    <w:div w:id="1170213449">
      <w:bodyDiv w:val="1"/>
      <w:marLeft w:val="0"/>
      <w:marRight w:val="0"/>
      <w:marTop w:val="0"/>
      <w:marBottom w:val="0"/>
      <w:divBdr>
        <w:top w:val="none" w:sz="0" w:space="0" w:color="auto"/>
        <w:left w:val="none" w:sz="0" w:space="0" w:color="auto"/>
        <w:bottom w:val="none" w:sz="0" w:space="0" w:color="auto"/>
        <w:right w:val="none" w:sz="0" w:space="0" w:color="auto"/>
      </w:divBdr>
    </w:div>
    <w:div w:id="1170367340">
      <w:bodyDiv w:val="1"/>
      <w:marLeft w:val="0"/>
      <w:marRight w:val="0"/>
      <w:marTop w:val="0"/>
      <w:marBottom w:val="0"/>
      <w:divBdr>
        <w:top w:val="none" w:sz="0" w:space="0" w:color="auto"/>
        <w:left w:val="none" w:sz="0" w:space="0" w:color="auto"/>
        <w:bottom w:val="none" w:sz="0" w:space="0" w:color="auto"/>
        <w:right w:val="none" w:sz="0" w:space="0" w:color="auto"/>
      </w:divBdr>
    </w:div>
    <w:div w:id="1170489065">
      <w:bodyDiv w:val="1"/>
      <w:marLeft w:val="0"/>
      <w:marRight w:val="0"/>
      <w:marTop w:val="0"/>
      <w:marBottom w:val="0"/>
      <w:divBdr>
        <w:top w:val="none" w:sz="0" w:space="0" w:color="auto"/>
        <w:left w:val="none" w:sz="0" w:space="0" w:color="auto"/>
        <w:bottom w:val="none" w:sz="0" w:space="0" w:color="auto"/>
        <w:right w:val="none" w:sz="0" w:space="0" w:color="auto"/>
      </w:divBdr>
    </w:div>
    <w:div w:id="1170608780">
      <w:bodyDiv w:val="1"/>
      <w:marLeft w:val="0"/>
      <w:marRight w:val="0"/>
      <w:marTop w:val="0"/>
      <w:marBottom w:val="0"/>
      <w:divBdr>
        <w:top w:val="none" w:sz="0" w:space="0" w:color="auto"/>
        <w:left w:val="none" w:sz="0" w:space="0" w:color="auto"/>
        <w:bottom w:val="none" w:sz="0" w:space="0" w:color="auto"/>
        <w:right w:val="none" w:sz="0" w:space="0" w:color="auto"/>
      </w:divBdr>
    </w:div>
    <w:div w:id="1170635111">
      <w:bodyDiv w:val="1"/>
      <w:marLeft w:val="0"/>
      <w:marRight w:val="0"/>
      <w:marTop w:val="0"/>
      <w:marBottom w:val="0"/>
      <w:divBdr>
        <w:top w:val="none" w:sz="0" w:space="0" w:color="auto"/>
        <w:left w:val="none" w:sz="0" w:space="0" w:color="auto"/>
        <w:bottom w:val="none" w:sz="0" w:space="0" w:color="auto"/>
        <w:right w:val="none" w:sz="0" w:space="0" w:color="auto"/>
      </w:divBdr>
    </w:div>
    <w:div w:id="1171676244">
      <w:bodyDiv w:val="1"/>
      <w:marLeft w:val="0"/>
      <w:marRight w:val="0"/>
      <w:marTop w:val="0"/>
      <w:marBottom w:val="0"/>
      <w:divBdr>
        <w:top w:val="none" w:sz="0" w:space="0" w:color="auto"/>
        <w:left w:val="none" w:sz="0" w:space="0" w:color="auto"/>
        <w:bottom w:val="none" w:sz="0" w:space="0" w:color="auto"/>
        <w:right w:val="none" w:sz="0" w:space="0" w:color="auto"/>
      </w:divBdr>
    </w:div>
    <w:div w:id="1171718203">
      <w:bodyDiv w:val="1"/>
      <w:marLeft w:val="0"/>
      <w:marRight w:val="0"/>
      <w:marTop w:val="0"/>
      <w:marBottom w:val="0"/>
      <w:divBdr>
        <w:top w:val="none" w:sz="0" w:space="0" w:color="auto"/>
        <w:left w:val="none" w:sz="0" w:space="0" w:color="auto"/>
        <w:bottom w:val="none" w:sz="0" w:space="0" w:color="auto"/>
        <w:right w:val="none" w:sz="0" w:space="0" w:color="auto"/>
      </w:divBdr>
    </w:div>
    <w:div w:id="1171867531">
      <w:bodyDiv w:val="1"/>
      <w:marLeft w:val="0"/>
      <w:marRight w:val="0"/>
      <w:marTop w:val="0"/>
      <w:marBottom w:val="0"/>
      <w:divBdr>
        <w:top w:val="none" w:sz="0" w:space="0" w:color="auto"/>
        <w:left w:val="none" w:sz="0" w:space="0" w:color="auto"/>
        <w:bottom w:val="none" w:sz="0" w:space="0" w:color="auto"/>
        <w:right w:val="none" w:sz="0" w:space="0" w:color="auto"/>
      </w:divBdr>
    </w:div>
    <w:div w:id="1172375703">
      <w:bodyDiv w:val="1"/>
      <w:marLeft w:val="0"/>
      <w:marRight w:val="0"/>
      <w:marTop w:val="0"/>
      <w:marBottom w:val="0"/>
      <w:divBdr>
        <w:top w:val="none" w:sz="0" w:space="0" w:color="auto"/>
        <w:left w:val="none" w:sz="0" w:space="0" w:color="auto"/>
        <w:bottom w:val="none" w:sz="0" w:space="0" w:color="auto"/>
        <w:right w:val="none" w:sz="0" w:space="0" w:color="auto"/>
      </w:divBdr>
    </w:div>
    <w:div w:id="1172379909">
      <w:bodyDiv w:val="1"/>
      <w:marLeft w:val="0"/>
      <w:marRight w:val="0"/>
      <w:marTop w:val="0"/>
      <w:marBottom w:val="0"/>
      <w:divBdr>
        <w:top w:val="none" w:sz="0" w:space="0" w:color="auto"/>
        <w:left w:val="none" w:sz="0" w:space="0" w:color="auto"/>
        <w:bottom w:val="none" w:sz="0" w:space="0" w:color="auto"/>
        <w:right w:val="none" w:sz="0" w:space="0" w:color="auto"/>
      </w:divBdr>
    </w:div>
    <w:div w:id="1172405697">
      <w:bodyDiv w:val="1"/>
      <w:marLeft w:val="0"/>
      <w:marRight w:val="0"/>
      <w:marTop w:val="0"/>
      <w:marBottom w:val="0"/>
      <w:divBdr>
        <w:top w:val="none" w:sz="0" w:space="0" w:color="auto"/>
        <w:left w:val="none" w:sz="0" w:space="0" w:color="auto"/>
        <w:bottom w:val="none" w:sz="0" w:space="0" w:color="auto"/>
        <w:right w:val="none" w:sz="0" w:space="0" w:color="auto"/>
      </w:divBdr>
    </w:div>
    <w:div w:id="1172530221">
      <w:bodyDiv w:val="1"/>
      <w:marLeft w:val="0"/>
      <w:marRight w:val="0"/>
      <w:marTop w:val="0"/>
      <w:marBottom w:val="0"/>
      <w:divBdr>
        <w:top w:val="none" w:sz="0" w:space="0" w:color="auto"/>
        <w:left w:val="none" w:sz="0" w:space="0" w:color="auto"/>
        <w:bottom w:val="none" w:sz="0" w:space="0" w:color="auto"/>
        <w:right w:val="none" w:sz="0" w:space="0" w:color="auto"/>
      </w:divBdr>
    </w:div>
    <w:div w:id="1172648976">
      <w:bodyDiv w:val="1"/>
      <w:marLeft w:val="0"/>
      <w:marRight w:val="0"/>
      <w:marTop w:val="0"/>
      <w:marBottom w:val="0"/>
      <w:divBdr>
        <w:top w:val="none" w:sz="0" w:space="0" w:color="auto"/>
        <w:left w:val="none" w:sz="0" w:space="0" w:color="auto"/>
        <w:bottom w:val="none" w:sz="0" w:space="0" w:color="auto"/>
        <w:right w:val="none" w:sz="0" w:space="0" w:color="auto"/>
      </w:divBdr>
    </w:div>
    <w:div w:id="1172723256">
      <w:bodyDiv w:val="1"/>
      <w:marLeft w:val="0"/>
      <w:marRight w:val="0"/>
      <w:marTop w:val="0"/>
      <w:marBottom w:val="0"/>
      <w:divBdr>
        <w:top w:val="none" w:sz="0" w:space="0" w:color="auto"/>
        <w:left w:val="none" w:sz="0" w:space="0" w:color="auto"/>
        <w:bottom w:val="none" w:sz="0" w:space="0" w:color="auto"/>
        <w:right w:val="none" w:sz="0" w:space="0" w:color="auto"/>
      </w:divBdr>
    </w:div>
    <w:div w:id="1173106403">
      <w:bodyDiv w:val="1"/>
      <w:marLeft w:val="0"/>
      <w:marRight w:val="0"/>
      <w:marTop w:val="0"/>
      <w:marBottom w:val="0"/>
      <w:divBdr>
        <w:top w:val="none" w:sz="0" w:space="0" w:color="auto"/>
        <w:left w:val="none" w:sz="0" w:space="0" w:color="auto"/>
        <w:bottom w:val="none" w:sz="0" w:space="0" w:color="auto"/>
        <w:right w:val="none" w:sz="0" w:space="0" w:color="auto"/>
      </w:divBdr>
    </w:div>
    <w:div w:id="1173452578">
      <w:bodyDiv w:val="1"/>
      <w:marLeft w:val="0"/>
      <w:marRight w:val="0"/>
      <w:marTop w:val="0"/>
      <w:marBottom w:val="0"/>
      <w:divBdr>
        <w:top w:val="none" w:sz="0" w:space="0" w:color="auto"/>
        <w:left w:val="none" w:sz="0" w:space="0" w:color="auto"/>
        <w:bottom w:val="none" w:sz="0" w:space="0" w:color="auto"/>
        <w:right w:val="none" w:sz="0" w:space="0" w:color="auto"/>
      </w:divBdr>
    </w:div>
    <w:div w:id="1173842091">
      <w:bodyDiv w:val="1"/>
      <w:marLeft w:val="0"/>
      <w:marRight w:val="0"/>
      <w:marTop w:val="0"/>
      <w:marBottom w:val="0"/>
      <w:divBdr>
        <w:top w:val="none" w:sz="0" w:space="0" w:color="auto"/>
        <w:left w:val="none" w:sz="0" w:space="0" w:color="auto"/>
        <w:bottom w:val="none" w:sz="0" w:space="0" w:color="auto"/>
        <w:right w:val="none" w:sz="0" w:space="0" w:color="auto"/>
      </w:divBdr>
    </w:div>
    <w:div w:id="1174801332">
      <w:bodyDiv w:val="1"/>
      <w:marLeft w:val="0"/>
      <w:marRight w:val="0"/>
      <w:marTop w:val="0"/>
      <w:marBottom w:val="0"/>
      <w:divBdr>
        <w:top w:val="none" w:sz="0" w:space="0" w:color="auto"/>
        <w:left w:val="none" w:sz="0" w:space="0" w:color="auto"/>
        <w:bottom w:val="none" w:sz="0" w:space="0" w:color="auto"/>
        <w:right w:val="none" w:sz="0" w:space="0" w:color="auto"/>
      </w:divBdr>
    </w:div>
    <w:div w:id="1174998858">
      <w:bodyDiv w:val="1"/>
      <w:marLeft w:val="0"/>
      <w:marRight w:val="0"/>
      <w:marTop w:val="0"/>
      <w:marBottom w:val="0"/>
      <w:divBdr>
        <w:top w:val="none" w:sz="0" w:space="0" w:color="auto"/>
        <w:left w:val="none" w:sz="0" w:space="0" w:color="auto"/>
        <w:bottom w:val="none" w:sz="0" w:space="0" w:color="auto"/>
        <w:right w:val="none" w:sz="0" w:space="0" w:color="auto"/>
      </w:divBdr>
    </w:div>
    <w:div w:id="1175611180">
      <w:bodyDiv w:val="1"/>
      <w:marLeft w:val="0"/>
      <w:marRight w:val="0"/>
      <w:marTop w:val="0"/>
      <w:marBottom w:val="0"/>
      <w:divBdr>
        <w:top w:val="none" w:sz="0" w:space="0" w:color="auto"/>
        <w:left w:val="none" w:sz="0" w:space="0" w:color="auto"/>
        <w:bottom w:val="none" w:sz="0" w:space="0" w:color="auto"/>
        <w:right w:val="none" w:sz="0" w:space="0" w:color="auto"/>
      </w:divBdr>
    </w:div>
    <w:div w:id="1175681952">
      <w:bodyDiv w:val="1"/>
      <w:marLeft w:val="0"/>
      <w:marRight w:val="0"/>
      <w:marTop w:val="0"/>
      <w:marBottom w:val="0"/>
      <w:divBdr>
        <w:top w:val="none" w:sz="0" w:space="0" w:color="auto"/>
        <w:left w:val="none" w:sz="0" w:space="0" w:color="auto"/>
        <w:bottom w:val="none" w:sz="0" w:space="0" w:color="auto"/>
        <w:right w:val="none" w:sz="0" w:space="0" w:color="auto"/>
      </w:divBdr>
    </w:div>
    <w:div w:id="1175723436">
      <w:bodyDiv w:val="1"/>
      <w:marLeft w:val="0"/>
      <w:marRight w:val="0"/>
      <w:marTop w:val="0"/>
      <w:marBottom w:val="0"/>
      <w:divBdr>
        <w:top w:val="none" w:sz="0" w:space="0" w:color="auto"/>
        <w:left w:val="none" w:sz="0" w:space="0" w:color="auto"/>
        <w:bottom w:val="none" w:sz="0" w:space="0" w:color="auto"/>
        <w:right w:val="none" w:sz="0" w:space="0" w:color="auto"/>
      </w:divBdr>
    </w:div>
    <w:div w:id="1176117634">
      <w:bodyDiv w:val="1"/>
      <w:marLeft w:val="0"/>
      <w:marRight w:val="0"/>
      <w:marTop w:val="0"/>
      <w:marBottom w:val="0"/>
      <w:divBdr>
        <w:top w:val="none" w:sz="0" w:space="0" w:color="auto"/>
        <w:left w:val="none" w:sz="0" w:space="0" w:color="auto"/>
        <w:bottom w:val="none" w:sz="0" w:space="0" w:color="auto"/>
        <w:right w:val="none" w:sz="0" w:space="0" w:color="auto"/>
      </w:divBdr>
    </w:div>
    <w:div w:id="1176194232">
      <w:bodyDiv w:val="1"/>
      <w:marLeft w:val="0"/>
      <w:marRight w:val="0"/>
      <w:marTop w:val="0"/>
      <w:marBottom w:val="0"/>
      <w:divBdr>
        <w:top w:val="none" w:sz="0" w:space="0" w:color="auto"/>
        <w:left w:val="none" w:sz="0" w:space="0" w:color="auto"/>
        <w:bottom w:val="none" w:sz="0" w:space="0" w:color="auto"/>
        <w:right w:val="none" w:sz="0" w:space="0" w:color="auto"/>
      </w:divBdr>
    </w:div>
    <w:div w:id="1176384596">
      <w:bodyDiv w:val="1"/>
      <w:marLeft w:val="0"/>
      <w:marRight w:val="0"/>
      <w:marTop w:val="0"/>
      <w:marBottom w:val="0"/>
      <w:divBdr>
        <w:top w:val="none" w:sz="0" w:space="0" w:color="auto"/>
        <w:left w:val="none" w:sz="0" w:space="0" w:color="auto"/>
        <w:bottom w:val="none" w:sz="0" w:space="0" w:color="auto"/>
        <w:right w:val="none" w:sz="0" w:space="0" w:color="auto"/>
      </w:divBdr>
    </w:div>
    <w:div w:id="1177579682">
      <w:bodyDiv w:val="1"/>
      <w:marLeft w:val="0"/>
      <w:marRight w:val="0"/>
      <w:marTop w:val="0"/>
      <w:marBottom w:val="0"/>
      <w:divBdr>
        <w:top w:val="none" w:sz="0" w:space="0" w:color="auto"/>
        <w:left w:val="none" w:sz="0" w:space="0" w:color="auto"/>
        <w:bottom w:val="none" w:sz="0" w:space="0" w:color="auto"/>
        <w:right w:val="none" w:sz="0" w:space="0" w:color="auto"/>
      </w:divBdr>
    </w:div>
    <w:div w:id="1177964088">
      <w:bodyDiv w:val="1"/>
      <w:marLeft w:val="0"/>
      <w:marRight w:val="0"/>
      <w:marTop w:val="0"/>
      <w:marBottom w:val="0"/>
      <w:divBdr>
        <w:top w:val="none" w:sz="0" w:space="0" w:color="auto"/>
        <w:left w:val="none" w:sz="0" w:space="0" w:color="auto"/>
        <w:bottom w:val="none" w:sz="0" w:space="0" w:color="auto"/>
        <w:right w:val="none" w:sz="0" w:space="0" w:color="auto"/>
      </w:divBdr>
    </w:div>
    <w:div w:id="1178084191">
      <w:bodyDiv w:val="1"/>
      <w:marLeft w:val="0"/>
      <w:marRight w:val="0"/>
      <w:marTop w:val="0"/>
      <w:marBottom w:val="0"/>
      <w:divBdr>
        <w:top w:val="none" w:sz="0" w:space="0" w:color="auto"/>
        <w:left w:val="none" w:sz="0" w:space="0" w:color="auto"/>
        <w:bottom w:val="none" w:sz="0" w:space="0" w:color="auto"/>
        <w:right w:val="none" w:sz="0" w:space="0" w:color="auto"/>
      </w:divBdr>
    </w:div>
    <w:div w:id="1178883055">
      <w:bodyDiv w:val="1"/>
      <w:marLeft w:val="0"/>
      <w:marRight w:val="0"/>
      <w:marTop w:val="0"/>
      <w:marBottom w:val="0"/>
      <w:divBdr>
        <w:top w:val="none" w:sz="0" w:space="0" w:color="auto"/>
        <w:left w:val="none" w:sz="0" w:space="0" w:color="auto"/>
        <w:bottom w:val="none" w:sz="0" w:space="0" w:color="auto"/>
        <w:right w:val="none" w:sz="0" w:space="0" w:color="auto"/>
      </w:divBdr>
    </w:div>
    <w:div w:id="1179078430">
      <w:bodyDiv w:val="1"/>
      <w:marLeft w:val="0"/>
      <w:marRight w:val="0"/>
      <w:marTop w:val="0"/>
      <w:marBottom w:val="0"/>
      <w:divBdr>
        <w:top w:val="none" w:sz="0" w:space="0" w:color="auto"/>
        <w:left w:val="none" w:sz="0" w:space="0" w:color="auto"/>
        <w:bottom w:val="none" w:sz="0" w:space="0" w:color="auto"/>
        <w:right w:val="none" w:sz="0" w:space="0" w:color="auto"/>
      </w:divBdr>
    </w:div>
    <w:div w:id="1179194020">
      <w:bodyDiv w:val="1"/>
      <w:marLeft w:val="0"/>
      <w:marRight w:val="0"/>
      <w:marTop w:val="0"/>
      <w:marBottom w:val="0"/>
      <w:divBdr>
        <w:top w:val="none" w:sz="0" w:space="0" w:color="auto"/>
        <w:left w:val="none" w:sz="0" w:space="0" w:color="auto"/>
        <w:bottom w:val="none" w:sz="0" w:space="0" w:color="auto"/>
        <w:right w:val="none" w:sz="0" w:space="0" w:color="auto"/>
      </w:divBdr>
    </w:div>
    <w:div w:id="1179350864">
      <w:bodyDiv w:val="1"/>
      <w:marLeft w:val="0"/>
      <w:marRight w:val="0"/>
      <w:marTop w:val="0"/>
      <w:marBottom w:val="0"/>
      <w:divBdr>
        <w:top w:val="none" w:sz="0" w:space="0" w:color="auto"/>
        <w:left w:val="none" w:sz="0" w:space="0" w:color="auto"/>
        <w:bottom w:val="none" w:sz="0" w:space="0" w:color="auto"/>
        <w:right w:val="none" w:sz="0" w:space="0" w:color="auto"/>
      </w:divBdr>
    </w:div>
    <w:div w:id="1179664643">
      <w:bodyDiv w:val="1"/>
      <w:marLeft w:val="0"/>
      <w:marRight w:val="0"/>
      <w:marTop w:val="0"/>
      <w:marBottom w:val="0"/>
      <w:divBdr>
        <w:top w:val="none" w:sz="0" w:space="0" w:color="auto"/>
        <w:left w:val="none" w:sz="0" w:space="0" w:color="auto"/>
        <w:bottom w:val="none" w:sz="0" w:space="0" w:color="auto"/>
        <w:right w:val="none" w:sz="0" w:space="0" w:color="auto"/>
      </w:divBdr>
    </w:div>
    <w:div w:id="1179852902">
      <w:bodyDiv w:val="1"/>
      <w:marLeft w:val="0"/>
      <w:marRight w:val="0"/>
      <w:marTop w:val="0"/>
      <w:marBottom w:val="0"/>
      <w:divBdr>
        <w:top w:val="none" w:sz="0" w:space="0" w:color="auto"/>
        <w:left w:val="none" w:sz="0" w:space="0" w:color="auto"/>
        <w:bottom w:val="none" w:sz="0" w:space="0" w:color="auto"/>
        <w:right w:val="none" w:sz="0" w:space="0" w:color="auto"/>
      </w:divBdr>
    </w:div>
    <w:div w:id="1180773266">
      <w:bodyDiv w:val="1"/>
      <w:marLeft w:val="0"/>
      <w:marRight w:val="0"/>
      <w:marTop w:val="0"/>
      <w:marBottom w:val="0"/>
      <w:divBdr>
        <w:top w:val="none" w:sz="0" w:space="0" w:color="auto"/>
        <w:left w:val="none" w:sz="0" w:space="0" w:color="auto"/>
        <w:bottom w:val="none" w:sz="0" w:space="0" w:color="auto"/>
        <w:right w:val="none" w:sz="0" w:space="0" w:color="auto"/>
      </w:divBdr>
    </w:div>
    <w:div w:id="1181234483">
      <w:bodyDiv w:val="1"/>
      <w:marLeft w:val="0"/>
      <w:marRight w:val="0"/>
      <w:marTop w:val="0"/>
      <w:marBottom w:val="0"/>
      <w:divBdr>
        <w:top w:val="none" w:sz="0" w:space="0" w:color="auto"/>
        <w:left w:val="none" w:sz="0" w:space="0" w:color="auto"/>
        <w:bottom w:val="none" w:sz="0" w:space="0" w:color="auto"/>
        <w:right w:val="none" w:sz="0" w:space="0" w:color="auto"/>
      </w:divBdr>
    </w:div>
    <w:div w:id="1181510704">
      <w:bodyDiv w:val="1"/>
      <w:marLeft w:val="0"/>
      <w:marRight w:val="0"/>
      <w:marTop w:val="0"/>
      <w:marBottom w:val="0"/>
      <w:divBdr>
        <w:top w:val="none" w:sz="0" w:space="0" w:color="auto"/>
        <w:left w:val="none" w:sz="0" w:space="0" w:color="auto"/>
        <w:bottom w:val="none" w:sz="0" w:space="0" w:color="auto"/>
        <w:right w:val="none" w:sz="0" w:space="0" w:color="auto"/>
      </w:divBdr>
    </w:div>
    <w:div w:id="1182353726">
      <w:bodyDiv w:val="1"/>
      <w:marLeft w:val="0"/>
      <w:marRight w:val="0"/>
      <w:marTop w:val="0"/>
      <w:marBottom w:val="0"/>
      <w:divBdr>
        <w:top w:val="none" w:sz="0" w:space="0" w:color="auto"/>
        <w:left w:val="none" w:sz="0" w:space="0" w:color="auto"/>
        <w:bottom w:val="none" w:sz="0" w:space="0" w:color="auto"/>
        <w:right w:val="none" w:sz="0" w:space="0" w:color="auto"/>
      </w:divBdr>
    </w:div>
    <w:div w:id="1183206356">
      <w:bodyDiv w:val="1"/>
      <w:marLeft w:val="0"/>
      <w:marRight w:val="0"/>
      <w:marTop w:val="0"/>
      <w:marBottom w:val="0"/>
      <w:divBdr>
        <w:top w:val="none" w:sz="0" w:space="0" w:color="auto"/>
        <w:left w:val="none" w:sz="0" w:space="0" w:color="auto"/>
        <w:bottom w:val="none" w:sz="0" w:space="0" w:color="auto"/>
        <w:right w:val="none" w:sz="0" w:space="0" w:color="auto"/>
      </w:divBdr>
    </w:div>
    <w:div w:id="1183520746">
      <w:bodyDiv w:val="1"/>
      <w:marLeft w:val="0"/>
      <w:marRight w:val="0"/>
      <w:marTop w:val="0"/>
      <w:marBottom w:val="0"/>
      <w:divBdr>
        <w:top w:val="none" w:sz="0" w:space="0" w:color="auto"/>
        <w:left w:val="none" w:sz="0" w:space="0" w:color="auto"/>
        <w:bottom w:val="none" w:sz="0" w:space="0" w:color="auto"/>
        <w:right w:val="none" w:sz="0" w:space="0" w:color="auto"/>
      </w:divBdr>
    </w:div>
    <w:div w:id="1183661954">
      <w:bodyDiv w:val="1"/>
      <w:marLeft w:val="0"/>
      <w:marRight w:val="0"/>
      <w:marTop w:val="0"/>
      <w:marBottom w:val="0"/>
      <w:divBdr>
        <w:top w:val="none" w:sz="0" w:space="0" w:color="auto"/>
        <w:left w:val="none" w:sz="0" w:space="0" w:color="auto"/>
        <w:bottom w:val="none" w:sz="0" w:space="0" w:color="auto"/>
        <w:right w:val="none" w:sz="0" w:space="0" w:color="auto"/>
      </w:divBdr>
    </w:div>
    <w:div w:id="1183712364">
      <w:bodyDiv w:val="1"/>
      <w:marLeft w:val="0"/>
      <w:marRight w:val="0"/>
      <w:marTop w:val="0"/>
      <w:marBottom w:val="0"/>
      <w:divBdr>
        <w:top w:val="none" w:sz="0" w:space="0" w:color="auto"/>
        <w:left w:val="none" w:sz="0" w:space="0" w:color="auto"/>
        <w:bottom w:val="none" w:sz="0" w:space="0" w:color="auto"/>
        <w:right w:val="none" w:sz="0" w:space="0" w:color="auto"/>
      </w:divBdr>
    </w:div>
    <w:div w:id="1183975816">
      <w:bodyDiv w:val="1"/>
      <w:marLeft w:val="0"/>
      <w:marRight w:val="0"/>
      <w:marTop w:val="0"/>
      <w:marBottom w:val="0"/>
      <w:divBdr>
        <w:top w:val="none" w:sz="0" w:space="0" w:color="auto"/>
        <w:left w:val="none" w:sz="0" w:space="0" w:color="auto"/>
        <w:bottom w:val="none" w:sz="0" w:space="0" w:color="auto"/>
        <w:right w:val="none" w:sz="0" w:space="0" w:color="auto"/>
      </w:divBdr>
    </w:div>
    <w:div w:id="1184326841">
      <w:bodyDiv w:val="1"/>
      <w:marLeft w:val="0"/>
      <w:marRight w:val="0"/>
      <w:marTop w:val="0"/>
      <w:marBottom w:val="0"/>
      <w:divBdr>
        <w:top w:val="none" w:sz="0" w:space="0" w:color="auto"/>
        <w:left w:val="none" w:sz="0" w:space="0" w:color="auto"/>
        <w:bottom w:val="none" w:sz="0" w:space="0" w:color="auto"/>
        <w:right w:val="none" w:sz="0" w:space="0" w:color="auto"/>
      </w:divBdr>
    </w:div>
    <w:div w:id="1184856518">
      <w:bodyDiv w:val="1"/>
      <w:marLeft w:val="0"/>
      <w:marRight w:val="0"/>
      <w:marTop w:val="0"/>
      <w:marBottom w:val="0"/>
      <w:divBdr>
        <w:top w:val="none" w:sz="0" w:space="0" w:color="auto"/>
        <w:left w:val="none" w:sz="0" w:space="0" w:color="auto"/>
        <w:bottom w:val="none" w:sz="0" w:space="0" w:color="auto"/>
        <w:right w:val="none" w:sz="0" w:space="0" w:color="auto"/>
      </w:divBdr>
    </w:div>
    <w:div w:id="1185442671">
      <w:bodyDiv w:val="1"/>
      <w:marLeft w:val="0"/>
      <w:marRight w:val="0"/>
      <w:marTop w:val="0"/>
      <w:marBottom w:val="0"/>
      <w:divBdr>
        <w:top w:val="none" w:sz="0" w:space="0" w:color="auto"/>
        <w:left w:val="none" w:sz="0" w:space="0" w:color="auto"/>
        <w:bottom w:val="none" w:sz="0" w:space="0" w:color="auto"/>
        <w:right w:val="none" w:sz="0" w:space="0" w:color="auto"/>
      </w:divBdr>
    </w:div>
    <w:div w:id="1185556243">
      <w:bodyDiv w:val="1"/>
      <w:marLeft w:val="0"/>
      <w:marRight w:val="0"/>
      <w:marTop w:val="0"/>
      <w:marBottom w:val="0"/>
      <w:divBdr>
        <w:top w:val="none" w:sz="0" w:space="0" w:color="auto"/>
        <w:left w:val="none" w:sz="0" w:space="0" w:color="auto"/>
        <w:bottom w:val="none" w:sz="0" w:space="0" w:color="auto"/>
        <w:right w:val="none" w:sz="0" w:space="0" w:color="auto"/>
      </w:divBdr>
    </w:div>
    <w:div w:id="1185705799">
      <w:bodyDiv w:val="1"/>
      <w:marLeft w:val="0"/>
      <w:marRight w:val="0"/>
      <w:marTop w:val="0"/>
      <w:marBottom w:val="0"/>
      <w:divBdr>
        <w:top w:val="none" w:sz="0" w:space="0" w:color="auto"/>
        <w:left w:val="none" w:sz="0" w:space="0" w:color="auto"/>
        <w:bottom w:val="none" w:sz="0" w:space="0" w:color="auto"/>
        <w:right w:val="none" w:sz="0" w:space="0" w:color="auto"/>
      </w:divBdr>
    </w:div>
    <w:div w:id="1186217295">
      <w:bodyDiv w:val="1"/>
      <w:marLeft w:val="0"/>
      <w:marRight w:val="0"/>
      <w:marTop w:val="0"/>
      <w:marBottom w:val="0"/>
      <w:divBdr>
        <w:top w:val="none" w:sz="0" w:space="0" w:color="auto"/>
        <w:left w:val="none" w:sz="0" w:space="0" w:color="auto"/>
        <w:bottom w:val="none" w:sz="0" w:space="0" w:color="auto"/>
        <w:right w:val="none" w:sz="0" w:space="0" w:color="auto"/>
      </w:divBdr>
    </w:div>
    <w:div w:id="1187064615">
      <w:bodyDiv w:val="1"/>
      <w:marLeft w:val="0"/>
      <w:marRight w:val="0"/>
      <w:marTop w:val="0"/>
      <w:marBottom w:val="0"/>
      <w:divBdr>
        <w:top w:val="none" w:sz="0" w:space="0" w:color="auto"/>
        <w:left w:val="none" w:sz="0" w:space="0" w:color="auto"/>
        <w:bottom w:val="none" w:sz="0" w:space="0" w:color="auto"/>
        <w:right w:val="none" w:sz="0" w:space="0" w:color="auto"/>
      </w:divBdr>
    </w:div>
    <w:div w:id="1187258571">
      <w:bodyDiv w:val="1"/>
      <w:marLeft w:val="0"/>
      <w:marRight w:val="0"/>
      <w:marTop w:val="0"/>
      <w:marBottom w:val="0"/>
      <w:divBdr>
        <w:top w:val="none" w:sz="0" w:space="0" w:color="auto"/>
        <w:left w:val="none" w:sz="0" w:space="0" w:color="auto"/>
        <w:bottom w:val="none" w:sz="0" w:space="0" w:color="auto"/>
        <w:right w:val="none" w:sz="0" w:space="0" w:color="auto"/>
      </w:divBdr>
    </w:div>
    <w:div w:id="1187400675">
      <w:bodyDiv w:val="1"/>
      <w:marLeft w:val="0"/>
      <w:marRight w:val="0"/>
      <w:marTop w:val="0"/>
      <w:marBottom w:val="0"/>
      <w:divBdr>
        <w:top w:val="none" w:sz="0" w:space="0" w:color="auto"/>
        <w:left w:val="none" w:sz="0" w:space="0" w:color="auto"/>
        <w:bottom w:val="none" w:sz="0" w:space="0" w:color="auto"/>
        <w:right w:val="none" w:sz="0" w:space="0" w:color="auto"/>
      </w:divBdr>
    </w:div>
    <w:div w:id="1187673668">
      <w:bodyDiv w:val="1"/>
      <w:marLeft w:val="0"/>
      <w:marRight w:val="0"/>
      <w:marTop w:val="0"/>
      <w:marBottom w:val="0"/>
      <w:divBdr>
        <w:top w:val="none" w:sz="0" w:space="0" w:color="auto"/>
        <w:left w:val="none" w:sz="0" w:space="0" w:color="auto"/>
        <w:bottom w:val="none" w:sz="0" w:space="0" w:color="auto"/>
        <w:right w:val="none" w:sz="0" w:space="0" w:color="auto"/>
      </w:divBdr>
    </w:div>
    <w:div w:id="1188181746">
      <w:bodyDiv w:val="1"/>
      <w:marLeft w:val="0"/>
      <w:marRight w:val="0"/>
      <w:marTop w:val="0"/>
      <w:marBottom w:val="0"/>
      <w:divBdr>
        <w:top w:val="none" w:sz="0" w:space="0" w:color="auto"/>
        <w:left w:val="none" w:sz="0" w:space="0" w:color="auto"/>
        <w:bottom w:val="none" w:sz="0" w:space="0" w:color="auto"/>
        <w:right w:val="none" w:sz="0" w:space="0" w:color="auto"/>
      </w:divBdr>
    </w:div>
    <w:div w:id="1188759836">
      <w:bodyDiv w:val="1"/>
      <w:marLeft w:val="0"/>
      <w:marRight w:val="0"/>
      <w:marTop w:val="0"/>
      <w:marBottom w:val="0"/>
      <w:divBdr>
        <w:top w:val="none" w:sz="0" w:space="0" w:color="auto"/>
        <w:left w:val="none" w:sz="0" w:space="0" w:color="auto"/>
        <w:bottom w:val="none" w:sz="0" w:space="0" w:color="auto"/>
        <w:right w:val="none" w:sz="0" w:space="0" w:color="auto"/>
      </w:divBdr>
    </w:div>
    <w:div w:id="1188762990">
      <w:bodyDiv w:val="1"/>
      <w:marLeft w:val="0"/>
      <w:marRight w:val="0"/>
      <w:marTop w:val="0"/>
      <w:marBottom w:val="0"/>
      <w:divBdr>
        <w:top w:val="none" w:sz="0" w:space="0" w:color="auto"/>
        <w:left w:val="none" w:sz="0" w:space="0" w:color="auto"/>
        <w:bottom w:val="none" w:sz="0" w:space="0" w:color="auto"/>
        <w:right w:val="none" w:sz="0" w:space="0" w:color="auto"/>
      </w:divBdr>
    </w:div>
    <w:div w:id="1188913010">
      <w:bodyDiv w:val="1"/>
      <w:marLeft w:val="0"/>
      <w:marRight w:val="0"/>
      <w:marTop w:val="0"/>
      <w:marBottom w:val="0"/>
      <w:divBdr>
        <w:top w:val="none" w:sz="0" w:space="0" w:color="auto"/>
        <w:left w:val="none" w:sz="0" w:space="0" w:color="auto"/>
        <w:bottom w:val="none" w:sz="0" w:space="0" w:color="auto"/>
        <w:right w:val="none" w:sz="0" w:space="0" w:color="auto"/>
      </w:divBdr>
    </w:div>
    <w:div w:id="1188985448">
      <w:bodyDiv w:val="1"/>
      <w:marLeft w:val="0"/>
      <w:marRight w:val="0"/>
      <w:marTop w:val="0"/>
      <w:marBottom w:val="0"/>
      <w:divBdr>
        <w:top w:val="none" w:sz="0" w:space="0" w:color="auto"/>
        <w:left w:val="none" w:sz="0" w:space="0" w:color="auto"/>
        <w:bottom w:val="none" w:sz="0" w:space="0" w:color="auto"/>
        <w:right w:val="none" w:sz="0" w:space="0" w:color="auto"/>
      </w:divBdr>
    </w:div>
    <w:div w:id="1189101850">
      <w:bodyDiv w:val="1"/>
      <w:marLeft w:val="0"/>
      <w:marRight w:val="0"/>
      <w:marTop w:val="0"/>
      <w:marBottom w:val="0"/>
      <w:divBdr>
        <w:top w:val="none" w:sz="0" w:space="0" w:color="auto"/>
        <w:left w:val="none" w:sz="0" w:space="0" w:color="auto"/>
        <w:bottom w:val="none" w:sz="0" w:space="0" w:color="auto"/>
        <w:right w:val="none" w:sz="0" w:space="0" w:color="auto"/>
      </w:divBdr>
    </w:div>
    <w:div w:id="1189224221">
      <w:bodyDiv w:val="1"/>
      <w:marLeft w:val="0"/>
      <w:marRight w:val="0"/>
      <w:marTop w:val="0"/>
      <w:marBottom w:val="0"/>
      <w:divBdr>
        <w:top w:val="none" w:sz="0" w:space="0" w:color="auto"/>
        <w:left w:val="none" w:sz="0" w:space="0" w:color="auto"/>
        <w:bottom w:val="none" w:sz="0" w:space="0" w:color="auto"/>
        <w:right w:val="none" w:sz="0" w:space="0" w:color="auto"/>
      </w:divBdr>
    </w:div>
    <w:div w:id="1189442328">
      <w:bodyDiv w:val="1"/>
      <w:marLeft w:val="0"/>
      <w:marRight w:val="0"/>
      <w:marTop w:val="0"/>
      <w:marBottom w:val="0"/>
      <w:divBdr>
        <w:top w:val="none" w:sz="0" w:space="0" w:color="auto"/>
        <w:left w:val="none" w:sz="0" w:space="0" w:color="auto"/>
        <w:bottom w:val="none" w:sz="0" w:space="0" w:color="auto"/>
        <w:right w:val="none" w:sz="0" w:space="0" w:color="auto"/>
      </w:divBdr>
    </w:div>
    <w:div w:id="1189445107">
      <w:bodyDiv w:val="1"/>
      <w:marLeft w:val="0"/>
      <w:marRight w:val="0"/>
      <w:marTop w:val="0"/>
      <w:marBottom w:val="0"/>
      <w:divBdr>
        <w:top w:val="none" w:sz="0" w:space="0" w:color="auto"/>
        <w:left w:val="none" w:sz="0" w:space="0" w:color="auto"/>
        <w:bottom w:val="none" w:sz="0" w:space="0" w:color="auto"/>
        <w:right w:val="none" w:sz="0" w:space="0" w:color="auto"/>
      </w:divBdr>
    </w:div>
    <w:div w:id="1189488410">
      <w:bodyDiv w:val="1"/>
      <w:marLeft w:val="0"/>
      <w:marRight w:val="0"/>
      <w:marTop w:val="0"/>
      <w:marBottom w:val="0"/>
      <w:divBdr>
        <w:top w:val="none" w:sz="0" w:space="0" w:color="auto"/>
        <w:left w:val="none" w:sz="0" w:space="0" w:color="auto"/>
        <w:bottom w:val="none" w:sz="0" w:space="0" w:color="auto"/>
        <w:right w:val="none" w:sz="0" w:space="0" w:color="auto"/>
      </w:divBdr>
    </w:div>
    <w:div w:id="1189757604">
      <w:bodyDiv w:val="1"/>
      <w:marLeft w:val="0"/>
      <w:marRight w:val="0"/>
      <w:marTop w:val="0"/>
      <w:marBottom w:val="0"/>
      <w:divBdr>
        <w:top w:val="none" w:sz="0" w:space="0" w:color="auto"/>
        <w:left w:val="none" w:sz="0" w:space="0" w:color="auto"/>
        <w:bottom w:val="none" w:sz="0" w:space="0" w:color="auto"/>
        <w:right w:val="none" w:sz="0" w:space="0" w:color="auto"/>
      </w:divBdr>
    </w:div>
    <w:div w:id="1189949559">
      <w:bodyDiv w:val="1"/>
      <w:marLeft w:val="0"/>
      <w:marRight w:val="0"/>
      <w:marTop w:val="0"/>
      <w:marBottom w:val="0"/>
      <w:divBdr>
        <w:top w:val="none" w:sz="0" w:space="0" w:color="auto"/>
        <w:left w:val="none" w:sz="0" w:space="0" w:color="auto"/>
        <w:bottom w:val="none" w:sz="0" w:space="0" w:color="auto"/>
        <w:right w:val="none" w:sz="0" w:space="0" w:color="auto"/>
      </w:divBdr>
    </w:div>
    <w:div w:id="1190028493">
      <w:bodyDiv w:val="1"/>
      <w:marLeft w:val="0"/>
      <w:marRight w:val="0"/>
      <w:marTop w:val="0"/>
      <w:marBottom w:val="0"/>
      <w:divBdr>
        <w:top w:val="none" w:sz="0" w:space="0" w:color="auto"/>
        <w:left w:val="none" w:sz="0" w:space="0" w:color="auto"/>
        <w:bottom w:val="none" w:sz="0" w:space="0" w:color="auto"/>
        <w:right w:val="none" w:sz="0" w:space="0" w:color="auto"/>
      </w:divBdr>
    </w:div>
    <w:div w:id="1190139766">
      <w:bodyDiv w:val="1"/>
      <w:marLeft w:val="0"/>
      <w:marRight w:val="0"/>
      <w:marTop w:val="0"/>
      <w:marBottom w:val="0"/>
      <w:divBdr>
        <w:top w:val="none" w:sz="0" w:space="0" w:color="auto"/>
        <w:left w:val="none" w:sz="0" w:space="0" w:color="auto"/>
        <w:bottom w:val="none" w:sz="0" w:space="0" w:color="auto"/>
        <w:right w:val="none" w:sz="0" w:space="0" w:color="auto"/>
      </w:divBdr>
    </w:div>
    <w:div w:id="1190145559">
      <w:bodyDiv w:val="1"/>
      <w:marLeft w:val="0"/>
      <w:marRight w:val="0"/>
      <w:marTop w:val="0"/>
      <w:marBottom w:val="0"/>
      <w:divBdr>
        <w:top w:val="none" w:sz="0" w:space="0" w:color="auto"/>
        <w:left w:val="none" w:sz="0" w:space="0" w:color="auto"/>
        <w:bottom w:val="none" w:sz="0" w:space="0" w:color="auto"/>
        <w:right w:val="none" w:sz="0" w:space="0" w:color="auto"/>
      </w:divBdr>
    </w:div>
    <w:div w:id="1190532250">
      <w:bodyDiv w:val="1"/>
      <w:marLeft w:val="0"/>
      <w:marRight w:val="0"/>
      <w:marTop w:val="0"/>
      <w:marBottom w:val="0"/>
      <w:divBdr>
        <w:top w:val="none" w:sz="0" w:space="0" w:color="auto"/>
        <w:left w:val="none" w:sz="0" w:space="0" w:color="auto"/>
        <w:bottom w:val="none" w:sz="0" w:space="0" w:color="auto"/>
        <w:right w:val="none" w:sz="0" w:space="0" w:color="auto"/>
      </w:divBdr>
    </w:div>
    <w:div w:id="1191071539">
      <w:bodyDiv w:val="1"/>
      <w:marLeft w:val="0"/>
      <w:marRight w:val="0"/>
      <w:marTop w:val="0"/>
      <w:marBottom w:val="0"/>
      <w:divBdr>
        <w:top w:val="none" w:sz="0" w:space="0" w:color="auto"/>
        <w:left w:val="none" w:sz="0" w:space="0" w:color="auto"/>
        <w:bottom w:val="none" w:sz="0" w:space="0" w:color="auto"/>
        <w:right w:val="none" w:sz="0" w:space="0" w:color="auto"/>
      </w:divBdr>
    </w:div>
    <w:div w:id="1191214338">
      <w:bodyDiv w:val="1"/>
      <w:marLeft w:val="0"/>
      <w:marRight w:val="0"/>
      <w:marTop w:val="0"/>
      <w:marBottom w:val="0"/>
      <w:divBdr>
        <w:top w:val="none" w:sz="0" w:space="0" w:color="auto"/>
        <w:left w:val="none" w:sz="0" w:space="0" w:color="auto"/>
        <w:bottom w:val="none" w:sz="0" w:space="0" w:color="auto"/>
        <w:right w:val="none" w:sz="0" w:space="0" w:color="auto"/>
      </w:divBdr>
    </w:div>
    <w:div w:id="1191408255">
      <w:bodyDiv w:val="1"/>
      <w:marLeft w:val="0"/>
      <w:marRight w:val="0"/>
      <w:marTop w:val="0"/>
      <w:marBottom w:val="0"/>
      <w:divBdr>
        <w:top w:val="none" w:sz="0" w:space="0" w:color="auto"/>
        <w:left w:val="none" w:sz="0" w:space="0" w:color="auto"/>
        <w:bottom w:val="none" w:sz="0" w:space="0" w:color="auto"/>
        <w:right w:val="none" w:sz="0" w:space="0" w:color="auto"/>
      </w:divBdr>
    </w:div>
    <w:div w:id="1191577532">
      <w:bodyDiv w:val="1"/>
      <w:marLeft w:val="0"/>
      <w:marRight w:val="0"/>
      <w:marTop w:val="0"/>
      <w:marBottom w:val="0"/>
      <w:divBdr>
        <w:top w:val="none" w:sz="0" w:space="0" w:color="auto"/>
        <w:left w:val="none" w:sz="0" w:space="0" w:color="auto"/>
        <w:bottom w:val="none" w:sz="0" w:space="0" w:color="auto"/>
        <w:right w:val="none" w:sz="0" w:space="0" w:color="auto"/>
      </w:divBdr>
    </w:div>
    <w:div w:id="1191644833">
      <w:bodyDiv w:val="1"/>
      <w:marLeft w:val="0"/>
      <w:marRight w:val="0"/>
      <w:marTop w:val="0"/>
      <w:marBottom w:val="0"/>
      <w:divBdr>
        <w:top w:val="none" w:sz="0" w:space="0" w:color="auto"/>
        <w:left w:val="none" w:sz="0" w:space="0" w:color="auto"/>
        <w:bottom w:val="none" w:sz="0" w:space="0" w:color="auto"/>
        <w:right w:val="none" w:sz="0" w:space="0" w:color="auto"/>
      </w:divBdr>
    </w:div>
    <w:div w:id="1191799117">
      <w:bodyDiv w:val="1"/>
      <w:marLeft w:val="0"/>
      <w:marRight w:val="0"/>
      <w:marTop w:val="0"/>
      <w:marBottom w:val="0"/>
      <w:divBdr>
        <w:top w:val="none" w:sz="0" w:space="0" w:color="auto"/>
        <w:left w:val="none" w:sz="0" w:space="0" w:color="auto"/>
        <w:bottom w:val="none" w:sz="0" w:space="0" w:color="auto"/>
        <w:right w:val="none" w:sz="0" w:space="0" w:color="auto"/>
      </w:divBdr>
    </w:div>
    <w:div w:id="1192113890">
      <w:bodyDiv w:val="1"/>
      <w:marLeft w:val="0"/>
      <w:marRight w:val="0"/>
      <w:marTop w:val="0"/>
      <w:marBottom w:val="0"/>
      <w:divBdr>
        <w:top w:val="none" w:sz="0" w:space="0" w:color="auto"/>
        <w:left w:val="none" w:sz="0" w:space="0" w:color="auto"/>
        <w:bottom w:val="none" w:sz="0" w:space="0" w:color="auto"/>
        <w:right w:val="none" w:sz="0" w:space="0" w:color="auto"/>
      </w:divBdr>
    </w:div>
    <w:div w:id="1192232045">
      <w:bodyDiv w:val="1"/>
      <w:marLeft w:val="0"/>
      <w:marRight w:val="0"/>
      <w:marTop w:val="0"/>
      <w:marBottom w:val="0"/>
      <w:divBdr>
        <w:top w:val="none" w:sz="0" w:space="0" w:color="auto"/>
        <w:left w:val="none" w:sz="0" w:space="0" w:color="auto"/>
        <w:bottom w:val="none" w:sz="0" w:space="0" w:color="auto"/>
        <w:right w:val="none" w:sz="0" w:space="0" w:color="auto"/>
      </w:divBdr>
    </w:div>
    <w:div w:id="1192457047">
      <w:bodyDiv w:val="1"/>
      <w:marLeft w:val="0"/>
      <w:marRight w:val="0"/>
      <w:marTop w:val="0"/>
      <w:marBottom w:val="0"/>
      <w:divBdr>
        <w:top w:val="none" w:sz="0" w:space="0" w:color="auto"/>
        <w:left w:val="none" w:sz="0" w:space="0" w:color="auto"/>
        <w:bottom w:val="none" w:sz="0" w:space="0" w:color="auto"/>
        <w:right w:val="none" w:sz="0" w:space="0" w:color="auto"/>
      </w:divBdr>
    </w:div>
    <w:div w:id="1192916728">
      <w:bodyDiv w:val="1"/>
      <w:marLeft w:val="0"/>
      <w:marRight w:val="0"/>
      <w:marTop w:val="0"/>
      <w:marBottom w:val="0"/>
      <w:divBdr>
        <w:top w:val="none" w:sz="0" w:space="0" w:color="auto"/>
        <w:left w:val="none" w:sz="0" w:space="0" w:color="auto"/>
        <w:bottom w:val="none" w:sz="0" w:space="0" w:color="auto"/>
        <w:right w:val="none" w:sz="0" w:space="0" w:color="auto"/>
      </w:divBdr>
    </w:div>
    <w:div w:id="1193345667">
      <w:bodyDiv w:val="1"/>
      <w:marLeft w:val="0"/>
      <w:marRight w:val="0"/>
      <w:marTop w:val="0"/>
      <w:marBottom w:val="0"/>
      <w:divBdr>
        <w:top w:val="none" w:sz="0" w:space="0" w:color="auto"/>
        <w:left w:val="none" w:sz="0" w:space="0" w:color="auto"/>
        <w:bottom w:val="none" w:sz="0" w:space="0" w:color="auto"/>
        <w:right w:val="none" w:sz="0" w:space="0" w:color="auto"/>
      </w:divBdr>
    </w:div>
    <w:div w:id="1193767538">
      <w:bodyDiv w:val="1"/>
      <w:marLeft w:val="0"/>
      <w:marRight w:val="0"/>
      <w:marTop w:val="0"/>
      <w:marBottom w:val="0"/>
      <w:divBdr>
        <w:top w:val="none" w:sz="0" w:space="0" w:color="auto"/>
        <w:left w:val="none" w:sz="0" w:space="0" w:color="auto"/>
        <w:bottom w:val="none" w:sz="0" w:space="0" w:color="auto"/>
        <w:right w:val="none" w:sz="0" w:space="0" w:color="auto"/>
      </w:divBdr>
    </w:div>
    <w:div w:id="1193809304">
      <w:bodyDiv w:val="1"/>
      <w:marLeft w:val="0"/>
      <w:marRight w:val="0"/>
      <w:marTop w:val="0"/>
      <w:marBottom w:val="0"/>
      <w:divBdr>
        <w:top w:val="none" w:sz="0" w:space="0" w:color="auto"/>
        <w:left w:val="none" w:sz="0" w:space="0" w:color="auto"/>
        <w:bottom w:val="none" w:sz="0" w:space="0" w:color="auto"/>
        <w:right w:val="none" w:sz="0" w:space="0" w:color="auto"/>
      </w:divBdr>
    </w:div>
    <w:div w:id="1194423397">
      <w:bodyDiv w:val="1"/>
      <w:marLeft w:val="0"/>
      <w:marRight w:val="0"/>
      <w:marTop w:val="0"/>
      <w:marBottom w:val="0"/>
      <w:divBdr>
        <w:top w:val="none" w:sz="0" w:space="0" w:color="auto"/>
        <w:left w:val="none" w:sz="0" w:space="0" w:color="auto"/>
        <w:bottom w:val="none" w:sz="0" w:space="0" w:color="auto"/>
        <w:right w:val="none" w:sz="0" w:space="0" w:color="auto"/>
      </w:divBdr>
    </w:div>
    <w:div w:id="1194880983">
      <w:bodyDiv w:val="1"/>
      <w:marLeft w:val="0"/>
      <w:marRight w:val="0"/>
      <w:marTop w:val="0"/>
      <w:marBottom w:val="0"/>
      <w:divBdr>
        <w:top w:val="none" w:sz="0" w:space="0" w:color="auto"/>
        <w:left w:val="none" w:sz="0" w:space="0" w:color="auto"/>
        <w:bottom w:val="none" w:sz="0" w:space="0" w:color="auto"/>
        <w:right w:val="none" w:sz="0" w:space="0" w:color="auto"/>
      </w:divBdr>
    </w:div>
    <w:div w:id="1195537890">
      <w:bodyDiv w:val="1"/>
      <w:marLeft w:val="0"/>
      <w:marRight w:val="0"/>
      <w:marTop w:val="0"/>
      <w:marBottom w:val="0"/>
      <w:divBdr>
        <w:top w:val="none" w:sz="0" w:space="0" w:color="auto"/>
        <w:left w:val="none" w:sz="0" w:space="0" w:color="auto"/>
        <w:bottom w:val="none" w:sz="0" w:space="0" w:color="auto"/>
        <w:right w:val="none" w:sz="0" w:space="0" w:color="auto"/>
      </w:divBdr>
    </w:div>
    <w:div w:id="1196432874">
      <w:bodyDiv w:val="1"/>
      <w:marLeft w:val="0"/>
      <w:marRight w:val="0"/>
      <w:marTop w:val="0"/>
      <w:marBottom w:val="0"/>
      <w:divBdr>
        <w:top w:val="none" w:sz="0" w:space="0" w:color="auto"/>
        <w:left w:val="none" w:sz="0" w:space="0" w:color="auto"/>
        <w:bottom w:val="none" w:sz="0" w:space="0" w:color="auto"/>
        <w:right w:val="none" w:sz="0" w:space="0" w:color="auto"/>
      </w:divBdr>
    </w:div>
    <w:div w:id="1196456137">
      <w:bodyDiv w:val="1"/>
      <w:marLeft w:val="0"/>
      <w:marRight w:val="0"/>
      <w:marTop w:val="0"/>
      <w:marBottom w:val="0"/>
      <w:divBdr>
        <w:top w:val="none" w:sz="0" w:space="0" w:color="auto"/>
        <w:left w:val="none" w:sz="0" w:space="0" w:color="auto"/>
        <w:bottom w:val="none" w:sz="0" w:space="0" w:color="auto"/>
        <w:right w:val="none" w:sz="0" w:space="0" w:color="auto"/>
      </w:divBdr>
    </w:div>
    <w:div w:id="1196844101">
      <w:bodyDiv w:val="1"/>
      <w:marLeft w:val="0"/>
      <w:marRight w:val="0"/>
      <w:marTop w:val="0"/>
      <w:marBottom w:val="0"/>
      <w:divBdr>
        <w:top w:val="none" w:sz="0" w:space="0" w:color="auto"/>
        <w:left w:val="none" w:sz="0" w:space="0" w:color="auto"/>
        <w:bottom w:val="none" w:sz="0" w:space="0" w:color="auto"/>
        <w:right w:val="none" w:sz="0" w:space="0" w:color="auto"/>
      </w:divBdr>
    </w:div>
    <w:div w:id="1197083053">
      <w:bodyDiv w:val="1"/>
      <w:marLeft w:val="0"/>
      <w:marRight w:val="0"/>
      <w:marTop w:val="0"/>
      <w:marBottom w:val="0"/>
      <w:divBdr>
        <w:top w:val="none" w:sz="0" w:space="0" w:color="auto"/>
        <w:left w:val="none" w:sz="0" w:space="0" w:color="auto"/>
        <w:bottom w:val="none" w:sz="0" w:space="0" w:color="auto"/>
        <w:right w:val="none" w:sz="0" w:space="0" w:color="auto"/>
      </w:divBdr>
    </w:div>
    <w:div w:id="1197162563">
      <w:bodyDiv w:val="1"/>
      <w:marLeft w:val="0"/>
      <w:marRight w:val="0"/>
      <w:marTop w:val="0"/>
      <w:marBottom w:val="0"/>
      <w:divBdr>
        <w:top w:val="none" w:sz="0" w:space="0" w:color="auto"/>
        <w:left w:val="none" w:sz="0" w:space="0" w:color="auto"/>
        <w:bottom w:val="none" w:sz="0" w:space="0" w:color="auto"/>
        <w:right w:val="none" w:sz="0" w:space="0" w:color="auto"/>
      </w:divBdr>
    </w:div>
    <w:div w:id="1197738430">
      <w:bodyDiv w:val="1"/>
      <w:marLeft w:val="0"/>
      <w:marRight w:val="0"/>
      <w:marTop w:val="0"/>
      <w:marBottom w:val="0"/>
      <w:divBdr>
        <w:top w:val="none" w:sz="0" w:space="0" w:color="auto"/>
        <w:left w:val="none" w:sz="0" w:space="0" w:color="auto"/>
        <w:bottom w:val="none" w:sz="0" w:space="0" w:color="auto"/>
        <w:right w:val="none" w:sz="0" w:space="0" w:color="auto"/>
      </w:divBdr>
    </w:div>
    <w:div w:id="1198153346">
      <w:bodyDiv w:val="1"/>
      <w:marLeft w:val="0"/>
      <w:marRight w:val="0"/>
      <w:marTop w:val="0"/>
      <w:marBottom w:val="0"/>
      <w:divBdr>
        <w:top w:val="none" w:sz="0" w:space="0" w:color="auto"/>
        <w:left w:val="none" w:sz="0" w:space="0" w:color="auto"/>
        <w:bottom w:val="none" w:sz="0" w:space="0" w:color="auto"/>
        <w:right w:val="none" w:sz="0" w:space="0" w:color="auto"/>
      </w:divBdr>
    </w:div>
    <w:div w:id="1198391673">
      <w:bodyDiv w:val="1"/>
      <w:marLeft w:val="0"/>
      <w:marRight w:val="0"/>
      <w:marTop w:val="0"/>
      <w:marBottom w:val="0"/>
      <w:divBdr>
        <w:top w:val="none" w:sz="0" w:space="0" w:color="auto"/>
        <w:left w:val="none" w:sz="0" w:space="0" w:color="auto"/>
        <w:bottom w:val="none" w:sz="0" w:space="0" w:color="auto"/>
        <w:right w:val="none" w:sz="0" w:space="0" w:color="auto"/>
      </w:divBdr>
    </w:div>
    <w:div w:id="1198395734">
      <w:bodyDiv w:val="1"/>
      <w:marLeft w:val="0"/>
      <w:marRight w:val="0"/>
      <w:marTop w:val="0"/>
      <w:marBottom w:val="0"/>
      <w:divBdr>
        <w:top w:val="none" w:sz="0" w:space="0" w:color="auto"/>
        <w:left w:val="none" w:sz="0" w:space="0" w:color="auto"/>
        <w:bottom w:val="none" w:sz="0" w:space="0" w:color="auto"/>
        <w:right w:val="none" w:sz="0" w:space="0" w:color="auto"/>
      </w:divBdr>
    </w:div>
    <w:div w:id="1198663859">
      <w:bodyDiv w:val="1"/>
      <w:marLeft w:val="0"/>
      <w:marRight w:val="0"/>
      <w:marTop w:val="0"/>
      <w:marBottom w:val="0"/>
      <w:divBdr>
        <w:top w:val="none" w:sz="0" w:space="0" w:color="auto"/>
        <w:left w:val="none" w:sz="0" w:space="0" w:color="auto"/>
        <w:bottom w:val="none" w:sz="0" w:space="0" w:color="auto"/>
        <w:right w:val="none" w:sz="0" w:space="0" w:color="auto"/>
      </w:divBdr>
    </w:div>
    <w:div w:id="1198739894">
      <w:bodyDiv w:val="1"/>
      <w:marLeft w:val="0"/>
      <w:marRight w:val="0"/>
      <w:marTop w:val="0"/>
      <w:marBottom w:val="0"/>
      <w:divBdr>
        <w:top w:val="none" w:sz="0" w:space="0" w:color="auto"/>
        <w:left w:val="none" w:sz="0" w:space="0" w:color="auto"/>
        <w:bottom w:val="none" w:sz="0" w:space="0" w:color="auto"/>
        <w:right w:val="none" w:sz="0" w:space="0" w:color="auto"/>
      </w:divBdr>
    </w:div>
    <w:div w:id="1199047312">
      <w:bodyDiv w:val="1"/>
      <w:marLeft w:val="0"/>
      <w:marRight w:val="0"/>
      <w:marTop w:val="0"/>
      <w:marBottom w:val="0"/>
      <w:divBdr>
        <w:top w:val="none" w:sz="0" w:space="0" w:color="auto"/>
        <w:left w:val="none" w:sz="0" w:space="0" w:color="auto"/>
        <w:bottom w:val="none" w:sz="0" w:space="0" w:color="auto"/>
        <w:right w:val="none" w:sz="0" w:space="0" w:color="auto"/>
      </w:divBdr>
    </w:div>
    <w:div w:id="1199507338">
      <w:bodyDiv w:val="1"/>
      <w:marLeft w:val="0"/>
      <w:marRight w:val="0"/>
      <w:marTop w:val="0"/>
      <w:marBottom w:val="0"/>
      <w:divBdr>
        <w:top w:val="none" w:sz="0" w:space="0" w:color="auto"/>
        <w:left w:val="none" w:sz="0" w:space="0" w:color="auto"/>
        <w:bottom w:val="none" w:sz="0" w:space="0" w:color="auto"/>
        <w:right w:val="none" w:sz="0" w:space="0" w:color="auto"/>
      </w:divBdr>
    </w:div>
    <w:div w:id="1200434796">
      <w:bodyDiv w:val="1"/>
      <w:marLeft w:val="0"/>
      <w:marRight w:val="0"/>
      <w:marTop w:val="0"/>
      <w:marBottom w:val="0"/>
      <w:divBdr>
        <w:top w:val="none" w:sz="0" w:space="0" w:color="auto"/>
        <w:left w:val="none" w:sz="0" w:space="0" w:color="auto"/>
        <w:bottom w:val="none" w:sz="0" w:space="0" w:color="auto"/>
        <w:right w:val="none" w:sz="0" w:space="0" w:color="auto"/>
      </w:divBdr>
    </w:div>
    <w:div w:id="1200819162">
      <w:bodyDiv w:val="1"/>
      <w:marLeft w:val="0"/>
      <w:marRight w:val="0"/>
      <w:marTop w:val="0"/>
      <w:marBottom w:val="0"/>
      <w:divBdr>
        <w:top w:val="none" w:sz="0" w:space="0" w:color="auto"/>
        <w:left w:val="none" w:sz="0" w:space="0" w:color="auto"/>
        <w:bottom w:val="none" w:sz="0" w:space="0" w:color="auto"/>
        <w:right w:val="none" w:sz="0" w:space="0" w:color="auto"/>
      </w:divBdr>
    </w:div>
    <w:div w:id="1201092896">
      <w:bodyDiv w:val="1"/>
      <w:marLeft w:val="0"/>
      <w:marRight w:val="0"/>
      <w:marTop w:val="0"/>
      <w:marBottom w:val="0"/>
      <w:divBdr>
        <w:top w:val="none" w:sz="0" w:space="0" w:color="auto"/>
        <w:left w:val="none" w:sz="0" w:space="0" w:color="auto"/>
        <w:bottom w:val="none" w:sz="0" w:space="0" w:color="auto"/>
        <w:right w:val="none" w:sz="0" w:space="0" w:color="auto"/>
      </w:divBdr>
    </w:div>
    <w:div w:id="1201354806">
      <w:bodyDiv w:val="1"/>
      <w:marLeft w:val="0"/>
      <w:marRight w:val="0"/>
      <w:marTop w:val="0"/>
      <w:marBottom w:val="0"/>
      <w:divBdr>
        <w:top w:val="none" w:sz="0" w:space="0" w:color="auto"/>
        <w:left w:val="none" w:sz="0" w:space="0" w:color="auto"/>
        <w:bottom w:val="none" w:sz="0" w:space="0" w:color="auto"/>
        <w:right w:val="none" w:sz="0" w:space="0" w:color="auto"/>
      </w:divBdr>
    </w:div>
    <w:div w:id="1201631479">
      <w:bodyDiv w:val="1"/>
      <w:marLeft w:val="0"/>
      <w:marRight w:val="0"/>
      <w:marTop w:val="0"/>
      <w:marBottom w:val="0"/>
      <w:divBdr>
        <w:top w:val="none" w:sz="0" w:space="0" w:color="auto"/>
        <w:left w:val="none" w:sz="0" w:space="0" w:color="auto"/>
        <w:bottom w:val="none" w:sz="0" w:space="0" w:color="auto"/>
        <w:right w:val="none" w:sz="0" w:space="0" w:color="auto"/>
      </w:divBdr>
    </w:div>
    <w:div w:id="1201740987">
      <w:bodyDiv w:val="1"/>
      <w:marLeft w:val="0"/>
      <w:marRight w:val="0"/>
      <w:marTop w:val="0"/>
      <w:marBottom w:val="0"/>
      <w:divBdr>
        <w:top w:val="none" w:sz="0" w:space="0" w:color="auto"/>
        <w:left w:val="none" w:sz="0" w:space="0" w:color="auto"/>
        <w:bottom w:val="none" w:sz="0" w:space="0" w:color="auto"/>
        <w:right w:val="none" w:sz="0" w:space="0" w:color="auto"/>
      </w:divBdr>
    </w:div>
    <w:div w:id="1201942988">
      <w:bodyDiv w:val="1"/>
      <w:marLeft w:val="0"/>
      <w:marRight w:val="0"/>
      <w:marTop w:val="0"/>
      <w:marBottom w:val="0"/>
      <w:divBdr>
        <w:top w:val="none" w:sz="0" w:space="0" w:color="auto"/>
        <w:left w:val="none" w:sz="0" w:space="0" w:color="auto"/>
        <w:bottom w:val="none" w:sz="0" w:space="0" w:color="auto"/>
        <w:right w:val="none" w:sz="0" w:space="0" w:color="auto"/>
      </w:divBdr>
    </w:div>
    <w:div w:id="1202017938">
      <w:bodyDiv w:val="1"/>
      <w:marLeft w:val="0"/>
      <w:marRight w:val="0"/>
      <w:marTop w:val="0"/>
      <w:marBottom w:val="0"/>
      <w:divBdr>
        <w:top w:val="none" w:sz="0" w:space="0" w:color="auto"/>
        <w:left w:val="none" w:sz="0" w:space="0" w:color="auto"/>
        <w:bottom w:val="none" w:sz="0" w:space="0" w:color="auto"/>
        <w:right w:val="none" w:sz="0" w:space="0" w:color="auto"/>
      </w:divBdr>
    </w:div>
    <w:div w:id="1202283495">
      <w:bodyDiv w:val="1"/>
      <w:marLeft w:val="0"/>
      <w:marRight w:val="0"/>
      <w:marTop w:val="0"/>
      <w:marBottom w:val="0"/>
      <w:divBdr>
        <w:top w:val="none" w:sz="0" w:space="0" w:color="auto"/>
        <w:left w:val="none" w:sz="0" w:space="0" w:color="auto"/>
        <w:bottom w:val="none" w:sz="0" w:space="0" w:color="auto"/>
        <w:right w:val="none" w:sz="0" w:space="0" w:color="auto"/>
      </w:divBdr>
    </w:div>
    <w:div w:id="1202396418">
      <w:bodyDiv w:val="1"/>
      <w:marLeft w:val="0"/>
      <w:marRight w:val="0"/>
      <w:marTop w:val="0"/>
      <w:marBottom w:val="0"/>
      <w:divBdr>
        <w:top w:val="none" w:sz="0" w:space="0" w:color="auto"/>
        <w:left w:val="none" w:sz="0" w:space="0" w:color="auto"/>
        <w:bottom w:val="none" w:sz="0" w:space="0" w:color="auto"/>
        <w:right w:val="none" w:sz="0" w:space="0" w:color="auto"/>
      </w:divBdr>
    </w:div>
    <w:div w:id="1202550071">
      <w:bodyDiv w:val="1"/>
      <w:marLeft w:val="0"/>
      <w:marRight w:val="0"/>
      <w:marTop w:val="0"/>
      <w:marBottom w:val="0"/>
      <w:divBdr>
        <w:top w:val="none" w:sz="0" w:space="0" w:color="auto"/>
        <w:left w:val="none" w:sz="0" w:space="0" w:color="auto"/>
        <w:bottom w:val="none" w:sz="0" w:space="0" w:color="auto"/>
        <w:right w:val="none" w:sz="0" w:space="0" w:color="auto"/>
      </w:divBdr>
    </w:div>
    <w:div w:id="1202745732">
      <w:bodyDiv w:val="1"/>
      <w:marLeft w:val="0"/>
      <w:marRight w:val="0"/>
      <w:marTop w:val="0"/>
      <w:marBottom w:val="0"/>
      <w:divBdr>
        <w:top w:val="none" w:sz="0" w:space="0" w:color="auto"/>
        <w:left w:val="none" w:sz="0" w:space="0" w:color="auto"/>
        <w:bottom w:val="none" w:sz="0" w:space="0" w:color="auto"/>
        <w:right w:val="none" w:sz="0" w:space="0" w:color="auto"/>
      </w:divBdr>
    </w:div>
    <w:div w:id="1203051476">
      <w:bodyDiv w:val="1"/>
      <w:marLeft w:val="0"/>
      <w:marRight w:val="0"/>
      <w:marTop w:val="0"/>
      <w:marBottom w:val="0"/>
      <w:divBdr>
        <w:top w:val="none" w:sz="0" w:space="0" w:color="auto"/>
        <w:left w:val="none" w:sz="0" w:space="0" w:color="auto"/>
        <w:bottom w:val="none" w:sz="0" w:space="0" w:color="auto"/>
        <w:right w:val="none" w:sz="0" w:space="0" w:color="auto"/>
      </w:divBdr>
    </w:div>
    <w:div w:id="1203325967">
      <w:bodyDiv w:val="1"/>
      <w:marLeft w:val="0"/>
      <w:marRight w:val="0"/>
      <w:marTop w:val="0"/>
      <w:marBottom w:val="0"/>
      <w:divBdr>
        <w:top w:val="none" w:sz="0" w:space="0" w:color="auto"/>
        <w:left w:val="none" w:sz="0" w:space="0" w:color="auto"/>
        <w:bottom w:val="none" w:sz="0" w:space="0" w:color="auto"/>
        <w:right w:val="none" w:sz="0" w:space="0" w:color="auto"/>
      </w:divBdr>
    </w:div>
    <w:div w:id="1203401039">
      <w:bodyDiv w:val="1"/>
      <w:marLeft w:val="0"/>
      <w:marRight w:val="0"/>
      <w:marTop w:val="0"/>
      <w:marBottom w:val="0"/>
      <w:divBdr>
        <w:top w:val="none" w:sz="0" w:space="0" w:color="auto"/>
        <w:left w:val="none" w:sz="0" w:space="0" w:color="auto"/>
        <w:bottom w:val="none" w:sz="0" w:space="0" w:color="auto"/>
        <w:right w:val="none" w:sz="0" w:space="0" w:color="auto"/>
      </w:divBdr>
    </w:div>
    <w:div w:id="1203595525">
      <w:bodyDiv w:val="1"/>
      <w:marLeft w:val="0"/>
      <w:marRight w:val="0"/>
      <w:marTop w:val="0"/>
      <w:marBottom w:val="0"/>
      <w:divBdr>
        <w:top w:val="none" w:sz="0" w:space="0" w:color="auto"/>
        <w:left w:val="none" w:sz="0" w:space="0" w:color="auto"/>
        <w:bottom w:val="none" w:sz="0" w:space="0" w:color="auto"/>
        <w:right w:val="none" w:sz="0" w:space="0" w:color="auto"/>
      </w:divBdr>
    </w:div>
    <w:div w:id="1203634238">
      <w:bodyDiv w:val="1"/>
      <w:marLeft w:val="0"/>
      <w:marRight w:val="0"/>
      <w:marTop w:val="0"/>
      <w:marBottom w:val="0"/>
      <w:divBdr>
        <w:top w:val="none" w:sz="0" w:space="0" w:color="auto"/>
        <w:left w:val="none" w:sz="0" w:space="0" w:color="auto"/>
        <w:bottom w:val="none" w:sz="0" w:space="0" w:color="auto"/>
        <w:right w:val="none" w:sz="0" w:space="0" w:color="auto"/>
      </w:divBdr>
    </w:div>
    <w:div w:id="1204053801">
      <w:bodyDiv w:val="1"/>
      <w:marLeft w:val="0"/>
      <w:marRight w:val="0"/>
      <w:marTop w:val="0"/>
      <w:marBottom w:val="0"/>
      <w:divBdr>
        <w:top w:val="none" w:sz="0" w:space="0" w:color="auto"/>
        <w:left w:val="none" w:sz="0" w:space="0" w:color="auto"/>
        <w:bottom w:val="none" w:sz="0" w:space="0" w:color="auto"/>
        <w:right w:val="none" w:sz="0" w:space="0" w:color="auto"/>
      </w:divBdr>
    </w:div>
    <w:div w:id="1204827535">
      <w:bodyDiv w:val="1"/>
      <w:marLeft w:val="0"/>
      <w:marRight w:val="0"/>
      <w:marTop w:val="0"/>
      <w:marBottom w:val="0"/>
      <w:divBdr>
        <w:top w:val="none" w:sz="0" w:space="0" w:color="auto"/>
        <w:left w:val="none" w:sz="0" w:space="0" w:color="auto"/>
        <w:bottom w:val="none" w:sz="0" w:space="0" w:color="auto"/>
        <w:right w:val="none" w:sz="0" w:space="0" w:color="auto"/>
      </w:divBdr>
    </w:div>
    <w:div w:id="1205287206">
      <w:bodyDiv w:val="1"/>
      <w:marLeft w:val="0"/>
      <w:marRight w:val="0"/>
      <w:marTop w:val="0"/>
      <w:marBottom w:val="0"/>
      <w:divBdr>
        <w:top w:val="none" w:sz="0" w:space="0" w:color="auto"/>
        <w:left w:val="none" w:sz="0" w:space="0" w:color="auto"/>
        <w:bottom w:val="none" w:sz="0" w:space="0" w:color="auto"/>
        <w:right w:val="none" w:sz="0" w:space="0" w:color="auto"/>
      </w:divBdr>
    </w:div>
    <w:div w:id="1205946525">
      <w:bodyDiv w:val="1"/>
      <w:marLeft w:val="0"/>
      <w:marRight w:val="0"/>
      <w:marTop w:val="0"/>
      <w:marBottom w:val="0"/>
      <w:divBdr>
        <w:top w:val="none" w:sz="0" w:space="0" w:color="auto"/>
        <w:left w:val="none" w:sz="0" w:space="0" w:color="auto"/>
        <w:bottom w:val="none" w:sz="0" w:space="0" w:color="auto"/>
        <w:right w:val="none" w:sz="0" w:space="0" w:color="auto"/>
      </w:divBdr>
    </w:div>
    <w:div w:id="1206067290">
      <w:bodyDiv w:val="1"/>
      <w:marLeft w:val="0"/>
      <w:marRight w:val="0"/>
      <w:marTop w:val="0"/>
      <w:marBottom w:val="0"/>
      <w:divBdr>
        <w:top w:val="none" w:sz="0" w:space="0" w:color="auto"/>
        <w:left w:val="none" w:sz="0" w:space="0" w:color="auto"/>
        <w:bottom w:val="none" w:sz="0" w:space="0" w:color="auto"/>
        <w:right w:val="none" w:sz="0" w:space="0" w:color="auto"/>
      </w:divBdr>
    </w:div>
    <w:div w:id="1206211297">
      <w:bodyDiv w:val="1"/>
      <w:marLeft w:val="0"/>
      <w:marRight w:val="0"/>
      <w:marTop w:val="0"/>
      <w:marBottom w:val="0"/>
      <w:divBdr>
        <w:top w:val="none" w:sz="0" w:space="0" w:color="auto"/>
        <w:left w:val="none" w:sz="0" w:space="0" w:color="auto"/>
        <w:bottom w:val="none" w:sz="0" w:space="0" w:color="auto"/>
        <w:right w:val="none" w:sz="0" w:space="0" w:color="auto"/>
      </w:divBdr>
    </w:div>
    <w:div w:id="1206215000">
      <w:bodyDiv w:val="1"/>
      <w:marLeft w:val="0"/>
      <w:marRight w:val="0"/>
      <w:marTop w:val="0"/>
      <w:marBottom w:val="0"/>
      <w:divBdr>
        <w:top w:val="none" w:sz="0" w:space="0" w:color="auto"/>
        <w:left w:val="none" w:sz="0" w:space="0" w:color="auto"/>
        <w:bottom w:val="none" w:sz="0" w:space="0" w:color="auto"/>
        <w:right w:val="none" w:sz="0" w:space="0" w:color="auto"/>
      </w:divBdr>
    </w:div>
    <w:div w:id="1206986461">
      <w:bodyDiv w:val="1"/>
      <w:marLeft w:val="0"/>
      <w:marRight w:val="0"/>
      <w:marTop w:val="0"/>
      <w:marBottom w:val="0"/>
      <w:divBdr>
        <w:top w:val="none" w:sz="0" w:space="0" w:color="auto"/>
        <w:left w:val="none" w:sz="0" w:space="0" w:color="auto"/>
        <w:bottom w:val="none" w:sz="0" w:space="0" w:color="auto"/>
        <w:right w:val="none" w:sz="0" w:space="0" w:color="auto"/>
      </w:divBdr>
    </w:div>
    <w:div w:id="1206987849">
      <w:bodyDiv w:val="1"/>
      <w:marLeft w:val="0"/>
      <w:marRight w:val="0"/>
      <w:marTop w:val="0"/>
      <w:marBottom w:val="0"/>
      <w:divBdr>
        <w:top w:val="none" w:sz="0" w:space="0" w:color="auto"/>
        <w:left w:val="none" w:sz="0" w:space="0" w:color="auto"/>
        <w:bottom w:val="none" w:sz="0" w:space="0" w:color="auto"/>
        <w:right w:val="none" w:sz="0" w:space="0" w:color="auto"/>
      </w:divBdr>
    </w:div>
    <w:div w:id="1207064523">
      <w:bodyDiv w:val="1"/>
      <w:marLeft w:val="0"/>
      <w:marRight w:val="0"/>
      <w:marTop w:val="0"/>
      <w:marBottom w:val="0"/>
      <w:divBdr>
        <w:top w:val="none" w:sz="0" w:space="0" w:color="auto"/>
        <w:left w:val="none" w:sz="0" w:space="0" w:color="auto"/>
        <w:bottom w:val="none" w:sz="0" w:space="0" w:color="auto"/>
        <w:right w:val="none" w:sz="0" w:space="0" w:color="auto"/>
      </w:divBdr>
    </w:div>
    <w:div w:id="1207330141">
      <w:bodyDiv w:val="1"/>
      <w:marLeft w:val="0"/>
      <w:marRight w:val="0"/>
      <w:marTop w:val="0"/>
      <w:marBottom w:val="0"/>
      <w:divBdr>
        <w:top w:val="none" w:sz="0" w:space="0" w:color="auto"/>
        <w:left w:val="none" w:sz="0" w:space="0" w:color="auto"/>
        <w:bottom w:val="none" w:sz="0" w:space="0" w:color="auto"/>
        <w:right w:val="none" w:sz="0" w:space="0" w:color="auto"/>
      </w:divBdr>
    </w:div>
    <w:div w:id="1207450066">
      <w:bodyDiv w:val="1"/>
      <w:marLeft w:val="0"/>
      <w:marRight w:val="0"/>
      <w:marTop w:val="0"/>
      <w:marBottom w:val="0"/>
      <w:divBdr>
        <w:top w:val="none" w:sz="0" w:space="0" w:color="auto"/>
        <w:left w:val="none" w:sz="0" w:space="0" w:color="auto"/>
        <w:bottom w:val="none" w:sz="0" w:space="0" w:color="auto"/>
        <w:right w:val="none" w:sz="0" w:space="0" w:color="auto"/>
      </w:divBdr>
      <w:divsChild>
        <w:div w:id="321813968">
          <w:marLeft w:val="0"/>
          <w:marRight w:val="0"/>
          <w:marTop w:val="100"/>
          <w:marBottom w:val="100"/>
          <w:divBdr>
            <w:top w:val="none" w:sz="0" w:space="0" w:color="auto"/>
            <w:left w:val="none" w:sz="0" w:space="0" w:color="auto"/>
            <w:bottom w:val="none" w:sz="0" w:space="0" w:color="auto"/>
            <w:right w:val="none" w:sz="0" w:space="0" w:color="auto"/>
          </w:divBdr>
        </w:div>
      </w:divsChild>
    </w:div>
    <w:div w:id="1207908125">
      <w:bodyDiv w:val="1"/>
      <w:marLeft w:val="0"/>
      <w:marRight w:val="0"/>
      <w:marTop w:val="0"/>
      <w:marBottom w:val="0"/>
      <w:divBdr>
        <w:top w:val="none" w:sz="0" w:space="0" w:color="auto"/>
        <w:left w:val="none" w:sz="0" w:space="0" w:color="auto"/>
        <w:bottom w:val="none" w:sz="0" w:space="0" w:color="auto"/>
        <w:right w:val="none" w:sz="0" w:space="0" w:color="auto"/>
      </w:divBdr>
    </w:div>
    <w:div w:id="1208641387">
      <w:bodyDiv w:val="1"/>
      <w:marLeft w:val="0"/>
      <w:marRight w:val="0"/>
      <w:marTop w:val="0"/>
      <w:marBottom w:val="0"/>
      <w:divBdr>
        <w:top w:val="none" w:sz="0" w:space="0" w:color="auto"/>
        <w:left w:val="none" w:sz="0" w:space="0" w:color="auto"/>
        <w:bottom w:val="none" w:sz="0" w:space="0" w:color="auto"/>
        <w:right w:val="none" w:sz="0" w:space="0" w:color="auto"/>
      </w:divBdr>
    </w:div>
    <w:div w:id="1208758350">
      <w:bodyDiv w:val="1"/>
      <w:marLeft w:val="0"/>
      <w:marRight w:val="0"/>
      <w:marTop w:val="0"/>
      <w:marBottom w:val="0"/>
      <w:divBdr>
        <w:top w:val="none" w:sz="0" w:space="0" w:color="auto"/>
        <w:left w:val="none" w:sz="0" w:space="0" w:color="auto"/>
        <w:bottom w:val="none" w:sz="0" w:space="0" w:color="auto"/>
        <w:right w:val="none" w:sz="0" w:space="0" w:color="auto"/>
      </w:divBdr>
    </w:div>
    <w:div w:id="1208833904">
      <w:bodyDiv w:val="1"/>
      <w:marLeft w:val="0"/>
      <w:marRight w:val="0"/>
      <w:marTop w:val="0"/>
      <w:marBottom w:val="0"/>
      <w:divBdr>
        <w:top w:val="none" w:sz="0" w:space="0" w:color="auto"/>
        <w:left w:val="none" w:sz="0" w:space="0" w:color="auto"/>
        <w:bottom w:val="none" w:sz="0" w:space="0" w:color="auto"/>
        <w:right w:val="none" w:sz="0" w:space="0" w:color="auto"/>
      </w:divBdr>
    </w:div>
    <w:div w:id="1209149237">
      <w:bodyDiv w:val="1"/>
      <w:marLeft w:val="0"/>
      <w:marRight w:val="0"/>
      <w:marTop w:val="0"/>
      <w:marBottom w:val="0"/>
      <w:divBdr>
        <w:top w:val="none" w:sz="0" w:space="0" w:color="auto"/>
        <w:left w:val="none" w:sz="0" w:space="0" w:color="auto"/>
        <w:bottom w:val="none" w:sz="0" w:space="0" w:color="auto"/>
        <w:right w:val="none" w:sz="0" w:space="0" w:color="auto"/>
      </w:divBdr>
    </w:div>
    <w:div w:id="1209536236">
      <w:bodyDiv w:val="1"/>
      <w:marLeft w:val="0"/>
      <w:marRight w:val="0"/>
      <w:marTop w:val="0"/>
      <w:marBottom w:val="0"/>
      <w:divBdr>
        <w:top w:val="none" w:sz="0" w:space="0" w:color="auto"/>
        <w:left w:val="none" w:sz="0" w:space="0" w:color="auto"/>
        <w:bottom w:val="none" w:sz="0" w:space="0" w:color="auto"/>
        <w:right w:val="none" w:sz="0" w:space="0" w:color="auto"/>
      </w:divBdr>
    </w:div>
    <w:div w:id="1209562823">
      <w:bodyDiv w:val="1"/>
      <w:marLeft w:val="0"/>
      <w:marRight w:val="0"/>
      <w:marTop w:val="0"/>
      <w:marBottom w:val="0"/>
      <w:divBdr>
        <w:top w:val="none" w:sz="0" w:space="0" w:color="auto"/>
        <w:left w:val="none" w:sz="0" w:space="0" w:color="auto"/>
        <w:bottom w:val="none" w:sz="0" w:space="0" w:color="auto"/>
        <w:right w:val="none" w:sz="0" w:space="0" w:color="auto"/>
      </w:divBdr>
    </w:div>
    <w:div w:id="1209798076">
      <w:bodyDiv w:val="1"/>
      <w:marLeft w:val="0"/>
      <w:marRight w:val="0"/>
      <w:marTop w:val="0"/>
      <w:marBottom w:val="0"/>
      <w:divBdr>
        <w:top w:val="none" w:sz="0" w:space="0" w:color="auto"/>
        <w:left w:val="none" w:sz="0" w:space="0" w:color="auto"/>
        <w:bottom w:val="none" w:sz="0" w:space="0" w:color="auto"/>
        <w:right w:val="none" w:sz="0" w:space="0" w:color="auto"/>
      </w:divBdr>
    </w:div>
    <w:div w:id="1209803725">
      <w:bodyDiv w:val="1"/>
      <w:marLeft w:val="0"/>
      <w:marRight w:val="0"/>
      <w:marTop w:val="0"/>
      <w:marBottom w:val="0"/>
      <w:divBdr>
        <w:top w:val="none" w:sz="0" w:space="0" w:color="auto"/>
        <w:left w:val="none" w:sz="0" w:space="0" w:color="auto"/>
        <w:bottom w:val="none" w:sz="0" w:space="0" w:color="auto"/>
        <w:right w:val="none" w:sz="0" w:space="0" w:color="auto"/>
      </w:divBdr>
    </w:div>
    <w:div w:id="1209956574">
      <w:bodyDiv w:val="1"/>
      <w:marLeft w:val="0"/>
      <w:marRight w:val="0"/>
      <w:marTop w:val="0"/>
      <w:marBottom w:val="0"/>
      <w:divBdr>
        <w:top w:val="none" w:sz="0" w:space="0" w:color="auto"/>
        <w:left w:val="none" w:sz="0" w:space="0" w:color="auto"/>
        <w:bottom w:val="none" w:sz="0" w:space="0" w:color="auto"/>
        <w:right w:val="none" w:sz="0" w:space="0" w:color="auto"/>
      </w:divBdr>
    </w:div>
    <w:div w:id="1210384690">
      <w:bodyDiv w:val="1"/>
      <w:marLeft w:val="0"/>
      <w:marRight w:val="0"/>
      <w:marTop w:val="0"/>
      <w:marBottom w:val="0"/>
      <w:divBdr>
        <w:top w:val="none" w:sz="0" w:space="0" w:color="auto"/>
        <w:left w:val="none" w:sz="0" w:space="0" w:color="auto"/>
        <w:bottom w:val="none" w:sz="0" w:space="0" w:color="auto"/>
        <w:right w:val="none" w:sz="0" w:space="0" w:color="auto"/>
      </w:divBdr>
    </w:div>
    <w:div w:id="1210611934">
      <w:bodyDiv w:val="1"/>
      <w:marLeft w:val="0"/>
      <w:marRight w:val="0"/>
      <w:marTop w:val="0"/>
      <w:marBottom w:val="0"/>
      <w:divBdr>
        <w:top w:val="none" w:sz="0" w:space="0" w:color="auto"/>
        <w:left w:val="none" w:sz="0" w:space="0" w:color="auto"/>
        <w:bottom w:val="none" w:sz="0" w:space="0" w:color="auto"/>
        <w:right w:val="none" w:sz="0" w:space="0" w:color="auto"/>
      </w:divBdr>
    </w:div>
    <w:div w:id="1210650989">
      <w:bodyDiv w:val="1"/>
      <w:marLeft w:val="0"/>
      <w:marRight w:val="0"/>
      <w:marTop w:val="0"/>
      <w:marBottom w:val="0"/>
      <w:divBdr>
        <w:top w:val="none" w:sz="0" w:space="0" w:color="auto"/>
        <w:left w:val="none" w:sz="0" w:space="0" w:color="auto"/>
        <w:bottom w:val="none" w:sz="0" w:space="0" w:color="auto"/>
        <w:right w:val="none" w:sz="0" w:space="0" w:color="auto"/>
      </w:divBdr>
    </w:div>
    <w:div w:id="1210679173">
      <w:bodyDiv w:val="1"/>
      <w:marLeft w:val="0"/>
      <w:marRight w:val="0"/>
      <w:marTop w:val="0"/>
      <w:marBottom w:val="0"/>
      <w:divBdr>
        <w:top w:val="none" w:sz="0" w:space="0" w:color="auto"/>
        <w:left w:val="none" w:sz="0" w:space="0" w:color="auto"/>
        <w:bottom w:val="none" w:sz="0" w:space="0" w:color="auto"/>
        <w:right w:val="none" w:sz="0" w:space="0" w:color="auto"/>
      </w:divBdr>
    </w:div>
    <w:div w:id="1210723641">
      <w:bodyDiv w:val="1"/>
      <w:marLeft w:val="0"/>
      <w:marRight w:val="0"/>
      <w:marTop w:val="0"/>
      <w:marBottom w:val="0"/>
      <w:divBdr>
        <w:top w:val="none" w:sz="0" w:space="0" w:color="auto"/>
        <w:left w:val="none" w:sz="0" w:space="0" w:color="auto"/>
        <w:bottom w:val="none" w:sz="0" w:space="0" w:color="auto"/>
        <w:right w:val="none" w:sz="0" w:space="0" w:color="auto"/>
      </w:divBdr>
    </w:div>
    <w:div w:id="1210923803">
      <w:bodyDiv w:val="1"/>
      <w:marLeft w:val="0"/>
      <w:marRight w:val="0"/>
      <w:marTop w:val="0"/>
      <w:marBottom w:val="0"/>
      <w:divBdr>
        <w:top w:val="none" w:sz="0" w:space="0" w:color="auto"/>
        <w:left w:val="none" w:sz="0" w:space="0" w:color="auto"/>
        <w:bottom w:val="none" w:sz="0" w:space="0" w:color="auto"/>
        <w:right w:val="none" w:sz="0" w:space="0" w:color="auto"/>
      </w:divBdr>
    </w:div>
    <w:div w:id="1210993822">
      <w:bodyDiv w:val="1"/>
      <w:marLeft w:val="0"/>
      <w:marRight w:val="0"/>
      <w:marTop w:val="0"/>
      <w:marBottom w:val="0"/>
      <w:divBdr>
        <w:top w:val="none" w:sz="0" w:space="0" w:color="auto"/>
        <w:left w:val="none" w:sz="0" w:space="0" w:color="auto"/>
        <w:bottom w:val="none" w:sz="0" w:space="0" w:color="auto"/>
        <w:right w:val="none" w:sz="0" w:space="0" w:color="auto"/>
      </w:divBdr>
    </w:div>
    <w:div w:id="1211190636">
      <w:bodyDiv w:val="1"/>
      <w:marLeft w:val="0"/>
      <w:marRight w:val="0"/>
      <w:marTop w:val="0"/>
      <w:marBottom w:val="0"/>
      <w:divBdr>
        <w:top w:val="none" w:sz="0" w:space="0" w:color="auto"/>
        <w:left w:val="none" w:sz="0" w:space="0" w:color="auto"/>
        <w:bottom w:val="none" w:sz="0" w:space="0" w:color="auto"/>
        <w:right w:val="none" w:sz="0" w:space="0" w:color="auto"/>
      </w:divBdr>
    </w:div>
    <w:div w:id="1211261824">
      <w:bodyDiv w:val="1"/>
      <w:marLeft w:val="0"/>
      <w:marRight w:val="0"/>
      <w:marTop w:val="0"/>
      <w:marBottom w:val="0"/>
      <w:divBdr>
        <w:top w:val="none" w:sz="0" w:space="0" w:color="auto"/>
        <w:left w:val="none" w:sz="0" w:space="0" w:color="auto"/>
        <w:bottom w:val="none" w:sz="0" w:space="0" w:color="auto"/>
        <w:right w:val="none" w:sz="0" w:space="0" w:color="auto"/>
      </w:divBdr>
    </w:div>
    <w:div w:id="1211648670">
      <w:bodyDiv w:val="1"/>
      <w:marLeft w:val="0"/>
      <w:marRight w:val="0"/>
      <w:marTop w:val="0"/>
      <w:marBottom w:val="0"/>
      <w:divBdr>
        <w:top w:val="none" w:sz="0" w:space="0" w:color="auto"/>
        <w:left w:val="none" w:sz="0" w:space="0" w:color="auto"/>
        <w:bottom w:val="none" w:sz="0" w:space="0" w:color="auto"/>
        <w:right w:val="none" w:sz="0" w:space="0" w:color="auto"/>
      </w:divBdr>
    </w:div>
    <w:div w:id="1211771945">
      <w:bodyDiv w:val="1"/>
      <w:marLeft w:val="0"/>
      <w:marRight w:val="0"/>
      <w:marTop w:val="0"/>
      <w:marBottom w:val="0"/>
      <w:divBdr>
        <w:top w:val="none" w:sz="0" w:space="0" w:color="auto"/>
        <w:left w:val="none" w:sz="0" w:space="0" w:color="auto"/>
        <w:bottom w:val="none" w:sz="0" w:space="0" w:color="auto"/>
        <w:right w:val="none" w:sz="0" w:space="0" w:color="auto"/>
      </w:divBdr>
    </w:div>
    <w:div w:id="1212111837">
      <w:bodyDiv w:val="1"/>
      <w:marLeft w:val="0"/>
      <w:marRight w:val="0"/>
      <w:marTop w:val="0"/>
      <w:marBottom w:val="0"/>
      <w:divBdr>
        <w:top w:val="none" w:sz="0" w:space="0" w:color="auto"/>
        <w:left w:val="none" w:sz="0" w:space="0" w:color="auto"/>
        <w:bottom w:val="none" w:sz="0" w:space="0" w:color="auto"/>
        <w:right w:val="none" w:sz="0" w:space="0" w:color="auto"/>
      </w:divBdr>
    </w:div>
    <w:div w:id="1212421741">
      <w:bodyDiv w:val="1"/>
      <w:marLeft w:val="0"/>
      <w:marRight w:val="0"/>
      <w:marTop w:val="0"/>
      <w:marBottom w:val="0"/>
      <w:divBdr>
        <w:top w:val="none" w:sz="0" w:space="0" w:color="auto"/>
        <w:left w:val="none" w:sz="0" w:space="0" w:color="auto"/>
        <w:bottom w:val="none" w:sz="0" w:space="0" w:color="auto"/>
        <w:right w:val="none" w:sz="0" w:space="0" w:color="auto"/>
      </w:divBdr>
    </w:div>
    <w:div w:id="1212421941">
      <w:bodyDiv w:val="1"/>
      <w:marLeft w:val="0"/>
      <w:marRight w:val="0"/>
      <w:marTop w:val="0"/>
      <w:marBottom w:val="0"/>
      <w:divBdr>
        <w:top w:val="none" w:sz="0" w:space="0" w:color="auto"/>
        <w:left w:val="none" w:sz="0" w:space="0" w:color="auto"/>
        <w:bottom w:val="none" w:sz="0" w:space="0" w:color="auto"/>
        <w:right w:val="none" w:sz="0" w:space="0" w:color="auto"/>
      </w:divBdr>
    </w:div>
    <w:div w:id="1212423990">
      <w:bodyDiv w:val="1"/>
      <w:marLeft w:val="0"/>
      <w:marRight w:val="0"/>
      <w:marTop w:val="0"/>
      <w:marBottom w:val="0"/>
      <w:divBdr>
        <w:top w:val="none" w:sz="0" w:space="0" w:color="auto"/>
        <w:left w:val="none" w:sz="0" w:space="0" w:color="auto"/>
        <w:bottom w:val="none" w:sz="0" w:space="0" w:color="auto"/>
        <w:right w:val="none" w:sz="0" w:space="0" w:color="auto"/>
      </w:divBdr>
    </w:div>
    <w:div w:id="1212425682">
      <w:bodyDiv w:val="1"/>
      <w:marLeft w:val="0"/>
      <w:marRight w:val="0"/>
      <w:marTop w:val="0"/>
      <w:marBottom w:val="0"/>
      <w:divBdr>
        <w:top w:val="none" w:sz="0" w:space="0" w:color="auto"/>
        <w:left w:val="none" w:sz="0" w:space="0" w:color="auto"/>
        <w:bottom w:val="none" w:sz="0" w:space="0" w:color="auto"/>
        <w:right w:val="none" w:sz="0" w:space="0" w:color="auto"/>
      </w:divBdr>
    </w:div>
    <w:div w:id="1212771473">
      <w:bodyDiv w:val="1"/>
      <w:marLeft w:val="0"/>
      <w:marRight w:val="0"/>
      <w:marTop w:val="0"/>
      <w:marBottom w:val="0"/>
      <w:divBdr>
        <w:top w:val="none" w:sz="0" w:space="0" w:color="auto"/>
        <w:left w:val="none" w:sz="0" w:space="0" w:color="auto"/>
        <w:bottom w:val="none" w:sz="0" w:space="0" w:color="auto"/>
        <w:right w:val="none" w:sz="0" w:space="0" w:color="auto"/>
      </w:divBdr>
    </w:div>
    <w:div w:id="1212838662">
      <w:bodyDiv w:val="1"/>
      <w:marLeft w:val="0"/>
      <w:marRight w:val="0"/>
      <w:marTop w:val="0"/>
      <w:marBottom w:val="0"/>
      <w:divBdr>
        <w:top w:val="none" w:sz="0" w:space="0" w:color="auto"/>
        <w:left w:val="none" w:sz="0" w:space="0" w:color="auto"/>
        <w:bottom w:val="none" w:sz="0" w:space="0" w:color="auto"/>
        <w:right w:val="none" w:sz="0" w:space="0" w:color="auto"/>
      </w:divBdr>
    </w:div>
    <w:div w:id="1212841458">
      <w:bodyDiv w:val="1"/>
      <w:marLeft w:val="0"/>
      <w:marRight w:val="0"/>
      <w:marTop w:val="0"/>
      <w:marBottom w:val="0"/>
      <w:divBdr>
        <w:top w:val="none" w:sz="0" w:space="0" w:color="auto"/>
        <w:left w:val="none" w:sz="0" w:space="0" w:color="auto"/>
        <w:bottom w:val="none" w:sz="0" w:space="0" w:color="auto"/>
        <w:right w:val="none" w:sz="0" w:space="0" w:color="auto"/>
      </w:divBdr>
    </w:div>
    <w:div w:id="1213464974">
      <w:bodyDiv w:val="1"/>
      <w:marLeft w:val="0"/>
      <w:marRight w:val="0"/>
      <w:marTop w:val="0"/>
      <w:marBottom w:val="0"/>
      <w:divBdr>
        <w:top w:val="none" w:sz="0" w:space="0" w:color="auto"/>
        <w:left w:val="none" w:sz="0" w:space="0" w:color="auto"/>
        <w:bottom w:val="none" w:sz="0" w:space="0" w:color="auto"/>
        <w:right w:val="none" w:sz="0" w:space="0" w:color="auto"/>
      </w:divBdr>
    </w:div>
    <w:div w:id="1213887844">
      <w:bodyDiv w:val="1"/>
      <w:marLeft w:val="0"/>
      <w:marRight w:val="0"/>
      <w:marTop w:val="0"/>
      <w:marBottom w:val="0"/>
      <w:divBdr>
        <w:top w:val="none" w:sz="0" w:space="0" w:color="auto"/>
        <w:left w:val="none" w:sz="0" w:space="0" w:color="auto"/>
        <w:bottom w:val="none" w:sz="0" w:space="0" w:color="auto"/>
        <w:right w:val="none" w:sz="0" w:space="0" w:color="auto"/>
      </w:divBdr>
    </w:div>
    <w:div w:id="1214003760">
      <w:bodyDiv w:val="1"/>
      <w:marLeft w:val="0"/>
      <w:marRight w:val="0"/>
      <w:marTop w:val="0"/>
      <w:marBottom w:val="0"/>
      <w:divBdr>
        <w:top w:val="none" w:sz="0" w:space="0" w:color="auto"/>
        <w:left w:val="none" w:sz="0" w:space="0" w:color="auto"/>
        <w:bottom w:val="none" w:sz="0" w:space="0" w:color="auto"/>
        <w:right w:val="none" w:sz="0" w:space="0" w:color="auto"/>
      </w:divBdr>
    </w:div>
    <w:div w:id="1214074615">
      <w:bodyDiv w:val="1"/>
      <w:marLeft w:val="0"/>
      <w:marRight w:val="0"/>
      <w:marTop w:val="0"/>
      <w:marBottom w:val="0"/>
      <w:divBdr>
        <w:top w:val="none" w:sz="0" w:space="0" w:color="auto"/>
        <w:left w:val="none" w:sz="0" w:space="0" w:color="auto"/>
        <w:bottom w:val="none" w:sz="0" w:space="0" w:color="auto"/>
        <w:right w:val="none" w:sz="0" w:space="0" w:color="auto"/>
      </w:divBdr>
    </w:div>
    <w:div w:id="1214148344">
      <w:bodyDiv w:val="1"/>
      <w:marLeft w:val="0"/>
      <w:marRight w:val="0"/>
      <w:marTop w:val="0"/>
      <w:marBottom w:val="0"/>
      <w:divBdr>
        <w:top w:val="none" w:sz="0" w:space="0" w:color="auto"/>
        <w:left w:val="none" w:sz="0" w:space="0" w:color="auto"/>
        <w:bottom w:val="none" w:sz="0" w:space="0" w:color="auto"/>
        <w:right w:val="none" w:sz="0" w:space="0" w:color="auto"/>
      </w:divBdr>
    </w:div>
    <w:div w:id="1214611338">
      <w:bodyDiv w:val="1"/>
      <w:marLeft w:val="0"/>
      <w:marRight w:val="0"/>
      <w:marTop w:val="0"/>
      <w:marBottom w:val="0"/>
      <w:divBdr>
        <w:top w:val="none" w:sz="0" w:space="0" w:color="auto"/>
        <w:left w:val="none" w:sz="0" w:space="0" w:color="auto"/>
        <w:bottom w:val="none" w:sz="0" w:space="0" w:color="auto"/>
        <w:right w:val="none" w:sz="0" w:space="0" w:color="auto"/>
      </w:divBdr>
    </w:div>
    <w:div w:id="1214655038">
      <w:bodyDiv w:val="1"/>
      <w:marLeft w:val="0"/>
      <w:marRight w:val="0"/>
      <w:marTop w:val="0"/>
      <w:marBottom w:val="0"/>
      <w:divBdr>
        <w:top w:val="none" w:sz="0" w:space="0" w:color="auto"/>
        <w:left w:val="none" w:sz="0" w:space="0" w:color="auto"/>
        <w:bottom w:val="none" w:sz="0" w:space="0" w:color="auto"/>
        <w:right w:val="none" w:sz="0" w:space="0" w:color="auto"/>
      </w:divBdr>
    </w:div>
    <w:div w:id="1214806551">
      <w:bodyDiv w:val="1"/>
      <w:marLeft w:val="0"/>
      <w:marRight w:val="0"/>
      <w:marTop w:val="0"/>
      <w:marBottom w:val="0"/>
      <w:divBdr>
        <w:top w:val="none" w:sz="0" w:space="0" w:color="auto"/>
        <w:left w:val="none" w:sz="0" w:space="0" w:color="auto"/>
        <w:bottom w:val="none" w:sz="0" w:space="0" w:color="auto"/>
        <w:right w:val="none" w:sz="0" w:space="0" w:color="auto"/>
      </w:divBdr>
    </w:div>
    <w:div w:id="1215043633">
      <w:bodyDiv w:val="1"/>
      <w:marLeft w:val="0"/>
      <w:marRight w:val="0"/>
      <w:marTop w:val="0"/>
      <w:marBottom w:val="0"/>
      <w:divBdr>
        <w:top w:val="none" w:sz="0" w:space="0" w:color="auto"/>
        <w:left w:val="none" w:sz="0" w:space="0" w:color="auto"/>
        <w:bottom w:val="none" w:sz="0" w:space="0" w:color="auto"/>
        <w:right w:val="none" w:sz="0" w:space="0" w:color="auto"/>
      </w:divBdr>
    </w:div>
    <w:div w:id="1216162928">
      <w:bodyDiv w:val="1"/>
      <w:marLeft w:val="0"/>
      <w:marRight w:val="0"/>
      <w:marTop w:val="0"/>
      <w:marBottom w:val="0"/>
      <w:divBdr>
        <w:top w:val="none" w:sz="0" w:space="0" w:color="auto"/>
        <w:left w:val="none" w:sz="0" w:space="0" w:color="auto"/>
        <w:bottom w:val="none" w:sz="0" w:space="0" w:color="auto"/>
        <w:right w:val="none" w:sz="0" w:space="0" w:color="auto"/>
      </w:divBdr>
    </w:div>
    <w:div w:id="1216236750">
      <w:bodyDiv w:val="1"/>
      <w:marLeft w:val="0"/>
      <w:marRight w:val="0"/>
      <w:marTop w:val="0"/>
      <w:marBottom w:val="0"/>
      <w:divBdr>
        <w:top w:val="none" w:sz="0" w:space="0" w:color="auto"/>
        <w:left w:val="none" w:sz="0" w:space="0" w:color="auto"/>
        <w:bottom w:val="none" w:sz="0" w:space="0" w:color="auto"/>
        <w:right w:val="none" w:sz="0" w:space="0" w:color="auto"/>
      </w:divBdr>
    </w:div>
    <w:div w:id="1216357994">
      <w:bodyDiv w:val="1"/>
      <w:marLeft w:val="0"/>
      <w:marRight w:val="0"/>
      <w:marTop w:val="0"/>
      <w:marBottom w:val="0"/>
      <w:divBdr>
        <w:top w:val="none" w:sz="0" w:space="0" w:color="auto"/>
        <w:left w:val="none" w:sz="0" w:space="0" w:color="auto"/>
        <w:bottom w:val="none" w:sz="0" w:space="0" w:color="auto"/>
        <w:right w:val="none" w:sz="0" w:space="0" w:color="auto"/>
      </w:divBdr>
    </w:div>
    <w:div w:id="1216548641">
      <w:bodyDiv w:val="1"/>
      <w:marLeft w:val="0"/>
      <w:marRight w:val="0"/>
      <w:marTop w:val="0"/>
      <w:marBottom w:val="0"/>
      <w:divBdr>
        <w:top w:val="none" w:sz="0" w:space="0" w:color="auto"/>
        <w:left w:val="none" w:sz="0" w:space="0" w:color="auto"/>
        <w:bottom w:val="none" w:sz="0" w:space="0" w:color="auto"/>
        <w:right w:val="none" w:sz="0" w:space="0" w:color="auto"/>
      </w:divBdr>
    </w:div>
    <w:div w:id="1216812510">
      <w:bodyDiv w:val="1"/>
      <w:marLeft w:val="0"/>
      <w:marRight w:val="0"/>
      <w:marTop w:val="0"/>
      <w:marBottom w:val="0"/>
      <w:divBdr>
        <w:top w:val="none" w:sz="0" w:space="0" w:color="auto"/>
        <w:left w:val="none" w:sz="0" w:space="0" w:color="auto"/>
        <w:bottom w:val="none" w:sz="0" w:space="0" w:color="auto"/>
        <w:right w:val="none" w:sz="0" w:space="0" w:color="auto"/>
      </w:divBdr>
    </w:div>
    <w:div w:id="1216967023">
      <w:bodyDiv w:val="1"/>
      <w:marLeft w:val="0"/>
      <w:marRight w:val="0"/>
      <w:marTop w:val="0"/>
      <w:marBottom w:val="0"/>
      <w:divBdr>
        <w:top w:val="none" w:sz="0" w:space="0" w:color="auto"/>
        <w:left w:val="none" w:sz="0" w:space="0" w:color="auto"/>
        <w:bottom w:val="none" w:sz="0" w:space="0" w:color="auto"/>
        <w:right w:val="none" w:sz="0" w:space="0" w:color="auto"/>
      </w:divBdr>
    </w:div>
    <w:div w:id="1217548057">
      <w:bodyDiv w:val="1"/>
      <w:marLeft w:val="0"/>
      <w:marRight w:val="0"/>
      <w:marTop w:val="0"/>
      <w:marBottom w:val="0"/>
      <w:divBdr>
        <w:top w:val="none" w:sz="0" w:space="0" w:color="auto"/>
        <w:left w:val="none" w:sz="0" w:space="0" w:color="auto"/>
        <w:bottom w:val="none" w:sz="0" w:space="0" w:color="auto"/>
        <w:right w:val="none" w:sz="0" w:space="0" w:color="auto"/>
      </w:divBdr>
    </w:div>
    <w:div w:id="1218200256">
      <w:bodyDiv w:val="1"/>
      <w:marLeft w:val="0"/>
      <w:marRight w:val="0"/>
      <w:marTop w:val="0"/>
      <w:marBottom w:val="0"/>
      <w:divBdr>
        <w:top w:val="none" w:sz="0" w:space="0" w:color="auto"/>
        <w:left w:val="none" w:sz="0" w:space="0" w:color="auto"/>
        <w:bottom w:val="none" w:sz="0" w:space="0" w:color="auto"/>
        <w:right w:val="none" w:sz="0" w:space="0" w:color="auto"/>
      </w:divBdr>
    </w:div>
    <w:div w:id="1218277021">
      <w:bodyDiv w:val="1"/>
      <w:marLeft w:val="0"/>
      <w:marRight w:val="0"/>
      <w:marTop w:val="0"/>
      <w:marBottom w:val="0"/>
      <w:divBdr>
        <w:top w:val="none" w:sz="0" w:space="0" w:color="auto"/>
        <w:left w:val="none" w:sz="0" w:space="0" w:color="auto"/>
        <w:bottom w:val="none" w:sz="0" w:space="0" w:color="auto"/>
        <w:right w:val="none" w:sz="0" w:space="0" w:color="auto"/>
      </w:divBdr>
    </w:div>
    <w:div w:id="1218317519">
      <w:bodyDiv w:val="1"/>
      <w:marLeft w:val="0"/>
      <w:marRight w:val="0"/>
      <w:marTop w:val="0"/>
      <w:marBottom w:val="0"/>
      <w:divBdr>
        <w:top w:val="none" w:sz="0" w:space="0" w:color="auto"/>
        <w:left w:val="none" w:sz="0" w:space="0" w:color="auto"/>
        <w:bottom w:val="none" w:sz="0" w:space="0" w:color="auto"/>
        <w:right w:val="none" w:sz="0" w:space="0" w:color="auto"/>
      </w:divBdr>
    </w:div>
    <w:div w:id="1218710667">
      <w:bodyDiv w:val="1"/>
      <w:marLeft w:val="0"/>
      <w:marRight w:val="0"/>
      <w:marTop w:val="0"/>
      <w:marBottom w:val="0"/>
      <w:divBdr>
        <w:top w:val="none" w:sz="0" w:space="0" w:color="auto"/>
        <w:left w:val="none" w:sz="0" w:space="0" w:color="auto"/>
        <w:bottom w:val="none" w:sz="0" w:space="0" w:color="auto"/>
        <w:right w:val="none" w:sz="0" w:space="0" w:color="auto"/>
      </w:divBdr>
    </w:div>
    <w:div w:id="1219055432">
      <w:bodyDiv w:val="1"/>
      <w:marLeft w:val="0"/>
      <w:marRight w:val="0"/>
      <w:marTop w:val="0"/>
      <w:marBottom w:val="0"/>
      <w:divBdr>
        <w:top w:val="none" w:sz="0" w:space="0" w:color="auto"/>
        <w:left w:val="none" w:sz="0" w:space="0" w:color="auto"/>
        <w:bottom w:val="none" w:sz="0" w:space="0" w:color="auto"/>
        <w:right w:val="none" w:sz="0" w:space="0" w:color="auto"/>
      </w:divBdr>
    </w:div>
    <w:div w:id="1219125367">
      <w:bodyDiv w:val="1"/>
      <w:marLeft w:val="0"/>
      <w:marRight w:val="0"/>
      <w:marTop w:val="0"/>
      <w:marBottom w:val="0"/>
      <w:divBdr>
        <w:top w:val="none" w:sz="0" w:space="0" w:color="auto"/>
        <w:left w:val="none" w:sz="0" w:space="0" w:color="auto"/>
        <w:bottom w:val="none" w:sz="0" w:space="0" w:color="auto"/>
        <w:right w:val="none" w:sz="0" w:space="0" w:color="auto"/>
      </w:divBdr>
    </w:div>
    <w:div w:id="1219241964">
      <w:bodyDiv w:val="1"/>
      <w:marLeft w:val="0"/>
      <w:marRight w:val="0"/>
      <w:marTop w:val="0"/>
      <w:marBottom w:val="0"/>
      <w:divBdr>
        <w:top w:val="none" w:sz="0" w:space="0" w:color="auto"/>
        <w:left w:val="none" w:sz="0" w:space="0" w:color="auto"/>
        <w:bottom w:val="none" w:sz="0" w:space="0" w:color="auto"/>
        <w:right w:val="none" w:sz="0" w:space="0" w:color="auto"/>
      </w:divBdr>
    </w:div>
    <w:div w:id="1219246381">
      <w:bodyDiv w:val="1"/>
      <w:marLeft w:val="0"/>
      <w:marRight w:val="0"/>
      <w:marTop w:val="0"/>
      <w:marBottom w:val="0"/>
      <w:divBdr>
        <w:top w:val="none" w:sz="0" w:space="0" w:color="auto"/>
        <w:left w:val="none" w:sz="0" w:space="0" w:color="auto"/>
        <w:bottom w:val="none" w:sz="0" w:space="0" w:color="auto"/>
        <w:right w:val="none" w:sz="0" w:space="0" w:color="auto"/>
      </w:divBdr>
    </w:div>
    <w:div w:id="1219324051">
      <w:bodyDiv w:val="1"/>
      <w:marLeft w:val="0"/>
      <w:marRight w:val="0"/>
      <w:marTop w:val="0"/>
      <w:marBottom w:val="0"/>
      <w:divBdr>
        <w:top w:val="none" w:sz="0" w:space="0" w:color="auto"/>
        <w:left w:val="none" w:sz="0" w:space="0" w:color="auto"/>
        <w:bottom w:val="none" w:sz="0" w:space="0" w:color="auto"/>
        <w:right w:val="none" w:sz="0" w:space="0" w:color="auto"/>
      </w:divBdr>
    </w:div>
    <w:div w:id="1219365726">
      <w:bodyDiv w:val="1"/>
      <w:marLeft w:val="0"/>
      <w:marRight w:val="0"/>
      <w:marTop w:val="0"/>
      <w:marBottom w:val="0"/>
      <w:divBdr>
        <w:top w:val="none" w:sz="0" w:space="0" w:color="auto"/>
        <w:left w:val="none" w:sz="0" w:space="0" w:color="auto"/>
        <w:bottom w:val="none" w:sz="0" w:space="0" w:color="auto"/>
        <w:right w:val="none" w:sz="0" w:space="0" w:color="auto"/>
      </w:divBdr>
    </w:div>
    <w:div w:id="1219442470">
      <w:bodyDiv w:val="1"/>
      <w:marLeft w:val="0"/>
      <w:marRight w:val="0"/>
      <w:marTop w:val="0"/>
      <w:marBottom w:val="0"/>
      <w:divBdr>
        <w:top w:val="none" w:sz="0" w:space="0" w:color="auto"/>
        <w:left w:val="none" w:sz="0" w:space="0" w:color="auto"/>
        <w:bottom w:val="none" w:sz="0" w:space="0" w:color="auto"/>
        <w:right w:val="none" w:sz="0" w:space="0" w:color="auto"/>
      </w:divBdr>
    </w:div>
    <w:div w:id="1219510735">
      <w:bodyDiv w:val="1"/>
      <w:marLeft w:val="0"/>
      <w:marRight w:val="0"/>
      <w:marTop w:val="0"/>
      <w:marBottom w:val="0"/>
      <w:divBdr>
        <w:top w:val="none" w:sz="0" w:space="0" w:color="auto"/>
        <w:left w:val="none" w:sz="0" w:space="0" w:color="auto"/>
        <w:bottom w:val="none" w:sz="0" w:space="0" w:color="auto"/>
        <w:right w:val="none" w:sz="0" w:space="0" w:color="auto"/>
      </w:divBdr>
    </w:div>
    <w:div w:id="1219707174">
      <w:bodyDiv w:val="1"/>
      <w:marLeft w:val="0"/>
      <w:marRight w:val="0"/>
      <w:marTop w:val="0"/>
      <w:marBottom w:val="0"/>
      <w:divBdr>
        <w:top w:val="none" w:sz="0" w:space="0" w:color="auto"/>
        <w:left w:val="none" w:sz="0" w:space="0" w:color="auto"/>
        <w:bottom w:val="none" w:sz="0" w:space="0" w:color="auto"/>
        <w:right w:val="none" w:sz="0" w:space="0" w:color="auto"/>
      </w:divBdr>
    </w:div>
    <w:div w:id="1220635138">
      <w:bodyDiv w:val="1"/>
      <w:marLeft w:val="0"/>
      <w:marRight w:val="0"/>
      <w:marTop w:val="0"/>
      <w:marBottom w:val="0"/>
      <w:divBdr>
        <w:top w:val="none" w:sz="0" w:space="0" w:color="auto"/>
        <w:left w:val="none" w:sz="0" w:space="0" w:color="auto"/>
        <w:bottom w:val="none" w:sz="0" w:space="0" w:color="auto"/>
        <w:right w:val="none" w:sz="0" w:space="0" w:color="auto"/>
      </w:divBdr>
    </w:div>
    <w:div w:id="1220943071">
      <w:bodyDiv w:val="1"/>
      <w:marLeft w:val="0"/>
      <w:marRight w:val="0"/>
      <w:marTop w:val="0"/>
      <w:marBottom w:val="0"/>
      <w:divBdr>
        <w:top w:val="none" w:sz="0" w:space="0" w:color="auto"/>
        <w:left w:val="none" w:sz="0" w:space="0" w:color="auto"/>
        <w:bottom w:val="none" w:sz="0" w:space="0" w:color="auto"/>
        <w:right w:val="none" w:sz="0" w:space="0" w:color="auto"/>
      </w:divBdr>
    </w:div>
    <w:div w:id="1221554397">
      <w:bodyDiv w:val="1"/>
      <w:marLeft w:val="0"/>
      <w:marRight w:val="0"/>
      <w:marTop w:val="0"/>
      <w:marBottom w:val="0"/>
      <w:divBdr>
        <w:top w:val="none" w:sz="0" w:space="0" w:color="auto"/>
        <w:left w:val="none" w:sz="0" w:space="0" w:color="auto"/>
        <w:bottom w:val="none" w:sz="0" w:space="0" w:color="auto"/>
        <w:right w:val="none" w:sz="0" w:space="0" w:color="auto"/>
      </w:divBdr>
    </w:div>
    <w:div w:id="1221820226">
      <w:bodyDiv w:val="1"/>
      <w:marLeft w:val="0"/>
      <w:marRight w:val="0"/>
      <w:marTop w:val="0"/>
      <w:marBottom w:val="0"/>
      <w:divBdr>
        <w:top w:val="none" w:sz="0" w:space="0" w:color="auto"/>
        <w:left w:val="none" w:sz="0" w:space="0" w:color="auto"/>
        <w:bottom w:val="none" w:sz="0" w:space="0" w:color="auto"/>
        <w:right w:val="none" w:sz="0" w:space="0" w:color="auto"/>
      </w:divBdr>
    </w:div>
    <w:div w:id="1221986248">
      <w:bodyDiv w:val="1"/>
      <w:marLeft w:val="0"/>
      <w:marRight w:val="0"/>
      <w:marTop w:val="0"/>
      <w:marBottom w:val="0"/>
      <w:divBdr>
        <w:top w:val="none" w:sz="0" w:space="0" w:color="auto"/>
        <w:left w:val="none" w:sz="0" w:space="0" w:color="auto"/>
        <w:bottom w:val="none" w:sz="0" w:space="0" w:color="auto"/>
        <w:right w:val="none" w:sz="0" w:space="0" w:color="auto"/>
      </w:divBdr>
    </w:div>
    <w:div w:id="1222137892">
      <w:bodyDiv w:val="1"/>
      <w:marLeft w:val="0"/>
      <w:marRight w:val="0"/>
      <w:marTop w:val="0"/>
      <w:marBottom w:val="0"/>
      <w:divBdr>
        <w:top w:val="none" w:sz="0" w:space="0" w:color="auto"/>
        <w:left w:val="none" w:sz="0" w:space="0" w:color="auto"/>
        <w:bottom w:val="none" w:sz="0" w:space="0" w:color="auto"/>
        <w:right w:val="none" w:sz="0" w:space="0" w:color="auto"/>
      </w:divBdr>
    </w:div>
    <w:div w:id="1222181667">
      <w:bodyDiv w:val="1"/>
      <w:marLeft w:val="0"/>
      <w:marRight w:val="0"/>
      <w:marTop w:val="0"/>
      <w:marBottom w:val="0"/>
      <w:divBdr>
        <w:top w:val="none" w:sz="0" w:space="0" w:color="auto"/>
        <w:left w:val="none" w:sz="0" w:space="0" w:color="auto"/>
        <w:bottom w:val="none" w:sz="0" w:space="0" w:color="auto"/>
        <w:right w:val="none" w:sz="0" w:space="0" w:color="auto"/>
      </w:divBdr>
    </w:div>
    <w:div w:id="1222909619">
      <w:bodyDiv w:val="1"/>
      <w:marLeft w:val="0"/>
      <w:marRight w:val="0"/>
      <w:marTop w:val="0"/>
      <w:marBottom w:val="0"/>
      <w:divBdr>
        <w:top w:val="none" w:sz="0" w:space="0" w:color="auto"/>
        <w:left w:val="none" w:sz="0" w:space="0" w:color="auto"/>
        <w:bottom w:val="none" w:sz="0" w:space="0" w:color="auto"/>
        <w:right w:val="none" w:sz="0" w:space="0" w:color="auto"/>
      </w:divBdr>
    </w:div>
    <w:div w:id="1223445519">
      <w:bodyDiv w:val="1"/>
      <w:marLeft w:val="0"/>
      <w:marRight w:val="0"/>
      <w:marTop w:val="0"/>
      <w:marBottom w:val="0"/>
      <w:divBdr>
        <w:top w:val="none" w:sz="0" w:space="0" w:color="auto"/>
        <w:left w:val="none" w:sz="0" w:space="0" w:color="auto"/>
        <w:bottom w:val="none" w:sz="0" w:space="0" w:color="auto"/>
        <w:right w:val="none" w:sz="0" w:space="0" w:color="auto"/>
      </w:divBdr>
    </w:div>
    <w:div w:id="1223522581">
      <w:bodyDiv w:val="1"/>
      <w:marLeft w:val="0"/>
      <w:marRight w:val="0"/>
      <w:marTop w:val="0"/>
      <w:marBottom w:val="0"/>
      <w:divBdr>
        <w:top w:val="none" w:sz="0" w:space="0" w:color="auto"/>
        <w:left w:val="none" w:sz="0" w:space="0" w:color="auto"/>
        <w:bottom w:val="none" w:sz="0" w:space="0" w:color="auto"/>
        <w:right w:val="none" w:sz="0" w:space="0" w:color="auto"/>
      </w:divBdr>
    </w:div>
    <w:div w:id="1224102932">
      <w:bodyDiv w:val="1"/>
      <w:marLeft w:val="0"/>
      <w:marRight w:val="0"/>
      <w:marTop w:val="0"/>
      <w:marBottom w:val="0"/>
      <w:divBdr>
        <w:top w:val="none" w:sz="0" w:space="0" w:color="auto"/>
        <w:left w:val="none" w:sz="0" w:space="0" w:color="auto"/>
        <w:bottom w:val="none" w:sz="0" w:space="0" w:color="auto"/>
        <w:right w:val="none" w:sz="0" w:space="0" w:color="auto"/>
      </w:divBdr>
    </w:div>
    <w:div w:id="1225289466">
      <w:bodyDiv w:val="1"/>
      <w:marLeft w:val="0"/>
      <w:marRight w:val="0"/>
      <w:marTop w:val="0"/>
      <w:marBottom w:val="0"/>
      <w:divBdr>
        <w:top w:val="none" w:sz="0" w:space="0" w:color="auto"/>
        <w:left w:val="none" w:sz="0" w:space="0" w:color="auto"/>
        <w:bottom w:val="none" w:sz="0" w:space="0" w:color="auto"/>
        <w:right w:val="none" w:sz="0" w:space="0" w:color="auto"/>
      </w:divBdr>
    </w:div>
    <w:div w:id="1225799674">
      <w:bodyDiv w:val="1"/>
      <w:marLeft w:val="0"/>
      <w:marRight w:val="0"/>
      <w:marTop w:val="0"/>
      <w:marBottom w:val="0"/>
      <w:divBdr>
        <w:top w:val="none" w:sz="0" w:space="0" w:color="auto"/>
        <w:left w:val="none" w:sz="0" w:space="0" w:color="auto"/>
        <w:bottom w:val="none" w:sz="0" w:space="0" w:color="auto"/>
        <w:right w:val="none" w:sz="0" w:space="0" w:color="auto"/>
      </w:divBdr>
    </w:div>
    <w:div w:id="1225876204">
      <w:bodyDiv w:val="1"/>
      <w:marLeft w:val="0"/>
      <w:marRight w:val="0"/>
      <w:marTop w:val="0"/>
      <w:marBottom w:val="0"/>
      <w:divBdr>
        <w:top w:val="none" w:sz="0" w:space="0" w:color="auto"/>
        <w:left w:val="none" w:sz="0" w:space="0" w:color="auto"/>
        <w:bottom w:val="none" w:sz="0" w:space="0" w:color="auto"/>
        <w:right w:val="none" w:sz="0" w:space="0" w:color="auto"/>
      </w:divBdr>
    </w:div>
    <w:div w:id="1226448637">
      <w:bodyDiv w:val="1"/>
      <w:marLeft w:val="0"/>
      <w:marRight w:val="0"/>
      <w:marTop w:val="0"/>
      <w:marBottom w:val="0"/>
      <w:divBdr>
        <w:top w:val="none" w:sz="0" w:space="0" w:color="auto"/>
        <w:left w:val="none" w:sz="0" w:space="0" w:color="auto"/>
        <w:bottom w:val="none" w:sz="0" w:space="0" w:color="auto"/>
        <w:right w:val="none" w:sz="0" w:space="0" w:color="auto"/>
      </w:divBdr>
    </w:div>
    <w:div w:id="1226531941">
      <w:bodyDiv w:val="1"/>
      <w:marLeft w:val="0"/>
      <w:marRight w:val="0"/>
      <w:marTop w:val="0"/>
      <w:marBottom w:val="0"/>
      <w:divBdr>
        <w:top w:val="none" w:sz="0" w:space="0" w:color="auto"/>
        <w:left w:val="none" w:sz="0" w:space="0" w:color="auto"/>
        <w:bottom w:val="none" w:sz="0" w:space="0" w:color="auto"/>
        <w:right w:val="none" w:sz="0" w:space="0" w:color="auto"/>
      </w:divBdr>
    </w:div>
    <w:div w:id="1226598464">
      <w:bodyDiv w:val="1"/>
      <w:marLeft w:val="0"/>
      <w:marRight w:val="0"/>
      <w:marTop w:val="0"/>
      <w:marBottom w:val="0"/>
      <w:divBdr>
        <w:top w:val="none" w:sz="0" w:space="0" w:color="auto"/>
        <w:left w:val="none" w:sz="0" w:space="0" w:color="auto"/>
        <w:bottom w:val="none" w:sz="0" w:space="0" w:color="auto"/>
        <w:right w:val="none" w:sz="0" w:space="0" w:color="auto"/>
      </w:divBdr>
    </w:div>
    <w:div w:id="1226993773">
      <w:bodyDiv w:val="1"/>
      <w:marLeft w:val="0"/>
      <w:marRight w:val="0"/>
      <w:marTop w:val="0"/>
      <w:marBottom w:val="0"/>
      <w:divBdr>
        <w:top w:val="none" w:sz="0" w:space="0" w:color="auto"/>
        <w:left w:val="none" w:sz="0" w:space="0" w:color="auto"/>
        <w:bottom w:val="none" w:sz="0" w:space="0" w:color="auto"/>
        <w:right w:val="none" w:sz="0" w:space="0" w:color="auto"/>
      </w:divBdr>
    </w:div>
    <w:div w:id="1227033935">
      <w:bodyDiv w:val="1"/>
      <w:marLeft w:val="0"/>
      <w:marRight w:val="0"/>
      <w:marTop w:val="0"/>
      <w:marBottom w:val="0"/>
      <w:divBdr>
        <w:top w:val="none" w:sz="0" w:space="0" w:color="auto"/>
        <w:left w:val="none" w:sz="0" w:space="0" w:color="auto"/>
        <w:bottom w:val="none" w:sz="0" w:space="0" w:color="auto"/>
        <w:right w:val="none" w:sz="0" w:space="0" w:color="auto"/>
      </w:divBdr>
    </w:div>
    <w:div w:id="1227230224">
      <w:bodyDiv w:val="1"/>
      <w:marLeft w:val="0"/>
      <w:marRight w:val="0"/>
      <w:marTop w:val="0"/>
      <w:marBottom w:val="0"/>
      <w:divBdr>
        <w:top w:val="none" w:sz="0" w:space="0" w:color="auto"/>
        <w:left w:val="none" w:sz="0" w:space="0" w:color="auto"/>
        <w:bottom w:val="none" w:sz="0" w:space="0" w:color="auto"/>
        <w:right w:val="none" w:sz="0" w:space="0" w:color="auto"/>
      </w:divBdr>
    </w:div>
    <w:div w:id="1227373270">
      <w:bodyDiv w:val="1"/>
      <w:marLeft w:val="0"/>
      <w:marRight w:val="0"/>
      <w:marTop w:val="0"/>
      <w:marBottom w:val="0"/>
      <w:divBdr>
        <w:top w:val="none" w:sz="0" w:space="0" w:color="auto"/>
        <w:left w:val="none" w:sz="0" w:space="0" w:color="auto"/>
        <w:bottom w:val="none" w:sz="0" w:space="0" w:color="auto"/>
        <w:right w:val="none" w:sz="0" w:space="0" w:color="auto"/>
      </w:divBdr>
    </w:div>
    <w:div w:id="1227374663">
      <w:bodyDiv w:val="1"/>
      <w:marLeft w:val="0"/>
      <w:marRight w:val="0"/>
      <w:marTop w:val="0"/>
      <w:marBottom w:val="0"/>
      <w:divBdr>
        <w:top w:val="none" w:sz="0" w:space="0" w:color="auto"/>
        <w:left w:val="none" w:sz="0" w:space="0" w:color="auto"/>
        <w:bottom w:val="none" w:sz="0" w:space="0" w:color="auto"/>
        <w:right w:val="none" w:sz="0" w:space="0" w:color="auto"/>
      </w:divBdr>
    </w:div>
    <w:div w:id="1227642202">
      <w:bodyDiv w:val="1"/>
      <w:marLeft w:val="0"/>
      <w:marRight w:val="0"/>
      <w:marTop w:val="0"/>
      <w:marBottom w:val="0"/>
      <w:divBdr>
        <w:top w:val="none" w:sz="0" w:space="0" w:color="auto"/>
        <w:left w:val="none" w:sz="0" w:space="0" w:color="auto"/>
        <w:bottom w:val="none" w:sz="0" w:space="0" w:color="auto"/>
        <w:right w:val="none" w:sz="0" w:space="0" w:color="auto"/>
      </w:divBdr>
    </w:div>
    <w:div w:id="1227839227">
      <w:bodyDiv w:val="1"/>
      <w:marLeft w:val="0"/>
      <w:marRight w:val="0"/>
      <w:marTop w:val="0"/>
      <w:marBottom w:val="0"/>
      <w:divBdr>
        <w:top w:val="none" w:sz="0" w:space="0" w:color="auto"/>
        <w:left w:val="none" w:sz="0" w:space="0" w:color="auto"/>
        <w:bottom w:val="none" w:sz="0" w:space="0" w:color="auto"/>
        <w:right w:val="none" w:sz="0" w:space="0" w:color="auto"/>
      </w:divBdr>
    </w:div>
    <w:div w:id="1228495594">
      <w:bodyDiv w:val="1"/>
      <w:marLeft w:val="0"/>
      <w:marRight w:val="0"/>
      <w:marTop w:val="0"/>
      <w:marBottom w:val="0"/>
      <w:divBdr>
        <w:top w:val="none" w:sz="0" w:space="0" w:color="auto"/>
        <w:left w:val="none" w:sz="0" w:space="0" w:color="auto"/>
        <w:bottom w:val="none" w:sz="0" w:space="0" w:color="auto"/>
        <w:right w:val="none" w:sz="0" w:space="0" w:color="auto"/>
      </w:divBdr>
    </w:div>
    <w:div w:id="1228685156">
      <w:bodyDiv w:val="1"/>
      <w:marLeft w:val="0"/>
      <w:marRight w:val="0"/>
      <w:marTop w:val="0"/>
      <w:marBottom w:val="0"/>
      <w:divBdr>
        <w:top w:val="none" w:sz="0" w:space="0" w:color="auto"/>
        <w:left w:val="none" w:sz="0" w:space="0" w:color="auto"/>
        <w:bottom w:val="none" w:sz="0" w:space="0" w:color="auto"/>
        <w:right w:val="none" w:sz="0" w:space="0" w:color="auto"/>
      </w:divBdr>
    </w:div>
    <w:div w:id="1228758954">
      <w:bodyDiv w:val="1"/>
      <w:marLeft w:val="0"/>
      <w:marRight w:val="0"/>
      <w:marTop w:val="0"/>
      <w:marBottom w:val="0"/>
      <w:divBdr>
        <w:top w:val="none" w:sz="0" w:space="0" w:color="auto"/>
        <w:left w:val="none" w:sz="0" w:space="0" w:color="auto"/>
        <w:bottom w:val="none" w:sz="0" w:space="0" w:color="auto"/>
        <w:right w:val="none" w:sz="0" w:space="0" w:color="auto"/>
      </w:divBdr>
    </w:div>
    <w:div w:id="1228800416">
      <w:bodyDiv w:val="1"/>
      <w:marLeft w:val="0"/>
      <w:marRight w:val="0"/>
      <w:marTop w:val="0"/>
      <w:marBottom w:val="0"/>
      <w:divBdr>
        <w:top w:val="none" w:sz="0" w:space="0" w:color="auto"/>
        <w:left w:val="none" w:sz="0" w:space="0" w:color="auto"/>
        <w:bottom w:val="none" w:sz="0" w:space="0" w:color="auto"/>
        <w:right w:val="none" w:sz="0" w:space="0" w:color="auto"/>
      </w:divBdr>
    </w:div>
    <w:div w:id="1228880607">
      <w:bodyDiv w:val="1"/>
      <w:marLeft w:val="0"/>
      <w:marRight w:val="0"/>
      <w:marTop w:val="0"/>
      <w:marBottom w:val="0"/>
      <w:divBdr>
        <w:top w:val="none" w:sz="0" w:space="0" w:color="auto"/>
        <w:left w:val="none" w:sz="0" w:space="0" w:color="auto"/>
        <w:bottom w:val="none" w:sz="0" w:space="0" w:color="auto"/>
        <w:right w:val="none" w:sz="0" w:space="0" w:color="auto"/>
      </w:divBdr>
    </w:div>
    <w:div w:id="1228883674">
      <w:bodyDiv w:val="1"/>
      <w:marLeft w:val="0"/>
      <w:marRight w:val="0"/>
      <w:marTop w:val="0"/>
      <w:marBottom w:val="0"/>
      <w:divBdr>
        <w:top w:val="none" w:sz="0" w:space="0" w:color="auto"/>
        <w:left w:val="none" w:sz="0" w:space="0" w:color="auto"/>
        <w:bottom w:val="none" w:sz="0" w:space="0" w:color="auto"/>
        <w:right w:val="none" w:sz="0" w:space="0" w:color="auto"/>
      </w:divBdr>
    </w:div>
    <w:div w:id="1229145027">
      <w:bodyDiv w:val="1"/>
      <w:marLeft w:val="0"/>
      <w:marRight w:val="0"/>
      <w:marTop w:val="0"/>
      <w:marBottom w:val="0"/>
      <w:divBdr>
        <w:top w:val="none" w:sz="0" w:space="0" w:color="auto"/>
        <w:left w:val="none" w:sz="0" w:space="0" w:color="auto"/>
        <w:bottom w:val="none" w:sz="0" w:space="0" w:color="auto"/>
        <w:right w:val="none" w:sz="0" w:space="0" w:color="auto"/>
      </w:divBdr>
    </w:div>
    <w:div w:id="1229196473">
      <w:bodyDiv w:val="1"/>
      <w:marLeft w:val="0"/>
      <w:marRight w:val="0"/>
      <w:marTop w:val="0"/>
      <w:marBottom w:val="0"/>
      <w:divBdr>
        <w:top w:val="none" w:sz="0" w:space="0" w:color="auto"/>
        <w:left w:val="none" w:sz="0" w:space="0" w:color="auto"/>
        <w:bottom w:val="none" w:sz="0" w:space="0" w:color="auto"/>
        <w:right w:val="none" w:sz="0" w:space="0" w:color="auto"/>
      </w:divBdr>
    </w:div>
    <w:div w:id="1229345675">
      <w:bodyDiv w:val="1"/>
      <w:marLeft w:val="0"/>
      <w:marRight w:val="0"/>
      <w:marTop w:val="0"/>
      <w:marBottom w:val="0"/>
      <w:divBdr>
        <w:top w:val="none" w:sz="0" w:space="0" w:color="auto"/>
        <w:left w:val="none" w:sz="0" w:space="0" w:color="auto"/>
        <w:bottom w:val="none" w:sz="0" w:space="0" w:color="auto"/>
        <w:right w:val="none" w:sz="0" w:space="0" w:color="auto"/>
      </w:divBdr>
    </w:div>
    <w:div w:id="1229457091">
      <w:bodyDiv w:val="1"/>
      <w:marLeft w:val="0"/>
      <w:marRight w:val="0"/>
      <w:marTop w:val="0"/>
      <w:marBottom w:val="0"/>
      <w:divBdr>
        <w:top w:val="none" w:sz="0" w:space="0" w:color="auto"/>
        <w:left w:val="none" w:sz="0" w:space="0" w:color="auto"/>
        <w:bottom w:val="none" w:sz="0" w:space="0" w:color="auto"/>
        <w:right w:val="none" w:sz="0" w:space="0" w:color="auto"/>
      </w:divBdr>
    </w:div>
    <w:div w:id="1229461032">
      <w:bodyDiv w:val="1"/>
      <w:marLeft w:val="0"/>
      <w:marRight w:val="0"/>
      <w:marTop w:val="0"/>
      <w:marBottom w:val="0"/>
      <w:divBdr>
        <w:top w:val="none" w:sz="0" w:space="0" w:color="auto"/>
        <w:left w:val="none" w:sz="0" w:space="0" w:color="auto"/>
        <w:bottom w:val="none" w:sz="0" w:space="0" w:color="auto"/>
        <w:right w:val="none" w:sz="0" w:space="0" w:color="auto"/>
      </w:divBdr>
    </w:div>
    <w:div w:id="1229611844">
      <w:bodyDiv w:val="1"/>
      <w:marLeft w:val="0"/>
      <w:marRight w:val="0"/>
      <w:marTop w:val="0"/>
      <w:marBottom w:val="0"/>
      <w:divBdr>
        <w:top w:val="none" w:sz="0" w:space="0" w:color="auto"/>
        <w:left w:val="none" w:sz="0" w:space="0" w:color="auto"/>
        <w:bottom w:val="none" w:sz="0" w:space="0" w:color="auto"/>
        <w:right w:val="none" w:sz="0" w:space="0" w:color="auto"/>
      </w:divBdr>
    </w:div>
    <w:div w:id="1229657507">
      <w:bodyDiv w:val="1"/>
      <w:marLeft w:val="0"/>
      <w:marRight w:val="0"/>
      <w:marTop w:val="0"/>
      <w:marBottom w:val="0"/>
      <w:divBdr>
        <w:top w:val="none" w:sz="0" w:space="0" w:color="auto"/>
        <w:left w:val="none" w:sz="0" w:space="0" w:color="auto"/>
        <w:bottom w:val="none" w:sz="0" w:space="0" w:color="auto"/>
        <w:right w:val="none" w:sz="0" w:space="0" w:color="auto"/>
      </w:divBdr>
    </w:div>
    <w:div w:id="1229808556">
      <w:bodyDiv w:val="1"/>
      <w:marLeft w:val="0"/>
      <w:marRight w:val="0"/>
      <w:marTop w:val="0"/>
      <w:marBottom w:val="0"/>
      <w:divBdr>
        <w:top w:val="none" w:sz="0" w:space="0" w:color="auto"/>
        <w:left w:val="none" w:sz="0" w:space="0" w:color="auto"/>
        <w:bottom w:val="none" w:sz="0" w:space="0" w:color="auto"/>
        <w:right w:val="none" w:sz="0" w:space="0" w:color="auto"/>
      </w:divBdr>
    </w:div>
    <w:div w:id="1230532651">
      <w:bodyDiv w:val="1"/>
      <w:marLeft w:val="0"/>
      <w:marRight w:val="0"/>
      <w:marTop w:val="0"/>
      <w:marBottom w:val="0"/>
      <w:divBdr>
        <w:top w:val="none" w:sz="0" w:space="0" w:color="auto"/>
        <w:left w:val="none" w:sz="0" w:space="0" w:color="auto"/>
        <w:bottom w:val="none" w:sz="0" w:space="0" w:color="auto"/>
        <w:right w:val="none" w:sz="0" w:space="0" w:color="auto"/>
      </w:divBdr>
    </w:div>
    <w:div w:id="1230576170">
      <w:bodyDiv w:val="1"/>
      <w:marLeft w:val="0"/>
      <w:marRight w:val="0"/>
      <w:marTop w:val="0"/>
      <w:marBottom w:val="0"/>
      <w:divBdr>
        <w:top w:val="none" w:sz="0" w:space="0" w:color="auto"/>
        <w:left w:val="none" w:sz="0" w:space="0" w:color="auto"/>
        <w:bottom w:val="none" w:sz="0" w:space="0" w:color="auto"/>
        <w:right w:val="none" w:sz="0" w:space="0" w:color="auto"/>
      </w:divBdr>
    </w:div>
    <w:div w:id="1231035026">
      <w:bodyDiv w:val="1"/>
      <w:marLeft w:val="0"/>
      <w:marRight w:val="0"/>
      <w:marTop w:val="0"/>
      <w:marBottom w:val="0"/>
      <w:divBdr>
        <w:top w:val="none" w:sz="0" w:space="0" w:color="auto"/>
        <w:left w:val="none" w:sz="0" w:space="0" w:color="auto"/>
        <w:bottom w:val="none" w:sz="0" w:space="0" w:color="auto"/>
        <w:right w:val="none" w:sz="0" w:space="0" w:color="auto"/>
      </w:divBdr>
    </w:div>
    <w:div w:id="1231579496">
      <w:bodyDiv w:val="1"/>
      <w:marLeft w:val="0"/>
      <w:marRight w:val="0"/>
      <w:marTop w:val="0"/>
      <w:marBottom w:val="0"/>
      <w:divBdr>
        <w:top w:val="none" w:sz="0" w:space="0" w:color="auto"/>
        <w:left w:val="none" w:sz="0" w:space="0" w:color="auto"/>
        <w:bottom w:val="none" w:sz="0" w:space="0" w:color="auto"/>
        <w:right w:val="none" w:sz="0" w:space="0" w:color="auto"/>
      </w:divBdr>
    </w:div>
    <w:div w:id="1231768968">
      <w:bodyDiv w:val="1"/>
      <w:marLeft w:val="0"/>
      <w:marRight w:val="0"/>
      <w:marTop w:val="0"/>
      <w:marBottom w:val="0"/>
      <w:divBdr>
        <w:top w:val="none" w:sz="0" w:space="0" w:color="auto"/>
        <w:left w:val="none" w:sz="0" w:space="0" w:color="auto"/>
        <w:bottom w:val="none" w:sz="0" w:space="0" w:color="auto"/>
        <w:right w:val="none" w:sz="0" w:space="0" w:color="auto"/>
      </w:divBdr>
    </w:div>
    <w:div w:id="1231771158">
      <w:bodyDiv w:val="1"/>
      <w:marLeft w:val="0"/>
      <w:marRight w:val="0"/>
      <w:marTop w:val="0"/>
      <w:marBottom w:val="0"/>
      <w:divBdr>
        <w:top w:val="none" w:sz="0" w:space="0" w:color="auto"/>
        <w:left w:val="none" w:sz="0" w:space="0" w:color="auto"/>
        <w:bottom w:val="none" w:sz="0" w:space="0" w:color="auto"/>
        <w:right w:val="none" w:sz="0" w:space="0" w:color="auto"/>
      </w:divBdr>
    </w:div>
    <w:div w:id="1232160147">
      <w:bodyDiv w:val="1"/>
      <w:marLeft w:val="0"/>
      <w:marRight w:val="0"/>
      <w:marTop w:val="0"/>
      <w:marBottom w:val="0"/>
      <w:divBdr>
        <w:top w:val="none" w:sz="0" w:space="0" w:color="auto"/>
        <w:left w:val="none" w:sz="0" w:space="0" w:color="auto"/>
        <w:bottom w:val="none" w:sz="0" w:space="0" w:color="auto"/>
        <w:right w:val="none" w:sz="0" w:space="0" w:color="auto"/>
      </w:divBdr>
    </w:div>
    <w:div w:id="1232472579">
      <w:bodyDiv w:val="1"/>
      <w:marLeft w:val="0"/>
      <w:marRight w:val="0"/>
      <w:marTop w:val="0"/>
      <w:marBottom w:val="0"/>
      <w:divBdr>
        <w:top w:val="none" w:sz="0" w:space="0" w:color="auto"/>
        <w:left w:val="none" w:sz="0" w:space="0" w:color="auto"/>
        <w:bottom w:val="none" w:sz="0" w:space="0" w:color="auto"/>
        <w:right w:val="none" w:sz="0" w:space="0" w:color="auto"/>
      </w:divBdr>
    </w:div>
    <w:div w:id="1232959829">
      <w:bodyDiv w:val="1"/>
      <w:marLeft w:val="0"/>
      <w:marRight w:val="0"/>
      <w:marTop w:val="0"/>
      <w:marBottom w:val="0"/>
      <w:divBdr>
        <w:top w:val="none" w:sz="0" w:space="0" w:color="auto"/>
        <w:left w:val="none" w:sz="0" w:space="0" w:color="auto"/>
        <w:bottom w:val="none" w:sz="0" w:space="0" w:color="auto"/>
        <w:right w:val="none" w:sz="0" w:space="0" w:color="auto"/>
      </w:divBdr>
    </w:div>
    <w:div w:id="1233082477">
      <w:bodyDiv w:val="1"/>
      <w:marLeft w:val="0"/>
      <w:marRight w:val="0"/>
      <w:marTop w:val="0"/>
      <w:marBottom w:val="0"/>
      <w:divBdr>
        <w:top w:val="none" w:sz="0" w:space="0" w:color="auto"/>
        <w:left w:val="none" w:sz="0" w:space="0" w:color="auto"/>
        <w:bottom w:val="none" w:sz="0" w:space="0" w:color="auto"/>
        <w:right w:val="none" w:sz="0" w:space="0" w:color="auto"/>
      </w:divBdr>
    </w:div>
    <w:div w:id="1233857942">
      <w:bodyDiv w:val="1"/>
      <w:marLeft w:val="0"/>
      <w:marRight w:val="0"/>
      <w:marTop w:val="0"/>
      <w:marBottom w:val="0"/>
      <w:divBdr>
        <w:top w:val="none" w:sz="0" w:space="0" w:color="auto"/>
        <w:left w:val="none" w:sz="0" w:space="0" w:color="auto"/>
        <w:bottom w:val="none" w:sz="0" w:space="0" w:color="auto"/>
        <w:right w:val="none" w:sz="0" w:space="0" w:color="auto"/>
      </w:divBdr>
    </w:div>
    <w:div w:id="1234437690">
      <w:bodyDiv w:val="1"/>
      <w:marLeft w:val="0"/>
      <w:marRight w:val="0"/>
      <w:marTop w:val="0"/>
      <w:marBottom w:val="0"/>
      <w:divBdr>
        <w:top w:val="none" w:sz="0" w:space="0" w:color="auto"/>
        <w:left w:val="none" w:sz="0" w:space="0" w:color="auto"/>
        <w:bottom w:val="none" w:sz="0" w:space="0" w:color="auto"/>
        <w:right w:val="none" w:sz="0" w:space="0" w:color="auto"/>
      </w:divBdr>
    </w:div>
    <w:div w:id="1234504833">
      <w:bodyDiv w:val="1"/>
      <w:marLeft w:val="0"/>
      <w:marRight w:val="0"/>
      <w:marTop w:val="0"/>
      <w:marBottom w:val="0"/>
      <w:divBdr>
        <w:top w:val="none" w:sz="0" w:space="0" w:color="auto"/>
        <w:left w:val="none" w:sz="0" w:space="0" w:color="auto"/>
        <w:bottom w:val="none" w:sz="0" w:space="0" w:color="auto"/>
        <w:right w:val="none" w:sz="0" w:space="0" w:color="auto"/>
      </w:divBdr>
    </w:div>
    <w:div w:id="1234585896">
      <w:bodyDiv w:val="1"/>
      <w:marLeft w:val="0"/>
      <w:marRight w:val="0"/>
      <w:marTop w:val="0"/>
      <w:marBottom w:val="0"/>
      <w:divBdr>
        <w:top w:val="none" w:sz="0" w:space="0" w:color="auto"/>
        <w:left w:val="none" w:sz="0" w:space="0" w:color="auto"/>
        <w:bottom w:val="none" w:sz="0" w:space="0" w:color="auto"/>
        <w:right w:val="none" w:sz="0" w:space="0" w:color="auto"/>
      </w:divBdr>
    </w:div>
    <w:div w:id="1234855531">
      <w:bodyDiv w:val="1"/>
      <w:marLeft w:val="0"/>
      <w:marRight w:val="0"/>
      <w:marTop w:val="0"/>
      <w:marBottom w:val="0"/>
      <w:divBdr>
        <w:top w:val="none" w:sz="0" w:space="0" w:color="auto"/>
        <w:left w:val="none" w:sz="0" w:space="0" w:color="auto"/>
        <w:bottom w:val="none" w:sz="0" w:space="0" w:color="auto"/>
        <w:right w:val="none" w:sz="0" w:space="0" w:color="auto"/>
      </w:divBdr>
    </w:div>
    <w:div w:id="1235621789">
      <w:bodyDiv w:val="1"/>
      <w:marLeft w:val="0"/>
      <w:marRight w:val="0"/>
      <w:marTop w:val="0"/>
      <w:marBottom w:val="0"/>
      <w:divBdr>
        <w:top w:val="none" w:sz="0" w:space="0" w:color="auto"/>
        <w:left w:val="none" w:sz="0" w:space="0" w:color="auto"/>
        <w:bottom w:val="none" w:sz="0" w:space="0" w:color="auto"/>
        <w:right w:val="none" w:sz="0" w:space="0" w:color="auto"/>
      </w:divBdr>
    </w:div>
    <w:div w:id="1235629758">
      <w:bodyDiv w:val="1"/>
      <w:marLeft w:val="0"/>
      <w:marRight w:val="0"/>
      <w:marTop w:val="0"/>
      <w:marBottom w:val="0"/>
      <w:divBdr>
        <w:top w:val="none" w:sz="0" w:space="0" w:color="auto"/>
        <w:left w:val="none" w:sz="0" w:space="0" w:color="auto"/>
        <w:bottom w:val="none" w:sz="0" w:space="0" w:color="auto"/>
        <w:right w:val="none" w:sz="0" w:space="0" w:color="auto"/>
      </w:divBdr>
    </w:div>
    <w:div w:id="1236165371">
      <w:bodyDiv w:val="1"/>
      <w:marLeft w:val="0"/>
      <w:marRight w:val="0"/>
      <w:marTop w:val="0"/>
      <w:marBottom w:val="0"/>
      <w:divBdr>
        <w:top w:val="none" w:sz="0" w:space="0" w:color="auto"/>
        <w:left w:val="none" w:sz="0" w:space="0" w:color="auto"/>
        <w:bottom w:val="none" w:sz="0" w:space="0" w:color="auto"/>
        <w:right w:val="none" w:sz="0" w:space="0" w:color="auto"/>
      </w:divBdr>
    </w:div>
    <w:div w:id="1236208177">
      <w:bodyDiv w:val="1"/>
      <w:marLeft w:val="0"/>
      <w:marRight w:val="0"/>
      <w:marTop w:val="0"/>
      <w:marBottom w:val="0"/>
      <w:divBdr>
        <w:top w:val="none" w:sz="0" w:space="0" w:color="auto"/>
        <w:left w:val="none" w:sz="0" w:space="0" w:color="auto"/>
        <w:bottom w:val="none" w:sz="0" w:space="0" w:color="auto"/>
        <w:right w:val="none" w:sz="0" w:space="0" w:color="auto"/>
      </w:divBdr>
    </w:div>
    <w:div w:id="1236280712">
      <w:bodyDiv w:val="1"/>
      <w:marLeft w:val="0"/>
      <w:marRight w:val="0"/>
      <w:marTop w:val="0"/>
      <w:marBottom w:val="0"/>
      <w:divBdr>
        <w:top w:val="none" w:sz="0" w:space="0" w:color="auto"/>
        <w:left w:val="none" w:sz="0" w:space="0" w:color="auto"/>
        <w:bottom w:val="none" w:sz="0" w:space="0" w:color="auto"/>
        <w:right w:val="none" w:sz="0" w:space="0" w:color="auto"/>
      </w:divBdr>
    </w:div>
    <w:div w:id="1236359371">
      <w:bodyDiv w:val="1"/>
      <w:marLeft w:val="0"/>
      <w:marRight w:val="0"/>
      <w:marTop w:val="0"/>
      <w:marBottom w:val="0"/>
      <w:divBdr>
        <w:top w:val="none" w:sz="0" w:space="0" w:color="auto"/>
        <w:left w:val="none" w:sz="0" w:space="0" w:color="auto"/>
        <w:bottom w:val="none" w:sz="0" w:space="0" w:color="auto"/>
        <w:right w:val="none" w:sz="0" w:space="0" w:color="auto"/>
      </w:divBdr>
    </w:div>
    <w:div w:id="1236741676">
      <w:bodyDiv w:val="1"/>
      <w:marLeft w:val="0"/>
      <w:marRight w:val="0"/>
      <w:marTop w:val="0"/>
      <w:marBottom w:val="0"/>
      <w:divBdr>
        <w:top w:val="none" w:sz="0" w:space="0" w:color="auto"/>
        <w:left w:val="none" w:sz="0" w:space="0" w:color="auto"/>
        <w:bottom w:val="none" w:sz="0" w:space="0" w:color="auto"/>
        <w:right w:val="none" w:sz="0" w:space="0" w:color="auto"/>
      </w:divBdr>
    </w:div>
    <w:div w:id="1237132753">
      <w:bodyDiv w:val="1"/>
      <w:marLeft w:val="0"/>
      <w:marRight w:val="0"/>
      <w:marTop w:val="0"/>
      <w:marBottom w:val="0"/>
      <w:divBdr>
        <w:top w:val="none" w:sz="0" w:space="0" w:color="auto"/>
        <w:left w:val="none" w:sz="0" w:space="0" w:color="auto"/>
        <w:bottom w:val="none" w:sz="0" w:space="0" w:color="auto"/>
        <w:right w:val="none" w:sz="0" w:space="0" w:color="auto"/>
      </w:divBdr>
    </w:div>
    <w:div w:id="1237396585">
      <w:bodyDiv w:val="1"/>
      <w:marLeft w:val="0"/>
      <w:marRight w:val="0"/>
      <w:marTop w:val="0"/>
      <w:marBottom w:val="0"/>
      <w:divBdr>
        <w:top w:val="none" w:sz="0" w:space="0" w:color="auto"/>
        <w:left w:val="none" w:sz="0" w:space="0" w:color="auto"/>
        <w:bottom w:val="none" w:sz="0" w:space="0" w:color="auto"/>
        <w:right w:val="none" w:sz="0" w:space="0" w:color="auto"/>
      </w:divBdr>
    </w:div>
    <w:div w:id="1237403011">
      <w:bodyDiv w:val="1"/>
      <w:marLeft w:val="0"/>
      <w:marRight w:val="0"/>
      <w:marTop w:val="0"/>
      <w:marBottom w:val="0"/>
      <w:divBdr>
        <w:top w:val="none" w:sz="0" w:space="0" w:color="auto"/>
        <w:left w:val="none" w:sz="0" w:space="0" w:color="auto"/>
        <w:bottom w:val="none" w:sz="0" w:space="0" w:color="auto"/>
        <w:right w:val="none" w:sz="0" w:space="0" w:color="auto"/>
      </w:divBdr>
    </w:div>
    <w:div w:id="1238251231">
      <w:bodyDiv w:val="1"/>
      <w:marLeft w:val="0"/>
      <w:marRight w:val="0"/>
      <w:marTop w:val="0"/>
      <w:marBottom w:val="0"/>
      <w:divBdr>
        <w:top w:val="none" w:sz="0" w:space="0" w:color="auto"/>
        <w:left w:val="none" w:sz="0" w:space="0" w:color="auto"/>
        <w:bottom w:val="none" w:sz="0" w:space="0" w:color="auto"/>
        <w:right w:val="none" w:sz="0" w:space="0" w:color="auto"/>
      </w:divBdr>
    </w:div>
    <w:div w:id="1238368890">
      <w:bodyDiv w:val="1"/>
      <w:marLeft w:val="0"/>
      <w:marRight w:val="0"/>
      <w:marTop w:val="0"/>
      <w:marBottom w:val="0"/>
      <w:divBdr>
        <w:top w:val="none" w:sz="0" w:space="0" w:color="auto"/>
        <w:left w:val="none" w:sz="0" w:space="0" w:color="auto"/>
        <w:bottom w:val="none" w:sz="0" w:space="0" w:color="auto"/>
        <w:right w:val="none" w:sz="0" w:space="0" w:color="auto"/>
      </w:divBdr>
    </w:div>
    <w:div w:id="1239822077">
      <w:bodyDiv w:val="1"/>
      <w:marLeft w:val="0"/>
      <w:marRight w:val="0"/>
      <w:marTop w:val="0"/>
      <w:marBottom w:val="0"/>
      <w:divBdr>
        <w:top w:val="none" w:sz="0" w:space="0" w:color="auto"/>
        <w:left w:val="none" w:sz="0" w:space="0" w:color="auto"/>
        <w:bottom w:val="none" w:sz="0" w:space="0" w:color="auto"/>
        <w:right w:val="none" w:sz="0" w:space="0" w:color="auto"/>
      </w:divBdr>
    </w:div>
    <w:div w:id="1239973799">
      <w:bodyDiv w:val="1"/>
      <w:marLeft w:val="0"/>
      <w:marRight w:val="0"/>
      <w:marTop w:val="0"/>
      <w:marBottom w:val="0"/>
      <w:divBdr>
        <w:top w:val="none" w:sz="0" w:space="0" w:color="auto"/>
        <w:left w:val="none" w:sz="0" w:space="0" w:color="auto"/>
        <w:bottom w:val="none" w:sz="0" w:space="0" w:color="auto"/>
        <w:right w:val="none" w:sz="0" w:space="0" w:color="auto"/>
      </w:divBdr>
    </w:div>
    <w:div w:id="1240016700">
      <w:bodyDiv w:val="1"/>
      <w:marLeft w:val="0"/>
      <w:marRight w:val="0"/>
      <w:marTop w:val="0"/>
      <w:marBottom w:val="0"/>
      <w:divBdr>
        <w:top w:val="none" w:sz="0" w:space="0" w:color="auto"/>
        <w:left w:val="none" w:sz="0" w:space="0" w:color="auto"/>
        <w:bottom w:val="none" w:sz="0" w:space="0" w:color="auto"/>
        <w:right w:val="none" w:sz="0" w:space="0" w:color="auto"/>
      </w:divBdr>
    </w:div>
    <w:div w:id="1240019961">
      <w:bodyDiv w:val="1"/>
      <w:marLeft w:val="0"/>
      <w:marRight w:val="0"/>
      <w:marTop w:val="0"/>
      <w:marBottom w:val="0"/>
      <w:divBdr>
        <w:top w:val="none" w:sz="0" w:space="0" w:color="auto"/>
        <w:left w:val="none" w:sz="0" w:space="0" w:color="auto"/>
        <w:bottom w:val="none" w:sz="0" w:space="0" w:color="auto"/>
        <w:right w:val="none" w:sz="0" w:space="0" w:color="auto"/>
      </w:divBdr>
    </w:div>
    <w:div w:id="1240218032">
      <w:bodyDiv w:val="1"/>
      <w:marLeft w:val="0"/>
      <w:marRight w:val="0"/>
      <w:marTop w:val="0"/>
      <w:marBottom w:val="0"/>
      <w:divBdr>
        <w:top w:val="none" w:sz="0" w:space="0" w:color="auto"/>
        <w:left w:val="none" w:sz="0" w:space="0" w:color="auto"/>
        <w:bottom w:val="none" w:sz="0" w:space="0" w:color="auto"/>
        <w:right w:val="none" w:sz="0" w:space="0" w:color="auto"/>
      </w:divBdr>
    </w:div>
    <w:div w:id="1240287820">
      <w:bodyDiv w:val="1"/>
      <w:marLeft w:val="0"/>
      <w:marRight w:val="0"/>
      <w:marTop w:val="0"/>
      <w:marBottom w:val="0"/>
      <w:divBdr>
        <w:top w:val="none" w:sz="0" w:space="0" w:color="auto"/>
        <w:left w:val="none" w:sz="0" w:space="0" w:color="auto"/>
        <w:bottom w:val="none" w:sz="0" w:space="0" w:color="auto"/>
        <w:right w:val="none" w:sz="0" w:space="0" w:color="auto"/>
      </w:divBdr>
    </w:div>
    <w:div w:id="1240676612">
      <w:bodyDiv w:val="1"/>
      <w:marLeft w:val="0"/>
      <w:marRight w:val="0"/>
      <w:marTop w:val="0"/>
      <w:marBottom w:val="0"/>
      <w:divBdr>
        <w:top w:val="none" w:sz="0" w:space="0" w:color="auto"/>
        <w:left w:val="none" w:sz="0" w:space="0" w:color="auto"/>
        <w:bottom w:val="none" w:sz="0" w:space="0" w:color="auto"/>
        <w:right w:val="none" w:sz="0" w:space="0" w:color="auto"/>
      </w:divBdr>
    </w:div>
    <w:div w:id="1240750773">
      <w:bodyDiv w:val="1"/>
      <w:marLeft w:val="0"/>
      <w:marRight w:val="0"/>
      <w:marTop w:val="0"/>
      <w:marBottom w:val="0"/>
      <w:divBdr>
        <w:top w:val="none" w:sz="0" w:space="0" w:color="auto"/>
        <w:left w:val="none" w:sz="0" w:space="0" w:color="auto"/>
        <w:bottom w:val="none" w:sz="0" w:space="0" w:color="auto"/>
        <w:right w:val="none" w:sz="0" w:space="0" w:color="auto"/>
      </w:divBdr>
    </w:div>
    <w:div w:id="1240796611">
      <w:bodyDiv w:val="1"/>
      <w:marLeft w:val="0"/>
      <w:marRight w:val="0"/>
      <w:marTop w:val="0"/>
      <w:marBottom w:val="0"/>
      <w:divBdr>
        <w:top w:val="none" w:sz="0" w:space="0" w:color="auto"/>
        <w:left w:val="none" w:sz="0" w:space="0" w:color="auto"/>
        <w:bottom w:val="none" w:sz="0" w:space="0" w:color="auto"/>
        <w:right w:val="none" w:sz="0" w:space="0" w:color="auto"/>
      </w:divBdr>
    </w:div>
    <w:div w:id="1241254754">
      <w:bodyDiv w:val="1"/>
      <w:marLeft w:val="0"/>
      <w:marRight w:val="0"/>
      <w:marTop w:val="0"/>
      <w:marBottom w:val="0"/>
      <w:divBdr>
        <w:top w:val="none" w:sz="0" w:space="0" w:color="auto"/>
        <w:left w:val="none" w:sz="0" w:space="0" w:color="auto"/>
        <w:bottom w:val="none" w:sz="0" w:space="0" w:color="auto"/>
        <w:right w:val="none" w:sz="0" w:space="0" w:color="auto"/>
      </w:divBdr>
    </w:div>
    <w:div w:id="1241519496">
      <w:bodyDiv w:val="1"/>
      <w:marLeft w:val="0"/>
      <w:marRight w:val="0"/>
      <w:marTop w:val="0"/>
      <w:marBottom w:val="0"/>
      <w:divBdr>
        <w:top w:val="none" w:sz="0" w:space="0" w:color="auto"/>
        <w:left w:val="none" w:sz="0" w:space="0" w:color="auto"/>
        <w:bottom w:val="none" w:sz="0" w:space="0" w:color="auto"/>
        <w:right w:val="none" w:sz="0" w:space="0" w:color="auto"/>
      </w:divBdr>
    </w:div>
    <w:div w:id="1242131854">
      <w:bodyDiv w:val="1"/>
      <w:marLeft w:val="0"/>
      <w:marRight w:val="0"/>
      <w:marTop w:val="0"/>
      <w:marBottom w:val="0"/>
      <w:divBdr>
        <w:top w:val="none" w:sz="0" w:space="0" w:color="auto"/>
        <w:left w:val="none" w:sz="0" w:space="0" w:color="auto"/>
        <w:bottom w:val="none" w:sz="0" w:space="0" w:color="auto"/>
        <w:right w:val="none" w:sz="0" w:space="0" w:color="auto"/>
      </w:divBdr>
    </w:div>
    <w:div w:id="1242179732">
      <w:bodyDiv w:val="1"/>
      <w:marLeft w:val="0"/>
      <w:marRight w:val="0"/>
      <w:marTop w:val="0"/>
      <w:marBottom w:val="0"/>
      <w:divBdr>
        <w:top w:val="none" w:sz="0" w:space="0" w:color="auto"/>
        <w:left w:val="none" w:sz="0" w:space="0" w:color="auto"/>
        <w:bottom w:val="none" w:sz="0" w:space="0" w:color="auto"/>
        <w:right w:val="none" w:sz="0" w:space="0" w:color="auto"/>
      </w:divBdr>
    </w:div>
    <w:div w:id="1242332669">
      <w:bodyDiv w:val="1"/>
      <w:marLeft w:val="0"/>
      <w:marRight w:val="0"/>
      <w:marTop w:val="0"/>
      <w:marBottom w:val="0"/>
      <w:divBdr>
        <w:top w:val="none" w:sz="0" w:space="0" w:color="auto"/>
        <w:left w:val="none" w:sz="0" w:space="0" w:color="auto"/>
        <w:bottom w:val="none" w:sz="0" w:space="0" w:color="auto"/>
        <w:right w:val="none" w:sz="0" w:space="0" w:color="auto"/>
      </w:divBdr>
    </w:div>
    <w:div w:id="1242568657">
      <w:bodyDiv w:val="1"/>
      <w:marLeft w:val="0"/>
      <w:marRight w:val="0"/>
      <w:marTop w:val="0"/>
      <w:marBottom w:val="0"/>
      <w:divBdr>
        <w:top w:val="none" w:sz="0" w:space="0" w:color="auto"/>
        <w:left w:val="none" w:sz="0" w:space="0" w:color="auto"/>
        <w:bottom w:val="none" w:sz="0" w:space="0" w:color="auto"/>
        <w:right w:val="none" w:sz="0" w:space="0" w:color="auto"/>
      </w:divBdr>
    </w:div>
    <w:div w:id="1242760126">
      <w:bodyDiv w:val="1"/>
      <w:marLeft w:val="0"/>
      <w:marRight w:val="0"/>
      <w:marTop w:val="0"/>
      <w:marBottom w:val="0"/>
      <w:divBdr>
        <w:top w:val="none" w:sz="0" w:space="0" w:color="auto"/>
        <w:left w:val="none" w:sz="0" w:space="0" w:color="auto"/>
        <w:bottom w:val="none" w:sz="0" w:space="0" w:color="auto"/>
        <w:right w:val="none" w:sz="0" w:space="0" w:color="auto"/>
      </w:divBdr>
    </w:div>
    <w:div w:id="1242832028">
      <w:bodyDiv w:val="1"/>
      <w:marLeft w:val="0"/>
      <w:marRight w:val="0"/>
      <w:marTop w:val="0"/>
      <w:marBottom w:val="0"/>
      <w:divBdr>
        <w:top w:val="none" w:sz="0" w:space="0" w:color="auto"/>
        <w:left w:val="none" w:sz="0" w:space="0" w:color="auto"/>
        <w:bottom w:val="none" w:sz="0" w:space="0" w:color="auto"/>
        <w:right w:val="none" w:sz="0" w:space="0" w:color="auto"/>
      </w:divBdr>
    </w:div>
    <w:div w:id="1243098192">
      <w:bodyDiv w:val="1"/>
      <w:marLeft w:val="0"/>
      <w:marRight w:val="0"/>
      <w:marTop w:val="0"/>
      <w:marBottom w:val="0"/>
      <w:divBdr>
        <w:top w:val="none" w:sz="0" w:space="0" w:color="auto"/>
        <w:left w:val="none" w:sz="0" w:space="0" w:color="auto"/>
        <w:bottom w:val="none" w:sz="0" w:space="0" w:color="auto"/>
        <w:right w:val="none" w:sz="0" w:space="0" w:color="auto"/>
      </w:divBdr>
    </w:div>
    <w:div w:id="1243445835">
      <w:bodyDiv w:val="1"/>
      <w:marLeft w:val="0"/>
      <w:marRight w:val="0"/>
      <w:marTop w:val="0"/>
      <w:marBottom w:val="0"/>
      <w:divBdr>
        <w:top w:val="none" w:sz="0" w:space="0" w:color="auto"/>
        <w:left w:val="none" w:sz="0" w:space="0" w:color="auto"/>
        <w:bottom w:val="none" w:sz="0" w:space="0" w:color="auto"/>
        <w:right w:val="none" w:sz="0" w:space="0" w:color="auto"/>
      </w:divBdr>
    </w:div>
    <w:div w:id="1243561196">
      <w:bodyDiv w:val="1"/>
      <w:marLeft w:val="0"/>
      <w:marRight w:val="0"/>
      <w:marTop w:val="0"/>
      <w:marBottom w:val="0"/>
      <w:divBdr>
        <w:top w:val="none" w:sz="0" w:space="0" w:color="auto"/>
        <w:left w:val="none" w:sz="0" w:space="0" w:color="auto"/>
        <w:bottom w:val="none" w:sz="0" w:space="0" w:color="auto"/>
        <w:right w:val="none" w:sz="0" w:space="0" w:color="auto"/>
      </w:divBdr>
    </w:div>
    <w:div w:id="1243639766">
      <w:bodyDiv w:val="1"/>
      <w:marLeft w:val="0"/>
      <w:marRight w:val="0"/>
      <w:marTop w:val="0"/>
      <w:marBottom w:val="0"/>
      <w:divBdr>
        <w:top w:val="none" w:sz="0" w:space="0" w:color="auto"/>
        <w:left w:val="none" w:sz="0" w:space="0" w:color="auto"/>
        <w:bottom w:val="none" w:sz="0" w:space="0" w:color="auto"/>
        <w:right w:val="none" w:sz="0" w:space="0" w:color="auto"/>
      </w:divBdr>
    </w:div>
    <w:div w:id="1243685915">
      <w:bodyDiv w:val="1"/>
      <w:marLeft w:val="0"/>
      <w:marRight w:val="0"/>
      <w:marTop w:val="0"/>
      <w:marBottom w:val="0"/>
      <w:divBdr>
        <w:top w:val="none" w:sz="0" w:space="0" w:color="auto"/>
        <w:left w:val="none" w:sz="0" w:space="0" w:color="auto"/>
        <w:bottom w:val="none" w:sz="0" w:space="0" w:color="auto"/>
        <w:right w:val="none" w:sz="0" w:space="0" w:color="auto"/>
      </w:divBdr>
    </w:div>
    <w:div w:id="1243835609">
      <w:bodyDiv w:val="1"/>
      <w:marLeft w:val="0"/>
      <w:marRight w:val="0"/>
      <w:marTop w:val="0"/>
      <w:marBottom w:val="0"/>
      <w:divBdr>
        <w:top w:val="none" w:sz="0" w:space="0" w:color="auto"/>
        <w:left w:val="none" w:sz="0" w:space="0" w:color="auto"/>
        <w:bottom w:val="none" w:sz="0" w:space="0" w:color="auto"/>
        <w:right w:val="none" w:sz="0" w:space="0" w:color="auto"/>
      </w:divBdr>
    </w:div>
    <w:div w:id="1243949478">
      <w:bodyDiv w:val="1"/>
      <w:marLeft w:val="0"/>
      <w:marRight w:val="0"/>
      <w:marTop w:val="0"/>
      <w:marBottom w:val="0"/>
      <w:divBdr>
        <w:top w:val="none" w:sz="0" w:space="0" w:color="auto"/>
        <w:left w:val="none" w:sz="0" w:space="0" w:color="auto"/>
        <w:bottom w:val="none" w:sz="0" w:space="0" w:color="auto"/>
        <w:right w:val="none" w:sz="0" w:space="0" w:color="auto"/>
      </w:divBdr>
    </w:div>
    <w:div w:id="1244267344">
      <w:bodyDiv w:val="1"/>
      <w:marLeft w:val="0"/>
      <w:marRight w:val="0"/>
      <w:marTop w:val="0"/>
      <w:marBottom w:val="0"/>
      <w:divBdr>
        <w:top w:val="none" w:sz="0" w:space="0" w:color="auto"/>
        <w:left w:val="none" w:sz="0" w:space="0" w:color="auto"/>
        <w:bottom w:val="none" w:sz="0" w:space="0" w:color="auto"/>
        <w:right w:val="none" w:sz="0" w:space="0" w:color="auto"/>
      </w:divBdr>
    </w:div>
    <w:div w:id="1244685817">
      <w:bodyDiv w:val="1"/>
      <w:marLeft w:val="0"/>
      <w:marRight w:val="0"/>
      <w:marTop w:val="0"/>
      <w:marBottom w:val="0"/>
      <w:divBdr>
        <w:top w:val="none" w:sz="0" w:space="0" w:color="auto"/>
        <w:left w:val="none" w:sz="0" w:space="0" w:color="auto"/>
        <w:bottom w:val="none" w:sz="0" w:space="0" w:color="auto"/>
        <w:right w:val="none" w:sz="0" w:space="0" w:color="auto"/>
      </w:divBdr>
    </w:div>
    <w:div w:id="1244801520">
      <w:bodyDiv w:val="1"/>
      <w:marLeft w:val="0"/>
      <w:marRight w:val="0"/>
      <w:marTop w:val="0"/>
      <w:marBottom w:val="0"/>
      <w:divBdr>
        <w:top w:val="none" w:sz="0" w:space="0" w:color="auto"/>
        <w:left w:val="none" w:sz="0" w:space="0" w:color="auto"/>
        <w:bottom w:val="none" w:sz="0" w:space="0" w:color="auto"/>
        <w:right w:val="none" w:sz="0" w:space="0" w:color="auto"/>
      </w:divBdr>
    </w:div>
    <w:div w:id="1244997823">
      <w:bodyDiv w:val="1"/>
      <w:marLeft w:val="0"/>
      <w:marRight w:val="0"/>
      <w:marTop w:val="0"/>
      <w:marBottom w:val="0"/>
      <w:divBdr>
        <w:top w:val="none" w:sz="0" w:space="0" w:color="auto"/>
        <w:left w:val="none" w:sz="0" w:space="0" w:color="auto"/>
        <w:bottom w:val="none" w:sz="0" w:space="0" w:color="auto"/>
        <w:right w:val="none" w:sz="0" w:space="0" w:color="auto"/>
      </w:divBdr>
    </w:div>
    <w:div w:id="1245064508">
      <w:bodyDiv w:val="1"/>
      <w:marLeft w:val="0"/>
      <w:marRight w:val="0"/>
      <w:marTop w:val="0"/>
      <w:marBottom w:val="0"/>
      <w:divBdr>
        <w:top w:val="none" w:sz="0" w:space="0" w:color="auto"/>
        <w:left w:val="none" w:sz="0" w:space="0" w:color="auto"/>
        <w:bottom w:val="none" w:sz="0" w:space="0" w:color="auto"/>
        <w:right w:val="none" w:sz="0" w:space="0" w:color="auto"/>
      </w:divBdr>
    </w:div>
    <w:div w:id="1246106664">
      <w:bodyDiv w:val="1"/>
      <w:marLeft w:val="0"/>
      <w:marRight w:val="0"/>
      <w:marTop w:val="0"/>
      <w:marBottom w:val="0"/>
      <w:divBdr>
        <w:top w:val="none" w:sz="0" w:space="0" w:color="auto"/>
        <w:left w:val="none" w:sz="0" w:space="0" w:color="auto"/>
        <w:bottom w:val="none" w:sz="0" w:space="0" w:color="auto"/>
        <w:right w:val="none" w:sz="0" w:space="0" w:color="auto"/>
      </w:divBdr>
    </w:div>
    <w:div w:id="1246185704">
      <w:bodyDiv w:val="1"/>
      <w:marLeft w:val="0"/>
      <w:marRight w:val="0"/>
      <w:marTop w:val="0"/>
      <w:marBottom w:val="0"/>
      <w:divBdr>
        <w:top w:val="none" w:sz="0" w:space="0" w:color="auto"/>
        <w:left w:val="none" w:sz="0" w:space="0" w:color="auto"/>
        <w:bottom w:val="none" w:sz="0" w:space="0" w:color="auto"/>
        <w:right w:val="none" w:sz="0" w:space="0" w:color="auto"/>
      </w:divBdr>
    </w:div>
    <w:div w:id="1246383333">
      <w:bodyDiv w:val="1"/>
      <w:marLeft w:val="0"/>
      <w:marRight w:val="0"/>
      <w:marTop w:val="0"/>
      <w:marBottom w:val="0"/>
      <w:divBdr>
        <w:top w:val="none" w:sz="0" w:space="0" w:color="auto"/>
        <w:left w:val="none" w:sz="0" w:space="0" w:color="auto"/>
        <w:bottom w:val="none" w:sz="0" w:space="0" w:color="auto"/>
        <w:right w:val="none" w:sz="0" w:space="0" w:color="auto"/>
      </w:divBdr>
    </w:div>
    <w:div w:id="1246453355">
      <w:bodyDiv w:val="1"/>
      <w:marLeft w:val="0"/>
      <w:marRight w:val="0"/>
      <w:marTop w:val="0"/>
      <w:marBottom w:val="0"/>
      <w:divBdr>
        <w:top w:val="none" w:sz="0" w:space="0" w:color="auto"/>
        <w:left w:val="none" w:sz="0" w:space="0" w:color="auto"/>
        <w:bottom w:val="none" w:sz="0" w:space="0" w:color="auto"/>
        <w:right w:val="none" w:sz="0" w:space="0" w:color="auto"/>
      </w:divBdr>
    </w:div>
    <w:div w:id="1247151296">
      <w:bodyDiv w:val="1"/>
      <w:marLeft w:val="0"/>
      <w:marRight w:val="0"/>
      <w:marTop w:val="0"/>
      <w:marBottom w:val="0"/>
      <w:divBdr>
        <w:top w:val="none" w:sz="0" w:space="0" w:color="auto"/>
        <w:left w:val="none" w:sz="0" w:space="0" w:color="auto"/>
        <w:bottom w:val="none" w:sz="0" w:space="0" w:color="auto"/>
        <w:right w:val="none" w:sz="0" w:space="0" w:color="auto"/>
      </w:divBdr>
    </w:div>
    <w:div w:id="1247152559">
      <w:bodyDiv w:val="1"/>
      <w:marLeft w:val="0"/>
      <w:marRight w:val="0"/>
      <w:marTop w:val="0"/>
      <w:marBottom w:val="0"/>
      <w:divBdr>
        <w:top w:val="none" w:sz="0" w:space="0" w:color="auto"/>
        <w:left w:val="none" w:sz="0" w:space="0" w:color="auto"/>
        <w:bottom w:val="none" w:sz="0" w:space="0" w:color="auto"/>
        <w:right w:val="none" w:sz="0" w:space="0" w:color="auto"/>
      </w:divBdr>
    </w:div>
    <w:div w:id="1247232326">
      <w:bodyDiv w:val="1"/>
      <w:marLeft w:val="0"/>
      <w:marRight w:val="0"/>
      <w:marTop w:val="0"/>
      <w:marBottom w:val="0"/>
      <w:divBdr>
        <w:top w:val="none" w:sz="0" w:space="0" w:color="auto"/>
        <w:left w:val="none" w:sz="0" w:space="0" w:color="auto"/>
        <w:bottom w:val="none" w:sz="0" w:space="0" w:color="auto"/>
        <w:right w:val="none" w:sz="0" w:space="0" w:color="auto"/>
      </w:divBdr>
    </w:div>
    <w:div w:id="1247763099">
      <w:bodyDiv w:val="1"/>
      <w:marLeft w:val="0"/>
      <w:marRight w:val="0"/>
      <w:marTop w:val="0"/>
      <w:marBottom w:val="0"/>
      <w:divBdr>
        <w:top w:val="none" w:sz="0" w:space="0" w:color="auto"/>
        <w:left w:val="none" w:sz="0" w:space="0" w:color="auto"/>
        <w:bottom w:val="none" w:sz="0" w:space="0" w:color="auto"/>
        <w:right w:val="none" w:sz="0" w:space="0" w:color="auto"/>
      </w:divBdr>
    </w:div>
    <w:div w:id="1247881847">
      <w:bodyDiv w:val="1"/>
      <w:marLeft w:val="0"/>
      <w:marRight w:val="0"/>
      <w:marTop w:val="0"/>
      <w:marBottom w:val="0"/>
      <w:divBdr>
        <w:top w:val="none" w:sz="0" w:space="0" w:color="auto"/>
        <w:left w:val="none" w:sz="0" w:space="0" w:color="auto"/>
        <w:bottom w:val="none" w:sz="0" w:space="0" w:color="auto"/>
        <w:right w:val="none" w:sz="0" w:space="0" w:color="auto"/>
      </w:divBdr>
    </w:div>
    <w:div w:id="1248034450">
      <w:bodyDiv w:val="1"/>
      <w:marLeft w:val="0"/>
      <w:marRight w:val="0"/>
      <w:marTop w:val="0"/>
      <w:marBottom w:val="0"/>
      <w:divBdr>
        <w:top w:val="none" w:sz="0" w:space="0" w:color="auto"/>
        <w:left w:val="none" w:sz="0" w:space="0" w:color="auto"/>
        <w:bottom w:val="none" w:sz="0" w:space="0" w:color="auto"/>
        <w:right w:val="none" w:sz="0" w:space="0" w:color="auto"/>
      </w:divBdr>
    </w:div>
    <w:div w:id="1248343325">
      <w:bodyDiv w:val="1"/>
      <w:marLeft w:val="0"/>
      <w:marRight w:val="0"/>
      <w:marTop w:val="0"/>
      <w:marBottom w:val="0"/>
      <w:divBdr>
        <w:top w:val="none" w:sz="0" w:space="0" w:color="auto"/>
        <w:left w:val="none" w:sz="0" w:space="0" w:color="auto"/>
        <w:bottom w:val="none" w:sz="0" w:space="0" w:color="auto"/>
        <w:right w:val="none" w:sz="0" w:space="0" w:color="auto"/>
      </w:divBdr>
    </w:div>
    <w:div w:id="1249076514">
      <w:bodyDiv w:val="1"/>
      <w:marLeft w:val="0"/>
      <w:marRight w:val="0"/>
      <w:marTop w:val="0"/>
      <w:marBottom w:val="0"/>
      <w:divBdr>
        <w:top w:val="none" w:sz="0" w:space="0" w:color="auto"/>
        <w:left w:val="none" w:sz="0" w:space="0" w:color="auto"/>
        <w:bottom w:val="none" w:sz="0" w:space="0" w:color="auto"/>
        <w:right w:val="none" w:sz="0" w:space="0" w:color="auto"/>
      </w:divBdr>
    </w:div>
    <w:div w:id="1249195773">
      <w:bodyDiv w:val="1"/>
      <w:marLeft w:val="0"/>
      <w:marRight w:val="0"/>
      <w:marTop w:val="0"/>
      <w:marBottom w:val="0"/>
      <w:divBdr>
        <w:top w:val="none" w:sz="0" w:space="0" w:color="auto"/>
        <w:left w:val="none" w:sz="0" w:space="0" w:color="auto"/>
        <w:bottom w:val="none" w:sz="0" w:space="0" w:color="auto"/>
        <w:right w:val="none" w:sz="0" w:space="0" w:color="auto"/>
      </w:divBdr>
    </w:div>
    <w:div w:id="1249268092">
      <w:bodyDiv w:val="1"/>
      <w:marLeft w:val="0"/>
      <w:marRight w:val="0"/>
      <w:marTop w:val="0"/>
      <w:marBottom w:val="0"/>
      <w:divBdr>
        <w:top w:val="none" w:sz="0" w:space="0" w:color="auto"/>
        <w:left w:val="none" w:sz="0" w:space="0" w:color="auto"/>
        <w:bottom w:val="none" w:sz="0" w:space="0" w:color="auto"/>
        <w:right w:val="none" w:sz="0" w:space="0" w:color="auto"/>
      </w:divBdr>
    </w:div>
    <w:div w:id="1249342387">
      <w:bodyDiv w:val="1"/>
      <w:marLeft w:val="0"/>
      <w:marRight w:val="0"/>
      <w:marTop w:val="0"/>
      <w:marBottom w:val="0"/>
      <w:divBdr>
        <w:top w:val="none" w:sz="0" w:space="0" w:color="auto"/>
        <w:left w:val="none" w:sz="0" w:space="0" w:color="auto"/>
        <w:bottom w:val="none" w:sz="0" w:space="0" w:color="auto"/>
        <w:right w:val="none" w:sz="0" w:space="0" w:color="auto"/>
      </w:divBdr>
    </w:div>
    <w:div w:id="1249462754">
      <w:bodyDiv w:val="1"/>
      <w:marLeft w:val="0"/>
      <w:marRight w:val="0"/>
      <w:marTop w:val="0"/>
      <w:marBottom w:val="0"/>
      <w:divBdr>
        <w:top w:val="none" w:sz="0" w:space="0" w:color="auto"/>
        <w:left w:val="none" w:sz="0" w:space="0" w:color="auto"/>
        <w:bottom w:val="none" w:sz="0" w:space="0" w:color="auto"/>
        <w:right w:val="none" w:sz="0" w:space="0" w:color="auto"/>
      </w:divBdr>
    </w:div>
    <w:div w:id="1249772136">
      <w:bodyDiv w:val="1"/>
      <w:marLeft w:val="0"/>
      <w:marRight w:val="0"/>
      <w:marTop w:val="0"/>
      <w:marBottom w:val="0"/>
      <w:divBdr>
        <w:top w:val="none" w:sz="0" w:space="0" w:color="auto"/>
        <w:left w:val="none" w:sz="0" w:space="0" w:color="auto"/>
        <w:bottom w:val="none" w:sz="0" w:space="0" w:color="auto"/>
        <w:right w:val="none" w:sz="0" w:space="0" w:color="auto"/>
      </w:divBdr>
    </w:div>
    <w:div w:id="1250118155">
      <w:bodyDiv w:val="1"/>
      <w:marLeft w:val="0"/>
      <w:marRight w:val="0"/>
      <w:marTop w:val="0"/>
      <w:marBottom w:val="0"/>
      <w:divBdr>
        <w:top w:val="none" w:sz="0" w:space="0" w:color="auto"/>
        <w:left w:val="none" w:sz="0" w:space="0" w:color="auto"/>
        <w:bottom w:val="none" w:sz="0" w:space="0" w:color="auto"/>
        <w:right w:val="none" w:sz="0" w:space="0" w:color="auto"/>
      </w:divBdr>
    </w:div>
    <w:div w:id="1250238439">
      <w:bodyDiv w:val="1"/>
      <w:marLeft w:val="0"/>
      <w:marRight w:val="0"/>
      <w:marTop w:val="0"/>
      <w:marBottom w:val="0"/>
      <w:divBdr>
        <w:top w:val="none" w:sz="0" w:space="0" w:color="auto"/>
        <w:left w:val="none" w:sz="0" w:space="0" w:color="auto"/>
        <w:bottom w:val="none" w:sz="0" w:space="0" w:color="auto"/>
        <w:right w:val="none" w:sz="0" w:space="0" w:color="auto"/>
      </w:divBdr>
    </w:div>
    <w:div w:id="1250428058">
      <w:bodyDiv w:val="1"/>
      <w:marLeft w:val="0"/>
      <w:marRight w:val="0"/>
      <w:marTop w:val="0"/>
      <w:marBottom w:val="0"/>
      <w:divBdr>
        <w:top w:val="none" w:sz="0" w:space="0" w:color="auto"/>
        <w:left w:val="none" w:sz="0" w:space="0" w:color="auto"/>
        <w:bottom w:val="none" w:sz="0" w:space="0" w:color="auto"/>
        <w:right w:val="none" w:sz="0" w:space="0" w:color="auto"/>
      </w:divBdr>
    </w:div>
    <w:div w:id="1250428681">
      <w:bodyDiv w:val="1"/>
      <w:marLeft w:val="0"/>
      <w:marRight w:val="0"/>
      <w:marTop w:val="0"/>
      <w:marBottom w:val="0"/>
      <w:divBdr>
        <w:top w:val="none" w:sz="0" w:space="0" w:color="auto"/>
        <w:left w:val="none" w:sz="0" w:space="0" w:color="auto"/>
        <w:bottom w:val="none" w:sz="0" w:space="0" w:color="auto"/>
        <w:right w:val="none" w:sz="0" w:space="0" w:color="auto"/>
      </w:divBdr>
    </w:div>
    <w:div w:id="1250583207">
      <w:bodyDiv w:val="1"/>
      <w:marLeft w:val="0"/>
      <w:marRight w:val="0"/>
      <w:marTop w:val="0"/>
      <w:marBottom w:val="0"/>
      <w:divBdr>
        <w:top w:val="none" w:sz="0" w:space="0" w:color="auto"/>
        <w:left w:val="none" w:sz="0" w:space="0" w:color="auto"/>
        <w:bottom w:val="none" w:sz="0" w:space="0" w:color="auto"/>
        <w:right w:val="none" w:sz="0" w:space="0" w:color="auto"/>
      </w:divBdr>
    </w:div>
    <w:div w:id="1250966231">
      <w:bodyDiv w:val="1"/>
      <w:marLeft w:val="0"/>
      <w:marRight w:val="0"/>
      <w:marTop w:val="0"/>
      <w:marBottom w:val="0"/>
      <w:divBdr>
        <w:top w:val="none" w:sz="0" w:space="0" w:color="auto"/>
        <w:left w:val="none" w:sz="0" w:space="0" w:color="auto"/>
        <w:bottom w:val="none" w:sz="0" w:space="0" w:color="auto"/>
        <w:right w:val="none" w:sz="0" w:space="0" w:color="auto"/>
      </w:divBdr>
    </w:div>
    <w:div w:id="1251088107">
      <w:bodyDiv w:val="1"/>
      <w:marLeft w:val="0"/>
      <w:marRight w:val="0"/>
      <w:marTop w:val="0"/>
      <w:marBottom w:val="0"/>
      <w:divBdr>
        <w:top w:val="none" w:sz="0" w:space="0" w:color="auto"/>
        <w:left w:val="none" w:sz="0" w:space="0" w:color="auto"/>
        <w:bottom w:val="none" w:sz="0" w:space="0" w:color="auto"/>
        <w:right w:val="none" w:sz="0" w:space="0" w:color="auto"/>
      </w:divBdr>
    </w:div>
    <w:div w:id="1251541574">
      <w:bodyDiv w:val="1"/>
      <w:marLeft w:val="0"/>
      <w:marRight w:val="0"/>
      <w:marTop w:val="0"/>
      <w:marBottom w:val="0"/>
      <w:divBdr>
        <w:top w:val="none" w:sz="0" w:space="0" w:color="auto"/>
        <w:left w:val="none" w:sz="0" w:space="0" w:color="auto"/>
        <w:bottom w:val="none" w:sz="0" w:space="0" w:color="auto"/>
        <w:right w:val="none" w:sz="0" w:space="0" w:color="auto"/>
      </w:divBdr>
    </w:div>
    <w:div w:id="1251812768">
      <w:bodyDiv w:val="1"/>
      <w:marLeft w:val="0"/>
      <w:marRight w:val="0"/>
      <w:marTop w:val="0"/>
      <w:marBottom w:val="0"/>
      <w:divBdr>
        <w:top w:val="none" w:sz="0" w:space="0" w:color="auto"/>
        <w:left w:val="none" w:sz="0" w:space="0" w:color="auto"/>
        <w:bottom w:val="none" w:sz="0" w:space="0" w:color="auto"/>
        <w:right w:val="none" w:sz="0" w:space="0" w:color="auto"/>
      </w:divBdr>
    </w:div>
    <w:div w:id="1251816142">
      <w:bodyDiv w:val="1"/>
      <w:marLeft w:val="0"/>
      <w:marRight w:val="0"/>
      <w:marTop w:val="0"/>
      <w:marBottom w:val="0"/>
      <w:divBdr>
        <w:top w:val="none" w:sz="0" w:space="0" w:color="auto"/>
        <w:left w:val="none" w:sz="0" w:space="0" w:color="auto"/>
        <w:bottom w:val="none" w:sz="0" w:space="0" w:color="auto"/>
        <w:right w:val="none" w:sz="0" w:space="0" w:color="auto"/>
      </w:divBdr>
    </w:div>
    <w:div w:id="1251817814">
      <w:bodyDiv w:val="1"/>
      <w:marLeft w:val="0"/>
      <w:marRight w:val="0"/>
      <w:marTop w:val="0"/>
      <w:marBottom w:val="0"/>
      <w:divBdr>
        <w:top w:val="none" w:sz="0" w:space="0" w:color="auto"/>
        <w:left w:val="none" w:sz="0" w:space="0" w:color="auto"/>
        <w:bottom w:val="none" w:sz="0" w:space="0" w:color="auto"/>
        <w:right w:val="none" w:sz="0" w:space="0" w:color="auto"/>
      </w:divBdr>
    </w:div>
    <w:div w:id="1252010618">
      <w:bodyDiv w:val="1"/>
      <w:marLeft w:val="0"/>
      <w:marRight w:val="0"/>
      <w:marTop w:val="0"/>
      <w:marBottom w:val="0"/>
      <w:divBdr>
        <w:top w:val="none" w:sz="0" w:space="0" w:color="auto"/>
        <w:left w:val="none" w:sz="0" w:space="0" w:color="auto"/>
        <w:bottom w:val="none" w:sz="0" w:space="0" w:color="auto"/>
        <w:right w:val="none" w:sz="0" w:space="0" w:color="auto"/>
      </w:divBdr>
    </w:div>
    <w:div w:id="1252272715">
      <w:bodyDiv w:val="1"/>
      <w:marLeft w:val="0"/>
      <w:marRight w:val="0"/>
      <w:marTop w:val="0"/>
      <w:marBottom w:val="0"/>
      <w:divBdr>
        <w:top w:val="none" w:sz="0" w:space="0" w:color="auto"/>
        <w:left w:val="none" w:sz="0" w:space="0" w:color="auto"/>
        <w:bottom w:val="none" w:sz="0" w:space="0" w:color="auto"/>
        <w:right w:val="none" w:sz="0" w:space="0" w:color="auto"/>
      </w:divBdr>
    </w:div>
    <w:div w:id="1252355798">
      <w:bodyDiv w:val="1"/>
      <w:marLeft w:val="0"/>
      <w:marRight w:val="0"/>
      <w:marTop w:val="0"/>
      <w:marBottom w:val="0"/>
      <w:divBdr>
        <w:top w:val="none" w:sz="0" w:space="0" w:color="auto"/>
        <w:left w:val="none" w:sz="0" w:space="0" w:color="auto"/>
        <w:bottom w:val="none" w:sz="0" w:space="0" w:color="auto"/>
        <w:right w:val="none" w:sz="0" w:space="0" w:color="auto"/>
      </w:divBdr>
    </w:div>
    <w:div w:id="1252737016">
      <w:bodyDiv w:val="1"/>
      <w:marLeft w:val="0"/>
      <w:marRight w:val="0"/>
      <w:marTop w:val="0"/>
      <w:marBottom w:val="0"/>
      <w:divBdr>
        <w:top w:val="none" w:sz="0" w:space="0" w:color="auto"/>
        <w:left w:val="none" w:sz="0" w:space="0" w:color="auto"/>
        <w:bottom w:val="none" w:sz="0" w:space="0" w:color="auto"/>
        <w:right w:val="none" w:sz="0" w:space="0" w:color="auto"/>
      </w:divBdr>
    </w:div>
    <w:div w:id="1253277216">
      <w:bodyDiv w:val="1"/>
      <w:marLeft w:val="0"/>
      <w:marRight w:val="0"/>
      <w:marTop w:val="0"/>
      <w:marBottom w:val="0"/>
      <w:divBdr>
        <w:top w:val="none" w:sz="0" w:space="0" w:color="auto"/>
        <w:left w:val="none" w:sz="0" w:space="0" w:color="auto"/>
        <w:bottom w:val="none" w:sz="0" w:space="0" w:color="auto"/>
        <w:right w:val="none" w:sz="0" w:space="0" w:color="auto"/>
      </w:divBdr>
    </w:div>
    <w:div w:id="1253783985">
      <w:bodyDiv w:val="1"/>
      <w:marLeft w:val="0"/>
      <w:marRight w:val="0"/>
      <w:marTop w:val="0"/>
      <w:marBottom w:val="0"/>
      <w:divBdr>
        <w:top w:val="none" w:sz="0" w:space="0" w:color="auto"/>
        <w:left w:val="none" w:sz="0" w:space="0" w:color="auto"/>
        <w:bottom w:val="none" w:sz="0" w:space="0" w:color="auto"/>
        <w:right w:val="none" w:sz="0" w:space="0" w:color="auto"/>
      </w:divBdr>
    </w:div>
    <w:div w:id="1253902061">
      <w:bodyDiv w:val="1"/>
      <w:marLeft w:val="0"/>
      <w:marRight w:val="0"/>
      <w:marTop w:val="0"/>
      <w:marBottom w:val="0"/>
      <w:divBdr>
        <w:top w:val="none" w:sz="0" w:space="0" w:color="auto"/>
        <w:left w:val="none" w:sz="0" w:space="0" w:color="auto"/>
        <w:bottom w:val="none" w:sz="0" w:space="0" w:color="auto"/>
        <w:right w:val="none" w:sz="0" w:space="0" w:color="auto"/>
      </w:divBdr>
    </w:div>
    <w:div w:id="1254047758">
      <w:bodyDiv w:val="1"/>
      <w:marLeft w:val="0"/>
      <w:marRight w:val="0"/>
      <w:marTop w:val="0"/>
      <w:marBottom w:val="0"/>
      <w:divBdr>
        <w:top w:val="none" w:sz="0" w:space="0" w:color="auto"/>
        <w:left w:val="none" w:sz="0" w:space="0" w:color="auto"/>
        <w:bottom w:val="none" w:sz="0" w:space="0" w:color="auto"/>
        <w:right w:val="none" w:sz="0" w:space="0" w:color="auto"/>
      </w:divBdr>
    </w:div>
    <w:div w:id="1254170124">
      <w:bodyDiv w:val="1"/>
      <w:marLeft w:val="0"/>
      <w:marRight w:val="0"/>
      <w:marTop w:val="0"/>
      <w:marBottom w:val="0"/>
      <w:divBdr>
        <w:top w:val="none" w:sz="0" w:space="0" w:color="auto"/>
        <w:left w:val="none" w:sz="0" w:space="0" w:color="auto"/>
        <w:bottom w:val="none" w:sz="0" w:space="0" w:color="auto"/>
        <w:right w:val="none" w:sz="0" w:space="0" w:color="auto"/>
      </w:divBdr>
    </w:div>
    <w:div w:id="1254556990">
      <w:bodyDiv w:val="1"/>
      <w:marLeft w:val="0"/>
      <w:marRight w:val="0"/>
      <w:marTop w:val="0"/>
      <w:marBottom w:val="0"/>
      <w:divBdr>
        <w:top w:val="none" w:sz="0" w:space="0" w:color="auto"/>
        <w:left w:val="none" w:sz="0" w:space="0" w:color="auto"/>
        <w:bottom w:val="none" w:sz="0" w:space="0" w:color="auto"/>
        <w:right w:val="none" w:sz="0" w:space="0" w:color="auto"/>
      </w:divBdr>
    </w:div>
    <w:div w:id="1254627370">
      <w:bodyDiv w:val="1"/>
      <w:marLeft w:val="0"/>
      <w:marRight w:val="0"/>
      <w:marTop w:val="0"/>
      <w:marBottom w:val="0"/>
      <w:divBdr>
        <w:top w:val="none" w:sz="0" w:space="0" w:color="auto"/>
        <w:left w:val="none" w:sz="0" w:space="0" w:color="auto"/>
        <w:bottom w:val="none" w:sz="0" w:space="0" w:color="auto"/>
        <w:right w:val="none" w:sz="0" w:space="0" w:color="auto"/>
      </w:divBdr>
    </w:div>
    <w:div w:id="1254629833">
      <w:bodyDiv w:val="1"/>
      <w:marLeft w:val="0"/>
      <w:marRight w:val="0"/>
      <w:marTop w:val="0"/>
      <w:marBottom w:val="0"/>
      <w:divBdr>
        <w:top w:val="none" w:sz="0" w:space="0" w:color="auto"/>
        <w:left w:val="none" w:sz="0" w:space="0" w:color="auto"/>
        <w:bottom w:val="none" w:sz="0" w:space="0" w:color="auto"/>
        <w:right w:val="none" w:sz="0" w:space="0" w:color="auto"/>
      </w:divBdr>
    </w:div>
    <w:div w:id="1255094282">
      <w:bodyDiv w:val="1"/>
      <w:marLeft w:val="0"/>
      <w:marRight w:val="0"/>
      <w:marTop w:val="0"/>
      <w:marBottom w:val="0"/>
      <w:divBdr>
        <w:top w:val="none" w:sz="0" w:space="0" w:color="auto"/>
        <w:left w:val="none" w:sz="0" w:space="0" w:color="auto"/>
        <w:bottom w:val="none" w:sz="0" w:space="0" w:color="auto"/>
        <w:right w:val="none" w:sz="0" w:space="0" w:color="auto"/>
      </w:divBdr>
    </w:div>
    <w:div w:id="1255162043">
      <w:bodyDiv w:val="1"/>
      <w:marLeft w:val="0"/>
      <w:marRight w:val="0"/>
      <w:marTop w:val="0"/>
      <w:marBottom w:val="0"/>
      <w:divBdr>
        <w:top w:val="none" w:sz="0" w:space="0" w:color="auto"/>
        <w:left w:val="none" w:sz="0" w:space="0" w:color="auto"/>
        <w:bottom w:val="none" w:sz="0" w:space="0" w:color="auto"/>
        <w:right w:val="none" w:sz="0" w:space="0" w:color="auto"/>
      </w:divBdr>
    </w:div>
    <w:div w:id="1255163926">
      <w:bodyDiv w:val="1"/>
      <w:marLeft w:val="0"/>
      <w:marRight w:val="0"/>
      <w:marTop w:val="0"/>
      <w:marBottom w:val="0"/>
      <w:divBdr>
        <w:top w:val="none" w:sz="0" w:space="0" w:color="auto"/>
        <w:left w:val="none" w:sz="0" w:space="0" w:color="auto"/>
        <w:bottom w:val="none" w:sz="0" w:space="0" w:color="auto"/>
        <w:right w:val="none" w:sz="0" w:space="0" w:color="auto"/>
      </w:divBdr>
    </w:div>
    <w:div w:id="1255438127">
      <w:bodyDiv w:val="1"/>
      <w:marLeft w:val="0"/>
      <w:marRight w:val="0"/>
      <w:marTop w:val="0"/>
      <w:marBottom w:val="0"/>
      <w:divBdr>
        <w:top w:val="none" w:sz="0" w:space="0" w:color="auto"/>
        <w:left w:val="none" w:sz="0" w:space="0" w:color="auto"/>
        <w:bottom w:val="none" w:sz="0" w:space="0" w:color="auto"/>
        <w:right w:val="none" w:sz="0" w:space="0" w:color="auto"/>
      </w:divBdr>
    </w:div>
    <w:div w:id="1255438311">
      <w:bodyDiv w:val="1"/>
      <w:marLeft w:val="0"/>
      <w:marRight w:val="0"/>
      <w:marTop w:val="0"/>
      <w:marBottom w:val="0"/>
      <w:divBdr>
        <w:top w:val="none" w:sz="0" w:space="0" w:color="auto"/>
        <w:left w:val="none" w:sz="0" w:space="0" w:color="auto"/>
        <w:bottom w:val="none" w:sz="0" w:space="0" w:color="auto"/>
        <w:right w:val="none" w:sz="0" w:space="0" w:color="auto"/>
      </w:divBdr>
    </w:div>
    <w:div w:id="1255477526">
      <w:bodyDiv w:val="1"/>
      <w:marLeft w:val="0"/>
      <w:marRight w:val="0"/>
      <w:marTop w:val="0"/>
      <w:marBottom w:val="0"/>
      <w:divBdr>
        <w:top w:val="none" w:sz="0" w:space="0" w:color="auto"/>
        <w:left w:val="none" w:sz="0" w:space="0" w:color="auto"/>
        <w:bottom w:val="none" w:sz="0" w:space="0" w:color="auto"/>
        <w:right w:val="none" w:sz="0" w:space="0" w:color="auto"/>
      </w:divBdr>
    </w:div>
    <w:div w:id="1256014607">
      <w:bodyDiv w:val="1"/>
      <w:marLeft w:val="0"/>
      <w:marRight w:val="0"/>
      <w:marTop w:val="0"/>
      <w:marBottom w:val="0"/>
      <w:divBdr>
        <w:top w:val="none" w:sz="0" w:space="0" w:color="auto"/>
        <w:left w:val="none" w:sz="0" w:space="0" w:color="auto"/>
        <w:bottom w:val="none" w:sz="0" w:space="0" w:color="auto"/>
        <w:right w:val="none" w:sz="0" w:space="0" w:color="auto"/>
      </w:divBdr>
    </w:div>
    <w:div w:id="1256479773">
      <w:bodyDiv w:val="1"/>
      <w:marLeft w:val="0"/>
      <w:marRight w:val="0"/>
      <w:marTop w:val="0"/>
      <w:marBottom w:val="0"/>
      <w:divBdr>
        <w:top w:val="none" w:sz="0" w:space="0" w:color="auto"/>
        <w:left w:val="none" w:sz="0" w:space="0" w:color="auto"/>
        <w:bottom w:val="none" w:sz="0" w:space="0" w:color="auto"/>
        <w:right w:val="none" w:sz="0" w:space="0" w:color="auto"/>
      </w:divBdr>
    </w:div>
    <w:div w:id="1257442702">
      <w:bodyDiv w:val="1"/>
      <w:marLeft w:val="0"/>
      <w:marRight w:val="0"/>
      <w:marTop w:val="0"/>
      <w:marBottom w:val="0"/>
      <w:divBdr>
        <w:top w:val="none" w:sz="0" w:space="0" w:color="auto"/>
        <w:left w:val="none" w:sz="0" w:space="0" w:color="auto"/>
        <w:bottom w:val="none" w:sz="0" w:space="0" w:color="auto"/>
        <w:right w:val="none" w:sz="0" w:space="0" w:color="auto"/>
      </w:divBdr>
    </w:div>
    <w:div w:id="1257782809">
      <w:bodyDiv w:val="1"/>
      <w:marLeft w:val="0"/>
      <w:marRight w:val="0"/>
      <w:marTop w:val="0"/>
      <w:marBottom w:val="0"/>
      <w:divBdr>
        <w:top w:val="none" w:sz="0" w:space="0" w:color="auto"/>
        <w:left w:val="none" w:sz="0" w:space="0" w:color="auto"/>
        <w:bottom w:val="none" w:sz="0" w:space="0" w:color="auto"/>
        <w:right w:val="none" w:sz="0" w:space="0" w:color="auto"/>
      </w:divBdr>
    </w:div>
    <w:div w:id="1258252095">
      <w:bodyDiv w:val="1"/>
      <w:marLeft w:val="0"/>
      <w:marRight w:val="0"/>
      <w:marTop w:val="0"/>
      <w:marBottom w:val="0"/>
      <w:divBdr>
        <w:top w:val="none" w:sz="0" w:space="0" w:color="auto"/>
        <w:left w:val="none" w:sz="0" w:space="0" w:color="auto"/>
        <w:bottom w:val="none" w:sz="0" w:space="0" w:color="auto"/>
        <w:right w:val="none" w:sz="0" w:space="0" w:color="auto"/>
      </w:divBdr>
    </w:div>
    <w:div w:id="1258438103">
      <w:bodyDiv w:val="1"/>
      <w:marLeft w:val="0"/>
      <w:marRight w:val="0"/>
      <w:marTop w:val="0"/>
      <w:marBottom w:val="0"/>
      <w:divBdr>
        <w:top w:val="none" w:sz="0" w:space="0" w:color="auto"/>
        <w:left w:val="none" w:sz="0" w:space="0" w:color="auto"/>
        <w:bottom w:val="none" w:sz="0" w:space="0" w:color="auto"/>
        <w:right w:val="none" w:sz="0" w:space="0" w:color="auto"/>
      </w:divBdr>
    </w:div>
    <w:div w:id="1258489461">
      <w:bodyDiv w:val="1"/>
      <w:marLeft w:val="0"/>
      <w:marRight w:val="0"/>
      <w:marTop w:val="0"/>
      <w:marBottom w:val="0"/>
      <w:divBdr>
        <w:top w:val="none" w:sz="0" w:space="0" w:color="auto"/>
        <w:left w:val="none" w:sz="0" w:space="0" w:color="auto"/>
        <w:bottom w:val="none" w:sz="0" w:space="0" w:color="auto"/>
        <w:right w:val="none" w:sz="0" w:space="0" w:color="auto"/>
      </w:divBdr>
    </w:div>
    <w:div w:id="1258513842">
      <w:bodyDiv w:val="1"/>
      <w:marLeft w:val="0"/>
      <w:marRight w:val="0"/>
      <w:marTop w:val="0"/>
      <w:marBottom w:val="0"/>
      <w:divBdr>
        <w:top w:val="none" w:sz="0" w:space="0" w:color="auto"/>
        <w:left w:val="none" w:sz="0" w:space="0" w:color="auto"/>
        <w:bottom w:val="none" w:sz="0" w:space="0" w:color="auto"/>
        <w:right w:val="none" w:sz="0" w:space="0" w:color="auto"/>
      </w:divBdr>
    </w:div>
    <w:div w:id="1258753816">
      <w:bodyDiv w:val="1"/>
      <w:marLeft w:val="0"/>
      <w:marRight w:val="0"/>
      <w:marTop w:val="0"/>
      <w:marBottom w:val="0"/>
      <w:divBdr>
        <w:top w:val="none" w:sz="0" w:space="0" w:color="auto"/>
        <w:left w:val="none" w:sz="0" w:space="0" w:color="auto"/>
        <w:bottom w:val="none" w:sz="0" w:space="0" w:color="auto"/>
        <w:right w:val="none" w:sz="0" w:space="0" w:color="auto"/>
      </w:divBdr>
    </w:div>
    <w:div w:id="1258902221">
      <w:bodyDiv w:val="1"/>
      <w:marLeft w:val="0"/>
      <w:marRight w:val="0"/>
      <w:marTop w:val="0"/>
      <w:marBottom w:val="0"/>
      <w:divBdr>
        <w:top w:val="none" w:sz="0" w:space="0" w:color="auto"/>
        <w:left w:val="none" w:sz="0" w:space="0" w:color="auto"/>
        <w:bottom w:val="none" w:sz="0" w:space="0" w:color="auto"/>
        <w:right w:val="none" w:sz="0" w:space="0" w:color="auto"/>
      </w:divBdr>
      <w:divsChild>
        <w:div w:id="163595567">
          <w:marLeft w:val="0"/>
          <w:marRight w:val="0"/>
          <w:marTop w:val="0"/>
          <w:marBottom w:val="0"/>
          <w:divBdr>
            <w:top w:val="none" w:sz="0" w:space="0" w:color="auto"/>
            <w:left w:val="none" w:sz="0" w:space="0" w:color="auto"/>
            <w:bottom w:val="none" w:sz="0" w:space="0" w:color="auto"/>
            <w:right w:val="none" w:sz="0" w:space="0" w:color="auto"/>
          </w:divBdr>
        </w:div>
        <w:div w:id="465005943">
          <w:marLeft w:val="0"/>
          <w:marRight w:val="0"/>
          <w:marTop w:val="0"/>
          <w:marBottom w:val="0"/>
          <w:divBdr>
            <w:top w:val="none" w:sz="0" w:space="0" w:color="auto"/>
            <w:left w:val="none" w:sz="0" w:space="0" w:color="auto"/>
            <w:bottom w:val="none" w:sz="0" w:space="0" w:color="auto"/>
            <w:right w:val="none" w:sz="0" w:space="0" w:color="auto"/>
          </w:divBdr>
        </w:div>
        <w:div w:id="1231421791">
          <w:marLeft w:val="0"/>
          <w:marRight w:val="0"/>
          <w:marTop w:val="0"/>
          <w:marBottom w:val="0"/>
          <w:divBdr>
            <w:top w:val="none" w:sz="0" w:space="0" w:color="auto"/>
            <w:left w:val="none" w:sz="0" w:space="0" w:color="auto"/>
            <w:bottom w:val="none" w:sz="0" w:space="0" w:color="auto"/>
            <w:right w:val="none" w:sz="0" w:space="0" w:color="auto"/>
          </w:divBdr>
        </w:div>
      </w:divsChild>
    </w:div>
    <w:div w:id="1259019929">
      <w:bodyDiv w:val="1"/>
      <w:marLeft w:val="0"/>
      <w:marRight w:val="0"/>
      <w:marTop w:val="0"/>
      <w:marBottom w:val="0"/>
      <w:divBdr>
        <w:top w:val="none" w:sz="0" w:space="0" w:color="auto"/>
        <w:left w:val="none" w:sz="0" w:space="0" w:color="auto"/>
        <w:bottom w:val="none" w:sz="0" w:space="0" w:color="auto"/>
        <w:right w:val="none" w:sz="0" w:space="0" w:color="auto"/>
      </w:divBdr>
    </w:div>
    <w:div w:id="1259755784">
      <w:bodyDiv w:val="1"/>
      <w:marLeft w:val="0"/>
      <w:marRight w:val="0"/>
      <w:marTop w:val="0"/>
      <w:marBottom w:val="0"/>
      <w:divBdr>
        <w:top w:val="none" w:sz="0" w:space="0" w:color="auto"/>
        <w:left w:val="none" w:sz="0" w:space="0" w:color="auto"/>
        <w:bottom w:val="none" w:sz="0" w:space="0" w:color="auto"/>
        <w:right w:val="none" w:sz="0" w:space="0" w:color="auto"/>
      </w:divBdr>
    </w:div>
    <w:div w:id="1259871413">
      <w:bodyDiv w:val="1"/>
      <w:marLeft w:val="0"/>
      <w:marRight w:val="0"/>
      <w:marTop w:val="0"/>
      <w:marBottom w:val="0"/>
      <w:divBdr>
        <w:top w:val="none" w:sz="0" w:space="0" w:color="auto"/>
        <w:left w:val="none" w:sz="0" w:space="0" w:color="auto"/>
        <w:bottom w:val="none" w:sz="0" w:space="0" w:color="auto"/>
        <w:right w:val="none" w:sz="0" w:space="0" w:color="auto"/>
      </w:divBdr>
    </w:div>
    <w:div w:id="1260141176">
      <w:bodyDiv w:val="1"/>
      <w:marLeft w:val="0"/>
      <w:marRight w:val="0"/>
      <w:marTop w:val="0"/>
      <w:marBottom w:val="0"/>
      <w:divBdr>
        <w:top w:val="none" w:sz="0" w:space="0" w:color="auto"/>
        <w:left w:val="none" w:sz="0" w:space="0" w:color="auto"/>
        <w:bottom w:val="none" w:sz="0" w:space="0" w:color="auto"/>
        <w:right w:val="none" w:sz="0" w:space="0" w:color="auto"/>
      </w:divBdr>
    </w:div>
    <w:div w:id="1260289799">
      <w:bodyDiv w:val="1"/>
      <w:marLeft w:val="0"/>
      <w:marRight w:val="0"/>
      <w:marTop w:val="0"/>
      <w:marBottom w:val="0"/>
      <w:divBdr>
        <w:top w:val="none" w:sz="0" w:space="0" w:color="auto"/>
        <w:left w:val="none" w:sz="0" w:space="0" w:color="auto"/>
        <w:bottom w:val="none" w:sz="0" w:space="0" w:color="auto"/>
        <w:right w:val="none" w:sz="0" w:space="0" w:color="auto"/>
      </w:divBdr>
    </w:div>
    <w:div w:id="1260333822">
      <w:bodyDiv w:val="1"/>
      <w:marLeft w:val="0"/>
      <w:marRight w:val="0"/>
      <w:marTop w:val="0"/>
      <w:marBottom w:val="0"/>
      <w:divBdr>
        <w:top w:val="none" w:sz="0" w:space="0" w:color="auto"/>
        <w:left w:val="none" w:sz="0" w:space="0" w:color="auto"/>
        <w:bottom w:val="none" w:sz="0" w:space="0" w:color="auto"/>
        <w:right w:val="none" w:sz="0" w:space="0" w:color="auto"/>
      </w:divBdr>
    </w:div>
    <w:div w:id="1260675371">
      <w:bodyDiv w:val="1"/>
      <w:marLeft w:val="0"/>
      <w:marRight w:val="0"/>
      <w:marTop w:val="0"/>
      <w:marBottom w:val="0"/>
      <w:divBdr>
        <w:top w:val="none" w:sz="0" w:space="0" w:color="auto"/>
        <w:left w:val="none" w:sz="0" w:space="0" w:color="auto"/>
        <w:bottom w:val="none" w:sz="0" w:space="0" w:color="auto"/>
        <w:right w:val="none" w:sz="0" w:space="0" w:color="auto"/>
      </w:divBdr>
    </w:div>
    <w:div w:id="1260679362">
      <w:bodyDiv w:val="1"/>
      <w:marLeft w:val="0"/>
      <w:marRight w:val="0"/>
      <w:marTop w:val="0"/>
      <w:marBottom w:val="0"/>
      <w:divBdr>
        <w:top w:val="none" w:sz="0" w:space="0" w:color="auto"/>
        <w:left w:val="none" w:sz="0" w:space="0" w:color="auto"/>
        <w:bottom w:val="none" w:sz="0" w:space="0" w:color="auto"/>
        <w:right w:val="none" w:sz="0" w:space="0" w:color="auto"/>
      </w:divBdr>
    </w:div>
    <w:div w:id="1260984646">
      <w:bodyDiv w:val="1"/>
      <w:marLeft w:val="0"/>
      <w:marRight w:val="0"/>
      <w:marTop w:val="0"/>
      <w:marBottom w:val="0"/>
      <w:divBdr>
        <w:top w:val="none" w:sz="0" w:space="0" w:color="auto"/>
        <w:left w:val="none" w:sz="0" w:space="0" w:color="auto"/>
        <w:bottom w:val="none" w:sz="0" w:space="0" w:color="auto"/>
        <w:right w:val="none" w:sz="0" w:space="0" w:color="auto"/>
      </w:divBdr>
    </w:div>
    <w:div w:id="1260991478">
      <w:bodyDiv w:val="1"/>
      <w:marLeft w:val="0"/>
      <w:marRight w:val="0"/>
      <w:marTop w:val="0"/>
      <w:marBottom w:val="0"/>
      <w:divBdr>
        <w:top w:val="none" w:sz="0" w:space="0" w:color="auto"/>
        <w:left w:val="none" w:sz="0" w:space="0" w:color="auto"/>
        <w:bottom w:val="none" w:sz="0" w:space="0" w:color="auto"/>
        <w:right w:val="none" w:sz="0" w:space="0" w:color="auto"/>
      </w:divBdr>
    </w:div>
    <w:div w:id="1261111055">
      <w:bodyDiv w:val="1"/>
      <w:marLeft w:val="0"/>
      <w:marRight w:val="0"/>
      <w:marTop w:val="0"/>
      <w:marBottom w:val="0"/>
      <w:divBdr>
        <w:top w:val="none" w:sz="0" w:space="0" w:color="auto"/>
        <w:left w:val="none" w:sz="0" w:space="0" w:color="auto"/>
        <w:bottom w:val="none" w:sz="0" w:space="0" w:color="auto"/>
        <w:right w:val="none" w:sz="0" w:space="0" w:color="auto"/>
      </w:divBdr>
    </w:div>
    <w:div w:id="1261183626">
      <w:bodyDiv w:val="1"/>
      <w:marLeft w:val="0"/>
      <w:marRight w:val="0"/>
      <w:marTop w:val="0"/>
      <w:marBottom w:val="0"/>
      <w:divBdr>
        <w:top w:val="none" w:sz="0" w:space="0" w:color="auto"/>
        <w:left w:val="none" w:sz="0" w:space="0" w:color="auto"/>
        <w:bottom w:val="none" w:sz="0" w:space="0" w:color="auto"/>
        <w:right w:val="none" w:sz="0" w:space="0" w:color="auto"/>
      </w:divBdr>
    </w:div>
    <w:div w:id="1261599219">
      <w:bodyDiv w:val="1"/>
      <w:marLeft w:val="0"/>
      <w:marRight w:val="0"/>
      <w:marTop w:val="0"/>
      <w:marBottom w:val="0"/>
      <w:divBdr>
        <w:top w:val="none" w:sz="0" w:space="0" w:color="auto"/>
        <w:left w:val="none" w:sz="0" w:space="0" w:color="auto"/>
        <w:bottom w:val="none" w:sz="0" w:space="0" w:color="auto"/>
        <w:right w:val="none" w:sz="0" w:space="0" w:color="auto"/>
      </w:divBdr>
    </w:div>
    <w:div w:id="1261600638">
      <w:bodyDiv w:val="1"/>
      <w:marLeft w:val="0"/>
      <w:marRight w:val="0"/>
      <w:marTop w:val="0"/>
      <w:marBottom w:val="0"/>
      <w:divBdr>
        <w:top w:val="none" w:sz="0" w:space="0" w:color="auto"/>
        <w:left w:val="none" w:sz="0" w:space="0" w:color="auto"/>
        <w:bottom w:val="none" w:sz="0" w:space="0" w:color="auto"/>
        <w:right w:val="none" w:sz="0" w:space="0" w:color="auto"/>
      </w:divBdr>
    </w:div>
    <w:div w:id="1261719257">
      <w:bodyDiv w:val="1"/>
      <w:marLeft w:val="0"/>
      <w:marRight w:val="0"/>
      <w:marTop w:val="0"/>
      <w:marBottom w:val="0"/>
      <w:divBdr>
        <w:top w:val="none" w:sz="0" w:space="0" w:color="auto"/>
        <w:left w:val="none" w:sz="0" w:space="0" w:color="auto"/>
        <w:bottom w:val="none" w:sz="0" w:space="0" w:color="auto"/>
        <w:right w:val="none" w:sz="0" w:space="0" w:color="auto"/>
      </w:divBdr>
    </w:div>
    <w:div w:id="1261992105">
      <w:bodyDiv w:val="1"/>
      <w:marLeft w:val="0"/>
      <w:marRight w:val="0"/>
      <w:marTop w:val="0"/>
      <w:marBottom w:val="0"/>
      <w:divBdr>
        <w:top w:val="none" w:sz="0" w:space="0" w:color="auto"/>
        <w:left w:val="none" w:sz="0" w:space="0" w:color="auto"/>
        <w:bottom w:val="none" w:sz="0" w:space="0" w:color="auto"/>
        <w:right w:val="none" w:sz="0" w:space="0" w:color="auto"/>
      </w:divBdr>
    </w:div>
    <w:div w:id="1262225117">
      <w:bodyDiv w:val="1"/>
      <w:marLeft w:val="0"/>
      <w:marRight w:val="0"/>
      <w:marTop w:val="0"/>
      <w:marBottom w:val="0"/>
      <w:divBdr>
        <w:top w:val="none" w:sz="0" w:space="0" w:color="auto"/>
        <w:left w:val="none" w:sz="0" w:space="0" w:color="auto"/>
        <w:bottom w:val="none" w:sz="0" w:space="0" w:color="auto"/>
        <w:right w:val="none" w:sz="0" w:space="0" w:color="auto"/>
      </w:divBdr>
    </w:div>
    <w:div w:id="1262372811">
      <w:bodyDiv w:val="1"/>
      <w:marLeft w:val="0"/>
      <w:marRight w:val="0"/>
      <w:marTop w:val="0"/>
      <w:marBottom w:val="0"/>
      <w:divBdr>
        <w:top w:val="none" w:sz="0" w:space="0" w:color="auto"/>
        <w:left w:val="none" w:sz="0" w:space="0" w:color="auto"/>
        <w:bottom w:val="none" w:sz="0" w:space="0" w:color="auto"/>
        <w:right w:val="none" w:sz="0" w:space="0" w:color="auto"/>
      </w:divBdr>
    </w:div>
    <w:div w:id="1262835324">
      <w:bodyDiv w:val="1"/>
      <w:marLeft w:val="0"/>
      <w:marRight w:val="0"/>
      <w:marTop w:val="0"/>
      <w:marBottom w:val="0"/>
      <w:divBdr>
        <w:top w:val="none" w:sz="0" w:space="0" w:color="auto"/>
        <w:left w:val="none" w:sz="0" w:space="0" w:color="auto"/>
        <w:bottom w:val="none" w:sz="0" w:space="0" w:color="auto"/>
        <w:right w:val="none" w:sz="0" w:space="0" w:color="auto"/>
      </w:divBdr>
    </w:div>
    <w:div w:id="1262882090">
      <w:bodyDiv w:val="1"/>
      <w:marLeft w:val="0"/>
      <w:marRight w:val="0"/>
      <w:marTop w:val="0"/>
      <w:marBottom w:val="0"/>
      <w:divBdr>
        <w:top w:val="none" w:sz="0" w:space="0" w:color="auto"/>
        <w:left w:val="none" w:sz="0" w:space="0" w:color="auto"/>
        <w:bottom w:val="none" w:sz="0" w:space="0" w:color="auto"/>
        <w:right w:val="none" w:sz="0" w:space="0" w:color="auto"/>
      </w:divBdr>
    </w:div>
    <w:div w:id="1263076517">
      <w:bodyDiv w:val="1"/>
      <w:marLeft w:val="0"/>
      <w:marRight w:val="0"/>
      <w:marTop w:val="0"/>
      <w:marBottom w:val="0"/>
      <w:divBdr>
        <w:top w:val="none" w:sz="0" w:space="0" w:color="auto"/>
        <w:left w:val="none" w:sz="0" w:space="0" w:color="auto"/>
        <w:bottom w:val="none" w:sz="0" w:space="0" w:color="auto"/>
        <w:right w:val="none" w:sz="0" w:space="0" w:color="auto"/>
      </w:divBdr>
    </w:div>
    <w:div w:id="1263224070">
      <w:bodyDiv w:val="1"/>
      <w:marLeft w:val="0"/>
      <w:marRight w:val="0"/>
      <w:marTop w:val="0"/>
      <w:marBottom w:val="0"/>
      <w:divBdr>
        <w:top w:val="none" w:sz="0" w:space="0" w:color="auto"/>
        <w:left w:val="none" w:sz="0" w:space="0" w:color="auto"/>
        <w:bottom w:val="none" w:sz="0" w:space="0" w:color="auto"/>
        <w:right w:val="none" w:sz="0" w:space="0" w:color="auto"/>
      </w:divBdr>
    </w:div>
    <w:div w:id="1263299895">
      <w:bodyDiv w:val="1"/>
      <w:marLeft w:val="0"/>
      <w:marRight w:val="0"/>
      <w:marTop w:val="0"/>
      <w:marBottom w:val="0"/>
      <w:divBdr>
        <w:top w:val="none" w:sz="0" w:space="0" w:color="auto"/>
        <w:left w:val="none" w:sz="0" w:space="0" w:color="auto"/>
        <w:bottom w:val="none" w:sz="0" w:space="0" w:color="auto"/>
        <w:right w:val="none" w:sz="0" w:space="0" w:color="auto"/>
      </w:divBdr>
    </w:div>
    <w:div w:id="1263680368">
      <w:bodyDiv w:val="1"/>
      <w:marLeft w:val="0"/>
      <w:marRight w:val="0"/>
      <w:marTop w:val="0"/>
      <w:marBottom w:val="0"/>
      <w:divBdr>
        <w:top w:val="none" w:sz="0" w:space="0" w:color="auto"/>
        <w:left w:val="none" w:sz="0" w:space="0" w:color="auto"/>
        <w:bottom w:val="none" w:sz="0" w:space="0" w:color="auto"/>
        <w:right w:val="none" w:sz="0" w:space="0" w:color="auto"/>
      </w:divBdr>
    </w:div>
    <w:div w:id="1263998652">
      <w:bodyDiv w:val="1"/>
      <w:marLeft w:val="0"/>
      <w:marRight w:val="0"/>
      <w:marTop w:val="0"/>
      <w:marBottom w:val="0"/>
      <w:divBdr>
        <w:top w:val="none" w:sz="0" w:space="0" w:color="auto"/>
        <w:left w:val="none" w:sz="0" w:space="0" w:color="auto"/>
        <w:bottom w:val="none" w:sz="0" w:space="0" w:color="auto"/>
        <w:right w:val="none" w:sz="0" w:space="0" w:color="auto"/>
      </w:divBdr>
    </w:div>
    <w:div w:id="1264338287">
      <w:bodyDiv w:val="1"/>
      <w:marLeft w:val="0"/>
      <w:marRight w:val="0"/>
      <w:marTop w:val="0"/>
      <w:marBottom w:val="0"/>
      <w:divBdr>
        <w:top w:val="none" w:sz="0" w:space="0" w:color="auto"/>
        <w:left w:val="none" w:sz="0" w:space="0" w:color="auto"/>
        <w:bottom w:val="none" w:sz="0" w:space="0" w:color="auto"/>
        <w:right w:val="none" w:sz="0" w:space="0" w:color="auto"/>
      </w:divBdr>
    </w:div>
    <w:div w:id="1264386644">
      <w:bodyDiv w:val="1"/>
      <w:marLeft w:val="0"/>
      <w:marRight w:val="0"/>
      <w:marTop w:val="0"/>
      <w:marBottom w:val="0"/>
      <w:divBdr>
        <w:top w:val="none" w:sz="0" w:space="0" w:color="auto"/>
        <w:left w:val="none" w:sz="0" w:space="0" w:color="auto"/>
        <w:bottom w:val="none" w:sz="0" w:space="0" w:color="auto"/>
        <w:right w:val="none" w:sz="0" w:space="0" w:color="auto"/>
      </w:divBdr>
    </w:div>
    <w:div w:id="1264418414">
      <w:bodyDiv w:val="1"/>
      <w:marLeft w:val="0"/>
      <w:marRight w:val="0"/>
      <w:marTop w:val="0"/>
      <w:marBottom w:val="0"/>
      <w:divBdr>
        <w:top w:val="none" w:sz="0" w:space="0" w:color="auto"/>
        <w:left w:val="none" w:sz="0" w:space="0" w:color="auto"/>
        <w:bottom w:val="none" w:sz="0" w:space="0" w:color="auto"/>
        <w:right w:val="none" w:sz="0" w:space="0" w:color="auto"/>
      </w:divBdr>
    </w:div>
    <w:div w:id="1264923381">
      <w:bodyDiv w:val="1"/>
      <w:marLeft w:val="0"/>
      <w:marRight w:val="0"/>
      <w:marTop w:val="0"/>
      <w:marBottom w:val="0"/>
      <w:divBdr>
        <w:top w:val="none" w:sz="0" w:space="0" w:color="auto"/>
        <w:left w:val="none" w:sz="0" w:space="0" w:color="auto"/>
        <w:bottom w:val="none" w:sz="0" w:space="0" w:color="auto"/>
        <w:right w:val="none" w:sz="0" w:space="0" w:color="auto"/>
      </w:divBdr>
    </w:div>
    <w:div w:id="1264995403">
      <w:bodyDiv w:val="1"/>
      <w:marLeft w:val="0"/>
      <w:marRight w:val="0"/>
      <w:marTop w:val="0"/>
      <w:marBottom w:val="0"/>
      <w:divBdr>
        <w:top w:val="none" w:sz="0" w:space="0" w:color="auto"/>
        <w:left w:val="none" w:sz="0" w:space="0" w:color="auto"/>
        <w:bottom w:val="none" w:sz="0" w:space="0" w:color="auto"/>
        <w:right w:val="none" w:sz="0" w:space="0" w:color="auto"/>
      </w:divBdr>
    </w:div>
    <w:div w:id="1265378482">
      <w:bodyDiv w:val="1"/>
      <w:marLeft w:val="0"/>
      <w:marRight w:val="0"/>
      <w:marTop w:val="0"/>
      <w:marBottom w:val="0"/>
      <w:divBdr>
        <w:top w:val="none" w:sz="0" w:space="0" w:color="auto"/>
        <w:left w:val="none" w:sz="0" w:space="0" w:color="auto"/>
        <w:bottom w:val="none" w:sz="0" w:space="0" w:color="auto"/>
        <w:right w:val="none" w:sz="0" w:space="0" w:color="auto"/>
      </w:divBdr>
    </w:div>
    <w:div w:id="1265382743">
      <w:bodyDiv w:val="1"/>
      <w:marLeft w:val="0"/>
      <w:marRight w:val="0"/>
      <w:marTop w:val="0"/>
      <w:marBottom w:val="0"/>
      <w:divBdr>
        <w:top w:val="none" w:sz="0" w:space="0" w:color="auto"/>
        <w:left w:val="none" w:sz="0" w:space="0" w:color="auto"/>
        <w:bottom w:val="none" w:sz="0" w:space="0" w:color="auto"/>
        <w:right w:val="none" w:sz="0" w:space="0" w:color="auto"/>
      </w:divBdr>
    </w:div>
    <w:div w:id="1265578786">
      <w:bodyDiv w:val="1"/>
      <w:marLeft w:val="0"/>
      <w:marRight w:val="0"/>
      <w:marTop w:val="0"/>
      <w:marBottom w:val="0"/>
      <w:divBdr>
        <w:top w:val="none" w:sz="0" w:space="0" w:color="auto"/>
        <w:left w:val="none" w:sz="0" w:space="0" w:color="auto"/>
        <w:bottom w:val="none" w:sz="0" w:space="0" w:color="auto"/>
        <w:right w:val="none" w:sz="0" w:space="0" w:color="auto"/>
      </w:divBdr>
    </w:div>
    <w:div w:id="1265769305">
      <w:bodyDiv w:val="1"/>
      <w:marLeft w:val="0"/>
      <w:marRight w:val="0"/>
      <w:marTop w:val="0"/>
      <w:marBottom w:val="0"/>
      <w:divBdr>
        <w:top w:val="none" w:sz="0" w:space="0" w:color="auto"/>
        <w:left w:val="none" w:sz="0" w:space="0" w:color="auto"/>
        <w:bottom w:val="none" w:sz="0" w:space="0" w:color="auto"/>
        <w:right w:val="none" w:sz="0" w:space="0" w:color="auto"/>
      </w:divBdr>
    </w:div>
    <w:div w:id="1265919704">
      <w:bodyDiv w:val="1"/>
      <w:marLeft w:val="0"/>
      <w:marRight w:val="0"/>
      <w:marTop w:val="0"/>
      <w:marBottom w:val="0"/>
      <w:divBdr>
        <w:top w:val="none" w:sz="0" w:space="0" w:color="auto"/>
        <w:left w:val="none" w:sz="0" w:space="0" w:color="auto"/>
        <w:bottom w:val="none" w:sz="0" w:space="0" w:color="auto"/>
        <w:right w:val="none" w:sz="0" w:space="0" w:color="auto"/>
      </w:divBdr>
    </w:div>
    <w:div w:id="1265923422">
      <w:bodyDiv w:val="1"/>
      <w:marLeft w:val="0"/>
      <w:marRight w:val="0"/>
      <w:marTop w:val="0"/>
      <w:marBottom w:val="0"/>
      <w:divBdr>
        <w:top w:val="none" w:sz="0" w:space="0" w:color="auto"/>
        <w:left w:val="none" w:sz="0" w:space="0" w:color="auto"/>
        <w:bottom w:val="none" w:sz="0" w:space="0" w:color="auto"/>
        <w:right w:val="none" w:sz="0" w:space="0" w:color="auto"/>
      </w:divBdr>
    </w:div>
    <w:div w:id="1266110066">
      <w:bodyDiv w:val="1"/>
      <w:marLeft w:val="0"/>
      <w:marRight w:val="0"/>
      <w:marTop w:val="0"/>
      <w:marBottom w:val="0"/>
      <w:divBdr>
        <w:top w:val="none" w:sz="0" w:space="0" w:color="auto"/>
        <w:left w:val="none" w:sz="0" w:space="0" w:color="auto"/>
        <w:bottom w:val="none" w:sz="0" w:space="0" w:color="auto"/>
        <w:right w:val="none" w:sz="0" w:space="0" w:color="auto"/>
      </w:divBdr>
    </w:div>
    <w:div w:id="1266426608">
      <w:bodyDiv w:val="1"/>
      <w:marLeft w:val="0"/>
      <w:marRight w:val="0"/>
      <w:marTop w:val="0"/>
      <w:marBottom w:val="0"/>
      <w:divBdr>
        <w:top w:val="none" w:sz="0" w:space="0" w:color="auto"/>
        <w:left w:val="none" w:sz="0" w:space="0" w:color="auto"/>
        <w:bottom w:val="none" w:sz="0" w:space="0" w:color="auto"/>
        <w:right w:val="none" w:sz="0" w:space="0" w:color="auto"/>
      </w:divBdr>
    </w:div>
    <w:div w:id="1266495993">
      <w:bodyDiv w:val="1"/>
      <w:marLeft w:val="0"/>
      <w:marRight w:val="0"/>
      <w:marTop w:val="0"/>
      <w:marBottom w:val="0"/>
      <w:divBdr>
        <w:top w:val="none" w:sz="0" w:space="0" w:color="auto"/>
        <w:left w:val="none" w:sz="0" w:space="0" w:color="auto"/>
        <w:bottom w:val="none" w:sz="0" w:space="0" w:color="auto"/>
        <w:right w:val="none" w:sz="0" w:space="0" w:color="auto"/>
      </w:divBdr>
    </w:div>
    <w:div w:id="1266618588">
      <w:bodyDiv w:val="1"/>
      <w:marLeft w:val="0"/>
      <w:marRight w:val="0"/>
      <w:marTop w:val="0"/>
      <w:marBottom w:val="0"/>
      <w:divBdr>
        <w:top w:val="none" w:sz="0" w:space="0" w:color="auto"/>
        <w:left w:val="none" w:sz="0" w:space="0" w:color="auto"/>
        <w:bottom w:val="none" w:sz="0" w:space="0" w:color="auto"/>
        <w:right w:val="none" w:sz="0" w:space="0" w:color="auto"/>
      </w:divBdr>
    </w:div>
    <w:div w:id="1267884263">
      <w:bodyDiv w:val="1"/>
      <w:marLeft w:val="0"/>
      <w:marRight w:val="0"/>
      <w:marTop w:val="0"/>
      <w:marBottom w:val="0"/>
      <w:divBdr>
        <w:top w:val="none" w:sz="0" w:space="0" w:color="auto"/>
        <w:left w:val="none" w:sz="0" w:space="0" w:color="auto"/>
        <w:bottom w:val="none" w:sz="0" w:space="0" w:color="auto"/>
        <w:right w:val="none" w:sz="0" w:space="0" w:color="auto"/>
      </w:divBdr>
    </w:div>
    <w:div w:id="1268468938">
      <w:bodyDiv w:val="1"/>
      <w:marLeft w:val="0"/>
      <w:marRight w:val="0"/>
      <w:marTop w:val="0"/>
      <w:marBottom w:val="0"/>
      <w:divBdr>
        <w:top w:val="none" w:sz="0" w:space="0" w:color="auto"/>
        <w:left w:val="none" w:sz="0" w:space="0" w:color="auto"/>
        <w:bottom w:val="none" w:sz="0" w:space="0" w:color="auto"/>
        <w:right w:val="none" w:sz="0" w:space="0" w:color="auto"/>
      </w:divBdr>
    </w:div>
    <w:div w:id="1268543052">
      <w:bodyDiv w:val="1"/>
      <w:marLeft w:val="0"/>
      <w:marRight w:val="0"/>
      <w:marTop w:val="0"/>
      <w:marBottom w:val="0"/>
      <w:divBdr>
        <w:top w:val="none" w:sz="0" w:space="0" w:color="auto"/>
        <w:left w:val="none" w:sz="0" w:space="0" w:color="auto"/>
        <w:bottom w:val="none" w:sz="0" w:space="0" w:color="auto"/>
        <w:right w:val="none" w:sz="0" w:space="0" w:color="auto"/>
      </w:divBdr>
    </w:div>
    <w:div w:id="1268611711">
      <w:bodyDiv w:val="1"/>
      <w:marLeft w:val="0"/>
      <w:marRight w:val="0"/>
      <w:marTop w:val="0"/>
      <w:marBottom w:val="0"/>
      <w:divBdr>
        <w:top w:val="none" w:sz="0" w:space="0" w:color="auto"/>
        <w:left w:val="none" w:sz="0" w:space="0" w:color="auto"/>
        <w:bottom w:val="none" w:sz="0" w:space="0" w:color="auto"/>
        <w:right w:val="none" w:sz="0" w:space="0" w:color="auto"/>
      </w:divBdr>
    </w:div>
    <w:div w:id="1268612428">
      <w:bodyDiv w:val="1"/>
      <w:marLeft w:val="0"/>
      <w:marRight w:val="0"/>
      <w:marTop w:val="0"/>
      <w:marBottom w:val="0"/>
      <w:divBdr>
        <w:top w:val="none" w:sz="0" w:space="0" w:color="auto"/>
        <w:left w:val="none" w:sz="0" w:space="0" w:color="auto"/>
        <w:bottom w:val="none" w:sz="0" w:space="0" w:color="auto"/>
        <w:right w:val="none" w:sz="0" w:space="0" w:color="auto"/>
      </w:divBdr>
    </w:div>
    <w:div w:id="1268847294">
      <w:bodyDiv w:val="1"/>
      <w:marLeft w:val="0"/>
      <w:marRight w:val="0"/>
      <w:marTop w:val="0"/>
      <w:marBottom w:val="0"/>
      <w:divBdr>
        <w:top w:val="none" w:sz="0" w:space="0" w:color="auto"/>
        <w:left w:val="none" w:sz="0" w:space="0" w:color="auto"/>
        <w:bottom w:val="none" w:sz="0" w:space="0" w:color="auto"/>
        <w:right w:val="none" w:sz="0" w:space="0" w:color="auto"/>
      </w:divBdr>
    </w:div>
    <w:div w:id="1269780449">
      <w:bodyDiv w:val="1"/>
      <w:marLeft w:val="0"/>
      <w:marRight w:val="0"/>
      <w:marTop w:val="0"/>
      <w:marBottom w:val="0"/>
      <w:divBdr>
        <w:top w:val="none" w:sz="0" w:space="0" w:color="auto"/>
        <w:left w:val="none" w:sz="0" w:space="0" w:color="auto"/>
        <w:bottom w:val="none" w:sz="0" w:space="0" w:color="auto"/>
        <w:right w:val="none" w:sz="0" w:space="0" w:color="auto"/>
      </w:divBdr>
    </w:div>
    <w:div w:id="1269896289">
      <w:bodyDiv w:val="1"/>
      <w:marLeft w:val="0"/>
      <w:marRight w:val="0"/>
      <w:marTop w:val="0"/>
      <w:marBottom w:val="0"/>
      <w:divBdr>
        <w:top w:val="none" w:sz="0" w:space="0" w:color="auto"/>
        <w:left w:val="none" w:sz="0" w:space="0" w:color="auto"/>
        <w:bottom w:val="none" w:sz="0" w:space="0" w:color="auto"/>
        <w:right w:val="none" w:sz="0" w:space="0" w:color="auto"/>
      </w:divBdr>
    </w:div>
    <w:div w:id="1270161900">
      <w:bodyDiv w:val="1"/>
      <w:marLeft w:val="0"/>
      <w:marRight w:val="0"/>
      <w:marTop w:val="0"/>
      <w:marBottom w:val="0"/>
      <w:divBdr>
        <w:top w:val="none" w:sz="0" w:space="0" w:color="auto"/>
        <w:left w:val="none" w:sz="0" w:space="0" w:color="auto"/>
        <w:bottom w:val="none" w:sz="0" w:space="0" w:color="auto"/>
        <w:right w:val="none" w:sz="0" w:space="0" w:color="auto"/>
      </w:divBdr>
    </w:div>
    <w:div w:id="1270311791">
      <w:bodyDiv w:val="1"/>
      <w:marLeft w:val="0"/>
      <w:marRight w:val="0"/>
      <w:marTop w:val="0"/>
      <w:marBottom w:val="0"/>
      <w:divBdr>
        <w:top w:val="none" w:sz="0" w:space="0" w:color="auto"/>
        <w:left w:val="none" w:sz="0" w:space="0" w:color="auto"/>
        <w:bottom w:val="none" w:sz="0" w:space="0" w:color="auto"/>
        <w:right w:val="none" w:sz="0" w:space="0" w:color="auto"/>
      </w:divBdr>
    </w:div>
    <w:div w:id="1270358256">
      <w:bodyDiv w:val="1"/>
      <w:marLeft w:val="0"/>
      <w:marRight w:val="0"/>
      <w:marTop w:val="0"/>
      <w:marBottom w:val="0"/>
      <w:divBdr>
        <w:top w:val="none" w:sz="0" w:space="0" w:color="auto"/>
        <w:left w:val="none" w:sz="0" w:space="0" w:color="auto"/>
        <w:bottom w:val="none" w:sz="0" w:space="0" w:color="auto"/>
        <w:right w:val="none" w:sz="0" w:space="0" w:color="auto"/>
      </w:divBdr>
    </w:div>
    <w:div w:id="1270891219">
      <w:bodyDiv w:val="1"/>
      <w:marLeft w:val="0"/>
      <w:marRight w:val="0"/>
      <w:marTop w:val="0"/>
      <w:marBottom w:val="0"/>
      <w:divBdr>
        <w:top w:val="none" w:sz="0" w:space="0" w:color="auto"/>
        <w:left w:val="none" w:sz="0" w:space="0" w:color="auto"/>
        <w:bottom w:val="none" w:sz="0" w:space="0" w:color="auto"/>
        <w:right w:val="none" w:sz="0" w:space="0" w:color="auto"/>
      </w:divBdr>
    </w:div>
    <w:div w:id="1270968679">
      <w:bodyDiv w:val="1"/>
      <w:marLeft w:val="0"/>
      <w:marRight w:val="0"/>
      <w:marTop w:val="0"/>
      <w:marBottom w:val="0"/>
      <w:divBdr>
        <w:top w:val="none" w:sz="0" w:space="0" w:color="auto"/>
        <w:left w:val="none" w:sz="0" w:space="0" w:color="auto"/>
        <w:bottom w:val="none" w:sz="0" w:space="0" w:color="auto"/>
        <w:right w:val="none" w:sz="0" w:space="0" w:color="auto"/>
      </w:divBdr>
    </w:div>
    <w:div w:id="1271619582">
      <w:bodyDiv w:val="1"/>
      <w:marLeft w:val="0"/>
      <w:marRight w:val="0"/>
      <w:marTop w:val="0"/>
      <w:marBottom w:val="0"/>
      <w:divBdr>
        <w:top w:val="none" w:sz="0" w:space="0" w:color="auto"/>
        <w:left w:val="none" w:sz="0" w:space="0" w:color="auto"/>
        <w:bottom w:val="none" w:sz="0" w:space="0" w:color="auto"/>
        <w:right w:val="none" w:sz="0" w:space="0" w:color="auto"/>
      </w:divBdr>
    </w:div>
    <w:div w:id="1271666068">
      <w:bodyDiv w:val="1"/>
      <w:marLeft w:val="0"/>
      <w:marRight w:val="0"/>
      <w:marTop w:val="0"/>
      <w:marBottom w:val="0"/>
      <w:divBdr>
        <w:top w:val="none" w:sz="0" w:space="0" w:color="auto"/>
        <w:left w:val="none" w:sz="0" w:space="0" w:color="auto"/>
        <w:bottom w:val="none" w:sz="0" w:space="0" w:color="auto"/>
        <w:right w:val="none" w:sz="0" w:space="0" w:color="auto"/>
      </w:divBdr>
    </w:div>
    <w:div w:id="1271666670">
      <w:bodyDiv w:val="1"/>
      <w:marLeft w:val="0"/>
      <w:marRight w:val="0"/>
      <w:marTop w:val="0"/>
      <w:marBottom w:val="0"/>
      <w:divBdr>
        <w:top w:val="none" w:sz="0" w:space="0" w:color="auto"/>
        <w:left w:val="none" w:sz="0" w:space="0" w:color="auto"/>
        <w:bottom w:val="none" w:sz="0" w:space="0" w:color="auto"/>
        <w:right w:val="none" w:sz="0" w:space="0" w:color="auto"/>
      </w:divBdr>
    </w:div>
    <w:div w:id="1271857945">
      <w:bodyDiv w:val="1"/>
      <w:marLeft w:val="0"/>
      <w:marRight w:val="0"/>
      <w:marTop w:val="0"/>
      <w:marBottom w:val="0"/>
      <w:divBdr>
        <w:top w:val="none" w:sz="0" w:space="0" w:color="auto"/>
        <w:left w:val="none" w:sz="0" w:space="0" w:color="auto"/>
        <w:bottom w:val="none" w:sz="0" w:space="0" w:color="auto"/>
        <w:right w:val="none" w:sz="0" w:space="0" w:color="auto"/>
      </w:divBdr>
    </w:div>
    <w:div w:id="1272125883">
      <w:bodyDiv w:val="1"/>
      <w:marLeft w:val="0"/>
      <w:marRight w:val="0"/>
      <w:marTop w:val="0"/>
      <w:marBottom w:val="0"/>
      <w:divBdr>
        <w:top w:val="none" w:sz="0" w:space="0" w:color="auto"/>
        <w:left w:val="none" w:sz="0" w:space="0" w:color="auto"/>
        <w:bottom w:val="none" w:sz="0" w:space="0" w:color="auto"/>
        <w:right w:val="none" w:sz="0" w:space="0" w:color="auto"/>
      </w:divBdr>
    </w:div>
    <w:div w:id="1272400567">
      <w:bodyDiv w:val="1"/>
      <w:marLeft w:val="0"/>
      <w:marRight w:val="0"/>
      <w:marTop w:val="0"/>
      <w:marBottom w:val="0"/>
      <w:divBdr>
        <w:top w:val="none" w:sz="0" w:space="0" w:color="auto"/>
        <w:left w:val="none" w:sz="0" w:space="0" w:color="auto"/>
        <w:bottom w:val="none" w:sz="0" w:space="0" w:color="auto"/>
        <w:right w:val="none" w:sz="0" w:space="0" w:color="auto"/>
      </w:divBdr>
    </w:div>
    <w:div w:id="1272472393">
      <w:bodyDiv w:val="1"/>
      <w:marLeft w:val="0"/>
      <w:marRight w:val="0"/>
      <w:marTop w:val="0"/>
      <w:marBottom w:val="0"/>
      <w:divBdr>
        <w:top w:val="none" w:sz="0" w:space="0" w:color="auto"/>
        <w:left w:val="none" w:sz="0" w:space="0" w:color="auto"/>
        <w:bottom w:val="none" w:sz="0" w:space="0" w:color="auto"/>
        <w:right w:val="none" w:sz="0" w:space="0" w:color="auto"/>
      </w:divBdr>
    </w:div>
    <w:div w:id="1272741676">
      <w:bodyDiv w:val="1"/>
      <w:marLeft w:val="0"/>
      <w:marRight w:val="0"/>
      <w:marTop w:val="0"/>
      <w:marBottom w:val="0"/>
      <w:divBdr>
        <w:top w:val="none" w:sz="0" w:space="0" w:color="auto"/>
        <w:left w:val="none" w:sz="0" w:space="0" w:color="auto"/>
        <w:bottom w:val="none" w:sz="0" w:space="0" w:color="auto"/>
        <w:right w:val="none" w:sz="0" w:space="0" w:color="auto"/>
      </w:divBdr>
    </w:div>
    <w:div w:id="1273126386">
      <w:bodyDiv w:val="1"/>
      <w:marLeft w:val="0"/>
      <w:marRight w:val="0"/>
      <w:marTop w:val="0"/>
      <w:marBottom w:val="0"/>
      <w:divBdr>
        <w:top w:val="none" w:sz="0" w:space="0" w:color="auto"/>
        <w:left w:val="none" w:sz="0" w:space="0" w:color="auto"/>
        <w:bottom w:val="none" w:sz="0" w:space="0" w:color="auto"/>
        <w:right w:val="none" w:sz="0" w:space="0" w:color="auto"/>
      </w:divBdr>
    </w:div>
    <w:div w:id="1273441688">
      <w:bodyDiv w:val="1"/>
      <w:marLeft w:val="0"/>
      <w:marRight w:val="0"/>
      <w:marTop w:val="0"/>
      <w:marBottom w:val="0"/>
      <w:divBdr>
        <w:top w:val="none" w:sz="0" w:space="0" w:color="auto"/>
        <w:left w:val="none" w:sz="0" w:space="0" w:color="auto"/>
        <w:bottom w:val="none" w:sz="0" w:space="0" w:color="auto"/>
        <w:right w:val="none" w:sz="0" w:space="0" w:color="auto"/>
      </w:divBdr>
    </w:div>
    <w:div w:id="1274046727">
      <w:bodyDiv w:val="1"/>
      <w:marLeft w:val="0"/>
      <w:marRight w:val="0"/>
      <w:marTop w:val="0"/>
      <w:marBottom w:val="0"/>
      <w:divBdr>
        <w:top w:val="none" w:sz="0" w:space="0" w:color="auto"/>
        <w:left w:val="none" w:sz="0" w:space="0" w:color="auto"/>
        <w:bottom w:val="none" w:sz="0" w:space="0" w:color="auto"/>
        <w:right w:val="none" w:sz="0" w:space="0" w:color="auto"/>
      </w:divBdr>
    </w:div>
    <w:div w:id="1274049100">
      <w:bodyDiv w:val="1"/>
      <w:marLeft w:val="0"/>
      <w:marRight w:val="0"/>
      <w:marTop w:val="0"/>
      <w:marBottom w:val="0"/>
      <w:divBdr>
        <w:top w:val="none" w:sz="0" w:space="0" w:color="auto"/>
        <w:left w:val="none" w:sz="0" w:space="0" w:color="auto"/>
        <w:bottom w:val="none" w:sz="0" w:space="0" w:color="auto"/>
        <w:right w:val="none" w:sz="0" w:space="0" w:color="auto"/>
      </w:divBdr>
    </w:div>
    <w:div w:id="1274092115">
      <w:bodyDiv w:val="1"/>
      <w:marLeft w:val="0"/>
      <w:marRight w:val="0"/>
      <w:marTop w:val="0"/>
      <w:marBottom w:val="0"/>
      <w:divBdr>
        <w:top w:val="none" w:sz="0" w:space="0" w:color="auto"/>
        <w:left w:val="none" w:sz="0" w:space="0" w:color="auto"/>
        <w:bottom w:val="none" w:sz="0" w:space="0" w:color="auto"/>
        <w:right w:val="none" w:sz="0" w:space="0" w:color="auto"/>
      </w:divBdr>
    </w:div>
    <w:div w:id="1274098140">
      <w:bodyDiv w:val="1"/>
      <w:marLeft w:val="0"/>
      <w:marRight w:val="0"/>
      <w:marTop w:val="0"/>
      <w:marBottom w:val="0"/>
      <w:divBdr>
        <w:top w:val="none" w:sz="0" w:space="0" w:color="auto"/>
        <w:left w:val="none" w:sz="0" w:space="0" w:color="auto"/>
        <w:bottom w:val="none" w:sz="0" w:space="0" w:color="auto"/>
        <w:right w:val="none" w:sz="0" w:space="0" w:color="auto"/>
      </w:divBdr>
    </w:div>
    <w:div w:id="1274166453">
      <w:bodyDiv w:val="1"/>
      <w:marLeft w:val="0"/>
      <w:marRight w:val="0"/>
      <w:marTop w:val="0"/>
      <w:marBottom w:val="0"/>
      <w:divBdr>
        <w:top w:val="none" w:sz="0" w:space="0" w:color="auto"/>
        <w:left w:val="none" w:sz="0" w:space="0" w:color="auto"/>
        <w:bottom w:val="none" w:sz="0" w:space="0" w:color="auto"/>
        <w:right w:val="none" w:sz="0" w:space="0" w:color="auto"/>
      </w:divBdr>
    </w:div>
    <w:div w:id="1274436006">
      <w:bodyDiv w:val="1"/>
      <w:marLeft w:val="0"/>
      <w:marRight w:val="0"/>
      <w:marTop w:val="0"/>
      <w:marBottom w:val="0"/>
      <w:divBdr>
        <w:top w:val="none" w:sz="0" w:space="0" w:color="auto"/>
        <w:left w:val="none" w:sz="0" w:space="0" w:color="auto"/>
        <w:bottom w:val="none" w:sz="0" w:space="0" w:color="auto"/>
        <w:right w:val="none" w:sz="0" w:space="0" w:color="auto"/>
      </w:divBdr>
    </w:div>
    <w:div w:id="1274440943">
      <w:bodyDiv w:val="1"/>
      <w:marLeft w:val="0"/>
      <w:marRight w:val="0"/>
      <w:marTop w:val="0"/>
      <w:marBottom w:val="0"/>
      <w:divBdr>
        <w:top w:val="none" w:sz="0" w:space="0" w:color="auto"/>
        <w:left w:val="none" w:sz="0" w:space="0" w:color="auto"/>
        <w:bottom w:val="none" w:sz="0" w:space="0" w:color="auto"/>
        <w:right w:val="none" w:sz="0" w:space="0" w:color="auto"/>
      </w:divBdr>
    </w:div>
    <w:div w:id="1274705585">
      <w:bodyDiv w:val="1"/>
      <w:marLeft w:val="0"/>
      <w:marRight w:val="0"/>
      <w:marTop w:val="0"/>
      <w:marBottom w:val="0"/>
      <w:divBdr>
        <w:top w:val="none" w:sz="0" w:space="0" w:color="auto"/>
        <w:left w:val="none" w:sz="0" w:space="0" w:color="auto"/>
        <w:bottom w:val="none" w:sz="0" w:space="0" w:color="auto"/>
        <w:right w:val="none" w:sz="0" w:space="0" w:color="auto"/>
      </w:divBdr>
    </w:div>
    <w:div w:id="1274826612">
      <w:bodyDiv w:val="1"/>
      <w:marLeft w:val="0"/>
      <w:marRight w:val="0"/>
      <w:marTop w:val="0"/>
      <w:marBottom w:val="0"/>
      <w:divBdr>
        <w:top w:val="none" w:sz="0" w:space="0" w:color="auto"/>
        <w:left w:val="none" w:sz="0" w:space="0" w:color="auto"/>
        <w:bottom w:val="none" w:sz="0" w:space="0" w:color="auto"/>
        <w:right w:val="none" w:sz="0" w:space="0" w:color="auto"/>
      </w:divBdr>
    </w:div>
    <w:div w:id="1274896453">
      <w:bodyDiv w:val="1"/>
      <w:marLeft w:val="0"/>
      <w:marRight w:val="0"/>
      <w:marTop w:val="0"/>
      <w:marBottom w:val="0"/>
      <w:divBdr>
        <w:top w:val="none" w:sz="0" w:space="0" w:color="auto"/>
        <w:left w:val="none" w:sz="0" w:space="0" w:color="auto"/>
        <w:bottom w:val="none" w:sz="0" w:space="0" w:color="auto"/>
        <w:right w:val="none" w:sz="0" w:space="0" w:color="auto"/>
      </w:divBdr>
    </w:div>
    <w:div w:id="1275475629">
      <w:bodyDiv w:val="1"/>
      <w:marLeft w:val="0"/>
      <w:marRight w:val="0"/>
      <w:marTop w:val="0"/>
      <w:marBottom w:val="0"/>
      <w:divBdr>
        <w:top w:val="none" w:sz="0" w:space="0" w:color="auto"/>
        <w:left w:val="none" w:sz="0" w:space="0" w:color="auto"/>
        <w:bottom w:val="none" w:sz="0" w:space="0" w:color="auto"/>
        <w:right w:val="none" w:sz="0" w:space="0" w:color="auto"/>
      </w:divBdr>
    </w:div>
    <w:div w:id="1275942631">
      <w:bodyDiv w:val="1"/>
      <w:marLeft w:val="0"/>
      <w:marRight w:val="0"/>
      <w:marTop w:val="0"/>
      <w:marBottom w:val="0"/>
      <w:divBdr>
        <w:top w:val="none" w:sz="0" w:space="0" w:color="auto"/>
        <w:left w:val="none" w:sz="0" w:space="0" w:color="auto"/>
        <w:bottom w:val="none" w:sz="0" w:space="0" w:color="auto"/>
        <w:right w:val="none" w:sz="0" w:space="0" w:color="auto"/>
      </w:divBdr>
    </w:div>
    <w:div w:id="1276061016">
      <w:bodyDiv w:val="1"/>
      <w:marLeft w:val="0"/>
      <w:marRight w:val="0"/>
      <w:marTop w:val="0"/>
      <w:marBottom w:val="0"/>
      <w:divBdr>
        <w:top w:val="none" w:sz="0" w:space="0" w:color="auto"/>
        <w:left w:val="none" w:sz="0" w:space="0" w:color="auto"/>
        <w:bottom w:val="none" w:sz="0" w:space="0" w:color="auto"/>
        <w:right w:val="none" w:sz="0" w:space="0" w:color="auto"/>
      </w:divBdr>
    </w:div>
    <w:div w:id="1276208255">
      <w:bodyDiv w:val="1"/>
      <w:marLeft w:val="0"/>
      <w:marRight w:val="0"/>
      <w:marTop w:val="0"/>
      <w:marBottom w:val="0"/>
      <w:divBdr>
        <w:top w:val="none" w:sz="0" w:space="0" w:color="auto"/>
        <w:left w:val="none" w:sz="0" w:space="0" w:color="auto"/>
        <w:bottom w:val="none" w:sz="0" w:space="0" w:color="auto"/>
        <w:right w:val="none" w:sz="0" w:space="0" w:color="auto"/>
      </w:divBdr>
    </w:div>
    <w:div w:id="1276252740">
      <w:bodyDiv w:val="1"/>
      <w:marLeft w:val="0"/>
      <w:marRight w:val="0"/>
      <w:marTop w:val="0"/>
      <w:marBottom w:val="0"/>
      <w:divBdr>
        <w:top w:val="none" w:sz="0" w:space="0" w:color="auto"/>
        <w:left w:val="none" w:sz="0" w:space="0" w:color="auto"/>
        <w:bottom w:val="none" w:sz="0" w:space="0" w:color="auto"/>
        <w:right w:val="none" w:sz="0" w:space="0" w:color="auto"/>
      </w:divBdr>
    </w:div>
    <w:div w:id="1276477245">
      <w:bodyDiv w:val="1"/>
      <w:marLeft w:val="0"/>
      <w:marRight w:val="0"/>
      <w:marTop w:val="0"/>
      <w:marBottom w:val="0"/>
      <w:divBdr>
        <w:top w:val="none" w:sz="0" w:space="0" w:color="auto"/>
        <w:left w:val="none" w:sz="0" w:space="0" w:color="auto"/>
        <w:bottom w:val="none" w:sz="0" w:space="0" w:color="auto"/>
        <w:right w:val="none" w:sz="0" w:space="0" w:color="auto"/>
      </w:divBdr>
    </w:div>
    <w:div w:id="1276519286">
      <w:bodyDiv w:val="1"/>
      <w:marLeft w:val="0"/>
      <w:marRight w:val="0"/>
      <w:marTop w:val="0"/>
      <w:marBottom w:val="0"/>
      <w:divBdr>
        <w:top w:val="none" w:sz="0" w:space="0" w:color="auto"/>
        <w:left w:val="none" w:sz="0" w:space="0" w:color="auto"/>
        <w:bottom w:val="none" w:sz="0" w:space="0" w:color="auto"/>
        <w:right w:val="none" w:sz="0" w:space="0" w:color="auto"/>
      </w:divBdr>
    </w:div>
    <w:div w:id="1277250216">
      <w:bodyDiv w:val="1"/>
      <w:marLeft w:val="0"/>
      <w:marRight w:val="0"/>
      <w:marTop w:val="0"/>
      <w:marBottom w:val="0"/>
      <w:divBdr>
        <w:top w:val="none" w:sz="0" w:space="0" w:color="auto"/>
        <w:left w:val="none" w:sz="0" w:space="0" w:color="auto"/>
        <w:bottom w:val="none" w:sz="0" w:space="0" w:color="auto"/>
        <w:right w:val="none" w:sz="0" w:space="0" w:color="auto"/>
      </w:divBdr>
    </w:div>
    <w:div w:id="1277642503">
      <w:bodyDiv w:val="1"/>
      <w:marLeft w:val="0"/>
      <w:marRight w:val="0"/>
      <w:marTop w:val="0"/>
      <w:marBottom w:val="0"/>
      <w:divBdr>
        <w:top w:val="none" w:sz="0" w:space="0" w:color="auto"/>
        <w:left w:val="none" w:sz="0" w:space="0" w:color="auto"/>
        <w:bottom w:val="none" w:sz="0" w:space="0" w:color="auto"/>
        <w:right w:val="none" w:sz="0" w:space="0" w:color="auto"/>
      </w:divBdr>
    </w:div>
    <w:div w:id="1278020745">
      <w:bodyDiv w:val="1"/>
      <w:marLeft w:val="0"/>
      <w:marRight w:val="0"/>
      <w:marTop w:val="0"/>
      <w:marBottom w:val="0"/>
      <w:divBdr>
        <w:top w:val="none" w:sz="0" w:space="0" w:color="auto"/>
        <w:left w:val="none" w:sz="0" w:space="0" w:color="auto"/>
        <w:bottom w:val="none" w:sz="0" w:space="0" w:color="auto"/>
        <w:right w:val="none" w:sz="0" w:space="0" w:color="auto"/>
      </w:divBdr>
    </w:div>
    <w:div w:id="1278369011">
      <w:bodyDiv w:val="1"/>
      <w:marLeft w:val="0"/>
      <w:marRight w:val="0"/>
      <w:marTop w:val="0"/>
      <w:marBottom w:val="0"/>
      <w:divBdr>
        <w:top w:val="none" w:sz="0" w:space="0" w:color="auto"/>
        <w:left w:val="none" w:sz="0" w:space="0" w:color="auto"/>
        <w:bottom w:val="none" w:sz="0" w:space="0" w:color="auto"/>
        <w:right w:val="none" w:sz="0" w:space="0" w:color="auto"/>
      </w:divBdr>
    </w:div>
    <w:div w:id="1279021369">
      <w:bodyDiv w:val="1"/>
      <w:marLeft w:val="0"/>
      <w:marRight w:val="0"/>
      <w:marTop w:val="0"/>
      <w:marBottom w:val="0"/>
      <w:divBdr>
        <w:top w:val="none" w:sz="0" w:space="0" w:color="auto"/>
        <w:left w:val="none" w:sz="0" w:space="0" w:color="auto"/>
        <w:bottom w:val="none" w:sz="0" w:space="0" w:color="auto"/>
        <w:right w:val="none" w:sz="0" w:space="0" w:color="auto"/>
      </w:divBdr>
    </w:div>
    <w:div w:id="1279140750">
      <w:bodyDiv w:val="1"/>
      <w:marLeft w:val="0"/>
      <w:marRight w:val="0"/>
      <w:marTop w:val="0"/>
      <w:marBottom w:val="0"/>
      <w:divBdr>
        <w:top w:val="none" w:sz="0" w:space="0" w:color="auto"/>
        <w:left w:val="none" w:sz="0" w:space="0" w:color="auto"/>
        <w:bottom w:val="none" w:sz="0" w:space="0" w:color="auto"/>
        <w:right w:val="none" w:sz="0" w:space="0" w:color="auto"/>
      </w:divBdr>
    </w:div>
    <w:div w:id="1279336705">
      <w:bodyDiv w:val="1"/>
      <w:marLeft w:val="0"/>
      <w:marRight w:val="0"/>
      <w:marTop w:val="0"/>
      <w:marBottom w:val="0"/>
      <w:divBdr>
        <w:top w:val="none" w:sz="0" w:space="0" w:color="auto"/>
        <w:left w:val="none" w:sz="0" w:space="0" w:color="auto"/>
        <w:bottom w:val="none" w:sz="0" w:space="0" w:color="auto"/>
        <w:right w:val="none" w:sz="0" w:space="0" w:color="auto"/>
      </w:divBdr>
    </w:div>
    <w:div w:id="1280180944">
      <w:bodyDiv w:val="1"/>
      <w:marLeft w:val="0"/>
      <w:marRight w:val="0"/>
      <w:marTop w:val="0"/>
      <w:marBottom w:val="0"/>
      <w:divBdr>
        <w:top w:val="none" w:sz="0" w:space="0" w:color="auto"/>
        <w:left w:val="none" w:sz="0" w:space="0" w:color="auto"/>
        <w:bottom w:val="none" w:sz="0" w:space="0" w:color="auto"/>
        <w:right w:val="none" w:sz="0" w:space="0" w:color="auto"/>
      </w:divBdr>
    </w:div>
    <w:div w:id="1280182531">
      <w:bodyDiv w:val="1"/>
      <w:marLeft w:val="0"/>
      <w:marRight w:val="0"/>
      <w:marTop w:val="0"/>
      <w:marBottom w:val="0"/>
      <w:divBdr>
        <w:top w:val="none" w:sz="0" w:space="0" w:color="auto"/>
        <w:left w:val="none" w:sz="0" w:space="0" w:color="auto"/>
        <w:bottom w:val="none" w:sz="0" w:space="0" w:color="auto"/>
        <w:right w:val="none" w:sz="0" w:space="0" w:color="auto"/>
      </w:divBdr>
    </w:div>
    <w:div w:id="1280186954">
      <w:bodyDiv w:val="1"/>
      <w:marLeft w:val="0"/>
      <w:marRight w:val="0"/>
      <w:marTop w:val="0"/>
      <w:marBottom w:val="0"/>
      <w:divBdr>
        <w:top w:val="none" w:sz="0" w:space="0" w:color="auto"/>
        <w:left w:val="none" w:sz="0" w:space="0" w:color="auto"/>
        <w:bottom w:val="none" w:sz="0" w:space="0" w:color="auto"/>
        <w:right w:val="none" w:sz="0" w:space="0" w:color="auto"/>
      </w:divBdr>
    </w:div>
    <w:div w:id="1280331111">
      <w:bodyDiv w:val="1"/>
      <w:marLeft w:val="0"/>
      <w:marRight w:val="0"/>
      <w:marTop w:val="0"/>
      <w:marBottom w:val="0"/>
      <w:divBdr>
        <w:top w:val="none" w:sz="0" w:space="0" w:color="auto"/>
        <w:left w:val="none" w:sz="0" w:space="0" w:color="auto"/>
        <w:bottom w:val="none" w:sz="0" w:space="0" w:color="auto"/>
        <w:right w:val="none" w:sz="0" w:space="0" w:color="auto"/>
      </w:divBdr>
    </w:div>
    <w:div w:id="1280331303">
      <w:bodyDiv w:val="1"/>
      <w:marLeft w:val="0"/>
      <w:marRight w:val="0"/>
      <w:marTop w:val="0"/>
      <w:marBottom w:val="0"/>
      <w:divBdr>
        <w:top w:val="none" w:sz="0" w:space="0" w:color="auto"/>
        <w:left w:val="none" w:sz="0" w:space="0" w:color="auto"/>
        <w:bottom w:val="none" w:sz="0" w:space="0" w:color="auto"/>
        <w:right w:val="none" w:sz="0" w:space="0" w:color="auto"/>
      </w:divBdr>
    </w:div>
    <w:div w:id="1280379782">
      <w:bodyDiv w:val="1"/>
      <w:marLeft w:val="0"/>
      <w:marRight w:val="0"/>
      <w:marTop w:val="0"/>
      <w:marBottom w:val="0"/>
      <w:divBdr>
        <w:top w:val="none" w:sz="0" w:space="0" w:color="auto"/>
        <w:left w:val="none" w:sz="0" w:space="0" w:color="auto"/>
        <w:bottom w:val="none" w:sz="0" w:space="0" w:color="auto"/>
        <w:right w:val="none" w:sz="0" w:space="0" w:color="auto"/>
      </w:divBdr>
    </w:div>
    <w:div w:id="1280382369">
      <w:bodyDiv w:val="1"/>
      <w:marLeft w:val="0"/>
      <w:marRight w:val="0"/>
      <w:marTop w:val="0"/>
      <w:marBottom w:val="0"/>
      <w:divBdr>
        <w:top w:val="none" w:sz="0" w:space="0" w:color="auto"/>
        <w:left w:val="none" w:sz="0" w:space="0" w:color="auto"/>
        <w:bottom w:val="none" w:sz="0" w:space="0" w:color="auto"/>
        <w:right w:val="none" w:sz="0" w:space="0" w:color="auto"/>
      </w:divBdr>
    </w:div>
    <w:div w:id="1280644497">
      <w:bodyDiv w:val="1"/>
      <w:marLeft w:val="0"/>
      <w:marRight w:val="0"/>
      <w:marTop w:val="0"/>
      <w:marBottom w:val="0"/>
      <w:divBdr>
        <w:top w:val="none" w:sz="0" w:space="0" w:color="auto"/>
        <w:left w:val="none" w:sz="0" w:space="0" w:color="auto"/>
        <w:bottom w:val="none" w:sz="0" w:space="0" w:color="auto"/>
        <w:right w:val="none" w:sz="0" w:space="0" w:color="auto"/>
      </w:divBdr>
    </w:div>
    <w:div w:id="1280986981">
      <w:bodyDiv w:val="1"/>
      <w:marLeft w:val="0"/>
      <w:marRight w:val="0"/>
      <w:marTop w:val="0"/>
      <w:marBottom w:val="0"/>
      <w:divBdr>
        <w:top w:val="none" w:sz="0" w:space="0" w:color="auto"/>
        <w:left w:val="none" w:sz="0" w:space="0" w:color="auto"/>
        <w:bottom w:val="none" w:sz="0" w:space="0" w:color="auto"/>
        <w:right w:val="none" w:sz="0" w:space="0" w:color="auto"/>
      </w:divBdr>
    </w:div>
    <w:div w:id="1280995579">
      <w:bodyDiv w:val="1"/>
      <w:marLeft w:val="0"/>
      <w:marRight w:val="0"/>
      <w:marTop w:val="0"/>
      <w:marBottom w:val="0"/>
      <w:divBdr>
        <w:top w:val="none" w:sz="0" w:space="0" w:color="auto"/>
        <w:left w:val="none" w:sz="0" w:space="0" w:color="auto"/>
        <w:bottom w:val="none" w:sz="0" w:space="0" w:color="auto"/>
        <w:right w:val="none" w:sz="0" w:space="0" w:color="auto"/>
      </w:divBdr>
    </w:div>
    <w:div w:id="1281493559">
      <w:bodyDiv w:val="1"/>
      <w:marLeft w:val="0"/>
      <w:marRight w:val="0"/>
      <w:marTop w:val="0"/>
      <w:marBottom w:val="0"/>
      <w:divBdr>
        <w:top w:val="none" w:sz="0" w:space="0" w:color="auto"/>
        <w:left w:val="none" w:sz="0" w:space="0" w:color="auto"/>
        <w:bottom w:val="none" w:sz="0" w:space="0" w:color="auto"/>
        <w:right w:val="none" w:sz="0" w:space="0" w:color="auto"/>
      </w:divBdr>
    </w:div>
    <w:div w:id="1281718950">
      <w:bodyDiv w:val="1"/>
      <w:marLeft w:val="0"/>
      <w:marRight w:val="0"/>
      <w:marTop w:val="0"/>
      <w:marBottom w:val="0"/>
      <w:divBdr>
        <w:top w:val="none" w:sz="0" w:space="0" w:color="auto"/>
        <w:left w:val="none" w:sz="0" w:space="0" w:color="auto"/>
        <w:bottom w:val="none" w:sz="0" w:space="0" w:color="auto"/>
        <w:right w:val="none" w:sz="0" w:space="0" w:color="auto"/>
      </w:divBdr>
    </w:div>
    <w:div w:id="1282567638">
      <w:bodyDiv w:val="1"/>
      <w:marLeft w:val="0"/>
      <w:marRight w:val="0"/>
      <w:marTop w:val="0"/>
      <w:marBottom w:val="0"/>
      <w:divBdr>
        <w:top w:val="none" w:sz="0" w:space="0" w:color="auto"/>
        <w:left w:val="none" w:sz="0" w:space="0" w:color="auto"/>
        <w:bottom w:val="none" w:sz="0" w:space="0" w:color="auto"/>
        <w:right w:val="none" w:sz="0" w:space="0" w:color="auto"/>
      </w:divBdr>
    </w:div>
    <w:div w:id="1283069913">
      <w:bodyDiv w:val="1"/>
      <w:marLeft w:val="0"/>
      <w:marRight w:val="0"/>
      <w:marTop w:val="0"/>
      <w:marBottom w:val="0"/>
      <w:divBdr>
        <w:top w:val="none" w:sz="0" w:space="0" w:color="auto"/>
        <w:left w:val="none" w:sz="0" w:space="0" w:color="auto"/>
        <w:bottom w:val="none" w:sz="0" w:space="0" w:color="auto"/>
        <w:right w:val="none" w:sz="0" w:space="0" w:color="auto"/>
      </w:divBdr>
    </w:div>
    <w:div w:id="1283070571">
      <w:bodyDiv w:val="1"/>
      <w:marLeft w:val="0"/>
      <w:marRight w:val="0"/>
      <w:marTop w:val="0"/>
      <w:marBottom w:val="0"/>
      <w:divBdr>
        <w:top w:val="none" w:sz="0" w:space="0" w:color="auto"/>
        <w:left w:val="none" w:sz="0" w:space="0" w:color="auto"/>
        <w:bottom w:val="none" w:sz="0" w:space="0" w:color="auto"/>
        <w:right w:val="none" w:sz="0" w:space="0" w:color="auto"/>
      </w:divBdr>
    </w:div>
    <w:div w:id="1283264761">
      <w:bodyDiv w:val="1"/>
      <w:marLeft w:val="0"/>
      <w:marRight w:val="0"/>
      <w:marTop w:val="0"/>
      <w:marBottom w:val="0"/>
      <w:divBdr>
        <w:top w:val="none" w:sz="0" w:space="0" w:color="auto"/>
        <w:left w:val="none" w:sz="0" w:space="0" w:color="auto"/>
        <w:bottom w:val="none" w:sz="0" w:space="0" w:color="auto"/>
        <w:right w:val="none" w:sz="0" w:space="0" w:color="auto"/>
      </w:divBdr>
    </w:div>
    <w:div w:id="1283612829">
      <w:bodyDiv w:val="1"/>
      <w:marLeft w:val="0"/>
      <w:marRight w:val="0"/>
      <w:marTop w:val="0"/>
      <w:marBottom w:val="0"/>
      <w:divBdr>
        <w:top w:val="none" w:sz="0" w:space="0" w:color="auto"/>
        <w:left w:val="none" w:sz="0" w:space="0" w:color="auto"/>
        <w:bottom w:val="none" w:sz="0" w:space="0" w:color="auto"/>
        <w:right w:val="none" w:sz="0" w:space="0" w:color="auto"/>
      </w:divBdr>
    </w:div>
    <w:div w:id="1283615349">
      <w:bodyDiv w:val="1"/>
      <w:marLeft w:val="0"/>
      <w:marRight w:val="0"/>
      <w:marTop w:val="0"/>
      <w:marBottom w:val="0"/>
      <w:divBdr>
        <w:top w:val="none" w:sz="0" w:space="0" w:color="auto"/>
        <w:left w:val="none" w:sz="0" w:space="0" w:color="auto"/>
        <w:bottom w:val="none" w:sz="0" w:space="0" w:color="auto"/>
        <w:right w:val="none" w:sz="0" w:space="0" w:color="auto"/>
      </w:divBdr>
    </w:div>
    <w:div w:id="1283881843">
      <w:bodyDiv w:val="1"/>
      <w:marLeft w:val="0"/>
      <w:marRight w:val="0"/>
      <w:marTop w:val="0"/>
      <w:marBottom w:val="0"/>
      <w:divBdr>
        <w:top w:val="none" w:sz="0" w:space="0" w:color="auto"/>
        <w:left w:val="none" w:sz="0" w:space="0" w:color="auto"/>
        <w:bottom w:val="none" w:sz="0" w:space="0" w:color="auto"/>
        <w:right w:val="none" w:sz="0" w:space="0" w:color="auto"/>
      </w:divBdr>
    </w:div>
    <w:div w:id="1284117137">
      <w:bodyDiv w:val="1"/>
      <w:marLeft w:val="0"/>
      <w:marRight w:val="0"/>
      <w:marTop w:val="0"/>
      <w:marBottom w:val="0"/>
      <w:divBdr>
        <w:top w:val="none" w:sz="0" w:space="0" w:color="auto"/>
        <w:left w:val="none" w:sz="0" w:space="0" w:color="auto"/>
        <w:bottom w:val="none" w:sz="0" w:space="0" w:color="auto"/>
        <w:right w:val="none" w:sz="0" w:space="0" w:color="auto"/>
      </w:divBdr>
    </w:div>
    <w:div w:id="1284267805">
      <w:bodyDiv w:val="1"/>
      <w:marLeft w:val="0"/>
      <w:marRight w:val="0"/>
      <w:marTop w:val="0"/>
      <w:marBottom w:val="0"/>
      <w:divBdr>
        <w:top w:val="none" w:sz="0" w:space="0" w:color="auto"/>
        <w:left w:val="none" w:sz="0" w:space="0" w:color="auto"/>
        <w:bottom w:val="none" w:sz="0" w:space="0" w:color="auto"/>
        <w:right w:val="none" w:sz="0" w:space="0" w:color="auto"/>
      </w:divBdr>
    </w:div>
    <w:div w:id="1284733274">
      <w:bodyDiv w:val="1"/>
      <w:marLeft w:val="0"/>
      <w:marRight w:val="0"/>
      <w:marTop w:val="0"/>
      <w:marBottom w:val="0"/>
      <w:divBdr>
        <w:top w:val="none" w:sz="0" w:space="0" w:color="auto"/>
        <w:left w:val="none" w:sz="0" w:space="0" w:color="auto"/>
        <w:bottom w:val="none" w:sz="0" w:space="0" w:color="auto"/>
        <w:right w:val="none" w:sz="0" w:space="0" w:color="auto"/>
      </w:divBdr>
    </w:div>
    <w:div w:id="1284770763">
      <w:bodyDiv w:val="1"/>
      <w:marLeft w:val="0"/>
      <w:marRight w:val="0"/>
      <w:marTop w:val="0"/>
      <w:marBottom w:val="0"/>
      <w:divBdr>
        <w:top w:val="none" w:sz="0" w:space="0" w:color="auto"/>
        <w:left w:val="none" w:sz="0" w:space="0" w:color="auto"/>
        <w:bottom w:val="none" w:sz="0" w:space="0" w:color="auto"/>
        <w:right w:val="none" w:sz="0" w:space="0" w:color="auto"/>
      </w:divBdr>
    </w:div>
    <w:div w:id="1284995369">
      <w:bodyDiv w:val="1"/>
      <w:marLeft w:val="0"/>
      <w:marRight w:val="0"/>
      <w:marTop w:val="0"/>
      <w:marBottom w:val="0"/>
      <w:divBdr>
        <w:top w:val="none" w:sz="0" w:space="0" w:color="auto"/>
        <w:left w:val="none" w:sz="0" w:space="0" w:color="auto"/>
        <w:bottom w:val="none" w:sz="0" w:space="0" w:color="auto"/>
        <w:right w:val="none" w:sz="0" w:space="0" w:color="auto"/>
      </w:divBdr>
    </w:div>
    <w:div w:id="1285304053">
      <w:bodyDiv w:val="1"/>
      <w:marLeft w:val="0"/>
      <w:marRight w:val="0"/>
      <w:marTop w:val="0"/>
      <w:marBottom w:val="0"/>
      <w:divBdr>
        <w:top w:val="none" w:sz="0" w:space="0" w:color="auto"/>
        <w:left w:val="none" w:sz="0" w:space="0" w:color="auto"/>
        <w:bottom w:val="none" w:sz="0" w:space="0" w:color="auto"/>
        <w:right w:val="none" w:sz="0" w:space="0" w:color="auto"/>
      </w:divBdr>
    </w:div>
    <w:div w:id="1285502053">
      <w:bodyDiv w:val="1"/>
      <w:marLeft w:val="0"/>
      <w:marRight w:val="0"/>
      <w:marTop w:val="0"/>
      <w:marBottom w:val="0"/>
      <w:divBdr>
        <w:top w:val="none" w:sz="0" w:space="0" w:color="auto"/>
        <w:left w:val="none" w:sz="0" w:space="0" w:color="auto"/>
        <w:bottom w:val="none" w:sz="0" w:space="0" w:color="auto"/>
        <w:right w:val="none" w:sz="0" w:space="0" w:color="auto"/>
      </w:divBdr>
    </w:div>
    <w:div w:id="1286159544">
      <w:bodyDiv w:val="1"/>
      <w:marLeft w:val="0"/>
      <w:marRight w:val="0"/>
      <w:marTop w:val="0"/>
      <w:marBottom w:val="0"/>
      <w:divBdr>
        <w:top w:val="none" w:sz="0" w:space="0" w:color="auto"/>
        <w:left w:val="none" w:sz="0" w:space="0" w:color="auto"/>
        <w:bottom w:val="none" w:sz="0" w:space="0" w:color="auto"/>
        <w:right w:val="none" w:sz="0" w:space="0" w:color="auto"/>
      </w:divBdr>
    </w:div>
    <w:div w:id="1286933044">
      <w:bodyDiv w:val="1"/>
      <w:marLeft w:val="0"/>
      <w:marRight w:val="0"/>
      <w:marTop w:val="0"/>
      <w:marBottom w:val="0"/>
      <w:divBdr>
        <w:top w:val="none" w:sz="0" w:space="0" w:color="auto"/>
        <w:left w:val="none" w:sz="0" w:space="0" w:color="auto"/>
        <w:bottom w:val="none" w:sz="0" w:space="0" w:color="auto"/>
        <w:right w:val="none" w:sz="0" w:space="0" w:color="auto"/>
      </w:divBdr>
    </w:div>
    <w:div w:id="1287154782">
      <w:bodyDiv w:val="1"/>
      <w:marLeft w:val="0"/>
      <w:marRight w:val="0"/>
      <w:marTop w:val="0"/>
      <w:marBottom w:val="0"/>
      <w:divBdr>
        <w:top w:val="none" w:sz="0" w:space="0" w:color="auto"/>
        <w:left w:val="none" w:sz="0" w:space="0" w:color="auto"/>
        <w:bottom w:val="none" w:sz="0" w:space="0" w:color="auto"/>
        <w:right w:val="none" w:sz="0" w:space="0" w:color="auto"/>
      </w:divBdr>
    </w:div>
    <w:div w:id="1287270044">
      <w:bodyDiv w:val="1"/>
      <w:marLeft w:val="0"/>
      <w:marRight w:val="0"/>
      <w:marTop w:val="0"/>
      <w:marBottom w:val="0"/>
      <w:divBdr>
        <w:top w:val="none" w:sz="0" w:space="0" w:color="auto"/>
        <w:left w:val="none" w:sz="0" w:space="0" w:color="auto"/>
        <w:bottom w:val="none" w:sz="0" w:space="0" w:color="auto"/>
        <w:right w:val="none" w:sz="0" w:space="0" w:color="auto"/>
      </w:divBdr>
    </w:div>
    <w:div w:id="1287392203">
      <w:bodyDiv w:val="1"/>
      <w:marLeft w:val="0"/>
      <w:marRight w:val="0"/>
      <w:marTop w:val="0"/>
      <w:marBottom w:val="0"/>
      <w:divBdr>
        <w:top w:val="none" w:sz="0" w:space="0" w:color="auto"/>
        <w:left w:val="none" w:sz="0" w:space="0" w:color="auto"/>
        <w:bottom w:val="none" w:sz="0" w:space="0" w:color="auto"/>
        <w:right w:val="none" w:sz="0" w:space="0" w:color="auto"/>
      </w:divBdr>
    </w:div>
    <w:div w:id="1287470492">
      <w:bodyDiv w:val="1"/>
      <w:marLeft w:val="0"/>
      <w:marRight w:val="0"/>
      <w:marTop w:val="0"/>
      <w:marBottom w:val="0"/>
      <w:divBdr>
        <w:top w:val="none" w:sz="0" w:space="0" w:color="auto"/>
        <w:left w:val="none" w:sz="0" w:space="0" w:color="auto"/>
        <w:bottom w:val="none" w:sz="0" w:space="0" w:color="auto"/>
        <w:right w:val="none" w:sz="0" w:space="0" w:color="auto"/>
      </w:divBdr>
    </w:div>
    <w:div w:id="1287855741">
      <w:bodyDiv w:val="1"/>
      <w:marLeft w:val="0"/>
      <w:marRight w:val="0"/>
      <w:marTop w:val="0"/>
      <w:marBottom w:val="0"/>
      <w:divBdr>
        <w:top w:val="none" w:sz="0" w:space="0" w:color="auto"/>
        <w:left w:val="none" w:sz="0" w:space="0" w:color="auto"/>
        <w:bottom w:val="none" w:sz="0" w:space="0" w:color="auto"/>
        <w:right w:val="none" w:sz="0" w:space="0" w:color="auto"/>
      </w:divBdr>
    </w:div>
    <w:div w:id="1287926788">
      <w:bodyDiv w:val="1"/>
      <w:marLeft w:val="0"/>
      <w:marRight w:val="0"/>
      <w:marTop w:val="0"/>
      <w:marBottom w:val="0"/>
      <w:divBdr>
        <w:top w:val="none" w:sz="0" w:space="0" w:color="auto"/>
        <w:left w:val="none" w:sz="0" w:space="0" w:color="auto"/>
        <w:bottom w:val="none" w:sz="0" w:space="0" w:color="auto"/>
        <w:right w:val="none" w:sz="0" w:space="0" w:color="auto"/>
      </w:divBdr>
    </w:div>
    <w:div w:id="1288010112">
      <w:bodyDiv w:val="1"/>
      <w:marLeft w:val="0"/>
      <w:marRight w:val="0"/>
      <w:marTop w:val="0"/>
      <w:marBottom w:val="0"/>
      <w:divBdr>
        <w:top w:val="none" w:sz="0" w:space="0" w:color="auto"/>
        <w:left w:val="none" w:sz="0" w:space="0" w:color="auto"/>
        <w:bottom w:val="none" w:sz="0" w:space="0" w:color="auto"/>
        <w:right w:val="none" w:sz="0" w:space="0" w:color="auto"/>
      </w:divBdr>
    </w:div>
    <w:div w:id="1288121262">
      <w:bodyDiv w:val="1"/>
      <w:marLeft w:val="0"/>
      <w:marRight w:val="0"/>
      <w:marTop w:val="0"/>
      <w:marBottom w:val="0"/>
      <w:divBdr>
        <w:top w:val="none" w:sz="0" w:space="0" w:color="auto"/>
        <w:left w:val="none" w:sz="0" w:space="0" w:color="auto"/>
        <w:bottom w:val="none" w:sz="0" w:space="0" w:color="auto"/>
        <w:right w:val="none" w:sz="0" w:space="0" w:color="auto"/>
      </w:divBdr>
    </w:div>
    <w:div w:id="1288970833">
      <w:bodyDiv w:val="1"/>
      <w:marLeft w:val="0"/>
      <w:marRight w:val="0"/>
      <w:marTop w:val="0"/>
      <w:marBottom w:val="0"/>
      <w:divBdr>
        <w:top w:val="none" w:sz="0" w:space="0" w:color="auto"/>
        <w:left w:val="none" w:sz="0" w:space="0" w:color="auto"/>
        <w:bottom w:val="none" w:sz="0" w:space="0" w:color="auto"/>
        <w:right w:val="none" w:sz="0" w:space="0" w:color="auto"/>
      </w:divBdr>
    </w:div>
    <w:div w:id="1289509173">
      <w:bodyDiv w:val="1"/>
      <w:marLeft w:val="0"/>
      <w:marRight w:val="0"/>
      <w:marTop w:val="0"/>
      <w:marBottom w:val="0"/>
      <w:divBdr>
        <w:top w:val="none" w:sz="0" w:space="0" w:color="auto"/>
        <w:left w:val="none" w:sz="0" w:space="0" w:color="auto"/>
        <w:bottom w:val="none" w:sz="0" w:space="0" w:color="auto"/>
        <w:right w:val="none" w:sz="0" w:space="0" w:color="auto"/>
      </w:divBdr>
    </w:div>
    <w:div w:id="1289704015">
      <w:bodyDiv w:val="1"/>
      <w:marLeft w:val="0"/>
      <w:marRight w:val="0"/>
      <w:marTop w:val="0"/>
      <w:marBottom w:val="0"/>
      <w:divBdr>
        <w:top w:val="none" w:sz="0" w:space="0" w:color="auto"/>
        <w:left w:val="none" w:sz="0" w:space="0" w:color="auto"/>
        <w:bottom w:val="none" w:sz="0" w:space="0" w:color="auto"/>
        <w:right w:val="none" w:sz="0" w:space="0" w:color="auto"/>
      </w:divBdr>
    </w:div>
    <w:div w:id="1289822670">
      <w:bodyDiv w:val="1"/>
      <w:marLeft w:val="0"/>
      <w:marRight w:val="0"/>
      <w:marTop w:val="0"/>
      <w:marBottom w:val="0"/>
      <w:divBdr>
        <w:top w:val="none" w:sz="0" w:space="0" w:color="auto"/>
        <w:left w:val="none" w:sz="0" w:space="0" w:color="auto"/>
        <w:bottom w:val="none" w:sz="0" w:space="0" w:color="auto"/>
        <w:right w:val="none" w:sz="0" w:space="0" w:color="auto"/>
      </w:divBdr>
    </w:div>
    <w:div w:id="1290285530">
      <w:bodyDiv w:val="1"/>
      <w:marLeft w:val="0"/>
      <w:marRight w:val="0"/>
      <w:marTop w:val="0"/>
      <w:marBottom w:val="0"/>
      <w:divBdr>
        <w:top w:val="none" w:sz="0" w:space="0" w:color="auto"/>
        <w:left w:val="none" w:sz="0" w:space="0" w:color="auto"/>
        <w:bottom w:val="none" w:sz="0" w:space="0" w:color="auto"/>
        <w:right w:val="none" w:sz="0" w:space="0" w:color="auto"/>
      </w:divBdr>
    </w:div>
    <w:div w:id="1290436074">
      <w:bodyDiv w:val="1"/>
      <w:marLeft w:val="0"/>
      <w:marRight w:val="0"/>
      <w:marTop w:val="0"/>
      <w:marBottom w:val="0"/>
      <w:divBdr>
        <w:top w:val="none" w:sz="0" w:space="0" w:color="auto"/>
        <w:left w:val="none" w:sz="0" w:space="0" w:color="auto"/>
        <w:bottom w:val="none" w:sz="0" w:space="0" w:color="auto"/>
        <w:right w:val="none" w:sz="0" w:space="0" w:color="auto"/>
      </w:divBdr>
    </w:div>
    <w:div w:id="1290623610">
      <w:bodyDiv w:val="1"/>
      <w:marLeft w:val="0"/>
      <w:marRight w:val="0"/>
      <w:marTop w:val="0"/>
      <w:marBottom w:val="0"/>
      <w:divBdr>
        <w:top w:val="none" w:sz="0" w:space="0" w:color="auto"/>
        <w:left w:val="none" w:sz="0" w:space="0" w:color="auto"/>
        <w:bottom w:val="none" w:sz="0" w:space="0" w:color="auto"/>
        <w:right w:val="none" w:sz="0" w:space="0" w:color="auto"/>
      </w:divBdr>
    </w:div>
    <w:div w:id="1290667750">
      <w:bodyDiv w:val="1"/>
      <w:marLeft w:val="0"/>
      <w:marRight w:val="0"/>
      <w:marTop w:val="0"/>
      <w:marBottom w:val="0"/>
      <w:divBdr>
        <w:top w:val="none" w:sz="0" w:space="0" w:color="auto"/>
        <w:left w:val="none" w:sz="0" w:space="0" w:color="auto"/>
        <w:bottom w:val="none" w:sz="0" w:space="0" w:color="auto"/>
        <w:right w:val="none" w:sz="0" w:space="0" w:color="auto"/>
      </w:divBdr>
    </w:div>
    <w:div w:id="1290865090">
      <w:bodyDiv w:val="1"/>
      <w:marLeft w:val="0"/>
      <w:marRight w:val="0"/>
      <w:marTop w:val="0"/>
      <w:marBottom w:val="0"/>
      <w:divBdr>
        <w:top w:val="none" w:sz="0" w:space="0" w:color="auto"/>
        <w:left w:val="none" w:sz="0" w:space="0" w:color="auto"/>
        <w:bottom w:val="none" w:sz="0" w:space="0" w:color="auto"/>
        <w:right w:val="none" w:sz="0" w:space="0" w:color="auto"/>
      </w:divBdr>
    </w:div>
    <w:div w:id="1292051822">
      <w:bodyDiv w:val="1"/>
      <w:marLeft w:val="0"/>
      <w:marRight w:val="0"/>
      <w:marTop w:val="0"/>
      <w:marBottom w:val="0"/>
      <w:divBdr>
        <w:top w:val="none" w:sz="0" w:space="0" w:color="auto"/>
        <w:left w:val="none" w:sz="0" w:space="0" w:color="auto"/>
        <w:bottom w:val="none" w:sz="0" w:space="0" w:color="auto"/>
        <w:right w:val="none" w:sz="0" w:space="0" w:color="auto"/>
      </w:divBdr>
    </w:div>
    <w:div w:id="1292711317">
      <w:bodyDiv w:val="1"/>
      <w:marLeft w:val="0"/>
      <w:marRight w:val="0"/>
      <w:marTop w:val="0"/>
      <w:marBottom w:val="0"/>
      <w:divBdr>
        <w:top w:val="none" w:sz="0" w:space="0" w:color="auto"/>
        <w:left w:val="none" w:sz="0" w:space="0" w:color="auto"/>
        <w:bottom w:val="none" w:sz="0" w:space="0" w:color="auto"/>
        <w:right w:val="none" w:sz="0" w:space="0" w:color="auto"/>
      </w:divBdr>
    </w:div>
    <w:div w:id="1292713870">
      <w:bodyDiv w:val="1"/>
      <w:marLeft w:val="0"/>
      <w:marRight w:val="0"/>
      <w:marTop w:val="0"/>
      <w:marBottom w:val="0"/>
      <w:divBdr>
        <w:top w:val="none" w:sz="0" w:space="0" w:color="auto"/>
        <w:left w:val="none" w:sz="0" w:space="0" w:color="auto"/>
        <w:bottom w:val="none" w:sz="0" w:space="0" w:color="auto"/>
        <w:right w:val="none" w:sz="0" w:space="0" w:color="auto"/>
      </w:divBdr>
    </w:div>
    <w:div w:id="1292787061">
      <w:bodyDiv w:val="1"/>
      <w:marLeft w:val="0"/>
      <w:marRight w:val="0"/>
      <w:marTop w:val="0"/>
      <w:marBottom w:val="0"/>
      <w:divBdr>
        <w:top w:val="none" w:sz="0" w:space="0" w:color="auto"/>
        <w:left w:val="none" w:sz="0" w:space="0" w:color="auto"/>
        <w:bottom w:val="none" w:sz="0" w:space="0" w:color="auto"/>
        <w:right w:val="none" w:sz="0" w:space="0" w:color="auto"/>
      </w:divBdr>
    </w:div>
    <w:div w:id="1293174272">
      <w:bodyDiv w:val="1"/>
      <w:marLeft w:val="0"/>
      <w:marRight w:val="0"/>
      <w:marTop w:val="0"/>
      <w:marBottom w:val="0"/>
      <w:divBdr>
        <w:top w:val="none" w:sz="0" w:space="0" w:color="auto"/>
        <w:left w:val="none" w:sz="0" w:space="0" w:color="auto"/>
        <w:bottom w:val="none" w:sz="0" w:space="0" w:color="auto"/>
        <w:right w:val="none" w:sz="0" w:space="0" w:color="auto"/>
      </w:divBdr>
    </w:div>
    <w:div w:id="1293443293">
      <w:bodyDiv w:val="1"/>
      <w:marLeft w:val="0"/>
      <w:marRight w:val="0"/>
      <w:marTop w:val="0"/>
      <w:marBottom w:val="0"/>
      <w:divBdr>
        <w:top w:val="none" w:sz="0" w:space="0" w:color="auto"/>
        <w:left w:val="none" w:sz="0" w:space="0" w:color="auto"/>
        <w:bottom w:val="none" w:sz="0" w:space="0" w:color="auto"/>
        <w:right w:val="none" w:sz="0" w:space="0" w:color="auto"/>
      </w:divBdr>
    </w:div>
    <w:div w:id="1293634787">
      <w:bodyDiv w:val="1"/>
      <w:marLeft w:val="0"/>
      <w:marRight w:val="0"/>
      <w:marTop w:val="0"/>
      <w:marBottom w:val="0"/>
      <w:divBdr>
        <w:top w:val="none" w:sz="0" w:space="0" w:color="auto"/>
        <w:left w:val="none" w:sz="0" w:space="0" w:color="auto"/>
        <w:bottom w:val="none" w:sz="0" w:space="0" w:color="auto"/>
        <w:right w:val="none" w:sz="0" w:space="0" w:color="auto"/>
      </w:divBdr>
    </w:div>
    <w:div w:id="1294143498">
      <w:bodyDiv w:val="1"/>
      <w:marLeft w:val="0"/>
      <w:marRight w:val="0"/>
      <w:marTop w:val="0"/>
      <w:marBottom w:val="0"/>
      <w:divBdr>
        <w:top w:val="none" w:sz="0" w:space="0" w:color="auto"/>
        <w:left w:val="none" w:sz="0" w:space="0" w:color="auto"/>
        <w:bottom w:val="none" w:sz="0" w:space="0" w:color="auto"/>
        <w:right w:val="none" w:sz="0" w:space="0" w:color="auto"/>
      </w:divBdr>
    </w:div>
    <w:div w:id="1294939838">
      <w:bodyDiv w:val="1"/>
      <w:marLeft w:val="0"/>
      <w:marRight w:val="0"/>
      <w:marTop w:val="0"/>
      <w:marBottom w:val="0"/>
      <w:divBdr>
        <w:top w:val="none" w:sz="0" w:space="0" w:color="auto"/>
        <w:left w:val="none" w:sz="0" w:space="0" w:color="auto"/>
        <w:bottom w:val="none" w:sz="0" w:space="0" w:color="auto"/>
        <w:right w:val="none" w:sz="0" w:space="0" w:color="auto"/>
      </w:divBdr>
    </w:div>
    <w:div w:id="1295018121">
      <w:bodyDiv w:val="1"/>
      <w:marLeft w:val="0"/>
      <w:marRight w:val="0"/>
      <w:marTop w:val="0"/>
      <w:marBottom w:val="0"/>
      <w:divBdr>
        <w:top w:val="none" w:sz="0" w:space="0" w:color="auto"/>
        <w:left w:val="none" w:sz="0" w:space="0" w:color="auto"/>
        <w:bottom w:val="none" w:sz="0" w:space="0" w:color="auto"/>
        <w:right w:val="none" w:sz="0" w:space="0" w:color="auto"/>
      </w:divBdr>
    </w:div>
    <w:div w:id="1295061893">
      <w:bodyDiv w:val="1"/>
      <w:marLeft w:val="0"/>
      <w:marRight w:val="0"/>
      <w:marTop w:val="0"/>
      <w:marBottom w:val="0"/>
      <w:divBdr>
        <w:top w:val="none" w:sz="0" w:space="0" w:color="auto"/>
        <w:left w:val="none" w:sz="0" w:space="0" w:color="auto"/>
        <w:bottom w:val="none" w:sz="0" w:space="0" w:color="auto"/>
        <w:right w:val="none" w:sz="0" w:space="0" w:color="auto"/>
      </w:divBdr>
    </w:div>
    <w:div w:id="1295063658">
      <w:bodyDiv w:val="1"/>
      <w:marLeft w:val="0"/>
      <w:marRight w:val="0"/>
      <w:marTop w:val="0"/>
      <w:marBottom w:val="0"/>
      <w:divBdr>
        <w:top w:val="none" w:sz="0" w:space="0" w:color="auto"/>
        <w:left w:val="none" w:sz="0" w:space="0" w:color="auto"/>
        <w:bottom w:val="none" w:sz="0" w:space="0" w:color="auto"/>
        <w:right w:val="none" w:sz="0" w:space="0" w:color="auto"/>
      </w:divBdr>
    </w:div>
    <w:div w:id="1295871170">
      <w:bodyDiv w:val="1"/>
      <w:marLeft w:val="0"/>
      <w:marRight w:val="0"/>
      <w:marTop w:val="0"/>
      <w:marBottom w:val="0"/>
      <w:divBdr>
        <w:top w:val="none" w:sz="0" w:space="0" w:color="auto"/>
        <w:left w:val="none" w:sz="0" w:space="0" w:color="auto"/>
        <w:bottom w:val="none" w:sz="0" w:space="0" w:color="auto"/>
        <w:right w:val="none" w:sz="0" w:space="0" w:color="auto"/>
      </w:divBdr>
    </w:div>
    <w:div w:id="1295940367">
      <w:bodyDiv w:val="1"/>
      <w:marLeft w:val="0"/>
      <w:marRight w:val="0"/>
      <w:marTop w:val="0"/>
      <w:marBottom w:val="0"/>
      <w:divBdr>
        <w:top w:val="none" w:sz="0" w:space="0" w:color="auto"/>
        <w:left w:val="none" w:sz="0" w:space="0" w:color="auto"/>
        <w:bottom w:val="none" w:sz="0" w:space="0" w:color="auto"/>
        <w:right w:val="none" w:sz="0" w:space="0" w:color="auto"/>
      </w:divBdr>
    </w:div>
    <w:div w:id="1295983368">
      <w:bodyDiv w:val="1"/>
      <w:marLeft w:val="0"/>
      <w:marRight w:val="0"/>
      <w:marTop w:val="0"/>
      <w:marBottom w:val="0"/>
      <w:divBdr>
        <w:top w:val="none" w:sz="0" w:space="0" w:color="auto"/>
        <w:left w:val="none" w:sz="0" w:space="0" w:color="auto"/>
        <w:bottom w:val="none" w:sz="0" w:space="0" w:color="auto"/>
        <w:right w:val="none" w:sz="0" w:space="0" w:color="auto"/>
      </w:divBdr>
    </w:div>
    <w:div w:id="1296058524">
      <w:bodyDiv w:val="1"/>
      <w:marLeft w:val="0"/>
      <w:marRight w:val="0"/>
      <w:marTop w:val="0"/>
      <w:marBottom w:val="0"/>
      <w:divBdr>
        <w:top w:val="none" w:sz="0" w:space="0" w:color="auto"/>
        <w:left w:val="none" w:sz="0" w:space="0" w:color="auto"/>
        <w:bottom w:val="none" w:sz="0" w:space="0" w:color="auto"/>
        <w:right w:val="none" w:sz="0" w:space="0" w:color="auto"/>
      </w:divBdr>
    </w:div>
    <w:div w:id="1296184473">
      <w:bodyDiv w:val="1"/>
      <w:marLeft w:val="0"/>
      <w:marRight w:val="0"/>
      <w:marTop w:val="0"/>
      <w:marBottom w:val="0"/>
      <w:divBdr>
        <w:top w:val="none" w:sz="0" w:space="0" w:color="auto"/>
        <w:left w:val="none" w:sz="0" w:space="0" w:color="auto"/>
        <w:bottom w:val="none" w:sz="0" w:space="0" w:color="auto"/>
        <w:right w:val="none" w:sz="0" w:space="0" w:color="auto"/>
      </w:divBdr>
    </w:div>
    <w:div w:id="1296835211">
      <w:bodyDiv w:val="1"/>
      <w:marLeft w:val="0"/>
      <w:marRight w:val="0"/>
      <w:marTop w:val="0"/>
      <w:marBottom w:val="0"/>
      <w:divBdr>
        <w:top w:val="none" w:sz="0" w:space="0" w:color="auto"/>
        <w:left w:val="none" w:sz="0" w:space="0" w:color="auto"/>
        <w:bottom w:val="none" w:sz="0" w:space="0" w:color="auto"/>
        <w:right w:val="none" w:sz="0" w:space="0" w:color="auto"/>
      </w:divBdr>
    </w:div>
    <w:div w:id="1296987347">
      <w:bodyDiv w:val="1"/>
      <w:marLeft w:val="0"/>
      <w:marRight w:val="0"/>
      <w:marTop w:val="0"/>
      <w:marBottom w:val="0"/>
      <w:divBdr>
        <w:top w:val="none" w:sz="0" w:space="0" w:color="auto"/>
        <w:left w:val="none" w:sz="0" w:space="0" w:color="auto"/>
        <w:bottom w:val="none" w:sz="0" w:space="0" w:color="auto"/>
        <w:right w:val="none" w:sz="0" w:space="0" w:color="auto"/>
      </w:divBdr>
    </w:div>
    <w:div w:id="1297024223">
      <w:bodyDiv w:val="1"/>
      <w:marLeft w:val="0"/>
      <w:marRight w:val="0"/>
      <w:marTop w:val="0"/>
      <w:marBottom w:val="0"/>
      <w:divBdr>
        <w:top w:val="none" w:sz="0" w:space="0" w:color="auto"/>
        <w:left w:val="none" w:sz="0" w:space="0" w:color="auto"/>
        <w:bottom w:val="none" w:sz="0" w:space="0" w:color="auto"/>
        <w:right w:val="none" w:sz="0" w:space="0" w:color="auto"/>
      </w:divBdr>
    </w:div>
    <w:div w:id="1297367798">
      <w:bodyDiv w:val="1"/>
      <w:marLeft w:val="0"/>
      <w:marRight w:val="0"/>
      <w:marTop w:val="0"/>
      <w:marBottom w:val="0"/>
      <w:divBdr>
        <w:top w:val="none" w:sz="0" w:space="0" w:color="auto"/>
        <w:left w:val="none" w:sz="0" w:space="0" w:color="auto"/>
        <w:bottom w:val="none" w:sz="0" w:space="0" w:color="auto"/>
        <w:right w:val="none" w:sz="0" w:space="0" w:color="auto"/>
      </w:divBdr>
    </w:div>
    <w:div w:id="1297636844">
      <w:bodyDiv w:val="1"/>
      <w:marLeft w:val="0"/>
      <w:marRight w:val="0"/>
      <w:marTop w:val="0"/>
      <w:marBottom w:val="0"/>
      <w:divBdr>
        <w:top w:val="none" w:sz="0" w:space="0" w:color="auto"/>
        <w:left w:val="none" w:sz="0" w:space="0" w:color="auto"/>
        <w:bottom w:val="none" w:sz="0" w:space="0" w:color="auto"/>
        <w:right w:val="none" w:sz="0" w:space="0" w:color="auto"/>
      </w:divBdr>
    </w:div>
    <w:div w:id="1297875825">
      <w:bodyDiv w:val="1"/>
      <w:marLeft w:val="0"/>
      <w:marRight w:val="0"/>
      <w:marTop w:val="0"/>
      <w:marBottom w:val="0"/>
      <w:divBdr>
        <w:top w:val="none" w:sz="0" w:space="0" w:color="auto"/>
        <w:left w:val="none" w:sz="0" w:space="0" w:color="auto"/>
        <w:bottom w:val="none" w:sz="0" w:space="0" w:color="auto"/>
        <w:right w:val="none" w:sz="0" w:space="0" w:color="auto"/>
      </w:divBdr>
    </w:div>
    <w:div w:id="1298150140">
      <w:bodyDiv w:val="1"/>
      <w:marLeft w:val="0"/>
      <w:marRight w:val="0"/>
      <w:marTop w:val="0"/>
      <w:marBottom w:val="0"/>
      <w:divBdr>
        <w:top w:val="none" w:sz="0" w:space="0" w:color="auto"/>
        <w:left w:val="none" w:sz="0" w:space="0" w:color="auto"/>
        <w:bottom w:val="none" w:sz="0" w:space="0" w:color="auto"/>
        <w:right w:val="none" w:sz="0" w:space="0" w:color="auto"/>
      </w:divBdr>
    </w:div>
    <w:div w:id="1298607512">
      <w:bodyDiv w:val="1"/>
      <w:marLeft w:val="0"/>
      <w:marRight w:val="0"/>
      <w:marTop w:val="0"/>
      <w:marBottom w:val="0"/>
      <w:divBdr>
        <w:top w:val="none" w:sz="0" w:space="0" w:color="auto"/>
        <w:left w:val="none" w:sz="0" w:space="0" w:color="auto"/>
        <w:bottom w:val="none" w:sz="0" w:space="0" w:color="auto"/>
        <w:right w:val="none" w:sz="0" w:space="0" w:color="auto"/>
      </w:divBdr>
    </w:div>
    <w:div w:id="1298611666">
      <w:bodyDiv w:val="1"/>
      <w:marLeft w:val="0"/>
      <w:marRight w:val="0"/>
      <w:marTop w:val="0"/>
      <w:marBottom w:val="0"/>
      <w:divBdr>
        <w:top w:val="none" w:sz="0" w:space="0" w:color="auto"/>
        <w:left w:val="none" w:sz="0" w:space="0" w:color="auto"/>
        <w:bottom w:val="none" w:sz="0" w:space="0" w:color="auto"/>
        <w:right w:val="none" w:sz="0" w:space="0" w:color="auto"/>
      </w:divBdr>
    </w:div>
    <w:div w:id="1299071879">
      <w:bodyDiv w:val="1"/>
      <w:marLeft w:val="0"/>
      <w:marRight w:val="0"/>
      <w:marTop w:val="0"/>
      <w:marBottom w:val="0"/>
      <w:divBdr>
        <w:top w:val="none" w:sz="0" w:space="0" w:color="auto"/>
        <w:left w:val="none" w:sz="0" w:space="0" w:color="auto"/>
        <w:bottom w:val="none" w:sz="0" w:space="0" w:color="auto"/>
        <w:right w:val="none" w:sz="0" w:space="0" w:color="auto"/>
      </w:divBdr>
    </w:div>
    <w:div w:id="1299074077">
      <w:bodyDiv w:val="1"/>
      <w:marLeft w:val="0"/>
      <w:marRight w:val="0"/>
      <w:marTop w:val="0"/>
      <w:marBottom w:val="0"/>
      <w:divBdr>
        <w:top w:val="none" w:sz="0" w:space="0" w:color="auto"/>
        <w:left w:val="none" w:sz="0" w:space="0" w:color="auto"/>
        <w:bottom w:val="none" w:sz="0" w:space="0" w:color="auto"/>
        <w:right w:val="none" w:sz="0" w:space="0" w:color="auto"/>
      </w:divBdr>
    </w:div>
    <w:div w:id="1299414235">
      <w:bodyDiv w:val="1"/>
      <w:marLeft w:val="0"/>
      <w:marRight w:val="0"/>
      <w:marTop w:val="0"/>
      <w:marBottom w:val="0"/>
      <w:divBdr>
        <w:top w:val="none" w:sz="0" w:space="0" w:color="auto"/>
        <w:left w:val="none" w:sz="0" w:space="0" w:color="auto"/>
        <w:bottom w:val="none" w:sz="0" w:space="0" w:color="auto"/>
        <w:right w:val="none" w:sz="0" w:space="0" w:color="auto"/>
      </w:divBdr>
    </w:div>
    <w:div w:id="1301031825">
      <w:bodyDiv w:val="1"/>
      <w:marLeft w:val="0"/>
      <w:marRight w:val="0"/>
      <w:marTop w:val="0"/>
      <w:marBottom w:val="0"/>
      <w:divBdr>
        <w:top w:val="none" w:sz="0" w:space="0" w:color="auto"/>
        <w:left w:val="none" w:sz="0" w:space="0" w:color="auto"/>
        <w:bottom w:val="none" w:sz="0" w:space="0" w:color="auto"/>
        <w:right w:val="none" w:sz="0" w:space="0" w:color="auto"/>
      </w:divBdr>
    </w:div>
    <w:div w:id="1301612075">
      <w:bodyDiv w:val="1"/>
      <w:marLeft w:val="0"/>
      <w:marRight w:val="0"/>
      <w:marTop w:val="0"/>
      <w:marBottom w:val="0"/>
      <w:divBdr>
        <w:top w:val="none" w:sz="0" w:space="0" w:color="auto"/>
        <w:left w:val="none" w:sz="0" w:space="0" w:color="auto"/>
        <w:bottom w:val="none" w:sz="0" w:space="0" w:color="auto"/>
        <w:right w:val="none" w:sz="0" w:space="0" w:color="auto"/>
      </w:divBdr>
    </w:div>
    <w:div w:id="1302882982">
      <w:bodyDiv w:val="1"/>
      <w:marLeft w:val="0"/>
      <w:marRight w:val="0"/>
      <w:marTop w:val="0"/>
      <w:marBottom w:val="0"/>
      <w:divBdr>
        <w:top w:val="none" w:sz="0" w:space="0" w:color="auto"/>
        <w:left w:val="none" w:sz="0" w:space="0" w:color="auto"/>
        <w:bottom w:val="none" w:sz="0" w:space="0" w:color="auto"/>
        <w:right w:val="none" w:sz="0" w:space="0" w:color="auto"/>
      </w:divBdr>
    </w:div>
    <w:div w:id="1303540335">
      <w:bodyDiv w:val="1"/>
      <w:marLeft w:val="0"/>
      <w:marRight w:val="0"/>
      <w:marTop w:val="0"/>
      <w:marBottom w:val="0"/>
      <w:divBdr>
        <w:top w:val="none" w:sz="0" w:space="0" w:color="auto"/>
        <w:left w:val="none" w:sz="0" w:space="0" w:color="auto"/>
        <w:bottom w:val="none" w:sz="0" w:space="0" w:color="auto"/>
        <w:right w:val="none" w:sz="0" w:space="0" w:color="auto"/>
      </w:divBdr>
    </w:div>
    <w:div w:id="1303582965">
      <w:bodyDiv w:val="1"/>
      <w:marLeft w:val="0"/>
      <w:marRight w:val="0"/>
      <w:marTop w:val="0"/>
      <w:marBottom w:val="0"/>
      <w:divBdr>
        <w:top w:val="none" w:sz="0" w:space="0" w:color="auto"/>
        <w:left w:val="none" w:sz="0" w:space="0" w:color="auto"/>
        <w:bottom w:val="none" w:sz="0" w:space="0" w:color="auto"/>
        <w:right w:val="none" w:sz="0" w:space="0" w:color="auto"/>
      </w:divBdr>
    </w:div>
    <w:div w:id="1303731957">
      <w:bodyDiv w:val="1"/>
      <w:marLeft w:val="0"/>
      <w:marRight w:val="0"/>
      <w:marTop w:val="0"/>
      <w:marBottom w:val="0"/>
      <w:divBdr>
        <w:top w:val="none" w:sz="0" w:space="0" w:color="auto"/>
        <w:left w:val="none" w:sz="0" w:space="0" w:color="auto"/>
        <w:bottom w:val="none" w:sz="0" w:space="0" w:color="auto"/>
        <w:right w:val="none" w:sz="0" w:space="0" w:color="auto"/>
      </w:divBdr>
    </w:div>
    <w:div w:id="1304584726">
      <w:bodyDiv w:val="1"/>
      <w:marLeft w:val="0"/>
      <w:marRight w:val="0"/>
      <w:marTop w:val="0"/>
      <w:marBottom w:val="0"/>
      <w:divBdr>
        <w:top w:val="none" w:sz="0" w:space="0" w:color="auto"/>
        <w:left w:val="none" w:sz="0" w:space="0" w:color="auto"/>
        <w:bottom w:val="none" w:sz="0" w:space="0" w:color="auto"/>
        <w:right w:val="none" w:sz="0" w:space="0" w:color="auto"/>
      </w:divBdr>
    </w:div>
    <w:div w:id="1305354214">
      <w:bodyDiv w:val="1"/>
      <w:marLeft w:val="0"/>
      <w:marRight w:val="0"/>
      <w:marTop w:val="0"/>
      <w:marBottom w:val="0"/>
      <w:divBdr>
        <w:top w:val="none" w:sz="0" w:space="0" w:color="auto"/>
        <w:left w:val="none" w:sz="0" w:space="0" w:color="auto"/>
        <w:bottom w:val="none" w:sz="0" w:space="0" w:color="auto"/>
        <w:right w:val="none" w:sz="0" w:space="0" w:color="auto"/>
      </w:divBdr>
    </w:div>
    <w:div w:id="1305433041">
      <w:bodyDiv w:val="1"/>
      <w:marLeft w:val="0"/>
      <w:marRight w:val="0"/>
      <w:marTop w:val="0"/>
      <w:marBottom w:val="0"/>
      <w:divBdr>
        <w:top w:val="none" w:sz="0" w:space="0" w:color="auto"/>
        <w:left w:val="none" w:sz="0" w:space="0" w:color="auto"/>
        <w:bottom w:val="none" w:sz="0" w:space="0" w:color="auto"/>
        <w:right w:val="none" w:sz="0" w:space="0" w:color="auto"/>
      </w:divBdr>
    </w:div>
    <w:div w:id="1305507569">
      <w:bodyDiv w:val="1"/>
      <w:marLeft w:val="0"/>
      <w:marRight w:val="0"/>
      <w:marTop w:val="0"/>
      <w:marBottom w:val="0"/>
      <w:divBdr>
        <w:top w:val="none" w:sz="0" w:space="0" w:color="auto"/>
        <w:left w:val="none" w:sz="0" w:space="0" w:color="auto"/>
        <w:bottom w:val="none" w:sz="0" w:space="0" w:color="auto"/>
        <w:right w:val="none" w:sz="0" w:space="0" w:color="auto"/>
      </w:divBdr>
    </w:div>
    <w:div w:id="1305693240">
      <w:bodyDiv w:val="1"/>
      <w:marLeft w:val="0"/>
      <w:marRight w:val="0"/>
      <w:marTop w:val="0"/>
      <w:marBottom w:val="0"/>
      <w:divBdr>
        <w:top w:val="none" w:sz="0" w:space="0" w:color="auto"/>
        <w:left w:val="none" w:sz="0" w:space="0" w:color="auto"/>
        <w:bottom w:val="none" w:sz="0" w:space="0" w:color="auto"/>
        <w:right w:val="none" w:sz="0" w:space="0" w:color="auto"/>
      </w:divBdr>
    </w:div>
    <w:div w:id="1305743775">
      <w:bodyDiv w:val="1"/>
      <w:marLeft w:val="0"/>
      <w:marRight w:val="0"/>
      <w:marTop w:val="0"/>
      <w:marBottom w:val="0"/>
      <w:divBdr>
        <w:top w:val="none" w:sz="0" w:space="0" w:color="auto"/>
        <w:left w:val="none" w:sz="0" w:space="0" w:color="auto"/>
        <w:bottom w:val="none" w:sz="0" w:space="0" w:color="auto"/>
        <w:right w:val="none" w:sz="0" w:space="0" w:color="auto"/>
      </w:divBdr>
    </w:div>
    <w:div w:id="1306855267">
      <w:bodyDiv w:val="1"/>
      <w:marLeft w:val="0"/>
      <w:marRight w:val="0"/>
      <w:marTop w:val="0"/>
      <w:marBottom w:val="0"/>
      <w:divBdr>
        <w:top w:val="none" w:sz="0" w:space="0" w:color="auto"/>
        <w:left w:val="none" w:sz="0" w:space="0" w:color="auto"/>
        <w:bottom w:val="none" w:sz="0" w:space="0" w:color="auto"/>
        <w:right w:val="none" w:sz="0" w:space="0" w:color="auto"/>
      </w:divBdr>
    </w:div>
    <w:div w:id="1306937381">
      <w:bodyDiv w:val="1"/>
      <w:marLeft w:val="0"/>
      <w:marRight w:val="0"/>
      <w:marTop w:val="0"/>
      <w:marBottom w:val="0"/>
      <w:divBdr>
        <w:top w:val="none" w:sz="0" w:space="0" w:color="auto"/>
        <w:left w:val="none" w:sz="0" w:space="0" w:color="auto"/>
        <w:bottom w:val="none" w:sz="0" w:space="0" w:color="auto"/>
        <w:right w:val="none" w:sz="0" w:space="0" w:color="auto"/>
      </w:divBdr>
    </w:div>
    <w:div w:id="1307205269">
      <w:bodyDiv w:val="1"/>
      <w:marLeft w:val="0"/>
      <w:marRight w:val="0"/>
      <w:marTop w:val="0"/>
      <w:marBottom w:val="0"/>
      <w:divBdr>
        <w:top w:val="none" w:sz="0" w:space="0" w:color="auto"/>
        <w:left w:val="none" w:sz="0" w:space="0" w:color="auto"/>
        <w:bottom w:val="none" w:sz="0" w:space="0" w:color="auto"/>
        <w:right w:val="none" w:sz="0" w:space="0" w:color="auto"/>
      </w:divBdr>
    </w:div>
    <w:div w:id="1307205760">
      <w:bodyDiv w:val="1"/>
      <w:marLeft w:val="0"/>
      <w:marRight w:val="0"/>
      <w:marTop w:val="0"/>
      <w:marBottom w:val="0"/>
      <w:divBdr>
        <w:top w:val="none" w:sz="0" w:space="0" w:color="auto"/>
        <w:left w:val="none" w:sz="0" w:space="0" w:color="auto"/>
        <w:bottom w:val="none" w:sz="0" w:space="0" w:color="auto"/>
        <w:right w:val="none" w:sz="0" w:space="0" w:color="auto"/>
      </w:divBdr>
    </w:div>
    <w:div w:id="1307278217">
      <w:bodyDiv w:val="1"/>
      <w:marLeft w:val="0"/>
      <w:marRight w:val="0"/>
      <w:marTop w:val="0"/>
      <w:marBottom w:val="0"/>
      <w:divBdr>
        <w:top w:val="none" w:sz="0" w:space="0" w:color="auto"/>
        <w:left w:val="none" w:sz="0" w:space="0" w:color="auto"/>
        <w:bottom w:val="none" w:sz="0" w:space="0" w:color="auto"/>
        <w:right w:val="none" w:sz="0" w:space="0" w:color="auto"/>
      </w:divBdr>
    </w:div>
    <w:div w:id="1307320161">
      <w:bodyDiv w:val="1"/>
      <w:marLeft w:val="0"/>
      <w:marRight w:val="0"/>
      <w:marTop w:val="0"/>
      <w:marBottom w:val="0"/>
      <w:divBdr>
        <w:top w:val="none" w:sz="0" w:space="0" w:color="auto"/>
        <w:left w:val="none" w:sz="0" w:space="0" w:color="auto"/>
        <w:bottom w:val="none" w:sz="0" w:space="0" w:color="auto"/>
        <w:right w:val="none" w:sz="0" w:space="0" w:color="auto"/>
      </w:divBdr>
    </w:div>
    <w:div w:id="1307666089">
      <w:bodyDiv w:val="1"/>
      <w:marLeft w:val="0"/>
      <w:marRight w:val="0"/>
      <w:marTop w:val="0"/>
      <w:marBottom w:val="0"/>
      <w:divBdr>
        <w:top w:val="none" w:sz="0" w:space="0" w:color="auto"/>
        <w:left w:val="none" w:sz="0" w:space="0" w:color="auto"/>
        <w:bottom w:val="none" w:sz="0" w:space="0" w:color="auto"/>
        <w:right w:val="none" w:sz="0" w:space="0" w:color="auto"/>
      </w:divBdr>
    </w:div>
    <w:div w:id="1308433589">
      <w:bodyDiv w:val="1"/>
      <w:marLeft w:val="0"/>
      <w:marRight w:val="0"/>
      <w:marTop w:val="0"/>
      <w:marBottom w:val="0"/>
      <w:divBdr>
        <w:top w:val="none" w:sz="0" w:space="0" w:color="auto"/>
        <w:left w:val="none" w:sz="0" w:space="0" w:color="auto"/>
        <w:bottom w:val="none" w:sz="0" w:space="0" w:color="auto"/>
        <w:right w:val="none" w:sz="0" w:space="0" w:color="auto"/>
      </w:divBdr>
    </w:div>
    <w:div w:id="1308435349">
      <w:bodyDiv w:val="1"/>
      <w:marLeft w:val="0"/>
      <w:marRight w:val="0"/>
      <w:marTop w:val="0"/>
      <w:marBottom w:val="0"/>
      <w:divBdr>
        <w:top w:val="none" w:sz="0" w:space="0" w:color="auto"/>
        <w:left w:val="none" w:sz="0" w:space="0" w:color="auto"/>
        <w:bottom w:val="none" w:sz="0" w:space="0" w:color="auto"/>
        <w:right w:val="none" w:sz="0" w:space="0" w:color="auto"/>
      </w:divBdr>
    </w:div>
    <w:div w:id="1308625668">
      <w:bodyDiv w:val="1"/>
      <w:marLeft w:val="0"/>
      <w:marRight w:val="0"/>
      <w:marTop w:val="0"/>
      <w:marBottom w:val="0"/>
      <w:divBdr>
        <w:top w:val="none" w:sz="0" w:space="0" w:color="auto"/>
        <w:left w:val="none" w:sz="0" w:space="0" w:color="auto"/>
        <w:bottom w:val="none" w:sz="0" w:space="0" w:color="auto"/>
        <w:right w:val="none" w:sz="0" w:space="0" w:color="auto"/>
      </w:divBdr>
    </w:div>
    <w:div w:id="1308976631">
      <w:bodyDiv w:val="1"/>
      <w:marLeft w:val="0"/>
      <w:marRight w:val="0"/>
      <w:marTop w:val="0"/>
      <w:marBottom w:val="0"/>
      <w:divBdr>
        <w:top w:val="none" w:sz="0" w:space="0" w:color="auto"/>
        <w:left w:val="none" w:sz="0" w:space="0" w:color="auto"/>
        <w:bottom w:val="none" w:sz="0" w:space="0" w:color="auto"/>
        <w:right w:val="none" w:sz="0" w:space="0" w:color="auto"/>
      </w:divBdr>
    </w:div>
    <w:div w:id="1308977645">
      <w:bodyDiv w:val="1"/>
      <w:marLeft w:val="0"/>
      <w:marRight w:val="0"/>
      <w:marTop w:val="0"/>
      <w:marBottom w:val="0"/>
      <w:divBdr>
        <w:top w:val="none" w:sz="0" w:space="0" w:color="auto"/>
        <w:left w:val="none" w:sz="0" w:space="0" w:color="auto"/>
        <w:bottom w:val="none" w:sz="0" w:space="0" w:color="auto"/>
        <w:right w:val="none" w:sz="0" w:space="0" w:color="auto"/>
      </w:divBdr>
    </w:div>
    <w:div w:id="1309364317">
      <w:bodyDiv w:val="1"/>
      <w:marLeft w:val="0"/>
      <w:marRight w:val="0"/>
      <w:marTop w:val="0"/>
      <w:marBottom w:val="0"/>
      <w:divBdr>
        <w:top w:val="none" w:sz="0" w:space="0" w:color="auto"/>
        <w:left w:val="none" w:sz="0" w:space="0" w:color="auto"/>
        <w:bottom w:val="none" w:sz="0" w:space="0" w:color="auto"/>
        <w:right w:val="none" w:sz="0" w:space="0" w:color="auto"/>
      </w:divBdr>
    </w:div>
    <w:div w:id="1309475586">
      <w:bodyDiv w:val="1"/>
      <w:marLeft w:val="0"/>
      <w:marRight w:val="0"/>
      <w:marTop w:val="0"/>
      <w:marBottom w:val="0"/>
      <w:divBdr>
        <w:top w:val="none" w:sz="0" w:space="0" w:color="auto"/>
        <w:left w:val="none" w:sz="0" w:space="0" w:color="auto"/>
        <w:bottom w:val="none" w:sz="0" w:space="0" w:color="auto"/>
        <w:right w:val="none" w:sz="0" w:space="0" w:color="auto"/>
      </w:divBdr>
    </w:div>
    <w:div w:id="1309481877">
      <w:bodyDiv w:val="1"/>
      <w:marLeft w:val="0"/>
      <w:marRight w:val="0"/>
      <w:marTop w:val="0"/>
      <w:marBottom w:val="0"/>
      <w:divBdr>
        <w:top w:val="none" w:sz="0" w:space="0" w:color="auto"/>
        <w:left w:val="none" w:sz="0" w:space="0" w:color="auto"/>
        <w:bottom w:val="none" w:sz="0" w:space="0" w:color="auto"/>
        <w:right w:val="none" w:sz="0" w:space="0" w:color="auto"/>
      </w:divBdr>
    </w:div>
    <w:div w:id="1309558089">
      <w:bodyDiv w:val="1"/>
      <w:marLeft w:val="0"/>
      <w:marRight w:val="0"/>
      <w:marTop w:val="0"/>
      <w:marBottom w:val="0"/>
      <w:divBdr>
        <w:top w:val="none" w:sz="0" w:space="0" w:color="auto"/>
        <w:left w:val="none" w:sz="0" w:space="0" w:color="auto"/>
        <w:bottom w:val="none" w:sz="0" w:space="0" w:color="auto"/>
        <w:right w:val="none" w:sz="0" w:space="0" w:color="auto"/>
      </w:divBdr>
    </w:div>
    <w:div w:id="1309674994">
      <w:bodyDiv w:val="1"/>
      <w:marLeft w:val="0"/>
      <w:marRight w:val="0"/>
      <w:marTop w:val="0"/>
      <w:marBottom w:val="0"/>
      <w:divBdr>
        <w:top w:val="none" w:sz="0" w:space="0" w:color="auto"/>
        <w:left w:val="none" w:sz="0" w:space="0" w:color="auto"/>
        <w:bottom w:val="none" w:sz="0" w:space="0" w:color="auto"/>
        <w:right w:val="none" w:sz="0" w:space="0" w:color="auto"/>
      </w:divBdr>
    </w:div>
    <w:div w:id="1309701388">
      <w:bodyDiv w:val="1"/>
      <w:marLeft w:val="0"/>
      <w:marRight w:val="0"/>
      <w:marTop w:val="0"/>
      <w:marBottom w:val="0"/>
      <w:divBdr>
        <w:top w:val="none" w:sz="0" w:space="0" w:color="auto"/>
        <w:left w:val="none" w:sz="0" w:space="0" w:color="auto"/>
        <w:bottom w:val="none" w:sz="0" w:space="0" w:color="auto"/>
        <w:right w:val="none" w:sz="0" w:space="0" w:color="auto"/>
      </w:divBdr>
    </w:div>
    <w:div w:id="1309751175">
      <w:bodyDiv w:val="1"/>
      <w:marLeft w:val="0"/>
      <w:marRight w:val="0"/>
      <w:marTop w:val="0"/>
      <w:marBottom w:val="0"/>
      <w:divBdr>
        <w:top w:val="none" w:sz="0" w:space="0" w:color="auto"/>
        <w:left w:val="none" w:sz="0" w:space="0" w:color="auto"/>
        <w:bottom w:val="none" w:sz="0" w:space="0" w:color="auto"/>
        <w:right w:val="none" w:sz="0" w:space="0" w:color="auto"/>
      </w:divBdr>
    </w:div>
    <w:div w:id="1310020629">
      <w:bodyDiv w:val="1"/>
      <w:marLeft w:val="0"/>
      <w:marRight w:val="0"/>
      <w:marTop w:val="0"/>
      <w:marBottom w:val="0"/>
      <w:divBdr>
        <w:top w:val="none" w:sz="0" w:space="0" w:color="auto"/>
        <w:left w:val="none" w:sz="0" w:space="0" w:color="auto"/>
        <w:bottom w:val="none" w:sz="0" w:space="0" w:color="auto"/>
        <w:right w:val="none" w:sz="0" w:space="0" w:color="auto"/>
      </w:divBdr>
    </w:div>
    <w:div w:id="1310135671">
      <w:bodyDiv w:val="1"/>
      <w:marLeft w:val="0"/>
      <w:marRight w:val="0"/>
      <w:marTop w:val="0"/>
      <w:marBottom w:val="0"/>
      <w:divBdr>
        <w:top w:val="none" w:sz="0" w:space="0" w:color="auto"/>
        <w:left w:val="none" w:sz="0" w:space="0" w:color="auto"/>
        <w:bottom w:val="none" w:sz="0" w:space="0" w:color="auto"/>
        <w:right w:val="none" w:sz="0" w:space="0" w:color="auto"/>
      </w:divBdr>
    </w:div>
    <w:div w:id="1311327497">
      <w:bodyDiv w:val="1"/>
      <w:marLeft w:val="0"/>
      <w:marRight w:val="0"/>
      <w:marTop w:val="0"/>
      <w:marBottom w:val="0"/>
      <w:divBdr>
        <w:top w:val="none" w:sz="0" w:space="0" w:color="auto"/>
        <w:left w:val="none" w:sz="0" w:space="0" w:color="auto"/>
        <w:bottom w:val="none" w:sz="0" w:space="0" w:color="auto"/>
        <w:right w:val="none" w:sz="0" w:space="0" w:color="auto"/>
      </w:divBdr>
    </w:div>
    <w:div w:id="1311397423">
      <w:bodyDiv w:val="1"/>
      <w:marLeft w:val="0"/>
      <w:marRight w:val="0"/>
      <w:marTop w:val="0"/>
      <w:marBottom w:val="0"/>
      <w:divBdr>
        <w:top w:val="none" w:sz="0" w:space="0" w:color="auto"/>
        <w:left w:val="none" w:sz="0" w:space="0" w:color="auto"/>
        <w:bottom w:val="none" w:sz="0" w:space="0" w:color="auto"/>
        <w:right w:val="none" w:sz="0" w:space="0" w:color="auto"/>
      </w:divBdr>
    </w:div>
    <w:div w:id="1311402159">
      <w:bodyDiv w:val="1"/>
      <w:marLeft w:val="0"/>
      <w:marRight w:val="0"/>
      <w:marTop w:val="0"/>
      <w:marBottom w:val="0"/>
      <w:divBdr>
        <w:top w:val="none" w:sz="0" w:space="0" w:color="auto"/>
        <w:left w:val="none" w:sz="0" w:space="0" w:color="auto"/>
        <w:bottom w:val="none" w:sz="0" w:space="0" w:color="auto"/>
        <w:right w:val="none" w:sz="0" w:space="0" w:color="auto"/>
      </w:divBdr>
    </w:div>
    <w:div w:id="1312904227">
      <w:bodyDiv w:val="1"/>
      <w:marLeft w:val="0"/>
      <w:marRight w:val="0"/>
      <w:marTop w:val="0"/>
      <w:marBottom w:val="0"/>
      <w:divBdr>
        <w:top w:val="none" w:sz="0" w:space="0" w:color="auto"/>
        <w:left w:val="none" w:sz="0" w:space="0" w:color="auto"/>
        <w:bottom w:val="none" w:sz="0" w:space="0" w:color="auto"/>
        <w:right w:val="none" w:sz="0" w:space="0" w:color="auto"/>
      </w:divBdr>
    </w:div>
    <w:div w:id="1313020795">
      <w:bodyDiv w:val="1"/>
      <w:marLeft w:val="0"/>
      <w:marRight w:val="0"/>
      <w:marTop w:val="0"/>
      <w:marBottom w:val="0"/>
      <w:divBdr>
        <w:top w:val="none" w:sz="0" w:space="0" w:color="auto"/>
        <w:left w:val="none" w:sz="0" w:space="0" w:color="auto"/>
        <w:bottom w:val="none" w:sz="0" w:space="0" w:color="auto"/>
        <w:right w:val="none" w:sz="0" w:space="0" w:color="auto"/>
      </w:divBdr>
    </w:div>
    <w:div w:id="1313868909">
      <w:bodyDiv w:val="1"/>
      <w:marLeft w:val="0"/>
      <w:marRight w:val="0"/>
      <w:marTop w:val="0"/>
      <w:marBottom w:val="0"/>
      <w:divBdr>
        <w:top w:val="none" w:sz="0" w:space="0" w:color="auto"/>
        <w:left w:val="none" w:sz="0" w:space="0" w:color="auto"/>
        <w:bottom w:val="none" w:sz="0" w:space="0" w:color="auto"/>
        <w:right w:val="none" w:sz="0" w:space="0" w:color="auto"/>
      </w:divBdr>
    </w:div>
    <w:div w:id="1314024981">
      <w:bodyDiv w:val="1"/>
      <w:marLeft w:val="0"/>
      <w:marRight w:val="0"/>
      <w:marTop w:val="0"/>
      <w:marBottom w:val="0"/>
      <w:divBdr>
        <w:top w:val="none" w:sz="0" w:space="0" w:color="auto"/>
        <w:left w:val="none" w:sz="0" w:space="0" w:color="auto"/>
        <w:bottom w:val="none" w:sz="0" w:space="0" w:color="auto"/>
        <w:right w:val="none" w:sz="0" w:space="0" w:color="auto"/>
      </w:divBdr>
    </w:div>
    <w:div w:id="1314026024">
      <w:bodyDiv w:val="1"/>
      <w:marLeft w:val="0"/>
      <w:marRight w:val="0"/>
      <w:marTop w:val="0"/>
      <w:marBottom w:val="0"/>
      <w:divBdr>
        <w:top w:val="none" w:sz="0" w:space="0" w:color="auto"/>
        <w:left w:val="none" w:sz="0" w:space="0" w:color="auto"/>
        <w:bottom w:val="none" w:sz="0" w:space="0" w:color="auto"/>
        <w:right w:val="none" w:sz="0" w:space="0" w:color="auto"/>
      </w:divBdr>
    </w:div>
    <w:div w:id="1314064058">
      <w:bodyDiv w:val="1"/>
      <w:marLeft w:val="0"/>
      <w:marRight w:val="0"/>
      <w:marTop w:val="0"/>
      <w:marBottom w:val="0"/>
      <w:divBdr>
        <w:top w:val="none" w:sz="0" w:space="0" w:color="auto"/>
        <w:left w:val="none" w:sz="0" w:space="0" w:color="auto"/>
        <w:bottom w:val="none" w:sz="0" w:space="0" w:color="auto"/>
        <w:right w:val="none" w:sz="0" w:space="0" w:color="auto"/>
      </w:divBdr>
    </w:div>
    <w:div w:id="1314065891">
      <w:bodyDiv w:val="1"/>
      <w:marLeft w:val="0"/>
      <w:marRight w:val="0"/>
      <w:marTop w:val="0"/>
      <w:marBottom w:val="0"/>
      <w:divBdr>
        <w:top w:val="none" w:sz="0" w:space="0" w:color="auto"/>
        <w:left w:val="none" w:sz="0" w:space="0" w:color="auto"/>
        <w:bottom w:val="none" w:sz="0" w:space="0" w:color="auto"/>
        <w:right w:val="none" w:sz="0" w:space="0" w:color="auto"/>
      </w:divBdr>
    </w:div>
    <w:div w:id="1314287355">
      <w:bodyDiv w:val="1"/>
      <w:marLeft w:val="0"/>
      <w:marRight w:val="0"/>
      <w:marTop w:val="0"/>
      <w:marBottom w:val="0"/>
      <w:divBdr>
        <w:top w:val="none" w:sz="0" w:space="0" w:color="auto"/>
        <w:left w:val="none" w:sz="0" w:space="0" w:color="auto"/>
        <w:bottom w:val="none" w:sz="0" w:space="0" w:color="auto"/>
        <w:right w:val="none" w:sz="0" w:space="0" w:color="auto"/>
      </w:divBdr>
    </w:div>
    <w:div w:id="1314289764">
      <w:bodyDiv w:val="1"/>
      <w:marLeft w:val="0"/>
      <w:marRight w:val="0"/>
      <w:marTop w:val="0"/>
      <w:marBottom w:val="0"/>
      <w:divBdr>
        <w:top w:val="none" w:sz="0" w:space="0" w:color="auto"/>
        <w:left w:val="none" w:sz="0" w:space="0" w:color="auto"/>
        <w:bottom w:val="none" w:sz="0" w:space="0" w:color="auto"/>
        <w:right w:val="none" w:sz="0" w:space="0" w:color="auto"/>
      </w:divBdr>
    </w:div>
    <w:div w:id="1314673602">
      <w:bodyDiv w:val="1"/>
      <w:marLeft w:val="0"/>
      <w:marRight w:val="0"/>
      <w:marTop w:val="0"/>
      <w:marBottom w:val="0"/>
      <w:divBdr>
        <w:top w:val="none" w:sz="0" w:space="0" w:color="auto"/>
        <w:left w:val="none" w:sz="0" w:space="0" w:color="auto"/>
        <w:bottom w:val="none" w:sz="0" w:space="0" w:color="auto"/>
        <w:right w:val="none" w:sz="0" w:space="0" w:color="auto"/>
      </w:divBdr>
    </w:div>
    <w:div w:id="1314679280">
      <w:bodyDiv w:val="1"/>
      <w:marLeft w:val="0"/>
      <w:marRight w:val="0"/>
      <w:marTop w:val="0"/>
      <w:marBottom w:val="0"/>
      <w:divBdr>
        <w:top w:val="none" w:sz="0" w:space="0" w:color="auto"/>
        <w:left w:val="none" w:sz="0" w:space="0" w:color="auto"/>
        <w:bottom w:val="none" w:sz="0" w:space="0" w:color="auto"/>
        <w:right w:val="none" w:sz="0" w:space="0" w:color="auto"/>
      </w:divBdr>
    </w:div>
    <w:div w:id="1315138303">
      <w:bodyDiv w:val="1"/>
      <w:marLeft w:val="0"/>
      <w:marRight w:val="0"/>
      <w:marTop w:val="0"/>
      <w:marBottom w:val="0"/>
      <w:divBdr>
        <w:top w:val="none" w:sz="0" w:space="0" w:color="auto"/>
        <w:left w:val="none" w:sz="0" w:space="0" w:color="auto"/>
        <w:bottom w:val="none" w:sz="0" w:space="0" w:color="auto"/>
        <w:right w:val="none" w:sz="0" w:space="0" w:color="auto"/>
      </w:divBdr>
    </w:div>
    <w:div w:id="1315601365">
      <w:bodyDiv w:val="1"/>
      <w:marLeft w:val="0"/>
      <w:marRight w:val="0"/>
      <w:marTop w:val="0"/>
      <w:marBottom w:val="0"/>
      <w:divBdr>
        <w:top w:val="none" w:sz="0" w:space="0" w:color="auto"/>
        <w:left w:val="none" w:sz="0" w:space="0" w:color="auto"/>
        <w:bottom w:val="none" w:sz="0" w:space="0" w:color="auto"/>
        <w:right w:val="none" w:sz="0" w:space="0" w:color="auto"/>
      </w:divBdr>
    </w:div>
    <w:div w:id="1315986175">
      <w:bodyDiv w:val="1"/>
      <w:marLeft w:val="0"/>
      <w:marRight w:val="0"/>
      <w:marTop w:val="0"/>
      <w:marBottom w:val="0"/>
      <w:divBdr>
        <w:top w:val="none" w:sz="0" w:space="0" w:color="auto"/>
        <w:left w:val="none" w:sz="0" w:space="0" w:color="auto"/>
        <w:bottom w:val="none" w:sz="0" w:space="0" w:color="auto"/>
        <w:right w:val="none" w:sz="0" w:space="0" w:color="auto"/>
      </w:divBdr>
    </w:div>
    <w:div w:id="1316959102">
      <w:bodyDiv w:val="1"/>
      <w:marLeft w:val="0"/>
      <w:marRight w:val="0"/>
      <w:marTop w:val="0"/>
      <w:marBottom w:val="0"/>
      <w:divBdr>
        <w:top w:val="none" w:sz="0" w:space="0" w:color="auto"/>
        <w:left w:val="none" w:sz="0" w:space="0" w:color="auto"/>
        <w:bottom w:val="none" w:sz="0" w:space="0" w:color="auto"/>
        <w:right w:val="none" w:sz="0" w:space="0" w:color="auto"/>
      </w:divBdr>
    </w:div>
    <w:div w:id="1317807749">
      <w:bodyDiv w:val="1"/>
      <w:marLeft w:val="0"/>
      <w:marRight w:val="0"/>
      <w:marTop w:val="0"/>
      <w:marBottom w:val="0"/>
      <w:divBdr>
        <w:top w:val="none" w:sz="0" w:space="0" w:color="auto"/>
        <w:left w:val="none" w:sz="0" w:space="0" w:color="auto"/>
        <w:bottom w:val="none" w:sz="0" w:space="0" w:color="auto"/>
        <w:right w:val="none" w:sz="0" w:space="0" w:color="auto"/>
      </w:divBdr>
    </w:div>
    <w:div w:id="1317876259">
      <w:bodyDiv w:val="1"/>
      <w:marLeft w:val="0"/>
      <w:marRight w:val="0"/>
      <w:marTop w:val="0"/>
      <w:marBottom w:val="0"/>
      <w:divBdr>
        <w:top w:val="none" w:sz="0" w:space="0" w:color="auto"/>
        <w:left w:val="none" w:sz="0" w:space="0" w:color="auto"/>
        <w:bottom w:val="none" w:sz="0" w:space="0" w:color="auto"/>
        <w:right w:val="none" w:sz="0" w:space="0" w:color="auto"/>
      </w:divBdr>
    </w:div>
    <w:div w:id="1318068495">
      <w:bodyDiv w:val="1"/>
      <w:marLeft w:val="0"/>
      <w:marRight w:val="0"/>
      <w:marTop w:val="0"/>
      <w:marBottom w:val="0"/>
      <w:divBdr>
        <w:top w:val="none" w:sz="0" w:space="0" w:color="auto"/>
        <w:left w:val="none" w:sz="0" w:space="0" w:color="auto"/>
        <w:bottom w:val="none" w:sz="0" w:space="0" w:color="auto"/>
        <w:right w:val="none" w:sz="0" w:space="0" w:color="auto"/>
      </w:divBdr>
    </w:div>
    <w:div w:id="1318219608">
      <w:bodyDiv w:val="1"/>
      <w:marLeft w:val="0"/>
      <w:marRight w:val="0"/>
      <w:marTop w:val="0"/>
      <w:marBottom w:val="0"/>
      <w:divBdr>
        <w:top w:val="none" w:sz="0" w:space="0" w:color="auto"/>
        <w:left w:val="none" w:sz="0" w:space="0" w:color="auto"/>
        <w:bottom w:val="none" w:sz="0" w:space="0" w:color="auto"/>
        <w:right w:val="none" w:sz="0" w:space="0" w:color="auto"/>
      </w:divBdr>
    </w:div>
    <w:div w:id="1319307713">
      <w:bodyDiv w:val="1"/>
      <w:marLeft w:val="0"/>
      <w:marRight w:val="0"/>
      <w:marTop w:val="0"/>
      <w:marBottom w:val="0"/>
      <w:divBdr>
        <w:top w:val="none" w:sz="0" w:space="0" w:color="auto"/>
        <w:left w:val="none" w:sz="0" w:space="0" w:color="auto"/>
        <w:bottom w:val="none" w:sz="0" w:space="0" w:color="auto"/>
        <w:right w:val="none" w:sz="0" w:space="0" w:color="auto"/>
      </w:divBdr>
    </w:div>
    <w:div w:id="1319915477">
      <w:bodyDiv w:val="1"/>
      <w:marLeft w:val="0"/>
      <w:marRight w:val="0"/>
      <w:marTop w:val="0"/>
      <w:marBottom w:val="0"/>
      <w:divBdr>
        <w:top w:val="none" w:sz="0" w:space="0" w:color="auto"/>
        <w:left w:val="none" w:sz="0" w:space="0" w:color="auto"/>
        <w:bottom w:val="none" w:sz="0" w:space="0" w:color="auto"/>
        <w:right w:val="none" w:sz="0" w:space="0" w:color="auto"/>
      </w:divBdr>
    </w:div>
    <w:div w:id="1320160862">
      <w:bodyDiv w:val="1"/>
      <w:marLeft w:val="0"/>
      <w:marRight w:val="0"/>
      <w:marTop w:val="0"/>
      <w:marBottom w:val="0"/>
      <w:divBdr>
        <w:top w:val="none" w:sz="0" w:space="0" w:color="auto"/>
        <w:left w:val="none" w:sz="0" w:space="0" w:color="auto"/>
        <w:bottom w:val="none" w:sz="0" w:space="0" w:color="auto"/>
        <w:right w:val="none" w:sz="0" w:space="0" w:color="auto"/>
      </w:divBdr>
    </w:div>
    <w:div w:id="1320234809">
      <w:bodyDiv w:val="1"/>
      <w:marLeft w:val="0"/>
      <w:marRight w:val="0"/>
      <w:marTop w:val="0"/>
      <w:marBottom w:val="0"/>
      <w:divBdr>
        <w:top w:val="none" w:sz="0" w:space="0" w:color="auto"/>
        <w:left w:val="none" w:sz="0" w:space="0" w:color="auto"/>
        <w:bottom w:val="none" w:sz="0" w:space="0" w:color="auto"/>
        <w:right w:val="none" w:sz="0" w:space="0" w:color="auto"/>
      </w:divBdr>
    </w:div>
    <w:div w:id="1320381041">
      <w:bodyDiv w:val="1"/>
      <w:marLeft w:val="0"/>
      <w:marRight w:val="0"/>
      <w:marTop w:val="0"/>
      <w:marBottom w:val="0"/>
      <w:divBdr>
        <w:top w:val="none" w:sz="0" w:space="0" w:color="auto"/>
        <w:left w:val="none" w:sz="0" w:space="0" w:color="auto"/>
        <w:bottom w:val="none" w:sz="0" w:space="0" w:color="auto"/>
        <w:right w:val="none" w:sz="0" w:space="0" w:color="auto"/>
      </w:divBdr>
    </w:div>
    <w:div w:id="1320692042">
      <w:bodyDiv w:val="1"/>
      <w:marLeft w:val="0"/>
      <w:marRight w:val="0"/>
      <w:marTop w:val="0"/>
      <w:marBottom w:val="0"/>
      <w:divBdr>
        <w:top w:val="none" w:sz="0" w:space="0" w:color="auto"/>
        <w:left w:val="none" w:sz="0" w:space="0" w:color="auto"/>
        <w:bottom w:val="none" w:sz="0" w:space="0" w:color="auto"/>
        <w:right w:val="none" w:sz="0" w:space="0" w:color="auto"/>
      </w:divBdr>
    </w:div>
    <w:div w:id="1320842425">
      <w:bodyDiv w:val="1"/>
      <w:marLeft w:val="0"/>
      <w:marRight w:val="0"/>
      <w:marTop w:val="0"/>
      <w:marBottom w:val="0"/>
      <w:divBdr>
        <w:top w:val="none" w:sz="0" w:space="0" w:color="auto"/>
        <w:left w:val="none" w:sz="0" w:space="0" w:color="auto"/>
        <w:bottom w:val="none" w:sz="0" w:space="0" w:color="auto"/>
        <w:right w:val="none" w:sz="0" w:space="0" w:color="auto"/>
      </w:divBdr>
    </w:div>
    <w:div w:id="1321036546">
      <w:bodyDiv w:val="1"/>
      <w:marLeft w:val="0"/>
      <w:marRight w:val="0"/>
      <w:marTop w:val="0"/>
      <w:marBottom w:val="0"/>
      <w:divBdr>
        <w:top w:val="none" w:sz="0" w:space="0" w:color="auto"/>
        <w:left w:val="none" w:sz="0" w:space="0" w:color="auto"/>
        <w:bottom w:val="none" w:sz="0" w:space="0" w:color="auto"/>
        <w:right w:val="none" w:sz="0" w:space="0" w:color="auto"/>
      </w:divBdr>
    </w:div>
    <w:div w:id="1321421909">
      <w:bodyDiv w:val="1"/>
      <w:marLeft w:val="0"/>
      <w:marRight w:val="0"/>
      <w:marTop w:val="0"/>
      <w:marBottom w:val="0"/>
      <w:divBdr>
        <w:top w:val="none" w:sz="0" w:space="0" w:color="auto"/>
        <w:left w:val="none" w:sz="0" w:space="0" w:color="auto"/>
        <w:bottom w:val="none" w:sz="0" w:space="0" w:color="auto"/>
        <w:right w:val="none" w:sz="0" w:space="0" w:color="auto"/>
      </w:divBdr>
    </w:div>
    <w:div w:id="1321931362">
      <w:bodyDiv w:val="1"/>
      <w:marLeft w:val="0"/>
      <w:marRight w:val="0"/>
      <w:marTop w:val="0"/>
      <w:marBottom w:val="0"/>
      <w:divBdr>
        <w:top w:val="none" w:sz="0" w:space="0" w:color="auto"/>
        <w:left w:val="none" w:sz="0" w:space="0" w:color="auto"/>
        <w:bottom w:val="none" w:sz="0" w:space="0" w:color="auto"/>
        <w:right w:val="none" w:sz="0" w:space="0" w:color="auto"/>
      </w:divBdr>
    </w:div>
    <w:div w:id="1322194438">
      <w:bodyDiv w:val="1"/>
      <w:marLeft w:val="0"/>
      <w:marRight w:val="0"/>
      <w:marTop w:val="0"/>
      <w:marBottom w:val="0"/>
      <w:divBdr>
        <w:top w:val="none" w:sz="0" w:space="0" w:color="auto"/>
        <w:left w:val="none" w:sz="0" w:space="0" w:color="auto"/>
        <w:bottom w:val="none" w:sz="0" w:space="0" w:color="auto"/>
        <w:right w:val="none" w:sz="0" w:space="0" w:color="auto"/>
      </w:divBdr>
    </w:div>
    <w:div w:id="1322466690">
      <w:bodyDiv w:val="1"/>
      <w:marLeft w:val="0"/>
      <w:marRight w:val="0"/>
      <w:marTop w:val="0"/>
      <w:marBottom w:val="0"/>
      <w:divBdr>
        <w:top w:val="none" w:sz="0" w:space="0" w:color="auto"/>
        <w:left w:val="none" w:sz="0" w:space="0" w:color="auto"/>
        <w:bottom w:val="none" w:sz="0" w:space="0" w:color="auto"/>
        <w:right w:val="none" w:sz="0" w:space="0" w:color="auto"/>
      </w:divBdr>
    </w:div>
    <w:div w:id="1322733083">
      <w:bodyDiv w:val="1"/>
      <w:marLeft w:val="0"/>
      <w:marRight w:val="0"/>
      <w:marTop w:val="0"/>
      <w:marBottom w:val="0"/>
      <w:divBdr>
        <w:top w:val="none" w:sz="0" w:space="0" w:color="auto"/>
        <w:left w:val="none" w:sz="0" w:space="0" w:color="auto"/>
        <w:bottom w:val="none" w:sz="0" w:space="0" w:color="auto"/>
        <w:right w:val="none" w:sz="0" w:space="0" w:color="auto"/>
      </w:divBdr>
    </w:div>
    <w:div w:id="1323241860">
      <w:bodyDiv w:val="1"/>
      <w:marLeft w:val="0"/>
      <w:marRight w:val="0"/>
      <w:marTop w:val="0"/>
      <w:marBottom w:val="0"/>
      <w:divBdr>
        <w:top w:val="none" w:sz="0" w:space="0" w:color="auto"/>
        <w:left w:val="none" w:sz="0" w:space="0" w:color="auto"/>
        <w:bottom w:val="none" w:sz="0" w:space="0" w:color="auto"/>
        <w:right w:val="none" w:sz="0" w:space="0" w:color="auto"/>
      </w:divBdr>
    </w:div>
    <w:div w:id="1323969049">
      <w:bodyDiv w:val="1"/>
      <w:marLeft w:val="0"/>
      <w:marRight w:val="0"/>
      <w:marTop w:val="0"/>
      <w:marBottom w:val="0"/>
      <w:divBdr>
        <w:top w:val="none" w:sz="0" w:space="0" w:color="auto"/>
        <w:left w:val="none" w:sz="0" w:space="0" w:color="auto"/>
        <w:bottom w:val="none" w:sz="0" w:space="0" w:color="auto"/>
        <w:right w:val="none" w:sz="0" w:space="0" w:color="auto"/>
      </w:divBdr>
    </w:div>
    <w:div w:id="1324167693">
      <w:bodyDiv w:val="1"/>
      <w:marLeft w:val="0"/>
      <w:marRight w:val="0"/>
      <w:marTop w:val="0"/>
      <w:marBottom w:val="0"/>
      <w:divBdr>
        <w:top w:val="none" w:sz="0" w:space="0" w:color="auto"/>
        <w:left w:val="none" w:sz="0" w:space="0" w:color="auto"/>
        <w:bottom w:val="none" w:sz="0" w:space="0" w:color="auto"/>
        <w:right w:val="none" w:sz="0" w:space="0" w:color="auto"/>
      </w:divBdr>
    </w:div>
    <w:div w:id="1325548470">
      <w:bodyDiv w:val="1"/>
      <w:marLeft w:val="0"/>
      <w:marRight w:val="0"/>
      <w:marTop w:val="0"/>
      <w:marBottom w:val="0"/>
      <w:divBdr>
        <w:top w:val="none" w:sz="0" w:space="0" w:color="auto"/>
        <w:left w:val="none" w:sz="0" w:space="0" w:color="auto"/>
        <w:bottom w:val="none" w:sz="0" w:space="0" w:color="auto"/>
        <w:right w:val="none" w:sz="0" w:space="0" w:color="auto"/>
      </w:divBdr>
    </w:div>
    <w:div w:id="1325662787">
      <w:bodyDiv w:val="1"/>
      <w:marLeft w:val="0"/>
      <w:marRight w:val="0"/>
      <w:marTop w:val="0"/>
      <w:marBottom w:val="0"/>
      <w:divBdr>
        <w:top w:val="none" w:sz="0" w:space="0" w:color="auto"/>
        <w:left w:val="none" w:sz="0" w:space="0" w:color="auto"/>
        <w:bottom w:val="none" w:sz="0" w:space="0" w:color="auto"/>
        <w:right w:val="none" w:sz="0" w:space="0" w:color="auto"/>
      </w:divBdr>
    </w:div>
    <w:div w:id="1326279114">
      <w:bodyDiv w:val="1"/>
      <w:marLeft w:val="0"/>
      <w:marRight w:val="0"/>
      <w:marTop w:val="0"/>
      <w:marBottom w:val="0"/>
      <w:divBdr>
        <w:top w:val="none" w:sz="0" w:space="0" w:color="auto"/>
        <w:left w:val="none" w:sz="0" w:space="0" w:color="auto"/>
        <w:bottom w:val="none" w:sz="0" w:space="0" w:color="auto"/>
        <w:right w:val="none" w:sz="0" w:space="0" w:color="auto"/>
      </w:divBdr>
    </w:div>
    <w:div w:id="1326518504">
      <w:bodyDiv w:val="1"/>
      <w:marLeft w:val="0"/>
      <w:marRight w:val="0"/>
      <w:marTop w:val="0"/>
      <w:marBottom w:val="0"/>
      <w:divBdr>
        <w:top w:val="none" w:sz="0" w:space="0" w:color="auto"/>
        <w:left w:val="none" w:sz="0" w:space="0" w:color="auto"/>
        <w:bottom w:val="none" w:sz="0" w:space="0" w:color="auto"/>
        <w:right w:val="none" w:sz="0" w:space="0" w:color="auto"/>
      </w:divBdr>
    </w:div>
    <w:div w:id="1326661539">
      <w:bodyDiv w:val="1"/>
      <w:marLeft w:val="0"/>
      <w:marRight w:val="0"/>
      <w:marTop w:val="0"/>
      <w:marBottom w:val="0"/>
      <w:divBdr>
        <w:top w:val="none" w:sz="0" w:space="0" w:color="auto"/>
        <w:left w:val="none" w:sz="0" w:space="0" w:color="auto"/>
        <w:bottom w:val="none" w:sz="0" w:space="0" w:color="auto"/>
        <w:right w:val="none" w:sz="0" w:space="0" w:color="auto"/>
      </w:divBdr>
    </w:div>
    <w:div w:id="1327635524">
      <w:bodyDiv w:val="1"/>
      <w:marLeft w:val="0"/>
      <w:marRight w:val="0"/>
      <w:marTop w:val="0"/>
      <w:marBottom w:val="0"/>
      <w:divBdr>
        <w:top w:val="none" w:sz="0" w:space="0" w:color="auto"/>
        <w:left w:val="none" w:sz="0" w:space="0" w:color="auto"/>
        <w:bottom w:val="none" w:sz="0" w:space="0" w:color="auto"/>
        <w:right w:val="none" w:sz="0" w:space="0" w:color="auto"/>
      </w:divBdr>
    </w:div>
    <w:div w:id="1327710715">
      <w:bodyDiv w:val="1"/>
      <w:marLeft w:val="0"/>
      <w:marRight w:val="0"/>
      <w:marTop w:val="0"/>
      <w:marBottom w:val="0"/>
      <w:divBdr>
        <w:top w:val="none" w:sz="0" w:space="0" w:color="auto"/>
        <w:left w:val="none" w:sz="0" w:space="0" w:color="auto"/>
        <w:bottom w:val="none" w:sz="0" w:space="0" w:color="auto"/>
        <w:right w:val="none" w:sz="0" w:space="0" w:color="auto"/>
      </w:divBdr>
    </w:div>
    <w:div w:id="1328245305">
      <w:bodyDiv w:val="1"/>
      <w:marLeft w:val="0"/>
      <w:marRight w:val="0"/>
      <w:marTop w:val="0"/>
      <w:marBottom w:val="0"/>
      <w:divBdr>
        <w:top w:val="none" w:sz="0" w:space="0" w:color="auto"/>
        <w:left w:val="none" w:sz="0" w:space="0" w:color="auto"/>
        <w:bottom w:val="none" w:sz="0" w:space="0" w:color="auto"/>
        <w:right w:val="none" w:sz="0" w:space="0" w:color="auto"/>
      </w:divBdr>
    </w:div>
    <w:div w:id="1328289102">
      <w:bodyDiv w:val="1"/>
      <w:marLeft w:val="0"/>
      <w:marRight w:val="0"/>
      <w:marTop w:val="0"/>
      <w:marBottom w:val="0"/>
      <w:divBdr>
        <w:top w:val="none" w:sz="0" w:space="0" w:color="auto"/>
        <w:left w:val="none" w:sz="0" w:space="0" w:color="auto"/>
        <w:bottom w:val="none" w:sz="0" w:space="0" w:color="auto"/>
        <w:right w:val="none" w:sz="0" w:space="0" w:color="auto"/>
      </w:divBdr>
    </w:div>
    <w:div w:id="1328289194">
      <w:bodyDiv w:val="1"/>
      <w:marLeft w:val="0"/>
      <w:marRight w:val="0"/>
      <w:marTop w:val="0"/>
      <w:marBottom w:val="0"/>
      <w:divBdr>
        <w:top w:val="none" w:sz="0" w:space="0" w:color="auto"/>
        <w:left w:val="none" w:sz="0" w:space="0" w:color="auto"/>
        <w:bottom w:val="none" w:sz="0" w:space="0" w:color="auto"/>
        <w:right w:val="none" w:sz="0" w:space="0" w:color="auto"/>
      </w:divBdr>
    </w:div>
    <w:div w:id="1328482276">
      <w:bodyDiv w:val="1"/>
      <w:marLeft w:val="0"/>
      <w:marRight w:val="0"/>
      <w:marTop w:val="0"/>
      <w:marBottom w:val="0"/>
      <w:divBdr>
        <w:top w:val="none" w:sz="0" w:space="0" w:color="auto"/>
        <w:left w:val="none" w:sz="0" w:space="0" w:color="auto"/>
        <w:bottom w:val="none" w:sz="0" w:space="0" w:color="auto"/>
        <w:right w:val="none" w:sz="0" w:space="0" w:color="auto"/>
      </w:divBdr>
    </w:div>
    <w:div w:id="1329401356">
      <w:bodyDiv w:val="1"/>
      <w:marLeft w:val="0"/>
      <w:marRight w:val="0"/>
      <w:marTop w:val="0"/>
      <w:marBottom w:val="0"/>
      <w:divBdr>
        <w:top w:val="none" w:sz="0" w:space="0" w:color="auto"/>
        <w:left w:val="none" w:sz="0" w:space="0" w:color="auto"/>
        <w:bottom w:val="none" w:sz="0" w:space="0" w:color="auto"/>
        <w:right w:val="none" w:sz="0" w:space="0" w:color="auto"/>
      </w:divBdr>
    </w:div>
    <w:div w:id="1330136581">
      <w:bodyDiv w:val="1"/>
      <w:marLeft w:val="0"/>
      <w:marRight w:val="0"/>
      <w:marTop w:val="0"/>
      <w:marBottom w:val="0"/>
      <w:divBdr>
        <w:top w:val="none" w:sz="0" w:space="0" w:color="auto"/>
        <w:left w:val="none" w:sz="0" w:space="0" w:color="auto"/>
        <w:bottom w:val="none" w:sz="0" w:space="0" w:color="auto"/>
        <w:right w:val="none" w:sz="0" w:space="0" w:color="auto"/>
      </w:divBdr>
    </w:div>
    <w:div w:id="1330211637">
      <w:bodyDiv w:val="1"/>
      <w:marLeft w:val="0"/>
      <w:marRight w:val="0"/>
      <w:marTop w:val="0"/>
      <w:marBottom w:val="0"/>
      <w:divBdr>
        <w:top w:val="none" w:sz="0" w:space="0" w:color="auto"/>
        <w:left w:val="none" w:sz="0" w:space="0" w:color="auto"/>
        <w:bottom w:val="none" w:sz="0" w:space="0" w:color="auto"/>
        <w:right w:val="none" w:sz="0" w:space="0" w:color="auto"/>
      </w:divBdr>
    </w:div>
    <w:div w:id="1330673891">
      <w:bodyDiv w:val="1"/>
      <w:marLeft w:val="0"/>
      <w:marRight w:val="0"/>
      <w:marTop w:val="0"/>
      <w:marBottom w:val="0"/>
      <w:divBdr>
        <w:top w:val="none" w:sz="0" w:space="0" w:color="auto"/>
        <w:left w:val="none" w:sz="0" w:space="0" w:color="auto"/>
        <w:bottom w:val="none" w:sz="0" w:space="0" w:color="auto"/>
        <w:right w:val="none" w:sz="0" w:space="0" w:color="auto"/>
      </w:divBdr>
    </w:div>
    <w:div w:id="1331298875">
      <w:bodyDiv w:val="1"/>
      <w:marLeft w:val="0"/>
      <w:marRight w:val="0"/>
      <w:marTop w:val="0"/>
      <w:marBottom w:val="0"/>
      <w:divBdr>
        <w:top w:val="none" w:sz="0" w:space="0" w:color="auto"/>
        <w:left w:val="none" w:sz="0" w:space="0" w:color="auto"/>
        <w:bottom w:val="none" w:sz="0" w:space="0" w:color="auto"/>
        <w:right w:val="none" w:sz="0" w:space="0" w:color="auto"/>
      </w:divBdr>
    </w:div>
    <w:div w:id="1331718076">
      <w:bodyDiv w:val="1"/>
      <w:marLeft w:val="0"/>
      <w:marRight w:val="0"/>
      <w:marTop w:val="0"/>
      <w:marBottom w:val="0"/>
      <w:divBdr>
        <w:top w:val="none" w:sz="0" w:space="0" w:color="auto"/>
        <w:left w:val="none" w:sz="0" w:space="0" w:color="auto"/>
        <w:bottom w:val="none" w:sz="0" w:space="0" w:color="auto"/>
        <w:right w:val="none" w:sz="0" w:space="0" w:color="auto"/>
      </w:divBdr>
    </w:div>
    <w:div w:id="1332100867">
      <w:bodyDiv w:val="1"/>
      <w:marLeft w:val="0"/>
      <w:marRight w:val="0"/>
      <w:marTop w:val="0"/>
      <w:marBottom w:val="0"/>
      <w:divBdr>
        <w:top w:val="none" w:sz="0" w:space="0" w:color="auto"/>
        <w:left w:val="none" w:sz="0" w:space="0" w:color="auto"/>
        <w:bottom w:val="none" w:sz="0" w:space="0" w:color="auto"/>
        <w:right w:val="none" w:sz="0" w:space="0" w:color="auto"/>
      </w:divBdr>
    </w:div>
    <w:div w:id="1332104394">
      <w:bodyDiv w:val="1"/>
      <w:marLeft w:val="0"/>
      <w:marRight w:val="0"/>
      <w:marTop w:val="0"/>
      <w:marBottom w:val="0"/>
      <w:divBdr>
        <w:top w:val="none" w:sz="0" w:space="0" w:color="auto"/>
        <w:left w:val="none" w:sz="0" w:space="0" w:color="auto"/>
        <w:bottom w:val="none" w:sz="0" w:space="0" w:color="auto"/>
        <w:right w:val="none" w:sz="0" w:space="0" w:color="auto"/>
      </w:divBdr>
    </w:div>
    <w:div w:id="1332292564">
      <w:bodyDiv w:val="1"/>
      <w:marLeft w:val="0"/>
      <w:marRight w:val="0"/>
      <w:marTop w:val="0"/>
      <w:marBottom w:val="0"/>
      <w:divBdr>
        <w:top w:val="none" w:sz="0" w:space="0" w:color="auto"/>
        <w:left w:val="none" w:sz="0" w:space="0" w:color="auto"/>
        <w:bottom w:val="none" w:sz="0" w:space="0" w:color="auto"/>
        <w:right w:val="none" w:sz="0" w:space="0" w:color="auto"/>
      </w:divBdr>
    </w:div>
    <w:div w:id="1332834435">
      <w:bodyDiv w:val="1"/>
      <w:marLeft w:val="0"/>
      <w:marRight w:val="0"/>
      <w:marTop w:val="0"/>
      <w:marBottom w:val="0"/>
      <w:divBdr>
        <w:top w:val="none" w:sz="0" w:space="0" w:color="auto"/>
        <w:left w:val="none" w:sz="0" w:space="0" w:color="auto"/>
        <w:bottom w:val="none" w:sz="0" w:space="0" w:color="auto"/>
        <w:right w:val="none" w:sz="0" w:space="0" w:color="auto"/>
      </w:divBdr>
    </w:div>
    <w:div w:id="1333068753">
      <w:bodyDiv w:val="1"/>
      <w:marLeft w:val="0"/>
      <w:marRight w:val="0"/>
      <w:marTop w:val="0"/>
      <w:marBottom w:val="0"/>
      <w:divBdr>
        <w:top w:val="none" w:sz="0" w:space="0" w:color="auto"/>
        <w:left w:val="none" w:sz="0" w:space="0" w:color="auto"/>
        <w:bottom w:val="none" w:sz="0" w:space="0" w:color="auto"/>
        <w:right w:val="none" w:sz="0" w:space="0" w:color="auto"/>
      </w:divBdr>
    </w:div>
    <w:div w:id="1333143387">
      <w:bodyDiv w:val="1"/>
      <w:marLeft w:val="0"/>
      <w:marRight w:val="0"/>
      <w:marTop w:val="0"/>
      <w:marBottom w:val="0"/>
      <w:divBdr>
        <w:top w:val="none" w:sz="0" w:space="0" w:color="auto"/>
        <w:left w:val="none" w:sz="0" w:space="0" w:color="auto"/>
        <w:bottom w:val="none" w:sz="0" w:space="0" w:color="auto"/>
        <w:right w:val="none" w:sz="0" w:space="0" w:color="auto"/>
      </w:divBdr>
    </w:div>
    <w:div w:id="1333341376">
      <w:bodyDiv w:val="1"/>
      <w:marLeft w:val="0"/>
      <w:marRight w:val="0"/>
      <w:marTop w:val="0"/>
      <w:marBottom w:val="0"/>
      <w:divBdr>
        <w:top w:val="none" w:sz="0" w:space="0" w:color="auto"/>
        <w:left w:val="none" w:sz="0" w:space="0" w:color="auto"/>
        <w:bottom w:val="none" w:sz="0" w:space="0" w:color="auto"/>
        <w:right w:val="none" w:sz="0" w:space="0" w:color="auto"/>
      </w:divBdr>
    </w:div>
    <w:div w:id="1333990209">
      <w:bodyDiv w:val="1"/>
      <w:marLeft w:val="0"/>
      <w:marRight w:val="0"/>
      <w:marTop w:val="0"/>
      <w:marBottom w:val="0"/>
      <w:divBdr>
        <w:top w:val="none" w:sz="0" w:space="0" w:color="auto"/>
        <w:left w:val="none" w:sz="0" w:space="0" w:color="auto"/>
        <w:bottom w:val="none" w:sz="0" w:space="0" w:color="auto"/>
        <w:right w:val="none" w:sz="0" w:space="0" w:color="auto"/>
      </w:divBdr>
    </w:div>
    <w:div w:id="1333990928">
      <w:bodyDiv w:val="1"/>
      <w:marLeft w:val="0"/>
      <w:marRight w:val="0"/>
      <w:marTop w:val="0"/>
      <w:marBottom w:val="0"/>
      <w:divBdr>
        <w:top w:val="none" w:sz="0" w:space="0" w:color="auto"/>
        <w:left w:val="none" w:sz="0" w:space="0" w:color="auto"/>
        <w:bottom w:val="none" w:sz="0" w:space="0" w:color="auto"/>
        <w:right w:val="none" w:sz="0" w:space="0" w:color="auto"/>
      </w:divBdr>
    </w:div>
    <w:div w:id="1333991889">
      <w:bodyDiv w:val="1"/>
      <w:marLeft w:val="0"/>
      <w:marRight w:val="0"/>
      <w:marTop w:val="0"/>
      <w:marBottom w:val="0"/>
      <w:divBdr>
        <w:top w:val="none" w:sz="0" w:space="0" w:color="auto"/>
        <w:left w:val="none" w:sz="0" w:space="0" w:color="auto"/>
        <w:bottom w:val="none" w:sz="0" w:space="0" w:color="auto"/>
        <w:right w:val="none" w:sz="0" w:space="0" w:color="auto"/>
      </w:divBdr>
    </w:div>
    <w:div w:id="1334185505">
      <w:bodyDiv w:val="1"/>
      <w:marLeft w:val="0"/>
      <w:marRight w:val="0"/>
      <w:marTop w:val="0"/>
      <w:marBottom w:val="0"/>
      <w:divBdr>
        <w:top w:val="none" w:sz="0" w:space="0" w:color="auto"/>
        <w:left w:val="none" w:sz="0" w:space="0" w:color="auto"/>
        <w:bottom w:val="none" w:sz="0" w:space="0" w:color="auto"/>
        <w:right w:val="none" w:sz="0" w:space="0" w:color="auto"/>
      </w:divBdr>
    </w:div>
    <w:div w:id="1334721659">
      <w:bodyDiv w:val="1"/>
      <w:marLeft w:val="0"/>
      <w:marRight w:val="0"/>
      <w:marTop w:val="0"/>
      <w:marBottom w:val="0"/>
      <w:divBdr>
        <w:top w:val="none" w:sz="0" w:space="0" w:color="auto"/>
        <w:left w:val="none" w:sz="0" w:space="0" w:color="auto"/>
        <w:bottom w:val="none" w:sz="0" w:space="0" w:color="auto"/>
        <w:right w:val="none" w:sz="0" w:space="0" w:color="auto"/>
      </w:divBdr>
    </w:div>
    <w:div w:id="1334845323">
      <w:bodyDiv w:val="1"/>
      <w:marLeft w:val="0"/>
      <w:marRight w:val="0"/>
      <w:marTop w:val="0"/>
      <w:marBottom w:val="0"/>
      <w:divBdr>
        <w:top w:val="none" w:sz="0" w:space="0" w:color="auto"/>
        <w:left w:val="none" w:sz="0" w:space="0" w:color="auto"/>
        <w:bottom w:val="none" w:sz="0" w:space="0" w:color="auto"/>
        <w:right w:val="none" w:sz="0" w:space="0" w:color="auto"/>
      </w:divBdr>
    </w:div>
    <w:div w:id="1335107397">
      <w:bodyDiv w:val="1"/>
      <w:marLeft w:val="0"/>
      <w:marRight w:val="0"/>
      <w:marTop w:val="0"/>
      <w:marBottom w:val="0"/>
      <w:divBdr>
        <w:top w:val="none" w:sz="0" w:space="0" w:color="auto"/>
        <w:left w:val="none" w:sz="0" w:space="0" w:color="auto"/>
        <w:bottom w:val="none" w:sz="0" w:space="0" w:color="auto"/>
        <w:right w:val="none" w:sz="0" w:space="0" w:color="auto"/>
      </w:divBdr>
    </w:div>
    <w:div w:id="1335569158">
      <w:bodyDiv w:val="1"/>
      <w:marLeft w:val="0"/>
      <w:marRight w:val="0"/>
      <w:marTop w:val="0"/>
      <w:marBottom w:val="0"/>
      <w:divBdr>
        <w:top w:val="none" w:sz="0" w:space="0" w:color="auto"/>
        <w:left w:val="none" w:sz="0" w:space="0" w:color="auto"/>
        <w:bottom w:val="none" w:sz="0" w:space="0" w:color="auto"/>
        <w:right w:val="none" w:sz="0" w:space="0" w:color="auto"/>
      </w:divBdr>
    </w:div>
    <w:div w:id="1335693220">
      <w:bodyDiv w:val="1"/>
      <w:marLeft w:val="0"/>
      <w:marRight w:val="0"/>
      <w:marTop w:val="0"/>
      <w:marBottom w:val="0"/>
      <w:divBdr>
        <w:top w:val="none" w:sz="0" w:space="0" w:color="auto"/>
        <w:left w:val="none" w:sz="0" w:space="0" w:color="auto"/>
        <w:bottom w:val="none" w:sz="0" w:space="0" w:color="auto"/>
        <w:right w:val="none" w:sz="0" w:space="0" w:color="auto"/>
      </w:divBdr>
    </w:div>
    <w:div w:id="1335837277">
      <w:bodyDiv w:val="1"/>
      <w:marLeft w:val="0"/>
      <w:marRight w:val="0"/>
      <w:marTop w:val="0"/>
      <w:marBottom w:val="0"/>
      <w:divBdr>
        <w:top w:val="none" w:sz="0" w:space="0" w:color="auto"/>
        <w:left w:val="none" w:sz="0" w:space="0" w:color="auto"/>
        <w:bottom w:val="none" w:sz="0" w:space="0" w:color="auto"/>
        <w:right w:val="none" w:sz="0" w:space="0" w:color="auto"/>
      </w:divBdr>
    </w:div>
    <w:div w:id="1336297019">
      <w:bodyDiv w:val="1"/>
      <w:marLeft w:val="0"/>
      <w:marRight w:val="0"/>
      <w:marTop w:val="0"/>
      <w:marBottom w:val="0"/>
      <w:divBdr>
        <w:top w:val="none" w:sz="0" w:space="0" w:color="auto"/>
        <w:left w:val="none" w:sz="0" w:space="0" w:color="auto"/>
        <w:bottom w:val="none" w:sz="0" w:space="0" w:color="auto"/>
        <w:right w:val="none" w:sz="0" w:space="0" w:color="auto"/>
      </w:divBdr>
    </w:div>
    <w:div w:id="1336303647">
      <w:bodyDiv w:val="1"/>
      <w:marLeft w:val="0"/>
      <w:marRight w:val="0"/>
      <w:marTop w:val="0"/>
      <w:marBottom w:val="0"/>
      <w:divBdr>
        <w:top w:val="none" w:sz="0" w:space="0" w:color="auto"/>
        <w:left w:val="none" w:sz="0" w:space="0" w:color="auto"/>
        <w:bottom w:val="none" w:sz="0" w:space="0" w:color="auto"/>
        <w:right w:val="none" w:sz="0" w:space="0" w:color="auto"/>
      </w:divBdr>
    </w:div>
    <w:div w:id="1336609373">
      <w:bodyDiv w:val="1"/>
      <w:marLeft w:val="0"/>
      <w:marRight w:val="0"/>
      <w:marTop w:val="0"/>
      <w:marBottom w:val="0"/>
      <w:divBdr>
        <w:top w:val="none" w:sz="0" w:space="0" w:color="auto"/>
        <w:left w:val="none" w:sz="0" w:space="0" w:color="auto"/>
        <w:bottom w:val="none" w:sz="0" w:space="0" w:color="auto"/>
        <w:right w:val="none" w:sz="0" w:space="0" w:color="auto"/>
      </w:divBdr>
    </w:div>
    <w:div w:id="1336616505">
      <w:bodyDiv w:val="1"/>
      <w:marLeft w:val="0"/>
      <w:marRight w:val="0"/>
      <w:marTop w:val="0"/>
      <w:marBottom w:val="0"/>
      <w:divBdr>
        <w:top w:val="none" w:sz="0" w:space="0" w:color="auto"/>
        <w:left w:val="none" w:sz="0" w:space="0" w:color="auto"/>
        <w:bottom w:val="none" w:sz="0" w:space="0" w:color="auto"/>
        <w:right w:val="none" w:sz="0" w:space="0" w:color="auto"/>
      </w:divBdr>
    </w:div>
    <w:div w:id="1336762607">
      <w:bodyDiv w:val="1"/>
      <w:marLeft w:val="0"/>
      <w:marRight w:val="0"/>
      <w:marTop w:val="0"/>
      <w:marBottom w:val="0"/>
      <w:divBdr>
        <w:top w:val="none" w:sz="0" w:space="0" w:color="auto"/>
        <w:left w:val="none" w:sz="0" w:space="0" w:color="auto"/>
        <w:bottom w:val="none" w:sz="0" w:space="0" w:color="auto"/>
        <w:right w:val="none" w:sz="0" w:space="0" w:color="auto"/>
      </w:divBdr>
    </w:div>
    <w:div w:id="1337345164">
      <w:bodyDiv w:val="1"/>
      <w:marLeft w:val="0"/>
      <w:marRight w:val="0"/>
      <w:marTop w:val="0"/>
      <w:marBottom w:val="0"/>
      <w:divBdr>
        <w:top w:val="none" w:sz="0" w:space="0" w:color="auto"/>
        <w:left w:val="none" w:sz="0" w:space="0" w:color="auto"/>
        <w:bottom w:val="none" w:sz="0" w:space="0" w:color="auto"/>
        <w:right w:val="none" w:sz="0" w:space="0" w:color="auto"/>
      </w:divBdr>
    </w:div>
    <w:div w:id="1338115745">
      <w:bodyDiv w:val="1"/>
      <w:marLeft w:val="0"/>
      <w:marRight w:val="0"/>
      <w:marTop w:val="0"/>
      <w:marBottom w:val="0"/>
      <w:divBdr>
        <w:top w:val="none" w:sz="0" w:space="0" w:color="auto"/>
        <w:left w:val="none" w:sz="0" w:space="0" w:color="auto"/>
        <w:bottom w:val="none" w:sz="0" w:space="0" w:color="auto"/>
        <w:right w:val="none" w:sz="0" w:space="0" w:color="auto"/>
      </w:divBdr>
    </w:div>
    <w:div w:id="1338725136">
      <w:bodyDiv w:val="1"/>
      <w:marLeft w:val="0"/>
      <w:marRight w:val="0"/>
      <w:marTop w:val="0"/>
      <w:marBottom w:val="0"/>
      <w:divBdr>
        <w:top w:val="none" w:sz="0" w:space="0" w:color="auto"/>
        <w:left w:val="none" w:sz="0" w:space="0" w:color="auto"/>
        <w:bottom w:val="none" w:sz="0" w:space="0" w:color="auto"/>
        <w:right w:val="none" w:sz="0" w:space="0" w:color="auto"/>
      </w:divBdr>
    </w:div>
    <w:div w:id="1338774977">
      <w:bodyDiv w:val="1"/>
      <w:marLeft w:val="0"/>
      <w:marRight w:val="0"/>
      <w:marTop w:val="0"/>
      <w:marBottom w:val="0"/>
      <w:divBdr>
        <w:top w:val="none" w:sz="0" w:space="0" w:color="auto"/>
        <w:left w:val="none" w:sz="0" w:space="0" w:color="auto"/>
        <w:bottom w:val="none" w:sz="0" w:space="0" w:color="auto"/>
        <w:right w:val="none" w:sz="0" w:space="0" w:color="auto"/>
      </w:divBdr>
    </w:div>
    <w:div w:id="1338842863">
      <w:bodyDiv w:val="1"/>
      <w:marLeft w:val="0"/>
      <w:marRight w:val="0"/>
      <w:marTop w:val="0"/>
      <w:marBottom w:val="0"/>
      <w:divBdr>
        <w:top w:val="none" w:sz="0" w:space="0" w:color="auto"/>
        <w:left w:val="none" w:sz="0" w:space="0" w:color="auto"/>
        <w:bottom w:val="none" w:sz="0" w:space="0" w:color="auto"/>
        <w:right w:val="none" w:sz="0" w:space="0" w:color="auto"/>
      </w:divBdr>
    </w:div>
    <w:div w:id="1339040952">
      <w:bodyDiv w:val="1"/>
      <w:marLeft w:val="0"/>
      <w:marRight w:val="0"/>
      <w:marTop w:val="0"/>
      <w:marBottom w:val="0"/>
      <w:divBdr>
        <w:top w:val="none" w:sz="0" w:space="0" w:color="auto"/>
        <w:left w:val="none" w:sz="0" w:space="0" w:color="auto"/>
        <w:bottom w:val="none" w:sz="0" w:space="0" w:color="auto"/>
        <w:right w:val="none" w:sz="0" w:space="0" w:color="auto"/>
      </w:divBdr>
    </w:div>
    <w:div w:id="1339193340">
      <w:bodyDiv w:val="1"/>
      <w:marLeft w:val="0"/>
      <w:marRight w:val="0"/>
      <w:marTop w:val="0"/>
      <w:marBottom w:val="0"/>
      <w:divBdr>
        <w:top w:val="none" w:sz="0" w:space="0" w:color="auto"/>
        <w:left w:val="none" w:sz="0" w:space="0" w:color="auto"/>
        <w:bottom w:val="none" w:sz="0" w:space="0" w:color="auto"/>
        <w:right w:val="none" w:sz="0" w:space="0" w:color="auto"/>
      </w:divBdr>
    </w:div>
    <w:div w:id="1339313023">
      <w:bodyDiv w:val="1"/>
      <w:marLeft w:val="0"/>
      <w:marRight w:val="0"/>
      <w:marTop w:val="0"/>
      <w:marBottom w:val="0"/>
      <w:divBdr>
        <w:top w:val="none" w:sz="0" w:space="0" w:color="auto"/>
        <w:left w:val="none" w:sz="0" w:space="0" w:color="auto"/>
        <w:bottom w:val="none" w:sz="0" w:space="0" w:color="auto"/>
        <w:right w:val="none" w:sz="0" w:space="0" w:color="auto"/>
      </w:divBdr>
    </w:div>
    <w:div w:id="1339500087">
      <w:bodyDiv w:val="1"/>
      <w:marLeft w:val="0"/>
      <w:marRight w:val="0"/>
      <w:marTop w:val="0"/>
      <w:marBottom w:val="0"/>
      <w:divBdr>
        <w:top w:val="none" w:sz="0" w:space="0" w:color="auto"/>
        <w:left w:val="none" w:sz="0" w:space="0" w:color="auto"/>
        <w:bottom w:val="none" w:sz="0" w:space="0" w:color="auto"/>
        <w:right w:val="none" w:sz="0" w:space="0" w:color="auto"/>
      </w:divBdr>
    </w:div>
    <w:div w:id="1339850592">
      <w:bodyDiv w:val="1"/>
      <w:marLeft w:val="0"/>
      <w:marRight w:val="0"/>
      <w:marTop w:val="0"/>
      <w:marBottom w:val="0"/>
      <w:divBdr>
        <w:top w:val="none" w:sz="0" w:space="0" w:color="auto"/>
        <w:left w:val="none" w:sz="0" w:space="0" w:color="auto"/>
        <w:bottom w:val="none" w:sz="0" w:space="0" w:color="auto"/>
        <w:right w:val="none" w:sz="0" w:space="0" w:color="auto"/>
      </w:divBdr>
    </w:div>
    <w:div w:id="1340736336">
      <w:bodyDiv w:val="1"/>
      <w:marLeft w:val="0"/>
      <w:marRight w:val="0"/>
      <w:marTop w:val="0"/>
      <w:marBottom w:val="0"/>
      <w:divBdr>
        <w:top w:val="none" w:sz="0" w:space="0" w:color="auto"/>
        <w:left w:val="none" w:sz="0" w:space="0" w:color="auto"/>
        <w:bottom w:val="none" w:sz="0" w:space="0" w:color="auto"/>
        <w:right w:val="none" w:sz="0" w:space="0" w:color="auto"/>
      </w:divBdr>
    </w:div>
    <w:div w:id="1341472532">
      <w:bodyDiv w:val="1"/>
      <w:marLeft w:val="0"/>
      <w:marRight w:val="0"/>
      <w:marTop w:val="0"/>
      <w:marBottom w:val="0"/>
      <w:divBdr>
        <w:top w:val="none" w:sz="0" w:space="0" w:color="auto"/>
        <w:left w:val="none" w:sz="0" w:space="0" w:color="auto"/>
        <w:bottom w:val="none" w:sz="0" w:space="0" w:color="auto"/>
        <w:right w:val="none" w:sz="0" w:space="0" w:color="auto"/>
      </w:divBdr>
    </w:div>
    <w:div w:id="1341590246">
      <w:bodyDiv w:val="1"/>
      <w:marLeft w:val="0"/>
      <w:marRight w:val="0"/>
      <w:marTop w:val="0"/>
      <w:marBottom w:val="0"/>
      <w:divBdr>
        <w:top w:val="none" w:sz="0" w:space="0" w:color="auto"/>
        <w:left w:val="none" w:sz="0" w:space="0" w:color="auto"/>
        <w:bottom w:val="none" w:sz="0" w:space="0" w:color="auto"/>
        <w:right w:val="none" w:sz="0" w:space="0" w:color="auto"/>
      </w:divBdr>
    </w:div>
    <w:div w:id="1341784328">
      <w:bodyDiv w:val="1"/>
      <w:marLeft w:val="0"/>
      <w:marRight w:val="0"/>
      <w:marTop w:val="0"/>
      <w:marBottom w:val="0"/>
      <w:divBdr>
        <w:top w:val="none" w:sz="0" w:space="0" w:color="auto"/>
        <w:left w:val="none" w:sz="0" w:space="0" w:color="auto"/>
        <w:bottom w:val="none" w:sz="0" w:space="0" w:color="auto"/>
        <w:right w:val="none" w:sz="0" w:space="0" w:color="auto"/>
      </w:divBdr>
    </w:div>
    <w:div w:id="1342008578">
      <w:bodyDiv w:val="1"/>
      <w:marLeft w:val="0"/>
      <w:marRight w:val="0"/>
      <w:marTop w:val="0"/>
      <w:marBottom w:val="0"/>
      <w:divBdr>
        <w:top w:val="none" w:sz="0" w:space="0" w:color="auto"/>
        <w:left w:val="none" w:sz="0" w:space="0" w:color="auto"/>
        <w:bottom w:val="none" w:sz="0" w:space="0" w:color="auto"/>
        <w:right w:val="none" w:sz="0" w:space="0" w:color="auto"/>
      </w:divBdr>
    </w:div>
    <w:div w:id="1342010695">
      <w:bodyDiv w:val="1"/>
      <w:marLeft w:val="0"/>
      <w:marRight w:val="0"/>
      <w:marTop w:val="0"/>
      <w:marBottom w:val="0"/>
      <w:divBdr>
        <w:top w:val="none" w:sz="0" w:space="0" w:color="auto"/>
        <w:left w:val="none" w:sz="0" w:space="0" w:color="auto"/>
        <w:bottom w:val="none" w:sz="0" w:space="0" w:color="auto"/>
        <w:right w:val="none" w:sz="0" w:space="0" w:color="auto"/>
      </w:divBdr>
    </w:div>
    <w:div w:id="1342321666">
      <w:bodyDiv w:val="1"/>
      <w:marLeft w:val="0"/>
      <w:marRight w:val="0"/>
      <w:marTop w:val="0"/>
      <w:marBottom w:val="0"/>
      <w:divBdr>
        <w:top w:val="none" w:sz="0" w:space="0" w:color="auto"/>
        <w:left w:val="none" w:sz="0" w:space="0" w:color="auto"/>
        <w:bottom w:val="none" w:sz="0" w:space="0" w:color="auto"/>
        <w:right w:val="none" w:sz="0" w:space="0" w:color="auto"/>
      </w:divBdr>
    </w:div>
    <w:div w:id="1342506493">
      <w:bodyDiv w:val="1"/>
      <w:marLeft w:val="0"/>
      <w:marRight w:val="0"/>
      <w:marTop w:val="0"/>
      <w:marBottom w:val="0"/>
      <w:divBdr>
        <w:top w:val="none" w:sz="0" w:space="0" w:color="auto"/>
        <w:left w:val="none" w:sz="0" w:space="0" w:color="auto"/>
        <w:bottom w:val="none" w:sz="0" w:space="0" w:color="auto"/>
        <w:right w:val="none" w:sz="0" w:space="0" w:color="auto"/>
      </w:divBdr>
    </w:div>
    <w:div w:id="1342583076">
      <w:bodyDiv w:val="1"/>
      <w:marLeft w:val="0"/>
      <w:marRight w:val="0"/>
      <w:marTop w:val="0"/>
      <w:marBottom w:val="0"/>
      <w:divBdr>
        <w:top w:val="none" w:sz="0" w:space="0" w:color="auto"/>
        <w:left w:val="none" w:sz="0" w:space="0" w:color="auto"/>
        <w:bottom w:val="none" w:sz="0" w:space="0" w:color="auto"/>
        <w:right w:val="none" w:sz="0" w:space="0" w:color="auto"/>
      </w:divBdr>
    </w:div>
    <w:div w:id="1343237620">
      <w:bodyDiv w:val="1"/>
      <w:marLeft w:val="0"/>
      <w:marRight w:val="0"/>
      <w:marTop w:val="0"/>
      <w:marBottom w:val="0"/>
      <w:divBdr>
        <w:top w:val="none" w:sz="0" w:space="0" w:color="auto"/>
        <w:left w:val="none" w:sz="0" w:space="0" w:color="auto"/>
        <w:bottom w:val="none" w:sz="0" w:space="0" w:color="auto"/>
        <w:right w:val="none" w:sz="0" w:space="0" w:color="auto"/>
      </w:divBdr>
    </w:div>
    <w:div w:id="1344548311">
      <w:bodyDiv w:val="1"/>
      <w:marLeft w:val="0"/>
      <w:marRight w:val="0"/>
      <w:marTop w:val="0"/>
      <w:marBottom w:val="0"/>
      <w:divBdr>
        <w:top w:val="none" w:sz="0" w:space="0" w:color="auto"/>
        <w:left w:val="none" w:sz="0" w:space="0" w:color="auto"/>
        <w:bottom w:val="none" w:sz="0" w:space="0" w:color="auto"/>
        <w:right w:val="none" w:sz="0" w:space="0" w:color="auto"/>
      </w:divBdr>
    </w:div>
    <w:div w:id="1345590273">
      <w:bodyDiv w:val="1"/>
      <w:marLeft w:val="0"/>
      <w:marRight w:val="0"/>
      <w:marTop w:val="0"/>
      <w:marBottom w:val="0"/>
      <w:divBdr>
        <w:top w:val="none" w:sz="0" w:space="0" w:color="auto"/>
        <w:left w:val="none" w:sz="0" w:space="0" w:color="auto"/>
        <w:bottom w:val="none" w:sz="0" w:space="0" w:color="auto"/>
        <w:right w:val="none" w:sz="0" w:space="0" w:color="auto"/>
      </w:divBdr>
    </w:div>
    <w:div w:id="1345934522">
      <w:bodyDiv w:val="1"/>
      <w:marLeft w:val="0"/>
      <w:marRight w:val="0"/>
      <w:marTop w:val="0"/>
      <w:marBottom w:val="0"/>
      <w:divBdr>
        <w:top w:val="none" w:sz="0" w:space="0" w:color="auto"/>
        <w:left w:val="none" w:sz="0" w:space="0" w:color="auto"/>
        <w:bottom w:val="none" w:sz="0" w:space="0" w:color="auto"/>
        <w:right w:val="none" w:sz="0" w:space="0" w:color="auto"/>
      </w:divBdr>
    </w:div>
    <w:div w:id="1346249404">
      <w:bodyDiv w:val="1"/>
      <w:marLeft w:val="0"/>
      <w:marRight w:val="0"/>
      <w:marTop w:val="0"/>
      <w:marBottom w:val="0"/>
      <w:divBdr>
        <w:top w:val="none" w:sz="0" w:space="0" w:color="auto"/>
        <w:left w:val="none" w:sz="0" w:space="0" w:color="auto"/>
        <w:bottom w:val="none" w:sz="0" w:space="0" w:color="auto"/>
        <w:right w:val="none" w:sz="0" w:space="0" w:color="auto"/>
      </w:divBdr>
    </w:div>
    <w:div w:id="1346325682">
      <w:bodyDiv w:val="1"/>
      <w:marLeft w:val="0"/>
      <w:marRight w:val="0"/>
      <w:marTop w:val="0"/>
      <w:marBottom w:val="0"/>
      <w:divBdr>
        <w:top w:val="none" w:sz="0" w:space="0" w:color="auto"/>
        <w:left w:val="none" w:sz="0" w:space="0" w:color="auto"/>
        <w:bottom w:val="none" w:sz="0" w:space="0" w:color="auto"/>
        <w:right w:val="none" w:sz="0" w:space="0" w:color="auto"/>
      </w:divBdr>
    </w:div>
    <w:div w:id="1346832822">
      <w:bodyDiv w:val="1"/>
      <w:marLeft w:val="0"/>
      <w:marRight w:val="0"/>
      <w:marTop w:val="0"/>
      <w:marBottom w:val="0"/>
      <w:divBdr>
        <w:top w:val="none" w:sz="0" w:space="0" w:color="auto"/>
        <w:left w:val="none" w:sz="0" w:space="0" w:color="auto"/>
        <w:bottom w:val="none" w:sz="0" w:space="0" w:color="auto"/>
        <w:right w:val="none" w:sz="0" w:space="0" w:color="auto"/>
      </w:divBdr>
    </w:div>
    <w:div w:id="1347362949">
      <w:bodyDiv w:val="1"/>
      <w:marLeft w:val="0"/>
      <w:marRight w:val="0"/>
      <w:marTop w:val="0"/>
      <w:marBottom w:val="0"/>
      <w:divBdr>
        <w:top w:val="none" w:sz="0" w:space="0" w:color="auto"/>
        <w:left w:val="none" w:sz="0" w:space="0" w:color="auto"/>
        <w:bottom w:val="none" w:sz="0" w:space="0" w:color="auto"/>
        <w:right w:val="none" w:sz="0" w:space="0" w:color="auto"/>
      </w:divBdr>
    </w:div>
    <w:div w:id="1347555793">
      <w:bodyDiv w:val="1"/>
      <w:marLeft w:val="0"/>
      <w:marRight w:val="0"/>
      <w:marTop w:val="0"/>
      <w:marBottom w:val="0"/>
      <w:divBdr>
        <w:top w:val="none" w:sz="0" w:space="0" w:color="auto"/>
        <w:left w:val="none" w:sz="0" w:space="0" w:color="auto"/>
        <w:bottom w:val="none" w:sz="0" w:space="0" w:color="auto"/>
        <w:right w:val="none" w:sz="0" w:space="0" w:color="auto"/>
      </w:divBdr>
    </w:div>
    <w:div w:id="1347636978">
      <w:bodyDiv w:val="1"/>
      <w:marLeft w:val="0"/>
      <w:marRight w:val="0"/>
      <w:marTop w:val="0"/>
      <w:marBottom w:val="0"/>
      <w:divBdr>
        <w:top w:val="none" w:sz="0" w:space="0" w:color="auto"/>
        <w:left w:val="none" w:sz="0" w:space="0" w:color="auto"/>
        <w:bottom w:val="none" w:sz="0" w:space="0" w:color="auto"/>
        <w:right w:val="none" w:sz="0" w:space="0" w:color="auto"/>
      </w:divBdr>
    </w:div>
    <w:div w:id="1347706466">
      <w:bodyDiv w:val="1"/>
      <w:marLeft w:val="0"/>
      <w:marRight w:val="0"/>
      <w:marTop w:val="0"/>
      <w:marBottom w:val="0"/>
      <w:divBdr>
        <w:top w:val="none" w:sz="0" w:space="0" w:color="auto"/>
        <w:left w:val="none" w:sz="0" w:space="0" w:color="auto"/>
        <w:bottom w:val="none" w:sz="0" w:space="0" w:color="auto"/>
        <w:right w:val="none" w:sz="0" w:space="0" w:color="auto"/>
      </w:divBdr>
    </w:div>
    <w:div w:id="1347707548">
      <w:bodyDiv w:val="1"/>
      <w:marLeft w:val="0"/>
      <w:marRight w:val="0"/>
      <w:marTop w:val="0"/>
      <w:marBottom w:val="0"/>
      <w:divBdr>
        <w:top w:val="none" w:sz="0" w:space="0" w:color="auto"/>
        <w:left w:val="none" w:sz="0" w:space="0" w:color="auto"/>
        <w:bottom w:val="none" w:sz="0" w:space="0" w:color="auto"/>
        <w:right w:val="none" w:sz="0" w:space="0" w:color="auto"/>
      </w:divBdr>
    </w:div>
    <w:div w:id="1347832415">
      <w:bodyDiv w:val="1"/>
      <w:marLeft w:val="0"/>
      <w:marRight w:val="0"/>
      <w:marTop w:val="0"/>
      <w:marBottom w:val="0"/>
      <w:divBdr>
        <w:top w:val="none" w:sz="0" w:space="0" w:color="auto"/>
        <w:left w:val="none" w:sz="0" w:space="0" w:color="auto"/>
        <w:bottom w:val="none" w:sz="0" w:space="0" w:color="auto"/>
        <w:right w:val="none" w:sz="0" w:space="0" w:color="auto"/>
      </w:divBdr>
    </w:div>
    <w:div w:id="1348676919">
      <w:bodyDiv w:val="1"/>
      <w:marLeft w:val="0"/>
      <w:marRight w:val="0"/>
      <w:marTop w:val="0"/>
      <w:marBottom w:val="0"/>
      <w:divBdr>
        <w:top w:val="none" w:sz="0" w:space="0" w:color="auto"/>
        <w:left w:val="none" w:sz="0" w:space="0" w:color="auto"/>
        <w:bottom w:val="none" w:sz="0" w:space="0" w:color="auto"/>
        <w:right w:val="none" w:sz="0" w:space="0" w:color="auto"/>
      </w:divBdr>
    </w:div>
    <w:div w:id="1349023320">
      <w:bodyDiv w:val="1"/>
      <w:marLeft w:val="0"/>
      <w:marRight w:val="0"/>
      <w:marTop w:val="0"/>
      <w:marBottom w:val="0"/>
      <w:divBdr>
        <w:top w:val="none" w:sz="0" w:space="0" w:color="auto"/>
        <w:left w:val="none" w:sz="0" w:space="0" w:color="auto"/>
        <w:bottom w:val="none" w:sz="0" w:space="0" w:color="auto"/>
        <w:right w:val="none" w:sz="0" w:space="0" w:color="auto"/>
      </w:divBdr>
    </w:div>
    <w:div w:id="1349410087">
      <w:bodyDiv w:val="1"/>
      <w:marLeft w:val="0"/>
      <w:marRight w:val="0"/>
      <w:marTop w:val="0"/>
      <w:marBottom w:val="0"/>
      <w:divBdr>
        <w:top w:val="none" w:sz="0" w:space="0" w:color="auto"/>
        <w:left w:val="none" w:sz="0" w:space="0" w:color="auto"/>
        <w:bottom w:val="none" w:sz="0" w:space="0" w:color="auto"/>
        <w:right w:val="none" w:sz="0" w:space="0" w:color="auto"/>
      </w:divBdr>
    </w:div>
    <w:div w:id="1349521543">
      <w:bodyDiv w:val="1"/>
      <w:marLeft w:val="0"/>
      <w:marRight w:val="0"/>
      <w:marTop w:val="0"/>
      <w:marBottom w:val="0"/>
      <w:divBdr>
        <w:top w:val="none" w:sz="0" w:space="0" w:color="auto"/>
        <w:left w:val="none" w:sz="0" w:space="0" w:color="auto"/>
        <w:bottom w:val="none" w:sz="0" w:space="0" w:color="auto"/>
        <w:right w:val="none" w:sz="0" w:space="0" w:color="auto"/>
      </w:divBdr>
    </w:div>
    <w:div w:id="1350251417">
      <w:bodyDiv w:val="1"/>
      <w:marLeft w:val="0"/>
      <w:marRight w:val="0"/>
      <w:marTop w:val="0"/>
      <w:marBottom w:val="0"/>
      <w:divBdr>
        <w:top w:val="none" w:sz="0" w:space="0" w:color="auto"/>
        <w:left w:val="none" w:sz="0" w:space="0" w:color="auto"/>
        <w:bottom w:val="none" w:sz="0" w:space="0" w:color="auto"/>
        <w:right w:val="none" w:sz="0" w:space="0" w:color="auto"/>
      </w:divBdr>
    </w:div>
    <w:div w:id="1350597592">
      <w:bodyDiv w:val="1"/>
      <w:marLeft w:val="0"/>
      <w:marRight w:val="0"/>
      <w:marTop w:val="0"/>
      <w:marBottom w:val="0"/>
      <w:divBdr>
        <w:top w:val="none" w:sz="0" w:space="0" w:color="auto"/>
        <w:left w:val="none" w:sz="0" w:space="0" w:color="auto"/>
        <w:bottom w:val="none" w:sz="0" w:space="0" w:color="auto"/>
        <w:right w:val="none" w:sz="0" w:space="0" w:color="auto"/>
      </w:divBdr>
    </w:div>
    <w:div w:id="1350788906">
      <w:bodyDiv w:val="1"/>
      <w:marLeft w:val="0"/>
      <w:marRight w:val="0"/>
      <w:marTop w:val="0"/>
      <w:marBottom w:val="0"/>
      <w:divBdr>
        <w:top w:val="none" w:sz="0" w:space="0" w:color="auto"/>
        <w:left w:val="none" w:sz="0" w:space="0" w:color="auto"/>
        <w:bottom w:val="none" w:sz="0" w:space="0" w:color="auto"/>
        <w:right w:val="none" w:sz="0" w:space="0" w:color="auto"/>
      </w:divBdr>
    </w:div>
    <w:div w:id="1351104907">
      <w:bodyDiv w:val="1"/>
      <w:marLeft w:val="0"/>
      <w:marRight w:val="0"/>
      <w:marTop w:val="0"/>
      <w:marBottom w:val="0"/>
      <w:divBdr>
        <w:top w:val="none" w:sz="0" w:space="0" w:color="auto"/>
        <w:left w:val="none" w:sz="0" w:space="0" w:color="auto"/>
        <w:bottom w:val="none" w:sz="0" w:space="0" w:color="auto"/>
        <w:right w:val="none" w:sz="0" w:space="0" w:color="auto"/>
      </w:divBdr>
    </w:div>
    <w:div w:id="1351296975">
      <w:bodyDiv w:val="1"/>
      <w:marLeft w:val="0"/>
      <w:marRight w:val="0"/>
      <w:marTop w:val="0"/>
      <w:marBottom w:val="0"/>
      <w:divBdr>
        <w:top w:val="none" w:sz="0" w:space="0" w:color="auto"/>
        <w:left w:val="none" w:sz="0" w:space="0" w:color="auto"/>
        <w:bottom w:val="none" w:sz="0" w:space="0" w:color="auto"/>
        <w:right w:val="none" w:sz="0" w:space="0" w:color="auto"/>
      </w:divBdr>
    </w:div>
    <w:div w:id="1351569299">
      <w:bodyDiv w:val="1"/>
      <w:marLeft w:val="0"/>
      <w:marRight w:val="0"/>
      <w:marTop w:val="0"/>
      <w:marBottom w:val="0"/>
      <w:divBdr>
        <w:top w:val="none" w:sz="0" w:space="0" w:color="auto"/>
        <w:left w:val="none" w:sz="0" w:space="0" w:color="auto"/>
        <w:bottom w:val="none" w:sz="0" w:space="0" w:color="auto"/>
        <w:right w:val="none" w:sz="0" w:space="0" w:color="auto"/>
      </w:divBdr>
    </w:div>
    <w:div w:id="1351755702">
      <w:bodyDiv w:val="1"/>
      <w:marLeft w:val="0"/>
      <w:marRight w:val="0"/>
      <w:marTop w:val="0"/>
      <w:marBottom w:val="0"/>
      <w:divBdr>
        <w:top w:val="none" w:sz="0" w:space="0" w:color="auto"/>
        <w:left w:val="none" w:sz="0" w:space="0" w:color="auto"/>
        <w:bottom w:val="none" w:sz="0" w:space="0" w:color="auto"/>
        <w:right w:val="none" w:sz="0" w:space="0" w:color="auto"/>
      </w:divBdr>
    </w:div>
    <w:div w:id="1352103805">
      <w:bodyDiv w:val="1"/>
      <w:marLeft w:val="0"/>
      <w:marRight w:val="0"/>
      <w:marTop w:val="0"/>
      <w:marBottom w:val="0"/>
      <w:divBdr>
        <w:top w:val="none" w:sz="0" w:space="0" w:color="auto"/>
        <w:left w:val="none" w:sz="0" w:space="0" w:color="auto"/>
        <w:bottom w:val="none" w:sz="0" w:space="0" w:color="auto"/>
        <w:right w:val="none" w:sz="0" w:space="0" w:color="auto"/>
      </w:divBdr>
    </w:div>
    <w:div w:id="1352339701">
      <w:bodyDiv w:val="1"/>
      <w:marLeft w:val="0"/>
      <w:marRight w:val="0"/>
      <w:marTop w:val="0"/>
      <w:marBottom w:val="0"/>
      <w:divBdr>
        <w:top w:val="none" w:sz="0" w:space="0" w:color="auto"/>
        <w:left w:val="none" w:sz="0" w:space="0" w:color="auto"/>
        <w:bottom w:val="none" w:sz="0" w:space="0" w:color="auto"/>
        <w:right w:val="none" w:sz="0" w:space="0" w:color="auto"/>
      </w:divBdr>
    </w:div>
    <w:div w:id="1352415307">
      <w:bodyDiv w:val="1"/>
      <w:marLeft w:val="0"/>
      <w:marRight w:val="0"/>
      <w:marTop w:val="0"/>
      <w:marBottom w:val="0"/>
      <w:divBdr>
        <w:top w:val="none" w:sz="0" w:space="0" w:color="auto"/>
        <w:left w:val="none" w:sz="0" w:space="0" w:color="auto"/>
        <w:bottom w:val="none" w:sz="0" w:space="0" w:color="auto"/>
        <w:right w:val="none" w:sz="0" w:space="0" w:color="auto"/>
      </w:divBdr>
    </w:div>
    <w:div w:id="1352612709">
      <w:bodyDiv w:val="1"/>
      <w:marLeft w:val="0"/>
      <w:marRight w:val="0"/>
      <w:marTop w:val="0"/>
      <w:marBottom w:val="0"/>
      <w:divBdr>
        <w:top w:val="none" w:sz="0" w:space="0" w:color="auto"/>
        <w:left w:val="none" w:sz="0" w:space="0" w:color="auto"/>
        <w:bottom w:val="none" w:sz="0" w:space="0" w:color="auto"/>
        <w:right w:val="none" w:sz="0" w:space="0" w:color="auto"/>
      </w:divBdr>
    </w:div>
    <w:div w:id="1352678773">
      <w:bodyDiv w:val="1"/>
      <w:marLeft w:val="0"/>
      <w:marRight w:val="0"/>
      <w:marTop w:val="0"/>
      <w:marBottom w:val="0"/>
      <w:divBdr>
        <w:top w:val="none" w:sz="0" w:space="0" w:color="auto"/>
        <w:left w:val="none" w:sz="0" w:space="0" w:color="auto"/>
        <w:bottom w:val="none" w:sz="0" w:space="0" w:color="auto"/>
        <w:right w:val="none" w:sz="0" w:space="0" w:color="auto"/>
      </w:divBdr>
    </w:div>
    <w:div w:id="1352756224">
      <w:bodyDiv w:val="1"/>
      <w:marLeft w:val="0"/>
      <w:marRight w:val="0"/>
      <w:marTop w:val="0"/>
      <w:marBottom w:val="0"/>
      <w:divBdr>
        <w:top w:val="none" w:sz="0" w:space="0" w:color="auto"/>
        <w:left w:val="none" w:sz="0" w:space="0" w:color="auto"/>
        <w:bottom w:val="none" w:sz="0" w:space="0" w:color="auto"/>
        <w:right w:val="none" w:sz="0" w:space="0" w:color="auto"/>
      </w:divBdr>
    </w:div>
    <w:div w:id="1353334701">
      <w:bodyDiv w:val="1"/>
      <w:marLeft w:val="0"/>
      <w:marRight w:val="0"/>
      <w:marTop w:val="0"/>
      <w:marBottom w:val="0"/>
      <w:divBdr>
        <w:top w:val="none" w:sz="0" w:space="0" w:color="auto"/>
        <w:left w:val="none" w:sz="0" w:space="0" w:color="auto"/>
        <w:bottom w:val="none" w:sz="0" w:space="0" w:color="auto"/>
        <w:right w:val="none" w:sz="0" w:space="0" w:color="auto"/>
      </w:divBdr>
    </w:div>
    <w:div w:id="1354185405">
      <w:bodyDiv w:val="1"/>
      <w:marLeft w:val="0"/>
      <w:marRight w:val="0"/>
      <w:marTop w:val="0"/>
      <w:marBottom w:val="0"/>
      <w:divBdr>
        <w:top w:val="none" w:sz="0" w:space="0" w:color="auto"/>
        <w:left w:val="none" w:sz="0" w:space="0" w:color="auto"/>
        <w:bottom w:val="none" w:sz="0" w:space="0" w:color="auto"/>
        <w:right w:val="none" w:sz="0" w:space="0" w:color="auto"/>
      </w:divBdr>
    </w:div>
    <w:div w:id="1354265580">
      <w:bodyDiv w:val="1"/>
      <w:marLeft w:val="0"/>
      <w:marRight w:val="0"/>
      <w:marTop w:val="0"/>
      <w:marBottom w:val="0"/>
      <w:divBdr>
        <w:top w:val="none" w:sz="0" w:space="0" w:color="auto"/>
        <w:left w:val="none" w:sz="0" w:space="0" w:color="auto"/>
        <w:bottom w:val="none" w:sz="0" w:space="0" w:color="auto"/>
        <w:right w:val="none" w:sz="0" w:space="0" w:color="auto"/>
      </w:divBdr>
    </w:div>
    <w:div w:id="1354651729">
      <w:bodyDiv w:val="1"/>
      <w:marLeft w:val="0"/>
      <w:marRight w:val="0"/>
      <w:marTop w:val="0"/>
      <w:marBottom w:val="0"/>
      <w:divBdr>
        <w:top w:val="none" w:sz="0" w:space="0" w:color="auto"/>
        <w:left w:val="none" w:sz="0" w:space="0" w:color="auto"/>
        <w:bottom w:val="none" w:sz="0" w:space="0" w:color="auto"/>
        <w:right w:val="none" w:sz="0" w:space="0" w:color="auto"/>
      </w:divBdr>
    </w:div>
    <w:div w:id="1354918053">
      <w:bodyDiv w:val="1"/>
      <w:marLeft w:val="0"/>
      <w:marRight w:val="0"/>
      <w:marTop w:val="0"/>
      <w:marBottom w:val="0"/>
      <w:divBdr>
        <w:top w:val="none" w:sz="0" w:space="0" w:color="auto"/>
        <w:left w:val="none" w:sz="0" w:space="0" w:color="auto"/>
        <w:bottom w:val="none" w:sz="0" w:space="0" w:color="auto"/>
        <w:right w:val="none" w:sz="0" w:space="0" w:color="auto"/>
      </w:divBdr>
    </w:div>
    <w:div w:id="1355185364">
      <w:bodyDiv w:val="1"/>
      <w:marLeft w:val="0"/>
      <w:marRight w:val="0"/>
      <w:marTop w:val="0"/>
      <w:marBottom w:val="0"/>
      <w:divBdr>
        <w:top w:val="none" w:sz="0" w:space="0" w:color="auto"/>
        <w:left w:val="none" w:sz="0" w:space="0" w:color="auto"/>
        <w:bottom w:val="none" w:sz="0" w:space="0" w:color="auto"/>
        <w:right w:val="none" w:sz="0" w:space="0" w:color="auto"/>
      </w:divBdr>
    </w:div>
    <w:div w:id="1355228931">
      <w:bodyDiv w:val="1"/>
      <w:marLeft w:val="0"/>
      <w:marRight w:val="0"/>
      <w:marTop w:val="0"/>
      <w:marBottom w:val="0"/>
      <w:divBdr>
        <w:top w:val="none" w:sz="0" w:space="0" w:color="auto"/>
        <w:left w:val="none" w:sz="0" w:space="0" w:color="auto"/>
        <w:bottom w:val="none" w:sz="0" w:space="0" w:color="auto"/>
        <w:right w:val="none" w:sz="0" w:space="0" w:color="auto"/>
      </w:divBdr>
    </w:div>
    <w:div w:id="1355959514">
      <w:bodyDiv w:val="1"/>
      <w:marLeft w:val="0"/>
      <w:marRight w:val="0"/>
      <w:marTop w:val="0"/>
      <w:marBottom w:val="0"/>
      <w:divBdr>
        <w:top w:val="none" w:sz="0" w:space="0" w:color="auto"/>
        <w:left w:val="none" w:sz="0" w:space="0" w:color="auto"/>
        <w:bottom w:val="none" w:sz="0" w:space="0" w:color="auto"/>
        <w:right w:val="none" w:sz="0" w:space="0" w:color="auto"/>
      </w:divBdr>
    </w:div>
    <w:div w:id="1356035599">
      <w:bodyDiv w:val="1"/>
      <w:marLeft w:val="0"/>
      <w:marRight w:val="0"/>
      <w:marTop w:val="0"/>
      <w:marBottom w:val="0"/>
      <w:divBdr>
        <w:top w:val="none" w:sz="0" w:space="0" w:color="auto"/>
        <w:left w:val="none" w:sz="0" w:space="0" w:color="auto"/>
        <w:bottom w:val="none" w:sz="0" w:space="0" w:color="auto"/>
        <w:right w:val="none" w:sz="0" w:space="0" w:color="auto"/>
      </w:divBdr>
    </w:div>
    <w:div w:id="1356073647">
      <w:bodyDiv w:val="1"/>
      <w:marLeft w:val="0"/>
      <w:marRight w:val="0"/>
      <w:marTop w:val="0"/>
      <w:marBottom w:val="0"/>
      <w:divBdr>
        <w:top w:val="none" w:sz="0" w:space="0" w:color="auto"/>
        <w:left w:val="none" w:sz="0" w:space="0" w:color="auto"/>
        <w:bottom w:val="none" w:sz="0" w:space="0" w:color="auto"/>
        <w:right w:val="none" w:sz="0" w:space="0" w:color="auto"/>
      </w:divBdr>
    </w:div>
    <w:div w:id="1356418303">
      <w:bodyDiv w:val="1"/>
      <w:marLeft w:val="0"/>
      <w:marRight w:val="0"/>
      <w:marTop w:val="0"/>
      <w:marBottom w:val="0"/>
      <w:divBdr>
        <w:top w:val="none" w:sz="0" w:space="0" w:color="auto"/>
        <w:left w:val="none" w:sz="0" w:space="0" w:color="auto"/>
        <w:bottom w:val="none" w:sz="0" w:space="0" w:color="auto"/>
        <w:right w:val="none" w:sz="0" w:space="0" w:color="auto"/>
      </w:divBdr>
    </w:div>
    <w:div w:id="1356620159">
      <w:bodyDiv w:val="1"/>
      <w:marLeft w:val="0"/>
      <w:marRight w:val="0"/>
      <w:marTop w:val="0"/>
      <w:marBottom w:val="0"/>
      <w:divBdr>
        <w:top w:val="none" w:sz="0" w:space="0" w:color="auto"/>
        <w:left w:val="none" w:sz="0" w:space="0" w:color="auto"/>
        <w:bottom w:val="none" w:sz="0" w:space="0" w:color="auto"/>
        <w:right w:val="none" w:sz="0" w:space="0" w:color="auto"/>
      </w:divBdr>
    </w:div>
    <w:div w:id="1356661625">
      <w:bodyDiv w:val="1"/>
      <w:marLeft w:val="0"/>
      <w:marRight w:val="0"/>
      <w:marTop w:val="0"/>
      <w:marBottom w:val="0"/>
      <w:divBdr>
        <w:top w:val="none" w:sz="0" w:space="0" w:color="auto"/>
        <w:left w:val="none" w:sz="0" w:space="0" w:color="auto"/>
        <w:bottom w:val="none" w:sz="0" w:space="0" w:color="auto"/>
        <w:right w:val="none" w:sz="0" w:space="0" w:color="auto"/>
      </w:divBdr>
    </w:div>
    <w:div w:id="1356810105">
      <w:bodyDiv w:val="1"/>
      <w:marLeft w:val="0"/>
      <w:marRight w:val="0"/>
      <w:marTop w:val="0"/>
      <w:marBottom w:val="0"/>
      <w:divBdr>
        <w:top w:val="none" w:sz="0" w:space="0" w:color="auto"/>
        <w:left w:val="none" w:sz="0" w:space="0" w:color="auto"/>
        <w:bottom w:val="none" w:sz="0" w:space="0" w:color="auto"/>
        <w:right w:val="none" w:sz="0" w:space="0" w:color="auto"/>
      </w:divBdr>
    </w:div>
    <w:div w:id="1357267171">
      <w:bodyDiv w:val="1"/>
      <w:marLeft w:val="0"/>
      <w:marRight w:val="0"/>
      <w:marTop w:val="0"/>
      <w:marBottom w:val="0"/>
      <w:divBdr>
        <w:top w:val="none" w:sz="0" w:space="0" w:color="auto"/>
        <w:left w:val="none" w:sz="0" w:space="0" w:color="auto"/>
        <w:bottom w:val="none" w:sz="0" w:space="0" w:color="auto"/>
        <w:right w:val="none" w:sz="0" w:space="0" w:color="auto"/>
      </w:divBdr>
    </w:div>
    <w:div w:id="1357610694">
      <w:bodyDiv w:val="1"/>
      <w:marLeft w:val="0"/>
      <w:marRight w:val="0"/>
      <w:marTop w:val="0"/>
      <w:marBottom w:val="0"/>
      <w:divBdr>
        <w:top w:val="none" w:sz="0" w:space="0" w:color="auto"/>
        <w:left w:val="none" w:sz="0" w:space="0" w:color="auto"/>
        <w:bottom w:val="none" w:sz="0" w:space="0" w:color="auto"/>
        <w:right w:val="none" w:sz="0" w:space="0" w:color="auto"/>
      </w:divBdr>
    </w:div>
    <w:div w:id="1357852921">
      <w:bodyDiv w:val="1"/>
      <w:marLeft w:val="0"/>
      <w:marRight w:val="0"/>
      <w:marTop w:val="0"/>
      <w:marBottom w:val="0"/>
      <w:divBdr>
        <w:top w:val="none" w:sz="0" w:space="0" w:color="auto"/>
        <w:left w:val="none" w:sz="0" w:space="0" w:color="auto"/>
        <w:bottom w:val="none" w:sz="0" w:space="0" w:color="auto"/>
        <w:right w:val="none" w:sz="0" w:space="0" w:color="auto"/>
      </w:divBdr>
    </w:div>
    <w:div w:id="1358389114">
      <w:bodyDiv w:val="1"/>
      <w:marLeft w:val="0"/>
      <w:marRight w:val="0"/>
      <w:marTop w:val="0"/>
      <w:marBottom w:val="0"/>
      <w:divBdr>
        <w:top w:val="none" w:sz="0" w:space="0" w:color="auto"/>
        <w:left w:val="none" w:sz="0" w:space="0" w:color="auto"/>
        <w:bottom w:val="none" w:sz="0" w:space="0" w:color="auto"/>
        <w:right w:val="none" w:sz="0" w:space="0" w:color="auto"/>
      </w:divBdr>
    </w:div>
    <w:div w:id="1358581566">
      <w:bodyDiv w:val="1"/>
      <w:marLeft w:val="0"/>
      <w:marRight w:val="0"/>
      <w:marTop w:val="0"/>
      <w:marBottom w:val="0"/>
      <w:divBdr>
        <w:top w:val="none" w:sz="0" w:space="0" w:color="auto"/>
        <w:left w:val="none" w:sz="0" w:space="0" w:color="auto"/>
        <w:bottom w:val="none" w:sz="0" w:space="0" w:color="auto"/>
        <w:right w:val="none" w:sz="0" w:space="0" w:color="auto"/>
      </w:divBdr>
    </w:div>
    <w:div w:id="1359161272">
      <w:bodyDiv w:val="1"/>
      <w:marLeft w:val="0"/>
      <w:marRight w:val="0"/>
      <w:marTop w:val="0"/>
      <w:marBottom w:val="0"/>
      <w:divBdr>
        <w:top w:val="none" w:sz="0" w:space="0" w:color="auto"/>
        <w:left w:val="none" w:sz="0" w:space="0" w:color="auto"/>
        <w:bottom w:val="none" w:sz="0" w:space="0" w:color="auto"/>
        <w:right w:val="none" w:sz="0" w:space="0" w:color="auto"/>
      </w:divBdr>
    </w:div>
    <w:div w:id="1359969694">
      <w:bodyDiv w:val="1"/>
      <w:marLeft w:val="0"/>
      <w:marRight w:val="0"/>
      <w:marTop w:val="0"/>
      <w:marBottom w:val="0"/>
      <w:divBdr>
        <w:top w:val="none" w:sz="0" w:space="0" w:color="auto"/>
        <w:left w:val="none" w:sz="0" w:space="0" w:color="auto"/>
        <w:bottom w:val="none" w:sz="0" w:space="0" w:color="auto"/>
        <w:right w:val="none" w:sz="0" w:space="0" w:color="auto"/>
      </w:divBdr>
    </w:div>
    <w:div w:id="1360206225">
      <w:bodyDiv w:val="1"/>
      <w:marLeft w:val="0"/>
      <w:marRight w:val="0"/>
      <w:marTop w:val="0"/>
      <w:marBottom w:val="0"/>
      <w:divBdr>
        <w:top w:val="none" w:sz="0" w:space="0" w:color="auto"/>
        <w:left w:val="none" w:sz="0" w:space="0" w:color="auto"/>
        <w:bottom w:val="none" w:sz="0" w:space="0" w:color="auto"/>
        <w:right w:val="none" w:sz="0" w:space="0" w:color="auto"/>
      </w:divBdr>
    </w:div>
    <w:div w:id="1360275693">
      <w:bodyDiv w:val="1"/>
      <w:marLeft w:val="0"/>
      <w:marRight w:val="0"/>
      <w:marTop w:val="0"/>
      <w:marBottom w:val="0"/>
      <w:divBdr>
        <w:top w:val="none" w:sz="0" w:space="0" w:color="auto"/>
        <w:left w:val="none" w:sz="0" w:space="0" w:color="auto"/>
        <w:bottom w:val="none" w:sz="0" w:space="0" w:color="auto"/>
        <w:right w:val="none" w:sz="0" w:space="0" w:color="auto"/>
      </w:divBdr>
    </w:div>
    <w:div w:id="1360276555">
      <w:bodyDiv w:val="1"/>
      <w:marLeft w:val="0"/>
      <w:marRight w:val="0"/>
      <w:marTop w:val="0"/>
      <w:marBottom w:val="0"/>
      <w:divBdr>
        <w:top w:val="none" w:sz="0" w:space="0" w:color="auto"/>
        <w:left w:val="none" w:sz="0" w:space="0" w:color="auto"/>
        <w:bottom w:val="none" w:sz="0" w:space="0" w:color="auto"/>
        <w:right w:val="none" w:sz="0" w:space="0" w:color="auto"/>
      </w:divBdr>
    </w:div>
    <w:div w:id="1360352347">
      <w:bodyDiv w:val="1"/>
      <w:marLeft w:val="0"/>
      <w:marRight w:val="0"/>
      <w:marTop w:val="0"/>
      <w:marBottom w:val="0"/>
      <w:divBdr>
        <w:top w:val="none" w:sz="0" w:space="0" w:color="auto"/>
        <w:left w:val="none" w:sz="0" w:space="0" w:color="auto"/>
        <w:bottom w:val="none" w:sz="0" w:space="0" w:color="auto"/>
        <w:right w:val="none" w:sz="0" w:space="0" w:color="auto"/>
      </w:divBdr>
    </w:div>
    <w:div w:id="1360396580">
      <w:bodyDiv w:val="1"/>
      <w:marLeft w:val="0"/>
      <w:marRight w:val="0"/>
      <w:marTop w:val="0"/>
      <w:marBottom w:val="0"/>
      <w:divBdr>
        <w:top w:val="none" w:sz="0" w:space="0" w:color="auto"/>
        <w:left w:val="none" w:sz="0" w:space="0" w:color="auto"/>
        <w:bottom w:val="none" w:sz="0" w:space="0" w:color="auto"/>
        <w:right w:val="none" w:sz="0" w:space="0" w:color="auto"/>
      </w:divBdr>
    </w:div>
    <w:div w:id="1360810954">
      <w:bodyDiv w:val="1"/>
      <w:marLeft w:val="0"/>
      <w:marRight w:val="0"/>
      <w:marTop w:val="0"/>
      <w:marBottom w:val="0"/>
      <w:divBdr>
        <w:top w:val="none" w:sz="0" w:space="0" w:color="auto"/>
        <w:left w:val="none" w:sz="0" w:space="0" w:color="auto"/>
        <w:bottom w:val="none" w:sz="0" w:space="0" w:color="auto"/>
        <w:right w:val="none" w:sz="0" w:space="0" w:color="auto"/>
      </w:divBdr>
    </w:div>
    <w:div w:id="1361080786">
      <w:bodyDiv w:val="1"/>
      <w:marLeft w:val="0"/>
      <w:marRight w:val="0"/>
      <w:marTop w:val="0"/>
      <w:marBottom w:val="0"/>
      <w:divBdr>
        <w:top w:val="none" w:sz="0" w:space="0" w:color="auto"/>
        <w:left w:val="none" w:sz="0" w:space="0" w:color="auto"/>
        <w:bottom w:val="none" w:sz="0" w:space="0" w:color="auto"/>
        <w:right w:val="none" w:sz="0" w:space="0" w:color="auto"/>
      </w:divBdr>
    </w:div>
    <w:div w:id="1361083946">
      <w:bodyDiv w:val="1"/>
      <w:marLeft w:val="0"/>
      <w:marRight w:val="0"/>
      <w:marTop w:val="0"/>
      <w:marBottom w:val="0"/>
      <w:divBdr>
        <w:top w:val="none" w:sz="0" w:space="0" w:color="auto"/>
        <w:left w:val="none" w:sz="0" w:space="0" w:color="auto"/>
        <w:bottom w:val="none" w:sz="0" w:space="0" w:color="auto"/>
        <w:right w:val="none" w:sz="0" w:space="0" w:color="auto"/>
      </w:divBdr>
    </w:div>
    <w:div w:id="1361130236">
      <w:bodyDiv w:val="1"/>
      <w:marLeft w:val="0"/>
      <w:marRight w:val="0"/>
      <w:marTop w:val="0"/>
      <w:marBottom w:val="0"/>
      <w:divBdr>
        <w:top w:val="none" w:sz="0" w:space="0" w:color="auto"/>
        <w:left w:val="none" w:sz="0" w:space="0" w:color="auto"/>
        <w:bottom w:val="none" w:sz="0" w:space="0" w:color="auto"/>
        <w:right w:val="none" w:sz="0" w:space="0" w:color="auto"/>
      </w:divBdr>
    </w:div>
    <w:div w:id="1361202524">
      <w:bodyDiv w:val="1"/>
      <w:marLeft w:val="0"/>
      <w:marRight w:val="0"/>
      <w:marTop w:val="0"/>
      <w:marBottom w:val="0"/>
      <w:divBdr>
        <w:top w:val="none" w:sz="0" w:space="0" w:color="auto"/>
        <w:left w:val="none" w:sz="0" w:space="0" w:color="auto"/>
        <w:bottom w:val="none" w:sz="0" w:space="0" w:color="auto"/>
        <w:right w:val="none" w:sz="0" w:space="0" w:color="auto"/>
      </w:divBdr>
    </w:div>
    <w:div w:id="1361399338">
      <w:bodyDiv w:val="1"/>
      <w:marLeft w:val="0"/>
      <w:marRight w:val="0"/>
      <w:marTop w:val="0"/>
      <w:marBottom w:val="0"/>
      <w:divBdr>
        <w:top w:val="none" w:sz="0" w:space="0" w:color="auto"/>
        <w:left w:val="none" w:sz="0" w:space="0" w:color="auto"/>
        <w:bottom w:val="none" w:sz="0" w:space="0" w:color="auto"/>
        <w:right w:val="none" w:sz="0" w:space="0" w:color="auto"/>
      </w:divBdr>
    </w:div>
    <w:div w:id="1361588632">
      <w:bodyDiv w:val="1"/>
      <w:marLeft w:val="0"/>
      <w:marRight w:val="0"/>
      <w:marTop w:val="0"/>
      <w:marBottom w:val="0"/>
      <w:divBdr>
        <w:top w:val="none" w:sz="0" w:space="0" w:color="auto"/>
        <w:left w:val="none" w:sz="0" w:space="0" w:color="auto"/>
        <w:bottom w:val="none" w:sz="0" w:space="0" w:color="auto"/>
        <w:right w:val="none" w:sz="0" w:space="0" w:color="auto"/>
      </w:divBdr>
    </w:div>
    <w:div w:id="1361785958">
      <w:bodyDiv w:val="1"/>
      <w:marLeft w:val="0"/>
      <w:marRight w:val="0"/>
      <w:marTop w:val="0"/>
      <w:marBottom w:val="0"/>
      <w:divBdr>
        <w:top w:val="none" w:sz="0" w:space="0" w:color="auto"/>
        <w:left w:val="none" w:sz="0" w:space="0" w:color="auto"/>
        <w:bottom w:val="none" w:sz="0" w:space="0" w:color="auto"/>
        <w:right w:val="none" w:sz="0" w:space="0" w:color="auto"/>
      </w:divBdr>
    </w:div>
    <w:div w:id="1362167898">
      <w:bodyDiv w:val="1"/>
      <w:marLeft w:val="0"/>
      <w:marRight w:val="0"/>
      <w:marTop w:val="0"/>
      <w:marBottom w:val="0"/>
      <w:divBdr>
        <w:top w:val="none" w:sz="0" w:space="0" w:color="auto"/>
        <w:left w:val="none" w:sz="0" w:space="0" w:color="auto"/>
        <w:bottom w:val="none" w:sz="0" w:space="0" w:color="auto"/>
        <w:right w:val="none" w:sz="0" w:space="0" w:color="auto"/>
      </w:divBdr>
    </w:div>
    <w:div w:id="1362782462">
      <w:bodyDiv w:val="1"/>
      <w:marLeft w:val="0"/>
      <w:marRight w:val="0"/>
      <w:marTop w:val="0"/>
      <w:marBottom w:val="0"/>
      <w:divBdr>
        <w:top w:val="none" w:sz="0" w:space="0" w:color="auto"/>
        <w:left w:val="none" w:sz="0" w:space="0" w:color="auto"/>
        <w:bottom w:val="none" w:sz="0" w:space="0" w:color="auto"/>
        <w:right w:val="none" w:sz="0" w:space="0" w:color="auto"/>
      </w:divBdr>
    </w:div>
    <w:div w:id="1362823790">
      <w:bodyDiv w:val="1"/>
      <w:marLeft w:val="0"/>
      <w:marRight w:val="0"/>
      <w:marTop w:val="0"/>
      <w:marBottom w:val="0"/>
      <w:divBdr>
        <w:top w:val="none" w:sz="0" w:space="0" w:color="auto"/>
        <w:left w:val="none" w:sz="0" w:space="0" w:color="auto"/>
        <w:bottom w:val="none" w:sz="0" w:space="0" w:color="auto"/>
        <w:right w:val="none" w:sz="0" w:space="0" w:color="auto"/>
      </w:divBdr>
    </w:div>
    <w:div w:id="1362894745">
      <w:bodyDiv w:val="1"/>
      <w:marLeft w:val="0"/>
      <w:marRight w:val="0"/>
      <w:marTop w:val="0"/>
      <w:marBottom w:val="0"/>
      <w:divBdr>
        <w:top w:val="none" w:sz="0" w:space="0" w:color="auto"/>
        <w:left w:val="none" w:sz="0" w:space="0" w:color="auto"/>
        <w:bottom w:val="none" w:sz="0" w:space="0" w:color="auto"/>
        <w:right w:val="none" w:sz="0" w:space="0" w:color="auto"/>
      </w:divBdr>
    </w:div>
    <w:div w:id="1363361989">
      <w:bodyDiv w:val="1"/>
      <w:marLeft w:val="0"/>
      <w:marRight w:val="0"/>
      <w:marTop w:val="0"/>
      <w:marBottom w:val="0"/>
      <w:divBdr>
        <w:top w:val="none" w:sz="0" w:space="0" w:color="auto"/>
        <w:left w:val="none" w:sz="0" w:space="0" w:color="auto"/>
        <w:bottom w:val="none" w:sz="0" w:space="0" w:color="auto"/>
        <w:right w:val="none" w:sz="0" w:space="0" w:color="auto"/>
      </w:divBdr>
    </w:div>
    <w:div w:id="1363632221">
      <w:bodyDiv w:val="1"/>
      <w:marLeft w:val="0"/>
      <w:marRight w:val="0"/>
      <w:marTop w:val="0"/>
      <w:marBottom w:val="0"/>
      <w:divBdr>
        <w:top w:val="none" w:sz="0" w:space="0" w:color="auto"/>
        <w:left w:val="none" w:sz="0" w:space="0" w:color="auto"/>
        <w:bottom w:val="none" w:sz="0" w:space="0" w:color="auto"/>
        <w:right w:val="none" w:sz="0" w:space="0" w:color="auto"/>
      </w:divBdr>
    </w:div>
    <w:div w:id="1363818862">
      <w:bodyDiv w:val="1"/>
      <w:marLeft w:val="0"/>
      <w:marRight w:val="0"/>
      <w:marTop w:val="0"/>
      <w:marBottom w:val="0"/>
      <w:divBdr>
        <w:top w:val="none" w:sz="0" w:space="0" w:color="auto"/>
        <w:left w:val="none" w:sz="0" w:space="0" w:color="auto"/>
        <w:bottom w:val="none" w:sz="0" w:space="0" w:color="auto"/>
        <w:right w:val="none" w:sz="0" w:space="0" w:color="auto"/>
      </w:divBdr>
    </w:div>
    <w:div w:id="1364093743">
      <w:bodyDiv w:val="1"/>
      <w:marLeft w:val="0"/>
      <w:marRight w:val="0"/>
      <w:marTop w:val="0"/>
      <w:marBottom w:val="0"/>
      <w:divBdr>
        <w:top w:val="none" w:sz="0" w:space="0" w:color="auto"/>
        <w:left w:val="none" w:sz="0" w:space="0" w:color="auto"/>
        <w:bottom w:val="none" w:sz="0" w:space="0" w:color="auto"/>
        <w:right w:val="none" w:sz="0" w:space="0" w:color="auto"/>
      </w:divBdr>
    </w:div>
    <w:div w:id="1364096441">
      <w:bodyDiv w:val="1"/>
      <w:marLeft w:val="0"/>
      <w:marRight w:val="0"/>
      <w:marTop w:val="0"/>
      <w:marBottom w:val="0"/>
      <w:divBdr>
        <w:top w:val="none" w:sz="0" w:space="0" w:color="auto"/>
        <w:left w:val="none" w:sz="0" w:space="0" w:color="auto"/>
        <w:bottom w:val="none" w:sz="0" w:space="0" w:color="auto"/>
        <w:right w:val="none" w:sz="0" w:space="0" w:color="auto"/>
      </w:divBdr>
    </w:div>
    <w:div w:id="1364136285">
      <w:bodyDiv w:val="1"/>
      <w:marLeft w:val="0"/>
      <w:marRight w:val="0"/>
      <w:marTop w:val="0"/>
      <w:marBottom w:val="0"/>
      <w:divBdr>
        <w:top w:val="none" w:sz="0" w:space="0" w:color="auto"/>
        <w:left w:val="none" w:sz="0" w:space="0" w:color="auto"/>
        <w:bottom w:val="none" w:sz="0" w:space="0" w:color="auto"/>
        <w:right w:val="none" w:sz="0" w:space="0" w:color="auto"/>
      </w:divBdr>
    </w:div>
    <w:div w:id="1364138985">
      <w:bodyDiv w:val="1"/>
      <w:marLeft w:val="0"/>
      <w:marRight w:val="0"/>
      <w:marTop w:val="0"/>
      <w:marBottom w:val="0"/>
      <w:divBdr>
        <w:top w:val="none" w:sz="0" w:space="0" w:color="auto"/>
        <w:left w:val="none" w:sz="0" w:space="0" w:color="auto"/>
        <w:bottom w:val="none" w:sz="0" w:space="0" w:color="auto"/>
        <w:right w:val="none" w:sz="0" w:space="0" w:color="auto"/>
      </w:divBdr>
    </w:div>
    <w:div w:id="1364403322">
      <w:bodyDiv w:val="1"/>
      <w:marLeft w:val="0"/>
      <w:marRight w:val="0"/>
      <w:marTop w:val="0"/>
      <w:marBottom w:val="0"/>
      <w:divBdr>
        <w:top w:val="none" w:sz="0" w:space="0" w:color="auto"/>
        <w:left w:val="none" w:sz="0" w:space="0" w:color="auto"/>
        <w:bottom w:val="none" w:sz="0" w:space="0" w:color="auto"/>
        <w:right w:val="none" w:sz="0" w:space="0" w:color="auto"/>
      </w:divBdr>
    </w:div>
    <w:div w:id="1364405771">
      <w:bodyDiv w:val="1"/>
      <w:marLeft w:val="0"/>
      <w:marRight w:val="0"/>
      <w:marTop w:val="0"/>
      <w:marBottom w:val="0"/>
      <w:divBdr>
        <w:top w:val="none" w:sz="0" w:space="0" w:color="auto"/>
        <w:left w:val="none" w:sz="0" w:space="0" w:color="auto"/>
        <w:bottom w:val="none" w:sz="0" w:space="0" w:color="auto"/>
        <w:right w:val="none" w:sz="0" w:space="0" w:color="auto"/>
      </w:divBdr>
    </w:div>
    <w:div w:id="1365331334">
      <w:bodyDiv w:val="1"/>
      <w:marLeft w:val="0"/>
      <w:marRight w:val="0"/>
      <w:marTop w:val="0"/>
      <w:marBottom w:val="0"/>
      <w:divBdr>
        <w:top w:val="none" w:sz="0" w:space="0" w:color="auto"/>
        <w:left w:val="none" w:sz="0" w:space="0" w:color="auto"/>
        <w:bottom w:val="none" w:sz="0" w:space="0" w:color="auto"/>
        <w:right w:val="none" w:sz="0" w:space="0" w:color="auto"/>
      </w:divBdr>
    </w:div>
    <w:div w:id="1365515973">
      <w:bodyDiv w:val="1"/>
      <w:marLeft w:val="0"/>
      <w:marRight w:val="0"/>
      <w:marTop w:val="0"/>
      <w:marBottom w:val="0"/>
      <w:divBdr>
        <w:top w:val="none" w:sz="0" w:space="0" w:color="auto"/>
        <w:left w:val="none" w:sz="0" w:space="0" w:color="auto"/>
        <w:bottom w:val="none" w:sz="0" w:space="0" w:color="auto"/>
        <w:right w:val="none" w:sz="0" w:space="0" w:color="auto"/>
      </w:divBdr>
    </w:div>
    <w:div w:id="1365716195">
      <w:bodyDiv w:val="1"/>
      <w:marLeft w:val="0"/>
      <w:marRight w:val="0"/>
      <w:marTop w:val="0"/>
      <w:marBottom w:val="0"/>
      <w:divBdr>
        <w:top w:val="none" w:sz="0" w:space="0" w:color="auto"/>
        <w:left w:val="none" w:sz="0" w:space="0" w:color="auto"/>
        <w:bottom w:val="none" w:sz="0" w:space="0" w:color="auto"/>
        <w:right w:val="none" w:sz="0" w:space="0" w:color="auto"/>
      </w:divBdr>
    </w:div>
    <w:div w:id="1366440633">
      <w:bodyDiv w:val="1"/>
      <w:marLeft w:val="0"/>
      <w:marRight w:val="0"/>
      <w:marTop w:val="0"/>
      <w:marBottom w:val="0"/>
      <w:divBdr>
        <w:top w:val="none" w:sz="0" w:space="0" w:color="auto"/>
        <w:left w:val="none" w:sz="0" w:space="0" w:color="auto"/>
        <w:bottom w:val="none" w:sz="0" w:space="0" w:color="auto"/>
        <w:right w:val="none" w:sz="0" w:space="0" w:color="auto"/>
      </w:divBdr>
    </w:div>
    <w:div w:id="1367171179">
      <w:bodyDiv w:val="1"/>
      <w:marLeft w:val="0"/>
      <w:marRight w:val="0"/>
      <w:marTop w:val="0"/>
      <w:marBottom w:val="0"/>
      <w:divBdr>
        <w:top w:val="none" w:sz="0" w:space="0" w:color="auto"/>
        <w:left w:val="none" w:sz="0" w:space="0" w:color="auto"/>
        <w:bottom w:val="none" w:sz="0" w:space="0" w:color="auto"/>
        <w:right w:val="none" w:sz="0" w:space="0" w:color="auto"/>
      </w:divBdr>
    </w:div>
    <w:div w:id="1367675074">
      <w:bodyDiv w:val="1"/>
      <w:marLeft w:val="0"/>
      <w:marRight w:val="0"/>
      <w:marTop w:val="0"/>
      <w:marBottom w:val="0"/>
      <w:divBdr>
        <w:top w:val="none" w:sz="0" w:space="0" w:color="auto"/>
        <w:left w:val="none" w:sz="0" w:space="0" w:color="auto"/>
        <w:bottom w:val="none" w:sz="0" w:space="0" w:color="auto"/>
        <w:right w:val="none" w:sz="0" w:space="0" w:color="auto"/>
      </w:divBdr>
    </w:div>
    <w:div w:id="1367874626">
      <w:bodyDiv w:val="1"/>
      <w:marLeft w:val="0"/>
      <w:marRight w:val="0"/>
      <w:marTop w:val="0"/>
      <w:marBottom w:val="0"/>
      <w:divBdr>
        <w:top w:val="none" w:sz="0" w:space="0" w:color="auto"/>
        <w:left w:val="none" w:sz="0" w:space="0" w:color="auto"/>
        <w:bottom w:val="none" w:sz="0" w:space="0" w:color="auto"/>
        <w:right w:val="none" w:sz="0" w:space="0" w:color="auto"/>
      </w:divBdr>
    </w:div>
    <w:div w:id="1368022119">
      <w:bodyDiv w:val="1"/>
      <w:marLeft w:val="0"/>
      <w:marRight w:val="0"/>
      <w:marTop w:val="0"/>
      <w:marBottom w:val="0"/>
      <w:divBdr>
        <w:top w:val="none" w:sz="0" w:space="0" w:color="auto"/>
        <w:left w:val="none" w:sz="0" w:space="0" w:color="auto"/>
        <w:bottom w:val="none" w:sz="0" w:space="0" w:color="auto"/>
        <w:right w:val="none" w:sz="0" w:space="0" w:color="auto"/>
      </w:divBdr>
    </w:div>
    <w:div w:id="1368724278">
      <w:bodyDiv w:val="1"/>
      <w:marLeft w:val="0"/>
      <w:marRight w:val="0"/>
      <w:marTop w:val="0"/>
      <w:marBottom w:val="0"/>
      <w:divBdr>
        <w:top w:val="none" w:sz="0" w:space="0" w:color="auto"/>
        <w:left w:val="none" w:sz="0" w:space="0" w:color="auto"/>
        <w:bottom w:val="none" w:sz="0" w:space="0" w:color="auto"/>
        <w:right w:val="none" w:sz="0" w:space="0" w:color="auto"/>
      </w:divBdr>
    </w:div>
    <w:div w:id="1369070059">
      <w:bodyDiv w:val="1"/>
      <w:marLeft w:val="0"/>
      <w:marRight w:val="0"/>
      <w:marTop w:val="0"/>
      <w:marBottom w:val="0"/>
      <w:divBdr>
        <w:top w:val="none" w:sz="0" w:space="0" w:color="auto"/>
        <w:left w:val="none" w:sz="0" w:space="0" w:color="auto"/>
        <w:bottom w:val="none" w:sz="0" w:space="0" w:color="auto"/>
        <w:right w:val="none" w:sz="0" w:space="0" w:color="auto"/>
      </w:divBdr>
    </w:div>
    <w:div w:id="1369186239">
      <w:bodyDiv w:val="1"/>
      <w:marLeft w:val="0"/>
      <w:marRight w:val="0"/>
      <w:marTop w:val="0"/>
      <w:marBottom w:val="0"/>
      <w:divBdr>
        <w:top w:val="none" w:sz="0" w:space="0" w:color="auto"/>
        <w:left w:val="none" w:sz="0" w:space="0" w:color="auto"/>
        <w:bottom w:val="none" w:sz="0" w:space="0" w:color="auto"/>
        <w:right w:val="none" w:sz="0" w:space="0" w:color="auto"/>
      </w:divBdr>
    </w:div>
    <w:div w:id="1369450380">
      <w:bodyDiv w:val="1"/>
      <w:marLeft w:val="0"/>
      <w:marRight w:val="0"/>
      <w:marTop w:val="0"/>
      <w:marBottom w:val="0"/>
      <w:divBdr>
        <w:top w:val="none" w:sz="0" w:space="0" w:color="auto"/>
        <w:left w:val="none" w:sz="0" w:space="0" w:color="auto"/>
        <w:bottom w:val="none" w:sz="0" w:space="0" w:color="auto"/>
        <w:right w:val="none" w:sz="0" w:space="0" w:color="auto"/>
      </w:divBdr>
    </w:div>
    <w:div w:id="1369456068">
      <w:bodyDiv w:val="1"/>
      <w:marLeft w:val="0"/>
      <w:marRight w:val="0"/>
      <w:marTop w:val="0"/>
      <w:marBottom w:val="0"/>
      <w:divBdr>
        <w:top w:val="none" w:sz="0" w:space="0" w:color="auto"/>
        <w:left w:val="none" w:sz="0" w:space="0" w:color="auto"/>
        <w:bottom w:val="none" w:sz="0" w:space="0" w:color="auto"/>
        <w:right w:val="none" w:sz="0" w:space="0" w:color="auto"/>
      </w:divBdr>
    </w:div>
    <w:div w:id="1369798945">
      <w:bodyDiv w:val="1"/>
      <w:marLeft w:val="0"/>
      <w:marRight w:val="0"/>
      <w:marTop w:val="0"/>
      <w:marBottom w:val="0"/>
      <w:divBdr>
        <w:top w:val="none" w:sz="0" w:space="0" w:color="auto"/>
        <w:left w:val="none" w:sz="0" w:space="0" w:color="auto"/>
        <w:bottom w:val="none" w:sz="0" w:space="0" w:color="auto"/>
        <w:right w:val="none" w:sz="0" w:space="0" w:color="auto"/>
      </w:divBdr>
    </w:div>
    <w:div w:id="1369837675">
      <w:bodyDiv w:val="1"/>
      <w:marLeft w:val="0"/>
      <w:marRight w:val="0"/>
      <w:marTop w:val="0"/>
      <w:marBottom w:val="0"/>
      <w:divBdr>
        <w:top w:val="none" w:sz="0" w:space="0" w:color="auto"/>
        <w:left w:val="none" w:sz="0" w:space="0" w:color="auto"/>
        <w:bottom w:val="none" w:sz="0" w:space="0" w:color="auto"/>
        <w:right w:val="none" w:sz="0" w:space="0" w:color="auto"/>
      </w:divBdr>
    </w:div>
    <w:div w:id="1370302980">
      <w:bodyDiv w:val="1"/>
      <w:marLeft w:val="0"/>
      <w:marRight w:val="0"/>
      <w:marTop w:val="0"/>
      <w:marBottom w:val="0"/>
      <w:divBdr>
        <w:top w:val="none" w:sz="0" w:space="0" w:color="auto"/>
        <w:left w:val="none" w:sz="0" w:space="0" w:color="auto"/>
        <w:bottom w:val="none" w:sz="0" w:space="0" w:color="auto"/>
        <w:right w:val="none" w:sz="0" w:space="0" w:color="auto"/>
      </w:divBdr>
    </w:div>
    <w:div w:id="1370452887">
      <w:bodyDiv w:val="1"/>
      <w:marLeft w:val="0"/>
      <w:marRight w:val="0"/>
      <w:marTop w:val="0"/>
      <w:marBottom w:val="0"/>
      <w:divBdr>
        <w:top w:val="none" w:sz="0" w:space="0" w:color="auto"/>
        <w:left w:val="none" w:sz="0" w:space="0" w:color="auto"/>
        <w:bottom w:val="none" w:sz="0" w:space="0" w:color="auto"/>
        <w:right w:val="none" w:sz="0" w:space="0" w:color="auto"/>
      </w:divBdr>
    </w:div>
    <w:div w:id="1370495841">
      <w:bodyDiv w:val="1"/>
      <w:marLeft w:val="0"/>
      <w:marRight w:val="0"/>
      <w:marTop w:val="0"/>
      <w:marBottom w:val="0"/>
      <w:divBdr>
        <w:top w:val="none" w:sz="0" w:space="0" w:color="auto"/>
        <w:left w:val="none" w:sz="0" w:space="0" w:color="auto"/>
        <w:bottom w:val="none" w:sz="0" w:space="0" w:color="auto"/>
        <w:right w:val="none" w:sz="0" w:space="0" w:color="auto"/>
      </w:divBdr>
    </w:div>
    <w:div w:id="1370835921">
      <w:bodyDiv w:val="1"/>
      <w:marLeft w:val="0"/>
      <w:marRight w:val="0"/>
      <w:marTop w:val="0"/>
      <w:marBottom w:val="0"/>
      <w:divBdr>
        <w:top w:val="none" w:sz="0" w:space="0" w:color="auto"/>
        <w:left w:val="none" w:sz="0" w:space="0" w:color="auto"/>
        <w:bottom w:val="none" w:sz="0" w:space="0" w:color="auto"/>
        <w:right w:val="none" w:sz="0" w:space="0" w:color="auto"/>
      </w:divBdr>
    </w:div>
    <w:div w:id="1370841659">
      <w:bodyDiv w:val="1"/>
      <w:marLeft w:val="0"/>
      <w:marRight w:val="0"/>
      <w:marTop w:val="0"/>
      <w:marBottom w:val="0"/>
      <w:divBdr>
        <w:top w:val="none" w:sz="0" w:space="0" w:color="auto"/>
        <w:left w:val="none" w:sz="0" w:space="0" w:color="auto"/>
        <w:bottom w:val="none" w:sz="0" w:space="0" w:color="auto"/>
        <w:right w:val="none" w:sz="0" w:space="0" w:color="auto"/>
      </w:divBdr>
    </w:div>
    <w:div w:id="1371026855">
      <w:bodyDiv w:val="1"/>
      <w:marLeft w:val="0"/>
      <w:marRight w:val="0"/>
      <w:marTop w:val="0"/>
      <w:marBottom w:val="0"/>
      <w:divBdr>
        <w:top w:val="none" w:sz="0" w:space="0" w:color="auto"/>
        <w:left w:val="none" w:sz="0" w:space="0" w:color="auto"/>
        <w:bottom w:val="none" w:sz="0" w:space="0" w:color="auto"/>
        <w:right w:val="none" w:sz="0" w:space="0" w:color="auto"/>
      </w:divBdr>
    </w:div>
    <w:div w:id="1371299389">
      <w:bodyDiv w:val="1"/>
      <w:marLeft w:val="0"/>
      <w:marRight w:val="0"/>
      <w:marTop w:val="0"/>
      <w:marBottom w:val="0"/>
      <w:divBdr>
        <w:top w:val="none" w:sz="0" w:space="0" w:color="auto"/>
        <w:left w:val="none" w:sz="0" w:space="0" w:color="auto"/>
        <w:bottom w:val="none" w:sz="0" w:space="0" w:color="auto"/>
        <w:right w:val="none" w:sz="0" w:space="0" w:color="auto"/>
      </w:divBdr>
    </w:div>
    <w:div w:id="1371496070">
      <w:bodyDiv w:val="1"/>
      <w:marLeft w:val="0"/>
      <w:marRight w:val="0"/>
      <w:marTop w:val="0"/>
      <w:marBottom w:val="0"/>
      <w:divBdr>
        <w:top w:val="none" w:sz="0" w:space="0" w:color="auto"/>
        <w:left w:val="none" w:sz="0" w:space="0" w:color="auto"/>
        <w:bottom w:val="none" w:sz="0" w:space="0" w:color="auto"/>
        <w:right w:val="none" w:sz="0" w:space="0" w:color="auto"/>
      </w:divBdr>
    </w:div>
    <w:div w:id="1371607418">
      <w:bodyDiv w:val="1"/>
      <w:marLeft w:val="0"/>
      <w:marRight w:val="0"/>
      <w:marTop w:val="0"/>
      <w:marBottom w:val="0"/>
      <w:divBdr>
        <w:top w:val="none" w:sz="0" w:space="0" w:color="auto"/>
        <w:left w:val="none" w:sz="0" w:space="0" w:color="auto"/>
        <w:bottom w:val="none" w:sz="0" w:space="0" w:color="auto"/>
        <w:right w:val="none" w:sz="0" w:space="0" w:color="auto"/>
      </w:divBdr>
    </w:div>
    <w:div w:id="1371809132">
      <w:bodyDiv w:val="1"/>
      <w:marLeft w:val="0"/>
      <w:marRight w:val="0"/>
      <w:marTop w:val="0"/>
      <w:marBottom w:val="0"/>
      <w:divBdr>
        <w:top w:val="none" w:sz="0" w:space="0" w:color="auto"/>
        <w:left w:val="none" w:sz="0" w:space="0" w:color="auto"/>
        <w:bottom w:val="none" w:sz="0" w:space="0" w:color="auto"/>
        <w:right w:val="none" w:sz="0" w:space="0" w:color="auto"/>
      </w:divBdr>
    </w:div>
    <w:div w:id="1371958833">
      <w:bodyDiv w:val="1"/>
      <w:marLeft w:val="0"/>
      <w:marRight w:val="0"/>
      <w:marTop w:val="0"/>
      <w:marBottom w:val="0"/>
      <w:divBdr>
        <w:top w:val="none" w:sz="0" w:space="0" w:color="auto"/>
        <w:left w:val="none" w:sz="0" w:space="0" w:color="auto"/>
        <w:bottom w:val="none" w:sz="0" w:space="0" w:color="auto"/>
        <w:right w:val="none" w:sz="0" w:space="0" w:color="auto"/>
      </w:divBdr>
    </w:div>
    <w:div w:id="1372533993">
      <w:bodyDiv w:val="1"/>
      <w:marLeft w:val="0"/>
      <w:marRight w:val="0"/>
      <w:marTop w:val="0"/>
      <w:marBottom w:val="0"/>
      <w:divBdr>
        <w:top w:val="none" w:sz="0" w:space="0" w:color="auto"/>
        <w:left w:val="none" w:sz="0" w:space="0" w:color="auto"/>
        <w:bottom w:val="none" w:sz="0" w:space="0" w:color="auto"/>
        <w:right w:val="none" w:sz="0" w:space="0" w:color="auto"/>
      </w:divBdr>
    </w:div>
    <w:div w:id="1373076147">
      <w:bodyDiv w:val="1"/>
      <w:marLeft w:val="0"/>
      <w:marRight w:val="0"/>
      <w:marTop w:val="0"/>
      <w:marBottom w:val="0"/>
      <w:divBdr>
        <w:top w:val="none" w:sz="0" w:space="0" w:color="auto"/>
        <w:left w:val="none" w:sz="0" w:space="0" w:color="auto"/>
        <w:bottom w:val="none" w:sz="0" w:space="0" w:color="auto"/>
        <w:right w:val="none" w:sz="0" w:space="0" w:color="auto"/>
      </w:divBdr>
    </w:div>
    <w:div w:id="1373113563">
      <w:bodyDiv w:val="1"/>
      <w:marLeft w:val="0"/>
      <w:marRight w:val="0"/>
      <w:marTop w:val="0"/>
      <w:marBottom w:val="0"/>
      <w:divBdr>
        <w:top w:val="none" w:sz="0" w:space="0" w:color="auto"/>
        <w:left w:val="none" w:sz="0" w:space="0" w:color="auto"/>
        <w:bottom w:val="none" w:sz="0" w:space="0" w:color="auto"/>
        <w:right w:val="none" w:sz="0" w:space="0" w:color="auto"/>
      </w:divBdr>
    </w:div>
    <w:div w:id="1373531790">
      <w:bodyDiv w:val="1"/>
      <w:marLeft w:val="0"/>
      <w:marRight w:val="0"/>
      <w:marTop w:val="0"/>
      <w:marBottom w:val="0"/>
      <w:divBdr>
        <w:top w:val="none" w:sz="0" w:space="0" w:color="auto"/>
        <w:left w:val="none" w:sz="0" w:space="0" w:color="auto"/>
        <w:bottom w:val="none" w:sz="0" w:space="0" w:color="auto"/>
        <w:right w:val="none" w:sz="0" w:space="0" w:color="auto"/>
      </w:divBdr>
    </w:div>
    <w:div w:id="1373993102">
      <w:bodyDiv w:val="1"/>
      <w:marLeft w:val="0"/>
      <w:marRight w:val="0"/>
      <w:marTop w:val="0"/>
      <w:marBottom w:val="0"/>
      <w:divBdr>
        <w:top w:val="none" w:sz="0" w:space="0" w:color="auto"/>
        <w:left w:val="none" w:sz="0" w:space="0" w:color="auto"/>
        <w:bottom w:val="none" w:sz="0" w:space="0" w:color="auto"/>
        <w:right w:val="none" w:sz="0" w:space="0" w:color="auto"/>
      </w:divBdr>
    </w:div>
    <w:div w:id="1374110105">
      <w:bodyDiv w:val="1"/>
      <w:marLeft w:val="0"/>
      <w:marRight w:val="0"/>
      <w:marTop w:val="0"/>
      <w:marBottom w:val="0"/>
      <w:divBdr>
        <w:top w:val="none" w:sz="0" w:space="0" w:color="auto"/>
        <w:left w:val="none" w:sz="0" w:space="0" w:color="auto"/>
        <w:bottom w:val="none" w:sz="0" w:space="0" w:color="auto"/>
        <w:right w:val="none" w:sz="0" w:space="0" w:color="auto"/>
      </w:divBdr>
    </w:div>
    <w:div w:id="1374232831">
      <w:bodyDiv w:val="1"/>
      <w:marLeft w:val="0"/>
      <w:marRight w:val="0"/>
      <w:marTop w:val="0"/>
      <w:marBottom w:val="0"/>
      <w:divBdr>
        <w:top w:val="none" w:sz="0" w:space="0" w:color="auto"/>
        <w:left w:val="none" w:sz="0" w:space="0" w:color="auto"/>
        <w:bottom w:val="none" w:sz="0" w:space="0" w:color="auto"/>
        <w:right w:val="none" w:sz="0" w:space="0" w:color="auto"/>
      </w:divBdr>
    </w:div>
    <w:div w:id="1374500881">
      <w:bodyDiv w:val="1"/>
      <w:marLeft w:val="0"/>
      <w:marRight w:val="0"/>
      <w:marTop w:val="0"/>
      <w:marBottom w:val="0"/>
      <w:divBdr>
        <w:top w:val="none" w:sz="0" w:space="0" w:color="auto"/>
        <w:left w:val="none" w:sz="0" w:space="0" w:color="auto"/>
        <w:bottom w:val="none" w:sz="0" w:space="0" w:color="auto"/>
        <w:right w:val="none" w:sz="0" w:space="0" w:color="auto"/>
      </w:divBdr>
    </w:div>
    <w:div w:id="1374767782">
      <w:bodyDiv w:val="1"/>
      <w:marLeft w:val="0"/>
      <w:marRight w:val="0"/>
      <w:marTop w:val="0"/>
      <w:marBottom w:val="0"/>
      <w:divBdr>
        <w:top w:val="none" w:sz="0" w:space="0" w:color="auto"/>
        <w:left w:val="none" w:sz="0" w:space="0" w:color="auto"/>
        <w:bottom w:val="none" w:sz="0" w:space="0" w:color="auto"/>
        <w:right w:val="none" w:sz="0" w:space="0" w:color="auto"/>
      </w:divBdr>
    </w:div>
    <w:div w:id="1375426613">
      <w:bodyDiv w:val="1"/>
      <w:marLeft w:val="0"/>
      <w:marRight w:val="0"/>
      <w:marTop w:val="0"/>
      <w:marBottom w:val="0"/>
      <w:divBdr>
        <w:top w:val="none" w:sz="0" w:space="0" w:color="auto"/>
        <w:left w:val="none" w:sz="0" w:space="0" w:color="auto"/>
        <w:bottom w:val="none" w:sz="0" w:space="0" w:color="auto"/>
        <w:right w:val="none" w:sz="0" w:space="0" w:color="auto"/>
      </w:divBdr>
    </w:div>
    <w:div w:id="1376075927">
      <w:bodyDiv w:val="1"/>
      <w:marLeft w:val="0"/>
      <w:marRight w:val="0"/>
      <w:marTop w:val="0"/>
      <w:marBottom w:val="0"/>
      <w:divBdr>
        <w:top w:val="none" w:sz="0" w:space="0" w:color="auto"/>
        <w:left w:val="none" w:sz="0" w:space="0" w:color="auto"/>
        <w:bottom w:val="none" w:sz="0" w:space="0" w:color="auto"/>
        <w:right w:val="none" w:sz="0" w:space="0" w:color="auto"/>
      </w:divBdr>
    </w:div>
    <w:div w:id="1376083822">
      <w:bodyDiv w:val="1"/>
      <w:marLeft w:val="0"/>
      <w:marRight w:val="0"/>
      <w:marTop w:val="0"/>
      <w:marBottom w:val="0"/>
      <w:divBdr>
        <w:top w:val="none" w:sz="0" w:space="0" w:color="auto"/>
        <w:left w:val="none" w:sz="0" w:space="0" w:color="auto"/>
        <w:bottom w:val="none" w:sz="0" w:space="0" w:color="auto"/>
        <w:right w:val="none" w:sz="0" w:space="0" w:color="auto"/>
      </w:divBdr>
    </w:div>
    <w:div w:id="1376350705">
      <w:bodyDiv w:val="1"/>
      <w:marLeft w:val="0"/>
      <w:marRight w:val="0"/>
      <w:marTop w:val="0"/>
      <w:marBottom w:val="0"/>
      <w:divBdr>
        <w:top w:val="none" w:sz="0" w:space="0" w:color="auto"/>
        <w:left w:val="none" w:sz="0" w:space="0" w:color="auto"/>
        <w:bottom w:val="none" w:sz="0" w:space="0" w:color="auto"/>
        <w:right w:val="none" w:sz="0" w:space="0" w:color="auto"/>
      </w:divBdr>
    </w:div>
    <w:div w:id="1376391342">
      <w:bodyDiv w:val="1"/>
      <w:marLeft w:val="0"/>
      <w:marRight w:val="0"/>
      <w:marTop w:val="0"/>
      <w:marBottom w:val="0"/>
      <w:divBdr>
        <w:top w:val="none" w:sz="0" w:space="0" w:color="auto"/>
        <w:left w:val="none" w:sz="0" w:space="0" w:color="auto"/>
        <w:bottom w:val="none" w:sz="0" w:space="0" w:color="auto"/>
        <w:right w:val="none" w:sz="0" w:space="0" w:color="auto"/>
      </w:divBdr>
    </w:div>
    <w:div w:id="1376465768">
      <w:bodyDiv w:val="1"/>
      <w:marLeft w:val="0"/>
      <w:marRight w:val="0"/>
      <w:marTop w:val="0"/>
      <w:marBottom w:val="0"/>
      <w:divBdr>
        <w:top w:val="none" w:sz="0" w:space="0" w:color="auto"/>
        <w:left w:val="none" w:sz="0" w:space="0" w:color="auto"/>
        <w:bottom w:val="none" w:sz="0" w:space="0" w:color="auto"/>
        <w:right w:val="none" w:sz="0" w:space="0" w:color="auto"/>
      </w:divBdr>
    </w:div>
    <w:div w:id="1376655749">
      <w:bodyDiv w:val="1"/>
      <w:marLeft w:val="0"/>
      <w:marRight w:val="0"/>
      <w:marTop w:val="0"/>
      <w:marBottom w:val="0"/>
      <w:divBdr>
        <w:top w:val="none" w:sz="0" w:space="0" w:color="auto"/>
        <w:left w:val="none" w:sz="0" w:space="0" w:color="auto"/>
        <w:bottom w:val="none" w:sz="0" w:space="0" w:color="auto"/>
        <w:right w:val="none" w:sz="0" w:space="0" w:color="auto"/>
      </w:divBdr>
    </w:div>
    <w:div w:id="1376808980">
      <w:bodyDiv w:val="1"/>
      <w:marLeft w:val="0"/>
      <w:marRight w:val="0"/>
      <w:marTop w:val="0"/>
      <w:marBottom w:val="0"/>
      <w:divBdr>
        <w:top w:val="none" w:sz="0" w:space="0" w:color="auto"/>
        <w:left w:val="none" w:sz="0" w:space="0" w:color="auto"/>
        <w:bottom w:val="none" w:sz="0" w:space="0" w:color="auto"/>
        <w:right w:val="none" w:sz="0" w:space="0" w:color="auto"/>
      </w:divBdr>
    </w:div>
    <w:div w:id="1376931679">
      <w:bodyDiv w:val="1"/>
      <w:marLeft w:val="0"/>
      <w:marRight w:val="0"/>
      <w:marTop w:val="0"/>
      <w:marBottom w:val="0"/>
      <w:divBdr>
        <w:top w:val="none" w:sz="0" w:space="0" w:color="auto"/>
        <w:left w:val="none" w:sz="0" w:space="0" w:color="auto"/>
        <w:bottom w:val="none" w:sz="0" w:space="0" w:color="auto"/>
        <w:right w:val="none" w:sz="0" w:space="0" w:color="auto"/>
      </w:divBdr>
    </w:div>
    <w:div w:id="1377044477">
      <w:bodyDiv w:val="1"/>
      <w:marLeft w:val="0"/>
      <w:marRight w:val="0"/>
      <w:marTop w:val="0"/>
      <w:marBottom w:val="0"/>
      <w:divBdr>
        <w:top w:val="none" w:sz="0" w:space="0" w:color="auto"/>
        <w:left w:val="none" w:sz="0" w:space="0" w:color="auto"/>
        <w:bottom w:val="none" w:sz="0" w:space="0" w:color="auto"/>
        <w:right w:val="none" w:sz="0" w:space="0" w:color="auto"/>
      </w:divBdr>
    </w:div>
    <w:div w:id="1377778043">
      <w:bodyDiv w:val="1"/>
      <w:marLeft w:val="0"/>
      <w:marRight w:val="0"/>
      <w:marTop w:val="0"/>
      <w:marBottom w:val="0"/>
      <w:divBdr>
        <w:top w:val="none" w:sz="0" w:space="0" w:color="auto"/>
        <w:left w:val="none" w:sz="0" w:space="0" w:color="auto"/>
        <w:bottom w:val="none" w:sz="0" w:space="0" w:color="auto"/>
        <w:right w:val="none" w:sz="0" w:space="0" w:color="auto"/>
      </w:divBdr>
    </w:div>
    <w:div w:id="1377850284">
      <w:bodyDiv w:val="1"/>
      <w:marLeft w:val="0"/>
      <w:marRight w:val="0"/>
      <w:marTop w:val="0"/>
      <w:marBottom w:val="0"/>
      <w:divBdr>
        <w:top w:val="none" w:sz="0" w:space="0" w:color="auto"/>
        <w:left w:val="none" w:sz="0" w:space="0" w:color="auto"/>
        <w:bottom w:val="none" w:sz="0" w:space="0" w:color="auto"/>
        <w:right w:val="none" w:sz="0" w:space="0" w:color="auto"/>
      </w:divBdr>
    </w:div>
    <w:div w:id="1378041449">
      <w:bodyDiv w:val="1"/>
      <w:marLeft w:val="0"/>
      <w:marRight w:val="0"/>
      <w:marTop w:val="0"/>
      <w:marBottom w:val="0"/>
      <w:divBdr>
        <w:top w:val="none" w:sz="0" w:space="0" w:color="auto"/>
        <w:left w:val="none" w:sz="0" w:space="0" w:color="auto"/>
        <w:bottom w:val="none" w:sz="0" w:space="0" w:color="auto"/>
        <w:right w:val="none" w:sz="0" w:space="0" w:color="auto"/>
      </w:divBdr>
    </w:div>
    <w:div w:id="1378354995">
      <w:bodyDiv w:val="1"/>
      <w:marLeft w:val="0"/>
      <w:marRight w:val="0"/>
      <w:marTop w:val="0"/>
      <w:marBottom w:val="0"/>
      <w:divBdr>
        <w:top w:val="none" w:sz="0" w:space="0" w:color="auto"/>
        <w:left w:val="none" w:sz="0" w:space="0" w:color="auto"/>
        <w:bottom w:val="none" w:sz="0" w:space="0" w:color="auto"/>
        <w:right w:val="none" w:sz="0" w:space="0" w:color="auto"/>
      </w:divBdr>
    </w:div>
    <w:div w:id="1378504274">
      <w:bodyDiv w:val="1"/>
      <w:marLeft w:val="0"/>
      <w:marRight w:val="0"/>
      <w:marTop w:val="0"/>
      <w:marBottom w:val="0"/>
      <w:divBdr>
        <w:top w:val="none" w:sz="0" w:space="0" w:color="auto"/>
        <w:left w:val="none" w:sz="0" w:space="0" w:color="auto"/>
        <w:bottom w:val="none" w:sz="0" w:space="0" w:color="auto"/>
        <w:right w:val="none" w:sz="0" w:space="0" w:color="auto"/>
      </w:divBdr>
    </w:div>
    <w:div w:id="1378973490">
      <w:bodyDiv w:val="1"/>
      <w:marLeft w:val="0"/>
      <w:marRight w:val="0"/>
      <w:marTop w:val="0"/>
      <w:marBottom w:val="0"/>
      <w:divBdr>
        <w:top w:val="none" w:sz="0" w:space="0" w:color="auto"/>
        <w:left w:val="none" w:sz="0" w:space="0" w:color="auto"/>
        <w:bottom w:val="none" w:sz="0" w:space="0" w:color="auto"/>
        <w:right w:val="none" w:sz="0" w:space="0" w:color="auto"/>
      </w:divBdr>
    </w:div>
    <w:div w:id="1379427112">
      <w:bodyDiv w:val="1"/>
      <w:marLeft w:val="0"/>
      <w:marRight w:val="0"/>
      <w:marTop w:val="0"/>
      <w:marBottom w:val="0"/>
      <w:divBdr>
        <w:top w:val="none" w:sz="0" w:space="0" w:color="auto"/>
        <w:left w:val="none" w:sz="0" w:space="0" w:color="auto"/>
        <w:bottom w:val="none" w:sz="0" w:space="0" w:color="auto"/>
        <w:right w:val="none" w:sz="0" w:space="0" w:color="auto"/>
      </w:divBdr>
    </w:div>
    <w:div w:id="1379627932">
      <w:bodyDiv w:val="1"/>
      <w:marLeft w:val="0"/>
      <w:marRight w:val="0"/>
      <w:marTop w:val="0"/>
      <w:marBottom w:val="0"/>
      <w:divBdr>
        <w:top w:val="none" w:sz="0" w:space="0" w:color="auto"/>
        <w:left w:val="none" w:sz="0" w:space="0" w:color="auto"/>
        <w:bottom w:val="none" w:sz="0" w:space="0" w:color="auto"/>
        <w:right w:val="none" w:sz="0" w:space="0" w:color="auto"/>
      </w:divBdr>
    </w:div>
    <w:div w:id="1379672298">
      <w:bodyDiv w:val="1"/>
      <w:marLeft w:val="0"/>
      <w:marRight w:val="0"/>
      <w:marTop w:val="0"/>
      <w:marBottom w:val="0"/>
      <w:divBdr>
        <w:top w:val="none" w:sz="0" w:space="0" w:color="auto"/>
        <w:left w:val="none" w:sz="0" w:space="0" w:color="auto"/>
        <w:bottom w:val="none" w:sz="0" w:space="0" w:color="auto"/>
        <w:right w:val="none" w:sz="0" w:space="0" w:color="auto"/>
      </w:divBdr>
    </w:div>
    <w:div w:id="1379817128">
      <w:bodyDiv w:val="1"/>
      <w:marLeft w:val="0"/>
      <w:marRight w:val="0"/>
      <w:marTop w:val="0"/>
      <w:marBottom w:val="0"/>
      <w:divBdr>
        <w:top w:val="none" w:sz="0" w:space="0" w:color="auto"/>
        <w:left w:val="none" w:sz="0" w:space="0" w:color="auto"/>
        <w:bottom w:val="none" w:sz="0" w:space="0" w:color="auto"/>
        <w:right w:val="none" w:sz="0" w:space="0" w:color="auto"/>
      </w:divBdr>
    </w:div>
    <w:div w:id="1379892456">
      <w:bodyDiv w:val="1"/>
      <w:marLeft w:val="0"/>
      <w:marRight w:val="0"/>
      <w:marTop w:val="0"/>
      <w:marBottom w:val="0"/>
      <w:divBdr>
        <w:top w:val="none" w:sz="0" w:space="0" w:color="auto"/>
        <w:left w:val="none" w:sz="0" w:space="0" w:color="auto"/>
        <w:bottom w:val="none" w:sz="0" w:space="0" w:color="auto"/>
        <w:right w:val="none" w:sz="0" w:space="0" w:color="auto"/>
      </w:divBdr>
    </w:div>
    <w:div w:id="1380284029">
      <w:bodyDiv w:val="1"/>
      <w:marLeft w:val="0"/>
      <w:marRight w:val="0"/>
      <w:marTop w:val="0"/>
      <w:marBottom w:val="0"/>
      <w:divBdr>
        <w:top w:val="none" w:sz="0" w:space="0" w:color="auto"/>
        <w:left w:val="none" w:sz="0" w:space="0" w:color="auto"/>
        <w:bottom w:val="none" w:sz="0" w:space="0" w:color="auto"/>
        <w:right w:val="none" w:sz="0" w:space="0" w:color="auto"/>
      </w:divBdr>
    </w:div>
    <w:div w:id="1380545425">
      <w:bodyDiv w:val="1"/>
      <w:marLeft w:val="0"/>
      <w:marRight w:val="0"/>
      <w:marTop w:val="0"/>
      <w:marBottom w:val="0"/>
      <w:divBdr>
        <w:top w:val="none" w:sz="0" w:space="0" w:color="auto"/>
        <w:left w:val="none" w:sz="0" w:space="0" w:color="auto"/>
        <w:bottom w:val="none" w:sz="0" w:space="0" w:color="auto"/>
        <w:right w:val="none" w:sz="0" w:space="0" w:color="auto"/>
      </w:divBdr>
      <w:divsChild>
        <w:div w:id="155923987">
          <w:marLeft w:val="0"/>
          <w:marRight w:val="0"/>
          <w:marTop w:val="0"/>
          <w:marBottom w:val="0"/>
          <w:divBdr>
            <w:top w:val="none" w:sz="0" w:space="0" w:color="auto"/>
            <w:left w:val="none" w:sz="0" w:space="0" w:color="auto"/>
            <w:bottom w:val="none" w:sz="0" w:space="0" w:color="auto"/>
            <w:right w:val="none" w:sz="0" w:space="0" w:color="auto"/>
          </w:divBdr>
          <w:divsChild>
            <w:div w:id="560677099">
              <w:marLeft w:val="0"/>
              <w:marRight w:val="0"/>
              <w:marTop w:val="0"/>
              <w:marBottom w:val="0"/>
              <w:divBdr>
                <w:top w:val="none" w:sz="0" w:space="0" w:color="auto"/>
                <w:left w:val="none" w:sz="0" w:space="0" w:color="auto"/>
                <w:bottom w:val="none" w:sz="0" w:space="0" w:color="auto"/>
                <w:right w:val="none" w:sz="0" w:space="0" w:color="auto"/>
              </w:divBdr>
              <w:divsChild>
                <w:div w:id="1064793767">
                  <w:marLeft w:val="0"/>
                  <w:marRight w:val="0"/>
                  <w:marTop w:val="0"/>
                  <w:marBottom w:val="0"/>
                  <w:divBdr>
                    <w:top w:val="none" w:sz="0" w:space="0" w:color="auto"/>
                    <w:left w:val="none" w:sz="0" w:space="0" w:color="auto"/>
                    <w:bottom w:val="none" w:sz="0" w:space="0" w:color="auto"/>
                    <w:right w:val="none" w:sz="0" w:space="0" w:color="auto"/>
                  </w:divBdr>
                  <w:divsChild>
                    <w:div w:id="1179269035">
                      <w:marLeft w:val="0"/>
                      <w:marRight w:val="0"/>
                      <w:marTop w:val="0"/>
                      <w:marBottom w:val="0"/>
                      <w:divBdr>
                        <w:top w:val="none" w:sz="0" w:space="0" w:color="auto"/>
                        <w:left w:val="none" w:sz="0" w:space="0" w:color="auto"/>
                        <w:bottom w:val="none" w:sz="0" w:space="0" w:color="auto"/>
                        <w:right w:val="none" w:sz="0" w:space="0" w:color="auto"/>
                      </w:divBdr>
                      <w:divsChild>
                        <w:div w:id="156963756">
                          <w:marLeft w:val="0"/>
                          <w:marRight w:val="0"/>
                          <w:marTop w:val="0"/>
                          <w:marBottom w:val="75"/>
                          <w:divBdr>
                            <w:top w:val="none" w:sz="0" w:space="0" w:color="auto"/>
                            <w:left w:val="none" w:sz="0" w:space="0" w:color="auto"/>
                            <w:bottom w:val="none" w:sz="0" w:space="0" w:color="auto"/>
                            <w:right w:val="none" w:sz="0" w:space="0" w:color="auto"/>
                          </w:divBdr>
                          <w:divsChild>
                            <w:div w:id="142345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250963">
          <w:marLeft w:val="0"/>
          <w:marRight w:val="0"/>
          <w:marTop w:val="0"/>
          <w:marBottom w:val="0"/>
          <w:divBdr>
            <w:top w:val="none" w:sz="0" w:space="0" w:color="auto"/>
            <w:left w:val="none" w:sz="0" w:space="0" w:color="auto"/>
            <w:bottom w:val="none" w:sz="0" w:space="0" w:color="auto"/>
            <w:right w:val="none" w:sz="0" w:space="0" w:color="auto"/>
          </w:divBdr>
          <w:divsChild>
            <w:div w:id="443154845">
              <w:marLeft w:val="0"/>
              <w:marRight w:val="0"/>
              <w:marTop w:val="0"/>
              <w:marBottom w:val="0"/>
              <w:divBdr>
                <w:top w:val="none" w:sz="0" w:space="0" w:color="auto"/>
                <w:left w:val="none" w:sz="0" w:space="0" w:color="auto"/>
                <w:bottom w:val="none" w:sz="0" w:space="0" w:color="auto"/>
                <w:right w:val="none" w:sz="0" w:space="0" w:color="auto"/>
              </w:divBdr>
              <w:divsChild>
                <w:div w:id="3167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44995">
          <w:marLeft w:val="0"/>
          <w:marRight w:val="0"/>
          <w:marTop w:val="0"/>
          <w:marBottom w:val="0"/>
          <w:divBdr>
            <w:top w:val="none" w:sz="0" w:space="0" w:color="auto"/>
            <w:left w:val="none" w:sz="0" w:space="0" w:color="auto"/>
            <w:bottom w:val="none" w:sz="0" w:space="0" w:color="auto"/>
            <w:right w:val="none" w:sz="0" w:space="0" w:color="auto"/>
          </w:divBdr>
          <w:divsChild>
            <w:div w:id="440881120">
              <w:marLeft w:val="0"/>
              <w:marRight w:val="0"/>
              <w:marTop w:val="0"/>
              <w:marBottom w:val="0"/>
              <w:divBdr>
                <w:top w:val="none" w:sz="0" w:space="0" w:color="auto"/>
                <w:left w:val="none" w:sz="0" w:space="0" w:color="auto"/>
                <w:bottom w:val="none" w:sz="0" w:space="0" w:color="auto"/>
                <w:right w:val="none" w:sz="0" w:space="0" w:color="auto"/>
              </w:divBdr>
              <w:divsChild>
                <w:div w:id="101265792">
                  <w:marLeft w:val="0"/>
                  <w:marRight w:val="0"/>
                  <w:marTop w:val="0"/>
                  <w:marBottom w:val="0"/>
                  <w:divBdr>
                    <w:top w:val="none" w:sz="0" w:space="0" w:color="auto"/>
                    <w:left w:val="none" w:sz="0" w:space="0" w:color="auto"/>
                    <w:bottom w:val="none" w:sz="0" w:space="0" w:color="auto"/>
                    <w:right w:val="none" w:sz="0" w:space="0" w:color="auto"/>
                  </w:divBdr>
                  <w:divsChild>
                    <w:div w:id="1152528241">
                      <w:marLeft w:val="0"/>
                      <w:marRight w:val="0"/>
                      <w:marTop w:val="0"/>
                      <w:marBottom w:val="0"/>
                      <w:divBdr>
                        <w:top w:val="none" w:sz="0" w:space="0" w:color="auto"/>
                        <w:left w:val="none" w:sz="0" w:space="0" w:color="auto"/>
                        <w:bottom w:val="none" w:sz="0" w:space="0" w:color="auto"/>
                        <w:right w:val="none" w:sz="0" w:space="0" w:color="auto"/>
                      </w:divBdr>
                    </w:div>
                  </w:divsChild>
                </w:div>
                <w:div w:id="1912544906">
                  <w:marLeft w:val="0"/>
                  <w:marRight w:val="0"/>
                  <w:marTop w:val="0"/>
                  <w:marBottom w:val="0"/>
                  <w:divBdr>
                    <w:top w:val="none" w:sz="0" w:space="0" w:color="auto"/>
                    <w:left w:val="none" w:sz="0" w:space="0" w:color="auto"/>
                    <w:bottom w:val="none" w:sz="0" w:space="0" w:color="auto"/>
                    <w:right w:val="none" w:sz="0" w:space="0" w:color="auto"/>
                  </w:divBdr>
                  <w:divsChild>
                    <w:div w:id="1877162548">
                      <w:marLeft w:val="0"/>
                      <w:marRight w:val="0"/>
                      <w:marTop w:val="0"/>
                      <w:marBottom w:val="0"/>
                      <w:divBdr>
                        <w:top w:val="none" w:sz="0" w:space="0" w:color="auto"/>
                        <w:left w:val="none" w:sz="0" w:space="0" w:color="auto"/>
                        <w:bottom w:val="none" w:sz="0" w:space="0" w:color="auto"/>
                        <w:right w:val="none" w:sz="0" w:space="0" w:color="auto"/>
                      </w:divBdr>
                      <w:divsChild>
                        <w:div w:id="560604843">
                          <w:marLeft w:val="0"/>
                          <w:marRight w:val="0"/>
                          <w:marTop w:val="0"/>
                          <w:marBottom w:val="0"/>
                          <w:divBdr>
                            <w:top w:val="none" w:sz="0" w:space="0" w:color="auto"/>
                            <w:left w:val="none" w:sz="0" w:space="0" w:color="auto"/>
                            <w:bottom w:val="none" w:sz="0" w:space="0" w:color="auto"/>
                            <w:right w:val="none" w:sz="0" w:space="0" w:color="auto"/>
                          </w:divBdr>
                          <w:divsChild>
                            <w:div w:id="1905483046">
                              <w:marLeft w:val="0"/>
                              <w:marRight w:val="0"/>
                              <w:marTop w:val="0"/>
                              <w:marBottom w:val="0"/>
                              <w:divBdr>
                                <w:top w:val="none" w:sz="0" w:space="0" w:color="auto"/>
                                <w:left w:val="none" w:sz="0" w:space="0" w:color="auto"/>
                                <w:bottom w:val="none" w:sz="0" w:space="0" w:color="auto"/>
                                <w:right w:val="none" w:sz="0" w:space="0" w:color="auto"/>
                              </w:divBdr>
                              <w:divsChild>
                                <w:div w:id="364447510">
                                  <w:marLeft w:val="0"/>
                                  <w:marRight w:val="0"/>
                                  <w:marTop w:val="0"/>
                                  <w:marBottom w:val="0"/>
                                  <w:divBdr>
                                    <w:top w:val="none" w:sz="0" w:space="0" w:color="auto"/>
                                    <w:left w:val="none" w:sz="0" w:space="0" w:color="auto"/>
                                    <w:bottom w:val="none" w:sz="0" w:space="0" w:color="auto"/>
                                    <w:right w:val="none" w:sz="0" w:space="0" w:color="auto"/>
                                  </w:divBdr>
                                  <w:divsChild>
                                    <w:div w:id="968172463">
                                      <w:marLeft w:val="0"/>
                                      <w:marRight w:val="0"/>
                                      <w:marTop w:val="0"/>
                                      <w:marBottom w:val="0"/>
                                      <w:divBdr>
                                        <w:top w:val="none" w:sz="0" w:space="0" w:color="auto"/>
                                        <w:left w:val="none" w:sz="0" w:space="0" w:color="auto"/>
                                        <w:bottom w:val="none" w:sz="0" w:space="0" w:color="auto"/>
                                        <w:right w:val="none" w:sz="0" w:space="0" w:color="auto"/>
                                      </w:divBdr>
                                      <w:divsChild>
                                        <w:div w:id="12999207">
                                          <w:marLeft w:val="0"/>
                                          <w:marRight w:val="0"/>
                                          <w:marTop w:val="0"/>
                                          <w:marBottom w:val="0"/>
                                          <w:divBdr>
                                            <w:top w:val="none" w:sz="0" w:space="0" w:color="auto"/>
                                            <w:left w:val="none" w:sz="0" w:space="0" w:color="auto"/>
                                            <w:bottom w:val="none" w:sz="0" w:space="0" w:color="auto"/>
                                            <w:right w:val="none" w:sz="0" w:space="0" w:color="auto"/>
                                          </w:divBdr>
                                        </w:div>
                                        <w:div w:id="89739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05168">
                          <w:marLeft w:val="0"/>
                          <w:marRight w:val="0"/>
                          <w:marTop w:val="0"/>
                          <w:marBottom w:val="0"/>
                          <w:divBdr>
                            <w:top w:val="none" w:sz="0" w:space="0" w:color="auto"/>
                            <w:left w:val="none" w:sz="0" w:space="0" w:color="auto"/>
                            <w:bottom w:val="none" w:sz="0" w:space="0" w:color="auto"/>
                            <w:right w:val="none" w:sz="0" w:space="0" w:color="auto"/>
                          </w:divBdr>
                          <w:divsChild>
                            <w:div w:id="1069499765">
                              <w:marLeft w:val="0"/>
                              <w:marRight w:val="0"/>
                              <w:marTop w:val="0"/>
                              <w:marBottom w:val="0"/>
                              <w:divBdr>
                                <w:top w:val="none" w:sz="0" w:space="0" w:color="auto"/>
                                <w:left w:val="none" w:sz="0" w:space="0" w:color="auto"/>
                                <w:bottom w:val="none" w:sz="0" w:space="0" w:color="auto"/>
                                <w:right w:val="none" w:sz="0" w:space="0" w:color="auto"/>
                              </w:divBdr>
                              <w:divsChild>
                                <w:div w:id="1511800781">
                                  <w:marLeft w:val="0"/>
                                  <w:marRight w:val="0"/>
                                  <w:marTop w:val="0"/>
                                  <w:marBottom w:val="0"/>
                                  <w:divBdr>
                                    <w:top w:val="none" w:sz="0" w:space="0" w:color="auto"/>
                                    <w:left w:val="none" w:sz="0" w:space="0" w:color="auto"/>
                                    <w:bottom w:val="none" w:sz="0" w:space="0" w:color="auto"/>
                                    <w:right w:val="none" w:sz="0" w:space="0" w:color="auto"/>
                                  </w:divBdr>
                                  <w:divsChild>
                                    <w:div w:id="1177647832">
                                      <w:marLeft w:val="0"/>
                                      <w:marRight w:val="0"/>
                                      <w:marTop w:val="0"/>
                                      <w:marBottom w:val="0"/>
                                      <w:divBdr>
                                        <w:top w:val="none" w:sz="0" w:space="0" w:color="auto"/>
                                        <w:left w:val="none" w:sz="0" w:space="0" w:color="auto"/>
                                        <w:bottom w:val="none" w:sz="0" w:space="0" w:color="auto"/>
                                        <w:right w:val="none" w:sz="0" w:space="0" w:color="auto"/>
                                      </w:divBdr>
                                      <w:divsChild>
                                        <w:div w:id="44065173">
                                          <w:marLeft w:val="0"/>
                                          <w:marRight w:val="0"/>
                                          <w:marTop w:val="0"/>
                                          <w:marBottom w:val="0"/>
                                          <w:divBdr>
                                            <w:top w:val="none" w:sz="0" w:space="0" w:color="auto"/>
                                            <w:left w:val="none" w:sz="0" w:space="0" w:color="auto"/>
                                            <w:bottom w:val="none" w:sz="0" w:space="0" w:color="auto"/>
                                            <w:right w:val="none" w:sz="0" w:space="0" w:color="auto"/>
                                          </w:divBdr>
                                        </w:div>
                                        <w:div w:id="208136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0668222">
      <w:bodyDiv w:val="1"/>
      <w:marLeft w:val="0"/>
      <w:marRight w:val="0"/>
      <w:marTop w:val="0"/>
      <w:marBottom w:val="0"/>
      <w:divBdr>
        <w:top w:val="none" w:sz="0" w:space="0" w:color="auto"/>
        <w:left w:val="none" w:sz="0" w:space="0" w:color="auto"/>
        <w:bottom w:val="none" w:sz="0" w:space="0" w:color="auto"/>
        <w:right w:val="none" w:sz="0" w:space="0" w:color="auto"/>
      </w:divBdr>
    </w:div>
    <w:div w:id="1380932774">
      <w:bodyDiv w:val="1"/>
      <w:marLeft w:val="0"/>
      <w:marRight w:val="0"/>
      <w:marTop w:val="0"/>
      <w:marBottom w:val="0"/>
      <w:divBdr>
        <w:top w:val="none" w:sz="0" w:space="0" w:color="auto"/>
        <w:left w:val="none" w:sz="0" w:space="0" w:color="auto"/>
        <w:bottom w:val="none" w:sz="0" w:space="0" w:color="auto"/>
        <w:right w:val="none" w:sz="0" w:space="0" w:color="auto"/>
      </w:divBdr>
      <w:divsChild>
        <w:div w:id="122619497">
          <w:marLeft w:val="0"/>
          <w:marRight w:val="0"/>
          <w:marTop w:val="0"/>
          <w:marBottom w:val="0"/>
          <w:divBdr>
            <w:top w:val="none" w:sz="0" w:space="0" w:color="auto"/>
            <w:left w:val="none" w:sz="0" w:space="0" w:color="auto"/>
            <w:bottom w:val="none" w:sz="0" w:space="0" w:color="auto"/>
            <w:right w:val="none" w:sz="0" w:space="0" w:color="auto"/>
          </w:divBdr>
        </w:div>
        <w:div w:id="183709401">
          <w:marLeft w:val="0"/>
          <w:marRight w:val="0"/>
          <w:marTop w:val="0"/>
          <w:marBottom w:val="0"/>
          <w:divBdr>
            <w:top w:val="none" w:sz="0" w:space="0" w:color="auto"/>
            <w:left w:val="none" w:sz="0" w:space="0" w:color="auto"/>
            <w:bottom w:val="none" w:sz="0" w:space="0" w:color="auto"/>
            <w:right w:val="none" w:sz="0" w:space="0" w:color="auto"/>
          </w:divBdr>
        </w:div>
        <w:div w:id="304092215">
          <w:marLeft w:val="0"/>
          <w:marRight w:val="0"/>
          <w:marTop w:val="0"/>
          <w:marBottom w:val="0"/>
          <w:divBdr>
            <w:top w:val="none" w:sz="0" w:space="0" w:color="auto"/>
            <w:left w:val="none" w:sz="0" w:space="0" w:color="auto"/>
            <w:bottom w:val="none" w:sz="0" w:space="0" w:color="auto"/>
            <w:right w:val="none" w:sz="0" w:space="0" w:color="auto"/>
          </w:divBdr>
        </w:div>
        <w:div w:id="2063868957">
          <w:marLeft w:val="0"/>
          <w:marRight w:val="0"/>
          <w:marTop w:val="0"/>
          <w:marBottom w:val="0"/>
          <w:divBdr>
            <w:top w:val="none" w:sz="0" w:space="0" w:color="auto"/>
            <w:left w:val="none" w:sz="0" w:space="0" w:color="auto"/>
            <w:bottom w:val="none" w:sz="0" w:space="0" w:color="auto"/>
            <w:right w:val="none" w:sz="0" w:space="0" w:color="auto"/>
          </w:divBdr>
        </w:div>
      </w:divsChild>
    </w:div>
    <w:div w:id="1380981604">
      <w:bodyDiv w:val="1"/>
      <w:marLeft w:val="0"/>
      <w:marRight w:val="0"/>
      <w:marTop w:val="0"/>
      <w:marBottom w:val="0"/>
      <w:divBdr>
        <w:top w:val="none" w:sz="0" w:space="0" w:color="auto"/>
        <w:left w:val="none" w:sz="0" w:space="0" w:color="auto"/>
        <w:bottom w:val="none" w:sz="0" w:space="0" w:color="auto"/>
        <w:right w:val="none" w:sz="0" w:space="0" w:color="auto"/>
      </w:divBdr>
    </w:div>
    <w:div w:id="1381251438">
      <w:bodyDiv w:val="1"/>
      <w:marLeft w:val="0"/>
      <w:marRight w:val="0"/>
      <w:marTop w:val="0"/>
      <w:marBottom w:val="0"/>
      <w:divBdr>
        <w:top w:val="none" w:sz="0" w:space="0" w:color="auto"/>
        <w:left w:val="none" w:sz="0" w:space="0" w:color="auto"/>
        <w:bottom w:val="none" w:sz="0" w:space="0" w:color="auto"/>
        <w:right w:val="none" w:sz="0" w:space="0" w:color="auto"/>
      </w:divBdr>
    </w:div>
    <w:div w:id="1381443683">
      <w:bodyDiv w:val="1"/>
      <w:marLeft w:val="0"/>
      <w:marRight w:val="0"/>
      <w:marTop w:val="0"/>
      <w:marBottom w:val="0"/>
      <w:divBdr>
        <w:top w:val="none" w:sz="0" w:space="0" w:color="auto"/>
        <w:left w:val="none" w:sz="0" w:space="0" w:color="auto"/>
        <w:bottom w:val="none" w:sz="0" w:space="0" w:color="auto"/>
        <w:right w:val="none" w:sz="0" w:space="0" w:color="auto"/>
      </w:divBdr>
    </w:div>
    <w:div w:id="1381592416">
      <w:bodyDiv w:val="1"/>
      <w:marLeft w:val="0"/>
      <w:marRight w:val="0"/>
      <w:marTop w:val="0"/>
      <w:marBottom w:val="0"/>
      <w:divBdr>
        <w:top w:val="none" w:sz="0" w:space="0" w:color="auto"/>
        <w:left w:val="none" w:sz="0" w:space="0" w:color="auto"/>
        <w:bottom w:val="none" w:sz="0" w:space="0" w:color="auto"/>
        <w:right w:val="none" w:sz="0" w:space="0" w:color="auto"/>
      </w:divBdr>
    </w:div>
    <w:div w:id="1381899511">
      <w:bodyDiv w:val="1"/>
      <w:marLeft w:val="0"/>
      <w:marRight w:val="0"/>
      <w:marTop w:val="0"/>
      <w:marBottom w:val="0"/>
      <w:divBdr>
        <w:top w:val="none" w:sz="0" w:space="0" w:color="auto"/>
        <w:left w:val="none" w:sz="0" w:space="0" w:color="auto"/>
        <w:bottom w:val="none" w:sz="0" w:space="0" w:color="auto"/>
        <w:right w:val="none" w:sz="0" w:space="0" w:color="auto"/>
      </w:divBdr>
    </w:div>
    <w:div w:id="1381980357">
      <w:bodyDiv w:val="1"/>
      <w:marLeft w:val="0"/>
      <w:marRight w:val="0"/>
      <w:marTop w:val="0"/>
      <w:marBottom w:val="0"/>
      <w:divBdr>
        <w:top w:val="none" w:sz="0" w:space="0" w:color="auto"/>
        <w:left w:val="none" w:sz="0" w:space="0" w:color="auto"/>
        <w:bottom w:val="none" w:sz="0" w:space="0" w:color="auto"/>
        <w:right w:val="none" w:sz="0" w:space="0" w:color="auto"/>
      </w:divBdr>
    </w:div>
    <w:div w:id="1382054307">
      <w:bodyDiv w:val="1"/>
      <w:marLeft w:val="0"/>
      <w:marRight w:val="0"/>
      <w:marTop w:val="0"/>
      <w:marBottom w:val="0"/>
      <w:divBdr>
        <w:top w:val="none" w:sz="0" w:space="0" w:color="auto"/>
        <w:left w:val="none" w:sz="0" w:space="0" w:color="auto"/>
        <w:bottom w:val="none" w:sz="0" w:space="0" w:color="auto"/>
        <w:right w:val="none" w:sz="0" w:space="0" w:color="auto"/>
      </w:divBdr>
    </w:div>
    <w:div w:id="1382946618">
      <w:bodyDiv w:val="1"/>
      <w:marLeft w:val="0"/>
      <w:marRight w:val="0"/>
      <w:marTop w:val="0"/>
      <w:marBottom w:val="0"/>
      <w:divBdr>
        <w:top w:val="none" w:sz="0" w:space="0" w:color="auto"/>
        <w:left w:val="none" w:sz="0" w:space="0" w:color="auto"/>
        <w:bottom w:val="none" w:sz="0" w:space="0" w:color="auto"/>
        <w:right w:val="none" w:sz="0" w:space="0" w:color="auto"/>
      </w:divBdr>
    </w:div>
    <w:div w:id="1383603065">
      <w:bodyDiv w:val="1"/>
      <w:marLeft w:val="0"/>
      <w:marRight w:val="0"/>
      <w:marTop w:val="0"/>
      <w:marBottom w:val="0"/>
      <w:divBdr>
        <w:top w:val="none" w:sz="0" w:space="0" w:color="auto"/>
        <w:left w:val="none" w:sz="0" w:space="0" w:color="auto"/>
        <w:bottom w:val="none" w:sz="0" w:space="0" w:color="auto"/>
        <w:right w:val="none" w:sz="0" w:space="0" w:color="auto"/>
      </w:divBdr>
    </w:div>
    <w:div w:id="1383796234">
      <w:bodyDiv w:val="1"/>
      <w:marLeft w:val="0"/>
      <w:marRight w:val="0"/>
      <w:marTop w:val="0"/>
      <w:marBottom w:val="0"/>
      <w:divBdr>
        <w:top w:val="none" w:sz="0" w:space="0" w:color="auto"/>
        <w:left w:val="none" w:sz="0" w:space="0" w:color="auto"/>
        <w:bottom w:val="none" w:sz="0" w:space="0" w:color="auto"/>
        <w:right w:val="none" w:sz="0" w:space="0" w:color="auto"/>
      </w:divBdr>
    </w:div>
    <w:div w:id="1383822818">
      <w:bodyDiv w:val="1"/>
      <w:marLeft w:val="0"/>
      <w:marRight w:val="0"/>
      <w:marTop w:val="0"/>
      <w:marBottom w:val="0"/>
      <w:divBdr>
        <w:top w:val="none" w:sz="0" w:space="0" w:color="auto"/>
        <w:left w:val="none" w:sz="0" w:space="0" w:color="auto"/>
        <w:bottom w:val="none" w:sz="0" w:space="0" w:color="auto"/>
        <w:right w:val="none" w:sz="0" w:space="0" w:color="auto"/>
      </w:divBdr>
    </w:div>
    <w:div w:id="1383863141">
      <w:bodyDiv w:val="1"/>
      <w:marLeft w:val="0"/>
      <w:marRight w:val="0"/>
      <w:marTop w:val="0"/>
      <w:marBottom w:val="0"/>
      <w:divBdr>
        <w:top w:val="none" w:sz="0" w:space="0" w:color="auto"/>
        <w:left w:val="none" w:sz="0" w:space="0" w:color="auto"/>
        <w:bottom w:val="none" w:sz="0" w:space="0" w:color="auto"/>
        <w:right w:val="none" w:sz="0" w:space="0" w:color="auto"/>
      </w:divBdr>
    </w:div>
    <w:div w:id="1383864624">
      <w:bodyDiv w:val="1"/>
      <w:marLeft w:val="0"/>
      <w:marRight w:val="0"/>
      <w:marTop w:val="0"/>
      <w:marBottom w:val="0"/>
      <w:divBdr>
        <w:top w:val="none" w:sz="0" w:space="0" w:color="auto"/>
        <w:left w:val="none" w:sz="0" w:space="0" w:color="auto"/>
        <w:bottom w:val="none" w:sz="0" w:space="0" w:color="auto"/>
        <w:right w:val="none" w:sz="0" w:space="0" w:color="auto"/>
      </w:divBdr>
    </w:div>
    <w:div w:id="1384601403">
      <w:bodyDiv w:val="1"/>
      <w:marLeft w:val="0"/>
      <w:marRight w:val="0"/>
      <w:marTop w:val="0"/>
      <w:marBottom w:val="0"/>
      <w:divBdr>
        <w:top w:val="none" w:sz="0" w:space="0" w:color="auto"/>
        <w:left w:val="none" w:sz="0" w:space="0" w:color="auto"/>
        <w:bottom w:val="none" w:sz="0" w:space="0" w:color="auto"/>
        <w:right w:val="none" w:sz="0" w:space="0" w:color="auto"/>
      </w:divBdr>
    </w:div>
    <w:div w:id="1384672583">
      <w:bodyDiv w:val="1"/>
      <w:marLeft w:val="0"/>
      <w:marRight w:val="0"/>
      <w:marTop w:val="0"/>
      <w:marBottom w:val="0"/>
      <w:divBdr>
        <w:top w:val="none" w:sz="0" w:space="0" w:color="auto"/>
        <w:left w:val="none" w:sz="0" w:space="0" w:color="auto"/>
        <w:bottom w:val="none" w:sz="0" w:space="0" w:color="auto"/>
        <w:right w:val="none" w:sz="0" w:space="0" w:color="auto"/>
      </w:divBdr>
    </w:div>
    <w:div w:id="1385103798">
      <w:bodyDiv w:val="1"/>
      <w:marLeft w:val="0"/>
      <w:marRight w:val="0"/>
      <w:marTop w:val="0"/>
      <w:marBottom w:val="0"/>
      <w:divBdr>
        <w:top w:val="none" w:sz="0" w:space="0" w:color="auto"/>
        <w:left w:val="none" w:sz="0" w:space="0" w:color="auto"/>
        <w:bottom w:val="none" w:sz="0" w:space="0" w:color="auto"/>
        <w:right w:val="none" w:sz="0" w:space="0" w:color="auto"/>
      </w:divBdr>
    </w:div>
    <w:div w:id="1385375205">
      <w:bodyDiv w:val="1"/>
      <w:marLeft w:val="0"/>
      <w:marRight w:val="0"/>
      <w:marTop w:val="0"/>
      <w:marBottom w:val="0"/>
      <w:divBdr>
        <w:top w:val="none" w:sz="0" w:space="0" w:color="auto"/>
        <w:left w:val="none" w:sz="0" w:space="0" w:color="auto"/>
        <w:bottom w:val="none" w:sz="0" w:space="0" w:color="auto"/>
        <w:right w:val="none" w:sz="0" w:space="0" w:color="auto"/>
      </w:divBdr>
    </w:div>
    <w:div w:id="1385376388">
      <w:bodyDiv w:val="1"/>
      <w:marLeft w:val="0"/>
      <w:marRight w:val="0"/>
      <w:marTop w:val="0"/>
      <w:marBottom w:val="0"/>
      <w:divBdr>
        <w:top w:val="none" w:sz="0" w:space="0" w:color="auto"/>
        <w:left w:val="none" w:sz="0" w:space="0" w:color="auto"/>
        <w:bottom w:val="none" w:sz="0" w:space="0" w:color="auto"/>
        <w:right w:val="none" w:sz="0" w:space="0" w:color="auto"/>
      </w:divBdr>
    </w:div>
    <w:div w:id="1385762436">
      <w:bodyDiv w:val="1"/>
      <w:marLeft w:val="0"/>
      <w:marRight w:val="0"/>
      <w:marTop w:val="0"/>
      <w:marBottom w:val="0"/>
      <w:divBdr>
        <w:top w:val="none" w:sz="0" w:space="0" w:color="auto"/>
        <w:left w:val="none" w:sz="0" w:space="0" w:color="auto"/>
        <w:bottom w:val="none" w:sz="0" w:space="0" w:color="auto"/>
        <w:right w:val="none" w:sz="0" w:space="0" w:color="auto"/>
      </w:divBdr>
    </w:div>
    <w:div w:id="1386218944">
      <w:bodyDiv w:val="1"/>
      <w:marLeft w:val="0"/>
      <w:marRight w:val="0"/>
      <w:marTop w:val="0"/>
      <w:marBottom w:val="0"/>
      <w:divBdr>
        <w:top w:val="none" w:sz="0" w:space="0" w:color="auto"/>
        <w:left w:val="none" w:sz="0" w:space="0" w:color="auto"/>
        <w:bottom w:val="none" w:sz="0" w:space="0" w:color="auto"/>
        <w:right w:val="none" w:sz="0" w:space="0" w:color="auto"/>
      </w:divBdr>
    </w:div>
    <w:div w:id="1386611414">
      <w:bodyDiv w:val="1"/>
      <w:marLeft w:val="0"/>
      <w:marRight w:val="0"/>
      <w:marTop w:val="0"/>
      <w:marBottom w:val="0"/>
      <w:divBdr>
        <w:top w:val="none" w:sz="0" w:space="0" w:color="auto"/>
        <w:left w:val="none" w:sz="0" w:space="0" w:color="auto"/>
        <w:bottom w:val="none" w:sz="0" w:space="0" w:color="auto"/>
        <w:right w:val="none" w:sz="0" w:space="0" w:color="auto"/>
      </w:divBdr>
    </w:div>
    <w:div w:id="1386683948">
      <w:bodyDiv w:val="1"/>
      <w:marLeft w:val="0"/>
      <w:marRight w:val="0"/>
      <w:marTop w:val="0"/>
      <w:marBottom w:val="0"/>
      <w:divBdr>
        <w:top w:val="none" w:sz="0" w:space="0" w:color="auto"/>
        <w:left w:val="none" w:sz="0" w:space="0" w:color="auto"/>
        <w:bottom w:val="none" w:sz="0" w:space="0" w:color="auto"/>
        <w:right w:val="none" w:sz="0" w:space="0" w:color="auto"/>
      </w:divBdr>
    </w:div>
    <w:div w:id="1387219613">
      <w:bodyDiv w:val="1"/>
      <w:marLeft w:val="0"/>
      <w:marRight w:val="0"/>
      <w:marTop w:val="0"/>
      <w:marBottom w:val="0"/>
      <w:divBdr>
        <w:top w:val="none" w:sz="0" w:space="0" w:color="auto"/>
        <w:left w:val="none" w:sz="0" w:space="0" w:color="auto"/>
        <w:bottom w:val="none" w:sz="0" w:space="0" w:color="auto"/>
        <w:right w:val="none" w:sz="0" w:space="0" w:color="auto"/>
      </w:divBdr>
    </w:div>
    <w:div w:id="1387297442">
      <w:bodyDiv w:val="1"/>
      <w:marLeft w:val="0"/>
      <w:marRight w:val="0"/>
      <w:marTop w:val="0"/>
      <w:marBottom w:val="0"/>
      <w:divBdr>
        <w:top w:val="none" w:sz="0" w:space="0" w:color="auto"/>
        <w:left w:val="none" w:sz="0" w:space="0" w:color="auto"/>
        <w:bottom w:val="none" w:sz="0" w:space="0" w:color="auto"/>
        <w:right w:val="none" w:sz="0" w:space="0" w:color="auto"/>
      </w:divBdr>
    </w:div>
    <w:div w:id="1387534040">
      <w:bodyDiv w:val="1"/>
      <w:marLeft w:val="0"/>
      <w:marRight w:val="0"/>
      <w:marTop w:val="0"/>
      <w:marBottom w:val="0"/>
      <w:divBdr>
        <w:top w:val="none" w:sz="0" w:space="0" w:color="auto"/>
        <w:left w:val="none" w:sz="0" w:space="0" w:color="auto"/>
        <w:bottom w:val="none" w:sz="0" w:space="0" w:color="auto"/>
        <w:right w:val="none" w:sz="0" w:space="0" w:color="auto"/>
      </w:divBdr>
    </w:div>
    <w:div w:id="1387678356">
      <w:bodyDiv w:val="1"/>
      <w:marLeft w:val="0"/>
      <w:marRight w:val="0"/>
      <w:marTop w:val="0"/>
      <w:marBottom w:val="0"/>
      <w:divBdr>
        <w:top w:val="none" w:sz="0" w:space="0" w:color="auto"/>
        <w:left w:val="none" w:sz="0" w:space="0" w:color="auto"/>
        <w:bottom w:val="none" w:sz="0" w:space="0" w:color="auto"/>
        <w:right w:val="none" w:sz="0" w:space="0" w:color="auto"/>
      </w:divBdr>
    </w:div>
    <w:div w:id="1387757131">
      <w:bodyDiv w:val="1"/>
      <w:marLeft w:val="0"/>
      <w:marRight w:val="0"/>
      <w:marTop w:val="0"/>
      <w:marBottom w:val="0"/>
      <w:divBdr>
        <w:top w:val="none" w:sz="0" w:space="0" w:color="auto"/>
        <w:left w:val="none" w:sz="0" w:space="0" w:color="auto"/>
        <w:bottom w:val="none" w:sz="0" w:space="0" w:color="auto"/>
        <w:right w:val="none" w:sz="0" w:space="0" w:color="auto"/>
      </w:divBdr>
    </w:div>
    <w:div w:id="1388147522">
      <w:bodyDiv w:val="1"/>
      <w:marLeft w:val="0"/>
      <w:marRight w:val="0"/>
      <w:marTop w:val="0"/>
      <w:marBottom w:val="0"/>
      <w:divBdr>
        <w:top w:val="none" w:sz="0" w:space="0" w:color="auto"/>
        <w:left w:val="none" w:sz="0" w:space="0" w:color="auto"/>
        <w:bottom w:val="none" w:sz="0" w:space="0" w:color="auto"/>
        <w:right w:val="none" w:sz="0" w:space="0" w:color="auto"/>
      </w:divBdr>
    </w:div>
    <w:div w:id="1388190263">
      <w:bodyDiv w:val="1"/>
      <w:marLeft w:val="0"/>
      <w:marRight w:val="0"/>
      <w:marTop w:val="0"/>
      <w:marBottom w:val="0"/>
      <w:divBdr>
        <w:top w:val="none" w:sz="0" w:space="0" w:color="auto"/>
        <w:left w:val="none" w:sz="0" w:space="0" w:color="auto"/>
        <w:bottom w:val="none" w:sz="0" w:space="0" w:color="auto"/>
        <w:right w:val="none" w:sz="0" w:space="0" w:color="auto"/>
      </w:divBdr>
    </w:div>
    <w:div w:id="1388337811">
      <w:bodyDiv w:val="1"/>
      <w:marLeft w:val="0"/>
      <w:marRight w:val="0"/>
      <w:marTop w:val="0"/>
      <w:marBottom w:val="0"/>
      <w:divBdr>
        <w:top w:val="none" w:sz="0" w:space="0" w:color="auto"/>
        <w:left w:val="none" w:sz="0" w:space="0" w:color="auto"/>
        <w:bottom w:val="none" w:sz="0" w:space="0" w:color="auto"/>
        <w:right w:val="none" w:sz="0" w:space="0" w:color="auto"/>
      </w:divBdr>
    </w:div>
    <w:div w:id="1388380879">
      <w:bodyDiv w:val="1"/>
      <w:marLeft w:val="0"/>
      <w:marRight w:val="0"/>
      <w:marTop w:val="0"/>
      <w:marBottom w:val="0"/>
      <w:divBdr>
        <w:top w:val="none" w:sz="0" w:space="0" w:color="auto"/>
        <w:left w:val="none" w:sz="0" w:space="0" w:color="auto"/>
        <w:bottom w:val="none" w:sz="0" w:space="0" w:color="auto"/>
        <w:right w:val="none" w:sz="0" w:space="0" w:color="auto"/>
      </w:divBdr>
    </w:div>
    <w:div w:id="1388408792">
      <w:bodyDiv w:val="1"/>
      <w:marLeft w:val="0"/>
      <w:marRight w:val="0"/>
      <w:marTop w:val="0"/>
      <w:marBottom w:val="0"/>
      <w:divBdr>
        <w:top w:val="none" w:sz="0" w:space="0" w:color="auto"/>
        <w:left w:val="none" w:sz="0" w:space="0" w:color="auto"/>
        <w:bottom w:val="none" w:sz="0" w:space="0" w:color="auto"/>
        <w:right w:val="none" w:sz="0" w:space="0" w:color="auto"/>
      </w:divBdr>
    </w:div>
    <w:div w:id="1388453214">
      <w:bodyDiv w:val="1"/>
      <w:marLeft w:val="0"/>
      <w:marRight w:val="0"/>
      <w:marTop w:val="0"/>
      <w:marBottom w:val="0"/>
      <w:divBdr>
        <w:top w:val="none" w:sz="0" w:space="0" w:color="auto"/>
        <w:left w:val="none" w:sz="0" w:space="0" w:color="auto"/>
        <w:bottom w:val="none" w:sz="0" w:space="0" w:color="auto"/>
        <w:right w:val="none" w:sz="0" w:space="0" w:color="auto"/>
      </w:divBdr>
    </w:div>
    <w:div w:id="1388526174">
      <w:bodyDiv w:val="1"/>
      <w:marLeft w:val="0"/>
      <w:marRight w:val="0"/>
      <w:marTop w:val="0"/>
      <w:marBottom w:val="0"/>
      <w:divBdr>
        <w:top w:val="none" w:sz="0" w:space="0" w:color="auto"/>
        <w:left w:val="none" w:sz="0" w:space="0" w:color="auto"/>
        <w:bottom w:val="none" w:sz="0" w:space="0" w:color="auto"/>
        <w:right w:val="none" w:sz="0" w:space="0" w:color="auto"/>
      </w:divBdr>
    </w:div>
    <w:div w:id="1388919406">
      <w:bodyDiv w:val="1"/>
      <w:marLeft w:val="0"/>
      <w:marRight w:val="0"/>
      <w:marTop w:val="0"/>
      <w:marBottom w:val="0"/>
      <w:divBdr>
        <w:top w:val="none" w:sz="0" w:space="0" w:color="auto"/>
        <w:left w:val="none" w:sz="0" w:space="0" w:color="auto"/>
        <w:bottom w:val="none" w:sz="0" w:space="0" w:color="auto"/>
        <w:right w:val="none" w:sz="0" w:space="0" w:color="auto"/>
      </w:divBdr>
    </w:div>
    <w:div w:id="1389383493">
      <w:bodyDiv w:val="1"/>
      <w:marLeft w:val="0"/>
      <w:marRight w:val="0"/>
      <w:marTop w:val="0"/>
      <w:marBottom w:val="0"/>
      <w:divBdr>
        <w:top w:val="none" w:sz="0" w:space="0" w:color="auto"/>
        <w:left w:val="none" w:sz="0" w:space="0" w:color="auto"/>
        <w:bottom w:val="none" w:sz="0" w:space="0" w:color="auto"/>
        <w:right w:val="none" w:sz="0" w:space="0" w:color="auto"/>
      </w:divBdr>
    </w:div>
    <w:div w:id="1390153505">
      <w:bodyDiv w:val="1"/>
      <w:marLeft w:val="0"/>
      <w:marRight w:val="0"/>
      <w:marTop w:val="0"/>
      <w:marBottom w:val="0"/>
      <w:divBdr>
        <w:top w:val="none" w:sz="0" w:space="0" w:color="auto"/>
        <w:left w:val="none" w:sz="0" w:space="0" w:color="auto"/>
        <w:bottom w:val="none" w:sz="0" w:space="0" w:color="auto"/>
        <w:right w:val="none" w:sz="0" w:space="0" w:color="auto"/>
      </w:divBdr>
    </w:div>
    <w:div w:id="1390765240">
      <w:bodyDiv w:val="1"/>
      <w:marLeft w:val="0"/>
      <w:marRight w:val="0"/>
      <w:marTop w:val="0"/>
      <w:marBottom w:val="0"/>
      <w:divBdr>
        <w:top w:val="none" w:sz="0" w:space="0" w:color="auto"/>
        <w:left w:val="none" w:sz="0" w:space="0" w:color="auto"/>
        <w:bottom w:val="none" w:sz="0" w:space="0" w:color="auto"/>
        <w:right w:val="none" w:sz="0" w:space="0" w:color="auto"/>
      </w:divBdr>
    </w:div>
    <w:div w:id="1390879793">
      <w:bodyDiv w:val="1"/>
      <w:marLeft w:val="0"/>
      <w:marRight w:val="0"/>
      <w:marTop w:val="0"/>
      <w:marBottom w:val="0"/>
      <w:divBdr>
        <w:top w:val="none" w:sz="0" w:space="0" w:color="auto"/>
        <w:left w:val="none" w:sz="0" w:space="0" w:color="auto"/>
        <w:bottom w:val="none" w:sz="0" w:space="0" w:color="auto"/>
        <w:right w:val="none" w:sz="0" w:space="0" w:color="auto"/>
      </w:divBdr>
    </w:div>
    <w:div w:id="1390954050">
      <w:bodyDiv w:val="1"/>
      <w:marLeft w:val="0"/>
      <w:marRight w:val="0"/>
      <w:marTop w:val="0"/>
      <w:marBottom w:val="0"/>
      <w:divBdr>
        <w:top w:val="none" w:sz="0" w:space="0" w:color="auto"/>
        <w:left w:val="none" w:sz="0" w:space="0" w:color="auto"/>
        <w:bottom w:val="none" w:sz="0" w:space="0" w:color="auto"/>
        <w:right w:val="none" w:sz="0" w:space="0" w:color="auto"/>
      </w:divBdr>
    </w:div>
    <w:div w:id="1391073700">
      <w:bodyDiv w:val="1"/>
      <w:marLeft w:val="0"/>
      <w:marRight w:val="0"/>
      <w:marTop w:val="0"/>
      <w:marBottom w:val="0"/>
      <w:divBdr>
        <w:top w:val="none" w:sz="0" w:space="0" w:color="auto"/>
        <w:left w:val="none" w:sz="0" w:space="0" w:color="auto"/>
        <w:bottom w:val="none" w:sz="0" w:space="0" w:color="auto"/>
        <w:right w:val="none" w:sz="0" w:space="0" w:color="auto"/>
      </w:divBdr>
    </w:div>
    <w:div w:id="1391685901">
      <w:bodyDiv w:val="1"/>
      <w:marLeft w:val="0"/>
      <w:marRight w:val="0"/>
      <w:marTop w:val="0"/>
      <w:marBottom w:val="0"/>
      <w:divBdr>
        <w:top w:val="none" w:sz="0" w:space="0" w:color="auto"/>
        <w:left w:val="none" w:sz="0" w:space="0" w:color="auto"/>
        <w:bottom w:val="none" w:sz="0" w:space="0" w:color="auto"/>
        <w:right w:val="none" w:sz="0" w:space="0" w:color="auto"/>
      </w:divBdr>
    </w:div>
    <w:div w:id="1392389908">
      <w:bodyDiv w:val="1"/>
      <w:marLeft w:val="0"/>
      <w:marRight w:val="0"/>
      <w:marTop w:val="0"/>
      <w:marBottom w:val="0"/>
      <w:divBdr>
        <w:top w:val="none" w:sz="0" w:space="0" w:color="auto"/>
        <w:left w:val="none" w:sz="0" w:space="0" w:color="auto"/>
        <w:bottom w:val="none" w:sz="0" w:space="0" w:color="auto"/>
        <w:right w:val="none" w:sz="0" w:space="0" w:color="auto"/>
      </w:divBdr>
    </w:div>
    <w:div w:id="1392539965">
      <w:bodyDiv w:val="1"/>
      <w:marLeft w:val="0"/>
      <w:marRight w:val="0"/>
      <w:marTop w:val="0"/>
      <w:marBottom w:val="0"/>
      <w:divBdr>
        <w:top w:val="none" w:sz="0" w:space="0" w:color="auto"/>
        <w:left w:val="none" w:sz="0" w:space="0" w:color="auto"/>
        <w:bottom w:val="none" w:sz="0" w:space="0" w:color="auto"/>
        <w:right w:val="none" w:sz="0" w:space="0" w:color="auto"/>
      </w:divBdr>
    </w:div>
    <w:div w:id="1392726044">
      <w:bodyDiv w:val="1"/>
      <w:marLeft w:val="0"/>
      <w:marRight w:val="0"/>
      <w:marTop w:val="0"/>
      <w:marBottom w:val="0"/>
      <w:divBdr>
        <w:top w:val="none" w:sz="0" w:space="0" w:color="auto"/>
        <w:left w:val="none" w:sz="0" w:space="0" w:color="auto"/>
        <w:bottom w:val="none" w:sz="0" w:space="0" w:color="auto"/>
        <w:right w:val="none" w:sz="0" w:space="0" w:color="auto"/>
      </w:divBdr>
    </w:div>
    <w:div w:id="1392777217">
      <w:bodyDiv w:val="1"/>
      <w:marLeft w:val="0"/>
      <w:marRight w:val="0"/>
      <w:marTop w:val="0"/>
      <w:marBottom w:val="0"/>
      <w:divBdr>
        <w:top w:val="none" w:sz="0" w:space="0" w:color="auto"/>
        <w:left w:val="none" w:sz="0" w:space="0" w:color="auto"/>
        <w:bottom w:val="none" w:sz="0" w:space="0" w:color="auto"/>
        <w:right w:val="none" w:sz="0" w:space="0" w:color="auto"/>
      </w:divBdr>
    </w:div>
    <w:div w:id="1392802864">
      <w:bodyDiv w:val="1"/>
      <w:marLeft w:val="0"/>
      <w:marRight w:val="0"/>
      <w:marTop w:val="0"/>
      <w:marBottom w:val="0"/>
      <w:divBdr>
        <w:top w:val="none" w:sz="0" w:space="0" w:color="auto"/>
        <w:left w:val="none" w:sz="0" w:space="0" w:color="auto"/>
        <w:bottom w:val="none" w:sz="0" w:space="0" w:color="auto"/>
        <w:right w:val="none" w:sz="0" w:space="0" w:color="auto"/>
      </w:divBdr>
    </w:div>
    <w:div w:id="1393112368">
      <w:bodyDiv w:val="1"/>
      <w:marLeft w:val="0"/>
      <w:marRight w:val="0"/>
      <w:marTop w:val="0"/>
      <w:marBottom w:val="0"/>
      <w:divBdr>
        <w:top w:val="none" w:sz="0" w:space="0" w:color="auto"/>
        <w:left w:val="none" w:sz="0" w:space="0" w:color="auto"/>
        <w:bottom w:val="none" w:sz="0" w:space="0" w:color="auto"/>
        <w:right w:val="none" w:sz="0" w:space="0" w:color="auto"/>
      </w:divBdr>
    </w:div>
    <w:div w:id="1393116951">
      <w:bodyDiv w:val="1"/>
      <w:marLeft w:val="0"/>
      <w:marRight w:val="0"/>
      <w:marTop w:val="0"/>
      <w:marBottom w:val="0"/>
      <w:divBdr>
        <w:top w:val="none" w:sz="0" w:space="0" w:color="auto"/>
        <w:left w:val="none" w:sz="0" w:space="0" w:color="auto"/>
        <w:bottom w:val="none" w:sz="0" w:space="0" w:color="auto"/>
        <w:right w:val="none" w:sz="0" w:space="0" w:color="auto"/>
      </w:divBdr>
    </w:div>
    <w:div w:id="1393121039">
      <w:bodyDiv w:val="1"/>
      <w:marLeft w:val="0"/>
      <w:marRight w:val="0"/>
      <w:marTop w:val="0"/>
      <w:marBottom w:val="0"/>
      <w:divBdr>
        <w:top w:val="none" w:sz="0" w:space="0" w:color="auto"/>
        <w:left w:val="none" w:sz="0" w:space="0" w:color="auto"/>
        <w:bottom w:val="none" w:sz="0" w:space="0" w:color="auto"/>
        <w:right w:val="none" w:sz="0" w:space="0" w:color="auto"/>
      </w:divBdr>
    </w:div>
    <w:div w:id="1393233375">
      <w:bodyDiv w:val="1"/>
      <w:marLeft w:val="0"/>
      <w:marRight w:val="0"/>
      <w:marTop w:val="0"/>
      <w:marBottom w:val="0"/>
      <w:divBdr>
        <w:top w:val="none" w:sz="0" w:space="0" w:color="auto"/>
        <w:left w:val="none" w:sz="0" w:space="0" w:color="auto"/>
        <w:bottom w:val="none" w:sz="0" w:space="0" w:color="auto"/>
        <w:right w:val="none" w:sz="0" w:space="0" w:color="auto"/>
      </w:divBdr>
    </w:div>
    <w:div w:id="1393235817">
      <w:bodyDiv w:val="1"/>
      <w:marLeft w:val="0"/>
      <w:marRight w:val="0"/>
      <w:marTop w:val="0"/>
      <w:marBottom w:val="0"/>
      <w:divBdr>
        <w:top w:val="none" w:sz="0" w:space="0" w:color="auto"/>
        <w:left w:val="none" w:sz="0" w:space="0" w:color="auto"/>
        <w:bottom w:val="none" w:sz="0" w:space="0" w:color="auto"/>
        <w:right w:val="none" w:sz="0" w:space="0" w:color="auto"/>
      </w:divBdr>
    </w:div>
    <w:div w:id="1393574488">
      <w:bodyDiv w:val="1"/>
      <w:marLeft w:val="0"/>
      <w:marRight w:val="0"/>
      <w:marTop w:val="0"/>
      <w:marBottom w:val="0"/>
      <w:divBdr>
        <w:top w:val="none" w:sz="0" w:space="0" w:color="auto"/>
        <w:left w:val="none" w:sz="0" w:space="0" w:color="auto"/>
        <w:bottom w:val="none" w:sz="0" w:space="0" w:color="auto"/>
        <w:right w:val="none" w:sz="0" w:space="0" w:color="auto"/>
      </w:divBdr>
    </w:div>
    <w:div w:id="1394767085">
      <w:bodyDiv w:val="1"/>
      <w:marLeft w:val="0"/>
      <w:marRight w:val="0"/>
      <w:marTop w:val="0"/>
      <w:marBottom w:val="0"/>
      <w:divBdr>
        <w:top w:val="none" w:sz="0" w:space="0" w:color="auto"/>
        <w:left w:val="none" w:sz="0" w:space="0" w:color="auto"/>
        <w:bottom w:val="none" w:sz="0" w:space="0" w:color="auto"/>
        <w:right w:val="none" w:sz="0" w:space="0" w:color="auto"/>
      </w:divBdr>
    </w:div>
    <w:div w:id="1394815952">
      <w:bodyDiv w:val="1"/>
      <w:marLeft w:val="0"/>
      <w:marRight w:val="0"/>
      <w:marTop w:val="0"/>
      <w:marBottom w:val="0"/>
      <w:divBdr>
        <w:top w:val="none" w:sz="0" w:space="0" w:color="auto"/>
        <w:left w:val="none" w:sz="0" w:space="0" w:color="auto"/>
        <w:bottom w:val="none" w:sz="0" w:space="0" w:color="auto"/>
        <w:right w:val="none" w:sz="0" w:space="0" w:color="auto"/>
      </w:divBdr>
    </w:div>
    <w:div w:id="1394892971">
      <w:bodyDiv w:val="1"/>
      <w:marLeft w:val="0"/>
      <w:marRight w:val="0"/>
      <w:marTop w:val="0"/>
      <w:marBottom w:val="0"/>
      <w:divBdr>
        <w:top w:val="none" w:sz="0" w:space="0" w:color="auto"/>
        <w:left w:val="none" w:sz="0" w:space="0" w:color="auto"/>
        <w:bottom w:val="none" w:sz="0" w:space="0" w:color="auto"/>
        <w:right w:val="none" w:sz="0" w:space="0" w:color="auto"/>
      </w:divBdr>
    </w:div>
    <w:div w:id="1395617526">
      <w:bodyDiv w:val="1"/>
      <w:marLeft w:val="0"/>
      <w:marRight w:val="0"/>
      <w:marTop w:val="0"/>
      <w:marBottom w:val="0"/>
      <w:divBdr>
        <w:top w:val="none" w:sz="0" w:space="0" w:color="auto"/>
        <w:left w:val="none" w:sz="0" w:space="0" w:color="auto"/>
        <w:bottom w:val="none" w:sz="0" w:space="0" w:color="auto"/>
        <w:right w:val="none" w:sz="0" w:space="0" w:color="auto"/>
      </w:divBdr>
    </w:div>
    <w:div w:id="1395621281">
      <w:bodyDiv w:val="1"/>
      <w:marLeft w:val="0"/>
      <w:marRight w:val="0"/>
      <w:marTop w:val="0"/>
      <w:marBottom w:val="0"/>
      <w:divBdr>
        <w:top w:val="none" w:sz="0" w:space="0" w:color="auto"/>
        <w:left w:val="none" w:sz="0" w:space="0" w:color="auto"/>
        <w:bottom w:val="none" w:sz="0" w:space="0" w:color="auto"/>
        <w:right w:val="none" w:sz="0" w:space="0" w:color="auto"/>
      </w:divBdr>
    </w:div>
    <w:div w:id="1395811809">
      <w:bodyDiv w:val="1"/>
      <w:marLeft w:val="0"/>
      <w:marRight w:val="0"/>
      <w:marTop w:val="0"/>
      <w:marBottom w:val="0"/>
      <w:divBdr>
        <w:top w:val="none" w:sz="0" w:space="0" w:color="auto"/>
        <w:left w:val="none" w:sz="0" w:space="0" w:color="auto"/>
        <w:bottom w:val="none" w:sz="0" w:space="0" w:color="auto"/>
        <w:right w:val="none" w:sz="0" w:space="0" w:color="auto"/>
      </w:divBdr>
    </w:div>
    <w:div w:id="1396511617">
      <w:bodyDiv w:val="1"/>
      <w:marLeft w:val="0"/>
      <w:marRight w:val="0"/>
      <w:marTop w:val="0"/>
      <w:marBottom w:val="0"/>
      <w:divBdr>
        <w:top w:val="none" w:sz="0" w:space="0" w:color="auto"/>
        <w:left w:val="none" w:sz="0" w:space="0" w:color="auto"/>
        <w:bottom w:val="none" w:sz="0" w:space="0" w:color="auto"/>
        <w:right w:val="none" w:sz="0" w:space="0" w:color="auto"/>
      </w:divBdr>
    </w:div>
    <w:div w:id="1397164434">
      <w:bodyDiv w:val="1"/>
      <w:marLeft w:val="0"/>
      <w:marRight w:val="0"/>
      <w:marTop w:val="0"/>
      <w:marBottom w:val="0"/>
      <w:divBdr>
        <w:top w:val="none" w:sz="0" w:space="0" w:color="auto"/>
        <w:left w:val="none" w:sz="0" w:space="0" w:color="auto"/>
        <w:bottom w:val="none" w:sz="0" w:space="0" w:color="auto"/>
        <w:right w:val="none" w:sz="0" w:space="0" w:color="auto"/>
      </w:divBdr>
    </w:div>
    <w:div w:id="1397314084">
      <w:bodyDiv w:val="1"/>
      <w:marLeft w:val="0"/>
      <w:marRight w:val="0"/>
      <w:marTop w:val="0"/>
      <w:marBottom w:val="0"/>
      <w:divBdr>
        <w:top w:val="none" w:sz="0" w:space="0" w:color="auto"/>
        <w:left w:val="none" w:sz="0" w:space="0" w:color="auto"/>
        <w:bottom w:val="none" w:sz="0" w:space="0" w:color="auto"/>
        <w:right w:val="none" w:sz="0" w:space="0" w:color="auto"/>
      </w:divBdr>
    </w:div>
    <w:div w:id="1397388104">
      <w:bodyDiv w:val="1"/>
      <w:marLeft w:val="0"/>
      <w:marRight w:val="0"/>
      <w:marTop w:val="0"/>
      <w:marBottom w:val="0"/>
      <w:divBdr>
        <w:top w:val="none" w:sz="0" w:space="0" w:color="auto"/>
        <w:left w:val="none" w:sz="0" w:space="0" w:color="auto"/>
        <w:bottom w:val="none" w:sz="0" w:space="0" w:color="auto"/>
        <w:right w:val="none" w:sz="0" w:space="0" w:color="auto"/>
      </w:divBdr>
    </w:div>
    <w:div w:id="1397625851">
      <w:bodyDiv w:val="1"/>
      <w:marLeft w:val="0"/>
      <w:marRight w:val="0"/>
      <w:marTop w:val="0"/>
      <w:marBottom w:val="0"/>
      <w:divBdr>
        <w:top w:val="none" w:sz="0" w:space="0" w:color="auto"/>
        <w:left w:val="none" w:sz="0" w:space="0" w:color="auto"/>
        <w:bottom w:val="none" w:sz="0" w:space="0" w:color="auto"/>
        <w:right w:val="none" w:sz="0" w:space="0" w:color="auto"/>
      </w:divBdr>
    </w:div>
    <w:div w:id="1397776143">
      <w:bodyDiv w:val="1"/>
      <w:marLeft w:val="0"/>
      <w:marRight w:val="0"/>
      <w:marTop w:val="0"/>
      <w:marBottom w:val="0"/>
      <w:divBdr>
        <w:top w:val="none" w:sz="0" w:space="0" w:color="auto"/>
        <w:left w:val="none" w:sz="0" w:space="0" w:color="auto"/>
        <w:bottom w:val="none" w:sz="0" w:space="0" w:color="auto"/>
        <w:right w:val="none" w:sz="0" w:space="0" w:color="auto"/>
      </w:divBdr>
    </w:div>
    <w:div w:id="1397898829">
      <w:bodyDiv w:val="1"/>
      <w:marLeft w:val="0"/>
      <w:marRight w:val="0"/>
      <w:marTop w:val="0"/>
      <w:marBottom w:val="0"/>
      <w:divBdr>
        <w:top w:val="none" w:sz="0" w:space="0" w:color="auto"/>
        <w:left w:val="none" w:sz="0" w:space="0" w:color="auto"/>
        <w:bottom w:val="none" w:sz="0" w:space="0" w:color="auto"/>
        <w:right w:val="none" w:sz="0" w:space="0" w:color="auto"/>
      </w:divBdr>
    </w:div>
    <w:div w:id="1398090309">
      <w:bodyDiv w:val="1"/>
      <w:marLeft w:val="0"/>
      <w:marRight w:val="0"/>
      <w:marTop w:val="0"/>
      <w:marBottom w:val="0"/>
      <w:divBdr>
        <w:top w:val="none" w:sz="0" w:space="0" w:color="auto"/>
        <w:left w:val="none" w:sz="0" w:space="0" w:color="auto"/>
        <w:bottom w:val="none" w:sz="0" w:space="0" w:color="auto"/>
        <w:right w:val="none" w:sz="0" w:space="0" w:color="auto"/>
      </w:divBdr>
    </w:div>
    <w:div w:id="1398161650">
      <w:bodyDiv w:val="1"/>
      <w:marLeft w:val="0"/>
      <w:marRight w:val="0"/>
      <w:marTop w:val="0"/>
      <w:marBottom w:val="0"/>
      <w:divBdr>
        <w:top w:val="none" w:sz="0" w:space="0" w:color="auto"/>
        <w:left w:val="none" w:sz="0" w:space="0" w:color="auto"/>
        <w:bottom w:val="none" w:sz="0" w:space="0" w:color="auto"/>
        <w:right w:val="none" w:sz="0" w:space="0" w:color="auto"/>
      </w:divBdr>
    </w:div>
    <w:div w:id="1398355641">
      <w:bodyDiv w:val="1"/>
      <w:marLeft w:val="0"/>
      <w:marRight w:val="0"/>
      <w:marTop w:val="0"/>
      <w:marBottom w:val="0"/>
      <w:divBdr>
        <w:top w:val="none" w:sz="0" w:space="0" w:color="auto"/>
        <w:left w:val="none" w:sz="0" w:space="0" w:color="auto"/>
        <w:bottom w:val="none" w:sz="0" w:space="0" w:color="auto"/>
        <w:right w:val="none" w:sz="0" w:space="0" w:color="auto"/>
      </w:divBdr>
      <w:divsChild>
        <w:div w:id="1374231683">
          <w:blockQuote w:val="1"/>
          <w:marLeft w:val="240"/>
          <w:marRight w:val="240"/>
          <w:marTop w:val="332"/>
          <w:marBottom w:val="332"/>
          <w:divBdr>
            <w:top w:val="none" w:sz="0" w:space="0" w:color="auto"/>
            <w:left w:val="none" w:sz="0" w:space="0" w:color="auto"/>
            <w:bottom w:val="none" w:sz="0" w:space="0" w:color="auto"/>
            <w:right w:val="none" w:sz="0" w:space="0" w:color="auto"/>
          </w:divBdr>
        </w:div>
      </w:divsChild>
    </w:div>
    <w:div w:id="1398742107">
      <w:bodyDiv w:val="1"/>
      <w:marLeft w:val="0"/>
      <w:marRight w:val="0"/>
      <w:marTop w:val="0"/>
      <w:marBottom w:val="0"/>
      <w:divBdr>
        <w:top w:val="none" w:sz="0" w:space="0" w:color="auto"/>
        <w:left w:val="none" w:sz="0" w:space="0" w:color="auto"/>
        <w:bottom w:val="none" w:sz="0" w:space="0" w:color="auto"/>
        <w:right w:val="none" w:sz="0" w:space="0" w:color="auto"/>
      </w:divBdr>
    </w:div>
    <w:div w:id="1398942764">
      <w:bodyDiv w:val="1"/>
      <w:marLeft w:val="0"/>
      <w:marRight w:val="0"/>
      <w:marTop w:val="0"/>
      <w:marBottom w:val="0"/>
      <w:divBdr>
        <w:top w:val="none" w:sz="0" w:space="0" w:color="auto"/>
        <w:left w:val="none" w:sz="0" w:space="0" w:color="auto"/>
        <w:bottom w:val="none" w:sz="0" w:space="0" w:color="auto"/>
        <w:right w:val="none" w:sz="0" w:space="0" w:color="auto"/>
      </w:divBdr>
    </w:div>
    <w:div w:id="1399283209">
      <w:bodyDiv w:val="1"/>
      <w:marLeft w:val="0"/>
      <w:marRight w:val="0"/>
      <w:marTop w:val="0"/>
      <w:marBottom w:val="0"/>
      <w:divBdr>
        <w:top w:val="none" w:sz="0" w:space="0" w:color="auto"/>
        <w:left w:val="none" w:sz="0" w:space="0" w:color="auto"/>
        <w:bottom w:val="none" w:sz="0" w:space="0" w:color="auto"/>
        <w:right w:val="none" w:sz="0" w:space="0" w:color="auto"/>
      </w:divBdr>
    </w:div>
    <w:div w:id="1399789713">
      <w:bodyDiv w:val="1"/>
      <w:marLeft w:val="0"/>
      <w:marRight w:val="0"/>
      <w:marTop w:val="0"/>
      <w:marBottom w:val="0"/>
      <w:divBdr>
        <w:top w:val="none" w:sz="0" w:space="0" w:color="auto"/>
        <w:left w:val="none" w:sz="0" w:space="0" w:color="auto"/>
        <w:bottom w:val="none" w:sz="0" w:space="0" w:color="auto"/>
        <w:right w:val="none" w:sz="0" w:space="0" w:color="auto"/>
      </w:divBdr>
    </w:div>
    <w:div w:id="1400054115">
      <w:bodyDiv w:val="1"/>
      <w:marLeft w:val="0"/>
      <w:marRight w:val="0"/>
      <w:marTop w:val="0"/>
      <w:marBottom w:val="0"/>
      <w:divBdr>
        <w:top w:val="none" w:sz="0" w:space="0" w:color="auto"/>
        <w:left w:val="none" w:sz="0" w:space="0" w:color="auto"/>
        <w:bottom w:val="none" w:sz="0" w:space="0" w:color="auto"/>
        <w:right w:val="none" w:sz="0" w:space="0" w:color="auto"/>
      </w:divBdr>
    </w:div>
    <w:div w:id="1400254169">
      <w:bodyDiv w:val="1"/>
      <w:marLeft w:val="0"/>
      <w:marRight w:val="0"/>
      <w:marTop w:val="0"/>
      <w:marBottom w:val="0"/>
      <w:divBdr>
        <w:top w:val="none" w:sz="0" w:space="0" w:color="auto"/>
        <w:left w:val="none" w:sz="0" w:space="0" w:color="auto"/>
        <w:bottom w:val="none" w:sz="0" w:space="0" w:color="auto"/>
        <w:right w:val="none" w:sz="0" w:space="0" w:color="auto"/>
      </w:divBdr>
    </w:div>
    <w:div w:id="1400401678">
      <w:bodyDiv w:val="1"/>
      <w:marLeft w:val="0"/>
      <w:marRight w:val="0"/>
      <w:marTop w:val="0"/>
      <w:marBottom w:val="0"/>
      <w:divBdr>
        <w:top w:val="none" w:sz="0" w:space="0" w:color="auto"/>
        <w:left w:val="none" w:sz="0" w:space="0" w:color="auto"/>
        <w:bottom w:val="none" w:sz="0" w:space="0" w:color="auto"/>
        <w:right w:val="none" w:sz="0" w:space="0" w:color="auto"/>
      </w:divBdr>
    </w:div>
    <w:div w:id="1400440129">
      <w:bodyDiv w:val="1"/>
      <w:marLeft w:val="0"/>
      <w:marRight w:val="0"/>
      <w:marTop w:val="0"/>
      <w:marBottom w:val="0"/>
      <w:divBdr>
        <w:top w:val="none" w:sz="0" w:space="0" w:color="auto"/>
        <w:left w:val="none" w:sz="0" w:space="0" w:color="auto"/>
        <w:bottom w:val="none" w:sz="0" w:space="0" w:color="auto"/>
        <w:right w:val="none" w:sz="0" w:space="0" w:color="auto"/>
      </w:divBdr>
    </w:div>
    <w:div w:id="1400447006">
      <w:bodyDiv w:val="1"/>
      <w:marLeft w:val="0"/>
      <w:marRight w:val="0"/>
      <w:marTop w:val="0"/>
      <w:marBottom w:val="0"/>
      <w:divBdr>
        <w:top w:val="none" w:sz="0" w:space="0" w:color="auto"/>
        <w:left w:val="none" w:sz="0" w:space="0" w:color="auto"/>
        <w:bottom w:val="none" w:sz="0" w:space="0" w:color="auto"/>
        <w:right w:val="none" w:sz="0" w:space="0" w:color="auto"/>
      </w:divBdr>
    </w:div>
    <w:div w:id="1400590063">
      <w:bodyDiv w:val="1"/>
      <w:marLeft w:val="0"/>
      <w:marRight w:val="0"/>
      <w:marTop w:val="0"/>
      <w:marBottom w:val="0"/>
      <w:divBdr>
        <w:top w:val="none" w:sz="0" w:space="0" w:color="auto"/>
        <w:left w:val="none" w:sz="0" w:space="0" w:color="auto"/>
        <w:bottom w:val="none" w:sz="0" w:space="0" w:color="auto"/>
        <w:right w:val="none" w:sz="0" w:space="0" w:color="auto"/>
      </w:divBdr>
    </w:div>
    <w:div w:id="1401246611">
      <w:bodyDiv w:val="1"/>
      <w:marLeft w:val="0"/>
      <w:marRight w:val="0"/>
      <w:marTop w:val="0"/>
      <w:marBottom w:val="0"/>
      <w:divBdr>
        <w:top w:val="none" w:sz="0" w:space="0" w:color="auto"/>
        <w:left w:val="none" w:sz="0" w:space="0" w:color="auto"/>
        <w:bottom w:val="none" w:sz="0" w:space="0" w:color="auto"/>
        <w:right w:val="none" w:sz="0" w:space="0" w:color="auto"/>
      </w:divBdr>
    </w:div>
    <w:div w:id="1401362511">
      <w:bodyDiv w:val="1"/>
      <w:marLeft w:val="0"/>
      <w:marRight w:val="0"/>
      <w:marTop w:val="0"/>
      <w:marBottom w:val="0"/>
      <w:divBdr>
        <w:top w:val="none" w:sz="0" w:space="0" w:color="auto"/>
        <w:left w:val="none" w:sz="0" w:space="0" w:color="auto"/>
        <w:bottom w:val="none" w:sz="0" w:space="0" w:color="auto"/>
        <w:right w:val="none" w:sz="0" w:space="0" w:color="auto"/>
      </w:divBdr>
    </w:div>
    <w:div w:id="1401516675">
      <w:bodyDiv w:val="1"/>
      <w:marLeft w:val="0"/>
      <w:marRight w:val="0"/>
      <w:marTop w:val="0"/>
      <w:marBottom w:val="0"/>
      <w:divBdr>
        <w:top w:val="none" w:sz="0" w:space="0" w:color="auto"/>
        <w:left w:val="none" w:sz="0" w:space="0" w:color="auto"/>
        <w:bottom w:val="none" w:sz="0" w:space="0" w:color="auto"/>
        <w:right w:val="none" w:sz="0" w:space="0" w:color="auto"/>
      </w:divBdr>
    </w:div>
    <w:div w:id="1401634068">
      <w:bodyDiv w:val="1"/>
      <w:marLeft w:val="0"/>
      <w:marRight w:val="0"/>
      <w:marTop w:val="0"/>
      <w:marBottom w:val="0"/>
      <w:divBdr>
        <w:top w:val="none" w:sz="0" w:space="0" w:color="auto"/>
        <w:left w:val="none" w:sz="0" w:space="0" w:color="auto"/>
        <w:bottom w:val="none" w:sz="0" w:space="0" w:color="auto"/>
        <w:right w:val="none" w:sz="0" w:space="0" w:color="auto"/>
      </w:divBdr>
    </w:div>
    <w:div w:id="1401637956">
      <w:bodyDiv w:val="1"/>
      <w:marLeft w:val="0"/>
      <w:marRight w:val="0"/>
      <w:marTop w:val="0"/>
      <w:marBottom w:val="0"/>
      <w:divBdr>
        <w:top w:val="none" w:sz="0" w:space="0" w:color="auto"/>
        <w:left w:val="none" w:sz="0" w:space="0" w:color="auto"/>
        <w:bottom w:val="none" w:sz="0" w:space="0" w:color="auto"/>
        <w:right w:val="none" w:sz="0" w:space="0" w:color="auto"/>
      </w:divBdr>
    </w:div>
    <w:div w:id="1401712187">
      <w:bodyDiv w:val="1"/>
      <w:marLeft w:val="0"/>
      <w:marRight w:val="0"/>
      <w:marTop w:val="0"/>
      <w:marBottom w:val="0"/>
      <w:divBdr>
        <w:top w:val="none" w:sz="0" w:space="0" w:color="auto"/>
        <w:left w:val="none" w:sz="0" w:space="0" w:color="auto"/>
        <w:bottom w:val="none" w:sz="0" w:space="0" w:color="auto"/>
        <w:right w:val="none" w:sz="0" w:space="0" w:color="auto"/>
      </w:divBdr>
    </w:div>
    <w:div w:id="1401715708">
      <w:bodyDiv w:val="1"/>
      <w:marLeft w:val="0"/>
      <w:marRight w:val="0"/>
      <w:marTop w:val="0"/>
      <w:marBottom w:val="0"/>
      <w:divBdr>
        <w:top w:val="none" w:sz="0" w:space="0" w:color="auto"/>
        <w:left w:val="none" w:sz="0" w:space="0" w:color="auto"/>
        <w:bottom w:val="none" w:sz="0" w:space="0" w:color="auto"/>
        <w:right w:val="none" w:sz="0" w:space="0" w:color="auto"/>
      </w:divBdr>
    </w:div>
    <w:div w:id="1401978307">
      <w:bodyDiv w:val="1"/>
      <w:marLeft w:val="0"/>
      <w:marRight w:val="0"/>
      <w:marTop w:val="0"/>
      <w:marBottom w:val="0"/>
      <w:divBdr>
        <w:top w:val="none" w:sz="0" w:space="0" w:color="auto"/>
        <w:left w:val="none" w:sz="0" w:space="0" w:color="auto"/>
        <w:bottom w:val="none" w:sz="0" w:space="0" w:color="auto"/>
        <w:right w:val="none" w:sz="0" w:space="0" w:color="auto"/>
      </w:divBdr>
    </w:div>
    <w:div w:id="1402095399">
      <w:bodyDiv w:val="1"/>
      <w:marLeft w:val="0"/>
      <w:marRight w:val="0"/>
      <w:marTop w:val="0"/>
      <w:marBottom w:val="0"/>
      <w:divBdr>
        <w:top w:val="none" w:sz="0" w:space="0" w:color="auto"/>
        <w:left w:val="none" w:sz="0" w:space="0" w:color="auto"/>
        <w:bottom w:val="none" w:sz="0" w:space="0" w:color="auto"/>
        <w:right w:val="none" w:sz="0" w:space="0" w:color="auto"/>
      </w:divBdr>
    </w:div>
    <w:div w:id="1402406087">
      <w:bodyDiv w:val="1"/>
      <w:marLeft w:val="0"/>
      <w:marRight w:val="0"/>
      <w:marTop w:val="0"/>
      <w:marBottom w:val="0"/>
      <w:divBdr>
        <w:top w:val="none" w:sz="0" w:space="0" w:color="auto"/>
        <w:left w:val="none" w:sz="0" w:space="0" w:color="auto"/>
        <w:bottom w:val="none" w:sz="0" w:space="0" w:color="auto"/>
        <w:right w:val="none" w:sz="0" w:space="0" w:color="auto"/>
      </w:divBdr>
    </w:div>
    <w:div w:id="1402437304">
      <w:bodyDiv w:val="1"/>
      <w:marLeft w:val="0"/>
      <w:marRight w:val="0"/>
      <w:marTop w:val="0"/>
      <w:marBottom w:val="0"/>
      <w:divBdr>
        <w:top w:val="none" w:sz="0" w:space="0" w:color="auto"/>
        <w:left w:val="none" w:sz="0" w:space="0" w:color="auto"/>
        <w:bottom w:val="none" w:sz="0" w:space="0" w:color="auto"/>
        <w:right w:val="none" w:sz="0" w:space="0" w:color="auto"/>
      </w:divBdr>
    </w:div>
    <w:div w:id="1402482924">
      <w:bodyDiv w:val="1"/>
      <w:marLeft w:val="0"/>
      <w:marRight w:val="0"/>
      <w:marTop w:val="0"/>
      <w:marBottom w:val="0"/>
      <w:divBdr>
        <w:top w:val="none" w:sz="0" w:space="0" w:color="auto"/>
        <w:left w:val="none" w:sz="0" w:space="0" w:color="auto"/>
        <w:bottom w:val="none" w:sz="0" w:space="0" w:color="auto"/>
        <w:right w:val="none" w:sz="0" w:space="0" w:color="auto"/>
      </w:divBdr>
    </w:div>
    <w:div w:id="1402485841">
      <w:bodyDiv w:val="1"/>
      <w:marLeft w:val="0"/>
      <w:marRight w:val="0"/>
      <w:marTop w:val="0"/>
      <w:marBottom w:val="0"/>
      <w:divBdr>
        <w:top w:val="none" w:sz="0" w:space="0" w:color="auto"/>
        <w:left w:val="none" w:sz="0" w:space="0" w:color="auto"/>
        <w:bottom w:val="none" w:sz="0" w:space="0" w:color="auto"/>
        <w:right w:val="none" w:sz="0" w:space="0" w:color="auto"/>
      </w:divBdr>
    </w:div>
    <w:div w:id="1402749583">
      <w:bodyDiv w:val="1"/>
      <w:marLeft w:val="0"/>
      <w:marRight w:val="0"/>
      <w:marTop w:val="0"/>
      <w:marBottom w:val="0"/>
      <w:divBdr>
        <w:top w:val="none" w:sz="0" w:space="0" w:color="auto"/>
        <w:left w:val="none" w:sz="0" w:space="0" w:color="auto"/>
        <w:bottom w:val="none" w:sz="0" w:space="0" w:color="auto"/>
        <w:right w:val="none" w:sz="0" w:space="0" w:color="auto"/>
      </w:divBdr>
    </w:div>
    <w:div w:id="1403021809">
      <w:bodyDiv w:val="1"/>
      <w:marLeft w:val="0"/>
      <w:marRight w:val="0"/>
      <w:marTop w:val="0"/>
      <w:marBottom w:val="0"/>
      <w:divBdr>
        <w:top w:val="none" w:sz="0" w:space="0" w:color="auto"/>
        <w:left w:val="none" w:sz="0" w:space="0" w:color="auto"/>
        <w:bottom w:val="none" w:sz="0" w:space="0" w:color="auto"/>
        <w:right w:val="none" w:sz="0" w:space="0" w:color="auto"/>
      </w:divBdr>
    </w:div>
    <w:div w:id="1403211949">
      <w:bodyDiv w:val="1"/>
      <w:marLeft w:val="0"/>
      <w:marRight w:val="0"/>
      <w:marTop w:val="0"/>
      <w:marBottom w:val="0"/>
      <w:divBdr>
        <w:top w:val="none" w:sz="0" w:space="0" w:color="auto"/>
        <w:left w:val="none" w:sz="0" w:space="0" w:color="auto"/>
        <w:bottom w:val="none" w:sz="0" w:space="0" w:color="auto"/>
        <w:right w:val="none" w:sz="0" w:space="0" w:color="auto"/>
      </w:divBdr>
    </w:div>
    <w:div w:id="1403213949">
      <w:bodyDiv w:val="1"/>
      <w:marLeft w:val="0"/>
      <w:marRight w:val="0"/>
      <w:marTop w:val="0"/>
      <w:marBottom w:val="0"/>
      <w:divBdr>
        <w:top w:val="none" w:sz="0" w:space="0" w:color="auto"/>
        <w:left w:val="none" w:sz="0" w:space="0" w:color="auto"/>
        <w:bottom w:val="none" w:sz="0" w:space="0" w:color="auto"/>
        <w:right w:val="none" w:sz="0" w:space="0" w:color="auto"/>
      </w:divBdr>
    </w:div>
    <w:div w:id="1403216017">
      <w:bodyDiv w:val="1"/>
      <w:marLeft w:val="0"/>
      <w:marRight w:val="0"/>
      <w:marTop w:val="0"/>
      <w:marBottom w:val="0"/>
      <w:divBdr>
        <w:top w:val="none" w:sz="0" w:space="0" w:color="auto"/>
        <w:left w:val="none" w:sz="0" w:space="0" w:color="auto"/>
        <w:bottom w:val="none" w:sz="0" w:space="0" w:color="auto"/>
        <w:right w:val="none" w:sz="0" w:space="0" w:color="auto"/>
      </w:divBdr>
    </w:div>
    <w:div w:id="1403288062">
      <w:bodyDiv w:val="1"/>
      <w:marLeft w:val="0"/>
      <w:marRight w:val="0"/>
      <w:marTop w:val="0"/>
      <w:marBottom w:val="0"/>
      <w:divBdr>
        <w:top w:val="none" w:sz="0" w:space="0" w:color="auto"/>
        <w:left w:val="none" w:sz="0" w:space="0" w:color="auto"/>
        <w:bottom w:val="none" w:sz="0" w:space="0" w:color="auto"/>
        <w:right w:val="none" w:sz="0" w:space="0" w:color="auto"/>
      </w:divBdr>
    </w:div>
    <w:div w:id="1403478672">
      <w:bodyDiv w:val="1"/>
      <w:marLeft w:val="0"/>
      <w:marRight w:val="0"/>
      <w:marTop w:val="0"/>
      <w:marBottom w:val="0"/>
      <w:divBdr>
        <w:top w:val="none" w:sz="0" w:space="0" w:color="auto"/>
        <w:left w:val="none" w:sz="0" w:space="0" w:color="auto"/>
        <w:bottom w:val="none" w:sz="0" w:space="0" w:color="auto"/>
        <w:right w:val="none" w:sz="0" w:space="0" w:color="auto"/>
      </w:divBdr>
    </w:div>
    <w:div w:id="1403524823">
      <w:bodyDiv w:val="1"/>
      <w:marLeft w:val="0"/>
      <w:marRight w:val="0"/>
      <w:marTop w:val="0"/>
      <w:marBottom w:val="0"/>
      <w:divBdr>
        <w:top w:val="none" w:sz="0" w:space="0" w:color="auto"/>
        <w:left w:val="none" w:sz="0" w:space="0" w:color="auto"/>
        <w:bottom w:val="none" w:sz="0" w:space="0" w:color="auto"/>
        <w:right w:val="none" w:sz="0" w:space="0" w:color="auto"/>
      </w:divBdr>
    </w:div>
    <w:div w:id="1403792205">
      <w:bodyDiv w:val="1"/>
      <w:marLeft w:val="0"/>
      <w:marRight w:val="0"/>
      <w:marTop w:val="0"/>
      <w:marBottom w:val="0"/>
      <w:divBdr>
        <w:top w:val="none" w:sz="0" w:space="0" w:color="auto"/>
        <w:left w:val="none" w:sz="0" w:space="0" w:color="auto"/>
        <w:bottom w:val="none" w:sz="0" w:space="0" w:color="auto"/>
        <w:right w:val="none" w:sz="0" w:space="0" w:color="auto"/>
      </w:divBdr>
    </w:div>
    <w:div w:id="1403941248">
      <w:bodyDiv w:val="1"/>
      <w:marLeft w:val="0"/>
      <w:marRight w:val="0"/>
      <w:marTop w:val="0"/>
      <w:marBottom w:val="0"/>
      <w:divBdr>
        <w:top w:val="none" w:sz="0" w:space="0" w:color="auto"/>
        <w:left w:val="none" w:sz="0" w:space="0" w:color="auto"/>
        <w:bottom w:val="none" w:sz="0" w:space="0" w:color="auto"/>
        <w:right w:val="none" w:sz="0" w:space="0" w:color="auto"/>
      </w:divBdr>
    </w:div>
    <w:div w:id="1404065073">
      <w:bodyDiv w:val="1"/>
      <w:marLeft w:val="0"/>
      <w:marRight w:val="0"/>
      <w:marTop w:val="0"/>
      <w:marBottom w:val="0"/>
      <w:divBdr>
        <w:top w:val="none" w:sz="0" w:space="0" w:color="auto"/>
        <w:left w:val="none" w:sz="0" w:space="0" w:color="auto"/>
        <w:bottom w:val="none" w:sz="0" w:space="0" w:color="auto"/>
        <w:right w:val="none" w:sz="0" w:space="0" w:color="auto"/>
      </w:divBdr>
    </w:div>
    <w:div w:id="1405033801">
      <w:bodyDiv w:val="1"/>
      <w:marLeft w:val="0"/>
      <w:marRight w:val="0"/>
      <w:marTop w:val="0"/>
      <w:marBottom w:val="0"/>
      <w:divBdr>
        <w:top w:val="none" w:sz="0" w:space="0" w:color="auto"/>
        <w:left w:val="none" w:sz="0" w:space="0" w:color="auto"/>
        <w:bottom w:val="none" w:sz="0" w:space="0" w:color="auto"/>
        <w:right w:val="none" w:sz="0" w:space="0" w:color="auto"/>
      </w:divBdr>
    </w:div>
    <w:div w:id="1405255174">
      <w:bodyDiv w:val="1"/>
      <w:marLeft w:val="0"/>
      <w:marRight w:val="0"/>
      <w:marTop w:val="0"/>
      <w:marBottom w:val="0"/>
      <w:divBdr>
        <w:top w:val="none" w:sz="0" w:space="0" w:color="auto"/>
        <w:left w:val="none" w:sz="0" w:space="0" w:color="auto"/>
        <w:bottom w:val="none" w:sz="0" w:space="0" w:color="auto"/>
        <w:right w:val="none" w:sz="0" w:space="0" w:color="auto"/>
      </w:divBdr>
    </w:div>
    <w:div w:id="1405494323">
      <w:bodyDiv w:val="1"/>
      <w:marLeft w:val="0"/>
      <w:marRight w:val="0"/>
      <w:marTop w:val="0"/>
      <w:marBottom w:val="0"/>
      <w:divBdr>
        <w:top w:val="none" w:sz="0" w:space="0" w:color="auto"/>
        <w:left w:val="none" w:sz="0" w:space="0" w:color="auto"/>
        <w:bottom w:val="none" w:sz="0" w:space="0" w:color="auto"/>
        <w:right w:val="none" w:sz="0" w:space="0" w:color="auto"/>
      </w:divBdr>
    </w:div>
    <w:div w:id="1405761835">
      <w:bodyDiv w:val="1"/>
      <w:marLeft w:val="0"/>
      <w:marRight w:val="0"/>
      <w:marTop w:val="0"/>
      <w:marBottom w:val="0"/>
      <w:divBdr>
        <w:top w:val="none" w:sz="0" w:space="0" w:color="auto"/>
        <w:left w:val="none" w:sz="0" w:space="0" w:color="auto"/>
        <w:bottom w:val="none" w:sz="0" w:space="0" w:color="auto"/>
        <w:right w:val="none" w:sz="0" w:space="0" w:color="auto"/>
      </w:divBdr>
    </w:div>
    <w:div w:id="1406029819">
      <w:bodyDiv w:val="1"/>
      <w:marLeft w:val="0"/>
      <w:marRight w:val="0"/>
      <w:marTop w:val="0"/>
      <w:marBottom w:val="0"/>
      <w:divBdr>
        <w:top w:val="none" w:sz="0" w:space="0" w:color="auto"/>
        <w:left w:val="none" w:sz="0" w:space="0" w:color="auto"/>
        <w:bottom w:val="none" w:sz="0" w:space="0" w:color="auto"/>
        <w:right w:val="none" w:sz="0" w:space="0" w:color="auto"/>
      </w:divBdr>
    </w:div>
    <w:div w:id="1406300576">
      <w:bodyDiv w:val="1"/>
      <w:marLeft w:val="0"/>
      <w:marRight w:val="0"/>
      <w:marTop w:val="0"/>
      <w:marBottom w:val="0"/>
      <w:divBdr>
        <w:top w:val="none" w:sz="0" w:space="0" w:color="auto"/>
        <w:left w:val="none" w:sz="0" w:space="0" w:color="auto"/>
        <w:bottom w:val="none" w:sz="0" w:space="0" w:color="auto"/>
        <w:right w:val="none" w:sz="0" w:space="0" w:color="auto"/>
      </w:divBdr>
    </w:div>
    <w:div w:id="1406343638">
      <w:bodyDiv w:val="1"/>
      <w:marLeft w:val="0"/>
      <w:marRight w:val="0"/>
      <w:marTop w:val="0"/>
      <w:marBottom w:val="0"/>
      <w:divBdr>
        <w:top w:val="none" w:sz="0" w:space="0" w:color="auto"/>
        <w:left w:val="none" w:sz="0" w:space="0" w:color="auto"/>
        <w:bottom w:val="none" w:sz="0" w:space="0" w:color="auto"/>
        <w:right w:val="none" w:sz="0" w:space="0" w:color="auto"/>
      </w:divBdr>
    </w:div>
    <w:div w:id="1406613326">
      <w:bodyDiv w:val="1"/>
      <w:marLeft w:val="0"/>
      <w:marRight w:val="0"/>
      <w:marTop w:val="0"/>
      <w:marBottom w:val="0"/>
      <w:divBdr>
        <w:top w:val="none" w:sz="0" w:space="0" w:color="auto"/>
        <w:left w:val="none" w:sz="0" w:space="0" w:color="auto"/>
        <w:bottom w:val="none" w:sz="0" w:space="0" w:color="auto"/>
        <w:right w:val="none" w:sz="0" w:space="0" w:color="auto"/>
      </w:divBdr>
    </w:div>
    <w:div w:id="1406731776">
      <w:bodyDiv w:val="1"/>
      <w:marLeft w:val="0"/>
      <w:marRight w:val="0"/>
      <w:marTop w:val="0"/>
      <w:marBottom w:val="0"/>
      <w:divBdr>
        <w:top w:val="none" w:sz="0" w:space="0" w:color="auto"/>
        <w:left w:val="none" w:sz="0" w:space="0" w:color="auto"/>
        <w:bottom w:val="none" w:sz="0" w:space="0" w:color="auto"/>
        <w:right w:val="none" w:sz="0" w:space="0" w:color="auto"/>
      </w:divBdr>
    </w:div>
    <w:div w:id="1407066564">
      <w:bodyDiv w:val="1"/>
      <w:marLeft w:val="0"/>
      <w:marRight w:val="0"/>
      <w:marTop w:val="0"/>
      <w:marBottom w:val="0"/>
      <w:divBdr>
        <w:top w:val="none" w:sz="0" w:space="0" w:color="auto"/>
        <w:left w:val="none" w:sz="0" w:space="0" w:color="auto"/>
        <w:bottom w:val="none" w:sz="0" w:space="0" w:color="auto"/>
        <w:right w:val="none" w:sz="0" w:space="0" w:color="auto"/>
      </w:divBdr>
    </w:div>
    <w:div w:id="1407142932">
      <w:bodyDiv w:val="1"/>
      <w:marLeft w:val="0"/>
      <w:marRight w:val="0"/>
      <w:marTop w:val="0"/>
      <w:marBottom w:val="0"/>
      <w:divBdr>
        <w:top w:val="none" w:sz="0" w:space="0" w:color="auto"/>
        <w:left w:val="none" w:sz="0" w:space="0" w:color="auto"/>
        <w:bottom w:val="none" w:sz="0" w:space="0" w:color="auto"/>
        <w:right w:val="none" w:sz="0" w:space="0" w:color="auto"/>
      </w:divBdr>
    </w:div>
    <w:div w:id="1407650663">
      <w:bodyDiv w:val="1"/>
      <w:marLeft w:val="0"/>
      <w:marRight w:val="0"/>
      <w:marTop w:val="0"/>
      <w:marBottom w:val="0"/>
      <w:divBdr>
        <w:top w:val="none" w:sz="0" w:space="0" w:color="auto"/>
        <w:left w:val="none" w:sz="0" w:space="0" w:color="auto"/>
        <w:bottom w:val="none" w:sz="0" w:space="0" w:color="auto"/>
        <w:right w:val="none" w:sz="0" w:space="0" w:color="auto"/>
      </w:divBdr>
    </w:div>
    <w:div w:id="1407728601">
      <w:bodyDiv w:val="1"/>
      <w:marLeft w:val="0"/>
      <w:marRight w:val="0"/>
      <w:marTop w:val="0"/>
      <w:marBottom w:val="0"/>
      <w:divBdr>
        <w:top w:val="none" w:sz="0" w:space="0" w:color="auto"/>
        <w:left w:val="none" w:sz="0" w:space="0" w:color="auto"/>
        <w:bottom w:val="none" w:sz="0" w:space="0" w:color="auto"/>
        <w:right w:val="none" w:sz="0" w:space="0" w:color="auto"/>
      </w:divBdr>
    </w:div>
    <w:div w:id="1407993257">
      <w:bodyDiv w:val="1"/>
      <w:marLeft w:val="0"/>
      <w:marRight w:val="0"/>
      <w:marTop w:val="0"/>
      <w:marBottom w:val="0"/>
      <w:divBdr>
        <w:top w:val="none" w:sz="0" w:space="0" w:color="auto"/>
        <w:left w:val="none" w:sz="0" w:space="0" w:color="auto"/>
        <w:bottom w:val="none" w:sz="0" w:space="0" w:color="auto"/>
        <w:right w:val="none" w:sz="0" w:space="0" w:color="auto"/>
      </w:divBdr>
    </w:div>
    <w:div w:id="1408109307">
      <w:bodyDiv w:val="1"/>
      <w:marLeft w:val="0"/>
      <w:marRight w:val="0"/>
      <w:marTop w:val="0"/>
      <w:marBottom w:val="0"/>
      <w:divBdr>
        <w:top w:val="none" w:sz="0" w:space="0" w:color="auto"/>
        <w:left w:val="none" w:sz="0" w:space="0" w:color="auto"/>
        <w:bottom w:val="none" w:sz="0" w:space="0" w:color="auto"/>
        <w:right w:val="none" w:sz="0" w:space="0" w:color="auto"/>
      </w:divBdr>
    </w:div>
    <w:div w:id="1408111512">
      <w:bodyDiv w:val="1"/>
      <w:marLeft w:val="0"/>
      <w:marRight w:val="0"/>
      <w:marTop w:val="0"/>
      <w:marBottom w:val="0"/>
      <w:divBdr>
        <w:top w:val="none" w:sz="0" w:space="0" w:color="auto"/>
        <w:left w:val="none" w:sz="0" w:space="0" w:color="auto"/>
        <w:bottom w:val="none" w:sz="0" w:space="0" w:color="auto"/>
        <w:right w:val="none" w:sz="0" w:space="0" w:color="auto"/>
      </w:divBdr>
    </w:div>
    <w:div w:id="1409572440">
      <w:bodyDiv w:val="1"/>
      <w:marLeft w:val="0"/>
      <w:marRight w:val="0"/>
      <w:marTop w:val="0"/>
      <w:marBottom w:val="0"/>
      <w:divBdr>
        <w:top w:val="none" w:sz="0" w:space="0" w:color="auto"/>
        <w:left w:val="none" w:sz="0" w:space="0" w:color="auto"/>
        <w:bottom w:val="none" w:sz="0" w:space="0" w:color="auto"/>
        <w:right w:val="none" w:sz="0" w:space="0" w:color="auto"/>
      </w:divBdr>
    </w:div>
    <w:div w:id="1409572874">
      <w:bodyDiv w:val="1"/>
      <w:marLeft w:val="0"/>
      <w:marRight w:val="0"/>
      <w:marTop w:val="0"/>
      <w:marBottom w:val="0"/>
      <w:divBdr>
        <w:top w:val="none" w:sz="0" w:space="0" w:color="auto"/>
        <w:left w:val="none" w:sz="0" w:space="0" w:color="auto"/>
        <w:bottom w:val="none" w:sz="0" w:space="0" w:color="auto"/>
        <w:right w:val="none" w:sz="0" w:space="0" w:color="auto"/>
      </w:divBdr>
    </w:div>
    <w:div w:id="1409764226">
      <w:bodyDiv w:val="1"/>
      <w:marLeft w:val="0"/>
      <w:marRight w:val="0"/>
      <w:marTop w:val="0"/>
      <w:marBottom w:val="0"/>
      <w:divBdr>
        <w:top w:val="none" w:sz="0" w:space="0" w:color="auto"/>
        <w:left w:val="none" w:sz="0" w:space="0" w:color="auto"/>
        <w:bottom w:val="none" w:sz="0" w:space="0" w:color="auto"/>
        <w:right w:val="none" w:sz="0" w:space="0" w:color="auto"/>
      </w:divBdr>
    </w:div>
    <w:div w:id="1409770620">
      <w:bodyDiv w:val="1"/>
      <w:marLeft w:val="0"/>
      <w:marRight w:val="0"/>
      <w:marTop w:val="0"/>
      <w:marBottom w:val="0"/>
      <w:divBdr>
        <w:top w:val="none" w:sz="0" w:space="0" w:color="auto"/>
        <w:left w:val="none" w:sz="0" w:space="0" w:color="auto"/>
        <w:bottom w:val="none" w:sz="0" w:space="0" w:color="auto"/>
        <w:right w:val="none" w:sz="0" w:space="0" w:color="auto"/>
      </w:divBdr>
    </w:div>
    <w:div w:id="1410493538">
      <w:bodyDiv w:val="1"/>
      <w:marLeft w:val="0"/>
      <w:marRight w:val="0"/>
      <w:marTop w:val="0"/>
      <w:marBottom w:val="0"/>
      <w:divBdr>
        <w:top w:val="none" w:sz="0" w:space="0" w:color="auto"/>
        <w:left w:val="none" w:sz="0" w:space="0" w:color="auto"/>
        <w:bottom w:val="none" w:sz="0" w:space="0" w:color="auto"/>
        <w:right w:val="none" w:sz="0" w:space="0" w:color="auto"/>
      </w:divBdr>
    </w:div>
    <w:div w:id="1410998023">
      <w:bodyDiv w:val="1"/>
      <w:marLeft w:val="0"/>
      <w:marRight w:val="0"/>
      <w:marTop w:val="0"/>
      <w:marBottom w:val="0"/>
      <w:divBdr>
        <w:top w:val="none" w:sz="0" w:space="0" w:color="auto"/>
        <w:left w:val="none" w:sz="0" w:space="0" w:color="auto"/>
        <w:bottom w:val="none" w:sz="0" w:space="0" w:color="auto"/>
        <w:right w:val="none" w:sz="0" w:space="0" w:color="auto"/>
      </w:divBdr>
    </w:div>
    <w:div w:id="1411005068">
      <w:bodyDiv w:val="1"/>
      <w:marLeft w:val="0"/>
      <w:marRight w:val="0"/>
      <w:marTop w:val="0"/>
      <w:marBottom w:val="0"/>
      <w:divBdr>
        <w:top w:val="none" w:sz="0" w:space="0" w:color="auto"/>
        <w:left w:val="none" w:sz="0" w:space="0" w:color="auto"/>
        <w:bottom w:val="none" w:sz="0" w:space="0" w:color="auto"/>
        <w:right w:val="none" w:sz="0" w:space="0" w:color="auto"/>
      </w:divBdr>
    </w:div>
    <w:div w:id="1411122800">
      <w:bodyDiv w:val="1"/>
      <w:marLeft w:val="0"/>
      <w:marRight w:val="0"/>
      <w:marTop w:val="0"/>
      <w:marBottom w:val="0"/>
      <w:divBdr>
        <w:top w:val="none" w:sz="0" w:space="0" w:color="auto"/>
        <w:left w:val="none" w:sz="0" w:space="0" w:color="auto"/>
        <w:bottom w:val="none" w:sz="0" w:space="0" w:color="auto"/>
        <w:right w:val="none" w:sz="0" w:space="0" w:color="auto"/>
      </w:divBdr>
    </w:div>
    <w:div w:id="1411466270">
      <w:bodyDiv w:val="1"/>
      <w:marLeft w:val="0"/>
      <w:marRight w:val="0"/>
      <w:marTop w:val="0"/>
      <w:marBottom w:val="0"/>
      <w:divBdr>
        <w:top w:val="none" w:sz="0" w:space="0" w:color="auto"/>
        <w:left w:val="none" w:sz="0" w:space="0" w:color="auto"/>
        <w:bottom w:val="none" w:sz="0" w:space="0" w:color="auto"/>
        <w:right w:val="none" w:sz="0" w:space="0" w:color="auto"/>
      </w:divBdr>
    </w:div>
    <w:div w:id="1411925590">
      <w:bodyDiv w:val="1"/>
      <w:marLeft w:val="0"/>
      <w:marRight w:val="0"/>
      <w:marTop w:val="0"/>
      <w:marBottom w:val="0"/>
      <w:divBdr>
        <w:top w:val="none" w:sz="0" w:space="0" w:color="auto"/>
        <w:left w:val="none" w:sz="0" w:space="0" w:color="auto"/>
        <w:bottom w:val="none" w:sz="0" w:space="0" w:color="auto"/>
        <w:right w:val="none" w:sz="0" w:space="0" w:color="auto"/>
      </w:divBdr>
    </w:div>
    <w:div w:id="1412313379">
      <w:bodyDiv w:val="1"/>
      <w:marLeft w:val="0"/>
      <w:marRight w:val="0"/>
      <w:marTop w:val="0"/>
      <w:marBottom w:val="0"/>
      <w:divBdr>
        <w:top w:val="none" w:sz="0" w:space="0" w:color="auto"/>
        <w:left w:val="none" w:sz="0" w:space="0" w:color="auto"/>
        <w:bottom w:val="none" w:sz="0" w:space="0" w:color="auto"/>
        <w:right w:val="none" w:sz="0" w:space="0" w:color="auto"/>
      </w:divBdr>
    </w:div>
    <w:div w:id="1413352404">
      <w:bodyDiv w:val="1"/>
      <w:marLeft w:val="0"/>
      <w:marRight w:val="0"/>
      <w:marTop w:val="0"/>
      <w:marBottom w:val="0"/>
      <w:divBdr>
        <w:top w:val="none" w:sz="0" w:space="0" w:color="auto"/>
        <w:left w:val="none" w:sz="0" w:space="0" w:color="auto"/>
        <w:bottom w:val="none" w:sz="0" w:space="0" w:color="auto"/>
        <w:right w:val="none" w:sz="0" w:space="0" w:color="auto"/>
      </w:divBdr>
    </w:div>
    <w:div w:id="1413433162">
      <w:bodyDiv w:val="1"/>
      <w:marLeft w:val="0"/>
      <w:marRight w:val="0"/>
      <w:marTop w:val="0"/>
      <w:marBottom w:val="0"/>
      <w:divBdr>
        <w:top w:val="none" w:sz="0" w:space="0" w:color="auto"/>
        <w:left w:val="none" w:sz="0" w:space="0" w:color="auto"/>
        <w:bottom w:val="none" w:sz="0" w:space="0" w:color="auto"/>
        <w:right w:val="none" w:sz="0" w:space="0" w:color="auto"/>
      </w:divBdr>
    </w:div>
    <w:div w:id="1413895560">
      <w:bodyDiv w:val="1"/>
      <w:marLeft w:val="0"/>
      <w:marRight w:val="0"/>
      <w:marTop w:val="0"/>
      <w:marBottom w:val="0"/>
      <w:divBdr>
        <w:top w:val="none" w:sz="0" w:space="0" w:color="auto"/>
        <w:left w:val="none" w:sz="0" w:space="0" w:color="auto"/>
        <w:bottom w:val="none" w:sz="0" w:space="0" w:color="auto"/>
        <w:right w:val="none" w:sz="0" w:space="0" w:color="auto"/>
      </w:divBdr>
    </w:div>
    <w:div w:id="1414618312">
      <w:bodyDiv w:val="1"/>
      <w:marLeft w:val="0"/>
      <w:marRight w:val="0"/>
      <w:marTop w:val="0"/>
      <w:marBottom w:val="0"/>
      <w:divBdr>
        <w:top w:val="none" w:sz="0" w:space="0" w:color="auto"/>
        <w:left w:val="none" w:sz="0" w:space="0" w:color="auto"/>
        <w:bottom w:val="none" w:sz="0" w:space="0" w:color="auto"/>
        <w:right w:val="none" w:sz="0" w:space="0" w:color="auto"/>
      </w:divBdr>
    </w:div>
    <w:div w:id="1414857819">
      <w:bodyDiv w:val="1"/>
      <w:marLeft w:val="0"/>
      <w:marRight w:val="0"/>
      <w:marTop w:val="0"/>
      <w:marBottom w:val="0"/>
      <w:divBdr>
        <w:top w:val="none" w:sz="0" w:space="0" w:color="auto"/>
        <w:left w:val="none" w:sz="0" w:space="0" w:color="auto"/>
        <w:bottom w:val="none" w:sz="0" w:space="0" w:color="auto"/>
        <w:right w:val="none" w:sz="0" w:space="0" w:color="auto"/>
      </w:divBdr>
    </w:div>
    <w:div w:id="1415010356">
      <w:bodyDiv w:val="1"/>
      <w:marLeft w:val="0"/>
      <w:marRight w:val="0"/>
      <w:marTop w:val="0"/>
      <w:marBottom w:val="0"/>
      <w:divBdr>
        <w:top w:val="none" w:sz="0" w:space="0" w:color="auto"/>
        <w:left w:val="none" w:sz="0" w:space="0" w:color="auto"/>
        <w:bottom w:val="none" w:sz="0" w:space="0" w:color="auto"/>
        <w:right w:val="none" w:sz="0" w:space="0" w:color="auto"/>
      </w:divBdr>
    </w:div>
    <w:div w:id="1415325010">
      <w:bodyDiv w:val="1"/>
      <w:marLeft w:val="0"/>
      <w:marRight w:val="0"/>
      <w:marTop w:val="0"/>
      <w:marBottom w:val="0"/>
      <w:divBdr>
        <w:top w:val="none" w:sz="0" w:space="0" w:color="auto"/>
        <w:left w:val="none" w:sz="0" w:space="0" w:color="auto"/>
        <w:bottom w:val="none" w:sz="0" w:space="0" w:color="auto"/>
        <w:right w:val="none" w:sz="0" w:space="0" w:color="auto"/>
      </w:divBdr>
    </w:div>
    <w:div w:id="1415475868">
      <w:bodyDiv w:val="1"/>
      <w:marLeft w:val="0"/>
      <w:marRight w:val="0"/>
      <w:marTop w:val="0"/>
      <w:marBottom w:val="0"/>
      <w:divBdr>
        <w:top w:val="none" w:sz="0" w:space="0" w:color="auto"/>
        <w:left w:val="none" w:sz="0" w:space="0" w:color="auto"/>
        <w:bottom w:val="none" w:sz="0" w:space="0" w:color="auto"/>
        <w:right w:val="none" w:sz="0" w:space="0" w:color="auto"/>
      </w:divBdr>
    </w:div>
    <w:div w:id="1416053574">
      <w:bodyDiv w:val="1"/>
      <w:marLeft w:val="0"/>
      <w:marRight w:val="0"/>
      <w:marTop w:val="0"/>
      <w:marBottom w:val="0"/>
      <w:divBdr>
        <w:top w:val="none" w:sz="0" w:space="0" w:color="auto"/>
        <w:left w:val="none" w:sz="0" w:space="0" w:color="auto"/>
        <w:bottom w:val="none" w:sz="0" w:space="0" w:color="auto"/>
        <w:right w:val="none" w:sz="0" w:space="0" w:color="auto"/>
      </w:divBdr>
    </w:div>
    <w:div w:id="1416365581">
      <w:bodyDiv w:val="1"/>
      <w:marLeft w:val="0"/>
      <w:marRight w:val="0"/>
      <w:marTop w:val="0"/>
      <w:marBottom w:val="0"/>
      <w:divBdr>
        <w:top w:val="none" w:sz="0" w:space="0" w:color="auto"/>
        <w:left w:val="none" w:sz="0" w:space="0" w:color="auto"/>
        <w:bottom w:val="none" w:sz="0" w:space="0" w:color="auto"/>
        <w:right w:val="none" w:sz="0" w:space="0" w:color="auto"/>
      </w:divBdr>
    </w:div>
    <w:div w:id="1416433606">
      <w:bodyDiv w:val="1"/>
      <w:marLeft w:val="0"/>
      <w:marRight w:val="0"/>
      <w:marTop w:val="0"/>
      <w:marBottom w:val="0"/>
      <w:divBdr>
        <w:top w:val="none" w:sz="0" w:space="0" w:color="auto"/>
        <w:left w:val="none" w:sz="0" w:space="0" w:color="auto"/>
        <w:bottom w:val="none" w:sz="0" w:space="0" w:color="auto"/>
        <w:right w:val="none" w:sz="0" w:space="0" w:color="auto"/>
      </w:divBdr>
    </w:div>
    <w:div w:id="1416823167">
      <w:bodyDiv w:val="1"/>
      <w:marLeft w:val="0"/>
      <w:marRight w:val="0"/>
      <w:marTop w:val="0"/>
      <w:marBottom w:val="0"/>
      <w:divBdr>
        <w:top w:val="none" w:sz="0" w:space="0" w:color="auto"/>
        <w:left w:val="none" w:sz="0" w:space="0" w:color="auto"/>
        <w:bottom w:val="none" w:sz="0" w:space="0" w:color="auto"/>
        <w:right w:val="none" w:sz="0" w:space="0" w:color="auto"/>
      </w:divBdr>
    </w:div>
    <w:div w:id="1417282517">
      <w:bodyDiv w:val="1"/>
      <w:marLeft w:val="0"/>
      <w:marRight w:val="0"/>
      <w:marTop w:val="0"/>
      <w:marBottom w:val="0"/>
      <w:divBdr>
        <w:top w:val="none" w:sz="0" w:space="0" w:color="auto"/>
        <w:left w:val="none" w:sz="0" w:space="0" w:color="auto"/>
        <w:bottom w:val="none" w:sz="0" w:space="0" w:color="auto"/>
        <w:right w:val="none" w:sz="0" w:space="0" w:color="auto"/>
      </w:divBdr>
    </w:div>
    <w:div w:id="1417824294">
      <w:bodyDiv w:val="1"/>
      <w:marLeft w:val="0"/>
      <w:marRight w:val="0"/>
      <w:marTop w:val="0"/>
      <w:marBottom w:val="0"/>
      <w:divBdr>
        <w:top w:val="none" w:sz="0" w:space="0" w:color="auto"/>
        <w:left w:val="none" w:sz="0" w:space="0" w:color="auto"/>
        <w:bottom w:val="none" w:sz="0" w:space="0" w:color="auto"/>
        <w:right w:val="none" w:sz="0" w:space="0" w:color="auto"/>
      </w:divBdr>
    </w:div>
    <w:div w:id="1417941313">
      <w:bodyDiv w:val="1"/>
      <w:marLeft w:val="0"/>
      <w:marRight w:val="0"/>
      <w:marTop w:val="0"/>
      <w:marBottom w:val="0"/>
      <w:divBdr>
        <w:top w:val="none" w:sz="0" w:space="0" w:color="auto"/>
        <w:left w:val="none" w:sz="0" w:space="0" w:color="auto"/>
        <w:bottom w:val="none" w:sz="0" w:space="0" w:color="auto"/>
        <w:right w:val="none" w:sz="0" w:space="0" w:color="auto"/>
      </w:divBdr>
    </w:div>
    <w:div w:id="1418865138">
      <w:bodyDiv w:val="1"/>
      <w:marLeft w:val="0"/>
      <w:marRight w:val="0"/>
      <w:marTop w:val="0"/>
      <w:marBottom w:val="0"/>
      <w:divBdr>
        <w:top w:val="none" w:sz="0" w:space="0" w:color="auto"/>
        <w:left w:val="none" w:sz="0" w:space="0" w:color="auto"/>
        <w:bottom w:val="none" w:sz="0" w:space="0" w:color="auto"/>
        <w:right w:val="none" w:sz="0" w:space="0" w:color="auto"/>
      </w:divBdr>
    </w:div>
    <w:div w:id="1419058615">
      <w:bodyDiv w:val="1"/>
      <w:marLeft w:val="0"/>
      <w:marRight w:val="0"/>
      <w:marTop w:val="0"/>
      <w:marBottom w:val="0"/>
      <w:divBdr>
        <w:top w:val="none" w:sz="0" w:space="0" w:color="auto"/>
        <w:left w:val="none" w:sz="0" w:space="0" w:color="auto"/>
        <w:bottom w:val="none" w:sz="0" w:space="0" w:color="auto"/>
        <w:right w:val="none" w:sz="0" w:space="0" w:color="auto"/>
      </w:divBdr>
    </w:div>
    <w:div w:id="1419205045">
      <w:bodyDiv w:val="1"/>
      <w:marLeft w:val="0"/>
      <w:marRight w:val="0"/>
      <w:marTop w:val="0"/>
      <w:marBottom w:val="0"/>
      <w:divBdr>
        <w:top w:val="none" w:sz="0" w:space="0" w:color="auto"/>
        <w:left w:val="none" w:sz="0" w:space="0" w:color="auto"/>
        <w:bottom w:val="none" w:sz="0" w:space="0" w:color="auto"/>
        <w:right w:val="none" w:sz="0" w:space="0" w:color="auto"/>
      </w:divBdr>
    </w:div>
    <w:div w:id="1419211973">
      <w:bodyDiv w:val="1"/>
      <w:marLeft w:val="0"/>
      <w:marRight w:val="0"/>
      <w:marTop w:val="0"/>
      <w:marBottom w:val="0"/>
      <w:divBdr>
        <w:top w:val="none" w:sz="0" w:space="0" w:color="auto"/>
        <w:left w:val="none" w:sz="0" w:space="0" w:color="auto"/>
        <w:bottom w:val="none" w:sz="0" w:space="0" w:color="auto"/>
        <w:right w:val="none" w:sz="0" w:space="0" w:color="auto"/>
      </w:divBdr>
    </w:div>
    <w:div w:id="1419212318">
      <w:bodyDiv w:val="1"/>
      <w:marLeft w:val="0"/>
      <w:marRight w:val="0"/>
      <w:marTop w:val="0"/>
      <w:marBottom w:val="0"/>
      <w:divBdr>
        <w:top w:val="none" w:sz="0" w:space="0" w:color="auto"/>
        <w:left w:val="none" w:sz="0" w:space="0" w:color="auto"/>
        <w:bottom w:val="none" w:sz="0" w:space="0" w:color="auto"/>
        <w:right w:val="none" w:sz="0" w:space="0" w:color="auto"/>
      </w:divBdr>
    </w:div>
    <w:div w:id="1419785028">
      <w:bodyDiv w:val="1"/>
      <w:marLeft w:val="0"/>
      <w:marRight w:val="0"/>
      <w:marTop w:val="0"/>
      <w:marBottom w:val="0"/>
      <w:divBdr>
        <w:top w:val="none" w:sz="0" w:space="0" w:color="auto"/>
        <w:left w:val="none" w:sz="0" w:space="0" w:color="auto"/>
        <w:bottom w:val="none" w:sz="0" w:space="0" w:color="auto"/>
        <w:right w:val="none" w:sz="0" w:space="0" w:color="auto"/>
      </w:divBdr>
    </w:div>
    <w:div w:id="1419862033">
      <w:bodyDiv w:val="1"/>
      <w:marLeft w:val="0"/>
      <w:marRight w:val="0"/>
      <w:marTop w:val="0"/>
      <w:marBottom w:val="0"/>
      <w:divBdr>
        <w:top w:val="none" w:sz="0" w:space="0" w:color="auto"/>
        <w:left w:val="none" w:sz="0" w:space="0" w:color="auto"/>
        <w:bottom w:val="none" w:sz="0" w:space="0" w:color="auto"/>
        <w:right w:val="none" w:sz="0" w:space="0" w:color="auto"/>
      </w:divBdr>
    </w:div>
    <w:div w:id="1419982424">
      <w:bodyDiv w:val="1"/>
      <w:marLeft w:val="0"/>
      <w:marRight w:val="0"/>
      <w:marTop w:val="0"/>
      <w:marBottom w:val="0"/>
      <w:divBdr>
        <w:top w:val="none" w:sz="0" w:space="0" w:color="auto"/>
        <w:left w:val="none" w:sz="0" w:space="0" w:color="auto"/>
        <w:bottom w:val="none" w:sz="0" w:space="0" w:color="auto"/>
        <w:right w:val="none" w:sz="0" w:space="0" w:color="auto"/>
      </w:divBdr>
    </w:div>
    <w:div w:id="1419987030">
      <w:bodyDiv w:val="1"/>
      <w:marLeft w:val="0"/>
      <w:marRight w:val="0"/>
      <w:marTop w:val="0"/>
      <w:marBottom w:val="0"/>
      <w:divBdr>
        <w:top w:val="none" w:sz="0" w:space="0" w:color="auto"/>
        <w:left w:val="none" w:sz="0" w:space="0" w:color="auto"/>
        <w:bottom w:val="none" w:sz="0" w:space="0" w:color="auto"/>
        <w:right w:val="none" w:sz="0" w:space="0" w:color="auto"/>
      </w:divBdr>
    </w:div>
    <w:div w:id="1420365740">
      <w:bodyDiv w:val="1"/>
      <w:marLeft w:val="0"/>
      <w:marRight w:val="0"/>
      <w:marTop w:val="0"/>
      <w:marBottom w:val="0"/>
      <w:divBdr>
        <w:top w:val="none" w:sz="0" w:space="0" w:color="auto"/>
        <w:left w:val="none" w:sz="0" w:space="0" w:color="auto"/>
        <w:bottom w:val="none" w:sz="0" w:space="0" w:color="auto"/>
        <w:right w:val="none" w:sz="0" w:space="0" w:color="auto"/>
      </w:divBdr>
    </w:div>
    <w:div w:id="1420442319">
      <w:bodyDiv w:val="1"/>
      <w:marLeft w:val="0"/>
      <w:marRight w:val="0"/>
      <w:marTop w:val="0"/>
      <w:marBottom w:val="0"/>
      <w:divBdr>
        <w:top w:val="none" w:sz="0" w:space="0" w:color="auto"/>
        <w:left w:val="none" w:sz="0" w:space="0" w:color="auto"/>
        <w:bottom w:val="none" w:sz="0" w:space="0" w:color="auto"/>
        <w:right w:val="none" w:sz="0" w:space="0" w:color="auto"/>
      </w:divBdr>
    </w:div>
    <w:div w:id="1420567018">
      <w:bodyDiv w:val="1"/>
      <w:marLeft w:val="0"/>
      <w:marRight w:val="0"/>
      <w:marTop w:val="0"/>
      <w:marBottom w:val="0"/>
      <w:divBdr>
        <w:top w:val="none" w:sz="0" w:space="0" w:color="auto"/>
        <w:left w:val="none" w:sz="0" w:space="0" w:color="auto"/>
        <w:bottom w:val="none" w:sz="0" w:space="0" w:color="auto"/>
        <w:right w:val="none" w:sz="0" w:space="0" w:color="auto"/>
      </w:divBdr>
    </w:div>
    <w:div w:id="1420591098">
      <w:bodyDiv w:val="1"/>
      <w:marLeft w:val="0"/>
      <w:marRight w:val="0"/>
      <w:marTop w:val="0"/>
      <w:marBottom w:val="0"/>
      <w:divBdr>
        <w:top w:val="none" w:sz="0" w:space="0" w:color="auto"/>
        <w:left w:val="none" w:sz="0" w:space="0" w:color="auto"/>
        <w:bottom w:val="none" w:sz="0" w:space="0" w:color="auto"/>
        <w:right w:val="none" w:sz="0" w:space="0" w:color="auto"/>
      </w:divBdr>
    </w:div>
    <w:div w:id="1420711984">
      <w:bodyDiv w:val="1"/>
      <w:marLeft w:val="0"/>
      <w:marRight w:val="0"/>
      <w:marTop w:val="0"/>
      <w:marBottom w:val="0"/>
      <w:divBdr>
        <w:top w:val="none" w:sz="0" w:space="0" w:color="auto"/>
        <w:left w:val="none" w:sz="0" w:space="0" w:color="auto"/>
        <w:bottom w:val="none" w:sz="0" w:space="0" w:color="auto"/>
        <w:right w:val="none" w:sz="0" w:space="0" w:color="auto"/>
      </w:divBdr>
    </w:div>
    <w:div w:id="1420715284">
      <w:bodyDiv w:val="1"/>
      <w:marLeft w:val="0"/>
      <w:marRight w:val="0"/>
      <w:marTop w:val="0"/>
      <w:marBottom w:val="0"/>
      <w:divBdr>
        <w:top w:val="none" w:sz="0" w:space="0" w:color="auto"/>
        <w:left w:val="none" w:sz="0" w:space="0" w:color="auto"/>
        <w:bottom w:val="none" w:sz="0" w:space="0" w:color="auto"/>
        <w:right w:val="none" w:sz="0" w:space="0" w:color="auto"/>
      </w:divBdr>
    </w:div>
    <w:div w:id="1420833037">
      <w:bodyDiv w:val="1"/>
      <w:marLeft w:val="0"/>
      <w:marRight w:val="0"/>
      <w:marTop w:val="0"/>
      <w:marBottom w:val="0"/>
      <w:divBdr>
        <w:top w:val="none" w:sz="0" w:space="0" w:color="auto"/>
        <w:left w:val="none" w:sz="0" w:space="0" w:color="auto"/>
        <w:bottom w:val="none" w:sz="0" w:space="0" w:color="auto"/>
        <w:right w:val="none" w:sz="0" w:space="0" w:color="auto"/>
      </w:divBdr>
    </w:div>
    <w:div w:id="1421214758">
      <w:bodyDiv w:val="1"/>
      <w:marLeft w:val="0"/>
      <w:marRight w:val="0"/>
      <w:marTop w:val="0"/>
      <w:marBottom w:val="0"/>
      <w:divBdr>
        <w:top w:val="none" w:sz="0" w:space="0" w:color="auto"/>
        <w:left w:val="none" w:sz="0" w:space="0" w:color="auto"/>
        <w:bottom w:val="none" w:sz="0" w:space="0" w:color="auto"/>
        <w:right w:val="none" w:sz="0" w:space="0" w:color="auto"/>
      </w:divBdr>
    </w:div>
    <w:div w:id="1421491651">
      <w:bodyDiv w:val="1"/>
      <w:marLeft w:val="0"/>
      <w:marRight w:val="0"/>
      <w:marTop w:val="0"/>
      <w:marBottom w:val="0"/>
      <w:divBdr>
        <w:top w:val="none" w:sz="0" w:space="0" w:color="auto"/>
        <w:left w:val="none" w:sz="0" w:space="0" w:color="auto"/>
        <w:bottom w:val="none" w:sz="0" w:space="0" w:color="auto"/>
        <w:right w:val="none" w:sz="0" w:space="0" w:color="auto"/>
      </w:divBdr>
    </w:div>
    <w:div w:id="1421757193">
      <w:bodyDiv w:val="1"/>
      <w:marLeft w:val="0"/>
      <w:marRight w:val="0"/>
      <w:marTop w:val="0"/>
      <w:marBottom w:val="0"/>
      <w:divBdr>
        <w:top w:val="none" w:sz="0" w:space="0" w:color="auto"/>
        <w:left w:val="none" w:sz="0" w:space="0" w:color="auto"/>
        <w:bottom w:val="none" w:sz="0" w:space="0" w:color="auto"/>
        <w:right w:val="none" w:sz="0" w:space="0" w:color="auto"/>
      </w:divBdr>
    </w:div>
    <w:div w:id="1422096373">
      <w:bodyDiv w:val="1"/>
      <w:marLeft w:val="0"/>
      <w:marRight w:val="0"/>
      <w:marTop w:val="0"/>
      <w:marBottom w:val="0"/>
      <w:divBdr>
        <w:top w:val="none" w:sz="0" w:space="0" w:color="auto"/>
        <w:left w:val="none" w:sz="0" w:space="0" w:color="auto"/>
        <w:bottom w:val="none" w:sz="0" w:space="0" w:color="auto"/>
        <w:right w:val="none" w:sz="0" w:space="0" w:color="auto"/>
      </w:divBdr>
    </w:div>
    <w:div w:id="1422144024">
      <w:bodyDiv w:val="1"/>
      <w:marLeft w:val="0"/>
      <w:marRight w:val="0"/>
      <w:marTop w:val="0"/>
      <w:marBottom w:val="0"/>
      <w:divBdr>
        <w:top w:val="none" w:sz="0" w:space="0" w:color="auto"/>
        <w:left w:val="none" w:sz="0" w:space="0" w:color="auto"/>
        <w:bottom w:val="none" w:sz="0" w:space="0" w:color="auto"/>
        <w:right w:val="none" w:sz="0" w:space="0" w:color="auto"/>
      </w:divBdr>
    </w:div>
    <w:div w:id="1422798979">
      <w:bodyDiv w:val="1"/>
      <w:marLeft w:val="0"/>
      <w:marRight w:val="0"/>
      <w:marTop w:val="0"/>
      <w:marBottom w:val="0"/>
      <w:divBdr>
        <w:top w:val="none" w:sz="0" w:space="0" w:color="auto"/>
        <w:left w:val="none" w:sz="0" w:space="0" w:color="auto"/>
        <w:bottom w:val="none" w:sz="0" w:space="0" w:color="auto"/>
        <w:right w:val="none" w:sz="0" w:space="0" w:color="auto"/>
      </w:divBdr>
    </w:div>
    <w:div w:id="1422877582">
      <w:bodyDiv w:val="1"/>
      <w:marLeft w:val="0"/>
      <w:marRight w:val="0"/>
      <w:marTop w:val="0"/>
      <w:marBottom w:val="0"/>
      <w:divBdr>
        <w:top w:val="none" w:sz="0" w:space="0" w:color="auto"/>
        <w:left w:val="none" w:sz="0" w:space="0" w:color="auto"/>
        <w:bottom w:val="none" w:sz="0" w:space="0" w:color="auto"/>
        <w:right w:val="none" w:sz="0" w:space="0" w:color="auto"/>
      </w:divBdr>
    </w:div>
    <w:div w:id="1422988415">
      <w:bodyDiv w:val="1"/>
      <w:marLeft w:val="0"/>
      <w:marRight w:val="0"/>
      <w:marTop w:val="0"/>
      <w:marBottom w:val="0"/>
      <w:divBdr>
        <w:top w:val="none" w:sz="0" w:space="0" w:color="auto"/>
        <w:left w:val="none" w:sz="0" w:space="0" w:color="auto"/>
        <w:bottom w:val="none" w:sz="0" w:space="0" w:color="auto"/>
        <w:right w:val="none" w:sz="0" w:space="0" w:color="auto"/>
      </w:divBdr>
    </w:div>
    <w:div w:id="1423380167">
      <w:bodyDiv w:val="1"/>
      <w:marLeft w:val="0"/>
      <w:marRight w:val="0"/>
      <w:marTop w:val="0"/>
      <w:marBottom w:val="0"/>
      <w:divBdr>
        <w:top w:val="none" w:sz="0" w:space="0" w:color="auto"/>
        <w:left w:val="none" w:sz="0" w:space="0" w:color="auto"/>
        <w:bottom w:val="none" w:sz="0" w:space="0" w:color="auto"/>
        <w:right w:val="none" w:sz="0" w:space="0" w:color="auto"/>
      </w:divBdr>
    </w:div>
    <w:div w:id="1423381274">
      <w:bodyDiv w:val="1"/>
      <w:marLeft w:val="0"/>
      <w:marRight w:val="0"/>
      <w:marTop w:val="0"/>
      <w:marBottom w:val="0"/>
      <w:divBdr>
        <w:top w:val="none" w:sz="0" w:space="0" w:color="auto"/>
        <w:left w:val="none" w:sz="0" w:space="0" w:color="auto"/>
        <w:bottom w:val="none" w:sz="0" w:space="0" w:color="auto"/>
        <w:right w:val="none" w:sz="0" w:space="0" w:color="auto"/>
      </w:divBdr>
    </w:div>
    <w:div w:id="1423917638">
      <w:bodyDiv w:val="1"/>
      <w:marLeft w:val="0"/>
      <w:marRight w:val="0"/>
      <w:marTop w:val="0"/>
      <w:marBottom w:val="0"/>
      <w:divBdr>
        <w:top w:val="none" w:sz="0" w:space="0" w:color="auto"/>
        <w:left w:val="none" w:sz="0" w:space="0" w:color="auto"/>
        <w:bottom w:val="none" w:sz="0" w:space="0" w:color="auto"/>
        <w:right w:val="none" w:sz="0" w:space="0" w:color="auto"/>
      </w:divBdr>
    </w:div>
    <w:div w:id="1424034711">
      <w:bodyDiv w:val="1"/>
      <w:marLeft w:val="0"/>
      <w:marRight w:val="0"/>
      <w:marTop w:val="0"/>
      <w:marBottom w:val="0"/>
      <w:divBdr>
        <w:top w:val="none" w:sz="0" w:space="0" w:color="auto"/>
        <w:left w:val="none" w:sz="0" w:space="0" w:color="auto"/>
        <w:bottom w:val="none" w:sz="0" w:space="0" w:color="auto"/>
        <w:right w:val="none" w:sz="0" w:space="0" w:color="auto"/>
      </w:divBdr>
    </w:div>
    <w:div w:id="1424182038">
      <w:bodyDiv w:val="1"/>
      <w:marLeft w:val="0"/>
      <w:marRight w:val="0"/>
      <w:marTop w:val="0"/>
      <w:marBottom w:val="0"/>
      <w:divBdr>
        <w:top w:val="none" w:sz="0" w:space="0" w:color="auto"/>
        <w:left w:val="none" w:sz="0" w:space="0" w:color="auto"/>
        <w:bottom w:val="none" w:sz="0" w:space="0" w:color="auto"/>
        <w:right w:val="none" w:sz="0" w:space="0" w:color="auto"/>
      </w:divBdr>
    </w:div>
    <w:div w:id="1424297660">
      <w:bodyDiv w:val="1"/>
      <w:marLeft w:val="0"/>
      <w:marRight w:val="0"/>
      <w:marTop w:val="0"/>
      <w:marBottom w:val="0"/>
      <w:divBdr>
        <w:top w:val="none" w:sz="0" w:space="0" w:color="auto"/>
        <w:left w:val="none" w:sz="0" w:space="0" w:color="auto"/>
        <w:bottom w:val="none" w:sz="0" w:space="0" w:color="auto"/>
        <w:right w:val="none" w:sz="0" w:space="0" w:color="auto"/>
      </w:divBdr>
    </w:div>
    <w:div w:id="1424456312">
      <w:bodyDiv w:val="1"/>
      <w:marLeft w:val="0"/>
      <w:marRight w:val="0"/>
      <w:marTop w:val="0"/>
      <w:marBottom w:val="0"/>
      <w:divBdr>
        <w:top w:val="none" w:sz="0" w:space="0" w:color="auto"/>
        <w:left w:val="none" w:sz="0" w:space="0" w:color="auto"/>
        <w:bottom w:val="none" w:sz="0" w:space="0" w:color="auto"/>
        <w:right w:val="none" w:sz="0" w:space="0" w:color="auto"/>
      </w:divBdr>
    </w:div>
    <w:div w:id="1424912676">
      <w:bodyDiv w:val="1"/>
      <w:marLeft w:val="0"/>
      <w:marRight w:val="0"/>
      <w:marTop w:val="0"/>
      <w:marBottom w:val="0"/>
      <w:divBdr>
        <w:top w:val="none" w:sz="0" w:space="0" w:color="auto"/>
        <w:left w:val="none" w:sz="0" w:space="0" w:color="auto"/>
        <w:bottom w:val="none" w:sz="0" w:space="0" w:color="auto"/>
        <w:right w:val="none" w:sz="0" w:space="0" w:color="auto"/>
      </w:divBdr>
    </w:div>
    <w:div w:id="1424915467">
      <w:bodyDiv w:val="1"/>
      <w:marLeft w:val="0"/>
      <w:marRight w:val="0"/>
      <w:marTop w:val="0"/>
      <w:marBottom w:val="0"/>
      <w:divBdr>
        <w:top w:val="none" w:sz="0" w:space="0" w:color="auto"/>
        <w:left w:val="none" w:sz="0" w:space="0" w:color="auto"/>
        <w:bottom w:val="none" w:sz="0" w:space="0" w:color="auto"/>
        <w:right w:val="none" w:sz="0" w:space="0" w:color="auto"/>
      </w:divBdr>
    </w:div>
    <w:div w:id="1425297671">
      <w:bodyDiv w:val="1"/>
      <w:marLeft w:val="0"/>
      <w:marRight w:val="0"/>
      <w:marTop w:val="0"/>
      <w:marBottom w:val="0"/>
      <w:divBdr>
        <w:top w:val="none" w:sz="0" w:space="0" w:color="auto"/>
        <w:left w:val="none" w:sz="0" w:space="0" w:color="auto"/>
        <w:bottom w:val="none" w:sz="0" w:space="0" w:color="auto"/>
        <w:right w:val="none" w:sz="0" w:space="0" w:color="auto"/>
      </w:divBdr>
    </w:div>
    <w:div w:id="1425300517">
      <w:bodyDiv w:val="1"/>
      <w:marLeft w:val="0"/>
      <w:marRight w:val="0"/>
      <w:marTop w:val="0"/>
      <w:marBottom w:val="0"/>
      <w:divBdr>
        <w:top w:val="none" w:sz="0" w:space="0" w:color="auto"/>
        <w:left w:val="none" w:sz="0" w:space="0" w:color="auto"/>
        <w:bottom w:val="none" w:sz="0" w:space="0" w:color="auto"/>
        <w:right w:val="none" w:sz="0" w:space="0" w:color="auto"/>
      </w:divBdr>
    </w:div>
    <w:div w:id="1425570606">
      <w:bodyDiv w:val="1"/>
      <w:marLeft w:val="0"/>
      <w:marRight w:val="0"/>
      <w:marTop w:val="0"/>
      <w:marBottom w:val="0"/>
      <w:divBdr>
        <w:top w:val="none" w:sz="0" w:space="0" w:color="auto"/>
        <w:left w:val="none" w:sz="0" w:space="0" w:color="auto"/>
        <w:bottom w:val="none" w:sz="0" w:space="0" w:color="auto"/>
        <w:right w:val="none" w:sz="0" w:space="0" w:color="auto"/>
      </w:divBdr>
    </w:div>
    <w:div w:id="1425957213">
      <w:bodyDiv w:val="1"/>
      <w:marLeft w:val="0"/>
      <w:marRight w:val="0"/>
      <w:marTop w:val="0"/>
      <w:marBottom w:val="0"/>
      <w:divBdr>
        <w:top w:val="none" w:sz="0" w:space="0" w:color="auto"/>
        <w:left w:val="none" w:sz="0" w:space="0" w:color="auto"/>
        <w:bottom w:val="none" w:sz="0" w:space="0" w:color="auto"/>
        <w:right w:val="none" w:sz="0" w:space="0" w:color="auto"/>
      </w:divBdr>
    </w:div>
    <w:div w:id="1426270353">
      <w:bodyDiv w:val="1"/>
      <w:marLeft w:val="0"/>
      <w:marRight w:val="0"/>
      <w:marTop w:val="0"/>
      <w:marBottom w:val="0"/>
      <w:divBdr>
        <w:top w:val="none" w:sz="0" w:space="0" w:color="auto"/>
        <w:left w:val="none" w:sz="0" w:space="0" w:color="auto"/>
        <w:bottom w:val="none" w:sz="0" w:space="0" w:color="auto"/>
        <w:right w:val="none" w:sz="0" w:space="0" w:color="auto"/>
      </w:divBdr>
    </w:div>
    <w:div w:id="1426993311">
      <w:bodyDiv w:val="1"/>
      <w:marLeft w:val="0"/>
      <w:marRight w:val="0"/>
      <w:marTop w:val="0"/>
      <w:marBottom w:val="0"/>
      <w:divBdr>
        <w:top w:val="none" w:sz="0" w:space="0" w:color="auto"/>
        <w:left w:val="none" w:sz="0" w:space="0" w:color="auto"/>
        <w:bottom w:val="none" w:sz="0" w:space="0" w:color="auto"/>
        <w:right w:val="none" w:sz="0" w:space="0" w:color="auto"/>
      </w:divBdr>
    </w:div>
    <w:div w:id="1427385217">
      <w:bodyDiv w:val="1"/>
      <w:marLeft w:val="0"/>
      <w:marRight w:val="0"/>
      <w:marTop w:val="0"/>
      <w:marBottom w:val="0"/>
      <w:divBdr>
        <w:top w:val="none" w:sz="0" w:space="0" w:color="auto"/>
        <w:left w:val="none" w:sz="0" w:space="0" w:color="auto"/>
        <w:bottom w:val="none" w:sz="0" w:space="0" w:color="auto"/>
        <w:right w:val="none" w:sz="0" w:space="0" w:color="auto"/>
      </w:divBdr>
    </w:div>
    <w:div w:id="1427925572">
      <w:bodyDiv w:val="1"/>
      <w:marLeft w:val="0"/>
      <w:marRight w:val="0"/>
      <w:marTop w:val="0"/>
      <w:marBottom w:val="0"/>
      <w:divBdr>
        <w:top w:val="none" w:sz="0" w:space="0" w:color="auto"/>
        <w:left w:val="none" w:sz="0" w:space="0" w:color="auto"/>
        <w:bottom w:val="none" w:sz="0" w:space="0" w:color="auto"/>
        <w:right w:val="none" w:sz="0" w:space="0" w:color="auto"/>
      </w:divBdr>
    </w:div>
    <w:div w:id="1428188701">
      <w:bodyDiv w:val="1"/>
      <w:marLeft w:val="0"/>
      <w:marRight w:val="0"/>
      <w:marTop w:val="0"/>
      <w:marBottom w:val="0"/>
      <w:divBdr>
        <w:top w:val="none" w:sz="0" w:space="0" w:color="auto"/>
        <w:left w:val="none" w:sz="0" w:space="0" w:color="auto"/>
        <w:bottom w:val="none" w:sz="0" w:space="0" w:color="auto"/>
        <w:right w:val="none" w:sz="0" w:space="0" w:color="auto"/>
      </w:divBdr>
    </w:div>
    <w:div w:id="1428383567">
      <w:bodyDiv w:val="1"/>
      <w:marLeft w:val="0"/>
      <w:marRight w:val="0"/>
      <w:marTop w:val="0"/>
      <w:marBottom w:val="0"/>
      <w:divBdr>
        <w:top w:val="none" w:sz="0" w:space="0" w:color="auto"/>
        <w:left w:val="none" w:sz="0" w:space="0" w:color="auto"/>
        <w:bottom w:val="none" w:sz="0" w:space="0" w:color="auto"/>
        <w:right w:val="none" w:sz="0" w:space="0" w:color="auto"/>
      </w:divBdr>
    </w:div>
    <w:div w:id="1428429565">
      <w:bodyDiv w:val="1"/>
      <w:marLeft w:val="0"/>
      <w:marRight w:val="0"/>
      <w:marTop w:val="0"/>
      <w:marBottom w:val="0"/>
      <w:divBdr>
        <w:top w:val="none" w:sz="0" w:space="0" w:color="auto"/>
        <w:left w:val="none" w:sz="0" w:space="0" w:color="auto"/>
        <w:bottom w:val="none" w:sz="0" w:space="0" w:color="auto"/>
        <w:right w:val="none" w:sz="0" w:space="0" w:color="auto"/>
      </w:divBdr>
    </w:div>
    <w:div w:id="1428503580">
      <w:bodyDiv w:val="1"/>
      <w:marLeft w:val="0"/>
      <w:marRight w:val="0"/>
      <w:marTop w:val="0"/>
      <w:marBottom w:val="0"/>
      <w:divBdr>
        <w:top w:val="none" w:sz="0" w:space="0" w:color="auto"/>
        <w:left w:val="none" w:sz="0" w:space="0" w:color="auto"/>
        <w:bottom w:val="none" w:sz="0" w:space="0" w:color="auto"/>
        <w:right w:val="none" w:sz="0" w:space="0" w:color="auto"/>
      </w:divBdr>
    </w:div>
    <w:div w:id="1428619761">
      <w:bodyDiv w:val="1"/>
      <w:marLeft w:val="0"/>
      <w:marRight w:val="0"/>
      <w:marTop w:val="0"/>
      <w:marBottom w:val="0"/>
      <w:divBdr>
        <w:top w:val="none" w:sz="0" w:space="0" w:color="auto"/>
        <w:left w:val="none" w:sz="0" w:space="0" w:color="auto"/>
        <w:bottom w:val="none" w:sz="0" w:space="0" w:color="auto"/>
        <w:right w:val="none" w:sz="0" w:space="0" w:color="auto"/>
      </w:divBdr>
    </w:div>
    <w:div w:id="1428649657">
      <w:bodyDiv w:val="1"/>
      <w:marLeft w:val="0"/>
      <w:marRight w:val="0"/>
      <w:marTop w:val="0"/>
      <w:marBottom w:val="0"/>
      <w:divBdr>
        <w:top w:val="none" w:sz="0" w:space="0" w:color="auto"/>
        <w:left w:val="none" w:sz="0" w:space="0" w:color="auto"/>
        <w:bottom w:val="none" w:sz="0" w:space="0" w:color="auto"/>
        <w:right w:val="none" w:sz="0" w:space="0" w:color="auto"/>
      </w:divBdr>
    </w:div>
    <w:div w:id="1428889932">
      <w:bodyDiv w:val="1"/>
      <w:marLeft w:val="0"/>
      <w:marRight w:val="0"/>
      <w:marTop w:val="0"/>
      <w:marBottom w:val="0"/>
      <w:divBdr>
        <w:top w:val="none" w:sz="0" w:space="0" w:color="auto"/>
        <w:left w:val="none" w:sz="0" w:space="0" w:color="auto"/>
        <w:bottom w:val="none" w:sz="0" w:space="0" w:color="auto"/>
        <w:right w:val="none" w:sz="0" w:space="0" w:color="auto"/>
      </w:divBdr>
    </w:div>
    <w:div w:id="1429161038">
      <w:bodyDiv w:val="1"/>
      <w:marLeft w:val="0"/>
      <w:marRight w:val="0"/>
      <w:marTop w:val="0"/>
      <w:marBottom w:val="0"/>
      <w:divBdr>
        <w:top w:val="none" w:sz="0" w:space="0" w:color="auto"/>
        <w:left w:val="none" w:sz="0" w:space="0" w:color="auto"/>
        <w:bottom w:val="none" w:sz="0" w:space="0" w:color="auto"/>
        <w:right w:val="none" w:sz="0" w:space="0" w:color="auto"/>
      </w:divBdr>
    </w:div>
    <w:div w:id="1429421088">
      <w:bodyDiv w:val="1"/>
      <w:marLeft w:val="0"/>
      <w:marRight w:val="0"/>
      <w:marTop w:val="0"/>
      <w:marBottom w:val="0"/>
      <w:divBdr>
        <w:top w:val="none" w:sz="0" w:space="0" w:color="auto"/>
        <w:left w:val="none" w:sz="0" w:space="0" w:color="auto"/>
        <w:bottom w:val="none" w:sz="0" w:space="0" w:color="auto"/>
        <w:right w:val="none" w:sz="0" w:space="0" w:color="auto"/>
      </w:divBdr>
    </w:div>
    <w:div w:id="1429621231">
      <w:bodyDiv w:val="1"/>
      <w:marLeft w:val="0"/>
      <w:marRight w:val="0"/>
      <w:marTop w:val="0"/>
      <w:marBottom w:val="0"/>
      <w:divBdr>
        <w:top w:val="none" w:sz="0" w:space="0" w:color="auto"/>
        <w:left w:val="none" w:sz="0" w:space="0" w:color="auto"/>
        <w:bottom w:val="none" w:sz="0" w:space="0" w:color="auto"/>
        <w:right w:val="none" w:sz="0" w:space="0" w:color="auto"/>
      </w:divBdr>
    </w:div>
    <w:div w:id="1429960636">
      <w:bodyDiv w:val="1"/>
      <w:marLeft w:val="0"/>
      <w:marRight w:val="0"/>
      <w:marTop w:val="0"/>
      <w:marBottom w:val="0"/>
      <w:divBdr>
        <w:top w:val="none" w:sz="0" w:space="0" w:color="auto"/>
        <w:left w:val="none" w:sz="0" w:space="0" w:color="auto"/>
        <w:bottom w:val="none" w:sz="0" w:space="0" w:color="auto"/>
        <w:right w:val="none" w:sz="0" w:space="0" w:color="auto"/>
      </w:divBdr>
    </w:div>
    <w:div w:id="1429962308">
      <w:bodyDiv w:val="1"/>
      <w:marLeft w:val="0"/>
      <w:marRight w:val="0"/>
      <w:marTop w:val="0"/>
      <w:marBottom w:val="0"/>
      <w:divBdr>
        <w:top w:val="none" w:sz="0" w:space="0" w:color="auto"/>
        <w:left w:val="none" w:sz="0" w:space="0" w:color="auto"/>
        <w:bottom w:val="none" w:sz="0" w:space="0" w:color="auto"/>
        <w:right w:val="none" w:sz="0" w:space="0" w:color="auto"/>
      </w:divBdr>
    </w:div>
    <w:div w:id="1430004288">
      <w:bodyDiv w:val="1"/>
      <w:marLeft w:val="0"/>
      <w:marRight w:val="0"/>
      <w:marTop w:val="0"/>
      <w:marBottom w:val="0"/>
      <w:divBdr>
        <w:top w:val="none" w:sz="0" w:space="0" w:color="auto"/>
        <w:left w:val="none" w:sz="0" w:space="0" w:color="auto"/>
        <w:bottom w:val="none" w:sz="0" w:space="0" w:color="auto"/>
        <w:right w:val="none" w:sz="0" w:space="0" w:color="auto"/>
      </w:divBdr>
    </w:div>
    <w:div w:id="1430082603">
      <w:bodyDiv w:val="1"/>
      <w:marLeft w:val="0"/>
      <w:marRight w:val="0"/>
      <w:marTop w:val="0"/>
      <w:marBottom w:val="0"/>
      <w:divBdr>
        <w:top w:val="none" w:sz="0" w:space="0" w:color="auto"/>
        <w:left w:val="none" w:sz="0" w:space="0" w:color="auto"/>
        <w:bottom w:val="none" w:sz="0" w:space="0" w:color="auto"/>
        <w:right w:val="none" w:sz="0" w:space="0" w:color="auto"/>
      </w:divBdr>
    </w:div>
    <w:div w:id="1430466490">
      <w:bodyDiv w:val="1"/>
      <w:marLeft w:val="0"/>
      <w:marRight w:val="0"/>
      <w:marTop w:val="0"/>
      <w:marBottom w:val="0"/>
      <w:divBdr>
        <w:top w:val="none" w:sz="0" w:space="0" w:color="auto"/>
        <w:left w:val="none" w:sz="0" w:space="0" w:color="auto"/>
        <w:bottom w:val="none" w:sz="0" w:space="0" w:color="auto"/>
        <w:right w:val="none" w:sz="0" w:space="0" w:color="auto"/>
      </w:divBdr>
    </w:div>
    <w:div w:id="1430857219">
      <w:bodyDiv w:val="1"/>
      <w:marLeft w:val="0"/>
      <w:marRight w:val="0"/>
      <w:marTop w:val="0"/>
      <w:marBottom w:val="0"/>
      <w:divBdr>
        <w:top w:val="none" w:sz="0" w:space="0" w:color="auto"/>
        <w:left w:val="none" w:sz="0" w:space="0" w:color="auto"/>
        <w:bottom w:val="none" w:sz="0" w:space="0" w:color="auto"/>
        <w:right w:val="none" w:sz="0" w:space="0" w:color="auto"/>
      </w:divBdr>
    </w:div>
    <w:div w:id="1431316785">
      <w:bodyDiv w:val="1"/>
      <w:marLeft w:val="0"/>
      <w:marRight w:val="0"/>
      <w:marTop w:val="0"/>
      <w:marBottom w:val="0"/>
      <w:divBdr>
        <w:top w:val="none" w:sz="0" w:space="0" w:color="auto"/>
        <w:left w:val="none" w:sz="0" w:space="0" w:color="auto"/>
        <w:bottom w:val="none" w:sz="0" w:space="0" w:color="auto"/>
        <w:right w:val="none" w:sz="0" w:space="0" w:color="auto"/>
      </w:divBdr>
    </w:div>
    <w:div w:id="1431588970">
      <w:bodyDiv w:val="1"/>
      <w:marLeft w:val="0"/>
      <w:marRight w:val="0"/>
      <w:marTop w:val="0"/>
      <w:marBottom w:val="0"/>
      <w:divBdr>
        <w:top w:val="none" w:sz="0" w:space="0" w:color="auto"/>
        <w:left w:val="none" w:sz="0" w:space="0" w:color="auto"/>
        <w:bottom w:val="none" w:sz="0" w:space="0" w:color="auto"/>
        <w:right w:val="none" w:sz="0" w:space="0" w:color="auto"/>
      </w:divBdr>
    </w:div>
    <w:div w:id="1432042954">
      <w:bodyDiv w:val="1"/>
      <w:marLeft w:val="0"/>
      <w:marRight w:val="0"/>
      <w:marTop w:val="0"/>
      <w:marBottom w:val="0"/>
      <w:divBdr>
        <w:top w:val="none" w:sz="0" w:space="0" w:color="auto"/>
        <w:left w:val="none" w:sz="0" w:space="0" w:color="auto"/>
        <w:bottom w:val="none" w:sz="0" w:space="0" w:color="auto"/>
        <w:right w:val="none" w:sz="0" w:space="0" w:color="auto"/>
      </w:divBdr>
    </w:div>
    <w:div w:id="1432244715">
      <w:bodyDiv w:val="1"/>
      <w:marLeft w:val="0"/>
      <w:marRight w:val="0"/>
      <w:marTop w:val="0"/>
      <w:marBottom w:val="0"/>
      <w:divBdr>
        <w:top w:val="none" w:sz="0" w:space="0" w:color="auto"/>
        <w:left w:val="none" w:sz="0" w:space="0" w:color="auto"/>
        <w:bottom w:val="none" w:sz="0" w:space="0" w:color="auto"/>
        <w:right w:val="none" w:sz="0" w:space="0" w:color="auto"/>
      </w:divBdr>
    </w:div>
    <w:div w:id="1432512408">
      <w:bodyDiv w:val="1"/>
      <w:marLeft w:val="0"/>
      <w:marRight w:val="0"/>
      <w:marTop w:val="0"/>
      <w:marBottom w:val="0"/>
      <w:divBdr>
        <w:top w:val="none" w:sz="0" w:space="0" w:color="auto"/>
        <w:left w:val="none" w:sz="0" w:space="0" w:color="auto"/>
        <w:bottom w:val="none" w:sz="0" w:space="0" w:color="auto"/>
        <w:right w:val="none" w:sz="0" w:space="0" w:color="auto"/>
      </w:divBdr>
    </w:div>
    <w:div w:id="1432579831">
      <w:bodyDiv w:val="1"/>
      <w:marLeft w:val="0"/>
      <w:marRight w:val="0"/>
      <w:marTop w:val="0"/>
      <w:marBottom w:val="0"/>
      <w:divBdr>
        <w:top w:val="none" w:sz="0" w:space="0" w:color="auto"/>
        <w:left w:val="none" w:sz="0" w:space="0" w:color="auto"/>
        <w:bottom w:val="none" w:sz="0" w:space="0" w:color="auto"/>
        <w:right w:val="none" w:sz="0" w:space="0" w:color="auto"/>
      </w:divBdr>
    </w:div>
    <w:div w:id="1432581235">
      <w:bodyDiv w:val="1"/>
      <w:marLeft w:val="0"/>
      <w:marRight w:val="0"/>
      <w:marTop w:val="0"/>
      <w:marBottom w:val="0"/>
      <w:divBdr>
        <w:top w:val="none" w:sz="0" w:space="0" w:color="auto"/>
        <w:left w:val="none" w:sz="0" w:space="0" w:color="auto"/>
        <w:bottom w:val="none" w:sz="0" w:space="0" w:color="auto"/>
        <w:right w:val="none" w:sz="0" w:space="0" w:color="auto"/>
      </w:divBdr>
    </w:div>
    <w:div w:id="1432583154">
      <w:bodyDiv w:val="1"/>
      <w:marLeft w:val="0"/>
      <w:marRight w:val="0"/>
      <w:marTop w:val="0"/>
      <w:marBottom w:val="0"/>
      <w:divBdr>
        <w:top w:val="none" w:sz="0" w:space="0" w:color="auto"/>
        <w:left w:val="none" w:sz="0" w:space="0" w:color="auto"/>
        <w:bottom w:val="none" w:sz="0" w:space="0" w:color="auto"/>
        <w:right w:val="none" w:sz="0" w:space="0" w:color="auto"/>
      </w:divBdr>
    </w:div>
    <w:div w:id="1432817278">
      <w:bodyDiv w:val="1"/>
      <w:marLeft w:val="0"/>
      <w:marRight w:val="0"/>
      <w:marTop w:val="0"/>
      <w:marBottom w:val="0"/>
      <w:divBdr>
        <w:top w:val="none" w:sz="0" w:space="0" w:color="auto"/>
        <w:left w:val="none" w:sz="0" w:space="0" w:color="auto"/>
        <w:bottom w:val="none" w:sz="0" w:space="0" w:color="auto"/>
        <w:right w:val="none" w:sz="0" w:space="0" w:color="auto"/>
      </w:divBdr>
    </w:div>
    <w:div w:id="1432891222">
      <w:bodyDiv w:val="1"/>
      <w:marLeft w:val="0"/>
      <w:marRight w:val="0"/>
      <w:marTop w:val="0"/>
      <w:marBottom w:val="0"/>
      <w:divBdr>
        <w:top w:val="none" w:sz="0" w:space="0" w:color="auto"/>
        <w:left w:val="none" w:sz="0" w:space="0" w:color="auto"/>
        <w:bottom w:val="none" w:sz="0" w:space="0" w:color="auto"/>
        <w:right w:val="none" w:sz="0" w:space="0" w:color="auto"/>
      </w:divBdr>
    </w:div>
    <w:div w:id="1432895070">
      <w:bodyDiv w:val="1"/>
      <w:marLeft w:val="0"/>
      <w:marRight w:val="0"/>
      <w:marTop w:val="0"/>
      <w:marBottom w:val="0"/>
      <w:divBdr>
        <w:top w:val="none" w:sz="0" w:space="0" w:color="auto"/>
        <w:left w:val="none" w:sz="0" w:space="0" w:color="auto"/>
        <w:bottom w:val="none" w:sz="0" w:space="0" w:color="auto"/>
        <w:right w:val="none" w:sz="0" w:space="0" w:color="auto"/>
      </w:divBdr>
    </w:div>
    <w:div w:id="1433546227">
      <w:bodyDiv w:val="1"/>
      <w:marLeft w:val="0"/>
      <w:marRight w:val="0"/>
      <w:marTop w:val="0"/>
      <w:marBottom w:val="0"/>
      <w:divBdr>
        <w:top w:val="none" w:sz="0" w:space="0" w:color="auto"/>
        <w:left w:val="none" w:sz="0" w:space="0" w:color="auto"/>
        <w:bottom w:val="none" w:sz="0" w:space="0" w:color="auto"/>
        <w:right w:val="none" w:sz="0" w:space="0" w:color="auto"/>
      </w:divBdr>
    </w:div>
    <w:div w:id="1433666392">
      <w:bodyDiv w:val="1"/>
      <w:marLeft w:val="0"/>
      <w:marRight w:val="0"/>
      <w:marTop w:val="0"/>
      <w:marBottom w:val="0"/>
      <w:divBdr>
        <w:top w:val="none" w:sz="0" w:space="0" w:color="auto"/>
        <w:left w:val="none" w:sz="0" w:space="0" w:color="auto"/>
        <w:bottom w:val="none" w:sz="0" w:space="0" w:color="auto"/>
        <w:right w:val="none" w:sz="0" w:space="0" w:color="auto"/>
      </w:divBdr>
    </w:div>
    <w:div w:id="1433743692">
      <w:bodyDiv w:val="1"/>
      <w:marLeft w:val="0"/>
      <w:marRight w:val="0"/>
      <w:marTop w:val="0"/>
      <w:marBottom w:val="0"/>
      <w:divBdr>
        <w:top w:val="none" w:sz="0" w:space="0" w:color="auto"/>
        <w:left w:val="none" w:sz="0" w:space="0" w:color="auto"/>
        <w:bottom w:val="none" w:sz="0" w:space="0" w:color="auto"/>
        <w:right w:val="none" w:sz="0" w:space="0" w:color="auto"/>
      </w:divBdr>
    </w:div>
    <w:div w:id="1433939502">
      <w:bodyDiv w:val="1"/>
      <w:marLeft w:val="0"/>
      <w:marRight w:val="0"/>
      <w:marTop w:val="0"/>
      <w:marBottom w:val="0"/>
      <w:divBdr>
        <w:top w:val="none" w:sz="0" w:space="0" w:color="auto"/>
        <w:left w:val="none" w:sz="0" w:space="0" w:color="auto"/>
        <w:bottom w:val="none" w:sz="0" w:space="0" w:color="auto"/>
        <w:right w:val="none" w:sz="0" w:space="0" w:color="auto"/>
      </w:divBdr>
    </w:div>
    <w:div w:id="1434086630">
      <w:bodyDiv w:val="1"/>
      <w:marLeft w:val="0"/>
      <w:marRight w:val="0"/>
      <w:marTop w:val="0"/>
      <w:marBottom w:val="0"/>
      <w:divBdr>
        <w:top w:val="none" w:sz="0" w:space="0" w:color="auto"/>
        <w:left w:val="none" w:sz="0" w:space="0" w:color="auto"/>
        <w:bottom w:val="none" w:sz="0" w:space="0" w:color="auto"/>
        <w:right w:val="none" w:sz="0" w:space="0" w:color="auto"/>
      </w:divBdr>
    </w:div>
    <w:div w:id="1434282314">
      <w:bodyDiv w:val="1"/>
      <w:marLeft w:val="0"/>
      <w:marRight w:val="0"/>
      <w:marTop w:val="0"/>
      <w:marBottom w:val="0"/>
      <w:divBdr>
        <w:top w:val="none" w:sz="0" w:space="0" w:color="auto"/>
        <w:left w:val="none" w:sz="0" w:space="0" w:color="auto"/>
        <w:bottom w:val="none" w:sz="0" w:space="0" w:color="auto"/>
        <w:right w:val="none" w:sz="0" w:space="0" w:color="auto"/>
      </w:divBdr>
    </w:div>
    <w:div w:id="1434790070">
      <w:bodyDiv w:val="1"/>
      <w:marLeft w:val="0"/>
      <w:marRight w:val="0"/>
      <w:marTop w:val="0"/>
      <w:marBottom w:val="0"/>
      <w:divBdr>
        <w:top w:val="none" w:sz="0" w:space="0" w:color="auto"/>
        <w:left w:val="none" w:sz="0" w:space="0" w:color="auto"/>
        <w:bottom w:val="none" w:sz="0" w:space="0" w:color="auto"/>
        <w:right w:val="none" w:sz="0" w:space="0" w:color="auto"/>
      </w:divBdr>
    </w:div>
    <w:div w:id="1435053165">
      <w:bodyDiv w:val="1"/>
      <w:marLeft w:val="0"/>
      <w:marRight w:val="0"/>
      <w:marTop w:val="0"/>
      <w:marBottom w:val="0"/>
      <w:divBdr>
        <w:top w:val="none" w:sz="0" w:space="0" w:color="auto"/>
        <w:left w:val="none" w:sz="0" w:space="0" w:color="auto"/>
        <w:bottom w:val="none" w:sz="0" w:space="0" w:color="auto"/>
        <w:right w:val="none" w:sz="0" w:space="0" w:color="auto"/>
      </w:divBdr>
    </w:div>
    <w:div w:id="1435709987">
      <w:bodyDiv w:val="1"/>
      <w:marLeft w:val="0"/>
      <w:marRight w:val="0"/>
      <w:marTop w:val="0"/>
      <w:marBottom w:val="0"/>
      <w:divBdr>
        <w:top w:val="none" w:sz="0" w:space="0" w:color="auto"/>
        <w:left w:val="none" w:sz="0" w:space="0" w:color="auto"/>
        <w:bottom w:val="none" w:sz="0" w:space="0" w:color="auto"/>
        <w:right w:val="none" w:sz="0" w:space="0" w:color="auto"/>
      </w:divBdr>
    </w:div>
    <w:div w:id="1435830134">
      <w:bodyDiv w:val="1"/>
      <w:marLeft w:val="0"/>
      <w:marRight w:val="0"/>
      <w:marTop w:val="0"/>
      <w:marBottom w:val="0"/>
      <w:divBdr>
        <w:top w:val="none" w:sz="0" w:space="0" w:color="auto"/>
        <w:left w:val="none" w:sz="0" w:space="0" w:color="auto"/>
        <w:bottom w:val="none" w:sz="0" w:space="0" w:color="auto"/>
        <w:right w:val="none" w:sz="0" w:space="0" w:color="auto"/>
      </w:divBdr>
    </w:div>
    <w:div w:id="1435858263">
      <w:bodyDiv w:val="1"/>
      <w:marLeft w:val="0"/>
      <w:marRight w:val="0"/>
      <w:marTop w:val="0"/>
      <w:marBottom w:val="0"/>
      <w:divBdr>
        <w:top w:val="none" w:sz="0" w:space="0" w:color="auto"/>
        <w:left w:val="none" w:sz="0" w:space="0" w:color="auto"/>
        <w:bottom w:val="none" w:sz="0" w:space="0" w:color="auto"/>
        <w:right w:val="none" w:sz="0" w:space="0" w:color="auto"/>
      </w:divBdr>
    </w:div>
    <w:div w:id="1436025358">
      <w:bodyDiv w:val="1"/>
      <w:marLeft w:val="0"/>
      <w:marRight w:val="0"/>
      <w:marTop w:val="0"/>
      <w:marBottom w:val="0"/>
      <w:divBdr>
        <w:top w:val="none" w:sz="0" w:space="0" w:color="auto"/>
        <w:left w:val="none" w:sz="0" w:space="0" w:color="auto"/>
        <w:bottom w:val="none" w:sz="0" w:space="0" w:color="auto"/>
        <w:right w:val="none" w:sz="0" w:space="0" w:color="auto"/>
      </w:divBdr>
    </w:div>
    <w:div w:id="1436367220">
      <w:bodyDiv w:val="1"/>
      <w:marLeft w:val="0"/>
      <w:marRight w:val="0"/>
      <w:marTop w:val="0"/>
      <w:marBottom w:val="0"/>
      <w:divBdr>
        <w:top w:val="none" w:sz="0" w:space="0" w:color="auto"/>
        <w:left w:val="none" w:sz="0" w:space="0" w:color="auto"/>
        <w:bottom w:val="none" w:sz="0" w:space="0" w:color="auto"/>
        <w:right w:val="none" w:sz="0" w:space="0" w:color="auto"/>
      </w:divBdr>
    </w:div>
    <w:div w:id="1436830657">
      <w:bodyDiv w:val="1"/>
      <w:marLeft w:val="0"/>
      <w:marRight w:val="0"/>
      <w:marTop w:val="0"/>
      <w:marBottom w:val="0"/>
      <w:divBdr>
        <w:top w:val="none" w:sz="0" w:space="0" w:color="auto"/>
        <w:left w:val="none" w:sz="0" w:space="0" w:color="auto"/>
        <w:bottom w:val="none" w:sz="0" w:space="0" w:color="auto"/>
        <w:right w:val="none" w:sz="0" w:space="0" w:color="auto"/>
      </w:divBdr>
    </w:div>
    <w:div w:id="1437142331">
      <w:bodyDiv w:val="1"/>
      <w:marLeft w:val="0"/>
      <w:marRight w:val="0"/>
      <w:marTop w:val="0"/>
      <w:marBottom w:val="0"/>
      <w:divBdr>
        <w:top w:val="none" w:sz="0" w:space="0" w:color="auto"/>
        <w:left w:val="none" w:sz="0" w:space="0" w:color="auto"/>
        <w:bottom w:val="none" w:sz="0" w:space="0" w:color="auto"/>
        <w:right w:val="none" w:sz="0" w:space="0" w:color="auto"/>
      </w:divBdr>
    </w:div>
    <w:div w:id="1437752307">
      <w:bodyDiv w:val="1"/>
      <w:marLeft w:val="0"/>
      <w:marRight w:val="0"/>
      <w:marTop w:val="0"/>
      <w:marBottom w:val="0"/>
      <w:divBdr>
        <w:top w:val="none" w:sz="0" w:space="0" w:color="auto"/>
        <w:left w:val="none" w:sz="0" w:space="0" w:color="auto"/>
        <w:bottom w:val="none" w:sz="0" w:space="0" w:color="auto"/>
        <w:right w:val="none" w:sz="0" w:space="0" w:color="auto"/>
      </w:divBdr>
    </w:div>
    <w:div w:id="1437940797">
      <w:bodyDiv w:val="1"/>
      <w:marLeft w:val="0"/>
      <w:marRight w:val="0"/>
      <w:marTop w:val="0"/>
      <w:marBottom w:val="0"/>
      <w:divBdr>
        <w:top w:val="none" w:sz="0" w:space="0" w:color="auto"/>
        <w:left w:val="none" w:sz="0" w:space="0" w:color="auto"/>
        <w:bottom w:val="none" w:sz="0" w:space="0" w:color="auto"/>
        <w:right w:val="none" w:sz="0" w:space="0" w:color="auto"/>
      </w:divBdr>
    </w:div>
    <w:div w:id="1438018059">
      <w:bodyDiv w:val="1"/>
      <w:marLeft w:val="0"/>
      <w:marRight w:val="0"/>
      <w:marTop w:val="0"/>
      <w:marBottom w:val="0"/>
      <w:divBdr>
        <w:top w:val="none" w:sz="0" w:space="0" w:color="auto"/>
        <w:left w:val="none" w:sz="0" w:space="0" w:color="auto"/>
        <w:bottom w:val="none" w:sz="0" w:space="0" w:color="auto"/>
        <w:right w:val="none" w:sz="0" w:space="0" w:color="auto"/>
      </w:divBdr>
    </w:div>
    <w:div w:id="1438253904">
      <w:bodyDiv w:val="1"/>
      <w:marLeft w:val="0"/>
      <w:marRight w:val="0"/>
      <w:marTop w:val="0"/>
      <w:marBottom w:val="0"/>
      <w:divBdr>
        <w:top w:val="none" w:sz="0" w:space="0" w:color="auto"/>
        <w:left w:val="none" w:sz="0" w:space="0" w:color="auto"/>
        <w:bottom w:val="none" w:sz="0" w:space="0" w:color="auto"/>
        <w:right w:val="none" w:sz="0" w:space="0" w:color="auto"/>
      </w:divBdr>
    </w:div>
    <w:div w:id="1438402125">
      <w:bodyDiv w:val="1"/>
      <w:marLeft w:val="0"/>
      <w:marRight w:val="0"/>
      <w:marTop w:val="0"/>
      <w:marBottom w:val="0"/>
      <w:divBdr>
        <w:top w:val="none" w:sz="0" w:space="0" w:color="auto"/>
        <w:left w:val="none" w:sz="0" w:space="0" w:color="auto"/>
        <w:bottom w:val="none" w:sz="0" w:space="0" w:color="auto"/>
        <w:right w:val="none" w:sz="0" w:space="0" w:color="auto"/>
      </w:divBdr>
    </w:div>
    <w:div w:id="1438406726">
      <w:bodyDiv w:val="1"/>
      <w:marLeft w:val="0"/>
      <w:marRight w:val="0"/>
      <w:marTop w:val="0"/>
      <w:marBottom w:val="0"/>
      <w:divBdr>
        <w:top w:val="none" w:sz="0" w:space="0" w:color="auto"/>
        <w:left w:val="none" w:sz="0" w:space="0" w:color="auto"/>
        <w:bottom w:val="none" w:sz="0" w:space="0" w:color="auto"/>
        <w:right w:val="none" w:sz="0" w:space="0" w:color="auto"/>
      </w:divBdr>
    </w:div>
    <w:div w:id="1438598808">
      <w:bodyDiv w:val="1"/>
      <w:marLeft w:val="0"/>
      <w:marRight w:val="0"/>
      <w:marTop w:val="0"/>
      <w:marBottom w:val="0"/>
      <w:divBdr>
        <w:top w:val="none" w:sz="0" w:space="0" w:color="auto"/>
        <w:left w:val="none" w:sz="0" w:space="0" w:color="auto"/>
        <w:bottom w:val="none" w:sz="0" w:space="0" w:color="auto"/>
        <w:right w:val="none" w:sz="0" w:space="0" w:color="auto"/>
      </w:divBdr>
    </w:div>
    <w:div w:id="1438602772">
      <w:bodyDiv w:val="1"/>
      <w:marLeft w:val="0"/>
      <w:marRight w:val="0"/>
      <w:marTop w:val="0"/>
      <w:marBottom w:val="0"/>
      <w:divBdr>
        <w:top w:val="none" w:sz="0" w:space="0" w:color="auto"/>
        <w:left w:val="none" w:sz="0" w:space="0" w:color="auto"/>
        <w:bottom w:val="none" w:sz="0" w:space="0" w:color="auto"/>
        <w:right w:val="none" w:sz="0" w:space="0" w:color="auto"/>
      </w:divBdr>
    </w:div>
    <w:div w:id="1439175663">
      <w:bodyDiv w:val="1"/>
      <w:marLeft w:val="0"/>
      <w:marRight w:val="0"/>
      <w:marTop w:val="0"/>
      <w:marBottom w:val="0"/>
      <w:divBdr>
        <w:top w:val="none" w:sz="0" w:space="0" w:color="auto"/>
        <w:left w:val="none" w:sz="0" w:space="0" w:color="auto"/>
        <w:bottom w:val="none" w:sz="0" w:space="0" w:color="auto"/>
        <w:right w:val="none" w:sz="0" w:space="0" w:color="auto"/>
      </w:divBdr>
    </w:div>
    <w:div w:id="1439176152">
      <w:bodyDiv w:val="1"/>
      <w:marLeft w:val="0"/>
      <w:marRight w:val="0"/>
      <w:marTop w:val="0"/>
      <w:marBottom w:val="0"/>
      <w:divBdr>
        <w:top w:val="none" w:sz="0" w:space="0" w:color="auto"/>
        <w:left w:val="none" w:sz="0" w:space="0" w:color="auto"/>
        <w:bottom w:val="none" w:sz="0" w:space="0" w:color="auto"/>
        <w:right w:val="none" w:sz="0" w:space="0" w:color="auto"/>
      </w:divBdr>
    </w:div>
    <w:div w:id="1439910410">
      <w:bodyDiv w:val="1"/>
      <w:marLeft w:val="0"/>
      <w:marRight w:val="0"/>
      <w:marTop w:val="0"/>
      <w:marBottom w:val="0"/>
      <w:divBdr>
        <w:top w:val="none" w:sz="0" w:space="0" w:color="auto"/>
        <w:left w:val="none" w:sz="0" w:space="0" w:color="auto"/>
        <w:bottom w:val="none" w:sz="0" w:space="0" w:color="auto"/>
        <w:right w:val="none" w:sz="0" w:space="0" w:color="auto"/>
      </w:divBdr>
    </w:div>
    <w:div w:id="1439988707">
      <w:bodyDiv w:val="1"/>
      <w:marLeft w:val="0"/>
      <w:marRight w:val="0"/>
      <w:marTop w:val="0"/>
      <w:marBottom w:val="0"/>
      <w:divBdr>
        <w:top w:val="none" w:sz="0" w:space="0" w:color="auto"/>
        <w:left w:val="none" w:sz="0" w:space="0" w:color="auto"/>
        <w:bottom w:val="none" w:sz="0" w:space="0" w:color="auto"/>
        <w:right w:val="none" w:sz="0" w:space="0" w:color="auto"/>
      </w:divBdr>
    </w:div>
    <w:div w:id="1440300710">
      <w:bodyDiv w:val="1"/>
      <w:marLeft w:val="0"/>
      <w:marRight w:val="0"/>
      <w:marTop w:val="0"/>
      <w:marBottom w:val="0"/>
      <w:divBdr>
        <w:top w:val="none" w:sz="0" w:space="0" w:color="auto"/>
        <w:left w:val="none" w:sz="0" w:space="0" w:color="auto"/>
        <w:bottom w:val="none" w:sz="0" w:space="0" w:color="auto"/>
        <w:right w:val="none" w:sz="0" w:space="0" w:color="auto"/>
      </w:divBdr>
    </w:div>
    <w:div w:id="1440490193">
      <w:bodyDiv w:val="1"/>
      <w:marLeft w:val="0"/>
      <w:marRight w:val="0"/>
      <w:marTop w:val="0"/>
      <w:marBottom w:val="0"/>
      <w:divBdr>
        <w:top w:val="none" w:sz="0" w:space="0" w:color="auto"/>
        <w:left w:val="none" w:sz="0" w:space="0" w:color="auto"/>
        <w:bottom w:val="none" w:sz="0" w:space="0" w:color="auto"/>
        <w:right w:val="none" w:sz="0" w:space="0" w:color="auto"/>
      </w:divBdr>
    </w:div>
    <w:div w:id="1441099108">
      <w:bodyDiv w:val="1"/>
      <w:marLeft w:val="0"/>
      <w:marRight w:val="0"/>
      <w:marTop w:val="0"/>
      <w:marBottom w:val="0"/>
      <w:divBdr>
        <w:top w:val="none" w:sz="0" w:space="0" w:color="auto"/>
        <w:left w:val="none" w:sz="0" w:space="0" w:color="auto"/>
        <w:bottom w:val="none" w:sz="0" w:space="0" w:color="auto"/>
        <w:right w:val="none" w:sz="0" w:space="0" w:color="auto"/>
      </w:divBdr>
    </w:div>
    <w:div w:id="1441220039">
      <w:bodyDiv w:val="1"/>
      <w:marLeft w:val="0"/>
      <w:marRight w:val="0"/>
      <w:marTop w:val="0"/>
      <w:marBottom w:val="0"/>
      <w:divBdr>
        <w:top w:val="none" w:sz="0" w:space="0" w:color="auto"/>
        <w:left w:val="none" w:sz="0" w:space="0" w:color="auto"/>
        <w:bottom w:val="none" w:sz="0" w:space="0" w:color="auto"/>
        <w:right w:val="none" w:sz="0" w:space="0" w:color="auto"/>
      </w:divBdr>
    </w:div>
    <w:div w:id="1441487695">
      <w:bodyDiv w:val="1"/>
      <w:marLeft w:val="0"/>
      <w:marRight w:val="0"/>
      <w:marTop w:val="0"/>
      <w:marBottom w:val="0"/>
      <w:divBdr>
        <w:top w:val="none" w:sz="0" w:space="0" w:color="auto"/>
        <w:left w:val="none" w:sz="0" w:space="0" w:color="auto"/>
        <w:bottom w:val="none" w:sz="0" w:space="0" w:color="auto"/>
        <w:right w:val="none" w:sz="0" w:space="0" w:color="auto"/>
      </w:divBdr>
    </w:div>
    <w:div w:id="1442258763">
      <w:bodyDiv w:val="1"/>
      <w:marLeft w:val="0"/>
      <w:marRight w:val="0"/>
      <w:marTop w:val="0"/>
      <w:marBottom w:val="0"/>
      <w:divBdr>
        <w:top w:val="none" w:sz="0" w:space="0" w:color="auto"/>
        <w:left w:val="none" w:sz="0" w:space="0" w:color="auto"/>
        <w:bottom w:val="none" w:sz="0" w:space="0" w:color="auto"/>
        <w:right w:val="none" w:sz="0" w:space="0" w:color="auto"/>
      </w:divBdr>
    </w:div>
    <w:div w:id="1442332789">
      <w:bodyDiv w:val="1"/>
      <w:marLeft w:val="0"/>
      <w:marRight w:val="0"/>
      <w:marTop w:val="0"/>
      <w:marBottom w:val="0"/>
      <w:divBdr>
        <w:top w:val="none" w:sz="0" w:space="0" w:color="auto"/>
        <w:left w:val="none" w:sz="0" w:space="0" w:color="auto"/>
        <w:bottom w:val="none" w:sz="0" w:space="0" w:color="auto"/>
        <w:right w:val="none" w:sz="0" w:space="0" w:color="auto"/>
      </w:divBdr>
    </w:div>
    <w:div w:id="1442989623">
      <w:bodyDiv w:val="1"/>
      <w:marLeft w:val="0"/>
      <w:marRight w:val="0"/>
      <w:marTop w:val="0"/>
      <w:marBottom w:val="0"/>
      <w:divBdr>
        <w:top w:val="none" w:sz="0" w:space="0" w:color="auto"/>
        <w:left w:val="none" w:sz="0" w:space="0" w:color="auto"/>
        <w:bottom w:val="none" w:sz="0" w:space="0" w:color="auto"/>
        <w:right w:val="none" w:sz="0" w:space="0" w:color="auto"/>
      </w:divBdr>
    </w:div>
    <w:div w:id="1443257288">
      <w:bodyDiv w:val="1"/>
      <w:marLeft w:val="0"/>
      <w:marRight w:val="0"/>
      <w:marTop w:val="0"/>
      <w:marBottom w:val="0"/>
      <w:divBdr>
        <w:top w:val="none" w:sz="0" w:space="0" w:color="auto"/>
        <w:left w:val="none" w:sz="0" w:space="0" w:color="auto"/>
        <w:bottom w:val="none" w:sz="0" w:space="0" w:color="auto"/>
        <w:right w:val="none" w:sz="0" w:space="0" w:color="auto"/>
      </w:divBdr>
    </w:div>
    <w:div w:id="1443496515">
      <w:bodyDiv w:val="1"/>
      <w:marLeft w:val="0"/>
      <w:marRight w:val="0"/>
      <w:marTop w:val="0"/>
      <w:marBottom w:val="0"/>
      <w:divBdr>
        <w:top w:val="none" w:sz="0" w:space="0" w:color="auto"/>
        <w:left w:val="none" w:sz="0" w:space="0" w:color="auto"/>
        <w:bottom w:val="none" w:sz="0" w:space="0" w:color="auto"/>
        <w:right w:val="none" w:sz="0" w:space="0" w:color="auto"/>
      </w:divBdr>
    </w:div>
    <w:div w:id="1443650669">
      <w:bodyDiv w:val="1"/>
      <w:marLeft w:val="0"/>
      <w:marRight w:val="0"/>
      <w:marTop w:val="0"/>
      <w:marBottom w:val="0"/>
      <w:divBdr>
        <w:top w:val="none" w:sz="0" w:space="0" w:color="auto"/>
        <w:left w:val="none" w:sz="0" w:space="0" w:color="auto"/>
        <w:bottom w:val="none" w:sz="0" w:space="0" w:color="auto"/>
        <w:right w:val="none" w:sz="0" w:space="0" w:color="auto"/>
      </w:divBdr>
    </w:div>
    <w:div w:id="1443693193">
      <w:bodyDiv w:val="1"/>
      <w:marLeft w:val="0"/>
      <w:marRight w:val="0"/>
      <w:marTop w:val="0"/>
      <w:marBottom w:val="0"/>
      <w:divBdr>
        <w:top w:val="none" w:sz="0" w:space="0" w:color="auto"/>
        <w:left w:val="none" w:sz="0" w:space="0" w:color="auto"/>
        <w:bottom w:val="none" w:sz="0" w:space="0" w:color="auto"/>
        <w:right w:val="none" w:sz="0" w:space="0" w:color="auto"/>
      </w:divBdr>
    </w:div>
    <w:div w:id="1443720212">
      <w:bodyDiv w:val="1"/>
      <w:marLeft w:val="0"/>
      <w:marRight w:val="0"/>
      <w:marTop w:val="0"/>
      <w:marBottom w:val="0"/>
      <w:divBdr>
        <w:top w:val="none" w:sz="0" w:space="0" w:color="auto"/>
        <w:left w:val="none" w:sz="0" w:space="0" w:color="auto"/>
        <w:bottom w:val="none" w:sz="0" w:space="0" w:color="auto"/>
        <w:right w:val="none" w:sz="0" w:space="0" w:color="auto"/>
      </w:divBdr>
    </w:div>
    <w:div w:id="1443919135">
      <w:bodyDiv w:val="1"/>
      <w:marLeft w:val="0"/>
      <w:marRight w:val="0"/>
      <w:marTop w:val="0"/>
      <w:marBottom w:val="0"/>
      <w:divBdr>
        <w:top w:val="none" w:sz="0" w:space="0" w:color="auto"/>
        <w:left w:val="none" w:sz="0" w:space="0" w:color="auto"/>
        <w:bottom w:val="none" w:sz="0" w:space="0" w:color="auto"/>
        <w:right w:val="none" w:sz="0" w:space="0" w:color="auto"/>
      </w:divBdr>
    </w:div>
    <w:div w:id="1444378493">
      <w:bodyDiv w:val="1"/>
      <w:marLeft w:val="0"/>
      <w:marRight w:val="0"/>
      <w:marTop w:val="0"/>
      <w:marBottom w:val="0"/>
      <w:divBdr>
        <w:top w:val="none" w:sz="0" w:space="0" w:color="auto"/>
        <w:left w:val="none" w:sz="0" w:space="0" w:color="auto"/>
        <w:bottom w:val="none" w:sz="0" w:space="0" w:color="auto"/>
        <w:right w:val="none" w:sz="0" w:space="0" w:color="auto"/>
      </w:divBdr>
    </w:div>
    <w:div w:id="1444423712">
      <w:bodyDiv w:val="1"/>
      <w:marLeft w:val="0"/>
      <w:marRight w:val="0"/>
      <w:marTop w:val="0"/>
      <w:marBottom w:val="0"/>
      <w:divBdr>
        <w:top w:val="none" w:sz="0" w:space="0" w:color="auto"/>
        <w:left w:val="none" w:sz="0" w:space="0" w:color="auto"/>
        <w:bottom w:val="none" w:sz="0" w:space="0" w:color="auto"/>
        <w:right w:val="none" w:sz="0" w:space="0" w:color="auto"/>
      </w:divBdr>
    </w:div>
    <w:div w:id="1444953872">
      <w:bodyDiv w:val="1"/>
      <w:marLeft w:val="0"/>
      <w:marRight w:val="0"/>
      <w:marTop w:val="0"/>
      <w:marBottom w:val="0"/>
      <w:divBdr>
        <w:top w:val="none" w:sz="0" w:space="0" w:color="auto"/>
        <w:left w:val="none" w:sz="0" w:space="0" w:color="auto"/>
        <w:bottom w:val="none" w:sz="0" w:space="0" w:color="auto"/>
        <w:right w:val="none" w:sz="0" w:space="0" w:color="auto"/>
      </w:divBdr>
    </w:div>
    <w:div w:id="1445004623">
      <w:bodyDiv w:val="1"/>
      <w:marLeft w:val="0"/>
      <w:marRight w:val="0"/>
      <w:marTop w:val="0"/>
      <w:marBottom w:val="0"/>
      <w:divBdr>
        <w:top w:val="none" w:sz="0" w:space="0" w:color="auto"/>
        <w:left w:val="none" w:sz="0" w:space="0" w:color="auto"/>
        <w:bottom w:val="none" w:sz="0" w:space="0" w:color="auto"/>
        <w:right w:val="none" w:sz="0" w:space="0" w:color="auto"/>
      </w:divBdr>
    </w:div>
    <w:div w:id="1445031074">
      <w:bodyDiv w:val="1"/>
      <w:marLeft w:val="0"/>
      <w:marRight w:val="0"/>
      <w:marTop w:val="0"/>
      <w:marBottom w:val="0"/>
      <w:divBdr>
        <w:top w:val="none" w:sz="0" w:space="0" w:color="auto"/>
        <w:left w:val="none" w:sz="0" w:space="0" w:color="auto"/>
        <w:bottom w:val="none" w:sz="0" w:space="0" w:color="auto"/>
        <w:right w:val="none" w:sz="0" w:space="0" w:color="auto"/>
      </w:divBdr>
    </w:div>
    <w:div w:id="1445420959">
      <w:bodyDiv w:val="1"/>
      <w:marLeft w:val="0"/>
      <w:marRight w:val="0"/>
      <w:marTop w:val="0"/>
      <w:marBottom w:val="0"/>
      <w:divBdr>
        <w:top w:val="none" w:sz="0" w:space="0" w:color="auto"/>
        <w:left w:val="none" w:sz="0" w:space="0" w:color="auto"/>
        <w:bottom w:val="none" w:sz="0" w:space="0" w:color="auto"/>
        <w:right w:val="none" w:sz="0" w:space="0" w:color="auto"/>
      </w:divBdr>
    </w:div>
    <w:div w:id="1445463783">
      <w:bodyDiv w:val="1"/>
      <w:marLeft w:val="0"/>
      <w:marRight w:val="0"/>
      <w:marTop w:val="0"/>
      <w:marBottom w:val="0"/>
      <w:divBdr>
        <w:top w:val="none" w:sz="0" w:space="0" w:color="auto"/>
        <w:left w:val="none" w:sz="0" w:space="0" w:color="auto"/>
        <w:bottom w:val="none" w:sz="0" w:space="0" w:color="auto"/>
        <w:right w:val="none" w:sz="0" w:space="0" w:color="auto"/>
      </w:divBdr>
    </w:div>
    <w:div w:id="1445534261">
      <w:bodyDiv w:val="1"/>
      <w:marLeft w:val="0"/>
      <w:marRight w:val="0"/>
      <w:marTop w:val="0"/>
      <w:marBottom w:val="0"/>
      <w:divBdr>
        <w:top w:val="none" w:sz="0" w:space="0" w:color="auto"/>
        <w:left w:val="none" w:sz="0" w:space="0" w:color="auto"/>
        <w:bottom w:val="none" w:sz="0" w:space="0" w:color="auto"/>
        <w:right w:val="none" w:sz="0" w:space="0" w:color="auto"/>
      </w:divBdr>
    </w:div>
    <w:div w:id="1445806311">
      <w:bodyDiv w:val="1"/>
      <w:marLeft w:val="0"/>
      <w:marRight w:val="0"/>
      <w:marTop w:val="0"/>
      <w:marBottom w:val="0"/>
      <w:divBdr>
        <w:top w:val="none" w:sz="0" w:space="0" w:color="auto"/>
        <w:left w:val="none" w:sz="0" w:space="0" w:color="auto"/>
        <w:bottom w:val="none" w:sz="0" w:space="0" w:color="auto"/>
        <w:right w:val="none" w:sz="0" w:space="0" w:color="auto"/>
      </w:divBdr>
    </w:div>
    <w:div w:id="1445953090">
      <w:bodyDiv w:val="1"/>
      <w:marLeft w:val="0"/>
      <w:marRight w:val="0"/>
      <w:marTop w:val="0"/>
      <w:marBottom w:val="0"/>
      <w:divBdr>
        <w:top w:val="none" w:sz="0" w:space="0" w:color="auto"/>
        <w:left w:val="none" w:sz="0" w:space="0" w:color="auto"/>
        <w:bottom w:val="none" w:sz="0" w:space="0" w:color="auto"/>
        <w:right w:val="none" w:sz="0" w:space="0" w:color="auto"/>
      </w:divBdr>
    </w:div>
    <w:div w:id="1446119245">
      <w:bodyDiv w:val="1"/>
      <w:marLeft w:val="0"/>
      <w:marRight w:val="0"/>
      <w:marTop w:val="0"/>
      <w:marBottom w:val="0"/>
      <w:divBdr>
        <w:top w:val="none" w:sz="0" w:space="0" w:color="auto"/>
        <w:left w:val="none" w:sz="0" w:space="0" w:color="auto"/>
        <w:bottom w:val="none" w:sz="0" w:space="0" w:color="auto"/>
        <w:right w:val="none" w:sz="0" w:space="0" w:color="auto"/>
      </w:divBdr>
    </w:div>
    <w:div w:id="1447118220">
      <w:bodyDiv w:val="1"/>
      <w:marLeft w:val="0"/>
      <w:marRight w:val="0"/>
      <w:marTop w:val="0"/>
      <w:marBottom w:val="0"/>
      <w:divBdr>
        <w:top w:val="none" w:sz="0" w:space="0" w:color="auto"/>
        <w:left w:val="none" w:sz="0" w:space="0" w:color="auto"/>
        <w:bottom w:val="none" w:sz="0" w:space="0" w:color="auto"/>
        <w:right w:val="none" w:sz="0" w:space="0" w:color="auto"/>
      </w:divBdr>
    </w:div>
    <w:div w:id="1447233390">
      <w:bodyDiv w:val="1"/>
      <w:marLeft w:val="0"/>
      <w:marRight w:val="0"/>
      <w:marTop w:val="0"/>
      <w:marBottom w:val="0"/>
      <w:divBdr>
        <w:top w:val="none" w:sz="0" w:space="0" w:color="auto"/>
        <w:left w:val="none" w:sz="0" w:space="0" w:color="auto"/>
        <w:bottom w:val="none" w:sz="0" w:space="0" w:color="auto"/>
        <w:right w:val="none" w:sz="0" w:space="0" w:color="auto"/>
      </w:divBdr>
    </w:div>
    <w:div w:id="1447386185">
      <w:bodyDiv w:val="1"/>
      <w:marLeft w:val="0"/>
      <w:marRight w:val="0"/>
      <w:marTop w:val="0"/>
      <w:marBottom w:val="0"/>
      <w:divBdr>
        <w:top w:val="none" w:sz="0" w:space="0" w:color="auto"/>
        <w:left w:val="none" w:sz="0" w:space="0" w:color="auto"/>
        <w:bottom w:val="none" w:sz="0" w:space="0" w:color="auto"/>
        <w:right w:val="none" w:sz="0" w:space="0" w:color="auto"/>
      </w:divBdr>
    </w:div>
    <w:div w:id="1447656499">
      <w:bodyDiv w:val="1"/>
      <w:marLeft w:val="0"/>
      <w:marRight w:val="0"/>
      <w:marTop w:val="0"/>
      <w:marBottom w:val="0"/>
      <w:divBdr>
        <w:top w:val="none" w:sz="0" w:space="0" w:color="auto"/>
        <w:left w:val="none" w:sz="0" w:space="0" w:color="auto"/>
        <w:bottom w:val="none" w:sz="0" w:space="0" w:color="auto"/>
        <w:right w:val="none" w:sz="0" w:space="0" w:color="auto"/>
      </w:divBdr>
    </w:div>
    <w:div w:id="1447889989">
      <w:bodyDiv w:val="1"/>
      <w:marLeft w:val="0"/>
      <w:marRight w:val="0"/>
      <w:marTop w:val="0"/>
      <w:marBottom w:val="0"/>
      <w:divBdr>
        <w:top w:val="none" w:sz="0" w:space="0" w:color="auto"/>
        <w:left w:val="none" w:sz="0" w:space="0" w:color="auto"/>
        <w:bottom w:val="none" w:sz="0" w:space="0" w:color="auto"/>
        <w:right w:val="none" w:sz="0" w:space="0" w:color="auto"/>
      </w:divBdr>
    </w:div>
    <w:div w:id="1448311497">
      <w:bodyDiv w:val="1"/>
      <w:marLeft w:val="0"/>
      <w:marRight w:val="0"/>
      <w:marTop w:val="0"/>
      <w:marBottom w:val="0"/>
      <w:divBdr>
        <w:top w:val="none" w:sz="0" w:space="0" w:color="auto"/>
        <w:left w:val="none" w:sz="0" w:space="0" w:color="auto"/>
        <w:bottom w:val="none" w:sz="0" w:space="0" w:color="auto"/>
        <w:right w:val="none" w:sz="0" w:space="0" w:color="auto"/>
      </w:divBdr>
    </w:div>
    <w:div w:id="1449201932">
      <w:bodyDiv w:val="1"/>
      <w:marLeft w:val="0"/>
      <w:marRight w:val="0"/>
      <w:marTop w:val="0"/>
      <w:marBottom w:val="0"/>
      <w:divBdr>
        <w:top w:val="none" w:sz="0" w:space="0" w:color="auto"/>
        <w:left w:val="none" w:sz="0" w:space="0" w:color="auto"/>
        <w:bottom w:val="none" w:sz="0" w:space="0" w:color="auto"/>
        <w:right w:val="none" w:sz="0" w:space="0" w:color="auto"/>
      </w:divBdr>
    </w:div>
    <w:div w:id="1449934293">
      <w:bodyDiv w:val="1"/>
      <w:marLeft w:val="0"/>
      <w:marRight w:val="0"/>
      <w:marTop w:val="0"/>
      <w:marBottom w:val="0"/>
      <w:divBdr>
        <w:top w:val="none" w:sz="0" w:space="0" w:color="auto"/>
        <w:left w:val="none" w:sz="0" w:space="0" w:color="auto"/>
        <w:bottom w:val="none" w:sz="0" w:space="0" w:color="auto"/>
        <w:right w:val="none" w:sz="0" w:space="0" w:color="auto"/>
      </w:divBdr>
    </w:div>
    <w:div w:id="1450860493">
      <w:bodyDiv w:val="1"/>
      <w:marLeft w:val="0"/>
      <w:marRight w:val="0"/>
      <w:marTop w:val="0"/>
      <w:marBottom w:val="0"/>
      <w:divBdr>
        <w:top w:val="none" w:sz="0" w:space="0" w:color="auto"/>
        <w:left w:val="none" w:sz="0" w:space="0" w:color="auto"/>
        <w:bottom w:val="none" w:sz="0" w:space="0" w:color="auto"/>
        <w:right w:val="none" w:sz="0" w:space="0" w:color="auto"/>
      </w:divBdr>
    </w:div>
    <w:div w:id="1450902774">
      <w:bodyDiv w:val="1"/>
      <w:marLeft w:val="0"/>
      <w:marRight w:val="0"/>
      <w:marTop w:val="0"/>
      <w:marBottom w:val="0"/>
      <w:divBdr>
        <w:top w:val="none" w:sz="0" w:space="0" w:color="auto"/>
        <w:left w:val="none" w:sz="0" w:space="0" w:color="auto"/>
        <w:bottom w:val="none" w:sz="0" w:space="0" w:color="auto"/>
        <w:right w:val="none" w:sz="0" w:space="0" w:color="auto"/>
      </w:divBdr>
    </w:div>
    <w:div w:id="1451587544">
      <w:bodyDiv w:val="1"/>
      <w:marLeft w:val="0"/>
      <w:marRight w:val="0"/>
      <w:marTop w:val="0"/>
      <w:marBottom w:val="0"/>
      <w:divBdr>
        <w:top w:val="none" w:sz="0" w:space="0" w:color="auto"/>
        <w:left w:val="none" w:sz="0" w:space="0" w:color="auto"/>
        <w:bottom w:val="none" w:sz="0" w:space="0" w:color="auto"/>
        <w:right w:val="none" w:sz="0" w:space="0" w:color="auto"/>
      </w:divBdr>
    </w:div>
    <w:div w:id="1451781138">
      <w:bodyDiv w:val="1"/>
      <w:marLeft w:val="0"/>
      <w:marRight w:val="0"/>
      <w:marTop w:val="0"/>
      <w:marBottom w:val="0"/>
      <w:divBdr>
        <w:top w:val="none" w:sz="0" w:space="0" w:color="auto"/>
        <w:left w:val="none" w:sz="0" w:space="0" w:color="auto"/>
        <w:bottom w:val="none" w:sz="0" w:space="0" w:color="auto"/>
        <w:right w:val="none" w:sz="0" w:space="0" w:color="auto"/>
      </w:divBdr>
    </w:div>
    <w:div w:id="1451969853">
      <w:bodyDiv w:val="1"/>
      <w:marLeft w:val="0"/>
      <w:marRight w:val="0"/>
      <w:marTop w:val="0"/>
      <w:marBottom w:val="0"/>
      <w:divBdr>
        <w:top w:val="none" w:sz="0" w:space="0" w:color="auto"/>
        <w:left w:val="none" w:sz="0" w:space="0" w:color="auto"/>
        <w:bottom w:val="none" w:sz="0" w:space="0" w:color="auto"/>
        <w:right w:val="none" w:sz="0" w:space="0" w:color="auto"/>
      </w:divBdr>
    </w:div>
    <w:div w:id="1452475817">
      <w:bodyDiv w:val="1"/>
      <w:marLeft w:val="0"/>
      <w:marRight w:val="0"/>
      <w:marTop w:val="0"/>
      <w:marBottom w:val="0"/>
      <w:divBdr>
        <w:top w:val="none" w:sz="0" w:space="0" w:color="auto"/>
        <w:left w:val="none" w:sz="0" w:space="0" w:color="auto"/>
        <w:bottom w:val="none" w:sz="0" w:space="0" w:color="auto"/>
        <w:right w:val="none" w:sz="0" w:space="0" w:color="auto"/>
      </w:divBdr>
    </w:div>
    <w:div w:id="1453088898">
      <w:bodyDiv w:val="1"/>
      <w:marLeft w:val="0"/>
      <w:marRight w:val="0"/>
      <w:marTop w:val="0"/>
      <w:marBottom w:val="0"/>
      <w:divBdr>
        <w:top w:val="none" w:sz="0" w:space="0" w:color="auto"/>
        <w:left w:val="none" w:sz="0" w:space="0" w:color="auto"/>
        <w:bottom w:val="none" w:sz="0" w:space="0" w:color="auto"/>
        <w:right w:val="none" w:sz="0" w:space="0" w:color="auto"/>
      </w:divBdr>
    </w:div>
    <w:div w:id="1453206911">
      <w:bodyDiv w:val="1"/>
      <w:marLeft w:val="0"/>
      <w:marRight w:val="0"/>
      <w:marTop w:val="0"/>
      <w:marBottom w:val="0"/>
      <w:divBdr>
        <w:top w:val="none" w:sz="0" w:space="0" w:color="auto"/>
        <w:left w:val="none" w:sz="0" w:space="0" w:color="auto"/>
        <w:bottom w:val="none" w:sz="0" w:space="0" w:color="auto"/>
        <w:right w:val="none" w:sz="0" w:space="0" w:color="auto"/>
      </w:divBdr>
    </w:div>
    <w:div w:id="1453210203">
      <w:bodyDiv w:val="1"/>
      <w:marLeft w:val="0"/>
      <w:marRight w:val="0"/>
      <w:marTop w:val="0"/>
      <w:marBottom w:val="0"/>
      <w:divBdr>
        <w:top w:val="none" w:sz="0" w:space="0" w:color="auto"/>
        <w:left w:val="none" w:sz="0" w:space="0" w:color="auto"/>
        <w:bottom w:val="none" w:sz="0" w:space="0" w:color="auto"/>
        <w:right w:val="none" w:sz="0" w:space="0" w:color="auto"/>
      </w:divBdr>
    </w:div>
    <w:div w:id="1453597275">
      <w:bodyDiv w:val="1"/>
      <w:marLeft w:val="0"/>
      <w:marRight w:val="0"/>
      <w:marTop w:val="0"/>
      <w:marBottom w:val="0"/>
      <w:divBdr>
        <w:top w:val="none" w:sz="0" w:space="0" w:color="auto"/>
        <w:left w:val="none" w:sz="0" w:space="0" w:color="auto"/>
        <w:bottom w:val="none" w:sz="0" w:space="0" w:color="auto"/>
        <w:right w:val="none" w:sz="0" w:space="0" w:color="auto"/>
      </w:divBdr>
    </w:div>
    <w:div w:id="1453785566">
      <w:bodyDiv w:val="1"/>
      <w:marLeft w:val="0"/>
      <w:marRight w:val="0"/>
      <w:marTop w:val="0"/>
      <w:marBottom w:val="0"/>
      <w:divBdr>
        <w:top w:val="none" w:sz="0" w:space="0" w:color="auto"/>
        <w:left w:val="none" w:sz="0" w:space="0" w:color="auto"/>
        <w:bottom w:val="none" w:sz="0" w:space="0" w:color="auto"/>
        <w:right w:val="none" w:sz="0" w:space="0" w:color="auto"/>
      </w:divBdr>
    </w:div>
    <w:div w:id="1455440224">
      <w:bodyDiv w:val="1"/>
      <w:marLeft w:val="0"/>
      <w:marRight w:val="0"/>
      <w:marTop w:val="0"/>
      <w:marBottom w:val="0"/>
      <w:divBdr>
        <w:top w:val="none" w:sz="0" w:space="0" w:color="auto"/>
        <w:left w:val="none" w:sz="0" w:space="0" w:color="auto"/>
        <w:bottom w:val="none" w:sz="0" w:space="0" w:color="auto"/>
        <w:right w:val="none" w:sz="0" w:space="0" w:color="auto"/>
      </w:divBdr>
    </w:div>
    <w:div w:id="1455715114">
      <w:bodyDiv w:val="1"/>
      <w:marLeft w:val="0"/>
      <w:marRight w:val="0"/>
      <w:marTop w:val="0"/>
      <w:marBottom w:val="0"/>
      <w:divBdr>
        <w:top w:val="none" w:sz="0" w:space="0" w:color="auto"/>
        <w:left w:val="none" w:sz="0" w:space="0" w:color="auto"/>
        <w:bottom w:val="none" w:sz="0" w:space="0" w:color="auto"/>
        <w:right w:val="none" w:sz="0" w:space="0" w:color="auto"/>
      </w:divBdr>
    </w:div>
    <w:div w:id="1455751881">
      <w:bodyDiv w:val="1"/>
      <w:marLeft w:val="0"/>
      <w:marRight w:val="0"/>
      <w:marTop w:val="0"/>
      <w:marBottom w:val="0"/>
      <w:divBdr>
        <w:top w:val="none" w:sz="0" w:space="0" w:color="auto"/>
        <w:left w:val="none" w:sz="0" w:space="0" w:color="auto"/>
        <w:bottom w:val="none" w:sz="0" w:space="0" w:color="auto"/>
        <w:right w:val="none" w:sz="0" w:space="0" w:color="auto"/>
      </w:divBdr>
    </w:div>
    <w:div w:id="1455757179">
      <w:bodyDiv w:val="1"/>
      <w:marLeft w:val="0"/>
      <w:marRight w:val="0"/>
      <w:marTop w:val="0"/>
      <w:marBottom w:val="0"/>
      <w:divBdr>
        <w:top w:val="none" w:sz="0" w:space="0" w:color="auto"/>
        <w:left w:val="none" w:sz="0" w:space="0" w:color="auto"/>
        <w:bottom w:val="none" w:sz="0" w:space="0" w:color="auto"/>
        <w:right w:val="none" w:sz="0" w:space="0" w:color="auto"/>
      </w:divBdr>
    </w:div>
    <w:div w:id="1455908210">
      <w:bodyDiv w:val="1"/>
      <w:marLeft w:val="0"/>
      <w:marRight w:val="0"/>
      <w:marTop w:val="0"/>
      <w:marBottom w:val="0"/>
      <w:divBdr>
        <w:top w:val="none" w:sz="0" w:space="0" w:color="auto"/>
        <w:left w:val="none" w:sz="0" w:space="0" w:color="auto"/>
        <w:bottom w:val="none" w:sz="0" w:space="0" w:color="auto"/>
        <w:right w:val="none" w:sz="0" w:space="0" w:color="auto"/>
      </w:divBdr>
    </w:div>
    <w:div w:id="1456018893">
      <w:bodyDiv w:val="1"/>
      <w:marLeft w:val="0"/>
      <w:marRight w:val="0"/>
      <w:marTop w:val="0"/>
      <w:marBottom w:val="0"/>
      <w:divBdr>
        <w:top w:val="none" w:sz="0" w:space="0" w:color="auto"/>
        <w:left w:val="none" w:sz="0" w:space="0" w:color="auto"/>
        <w:bottom w:val="none" w:sz="0" w:space="0" w:color="auto"/>
        <w:right w:val="none" w:sz="0" w:space="0" w:color="auto"/>
      </w:divBdr>
    </w:div>
    <w:div w:id="1456558738">
      <w:bodyDiv w:val="1"/>
      <w:marLeft w:val="0"/>
      <w:marRight w:val="0"/>
      <w:marTop w:val="0"/>
      <w:marBottom w:val="0"/>
      <w:divBdr>
        <w:top w:val="none" w:sz="0" w:space="0" w:color="auto"/>
        <w:left w:val="none" w:sz="0" w:space="0" w:color="auto"/>
        <w:bottom w:val="none" w:sz="0" w:space="0" w:color="auto"/>
        <w:right w:val="none" w:sz="0" w:space="0" w:color="auto"/>
      </w:divBdr>
    </w:div>
    <w:div w:id="1456870770">
      <w:bodyDiv w:val="1"/>
      <w:marLeft w:val="0"/>
      <w:marRight w:val="0"/>
      <w:marTop w:val="0"/>
      <w:marBottom w:val="0"/>
      <w:divBdr>
        <w:top w:val="none" w:sz="0" w:space="0" w:color="auto"/>
        <w:left w:val="none" w:sz="0" w:space="0" w:color="auto"/>
        <w:bottom w:val="none" w:sz="0" w:space="0" w:color="auto"/>
        <w:right w:val="none" w:sz="0" w:space="0" w:color="auto"/>
      </w:divBdr>
    </w:div>
    <w:div w:id="1457215595">
      <w:bodyDiv w:val="1"/>
      <w:marLeft w:val="0"/>
      <w:marRight w:val="0"/>
      <w:marTop w:val="0"/>
      <w:marBottom w:val="0"/>
      <w:divBdr>
        <w:top w:val="none" w:sz="0" w:space="0" w:color="auto"/>
        <w:left w:val="none" w:sz="0" w:space="0" w:color="auto"/>
        <w:bottom w:val="none" w:sz="0" w:space="0" w:color="auto"/>
        <w:right w:val="none" w:sz="0" w:space="0" w:color="auto"/>
      </w:divBdr>
    </w:div>
    <w:div w:id="1457412934">
      <w:bodyDiv w:val="1"/>
      <w:marLeft w:val="0"/>
      <w:marRight w:val="0"/>
      <w:marTop w:val="0"/>
      <w:marBottom w:val="0"/>
      <w:divBdr>
        <w:top w:val="none" w:sz="0" w:space="0" w:color="auto"/>
        <w:left w:val="none" w:sz="0" w:space="0" w:color="auto"/>
        <w:bottom w:val="none" w:sz="0" w:space="0" w:color="auto"/>
        <w:right w:val="none" w:sz="0" w:space="0" w:color="auto"/>
      </w:divBdr>
    </w:div>
    <w:div w:id="1458524205">
      <w:bodyDiv w:val="1"/>
      <w:marLeft w:val="0"/>
      <w:marRight w:val="0"/>
      <w:marTop w:val="0"/>
      <w:marBottom w:val="0"/>
      <w:divBdr>
        <w:top w:val="none" w:sz="0" w:space="0" w:color="auto"/>
        <w:left w:val="none" w:sz="0" w:space="0" w:color="auto"/>
        <w:bottom w:val="none" w:sz="0" w:space="0" w:color="auto"/>
        <w:right w:val="none" w:sz="0" w:space="0" w:color="auto"/>
      </w:divBdr>
    </w:div>
    <w:div w:id="1458643471">
      <w:bodyDiv w:val="1"/>
      <w:marLeft w:val="0"/>
      <w:marRight w:val="0"/>
      <w:marTop w:val="0"/>
      <w:marBottom w:val="0"/>
      <w:divBdr>
        <w:top w:val="none" w:sz="0" w:space="0" w:color="auto"/>
        <w:left w:val="none" w:sz="0" w:space="0" w:color="auto"/>
        <w:bottom w:val="none" w:sz="0" w:space="0" w:color="auto"/>
        <w:right w:val="none" w:sz="0" w:space="0" w:color="auto"/>
      </w:divBdr>
    </w:div>
    <w:div w:id="1458986271">
      <w:bodyDiv w:val="1"/>
      <w:marLeft w:val="0"/>
      <w:marRight w:val="0"/>
      <w:marTop w:val="0"/>
      <w:marBottom w:val="0"/>
      <w:divBdr>
        <w:top w:val="none" w:sz="0" w:space="0" w:color="auto"/>
        <w:left w:val="none" w:sz="0" w:space="0" w:color="auto"/>
        <w:bottom w:val="none" w:sz="0" w:space="0" w:color="auto"/>
        <w:right w:val="none" w:sz="0" w:space="0" w:color="auto"/>
      </w:divBdr>
    </w:div>
    <w:div w:id="1459300208">
      <w:bodyDiv w:val="1"/>
      <w:marLeft w:val="0"/>
      <w:marRight w:val="0"/>
      <w:marTop w:val="0"/>
      <w:marBottom w:val="0"/>
      <w:divBdr>
        <w:top w:val="none" w:sz="0" w:space="0" w:color="auto"/>
        <w:left w:val="none" w:sz="0" w:space="0" w:color="auto"/>
        <w:bottom w:val="none" w:sz="0" w:space="0" w:color="auto"/>
        <w:right w:val="none" w:sz="0" w:space="0" w:color="auto"/>
      </w:divBdr>
    </w:div>
    <w:div w:id="1459370806">
      <w:bodyDiv w:val="1"/>
      <w:marLeft w:val="0"/>
      <w:marRight w:val="0"/>
      <w:marTop w:val="0"/>
      <w:marBottom w:val="0"/>
      <w:divBdr>
        <w:top w:val="none" w:sz="0" w:space="0" w:color="auto"/>
        <w:left w:val="none" w:sz="0" w:space="0" w:color="auto"/>
        <w:bottom w:val="none" w:sz="0" w:space="0" w:color="auto"/>
        <w:right w:val="none" w:sz="0" w:space="0" w:color="auto"/>
      </w:divBdr>
    </w:div>
    <w:div w:id="1459375285">
      <w:bodyDiv w:val="1"/>
      <w:marLeft w:val="0"/>
      <w:marRight w:val="0"/>
      <w:marTop w:val="0"/>
      <w:marBottom w:val="0"/>
      <w:divBdr>
        <w:top w:val="none" w:sz="0" w:space="0" w:color="auto"/>
        <w:left w:val="none" w:sz="0" w:space="0" w:color="auto"/>
        <w:bottom w:val="none" w:sz="0" w:space="0" w:color="auto"/>
        <w:right w:val="none" w:sz="0" w:space="0" w:color="auto"/>
      </w:divBdr>
    </w:div>
    <w:div w:id="1459572463">
      <w:bodyDiv w:val="1"/>
      <w:marLeft w:val="0"/>
      <w:marRight w:val="0"/>
      <w:marTop w:val="0"/>
      <w:marBottom w:val="0"/>
      <w:divBdr>
        <w:top w:val="none" w:sz="0" w:space="0" w:color="auto"/>
        <w:left w:val="none" w:sz="0" w:space="0" w:color="auto"/>
        <w:bottom w:val="none" w:sz="0" w:space="0" w:color="auto"/>
        <w:right w:val="none" w:sz="0" w:space="0" w:color="auto"/>
      </w:divBdr>
    </w:div>
    <w:div w:id="1460298867">
      <w:bodyDiv w:val="1"/>
      <w:marLeft w:val="0"/>
      <w:marRight w:val="0"/>
      <w:marTop w:val="0"/>
      <w:marBottom w:val="0"/>
      <w:divBdr>
        <w:top w:val="none" w:sz="0" w:space="0" w:color="auto"/>
        <w:left w:val="none" w:sz="0" w:space="0" w:color="auto"/>
        <w:bottom w:val="none" w:sz="0" w:space="0" w:color="auto"/>
        <w:right w:val="none" w:sz="0" w:space="0" w:color="auto"/>
      </w:divBdr>
    </w:div>
    <w:div w:id="1460492401">
      <w:bodyDiv w:val="1"/>
      <w:marLeft w:val="0"/>
      <w:marRight w:val="0"/>
      <w:marTop w:val="0"/>
      <w:marBottom w:val="0"/>
      <w:divBdr>
        <w:top w:val="none" w:sz="0" w:space="0" w:color="auto"/>
        <w:left w:val="none" w:sz="0" w:space="0" w:color="auto"/>
        <w:bottom w:val="none" w:sz="0" w:space="0" w:color="auto"/>
        <w:right w:val="none" w:sz="0" w:space="0" w:color="auto"/>
      </w:divBdr>
    </w:div>
    <w:div w:id="1460873932">
      <w:bodyDiv w:val="1"/>
      <w:marLeft w:val="0"/>
      <w:marRight w:val="0"/>
      <w:marTop w:val="0"/>
      <w:marBottom w:val="0"/>
      <w:divBdr>
        <w:top w:val="none" w:sz="0" w:space="0" w:color="auto"/>
        <w:left w:val="none" w:sz="0" w:space="0" w:color="auto"/>
        <w:bottom w:val="none" w:sz="0" w:space="0" w:color="auto"/>
        <w:right w:val="none" w:sz="0" w:space="0" w:color="auto"/>
      </w:divBdr>
    </w:div>
    <w:div w:id="1461414014">
      <w:bodyDiv w:val="1"/>
      <w:marLeft w:val="0"/>
      <w:marRight w:val="0"/>
      <w:marTop w:val="0"/>
      <w:marBottom w:val="0"/>
      <w:divBdr>
        <w:top w:val="none" w:sz="0" w:space="0" w:color="auto"/>
        <w:left w:val="none" w:sz="0" w:space="0" w:color="auto"/>
        <w:bottom w:val="none" w:sz="0" w:space="0" w:color="auto"/>
        <w:right w:val="none" w:sz="0" w:space="0" w:color="auto"/>
      </w:divBdr>
    </w:div>
    <w:div w:id="1461533218">
      <w:bodyDiv w:val="1"/>
      <w:marLeft w:val="0"/>
      <w:marRight w:val="0"/>
      <w:marTop w:val="0"/>
      <w:marBottom w:val="0"/>
      <w:divBdr>
        <w:top w:val="none" w:sz="0" w:space="0" w:color="auto"/>
        <w:left w:val="none" w:sz="0" w:space="0" w:color="auto"/>
        <w:bottom w:val="none" w:sz="0" w:space="0" w:color="auto"/>
        <w:right w:val="none" w:sz="0" w:space="0" w:color="auto"/>
      </w:divBdr>
    </w:div>
    <w:div w:id="1461722405">
      <w:bodyDiv w:val="1"/>
      <w:marLeft w:val="0"/>
      <w:marRight w:val="0"/>
      <w:marTop w:val="0"/>
      <w:marBottom w:val="0"/>
      <w:divBdr>
        <w:top w:val="none" w:sz="0" w:space="0" w:color="auto"/>
        <w:left w:val="none" w:sz="0" w:space="0" w:color="auto"/>
        <w:bottom w:val="none" w:sz="0" w:space="0" w:color="auto"/>
        <w:right w:val="none" w:sz="0" w:space="0" w:color="auto"/>
      </w:divBdr>
    </w:div>
    <w:div w:id="1462454490">
      <w:bodyDiv w:val="1"/>
      <w:marLeft w:val="0"/>
      <w:marRight w:val="0"/>
      <w:marTop w:val="0"/>
      <w:marBottom w:val="0"/>
      <w:divBdr>
        <w:top w:val="none" w:sz="0" w:space="0" w:color="auto"/>
        <w:left w:val="none" w:sz="0" w:space="0" w:color="auto"/>
        <w:bottom w:val="none" w:sz="0" w:space="0" w:color="auto"/>
        <w:right w:val="none" w:sz="0" w:space="0" w:color="auto"/>
      </w:divBdr>
    </w:div>
    <w:div w:id="1462847151">
      <w:bodyDiv w:val="1"/>
      <w:marLeft w:val="0"/>
      <w:marRight w:val="0"/>
      <w:marTop w:val="0"/>
      <w:marBottom w:val="0"/>
      <w:divBdr>
        <w:top w:val="none" w:sz="0" w:space="0" w:color="auto"/>
        <w:left w:val="none" w:sz="0" w:space="0" w:color="auto"/>
        <w:bottom w:val="none" w:sz="0" w:space="0" w:color="auto"/>
        <w:right w:val="none" w:sz="0" w:space="0" w:color="auto"/>
      </w:divBdr>
    </w:div>
    <w:div w:id="1462961595">
      <w:bodyDiv w:val="1"/>
      <w:marLeft w:val="0"/>
      <w:marRight w:val="0"/>
      <w:marTop w:val="0"/>
      <w:marBottom w:val="0"/>
      <w:divBdr>
        <w:top w:val="none" w:sz="0" w:space="0" w:color="auto"/>
        <w:left w:val="none" w:sz="0" w:space="0" w:color="auto"/>
        <w:bottom w:val="none" w:sz="0" w:space="0" w:color="auto"/>
        <w:right w:val="none" w:sz="0" w:space="0" w:color="auto"/>
      </w:divBdr>
    </w:div>
    <w:div w:id="1463226226">
      <w:bodyDiv w:val="1"/>
      <w:marLeft w:val="0"/>
      <w:marRight w:val="0"/>
      <w:marTop w:val="0"/>
      <w:marBottom w:val="0"/>
      <w:divBdr>
        <w:top w:val="none" w:sz="0" w:space="0" w:color="auto"/>
        <w:left w:val="none" w:sz="0" w:space="0" w:color="auto"/>
        <w:bottom w:val="none" w:sz="0" w:space="0" w:color="auto"/>
        <w:right w:val="none" w:sz="0" w:space="0" w:color="auto"/>
      </w:divBdr>
    </w:div>
    <w:div w:id="1463424059">
      <w:bodyDiv w:val="1"/>
      <w:marLeft w:val="0"/>
      <w:marRight w:val="0"/>
      <w:marTop w:val="0"/>
      <w:marBottom w:val="0"/>
      <w:divBdr>
        <w:top w:val="none" w:sz="0" w:space="0" w:color="auto"/>
        <w:left w:val="none" w:sz="0" w:space="0" w:color="auto"/>
        <w:bottom w:val="none" w:sz="0" w:space="0" w:color="auto"/>
        <w:right w:val="none" w:sz="0" w:space="0" w:color="auto"/>
      </w:divBdr>
    </w:div>
    <w:div w:id="1463499790">
      <w:bodyDiv w:val="1"/>
      <w:marLeft w:val="0"/>
      <w:marRight w:val="0"/>
      <w:marTop w:val="0"/>
      <w:marBottom w:val="0"/>
      <w:divBdr>
        <w:top w:val="none" w:sz="0" w:space="0" w:color="auto"/>
        <w:left w:val="none" w:sz="0" w:space="0" w:color="auto"/>
        <w:bottom w:val="none" w:sz="0" w:space="0" w:color="auto"/>
        <w:right w:val="none" w:sz="0" w:space="0" w:color="auto"/>
      </w:divBdr>
    </w:div>
    <w:div w:id="1463615806">
      <w:bodyDiv w:val="1"/>
      <w:marLeft w:val="0"/>
      <w:marRight w:val="0"/>
      <w:marTop w:val="0"/>
      <w:marBottom w:val="0"/>
      <w:divBdr>
        <w:top w:val="none" w:sz="0" w:space="0" w:color="auto"/>
        <w:left w:val="none" w:sz="0" w:space="0" w:color="auto"/>
        <w:bottom w:val="none" w:sz="0" w:space="0" w:color="auto"/>
        <w:right w:val="none" w:sz="0" w:space="0" w:color="auto"/>
      </w:divBdr>
    </w:div>
    <w:div w:id="1463688316">
      <w:bodyDiv w:val="1"/>
      <w:marLeft w:val="0"/>
      <w:marRight w:val="0"/>
      <w:marTop w:val="0"/>
      <w:marBottom w:val="0"/>
      <w:divBdr>
        <w:top w:val="none" w:sz="0" w:space="0" w:color="auto"/>
        <w:left w:val="none" w:sz="0" w:space="0" w:color="auto"/>
        <w:bottom w:val="none" w:sz="0" w:space="0" w:color="auto"/>
        <w:right w:val="none" w:sz="0" w:space="0" w:color="auto"/>
      </w:divBdr>
    </w:div>
    <w:div w:id="1464495749">
      <w:bodyDiv w:val="1"/>
      <w:marLeft w:val="0"/>
      <w:marRight w:val="0"/>
      <w:marTop w:val="0"/>
      <w:marBottom w:val="0"/>
      <w:divBdr>
        <w:top w:val="none" w:sz="0" w:space="0" w:color="auto"/>
        <w:left w:val="none" w:sz="0" w:space="0" w:color="auto"/>
        <w:bottom w:val="none" w:sz="0" w:space="0" w:color="auto"/>
        <w:right w:val="none" w:sz="0" w:space="0" w:color="auto"/>
      </w:divBdr>
    </w:div>
    <w:div w:id="1464539719">
      <w:bodyDiv w:val="1"/>
      <w:marLeft w:val="0"/>
      <w:marRight w:val="0"/>
      <w:marTop w:val="0"/>
      <w:marBottom w:val="0"/>
      <w:divBdr>
        <w:top w:val="none" w:sz="0" w:space="0" w:color="auto"/>
        <w:left w:val="none" w:sz="0" w:space="0" w:color="auto"/>
        <w:bottom w:val="none" w:sz="0" w:space="0" w:color="auto"/>
        <w:right w:val="none" w:sz="0" w:space="0" w:color="auto"/>
      </w:divBdr>
    </w:div>
    <w:div w:id="1464687711">
      <w:bodyDiv w:val="1"/>
      <w:marLeft w:val="0"/>
      <w:marRight w:val="0"/>
      <w:marTop w:val="0"/>
      <w:marBottom w:val="0"/>
      <w:divBdr>
        <w:top w:val="none" w:sz="0" w:space="0" w:color="auto"/>
        <w:left w:val="none" w:sz="0" w:space="0" w:color="auto"/>
        <w:bottom w:val="none" w:sz="0" w:space="0" w:color="auto"/>
        <w:right w:val="none" w:sz="0" w:space="0" w:color="auto"/>
      </w:divBdr>
    </w:div>
    <w:div w:id="1464928220">
      <w:bodyDiv w:val="1"/>
      <w:marLeft w:val="0"/>
      <w:marRight w:val="0"/>
      <w:marTop w:val="0"/>
      <w:marBottom w:val="0"/>
      <w:divBdr>
        <w:top w:val="none" w:sz="0" w:space="0" w:color="auto"/>
        <w:left w:val="none" w:sz="0" w:space="0" w:color="auto"/>
        <w:bottom w:val="none" w:sz="0" w:space="0" w:color="auto"/>
        <w:right w:val="none" w:sz="0" w:space="0" w:color="auto"/>
      </w:divBdr>
    </w:div>
    <w:div w:id="1465155161">
      <w:bodyDiv w:val="1"/>
      <w:marLeft w:val="0"/>
      <w:marRight w:val="0"/>
      <w:marTop w:val="0"/>
      <w:marBottom w:val="0"/>
      <w:divBdr>
        <w:top w:val="none" w:sz="0" w:space="0" w:color="auto"/>
        <w:left w:val="none" w:sz="0" w:space="0" w:color="auto"/>
        <w:bottom w:val="none" w:sz="0" w:space="0" w:color="auto"/>
        <w:right w:val="none" w:sz="0" w:space="0" w:color="auto"/>
      </w:divBdr>
    </w:div>
    <w:div w:id="1466006705">
      <w:bodyDiv w:val="1"/>
      <w:marLeft w:val="0"/>
      <w:marRight w:val="0"/>
      <w:marTop w:val="0"/>
      <w:marBottom w:val="0"/>
      <w:divBdr>
        <w:top w:val="none" w:sz="0" w:space="0" w:color="auto"/>
        <w:left w:val="none" w:sz="0" w:space="0" w:color="auto"/>
        <w:bottom w:val="none" w:sz="0" w:space="0" w:color="auto"/>
        <w:right w:val="none" w:sz="0" w:space="0" w:color="auto"/>
      </w:divBdr>
    </w:div>
    <w:div w:id="1466198246">
      <w:bodyDiv w:val="1"/>
      <w:marLeft w:val="0"/>
      <w:marRight w:val="0"/>
      <w:marTop w:val="0"/>
      <w:marBottom w:val="0"/>
      <w:divBdr>
        <w:top w:val="none" w:sz="0" w:space="0" w:color="auto"/>
        <w:left w:val="none" w:sz="0" w:space="0" w:color="auto"/>
        <w:bottom w:val="none" w:sz="0" w:space="0" w:color="auto"/>
        <w:right w:val="none" w:sz="0" w:space="0" w:color="auto"/>
      </w:divBdr>
    </w:div>
    <w:div w:id="1466460588">
      <w:bodyDiv w:val="1"/>
      <w:marLeft w:val="0"/>
      <w:marRight w:val="0"/>
      <w:marTop w:val="0"/>
      <w:marBottom w:val="0"/>
      <w:divBdr>
        <w:top w:val="none" w:sz="0" w:space="0" w:color="auto"/>
        <w:left w:val="none" w:sz="0" w:space="0" w:color="auto"/>
        <w:bottom w:val="none" w:sz="0" w:space="0" w:color="auto"/>
        <w:right w:val="none" w:sz="0" w:space="0" w:color="auto"/>
      </w:divBdr>
    </w:div>
    <w:div w:id="1466461358">
      <w:bodyDiv w:val="1"/>
      <w:marLeft w:val="0"/>
      <w:marRight w:val="0"/>
      <w:marTop w:val="0"/>
      <w:marBottom w:val="0"/>
      <w:divBdr>
        <w:top w:val="none" w:sz="0" w:space="0" w:color="auto"/>
        <w:left w:val="none" w:sz="0" w:space="0" w:color="auto"/>
        <w:bottom w:val="none" w:sz="0" w:space="0" w:color="auto"/>
        <w:right w:val="none" w:sz="0" w:space="0" w:color="auto"/>
      </w:divBdr>
    </w:div>
    <w:div w:id="1466507663">
      <w:bodyDiv w:val="1"/>
      <w:marLeft w:val="0"/>
      <w:marRight w:val="0"/>
      <w:marTop w:val="0"/>
      <w:marBottom w:val="0"/>
      <w:divBdr>
        <w:top w:val="none" w:sz="0" w:space="0" w:color="auto"/>
        <w:left w:val="none" w:sz="0" w:space="0" w:color="auto"/>
        <w:bottom w:val="none" w:sz="0" w:space="0" w:color="auto"/>
        <w:right w:val="none" w:sz="0" w:space="0" w:color="auto"/>
      </w:divBdr>
    </w:div>
    <w:div w:id="1466704391">
      <w:bodyDiv w:val="1"/>
      <w:marLeft w:val="0"/>
      <w:marRight w:val="0"/>
      <w:marTop w:val="0"/>
      <w:marBottom w:val="0"/>
      <w:divBdr>
        <w:top w:val="none" w:sz="0" w:space="0" w:color="auto"/>
        <w:left w:val="none" w:sz="0" w:space="0" w:color="auto"/>
        <w:bottom w:val="none" w:sz="0" w:space="0" w:color="auto"/>
        <w:right w:val="none" w:sz="0" w:space="0" w:color="auto"/>
      </w:divBdr>
    </w:div>
    <w:div w:id="1467315964">
      <w:bodyDiv w:val="1"/>
      <w:marLeft w:val="0"/>
      <w:marRight w:val="0"/>
      <w:marTop w:val="0"/>
      <w:marBottom w:val="0"/>
      <w:divBdr>
        <w:top w:val="none" w:sz="0" w:space="0" w:color="auto"/>
        <w:left w:val="none" w:sz="0" w:space="0" w:color="auto"/>
        <w:bottom w:val="none" w:sz="0" w:space="0" w:color="auto"/>
        <w:right w:val="none" w:sz="0" w:space="0" w:color="auto"/>
      </w:divBdr>
    </w:div>
    <w:div w:id="1467383691">
      <w:bodyDiv w:val="1"/>
      <w:marLeft w:val="0"/>
      <w:marRight w:val="0"/>
      <w:marTop w:val="0"/>
      <w:marBottom w:val="0"/>
      <w:divBdr>
        <w:top w:val="none" w:sz="0" w:space="0" w:color="auto"/>
        <w:left w:val="none" w:sz="0" w:space="0" w:color="auto"/>
        <w:bottom w:val="none" w:sz="0" w:space="0" w:color="auto"/>
        <w:right w:val="none" w:sz="0" w:space="0" w:color="auto"/>
      </w:divBdr>
    </w:div>
    <w:div w:id="1467548399">
      <w:bodyDiv w:val="1"/>
      <w:marLeft w:val="0"/>
      <w:marRight w:val="0"/>
      <w:marTop w:val="0"/>
      <w:marBottom w:val="0"/>
      <w:divBdr>
        <w:top w:val="none" w:sz="0" w:space="0" w:color="auto"/>
        <w:left w:val="none" w:sz="0" w:space="0" w:color="auto"/>
        <w:bottom w:val="none" w:sz="0" w:space="0" w:color="auto"/>
        <w:right w:val="none" w:sz="0" w:space="0" w:color="auto"/>
      </w:divBdr>
    </w:div>
    <w:div w:id="1467774740">
      <w:bodyDiv w:val="1"/>
      <w:marLeft w:val="0"/>
      <w:marRight w:val="0"/>
      <w:marTop w:val="0"/>
      <w:marBottom w:val="0"/>
      <w:divBdr>
        <w:top w:val="none" w:sz="0" w:space="0" w:color="auto"/>
        <w:left w:val="none" w:sz="0" w:space="0" w:color="auto"/>
        <w:bottom w:val="none" w:sz="0" w:space="0" w:color="auto"/>
        <w:right w:val="none" w:sz="0" w:space="0" w:color="auto"/>
      </w:divBdr>
    </w:div>
    <w:div w:id="1467967215">
      <w:bodyDiv w:val="1"/>
      <w:marLeft w:val="0"/>
      <w:marRight w:val="0"/>
      <w:marTop w:val="0"/>
      <w:marBottom w:val="0"/>
      <w:divBdr>
        <w:top w:val="none" w:sz="0" w:space="0" w:color="auto"/>
        <w:left w:val="none" w:sz="0" w:space="0" w:color="auto"/>
        <w:bottom w:val="none" w:sz="0" w:space="0" w:color="auto"/>
        <w:right w:val="none" w:sz="0" w:space="0" w:color="auto"/>
      </w:divBdr>
    </w:div>
    <w:div w:id="1468356770">
      <w:bodyDiv w:val="1"/>
      <w:marLeft w:val="0"/>
      <w:marRight w:val="0"/>
      <w:marTop w:val="0"/>
      <w:marBottom w:val="0"/>
      <w:divBdr>
        <w:top w:val="none" w:sz="0" w:space="0" w:color="auto"/>
        <w:left w:val="none" w:sz="0" w:space="0" w:color="auto"/>
        <w:bottom w:val="none" w:sz="0" w:space="0" w:color="auto"/>
        <w:right w:val="none" w:sz="0" w:space="0" w:color="auto"/>
      </w:divBdr>
    </w:div>
    <w:div w:id="1468427285">
      <w:bodyDiv w:val="1"/>
      <w:marLeft w:val="0"/>
      <w:marRight w:val="0"/>
      <w:marTop w:val="0"/>
      <w:marBottom w:val="0"/>
      <w:divBdr>
        <w:top w:val="none" w:sz="0" w:space="0" w:color="auto"/>
        <w:left w:val="none" w:sz="0" w:space="0" w:color="auto"/>
        <w:bottom w:val="none" w:sz="0" w:space="0" w:color="auto"/>
        <w:right w:val="none" w:sz="0" w:space="0" w:color="auto"/>
      </w:divBdr>
    </w:div>
    <w:div w:id="1468549175">
      <w:bodyDiv w:val="1"/>
      <w:marLeft w:val="0"/>
      <w:marRight w:val="0"/>
      <w:marTop w:val="0"/>
      <w:marBottom w:val="0"/>
      <w:divBdr>
        <w:top w:val="none" w:sz="0" w:space="0" w:color="auto"/>
        <w:left w:val="none" w:sz="0" w:space="0" w:color="auto"/>
        <w:bottom w:val="none" w:sz="0" w:space="0" w:color="auto"/>
        <w:right w:val="none" w:sz="0" w:space="0" w:color="auto"/>
      </w:divBdr>
    </w:div>
    <w:div w:id="1468620528">
      <w:bodyDiv w:val="1"/>
      <w:marLeft w:val="0"/>
      <w:marRight w:val="0"/>
      <w:marTop w:val="0"/>
      <w:marBottom w:val="0"/>
      <w:divBdr>
        <w:top w:val="none" w:sz="0" w:space="0" w:color="auto"/>
        <w:left w:val="none" w:sz="0" w:space="0" w:color="auto"/>
        <w:bottom w:val="none" w:sz="0" w:space="0" w:color="auto"/>
        <w:right w:val="none" w:sz="0" w:space="0" w:color="auto"/>
      </w:divBdr>
    </w:div>
    <w:div w:id="1469009312">
      <w:bodyDiv w:val="1"/>
      <w:marLeft w:val="0"/>
      <w:marRight w:val="0"/>
      <w:marTop w:val="0"/>
      <w:marBottom w:val="0"/>
      <w:divBdr>
        <w:top w:val="none" w:sz="0" w:space="0" w:color="auto"/>
        <w:left w:val="none" w:sz="0" w:space="0" w:color="auto"/>
        <w:bottom w:val="none" w:sz="0" w:space="0" w:color="auto"/>
        <w:right w:val="none" w:sz="0" w:space="0" w:color="auto"/>
      </w:divBdr>
    </w:div>
    <w:div w:id="1469280027">
      <w:bodyDiv w:val="1"/>
      <w:marLeft w:val="0"/>
      <w:marRight w:val="0"/>
      <w:marTop w:val="0"/>
      <w:marBottom w:val="0"/>
      <w:divBdr>
        <w:top w:val="none" w:sz="0" w:space="0" w:color="auto"/>
        <w:left w:val="none" w:sz="0" w:space="0" w:color="auto"/>
        <w:bottom w:val="none" w:sz="0" w:space="0" w:color="auto"/>
        <w:right w:val="none" w:sz="0" w:space="0" w:color="auto"/>
      </w:divBdr>
    </w:div>
    <w:div w:id="1469324938">
      <w:bodyDiv w:val="1"/>
      <w:marLeft w:val="0"/>
      <w:marRight w:val="0"/>
      <w:marTop w:val="0"/>
      <w:marBottom w:val="0"/>
      <w:divBdr>
        <w:top w:val="none" w:sz="0" w:space="0" w:color="auto"/>
        <w:left w:val="none" w:sz="0" w:space="0" w:color="auto"/>
        <w:bottom w:val="none" w:sz="0" w:space="0" w:color="auto"/>
        <w:right w:val="none" w:sz="0" w:space="0" w:color="auto"/>
      </w:divBdr>
    </w:div>
    <w:div w:id="1469477147">
      <w:bodyDiv w:val="1"/>
      <w:marLeft w:val="0"/>
      <w:marRight w:val="0"/>
      <w:marTop w:val="0"/>
      <w:marBottom w:val="0"/>
      <w:divBdr>
        <w:top w:val="none" w:sz="0" w:space="0" w:color="auto"/>
        <w:left w:val="none" w:sz="0" w:space="0" w:color="auto"/>
        <w:bottom w:val="none" w:sz="0" w:space="0" w:color="auto"/>
        <w:right w:val="none" w:sz="0" w:space="0" w:color="auto"/>
      </w:divBdr>
    </w:div>
    <w:div w:id="1469591073">
      <w:bodyDiv w:val="1"/>
      <w:marLeft w:val="0"/>
      <w:marRight w:val="0"/>
      <w:marTop w:val="0"/>
      <w:marBottom w:val="0"/>
      <w:divBdr>
        <w:top w:val="none" w:sz="0" w:space="0" w:color="auto"/>
        <w:left w:val="none" w:sz="0" w:space="0" w:color="auto"/>
        <w:bottom w:val="none" w:sz="0" w:space="0" w:color="auto"/>
        <w:right w:val="none" w:sz="0" w:space="0" w:color="auto"/>
      </w:divBdr>
    </w:div>
    <w:div w:id="1469783190">
      <w:bodyDiv w:val="1"/>
      <w:marLeft w:val="0"/>
      <w:marRight w:val="0"/>
      <w:marTop w:val="0"/>
      <w:marBottom w:val="0"/>
      <w:divBdr>
        <w:top w:val="none" w:sz="0" w:space="0" w:color="auto"/>
        <w:left w:val="none" w:sz="0" w:space="0" w:color="auto"/>
        <w:bottom w:val="none" w:sz="0" w:space="0" w:color="auto"/>
        <w:right w:val="none" w:sz="0" w:space="0" w:color="auto"/>
      </w:divBdr>
    </w:div>
    <w:div w:id="1470126532">
      <w:bodyDiv w:val="1"/>
      <w:marLeft w:val="0"/>
      <w:marRight w:val="0"/>
      <w:marTop w:val="0"/>
      <w:marBottom w:val="0"/>
      <w:divBdr>
        <w:top w:val="none" w:sz="0" w:space="0" w:color="auto"/>
        <w:left w:val="none" w:sz="0" w:space="0" w:color="auto"/>
        <w:bottom w:val="none" w:sz="0" w:space="0" w:color="auto"/>
        <w:right w:val="none" w:sz="0" w:space="0" w:color="auto"/>
      </w:divBdr>
    </w:div>
    <w:div w:id="1470173418">
      <w:bodyDiv w:val="1"/>
      <w:marLeft w:val="0"/>
      <w:marRight w:val="0"/>
      <w:marTop w:val="0"/>
      <w:marBottom w:val="0"/>
      <w:divBdr>
        <w:top w:val="none" w:sz="0" w:space="0" w:color="auto"/>
        <w:left w:val="none" w:sz="0" w:space="0" w:color="auto"/>
        <w:bottom w:val="none" w:sz="0" w:space="0" w:color="auto"/>
        <w:right w:val="none" w:sz="0" w:space="0" w:color="auto"/>
      </w:divBdr>
    </w:div>
    <w:div w:id="1470248093">
      <w:bodyDiv w:val="1"/>
      <w:marLeft w:val="0"/>
      <w:marRight w:val="0"/>
      <w:marTop w:val="0"/>
      <w:marBottom w:val="0"/>
      <w:divBdr>
        <w:top w:val="none" w:sz="0" w:space="0" w:color="auto"/>
        <w:left w:val="none" w:sz="0" w:space="0" w:color="auto"/>
        <w:bottom w:val="none" w:sz="0" w:space="0" w:color="auto"/>
        <w:right w:val="none" w:sz="0" w:space="0" w:color="auto"/>
      </w:divBdr>
    </w:div>
    <w:div w:id="1470896842">
      <w:bodyDiv w:val="1"/>
      <w:marLeft w:val="0"/>
      <w:marRight w:val="0"/>
      <w:marTop w:val="0"/>
      <w:marBottom w:val="0"/>
      <w:divBdr>
        <w:top w:val="none" w:sz="0" w:space="0" w:color="auto"/>
        <w:left w:val="none" w:sz="0" w:space="0" w:color="auto"/>
        <w:bottom w:val="none" w:sz="0" w:space="0" w:color="auto"/>
        <w:right w:val="none" w:sz="0" w:space="0" w:color="auto"/>
      </w:divBdr>
    </w:div>
    <w:div w:id="1471284899">
      <w:bodyDiv w:val="1"/>
      <w:marLeft w:val="0"/>
      <w:marRight w:val="0"/>
      <w:marTop w:val="0"/>
      <w:marBottom w:val="0"/>
      <w:divBdr>
        <w:top w:val="none" w:sz="0" w:space="0" w:color="auto"/>
        <w:left w:val="none" w:sz="0" w:space="0" w:color="auto"/>
        <w:bottom w:val="none" w:sz="0" w:space="0" w:color="auto"/>
        <w:right w:val="none" w:sz="0" w:space="0" w:color="auto"/>
      </w:divBdr>
    </w:div>
    <w:div w:id="1471556794">
      <w:bodyDiv w:val="1"/>
      <w:marLeft w:val="0"/>
      <w:marRight w:val="0"/>
      <w:marTop w:val="0"/>
      <w:marBottom w:val="0"/>
      <w:divBdr>
        <w:top w:val="none" w:sz="0" w:space="0" w:color="auto"/>
        <w:left w:val="none" w:sz="0" w:space="0" w:color="auto"/>
        <w:bottom w:val="none" w:sz="0" w:space="0" w:color="auto"/>
        <w:right w:val="none" w:sz="0" w:space="0" w:color="auto"/>
      </w:divBdr>
    </w:div>
    <w:div w:id="1472555070">
      <w:bodyDiv w:val="1"/>
      <w:marLeft w:val="0"/>
      <w:marRight w:val="0"/>
      <w:marTop w:val="0"/>
      <w:marBottom w:val="0"/>
      <w:divBdr>
        <w:top w:val="none" w:sz="0" w:space="0" w:color="auto"/>
        <w:left w:val="none" w:sz="0" w:space="0" w:color="auto"/>
        <w:bottom w:val="none" w:sz="0" w:space="0" w:color="auto"/>
        <w:right w:val="none" w:sz="0" w:space="0" w:color="auto"/>
      </w:divBdr>
    </w:div>
    <w:div w:id="1473324140">
      <w:bodyDiv w:val="1"/>
      <w:marLeft w:val="0"/>
      <w:marRight w:val="0"/>
      <w:marTop w:val="0"/>
      <w:marBottom w:val="0"/>
      <w:divBdr>
        <w:top w:val="none" w:sz="0" w:space="0" w:color="auto"/>
        <w:left w:val="none" w:sz="0" w:space="0" w:color="auto"/>
        <w:bottom w:val="none" w:sz="0" w:space="0" w:color="auto"/>
        <w:right w:val="none" w:sz="0" w:space="0" w:color="auto"/>
      </w:divBdr>
    </w:div>
    <w:div w:id="1474520383">
      <w:bodyDiv w:val="1"/>
      <w:marLeft w:val="0"/>
      <w:marRight w:val="0"/>
      <w:marTop w:val="0"/>
      <w:marBottom w:val="0"/>
      <w:divBdr>
        <w:top w:val="none" w:sz="0" w:space="0" w:color="auto"/>
        <w:left w:val="none" w:sz="0" w:space="0" w:color="auto"/>
        <w:bottom w:val="none" w:sz="0" w:space="0" w:color="auto"/>
        <w:right w:val="none" w:sz="0" w:space="0" w:color="auto"/>
      </w:divBdr>
    </w:div>
    <w:div w:id="1474711527">
      <w:bodyDiv w:val="1"/>
      <w:marLeft w:val="0"/>
      <w:marRight w:val="0"/>
      <w:marTop w:val="0"/>
      <w:marBottom w:val="0"/>
      <w:divBdr>
        <w:top w:val="none" w:sz="0" w:space="0" w:color="auto"/>
        <w:left w:val="none" w:sz="0" w:space="0" w:color="auto"/>
        <w:bottom w:val="none" w:sz="0" w:space="0" w:color="auto"/>
        <w:right w:val="none" w:sz="0" w:space="0" w:color="auto"/>
      </w:divBdr>
    </w:div>
    <w:div w:id="1474714888">
      <w:bodyDiv w:val="1"/>
      <w:marLeft w:val="0"/>
      <w:marRight w:val="0"/>
      <w:marTop w:val="0"/>
      <w:marBottom w:val="0"/>
      <w:divBdr>
        <w:top w:val="none" w:sz="0" w:space="0" w:color="auto"/>
        <w:left w:val="none" w:sz="0" w:space="0" w:color="auto"/>
        <w:bottom w:val="none" w:sz="0" w:space="0" w:color="auto"/>
        <w:right w:val="none" w:sz="0" w:space="0" w:color="auto"/>
      </w:divBdr>
    </w:div>
    <w:div w:id="1475754397">
      <w:bodyDiv w:val="1"/>
      <w:marLeft w:val="0"/>
      <w:marRight w:val="0"/>
      <w:marTop w:val="0"/>
      <w:marBottom w:val="0"/>
      <w:divBdr>
        <w:top w:val="none" w:sz="0" w:space="0" w:color="auto"/>
        <w:left w:val="none" w:sz="0" w:space="0" w:color="auto"/>
        <w:bottom w:val="none" w:sz="0" w:space="0" w:color="auto"/>
        <w:right w:val="none" w:sz="0" w:space="0" w:color="auto"/>
      </w:divBdr>
    </w:div>
    <w:div w:id="1475873552">
      <w:bodyDiv w:val="1"/>
      <w:marLeft w:val="0"/>
      <w:marRight w:val="0"/>
      <w:marTop w:val="0"/>
      <w:marBottom w:val="0"/>
      <w:divBdr>
        <w:top w:val="none" w:sz="0" w:space="0" w:color="auto"/>
        <w:left w:val="none" w:sz="0" w:space="0" w:color="auto"/>
        <w:bottom w:val="none" w:sz="0" w:space="0" w:color="auto"/>
        <w:right w:val="none" w:sz="0" w:space="0" w:color="auto"/>
      </w:divBdr>
    </w:div>
    <w:div w:id="1475873585">
      <w:bodyDiv w:val="1"/>
      <w:marLeft w:val="0"/>
      <w:marRight w:val="0"/>
      <w:marTop w:val="0"/>
      <w:marBottom w:val="0"/>
      <w:divBdr>
        <w:top w:val="none" w:sz="0" w:space="0" w:color="auto"/>
        <w:left w:val="none" w:sz="0" w:space="0" w:color="auto"/>
        <w:bottom w:val="none" w:sz="0" w:space="0" w:color="auto"/>
        <w:right w:val="none" w:sz="0" w:space="0" w:color="auto"/>
      </w:divBdr>
    </w:div>
    <w:div w:id="1476677478">
      <w:bodyDiv w:val="1"/>
      <w:marLeft w:val="0"/>
      <w:marRight w:val="0"/>
      <w:marTop w:val="0"/>
      <w:marBottom w:val="0"/>
      <w:divBdr>
        <w:top w:val="none" w:sz="0" w:space="0" w:color="auto"/>
        <w:left w:val="none" w:sz="0" w:space="0" w:color="auto"/>
        <w:bottom w:val="none" w:sz="0" w:space="0" w:color="auto"/>
        <w:right w:val="none" w:sz="0" w:space="0" w:color="auto"/>
      </w:divBdr>
    </w:div>
    <w:div w:id="1476868611">
      <w:bodyDiv w:val="1"/>
      <w:marLeft w:val="0"/>
      <w:marRight w:val="0"/>
      <w:marTop w:val="0"/>
      <w:marBottom w:val="0"/>
      <w:divBdr>
        <w:top w:val="none" w:sz="0" w:space="0" w:color="auto"/>
        <w:left w:val="none" w:sz="0" w:space="0" w:color="auto"/>
        <w:bottom w:val="none" w:sz="0" w:space="0" w:color="auto"/>
        <w:right w:val="none" w:sz="0" w:space="0" w:color="auto"/>
      </w:divBdr>
    </w:div>
    <w:div w:id="1476951683">
      <w:bodyDiv w:val="1"/>
      <w:marLeft w:val="0"/>
      <w:marRight w:val="0"/>
      <w:marTop w:val="0"/>
      <w:marBottom w:val="0"/>
      <w:divBdr>
        <w:top w:val="none" w:sz="0" w:space="0" w:color="auto"/>
        <w:left w:val="none" w:sz="0" w:space="0" w:color="auto"/>
        <w:bottom w:val="none" w:sz="0" w:space="0" w:color="auto"/>
        <w:right w:val="none" w:sz="0" w:space="0" w:color="auto"/>
      </w:divBdr>
    </w:div>
    <w:div w:id="1477257465">
      <w:bodyDiv w:val="1"/>
      <w:marLeft w:val="0"/>
      <w:marRight w:val="0"/>
      <w:marTop w:val="0"/>
      <w:marBottom w:val="0"/>
      <w:divBdr>
        <w:top w:val="none" w:sz="0" w:space="0" w:color="auto"/>
        <w:left w:val="none" w:sz="0" w:space="0" w:color="auto"/>
        <w:bottom w:val="none" w:sz="0" w:space="0" w:color="auto"/>
        <w:right w:val="none" w:sz="0" w:space="0" w:color="auto"/>
      </w:divBdr>
    </w:div>
    <w:div w:id="1477457888">
      <w:bodyDiv w:val="1"/>
      <w:marLeft w:val="0"/>
      <w:marRight w:val="0"/>
      <w:marTop w:val="0"/>
      <w:marBottom w:val="0"/>
      <w:divBdr>
        <w:top w:val="none" w:sz="0" w:space="0" w:color="auto"/>
        <w:left w:val="none" w:sz="0" w:space="0" w:color="auto"/>
        <w:bottom w:val="none" w:sz="0" w:space="0" w:color="auto"/>
        <w:right w:val="none" w:sz="0" w:space="0" w:color="auto"/>
      </w:divBdr>
    </w:div>
    <w:div w:id="1477800055">
      <w:bodyDiv w:val="1"/>
      <w:marLeft w:val="0"/>
      <w:marRight w:val="0"/>
      <w:marTop w:val="0"/>
      <w:marBottom w:val="0"/>
      <w:divBdr>
        <w:top w:val="none" w:sz="0" w:space="0" w:color="auto"/>
        <w:left w:val="none" w:sz="0" w:space="0" w:color="auto"/>
        <w:bottom w:val="none" w:sz="0" w:space="0" w:color="auto"/>
        <w:right w:val="none" w:sz="0" w:space="0" w:color="auto"/>
      </w:divBdr>
    </w:div>
    <w:div w:id="1477987387">
      <w:bodyDiv w:val="1"/>
      <w:marLeft w:val="0"/>
      <w:marRight w:val="0"/>
      <w:marTop w:val="0"/>
      <w:marBottom w:val="0"/>
      <w:divBdr>
        <w:top w:val="none" w:sz="0" w:space="0" w:color="auto"/>
        <w:left w:val="none" w:sz="0" w:space="0" w:color="auto"/>
        <w:bottom w:val="none" w:sz="0" w:space="0" w:color="auto"/>
        <w:right w:val="none" w:sz="0" w:space="0" w:color="auto"/>
      </w:divBdr>
    </w:div>
    <w:div w:id="1477988751">
      <w:bodyDiv w:val="1"/>
      <w:marLeft w:val="0"/>
      <w:marRight w:val="0"/>
      <w:marTop w:val="0"/>
      <w:marBottom w:val="0"/>
      <w:divBdr>
        <w:top w:val="none" w:sz="0" w:space="0" w:color="auto"/>
        <w:left w:val="none" w:sz="0" w:space="0" w:color="auto"/>
        <w:bottom w:val="none" w:sz="0" w:space="0" w:color="auto"/>
        <w:right w:val="none" w:sz="0" w:space="0" w:color="auto"/>
      </w:divBdr>
    </w:div>
    <w:div w:id="1478103933">
      <w:bodyDiv w:val="1"/>
      <w:marLeft w:val="0"/>
      <w:marRight w:val="0"/>
      <w:marTop w:val="0"/>
      <w:marBottom w:val="0"/>
      <w:divBdr>
        <w:top w:val="none" w:sz="0" w:space="0" w:color="auto"/>
        <w:left w:val="none" w:sz="0" w:space="0" w:color="auto"/>
        <w:bottom w:val="none" w:sz="0" w:space="0" w:color="auto"/>
        <w:right w:val="none" w:sz="0" w:space="0" w:color="auto"/>
      </w:divBdr>
    </w:div>
    <w:div w:id="1478377320">
      <w:bodyDiv w:val="1"/>
      <w:marLeft w:val="0"/>
      <w:marRight w:val="0"/>
      <w:marTop w:val="0"/>
      <w:marBottom w:val="0"/>
      <w:divBdr>
        <w:top w:val="none" w:sz="0" w:space="0" w:color="auto"/>
        <w:left w:val="none" w:sz="0" w:space="0" w:color="auto"/>
        <w:bottom w:val="none" w:sz="0" w:space="0" w:color="auto"/>
        <w:right w:val="none" w:sz="0" w:space="0" w:color="auto"/>
      </w:divBdr>
    </w:div>
    <w:div w:id="1478691805">
      <w:bodyDiv w:val="1"/>
      <w:marLeft w:val="0"/>
      <w:marRight w:val="0"/>
      <w:marTop w:val="0"/>
      <w:marBottom w:val="0"/>
      <w:divBdr>
        <w:top w:val="none" w:sz="0" w:space="0" w:color="auto"/>
        <w:left w:val="none" w:sz="0" w:space="0" w:color="auto"/>
        <w:bottom w:val="none" w:sz="0" w:space="0" w:color="auto"/>
        <w:right w:val="none" w:sz="0" w:space="0" w:color="auto"/>
      </w:divBdr>
    </w:div>
    <w:div w:id="1478764079">
      <w:bodyDiv w:val="1"/>
      <w:marLeft w:val="0"/>
      <w:marRight w:val="0"/>
      <w:marTop w:val="0"/>
      <w:marBottom w:val="0"/>
      <w:divBdr>
        <w:top w:val="none" w:sz="0" w:space="0" w:color="auto"/>
        <w:left w:val="none" w:sz="0" w:space="0" w:color="auto"/>
        <w:bottom w:val="none" w:sz="0" w:space="0" w:color="auto"/>
        <w:right w:val="none" w:sz="0" w:space="0" w:color="auto"/>
      </w:divBdr>
    </w:div>
    <w:div w:id="1479566716">
      <w:bodyDiv w:val="1"/>
      <w:marLeft w:val="0"/>
      <w:marRight w:val="0"/>
      <w:marTop w:val="0"/>
      <w:marBottom w:val="0"/>
      <w:divBdr>
        <w:top w:val="none" w:sz="0" w:space="0" w:color="auto"/>
        <w:left w:val="none" w:sz="0" w:space="0" w:color="auto"/>
        <w:bottom w:val="none" w:sz="0" w:space="0" w:color="auto"/>
        <w:right w:val="none" w:sz="0" w:space="0" w:color="auto"/>
      </w:divBdr>
    </w:div>
    <w:div w:id="1479569899">
      <w:bodyDiv w:val="1"/>
      <w:marLeft w:val="0"/>
      <w:marRight w:val="0"/>
      <w:marTop w:val="0"/>
      <w:marBottom w:val="0"/>
      <w:divBdr>
        <w:top w:val="none" w:sz="0" w:space="0" w:color="auto"/>
        <w:left w:val="none" w:sz="0" w:space="0" w:color="auto"/>
        <w:bottom w:val="none" w:sz="0" w:space="0" w:color="auto"/>
        <w:right w:val="none" w:sz="0" w:space="0" w:color="auto"/>
      </w:divBdr>
    </w:div>
    <w:div w:id="1479610259">
      <w:bodyDiv w:val="1"/>
      <w:marLeft w:val="0"/>
      <w:marRight w:val="0"/>
      <w:marTop w:val="0"/>
      <w:marBottom w:val="0"/>
      <w:divBdr>
        <w:top w:val="none" w:sz="0" w:space="0" w:color="auto"/>
        <w:left w:val="none" w:sz="0" w:space="0" w:color="auto"/>
        <w:bottom w:val="none" w:sz="0" w:space="0" w:color="auto"/>
        <w:right w:val="none" w:sz="0" w:space="0" w:color="auto"/>
      </w:divBdr>
    </w:div>
    <w:div w:id="1479763390">
      <w:bodyDiv w:val="1"/>
      <w:marLeft w:val="0"/>
      <w:marRight w:val="0"/>
      <w:marTop w:val="0"/>
      <w:marBottom w:val="0"/>
      <w:divBdr>
        <w:top w:val="none" w:sz="0" w:space="0" w:color="auto"/>
        <w:left w:val="none" w:sz="0" w:space="0" w:color="auto"/>
        <w:bottom w:val="none" w:sz="0" w:space="0" w:color="auto"/>
        <w:right w:val="none" w:sz="0" w:space="0" w:color="auto"/>
      </w:divBdr>
    </w:div>
    <w:div w:id="1479882127">
      <w:bodyDiv w:val="1"/>
      <w:marLeft w:val="0"/>
      <w:marRight w:val="0"/>
      <w:marTop w:val="0"/>
      <w:marBottom w:val="0"/>
      <w:divBdr>
        <w:top w:val="none" w:sz="0" w:space="0" w:color="auto"/>
        <w:left w:val="none" w:sz="0" w:space="0" w:color="auto"/>
        <w:bottom w:val="none" w:sz="0" w:space="0" w:color="auto"/>
        <w:right w:val="none" w:sz="0" w:space="0" w:color="auto"/>
      </w:divBdr>
    </w:div>
    <w:div w:id="1480223083">
      <w:bodyDiv w:val="1"/>
      <w:marLeft w:val="0"/>
      <w:marRight w:val="0"/>
      <w:marTop w:val="0"/>
      <w:marBottom w:val="0"/>
      <w:divBdr>
        <w:top w:val="none" w:sz="0" w:space="0" w:color="auto"/>
        <w:left w:val="none" w:sz="0" w:space="0" w:color="auto"/>
        <w:bottom w:val="none" w:sz="0" w:space="0" w:color="auto"/>
        <w:right w:val="none" w:sz="0" w:space="0" w:color="auto"/>
      </w:divBdr>
    </w:div>
    <w:div w:id="1480539170">
      <w:bodyDiv w:val="1"/>
      <w:marLeft w:val="0"/>
      <w:marRight w:val="0"/>
      <w:marTop w:val="0"/>
      <w:marBottom w:val="0"/>
      <w:divBdr>
        <w:top w:val="none" w:sz="0" w:space="0" w:color="auto"/>
        <w:left w:val="none" w:sz="0" w:space="0" w:color="auto"/>
        <w:bottom w:val="none" w:sz="0" w:space="0" w:color="auto"/>
        <w:right w:val="none" w:sz="0" w:space="0" w:color="auto"/>
      </w:divBdr>
    </w:div>
    <w:div w:id="1480809578">
      <w:bodyDiv w:val="1"/>
      <w:marLeft w:val="0"/>
      <w:marRight w:val="0"/>
      <w:marTop w:val="0"/>
      <w:marBottom w:val="0"/>
      <w:divBdr>
        <w:top w:val="none" w:sz="0" w:space="0" w:color="auto"/>
        <w:left w:val="none" w:sz="0" w:space="0" w:color="auto"/>
        <w:bottom w:val="none" w:sz="0" w:space="0" w:color="auto"/>
        <w:right w:val="none" w:sz="0" w:space="0" w:color="auto"/>
      </w:divBdr>
    </w:div>
    <w:div w:id="1480879786">
      <w:bodyDiv w:val="1"/>
      <w:marLeft w:val="0"/>
      <w:marRight w:val="0"/>
      <w:marTop w:val="0"/>
      <w:marBottom w:val="0"/>
      <w:divBdr>
        <w:top w:val="none" w:sz="0" w:space="0" w:color="auto"/>
        <w:left w:val="none" w:sz="0" w:space="0" w:color="auto"/>
        <w:bottom w:val="none" w:sz="0" w:space="0" w:color="auto"/>
        <w:right w:val="none" w:sz="0" w:space="0" w:color="auto"/>
      </w:divBdr>
    </w:div>
    <w:div w:id="1480926470">
      <w:bodyDiv w:val="1"/>
      <w:marLeft w:val="0"/>
      <w:marRight w:val="0"/>
      <w:marTop w:val="0"/>
      <w:marBottom w:val="0"/>
      <w:divBdr>
        <w:top w:val="none" w:sz="0" w:space="0" w:color="auto"/>
        <w:left w:val="none" w:sz="0" w:space="0" w:color="auto"/>
        <w:bottom w:val="none" w:sz="0" w:space="0" w:color="auto"/>
        <w:right w:val="none" w:sz="0" w:space="0" w:color="auto"/>
      </w:divBdr>
    </w:div>
    <w:div w:id="1481658362">
      <w:bodyDiv w:val="1"/>
      <w:marLeft w:val="0"/>
      <w:marRight w:val="0"/>
      <w:marTop w:val="0"/>
      <w:marBottom w:val="0"/>
      <w:divBdr>
        <w:top w:val="none" w:sz="0" w:space="0" w:color="auto"/>
        <w:left w:val="none" w:sz="0" w:space="0" w:color="auto"/>
        <w:bottom w:val="none" w:sz="0" w:space="0" w:color="auto"/>
        <w:right w:val="none" w:sz="0" w:space="0" w:color="auto"/>
      </w:divBdr>
    </w:div>
    <w:div w:id="1481727722">
      <w:bodyDiv w:val="1"/>
      <w:marLeft w:val="0"/>
      <w:marRight w:val="0"/>
      <w:marTop w:val="0"/>
      <w:marBottom w:val="0"/>
      <w:divBdr>
        <w:top w:val="none" w:sz="0" w:space="0" w:color="auto"/>
        <w:left w:val="none" w:sz="0" w:space="0" w:color="auto"/>
        <w:bottom w:val="none" w:sz="0" w:space="0" w:color="auto"/>
        <w:right w:val="none" w:sz="0" w:space="0" w:color="auto"/>
      </w:divBdr>
    </w:div>
    <w:div w:id="1482579865">
      <w:bodyDiv w:val="1"/>
      <w:marLeft w:val="0"/>
      <w:marRight w:val="0"/>
      <w:marTop w:val="0"/>
      <w:marBottom w:val="0"/>
      <w:divBdr>
        <w:top w:val="none" w:sz="0" w:space="0" w:color="auto"/>
        <w:left w:val="none" w:sz="0" w:space="0" w:color="auto"/>
        <w:bottom w:val="none" w:sz="0" w:space="0" w:color="auto"/>
        <w:right w:val="none" w:sz="0" w:space="0" w:color="auto"/>
      </w:divBdr>
    </w:div>
    <w:div w:id="1482648162">
      <w:bodyDiv w:val="1"/>
      <w:marLeft w:val="0"/>
      <w:marRight w:val="0"/>
      <w:marTop w:val="0"/>
      <w:marBottom w:val="0"/>
      <w:divBdr>
        <w:top w:val="none" w:sz="0" w:space="0" w:color="auto"/>
        <w:left w:val="none" w:sz="0" w:space="0" w:color="auto"/>
        <w:bottom w:val="none" w:sz="0" w:space="0" w:color="auto"/>
        <w:right w:val="none" w:sz="0" w:space="0" w:color="auto"/>
      </w:divBdr>
    </w:div>
    <w:div w:id="1482891817">
      <w:bodyDiv w:val="1"/>
      <w:marLeft w:val="0"/>
      <w:marRight w:val="0"/>
      <w:marTop w:val="0"/>
      <w:marBottom w:val="0"/>
      <w:divBdr>
        <w:top w:val="none" w:sz="0" w:space="0" w:color="auto"/>
        <w:left w:val="none" w:sz="0" w:space="0" w:color="auto"/>
        <w:bottom w:val="none" w:sz="0" w:space="0" w:color="auto"/>
        <w:right w:val="none" w:sz="0" w:space="0" w:color="auto"/>
      </w:divBdr>
    </w:div>
    <w:div w:id="1483156715">
      <w:bodyDiv w:val="1"/>
      <w:marLeft w:val="0"/>
      <w:marRight w:val="0"/>
      <w:marTop w:val="0"/>
      <w:marBottom w:val="0"/>
      <w:divBdr>
        <w:top w:val="none" w:sz="0" w:space="0" w:color="auto"/>
        <w:left w:val="none" w:sz="0" w:space="0" w:color="auto"/>
        <w:bottom w:val="none" w:sz="0" w:space="0" w:color="auto"/>
        <w:right w:val="none" w:sz="0" w:space="0" w:color="auto"/>
      </w:divBdr>
    </w:div>
    <w:div w:id="1483427209">
      <w:bodyDiv w:val="1"/>
      <w:marLeft w:val="0"/>
      <w:marRight w:val="0"/>
      <w:marTop w:val="0"/>
      <w:marBottom w:val="0"/>
      <w:divBdr>
        <w:top w:val="none" w:sz="0" w:space="0" w:color="auto"/>
        <w:left w:val="none" w:sz="0" w:space="0" w:color="auto"/>
        <w:bottom w:val="none" w:sz="0" w:space="0" w:color="auto"/>
        <w:right w:val="none" w:sz="0" w:space="0" w:color="auto"/>
      </w:divBdr>
    </w:div>
    <w:div w:id="1483614989">
      <w:bodyDiv w:val="1"/>
      <w:marLeft w:val="0"/>
      <w:marRight w:val="0"/>
      <w:marTop w:val="0"/>
      <w:marBottom w:val="0"/>
      <w:divBdr>
        <w:top w:val="none" w:sz="0" w:space="0" w:color="auto"/>
        <w:left w:val="none" w:sz="0" w:space="0" w:color="auto"/>
        <w:bottom w:val="none" w:sz="0" w:space="0" w:color="auto"/>
        <w:right w:val="none" w:sz="0" w:space="0" w:color="auto"/>
      </w:divBdr>
    </w:div>
    <w:div w:id="1483693632">
      <w:bodyDiv w:val="1"/>
      <w:marLeft w:val="0"/>
      <w:marRight w:val="0"/>
      <w:marTop w:val="0"/>
      <w:marBottom w:val="0"/>
      <w:divBdr>
        <w:top w:val="none" w:sz="0" w:space="0" w:color="auto"/>
        <w:left w:val="none" w:sz="0" w:space="0" w:color="auto"/>
        <w:bottom w:val="none" w:sz="0" w:space="0" w:color="auto"/>
        <w:right w:val="none" w:sz="0" w:space="0" w:color="auto"/>
      </w:divBdr>
    </w:div>
    <w:div w:id="1483933227">
      <w:bodyDiv w:val="1"/>
      <w:marLeft w:val="0"/>
      <w:marRight w:val="0"/>
      <w:marTop w:val="0"/>
      <w:marBottom w:val="0"/>
      <w:divBdr>
        <w:top w:val="none" w:sz="0" w:space="0" w:color="auto"/>
        <w:left w:val="none" w:sz="0" w:space="0" w:color="auto"/>
        <w:bottom w:val="none" w:sz="0" w:space="0" w:color="auto"/>
        <w:right w:val="none" w:sz="0" w:space="0" w:color="auto"/>
      </w:divBdr>
    </w:div>
    <w:div w:id="1484154518">
      <w:bodyDiv w:val="1"/>
      <w:marLeft w:val="0"/>
      <w:marRight w:val="0"/>
      <w:marTop w:val="0"/>
      <w:marBottom w:val="0"/>
      <w:divBdr>
        <w:top w:val="none" w:sz="0" w:space="0" w:color="auto"/>
        <w:left w:val="none" w:sz="0" w:space="0" w:color="auto"/>
        <w:bottom w:val="none" w:sz="0" w:space="0" w:color="auto"/>
        <w:right w:val="none" w:sz="0" w:space="0" w:color="auto"/>
      </w:divBdr>
    </w:div>
    <w:div w:id="1484200934">
      <w:bodyDiv w:val="1"/>
      <w:marLeft w:val="0"/>
      <w:marRight w:val="0"/>
      <w:marTop w:val="0"/>
      <w:marBottom w:val="0"/>
      <w:divBdr>
        <w:top w:val="none" w:sz="0" w:space="0" w:color="auto"/>
        <w:left w:val="none" w:sz="0" w:space="0" w:color="auto"/>
        <w:bottom w:val="none" w:sz="0" w:space="0" w:color="auto"/>
        <w:right w:val="none" w:sz="0" w:space="0" w:color="auto"/>
      </w:divBdr>
    </w:div>
    <w:div w:id="1484546567">
      <w:bodyDiv w:val="1"/>
      <w:marLeft w:val="0"/>
      <w:marRight w:val="0"/>
      <w:marTop w:val="0"/>
      <w:marBottom w:val="0"/>
      <w:divBdr>
        <w:top w:val="none" w:sz="0" w:space="0" w:color="auto"/>
        <w:left w:val="none" w:sz="0" w:space="0" w:color="auto"/>
        <w:bottom w:val="none" w:sz="0" w:space="0" w:color="auto"/>
        <w:right w:val="none" w:sz="0" w:space="0" w:color="auto"/>
      </w:divBdr>
    </w:div>
    <w:div w:id="1484926282">
      <w:bodyDiv w:val="1"/>
      <w:marLeft w:val="0"/>
      <w:marRight w:val="0"/>
      <w:marTop w:val="0"/>
      <w:marBottom w:val="0"/>
      <w:divBdr>
        <w:top w:val="none" w:sz="0" w:space="0" w:color="auto"/>
        <w:left w:val="none" w:sz="0" w:space="0" w:color="auto"/>
        <w:bottom w:val="none" w:sz="0" w:space="0" w:color="auto"/>
        <w:right w:val="none" w:sz="0" w:space="0" w:color="auto"/>
      </w:divBdr>
    </w:div>
    <w:div w:id="1485046818">
      <w:bodyDiv w:val="1"/>
      <w:marLeft w:val="0"/>
      <w:marRight w:val="0"/>
      <w:marTop w:val="0"/>
      <w:marBottom w:val="0"/>
      <w:divBdr>
        <w:top w:val="none" w:sz="0" w:space="0" w:color="auto"/>
        <w:left w:val="none" w:sz="0" w:space="0" w:color="auto"/>
        <w:bottom w:val="none" w:sz="0" w:space="0" w:color="auto"/>
        <w:right w:val="none" w:sz="0" w:space="0" w:color="auto"/>
      </w:divBdr>
    </w:div>
    <w:div w:id="1485078284">
      <w:bodyDiv w:val="1"/>
      <w:marLeft w:val="0"/>
      <w:marRight w:val="0"/>
      <w:marTop w:val="0"/>
      <w:marBottom w:val="0"/>
      <w:divBdr>
        <w:top w:val="none" w:sz="0" w:space="0" w:color="auto"/>
        <w:left w:val="none" w:sz="0" w:space="0" w:color="auto"/>
        <w:bottom w:val="none" w:sz="0" w:space="0" w:color="auto"/>
        <w:right w:val="none" w:sz="0" w:space="0" w:color="auto"/>
      </w:divBdr>
    </w:div>
    <w:div w:id="1485119955">
      <w:bodyDiv w:val="1"/>
      <w:marLeft w:val="0"/>
      <w:marRight w:val="0"/>
      <w:marTop w:val="0"/>
      <w:marBottom w:val="0"/>
      <w:divBdr>
        <w:top w:val="none" w:sz="0" w:space="0" w:color="auto"/>
        <w:left w:val="none" w:sz="0" w:space="0" w:color="auto"/>
        <w:bottom w:val="none" w:sz="0" w:space="0" w:color="auto"/>
        <w:right w:val="none" w:sz="0" w:space="0" w:color="auto"/>
      </w:divBdr>
    </w:div>
    <w:div w:id="1485391283">
      <w:bodyDiv w:val="1"/>
      <w:marLeft w:val="0"/>
      <w:marRight w:val="0"/>
      <w:marTop w:val="0"/>
      <w:marBottom w:val="0"/>
      <w:divBdr>
        <w:top w:val="none" w:sz="0" w:space="0" w:color="auto"/>
        <w:left w:val="none" w:sz="0" w:space="0" w:color="auto"/>
        <w:bottom w:val="none" w:sz="0" w:space="0" w:color="auto"/>
        <w:right w:val="none" w:sz="0" w:space="0" w:color="auto"/>
      </w:divBdr>
    </w:div>
    <w:div w:id="1485702377">
      <w:bodyDiv w:val="1"/>
      <w:marLeft w:val="0"/>
      <w:marRight w:val="0"/>
      <w:marTop w:val="0"/>
      <w:marBottom w:val="0"/>
      <w:divBdr>
        <w:top w:val="none" w:sz="0" w:space="0" w:color="auto"/>
        <w:left w:val="none" w:sz="0" w:space="0" w:color="auto"/>
        <w:bottom w:val="none" w:sz="0" w:space="0" w:color="auto"/>
        <w:right w:val="none" w:sz="0" w:space="0" w:color="auto"/>
      </w:divBdr>
    </w:div>
    <w:div w:id="1485926976">
      <w:bodyDiv w:val="1"/>
      <w:marLeft w:val="0"/>
      <w:marRight w:val="0"/>
      <w:marTop w:val="0"/>
      <w:marBottom w:val="0"/>
      <w:divBdr>
        <w:top w:val="none" w:sz="0" w:space="0" w:color="auto"/>
        <w:left w:val="none" w:sz="0" w:space="0" w:color="auto"/>
        <w:bottom w:val="none" w:sz="0" w:space="0" w:color="auto"/>
        <w:right w:val="none" w:sz="0" w:space="0" w:color="auto"/>
      </w:divBdr>
    </w:div>
    <w:div w:id="1486168339">
      <w:bodyDiv w:val="1"/>
      <w:marLeft w:val="0"/>
      <w:marRight w:val="0"/>
      <w:marTop w:val="0"/>
      <w:marBottom w:val="0"/>
      <w:divBdr>
        <w:top w:val="none" w:sz="0" w:space="0" w:color="auto"/>
        <w:left w:val="none" w:sz="0" w:space="0" w:color="auto"/>
        <w:bottom w:val="none" w:sz="0" w:space="0" w:color="auto"/>
        <w:right w:val="none" w:sz="0" w:space="0" w:color="auto"/>
      </w:divBdr>
    </w:div>
    <w:div w:id="1486821466">
      <w:bodyDiv w:val="1"/>
      <w:marLeft w:val="0"/>
      <w:marRight w:val="0"/>
      <w:marTop w:val="0"/>
      <w:marBottom w:val="0"/>
      <w:divBdr>
        <w:top w:val="none" w:sz="0" w:space="0" w:color="auto"/>
        <w:left w:val="none" w:sz="0" w:space="0" w:color="auto"/>
        <w:bottom w:val="none" w:sz="0" w:space="0" w:color="auto"/>
        <w:right w:val="none" w:sz="0" w:space="0" w:color="auto"/>
      </w:divBdr>
    </w:div>
    <w:div w:id="1487160573">
      <w:bodyDiv w:val="1"/>
      <w:marLeft w:val="0"/>
      <w:marRight w:val="0"/>
      <w:marTop w:val="0"/>
      <w:marBottom w:val="0"/>
      <w:divBdr>
        <w:top w:val="none" w:sz="0" w:space="0" w:color="auto"/>
        <w:left w:val="none" w:sz="0" w:space="0" w:color="auto"/>
        <w:bottom w:val="none" w:sz="0" w:space="0" w:color="auto"/>
        <w:right w:val="none" w:sz="0" w:space="0" w:color="auto"/>
      </w:divBdr>
    </w:div>
    <w:div w:id="1487354316">
      <w:bodyDiv w:val="1"/>
      <w:marLeft w:val="0"/>
      <w:marRight w:val="0"/>
      <w:marTop w:val="0"/>
      <w:marBottom w:val="0"/>
      <w:divBdr>
        <w:top w:val="none" w:sz="0" w:space="0" w:color="auto"/>
        <w:left w:val="none" w:sz="0" w:space="0" w:color="auto"/>
        <w:bottom w:val="none" w:sz="0" w:space="0" w:color="auto"/>
        <w:right w:val="none" w:sz="0" w:space="0" w:color="auto"/>
      </w:divBdr>
    </w:div>
    <w:div w:id="1487354861">
      <w:bodyDiv w:val="1"/>
      <w:marLeft w:val="0"/>
      <w:marRight w:val="0"/>
      <w:marTop w:val="0"/>
      <w:marBottom w:val="0"/>
      <w:divBdr>
        <w:top w:val="none" w:sz="0" w:space="0" w:color="auto"/>
        <w:left w:val="none" w:sz="0" w:space="0" w:color="auto"/>
        <w:bottom w:val="none" w:sz="0" w:space="0" w:color="auto"/>
        <w:right w:val="none" w:sz="0" w:space="0" w:color="auto"/>
      </w:divBdr>
    </w:div>
    <w:div w:id="1487477684">
      <w:bodyDiv w:val="1"/>
      <w:marLeft w:val="0"/>
      <w:marRight w:val="0"/>
      <w:marTop w:val="0"/>
      <w:marBottom w:val="0"/>
      <w:divBdr>
        <w:top w:val="none" w:sz="0" w:space="0" w:color="auto"/>
        <w:left w:val="none" w:sz="0" w:space="0" w:color="auto"/>
        <w:bottom w:val="none" w:sz="0" w:space="0" w:color="auto"/>
        <w:right w:val="none" w:sz="0" w:space="0" w:color="auto"/>
      </w:divBdr>
    </w:div>
    <w:div w:id="1487631340">
      <w:bodyDiv w:val="1"/>
      <w:marLeft w:val="0"/>
      <w:marRight w:val="0"/>
      <w:marTop w:val="0"/>
      <w:marBottom w:val="0"/>
      <w:divBdr>
        <w:top w:val="none" w:sz="0" w:space="0" w:color="auto"/>
        <w:left w:val="none" w:sz="0" w:space="0" w:color="auto"/>
        <w:bottom w:val="none" w:sz="0" w:space="0" w:color="auto"/>
        <w:right w:val="none" w:sz="0" w:space="0" w:color="auto"/>
      </w:divBdr>
    </w:div>
    <w:div w:id="1487744710">
      <w:bodyDiv w:val="1"/>
      <w:marLeft w:val="0"/>
      <w:marRight w:val="0"/>
      <w:marTop w:val="0"/>
      <w:marBottom w:val="0"/>
      <w:divBdr>
        <w:top w:val="none" w:sz="0" w:space="0" w:color="auto"/>
        <w:left w:val="none" w:sz="0" w:space="0" w:color="auto"/>
        <w:bottom w:val="none" w:sz="0" w:space="0" w:color="auto"/>
        <w:right w:val="none" w:sz="0" w:space="0" w:color="auto"/>
      </w:divBdr>
    </w:div>
    <w:div w:id="1487932960">
      <w:bodyDiv w:val="1"/>
      <w:marLeft w:val="0"/>
      <w:marRight w:val="0"/>
      <w:marTop w:val="0"/>
      <w:marBottom w:val="0"/>
      <w:divBdr>
        <w:top w:val="none" w:sz="0" w:space="0" w:color="auto"/>
        <w:left w:val="none" w:sz="0" w:space="0" w:color="auto"/>
        <w:bottom w:val="none" w:sz="0" w:space="0" w:color="auto"/>
        <w:right w:val="none" w:sz="0" w:space="0" w:color="auto"/>
      </w:divBdr>
    </w:div>
    <w:div w:id="1488128675">
      <w:bodyDiv w:val="1"/>
      <w:marLeft w:val="0"/>
      <w:marRight w:val="0"/>
      <w:marTop w:val="0"/>
      <w:marBottom w:val="0"/>
      <w:divBdr>
        <w:top w:val="none" w:sz="0" w:space="0" w:color="auto"/>
        <w:left w:val="none" w:sz="0" w:space="0" w:color="auto"/>
        <w:bottom w:val="none" w:sz="0" w:space="0" w:color="auto"/>
        <w:right w:val="none" w:sz="0" w:space="0" w:color="auto"/>
      </w:divBdr>
    </w:div>
    <w:div w:id="1488133998">
      <w:bodyDiv w:val="1"/>
      <w:marLeft w:val="0"/>
      <w:marRight w:val="0"/>
      <w:marTop w:val="0"/>
      <w:marBottom w:val="0"/>
      <w:divBdr>
        <w:top w:val="none" w:sz="0" w:space="0" w:color="auto"/>
        <w:left w:val="none" w:sz="0" w:space="0" w:color="auto"/>
        <w:bottom w:val="none" w:sz="0" w:space="0" w:color="auto"/>
        <w:right w:val="none" w:sz="0" w:space="0" w:color="auto"/>
      </w:divBdr>
    </w:div>
    <w:div w:id="1488281569">
      <w:bodyDiv w:val="1"/>
      <w:marLeft w:val="0"/>
      <w:marRight w:val="0"/>
      <w:marTop w:val="0"/>
      <w:marBottom w:val="0"/>
      <w:divBdr>
        <w:top w:val="none" w:sz="0" w:space="0" w:color="auto"/>
        <w:left w:val="none" w:sz="0" w:space="0" w:color="auto"/>
        <w:bottom w:val="none" w:sz="0" w:space="0" w:color="auto"/>
        <w:right w:val="none" w:sz="0" w:space="0" w:color="auto"/>
      </w:divBdr>
    </w:div>
    <w:div w:id="1488668142">
      <w:bodyDiv w:val="1"/>
      <w:marLeft w:val="0"/>
      <w:marRight w:val="0"/>
      <w:marTop w:val="0"/>
      <w:marBottom w:val="0"/>
      <w:divBdr>
        <w:top w:val="none" w:sz="0" w:space="0" w:color="auto"/>
        <w:left w:val="none" w:sz="0" w:space="0" w:color="auto"/>
        <w:bottom w:val="none" w:sz="0" w:space="0" w:color="auto"/>
        <w:right w:val="none" w:sz="0" w:space="0" w:color="auto"/>
      </w:divBdr>
    </w:div>
    <w:div w:id="1488746017">
      <w:bodyDiv w:val="1"/>
      <w:marLeft w:val="0"/>
      <w:marRight w:val="0"/>
      <w:marTop w:val="0"/>
      <w:marBottom w:val="0"/>
      <w:divBdr>
        <w:top w:val="none" w:sz="0" w:space="0" w:color="auto"/>
        <w:left w:val="none" w:sz="0" w:space="0" w:color="auto"/>
        <w:bottom w:val="none" w:sz="0" w:space="0" w:color="auto"/>
        <w:right w:val="none" w:sz="0" w:space="0" w:color="auto"/>
      </w:divBdr>
    </w:div>
    <w:div w:id="1489055939">
      <w:bodyDiv w:val="1"/>
      <w:marLeft w:val="0"/>
      <w:marRight w:val="0"/>
      <w:marTop w:val="0"/>
      <w:marBottom w:val="0"/>
      <w:divBdr>
        <w:top w:val="none" w:sz="0" w:space="0" w:color="auto"/>
        <w:left w:val="none" w:sz="0" w:space="0" w:color="auto"/>
        <w:bottom w:val="none" w:sz="0" w:space="0" w:color="auto"/>
        <w:right w:val="none" w:sz="0" w:space="0" w:color="auto"/>
      </w:divBdr>
    </w:div>
    <w:div w:id="1489245362">
      <w:bodyDiv w:val="1"/>
      <w:marLeft w:val="0"/>
      <w:marRight w:val="0"/>
      <w:marTop w:val="0"/>
      <w:marBottom w:val="0"/>
      <w:divBdr>
        <w:top w:val="none" w:sz="0" w:space="0" w:color="auto"/>
        <w:left w:val="none" w:sz="0" w:space="0" w:color="auto"/>
        <w:bottom w:val="none" w:sz="0" w:space="0" w:color="auto"/>
        <w:right w:val="none" w:sz="0" w:space="0" w:color="auto"/>
      </w:divBdr>
    </w:div>
    <w:div w:id="1489856050">
      <w:bodyDiv w:val="1"/>
      <w:marLeft w:val="0"/>
      <w:marRight w:val="0"/>
      <w:marTop w:val="0"/>
      <w:marBottom w:val="0"/>
      <w:divBdr>
        <w:top w:val="none" w:sz="0" w:space="0" w:color="auto"/>
        <w:left w:val="none" w:sz="0" w:space="0" w:color="auto"/>
        <w:bottom w:val="none" w:sz="0" w:space="0" w:color="auto"/>
        <w:right w:val="none" w:sz="0" w:space="0" w:color="auto"/>
      </w:divBdr>
    </w:div>
    <w:div w:id="1489976734">
      <w:bodyDiv w:val="1"/>
      <w:marLeft w:val="0"/>
      <w:marRight w:val="0"/>
      <w:marTop w:val="0"/>
      <w:marBottom w:val="0"/>
      <w:divBdr>
        <w:top w:val="none" w:sz="0" w:space="0" w:color="auto"/>
        <w:left w:val="none" w:sz="0" w:space="0" w:color="auto"/>
        <w:bottom w:val="none" w:sz="0" w:space="0" w:color="auto"/>
        <w:right w:val="none" w:sz="0" w:space="0" w:color="auto"/>
      </w:divBdr>
    </w:div>
    <w:div w:id="1489980136">
      <w:bodyDiv w:val="1"/>
      <w:marLeft w:val="0"/>
      <w:marRight w:val="0"/>
      <w:marTop w:val="0"/>
      <w:marBottom w:val="0"/>
      <w:divBdr>
        <w:top w:val="none" w:sz="0" w:space="0" w:color="auto"/>
        <w:left w:val="none" w:sz="0" w:space="0" w:color="auto"/>
        <w:bottom w:val="none" w:sz="0" w:space="0" w:color="auto"/>
        <w:right w:val="none" w:sz="0" w:space="0" w:color="auto"/>
      </w:divBdr>
    </w:div>
    <w:div w:id="1490365492">
      <w:bodyDiv w:val="1"/>
      <w:marLeft w:val="0"/>
      <w:marRight w:val="0"/>
      <w:marTop w:val="0"/>
      <w:marBottom w:val="0"/>
      <w:divBdr>
        <w:top w:val="none" w:sz="0" w:space="0" w:color="auto"/>
        <w:left w:val="none" w:sz="0" w:space="0" w:color="auto"/>
        <w:bottom w:val="none" w:sz="0" w:space="0" w:color="auto"/>
        <w:right w:val="none" w:sz="0" w:space="0" w:color="auto"/>
      </w:divBdr>
    </w:div>
    <w:div w:id="1490487312">
      <w:bodyDiv w:val="1"/>
      <w:marLeft w:val="0"/>
      <w:marRight w:val="0"/>
      <w:marTop w:val="0"/>
      <w:marBottom w:val="0"/>
      <w:divBdr>
        <w:top w:val="none" w:sz="0" w:space="0" w:color="auto"/>
        <w:left w:val="none" w:sz="0" w:space="0" w:color="auto"/>
        <w:bottom w:val="none" w:sz="0" w:space="0" w:color="auto"/>
        <w:right w:val="none" w:sz="0" w:space="0" w:color="auto"/>
      </w:divBdr>
    </w:div>
    <w:div w:id="1491285355">
      <w:bodyDiv w:val="1"/>
      <w:marLeft w:val="0"/>
      <w:marRight w:val="0"/>
      <w:marTop w:val="0"/>
      <w:marBottom w:val="0"/>
      <w:divBdr>
        <w:top w:val="none" w:sz="0" w:space="0" w:color="auto"/>
        <w:left w:val="none" w:sz="0" w:space="0" w:color="auto"/>
        <w:bottom w:val="none" w:sz="0" w:space="0" w:color="auto"/>
        <w:right w:val="none" w:sz="0" w:space="0" w:color="auto"/>
      </w:divBdr>
    </w:div>
    <w:div w:id="1491680339">
      <w:bodyDiv w:val="1"/>
      <w:marLeft w:val="0"/>
      <w:marRight w:val="0"/>
      <w:marTop w:val="0"/>
      <w:marBottom w:val="0"/>
      <w:divBdr>
        <w:top w:val="none" w:sz="0" w:space="0" w:color="auto"/>
        <w:left w:val="none" w:sz="0" w:space="0" w:color="auto"/>
        <w:bottom w:val="none" w:sz="0" w:space="0" w:color="auto"/>
        <w:right w:val="none" w:sz="0" w:space="0" w:color="auto"/>
      </w:divBdr>
    </w:div>
    <w:div w:id="1491946741">
      <w:bodyDiv w:val="1"/>
      <w:marLeft w:val="0"/>
      <w:marRight w:val="0"/>
      <w:marTop w:val="0"/>
      <w:marBottom w:val="0"/>
      <w:divBdr>
        <w:top w:val="none" w:sz="0" w:space="0" w:color="auto"/>
        <w:left w:val="none" w:sz="0" w:space="0" w:color="auto"/>
        <w:bottom w:val="none" w:sz="0" w:space="0" w:color="auto"/>
        <w:right w:val="none" w:sz="0" w:space="0" w:color="auto"/>
      </w:divBdr>
    </w:div>
    <w:div w:id="1492065335">
      <w:bodyDiv w:val="1"/>
      <w:marLeft w:val="0"/>
      <w:marRight w:val="0"/>
      <w:marTop w:val="0"/>
      <w:marBottom w:val="0"/>
      <w:divBdr>
        <w:top w:val="none" w:sz="0" w:space="0" w:color="auto"/>
        <w:left w:val="none" w:sz="0" w:space="0" w:color="auto"/>
        <w:bottom w:val="none" w:sz="0" w:space="0" w:color="auto"/>
        <w:right w:val="none" w:sz="0" w:space="0" w:color="auto"/>
      </w:divBdr>
    </w:div>
    <w:div w:id="1492255521">
      <w:bodyDiv w:val="1"/>
      <w:marLeft w:val="0"/>
      <w:marRight w:val="0"/>
      <w:marTop w:val="0"/>
      <w:marBottom w:val="0"/>
      <w:divBdr>
        <w:top w:val="none" w:sz="0" w:space="0" w:color="auto"/>
        <w:left w:val="none" w:sz="0" w:space="0" w:color="auto"/>
        <w:bottom w:val="none" w:sz="0" w:space="0" w:color="auto"/>
        <w:right w:val="none" w:sz="0" w:space="0" w:color="auto"/>
      </w:divBdr>
    </w:div>
    <w:div w:id="1492407391">
      <w:bodyDiv w:val="1"/>
      <w:marLeft w:val="0"/>
      <w:marRight w:val="0"/>
      <w:marTop w:val="0"/>
      <w:marBottom w:val="0"/>
      <w:divBdr>
        <w:top w:val="none" w:sz="0" w:space="0" w:color="auto"/>
        <w:left w:val="none" w:sz="0" w:space="0" w:color="auto"/>
        <w:bottom w:val="none" w:sz="0" w:space="0" w:color="auto"/>
        <w:right w:val="none" w:sz="0" w:space="0" w:color="auto"/>
      </w:divBdr>
    </w:div>
    <w:div w:id="1492989799">
      <w:bodyDiv w:val="1"/>
      <w:marLeft w:val="0"/>
      <w:marRight w:val="0"/>
      <w:marTop w:val="0"/>
      <w:marBottom w:val="0"/>
      <w:divBdr>
        <w:top w:val="none" w:sz="0" w:space="0" w:color="auto"/>
        <w:left w:val="none" w:sz="0" w:space="0" w:color="auto"/>
        <w:bottom w:val="none" w:sz="0" w:space="0" w:color="auto"/>
        <w:right w:val="none" w:sz="0" w:space="0" w:color="auto"/>
      </w:divBdr>
    </w:div>
    <w:div w:id="1493335126">
      <w:bodyDiv w:val="1"/>
      <w:marLeft w:val="0"/>
      <w:marRight w:val="0"/>
      <w:marTop w:val="0"/>
      <w:marBottom w:val="0"/>
      <w:divBdr>
        <w:top w:val="none" w:sz="0" w:space="0" w:color="auto"/>
        <w:left w:val="none" w:sz="0" w:space="0" w:color="auto"/>
        <w:bottom w:val="none" w:sz="0" w:space="0" w:color="auto"/>
        <w:right w:val="none" w:sz="0" w:space="0" w:color="auto"/>
      </w:divBdr>
    </w:div>
    <w:div w:id="1493714009">
      <w:bodyDiv w:val="1"/>
      <w:marLeft w:val="0"/>
      <w:marRight w:val="0"/>
      <w:marTop w:val="0"/>
      <w:marBottom w:val="0"/>
      <w:divBdr>
        <w:top w:val="none" w:sz="0" w:space="0" w:color="auto"/>
        <w:left w:val="none" w:sz="0" w:space="0" w:color="auto"/>
        <w:bottom w:val="none" w:sz="0" w:space="0" w:color="auto"/>
        <w:right w:val="none" w:sz="0" w:space="0" w:color="auto"/>
      </w:divBdr>
    </w:div>
    <w:div w:id="1495217862">
      <w:bodyDiv w:val="1"/>
      <w:marLeft w:val="0"/>
      <w:marRight w:val="0"/>
      <w:marTop w:val="0"/>
      <w:marBottom w:val="0"/>
      <w:divBdr>
        <w:top w:val="none" w:sz="0" w:space="0" w:color="auto"/>
        <w:left w:val="none" w:sz="0" w:space="0" w:color="auto"/>
        <w:bottom w:val="none" w:sz="0" w:space="0" w:color="auto"/>
        <w:right w:val="none" w:sz="0" w:space="0" w:color="auto"/>
      </w:divBdr>
    </w:div>
    <w:div w:id="1495561720">
      <w:bodyDiv w:val="1"/>
      <w:marLeft w:val="0"/>
      <w:marRight w:val="0"/>
      <w:marTop w:val="0"/>
      <w:marBottom w:val="0"/>
      <w:divBdr>
        <w:top w:val="none" w:sz="0" w:space="0" w:color="auto"/>
        <w:left w:val="none" w:sz="0" w:space="0" w:color="auto"/>
        <w:bottom w:val="none" w:sz="0" w:space="0" w:color="auto"/>
        <w:right w:val="none" w:sz="0" w:space="0" w:color="auto"/>
      </w:divBdr>
    </w:div>
    <w:div w:id="1495609540">
      <w:bodyDiv w:val="1"/>
      <w:marLeft w:val="0"/>
      <w:marRight w:val="0"/>
      <w:marTop w:val="0"/>
      <w:marBottom w:val="0"/>
      <w:divBdr>
        <w:top w:val="none" w:sz="0" w:space="0" w:color="auto"/>
        <w:left w:val="none" w:sz="0" w:space="0" w:color="auto"/>
        <w:bottom w:val="none" w:sz="0" w:space="0" w:color="auto"/>
        <w:right w:val="none" w:sz="0" w:space="0" w:color="auto"/>
      </w:divBdr>
    </w:div>
    <w:div w:id="1495678582">
      <w:bodyDiv w:val="1"/>
      <w:marLeft w:val="0"/>
      <w:marRight w:val="0"/>
      <w:marTop w:val="0"/>
      <w:marBottom w:val="0"/>
      <w:divBdr>
        <w:top w:val="none" w:sz="0" w:space="0" w:color="auto"/>
        <w:left w:val="none" w:sz="0" w:space="0" w:color="auto"/>
        <w:bottom w:val="none" w:sz="0" w:space="0" w:color="auto"/>
        <w:right w:val="none" w:sz="0" w:space="0" w:color="auto"/>
      </w:divBdr>
    </w:div>
    <w:div w:id="1495875764">
      <w:bodyDiv w:val="1"/>
      <w:marLeft w:val="0"/>
      <w:marRight w:val="0"/>
      <w:marTop w:val="0"/>
      <w:marBottom w:val="0"/>
      <w:divBdr>
        <w:top w:val="none" w:sz="0" w:space="0" w:color="auto"/>
        <w:left w:val="none" w:sz="0" w:space="0" w:color="auto"/>
        <w:bottom w:val="none" w:sz="0" w:space="0" w:color="auto"/>
        <w:right w:val="none" w:sz="0" w:space="0" w:color="auto"/>
      </w:divBdr>
    </w:div>
    <w:div w:id="1495949391">
      <w:bodyDiv w:val="1"/>
      <w:marLeft w:val="0"/>
      <w:marRight w:val="0"/>
      <w:marTop w:val="0"/>
      <w:marBottom w:val="0"/>
      <w:divBdr>
        <w:top w:val="none" w:sz="0" w:space="0" w:color="auto"/>
        <w:left w:val="none" w:sz="0" w:space="0" w:color="auto"/>
        <w:bottom w:val="none" w:sz="0" w:space="0" w:color="auto"/>
        <w:right w:val="none" w:sz="0" w:space="0" w:color="auto"/>
      </w:divBdr>
    </w:div>
    <w:div w:id="1496605564">
      <w:bodyDiv w:val="1"/>
      <w:marLeft w:val="0"/>
      <w:marRight w:val="0"/>
      <w:marTop w:val="0"/>
      <w:marBottom w:val="0"/>
      <w:divBdr>
        <w:top w:val="none" w:sz="0" w:space="0" w:color="auto"/>
        <w:left w:val="none" w:sz="0" w:space="0" w:color="auto"/>
        <w:bottom w:val="none" w:sz="0" w:space="0" w:color="auto"/>
        <w:right w:val="none" w:sz="0" w:space="0" w:color="auto"/>
      </w:divBdr>
    </w:div>
    <w:div w:id="1496727405">
      <w:bodyDiv w:val="1"/>
      <w:marLeft w:val="0"/>
      <w:marRight w:val="0"/>
      <w:marTop w:val="0"/>
      <w:marBottom w:val="0"/>
      <w:divBdr>
        <w:top w:val="none" w:sz="0" w:space="0" w:color="auto"/>
        <w:left w:val="none" w:sz="0" w:space="0" w:color="auto"/>
        <w:bottom w:val="none" w:sz="0" w:space="0" w:color="auto"/>
        <w:right w:val="none" w:sz="0" w:space="0" w:color="auto"/>
      </w:divBdr>
    </w:div>
    <w:div w:id="1496802299">
      <w:bodyDiv w:val="1"/>
      <w:marLeft w:val="0"/>
      <w:marRight w:val="0"/>
      <w:marTop w:val="0"/>
      <w:marBottom w:val="0"/>
      <w:divBdr>
        <w:top w:val="none" w:sz="0" w:space="0" w:color="auto"/>
        <w:left w:val="none" w:sz="0" w:space="0" w:color="auto"/>
        <w:bottom w:val="none" w:sz="0" w:space="0" w:color="auto"/>
        <w:right w:val="none" w:sz="0" w:space="0" w:color="auto"/>
      </w:divBdr>
    </w:div>
    <w:div w:id="1497644802">
      <w:bodyDiv w:val="1"/>
      <w:marLeft w:val="0"/>
      <w:marRight w:val="0"/>
      <w:marTop w:val="0"/>
      <w:marBottom w:val="0"/>
      <w:divBdr>
        <w:top w:val="none" w:sz="0" w:space="0" w:color="auto"/>
        <w:left w:val="none" w:sz="0" w:space="0" w:color="auto"/>
        <w:bottom w:val="none" w:sz="0" w:space="0" w:color="auto"/>
        <w:right w:val="none" w:sz="0" w:space="0" w:color="auto"/>
      </w:divBdr>
    </w:div>
    <w:div w:id="1497921734">
      <w:bodyDiv w:val="1"/>
      <w:marLeft w:val="0"/>
      <w:marRight w:val="0"/>
      <w:marTop w:val="0"/>
      <w:marBottom w:val="0"/>
      <w:divBdr>
        <w:top w:val="none" w:sz="0" w:space="0" w:color="auto"/>
        <w:left w:val="none" w:sz="0" w:space="0" w:color="auto"/>
        <w:bottom w:val="none" w:sz="0" w:space="0" w:color="auto"/>
        <w:right w:val="none" w:sz="0" w:space="0" w:color="auto"/>
      </w:divBdr>
    </w:div>
    <w:div w:id="1498185345">
      <w:bodyDiv w:val="1"/>
      <w:marLeft w:val="0"/>
      <w:marRight w:val="0"/>
      <w:marTop w:val="0"/>
      <w:marBottom w:val="0"/>
      <w:divBdr>
        <w:top w:val="none" w:sz="0" w:space="0" w:color="auto"/>
        <w:left w:val="none" w:sz="0" w:space="0" w:color="auto"/>
        <w:bottom w:val="none" w:sz="0" w:space="0" w:color="auto"/>
        <w:right w:val="none" w:sz="0" w:space="0" w:color="auto"/>
      </w:divBdr>
    </w:div>
    <w:div w:id="1499419961">
      <w:bodyDiv w:val="1"/>
      <w:marLeft w:val="0"/>
      <w:marRight w:val="0"/>
      <w:marTop w:val="0"/>
      <w:marBottom w:val="0"/>
      <w:divBdr>
        <w:top w:val="none" w:sz="0" w:space="0" w:color="auto"/>
        <w:left w:val="none" w:sz="0" w:space="0" w:color="auto"/>
        <w:bottom w:val="none" w:sz="0" w:space="0" w:color="auto"/>
        <w:right w:val="none" w:sz="0" w:space="0" w:color="auto"/>
      </w:divBdr>
    </w:div>
    <w:div w:id="1499886875">
      <w:bodyDiv w:val="1"/>
      <w:marLeft w:val="0"/>
      <w:marRight w:val="0"/>
      <w:marTop w:val="0"/>
      <w:marBottom w:val="0"/>
      <w:divBdr>
        <w:top w:val="none" w:sz="0" w:space="0" w:color="auto"/>
        <w:left w:val="none" w:sz="0" w:space="0" w:color="auto"/>
        <w:bottom w:val="none" w:sz="0" w:space="0" w:color="auto"/>
        <w:right w:val="none" w:sz="0" w:space="0" w:color="auto"/>
      </w:divBdr>
    </w:div>
    <w:div w:id="1499997519">
      <w:bodyDiv w:val="1"/>
      <w:marLeft w:val="0"/>
      <w:marRight w:val="0"/>
      <w:marTop w:val="0"/>
      <w:marBottom w:val="0"/>
      <w:divBdr>
        <w:top w:val="none" w:sz="0" w:space="0" w:color="auto"/>
        <w:left w:val="none" w:sz="0" w:space="0" w:color="auto"/>
        <w:bottom w:val="none" w:sz="0" w:space="0" w:color="auto"/>
        <w:right w:val="none" w:sz="0" w:space="0" w:color="auto"/>
      </w:divBdr>
    </w:div>
    <w:div w:id="1500199057">
      <w:bodyDiv w:val="1"/>
      <w:marLeft w:val="0"/>
      <w:marRight w:val="0"/>
      <w:marTop w:val="0"/>
      <w:marBottom w:val="0"/>
      <w:divBdr>
        <w:top w:val="none" w:sz="0" w:space="0" w:color="auto"/>
        <w:left w:val="none" w:sz="0" w:space="0" w:color="auto"/>
        <w:bottom w:val="none" w:sz="0" w:space="0" w:color="auto"/>
        <w:right w:val="none" w:sz="0" w:space="0" w:color="auto"/>
      </w:divBdr>
    </w:div>
    <w:div w:id="1500581282">
      <w:bodyDiv w:val="1"/>
      <w:marLeft w:val="0"/>
      <w:marRight w:val="0"/>
      <w:marTop w:val="0"/>
      <w:marBottom w:val="0"/>
      <w:divBdr>
        <w:top w:val="none" w:sz="0" w:space="0" w:color="auto"/>
        <w:left w:val="none" w:sz="0" w:space="0" w:color="auto"/>
        <w:bottom w:val="none" w:sz="0" w:space="0" w:color="auto"/>
        <w:right w:val="none" w:sz="0" w:space="0" w:color="auto"/>
      </w:divBdr>
    </w:div>
    <w:div w:id="1500802710">
      <w:bodyDiv w:val="1"/>
      <w:marLeft w:val="0"/>
      <w:marRight w:val="0"/>
      <w:marTop w:val="0"/>
      <w:marBottom w:val="0"/>
      <w:divBdr>
        <w:top w:val="none" w:sz="0" w:space="0" w:color="auto"/>
        <w:left w:val="none" w:sz="0" w:space="0" w:color="auto"/>
        <w:bottom w:val="none" w:sz="0" w:space="0" w:color="auto"/>
        <w:right w:val="none" w:sz="0" w:space="0" w:color="auto"/>
      </w:divBdr>
    </w:div>
    <w:div w:id="1500806857">
      <w:bodyDiv w:val="1"/>
      <w:marLeft w:val="0"/>
      <w:marRight w:val="0"/>
      <w:marTop w:val="0"/>
      <w:marBottom w:val="0"/>
      <w:divBdr>
        <w:top w:val="none" w:sz="0" w:space="0" w:color="auto"/>
        <w:left w:val="none" w:sz="0" w:space="0" w:color="auto"/>
        <w:bottom w:val="none" w:sz="0" w:space="0" w:color="auto"/>
        <w:right w:val="none" w:sz="0" w:space="0" w:color="auto"/>
      </w:divBdr>
    </w:div>
    <w:div w:id="1500846684">
      <w:bodyDiv w:val="1"/>
      <w:marLeft w:val="0"/>
      <w:marRight w:val="0"/>
      <w:marTop w:val="0"/>
      <w:marBottom w:val="0"/>
      <w:divBdr>
        <w:top w:val="none" w:sz="0" w:space="0" w:color="auto"/>
        <w:left w:val="none" w:sz="0" w:space="0" w:color="auto"/>
        <w:bottom w:val="none" w:sz="0" w:space="0" w:color="auto"/>
        <w:right w:val="none" w:sz="0" w:space="0" w:color="auto"/>
      </w:divBdr>
    </w:div>
    <w:div w:id="1500854064">
      <w:bodyDiv w:val="1"/>
      <w:marLeft w:val="0"/>
      <w:marRight w:val="0"/>
      <w:marTop w:val="0"/>
      <w:marBottom w:val="0"/>
      <w:divBdr>
        <w:top w:val="none" w:sz="0" w:space="0" w:color="auto"/>
        <w:left w:val="none" w:sz="0" w:space="0" w:color="auto"/>
        <w:bottom w:val="none" w:sz="0" w:space="0" w:color="auto"/>
        <w:right w:val="none" w:sz="0" w:space="0" w:color="auto"/>
      </w:divBdr>
    </w:div>
    <w:div w:id="1501194190">
      <w:bodyDiv w:val="1"/>
      <w:marLeft w:val="0"/>
      <w:marRight w:val="0"/>
      <w:marTop w:val="0"/>
      <w:marBottom w:val="0"/>
      <w:divBdr>
        <w:top w:val="none" w:sz="0" w:space="0" w:color="auto"/>
        <w:left w:val="none" w:sz="0" w:space="0" w:color="auto"/>
        <w:bottom w:val="none" w:sz="0" w:space="0" w:color="auto"/>
        <w:right w:val="none" w:sz="0" w:space="0" w:color="auto"/>
      </w:divBdr>
    </w:div>
    <w:div w:id="1501313223">
      <w:bodyDiv w:val="1"/>
      <w:marLeft w:val="0"/>
      <w:marRight w:val="0"/>
      <w:marTop w:val="0"/>
      <w:marBottom w:val="0"/>
      <w:divBdr>
        <w:top w:val="none" w:sz="0" w:space="0" w:color="auto"/>
        <w:left w:val="none" w:sz="0" w:space="0" w:color="auto"/>
        <w:bottom w:val="none" w:sz="0" w:space="0" w:color="auto"/>
        <w:right w:val="none" w:sz="0" w:space="0" w:color="auto"/>
      </w:divBdr>
    </w:div>
    <w:div w:id="1502310526">
      <w:bodyDiv w:val="1"/>
      <w:marLeft w:val="0"/>
      <w:marRight w:val="0"/>
      <w:marTop w:val="0"/>
      <w:marBottom w:val="0"/>
      <w:divBdr>
        <w:top w:val="none" w:sz="0" w:space="0" w:color="auto"/>
        <w:left w:val="none" w:sz="0" w:space="0" w:color="auto"/>
        <w:bottom w:val="none" w:sz="0" w:space="0" w:color="auto"/>
        <w:right w:val="none" w:sz="0" w:space="0" w:color="auto"/>
      </w:divBdr>
    </w:div>
    <w:div w:id="1502699102">
      <w:bodyDiv w:val="1"/>
      <w:marLeft w:val="0"/>
      <w:marRight w:val="0"/>
      <w:marTop w:val="0"/>
      <w:marBottom w:val="0"/>
      <w:divBdr>
        <w:top w:val="none" w:sz="0" w:space="0" w:color="auto"/>
        <w:left w:val="none" w:sz="0" w:space="0" w:color="auto"/>
        <w:bottom w:val="none" w:sz="0" w:space="0" w:color="auto"/>
        <w:right w:val="none" w:sz="0" w:space="0" w:color="auto"/>
      </w:divBdr>
    </w:div>
    <w:div w:id="1502814997">
      <w:bodyDiv w:val="1"/>
      <w:marLeft w:val="0"/>
      <w:marRight w:val="0"/>
      <w:marTop w:val="0"/>
      <w:marBottom w:val="0"/>
      <w:divBdr>
        <w:top w:val="none" w:sz="0" w:space="0" w:color="auto"/>
        <w:left w:val="none" w:sz="0" w:space="0" w:color="auto"/>
        <w:bottom w:val="none" w:sz="0" w:space="0" w:color="auto"/>
        <w:right w:val="none" w:sz="0" w:space="0" w:color="auto"/>
      </w:divBdr>
    </w:div>
    <w:div w:id="1503159662">
      <w:bodyDiv w:val="1"/>
      <w:marLeft w:val="0"/>
      <w:marRight w:val="0"/>
      <w:marTop w:val="0"/>
      <w:marBottom w:val="0"/>
      <w:divBdr>
        <w:top w:val="none" w:sz="0" w:space="0" w:color="auto"/>
        <w:left w:val="none" w:sz="0" w:space="0" w:color="auto"/>
        <w:bottom w:val="none" w:sz="0" w:space="0" w:color="auto"/>
        <w:right w:val="none" w:sz="0" w:space="0" w:color="auto"/>
      </w:divBdr>
    </w:div>
    <w:div w:id="1503274921">
      <w:bodyDiv w:val="1"/>
      <w:marLeft w:val="0"/>
      <w:marRight w:val="0"/>
      <w:marTop w:val="0"/>
      <w:marBottom w:val="0"/>
      <w:divBdr>
        <w:top w:val="none" w:sz="0" w:space="0" w:color="auto"/>
        <w:left w:val="none" w:sz="0" w:space="0" w:color="auto"/>
        <w:bottom w:val="none" w:sz="0" w:space="0" w:color="auto"/>
        <w:right w:val="none" w:sz="0" w:space="0" w:color="auto"/>
      </w:divBdr>
    </w:div>
    <w:div w:id="1504275404">
      <w:bodyDiv w:val="1"/>
      <w:marLeft w:val="0"/>
      <w:marRight w:val="0"/>
      <w:marTop w:val="0"/>
      <w:marBottom w:val="0"/>
      <w:divBdr>
        <w:top w:val="none" w:sz="0" w:space="0" w:color="auto"/>
        <w:left w:val="none" w:sz="0" w:space="0" w:color="auto"/>
        <w:bottom w:val="none" w:sz="0" w:space="0" w:color="auto"/>
        <w:right w:val="none" w:sz="0" w:space="0" w:color="auto"/>
      </w:divBdr>
    </w:div>
    <w:div w:id="1504315390">
      <w:bodyDiv w:val="1"/>
      <w:marLeft w:val="0"/>
      <w:marRight w:val="0"/>
      <w:marTop w:val="0"/>
      <w:marBottom w:val="0"/>
      <w:divBdr>
        <w:top w:val="none" w:sz="0" w:space="0" w:color="auto"/>
        <w:left w:val="none" w:sz="0" w:space="0" w:color="auto"/>
        <w:bottom w:val="none" w:sz="0" w:space="0" w:color="auto"/>
        <w:right w:val="none" w:sz="0" w:space="0" w:color="auto"/>
      </w:divBdr>
    </w:div>
    <w:div w:id="1504662418">
      <w:bodyDiv w:val="1"/>
      <w:marLeft w:val="0"/>
      <w:marRight w:val="0"/>
      <w:marTop w:val="0"/>
      <w:marBottom w:val="0"/>
      <w:divBdr>
        <w:top w:val="none" w:sz="0" w:space="0" w:color="auto"/>
        <w:left w:val="none" w:sz="0" w:space="0" w:color="auto"/>
        <w:bottom w:val="none" w:sz="0" w:space="0" w:color="auto"/>
        <w:right w:val="none" w:sz="0" w:space="0" w:color="auto"/>
      </w:divBdr>
    </w:div>
    <w:div w:id="1504928380">
      <w:bodyDiv w:val="1"/>
      <w:marLeft w:val="0"/>
      <w:marRight w:val="0"/>
      <w:marTop w:val="0"/>
      <w:marBottom w:val="0"/>
      <w:divBdr>
        <w:top w:val="none" w:sz="0" w:space="0" w:color="auto"/>
        <w:left w:val="none" w:sz="0" w:space="0" w:color="auto"/>
        <w:bottom w:val="none" w:sz="0" w:space="0" w:color="auto"/>
        <w:right w:val="none" w:sz="0" w:space="0" w:color="auto"/>
      </w:divBdr>
    </w:div>
    <w:div w:id="1505512465">
      <w:bodyDiv w:val="1"/>
      <w:marLeft w:val="0"/>
      <w:marRight w:val="0"/>
      <w:marTop w:val="0"/>
      <w:marBottom w:val="0"/>
      <w:divBdr>
        <w:top w:val="none" w:sz="0" w:space="0" w:color="auto"/>
        <w:left w:val="none" w:sz="0" w:space="0" w:color="auto"/>
        <w:bottom w:val="none" w:sz="0" w:space="0" w:color="auto"/>
        <w:right w:val="none" w:sz="0" w:space="0" w:color="auto"/>
      </w:divBdr>
    </w:div>
    <w:div w:id="1505583415">
      <w:bodyDiv w:val="1"/>
      <w:marLeft w:val="0"/>
      <w:marRight w:val="0"/>
      <w:marTop w:val="0"/>
      <w:marBottom w:val="0"/>
      <w:divBdr>
        <w:top w:val="none" w:sz="0" w:space="0" w:color="auto"/>
        <w:left w:val="none" w:sz="0" w:space="0" w:color="auto"/>
        <w:bottom w:val="none" w:sz="0" w:space="0" w:color="auto"/>
        <w:right w:val="none" w:sz="0" w:space="0" w:color="auto"/>
      </w:divBdr>
    </w:div>
    <w:div w:id="1505779664">
      <w:bodyDiv w:val="1"/>
      <w:marLeft w:val="0"/>
      <w:marRight w:val="0"/>
      <w:marTop w:val="0"/>
      <w:marBottom w:val="0"/>
      <w:divBdr>
        <w:top w:val="none" w:sz="0" w:space="0" w:color="auto"/>
        <w:left w:val="none" w:sz="0" w:space="0" w:color="auto"/>
        <w:bottom w:val="none" w:sz="0" w:space="0" w:color="auto"/>
        <w:right w:val="none" w:sz="0" w:space="0" w:color="auto"/>
      </w:divBdr>
    </w:div>
    <w:div w:id="1505900281">
      <w:bodyDiv w:val="1"/>
      <w:marLeft w:val="0"/>
      <w:marRight w:val="0"/>
      <w:marTop w:val="0"/>
      <w:marBottom w:val="0"/>
      <w:divBdr>
        <w:top w:val="none" w:sz="0" w:space="0" w:color="auto"/>
        <w:left w:val="none" w:sz="0" w:space="0" w:color="auto"/>
        <w:bottom w:val="none" w:sz="0" w:space="0" w:color="auto"/>
        <w:right w:val="none" w:sz="0" w:space="0" w:color="auto"/>
      </w:divBdr>
    </w:div>
    <w:div w:id="1506095677">
      <w:bodyDiv w:val="1"/>
      <w:marLeft w:val="0"/>
      <w:marRight w:val="0"/>
      <w:marTop w:val="0"/>
      <w:marBottom w:val="0"/>
      <w:divBdr>
        <w:top w:val="none" w:sz="0" w:space="0" w:color="auto"/>
        <w:left w:val="none" w:sz="0" w:space="0" w:color="auto"/>
        <w:bottom w:val="none" w:sz="0" w:space="0" w:color="auto"/>
        <w:right w:val="none" w:sz="0" w:space="0" w:color="auto"/>
      </w:divBdr>
    </w:div>
    <w:div w:id="1506163941">
      <w:bodyDiv w:val="1"/>
      <w:marLeft w:val="0"/>
      <w:marRight w:val="0"/>
      <w:marTop w:val="0"/>
      <w:marBottom w:val="0"/>
      <w:divBdr>
        <w:top w:val="none" w:sz="0" w:space="0" w:color="auto"/>
        <w:left w:val="none" w:sz="0" w:space="0" w:color="auto"/>
        <w:bottom w:val="none" w:sz="0" w:space="0" w:color="auto"/>
        <w:right w:val="none" w:sz="0" w:space="0" w:color="auto"/>
      </w:divBdr>
    </w:div>
    <w:div w:id="1506170528">
      <w:bodyDiv w:val="1"/>
      <w:marLeft w:val="0"/>
      <w:marRight w:val="0"/>
      <w:marTop w:val="0"/>
      <w:marBottom w:val="0"/>
      <w:divBdr>
        <w:top w:val="none" w:sz="0" w:space="0" w:color="auto"/>
        <w:left w:val="none" w:sz="0" w:space="0" w:color="auto"/>
        <w:bottom w:val="none" w:sz="0" w:space="0" w:color="auto"/>
        <w:right w:val="none" w:sz="0" w:space="0" w:color="auto"/>
      </w:divBdr>
    </w:div>
    <w:div w:id="1506897617">
      <w:bodyDiv w:val="1"/>
      <w:marLeft w:val="0"/>
      <w:marRight w:val="0"/>
      <w:marTop w:val="0"/>
      <w:marBottom w:val="0"/>
      <w:divBdr>
        <w:top w:val="none" w:sz="0" w:space="0" w:color="auto"/>
        <w:left w:val="none" w:sz="0" w:space="0" w:color="auto"/>
        <w:bottom w:val="none" w:sz="0" w:space="0" w:color="auto"/>
        <w:right w:val="none" w:sz="0" w:space="0" w:color="auto"/>
      </w:divBdr>
    </w:div>
    <w:div w:id="1507132221">
      <w:bodyDiv w:val="1"/>
      <w:marLeft w:val="0"/>
      <w:marRight w:val="0"/>
      <w:marTop w:val="0"/>
      <w:marBottom w:val="0"/>
      <w:divBdr>
        <w:top w:val="none" w:sz="0" w:space="0" w:color="auto"/>
        <w:left w:val="none" w:sz="0" w:space="0" w:color="auto"/>
        <w:bottom w:val="none" w:sz="0" w:space="0" w:color="auto"/>
        <w:right w:val="none" w:sz="0" w:space="0" w:color="auto"/>
      </w:divBdr>
    </w:div>
    <w:div w:id="1507283920">
      <w:bodyDiv w:val="1"/>
      <w:marLeft w:val="0"/>
      <w:marRight w:val="0"/>
      <w:marTop w:val="0"/>
      <w:marBottom w:val="0"/>
      <w:divBdr>
        <w:top w:val="none" w:sz="0" w:space="0" w:color="auto"/>
        <w:left w:val="none" w:sz="0" w:space="0" w:color="auto"/>
        <w:bottom w:val="none" w:sz="0" w:space="0" w:color="auto"/>
        <w:right w:val="none" w:sz="0" w:space="0" w:color="auto"/>
      </w:divBdr>
    </w:div>
    <w:div w:id="1507597452">
      <w:bodyDiv w:val="1"/>
      <w:marLeft w:val="0"/>
      <w:marRight w:val="0"/>
      <w:marTop w:val="0"/>
      <w:marBottom w:val="0"/>
      <w:divBdr>
        <w:top w:val="none" w:sz="0" w:space="0" w:color="auto"/>
        <w:left w:val="none" w:sz="0" w:space="0" w:color="auto"/>
        <w:bottom w:val="none" w:sz="0" w:space="0" w:color="auto"/>
        <w:right w:val="none" w:sz="0" w:space="0" w:color="auto"/>
      </w:divBdr>
    </w:div>
    <w:div w:id="1507817358">
      <w:bodyDiv w:val="1"/>
      <w:marLeft w:val="0"/>
      <w:marRight w:val="0"/>
      <w:marTop w:val="0"/>
      <w:marBottom w:val="0"/>
      <w:divBdr>
        <w:top w:val="none" w:sz="0" w:space="0" w:color="auto"/>
        <w:left w:val="none" w:sz="0" w:space="0" w:color="auto"/>
        <w:bottom w:val="none" w:sz="0" w:space="0" w:color="auto"/>
        <w:right w:val="none" w:sz="0" w:space="0" w:color="auto"/>
      </w:divBdr>
    </w:div>
    <w:div w:id="1508447444">
      <w:bodyDiv w:val="1"/>
      <w:marLeft w:val="0"/>
      <w:marRight w:val="0"/>
      <w:marTop w:val="0"/>
      <w:marBottom w:val="0"/>
      <w:divBdr>
        <w:top w:val="none" w:sz="0" w:space="0" w:color="auto"/>
        <w:left w:val="none" w:sz="0" w:space="0" w:color="auto"/>
        <w:bottom w:val="none" w:sz="0" w:space="0" w:color="auto"/>
        <w:right w:val="none" w:sz="0" w:space="0" w:color="auto"/>
      </w:divBdr>
    </w:div>
    <w:div w:id="1508864368">
      <w:bodyDiv w:val="1"/>
      <w:marLeft w:val="0"/>
      <w:marRight w:val="0"/>
      <w:marTop w:val="0"/>
      <w:marBottom w:val="0"/>
      <w:divBdr>
        <w:top w:val="none" w:sz="0" w:space="0" w:color="auto"/>
        <w:left w:val="none" w:sz="0" w:space="0" w:color="auto"/>
        <w:bottom w:val="none" w:sz="0" w:space="0" w:color="auto"/>
        <w:right w:val="none" w:sz="0" w:space="0" w:color="auto"/>
      </w:divBdr>
    </w:div>
    <w:div w:id="1509101266">
      <w:bodyDiv w:val="1"/>
      <w:marLeft w:val="0"/>
      <w:marRight w:val="0"/>
      <w:marTop w:val="0"/>
      <w:marBottom w:val="0"/>
      <w:divBdr>
        <w:top w:val="none" w:sz="0" w:space="0" w:color="auto"/>
        <w:left w:val="none" w:sz="0" w:space="0" w:color="auto"/>
        <w:bottom w:val="none" w:sz="0" w:space="0" w:color="auto"/>
        <w:right w:val="none" w:sz="0" w:space="0" w:color="auto"/>
      </w:divBdr>
    </w:div>
    <w:div w:id="1509171220">
      <w:bodyDiv w:val="1"/>
      <w:marLeft w:val="0"/>
      <w:marRight w:val="0"/>
      <w:marTop w:val="0"/>
      <w:marBottom w:val="0"/>
      <w:divBdr>
        <w:top w:val="none" w:sz="0" w:space="0" w:color="auto"/>
        <w:left w:val="none" w:sz="0" w:space="0" w:color="auto"/>
        <w:bottom w:val="none" w:sz="0" w:space="0" w:color="auto"/>
        <w:right w:val="none" w:sz="0" w:space="0" w:color="auto"/>
      </w:divBdr>
    </w:div>
    <w:div w:id="1509178245">
      <w:bodyDiv w:val="1"/>
      <w:marLeft w:val="0"/>
      <w:marRight w:val="0"/>
      <w:marTop w:val="0"/>
      <w:marBottom w:val="0"/>
      <w:divBdr>
        <w:top w:val="none" w:sz="0" w:space="0" w:color="auto"/>
        <w:left w:val="none" w:sz="0" w:space="0" w:color="auto"/>
        <w:bottom w:val="none" w:sz="0" w:space="0" w:color="auto"/>
        <w:right w:val="none" w:sz="0" w:space="0" w:color="auto"/>
      </w:divBdr>
    </w:div>
    <w:div w:id="1509443359">
      <w:bodyDiv w:val="1"/>
      <w:marLeft w:val="0"/>
      <w:marRight w:val="0"/>
      <w:marTop w:val="0"/>
      <w:marBottom w:val="0"/>
      <w:divBdr>
        <w:top w:val="none" w:sz="0" w:space="0" w:color="auto"/>
        <w:left w:val="none" w:sz="0" w:space="0" w:color="auto"/>
        <w:bottom w:val="none" w:sz="0" w:space="0" w:color="auto"/>
        <w:right w:val="none" w:sz="0" w:space="0" w:color="auto"/>
      </w:divBdr>
    </w:div>
    <w:div w:id="1509516853">
      <w:bodyDiv w:val="1"/>
      <w:marLeft w:val="0"/>
      <w:marRight w:val="0"/>
      <w:marTop w:val="0"/>
      <w:marBottom w:val="0"/>
      <w:divBdr>
        <w:top w:val="none" w:sz="0" w:space="0" w:color="auto"/>
        <w:left w:val="none" w:sz="0" w:space="0" w:color="auto"/>
        <w:bottom w:val="none" w:sz="0" w:space="0" w:color="auto"/>
        <w:right w:val="none" w:sz="0" w:space="0" w:color="auto"/>
      </w:divBdr>
    </w:div>
    <w:div w:id="1509906667">
      <w:bodyDiv w:val="1"/>
      <w:marLeft w:val="0"/>
      <w:marRight w:val="0"/>
      <w:marTop w:val="0"/>
      <w:marBottom w:val="0"/>
      <w:divBdr>
        <w:top w:val="none" w:sz="0" w:space="0" w:color="auto"/>
        <w:left w:val="none" w:sz="0" w:space="0" w:color="auto"/>
        <w:bottom w:val="none" w:sz="0" w:space="0" w:color="auto"/>
        <w:right w:val="none" w:sz="0" w:space="0" w:color="auto"/>
      </w:divBdr>
    </w:div>
    <w:div w:id="1510367882">
      <w:bodyDiv w:val="1"/>
      <w:marLeft w:val="0"/>
      <w:marRight w:val="0"/>
      <w:marTop w:val="0"/>
      <w:marBottom w:val="0"/>
      <w:divBdr>
        <w:top w:val="none" w:sz="0" w:space="0" w:color="auto"/>
        <w:left w:val="none" w:sz="0" w:space="0" w:color="auto"/>
        <w:bottom w:val="none" w:sz="0" w:space="0" w:color="auto"/>
        <w:right w:val="none" w:sz="0" w:space="0" w:color="auto"/>
      </w:divBdr>
    </w:div>
    <w:div w:id="1510412374">
      <w:bodyDiv w:val="1"/>
      <w:marLeft w:val="0"/>
      <w:marRight w:val="0"/>
      <w:marTop w:val="0"/>
      <w:marBottom w:val="0"/>
      <w:divBdr>
        <w:top w:val="none" w:sz="0" w:space="0" w:color="auto"/>
        <w:left w:val="none" w:sz="0" w:space="0" w:color="auto"/>
        <w:bottom w:val="none" w:sz="0" w:space="0" w:color="auto"/>
        <w:right w:val="none" w:sz="0" w:space="0" w:color="auto"/>
      </w:divBdr>
    </w:div>
    <w:div w:id="1510486899">
      <w:bodyDiv w:val="1"/>
      <w:marLeft w:val="0"/>
      <w:marRight w:val="0"/>
      <w:marTop w:val="0"/>
      <w:marBottom w:val="0"/>
      <w:divBdr>
        <w:top w:val="none" w:sz="0" w:space="0" w:color="auto"/>
        <w:left w:val="none" w:sz="0" w:space="0" w:color="auto"/>
        <w:bottom w:val="none" w:sz="0" w:space="0" w:color="auto"/>
        <w:right w:val="none" w:sz="0" w:space="0" w:color="auto"/>
      </w:divBdr>
    </w:div>
    <w:div w:id="1510674822">
      <w:bodyDiv w:val="1"/>
      <w:marLeft w:val="0"/>
      <w:marRight w:val="0"/>
      <w:marTop w:val="0"/>
      <w:marBottom w:val="0"/>
      <w:divBdr>
        <w:top w:val="none" w:sz="0" w:space="0" w:color="auto"/>
        <w:left w:val="none" w:sz="0" w:space="0" w:color="auto"/>
        <w:bottom w:val="none" w:sz="0" w:space="0" w:color="auto"/>
        <w:right w:val="none" w:sz="0" w:space="0" w:color="auto"/>
      </w:divBdr>
    </w:div>
    <w:div w:id="1510676567">
      <w:bodyDiv w:val="1"/>
      <w:marLeft w:val="0"/>
      <w:marRight w:val="0"/>
      <w:marTop w:val="0"/>
      <w:marBottom w:val="0"/>
      <w:divBdr>
        <w:top w:val="none" w:sz="0" w:space="0" w:color="auto"/>
        <w:left w:val="none" w:sz="0" w:space="0" w:color="auto"/>
        <w:bottom w:val="none" w:sz="0" w:space="0" w:color="auto"/>
        <w:right w:val="none" w:sz="0" w:space="0" w:color="auto"/>
      </w:divBdr>
    </w:div>
    <w:div w:id="1511675599">
      <w:bodyDiv w:val="1"/>
      <w:marLeft w:val="0"/>
      <w:marRight w:val="0"/>
      <w:marTop w:val="0"/>
      <w:marBottom w:val="0"/>
      <w:divBdr>
        <w:top w:val="none" w:sz="0" w:space="0" w:color="auto"/>
        <w:left w:val="none" w:sz="0" w:space="0" w:color="auto"/>
        <w:bottom w:val="none" w:sz="0" w:space="0" w:color="auto"/>
        <w:right w:val="none" w:sz="0" w:space="0" w:color="auto"/>
      </w:divBdr>
    </w:div>
    <w:div w:id="1511989937">
      <w:bodyDiv w:val="1"/>
      <w:marLeft w:val="0"/>
      <w:marRight w:val="0"/>
      <w:marTop w:val="0"/>
      <w:marBottom w:val="0"/>
      <w:divBdr>
        <w:top w:val="none" w:sz="0" w:space="0" w:color="auto"/>
        <w:left w:val="none" w:sz="0" w:space="0" w:color="auto"/>
        <w:bottom w:val="none" w:sz="0" w:space="0" w:color="auto"/>
        <w:right w:val="none" w:sz="0" w:space="0" w:color="auto"/>
      </w:divBdr>
    </w:div>
    <w:div w:id="1512597854">
      <w:bodyDiv w:val="1"/>
      <w:marLeft w:val="0"/>
      <w:marRight w:val="0"/>
      <w:marTop w:val="0"/>
      <w:marBottom w:val="0"/>
      <w:divBdr>
        <w:top w:val="none" w:sz="0" w:space="0" w:color="auto"/>
        <w:left w:val="none" w:sz="0" w:space="0" w:color="auto"/>
        <w:bottom w:val="none" w:sz="0" w:space="0" w:color="auto"/>
        <w:right w:val="none" w:sz="0" w:space="0" w:color="auto"/>
      </w:divBdr>
    </w:div>
    <w:div w:id="1512600442">
      <w:bodyDiv w:val="1"/>
      <w:marLeft w:val="0"/>
      <w:marRight w:val="0"/>
      <w:marTop w:val="0"/>
      <w:marBottom w:val="0"/>
      <w:divBdr>
        <w:top w:val="none" w:sz="0" w:space="0" w:color="auto"/>
        <w:left w:val="none" w:sz="0" w:space="0" w:color="auto"/>
        <w:bottom w:val="none" w:sz="0" w:space="0" w:color="auto"/>
        <w:right w:val="none" w:sz="0" w:space="0" w:color="auto"/>
      </w:divBdr>
    </w:div>
    <w:div w:id="1512722582">
      <w:bodyDiv w:val="1"/>
      <w:marLeft w:val="0"/>
      <w:marRight w:val="0"/>
      <w:marTop w:val="0"/>
      <w:marBottom w:val="0"/>
      <w:divBdr>
        <w:top w:val="none" w:sz="0" w:space="0" w:color="auto"/>
        <w:left w:val="none" w:sz="0" w:space="0" w:color="auto"/>
        <w:bottom w:val="none" w:sz="0" w:space="0" w:color="auto"/>
        <w:right w:val="none" w:sz="0" w:space="0" w:color="auto"/>
      </w:divBdr>
    </w:div>
    <w:div w:id="1512724774">
      <w:bodyDiv w:val="1"/>
      <w:marLeft w:val="0"/>
      <w:marRight w:val="0"/>
      <w:marTop w:val="0"/>
      <w:marBottom w:val="0"/>
      <w:divBdr>
        <w:top w:val="none" w:sz="0" w:space="0" w:color="auto"/>
        <w:left w:val="none" w:sz="0" w:space="0" w:color="auto"/>
        <w:bottom w:val="none" w:sz="0" w:space="0" w:color="auto"/>
        <w:right w:val="none" w:sz="0" w:space="0" w:color="auto"/>
      </w:divBdr>
    </w:div>
    <w:div w:id="1512911006">
      <w:bodyDiv w:val="1"/>
      <w:marLeft w:val="0"/>
      <w:marRight w:val="0"/>
      <w:marTop w:val="0"/>
      <w:marBottom w:val="0"/>
      <w:divBdr>
        <w:top w:val="none" w:sz="0" w:space="0" w:color="auto"/>
        <w:left w:val="none" w:sz="0" w:space="0" w:color="auto"/>
        <w:bottom w:val="none" w:sz="0" w:space="0" w:color="auto"/>
        <w:right w:val="none" w:sz="0" w:space="0" w:color="auto"/>
      </w:divBdr>
    </w:div>
    <w:div w:id="1513255102">
      <w:bodyDiv w:val="1"/>
      <w:marLeft w:val="0"/>
      <w:marRight w:val="0"/>
      <w:marTop w:val="0"/>
      <w:marBottom w:val="0"/>
      <w:divBdr>
        <w:top w:val="none" w:sz="0" w:space="0" w:color="auto"/>
        <w:left w:val="none" w:sz="0" w:space="0" w:color="auto"/>
        <w:bottom w:val="none" w:sz="0" w:space="0" w:color="auto"/>
        <w:right w:val="none" w:sz="0" w:space="0" w:color="auto"/>
      </w:divBdr>
    </w:div>
    <w:div w:id="1513302695">
      <w:bodyDiv w:val="1"/>
      <w:marLeft w:val="0"/>
      <w:marRight w:val="0"/>
      <w:marTop w:val="0"/>
      <w:marBottom w:val="0"/>
      <w:divBdr>
        <w:top w:val="none" w:sz="0" w:space="0" w:color="auto"/>
        <w:left w:val="none" w:sz="0" w:space="0" w:color="auto"/>
        <w:bottom w:val="none" w:sz="0" w:space="0" w:color="auto"/>
        <w:right w:val="none" w:sz="0" w:space="0" w:color="auto"/>
      </w:divBdr>
    </w:div>
    <w:div w:id="1513374160">
      <w:bodyDiv w:val="1"/>
      <w:marLeft w:val="0"/>
      <w:marRight w:val="0"/>
      <w:marTop w:val="0"/>
      <w:marBottom w:val="0"/>
      <w:divBdr>
        <w:top w:val="none" w:sz="0" w:space="0" w:color="auto"/>
        <w:left w:val="none" w:sz="0" w:space="0" w:color="auto"/>
        <w:bottom w:val="none" w:sz="0" w:space="0" w:color="auto"/>
        <w:right w:val="none" w:sz="0" w:space="0" w:color="auto"/>
      </w:divBdr>
    </w:div>
    <w:div w:id="1514346155">
      <w:bodyDiv w:val="1"/>
      <w:marLeft w:val="0"/>
      <w:marRight w:val="0"/>
      <w:marTop w:val="0"/>
      <w:marBottom w:val="0"/>
      <w:divBdr>
        <w:top w:val="none" w:sz="0" w:space="0" w:color="auto"/>
        <w:left w:val="none" w:sz="0" w:space="0" w:color="auto"/>
        <w:bottom w:val="none" w:sz="0" w:space="0" w:color="auto"/>
        <w:right w:val="none" w:sz="0" w:space="0" w:color="auto"/>
      </w:divBdr>
    </w:div>
    <w:div w:id="1514761478">
      <w:bodyDiv w:val="1"/>
      <w:marLeft w:val="0"/>
      <w:marRight w:val="0"/>
      <w:marTop w:val="0"/>
      <w:marBottom w:val="0"/>
      <w:divBdr>
        <w:top w:val="none" w:sz="0" w:space="0" w:color="auto"/>
        <w:left w:val="none" w:sz="0" w:space="0" w:color="auto"/>
        <w:bottom w:val="none" w:sz="0" w:space="0" w:color="auto"/>
        <w:right w:val="none" w:sz="0" w:space="0" w:color="auto"/>
      </w:divBdr>
    </w:div>
    <w:div w:id="1515269431">
      <w:bodyDiv w:val="1"/>
      <w:marLeft w:val="0"/>
      <w:marRight w:val="0"/>
      <w:marTop w:val="0"/>
      <w:marBottom w:val="0"/>
      <w:divBdr>
        <w:top w:val="none" w:sz="0" w:space="0" w:color="auto"/>
        <w:left w:val="none" w:sz="0" w:space="0" w:color="auto"/>
        <w:bottom w:val="none" w:sz="0" w:space="0" w:color="auto"/>
        <w:right w:val="none" w:sz="0" w:space="0" w:color="auto"/>
      </w:divBdr>
    </w:div>
    <w:div w:id="1515336549">
      <w:bodyDiv w:val="1"/>
      <w:marLeft w:val="0"/>
      <w:marRight w:val="0"/>
      <w:marTop w:val="0"/>
      <w:marBottom w:val="0"/>
      <w:divBdr>
        <w:top w:val="none" w:sz="0" w:space="0" w:color="auto"/>
        <w:left w:val="none" w:sz="0" w:space="0" w:color="auto"/>
        <w:bottom w:val="none" w:sz="0" w:space="0" w:color="auto"/>
        <w:right w:val="none" w:sz="0" w:space="0" w:color="auto"/>
      </w:divBdr>
    </w:div>
    <w:div w:id="1515417838">
      <w:bodyDiv w:val="1"/>
      <w:marLeft w:val="0"/>
      <w:marRight w:val="0"/>
      <w:marTop w:val="0"/>
      <w:marBottom w:val="0"/>
      <w:divBdr>
        <w:top w:val="none" w:sz="0" w:space="0" w:color="auto"/>
        <w:left w:val="none" w:sz="0" w:space="0" w:color="auto"/>
        <w:bottom w:val="none" w:sz="0" w:space="0" w:color="auto"/>
        <w:right w:val="none" w:sz="0" w:space="0" w:color="auto"/>
      </w:divBdr>
    </w:div>
    <w:div w:id="1515455217">
      <w:bodyDiv w:val="1"/>
      <w:marLeft w:val="0"/>
      <w:marRight w:val="0"/>
      <w:marTop w:val="0"/>
      <w:marBottom w:val="0"/>
      <w:divBdr>
        <w:top w:val="none" w:sz="0" w:space="0" w:color="auto"/>
        <w:left w:val="none" w:sz="0" w:space="0" w:color="auto"/>
        <w:bottom w:val="none" w:sz="0" w:space="0" w:color="auto"/>
        <w:right w:val="none" w:sz="0" w:space="0" w:color="auto"/>
      </w:divBdr>
    </w:div>
    <w:div w:id="1515538272">
      <w:bodyDiv w:val="1"/>
      <w:marLeft w:val="0"/>
      <w:marRight w:val="0"/>
      <w:marTop w:val="0"/>
      <w:marBottom w:val="0"/>
      <w:divBdr>
        <w:top w:val="none" w:sz="0" w:space="0" w:color="auto"/>
        <w:left w:val="none" w:sz="0" w:space="0" w:color="auto"/>
        <w:bottom w:val="none" w:sz="0" w:space="0" w:color="auto"/>
        <w:right w:val="none" w:sz="0" w:space="0" w:color="auto"/>
      </w:divBdr>
    </w:div>
    <w:div w:id="1515726512">
      <w:bodyDiv w:val="1"/>
      <w:marLeft w:val="0"/>
      <w:marRight w:val="0"/>
      <w:marTop w:val="0"/>
      <w:marBottom w:val="0"/>
      <w:divBdr>
        <w:top w:val="none" w:sz="0" w:space="0" w:color="auto"/>
        <w:left w:val="none" w:sz="0" w:space="0" w:color="auto"/>
        <w:bottom w:val="none" w:sz="0" w:space="0" w:color="auto"/>
        <w:right w:val="none" w:sz="0" w:space="0" w:color="auto"/>
      </w:divBdr>
    </w:div>
    <w:div w:id="1515918272">
      <w:bodyDiv w:val="1"/>
      <w:marLeft w:val="0"/>
      <w:marRight w:val="0"/>
      <w:marTop w:val="0"/>
      <w:marBottom w:val="0"/>
      <w:divBdr>
        <w:top w:val="none" w:sz="0" w:space="0" w:color="auto"/>
        <w:left w:val="none" w:sz="0" w:space="0" w:color="auto"/>
        <w:bottom w:val="none" w:sz="0" w:space="0" w:color="auto"/>
        <w:right w:val="none" w:sz="0" w:space="0" w:color="auto"/>
      </w:divBdr>
    </w:div>
    <w:div w:id="1515919181">
      <w:bodyDiv w:val="1"/>
      <w:marLeft w:val="0"/>
      <w:marRight w:val="0"/>
      <w:marTop w:val="0"/>
      <w:marBottom w:val="0"/>
      <w:divBdr>
        <w:top w:val="none" w:sz="0" w:space="0" w:color="auto"/>
        <w:left w:val="none" w:sz="0" w:space="0" w:color="auto"/>
        <w:bottom w:val="none" w:sz="0" w:space="0" w:color="auto"/>
        <w:right w:val="none" w:sz="0" w:space="0" w:color="auto"/>
      </w:divBdr>
    </w:div>
    <w:div w:id="1516187016">
      <w:bodyDiv w:val="1"/>
      <w:marLeft w:val="0"/>
      <w:marRight w:val="0"/>
      <w:marTop w:val="0"/>
      <w:marBottom w:val="0"/>
      <w:divBdr>
        <w:top w:val="none" w:sz="0" w:space="0" w:color="auto"/>
        <w:left w:val="none" w:sz="0" w:space="0" w:color="auto"/>
        <w:bottom w:val="none" w:sz="0" w:space="0" w:color="auto"/>
        <w:right w:val="none" w:sz="0" w:space="0" w:color="auto"/>
      </w:divBdr>
    </w:div>
    <w:div w:id="1516383730">
      <w:bodyDiv w:val="1"/>
      <w:marLeft w:val="0"/>
      <w:marRight w:val="0"/>
      <w:marTop w:val="0"/>
      <w:marBottom w:val="0"/>
      <w:divBdr>
        <w:top w:val="none" w:sz="0" w:space="0" w:color="auto"/>
        <w:left w:val="none" w:sz="0" w:space="0" w:color="auto"/>
        <w:bottom w:val="none" w:sz="0" w:space="0" w:color="auto"/>
        <w:right w:val="none" w:sz="0" w:space="0" w:color="auto"/>
      </w:divBdr>
    </w:div>
    <w:div w:id="1516767392">
      <w:bodyDiv w:val="1"/>
      <w:marLeft w:val="0"/>
      <w:marRight w:val="0"/>
      <w:marTop w:val="0"/>
      <w:marBottom w:val="0"/>
      <w:divBdr>
        <w:top w:val="none" w:sz="0" w:space="0" w:color="auto"/>
        <w:left w:val="none" w:sz="0" w:space="0" w:color="auto"/>
        <w:bottom w:val="none" w:sz="0" w:space="0" w:color="auto"/>
        <w:right w:val="none" w:sz="0" w:space="0" w:color="auto"/>
      </w:divBdr>
    </w:div>
    <w:div w:id="1517814111">
      <w:bodyDiv w:val="1"/>
      <w:marLeft w:val="0"/>
      <w:marRight w:val="0"/>
      <w:marTop w:val="0"/>
      <w:marBottom w:val="0"/>
      <w:divBdr>
        <w:top w:val="none" w:sz="0" w:space="0" w:color="auto"/>
        <w:left w:val="none" w:sz="0" w:space="0" w:color="auto"/>
        <w:bottom w:val="none" w:sz="0" w:space="0" w:color="auto"/>
        <w:right w:val="none" w:sz="0" w:space="0" w:color="auto"/>
      </w:divBdr>
    </w:div>
    <w:div w:id="1517815333">
      <w:bodyDiv w:val="1"/>
      <w:marLeft w:val="0"/>
      <w:marRight w:val="0"/>
      <w:marTop w:val="0"/>
      <w:marBottom w:val="0"/>
      <w:divBdr>
        <w:top w:val="none" w:sz="0" w:space="0" w:color="auto"/>
        <w:left w:val="none" w:sz="0" w:space="0" w:color="auto"/>
        <w:bottom w:val="none" w:sz="0" w:space="0" w:color="auto"/>
        <w:right w:val="none" w:sz="0" w:space="0" w:color="auto"/>
      </w:divBdr>
    </w:div>
    <w:div w:id="1518232756">
      <w:bodyDiv w:val="1"/>
      <w:marLeft w:val="0"/>
      <w:marRight w:val="0"/>
      <w:marTop w:val="0"/>
      <w:marBottom w:val="0"/>
      <w:divBdr>
        <w:top w:val="none" w:sz="0" w:space="0" w:color="auto"/>
        <w:left w:val="none" w:sz="0" w:space="0" w:color="auto"/>
        <w:bottom w:val="none" w:sz="0" w:space="0" w:color="auto"/>
        <w:right w:val="none" w:sz="0" w:space="0" w:color="auto"/>
      </w:divBdr>
    </w:div>
    <w:div w:id="1518694771">
      <w:bodyDiv w:val="1"/>
      <w:marLeft w:val="0"/>
      <w:marRight w:val="0"/>
      <w:marTop w:val="0"/>
      <w:marBottom w:val="0"/>
      <w:divBdr>
        <w:top w:val="none" w:sz="0" w:space="0" w:color="auto"/>
        <w:left w:val="none" w:sz="0" w:space="0" w:color="auto"/>
        <w:bottom w:val="none" w:sz="0" w:space="0" w:color="auto"/>
        <w:right w:val="none" w:sz="0" w:space="0" w:color="auto"/>
      </w:divBdr>
    </w:div>
    <w:div w:id="1519081182">
      <w:bodyDiv w:val="1"/>
      <w:marLeft w:val="0"/>
      <w:marRight w:val="0"/>
      <w:marTop w:val="0"/>
      <w:marBottom w:val="0"/>
      <w:divBdr>
        <w:top w:val="none" w:sz="0" w:space="0" w:color="auto"/>
        <w:left w:val="none" w:sz="0" w:space="0" w:color="auto"/>
        <w:bottom w:val="none" w:sz="0" w:space="0" w:color="auto"/>
        <w:right w:val="none" w:sz="0" w:space="0" w:color="auto"/>
      </w:divBdr>
    </w:div>
    <w:div w:id="1519126394">
      <w:bodyDiv w:val="1"/>
      <w:marLeft w:val="0"/>
      <w:marRight w:val="0"/>
      <w:marTop w:val="0"/>
      <w:marBottom w:val="0"/>
      <w:divBdr>
        <w:top w:val="none" w:sz="0" w:space="0" w:color="auto"/>
        <w:left w:val="none" w:sz="0" w:space="0" w:color="auto"/>
        <w:bottom w:val="none" w:sz="0" w:space="0" w:color="auto"/>
        <w:right w:val="none" w:sz="0" w:space="0" w:color="auto"/>
      </w:divBdr>
    </w:div>
    <w:div w:id="1519269394">
      <w:bodyDiv w:val="1"/>
      <w:marLeft w:val="0"/>
      <w:marRight w:val="0"/>
      <w:marTop w:val="0"/>
      <w:marBottom w:val="0"/>
      <w:divBdr>
        <w:top w:val="none" w:sz="0" w:space="0" w:color="auto"/>
        <w:left w:val="none" w:sz="0" w:space="0" w:color="auto"/>
        <w:bottom w:val="none" w:sz="0" w:space="0" w:color="auto"/>
        <w:right w:val="none" w:sz="0" w:space="0" w:color="auto"/>
      </w:divBdr>
    </w:div>
    <w:div w:id="1519351936">
      <w:bodyDiv w:val="1"/>
      <w:marLeft w:val="0"/>
      <w:marRight w:val="0"/>
      <w:marTop w:val="0"/>
      <w:marBottom w:val="0"/>
      <w:divBdr>
        <w:top w:val="none" w:sz="0" w:space="0" w:color="auto"/>
        <w:left w:val="none" w:sz="0" w:space="0" w:color="auto"/>
        <w:bottom w:val="none" w:sz="0" w:space="0" w:color="auto"/>
        <w:right w:val="none" w:sz="0" w:space="0" w:color="auto"/>
      </w:divBdr>
    </w:div>
    <w:div w:id="1519466438">
      <w:bodyDiv w:val="1"/>
      <w:marLeft w:val="0"/>
      <w:marRight w:val="0"/>
      <w:marTop w:val="0"/>
      <w:marBottom w:val="0"/>
      <w:divBdr>
        <w:top w:val="none" w:sz="0" w:space="0" w:color="auto"/>
        <w:left w:val="none" w:sz="0" w:space="0" w:color="auto"/>
        <w:bottom w:val="none" w:sz="0" w:space="0" w:color="auto"/>
        <w:right w:val="none" w:sz="0" w:space="0" w:color="auto"/>
      </w:divBdr>
    </w:div>
    <w:div w:id="1520006259">
      <w:bodyDiv w:val="1"/>
      <w:marLeft w:val="0"/>
      <w:marRight w:val="0"/>
      <w:marTop w:val="0"/>
      <w:marBottom w:val="0"/>
      <w:divBdr>
        <w:top w:val="none" w:sz="0" w:space="0" w:color="auto"/>
        <w:left w:val="none" w:sz="0" w:space="0" w:color="auto"/>
        <w:bottom w:val="none" w:sz="0" w:space="0" w:color="auto"/>
        <w:right w:val="none" w:sz="0" w:space="0" w:color="auto"/>
      </w:divBdr>
    </w:div>
    <w:div w:id="1520507967">
      <w:bodyDiv w:val="1"/>
      <w:marLeft w:val="0"/>
      <w:marRight w:val="0"/>
      <w:marTop w:val="0"/>
      <w:marBottom w:val="0"/>
      <w:divBdr>
        <w:top w:val="none" w:sz="0" w:space="0" w:color="auto"/>
        <w:left w:val="none" w:sz="0" w:space="0" w:color="auto"/>
        <w:bottom w:val="none" w:sz="0" w:space="0" w:color="auto"/>
        <w:right w:val="none" w:sz="0" w:space="0" w:color="auto"/>
      </w:divBdr>
    </w:div>
    <w:div w:id="1520698612">
      <w:bodyDiv w:val="1"/>
      <w:marLeft w:val="0"/>
      <w:marRight w:val="0"/>
      <w:marTop w:val="0"/>
      <w:marBottom w:val="0"/>
      <w:divBdr>
        <w:top w:val="none" w:sz="0" w:space="0" w:color="auto"/>
        <w:left w:val="none" w:sz="0" w:space="0" w:color="auto"/>
        <w:bottom w:val="none" w:sz="0" w:space="0" w:color="auto"/>
        <w:right w:val="none" w:sz="0" w:space="0" w:color="auto"/>
      </w:divBdr>
    </w:div>
    <w:div w:id="1520777896">
      <w:bodyDiv w:val="1"/>
      <w:marLeft w:val="0"/>
      <w:marRight w:val="0"/>
      <w:marTop w:val="0"/>
      <w:marBottom w:val="0"/>
      <w:divBdr>
        <w:top w:val="none" w:sz="0" w:space="0" w:color="auto"/>
        <w:left w:val="none" w:sz="0" w:space="0" w:color="auto"/>
        <w:bottom w:val="none" w:sz="0" w:space="0" w:color="auto"/>
        <w:right w:val="none" w:sz="0" w:space="0" w:color="auto"/>
      </w:divBdr>
    </w:div>
    <w:div w:id="1521505177">
      <w:bodyDiv w:val="1"/>
      <w:marLeft w:val="0"/>
      <w:marRight w:val="0"/>
      <w:marTop w:val="0"/>
      <w:marBottom w:val="0"/>
      <w:divBdr>
        <w:top w:val="none" w:sz="0" w:space="0" w:color="auto"/>
        <w:left w:val="none" w:sz="0" w:space="0" w:color="auto"/>
        <w:bottom w:val="none" w:sz="0" w:space="0" w:color="auto"/>
        <w:right w:val="none" w:sz="0" w:space="0" w:color="auto"/>
      </w:divBdr>
    </w:div>
    <w:div w:id="1521627505">
      <w:bodyDiv w:val="1"/>
      <w:marLeft w:val="0"/>
      <w:marRight w:val="0"/>
      <w:marTop w:val="0"/>
      <w:marBottom w:val="0"/>
      <w:divBdr>
        <w:top w:val="none" w:sz="0" w:space="0" w:color="auto"/>
        <w:left w:val="none" w:sz="0" w:space="0" w:color="auto"/>
        <w:bottom w:val="none" w:sz="0" w:space="0" w:color="auto"/>
        <w:right w:val="none" w:sz="0" w:space="0" w:color="auto"/>
      </w:divBdr>
    </w:div>
    <w:div w:id="1521778491">
      <w:bodyDiv w:val="1"/>
      <w:marLeft w:val="0"/>
      <w:marRight w:val="0"/>
      <w:marTop w:val="0"/>
      <w:marBottom w:val="0"/>
      <w:divBdr>
        <w:top w:val="none" w:sz="0" w:space="0" w:color="auto"/>
        <w:left w:val="none" w:sz="0" w:space="0" w:color="auto"/>
        <w:bottom w:val="none" w:sz="0" w:space="0" w:color="auto"/>
        <w:right w:val="none" w:sz="0" w:space="0" w:color="auto"/>
      </w:divBdr>
    </w:div>
    <w:div w:id="1522620825">
      <w:bodyDiv w:val="1"/>
      <w:marLeft w:val="0"/>
      <w:marRight w:val="0"/>
      <w:marTop w:val="0"/>
      <w:marBottom w:val="0"/>
      <w:divBdr>
        <w:top w:val="none" w:sz="0" w:space="0" w:color="auto"/>
        <w:left w:val="none" w:sz="0" w:space="0" w:color="auto"/>
        <w:bottom w:val="none" w:sz="0" w:space="0" w:color="auto"/>
        <w:right w:val="none" w:sz="0" w:space="0" w:color="auto"/>
      </w:divBdr>
    </w:div>
    <w:div w:id="1522864672">
      <w:bodyDiv w:val="1"/>
      <w:marLeft w:val="0"/>
      <w:marRight w:val="0"/>
      <w:marTop w:val="0"/>
      <w:marBottom w:val="0"/>
      <w:divBdr>
        <w:top w:val="none" w:sz="0" w:space="0" w:color="auto"/>
        <w:left w:val="none" w:sz="0" w:space="0" w:color="auto"/>
        <w:bottom w:val="none" w:sz="0" w:space="0" w:color="auto"/>
        <w:right w:val="none" w:sz="0" w:space="0" w:color="auto"/>
      </w:divBdr>
    </w:div>
    <w:div w:id="1523128411">
      <w:bodyDiv w:val="1"/>
      <w:marLeft w:val="0"/>
      <w:marRight w:val="0"/>
      <w:marTop w:val="0"/>
      <w:marBottom w:val="0"/>
      <w:divBdr>
        <w:top w:val="none" w:sz="0" w:space="0" w:color="auto"/>
        <w:left w:val="none" w:sz="0" w:space="0" w:color="auto"/>
        <w:bottom w:val="none" w:sz="0" w:space="0" w:color="auto"/>
        <w:right w:val="none" w:sz="0" w:space="0" w:color="auto"/>
      </w:divBdr>
    </w:div>
    <w:div w:id="1523283567">
      <w:bodyDiv w:val="1"/>
      <w:marLeft w:val="0"/>
      <w:marRight w:val="0"/>
      <w:marTop w:val="0"/>
      <w:marBottom w:val="0"/>
      <w:divBdr>
        <w:top w:val="none" w:sz="0" w:space="0" w:color="auto"/>
        <w:left w:val="none" w:sz="0" w:space="0" w:color="auto"/>
        <w:bottom w:val="none" w:sz="0" w:space="0" w:color="auto"/>
        <w:right w:val="none" w:sz="0" w:space="0" w:color="auto"/>
      </w:divBdr>
    </w:div>
    <w:div w:id="1523742170">
      <w:bodyDiv w:val="1"/>
      <w:marLeft w:val="0"/>
      <w:marRight w:val="0"/>
      <w:marTop w:val="0"/>
      <w:marBottom w:val="0"/>
      <w:divBdr>
        <w:top w:val="none" w:sz="0" w:space="0" w:color="auto"/>
        <w:left w:val="none" w:sz="0" w:space="0" w:color="auto"/>
        <w:bottom w:val="none" w:sz="0" w:space="0" w:color="auto"/>
        <w:right w:val="none" w:sz="0" w:space="0" w:color="auto"/>
      </w:divBdr>
    </w:div>
    <w:div w:id="1523787823">
      <w:bodyDiv w:val="1"/>
      <w:marLeft w:val="0"/>
      <w:marRight w:val="0"/>
      <w:marTop w:val="0"/>
      <w:marBottom w:val="0"/>
      <w:divBdr>
        <w:top w:val="none" w:sz="0" w:space="0" w:color="auto"/>
        <w:left w:val="none" w:sz="0" w:space="0" w:color="auto"/>
        <w:bottom w:val="none" w:sz="0" w:space="0" w:color="auto"/>
        <w:right w:val="none" w:sz="0" w:space="0" w:color="auto"/>
      </w:divBdr>
    </w:div>
    <w:div w:id="1523976661">
      <w:bodyDiv w:val="1"/>
      <w:marLeft w:val="0"/>
      <w:marRight w:val="0"/>
      <w:marTop w:val="0"/>
      <w:marBottom w:val="0"/>
      <w:divBdr>
        <w:top w:val="none" w:sz="0" w:space="0" w:color="auto"/>
        <w:left w:val="none" w:sz="0" w:space="0" w:color="auto"/>
        <w:bottom w:val="none" w:sz="0" w:space="0" w:color="auto"/>
        <w:right w:val="none" w:sz="0" w:space="0" w:color="auto"/>
      </w:divBdr>
    </w:div>
    <w:div w:id="1524518760">
      <w:bodyDiv w:val="1"/>
      <w:marLeft w:val="0"/>
      <w:marRight w:val="0"/>
      <w:marTop w:val="0"/>
      <w:marBottom w:val="0"/>
      <w:divBdr>
        <w:top w:val="none" w:sz="0" w:space="0" w:color="auto"/>
        <w:left w:val="none" w:sz="0" w:space="0" w:color="auto"/>
        <w:bottom w:val="none" w:sz="0" w:space="0" w:color="auto"/>
        <w:right w:val="none" w:sz="0" w:space="0" w:color="auto"/>
      </w:divBdr>
    </w:div>
    <w:div w:id="1524705297">
      <w:bodyDiv w:val="1"/>
      <w:marLeft w:val="0"/>
      <w:marRight w:val="0"/>
      <w:marTop w:val="0"/>
      <w:marBottom w:val="0"/>
      <w:divBdr>
        <w:top w:val="none" w:sz="0" w:space="0" w:color="auto"/>
        <w:left w:val="none" w:sz="0" w:space="0" w:color="auto"/>
        <w:bottom w:val="none" w:sz="0" w:space="0" w:color="auto"/>
        <w:right w:val="none" w:sz="0" w:space="0" w:color="auto"/>
      </w:divBdr>
    </w:div>
    <w:div w:id="1524706888">
      <w:bodyDiv w:val="1"/>
      <w:marLeft w:val="0"/>
      <w:marRight w:val="0"/>
      <w:marTop w:val="0"/>
      <w:marBottom w:val="0"/>
      <w:divBdr>
        <w:top w:val="none" w:sz="0" w:space="0" w:color="auto"/>
        <w:left w:val="none" w:sz="0" w:space="0" w:color="auto"/>
        <w:bottom w:val="none" w:sz="0" w:space="0" w:color="auto"/>
        <w:right w:val="none" w:sz="0" w:space="0" w:color="auto"/>
      </w:divBdr>
    </w:div>
    <w:div w:id="1524710132">
      <w:bodyDiv w:val="1"/>
      <w:marLeft w:val="0"/>
      <w:marRight w:val="0"/>
      <w:marTop w:val="0"/>
      <w:marBottom w:val="0"/>
      <w:divBdr>
        <w:top w:val="none" w:sz="0" w:space="0" w:color="auto"/>
        <w:left w:val="none" w:sz="0" w:space="0" w:color="auto"/>
        <w:bottom w:val="none" w:sz="0" w:space="0" w:color="auto"/>
        <w:right w:val="none" w:sz="0" w:space="0" w:color="auto"/>
      </w:divBdr>
    </w:div>
    <w:div w:id="1525166961">
      <w:bodyDiv w:val="1"/>
      <w:marLeft w:val="0"/>
      <w:marRight w:val="0"/>
      <w:marTop w:val="0"/>
      <w:marBottom w:val="0"/>
      <w:divBdr>
        <w:top w:val="none" w:sz="0" w:space="0" w:color="auto"/>
        <w:left w:val="none" w:sz="0" w:space="0" w:color="auto"/>
        <w:bottom w:val="none" w:sz="0" w:space="0" w:color="auto"/>
        <w:right w:val="none" w:sz="0" w:space="0" w:color="auto"/>
      </w:divBdr>
    </w:div>
    <w:div w:id="1525482231">
      <w:bodyDiv w:val="1"/>
      <w:marLeft w:val="0"/>
      <w:marRight w:val="0"/>
      <w:marTop w:val="0"/>
      <w:marBottom w:val="0"/>
      <w:divBdr>
        <w:top w:val="none" w:sz="0" w:space="0" w:color="auto"/>
        <w:left w:val="none" w:sz="0" w:space="0" w:color="auto"/>
        <w:bottom w:val="none" w:sz="0" w:space="0" w:color="auto"/>
        <w:right w:val="none" w:sz="0" w:space="0" w:color="auto"/>
      </w:divBdr>
    </w:div>
    <w:div w:id="1525747064">
      <w:bodyDiv w:val="1"/>
      <w:marLeft w:val="0"/>
      <w:marRight w:val="0"/>
      <w:marTop w:val="0"/>
      <w:marBottom w:val="0"/>
      <w:divBdr>
        <w:top w:val="none" w:sz="0" w:space="0" w:color="auto"/>
        <w:left w:val="none" w:sz="0" w:space="0" w:color="auto"/>
        <w:bottom w:val="none" w:sz="0" w:space="0" w:color="auto"/>
        <w:right w:val="none" w:sz="0" w:space="0" w:color="auto"/>
      </w:divBdr>
    </w:div>
    <w:div w:id="1525826453">
      <w:bodyDiv w:val="1"/>
      <w:marLeft w:val="0"/>
      <w:marRight w:val="0"/>
      <w:marTop w:val="0"/>
      <w:marBottom w:val="0"/>
      <w:divBdr>
        <w:top w:val="none" w:sz="0" w:space="0" w:color="auto"/>
        <w:left w:val="none" w:sz="0" w:space="0" w:color="auto"/>
        <w:bottom w:val="none" w:sz="0" w:space="0" w:color="auto"/>
        <w:right w:val="none" w:sz="0" w:space="0" w:color="auto"/>
      </w:divBdr>
    </w:div>
    <w:div w:id="1526559063">
      <w:bodyDiv w:val="1"/>
      <w:marLeft w:val="0"/>
      <w:marRight w:val="0"/>
      <w:marTop w:val="0"/>
      <w:marBottom w:val="0"/>
      <w:divBdr>
        <w:top w:val="none" w:sz="0" w:space="0" w:color="auto"/>
        <w:left w:val="none" w:sz="0" w:space="0" w:color="auto"/>
        <w:bottom w:val="none" w:sz="0" w:space="0" w:color="auto"/>
        <w:right w:val="none" w:sz="0" w:space="0" w:color="auto"/>
      </w:divBdr>
    </w:div>
    <w:div w:id="1526866849">
      <w:bodyDiv w:val="1"/>
      <w:marLeft w:val="0"/>
      <w:marRight w:val="0"/>
      <w:marTop w:val="0"/>
      <w:marBottom w:val="0"/>
      <w:divBdr>
        <w:top w:val="none" w:sz="0" w:space="0" w:color="auto"/>
        <w:left w:val="none" w:sz="0" w:space="0" w:color="auto"/>
        <w:bottom w:val="none" w:sz="0" w:space="0" w:color="auto"/>
        <w:right w:val="none" w:sz="0" w:space="0" w:color="auto"/>
      </w:divBdr>
    </w:div>
    <w:div w:id="1527139352">
      <w:bodyDiv w:val="1"/>
      <w:marLeft w:val="0"/>
      <w:marRight w:val="0"/>
      <w:marTop w:val="0"/>
      <w:marBottom w:val="0"/>
      <w:divBdr>
        <w:top w:val="none" w:sz="0" w:space="0" w:color="auto"/>
        <w:left w:val="none" w:sz="0" w:space="0" w:color="auto"/>
        <w:bottom w:val="none" w:sz="0" w:space="0" w:color="auto"/>
        <w:right w:val="none" w:sz="0" w:space="0" w:color="auto"/>
      </w:divBdr>
    </w:div>
    <w:div w:id="1527402201">
      <w:bodyDiv w:val="1"/>
      <w:marLeft w:val="0"/>
      <w:marRight w:val="0"/>
      <w:marTop w:val="0"/>
      <w:marBottom w:val="0"/>
      <w:divBdr>
        <w:top w:val="none" w:sz="0" w:space="0" w:color="auto"/>
        <w:left w:val="none" w:sz="0" w:space="0" w:color="auto"/>
        <w:bottom w:val="none" w:sz="0" w:space="0" w:color="auto"/>
        <w:right w:val="none" w:sz="0" w:space="0" w:color="auto"/>
      </w:divBdr>
    </w:div>
    <w:div w:id="1528256113">
      <w:bodyDiv w:val="1"/>
      <w:marLeft w:val="0"/>
      <w:marRight w:val="0"/>
      <w:marTop w:val="0"/>
      <w:marBottom w:val="0"/>
      <w:divBdr>
        <w:top w:val="none" w:sz="0" w:space="0" w:color="auto"/>
        <w:left w:val="none" w:sz="0" w:space="0" w:color="auto"/>
        <w:bottom w:val="none" w:sz="0" w:space="0" w:color="auto"/>
        <w:right w:val="none" w:sz="0" w:space="0" w:color="auto"/>
      </w:divBdr>
    </w:div>
    <w:div w:id="1529106389">
      <w:bodyDiv w:val="1"/>
      <w:marLeft w:val="0"/>
      <w:marRight w:val="0"/>
      <w:marTop w:val="0"/>
      <w:marBottom w:val="0"/>
      <w:divBdr>
        <w:top w:val="none" w:sz="0" w:space="0" w:color="auto"/>
        <w:left w:val="none" w:sz="0" w:space="0" w:color="auto"/>
        <w:bottom w:val="none" w:sz="0" w:space="0" w:color="auto"/>
        <w:right w:val="none" w:sz="0" w:space="0" w:color="auto"/>
      </w:divBdr>
    </w:div>
    <w:div w:id="1529247681">
      <w:bodyDiv w:val="1"/>
      <w:marLeft w:val="0"/>
      <w:marRight w:val="0"/>
      <w:marTop w:val="0"/>
      <w:marBottom w:val="0"/>
      <w:divBdr>
        <w:top w:val="none" w:sz="0" w:space="0" w:color="auto"/>
        <w:left w:val="none" w:sz="0" w:space="0" w:color="auto"/>
        <w:bottom w:val="none" w:sz="0" w:space="0" w:color="auto"/>
        <w:right w:val="none" w:sz="0" w:space="0" w:color="auto"/>
      </w:divBdr>
    </w:div>
    <w:div w:id="1529677796">
      <w:bodyDiv w:val="1"/>
      <w:marLeft w:val="0"/>
      <w:marRight w:val="0"/>
      <w:marTop w:val="0"/>
      <w:marBottom w:val="0"/>
      <w:divBdr>
        <w:top w:val="none" w:sz="0" w:space="0" w:color="auto"/>
        <w:left w:val="none" w:sz="0" w:space="0" w:color="auto"/>
        <w:bottom w:val="none" w:sz="0" w:space="0" w:color="auto"/>
        <w:right w:val="none" w:sz="0" w:space="0" w:color="auto"/>
      </w:divBdr>
    </w:div>
    <w:div w:id="1530220047">
      <w:bodyDiv w:val="1"/>
      <w:marLeft w:val="0"/>
      <w:marRight w:val="0"/>
      <w:marTop w:val="0"/>
      <w:marBottom w:val="0"/>
      <w:divBdr>
        <w:top w:val="none" w:sz="0" w:space="0" w:color="auto"/>
        <w:left w:val="none" w:sz="0" w:space="0" w:color="auto"/>
        <w:bottom w:val="none" w:sz="0" w:space="0" w:color="auto"/>
        <w:right w:val="none" w:sz="0" w:space="0" w:color="auto"/>
      </w:divBdr>
    </w:div>
    <w:div w:id="1530221865">
      <w:bodyDiv w:val="1"/>
      <w:marLeft w:val="0"/>
      <w:marRight w:val="0"/>
      <w:marTop w:val="0"/>
      <w:marBottom w:val="0"/>
      <w:divBdr>
        <w:top w:val="none" w:sz="0" w:space="0" w:color="auto"/>
        <w:left w:val="none" w:sz="0" w:space="0" w:color="auto"/>
        <w:bottom w:val="none" w:sz="0" w:space="0" w:color="auto"/>
        <w:right w:val="none" w:sz="0" w:space="0" w:color="auto"/>
      </w:divBdr>
    </w:div>
    <w:div w:id="1530338722">
      <w:bodyDiv w:val="1"/>
      <w:marLeft w:val="0"/>
      <w:marRight w:val="0"/>
      <w:marTop w:val="0"/>
      <w:marBottom w:val="0"/>
      <w:divBdr>
        <w:top w:val="none" w:sz="0" w:space="0" w:color="auto"/>
        <w:left w:val="none" w:sz="0" w:space="0" w:color="auto"/>
        <w:bottom w:val="none" w:sz="0" w:space="0" w:color="auto"/>
        <w:right w:val="none" w:sz="0" w:space="0" w:color="auto"/>
      </w:divBdr>
    </w:div>
    <w:div w:id="1530603239">
      <w:bodyDiv w:val="1"/>
      <w:marLeft w:val="0"/>
      <w:marRight w:val="0"/>
      <w:marTop w:val="0"/>
      <w:marBottom w:val="0"/>
      <w:divBdr>
        <w:top w:val="none" w:sz="0" w:space="0" w:color="auto"/>
        <w:left w:val="none" w:sz="0" w:space="0" w:color="auto"/>
        <w:bottom w:val="none" w:sz="0" w:space="0" w:color="auto"/>
        <w:right w:val="none" w:sz="0" w:space="0" w:color="auto"/>
      </w:divBdr>
    </w:div>
    <w:div w:id="1530947414">
      <w:bodyDiv w:val="1"/>
      <w:marLeft w:val="0"/>
      <w:marRight w:val="0"/>
      <w:marTop w:val="0"/>
      <w:marBottom w:val="0"/>
      <w:divBdr>
        <w:top w:val="none" w:sz="0" w:space="0" w:color="auto"/>
        <w:left w:val="none" w:sz="0" w:space="0" w:color="auto"/>
        <w:bottom w:val="none" w:sz="0" w:space="0" w:color="auto"/>
        <w:right w:val="none" w:sz="0" w:space="0" w:color="auto"/>
      </w:divBdr>
    </w:div>
    <w:div w:id="1531532152">
      <w:bodyDiv w:val="1"/>
      <w:marLeft w:val="0"/>
      <w:marRight w:val="0"/>
      <w:marTop w:val="0"/>
      <w:marBottom w:val="0"/>
      <w:divBdr>
        <w:top w:val="none" w:sz="0" w:space="0" w:color="auto"/>
        <w:left w:val="none" w:sz="0" w:space="0" w:color="auto"/>
        <w:bottom w:val="none" w:sz="0" w:space="0" w:color="auto"/>
        <w:right w:val="none" w:sz="0" w:space="0" w:color="auto"/>
      </w:divBdr>
    </w:div>
    <w:div w:id="1531607777">
      <w:bodyDiv w:val="1"/>
      <w:marLeft w:val="0"/>
      <w:marRight w:val="0"/>
      <w:marTop w:val="0"/>
      <w:marBottom w:val="0"/>
      <w:divBdr>
        <w:top w:val="none" w:sz="0" w:space="0" w:color="auto"/>
        <w:left w:val="none" w:sz="0" w:space="0" w:color="auto"/>
        <w:bottom w:val="none" w:sz="0" w:space="0" w:color="auto"/>
        <w:right w:val="none" w:sz="0" w:space="0" w:color="auto"/>
      </w:divBdr>
    </w:div>
    <w:div w:id="1531643676">
      <w:bodyDiv w:val="1"/>
      <w:marLeft w:val="0"/>
      <w:marRight w:val="0"/>
      <w:marTop w:val="0"/>
      <w:marBottom w:val="0"/>
      <w:divBdr>
        <w:top w:val="none" w:sz="0" w:space="0" w:color="auto"/>
        <w:left w:val="none" w:sz="0" w:space="0" w:color="auto"/>
        <w:bottom w:val="none" w:sz="0" w:space="0" w:color="auto"/>
        <w:right w:val="none" w:sz="0" w:space="0" w:color="auto"/>
      </w:divBdr>
    </w:div>
    <w:div w:id="1532180701">
      <w:bodyDiv w:val="1"/>
      <w:marLeft w:val="0"/>
      <w:marRight w:val="0"/>
      <w:marTop w:val="0"/>
      <w:marBottom w:val="0"/>
      <w:divBdr>
        <w:top w:val="none" w:sz="0" w:space="0" w:color="auto"/>
        <w:left w:val="none" w:sz="0" w:space="0" w:color="auto"/>
        <w:bottom w:val="none" w:sz="0" w:space="0" w:color="auto"/>
        <w:right w:val="none" w:sz="0" w:space="0" w:color="auto"/>
      </w:divBdr>
    </w:div>
    <w:div w:id="1532184615">
      <w:bodyDiv w:val="1"/>
      <w:marLeft w:val="0"/>
      <w:marRight w:val="0"/>
      <w:marTop w:val="0"/>
      <w:marBottom w:val="0"/>
      <w:divBdr>
        <w:top w:val="none" w:sz="0" w:space="0" w:color="auto"/>
        <w:left w:val="none" w:sz="0" w:space="0" w:color="auto"/>
        <w:bottom w:val="none" w:sz="0" w:space="0" w:color="auto"/>
        <w:right w:val="none" w:sz="0" w:space="0" w:color="auto"/>
      </w:divBdr>
    </w:div>
    <w:div w:id="1532645896">
      <w:bodyDiv w:val="1"/>
      <w:marLeft w:val="0"/>
      <w:marRight w:val="0"/>
      <w:marTop w:val="0"/>
      <w:marBottom w:val="0"/>
      <w:divBdr>
        <w:top w:val="none" w:sz="0" w:space="0" w:color="auto"/>
        <w:left w:val="none" w:sz="0" w:space="0" w:color="auto"/>
        <w:bottom w:val="none" w:sz="0" w:space="0" w:color="auto"/>
        <w:right w:val="none" w:sz="0" w:space="0" w:color="auto"/>
      </w:divBdr>
    </w:div>
    <w:div w:id="1532919442">
      <w:bodyDiv w:val="1"/>
      <w:marLeft w:val="0"/>
      <w:marRight w:val="0"/>
      <w:marTop w:val="0"/>
      <w:marBottom w:val="0"/>
      <w:divBdr>
        <w:top w:val="none" w:sz="0" w:space="0" w:color="auto"/>
        <w:left w:val="none" w:sz="0" w:space="0" w:color="auto"/>
        <w:bottom w:val="none" w:sz="0" w:space="0" w:color="auto"/>
        <w:right w:val="none" w:sz="0" w:space="0" w:color="auto"/>
      </w:divBdr>
    </w:div>
    <w:div w:id="1533225265">
      <w:bodyDiv w:val="1"/>
      <w:marLeft w:val="0"/>
      <w:marRight w:val="0"/>
      <w:marTop w:val="0"/>
      <w:marBottom w:val="0"/>
      <w:divBdr>
        <w:top w:val="none" w:sz="0" w:space="0" w:color="auto"/>
        <w:left w:val="none" w:sz="0" w:space="0" w:color="auto"/>
        <w:bottom w:val="none" w:sz="0" w:space="0" w:color="auto"/>
        <w:right w:val="none" w:sz="0" w:space="0" w:color="auto"/>
      </w:divBdr>
    </w:div>
    <w:div w:id="1534226023">
      <w:bodyDiv w:val="1"/>
      <w:marLeft w:val="0"/>
      <w:marRight w:val="0"/>
      <w:marTop w:val="0"/>
      <w:marBottom w:val="0"/>
      <w:divBdr>
        <w:top w:val="none" w:sz="0" w:space="0" w:color="auto"/>
        <w:left w:val="none" w:sz="0" w:space="0" w:color="auto"/>
        <w:bottom w:val="none" w:sz="0" w:space="0" w:color="auto"/>
        <w:right w:val="none" w:sz="0" w:space="0" w:color="auto"/>
      </w:divBdr>
    </w:div>
    <w:div w:id="1534263938">
      <w:bodyDiv w:val="1"/>
      <w:marLeft w:val="0"/>
      <w:marRight w:val="0"/>
      <w:marTop w:val="0"/>
      <w:marBottom w:val="0"/>
      <w:divBdr>
        <w:top w:val="none" w:sz="0" w:space="0" w:color="auto"/>
        <w:left w:val="none" w:sz="0" w:space="0" w:color="auto"/>
        <w:bottom w:val="none" w:sz="0" w:space="0" w:color="auto"/>
        <w:right w:val="none" w:sz="0" w:space="0" w:color="auto"/>
      </w:divBdr>
    </w:div>
    <w:div w:id="1534806942">
      <w:bodyDiv w:val="1"/>
      <w:marLeft w:val="0"/>
      <w:marRight w:val="0"/>
      <w:marTop w:val="0"/>
      <w:marBottom w:val="0"/>
      <w:divBdr>
        <w:top w:val="none" w:sz="0" w:space="0" w:color="auto"/>
        <w:left w:val="none" w:sz="0" w:space="0" w:color="auto"/>
        <w:bottom w:val="none" w:sz="0" w:space="0" w:color="auto"/>
        <w:right w:val="none" w:sz="0" w:space="0" w:color="auto"/>
      </w:divBdr>
    </w:div>
    <w:div w:id="1534921323">
      <w:bodyDiv w:val="1"/>
      <w:marLeft w:val="0"/>
      <w:marRight w:val="0"/>
      <w:marTop w:val="0"/>
      <w:marBottom w:val="0"/>
      <w:divBdr>
        <w:top w:val="none" w:sz="0" w:space="0" w:color="auto"/>
        <w:left w:val="none" w:sz="0" w:space="0" w:color="auto"/>
        <w:bottom w:val="none" w:sz="0" w:space="0" w:color="auto"/>
        <w:right w:val="none" w:sz="0" w:space="0" w:color="auto"/>
      </w:divBdr>
    </w:div>
    <w:div w:id="1535069607">
      <w:bodyDiv w:val="1"/>
      <w:marLeft w:val="0"/>
      <w:marRight w:val="0"/>
      <w:marTop w:val="0"/>
      <w:marBottom w:val="0"/>
      <w:divBdr>
        <w:top w:val="none" w:sz="0" w:space="0" w:color="auto"/>
        <w:left w:val="none" w:sz="0" w:space="0" w:color="auto"/>
        <w:bottom w:val="none" w:sz="0" w:space="0" w:color="auto"/>
        <w:right w:val="none" w:sz="0" w:space="0" w:color="auto"/>
      </w:divBdr>
    </w:div>
    <w:div w:id="1535385423">
      <w:bodyDiv w:val="1"/>
      <w:marLeft w:val="0"/>
      <w:marRight w:val="0"/>
      <w:marTop w:val="0"/>
      <w:marBottom w:val="0"/>
      <w:divBdr>
        <w:top w:val="none" w:sz="0" w:space="0" w:color="auto"/>
        <w:left w:val="none" w:sz="0" w:space="0" w:color="auto"/>
        <w:bottom w:val="none" w:sz="0" w:space="0" w:color="auto"/>
        <w:right w:val="none" w:sz="0" w:space="0" w:color="auto"/>
      </w:divBdr>
    </w:div>
    <w:div w:id="1536309797">
      <w:bodyDiv w:val="1"/>
      <w:marLeft w:val="0"/>
      <w:marRight w:val="0"/>
      <w:marTop w:val="0"/>
      <w:marBottom w:val="0"/>
      <w:divBdr>
        <w:top w:val="none" w:sz="0" w:space="0" w:color="auto"/>
        <w:left w:val="none" w:sz="0" w:space="0" w:color="auto"/>
        <w:bottom w:val="none" w:sz="0" w:space="0" w:color="auto"/>
        <w:right w:val="none" w:sz="0" w:space="0" w:color="auto"/>
      </w:divBdr>
    </w:div>
    <w:div w:id="1537428710">
      <w:bodyDiv w:val="1"/>
      <w:marLeft w:val="0"/>
      <w:marRight w:val="0"/>
      <w:marTop w:val="0"/>
      <w:marBottom w:val="0"/>
      <w:divBdr>
        <w:top w:val="none" w:sz="0" w:space="0" w:color="auto"/>
        <w:left w:val="none" w:sz="0" w:space="0" w:color="auto"/>
        <w:bottom w:val="none" w:sz="0" w:space="0" w:color="auto"/>
        <w:right w:val="none" w:sz="0" w:space="0" w:color="auto"/>
      </w:divBdr>
    </w:div>
    <w:div w:id="1537540635">
      <w:bodyDiv w:val="1"/>
      <w:marLeft w:val="0"/>
      <w:marRight w:val="0"/>
      <w:marTop w:val="0"/>
      <w:marBottom w:val="0"/>
      <w:divBdr>
        <w:top w:val="none" w:sz="0" w:space="0" w:color="auto"/>
        <w:left w:val="none" w:sz="0" w:space="0" w:color="auto"/>
        <w:bottom w:val="none" w:sz="0" w:space="0" w:color="auto"/>
        <w:right w:val="none" w:sz="0" w:space="0" w:color="auto"/>
      </w:divBdr>
    </w:div>
    <w:div w:id="1537768809">
      <w:bodyDiv w:val="1"/>
      <w:marLeft w:val="0"/>
      <w:marRight w:val="0"/>
      <w:marTop w:val="0"/>
      <w:marBottom w:val="0"/>
      <w:divBdr>
        <w:top w:val="none" w:sz="0" w:space="0" w:color="auto"/>
        <w:left w:val="none" w:sz="0" w:space="0" w:color="auto"/>
        <w:bottom w:val="none" w:sz="0" w:space="0" w:color="auto"/>
        <w:right w:val="none" w:sz="0" w:space="0" w:color="auto"/>
      </w:divBdr>
    </w:div>
    <w:div w:id="1537814091">
      <w:bodyDiv w:val="1"/>
      <w:marLeft w:val="0"/>
      <w:marRight w:val="0"/>
      <w:marTop w:val="0"/>
      <w:marBottom w:val="0"/>
      <w:divBdr>
        <w:top w:val="none" w:sz="0" w:space="0" w:color="auto"/>
        <w:left w:val="none" w:sz="0" w:space="0" w:color="auto"/>
        <w:bottom w:val="none" w:sz="0" w:space="0" w:color="auto"/>
        <w:right w:val="none" w:sz="0" w:space="0" w:color="auto"/>
      </w:divBdr>
    </w:div>
    <w:div w:id="1538005171">
      <w:bodyDiv w:val="1"/>
      <w:marLeft w:val="0"/>
      <w:marRight w:val="0"/>
      <w:marTop w:val="0"/>
      <w:marBottom w:val="0"/>
      <w:divBdr>
        <w:top w:val="none" w:sz="0" w:space="0" w:color="auto"/>
        <w:left w:val="none" w:sz="0" w:space="0" w:color="auto"/>
        <w:bottom w:val="none" w:sz="0" w:space="0" w:color="auto"/>
        <w:right w:val="none" w:sz="0" w:space="0" w:color="auto"/>
      </w:divBdr>
    </w:div>
    <w:div w:id="1538618973">
      <w:bodyDiv w:val="1"/>
      <w:marLeft w:val="0"/>
      <w:marRight w:val="0"/>
      <w:marTop w:val="0"/>
      <w:marBottom w:val="0"/>
      <w:divBdr>
        <w:top w:val="none" w:sz="0" w:space="0" w:color="auto"/>
        <w:left w:val="none" w:sz="0" w:space="0" w:color="auto"/>
        <w:bottom w:val="none" w:sz="0" w:space="0" w:color="auto"/>
        <w:right w:val="none" w:sz="0" w:space="0" w:color="auto"/>
      </w:divBdr>
    </w:div>
    <w:div w:id="1539008129">
      <w:bodyDiv w:val="1"/>
      <w:marLeft w:val="0"/>
      <w:marRight w:val="0"/>
      <w:marTop w:val="0"/>
      <w:marBottom w:val="0"/>
      <w:divBdr>
        <w:top w:val="none" w:sz="0" w:space="0" w:color="auto"/>
        <w:left w:val="none" w:sz="0" w:space="0" w:color="auto"/>
        <w:bottom w:val="none" w:sz="0" w:space="0" w:color="auto"/>
        <w:right w:val="none" w:sz="0" w:space="0" w:color="auto"/>
      </w:divBdr>
    </w:div>
    <w:div w:id="1539125501">
      <w:bodyDiv w:val="1"/>
      <w:marLeft w:val="0"/>
      <w:marRight w:val="0"/>
      <w:marTop w:val="0"/>
      <w:marBottom w:val="0"/>
      <w:divBdr>
        <w:top w:val="none" w:sz="0" w:space="0" w:color="auto"/>
        <w:left w:val="none" w:sz="0" w:space="0" w:color="auto"/>
        <w:bottom w:val="none" w:sz="0" w:space="0" w:color="auto"/>
        <w:right w:val="none" w:sz="0" w:space="0" w:color="auto"/>
      </w:divBdr>
    </w:div>
    <w:div w:id="1539201394">
      <w:bodyDiv w:val="1"/>
      <w:marLeft w:val="0"/>
      <w:marRight w:val="0"/>
      <w:marTop w:val="0"/>
      <w:marBottom w:val="0"/>
      <w:divBdr>
        <w:top w:val="none" w:sz="0" w:space="0" w:color="auto"/>
        <w:left w:val="none" w:sz="0" w:space="0" w:color="auto"/>
        <w:bottom w:val="none" w:sz="0" w:space="0" w:color="auto"/>
        <w:right w:val="none" w:sz="0" w:space="0" w:color="auto"/>
      </w:divBdr>
    </w:div>
    <w:div w:id="1539586647">
      <w:bodyDiv w:val="1"/>
      <w:marLeft w:val="0"/>
      <w:marRight w:val="0"/>
      <w:marTop w:val="0"/>
      <w:marBottom w:val="0"/>
      <w:divBdr>
        <w:top w:val="none" w:sz="0" w:space="0" w:color="auto"/>
        <w:left w:val="none" w:sz="0" w:space="0" w:color="auto"/>
        <w:bottom w:val="none" w:sz="0" w:space="0" w:color="auto"/>
        <w:right w:val="none" w:sz="0" w:space="0" w:color="auto"/>
      </w:divBdr>
    </w:div>
    <w:div w:id="1539971537">
      <w:bodyDiv w:val="1"/>
      <w:marLeft w:val="0"/>
      <w:marRight w:val="0"/>
      <w:marTop w:val="0"/>
      <w:marBottom w:val="0"/>
      <w:divBdr>
        <w:top w:val="none" w:sz="0" w:space="0" w:color="auto"/>
        <w:left w:val="none" w:sz="0" w:space="0" w:color="auto"/>
        <w:bottom w:val="none" w:sz="0" w:space="0" w:color="auto"/>
        <w:right w:val="none" w:sz="0" w:space="0" w:color="auto"/>
      </w:divBdr>
    </w:div>
    <w:div w:id="1540586868">
      <w:bodyDiv w:val="1"/>
      <w:marLeft w:val="0"/>
      <w:marRight w:val="0"/>
      <w:marTop w:val="0"/>
      <w:marBottom w:val="0"/>
      <w:divBdr>
        <w:top w:val="none" w:sz="0" w:space="0" w:color="auto"/>
        <w:left w:val="none" w:sz="0" w:space="0" w:color="auto"/>
        <w:bottom w:val="none" w:sz="0" w:space="0" w:color="auto"/>
        <w:right w:val="none" w:sz="0" w:space="0" w:color="auto"/>
      </w:divBdr>
    </w:div>
    <w:div w:id="1540819596">
      <w:bodyDiv w:val="1"/>
      <w:marLeft w:val="0"/>
      <w:marRight w:val="0"/>
      <w:marTop w:val="0"/>
      <w:marBottom w:val="0"/>
      <w:divBdr>
        <w:top w:val="none" w:sz="0" w:space="0" w:color="auto"/>
        <w:left w:val="none" w:sz="0" w:space="0" w:color="auto"/>
        <w:bottom w:val="none" w:sz="0" w:space="0" w:color="auto"/>
        <w:right w:val="none" w:sz="0" w:space="0" w:color="auto"/>
      </w:divBdr>
    </w:div>
    <w:div w:id="1541044843">
      <w:bodyDiv w:val="1"/>
      <w:marLeft w:val="0"/>
      <w:marRight w:val="0"/>
      <w:marTop w:val="0"/>
      <w:marBottom w:val="0"/>
      <w:divBdr>
        <w:top w:val="none" w:sz="0" w:space="0" w:color="auto"/>
        <w:left w:val="none" w:sz="0" w:space="0" w:color="auto"/>
        <w:bottom w:val="none" w:sz="0" w:space="0" w:color="auto"/>
        <w:right w:val="none" w:sz="0" w:space="0" w:color="auto"/>
      </w:divBdr>
    </w:div>
    <w:div w:id="1541085202">
      <w:bodyDiv w:val="1"/>
      <w:marLeft w:val="0"/>
      <w:marRight w:val="0"/>
      <w:marTop w:val="0"/>
      <w:marBottom w:val="0"/>
      <w:divBdr>
        <w:top w:val="none" w:sz="0" w:space="0" w:color="auto"/>
        <w:left w:val="none" w:sz="0" w:space="0" w:color="auto"/>
        <w:bottom w:val="none" w:sz="0" w:space="0" w:color="auto"/>
        <w:right w:val="none" w:sz="0" w:space="0" w:color="auto"/>
      </w:divBdr>
    </w:div>
    <w:div w:id="1541088833">
      <w:bodyDiv w:val="1"/>
      <w:marLeft w:val="0"/>
      <w:marRight w:val="0"/>
      <w:marTop w:val="0"/>
      <w:marBottom w:val="0"/>
      <w:divBdr>
        <w:top w:val="none" w:sz="0" w:space="0" w:color="auto"/>
        <w:left w:val="none" w:sz="0" w:space="0" w:color="auto"/>
        <w:bottom w:val="none" w:sz="0" w:space="0" w:color="auto"/>
        <w:right w:val="none" w:sz="0" w:space="0" w:color="auto"/>
      </w:divBdr>
    </w:div>
    <w:div w:id="1541093949">
      <w:bodyDiv w:val="1"/>
      <w:marLeft w:val="0"/>
      <w:marRight w:val="0"/>
      <w:marTop w:val="0"/>
      <w:marBottom w:val="0"/>
      <w:divBdr>
        <w:top w:val="none" w:sz="0" w:space="0" w:color="auto"/>
        <w:left w:val="none" w:sz="0" w:space="0" w:color="auto"/>
        <w:bottom w:val="none" w:sz="0" w:space="0" w:color="auto"/>
        <w:right w:val="none" w:sz="0" w:space="0" w:color="auto"/>
      </w:divBdr>
    </w:div>
    <w:div w:id="1541429248">
      <w:bodyDiv w:val="1"/>
      <w:marLeft w:val="0"/>
      <w:marRight w:val="0"/>
      <w:marTop w:val="0"/>
      <w:marBottom w:val="0"/>
      <w:divBdr>
        <w:top w:val="none" w:sz="0" w:space="0" w:color="auto"/>
        <w:left w:val="none" w:sz="0" w:space="0" w:color="auto"/>
        <w:bottom w:val="none" w:sz="0" w:space="0" w:color="auto"/>
        <w:right w:val="none" w:sz="0" w:space="0" w:color="auto"/>
      </w:divBdr>
    </w:div>
    <w:div w:id="1542018063">
      <w:bodyDiv w:val="1"/>
      <w:marLeft w:val="0"/>
      <w:marRight w:val="0"/>
      <w:marTop w:val="0"/>
      <w:marBottom w:val="0"/>
      <w:divBdr>
        <w:top w:val="none" w:sz="0" w:space="0" w:color="auto"/>
        <w:left w:val="none" w:sz="0" w:space="0" w:color="auto"/>
        <w:bottom w:val="none" w:sz="0" w:space="0" w:color="auto"/>
        <w:right w:val="none" w:sz="0" w:space="0" w:color="auto"/>
      </w:divBdr>
    </w:div>
    <w:div w:id="1542403456">
      <w:bodyDiv w:val="1"/>
      <w:marLeft w:val="0"/>
      <w:marRight w:val="0"/>
      <w:marTop w:val="0"/>
      <w:marBottom w:val="0"/>
      <w:divBdr>
        <w:top w:val="none" w:sz="0" w:space="0" w:color="auto"/>
        <w:left w:val="none" w:sz="0" w:space="0" w:color="auto"/>
        <w:bottom w:val="none" w:sz="0" w:space="0" w:color="auto"/>
        <w:right w:val="none" w:sz="0" w:space="0" w:color="auto"/>
      </w:divBdr>
    </w:div>
    <w:div w:id="1543395037">
      <w:bodyDiv w:val="1"/>
      <w:marLeft w:val="0"/>
      <w:marRight w:val="0"/>
      <w:marTop w:val="0"/>
      <w:marBottom w:val="0"/>
      <w:divBdr>
        <w:top w:val="none" w:sz="0" w:space="0" w:color="auto"/>
        <w:left w:val="none" w:sz="0" w:space="0" w:color="auto"/>
        <w:bottom w:val="none" w:sz="0" w:space="0" w:color="auto"/>
        <w:right w:val="none" w:sz="0" w:space="0" w:color="auto"/>
      </w:divBdr>
    </w:div>
    <w:div w:id="1543519334">
      <w:bodyDiv w:val="1"/>
      <w:marLeft w:val="0"/>
      <w:marRight w:val="0"/>
      <w:marTop w:val="0"/>
      <w:marBottom w:val="0"/>
      <w:divBdr>
        <w:top w:val="none" w:sz="0" w:space="0" w:color="auto"/>
        <w:left w:val="none" w:sz="0" w:space="0" w:color="auto"/>
        <w:bottom w:val="none" w:sz="0" w:space="0" w:color="auto"/>
        <w:right w:val="none" w:sz="0" w:space="0" w:color="auto"/>
      </w:divBdr>
    </w:div>
    <w:div w:id="1543592054">
      <w:bodyDiv w:val="1"/>
      <w:marLeft w:val="0"/>
      <w:marRight w:val="0"/>
      <w:marTop w:val="0"/>
      <w:marBottom w:val="0"/>
      <w:divBdr>
        <w:top w:val="none" w:sz="0" w:space="0" w:color="auto"/>
        <w:left w:val="none" w:sz="0" w:space="0" w:color="auto"/>
        <w:bottom w:val="none" w:sz="0" w:space="0" w:color="auto"/>
        <w:right w:val="none" w:sz="0" w:space="0" w:color="auto"/>
      </w:divBdr>
    </w:div>
    <w:div w:id="1543594955">
      <w:bodyDiv w:val="1"/>
      <w:marLeft w:val="0"/>
      <w:marRight w:val="0"/>
      <w:marTop w:val="0"/>
      <w:marBottom w:val="0"/>
      <w:divBdr>
        <w:top w:val="none" w:sz="0" w:space="0" w:color="auto"/>
        <w:left w:val="none" w:sz="0" w:space="0" w:color="auto"/>
        <w:bottom w:val="none" w:sz="0" w:space="0" w:color="auto"/>
        <w:right w:val="none" w:sz="0" w:space="0" w:color="auto"/>
      </w:divBdr>
    </w:div>
    <w:div w:id="1543833575">
      <w:bodyDiv w:val="1"/>
      <w:marLeft w:val="0"/>
      <w:marRight w:val="0"/>
      <w:marTop w:val="0"/>
      <w:marBottom w:val="0"/>
      <w:divBdr>
        <w:top w:val="none" w:sz="0" w:space="0" w:color="auto"/>
        <w:left w:val="none" w:sz="0" w:space="0" w:color="auto"/>
        <w:bottom w:val="none" w:sz="0" w:space="0" w:color="auto"/>
        <w:right w:val="none" w:sz="0" w:space="0" w:color="auto"/>
      </w:divBdr>
    </w:div>
    <w:div w:id="1543860389">
      <w:bodyDiv w:val="1"/>
      <w:marLeft w:val="0"/>
      <w:marRight w:val="0"/>
      <w:marTop w:val="0"/>
      <w:marBottom w:val="0"/>
      <w:divBdr>
        <w:top w:val="none" w:sz="0" w:space="0" w:color="auto"/>
        <w:left w:val="none" w:sz="0" w:space="0" w:color="auto"/>
        <w:bottom w:val="none" w:sz="0" w:space="0" w:color="auto"/>
        <w:right w:val="none" w:sz="0" w:space="0" w:color="auto"/>
      </w:divBdr>
    </w:div>
    <w:div w:id="1543984269">
      <w:bodyDiv w:val="1"/>
      <w:marLeft w:val="0"/>
      <w:marRight w:val="0"/>
      <w:marTop w:val="0"/>
      <w:marBottom w:val="0"/>
      <w:divBdr>
        <w:top w:val="none" w:sz="0" w:space="0" w:color="auto"/>
        <w:left w:val="none" w:sz="0" w:space="0" w:color="auto"/>
        <w:bottom w:val="none" w:sz="0" w:space="0" w:color="auto"/>
        <w:right w:val="none" w:sz="0" w:space="0" w:color="auto"/>
      </w:divBdr>
    </w:div>
    <w:div w:id="1544057187">
      <w:bodyDiv w:val="1"/>
      <w:marLeft w:val="0"/>
      <w:marRight w:val="0"/>
      <w:marTop w:val="0"/>
      <w:marBottom w:val="0"/>
      <w:divBdr>
        <w:top w:val="none" w:sz="0" w:space="0" w:color="auto"/>
        <w:left w:val="none" w:sz="0" w:space="0" w:color="auto"/>
        <w:bottom w:val="none" w:sz="0" w:space="0" w:color="auto"/>
        <w:right w:val="none" w:sz="0" w:space="0" w:color="auto"/>
      </w:divBdr>
    </w:div>
    <w:div w:id="1544058303">
      <w:bodyDiv w:val="1"/>
      <w:marLeft w:val="0"/>
      <w:marRight w:val="0"/>
      <w:marTop w:val="0"/>
      <w:marBottom w:val="0"/>
      <w:divBdr>
        <w:top w:val="none" w:sz="0" w:space="0" w:color="auto"/>
        <w:left w:val="none" w:sz="0" w:space="0" w:color="auto"/>
        <w:bottom w:val="none" w:sz="0" w:space="0" w:color="auto"/>
        <w:right w:val="none" w:sz="0" w:space="0" w:color="auto"/>
      </w:divBdr>
    </w:div>
    <w:div w:id="1544172150">
      <w:bodyDiv w:val="1"/>
      <w:marLeft w:val="0"/>
      <w:marRight w:val="0"/>
      <w:marTop w:val="0"/>
      <w:marBottom w:val="0"/>
      <w:divBdr>
        <w:top w:val="none" w:sz="0" w:space="0" w:color="auto"/>
        <w:left w:val="none" w:sz="0" w:space="0" w:color="auto"/>
        <w:bottom w:val="none" w:sz="0" w:space="0" w:color="auto"/>
        <w:right w:val="none" w:sz="0" w:space="0" w:color="auto"/>
      </w:divBdr>
    </w:div>
    <w:div w:id="1544945958">
      <w:bodyDiv w:val="1"/>
      <w:marLeft w:val="0"/>
      <w:marRight w:val="0"/>
      <w:marTop w:val="0"/>
      <w:marBottom w:val="0"/>
      <w:divBdr>
        <w:top w:val="none" w:sz="0" w:space="0" w:color="auto"/>
        <w:left w:val="none" w:sz="0" w:space="0" w:color="auto"/>
        <w:bottom w:val="none" w:sz="0" w:space="0" w:color="auto"/>
        <w:right w:val="none" w:sz="0" w:space="0" w:color="auto"/>
      </w:divBdr>
    </w:div>
    <w:div w:id="1545484782">
      <w:bodyDiv w:val="1"/>
      <w:marLeft w:val="0"/>
      <w:marRight w:val="0"/>
      <w:marTop w:val="0"/>
      <w:marBottom w:val="0"/>
      <w:divBdr>
        <w:top w:val="none" w:sz="0" w:space="0" w:color="auto"/>
        <w:left w:val="none" w:sz="0" w:space="0" w:color="auto"/>
        <w:bottom w:val="none" w:sz="0" w:space="0" w:color="auto"/>
        <w:right w:val="none" w:sz="0" w:space="0" w:color="auto"/>
      </w:divBdr>
    </w:div>
    <w:div w:id="1545752643">
      <w:bodyDiv w:val="1"/>
      <w:marLeft w:val="0"/>
      <w:marRight w:val="0"/>
      <w:marTop w:val="0"/>
      <w:marBottom w:val="0"/>
      <w:divBdr>
        <w:top w:val="none" w:sz="0" w:space="0" w:color="auto"/>
        <w:left w:val="none" w:sz="0" w:space="0" w:color="auto"/>
        <w:bottom w:val="none" w:sz="0" w:space="0" w:color="auto"/>
        <w:right w:val="none" w:sz="0" w:space="0" w:color="auto"/>
      </w:divBdr>
    </w:div>
    <w:div w:id="1546286295">
      <w:bodyDiv w:val="1"/>
      <w:marLeft w:val="0"/>
      <w:marRight w:val="0"/>
      <w:marTop w:val="0"/>
      <w:marBottom w:val="0"/>
      <w:divBdr>
        <w:top w:val="none" w:sz="0" w:space="0" w:color="auto"/>
        <w:left w:val="none" w:sz="0" w:space="0" w:color="auto"/>
        <w:bottom w:val="none" w:sz="0" w:space="0" w:color="auto"/>
        <w:right w:val="none" w:sz="0" w:space="0" w:color="auto"/>
      </w:divBdr>
    </w:div>
    <w:div w:id="1546481742">
      <w:bodyDiv w:val="1"/>
      <w:marLeft w:val="0"/>
      <w:marRight w:val="0"/>
      <w:marTop w:val="0"/>
      <w:marBottom w:val="0"/>
      <w:divBdr>
        <w:top w:val="none" w:sz="0" w:space="0" w:color="auto"/>
        <w:left w:val="none" w:sz="0" w:space="0" w:color="auto"/>
        <w:bottom w:val="none" w:sz="0" w:space="0" w:color="auto"/>
        <w:right w:val="none" w:sz="0" w:space="0" w:color="auto"/>
      </w:divBdr>
    </w:div>
    <w:div w:id="1547371236">
      <w:bodyDiv w:val="1"/>
      <w:marLeft w:val="0"/>
      <w:marRight w:val="0"/>
      <w:marTop w:val="0"/>
      <w:marBottom w:val="0"/>
      <w:divBdr>
        <w:top w:val="none" w:sz="0" w:space="0" w:color="auto"/>
        <w:left w:val="none" w:sz="0" w:space="0" w:color="auto"/>
        <w:bottom w:val="none" w:sz="0" w:space="0" w:color="auto"/>
        <w:right w:val="none" w:sz="0" w:space="0" w:color="auto"/>
      </w:divBdr>
    </w:div>
    <w:div w:id="1547598501">
      <w:bodyDiv w:val="1"/>
      <w:marLeft w:val="0"/>
      <w:marRight w:val="0"/>
      <w:marTop w:val="0"/>
      <w:marBottom w:val="0"/>
      <w:divBdr>
        <w:top w:val="none" w:sz="0" w:space="0" w:color="auto"/>
        <w:left w:val="none" w:sz="0" w:space="0" w:color="auto"/>
        <w:bottom w:val="none" w:sz="0" w:space="0" w:color="auto"/>
        <w:right w:val="none" w:sz="0" w:space="0" w:color="auto"/>
      </w:divBdr>
    </w:div>
    <w:div w:id="1547599467">
      <w:bodyDiv w:val="1"/>
      <w:marLeft w:val="0"/>
      <w:marRight w:val="0"/>
      <w:marTop w:val="0"/>
      <w:marBottom w:val="0"/>
      <w:divBdr>
        <w:top w:val="none" w:sz="0" w:space="0" w:color="auto"/>
        <w:left w:val="none" w:sz="0" w:space="0" w:color="auto"/>
        <w:bottom w:val="none" w:sz="0" w:space="0" w:color="auto"/>
        <w:right w:val="none" w:sz="0" w:space="0" w:color="auto"/>
      </w:divBdr>
    </w:div>
    <w:div w:id="1547716826">
      <w:bodyDiv w:val="1"/>
      <w:marLeft w:val="0"/>
      <w:marRight w:val="0"/>
      <w:marTop w:val="0"/>
      <w:marBottom w:val="0"/>
      <w:divBdr>
        <w:top w:val="none" w:sz="0" w:space="0" w:color="auto"/>
        <w:left w:val="none" w:sz="0" w:space="0" w:color="auto"/>
        <w:bottom w:val="none" w:sz="0" w:space="0" w:color="auto"/>
        <w:right w:val="none" w:sz="0" w:space="0" w:color="auto"/>
      </w:divBdr>
    </w:div>
    <w:div w:id="1547833447">
      <w:bodyDiv w:val="1"/>
      <w:marLeft w:val="0"/>
      <w:marRight w:val="0"/>
      <w:marTop w:val="0"/>
      <w:marBottom w:val="0"/>
      <w:divBdr>
        <w:top w:val="none" w:sz="0" w:space="0" w:color="auto"/>
        <w:left w:val="none" w:sz="0" w:space="0" w:color="auto"/>
        <w:bottom w:val="none" w:sz="0" w:space="0" w:color="auto"/>
        <w:right w:val="none" w:sz="0" w:space="0" w:color="auto"/>
      </w:divBdr>
    </w:div>
    <w:div w:id="1547991092">
      <w:bodyDiv w:val="1"/>
      <w:marLeft w:val="0"/>
      <w:marRight w:val="0"/>
      <w:marTop w:val="0"/>
      <w:marBottom w:val="0"/>
      <w:divBdr>
        <w:top w:val="none" w:sz="0" w:space="0" w:color="auto"/>
        <w:left w:val="none" w:sz="0" w:space="0" w:color="auto"/>
        <w:bottom w:val="none" w:sz="0" w:space="0" w:color="auto"/>
        <w:right w:val="none" w:sz="0" w:space="0" w:color="auto"/>
      </w:divBdr>
    </w:div>
    <w:div w:id="1548251881">
      <w:bodyDiv w:val="1"/>
      <w:marLeft w:val="0"/>
      <w:marRight w:val="0"/>
      <w:marTop w:val="0"/>
      <w:marBottom w:val="0"/>
      <w:divBdr>
        <w:top w:val="none" w:sz="0" w:space="0" w:color="auto"/>
        <w:left w:val="none" w:sz="0" w:space="0" w:color="auto"/>
        <w:bottom w:val="none" w:sz="0" w:space="0" w:color="auto"/>
        <w:right w:val="none" w:sz="0" w:space="0" w:color="auto"/>
      </w:divBdr>
    </w:div>
    <w:div w:id="1548369246">
      <w:bodyDiv w:val="1"/>
      <w:marLeft w:val="0"/>
      <w:marRight w:val="0"/>
      <w:marTop w:val="0"/>
      <w:marBottom w:val="0"/>
      <w:divBdr>
        <w:top w:val="none" w:sz="0" w:space="0" w:color="auto"/>
        <w:left w:val="none" w:sz="0" w:space="0" w:color="auto"/>
        <w:bottom w:val="none" w:sz="0" w:space="0" w:color="auto"/>
        <w:right w:val="none" w:sz="0" w:space="0" w:color="auto"/>
      </w:divBdr>
    </w:div>
    <w:div w:id="1548494096">
      <w:bodyDiv w:val="1"/>
      <w:marLeft w:val="0"/>
      <w:marRight w:val="0"/>
      <w:marTop w:val="0"/>
      <w:marBottom w:val="0"/>
      <w:divBdr>
        <w:top w:val="none" w:sz="0" w:space="0" w:color="auto"/>
        <w:left w:val="none" w:sz="0" w:space="0" w:color="auto"/>
        <w:bottom w:val="none" w:sz="0" w:space="0" w:color="auto"/>
        <w:right w:val="none" w:sz="0" w:space="0" w:color="auto"/>
      </w:divBdr>
    </w:div>
    <w:div w:id="1548562412">
      <w:bodyDiv w:val="1"/>
      <w:marLeft w:val="0"/>
      <w:marRight w:val="0"/>
      <w:marTop w:val="0"/>
      <w:marBottom w:val="0"/>
      <w:divBdr>
        <w:top w:val="none" w:sz="0" w:space="0" w:color="auto"/>
        <w:left w:val="none" w:sz="0" w:space="0" w:color="auto"/>
        <w:bottom w:val="none" w:sz="0" w:space="0" w:color="auto"/>
        <w:right w:val="none" w:sz="0" w:space="0" w:color="auto"/>
      </w:divBdr>
    </w:div>
    <w:div w:id="1548762104">
      <w:bodyDiv w:val="1"/>
      <w:marLeft w:val="0"/>
      <w:marRight w:val="0"/>
      <w:marTop w:val="0"/>
      <w:marBottom w:val="0"/>
      <w:divBdr>
        <w:top w:val="none" w:sz="0" w:space="0" w:color="auto"/>
        <w:left w:val="none" w:sz="0" w:space="0" w:color="auto"/>
        <w:bottom w:val="none" w:sz="0" w:space="0" w:color="auto"/>
        <w:right w:val="none" w:sz="0" w:space="0" w:color="auto"/>
      </w:divBdr>
    </w:div>
    <w:div w:id="1548763488">
      <w:bodyDiv w:val="1"/>
      <w:marLeft w:val="0"/>
      <w:marRight w:val="0"/>
      <w:marTop w:val="0"/>
      <w:marBottom w:val="0"/>
      <w:divBdr>
        <w:top w:val="none" w:sz="0" w:space="0" w:color="auto"/>
        <w:left w:val="none" w:sz="0" w:space="0" w:color="auto"/>
        <w:bottom w:val="none" w:sz="0" w:space="0" w:color="auto"/>
        <w:right w:val="none" w:sz="0" w:space="0" w:color="auto"/>
      </w:divBdr>
    </w:div>
    <w:div w:id="1548831277">
      <w:bodyDiv w:val="1"/>
      <w:marLeft w:val="0"/>
      <w:marRight w:val="0"/>
      <w:marTop w:val="0"/>
      <w:marBottom w:val="0"/>
      <w:divBdr>
        <w:top w:val="none" w:sz="0" w:space="0" w:color="auto"/>
        <w:left w:val="none" w:sz="0" w:space="0" w:color="auto"/>
        <w:bottom w:val="none" w:sz="0" w:space="0" w:color="auto"/>
        <w:right w:val="none" w:sz="0" w:space="0" w:color="auto"/>
      </w:divBdr>
    </w:div>
    <w:div w:id="1549222880">
      <w:bodyDiv w:val="1"/>
      <w:marLeft w:val="0"/>
      <w:marRight w:val="0"/>
      <w:marTop w:val="0"/>
      <w:marBottom w:val="0"/>
      <w:divBdr>
        <w:top w:val="none" w:sz="0" w:space="0" w:color="auto"/>
        <w:left w:val="none" w:sz="0" w:space="0" w:color="auto"/>
        <w:bottom w:val="none" w:sz="0" w:space="0" w:color="auto"/>
        <w:right w:val="none" w:sz="0" w:space="0" w:color="auto"/>
      </w:divBdr>
    </w:div>
    <w:div w:id="1549685130">
      <w:bodyDiv w:val="1"/>
      <w:marLeft w:val="0"/>
      <w:marRight w:val="0"/>
      <w:marTop w:val="0"/>
      <w:marBottom w:val="0"/>
      <w:divBdr>
        <w:top w:val="none" w:sz="0" w:space="0" w:color="auto"/>
        <w:left w:val="none" w:sz="0" w:space="0" w:color="auto"/>
        <w:bottom w:val="none" w:sz="0" w:space="0" w:color="auto"/>
        <w:right w:val="none" w:sz="0" w:space="0" w:color="auto"/>
      </w:divBdr>
    </w:div>
    <w:div w:id="1550066783">
      <w:bodyDiv w:val="1"/>
      <w:marLeft w:val="0"/>
      <w:marRight w:val="0"/>
      <w:marTop w:val="0"/>
      <w:marBottom w:val="0"/>
      <w:divBdr>
        <w:top w:val="none" w:sz="0" w:space="0" w:color="auto"/>
        <w:left w:val="none" w:sz="0" w:space="0" w:color="auto"/>
        <w:bottom w:val="none" w:sz="0" w:space="0" w:color="auto"/>
        <w:right w:val="none" w:sz="0" w:space="0" w:color="auto"/>
      </w:divBdr>
    </w:div>
    <w:div w:id="1550531627">
      <w:bodyDiv w:val="1"/>
      <w:marLeft w:val="0"/>
      <w:marRight w:val="0"/>
      <w:marTop w:val="0"/>
      <w:marBottom w:val="0"/>
      <w:divBdr>
        <w:top w:val="none" w:sz="0" w:space="0" w:color="auto"/>
        <w:left w:val="none" w:sz="0" w:space="0" w:color="auto"/>
        <w:bottom w:val="none" w:sz="0" w:space="0" w:color="auto"/>
        <w:right w:val="none" w:sz="0" w:space="0" w:color="auto"/>
      </w:divBdr>
    </w:div>
    <w:div w:id="1551109400">
      <w:bodyDiv w:val="1"/>
      <w:marLeft w:val="0"/>
      <w:marRight w:val="0"/>
      <w:marTop w:val="0"/>
      <w:marBottom w:val="0"/>
      <w:divBdr>
        <w:top w:val="none" w:sz="0" w:space="0" w:color="auto"/>
        <w:left w:val="none" w:sz="0" w:space="0" w:color="auto"/>
        <w:bottom w:val="none" w:sz="0" w:space="0" w:color="auto"/>
        <w:right w:val="none" w:sz="0" w:space="0" w:color="auto"/>
      </w:divBdr>
    </w:div>
    <w:div w:id="1551379062">
      <w:bodyDiv w:val="1"/>
      <w:marLeft w:val="0"/>
      <w:marRight w:val="0"/>
      <w:marTop w:val="0"/>
      <w:marBottom w:val="0"/>
      <w:divBdr>
        <w:top w:val="none" w:sz="0" w:space="0" w:color="auto"/>
        <w:left w:val="none" w:sz="0" w:space="0" w:color="auto"/>
        <w:bottom w:val="none" w:sz="0" w:space="0" w:color="auto"/>
        <w:right w:val="none" w:sz="0" w:space="0" w:color="auto"/>
      </w:divBdr>
    </w:div>
    <w:div w:id="1552155058">
      <w:bodyDiv w:val="1"/>
      <w:marLeft w:val="0"/>
      <w:marRight w:val="0"/>
      <w:marTop w:val="0"/>
      <w:marBottom w:val="0"/>
      <w:divBdr>
        <w:top w:val="none" w:sz="0" w:space="0" w:color="auto"/>
        <w:left w:val="none" w:sz="0" w:space="0" w:color="auto"/>
        <w:bottom w:val="none" w:sz="0" w:space="0" w:color="auto"/>
        <w:right w:val="none" w:sz="0" w:space="0" w:color="auto"/>
      </w:divBdr>
    </w:div>
    <w:div w:id="1552158913">
      <w:bodyDiv w:val="1"/>
      <w:marLeft w:val="0"/>
      <w:marRight w:val="0"/>
      <w:marTop w:val="0"/>
      <w:marBottom w:val="0"/>
      <w:divBdr>
        <w:top w:val="none" w:sz="0" w:space="0" w:color="auto"/>
        <w:left w:val="none" w:sz="0" w:space="0" w:color="auto"/>
        <w:bottom w:val="none" w:sz="0" w:space="0" w:color="auto"/>
        <w:right w:val="none" w:sz="0" w:space="0" w:color="auto"/>
      </w:divBdr>
    </w:div>
    <w:div w:id="1552232081">
      <w:bodyDiv w:val="1"/>
      <w:marLeft w:val="0"/>
      <w:marRight w:val="0"/>
      <w:marTop w:val="0"/>
      <w:marBottom w:val="0"/>
      <w:divBdr>
        <w:top w:val="none" w:sz="0" w:space="0" w:color="auto"/>
        <w:left w:val="none" w:sz="0" w:space="0" w:color="auto"/>
        <w:bottom w:val="none" w:sz="0" w:space="0" w:color="auto"/>
        <w:right w:val="none" w:sz="0" w:space="0" w:color="auto"/>
      </w:divBdr>
    </w:div>
    <w:div w:id="1552306599">
      <w:bodyDiv w:val="1"/>
      <w:marLeft w:val="0"/>
      <w:marRight w:val="0"/>
      <w:marTop w:val="0"/>
      <w:marBottom w:val="0"/>
      <w:divBdr>
        <w:top w:val="none" w:sz="0" w:space="0" w:color="auto"/>
        <w:left w:val="none" w:sz="0" w:space="0" w:color="auto"/>
        <w:bottom w:val="none" w:sz="0" w:space="0" w:color="auto"/>
        <w:right w:val="none" w:sz="0" w:space="0" w:color="auto"/>
      </w:divBdr>
    </w:div>
    <w:div w:id="1552841753">
      <w:bodyDiv w:val="1"/>
      <w:marLeft w:val="0"/>
      <w:marRight w:val="0"/>
      <w:marTop w:val="0"/>
      <w:marBottom w:val="0"/>
      <w:divBdr>
        <w:top w:val="none" w:sz="0" w:space="0" w:color="auto"/>
        <w:left w:val="none" w:sz="0" w:space="0" w:color="auto"/>
        <w:bottom w:val="none" w:sz="0" w:space="0" w:color="auto"/>
        <w:right w:val="none" w:sz="0" w:space="0" w:color="auto"/>
      </w:divBdr>
    </w:div>
    <w:div w:id="1553231320">
      <w:bodyDiv w:val="1"/>
      <w:marLeft w:val="0"/>
      <w:marRight w:val="0"/>
      <w:marTop w:val="0"/>
      <w:marBottom w:val="0"/>
      <w:divBdr>
        <w:top w:val="none" w:sz="0" w:space="0" w:color="auto"/>
        <w:left w:val="none" w:sz="0" w:space="0" w:color="auto"/>
        <w:bottom w:val="none" w:sz="0" w:space="0" w:color="auto"/>
        <w:right w:val="none" w:sz="0" w:space="0" w:color="auto"/>
      </w:divBdr>
    </w:div>
    <w:div w:id="1553275866">
      <w:bodyDiv w:val="1"/>
      <w:marLeft w:val="0"/>
      <w:marRight w:val="0"/>
      <w:marTop w:val="0"/>
      <w:marBottom w:val="0"/>
      <w:divBdr>
        <w:top w:val="none" w:sz="0" w:space="0" w:color="auto"/>
        <w:left w:val="none" w:sz="0" w:space="0" w:color="auto"/>
        <w:bottom w:val="none" w:sz="0" w:space="0" w:color="auto"/>
        <w:right w:val="none" w:sz="0" w:space="0" w:color="auto"/>
      </w:divBdr>
    </w:div>
    <w:div w:id="1553538765">
      <w:bodyDiv w:val="1"/>
      <w:marLeft w:val="0"/>
      <w:marRight w:val="0"/>
      <w:marTop w:val="0"/>
      <w:marBottom w:val="0"/>
      <w:divBdr>
        <w:top w:val="none" w:sz="0" w:space="0" w:color="auto"/>
        <w:left w:val="none" w:sz="0" w:space="0" w:color="auto"/>
        <w:bottom w:val="none" w:sz="0" w:space="0" w:color="auto"/>
        <w:right w:val="none" w:sz="0" w:space="0" w:color="auto"/>
      </w:divBdr>
    </w:div>
    <w:div w:id="1554005986">
      <w:bodyDiv w:val="1"/>
      <w:marLeft w:val="0"/>
      <w:marRight w:val="0"/>
      <w:marTop w:val="0"/>
      <w:marBottom w:val="0"/>
      <w:divBdr>
        <w:top w:val="none" w:sz="0" w:space="0" w:color="auto"/>
        <w:left w:val="none" w:sz="0" w:space="0" w:color="auto"/>
        <w:bottom w:val="none" w:sz="0" w:space="0" w:color="auto"/>
        <w:right w:val="none" w:sz="0" w:space="0" w:color="auto"/>
      </w:divBdr>
    </w:div>
    <w:div w:id="1554006015">
      <w:bodyDiv w:val="1"/>
      <w:marLeft w:val="0"/>
      <w:marRight w:val="0"/>
      <w:marTop w:val="0"/>
      <w:marBottom w:val="0"/>
      <w:divBdr>
        <w:top w:val="none" w:sz="0" w:space="0" w:color="auto"/>
        <w:left w:val="none" w:sz="0" w:space="0" w:color="auto"/>
        <w:bottom w:val="none" w:sz="0" w:space="0" w:color="auto"/>
        <w:right w:val="none" w:sz="0" w:space="0" w:color="auto"/>
      </w:divBdr>
    </w:div>
    <w:div w:id="1554191036">
      <w:bodyDiv w:val="1"/>
      <w:marLeft w:val="0"/>
      <w:marRight w:val="0"/>
      <w:marTop w:val="0"/>
      <w:marBottom w:val="0"/>
      <w:divBdr>
        <w:top w:val="none" w:sz="0" w:space="0" w:color="auto"/>
        <w:left w:val="none" w:sz="0" w:space="0" w:color="auto"/>
        <w:bottom w:val="none" w:sz="0" w:space="0" w:color="auto"/>
        <w:right w:val="none" w:sz="0" w:space="0" w:color="auto"/>
      </w:divBdr>
    </w:div>
    <w:div w:id="1554345980">
      <w:bodyDiv w:val="1"/>
      <w:marLeft w:val="0"/>
      <w:marRight w:val="0"/>
      <w:marTop w:val="0"/>
      <w:marBottom w:val="0"/>
      <w:divBdr>
        <w:top w:val="none" w:sz="0" w:space="0" w:color="auto"/>
        <w:left w:val="none" w:sz="0" w:space="0" w:color="auto"/>
        <w:bottom w:val="none" w:sz="0" w:space="0" w:color="auto"/>
        <w:right w:val="none" w:sz="0" w:space="0" w:color="auto"/>
      </w:divBdr>
    </w:div>
    <w:div w:id="1554732153">
      <w:bodyDiv w:val="1"/>
      <w:marLeft w:val="0"/>
      <w:marRight w:val="0"/>
      <w:marTop w:val="0"/>
      <w:marBottom w:val="0"/>
      <w:divBdr>
        <w:top w:val="none" w:sz="0" w:space="0" w:color="auto"/>
        <w:left w:val="none" w:sz="0" w:space="0" w:color="auto"/>
        <w:bottom w:val="none" w:sz="0" w:space="0" w:color="auto"/>
        <w:right w:val="none" w:sz="0" w:space="0" w:color="auto"/>
      </w:divBdr>
    </w:div>
    <w:div w:id="1554927657">
      <w:bodyDiv w:val="1"/>
      <w:marLeft w:val="0"/>
      <w:marRight w:val="0"/>
      <w:marTop w:val="0"/>
      <w:marBottom w:val="0"/>
      <w:divBdr>
        <w:top w:val="none" w:sz="0" w:space="0" w:color="auto"/>
        <w:left w:val="none" w:sz="0" w:space="0" w:color="auto"/>
        <w:bottom w:val="none" w:sz="0" w:space="0" w:color="auto"/>
        <w:right w:val="none" w:sz="0" w:space="0" w:color="auto"/>
      </w:divBdr>
    </w:div>
    <w:div w:id="1554927804">
      <w:bodyDiv w:val="1"/>
      <w:marLeft w:val="0"/>
      <w:marRight w:val="0"/>
      <w:marTop w:val="0"/>
      <w:marBottom w:val="0"/>
      <w:divBdr>
        <w:top w:val="none" w:sz="0" w:space="0" w:color="auto"/>
        <w:left w:val="none" w:sz="0" w:space="0" w:color="auto"/>
        <w:bottom w:val="none" w:sz="0" w:space="0" w:color="auto"/>
        <w:right w:val="none" w:sz="0" w:space="0" w:color="auto"/>
      </w:divBdr>
    </w:div>
    <w:div w:id="1556232644">
      <w:bodyDiv w:val="1"/>
      <w:marLeft w:val="0"/>
      <w:marRight w:val="0"/>
      <w:marTop w:val="0"/>
      <w:marBottom w:val="0"/>
      <w:divBdr>
        <w:top w:val="none" w:sz="0" w:space="0" w:color="auto"/>
        <w:left w:val="none" w:sz="0" w:space="0" w:color="auto"/>
        <w:bottom w:val="none" w:sz="0" w:space="0" w:color="auto"/>
        <w:right w:val="none" w:sz="0" w:space="0" w:color="auto"/>
      </w:divBdr>
    </w:div>
    <w:div w:id="1556357473">
      <w:bodyDiv w:val="1"/>
      <w:marLeft w:val="0"/>
      <w:marRight w:val="0"/>
      <w:marTop w:val="0"/>
      <w:marBottom w:val="0"/>
      <w:divBdr>
        <w:top w:val="none" w:sz="0" w:space="0" w:color="auto"/>
        <w:left w:val="none" w:sz="0" w:space="0" w:color="auto"/>
        <w:bottom w:val="none" w:sz="0" w:space="0" w:color="auto"/>
        <w:right w:val="none" w:sz="0" w:space="0" w:color="auto"/>
      </w:divBdr>
    </w:div>
    <w:div w:id="1556508038">
      <w:bodyDiv w:val="1"/>
      <w:marLeft w:val="0"/>
      <w:marRight w:val="0"/>
      <w:marTop w:val="0"/>
      <w:marBottom w:val="0"/>
      <w:divBdr>
        <w:top w:val="none" w:sz="0" w:space="0" w:color="auto"/>
        <w:left w:val="none" w:sz="0" w:space="0" w:color="auto"/>
        <w:bottom w:val="none" w:sz="0" w:space="0" w:color="auto"/>
        <w:right w:val="none" w:sz="0" w:space="0" w:color="auto"/>
      </w:divBdr>
    </w:div>
    <w:div w:id="1557006745">
      <w:bodyDiv w:val="1"/>
      <w:marLeft w:val="0"/>
      <w:marRight w:val="0"/>
      <w:marTop w:val="0"/>
      <w:marBottom w:val="0"/>
      <w:divBdr>
        <w:top w:val="none" w:sz="0" w:space="0" w:color="auto"/>
        <w:left w:val="none" w:sz="0" w:space="0" w:color="auto"/>
        <w:bottom w:val="none" w:sz="0" w:space="0" w:color="auto"/>
        <w:right w:val="none" w:sz="0" w:space="0" w:color="auto"/>
      </w:divBdr>
    </w:div>
    <w:div w:id="1557353689">
      <w:bodyDiv w:val="1"/>
      <w:marLeft w:val="0"/>
      <w:marRight w:val="0"/>
      <w:marTop w:val="0"/>
      <w:marBottom w:val="0"/>
      <w:divBdr>
        <w:top w:val="none" w:sz="0" w:space="0" w:color="auto"/>
        <w:left w:val="none" w:sz="0" w:space="0" w:color="auto"/>
        <w:bottom w:val="none" w:sz="0" w:space="0" w:color="auto"/>
        <w:right w:val="none" w:sz="0" w:space="0" w:color="auto"/>
      </w:divBdr>
    </w:div>
    <w:div w:id="1558081912">
      <w:bodyDiv w:val="1"/>
      <w:marLeft w:val="0"/>
      <w:marRight w:val="0"/>
      <w:marTop w:val="0"/>
      <w:marBottom w:val="0"/>
      <w:divBdr>
        <w:top w:val="none" w:sz="0" w:space="0" w:color="auto"/>
        <w:left w:val="none" w:sz="0" w:space="0" w:color="auto"/>
        <w:bottom w:val="none" w:sz="0" w:space="0" w:color="auto"/>
        <w:right w:val="none" w:sz="0" w:space="0" w:color="auto"/>
      </w:divBdr>
    </w:div>
    <w:div w:id="1558667684">
      <w:bodyDiv w:val="1"/>
      <w:marLeft w:val="0"/>
      <w:marRight w:val="0"/>
      <w:marTop w:val="0"/>
      <w:marBottom w:val="0"/>
      <w:divBdr>
        <w:top w:val="none" w:sz="0" w:space="0" w:color="auto"/>
        <w:left w:val="none" w:sz="0" w:space="0" w:color="auto"/>
        <w:bottom w:val="none" w:sz="0" w:space="0" w:color="auto"/>
        <w:right w:val="none" w:sz="0" w:space="0" w:color="auto"/>
      </w:divBdr>
    </w:div>
    <w:div w:id="1558857951">
      <w:bodyDiv w:val="1"/>
      <w:marLeft w:val="0"/>
      <w:marRight w:val="0"/>
      <w:marTop w:val="0"/>
      <w:marBottom w:val="0"/>
      <w:divBdr>
        <w:top w:val="none" w:sz="0" w:space="0" w:color="auto"/>
        <w:left w:val="none" w:sz="0" w:space="0" w:color="auto"/>
        <w:bottom w:val="none" w:sz="0" w:space="0" w:color="auto"/>
        <w:right w:val="none" w:sz="0" w:space="0" w:color="auto"/>
      </w:divBdr>
    </w:div>
    <w:div w:id="1558972790">
      <w:bodyDiv w:val="1"/>
      <w:marLeft w:val="0"/>
      <w:marRight w:val="0"/>
      <w:marTop w:val="0"/>
      <w:marBottom w:val="0"/>
      <w:divBdr>
        <w:top w:val="none" w:sz="0" w:space="0" w:color="auto"/>
        <w:left w:val="none" w:sz="0" w:space="0" w:color="auto"/>
        <w:bottom w:val="none" w:sz="0" w:space="0" w:color="auto"/>
        <w:right w:val="none" w:sz="0" w:space="0" w:color="auto"/>
      </w:divBdr>
    </w:div>
    <w:div w:id="1559122666">
      <w:bodyDiv w:val="1"/>
      <w:marLeft w:val="0"/>
      <w:marRight w:val="0"/>
      <w:marTop w:val="0"/>
      <w:marBottom w:val="0"/>
      <w:divBdr>
        <w:top w:val="none" w:sz="0" w:space="0" w:color="auto"/>
        <w:left w:val="none" w:sz="0" w:space="0" w:color="auto"/>
        <w:bottom w:val="none" w:sz="0" w:space="0" w:color="auto"/>
        <w:right w:val="none" w:sz="0" w:space="0" w:color="auto"/>
      </w:divBdr>
    </w:div>
    <w:div w:id="1559125110">
      <w:bodyDiv w:val="1"/>
      <w:marLeft w:val="0"/>
      <w:marRight w:val="0"/>
      <w:marTop w:val="0"/>
      <w:marBottom w:val="0"/>
      <w:divBdr>
        <w:top w:val="none" w:sz="0" w:space="0" w:color="auto"/>
        <w:left w:val="none" w:sz="0" w:space="0" w:color="auto"/>
        <w:bottom w:val="none" w:sz="0" w:space="0" w:color="auto"/>
        <w:right w:val="none" w:sz="0" w:space="0" w:color="auto"/>
      </w:divBdr>
    </w:div>
    <w:div w:id="1559584751">
      <w:bodyDiv w:val="1"/>
      <w:marLeft w:val="0"/>
      <w:marRight w:val="0"/>
      <w:marTop w:val="0"/>
      <w:marBottom w:val="0"/>
      <w:divBdr>
        <w:top w:val="none" w:sz="0" w:space="0" w:color="auto"/>
        <w:left w:val="none" w:sz="0" w:space="0" w:color="auto"/>
        <w:bottom w:val="none" w:sz="0" w:space="0" w:color="auto"/>
        <w:right w:val="none" w:sz="0" w:space="0" w:color="auto"/>
      </w:divBdr>
    </w:div>
    <w:div w:id="1560361445">
      <w:bodyDiv w:val="1"/>
      <w:marLeft w:val="0"/>
      <w:marRight w:val="0"/>
      <w:marTop w:val="0"/>
      <w:marBottom w:val="0"/>
      <w:divBdr>
        <w:top w:val="none" w:sz="0" w:space="0" w:color="auto"/>
        <w:left w:val="none" w:sz="0" w:space="0" w:color="auto"/>
        <w:bottom w:val="none" w:sz="0" w:space="0" w:color="auto"/>
        <w:right w:val="none" w:sz="0" w:space="0" w:color="auto"/>
      </w:divBdr>
    </w:div>
    <w:div w:id="1560705101">
      <w:bodyDiv w:val="1"/>
      <w:marLeft w:val="0"/>
      <w:marRight w:val="0"/>
      <w:marTop w:val="0"/>
      <w:marBottom w:val="0"/>
      <w:divBdr>
        <w:top w:val="none" w:sz="0" w:space="0" w:color="auto"/>
        <w:left w:val="none" w:sz="0" w:space="0" w:color="auto"/>
        <w:bottom w:val="none" w:sz="0" w:space="0" w:color="auto"/>
        <w:right w:val="none" w:sz="0" w:space="0" w:color="auto"/>
      </w:divBdr>
    </w:div>
    <w:div w:id="1561090825">
      <w:bodyDiv w:val="1"/>
      <w:marLeft w:val="0"/>
      <w:marRight w:val="0"/>
      <w:marTop w:val="0"/>
      <w:marBottom w:val="0"/>
      <w:divBdr>
        <w:top w:val="none" w:sz="0" w:space="0" w:color="auto"/>
        <w:left w:val="none" w:sz="0" w:space="0" w:color="auto"/>
        <w:bottom w:val="none" w:sz="0" w:space="0" w:color="auto"/>
        <w:right w:val="none" w:sz="0" w:space="0" w:color="auto"/>
      </w:divBdr>
    </w:div>
    <w:div w:id="1561164101">
      <w:bodyDiv w:val="1"/>
      <w:marLeft w:val="0"/>
      <w:marRight w:val="0"/>
      <w:marTop w:val="0"/>
      <w:marBottom w:val="0"/>
      <w:divBdr>
        <w:top w:val="none" w:sz="0" w:space="0" w:color="auto"/>
        <w:left w:val="none" w:sz="0" w:space="0" w:color="auto"/>
        <w:bottom w:val="none" w:sz="0" w:space="0" w:color="auto"/>
        <w:right w:val="none" w:sz="0" w:space="0" w:color="auto"/>
      </w:divBdr>
    </w:div>
    <w:div w:id="1561820261">
      <w:bodyDiv w:val="1"/>
      <w:marLeft w:val="0"/>
      <w:marRight w:val="0"/>
      <w:marTop w:val="0"/>
      <w:marBottom w:val="0"/>
      <w:divBdr>
        <w:top w:val="none" w:sz="0" w:space="0" w:color="auto"/>
        <w:left w:val="none" w:sz="0" w:space="0" w:color="auto"/>
        <w:bottom w:val="none" w:sz="0" w:space="0" w:color="auto"/>
        <w:right w:val="none" w:sz="0" w:space="0" w:color="auto"/>
      </w:divBdr>
    </w:div>
    <w:div w:id="1561938575">
      <w:bodyDiv w:val="1"/>
      <w:marLeft w:val="0"/>
      <w:marRight w:val="0"/>
      <w:marTop w:val="0"/>
      <w:marBottom w:val="0"/>
      <w:divBdr>
        <w:top w:val="none" w:sz="0" w:space="0" w:color="auto"/>
        <w:left w:val="none" w:sz="0" w:space="0" w:color="auto"/>
        <w:bottom w:val="none" w:sz="0" w:space="0" w:color="auto"/>
        <w:right w:val="none" w:sz="0" w:space="0" w:color="auto"/>
      </w:divBdr>
    </w:div>
    <w:div w:id="1561945353">
      <w:bodyDiv w:val="1"/>
      <w:marLeft w:val="0"/>
      <w:marRight w:val="0"/>
      <w:marTop w:val="0"/>
      <w:marBottom w:val="0"/>
      <w:divBdr>
        <w:top w:val="none" w:sz="0" w:space="0" w:color="auto"/>
        <w:left w:val="none" w:sz="0" w:space="0" w:color="auto"/>
        <w:bottom w:val="none" w:sz="0" w:space="0" w:color="auto"/>
        <w:right w:val="none" w:sz="0" w:space="0" w:color="auto"/>
      </w:divBdr>
    </w:div>
    <w:div w:id="1562400677">
      <w:bodyDiv w:val="1"/>
      <w:marLeft w:val="0"/>
      <w:marRight w:val="0"/>
      <w:marTop w:val="0"/>
      <w:marBottom w:val="0"/>
      <w:divBdr>
        <w:top w:val="none" w:sz="0" w:space="0" w:color="auto"/>
        <w:left w:val="none" w:sz="0" w:space="0" w:color="auto"/>
        <w:bottom w:val="none" w:sz="0" w:space="0" w:color="auto"/>
        <w:right w:val="none" w:sz="0" w:space="0" w:color="auto"/>
      </w:divBdr>
    </w:div>
    <w:div w:id="1562523289">
      <w:bodyDiv w:val="1"/>
      <w:marLeft w:val="0"/>
      <w:marRight w:val="0"/>
      <w:marTop w:val="0"/>
      <w:marBottom w:val="0"/>
      <w:divBdr>
        <w:top w:val="none" w:sz="0" w:space="0" w:color="auto"/>
        <w:left w:val="none" w:sz="0" w:space="0" w:color="auto"/>
        <w:bottom w:val="none" w:sz="0" w:space="0" w:color="auto"/>
        <w:right w:val="none" w:sz="0" w:space="0" w:color="auto"/>
      </w:divBdr>
    </w:div>
    <w:div w:id="1562984665">
      <w:bodyDiv w:val="1"/>
      <w:marLeft w:val="0"/>
      <w:marRight w:val="0"/>
      <w:marTop w:val="0"/>
      <w:marBottom w:val="0"/>
      <w:divBdr>
        <w:top w:val="none" w:sz="0" w:space="0" w:color="auto"/>
        <w:left w:val="none" w:sz="0" w:space="0" w:color="auto"/>
        <w:bottom w:val="none" w:sz="0" w:space="0" w:color="auto"/>
        <w:right w:val="none" w:sz="0" w:space="0" w:color="auto"/>
      </w:divBdr>
    </w:div>
    <w:div w:id="1563566510">
      <w:bodyDiv w:val="1"/>
      <w:marLeft w:val="0"/>
      <w:marRight w:val="0"/>
      <w:marTop w:val="0"/>
      <w:marBottom w:val="0"/>
      <w:divBdr>
        <w:top w:val="none" w:sz="0" w:space="0" w:color="auto"/>
        <w:left w:val="none" w:sz="0" w:space="0" w:color="auto"/>
        <w:bottom w:val="none" w:sz="0" w:space="0" w:color="auto"/>
        <w:right w:val="none" w:sz="0" w:space="0" w:color="auto"/>
      </w:divBdr>
    </w:div>
    <w:div w:id="1564294098">
      <w:bodyDiv w:val="1"/>
      <w:marLeft w:val="0"/>
      <w:marRight w:val="0"/>
      <w:marTop w:val="0"/>
      <w:marBottom w:val="0"/>
      <w:divBdr>
        <w:top w:val="none" w:sz="0" w:space="0" w:color="auto"/>
        <w:left w:val="none" w:sz="0" w:space="0" w:color="auto"/>
        <w:bottom w:val="none" w:sz="0" w:space="0" w:color="auto"/>
        <w:right w:val="none" w:sz="0" w:space="0" w:color="auto"/>
      </w:divBdr>
    </w:div>
    <w:div w:id="1564367507">
      <w:bodyDiv w:val="1"/>
      <w:marLeft w:val="0"/>
      <w:marRight w:val="0"/>
      <w:marTop w:val="0"/>
      <w:marBottom w:val="0"/>
      <w:divBdr>
        <w:top w:val="none" w:sz="0" w:space="0" w:color="auto"/>
        <w:left w:val="none" w:sz="0" w:space="0" w:color="auto"/>
        <w:bottom w:val="none" w:sz="0" w:space="0" w:color="auto"/>
        <w:right w:val="none" w:sz="0" w:space="0" w:color="auto"/>
      </w:divBdr>
    </w:div>
    <w:div w:id="1564486193">
      <w:bodyDiv w:val="1"/>
      <w:marLeft w:val="0"/>
      <w:marRight w:val="0"/>
      <w:marTop w:val="0"/>
      <w:marBottom w:val="0"/>
      <w:divBdr>
        <w:top w:val="none" w:sz="0" w:space="0" w:color="auto"/>
        <w:left w:val="none" w:sz="0" w:space="0" w:color="auto"/>
        <w:bottom w:val="none" w:sz="0" w:space="0" w:color="auto"/>
        <w:right w:val="none" w:sz="0" w:space="0" w:color="auto"/>
      </w:divBdr>
    </w:div>
    <w:div w:id="1564488423">
      <w:bodyDiv w:val="1"/>
      <w:marLeft w:val="0"/>
      <w:marRight w:val="0"/>
      <w:marTop w:val="0"/>
      <w:marBottom w:val="0"/>
      <w:divBdr>
        <w:top w:val="none" w:sz="0" w:space="0" w:color="auto"/>
        <w:left w:val="none" w:sz="0" w:space="0" w:color="auto"/>
        <w:bottom w:val="none" w:sz="0" w:space="0" w:color="auto"/>
        <w:right w:val="none" w:sz="0" w:space="0" w:color="auto"/>
      </w:divBdr>
    </w:div>
    <w:div w:id="1564636032">
      <w:bodyDiv w:val="1"/>
      <w:marLeft w:val="0"/>
      <w:marRight w:val="0"/>
      <w:marTop w:val="0"/>
      <w:marBottom w:val="0"/>
      <w:divBdr>
        <w:top w:val="none" w:sz="0" w:space="0" w:color="auto"/>
        <w:left w:val="none" w:sz="0" w:space="0" w:color="auto"/>
        <w:bottom w:val="none" w:sz="0" w:space="0" w:color="auto"/>
        <w:right w:val="none" w:sz="0" w:space="0" w:color="auto"/>
      </w:divBdr>
    </w:div>
    <w:div w:id="1564875499">
      <w:bodyDiv w:val="1"/>
      <w:marLeft w:val="0"/>
      <w:marRight w:val="0"/>
      <w:marTop w:val="0"/>
      <w:marBottom w:val="0"/>
      <w:divBdr>
        <w:top w:val="none" w:sz="0" w:space="0" w:color="auto"/>
        <w:left w:val="none" w:sz="0" w:space="0" w:color="auto"/>
        <w:bottom w:val="none" w:sz="0" w:space="0" w:color="auto"/>
        <w:right w:val="none" w:sz="0" w:space="0" w:color="auto"/>
      </w:divBdr>
    </w:div>
    <w:div w:id="1565142324">
      <w:bodyDiv w:val="1"/>
      <w:marLeft w:val="0"/>
      <w:marRight w:val="0"/>
      <w:marTop w:val="0"/>
      <w:marBottom w:val="0"/>
      <w:divBdr>
        <w:top w:val="none" w:sz="0" w:space="0" w:color="auto"/>
        <w:left w:val="none" w:sz="0" w:space="0" w:color="auto"/>
        <w:bottom w:val="none" w:sz="0" w:space="0" w:color="auto"/>
        <w:right w:val="none" w:sz="0" w:space="0" w:color="auto"/>
      </w:divBdr>
    </w:div>
    <w:div w:id="1565483654">
      <w:bodyDiv w:val="1"/>
      <w:marLeft w:val="0"/>
      <w:marRight w:val="0"/>
      <w:marTop w:val="0"/>
      <w:marBottom w:val="0"/>
      <w:divBdr>
        <w:top w:val="none" w:sz="0" w:space="0" w:color="auto"/>
        <w:left w:val="none" w:sz="0" w:space="0" w:color="auto"/>
        <w:bottom w:val="none" w:sz="0" w:space="0" w:color="auto"/>
        <w:right w:val="none" w:sz="0" w:space="0" w:color="auto"/>
      </w:divBdr>
    </w:div>
    <w:div w:id="1565607044">
      <w:bodyDiv w:val="1"/>
      <w:marLeft w:val="0"/>
      <w:marRight w:val="0"/>
      <w:marTop w:val="0"/>
      <w:marBottom w:val="0"/>
      <w:divBdr>
        <w:top w:val="none" w:sz="0" w:space="0" w:color="auto"/>
        <w:left w:val="none" w:sz="0" w:space="0" w:color="auto"/>
        <w:bottom w:val="none" w:sz="0" w:space="0" w:color="auto"/>
        <w:right w:val="none" w:sz="0" w:space="0" w:color="auto"/>
      </w:divBdr>
    </w:div>
    <w:div w:id="1566139034">
      <w:bodyDiv w:val="1"/>
      <w:marLeft w:val="0"/>
      <w:marRight w:val="0"/>
      <w:marTop w:val="0"/>
      <w:marBottom w:val="0"/>
      <w:divBdr>
        <w:top w:val="none" w:sz="0" w:space="0" w:color="auto"/>
        <w:left w:val="none" w:sz="0" w:space="0" w:color="auto"/>
        <w:bottom w:val="none" w:sz="0" w:space="0" w:color="auto"/>
        <w:right w:val="none" w:sz="0" w:space="0" w:color="auto"/>
      </w:divBdr>
    </w:div>
    <w:div w:id="1566186725">
      <w:bodyDiv w:val="1"/>
      <w:marLeft w:val="0"/>
      <w:marRight w:val="0"/>
      <w:marTop w:val="0"/>
      <w:marBottom w:val="0"/>
      <w:divBdr>
        <w:top w:val="none" w:sz="0" w:space="0" w:color="auto"/>
        <w:left w:val="none" w:sz="0" w:space="0" w:color="auto"/>
        <w:bottom w:val="none" w:sz="0" w:space="0" w:color="auto"/>
        <w:right w:val="none" w:sz="0" w:space="0" w:color="auto"/>
      </w:divBdr>
    </w:div>
    <w:div w:id="1566258691">
      <w:bodyDiv w:val="1"/>
      <w:marLeft w:val="0"/>
      <w:marRight w:val="0"/>
      <w:marTop w:val="0"/>
      <w:marBottom w:val="0"/>
      <w:divBdr>
        <w:top w:val="none" w:sz="0" w:space="0" w:color="auto"/>
        <w:left w:val="none" w:sz="0" w:space="0" w:color="auto"/>
        <w:bottom w:val="none" w:sz="0" w:space="0" w:color="auto"/>
        <w:right w:val="none" w:sz="0" w:space="0" w:color="auto"/>
      </w:divBdr>
    </w:div>
    <w:div w:id="1566798011">
      <w:bodyDiv w:val="1"/>
      <w:marLeft w:val="0"/>
      <w:marRight w:val="0"/>
      <w:marTop w:val="0"/>
      <w:marBottom w:val="0"/>
      <w:divBdr>
        <w:top w:val="none" w:sz="0" w:space="0" w:color="auto"/>
        <w:left w:val="none" w:sz="0" w:space="0" w:color="auto"/>
        <w:bottom w:val="none" w:sz="0" w:space="0" w:color="auto"/>
        <w:right w:val="none" w:sz="0" w:space="0" w:color="auto"/>
      </w:divBdr>
    </w:div>
    <w:div w:id="1566915692">
      <w:bodyDiv w:val="1"/>
      <w:marLeft w:val="0"/>
      <w:marRight w:val="0"/>
      <w:marTop w:val="0"/>
      <w:marBottom w:val="0"/>
      <w:divBdr>
        <w:top w:val="none" w:sz="0" w:space="0" w:color="auto"/>
        <w:left w:val="none" w:sz="0" w:space="0" w:color="auto"/>
        <w:bottom w:val="none" w:sz="0" w:space="0" w:color="auto"/>
        <w:right w:val="none" w:sz="0" w:space="0" w:color="auto"/>
      </w:divBdr>
    </w:div>
    <w:div w:id="1567062275">
      <w:bodyDiv w:val="1"/>
      <w:marLeft w:val="0"/>
      <w:marRight w:val="0"/>
      <w:marTop w:val="0"/>
      <w:marBottom w:val="0"/>
      <w:divBdr>
        <w:top w:val="none" w:sz="0" w:space="0" w:color="auto"/>
        <w:left w:val="none" w:sz="0" w:space="0" w:color="auto"/>
        <w:bottom w:val="none" w:sz="0" w:space="0" w:color="auto"/>
        <w:right w:val="none" w:sz="0" w:space="0" w:color="auto"/>
      </w:divBdr>
    </w:div>
    <w:div w:id="1567302417">
      <w:bodyDiv w:val="1"/>
      <w:marLeft w:val="0"/>
      <w:marRight w:val="0"/>
      <w:marTop w:val="0"/>
      <w:marBottom w:val="0"/>
      <w:divBdr>
        <w:top w:val="none" w:sz="0" w:space="0" w:color="auto"/>
        <w:left w:val="none" w:sz="0" w:space="0" w:color="auto"/>
        <w:bottom w:val="none" w:sz="0" w:space="0" w:color="auto"/>
        <w:right w:val="none" w:sz="0" w:space="0" w:color="auto"/>
      </w:divBdr>
    </w:div>
    <w:div w:id="1568222341">
      <w:bodyDiv w:val="1"/>
      <w:marLeft w:val="0"/>
      <w:marRight w:val="0"/>
      <w:marTop w:val="0"/>
      <w:marBottom w:val="0"/>
      <w:divBdr>
        <w:top w:val="none" w:sz="0" w:space="0" w:color="auto"/>
        <w:left w:val="none" w:sz="0" w:space="0" w:color="auto"/>
        <w:bottom w:val="none" w:sz="0" w:space="0" w:color="auto"/>
        <w:right w:val="none" w:sz="0" w:space="0" w:color="auto"/>
      </w:divBdr>
    </w:div>
    <w:div w:id="1568300232">
      <w:bodyDiv w:val="1"/>
      <w:marLeft w:val="0"/>
      <w:marRight w:val="0"/>
      <w:marTop w:val="0"/>
      <w:marBottom w:val="0"/>
      <w:divBdr>
        <w:top w:val="none" w:sz="0" w:space="0" w:color="auto"/>
        <w:left w:val="none" w:sz="0" w:space="0" w:color="auto"/>
        <w:bottom w:val="none" w:sz="0" w:space="0" w:color="auto"/>
        <w:right w:val="none" w:sz="0" w:space="0" w:color="auto"/>
      </w:divBdr>
    </w:div>
    <w:div w:id="1568609972">
      <w:bodyDiv w:val="1"/>
      <w:marLeft w:val="0"/>
      <w:marRight w:val="0"/>
      <w:marTop w:val="0"/>
      <w:marBottom w:val="0"/>
      <w:divBdr>
        <w:top w:val="none" w:sz="0" w:space="0" w:color="auto"/>
        <w:left w:val="none" w:sz="0" w:space="0" w:color="auto"/>
        <w:bottom w:val="none" w:sz="0" w:space="0" w:color="auto"/>
        <w:right w:val="none" w:sz="0" w:space="0" w:color="auto"/>
      </w:divBdr>
    </w:div>
    <w:div w:id="1568682403">
      <w:bodyDiv w:val="1"/>
      <w:marLeft w:val="0"/>
      <w:marRight w:val="0"/>
      <w:marTop w:val="0"/>
      <w:marBottom w:val="0"/>
      <w:divBdr>
        <w:top w:val="none" w:sz="0" w:space="0" w:color="auto"/>
        <w:left w:val="none" w:sz="0" w:space="0" w:color="auto"/>
        <w:bottom w:val="none" w:sz="0" w:space="0" w:color="auto"/>
        <w:right w:val="none" w:sz="0" w:space="0" w:color="auto"/>
      </w:divBdr>
    </w:div>
    <w:div w:id="1569418836">
      <w:bodyDiv w:val="1"/>
      <w:marLeft w:val="0"/>
      <w:marRight w:val="0"/>
      <w:marTop w:val="0"/>
      <w:marBottom w:val="0"/>
      <w:divBdr>
        <w:top w:val="none" w:sz="0" w:space="0" w:color="auto"/>
        <w:left w:val="none" w:sz="0" w:space="0" w:color="auto"/>
        <w:bottom w:val="none" w:sz="0" w:space="0" w:color="auto"/>
        <w:right w:val="none" w:sz="0" w:space="0" w:color="auto"/>
      </w:divBdr>
    </w:div>
    <w:div w:id="1569419794">
      <w:bodyDiv w:val="1"/>
      <w:marLeft w:val="0"/>
      <w:marRight w:val="0"/>
      <w:marTop w:val="0"/>
      <w:marBottom w:val="0"/>
      <w:divBdr>
        <w:top w:val="none" w:sz="0" w:space="0" w:color="auto"/>
        <w:left w:val="none" w:sz="0" w:space="0" w:color="auto"/>
        <w:bottom w:val="none" w:sz="0" w:space="0" w:color="auto"/>
        <w:right w:val="none" w:sz="0" w:space="0" w:color="auto"/>
      </w:divBdr>
    </w:div>
    <w:div w:id="1569917378">
      <w:bodyDiv w:val="1"/>
      <w:marLeft w:val="0"/>
      <w:marRight w:val="0"/>
      <w:marTop w:val="0"/>
      <w:marBottom w:val="0"/>
      <w:divBdr>
        <w:top w:val="none" w:sz="0" w:space="0" w:color="auto"/>
        <w:left w:val="none" w:sz="0" w:space="0" w:color="auto"/>
        <w:bottom w:val="none" w:sz="0" w:space="0" w:color="auto"/>
        <w:right w:val="none" w:sz="0" w:space="0" w:color="auto"/>
      </w:divBdr>
    </w:div>
    <w:div w:id="1569920913">
      <w:bodyDiv w:val="1"/>
      <w:marLeft w:val="0"/>
      <w:marRight w:val="0"/>
      <w:marTop w:val="0"/>
      <w:marBottom w:val="0"/>
      <w:divBdr>
        <w:top w:val="none" w:sz="0" w:space="0" w:color="auto"/>
        <w:left w:val="none" w:sz="0" w:space="0" w:color="auto"/>
        <w:bottom w:val="none" w:sz="0" w:space="0" w:color="auto"/>
        <w:right w:val="none" w:sz="0" w:space="0" w:color="auto"/>
      </w:divBdr>
    </w:div>
    <w:div w:id="1571116037">
      <w:bodyDiv w:val="1"/>
      <w:marLeft w:val="0"/>
      <w:marRight w:val="0"/>
      <w:marTop w:val="0"/>
      <w:marBottom w:val="0"/>
      <w:divBdr>
        <w:top w:val="none" w:sz="0" w:space="0" w:color="auto"/>
        <w:left w:val="none" w:sz="0" w:space="0" w:color="auto"/>
        <w:bottom w:val="none" w:sz="0" w:space="0" w:color="auto"/>
        <w:right w:val="none" w:sz="0" w:space="0" w:color="auto"/>
      </w:divBdr>
    </w:div>
    <w:div w:id="1571192566">
      <w:bodyDiv w:val="1"/>
      <w:marLeft w:val="0"/>
      <w:marRight w:val="0"/>
      <w:marTop w:val="0"/>
      <w:marBottom w:val="0"/>
      <w:divBdr>
        <w:top w:val="none" w:sz="0" w:space="0" w:color="auto"/>
        <w:left w:val="none" w:sz="0" w:space="0" w:color="auto"/>
        <w:bottom w:val="none" w:sz="0" w:space="0" w:color="auto"/>
        <w:right w:val="none" w:sz="0" w:space="0" w:color="auto"/>
      </w:divBdr>
    </w:div>
    <w:div w:id="1571691973">
      <w:bodyDiv w:val="1"/>
      <w:marLeft w:val="0"/>
      <w:marRight w:val="0"/>
      <w:marTop w:val="0"/>
      <w:marBottom w:val="0"/>
      <w:divBdr>
        <w:top w:val="none" w:sz="0" w:space="0" w:color="auto"/>
        <w:left w:val="none" w:sz="0" w:space="0" w:color="auto"/>
        <w:bottom w:val="none" w:sz="0" w:space="0" w:color="auto"/>
        <w:right w:val="none" w:sz="0" w:space="0" w:color="auto"/>
      </w:divBdr>
    </w:div>
    <w:div w:id="1572078321">
      <w:bodyDiv w:val="1"/>
      <w:marLeft w:val="0"/>
      <w:marRight w:val="0"/>
      <w:marTop w:val="0"/>
      <w:marBottom w:val="0"/>
      <w:divBdr>
        <w:top w:val="none" w:sz="0" w:space="0" w:color="auto"/>
        <w:left w:val="none" w:sz="0" w:space="0" w:color="auto"/>
        <w:bottom w:val="none" w:sz="0" w:space="0" w:color="auto"/>
        <w:right w:val="none" w:sz="0" w:space="0" w:color="auto"/>
      </w:divBdr>
    </w:div>
    <w:div w:id="1572304315">
      <w:bodyDiv w:val="1"/>
      <w:marLeft w:val="0"/>
      <w:marRight w:val="0"/>
      <w:marTop w:val="0"/>
      <w:marBottom w:val="0"/>
      <w:divBdr>
        <w:top w:val="none" w:sz="0" w:space="0" w:color="auto"/>
        <w:left w:val="none" w:sz="0" w:space="0" w:color="auto"/>
        <w:bottom w:val="none" w:sz="0" w:space="0" w:color="auto"/>
        <w:right w:val="none" w:sz="0" w:space="0" w:color="auto"/>
      </w:divBdr>
    </w:div>
    <w:div w:id="1572500184">
      <w:bodyDiv w:val="1"/>
      <w:marLeft w:val="0"/>
      <w:marRight w:val="0"/>
      <w:marTop w:val="0"/>
      <w:marBottom w:val="0"/>
      <w:divBdr>
        <w:top w:val="none" w:sz="0" w:space="0" w:color="auto"/>
        <w:left w:val="none" w:sz="0" w:space="0" w:color="auto"/>
        <w:bottom w:val="none" w:sz="0" w:space="0" w:color="auto"/>
        <w:right w:val="none" w:sz="0" w:space="0" w:color="auto"/>
      </w:divBdr>
    </w:div>
    <w:div w:id="1572735669">
      <w:bodyDiv w:val="1"/>
      <w:marLeft w:val="0"/>
      <w:marRight w:val="0"/>
      <w:marTop w:val="0"/>
      <w:marBottom w:val="0"/>
      <w:divBdr>
        <w:top w:val="none" w:sz="0" w:space="0" w:color="auto"/>
        <w:left w:val="none" w:sz="0" w:space="0" w:color="auto"/>
        <w:bottom w:val="none" w:sz="0" w:space="0" w:color="auto"/>
        <w:right w:val="none" w:sz="0" w:space="0" w:color="auto"/>
      </w:divBdr>
    </w:div>
    <w:div w:id="1572932991">
      <w:bodyDiv w:val="1"/>
      <w:marLeft w:val="0"/>
      <w:marRight w:val="0"/>
      <w:marTop w:val="0"/>
      <w:marBottom w:val="0"/>
      <w:divBdr>
        <w:top w:val="none" w:sz="0" w:space="0" w:color="auto"/>
        <w:left w:val="none" w:sz="0" w:space="0" w:color="auto"/>
        <w:bottom w:val="none" w:sz="0" w:space="0" w:color="auto"/>
        <w:right w:val="none" w:sz="0" w:space="0" w:color="auto"/>
      </w:divBdr>
    </w:div>
    <w:div w:id="1573613135">
      <w:bodyDiv w:val="1"/>
      <w:marLeft w:val="0"/>
      <w:marRight w:val="0"/>
      <w:marTop w:val="0"/>
      <w:marBottom w:val="0"/>
      <w:divBdr>
        <w:top w:val="none" w:sz="0" w:space="0" w:color="auto"/>
        <w:left w:val="none" w:sz="0" w:space="0" w:color="auto"/>
        <w:bottom w:val="none" w:sz="0" w:space="0" w:color="auto"/>
        <w:right w:val="none" w:sz="0" w:space="0" w:color="auto"/>
      </w:divBdr>
    </w:div>
    <w:div w:id="1573661089">
      <w:bodyDiv w:val="1"/>
      <w:marLeft w:val="0"/>
      <w:marRight w:val="0"/>
      <w:marTop w:val="0"/>
      <w:marBottom w:val="0"/>
      <w:divBdr>
        <w:top w:val="none" w:sz="0" w:space="0" w:color="auto"/>
        <w:left w:val="none" w:sz="0" w:space="0" w:color="auto"/>
        <w:bottom w:val="none" w:sz="0" w:space="0" w:color="auto"/>
        <w:right w:val="none" w:sz="0" w:space="0" w:color="auto"/>
      </w:divBdr>
    </w:div>
    <w:div w:id="1573854613">
      <w:bodyDiv w:val="1"/>
      <w:marLeft w:val="0"/>
      <w:marRight w:val="0"/>
      <w:marTop w:val="0"/>
      <w:marBottom w:val="0"/>
      <w:divBdr>
        <w:top w:val="none" w:sz="0" w:space="0" w:color="auto"/>
        <w:left w:val="none" w:sz="0" w:space="0" w:color="auto"/>
        <w:bottom w:val="none" w:sz="0" w:space="0" w:color="auto"/>
        <w:right w:val="none" w:sz="0" w:space="0" w:color="auto"/>
      </w:divBdr>
    </w:div>
    <w:div w:id="1574126631">
      <w:bodyDiv w:val="1"/>
      <w:marLeft w:val="0"/>
      <w:marRight w:val="0"/>
      <w:marTop w:val="0"/>
      <w:marBottom w:val="0"/>
      <w:divBdr>
        <w:top w:val="none" w:sz="0" w:space="0" w:color="auto"/>
        <w:left w:val="none" w:sz="0" w:space="0" w:color="auto"/>
        <w:bottom w:val="none" w:sz="0" w:space="0" w:color="auto"/>
        <w:right w:val="none" w:sz="0" w:space="0" w:color="auto"/>
      </w:divBdr>
    </w:div>
    <w:div w:id="1574201675">
      <w:bodyDiv w:val="1"/>
      <w:marLeft w:val="0"/>
      <w:marRight w:val="0"/>
      <w:marTop w:val="0"/>
      <w:marBottom w:val="0"/>
      <w:divBdr>
        <w:top w:val="none" w:sz="0" w:space="0" w:color="auto"/>
        <w:left w:val="none" w:sz="0" w:space="0" w:color="auto"/>
        <w:bottom w:val="none" w:sz="0" w:space="0" w:color="auto"/>
        <w:right w:val="none" w:sz="0" w:space="0" w:color="auto"/>
      </w:divBdr>
    </w:div>
    <w:div w:id="1574268554">
      <w:bodyDiv w:val="1"/>
      <w:marLeft w:val="0"/>
      <w:marRight w:val="0"/>
      <w:marTop w:val="0"/>
      <w:marBottom w:val="0"/>
      <w:divBdr>
        <w:top w:val="none" w:sz="0" w:space="0" w:color="auto"/>
        <w:left w:val="none" w:sz="0" w:space="0" w:color="auto"/>
        <w:bottom w:val="none" w:sz="0" w:space="0" w:color="auto"/>
        <w:right w:val="none" w:sz="0" w:space="0" w:color="auto"/>
      </w:divBdr>
    </w:div>
    <w:div w:id="1574270682">
      <w:bodyDiv w:val="1"/>
      <w:marLeft w:val="0"/>
      <w:marRight w:val="0"/>
      <w:marTop w:val="0"/>
      <w:marBottom w:val="0"/>
      <w:divBdr>
        <w:top w:val="none" w:sz="0" w:space="0" w:color="auto"/>
        <w:left w:val="none" w:sz="0" w:space="0" w:color="auto"/>
        <w:bottom w:val="none" w:sz="0" w:space="0" w:color="auto"/>
        <w:right w:val="none" w:sz="0" w:space="0" w:color="auto"/>
      </w:divBdr>
    </w:div>
    <w:div w:id="1574319883">
      <w:bodyDiv w:val="1"/>
      <w:marLeft w:val="0"/>
      <w:marRight w:val="0"/>
      <w:marTop w:val="0"/>
      <w:marBottom w:val="0"/>
      <w:divBdr>
        <w:top w:val="none" w:sz="0" w:space="0" w:color="auto"/>
        <w:left w:val="none" w:sz="0" w:space="0" w:color="auto"/>
        <w:bottom w:val="none" w:sz="0" w:space="0" w:color="auto"/>
        <w:right w:val="none" w:sz="0" w:space="0" w:color="auto"/>
      </w:divBdr>
    </w:div>
    <w:div w:id="1574387448">
      <w:bodyDiv w:val="1"/>
      <w:marLeft w:val="0"/>
      <w:marRight w:val="0"/>
      <w:marTop w:val="0"/>
      <w:marBottom w:val="0"/>
      <w:divBdr>
        <w:top w:val="none" w:sz="0" w:space="0" w:color="auto"/>
        <w:left w:val="none" w:sz="0" w:space="0" w:color="auto"/>
        <w:bottom w:val="none" w:sz="0" w:space="0" w:color="auto"/>
        <w:right w:val="none" w:sz="0" w:space="0" w:color="auto"/>
      </w:divBdr>
    </w:div>
    <w:div w:id="1574465226">
      <w:bodyDiv w:val="1"/>
      <w:marLeft w:val="0"/>
      <w:marRight w:val="0"/>
      <w:marTop w:val="0"/>
      <w:marBottom w:val="0"/>
      <w:divBdr>
        <w:top w:val="none" w:sz="0" w:space="0" w:color="auto"/>
        <w:left w:val="none" w:sz="0" w:space="0" w:color="auto"/>
        <w:bottom w:val="none" w:sz="0" w:space="0" w:color="auto"/>
        <w:right w:val="none" w:sz="0" w:space="0" w:color="auto"/>
      </w:divBdr>
    </w:div>
    <w:div w:id="1574468779">
      <w:bodyDiv w:val="1"/>
      <w:marLeft w:val="0"/>
      <w:marRight w:val="0"/>
      <w:marTop w:val="0"/>
      <w:marBottom w:val="0"/>
      <w:divBdr>
        <w:top w:val="none" w:sz="0" w:space="0" w:color="auto"/>
        <w:left w:val="none" w:sz="0" w:space="0" w:color="auto"/>
        <w:bottom w:val="none" w:sz="0" w:space="0" w:color="auto"/>
        <w:right w:val="none" w:sz="0" w:space="0" w:color="auto"/>
      </w:divBdr>
    </w:div>
    <w:div w:id="1574773403">
      <w:bodyDiv w:val="1"/>
      <w:marLeft w:val="0"/>
      <w:marRight w:val="0"/>
      <w:marTop w:val="0"/>
      <w:marBottom w:val="0"/>
      <w:divBdr>
        <w:top w:val="none" w:sz="0" w:space="0" w:color="auto"/>
        <w:left w:val="none" w:sz="0" w:space="0" w:color="auto"/>
        <w:bottom w:val="none" w:sz="0" w:space="0" w:color="auto"/>
        <w:right w:val="none" w:sz="0" w:space="0" w:color="auto"/>
      </w:divBdr>
    </w:div>
    <w:div w:id="1574779769">
      <w:bodyDiv w:val="1"/>
      <w:marLeft w:val="0"/>
      <w:marRight w:val="0"/>
      <w:marTop w:val="0"/>
      <w:marBottom w:val="0"/>
      <w:divBdr>
        <w:top w:val="none" w:sz="0" w:space="0" w:color="auto"/>
        <w:left w:val="none" w:sz="0" w:space="0" w:color="auto"/>
        <w:bottom w:val="none" w:sz="0" w:space="0" w:color="auto"/>
        <w:right w:val="none" w:sz="0" w:space="0" w:color="auto"/>
      </w:divBdr>
    </w:div>
    <w:div w:id="1574970125">
      <w:bodyDiv w:val="1"/>
      <w:marLeft w:val="0"/>
      <w:marRight w:val="0"/>
      <w:marTop w:val="0"/>
      <w:marBottom w:val="0"/>
      <w:divBdr>
        <w:top w:val="none" w:sz="0" w:space="0" w:color="auto"/>
        <w:left w:val="none" w:sz="0" w:space="0" w:color="auto"/>
        <w:bottom w:val="none" w:sz="0" w:space="0" w:color="auto"/>
        <w:right w:val="none" w:sz="0" w:space="0" w:color="auto"/>
      </w:divBdr>
    </w:div>
    <w:div w:id="1575166845">
      <w:bodyDiv w:val="1"/>
      <w:marLeft w:val="0"/>
      <w:marRight w:val="0"/>
      <w:marTop w:val="0"/>
      <w:marBottom w:val="0"/>
      <w:divBdr>
        <w:top w:val="none" w:sz="0" w:space="0" w:color="auto"/>
        <w:left w:val="none" w:sz="0" w:space="0" w:color="auto"/>
        <w:bottom w:val="none" w:sz="0" w:space="0" w:color="auto"/>
        <w:right w:val="none" w:sz="0" w:space="0" w:color="auto"/>
      </w:divBdr>
    </w:div>
    <w:div w:id="1575696651">
      <w:bodyDiv w:val="1"/>
      <w:marLeft w:val="0"/>
      <w:marRight w:val="0"/>
      <w:marTop w:val="0"/>
      <w:marBottom w:val="0"/>
      <w:divBdr>
        <w:top w:val="none" w:sz="0" w:space="0" w:color="auto"/>
        <w:left w:val="none" w:sz="0" w:space="0" w:color="auto"/>
        <w:bottom w:val="none" w:sz="0" w:space="0" w:color="auto"/>
        <w:right w:val="none" w:sz="0" w:space="0" w:color="auto"/>
      </w:divBdr>
    </w:div>
    <w:div w:id="1576434685">
      <w:bodyDiv w:val="1"/>
      <w:marLeft w:val="0"/>
      <w:marRight w:val="0"/>
      <w:marTop w:val="0"/>
      <w:marBottom w:val="0"/>
      <w:divBdr>
        <w:top w:val="none" w:sz="0" w:space="0" w:color="auto"/>
        <w:left w:val="none" w:sz="0" w:space="0" w:color="auto"/>
        <w:bottom w:val="none" w:sz="0" w:space="0" w:color="auto"/>
        <w:right w:val="none" w:sz="0" w:space="0" w:color="auto"/>
      </w:divBdr>
    </w:div>
    <w:div w:id="1576471014">
      <w:bodyDiv w:val="1"/>
      <w:marLeft w:val="0"/>
      <w:marRight w:val="0"/>
      <w:marTop w:val="0"/>
      <w:marBottom w:val="0"/>
      <w:divBdr>
        <w:top w:val="none" w:sz="0" w:space="0" w:color="auto"/>
        <w:left w:val="none" w:sz="0" w:space="0" w:color="auto"/>
        <w:bottom w:val="none" w:sz="0" w:space="0" w:color="auto"/>
        <w:right w:val="none" w:sz="0" w:space="0" w:color="auto"/>
      </w:divBdr>
    </w:div>
    <w:div w:id="1576547010">
      <w:bodyDiv w:val="1"/>
      <w:marLeft w:val="0"/>
      <w:marRight w:val="0"/>
      <w:marTop w:val="0"/>
      <w:marBottom w:val="0"/>
      <w:divBdr>
        <w:top w:val="none" w:sz="0" w:space="0" w:color="auto"/>
        <w:left w:val="none" w:sz="0" w:space="0" w:color="auto"/>
        <w:bottom w:val="none" w:sz="0" w:space="0" w:color="auto"/>
        <w:right w:val="none" w:sz="0" w:space="0" w:color="auto"/>
      </w:divBdr>
    </w:div>
    <w:div w:id="1576888961">
      <w:bodyDiv w:val="1"/>
      <w:marLeft w:val="0"/>
      <w:marRight w:val="0"/>
      <w:marTop w:val="0"/>
      <w:marBottom w:val="0"/>
      <w:divBdr>
        <w:top w:val="none" w:sz="0" w:space="0" w:color="auto"/>
        <w:left w:val="none" w:sz="0" w:space="0" w:color="auto"/>
        <w:bottom w:val="none" w:sz="0" w:space="0" w:color="auto"/>
        <w:right w:val="none" w:sz="0" w:space="0" w:color="auto"/>
      </w:divBdr>
    </w:div>
    <w:div w:id="1576892637">
      <w:bodyDiv w:val="1"/>
      <w:marLeft w:val="0"/>
      <w:marRight w:val="0"/>
      <w:marTop w:val="0"/>
      <w:marBottom w:val="0"/>
      <w:divBdr>
        <w:top w:val="none" w:sz="0" w:space="0" w:color="auto"/>
        <w:left w:val="none" w:sz="0" w:space="0" w:color="auto"/>
        <w:bottom w:val="none" w:sz="0" w:space="0" w:color="auto"/>
        <w:right w:val="none" w:sz="0" w:space="0" w:color="auto"/>
      </w:divBdr>
    </w:div>
    <w:div w:id="1576932138">
      <w:bodyDiv w:val="1"/>
      <w:marLeft w:val="0"/>
      <w:marRight w:val="0"/>
      <w:marTop w:val="0"/>
      <w:marBottom w:val="0"/>
      <w:divBdr>
        <w:top w:val="none" w:sz="0" w:space="0" w:color="auto"/>
        <w:left w:val="none" w:sz="0" w:space="0" w:color="auto"/>
        <w:bottom w:val="none" w:sz="0" w:space="0" w:color="auto"/>
        <w:right w:val="none" w:sz="0" w:space="0" w:color="auto"/>
      </w:divBdr>
    </w:div>
    <w:div w:id="1577012997">
      <w:bodyDiv w:val="1"/>
      <w:marLeft w:val="0"/>
      <w:marRight w:val="0"/>
      <w:marTop w:val="0"/>
      <w:marBottom w:val="0"/>
      <w:divBdr>
        <w:top w:val="none" w:sz="0" w:space="0" w:color="auto"/>
        <w:left w:val="none" w:sz="0" w:space="0" w:color="auto"/>
        <w:bottom w:val="none" w:sz="0" w:space="0" w:color="auto"/>
        <w:right w:val="none" w:sz="0" w:space="0" w:color="auto"/>
      </w:divBdr>
    </w:div>
    <w:div w:id="1577134193">
      <w:bodyDiv w:val="1"/>
      <w:marLeft w:val="0"/>
      <w:marRight w:val="0"/>
      <w:marTop w:val="0"/>
      <w:marBottom w:val="0"/>
      <w:divBdr>
        <w:top w:val="none" w:sz="0" w:space="0" w:color="auto"/>
        <w:left w:val="none" w:sz="0" w:space="0" w:color="auto"/>
        <w:bottom w:val="none" w:sz="0" w:space="0" w:color="auto"/>
        <w:right w:val="none" w:sz="0" w:space="0" w:color="auto"/>
      </w:divBdr>
    </w:div>
    <w:div w:id="1577476219">
      <w:bodyDiv w:val="1"/>
      <w:marLeft w:val="0"/>
      <w:marRight w:val="0"/>
      <w:marTop w:val="0"/>
      <w:marBottom w:val="0"/>
      <w:divBdr>
        <w:top w:val="none" w:sz="0" w:space="0" w:color="auto"/>
        <w:left w:val="none" w:sz="0" w:space="0" w:color="auto"/>
        <w:bottom w:val="none" w:sz="0" w:space="0" w:color="auto"/>
        <w:right w:val="none" w:sz="0" w:space="0" w:color="auto"/>
      </w:divBdr>
    </w:div>
    <w:div w:id="1577785119">
      <w:bodyDiv w:val="1"/>
      <w:marLeft w:val="0"/>
      <w:marRight w:val="0"/>
      <w:marTop w:val="0"/>
      <w:marBottom w:val="0"/>
      <w:divBdr>
        <w:top w:val="none" w:sz="0" w:space="0" w:color="auto"/>
        <w:left w:val="none" w:sz="0" w:space="0" w:color="auto"/>
        <w:bottom w:val="none" w:sz="0" w:space="0" w:color="auto"/>
        <w:right w:val="none" w:sz="0" w:space="0" w:color="auto"/>
      </w:divBdr>
    </w:div>
    <w:div w:id="1577785754">
      <w:bodyDiv w:val="1"/>
      <w:marLeft w:val="0"/>
      <w:marRight w:val="0"/>
      <w:marTop w:val="0"/>
      <w:marBottom w:val="0"/>
      <w:divBdr>
        <w:top w:val="none" w:sz="0" w:space="0" w:color="auto"/>
        <w:left w:val="none" w:sz="0" w:space="0" w:color="auto"/>
        <w:bottom w:val="none" w:sz="0" w:space="0" w:color="auto"/>
        <w:right w:val="none" w:sz="0" w:space="0" w:color="auto"/>
      </w:divBdr>
    </w:div>
    <w:div w:id="1578052181">
      <w:bodyDiv w:val="1"/>
      <w:marLeft w:val="0"/>
      <w:marRight w:val="0"/>
      <w:marTop w:val="0"/>
      <w:marBottom w:val="0"/>
      <w:divBdr>
        <w:top w:val="none" w:sz="0" w:space="0" w:color="auto"/>
        <w:left w:val="none" w:sz="0" w:space="0" w:color="auto"/>
        <w:bottom w:val="none" w:sz="0" w:space="0" w:color="auto"/>
        <w:right w:val="none" w:sz="0" w:space="0" w:color="auto"/>
      </w:divBdr>
    </w:div>
    <w:div w:id="1578712673">
      <w:bodyDiv w:val="1"/>
      <w:marLeft w:val="0"/>
      <w:marRight w:val="0"/>
      <w:marTop w:val="0"/>
      <w:marBottom w:val="0"/>
      <w:divBdr>
        <w:top w:val="none" w:sz="0" w:space="0" w:color="auto"/>
        <w:left w:val="none" w:sz="0" w:space="0" w:color="auto"/>
        <w:bottom w:val="none" w:sz="0" w:space="0" w:color="auto"/>
        <w:right w:val="none" w:sz="0" w:space="0" w:color="auto"/>
      </w:divBdr>
    </w:div>
    <w:div w:id="1578976176">
      <w:bodyDiv w:val="1"/>
      <w:marLeft w:val="0"/>
      <w:marRight w:val="0"/>
      <w:marTop w:val="0"/>
      <w:marBottom w:val="0"/>
      <w:divBdr>
        <w:top w:val="none" w:sz="0" w:space="0" w:color="auto"/>
        <w:left w:val="none" w:sz="0" w:space="0" w:color="auto"/>
        <w:bottom w:val="none" w:sz="0" w:space="0" w:color="auto"/>
        <w:right w:val="none" w:sz="0" w:space="0" w:color="auto"/>
      </w:divBdr>
    </w:div>
    <w:div w:id="1580016799">
      <w:bodyDiv w:val="1"/>
      <w:marLeft w:val="0"/>
      <w:marRight w:val="0"/>
      <w:marTop w:val="0"/>
      <w:marBottom w:val="0"/>
      <w:divBdr>
        <w:top w:val="none" w:sz="0" w:space="0" w:color="auto"/>
        <w:left w:val="none" w:sz="0" w:space="0" w:color="auto"/>
        <w:bottom w:val="none" w:sz="0" w:space="0" w:color="auto"/>
        <w:right w:val="none" w:sz="0" w:space="0" w:color="auto"/>
      </w:divBdr>
    </w:div>
    <w:div w:id="1580402630">
      <w:bodyDiv w:val="1"/>
      <w:marLeft w:val="0"/>
      <w:marRight w:val="0"/>
      <w:marTop w:val="0"/>
      <w:marBottom w:val="0"/>
      <w:divBdr>
        <w:top w:val="none" w:sz="0" w:space="0" w:color="auto"/>
        <w:left w:val="none" w:sz="0" w:space="0" w:color="auto"/>
        <w:bottom w:val="none" w:sz="0" w:space="0" w:color="auto"/>
        <w:right w:val="none" w:sz="0" w:space="0" w:color="auto"/>
      </w:divBdr>
    </w:div>
    <w:div w:id="1580600454">
      <w:bodyDiv w:val="1"/>
      <w:marLeft w:val="0"/>
      <w:marRight w:val="0"/>
      <w:marTop w:val="0"/>
      <w:marBottom w:val="0"/>
      <w:divBdr>
        <w:top w:val="none" w:sz="0" w:space="0" w:color="auto"/>
        <w:left w:val="none" w:sz="0" w:space="0" w:color="auto"/>
        <w:bottom w:val="none" w:sz="0" w:space="0" w:color="auto"/>
        <w:right w:val="none" w:sz="0" w:space="0" w:color="auto"/>
      </w:divBdr>
    </w:div>
    <w:div w:id="1580866229">
      <w:bodyDiv w:val="1"/>
      <w:marLeft w:val="0"/>
      <w:marRight w:val="0"/>
      <w:marTop w:val="0"/>
      <w:marBottom w:val="0"/>
      <w:divBdr>
        <w:top w:val="none" w:sz="0" w:space="0" w:color="auto"/>
        <w:left w:val="none" w:sz="0" w:space="0" w:color="auto"/>
        <w:bottom w:val="none" w:sz="0" w:space="0" w:color="auto"/>
        <w:right w:val="none" w:sz="0" w:space="0" w:color="auto"/>
      </w:divBdr>
    </w:div>
    <w:div w:id="1581064770">
      <w:bodyDiv w:val="1"/>
      <w:marLeft w:val="0"/>
      <w:marRight w:val="0"/>
      <w:marTop w:val="0"/>
      <w:marBottom w:val="0"/>
      <w:divBdr>
        <w:top w:val="none" w:sz="0" w:space="0" w:color="auto"/>
        <w:left w:val="none" w:sz="0" w:space="0" w:color="auto"/>
        <w:bottom w:val="none" w:sz="0" w:space="0" w:color="auto"/>
        <w:right w:val="none" w:sz="0" w:space="0" w:color="auto"/>
      </w:divBdr>
    </w:div>
    <w:div w:id="1581405114">
      <w:bodyDiv w:val="1"/>
      <w:marLeft w:val="0"/>
      <w:marRight w:val="0"/>
      <w:marTop w:val="0"/>
      <w:marBottom w:val="0"/>
      <w:divBdr>
        <w:top w:val="none" w:sz="0" w:space="0" w:color="auto"/>
        <w:left w:val="none" w:sz="0" w:space="0" w:color="auto"/>
        <w:bottom w:val="none" w:sz="0" w:space="0" w:color="auto"/>
        <w:right w:val="none" w:sz="0" w:space="0" w:color="auto"/>
      </w:divBdr>
    </w:div>
    <w:div w:id="1581719456">
      <w:bodyDiv w:val="1"/>
      <w:marLeft w:val="0"/>
      <w:marRight w:val="0"/>
      <w:marTop w:val="0"/>
      <w:marBottom w:val="0"/>
      <w:divBdr>
        <w:top w:val="none" w:sz="0" w:space="0" w:color="auto"/>
        <w:left w:val="none" w:sz="0" w:space="0" w:color="auto"/>
        <w:bottom w:val="none" w:sz="0" w:space="0" w:color="auto"/>
        <w:right w:val="none" w:sz="0" w:space="0" w:color="auto"/>
      </w:divBdr>
    </w:div>
    <w:div w:id="1581719636">
      <w:bodyDiv w:val="1"/>
      <w:marLeft w:val="0"/>
      <w:marRight w:val="0"/>
      <w:marTop w:val="0"/>
      <w:marBottom w:val="0"/>
      <w:divBdr>
        <w:top w:val="none" w:sz="0" w:space="0" w:color="auto"/>
        <w:left w:val="none" w:sz="0" w:space="0" w:color="auto"/>
        <w:bottom w:val="none" w:sz="0" w:space="0" w:color="auto"/>
        <w:right w:val="none" w:sz="0" w:space="0" w:color="auto"/>
      </w:divBdr>
    </w:div>
    <w:div w:id="1581911626">
      <w:bodyDiv w:val="1"/>
      <w:marLeft w:val="0"/>
      <w:marRight w:val="0"/>
      <w:marTop w:val="0"/>
      <w:marBottom w:val="0"/>
      <w:divBdr>
        <w:top w:val="none" w:sz="0" w:space="0" w:color="auto"/>
        <w:left w:val="none" w:sz="0" w:space="0" w:color="auto"/>
        <w:bottom w:val="none" w:sz="0" w:space="0" w:color="auto"/>
        <w:right w:val="none" w:sz="0" w:space="0" w:color="auto"/>
      </w:divBdr>
    </w:div>
    <w:div w:id="1582174205">
      <w:bodyDiv w:val="1"/>
      <w:marLeft w:val="0"/>
      <w:marRight w:val="0"/>
      <w:marTop w:val="0"/>
      <w:marBottom w:val="0"/>
      <w:divBdr>
        <w:top w:val="none" w:sz="0" w:space="0" w:color="auto"/>
        <w:left w:val="none" w:sz="0" w:space="0" w:color="auto"/>
        <w:bottom w:val="none" w:sz="0" w:space="0" w:color="auto"/>
        <w:right w:val="none" w:sz="0" w:space="0" w:color="auto"/>
      </w:divBdr>
    </w:div>
    <w:div w:id="1582791534">
      <w:bodyDiv w:val="1"/>
      <w:marLeft w:val="0"/>
      <w:marRight w:val="0"/>
      <w:marTop w:val="0"/>
      <w:marBottom w:val="0"/>
      <w:divBdr>
        <w:top w:val="none" w:sz="0" w:space="0" w:color="auto"/>
        <w:left w:val="none" w:sz="0" w:space="0" w:color="auto"/>
        <w:bottom w:val="none" w:sz="0" w:space="0" w:color="auto"/>
        <w:right w:val="none" w:sz="0" w:space="0" w:color="auto"/>
      </w:divBdr>
    </w:div>
    <w:div w:id="1583485792">
      <w:bodyDiv w:val="1"/>
      <w:marLeft w:val="0"/>
      <w:marRight w:val="0"/>
      <w:marTop w:val="0"/>
      <w:marBottom w:val="0"/>
      <w:divBdr>
        <w:top w:val="none" w:sz="0" w:space="0" w:color="auto"/>
        <w:left w:val="none" w:sz="0" w:space="0" w:color="auto"/>
        <w:bottom w:val="none" w:sz="0" w:space="0" w:color="auto"/>
        <w:right w:val="none" w:sz="0" w:space="0" w:color="auto"/>
      </w:divBdr>
    </w:div>
    <w:div w:id="1584139744">
      <w:bodyDiv w:val="1"/>
      <w:marLeft w:val="0"/>
      <w:marRight w:val="0"/>
      <w:marTop w:val="0"/>
      <w:marBottom w:val="0"/>
      <w:divBdr>
        <w:top w:val="none" w:sz="0" w:space="0" w:color="auto"/>
        <w:left w:val="none" w:sz="0" w:space="0" w:color="auto"/>
        <w:bottom w:val="none" w:sz="0" w:space="0" w:color="auto"/>
        <w:right w:val="none" w:sz="0" w:space="0" w:color="auto"/>
      </w:divBdr>
    </w:div>
    <w:div w:id="1584795163">
      <w:bodyDiv w:val="1"/>
      <w:marLeft w:val="0"/>
      <w:marRight w:val="0"/>
      <w:marTop w:val="0"/>
      <w:marBottom w:val="0"/>
      <w:divBdr>
        <w:top w:val="none" w:sz="0" w:space="0" w:color="auto"/>
        <w:left w:val="none" w:sz="0" w:space="0" w:color="auto"/>
        <w:bottom w:val="none" w:sz="0" w:space="0" w:color="auto"/>
        <w:right w:val="none" w:sz="0" w:space="0" w:color="auto"/>
      </w:divBdr>
    </w:div>
    <w:div w:id="1584799785">
      <w:bodyDiv w:val="1"/>
      <w:marLeft w:val="0"/>
      <w:marRight w:val="0"/>
      <w:marTop w:val="0"/>
      <w:marBottom w:val="0"/>
      <w:divBdr>
        <w:top w:val="none" w:sz="0" w:space="0" w:color="auto"/>
        <w:left w:val="none" w:sz="0" w:space="0" w:color="auto"/>
        <w:bottom w:val="none" w:sz="0" w:space="0" w:color="auto"/>
        <w:right w:val="none" w:sz="0" w:space="0" w:color="auto"/>
      </w:divBdr>
    </w:div>
    <w:div w:id="1584997664">
      <w:bodyDiv w:val="1"/>
      <w:marLeft w:val="0"/>
      <w:marRight w:val="0"/>
      <w:marTop w:val="0"/>
      <w:marBottom w:val="0"/>
      <w:divBdr>
        <w:top w:val="none" w:sz="0" w:space="0" w:color="auto"/>
        <w:left w:val="none" w:sz="0" w:space="0" w:color="auto"/>
        <w:bottom w:val="none" w:sz="0" w:space="0" w:color="auto"/>
        <w:right w:val="none" w:sz="0" w:space="0" w:color="auto"/>
      </w:divBdr>
    </w:div>
    <w:div w:id="1585146382">
      <w:bodyDiv w:val="1"/>
      <w:marLeft w:val="0"/>
      <w:marRight w:val="0"/>
      <w:marTop w:val="0"/>
      <w:marBottom w:val="0"/>
      <w:divBdr>
        <w:top w:val="none" w:sz="0" w:space="0" w:color="auto"/>
        <w:left w:val="none" w:sz="0" w:space="0" w:color="auto"/>
        <w:bottom w:val="none" w:sz="0" w:space="0" w:color="auto"/>
        <w:right w:val="none" w:sz="0" w:space="0" w:color="auto"/>
      </w:divBdr>
    </w:div>
    <w:div w:id="1585451957">
      <w:bodyDiv w:val="1"/>
      <w:marLeft w:val="0"/>
      <w:marRight w:val="0"/>
      <w:marTop w:val="0"/>
      <w:marBottom w:val="0"/>
      <w:divBdr>
        <w:top w:val="none" w:sz="0" w:space="0" w:color="auto"/>
        <w:left w:val="none" w:sz="0" w:space="0" w:color="auto"/>
        <w:bottom w:val="none" w:sz="0" w:space="0" w:color="auto"/>
        <w:right w:val="none" w:sz="0" w:space="0" w:color="auto"/>
      </w:divBdr>
    </w:div>
    <w:div w:id="1585457519">
      <w:bodyDiv w:val="1"/>
      <w:marLeft w:val="0"/>
      <w:marRight w:val="0"/>
      <w:marTop w:val="0"/>
      <w:marBottom w:val="0"/>
      <w:divBdr>
        <w:top w:val="none" w:sz="0" w:space="0" w:color="auto"/>
        <w:left w:val="none" w:sz="0" w:space="0" w:color="auto"/>
        <w:bottom w:val="none" w:sz="0" w:space="0" w:color="auto"/>
        <w:right w:val="none" w:sz="0" w:space="0" w:color="auto"/>
      </w:divBdr>
    </w:div>
    <w:div w:id="1585526383">
      <w:bodyDiv w:val="1"/>
      <w:marLeft w:val="0"/>
      <w:marRight w:val="0"/>
      <w:marTop w:val="0"/>
      <w:marBottom w:val="0"/>
      <w:divBdr>
        <w:top w:val="none" w:sz="0" w:space="0" w:color="auto"/>
        <w:left w:val="none" w:sz="0" w:space="0" w:color="auto"/>
        <w:bottom w:val="none" w:sz="0" w:space="0" w:color="auto"/>
        <w:right w:val="none" w:sz="0" w:space="0" w:color="auto"/>
      </w:divBdr>
    </w:div>
    <w:div w:id="1585534952">
      <w:bodyDiv w:val="1"/>
      <w:marLeft w:val="0"/>
      <w:marRight w:val="0"/>
      <w:marTop w:val="0"/>
      <w:marBottom w:val="0"/>
      <w:divBdr>
        <w:top w:val="none" w:sz="0" w:space="0" w:color="auto"/>
        <w:left w:val="none" w:sz="0" w:space="0" w:color="auto"/>
        <w:bottom w:val="none" w:sz="0" w:space="0" w:color="auto"/>
        <w:right w:val="none" w:sz="0" w:space="0" w:color="auto"/>
      </w:divBdr>
    </w:div>
    <w:div w:id="1585644814">
      <w:bodyDiv w:val="1"/>
      <w:marLeft w:val="0"/>
      <w:marRight w:val="0"/>
      <w:marTop w:val="0"/>
      <w:marBottom w:val="0"/>
      <w:divBdr>
        <w:top w:val="none" w:sz="0" w:space="0" w:color="auto"/>
        <w:left w:val="none" w:sz="0" w:space="0" w:color="auto"/>
        <w:bottom w:val="none" w:sz="0" w:space="0" w:color="auto"/>
        <w:right w:val="none" w:sz="0" w:space="0" w:color="auto"/>
      </w:divBdr>
    </w:div>
    <w:div w:id="1586304618">
      <w:bodyDiv w:val="1"/>
      <w:marLeft w:val="0"/>
      <w:marRight w:val="0"/>
      <w:marTop w:val="0"/>
      <w:marBottom w:val="0"/>
      <w:divBdr>
        <w:top w:val="none" w:sz="0" w:space="0" w:color="auto"/>
        <w:left w:val="none" w:sz="0" w:space="0" w:color="auto"/>
        <w:bottom w:val="none" w:sz="0" w:space="0" w:color="auto"/>
        <w:right w:val="none" w:sz="0" w:space="0" w:color="auto"/>
      </w:divBdr>
    </w:div>
    <w:div w:id="1586568370">
      <w:bodyDiv w:val="1"/>
      <w:marLeft w:val="0"/>
      <w:marRight w:val="0"/>
      <w:marTop w:val="0"/>
      <w:marBottom w:val="0"/>
      <w:divBdr>
        <w:top w:val="none" w:sz="0" w:space="0" w:color="auto"/>
        <w:left w:val="none" w:sz="0" w:space="0" w:color="auto"/>
        <w:bottom w:val="none" w:sz="0" w:space="0" w:color="auto"/>
        <w:right w:val="none" w:sz="0" w:space="0" w:color="auto"/>
      </w:divBdr>
    </w:div>
    <w:div w:id="1586650601">
      <w:bodyDiv w:val="1"/>
      <w:marLeft w:val="0"/>
      <w:marRight w:val="0"/>
      <w:marTop w:val="0"/>
      <w:marBottom w:val="0"/>
      <w:divBdr>
        <w:top w:val="none" w:sz="0" w:space="0" w:color="auto"/>
        <w:left w:val="none" w:sz="0" w:space="0" w:color="auto"/>
        <w:bottom w:val="none" w:sz="0" w:space="0" w:color="auto"/>
        <w:right w:val="none" w:sz="0" w:space="0" w:color="auto"/>
      </w:divBdr>
    </w:div>
    <w:div w:id="1586723338">
      <w:bodyDiv w:val="1"/>
      <w:marLeft w:val="0"/>
      <w:marRight w:val="0"/>
      <w:marTop w:val="0"/>
      <w:marBottom w:val="0"/>
      <w:divBdr>
        <w:top w:val="none" w:sz="0" w:space="0" w:color="auto"/>
        <w:left w:val="none" w:sz="0" w:space="0" w:color="auto"/>
        <w:bottom w:val="none" w:sz="0" w:space="0" w:color="auto"/>
        <w:right w:val="none" w:sz="0" w:space="0" w:color="auto"/>
      </w:divBdr>
    </w:div>
    <w:div w:id="1587301539">
      <w:bodyDiv w:val="1"/>
      <w:marLeft w:val="0"/>
      <w:marRight w:val="0"/>
      <w:marTop w:val="0"/>
      <w:marBottom w:val="0"/>
      <w:divBdr>
        <w:top w:val="none" w:sz="0" w:space="0" w:color="auto"/>
        <w:left w:val="none" w:sz="0" w:space="0" w:color="auto"/>
        <w:bottom w:val="none" w:sz="0" w:space="0" w:color="auto"/>
        <w:right w:val="none" w:sz="0" w:space="0" w:color="auto"/>
      </w:divBdr>
    </w:div>
    <w:div w:id="1587374887">
      <w:bodyDiv w:val="1"/>
      <w:marLeft w:val="0"/>
      <w:marRight w:val="0"/>
      <w:marTop w:val="0"/>
      <w:marBottom w:val="0"/>
      <w:divBdr>
        <w:top w:val="none" w:sz="0" w:space="0" w:color="auto"/>
        <w:left w:val="none" w:sz="0" w:space="0" w:color="auto"/>
        <w:bottom w:val="none" w:sz="0" w:space="0" w:color="auto"/>
        <w:right w:val="none" w:sz="0" w:space="0" w:color="auto"/>
      </w:divBdr>
    </w:div>
    <w:div w:id="1587610571">
      <w:bodyDiv w:val="1"/>
      <w:marLeft w:val="0"/>
      <w:marRight w:val="0"/>
      <w:marTop w:val="0"/>
      <w:marBottom w:val="0"/>
      <w:divBdr>
        <w:top w:val="none" w:sz="0" w:space="0" w:color="auto"/>
        <w:left w:val="none" w:sz="0" w:space="0" w:color="auto"/>
        <w:bottom w:val="none" w:sz="0" w:space="0" w:color="auto"/>
        <w:right w:val="none" w:sz="0" w:space="0" w:color="auto"/>
      </w:divBdr>
    </w:div>
    <w:div w:id="1587688003">
      <w:bodyDiv w:val="1"/>
      <w:marLeft w:val="0"/>
      <w:marRight w:val="0"/>
      <w:marTop w:val="0"/>
      <w:marBottom w:val="0"/>
      <w:divBdr>
        <w:top w:val="none" w:sz="0" w:space="0" w:color="auto"/>
        <w:left w:val="none" w:sz="0" w:space="0" w:color="auto"/>
        <w:bottom w:val="none" w:sz="0" w:space="0" w:color="auto"/>
        <w:right w:val="none" w:sz="0" w:space="0" w:color="auto"/>
      </w:divBdr>
    </w:div>
    <w:div w:id="1587691119">
      <w:bodyDiv w:val="1"/>
      <w:marLeft w:val="0"/>
      <w:marRight w:val="0"/>
      <w:marTop w:val="0"/>
      <w:marBottom w:val="0"/>
      <w:divBdr>
        <w:top w:val="none" w:sz="0" w:space="0" w:color="auto"/>
        <w:left w:val="none" w:sz="0" w:space="0" w:color="auto"/>
        <w:bottom w:val="none" w:sz="0" w:space="0" w:color="auto"/>
        <w:right w:val="none" w:sz="0" w:space="0" w:color="auto"/>
      </w:divBdr>
    </w:div>
    <w:div w:id="1588071803">
      <w:bodyDiv w:val="1"/>
      <w:marLeft w:val="0"/>
      <w:marRight w:val="0"/>
      <w:marTop w:val="0"/>
      <w:marBottom w:val="0"/>
      <w:divBdr>
        <w:top w:val="none" w:sz="0" w:space="0" w:color="auto"/>
        <w:left w:val="none" w:sz="0" w:space="0" w:color="auto"/>
        <w:bottom w:val="none" w:sz="0" w:space="0" w:color="auto"/>
        <w:right w:val="none" w:sz="0" w:space="0" w:color="auto"/>
      </w:divBdr>
    </w:div>
    <w:div w:id="1588079777">
      <w:bodyDiv w:val="1"/>
      <w:marLeft w:val="0"/>
      <w:marRight w:val="0"/>
      <w:marTop w:val="0"/>
      <w:marBottom w:val="0"/>
      <w:divBdr>
        <w:top w:val="none" w:sz="0" w:space="0" w:color="auto"/>
        <w:left w:val="none" w:sz="0" w:space="0" w:color="auto"/>
        <w:bottom w:val="none" w:sz="0" w:space="0" w:color="auto"/>
        <w:right w:val="none" w:sz="0" w:space="0" w:color="auto"/>
      </w:divBdr>
    </w:div>
    <w:div w:id="1588420825">
      <w:bodyDiv w:val="1"/>
      <w:marLeft w:val="0"/>
      <w:marRight w:val="0"/>
      <w:marTop w:val="0"/>
      <w:marBottom w:val="0"/>
      <w:divBdr>
        <w:top w:val="none" w:sz="0" w:space="0" w:color="auto"/>
        <w:left w:val="none" w:sz="0" w:space="0" w:color="auto"/>
        <w:bottom w:val="none" w:sz="0" w:space="0" w:color="auto"/>
        <w:right w:val="none" w:sz="0" w:space="0" w:color="auto"/>
      </w:divBdr>
    </w:div>
    <w:div w:id="1588688867">
      <w:bodyDiv w:val="1"/>
      <w:marLeft w:val="0"/>
      <w:marRight w:val="0"/>
      <w:marTop w:val="0"/>
      <w:marBottom w:val="0"/>
      <w:divBdr>
        <w:top w:val="none" w:sz="0" w:space="0" w:color="auto"/>
        <w:left w:val="none" w:sz="0" w:space="0" w:color="auto"/>
        <w:bottom w:val="none" w:sz="0" w:space="0" w:color="auto"/>
        <w:right w:val="none" w:sz="0" w:space="0" w:color="auto"/>
      </w:divBdr>
    </w:div>
    <w:div w:id="1589119725">
      <w:bodyDiv w:val="1"/>
      <w:marLeft w:val="0"/>
      <w:marRight w:val="0"/>
      <w:marTop w:val="0"/>
      <w:marBottom w:val="0"/>
      <w:divBdr>
        <w:top w:val="none" w:sz="0" w:space="0" w:color="auto"/>
        <w:left w:val="none" w:sz="0" w:space="0" w:color="auto"/>
        <w:bottom w:val="none" w:sz="0" w:space="0" w:color="auto"/>
        <w:right w:val="none" w:sz="0" w:space="0" w:color="auto"/>
      </w:divBdr>
    </w:div>
    <w:div w:id="1589343010">
      <w:bodyDiv w:val="1"/>
      <w:marLeft w:val="0"/>
      <w:marRight w:val="0"/>
      <w:marTop w:val="0"/>
      <w:marBottom w:val="0"/>
      <w:divBdr>
        <w:top w:val="none" w:sz="0" w:space="0" w:color="auto"/>
        <w:left w:val="none" w:sz="0" w:space="0" w:color="auto"/>
        <w:bottom w:val="none" w:sz="0" w:space="0" w:color="auto"/>
        <w:right w:val="none" w:sz="0" w:space="0" w:color="auto"/>
      </w:divBdr>
    </w:div>
    <w:div w:id="1589458128">
      <w:bodyDiv w:val="1"/>
      <w:marLeft w:val="0"/>
      <w:marRight w:val="0"/>
      <w:marTop w:val="0"/>
      <w:marBottom w:val="0"/>
      <w:divBdr>
        <w:top w:val="none" w:sz="0" w:space="0" w:color="auto"/>
        <w:left w:val="none" w:sz="0" w:space="0" w:color="auto"/>
        <w:bottom w:val="none" w:sz="0" w:space="0" w:color="auto"/>
        <w:right w:val="none" w:sz="0" w:space="0" w:color="auto"/>
      </w:divBdr>
    </w:div>
    <w:div w:id="1589654795">
      <w:bodyDiv w:val="1"/>
      <w:marLeft w:val="0"/>
      <w:marRight w:val="0"/>
      <w:marTop w:val="0"/>
      <w:marBottom w:val="0"/>
      <w:divBdr>
        <w:top w:val="none" w:sz="0" w:space="0" w:color="auto"/>
        <w:left w:val="none" w:sz="0" w:space="0" w:color="auto"/>
        <w:bottom w:val="none" w:sz="0" w:space="0" w:color="auto"/>
        <w:right w:val="none" w:sz="0" w:space="0" w:color="auto"/>
      </w:divBdr>
    </w:div>
    <w:div w:id="1589726731">
      <w:bodyDiv w:val="1"/>
      <w:marLeft w:val="0"/>
      <w:marRight w:val="0"/>
      <w:marTop w:val="0"/>
      <w:marBottom w:val="0"/>
      <w:divBdr>
        <w:top w:val="none" w:sz="0" w:space="0" w:color="auto"/>
        <w:left w:val="none" w:sz="0" w:space="0" w:color="auto"/>
        <w:bottom w:val="none" w:sz="0" w:space="0" w:color="auto"/>
        <w:right w:val="none" w:sz="0" w:space="0" w:color="auto"/>
      </w:divBdr>
    </w:div>
    <w:div w:id="1589849766">
      <w:bodyDiv w:val="1"/>
      <w:marLeft w:val="0"/>
      <w:marRight w:val="0"/>
      <w:marTop w:val="0"/>
      <w:marBottom w:val="0"/>
      <w:divBdr>
        <w:top w:val="none" w:sz="0" w:space="0" w:color="auto"/>
        <w:left w:val="none" w:sz="0" w:space="0" w:color="auto"/>
        <w:bottom w:val="none" w:sz="0" w:space="0" w:color="auto"/>
        <w:right w:val="none" w:sz="0" w:space="0" w:color="auto"/>
      </w:divBdr>
    </w:div>
    <w:div w:id="1590115626">
      <w:bodyDiv w:val="1"/>
      <w:marLeft w:val="0"/>
      <w:marRight w:val="0"/>
      <w:marTop w:val="0"/>
      <w:marBottom w:val="0"/>
      <w:divBdr>
        <w:top w:val="none" w:sz="0" w:space="0" w:color="auto"/>
        <w:left w:val="none" w:sz="0" w:space="0" w:color="auto"/>
        <w:bottom w:val="none" w:sz="0" w:space="0" w:color="auto"/>
        <w:right w:val="none" w:sz="0" w:space="0" w:color="auto"/>
      </w:divBdr>
    </w:div>
    <w:div w:id="1591156625">
      <w:bodyDiv w:val="1"/>
      <w:marLeft w:val="0"/>
      <w:marRight w:val="0"/>
      <w:marTop w:val="0"/>
      <w:marBottom w:val="0"/>
      <w:divBdr>
        <w:top w:val="none" w:sz="0" w:space="0" w:color="auto"/>
        <w:left w:val="none" w:sz="0" w:space="0" w:color="auto"/>
        <w:bottom w:val="none" w:sz="0" w:space="0" w:color="auto"/>
        <w:right w:val="none" w:sz="0" w:space="0" w:color="auto"/>
      </w:divBdr>
    </w:div>
    <w:div w:id="1591163842">
      <w:bodyDiv w:val="1"/>
      <w:marLeft w:val="0"/>
      <w:marRight w:val="0"/>
      <w:marTop w:val="0"/>
      <w:marBottom w:val="0"/>
      <w:divBdr>
        <w:top w:val="none" w:sz="0" w:space="0" w:color="auto"/>
        <w:left w:val="none" w:sz="0" w:space="0" w:color="auto"/>
        <w:bottom w:val="none" w:sz="0" w:space="0" w:color="auto"/>
        <w:right w:val="none" w:sz="0" w:space="0" w:color="auto"/>
      </w:divBdr>
    </w:div>
    <w:div w:id="1591423945">
      <w:bodyDiv w:val="1"/>
      <w:marLeft w:val="0"/>
      <w:marRight w:val="0"/>
      <w:marTop w:val="0"/>
      <w:marBottom w:val="0"/>
      <w:divBdr>
        <w:top w:val="none" w:sz="0" w:space="0" w:color="auto"/>
        <w:left w:val="none" w:sz="0" w:space="0" w:color="auto"/>
        <w:bottom w:val="none" w:sz="0" w:space="0" w:color="auto"/>
        <w:right w:val="none" w:sz="0" w:space="0" w:color="auto"/>
      </w:divBdr>
    </w:div>
    <w:div w:id="1591960663">
      <w:bodyDiv w:val="1"/>
      <w:marLeft w:val="0"/>
      <w:marRight w:val="0"/>
      <w:marTop w:val="0"/>
      <w:marBottom w:val="0"/>
      <w:divBdr>
        <w:top w:val="none" w:sz="0" w:space="0" w:color="auto"/>
        <w:left w:val="none" w:sz="0" w:space="0" w:color="auto"/>
        <w:bottom w:val="none" w:sz="0" w:space="0" w:color="auto"/>
        <w:right w:val="none" w:sz="0" w:space="0" w:color="auto"/>
      </w:divBdr>
    </w:div>
    <w:div w:id="1592004126">
      <w:bodyDiv w:val="1"/>
      <w:marLeft w:val="0"/>
      <w:marRight w:val="0"/>
      <w:marTop w:val="0"/>
      <w:marBottom w:val="0"/>
      <w:divBdr>
        <w:top w:val="none" w:sz="0" w:space="0" w:color="auto"/>
        <w:left w:val="none" w:sz="0" w:space="0" w:color="auto"/>
        <w:bottom w:val="none" w:sz="0" w:space="0" w:color="auto"/>
        <w:right w:val="none" w:sz="0" w:space="0" w:color="auto"/>
      </w:divBdr>
    </w:div>
    <w:div w:id="1592085767">
      <w:bodyDiv w:val="1"/>
      <w:marLeft w:val="0"/>
      <w:marRight w:val="0"/>
      <w:marTop w:val="0"/>
      <w:marBottom w:val="0"/>
      <w:divBdr>
        <w:top w:val="none" w:sz="0" w:space="0" w:color="auto"/>
        <w:left w:val="none" w:sz="0" w:space="0" w:color="auto"/>
        <w:bottom w:val="none" w:sz="0" w:space="0" w:color="auto"/>
        <w:right w:val="none" w:sz="0" w:space="0" w:color="auto"/>
      </w:divBdr>
    </w:div>
    <w:div w:id="1593051005">
      <w:bodyDiv w:val="1"/>
      <w:marLeft w:val="0"/>
      <w:marRight w:val="0"/>
      <w:marTop w:val="0"/>
      <w:marBottom w:val="0"/>
      <w:divBdr>
        <w:top w:val="none" w:sz="0" w:space="0" w:color="auto"/>
        <w:left w:val="none" w:sz="0" w:space="0" w:color="auto"/>
        <w:bottom w:val="none" w:sz="0" w:space="0" w:color="auto"/>
        <w:right w:val="none" w:sz="0" w:space="0" w:color="auto"/>
      </w:divBdr>
    </w:div>
    <w:div w:id="1593319779">
      <w:bodyDiv w:val="1"/>
      <w:marLeft w:val="0"/>
      <w:marRight w:val="0"/>
      <w:marTop w:val="0"/>
      <w:marBottom w:val="0"/>
      <w:divBdr>
        <w:top w:val="none" w:sz="0" w:space="0" w:color="auto"/>
        <w:left w:val="none" w:sz="0" w:space="0" w:color="auto"/>
        <w:bottom w:val="none" w:sz="0" w:space="0" w:color="auto"/>
        <w:right w:val="none" w:sz="0" w:space="0" w:color="auto"/>
      </w:divBdr>
    </w:div>
    <w:div w:id="1593781036">
      <w:bodyDiv w:val="1"/>
      <w:marLeft w:val="0"/>
      <w:marRight w:val="0"/>
      <w:marTop w:val="0"/>
      <w:marBottom w:val="0"/>
      <w:divBdr>
        <w:top w:val="none" w:sz="0" w:space="0" w:color="auto"/>
        <w:left w:val="none" w:sz="0" w:space="0" w:color="auto"/>
        <w:bottom w:val="none" w:sz="0" w:space="0" w:color="auto"/>
        <w:right w:val="none" w:sz="0" w:space="0" w:color="auto"/>
      </w:divBdr>
    </w:div>
    <w:div w:id="1594168306">
      <w:bodyDiv w:val="1"/>
      <w:marLeft w:val="0"/>
      <w:marRight w:val="0"/>
      <w:marTop w:val="0"/>
      <w:marBottom w:val="0"/>
      <w:divBdr>
        <w:top w:val="none" w:sz="0" w:space="0" w:color="auto"/>
        <w:left w:val="none" w:sz="0" w:space="0" w:color="auto"/>
        <w:bottom w:val="none" w:sz="0" w:space="0" w:color="auto"/>
        <w:right w:val="none" w:sz="0" w:space="0" w:color="auto"/>
      </w:divBdr>
    </w:div>
    <w:div w:id="1594317139">
      <w:bodyDiv w:val="1"/>
      <w:marLeft w:val="0"/>
      <w:marRight w:val="0"/>
      <w:marTop w:val="0"/>
      <w:marBottom w:val="0"/>
      <w:divBdr>
        <w:top w:val="none" w:sz="0" w:space="0" w:color="auto"/>
        <w:left w:val="none" w:sz="0" w:space="0" w:color="auto"/>
        <w:bottom w:val="none" w:sz="0" w:space="0" w:color="auto"/>
        <w:right w:val="none" w:sz="0" w:space="0" w:color="auto"/>
      </w:divBdr>
    </w:div>
    <w:div w:id="1594389271">
      <w:bodyDiv w:val="1"/>
      <w:marLeft w:val="0"/>
      <w:marRight w:val="0"/>
      <w:marTop w:val="0"/>
      <w:marBottom w:val="0"/>
      <w:divBdr>
        <w:top w:val="none" w:sz="0" w:space="0" w:color="auto"/>
        <w:left w:val="none" w:sz="0" w:space="0" w:color="auto"/>
        <w:bottom w:val="none" w:sz="0" w:space="0" w:color="auto"/>
        <w:right w:val="none" w:sz="0" w:space="0" w:color="auto"/>
      </w:divBdr>
    </w:div>
    <w:div w:id="1594557288">
      <w:bodyDiv w:val="1"/>
      <w:marLeft w:val="0"/>
      <w:marRight w:val="0"/>
      <w:marTop w:val="0"/>
      <w:marBottom w:val="0"/>
      <w:divBdr>
        <w:top w:val="none" w:sz="0" w:space="0" w:color="auto"/>
        <w:left w:val="none" w:sz="0" w:space="0" w:color="auto"/>
        <w:bottom w:val="none" w:sz="0" w:space="0" w:color="auto"/>
        <w:right w:val="none" w:sz="0" w:space="0" w:color="auto"/>
      </w:divBdr>
    </w:div>
    <w:div w:id="1594624493">
      <w:bodyDiv w:val="1"/>
      <w:marLeft w:val="0"/>
      <w:marRight w:val="0"/>
      <w:marTop w:val="0"/>
      <w:marBottom w:val="0"/>
      <w:divBdr>
        <w:top w:val="none" w:sz="0" w:space="0" w:color="auto"/>
        <w:left w:val="none" w:sz="0" w:space="0" w:color="auto"/>
        <w:bottom w:val="none" w:sz="0" w:space="0" w:color="auto"/>
        <w:right w:val="none" w:sz="0" w:space="0" w:color="auto"/>
      </w:divBdr>
    </w:div>
    <w:div w:id="1594631171">
      <w:bodyDiv w:val="1"/>
      <w:marLeft w:val="0"/>
      <w:marRight w:val="0"/>
      <w:marTop w:val="0"/>
      <w:marBottom w:val="0"/>
      <w:divBdr>
        <w:top w:val="none" w:sz="0" w:space="0" w:color="auto"/>
        <w:left w:val="none" w:sz="0" w:space="0" w:color="auto"/>
        <w:bottom w:val="none" w:sz="0" w:space="0" w:color="auto"/>
        <w:right w:val="none" w:sz="0" w:space="0" w:color="auto"/>
      </w:divBdr>
    </w:div>
    <w:div w:id="1595237357">
      <w:bodyDiv w:val="1"/>
      <w:marLeft w:val="0"/>
      <w:marRight w:val="0"/>
      <w:marTop w:val="0"/>
      <w:marBottom w:val="0"/>
      <w:divBdr>
        <w:top w:val="none" w:sz="0" w:space="0" w:color="auto"/>
        <w:left w:val="none" w:sz="0" w:space="0" w:color="auto"/>
        <w:bottom w:val="none" w:sz="0" w:space="0" w:color="auto"/>
        <w:right w:val="none" w:sz="0" w:space="0" w:color="auto"/>
      </w:divBdr>
    </w:div>
    <w:div w:id="1595241909">
      <w:bodyDiv w:val="1"/>
      <w:marLeft w:val="0"/>
      <w:marRight w:val="0"/>
      <w:marTop w:val="0"/>
      <w:marBottom w:val="0"/>
      <w:divBdr>
        <w:top w:val="none" w:sz="0" w:space="0" w:color="auto"/>
        <w:left w:val="none" w:sz="0" w:space="0" w:color="auto"/>
        <w:bottom w:val="none" w:sz="0" w:space="0" w:color="auto"/>
        <w:right w:val="none" w:sz="0" w:space="0" w:color="auto"/>
      </w:divBdr>
    </w:div>
    <w:div w:id="1595743820">
      <w:bodyDiv w:val="1"/>
      <w:marLeft w:val="0"/>
      <w:marRight w:val="0"/>
      <w:marTop w:val="0"/>
      <w:marBottom w:val="0"/>
      <w:divBdr>
        <w:top w:val="none" w:sz="0" w:space="0" w:color="auto"/>
        <w:left w:val="none" w:sz="0" w:space="0" w:color="auto"/>
        <w:bottom w:val="none" w:sz="0" w:space="0" w:color="auto"/>
        <w:right w:val="none" w:sz="0" w:space="0" w:color="auto"/>
      </w:divBdr>
    </w:div>
    <w:div w:id="1595823491">
      <w:bodyDiv w:val="1"/>
      <w:marLeft w:val="0"/>
      <w:marRight w:val="0"/>
      <w:marTop w:val="0"/>
      <w:marBottom w:val="0"/>
      <w:divBdr>
        <w:top w:val="none" w:sz="0" w:space="0" w:color="auto"/>
        <w:left w:val="none" w:sz="0" w:space="0" w:color="auto"/>
        <w:bottom w:val="none" w:sz="0" w:space="0" w:color="auto"/>
        <w:right w:val="none" w:sz="0" w:space="0" w:color="auto"/>
      </w:divBdr>
    </w:div>
    <w:div w:id="1596014448">
      <w:bodyDiv w:val="1"/>
      <w:marLeft w:val="0"/>
      <w:marRight w:val="0"/>
      <w:marTop w:val="0"/>
      <w:marBottom w:val="0"/>
      <w:divBdr>
        <w:top w:val="none" w:sz="0" w:space="0" w:color="auto"/>
        <w:left w:val="none" w:sz="0" w:space="0" w:color="auto"/>
        <w:bottom w:val="none" w:sz="0" w:space="0" w:color="auto"/>
        <w:right w:val="none" w:sz="0" w:space="0" w:color="auto"/>
      </w:divBdr>
    </w:div>
    <w:div w:id="1596399393">
      <w:bodyDiv w:val="1"/>
      <w:marLeft w:val="0"/>
      <w:marRight w:val="0"/>
      <w:marTop w:val="0"/>
      <w:marBottom w:val="0"/>
      <w:divBdr>
        <w:top w:val="none" w:sz="0" w:space="0" w:color="auto"/>
        <w:left w:val="none" w:sz="0" w:space="0" w:color="auto"/>
        <w:bottom w:val="none" w:sz="0" w:space="0" w:color="auto"/>
        <w:right w:val="none" w:sz="0" w:space="0" w:color="auto"/>
      </w:divBdr>
    </w:div>
    <w:div w:id="1596404264">
      <w:bodyDiv w:val="1"/>
      <w:marLeft w:val="0"/>
      <w:marRight w:val="0"/>
      <w:marTop w:val="0"/>
      <w:marBottom w:val="0"/>
      <w:divBdr>
        <w:top w:val="none" w:sz="0" w:space="0" w:color="auto"/>
        <w:left w:val="none" w:sz="0" w:space="0" w:color="auto"/>
        <w:bottom w:val="none" w:sz="0" w:space="0" w:color="auto"/>
        <w:right w:val="none" w:sz="0" w:space="0" w:color="auto"/>
      </w:divBdr>
    </w:div>
    <w:div w:id="1596473817">
      <w:bodyDiv w:val="1"/>
      <w:marLeft w:val="0"/>
      <w:marRight w:val="0"/>
      <w:marTop w:val="0"/>
      <w:marBottom w:val="0"/>
      <w:divBdr>
        <w:top w:val="none" w:sz="0" w:space="0" w:color="auto"/>
        <w:left w:val="none" w:sz="0" w:space="0" w:color="auto"/>
        <w:bottom w:val="none" w:sz="0" w:space="0" w:color="auto"/>
        <w:right w:val="none" w:sz="0" w:space="0" w:color="auto"/>
      </w:divBdr>
    </w:div>
    <w:div w:id="1596474926">
      <w:bodyDiv w:val="1"/>
      <w:marLeft w:val="0"/>
      <w:marRight w:val="0"/>
      <w:marTop w:val="0"/>
      <w:marBottom w:val="0"/>
      <w:divBdr>
        <w:top w:val="none" w:sz="0" w:space="0" w:color="auto"/>
        <w:left w:val="none" w:sz="0" w:space="0" w:color="auto"/>
        <w:bottom w:val="none" w:sz="0" w:space="0" w:color="auto"/>
        <w:right w:val="none" w:sz="0" w:space="0" w:color="auto"/>
      </w:divBdr>
    </w:div>
    <w:div w:id="1596476260">
      <w:bodyDiv w:val="1"/>
      <w:marLeft w:val="0"/>
      <w:marRight w:val="0"/>
      <w:marTop w:val="0"/>
      <w:marBottom w:val="0"/>
      <w:divBdr>
        <w:top w:val="none" w:sz="0" w:space="0" w:color="auto"/>
        <w:left w:val="none" w:sz="0" w:space="0" w:color="auto"/>
        <w:bottom w:val="none" w:sz="0" w:space="0" w:color="auto"/>
        <w:right w:val="none" w:sz="0" w:space="0" w:color="auto"/>
      </w:divBdr>
    </w:div>
    <w:div w:id="1596481193">
      <w:bodyDiv w:val="1"/>
      <w:marLeft w:val="0"/>
      <w:marRight w:val="0"/>
      <w:marTop w:val="0"/>
      <w:marBottom w:val="0"/>
      <w:divBdr>
        <w:top w:val="none" w:sz="0" w:space="0" w:color="auto"/>
        <w:left w:val="none" w:sz="0" w:space="0" w:color="auto"/>
        <w:bottom w:val="none" w:sz="0" w:space="0" w:color="auto"/>
        <w:right w:val="none" w:sz="0" w:space="0" w:color="auto"/>
      </w:divBdr>
    </w:div>
    <w:div w:id="1596597188">
      <w:bodyDiv w:val="1"/>
      <w:marLeft w:val="0"/>
      <w:marRight w:val="0"/>
      <w:marTop w:val="0"/>
      <w:marBottom w:val="0"/>
      <w:divBdr>
        <w:top w:val="none" w:sz="0" w:space="0" w:color="auto"/>
        <w:left w:val="none" w:sz="0" w:space="0" w:color="auto"/>
        <w:bottom w:val="none" w:sz="0" w:space="0" w:color="auto"/>
        <w:right w:val="none" w:sz="0" w:space="0" w:color="auto"/>
      </w:divBdr>
    </w:div>
    <w:div w:id="1597057968">
      <w:bodyDiv w:val="1"/>
      <w:marLeft w:val="0"/>
      <w:marRight w:val="0"/>
      <w:marTop w:val="0"/>
      <w:marBottom w:val="0"/>
      <w:divBdr>
        <w:top w:val="none" w:sz="0" w:space="0" w:color="auto"/>
        <w:left w:val="none" w:sz="0" w:space="0" w:color="auto"/>
        <w:bottom w:val="none" w:sz="0" w:space="0" w:color="auto"/>
        <w:right w:val="none" w:sz="0" w:space="0" w:color="auto"/>
      </w:divBdr>
    </w:div>
    <w:div w:id="1597514243">
      <w:bodyDiv w:val="1"/>
      <w:marLeft w:val="0"/>
      <w:marRight w:val="0"/>
      <w:marTop w:val="0"/>
      <w:marBottom w:val="0"/>
      <w:divBdr>
        <w:top w:val="none" w:sz="0" w:space="0" w:color="auto"/>
        <w:left w:val="none" w:sz="0" w:space="0" w:color="auto"/>
        <w:bottom w:val="none" w:sz="0" w:space="0" w:color="auto"/>
        <w:right w:val="none" w:sz="0" w:space="0" w:color="auto"/>
      </w:divBdr>
    </w:div>
    <w:div w:id="1597590081">
      <w:bodyDiv w:val="1"/>
      <w:marLeft w:val="0"/>
      <w:marRight w:val="0"/>
      <w:marTop w:val="0"/>
      <w:marBottom w:val="0"/>
      <w:divBdr>
        <w:top w:val="none" w:sz="0" w:space="0" w:color="auto"/>
        <w:left w:val="none" w:sz="0" w:space="0" w:color="auto"/>
        <w:bottom w:val="none" w:sz="0" w:space="0" w:color="auto"/>
        <w:right w:val="none" w:sz="0" w:space="0" w:color="auto"/>
      </w:divBdr>
    </w:div>
    <w:div w:id="1597859681">
      <w:bodyDiv w:val="1"/>
      <w:marLeft w:val="0"/>
      <w:marRight w:val="0"/>
      <w:marTop w:val="0"/>
      <w:marBottom w:val="0"/>
      <w:divBdr>
        <w:top w:val="none" w:sz="0" w:space="0" w:color="auto"/>
        <w:left w:val="none" w:sz="0" w:space="0" w:color="auto"/>
        <w:bottom w:val="none" w:sz="0" w:space="0" w:color="auto"/>
        <w:right w:val="none" w:sz="0" w:space="0" w:color="auto"/>
      </w:divBdr>
    </w:div>
    <w:div w:id="1598251317">
      <w:bodyDiv w:val="1"/>
      <w:marLeft w:val="0"/>
      <w:marRight w:val="0"/>
      <w:marTop w:val="0"/>
      <w:marBottom w:val="0"/>
      <w:divBdr>
        <w:top w:val="none" w:sz="0" w:space="0" w:color="auto"/>
        <w:left w:val="none" w:sz="0" w:space="0" w:color="auto"/>
        <w:bottom w:val="none" w:sz="0" w:space="0" w:color="auto"/>
        <w:right w:val="none" w:sz="0" w:space="0" w:color="auto"/>
      </w:divBdr>
    </w:div>
    <w:div w:id="1598319635">
      <w:bodyDiv w:val="1"/>
      <w:marLeft w:val="0"/>
      <w:marRight w:val="0"/>
      <w:marTop w:val="0"/>
      <w:marBottom w:val="0"/>
      <w:divBdr>
        <w:top w:val="none" w:sz="0" w:space="0" w:color="auto"/>
        <w:left w:val="none" w:sz="0" w:space="0" w:color="auto"/>
        <w:bottom w:val="none" w:sz="0" w:space="0" w:color="auto"/>
        <w:right w:val="none" w:sz="0" w:space="0" w:color="auto"/>
      </w:divBdr>
    </w:div>
    <w:div w:id="1598904983">
      <w:bodyDiv w:val="1"/>
      <w:marLeft w:val="0"/>
      <w:marRight w:val="0"/>
      <w:marTop w:val="0"/>
      <w:marBottom w:val="0"/>
      <w:divBdr>
        <w:top w:val="none" w:sz="0" w:space="0" w:color="auto"/>
        <w:left w:val="none" w:sz="0" w:space="0" w:color="auto"/>
        <w:bottom w:val="none" w:sz="0" w:space="0" w:color="auto"/>
        <w:right w:val="none" w:sz="0" w:space="0" w:color="auto"/>
      </w:divBdr>
    </w:div>
    <w:div w:id="1598906830">
      <w:bodyDiv w:val="1"/>
      <w:marLeft w:val="0"/>
      <w:marRight w:val="0"/>
      <w:marTop w:val="0"/>
      <w:marBottom w:val="0"/>
      <w:divBdr>
        <w:top w:val="none" w:sz="0" w:space="0" w:color="auto"/>
        <w:left w:val="none" w:sz="0" w:space="0" w:color="auto"/>
        <w:bottom w:val="none" w:sz="0" w:space="0" w:color="auto"/>
        <w:right w:val="none" w:sz="0" w:space="0" w:color="auto"/>
      </w:divBdr>
    </w:div>
    <w:div w:id="1599022490">
      <w:bodyDiv w:val="1"/>
      <w:marLeft w:val="0"/>
      <w:marRight w:val="0"/>
      <w:marTop w:val="0"/>
      <w:marBottom w:val="0"/>
      <w:divBdr>
        <w:top w:val="none" w:sz="0" w:space="0" w:color="auto"/>
        <w:left w:val="none" w:sz="0" w:space="0" w:color="auto"/>
        <w:bottom w:val="none" w:sz="0" w:space="0" w:color="auto"/>
        <w:right w:val="none" w:sz="0" w:space="0" w:color="auto"/>
      </w:divBdr>
    </w:div>
    <w:div w:id="1599095924">
      <w:bodyDiv w:val="1"/>
      <w:marLeft w:val="0"/>
      <w:marRight w:val="0"/>
      <w:marTop w:val="0"/>
      <w:marBottom w:val="0"/>
      <w:divBdr>
        <w:top w:val="none" w:sz="0" w:space="0" w:color="auto"/>
        <w:left w:val="none" w:sz="0" w:space="0" w:color="auto"/>
        <w:bottom w:val="none" w:sz="0" w:space="0" w:color="auto"/>
        <w:right w:val="none" w:sz="0" w:space="0" w:color="auto"/>
      </w:divBdr>
    </w:div>
    <w:div w:id="1599214020">
      <w:bodyDiv w:val="1"/>
      <w:marLeft w:val="0"/>
      <w:marRight w:val="0"/>
      <w:marTop w:val="0"/>
      <w:marBottom w:val="0"/>
      <w:divBdr>
        <w:top w:val="none" w:sz="0" w:space="0" w:color="auto"/>
        <w:left w:val="none" w:sz="0" w:space="0" w:color="auto"/>
        <w:bottom w:val="none" w:sz="0" w:space="0" w:color="auto"/>
        <w:right w:val="none" w:sz="0" w:space="0" w:color="auto"/>
      </w:divBdr>
    </w:div>
    <w:div w:id="1599216283">
      <w:bodyDiv w:val="1"/>
      <w:marLeft w:val="0"/>
      <w:marRight w:val="0"/>
      <w:marTop w:val="0"/>
      <w:marBottom w:val="0"/>
      <w:divBdr>
        <w:top w:val="none" w:sz="0" w:space="0" w:color="auto"/>
        <w:left w:val="none" w:sz="0" w:space="0" w:color="auto"/>
        <w:bottom w:val="none" w:sz="0" w:space="0" w:color="auto"/>
        <w:right w:val="none" w:sz="0" w:space="0" w:color="auto"/>
      </w:divBdr>
    </w:div>
    <w:div w:id="1599218747">
      <w:bodyDiv w:val="1"/>
      <w:marLeft w:val="0"/>
      <w:marRight w:val="0"/>
      <w:marTop w:val="0"/>
      <w:marBottom w:val="0"/>
      <w:divBdr>
        <w:top w:val="none" w:sz="0" w:space="0" w:color="auto"/>
        <w:left w:val="none" w:sz="0" w:space="0" w:color="auto"/>
        <w:bottom w:val="none" w:sz="0" w:space="0" w:color="auto"/>
        <w:right w:val="none" w:sz="0" w:space="0" w:color="auto"/>
      </w:divBdr>
    </w:div>
    <w:div w:id="1599945570">
      <w:bodyDiv w:val="1"/>
      <w:marLeft w:val="0"/>
      <w:marRight w:val="0"/>
      <w:marTop w:val="0"/>
      <w:marBottom w:val="0"/>
      <w:divBdr>
        <w:top w:val="none" w:sz="0" w:space="0" w:color="auto"/>
        <w:left w:val="none" w:sz="0" w:space="0" w:color="auto"/>
        <w:bottom w:val="none" w:sz="0" w:space="0" w:color="auto"/>
        <w:right w:val="none" w:sz="0" w:space="0" w:color="auto"/>
      </w:divBdr>
    </w:div>
    <w:div w:id="1600134771">
      <w:bodyDiv w:val="1"/>
      <w:marLeft w:val="0"/>
      <w:marRight w:val="0"/>
      <w:marTop w:val="0"/>
      <w:marBottom w:val="0"/>
      <w:divBdr>
        <w:top w:val="none" w:sz="0" w:space="0" w:color="auto"/>
        <w:left w:val="none" w:sz="0" w:space="0" w:color="auto"/>
        <w:bottom w:val="none" w:sz="0" w:space="0" w:color="auto"/>
        <w:right w:val="none" w:sz="0" w:space="0" w:color="auto"/>
      </w:divBdr>
    </w:div>
    <w:div w:id="1600290125">
      <w:bodyDiv w:val="1"/>
      <w:marLeft w:val="0"/>
      <w:marRight w:val="0"/>
      <w:marTop w:val="0"/>
      <w:marBottom w:val="0"/>
      <w:divBdr>
        <w:top w:val="none" w:sz="0" w:space="0" w:color="auto"/>
        <w:left w:val="none" w:sz="0" w:space="0" w:color="auto"/>
        <w:bottom w:val="none" w:sz="0" w:space="0" w:color="auto"/>
        <w:right w:val="none" w:sz="0" w:space="0" w:color="auto"/>
      </w:divBdr>
    </w:div>
    <w:div w:id="1600485820">
      <w:bodyDiv w:val="1"/>
      <w:marLeft w:val="0"/>
      <w:marRight w:val="0"/>
      <w:marTop w:val="0"/>
      <w:marBottom w:val="0"/>
      <w:divBdr>
        <w:top w:val="none" w:sz="0" w:space="0" w:color="auto"/>
        <w:left w:val="none" w:sz="0" w:space="0" w:color="auto"/>
        <w:bottom w:val="none" w:sz="0" w:space="0" w:color="auto"/>
        <w:right w:val="none" w:sz="0" w:space="0" w:color="auto"/>
      </w:divBdr>
    </w:div>
    <w:div w:id="1601180472">
      <w:bodyDiv w:val="1"/>
      <w:marLeft w:val="0"/>
      <w:marRight w:val="0"/>
      <w:marTop w:val="0"/>
      <w:marBottom w:val="0"/>
      <w:divBdr>
        <w:top w:val="none" w:sz="0" w:space="0" w:color="auto"/>
        <w:left w:val="none" w:sz="0" w:space="0" w:color="auto"/>
        <w:bottom w:val="none" w:sz="0" w:space="0" w:color="auto"/>
        <w:right w:val="none" w:sz="0" w:space="0" w:color="auto"/>
      </w:divBdr>
    </w:div>
    <w:div w:id="1601841436">
      <w:bodyDiv w:val="1"/>
      <w:marLeft w:val="0"/>
      <w:marRight w:val="0"/>
      <w:marTop w:val="0"/>
      <w:marBottom w:val="0"/>
      <w:divBdr>
        <w:top w:val="none" w:sz="0" w:space="0" w:color="auto"/>
        <w:left w:val="none" w:sz="0" w:space="0" w:color="auto"/>
        <w:bottom w:val="none" w:sz="0" w:space="0" w:color="auto"/>
        <w:right w:val="none" w:sz="0" w:space="0" w:color="auto"/>
      </w:divBdr>
    </w:div>
    <w:div w:id="1602684780">
      <w:bodyDiv w:val="1"/>
      <w:marLeft w:val="0"/>
      <w:marRight w:val="0"/>
      <w:marTop w:val="0"/>
      <w:marBottom w:val="0"/>
      <w:divBdr>
        <w:top w:val="none" w:sz="0" w:space="0" w:color="auto"/>
        <w:left w:val="none" w:sz="0" w:space="0" w:color="auto"/>
        <w:bottom w:val="none" w:sz="0" w:space="0" w:color="auto"/>
        <w:right w:val="none" w:sz="0" w:space="0" w:color="auto"/>
      </w:divBdr>
    </w:div>
    <w:div w:id="1602831100">
      <w:bodyDiv w:val="1"/>
      <w:marLeft w:val="0"/>
      <w:marRight w:val="0"/>
      <w:marTop w:val="0"/>
      <w:marBottom w:val="0"/>
      <w:divBdr>
        <w:top w:val="none" w:sz="0" w:space="0" w:color="auto"/>
        <w:left w:val="none" w:sz="0" w:space="0" w:color="auto"/>
        <w:bottom w:val="none" w:sz="0" w:space="0" w:color="auto"/>
        <w:right w:val="none" w:sz="0" w:space="0" w:color="auto"/>
      </w:divBdr>
    </w:div>
    <w:div w:id="1603299356">
      <w:bodyDiv w:val="1"/>
      <w:marLeft w:val="0"/>
      <w:marRight w:val="0"/>
      <w:marTop w:val="0"/>
      <w:marBottom w:val="0"/>
      <w:divBdr>
        <w:top w:val="none" w:sz="0" w:space="0" w:color="auto"/>
        <w:left w:val="none" w:sz="0" w:space="0" w:color="auto"/>
        <w:bottom w:val="none" w:sz="0" w:space="0" w:color="auto"/>
        <w:right w:val="none" w:sz="0" w:space="0" w:color="auto"/>
      </w:divBdr>
    </w:div>
    <w:div w:id="1603486709">
      <w:bodyDiv w:val="1"/>
      <w:marLeft w:val="0"/>
      <w:marRight w:val="0"/>
      <w:marTop w:val="0"/>
      <w:marBottom w:val="0"/>
      <w:divBdr>
        <w:top w:val="none" w:sz="0" w:space="0" w:color="auto"/>
        <w:left w:val="none" w:sz="0" w:space="0" w:color="auto"/>
        <w:bottom w:val="none" w:sz="0" w:space="0" w:color="auto"/>
        <w:right w:val="none" w:sz="0" w:space="0" w:color="auto"/>
      </w:divBdr>
    </w:div>
    <w:div w:id="1603800213">
      <w:bodyDiv w:val="1"/>
      <w:marLeft w:val="0"/>
      <w:marRight w:val="0"/>
      <w:marTop w:val="0"/>
      <w:marBottom w:val="0"/>
      <w:divBdr>
        <w:top w:val="none" w:sz="0" w:space="0" w:color="auto"/>
        <w:left w:val="none" w:sz="0" w:space="0" w:color="auto"/>
        <w:bottom w:val="none" w:sz="0" w:space="0" w:color="auto"/>
        <w:right w:val="none" w:sz="0" w:space="0" w:color="auto"/>
      </w:divBdr>
    </w:div>
    <w:div w:id="1603803318">
      <w:bodyDiv w:val="1"/>
      <w:marLeft w:val="0"/>
      <w:marRight w:val="0"/>
      <w:marTop w:val="0"/>
      <w:marBottom w:val="0"/>
      <w:divBdr>
        <w:top w:val="none" w:sz="0" w:space="0" w:color="auto"/>
        <w:left w:val="none" w:sz="0" w:space="0" w:color="auto"/>
        <w:bottom w:val="none" w:sz="0" w:space="0" w:color="auto"/>
        <w:right w:val="none" w:sz="0" w:space="0" w:color="auto"/>
      </w:divBdr>
    </w:div>
    <w:div w:id="1604143195">
      <w:bodyDiv w:val="1"/>
      <w:marLeft w:val="0"/>
      <w:marRight w:val="0"/>
      <w:marTop w:val="0"/>
      <w:marBottom w:val="0"/>
      <w:divBdr>
        <w:top w:val="none" w:sz="0" w:space="0" w:color="auto"/>
        <w:left w:val="none" w:sz="0" w:space="0" w:color="auto"/>
        <w:bottom w:val="none" w:sz="0" w:space="0" w:color="auto"/>
        <w:right w:val="none" w:sz="0" w:space="0" w:color="auto"/>
      </w:divBdr>
    </w:div>
    <w:div w:id="1604143693">
      <w:bodyDiv w:val="1"/>
      <w:marLeft w:val="0"/>
      <w:marRight w:val="0"/>
      <w:marTop w:val="0"/>
      <w:marBottom w:val="0"/>
      <w:divBdr>
        <w:top w:val="none" w:sz="0" w:space="0" w:color="auto"/>
        <w:left w:val="none" w:sz="0" w:space="0" w:color="auto"/>
        <w:bottom w:val="none" w:sz="0" w:space="0" w:color="auto"/>
        <w:right w:val="none" w:sz="0" w:space="0" w:color="auto"/>
      </w:divBdr>
    </w:div>
    <w:div w:id="1604335205">
      <w:bodyDiv w:val="1"/>
      <w:marLeft w:val="0"/>
      <w:marRight w:val="0"/>
      <w:marTop w:val="0"/>
      <w:marBottom w:val="0"/>
      <w:divBdr>
        <w:top w:val="none" w:sz="0" w:space="0" w:color="auto"/>
        <w:left w:val="none" w:sz="0" w:space="0" w:color="auto"/>
        <w:bottom w:val="none" w:sz="0" w:space="0" w:color="auto"/>
        <w:right w:val="none" w:sz="0" w:space="0" w:color="auto"/>
      </w:divBdr>
    </w:div>
    <w:div w:id="1604339760">
      <w:bodyDiv w:val="1"/>
      <w:marLeft w:val="0"/>
      <w:marRight w:val="0"/>
      <w:marTop w:val="0"/>
      <w:marBottom w:val="0"/>
      <w:divBdr>
        <w:top w:val="none" w:sz="0" w:space="0" w:color="auto"/>
        <w:left w:val="none" w:sz="0" w:space="0" w:color="auto"/>
        <w:bottom w:val="none" w:sz="0" w:space="0" w:color="auto"/>
        <w:right w:val="none" w:sz="0" w:space="0" w:color="auto"/>
      </w:divBdr>
    </w:div>
    <w:div w:id="1604610730">
      <w:bodyDiv w:val="1"/>
      <w:marLeft w:val="0"/>
      <w:marRight w:val="0"/>
      <w:marTop w:val="0"/>
      <w:marBottom w:val="0"/>
      <w:divBdr>
        <w:top w:val="none" w:sz="0" w:space="0" w:color="auto"/>
        <w:left w:val="none" w:sz="0" w:space="0" w:color="auto"/>
        <w:bottom w:val="none" w:sz="0" w:space="0" w:color="auto"/>
        <w:right w:val="none" w:sz="0" w:space="0" w:color="auto"/>
      </w:divBdr>
    </w:div>
    <w:div w:id="1604994896">
      <w:bodyDiv w:val="1"/>
      <w:marLeft w:val="0"/>
      <w:marRight w:val="0"/>
      <w:marTop w:val="0"/>
      <w:marBottom w:val="0"/>
      <w:divBdr>
        <w:top w:val="none" w:sz="0" w:space="0" w:color="auto"/>
        <w:left w:val="none" w:sz="0" w:space="0" w:color="auto"/>
        <w:bottom w:val="none" w:sz="0" w:space="0" w:color="auto"/>
        <w:right w:val="none" w:sz="0" w:space="0" w:color="auto"/>
      </w:divBdr>
    </w:div>
    <w:div w:id="1605266273">
      <w:bodyDiv w:val="1"/>
      <w:marLeft w:val="0"/>
      <w:marRight w:val="0"/>
      <w:marTop w:val="0"/>
      <w:marBottom w:val="0"/>
      <w:divBdr>
        <w:top w:val="none" w:sz="0" w:space="0" w:color="auto"/>
        <w:left w:val="none" w:sz="0" w:space="0" w:color="auto"/>
        <w:bottom w:val="none" w:sz="0" w:space="0" w:color="auto"/>
        <w:right w:val="none" w:sz="0" w:space="0" w:color="auto"/>
      </w:divBdr>
    </w:div>
    <w:div w:id="1605380400">
      <w:bodyDiv w:val="1"/>
      <w:marLeft w:val="0"/>
      <w:marRight w:val="0"/>
      <w:marTop w:val="0"/>
      <w:marBottom w:val="0"/>
      <w:divBdr>
        <w:top w:val="none" w:sz="0" w:space="0" w:color="auto"/>
        <w:left w:val="none" w:sz="0" w:space="0" w:color="auto"/>
        <w:bottom w:val="none" w:sz="0" w:space="0" w:color="auto"/>
        <w:right w:val="none" w:sz="0" w:space="0" w:color="auto"/>
      </w:divBdr>
    </w:div>
    <w:div w:id="1605845477">
      <w:bodyDiv w:val="1"/>
      <w:marLeft w:val="0"/>
      <w:marRight w:val="0"/>
      <w:marTop w:val="0"/>
      <w:marBottom w:val="0"/>
      <w:divBdr>
        <w:top w:val="none" w:sz="0" w:space="0" w:color="auto"/>
        <w:left w:val="none" w:sz="0" w:space="0" w:color="auto"/>
        <w:bottom w:val="none" w:sz="0" w:space="0" w:color="auto"/>
        <w:right w:val="none" w:sz="0" w:space="0" w:color="auto"/>
      </w:divBdr>
    </w:div>
    <w:div w:id="1606183984">
      <w:bodyDiv w:val="1"/>
      <w:marLeft w:val="0"/>
      <w:marRight w:val="0"/>
      <w:marTop w:val="0"/>
      <w:marBottom w:val="0"/>
      <w:divBdr>
        <w:top w:val="none" w:sz="0" w:space="0" w:color="auto"/>
        <w:left w:val="none" w:sz="0" w:space="0" w:color="auto"/>
        <w:bottom w:val="none" w:sz="0" w:space="0" w:color="auto"/>
        <w:right w:val="none" w:sz="0" w:space="0" w:color="auto"/>
      </w:divBdr>
    </w:div>
    <w:div w:id="1606306016">
      <w:bodyDiv w:val="1"/>
      <w:marLeft w:val="0"/>
      <w:marRight w:val="0"/>
      <w:marTop w:val="0"/>
      <w:marBottom w:val="0"/>
      <w:divBdr>
        <w:top w:val="none" w:sz="0" w:space="0" w:color="auto"/>
        <w:left w:val="none" w:sz="0" w:space="0" w:color="auto"/>
        <w:bottom w:val="none" w:sz="0" w:space="0" w:color="auto"/>
        <w:right w:val="none" w:sz="0" w:space="0" w:color="auto"/>
      </w:divBdr>
    </w:div>
    <w:div w:id="1606380288">
      <w:bodyDiv w:val="1"/>
      <w:marLeft w:val="0"/>
      <w:marRight w:val="0"/>
      <w:marTop w:val="0"/>
      <w:marBottom w:val="0"/>
      <w:divBdr>
        <w:top w:val="none" w:sz="0" w:space="0" w:color="auto"/>
        <w:left w:val="none" w:sz="0" w:space="0" w:color="auto"/>
        <w:bottom w:val="none" w:sz="0" w:space="0" w:color="auto"/>
        <w:right w:val="none" w:sz="0" w:space="0" w:color="auto"/>
      </w:divBdr>
    </w:div>
    <w:div w:id="1606424442">
      <w:bodyDiv w:val="1"/>
      <w:marLeft w:val="0"/>
      <w:marRight w:val="0"/>
      <w:marTop w:val="0"/>
      <w:marBottom w:val="0"/>
      <w:divBdr>
        <w:top w:val="none" w:sz="0" w:space="0" w:color="auto"/>
        <w:left w:val="none" w:sz="0" w:space="0" w:color="auto"/>
        <w:bottom w:val="none" w:sz="0" w:space="0" w:color="auto"/>
        <w:right w:val="none" w:sz="0" w:space="0" w:color="auto"/>
      </w:divBdr>
    </w:div>
    <w:div w:id="1607083382">
      <w:bodyDiv w:val="1"/>
      <w:marLeft w:val="0"/>
      <w:marRight w:val="0"/>
      <w:marTop w:val="0"/>
      <w:marBottom w:val="0"/>
      <w:divBdr>
        <w:top w:val="none" w:sz="0" w:space="0" w:color="auto"/>
        <w:left w:val="none" w:sz="0" w:space="0" w:color="auto"/>
        <w:bottom w:val="none" w:sz="0" w:space="0" w:color="auto"/>
        <w:right w:val="none" w:sz="0" w:space="0" w:color="auto"/>
      </w:divBdr>
    </w:div>
    <w:div w:id="1607151401">
      <w:bodyDiv w:val="1"/>
      <w:marLeft w:val="0"/>
      <w:marRight w:val="0"/>
      <w:marTop w:val="0"/>
      <w:marBottom w:val="0"/>
      <w:divBdr>
        <w:top w:val="none" w:sz="0" w:space="0" w:color="auto"/>
        <w:left w:val="none" w:sz="0" w:space="0" w:color="auto"/>
        <w:bottom w:val="none" w:sz="0" w:space="0" w:color="auto"/>
        <w:right w:val="none" w:sz="0" w:space="0" w:color="auto"/>
      </w:divBdr>
    </w:div>
    <w:div w:id="1607612914">
      <w:bodyDiv w:val="1"/>
      <w:marLeft w:val="0"/>
      <w:marRight w:val="0"/>
      <w:marTop w:val="0"/>
      <w:marBottom w:val="0"/>
      <w:divBdr>
        <w:top w:val="none" w:sz="0" w:space="0" w:color="auto"/>
        <w:left w:val="none" w:sz="0" w:space="0" w:color="auto"/>
        <w:bottom w:val="none" w:sz="0" w:space="0" w:color="auto"/>
        <w:right w:val="none" w:sz="0" w:space="0" w:color="auto"/>
      </w:divBdr>
    </w:div>
    <w:div w:id="1607729553">
      <w:bodyDiv w:val="1"/>
      <w:marLeft w:val="0"/>
      <w:marRight w:val="0"/>
      <w:marTop w:val="0"/>
      <w:marBottom w:val="0"/>
      <w:divBdr>
        <w:top w:val="none" w:sz="0" w:space="0" w:color="auto"/>
        <w:left w:val="none" w:sz="0" w:space="0" w:color="auto"/>
        <w:bottom w:val="none" w:sz="0" w:space="0" w:color="auto"/>
        <w:right w:val="none" w:sz="0" w:space="0" w:color="auto"/>
      </w:divBdr>
    </w:div>
    <w:div w:id="1608004191">
      <w:bodyDiv w:val="1"/>
      <w:marLeft w:val="0"/>
      <w:marRight w:val="0"/>
      <w:marTop w:val="0"/>
      <w:marBottom w:val="0"/>
      <w:divBdr>
        <w:top w:val="none" w:sz="0" w:space="0" w:color="auto"/>
        <w:left w:val="none" w:sz="0" w:space="0" w:color="auto"/>
        <w:bottom w:val="none" w:sz="0" w:space="0" w:color="auto"/>
        <w:right w:val="none" w:sz="0" w:space="0" w:color="auto"/>
      </w:divBdr>
    </w:div>
    <w:div w:id="1608150256">
      <w:bodyDiv w:val="1"/>
      <w:marLeft w:val="0"/>
      <w:marRight w:val="0"/>
      <w:marTop w:val="0"/>
      <w:marBottom w:val="0"/>
      <w:divBdr>
        <w:top w:val="none" w:sz="0" w:space="0" w:color="auto"/>
        <w:left w:val="none" w:sz="0" w:space="0" w:color="auto"/>
        <w:bottom w:val="none" w:sz="0" w:space="0" w:color="auto"/>
        <w:right w:val="none" w:sz="0" w:space="0" w:color="auto"/>
      </w:divBdr>
    </w:div>
    <w:div w:id="1608729247">
      <w:bodyDiv w:val="1"/>
      <w:marLeft w:val="0"/>
      <w:marRight w:val="0"/>
      <w:marTop w:val="0"/>
      <w:marBottom w:val="0"/>
      <w:divBdr>
        <w:top w:val="none" w:sz="0" w:space="0" w:color="auto"/>
        <w:left w:val="none" w:sz="0" w:space="0" w:color="auto"/>
        <w:bottom w:val="none" w:sz="0" w:space="0" w:color="auto"/>
        <w:right w:val="none" w:sz="0" w:space="0" w:color="auto"/>
      </w:divBdr>
    </w:div>
    <w:div w:id="1608926436">
      <w:bodyDiv w:val="1"/>
      <w:marLeft w:val="0"/>
      <w:marRight w:val="0"/>
      <w:marTop w:val="0"/>
      <w:marBottom w:val="0"/>
      <w:divBdr>
        <w:top w:val="none" w:sz="0" w:space="0" w:color="auto"/>
        <w:left w:val="none" w:sz="0" w:space="0" w:color="auto"/>
        <w:bottom w:val="none" w:sz="0" w:space="0" w:color="auto"/>
        <w:right w:val="none" w:sz="0" w:space="0" w:color="auto"/>
      </w:divBdr>
    </w:div>
    <w:div w:id="1608999273">
      <w:bodyDiv w:val="1"/>
      <w:marLeft w:val="0"/>
      <w:marRight w:val="0"/>
      <w:marTop w:val="0"/>
      <w:marBottom w:val="0"/>
      <w:divBdr>
        <w:top w:val="none" w:sz="0" w:space="0" w:color="auto"/>
        <w:left w:val="none" w:sz="0" w:space="0" w:color="auto"/>
        <w:bottom w:val="none" w:sz="0" w:space="0" w:color="auto"/>
        <w:right w:val="none" w:sz="0" w:space="0" w:color="auto"/>
      </w:divBdr>
    </w:div>
    <w:div w:id="1609124192">
      <w:bodyDiv w:val="1"/>
      <w:marLeft w:val="0"/>
      <w:marRight w:val="0"/>
      <w:marTop w:val="0"/>
      <w:marBottom w:val="0"/>
      <w:divBdr>
        <w:top w:val="none" w:sz="0" w:space="0" w:color="auto"/>
        <w:left w:val="none" w:sz="0" w:space="0" w:color="auto"/>
        <w:bottom w:val="none" w:sz="0" w:space="0" w:color="auto"/>
        <w:right w:val="none" w:sz="0" w:space="0" w:color="auto"/>
      </w:divBdr>
    </w:div>
    <w:div w:id="1609196221">
      <w:bodyDiv w:val="1"/>
      <w:marLeft w:val="0"/>
      <w:marRight w:val="0"/>
      <w:marTop w:val="0"/>
      <w:marBottom w:val="0"/>
      <w:divBdr>
        <w:top w:val="none" w:sz="0" w:space="0" w:color="auto"/>
        <w:left w:val="none" w:sz="0" w:space="0" w:color="auto"/>
        <w:bottom w:val="none" w:sz="0" w:space="0" w:color="auto"/>
        <w:right w:val="none" w:sz="0" w:space="0" w:color="auto"/>
      </w:divBdr>
    </w:div>
    <w:div w:id="1609240219">
      <w:bodyDiv w:val="1"/>
      <w:marLeft w:val="0"/>
      <w:marRight w:val="0"/>
      <w:marTop w:val="0"/>
      <w:marBottom w:val="0"/>
      <w:divBdr>
        <w:top w:val="none" w:sz="0" w:space="0" w:color="auto"/>
        <w:left w:val="none" w:sz="0" w:space="0" w:color="auto"/>
        <w:bottom w:val="none" w:sz="0" w:space="0" w:color="auto"/>
        <w:right w:val="none" w:sz="0" w:space="0" w:color="auto"/>
      </w:divBdr>
    </w:div>
    <w:div w:id="1609657566">
      <w:bodyDiv w:val="1"/>
      <w:marLeft w:val="0"/>
      <w:marRight w:val="0"/>
      <w:marTop w:val="0"/>
      <w:marBottom w:val="0"/>
      <w:divBdr>
        <w:top w:val="none" w:sz="0" w:space="0" w:color="auto"/>
        <w:left w:val="none" w:sz="0" w:space="0" w:color="auto"/>
        <w:bottom w:val="none" w:sz="0" w:space="0" w:color="auto"/>
        <w:right w:val="none" w:sz="0" w:space="0" w:color="auto"/>
      </w:divBdr>
    </w:div>
    <w:div w:id="1610048466">
      <w:bodyDiv w:val="1"/>
      <w:marLeft w:val="0"/>
      <w:marRight w:val="0"/>
      <w:marTop w:val="0"/>
      <w:marBottom w:val="0"/>
      <w:divBdr>
        <w:top w:val="none" w:sz="0" w:space="0" w:color="auto"/>
        <w:left w:val="none" w:sz="0" w:space="0" w:color="auto"/>
        <w:bottom w:val="none" w:sz="0" w:space="0" w:color="auto"/>
        <w:right w:val="none" w:sz="0" w:space="0" w:color="auto"/>
      </w:divBdr>
    </w:div>
    <w:div w:id="1610703157">
      <w:bodyDiv w:val="1"/>
      <w:marLeft w:val="0"/>
      <w:marRight w:val="0"/>
      <w:marTop w:val="0"/>
      <w:marBottom w:val="0"/>
      <w:divBdr>
        <w:top w:val="none" w:sz="0" w:space="0" w:color="auto"/>
        <w:left w:val="none" w:sz="0" w:space="0" w:color="auto"/>
        <w:bottom w:val="none" w:sz="0" w:space="0" w:color="auto"/>
        <w:right w:val="none" w:sz="0" w:space="0" w:color="auto"/>
      </w:divBdr>
    </w:div>
    <w:div w:id="1611089479">
      <w:bodyDiv w:val="1"/>
      <w:marLeft w:val="0"/>
      <w:marRight w:val="0"/>
      <w:marTop w:val="0"/>
      <w:marBottom w:val="0"/>
      <w:divBdr>
        <w:top w:val="none" w:sz="0" w:space="0" w:color="auto"/>
        <w:left w:val="none" w:sz="0" w:space="0" w:color="auto"/>
        <w:bottom w:val="none" w:sz="0" w:space="0" w:color="auto"/>
        <w:right w:val="none" w:sz="0" w:space="0" w:color="auto"/>
      </w:divBdr>
    </w:div>
    <w:div w:id="1611203814">
      <w:bodyDiv w:val="1"/>
      <w:marLeft w:val="0"/>
      <w:marRight w:val="0"/>
      <w:marTop w:val="0"/>
      <w:marBottom w:val="0"/>
      <w:divBdr>
        <w:top w:val="none" w:sz="0" w:space="0" w:color="auto"/>
        <w:left w:val="none" w:sz="0" w:space="0" w:color="auto"/>
        <w:bottom w:val="none" w:sz="0" w:space="0" w:color="auto"/>
        <w:right w:val="none" w:sz="0" w:space="0" w:color="auto"/>
      </w:divBdr>
    </w:div>
    <w:div w:id="1612323382">
      <w:bodyDiv w:val="1"/>
      <w:marLeft w:val="0"/>
      <w:marRight w:val="0"/>
      <w:marTop w:val="0"/>
      <w:marBottom w:val="0"/>
      <w:divBdr>
        <w:top w:val="none" w:sz="0" w:space="0" w:color="auto"/>
        <w:left w:val="none" w:sz="0" w:space="0" w:color="auto"/>
        <w:bottom w:val="none" w:sz="0" w:space="0" w:color="auto"/>
        <w:right w:val="none" w:sz="0" w:space="0" w:color="auto"/>
      </w:divBdr>
    </w:div>
    <w:div w:id="1612468391">
      <w:bodyDiv w:val="1"/>
      <w:marLeft w:val="0"/>
      <w:marRight w:val="0"/>
      <w:marTop w:val="0"/>
      <w:marBottom w:val="0"/>
      <w:divBdr>
        <w:top w:val="none" w:sz="0" w:space="0" w:color="auto"/>
        <w:left w:val="none" w:sz="0" w:space="0" w:color="auto"/>
        <w:bottom w:val="none" w:sz="0" w:space="0" w:color="auto"/>
        <w:right w:val="none" w:sz="0" w:space="0" w:color="auto"/>
      </w:divBdr>
    </w:div>
    <w:div w:id="1612735741">
      <w:bodyDiv w:val="1"/>
      <w:marLeft w:val="0"/>
      <w:marRight w:val="0"/>
      <w:marTop w:val="0"/>
      <w:marBottom w:val="0"/>
      <w:divBdr>
        <w:top w:val="none" w:sz="0" w:space="0" w:color="auto"/>
        <w:left w:val="none" w:sz="0" w:space="0" w:color="auto"/>
        <w:bottom w:val="none" w:sz="0" w:space="0" w:color="auto"/>
        <w:right w:val="none" w:sz="0" w:space="0" w:color="auto"/>
      </w:divBdr>
    </w:div>
    <w:div w:id="1613393250">
      <w:bodyDiv w:val="1"/>
      <w:marLeft w:val="0"/>
      <w:marRight w:val="0"/>
      <w:marTop w:val="0"/>
      <w:marBottom w:val="0"/>
      <w:divBdr>
        <w:top w:val="none" w:sz="0" w:space="0" w:color="auto"/>
        <w:left w:val="none" w:sz="0" w:space="0" w:color="auto"/>
        <w:bottom w:val="none" w:sz="0" w:space="0" w:color="auto"/>
        <w:right w:val="none" w:sz="0" w:space="0" w:color="auto"/>
      </w:divBdr>
    </w:div>
    <w:div w:id="1613508586">
      <w:bodyDiv w:val="1"/>
      <w:marLeft w:val="0"/>
      <w:marRight w:val="0"/>
      <w:marTop w:val="0"/>
      <w:marBottom w:val="0"/>
      <w:divBdr>
        <w:top w:val="none" w:sz="0" w:space="0" w:color="auto"/>
        <w:left w:val="none" w:sz="0" w:space="0" w:color="auto"/>
        <w:bottom w:val="none" w:sz="0" w:space="0" w:color="auto"/>
        <w:right w:val="none" w:sz="0" w:space="0" w:color="auto"/>
      </w:divBdr>
    </w:div>
    <w:div w:id="1614166873">
      <w:bodyDiv w:val="1"/>
      <w:marLeft w:val="0"/>
      <w:marRight w:val="0"/>
      <w:marTop w:val="0"/>
      <w:marBottom w:val="0"/>
      <w:divBdr>
        <w:top w:val="none" w:sz="0" w:space="0" w:color="auto"/>
        <w:left w:val="none" w:sz="0" w:space="0" w:color="auto"/>
        <w:bottom w:val="none" w:sz="0" w:space="0" w:color="auto"/>
        <w:right w:val="none" w:sz="0" w:space="0" w:color="auto"/>
      </w:divBdr>
    </w:div>
    <w:div w:id="1614358413">
      <w:bodyDiv w:val="1"/>
      <w:marLeft w:val="0"/>
      <w:marRight w:val="0"/>
      <w:marTop w:val="0"/>
      <w:marBottom w:val="0"/>
      <w:divBdr>
        <w:top w:val="none" w:sz="0" w:space="0" w:color="auto"/>
        <w:left w:val="none" w:sz="0" w:space="0" w:color="auto"/>
        <w:bottom w:val="none" w:sz="0" w:space="0" w:color="auto"/>
        <w:right w:val="none" w:sz="0" w:space="0" w:color="auto"/>
      </w:divBdr>
    </w:div>
    <w:div w:id="1614676708">
      <w:bodyDiv w:val="1"/>
      <w:marLeft w:val="0"/>
      <w:marRight w:val="0"/>
      <w:marTop w:val="0"/>
      <w:marBottom w:val="0"/>
      <w:divBdr>
        <w:top w:val="none" w:sz="0" w:space="0" w:color="auto"/>
        <w:left w:val="none" w:sz="0" w:space="0" w:color="auto"/>
        <w:bottom w:val="none" w:sz="0" w:space="0" w:color="auto"/>
        <w:right w:val="none" w:sz="0" w:space="0" w:color="auto"/>
      </w:divBdr>
    </w:div>
    <w:div w:id="1614751172">
      <w:bodyDiv w:val="1"/>
      <w:marLeft w:val="0"/>
      <w:marRight w:val="0"/>
      <w:marTop w:val="0"/>
      <w:marBottom w:val="0"/>
      <w:divBdr>
        <w:top w:val="none" w:sz="0" w:space="0" w:color="auto"/>
        <w:left w:val="none" w:sz="0" w:space="0" w:color="auto"/>
        <w:bottom w:val="none" w:sz="0" w:space="0" w:color="auto"/>
        <w:right w:val="none" w:sz="0" w:space="0" w:color="auto"/>
      </w:divBdr>
    </w:div>
    <w:div w:id="1615282466">
      <w:bodyDiv w:val="1"/>
      <w:marLeft w:val="0"/>
      <w:marRight w:val="0"/>
      <w:marTop w:val="0"/>
      <w:marBottom w:val="0"/>
      <w:divBdr>
        <w:top w:val="none" w:sz="0" w:space="0" w:color="auto"/>
        <w:left w:val="none" w:sz="0" w:space="0" w:color="auto"/>
        <w:bottom w:val="none" w:sz="0" w:space="0" w:color="auto"/>
        <w:right w:val="none" w:sz="0" w:space="0" w:color="auto"/>
      </w:divBdr>
    </w:div>
    <w:div w:id="1615289638">
      <w:bodyDiv w:val="1"/>
      <w:marLeft w:val="0"/>
      <w:marRight w:val="0"/>
      <w:marTop w:val="0"/>
      <w:marBottom w:val="0"/>
      <w:divBdr>
        <w:top w:val="none" w:sz="0" w:space="0" w:color="auto"/>
        <w:left w:val="none" w:sz="0" w:space="0" w:color="auto"/>
        <w:bottom w:val="none" w:sz="0" w:space="0" w:color="auto"/>
        <w:right w:val="none" w:sz="0" w:space="0" w:color="auto"/>
      </w:divBdr>
    </w:div>
    <w:div w:id="1616130278">
      <w:bodyDiv w:val="1"/>
      <w:marLeft w:val="0"/>
      <w:marRight w:val="0"/>
      <w:marTop w:val="0"/>
      <w:marBottom w:val="0"/>
      <w:divBdr>
        <w:top w:val="none" w:sz="0" w:space="0" w:color="auto"/>
        <w:left w:val="none" w:sz="0" w:space="0" w:color="auto"/>
        <w:bottom w:val="none" w:sz="0" w:space="0" w:color="auto"/>
        <w:right w:val="none" w:sz="0" w:space="0" w:color="auto"/>
      </w:divBdr>
    </w:div>
    <w:div w:id="1616329629">
      <w:bodyDiv w:val="1"/>
      <w:marLeft w:val="0"/>
      <w:marRight w:val="0"/>
      <w:marTop w:val="0"/>
      <w:marBottom w:val="0"/>
      <w:divBdr>
        <w:top w:val="none" w:sz="0" w:space="0" w:color="auto"/>
        <w:left w:val="none" w:sz="0" w:space="0" w:color="auto"/>
        <w:bottom w:val="none" w:sz="0" w:space="0" w:color="auto"/>
        <w:right w:val="none" w:sz="0" w:space="0" w:color="auto"/>
      </w:divBdr>
    </w:div>
    <w:div w:id="1617642120">
      <w:bodyDiv w:val="1"/>
      <w:marLeft w:val="0"/>
      <w:marRight w:val="0"/>
      <w:marTop w:val="0"/>
      <w:marBottom w:val="0"/>
      <w:divBdr>
        <w:top w:val="none" w:sz="0" w:space="0" w:color="auto"/>
        <w:left w:val="none" w:sz="0" w:space="0" w:color="auto"/>
        <w:bottom w:val="none" w:sz="0" w:space="0" w:color="auto"/>
        <w:right w:val="none" w:sz="0" w:space="0" w:color="auto"/>
      </w:divBdr>
    </w:div>
    <w:div w:id="1617902248">
      <w:bodyDiv w:val="1"/>
      <w:marLeft w:val="0"/>
      <w:marRight w:val="0"/>
      <w:marTop w:val="0"/>
      <w:marBottom w:val="0"/>
      <w:divBdr>
        <w:top w:val="none" w:sz="0" w:space="0" w:color="auto"/>
        <w:left w:val="none" w:sz="0" w:space="0" w:color="auto"/>
        <w:bottom w:val="none" w:sz="0" w:space="0" w:color="auto"/>
        <w:right w:val="none" w:sz="0" w:space="0" w:color="auto"/>
      </w:divBdr>
    </w:div>
    <w:div w:id="1618565916">
      <w:bodyDiv w:val="1"/>
      <w:marLeft w:val="0"/>
      <w:marRight w:val="0"/>
      <w:marTop w:val="0"/>
      <w:marBottom w:val="0"/>
      <w:divBdr>
        <w:top w:val="none" w:sz="0" w:space="0" w:color="auto"/>
        <w:left w:val="none" w:sz="0" w:space="0" w:color="auto"/>
        <w:bottom w:val="none" w:sz="0" w:space="0" w:color="auto"/>
        <w:right w:val="none" w:sz="0" w:space="0" w:color="auto"/>
      </w:divBdr>
    </w:div>
    <w:div w:id="1618828878">
      <w:bodyDiv w:val="1"/>
      <w:marLeft w:val="0"/>
      <w:marRight w:val="0"/>
      <w:marTop w:val="0"/>
      <w:marBottom w:val="0"/>
      <w:divBdr>
        <w:top w:val="none" w:sz="0" w:space="0" w:color="auto"/>
        <w:left w:val="none" w:sz="0" w:space="0" w:color="auto"/>
        <w:bottom w:val="none" w:sz="0" w:space="0" w:color="auto"/>
        <w:right w:val="none" w:sz="0" w:space="0" w:color="auto"/>
      </w:divBdr>
    </w:div>
    <w:div w:id="1619289989">
      <w:bodyDiv w:val="1"/>
      <w:marLeft w:val="0"/>
      <w:marRight w:val="0"/>
      <w:marTop w:val="0"/>
      <w:marBottom w:val="0"/>
      <w:divBdr>
        <w:top w:val="none" w:sz="0" w:space="0" w:color="auto"/>
        <w:left w:val="none" w:sz="0" w:space="0" w:color="auto"/>
        <w:bottom w:val="none" w:sz="0" w:space="0" w:color="auto"/>
        <w:right w:val="none" w:sz="0" w:space="0" w:color="auto"/>
      </w:divBdr>
    </w:div>
    <w:div w:id="1619406523">
      <w:bodyDiv w:val="1"/>
      <w:marLeft w:val="0"/>
      <w:marRight w:val="0"/>
      <w:marTop w:val="0"/>
      <w:marBottom w:val="0"/>
      <w:divBdr>
        <w:top w:val="none" w:sz="0" w:space="0" w:color="auto"/>
        <w:left w:val="none" w:sz="0" w:space="0" w:color="auto"/>
        <w:bottom w:val="none" w:sz="0" w:space="0" w:color="auto"/>
        <w:right w:val="none" w:sz="0" w:space="0" w:color="auto"/>
      </w:divBdr>
    </w:div>
    <w:div w:id="1619606148">
      <w:bodyDiv w:val="1"/>
      <w:marLeft w:val="0"/>
      <w:marRight w:val="0"/>
      <w:marTop w:val="0"/>
      <w:marBottom w:val="0"/>
      <w:divBdr>
        <w:top w:val="none" w:sz="0" w:space="0" w:color="auto"/>
        <w:left w:val="none" w:sz="0" w:space="0" w:color="auto"/>
        <w:bottom w:val="none" w:sz="0" w:space="0" w:color="auto"/>
        <w:right w:val="none" w:sz="0" w:space="0" w:color="auto"/>
      </w:divBdr>
    </w:div>
    <w:div w:id="1619797385">
      <w:bodyDiv w:val="1"/>
      <w:marLeft w:val="0"/>
      <w:marRight w:val="0"/>
      <w:marTop w:val="0"/>
      <w:marBottom w:val="0"/>
      <w:divBdr>
        <w:top w:val="none" w:sz="0" w:space="0" w:color="auto"/>
        <w:left w:val="none" w:sz="0" w:space="0" w:color="auto"/>
        <w:bottom w:val="none" w:sz="0" w:space="0" w:color="auto"/>
        <w:right w:val="none" w:sz="0" w:space="0" w:color="auto"/>
      </w:divBdr>
    </w:div>
    <w:div w:id="1619875155">
      <w:bodyDiv w:val="1"/>
      <w:marLeft w:val="0"/>
      <w:marRight w:val="0"/>
      <w:marTop w:val="0"/>
      <w:marBottom w:val="0"/>
      <w:divBdr>
        <w:top w:val="none" w:sz="0" w:space="0" w:color="auto"/>
        <w:left w:val="none" w:sz="0" w:space="0" w:color="auto"/>
        <w:bottom w:val="none" w:sz="0" w:space="0" w:color="auto"/>
        <w:right w:val="none" w:sz="0" w:space="0" w:color="auto"/>
      </w:divBdr>
    </w:div>
    <w:div w:id="1620070110">
      <w:bodyDiv w:val="1"/>
      <w:marLeft w:val="0"/>
      <w:marRight w:val="0"/>
      <w:marTop w:val="0"/>
      <w:marBottom w:val="0"/>
      <w:divBdr>
        <w:top w:val="none" w:sz="0" w:space="0" w:color="auto"/>
        <w:left w:val="none" w:sz="0" w:space="0" w:color="auto"/>
        <w:bottom w:val="none" w:sz="0" w:space="0" w:color="auto"/>
        <w:right w:val="none" w:sz="0" w:space="0" w:color="auto"/>
      </w:divBdr>
    </w:div>
    <w:div w:id="1620257166">
      <w:bodyDiv w:val="1"/>
      <w:marLeft w:val="0"/>
      <w:marRight w:val="0"/>
      <w:marTop w:val="0"/>
      <w:marBottom w:val="0"/>
      <w:divBdr>
        <w:top w:val="none" w:sz="0" w:space="0" w:color="auto"/>
        <w:left w:val="none" w:sz="0" w:space="0" w:color="auto"/>
        <w:bottom w:val="none" w:sz="0" w:space="0" w:color="auto"/>
        <w:right w:val="none" w:sz="0" w:space="0" w:color="auto"/>
      </w:divBdr>
    </w:div>
    <w:div w:id="1620523469">
      <w:bodyDiv w:val="1"/>
      <w:marLeft w:val="0"/>
      <w:marRight w:val="0"/>
      <w:marTop w:val="0"/>
      <w:marBottom w:val="0"/>
      <w:divBdr>
        <w:top w:val="none" w:sz="0" w:space="0" w:color="auto"/>
        <w:left w:val="none" w:sz="0" w:space="0" w:color="auto"/>
        <w:bottom w:val="none" w:sz="0" w:space="0" w:color="auto"/>
        <w:right w:val="none" w:sz="0" w:space="0" w:color="auto"/>
      </w:divBdr>
    </w:div>
    <w:div w:id="1620911378">
      <w:bodyDiv w:val="1"/>
      <w:marLeft w:val="0"/>
      <w:marRight w:val="0"/>
      <w:marTop w:val="0"/>
      <w:marBottom w:val="0"/>
      <w:divBdr>
        <w:top w:val="none" w:sz="0" w:space="0" w:color="auto"/>
        <w:left w:val="none" w:sz="0" w:space="0" w:color="auto"/>
        <w:bottom w:val="none" w:sz="0" w:space="0" w:color="auto"/>
        <w:right w:val="none" w:sz="0" w:space="0" w:color="auto"/>
      </w:divBdr>
    </w:div>
    <w:div w:id="1621491945">
      <w:bodyDiv w:val="1"/>
      <w:marLeft w:val="0"/>
      <w:marRight w:val="0"/>
      <w:marTop w:val="0"/>
      <w:marBottom w:val="0"/>
      <w:divBdr>
        <w:top w:val="none" w:sz="0" w:space="0" w:color="auto"/>
        <w:left w:val="none" w:sz="0" w:space="0" w:color="auto"/>
        <w:bottom w:val="none" w:sz="0" w:space="0" w:color="auto"/>
        <w:right w:val="none" w:sz="0" w:space="0" w:color="auto"/>
      </w:divBdr>
    </w:div>
    <w:div w:id="1621570729">
      <w:bodyDiv w:val="1"/>
      <w:marLeft w:val="0"/>
      <w:marRight w:val="0"/>
      <w:marTop w:val="0"/>
      <w:marBottom w:val="0"/>
      <w:divBdr>
        <w:top w:val="none" w:sz="0" w:space="0" w:color="auto"/>
        <w:left w:val="none" w:sz="0" w:space="0" w:color="auto"/>
        <w:bottom w:val="none" w:sz="0" w:space="0" w:color="auto"/>
        <w:right w:val="none" w:sz="0" w:space="0" w:color="auto"/>
      </w:divBdr>
    </w:div>
    <w:div w:id="1621913896">
      <w:bodyDiv w:val="1"/>
      <w:marLeft w:val="0"/>
      <w:marRight w:val="0"/>
      <w:marTop w:val="0"/>
      <w:marBottom w:val="0"/>
      <w:divBdr>
        <w:top w:val="none" w:sz="0" w:space="0" w:color="auto"/>
        <w:left w:val="none" w:sz="0" w:space="0" w:color="auto"/>
        <w:bottom w:val="none" w:sz="0" w:space="0" w:color="auto"/>
        <w:right w:val="none" w:sz="0" w:space="0" w:color="auto"/>
      </w:divBdr>
    </w:div>
    <w:div w:id="1622223484">
      <w:bodyDiv w:val="1"/>
      <w:marLeft w:val="0"/>
      <w:marRight w:val="0"/>
      <w:marTop w:val="0"/>
      <w:marBottom w:val="0"/>
      <w:divBdr>
        <w:top w:val="none" w:sz="0" w:space="0" w:color="auto"/>
        <w:left w:val="none" w:sz="0" w:space="0" w:color="auto"/>
        <w:bottom w:val="none" w:sz="0" w:space="0" w:color="auto"/>
        <w:right w:val="none" w:sz="0" w:space="0" w:color="auto"/>
      </w:divBdr>
    </w:div>
    <w:div w:id="1622301065">
      <w:bodyDiv w:val="1"/>
      <w:marLeft w:val="0"/>
      <w:marRight w:val="0"/>
      <w:marTop w:val="0"/>
      <w:marBottom w:val="0"/>
      <w:divBdr>
        <w:top w:val="none" w:sz="0" w:space="0" w:color="auto"/>
        <w:left w:val="none" w:sz="0" w:space="0" w:color="auto"/>
        <w:bottom w:val="none" w:sz="0" w:space="0" w:color="auto"/>
        <w:right w:val="none" w:sz="0" w:space="0" w:color="auto"/>
      </w:divBdr>
    </w:div>
    <w:div w:id="1623220035">
      <w:bodyDiv w:val="1"/>
      <w:marLeft w:val="0"/>
      <w:marRight w:val="0"/>
      <w:marTop w:val="0"/>
      <w:marBottom w:val="0"/>
      <w:divBdr>
        <w:top w:val="none" w:sz="0" w:space="0" w:color="auto"/>
        <w:left w:val="none" w:sz="0" w:space="0" w:color="auto"/>
        <w:bottom w:val="none" w:sz="0" w:space="0" w:color="auto"/>
        <w:right w:val="none" w:sz="0" w:space="0" w:color="auto"/>
      </w:divBdr>
    </w:div>
    <w:div w:id="1623222051">
      <w:bodyDiv w:val="1"/>
      <w:marLeft w:val="0"/>
      <w:marRight w:val="0"/>
      <w:marTop w:val="0"/>
      <w:marBottom w:val="0"/>
      <w:divBdr>
        <w:top w:val="none" w:sz="0" w:space="0" w:color="auto"/>
        <w:left w:val="none" w:sz="0" w:space="0" w:color="auto"/>
        <w:bottom w:val="none" w:sz="0" w:space="0" w:color="auto"/>
        <w:right w:val="none" w:sz="0" w:space="0" w:color="auto"/>
      </w:divBdr>
    </w:div>
    <w:div w:id="1623536332">
      <w:bodyDiv w:val="1"/>
      <w:marLeft w:val="0"/>
      <w:marRight w:val="0"/>
      <w:marTop w:val="0"/>
      <w:marBottom w:val="0"/>
      <w:divBdr>
        <w:top w:val="none" w:sz="0" w:space="0" w:color="auto"/>
        <w:left w:val="none" w:sz="0" w:space="0" w:color="auto"/>
        <w:bottom w:val="none" w:sz="0" w:space="0" w:color="auto"/>
        <w:right w:val="none" w:sz="0" w:space="0" w:color="auto"/>
      </w:divBdr>
    </w:div>
    <w:div w:id="1623728543">
      <w:bodyDiv w:val="1"/>
      <w:marLeft w:val="0"/>
      <w:marRight w:val="0"/>
      <w:marTop w:val="0"/>
      <w:marBottom w:val="0"/>
      <w:divBdr>
        <w:top w:val="none" w:sz="0" w:space="0" w:color="auto"/>
        <w:left w:val="none" w:sz="0" w:space="0" w:color="auto"/>
        <w:bottom w:val="none" w:sz="0" w:space="0" w:color="auto"/>
        <w:right w:val="none" w:sz="0" w:space="0" w:color="auto"/>
      </w:divBdr>
    </w:div>
    <w:div w:id="1623882740">
      <w:bodyDiv w:val="1"/>
      <w:marLeft w:val="0"/>
      <w:marRight w:val="0"/>
      <w:marTop w:val="0"/>
      <w:marBottom w:val="0"/>
      <w:divBdr>
        <w:top w:val="none" w:sz="0" w:space="0" w:color="auto"/>
        <w:left w:val="none" w:sz="0" w:space="0" w:color="auto"/>
        <w:bottom w:val="none" w:sz="0" w:space="0" w:color="auto"/>
        <w:right w:val="none" w:sz="0" w:space="0" w:color="auto"/>
      </w:divBdr>
    </w:div>
    <w:div w:id="1623993245">
      <w:bodyDiv w:val="1"/>
      <w:marLeft w:val="0"/>
      <w:marRight w:val="0"/>
      <w:marTop w:val="0"/>
      <w:marBottom w:val="0"/>
      <w:divBdr>
        <w:top w:val="none" w:sz="0" w:space="0" w:color="auto"/>
        <w:left w:val="none" w:sz="0" w:space="0" w:color="auto"/>
        <w:bottom w:val="none" w:sz="0" w:space="0" w:color="auto"/>
        <w:right w:val="none" w:sz="0" w:space="0" w:color="auto"/>
      </w:divBdr>
    </w:div>
    <w:div w:id="1624383836">
      <w:bodyDiv w:val="1"/>
      <w:marLeft w:val="0"/>
      <w:marRight w:val="0"/>
      <w:marTop w:val="0"/>
      <w:marBottom w:val="0"/>
      <w:divBdr>
        <w:top w:val="none" w:sz="0" w:space="0" w:color="auto"/>
        <w:left w:val="none" w:sz="0" w:space="0" w:color="auto"/>
        <w:bottom w:val="none" w:sz="0" w:space="0" w:color="auto"/>
        <w:right w:val="none" w:sz="0" w:space="0" w:color="auto"/>
      </w:divBdr>
    </w:div>
    <w:div w:id="1624729105">
      <w:bodyDiv w:val="1"/>
      <w:marLeft w:val="0"/>
      <w:marRight w:val="0"/>
      <w:marTop w:val="0"/>
      <w:marBottom w:val="0"/>
      <w:divBdr>
        <w:top w:val="none" w:sz="0" w:space="0" w:color="auto"/>
        <w:left w:val="none" w:sz="0" w:space="0" w:color="auto"/>
        <w:bottom w:val="none" w:sz="0" w:space="0" w:color="auto"/>
        <w:right w:val="none" w:sz="0" w:space="0" w:color="auto"/>
      </w:divBdr>
    </w:div>
    <w:div w:id="1624997323">
      <w:bodyDiv w:val="1"/>
      <w:marLeft w:val="0"/>
      <w:marRight w:val="0"/>
      <w:marTop w:val="0"/>
      <w:marBottom w:val="0"/>
      <w:divBdr>
        <w:top w:val="none" w:sz="0" w:space="0" w:color="auto"/>
        <w:left w:val="none" w:sz="0" w:space="0" w:color="auto"/>
        <w:bottom w:val="none" w:sz="0" w:space="0" w:color="auto"/>
        <w:right w:val="none" w:sz="0" w:space="0" w:color="auto"/>
      </w:divBdr>
    </w:div>
    <w:div w:id="1626036317">
      <w:bodyDiv w:val="1"/>
      <w:marLeft w:val="0"/>
      <w:marRight w:val="0"/>
      <w:marTop w:val="0"/>
      <w:marBottom w:val="0"/>
      <w:divBdr>
        <w:top w:val="none" w:sz="0" w:space="0" w:color="auto"/>
        <w:left w:val="none" w:sz="0" w:space="0" w:color="auto"/>
        <w:bottom w:val="none" w:sz="0" w:space="0" w:color="auto"/>
        <w:right w:val="none" w:sz="0" w:space="0" w:color="auto"/>
      </w:divBdr>
    </w:div>
    <w:div w:id="1626349275">
      <w:bodyDiv w:val="1"/>
      <w:marLeft w:val="0"/>
      <w:marRight w:val="0"/>
      <w:marTop w:val="0"/>
      <w:marBottom w:val="0"/>
      <w:divBdr>
        <w:top w:val="none" w:sz="0" w:space="0" w:color="auto"/>
        <w:left w:val="none" w:sz="0" w:space="0" w:color="auto"/>
        <w:bottom w:val="none" w:sz="0" w:space="0" w:color="auto"/>
        <w:right w:val="none" w:sz="0" w:space="0" w:color="auto"/>
      </w:divBdr>
    </w:div>
    <w:div w:id="1626427932">
      <w:bodyDiv w:val="1"/>
      <w:marLeft w:val="0"/>
      <w:marRight w:val="0"/>
      <w:marTop w:val="0"/>
      <w:marBottom w:val="0"/>
      <w:divBdr>
        <w:top w:val="none" w:sz="0" w:space="0" w:color="auto"/>
        <w:left w:val="none" w:sz="0" w:space="0" w:color="auto"/>
        <w:bottom w:val="none" w:sz="0" w:space="0" w:color="auto"/>
        <w:right w:val="none" w:sz="0" w:space="0" w:color="auto"/>
      </w:divBdr>
    </w:div>
    <w:div w:id="1626429072">
      <w:bodyDiv w:val="1"/>
      <w:marLeft w:val="0"/>
      <w:marRight w:val="0"/>
      <w:marTop w:val="0"/>
      <w:marBottom w:val="0"/>
      <w:divBdr>
        <w:top w:val="none" w:sz="0" w:space="0" w:color="auto"/>
        <w:left w:val="none" w:sz="0" w:space="0" w:color="auto"/>
        <w:bottom w:val="none" w:sz="0" w:space="0" w:color="auto"/>
        <w:right w:val="none" w:sz="0" w:space="0" w:color="auto"/>
      </w:divBdr>
    </w:div>
    <w:div w:id="1626496960">
      <w:bodyDiv w:val="1"/>
      <w:marLeft w:val="0"/>
      <w:marRight w:val="0"/>
      <w:marTop w:val="0"/>
      <w:marBottom w:val="0"/>
      <w:divBdr>
        <w:top w:val="none" w:sz="0" w:space="0" w:color="auto"/>
        <w:left w:val="none" w:sz="0" w:space="0" w:color="auto"/>
        <w:bottom w:val="none" w:sz="0" w:space="0" w:color="auto"/>
        <w:right w:val="none" w:sz="0" w:space="0" w:color="auto"/>
      </w:divBdr>
    </w:div>
    <w:div w:id="1626882966">
      <w:bodyDiv w:val="1"/>
      <w:marLeft w:val="0"/>
      <w:marRight w:val="0"/>
      <w:marTop w:val="0"/>
      <w:marBottom w:val="0"/>
      <w:divBdr>
        <w:top w:val="none" w:sz="0" w:space="0" w:color="auto"/>
        <w:left w:val="none" w:sz="0" w:space="0" w:color="auto"/>
        <w:bottom w:val="none" w:sz="0" w:space="0" w:color="auto"/>
        <w:right w:val="none" w:sz="0" w:space="0" w:color="auto"/>
      </w:divBdr>
    </w:div>
    <w:div w:id="1627350269">
      <w:bodyDiv w:val="1"/>
      <w:marLeft w:val="0"/>
      <w:marRight w:val="0"/>
      <w:marTop w:val="0"/>
      <w:marBottom w:val="0"/>
      <w:divBdr>
        <w:top w:val="none" w:sz="0" w:space="0" w:color="auto"/>
        <w:left w:val="none" w:sz="0" w:space="0" w:color="auto"/>
        <w:bottom w:val="none" w:sz="0" w:space="0" w:color="auto"/>
        <w:right w:val="none" w:sz="0" w:space="0" w:color="auto"/>
      </w:divBdr>
    </w:div>
    <w:div w:id="1627587249">
      <w:bodyDiv w:val="1"/>
      <w:marLeft w:val="0"/>
      <w:marRight w:val="0"/>
      <w:marTop w:val="0"/>
      <w:marBottom w:val="0"/>
      <w:divBdr>
        <w:top w:val="none" w:sz="0" w:space="0" w:color="auto"/>
        <w:left w:val="none" w:sz="0" w:space="0" w:color="auto"/>
        <w:bottom w:val="none" w:sz="0" w:space="0" w:color="auto"/>
        <w:right w:val="none" w:sz="0" w:space="0" w:color="auto"/>
      </w:divBdr>
    </w:div>
    <w:div w:id="1627812716">
      <w:bodyDiv w:val="1"/>
      <w:marLeft w:val="0"/>
      <w:marRight w:val="0"/>
      <w:marTop w:val="0"/>
      <w:marBottom w:val="0"/>
      <w:divBdr>
        <w:top w:val="none" w:sz="0" w:space="0" w:color="auto"/>
        <w:left w:val="none" w:sz="0" w:space="0" w:color="auto"/>
        <w:bottom w:val="none" w:sz="0" w:space="0" w:color="auto"/>
        <w:right w:val="none" w:sz="0" w:space="0" w:color="auto"/>
      </w:divBdr>
    </w:div>
    <w:div w:id="1627926936">
      <w:bodyDiv w:val="1"/>
      <w:marLeft w:val="0"/>
      <w:marRight w:val="0"/>
      <w:marTop w:val="0"/>
      <w:marBottom w:val="0"/>
      <w:divBdr>
        <w:top w:val="none" w:sz="0" w:space="0" w:color="auto"/>
        <w:left w:val="none" w:sz="0" w:space="0" w:color="auto"/>
        <w:bottom w:val="none" w:sz="0" w:space="0" w:color="auto"/>
        <w:right w:val="none" w:sz="0" w:space="0" w:color="auto"/>
      </w:divBdr>
    </w:div>
    <w:div w:id="1628194114">
      <w:bodyDiv w:val="1"/>
      <w:marLeft w:val="0"/>
      <w:marRight w:val="0"/>
      <w:marTop w:val="0"/>
      <w:marBottom w:val="0"/>
      <w:divBdr>
        <w:top w:val="none" w:sz="0" w:space="0" w:color="auto"/>
        <w:left w:val="none" w:sz="0" w:space="0" w:color="auto"/>
        <w:bottom w:val="none" w:sz="0" w:space="0" w:color="auto"/>
        <w:right w:val="none" w:sz="0" w:space="0" w:color="auto"/>
      </w:divBdr>
    </w:div>
    <w:div w:id="1628268527">
      <w:bodyDiv w:val="1"/>
      <w:marLeft w:val="0"/>
      <w:marRight w:val="0"/>
      <w:marTop w:val="0"/>
      <w:marBottom w:val="0"/>
      <w:divBdr>
        <w:top w:val="none" w:sz="0" w:space="0" w:color="auto"/>
        <w:left w:val="none" w:sz="0" w:space="0" w:color="auto"/>
        <w:bottom w:val="none" w:sz="0" w:space="0" w:color="auto"/>
        <w:right w:val="none" w:sz="0" w:space="0" w:color="auto"/>
      </w:divBdr>
    </w:div>
    <w:div w:id="1628391092">
      <w:bodyDiv w:val="1"/>
      <w:marLeft w:val="0"/>
      <w:marRight w:val="0"/>
      <w:marTop w:val="0"/>
      <w:marBottom w:val="0"/>
      <w:divBdr>
        <w:top w:val="none" w:sz="0" w:space="0" w:color="auto"/>
        <w:left w:val="none" w:sz="0" w:space="0" w:color="auto"/>
        <w:bottom w:val="none" w:sz="0" w:space="0" w:color="auto"/>
        <w:right w:val="none" w:sz="0" w:space="0" w:color="auto"/>
      </w:divBdr>
    </w:div>
    <w:div w:id="1628584577">
      <w:bodyDiv w:val="1"/>
      <w:marLeft w:val="0"/>
      <w:marRight w:val="0"/>
      <w:marTop w:val="0"/>
      <w:marBottom w:val="0"/>
      <w:divBdr>
        <w:top w:val="none" w:sz="0" w:space="0" w:color="auto"/>
        <w:left w:val="none" w:sz="0" w:space="0" w:color="auto"/>
        <w:bottom w:val="none" w:sz="0" w:space="0" w:color="auto"/>
        <w:right w:val="none" w:sz="0" w:space="0" w:color="auto"/>
      </w:divBdr>
    </w:div>
    <w:div w:id="1629047171">
      <w:bodyDiv w:val="1"/>
      <w:marLeft w:val="0"/>
      <w:marRight w:val="0"/>
      <w:marTop w:val="0"/>
      <w:marBottom w:val="0"/>
      <w:divBdr>
        <w:top w:val="none" w:sz="0" w:space="0" w:color="auto"/>
        <w:left w:val="none" w:sz="0" w:space="0" w:color="auto"/>
        <w:bottom w:val="none" w:sz="0" w:space="0" w:color="auto"/>
        <w:right w:val="none" w:sz="0" w:space="0" w:color="auto"/>
      </w:divBdr>
    </w:div>
    <w:div w:id="1629387043">
      <w:bodyDiv w:val="1"/>
      <w:marLeft w:val="0"/>
      <w:marRight w:val="0"/>
      <w:marTop w:val="0"/>
      <w:marBottom w:val="0"/>
      <w:divBdr>
        <w:top w:val="none" w:sz="0" w:space="0" w:color="auto"/>
        <w:left w:val="none" w:sz="0" w:space="0" w:color="auto"/>
        <w:bottom w:val="none" w:sz="0" w:space="0" w:color="auto"/>
        <w:right w:val="none" w:sz="0" w:space="0" w:color="auto"/>
      </w:divBdr>
    </w:div>
    <w:div w:id="1629628762">
      <w:bodyDiv w:val="1"/>
      <w:marLeft w:val="0"/>
      <w:marRight w:val="0"/>
      <w:marTop w:val="0"/>
      <w:marBottom w:val="0"/>
      <w:divBdr>
        <w:top w:val="none" w:sz="0" w:space="0" w:color="auto"/>
        <w:left w:val="none" w:sz="0" w:space="0" w:color="auto"/>
        <w:bottom w:val="none" w:sz="0" w:space="0" w:color="auto"/>
        <w:right w:val="none" w:sz="0" w:space="0" w:color="auto"/>
      </w:divBdr>
    </w:div>
    <w:div w:id="1630011749">
      <w:bodyDiv w:val="1"/>
      <w:marLeft w:val="0"/>
      <w:marRight w:val="0"/>
      <w:marTop w:val="0"/>
      <w:marBottom w:val="0"/>
      <w:divBdr>
        <w:top w:val="none" w:sz="0" w:space="0" w:color="auto"/>
        <w:left w:val="none" w:sz="0" w:space="0" w:color="auto"/>
        <w:bottom w:val="none" w:sz="0" w:space="0" w:color="auto"/>
        <w:right w:val="none" w:sz="0" w:space="0" w:color="auto"/>
      </w:divBdr>
    </w:div>
    <w:div w:id="1630434110">
      <w:bodyDiv w:val="1"/>
      <w:marLeft w:val="0"/>
      <w:marRight w:val="0"/>
      <w:marTop w:val="0"/>
      <w:marBottom w:val="0"/>
      <w:divBdr>
        <w:top w:val="none" w:sz="0" w:space="0" w:color="auto"/>
        <w:left w:val="none" w:sz="0" w:space="0" w:color="auto"/>
        <w:bottom w:val="none" w:sz="0" w:space="0" w:color="auto"/>
        <w:right w:val="none" w:sz="0" w:space="0" w:color="auto"/>
      </w:divBdr>
    </w:div>
    <w:div w:id="1630434970">
      <w:bodyDiv w:val="1"/>
      <w:marLeft w:val="0"/>
      <w:marRight w:val="0"/>
      <w:marTop w:val="0"/>
      <w:marBottom w:val="0"/>
      <w:divBdr>
        <w:top w:val="none" w:sz="0" w:space="0" w:color="auto"/>
        <w:left w:val="none" w:sz="0" w:space="0" w:color="auto"/>
        <w:bottom w:val="none" w:sz="0" w:space="0" w:color="auto"/>
        <w:right w:val="none" w:sz="0" w:space="0" w:color="auto"/>
      </w:divBdr>
    </w:div>
    <w:div w:id="1630624914">
      <w:bodyDiv w:val="1"/>
      <w:marLeft w:val="0"/>
      <w:marRight w:val="0"/>
      <w:marTop w:val="0"/>
      <w:marBottom w:val="0"/>
      <w:divBdr>
        <w:top w:val="none" w:sz="0" w:space="0" w:color="auto"/>
        <w:left w:val="none" w:sz="0" w:space="0" w:color="auto"/>
        <w:bottom w:val="none" w:sz="0" w:space="0" w:color="auto"/>
        <w:right w:val="none" w:sz="0" w:space="0" w:color="auto"/>
      </w:divBdr>
    </w:div>
    <w:div w:id="1630667514">
      <w:bodyDiv w:val="1"/>
      <w:marLeft w:val="0"/>
      <w:marRight w:val="0"/>
      <w:marTop w:val="0"/>
      <w:marBottom w:val="0"/>
      <w:divBdr>
        <w:top w:val="none" w:sz="0" w:space="0" w:color="auto"/>
        <w:left w:val="none" w:sz="0" w:space="0" w:color="auto"/>
        <w:bottom w:val="none" w:sz="0" w:space="0" w:color="auto"/>
        <w:right w:val="none" w:sz="0" w:space="0" w:color="auto"/>
      </w:divBdr>
    </w:div>
    <w:div w:id="1630814996">
      <w:bodyDiv w:val="1"/>
      <w:marLeft w:val="0"/>
      <w:marRight w:val="0"/>
      <w:marTop w:val="0"/>
      <w:marBottom w:val="0"/>
      <w:divBdr>
        <w:top w:val="none" w:sz="0" w:space="0" w:color="auto"/>
        <w:left w:val="none" w:sz="0" w:space="0" w:color="auto"/>
        <w:bottom w:val="none" w:sz="0" w:space="0" w:color="auto"/>
        <w:right w:val="none" w:sz="0" w:space="0" w:color="auto"/>
      </w:divBdr>
    </w:div>
    <w:div w:id="1630895973">
      <w:bodyDiv w:val="1"/>
      <w:marLeft w:val="0"/>
      <w:marRight w:val="0"/>
      <w:marTop w:val="0"/>
      <w:marBottom w:val="0"/>
      <w:divBdr>
        <w:top w:val="none" w:sz="0" w:space="0" w:color="auto"/>
        <w:left w:val="none" w:sz="0" w:space="0" w:color="auto"/>
        <w:bottom w:val="none" w:sz="0" w:space="0" w:color="auto"/>
        <w:right w:val="none" w:sz="0" w:space="0" w:color="auto"/>
      </w:divBdr>
    </w:div>
    <w:div w:id="1631012240">
      <w:bodyDiv w:val="1"/>
      <w:marLeft w:val="0"/>
      <w:marRight w:val="0"/>
      <w:marTop w:val="0"/>
      <w:marBottom w:val="0"/>
      <w:divBdr>
        <w:top w:val="none" w:sz="0" w:space="0" w:color="auto"/>
        <w:left w:val="none" w:sz="0" w:space="0" w:color="auto"/>
        <w:bottom w:val="none" w:sz="0" w:space="0" w:color="auto"/>
        <w:right w:val="none" w:sz="0" w:space="0" w:color="auto"/>
      </w:divBdr>
    </w:div>
    <w:div w:id="1631016059">
      <w:bodyDiv w:val="1"/>
      <w:marLeft w:val="0"/>
      <w:marRight w:val="0"/>
      <w:marTop w:val="0"/>
      <w:marBottom w:val="0"/>
      <w:divBdr>
        <w:top w:val="none" w:sz="0" w:space="0" w:color="auto"/>
        <w:left w:val="none" w:sz="0" w:space="0" w:color="auto"/>
        <w:bottom w:val="none" w:sz="0" w:space="0" w:color="auto"/>
        <w:right w:val="none" w:sz="0" w:space="0" w:color="auto"/>
      </w:divBdr>
    </w:div>
    <w:div w:id="1631017200">
      <w:bodyDiv w:val="1"/>
      <w:marLeft w:val="0"/>
      <w:marRight w:val="0"/>
      <w:marTop w:val="0"/>
      <w:marBottom w:val="0"/>
      <w:divBdr>
        <w:top w:val="none" w:sz="0" w:space="0" w:color="auto"/>
        <w:left w:val="none" w:sz="0" w:space="0" w:color="auto"/>
        <w:bottom w:val="none" w:sz="0" w:space="0" w:color="auto"/>
        <w:right w:val="none" w:sz="0" w:space="0" w:color="auto"/>
      </w:divBdr>
    </w:div>
    <w:div w:id="1631470533">
      <w:bodyDiv w:val="1"/>
      <w:marLeft w:val="0"/>
      <w:marRight w:val="0"/>
      <w:marTop w:val="0"/>
      <w:marBottom w:val="0"/>
      <w:divBdr>
        <w:top w:val="none" w:sz="0" w:space="0" w:color="auto"/>
        <w:left w:val="none" w:sz="0" w:space="0" w:color="auto"/>
        <w:bottom w:val="none" w:sz="0" w:space="0" w:color="auto"/>
        <w:right w:val="none" w:sz="0" w:space="0" w:color="auto"/>
      </w:divBdr>
    </w:div>
    <w:div w:id="1631473188">
      <w:bodyDiv w:val="1"/>
      <w:marLeft w:val="0"/>
      <w:marRight w:val="0"/>
      <w:marTop w:val="0"/>
      <w:marBottom w:val="0"/>
      <w:divBdr>
        <w:top w:val="none" w:sz="0" w:space="0" w:color="auto"/>
        <w:left w:val="none" w:sz="0" w:space="0" w:color="auto"/>
        <w:bottom w:val="none" w:sz="0" w:space="0" w:color="auto"/>
        <w:right w:val="none" w:sz="0" w:space="0" w:color="auto"/>
      </w:divBdr>
    </w:div>
    <w:div w:id="1631547408">
      <w:bodyDiv w:val="1"/>
      <w:marLeft w:val="0"/>
      <w:marRight w:val="0"/>
      <w:marTop w:val="0"/>
      <w:marBottom w:val="0"/>
      <w:divBdr>
        <w:top w:val="none" w:sz="0" w:space="0" w:color="auto"/>
        <w:left w:val="none" w:sz="0" w:space="0" w:color="auto"/>
        <w:bottom w:val="none" w:sz="0" w:space="0" w:color="auto"/>
        <w:right w:val="none" w:sz="0" w:space="0" w:color="auto"/>
      </w:divBdr>
    </w:div>
    <w:div w:id="1631591081">
      <w:bodyDiv w:val="1"/>
      <w:marLeft w:val="0"/>
      <w:marRight w:val="0"/>
      <w:marTop w:val="0"/>
      <w:marBottom w:val="0"/>
      <w:divBdr>
        <w:top w:val="none" w:sz="0" w:space="0" w:color="auto"/>
        <w:left w:val="none" w:sz="0" w:space="0" w:color="auto"/>
        <w:bottom w:val="none" w:sz="0" w:space="0" w:color="auto"/>
        <w:right w:val="none" w:sz="0" w:space="0" w:color="auto"/>
      </w:divBdr>
    </w:div>
    <w:div w:id="1631784768">
      <w:bodyDiv w:val="1"/>
      <w:marLeft w:val="0"/>
      <w:marRight w:val="0"/>
      <w:marTop w:val="0"/>
      <w:marBottom w:val="0"/>
      <w:divBdr>
        <w:top w:val="none" w:sz="0" w:space="0" w:color="auto"/>
        <w:left w:val="none" w:sz="0" w:space="0" w:color="auto"/>
        <w:bottom w:val="none" w:sz="0" w:space="0" w:color="auto"/>
        <w:right w:val="none" w:sz="0" w:space="0" w:color="auto"/>
      </w:divBdr>
    </w:div>
    <w:div w:id="1632049834">
      <w:bodyDiv w:val="1"/>
      <w:marLeft w:val="0"/>
      <w:marRight w:val="0"/>
      <w:marTop w:val="0"/>
      <w:marBottom w:val="0"/>
      <w:divBdr>
        <w:top w:val="none" w:sz="0" w:space="0" w:color="auto"/>
        <w:left w:val="none" w:sz="0" w:space="0" w:color="auto"/>
        <w:bottom w:val="none" w:sz="0" w:space="0" w:color="auto"/>
        <w:right w:val="none" w:sz="0" w:space="0" w:color="auto"/>
      </w:divBdr>
    </w:div>
    <w:div w:id="1632054507">
      <w:bodyDiv w:val="1"/>
      <w:marLeft w:val="0"/>
      <w:marRight w:val="0"/>
      <w:marTop w:val="0"/>
      <w:marBottom w:val="0"/>
      <w:divBdr>
        <w:top w:val="none" w:sz="0" w:space="0" w:color="auto"/>
        <w:left w:val="none" w:sz="0" w:space="0" w:color="auto"/>
        <w:bottom w:val="none" w:sz="0" w:space="0" w:color="auto"/>
        <w:right w:val="none" w:sz="0" w:space="0" w:color="auto"/>
      </w:divBdr>
    </w:div>
    <w:div w:id="1632517678">
      <w:bodyDiv w:val="1"/>
      <w:marLeft w:val="0"/>
      <w:marRight w:val="0"/>
      <w:marTop w:val="0"/>
      <w:marBottom w:val="0"/>
      <w:divBdr>
        <w:top w:val="none" w:sz="0" w:space="0" w:color="auto"/>
        <w:left w:val="none" w:sz="0" w:space="0" w:color="auto"/>
        <w:bottom w:val="none" w:sz="0" w:space="0" w:color="auto"/>
        <w:right w:val="none" w:sz="0" w:space="0" w:color="auto"/>
      </w:divBdr>
    </w:div>
    <w:div w:id="1632976484">
      <w:bodyDiv w:val="1"/>
      <w:marLeft w:val="0"/>
      <w:marRight w:val="0"/>
      <w:marTop w:val="0"/>
      <w:marBottom w:val="0"/>
      <w:divBdr>
        <w:top w:val="none" w:sz="0" w:space="0" w:color="auto"/>
        <w:left w:val="none" w:sz="0" w:space="0" w:color="auto"/>
        <w:bottom w:val="none" w:sz="0" w:space="0" w:color="auto"/>
        <w:right w:val="none" w:sz="0" w:space="0" w:color="auto"/>
      </w:divBdr>
    </w:div>
    <w:div w:id="1633360048">
      <w:bodyDiv w:val="1"/>
      <w:marLeft w:val="0"/>
      <w:marRight w:val="0"/>
      <w:marTop w:val="0"/>
      <w:marBottom w:val="0"/>
      <w:divBdr>
        <w:top w:val="none" w:sz="0" w:space="0" w:color="auto"/>
        <w:left w:val="none" w:sz="0" w:space="0" w:color="auto"/>
        <w:bottom w:val="none" w:sz="0" w:space="0" w:color="auto"/>
        <w:right w:val="none" w:sz="0" w:space="0" w:color="auto"/>
      </w:divBdr>
    </w:div>
    <w:div w:id="1633554500">
      <w:bodyDiv w:val="1"/>
      <w:marLeft w:val="0"/>
      <w:marRight w:val="0"/>
      <w:marTop w:val="0"/>
      <w:marBottom w:val="0"/>
      <w:divBdr>
        <w:top w:val="none" w:sz="0" w:space="0" w:color="auto"/>
        <w:left w:val="none" w:sz="0" w:space="0" w:color="auto"/>
        <w:bottom w:val="none" w:sz="0" w:space="0" w:color="auto"/>
        <w:right w:val="none" w:sz="0" w:space="0" w:color="auto"/>
      </w:divBdr>
    </w:div>
    <w:div w:id="1633556454">
      <w:bodyDiv w:val="1"/>
      <w:marLeft w:val="0"/>
      <w:marRight w:val="0"/>
      <w:marTop w:val="0"/>
      <w:marBottom w:val="0"/>
      <w:divBdr>
        <w:top w:val="none" w:sz="0" w:space="0" w:color="auto"/>
        <w:left w:val="none" w:sz="0" w:space="0" w:color="auto"/>
        <w:bottom w:val="none" w:sz="0" w:space="0" w:color="auto"/>
        <w:right w:val="none" w:sz="0" w:space="0" w:color="auto"/>
      </w:divBdr>
    </w:div>
    <w:div w:id="1633704706">
      <w:bodyDiv w:val="1"/>
      <w:marLeft w:val="0"/>
      <w:marRight w:val="0"/>
      <w:marTop w:val="0"/>
      <w:marBottom w:val="0"/>
      <w:divBdr>
        <w:top w:val="none" w:sz="0" w:space="0" w:color="auto"/>
        <w:left w:val="none" w:sz="0" w:space="0" w:color="auto"/>
        <w:bottom w:val="none" w:sz="0" w:space="0" w:color="auto"/>
        <w:right w:val="none" w:sz="0" w:space="0" w:color="auto"/>
      </w:divBdr>
    </w:div>
    <w:div w:id="1633710205">
      <w:bodyDiv w:val="1"/>
      <w:marLeft w:val="0"/>
      <w:marRight w:val="0"/>
      <w:marTop w:val="0"/>
      <w:marBottom w:val="0"/>
      <w:divBdr>
        <w:top w:val="none" w:sz="0" w:space="0" w:color="auto"/>
        <w:left w:val="none" w:sz="0" w:space="0" w:color="auto"/>
        <w:bottom w:val="none" w:sz="0" w:space="0" w:color="auto"/>
        <w:right w:val="none" w:sz="0" w:space="0" w:color="auto"/>
      </w:divBdr>
    </w:div>
    <w:div w:id="1633974635">
      <w:bodyDiv w:val="1"/>
      <w:marLeft w:val="0"/>
      <w:marRight w:val="0"/>
      <w:marTop w:val="0"/>
      <w:marBottom w:val="0"/>
      <w:divBdr>
        <w:top w:val="none" w:sz="0" w:space="0" w:color="auto"/>
        <w:left w:val="none" w:sz="0" w:space="0" w:color="auto"/>
        <w:bottom w:val="none" w:sz="0" w:space="0" w:color="auto"/>
        <w:right w:val="none" w:sz="0" w:space="0" w:color="auto"/>
      </w:divBdr>
    </w:div>
    <w:div w:id="1634216835">
      <w:bodyDiv w:val="1"/>
      <w:marLeft w:val="0"/>
      <w:marRight w:val="0"/>
      <w:marTop w:val="0"/>
      <w:marBottom w:val="0"/>
      <w:divBdr>
        <w:top w:val="none" w:sz="0" w:space="0" w:color="auto"/>
        <w:left w:val="none" w:sz="0" w:space="0" w:color="auto"/>
        <w:bottom w:val="none" w:sz="0" w:space="0" w:color="auto"/>
        <w:right w:val="none" w:sz="0" w:space="0" w:color="auto"/>
      </w:divBdr>
    </w:div>
    <w:div w:id="1634361574">
      <w:bodyDiv w:val="1"/>
      <w:marLeft w:val="0"/>
      <w:marRight w:val="0"/>
      <w:marTop w:val="0"/>
      <w:marBottom w:val="0"/>
      <w:divBdr>
        <w:top w:val="none" w:sz="0" w:space="0" w:color="auto"/>
        <w:left w:val="none" w:sz="0" w:space="0" w:color="auto"/>
        <w:bottom w:val="none" w:sz="0" w:space="0" w:color="auto"/>
        <w:right w:val="none" w:sz="0" w:space="0" w:color="auto"/>
      </w:divBdr>
    </w:div>
    <w:div w:id="1634409786">
      <w:bodyDiv w:val="1"/>
      <w:marLeft w:val="0"/>
      <w:marRight w:val="0"/>
      <w:marTop w:val="0"/>
      <w:marBottom w:val="0"/>
      <w:divBdr>
        <w:top w:val="none" w:sz="0" w:space="0" w:color="auto"/>
        <w:left w:val="none" w:sz="0" w:space="0" w:color="auto"/>
        <w:bottom w:val="none" w:sz="0" w:space="0" w:color="auto"/>
        <w:right w:val="none" w:sz="0" w:space="0" w:color="auto"/>
      </w:divBdr>
    </w:div>
    <w:div w:id="1634556455">
      <w:bodyDiv w:val="1"/>
      <w:marLeft w:val="0"/>
      <w:marRight w:val="0"/>
      <w:marTop w:val="0"/>
      <w:marBottom w:val="0"/>
      <w:divBdr>
        <w:top w:val="none" w:sz="0" w:space="0" w:color="auto"/>
        <w:left w:val="none" w:sz="0" w:space="0" w:color="auto"/>
        <w:bottom w:val="none" w:sz="0" w:space="0" w:color="auto"/>
        <w:right w:val="none" w:sz="0" w:space="0" w:color="auto"/>
      </w:divBdr>
    </w:div>
    <w:div w:id="1635208088">
      <w:bodyDiv w:val="1"/>
      <w:marLeft w:val="0"/>
      <w:marRight w:val="0"/>
      <w:marTop w:val="0"/>
      <w:marBottom w:val="0"/>
      <w:divBdr>
        <w:top w:val="none" w:sz="0" w:space="0" w:color="auto"/>
        <w:left w:val="none" w:sz="0" w:space="0" w:color="auto"/>
        <w:bottom w:val="none" w:sz="0" w:space="0" w:color="auto"/>
        <w:right w:val="none" w:sz="0" w:space="0" w:color="auto"/>
      </w:divBdr>
    </w:div>
    <w:div w:id="1635481531">
      <w:bodyDiv w:val="1"/>
      <w:marLeft w:val="0"/>
      <w:marRight w:val="0"/>
      <w:marTop w:val="0"/>
      <w:marBottom w:val="0"/>
      <w:divBdr>
        <w:top w:val="none" w:sz="0" w:space="0" w:color="auto"/>
        <w:left w:val="none" w:sz="0" w:space="0" w:color="auto"/>
        <w:bottom w:val="none" w:sz="0" w:space="0" w:color="auto"/>
        <w:right w:val="none" w:sz="0" w:space="0" w:color="auto"/>
      </w:divBdr>
    </w:div>
    <w:div w:id="1635670011">
      <w:bodyDiv w:val="1"/>
      <w:marLeft w:val="0"/>
      <w:marRight w:val="0"/>
      <w:marTop w:val="0"/>
      <w:marBottom w:val="0"/>
      <w:divBdr>
        <w:top w:val="none" w:sz="0" w:space="0" w:color="auto"/>
        <w:left w:val="none" w:sz="0" w:space="0" w:color="auto"/>
        <w:bottom w:val="none" w:sz="0" w:space="0" w:color="auto"/>
        <w:right w:val="none" w:sz="0" w:space="0" w:color="auto"/>
      </w:divBdr>
    </w:div>
    <w:div w:id="1635678132">
      <w:bodyDiv w:val="1"/>
      <w:marLeft w:val="0"/>
      <w:marRight w:val="0"/>
      <w:marTop w:val="0"/>
      <w:marBottom w:val="0"/>
      <w:divBdr>
        <w:top w:val="none" w:sz="0" w:space="0" w:color="auto"/>
        <w:left w:val="none" w:sz="0" w:space="0" w:color="auto"/>
        <w:bottom w:val="none" w:sz="0" w:space="0" w:color="auto"/>
        <w:right w:val="none" w:sz="0" w:space="0" w:color="auto"/>
      </w:divBdr>
    </w:div>
    <w:div w:id="1635868789">
      <w:bodyDiv w:val="1"/>
      <w:marLeft w:val="0"/>
      <w:marRight w:val="0"/>
      <w:marTop w:val="0"/>
      <w:marBottom w:val="0"/>
      <w:divBdr>
        <w:top w:val="none" w:sz="0" w:space="0" w:color="auto"/>
        <w:left w:val="none" w:sz="0" w:space="0" w:color="auto"/>
        <w:bottom w:val="none" w:sz="0" w:space="0" w:color="auto"/>
        <w:right w:val="none" w:sz="0" w:space="0" w:color="auto"/>
      </w:divBdr>
    </w:div>
    <w:div w:id="1636058533">
      <w:bodyDiv w:val="1"/>
      <w:marLeft w:val="0"/>
      <w:marRight w:val="0"/>
      <w:marTop w:val="0"/>
      <w:marBottom w:val="0"/>
      <w:divBdr>
        <w:top w:val="none" w:sz="0" w:space="0" w:color="auto"/>
        <w:left w:val="none" w:sz="0" w:space="0" w:color="auto"/>
        <w:bottom w:val="none" w:sz="0" w:space="0" w:color="auto"/>
        <w:right w:val="none" w:sz="0" w:space="0" w:color="auto"/>
      </w:divBdr>
    </w:div>
    <w:div w:id="1636176456">
      <w:bodyDiv w:val="1"/>
      <w:marLeft w:val="0"/>
      <w:marRight w:val="0"/>
      <w:marTop w:val="0"/>
      <w:marBottom w:val="0"/>
      <w:divBdr>
        <w:top w:val="none" w:sz="0" w:space="0" w:color="auto"/>
        <w:left w:val="none" w:sz="0" w:space="0" w:color="auto"/>
        <w:bottom w:val="none" w:sz="0" w:space="0" w:color="auto"/>
        <w:right w:val="none" w:sz="0" w:space="0" w:color="auto"/>
      </w:divBdr>
    </w:div>
    <w:div w:id="1636179543">
      <w:bodyDiv w:val="1"/>
      <w:marLeft w:val="0"/>
      <w:marRight w:val="0"/>
      <w:marTop w:val="0"/>
      <w:marBottom w:val="0"/>
      <w:divBdr>
        <w:top w:val="none" w:sz="0" w:space="0" w:color="auto"/>
        <w:left w:val="none" w:sz="0" w:space="0" w:color="auto"/>
        <w:bottom w:val="none" w:sz="0" w:space="0" w:color="auto"/>
        <w:right w:val="none" w:sz="0" w:space="0" w:color="auto"/>
      </w:divBdr>
    </w:div>
    <w:div w:id="1636328764">
      <w:bodyDiv w:val="1"/>
      <w:marLeft w:val="0"/>
      <w:marRight w:val="0"/>
      <w:marTop w:val="0"/>
      <w:marBottom w:val="0"/>
      <w:divBdr>
        <w:top w:val="none" w:sz="0" w:space="0" w:color="auto"/>
        <w:left w:val="none" w:sz="0" w:space="0" w:color="auto"/>
        <w:bottom w:val="none" w:sz="0" w:space="0" w:color="auto"/>
        <w:right w:val="none" w:sz="0" w:space="0" w:color="auto"/>
      </w:divBdr>
    </w:div>
    <w:div w:id="1636370527">
      <w:bodyDiv w:val="1"/>
      <w:marLeft w:val="0"/>
      <w:marRight w:val="0"/>
      <w:marTop w:val="0"/>
      <w:marBottom w:val="0"/>
      <w:divBdr>
        <w:top w:val="none" w:sz="0" w:space="0" w:color="auto"/>
        <w:left w:val="none" w:sz="0" w:space="0" w:color="auto"/>
        <w:bottom w:val="none" w:sz="0" w:space="0" w:color="auto"/>
        <w:right w:val="none" w:sz="0" w:space="0" w:color="auto"/>
      </w:divBdr>
    </w:div>
    <w:div w:id="1636376188">
      <w:bodyDiv w:val="1"/>
      <w:marLeft w:val="0"/>
      <w:marRight w:val="0"/>
      <w:marTop w:val="0"/>
      <w:marBottom w:val="0"/>
      <w:divBdr>
        <w:top w:val="none" w:sz="0" w:space="0" w:color="auto"/>
        <w:left w:val="none" w:sz="0" w:space="0" w:color="auto"/>
        <w:bottom w:val="none" w:sz="0" w:space="0" w:color="auto"/>
        <w:right w:val="none" w:sz="0" w:space="0" w:color="auto"/>
      </w:divBdr>
    </w:div>
    <w:div w:id="1636714178">
      <w:bodyDiv w:val="1"/>
      <w:marLeft w:val="0"/>
      <w:marRight w:val="0"/>
      <w:marTop w:val="0"/>
      <w:marBottom w:val="0"/>
      <w:divBdr>
        <w:top w:val="none" w:sz="0" w:space="0" w:color="auto"/>
        <w:left w:val="none" w:sz="0" w:space="0" w:color="auto"/>
        <w:bottom w:val="none" w:sz="0" w:space="0" w:color="auto"/>
        <w:right w:val="none" w:sz="0" w:space="0" w:color="auto"/>
      </w:divBdr>
    </w:div>
    <w:div w:id="1636717389">
      <w:bodyDiv w:val="1"/>
      <w:marLeft w:val="0"/>
      <w:marRight w:val="0"/>
      <w:marTop w:val="0"/>
      <w:marBottom w:val="0"/>
      <w:divBdr>
        <w:top w:val="none" w:sz="0" w:space="0" w:color="auto"/>
        <w:left w:val="none" w:sz="0" w:space="0" w:color="auto"/>
        <w:bottom w:val="none" w:sz="0" w:space="0" w:color="auto"/>
        <w:right w:val="none" w:sz="0" w:space="0" w:color="auto"/>
      </w:divBdr>
    </w:div>
    <w:div w:id="1636763731">
      <w:bodyDiv w:val="1"/>
      <w:marLeft w:val="0"/>
      <w:marRight w:val="0"/>
      <w:marTop w:val="0"/>
      <w:marBottom w:val="0"/>
      <w:divBdr>
        <w:top w:val="none" w:sz="0" w:space="0" w:color="auto"/>
        <w:left w:val="none" w:sz="0" w:space="0" w:color="auto"/>
        <w:bottom w:val="none" w:sz="0" w:space="0" w:color="auto"/>
        <w:right w:val="none" w:sz="0" w:space="0" w:color="auto"/>
      </w:divBdr>
    </w:div>
    <w:div w:id="1636834302">
      <w:bodyDiv w:val="1"/>
      <w:marLeft w:val="0"/>
      <w:marRight w:val="0"/>
      <w:marTop w:val="0"/>
      <w:marBottom w:val="0"/>
      <w:divBdr>
        <w:top w:val="none" w:sz="0" w:space="0" w:color="auto"/>
        <w:left w:val="none" w:sz="0" w:space="0" w:color="auto"/>
        <w:bottom w:val="none" w:sz="0" w:space="0" w:color="auto"/>
        <w:right w:val="none" w:sz="0" w:space="0" w:color="auto"/>
      </w:divBdr>
    </w:div>
    <w:div w:id="1636985616">
      <w:bodyDiv w:val="1"/>
      <w:marLeft w:val="0"/>
      <w:marRight w:val="0"/>
      <w:marTop w:val="0"/>
      <w:marBottom w:val="0"/>
      <w:divBdr>
        <w:top w:val="none" w:sz="0" w:space="0" w:color="auto"/>
        <w:left w:val="none" w:sz="0" w:space="0" w:color="auto"/>
        <w:bottom w:val="none" w:sz="0" w:space="0" w:color="auto"/>
        <w:right w:val="none" w:sz="0" w:space="0" w:color="auto"/>
      </w:divBdr>
    </w:div>
    <w:div w:id="1637568345">
      <w:bodyDiv w:val="1"/>
      <w:marLeft w:val="0"/>
      <w:marRight w:val="0"/>
      <w:marTop w:val="0"/>
      <w:marBottom w:val="0"/>
      <w:divBdr>
        <w:top w:val="none" w:sz="0" w:space="0" w:color="auto"/>
        <w:left w:val="none" w:sz="0" w:space="0" w:color="auto"/>
        <w:bottom w:val="none" w:sz="0" w:space="0" w:color="auto"/>
        <w:right w:val="none" w:sz="0" w:space="0" w:color="auto"/>
      </w:divBdr>
    </w:div>
    <w:div w:id="1637643667">
      <w:bodyDiv w:val="1"/>
      <w:marLeft w:val="0"/>
      <w:marRight w:val="0"/>
      <w:marTop w:val="0"/>
      <w:marBottom w:val="0"/>
      <w:divBdr>
        <w:top w:val="none" w:sz="0" w:space="0" w:color="auto"/>
        <w:left w:val="none" w:sz="0" w:space="0" w:color="auto"/>
        <w:bottom w:val="none" w:sz="0" w:space="0" w:color="auto"/>
        <w:right w:val="none" w:sz="0" w:space="0" w:color="auto"/>
      </w:divBdr>
    </w:div>
    <w:div w:id="1638338221">
      <w:bodyDiv w:val="1"/>
      <w:marLeft w:val="0"/>
      <w:marRight w:val="0"/>
      <w:marTop w:val="0"/>
      <w:marBottom w:val="0"/>
      <w:divBdr>
        <w:top w:val="none" w:sz="0" w:space="0" w:color="auto"/>
        <w:left w:val="none" w:sz="0" w:space="0" w:color="auto"/>
        <w:bottom w:val="none" w:sz="0" w:space="0" w:color="auto"/>
        <w:right w:val="none" w:sz="0" w:space="0" w:color="auto"/>
      </w:divBdr>
    </w:div>
    <w:div w:id="1638560950">
      <w:bodyDiv w:val="1"/>
      <w:marLeft w:val="0"/>
      <w:marRight w:val="0"/>
      <w:marTop w:val="0"/>
      <w:marBottom w:val="0"/>
      <w:divBdr>
        <w:top w:val="none" w:sz="0" w:space="0" w:color="auto"/>
        <w:left w:val="none" w:sz="0" w:space="0" w:color="auto"/>
        <w:bottom w:val="none" w:sz="0" w:space="0" w:color="auto"/>
        <w:right w:val="none" w:sz="0" w:space="0" w:color="auto"/>
      </w:divBdr>
    </w:div>
    <w:div w:id="1638685281">
      <w:bodyDiv w:val="1"/>
      <w:marLeft w:val="0"/>
      <w:marRight w:val="0"/>
      <w:marTop w:val="0"/>
      <w:marBottom w:val="0"/>
      <w:divBdr>
        <w:top w:val="none" w:sz="0" w:space="0" w:color="auto"/>
        <w:left w:val="none" w:sz="0" w:space="0" w:color="auto"/>
        <w:bottom w:val="none" w:sz="0" w:space="0" w:color="auto"/>
        <w:right w:val="none" w:sz="0" w:space="0" w:color="auto"/>
      </w:divBdr>
    </w:div>
    <w:div w:id="1638758221">
      <w:bodyDiv w:val="1"/>
      <w:marLeft w:val="0"/>
      <w:marRight w:val="0"/>
      <w:marTop w:val="0"/>
      <w:marBottom w:val="0"/>
      <w:divBdr>
        <w:top w:val="none" w:sz="0" w:space="0" w:color="auto"/>
        <w:left w:val="none" w:sz="0" w:space="0" w:color="auto"/>
        <w:bottom w:val="none" w:sz="0" w:space="0" w:color="auto"/>
        <w:right w:val="none" w:sz="0" w:space="0" w:color="auto"/>
      </w:divBdr>
    </w:div>
    <w:div w:id="1638950426">
      <w:bodyDiv w:val="1"/>
      <w:marLeft w:val="0"/>
      <w:marRight w:val="0"/>
      <w:marTop w:val="0"/>
      <w:marBottom w:val="0"/>
      <w:divBdr>
        <w:top w:val="none" w:sz="0" w:space="0" w:color="auto"/>
        <w:left w:val="none" w:sz="0" w:space="0" w:color="auto"/>
        <w:bottom w:val="none" w:sz="0" w:space="0" w:color="auto"/>
        <w:right w:val="none" w:sz="0" w:space="0" w:color="auto"/>
      </w:divBdr>
    </w:div>
    <w:div w:id="1639263066">
      <w:bodyDiv w:val="1"/>
      <w:marLeft w:val="0"/>
      <w:marRight w:val="0"/>
      <w:marTop w:val="0"/>
      <w:marBottom w:val="0"/>
      <w:divBdr>
        <w:top w:val="none" w:sz="0" w:space="0" w:color="auto"/>
        <w:left w:val="none" w:sz="0" w:space="0" w:color="auto"/>
        <w:bottom w:val="none" w:sz="0" w:space="0" w:color="auto"/>
        <w:right w:val="none" w:sz="0" w:space="0" w:color="auto"/>
      </w:divBdr>
    </w:div>
    <w:div w:id="1639413032">
      <w:bodyDiv w:val="1"/>
      <w:marLeft w:val="0"/>
      <w:marRight w:val="0"/>
      <w:marTop w:val="0"/>
      <w:marBottom w:val="0"/>
      <w:divBdr>
        <w:top w:val="none" w:sz="0" w:space="0" w:color="auto"/>
        <w:left w:val="none" w:sz="0" w:space="0" w:color="auto"/>
        <w:bottom w:val="none" w:sz="0" w:space="0" w:color="auto"/>
        <w:right w:val="none" w:sz="0" w:space="0" w:color="auto"/>
      </w:divBdr>
    </w:div>
    <w:div w:id="1639645820">
      <w:bodyDiv w:val="1"/>
      <w:marLeft w:val="0"/>
      <w:marRight w:val="0"/>
      <w:marTop w:val="0"/>
      <w:marBottom w:val="0"/>
      <w:divBdr>
        <w:top w:val="none" w:sz="0" w:space="0" w:color="auto"/>
        <w:left w:val="none" w:sz="0" w:space="0" w:color="auto"/>
        <w:bottom w:val="none" w:sz="0" w:space="0" w:color="auto"/>
        <w:right w:val="none" w:sz="0" w:space="0" w:color="auto"/>
      </w:divBdr>
    </w:div>
    <w:div w:id="1639649882">
      <w:bodyDiv w:val="1"/>
      <w:marLeft w:val="0"/>
      <w:marRight w:val="0"/>
      <w:marTop w:val="0"/>
      <w:marBottom w:val="0"/>
      <w:divBdr>
        <w:top w:val="none" w:sz="0" w:space="0" w:color="auto"/>
        <w:left w:val="none" w:sz="0" w:space="0" w:color="auto"/>
        <w:bottom w:val="none" w:sz="0" w:space="0" w:color="auto"/>
        <w:right w:val="none" w:sz="0" w:space="0" w:color="auto"/>
      </w:divBdr>
    </w:div>
    <w:div w:id="1640261451">
      <w:bodyDiv w:val="1"/>
      <w:marLeft w:val="0"/>
      <w:marRight w:val="0"/>
      <w:marTop w:val="0"/>
      <w:marBottom w:val="0"/>
      <w:divBdr>
        <w:top w:val="none" w:sz="0" w:space="0" w:color="auto"/>
        <w:left w:val="none" w:sz="0" w:space="0" w:color="auto"/>
        <w:bottom w:val="none" w:sz="0" w:space="0" w:color="auto"/>
        <w:right w:val="none" w:sz="0" w:space="0" w:color="auto"/>
      </w:divBdr>
    </w:div>
    <w:div w:id="1640382794">
      <w:bodyDiv w:val="1"/>
      <w:marLeft w:val="0"/>
      <w:marRight w:val="0"/>
      <w:marTop w:val="0"/>
      <w:marBottom w:val="0"/>
      <w:divBdr>
        <w:top w:val="none" w:sz="0" w:space="0" w:color="auto"/>
        <w:left w:val="none" w:sz="0" w:space="0" w:color="auto"/>
        <w:bottom w:val="none" w:sz="0" w:space="0" w:color="auto"/>
        <w:right w:val="none" w:sz="0" w:space="0" w:color="auto"/>
      </w:divBdr>
    </w:div>
    <w:div w:id="1640500395">
      <w:bodyDiv w:val="1"/>
      <w:marLeft w:val="0"/>
      <w:marRight w:val="0"/>
      <w:marTop w:val="0"/>
      <w:marBottom w:val="0"/>
      <w:divBdr>
        <w:top w:val="none" w:sz="0" w:space="0" w:color="auto"/>
        <w:left w:val="none" w:sz="0" w:space="0" w:color="auto"/>
        <w:bottom w:val="none" w:sz="0" w:space="0" w:color="auto"/>
        <w:right w:val="none" w:sz="0" w:space="0" w:color="auto"/>
      </w:divBdr>
    </w:div>
    <w:div w:id="1640571256">
      <w:bodyDiv w:val="1"/>
      <w:marLeft w:val="0"/>
      <w:marRight w:val="0"/>
      <w:marTop w:val="0"/>
      <w:marBottom w:val="0"/>
      <w:divBdr>
        <w:top w:val="none" w:sz="0" w:space="0" w:color="auto"/>
        <w:left w:val="none" w:sz="0" w:space="0" w:color="auto"/>
        <w:bottom w:val="none" w:sz="0" w:space="0" w:color="auto"/>
        <w:right w:val="none" w:sz="0" w:space="0" w:color="auto"/>
      </w:divBdr>
    </w:div>
    <w:div w:id="1640575488">
      <w:bodyDiv w:val="1"/>
      <w:marLeft w:val="0"/>
      <w:marRight w:val="0"/>
      <w:marTop w:val="0"/>
      <w:marBottom w:val="0"/>
      <w:divBdr>
        <w:top w:val="none" w:sz="0" w:space="0" w:color="auto"/>
        <w:left w:val="none" w:sz="0" w:space="0" w:color="auto"/>
        <w:bottom w:val="none" w:sz="0" w:space="0" w:color="auto"/>
        <w:right w:val="none" w:sz="0" w:space="0" w:color="auto"/>
      </w:divBdr>
    </w:div>
    <w:div w:id="1641111935">
      <w:bodyDiv w:val="1"/>
      <w:marLeft w:val="0"/>
      <w:marRight w:val="0"/>
      <w:marTop w:val="0"/>
      <w:marBottom w:val="0"/>
      <w:divBdr>
        <w:top w:val="none" w:sz="0" w:space="0" w:color="auto"/>
        <w:left w:val="none" w:sz="0" w:space="0" w:color="auto"/>
        <w:bottom w:val="none" w:sz="0" w:space="0" w:color="auto"/>
        <w:right w:val="none" w:sz="0" w:space="0" w:color="auto"/>
      </w:divBdr>
    </w:div>
    <w:div w:id="1641302242">
      <w:bodyDiv w:val="1"/>
      <w:marLeft w:val="0"/>
      <w:marRight w:val="0"/>
      <w:marTop w:val="0"/>
      <w:marBottom w:val="0"/>
      <w:divBdr>
        <w:top w:val="none" w:sz="0" w:space="0" w:color="auto"/>
        <w:left w:val="none" w:sz="0" w:space="0" w:color="auto"/>
        <w:bottom w:val="none" w:sz="0" w:space="0" w:color="auto"/>
        <w:right w:val="none" w:sz="0" w:space="0" w:color="auto"/>
      </w:divBdr>
    </w:div>
    <w:div w:id="1641494163">
      <w:bodyDiv w:val="1"/>
      <w:marLeft w:val="0"/>
      <w:marRight w:val="0"/>
      <w:marTop w:val="0"/>
      <w:marBottom w:val="0"/>
      <w:divBdr>
        <w:top w:val="none" w:sz="0" w:space="0" w:color="auto"/>
        <w:left w:val="none" w:sz="0" w:space="0" w:color="auto"/>
        <w:bottom w:val="none" w:sz="0" w:space="0" w:color="auto"/>
        <w:right w:val="none" w:sz="0" w:space="0" w:color="auto"/>
      </w:divBdr>
    </w:div>
    <w:div w:id="1641572548">
      <w:bodyDiv w:val="1"/>
      <w:marLeft w:val="0"/>
      <w:marRight w:val="0"/>
      <w:marTop w:val="0"/>
      <w:marBottom w:val="0"/>
      <w:divBdr>
        <w:top w:val="none" w:sz="0" w:space="0" w:color="auto"/>
        <w:left w:val="none" w:sz="0" w:space="0" w:color="auto"/>
        <w:bottom w:val="none" w:sz="0" w:space="0" w:color="auto"/>
        <w:right w:val="none" w:sz="0" w:space="0" w:color="auto"/>
      </w:divBdr>
    </w:div>
    <w:div w:id="1641612932">
      <w:bodyDiv w:val="1"/>
      <w:marLeft w:val="0"/>
      <w:marRight w:val="0"/>
      <w:marTop w:val="0"/>
      <w:marBottom w:val="0"/>
      <w:divBdr>
        <w:top w:val="none" w:sz="0" w:space="0" w:color="auto"/>
        <w:left w:val="none" w:sz="0" w:space="0" w:color="auto"/>
        <w:bottom w:val="none" w:sz="0" w:space="0" w:color="auto"/>
        <w:right w:val="none" w:sz="0" w:space="0" w:color="auto"/>
      </w:divBdr>
    </w:div>
    <w:div w:id="1642031654">
      <w:bodyDiv w:val="1"/>
      <w:marLeft w:val="0"/>
      <w:marRight w:val="0"/>
      <w:marTop w:val="0"/>
      <w:marBottom w:val="0"/>
      <w:divBdr>
        <w:top w:val="none" w:sz="0" w:space="0" w:color="auto"/>
        <w:left w:val="none" w:sz="0" w:space="0" w:color="auto"/>
        <w:bottom w:val="none" w:sz="0" w:space="0" w:color="auto"/>
        <w:right w:val="none" w:sz="0" w:space="0" w:color="auto"/>
      </w:divBdr>
    </w:div>
    <w:div w:id="1642274341">
      <w:bodyDiv w:val="1"/>
      <w:marLeft w:val="0"/>
      <w:marRight w:val="0"/>
      <w:marTop w:val="0"/>
      <w:marBottom w:val="0"/>
      <w:divBdr>
        <w:top w:val="none" w:sz="0" w:space="0" w:color="auto"/>
        <w:left w:val="none" w:sz="0" w:space="0" w:color="auto"/>
        <w:bottom w:val="none" w:sz="0" w:space="0" w:color="auto"/>
        <w:right w:val="none" w:sz="0" w:space="0" w:color="auto"/>
      </w:divBdr>
    </w:div>
    <w:div w:id="1643078135">
      <w:bodyDiv w:val="1"/>
      <w:marLeft w:val="0"/>
      <w:marRight w:val="0"/>
      <w:marTop w:val="0"/>
      <w:marBottom w:val="0"/>
      <w:divBdr>
        <w:top w:val="none" w:sz="0" w:space="0" w:color="auto"/>
        <w:left w:val="none" w:sz="0" w:space="0" w:color="auto"/>
        <w:bottom w:val="none" w:sz="0" w:space="0" w:color="auto"/>
        <w:right w:val="none" w:sz="0" w:space="0" w:color="auto"/>
      </w:divBdr>
    </w:div>
    <w:div w:id="1643119774">
      <w:bodyDiv w:val="1"/>
      <w:marLeft w:val="0"/>
      <w:marRight w:val="0"/>
      <w:marTop w:val="0"/>
      <w:marBottom w:val="0"/>
      <w:divBdr>
        <w:top w:val="none" w:sz="0" w:space="0" w:color="auto"/>
        <w:left w:val="none" w:sz="0" w:space="0" w:color="auto"/>
        <w:bottom w:val="none" w:sz="0" w:space="0" w:color="auto"/>
        <w:right w:val="none" w:sz="0" w:space="0" w:color="auto"/>
      </w:divBdr>
    </w:div>
    <w:div w:id="1643466484">
      <w:bodyDiv w:val="1"/>
      <w:marLeft w:val="0"/>
      <w:marRight w:val="0"/>
      <w:marTop w:val="0"/>
      <w:marBottom w:val="0"/>
      <w:divBdr>
        <w:top w:val="none" w:sz="0" w:space="0" w:color="auto"/>
        <w:left w:val="none" w:sz="0" w:space="0" w:color="auto"/>
        <w:bottom w:val="none" w:sz="0" w:space="0" w:color="auto"/>
        <w:right w:val="none" w:sz="0" w:space="0" w:color="auto"/>
      </w:divBdr>
    </w:div>
    <w:div w:id="1643541712">
      <w:bodyDiv w:val="1"/>
      <w:marLeft w:val="0"/>
      <w:marRight w:val="0"/>
      <w:marTop w:val="0"/>
      <w:marBottom w:val="0"/>
      <w:divBdr>
        <w:top w:val="none" w:sz="0" w:space="0" w:color="auto"/>
        <w:left w:val="none" w:sz="0" w:space="0" w:color="auto"/>
        <w:bottom w:val="none" w:sz="0" w:space="0" w:color="auto"/>
        <w:right w:val="none" w:sz="0" w:space="0" w:color="auto"/>
      </w:divBdr>
    </w:div>
    <w:div w:id="1643580465">
      <w:bodyDiv w:val="1"/>
      <w:marLeft w:val="0"/>
      <w:marRight w:val="0"/>
      <w:marTop w:val="0"/>
      <w:marBottom w:val="0"/>
      <w:divBdr>
        <w:top w:val="none" w:sz="0" w:space="0" w:color="auto"/>
        <w:left w:val="none" w:sz="0" w:space="0" w:color="auto"/>
        <w:bottom w:val="none" w:sz="0" w:space="0" w:color="auto"/>
        <w:right w:val="none" w:sz="0" w:space="0" w:color="auto"/>
      </w:divBdr>
    </w:div>
    <w:div w:id="1643581317">
      <w:bodyDiv w:val="1"/>
      <w:marLeft w:val="0"/>
      <w:marRight w:val="0"/>
      <w:marTop w:val="0"/>
      <w:marBottom w:val="0"/>
      <w:divBdr>
        <w:top w:val="none" w:sz="0" w:space="0" w:color="auto"/>
        <w:left w:val="none" w:sz="0" w:space="0" w:color="auto"/>
        <w:bottom w:val="none" w:sz="0" w:space="0" w:color="auto"/>
        <w:right w:val="none" w:sz="0" w:space="0" w:color="auto"/>
      </w:divBdr>
    </w:div>
    <w:div w:id="1644501409">
      <w:bodyDiv w:val="1"/>
      <w:marLeft w:val="0"/>
      <w:marRight w:val="0"/>
      <w:marTop w:val="0"/>
      <w:marBottom w:val="0"/>
      <w:divBdr>
        <w:top w:val="none" w:sz="0" w:space="0" w:color="auto"/>
        <w:left w:val="none" w:sz="0" w:space="0" w:color="auto"/>
        <w:bottom w:val="none" w:sz="0" w:space="0" w:color="auto"/>
        <w:right w:val="none" w:sz="0" w:space="0" w:color="auto"/>
      </w:divBdr>
    </w:div>
    <w:div w:id="1645039992">
      <w:bodyDiv w:val="1"/>
      <w:marLeft w:val="0"/>
      <w:marRight w:val="0"/>
      <w:marTop w:val="0"/>
      <w:marBottom w:val="0"/>
      <w:divBdr>
        <w:top w:val="none" w:sz="0" w:space="0" w:color="auto"/>
        <w:left w:val="none" w:sz="0" w:space="0" w:color="auto"/>
        <w:bottom w:val="none" w:sz="0" w:space="0" w:color="auto"/>
        <w:right w:val="none" w:sz="0" w:space="0" w:color="auto"/>
      </w:divBdr>
    </w:div>
    <w:div w:id="1645429402">
      <w:bodyDiv w:val="1"/>
      <w:marLeft w:val="0"/>
      <w:marRight w:val="0"/>
      <w:marTop w:val="0"/>
      <w:marBottom w:val="0"/>
      <w:divBdr>
        <w:top w:val="none" w:sz="0" w:space="0" w:color="auto"/>
        <w:left w:val="none" w:sz="0" w:space="0" w:color="auto"/>
        <w:bottom w:val="none" w:sz="0" w:space="0" w:color="auto"/>
        <w:right w:val="none" w:sz="0" w:space="0" w:color="auto"/>
      </w:divBdr>
    </w:div>
    <w:div w:id="1645771737">
      <w:bodyDiv w:val="1"/>
      <w:marLeft w:val="0"/>
      <w:marRight w:val="0"/>
      <w:marTop w:val="0"/>
      <w:marBottom w:val="0"/>
      <w:divBdr>
        <w:top w:val="none" w:sz="0" w:space="0" w:color="auto"/>
        <w:left w:val="none" w:sz="0" w:space="0" w:color="auto"/>
        <w:bottom w:val="none" w:sz="0" w:space="0" w:color="auto"/>
        <w:right w:val="none" w:sz="0" w:space="0" w:color="auto"/>
      </w:divBdr>
    </w:div>
    <w:div w:id="1646351870">
      <w:bodyDiv w:val="1"/>
      <w:marLeft w:val="0"/>
      <w:marRight w:val="0"/>
      <w:marTop w:val="0"/>
      <w:marBottom w:val="0"/>
      <w:divBdr>
        <w:top w:val="none" w:sz="0" w:space="0" w:color="auto"/>
        <w:left w:val="none" w:sz="0" w:space="0" w:color="auto"/>
        <w:bottom w:val="none" w:sz="0" w:space="0" w:color="auto"/>
        <w:right w:val="none" w:sz="0" w:space="0" w:color="auto"/>
      </w:divBdr>
    </w:div>
    <w:div w:id="1646623065">
      <w:bodyDiv w:val="1"/>
      <w:marLeft w:val="0"/>
      <w:marRight w:val="0"/>
      <w:marTop w:val="0"/>
      <w:marBottom w:val="0"/>
      <w:divBdr>
        <w:top w:val="none" w:sz="0" w:space="0" w:color="auto"/>
        <w:left w:val="none" w:sz="0" w:space="0" w:color="auto"/>
        <w:bottom w:val="none" w:sz="0" w:space="0" w:color="auto"/>
        <w:right w:val="none" w:sz="0" w:space="0" w:color="auto"/>
      </w:divBdr>
    </w:div>
    <w:div w:id="1647316917">
      <w:bodyDiv w:val="1"/>
      <w:marLeft w:val="0"/>
      <w:marRight w:val="0"/>
      <w:marTop w:val="0"/>
      <w:marBottom w:val="0"/>
      <w:divBdr>
        <w:top w:val="none" w:sz="0" w:space="0" w:color="auto"/>
        <w:left w:val="none" w:sz="0" w:space="0" w:color="auto"/>
        <w:bottom w:val="none" w:sz="0" w:space="0" w:color="auto"/>
        <w:right w:val="none" w:sz="0" w:space="0" w:color="auto"/>
      </w:divBdr>
    </w:div>
    <w:div w:id="1647398672">
      <w:bodyDiv w:val="1"/>
      <w:marLeft w:val="0"/>
      <w:marRight w:val="0"/>
      <w:marTop w:val="0"/>
      <w:marBottom w:val="0"/>
      <w:divBdr>
        <w:top w:val="none" w:sz="0" w:space="0" w:color="auto"/>
        <w:left w:val="none" w:sz="0" w:space="0" w:color="auto"/>
        <w:bottom w:val="none" w:sz="0" w:space="0" w:color="auto"/>
        <w:right w:val="none" w:sz="0" w:space="0" w:color="auto"/>
      </w:divBdr>
    </w:div>
    <w:div w:id="1647513415">
      <w:bodyDiv w:val="1"/>
      <w:marLeft w:val="0"/>
      <w:marRight w:val="0"/>
      <w:marTop w:val="0"/>
      <w:marBottom w:val="0"/>
      <w:divBdr>
        <w:top w:val="none" w:sz="0" w:space="0" w:color="auto"/>
        <w:left w:val="none" w:sz="0" w:space="0" w:color="auto"/>
        <w:bottom w:val="none" w:sz="0" w:space="0" w:color="auto"/>
        <w:right w:val="none" w:sz="0" w:space="0" w:color="auto"/>
      </w:divBdr>
    </w:div>
    <w:div w:id="1647586328">
      <w:bodyDiv w:val="1"/>
      <w:marLeft w:val="0"/>
      <w:marRight w:val="0"/>
      <w:marTop w:val="0"/>
      <w:marBottom w:val="0"/>
      <w:divBdr>
        <w:top w:val="none" w:sz="0" w:space="0" w:color="auto"/>
        <w:left w:val="none" w:sz="0" w:space="0" w:color="auto"/>
        <w:bottom w:val="none" w:sz="0" w:space="0" w:color="auto"/>
        <w:right w:val="none" w:sz="0" w:space="0" w:color="auto"/>
      </w:divBdr>
    </w:div>
    <w:div w:id="1647930279">
      <w:bodyDiv w:val="1"/>
      <w:marLeft w:val="0"/>
      <w:marRight w:val="0"/>
      <w:marTop w:val="0"/>
      <w:marBottom w:val="0"/>
      <w:divBdr>
        <w:top w:val="none" w:sz="0" w:space="0" w:color="auto"/>
        <w:left w:val="none" w:sz="0" w:space="0" w:color="auto"/>
        <w:bottom w:val="none" w:sz="0" w:space="0" w:color="auto"/>
        <w:right w:val="none" w:sz="0" w:space="0" w:color="auto"/>
      </w:divBdr>
    </w:div>
    <w:div w:id="1648706565">
      <w:bodyDiv w:val="1"/>
      <w:marLeft w:val="0"/>
      <w:marRight w:val="0"/>
      <w:marTop w:val="0"/>
      <w:marBottom w:val="0"/>
      <w:divBdr>
        <w:top w:val="none" w:sz="0" w:space="0" w:color="auto"/>
        <w:left w:val="none" w:sz="0" w:space="0" w:color="auto"/>
        <w:bottom w:val="none" w:sz="0" w:space="0" w:color="auto"/>
        <w:right w:val="none" w:sz="0" w:space="0" w:color="auto"/>
      </w:divBdr>
    </w:div>
    <w:div w:id="1648900515">
      <w:bodyDiv w:val="1"/>
      <w:marLeft w:val="0"/>
      <w:marRight w:val="0"/>
      <w:marTop w:val="0"/>
      <w:marBottom w:val="0"/>
      <w:divBdr>
        <w:top w:val="none" w:sz="0" w:space="0" w:color="auto"/>
        <w:left w:val="none" w:sz="0" w:space="0" w:color="auto"/>
        <w:bottom w:val="none" w:sz="0" w:space="0" w:color="auto"/>
        <w:right w:val="none" w:sz="0" w:space="0" w:color="auto"/>
      </w:divBdr>
    </w:div>
    <w:div w:id="1649288299">
      <w:bodyDiv w:val="1"/>
      <w:marLeft w:val="0"/>
      <w:marRight w:val="0"/>
      <w:marTop w:val="0"/>
      <w:marBottom w:val="0"/>
      <w:divBdr>
        <w:top w:val="none" w:sz="0" w:space="0" w:color="auto"/>
        <w:left w:val="none" w:sz="0" w:space="0" w:color="auto"/>
        <w:bottom w:val="none" w:sz="0" w:space="0" w:color="auto"/>
        <w:right w:val="none" w:sz="0" w:space="0" w:color="auto"/>
      </w:divBdr>
    </w:div>
    <w:div w:id="1649482408">
      <w:bodyDiv w:val="1"/>
      <w:marLeft w:val="0"/>
      <w:marRight w:val="0"/>
      <w:marTop w:val="0"/>
      <w:marBottom w:val="0"/>
      <w:divBdr>
        <w:top w:val="none" w:sz="0" w:space="0" w:color="auto"/>
        <w:left w:val="none" w:sz="0" w:space="0" w:color="auto"/>
        <w:bottom w:val="none" w:sz="0" w:space="0" w:color="auto"/>
        <w:right w:val="none" w:sz="0" w:space="0" w:color="auto"/>
      </w:divBdr>
    </w:div>
    <w:div w:id="1649699208">
      <w:bodyDiv w:val="1"/>
      <w:marLeft w:val="0"/>
      <w:marRight w:val="0"/>
      <w:marTop w:val="0"/>
      <w:marBottom w:val="0"/>
      <w:divBdr>
        <w:top w:val="none" w:sz="0" w:space="0" w:color="auto"/>
        <w:left w:val="none" w:sz="0" w:space="0" w:color="auto"/>
        <w:bottom w:val="none" w:sz="0" w:space="0" w:color="auto"/>
        <w:right w:val="none" w:sz="0" w:space="0" w:color="auto"/>
      </w:divBdr>
    </w:div>
    <w:div w:id="1650088709">
      <w:bodyDiv w:val="1"/>
      <w:marLeft w:val="0"/>
      <w:marRight w:val="0"/>
      <w:marTop w:val="0"/>
      <w:marBottom w:val="0"/>
      <w:divBdr>
        <w:top w:val="none" w:sz="0" w:space="0" w:color="auto"/>
        <w:left w:val="none" w:sz="0" w:space="0" w:color="auto"/>
        <w:bottom w:val="none" w:sz="0" w:space="0" w:color="auto"/>
        <w:right w:val="none" w:sz="0" w:space="0" w:color="auto"/>
      </w:divBdr>
    </w:div>
    <w:div w:id="1650554761">
      <w:bodyDiv w:val="1"/>
      <w:marLeft w:val="0"/>
      <w:marRight w:val="0"/>
      <w:marTop w:val="0"/>
      <w:marBottom w:val="0"/>
      <w:divBdr>
        <w:top w:val="none" w:sz="0" w:space="0" w:color="auto"/>
        <w:left w:val="none" w:sz="0" w:space="0" w:color="auto"/>
        <w:bottom w:val="none" w:sz="0" w:space="0" w:color="auto"/>
        <w:right w:val="none" w:sz="0" w:space="0" w:color="auto"/>
      </w:divBdr>
    </w:div>
    <w:div w:id="1650984246">
      <w:bodyDiv w:val="1"/>
      <w:marLeft w:val="0"/>
      <w:marRight w:val="0"/>
      <w:marTop w:val="0"/>
      <w:marBottom w:val="0"/>
      <w:divBdr>
        <w:top w:val="none" w:sz="0" w:space="0" w:color="auto"/>
        <w:left w:val="none" w:sz="0" w:space="0" w:color="auto"/>
        <w:bottom w:val="none" w:sz="0" w:space="0" w:color="auto"/>
        <w:right w:val="none" w:sz="0" w:space="0" w:color="auto"/>
      </w:divBdr>
    </w:div>
    <w:div w:id="1651326428">
      <w:bodyDiv w:val="1"/>
      <w:marLeft w:val="0"/>
      <w:marRight w:val="0"/>
      <w:marTop w:val="0"/>
      <w:marBottom w:val="0"/>
      <w:divBdr>
        <w:top w:val="none" w:sz="0" w:space="0" w:color="auto"/>
        <w:left w:val="none" w:sz="0" w:space="0" w:color="auto"/>
        <w:bottom w:val="none" w:sz="0" w:space="0" w:color="auto"/>
        <w:right w:val="none" w:sz="0" w:space="0" w:color="auto"/>
      </w:divBdr>
    </w:div>
    <w:div w:id="1652170715">
      <w:bodyDiv w:val="1"/>
      <w:marLeft w:val="0"/>
      <w:marRight w:val="0"/>
      <w:marTop w:val="0"/>
      <w:marBottom w:val="0"/>
      <w:divBdr>
        <w:top w:val="none" w:sz="0" w:space="0" w:color="auto"/>
        <w:left w:val="none" w:sz="0" w:space="0" w:color="auto"/>
        <w:bottom w:val="none" w:sz="0" w:space="0" w:color="auto"/>
        <w:right w:val="none" w:sz="0" w:space="0" w:color="auto"/>
      </w:divBdr>
    </w:div>
    <w:div w:id="1652296090">
      <w:bodyDiv w:val="1"/>
      <w:marLeft w:val="0"/>
      <w:marRight w:val="0"/>
      <w:marTop w:val="0"/>
      <w:marBottom w:val="0"/>
      <w:divBdr>
        <w:top w:val="none" w:sz="0" w:space="0" w:color="auto"/>
        <w:left w:val="none" w:sz="0" w:space="0" w:color="auto"/>
        <w:bottom w:val="none" w:sz="0" w:space="0" w:color="auto"/>
        <w:right w:val="none" w:sz="0" w:space="0" w:color="auto"/>
      </w:divBdr>
    </w:div>
    <w:div w:id="1652513495">
      <w:bodyDiv w:val="1"/>
      <w:marLeft w:val="0"/>
      <w:marRight w:val="0"/>
      <w:marTop w:val="0"/>
      <w:marBottom w:val="0"/>
      <w:divBdr>
        <w:top w:val="none" w:sz="0" w:space="0" w:color="auto"/>
        <w:left w:val="none" w:sz="0" w:space="0" w:color="auto"/>
        <w:bottom w:val="none" w:sz="0" w:space="0" w:color="auto"/>
        <w:right w:val="none" w:sz="0" w:space="0" w:color="auto"/>
      </w:divBdr>
    </w:div>
    <w:div w:id="1652783904">
      <w:bodyDiv w:val="1"/>
      <w:marLeft w:val="0"/>
      <w:marRight w:val="0"/>
      <w:marTop w:val="0"/>
      <w:marBottom w:val="0"/>
      <w:divBdr>
        <w:top w:val="none" w:sz="0" w:space="0" w:color="auto"/>
        <w:left w:val="none" w:sz="0" w:space="0" w:color="auto"/>
        <w:bottom w:val="none" w:sz="0" w:space="0" w:color="auto"/>
        <w:right w:val="none" w:sz="0" w:space="0" w:color="auto"/>
      </w:divBdr>
    </w:div>
    <w:div w:id="1653018881">
      <w:bodyDiv w:val="1"/>
      <w:marLeft w:val="0"/>
      <w:marRight w:val="0"/>
      <w:marTop w:val="0"/>
      <w:marBottom w:val="0"/>
      <w:divBdr>
        <w:top w:val="none" w:sz="0" w:space="0" w:color="auto"/>
        <w:left w:val="none" w:sz="0" w:space="0" w:color="auto"/>
        <w:bottom w:val="none" w:sz="0" w:space="0" w:color="auto"/>
        <w:right w:val="none" w:sz="0" w:space="0" w:color="auto"/>
      </w:divBdr>
    </w:div>
    <w:div w:id="1653291889">
      <w:bodyDiv w:val="1"/>
      <w:marLeft w:val="0"/>
      <w:marRight w:val="0"/>
      <w:marTop w:val="0"/>
      <w:marBottom w:val="0"/>
      <w:divBdr>
        <w:top w:val="none" w:sz="0" w:space="0" w:color="auto"/>
        <w:left w:val="none" w:sz="0" w:space="0" w:color="auto"/>
        <w:bottom w:val="none" w:sz="0" w:space="0" w:color="auto"/>
        <w:right w:val="none" w:sz="0" w:space="0" w:color="auto"/>
      </w:divBdr>
    </w:div>
    <w:div w:id="1653366068">
      <w:bodyDiv w:val="1"/>
      <w:marLeft w:val="0"/>
      <w:marRight w:val="0"/>
      <w:marTop w:val="0"/>
      <w:marBottom w:val="0"/>
      <w:divBdr>
        <w:top w:val="none" w:sz="0" w:space="0" w:color="auto"/>
        <w:left w:val="none" w:sz="0" w:space="0" w:color="auto"/>
        <w:bottom w:val="none" w:sz="0" w:space="0" w:color="auto"/>
        <w:right w:val="none" w:sz="0" w:space="0" w:color="auto"/>
      </w:divBdr>
    </w:div>
    <w:div w:id="1653408002">
      <w:bodyDiv w:val="1"/>
      <w:marLeft w:val="0"/>
      <w:marRight w:val="0"/>
      <w:marTop w:val="0"/>
      <w:marBottom w:val="0"/>
      <w:divBdr>
        <w:top w:val="none" w:sz="0" w:space="0" w:color="auto"/>
        <w:left w:val="none" w:sz="0" w:space="0" w:color="auto"/>
        <w:bottom w:val="none" w:sz="0" w:space="0" w:color="auto"/>
        <w:right w:val="none" w:sz="0" w:space="0" w:color="auto"/>
      </w:divBdr>
    </w:div>
    <w:div w:id="1653408079">
      <w:bodyDiv w:val="1"/>
      <w:marLeft w:val="0"/>
      <w:marRight w:val="0"/>
      <w:marTop w:val="0"/>
      <w:marBottom w:val="0"/>
      <w:divBdr>
        <w:top w:val="none" w:sz="0" w:space="0" w:color="auto"/>
        <w:left w:val="none" w:sz="0" w:space="0" w:color="auto"/>
        <w:bottom w:val="none" w:sz="0" w:space="0" w:color="auto"/>
        <w:right w:val="none" w:sz="0" w:space="0" w:color="auto"/>
      </w:divBdr>
    </w:div>
    <w:div w:id="1653565030">
      <w:bodyDiv w:val="1"/>
      <w:marLeft w:val="0"/>
      <w:marRight w:val="0"/>
      <w:marTop w:val="0"/>
      <w:marBottom w:val="0"/>
      <w:divBdr>
        <w:top w:val="none" w:sz="0" w:space="0" w:color="auto"/>
        <w:left w:val="none" w:sz="0" w:space="0" w:color="auto"/>
        <w:bottom w:val="none" w:sz="0" w:space="0" w:color="auto"/>
        <w:right w:val="none" w:sz="0" w:space="0" w:color="auto"/>
      </w:divBdr>
    </w:div>
    <w:div w:id="1654143186">
      <w:bodyDiv w:val="1"/>
      <w:marLeft w:val="0"/>
      <w:marRight w:val="0"/>
      <w:marTop w:val="0"/>
      <w:marBottom w:val="0"/>
      <w:divBdr>
        <w:top w:val="none" w:sz="0" w:space="0" w:color="auto"/>
        <w:left w:val="none" w:sz="0" w:space="0" w:color="auto"/>
        <w:bottom w:val="none" w:sz="0" w:space="0" w:color="auto"/>
        <w:right w:val="none" w:sz="0" w:space="0" w:color="auto"/>
      </w:divBdr>
    </w:div>
    <w:div w:id="1654219858">
      <w:bodyDiv w:val="1"/>
      <w:marLeft w:val="0"/>
      <w:marRight w:val="0"/>
      <w:marTop w:val="0"/>
      <w:marBottom w:val="0"/>
      <w:divBdr>
        <w:top w:val="none" w:sz="0" w:space="0" w:color="auto"/>
        <w:left w:val="none" w:sz="0" w:space="0" w:color="auto"/>
        <w:bottom w:val="none" w:sz="0" w:space="0" w:color="auto"/>
        <w:right w:val="none" w:sz="0" w:space="0" w:color="auto"/>
      </w:divBdr>
    </w:div>
    <w:div w:id="1654329876">
      <w:bodyDiv w:val="1"/>
      <w:marLeft w:val="0"/>
      <w:marRight w:val="0"/>
      <w:marTop w:val="0"/>
      <w:marBottom w:val="0"/>
      <w:divBdr>
        <w:top w:val="none" w:sz="0" w:space="0" w:color="auto"/>
        <w:left w:val="none" w:sz="0" w:space="0" w:color="auto"/>
        <w:bottom w:val="none" w:sz="0" w:space="0" w:color="auto"/>
        <w:right w:val="none" w:sz="0" w:space="0" w:color="auto"/>
      </w:divBdr>
    </w:div>
    <w:div w:id="1654797787">
      <w:bodyDiv w:val="1"/>
      <w:marLeft w:val="0"/>
      <w:marRight w:val="0"/>
      <w:marTop w:val="0"/>
      <w:marBottom w:val="0"/>
      <w:divBdr>
        <w:top w:val="none" w:sz="0" w:space="0" w:color="auto"/>
        <w:left w:val="none" w:sz="0" w:space="0" w:color="auto"/>
        <w:bottom w:val="none" w:sz="0" w:space="0" w:color="auto"/>
        <w:right w:val="none" w:sz="0" w:space="0" w:color="auto"/>
      </w:divBdr>
    </w:div>
    <w:div w:id="1655138849">
      <w:bodyDiv w:val="1"/>
      <w:marLeft w:val="0"/>
      <w:marRight w:val="0"/>
      <w:marTop w:val="0"/>
      <w:marBottom w:val="0"/>
      <w:divBdr>
        <w:top w:val="none" w:sz="0" w:space="0" w:color="auto"/>
        <w:left w:val="none" w:sz="0" w:space="0" w:color="auto"/>
        <w:bottom w:val="none" w:sz="0" w:space="0" w:color="auto"/>
        <w:right w:val="none" w:sz="0" w:space="0" w:color="auto"/>
      </w:divBdr>
    </w:div>
    <w:div w:id="1655328689">
      <w:bodyDiv w:val="1"/>
      <w:marLeft w:val="0"/>
      <w:marRight w:val="0"/>
      <w:marTop w:val="0"/>
      <w:marBottom w:val="0"/>
      <w:divBdr>
        <w:top w:val="none" w:sz="0" w:space="0" w:color="auto"/>
        <w:left w:val="none" w:sz="0" w:space="0" w:color="auto"/>
        <w:bottom w:val="none" w:sz="0" w:space="0" w:color="auto"/>
        <w:right w:val="none" w:sz="0" w:space="0" w:color="auto"/>
      </w:divBdr>
    </w:div>
    <w:div w:id="1655406296">
      <w:bodyDiv w:val="1"/>
      <w:marLeft w:val="0"/>
      <w:marRight w:val="0"/>
      <w:marTop w:val="0"/>
      <w:marBottom w:val="0"/>
      <w:divBdr>
        <w:top w:val="none" w:sz="0" w:space="0" w:color="auto"/>
        <w:left w:val="none" w:sz="0" w:space="0" w:color="auto"/>
        <w:bottom w:val="none" w:sz="0" w:space="0" w:color="auto"/>
        <w:right w:val="none" w:sz="0" w:space="0" w:color="auto"/>
      </w:divBdr>
    </w:div>
    <w:div w:id="1655525413">
      <w:bodyDiv w:val="1"/>
      <w:marLeft w:val="0"/>
      <w:marRight w:val="0"/>
      <w:marTop w:val="0"/>
      <w:marBottom w:val="0"/>
      <w:divBdr>
        <w:top w:val="none" w:sz="0" w:space="0" w:color="auto"/>
        <w:left w:val="none" w:sz="0" w:space="0" w:color="auto"/>
        <w:bottom w:val="none" w:sz="0" w:space="0" w:color="auto"/>
        <w:right w:val="none" w:sz="0" w:space="0" w:color="auto"/>
      </w:divBdr>
    </w:div>
    <w:div w:id="1655527392">
      <w:bodyDiv w:val="1"/>
      <w:marLeft w:val="0"/>
      <w:marRight w:val="0"/>
      <w:marTop w:val="0"/>
      <w:marBottom w:val="0"/>
      <w:divBdr>
        <w:top w:val="none" w:sz="0" w:space="0" w:color="auto"/>
        <w:left w:val="none" w:sz="0" w:space="0" w:color="auto"/>
        <w:bottom w:val="none" w:sz="0" w:space="0" w:color="auto"/>
        <w:right w:val="none" w:sz="0" w:space="0" w:color="auto"/>
      </w:divBdr>
    </w:div>
    <w:div w:id="1655794342">
      <w:bodyDiv w:val="1"/>
      <w:marLeft w:val="0"/>
      <w:marRight w:val="0"/>
      <w:marTop w:val="0"/>
      <w:marBottom w:val="0"/>
      <w:divBdr>
        <w:top w:val="none" w:sz="0" w:space="0" w:color="auto"/>
        <w:left w:val="none" w:sz="0" w:space="0" w:color="auto"/>
        <w:bottom w:val="none" w:sz="0" w:space="0" w:color="auto"/>
        <w:right w:val="none" w:sz="0" w:space="0" w:color="auto"/>
      </w:divBdr>
    </w:div>
    <w:div w:id="1655833050">
      <w:bodyDiv w:val="1"/>
      <w:marLeft w:val="0"/>
      <w:marRight w:val="0"/>
      <w:marTop w:val="0"/>
      <w:marBottom w:val="0"/>
      <w:divBdr>
        <w:top w:val="none" w:sz="0" w:space="0" w:color="auto"/>
        <w:left w:val="none" w:sz="0" w:space="0" w:color="auto"/>
        <w:bottom w:val="none" w:sz="0" w:space="0" w:color="auto"/>
        <w:right w:val="none" w:sz="0" w:space="0" w:color="auto"/>
      </w:divBdr>
    </w:div>
    <w:div w:id="1656840022">
      <w:bodyDiv w:val="1"/>
      <w:marLeft w:val="0"/>
      <w:marRight w:val="0"/>
      <w:marTop w:val="0"/>
      <w:marBottom w:val="0"/>
      <w:divBdr>
        <w:top w:val="none" w:sz="0" w:space="0" w:color="auto"/>
        <w:left w:val="none" w:sz="0" w:space="0" w:color="auto"/>
        <w:bottom w:val="none" w:sz="0" w:space="0" w:color="auto"/>
        <w:right w:val="none" w:sz="0" w:space="0" w:color="auto"/>
      </w:divBdr>
    </w:div>
    <w:div w:id="1656840164">
      <w:bodyDiv w:val="1"/>
      <w:marLeft w:val="0"/>
      <w:marRight w:val="0"/>
      <w:marTop w:val="0"/>
      <w:marBottom w:val="0"/>
      <w:divBdr>
        <w:top w:val="none" w:sz="0" w:space="0" w:color="auto"/>
        <w:left w:val="none" w:sz="0" w:space="0" w:color="auto"/>
        <w:bottom w:val="none" w:sz="0" w:space="0" w:color="auto"/>
        <w:right w:val="none" w:sz="0" w:space="0" w:color="auto"/>
      </w:divBdr>
    </w:div>
    <w:div w:id="1657146133">
      <w:bodyDiv w:val="1"/>
      <w:marLeft w:val="0"/>
      <w:marRight w:val="0"/>
      <w:marTop w:val="0"/>
      <w:marBottom w:val="0"/>
      <w:divBdr>
        <w:top w:val="none" w:sz="0" w:space="0" w:color="auto"/>
        <w:left w:val="none" w:sz="0" w:space="0" w:color="auto"/>
        <w:bottom w:val="none" w:sz="0" w:space="0" w:color="auto"/>
        <w:right w:val="none" w:sz="0" w:space="0" w:color="auto"/>
      </w:divBdr>
    </w:div>
    <w:div w:id="1657415909">
      <w:bodyDiv w:val="1"/>
      <w:marLeft w:val="0"/>
      <w:marRight w:val="0"/>
      <w:marTop w:val="0"/>
      <w:marBottom w:val="0"/>
      <w:divBdr>
        <w:top w:val="none" w:sz="0" w:space="0" w:color="auto"/>
        <w:left w:val="none" w:sz="0" w:space="0" w:color="auto"/>
        <w:bottom w:val="none" w:sz="0" w:space="0" w:color="auto"/>
        <w:right w:val="none" w:sz="0" w:space="0" w:color="auto"/>
      </w:divBdr>
    </w:div>
    <w:div w:id="1657421044">
      <w:bodyDiv w:val="1"/>
      <w:marLeft w:val="0"/>
      <w:marRight w:val="0"/>
      <w:marTop w:val="0"/>
      <w:marBottom w:val="0"/>
      <w:divBdr>
        <w:top w:val="none" w:sz="0" w:space="0" w:color="auto"/>
        <w:left w:val="none" w:sz="0" w:space="0" w:color="auto"/>
        <w:bottom w:val="none" w:sz="0" w:space="0" w:color="auto"/>
        <w:right w:val="none" w:sz="0" w:space="0" w:color="auto"/>
      </w:divBdr>
    </w:div>
    <w:div w:id="1658068813">
      <w:bodyDiv w:val="1"/>
      <w:marLeft w:val="0"/>
      <w:marRight w:val="0"/>
      <w:marTop w:val="0"/>
      <w:marBottom w:val="0"/>
      <w:divBdr>
        <w:top w:val="none" w:sz="0" w:space="0" w:color="auto"/>
        <w:left w:val="none" w:sz="0" w:space="0" w:color="auto"/>
        <w:bottom w:val="none" w:sz="0" w:space="0" w:color="auto"/>
        <w:right w:val="none" w:sz="0" w:space="0" w:color="auto"/>
      </w:divBdr>
    </w:div>
    <w:div w:id="1658416513">
      <w:bodyDiv w:val="1"/>
      <w:marLeft w:val="0"/>
      <w:marRight w:val="0"/>
      <w:marTop w:val="0"/>
      <w:marBottom w:val="0"/>
      <w:divBdr>
        <w:top w:val="none" w:sz="0" w:space="0" w:color="auto"/>
        <w:left w:val="none" w:sz="0" w:space="0" w:color="auto"/>
        <w:bottom w:val="none" w:sz="0" w:space="0" w:color="auto"/>
        <w:right w:val="none" w:sz="0" w:space="0" w:color="auto"/>
      </w:divBdr>
    </w:div>
    <w:div w:id="1658419258">
      <w:bodyDiv w:val="1"/>
      <w:marLeft w:val="0"/>
      <w:marRight w:val="0"/>
      <w:marTop w:val="0"/>
      <w:marBottom w:val="0"/>
      <w:divBdr>
        <w:top w:val="none" w:sz="0" w:space="0" w:color="auto"/>
        <w:left w:val="none" w:sz="0" w:space="0" w:color="auto"/>
        <w:bottom w:val="none" w:sz="0" w:space="0" w:color="auto"/>
        <w:right w:val="none" w:sz="0" w:space="0" w:color="auto"/>
      </w:divBdr>
    </w:div>
    <w:div w:id="1658461120">
      <w:bodyDiv w:val="1"/>
      <w:marLeft w:val="0"/>
      <w:marRight w:val="0"/>
      <w:marTop w:val="0"/>
      <w:marBottom w:val="0"/>
      <w:divBdr>
        <w:top w:val="none" w:sz="0" w:space="0" w:color="auto"/>
        <w:left w:val="none" w:sz="0" w:space="0" w:color="auto"/>
        <w:bottom w:val="none" w:sz="0" w:space="0" w:color="auto"/>
        <w:right w:val="none" w:sz="0" w:space="0" w:color="auto"/>
      </w:divBdr>
    </w:div>
    <w:div w:id="1659187720">
      <w:bodyDiv w:val="1"/>
      <w:marLeft w:val="0"/>
      <w:marRight w:val="0"/>
      <w:marTop w:val="0"/>
      <w:marBottom w:val="0"/>
      <w:divBdr>
        <w:top w:val="none" w:sz="0" w:space="0" w:color="auto"/>
        <w:left w:val="none" w:sz="0" w:space="0" w:color="auto"/>
        <w:bottom w:val="none" w:sz="0" w:space="0" w:color="auto"/>
        <w:right w:val="none" w:sz="0" w:space="0" w:color="auto"/>
      </w:divBdr>
    </w:div>
    <w:div w:id="1659267697">
      <w:bodyDiv w:val="1"/>
      <w:marLeft w:val="0"/>
      <w:marRight w:val="0"/>
      <w:marTop w:val="0"/>
      <w:marBottom w:val="0"/>
      <w:divBdr>
        <w:top w:val="none" w:sz="0" w:space="0" w:color="auto"/>
        <w:left w:val="none" w:sz="0" w:space="0" w:color="auto"/>
        <w:bottom w:val="none" w:sz="0" w:space="0" w:color="auto"/>
        <w:right w:val="none" w:sz="0" w:space="0" w:color="auto"/>
      </w:divBdr>
    </w:div>
    <w:div w:id="1659652649">
      <w:bodyDiv w:val="1"/>
      <w:marLeft w:val="0"/>
      <w:marRight w:val="0"/>
      <w:marTop w:val="0"/>
      <w:marBottom w:val="0"/>
      <w:divBdr>
        <w:top w:val="none" w:sz="0" w:space="0" w:color="auto"/>
        <w:left w:val="none" w:sz="0" w:space="0" w:color="auto"/>
        <w:bottom w:val="none" w:sz="0" w:space="0" w:color="auto"/>
        <w:right w:val="none" w:sz="0" w:space="0" w:color="auto"/>
      </w:divBdr>
    </w:div>
    <w:div w:id="1659771627">
      <w:bodyDiv w:val="1"/>
      <w:marLeft w:val="0"/>
      <w:marRight w:val="0"/>
      <w:marTop w:val="0"/>
      <w:marBottom w:val="0"/>
      <w:divBdr>
        <w:top w:val="none" w:sz="0" w:space="0" w:color="auto"/>
        <w:left w:val="none" w:sz="0" w:space="0" w:color="auto"/>
        <w:bottom w:val="none" w:sz="0" w:space="0" w:color="auto"/>
        <w:right w:val="none" w:sz="0" w:space="0" w:color="auto"/>
      </w:divBdr>
    </w:div>
    <w:div w:id="1660117683">
      <w:bodyDiv w:val="1"/>
      <w:marLeft w:val="0"/>
      <w:marRight w:val="0"/>
      <w:marTop w:val="0"/>
      <w:marBottom w:val="0"/>
      <w:divBdr>
        <w:top w:val="none" w:sz="0" w:space="0" w:color="auto"/>
        <w:left w:val="none" w:sz="0" w:space="0" w:color="auto"/>
        <w:bottom w:val="none" w:sz="0" w:space="0" w:color="auto"/>
        <w:right w:val="none" w:sz="0" w:space="0" w:color="auto"/>
      </w:divBdr>
    </w:div>
    <w:div w:id="1660305583">
      <w:bodyDiv w:val="1"/>
      <w:marLeft w:val="0"/>
      <w:marRight w:val="0"/>
      <w:marTop w:val="0"/>
      <w:marBottom w:val="0"/>
      <w:divBdr>
        <w:top w:val="none" w:sz="0" w:space="0" w:color="auto"/>
        <w:left w:val="none" w:sz="0" w:space="0" w:color="auto"/>
        <w:bottom w:val="none" w:sz="0" w:space="0" w:color="auto"/>
        <w:right w:val="none" w:sz="0" w:space="0" w:color="auto"/>
      </w:divBdr>
    </w:div>
    <w:div w:id="1660378064">
      <w:bodyDiv w:val="1"/>
      <w:marLeft w:val="0"/>
      <w:marRight w:val="0"/>
      <w:marTop w:val="0"/>
      <w:marBottom w:val="0"/>
      <w:divBdr>
        <w:top w:val="none" w:sz="0" w:space="0" w:color="auto"/>
        <w:left w:val="none" w:sz="0" w:space="0" w:color="auto"/>
        <w:bottom w:val="none" w:sz="0" w:space="0" w:color="auto"/>
        <w:right w:val="none" w:sz="0" w:space="0" w:color="auto"/>
      </w:divBdr>
    </w:div>
    <w:div w:id="1660499638">
      <w:bodyDiv w:val="1"/>
      <w:marLeft w:val="0"/>
      <w:marRight w:val="0"/>
      <w:marTop w:val="0"/>
      <w:marBottom w:val="0"/>
      <w:divBdr>
        <w:top w:val="none" w:sz="0" w:space="0" w:color="auto"/>
        <w:left w:val="none" w:sz="0" w:space="0" w:color="auto"/>
        <w:bottom w:val="none" w:sz="0" w:space="0" w:color="auto"/>
        <w:right w:val="none" w:sz="0" w:space="0" w:color="auto"/>
      </w:divBdr>
    </w:div>
    <w:div w:id="1661352960">
      <w:bodyDiv w:val="1"/>
      <w:marLeft w:val="0"/>
      <w:marRight w:val="0"/>
      <w:marTop w:val="0"/>
      <w:marBottom w:val="0"/>
      <w:divBdr>
        <w:top w:val="none" w:sz="0" w:space="0" w:color="auto"/>
        <w:left w:val="none" w:sz="0" w:space="0" w:color="auto"/>
        <w:bottom w:val="none" w:sz="0" w:space="0" w:color="auto"/>
        <w:right w:val="none" w:sz="0" w:space="0" w:color="auto"/>
      </w:divBdr>
    </w:div>
    <w:div w:id="1661612129">
      <w:bodyDiv w:val="1"/>
      <w:marLeft w:val="0"/>
      <w:marRight w:val="0"/>
      <w:marTop w:val="0"/>
      <w:marBottom w:val="0"/>
      <w:divBdr>
        <w:top w:val="none" w:sz="0" w:space="0" w:color="auto"/>
        <w:left w:val="none" w:sz="0" w:space="0" w:color="auto"/>
        <w:bottom w:val="none" w:sz="0" w:space="0" w:color="auto"/>
        <w:right w:val="none" w:sz="0" w:space="0" w:color="auto"/>
      </w:divBdr>
    </w:div>
    <w:div w:id="1661691055">
      <w:bodyDiv w:val="1"/>
      <w:marLeft w:val="0"/>
      <w:marRight w:val="0"/>
      <w:marTop w:val="0"/>
      <w:marBottom w:val="0"/>
      <w:divBdr>
        <w:top w:val="none" w:sz="0" w:space="0" w:color="auto"/>
        <w:left w:val="none" w:sz="0" w:space="0" w:color="auto"/>
        <w:bottom w:val="none" w:sz="0" w:space="0" w:color="auto"/>
        <w:right w:val="none" w:sz="0" w:space="0" w:color="auto"/>
      </w:divBdr>
    </w:div>
    <w:div w:id="1661737171">
      <w:bodyDiv w:val="1"/>
      <w:marLeft w:val="0"/>
      <w:marRight w:val="0"/>
      <w:marTop w:val="0"/>
      <w:marBottom w:val="0"/>
      <w:divBdr>
        <w:top w:val="none" w:sz="0" w:space="0" w:color="auto"/>
        <w:left w:val="none" w:sz="0" w:space="0" w:color="auto"/>
        <w:bottom w:val="none" w:sz="0" w:space="0" w:color="auto"/>
        <w:right w:val="none" w:sz="0" w:space="0" w:color="auto"/>
      </w:divBdr>
    </w:div>
    <w:div w:id="1661807204">
      <w:bodyDiv w:val="1"/>
      <w:marLeft w:val="0"/>
      <w:marRight w:val="0"/>
      <w:marTop w:val="0"/>
      <w:marBottom w:val="0"/>
      <w:divBdr>
        <w:top w:val="none" w:sz="0" w:space="0" w:color="auto"/>
        <w:left w:val="none" w:sz="0" w:space="0" w:color="auto"/>
        <w:bottom w:val="none" w:sz="0" w:space="0" w:color="auto"/>
        <w:right w:val="none" w:sz="0" w:space="0" w:color="auto"/>
      </w:divBdr>
    </w:div>
    <w:div w:id="1661956327">
      <w:bodyDiv w:val="1"/>
      <w:marLeft w:val="0"/>
      <w:marRight w:val="0"/>
      <w:marTop w:val="0"/>
      <w:marBottom w:val="0"/>
      <w:divBdr>
        <w:top w:val="none" w:sz="0" w:space="0" w:color="auto"/>
        <w:left w:val="none" w:sz="0" w:space="0" w:color="auto"/>
        <w:bottom w:val="none" w:sz="0" w:space="0" w:color="auto"/>
        <w:right w:val="none" w:sz="0" w:space="0" w:color="auto"/>
      </w:divBdr>
    </w:div>
    <w:div w:id="1662270347">
      <w:bodyDiv w:val="1"/>
      <w:marLeft w:val="0"/>
      <w:marRight w:val="0"/>
      <w:marTop w:val="0"/>
      <w:marBottom w:val="0"/>
      <w:divBdr>
        <w:top w:val="none" w:sz="0" w:space="0" w:color="auto"/>
        <w:left w:val="none" w:sz="0" w:space="0" w:color="auto"/>
        <w:bottom w:val="none" w:sz="0" w:space="0" w:color="auto"/>
        <w:right w:val="none" w:sz="0" w:space="0" w:color="auto"/>
      </w:divBdr>
    </w:div>
    <w:div w:id="1662737442">
      <w:bodyDiv w:val="1"/>
      <w:marLeft w:val="0"/>
      <w:marRight w:val="0"/>
      <w:marTop w:val="0"/>
      <w:marBottom w:val="0"/>
      <w:divBdr>
        <w:top w:val="none" w:sz="0" w:space="0" w:color="auto"/>
        <w:left w:val="none" w:sz="0" w:space="0" w:color="auto"/>
        <w:bottom w:val="none" w:sz="0" w:space="0" w:color="auto"/>
        <w:right w:val="none" w:sz="0" w:space="0" w:color="auto"/>
      </w:divBdr>
    </w:div>
    <w:div w:id="1662851606">
      <w:bodyDiv w:val="1"/>
      <w:marLeft w:val="0"/>
      <w:marRight w:val="0"/>
      <w:marTop w:val="0"/>
      <w:marBottom w:val="0"/>
      <w:divBdr>
        <w:top w:val="none" w:sz="0" w:space="0" w:color="auto"/>
        <w:left w:val="none" w:sz="0" w:space="0" w:color="auto"/>
        <w:bottom w:val="none" w:sz="0" w:space="0" w:color="auto"/>
        <w:right w:val="none" w:sz="0" w:space="0" w:color="auto"/>
      </w:divBdr>
    </w:div>
    <w:div w:id="1663043880">
      <w:bodyDiv w:val="1"/>
      <w:marLeft w:val="0"/>
      <w:marRight w:val="0"/>
      <w:marTop w:val="0"/>
      <w:marBottom w:val="0"/>
      <w:divBdr>
        <w:top w:val="none" w:sz="0" w:space="0" w:color="auto"/>
        <w:left w:val="none" w:sz="0" w:space="0" w:color="auto"/>
        <w:bottom w:val="none" w:sz="0" w:space="0" w:color="auto"/>
        <w:right w:val="none" w:sz="0" w:space="0" w:color="auto"/>
      </w:divBdr>
    </w:div>
    <w:div w:id="1663124066">
      <w:bodyDiv w:val="1"/>
      <w:marLeft w:val="0"/>
      <w:marRight w:val="0"/>
      <w:marTop w:val="0"/>
      <w:marBottom w:val="0"/>
      <w:divBdr>
        <w:top w:val="none" w:sz="0" w:space="0" w:color="auto"/>
        <w:left w:val="none" w:sz="0" w:space="0" w:color="auto"/>
        <w:bottom w:val="none" w:sz="0" w:space="0" w:color="auto"/>
        <w:right w:val="none" w:sz="0" w:space="0" w:color="auto"/>
      </w:divBdr>
    </w:div>
    <w:div w:id="1663389907">
      <w:bodyDiv w:val="1"/>
      <w:marLeft w:val="0"/>
      <w:marRight w:val="0"/>
      <w:marTop w:val="0"/>
      <w:marBottom w:val="0"/>
      <w:divBdr>
        <w:top w:val="none" w:sz="0" w:space="0" w:color="auto"/>
        <w:left w:val="none" w:sz="0" w:space="0" w:color="auto"/>
        <w:bottom w:val="none" w:sz="0" w:space="0" w:color="auto"/>
        <w:right w:val="none" w:sz="0" w:space="0" w:color="auto"/>
      </w:divBdr>
    </w:div>
    <w:div w:id="1663390378">
      <w:bodyDiv w:val="1"/>
      <w:marLeft w:val="0"/>
      <w:marRight w:val="0"/>
      <w:marTop w:val="0"/>
      <w:marBottom w:val="0"/>
      <w:divBdr>
        <w:top w:val="none" w:sz="0" w:space="0" w:color="auto"/>
        <w:left w:val="none" w:sz="0" w:space="0" w:color="auto"/>
        <w:bottom w:val="none" w:sz="0" w:space="0" w:color="auto"/>
        <w:right w:val="none" w:sz="0" w:space="0" w:color="auto"/>
      </w:divBdr>
    </w:div>
    <w:div w:id="1663578513">
      <w:bodyDiv w:val="1"/>
      <w:marLeft w:val="0"/>
      <w:marRight w:val="0"/>
      <w:marTop w:val="0"/>
      <w:marBottom w:val="0"/>
      <w:divBdr>
        <w:top w:val="none" w:sz="0" w:space="0" w:color="auto"/>
        <w:left w:val="none" w:sz="0" w:space="0" w:color="auto"/>
        <w:bottom w:val="none" w:sz="0" w:space="0" w:color="auto"/>
        <w:right w:val="none" w:sz="0" w:space="0" w:color="auto"/>
      </w:divBdr>
    </w:div>
    <w:div w:id="1663893524">
      <w:bodyDiv w:val="1"/>
      <w:marLeft w:val="0"/>
      <w:marRight w:val="0"/>
      <w:marTop w:val="0"/>
      <w:marBottom w:val="0"/>
      <w:divBdr>
        <w:top w:val="none" w:sz="0" w:space="0" w:color="auto"/>
        <w:left w:val="none" w:sz="0" w:space="0" w:color="auto"/>
        <w:bottom w:val="none" w:sz="0" w:space="0" w:color="auto"/>
        <w:right w:val="none" w:sz="0" w:space="0" w:color="auto"/>
      </w:divBdr>
    </w:div>
    <w:div w:id="1663964873">
      <w:bodyDiv w:val="1"/>
      <w:marLeft w:val="0"/>
      <w:marRight w:val="0"/>
      <w:marTop w:val="0"/>
      <w:marBottom w:val="0"/>
      <w:divBdr>
        <w:top w:val="none" w:sz="0" w:space="0" w:color="auto"/>
        <w:left w:val="none" w:sz="0" w:space="0" w:color="auto"/>
        <w:bottom w:val="none" w:sz="0" w:space="0" w:color="auto"/>
        <w:right w:val="none" w:sz="0" w:space="0" w:color="auto"/>
      </w:divBdr>
    </w:div>
    <w:div w:id="1664041702">
      <w:bodyDiv w:val="1"/>
      <w:marLeft w:val="0"/>
      <w:marRight w:val="0"/>
      <w:marTop w:val="0"/>
      <w:marBottom w:val="0"/>
      <w:divBdr>
        <w:top w:val="none" w:sz="0" w:space="0" w:color="auto"/>
        <w:left w:val="none" w:sz="0" w:space="0" w:color="auto"/>
        <w:bottom w:val="none" w:sz="0" w:space="0" w:color="auto"/>
        <w:right w:val="none" w:sz="0" w:space="0" w:color="auto"/>
      </w:divBdr>
    </w:div>
    <w:div w:id="1664239085">
      <w:bodyDiv w:val="1"/>
      <w:marLeft w:val="0"/>
      <w:marRight w:val="0"/>
      <w:marTop w:val="0"/>
      <w:marBottom w:val="0"/>
      <w:divBdr>
        <w:top w:val="none" w:sz="0" w:space="0" w:color="auto"/>
        <w:left w:val="none" w:sz="0" w:space="0" w:color="auto"/>
        <w:bottom w:val="none" w:sz="0" w:space="0" w:color="auto"/>
        <w:right w:val="none" w:sz="0" w:space="0" w:color="auto"/>
      </w:divBdr>
    </w:div>
    <w:div w:id="1664353823">
      <w:bodyDiv w:val="1"/>
      <w:marLeft w:val="0"/>
      <w:marRight w:val="0"/>
      <w:marTop w:val="0"/>
      <w:marBottom w:val="0"/>
      <w:divBdr>
        <w:top w:val="none" w:sz="0" w:space="0" w:color="auto"/>
        <w:left w:val="none" w:sz="0" w:space="0" w:color="auto"/>
        <w:bottom w:val="none" w:sz="0" w:space="0" w:color="auto"/>
        <w:right w:val="none" w:sz="0" w:space="0" w:color="auto"/>
      </w:divBdr>
    </w:div>
    <w:div w:id="1664553861">
      <w:bodyDiv w:val="1"/>
      <w:marLeft w:val="0"/>
      <w:marRight w:val="0"/>
      <w:marTop w:val="0"/>
      <w:marBottom w:val="0"/>
      <w:divBdr>
        <w:top w:val="none" w:sz="0" w:space="0" w:color="auto"/>
        <w:left w:val="none" w:sz="0" w:space="0" w:color="auto"/>
        <w:bottom w:val="none" w:sz="0" w:space="0" w:color="auto"/>
        <w:right w:val="none" w:sz="0" w:space="0" w:color="auto"/>
      </w:divBdr>
    </w:div>
    <w:div w:id="1665207192">
      <w:bodyDiv w:val="1"/>
      <w:marLeft w:val="0"/>
      <w:marRight w:val="0"/>
      <w:marTop w:val="0"/>
      <w:marBottom w:val="0"/>
      <w:divBdr>
        <w:top w:val="none" w:sz="0" w:space="0" w:color="auto"/>
        <w:left w:val="none" w:sz="0" w:space="0" w:color="auto"/>
        <w:bottom w:val="none" w:sz="0" w:space="0" w:color="auto"/>
        <w:right w:val="none" w:sz="0" w:space="0" w:color="auto"/>
      </w:divBdr>
    </w:div>
    <w:div w:id="1665433341">
      <w:bodyDiv w:val="1"/>
      <w:marLeft w:val="0"/>
      <w:marRight w:val="0"/>
      <w:marTop w:val="0"/>
      <w:marBottom w:val="0"/>
      <w:divBdr>
        <w:top w:val="none" w:sz="0" w:space="0" w:color="auto"/>
        <w:left w:val="none" w:sz="0" w:space="0" w:color="auto"/>
        <w:bottom w:val="none" w:sz="0" w:space="0" w:color="auto"/>
        <w:right w:val="none" w:sz="0" w:space="0" w:color="auto"/>
      </w:divBdr>
    </w:div>
    <w:div w:id="1666976345">
      <w:bodyDiv w:val="1"/>
      <w:marLeft w:val="0"/>
      <w:marRight w:val="0"/>
      <w:marTop w:val="0"/>
      <w:marBottom w:val="0"/>
      <w:divBdr>
        <w:top w:val="none" w:sz="0" w:space="0" w:color="auto"/>
        <w:left w:val="none" w:sz="0" w:space="0" w:color="auto"/>
        <w:bottom w:val="none" w:sz="0" w:space="0" w:color="auto"/>
        <w:right w:val="none" w:sz="0" w:space="0" w:color="auto"/>
      </w:divBdr>
    </w:div>
    <w:div w:id="1667368139">
      <w:bodyDiv w:val="1"/>
      <w:marLeft w:val="0"/>
      <w:marRight w:val="0"/>
      <w:marTop w:val="0"/>
      <w:marBottom w:val="0"/>
      <w:divBdr>
        <w:top w:val="none" w:sz="0" w:space="0" w:color="auto"/>
        <w:left w:val="none" w:sz="0" w:space="0" w:color="auto"/>
        <w:bottom w:val="none" w:sz="0" w:space="0" w:color="auto"/>
        <w:right w:val="none" w:sz="0" w:space="0" w:color="auto"/>
      </w:divBdr>
    </w:div>
    <w:div w:id="1668247040">
      <w:bodyDiv w:val="1"/>
      <w:marLeft w:val="0"/>
      <w:marRight w:val="0"/>
      <w:marTop w:val="0"/>
      <w:marBottom w:val="0"/>
      <w:divBdr>
        <w:top w:val="none" w:sz="0" w:space="0" w:color="auto"/>
        <w:left w:val="none" w:sz="0" w:space="0" w:color="auto"/>
        <w:bottom w:val="none" w:sz="0" w:space="0" w:color="auto"/>
        <w:right w:val="none" w:sz="0" w:space="0" w:color="auto"/>
      </w:divBdr>
    </w:div>
    <w:div w:id="1668435055">
      <w:bodyDiv w:val="1"/>
      <w:marLeft w:val="0"/>
      <w:marRight w:val="0"/>
      <w:marTop w:val="0"/>
      <w:marBottom w:val="0"/>
      <w:divBdr>
        <w:top w:val="none" w:sz="0" w:space="0" w:color="auto"/>
        <w:left w:val="none" w:sz="0" w:space="0" w:color="auto"/>
        <w:bottom w:val="none" w:sz="0" w:space="0" w:color="auto"/>
        <w:right w:val="none" w:sz="0" w:space="0" w:color="auto"/>
      </w:divBdr>
    </w:div>
    <w:div w:id="1668551513">
      <w:bodyDiv w:val="1"/>
      <w:marLeft w:val="0"/>
      <w:marRight w:val="0"/>
      <w:marTop w:val="0"/>
      <w:marBottom w:val="0"/>
      <w:divBdr>
        <w:top w:val="none" w:sz="0" w:space="0" w:color="auto"/>
        <w:left w:val="none" w:sz="0" w:space="0" w:color="auto"/>
        <w:bottom w:val="none" w:sz="0" w:space="0" w:color="auto"/>
        <w:right w:val="none" w:sz="0" w:space="0" w:color="auto"/>
      </w:divBdr>
    </w:div>
    <w:div w:id="1668556514">
      <w:bodyDiv w:val="1"/>
      <w:marLeft w:val="0"/>
      <w:marRight w:val="0"/>
      <w:marTop w:val="0"/>
      <w:marBottom w:val="0"/>
      <w:divBdr>
        <w:top w:val="none" w:sz="0" w:space="0" w:color="auto"/>
        <w:left w:val="none" w:sz="0" w:space="0" w:color="auto"/>
        <w:bottom w:val="none" w:sz="0" w:space="0" w:color="auto"/>
        <w:right w:val="none" w:sz="0" w:space="0" w:color="auto"/>
      </w:divBdr>
    </w:div>
    <w:div w:id="1669015110">
      <w:bodyDiv w:val="1"/>
      <w:marLeft w:val="0"/>
      <w:marRight w:val="0"/>
      <w:marTop w:val="0"/>
      <w:marBottom w:val="0"/>
      <w:divBdr>
        <w:top w:val="none" w:sz="0" w:space="0" w:color="auto"/>
        <w:left w:val="none" w:sz="0" w:space="0" w:color="auto"/>
        <w:bottom w:val="none" w:sz="0" w:space="0" w:color="auto"/>
        <w:right w:val="none" w:sz="0" w:space="0" w:color="auto"/>
      </w:divBdr>
    </w:div>
    <w:div w:id="1669095943">
      <w:bodyDiv w:val="1"/>
      <w:marLeft w:val="0"/>
      <w:marRight w:val="0"/>
      <w:marTop w:val="0"/>
      <w:marBottom w:val="0"/>
      <w:divBdr>
        <w:top w:val="none" w:sz="0" w:space="0" w:color="auto"/>
        <w:left w:val="none" w:sz="0" w:space="0" w:color="auto"/>
        <w:bottom w:val="none" w:sz="0" w:space="0" w:color="auto"/>
        <w:right w:val="none" w:sz="0" w:space="0" w:color="auto"/>
      </w:divBdr>
    </w:div>
    <w:div w:id="1669210852">
      <w:bodyDiv w:val="1"/>
      <w:marLeft w:val="0"/>
      <w:marRight w:val="0"/>
      <w:marTop w:val="0"/>
      <w:marBottom w:val="0"/>
      <w:divBdr>
        <w:top w:val="none" w:sz="0" w:space="0" w:color="auto"/>
        <w:left w:val="none" w:sz="0" w:space="0" w:color="auto"/>
        <w:bottom w:val="none" w:sz="0" w:space="0" w:color="auto"/>
        <w:right w:val="none" w:sz="0" w:space="0" w:color="auto"/>
      </w:divBdr>
    </w:div>
    <w:div w:id="1669211782">
      <w:bodyDiv w:val="1"/>
      <w:marLeft w:val="0"/>
      <w:marRight w:val="0"/>
      <w:marTop w:val="0"/>
      <w:marBottom w:val="0"/>
      <w:divBdr>
        <w:top w:val="none" w:sz="0" w:space="0" w:color="auto"/>
        <w:left w:val="none" w:sz="0" w:space="0" w:color="auto"/>
        <w:bottom w:val="none" w:sz="0" w:space="0" w:color="auto"/>
        <w:right w:val="none" w:sz="0" w:space="0" w:color="auto"/>
      </w:divBdr>
    </w:div>
    <w:div w:id="1669291575">
      <w:bodyDiv w:val="1"/>
      <w:marLeft w:val="0"/>
      <w:marRight w:val="0"/>
      <w:marTop w:val="0"/>
      <w:marBottom w:val="0"/>
      <w:divBdr>
        <w:top w:val="none" w:sz="0" w:space="0" w:color="auto"/>
        <w:left w:val="none" w:sz="0" w:space="0" w:color="auto"/>
        <w:bottom w:val="none" w:sz="0" w:space="0" w:color="auto"/>
        <w:right w:val="none" w:sz="0" w:space="0" w:color="auto"/>
      </w:divBdr>
    </w:div>
    <w:div w:id="1669333175">
      <w:bodyDiv w:val="1"/>
      <w:marLeft w:val="0"/>
      <w:marRight w:val="0"/>
      <w:marTop w:val="0"/>
      <w:marBottom w:val="0"/>
      <w:divBdr>
        <w:top w:val="none" w:sz="0" w:space="0" w:color="auto"/>
        <w:left w:val="none" w:sz="0" w:space="0" w:color="auto"/>
        <w:bottom w:val="none" w:sz="0" w:space="0" w:color="auto"/>
        <w:right w:val="none" w:sz="0" w:space="0" w:color="auto"/>
      </w:divBdr>
    </w:div>
    <w:div w:id="1669365066">
      <w:bodyDiv w:val="1"/>
      <w:marLeft w:val="0"/>
      <w:marRight w:val="0"/>
      <w:marTop w:val="0"/>
      <w:marBottom w:val="0"/>
      <w:divBdr>
        <w:top w:val="none" w:sz="0" w:space="0" w:color="auto"/>
        <w:left w:val="none" w:sz="0" w:space="0" w:color="auto"/>
        <w:bottom w:val="none" w:sz="0" w:space="0" w:color="auto"/>
        <w:right w:val="none" w:sz="0" w:space="0" w:color="auto"/>
      </w:divBdr>
    </w:div>
    <w:div w:id="1669595755">
      <w:bodyDiv w:val="1"/>
      <w:marLeft w:val="0"/>
      <w:marRight w:val="0"/>
      <w:marTop w:val="0"/>
      <w:marBottom w:val="0"/>
      <w:divBdr>
        <w:top w:val="none" w:sz="0" w:space="0" w:color="auto"/>
        <w:left w:val="none" w:sz="0" w:space="0" w:color="auto"/>
        <w:bottom w:val="none" w:sz="0" w:space="0" w:color="auto"/>
        <w:right w:val="none" w:sz="0" w:space="0" w:color="auto"/>
      </w:divBdr>
    </w:div>
    <w:div w:id="1669674412">
      <w:bodyDiv w:val="1"/>
      <w:marLeft w:val="0"/>
      <w:marRight w:val="0"/>
      <w:marTop w:val="0"/>
      <w:marBottom w:val="0"/>
      <w:divBdr>
        <w:top w:val="none" w:sz="0" w:space="0" w:color="auto"/>
        <w:left w:val="none" w:sz="0" w:space="0" w:color="auto"/>
        <w:bottom w:val="none" w:sz="0" w:space="0" w:color="auto"/>
        <w:right w:val="none" w:sz="0" w:space="0" w:color="auto"/>
      </w:divBdr>
    </w:div>
    <w:div w:id="1669746403">
      <w:bodyDiv w:val="1"/>
      <w:marLeft w:val="0"/>
      <w:marRight w:val="0"/>
      <w:marTop w:val="0"/>
      <w:marBottom w:val="0"/>
      <w:divBdr>
        <w:top w:val="none" w:sz="0" w:space="0" w:color="auto"/>
        <w:left w:val="none" w:sz="0" w:space="0" w:color="auto"/>
        <w:bottom w:val="none" w:sz="0" w:space="0" w:color="auto"/>
        <w:right w:val="none" w:sz="0" w:space="0" w:color="auto"/>
      </w:divBdr>
    </w:div>
    <w:div w:id="1669792423">
      <w:bodyDiv w:val="1"/>
      <w:marLeft w:val="0"/>
      <w:marRight w:val="0"/>
      <w:marTop w:val="0"/>
      <w:marBottom w:val="0"/>
      <w:divBdr>
        <w:top w:val="none" w:sz="0" w:space="0" w:color="auto"/>
        <w:left w:val="none" w:sz="0" w:space="0" w:color="auto"/>
        <w:bottom w:val="none" w:sz="0" w:space="0" w:color="auto"/>
        <w:right w:val="none" w:sz="0" w:space="0" w:color="auto"/>
      </w:divBdr>
    </w:div>
    <w:div w:id="1669941639">
      <w:bodyDiv w:val="1"/>
      <w:marLeft w:val="0"/>
      <w:marRight w:val="0"/>
      <w:marTop w:val="0"/>
      <w:marBottom w:val="0"/>
      <w:divBdr>
        <w:top w:val="none" w:sz="0" w:space="0" w:color="auto"/>
        <w:left w:val="none" w:sz="0" w:space="0" w:color="auto"/>
        <w:bottom w:val="none" w:sz="0" w:space="0" w:color="auto"/>
        <w:right w:val="none" w:sz="0" w:space="0" w:color="auto"/>
      </w:divBdr>
    </w:div>
    <w:div w:id="1670057605">
      <w:bodyDiv w:val="1"/>
      <w:marLeft w:val="0"/>
      <w:marRight w:val="0"/>
      <w:marTop w:val="0"/>
      <w:marBottom w:val="0"/>
      <w:divBdr>
        <w:top w:val="none" w:sz="0" w:space="0" w:color="auto"/>
        <w:left w:val="none" w:sz="0" w:space="0" w:color="auto"/>
        <w:bottom w:val="none" w:sz="0" w:space="0" w:color="auto"/>
        <w:right w:val="none" w:sz="0" w:space="0" w:color="auto"/>
      </w:divBdr>
    </w:div>
    <w:div w:id="1670139190">
      <w:bodyDiv w:val="1"/>
      <w:marLeft w:val="0"/>
      <w:marRight w:val="0"/>
      <w:marTop w:val="0"/>
      <w:marBottom w:val="0"/>
      <w:divBdr>
        <w:top w:val="none" w:sz="0" w:space="0" w:color="auto"/>
        <w:left w:val="none" w:sz="0" w:space="0" w:color="auto"/>
        <w:bottom w:val="none" w:sz="0" w:space="0" w:color="auto"/>
        <w:right w:val="none" w:sz="0" w:space="0" w:color="auto"/>
      </w:divBdr>
    </w:div>
    <w:div w:id="1670329493">
      <w:bodyDiv w:val="1"/>
      <w:marLeft w:val="0"/>
      <w:marRight w:val="0"/>
      <w:marTop w:val="0"/>
      <w:marBottom w:val="0"/>
      <w:divBdr>
        <w:top w:val="none" w:sz="0" w:space="0" w:color="auto"/>
        <w:left w:val="none" w:sz="0" w:space="0" w:color="auto"/>
        <w:bottom w:val="none" w:sz="0" w:space="0" w:color="auto"/>
        <w:right w:val="none" w:sz="0" w:space="0" w:color="auto"/>
      </w:divBdr>
    </w:div>
    <w:div w:id="1670719273">
      <w:bodyDiv w:val="1"/>
      <w:marLeft w:val="0"/>
      <w:marRight w:val="0"/>
      <w:marTop w:val="0"/>
      <w:marBottom w:val="0"/>
      <w:divBdr>
        <w:top w:val="none" w:sz="0" w:space="0" w:color="auto"/>
        <w:left w:val="none" w:sz="0" w:space="0" w:color="auto"/>
        <w:bottom w:val="none" w:sz="0" w:space="0" w:color="auto"/>
        <w:right w:val="none" w:sz="0" w:space="0" w:color="auto"/>
      </w:divBdr>
    </w:div>
    <w:div w:id="1671251501">
      <w:bodyDiv w:val="1"/>
      <w:marLeft w:val="0"/>
      <w:marRight w:val="0"/>
      <w:marTop w:val="0"/>
      <w:marBottom w:val="0"/>
      <w:divBdr>
        <w:top w:val="none" w:sz="0" w:space="0" w:color="auto"/>
        <w:left w:val="none" w:sz="0" w:space="0" w:color="auto"/>
        <w:bottom w:val="none" w:sz="0" w:space="0" w:color="auto"/>
        <w:right w:val="none" w:sz="0" w:space="0" w:color="auto"/>
      </w:divBdr>
    </w:div>
    <w:div w:id="1671300001">
      <w:bodyDiv w:val="1"/>
      <w:marLeft w:val="0"/>
      <w:marRight w:val="0"/>
      <w:marTop w:val="0"/>
      <w:marBottom w:val="0"/>
      <w:divBdr>
        <w:top w:val="none" w:sz="0" w:space="0" w:color="auto"/>
        <w:left w:val="none" w:sz="0" w:space="0" w:color="auto"/>
        <w:bottom w:val="none" w:sz="0" w:space="0" w:color="auto"/>
        <w:right w:val="none" w:sz="0" w:space="0" w:color="auto"/>
      </w:divBdr>
    </w:div>
    <w:div w:id="1671374209">
      <w:bodyDiv w:val="1"/>
      <w:marLeft w:val="0"/>
      <w:marRight w:val="0"/>
      <w:marTop w:val="0"/>
      <w:marBottom w:val="0"/>
      <w:divBdr>
        <w:top w:val="none" w:sz="0" w:space="0" w:color="auto"/>
        <w:left w:val="none" w:sz="0" w:space="0" w:color="auto"/>
        <w:bottom w:val="none" w:sz="0" w:space="0" w:color="auto"/>
        <w:right w:val="none" w:sz="0" w:space="0" w:color="auto"/>
      </w:divBdr>
    </w:div>
    <w:div w:id="1671441651">
      <w:bodyDiv w:val="1"/>
      <w:marLeft w:val="0"/>
      <w:marRight w:val="0"/>
      <w:marTop w:val="0"/>
      <w:marBottom w:val="0"/>
      <w:divBdr>
        <w:top w:val="none" w:sz="0" w:space="0" w:color="auto"/>
        <w:left w:val="none" w:sz="0" w:space="0" w:color="auto"/>
        <w:bottom w:val="none" w:sz="0" w:space="0" w:color="auto"/>
        <w:right w:val="none" w:sz="0" w:space="0" w:color="auto"/>
      </w:divBdr>
    </w:div>
    <w:div w:id="1671562396">
      <w:bodyDiv w:val="1"/>
      <w:marLeft w:val="0"/>
      <w:marRight w:val="0"/>
      <w:marTop w:val="0"/>
      <w:marBottom w:val="0"/>
      <w:divBdr>
        <w:top w:val="none" w:sz="0" w:space="0" w:color="auto"/>
        <w:left w:val="none" w:sz="0" w:space="0" w:color="auto"/>
        <w:bottom w:val="none" w:sz="0" w:space="0" w:color="auto"/>
        <w:right w:val="none" w:sz="0" w:space="0" w:color="auto"/>
      </w:divBdr>
    </w:div>
    <w:div w:id="1671565023">
      <w:bodyDiv w:val="1"/>
      <w:marLeft w:val="0"/>
      <w:marRight w:val="0"/>
      <w:marTop w:val="0"/>
      <w:marBottom w:val="0"/>
      <w:divBdr>
        <w:top w:val="none" w:sz="0" w:space="0" w:color="auto"/>
        <w:left w:val="none" w:sz="0" w:space="0" w:color="auto"/>
        <w:bottom w:val="none" w:sz="0" w:space="0" w:color="auto"/>
        <w:right w:val="none" w:sz="0" w:space="0" w:color="auto"/>
      </w:divBdr>
    </w:div>
    <w:div w:id="1672298897">
      <w:bodyDiv w:val="1"/>
      <w:marLeft w:val="0"/>
      <w:marRight w:val="0"/>
      <w:marTop w:val="0"/>
      <w:marBottom w:val="0"/>
      <w:divBdr>
        <w:top w:val="none" w:sz="0" w:space="0" w:color="auto"/>
        <w:left w:val="none" w:sz="0" w:space="0" w:color="auto"/>
        <w:bottom w:val="none" w:sz="0" w:space="0" w:color="auto"/>
        <w:right w:val="none" w:sz="0" w:space="0" w:color="auto"/>
      </w:divBdr>
    </w:div>
    <w:div w:id="1672760401">
      <w:bodyDiv w:val="1"/>
      <w:marLeft w:val="0"/>
      <w:marRight w:val="0"/>
      <w:marTop w:val="0"/>
      <w:marBottom w:val="0"/>
      <w:divBdr>
        <w:top w:val="none" w:sz="0" w:space="0" w:color="auto"/>
        <w:left w:val="none" w:sz="0" w:space="0" w:color="auto"/>
        <w:bottom w:val="none" w:sz="0" w:space="0" w:color="auto"/>
        <w:right w:val="none" w:sz="0" w:space="0" w:color="auto"/>
      </w:divBdr>
    </w:div>
    <w:div w:id="1673071998">
      <w:bodyDiv w:val="1"/>
      <w:marLeft w:val="0"/>
      <w:marRight w:val="0"/>
      <w:marTop w:val="0"/>
      <w:marBottom w:val="0"/>
      <w:divBdr>
        <w:top w:val="none" w:sz="0" w:space="0" w:color="auto"/>
        <w:left w:val="none" w:sz="0" w:space="0" w:color="auto"/>
        <w:bottom w:val="none" w:sz="0" w:space="0" w:color="auto"/>
        <w:right w:val="none" w:sz="0" w:space="0" w:color="auto"/>
      </w:divBdr>
    </w:div>
    <w:div w:id="1673146954">
      <w:bodyDiv w:val="1"/>
      <w:marLeft w:val="0"/>
      <w:marRight w:val="0"/>
      <w:marTop w:val="0"/>
      <w:marBottom w:val="0"/>
      <w:divBdr>
        <w:top w:val="none" w:sz="0" w:space="0" w:color="auto"/>
        <w:left w:val="none" w:sz="0" w:space="0" w:color="auto"/>
        <w:bottom w:val="none" w:sz="0" w:space="0" w:color="auto"/>
        <w:right w:val="none" w:sz="0" w:space="0" w:color="auto"/>
      </w:divBdr>
    </w:div>
    <w:div w:id="1673684558">
      <w:bodyDiv w:val="1"/>
      <w:marLeft w:val="0"/>
      <w:marRight w:val="0"/>
      <w:marTop w:val="0"/>
      <w:marBottom w:val="0"/>
      <w:divBdr>
        <w:top w:val="none" w:sz="0" w:space="0" w:color="auto"/>
        <w:left w:val="none" w:sz="0" w:space="0" w:color="auto"/>
        <w:bottom w:val="none" w:sz="0" w:space="0" w:color="auto"/>
        <w:right w:val="none" w:sz="0" w:space="0" w:color="auto"/>
      </w:divBdr>
    </w:div>
    <w:div w:id="1673920869">
      <w:bodyDiv w:val="1"/>
      <w:marLeft w:val="0"/>
      <w:marRight w:val="0"/>
      <w:marTop w:val="0"/>
      <w:marBottom w:val="0"/>
      <w:divBdr>
        <w:top w:val="none" w:sz="0" w:space="0" w:color="auto"/>
        <w:left w:val="none" w:sz="0" w:space="0" w:color="auto"/>
        <w:bottom w:val="none" w:sz="0" w:space="0" w:color="auto"/>
        <w:right w:val="none" w:sz="0" w:space="0" w:color="auto"/>
      </w:divBdr>
    </w:div>
    <w:div w:id="1673944789">
      <w:bodyDiv w:val="1"/>
      <w:marLeft w:val="0"/>
      <w:marRight w:val="0"/>
      <w:marTop w:val="0"/>
      <w:marBottom w:val="0"/>
      <w:divBdr>
        <w:top w:val="none" w:sz="0" w:space="0" w:color="auto"/>
        <w:left w:val="none" w:sz="0" w:space="0" w:color="auto"/>
        <w:bottom w:val="none" w:sz="0" w:space="0" w:color="auto"/>
        <w:right w:val="none" w:sz="0" w:space="0" w:color="auto"/>
      </w:divBdr>
    </w:div>
    <w:div w:id="1673995102">
      <w:bodyDiv w:val="1"/>
      <w:marLeft w:val="0"/>
      <w:marRight w:val="0"/>
      <w:marTop w:val="0"/>
      <w:marBottom w:val="0"/>
      <w:divBdr>
        <w:top w:val="none" w:sz="0" w:space="0" w:color="auto"/>
        <w:left w:val="none" w:sz="0" w:space="0" w:color="auto"/>
        <w:bottom w:val="none" w:sz="0" w:space="0" w:color="auto"/>
        <w:right w:val="none" w:sz="0" w:space="0" w:color="auto"/>
      </w:divBdr>
    </w:div>
    <w:div w:id="1674066490">
      <w:bodyDiv w:val="1"/>
      <w:marLeft w:val="0"/>
      <w:marRight w:val="0"/>
      <w:marTop w:val="0"/>
      <w:marBottom w:val="0"/>
      <w:divBdr>
        <w:top w:val="none" w:sz="0" w:space="0" w:color="auto"/>
        <w:left w:val="none" w:sz="0" w:space="0" w:color="auto"/>
        <w:bottom w:val="none" w:sz="0" w:space="0" w:color="auto"/>
        <w:right w:val="none" w:sz="0" w:space="0" w:color="auto"/>
      </w:divBdr>
    </w:div>
    <w:div w:id="1674143186">
      <w:bodyDiv w:val="1"/>
      <w:marLeft w:val="0"/>
      <w:marRight w:val="0"/>
      <w:marTop w:val="0"/>
      <w:marBottom w:val="0"/>
      <w:divBdr>
        <w:top w:val="none" w:sz="0" w:space="0" w:color="auto"/>
        <w:left w:val="none" w:sz="0" w:space="0" w:color="auto"/>
        <w:bottom w:val="none" w:sz="0" w:space="0" w:color="auto"/>
        <w:right w:val="none" w:sz="0" w:space="0" w:color="auto"/>
      </w:divBdr>
    </w:div>
    <w:div w:id="1674183516">
      <w:bodyDiv w:val="1"/>
      <w:marLeft w:val="0"/>
      <w:marRight w:val="0"/>
      <w:marTop w:val="0"/>
      <w:marBottom w:val="0"/>
      <w:divBdr>
        <w:top w:val="none" w:sz="0" w:space="0" w:color="auto"/>
        <w:left w:val="none" w:sz="0" w:space="0" w:color="auto"/>
        <w:bottom w:val="none" w:sz="0" w:space="0" w:color="auto"/>
        <w:right w:val="none" w:sz="0" w:space="0" w:color="auto"/>
      </w:divBdr>
    </w:div>
    <w:div w:id="1674723026">
      <w:bodyDiv w:val="1"/>
      <w:marLeft w:val="0"/>
      <w:marRight w:val="0"/>
      <w:marTop w:val="0"/>
      <w:marBottom w:val="0"/>
      <w:divBdr>
        <w:top w:val="none" w:sz="0" w:space="0" w:color="auto"/>
        <w:left w:val="none" w:sz="0" w:space="0" w:color="auto"/>
        <w:bottom w:val="none" w:sz="0" w:space="0" w:color="auto"/>
        <w:right w:val="none" w:sz="0" w:space="0" w:color="auto"/>
      </w:divBdr>
    </w:div>
    <w:div w:id="1674868590">
      <w:bodyDiv w:val="1"/>
      <w:marLeft w:val="0"/>
      <w:marRight w:val="0"/>
      <w:marTop w:val="0"/>
      <w:marBottom w:val="0"/>
      <w:divBdr>
        <w:top w:val="none" w:sz="0" w:space="0" w:color="auto"/>
        <w:left w:val="none" w:sz="0" w:space="0" w:color="auto"/>
        <w:bottom w:val="none" w:sz="0" w:space="0" w:color="auto"/>
        <w:right w:val="none" w:sz="0" w:space="0" w:color="auto"/>
      </w:divBdr>
    </w:div>
    <w:div w:id="1674916913">
      <w:bodyDiv w:val="1"/>
      <w:marLeft w:val="0"/>
      <w:marRight w:val="0"/>
      <w:marTop w:val="0"/>
      <w:marBottom w:val="0"/>
      <w:divBdr>
        <w:top w:val="none" w:sz="0" w:space="0" w:color="auto"/>
        <w:left w:val="none" w:sz="0" w:space="0" w:color="auto"/>
        <w:bottom w:val="none" w:sz="0" w:space="0" w:color="auto"/>
        <w:right w:val="none" w:sz="0" w:space="0" w:color="auto"/>
      </w:divBdr>
    </w:div>
    <w:div w:id="1674986615">
      <w:bodyDiv w:val="1"/>
      <w:marLeft w:val="0"/>
      <w:marRight w:val="0"/>
      <w:marTop w:val="0"/>
      <w:marBottom w:val="0"/>
      <w:divBdr>
        <w:top w:val="none" w:sz="0" w:space="0" w:color="auto"/>
        <w:left w:val="none" w:sz="0" w:space="0" w:color="auto"/>
        <w:bottom w:val="none" w:sz="0" w:space="0" w:color="auto"/>
        <w:right w:val="none" w:sz="0" w:space="0" w:color="auto"/>
      </w:divBdr>
    </w:div>
    <w:div w:id="1675306158">
      <w:bodyDiv w:val="1"/>
      <w:marLeft w:val="0"/>
      <w:marRight w:val="0"/>
      <w:marTop w:val="0"/>
      <w:marBottom w:val="0"/>
      <w:divBdr>
        <w:top w:val="none" w:sz="0" w:space="0" w:color="auto"/>
        <w:left w:val="none" w:sz="0" w:space="0" w:color="auto"/>
        <w:bottom w:val="none" w:sz="0" w:space="0" w:color="auto"/>
        <w:right w:val="none" w:sz="0" w:space="0" w:color="auto"/>
      </w:divBdr>
    </w:div>
    <w:div w:id="1675449224">
      <w:bodyDiv w:val="1"/>
      <w:marLeft w:val="0"/>
      <w:marRight w:val="0"/>
      <w:marTop w:val="0"/>
      <w:marBottom w:val="0"/>
      <w:divBdr>
        <w:top w:val="none" w:sz="0" w:space="0" w:color="auto"/>
        <w:left w:val="none" w:sz="0" w:space="0" w:color="auto"/>
        <w:bottom w:val="none" w:sz="0" w:space="0" w:color="auto"/>
        <w:right w:val="none" w:sz="0" w:space="0" w:color="auto"/>
      </w:divBdr>
    </w:div>
    <w:div w:id="1675643752">
      <w:bodyDiv w:val="1"/>
      <w:marLeft w:val="0"/>
      <w:marRight w:val="0"/>
      <w:marTop w:val="0"/>
      <w:marBottom w:val="0"/>
      <w:divBdr>
        <w:top w:val="none" w:sz="0" w:space="0" w:color="auto"/>
        <w:left w:val="none" w:sz="0" w:space="0" w:color="auto"/>
        <w:bottom w:val="none" w:sz="0" w:space="0" w:color="auto"/>
        <w:right w:val="none" w:sz="0" w:space="0" w:color="auto"/>
      </w:divBdr>
    </w:div>
    <w:div w:id="1675645763">
      <w:bodyDiv w:val="1"/>
      <w:marLeft w:val="0"/>
      <w:marRight w:val="0"/>
      <w:marTop w:val="0"/>
      <w:marBottom w:val="0"/>
      <w:divBdr>
        <w:top w:val="none" w:sz="0" w:space="0" w:color="auto"/>
        <w:left w:val="none" w:sz="0" w:space="0" w:color="auto"/>
        <w:bottom w:val="none" w:sz="0" w:space="0" w:color="auto"/>
        <w:right w:val="none" w:sz="0" w:space="0" w:color="auto"/>
      </w:divBdr>
    </w:div>
    <w:div w:id="1676151412">
      <w:bodyDiv w:val="1"/>
      <w:marLeft w:val="0"/>
      <w:marRight w:val="0"/>
      <w:marTop w:val="0"/>
      <w:marBottom w:val="0"/>
      <w:divBdr>
        <w:top w:val="none" w:sz="0" w:space="0" w:color="auto"/>
        <w:left w:val="none" w:sz="0" w:space="0" w:color="auto"/>
        <w:bottom w:val="none" w:sz="0" w:space="0" w:color="auto"/>
        <w:right w:val="none" w:sz="0" w:space="0" w:color="auto"/>
      </w:divBdr>
    </w:div>
    <w:div w:id="1676761766">
      <w:bodyDiv w:val="1"/>
      <w:marLeft w:val="0"/>
      <w:marRight w:val="0"/>
      <w:marTop w:val="0"/>
      <w:marBottom w:val="0"/>
      <w:divBdr>
        <w:top w:val="none" w:sz="0" w:space="0" w:color="auto"/>
        <w:left w:val="none" w:sz="0" w:space="0" w:color="auto"/>
        <w:bottom w:val="none" w:sz="0" w:space="0" w:color="auto"/>
        <w:right w:val="none" w:sz="0" w:space="0" w:color="auto"/>
      </w:divBdr>
    </w:div>
    <w:div w:id="1676764298">
      <w:bodyDiv w:val="1"/>
      <w:marLeft w:val="0"/>
      <w:marRight w:val="0"/>
      <w:marTop w:val="0"/>
      <w:marBottom w:val="0"/>
      <w:divBdr>
        <w:top w:val="none" w:sz="0" w:space="0" w:color="auto"/>
        <w:left w:val="none" w:sz="0" w:space="0" w:color="auto"/>
        <w:bottom w:val="none" w:sz="0" w:space="0" w:color="auto"/>
        <w:right w:val="none" w:sz="0" w:space="0" w:color="auto"/>
      </w:divBdr>
    </w:div>
    <w:div w:id="1676884625">
      <w:bodyDiv w:val="1"/>
      <w:marLeft w:val="0"/>
      <w:marRight w:val="0"/>
      <w:marTop w:val="0"/>
      <w:marBottom w:val="0"/>
      <w:divBdr>
        <w:top w:val="none" w:sz="0" w:space="0" w:color="auto"/>
        <w:left w:val="none" w:sz="0" w:space="0" w:color="auto"/>
        <w:bottom w:val="none" w:sz="0" w:space="0" w:color="auto"/>
        <w:right w:val="none" w:sz="0" w:space="0" w:color="auto"/>
      </w:divBdr>
    </w:div>
    <w:div w:id="1678076918">
      <w:bodyDiv w:val="1"/>
      <w:marLeft w:val="0"/>
      <w:marRight w:val="0"/>
      <w:marTop w:val="0"/>
      <w:marBottom w:val="0"/>
      <w:divBdr>
        <w:top w:val="none" w:sz="0" w:space="0" w:color="auto"/>
        <w:left w:val="none" w:sz="0" w:space="0" w:color="auto"/>
        <w:bottom w:val="none" w:sz="0" w:space="0" w:color="auto"/>
        <w:right w:val="none" w:sz="0" w:space="0" w:color="auto"/>
      </w:divBdr>
    </w:div>
    <w:div w:id="1678194554">
      <w:bodyDiv w:val="1"/>
      <w:marLeft w:val="0"/>
      <w:marRight w:val="0"/>
      <w:marTop w:val="0"/>
      <w:marBottom w:val="0"/>
      <w:divBdr>
        <w:top w:val="none" w:sz="0" w:space="0" w:color="auto"/>
        <w:left w:val="none" w:sz="0" w:space="0" w:color="auto"/>
        <w:bottom w:val="none" w:sz="0" w:space="0" w:color="auto"/>
        <w:right w:val="none" w:sz="0" w:space="0" w:color="auto"/>
      </w:divBdr>
    </w:div>
    <w:div w:id="1678844083">
      <w:bodyDiv w:val="1"/>
      <w:marLeft w:val="0"/>
      <w:marRight w:val="0"/>
      <w:marTop w:val="0"/>
      <w:marBottom w:val="0"/>
      <w:divBdr>
        <w:top w:val="none" w:sz="0" w:space="0" w:color="auto"/>
        <w:left w:val="none" w:sz="0" w:space="0" w:color="auto"/>
        <w:bottom w:val="none" w:sz="0" w:space="0" w:color="auto"/>
        <w:right w:val="none" w:sz="0" w:space="0" w:color="auto"/>
      </w:divBdr>
    </w:div>
    <w:div w:id="1678924589">
      <w:bodyDiv w:val="1"/>
      <w:marLeft w:val="0"/>
      <w:marRight w:val="0"/>
      <w:marTop w:val="0"/>
      <w:marBottom w:val="0"/>
      <w:divBdr>
        <w:top w:val="none" w:sz="0" w:space="0" w:color="auto"/>
        <w:left w:val="none" w:sz="0" w:space="0" w:color="auto"/>
        <w:bottom w:val="none" w:sz="0" w:space="0" w:color="auto"/>
        <w:right w:val="none" w:sz="0" w:space="0" w:color="auto"/>
      </w:divBdr>
    </w:div>
    <w:div w:id="1679036432">
      <w:bodyDiv w:val="1"/>
      <w:marLeft w:val="0"/>
      <w:marRight w:val="0"/>
      <w:marTop w:val="0"/>
      <w:marBottom w:val="0"/>
      <w:divBdr>
        <w:top w:val="none" w:sz="0" w:space="0" w:color="auto"/>
        <w:left w:val="none" w:sz="0" w:space="0" w:color="auto"/>
        <w:bottom w:val="none" w:sz="0" w:space="0" w:color="auto"/>
        <w:right w:val="none" w:sz="0" w:space="0" w:color="auto"/>
      </w:divBdr>
    </w:div>
    <w:div w:id="1679234185">
      <w:bodyDiv w:val="1"/>
      <w:marLeft w:val="0"/>
      <w:marRight w:val="0"/>
      <w:marTop w:val="0"/>
      <w:marBottom w:val="0"/>
      <w:divBdr>
        <w:top w:val="none" w:sz="0" w:space="0" w:color="auto"/>
        <w:left w:val="none" w:sz="0" w:space="0" w:color="auto"/>
        <w:bottom w:val="none" w:sz="0" w:space="0" w:color="auto"/>
        <w:right w:val="none" w:sz="0" w:space="0" w:color="auto"/>
      </w:divBdr>
    </w:div>
    <w:div w:id="1679766401">
      <w:bodyDiv w:val="1"/>
      <w:marLeft w:val="0"/>
      <w:marRight w:val="0"/>
      <w:marTop w:val="0"/>
      <w:marBottom w:val="0"/>
      <w:divBdr>
        <w:top w:val="none" w:sz="0" w:space="0" w:color="auto"/>
        <w:left w:val="none" w:sz="0" w:space="0" w:color="auto"/>
        <w:bottom w:val="none" w:sz="0" w:space="0" w:color="auto"/>
        <w:right w:val="none" w:sz="0" w:space="0" w:color="auto"/>
      </w:divBdr>
    </w:div>
    <w:div w:id="1679889111">
      <w:bodyDiv w:val="1"/>
      <w:marLeft w:val="0"/>
      <w:marRight w:val="0"/>
      <w:marTop w:val="0"/>
      <w:marBottom w:val="0"/>
      <w:divBdr>
        <w:top w:val="none" w:sz="0" w:space="0" w:color="auto"/>
        <w:left w:val="none" w:sz="0" w:space="0" w:color="auto"/>
        <w:bottom w:val="none" w:sz="0" w:space="0" w:color="auto"/>
        <w:right w:val="none" w:sz="0" w:space="0" w:color="auto"/>
      </w:divBdr>
    </w:div>
    <w:div w:id="1680156241">
      <w:bodyDiv w:val="1"/>
      <w:marLeft w:val="0"/>
      <w:marRight w:val="0"/>
      <w:marTop w:val="0"/>
      <w:marBottom w:val="0"/>
      <w:divBdr>
        <w:top w:val="none" w:sz="0" w:space="0" w:color="auto"/>
        <w:left w:val="none" w:sz="0" w:space="0" w:color="auto"/>
        <w:bottom w:val="none" w:sz="0" w:space="0" w:color="auto"/>
        <w:right w:val="none" w:sz="0" w:space="0" w:color="auto"/>
      </w:divBdr>
    </w:div>
    <w:div w:id="1680736560">
      <w:bodyDiv w:val="1"/>
      <w:marLeft w:val="0"/>
      <w:marRight w:val="0"/>
      <w:marTop w:val="0"/>
      <w:marBottom w:val="0"/>
      <w:divBdr>
        <w:top w:val="none" w:sz="0" w:space="0" w:color="auto"/>
        <w:left w:val="none" w:sz="0" w:space="0" w:color="auto"/>
        <w:bottom w:val="none" w:sz="0" w:space="0" w:color="auto"/>
        <w:right w:val="none" w:sz="0" w:space="0" w:color="auto"/>
      </w:divBdr>
    </w:div>
    <w:div w:id="1680884808">
      <w:bodyDiv w:val="1"/>
      <w:marLeft w:val="0"/>
      <w:marRight w:val="0"/>
      <w:marTop w:val="0"/>
      <w:marBottom w:val="0"/>
      <w:divBdr>
        <w:top w:val="none" w:sz="0" w:space="0" w:color="auto"/>
        <w:left w:val="none" w:sz="0" w:space="0" w:color="auto"/>
        <w:bottom w:val="none" w:sz="0" w:space="0" w:color="auto"/>
        <w:right w:val="none" w:sz="0" w:space="0" w:color="auto"/>
      </w:divBdr>
    </w:div>
    <w:div w:id="1681200212">
      <w:bodyDiv w:val="1"/>
      <w:marLeft w:val="0"/>
      <w:marRight w:val="0"/>
      <w:marTop w:val="0"/>
      <w:marBottom w:val="0"/>
      <w:divBdr>
        <w:top w:val="none" w:sz="0" w:space="0" w:color="auto"/>
        <w:left w:val="none" w:sz="0" w:space="0" w:color="auto"/>
        <w:bottom w:val="none" w:sz="0" w:space="0" w:color="auto"/>
        <w:right w:val="none" w:sz="0" w:space="0" w:color="auto"/>
      </w:divBdr>
    </w:div>
    <w:div w:id="1681396641">
      <w:bodyDiv w:val="1"/>
      <w:marLeft w:val="0"/>
      <w:marRight w:val="0"/>
      <w:marTop w:val="0"/>
      <w:marBottom w:val="0"/>
      <w:divBdr>
        <w:top w:val="none" w:sz="0" w:space="0" w:color="auto"/>
        <w:left w:val="none" w:sz="0" w:space="0" w:color="auto"/>
        <w:bottom w:val="none" w:sz="0" w:space="0" w:color="auto"/>
        <w:right w:val="none" w:sz="0" w:space="0" w:color="auto"/>
      </w:divBdr>
    </w:div>
    <w:div w:id="1681616052">
      <w:bodyDiv w:val="1"/>
      <w:marLeft w:val="0"/>
      <w:marRight w:val="0"/>
      <w:marTop w:val="0"/>
      <w:marBottom w:val="0"/>
      <w:divBdr>
        <w:top w:val="none" w:sz="0" w:space="0" w:color="auto"/>
        <w:left w:val="none" w:sz="0" w:space="0" w:color="auto"/>
        <w:bottom w:val="none" w:sz="0" w:space="0" w:color="auto"/>
        <w:right w:val="none" w:sz="0" w:space="0" w:color="auto"/>
      </w:divBdr>
    </w:div>
    <w:div w:id="1681619367">
      <w:bodyDiv w:val="1"/>
      <w:marLeft w:val="0"/>
      <w:marRight w:val="0"/>
      <w:marTop w:val="0"/>
      <w:marBottom w:val="0"/>
      <w:divBdr>
        <w:top w:val="none" w:sz="0" w:space="0" w:color="auto"/>
        <w:left w:val="none" w:sz="0" w:space="0" w:color="auto"/>
        <w:bottom w:val="none" w:sz="0" w:space="0" w:color="auto"/>
        <w:right w:val="none" w:sz="0" w:space="0" w:color="auto"/>
      </w:divBdr>
    </w:div>
    <w:div w:id="1681816630">
      <w:bodyDiv w:val="1"/>
      <w:marLeft w:val="0"/>
      <w:marRight w:val="0"/>
      <w:marTop w:val="0"/>
      <w:marBottom w:val="0"/>
      <w:divBdr>
        <w:top w:val="none" w:sz="0" w:space="0" w:color="auto"/>
        <w:left w:val="none" w:sz="0" w:space="0" w:color="auto"/>
        <w:bottom w:val="none" w:sz="0" w:space="0" w:color="auto"/>
        <w:right w:val="none" w:sz="0" w:space="0" w:color="auto"/>
      </w:divBdr>
    </w:div>
    <w:div w:id="1682123007">
      <w:bodyDiv w:val="1"/>
      <w:marLeft w:val="0"/>
      <w:marRight w:val="0"/>
      <w:marTop w:val="0"/>
      <w:marBottom w:val="0"/>
      <w:divBdr>
        <w:top w:val="none" w:sz="0" w:space="0" w:color="auto"/>
        <w:left w:val="none" w:sz="0" w:space="0" w:color="auto"/>
        <w:bottom w:val="none" w:sz="0" w:space="0" w:color="auto"/>
        <w:right w:val="none" w:sz="0" w:space="0" w:color="auto"/>
      </w:divBdr>
    </w:div>
    <w:div w:id="1682199763">
      <w:bodyDiv w:val="1"/>
      <w:marLeft w:val="0"/>
      <w:marRight w:val="0"/>
      <w:marTop w:val="0"/>
      <w:marBottom w:val="0"/>
      <w:divBdr>
        <w:top w:val="none" w:sz="0" w:space="0" w:color="auto"/>
        <w:left w:val="none" w:sz="0" w:space="0" w:color="auto"/>
        <w:bottom w:val="none" w:sz="0" w:space="0" w:color="auto"/>
        <w:right w:val="none" w:sz="0" w:space="0" w:color="auto"/>
      </w:divBdr>
    </w:div>
    <w:div w:id="1682392478">
      <w:bodyDiv w:val="1"/>
      <w:marLeft w:val="0"/>
      <w:marRight w:val="0"/>
      <w:marTop w:val="0"/>
      <w:marBottom w:val="0"/>
      <w:divBdr>
        <w:top w:val="none" w:sz="0" w:space="0" w:color="auto"/>
        <w:left w:val="none" w:sz="0" w:space="0" w:color="auto"/>
        <w:bottom w:val="none" w:sz="0" w:space="0" w:color="auto"/>
        <w:right w:val="none" w:sz="0" w:space="0" w:color="auto"/>
      </w:divBdr>
    </w:div>
    <w:div w:id="1683049810">
      <w:bodyDiv w:val="1"/>
      <w:marLeft w:val="0"/>
      <w:marRight w:val="0"/>
      <w:marTop w:val="0"/>
      <w:marBottom w:val="0"/>
      <w:divBdr>
        <w:top w:val="none" w:sz="0" w:space="0" w:color="auto"/>
        <w:left w:val="none" w:sz="0" w:space="0" w:color="auto"/>
        <w:bottom w:val="none" w:sz="0" w:space="0" w:color="auto"/>
        <w:right w:val="none" w:sz="0" w:space="0" w:color="auto"/>
      </w:divBdr>
    </w:div>
    <w:div w:id="1683434062">
      <w:bodyDiv w:val="1"/>
      <w:marLeft w:val="0"/>
      <w:marRight w:val="0"/>
      <w:marTop w:val="0"/>
      <w:marBottom w:val="0"/>
      <w:divBdr>
        <w:top w:val="none" w:sz="0" w:space="0" w:color="auto"/>
        <w:left w:val="none" w:sz="0" w:space="0" w:color="auto"/>
        <w:bottom w:val="none" w:sz="0" w:space="0" w:color="auto"/>
        <w:right w:val="none" w:sz="0" w:space="0" w:color="auto"/>
      </w:divBdr>
    </w:div>
    <w:div w:id="1684475998">
      <w:bodyDiv w:val="1"/>
      <w:marLeft w:val="0"/>
      <w:marRight w:val="0"/>
      <w:marTop w:val="0"/>
      <w:marBottom w:val="0"/>
      <w:divBdr>
        <w:top w:val="none" w:sz="0" w:space="0" w:color="auto"/>
        <w:left w:val="none" w:sz="0" w:space="0" w:color="auto"/>
        <w:bottom w:val="none" w:sz="0" w:space="0" w:color="auto"/>
        <w:right w:val="none" w:sz="0" w:space="0" w:color="auto"/>
      </w:divBdr>
    </w:div>
    <w:div w:id="1684669169">
      <w:bodyDiv w:val="1"/>
      <w:marLeft w:val="0"/>
      <w:marRight w:val="0"/>
      <w:marTop w:val="0"/>
      <w:marBottom w:val="0"/>
      <w:divBdr>
        <w:top w:val="none" w:sz="0" w:space="0" w:color="auto"/>
        <w:left w:val="none" w:sz="0" w:space="0" w:color="auto"/>
        <w:bottom w:val="none" w:sz="0" w:space="0" w:color="auto"/>
        <w:right w:val="none" w:sz="0" w:space="0" w:color="auto"/>
      </w:divBdr>
    </w:div>
    <w:div w:id="1685012277">
      <w:bodyDiv w:val="1"/>
      <w:marLeft w:val="0"/>
      <w:marRight w:val="0"/>
      <w:marTop w:val="0"/>
      <w:marBottom w:val="0"/>
      <w:divBdr>
        <w:top w:val="none" w:sz="0" w:space="0" w:color="auto"/>
        <w:left w:val="none" w:sz="0" w:space="0" w:color="auto"/>
        <w:bottom w:val="none" w:sz="0" w:space="0" w:color="auto"/>
        <w:right w:val="none" w:sz="0" w:space="0" w:color="auto"/>
      </w:divBdr>
    </w:div>
    <w:div w:id="1685205869">
      <w:bodyDiv w:val="1"/>
      <w:marLeft w:val="0"/>
      <w:marRight w:val="0"/>
      <w:marTop w:val="0"/>
      <w:marBottom w:val="0"/>
      <w:divBdr>
        <w:top w:val="none" w:sz="0" w:space="0" w:color="auto"/>
        <w:left w:val="none" w:sz="0" w:space="0" w:color="auto"/>
        <w:bottom w:val="none" w:sz="0" w:space="0" w:color="auto"/>
        <w:right w:val="none" w:sz="0" w:space="0" w:color="auto"/>
      </w:divBdr>
    </w:div>
    <w:div w:id="1685471944">
      <w:bodyDiv w:val="1"/>
      <w:marLeft w:val="0"/>
      <w:marRight w:val="0"/>
      <w:marTop w:val="0"/>
      <w:marBottom w:val="0"/>
      <w:divBdr>
        <w:top w:val="none" w:sz="0" w:space="0" w:color="auto"/>
        <w:left w:val="none" w:sz="0" w:space="0" w:color="auto"/>
        <w:bottom w:val="none" w:sz="0" w:space="0" w:color="auto"/>
        <w:right w:val="none" w:sz="0" w:space="0" w:color="auto"/>
      </w:divBdr>
    </w:div>
    <w:div w:id="1685592707">
      <w:bodyDiv w:val="1"/>
      <w:marLeft w:val="0"/>
      <w:marRight w:val="0"/>
      <w:marTop w:val="0"/>
      <w:marBottom w:val="0"/>
      <w:divBdr>
        <w:top w:val="none" w:sz="0" w:space="0" w:color="auto"/>
        <w:left w:val="none" w:sz="0" w:space="0" w:color="auto"/>
        <w:bottom w:val="none" w:sz="0" w:space="0" w:color="auto"/>
        <w:right w:val="none" w:sz="0" w:space="0" w:color="auto"/>
      </w:divBdr>
    </w:div>
    <w:div w:id="1685666368">
      <w:bodyDiv w:val="1"/>
      <w:marLeft w:val="0"/>
      <w:marRight w:val="0"/>
      <w:marTop w:val="0"/>
      <w:marBottom w:val="0"/>
      <w:divBdr>
        <w:top w:val="none" w:sz="0" w:space="0" w:color="auto"/>
        <w:left w:val="none" w:sz="0" w:space="0" w:color="auto"/>
        <w:bottom w:val="none" w:sz="0" w:space="0" w:color="auto"/>
        <w:right w:val="none" w:sz="0" w:space="0" w:color="auto"/>
      </w:divBdr>
    </w:div>
    <w:div w:id="1685866573">
      <w:bodyDiv w:val="1"/>
      <w:marLeft w:val="0"/>
      <w:marRight w:val="0"/>
      <w:marTop w:val="0"/>
      <w:marBottom w:val="0"/>
      <w:divBdr>
        <w:top w:val="none" w:sz="0" w:space="0" w:color="auto"/>
        <w:left w:val="none" w:sz="0" w:space="0" w:color="auto"/>
        <w:bottom w:val="none" w:sz="0" w:space="0" w:color="auto"/>
        <w:right w:val="none" w:sz="0" w:space="0" w:color="auto"/>
      </w:divBdr>
    </w:div>
    <w:div w:id="1685980863">
      <w:bodyDiv w:val="1"/>
      <w:marLeft w:val="0"/>
      <w:marRight w:val="0"/>
      <w:marTop w:val="0"/>
      <w:marBottom w:val="0"/>
      <w:divBdr>
        <w:top w:val="none" w:sz="0" w:space="0" w:color="auto"/>
        <w:left w:val="none" w:sz="0" w:space="0" w:color="auto"/>
        <w:bottom w:val="none" w:sz="0" w:space="0" w:color="auto"/>
        <w:right w:val="none" w:sz="0" w:space="0" w:color="auto"/>
      </w:divBdr>
    </w:div>
    <w:div w:id="1686054605">
      <w:bodyDiv w:val="1"/>
      <w:marLeft w:val="0"/>
      <w:marRight w:val="0"/>
      <w:marTop w:val="0"/>
      <w:marBottom w:val="0"/>
      <w:divBdr>
        <w:top w:val="none" w:sz="0" w:space="0" w:color="auto"/>
        <w:left w:val="none" w:sz="0" w:space="0" w:color="auto"/>
        <w:bottom w:val="none" w:sz="0" w:space="0" w:color="auto"/>
        <w:right w:val="none" w:sz="0" w:space="0" w:color="auto"/>
      </w:divBdr>
    </w:div>
    <w:div w:id="1686327407">
      <w:bodyDiv w:val="1"/>
      <w:marLeft w:val="0"/>
      <w:marRight w:val="0"/>
      <w:marTop w:val="0"/>
      <w:marBottom w:val="0"/>
      <w:divBdr>
        <w:top w:val="none" w:sz="0" w:space="0" w:color="auto"/>
        <w:left w:val="none" w:sz="0" w:space="0" w:color="auto"/>
        <w:bottom w:val="none" w:sz="0" w:space="0" w:color="auto"/>
        <w:right w:val="none" w:sz="0" w:space="0" w:color="auto"/>
      </w:divBdr>
    </w:div>
    <w:div w:id="1686664422">
      <w:bodyDiv w:val="1"/>
      <w:marLeft w:val="0"/>
      <w:marRight w:val="0"/>
      <w:marTop w:val="0"/>
      <w:marBottom w:val="0"/>
      <w:divBdr>
        <w:top w:val="none" w:sz="0" w:space="0" w:color="auto"/>
        <w:left w:val="none" w:sz="0" w:space="0" w:color="auto"/>
        <w:bottom w:val="none" w:sz="0" w:space="0" w:color="auto"/>
        <w:right w:val="none" w:sz="0" w:space="0" w:color="auto"/>
      </w:divBdr>
    </w:div>
    <w:div w:id="1686975067">
      <w:bodyDiv w:val="1"/>
      <w:marLeft w:val="0"/>
      <w:marRight w:val="0"/>
      <w:marTop w:val="0"/>
      <w:marBottom w:val="0"/>
      <w:divBdr>
        <w:top w:val="none" w:sz="0" w:space="0" w:color="auto"/>
        <w:left w:val="none" w:sz="0" w:space="0" w:color="auto"/>
        <w:bottom w:val="none" w:sz="0" w:space="0" w:color="auto"/>
        <w:right w:val="none" w:sz="0" w:space="0" w:color="auto"/>
      </w:divBdr>
    </w:div>
    <w:div w:id="1687518484">
      <w:bodyDiv w:val="1"/>
      <w:marLeft w:val="0"/>
      <w:marRight w:val="0"/>
      <w:marTop w:val="0"/>
      <w:marBottom w:val="0"/>
      <w:divBdr>
        <w:top w:val="none" w:sz="0" w:space="0" w:color="auto"/>
        <w:left w:val="none" w:sz="0" w:space="0" w:color="auto"/>
        <w:bottom w:val="none" w:sz="0" w:space="0" w:color="auto"/>
        <w:right w:val="none" w:sz="0" w:space="0" w:color="auto"/>
      </w:divBdr>
    </w:div>
    <w:div w:id="1688097442">
      <w:bodyDiv w:val="1"/>
      <w:marLeft w:val="0"/>
      <w:marRight w:val="0"/>
      <w:marTop w:val="0"/>
      <w:marBottom w:val="0"/>
      <w:divBdr>
        <w:top w:val="none" w:sz="0" w:space="0" w:color="auto"/>
        <w:left w:val="none" w:sz="0" w:space="0" w:color="auto"/>
        <w:bottom w:val="none" w:sz="0" w:space="0" w:color="auto"/>
        <w:right w:val="none" w:sz="0" w:space="0" w:color="auto"/>
      </w:divBdr>
    </w:div>
    <w:div w:id="1688553580">
      <w:bodyDiv w:val="1"/>
      <w:marLeft w:val="0"/>
      <w:marRight w:val="0"/>
      <w:marTop w:val="0"/>
      <w:marBottom w:val="0"/>
      <w:divBdr>
        <w:top w:val="none" w:sz="0" w:space="0" w:color="auto"/>
        <w:left w:val="none" w:sz="0" w:space="0" w:color="auto"/>
        <w:bottom w:val="none" w:sz="0" w:space="0" w:color="auto"/>
        <w:right w:val="none" w:sz="0" w:space="0" w:color="auto"/>
      </w:divBdr>
    </w:div>
    <w:div w:id="1688602618">
      <w:bodyDiv w:val="1"/>
      <w:marLeft w:val="0"/>
      <w:marRight w:val="0"/>
      <w:marTop w:val="0"/>
      <w:marBottom w:val="0"/>
      <w:divBdr>
        <w:top w:val="none" w:sz="0" w:space="0" w:color="auto"/>
        <w:left w:val="none" w:sz="0" w:space="0" w:color="auto"/>
        <w:bottom w:val="none" w:sz="0" w:space="0" w:color="auto"/>
        <w:right w:val="none" w:sz="0" w:space="0" w:color="auto"/>
      </w:divBdr>
    </w:div>
    <w:div w:id="1688629466">
      <w:bodyDiv w:val="1"/>
      <w:marLeft w:val="0"/>
      <w:marRight w:val="0"/>
      <w:marTop w:val="0"/>
      <w:marBottom w:val="0"/>
      <w:divBdr>
        <w:top w:val="none" w:sz="0" w:space="0" w:color="auto"/>
        <w:left w:val="none" w:sz="0" w:space="0" w:color="auto"/>
        <w:bottom w:val="none" w:sz="0" w:space="0" w:color="auto"/>
        <w:right w:val="none" w:sz="0" w:space="0" w:color="auto"/>
      </w:divBdr>
    </w:div>
    <w:div w:id="1689256418">
      <w:bodyDiv w:val="1"/>
      <w:marLeft w:val="0"/>
      <w:marRight w:val="0"/>
      <w:marTop w:val="0"/>
      <w:marBottom w:val="0"/>
      <w:divBdr>
        <w:top w:val="none" w:sz="0" w:space="0" w:color="auto"/>
        <w:left w:val="none" w:sz="0" w:space="0" w:color="auto"/>
        <w:bottom w:val="none" w:sz="0" w:space="0" w:color="auto"/>
        <w:right w:val="none" w:sz="0" w:space="0" w:color="auto"/>
      </w:divBdr>
    </w:div>
    <w:div w:id="1689602946">
      <w:bodyDiv w:val="1"/>
      <w:marLeft w:val="0"/>
      <w:marRight w:val="0"/>
      <w:marTop w:val="0"/>
      <w:marBottom w:val="0"/>
      <w:divBdr>
        <w:top w:val="none" w:sz="0" w:space="0" w:color="auto"/>
        <w:left w:val="none" w:sz="0" w:space="0" w:color="auto"/>
        <w:bottom w:val="none" w:sz="0" w:space="0" w:color="auto"/>
        <w:right w:val="none" w:sz="0" w:space="0" w:color="auto"/>
      </w:divBdr>
    </w:div>
    <w:div w:id="1689671693">
      <w:bodyDiv w:val="1"/>
      <w:marLeft w:val="0"/>
      <w:marRight w:val="0"/>
      <w:marTop w:val="0"/>
      <w:marBottom w:val="0"/>
      <w:divBdr>
        <w:top w:val="none" w:sz="0" w:space="0" w:color="auto"/>
        <w:left w:val="none" w:sz="0" w:space="0" w:color="auto"/>
        <w:bottom w:val="none" w:sz="0" w:space="0" w:color="auto"/>
        <w:right w:val="none" w:sz="0" w:space="0" w:color="auto"/>
      </w:divBdr>
    </w:div>
    <w:div w:id="1689672750">
      <w:bodyDiv w:val="1"/>
      <w:marLeft w:val="0"/>
      <w:marRight w:val="0"/>
      <w:marTop w:val="0"/>
      <w:marBottom w:val="0"/>
      <w:divBdr>
        <w:top w:val="none" w:sz="0" w:space="0" w:color="auto"/>
        <w:left w:val="none" w:sz="0" w:space="0" w:color="auto"/>
        <w:bottom w:val="none" w:sz="0" w:space="0" w:color="auto"/>
        <w:right w:val="none" w:sz="0" w:space="0" w:color="auto"/>
      </w:divBdr>
    </w:div>
    <w:div w:id="1690452841">
      <w:bodyDiv w:val="1"/>
      <w:marLeft w:val="0"/>
      <w:marRight w:val="0"/>
      <w:marTop w:val="0"/>
      <w:marBottom w:val="0"/>
      <w:divBdr>
        <w:top w:val="none" w:sz="0" w:space="0" w:color="auto"/>
        <w:left w:val="none" w:sz="0" w:space="0" w:color="auto"/>
        <w:bottom w:val="none" w:sz="0" w:space="0" w:color="auto"/>
        <w:right w:val="none" w:sz="0" w:space="0" w:color="auto"/>
      </w:divBdr>
    </w:div>
    <w:div w:id="1690637924">
      <w:bodyDiv w:val="1"/>
      <w:marLeft w:val="0"/>
      <w:marRight w:val="0"/>
      <w:marTop w:val="0"/>
      <w:marBottom w:val="0"/>
      <w:divBdr>
        <w:top w:val="none" w:sz="0" w:space="0" w:color="auto"/>
        <w:left w:val="none" w:sz="0" w:space="0" w:color="auto"/>
        <w:bottom w:val="none" w:sz="0" w:space="0" w:color="auto"/>
        <w:right w:val="none" w:sz="0" w:space="0" w:color="auto"/>
      </w:divBdr>
    </w:div>
    <w:div w:id="1690641476">
      <w:bodyDiv w:val="1"/>
      <w:marLeft w:val="0"/>
      <w:marRight w:val="0"/>
      <w:marTop w:val="0"/>
      <w:marBottom w:val="0"/>
      <w:divBdr>
        <w:top w:val="none" w:sz="0" w:space="0" w:color="auto"/>
        <w:left w:val="none" w:sz="0" w:space="0" w:color="auto"/>
        <w:bottom w:val="none" w:sz="0" w:space="0" w:color="auto"/>
        <w:right w:val="none" w:sz="0" w:space="0" w:color="auto"/>
      </w:divBdr>
    </w:div>
    <w:div w:id="1691176121">
      <w:bodyDiv w:val="1"/>
      <w:marLeft w:val="0"/>
      <w:marRight w:val="0"/>
      <w:marTop w:val="0"/>
      <w:marBottom w:val="0"/>
      <w:divBdr>
        <w:top w:val="none" w:sz="0" w:space="0" w:color="auto"/>
        <w:left w:val="none" w:sz="0" w:space="0" w:color="auto"/>
        <w:bottom w:val="none" w:sz="0" w:space="0" w:color="auto"/>
        <w:right w:val="none" w:sz="0" w:space="0" w:color="auto"/>
      </w:divBdr>
    </w:div>
    <w:div w:id="1691178399">
      <w:bodyDiv w:val="1"/>
      <w:marLeft w:val="0"/>
      <w:marRight w:val="0"/>
      <w:marTop w:val="0"/>
      <w:marBottom w:val="0"/>
      <w:divBdr>
        <w:top w:val="none" w:sz="0" w:space="0" w:color="auto"/>
        <w:left w:val="none" w:sz="0" w:space="0" w:color="auto"/>
        <w:bottom w:val="none" w:sz="0" w:space="0" w:color="auto"/>
        <w:right w:val="none" w:sz="0" w:space="0" w:color="auto"/>
      </w:divBdr>
    </w:div>
    <w:div w:id="1691178879">
      <w:bodyDiv w:val="1"/>
      <w:marLeft w:val="0"/>
      <w:marRight w:val="0"/>
      <w:marTop w:val="0"/>
      <w:marBottom w:val="0"/>
      <w:divBdr>
        <w:top w:val="none" w:sz="0" w:space="0" w:color="auto"/>
        <w:left w:val="none" w:sz="0" w:space="0" w:color="auto"/>
        <w:bottom w:val="none" w:sz="0" w:space="0" w:color="auto"/>
        <w:right w:val="none" w:sz="0" w:space="0" w:color="auto"/>
      </w:divBdr>
    </w:div>
    <w:div w:id="1691254426">
      <w:bodyDiv w:val="1"/>
      <w:marLeft w:val="0"/>
      <w:marRight w:val="0"/>
      <w:marTop w:val="0"/>
      <w:marBottom w:val="0"/>
      <w:divBdr>
        <w:top w:val="none" w:sz="0" w:space="0" w:color="auto"/>
        <w:left w:val="none" w:sz="0" w:space="0" w:color="auto"/>
        <w:bottom w:val="none" w:sz="0" w:space="0" w:color="auto"/>
        <w:right w:val="none" w:sz="0" w:space="0" w:color="auto"/>
      </w:divBdr>
    </w:div>
    <w:div w:id="1692029350">
      <w:bodyDiv w:val="1"/>
      <w:marLeft w:val="0"/>
      <w:marRight w:val="0"/>
      <w:marTop w:val="0"/>
      <w:marBottom w:val="0"/>
      <w:divBdr>
        <w:top w:val="none" w:sz="0" w:space="0" w:color="auto"/>
        <w:left w:val="none" w:sz="0" w:space="0" w:color="auto"/>
        <w:bottom w:val="none" w:sz="0" w:space="0" w:color="auto"/>
        <w:right w:val="none" w:sz="0" w:space="0" w:color="auto"/>
      </w:divBdr>
    </w:div>
    <w:div w:id="1692603829">
      <w:bodyDiv w:val="1"/>
      <w:marLeft w:val="0"/>
      <w:marRight w:val="0"/>
      <w:marTop w:val="0"/>
      <w:marBottom w:val="0"/>
      <w:divBdr>
        <w:top w:val="none" w:sz="0" w:space="0" w:color="auto"/>
        <w:left w:val="none" w:sz="0" w:space="0" w:color="auto"/>
        <w:bottom w:val="none" w:sz="0" w:space="0" w:color="auto"/>
        <w:right w:val="none" w:sz="0" w:space="0" w:color="auto"/>
      </w:divBdr>
    </w:div>
    <w:div w:id="1692679890">
      <w:bodyDiv w:val="1"/>
      <w:marLeft w:val="0"/>
      <w:marRight w:val="0"/>
      <w:marTop w:val="0"/>
      <w:marBottom w:val="0"/>
      <w:divBdr>
        <w:top w:val="none" w:sz="0" w:space="0" w:color="auto"/>
        <w:left w:val="none" w:sz="0" w:space="0" w:color="auto"/>
        <w:bottom w:val="none" w:sz="0" w:space="0" w:color="auto"/>
        <w:right w:val="none" w:sz="0" w:space="0" w:color="auto"/>
      </w:divBdr>
    </w:div>
    <w:div w:id="1692949374">
      <w:bodyDiv w:val="1"/>
      <w:marLeft w:val="0"/>
      <w:marRight w:val="0"/>
      <w:marTop w:val="0"/>
      <w:marBottom w:val="0"/>
      <w:divBdr>
        <w:top w:val="none" w:sz="0" w:space="0" w:color="auto"/>
        <w:left w:val="none" w:sz="0" w:space="0" w:color="auto"/>
        <w:bottom w:val="none" w:sz="0" w:space="0" w:color="auto"/>
        <w:right w:val="none" w:sz="0" w:space="0" w:color="auto"/>
      </w:divBdr>
    </w:div>
    <w:div w:id="1693145102">
      <w:bodyDiv w:val="1"/>
      <w:marLeft w:val="0"/>
      <w:marRight w:val="0"/>
      <w:marTop w:val="0"/>
      <w:marBottom w:val="0"/>
      <w:divBdr>
        <w:top w:val="none" w:sz="0" w:space="0" w:color="auto"/>
        <w:left w:val="none" w:sz="0" w:space="0" w:color="auto"/>
        <w:bottom w:val="none" w:sz="0" w:space="0" w:color="auto"/>
        <w:right w:val="none" w:sz="0" w:space="0" w:color="auto"/>
      </w:divBdr>
    </w:div>
    <w:div w:id="1693146767">
      <w:bodyDiv w:val="1"/>
      <w:marLeft w:val="0"/>
      <w:marRight w:val="0"/>
      <w:marTop w:val="0"/>
      <w:marBottom w:val="0"/>
      <w:divBdr>
        <w:top w:val="none" w:sz="0" w:space="0" w:color="auto"/>
        <w:left w:val="none" w:sz="0" w:space="0" w:color="auto"/>
        <w:bottom w:val="none" w:sz="0" w:space="0" w:color="auto"/>
        <w:right w:val="none" w:sz="0" w:space="0" w:color="auto"/>
      </w:divBdr>
    </w:div>
    <w:div w:id="1693651827">
      <w:bodyDiv w:val="1"/>
      <w:marLeft w:val="0"/>
      <w:marRight w:val="0"/>
      <w:marTop w:val="0"/>
      <w:marBottom w:val="0"/>
      <w:divBdr>
        <w:top w:val="none" w:sz="0" w:space="0" w:color="auto"/>
        <w:left w:val="none" w:sz="0" w:space="0" w:color="auto"/>
        <w:bottom w:val="none" w:sz="0" w:space="0" w:color="auto"/>
        <w:right w:val="none" w:sz="0" w:space="0" w:color="auto"/>
      </w:divBdr>
    </w:div>
    <w:div w:id="1693724292">
      <w:bodyDiv w:val="1"/>
      <w:marLeft w:val="0"/>
      <w:marRight w:val="0"/>
      <w:marTop w:val="0"/>
      <w:marBottom w:val="0"/>
      <w:divBdr>
        <w:top w:val="none" w:sz="0" w:space="0" w:color="auto"/>
        <w:left w:val="none" w:sz="0" w:space="0" w:color="auto"/>
        <w:bottom w:val="none" w:sz="0" w:space="0" w:color="auto"/>
        <w:right w:val="none" w:sz="0" w:space="0" w:color="auto"/>
      </w:divBdr>
    </w:div>
    <w:div w:id="1694065324">
      <w:bodyDiv w:val="1"/>
      <w:marLeft w:val="0"/>
      <w:marRight w:val="0"/>
      <w:marTop w:val="0"/>
      <w:marBottom w:val="0"/>
      <w:divBdr>
        <w:top w:val="none" w:sz="0" w:space="0" w:color="auto"/>
        <w:left w:val="none" w:sz="0" w:space="0" w:color="auto"/>
        <w:bottom w:val="none" w:sz="0" w:space="0" w:color="auto"/>
        <w:right w:val="none" w:sz="0" w:space="0" w:color="auto"/>
      </w:divBdr>
    </w:div>
    <w:div w:id="1694072280">
      <w:bodyDiv w:val="1"/>
      <w:marLeft w:val="0"/>
      <w:marRight w:val="0"/>
      <w:marTop w:val="0"/>
      <w:marBottom w:val="0"/>
      <w:divBdr>
        <w:top w:val="none" w:sz="0" w:space="0" w:color="auto"/>
        <w:left w:val="none" w:sz="0" w:space="0" w:color="auto"/>
        <w:bottom w:val="none" w:sz="0" w:space="0" w:color="auto"/>
        <w:right w:val="none" w:sz="0" w:space="0" w:color="auto"/>
      </w:divBdr>
    </w:div>
    <w:div w:id="1694115720">
      <w:bodyDiv w:val="1"/>
      <w:marLeft w:val="0"/>
      <w:marRight w:val="0"/>
      <w:marTop w:val="0"/>
      <w:marBottom w:val="0"/>
      <w:divBdr>
        <w:top w:val="none" w:sz="0" w:space="0" w:color="auto"/>
        <w:left w:val="none" w:sz="0" w:space="0" w:color="auto"/>
        <w:bottom w:val="none" w:sz="0" w:space="0" w:color="auto"/>
        <w:right w:val="none" w:sz="0" w:space="0" w:color="auto"/>
      </w:divBdr>
    </w:div>
    <w:div w:id="1695570627">
      <w:bodyDiv w:val="1"/>
      <w:marLeft w:val="0"/>
      <w:marRight w:val="0"/>
      <w:marTop w:val="0"/>
      <w:marBottom w:val="0"/>
      <w:divBdr>
        <w:top w:val="none" w:sz="0" w:space="0" w:color="auto"/>
        <w:left w:val="none" w:sz="0" w:space="0" w:color="auto"/>
        <w:bottom w:val="none" w:sz="0" w:space="0" w:color="auto"/>
        <w:right w:val="none" w:sz="0" w:space="0" w:color="auto"/>
      </w:divBdr>
    </w:div>
    <w:div w:id="1695958224">
      <w:bodyDiv w:val="1"/>
      <w:marLeft w:val="0"/>
      <w:marRight w:val="0"/>
      <w:marTop w:val="0"/>
      <w:marBottom w:val="0"/>
      <w:divBdr>
        <w:top w:val="none" w:sz="0" w:space="0" w:color="auto"/>
        <w:left w:val="none" w:sz="0" w:space="0" w:color="auto"/>
        <w:bottom w:val="none" w:sz="0" w:space="0" w:color="auto"/>
        <w:right w:val="none" w:sz="0" w:space="0" w:color="auto"/>
      </w:divBdr>
    </w:div>
    <w:div w:id="1696031037">
      <w:bodyDiv w:val="1"/>
      <w:marLeft w:val="0"/>
      <w:marRight w:val="0"/>
      <w:marTop w:val="0"/>
      <w:marBottom w:val="0"/>
      <w:divBdr>
        <w:top w:val="none" w:sz="0" w:space="0" w:color="auto"/>
        <w:left w:val="none" w:sz="0" w:space="0" w:color="auto"/>
        <w:bottom w:val="none" w:sz="0" w:space="0" w:color="auto"/>
        <w:right w:val="none" w:sz="0" w:space="0" w:color="auto"/>
      </w:divBdr>
    </w:div>
    <w:div w:id="1696032402">
      <w:bodyDiv w:val="1"/>
      <w:marLeft w:val="0"/>
      <w:marRight w:val="0"/>
      <w:marTop w:val="0"/>
      <w:marBottom w:val="0"/>
      <w:divBdr>
        <w:top w:val="none" w:sz="0" w:space="0" w:color="auto"/>
        <w:left w:val="none" w:sz="0" w:space="0" w:color="auto"/>
        <w:bottom w:val="none" w:sz="0" w:space="0" w:color="auto"/>
        <w:right w:val="none" w:sz="0" w:space="0" w:color="auto"/>
      </w:divBdr>
    </w:div>
    <w:div w:id="1696077817">
      <w:bodyDiv w:val="1"/>
      <w:marLeft w:val="0"/>
      <w:marRight w:val="0"/>
      <w:marTop w:val="0"/>
      <w:marBottom w:val="0"/>
      <w:divBdr>
        <w:top w:val="none" w:sz="0" w:space="0" w:color="auto"/>
        <w:left w:val="none" w:sz="0" w:space="0" w:color="auto"/>
        <w:bottom w:val="none" w:sz="0" w:space="0" w:color="auto"/>
        <w:right w:val="none" w:sz="0" w:space="0" w:color="auto"/>
      </w:divBdr>
    </w:div>
    <w:div w:id="1696224494">
      <w:bodyDiv w:val="1"/>
      <w:marLeft w:val="0"/>
      <w:marRight w:val="0"/>
      <w:marTop w:val="0"/>
      <w:marBottom w:val="0"/>
      <w:divBdr>
        <w:top w:val="none" w:sz="0" w:space="0" w:color="auto"/>
        <w:left w:val="none" w:sz="0" w:space="0" w:color="auto"/>
        <w:bottom w:val="none" w:sz="0" w:space="0" w:color="auto"/>
        <w:right w:val="none" w:sz="0" w:space="0" w:color="auto"/>
      </w:divBdr>
    </w:div>
    <w:div w:id="1696228939">
      <w:bodyDiv w:val="1"/>
      <w:marLeft w:val="0"/>
      <w:marRight w:val="0"/>
      <w:marTop w:val="0"/>
      <w:marBottom w:val="0"/>
      <w:divBdr>
        <w:top w:val="none" w:sz="0" w:space="0" w:color="auto"/>
        <w:left w:val="none" w:sz="0" w:space="0" w:color="auto"/>
        <w:bottom w:val="none" w:sz="0" w:space="0" w:color="auto"/>
        <w:right w:val="none" w:sz="0" w:space="0" w:color="auto"/>
      </w:divBdr>
    </w:div>
    <w:div w:id="1696926424">
      <w:bodyDiv w:val="1"/>
      <w:marLeft w:val="0"/>
      <w:marRight w:val="0"/>
      <w:marTop w:val="0"/>
      <w:marBottom w:val="0"/>
      <w:divBdr>
        <w:top w:val="none" w:sz="0" w:space="0" w:color="auto"/>
        <w:left w:val="none" w:sz="0" w:space="0" w:color="auto"/>
        <w:bottom w:val="none" w:sz="0" w:space="0" w:color="auto"/>
        <w:right w:val="none" w:sz="0" w:space="0" w:color="auto"/>
      </w:divBdr>
    </w:div>
    <w:div w:id="1696997176">
      <w:bodyDiv w:val="1"/>
      <w:marLeft w:val="0"/>
      <w:marRight w:val="0"/>
      <w:marTop w:val="0"/>
      <w:marBottom w:val="0"/>
      <w:divBdr>
        <w:top w:val="none" w:sz="0" w:space="0" w:color="auto"/>
        <w:left w:val="none" w:sz="0" w:space="0" w:color="auto"/>
        <w:bottom w:val="none" w:sz="0" w:space="0" w:color="auto"/>
        <w:right w:val="none" w:sz="0" w:space="0" w:color="auto"/>
      </w:divBdr>
    </w:div>
    <w:div w:id="1696998390">
      <w:bodyDiv w:val="1"/>
      <w:marLeft w:val="0"/>
      <w:marRight w:val="0"/>
      <w:marTop w:val="0"/>
      <w:marBottom w:val="0"/>
      <w:divBdr>
        <w:top w:val="none" w:sz="0" w:space="0" w:color="auto"/>
        <w:left w:val="none" w:sz="0" w:space="0" w:color="auto"/>
        <w:bottom w:val="none" w:sz="0" w:space="0" w:color="auto"/>
        <w:right w:val="none" w:sz="0" w:space="0" w:color="auto"/>
      </w:divBdr>
    </w:div>
    <w:div w:id="1697001022">
      <w:bodyDiv w:val="1"/>
      <w:marLeft w:val="0"/>
      <w:marRight w:val="0"/>
      <w:marTop w:val="0"/>
      <w:marBottom w:val="0"/>
      <w:divBdr>
        <w:top w:val="none" w:sz="0" w:space="0" w:color="auto"/>
        <w:left w:val="none" w:sz="0" w:space="0" w:color="auto"/>
        <w:bottom w:val="none" w:sz="0" w:space="0" w:color="auto"/>
        <w:right w:val="none" w:sz="0" w:space="0" w:color="auto"/>
      </w:divBdr>
    </w:div>
    <w:div w:id="1697078352">
      <w:bodyDiv w:val="1"/>
      <w:marLeft w:val="0"/>
      <w:marRight w:val="0"/>
      <w:marTop w:val="0"/>
      <w:marBottom w:val="0"/>
      <w:divBdr>
        <w:top w:val="none" w:sz="0" w:space="0" w:color="auto"/>
        <w:left w:val="none" w:sz="0" w:space="0" w:color="auto"/>
        <w:bottom w:val="none" w:sz="0" w:space="0" w:color="auto"/>
        <w:right w:val="none" w:sz="0" w:space="0" w:color="auto"/>
      </w:divBdr>
    </w:div>
    <w:div w:id="1697999008">
      <w:bodyDiv w:val="1"/>
      <w:marLeft w:val="0"/>
      <w:marRight w:val="0"/>
      <w:marTop w:val="0"/>
      <w:marBottom w:val="0"/>
      <w:divBdr>
        <w:top w:val="none" w:sz="0" w:space="0" w:color="auto"/>
        <w:left w:val="none" w:sz="0" w:space="0" w:color="auto"/>
        <w:bottom w:val="none" w:sz="0" w:space="0" w:color="auto"/>
        <w:right w:val="none" w:sz="0" w:space="0" w:color="auto"/>
      </w:divBdr>
    </w:div>
    <w:div w:id="1698119346">
      <w:bodyDiv w:val="1"/>
      <w:marLeft w:val="0"/>
      <w:marRight w:val="0"/>
      <w:marTop w:val="0"/>
      <w:marBottom w:val="0"/>
      <w:divBdr>
        <w:top w:val="none" w:sz="0" w:space="0" w:color="auto"/>
        <w:left w:val="none" w:sz="0" w:space="0" w:color="auto"/>
        <w:bottom w:val="none" w:sz="0" w:space="0" w:color="auto"/>
        <w:right w:val="none" w:sz="0" w:space="0" w:color="auto"/>
      </w:divBdr>
    </w:div>
    <w:div w:id="1698578831">
      <w:bodyDiv w:val="1"/>
      <w:marLeft w:val="0"/>
      <w:marRight w:val="0"/>
      <w:marTop w:val="0"/>
      <w:marBottom w:val="0"/>
      <w:divBdr>
        <w:top w:val="none" w:sz="0" w:space="0" w:color="auto"/>
        <w:left w:val="none" w:sz="0" w:space="0" w:color="auto"/>
        <w:bottom w:val="none" w:sz="0" w:space="0" w:color="auto"/>
        <w:right w:val="none" w:sz="0" w:space="0" w:color="auto"/>
      </w:divBdr>
    </w:div>
    <w:div w:id="1698659095">
      <w:bodyDiv w:val="1"/>
      <w:marLeft w:val="0"/>
      <w:marRight w:val="0"/>
      <w:marTop w:val="0"/>
      <w:marBottom w:val="0"/>
      <w:divBdr>
        <w:top w:val="none" w:sz="0" w:space="0" w:color="auto"/>
        <w:left w:val="none" w:sz="0" w:space="0" w:color="auto"/>
        <w:bottom w:val="none" w:sz="0" w:space="0" w:color="auto"/>
        <w:right w:val="none" w:sz="0" w:space="0" w:color="auto"/>
      </w:divBdr>
    </w:div>
    <w:div w:id="1699038707">
      <w:bodyDiv w:val="1"/>
      <w:marLeft w:val="0"/>
      <w:marRight w:val="0"/>
      <w:marTop w:val="0"/>
      <w:marBottom w:val="0"/>
      <w:divBdr>
        <w:top w:val="none" w:sz="0" w:space="0" w:color="auto"/>
        <w:left w:val="none" w:sz="0" w:space="0" w:color="auto"/>
        <w:bottom w:val="none" w:sz="0" w:space="0" w:color="auto"/>
        <w:right w:val="none" w:sz="0" w:space="0" w:color="auto"/>
      </w:divBdr>
    </w:div>
    <w:div w:id="1699044591">
      <w:bodyDiv w:val="1"/>
      <w:marLeft w:val="0"/>
      <w:marRight w:val="0"/>
      <w:marTop w:val="0"/>
      <w:marBottom w:val="0"/>
      <w:divBdr>
        <w:top w:val="none" w:sz="0" w:space="0" w:color="auto"/>
        <w:left w:val="none" w:sz="0" w:space="0" w:color="auto"/>
        <w:bottom w:val="none" w:sz="0" w:space="0" w:color="auto"/>
        <w:right w:val="none" w:sz="0" w:space="0" w:color="auto"/>
      </w:divBdr>
    </w:div>
    <w:div w:id="1699312058">
      <w:bodyDiv w:val="1"/>
      <w:marLeft w:val="0"/>
      <w:marRight w:val="0"/>
      <w:marTop w:val="0"/>
      <w:marBottom w:val="0"/>
      <w:divBdr>
        <w:top w:val="none" w:sz="0" w:space="0" w:color="auto"/>
        <w:left w:val="none" w:sz="0" w:space="0" w:color="auto"/>
        <w:bottom w:val="none" w:sz="0" w:space="0" w:color="auto"/>
        <w:right w:val="none" w:sz="0" w:space="0" w:color="auto"/>
      </w:divBdr>
    </w:div>
    <w:div w:id="1699693201">
      <w:bodyDiv w:val="1"/>
      <w:marLeft w:val="0"/>
      <w:marRight w:val="0"/>
      <w:marTop w:val="0"/>
      <w:marBottom w:val="0"/>
      <w:divBdr>
        <w:top w:val="none" w:sz="0" w:space="0" w:color="auto"/>
        <w:left w:val="none" w:sz="0" w:space="0" w:color="auto"/>
        <w:bottom w:val="none" w:sz="0" w:space="0" w:color="auto"/>
        <w:right w:val="none" w:sz="0" w:space="0" w:color="auto"/>
      </w:divBdr>
    </w:div>
    <w:div w:id="1699887419">
      <w:bodyDiv w:val="1"/>
      <w:marLeft w:val="0"/>
      <w:marRight w:val="0"/>
      <w:marTop w:val="0"/>
      <w:marBottom w:val="0"/>
      <w:divBdr>
        <w:top w:val="none" w:sz="0" w:space="0" w:color="auto"/>
        <w:left w:val="none" w:sz="0" w:space="0" w:color="auto"/>
        <w:bottom w:val="none" w:sz="0" w:space="0" w:color="auto"/>
        <w:right w:val="none" w:sz="0" w:space="0" w:color="auto"/>
      </w:divBdr>
    </w:div>
    <w:div w:id="1700006221">
      <w:bodyDiv w:val="1"/>
      <w:marLeft w:val="0"/>
      <w:marRight w:val="0"/>
      <w:marTop w:val="0"/>
      <w:marBottom w:val="0"/>
      <w:divBdr>
        <w:top w:val="none" w:sz="0" w:space="0" w:color="auto"/>
        <w:left w:val="none" w:sz="0" w:space="0" w:color="auto"/>
        <w:bottom w:val="none" w:sz="0" w:space="0" w:color="auto"/>
        <w:right w:val="none" w:sz="0" w:space="0" w:color="auto"/>
      </w:divBdr>
    </w:div>
    <w:div w:id="1700157977">
      <w:bodyDiv w:val="1"/>
      <w:marLeft w:val="0"/>
      <w:marRight w:val="0"/>
      <w:marTop w:val="0"/>
      <w:marBottom w:val="0"/>
      <w:divBdr>
        <w:top w:val="none" w:sz="0" w:space="0" w:color="auto"/>
        <w:left w:val="none" w:sz="0" w:space="0" w:color="auto"/>
        <w:bottom w:val="none" w:sz="0" w:space="0" w:color="auto"/>
        <w:right w:val="none" w:sz="0" w:space="0" w:color="auto"/>
      </w:divBdr>
    </w:div>
    <w:div w:id="1700546629">
      <w:bodyDiv w:val="1"/>
      <w:marLeft w:val="0"/>
      <w:marRight w:val="0"/>
      <w:marTop w:val="0"/>
      <w:marBottom w:val="0"/>
      <w:divBdr>
        <w:top w:val="none" w:sz="0" w:space="0" w:color="auto"/>
        <w:left w:val="none" w:sz="0" w:space="0" w:color="auto"/>
        <w:bottom w:val="none" w:sz="0" w:space="0" w:color="auto"/>
        <w:right w:val="none" w:sz="0" w:space="0" w:color="auto"/>
      </w:divBdr>
    </w:div>
    <w:div w:id="1700858041">
      <w:bodyDiv w:val="1"/>
      <w:marLeft w:val="0"/>
      <w:marRight w:val="0"/>
      <w:marTop w:val="0"/>
      <w:marBottom w:val="0"/>
      <w:divBdr>
        <w:top w:val="none" w:sz="0" w:space="0" w:color="auto"/>
        <w:left w:val="none" w:sz="0" w:space="0" w:color="auto"/>
        <w:bottom w:val="none" w:sz="0" w:space="0" w:color="auto"/>
        <w:right w:val="none" w:sz="0" w:space="0" w:color="auto"/>
      </w:divBdr>
    </w:div>
    <w:div w:id="1702047605">
      <w:bodyDiv w:val="1"/>
      <w:marLeft w:val="0"/>
      <w:marRight w:val="0"/>
      <w:marTop w:val="0"/>
      <w:marBottom w:val="0"/>
      <w:divBdr>
        <w:top w:val="none" w:sz="0" w:space="0" w:color="auto"/>
        <w:left w:val="none" w:sz="0" w:space="0" w:color="auto"/>
        <w:bottom w:val="none" w:sz="0" w:space="0" w:color="auto"/>
        <w:right w:val="none" w:sz="0" w:space="0" w:color="auto"/>
      </w:divBdr>
    </w:div>
    <w:div w:id="1702128938">
      <w:bodyDiv w:val="1"/>
      <w:marLeft w:val="0"/>
      <w:marRight w:val="0"/>
      <w:marTop w:val="0"/>
      <w:marBottom w:val="0"/>
      <w:divBdr>
        <w:top w:val="none" w:sz="0" w:space="0" w:color="auto"/>
        <w:left w:val="none" w:sz="0" w:space="0" w:color="auto"/>
        <w:bottom w:val="none" w:sz="0" w:space="0" w:color="auto"/>
        <w:right w:val="none" w:sz="0" w:space="0" w:color="auto"/>
      </w:divBdr>
    </w:div>
    <w:div w:id="1702971089">
      <w:bodyDiv w:val="1"/>
      <w:marLeft w:val="0"/>
      <w:marRight w:val="0"/>
      <w:marTop w:val="0"/>
      <w:marBottom w:val="0"/>
      <w:divBdr>
        <w:top w:val="none" w:sz="0" w:space="0" w:color="auto"/>
        <w:left w:val="none" w:sz="0" w:space="0" w:color="auto"/>
        <w:bottom w:val="none" w:sz="0" w:space="0" w:color="auto"/>
        <w:right w:val="none" w:sz="0" w:space="0" w:color="auto"/>
      </w:divBdr>
    </w:div>
    <w:div w:id="1702975267">
      <w:bodyDiv w:val="1"/>
      <w:marLeft w:val="0"/>
      <w:marRight w:val="0"/>
      <w:marTop w:val="0"/>
      <w:marBottom w:val="0"/>
      <w:divBdr>
        <w:top w:val="none" w:sz="0" w:space="0" w:color="auto"/>
        <w:left w:val="none" w:sz="0" w:space="0" w:color="auto"/>
        <w:bottom w:val="none" w:sz="0" w:space="0" w:color="auto"/>
        <w:right w:val="none" w:sz="0" w:space="0" w:color="auto"/>
      </w:divBdr>
    </w:div>
    <w:div w:id="1703096437">
      <w:bodyDiv w:val="1"/>
      <w:marLeft w:val="0"/>
      <w:marRight w:val="0"/>
      <w:marTop w:val="0"/>
      <w:marBottom w:val="0"/>
      <w:divBdr>
        <w:top w:val="none" w:sz="0" w:space="0" w:color="auto"/>
        <w:left w:val="none" w:sz="0" w:space="0" w:color="auto"/>
        <w:bottom w:val="none" w:sz="0" w:space="0" w:color="auto"/>
        <w:right w:val="none" w:sz="0" w:space="0" w:color="auto"/>
      </w:divBdr>
    </w:div>
    <w:div w:id="1704011647">
      <w:bodyDiv w:val="1"/>
      <w:marLeft w:val="0"/>
      <w:marRight w:val="0"/>
      <w:marTop w:val="0"/>
      <w:marBottom w:val="0"/>
      <w:divBdr>
        <w:top w:val="none" w:sz="0" w:space="0" w:color="auto"/>
        <w:left w:val="none" w:sz="0" w:space="0" w:color="auto"/>
        <w:bottom w:val="none" w:sz="0" w:space="0" w:color="auto"/>
        <w:right w:val="none" w:sz="0" w:space="0" w:color="auto"/>
      </w:divBdr>
    </w:div>
    <w:div w:id="1704666320">
      <w:bodyDiv w:val="1"/>
      <w:marLeft w:val="0"/>
      <w:marRight w:val="0"/>
      <w:marTop w:val="0"/>
      <w:marBottom w:val="0"/>
      <w:divBdr>
        <w:top w:val="none" w:sz="0" w:space="0" w:color="auto"/>
        <w:left w:val="none" w:sz="0" w:space="0" w:color="auto"/>
        <w:bottom w:val="none" w:sz="0" w:space="0" w:color="auto"/>
        <w:right w:val="none" w:sz="0" w:space="0" w:color="auto"/>
      </w:divBdr>
    </w:div>
    <w:div w:id="1704745786">
      <w:bodyDiv w:val="1"/>
      <w:marLeft w:val="0"/>
      <w:marRight w:val="0"/>
      <w:marTop w:val="0"/>
      <w:marBottom w:val="0"/>
      <w:divBdr>
        <w:top w:val="none" w:sz="0" w:space="0" w:color="auto"/>
        <w:left w:val="none" w:sz="0" w:space="0" w:color="auto"/>
        <w:bottom w:val="none" w:sz="0" w:space="0" w:color="auto"/>
        <w:right w:val="none" w:sz="0" w:space="0" w:color="auto"/>
      </w:divBdr>
    </w:div>
    <w:div w:id="1704986834">
      <w:bodyDiv w:val="1"/>
      <w:marLeft w:val="0"/>
      <w:marRight w:val="0"/>
      <w:marTop w:val="0"/>
      <w:marBottom w:val="0"/>
      <w:divBdr>
        <w:top w:val="none" w:sz="0" w:space="0" w:color="auto"/>
        <w:left w:val="none" w:sz="0" w:space="0" w:color="auto"/>
        <w:bottom w:val="none" w:sz="0" w:space="0" w:color="auto"/>
        <w:right w:val="none" w:sz="0" w:space="0" w:color="auto"/>
      </w:divBdr>
    </w:div>
    <w:div w:id="1705213258">
      <w:bodyDiv w:val="1"/>
      <w:marLeft w:val="0"/>
      <w:marRight w:val="0"/>
      <w:marTop w:val="0"/>
      <w:marBottom w:val="0"/>
      <w:divBdr>
        <w:top w:val="none" w:sz="0" w:space="0" w:color="auto"/>
        <w:left w:val="none" w:sz="0" w:space="0" w:color="auto"/>
        <w:bottom w:val="none" w:sz="0" w:space="0" w:color="auto"/>
        <w:right w:val="none" w:sz="0" w:space="0" w:color="auto"/>
      </w:divBdr>
    </w:div>
    <w:div w:id="1705326203">
      <w:bodyDiv w:val="1"/>
      <w:marLeft w:val="0"/>
      <w:marRight w:val="0"/>
      <w:marTop w:val="0"/>
      <w:marBottom w:val="0"/>
      <w:divBdr>
        <w:top w:val="none" w:sz="0" w:space="0" w:color="auto"/>
        <w:left w:val="none" w:sz="0" w:space="0" w:color="auto"/>
        <w:bottom w:val="none" w:sz="0" w:space="0" w:color="auto"/>
        <w:right w:val="none" w:sz="0" w:space="0" w:color="auto"/>
      </w:divBdr>
    </w:div>
    <w:div w:id="1705594505">
      <w:bodyDiv w:val="1"/>
      <w:marLeft w:val="0"/>
      <w:marRight w:val="0"/>
      <w:marTop w:val="0"/>
      <w:marBottom w:val="0"/>
      <w:divBdr>
        <w:top w:val="none" w:sz="0" w:space="0" w:color="auto"/>
        <w:left w:val="none" w:sz="0" w:space="0" w:color="auto"/>
        <w:bottom w:val="none" w:sz="0" w:space="0" w:color="auto"/>
        <w:right w:val="none" w:sz="0" w:space="0" w:color="auto"/>
      </w:divBdr>
    </w:div>
    <w:div w:id="1707218660">
      <w:bodyDiv w:val="1"/>
      <w:marLeft w:val="0"/>
      <w:marRight w:val="0"/>
      <w:marTop w:val="0"/>
      <w:marBottom w:val="0"/>
      <w:divBdr>
        <w:top w:val="none" w:sz="0" w:space="0" w:color="auto"/>
        <w:left w:val="none" w:sz="0" w:space="0" w:color="auto"/>
        <w:bottom w:val="none" w:sz="0" w:space="0" w:color="auto"/>
        <w:right w:val="none" w:sz="0" w:space="0" w:color="auto"/>
      </w:divBdr>
    </w:div>
    <w:div w:id="1707485012">
      <w:bodyDiv w:val="1"/>
      <w:marLeft w:val="0"/>
      <w:marRight w:val="0"/>
      <w:marTop w:val="0"/>
      <w:marBottom w:val="0"/>
      <w:divBdr>
        <w:top w:val="none" w:sz="0" w:space="0" w:color="auto"/>
        <w:left w:val="none" w:sz="0" w:space="0" w:color="auto"/>
        <w:bottom w:val="none" w:sz="0" w:space="0" w:color="auto"/>
        <w:right w:val="none" w:sz="0" w:space="0" w:color="auto"/>
      </w:divBdr>
    </w:div>
    <w:div w:id="1707674071">
      <w:bodyDiv w:val="1"/>
      <w:marLeft w:val="0"/>
      <w:marRight w:val="0"/>
      <w:marTop w:val="0"/>
      <w:marBottom w:val="0"/>
      <w:divBdr>
        <w:top w:val="none" w:sz="0" w:space="0" w:color="auto"/>
        <w:left w:val="none" w:sz="0" w:space="0" w:color="auto"/>
        <w:bottom w:val="none" w:sz="0" w:space="0" w:color="auto"/>
        <w:right w:val="none" w:sz="0" w:space="0" w:color="auto"/>
      </w:divBdr>
    </w:div>
    <w:div w:id="1708093746">
      <w:bodyDiv w:val="1"/>
      <w:marLeft w:val="0"/>
      <w:marRight w:val="0"/>
      <w:marTop w:val="0"/>
      <w:marBottom w:val="0"/>
      <w:divBdr>
        <w:top w:val="none" w:sz="0" w:space="0" w:color="auto"/>
        <w:left w:val="none" w:sz="0" w:space="0" w:color="auto"/>
        <w:bottom w:val="none" w:sz="0" w:space="0" w:color="auto"/>
        <w:right w:val="none" w:sz="0" w:space="0" w:color="auto"/>
      </w:divBdr>
    </w:div>
    <w:div w:id="1708139194">
      <w:bodyDiv w:val="1"/>
      <w:marLeft w:val="0"/>
      <w:marRight w:val="0"/>
      <w:marTop w:val="0"/>
      <w:marBottom w:val="0"/>
      <w:divBdr>
        <w:top w:val="none" w:sz="0" w:space="0" w:color="auto"/>
        <w:left w:val="none" w:sz="0" w:space="0" w:color="auto"/>
        <w:bottom w:val="none" w:sz="0" w:space="0" w:color="auto"/>
        <w:right w:val="none" w:sz="0" w:space="0" w:color="auto"/>
      </w:divBdr>
    </w:div>
    <w:div w:id="1708262419">
      <w:bodyDiv w:val="1"/>
      <w:marLeft w:val="0"/>
      <w:marRight w:val="0"/>
      <w:marTop w:val="0"/>
      <w:marBottom w:val="0"/>
      <w:divBdr>
        <w:top w:val="none" w:sz="0" w:space="0" w:color="auto"/>
        <w:left w:val="none" w:sz="0" w:space="0" w:color="auto"/>
        <w:bottom w:val="none" w:sz="0" w:space="0" w:color="auto"/>
        <w:right w:val="none" w:sz="0" w:space="0" w:color="auto"/>
      </w:divBdr>
    </w:div>
    <w:div w:id="1708290948">
      <w:bodyDiv w:val="1"/>
      <w:marLeft w:val="0"/>
      <w:marRight w:val="0"/>
      <w:marTop w:val="0"/>
      <w:marBottom w:val="0"/>
      <w:divBdr>
        <w:top w:val="none" w:sz="0" w:space="0" w:color="auto"/>
        <w:left w:val="none" w:sz="0" w:space="0" w:color="auto"/>
        <w:bottom w:val="none" w:sz="0" w:space="0" w:color="auto"/>
        <w:right w:val="none" w:sz="0" w:space="0" w:color="auto"/>
      </w:divBdr>
    </w:div>
    <w:div w:id="1708414023">
      <w:bodyDiv w:val="1"/>
      <w:marLeft w:val="0"/>
      <w:marRight w:val="0"/>
      <w:marTop w:val="0"/>
      <w:marBottom w:val="0"/>
      <w:divBdr>
        <w:top w:val="none" w:sz="0" w:space="0" w:color="auto"/>
        <w:left w:val="none" w:sz="0" w:space="0" w:color="auto"/>
        <w:bottom w:val="none" w:sz="0" w:space="0" w:color="auto"/>
        <w:right w:val="none" w:sz="0" w:space="0" w:color="auto"/>
      </w:divBdr>
    </w:div>
    <w:div w:id="1708481214">
      <w:bodyDiv w:val="1"/>
      <w:marLeft w:val="0"/>
      <w:marRight w:val="0"/>
      <w:marTop w:val="0"/>
      <w:marBottom w:val="0"/>
      <w:divBdr>
        <w:top w:val="none" w:sz="0" w:space="0" w:color="auto"/>
        <w:left w:val="none" w:sz="0" w:space="0" w:color="auto"/>
        <w:bottom w:val="none" w:sz="0" w:space="0" w:color="auto"/>
        <w:right w:val="none" w:sz="0" w:space="0" w:color="auto"/>
      </w:divBdr>
    </w:div>
    <w:div w:id="1708722593">
      <w:bodyDiv w:val="1"/>
      <w:marLeft w:val="0"/>
      <w:marRight w:val="0"/>
      <w:marTop w:val="0"/>
      <w:marBottom w:val="0"/>
      <w:divBdr>
        <w:top w:val="none" w:sz="0" w:space="0" w:color="auto"/>
        <w:left w:val="none" w:sz="0" w:space="0" w:color="auto"/>
        <w:bottom w:val="none" w:sz="0" w:space="0" w:color="auto"/>
        <w:right w:val="none" w:sz="0" w:space="0" w:color="auto"/>
      </w:divBdr>
    </w:div>
    <w:div w:id="1708947646">
      <w:bodyDiv w:val="1"/>
      <w:marLeft w:val="0"/>
      <w:marRight w:val="0"/>
      <w:marTop w:val="0"/>
      <w:marBottom w:val="0"/>
      <w:divBdr>
        <w:top w:val="none" w:sz="0" w:space="0" w:color="auto"/>
        <w:left w:val="none" w:sz="0" w:space="0" w:color="auto"/>
        <w:bottom w:val="none" w:sz="0" w:space="0" w:color="auto"/>
        <w:right w:val="none" w:sz="0" w:space="0" w:color="auto"/>
      </w:divBdr>
    </w:div>
    <w:div w:id="1709186898">
      <w:bodyDiv w:val="1"/>
      <w:marLeft w:val="0"/>
      <w:marRight w:val="0"/>
      <w:marTop w:val="0"/>
      <w:marBottom w:val="0"/>
      <w:divBdr>
        <w:top w:val="none" w:sz="0" w:space="0" w:color="auto"/>
        <w:left w:val="none" w:sz="0" w:space="0" w:color="auto"/>
        <w:bottom w:val="none" w:sz="0" w:space="0" w:color="auto"/>
        <w:right w:val="none" w:sz="0" w:space="0" w:color="auto"/>
      </w:divBdr>
    </w:div>
    <w:div w:id="1709839866">
      <w:bodyDiv w:val="1"/>
      <w:marLeft w:val="0"/>
      <w:marRight w:val="0"/>
      <w:marTop w:val="0"/>
      <w:marBottom w:val="0"/>
      <w:divBdr>
        <w:top w:val="none" w:sz="0" w:space="0" w:color="auto"/>
        <w:left w:val="none" w:sz="0" w:space="0" w:color="auto"/>
        <w:bottom w:val="none" w:sz="0" w:space="0" w:color="auto"/>
        <w:right w:val="none" w:sz="0" w:space="0" w:color="auto"/>
      </w:divBdr>
    </w:div>
    <w:div w:id="1709841290">
      <w:bodyDiv w:val="1"/>
      <w:marLeft w:val="0"/>
      <w:marRight w:val="0"/>
      <w:marTop w:val="0"/>
      <w:marBottom w:val="0"/>
      <w:divBdr>
        <w:top w:val="none" w:sz="0" w:space="0" w:color="auto"/>
        <w:left w:val="none" w:sz="0" w:space="0" w:color="auto"/>
        <w:bottom w:val="none" w:sz="0" w:space="0" w:color="auto"/>
        <w:right w:val="none" w:sz="0" w:space="0" w:color="auto"/>
      </w:divBdr>
    </w:div>
    <w:div w:id="1709911803">
      <w:bodyDiv w:val="1"/>
      <w:marLeft w:val="0"/>
      <w:marRight w:val="0"/>
      <w:marTop w:val="0"/>
      <w:marBottom w:val="0"/>
      <w:divBdr>
        <w:top w:val="none" w:sz="0" w:space="0" w:color="auto"/>
        <w:left w:val="none" w:sz="0" w:space="0" w:color="auto"/>
        <w:bottom w:val="none" w:sz="0" w:space="0" w:color="auto"/>
        <w:right w:val="none" w:sz="0" w:space="0" w:color="auto"/>
      </w:divBdr>
    </w:div>
    <w:div w:id="1710105779">
      <w:bodyDiv w:val="1"/>
      <w:marLeft w:val="0"/>
      <w:marRight w:val="0"/>
      <w:marTop w:val="0"/>
      <w:marBottom w:val="0"/>
      <w:divBdr>
        <w:top w:val="none" w:sz="0" w:space="0" w:color="auto"/>
        <w:left w:val="none" w:sz="0" w:space="0" w:color="auto"/>
        <w:bottom w:val="none" w:sz="0" w:space="0" w:color="auto"/>
        <w:right w:val="none" w:sz="0" w:space="0" w:color="auto"/>
      </w:divBdr>
    </w:div>
    <w:div w:id="1710451765">
      <w:bodyDiv w:val="1"/>
      <w:marLeft w:val="0"/>
      <w:marRight w:val="0"/>
      <w:marTop w:val="0"/>
      <w:marBottom w:val="0"/>
      <w:divBdr>
        <w:top w:val="none" w:sz="0" w:space="0" w:color="auto"/>
        <w:left w:val="none" w:sz="0" w:space="0" w:color="auto"/>
        <w:bottom w:val="none" w:sz="0" w:space="0" w:color="auto"/>
        <w:right w:val="none" w:sz="0" w:space="0" w:color="auto"/>
      </w:divBdr>
    </w:div>
    <w:div w:id="1711102017">
      <w:bodyDiv w:val="1"/>
      <w:marLeft w:val="0"/>
      <w:marRight w:val="0"/>
      <w:marTop w:val="0"/>
      <w:marBottom w:val="0"/>
      <w:divBdr>
        <w:top w:val="none" w:sz="0" w:space="0" w:color="auto"/>
        <w:left w:val="none" w:sz="0" w:space="0" w:color="auto"/>
        <w:bottom w:val="none" w:sz="0" w:space="0" w:color="auto"/>
        <w:right w:val="none" w:sz="0" w:space="0" w:color="auto"/>
      </w:divBdr>
    </w:div>
    <w:div w:id="1711490240">
      <w:bodyDiv w:val="1"/>
      <w:marLeft w:val="0"/>
      <w:marRight w:val="0"/>
      <w:marTop w:val="0"/>
      <w:marBottom w:val="0"/>
      <w:divBdr>
        <w:top w:val="none" w:sz="0" w:space="0" w:color="auto"/>
        <w:left w:val="none" w:sz="0" w:space="0" w:color="auto"/>
        <w:bottom w:val="none" w:sz="0" w:space="0" w:color="auto"/>
        <w:right w:val="none" w:sz="0" w:space="0" w:color="auto"/>
      </w:divBdr>
    </w:div>
    <w:div w:id="1711539813">
      <w:bodyDiv w:val="1"/>
      <w:marLeft w:val="0"/>
      <w:marRight w:val="0"/>
      <w:marTop w:val="0"/>
      <w:marBottom w:val="0"/>
      <w:divBdr>
        <w:top w:val="none" w:sz="0" w:space="0" w:color="auto"/>
        <w:left w:val="none" w:sz="0" w:space="0" w:color="auto"/>
        <w:bottom w:val="none" w:sz="0" w:space="0" w:color="auto"/>
        <w:right w:val="none" w:sz="0" w:space="0" w:color="auto"/>
      </w:divBdr>
    </w:div>
    <w:div w:id="1711949717">
      <w:bodyDiv w:val="1"/>
      <w:marLeft w:val="0"/>
      <w:marRight w:val="0"/>
      <w:marTop w:val="0"/>
      <w:marBottom w:val="0"/>
      <w:divBdr>
        <w:top w:val="none" w:sz="0" w:space="0" w:color="auto"/>
        <w:left w:val="none" w:sz="0" w:space="0" w:color="auto"/>
        <w:bottom w:val="none" w:sz="0" w:space="0" w:color="auto"/>
        <w:right w:val="none" w:sz="0" w:space="0" w:color="auto"/>
      </w:divBdr>
    </w:div>
    <w:div w:id="1712150054">
      <w:bodyDiv w:val="1"/>
      <w:marLeft w:val="0"/>
      <w:marRight w:val="0"/>
      <w:marTop w:val="0"/>
      <w:marBottom w:val="0"/>
      <w:divBdr>
        <w:top w:val="none" w:sz="0" w:space="0" w:color="auto"/>
        <w:left w:val="none" w:sz="0" w:space="0" w:color="auto"/>
        <w:bottom w:val="none" w:sz="0" w:space="0" w:color="auto"/>
        <w:right w:val="none" w:sz="0" w:space="0" w:color="auto"/>
      </w:divBdr>
    </w:div>
    <w:div w:id="1712806329">
      <w:bodyDiv w:val="1"/>
      <w:marLeft w:val="0"/>
      <w:marRight w:val="0"/>
      <w:marTop w:val="0"/>
      <w:marBottom w:val="0"/>
      <w:divBdr>
        <w:top w:val="none" w:sz="0" w:space="0" w:color="auto"/>
        <w:left w:val="none" w:sz="0" w:space="0" w:color="auto"/>
        <w:bottom w:val="none" w:sz="0" w:space="0" w:color="auto"/>
        <w:right w:val="none" w:sz="0" w:space="0" w:color="auto"/>
      </w:divBdr>
    </w:div>
    <w:div w:id="1713073254">
      <w:bodyDiv w:val="1"/>
      <w:marLeft w:val="0"/>
      <w:marRight w:val="0"/>
      <w:marTop w:val="0"/>
      <w:marBottom w:val="0"/>
      <w:divBdr>
        <w:top w:val="none" w:sz="0" w:space="0" w:color="auto"/>
        <w:left w:val="none" w:sz="0" w:space="0" w:color="auto"/>
        <w:bottom w:val="none" w:sz="0" w:space="0" w:color="auto"/>
        <w:right w:val="none" w:sz="0" w:space="0" w:color="auto"/>
      </w:divBdr>
    </w:div>
    <w:div w:id="1713075105">
      <w:bodyDiv w:val="1"/>
      <w:marLeft w:val="0"/>
      <w:marRight w:val="0"/>
      <w:marTop w:val="0"/>
      <w:marBottom w:val="0"/>
      <w:divBdr>
        <w:top w:val="none" w:sz="0" w:space="0" w:color="auto"/>
        <w:left w:val="none" w:sz="0" w:space="0" w:color="auto"/>
        <w:bottom w:val="none" w:sz="0" w:space="0" w:color="auto"/>
        <w:right w:val="none" w:sz="0" w:space="0" w:color="auto"/>
      </w:divBdr>
    </w:div>
    <w:div w:id="1713267335">
      <w:bodyDiv w:val="1"/>
      <w:marLeft w:val="0"/>
      <w:marRight w:val="0"/>
      <w:marTop w:val="0"/>
      <w:marBottom w:val="0"/>
      <w:divBdr>
        <w:top w:val="none" w:sz="0" w:space="0" w:color="auto"/>
        <w:left w:val="none" w:sz="0" w:space="0" w:color="auto"/>
        <w:bottom w:val="none" w:sz="0" w:space="0" w:color="auto"/>
        <w:right w:val="none" w:sz="0" w:space="0" w:color="auto"/>
      </w:divBdr>
    </w:div>
    <w:div w:id="1713338722">
      <w:bodyDiv w:val="1"/>
      <w:marLeft w:val="0"/>
      <w:marRight w:val="0"/>
      <w:marTop w:val="0"/>
      <w:marBottom w:val="0"/>
      <w:divBdr>
        <w:top w:val="none" w:sz="0" w:space="0" w:color="auto"/>
        <w:left w:val="none" w:sz="0" w:space="0" w:color="auto"/>
        <w:bottom w:val="none" w:sz="0" w:space="0" w:color="auto"/>
        <w:right w:val="none" w:sz="0" w:space="0" w:color="auto"/>
      </w:divBdr>
    </w:div>
    <w:div w:id="1713339455">
      <w:bodyDiv w:val="1"/>
      <w:marLeft w:val="0"/>
      <w:marRight w:val="0"/>
      <w:marTop w:val="0"/>
      <w:marBottom w:val="0"/>
      <w:divBdr>
        <w:top w:val="none" w:sz="0" w:space="0" w:color="auto"/>
        <w:left w:val="none" w:sz="0" w:space="0" w:color="auto"/>
        <w:bottom w:val="none" w:sz="0" w:space="0" w:color="auto"/>
        <w:right w:val="none" w:sz="0" w:space="0" w:color="auto"/>
      </w:divBdr>
    </w:div>
    <w:div w:id="1713842755">
      <w:bodyDiv w:val="1"/>
      <w:marLeft w:val="0"/>
      <w:marRight w:val="0"/>
      <w:marTop w:val="0"/>
      <w:marBottom w:val="0"/>
      <w:divBdr>
        <w:top w:val="none" w:sz="0" w:space="0" w:color="auto"/>
        <w:left w:val="none" w:sz="0" w:space="0" w:color="auto"/>
        <w:bottom w:val="none" w:sz="0" w:space="0" w:color="auto"/>
        <w:right w:val="none" w:sz="0" w:space="0" w:color="auto"/>
      </w:divBdr>
    </w:div>
    <w:div w:id="1713964642">
      <w:bodyDiv w:val="1"/>
      <w:marLeft w:val="0"/>
      <w:marRight w:val="0"/>
      <w:marTop w:val="0"/>
      <w:marBottom w:val="0"/>
      <w:divBdr>
        <w:top w:val="none" w:sz="0" w:space="0" w:color="auto"/>
        <w:left w:val="none" w:sz="0" w:space="0" w:color="auto"/>
        <w:bottom w:val="none" w:sz="0" w:space="0" w:color="auto"/>
        <w:right w:val="none" w:sz="0" w:space="0" w:color="auto"/>
      </w:divBdr>
    </w:div>
    <w:div w:id="1714109877">
      <w:bodyDiv w:val="1"/>
      <w:marLeft w:val="0"/>
      <w:marRight w:val="0"/>
      <w:marTop w:val="0"/>
      <w:marBottom w:val="0"/>
      <w:divBdr>
        <w:top w:val="none" w:sz="0" w:space="0" w:color="auto"/>
        <w:left w:val="none" w:sz="0" w:space="0" w:color="auto"/>
        <w:bottom w:val="none" w:sz="0" w:space="0" w:color="auto"/>
        <w:right w:val="none" w:sz="0" w:space="0" w:color="auto"/>
      </w:divBdr>
    </w:div>
    <w:div w:id="1714227745">
      <w:bodyDiv w:val="1"/>
      <w:marLeft w:val="0"/>
      <w:marRight w:val="0"/>
      <w:marTop w:val="0"/>
      <w:marBottom w:val="0"/>
      <w:divBdr>
        <w:top w:val="none" w:sz="0" w:space="0" w:color="auto"/>
        <w:left w:val="none" w:sz="0" w:space="0" w:color="auto"/>
        <w:bottom w:val="none" w:sz="0" w:space="0" w:color="auto"/>
        <w:right w:val="none" w:sz="0" w:space="0" w:color="auto"/>
      </w:divBdr>
    </w:div>
    <w:div w:id="1714844255">
      <w:bodyDiv w:val="1"/>
      <w:marLeft w:val="0"/>
      <w:marRight w:val="0"/>
      <w:marTop w:val="0"/>
      <w:marBottom w:val="0"/>
      <w:divBdr>
        <w:top w:val="none" w:sz="0" w:space="0" w:color="auto"/>
        <w:left w:val="none" w:sz="0" w:space="0" w:color="auto"/>
        <w:bottom w:val="none" w:sz="0" w:space="0" w:color="auto"/>
        <w:right w:val="none" w:sz="0" w:space="0" w:color="auto"/>
      </w:divBdr>
    </w:div>
    <w:div w:id="1715037786">
      <w:bodyDiv w:val="1"/>
      <w:marLeft w:val="0"/>
      <w:marRight w:val="0"/>
      <w:marTop w:val="0"/>
      <w:marBottom w:val="0"/>
      <w:divBdr>
        <w:top w:val="none" w:sz="0" w:space="0" w:color="auto"/>
        <w:left w:val="none" w:sz="0" w:space="0" w:color="auto"/>
        <w:bottom w:val="none" w:sz="0" w:space="0" w:color="auto"/>
        <w:right w:val="none" w:sz="0" w:space="0" w:color="auto"/>
      </w:divBdr>
    </w:div>
    <w:div w:id="1715108139">
      <w:bodyDiv w:val="1"/>
      <w:marLeft w:val="0"/>
      <w:marRight w:val="0"/>
      <w:marTop w:val="0"/>
      <w:marBottom w:val="0"/>
      <w:divBdr>
        <w:top w:val="none" w:sz="0" w:space="0" w:color="auto"/>
        <w:left w:val="none" w:sz="0" w:space="0" w:color="auto"/>
        <w:bottom w:val="none" w:sz="0" w:space="0" w:color="auto"/>
        <w:right w:val="none" w:sz="0" w:space="0" w:color="auto"/>
      </w:divBdr>
    </w:div>
    <w:div w:id="1715231326">
      <w:bodyDiv w:val="1"/>
      <w:marLeft w:val="0"/>
      <w:marRight w:val="0"/>
      <w:marTop w:val="0"/>
      <w:marBottom w:val="0"/>
      <w:divBdr>
        <w:top w:val="none" w:sz="0" w:space="0" w:color="auto"/>
        <w:left w:val="none" w:sz="0" w:space="0" w:color="auto"/>
        <w:bottom w:val="none" w:sz="0" w:space="0" w:color="auto"/>
        <w:right w:val="none" w:sz="0" w:space="0" w:color="auto"/>
      </w:divBdr>
    </w:div>
    <w:div w:id="1715958080">
      <w:bodyDiv w:val="1"/>
      <w:marLeft w:val="0"/>
      <w:marRight w:val="0"/>
      <w:marTop w:val="0"/>
      <w:marBottom w:val="0"/>
      <w:divBdr>
        <w:top w:val="none" w:sz="0" w:space="0" w:color="auto"/>
        <w:left w:val="none" w:sz="0" w:space="0" w:color="auto"/>
        <w:bottom w:val="none" w:sz="0" w:space="0" w:color="auto"/>
        <w:right w:val="none" w:sz="0" w:space="0" w:color="auto"/>
      </w:divBdr>
    </w:div>
    <w:div w:id="1716461232">
      <w:bodyDiv w:val="1"/>
      <w:marLeft w:val="0"/>
      <w:marRight w:val="0"/>
      <w:marTop w:val="0"/>
      <w:marBottom w:val="0"/>
      <w:divBdr>
        <w:top w:val="none" w:sz="0" w:space="0" w:color="auto"/>
        <w:left w:val="none" w:sz="0" w:space="0" w:color="auto"/>
        <w:bottom w:val="none" w:sz="0" w:space="0" w:color="auto"/>
        <w:right w:val="none" w:sz="0" w:space="0" w:color="auto"/>
      </w:divBdr>
    </w:div>
    <w:div w:id="1716545783">
      <w:bodyDiv w:val="1"/>
      <w:marLeft w:val="0"/>
      <w:marRight w:val="0"/>
      <w:marTop w:val="0"/>
      <w:marBottom w:val="0"/>
      <w:divBdr>
        <w:top w:val="none" w:sz="0" w:space="0" w:color="auto"/>
        <w:left w:val="none" w:sz="0" w:space="0" w:color="auto"/>
        <w:bottom w:val="none" w:sz="0" w:space="0" w:color="auto"/>
        <w:right w:val="none" w:sz="0" w:space="0" w:color="auto"/>
      </w:divBdr>
    </w:div>
    <w:div w:id="1717316137">
      <w:bodyDiv w:val="1"/>
      <w:marLeft w:val="0"/>
      <w:marRight w:val="0"/>
      <w:marTop w:val="0"/>
      <w:marBottom w:val="0"/>
      <w:divBdr>
        <w:top w:val="none" w:sz="0" w:space="0" w:color="auto"/>
        <w:left w:val="none" w:sz="0" w:space="0" w:color="auto"/>
        <w:bottom w:val="none" w:sz="0" w:space="0" w:color="auto"/>
        <w:right w:val="none" w:sz="0" w:space="0" w:color="auto"/>
      </w:divBdr>
    </w:div>
    <w:div w:id="1718160721">
      <w:bodyDiv w:val="1"/>
      <w:marLeft w:val="0"/>
      <w:marRight w:val="0"/>
      <w:marTop w:val="0"/>
      <w:marBottom w:val="0"/>
      <w:divBdr>
        <w:top w:val="none" w:sz="0" w:space="0" w:color="auto"/>
        <w:left w:val="none" w:sz="0" w:space="0" w:color="auto"/>
        <w:bottom w:val="none" w:sz="0" w:space="0" w:color="auto"/>
        <w:right w:val="none" w:sz="0" w:space="0" w:color="auto"/>
      </w:divBdr>
    </w:div>
    <w:div w:id="1718627625">
      <w:bodyDiv w:val="1"/>
      <w:marLeft w:val="0"/>
      <w:marRight w:val="0"/>
      <w:marTop w:val="0"/>
      <w:marBottom w:val="0"/>
      <w:divBdr>
        <w:top w:val="none" w:sz="0" w:space="0" w:color="auto"/>
        <w:left w:val="none" w:sz="0" w:space="0" w:color="auto"/>
        <w:bottom w:val="none" w:sz="0" w:space="0" w:color="auto"/>
        <w:right w:val="none" w:sz="0" w:space="0" w:color="auto"/>
      </w:divBdr>
    </w:div>
    <w:div w:id="1718700488">
      <w:bodyDiv w:val="1"/>
      <w:marLeft w:val="0"/>
      <w:marRight w:val="0"/>
      <w:marTop w:val="0"/>
      <w:marBottom w:val="0"/>
      <w:divBdr>
        <w:top w:val="none" w:sz="0" w:space="0" w:color="auto"/>
        <w:left w:val="none" w:sz="0" w:space="0" w:color="auto"/>
        <w:bottom w:val="none" w:sz="0" w:space="0" w:color="auto"/>
        <w:right w:val="none" w:sz="0" w:space="0" w:color="auto"/>
      </w:divBdr>
    </w:div>
    <w:div w:id="1719165807">
      <w:bodyDiv w:val="1"/>
      <w:marLeft w:val="0"/>
      <w:marRight w:val="0"/>
      <w:marTop w:val="0"/>
      <w:marBottom w:val="0"/>
      <w:divBdr>
        <w:top w:val="none" w:sz="0" w:space="0" w:color="auto"/>
        <w:left w:val="none" w:sz="0" w:space="0" w:color="auto"/>
        <w:bottom w:val="none" w:sz="0" w:space="0" w:color="auto"/>
        <w:right w:val="none" w:sz="0" w:space="0" w:color="auto"/>
      </w:divBdr>
    </w:div>
    <w:div w:id="1720058117">
      <w:bodyDiv w:val="1"/>
      <w:marLeft w:val="0"/>
      <w:marRight w:val="0"/>
      <w:marTop w:val="0"/>
      <w:marBottom w:val="0"/>
      <w:divBdr>
        <w:top w:val="none" w:sz="0" w:space="0" w:color="auto"/>
        <w:left w:val="none" w:sz="0" w:space="0" w:color="auto"/>
        <w:bottom w:val="none" w:sz="0" w:space="0" w:color="auto"/>
        <w:right w:val="none" w:sz="0" w:space="0" w:color="auto"/>
      </w:divBdr>
    </w:div>
    <w:div w:id="1720282077">
      <w:bodyDiv w:val="1"/>
      <w:marLeft w:val="0"/>
      <w:marRight w:val="0"/>
      <w:marTop w:val="0"/>
      <w:marBottom w:val="0"/>
      <w:divBdr>
        <w:top w:val="none" w:sz="0" w:space="0" w:color="auto"/>
        <w:left w:val="none" w:sz="0" w:space="0" w:color="auto"/>
        <w:bottom w:val="none" w:sz="0" w:space="0" w:color="auto"/>
        <w:right w:val="none" w:sz="0" w:space="0" w:color="auto"/>
      </w:divBdr>
    </w:div>
    <w:div w:id="1720326366">
      <w:bodyDiv w:val="1"/>
      <w:marLeft w:val="0"/>
      <w:marRight w:val="0"/>
      <w:marTop w:val="0"/>
      <w:marBottom w:val="0"/>
      <w:divBdr>
        <w:top w:val="none" w:sz="0" w:space="0" w:color="auto"/>
        <w:left w:val="none" w:sz="0" w:space="0" w:color="auto"/>
        <w:bottom w:val="none" w:sz="0" w:space="0" w:color="auto"/>
        <w:right w:val="none" w:sz="0" w:space="0" w:color="auto"/>
      </w:divBdr>
    </w:div>
    <w:div w:id="1720785025">
      <w:bodyDiv w:val="1"/>
      <w:marLeft w:val="0"/>
      <w:marRight w:val="0"/>
      <w:marTop w:val="0"/>
      <w:marBottom w:val="0"/>
      <w:divBdr>
        <w:top w:val="none" w:sz="0" w:space="0" w:color="auto"/>
        <w:left w:val="none" w:sz="0" w:space="0" w:color="auto"/>
        <w:bottom w:val="none" w:sz="0" w:space="0" w:color="auto"/>
        <w:right w:val="none" w:sz="0" w:space="0" w:color="auto"/>
      </w:divBdr>
    </w:div>
    <w:div w:id="1720978078">
      <w:bodyDiv w:val="1"/>
      <w:marLeft w:val="0"/>
      <w:marRight w:val="0"/>
      <w:marTop w:val="0"/>
      <w:marBottom w:val="0"/>
      <w:divBdr>
        <w:top w:val="none" w:sz="0" w:space="0" w:color="auto"/>
        <w:left w:val="none" w:sz="0" w:space="0" w:color="auto"/>
        <w:bottom w:val="none" w:sz="0" w:space="0" w:color="auto"/>
        <w:right w:val="none" w:sz="0" w:space="0" w:color="auto"/>
      </w:divBdr>
    </w:div>
    <w:div w:id="1721132600">
      <w:bodyDiv w:val="1"/>
      <w:marLeft w:val="0"/>
      <w:marRight w:val="0"/>
      <w:marTop w:val="0"/>
      <w:marBottom w:val="0"/>
      <w:divBdr>
        <w:top w:val="none" w:sz="0" w:space="0" w:color="auto"/>
        <w:left w:val="none" w:sz="0" w:space="0" w:color="auto"/>
        <w:bottom w:val="none" w:sz="0" w:space="0" w:color="auto"/>
        <w:right w:val="none" w:sz="0" w:space="0" w:color="auto"/>
      </w:divBdr>
    </w:div>
    <w:div w:id="1721323331">
      <w:bodyDiv w:val="1"/>
      <w:marLeft w:val="0"/>
      <w:marRight w:val="0"/>
      <w:marTop w:val="0"/>
      <w:marBottom w:val="0"/>
      <w:divBdr>
        <w:top w:val="none" w:sz="0" w:space="0" w:color="auto"/>
        <w:left w:val="none" w:sz="0" w:space="0" w:color="auto"/>
        <w:bottom w:val="none" w:sz="0" w:space="0" w:color="auto"/>
        <w:right w:val="none" w:sz="0" w:space="0" w:color="auto"/>
      </w:divBdr>
    </w:div>
    <w:div w:id="1721435336">
      <w:bodyDiv w:val="1"/>
      <w:marLeft w:val="0"/>
      <w:marRight w:val="0"/>
      <w:marTop w:val="0"/>
      <w:marBottom w:val="0"/>
      <w:divBdr>
        <w:top w:val="none" w:sz="0" w:space="0" w:color="auto"/>
        <w:left w:val="none" w:sz="0" w:space="0" w:color="auto"/>
        <w:bottom w:val="none" w:sz="0" w:space="0" w:color="auto"/>
        <w:right w:val="none" w:sz="0" w:space="0" w:color="auto"/>
      </w:divBdr>
    </w:div>
    <w:div w:id="1721435647">
      <w:bodyDiv w:val="1"/>
      <w:marLeft w:val="0"/>
      <w:marRight w:val="0"/>
      <w:marTop w:val="0"/>
      <w:marBottom w:val="0"/>
      <w:divBdr>
        <w:top w:val="none" w:sz="0" w:space="0" w:color="auto"/>
        <w:left w:val="none" w:sz="0" w:space="0" w:color="auto"/>
        <w:bottom w:val="none" w:sz="0" w:space="0" w:color="auto"/>
        <w:right w:val="none" w:sz="0" w:space="0" w:color="auto"/>
      </w:divBdr>
    </w:div>
    <w:div w:id="1722288079">
      <w:bodyDiv w:val="1"/>
      <w:marLeft w:val="0"/>
      <w:marRight w:val="0"/>
      <w:marTop w:val="0"/>
      <w:marBottom w:val="0"/>
      <w:divBdr>
        <w:top w:val="none" w:sz="0" w:space="0" w:color="auto"/>
        <w:left w:val="none" w:sz="0" w:space="0" w:color="auto"/>
        <w:bottom w:val="none" w:sz="0" w:space="0" w:color="auto"/>
        <w:right w:val="none" w:sz="0" w:space="0" w:color="auto"/>
      </w:divBdr>
    </w:div>
    <w:div w:id="1722553015">
      <w:bodyDiv w:val="1"/>
      <w:marLeft w:val="0"/>
      <w:marRight w:val="0"/>
      <w:marTop w:val="0"/>
      <w:marBottom w:val="0"/>
      <w:divBdr>
        <w:top w:val="none" w:sz="0" w:space="0" w:color="auto"/>
        <w:left w:val="none" w:sz="0" w:space="0" w:color="auto"/>
        <w:bottom w:val="none" w:sz="0" w:space="0" w:color="auto"/>
        <w:right w:val="none" w:sz="0" w:space="0" w:color="auto"/>
      </w:divBdr>
    </w:div>
    <w:div w:id="1722631991">
      <w:bodyDiv w:val="1"/>
      <w:marLeft w:val="0"/>
      <w:marRight w:val="0"/>
      <w:marTop w:val="0"/>
      <w:marBottom w:val="0"/>
      <w:divBdr>
        <w:top w:val="none" w:sz="0" w:space="0" w:color="auto"/>
        <w:left w:val="none" w:sz="0" w:space="0" w:color="auto"/>
        <w:bottom w:val="none" w:sz="0" w:space="0" w:color="auto"/>
        <w:right w:val="none" w:sz="0" w:space="0" w:color="auto"/>
      </w:divBdr>
    </w:div>
    <w:div w:id="1722752164">
      <w:bodyDiv w:val="1"/>
      <w:marLeft w:val="0"/>
      <w:marRight w:val="0"/>
      <w:marTop w:val="0"/>
      <w:marBottom w:val="0"/>
      <w:divBdr>
        <w:top w:val="none" w:sz="0" w:space="0" w:color="auto"/>
        <w:left w:val="none" w:sz="0" w:space="0" w:color="auto"/>
        <w:bottom w:val="none" w:sz="0" w:space="0" w:color="auto"/>
        <w:right w:val="none" w:sz="0" w:space="0" w:color="auto"/>
      </w:divBdr>
    </w:div>
    <w:div w:id="1723167087">
      <w:bodyDiv w:val="1"/>
      <w:marLeft w:val="0"/>
      <w:marRight w:val="0"/>
      <w:marTop w:val="0"/>
      <w:marBottom w:val="0"/>
      <w:divBdr>
        <w:top w:val="none" w:sz="0" w:space="0" w:color="auto"/>
        <w:left w:val="none" w:sz="0" w:space="0" w:color="auto"/>
        <w:bottom w:val="none" w:sz="0" w:space="0" w:color="auto"/>
        <w:right w:val="none" w:sz="0" w:space="0" w:color="auto"/>
      </w:divBdr>
    </w:div>
    <w:div w:id="1723215946">
      <w:bodyDiv w:val="1"/>
      <w:marLeft w:val="0"/>
      <w:marRight w:val="0"/>
      <w:marTop w:val="0"/>
      <w:marBottom w:val="0"/>
      <w:divBdr>
        <w:top w:val="none" w:sz="0" w:space="0" w:color="auto"/>
        <w:left w:val="none" w:sz="0" w:space="0" w:color="auto"/>
        <w:bottom w:val="none" w:sz="0" w:space="0" w:color="auto"/>
        <w:right w:val="none" w:sz="0" w:space="0" w:color="auto"/>
      </w:divBdr>
    </w:div>
    <w:div w:id="1723358787">
      <w:bodyDiv w:val="1"/>
      <w:marLeft w:val="0"/>
      <w:marRight w:val="0"/>
      <w:marTop w:val="0"/>
      <w:marBottom w:val="0"/>
      <w:divBdr>
        <w:top w:val="none" w:sz="0" w:space="0" w:color="auto"/>
        <w:left w:val="none" w:sz="0" w:space="0" w:color="auto"/>
        <w:bottom w:val="none" w:sz="0" w:space="0" w:color="auto"/>
        <w:right w:val="none" w:sz="0" w:space="0" w:color="auto"/>
      </w:divBdr>
    </w:div>
    <w:div w:id="1723363360">
      <w:bodyDiv w:val="1"/>
      <w:marLeft w:val="0"/>
      <w:marRight w:val="0"/>
      <w:marTop w:val="0"/>
      <w:marBottom w:val="0"/>
      <w:divBdr>
        <w:top w:val="none" w:sz="0" w:space="0" w:color="auto"/>
        <w:left w:val="none" w:sz="0" w:space="0" w:color="auto"/>
        <w:bottom w:val="none" w:sz="0" w:space="0" w:color="auto"/>
        <w:right w:val="none" w:sz="0" w:space="0" w:color="auto"/>
      </w:divBdr>
    </w:div>
    <w:div w:id="1723366250">
      <w:bodyDiv w:val="1"/>
      <w:marLeft w:val="0"/>
      <w:marRight w:val="0"/>
      <w:marTop w:val="0"/>
      <w:marBottom w:val="0"/>
      <w:divBdr>
        <w:top w:val="none" w:sz="0" w:space="0" w:color="auto"/>
        <w:left w:val="none" w:sz="0" w:space="0" w:color="auto"/>
        <w:bottom w:val="none" w:sz="0" w:space="0" w:color="auto"/>
        <w:right w:val="none" w:sz="0" w:space="0" w:color="auto"/>
      </w:divBdr>
    </w:div>
    <w:div w:id="1723403379">
      <w:bodyDiv w:val="1"/>
      <w:marLeft w:val="0"/>
      <w:marRight w:val="0"/>
      <w:marTop w:val="0"/>
      <w:marBottom w:val="0"/>
      <w:divBdr>
        <w:top w:val="none" w:sz="0" w:space="0" w:color="auto"/>
        <w:left w:val="none" w:sz="0" w:space="0" w:color="auto"/>
        <w:bottom w:val="none" w:sz="0" w:space="0" w:color="auto"/>
        <w:right w:val="none" w:sz="0" w:space="0" w:color="auto"/>
      </w:divBdr>
    </w:div>
    <w:div w:id="1723481748">
      <w:bodyDiv w:val="1"/>
      <w:marLeft w:val="0"/>
      <w:marRight w:val="0"/>
      <w:marTop w:val="0"/>
      <w:marBottom w:val="0"/>
      <w:divBdr>
        <w:top w:val="none" w:sz="0" w:space="0" w:color="auto"/>
        <w:left w:val="none" w:sz="0" w:space="0" w:color="auto"/>
        <w:bottom w:val="none" w:sz="0" w:space="0" w:color="auto"/>
        <w:right w:val="none" w:sz="0" w:space="0" w:color="auto"/>
      </w:divBdr>
    </w:div>
    <w:div w:id="1723676734">
      <w:bodyDiv w:val="1"/>
      <w:marLeft w:val="0"/>
      <w:marRight w:val="0"/>
      <w:marTop w:val="0"/>
      <w:marBottom w:val="0"/>
      <w:divBdr>
        <w:top w:val="none" w:sz="0" w:space="0" w:color="auto"/>
        <w:left w:val="none" w:sz="0" w:space="0" w:color="auto"/>
        <w:bottom w:val="none" w:sz="0" w:space="0" w:color="auto"/>
        <w:right w:val="none" w:sz="0" w:space="0" w:color="auto"/>
      </w:divBdr>
    </w:div>
    <w:div w:id="1724057026">
      <w:bodyDiv w:val="1"/>
      <w:marLeft w:val="0"/>
      <w:marRight w:val="0"/>
      <w:marTop w:val="0"/>
      <w:marBottom w:val="0"/>
      <w:divBdr>
        <w:top w:val="none" w:sz="0" w:space="0" w:color="auto"/>
        <w:left w:val="none" w:sz="0" w:space="0" w:color="auto"/>
        <w:bottom w:val="none" w:sz="0" w:space="0" w:color="auto"/>
        <w:right w:val="none" w:sz="0" w:space="0" w:color="auto"/>
      </w:divBdr>
    </w:div>
    <w:div w:id="1724594770">
      <w:bodyDiv w:val="1"/>
      <w:marLeft w:val="0"/>
      <w:marRight w:val="0"/>
      <w:marTop w:val="0"/>
      <w:marBottom w:val="0"/>
      <w:divBdr>
        <w:top w:val="none" w:sz="0" w:space="0" w:color="auto"/>
        <w:left w:val="none" w:sz="0" w:space="0" w:color="auto"/>
        <w:bottom w:val="none" w:sz="0" w:space="0" w:color="auto"/>
        <w:right w:val="none" w:sz="0" w:space="0" w:color="auto"/>
      </w:divBdr>
    </w:div>
    <w:div w:id="1724675522">
      <w:bodyDiv w:val="1"/>
      <w:marLeft w:val="0"/>
      <w:marRight w:val="0"/>
      <w:marTop w:val="0"/>
      <w:marBottom w:val="0"/>
      <w:divBdr>
        <w:top w:val="none" w:sz="0" w:space="0" w:color="auto"/>
        <w:left w:val="none" w:sz="0" w:space="0" w:color="auto"/>
        <w:bottom w:val="none" w:sz="0" w:space="0" w:color="auto"/>
        <w:right w:val="none" w:sz="0" w:space="0" w:color="auto"/>
      </w:divBdr>
    </w:div>
    <w:div w:id="1724988459">
      <w:bodyDiv w:val="1"/>
      <w:marLeft w:val="0"/>
      <w:marRight w:val="0"/>
      <w:marTop w:val="0"/>
      <w:marBottom w:val="0"/>
      <w:divBdr>
        <w:top w:val="none" w:sz="0" w:space="0" w:color="auto"/>
        <w:left w:val="none" w:sz="0" w:space="0" w:color="auto"/>
        <w:bottom w:val="none" w:sz="0" w:space="0" w:color="auto"/>
        <w:right w:val="none" w:sz="0" w:space="0" w:color="auto"/>
      </w:divBdr>
    </w:div>
    <w:div w:id="1725133868">
      <w:bodyDiv w:val="1"/>
      <w:marLeft w:val="0"/>
      <w:marRight w:val="0"/>
      <w:marTop w:val="0"/>
      <w:marBottom w:val="0"/>
      <w:divBdr>
        <w:top w:val="none" w:sz="0" w:space="0" w:color="auto"/>
        <w:left w:val="none" w:sz="0" w:space="0" w:color="auto"/>
        <w:bottom w:val="none" w:sz="0" w:space="0" w:color="auto"/>
        <w:right w:val="none" w:sz="0" w:space="0" w:color="auto"/>
      </w:divBdr>
    </w:div>
    <w:div w:id="1725253099">
      <w:bodyDiv w:val="1"/>
      <w:marLeft w:val="0"/>
      <w:marRight w:val="0"/>
      <w:marTop w:val="0"/>
      <w:marBottom w:val="0"/>
      <w:divBdr>
        <w:top w:val="none" w:sz="0" w:space="0" w:color="auto"/>
        <w:left w:val="none" w:sz="0" w:space="0" w:color="auto"/>
        <w:bottom w:val="none" w:sz="0" w:space="0" w:color="auto"/>
        <w:right w:val="none" w:sz="0" w:space="0" w:color="auto"/>
      </w:divBdr>
    </w:div>
    <w:div w:id="1727291080">
      <w:bodyDiv w:val="1"/>
      <w:marLeft w:val="0"/>
      <w:marRight w:val="0"/>
      <w:marTop w:val="0"/>
      <w:marBottom w:val="0"/>
      <w:divBdr>
        <w:top w:val="none" w:sz="0" w:space="0" w:color="auto"/>
        <w:left w:val="none" w:sz="0" w:space="0" w:color="auto"/>
        <w:bottom w:val="none" w:sz="0" w:space="0" w:color="auto"/>
        <w:right w:val="none" w:sz="0" w:space="0" w:color="auto"/>
      </w:divBdr>
    </w:div>
    <w:div w:id="1727416288">
      <w:bodyDiv w:val="1"/>
      <w:marLeft w:val="0"/>
      <w:marRight w:val="0"/>
      <w:marTop w:val="0"/>
      <w:marBottom w:val="0"/>
      <w:divBdr>
        <w:top w:val="none" w:sz="0" w:space="0" w:color="auto"/>
        <w:left w:val="none" w:sz="0" w:space="0" w:color="auto"/>
        <w:bottom w:val="none" w:sz="0" w:space="0" w:color="auto"/>
        <w:right w:val="none" w:sz="0" w:space="0" w:color="auto"/>
      </w:divBdr>
    </w:div>
    <w:div w:id="1727531513">
      <w:bodyDiv w:val="1"/>
      <w:marLeft w:val="0"/>
      <w:marRight w:val="0"/>
      <w:marTop w:val="0"/>
      <w:marBottom w:val="0"/>
      <w:divBdr>
        <w:top w:val="none" w:sz="0" w:space="0" w:color="auto"/>
        <w:left w:val="none" w:sz="0" w:space="0" w:color="auto"/>
        <w:bottom w:val="none" w:sz="0" w:space="0" w:color="auto"/>
        <w:right w:val="none" w:sz="0" w:space="0" w:color="auto"/>
      </w:divBdr>
    </w:div>
    <w:div w:id="1727684992">
      <w:bodyDiv w:val="1"/>
      <w:marLeft w:val="0"/>
      <w:marRight w:val="0"/>
      <w:marTop w:val="0"/>
      <w:marBottom w:val="0"/>
      <w:divBdr>
        <w:top w:val="none" w:sz="0" w:space="0" w:color="auto"/>
        <w:left w:val="none" w:sz="0" w:space="0" w:color="auto"/>
        <w:bottom w:val="none" w:sz="0" w:space="0" w:color="auto"/>
        <w:right w:val="none" w:sz="0" w:space="0" w:color="auto"/>
      </w:divBdr>
    </w:div>
    <w:div w:id="1727953777">
      <w:bodyDiv w:val="1"/>
      <w:marLeft w:val="0"/>
      <w:marRight w:val="0"/>
      <w:marTop w:val="0"/>
      <w:marBottom w:val="0"/>
      <w:divBdr>
        <w:top w:val="none" w:sz="0" w:space="0" w:color="auto"/>
        <w:left w:val="none" w:sz="0" w:space="0" w:color="auto"/>
        <w:bottom w:val="none" w:sz="0" w:space="0" w:color="auto"/>
        <w:right w:val="none" w:sz="0" w:space="0" w:color="auto"/>
      </w:divBdr>
    </w:div>
    <w:div w:id="1728334887">
      <w:bodyDiv w:val="1"/>
      <w:marLeft w:val="0"/>
      <w:marRight w:val="0"/>
      <w:marTop w:val="0"/>
      <w:marBottom w:val="0"/>
      <w:divBdr>
        <w:top w:val="none" w:sz="0" w:space="0" w:color="auto"/>
        <w:left w:val="none" w:sz="0" w:space="0" w:color="auto"/>
        <w:bottom w:val="none" w:sz="0" w:space="0" w:color="auto"/>
        <w:right w:val="none" w:sz="0" w:space="0" w:color="auto"/>
      </w:divBdr>
    </w:div>
    <w:div w:id="1728451049">
      <w:bodyDiv w:val="1"/>
      <w:marLeft w:val="0"/>
      <w:marRight w:val="0"/>
      <w:marTop w:val="0"/>
      <w:marBottom w:val="0"/>
      <w:divBdr>
        <w:top w:val="none" w:sz="0" w:space="0" w:color="auto"/>
        <w:left w:val="none" w:sz="0" w:space="0" w:color="auto"/>
        <w:bottom w:val="none" w:sz="0" w:space="0" w:color="auto"/>
        <w:right w:val="none" w:sz="0" w:space="0" w:color="auto"/>
      </w:divBdr>
    </w:div>
    <w:div w:id="1728991876">
      <w:bodyDiv w:val="1"/>
      <w:marLeft w:val="0"/>
      <w:marRight w:val="0"/>
      <w:marTop w:val="0"/>
      <w:marBottom w:val="0"/>
      <w:divBdr>
        <w:top w:val="none" w:sz="0" w:space="0" w:color="auto"/>
        <w:left w:val="none" w:sz="0" w:space="0" w:color="auto"/>
        <w:bottom w:val="none" w:sz="0" w:space="0" w:color="auto"/>
        <w:right w:val="none" w:sz="0" w:space="0" w:color="auto"/>
      </w:divBdr>
    </w:div>
    <w:div w:id="1729258362">
      <w:bodyDiv w:val="1"/>
      <w:marLeft w:val="0"/>
      <w:marRight w:val="0"/>
      <w:marTop w:val="0"/>
      <w:marBottom w:val="0"/>
      <w:divBdr>
        <w:top w:val="none" w:sz="0" w:space="0" w:color="auto"/>
        <w:left w:val="none" w:sz="0" w:space="0" w:color="auto"/>
        <w:bottom w:val="none" w:sz="0" w:space="0" w:color="auto"/>
        <w:right w:val="none" w:sz="0" w:space="0" w:color="auto"/>
      </w:divBdr>
    </w:div>
    <w:div w:id="1729259235">
      <w:bodyDiv w:val="1"/>
      <w:marLeft w:val="0"/>
      <w:marRight w:val="0"/>
      <w:marTop w:val="0"/>
      <w:marBottom w:val="0"/>
      <w:divBdr>
        <w:top w:val="none" w:sz="0" w:space="0" w:color="auto"/>
        <w:left w:val="none" w:sz="0" w:space="0" w:color="auto"/>
        <w:bottom w:val="none" w:sz="0" w:space="0" w:color="auto"/>
        <w:right w:val="none" w:sz="0" w:space="0" w:color="auto"/>
      </w:divBdr>
    </w:div>
    <w:div w:id="1729769008">
      <w:bodyDiv w:val="1"/>
      <w:marLeft w:val="0"/>
      <w:marRight w:val="0"/>
      <w:marTop w:val="0"/>
      <w:marBottom w:val="0"/>
      <w:divBdr>
        <w:top w:val="none" w:sz="0" w:space="0" w:color="auto"/>
        <w:left w:val="none" w:sz="0" w:space="0" w:color="auto"/>
        <w:bottom w:val="none" w:sz="0" w:space="0" w:color="auto"/>
        <w:right w:val="none" w:sz="0" w:space="0" w:color="auto"/>
      </w:divBdr>
    </w:div>
    <w:div w:id="1730037082">
      <w:bodyDiv w:val="1"/>
      <w:marLeft w:val="0"/>
      <w:marRight w:val="0"/>
      <w:marTop w:val="0"/>
      <w:marBottom w:val="0"/>
      <w:divBdr>
        <w:top w:val="none" w:sz="0" w:space="0" w:color="auto"/>
        <w:left w:val="none" w:sz="0" w:space="0" w:color="auto"/>
        <w:bottom w:val="none" w:sz="0" w:space="0" w:color="auto"/>
        <w:right w:val="none" w:sz="0" w:space="0" w:color="auto"/>
      </w:divBdr>
    </w:div>
    <w:div w:id="1730490548">
      <w:bodyDiv w:val="1"/>
      <w:marLeft w:val="0"/>
      <w:marRight w:val="0"/>
      <w:marTop w:val="0"/>
      <w:marBottom w:val="0"/>
      <w:divBdr>
        <w:top w:val="none" w:sz="0" w:space="0" w:color="auto"/>
        <w:left w:val="none" w:sz="0" w:space="0" w:color="auto"/>
        <w:bottom w:val="none" w:sz="0" w:space="0" w:color="auto"/>
        <w:right w:val="none" w:sz="0" w:space="0" w:color="auto"/>
      </w:divBdr>
    </w:div>
    <w:div w:id="1730685023">
      <w:bodyDiv w:val="1"/>
      <w:marLeft w:val="0"/>
      <w:marRight w:val="0"/>
      <w:marTop w:val="0"/>
      <w:marBottom w:val="0"/>
      <w:divBdr>
        <w:top w:val="none" w:sz="0" w:space="0" w:color="auto"/>
        <w:left w:val="none" w:sz="0" w:space="0" w:color="auto"/>
        <w:bottom w:val="none" w:sz="0" w:space="0" w:color="auto"/>
        <w:right w:val="none" w:sz="0" w:space="0" w:color="auto"/>
      </w:divBdr>
    </w:div>
    <w:div w:id="1730806507">
      <w:bodyDiv w:val="1"/>
      <w:marLeft w:val="0"/>
      <w:marRight w:val="0"/>
      <w:marTop w:val="0"/>
      <w:marBottom w:val="0"/>
      <w:divBdr>
        <w:top w:val="none" w:sz="0" w:space="0" w:color="auto"/>
        <w:left w:val="none" w:sz="0" w:space="0" w:color="auto"/>
        <w:bottom w:val="none" w:sz="0" w:space="0" w:color="auto"/>
        <w:right w:val="none" w:sz="0" w:space="0" w:color="auto"/>
      </w:divBdr>
    </w:div>
    <w:div w:id="1731147506">
      <w:bodyDiv w:val="1"/>
      <w:marLeft w:val="0"/>
      <w:marRight w:val="0"/>
      <w:marTop w:val="0"/>
      <w:marBottom w:val="0"/>
      <w:divBdr>
        <w:top w:val="none" w:sz="0" w:space="0" w:color="auto"/>
        <w:left w:val="none" w:sz="0" w:space="0" w:color="auto"/>
        <w:bottom w:val="none" w:sz="0" w:space="0" w:color="auto"/>
        <w:right w:val="none" w:sz="0" w:space="0" w:color="auto"/>
      </w:divBdr>
    </w:div>
    <w:div w:id="1731230374">
      <w:bodyDiv w:val="1"/>
      <w:marLeft w:val="0"/>
      <w:marRight w:val="0"/>
      <w:marTop w:val="0"/>
      <w:marBottom w:val="0"/>
      <w:divBdr>
        <w:top w:val="none" w:sz="0" w:space="0" w:color="auto"/>
        <w:left w:val="none" w:sz="0" w:space="0" w:color="auto"/>
        <w:bottom w:val="none" w:sz="0" w:space="0" w:color="auto"/>
        <w:right w:val="none" w:sz="0" w:space="0" w:color="auto"/>
      </w:divBdr>
    </w:div>
    <w:div w:id="1731272155">
      <w:bodyDiv w:val="1"/>
      <w:marLeft w:val="0"/>
      <w:marRight w:val="0"/>
      <w:marTop w:val="0"/>
      <w:marBottom w:val="0"/>
      <w:divBdr>
        <w:top w:val="none" w:sz="0" w:space="0" w:color="auto"/>
        <w:left w:val="none" w:sz="0" w:space="0" w:color="auto"/>
        <w:bottom w:val="none" w:sz="0" w:space="0" w:color="auto"/>
        <w:right w:val="none" w:sz="0" w:space="0" w:color="auto"/>
      </w:divBdr>
    </w:div>
    <w:div w:id="1731339116">
      <w:bodyDiv w:val="1"/>
      <w:marLeft w:val="0"/>
      <w:marRight w:val="0"/>
      <w:marTop w:val="0"/>
      <w:marBottom w:val="0"/>
      <w:divBdr>
        <w:top w:val="none" w:sz="0" w:space="0" w:color="auto"/>
        <w:left w:val="none" w:sz="0" w:space="0" w:color="auto"/>
        <w:bottom w:val="none" w:sz="0" w:space="0" w:color="auto"/>
        <w:right w:val="none" w:sz="0" w:space="0" w:color="auto"/>
      </w:divBdr>
    </w:div>
    <w:div w:id="1731341164">
      <w:bodyDiv w:val="1"/>
      <w:marLeft w:val="0"/>
      <w:marRight w:val="0"/>
      <w:marTop w:val="0"/>
      <w:marBottom w:val="0"/>
      <w:divBdr>
        <w:top w:val="none" w:sz="0" w:space="0" w:color="auto"/>
        <w:left w:val="none" w:sz="0" w:space="0" w:color="auto"/>
        <w:bottom w:val="none" w:sz="0" w:space="0" w:color="auto"/>
        <w:right w:val="none" w:sz="0" w:space="0" w:color="auto"/>
      </w:divBdr>
    </w:div>
    <w:div w:id="1731734985">
      <w:bodyDiv w:val="1"/>
      <w:marLeft w:val="0"/>
      <w:marRight w:val="0"/>
      <w:marTop w:val="0"/>
      <w:marBottom w:val="0"/>
      <w:divBdr>
        <w:top w:val="none" w:sz="0" w:space="0" w:color="auto"/>
        <w:left w:val="none" w:sz="0" w:space="0" w:color="auto"/>
        <w:bottom w:val="none" w:sz="0" w:space="0" w:color="auto"/>
        <w:right w:val="none" w:sz="0" w:space="0" w:color="auto"/>
      </w:divBdr>
    </w:div>
    <w:div w:id="1731876833">
      <w:bodyDiv w:val="1"/>
      <w:marLeft w:val="0"/>
      <w:marRight w:val="0"/>
      <w:marTop w:val="0"/>
      <w:marBottom w:val="0"/>
      <w:divBdr>
        <w:top w:val="none" w:sz="0" w:space="0" w:color="auto"/>
        <w:left w:val="none" w:sz="0" w:space="0" w:color="auto"/>
        <w:bottom w:val="none" w:sz="0" w:space="0" w:color="auto"/>
        <w:right w:val="none" w:sz="0" w:space="0" w:color="auto"/>
      </w:divBdr>
    </w:div>
    <w:div w:id="1731998380">
      <w:bodyDiv w:val="1"/>
      <w:marLeft w:val="0"/>
      <w:marRight w:val="0"/>
      <w:marTop w:val="0"/>
      <w:marBottom w:val="0"/>
      <w:divBdr>
        <w:top w:val="none" w:sz="0" w:space="0" w:color="auto"/>
        <w:left w:val="none" w:sz="0" w:space="0" w:color="auto"/>
        <w:bottom w:val="none" w:sz="0" w:space="0" w:color="auto"/>
        <w:right w:val="none" w:sz="0" w:space="0" w:color="auto"/>
      </w:divBdr>
    </w:div>
    <w:div w:id="1732192066">
      <w:bodyDiv w:val="1"/>
      <w:marLeft w:val="0"/>
      <w:marRight w:val="0"/>
      <w:marTop w:val="0"/>
      <w:marBottom w:val="0"/>
      <w:divBdr>
        <w:top w:val="none" w:sz="0" w:space="0" w:color="auto"/>
        <w:left w:val="none" w:sz="0" w:space="0" w:color="auto"/>
        <w:bottom w:val="none" w:sz="0" w:space="0" w:color="auto"/>
        <w:right w:val="none" w:sz="0" w:space="0" w:color="auto"/>
      </w:divBdr>
    </w:div>
    <w:div w:id="1732536570">
      <w:bodyDiv w:val="1"/>
      <w:marLeft w:val="0"/>
      <w:marRight w:val="0"/>
      <w:marTop w:val="0"/>
      <w:marBottom w:val="0"/>
      <w:divBdr>
        <w:top w:val="none" w:sz="0" w:space="0" w:color="auto"/>
        <w:left w:val="none" w:sz="0" w:space="0" w:color="auto"/>
        <w:bottom w:val="none" w:sz="0" w:space="0" w:color="auto"/>
        <w:right w:val="none" w:sz="0" w:space="0" w:color="auto"/>
      </w:divBdr>
    </w:div>
    <w:div w:id="1732774077">
      <w:bodyDiv w:val="1"/>
      <w:marLeft w:val="0"/>
      <w:marRight w:val="0"/>
      <w:marTop w:val="0"/>
      <w:marBottom w:val="0"/>
      <w:divBdr>
        <w:top w:val="none" w:sz="0" w:space="0" w:color="auto"/>
        <w:left w:val="none" w:sz="0" w:space="0" w:color="auto"/>
        <w:bottom w:val="none" w:sz="0" w:space="0" w:color="auto"/>
        <w:right w:val="none" w:sz="0" w:space="0" w:color="auto"/>
      </w:divBdr>
    </w:div>
    <w:div w:id="1732920439">
      <w:bodyDiv w:val="1"/>
      <w:marLeft w:val="0"/>
      <w:marRight w:val="0"/>
      <w:marTop w:val="0"/>
      <w:marBottom w:val="0"/>
      <w:divBdr>
        <w:top w:val="none" w:sz="0" w:space="0" w:color="auto"/>
        <w:left w:val="none" w:sz="0" w:space="0" w:color="auto"/>
        <w:bottom w:val="none" w:sz="0" w:space="0" w:color="auto"/>
        <w:right w:val="none" w:sz="0" w:space="0" w:color="auto"/>
      </w:divBdr>
    </w:div>
    <w:div w:id="1733431116">
      <w:bodyDiv w:val="1"/>
      <w:marLeft w:val="0"/>
      <w:marRight w:val="0"/>
      <w:marTop w:val="0"/>
      <w:marBottom w:val="0"/>
      <w:divBdr>
        <w:top w:val="none" w:sz="0" w:space="0" w:color="auto"/>
        <w:left w:val="none" w:sz="0" w:space="0" w:color="auto"/>
        <w:bottom w:val="none" w:sz="0" w:space="0" w:color="auto"/>
        <w:right w:val="none" w:sz="0" w:space="0" w:color="auto"/>
      </w:divBdr>
    </w:div>
    <w:div w:id="1733654716">
      <w:bodyDiv w:val="1"/>
      <w:marLeft w:val="0"/>
      <w:marRight w:val="0"/>
      <w:marTop w:val="0"/>
      <w:marBottom w:val="0"/>
      <w:divBdr>
        <w:top w:val="none" w:sz="0" w:space="0" w:color="auto"/>
        <w:left w:val="none" w:sz="0" w:space="0" w:color="auto"/>
        <w:bottom w:val="none" w:sz="0" w:space="0" w:color="auto"/>
        <w:right w:val="none" w:sz="0" w:space="0" w:color="auto"/>
      </w:divBdr>
    </w:div>
    <w:div w:id="1734159929">
      <w:bodyDiv w:val="1"/>
      <w:marLeft w:val="0"/>
      <w:marRight w:val="0"/>
      <w:marTop w:val="0"/>
      <w:marBottom w:val="0"/>
      <w:divBdr>
        <w:top w:val="none" w:sz="0" w:space="0" w:color="auto"/>
        <w:left w:val="none" w:sz="0" w:space="0" w:color="auto"/>
        <w:bottom w:val="none" w:sz="0" w:space="0" w:color="auto"/>
        <w:right w:val="none" w:sz="0" w:space="0" w:color="auto"/>
      </w:divBdr>
    </w:div>
    <w:div w:id="1734546794">
      <w:bodyDiv w:val="1"/>
      <w:marLeft w:val="0"/>
      <w:marRight w:val="0"/>
      <w:marTop w:val="0"/>
      <w:marBottom w:val="0"/>
      <w:divBdr>
        <w:top w:val="none" w:sz="0" w:space="0" w:color="auto"/>
        <w:left w:val="none" w:sz="0" w:space="0" w:color="auto"/>
        <w:bottom w:val="none" w:sz="0" w:space="0" w:color="auto"/>
        <w:right w:val="none" w:sz="0" w:space="0" w:color="auto"/>
      </w:divBdr>
    </w:div>
    <w:div w:id="1734884726">
      <w:bodyDiv w:val="1"/>
      <w:marLeft w:val="0"/>
      <w:marRight w:val="0"/>
      <w:marTop w:val="0"/>
      <w:marBottom w:val="0"/>
      <w:divBdr>
        <w:top w:val="none" w:sz="0" w:space="0" w:color="auto"/>
        <w:left w:val="none" w:sz="0" w:space="0" w:color="auto"/>
        <w:bottom w:val="none" w:sz="0" w:space="0" w:color="auto"/>
        <w:right w:val="none" w:sz="0" w:space="0" w:color="auto"/>
      </w:divBdr>
    </w:div>
    <w:div w:id="1734893036">
      <w:bodyDiv w:val="1"/>
      <w:marLeft w:val="0"/>
      <w:marRight w:val="0"/>
      <w:marTop w:val="0"/>
      <w:marBottom w:val="0"/>
      <w:divBdr>
        <w:top w:val="none" w:sz="0" w:space="0" w:color="auto"/>
        <w:left w:val="none" w:sz="0" w:space="0" w:color="auto"/>
        <w:bottom w:val="none" w:sz="0" w:space="0" w:color="auto"/>
        <w:right w:val="none" w:sz="0" w:space="0" w:color="auto"/>
      </w:divBdr>
    </w:div>
    <w:div w:id="1735083552">
      <w:bodyDiv w:val="1"/>
      <w:marLeft w:val="0"/>
      <w:marRight w:val="0"/>
      <w:marTop w:val="0"/>
      <w:marBottom w:val="0"/>
      <w:divBdr>
        <w:top w:val="none" w:sz="0" w:space="0" w:color="auto"/>
        <w:left w:val="none" w:sz="0" w:space="0" w:color="auto"/>
        <w:bottom w:val="none" w:sz="0" w:space="0" w:color="auto"/>
        <w:right w:val="none" w:sz="0" w:space="0" w:color="auto"/>
      </w:divBdr>
    </w:div>
    <w:div w:id="1736127554">
      <w:bodyDiv w:val="1"/>
      <w:marLeft w:val="0"/>
      <w:marRight w:val="0"/>
      <w:marTop w:val="0"/>
      <w:marBottom w:val="0"/>
      <w:divBdr>
        <w:top w:val="none" w:sz="0" w:space="0" w:color="auto"/>
        <w:left w:val="none" w:sz="0" w:space="0" w:color="auto"/>
        <w:bottom w:val="none" w:sz="0" w:space="0" w:color="auto"/>
        <w:right w:val="none" w:sz="0" w:space="0" w:color="auto"/>
      </w:divBdr>
    </w:div>
    <w:div w:id="1736275015">
      <w:bodyDiv w:val="1"/>
      <w:marLeft w:val="0"/>
      <w:marRight w:val="0"/>
      <w:marTop w:val="0"/>
      <w:marBottom w:val="0"/>
      <w:divBdr>
        <w:top w:val="none" w:sz="0" w:space="0" w:color="auto"/>
        <w:left w:val="none" w:sz="0" w:space="0" w:color="auto"/>
        <w:bottom w:val="none" w:sz="0" w:space="0" w:color="auto"/>
        <w:right w:val="none" w:sz="0" w:space="0" w:color="auto"/>
      </w:divBdr>
    </w:div>
    <w:div w:id="1736515434">
      <w:bodyDiv w:val="1"/>
      <w:marLeft w:val="0"/>
      <w:marRight w:val="0"/>
      <w:marTop w:val="0"/>
      <w:marBottom w:val="0"/>
      <w:divBdr>
        <w:top w:val="none" w:sz="0" w:space="0" w:color="auto"/>
        <w:left w:val="none" w:sz="0" w:space="0" w:color="auto"/>
        <w:bottom w:val="none" w:sz="0" w:space="0" w:color="auto"/>
        <w:right w:val="none" w:sz="0" w:space="0" w:color="auto"/>
      </w:divBdr>
    </w:div>
    <w:div w:id="1736708146">
      <w:bodyDiv w:val="1"/>
      <w:marLeft w:val="0"/>
      <w:marRight w:val="0"/>
      <w:marTop w:val="0"/>
      <w:marBottom w:val="0"/>
      <w:divBdr>
        <w:top w:val="none" w:sz="0" w:space="0" w:color="auto"/>
        <w:left w:val="none" w:sz="0" w:space="0" w:color="auto"/>
        <w:bottom w:val="none" w:sz="0" w:space="0" w:color="auto"/>
        <w:right w:val="none" w:sz="0" w:space="0" w:color="auto"/>
      </w:divBdr>
    </w:div>
    <w:div w:id="1737585077">
      <w:bodyDiv w:val="1"/>
      <w:marLeft w:val="0"/>
      <w:marRight w:val="0"/>
      <w:marTop w:val="0"/>
      <w:marBottom w:val="0"/>
      <w:divBdr>
        <w:top w:val="none" w:sz="0" w:space="0" w:color="auto"/>
        <w:left w:val="none" w:sz="0" w:space="0" w:color="auto"/>
        <w:bottom w:val="none" w:sz="0" w:space="0" w:color="auto"/>
        <w:right w:val="none" w:sz="0" w:space="0" w:color="auto"/>
      </w:divBdr>
    </w:div>
    <w:div w:id="1737585981">
      <w:bodyDiv w:val="1"/>
      <w:marLeft w:val="0"/>
      <w:marRight w:val="0"/>
      <w:marTop w:val="0"/>
      <w:marBottom w:val="0"/>
      <w:divBdr>
        <w:top w:val="none" w:sz="0" w:space="0" w:color="auto"/>
        <w:left w:val="none" w:sz="0" w:space="0" w:color="auto"/>
        <w:bottom w:val="none" w:sz="0" w:space="0" w:color="auto"/>
        <w:right w:val="none" w:sz="0" w:space="0" w:color="auto"/>
      </w:divBdr>
    </w:div>
    <w:div w:id="1737707358">
      <w:bodyDiv w:val="1"/>
      <w:marLeft w:val="0"/>
      <w:marRight w:val="0"/>
      <w:marTop w:val="0"/>
      <w:marBottom w:val="0"/>
      <w:divBdr>
        <w:top w:val="none" w:sz="0" w:space="0" w:color="auto"/>
        <w:left w:val="none" w:sz="0" w:space="0" w:color="auto"/>
        <w:bottom w:val="none" w:sz="0" w:space="0" w:color="auto"/>
        <w:right w:val="none" w:sz="0" w:space="0" w:color="auto"/>
      </w:divBdr>
    </w:div>
    <w:div w:id="1738166375">
      <w:bodyDiv w:val="1"/>
      <w:marLeft w:val="0"/>
      <w:marRight w:val="0"/>
      <w:marTop w:val="0"/>
      <w:marBottom w:val="0"/>
      <w:divBdr>
        <w:top w:val="none" w:sz="0" w:space="0" w:color="auto"/>
        <w:left w:val="none" w:sz="0" w:space="0" w:color="auto"/>
        <w:bottom w:val="none" w:sz="0" w:space="0" w:color="auto"/>
        <w:right w:val="none" w:sz="0" w:space="0" w:color="auto"/>
      </w:divBdr>
    </w:div>
    <w:div w:id="1738212161">
      <w:bodyDiv w:val="1"/>
      <w:marLeft w:val="0"/>
      <w:marRight w:val="0"/>
      <w:marTop w:val="0"/>
      <w:marBottom w:val="0"/>
      <w:divBdr>
        <w:top w:val="none" w:sz="0" w:space="0" w:color="auto"/>
        <w:left w:val="none" w:sz="0" w:space="0" w:color="auto"/>
        <w:bottom w:val="none" w:sz="0" w:space="0" w:color="auto"/>
        <w:right w:val="none" w:sz="0" w:space="0" w:color="auto"/>
      </w:divBdr>
    </w:div>
    <w:div w:id="1738356860">
      <w:bodyDiv w:val="1"/>
      <w:marLeft w:val="0"/>
      <w:marRight w:val="0"/>
      <w:marTop w:val="0"/>
      <w:marBottom w:val="0"/>
      <w:divBdr>
        <w:top w:val="none" w:sz="0" w:space="0" w:color="auto"/>
        <w:left w:val="none" w:sz="0" w:space="0" w:color="auto"/>
        <w:bottom w:val="none" w:sz="0" w:space="0" w:color="auto"/>
        <w:right w:val="none" w:sz="0" w:space="0" w:color="auto"/>
      </w:divBdr>
    </w:div>
    <w:div w:id="1738740782">
      <w:bodyDiv w:val="1"/>
      <w:marLeft w:val="0"/>
      <w:marRight w:val="0"/>
      <w:marTop w:val="0"/>
      <w:marBottom w:val="0"/>
      <w:divBdr>
        <w:top w:val="none" w:sz="0" w:space="0" w:color="auto"/>
        <w:left w:val="none" w:sz="0" w:space="0" w:color="auto"/>
        <w:bottom w:val="none" w:sz="0" w:space="0" w:color="auto"/>
        <w:right w:val="none" w:sz="0" w:space="0" w:color="auto"/>
      </w:divBdr>
    </w:div>
    <w:div w:id="1739017902">
      <w:bodyDiv w:val="1"/>
      <w:marLeft w:val="0"/>
      <w:marRight w:val="0"/>
      <w:marTop w:val="0"/>
      <w:marBottom w:val="0"/>
      <w:divBdr>
        <w:top w:val="none" w:sz="0" w:space="0" w:color="auto"/>
        <w:left w:val="none" w:sz="0" w:space="0" w:color="auto"/>
        <w:bottom w:val="none" w:sz="0" w:space="0" w:color="auto"/>
        <w:right w:val="none" w:sz="0" w:space="0" w:color="auto"/>
      </w:divBdr>
    </w:div>
    <w:div w:id="1739092492">
      <w:bodyDiv w:val="1"/>
      <w:marLeft w:val="0"/>
      <w:marRight w:val="0"/>
      <w:marTop w:val="0"/>
      <w:marBottom w:val="0"/>
      <w:divBdr>
        <w:top w:val="none" w:sz="0" w:space="0" w:color="auto"/>
        <w:left w:val="none" w:sz="0" w:space="0" w:color="auto"/>
        <w:bottom w:val="none" w:sz="0" w:space="0" w:color="auto"/>
        <w:right w:val="none" w:sz="0" w:space="0" w:color="auto"/>
      </w:divBdr>
    </w:div>
    <w:div w:id="1739208688">
      <w:bodyDiv w:val="1"/>
      <w:marLeft w:val="0"/>
      <w:marRight w:val="0"/>
      <w:marTop w:val="0"/>
      <w:marBottom w:val="0"/>
      <w:divBdr>
        <w:top w:val="none" w:sz="0" w:space="0" w:color="auto"/>
        <w:left w:val="none" w:sz="0" w:space="0" w:color="auto"/>
        <w:bottom w:val="none" w:sz="0" w:space="0" w:color="auto"/>
        <w:right w:val="none" w:sz="0" w:space="0" w:color="auto"/>
      </w:divBdr>
    </w:div>
    <w:div w:id="1739395599">
      <w:bodyDiv w:val="1"/>
      <w:marLeft w:val="0"/>
      <w:marRight w:val="0"/>
      <w:marTop w:val="0"/>
      <w:marBottom w:val="0"/>
      <w:divBdr>
        <w:top w:val="none" w:sz="0" w:space="0" w:color="auto"/>
        <w:left w:val="none" w:sz="0" w:space="0" w:color="auto"/>
        <w:bottom w:val="none" w:sz="0" w:space="0" w:color="auto"/>
        <w:right w:val="none" w:sz="0" w:space="0" w:color="auto"/>
      </w:divBdr>
    </w:div>
    <w:div w:id="1739551899">
      <w:bodyDiv w:val="1"/>
      <w:marLeft w:val="0"/>
      <w:marRight w:val="0"/>
      <w:marTop w:val="0"/>
      <w:marBottom w:val="0"/>
      <w:divBdr>
        <w:top w:val="none" w:sz="0" w:space="0" w:color="auto"/>
        <w:left w:val="none" w:sz="0" w:space="0" w:color="auto"/>
        <w:bottom w:val="none" w:sz="0" w:space="0" w:color="auto"/>
        <w:right w:val="none" w:sz="0" w:space="0" w:color="auto"/>
      </w:divBdr>
    </w:div>
    <w:div w:id="1739592548">
      <w:bodyDiv w:val="1"/>
      <w:marLeft w:val="0"/>
      <w:marRight w:val="0"/>
      <w:marTop w:val="0"/>
      <w:marBottom w:val="0"/>
      <w:divBdr>
        <w:top w:val="none" w:sz="0" w:space="0" w:color="auto"/>
        <w:left w:val="none" w:sz="0" w:space="0" w:color="auto"/>
        <w:bottom w:val="none" w:sz="0" w:space="0" w:color="auto"/>
        <w:right w:val="none" w:sz="0" w:space="0" w:color="auto"/>
      </w:divBdr>
    </w:div>
    <w:div w:id="1740129432">
      <w:bodyDiv w:val="1"/>
      <w:marLeft w:val="0"/>
      <w:marRight w:val="0"/>
      <w:marTop w:val="0"/>
      <w:marBottom w:val="0"/>
      <w:divBdr>
        <w:top w:val="none" w:sz="0" w:space="0" w:color="auto"/>
        <w:left w:val="none" w:sz="0" w:space="0" w:color="auto"/>
        <w:bottom w:val="none" w:sz="0" w:space="0" w:color="auto"/>
        <w:right w:val="none" w:sz="0" w:space="0" w:color="auto"/>
      </w:divBdr>
    </w:div>
    <w:div w:id="1740132846">
      <w:bodyDiv w:val="1"/>
      <w:marLeft w:val="0"/>
      <w:marRight w:val="0"/>
      <w:marTop w:val="0"/>
      <w:marBottom w:val="0"/>
      <w:divBdr>
        <w:top w:val="none" w:sz="0" w:space="0" w:color="auto"/>
        <w:left w:val="none" w:sz="0" w:space="0" w:color="auto"/>
        <w:bottom w:val="none" w:sz="0" w:space="0" w:color="auto"/>
        <w:right w:val="none" w:sz="0" w:space="0" w:color="auto"/>
      </w:divBdr>
    </w:div>
    <w:div w:id="1740133210">
      <w:bodyDiv w:val="1"/>
      <w:marLeft w:val="0"/>
      <w:marRight w:val="0"/>
      <w:marTop w:val="0"/>
      <w:marBottom w:val="0"/>
      <w:divBdr>
        <w:top w:val="none" w:sz="0" w:space="0" w:color="auto"/>
        <w:left w:val="none" w:sz="0" w:space="0" w:color="auto"/>
        <w:bottom w:val="none" w:sz="0" w:space="0" w:color="auto"/>
        <w:right w:val="none" w:sz="0" w:space="0" w:color="auto"/>
      </w:divBdr>
    </w:div>
    <w:div w:id="1740665450">
      <w:bodyDiv w:val="1"/>
      <w:marLeft w:val="0"/>
      <w:marRight w:val="0"/>
      <w:marTop w:val="0"/>
      <w:marBottom w:val="0"/>
      <w:divBdr>
        <w:top w:val="none" w:sz="0" w:space="0" w:color="auto"/>
        <w:left w:val="none" w:sz="0" w:space="0" w:color="auto"/>
        <w:bottom w:val="none" w:sz="0" w:space="0" w:color="auto"/>
        <w:right w:val="none" w:sz="0" w:space="0" w:color="auto"/>
      </w:divBdr>
    </w:div>
    <w:div w:id="1740787285">
      <w:bodyDiv w:val="1"/>
      <w:marLeft w:val="0"/>
      <w:marRight w:val="0"/>
      <w:marTop w:val="0"/>
      <w:marBottom w:val="0"/>
      <w:divBdr>
        <w:top w:val="none" w:sz="0" w:space="0" w:color="auto"/>
        <w:left w:val="none" w:sz="0" w:space="0" w:color="auto"/>
        <w:bottom w:val="none" w:sz="0" w:space="0" w:color="auto"/>
        <w:right w:val="none" w:sz="0" w:space="0" w:color="auto"/>
      </w:divBdr>
    </w:div>
    <w:div w:id="1742287927">
      <w:bodyDiv w:val="1"/>
      <w:marLeft w:val="0"/>
      <w:marRight w:val="0"/>
      <w:marTop w:val="0"/>
      <w:marBottom w:val="0"/>
      <w:divBdr>
        <w:top w:val="none" w:sz="0" w:space="0" w:color="auto"/>
        <w:left w:val="none" w:sz="0" w:space="0" w:color="auto"/>
        <w:bottom w:val="none" w:sz="0" w:space="0" w:color="auto"/>
        <w:right w:val="none" w:sz="0" w:space="0" w:color="auto"/>
      </w:divBdr>
    </w:div>
    <w:div w:id="1742293084">
      <w:bodyDiv w:val="1"/>
      <w:marLeft w:val="0"/>
      <w:marRight w:val="0"/>
      <w:marTop w:val="0"/>
      <w:marBottom w:val="0"/>
      <w:divBdr>
        <w:top w:val="none" w:sz="0" w:space="0" w:color="auto"/>
        <w:left w:val="none" w:sz="0" w:space="0" w:color="auto"/>
        <w:bottom w:val="none" w:sz="0" w:space="0" w:color="auto"/>
        <w:right w:val="none" w:sz="0" w:space="0" w:color="auto"/>
      </w:divBdr>
    </w:div>
    <w:div w:id="1742751435">
      <w:bodyDiv w:val="1"/>
      <w:marLeft w:val="0"/>
      <w:marRight w:val="0"/>
      <w:marTop w:val="0"/>
      <w:marBottom w:val="0"/>
      <w:divBdr>
        <w:top w:val="none" w:sz="0" w:space="0" w:color="auto"/>
        <w:left w:val="none" w:sz="0" w:space="0" w:color="auto"/>
        <w:bottom w:val="none" w:sz="0" w:space="0" w:color="auto"/>
        <w:right w:val="none" w:sz="0" w:space="0" w:color="auto"/>
      </w:divBdr>
    </w:div>
    <w:div w:id="1743410970">
      <w:bodyDiv w:val="1"/>
      <w:marLeft w:val="0"/>
      <w:marRight w:val="0"/>
      <w:marTop w:val="0"/>
      <w:marBottom w:val="0"/>
      <w:divBdr>
        <w:top w:val="none" w:sz="0" w:space="0" w:color="auto"/>
        <w:left w:val="none" w:sz="0" w:space="0" w:color="auto"/>
        <w:bottom w:val="none" w:sz="0" w:space="0" w:color="auto"/>
        <w:right w:val="none" w:sz="0" w:space="0" w:color="auto"/>
      </w:divBdr>
    </w:div>
    <w:div w:id="1743604514">
      <w:bodyDiv w:val="1"/>
      <w:marLeft w:val="0"/>
      <w:marRight w:val="0"/>
      <w:marTop w:val="0"/>
      <w:marBottom w:val="0"/>
      <w:divBdr>
        <w:top w:val="none" w:sz="0" w:space="0" w:color="auto"/>
        <w:left w:val="none" w:sz="0" w:space="0" w:color="auto"/>
        <w:bottom w:val="none" w:sz="0" w:space="0" w:color="auto"/>
        <w:right w:val="none" w:sz="0" w:space="0" w:color="auto"/>
      </w:divBdr>
    </w:div>
    <w:div w:id="1743790410">
      <w:bodyDiv w:val="1"/>
      <w:marLeft w:val="0"/>
      <w:marRight w:val="0"/>
      <w:marTop w:val="0"/>
      <w:marBottom w:val="0"/>
      <w:divBdr>
        <w:top w:val="none" w:sz="0" w:space="0" w:color="auto"/>
        <w:left w:val="none" w:sz="0" w:space="0" w:color="auto"/>
        <w:bottom w:val="none" w:sz="0" w:space="0" w:color="auto"/>
        <w:right w:val="none" w:sz="0" w:space="0" w:color="auto"/>
      </w:divBdr>
    </w:div>
    <w:div w:id="1744065787">
      <w:bodyDiv w:val="1"/>
      <w:marLeft w:val="0"/>
      <w:marRight w:val="0"/>
      <w:marTop w:val="0"/>
      <w:marBottom w:val="0"/>
      <w:divBdr>
        <w:top w:val="none" w:sz="0" w:space="0" w:color="auto"/>
        <w:left w:val="none" w:sz="0" w:space="0" w:color="auto"/>
        <w:bottom w:val="none" w:sz="0" w:space="0" w:color="auto"/>
        <w:right w:val="none" w:sz="0" w:space="0" w:color="auto"/>
      </w:divBdr>
    </w:div>
    <w:div w:id="1744133457">
      <w:bodyDiv w:val="1"/>
      <w:marLeft w:val="0"/>
      <w:marRight w:val="0"/>
      <w:marTop w:val="0"/>
      <w:marBottom w:val="0"/>
      <w:divBdr>
        <w:top w:val="none" w:sz="0" w:space="0" w:color="auto"/>
        <w:left w:val="none" w:sz="0" w:space="0" w:color="auto"/>
        <w:bottom w:val="none" w:sz="0" w:space="0" w:color="auto"/>
        <w:right w:val="none" w:sz="0" w:space="0" w:color="auto"/>
      </w:divBdr>
    </w:div>
    <w:div w:id="1744260490">
      <w:bodyDiv w:val="1"/>
      <w:marLeft w:val="0"/>
      <w:marRight w:val="0"/>
      <w:marTop w:val="0"/>
      <w:marBottom w:val="0"/>
      <w:divBdr>
        <w:top w:val="none" w:sz="0" w:space="0" w:color="auto"/>
        <w:left w:val="none" w:sz="0" w:space="0" w:color="auto"/>
        <w:bottom w:val="none" w:sz="0" w:space="0" w:color="auto"/>
        <w:right w:val="none" w:sz="0" w:space="0" w:color="auto"/>
      </w:divBdr>
    </w:div>
    <w:div w:id="1744836820">
      <w:bodyDiv w:val="1"/>
      <w:marLeft w:val="0"/>
      <w:marRight w:val="0"/>
      <w:marTop w:val="0"/>
      <w:marBottom w:val="0"/>
      <w:divBdr>
        <w:top w:val="none" w:sz="0" w:space="0" w:color="auto"/>
        <w:left w:val="none" w:sz="0" w:space="0" w:color="auto"/>
        <w:bottom w:val="none" w:sz="0" w:space="0" w:color="auto"/>
        <w:right w:val="none" w:sz="0" w:space="0" w:color="auto"/>
      </w:divBdr>
    </w:div>
    <w:div w:id="1744914462">
      <w:bodyDiv w:val="1"/>
      <w:marLeft w:val="0"/>
      <w:marRight w:val="0"/>
      <w:marTop w:val="0"/>
      <w:marBottom w:val="0"/>
      <w:divBdr>
        <w:top w:val="none" w:sz="0" w:space="0" w:color="auto"/>
        <w:left w:val="none" w:sz="0" w:space="0" w:color="auto"/>
        <w:bottom w:val="none" w:sz="0" w:space="0" w:color="auto"/>
        <w:right w:val="none" w:sz="0" w:space="0" w:color="auto"/>
      </w:divBdr>
    </w:div>
    <w:div w:id="1745032714">
      <w:bodyDiv w:val="1"/>
      <w:marLeft w:val="0"/>
      <w:marRight w:val="0"/>
      <w:marTop w:val="0"/>
      <w:marBottom w:val="0"/>
      <w:divBdr>
        <w:top w:val="none" w:sz="0" w:space="0" w:color="auto"/>
        <w:left w:val="none" w:sz="0" w:space="0" w:color="auto"/>
        <w:bottom w:val="none" w:sz="0" w:space="0" w:color="auto"/>
        <w:right w:val="none" w:sz="0" w:space="0" w:color="auto"/>
      </w:divBdr>
    </w:div>
    <w:div w:id="1745058079">
      <w:bodyDiv w:val="1"/>
      <w:marLeft w:val="0"/>
      <w:marRight w:val="0"/>
      <w:marTop w:val="0"/>
      <w:marBottom w:val="0"/>
      <w:divBdr>
        <w:top w:val="none" w:sz="0" w:space="0" w:color="auto"/>
        <w:left w:val="none" w:sz="0" w:space="0" w:color="auto"/>
        <w:bottom w:val="none" w:sz="0" w:space="0" w:color="auto"/>
        <w:right w:val="none" w:sz="0" w:space="0" w:color="auto"/>
      </w:divBdr>
    </w:div>
    <w:div w:id="1745103655">
      <w:bodyDiv w:val="1"/>
      <w:marLeft w:val="0"/>
      <w:marRight w:val="0"/>
      <w:marTop w:val="0"/>
      <w:marBottom w:val="0"/>
      <w:divBdr>
        <w:top w:val="none" w:sz="0" w:space="0" w:color="auto"/>
        <w:left w:val="none" w:sz="0" w:space="0" w:color="auto"/>
        <w:bottom w:val="none" w:sz="0" w:space="0" w:color="auto"/>
        <w:right w:val="none" w:sz="0" w:space="0" w:color="auto"/>
      </w:divBdr>
    </w:div>
    <w:div w:id="1745254339">
      <w:bodyDiv w:val="1"/>
      <w:marLeft w:val="0"/>
      <w:marRight w:val="0"/>
      <w:marTop w:val="0"/>
      <w:marBottom w:val="0"/>
      <w:divBdr>
        <w:top w:val="none" w:sz="0" w:space="0" w:color="auto"/>
        <w:left w:val="none" w:sz="0" w:space="0" w:color="auto"/>
        <w:bottom w:val="none" w:sz="0" w:space="0" w:color="auto"/>
        <w:right w:val="none" w:sz="0" w:space="0" w:color="auto"/>
      </w:divBdr>
    </w:div>
    <w:div w:id="1745293721">
      <w:bodyDiv w:val="1"/>
      <w:marLeft w:val="0"/>
      <w:marRight w:val="0"/>
      <w:marTop w:val="0"/>
      <w:marBottom w:val="0"/>
      <w:divBdr>
        <w:top w:val="none" w:sz="0" w:space="0" w:color="auto"/>
        <w:left w:val="none" w:sz="0" w:space="0" w:color="auto"/>
        <w:bottom w:val="none" w:sz="0" w:space="0" w:color="auto"/>
        <w:right w:val="none" w:sz="0" w:space="0" w:color="auto"/>
      </w:divBdr>
    </w:div>
    <w:div w:id="1745955295">
      <w:bodyDiv w:val="1"/>
      <w:marLeft w:val="0"/>
      <w:marRight w:val="0"/>
      <w:marTop w:val="0"/>
      <w:marBottom w:val="0"/>
      <w:divBdr>
        <w:top w:val="none" w:sz="0" w:space="0" w:color="auto"/>
        <w:left w:val="none" w:sz="0" w:space="0" w:color="auto"/>
        <w:bottom w:val="none" w:sz="0" w:space="0" w:color="auto"/>
        <w:right w:val="none" w:sz="0" w:space="0" w:color="auto"/>
      </w:divBdr>
    </w:div>
    <w:div w:id="1746145032">
      <w:bodyDiv w:val="1"/>
      <w:marLeft w:val="0"/>
      <w:marRight w:val="0"/>
      <w:marTop w:val="0"/>
      <w:marBottom w:val="0"/>
      <w:divBdr>
        <w:top w:val="none" w:sz="0" w:space="0" w:color="auto"/>
        <w:left w:val="none" w:sz="0" w:space="0" w:color="auto"/>
        <w:bottom w:val="none" w:sz="0" w:space="0" w:color="auto"/>
        <w:right w:val="none" w:sz="0" w:space="0" w:color="auto"/>
      </w:divBdr>
    </w:div>
    <w:div w:id="1746296300">
      <w:bodyDiv w:val="1"/>
      <w:marLeft w:val="0"/>
      <w:marRight w:val="0"/>
      <w:marTop w:val="0"/>
      <w:marBottom w:val="0"/>
      <w:divBdr>
        <w:top w:val="none" w:sz="0" w:space="0" w:color="auto"/>
        <w:left w:val="none" w:sz="0" w:space="0" w:color="auto"/>
        <w:bottom w:val="none" w:sz="0" w:space="0" w:color="auto"/>
        <w:right w:val="none" w:sz="0" w:space="0" w:color="auto"/>
      </w:divBdr>
    </w:div>
    <w:div w:id="1746344276">
      <w:bodyDiv w:val="1"/>
      <w:marLeft w:val="0"/>
      <w:marRight w:val="0"/>
      <w:marTop w:val="0"/>
      <w:marBottom w:val="0"/>
      <w:divBdr>
        <w:top w:val="none" w:sz="0" w:space="0" w:color="auto"/>
        <w:left w:val="none" w:sz="0" w:space="0" w:color="auto"/>
        <w:bottom w:val="none" w:sz="0" w:space="0" w:color="auto"/>
        <w:right w:val="none" w:sz="0" w:space="0" w:color="auto"/>
      </w:divBdr>
    </w:div>
    <w:div w:id="1746797092">
      <w:bodyDiv w:val="1"/>
      <w:marLeft w:val="0"/>
      <w:marRight w:val="0"/>
      <w:marTop w:val="0"/>
      <w:marBottom w:val="0"/>
      <w:divBdr>
        <w:top w:val="none" w:sz="0" w:space="0" w:color="auto"/>
        <w:left w:val="none" w:sz="0" w:space="0" w:color="auto"/>
        <w:bottom w:val="none" w:sz="0" w:space="0" w:color="auto"/>
        <w:right w:val="none" w:sz="0" w:space="0" w:color="auto"/>
      </w:divBdr>
    </w:div>
    <w:div w:id="1747069326">
      <w:bodyDiv w:val="1"/>
      <w:marLeft w:val="0"/>
      <w:marRight w:val="0"/>
      <w:marTop w:val="0"/>
      <w:marBottom w:val="0"/>
      <w:divBdr>
        <w:top w:val="none" w:sz="0" w:space="0" w:color="auto"/>
        <w:left w:val="none" w:sz="0" w:space="0" w:color="auto"/>
        <w:bottom w:val="none" w:sz="0" w:space="0" w:color="auto"/>
        <w:right w:val="none" w:sz="0" w:space="0" w:color="auto"/>
      </w:divBdr>
    </w:div>
    <w:div w:id="1747875128">
      <w:bodyDiv w:val="1"/>
      <w:marLeft w:val="0"/>
      <w:marRight w:val="0"/>
      <w:marTop w:val="0"/>
      <w:marBottom w:val="0"/>
      <w:divBdr>
        <w:top w:val="none" w:sz="0" w:space="0" w:color="auto"/>
        <w:left w:val="none" w:sz="0" w:space="0" w:color="auto"/>
        <w:bottom w:val="none" w:sz="0" w:space="0" w:color="auto"/>
        <w:right w:val="none" w:sz="0" w:space="0" w:color="auto"/>
      </w:divBdr>
    </w:div>
    <w:div w:id="1748382186">
      <w:bodyDiv w:val="1"/>
      <w:marLeft w:val="0"/>
      <w:marRight w:val="0"/>
      <w:marTop w:val="0"/>
      <w:marBottom w:val="0"/>
      <w:divBdr>
        <w:top w:val="none" w:sz="0" w:space="0" w:color="auto"/>
        <w:left w:val="none" w:sz="0" w:space="0" w:color="auto"/>
        <w:bottom w:val="none" w:sz="0" w:space="0" w:color="auto"/>
        <w:right w:val="none" w:sz="0" w:space="0" w:color="auto"/>
      </w:divBdr>
    </w:div>
    <w:div w:id="1748452498">
      <w:bodyDiv w:val="1"/>
      <w:marLeft w:val="0"/>
      <w:marRight w:val="0"/>
      <w:marTop w:val="0"/>
      <w:marBottom w:val="0"/>
      <w:divBdr>
        <w:top w:val="none" w:sz="0" w:space="0" w:color="auto"/>
        <w:left w:val="none" w:sz="0" w:space="0" w:color="auto"/>
        <w:bottom w:val="none" w:sz="0" w:space="0" w:color="auto"/>
        <w:right w:val="none" w:sz="0" w:space="0" w:color="auto"/>
      </w:divBdr>
    </w:div>
    <w:div w:id="1749032703">
      <w:bodyDiv w:val="1"/>
      <w:marLeft w:val="0"/>
      <w:marRight w:val="0"/>
      <w:marTop w:val="0"/>
      <w:marBottom w:val="0"/>
      <w:divBdr>
        <w:top w:val="none" w:sz="0" w:space="0" w:color="auto"/>
        <w:left w:val="none" w:sz="0" w:space="0" w:color="auto"/>
        <w:bottom w:val="none" w:sz="0" w:space="0" w:color="auto"/>
        <w:right w:val="none" w:sz="0" w:space="0" w:color="auto"/>
      </w:divBdr>
    </w:div>
    <w:div w:id="1749689755">
      <w:bodyDiv w:val="1"/>
      <w:marLeft w:val="0"/>
      <w:marRight w:val="0"/>
      <w:marTop w:val="0"/>
      <w:marBottom w:val="0"/>
      <w:divBdr>
        <w:top w:val="none" w:sz="0" w:space="0" w:color="auto"/>
        <w:left w:val="none" w:sz="0" w:space="0" w:color="auto"/>
        <w:bottom w:val="none" w:sz="0" w:space="0" w:color="auto"/>
        <w:right w:val="none" w:sz="0" w:space="0" w:color="auto"/>
      </w:divBdr>
    </w:div>
    <w:div w:id="1750150988">
      <w:bodyDiv w:val="1"/>
      <w:marLeft w:val="0"/>
      <w:marRight w:val="0"/>
      <w:marTop w:val="0"/>
      <w:marBottom w:val="0"/>
      <w:divBdr>
        <w:top w:val="none" w:sz="0" w:space="0" w:color="auto"/>
        <w:left w:val="none" w:sz="0" w:space="0" w:color="auto"/>
        <w:bottom w:val="none" w:sz="0" w:space="0" w:color="auto"/>
        <w:right w:val="none" w:sz="0" w:space="0" w:color="auto"/>
      </w:divBdr>
    </w:div>
    <w:div w:id="1750225566">
      <w:bodyDiv w:val="1"/>
      <w:marLeft w:val="0"/>
      <w:marRight w:val="0"/>
      <w:marTop w:val="0"/>
      <w:marBottom w:val="0"/>
      <w:divBdr>
        <w:top w:val="none" w:sz="0" w:space="0" w:color="auto"/>
        <w:left w:val="none" w:sz="0" w:space="0" w:color="auto"/>
        <w:bottom w:val="none" w:sz="0" w:space="0" w:color="auto"/>
        <w:right w:val="none" w:sz="0" w:space="0" w:color="auto"/>
      </w:divBdr>
    </w:div>
    <w:div w:id="1750538193">
      <w:bodyDiv w:val="1"/>
      <w:marLeft w:val="0"/>
      <w:marRight w:val="0"/>
      <w:marTop w:val="0"/>
      <w:marBottom w:val="0"/>
      <w:divBdr>
        <w:top w:val="none" w:sz="0" w:space="0" w:color="auto"/>
        <w:left w:val="none" w:sz="0" w:space="0" w:color="auto"/>
        <w:bottom w:val="none" w:sz="0" w:space="0" w:color="auto"/>
        <w:right w:val="none" w:sz="0" w:space="0" w:color="auto"/>
      </w:divBdr>
    </w:div>
    <w:div w:id="1751149785">
      <w:bodyDiv w:val="1"/>
      <w:marLeft w:val="0"/>
      <w:marRight w:val="0"/>
      <w:marTop w:val="0"/>
      <w:marBottom w:val="0"/>
      <w:divBdr>
        <w:top w:val="none" w:sz="0" w:space="0" w:color="auto"/>
        <w:left w:val="none" w:sz="0" w:space="0" w:color="auto"/>
        <w:bottom w:val="none" w:sz="0" w:space="0" w:color="auto"/>
        <w:right w:val="none" w:sz="0" w:space="0" w:color="auto"/>
      </w:divBdr>
    </w:div>
    <w:div w:id="1751193212">
      <w:bodyDiv w:val="1"/>
      <w:marLeft w:val="0"/>
      <w:marRight w:val="0"/>
      <w:marTop w:val="0"/>
      <w:marBottom w:val="0"/>
      <w:divBdr>
        <w:top w:val="none" w:sz="0" w:space="0" w:color="auto"/>
        <w:left w:val="none" w:sz="0" w:space="0" w:color="auto"/>
        <w:bottom w:val="none" w:sz="0" w:space="0" w:color="auto"/>
        <w:right w:val="none" w:sz="0" w:space="0" w:color="auto"/>
      </w:divBdr>
    </w:div>
    <w:div w:id="1751267551">
      <w:bodyDiv w:val="1"/>
      <w:marLeft w:val="0"/>
      <w:marRight w:val="0"/>
      <w:marTop w:val="0"/>
      <w:marBottom w:val="0"/>
      <w:divBdr>
        <w:top w:val="none" w:sz="0" w:space="0" w:color="auto"/>
        <w:left w:val="none" w:sz="0" w:space="0" w:color="auto"/>
        <w:bottom w:val="none" w:sz="0" w:space="0" w:color="auto"/>
        <w:right w:val="none" w:sz="0" w:space="0" w:color="auto"/>
      </w:divBdr>
    </w:div>
    <w:div w:id="1752046982">
      <w:bodyDiv w:val="1"/>
      <w:marLeft w:val="0"/>
      <w:marRight w:val="0"/>
      <w:marTop w:val="0"/>
      <w:marBottom w:val="0"/>
      <w:divBdr>
        <w:top w:val="none" w:sz="0" w:space="0" w:color="auto"/>
        <w:left w:val="none" w:sz="0" w:space="0" w:color="auto"/>
        <w:bottom w:val="none" w:sz="0" w:space="0" w:color="auto"/>
        <w:right w:val="none" w:sz="0" w:space="0" w:color="auto"/>
      </w:divBdr>
    </w:div>
    <w:div w:id="1752048693">
      <w:bodyDiv w:val="1"/>
      <w:marLeft w:val="0"/>
      <w:marRight w:val="0"/>
      <w:marTop w:val="0"/>
      <w:marBottom w:val="0"/>
      <w:divBdr>
        <w:top w:val="none" w:sz="0" w:space="0" w:color="auto"/>
        <w:left w:val="none" w:sz="0" w:space="0" w:color="auto"/>
        <w:bottom w:val="none" w:sz="0" w:space="0" w:color="auto"/>
        <w:right w:val="none" w:sz="0" w:space="0" w:color="auto"/>
      </w:divBdr>
    </w:div>
    <w:div w:id="1752240720">
      <w:bodyDiv w:val="1"/>
      <w:marLeft w:val="0"/>
      <w:marRight w:val="0"/>
      <w:marTop w:val="0"/>
      <w:marBottom w:val="0"/>
      <w:divBdr>
        <w:top w:val="none" w:sz="0" w:space="0" w:color="auto"/>
        <w:left w:val="none" w:sz="0" w:space="0" w:color="auto"/>
        <w:bottom w:val="none" w:sz="0" w:space="0" w:color="auto"/>
        <w:right w:val="none" w:sz="0" w:space="0" w:color="auto"/>
      </w:divBdr>
    </w:div>
    <w:div w:id="1752462776">
      <w:bodyDiv w:val="1"/>
      <w:marLeft w:val="0"/>
      <w:marRight w:val="0"/>
      <w:marTop w:val="0"/>
      <w:marBottom w:val="0"/>
      <w:divBdr>
        <w:top w:val="none" w:sz="0" w:space="0" w:color="auto"/>
        <w:left w:val="none" w:sz="0" w:space="0" w:color="auto"/>
        <w:bottom w:val="none" w:sz="0" w:space="0" w:color="auto"/>
        <w:right w:val="none" w:sz="0" w:space="0" w:color="auto"/>
      </w:divBdr>
    </w:div>
    <w:div w:id="1752583347">
      <w:bodyDiv w:val="1"/>
      <w:marLeft w:val="0"/>
      <w:marRight w:val="0"/>
      <w:marTop w:val="0"/>
      <w:marBottom w:val="0"/>
      <w:divBdr>
        <w:top w:val="none" w:sz="0" w:space="0" w:color="auto"/>
        <w:left w:val="none" w:sz="0" w:space="0" w:color="auto"/>
        <w:bottom w:val="none" w:sz="0" w:space="0" w:color="auto"/>
        <w:right w:val="none" w:sz="0" w:space="0" w:color="auto"/>
      </w:divBdr>
    </w:div>
    <w:div w:id="1752657294">
      <w:bodyDiv w:val="1"/>
      <w:marLeft w:val="0"/>
      <w:marRight w:val="0"/>
      <w:marTop w:val="0"/>
      <w:marBottom w:val="0"/>
      <w:divBdr>
        <w:top w:val="none" w:sz="0" w:space="0" w:color="auto"/>
        <w:left w:val="none" w:sz="0" w:space="0" w:color="auto"/>
        <w:bottom w:val="none" w:sz="0" w:space="0" w:color="auto"/>
        <w:right w:val="none" w:sz="0" w:space="0" w:color="auto"/>
      </w:divBdr>
    </w:div>
    <w:div w:id="1752694875">
      <w:bodyDiv w:val="1"/>
      <w:marLeft w:val="0"/>
      <w:marRight w:val="0"/>
      <w:marTop w:val="0"/>
      <w:marBottom w:val="0"/>
      <w:divBdr>
        <w:top w:val="none" w:sz="0" w:space="0" w:color="auto"/>
        <w:left w:val="none" w:sz="0" w:space="0" w:color="auto"/>
        <w:bottom w:val="none" w:sz="0" w:space="0" w:color="auto"/>
        <w:right w:val="none" w:sz="0" w:space="0" w:color="auto"/>
      </w:divBdr>
    </w:div>
    <w:div w:id="1752727419">
      <w:bodyDiv w:val="1"/>
      <w:marLeft w:val="0"/>
      <w:marRight w:val="0"/>
      <w:marTop w:val="0"/>
      <w:marBottom w:val="0"/>
      <w:divBdr>
        <w:top w:val="none" w:sz="0" w:space="0" w:color="auto"/>
        <w:left w:val="none" w:sz="0" w:space="0" w:color="auto"/>
        <w:bottom w:val="none" w:sz="0" w:space="0" w:color="auto"/>
        <w:right w:val="none" w:sz="0" w:space="0" w:color="auto"/>
      </w:divBdr>
    </w:div>
    <w:div w:id="1752853736">
      <w:bodyDiv w:val="1"/>
      <w:marLeft w:val="0"/>
      <w:marRight w:val="0"/>
      <w:marTop w:val="0"/>
      <w:marBottom w:val="0"/>
      <w:divBdr>
        <w:top w:val="none" w:sz="0" w:space="0" w:color="auto"/>
        <w:left w:val="none" w:sz="0" w:space="0" w:color="auto"/>
        <w:bottom w:val="none" w:sz="0" w:space="0" w:color="auto"/>
        <w:right w:val="none" w:sz="0" w:space="0" w:color="auto"/>
      </w:divBdr>
    </w:div>
    <w:div w:id="1752891512">
      <w:bodyDiv w:val="1"/>
      <w:marLeft w:val="0"/>
      <w:marRight w:val="0"/>
      <w:marTop w:val="0"/>
      <w:marBottom w:val="0"/>
      <w:divBdr>
        <w:top w:val="none" w:sz="0" w:space="0" w:color="auto"/>
        <w:left w:val="none" w:sz="0" w:space="0" w:color="auto"/>
        <w:bottom w:val="none" w:sz="0" w:space="0" w:color="auto"/>
        <w:right w:val="none" w:sz="0" w:space="0" w:color="auto"/>
      </w:divBdr>
    </w:div>
    <w:div w:id="1754349993">
      <w:bodyDiv w:val="1"/>
      <w:marLeft w:val="0"/>
      <w:marRight w:val="0"/>
      <w:marTop w:val="0"/>
      <w:marBottom w:val="0"/>
      <w:divBdr>
        <w:top w:val="none" w:sz="0" w:space="0" w:color="auto"/>
        <w:left w:val="none" w:sz="0" w:space="0" w:color="auto"/>
        <w:bottom w:val="none" w:sz="0" w:space="0" w:color="auto"/>
        <w:right w:val="none" w:sz="0" w:space="0" w:color="auto"/>
      </w:divBdr>
    </w:div>
    <w:div w:id="1754350234">
      <w:bodyDiv w:val="1"/>
      <w:marLeft w:val="0"/>
      <w:marRight w:val="0"/>
      <w:marTop w:val="0"/>
      <w:marBottom w:val="0"/>
      <w:divBdr>
        <w:top w:val="none" w:sz="0" w:space="0" w:color="auto"/>
        <w:left w:val="none" w:sz="0" w:space="0" w:color="auto"/>
        <w:bottom w:val="none" w:sz="0" w:space="0" w:color="auto"/>
        <w:right w:val="none" w:sz="0" w:space="0" w:color="auto"/>
      </w:divBdr>
    </w:div>
    <w:div w:id="1754468520">
      <w:bodyDiv w:val="1"/>
      <w:marLeft w:val="0"/>
      <w:marRight w:val="0"/>
      <w:marTop w:val="0"/>
      <w:marBottom w:val="0"/>
      <w:divBdr>
        <w:top w:val="none" w:sz="0" w:space="0" w:color="auto"/>
        <w:left w:val="none" w:sz="0" w:space="0" w:color="auto"/>
        <w:bottom w:val="none" w:sz="0" w:space="0" w:color="auto"/>
        <w:right w:val="none" w:sz="0" w:space="0" w:color="auto"/>
      </w:divBdr>
    </w:div>
    <w:div w:id="1754930056">
      <w:bodyDiv w:val="1"/>
      <w:marLeft w:val="0"/>
      <w:marRight w:val="0"/>
      <w:marTop w:val="0"/>
      <w:marBottom w:val="0"/>
      <w:divBdr>
        <w:top w:val="none" w:sz="0" w:space="0" w:color="auto"/>
        <w:left w:val="none" w:sz="0" w:space="0" w:color="auto"/>
        <w:bottom w:val="none" w:sz="0" w:space="0" w:color="auto"/>
        <w:right w:val="none" w:sz="0" w:space="0" w:color="auto"/>
      </w:divBdr>
    </w:div>
    <w:div w:id="1754935510">
      <w:bodyDiv w:val="1"/>
      <w:marLeft w:val="0"/>
      <w:marRight w:val="0"/>
      <w:marTop w:val="0"/>
      <w:marBottom w:val="0"/>
      <w:divBdr>
        <w:top w:val="none" w:sz="0" w:space="0" w:color="auto"/>
        <w:left w:val="none" w:sz="0" w:space="0" w:color="auto"/>
        <w:bottom w:val="none" w:sz="0" w:space="0" w:color="auto"/>
        <w:right w:val="none" w:sz="0" w:space="0" w:color="auto"/>
      </w:divBdr>
    </w:div>
    <w:div w:id="1755322260">
      <w:bodyDiv w:val="1"/>
      <w:marLeft w:val="0"/>
      <w:marRight w:val="0"/>
      <w:marTop w:val="0"/>
      <w:marBottom w:val="0"/>
      <w:divBdr>
        <w:top w:val="none" w:sz="0" w:space="0" w:color="auto"/>
        <w:left w:val="none" w:sz="0" w:space="0" w:color="auto"/>
        <w:bottom w:val="none" w:sz="0" w:space="0" w:color="auto"/>
        <w:right w:val="none" w:sz="0" w:space="0" w:color="auto"/>
      </w:divBdr>
    </w:div>
    <w:div w:id="1756052492">
      <w:bodyDiv w:val="1"/>
      <w:marLeft w:val="0"/>
      <w:marRight w:val="0"/>
      <w:marTop w:val="0"/>
      <w:marBottom w:val="0"/>
      <w:divBdr>
        <w:top w:val="none" w:sz="0" w:space="0" w:color="auto"/>
        <w:left w:val="none" w:sz="0" w:space="0" w:color="auto"/>
        <w:bottom w:val="none" w:sz="0" w:space="0" w:color="auto"/>
        <w:right w:val="none" w:sz="0" w:space="0" w:color="auto"/>
      </w:divBdr>
    </w:div>
    <w:div w:id="1756129342">
      <w:bodyDiv w:val="1"/>
      <w:marLeft w:val="0"/>
      <w:marRight w:val="0"/>
      <w:marTop w:val="0"/>
      <w:marBottom w:val="0"/>
      <w:divBdr>
        <w:top w:val="none" w:sz="0" w:space="0" w:color="auto"/>
        <w:left w:val="none" w:sz="0" w:space="0" w:color="auto"/>
        <w:bottom w:val="none" w:sz="0" w:space="0" w:color="auto"/>
        <w:right w:val="none" w:sz="0" w:space="0" w:color="auto"/>
      </w:divBdr>
    </w:div>
    <w:div w:id="1756396487">
      <w:bodyDiv w:val="1"/>
      <w:marLeft w:val="0"/>
      <w:marRight w:val="0"/>
      <w:marTop w:val="0"/>
      <w:marBottom w:val="0"/>
      <w:divBdr>
        <w:top w:val="none" w:sz="0" w:space="0" w:color="auto"/>
        <w:left w:val="none" w:sz="0" w:space="0" w:color="auto"/>
        <w:bottom w:val="none" w:sz="0" w:space="0" w:color="auto"/>
        <w:right w:val="none" w:sz="0" w:space="0" w:color="auto"/>
      </w:divBdr>
    </w:div>
    <w:div w:id="1756590444">
      <w:bodyDiv w:val="1"/>
      <w:marLeft w:val="0"/>
      <w:marRight w:val="0"/>
      <w:marTop w:val="0"/>
      <w:marBottom w:val="0"/>
      <w:divBdr>
        <w:top w:val="none" w:sz="0" w:space="0" w:color="auto"/>
        <w:left w:val="none" w:sz="0" w:space="0" w:color="auto"/>
        <w:bottom w:val="none" w:sz="0" w:space="0" w:color="auto"/>
        <w:right w:val="none" w:sz="0" w:space="0" w:color="auto"/>
      </w:divBdr>
    </w:div>
    <w:div w:id="1756855111">
      <w:bodyDiv w:val="1"/>
      <w:marLeft w:val="0"/>
      <w:marRight w:val="0"/>
      <w:marTop w:val="0"/>
      <w:marBottom w:val="0"/>
      <w:divBdr>
        <w:top w:val="none" w:sz="0" w:space="0" w:color="auto"/>
        <w:left w:val="none" w:sz="0" w:space="0" w:color="auto"/>
        <w:bottom w:val="none" w:sz="0" w:space="0" w:color="auto"/>
        <w:right w:val="none" w:sz="0" w:space="0" w:color="auto"/>
      </w:divBdr>
    </w:div>
    <w:div w:id="1756896837">
      <w:bodyDiv w:val="1"/>
      <w:marLeft w:val="0"/>
      <w:marRight w:val="0"/>
      <w:marTop w:val="0"/>
      <w:marBottom w:val="0"/>
      <w:divBdr>
        <w:top w:val="none" w:sz="0" w:space="0" w:color="auto"/>
        <w:left w:val="none" w:sz="0" w:space="0" w:color="auto"/>
        <w:bottom w:val="none" w:sz="0" w:space="0" w:color="auto"/>
        <w:right w:val="none" w:sz="0" w:space="0" w:color="auto"/>
      </w:divBdr>
    </w:div>
    <w:div w:id="1757480688">
      <w:bodyDiv w:val="1"/>
      <w:marLeft w:val="0"/>
      <w:marRight w:val="0"/>
      <w:marTop w:val="0"/>
      <w:marBottom w:val="0"/>
      <w:divBdr>
        <w:top w:val="none" w:sz="0" w:space="0" w:color="auto"/>
        <w:left w:val="none" w:sz="0" w:space="0" w:color="auto"/>
        <w:bottom w:val="none" w:sz="0" w:space="0" w:color="auto"/>
        <w:right w:val="none" w:sz="0" w:space="0" w:color="auto"/>
      </w:divBdr>
    </w:div>
    <w:div w:id="1757554725">
      <w:bodyDiv w:val="1"/>
      <w:marLeft w:val="0"/>
      <w:marRight w:val="0"/>
      <w:marTop w:val="0"/>
      <w:marBottom w:val="0"/>
      <w:divBdr>
        <w:top w:val="none" w:sz="0" w:space="0" w:color="auto"/>
        <w:left w:val="none" w:sz="0" w:space="0" w:color="auto"/>
        <w:bottom w:val="none" w:sz="0" w:space="0" w:color="auto"/>
        <w:right w:val="none" w:sz="0" w:space="0" w:color="auto"/>
      </w:divBdr>
    </w:div>
    <w:div w:id="1757555371">
      <w:bodyDiv w:val="1"/>
      <w:marLeft w:val="0"/>
      <w:marRight w:val="0"/>
      <w:marTop w:val="0"/>
      <w:marBottom w:val="0"/>
      <w:divBdr>
        <w:top w:val="none" w:sz="0" w:space="0" w:color="auto"/>
        <w:left w:val="none" w:sz="0" w:space="0" w:color="auto"/>
        <w:bottom w:val="none" w:sz="0" w:space="0" w:color="auto"/>
        <w:right w:val="none" w:sz="0" w:space="0" w:color="auto"/>
      </w:divBdr>
    </w:div>
    <w:div w:id="1757941859">
      <w:bodyDiv w:val="1"/>
      <w:marLeft w:val="0"/>
      <w:marRight w:val="0"/>
      <w:marTop w:val="0"/>
      <w:marBottom w:val="0"/>
      <w:divBdr>
        <w:top w:val="none" w:sz="0" w:space="0" w:color="auto"/>
        <w:left w:val="none" w:sz="0" w:space="0" w:color="auto"/>
        <w:bottom w:val="none" w:sz="0" w:space="0" w:color="auto"/>
        <w:right w:val="none" w:sz="0" w:space="0" w:color="auto"/>
      </w:divBdr>
    </w:div>
    <w:div w:id="1758019989">
      <w:bodyDiv w:val="1"/>
      <w:marLeft w:val="0"/>
      <w:marRight w:val="0"/>
      <w:marTop w:val="0"/>
      <w:marBottom w:val="0"/>
      <w:divBdr>
        <w:top w:val="none" w:sz="0" w:space="0" w:color="auto"/>
        <w:left w:val="none" w:sz="0" w:space="0" w:color="auto"/>
        <w:bottom w:val="none" w:sz="0" w:space="0" w:color="auto"/>
        <w:right w:val="none" w:sz="0" w:space="0" w:color="auto"/>
      </w:divBdr>
    </w:div>
    <w:div w:id="1758674083">
      <w:bodyDiv w:val="1"/>
      <w:marLeft w:val="0"/>
      <w:marRight w:val="0"/>
      <w:marTop w:val="0"/>
      <w:marBottom w:val="0"/>
      <w:divBdr>
        <w:top w:val="none" w:sz="0" w:space="0" w:color="auto"/>
        <w:left w:val="none" w:sz="0" w:space="0" w:color="auto"/>
        <w:bottom w:val="none" w:sz="0" w:space="0" w:color="auto"/>
        <w:right w:val="none" w:sz="0" w:space="0" w:color="auto"/>
      </w:divBdr>
    </w:div>
    <w:div w:id="1758869750">
      <w:bodyDiv w:val="1"/>
      <w:marLeft w:val="0"/>
      <w:marRight w:val="0"/>
      <w:marTop w:val="0"/>
      <w:marBottom w:val="0"/>
      <w:divBdr>
        <w:top w:val="none" w:sz="0" w:space="0" w:color="auto"/>
        <w:left w:val="none" w:sz="0" w:space="0" w:color="auto"/>
        <w:bottom w:val="none" w:sz="0" w:space="0" w:color="auto"/>
        <w:right w:val="none" w:sz="0" w:space="0" w:color="auto"/>
      </w:divBdr>
    </w:div>
    <w:div w:id="1759517188">
      <w:bodyDiv w:val="1"/>
      <w:marLeft w:val="0"/>
      <w:marRight w:val="0"/>
      <w:marTop w:val="0"/>
      <w:marBottom w:val="0"/>
      <w:divBdr>
        <w:top w:val="none" w:sz="0" w:space="0" w:color="auto"/>
        <w:left w:val="none" w:sz="0" w:space="0" w:color="auto"/>
        <w:bottom w:val="none" w:sz="0" w:space="0" w:color="auto"/>
        <w:right w:val="none" w:sz="0" w:space="0" w:color="auto"/>
      </w:divBdr>
    </w:div>
    <w:div w:id="1759595273">
      <w:bodyDiv w:val="1"/>
      <w:marLeft w:val="0"/>
      <w:marRight w:val="0"/>
      <w:marTop w:val="0"/>
      <w:marBottom w:val="0"/>
      <w:divBdr>
        <w:top w:val="none" w:sz="0" w:space="0" w:color="auto"/>
        <w:left w:val="none" w:sz="0" w:space="0" w:color="auto"/>
        <w:bottom w:val="none" w:sz="0" w:space="0" w:color="auto"/>
        <w:right w:val="none" w:sz="0" w:space="0" w:color="auto"/>
      </w:divBdr>
    </w:div>
    <w:div w:id="1759868514">
      <w:bodyDiv w:val="1"/>
      <w:marLeft w:val="0"/>
      <w:marRight w:val="0"/>
      <w:marTop w:val="0"/>
      <w:marBottom w:val="0"/>
      <w:divBdr>
        <w:top w:val="none" w:sz="0" w:space="0" w:color="auto"/>
        <w:left w:val="none" w:sz="0" w:space="0" w:color="auto"/>
        <w:bottom w:val="none" w:sz="0" w:space="0" w:color="auto"/>
        <w:right w:val="none" w:sz="0" w:space="0" w:color="auto"/>
      </w:divBdr>
    </w:div>
    <w:div w:id="1760130777">
      <w:bodyDiv w:val="1"/>
      <w:marLeft w:val="0"/>
      <w:marRight w:val="0"/>
      <w:marTop w:val="0"/>
      <w:marBottom w:val="0"/>
      <w:divBdr>
        <w:top w:val="none" w:sz="0" w:space="0" w:color="auto"/>
        <w:left w:val="none" w:sz="0" w:space="0" w:color="auto"/>
        <w:bottom w:val="none" w:sz="0" w:space="0" w:color="auto"/>
        <w:right w:val="none" w:sz="0" w:space="0" w:color="auto"/>
      </w:divBdr>
    </w:div>
    <w:div w:id="1760444418">
      <w:bodyDiv w:val="1"/>
      <w:marLeft w:val="0"/>
      <w:marRight w:val="0"/>
      <w:marTop w:val="0"/>
      <w:marBottom w:val="0"/>
      <w:divBdr>
        <w:top w:val="none" w:sz="0" w:space="0" w:color="auto"/>
        <w:left w:val="none" w:sz="0" w:space="0" w:color="auto"/>
        <w:bottom w:val="none" w:sz="0" w:space="0" w:color="auto"/>
        <w:right w:val="none" w:sz="0" w:space="0" w:color="auto"/>
      </w:divBdr>
    </w:div>
    <w:div w:id="1760708569">
      <w:bodyDiv w:val="1"/>
      <w:marLeft w:val="0"/>
      <w:marRight w:val="0"/>
      <w:marTop w:val="0"/>
      <w:marBottom w:val="0"/>
      <w:divBdr>
        <w:top w:val="none" w:sz="0" w:space="0" w:color="auto"/>
        <w:left w:val="none" w:sz="0" w:space="0" w:color="auto"/>
        <w:bottom w:val="none" w:sz="0" w:space="0" w:color="auto"/>
        <w:right w:val="none" w:sz="0" w:space="0" w:color="auto"/>
      </w:divBdr>
    </w:div>
    <w:div w:id="1760712009">
      <w:bodyDiv w:val="1"/>
      <w:marLeft w:val="0"/>
      <w:marRight w:val="0"/>
      <w:marTop w:val="0"/>
      <w:marBottom w:val="0"/>
      <w:divBdr>
        <w:top w:val="none" w:sz="0" w:space="0" w:color="auto"/>
        <w:left w:val="none" w:sz="0" w:space="0" w:color="auto"/>
        <w:bottom w:val="none" w:sz="0" w:space="0" w:color="auto"/>
        <w:right w:val="none" w:sz="0" w:space="0" w:color="auto"/>
      </w:divBdr>
    </w:div>
    <w:div w:id="1760906162">
      <w:bodyDiv w:val="1"/>
      <w:marLeft w:val="0"/>
      <w:marRight w:val="0"/>
      <w:marTop w:val="0"/>
      <w:marBottom w:val="0"/>
      <w:divBdr>
        <w:top w:val="none" w:sz="0" w:space="0" w:color="auto"/>
        <w:left w:val="none" w:sz="0" w:space="0" w:color="auto"/>
        <w:bottom w:val="none" w:sz="0" w:space="0" w:color="auto"/>
        <w:right w:val="none" w:sz="0" w:space="0" w:color="auto"/>
      </w:divBdr>
    </w:div>
    <w:div w:id="1761179266">
      <w:bodyDiv w:val="1"/>
      <w:marLeft w:val="0"/>
      <w:marRight w:val="0"/>
      <w:marTop w:val="0"/>
      <w:marBottom w:val="0"/>
      <w:divBdr>
        <w:top w:val="none" w:sz="0" w:space="0" w:color="auto"/>
        <w:left w:val="none" w:sz="0" w:space="0" w:color="auto"/>
        <w:bottom w:val="none" w:sz="0" w:space="0" w:color="auto"/>
        <w:right w:val="none" w:sz="0" w:space="0" w:color="auto"/>
      </w:divBdr>
    </w:div>
    <w:div w:id="1761755047">
      <w:bodyDiv w:val="1"/>
      <w:marLeft w:val="0"/>
      <w:marRight w:val="0"/>
      <w:marTop w:val="0"/>
      <w:marBottom w:val="0"/>
      <w:divBdr>
        <w:top w:val="none" w:sz="0" w:space="0" w:color="auto"/>
        <w:left w:val="none" w:sz="0" w:space="0" w:color="auto"/>
        <w:bottom w:val="none" w:sz="0" w:space="0" w:color="auto"/>
        <w:right w:val="none" w:sz="0" w:space="0" w:color="auto"/>
      </w:divBdr>
    </w:div>
    <w:div w:id="1761758814">
      <w:bodyDiv w:val="1"/>
      <w:marLeft w:val="0"/>
      <w:marRight w:val="0"/>
      <w:marTop w:val="0"/>
      <w:marBottom w:val="0"/>
      <w:divBdr>
        <w:top w:val="none" w:sz="0" w:space="0" w:color="auto"/>
        <w:left w:val="none" w:sz="0" w:space="0" w:color="auto"/>
        <w:bottom w:val="none" w:sz="0" w:space="0" w:color="auto"/>
        <w:right w:val="none" w:sz="0" w:space="0" w:color="auto"/>
      </w:divBdr>
    </w:div>
    <w:div w:id="1761830648">
      <w:bodyDiv w:val="1"/>
      <w:marLeft w:val="0"/>
      <w:marRight w:val="0"/>
      <w:marTop w:val="0"/>
      <w:marBottom w:val="0"/>
      <w:divBdr>
        <w:top w:val="none" w:sz="0" w:space="0" w:color="auto"/>
        <w:left w:val="none" w:sz="0" w:space="0" w:color="auto"/>
        <w:bottom w:val="none" w:sz="0" w:space="0" w:color="auto"/>
        <w:right w:val="none" w:sz="0" w:space="0" w:color="auto"/>
      </w:divBdr>
    </w:div>
    <w:div w:id="1762095053">
      <w:bodyDiv w:val="1"/>
      <w:marLeft w:val="0"/>
      <w:marRight w:val="0"/>
      <w:marTop w:val="0"/>
      <w:marBottom w:val="0"/>
      <w:divBdr>
        <w:top w:val="none" w:sz="0" w:space="0" w:color="auto"/>
        <w:left w:val="none" w:sz="0" w:space="0" w:color="auto"/>
        <w:bottom w:val="none" w:sz="0" w:space="0" w:color="auto"/>
        <w:right w:val="none" w:sz="0" w:space="0" w:color="auto"/>
      </w:divBdr>
    </w:div>
    <w:div w:id="1762294565">
      <w:bodyDiv w:val="1"/>
      <w:marLeft w:val="0"/>
      <w:marRight w:val="0"/>
      <w:marTop w:val="0"/>
      <w:marBottom w:val="0"/>
      <w:divBdr>
        <w:top w:val="none" w:sz="0" w:space="0" w:color="auto"/>
        <w:left w:val="none" w:sz="0" w:space="0" w:color="auto"/>
        <w:bottom w:val="none" w:sz="0" w:space="0" w:color="auto"/>
        <w:right w:val="none" w:sz="0" w:space="0" w:color="auto"/>
      </w:divBdr>
    </w:div>
    <w:div w:id="1762607729">
      <w:bodyDiv w:val="1"/>
      <w:marLeft w:val="0"/>
      <w:marRight w:val="0"/>
      <w:marTop w:val="0"/>
      <w:marBottom w:val="0"/>
      <w:divBdr>
        <w:top w:val="none" w:sz="0" w:space="0" w:color="auto"/>
        <w:left w:val="none" w:sz="0" w:space="0" w:color="auto"/>
        <w:bottom w:val="none" w:sz="0" w:space="0" w:color="auto"/>
        <w:right w:val="none" w:sz="0" w:space="0" w:color="auto"/>
      </w:divBdr>
    </w:div>
    <w:div w:id="1763180981">
      <w:bodyDiv w:val="1"/>
      <w:marLeft w:val="0"/>
      <w:marRight w:val="0"/>
      <w:marTop w:val="0"/>
      <w:marBottom w:val="0"/>
      <w:divBdr>
        <w:top w:val="none" w:sz="0" w:space="0" w:color="auto"/>
        <w:left w:val="none" w:sz="0" w:space="0" w:color="auto"/>
        <w:bottom w:val="none" w:sz="0" w:space="0" w:color="auto"/>
        <w:right w:val="none" w:sz="0" w:space="0" w:color="auto"/>
      </w:divBdr>
    </w:div>
    <w:div w:id="1763407024">
      <w:bodyDiv w:val="1"/>
      <w:marLeft w:val="0"/>
      <w:marRight w:val="0"/>
      <w:marTop w:val="0"/>
      <w:marBottom w:val="0"/>
      <w:divBdr>
        <w:top w:val="none" w:sz="0" w:space="0" w:color="auto"/>
        <w:left w:val="none" w:sz="0" w:space="0" w:color="auto"/>
        <w:bottom w:val="none" w:sz="0" w:space="0" w:color="auto"/>
        <w:right w:val="none" w:sz="0" w:space="0" w:color="auto"/>
      </w:divBdr>
    </w:div>
    <w:div w:id="1763523276">
      <w:bodyDiv w:val="1"/>
      <w:marLeft w:val="0"/>
      <w:marRight w:val="0"/>
      <w:marTop w:val="0"/>
      <w:marBottom w:val="0"/>
      <w:divBdr>
        <w:top w:val="none" w:sz="0" w:space="0" w:color="auto"/>
        <w:left w:val="none" w:sz="0" w:space="0" w:color="auto"/>
        <w:bottom w:val="none" w:sz="0" w:space="0" w:color="auto"/>
        <w:right w:val="none" w:sz="0" w:space="0" w:color="auto"/>
      </w:divBdr>
    </w:div>
    <w:div w:id="1763725194">
      <w:bodyDiv w:val="1"/>
      <w:marLeft w:val="0"/>
      <w:marRight w:val="0"/>
      <w:marTop w:val="0"/>
      <w:marBottom w:val="0"/>
      <w:divBdr>
        <w:top w:val="none" w:sz="0" w:space="0" w:color="auto"/>
        <w:left w:val="none" w:sz="0" w:space="0" w:color="auto"/>
        <w:bottom w:val="none" w:sz="0" w:space="0" w:color="auto"/>
        <w:right w:val="none" w:sz="0" w:space="0" w:color="auto"/>
      </w:divBdr>
    </w:div>
    <w:div w:id="1764571280">
      <w:bodyDiv w:val="1"/>
      <w:marLeft w:val="0"/>
      <w:marRight w:val="0"/>
      <w:marTop w:val="0"/>
      <w:marBottom w:val="0"/>
      <w:divBdr>
        <w:top w:val="none" w:sz="0" w:space="0" w:color="auto"/>
        <w:left w:val="none" w:sz="0" w:space="0" w:color="auto"/>
        <w:bottom w:val="none" w:sz="0" w:space="0" w:color="auto"/>
        <w:right w:val="none" w:sz="0" w:space="0" w:color="auto"/>
      </w:divBdr>
    </w:div>
    <w:div w:id="1764838614">
      <w:bodyDiv w:val="1"/>
      <w:marLeft w:val="0"/>
      <w:marRight w:val="0"/>
      <w:marTop w:val="0"/>
      <w:marBottom w:val="0"/>
      <w:divBdr>
        <w:top w:val="none" w:sz="0" w:space="0" w:color="auto"/>
        <w:left w:val="none" w:sz="0" w:space="0" w:color="auto"/>
        <w:bottom w:val="none" w:sz="0" w:space="0" w:color="auto"/>
        <w:right w:val="none" w:sz="0" w:space="0" w:color="auto"/>
      </w:divBdr>
    </w:div>
    <w:div w:id="1765302482">
      <w:bodyDiv w:val="1"/>
      <w:marLeft w:val="0"/>
      <w:marRight w:val="0"/>
      <w:marTop w:val="0"/>
      <w:marBottom w:val="0"/>
      <w:divBdr>
        <w:top w:val="none" w:sz="0" w:space="0" w:color="auto"/>
        <w:left w:val="none" w:sz="0" w:space="0" w:color="auto"/>
        <w:bottom w:val="none" w:sz="0" w:space="0" w:color="auto"/>
        <w:right w:val="none" w:sz="0" w:space="0" w:color="auto"/>
      </w:divBdr>
    </w:div>
    <w:div w:id="1765345817">
      <w:bodyDiv w:val="1"/>
      <w:marLeft w:val="0"/>
      <w:marRight w:val="0"/>
      <w:marTop w:val="0"/>
      <w:marBottom w:val="0"/>
      <w:divBdr>
        <w:top w:val="none" w:sz="0" w:space="0" w:color="auto"/>
        <w:left w:val="none" w:sz="0" w:space="0" w:color="auto"/>
        <w:bottom w:val="none" w:sz="0" w:space="0" w:color="auto"/>
        <w:right w:val="none" w:sz="0" w:space="0" w:color="auto"/>
      </w:divBdr>
    </w:div>
    <w:div w:id="1765346229">
      <w:bodyDiv w:val="1"/>
      <w:marLeft w:val="0"/>
      <w:marRight w:val="0"/>
      <w:marTop w:val="0"/>
      <w:marBottom w:val="0"/>
      <w:divBdr>
        <w:top w:val="none" w:sz="0" w:space="0" w:color="auto"/>
        <w:left w:val="none" w:sz="0" w:space="0" w:color="auto"/>
        <w:bottom w:val="none" w:sz="0" w:space="0" w:color="auto"/>
        <w:right w:val="none" w:sz="0" w:space="0" w:color="auto"/>
      </w:divBdr>
    </w:div>
    <w:div w:id="1765766462">
      <w:bodyDiv w:val="1"/>
      <w:marLeft w:val="0"/>
      <w:marRight w:val="0"/>
      <w:marTop w:val="0"/>
      <w:marBottom w:val="0"/>
      <w:divBdr>
        <w:top w:val="none" w:sz="0" w:space="0" w:color="auto"/>
        <w:left w:val="none" w:sz="0" w:space="0" w:color="auto"/>
        <w:bottom w:val="none" w:sz="0" w:space="0" w:color="auto"/>
        <w:right w:val="none" w:sz="0" w:space="0" w:color="auto"/>
      </w:divBdr>
    </w:div>
    <w:div w:id="1765766471">
      <w:bodyDiv w:val="1"/>
      <w:marLeft w:val="0"/>
      <w:marRight w:val="0"/>
      <w:marTop w:val="0"/>
      <w:marBottom w:val="0"/>
      <w:divBdr>
        <w:top w:val="none" w:sz="0" w:space="0" w:color="auto"/>
        <w:left w:val="none" w:sz="0" w:space="0" w:color="auto"/>
        <w:bottom w:val="none" w:sz="0" w:space="0" w:color="auto"/>
        <w:right w:val="none" w:sz="0" w:space="0" w:color="auto"/>
      </w:divBdr>
    </w:div>
    <w:div w:id="1765766760">
      <w:bodyDiv w:val="1"/>
      <w:marLeft w:val="0"/>
      <w:marRight w:val="0"/>
      <w:marTop w:val="0"/>
      <w:marBottom w:val="0"/>
      <w:divBdr>
        <w:top w:val="none" w:sz="0" w:space="0" w:color="auto"/>
        <w:left w:val="none" w:sz="0" w:space="0" w:color="auto"/>
        <w:bottom w:val="none" w:sz="0" w:space="0" w:color="auto"/>
        <w:right w:val="none" w:sz="0" w:space="0" w:color="auto"/>
      </w:divBdr>
    </w:div>
    <w:div w:id="1765883666">
      <w:bodyDiv w:val="1"/>
      <w:marLeft w:val="0"/>
      <w:marRight w:val="0"/>
      <w:marTop w:val="0"/>
      <w:marBottom w:val="0"/>
      <w:divBdr>
        <w:top w:val="none" w:sz="0" w:space="0" w:color="auto"/>
        <w:left w:val="none" w:sz="0" w:space="0" w:color="auto"/>
        <w:bottom w:val="none" w:sz="0" w:space="0" w:color="auto"/>
        <w:right w:val="none" w:sz="0" w:space="0" w:color="auto"/>
      </w:divBdr>
    </w:div>
    <w:div w:id="1765952076">
      <w:bodyDiv w:val="1"/>
      <w:marLeft w:val="0"/>
      <w:marRight w:val="0"/>
      <w:marTop w:val="0"/>
      <w:marBottom w:val="0"/>
      <w:divBdr>
        <w:top w:val="none" w:sz="0" w:space="0" w:color="auto"/>
        <w:left w:val="none" w:sz="0" w:space="0" w:color="auto"/>
        <w:bottom w:val="none" w:sz="0" w:space="0" w:color="auto"/>
        <w:right w:val="none" w:sz="0" w:space="0" w:color="auto"/>
      </w:divBdr>
    </w:div>
    <w:div w:id="1766226234">
      <w:bodyDiv w:val="1"/>
      <w:marLeft w:val="0"/>
      <w:marRight w:val="0"/>
      <w:marTop w:val="0"/>
      <w:marBottom w:val="0"/>
      <w:divBdr>
        <w:top w:val="none" w:sz="0" w:space="0" w:color="auto"/>
        <w:left w:val="none" w:sz="0" w:space="0" w:color="auto"/>
        <w:bottom w:val="none" w:sz="0" w:space="0" w:color="auto"/>
        <w:right w:val="none" w:sz="0" w:space="0" w:color="auto"/>
      </w:divBdr>
    </w:div>
    <w:div w:id="1766458349">
      <w:bodyDiv w:val="1"/>
      <w:marLeft w:val="0"/>
      <w:marRight w:val="0"/>
      <w:marTop w:val="0"/>
      <w:marBottom w:val="0"/>
      <w:divBdr>
        <w:top w:val="none" w:sz="0" w:space="0" w:color="auto"/>
        <w:left w:val="none" w:sz="0" w:space="0" w:color="auto"/>
        <w:bottom w:val="none" w:sz="0" w:space="0" w:color="auto"/>
        <w:right w:val="none" w:sz="0" w:space="0" w:color="auto"/>
      </w:divBdr>
    </w:div>
    <w:div w:id="1766921305">
      <w:bodyDiv w:val="1"/>
      <w:marLeft w:val="0"/>
      <w:marRight w:val="0"/>
      <w:marTop w:val="0"/>
      <w:marBottom w:val="0"/>
      <w:divBdr>
        <w:top w:val="none" w:sz="0" w:space="0" w:color="auto"/>
        <w:left w:val="none" w:sz="0" w:space="0" w:color="auto"/>
        <w:bottom w:val="none" w:sz="0" w:space="0" w:color="auto"/>
        <w:right w:val="none" w:sz="0" w:space="0" w:color="auto"/>
      </w:divBdr>
    </w:div>
    <w:div w:id="1766996315">
      <w:bodyDiv w:val="1"/>
      <w:marLeft w:val="0"/>
      <w:marRight w:val="0"/>
      <w:marTop w:val="0"/>
      <w:marBottom w:val="0"/>
      <w:divBdr>
        <w:top w:val="none" w:sz="0" w:space="0" w:color="auto"/>
        <w:left w:val="none" w:sz="0" w:space="0" w:color="auto"/>
        <w:bottom w:val="none" w:sz="0" w:space="0" w:color="auto"/>
        <w:right w:val="none" w:sz="0" w:space="0" w:color="auto"/>
      </w:divBdr>
    </w:div>
    <w:div w:id="1767265818">
      <w:bodyDiv w:val="1"/>
      <w:marLeft w:val="0"/>
      <w:marRight w:val="0"/>
      <w:marTop w:val="0"/>
      <w:marBottom w:val="0"/>
      <w:divBdr>
        <w:top w:val="none" w:sz="0" w:space="0" w:color="auto"/>
        <w:left w:val="none" w:sz="0" w:space="0" w:color="auto"/>
        <w:bottom w:val="none" w:sz="0" w:space="0" w:color="auto"/>
        <w:right w:val="none" w:sz="0" w:space="0" w:color="auto"/>
      </w:divBdr>
    </w:div>
    <w:div w:id="1767649104">
      <w:bodyDiv w:val="1"/>
      <w:marLeft w:val="0"/>
      <w:marRight w:val="0"/>
      <w:marTop w:val="0"/>
      <w:marBottom w:val="0"/>
      <w:divBdr>
        <w:top w:val="none" w:sz="0" w:space="0" w:color="auto"/>
        <w:left w:val="none" w:sz="0" w:space="0" w:color="auto"/>
        <w:bottom w:val="none" w:sz="0" w:space="0" w:color="auto"/>
        <w:right w:val="none" w:sz="0" w:space="0" w:color="auto"/>
      </w:divBdr>
    </w:div>
    <w:div w:id="1767726687">
      <w:bodyDiv w:val="1"/>
      <w:marLeft w:val="0"/>
      <w:marRight w:val="0"/>
      <w:marTop w:val="0"/>
      <w:marBottom w:val="0"/>
      <w:divBdr>
        <w:top w:val="none" w:sz="0" w:space="0" w:color="auto"/>
        <w:left w:val="none" w:sz="0" w:space="0" w:color="auto"/>
        <w:bottom w:val="none" w:sz="0" w:space="0" w:color="auto"/>
        <w:right w:val="none" w:sz="0" w:space="0" w:color="auto"/>
      </w:divBdr>
    </w:div>
    <w:div w:id="1767770979">
      <w:bodyDiv w:val="1"/>
      <w:marLeft w:val="0"/>
      <w:marRight w:val="0"/>
      <w:marTop w:val="0"/>
      <w:marBottom w:val="0"/>
      <w:divBdr>
        <w:top w:val="none" w:sz="0" w:space="0" w:color="auto"/>
        <w:left w:val="none" w:sz="0" w:space="0" w:color="auto"/>
        <w:bottom w:val="none" w:sz="0" w:space="0" w:color="auto"/>
        <w:right w:val="none" w:sz="0" w:space="0" w:color="auto"/>
      </w:divBdr>
    </w:div>
    <w:div w:id="1768497988">
      <w:bodyDiv w:val="1"/>
      <w:marLeft w:val="0"/>
      <w:marRight w:val="0"/>
      <w:marTop w:val="0"/>
      <w:marBottom w:val="0"/>
      <w:divBdr>
        <w:top w:val="none" w:sz="0" w:space="0" w:color="auto"/>
        <w:left w:val="none" w:sz="0" w:space="0" w:color="auto"/>
        <w:bottom w:val="none" w:sz="0" w:space="0" w:color="auto"/>
        <w:right w:val="none" w:sz="0" w:space="0" w:color="auto"/>
      </w:divBdr>
    </w:div>
    <w:div w:id="1768623795">
      <w:bodyDiv w:val="1"/>
      <w:marLeft w:val="0"/>
      <w:marRight w:val="0"/>
      <w:marTop w:val="0"/>
      <w:marBottom w:val="0"/>
      <w:divBdr>
        <w:top w:val="none" w:sz="0" w:space="0" w:color="auto"/>
        <w:left w:val="none" w:sz="0" w:space="0" w:color="auto"/>
        <w:bottom w:val="none" w:sz="0" w:space="0" w:color="auto"/>
        <w:right w:val="none" w:sz="0" w:space="0" w:color="auto"/>
      </w:divBdr>
    </w:div>
    <w:div w:id="1768767105">
      <w:bodyDiv w:val="1"/>
      <w:marLeft w:val="0"/>
      <w:marRight w:val="0"/>
      <w:marTop w:val="0"/>
      <w:marBottom w:val="0"/>
      <w:divBdr>
        <w:top w:val="none" w:sz="0" w:space="0" w:color="auto"/>
        <w:left w:val="none" w:sz="0" w:space="0" w:color="auto"/>
        <w:bottom w:val="none" w:sz="0" w:space="0" w:color="auto"/>
        <w:right w:val="none" w:sz="0" w:space="0" w:color="auto"/>
      </w:divBdr>
    </w:div>
    <w:div w:id="1768965178">
      <w:bodyDiv w:val="1"/>
      <w:marLeft w:val="0"/>
      <w:marRight w:val="0"/>
      <w:marTop w:val="0"/>
      <w:marBottom w:val="0"/>
      <w:divBdr>
        <w:top w:val="none" w:sz="0" w:space="0" w:color="auto"/>
        <w:left w:val="none" w:sz="0" w:space="0" w:color="auto"/>
        <w:bottom w:val="none" w:sz="0" w:space="0" w:color="auto"/>
        <w:right w:val="none" w:sz="0" w:space="0" w:color="auto"/>
      </w:divBdr>
    </w:div>
    <w:div w:id="1769546849">
      <w:bodyDiv w:val="1"/>
      <w:marLeft w:val="0"/>
      <w:marRight w:val="0"/>
      <w:marTop w:val="0"/>
      <w:marBottom w:val="0"/>
      <w:divBdr>
        <w:top w:val="none" w:sz="0" w:space="0" w:color="auto"/>
        <w:left w:val="none" w:sz="0" w:space="0" w:color="auto"/>
        <w:bottom w:val="none" w:sz="0" w:space="0" w:color="auto"/>
        <w:right w:val="none" w:sz="0" w:space="0" w:color="auto"/>
      </w:divBdr>
    </w:div>
    <w:div w:id="1769764930">
      <w:bodyDiv w:val="1"/>
      <w:marLeft w:val="0"/>
      <w:marRight w:val="0"/>
      <w:marTop w:val="0"/>
      <w:marBottom w:val="0"/>
      <w:divBdr>
        <w:top w:val="none" w:sz="0" w:space="0" w:color="auto"/>
        <w:left w:val="none" w:sz="0" w:space="0" w:color="auto"/>
        <w:bottom w:val="none" w:sz="0" w:space="0" w:color="auto"/>
        <w:right w:val="none" w:sz="0" w:space="0" w:color="auto"/>
      </w:divBdr>
    </w:div>
    <w:div w:id="1770470272">
      <w:bodyDiv w:val="1"/>
      <w:marLeft w:val="0"/>
      <w:marRight w:val="0"/>
      <w:marTop w:val="0"/>
      <w:marBottom w:val="0"/>
      <w:divBdr>
        <w:top w:val="none" w:sz="0" w:space="0" w:color="auto"/>
        <w:left w:val="none" w:sz="0" w:space="0" w:color="auto"/>
        <w:bottom w:val="none" w:sz="0" w:space="0" w:color="auto"/>
        <w:right w:val="none" w:sz="0" w:space="0" w:color="auto"/>
      </w:divBdr>
    </w:div>
    <w:div w:id="1770659398">
      <w:bodyDiv w:val="1"/>
      <w:marLeft w:val="0"/>
      <w:marRight w:val="0"/>
      <w:marTop w:val="0"/>
      <w:marBottom w:val="0"/>
      <w:divBdr>
        <w:top w:val="none" w:sz="0" w:space="0" w:color="auto"/>
        <w:left w:val="none" w:sz="0" w:space="0" w:color="auto"/>
        <w:bottom w:val="none" w:sz="0" w:space="0" w:color="auto"/>
        <w:right w:val="none" w:sz="0" w:space="0" w:color="auto"/>
      </w:divBdr>
    </w:div>
    <w:div w:id="1770854932">
      <w:bodyDiv w:val="1"/>
      <w:marLeft w:val="0"/>
      <w:marRight w:val="0"/>
      <w:marTop w:val="0"/>
      <w:marBottom w:val="0"/>
      <w:divBdr>
        <w:top w:val="none" w:sz="0" w:space="0" w:color="auto"/>
        <w:left w:val="none" w:sz="0" w:space="0" w:color="auto"/>
        <w:bottom w:val="none" w:sz="0" w:space="0" w:color="auto"/>
        <w:right w:val="none" w:sz="0" w:space="0" w:color="auto"/>
      </w:divBdr>
    </w:div>
    <w:div w:id="1771008009">
      <w:bodyDiv w:val="1"/>
      <w:marLeft w:val="0"/>
      <w:marRight w:val="0"/>
      <w:marTop w:val="0"/>
      <w:marBottom w:val="0"/>
      <w:divBdr>
        <w:top w:val="none" w:sz="0" w:space="0" w:color="auto"/>
        <w:left w:val="none" w:sz="0" w:space="0" w:color="auto"/>
        <w:bottom w:val="none" w:sz="0" w:space="0" w:color="auto"/>
        <w:right w:val="none" w:sz="0" w:space="0" w:color="auto"/>
      </w:divBdr>
    </w:div>
    <w:div w:id="1771076274">
      <w:bodyDiv w:val="1"/>
      <w:marLeft w:val="0"/>
      <w:marRight w:val="0"/>
      <w:marTop w:val="0"/>
      <w:marBottom w:val="0"/>
      <w:divBdr>
        <w:top w:val="none" w:sz="0" w:space="0" w:color="auto"/>
        <w:left w:val="none" w:sz="0" w:space="0" w:color="auto"/>
        <w:bottom w:val="none" w:sz="0" w:space="0" w:color="auto"/>
        <w:right w:val="none" w:sz="0" w:space="0" w:color="auto"/>
      </w:divBdr>
    </w:div>
    <w:div w:id="1771318429">
      <w:bodyDiv w:val="1"/>
      <w:marLeft w:val="0"/>
      <w:marRight w:val="0"/>
      <w:marTop w:val="0"/>
      <w:marBottom w:val="0"/>
      <w:divBdr>
        <w:top w:val="none" w:sz="0" w:space="0" w:color="auto"/>
        <w:left w:val="none" w:sz="0" w:space="0" w:color="auto"/>
        <w:bottom w:val="none" w:sz="0" w:space="0" w:color="auto"/>
        <w:right w:val="none" w:sz="0" w:space="0" w:color="auto"/>
      </w:divBdr>
    </w:div>
    <w:div w:id="1772163184">
      <w:bodyDiv w:val="1"/>
      <w:marLeft w:val="0"/>
      <w:marRight w:val="0"/>
      <w:marTop w:val="0"/>
      <w:marBottom w:val="0"/>
      <w:divBdr>
        <w:top w:val="none" w:sz="0" w:space="0" w:color="auto"/>
        <w:left w:val="none" w:sz="0" w:space="0" w:color="auto"/>
        <w:bottom w:val="none" w:sz="0" w:space="0" w:color="auto"/>
        <w:right w:val="none" w:sz="0" w:space="0" w:color="auto"/>
      </w:divBdr>
    </w:div>
    <w:div w:id="1772436877">
      <w:bodyDiv w:val="1"/>
      <w:marLeft w:val="0"/>
      <w:marRight w:val="0"/>
      <w:marTop w:val="0"/>
      <w:marBottom w:val="0"/>
      <w:divBdr>
        <w:top w:val="none" w:sz="0" w:space="0" w:color="auto"/>
        <w:left w:val="none" w:sz="0" w:space="0" w:color="auto"/>
        <w:bottom w:val="none" w:sz="0" w:space="0" w:color="auto"/>
        <w:right w:val="none" w:sz="0" w:space="0" w:color="auto"/>
      </w:divBdr>
    </w:div>
    <w:div w:id="1772580535">
      <w:bodyDiv w:val="1"/>
      <w:marLeft w:val="0"/>
      <w:marRight w:val="0"/>
      <w:marTop w:val="0"/>
      <w:marBottom w:val="0"/>
      <w:divBdr>
        <w:top w:val="none" w:sz="0" w:space="0" w:color="auto"/>
        <w:left w:val="none" w:sz="0" w:space="0" w:color="auto"/>
        <w:bottom w:val="none" w:sz="0" w:space="0" w:color="auto"/>
        <w:right w:val="none" w:sz="0" w:space="0" w:color="auto"/>
      </w:divBdr>
    </w:div>
    <w:div w:id="1772706042">
      <w:bodyDiv w:val="1"/>
      <w:marLeft w:val="0"/>
      <w:marRight w:val="0"/>
      <w:marTop w:val="0"/>
      <w:marBottom w:val="0"/>
      <w:divBdr>
        <w:top w:val="none" w:sz="0" w:space="0" w:color="auto"/>
        <w:left w:val="none" w:sz="0" w:space="0" w:color="auto"/>
        <w:bottom w:val="none" w:sz="0" w:space="0" w:color="auto"/>
        <w:right w:val="none" w:sz="0" w:space="0" w:color="auto"/>
      </w:divBdr>
    </w:div>
    <w:div w:id="1772972421">
      <w:bodyDiv w:val="1"/>
      <w:marLeft w:val="0"/>
      <w:marRight w:val="0"/>
      <w:marTop w:val="0"/>
      <w:marBottom w:val="0"/>
      <w:divBdr>
        <w:top w:val="none" w:sz="0" w:space="0" w:color="auto"/>
        <w:left w:val="none" w:sz="0" w:space="0" w:color="auto"/>
        <w:bottom w:val="none" w:sz="0" w:space="0" w:color="auto"/>
        <w:right w:val="none" w:sz="0" w:space="0" w:color="auto"/>
      </w:divBdr>
    </w:div>
    <w:div w:id="1773089127">
      <w:bodyDiv w:val="1"/>
      <w:marLeft w:val="0"/>
      <w:marRight w:val="0"/>
      <w:marTop w:val="0"/>
      <w:marBottom w:val="0"/>
      <w:divBdr>
        <w:top w:val="none" w:sz="0" w:space="0" w:color="auto"/>
        <w:left w:val="none" w:sz="0" w:space="0" w:color="auto"/>
        <w:bottom w:val="none" w:sz="0" w:space="0" w:color="auto"/>
        <w:right w:val="none" w:sz="0" w:space="0" w:color="auto"/>
      </w:divBdr>
    </w:div>
    <w:div w:id="1773277871">
      <w:bodyDiv w:val="1"/>
      <w:marLeft w:val="0"/>
      <w:marRight w:val="0"/>
      <w:marTop w:val="0"/>
      <w:marBottom w:val="0"/>
      <w:divBdr>
        <w:top w:val="none" w:sz="0" w:space="0" w:color="auto"/>
        <w:left w:val="none" w:sz="0" w:space="0" w:color="auto"/>
        <w:bottom w:val="none" w:sz="0" w:space="0" w:color="auto"/>
        <w:right w:val="none" w:sz="0" w:space="0" w:color="auto"/>
      </w:divBdr>
    </w:div>
    <w:div w:id="1773427342">
      <w:bodyDiv w:val="1"/>
      <w:marLeft w:val="0"/>
      <w:marRight w:val="0"/>
      <w:marTop w:val="0"/>
      <w:marBottom w:val="0"/>
      <w:divBdr>
        <w:top w:val="none" w:sz="0" w:space="0" w:color="auto"/>
        <w:left w:val="none" w:sz="0" w:space="0" w:color="auto"/>
        <w:bottom w:val="none" w:sz="0" w:space="0" w:color="auto"/>
        <w:right w:val="none" w:sz="0" w:space="0" w:color="auto"/>
      </w:divBdr>
    </w:div>
    <w:div w:id="1773669790">
      <w:bodyDiv w:val="1"/>
      <w:marLeft w:val="0"/>
      <w:marRight w:val="0"/>
      <w:marTop w:val="0"/>
      <w:marBottom w:val="0"/>
      <w:divBdr>
        <w:top w:val="none" w:sz="0" w:space="0" w:color="auto"/>
        <w:left w:val="none" w:sz="0" w:space="0" w:color="auto"/>
        <w:bottom w:val="none" w:sz="0" w:space="0" w:color="auto"/>
        <w:right w:val="none" w:sz="0" w:space="0" w:color="auto"/>
      </w:divBdr>
    </w:div>
    <w:div w:id="1773863091">
      <w:bodyDiv w:val="1"/>
      <w:marLeft w:val="0"/>
      <w:marRight w:val="0"/>
      <w:marTop w:val="0"/>
      <w:marBottom w:val="0"/>
      <w:divBdr>
        <w:top w:val="none" w:sz="0" w:space="0" w:color="auto"/>
        <w:left w:val="none" w:sz="0" w:space="0" w:color="auto"/>
        <w:bottom w:val="none" w:sz="0" w:space="0" w:color="auto"/>
        <w:right w:val="none" w:sz="0" w:space="0" w:color="auto"/>
      </w:divBdr>
    </w:div>
    <w:div w:id="1773937815">
      <w:bodyDiv w:val="1"/>
      <w:marLeft w:val="0"/>
      <w:marRight w:val="0"/>
      <w:marTop w:val="0"/>
      <w:marBottom w:val="0"/>
      <w:divBdr>
        <w:top w:val="none" w:sz="0" w:space="0" w:color="auto"/>
        <w:left w:val="none" w:sz="0" w:space="0" w:color="auto"/>
        <w:bottom w:val="none" w:sz="0" w:space="0" w:color="auto"/>
        <w:right w:val="none" w:sz="0" w:space="0" w:color="auto"/>
      </w:divBdr>
    </w:div>
    <w:div w:id="1774743548">
      <w:bodyDiv w:val="1"/>
      <w:marLeft w:val="0"/>
      <w:marRight w:val="0"/>
      <w:marTop w:val="0"/>
      <w:marBottom w:val="0"/>
      <w:divBdr>
        <w:top w:val="none" w:sz="0" w:space="0" w:color="auto"/>
        <w:left w:val="none" w:sz="0" w:space="0" w:color="auto"/>
        <w:bottom w:val="none" w:sz="0" w:space="0" w:color="auto"/>
        <w:right w:val="none" w:sz="0" w:space="0" w:color="auto"/>
      </w:divBdr>
    </w:div>
    <w:div w:id="1774933499">
      <w:bodyDiv w:val="1"/>
      <w:marLeft w:val="0"/>
      <w:marRight w:val="0"/>
      <w:marTop w:val="0"/>
      <w:marBottom w:val="0"/>
      <w:divBdr>
        <w:top w:val="none" w:sz="0" w:space="0" w:color="auto"/>
        <w:left w:val="none" w:sz="0" w:space="0" w:color="auto"/>
        <w:bottom w:val="none" w:sz="0" w:space="0" w:color="auto"/>
        <w:right w:val="none" w:sz="0" w:space="0" w:color="auto"/>
      </w:divBdr>
    </w:div>
    <w:div w:id="1774940100">
      <w:bodyDiv w:val="1"/>
      <w:marLeft w:val="0"/>
      <w:marRight w:val="0"/>
      <w:marTop w:val="0"/>
      <w:marBottom w:val="0"/>
      <w:divBdr>
        <w:top w:val="none" w:sz="0" w:space="0" w:color="auto"/>
        <w:left w:val="none" w:sz="0" w:space="0" w:color="auto"/>
        <w:bottom w:val="none" w:sz="0" w:space="0" w:color="auto"/>
        <w:right w:val="none" w:sz="0" w:space="0" w:color="auto"/>
      </w:divBdr>
    </w:div>
    <w:div w:id="1775006261">
      <w:bodyDiv w:val="1"/>
      <w:marLeft w:val="0"/>
      <w:marRight w:val="0"/>
      <w:marTop w:val="0"/>
      <w:marBottom w:val="0"/>
      <w:divBdr>
        <w:top w:val="none" w:sz="0" w:space="0" w:color="auto"/>
        <w:left w:val="none" w:sz="0" w:space="0" w:color="auto"/>
        <w:bottom w:val="none" w:sz="0" w:space="0" w:color="auto"/>
        <w:right w:val="none" w:sz="0" w:space="0" w:color="auto"/>
      </w:divBdr>
    </w:div>
    <w:div w:id="1775173939">
      <w:bodyDiv w:val="1"/>
      <w:marLeft w:val="0"/>
      <w:marRight w:val="0"/>
      <w:marTop w:val="0"/>
      <w:marBottom w:val="0"/>
      <w:divBdr>
        <w:top w:val="none" w:sz="0" w:space="0" w:color="auto"/>
        <w:left w:val="none" w:sz="0" w:space="0" w:color="auto"/>
        <w:bottom w:val="none" w:sz="0" w:space="0" w:color="auto"/>
        <w:right w:val="none" w:sz="0" w:space="0" w:color="auto"/>
      </w:divBdr>
    </w:div>
    <w:div w:id="1775902343">
      <w:bodyDiv w:val="1"/>
      <w:marLeft w:val="0"/>
      <w:marRight w:val="0"/>
      <w:marTop w:val="0"/>
      <w:marBottom w:val="0"/>
      <w:divBdr>
        <w:top w:val="none" w:sz="0" w:space="0" w:color="auto"/>
        <w:left w:val="none" w:sz="0" w:space="0" w:color="auto"/>
        <w:bottom w:val="none" w:sz="0" w:space="0" w:color="auto"/>
        <w:right w:val="none" w:sz="0" w:space="0" w:color="auto"/>
      </w:divBdr>
    </w:div>
    <w:div w:id="1775904804">
      <w:bodyDiv w:val="1"/>
      <w:marLeft w:val="0"/>
      <w:marRight w:val="0"/>
      <w:marTop w:val="0"/>
      <w:marBottom w:val="0"/>
      <w:divBdr>
        <w:top w:val="none" w:sz="0" w:space="0" w:color="auto"/>
        <w:left w:val="none" w:sz="0" w:space="0" w:color="auto"/>
        <w:bottom w:val="none" w:sz="0" w:space="0" w:color="auto"/>
        <w:right w:val="none" w:sz="0" w:space="0" w:color="auto"/>
      </w:divBdr>
    </w:div>
    <w:div w:id="1777092386">
      <w:bodyDiv w:val="1"/>
      <w:marLeft w:val="0"/>
      <w:marRight w:val="0"/>
      <w:marTop w:val="0"/>
      <w:marBottom w:val="0"/>
      <w:divBdr>
        <w:top w:val="none" w:sz="0" w:space="0" w:color="auto"/>
        <w:left w:val="none" w:sz="0" w:space="0" w:color="auto"/>
        <w:bottom w:val="none" w:sz="0" w:space="0" w:color="auto"/>
        <w:right w:val="none" w:sz="0" w:space="0" w:color="auto"/>
      </w:divBdr>
    </w:div>
    <w:div w:id="1777093042">
      <w:bodyDiv w:val="1"/>
      <w:marLeft w:val="0"/>
      <w:marRight w:val="0"/>
      <w:marTop w:val="0"/>
      <w:marBottom w:val="0"/>
      <w:divBdr>
        <w:top w:val="none" w:sz="0" w:space="0" w:color="auto"/>
        <w:left w:val="none" w:sz="0" w:space="0" w:color="auto"/>
        <w:bottom w:val="none" w:sz="0" w:space="0" w:color="auto"/>
        <w:right w:val="none" w:sz="0" w:space="0" w:color="auto"/>
      </w:divBdr>
    </w:div>
    <w:div w:id="1777093604">
      <w:bodyDiv w:val="1"/>
      <w:marLeft w:val="0"/>
      <w:marRight w:val="0"/>
      <w:marTop w:val="0"/>
      <w:marBottom w:val="0"/>
      <w:divBdr>
        <w:top w:val="none" w:sz="0" w:space="0" w:color="auto"/>
        <w:left w:val="none" w:sz="0" w:space="0" w:color="auto"/>
        <w:bottom w:val="none" w:sz="0" w:space="0" w:color="auto"/>
        <w:right w:val="none" w:sz="0" w:space="0" w:color="auto"/>
      </w:divBdr>
    </w:div>
    <w:div w:id="1777140710">
      <w:bodyDiv w:val="1"/>
      <w:marLeft w:val="0"/>
      <w:marRight w:val="0"/>
      <w:marTop w:val="0"/>
      <w:marBottom w:val="0"/>
      <w:divBdr>
        <w:top w:val="none" w:sz="0" w:space="0" w:color="auto"/>
        <w:left w:val="none" w:sz="0" w:space="0" w:color="auto"/>
        <w:bottom w:val="none" w:sz="0" w:space="0" w:color="auto"/>
        <w:right w:val="none" w:sz="0" w:space="0" w:color="auto"/>
      </w:divBdr>
    </w:div>
    <w:div w:id="1777363771">
      <w:bodyDiv w:val="1"/>
      <w:marLeft w:val="0"/>
      <w:marRight w:val="0"/>
      <w:marTop w:val="0"/>
      <w:marBottom w:val="0"/>
      <w:divBdr>
        <w:top w:val="none" w:sz="0" w:space="0" w:color="auto"/>
        <w:left w:val="none" w:sz="0" w:space="0" w:color="auto"/>
        <w:bottom w:val="none" w:sz="0" w:space="0" w:color="auto"/>
        <w:right w:val="none" w:sz="0" w:space="0" w:color="auto"/>
      </w:divBdr>
    </w:div>
    <w:div w:id="1777630650">
      <w:bodyDiv w:val="1"/>
      <w:marLeft w:val="0"/>
      <w:marRight w:val="0"/>
      <w:marTop w:val="0"/>
      <w:marBottom w:val="0"/>
      <w:divBdr>
        <w:top w:val="none" w:sz="0" w:space="0" w:color="auto"/>
        <w:left w:val="none" w:sz="0" w:space="0" w:color="auto"/>
        <w:bottom w:val="none" w:sz="0" w:space="0" w:color="auto"/>
        <w:right w:val="none" w:sz="0" w:space="0" w:color="auto"/>
      </w:divBdr>
    </w:div>
    <w:div w:id="1777748854">
      <w:bodyDiv w:val="1"/>
      <w:marLeft w:val="0"/>
      <w:marRight w:val="0"/>
      <w:marTop w:val="0"/>
      <w:marBottom w:val="0"/>
      <w:divBdr>
        <w:top w:val="none" w:sz="0" w:space="0" w:color="auto"/>
        <w:left w:val="none" w:sz="0" w:space="0" w:color="auto"/>
        <w:bottom w:val="none" w:sz="0" w:space="0" w:color="auto"/>
        <w:right w:val="none" w:sz="0" w:space="0" w:color="auto"/>
      </w:divBdr>
    </w:div>
    <w:div w:id="1778209076">
      <w:bodyDiv w:val="1"/>
      <w:marLeft w:val="0"/>
      <w:marRight w:val="0"/>
      <w:marTop w:val="0"/>
      <w:marBottom w:val="0"/>
      <w:divBdr>
        <w:top w:val="none" w:sz="0" w:space="0" w:color="auto"/>
        <w:left w:val="none" w:sz="0" w:space="0" w:color="auto"/>
        <w:bottom w:val="none" w:sz="0" w:space="0" w:color="auto"/>
        <w:right w:val="none" w:sz="0" w:space="0" w:color="auto"/>
      </w:divBdr>
    </w:div>
    <w:div w:id="1778258805">
      <w:bodyDiv w:val="1"/>
      <w:marLeft w:val="0"/>
      <w:marRight w:val="0"/>
      <w:marTop w:val="0"/>
      <w:marBottom w:val="0"/>
      <w:divBdr>
        <w:top w:val="none" w:sz="0" w:space="0" w:color="auto"/>
        <w:left w:val="none" w:sz="0" w:space="0" w:color="auto"/>
        <w:bottom w:val="none" w:sz="0" w:space="0" w:color="auto"/>
        <w:right w:val="none" w:sz="0" w:space="0" w:color="auto"/>
      </w:divBdr>
    </w:div>
    <w:div w:id="1778404256">
      <w:bodyDiv w:val="1"/>
      <w:marLeft w:val="0"/>
      <w:marRight w:val="0"/>
      <w:marTop w:val="0"/>
      <w:marBottom w:val="0"/>
      <w:divBdr>
        <w:top w:val="none" w:sz="0" w:space="0" w:color="auto"/>
        <w:left w:val="none" w:sz="0" w:space="0" w:color="auto"/>
        <w:bottom w:val="none" w:sz="0" w:space="0" w:color="auto"/>
        <w:right w:val="none" w:sz="0" w:space="0" w:color="auto"/>
      </w:divBdr>
    </w:div>
    <w:div w:id="1778528171">
      <w:bodyDiv w:val="1"/>
      <w:marLeft w:val="0"/>
      <w:marRight w:val="0"/>
      <w:marTop w:val="0"/>
      <w:marBottom w:val="0"/>
      <w:divBdr>
        <w:top w:val="none" w:sz="0" w:space="0" w:color="auto"/>
        <w:left w:val="none" w:sz="0" w:space="0" w:color="auto"/>
        <w:bottom w:val="none" w:sz="0" w:space="0" w:color="auto"/>
        <w:right w:val="none" w:sz="0" w:space="0" w:color="auto"/>
      </w:divBdr>
    </w:div>
    <w:div w:id="1778713633">
      <w:bodyDiv w:val="1"/>
      <w:marLeft w:val="0"/>
      <w:marRight w:val="0"/>
      <w:marTop w:val="0"/>
      <w:marBottom w:val="0"/>
      <w:divBdr>
        <w:top w:val="none" w:sz="0" w:space="0" w:color="auto"/>
        <w:left w:val="none" w:sz="0" w:space="0" w:color="auto"/>
        <w:bottom w:val="none" w:sz="0" w:space="0" w:color="auto"/>
        <w:right w:val="none" w:sz="0" w:space="0" w:color="auto"/>
      </w:divBdr>
    </w:div>
    <w:div w:id="1778912074">
      <w:bodyDiv w:val="1"/>
      <w:marLeft w:val="0"/>
      <w:marRight w:val="0"/>
      <w:marTop w:val="0"/>
      <w:marBottom w:val="0"/>
      <w:divBdr>
        <w:top w:val="none" w:sz="0" w:space="0" w:color="auto"/>
        <w:left w:val="none" w:sz="0" w:space="0" w:color="auto"/>
        <w:bottom w:val="none" w:sz="0" w:space="0" w:color="auto"/>
        <w:right w:val="none" w:sz="0" w:space="0" w:color="auto"/>
      </w:divBdr>
    </w:div>
    <w:div w:id="1779181643">
      <w:bodyDiv w:val="1"/>
      <w:marLeft w:val="0"/>
      <w:marRight w:val="0"/>
      <w:marTop w:val="0"/>
      <w:marBottom w:val="0"/>
      <w:divBdr>
        <w:top w:val="none" w:sz="0" w:space="0" w:color="auto"/>
        <w:left w:val="none" w:sz="0" w:space="0" w:color="auto"/>
        <w:bottom w:val="none" w:sz="0" w:space="0" w:color="auto"/>
        <w:right w:val="none" w:sz="0" w:space="0" w:color="auto"/>
      </w:divBdr>
    </w:div>
    <w:div w:id="1779327532">
      <w:bodyDiv w:val="1"/>
      <w:marLeft w:val="0"/>
      <w:marRight w:val="0"/>
      <w:marTop w:val="0"/>
      <w:marBottom w:val="0"/>
      <w:divBdr>
        <w:top w:val="none" w:sz="0" w:space="0" w:color="auto"/>
        <w:left w:val="none" w:sz="0" w:space="0" w:color="auto"/>
        <w:bottom w:val="none" w:sz="0" w:space="0" w:color="auto"/>
        <w:right w:val="none" w:sz="0" w:space="0" w:color="auto"/>
      </w:divBdr>
    </w:div>
    <w:div w:id="1779908572">
      <w:bodyDiv w:val="1"/>
      <w:marLeft w:val="0"/>
      <w:marRight w:val="0"/>
      <w:marTop w:val="0"/>
      <w:marBottom w:val="0"/>
      <w:divBdr>
        <w:top w:val="none" w:sz="0" w:space="0" w:color="auto"/>
        <w:left w:val="none" w:sz="0" w:space="0" w:color="auto"/>
        <w:bottom w:val="none" w:sz="0" w:space="0" w:color="auto"/>
        <w:right w:val="none" w:sz="0" w:space="0" w:color="auto"/>
      </w:divBdr>
    </w:div>
    <w:div w:id="1780484775">
      <w:bodyDiv w:val="1"/>
      <w:marLeft w:val="0"/>
      <w:marRight w:val="0"/>
      <w:marTop w:val="0"/>
      <w:marBottom w:val="0"/>
      <w:divBdr>
        <w:top w:val="none" w:sz="0" w:space="0" w:color="auto"/>
        <w:left w:val="none" w:sz="0" w:space="0" w:color="auto"/>
        <w:bottom w:val="none" w:sz="0" w:space="0" w:color="auto"/>
        <w:right w:val="none" w:sz="0" w:space="0" w:color="auto"/>
      </w:divBdr>
    </w:div>
    <w:div w:id="1780485926">
      <w:bodyDiv w:val="1"/>
      <w:marLeft w:val="0"/>
      <w:marRight w:val="0"/>
      <w:marTop w:val="0"/>
      <w:marBottom w:val="0"/>
      <w:divBdr>
        <w:top w:val="none" w:sz="0" w:space="0" w:color="auto"/>
        <w:left w:val="none" w:sz="0" w:space="0" w:color="auto"/>
        <w:bottom w:val="none" w:sz="0" w:space="0" w:color="auto"/>
        <w:right w:val="none" w:sz="0" w:space="0" w:color="auto"/>
      </w:divBdr>
    </w:div>
    <w:div w:id="1780759106">
      <w:bodyDiv w:val="1"/>
      <w:marLeft w:val="0"/>
      <w:marRight w:val="0"/>
      <w:marTop w:val="0"/>
      <w:marBottom w:val="0"/>
      <w:divBdr>
        <w:top w:val="none" w:sz="0" w:space="0" w:color="auto"/>
        <w:left w:val="none" w:sz="0" w:space="0" w:color="auto"/>
        <w:bottom w:val="none" w:sz="0" w:space="0" w:color="auto"/>
        <w:right w:val="none" w:sz="0" w:space="0" w:color="auto"/>
      </w:divBdr>
    </w:div>
    <w:div w:id="1780952969">
      <w:bodyDiv w:val="1"/>
      <w:marLeft w:val="0"/>
      <w:marRight w:val="0"/>
      <w:marTop w:val="0"/>
      <w:marBottom w:val="0"/>
      <w:divBdr>
        <w:top w:val="none" w:sz="0" w:space="0" w:color="auto"/>
        <w:left w:val="none" w:sz="0" w:space="0" w:color="auto"/>
        <w:bottom w:val="none" w:sz="0" w:space="0" w:color="auto"/>
        <w:right w:val="none" w:sz="0" w:space="0" w:color="auto"/>
      </w:divBdr>
    </w:div>
    <w:div w:id="1781409535">
      <w:bodyDiv w:val="1"/>
      <w:marLeft w:val="0"/>
      <w:marRight w:val="0"/>
      <w:marTop w:val="0"/>
      <w:marBottom w:val="0"/>
      <w:divBdr>
        <w:top w:val="none" w:sz="0" w:space="0" w:color="auto"/>
        <w:left w:val="none" w:sz="0" w:space="0" w:color="auto"/>
        <w:bottom w:val="none" w:sz="0" w:space="0" w:color="auto"/>
        <w:right w:val="none" w:sz="0" w:space="0" w:color="auto"/>
      </w:divBdr>
    </w:div>
    <w:div w:id="1781493156">
      <w:bodyDiv w:val="1"/>
      <w:marLeft w:val="0"/>
      <w:marRight w:val="0"/>
      <w:marTop w:val="0"/>
      <w:marBottom w:val="0"/>
      <w:divBdr>
        <w:top w:val="none" w:sz="0" w:space="0" w:color="auto"/>
        <w:left w:val="none" w:sz="0" w:space="0" w:color="auto"/>
        <w:bottom w:val="none" w:sz="0" w:space="0" w:color="auto"/>
        <w:right w:val="none" w:sz="0" w:space="0" w:color="auto"/>
      </w:divBdr>
    </w:div>
    <w:div w:id="1782148564">
      <w:bodyDiv w:val="1"/>
      <w:marLeft w:val="0"/>
      <w:marRight w:val="0"/>
      <w:marTop w:val="0"/>
      <w:marBottom w:val="0"/>
      <w:divBdr>
        <w:top w:val="none" w:sz="0" w:space="0" w:color="auto"/>
        <w:left w:val="none" w:sz="0" w:space="0" w:color="auto"/>
        <w:bottom w:val="none" w:sz="0" w:space="0" w:color="auto"/>
        <w:right w:val="none" w:sz="0" w:space="0" w:color="auto"/>
      </w:divBdr>
    </w:div>
    <w:div w:id="1782188245">
      <w:bodyDiv w:val="1"/>
      <w:marLeft w:val="0"/>
      <w:marRight w:val="0"/>
      <w:marTop w:val="0"/>
      <w:marBottom w:val="0"/>
      <w:divBdr>
        <w:top w:val="none" w:sz="0" w:space="0" w:color="auto"/>
        <w:left w:val="none" w:sz="0" w:space="0" w:color="auto"/>
        <w:bottom w:val="none" w:sz="0" w:space="0" w:color="auto"/>
        <w:right w:val="none" w:sz="0" w:space="0" w:color="auto"/>
      </w:divBdr>
    </w:div>
    <w:div w:id="1782454375">
      <w:bodyDiv w:val="1"/>
      <w:marLeft w:val="0"/>
      <w:marRight w:val="0"/>
      <w:marTop w:val="0"/>
      <w:marBottom w:val="0"/>
      <w:divBdr>
        <w:top w:val="none" w:sz="0" w:space="0" w:color="auto"/>
        <w:left w:val="none" w:sz="0" w:space="0" w:color="auto"/>
        <w:bottom w:val="none" w:sz="0" w:space="0" w:color="auto"/>
        <w:right w:val="none" w:sz="0" w:space="0" w:color="auto"/>
      </w:divBdr>
    </w:div>
    <w:div w:id="1782841545">
      <w:bodyDiv w:val="1"/>
      <w:marLeft w:val="0"/>
      <w:marRight w:val="0"/>
      <w:marTop w:val="0"/>
      <w:marBottom w:val="0"/>
      <w:divBdr>
        <w:top w:val="none" w:sz="0" w:space="0" w:color="auto"/>
        <w:left w:val="none" w:sz="0" w:space="0" w:color="auto"/>
        <w:bottom w:val="none" w:sz="0" w:space="0" w:color="auto"/>
        <w:right w:val="none" w:sz="0" w:space="0" w:color="auto"/>
      </w:divBdr>
    </w:div>
    <w:div w:id="1782844733">
      <w:bodyDiv w:val="1"/>
      <w:marLeft w:val="0"/>
      <w:marRight w:val="0"/>
      <w:marTop w:val="0"/>
      <w:marBottom w:val="0"/>
      <w:divBdr>
        <w:top w:val="none" w:sz="0" w:space="0" w:color="auto"/>
        <w:left w:val="none" w:sz="0" w:space="0" w:color="auto"/>
        <w:bottom w:val="none" w:sz="0" w:space="0" w:color="auto"/>
        <w:right w:val="none" w:sz="0" w:space="0" w:color="auto"/>
      </w:divBdr>
    </w:div>
    <w:div w:id="1782913732">
      <w:bodyDiv w:val="1"/>
      <w:marLeft w:val="0"/>
      <w:marRight w:val="0"/>
      <w:marTop w:val="0"/>
      <w:marBottom w:val="0"/>
      <w:divBdr>
        <w:top w:val="none" w:sz="0" w:space="0" w:color="auto"/>
        <w:left w:val="none" w:sz="0" w:space="0" w:color="auto"/>
        <w:bottom w:val="none" w:sz="0" w:space="0" w:color="auto"/>
        <w:right w:val="none" w:sz="0" w:space="0" w:color="auto"/>
      </w:divBdr>
    </w:div>
    <w:div w:id="1783107890">
      <w:bodyDiv w:val="1"/>
      <w:marLeft w:val="0"/>
      <w:marRight w:val="0"/>
      <w:marTop w:val="0"/>
      <w:marBottom w:val="0"/>
      <w:divBdr>
        <w:top w:val="none" w:sz="0" w:space="0" w:color="auto"/>
        <w:left w:val="none" w:sz="0" w:space="0" w:color="auto"/>
        <w:bottom w:val="none" w:sz="0" w:space="0" w:color="auto"/>
        <w:right w:val="none" w:sz="0" w:space="0" w:color="auto"/>
      </w:divBdr>
    </w:div>
    <w:div w:id="1783112124">
      <w:bodyDiv w:val="1"/>
      <w:marLeft w:val="0"/>
      <w:marRight w:val="0"/>
      <w:marTop w:val="0"/>
      <w:marBottom w:val="0"/>
      <w:divBdr>
        <w:top w:val="none" w:sz="0" w:space="0" w:color="auto"/>
        <w:left w:val="none" w:sz="0" w:space="0" w:color="auto"/>
        <w:bottom w:val="none" w:sz="0" w:space="0" w:color="auto"/>
        <w:right w:val="none" w:sz="0" w:space="0" w:color="auto"/>
      </w:divBdr>
    </w:div>
    <w:div w:id="1783379809">
      <w:bodyDiv w:val="1"/>
      <w:marLeft w:val="0"/>
      <w:marRight w:val="0"/>
      <w:marTop w:val="0"/>
      <w:marBottom w:val="0"/>
      <w:divBdr>
        <w:top w:val="none" w:sz="0" w:space="0" w:color="auto"/>
        <w:left w:val="none" w:sz="0" w:space="0" w:color="auto"/>
        <w:bottom w:val="none" w:sz="0" w:space="0" w:color="auto"/>
        <w:right w:val="none" w:sz="0" w:space="0" w:color="auto"/>
      </w:divBdr>
    </w:div>
    <w:div w:id="1784425314">
      <w:bodyDiv w:val="1"/>
      <w:marLeft w:val="0"/>
      <w:marRight w:val="0"/>
      <w:marTop w:val="0"/>
      <w:marBottom w:val="0"/>
      <w:divBdr>
        <w:top w:val="none" w:sz="0" w:space="0" w:color="auto"/>
        <w:left w:val="none" w:sz="0" w:space="0" w:color="auto"/>
        <w:bottom w:val="none" w:sz="0" w:space="0" w:color="auto"/>
        <w:right w:val="none" w:sz="0" w:space="0" w:color="auto"/>
      </w:divBdr>
    </w:div>
    <w:div w:id="1784835370">
      <w:bodyDiv w:val="1"/>
      <w:marLeft w:val="0"/>
      <w:marRight w:val="0"/>
      <w:marTop w:val="0"/>
      <w:marBottom w:val="0"/>
      <w:divBdr>
        <w:top w:val="none" w:sz="0" w:space="0" w:color="auto"/>
        <w:left w:val="none" w:sz="0" w:space="0" w:color="auto"/>
        <w:bottom w:val="none" w:sz="0" w:space="0" w:color="auto"/>
        <w:right w:val="none" w:sz="0" w:space="0" w:color="auto"/>
      </w:divBdr>
    </w:div>
    <w:div w:id="1784885009">
      <w:bodyDiv w:val="1"/>
      <w:marLeft w:val="0"/>
      <w:marRight w:val="0"/>
      <w:marTop w:val="0"/>
      <w:marBottom w:val="0"/>
      <w:divBdr>
        <w:top w:val="none" w:sz="0" w:space="0" w:color="auto"/>
        <w:left w:val="none" w:sz="0" w:space="0" w:color="auto"/>
        <w:bottom w:val="none" w:sz="0" w:space="0" w:color="auto"/>
        <w:right w:val="none" w:sz="0" w:space="0" w:color="auto"/>
      </w:divBdr>
    </w:div>
    <w:div w:id="1785075264">
      <w:bodyDiv w:val="1"/>
      <w:marLeft w:val="0"/>
      <w:marRight w:val="0"/>
      <w:marTop w:val="0"/>
      <w:marBottom w:val="0"/>
      <w:divBdr>
        <w:top w:val="none" w:sz="0" w:space="0" w:color="auto"/>
        <w:left w:val="none" w:sz="0" w:space="0" w:color="auto"/>
        <w:bottom w:val="none" w:sz="0" w:space="0" w:color="auto"/>
        <w:right w:val="none" w:sz="0" w:space="0" w:color="auto"/>
      </w:divBdr>
    </w:div>
    <w:div w:id="1785224166">
      <w:bodyDiv w:val="1"/>
      <w:marLeft w:val="0"/>
      <w:marRight w:val="0"/>
      <w:marTop w:val="0"/>
      <w:marBottom w:val="0"/>
      <w:divBdr>
        <w:top w:val="none" w:sz="0" w:space="0" w:color="auto"/>
        <w:left w:val="none" w:sz="0" w:space="0" w:color="auto"/>
        <w:bottom w:val="none" w:sz="0" w:space="0" w:color="auto"/>
        <w:right w:val="none" w:sz="0" w:space="0" w:color="auto"/>
      </w:divBdr>
    </w:div>
    <w:div w:id="1785533551">
      <w:bodyDiv w:val="1"/>
      <w:marLeft w:val="0"/>
      <w:marRight w:val="0"/>
      <w:marTop w:val="0"/>
      <w:marBottom w:val="0"/>
      <w:divBdr>
        <w:top w:val="none" w:sz="0" w:space="0" w:color="auto"/>
        <w:left w:val="none" w:sz="0" w:space="0" w:color="auto"/>
        <w:bottom w:val="none" w:sz="0" w:space="0" w:color="auto"/>
        <w:right w:val="none" w:sz="0" w:space="0" w:color="auto"/>
      </w:divBdr>
    </w:div>
    <w:div w:id="1786148743">
      <w:bodyDiv w:val="1"/>
      <w:marLeft w:val="0"/>
      <w:marRight w:val="0"/>
      <w:marTop w:val="0"/>
      <w:marBottom w:val="0"/>
      <w:divBdr>
        <w:top w:val="none" w:sz="0" w:space="0" w:color="auto"/>
        <w:left w:val="none" w:sz="0" w:space="0" w:color="auto"/>
        <w:bottom w:val="none" w:sz="0" w:space="0" w:color="auto"/>
        <w:right w:val="none" w:sz="0" w:space="0" w:color="auto"/>
      </w:divBdr>
    </w:div>
    <w:div w:id="1786188417">
      <w:bodyDiv w:val="1"/>
      <w:marLeft w:val="0"/>
      <w:marRight w:val="0"/>
      <w:marTop w:val="0"/>
      <w:marBottom w:val="0"/>
      <w:divBdr>
        <w:top w:val="none" w:sz="0" w:space="0" w:color="auto"/>
        <w:left w:val="none" w:sz="0" w:space="0" w:color="auto"/>
        <w:bottom w:val="none" w:sz="0" w:space="0" w:color="auto"/>
        <w:right w:val="none" w:sz="0" w:space="0" w:color="auto"/>
      </w:divBdr>
    </w:div>
    <w:div w:id="1786191336">
      <w:bodyDiv w:val="1"/>
      <w:marLeft w:val="0"/>
      <w:marRight w:val="0"/>
      <w:marTop w:val="0"/>
      <w:marBottom w:val="0"/>
      <w:divBdr>
        <w:top w:val="none" w:sz="0" w:space="0" w:color="auto"/>
        <w:left w:val="none" w:sz="0" w:space="0" w:color="auto"/>
        <w:bottom w:val="none" w:sz="0" w:space="0" w:color="auto"/>
        <w:right w:val="none" w:sz="0" w:space="0" w:color="auto"/>
      </w:divBdr>
    </w:div>
    <w:div w:id="1786460175">
      <w:bodyDiv w:val="1"/>
      <w:marLeft w:val="0"/>
      <w:marRight w:val="0"/>
      <w:marTop w:val="0"/>
      <w:marBottom w:val="0"/>
      <w:divBdr>
        <w:top w:val="none" w:sz="0" w:space="0" w:color="auto"/>
        <w:left w:val="none" w:sz="0" w:space="0" w:color="auto"/>
        <w:bottom w:val="none" w:sz="0" w:space="0" w:color="auto"/>
        <w:right w:val="none" w:sz="0" w:space="0" w:color="auto"/>
      </w:divBdr>
    </w:div>
    <w:div w:id="1787193220">
      <w:bodyDiv w:val="1"/>
      <w:marLeft w:val="0"/>
      <w:marRight w:val="0"/>
      <w:marTop w:val="0"/>
      <w:marBottom w:val="0"/>
      <w:divBdr>
        <w:top w:val="none" w:sz="0" w:space="0" w:color="auto"/>
        <w:left w:val="none" w:sz="0" w:space="0" w:color="auto"/>
        <w:bottom w:val="none" w:sz="0" w:space="0" w:color="auto"/>
        <w:right w:val="none" w:sz="0" w:space="0" w:color="auto"/>
      </w:divBdr>
    </w:div>
    <w:div w:id="1787307255">
      <w:bodyDiv w:val="1"/>
      <w:marLeft w:val="0"/>
      <w:marRight w:val="0"/>
      <w:marTop w:val="0"/>
      <w:marBottom w:val="0"/>
      <w:divBdr>
        <w:top w:val="none" w:sz="0" w:space="0" w:color="auto"/>
        <w:left w:val="none" w:sz="0" w:space="0" w:color="auto"/>
        <w:bottom w:val="none" w:sz="0" w:space="0" w:color="auto"/>
        <w:right w:val="none" w:sz="0" w:space="0" w:color="auto"/>
      </w:divBdr>
    </w:div>
    <w:div w:id="1787458720">
      <w:bodyDiv w:val="1"/>
      <w:marLeft w:val="0"/>
      <w:marRight w:val="0"/>
      <w:marTop w:val="0"/>
      <w:marBottom w:val="0"/>
      <w:divBdr>
        <w:top w:val="none" w:sz="0" w:space="0" w:color="auto"/>
        <w:left w:val="none" w:sz="0" w:space="0" w:color="auto"/>
        <w:bottom w:val="none" w:sz="0" w:space="0" w:color="auto"/>
        <w:right w:val="none" w:sz="0" w:space="0" w:color="auto"/>
      </w:divBdr>
    </w:div>
    <w:div w:id="1787776671">
      <w:bodyDiv w:val="1"/>
      <w:marLeft w:val="0"/>
      <w:marRight w:val="0"/>
      <w:marTop w:val="0"/>
      <w:marBottom w:val="0"/>
      <w:divBdr>
        <w:top w:val="none" w:sz="0" w:space="0" w:color="auto"/>
        <w:left w:val="none" w:sz="0" w:space="0" w:color="auto"/>
        <w:bottom w:val="none" w:sz="0" w:space="0" w:color="auto"/>
        <w:right w:val="none" w:sz="0" w:space="0" w:color="auto"/>
      </w:divBdr>
    </w:div>
    <w:div w:id="1788350463">
      <w:bodyDiv w:val="1"/>
      <w:marLeft w:val="0"/>
      <w:marRight w:val="0"/>
      <w:marTop w:val="0"/>
      <w:marBottom w:val="0"/>
      <w:divBdr>
        <w:top w:val="none" w:sz="0" w:space="0" w:color="auto"/>
        <w:left w:val="none" w:sz="0" w:space="0" w:color="auto"/>
        <w:bottom w:val="none" w:sz="0" w:space="0" w:color="auto"/>
        <w:right w:val="none" w:sz="0" w:space="0" w:color="auto"/>
      </w:divBdr>
    </w:div>
    <w:div w:id="1789229776">
      <w:bodyDiv w:val="1"/>
      <w:marLeft w:val="0"/>
      <w:marRight w:val="0"/>
      <w:marTop w:val="0"/>
      <w:marBottom w:val="0"/>
      <w:divBdr>
        <w:top w:val="none" w:sz="0" w:space="0" w:color="auto"/>
        <w:left w:val="none" w:sz="0" w:space="0" w:color="auto"/>
        <w:bottom w:val="none" w:sz="0" w:space="0" w:color="auto"/>
        <w:right w:val="none" w:sz="0" w:space="0" w:color="auto"/>
      </w:divBdr>
    </w:div>
    <w:div w:id="1789543366">
      <w:bodyDiv w:val="1"/>
      <w:marLeft w:val="0"/>
      <w:marRight w:val="0"/>
      <w:marTop w:val="0"/>
      <w:marBottom w:val="0"/>
      <w:divBdr>
        <w:top w:val="none" w:sz="0" w:space="0" w:color="auto"/>
        <w:left w:val="none" w:sz="0" w:space="0" w:color="auto"/>
        <w:bottom w:val="none" w:sz="0" w:space="0" w:color="auto"/>
        <w:right w:val="none" w:sz="0" w:space="0" w:color="auto"/>
      </w:divBdr>
    </w:div>
    <w:div w:id="1789549447">
      <w:bodyDiv w:val="1"/>
      <w:marLeft w:val="0"/>
      <w:marRight w:val="0"/>
      <w:marTop w:val="0"/>
      <w:marBottom w:val="0"/>
      <w:divBdr>
        <w:top w:val="none" w:sz="0" w:space="0" w:color="auto"/>
        <w:left w:val="none" w:sz="0" w:space="0" w:color="auto"/>
        <w:bottom w:val="none" w:sz="0" w:space="0" w:color="auto"/>
        <w:right w:val="none" w:sz="0" w:space="0" w:color="auto"/>
      </w:divBdr>
    </w:div>
    <w:div w:id="1789662171">
      <w:bodyDiv w:val="1"/>
      <w:marLeft w:val="0"/>
      <w:marRight w:val="0"/>
      <w:marTop w:val="0"/>
      <w:marBottom w:val="0"/>
      <w:divBdr>
        <w:top w:val="none" w:sz="0" w:space="0" w:color="auto"/>
        <w:left w:val="none" w:sz="0" w:space="0" w:color="auto"/>
        <w:bottom w:val="none" w:sz="0" w:space="0" w:color="auto"/>
        <w:right w:val="none" w:sz="0" w:space="0" w:color="auto"/>
      </w:divBdr>
    </w:div>
    <w:div w:id="1790124409">
      <w:bodyDiv w:val="1"/>
      <w:marLeft w:val="0"/>
      <w:marRight w:val="0"/>
      <w:marTop w:val="0"/>
      <w:marBottom w:val="0"/>
      <w:divBdr>
        <w:top w:val="none" w:sz="0" w:space="0" w:color="auto"/>
        <w:left w:val="none" w:sz="0" w:space="0" w:color="auto"/>
        <w:bottom w:val="none" w:sz="0" w:space="0" w:color="auto"/>
        <w:right w:val="none" w:sz="0" w:space="0" w:color="auto"/>
      </w:divBdr>
    </w:div>
    <w:div w:id="1790196337">
      <w:bodyDiv w:val="1"/>
      <w:marLeft w:val="0"/>
      <w:marRight w:val="0"/>
      <w:marTop w:val="0"/>
      <w:marBottom w:val="0"/>
      <w:divBdr>
        <w:top w:val="none" w:sz="0" w:space="0" w:color="auto"/>
        <w:left w:val="none" w:sz="0" w:space="0" w:color="auto"/>
        <w:bottom w:val="none" w:sz="0" w:space="0" w:color="auto"/>
        <w:right w:val="none" w:sz="0" w:space="0" w:color="auto"/>
      </w:divBdr>
    </w:div>
    <w:div w:id="1790318166">
      <w:bodyDiv w:val="1"/>
      <w:marLeft w:val="0"/>
      <w:marRight w:val="0"/>
      <w:marTop w:val="0"/>
      <w:marBottom w:val="0"/>
      <w:divBdr>
        <w:top w:val="none" w:sz="0" w:space="0" w:color="auto"/>
        <w:left w:val="none" w:sz="0" w:space="0" w:color="auto"/>
        <w:bottom w:val="none" w:sz="0" w:space="0" w:color="auto"/>
        <w:right w:val="none" w:sz="0" w:space="0" w:color="auto"/>
      </w:divBdr>
    </w:div>
    <w:div w:id="1790540252">
      <w:bodyDiv w:val="1"/>
      <w:marLeft w:val="0"/>
      <w:marRight w:val="0"/>
      <w:marTop w:val="0"/>
      <w:marBottom w:val="0"/>
      <w:divBdr>
        <w:top w:val="none" w:sz="0" w:space="0" w:color="auto"/>
        <w:left w:val="none" w:sz="0" w:space="0" w:color="auto"/>
        <w:bottom w:val="none" w:sz="0" w:space="0" w:color="auto"/>
        <w:right w:val="none" w:sz="0" w:space="0" w:color="auto"/>
      </w:divBdr>
    </w:div>
    <w:div w:id="1790661341">
      <w:bodyDiv w:val="1"/>
      <w:marLeft w:val="0"/>
      <w:marRight w:val="0"/>
      <w:marTop w:val="0"/>
      <w:marBottom w:val="0"/>
      <w:divBdr>
        <w:top w:val="none" w:sz="0" w:space="0" w:color="auto"/>
        <w:left w:val="none" w:sz="0" w:space="0" w:color="auto"/>
        <w:bottom w:val="none" w:sz="0" w:space="0" w:color="auto"/>
        <w:right w:val="none" w:sz="0" w:space="0" w:color="auto"/>
      </w:divBdr>
    </w:div>
    <w:div w:id="1790736797">
      <w:bodyDiv w:val="1"/>
      <w:marLeft w:val="0"/>
      <w:marRight w:val="0"/>
      <w:marTop w:val="0"/>
      <w:marBottom w:val="0"/>
      <w:divBdr>
        <w:top w:val="none" w:sz="0" w:space="0" w:color="auto"/>
        <w:left w:val="none" w:sz="0" w:space="0" w:color="auto"/>
        <w:bottom w:val="none" w:sz="0" w:space="0" w:color="auto"/>
        <w:right w:val="none" w:sz="0" w:space="0" w:color="auto"/>
      </w:divBdr>
    </w:div>
    <w:div w:id="1791241655">
      <w:bodyDiv w:val="1"/>
      <w:marLeft w:val="0"/>
      <w:marRight w:val="0"/>
      <w:marTop w:val="0"/>
      <w:marBottom w:val="0"/>
      <w:divBdr>
        <w:top w:val="none" w:sz="0" w:space="0" w:color="auto"/>
        <w:left w:val="none" w:sz="0" w:space="0" w:color="auto"/>
        <w:bottom w:val="none" w:sz="0" w:space="0" w:color="auto"/>
        <w:right w:val="none" w:sz="0" w:space="0" w:color="auto"/>
      </w:divBdr>
    </w:div>
    <w:div w:id="1791320579">
      <w:bodyDiv w:val="1"/>
      <w:marLeft w:val="0"/>
      <w:marRight w:val="0"/>
      <w:marTop w:val="0"/>
      <w:marBottom w:val="0"/>
      <w:divBdr>
        <w:top w:val="none" w:sz="0" w:space="0" w:color="auto"/>
        <w:left w:val="none" w:sz="0" w:space="0" w:color="auto"/>
        <w:bottom w:val="none" w:sz="0" w:space="0" w:color="auto"/>
        <w:right w:val="none" w:sz="0" w:space="0" w:color="auto"/>
      </w:divBdr>
    </w:div>
    <w:div w:id="1791628262">
      <w:bodyDiv w:val="1"/>
      <w:marLeft w:val="0"/>
      <w:marRight w:val="0"/>
      <w:marTop w:val="0"/>
      <w:marBottom w:val="0"/>
      <w:divBdr>
        <w:top w:val="none" w:sz="0" w:space="0" w:color="auto"/>
        <w:left w:val="none" w:sz="0" w:space="0" w:color="auto"/>
        <w:bottom w:val="none" w:sz="0" w:space="0" w:color="auto"/>
        <w:right w:val="none" w:sz="0" w:space="0" w:color="auto"/>
      </w:divBdr>
    </w:div>
    <w:div w:id="1791781811">
      <w:bodyDiv w:val="1"/>
      <w:marLeft w:val="0"/>
      <w:marRight w:val="0"/>
      <w:marTop w:val="0"/>
      <w:marBottom w:val="0"/>
      <w:divBdr>
        <w:top w:val="none" w:sz="0" w:space="0" w:color="auto"/>
        <w:left w:val="none" w:sz="0" w:space="0" w:color="auto"/>
        <w:bottom w:val="none" w:sz="0" w:space="0" w:color="auto"/>
        <w:right w:val="none" w:sz="0" w:space="0" w:color="auto"/>
      </w:divBdr>
    </w:div>
    <w:div w:id="1791897601">
      <w:bodyDiv w:val="1"/>
      <w:marLeft w:val="0"/>
      <w:marRight w:val="0"/>
      <w:marTop w:val="0"/>
      <w:marBottom w:val="0"/>
      <w:divBdr>
        <w:top w:val="none" w:sz="0" w:space="0" w:color="auto"/>
        <w:left w:val="none" w:sz="0" w:space="0" w:color="auto"/>
        <w:bottom w:val="none" w:sz="0" w:space="0" w:color="auto"/>
        <w:right w:val="none" w:sz="0" w:space="0" w:color="auto"/>
      </w:divBdr>
    </w:div>
    <w:div w:id="1791971473">
      <w:bodyDiv w:val="1"/>
      <w:marLeft w:val="0"/>
      <w:marRight w:val="0"/>
      <w:marTop w:val="0"/>
      <w:marBottom w:val="0"/>
      <w:divBdr>
        <w:top w:val="none" w:sz="0" w:space="0" w:color="auto"/>
        <w:left w:val="none" w:sz="0" w:space="0" w:color="auto"/>
        <w:bottom w:val="none" w:sz="0" w:space="0" w:color="auto"/>
        <w:right w:val="none" w:sz="0" w:space="0" w:color="auto"/>
      </w:divBdr>
    </w:div>
    <w:div w:id="1792280920">
      <w:bodyDiv w:val="1"/>
      <w:marLeft w:val="0"/>
      <w:marRight w:val="0"/>
      <w:marTop w:val="0"/>
      <w:marBottom w:val="0"/>
      <w:divBdr>
        <w:top w:val="none" w:sz="0" w:space="0" w:color="auto"/>
        <w:left w:val="none" w:sz="0" w:space="0" w:color="auto"/>
        <w:bottom w:val="none" w:sz="0" w:space="0" w:color="auto"/>
        <w:right w:val="none" w:sz="0" w:space="0" w:color="auto"/>
      </w:divBdr>
    </w:div>
    <w:div w:id="1792551380">
      <w:bodyDiv w:val="1"/>
      <w:marLeft w:val="0"/>
      <w:marRight w:val="0"/>
      <w:marTop w:val="0"/>
      <w:marBottom w:val="0"/>
      <w:divBdr>
        <w:top w:val="none" w:sz="0" w:space="0" w:color="auto"/>
        <w:left w:val="none" w:sz="0" w:space="0" w:color="auto"/>
        <w:bottom w:val="none" w:sz="0" w:space="0" w:color="auto"/>
        <w:right w:val="none" w:sz="0" w:space="0" w:color="auto"/>
      </w:divBdr>
    </w:div>
    <w:div w:id="1792551778">
      <w:bodyDiv w:val="1"/>
      <w:marLeft w:val="0"/>
      <w:marRight w:val="0"/>
      <w:marTop w:val="0"/>
      <w:marBottom w:val="0"/>
      <w:divBdr>
        <w:top w:val="none" w:sz="0" w:space="0" w:color="auto"/>
        <w:left w:val="none" w:sz="0" w:space="0" w:color="auto"/>
        <w:bottom w:val="none" w:sz="0" w:space="0" w:color="auto"/>
        <w:right w:val="none" w:sz="0" w:space="0" w:color="auto"/>
      </w:divBdr>
    </w:div>
    <w:div w:id="1792630130">
      <w:bodyDiv w:val="1"/>
      <w:marLeft w:val="0"/>
      <w:marRight w:val="0"/>
      <w:marTop w:val="0"/>
      <w:marBottom w:val="0"/>
      <w:divBdr>
        <w:top w:val="none" w:sz="0" w:space="0" w:color="auto"/>
        <w:left w:val="none" w:sz="0" w:space="0" w:color="auto"/>
        <w:bottom w:val="none" w:sz="0" w:space="0" w:color="auto"/>
        <w:right w:val="none" w:sz="0" w:space="0" w:color="auto"/>
      </w:divBdr>
    </w:div>
    <w:div w:id="1792745589">
      <w:bodyDiv w:val="1"/>
      <w:marLeft w:val="0"/>
      <w:marRight w:val="0"/>
      <w:marTop w:val="0"/>
      <w:marBottom w:val="0"/>
      <w:divBdr>
        <w:top w:val="none" w:sz="0" w:space="0" w:color="auto"/>
        <w:left w:val="none" w:sz="0" w:space="0" w:color="auto"/>
        <w:bottom w:val="none" w:sz="0" w:space="0" w:color="auto"/>
        <w:right w:val="none" w:sz="0" w:space="0" w:color="auto"/>
      </w:divBdr>
    </w:div>
    <w:div w:id="1793281772">
      <w:bodyDiv w:val="1"/>
      <w:marLeft w:val="0"/>
      <w:marRight w:val="0"/>
      <w:marTop w:val="0"/>
      <w:marBottom w:val="0"/>
      <w:divBdr>
        <w:top w:val="none" w:sz="0" w:space="0" w:color="auto"/>
        <w:left w:val="none" w:sz="0" w:space="0" w:color="auto"/>
        <w:bottom w:val="none" w:sz="0" w:space="0" w:color="auto"/>
        <w:right w:val="none" w:sz="0" w:space="0" w:color="auto"/>
      </w:divBdr>
    </w:div>
    <w:div w:id="1793591444">
      <w:bodyDiv w:val="1"/>
      <w:marLeft w:val="0"/>
      <w:marRight w:val="0"/>
      <w:marTop w:val="0"/>
      <w:marBottom w:val="0"/>
      <w:divBdr>
        <w:top w:val="none" w:sz="0" w:space="0" w:color="auto"/>
        <w:left w:val="none" w:sz="0" w:space="0" w:color="auto"/>
        <w:bottom w:val="none" w:sz="0" w:space="0" w:color="auto"/>
        <w:right w:val="none" w:sz="0" w:space="0" w:color="auto"/>
      </w:divBdr>
    </w:div>
    <w:div w:id="1793785907">
      <w:bodyDiv w:val="1"/>
      <w:marLeft w:val="0"/>
      <w:marRight w:val="0"/>
      <w:marTop w:val="0"/>
      <w:marBottom w:val="0"/>
      <w:divBdr>
        <w:top w:val="none" w:sz="0" w:space="0" w:color="auto"/>
        <w:left w:val="none" w:sz="0" w:space="0" w:color="auto"/>
        <w:bottom w:val="none" w:sz="0" w:space="0" w:color="auto"/>
        <w:right w:val="none" w:sz="0" w:space="0" w:color="auto"/>
      </w:divBdr>
    </w:div>
    <w:div w:id="1794131336">
      <w:bodyDiv w:val="1"/>
      <w:marLeft w:val="0"/>
      <w:marRight w:val="0"/>
      <w:marTop w:val="0"/>
      <w:marBottom w:val="0"/>
      <w:divBdr>
        <w:top w:val="none" w:sz="0" w:space="0" w:color="auto"/>
        <w:left w:val="none" w:sz="0" w:space="0" w:color="auto"/>
        <w:bottom w:val="none" w:sz="0" w:space="0" w:color="auto"/>
        <w:right w:val="none" w:sz="0" w:space="0" w:color="auto"/>
      </w:divBdr>
    </w:div>
    <w:div w:id="1794445597">
      <w:bodyDiv w:val="1"/>
      <w:marLeft w:val="0"/>
      <w:marRight w:val="0"/>
      <w:marTop w:val="0"/>
      <w:marBottom w:val="0"/>
      <w:divBdr>
        <w:top w:val="none" w:sz="0" w:space="0" w:color="auto"/>
        <w:left w:val="none" w:sz="0" w:space="0" w:color="auto"/>
        <w:bottom w:val="none" w:sz="0" w:space="0" w:color="auto"/>
        <w:right w:val="none" w:sz="0" w:space="0" w:color="auto"/>
      </w:divBdr>
    </w:div>
    <w:div w:id="1794520820">
      <w:bodyDiv w:val="1"/>
      <w:marLeft w:val="0"/>
      <w:marRight w:val="0"/>
      <w:marTop w:val="0"/>
      <w:marBottom w:val="0"/>
      <w:divBdr>
        <w:top w:val="none" w:sz="0" w:space="0" w:color="auto"/>
        <w:left w:val="none" w:sz="0" w:space="0" w:color="auto"/>
        <w:bottom w:val="none" w:sz="0" w:space="0" w:color="auto"/>
        <w:right w:val="none" w:sz="0" w:space="0" w:color="auto"/>
      </w:divBdr>
    </w:div>
    <w:div w:id="1794639420">
      <w:bodyDiv w:val="1"/>
      <w:marLeft w:val="0"/>
      <w:marRight w:val="0"/>
      <w:marTop w:val="0"/>
      <w:marBottom w:val="0"/>
      <w:divBdr>
        <w:top w:val="none" w:sz="0" w:space="0" w:color="auto"/>
        <w:left w:val="none" w:sz="0" w:space="0" w:color="auto"/>
        <w:bottom w:val="none" w:sz="0" w:space="0" w:color="auto"/>
        <w:right w:val="none" w:sz="0" w:space="0" w:color="auto"/>
      </w:divBdr>
    </w:div>
    <w:div w:id="1794980568">
      <w:bodyDiv w:val="1"/>
      <w:marLeft w:val="0"/>
      <w:marRight w:val="0"/>
      <w:marTop w:val="0"/>
      <w:marBottom w:val="0"/>
      <w:divBdr>
        <w:top w:val="none" w:sz="0" w:space="0" w:color="auto"/>
        <w:left w:val="none" w:sz="0" w:space="0" w:color="auto"/>
        <w:bottom w:val="none" w:sz="0" w:space="0" w:color="auto"/>
        <w:right w:val="none" w:sz="0" w:space="0" w:color="auto"/>
      </w:divBdr>
    </w:div>
    <w:div w:id="1794984127">
      <w:bodyDiv w:val="1"/>
      <w:marLeft w:val="0"/>
      <w:marRight w:val="0"/>
      <w:marTop w:val="0"/>
      <w:marBottom w:val="0"/>
      <w:divBdr>
        <w:top w:val="none" w:sz="0" w:space="0" w:color="auto"/>
        <w:left w:val="none" w:sz="0" w:space="0" w:color="auto"/>
        <w:bottom w:val="none" w:sz="0" w:space="0" w:color="auto"/>
        <w:right w:val="none" w:sz="0" w:space="0" w:color="auto"/>
      </w:divBdr>
    </w:div>
    <w:div w:id="1795171918">
      <w:bodyDiv w:val="1"/>
      <w:marLeft w:val="0"/>
      <w:marRight w:val="0"/>
      <w:marTop w:val="0"/>
      <w:marBottom w:val="0"/>
      <w:divBdr>
        <w:top w:val="none" w:sz="0" w:space="0" w:color="auto"/>
        <w:left w:val="none" w:sz="0" w:space="0" w:color="auto"/>
        <w:bottom w:val="none" w:sz="0" w:space="0" w:color="auto"/>
        <w:right w:val="none" w:sz="0" w:space="0" w:color="auto"/>
      </w:divBdr>
    </w:div>
    <w:div w:id="1795249674">
      <w:bodyDiv w:val="1"/>
      <w:marLeft w:val="0"/>
      <w:marRight w:val="0"/>
      <w:marTop w:val="0"/>
      <w:marBottom w:val="0"/>
      <w:divBdr>
        <w:top w:val="none" w:sz="0" w:space="0" w:color="auto"/>
        <w:left w:val="none" w:sz="0" w:space="0" w:color="auto"/>
        <w:bottom w:val="none" w:sz="0" w:space="0" w:color="auto"/>
        <w:right w:val="none" w:sz="0" w:space="0" w:color="auto"/>
      </w:divBdr>
    </w:div>
    <w:div w:id="1795518967">
      <w:bodyDiv w:val="1"/>
      <w:marLeft w:val="0"/>
      <w:marRight w:val="0"/>
      <w:marTop w:val="0"/>
      <w:marBottom w:val="0"/>
      <w:divBdr>
        <w:top w:val="none" w:sz="0" w:space="0" w:color="auto"/>
        <w:left w:val="none" w:sz="0" w:space="0" w:color="auto"/>
        <w:bottom w:val="none" w:sz="0" w:space="0" w:color="auto"/>
        <w:right w:val="none" w:sz="0" w:space="0" w:color="auto"/>
      </w:divBdr>
    </w:div>
    <w:div w:id="1796094702">
      <w:bodyDiv w:val="1"/>
      <w:marLeft w:val="0"/>
      <w:marRight w:val="0"/>
      <w:marTop w:val="0"/>
      <w:marBottom w:val="0"/>
      <w:divBdr>
        <w:top w:val="none" w:sz="0" w:space="0" w:color="auto"/>
        <w:left w:val="none" w:sz="0" w:space="0" w:color="auto"/>
        <w:bottom w:val="none" w:sz="0" w:space="0" w:color="auto"/>
        <w:right w:val="none" w:sz="0" w:space="0" w:color="auto"/>
      </w:divBdr>
    </w:div>
    <w:div w:id="1796369482">
      <w:bodyDiv w:val="1"/>
      <w:marLeft w:val="0"/>
      <w:marRight w:val="0"/>
      <w:marTop w:val="0"/>
      <w:marBottom w:val="0"/>
      <w:divBdr>
        <w:top w:val="none" w:sz="0" w:space="0" w:color="auto"/>
        <w:left w:val="none" w:sz="0" w:space="0" w:color="auto"/>
        <w:bottom w:val="none" w:sz="0" w:space="0" w:color="auto"/>
        <w:right w:val="none" w:sz="0" w:space="0" w:color="auto"/>
      </w:divBdr>
    </w:div>
    <w:div w:id="1797598786">
      <w:bodyDiv w:val="1"/>
      <w:marLeft w:val="0"/>
      <w:marRight w:val="0"/>
      <w:marTop w:val="0"/>
      <w:marBottom w:val="0"/>
      <w:divBdr>
        <w:top w:val="none" w:sz="0" w:space="0" w:color="auto"/>
        <w:left w:val="none" w:sz="0" w:space="0" w:color="auto"/>
        <w:bottom w:val="none" w:sz="0" w:space="0" w:color="auto"/>
        <w:right w:val="none" w:sz="0" w:space="0" w:color="auto"/>
      </w:divBdr>
    </w:div>
    <w:div w:id="1798336254">
      <w:bodyDiv w:val="1"/>
      <w:marLeft w:val="0"/>
      <w:marRight w:val="0"/>
      <w:marTop w:val="0"/>
      <w:marBottom w:val="0"/>
      <w:divBdr>
        <w:top w:val="none" w:sz="0" w:space="0" w:color="auto"/>
        <w:left w:val="none" w:sz="0" w:space="0" w:color="auto"/>
        <w:bottom w:val="none" w:sz="0" w:space="0" w:color="auto"/>
        <w:right w:val="none" w:sz="0" w:space="0" w:color="auto"/>
      </w:divBdr>
    </w:div>
    <w:div w:id="1798718801">
      <w:bodyDiv w:val="1"/>
      <w:marLeft w:val="0"/>
      <w:marRight w:val="0"/>
      <w:marTop w:val="0"/>
      <w:marBottom w:val="0"/>
      <w:divBdr>
        <w:top w:val="none" w:sz="0" w:space="0" w:color="auto"/>
        <w:left w:val="none" w:sz="0" w:space="0" w:color="auto"/>
        <w:bottom w:val="none" w:sz="0" w:space="0" w:color="auto"/>
        <w:right w:val="none" w:sz="0" w:space="0" w:color="auto"/>
      </w:divBdr>
    </w:div>
    <w:div w:id="1799371715">
      <w:bodyDiv w:val="1"/>
      <w:marLeft w:val="0"/>
      <w:marRight w:val="0"/>
      <w:marTop w:val="0"/>
      <w:marBottom w:val="0"/>
      <w:divBdr>
        <w:top w:val="none" w:sz="0" w:space="0" w:color="auto"/>
        <w:left w:val="none" w:sz="0" w:space="0" w:color="auto"/>
        <w:bottom w:val="none" w:sz="0" w:space="0" w:color="auto"/>
        <w:right w:val="none" w:sz="0" w:space="0" w:color="auto"/>
      </w:divBdr>
    </w:div>
    <w:div w:id="1799373650">
      <w:bodyDiv w:val="1"/>
      <w:marLeft w:val="0"/>
      <w:marRight w:val="0"/>
      <w:marTop w:val="0"/>
      <w:marBottom w:val="0"/>
      <w:divBdr>
        <w:top w:val="none" w:sz="0" w:space="0" w:color="auto"/>
        <w:left w:val="none" w:sz="0" w:space="0" w:color="auto"/>
        <w:bottom w:val="none" w:sz="0" w:space="0" w:color="auto"/>
        <w:right w:val="none" w:sz="0" w:space="0" w:color="auto"/>
      </w:divBdr>
    </w:div>
    <w:div w:id="1799836100">
      <w:bodyDiv w:val="1"/>
      <w:marLeft w:val="0"/>
      <w:marRight w:val="0"/>
      <w:marTop w:val="0"/>
      <w:marBottom w:val="0"/>
      <w:divBdr>
        <w:top w:val="none" w:sz="0" w:space="0" w:color="auto"/>
        <w:left w:val="none" w:sz="0" w:space="0" w:color="auto"/>
        <w:bottom w:val="none" w:sz="0" w:space="0" w:color="auto"/>
        <w:right w:val="none" w:sz="0" w:space="0" w:color="auto"/>
      </w:divBdr>
      <w:divsChild>
        <w:div w:id="843669557">
          <w:marLeft w:val="0"/>
          <w:marRight w:val="0"/>
          <w:marTop w:val="0"/>
          <w:marBottom w:val="0"/>
          <w:divBdr>
            <w:top w:val="none" w:sz="0" w:space="0" w:color="auto"/>
            <w:left w:val="none" w:sz="0" w:space="0" w:color="auto"/>
            <w:bottom w:val="none" w:sz="0" w:space="0" w:color="auto"/>
            <w:right w:val="none" w:sz="0" w:space="0" w:color="auto"/>
          </w:divBdr>
        </w:div>
        <w:div w:id="1716156302">
          <w:marLeft w:val="0"/>
          <w:marRight w:val="0"/>
          <w:marTop w:val="0"/>
          <w:marBottom w:val="0"/>
          <w:divBdr>
            <w:top w:val="none" w:sz="0" w:space="0" w:color="auto"/>
            <w:left w:val="none" w:sz="0" w:space="0" w:color="auto"/>
            <w:bottom w:val="none" w:sz="0" w:space="0" w:color="auto"/>
            <w:right w:val="none" w:sz="0" w:space="0" w:color="auto"/>
          </w:divBdr>
        </w:div>
        <w:div w:id="1870801826">
          <w:marLeft w:val="0"/>
          <w:marRight w:val="0"/>
          <w:marTop w:val="0"/>
          <w:marBottom w:val="0"/>
          <w:divBdr>
            <w:top w:val="none" w:sz="0" w:space="0" w:color="auto"/>
            <w:left w:val="none" w:sz="0" w:space="0" w:color="auto"/>
            <w:bottom w:val="none" w:sz="0" w:space="0" w:color="auto"/>
            <w:right w:val="none" w:sz="0" w:space="0" w:color="auto"/>
          </w:divBdr>
        </w:div>
        <w:div w:id="2041926898">
          <w:marLeft w:val="0"/>
          <w:marRight w:val="0"/>
          <w:marTop w:val="0"/>
          <w:marBottom w:val="0"/>
          <w:divBdr>
            <w:top w:val="none" w:sz="0" w:space="0" w:color="auto"/>
            <w:left w:val="none" w:sz="0" w:space="0" w:color="auto"/>
            <w:bottom w:val="none" w:sz="0" w:space="0" w:color="auto"/>
            <w:right w:val="none" w:sz="0" w:space="0" w:color="auto"/>
          </w:divBdr>
        </w:div>
      </w:divsChild>
    </w:div>
    <w:div w:id="1800293154">
      <w:bodyDiv w:val="1"/>
      <w:marLeft w:val="0"/>
      <w:marRight w:val="0"/>
      <w:marTop w:val="0"/>
      <w:marBottom w:val="0"/>
      <w:divBdr>
        <w:top w:val="none" w:sz="0" w:space="0" w:color="auto"/>
        <w:left w:val="none" w:sz="0" w:space="0" w:color="auto"/>
        <w:bottom w:val="none" w:sz="0" w:space="0" w:color="auto"/>
        <w:right w:val="none" w:sz="0" w:space="0" w:color="auto"/>
      </w:divBdr>
    </w:div>
    <w:div w:id="1800950599">
      <w:bodyDiv w:val="1"/>
      <w:marLeft w:val="0"/>
      <w:marRight w:val="0"/>
      <w:marTop w:val="0"/>
      <w:marBottom w:val="0"/>
      <w:divBdr>
        <w:top w:val="none" w:sz="0" w:space="0" w:color="auto"/>
        <w:left w:val="none" w:sz="0" w:space="0" w:color="auto"/>
        <w:bottom w:val="none" w:sz="0" w:space="0" w:color="auto"/>
        <w:right w:val="none" w:sz="0" w:space="0" w:color="auto"/>
      </w:divBdr>
    </w:div>
    <w:div w:id="1801534237">
      <w:bodyDiv w:val="1"/>
      <w:marLeft w:val="0"/>
      <w:marRight w:val="0"/>
      <w:marTop w:val="0"/>
      <w:marBottom w:val="0"/>
      <w:divBdr>
        <w:top w:val="none" w:sz="0" w:space="0" w:color="auto"/>
        <w:left w:val="none" w:sz="0" w:space="0" w:color="auto"/>
        <w:bottom w:val="none" w:sz="0" w:space="0" w:color="auto"/>
        <w:right w:val="none" w:sz="0" w:space="0" w:color="auto"/>
      </w:divBdr>
    </w:div>
    <w:div w:id="1801604949">
      <w:bodyDiv w:val="1"/>
      <w:marLeft w:val="0"/>
      <w:marRight w:val="0"/>
      <w:marTop w:val="0"/>
      <w:marBottom w:val="0"/>
      <w:divBdr>
        <w:top w:val="none" w:sz="0" w:space="0" w:color="auto"/>
        <w:left w:val="none" w:sz="0" w:space="0" w:color="auto"/>
        <w:bottom w:val="none" w:sz="0" w:space="0" w:color="auto"/>
        <w:right w:val="none" w:sz="0" w:space="0" w:color="auto"/>
      </w:divBdr>
    </w:div>
    <w:div w:id="1801607756">
      <w:bodyDiv w:val="1"/>
      <w:marLeft w:val="0"/>
      <w:marRight w:val="0"/>
      <w:marTop w:val="0"/>
      <w:marBottom w:val="0"/>
      <w:divBdr>
        <w:top w:val="none" w:sz="0" w:space="0" w:color="auto"/>
        <w:left w:val="none" w:sz="0" w:space="0" w:color="auto"/>
        <w:bottom w:val="none" w:sz="0" w:space="0" w:color="auto"/>
        <w:right w:val="none" w:sz="0" w:space="0" w:color="auto"/>
      </w:divBdr>
    </w:div>
    <w:div w:id="1801798695">
      <w:bodyDiv w:val="1"/>
      <w:marLeft w:val="0"/>
      <w:marRight w:val="0"/>
      <w:marTop w:val="0"/>
      <w:marBottom w:val="0"/>
      <w:divBdr>
        <w:top w:val="none" w:sz="0" w:space="0" w:color="auto"/>
        <w:left w:val="none" w:sz="0" w:space="0" w:color="auto"/>
        <w:bottom w:val="none" w:sz="0" w:space="0" w:color="auto"/>
        <w:right w:val="none" w:sz="0" w:space="0" w:color="auto"/>
      </w:divBdr>
    </w:div>
    <w:div w:id="1802109549">
      <w:bodyDiv w:val="1"/>
      <w:marLeft w:val="0"/>
      <w:marRight w:val="0"/>
      <w:marTop w:val="0"/>
      <w:marBottom w:val="0"/>
      <w:divBdr>
        <w:top w:val="none" w:sz="0" w:space="0" w:color="auto"/>
        <w:left w:val="none" w:sz="0" w:space="0" w:color="auto"/>
        <w:bottom w:val="none" w:sz="0" w:space="0" w:color="auto"/>
        <w:right w:val="none" w:sz="0" w:space="0" w:color="auto"/>
      </w:divBdr>
    </w:div>
    <w:div w:id="1802113575">
      <w:bodyDiv w:val="1"/>
      <w:marLeft w:val="0"/>
      <w:marRight w:val="0"/>
      <w:marTop w:val="0"/>
      <w:marBottom w:val="0"/>
      <w:divBdr>
        <w:top w:val="none" w:sz="0" w:space="0" w:color="auto"/>
        <w:left w:val="none" w:sz="0" w:space="0" w:color="auto"/>
        <w:bottom w:val="none" w:sz="0" w:space="0" w:color="auto"/>
        <w:right w:val="none" w:sz="0" w:space="0" w:color="auto"/>
      </w:divBdr>
    </w:div>
    <w:div w:id="1802766398">
      <w:bodyDiv w:val="1"/>
      <w:marLeft w:val="0"/>
      <w:marRight w:val="0"/>
      <w:marTop w:val="0"/>
      <w:marBottom w:val="0"/>
      <w:divBdr>
        <w:top w:val="none" w:sz="0" w:space="0" w:color="auto"/>
        <w:left w:val="none" w:sz="0" w:space="0" w:color="auto"/>
        <w:bottom w:val="none" w:sz="0" w:space="0" w:color="auto"/>
        <w:right w:val="none" w:sz="0" w:space="0" w:color="auto"/>
      </w:divBdr>
    </w:div>
    <w:div w:id="1802961610">
      <w:bodyDiv w:val="1"/>
      <w:marLeft w:val="0"/>
      <w:marRight w:val="0"/>
      <w:marTop w:val="0"/>
      <w:marBottom w:val="0"/>
      <w:divBdr>
        <w:top w:val="none" w:sz="0" w:space="0" w:color="auto"/>
        <w:left w:val="none" w:sz="0" w:space="0" w:color="auto"/>
        <w:bottom w:val="none" w:sz="0" w:space="0" w:color="auto"/>
        <w:right w:val="none" w:sz="0" w:space="0" w:color="auto"/>
      </w:divBdr>
    </w:div>
    <w:div w:id="1803109317">
      <w:bodyDiv w:val="1"/>
      <w:marLeft w:val="0"/>
      <w:marRight w:val="0"/>
      <w:marTop w:val="0"/>
      <w:marBottom w:val="0"/>
      <w:divBdr>
        <w:top w:val="none" w:sz="0" w:space="0" w:color="auto"/>
        <w:left w:val="none" w:sz="0" w:space="0" w:color="auto"/>
        <w:bottom w:val="none" w:sz="0" w:space="0" w:color="auto"/>
        <w:right w:val="none" w:sz="0" w:space="0" w:color="auto"/>
      </w:divBdr>
    </w:div>
    <w:div w:id="1803234090">
      <w:bodyDiv w:val="1"/>
      <w:marLeft w:val="0"/>
      <w:marRight w:val="0"/>
      <w:marTop w:val="0"/>
      <w:marBottom w:val="0"/>
      <w:divBdr>
        <w:top w:val="none" w:sz="0" w:space="0" w:color="auto"/>
        <w:left w:val="none" w:sz="0" w:space="0" w:color="auto"/>
        <w:bottom w:val="none" w:sz="0" w:space="0" w:color="auto"/>
        <w:right w:val="none" w:sz="0" w:space="0" w:color="auto"/>
      </w:divBdr>
    </w:div>
    <w:div w:id="1803425680">
      <w:bodyDiv w:val="1"/>
      <w:marLeft w:val="0"/>
      <w:marRight w:val="0"/>
      <w:marTop w:val="0"/>
      <w:marBottom w:val="0"/>
      <w:divBdr>
        <w:top w:val="none" w:sz="0" w:space="0" w:color="auto"/>
        <w:left w:val="none" w:sz="0" w:space="0" w:color="auto"/>
        <w:bottom w:val="none" w:sz="0" w:space="0" w:color="auto"/>
        <w:right w:val="none" w:sz="0" w:space="0" w:color="auto"/>
      </w:divBdr>
    </w:div>
    <w:div w:id="1803500470">
      <w:bodyDiv w:val="1"/>
      <w:marLeft w:val="0"/>
      <w:marRight w:val="0"/>
      <w:marTop w:val="0"/>
      <w:marBottom w:val="0"/>
      <w:divBdr>
        <w:top w:val="none" w:sz="0" w:space="0" w:color="auto"/>
        <w:left w:val="none" w:sz="0" w:space="0" w:color="auto"/>
        <w:bottom w:val="none" w:sz="0" w:space="0" w:color="auto"/>
        <w:right w:val="none" w:sz="0" w:space="0" w:color="auto"/>
      </w:divBdr>
    </w:div>
    <w:div w:id="1803690367">
      <w:bodyDiv w:val="1"/>
      <w:marLeft w:val="0"/>
      <w:marRight w:val="0"/>
      <w:marTop w:val="0"/>
      <w:marBottom w:val="0"/>
      <w:divBdr>
        <w:top w:val="none" w:sz="0" w:space="0" w:color="auto"/>
        <w:left w:val="none" w:sz="0" w:space="0" w:color="auto"/>
        <w:bottom w:val="none" w:sz="0" w:space="0" w:color="auto"/>
        <w:right w:val="none" w:sz="0" w:space="0" w:color="auto"/>
      </w:divBdr>
    </w:div>
    <w:div w:id="1803841162">
      <w:bodyDiv w:val="1"/>
      <w:marLeft w:val="0"/>
      <w:marRight w:val="0"/>
      <w:marTop w:val="0"/>
      <w:marBottom w:val="0"/>
      <w:divBdr>
        <w:top w:val="none" w:sz="0" w:space="0" w:color="auto"/>
        <w:left w:val="none" w:sz="0" w:space="0" w:color="auto"/>
        <w:bottom w:val="none" w:sz="0" w:space="0" w:color="auto"/>
        <w:right w:val="none" w:sz="0" w:space="0" w:color="auto"/>
      </w:divBdr>
    </w:div>
    <w:div w:id="1804079050">
      <w:bodyDiv w:val="1"/>
      <w:marLeft w:val="0"/>
      <w:marRight w:val="0"/>
      <w:marTop w:val="0"/>
      <w:marBottom w:val="0"/>
      <w:divBdr>
        <w:top w:val="none" w:sz="0" w:space="0" w:color="auto"/>
        <w:left w:val="none" w:sz="0" w:space="0" w:color="auto"/>
        <w:bottom w:val="none" w:sz="0" w:space="0" w:color="auto"/>
        <w:right w:val="none" w:sz="0" w:space="0" w:color="auto"/>
      </w:divBdr>
    </w:div>
    <w:div w:id="1804232748">
      <w:bodyDiv w:val="1"/>
      <w:marLeft w:val="0"/>
      <w:marRight w:val="0"/>
      <w:marTop w:val="0"/>
      <w:marBottom w:val="0"/>
      <w:divBdr>
        <w:top w:val="none" w:sz="0" w:space="0" w:color="auto"/>
        <w:left w:val="none" w:sz="0" w:space="0" w:color="auto"/>
        <w:bottom w:val="none" w:sz="0" w:space="0" w:color="auto"/>
        <w:right w:val="none" w:sz="0" w:space="0" w:color="auto"/>
      </w:divBdr>
    </w:div>
    <w:div w:id="1804345590">
      <w:bodyDiv w:val="1"/>
      <w:marLeft w:val="0"/>
      <w:marRight w:val="0"/>
      <w:marTop w:val="0"/>
      <w:marBottom w:val="0"/>
      <w:divBdr>
        <w:top w:val="none" w:sz="0" w:space="0" w:color="auto"/>
        <w:left w:val="none" w:sz="0" w:space="0" w:color="auto"/>
        <w:bottom w:val="none" w:sz="0" w:space="0" w:color="auto"/>
        <w:right w:val="none" w:sz="0" w:space="0" w:color="auto"/>
      </w:divBdr>
    </w:div>
    <w:div w:id="1804497922">
      <w:bodyDiv w:val="1"/>
      <w:marLeft w:val="0"/>
      <w:marRight w:val="0"/>
      <w:marTop w:val="0"/>
      <w:marBottom w:val="0"/>
      <w:divBdr>
        <w:top w:val="none" w:sz="0" w:space="0" w:color="auto"/>
        <w:left w:val="none" w:sz="0" w:space="0" w:color="auto"/>
        <w:bottom w:val="none" w:sz="0" w:space="0" w:color="auto"/>
        <w:right w:val="none" w:sz="0" w:space="0" w:color="auto"/>
      </w:divBdr>
    </w:div>
    <w:div w:id="1804620173">
      <w:bodyDiv w:val="1"/>
      <w:marLeft w:val="0"/>
      <w:marRight w:val="0"/>
      <w:marTop w:val="0"/>
      <w:marBottom w:val="0"/>
      <w:divBdr>
        <w:top w:val="none" w:sz="0" w:space="0" w:color="auto"/>
        <w:left w:val="none" w:sz="0" w:space="0" w:color="auto"/>
        <w:bottom w:val="none" w:sz="0" w:space="0" w:color="auto"/>
        <w:right w:val="none" w:sz="0" w:space="0" w:color="auto"/>
      </w:divBdr>
    </w:div>
    <w:div w:id="1804690302">
      <w:bodyDiv w:val="1"/>
      <w:marLeft w:val="0"/>
      <w:marRight w:val="0"/>
      <w:marTop w:val="0"/>
      <w:marBottom w:val="0"/>
      <w:divBdr>
        <w:top w:val="none" w:sz="0" w:space="0" w:color="auto"/>
        <w:left w:val="none" w:sz="0" w:space="0" w:color="auto"/>
        <w:bottom w:val="none" w:sz="0" w:space="0" w:color="auto"/>
        <w:right w:val="none" w:sz="0" w:space="0" w:color="auto"/>
      </w:divBdr>
    </w:div>
    <w:div w:id="1805073488">
      <w:bodyDiv w:val="1"/>
      <w:marLeft w:val="0"/>
      <w:marRight w:val="0"/>
      <w:marTop w:val="0"/>
      <w:marBottom w:val="0"/>
      <w:divBdr>
        <w:top w:val="none" w:sz="0" w:space="0" w:color="auto"/>
        <w:left w:val="none" w:sz="0" w:space="0" w:color="auto"/>
        <w:bottom w:val="none" w:sz="0" w:space="0" w:color="auto"/>
        <w:right w:val="none" w:sz="0" w:space="0" w:color="auto"/>
      </w:divBdr>
    </w:div>
    <w:div w:id="1805654821">
      <w:bodyDiv w:val="1"/>
      <w:marLeft w:val="0"/>
      <w:marRight w:val="0"/>
      <w:marTop w:val="0"/>
      <w:marBottom w:val="0"/>
      <w:divBdr>
        <w:top w:val="none" w:sz="0" w:space="0" w:color="auto"/>
        <w:left w:val="none" w:sz="0" w:space="0" w:color="auto"/>
        <w:bottom w:val="none" w:sz="0" w:space="0" w:color="auto"/>
        <w:right w:val="none" w:sz="0" w:space="0" w:color="auto"/>
      </w:divBdr>
    </w:div>
    <w:div w:id="1805925027">
      <w:bodyDiv w:val="1"/>
      <w:marLeft w:val="0"/>
      <w:marRight w:val="0"/>
      <w:marTop w:val="0"/>
      <w:marBottom w:val="0"/>
      <w:divBdr>
        <w:top w:val="none" w:sz="0" w:space="0" w:color="auto"/>
        <w:left w:val="none" w:sz="0" w:space="0" w:color="auto"/>
        <w:bottom w:val="none" w:sz="0" w:space="0" w:color="auto"/>
        <w:right w:val="none" w:sz="0" w:space="0" w:color="auto"/>
      </w:divBdr>
    </w:div>
    <w:div w:id="1806119052">
      <w:bodyDiv w:val="1"/>
      <w:marLeft w:val="0"/>
      <w:marRight w:val="0"/>
      <w:marTop w:val="0"/>
      <w:marBottom w:val="0"/>
      <w:divBdr>
        <w:top w:val="none" w:sz="0" w:space="0" w:color="auto"/>
        <w:left w:val="none" w:sz="0" w:space="0" w:color="auto"/>
        <w:bottom w:val="none" w:sz="0" w:space="0" w:color="auto"/>
        <w:right w:val="none" w:sz="0" w:space="0" w:color="auto"/>
      </w:divBdr>
    </w:div>
    <w:div w:id="1806194321">
      <w:bodyDiv w:val="1"/>
      <w:marLeft w:val="0"/>
      <w:marRight w:val="0"/>
      <w:marTop w:val="0"/>
      <w:marBottom w:val="0"/>
      <w:divBdr>
        <w:top w:val="none" w:sz="0" w:space="0" w:color="auto"/>
        <w:left w:val="none" w:sz="0" w:space="0" w:color="auto"/>
        <w:bottom w:val="none" w:sz="0" w:space="0" w:color="auto"/>
        <w:right w:val="none" w:sz="0" w:space="0" w:color="auto"/>
      </w:divBdr>
    </w:div>
    <w:div w:id="1806267895">
      <w:bodyDiv w:val="1"/>
      <w:marLeft w:val="0"/>
      <w:marRight w:val="0"/>
      <w:marTop w:val="0"/>
      <w:marBottom w:val="0"/>
      <w:divBdr>
        <w:top w:val="none" w:sz="0" w:space="0" w:color="auto"/>
        <w:left w:val="none" w:sz="0" w:space="0" w:color="auto"/>
        <w:bottom w:val="none" w:sz="0" w:space="0" w:color="auto"/>
        <w:right w:val="none" w:sz="0" w:space="0" w:color="auto"/>
      </w:divBdr>
    </w:div>
    <w:div w:id="1806847795">
      <w:bodyDiv w:val="1"/>
      <w:marLeft w:val="0"/>
      <w:marRight w:val="0"/>
      <w:marTop w:val="0"/>
      <w:marBottom w:val="0"/>
      <w:divBdr>
        <w:top w:val="none" w:sz="0" w:space="0" w:color="auto"/>
        <w:left w:val="none" w:sz="0" w:space="0" w:color="auto"/>
        <w:bottom w:val="none" w:sz="0" w:space="0" w:color="auto"/>
        <w:right w:val="none" w:sz="0" w:space="0" w:color="auto"/>
      </w:divBdr>
    </w:div>
    <w:div w:id="1807041037">
      <w:bodyDiv w:val="1"/>
      <w:marLeft w:val="0"/>
      <w:marRight w:val="0"/>
      <w:marTop w:val="0"/>
      <w:marBottom w:val="0"/>
      <w:divBdr>
        <w:top w:val="none" w:sz="0" w:space="0" w:color="auto"/>
        <w:left w:val="none" w:sz="0" w:space="0" w:color="auto"/>
        <w:bottom w:val="none" w:sz="0" w:space="0" w:color="auto"/>
        <w:right w:val="none" w:sz="0" w:space="0" w:color="auto"/>
      </w:divBdr>
    </w:div>
    <w:div w:id="1807116501">
      <w:bodyDiv w:val="1"/>
      <w:marLeft w:val="0"/>
      <w:marRight w:val="0"/>
      <w:marTop w:val="0"/>
      <w:marBottom w:val="0"/>
      <w:divBdr>
        <w:top w:val="none" w:sz="0" w:space="0" w:color="auto"/>
        <w:left w:val="none" w:sz="0" w:space="0" w:color="auto"/>
        <w:bottom w:val="none" w:sz="0" w:space="0" w:color="auto"/>
        <w:right w:val="none" w:sz="0" w:space="0" w:color="auto"/>
      </w:divBdr>
    </w:div>
    <w:div w:id="1807119156">
      <w:bodyDiv w:val="1"/>
      <w:marLeft w:val="0"/>
      <w:marRight w:val="0"/>
      <w:marTop w:val="0"/>
      <w:marBottom w:val="0"/>
      <w:divBdr>
        <w:top w:val="none" w:sz="0" w:space="0" w:color="auto"/>
        <w:left w:val="none" w:sz="0" w:space="0" w:color="auto"/>
        <w:bottom w:val="none" w:sz="0" w:space="0" w:color="auto"/>
        <w:right w:val="none" w:sz="0" w:space="0" w:color="auto"/>
      </w:divBdr>
    </w:div>
    <w:div w:id="1807501421">
      <w:bodyDiv w:val="1"/>
      <w:marLeft w:val="0"/>
      <w:marRight w:val="0"/>
      <w:marTop w:val="0"/>
      <w:marBottom w:val="0"/>
      <w:divBdr>
        <w:top w:val="none" w:sz="0" w:space="0" w:color="auto"/>
        <w:left w:val="none" w:sz="0" w:space="0" w:color="auto"/>
        <w:bottom w:val="none" w:sz="0" w:space="0" w:color="auto"/>
        <w:right w:val="none" w:sz="0" w:space="0" w:color="auto"/>
      </w:divBdr>
    </w:div>
    <w:div w:id="1807820325">
      <w:bodyDiv w:val="1"/>
      <w:marLeft w:val="0"/>
      <w:marRight w:val="0"/>
      <w:marTop w:val="0"/>
      <w:marBottom w:val="0"/>
      <w:divBdr>
        <w:top w:val="none" w:sz="0" w:space="0" w:color="auto"/>
        <w:left w:val="none" w:sz="0" w:space="0" w:color="auto"/>
        <w:bottom w:val="none" w:sz="0" w:space="0" w:color="auto"/>
        <w:right w:val="none" w:sz="0" w:space="0" w:color="auto"/>
      </w:divBdr>
    </w:div>
    <w:div w:id="1808358289">
      <w:bodyDiv w:val="1"/>
      <w:marLeft w:val="0"/>
      <w:marRight w:val="0"/>
      <w:marTop w:val="0"/>
      <w:marBottom w:val="0"/>
      <w:divBdr>
        <w:top w:val="none" w:sz="0" w:space="0" w:color="auto"/>
        <w:left w:val="none" w:sz="0" w:space="0" w:color="auto"/>
        <w:bottom w:val="none" w:sz="0" w:space="0" w:color="auto"/>
        <w:right w:val="none" w:sz="0" w:space="0" w:color="auto"/>
      </w:divBdr>
    </w:div>
    <w:div w:id="1808859633">
      <w:bodyDiv w:val="1"/>
      <w:marLeft w:val="0"/>
      <w:marRight w:val="0"/>
      <w:marTop w:val="0"/>
      <w:marBottom w:val="0"/>
      <w:divBdr>
        <w:top w:val="none" w:sz="0" w:space="0" w:color="auto"/>
        <w:left w:val="none" w:sz="0" w:space="0" w:color="auto"/>
        <w:bottom w:val="none" w:sz="0" w:space="0" w:color="auto"/>
        <w:right w:val="none" w:sz="0" w:space="0" w:color="auto"/>
      </w:divBdr>
    </w:div>
    <w:div w:id="1808931130">
      <w:bodyDiv w:val="1"/>
      <w:marLeft w:val="0"/>
      <w:marRight w:val="0"/>
      <w:marTop w:val="0"/>
      <w:marBottom w:val="0"/>
      <w:divBdr>
        <w:top w:val="none" w:sz="0" w:space="0" w:color="auto"/>
        <w:left w:val="none" w:sz="0" w:space="0" w:color="auto"/>
        <w:bottom w:val="none" w:sz="0" w:space="0" w:color="auto"/>
        <w:right w:val="none" w:sz="0" w:space="0" w:color="auto"/>
      </w:divBdr>
    </w:div>
    <w:div w:id="1809392491">
      <w:bodyDiv w:val="1"/>
      <w:marLeft w:val="0"/>
      <w:marRight w:val="0"/>
      <w:marTop w:val="0"/>
      <w:marBottom w:val="0"/>
      <w:divBdr>
        <w:top w:val="none" w:sz="0" w:space="0" w:color="auto"/>
        <w:left w:val="none" w:sz="0" w:space="0" w:color="auto"/>
        <w:bottom w:val="none" w:sz="0" w:space="0" w:color="auto"/>
        <w:right w:val="none" w:sz="0" w:space="0" w:color="auto"/>
      </w:divBdr>
    </w:div>
    <w:div w:id="1809468343">
      <w:bodyDiv w:val="1"/>
      <w:marLeft w:val="0"/>
      <w:marRight w:val="0"/>
      <w:marTop w:val="0"/>
      <w:marBottom w:val="0"/>
      <w:divBdr>
        <w:top w:val="none" w:sz="0" w:space="0" w:color="auto"/>
        <w:left w:val="none" w:sz="0" w:space="0" w:color="auto"/>
        <w:bottom w:val="none" w:sz="0" w:space="0" w:color="auto"/>
        <w:right w:val="none" w:sz="0" w:space="0" w:color="auto"/>
      </w:divBdr>
    </w:div>
    <w:div w:id="1809665839">
      <w:bodyDiv w:val="1"/>
      <w:marLeft w:val="0"/>
      <w:marRight w:val="0"/>
      <w:marTop w:val="0"/>
      <w:marBottom w:val="0"/>
      <w:divBdr>
        <w:top w:val="none" w:sz="0" w:space="0" w:color="auto"/>
        <w:left w:val="none" w:sz="0" w:space="0" w:color="auto"/>
        <w:bottom w:val="none" w:sz="0" w:space="0" w:color="auto"/>
        <w:right w:val="none" w:sz="0" w:space="0" w:color="auto"/>
      </w:divBdr>
    </w:div>
    <w:div w:id="1809737514">
      <w:bodyDiv w:val="1"/>
      <w:marLeft w:val="0"/>
      <w:marRight w:val="0"/>
      <w:marTop w:val="0"/>
      <w:marBottom w:val="0"/>
      <w:divBdr>
        <w:top w:val="none" w:sz="0" w:space="0" w:color="auto"/>
        <w:left w:val="none" w:sz="0" w:space="0" w:color="auto"/>
        <w:bottom w:val="none" w:sz="0" w:space="0" w:color="auto"/>
        <w:right w:val="none" w:sz="0" w:space="0" w:color="auto"/>
      </w:divBdr>
    </w:div>
    <w:div w:id="1809853975">
      <w:bodyDiv w:val="1"/>
      <w:marLeft w:val="0"/>
      <w:marRight w:val="0"/>
      <w:marTop w:val="0"/>
      <w:marBottom w:val="0"/>
      <w:divBdr>
        <w:top w:val="none" w:sz="0" w:space="0" w:color="auto"/>
        <w:left w:val="none" w:sz="0" w:space="0" w:color="auto"/>
        <w:bottom w:val="none" w:sz="0" w:space="0" w:color="auto"/>
        <w:right w:val="none" w:sz="0" w:space="0" w:color="auto"/>
      </w:divBdr>
    </w:div>
    <w:div w:id="1810128907">
      <w:bodyDiv w:val="1"/>
      <w:marLeft w:val="0"/>
      <w:marRight w:val="0"/>
      <w:marTop w:val="0"/>
      <w:marBottom w:val="0"/>
      <w:divBdr>
        <w:top w:val="none" w:sz="0" w:space="0" w:color="auto"/>
        <w:left w:val="none" w:sz="0" w:space="0" w:color="auto"/>
        <w:bottom w:val="none" w:sz="0" w:space="0" w:color="auto"/>
        <w:right w:val="none" w:sz="0" w:space="0" w:color="auto"/>
      </w:divBdr>
    </w:div>
    <w:div w:id="1810128922">
      <w:bodyDiv w:val="1"/>
      <w:marLeft w:val="0"/>
      <w:marRight w:val="0"/>
      <w:marTop w:val="0"/>
      <w:marBottom w:val="0"/>
      <w:divBdr>
        <w:top w:val="none" w:sz="0" w:space="0" w:color="auto"/>
        <w:left w:val="none" w:sz="0" w:space="0" w:color="auto"/>
        <w:bottom w:val="none" w:sz="0" w:space="0" w:color="auto"/>
        <w:right w:val="none" w:sz="0" w:space="0" w:color="auto"/>
      </w:divBdr>
    </w:div>
    <w:div w:id="1810243516">
      <w:bodyDiv w:val="1"/>
      <w:marLeft w:val="0"/>
      <w:marRight w:val="0"/>
      <w:marTop w:val="0"/>
      <w:marBottom w:val="0"/>
      <w:divBdr>
        <w:top w:val="none" w:sz="0" w:space="0" w:color="auto"/>
        <w:left w:val="none" w:sz="0" w:space="0" w:color="auto"/>
        <w:bottom w:val="none" w:sz="0" w:space="0" w:color="auto"/>
        <w:right w:val="none" w:sz="0" w:space="0" w:color="auto"/>
      </w:divBdr>
    </w:div>
    <w:div w:id="1810896092">
      <w:bodyDiv w:val="1"/>
      <w:marLeft w:val="0"/>
      <w:marRight w:val="0"/>
      <w:marTop w:val="0"/>
      <w:marBottom w:val="0"/>
      <w:divBdr>
        <w:top w:val="none" w:sz="0" w:space="0" w:color="auto"/>
        <w:left w:val="none" w:sz="0" w:space="0" w:color="auto"/>
        <w:bottom w:val="none" w:sz="0" w:space="0" w:color="auto"/>
        <w:right w:val="none" w:sz="0" w:space="0" w:color="auto"/>
      </w:divBdr>
    </w:div>
    <w:div w:id="1811089307">
      <w:bodyDiv w:val="1"/>
      <w:marLeft w:val="0"/>
      <w:marRight w:val="0"/>
      <w:marTop w:val="0"/>
      <w:marBottom w:val="0"/>
      <w:divBdr>
        <w:top w:val="none" w:sz="0" w:space="0" w:color="auto"/>
        <w:left w:val="none" w:sz="0" w:space="0" w:color="auto"/>
        <w:bottom w:val="none" w:sz="0" w:space="0" w:color="auto"/>
        <w:right w:val="none" w:sz="0" w:space="0" w:color="auto"/>
      </w:divBdr>
    </w:div>
    <w:div w:id="1811432845">
      <w:bodyDiv w:val="1"/>
      <w:marLeft w:val="0"/>
      <w:marRight w:val="0"/>
      <w:marTop w:val="0"/>
      <w:marBottom w:val="0"/>
      <w:divBdr>
        <w:top w:val="none" w:sz="0" w:space="0" w:color="auto"/>
        <w:left w:val="none" w:sz="0" w:space="0" w:color="auto"/>
        <w:bottom w:val="none" w:sz="0" w:space="0" w:color="auto"/>
        <w:right w:val="none" w:sz="0" w:space="0" w:color="auto"/>
      </w:divBdr>
    </w:div>
    <w:div w:id="1812668293">
      <w:bodyDiv w:val="1"/>
      <w:marLeft w:val="0"/>
      <w:marRight w:val="0"/>
      <w:marTop w:val="0"/>
      <w:marBottom w:val="0"/>
      <w:divBdr>
        <w:top w:val="none" w:sz="0" w:space="0" w:color="auto"/>
        <w:left w:val="none" w:sz="0" w:space="0" w:color="auto"/>
        <w:bottom w:val="none" w:sz="0" w:space="0" w:color="auto"/>
        <w:right w:val="none" w:sz="0" w:space="0" w:color="auto"/>
      </w:divBdr>
    </w:div>
    <w:div w:id="1812676901">
      <w:bodyDiv w:val="1"/>
      <w:marLeft w:val="0"/>
      <w:marRight w:val="0"/>
      <w:marTop w:val="0"/>
      <w:marBottom w:val="0"/>
      <w:divBdr>
        <w:top w:val="none" w:sz="0" w:space="0" w:color="auto"/>
        <w:left w:val="none" w:sz="0" w:space="0" w:color="auto"/>
        <w:bottom w:val="none" w:sz="0" w:space="0" w:color="auto"/>
        <w:right w:val="none" w:sz="0" w:space="0" w:color="auto"/>
      </w:divBdr>
    </w:div>
    <w:div w:id="1812746060">
      <w:bodyDiv w:val="1"/>
      <w:marLeft w:val="0"/>
      <w:marRight w:val="0"/>
      <w:marTop w:val="0"/>
      <w:marBottom w:val="0"/>
      <w:divBdr>
        <w:top w:val="none" w:sz="0" w:space="0" w:color="auto"/>
        <w:left w:val="none" w:sz="0" w:space="0" w:color="auto"/>
        <w:bottom w:val="none" w:sz="0" w:space="0" w:color="auto"/>
        <w:right w:val="none" w:sz="0" w:space="0" w:color="auto"/>
      </w:divBdr>
    </w:div>
    <w:div w:id="1812937935">
      <w:bodyDiv w:val="1"/>
      <w:marLeft w:val="0"/>
      <w:marRight w:val="0"/>
      <w:marTop w:val="0"/>
      <w:marBottom w:val="0"/>
      <w:divBdr>
        <w:top w:val="none" w:sz="0" w:space="0" w:color="auto"/>
        <w:left w:val="none" w:sz="0" w:space="0" w:color="auto"/>
        <w:bottom w:val="none" w:sz="0" w:space="0" w:color="auto"/>
        <w:right w:val="none" w:sz="0" w:space="0" w:color="auto"/>
      </w:divBdr>
    </w:div>
    <w:div w:id="1813014804">
      <w:bodyDiv w:val="1"/>
      <w:marLeft w:val="0"/>
      <w:marRight w:val="0"/>
      <w:marTop w:val="0"/>
      <w:marBottom w:val="0"/>
      <w:divBdr>
        <w:top w:val="none" w:sz="0" w:space="0" w:color="auto"/>
        <w:left w:val="none" w:sz="0" w:space="0" w:color="auto"/>
        <w:bottom w:val="none" w:sz="0" w:space="0" w:color="auto"/>
        <w:right w:val="none" w:sz="0" w:space="0" w:color="auto"/>
      </w:divBdr>
    </w:div>
    <w:div w:id="1813138215">
      <w:bodyDiv w:val="1"/>
      <w:marLeft w:val="0"/>
      <w:marRight w:val="0"/>
      <w:marTop w:val="0"/>
      <w:marBottom w:val="0"/>
      <w:divBdr>
        <w:top w:val="none" w:sz="0" w:space="0" w:color="auto"/>
        <w:left w:val="none" w:sz="0" w:space="0" w:color="auto"/>
        <w:bottom w:val="none" w:sz="0" w:space="0" w:color="auto"/>
        <w:right w:val="none" w:sz="0" w:space="0" w:color="auto"/>
      </w:divBdr>
    </w:div>
    <w:div w:id="1813523411">
      <w:bodyDiv w:val="1"/>
      <w:marLeft w:val="0"/>
      <w:marRight w:val="0"/>
      <w:marTop w:val="0"/>
      <w:marBottom w:val="0"/>
      <w:divBdr>
        <w:top w:val="none" w:sz="0" w:space="0" w:color="auto"/>
        <w:left w:val="none" w:sz="0" w:space="0" w:color="auto"/>
        <w:bottom w:val="none" w:sz="0" w:space="0" w:color="auto"/>
        <w:right w:val="none" w:sz="0" w:space="0" w:color="auto"/>
      </w:divBdr>
    </w:div>
    <w:div w:id="1813936633">
      <w:bodyDiv w:val="1"/>
      <w:marLeft w:val="0"/>
      <w:marRight w:val="0"/>
      <w:marTop w:val="0"/>
      <w:marBottom w:val="0"/>
      <w:divBdr>
        <w:top w:val="none" w:sz="0" w:space="0" w:color="auto"/>
        <w:left w:val="none" w:sz="0" w:space="0" w:color="auto"/>
        <w:bottom w:val="none" w:sz="0" w:space="0" w:color="auto"/>
        <w:right w:val="none" w:sz="0" w:space="0" w:color="auto"/>
      </w:divBdr>
    </w:div>
    <w:div w:id="1814177662">
      <w:bodyDiv w:val="1"/>
      <w:marLeft w:val="0"/>
      <w:marRight w:val="0"/>
      <w:marTop w:val="0"/>
      <w:marBottom w:val="0"/>
      <w:divBdr>
        <w:top w:val="none" w:sz="0" w:space="0" w:color="auto"/>
        <w:left w:val="none" w:sz="0" w:space="0" w:color="auto"/>
        <w:bottom w:val="none" w:sz="0" w:space="0" w:color="auto"/>
        <w:right w:val="none" w:sz="0" w:space="0" w:color="auto"/>
      </w:divBdr>
    </w:div>
    <w:div w:id="1814178523">
      <w:bodyDiv w:val="1"/>
      <w:marLeft w:val="0"/>
      <w:marRight w:val="0"/>
      <w:marTop w:val="0"/>
      <w:marBottom w:val="0"/>
      <w:divBdr>
        <w:top w:val="none" w:sz="0" w:space="0" w:color="auto"/>
        <w:left w:val="none" w:sz="0" w:space="0" w:color="auto"/>
        <w:bottom w:val="none" w:sz="0" w:space="0" w:color="auto"/>
        <w:right w:val="none" w:sz="0" w:space="0" w:color="auto"/>
      </w:divBdr>
    </w:div>
    <w:div w:id="1814179766">
      <w:bodyDiv w:val="1"/>
      <w:marLeft w:val="0"/>
      <w:marRight w:val="0"/>
      <w:marTop w:val="0"/>
      <w:marBottom w:val="0"/>
      <w:divBdr>
        <w:top w:val="none" w:sz="0" w:space="0" w:color="auto"/>
        <w:left w:val="none" w:sz="0" w:space="0" w:color="auto"/>
        <w:bottom w:val="none" w:sz="0" w:space="0" w:color="auto"/>
        <w:right w:val="none" w:sz="0" w:space="0" w:color="auto"/>
      </w:divBdr>
    </w:div>
    <w:div w:id="1814256099">
      <w:bodyDiv w:val="1"/>
      <w:marLeft w:val="0"/>
      <w:marRight w:val="0"/>
      <w:marTop w:val="0"/>
      <w:marBottom w:val="0"/>
      <w:divBdr>
        <w:top w:val="none" w:sz="0" w:space="0" w:color="auto"/>
        <w:left w:val="none" w:sz="0" w:space="0" w:color="auto"/>
        <w:bottom w:val="none" w:sz="0" w:space="0" w:color="auto"/>
        <w:right w:val="none" w:sz="0" w:space="0" w:color="auto"/>
      </w:divBdr>
    </w:div>
    <w:div w:id="1814445431">
      <w:bodyDiv w:val="1"/>
      <w:marLeft w:val="0"/>
      <w:marRight w:val="0"/>
      <w:marTop w:val="0"/>
      <w:marBottom w:val="0"/>
      <w:divBdr>
        <w:top w:val="none" w:sz="0" w:space="0" w:color="auto"/>
        <w:left w:val="none" w:sz="0" w:space="0" w:color="auto"/>
        <w:bottom w:val="none" w:sz="0" w:space="0" w:color="auto"/>
        <w:right w:val="none" w:sz="0" w:space="0" w:color="auto"/>
      </w:divBdr>
    </w:div>
    <w:div w:id="1814565815">
      <w:bodyDiv w:val="1"/>
      <w:marLeft w:val="0"/>
      <w:marRight w:val="0"/>
      <w:marTop w:val="0"/>
      <w:marBottom w:val="0"/>
      <w:divBdr>
        <w:top w:val="none" w:sz="0" w:space="0" w:color="auto"/>
        <w:left w:val="none" w:sz="0" w:space="0" w:color="auto"/>
        <w:bottom w:val="none" w:sz="0" w:space="0" w:color="auto"/>
        <w:right w:val="none" w:sz="0" w:space="0" w:color="auto"/>
      </w:divBdr>
    </w:div>
    <w:div w:id="1814789899">
      <w:bodyDiv w:val="1"/>
      <w:marLeft w:val="0"/>
      <w:marRight w:val="0"/>
      <w:marTop w:val="0"/>
      <w:marBottom w:val="0"/>
      <w:divBdr>
        <w:top w:val="none" w:sz="0" w:space="0" w:color="auto"/>
        <w:left w:val="none" w:sz="0" w:space="0" w:color="auto"/>
        <w:bottom w:val="none" w:sz="0" w:space="0" w:color="auto"/>
        <w:right w:val="none" w:sz="0" w:space="0" w:color="auto"/>
      </w:divBdr>
    </w:div>
    <w:div w:id="1814829689">
      <w:bodyDiv w:val="1"/>
      <w:marLeft w:val="0"/>
      <w:marRight w:val="0"/>
      <w:marTop w:val="0"/>
      <w:marBottom w:val="0"/>
      <w:divBdr>
        <w:top w:val="none" w:sz="0" w:space="0" w:color="auto"/>
        <w:left w:val="none" w:sz="0" w:space="0" w:color="auto"/>
        <w:bottom w:val="none" w:sz="0" w:space="0" w:color="auto"/>
        <w:right w:val="none" w:sz="0" w:space="0" w:color="auto"/>
      </w:divBdr>
    </w:div>
    <w:div w:id="1815174691">
      <w:bodyDiv w:val="1"/>
      <w:marLeft w:val="0"/>
      <w:marRight w:val="0"/>
      <w:marTop w:val="0"/>
      <w:marBottom w:val="0"/>
      <w:divBdr>
        <w:top w:val="none" w:sz="0" w:space="0" w:color="auto"/>
        <w:left w:val="none" w:sz="0" w:space="0" w:color="auto"/>
        <w:bottom w:val="none" w:sz="0" w:space="0" w:color="auto"/>
        <w:right w:val="none" w:sz="0" w:space="0" w:color="auto"/>
      </w:divBdr>
    </w:div>
    <w:div w:id="1815222889">
      <w:bodyDiv w:val="1"/>
      <w:marLeft w:val="0"/>
      <w:marRight w:val="0"/>
      <w:marTop w:val="0"/>
      <w:marBottom w:val="0"/>
      <w:divBdr>
        <w:top w:val="none" w:sz="0" w:space="0" w:color="auto"/>
        <w:left w:val="none" w:sz="0" w:space="0" w:color="auto"/>
        <w:bottom w:val="none" w:sz="0" w:space="0" w:color="auto"/>
        <w:right w:val="none" w:sz="0" w:space="0" w:color="auto"/>
      </w:divBdr>
    </w:div>
    <w:div w:id="1815371831">
      <w:bodyDiv w:val="1"/>
      <w:marLeft w:val="0"/>
      <w:marRight w:val="0"/>
      <w:marTop w:val="0"/>
      <w:marBottom w:val="0"/>
      <w:divBdr>
        <w:top w:val="none" w:sz="0" w:space="0" w:color="auto"/>
        <w:left w:val="none" w:sz="0" w:space="0" w:color="auto"/>
        <w:bottom w:val="none" w:sz="0" w:space="0" w:color="auto"/>
        <w:right w:val="none" w:sz="0" w:space="0" w:color="auto"/>
      </w:divBdr>
    </w:div>
    <w:div w:id="1815443742">
      <w:bodyDiv w:val="1"/>
      <w:marLeft w:val="0"/>
      <w:marRight w:val="0"/>
      <w:marTop w:val="0"/>
      <w:marBottom w:val="0"/>
      <w:divBdr>
        <w:top w:val="none" w:sz="0" w:space="0" w:color="auto"/>
        <w:left w:val="none" w:sz="0" w:space="0" w:color="auto"/>
        <w:bottom w:val="none" w:sz="0" w:space="0" w:color="auto"/>
        <w:right w:val="none" w:sz="0" w:space="0" w:color="auto"/>
      </w:divBdr>
    </w:div>
    <w:div w:id="1815491479">
      <w:bodyDiv w:val="1"/>
      <w:marLeft w:val="0"/>
      <w:marRight w:val="0"/>
      <w:marTop w:val="0"/>
      <w:marBottom w:val="0"/>
      <w:divBdr>
        <w:top w:val="none" w:sz="0" w:space="0" w:color="auto"/>
        <w:left w:val="none" w:sz="0" w:space="0" w:color="auto"/>
        <w:bottom w:val="none" w:sz="0" w:space="0" w:color="auto"/>
        <w:right w:val="none" w:sz="0" w:space="0" w:color="auto"/>
      </w:divBdr>
    </w:div>
    <w:div w:id="1815835324">
      <w:bodyDiv w:val="1"/>
      <w:marLeft w:val="0"/>
      <w:marRight w:val="0"/>
      <w:marTop w:val="0"/>
      <w:marBottom w:val="0"/>
      <w:divBdr>
        <w:top w:val="none" w:sz="0" w:space="0" w:color="auto"/>
        <w:left w:val="none" w:sz="0" w:space="0" w:color="auto"/>
        <w:bottom w:val="none" w:sz="0" w:space="0" w:color="auto"/>
        <w:right w:val="none" w:sz="0" w:space="0" w:color="auto"/>
      </w:divBdr>
    </w:div>
    <w:div w:id="1815903633">
      <w:bodyDiv w:val="1"/>
      <w:marLeft w:val="0"/>
      <w:marRight w:val="0"/>
      <w:marTop w:val="0"/>
      <w:marBottom w:val="0"/>
      <w:divBdr>
        <w:top w:val="none" w:sz="0" w:space="0" w:color="auto"/>
        <w:left w:val="none" w:sz="0" w:space="0" w:color="auto"/>
        <w:bottom w:val="none" w:sz="0" w:space="0" w:color="auto"/>
        <w:right w:val="none" w:sz="0" w:space="0" w:color="auto"/>
      </w:divBdr>
    </w:div>
    <w:div w:id="1816408080">
      <w:bodyDiv w:val="1"/>
      <w:marLeft w:val="0"/>
      <w:marRight w:val="0"/>
      <w:marTop w:val="0"/>
      <w:marBottom w:val="0"/>
      <w:divBdr>
        <w:top w:val="none" w:sz="0" w:space="0" w:color="auto"/>
        <w:left w:val="none" w:sz="0" w:space="0" w:color="auto"/>
        <w:bottom w:val="none" w:sz="0" w:space="0" w:color="auto"/>
        <w:right w:val="none" w:sz="0" w:space="0" w:color="auto"/>
      </w:divBdr>
    </w:div>
    <w:div w:id="1816481474">
      <w:bodyDiv w:val="1"/>
      <w:marLeft w:val="0"/>
      <w:marRight w:val="0"/>
      <w:marTop w:val="0"/>
      <w:marBottom w:val="0"/>
      <w:divBdr>
        <w:top w:val="none" w:sz="0" w:space="0" w:color="auto"/>
        <w:left w:val="none" w:sz="0" w:space="0" w:color="auto"/>
        <w:bottom w:val="none" w:sz="0" w:space="0" w:color="auto"/>
        <w:right w:val="none" w:sz="0" w:space="0" w:color="auto"/>
      </w:divBdr>
    </w:div>
    <w:div w:id="1816676385">
      <w:bodyDiv w:val="1"/>
      <w:marLeft w:val="0"/>
      <w:marRight w:val="0"/>
      <w:marTop w:val="0"/>
      <w:marBottom w:val="0"/>
      <w:divBdr>
        <w:top w:val="none" w:sz="0" w:space="0" w:color="auto"/>
        <w:left w:val="none" w:sz="0" w:space="0" w:color="auto"/>
        <w:bottom w:val="none" w:sz="0" w:space="0" w:color="auto"/>
        <w:right w:val="none" w:sz="0" w:space="0" w:color="auto"/>
      </w:divBdr>
    </w:div>
    <w:div w:id="1816946514">
      <w:bodyDiv w:val="1"/>
      <w:marLeft w:val="0"/>
      <w:marRight w:val="0"/>
      <w:marTop w:val="0"/>
      <w:marBottom w:val="0"/>
      <w:divBdr>
        <w:top w:val="none" w:sz="0" w:space="0" w:color="auto"/>
        <w:left w:val="none" w:sz="0" w:space="0" w:color="auto"/>
        <w:bottom w:val="none" w:sz="0" w:space="0" w:color="auto"/>
        <w:right w:val="none" w:sz="0" w:space="0" w:color="auto"/>
      </w:divBdr>
    </w:div>
    <w:div w:id="1817800848">
      <w:bodyDiv w:val="1"/>
      <w:marLeft w:val="0"/>
      <w:marRight w:val="0"/>
      <w:marTop w:val="0"/>
      <w:marBottom w:val="0"/>
      <w:divBdr>
        <w:top w:val="none" w:sz="0" w:space="0" w:color="auto"/>
        <w:left w:val="none" w:sz="0" w:space="0" w:color="auto"/>
        <w:bottom w:val="none" w:sz="0" w:space="0" w:color="auto"/>
        <w:right w:val="none" w:sz="0" w:space="0" w:color="auto"/>
      </w:divBdr>
    </w:div>
    <w:div w:id="1818064642">
      <w:bodyDiv w:val="1"/>
      <w:marLeft w:val="0"/>
      <w:marRight w:val="0"/>
      <w:marTop w:val="0"/>
      <w:marBottom w:val="0"/>
      <w:divBdr>
        <w:top w:val="none" w:sz="0" w:space="0" w:color="auto"/>
        <w:left w:val="none" w:sz="0" w:space="0" w:color="auto"/>
        <w:bottom w:val="none" w:sz="0" w:space="0" w:color="auto"/>
        <w:right w:val="none" w:sz="0" w:space="0" w:color="auto"/>
      </w:divBdr>
    </w:div>
    <w:div w:id="1818691768">
      <w:bodyDiv w:val="1"/>
      <w:marLeft w:val="0"/>
      <w:marRight w:val="0"/>
      <w:marTop w:val="0"/>
      <w:marBottom w:val="0"/>
      <w:divBdr>
        <w:top w:val="none" w:sz="0" w:space="0" w:color="auto"/>
        <w:left w:val="none" w:sz="0" w:space="0" w:color="auto"/>
        <w:bottom w:val="none" w:sz="0" w:space="0" w:color="auto"/>
        <w:right w:val="none" w:sz="0" w:space="0" w:color="auto"/>
      </w:divBdr>
    </w:div>
    <w:div w:id="1818765446">
      <w:bodyDiv w:val="1"/>
      <w:marLeft w:val="0"/>
      <w:marRight w:val="0"/>
      <w:marTop w:val="0"/>
      <w:marBottom w:val="0"/>
      <w:divBdr>
        <w:top w:val="none" w:sz="0" w:space="0" w:color="auto"/>
        <w:left w:val="none" w:sz="0" w:space="0" w:color="auto"/>
        <w:bottom w:val="none" w:sz="0" w:space="0" w:color="auto"/>
        <w:right w:val="none" w:sz="0" w:space="0" w:color="auto"/>
      </w:divBdr>
    </w:div>
    <w:div w:id="1818954257">
      <w:bodyDiv w:val="1"/>
      <w:marLeft w:val="0"/>
      <w:marRight w:val="0"/>
      <w:marTop w:val="0"/>
      <w:marBottom w:val="0"/>
      <w:divBdr>
        <w:top w:val="none" w:sz="0" w:space="0" w:color="auto"/>
        <w:left w:val="none" w:sz="0" w:space="0" w:color="auto"/>
        <w:bottom w:val="none" w:sz="0" w:space="0" w:color="auto"/>
        <w:right w:val="none" w:sz="0" w:space="0" w:color="auto"/>
      </w:divBdr>
    </w:div>
    <w:div w:id="1819028585">
      <w:bodyDiv w:val="1"/>
      <w:marLeft w:val="0"/>
      <w:marRight w:val="0"/>
      <w:marTop w:val="0"/>
      <w:marBottom w:val="0"/>
      <w:divBdr>
        <w:top w:val="none" w:sz="0" w:space="0" w:color="auto"/>
        <w:left w:val="none" w:sz="0" w:space="0" w:color="auto"/>
        <w:bottom w:val="none" w:sz="0" w:space="0" w:color="auto"/>
        <w:right w:val="none" w:sz="0" w:space="0" w:color="auto"/>
      </w:divBdr>
    </w:div>
    <w:div w:id="1819150265">
      <w:bodyDiv w:val="1"/>
      <w:marLeft w:val="0"/>
      <w:marRight w:val="0"/>
      <w:marTop w:val="0"/>
      <w:marBottom w:val="0"/>
      <w:divBdr>
        <w:top w:val="none" w:sz="0" w:space="0" w:color="auto"/>
        <w:left w:val="none" w:sz="0" w:space="0" w:color="auto"/>
        <w:bottom w:val="none" w:sz="0" w:space="0" w:color="auto"/>
        <w:right w:val="none" w:sz="0" w:space="0" w:color="auto"/>
      </w:divBdr>
    </w:div>
    <w:div w:id="1819152566">
      <w:bodyDiv w:val="1"/>
      <w:marLeft w:val="0"/>
      <w:marRight w:val="0"/>
      <w:marTop w:val="0"/>
      <w:marBottom w:val="0"/>
      <w:divBdr>
        <w:top w:val="none" w:sz="0" w:space="0" w:color="auto"/>
        <w:left w:val="none" w:sz="0" w:space="0" w:color="auto"/>
        <w:bottom w:val="none" w:sz="0" w:space="0" w:color="auto"/>
        <w:right w:val="none" w:sz="0" w:space="0" w:color="auto"/>
      </w:divBdr>
    </w:div>
    <w:div w:id="1819220801">
      <w:bodyDiv w:val="1"/>
      <w:marLeft w:val="0"/>
      <w:marRight w:val="0"/>
      <w:marTop w:val="0"/>
      <w:marBottom w:val="0"/>
      <w:divBdr>
        <w:top w:val="none" w:sz="0" w:space="0" w:color="auto"/>
        <w:left w:val="none" w:sz="0" w:space="0" w:color="auto"/>
        <w:bottom w:val="none" w:sz="0" w:space="0" w:color="auto"/>
        <w:right w:val="none" w:sz="0" w:space="0" w:color="auto"/>
      </w:divBdr>
    </w:div>
    <w:div w:id="1819346531">
      <w:bodyDiv w:val="1"/>
      <w:marLeft w:val="0"/>
      <w:marRight w:val="0"/>
      <w:marTop w:val="0"/>
      <w:marBottom w:val="0"/>
      <w:divBdr>
        <w:top w:val="none" w:sz="0" w:space="0" w:color="auto"/>
        <w:left w:val="none" w:sz="0" w:space="0" w:color="auto"/>
        <w:bottom w:val="none" w:sz="0" w:space="0" w:color="auto"/>
        <w:right w:val="none" w:sz="0" w:space="0" w:color="auto"/>
      </w:divBdr>
    </w:div>
    <w:div w:id="1819371563">
      <w:bodyDiv w:val="1"/>
      <w:marLeft w:val="0"/>
      <w:marRight w:val="0"/>
      <w:marTop w:val="0"/>
      <w:marBottom w:val="0"/>
      <w:divBdr>
        <w:top w:val="none" w:sz="0" w:space="0" w:color="auto"/>
        <w:left w:val="none" w:sz="0" w:space="0" w:color="auto"/>
        <w:bottom w:val="none" w:sz="0" w:space="0" w:color="auto"/>
        <w:right w:val="none" w:sz="0" w:space="0" w:color="auto"/>
      </w:divBdr>
    </w:div>
    <w:div w:id="1820073439">
      <w:bodyDiv w:val="1"/>
      <w:marLeft w:val="0"/>
      <w:marRight w:val="0"/>
      <w:marTop w:val="0"/>
      <w:marBottom w:val="0"/>
      <w:divBdr>
        <w:top w:val="none" w:sz="0" w:space="0" w:color="auto"/>
        <w:left w:val="none" w:sz="0" w:space="0" w:color="auto"/>
        <w:bottom w:val="none" w:sz="0" w:space="0" w:color="auto"/>
        <w:right w:val="none" w:sz="0" w:space="0" w:color="auto"/>
      </w:divBdr>
    </w:div>
    <w:div w:id="1820265810">
      <w:bodyDiv w:val="1"/>
      <w:marLeft w:val="0"/>
      <w:marRight w:val="0"/>
      <w:marTop w:val="0"/>
      <w:marBottom w:val="0"/>
      <w:divBdr>
        <w:top w:val="none" w:sz="0" w:space="0" w:color="auto"/>
        <w:left w:val="none" w:sz="0" w:space="0" w:color="auto"/>
        <w:bottom w:val="none" w:sz="0" w:space="0" w:color="auto"/>
        <w:right w:val="none" w:sz="0" w:space="0" w:color="auto"/>
      </w:divBdr>
    </w:div>
    <w:div w:id="1821146259">
      <w:bodyDiv w:val="1"/>
      <w:marLeft w:val="0"/>
      <w:marRight w:val="0"/>
      <w:marTop w:val="0"/>
      <w:marBottom w:val="0"/>
      <w:divBdr>
        <w:top w:val="none" w:sz="0" w:space="0" w:color="auto"/>
        <w:left w:val="none" w:sz="0" w:space="0" w:color="auto"/>
        <w:bottom w:val="none" w:sz="0" w:space="0" w:color="auto"/>
        <w:right w:val="none" w:sz="0" w:space="0" w:color="auto"/>
      </w:divBdr>
    </w:div>
    <w:div w:id="1821733345">
      <w:bodyDiv w:val="1"/>
      <w:marLeft w:val="0"/>
      <w:marRight w:val="0"/>
      <w:marTop w:val="0"/>
      <w:marBottom w:val="0"/>
      <w:divBdr>
        <w:top w:val="none" w:sz="0" w:space="0" w:color="auto"/>
        <w:left w:val="none" w:sz="0" w:space="0" w:color="auto"/>
        <w:bottom w:val="none" w:sz="0" w:space="0" w:color="auto"/>
        <w:right w:val="none" w:sz="0" w:space="0" w:color="auto"/>
      </w:divBdr>
    </w:div>
    <w:div w:id="1821774401">
      <w:bodyDiv w:val="1"/>
      <w:marLeft w:val="0"/>
      <w:marRight w:val="0"/>
      <w:marTop w:val="0"/>
      <w:marBottom w:val="0"/>
      <w:divBdr>
        <w:top w:val="none" w:sz="0" w:space="0" w:color="auto"/>
        <w:left w:val="none" w:sz="0" w:space="0" w:color="auto"/>
        <w:bottom w:val="none" w:sz="0" w:space="0" w:color="auto"/>
        <w:right w:val="none" w:sz="0" w:space="0" w:color="auto"/>
      </w:divBdr>
    </w:div>
    <w:div w:id="1821997107">
      <w:bodyDiv w:val="1"/>
      <w:marLeft w:val="0"/>
      <w:marRight w:val="0"/>
      <w:marTop w:val="0"/>
      <w:marBottom w:val="0"/>
      <w:divBdr>
        <w:top w:val="none" w:sz="0" w:space="0" w:color="auto"/>
        <w:left w:val="none" w:sz="0" w:space="0" w:color="auto"/>
        <w:bottom w:val="none" w:sz="0" w:space="0" w:color="auto"/>
        <w:right w:val="none" w:sz="0" w:space="0" w:color="auto"/>
      </w:divBdr>
    </w:div>
    <w:div w:id="1822190746">
      <w:bodyDiv w:val="1"/>
      <w:marLeft w:val="0"/>
      <w:marRight w:val="0"/>
      <w:marTop w:val="0"/>
      <w:marBottom w:val="0"/>
      <w:divBdr>
        <w:top w:val="none" w:sz="0" w:space="0" w:color="auto"/>
        <w:left w:val="none" w:sz="0" w:space="0" w:color="auto"/>
        <w:bottom w:val="none" w:sz="0" w:space="0" w:color="auto"/>
        <w:right w:val="none" w:sz="0" w:space="0" w:color="auto"/>
      </w:divBdr>
    </w:div>
    <w:div w:id="1822192087">
      <w:bodyDiv w:val="1"/>
      <w:marLeft w:val="0"/>
      <w:marRight w:val="0"/>
      <w:marTop w:val="0"/>
      <w:marBottom w:val="0"/>
      <w:divBdr>
        <w:top w:val="none" w:sz="0" w:space="0" w:color="auto"/>
        <w:left w:val="none" w:sz="0" w:space="0" w:color="auto"/>
        <w:bottom w:val="none" w:sz="0" w:space="0" w:color="auto"/>
        <w:right w:val="none" w:sz="0" w:space="0" w:color="auto"/>
      </w:divBdr>
    </w:div>
    <w:div w:id="1822228711">
      <w:bodyDiv w:val="1"/>
      <w:marLeft w:val="0"/>
      <w:marRight w:val="0"/>
      <w:marTop w:val="0"/>
      <w:marBottom w:val="0"/>
      <w:divBdr>
        <w:top w:val="none" w:sz="0" w:space="0" w:color="auto"/>
        <w:left w:val="none" w:sz="0" w:space="0" w:color="auto"/>
        <w:bottom w:val="none" w:sz="0" w:space="0" w:color="auto"/>
        <w:right w:val="none" w:sz="0" w:space="0" w:color="auto"/>
      </w:divBdr>
    </w:div>
    <w:div w:id="1822260906">
      <w:bodyDiv w:val="1"/>
      <w:marLeft w:val="0"/>
      <w:marRight w:val="0"/>
      <w:marTop w:val="0"/>
      <w:marBottom w:val="0"/>
      <w:divBdr>
        <w:top w:val="none" w:sz="0" w:space="0" w:color="auto"/>
        <w:left w:val="none" w:sz="0" w:space="0" w:color="auto"/>
        <w:bottom w:val="none" w:sz="0" w:space="0" w:color="auto"/>
        <w:right w:val="none" w:sz="0" w:space="0" w:color="auto"/>
      </w:divBdr>
    </w:div>
    <w:div w:id="1822304571">
      <w:bodyDiv w:val="1"/>
      <w:marLeft w:val="0"/>
      <w:marRight w:val="0"/>
      <w:marTop w:val="0"/>
      <w:marBottom w:val="0"/>
      <w:divBdr>
        <w:top w:val="none" w:sz="0" w:space="0" w:color="auto"/>
        <w:left w:val="none" w:sz="0" w:space="0" w:color="auto"/>
        <w:bottom w:val="none" w:sz="0" w:space="0" w:color="auto"/>
        <w:right w:val="none" w:sz="0" w:space="0" w:color="auto"/>
      </w:divBdr>
    </w:div>
    <w:div w:id="1822386019">
      <w:bodyDiv w:val="1"/>
      <w:marLeft w:val="0"/>
      <w:marRight w:val="0"/>
      <w:marTop w:val="0"/>
      <w:marBottom w:val="0"/>
      <w:divBdr>
        <w:top w:val="none" w:sz="0" w:space="0" w:color="auto"/>
        <w:left w:val="none" w:sz="0" w:space="0" w:color="auto"/>
        <w:bottom w:val="none" w:sz="0" w:space="0" w:color="auto"/>
        <w:right w:val="none" w:sz="0" w:space="0" w:color="auto"/>
      </w:divBdr>
    </w:div>
    <w:div w:id="1822622473">
      <w:bodyDiv w:val="1"/>
      <w:marLeft w:val="0"/>
      <w:marRight w:val="0"/>
      <w:marTop w:val="0"/>
      <w:marBottom w:val="0"/>
      <w:divBdr>
        <w:top w:val="none" w:sz="0" w:space="0" w:color="auto"/>
        <w:left w:val="none" w:sz="0" w:space="0" w:color="auto"/>
        <w:bottom w:val="none" w:sz="0" w:space="0" w:color="auto"/>
        <w:right w:val="none" w:sz="0" w:space="0" w:color="auto"/>
      </w:divBdr>
    </w:div>
    <w:div w:id="1822696664">
      <w:bodyDiv w:val="1"/>
      <w:marLeft w:val="0"/>
      <w:marRight w:val="0"/>
      <w:marTop w:val="0"/>
      <w:marBottom w:val="0"/>
      <w:divBdr>
        <w:top w:val="none" w:sz="0" w:space="0" w:color="auto"/>
        <w:left w:val="none" w:sz="0" w:space="0" w:color="auto"/>
        <w:bottom w:val="none" w:sz="0" w:space="0" w:color="auto"/>
        <w:right w:val="none" w:sz="0" w:space="0" w:color="auto"/>
      </w:divBdr>
    </w:div>
    <w:div w:id="1823498494">
      <w:bodyDiv w:val="1"/>
      <w:marLeft w:val="0"/>
      <w:marRight w:val="0"/>
      <w:marTop w:val="0"/>
      <w:marBottom w:val="0"/>
      <w:divBdr>
        <w:top w:val="none" w:sz="0" w:space="0" w:color="auto"/>
        <w:left w:val="none" w:sz="0" w:space="0" w:color="auto"/>
        <w:bottom w:val="none" w:sz="0" w:space="0" w:color="auto"/>
        <w:right w:val="none" w:sz="0" w:space="0" w:color="auto"/>
      </w:divBdr>
    </w:div>
    <w:div w:id="1823544226">
      <w:bodyDiv w:val="1"/>
      <w:marLeft w:val="0"/>
      <w:marRight w:val="0"/>
      <w:marTop w:val="0"/>
      <w:marBottom w:val="0"/>
      <w:divBdr>
        <w:top w:val="none" w:sz="0" w:space="0" w:color="auto"/>
        <w:left w:val="none" w:sz="0" w:space="0" w:color="auto"/>
        <w:bottom w:val="none" w:sz="0" w:space="0" w:color="auto"/>
        <w:right w:val="none" w:sz="0" w:space="0" w:color="auto"/>
      </w:divBdr>
    </w:div>
    <w:div w:id="1823544681">
      <w:bodyDiv w:val="1"/>
      <w:marLeft w:val="0"/>
      <w:marRight w:val="0"/>
      <w:marTop w:val="0"/>
      <w:marBottom w:val="0"/>
      <w:divBdr>
        <w:top w:val="none" w:sz="0" w:space="0" w:color="auto"/>
        <w:left w:val="none" w:sz="0" w:space="0" w:color="auto"/>
        <w:bottom w:val="none" w:sz="0" w:space="0" w:color="auto"/>
        <w:right w:val="none" w:sz="0" w:space="0" w:color="auto"/>
      </w:divBdr>
    </w:div>
    <w:div w:id="1823808467">
      <w:bodyDiv w:val="1"/>
      <w:marLeft w:val="0"/>
      <w:marRight w:val="0"/>
      <w:marTop w:val="0"/>
      <w:marBottom w:val="0"/>
      <w:divBdr>
        <w:top w:val="none" w:sz="0" w:space="0" w:color="auto"/>
        <w:left w:val="none" w:sz="0" w:space="0" w:color="auto"/>
        <w:bottom w:val="none" w:sz="0" w:space="0" w:color="auto"/>
        <w:right w:val="none" w:sz="0" w:space="0" w:color="auto"/>
      </w:divBdr>
    </w:div>
    <w:div w:id="1823964501">
      <w:bodyDiv w:val="1"/>
      <w:marLeft w:val="0"/>
      <w:marRight w:val="0"/>
      <w:marTop w:val="0"/>
      <w:marBottom w:val="0"/>
      <w:divBdr>
        <w:top w:val="none" w:sz="0" w:space="0" w:color="auto"/>
        <w:left w:val="none" w:sz="0" w:space="0" w:color="auto"/>
        <w:bottom w:val="none" w:sz="0" w:space="0" w:color="auto"/>
        <w:right w:val="none" w:sz="0" w:space="0" w:color="auto"/>
      </w:divBdr>
    </w:div>
    <w:div w:id="1824200134">
      <w:bodyDiv w:val="1"/>
      <w:marLeft w:val="0"/>
      <w:marRight w:val="0"/>
      <w:marTop w:val="0"/>
      <w:marBottom w:val="0"/>
      <w:divBdr>
        <w:top w:val="none" w:sz="0" w:space="0" w:color="auto"/>
        <w:left w:val="none" w:sz="0" w:space="0" w:color="auto"/>
        <w:bottom w:val="none" w:sz="0" w:space="0" w:color="auto"/>
        <w:right w:val="none" w:sz="0" w:space="0" w:color="auto"/>
      </w:divBdr>
    </w:div>
    <w:div w:id="1825199604">
      <w:bodyDiv w:val="1"/>
      <w:marLeft w:val="0"/>
      <w:marRight w:val="0"/>
      <w:marTop w:val="0"/>
      <w:marBottom w:val="0"/>
      <w:divBdr>
        <w:top w:val="none" w:sz="0" w:space="0" w:color="auto"/>
        <w:left w:val="none" w:sz="0" w:space="0" w:color="auto"/>
        <w:bottom w:val="none" w:sz="0" w:space="0" w:color="auto"/>
        <w:right w:val="none" w:sz="0" w:space="0" w:color="auto"/>
      </w:divBdr>
    </w:div>
    <w:div w:id="1825509179">
      <w:bodyDiv w:val="1"/>
      <w:marLeft w:val="0"/>
      <w:marRight w:val="0"/>
      <w:marTop w:val="0"/>
      <w:marBottom w:val="0"/>
      <w:divBdr>
        <w:top w:val="none" w:sz="0" w:space="0" w:color="auto"/>
        <w:left w:val="none" w:sz="0" w:space="0" w:color="auto"/>
        <w:bottom w:val="none" w:sz="0" w:space="0" w:color="auto"/>
        <w:right w:val="none" w:sz="0" w:space="0" w:color="auto"/>
      </w:divBdr>
    </w:div>
    <w:div w:id="1825850957">
      <w:bodyDiv w:val="1"/>
      <w:marLeft w:val="0"/>
      <w:marRight w:val="0"/>
      <w:marTop w:val="0"/>
      <w:marBottom w:val="0"/>
      <w:divBdr>
        <w:top w:val="none" w:sz="0" w:space="0" w:color="auto"/>
        <w:left w:val="none" w:sz="0" w:space="0" w:color="auto"/>
        <w:bottom w:val="none" w:sz="0" w:space="0" w:color="auto"/>
        <w:right w:val="none" w:sz="0" w:space="0" w:color="auto"/>
      </w:divBdr>
    </w:div>
    <w:div w:id="1825855363">
      <w:bodyDiv w:val="1"/>
      <w:marLeft w:val="0"/>
      <w:marRight w:val="0"/>
      <w:marTop w:val="0"/>
      <w:marBottom w:val="0"/>
      <w:divBdr>
        <w:top w:val="none" w:sz="0" w:space="0" w:color="auto"/>
        <w:left w:val="none" w:sz="0" w:space="0" w:color="auto"/>
        <w:bottom w:val="none" w:sz="0" w:space="0" w:color="auto"/>
        <w:right w:val="none" w:sz="0" w:space="0" w:color="auto"/>
      </w:divBdr>
    </w:div>
    <w:div w:id="1826046870">
      <w:bodyDiv w:val="1"/>
      <w:marLeft w:val="0"/>
      <w:marRight w:val="0"/>
      <w:marTop w:val="0"/>
      <w:marBottom w:val="0"/>
      <w:divBdr>
        <w:top w:val="none" w:sz="0" w:space="0" w:color="auto"/>
        <w:left w:val="none" w:sz="0" w:space="0" w:color="auto"/>
        <w:bottom w:val="none" w:sz="0" w:space="0" w:color="auto"/>
        <w:right w:val="none" w:sz="0" w:space="0" w:color="auto"/>
      </w:divBdr>
    </w:div>
    <w:div w:id="1826310522">
      <w:bodyDiv w:val="1"/>
      <w:marLeft w:val="0"/>
      <w:marRight w:val="0"/>
      <w:marTop w:val="0"/>
      <w:marBottom w:val="0"/>
      <w:divBdr>
        <w:top w:val="none" w:sz="0" w:space="0" w:color="auto"/>
        <w:left w:val="none" w:sz="0" w:space="0" w:color="auto"/>
        <w:bottom w:val="none" w:sz="0" w:space="0" w:color="auto"/>
        <w:right w:val="none" w:sz="0" w:space="0" w:color="auto"/>
      </w:divBdr>
    </w:div>
    <w:div w:id="1826507870">
      <w:bodyDiv w:val="1"/>
      <w:marLeft w:val="0"/>
      <w:marRight w:val="0"/>
      <w:marTop w:val="0"/>
      <w:marBottom w:val="0"/>
      <w:divBdr>
        <w:top w:val="none" w:sz="0" w:space="0" w:color="auto"/>
        <w:left w:val="none" w:sz="0" w:space="0" w:color="auto"/>
        <w:bottom w:val="none" w:sz="0" w:space="0" w:color="auto"/>
        <w:right w:val="none" w:sz="0" w:space="0" w:color="auto"/>
      </w:divBdr>
    </w:div>
    <w:div w:id="1827669596">
      <w:bodyDiv w:val="1"/>
      <w:marLeft w:val="0"/>
      <w:marRight w:val="0"/>
      <w:marTop w:val="0"/>
      <w:marBottom w:val="0"/>
      <w:divBdr>
        <w:top w:val="none" w:sz="0" w:space="0" w:color="auto"/>
        <w:left w:val="none" w:sz="0" w:space="0" w:color="auto"/>
        <w:bottom w:val="none" w:sz="0" w:space="0" w:color="auto"/>
        <w:right w:val="none" w:sz="0" w:space="0" w:color="auto"/>
      </w:divBdr>
    </w:div>
    <w:div w:id="1828551055">
      <w:bodyDiv w:val="1"/>
      <w:marLeft w:val="0"/>
      <w:marRight w:val="0"/>
      <w:marTop w:val="0"/>
      <w:marBottom w:val="0"/>
      <w:divBdr>
        <w:top w:val="none" w:sz="0" w:space="0" w:color="auto"/>
        <w:left w:val="none" w:sz="0" w:space="0" w:color="auto"/>
        <w:bottom w:val="none" w:sz="0" w:space="0" w:color="auto"/>
        <w:right w:val="none" w:sz="0" w:space="0" w:color="auto"/>
      </w:divBdr>
    </w:div>
    <w:div w:id="1828668859">
      <w:bodyDiv w:val="1"/>
      <w:marLeft w:val="0"/>
      <w:marRight w:val="0"/>
      <w:marTop w:val="0"/>
      <w:marBottom w:val="0"/>
      <w:divBdr>
        <w:top w:val="none" w:sz="0" w:space="0" w:color="auto"/>
        <w:left w:val="none" w:sz="0" w:space="0" w:color="auto"/>
        <w:bottom w:val="none" w:sz="0" w:space="0" w:color="auto"/>
        <w:right w:val="none" w:sz="0" w:space="0" w:color="auto"/>
      </w:divBdr>
    </w:div>
    <w:div w:id="1828860376">
      <w:bodyDiv w:val="1"/>
      <w:marLeft w:val="0"/>
      <w:marRight w:val="0"/>
      <w:marTop w:val="0"/>
      <w:marBottom w:val="0"/>
      <w:divBdr>
        <w:top w:val="none" w:sz="0" w:space="0" w:color="auto"/>
        <w:left w:val="none" w:sz="0" w:space="0" w:color="auto"/>
        <w:bottom w:val="none" w:sz="0" w:space="0" w:color="auto"/>
        <w:right w:val="none" w:sz="0" w:space="0" w:color="auto"/>
      </w:divBdr>
    </w:div>
    <w:div w:id="1828981324">
      <w:bodyDiv w:val="1"/>
      <w:marLeft w:val="0"/>
      <w:marRight w:val="0"/>
      <w:marTop w:val="0"/>
      <w:marBottom w:val="0"/>
      <w:divBdr>
        <w:top w:val="none" w:sz="0" w:space="0" w:color="auto"/>
        <w:left w:val="none" w:sz="0" w:space="0" w:color="auto"/>
        <w:bottom w:val="none" w:sz="0" w:space="0" w:color="auto"/>
        <w:right w:val="none" w:sz="0" w:space="0" w:color="auto"/>
      </w:divBdr>
    </w:div>
    <w:div w:id="1829125469">
      <w:bodyDiv w:val="1"/>
      <w:marLeft w:val="0"/>
      <w:marRight w:val="0"/>
      <w:marTop w:val="0"/>
      <w:marBottom w:val="0"/>
      <w:divBdr>
        <w:top w:val="none" w:sz="0" w:space="0" w:color="auto"/>
        <w:left w:val="none" w:sz="0" w:space="0" w:color="auto"/>
        <w:bottom w:val="none" w:sz="0" w:space="0" w:color="auto"/>
        <w:right w:val="none" w:sz="0" w:space="0" w:color="auto"/>
      </w:divBdr>
    </w:div>
    <w:div w:id="1829399709">
      <w:bodyDiv w:val="1"/>
      <w:marLeft w:val="0"/>
      <w:marRight w:val="0"/>
      <w:marTop w:val="0"/>
      <w:marBottom w:val="0"/>
      <w:divBdr>
        <w:top w:val="none" w:sz="0" w:space="0" w:color="auto"/>
        <w:left w:val="none" w:sz="0" w:space="0" w:color="auto"/>
        <w:bottom w:val="none" w:sz="0" w:space="0" w:color="auto"/>
        <w:right w:val="none" w:sz="0" w:space="0" w:color="auto"/>
      </w:divBdr>
    </w:div>
    <w:div w:id="1829592223">
      <w:bodyDiv w:val="1"/>
      <w:marLeft w:val="0"/>
      <w:marRight w:val="0"/>
      <w:marTop w:val="0"/>
      <w:marBottom w:val="0"/>
      <w:divBdr>
        <w:top w:val="none" w:sz="0" w:space="0" w:color="auto"/>
        <w:left w:val="none" w:sz="0" w:space="0" w:color="auto"/>
        <w:bottom w:val="none" w:sz="0" w:space="0" w:color="auto"/>
        <w:right w:val="none" w:sz="0" w:space="0" w:color="auto"/>
      </w:divBdr>
    </w:div>
    <w:div w:id="1829830840">
      <w:bodyDiv w:val="1"/>
      <w:marLeft w:val="0"/>
      <w:marRight w:val="0"/>
      <w:marTop w:val="0"/>
      <w:marBottom w:val="0"/>
      <w:divBdr>
        <w:top w:val="none" w:sz="0" w:space="0" w:color="auto"/>
        <w:left w:val="none" w:sz="0" w:space="0" w:color="auto"/>
        <w:bottom w:val="none" w:sz="0" w:space="0" w:color="auto"/>
        <w:right w:val="none" w:sz="0" w:space="0" w:color="auto"/>
      </w:divBdr>
    </w:div>
    <w:div w:id="1830100757">
      <w:bodyDiv w:val="1"/>
      <w:marLeft w:val="0"/>
      <w:marRight w:val="0"/>
      <w:marTop w:val="0"/>
      <w:marBottom w:val="0"/>
      <w:divBdr>
        <w:top w:val="none" w:sz="0" w:space="0" w:color="auto"/>
        <w:left w:val="none" w:sz="0" w:space="0" w:color="auto"/>
        <w:bottom w:val="none" w:sz="0" w:space="0" w:color="auto"/>
        <w:right w:val="none" w:sz="0" w:space="0" w:color="auto"/>
      </w:divBdr>
    </w:div>
    <w:div w:id="1830124964">
      <w:bodyDiv w:val="1"/>
      <w:marLeft w:val="0"/>
      <w:marRight w:val="0"/>
      <w:marTop w:val="0"/>
      <w:marBottom w:val="0"/>
      <w:divBdr>
        <w:top w:val="none" w:sz="0" w:space="0" w:color="auto"/>
        <w:left w:val="none" w:sz="0" w:space="0" w:color="auto"/>
        <w:bottom w:val="none" w:sz="0" w:space="0" w:color="auto"/>
        <w:right w:val="none" w:sz="0" w:space="0" w:color="auto"/>
      </w:divBdr>
    </w:div>
    <w:div w:id="1830243848">
      <w:bodyDiv w:val="1"/>
      <w:marLeft w:val="0"/>
      <w:marRight w:val="0"/>
      <w:marTop w:val="0"/>
      <w:marBottom w:val="0"/>
      <w:divBdr>
        <w:top w:val="none" w:sz="0" w:space="0" w:color="auto"/>
        <w:left w:val="none" w:sz="0" w:space="0" w:color="auto"/>
        <w:bottom w:val="none" w:sz="0" w:space="0" w:color="auto"/>
        <w:right w:val="none" w:sz="0" w:space="0" w:color="auto"/>
      </w:divBdr>
    </w:div>
    <w:div w:id="1830511464">
      <w:bodyDiv w:val="1"/>
      <w:marLeft w:val="0"/>
      <w:marRight w:val="0"/>
      <w:marTop w:val="0"/>
      <w:marBottom w:val="0"/>
      <w:divBdr>
        <w:top w:val="none" w:sz="0" w:space="0" w:color="auto"/>
        <w:left w:val="none" w:sz="0" w:space="0" w:color="auto"/>
        <w:bottom w:val="none" w:sz="0" w:space="0" w:color="auto"/>
        <w:right w:val="none" w:sz="0" w:space="0" w:color="auto"/>
      </w:divBdr>
    </w:div>
    <w:div w:id="1831141388">
      <w:bodyDiv w:val="1"/>
      <w:marLeft w:val="0"/>
      <w:marRight w:val="0"/>
      <w:marTop w:val="0"/>
      <w:marBottom w:val="0"/>
      <w:divBdr>
        <w:top w:val="none" w:sz="0" w:space="0" w:color="auto"/>
        <w:left w:val="none" w:sz="0" w:space="0" w:color="auto"/>
        <w:bottom w:val="none" w:sz="0" w:space="0" w:color="auto"/>
        <w:right w:val="none" w:sz="0" w:space="0" w:color="auto"/>
      </w:divBdr>
    </w:div>
    <w:div w:id="1831293591">
      <w:bodyDiv w:val="1"/>
      <w:marLeft w:val="0"/>
      <w:marRight w:val="0"/>
      <w:marTop w:val="0"/>
      <w:marBottom w:val="0"/>
      <w:divBdr>
        <w:top w:val="none" w:sz="0" w:space="0" w:color="auto"/>
        <w:left w:val="none" w:sz="0" w:space="0" w:color="auto"/>
        <w:bottom w:val="none" w:sz="0" w:space="0" w:color="auto"/>
        <w:right w:val="none" w:sz="0" w:space="0" w:color="auto"/>
      </w:divBdr>
    </w:div>
    <w:div w:id="1831361409">
      <w:bodyDiv w:val="1"/>
      <w:marLeft w:val="0"/>
      <w:marRight w:val="0"/>
      <w:marTop w:val="0"/>
      <w:marBottom w:val="0"/>
      <w:divBdr>
        <w:top w:val="none" w:sz="0" w:space="0" w:color="auto"/>
        <w:left w:val="none" w:sz="0" w:space="0" w:color="auto"/>
        <w:bottom w:val="none" w:sz="0" w:space="0" w:color="auto"/>
        <w:right w:val="none" w:sz="0" w:space="0" w:color="auto"/>
      </w:divBdr>
    </w:div>
    <w:div w:id="1831407494">
      <w:bodyDiv w:val="1"/>
      <w:marLeft w:val="0"/>
      <w:marRight w:val="0"/>
      <w:marTop w:val="0"/>
      <w:marBottom w:val="0"/>
      <w:divBdr>
        <w:top w:val="none" w:sz="0" w:space="0" w:color="auto"/>
        <w:left w:val="none" w:sz="0" w:space="0" w:color="auto"/>
        <w:bottom w:val="none" w:sz="0" w:space="0" w:color="auto"/>
        <w:right w:val="none" w:sz="0" w:space="0" w:color="auto"/>
      </w:divBdr>
    </w:div>
    <w:div w:id="1831746081">
      <w:bodyDiv w:val="1"/>
      <w:marLeft w:val="0"/>
      <w:marRight w:val="0"/>
      <w:marTop w:val="0"/>
      <w:marBottom w:val="0"/>
      <w:divBdr>
        <w:top w:val="none" w:sz="0" w:space="0" w:color="auto"/>
        <w:left w:val="none" w:sz="0" w:space="0" w:color="auto"/>
        <w:bottom w:val="none" w:sz="0" w:space="0" w:color="auto"/>
        <w:right w:val="none" w:sz="0" w:space="0" w:color="auto"/>
      </w:divBdr>
    </w:div>
    <w:div w:id="1831868337">
      <w:bodyDiv w:val="1"/>
      <w:marLeft w:val="0"/>
      <w:marRight w:val="0"/>
      <w:marTop w:val="0"/>
      <w:marBottom w:val="0"/>
      <w:divBdr>
        <w:top w:val="none" w:sz="0" w:space="0" w:color="auto"/>
        <w:left w:val="none" w:sz="0" w:space="0" w:color="auto"/>
        <w:bottom w:val="none" w:sz="0" w:space="0" w:color="auto"/>
        <w:right w:val="none" w:sz="0" w:space="0" w:color="auto"/>
      </w:divBdr>
    </w:div>
    <w:div w:id="1832208407">
      <w:bodyDiv w:val="1"/>
      <w:marLeft w:val="0"/>
      <w:marRight w:val="0"/>
      <w:marTop w:val="0"/>
      <w:marBottom w:val="0"/>
      <w:divBdr>
        <w:top w:val="none" w:sz="0" w:space="0" w:color="auto"/>
        <w:left w:val="none" w:sz="0" w:space="0" w:color="auto"/>
        <w:bottom w:val="none" w:sz="0" w:space="0" w:color="auto"/>
        <w:right w:val="none" w:sz="0" w:space="0" w:color="auto"/>
      </w:divBdr>
    </w:div>
    <w:div w:id="1832285533">
      <w:bodyDiv w:val="1"/>
      <w:marLeft w:val="0"/>
      <w:marRight w:val="0"/>
      <w:marTop w:val="0"/>
      <w:marBottom w:val="0"/>
      <w:divBdr>
        <w:top w:val="none" w:sz="0" w:space="0" w:color="auto"/>
        <w:left w:val="none" w:sz="0" w:space="0" w:color="auto"/>
        <w:bottom w:val="none" w:sz="0" w:space="0" w:color="auto"/>
        <w:right w:val="none" w:sz="0" w:space="0" w:color="auto"/>
      </w:divBdr>
    </w:div>
    <w:div w:id="1832452778">
      <w:bodyDiv w:val="1"/>
      <w:marLeft w:val="0"/>
      <w:marRight w:val="0"/>
      <w:marTop w:val="0"/>
      <w:marBottom w:val="0"/>
      <w:divBdr>
        <w:top w:val="none" w:sz="0" w:space="0" w:color="auto"/>
        <w:left w:val="none" w:sz="0" w:space="0" w:color="auto"/>
        <w:bottom w:val="none" w:sz="0" w:space="0" w:color="auto"/>
        <w:right w:val="none" w:sz="0" w:space="0" w:color="auto"/>
      </w:divBdr>
    </w:div>
    <w:div w:id="1832524967">
      <w:bodyDiv w:val="1"/>
      <w:marLeft w:val="0"/>
      <w:marRight w:val="0"/>
      <w:marTop w:val="0"/>
      <w:marBottom w:val="0"/>
      <w:divBdr>
        <w:top w:val="none" w:sz="0" w:space="0" w:color="auto"/>
        <w:left w:val="none" w:sz="0" w:space="0" w:color="auto"/>
        <w:bottom w:val="none" w:sz="0" w:space="0" w:color="auto"/>
        <w:right w:val="none" w:sz="0" w:space="0" w:color="auto"/>
      </w:divBdr>
    </w:div>
    <w:div w:id="1832598547">
      <w:bodyDiv w:val="1"/>
      <w:marLeft w:val="0"/>
      <w:marRight w:val="0"/>
      <w:marTop w:val="0"/>
      <w:marBottom w:val="0"/>
      <w:divBdr>
        <w:top w:val="none" w:sz="0" w:space="0" w:color="auto"/>
        <w:left w:val="none" w:sz="0" w:space="0" w:color="auto"/>
        <w:bottom w:val="none" w:sz="0" w:space="0" w:color="auto"/>
        <w:right w:val="none" w:sz="0" w:space="0" w:color="auto"/>
      </w:divBdr>
    </w:div>
    <w:div w:id="1832867702">
      <w:bodyDiv w:val="1"/>
      <w:marLeft w:val="0"/>
      <w:marRight w:val="0"/>
      <w:marTop w:val="0"/>
      <w:marBottom w:val="0"/>
      <w:divBdr>
        <w:top w:val="none" w:sz="0" w:space="0" w:color="auto"/>
        <w:left w:val="none" w:sz="0" w:space="0" w:color="auto"/>
        <w:bottom w:val="none" w:sz="0" w:space="0" w:color="auto"/>
        <w:right w:val="none" w:sz="0" w:space="0" w:color="auto"/>
      </w:divBdr>
    </w:div>
    <w:div w:id="1833372180">
      <w:bodyDiv w:val="1"/>
      <w:marLeft w:val="0"/>
      <w:marRight w:val="0"/>
      <w:marTop w:val="0"/>
      <w:marBottom w:val="0"/>
      <w:divBdr>
        <w:top w:val="none" w:sz="0" w:space="0" w:color="auto"/>
        <w:left w:val="none" w:sz="0" w:space="0" w:color="auto"/>
        <w:bottom w:val="none" w:sz="0" w:space="0" w:color="auto"/>
        <w:right w:val="none" w:sz="0" w:space="0" w:color="auto"/>
      </w:divBdr>
    </w:div>
    <w:div w:id="1833794849">
      <w:bodyDiv w:val="1"/>
      <w:marLeft w:val="0"/>
      <w:marRight w:val="0"/>
      <w:marTop w:val="0"/>
      <w:marBottom w:val="0"/>
      <w:divBdr>
        <w:top w:val="none" w:sz="0" w:space="0" w:color="auto"/>
        <w:left w:val="none" w:sz="0" w:space="0" w:color="auto"/>
        <w:bottom w:val="none" w:sz="0" w:space="0" w:color="auto"/>
        <w:right w:val="none" w:sz="0" w:space="0" w:color="auto"/>
      </w:divBdr>
    </w:div>
    <w:div w:id="1833914328">
      <w:bodyDiv w:val="1"/>
      <w:marLeft w:val="0"/>
      <w:marRight w:val="0"/>
      <w:marTop w:val="0"/>
      <w:marBottom w:val="0"/>
      <w:divBdr>
        <w:top w:val="none" w:sz="0" w:space="0" w:color="auto"/>
        <w:left w:val="none" w:sz="0" w:space="0" w:color="auto"/>
        <w:bottom w:val="none" w:sz="0" w:space="0" w:color="auto"/>
        <w:right w:val="none" w:sz="0" w:space="0" w:color="auto"/>
      </w:divBdr>
    </w:div>
    <w:div w:id="1833983465">
      <w:bodyDiv w:val="1"/>
      <w:marLeft w:val="0"/>
      <w:marRight w:val="0"/>
      <w:marTop w:val="0"/>
      <w:marBottom w:val="0"/>
      <w:divBdr>
        <w:top w:val="none" w:sz="0" w:space="0" w:color="auto"/>
        <w:left w:val="none" w:sz="0" w:space="0" w:color="auto"/>
        <w:bottom w:val="none" w:sz="0" w:space="0" w:color="auto"/>
        <w:right w:val="none" w:sz="0" w:space="0" w:color="auto"/>
      </w:divBdr>
    </w:div>
    <w:div w:id="1834101694">
      <w:bodyDiv w:val="1"/>
      <w:marLeft w:val="0"/>
      <w:marRight w:val="0"/>
      <w:marTop w:val="0"/>
      <w:marBottom w:val="0"/>
      <w:divBdr>
        <w:top w:val="none" w:sz="0" w:space="0" w:color="auto"/>
        <w:left w:val="none" w:sz="0" w:space="0" w:color="auto"/>
        <w:bottom w:val="none" w:sz="0" w:space="0" w:color="auto"/>
        <w:right w:val="none" w:sz="0" w:space="0" w:color="auto"/>
      </w:divBdr>
    </w:div>
    <w:div w:id="1834173943">
      <w:bodyDiv w:val="1"/>
      <w:marLeft w:val="0"/>
      <w:marRight w:val="0"/>
      <w:marTop w:val="0"/>
      <w:marBottom w:val="0"/>
      <w:divBdr>
        <w:top w:val="none" w:sz="0" w:space="0" w:color="auto"/>
        <w:left w:val="none" w:sz="0" w:space="0" w:color="auto"/>
        <w:bottom w:val="none" w:sz="0" w:space="0" w:color="auto"/>
        <w:right w:val="none" w:sz="0" w:space="0" w:color="auto"/>
      </w:divBdr>
    </w:div>
    <w:div w:id="1834222737">
      <w:bodyDiv w:val="1"/>
      <w:marLeft w:val="0"/>
      <w:marRight w:val="0"/>
      <w:marTop w:val="0"/>
      <w:marBottom w:val="0"/>
      <w:divBdr>
        <w:top w:val="none" w:sz="0" w:space="0" w:color="auto"/>
        <w:left w:val="none" w:sz="0" w:space="0" w:color="auto"/>
        <w:bottom w:val="none" w:sz="0" w:space="0" w:color="auto"/>
        <w:right w:val="none" w:sz="0" w:space="0" w:color="auto"/>
      </w:divBdr>
    </w:div>
    <w:div w:id="1834684512">
      <w:bodyDiv w:val="1"/>
      <w:marLeft w:val="0"/>
      <w:marRight w:val="0"/>
      <w:marTop w:val="0"/>
      <w:marBottom w:val="0"/>
      <w:divBdr>
        <w:top w:val="none" w:sz="0" w:space="0" w:color="auto"/>
        <w:left w:val="none" w:sz="0" w:space="0" w:color="auto"/>
        <w:bottom w:val="none" w:sz="0" w:space="0" w:color="auto"/>
        <w:right w:val="none" w:sz="0" w:space="0" w:color="auto"/>
      </w:divBdr>
    </w:div>
    <w:div w:id="1834760190">
      <w:bodyDiv w:val="1"/>
      <w:marLeft w:val="0"/>
      <w:marRight w:val="0"/>
      <w:marTop w:val="0"/>
      <w:marBottom w:val="0"/>
      <w:divBdr>
        <w:top w:val="none" w:sz="0" w:space="0" w:color="auto"/>
        <w:left w:val="none" w:sz="0" w:space="0" w:color="auto"/>
        <w:bottom w:val="none" w:sz="0" w:space="0" w:color="auto"/>
        <w:right w:val="none" w:sz="0" w:space="0" w:color="auto"/>
      </w:divBdr>
    </w:div>
    <w:div w:id="1834906247">
      <w:bodyDiv w:val="1"/>
      <w:marLeft w:val="0"/>
      <w:marRight w:val="0"/>
      <w:marTop w:val="0"/>
      <w:marBottom w:val="0"/>
      <w:divBdr>
        <w:top w:val="none" w:sz="0" w:space="0" w:color="auto"/>
        <w:left w:val="none" w:sz="0" w:space="0" w:color="auto"/>
        <w:bottom w:val="none" w:sz="0" w:space="0" w:color="auto"/>
        <w:right w:val="none" w:sz="0" w:space="0" w:color="auto"/>
      </w:divBdr>
    </w:div>
    <w:div w:id="1834950087">
      <w:bodyDiv w:val="1"/>
      <w:marLeft w:val="0"/>
      <w:marRight w:val="0"/>
      <w:marTop w:val="0"/>
      <w:marBottom w:val="0"/>
      <w:divBdr>
        <w:top w:val="none" w:sz="0" w:space="0" w:color="auto"/>
        <w:left w:val="none" w:sz="0" w:space="0" w:color="auto"/>
        <w:bottom w:val="none" w:sz="0" w:space="0" w:color="auto"/>
        <w:right w:val="none" w:sz="0" w:space="0" w:color="auto"/>
      </w:divBdr>
    </w:div>
    <w:div w:id="1835607116">
      <w:bodyDiv w:val="1"/>
      <w:marLeft w:val="0"/>
      <w:marRight w:val="0"/>
      <w:marTop w:val="0"/>
      <w:marBottom w:val="0"/>
      <w:divBdr>
        <w:top w:val="none" w:sz="0" w:space="0" w:color="auto"/>
        <w:left w:val="none" w:sz="0" w:space="0" w:color="auto"/>
        <w:bottom w:val="none" w:sz="0" w:space="0" w:color="auto"/>
        <w:right w:val="none" w:sz="0" w:space="0" w:color="auto"/>
      </w:divBdr>
    </w:div>
    <w:div w:id="1835947258">
      <w:bodyDiv w:val="1"/>
      <w:marLeft w:val="0"/>
      <w:marRight w:val="0"/>
      <w:marTop w:val="0"/>
      <w:marBottom w:val="0"/>
      <w:divBdr>
        <w:top w:val="none" w:sz="0" w:space="0" w:color="auto"/>
        <w:left w:val="none" w:sz="0" w:space="0" w:color="auto"/>
        <w:bottom w:val="none" w:sz="0" w:space="0" w:color="auto"/>
        <w:right w:val="none" w:sz="0" w:space="0" w:color="auto"/>
      </w:divBdr>
    </w:div>
    <w:div w:id="1836072686">
      <w:bodyDiv w:val="1"/>
      <w:marLeft w:val="0"/>
      <w:marRight w:val="0"/>
      <w:marTop w:val="0"/>
      <w:marBottom w:val="0"/>
      <w:divBdr>
        <w:top w:val="none" w:sz="0" w:space="0" w:color="auto"/>
        <w:left w:val="none" w:sz="0" w:space="0" w:color="auto"/>
        <w:bottom w:val="none" w:sz="0" w:space="0" w:color="auto"/>
        <w:right w:val="none" w:sz="0" w:space="0" w:color="auto"/>
      </w:divBdr>
    </w:div>
    <w:div w:id="1836216646">
      <w:bodyDiv w:val="1"/>
      <w:marLeft w:val="0"/>
      <w:marRight w:val="0"/>
      <w:marTop w:val="0"/>
      <w:marBottom w:val="0"/>
      <w:divBdr>
        <w:top w:val="none" w:sz="0" w:space="0" w:color="auto"/>
        <w:left w:val="none" w:sz="0" w:space="0" w:color="auto"/>
        <w:bottom w:val="none" w:sz="0" w:space="0" w:color="auto"/>
        <w:right w:val="none" w:sz="0" w:space="0" w:color="auto"/>
      </w:divBdr>
    </w:div>
    <w:div w:id="1837070890">
      <w:bodyDiv w:val="1"/>
      <w:marLeft w:val="0"/>
      <w:marRight w:val="0"/>
      <w:marTop w:val="0"/>
      <w:marBottom w:val="0"/>
      <w:divBdr>
        <w:top w:val="none" w:sz="0" w:space="0" w:color="auto"/>
        <w:left w:val="none" w:sz="0" w:space="0" w:color="auto"/>
        <w:bottom w:val="none" w:sz="0" w:space="0" w:color="auto"/>
        <w:right w:val="none" w:sz="0" w:space="0" w:color="auto"/>
      </w:divBdr>
    </w:div>
    <w:div w:id="1837530657">
      <w:bodyDiv w:val="1"/>
      <w:marLeft w:val="0"/>
      <w:marRight w:val="0"/>
      <w:marTop w:val="0"/>
      <w:marBottom w:val="0"/>
      <w:divBdr>
        <w:top w:val="none" w:sz="0" w:space="0" w:color="auto"/>
        <w:left w:val="none" w:sz="0" w:space="0" w:color="auto"/>
        <w:bottom w:val="none" w:sz="0" w:space="0" w:color="auto"/>
        <w:right w:val="none" w:sz="0" w:space="0" w:color="auto"/>
      </w:divBdr>
    </w:div>
    <w:div w:id="1837767088">
      <w:bodyDiv w:val="1"/>
      <w:marLeft w:val="0"/>
      <w:marRight w:val="0"/>
      <w:marTop w:val="0"/>
      <w:marBottom w:val="0"/>
      <w:divBdr>
        <w:top w:val="none" w:sz="0" w:space="0" w:color="auto"/>
        <w:left w:val="none" w:sz="0" w:space="0" w:color="auto"/>
        <w:bottom w:val="none" w:sz="0" w:space="0" w:color="auto"/>
        <w:right w:val="none" w:sz="0" w:space="0" w:color="auto"/>
      </w:divBdr>
    </w:div>
    <w:div w:id="1837768842">
      <w:bodyDiv w:val="1"/>
      <w:marLeft w:val="0"/>
      <w:marRight w:val="0"/>
      <w:marTop w:val="0"/>
      <w:marBottom w:val="0"/>
      <w:divBdr>
        <w:top w:val="none" w:sz="0" w:space="0" w:color="auto"/>
        <w:left w:val="none" w:sz="0" w:space="0" w:color="auto"/>
        <w:bottom w:val="none" w:sz="0" w:space="0" w:color="auto"/>
        <w:right w:val="none" w:sz="0" w:space="0" w:color="auto"/>
      </w:divBdr>
    </w:div>
    <w:div w:id="1837845741">
      <w:bodyDiv w:val="1"/>
      <w:marLeft w:val="0"/>
      <w:marRight w:val="0"/>
      <w:marTop w:val="0"/>
      <w:marBottom w:val="0"/>
      <w:divBdr>
        <w:top w:val="none" w:sz="0" w:space="0" w:color="auto"/>
        <w:left w:val="none" w:sz="0" w:space="0" w:color="auto"/>
        <w:bottom w:val="none" w:sz="0" w:space="0" w:color="auto"/>
        <w:right w:val="none" w:sz="0" w:space="0" w:color="auto"/>
      </w:divBdr>
    </w:div>
    <w:div w:id="1838106998">
      <w:bodyDiv w:val="1"/>
      <w:marLeft w:val="0"/>
      <w:marRight w:val="0"/>
      <w:marTop w:val="0"/>
      <w:marBottom w:val="0"/>
      <w:divBdr>
        <w:top w:val="none" w:sz="0" w:space="0" w:color="auto"/>
        <w:left w:val="none" w:sz="0" w:space="0" w:color="auto"/>
        <w:bottom w:val="none" w:sz="0" w:space="0" w:color="auto"/>
        <w:right w:val="none" w:sz="0" w:space="0" w:color="auto"/>
      </w:divBdr>
    </w:div>
    <w:div w:id="1838156231">
      <w:bodyDiv w:val="1"/>
      <w:marLeft w:val="0"/>
      <w:marRight w:val="0"/>
      <w:marTop w:val="0"/>
      <w:marBottom w:val="0"/>
      <w:divBdr>
        <w:top w:val="none" w:sz="0" w:space="0" w:color="auto"/>
        <w:left w:val="none" w:sz="0" w:space="0" w:color="auto"/>
        <w:bottom w:val="none" w:sz="0" w:space="0" w:color="auto"/>
        <w:right w:val="none" w:sz="0" w:space="0" w:color="auto"/>
      </w:divBdr>
    </w:div>
    <w:div w:id="1838186347">
      <w:bodyDiv w:val="1"/>
      <w:marLeft w:val="0"/>
      <w:marRight w:val="0"/>
      <w:marTop w:val="0"/>
      <w:marBottom w:val="0"/>
      <w:divBdr>
        <w:top w:val="none" w:sz="0" w:space="0" w:color="auto"/>
        <w:left w:val="none" w:sz="0" w:space="0" w:color="auto"/>
        <w:bottom w:val="none" w:sz="0" w:space="0" w:color="auto"/>
        <w:right w:val="none" w:sz="0" w:space="0" w:color="auto"/>
      </w:divBdr>
    </w:div>
    <w:div w:id="1838374959">
      <w:bodyDiv w:val="1"/>
      <w:marLeft w:val="0"/>
      <w:marRight w:val="0"/>
      <w:marTop w:val="0"/>
      <w:marBottom w:val="0"/>
      <w:divBdr>
        <w:top w:val="none" w:sz="0" w:space="0" w:color="auto"/>
        <w:left w:val="none" w:sz="0" w:space="0" w:color="auto"/>
        <w:bottom w:val="none" w:sz="0" w:space="0" w:color="auto"/>
        <w:right w:val="none" w:sz="0" w:space="0" w:color="auto"/>
      </w:divBdr>
    </w:div>
    <w:div w:id="1838569784">
      <w:bodyDiv w:val="1"/>
      <w:marLeft w:val="0"/>
      <w:marRight w:val="0"/>
      <w:marTop w:val="0"/>
      <w:marBottom w:val="0"/>
      <w:divBdr>
        <w:top w:val="none" w:sz="0" w:space="0" w:color="auto"/>
        <w:left w:val="none" w:sz="0" w:space="0" w:color="auto"/>
        <w:bottom w:val="none" w:sz="0" w:space="0" w:color="auto"/>
        <w:right w:val="none" w:sz="0" w:space="0" w:color="auto"/>
      </w:divBdr>
    </w:div>
    <w:div w:id="1839467228">
      <w:bodyDiv w:val="1"/>
      <w:marLeft w:val="0"/>
      <w:marRight w:val="0"/>
      <w:marTop w:val="0"/>
      <w:marBottom w:val="0"/>
      <w:divBdr>
        <w:top w:val="none" w:sz="0" w:space="0" w:color="auto"/>
        <w:left w:val="none" w:sz="0" w:space="0" w:color="auto"/>
        <w:bottom w:val="none" w:sz="0" w:space="0" w:color="auto"/>
        <w:right w:val="none" w:sz="0" w:space="0" w:color="auto"/>
      </w:divBdr>
    </w:div>
    <w:div w:id="1839882014">
      <w:bodyDiv w:val="1"/>
      <w:marLeft w:val="0"/>
      <w:marRight w:val="0"/>
      <w:marTop w:val="0"/>
      <w:marBottom w:val="0"/>
      <w:divBdr>
        <w:top w:val="none" w:sz="0" w:space="0" w:color="auto"/>
        <w:left w:val="none" w:sz="0" w:space="0" w:color="auto"/>
        <w:bottom w:val="none" w:sz="0" w:space="0" w:color="auto"/>
        <w:right w:val="none" w:sz="0" w:space="0" w:color="auto"/>
      </w:divBdr>
    </w:div>
    <w:div w:id="1839999366">
      <w:bodyDiv w:val="1"/>
      <w:marLeft w:val="0"/>
      <w:marRight w:val="0"/>
      <w:marTop w:val="0"/>
      <w:marBottom w:val="0"/>
      <w:divBdr>
        <w:top w:val="none" w:sz="0" w:space="0" w:color="auto"/>
        <w:left w:val="none" w:sz="0" w:space="0" w:color="auto"/>
        <w:bottom w:val="none" w:sz="0" w:space="0" w:color="auto"/>
        <w:right w:val="none" w:sz="0" w:space="0" w:color="auto"/>
      </w:divBdr>
    </w:div>
    <w:div w:id="1840189709">
      <w:bodyDiv w:val="1"/>
      <w:marLeft w:val="0"/>
      <w:marRight w:val="0"/>
      <w:marTop w:val="0"/>
      <w:marBottom w:val="0"/>
      <w:divBdr>
        <w:top w:val="none" w:sz="0" w:space="0" w:color="auto"/>
        <w:left w:val="none" w:sz="0" w:space="0" w:color="auto"/>
        <w:bottom w:val="none" w:sz="0" w:space="0" w:color="auto"/>
        <w:right w:val="none" w:sz="0" w:space="0" w:color="auto"/>
      </w:divBdr>
    </w:div>
    <w:div w:id="1840733423">
      <w:bodyDiv w:val="1"/>
      <w:marLeft w:val="0"/>
      <w:marRight w:val="0"/>
      <w:marTop w:val="0"/>
      <w:marBottom w:val="0"/>
      <w:divBdr>
        <w:top w:val="none" w:sz="0" w:space="0" w:color="auto"/>
        <w:left w:val="none" w:sz="0" w:space="0" w:color="auto"/>
        <w:bottom w:val="none" w:sz="0" w:space="0" w:color="auto"/>
        <w:right w:val="none" w:sz="0" w:space="0" w:color="auto"/>
      </w:divBdr>
    </w:div>
    <w:div w:id="1841003828">
      <w:bodyDiv w:val="1"/>
      <w:marLeft w:val="0"/>
      <w:marRight w:val="0"/>
      <w:marTop w:val="0"/>
      <w:marBottom w:val="0"/>
      <w:divBdr>
        <w:top w:val="none" w:sz="0" w:space="0" w:color="auto"/>
        <w:left w:val="none" w:sz="0" w:space="0" w:color="auto"/>
        <w:bottom w:val="none" w:sz="0" w:space="0" w:color="auto"/>
        <w:right w:val="none" w:sz="0" w:space="0" w:color="auto"/>
      </w:divBdr>
    </w:div>
    <w:div w:id="1841121738">
      <w:bodyDiv w:val="1"/>
      <w:marLeft w:val="0"/>
      <w:marRight w:val="0"/>
      <w:marTop w:val="0"/>
      <w:marBottom w:val="0"/>
      <w:divBdr>
        <w:top w:val="none" w:sz="0" w:space="0" w:color="auto"/>
        <w:left w:val="none" w:sz="0" w:space="0" w:color="auto"/>
        <w:bottom w:val="none" w:sz="0" w:space="0" w:color="auto"/>
        <w:right w:val="none" w:sz="0" w:space="0" w:color="auto"/>
      </w:divBdr>
    </w:div>
    <w:div w:id="1841196950">
      <w:bodyDiv w:val="1"/>
      <w:marLeft w:val="0"/>
      <w:marRight w:val="0"/>
      <w:marTop w:val="0"/>
      <w:marBottom w:val="0"/>
      <w:divBdr>
        <w:top w:val="none" w:sz="0" w:space="0" w:color="auto"/>
        <w:left w:val="none" w:sz="0" w:space="0" w:color="auto"/>
        <w:bottom w:val="none" w:sz="0" w:space="0" w:color="auto"/>
        <w:right w:val="none" w:sz="0" w:space="0" w:color="auto"/>
      </w:divBdr>
    </w:div>
    <w:div w:id="1841236252">
      <w:bodyDiv w:val="1"/>
      <w:marLeft w:val="0"/>
      <w:marRight w:val="0"/>
      <w:marTop w:val="0"/>
      <w:marBottom w:val="0"/>
      <w:divBdr>
        <w:top w:val="none" w:sz="0" w:space="0" w:color="auto"/>
        <w:left w:val="none" w:sz="0" w:space="0" w:color="auto"/>
        <w:bottom w:val="none" w:sz="0" w:space="0" w:color="auto"/>
        <w:right w:val="none" w:sz="0" w:space="0" w:color="auto"/>
      </w:divBdr>
    </w:div>
    <w:div w:id="1841387051">
      <w:bodyDiv w:val="1"/>
      <w:marLeft w:val="0"/>
      <w:marRight w:val="0"/>
      <w:marTop w:val="0"/>
      <w:marBottom w:val="0"/>
      <w:divBdr>
        <w:top w:val="none" w:sz="0" w:space="0" w:color="auto"/>
        <w:left w:val="none" w:sz="0" w:space="0" w:color="auto"/>
        <w:bottom w:val="none" w:sz="0" w:space="0" w:color="auto"/>
        <w:right w:val="none" w:sz="0" w:space="0" w:color="auto"/>
      </w:divBdr>
    </w:div>
    <w:div w:id="1841462952">
      <w:bodyDiv w:val="1"/>
      <w:marLeft w:val="0"/>
      <w:marRight w:val="0"/>
      <w:marTop w:val="0"/>
      <w:marBottom w:val="0"/>
      <w:divBdr>
        <w:top w:val="none" w:sz="0" w:space="0" w:color="auto"/>
        <w:left w:val="none" w:sz="0" w:space="0" w:color="auto"/>
        <w:bottom w:val="none" w:sz="0" w:space="0" w:color="auto"/>
        <w:right w:val="none" w:sz="0" w:space="0" w:color="auto"/>
      </w:divBdr>
    </w:div>
    <w:div w:id="1841575082">
      <w:bodyDiv w:val="1"/>
      <w:marLeft w:val="0"/>
      <w:marRight w:val="0"/>
      <w:marTop w:val="0"/>
      <w:marBottom w:val="0"/>
      <w:divBdr>
        <w:top w:val="none" w:sz="0" w:space="0" w:color="auto"/>
        <w:left w:val="none" w:sz="0" w:space="0" w:color="auto"/>
        <w:bottom w:val="none" w:sz="0" w:space="0" w:color="auto"/>
        <w:right w:val="none" w:sz="0" w:space="0" w:color="auto"/>
      </w:divBdr>
    </w:div>
    <w:div w:id="1841578845">
      <w:bodyDiv w:val="1"/>
      <w:marLeft w:val="0"/>
      <w:marRight w:val="0"/>
      <w:marTop w:val="0"/>
      <w:marBottom w:val="0"/>
      <w:divBdr>
        <w:top w:val="none" w:sz="0" w:space="0" w:color="auto"/>
        <w:left w:val="none" w:sz="0" w:space="0" w:color="auto"/>
        <w:bottom w:val="none" w:sz="0" w:space="0" w:color="auto"/>
        <w:right w:val="none" w:sz="0" w:space="0" w:color="auto"/>
      </w:divBdr>
    </w:div>
    <w:div w:id="1841581190">
      <w:bodyDiv w:val="1"/>
      <w:marLeft w:val="0"/>
      <w:marRight w:val="0"/>
      <w:marTop w:val="0"/>
      <w:marBottom w:val="0"/>
      <w:divBdr>
        <w:top w:val="none" w:sz="0" w:space="0" w:color="auto"/>
        <w:left w:val="none" w:sz="0" w:space="0" w:color="auto"/>
        <w:bottom w:val="none" w:sz="0" w:space="0" w:color="auto"/>
        <w:right w:val="none" w:sz="0" w:space="0" w:color="auto"/>
      </w:divBdr>
    </w:div>
    <w:div w:id="1842043034">
      <w:bodyDiv w:val="1"/>
      <w:marLeft w:val="0"/>
      <w:marRight w:val="0"/>
      <w:marTop w:val="0"/>
      <w:marBottom w:val="0"/>
      <w:divBdr>
        <w:top w:val="none" w:sz="0" w:space="0" w:color="auto"/>
        <w:left w:val="none" w:sz="0" w:space="0" w:color="auto"/>
        <w:bottom w:val="none" w:sz="0" w:space="0" w:color="auto"/>
        <w:right w:val="none" w:sz="0" w:space="0" w:color="auto"/>
      </w:divBdr>
    </w:div>
    <w:div w:id="1842432968">
      <w:bodyDiv w:val="1"/>
      <w:marLeft w:val="0"/>
      <w:marRight w:val="0"/>
      <w:marTop w:val="0"/>
      <w:marBottom w:val="0"/>
      <w:divBdr>
        <w:top w:val="none" w:sz="0" w:space="0" w:color="auto"/>
        <w:left w:val="none" w:sz="0" w:space="0" w:color="auto"/>
        <w:bottom w:val="none" w:sz="0" w:space="0" w:color="auto"/>
        <w:right w:val="none" w:sz="0" w:space="0" w:color="auto"/>
      </w:divBdr>
    </w:div>
    <w:div w:id="1842768070">
      <w:bodyDiv w:val="1"/>
      <w:marLeft w:val="0"/>
      <w:marRight w:val="0"/>
      <w:marTop w:val="0"/>
      <w:marBottom w:val="0"/>
      <w:divBdr>
        <w:top w:val="none" w:sz="0" w:space="0" w:color="auto"/>
        <w:left w:val="none" w:sz="0" w:space="0" w:color="auto"/>
        <w:bottom w:val="none" w:sz="0" w:space="0" w:color="auto"/>
        <w:right w:val="none" w:sz="0" w:space="0" w:color="auto"/>
      </w:divBdr>
    </w:div>
    <w:div w:id="1843548041">
      <w:bodyDiv w:val="1"/>
      <w:marLeft w:val="0"/>
      <w:marRight w:val="0"/>
      <w:marTop w:val="0"/>
      <w:marBottom w:val="0"/>
      <w:divBdr>
        <w:top w:val="none" w:sz="0" w:space="0" w:color="auto"/>
        <w:left w:val="none" w:sz="0" w:space="0" w:color="auto"/>
        <w:bottom w:val="none" w:sz="0" w:space="0" w:color="auto"/>
        <w:right w:val="none" w:sz="0" w:space="0" w:color="auto"/>
      </w:divBdr>
    </w:div>
    <w:div w:id="1843659143">
      <w:bodyDiv w:val="1"/>
      <w:marLeft w:val="0"/>
      <w:marRight w:val="0"/>
      <w:marTop w:val="0"/>
      <w:marBottom w:val="0"/>
      <w:divBdr>
        <w:top w:val="none" w:sz="0" w:space="0" w:color="auto"/>
        <w:left w:val="none" w:sz="0" w:space="0" w:color="auto"/>
        <w:bottom w:val="none" w:sz="0" w:space="0" w:color="auto"/>
        <w:right w:val="none" w:sz="0" w:space="0" w:color="auto"/>
      </w:divBdr>
    </w:div>
    <w:div w:id="1843734649">
      <w:bodyDiv w:val="1"/>
      <w:marLeft w:val="0"/>
      <w:marRight w:val="0"/>
      <w:marTop w:val="0"/>
      <w:marBottom w:val="0"/>
      <w:divBdr>
        <w:top w:val="none" w:sz="0" w:space="0" w:color="auto"/>
        <w:left w:val="none" w:sz="0" w:space="0" w:color="auto"/>
        <w:bottom w:val="none" w:sz="0" w:space="0" w:color="auto"/>
        <w:right w:val="none" w:sz="0" w:space="0" w:color="auto"/>
      </w:divBdr>
    </w:div>
    <w:div w:id="1843855800">
      <w:bodyDiv w:val="1"/>
      <w:marLeft w:val="0"/>
      <w:marRight w:val="0"/>
      <w:marTop w:val="0"/>
      <w:marBottom w:val="0"/>
      <w:divBdr>
        <w:top w:val="none" w:sz="0" w:space="0" w:color="auto"/>
        <w:left w:val="none" w:sz="0" w:space="0" w:color="auto"/>
        <w:bottom w:val="none" w:sz="0" w:space="0" w:color="auto"/>
        <w:right w:val="none" w:sz="0" w:space="0" w:color="auto"/>
      </w:divBdr>
    </w:div>
    <w:div w:id="1843930033">
      <w:bodyDiv w:val="1"/>
      <w:marLeft w:val="0"/>
      <w:marRight w:val="0"/>
      <w:marTop w:val="0"/>
      <w:marBottom w:val="0"/>
      <w:divBdr>
        <w:top w:val="none" w:sz="0" w:space="0" w:color="auto"/>
        <w:left w:val="none" w:sz="0" w:space="0" w:color="auto"/>
        <w:bottom w:val="none" w:sz="0" w:space="0" w:color="auto"/>
        <w:right w:val="none" w:sz="0" w:space="0" w:color="auto"/>
      </w:divBdr>
    </w:div>
    <w:div w:id="1843935422">
      <w:bodyDiv w:val="1"/>
      <w:marLeft w:val="0"/>
      <w:marRight w:val="0"/>
      <w:marTop w:val="0"/>
      <w:marBottom w:val="0"/>
      <w:divBdr>
        <w:top w:val="none" w:sz="0" w:space="0" w:color="auto"/>
        <w:left w:val="none" w:sz="0" w:space="0" w:color="auto"/>
        <w:bottom w:val="none" w:sz="0" w:space="0" w:color="auto"/>
        <w:right w:val="none" w:sz="0" w:space="0" w:color="auto"/>
      </w:divBdr>
    </w:div>
    <w:div w:id="1844469431">
      <w:bodyDiv w:val="1"/>
      <w:marLeft w:val="0"/>
      <w:marRight w:val="0"/>
      <w:marTop w:val="0"/>
      <w:marBottom w:val="0"/>
      <w:divBdr>
        <w:top w:val="none" w:sz="0" w:space="0" w:color="auto"/>
        <w:left w:val="none" w:sz="0" w:space="0" w:color="auto"/>
        <w:bottom w:val="none" w:sz="0" w:space="0" w:color="auto"/>
        <w:right w:val="none" w:sz="0" w:space="0" w:color="auto"/>
      </w:divBdr>
    </w:div>
    <w:div w:id="1844471439">
      <w:bodyDiv w:val="1"/>
      <w:marLeft w:val="0"/>
      <w:marRight w:val="0"/>
      <w:marTop w:val="0"/>
      <w:marBottom w:val="0"/>
      <w:divBdr>
        <w:top w:val="none" w:sz="0" w:space="0" w:color="auto"/>
        <w:left w:val="none" w:sz="0" w:space="0" w:color="auto"/>
        <w:bottom w:val="none" w:sz="0" w:space="0" w:color="auto"/>
        <w:right w:val="none" w:sz="0" w:space="0" w:color="auto"/>
      </w:divBdr>
    </w:div>
    <w:div w:id="1844858891">
      <w:bodyDiv w:val="1"/>
      <w:marLeft w:val="0"/>
      <w:marRight w:val="0"/>
      <w:marTop w:val="0"/>
      <w:marBottom w:val="0"/>
      <w:divBdr>
        <w:top w:val="none" w:sz="0" w:space="0" w:color="auto"/>
        <w:left w:val="none" w:sz="0" w:space="0" w:color="auto"/>
        <w:bottom w:val="none" w:sz="0" w:space="0" w:color="auto"/>
        <w:right w:val="none" w:sz="0" w:space="0" w:color="auto"/>
      </w:divBdr>
    </w:div>
    <w:div w:id="1844973409">
      <w:bodyDiv w:val="1"/>
      <w:marLeft w:val="0"/>
      <w:marRight w:val="0"/>
      <w:marTop w:val="0"/>
      <w:marBottom w:val="0"/>
      <w:divBdr>
        <w:top w:val="none" w:sz="0" w:space="0" w:color="auto"/>
        <w:left w:val="none" w:sz="0" w:space="0" w:color="auto"/>
        <w:bottom w:val="none" w:sz="0" w:space="0" w:color="auto"/>
        <w:right w:val="none" w:sz="0" w:space="0" w:color="auto"/>
      </w:divBdr>
    </w:div>
    <w:div w:id="1844975150">
      <w:bodyDiv w:val="1"/>
      <w:marLeft w:val="0"/>
      <w:marRight w:val="0"/>
      <w:marTop w:val="0"/>
      <w:marBottom w:val="0"/>
      <w:divBdr>
        <w:top w:val="none" w:sz="0" w:space="0" w:color="auto"/>
        <w:left w:val="none" w:sz="0" w:space="0" w:color="auto"/>
        <w:bottom w:val="none" w:sz="0" w:space="0" w:color="auto"/>
        <w:right w:val="none" w:sz="0" w:space="0" w:color="auto"/>
      </w:divBdr>
    </w:div>
    <w:div w:id="1845166169">
      <w:bodyDiv w:val="1"/>
      <w:marLeft w:val="0"/>
      <w:marRight w:val="0"/>
      <w:marTop w:val="0"/>
      <w:marBottom w:val="0"/>
      <w:divBdr>
        <w:top w:val="none" w:sz="0" w:space="0" w:color="auto"/>
        <w:left w:val="none" w:sz="0" w:space="0" w:color="auto"/>
        <w:bottom w:val="none" w:sz="0" w:space="0" w:color="auto"/>
        <w:right w:val="none" w:sz="0" w:space="0" w:color="auto"/>
      </w:divBdr>
    </w:div>
    <w:div w:id="1845238496">
      <w:bodyDiv w:val="1"/>
      <w:marLeft w:val="0"/>
      <w:marRight w:val="0"/>
      <w:marTop w:val="0"/>
      <w:marBottom w:val="0"/>
      <w:divBdr>
        <w:top w:val="none" w:sz="0" w:space="0" w:color="auto"/>
        <w:left w:val="none" w:sz="0" w:space="0" w:color="auto"/>
        <w:bottom w:val="none" w:sz="0" w:space="0" w:color="auto"/>
        <w:right w:val="none" w:sz="0" w:space="0" w:color="auto"/>
      </w:divBdr>
    </w:div>
    <w:div w:id="1845433153">
      <w:bodyDiv w:val="1"/>
      <w:marLeft w:val="0"/>
      <w:marRight w:val="0"/>
      <w:marTop w:val="0"/>
      <w:marBottom w:val="0"/>
      <w:divBdr>
        <w:top w:val="none" w:sz="0" w:space="0" w:color="auto"/>
        <w:left w:val="none" w:sz="0" w:space="0" w:color="auto"/>
        <w:bottom w:val="none" w:sz="0" w:space="0" w:color="auto"/>
        <w:right w:val="none" w:sz="0" w:space="0" w:color="auto"/>
      </w:divBdr>
    </w:div>
    <w:div w:id="1845589697">
      <w:bodyDiv w:val="1"/>
      <w:marLeft w:val="0"/>
      <w:marRight w:val="0"/>
      <w:marTop w:val="0"/>
      <w:marBottom w:val="0"/>
      <w:divBdr>
        <w:top w:val="none" w:sz="0" w:space="0" w:color="auto"/>
        <w:left w:val="none" w:sz="0" w:space="0" w:color="auto"/>
        <w:bottom w:val="none" w:sz="0" w:space="0" w:color="auto"/>
        <w:right w:val="none" w:sz="0" w:space="0" w:color="auto"/>
      </w:divBdr>
    </w:div>
    <w:div w:id="1846440204">
      <w:bodyDiv w:val="1"/>
      <w:marLeft w:val="0"/>
      <w:marRight w:val="0"/>
      <w:marTop w:val="0"/>
      <w:marBottom w:val="0"/>
      <w:divBdr>
        <w:top w:val="none" w:sz="0" w:space="0" w:color="auto"/>
        <w:left w:val="none" w:sz="0" w:space="0" w:color="auto"/>
        <w:bottom w:val="none" w:sz="0" w:space="0" w:color="auto"/>
        <w:right w:val="none" w:sz="0" w:space="0" w:color="auto"/>
      </w:divBdr>
    </w:div>
    <w:div w:id="1846553721">
      <w:bodyDiv w:val="1"/>
      <w:marLeft w:val="0"/>
      <w:marRight w:val="0"/>
      <w:marTop w:val="0"/>
      <w:marBottom w:val="0"/>
      <w:divBdr>
        <w:top w:val="none" w:sz="0" w:space="0" w:color="auto"/>
        <w:left w:val="none" w:sz="0" w:space="0" w:color="auto"/>
        <w:bottom w:val="none" w:sz="0" w:space="0" w:color="auto"/>
        <w:right w:val="none" w:sz="0" w:space="0" w:color="auto"/>
      </w:divBdr>
    </w:div>
    <w:div w:id="1847212518">
      <w:bodyDiv w:val="1"/>
      <w:marLeft w:val="0"/>
      <w:marRight w:val="0"/>
      <w:marTop w:val="0"/>
      <w:marBottom w:val="0"/>
      <w:divBdr>
        <w:top w:val="none" w:sz="0" w:space="0" w:color="auto"/>
        <w:left w:val="none" w:sz="0" w:space="0" w:color="auto"/>
        <w:bottom w:val="none" w:sz="0" w:space="0" w:color="auto"/>
        <w:right w:val="none" w:sz="0" w:space="0" w:color="auto"/>
      </w:divBdr>
    </w:div>
    <w:div w:id="1847356790">
      <w:bodyDiv w:val="1"/>
      <w:marLeft w:val="0"/>
      <w:marRight w:val="0"/>
      <w:marTop w:val="0"/>
      <w:marBottom w:val="0"/>
      <w:divBdr>
        <w:top w:val="none" w:sz="0" w:space="0" w:color="auto"/>
        <w:left w:val="none" w:sz="0" w:space="0" w:color="auto"/>
        <w:bottom w:val="none" w:sz="0" w:space="0" w:color="auto"/>
        <w:right w:val="none" w:sz="0" w:space="0" w:color="auto"/>
      </w:divBdr>
    </w:div>
    <w:div w:id="1847552937">
      <w:bodyDiv w:val="1"/>
      <w:marLeft w:val="0"/>
      <w:marRight w:val="0"/>
      <w:marTop w:val="0"/>
      <w:marBottom w:val="0"/>
      <w:divBdr>
        <w:top w:val="none" w:sz="0" w:space="0" w:color="auto"/>
        <w:left w:val="none" w:sz="0" w:space="0" w:color="auto"/>
        <w:bottom w:val="none" w:sz="0" w:space="0" w:color="auto"/>
        <w:right w:val="none" w:sz="0" w:space="0" w:color="auto"/>
      </w:divBdr>
    </w:div>
    <w:div w:id="1847597534">
      <w:bodyDiv w:val="1"/>
      <w:marLeft w:val="0"/>
      <w:marRight w:val="0"/>
      <w:marTop w:val="0"/>
      <w:marBottom w:val="0"/>
      <w:divBdr>
        <w:top w:val="none" w:sz="0" w:space="0" w:color="auto"/>
        <w:left w:val="none" w:sz="0" w:space="0" w:color="auto"/>
        <w:bottom w:val="none" w:sz="0" w:space="0" w:color="auto"/>
        <w:right w:val="none" w:sz="0" w:space="0" w:color="auto"/>
      </w:divBdr>
    </w:div>
    <w:div w:id="1849249834">
      <w:bodyDiv w:val="1"/>
      <w:marLeft w:val="0"/>
      <w:marRight w:val="0"/>
      <w:marTop w:val="0"/>
      <w:marBottom w:val="0"/>
      <w:divBdr>
        <w:top w:val="none" w:sz="0" w:space="0" w:color="auto"/>
        <w:left w:val="none" w:sz="0" w:space="0" w:color="auto"/>
        <w:bottom w:val="none" w:sz="0" w:space="0" w:color="auto"/>
        <w:right w:val="none" w:sz="0" w:space="0" w:color="auto"/>
      </w:divBdr>
    </w:div>
    <w:div w:id="1849444286">
      <w:bodyDiv w:val="1"/>
      <w:marLeft w:val="0"/>
      <w:marRight w:val="0"/>
      <w:marTop w:val="0"/>
      <w:marBottom w:val="0"/>
      <w:divBdr>
        <w:top w:val="none" w:sz="0" w:space="0" w:color="auto"/>
        <w:left w:val="none" w:sz="0" w:space="0" w:color="auto"/>
        <w:bottom w:val="none" w:sz="0" w:space="0" w:color="auto"/>
        <w:right w:val="none" w:sz="0" w:space="0" w:color="auto"/>
      </w:divBdr>
    </w:div>
    <w:div w:id="1849516992">
      <w:bodyDiv w:val="1"/>
      <w:marLeft w:val="0"/>
      <w:marRight w:val="0"/>
      <w:marTop w:val="0"/>
      <w:marBottom w:val="0"/>
      <w:divBdr>
        <w:top w:val="none" w:sz="0" w:space="0" w:color="auto"/>
        <w:left w:val="none" w:sz="0" w:space="0" w:color="auto"/>
        <w:bottom w:val="none" w:sz="0" w:space="0" w:color="auto"/>
        <w:right w:val="none" w:sz="0" w:space="0" w:color="auto"/>
      </w:divBdr>
    </w:div>
    <w:div w:id="1849829508">
      <w:bodyDiv w:val="1"/>
      <w:marLeft w:val="0"/>
      <w:marRight w:val="0"/>
      <w:marTop w:val="0"/>
      <w:marBottom w:val="0"/>
      <w:divBdr>
        <w:top w:val="none" w:sz="0" w:space="0" w:color="auto"/>
        <w:left w:val="none" w:sz="0" w:space="0" w:color="auto"/>
        <w:bottom w:val="none" w:sz="0" w:space="0" w:color="auto"/>
        <w:right w:val="none" w:sz="0" w:space="0" w:color="auto"/>
      </w:divBdr>
    </w:div>
    <w:div w:id="1849833030">
      <w:bodyDiv w:val="1"/>
      <w:marLeft w:val="0"/>
      <w:marRight w:val="0"/>
      <w:marTop w:val="0"/>
      <w:marBottom w:val="0"/>
      <w:divBdr>
        <w:top w:val="none" w:sz="0" w:space="0" w:color="auto"/>
        <w:left w:val="none" w:sz="0" w:space="0" w:color="auto"/>
        <w:bottom w:val="none" w:sz="0" w:space="0" w:color="auto"/>
        <w:right w:val="none" w:sz="0" w:space="0" w:color="auto"/>
      </w:divBdr>
    </w:div>
    <w:div w:id="1849903386">
      <w:bodyDiv w:val="1"/>
      <w:marLeft w:val="0"/>
      <w:marRight w:val="0"/>
      <w:marTop w:val="0"/>
      <w:marBottom w:val="0"/>
      <w:divBdr>
        <w:top w:val="none" w:sz="0" w:space="0" w:color="auto"/>
        <w:left w:val="none" w:sz="0" w:space="0" w:color="auto"/>
        <w:bottom w:val="none" w:sz="0" w:space="0" w:color="auto"/>
        <w:right w:val="none" w:sz="0" w:space="0" w:color="auto"/>
      </w:divBdr>
    </w:div>
    <w:div w:id="1850176375">
      <w:bodyDiv w:val="1"/>
      <w:marLeft w:val="0"/>
      <w:marRight w:val="0"/>
      <w:marTop w:val="0"/>
      <w:marBottom w:val="0"/>
      <w:divBdr>
        <w:top w:val="none" w:sz="0" w:space="0" w:color="auto"/>
        <w:left w:val="none" w:sz="0" w:space="0" w:color="auto"/>
        <w:bottom w:val="none" w:sz="0" w:space="0" w:color="auto"/>
        <w:right w:val="none" w:sz="0" w:space="0" w:color="auto"/>
      </w:divBdr>
    </w:div>
    <w:div w:id="1850217879">
      <w:bodyDiv w:val="1"/>
      <w:marLeft w:val="0"/>
      <w:marRight w:val="0"/>
      <w:marTop w:val="0"/>
      <w:marBottom w:val="0"/>
      <w:divBdr>
        <w:top w:val="none" w:sz="0" w:space="0" w:color="auto"/>
        <w:left w:val="none" w:sz="0" w:space="0" w:color="auto"/>
        <w:bottom w:val="none" w:sz="0" w:space="0" w:color="auto"/>
        <w:right w:val="none" w:sz="0" w:space="0" w:color="auto"/>
      </w:divBdr>
    </w:div>
    <w:div w:id="1850635643">
      <w:bodyDiv w:val="1"/>
      <w:marLeft w:val="0"/>
      <w:marRight w:val="0"/>
      <w:marTop w:val="0"/>
      <w:marBottom w:val="0"/>
      <w:divBdr>
        <w:top w:val="none" w:sz="0" w:space="0" w:color="auto"/>
        <w:left w:val="none" w:sz="0" w:space="0" w:color="auto"/>
        <w:bottom w:val="none" w:sz="0" w:space="0" w:color="auto"/>
        <w:right w:val="none" w:sz="0" w:space="0" w:color="auto"/>
      </w:divBdr>
    </w:div>
    <w:div w:id="1850829045">
      <w:bodyDiv w:val="1"/>
      <w:marLeft w:val="0"/>
      <w:marRight w:val="0"/>
      <w:marTop w:val="0"/>
      <w:marBottom w:val="0"/>
      <w:divBdr>
        <w:top w:val="none" w:sz="0" w:space="0" w:color="auto"/>
        <w:left w:val="none" w:sz="0" w:space="0" w:color="auto"/>
        <w:bottom w:val="none" w:sz="0" w:space="0" w:color="auto"/>
        <w:right w:val="none" w:sz="0" w:space="0" w:color="auto"/>
      </w:divBdr>
    </w:div>
    <w:div w:id="1851143400">
      <w:bodyDiv w:val="1"/>
      <w:marLeft w:val="0"/>
      <w:marRight w:val="0"/>
      <w:marTop w:val="0"/>
      <w:marBottom w:val="0"/>
      <w:divBdr>
        <w:top w:val="none" w:sz="0" w:space="0" w:color="auto"/>
        <w:left w:val="none" w:sz="0" w:space="0" w:color="auto"/>
        <w:bottom w:val="none" w:sz="0" w:space="0" w:color="auto"/>
        <w:right w:val="none" w:sz="0" w:space="0" w:color="auto"/>
      </w:divBdr>
    </w:div>
    <w:div w:id="1851216607">
      <w:bodyDiv w:val="1"/>
      <w:marLeft w:val="0"/>
      <w:marRight w:val="0"/>
      <w:marTop w:val="0"/>
      <w:marBottom w:val="0"/>
      <w:divBdr>
        <w:top w:val="none" w:sz="0" w:space="0" w:color="auto"/>
        <w:left w:val="none" w:sz="0" w:space="0" w:color="auto"/>
        <w:bottom w:val="none" w:sz="0" w:space="0" w:color="auto"/>
        <w:right w:val="none" w:sz="0" w:space="0" w:color="auto"/>
      </w:divBdr>
    </w:div>
    <w:div w:id="1851601239">
      <w:bodyDiv w:val="1"/>
      <w:marLeft w:val="0"/>
      <w:marRight w:val="0"/>
      <w:marTop w:val="0"/>
      <w:marBottom w:val="0"/>
      <w:divBdr>
        <w:top w:val="none" w:sz="0" w:space="0" w:color="auto"/>
        <w:left w:val="none" w:sz="0" w:space="0" w:color="auto"/>
        <w:bottom w:val="none" w:sz="0" w:space="0" w:color="auto"/>
        <w:right w:val="none" w:sz="0" w:space="0" w:color="auto"/>
      </w:divBdr>
    </w:div>
    <w:div w:id="1851721030">
      <w:bodyDiv w:val="1"/>
      <w:marLeft w:val="0"/>
      <w:marRight w:val="0"/>
      <w:marTop w:val="0"/>
      <w:marBottom w:val="0"/>
      <w:divBdr>
        <w:top w:val="none" w:sz="0" w:space="0" w:color="auto"/>
        <w:left w:val="none" w:sz="0" w:space="0" w:color="auto"/>
        <w:bottom w:val="none" w:sz="0" w:space="0" w:color="auto"/>
        <w:right w:val="none" w:sz="0" w:space="0" w:color="auto"/>
      </w:divBdr>
    </w:div>
    <w:div w:id="1852865701">
      <w:bodyDiv w:val="1"/>
      <w:marLeft w:val="0"/>
      <w:marRight w:val="0"/>
      <w:marTop w:val="0"/>
      <w:marBottom w:val="0"/>
      <w:divBdr>
        <w:top w:val="none" w:sz="0" w:space="0" w:color="auto"/>
        <w:left w:val="none" w:sz="0" w:space="0" w:color="auto"/>
        <w:bottom w:val="none" w:sz="0" w:space="0" w:color="auto"/>
        <w:right w:val="none" w:sz="0" w:space="0" w:color="auto"/>
      </w:divBdr>
    </w:div>
    <w:div w:id="1853445624">
      <w:bodyDiv w:val="1"/>
      <w:marLeft w:val="0"/>
      <w:marRight w:val="0"/>
      <w:marTop w:val="0"/>
      <w:marBottom w:val="0"/>
      <w:divBdr>
        <w:top w:val="none" w:sz="0" w:space="0" w:color="auto"/>
        <w:left w:val="none" w:sz="0" w:space="0" w:color="auto"/>
        <w:bottom w:val="none" w:sz="0" w:space="0" w:color="auto"/>
        <w:right w:val="none" w:sz="0" w:space="0" w:color="auto"/>
      </w:divBdr>
    </w:div>
    <w:div w:id="1853690591">
      <w:bodyDiv w:val="1"/>
      <w:marLeft w:val="0"/>
      <w:marRight w:val="0"/>
      <w:marTop w:val="0"/>
      <w:marBottom w:val="0"/>
      <w:divBdr>
        <w:top w:val="none" w:sz="0" w:space="0" w:color="auto"/>
        <w:left w:val="none" w:sz="0" w:space="0" w:color="auto"/>
        <w:bottom w:val="none" w:sz="0" w:space="0" w:color="auto"/>
        <w:right w:val="none" w:sz="0" w:space="0" w:color="auto"/>
      </w:divBdr>
    </w:div>
    <w:div w:id="1853690611">
      <w:bodyDiv w:val="1"/>
      <w:marLeft w:val="0"/>
      <w:marRight w:val="0"/>
      <w:marTop w:val="0"/>
      <w:marBottom w:val="0"/>
      <w:divBdr>
        <w:top w:val="none" w:sz="0" w:space="0" w:color="auto"/>
        <w:left w:val="none" w:sz="0" w:space="0" w:color="auto"/>
        <w:bottom w:val="none" w:sz="0" w:space="0" w:color="auto"/>
        <w:right w:val="none" w:sz="0" w:space="0" w:color="auto"/>
      </w:divBdr>
    </w:div>
    <w:div w:id="1854491930">
      <w:bodyDiv w:val="1"/>
      <w:marLeft w:val="0"/>
      <w:marRight w:val="0"/>
      <w:marTop w:val="0"/>
      <w:marBottom w:val="0"/>
      <w:divBdr>
        <w:top w:val="none" w:sz="0" w:space="0" w:color="auto"/>
        <w:left w:val="none" w:sz="0" w:space="0" w:color="auto"/>
        <w:bottom w:val="none" w:sz="0" w:space="0" w:color="auto"/>
        <w:right w:val="none" w:sz="0" w:space="0" w:color="auto"/>
      </w:divBdr>
    </w:div>
    <w:div w:id="1855261200">
      <w:bodyDiv w:val="1"/>
      <w:marLeft w:val="0"/>
      <w:marRight w:val="0"/>
      <w:marTop w:val="0"/>
      <w:marBottom w:val="0"/>
      <w:divBdr>
        <w:top w:val="none" w:sz="0" w:space="0" w:color="auto"/>
        <w:left w:val="none" w:sz="0" w:space="0" w:color="auto"/>
        <w:bottom w:val="none" w:sz="0" w:space="0" w:color="auto"/>
        <w:right w:val="none" w:sz="0" w:space="0" w:color="auto"/>
      </w:divBdr>
    </w:div>
    <w:div w:id="1855652627">
      <w:bodyDiv w:val="1"/>
      <w:marLeft w:val="0"/>
      <w:marRight w:val="0"/>
      <w:marTop w:val="0"/>
      <w:marBottom w:val="0"/>
      <w:divBdr>
        <w:top w:val="none" w:sz="0" w:space="0" w:color="auto"/>
        <w:left w:val="none" w:sz="0" w:space="0" w:color="auto"/>
        <w:bottom w:val="none" w:sz="0" w:space="0" w:color="auto"/>
        <w:right w:val="none" w:sz="0" w:space="0" w:color="auto"/>
      </w:divBdr>
    </w:div>
    <w:div w:id="1856841100">
      <w:bodyDiv w:val="1"/>
      <w:marLeft w:val="0"/>
      <w:marRight w:val="0"/>
      <w:marTop w:val="0"/>
      <w:marBottom w:val="0"/>
      <w:divBdr>
        <w:top w:val="none" w:sz="0" w:space="0" w:color="auto"/>
        <w:left w:val="none" w:sz="0" w:space="0" w:color="auto"/>
        <w:bottom w:val="none" w:sz="0" w:space="0" w:color="auto"/>
        <w:right w:val="none" w:sz="0" w:space="0" w:color="auto"/>
      </w:divBdr>
    </w:div>
    <w:div w:id="1857499389">
      <w:bodyDiv w:val="1"/>
      <w:marLeft w:val="0"/>
      <w:marRight w:val="0"/>
      <w:marTop w:val="0"/>
      <w:marBottom w:val="0"/>
      <w:divBdr>
        <w:top w:val="none" w:sz="0" w:space="0" w:color="auto"/>
        <w:left w:val="none" w:sz="0" w:space="0" w:color="auto"/>
        <w:bottom w:val="none" w:sz="0" w:space="0" w:color="auto"/>
        <w:right w:val="none" w:sz="0" w:space="0" w:color="auto"/>
      </w:divBdr>
    </w:div>
    <w:div w:id="1857889720">
      <w:bodyDiv w:val="1"/>
      <w:marLeft w:val="0"/>
      <w:marRight w:val="0"/>
      <w:marTop w:val="0"/>
      <w:marBottom w:val="0"/>
      <w:divBdr>
        <w:top w:val="none" w:sz="0" w:space="0" w:color="auto"/>
        <w:left w:val="none" w:sz="0" w:space="0" w:color="auto"/>
        <w:bottom w:val="none" w:sz="0" w:space="0" w:color="auto"/>
        <w:right w:val="none" w:sz="0" w:space="0" w:color="auto"/>
      </w:divBdr>
    </w:div>
    <w:div w:id="1858544243">
      <w:bodyDiv w:val="1"/>
      <w:marLeft w:val="0"/>
      <w:marRight w:val="0"/>
      <w:marTop w:val="0"/>
      <w:marBottom w:val="0"/>
      <w:divBdr>
        <w:top w:val="none" w:sz="0" w:space="0" w:color="auto"/>
        <w:left w:val="none" w:sz="0" w:space="0" w:color="auto"/>
        <w:bottom w:val="none" w:sz="0" w:space="0" w:color="auto"/>
        <w:right w:val="none" w:sz="0" w:space="0" w:color="auto"/>
      </w:divBdr>
    </w:div>
    <w:div w:id="1858884029">
      <w:bodyDiv w:val="1"/>
      <w:marLeft w:val="0"/>
      <w:marRight w:val="0"/>
      <w:marTop w:val="0"/>
      <w:marBottom w:val="0"/>
      <w:divBdr>
        <w:top w:val="none" w:sz="0" w:space="0" w:color="auto"/>
        <w:left w:val="none" w:sz="0" w:space="0" w:color="auto"/>
        <w:bottom w:val="none" w:sz="0" w:space="0" w:color="auto"/>
        <w:right w:val="none" w:sz="0" w:space="0" w:color="auto"/>
      </w:divBdr>
    </w:div>
    <w:div w:id="1858957608">
      <w:bodyDiv w:val="1"/>
      <w:marLeft w:val="0"/>
      <w:marRight w:val="0"/>
      <w:marTop w:val="0"/>
      <w:marBottom w:val="0"/>
      <w:divBdr>
        <w:top w:val="none" w:sz="0" w:space="0" w:color="auto"/>
        <w:left w:val="none" w:sz="0" w:space="0" w:color="auto"/>
        <w:bottom w:val="none" w:sz="0" w:space="0" w:color="auto"/>
        <w:right w:val="none" w:sz="0" w:space="0" w:color="auto"/>
      </w:divBdr>
    </w:div>
    <w:div w:id="1859543864">
      <w:bodyDiv w:val="1"/>
      <w:marLeft w:val="0"/>
      <w:marRight w:val="0"/>
      <w:marTop w:val="0"/>
      <w:marBottom w:val="0"/>
      <w:divBdr>
        <w:top w:val="none" w:sz="0" w:space="0" w:color="auto"/>
        <w:left w:val="none" w:sz="0" w:space="0" w:color="auto"/>
        <w:bottom w:val="none" w:sz="0" w:space="0" w:color="auto"/>
        <w:right w:val="none" w:sz="0" w:space="0" w:color="auto"/>
      </w:divBdr>
    </w:div>
    <w:div w:id="1859614944">
      <w:bodyDiv w:val="1"/>
      <w:marLeft w:val="0"/>
      <w:marRight w:val="0"/>
      <w:marTop w:val="0"/>
      <w:marBottom w:val="0"/>
      <w:divBdr>
        <w:top w:val="none" w:sz="0" w:space="0" w:color="auto"/>
        <w:left w:val="none" w:sz="0" w:space="0" w:color="auto"/>
        <w:bottom w:val="none" w:sz="0" w:space="0" w:color="auto"/>
        <w:right w:val="none" w:sz="0" w:space="0" w:color="auto"/>
      </w:divBdr>
    </w:div>
    <w:div w:id="1859851801">
      <w:bodyDiv w:val="1"/>
      <w:marLeft w:val="0"/>
      <w:marRight w:val="0"/>
      <w:marTop w:val="0"/>
      <w:marBottom w:val="0"/>
      <w:divBdr>
        <w:top w:val="none" w:sz="0" w:space="0" w:color="auto"/>
        <w:left w:val="none" w:sz="0" w:space="0" w:color="auto"/>
        <w:bottom w:val="none" w:sz="0" w:space="0" w:color="auto"/>
        <w:right w:val="none" w:sz="0" w:space="0" w:color="auto"/>
      </w:divBdr>
    </w:div>
    <w:div w:id="1860119993">
      <w:bodyDiv w:val="1"/>
      <w:marLeft w:val="0"/>
      <w:marRight w:val="0"/>
      <w:marTop w:val="0"/>
      <w:marBottom w:val="0"/>
      <w:divBdr>
        <w:top w:val="none" w:sz="0" w:space="0" w:color="auto"/>
        <w:left w:val="none" w:sz="0" w:space="0" w:color="auto"/>
        <w:bottom w:val="none" w:sz="0" w:space="0" w:color="auto"/>
        <w:right w:val="none" w:sz="0" w:space="0" w:color="auto"/>
      </w:divBdr>
    </w:div>
    <w:div w:id="1860239998">
      <w:bodyDiv w:val="1"/>
      <w:marLeft w:val="0"/>
      <w:marRight w:val="0"/>
      <w:marTop w:val="0"/>
      <w:marBottom w:val="0"/>
      <w:divBdr>
        <w:top w:val="none" w:sz="0" w:space="0" w:color="auto"/>
        <w:left w:val="none" w:sz="0" w:space="0" w:color="auto"/>
        <w:bottom w:val="none" w:sz="0" w:space="0" w:color="auto"/>
        <w:right w:val="none" w:sz="0" w:space="0" w:color="auto"/>
      </w:divBdr>
    </w:div>
    <w:div w:id="1860506861">
      <w:bodyDiv w:val="1"/>
      <w:marLeft w:val="0"/>
      <w:marRight w:val="0"/>
      <w:marTop w:val="0"/>
      <w:marBottom w:val="0"/>
      <w:divBdr>
        <w:top w:val="none" w:sz="0" w:space="0" w:color="auto"/>
        <w:left w:val="none" w:sz="0" w:space="0" w:color="auto"/>
        <w:bottom w:val="none" w:sz="0" w:space="0" w:color="auto"/>
        <w:right w:val="none" w:sz="0" w:space="0" w:color="auto"/>
      </w:divBdr>
    </w:div>
    <w:div w:id="1860585744">
      <w:bodyDiv w:val="1"/>
      <w:marLeft w:val="0"/>
      <w:marRight w:val="0"/>
      <w:marTop w:val="0"/>
      <w:marBottom w:val="0"/>
      <w:divBdr>
        <w:top w:val="none" w:sz="0" w:space="0" w:color="auto"/>
        <w:left w:val="none" w:sz="0" w:space="0" w:color="auto"/>
        <w:bottom w:val="none" w:sz="0" w:space="0" w:color="auto"/>
        <w:right w:val="none" w:sz="0" w:space="0" w:color="auto"/>
      </w:divBdr>
    </w:div>
    <w:div w:id="1860974165">
      <w:bodyDiv w:val="1"/>
      <w:marLeft w:val="0"/>
      <w:marRight w:val="0"/>
      <w:marTop w:val="0"/>
      <w:marBottom w:val="0"/>
      <w:divBdr>
        <w:top w:val="none" w:sz="0" w:space="0" w:color="auto"/>
        <w:left w:val="none" w:sz="0" w:space="0" w:color="auto"/>
        <w:bottom w:val="none" w:sz="0" w:space="0" w:color="auto"/>
        <w:right w:val="none" w:sz="0" w:space="0" w:color="auto"/>
      </w:divBdr>
    </w:div>
    <w:div w:id="1861040971">
      <w:bodyDiv w:val="1"/>
      <w:marLeft w:val="0"/>
      <w:marRight w:val="0"/>
      <w:marTop w:val="0"/>
      <w:marBottom w:val="0"/>
      <w:divBdr>
        <w:top w:val="none" w:sz="0" w:space="0" w:color="auto"/>
        <w:left w:val="none" w:sz="0" w:space="0" w:color="auto"/>
        <w:bottom w:val="none" w:sz="0" w:space="0" w:color="auto"/>
        <w:right w:val="none" w:sz="0" w:space="0" w:color="auto"/>
      </w:divBdr>
    </w:div>
    <w:div w:id="1861158580">
      <w:bodyDiv w:val="1"/>
      <w:marLeft w:val="0"/>
      <w:marRight w:val="0"/>
      <w:marTop w:val="0"/>
      <w:marBottom w:val="0"/>
      <w:divBdr>
        <w:top w:val="none" w:sz="0" w:space="0" w:color="auto"/>
        <w:left w:val="none" w:sz="0" w:space="0" w:color="auto"/>
        <w:bottom w:val="none" w:sz="0" w:space="0" w:color="auto"/>
        <w:right w:val="none" w:sz="0" w:space="0" w:color="auto"/>
      </w:divBdr>
    </w:div>
    <w:div w:id="1861165362">
      <w:bodyDiv w:val="1"/>
      <w:marLeft w:val="0"/>
      <w:marRight w:val="0"/>
      <w:marTop w:val="0"/>
      <w:marBottom w:val="0"/>
      <w:divBdr>
        <w:top w:val="none" w:sz="0" w:space="0" w:color="auto"/>
        <w:left w:val="none" w:sz="0" w:space="0" w:color="auto"/>
        <w:bottom w:val="none" w:sz="0" w:space="0" w:color="auto"/>
        <w:right w:val="none" w:sz="0" w:space="0" w:color="auto"/>
      </w:divBdr>
    </w:div>
    <w:div w:id="1861309942">
      <w:bodyDiv w:val="1"/>
      <w:marLeft w:val="0"/>
      <w:marRight w:val="0"/>
      <w:marTop w:val="0"/>
      <w:marBottom w:val="0"/>
      <w:divBdr>
        <w:top w:val="none" w:sz="0" w:space="0" w:color="auto"/>
        <w:left w:val="none" w:sz="0" w:space="0" w:color="auto"/>
        <w:bottom w:val="none" w:sz="0" w:space="0" w:color="auto"/>
        <w:right w:val="none" w:sz="0" w:space="0" w:color="auto"/>
      </w:divBdr>
    </w:div>
    <w:div w:id="1861354159">
      <w:bodyDiv w:val="1"/>
      <w:marLeft w:val="0"/>
      <w:marRight w:val="0"/>
      <w:marTop w:val="0"/>
      <w:marBottom w:val="0"/>
      <w:divBdr>
        <w:top w:val="none" w:sz="0" w:space="0" w:color="auto"/>
        <w:left w:val="none" w:sz="0" w:space="0" w:color="auto"/>
        <w:bottom w:val="none" w:sz="0" w:space="0" w:color="auto"/>
        <w:right w:val="none" w:sz="0" w:space="0" w:color="auto"/>
      </w:divBdr>
    </w:div>
    <w:div w:id="1861429905">
      <w:bodyDiv w:val="1"/>
      <w:marLeft w:val="0"/>
      <w:marRight w:val="0"/>
      <w:marTop w:val="0"/>
      <w:marBottom w:val="0"/>
      <w:divBdr>
        <w:top w:val="none" w:sz="0" w:space="0" w:color="auto"/>
        <w:left w:val="none" w:sz="0" w:space="0" w:color="auto"/>
        <w:bottom w:val="none" w:sz="0" w:space="0" w:color="auto"/>
        <w:right w:val="none" w:sz="0" w:space="0" w:color="auto"/>
      </w:divBdr>
    </w:div>
    <w:div w:id="1861505760">
      <w:bodyDiv w:val="1"/>
      <w:marLeft w:val="0"/>
      <w:marRight w:val="0"/>
      <w:marTop w:val="0"/>
      <w:marBottom w:val="0"/>
      <w:divBdr>
        <w:top w:val="none" w:sz="0" w:space="0" w:color="auto"/>
        <w:left w:val="none" w:sz="0" w:space="0" w:color="auto"/>
        <w:bottom w:val="none" w:sz="0" w:space="0" w:color="auto"/>
        <w:right w:val="none" w:sz="0" w:space="0" w:color="auto"/>
      </w:divBdr>
    </w:div>
    <w:div w:id="1861700004">
      <w:bodyDiv w:val="1"/>
      <w:marLeft w:val="0"/>
      <w:marRight w:val="0"/>
      <w:marTop w:val="0"/>
      <w:marBottom w:val="0"/>
      <w:divBdr>
        <w:top w:val="none" w:sz="0" w:space="0" w:color="auto"/>
        <w:left w:val="none" w:sz="0" w:space="0" w:color="auto"/>
        <w:bottom w:val="none" w:sz="0" w:space="0" w:color="auto"/>
        <w:right w:val="none" w:sz="0" w:space="0" w:color="auto"/>
      </w:divBdr>
    </w:div>
    <w:div w:id="1861817494">
      <w:bodyDiv w:val="1"/>
      <w:marLeft w:val="0"/>
      <w:marRight w:val="0"/>
      <w:marTop w:val="0"/>
      <w:marBottom w:val="0"/>
      <w:divBdr>
        <w:top w:val="none" w:sz="0" w:space="0" w:color="auto"/>
        <w:left w:val="none" w:sz="0" w:space="0" w:color="auto"/>
        <w:bottom w:val="none" w:sz="0" w:space="0" w:color="auto"/>
        <w:right w:val="none" w:sz="0" w:space="0" w:color="auto"/>
      </w:divBdr>
    </w:div>
    <w:div w:id="1861964862">
      <w:bodyDiv w:val="1"/>
      <w:marLeft w:val="0"/>
      <w:marRight w:val="0"/>
      <w:marTop w:val="0"/>
      <w:marBottom w:val="0"/>
      <w:divBdr>
        <w:top w:val="none" w:sz="0" w:space="0" w:color="auto"/>
        <w:left w:val="none" w:sz="0" w:space="0" w:color="auto"/>
        <w:bottom w:val="none" w:sz="0" w:space="0" w:color="auto"/>
        <w:right w:val="none" w:sz="0" w:space="0" w:color="auto"/>
      </w:divBdr>
    </w:div>
    <w:div w:id="1862476516">
      <w:bodyDiv w:val="1"/>
      <w:marLeft w:val="0"/>
      <w:marRight w:val="0"/>
      <w:marTop w:val="0"/>
      <w:marBottom w:val="0"/>
      <w:divBdr>
        <w:top w:val="none" w:sz="0" w:space="0" w:color="auto"/>
        <w:left w:val="none" w:sz="0" w:space="0" w:color="auto"/>
        <w:bottom w:val="none" w:sz="0" w:space="0" w:color="auto"/>
        <w:right w:val="none" w:sz="0" w:space="0" w:color="auto"/>
      </w:divBdr>
    </w:div>
    <w:div w:id="1862669829">
      <w:bodyDiv w:val="1"/>
      <w:marLeft w:val="0"/>
      <w:marRight w:val="0"/>
      <w:marTop w:val="0"/>
      <w:marBottom w:val="0"/>
      <w:divBdr>
        <w:top w:val="none" w:sz="0" w:space="0" w:color="auto"/>
        <w:left w:val="none" w:sz="0" w:space="0" w:color="auto"/>
        <w:bottom w:val="none" w:sz="0" w:space="0" w:color="auto"/>
        <w:right w:val="none" w:sz="0" w:space="0" w:color="auto"/>
      </w:divBdr>
    </w:div>
    <w:div w:id="1862670325">
      <w:bodyDiv w:val="1"/>
      <w:marLeft w:val="0"/>
      <w:marRight w:val="0"/>
      <w:marTop w:val="0"/>
      <w:marBottom w:val="0"/>
      <w:divBdr>
        <w:top w:val="none" w:sz="0" w:space="0" w:color="auto"/>
        <w:left w:val="none" w:sz="0" w:space="0" w:color="auto"/>
        <w:bottom w:val="none" w:sz="0" w:space="0" w:color="auto"/>
        <w:right w:val="none" w:sz="0" w:space="0" w:color="auto"/>
      </w:divBdr>
    </w:div>
    <w:div w:id="1862889143">
      <w:bodyDiv w:val="1"/>
      <w:marLeft w:val="0"/>
      <w:marRight w:val="0"/>
      <w:marTop w:val="0"/>
      <w:marBottom w:val="0"/>
      <w:divBdr>
        <w:top w:val="none" w:sz="0" w:space="0" w:color="auto"/>
        <w:left w:val="none" w:sz="0" w:space="0" w:color="auto"/>
        <w:bottom w:val="none" w:sz="0" w:space="0" w:color="auto"/>
        <w:right w:val="none" w:sz="0" w:space="0" w:color="auto"/>
      </w:divBdr>
    </w:div>
    <w:div w:id="1862935580">
      <w:bodyDiv w:val="1"/>
      <w:marLeft w:val="0"/>
      <w:marRight w:val="0"/>
      <w:marTop w:val="0"/>
      <w:marBottom w:val="0"/>
      <w:divBdr>
        <w:top w:val="none" w:sz="0" w:space="0" w:color="auto"/>
        <w:left w:val="none" w:sz="0" w:space="0" w:color="auto"/>
        <w:bottom w:val="none" w:sz="0" w:space="0" w:color="auto"/>
        <w:right w:val="none" w:sz="0" w:space="0" w:color="auto"/>
      </w:divBdr>
    </w:div>
    <w:div w:id="1863590405">
      <w:bodyDiv w:val="1"/>
      <w:marLeft w:val="0"/>
      <w:marRight w:val="0"/>
      <w:marTop w:val="0"/>
      <w:marBottom w:val="0"/>
      <w:divBdr>
        <w:top w:val="none" w:sz="0" w:space="0" w:color="auto"/>
        <w:left w:val="none" w:sz="0" w:space="0" w:color="auto"/>
        <w:bottom w:val="none" w:sz="0" w:space="0" w:color="auto"/>
        <w:right w:val="none" w:sz="0" w:space="0" w:color="auto"/>
      </w:divBdr>
    </w:div>
    <w:div w:id="1863664036">
      <w:bodyDiv w:val="1"/>
      <w:marLeft w:val="0"/>
      <w:marRight w:val="0"/>
      <w:marTop w:val="0"/>
      <w:marBottom w:val="0"/>
      <w:divBdr>
        <w:top w:val="none" w:sz="0" w:space="0" w:color="auto"/>
        <w:left w:val="none" w:sz="0" w:space="0" w:color="auto"/>
        <w:bottom w:val="none" w:sz="0" w:space="0" w:color="auto"/>
        <w:right w:val="none" w:sz="0" w:space="0" w:color="auto"/>
      </w:divBdr>
    </w:div>
    <w:div w:id="1863780323">
      <w:bodyDiv w:val="1"/>
      <w:marLeft w:val="0"/>
      <w:marRight w:val="0"/>
      <w:marTop w:val="0"/>
      <w:marBottom w:val="0"/>
      <w:divBdr>
        <w:top w:val="none" w:sz="0" w:space="0" w:color="auto"/>
        <w:left w:val="none" w:sz="0" w:space="0" w:color="auto"/>
        <w:bottom w:val="none" w:sz="0" w:space="0" w:color="auto"/>
        <w:right w:val="none" w:sz="0" w:space="0" w:color="auto"/>
      </w:divBdr>
    </w:div>
    <w:div w:id="1863785140">
      <w:bodyDiv w:val="1"/>
      <w:marLeft w:val="0"/>
      <w:marRight w:val="0"/>
      <w:marTop w:val="0"/>
      <w:marBottom w:val="0"/>
      <w:divBdr>
        <w:top w:val="none" w:sz="0" w:space="0" w:color="auto"/>
        <w:left w:val="none" w:sz="0" w:space="0" w:color="auto"/>
        <w:bottom w:val="none" w:sz="0" w:space="0" w:color="auto"/>
        <w:right w:val="none" w:sz="0" w:space="0" w:color="auto"/>
      </w:divBdr>
    </w:div>
    <w:div w:id="1863863708">
      <w:bodyDiv w:val="1"/>
      <w:marLeft w:val="0"/>
      <w:marRight w:val="0"/>
      <w:marTop w:val="0"/>
      <w:marBottom w:val="0"/>
      <w:divBdr>
        <w:top w:val="none" w:sz="0" w:space="0" w:color="auto"/>
        <w:left w:val="none" w:sz="0" w:space="0" w:color="auto"/>
        <w:bottom w:val="none" w:sz="0" w:space="0" w:color="auto"/>
        <w:right w:val="none" w:sz="0" w:space="0" w:color="auto"/>
      </w:divBdr>
    </w:div>
    <w:div w:id="1864172777">
      <w:bodyDiv w:val="1"/>
      <w:marLeft w:val="0"/>
      <w:marRight w:val="0"/>
      <w:marTop w:val="0"/>
      <w:marBottom w:val="0"/>
      <w:divBdr>
        <w:top w:val="none" w:sz="0" w:space="0" w:color="auto"/>
        <w:left w:val="none" w:sz="0" w:space="0" w:color="auto"/>
        <w:bottom w:val="none" w:sz="0" w:space="0" w:color="auto"/>
        <w:right w:val="none" w:sz="0" w:space="0" w:color="auto"/>
      </w:divBdr>
    </w:div>
    <w:div w:id="1864203618">
      <w:bodyDiv w:val="1"/>
      <w:marLeft w:val="0"/>
      <w:marRight w:val="0"/>
      <w:marTop w:val="0"/>
      <w:marBottom w:val="0"/>
      <w:divBdr>
        <w:top w:val="none" w:sz="0" w:space="0" w:color="auto"/>
        <w:left w:val="none" w:sz="0" w:space="0" w:color="auto"/>
        <w:bottom w:val="none" w:sz="0" w:space="0" w:color="auto"/>
        <w:right w:val="none" w:sz="0" w:space="0" w:color="auto"/>
      </w:divBdr>
    </w:div>
    <w:div w:id="1864323080">
      <w:bodyDiv w:val="1"/>
      <w:marLeft w:val="0"/>
      <w:marRight w:val="0"/>
      <w:marTop w:val="0"/>
      <w:marBottom w:val="0"/>
      <w:divBdr>
        <w:top w:val="none" w:sz="0" w:space="0" w:color="auto"/>
        <w:left w:val="none" w:sz="0" w:space="0" w:color="auto"/>
        <w:bottom w:val="none" w:sz="0" w:space="0" w:color="auto"/>
        <w:right w:val="none" w:sz="0" w:space="0" w:color="auto"/>
      </w:divBdr>
    </w:div>
    <w:div w:id="1864587540">
      <w:bodyDiv w:val="1"/>
      <w:marLeft w:val="0"/>
      <w:marRight w:val="0"/>
      <w:marTop w:val="0"/>
      <w:marBottom w:val="0"/>
      <w:divBdr>
        <w:top w:val="none" w:sz="0" w:space="0" w:color="auto"/>
        <w:left w:val="none" w:sz="0" w:space="0" w:color="auto"/>
        <w:bottom w:val="none" w:sz="0" w:space="0" w:color="auto"/>
        <w:right w:val="none" w:sz="0" w:space="0" w:color="auto"/>
      </w:divBdr>
    </w:div>
    <w:div w:id="1864779530">
      <w:bodyDiv w:val="1"/>
      <w:marLeft w:val="0"/>
      <w:marRight w:val="0"/>
      <w:marTop w:val="0"/>
      <w:marBottom w:val="0"/>
      <w:divBdr>
        <w:top w:val="none" w:sz="0" w:space="0" w:color="auto"/>
        <w:left w:val="none" w:sz="0" w:space="0" w:color="auto"/>
        <w:bottom w:val="none" w:sz="0" w:space="0" w:color="auto"/>
        <w:right w:val="none" w:sz="0" w:space="0" w:color="auto"/>
      </w:divBdr>
    </w:div>
    <w:div w:id="1864981118">
      <w:bodyDiv w:val="1"/>
      <w:marLeft w:val="0"/>
      <w:marRight w:val="0"/>
      <w:marTop w:val="0"/>
      <w:marBottom w:val="0"/>
      <w:divBdr>
        <w:top w:val="none" w:sz="0" w:space="0" w:color="auto"/>
        <w:left w:val="none" w:sz="0" w:space="0" w:color="auto"/>
        <w:bottom w:val="none" w:sz="0" w:space="0" w:color="auto"/>
        <w:right w:val="none" w:sz="0" w:space="0" w:color="auto"/>
      </w:divBdr>
    </w:div>
    <w:div w:id="1865248792">
      <w:bodyDiv w:val="1"/>
      <w:marLeft w:val="0"/>
      <w:marRight w:val="0"/>
      <w:marTop w:val="0"/>
      <w:marBottom w:val="0"/>
      <w:divBdr>
        <w:top w:val="none" w:sz="0" w:space="0" w:color="auto"/>
        <w:left w:val="none" w:sz="0" w:space="0" w:color="auto"/>
        <w:bottom w:val="none" w:sz="0" w:space="0" w:color="auto"/>
        <w:right w:val="none" w:sz="0" w:space="0" w:color="auto"/>
      </w:divBdr>
    </w:div>
    <w:div w:id="1865362260">
      <w:bodyDiv w:val="1"/>
      <w:marLeft w:val="0"/>
      <w:marRight w:val="0"/>
      <w:marTop w:val="0"/>
      <w:marBottom w:val="0"/>
      <w:divBdr>
        <w:top w:val="none" w:sz="0" w:space="0" w:color="auto"/>
        <w:left w:val="none" w:sz="0" w:space="0" w:color="auto"/>
        <w:bottom w:val="none" w:sz="0" w:space="0" w:color="auto"/>
        <w:right w:val="none" w:sz="0" w:space="0" w:color="auto"/>
      </w:divBdr>
    </w:div>
    <w:div w:id="1865746936">
      <w:bodyDiv w:val="1"/>
      <w:marLeft w:val="0"/>
      <w:marRight w:val="0"/>
      <w:marTop w:val="0"/>
      <w:marBottom w:val="0"/>
      <w:divBdr>
        <w:top w:val="none" w:sz="0" w:space="0" w:color="auto"/>
        <w:left w:val="none" w:sz="0" w:space="0" w:color="auto"/>
        <w:bottom w:val="none" w:sz="0" w:space="0" w:color="auto"/>
        <w:right w:val="none" w:sz="0" w:space="0" w:color="auto"/>
      </w:divBdr>
    </w:div>
    <w:div w:id="1865752219">
      <w:bodyDiv w:val="1"/>
      <w:marLeft w:val="0"/>
      <w:marRight w:val="0"/>
      <w:marTop w:val="0"/>
      <w:marBottom w:val="0"/>
      <w:divBdr>
        <w:top w:val="none" w:sz="0" w:space="0" w:color="auto"/>
        <w:left w:val="none" w:sz="0" w:space="0" w:color="auto"/>
        <w:bottom w:val="none" w:sz="0" w:space="0" w:color="auto"/>
        <w:right w:val="none" w:sz="0" w:space="0" w:color="auto"/>
      </w:divBdr>
    </w:div>
    <w:div w:id="1866016865">
      <w:bodyDiv w:val="1"/>
      <w:marLeft w:val="0"/>
      <w:marRight w:val="0"/>
      <w:marTop w:val="0"/>
      <w:marBottom w:val="0"/>
      <w:divBdr>
        <w:top w:val="none" w:sz="0" w:space="0" w:color="auto"/>
        <w:left w:val="none" w:sz="0" w:space="0" w:color="auto"/>
        <w:bottom w:val="none" w:sz="0" w:space="0" w:color="auto"/>
        <w:right w:val="none" w:sz="0" w:space="0" w:color="auto"/>
      </w:divBdr>
    </w:div>
    <w:div w:id="1866284578">
      <w:bodyDiv w:val="1"/>
      <w:marLeft w:val="0"/>
      <w:marRight w:val="0"/>
      <w:marTop w:val="0"/>
      <w:marBottom w:val="0"/>
      <w:divBdr>
        <w:top w:val="none" w:sz="0" w:space="0" w:color="auto"/>
        <w:left w:val="none" w:sz="0" w:space="0" w:color="auto"/>
        <w:bottom w:val="none" w:sz="0" w:space="0" w:color="auto"/>
        <w:right w:val="none" w:sz="0" w:space="0" w:color="auto"/>
      </w:divBdr>
    </w:div>
    <w:div w:id="1866482134">
      <w:bodyDiv w:val="1"/>
      <w:marLeft w:val="0"/>
      <w:marRight w:val="0"/>
      <w:marTop w:val="0"/>
      <w:marBottom w:val="0"/>
      <w:divBdr>
        <w:top w:val="none" w:sz="0" w:space="0" w:color="auto"/>
        <w:left w:val="none" w:sz="0" w:space="0" w:color="auto"/>
        <w:bottom w:val="none" w:sz="0" w:space="0" w:color="auto"/>
        <w:right w:val="none" w:sz="0" w:space="0" w:color="auto"/>
      </w:divBdr>
    </w:div>
    <w:div w:id="1866677959">
      <w:bodyDiv w:val="1"/>
      <w:marLeft w:val="0"/>
      <w:marRight w:val="0"/>
      <w:marTop w:val="0"/>
      <w:marBottom w:val="0"/>
      <w:divBdr>
        <w:top w:val="none" w:sz="0" w:space="0" w:color="auto"/>
        <w:left w:val="none" w:sz="0" w:space="0" w:color="auto"/>
        <w:bottom w:val="none" w:sz="0" w:space="0" w:color="auto"/>
        <w:right w:val="none" w:sz="0" w:space="0" w:color="auto"/>
      </w:divBdr>
    </w:div>
    <w:div w:id="1866794866">
      <w:bodyDiv w:val="1"/>
      <w:marLeft w:val="0"/>
      <w:marRight w:val="0"/>
      <w:marTop w:val="0"/>
      <w:marBottom w:val="0"/>
      <w:divBdr>
        <w:top w:val="none" w:sz="0" w:space="0" w:color="auto"/>
        <w:left w:val="none" w:sz="0" w:space="0" w:color="auto"/>
        <w:bottom w:val="none" w:sz="0" w:space="0" w:color="auto"/>
        <w:right w:val="none" w:sz="0" w:space="0" w:color="auto"/>
      </w:divBdr>
    </w:div>
    <w:div w:id="1867520147">
      <w:bodyDiv w:val="1"/>
      <w:marLeft w:val="0"/>
      <w:marRight w:val="0"/>
      <w:marTop w:val="0"/>
      <w:marBottom w:val="0"/>
      <w:divBdr>
        <w:top w:val="none" w:sz="0" w:space="0" w:color="auto"/>
        <w:left w:val="none" w:sz="0" w:space="0" w:color="auto"/>
        <w:bottom w:val="none" w:sz="0" w:space="0" w:color="auto"/>
        <w:right w:val="none" w:sz="0" w:space="0" w:color="auto"/>
      </w:divBdr>
    </w:div>
    <w:div w:id="1867522713">
      <w:bodyDiv w:val="1"/>
      <w:marLeft w:val="0"/>
      <w:marRight w:val="0"/>
      <w:marTop w:val="0"/>
      <w:marBottom w:val="0"/>
      <w:divBdr>
        <w:top w:val="none" w:sz="0" w:space="0" w:color="auto"/>
        <w:left w:val="none" w:sz="0" w:space="0" w:color="auto"/>
        <w:bottom w:val="none" w:sz="0" w:space="0" w:color="auto"/>
        <w:right w:val="none" w:sz="0" w:space="0" w:color="auto"/>
      </w:divBdr>
    </w:div>
    <w:div w:id="1867595160">
      <w:bodyDiv w:val="1"/>
      <w:marLeft w:val="0"/>
      <w:marRight w:val="0"/>
      <w:marTop w:val="0"/>
      <w:marBottom w:val="0"/>
      <w:divBdr>
        <w:top w:val="none" w:sz="0" w:space="0" w:color="auto"/>
        <w:left w:val="none" w:sz="0" w:space="0" w:color="auto"/>
        <w:bottom w:val="none" w:sz="0" w:space="0" w:color="auto"/>
        <w:right w:val="none" w:sz="0" w:space="0" w:color="auto"/>
      </w:divBdr>
    </w:div>
    <w:div w:id="1867669720">
      <w:bodyDiv w:val="1"/>
      <w:marLeft w:val="0"/>
      <w:marRight w:val="0"/>
      <w:marTop w:val="0"/>
      <w:marBottom w:val="0"/>
      <w:divBdr>
        <w:top w:val="none" w:sz="0" w:space="0" w:color="auto"/>
        <w:left w:val="none" w:sz="0" w:space="0" w:color="auto"/>
        <w:bottom w:val="none" w:sz="0" w:space="0" w:color="auto"/>
        <w:right w:val="none" w:sz="0" w:space="0" w:color="auto"/>
      </w:divBdr>
    </w:div>
    <w:div w:id="1867672019">
      <w:bodyDiv w:val="1"/>
      <w:marLeft w:val="0"/>
      <w:marRight w:val="0"/>
      <w:marTop w:val="0"/>
      <w:marBottom w:val="0"/>
      <w:divBdr>
        <w:top w:val="none" w:sz="0" w:space="0" w:color="auto"/>
        <w:left w:val="none" w:sz="0" w:space="0" w:color="auto"/>
        <w:bottom w:val="none" w:sz="0" w:space="0" w:color="auto"/>
        <w:right w:val="none" w:sz="0" w:space="0" w:color="auto"/>
      </w:divBdr>
    </w:div>
    <w:div w:id="1867786378">
      <w:bodyDiv w:val="1"/>
      <w:marLeft w:val="0"/>
      <w:marRight w:val="0"/>
      <w:marTop w:val="0"/>
      <w:marBottom w:val="0"/>
      <w:divBdr>
        <w:top w:val="none" w:sz="0" w:space="0" w:color="auto"/>
        <w:left w:val="none" w:sz="0" w:space="0" w:color="auto"/>
        <w:bottom w:val="none" w:sz="0" w:space="0" w:color="auto"/>
        <w:right w:val="none" w:sz="0" w:space="0" w:color="auto"/>
      </w:divBdr>
    </w:div>
    <w:div w:id="1867909688">
      <w:bodyDiv w:val="1"/>
      <w:marLeft w:val="0"/>
      <w:marRight w:val="0"/>
      <w:marTop w:val="0"/>
      <w:marBottom w:val="0"/>
      <w:divBdr>
        <w:top w:val="none" w:sz="0" w:space="0" w:color="auto"/>
        <w:left w:val="none" w:sz="0" w:space="0" w:color="auto"/>
        <w:bottom w:val="none" w:sz="0" w:space="0" w:color="auto"/>
        <w:right w:val="none" w:sz="0" w:space="0" w:color="auto"/>
      </w:divBdr>
    </w:div>
    <w:div w:id="1868063144">
      <w:bodyDiv w:val="1"/>
      <w:marLeft w:val="0"/>
      <w:marRight w:val="0"/>
      <w:marTop w:val="0"/>
      <w:marBottom w:val="0"/>
      <w:divBdr>
        <w:top w:val="none" w:sz="0" w:space="0" w:color="auto"/>
        <w:left w:val="none" w:sz="0" w:space="0" w:color="auto"/>
        <w:bottom w:val="none" w:sz="0" w:space="0" w:color="auto"/>
        <w:right w:val="none" w:sz="0" w:space="0" w:color="auto"/>
      </w:divBdr>
    </w:div>
    <w:div w:id="1868173856">
      <w:bodyDiv w:val="1"/>
      <w:marLeft w:val="0"/>
      <w:marRight w:val="0"/>
      <w:marTop w:val="0"/>
      <w:marBottom w:val="0"/>
      <w:divBdr>
        <w:top w:val="none" w:sz="0" w:space="0" w:color="auto"/>
        <w:left w:val="none" w:sz="0" w:space="0" w:color="auto"/>
        <w:bottom w:val="none" w:sz="0" w:space="0" w:color="auto"/>
        <w:right w:val="none" w:sz="0" w:space="0" w:color="auto"/>
      </w:divBdr>
    </w:div>
    <w:div w:id="1868256554">
      <w:bodyDiv w:val="1"/>
      <w:marLeft w:val="0"/>
      <w:marRight w:val="0"/>
      <w:marTop w:val="0"/>
      <w:marBottom w:val="0"/>
      <w:divBdr>
        <w:top w:val="none" w:sz="0" w:space="0" w:color="auto"/>
        <w:left w:val="none" w:sz="0" w:space="0" w:color="auto"/>
        <w:bottom w:val="none" w:sz="0" w:space="0" w:color="auto"/>
        <w:right w:val="none" w:sz="0" w:space="0" w:color="auto"/>
      </w:divBdr>
    </w:div>
    <w:div w:id="1868635994">
      <w:bodyDiv w:val="1"/>
      <w:marLeft w:val="0"/>
      <w:marRight w:val="0"/>
      <w:marTop w:val="0"/>
      <w:marBottom w:val="0"/>
      <w:divBdr>
        <w:top w:val="none" w:sz="0" w:space="0" w:color="auto"/>
        <w:left w:val="none" w:sz="0" w:space="0" w:color="auto"/>
        <w:bottom w:val="none" w:sz="0" w:space="0" w:color="auto"/>
        <w:right w:val="none" w:sz="0" w:space="0" w:color="auto"/>
      </w:divBdr>
    </w:div>
    <w:div w:id="1868716417">
      <w:bodyDiv w:val="1"/>
      <w:marLeft w:val="0"/>
      <w:marRight w:val="0"/>
      <w:marTop w:val="0"/>
      <w:marBottom w:val="0"/>
      <w:divBdr>
        <w:top w:val="none" w:sz="0" w:space="0" w:color="auto"/>
        <w:left w:val="none" w:sz="0" w:space="0" w:color="auto"/>
        <w:bottom w:val="none" w:sz="0" w:space="0" w:color="auto"/>
        <w:right w:val="none" w:sz="0" w:space="0" w:color="auto"/>
      </w:divBdr>
    </w:div>
    <w:div w:id="1868908423">
      <w:bodyDiv w:val="1"/>
      <w:marLeft w:val="0"/>
      <w:marRight w:val="0"/>
      <w:marTop w:val="0"/>
      <w:marBottom w:val="0"/>
      <w:divBdr>
        <w:top w:val="none" w:sz="0" w:space="0" w:color="auto"/>
        <w:left w:val="none" w:sz="0" w:space="0" w:color="auto"/>
        <w:bottom w:val="none" w:sz="0" w:space="0" w:color="auto"/>
        <w:right w:val="none" w:sz="0" w:space="0" w:color="auto"/>
      </w:divBdr>
    </w:div>
    <w:div w:id="1869022544">
      <w:bodyDiv w:val="1"/>
      <w:marLeft w:val="0"/>
      <w:marRight w:val="0"/>
      <w:marTop w:val="0"/>
      <w:marBottom w:val="0"/>
      <w:divBdr>
        <w:top w:val="none" w:sz="0" w:space="0" w:color="auto"/>
        <w:left w:val="none" w:sz="0" w:space="0" w:color="auto"/>
        <w:bottom w:val="none" w:sz="0" w:space="0" w:color="auto"/>
        <w:right w:val="none" w:sz="0" w:space="0" w:color="auto"/>
      </w:divBdr>
    </w:div>
    <w:div w:id="1869560992">
      <w:bodyDiv w:val="1"/>
      <w:marLeft w:val="0"/>
      <w:marRight w:val="0"/>
      <w:marTop w:val="0"/>
      <w:marBottom w:val="0"/>
      <w:divBdr>
        <w:top w:val="none" w:sz="0" w:space="0" w:color="auto"/>
        <w:left w:val="none" w:sz="0" w:space="0" w:color="auto"/>
        <w:bottom w:val="none" w:sz="0" w:space="0" w:color="auto"/>
        <w:right w:val="none" w:sz="0" w:space="0" w:color="auto"/>
      </w:divBdr>
    </w:div>
    <w:div w:id="1869685348">
      <w:bodyDiv w:val="1"/>
      <w:marLeft w:val="0"/>
      <w:marRight w:val="0"/>
      <w:marTop w:val="0"/>
      <w:marBottom w:val="0"/>
      <w:divBdr>
        <w:top w:val="none" w:sz="0" w:space="0" w:color="auto"/>
        <w:left w:val="none" w:sz="0" w:space="0" w:color="auto"/>
        <w:bottom w:val="none" w:sz="0" w:space="0" w:color="auto"/>
        <w:right w:val="none" w:sz="0" w:space="0" w:color="auto"/>
      </w:divBdr>
    </w:div>
    <w:div w:id="1869945517">
      <w:bodyDiv w:val="1"/>
      <w:marLeft w:val="0"/>
      <w:marRight w:val="0"/>
      <w:marTop w:val="0"/>
      <w:marBottom w:val="0"/>
      <w:divBdr>
        <w:top w:val="none" w:sz="0" w:space="0" w:color="auto"/>
        <w:left w:val="none" w:sz="0" w:space="0" w:color="auto"/>
        <w:bottom w:val="none" w:sz="0" w:space="0" w:color="auto"/>
        <w:right w:val="none" w:sz="0" w:space="0" w:color="auto"/>
      </w:divBdr>
    </w:div>
    <w:div w:id="1870027650">
      <w:bodyDiv w:val="1"/>
      <w:marLeft w:val="0"/>
      <w:marRight w:val="0"/>
      <w:marTop w:val="0"/>
      <w:marBottom w:val="0"/>
      <w:divBdr>
        <w:top w:val="none" w:sz="0" w:space="0" w:color="auto"/>
        <w:left w:val="none" w:sz="0" w:space="0" w:color="auto"/>
        <w:bottom w:val="none" w:sz="0" w:space="0" w:color="auto"/>
        <w:right w:val="none" w:sz="0" w:space="0" w:color="auto"/>
      </w:divBdr>
    </w:div>
    <w:div w:id="1870145488">
      <w:bodyDiv w:val="1"/>
      <w:marLeft w:val="0"/>
      <w:marRight w:val="0"/>
      <w:marTop w:val="0"/>
      <w:marBottom w:val="0"/>
      <w:divBdr>
        <w:top w:val="none" w:sz="0" w:space="0" w:color="auto"/>
        <w:left w:val="none" w:sz="0" w:space="0" w:color="auto"/>
        <w:bottom w:val="none" w:sz="0" w:space="0" w:color="auto"/>
        <w:right w:val="none" w:sz="0" w:space="0" w:color="auto"/>
      </w:divBdr>
    </w:div>
    <w:div w:id="1870295937">
      <w:bodyDiv w:val="1"/>
      <w:marLeft w:val="0"/>
      <w:marRight w:val="0"/>
      <w:marTop w:val="0"/>
      <w:marBottom w:val="0"/>
      <w:divBdr>
        <w:top w:val="none" w:sz="0" w:space="0" w:color="auto"/>
        <w:left w:val="none" w:sz="0" w:space="0" w:color="auto"/>
        <w:bottom w:val="none" w:sz="0" w:space="0" w:color="auto"/>
        <w:right w:val="none" w:sz="0" w:space="0" w:color="auto"/>
      </w:divBdr>
    </w:div>
    <w:div w:id="1870336122">
      <w:bodyDiv w:val="1"/>
      <w:marLeft w:val="0"/>
      <w:marRight w:val="0"/>
      <w:marTop w:val="0"/>
      <w:marBottom w:val="0"/>
      <w:divBdr>
        <w:top w:val="none" w:sz="0" w:space="0" w:color="auto"/>
        <w:left w:val="none" w:sz="0" w:space="0" w:color="auto"/>
        <w:bottom w:val="none" w:sz="0" w:space="0" w:color="auto"/>
        <w:right w:val="none" w:sz="0" w:space="0" w:color="auto"/>
      </w:divBdr>
    </w:div>
    <w:div w:id="1870340250">
      <w:bodyDiv w:val="1"/>
      <w:marLeft w:val="0"/>
      <w:marRight w:val="0"/>
      <w:marTop w:val="0"/>
      <w:marBottom w:val="0"/>
      <w:divBdr>
        <w:top w:val="none" w:sz="0" w:space="0" w:color="auto"/>
        <w:left w:val="none" w:sz="0" w:space="0" w:color="auto"/>
        <w:bottom w:val="none" w:sz="0" w:space="0" w:color="auto"/>
        <w:right w:val="none" w:sz="0" w:space="0" w:color="auto"/>
      </w:divBdr>
    </w:div>
    <w:div w:id="1870408251">
      <w:bodyDiv w:val="1"/>
      <w:marLeft w:val="0"/>
      <w:marRight w:val="0"/>
      <w:marTop w:val="0"/>
      <w:marBottom w:val="0"/>
      <w:divBdr>
        <w:top w:val="none" w:sz="0" w:space="0" w:color="auto"/>
        <w:left w:val="none" w:sz="0" w:space="0" w:color="auto"/>
        <w:bottom w:val="none" w:sz="0" w:space="0" w:color="auto"/>
        <w:right w:val="none" w:sz="0" w:space="0" w:color="auto"/>
      </w:divBdr>
    </w:div>
    <w:div w:id="1870529454">
      <w:bodyDiv w:val="1"/>
      <w:marLeft w:val="0"/>
      <w:marRight w:val="0"/>
      <w:marTop w:val="0"/>
      <w:marBottom w:val="0"/>
      <w:divBdr>
        <w:top w:val="none" w:sz="0" w:space="0" w:color="auto"/>
        <w:left w:val="none" w:sz="0" w:space="0" w:color="auto"/>
        <w:bottom w:val="none" w:sz="0" w:space="0" w:color="auto"/>
        <w:right w:val="none" w:sz="0" w:space="0" w:color="auto"/>
      </w:divBdr>
    </w:div>
    <w:div w:id="1870678891">
      <w:bodyDiv w:val="1"/>
      <w:marLeft w:val="0"/>
      <w:marRight w:val="0"/>
      <w:marTop w:val="0"/>
      <w:marBottom w:val="0"/>
      <w:divBdr>
        <w:top w:val="none" w:sz="0" w:space="0" w:color="auto"/>
        <w:left w:val="none" w:sz="0" w:space="0" w:color="auto"/>
        <w:bottom w:val="none" w:sz="0" w:space="0" w:color="auto"/>
        <w:right w:val="none" w:sz="0" w:space="0" w:color="auto"/>
      </w:divBdr>
    </w:div>
    <w:div w:id="1870680253">
      <w:bodyDiv w:val="1"/>
      <w:marLeft w:val="0"/>
      <w:marRight w:val="0"/>
      <w:marTop w:val="0"/>
      <w:marBottom w:val="0"/>
      <w:divBdr>
        <w:top w:val="none" w:sz="0" w:space="0" w:color="auto"/>
        <w:left w:val="none" w:sz="0" w:space="0" w:color="auto"/>
        <w:bottom w:val="none" w:sz="0" w:space="0" w:color="auto"/>
        <w:right w:val="none" w:sz="0" w:space="0" w:color="auto"/>
      </w:divBdr>
    </w:div>
    <w:div w:id="1871456465">
      <w:bodyDiv w:val="1"/>
      <w:marLeft w:val="0"/>
      <w:marRight w:val="0"/>
      <w:marTop w:val="0"/>
      <w:marBottom w:val="0"/>
      <w:divBdr>
        <w:top w:val="none" w:sz="0" w:space="0" w:color="auto"/>
        <w:left w:val="none" w:sz="0" w:space="0" w:color="auto"/>
        <w:bottom w:val="none" w:sz="0" w:space="0" w:color="auto"/>
        <w:right w:val="none" w:sz="0" w:space="0" w:color="auto"/>
      </w:divBdr>
    </w:div>
    <w:div w:id="1872379087">
      <w:bodyDiv w:val="1"/>
      <w:marLeft w:val="0"/>
      <w:marRight w:val="0"/>
      <w:marTop w:val="0"/>
      <w:marBottom w:val="0"/>
      <w:divBdr>
        <w:top w:val="none" w:sz="0" w:space="0" w:color="auto"/>
        <w:left w:val="none" w:sz="0" w:space="0" w:color="auto"/>
        <w:bottom w:val="none" w:sz="0" w:space="0" w:color="auto"/>
        <w:right w:val="none" w:sz="0" w:space="0" w:color="auto"/>
      </w:divBdr>
    </w:div>
    <w:div w:id="1872455246">
      <w:bodyDiv w:val="1"/>
      <w:marLeft w:val="0"/>
      <w:marRight w:val="0"/>
      <w:marTop w:val="0"/>
      <w:marBottom w:val="0"/>
      <w:divBdr>
        <w:top w:val="none" w:sz="0" w:space="0" w:color="auto"/>
        <w:left w:val="none" w:sz="0" w:space="0" w:color="auto"/>
        <w:bottom w:val="none" w:sz="0" w:space="0" w:color="auto"/>
        <w:right w:val="none" w:sz="0" w:space="0" w:color="auto"/>
      </w:divBdr>
    </w:div>
    <w:div w:id="1873348124">
      <w:bodyDiv w:val="1"/>
      <w:marLeft w:val="0"/>
      <w:marRight w:val="0"/>
      <w:marTop w:val="0"/>
      <w:marBottom w:val="0"/>
      <w:divBdr>
        <w:top w:val="none" w:sz="0" w:space="0" w:color="auto"/>
        <w:left w:val="none" w:sz="0" w:space="0" w:color="auto"/>
        <w:bottom w:val="none" w:sz="0" w:space="0" w:color="auto"/>
        <w:right w:val="none" w:sz="0" w:space="0" w:color="auto"/>
      </w:divBdr>
    </w:div>
    <w:div w:id="1873372549">
      <w:bodyDiv w:val="1"/>
      <w:marLeft w:val="0"/>
      <w:marRight w:val="0"/>
      <w:marTop w:val="0"/>
      <w:marBottom w:val="0"/>
      <w:divBdr>
        <w:top w:val="none" w:sz="0" w:space="0" w:color="auto"/>
        <w:left w:val="none" w:sz="0" w:space="0" w:color="auto"/>
        <w:bottom w:val="none" w:sz="0" w:space="0" w:color="auto"/>
        <w:right w:val="none" w:sz="0" w:space="0" w:color="auto"/>
      </w:divBdr>
    </w:div>
    <w:div w:id="1873837764">
      <w:bodyDiv w:val="1"/>
      <w:marLeft w:val="0"/>
      <w:marRight w:val="0"/>
      <w:marTop w:val="0"/>
      <w:marBottom w:val="0"/>
      <w:divBdr>
        <w:top w:val="none" w:sz="0" w:space="0" w:color="auto"/>
        <w:left w:val="none" w:sz="0" w:space="0" w:color="auto"/>
        <w:bottom w:val="none" w:sz="0" w:space="0" w:color="auto"/>
        <w:right w:val="none" w:sz="0" w:space="0" w:color="auto"/>
      </w:divBdr>
    </w:div>
    <w:div w:id="1873837856">
      <w:bodyDiv w:val="1"/>
      <w:marLeft w:val="0"/>
      <w:marRight w:val="0"/>
      <w:marTop w:val="0"/>
      <w:marBottom w:val="0"/>
      <w:divBdr>
        <w:top w:val="none" w:sz="0" w:space="0" w:color="auto"/>
        <w:left w:val="none" w:sz="0" w:space="0" w:color="auto"/>
        <w:bottom w:val="none" w:sz="0" w:space="0" w:color="auto"/>
        <w:right w:val="none" w:sz="0" w:space="0" w:color="auto"/>
      </w:divBdr>
    </w:div>
    <w:div w:id="1873955928">
      <w:bodyDiv w:val="1"/>
      <w:marLeft w:val="0"/>
      <w:marRight w:val="0"/>
      <w:marTop w:val="0"/>
      <w:marBottom w:val="0"/>
      <w:divBdr>
        <w:top w:val="none" w:sz="0" w:space="0" w:color="auto"/>
        <w:left w:val="none" w:sz="0" w:space="0" w:color="auto"/>
        <w:bottom w:val="none" w:sz="0" w:space="0" w:color="auto"/>
        <w:right w:val="none" w:sz="0" w:space="0" w:color="auto"/>
      </w:divBdr>
    </w:div>
    <w:div w:id="1874070429">
      <w:bodyDiv w:val="1"/>
      <w:marLeft w:val="0"/>
      <w:marRight w:val="0"/>
      <w:marTop w:val="0"/>
      <w:marBottom w:val="0"/>
      <w:divBdr>
        <w:top w:val="none" w:sz="0" w:space="0" w:color="auto"/>
        <w:left w:val="none" w:sz="0" w:space="0" w:color="auto"/>
        <w:bottom w:val="none" w:sz="0" w:space="0" w:color="auto"/>
        <w:right w:val="none" w:sz="0" w:space="0" w:color="auto"/>
      </w:divBdr>
    </w:div>
    <w:div w:id="1874224227">
      <w:bodyDiv w:val="1"/>
      <w:marLeft w:val="0"/>
      <w:marRight w:val="0"/>
      <w:marTop w:val="0"/>
      <w:marBottom w:val="0"/>
      <w:divBdr>
        <w:top w:val="none" w:sz="0" w:space="0" w:color="auto"/>
        <w:left w:val="none" w:sz="0" w:space="0" w:color="auto"/>
        <w:bottom w:val="none" w:sz="0" w:space="0" w:color="auto"/>
        <w:right w:val="none" w:sz="0" w:space="0" w:color="auto"/>
      </w:divBdr>
    </w:div>
    <w:div w:id="1874419187">
      <w:bodyDiv w:val="1"/>
      <w:marLeft w:val="0"/>
      <w:marRight w:val="0"/>
      <w:marTop w:val="0"/>
      <w:marBottom w:val="0"/>
      <w:divBdr>
        <w:top w:val="none" w:sz="0" w:space="0" w:color="auto"/>
        <w:left w:val="none" w:sz="0" w:space="0" w:color="auto"/>
        <w:bottom w:val="none" w:sz="0" w:space="0" w:color="auto"/>
        <w:right w:val="none" w:sz="0" w:space="0" w:color="auto"/>
      </w:divBdr>
    </w:div>
    <w:div w:id="1874687527">
      <w:bodyDiv w:val="1"/>
      <w:marLeft w:val="0"/>
      <w:marRight w:val="0"/>
      <w:marTop w:val="0"/>
      <w:marBottom w:val="0"/>
      <w:divBdr>
        <w:top w:val="none" w:sz="0" w:space="0" w:color="auto"/>
        <w:left w:val="none" w:sz="0" w:space="0" w:color="auto"/>
        <w:bottom w:val="none" w:sz="0" w:space="0" w:color="auto"/>
        <w:right w:val="none" w:sz="0" w:space="0" w:color="auto"/>
      </w:divBdr>
    </w:div>
    <w:div w:id="1874730518">
      <w:bodyDiv w:val="1"/>
      <w:marLeft w:val="0"/>
      <w:marRight w:val="0"/>
      <w:marTop w:val="0"/>
      <w:marBottom w:val="0"/>
      <w:divBdr>
        <w:top w:val="none" w:sz="0" w:space="0" w:color="auto"/>
        <w:left w:val="none" w:sz="0" w:space="0" w:color="auto"/>
        <w:bottom w:val="none" w:sz="0" w:space="0" w:color="auto"/>
        <w:right w:val="none" w:sz="0" w:space="0" w:color="auto"/>
      </w:divBdr>
    </w:div>
    <w:div w:id="1875118499">
      <w:bodyDiv w:val="1"/>
      <w:marLeft w:val="0"/>
      <w:marRight w:val="0"/>
      <w:marTop w:val="0"/>
      <w:marBottom w:val="0"/>
      <w:divBdr>
        <w:top w:val="none" w:sz="0" w:space="0" w:color="auto"/>
        <w:left w:val="none" w:sz="0" w:space="0" w:color="auto"/>
        <w:bottom w:val="none" w:sz="0" w:space="0" w:color="auto"/>
        <w:right w:val="none" w:sz="0" w:space="0" w:color="auto"/>
      </w:divBdr>
    </w:div>
    <w:div w:id="1875339737">
      <w:bodyDiv w:val="1"/>
      <w:marLeft w:val="0"/>
      <w:marRight w:val="0"/>
      <w:marTop w:val="0"/>
      <w:marBottom w:val="0"/>
      <w:divBdr>
        <w:top w:val="none" w:sz="0" w:space="0" w:color="auto"/>
        <w:left w:val="none" w:sz="0" w:space="0" w:color="auto"/>
        <w:bottom w:val="none" w:sz="0" w:space="0" w:color="auto"/>
        <w:right w:val="none" w:sz="0" w:space="0" w:color="auto"/>
      </w:divBdr>
    </w:div>
    <w:div w:id="1875462771">
      <w:bodyDiv w:val="1"/>
      <w:marLeft w:val="0"/>
      <w:marRight w:val="0"/>
      <w:marTop w:val="0"/>
      <w:marBottom w:val="0"/>
      <w:divBdr>
        <w:top w:val="none" w:sz="0" w:space="0" w:color="auto"/>
        <w:left w:val="none" w:sz="0" w:space="0" w:color="auto"/>
        <w:bottom w:val="none" w:sz="0" w:space="0" w:color="auto"/>
        <w:right w:val="none" w:sz="0" w:space="0" w:color="auto"/>
      </w:divBdr>
    </w:div>
    <w:div w:id="1875843484">
      <w:bodyDiv w:val="1"/>
      <w:marLeft w:val="0"/>
      <w:marRight w:val="0"/>
      <w:marTop w:val="0"/>
      <w:marBottom w:val="0"/>
      <w:divBdr>
        <w:top w:val="none" w:sz="0" w:space="0" w:color="auto"/>
        <w:left w:val="none" w:sz="0" w:space="0" w:color="auto"/>
        <w:bottom w:val="none" w:sz="0" w:space="0" w:color="auto"/>
        <w:right w:val="none" w:sz="0" w:space="0" w:color="auto"/>
      </w:divBdr>
    </w:div>
    <w:div w:id="1876234465">
      <w:bodyDiv w:val="1"/>
      <w:marLeft w:val="0"/>
      <w:marRight w:val="0"/>
      <w:marTop w:val="0"/>
      <w:marBottom w:val="0"/>
      <w:divBdr>
        <w:top w:val="none" w:sz="0" w:space="0" w:color="auto"/>
        <w:left w:val="none" w:sz="0" w:space="0" w:color="auto"/>
        <w:bottom w:val="none" w:sz="0" w:space="0" w:color="auto"/>
        <w:right w:val="none" w:sz="0" w:space="0" w:color="auto"/>
      </w:divBdr>
    </w:div>
    <w:div w:id="1876236633">
      <w:bodyDiv w:val="1"/>
      <w:marLeft w:val="0"/>
      <w:marRight w:val="0"/>
      <w:marTop w:val="0"/>
      <w:marBottom w:val="0"/>
      <w:divBdr>
        <w:top w:val="none" w:sz="0" w:space="0" w:color="auto"/>
        <w:left w:val="none" w:sz="0" w:space="0" w:color="auto"/>
        <w:bottom w:val="none" w:sz="0" w:space="0" w:color="auto"/>
        <w:right w:val="none" w:sz="0" w:space="0" w:color="auto"/>
      </w:divBdr>
    </w:div>
    <w:div w:id="1876236746">
      <w:bodyDiv w:val="1"/>
      <w:marLeft w:val="0"/>
      <w:marRight w:val="0"/>
      <w:marTop w:val="0"/>
      <w:marBottom w:val="0"/>
      <w:divBdr>
        <w:top w:val="none" w:sz="0" w:space="0" w:color="auto"/>
        <w:left w:val="none" w:sz="0" w:space="0" w:color="auto"/>
        <w:bottom w:val="none" w:sz="0" w:space="0" w:color="auto"/>
        <w:right w:val="none" w:sz="0" w:space="0" w:color="auto"/>
      </w:divBdr>
    </w:div>
    <w:div w:id="1876500269">
      <w:bodyDiv w:val="1"/>
      <w:marLeft w:val="0"/>
      <w:marRight w:val="0"/>
      <w:marTop w:val="0"/>
      <w:marBottom w:val="0"/>
      <w:divBdr>
        <w:top w:val="none" w:sz="0" w:space="0" w:color="auto"/>
        <w:left w:val="none" w:sz="0" w:space="0" w:color="auto"/>
        <w:bottom w:val="none" w:sz="0" w:space="0" w:color="auto"/>
        <w:right w:val="none" w:sz="0" w:space="0" w:color="auto"/>
      </w:divBdr>
    </w:div>
    <w:div w:id="1877237003">
      <w:bodyDiv w:val="1"/>
      <w:marLeft w:val="0"/>
      <w:marRight w:val="0"/>
      <w:marTop w:val="0"/>
      <w:marBottom w:val="0"/>
      <w:divBdr>
        <w:top w:val="none" w:sz="0" w:space="0" w:color="auto"/>
        <w:left w:val="none" w:sz="0" w:space="0" w:color="auto"/>
        <w:bottom w:val="none" w:sz="0" w:space="0" w:color="auto"/>
        <w:right w:val="none" w:sz="0" w:space="0" w:color="auto"/>
      </w:divBdr>
    </w:div>
    <w:div w:id="1877497139">
      <w:bodyDiv w:val="1"/>
      <w:marLeft w:val="0"/>
      <w:marRight w:val="0"/>
      <w:marTop w:val="0"/>
      <w:marBottom w:val="0"/>
      <w:divBdr>
        <w:top w:val="none" w:sz="0" w:space="0" w:color="auto"/>
        <w:left w:val="none" w:sz="0" w:space="0" w:color="auto"/>
        <w:bottom w:val="none" w:sz="0" w:space="0" w:color="auto"/>
        <w:right w:val="none" w:sz="0" w:space="0" w:color="auto"/>
      </w:divBdr>
    </w:div>
    <w:div w:id="1877958951">
      <w:bodyDiv w:val="1"/>
      <w:marLeft w:val="0"/>
      <w:marRight w:val="0"/>
      <w:marTop w:val="0"/>
      <w:marBottom w:val="0"/>
      <w:divBdr>
        <w:top w:val="none" w:sz="0" w:space="0" w:color="auto"/>
        <w:left w:val="none" w:sz="0" w:space="0" w:color="auto"/>
        <w:bottom w:val="none" w:sz="0" w:space="0" w:color="auto"/>
        <w:right w:val="none" w:sz="0" w:space="0" w:color="auto"/>
      </w:divBdr>
    </w:div>
    <w:div w:id="1878004784">
      <w:bodyDiv w:val="1"/>
      <w:marLeft w:val="0"/>
      <w:marRight w:val="0"/>
      <w:marTop w:val="0"/>
      <w:marBottom w:val="0"/>
      <w:divBdr>
        <w:top w:val="none" w:sz="0" w:space="0" w:color="auto"/>
        <w:left w:val="none" w:sz="0" w:space="0" w:color="auto"/>
        <w:bottom w:val="none" w:sz="0" w:space="0" w:color="auto"/>
        <w:right w:val="none" w:sz="0" w:space="0" w:color="auto"/>
      </w:divBdr>
    </w:div>
    <w:div w:id="1878273132">
      <w:bodyDiv w:val="1"/>
      <w:marLeft w:val="0"/>
      <w:marRight w:val="0"/>
      <w:marTop w:val="0"/>
      <w:marBottom w:val="0"/>
      <w:divBdr>
        <w:top w:val="none" w:sz="0" w:space="0" w:color="auto"/>
        <w:left w:val="none" w:sz="0" w:space="0" w:color="auto"/>
        <w:bottom w:val="none" w:sz="0" w:space="0" w:color="auto"/>
        <w:right w:val="none" w:sz="0" w:space="0" w:color="auto"/>
      </w:divBdr>
    </w:div>
    <w:div w:id="1879197274">
      <w:bodyDiv w:val="1"/>
      <w:marLeft w:val="0"/>
      <w:marRight w:val="0"/>
      <w:marTop w:val="0"/>
      <w:marBottom w:val="0"/>
      <w:divBdr>
        <w:top w:val="none" w:sz="0" w:space="0" w:color="auto"/>
        <w:left w:val="none" w:sz="0" w:space="0" w:color="auto"/>
        <w:bottom w:val="none" w:sz="0" w:space="0" w:color="auto"/>
        <w:right w:val="none" w:sz="0" w:space="0" w:color="auto"/>
      </w:divBdr>
    </w:div>
    <w:div w:id="1879973300">
      <w:bodyDiv w:val="1"/>
      <w:marLeft w:val="0"/>
      <w:marRight w:val="0"/>
      <w:marTop w:val="0"/>
      <w:marBottom w:val="0"/>
      <w:divBdr>
        <w:top w:val="none" w:sz="0" w:space="0" w:color="auto"/>
        <w:left w:val="none" w:sz="0" w:space="0" w:color="auto"/>
        <w:bottom w:val="none" w:sz="0" w:space="0" w:color="auto"/>
        <w:right w:val="none" w:sz="0" w:space="0" w:color="auto"/>
      </w:divBdr>
    </w:div>
    <w:div w:id="1880510625">
      <w:bodyDiv w:val="1"/>
      <w:marLeft w:val="0"/>
      <w:marRight w:val="0"/>
      <w:marTop w:val="0"/>
      <w:marBottom w:val="0"/>
      <w:divBdr>
        <w:top w:val="none" w:sz="0" w:space="0" w:color="auto"/>
        <w:left w:val="none" w:sz="0" w:space="0" w:color="auto"/>
        <w:bottom w:val="none" w:sz="0" w:space="0" w:color="auto"/>
        <w:right w:val="none" w:sz="0" w:space="0" w:color="auto"/>
      </w:divBdr>
    </w:div>
    <w:div w:id="1880627678">
      <w:bodyDiv w:val="1"/>
      <w:marLeft w:val="0"/>
      <w:marRight w:val="0"/>
      <w:marTop w:val="0"/>
      <w:marBottom w:val="0"/>
      <w:divBdr>
        <w:top w:val="none" w:sz="0" w:space="0" w:color="auto"/>
        <w:left w:val="none" w:sz="0" w:space="0" w:color="auto"/>
        <w:bottom w:val="none" w:sz="0" w:space="0" w:color="auto"/>
        <w:right w:val="none" w:sz="0" w:space="0" w:color="auto"/>
      </w:divBdr>
    </w:div>
    <w:div w:id="1881165206">
      <w:bodyDiv w:val="1"/>
      <w:marLeft w:val="0"/>
      <w:marRight w:val="0"/>
      <w:marTop w:val="0"/>
      <w:marBottom w:val="0"/>
      <w:divBdr>
        <w:top w:val="none" w:sz="0" w:space="0" w:color="auto"/>
        <w:left w:val="none" w:sz="0" w:space="0" w:color="auto"/>
        <w:bottom w:val="none" w:sz="0" w:space="0" w:color="auto"/>
        <w:right w:val="none" w:sz="0" w:space="0" w:color="auto"/>
      </w:divBdr>
    </w:div>
    <w:div w:id="1881627903">
      <w:bodyDiv w:val="1"/>
      <w:marLeft w:val="0"/>
      <w:marRight w:val="0"/>
      <w:marTop w:val="0"/>
      <w:marBottom w:val="0"/>
      <w:divBdr>
        <w:top w:val="none" w:sz="0" w:space="0" w:color="auto"/>
        <w:left w:val="none" w:sz="0" w:space="0" w:color="auto"/>
        <w:bottom w:val="none" w:sz="0" w:space="0" w:color="auto"/>
        <w:right w:val="none" w:sz="0" w:space="0" w:color="auto"/>
      </w:divBdr>
    </w:div>
    <w:div w:id="1881820886">
      <w:bodyDiv w:val="1"/>
      <w:marLeft w:val="0"/>
      <w:marRight w:val="0"/>
      <w:marTop w:val="0"/>
      <w:marBottom w:val="0"/>
      <w:divBdr>
        <w:top w:val="none" w:sz="0" w:space="0" w:color="auto"/>
        <w:left w:val="none" w:sz="0" w:space="0" w:color="auto"/>
        <w:bottom w:val="none" w:sz="0" w:space="0" w:color="auto"/>
        <w:right w:val="none" w:sz="0" w:space="0" w:color="auto"/>
      </w:divBdr>
    </w:div>
    <w:div w:id="1882282371">
      <w:bodyDiv w:val="1"/>
      <w:marLeft w:val="0"/>
      <w:marRight w:val="0"/>
      <w:marTop w:val="0"/>
      <w:marBottom w:val="0"/>
      <w:divBdr>
        <w:top w:val="none" w:sz="0" w:space="0" w:color="auto"/>
        <w:left w:val="none" w:sz="0" w:space="0" w:color="auto"/>
        <w:bottom w:val="none" w:sz="0" w:space="0" w:color="auto"/>
        <w:right w:val="none" w:sz="0" w:space="0" w:color="auto"/>
      </w:divBdr>
    </w:div>
    <w:div w:id="1882400823">
      <w:bodyDiv w:val="1"/>
      <w:marLeft w:val="0"/>
      <w:marRight w:val="0"/>
      <w:marTop w:val="0"/>
      <w:marBottom w:val="0"/>
      <w:divBdr>
        <w:top w:val="none" w:sz="0" w:space="0" w:color="auto"/>
        <w:left w:val="none" w:sz="0" w:space="0" w:color="auto"/>
        <w:bottom w:val="none" w:sz="0" w:space="0" w:color="auto"/>
        <w:right w:val="none" w:sz="0" w:space="0" w:color="auto"/>
      </w:divBdr>
    </w:div>
    <w:div w:id="1882864502">
      <w:bodyDiv w:val="1"/>
      <w:marLeft w:val="0"/>
      <w:marRight w:val="0"/>
      <w:marTop w:val="0"/>
      <w:marBottom w:val="0"/>
      <w:divBdr>
        <w:top w:val="none" w:sz="0" w:space="0" w:color="auto"/>
        <w:left w:val="none" w:sz="0" w:space="0" w:color="auto"/>
        <w:bottom w:val="none" w:sz="0" w:space="0" w:color="auto"/>
        <w:right w:val="none" w:sz="0" w:space="0" w:color="auto"/>
      </w:divBdr>
    </w:div>
    <w:div w:id="1883126371">
      <w:bodyDiv w:val="1"/>
      <w:marLeft w:val="0"/>
      <w:marRight w:val="0"/>
      <w:marTop w:val="0"/>
      <w:marBottom w:val="0"/>
      <w:divBdr>
        <w:top w:val="none" w:sz="0" w:space="0" w:color="auto"/>
        <w:left w:val="none" w:sz="0" w:space="0" w:color="auto"/>
        <w:bottom w:val="none" w:sz="0" w:space="0" w:color="auto"/>
        <w:right w:val="none" w:sz="0" w:space="0" w:color="auto"/>
      </w:divBdr>
    </w:div>
    <w:div w:id="1883714452">
      <w:bodyDiv w:val="1"/>
      <w:marLeft w:val="0"/>
      <w:marRight w:val="0"/>
      <w:marTop w:val="0"/>
      <w:marBottom w:val="0"/>
      <w:divBdr>
        <w:top w:val="none" w:sz="0" w:space="0" w:color="auto"/>
        <w:left w:val="none" w:sz="0" w:space="0" w:color="auto"/>
        <w:bottom w:val="none" w:sz="0" w:space="0" w:color="auto"/>
        <w:right w:val="none" w:sz="0" w:space="0" w:color="auto"/>
      </w:divBdr>
    </w:div>
    <w:div w:id="1883781332">
      <w:bodyDiv w:val="1"/>
      <w:marLeft w:val="0"/>
      <w:marRight w:val="0"/>
      <w:marTop w:val="0"/>
      <w:marBottom w:val="0"/>
      <w:divBdr>
        <w:top w:val="none" w:sz="0" w:space="0" w:color="auto"/>
        <w:left w:val="none" w:sz="0" w:space="0" w:color="auto"/>
        <w:bottom w:val="none" w:sz="0" w:space="0" w:color="auto"/>
        <w:right w:val="none" w:sz="0" w:space="0" w:color="auto"/>
      </w:divBdr>
    </w:div>
    <w:div w:id="1883983656">
      <w:bodyDiv w:val="1"/>
      <w:marLeft w:val="0"/>
      <w:marRight w:val="0"/>
      <w:marTop w:val="0"/>
      <w:marBottom w:val="0"/>
      <w:divBdr>
        <w:top w:val="none" w:sz="0" w:space="0" w:color="auto"/>
        <w:left w:val="none" w:sz="0" w:space="0" w:color="auto"/>
        <w:bottom w:val="none" w:sz="0" w:space="0" w:color="auto"/>
        <w:right w:val="none" w:sz="0" w:space="0" w:color="auto"/>
      </w:divBdr>
    </w:div>
    <w:div w:id="1884126699">
      <w:bodyDiv w:val="1"/>
      <w:marLeft w:val="0"/>
      <w:marRight w:val="0"/>
      <w:marTop w:val="0"/>
      <w:marBottom w:val="0"/>
      <w:divBdr>
        <w:top w:val="none" w:sz="0" w:space="0" w:color="auto"/>
        <w:left w:val="none" w:sz="0" w:space="0" w:color="auto"/>
        <w:bottom w:val="none" w:sz="0" w:space="0" w:color="auto"/>
        <w:right w:val="none" w:sz="0" w:space="0" w:color="auto"/>
      </w:divBdr>
    </w:div>
    <w:div w:id="1884949530">
      <w:bodyDiv w:val="1"/>
      <w:marLeft w:val="0"/>
      <w:marRight w:val="0"/>
      <w:marTop w:val="0"/>
      <w:marBottom w:val="0"/>
      <w:divBdr>
        <w:top w:val="none" w:sz="0" w:space="0" w:color="auto"/>
        <w:left w:val="none" w:sz="0" w:space="0" w:color="auto"/>
        <w:bottom w:val="none" w:sz="0" w:space="0" w:color="auto"/>
        <w:right w:val="none" w:sz="0" w:space="0" w:color="auto"/>
      </w:divBdr>
    </w:div>
    <w:div w:id="1885016012">
      <w:bodyDiv w:val="1"/>
      <w:marLeft w:val="0"/>
      <w:marRight w:val="0"/>
      <w:marTop w:val="0"/>
      <w:marBottom w:val="0"/>
      <w:divBdr>
        <w:top w:val="none" w:sz="0" w:space="0" w:color="auto"/>
        <w:left w:val="none" w:sz="0" w:space="0" w:color="auto"/>
        <w:bottom w:val="none" w:sz="0" w:space="0" w:color="auto"/>
        <w:right w:val="none" w:sz="0" w:space="0" w:color="auto"/>
      </w:divBdr>
    </w:div>
    <w:div w:id="1885024928">
      <w:bodyDiv w:val="1"/>
      <w:marLeft w:val="0"/>
      <w:marRight w:val="0"/>
      <w:marTop w:val="0"/>
      <w:marBottom w:val="0"/>
      <w:divBdr>
        <w:top w:val="none" w:sz="0" w:space="0" w:color="auto"/>
        <w:left w:val="none" w:sz="0" w:space="0" w:color="auto"/>
        <w:bottom w:val="none" w:sz="0" w:space="0" w:color="auto"/>
        <w:right w:val="none" w:sz="0" w:space="0" w:color="auto"/>
      </w:divBdr>
    </w:div>
    <w:div w:id="1885562155">
      <w:bodyDiv w:val="1"/>
      <w:marLeft w:val="0"/>
      <w:marRight w:val="0"/>
      <w:marTop w:val="0"/>
      <w:marBottom w:val="0"/>
      <w:divBdr>
        <w:top w:val="none" w:sz="0" w:space="0" w:color="auto"/>
        <w:left w:val="none" w:sz="0" w:space="0" w:color="auto"/>
        <w:bottom w:val="none" w:sz="0" w:space="0" w:color="auto"/>
        <w:right w:val="none" w:sz="0" w:space="0" w:color="auto"/>
      </w:divBdr>
    </w:div>
    <w:div w:id="1885829528">
      <w:bodyDiv w:val="1"/>
      <w:marLeft w:val="0"/>
      <w:marRight w:val="0"/>
      <w:marTop w:val="0"/>
      <w:marBottom w:val="0"/>
      <w:divBdr>
        <w:top w:val="none" w:sz="0" w:space="0" w:color="auto"/>
        <w:left w:val="none" w:sz="0" w:space="0" w:color="auto"/>
        <w:bottom w:val="none" w:sz="0" w:space="0" w:color="auto"/>
        <w:right w:val="none" w:sz="0" w:space="0" w:color="auto"/>
      </w:divBdr>
    </w:div>
    <w:div w:id="1886141618">
      <w:bodyDiv w:val="1"/>
      <w:marLeft w:val="0"/>
      <w:marRight w:val="0"/>
      <w:marTop w:val="0"/>
      <w:marBottom w:val="0"/>
      <w:divBdr>
        <w:top w:val="none" w:sz="0" w:space="0" w:color="auto"/>
        <w:left w:val="none" w:sz="0" w:space="0" w:color="auto"/>
        <w:bottom w:val="none" w:sz="0" w:space="0" w:color="auto"/>
        <w:right w:val="none" w:sz="0" w:space="0" w:color="auto"/>
      </w:divBdr>
    </w:div>
    <w:div w:id="1886213888">
      <w:bodyDiv w:val="1"/>
      <w:marLeft w:val="0"/>
      <w:marRight w:val="0"/>
      <w:marTop w:val="0"/>
      <w:marBottom w:val="0"/>
      <w:divBdr>
        <w:top w:val="none" w:sz="0" w:space="0" w:color="auto"/>
        <w:left w:val="none" w:sz="0" w:space="0" w:color="auto"/>
        <w:bottom w:val="none" w:sz="0" w:space="0" w:color="auto"/>
        <w:right w:val="none" w:sz="0" w:space="0" w:color="auto"/>
      </w:divBdr>
    </w:div>
    <w:div w:id="1886327084">
      <w:bodyDiv w:val="1"/>
      <w:marLeft w:val="0"/>
      <w:marRight w:val="0"/>
      <w:marTop w:val="0"/>
      <w:marBottom w:val="0"/>
      <w:divBdr>
        <w:top w:val="none" w:sz="0" w:space="0" w:color="auto"/>
        <w:left w:val="none" w:sz="0" w:space="0" w:color="auto"/>
        <w:bottom w:val="none" w:sz="0" w:space="0" w:color="auto"/>
        <w:right w:val="none" w:sz="0" w:space="0" w:color="auto"/>
      </w:divBdr>
    </w:div>
    <w:div w:id="1886790219">
      <w:bodyDiv w:val="1"/>
      <w:marLeft w:val="0"/>
      <w:marRight w:val="0"/>
      <w:marTop w:val="0"/>
      <w:marBottom w:val="0"/>
      <w:divBdr>
        <w:top w:val="none" w:sz="0" w:space="0" w:color="auto"/>
        <w:left w:val="none" w:sz="0" w:space="0" w:color="auto"/>
        <w:bottom w:val="none" w:sz="0" w:space="0" w:color="auto"/>
        <w:right w:val="none" w:sz="0" w:space="0" w:color="auto"/>
      </w:divBdr>
    </w:div>
    <w:div w:id="1887180070">
      <w:bodyDiv w:val="1"/>
      <w:marLeft w:val="0"/>
      <w:marRight w:val="0"/>
      <w:marTop w:val="0"/>
      <w:marBottom w:val="0"/>
      <w:divBdr>
        <w:top w:val="none" w:sz="0" w:space="0" w:color="auto"/>
        <w:left w:val="none" w:sz="0" w:space="0" w:color="auto"/>
        <w:bottom w:val="none" w:sz="0" w:space="0" w:color="auto"/>
        <w:right w:val="none" w:sz="0" w:space="0" w:color="auto"/>
      </w:divBdr>
    </w:div>
    <w:div w:id="1887259386">
      <w:bodyDiv w:val="1"/>
      <w:marLeft w:val="0"/>
      <w:marRight w:val="0"/>
      <w:marTop w:val="0"/>
      <w:marBottom w:val="0"/>
      <w:divBdr>
        <w:top w:val="none" w:sz="0" w:space="0" w:color="auto"/>
        <w:left w:val="none" w:sz="0" w:space="0" w:color="auto"/>
        <w:bottom w:val="none" w:sz="0" w:space="0" w:color="auto"/>
        <w:right w:val="none" w:sz="0" w:space="0" w:color="auto"/>
      </w:divBdr>
    </w:div>
    <w:div w:id="1887329229">
      <w:bodyDiv w:val="1"/>
      <w:marLeft w:val="0"/>
      <w:marRight w:val="0"/>
      <w:marTop w:val="0"/>
      <w:marBottom w:val="0"/>
      <w:divBdr>
        <w:top w:val="none" w:sz="0" w:space="0" w:color="auto"/>
        <w:left w:val="none" w:sz="0" w:space="0" w:color="auto"/>
        <w:bottom w:val="none" w:sz="0" w:space="0" w:color="auto"/>
        <w:right w:val="none" w:sz="0" w:space="0" w:color="auto"/>
      </w:divBdr>
    </w:div>
    <w:div w:id="1887452481">
      <w:bodyDiv w:val="1"/>
      <w:marLeft w:val="0"/>
      <w:marRight w:val="0"/>
      <w:marTop w:val="0"/>
      <w:marBottom w:val="0"/>
      <w:divBdr>
        <w:top w:val="none" w:sz="0" w:space="0" w:color="auto"/>
        <w:left w:val="none" w:sz="0" w:space="0" w:color="auto"/>
        <w:bottom w:val="none" w:sz="0" w:space="0" w:color="auto"/>
        <w:right w:val="none" w:sz="0" w:space="0" w:color="auto"/>
      </w:divBdr>
    </w:div>
    <w:div w:id="1887911439">
      <w:bodyDiv w:val="1"/>
      <w:marLeft w:val="0"/>
      <w:marRight w:val="0"/>
      <w:marTop w:val="0"/>
      <w:marBottom w:val="0"/>
      <w:divBdr>
        <w:top w:val="none" w:sz="0" w:space="0" w:color="auto"/>
        <w:left w:val="none" w:sz="0" w:space="0" w:color="auto"/>
        <w:bottom w:val="none" w:sz="0" w:space="0" w:color="auto"/>
        <w:right w:val="none" w:sz="0" w:space="0" w:color="auto"/>
      </w:divBdr>
    </w:div>
    <w:div w:id="1889026820">
      <w:bodyDiv w:val="1"/>
      <w:marLeft w:val="0"/>
      <w:marRight w:val="0"/>
      <w:marTop w:val="0"/>
      <w:marBottom w:val="0"/>
      <w:divBdr>
        <w:top w:val="none" w:sz="0" w:space="0" w:color="auto"/>
        <w:left w:val="none" w:sz="0" w:space="0" w:color="auto"/>
        <w:bottom w:val="none" w:sz="0" w:space="0" w:color="auto"/>
        <w:right w:val="none" w:sz="0" w:space="0" w:color="auto"/>
      </w:divBdr>
    </w:div>
    <w:div w:id="1889032735">
      <w:bodyDiv w:val="1"/>
      <w:marLeft w:val="0"/>
      <w:marRight w:val="0"/>
      <w:marTop w:val="0"/>
      <w:marBottom w:val="0"/>
      <w:divBdr>
        <w:top w:val="none" w:sz="0" w:space="0" w:color="auto"/>
        <w:left w:val="none" w:sz="0" w:space="0" w:color="auto"/>
        <w:bottom w:val="none" w:sz="0" w:space="0" w:color="auto"/>
        <w:right w:val="none" w:sz="0" w:space="0" w:color="auto"/>
      </w:divBdr>
    </w:div>
    <w:div w:id="1889099045">
      <w:bodyDiv w:val="1"/>
      <w:marLeft w:val="0"/>
      <w:marRight w:val="0"/>
      <w:marTop w:val="0"/>
      <w:marBottom w:val="0"/>
      <w:divBdr>
        <w:top w:val="none" w:sz="0" w:space="0" w:color="auto"/>
        <w:left w:val="none" w:sz="0" w:space="0" w:color="auto"/>
        <w:bottom w:val="none" w:sz="0" w:space="0" w:color="auto"/>
        <w:right w:val="none" w:sz="0" w:space="0" w:color="auto"/>
      </w:divBdr>
    </w:div>
    <w:div w:id="1889294660">
      <w:bodyDiv w:val="1"/>
      <w:marLeft w:val="0"/>
      <w:marRight w:val="0"/>
      <w:marTop w:val="0"/>
      <w:marBottom w:val="0"/>
      <w:divBdr>
        <w:top w:val="none" w:sz="0" w:space="0" w:color="auto"/>
        <w:left w:val="none" w:sz="0" w:space="0" w:color="auto"/>
        <w:bottom w:val="none" w:sz="0" w:space="0" w:color="auto"/>
        <w:right w:val="none" w:sz="0" w:space="0" w:color="auto"/>
      </w:divBdr>
    </w:div>
    <w:div w:id="1889682654">
      <w:bodyDiv w:val="1"/>
      <w:marLeft w:val="0"/>
      <w:marRight w:val="0"/>
      <w:marTop w:val="0"/>
      <w:marBottom w:val="0"/>
      <w:divBdr>
        <w:top w:val="none" w:sz="0" w:space="0" w:color="auto"/>
        <w:left w:val="none" w:sz="0" w:space="0" w:color="auto"/>
        <w:bottom w:val="none" w:sz="0" w:space="0" w:color="auto"/>
        <w:right w:val="none" w:sz="0" w:space="0" w:color="auto"/>
      </w:divBdr>
    </w:div>
    <w:div w:id="1889796351">
      <w:bodyDiv w:val="1"/>
      <w:marLeft w:val="0"/>
      <w:marRight w:val="0"/>
      <w:marTop w:val="0"/>
      <w:marBottom w:val="0"/>
      <w:divBdr>
        <w:top w:val="none" w:sz="0" w:space="0" w:color="auto"/>
        <w:left w:val="none" w:sz="0" w:space="0" w:color="auto"/>
        <w:bottom w:val="none" w:sz="0" w:space="0" w:color="auto"/>
        <w:right w:val="none" w:sz="0" w:space="0" w:color="auto"/>
      </w:divBdr>
    </w:div>
    <w:div w:id="1889799630">
      <w:bodyDiv w:val="1"/>
      <w:marLeft w:val="0"/>
      <w:marRight w:val="0"/>
      <w:marTop w:val="0"/>
      <w:marBottom w:val="0"/>
      <w:divBdr>
        <w:top w:val="none" w:sz="0" w:space="0" w:color="auto"/>
        <w:left w:val="none" w:sz="0" w:space="0" w:color="auto"/>
        <w:bottom w:val="none" w:sz="0" w:space="0" w:color="auto"/>
        <w:right w:val="none" w:sz="0" w:space="0" w:color="auto"/>
      </w:divBdr>
    </w:div>
    <w:div w:id="1890216098">
      <w:bodyDiv w:val="1"/>
      <w:marLeft w:val="0"/>
      <w:marRight w:val="0"/>
      <w:marTop w:val="0"/>
      <w:marBottom w:val="0"/>
      <w:divBdr>
        <w:top w:val="none" w:sz="0" w:space="0" w:color="auto"/>
        <w:left w:val="none" w:sz="0" w:space="0" w:color="auto"/>
        <w:bottom w:val="none" w:sz="0" w:space="0" w:color="auto"/>
        <w:right w:val="none" w:sz="0" w:space="0" w:color="auto"/>
      </w:divBdr>
    </w:div>
    <w:div w:id="1890338337">
      <w:bodyDiv w:val="1"/>
      <w:marLeft w:val="0"/>
      <w:marRight w:val="0"/>
      <w:marTop w:val="0"/>
      <w:marBottom w:val="0"/>
      <w:divBdr>
        <w:top w:val="none" w:sz="0" w:space="0" w:color="auto"/>
        <w:left w:val="none" w:sz="0" w:space="0" w:color="auto"/>
        <w:bottom w:val="none" w:sz="0" w:space="0" w:color="auto"/>
        <w:right w:val="none" w:sz="0" w:space="0" w:color="auto"/>
      </w:divBdr>
    </w:div>
    <w:div w:id="1891304130">
      <w:bodyDiv w:val="1"/>
      <w:marLeft w:val="0"/>
      <w:marRight w:val="0"/>
      <w:marTop w:val="0"/>
      <w:marBottom w:val="0"/>
      <w:divBdr>
        <w:top w:val="none" w:sz="0" w:space="0" w:color="auto"/>
        <w:left w:val="none" w:sz="0" w:space="0" w:color="auto"/>
        <w:bottom w:val="none" w:sz="0" w:space="0" w:color="auto"/>
        <w:right w:val="none" w:sz="0" w:space="0" w:color="auto"/>
      </w:divBdr>
    </w:div>
    <w:div w:id="1891574634">
      <w:bodyDiv w:val="1"/>
      <w:marLeft w:val="0"/>
      <w:marRight w:val="0"/>
      <w:marTop w:val="0"/>
      <w:marBottom w:val="0"/>
      <w:divBdr>
        <w:top w:val="none" w:sz="0" w:space="0" w:color="auto"/>
        <w:left w:val="none" w:sz="0" w:space="0" w:color="auto"/>
        <w:bottom w:val="none" w:sz="0" w:space="0" w:color="auto"/>
        <w:right w:val="none" w:sz="0" w:space="0" w:color="auto"/>
      </w:divBdr>
    </w:div>
    <w:div w:id="1891842080">
      <w:bodyDiv w:val="1"/>
      <w:marLeft w:val="0"/>
      <w:marRight w:val="0"/>
      <w:marTop w:val="0"/>
      <w:marBottom w:val="0"/>
      <w:divBdr>
        <w:top w:val="none" w:sz="0" w:space="0" w:color="auto"/>
        <w:left w:val="none" w:sz="0" w:space="0" w:color="auto"/>
        <w:bottom w:val="none" w:sz="0" w:space="0" w:color="auto"/>
        <w:right w:val="none" w:sz="0" w:space="0" w:color="auto"/>
      </w:divBdr>
    </w:div>
    <w:div w:id="1891961185">
      <w:bodyDiv w:val="1"/>
      <w:marLeft w:val="0"/>
      <w:marRight w:val="0"/>
      <w:marTop w:val="0"/>
      <w:marBottom w:val="0"/>
      <w:divBdr>
        <w:top w:val="none" w:sz="0" w:space="0" w:color="auto"/>
        <w:left w:val="none" w:sz="0" w:space="0" w:color="auto"/>
        <w:bottom w:val="none" w:sz="0" w:space="0" w:color="auto"/>
        <w:right w:val="none" w:sz="0" w:space="0" w:color="auto"/>
      </w:divBdr>
    </w:div>
    <w:div w:id="1892188145">
      <w:bodyDiv w:val="1"/>
      <w:marLeft w:val="0"/>
      <w:marRight w:val="0"/>
      <w:marTop w:val="0"/>
      <w:marBottom w:val="0"/>
      <w:divBdr>
        <w:top w:val="none" w:sz="0" w:space="0" w:color="auto"/>
        <w:left w:val="none" w:sz="0" w:space="0" w:color="auto"/>
        <w:bottom w:val="none" w:sz="0" w:space="0" w:color="auto"/>
        <w:right w:val="none" w:sz="0" w:space="0" w:color="auto"/>
      </w:divBdr>
    </w:div>
    <w:div w:id="1892377227">
      <w:bodyDiv w:val="1"/>
      <w:marLeft w:val="0"/>
      <w:marRight w:val="0"/>
      <w:marTop w:val="0"/>
      <w:marBottom w:val="0"/>
      <w:divBdr>
        <w:top w:val="none" w:sz="0" w:space="0" w:color="auto"/>
        <w:left w:val="none" w:sz="0" w:space="0" w:color="auto"/>
        <w:bottom w:val="none" w:sz="0" w:space="0" w:color="auto"/>
        <w:right w:val="none" w:sz="0" w:space="0" w:color="auto"/>
      </w:divBdr>
    </w:div>
    <w:div w:id="1893038312">
      <w:bodyDiv w:val="1"/>
      <w:marLeft w:val="0"/>
      <w:marRight w:val="0"/>
      <w:marTop w:val="0"/>
      <w:marBottom w:val="0"/>
      <w:divBdr>
        <w:top w:val="none" w:sz="0" w:space="0" w:color="auto"/>
        <w:left w:val="none" w:sz="0" w:space="0" w:color="auto"/>
        <w:bottom w:val="none" w:sz="0" w:space="0" w:color="auto"/>
        <w:right w:val="none" w:sz="0" w:space="0" w:color="auto"/>
      </w:divBdr>
    </w:div>
    <w:div w:id="1893536217">
      <w:bodyDiv w:val="1"/>
      <w:marLeft w:val="0"/>
      <w:marRight w:val="0"/>
      <w:marTop w:val="0"/>
      <w:marBottom w:val="0"/>
      <w:divBdr>
        <w:top w:val="none" w:sz="0" w:space="0" w:color="auto"/>
        <w:left w:val="none" w:sz="0" w:space="0" w:color="auto"/>
        <w:bottom w:val="none" w:sz="0" w:space="0" w:color="auto"/>
        <w:right w:val="none" w:sz="0" w:space="0" w:color="auto"/>
      </w:divBdr>
    </w:div>
    <w:div w:id="1893812046">
      <w:bodyDiv w:val="1"/>
      <w:marLeft w:val="0"/>
      <w:marRight w:val="0"/>
      <w:marTop w:val="0"/>
      <w:marBottom w:val="0"/>
      <w:divBdr>
        <w:top w:val="none" w:sz="0" w:space="0" w:color="auto"/>
        <w:left w:val="none" w:sz="0" w:space="0" w:color="auto"/>
        <w:bottom w:val="none" w:sz="0" w:space="0" w:color="auto"/>
        <w:right w:val="none" w:sz="0" w:space="0" w:color="auto"/>
      </w:divBdr>
    </w:div>
    <w:div w:id="1894078189">
      <w:bodyDiv w:val="1"/>
      <w:marLeft w:val="0"/>
      <w:marRight w:val="0"/>
      <w:marTop w:val="0"/>
      <w:marBottom w:val="0"/>
      <w:divBdr>
        <w:top w:val="none" w:sz="0" w:space="0" w:color="auto"/>
        <w:left w:val="none" w:sz="0" w:space="0" w:color="auto"/>
        <w:bottom w:val="none" w:sz="0" w:space="0" w:color="auto"/>
        <w:right w:val="none" w:sz="0" w:space="0" w:color="auto"/>
      </w:divBdr>
    </w:div>
    <w:div w:id="1894080292">
      <w:bodyDiv w:val="1"/>
      <w:marLeft w:val="0"/>
      <w:marRight w:val="0"/>
      <w:marTop w:val="0"/>
      <w:marBottom w:val="0"/>
      <w:divBdr>
        <w:top w:val="none" w:sz="0" w:space="0" w:color="auto"/>
        <w:left w:val="none" w:sz="0" w:space="0" w:color="auto"/>
        <w:bottom w:val="none" w:sz="0" w:space="0" w:color="auto"/>
        <w:right w:val="none" w:sz="0" w:space="0" w:color="auto"/>
      </w:divBdr>
    </w:div>
    <w:div w:id="1895123123">
      <w:bodyDiv w:val="1"/>
      <w:marLeft w:val="0"/>
      <w:marRight w:val="0"/>
      <w:marTop w:val="0"/>
      <w:marBottom w:val="0"/>
      <w:divBdr>
        <w:top w:val="none" w:sz="0" w:space="0" w:color="auto"/>
        <w:left w:val="none" w:sz="0" w:space="0" w:color="auto"/>
        <w:bottom w:val="none" w:sz="0" w:space="0" w:color="auto"/>
        <w:right w:val="none" w:sz="0" w:space="0" w:color="auto"/>
      </w:divBdr>
    </w:div>
    <w:div w:id="1895191602">
      <w:bodyDiv w:val="1"/>
      <w:marLeft w:val="0"/>
      <w:marRight w:val="0"/>
      <w:marTop w:val="0"/>
      <w:marBottom w:val="0"/>
      <w:divBdr>
        <w:top w:val="none" w:sz="0" w:space="0" w:color="auto"/>
        <w:left w:val="none" w:sz="0" w:space="0" w:color="auto"/>
        <w:bottom w:val="none" w:sz="0" w:space="0" w:color="auto"/>
        <w:right w:val="none" w:sz="0" w:space="0" w:color="auto"/>
      </w:divBdr>
    </w:div>
    <w:div w:id="1895314736">
      <w:bodyDiv w:val="1"/>
      <w:marLeft w:val="0"/>
      <w:marRight w:val="0"/>
      <w:marTop w:val="0"/>
      <w:marBottom w:val="0"/>
      <w:divBdr>
        <w:top w:val="none" w:sz="0" w:space="0" w:color="auto"/>
        <w:left w:val="none" w:sz="0" w:space="0" w:color="auto"/>
        <w:bottom w:val="none" w:sz="0" w:space="0" w:color="auto"/>
        <w:right w:val="none" w:sz="0" w:space="0" w:color="auto"/>
      </w:divBdr>
    </w:div>
    <w:div w:id="1895507025">
      <w:bodyDiv w:val="1"/>
      <w:marLeft w:val="0"/>
      <w:marRight w:val="0"/>
      <w:marTop w:val="0"/>
      <w:marBottom w:val="0"/>
      <w:divBdr>
        <w:top w:val="none" w:sz="0" w:space="0" w:color="auto"/>
        <w:left w:val="none" w:sz="0" w:space="0" w:color="auto"/>
        <w:bottom w:val="none" w:sz="0" w:space="0" w:color="auto"/>
        <w:right w:val="none" w:sz="0" w:space="0" w:color="auto"/>
      </w:divBdr>
    </w:div>
    <w:div w:id="1895853391">
      <w:bodyDiv w:val="1"/>
      <w:marLeft w:val="0"/>
      <w:marRight w:val="0"/>
      <w:marTop w:val="0"/>
      <w:marBottom w:val="0"/>
      <w:divBdr>
        <w:top w:val="none" w:sz="0" w:space="0" w:color="auto"/>
        <w:left w:val="none" w:sz="0" w:space="0" w:color="auto"/>
        <w:bottom w:val="none" w:sz="0" w:space="0" w:color="auto"/>
        <w:right w:val="none" w:sz="0" w:space="0" w:color="auto"/>
      </w:divBdr>
    </w:div>
    <w:div w:id="1895969739">
      <w:bodyDiv w:val="1"/>
      <w:marLeft w:val="0"/>
      <w:marRight w:val="0"/>
      <w:marTop w:val="0"/>
      <w:marBottom w:val="0"/>
      <w:divBdr>
        <w:top w:val="none" w:sz="0" w:space="0" w:color="auto"/>
        <w:left w:val="none" w:sz="0" w:space="0" w:color="auto"/>
        <w:bottom w:val="none" w:sz="0" w:space="0" w:color="auto"/>
        <w:right w:val="none" w:sz="0" w:space="0" w:color="auto"/>
      </w:divBdr>
    </w:div>
    <w:div w:id="1896159889">
      <w:bodyDiv w:val="1"/>
      <w:marLeft w:val="0"/>
      <w:marRight w:val="0"/>
      <w:marTop w:val="0"/>
      <w:marBottom w:val="0"/>
      <w:divBdr>
        <w:top w:val="none" w:sz="0" w:space="0" w:color="auto"/>
        <w:left w:val="none" w:sz="0" w:space="0" w:color="auto"/>
        <w:bottom w:val="none" w:sz="0" w:space="0" w:color="auto"/>
        <w:right w:val="none" w:sz="0" w:space="0" w:color="auto"/>
      </w:divBdr>
    </w:div>
    <w:div w:id="1896350247">
      <w:bodyDiv w:val="1"/>
      <w:marLeft w:val="0"/>
      <w:marRight w:val="0"/>
      <w:marTop w:val="0"/>
      <w:marBottom w:val="0"/>
      <w:divBdr>
        <w:top w:val="none" w:sz="0" w:space="0" w:color="auto"/>
        <w:left w:val="none" w:sz="0" w:space="0" w:color="auto"/>
        <w:bottom w:val="none" w:sz="0" w:space="0" w:color="auto"/>
        <w:right w:val="none" w:sz="0" w:space="0" w:color="auto"/>
      </w:divBdr>
    </w:div>
    <w:div w:id="1897010185">
      <w:bodyDiv w:val="1"/>
      <w:marLeft w:val="0"/>
      <w:marRight w:val="0"/>
      <w:marTop w:val="0"/>
      <w:marBottom w:val="0"/>
      <w:divBdr>
        <w:top w:val="none" w:sz="0" w:space="0" w:color="auto"/>
        <w:left w:val="none" w:sz="0" w:space="0" w:color="auto"/>
        <w:bottom w:val="none" w:sz="0" w:space="0" w:color="auto"/>
        <w:right w:val="none" w:sz="0" w:space="0" w:color="auto"/>
      </w:divBdr>
    </w:div>
    <w:div w:id="1897736740">
      <w:bodyDiv w:val="1"/>
      <w:marLeft w:val="0"/>
      <w:marRight w:val="0"/>
      <w:marTop w:val="0"/>
      <w:marBottom w:val="0"/>
      <w:divBdr>
        <w:top w:val="none" w:sz="0" w:space="0" w:color="auto"/>
        <w:left w:val="none" w:sz="0" w:space="0" w:color="auto"/>
        <w:bottom w:val="none" w:sz="0" w:space="0" w:color="auto"/>
        <w:right w:val="none" w:sz="0" w:space="0" w:color="auto"/>
      </w:divBdr>
    </w:div>
    <w:div w:id="1898317708">
      <w:bodyDiv w:val="1"/>
      <w:marLeft w:val="0"/>
      <w:marRight w:val="0"/>
      <w:marTop w:val="0"/>
      <w:marBottom w:val="0"/>
      <w:divBdr>
        <w:top w:val="none" w:sz="0" w:space="0" w:color="auto"/>
        <w:left w:val="none" w:sz="0" w:space="0" w:color="auto"/>
        <w:bottom w:val="none" w:sz="0" w:space="0" w:color="auto"/>
        <w:right w:val="none" w:sz="0" w:space="0" w:color="auto"/>
      </w:divBdr>
    </w:div>
    <w:div w:id="1898513813">
      <w:bodyDiv w:val="1"/>
      <w:marLeft w:val="0"/>
      <w:marRight w:val="0"/>
      <w:marTop w:val="0"/>
      <w:marBottom w:val="0"/>
      <w:divBdr>
        <w:top w:val="none" w:sz="0" w:space="0" w:color="auto"/>
        <w:left w:val="none" w:sz="0" w:space="0" w:color="auto"/>
        <w:bottom w:val="none" w:sz="0" w:space="0" w:color="auto"/>
        <w:right w:val="none" w:sz="0" w:space="0" w:color="auto"/>
      </w:divBdr>
    </w:div>
    <w:div w:id="1899242846">
      <w:bodyDiv w:val="1"/>
      <w:marLeft w:val="0"/>
      <w:marRight w:val="0"/>
      <w:marTop w:val="0"/>
      <w:marBottom w:val="0"/>
      <w:divBdr>
        <w:top w:val="none" w:sz="0" w:space="0" w:color="auto"/>
        <w:left w:val="none" w:sz="0" w:space="0" w:color="auto"/>
        <w:bottom w:val="none" w:sz="0" w:space="0" w:color="auto"/>
        <w:right w:val="none" w:sz="0" w:space="0" w:color="auto"/>
      </w:divBdr>
    </w:div>
    <w:div w:id="1900355921">
      <w:bodyDiv w:val="1"/>
      <w:marLeft w:val="0"/>
      <w:marRight w:val="0"/>
      <w:marTop w:val="0"/>
      <w:marBottom w:val="0"/>
      <w:divBdr>
        <w:top w:val="none" w:sz="0" w:space="0" w:color="auto"/>
        <w:left w:val="none" w:sz="0" w:space="0" w:color="auto"/>
        <w:bottom w:val="none" w:sz="0" w:space="0" w:color="auto"/>
        <w:right w:val="none" w:sz="0" w:space="0" w:color="auto"/>
      </w:divBdr>
    </w:div>
    <w:div w:id="1900358878">
      <w:bodyDiv w:val="1"/>
      <w:marLeft w:val="0"/>
      <w:marRight w:val="0"/>
      <w:marTop w:val="0"/>
      <w:marBottom w:val="0"/>
      <w:divBdr>
        <w:top w:val="none" w:sz="0" w:space="0" w:color="auto"/>
        <w:left w:val="none" w:sz="0" w:space="0" w:color="auto"/>
        <w:bottom w:val="none" w:sz="0" w:space="0" w:color="auto"/>
        <w:right w:val="none" w:sz="0" w:space="0" w:color="auto"/>
      </w:divBdr>
    </w:div>
    <w:div w:id="1900556005">
      <w:bodyDiv w:val="1"/>
      <w:marLeft w:val="0"/>
      <w:marRight w:val="0"/>
      <w:marTop w:val="0"/>
      <w:marBottom w:val="0"/>
      <w:divBdr>
        <w:top w:val="none" w:sz="0" w:space="0" w:color="auto"/>
        <w:left w:val="none" w:sz="0" w:space="0" w:color="auto"/>
        <w:bottom w:val="none" w:sz="0" w:space="0" w:color="auto"/>
        <w:right w:val="none" w:sz="0" w:space="0" w:color="auto"/>
      </w:divBdr>
    </w:div>
    <w:div w:id="1900633761">
      <w:bodyDiv w:val="1"/>
      <w:marLeft w:val="0"/>
      <w:marRight w:val="0"/>
      <w:marTop w:val="0"/>
      <w:marBottom w:val="0"/>
      <w:divBdr>
        <w:top w:val="none" w:sz="0" w:space="0" w:color="auto"/>
        <w:left w:val="none" w:sz="0" w:space="0" w:color="auto"/>
        <w:bottom w:val="none" w:sz="0" w:space="0" w:color="auto"/>
        <w:right w:val="none" w:sz="0" w:space="0" w:color="auto"/>
      </w:divBdr>
    </w:div>
    <w:div w:id="1900675123">
      <w:bodyDiv w:val="1"/>
      <w:marLeft w:val="0"/>
      <w:marRight w:val="0"/>
      <w:marTop w:val="0"/>
      <w:marBottom w:val="0"/>
      <w:divBdr>
        <w:top w:val="none" w:sz="0" w:space="0" w:color="auto"/>
        <w:left w:val="none" w:sz="0" w:space="0" w:color="auto"/>
        <w:bottom w:val="none" w:sz="0" w:space="0" w:color="auto"/>
        <w:right w:val="none" w:sz="0" w:space="0" w:color="auto"/>
      </w:divBdr>
    </w:div>
    <w:div w:id="1901288999">
      <w:bodyDiv w:val="1"/>
      <w:marLeft w:val="0"/>
      <w:marRight w:val="0"/>
      <w:marTop w:val="0"/>
      <w:marBottom w:val="0"/>
      <w:divBdr>
        <w:top w:val="none" w:sz="0" w:space="0" w:color="auto"/>
        <w:left w:val="none" w:sz="0" w:space="0" w:color="auto"/>
        <w:bottom w:val="none" w:sz="0" w:space="0" w:color="auto"/>
        <w:right w:val="none" w:sz="0" w:space="0" w:color="auto"/>
      </w:divBdr>
    </w:div>
    <w:div w:id="1901360932">
      <w:bodyDiv w:val="1"/>
      <w:marLeft w:val="0"/>
      <w:marRight w:val="0"/>
      <w:marTop w:val="0"/>
      <w:marBottom w:val="0"/>
      <w:divBdr>
        <w:top w:val="none" w:sz="0" w:space="0" w:color="auto"/>
        <w:left w:val="none" w:sz="0" w:space="0" w:color="auto"/>
        <w:bottom w:val="none" w:sz="0" w:space="0" w:color="auto"/>
        <w:right w:val="none" w:sz="0" w:space="0" w:color="auto"/>
      </w:divBdr>
    </w:div>
    <w:div w:id="1901401030">
      <w:bodyDiv w:val="1"/>
      <w:marLeft w:val="0"/>
      <w:marRight w:val="0"/>
      <w:marTop w:val="0"/>
      <w:marBottom w:val="0"/>
      <w:divBdr>
        <w:top w:val="none" w:sz="0" w:space="0" w:color="auto"/>
        <w:left w:val="none" w:sz="0" w:space="0" w:color="auto"/>
        <w:bottom w:val="none" w:sz="0" w:space="0" w:color="auto"/>
        <w:right w:val="none" w:sz="0" w:space="0" w:color="auto"/>
      </w:divBdr>
    </w:div>
    <w:div w:id="1901865251">
      <w:bodyDiv w:val="1"/>
      <w:marLeft w:val="0"/>
      <w:marRight w:val="0"/>
      <w:marTop w:val="0"/>
      <w:marBottom w:val="0"/>
      <w:divBdr>
        <w:top w:val="none" w:sz="0" w:space="0" w:color="auto"/>
        <w:left w:val="none" w:sz="0" w:space="0" w:color="auto"/>
        <w:bottom w:val="none" w:sz="0" w:space="0" w:color="auto"/>
        <w:right w:val="none" w:sz="0" w:space="0" w:color="auto"/>
      </w:divBdr>
    </w:div>
    <w:div w:id="1902203882">
      <w:bodyDiv w:val="1"/>
      <w:marLeft w:val="0"/>
      <w:marRight w:val="0"/>
      <w:marTop w:val="0"/>
      <w:marBottom w:val="0"/>
      <w:divBdr>
        <w:top w:val="none" w:sz="0" w:space="0" w:color="auto"/>
        <w:left w:val="none" w:sz="0" w:space="0" w:color="auto"/>
        <w:bottom w:val="none" w:sz="0" w:space="0" w:color="auto"/>
        <w:right w:val="none" w:sz="0" w:space="0" w:color="auto"/>
      </w:divBdr>
    </w:div>
    <w:div w:id="1902788608">
      <w:bodyDiv w:val="1"/>
      <w:marLeft w:val="0"/>
      <w:marRight w:val="0"/>
      <w:marTop w:val="0"/>
      <w:marBottom w:val="0"/>
      <w:divBdr>
        <w:top w:val="none" w:sz="0" w:space="0" w:color="auto"/>
        <w:left w:val="none" w:sz="0" w:space="0" w:color="auto"/>
        <w:bottom w:val="none" w:sz="0" w:space="0" w:color="auto"/>
        <w:right w:val="none" w:sz="0" w:space="0" w:color="auto"/>
      </w:divBdr>
    </w:div>
    <w:div w:id="1902865187">
      <w:bodyDiv w:val="1"/>
      <w:marLeft w:val="0"/>
      <w:marRight w:val="0"/>
      <w:marTop w:val="0"/>
      <w:marBottom w:val="0"/>
      <w:divBdr>
        <w:top w:val="none" w:sz="0" w:space="0" w:color="auto"/>
        <w:left w:val="none" w:sz="0" w:space="0" w:color="auto"/>
        <w:bottom w:val="none" w:sz="0" w:space="0" w:color="auto"/>
        <w:right w:val="none" w:sz="0" w:space="0" w:color="auto"/>
      </w:divBdr>
    </w:div>
    <w:div w:id="1902904695">
      <w:bodyDiv w:val="1"/>
      <w:marLeft w:val="0"/>
      <w:marRight w:val="0"/>
      <w:marTop w:val="0"/>
      <w:marBottom w:val="0"/>
      <w:divBdr>
        <w:top w:val="none" w:sz="0" w:space="0" w:color="auto"/>
        <w:left w:val="none" w:sz="0" w:space="0" w:color="auto"/>
        <w:bottom w:val="none" w:sz="0" w:space="0" w:color="auto"/>
        <w:right w:val="none" w:sz="0" w:space="0" w:color="auto"/>
      </w:divBdr>
    </w:div>
    <w:div w:id="1904169709">
      <w:bodyDiv w:val="1"/>
      <w:marLeft w:val="0"/>
      <w:marRight w:val="0"/>
      <w:marTop w:val="0"/>
      <w:marBottom w:val="0"/>
      <w:divBdr>
        <w:top w:val="none" w:sz="0" w:space="0" w:color="auto"/>
        <w:left w:val="none" w:sz="0" w:space="0" w:color="auto"/>
        <w:bottom w:val="none" w:sz="0" w:space="0" w:color="auto"/>
        <w:right w:val="none" w:sz="0" w:space="0" w:color="auto"/>
      </w:divBdr>
    </w:div>
    <w:div w:id="1904490241">
      <w:bodyDiv w:val="1"/>
      <w:marLeft w:val="0"/>
      <w:marRight w:val="0"/>
      <w:marTop w:val="0"/>
      <w:marBottom w:val="0"/>
      <w:divBdr>
        <w:top w:val="none" w:sz="0" w:space="0" w:color="auto"/>
        <w:left w:val="none" w:sz="0" w:space="0" w:color="auto"/>
        <w:bottom w:val="none" w:sz="0" w:space="0" w:color="auto"/>
        <w:right w:val="none" w:sz="0" w:space="0" w:color="auto"/>
      </w:divBdr>
    </w:div>
    <w:div w:id="1905211860">
      <w:bodyDiv w:val="1"/>
      <w:marLeft w:val="0"/>
      <w:marRight w:val="0"/>
      <w:marTop w:val="0"/>
      <w:marBottom w:val="0"/>
      <w:divBdr>
        <w:top w:val="none" w:sz="0" w:space="0" w:color="auto"/>
        <w:left w:val="none" w:sz="0" w:space="0" w:color="auto"/>
        <w:bottom w:val="none" w:sz="0" w:space="0" w:color="auto"/>
        <w:right w:val="none" w:sz="0" w:space="0" w:color="auto"/>
      </w:divBdr>
    </w:div>
    <w:div w:id="1905219404">
      <w:bodyDiv w:val="1"/>
      <w:marLeft w:val="0"/>
      <w:marRight w:val="0"/>
      <w:marTop w:val="0"/>
      <w:marBottom w:val="0"/>
      <w:divBdr>
        <w:top w:val="none" w:sz="0" w:space="0" w:color="auto"/>
        <w:left w:val="none" w:sz="0" w:space="0" w:color="auto"/>
        <w:bottom w:val="none" w:sz="0" w:space="0" w:color="auto"/>
        <w:right w:val="none" w:sz="0" w:space="0" w:color="auto"/>
      </w:divBdr>
    </w:div>
    <w:div w:id="1906181191">
      <w:bodyDiv w:val="1"/>
      <w:marLeft w:val="0"/>
      <w:marRight w:val="0"/>
      <w:marTop w:val="0"/>
      <w:marBottom w:val="0"/>
      <w:divBdr>
        <w:top w:val="none" w:sz="0" w:space="0" w:color="auto"/>
        <w:left w:val="none" w:sz="0" w:space="0" w:color="auto"/>
        <w:bottom w:val="none" w:sz="0" w:space="0" w:color="auto"/>
        <w:right w:val="none" w:sz="0" w:space="0" w:color="auto"/>
      </w:divBdr>
    </w:div>
    <w:div w:id="1906573793">
      <w:bodyDiv w:val="1"/>
      <w:marLeft w:val="0"/>
      <w:marRight w:val="0"/>
      <w:marTop w:val="0"/>
      <w:marBottom w:val="0"/>
      <w:divBdr>
        <w:top w:val="none" w:sz="0" w:space="0" w:color="auto"/>
        <w:left w:val="none" w:sz="0" w:space="0" w:color="auto"/>
        <w:bottom w:val="none" w:sz="0" w:space="0" w:color="auto"/>
        <w:right w:val="none" w:sz="0" w:space="0" w:color="auto"/>
      </w:divBdr>
    </w:div>
    <w:div w:id="1906916095">
      <w:bodyDiv w:val="1"/>
      <w:marLeft w:val="0"/>
      <w:marRight w:val="0"/>
      <w:marTop w:val="0"/>
      <w:marBottom w:val="0"/>
      <w:divBdr>
        <w:top w:val="none" w:sz="0" w:space="0" w:color="auto"/>
        <w:left w:val="none" w:sz="0" w:space="0" w:color="auto"/>
        <w:bottom w:val="none" w:sz="0" w:space="0" w:color="auto"/>
        <w:right w:val="none" w:sz="0" w:space="0" w:color="auto"/>
      </w:divBdr>
    </w:div>
    <w:div w:id="1907181122">
      <w:bodyDiv w:val="1"/>
      <w:marLeft w:val="0"/>
      <w:marRight w:val="0"/>
      <w:marTop w:val="0"/>
      <w:marBottom w:val="0"/>
      <w:divBdr>
        <w:top w:val="none" w:sz="0" w:space="0" w:color="auto"/>
        <w:left w:val="none" w:sz="0" w:space="0" w:color="auto"/>
        <w:bottom w:val="none" w:sz="0" w:space="0" w:color="auto"/>
        <w:right w:val="none" w:sz="0" w:space="0" w:color="auto"/>
      </w:divBdr>
    </w:div>
    <w:div w:id="1907186072">
      <w:bodyDiv w:val="1"/>
      <w:marLeft w:val="0"/>
      <w:marRight w:val="0"/>
      <w:marTop w:val="0"/>
      <w:marBottom w:val="0"/>
      <w:divBdr>
        <w:top w:val="none" w:sz="0" w:space="0" w:color="auto"/>
        <w:left w:val="none" w:sz="0" w:space="0" w:color="auto"/>
        <w:bottom w:val="none" w:sz="0" w:space="0" w:color="auto"/>
        <w:right w:val="none" w:sz="0" w:space="0" w:color="auto"/>
      </w:divBdr>
    </w:div>
    <w:div w:id="1907375138">
      <w:bodyDiv w:val="1"/>
      <w:marLeft w:val="0"/>
      <w:marRight w:val="0"/>
      <w:marTop w:val="0"/>
      <w:marBottom w:val="0"/>
      <w:divBdr>
        <w:top w:val="none" w:sz="0" w:space="0" w:color="auto"/>
        <w:left w:val="none" w:sz="0" w:space="0" w:color="auto"/>
        <w:bottom w:val="none" w:sz="0" w:space="0" w:color="auto"/>
        <w:right w:val="none" w:sz="0" w:space="0" w:color="auto"/>
      </w:divBdr>
    </w:div>
    <w:div w:id="1907642491">
      <w:bodyDiv w:val="1"/>
      <w:marLeft w:val="0"/>
      <w:marRight w:val="0"/>
      <w:marTop w:val="0"/>
      <w:marBottom w:val="0"/>
      <w:divBdr>
        <w:top w:val="none" w:sz="0" w:space="0" w:color="auto"/>
        <w:left w:val="none" w:sz="0" w:space="0" w:color="auto"/>
        <w:bottom w:val="none" w:sz="0" w:space="0" w:color="auto"/>
        <w:right w:val="none" w:sz="0" w:space="0" w:color="auto"/>
      </w:divBdr>
    </w:div>
    <w:div w:id="1907908714">
      <w:bodyDiv w:val="1"/>
      <w:marLeft w:val="0"/>
      <w:marRight w:val="0"/>
      <w:marTop w:val="0"/>
      <w:marBottom w:val="0"/>
      <w:divBdr>
        <w:top w:val="none" w:sz="0" w:space="0" w:color="auto"/>
        <w:left w:val="none" w:sz="0" w:space="0" w:color="auto"/>
        <w:bottom w:val="none" w:sz="0" w:space="0" w:color="auto"/>
        <w:right w:val="none" w:sz="0" w:space="0" w:color="auto"/>
      </w:divBdr>
    </w:div>
    <w:div w:id="1907908897">
      <w:bodyDiv w:val="1"/>
      <w:marLeft w:val="0"/>
      <w:marRight w:val="0"/>
      <w:marTop w:val="0"/>
      <w:marBottom w:val="0"/>
      <w:divBdr>
        <w:top w:val="none" w:sz="0" w:space="0" w:color="auto"/>
        <w:left w:val="none" w:sz="0" w:space="0" w:color="auto"/>
        <w:bottom w:val="none" w:sz="0" w:space="0" w:color="auto"/>
        <w:right w:val="none" w:sz="0" w:space="0" w:color="auto"/>
      </w:divBdr>
    </w:div>
    <w:div w:id="1908027055">
      <w:bodyDiv w:val="1"/>
      <w:marLeft w:val="0"/>
      <w:marRight w:val="0"/>
      <w:marTop w:val="0"/>
      <w:marBottom w:val="0"/>
      <w:divBdr>
        <w:top w:val="none" w:sz="0" w:space="0" w:color="auto"/>
        <w:left w:val="none" w:sz="0" w:space="0" w:color="auto"/>
        <w:bottom w:val="none" w:sz="0" w:space="0" w:color="auto"/>
        <w:right w:val="none" w:sz="0" w:space="0" w:color="auto"/>
      </w:divBdr>
    </w:div>
    <w:div w:id="1908029262">
      <w:bodyDiv w:val="1"/>
      <w:marLeft w:val="0"/>
      <w:marRight w:val="0"/>
      <w:marTop w:val="0"/>
      <w:marBottom w:val="0"/>
      <w:divBdr>
        <w:top w:val="none" w:sz="0" w:space="0" w:color="auto"/>
        <w:left w:val="none" w:sz="0" w:space="0" w:color="auto"/>
        <w:bottom w:val="none" w:sz="0" w:space="0" w:color="auto"/>
        <w:right w:val="none" w:sz="0" w:space="0" w:color="auto"/>
      </w:divBdr>
    </w:div>
    <w:div w:id="1908101792">
      <w:bodyDiv w:val="1"/>
      <w:marLeft w:val="0"/>
      <w:marRight w:val="0"/>
      <w:marTop w:val="0"/>
      <w:marBottom w:val="0"/>
      <w:divBdr>
        <w:top w:val="none" w:sz="0" w:space="0" w:color="auto"/>
        <w:left w:val="none" w:sz="0" w:space="0" w:color="auto"/>
        <w:bottom w:val="none" w:sz="0" w:space="0" w:color="auto"/>
        <w:right w:val="none" w:sz="0" w:space="0" w:color="auto"/>
      </w:divBdr>
    </w:div>
    <w:div w:id="1908297540">
      <w:bodyDiv w:val="1"/>
      <w:marLeft w:val="0"/>
      <w:marRight w:val="0"/>
      <w:marTop w:val="0"/>
      <w:marBottom w:val="0"/>
      <w:divBdr>
        <w:top w:val="none" w:sz="0" w:space="0" w:color="auto"/>
        <w:left w:val="none" w:sz="0" w:space="0" w:color="auto"/>
        <w:bottom w:val="none" w:sz="0" w:space="0" w:color="auto"/>
        <w:right w:val="none" w:sz="0" w:space="0" w:color="auto"/>
      </w:divBdr>
    </w:div>
    <w:div w:id="1908686567">
      <w:bodyDiv w:val="1"/>
      <w:marLeft w:val="0"/>
      <w:marRight w:val="0"/>
      <w:marTop w:val="0"/>
      <w:marBottom w:val="0"/>
      <w:divBdr>
        <w:top w:val="none" w:sz="0" w:space="0" w:color="auto"/>
        <w:left w:val="none" w:sz="0" w:space="0" w:color="auto"/>
        <w:bottom w:val="none" w:sz="0" w:space="0" w:color="auto"/>
        <w:right w:val="none" w:sz="0" w:space="0" w:color="auto"/>
      </w:divBdr>
    </w:div>
    <w:div w:id="1908874561">
      <w:bodyDiv w:val="1"/>
      <w:marLeft w:val="0"/>
      <w:marRight w:val="0"/>
      <w:marTop w:val="0"/>
      <w:marBottom w:val="0"/>
      <w:divBdr>
        <w:top w:val="none" w:sz="0" w:space="0" w:color="auto"/>
        <w:left w:val="none" w:sz="0" w:space="0" w:color="auto"/>
        <w:bottom w:val="none" w:sz="0" w:space="0" w:color="auto"/>
        <w:right w:val="none" w:sz="0" w:space="0" w:color="auto"/>
      </w:divBdr>
    </w:div>
    <w:div w:id="1909071724">
      <w:bodyDiv w:val="1"/>
      <w:marLeft w:val="0"/>
      <w:marRight w:val="0"/>
      <w:marTop w:val="0"/>
      <w:marBottom w:val="0"/>
      <w:divBdr>
        <w:top w:val="none" w:sz="0" w:space="0" w:color="auto"/>
        <w:left w:val="none" w:sz="0" w:space="0" w:color="auto"/>
        <w:bottom w:val="none" w:sz="0" w:space="0" w:color="auto"/>
        <w:right w:val="none" w:sz="0" w:space="0" w:color="auto"/>
      </w:divBdr>
    </w:div>
    <w:div w:id="1909420309">
      <w:bodyDiv w:val="1"/>
      <w:marLeft w:val="0"/>
      <w:marRight w:val="0"/>
      <w:marTop w:val="0"/>
      <w:marBottom w:val="0"/>
      <w:divBdr>
        <w:top w:val="none" w:sz="0" w:space="0" w:color="auto"/>
        <w:left w:val="none" w:sz="0" w:space="0" w:color="auto"/>
        <w:bottom w:val="none" w:sz="0" w:space="0" w:color="auto"/>
        <w:right w:val="none" w:sz="0" w:space="0" w:color="auto"/>
      </w:divBdr>
    </w:div>
    <w:div w:id="1909614241">
      <w:bodyDiv w:val="1"/>
      <w:marLeft w:val="0"/>
      <w:marRight w:val="0"/>
      <w:marTop w:val="0"/>
      <w:marBottom w:val="0"/>
      <w:divBdr>
        <w:top w:val="none" w:sz="0" w:space="0" w:color="auto"/>
        <w:left w:val="none" w:sz="0" w:space="0" w:color="auto"/>
        <w:bottom w:val="none" w:sz="0" w:space="0" w:color="auto"/>
        <w:right w:val="none" w:sz="0" w:space="0" w:color="auto"/>
      </w:divBdr>
    </w:div>
    <w:div w:id="1910072568">
      <w:bodyDiv w:val="1"/>
      <w:marLeft w:val="0"/>
      <w:marRight w:val="0"/>
      <w:marTop w:val="0"/>
      <w:marBottom w:val="0"/>
      <w:divBdr>
        <w:top w:val="none" w:sz="0" w:space="0" w:color="auto"/>
        <w:left w:val="none" w:sz="0" w:space="0" w:color="auto"/>
        <w:bottom w:val="none" w:sz="0" w:space="0" w:color="auto"/>
        <w:right w:val="none" w:sz="0" w:space="0" w:color="auto"/>
      </w:divBdr>
    </w:div>
    <w:div w:id="1910112419">
      <w:bodyDiv w:val="1"/>
      <w:marLeft w:val="0"/>
      <w:marRight w:val="0"/>
      <w:marTop w:val="0"/>
      <w:marBottom w:val="0"/>
      <w:divBdr>
        <w:top w:val="none" w:sz="0" w:space="0" w:color="auto"/>
        <w:left w:val="none" w:sz="0" w:space="0" w:color="auto"/>
        <w:bottom w:val="none" w:sz="0" w:space="0" w:color="auto"/>
        <w:right w:val="none" w:sz="0" w:space="0" w:color="auto"/>
      </w:divBdr>
    </w:div>
    <w:div w:id="1910117369">
      <w:bodyDiv w:val="1"/>
      <w:marLeft w:val="0"/>
      <w:marRight w:val="0"/>
      <w:marTop w:val="0"/>
      <w:marBottom w:val="0"/>
      <w:divBdr>
        <w:top w:val="none" w:sz="0" w:space="0" w:color="auto"/>
        <w:left w:val="none" w:sz="0" w:space="0" w:color="auto"/>
        <w:bottom w:val="none" w:sz="0" w:space="0" w:color="auto"/>
        <w:right w:val="none" w:sz="0" w:space="0" w:color="auto"/>
      </w:divBdr>
    </w:div>
    <w:div w:id="1910190555">
      <w:bodyDiv w:val="1"/>
      <w:marLeft w:val="0"/>
      <w:marRight w:val="0"/>
      <w:marTop w:val="0"/>
      <w:marBottom w:val="0"/>
      <w:divBdr>
        <w:top w:val="none" w:sz="0" w:space="0" w:color="auto"/>
        <w:left w:val="none" w:sz="0" w:space="0" w:color="auto"/>
        <w:bottom w:val="none" w:sz="0" w:space="0" w:color="auto"/>
        <w:right w:val="none" w:sz="0" w:space="0" w:color="auto"/>
      </w:divBdr>
    </w:div>
    <w:div w:id="1910264716">
      <w:bodyDiv w:val="1"/>
      <w:marLeft w:val="0"/>
      <w:marRight w:val="0"/>
      <w:marTop w:val="0"/>
      <w:marBottom w:val="0"/>
      <w:divBdr>
        <w:top w:val="none" w:sz="0" w:space="0" w:color="auto"/>
        <w:left w:val="none" w:sz="0" w:space="0" w:color="auto"/>
        <w:bottom w:val="none" w:sz="0" w:space="0" w:color="auto"/>
        <w:right w:val="none" w:sz="0" w:space="0" w:color="auto"/>
      </w:divBdr>
    </w:div>
    <w:div w:id="1910266027">
      <w:bodyDiv w:val="1"/>
      <w:marLeft w:val="0"/>
      <w:marRight w:val="0"/>
      <w:marTop w:val="0"/>
      <w:marBottom w:val="0"/>
      <w:divBdr>
        <w:top w:val="none" w:sz="0" w:space="0" w:color="auto"/>
        <w:left w:val="none" w:sz="0" w:space="0" w:color="auto"/>
        <w:bottom w:val="none" w:sz="0" w:space="0" w:color="auto"/>
        <w:right w:val="none" w:sz="0" w:space="0" w:color="auto"/>
      </w:divBdr>
    </w:div>
    <w:div w:id="1910537443">
      <w:bodyDiv w:val="1"/>
      <w:marLeft w:val="0"/>
      <w:marRight w:val="0"/>
      <w:marTop w:val="0"/>
      <w:marBottom w:val="0"/>
      <w:divBdr>
        <w:top w:val="none" w:sz="0" w:space="0" w:color="auto"/>
        <w:left w:val="none" w:sz="0" w:space="0" w:color="auto"/>
        <w:bottom w:val="none" w:sz="0" w:space="0" w:color="auto"/>
        <w:right w:val="none" w:sz="0" w:space="0" w:color="auto"/>
      </w:divBdr>
    </w:div>
    <w:div w:id="1910574209">
      <w:bodyDiv w:val="1"/>
      <w:marLeft w:val="0"/>
      <w:marRight w:val="0"/>
      <w:marTop w:val="0"/>
      <w:marBottom w:val="0"/>
      <w:divBdr>
        <w:top w:val="none" w:sz="0" w:space="0" w:color="auto"/>
        <w:left w:val="none" w:sz="0" w:space="0" w:color="auto"/>
        <w:bottom w:val="none" w:sz="0" w:space="0" w:color="auto"/>
        <w:right w:val="none" w:sz="0" w:space="0" w:color="auto"/>
      </w:divBdr>
    </w:div>
    <w:div w:id="1911033817">
      <w:bodyDiv w:val="1"/>
      <w:marLeft w:val="0"/>
      <w:marRight w:val="0"/>
      <w:marTop w:val="0"/>
      <w:marBottom w:val="0"/>
      <w:divBdr>
        <w:top w:val="none" w:sz="0" w:space="0" w:color="auto"/>
        <w:left w:val="none" w:sz="0" w:space="0" w:color="auto"/>
        <w:bottom w:val="none" w:sz="0" w:space="0" w:color="auto"/>
        <w:right w:val="none" w:sz="0" w:space="0" w:color="auto"/>
      </w:divBdr>
    </w:div>
    <w:div w:id="1912035934">
      <w:bodyDiv w:val="1"/>
      <w:marLeft w:val="0"/>
      <w:marRight w:val="0"/>
      <w:marTop w:val="0"/>
      <w:marBottom w:val="0"/>
      <w:divBdr>
        <w:top w:val="none" w:sz="0" w:space="0" w:color="auto"/>
        <w:left w:val="none" w:sz="0" w:space="0" w:color="auto"/>
        <w:bottom w:val="none" w:sz="0" w:space="0" w:color="auto"/>
        <w:right w:val="none" w:sz="0" w:space="0" w:color="auto"/>
      </w:divBdr>
    </w:div>
    <w:div w:id="1912037164">
      <w:bodyDiv w:val="1"/>
      <w:marLeft w:val="0"/>
      <w:marRight w:val="0"/>
      <w:marTop w:val="0"/>
      <w:marBottom w:val="0"/>
      <w:divBdr>
        <w:top w:val="none" w:sz="0" w:space="0" w:color="auto"/>
        <w:left w:val="none" w:sz="0" w:space="0" w:color="auto"/>
        <w:bottom w:val="none" w:sz="0" w:space="0" w:color="auto"/>
        <w:right w:val="none" w:sz="0" w:space="0" w:color="auto"/>
      </w:divBdr>
    </w:div>
    <w:div w:id="1912082618">
      <w:bodyDiv w:val="1"/>
      <w:marLeft w:val="0"/>
      <w:marRight w:val="0"/>
      <w:marTop w:val="0"/>
      <w:marBottom w:val="0"/>
      <w:divBdr>
        <w:top w:val="none" w:sz="0" w:space="0" w:color="auto"/>
        <w:left w:val="none" w:sz="0" w:space="0" w:color="auto"/>
        <w:bottom w:val="none" w:sz="0" w:space="0" w:color="auto"/>
        <w:right w:val="none" w:sz="0" w:space="0" w:color="auto"/>
      </w:divBdr>
    </w:div>
    <w:div w:id="1912424345">
      <w:bodyDiv w:val="1"/>
      <w:marLeft w:val="0"/>
      <w:marRight w:val="0"/>
      <w:marTop w:val="0"/>
      <w:marBottom w:val="0"/>
      <w:divBdr>
        <w:top w:val="none" w:sz="0" w:space="0" w:color="auto"/>
        <w:left w:val="none" w:sz="0" w:space="0" w:color="auto"/>
        <w:bottom w:val="none" w:sz="0" w:space="0" w:color="auto"/>
        <w:right w:val="none" w:sz="0" w:space="0" w:color="auto"/>
      </w:divBdr>
    </w:div>
    <w:div w:id="1912615833">
      <w:bodyDiv w:val="1"/>
      <w:marLeft w:val="0"/>
      <w:marRight w:val="0"/>
      <w:marTop w:val="0"/>
      <w:marBottom w:val="0"/>
      <w:divBdr>
        <w:top w:val="none" w:sz="0" w:space="0" w:color="auto"/>
        <w:left w:val="none" w:sz="0" w:space="0" w:color="auto"/>
        <w:bottom w:val="none" w:sz="0" w:space="0" w:color="auto"/>
        <w:right w:val="none" w:sz="0" w:space="0" w:color="auto"/>
      </w:divBdr>
    </w:div>
    <w:div w:id="1912765429">
      <w:bodyDiv w:val="1"/>
      <w:marLeft w:val="0"/>
      <w:marRight w:val="0"/>
      <w:marTop w:val="0"/>
      <w:marBottom w:val="0"/>
      <w:divBdr>
        <w:top w:val="none" w:sz="0" w:space="0" w:color="auto"/>
        <w:left w:val="none" w:sz="0" w:space="0" w:color="auto"/>
        <w:bottom w:val="none" w:sz="0" w:space="0" w:color="auto"/>
        <w:right w:val="none" w:sz="0" w:space="0" w:color="auto"/>
      </w:divBdr>
    </w:div>
    <w:div w:id="1913076974">
      <w:bodyDiv w:val="1"/>
      <w:marLeft w:val="0"/>
      <w:marRight w:val="0"/>
      <w:marTop w:val="0"/>
      <w:marBottom w:val="0"/>
      <w:divBdr>
        <w:top w:val="none" w:sz="0" w:space="0" w:color="auto"/>
        <w:left w:val="none" w:sz="0" w:space="0" w:color="auto"/>
        <w:bottom w:val="none" w:sz="0" w:space="0" w:color="auto"/>
        <w:right w:val="none" w:sz="0" w:space="0" w:color="auto"/>
      </w:divBdr>
    </w:div>
    <w:div w:id="1913345360">
      <w:bodyDiv w:val="1"/>
      <w:marLeft w:val="0"/>
      <w:marRight w:val="0"/>
      <w:marTop w:val="0"/>
      <w:marBottom w:val="0"/>
      <w:divBdr>
        <w:top w:val="none" w:sz="0" w:space="0" w:color="auto"/>
        <w:left w:val="none" w:sz="0" w:space="0" w:color="auto"/>
        <w:bottom w:val="none" w:sz="0" w:space="0" w:color="auto"/>
        <w:right w:val="none" w:sz="0" w:space="0" w:color="auto"/>
      </w:divBdr>
    </w:div>
    <w:div w:id="1913391424">
      <w:bodyDiv w:val="1"/>
      <w:marLeft w:val="0"/>
      <w:marRight w:val="0"/>
      <w:marTop w:val="0"/>
      <w:marBottom w:val="0"/>
      <w:divBdr>
        <w:top w:val="none" w:sz="0" w:space="0" w:color="auto"/>
        <w:left w:val="none" w:sz="0" w:space="0" w:color="auto"/>
        <w:bottom w:val="none" w:sz="0" w:space="0" w:color="auto"/>
        <w:right w:val="none" w:sz="0" w:space="0" w:color="auto"/>
      </w:divBdr>
    </w:div>
    <w:div w:id="1913537094">
      <w:bodyDiv w:val="1"/>
      <w:marLeft w:val="0"/>
      <w:marRight w:val="0"/>
      <w:marTop w:val="0"/>
      <w:marBottom w:val="0"/>
      <w:divBdr>
        <w:top w:val="none" w:sz="0" w:space="0" w:color="auto"/>
        <w:left w:val="none" w:sz="0" w:space="0" w:color="auto"/>
        <w:bottom w:val="none" w:sz="0" w:space="0" w:color="auto"/>
        <w:right w:val="none" w:sz="0" w:space="0" w:color="auto"/>
      </w:divBdr>
    </w:div>
    <w:div w:id="1913809601">
      <w:bodyDiv w:val="1"/>
      <w:marLeft w:val="0"/>
      <w:marRight w:val="0"/>
      <w:marTop w:val="0"/>
      <w:marBottom w:val="0"/>
      <w:divBdr>
        <w:top w:val="none" w:sz="0" w:space="0" w:color="auto"/>
        <w:left w:val="none" w:sz="0" w:space="0" w:color="auto"/>
        <w:bottom w:val="none" w:sz="0" w:space="0" w:color="auto"/>
        <w:right w:val="none" w:sz="0" w:space="0" w:color="auto"/>
      </w:divBdr>
    </w:div>
    <w:div w:id="1914273046">
      <w:bodyDiv w:val="1"/>
      <w:marLeft w:val="0"/>
      <w:marRight w:val="0"/>
      <w:marTop w:val="0"/>
      <w:marBottom w:val="0"/>
      <w:divBdr>
        <w:top w:val="none" w:sz="0" w:space="0" w:color="auto"/>
        <w:left w:val="none" w:sz="0" w:space="0" w:color="auto"/>
        <w:bottom w:val="none" w:sz="0" w:space="0" w:color="auto"/>
        <w:right w:val="none" w:sz="0" w:space="0" w:color="auto"/>
      </w:divBdr>
    </w:div>
    <w:div w:id="1914508517">
      <w:bodyDiv w:val="1"/>
      <w:marLeft w:val="0"/>
      <w:marRight w:val="0"/>
      <w:marTop w:val="0"/>
      <w:marBottom w:val="0"/>
      <w:divBdr>
        <w:top w:val="none" w:sz="0" w:space="0" w:color="auto"/>
        <w:left w:val="none" w:sz="0" w:space="0" w:color="auto"/>
        <w:bottom w:val="none" w:sz="0" w:space="0" w:color="auto"/>
        <w:right w:val="none" w:sz="0" w:space="0" w:color="auto"/>
      </w:divBdr>
      <w:divsChild>
        <w:div w:id="1236162762">
          <w:marLeft w:val="0"/>
          <w:marRight w:val="0"/>
          <w:marTop w:val="0"/>
          <w:marBottom w:val="0"/>
          <w:divBdr>
            <w:top w:val="none" w:sz="0" w:space="0" w:color="auto"/>
            <w:left w:val="none" w:sz="0" w:space="0" w:color="auto"/>
            <w:bottom w:val="none" w:sz="0" w:space="0" w:color="auto"/>
            <w:right w:val="none" w:sz="0" w:space="0" w:color="auto"/>
          </w:divBdr>
        </w:div>
        <w:div w:id="1313683132">
          <w:marLeft w:val="0"/>
          <w:marRight w:val="0"/>
          <w:marTop w:val="0"/>
          <w:marBottom w:val="0"/>
          <w:divBdr>
            <w:top w:val="none" w:sz="0" w:space="0" w:color="auto"/>
            <w:left w:val="none" w:sz="0" w:space="0" w:color="auto"/>
            <w:bottom w:val="none" w:sz="0" w:space="0" w:color="auto"/>
            <w:right w:val="none" w:sz="0" w:space="0" w:color="auto"/>
          </w:divBdr>
        </w:div>
        <w:div w:id="1537616455">
          <w:marLeft w:val="0"/>
          <w:marRight w:val="0"/>
          <w:marTop w:val="0"/>
          <w:marBottom w:val="0"/>
          <w:divBdr>
            <w:top w:val="none" w:sz="0" w:space="0" w:color="auto"/>
            <w:left w:val="none" w:sz="0" w:space="0" w:color="auto"/>
            <w:bottom w:val="none" w:sz="0" w:space="0" w:color="auto"/>
            <w:right w:val="none" w:sz="0" w:space="0" w:color="auto"/>
          </w:divBdr>
        </w:div>
        <w:div w:id="1963028780">
          <w:marLeft w:val="0"/>
          <w:marRight w:val="0"/>
          <w:marTop w:val="0"/>
          <w:marBottom w:val="0"/>
          <w:divBdr>
            <w:top w:val="none" w:sz="0" w:space="0" w:color="auto"/>
            <w:left w:val="none" w:sz="0" w:space="0" w:color="auto"/>
            <w:bottom w:val="none" w:sz="0" w:space="0" w:color="auto"/>
            <w:right w:val="none" w:sz="0" w:space="0" w:color="auto"/>
          </w:divBdr>
        </w:div>
      </w:divsChild>
    </w:div>
    <w:div w:id="1914510273">
      <w:bodyDiv w:val="1"/>
      <w:marLeft w:val="0"/>
      <w:marRight w:val="0"/>
      <w:marTop w:val="0"/>
      <w:marBottom w:val="0"/>
      <w:divBdr>
        <w:top w:val="none" w:sz="0" w:space="0" w:color="auto"/>
        <w:left w:val="none" w:sz="0" w:space="0" w:color="auto"/>
        <w:bottom w:val="none" w:sz="0" w:space="0" w:color="auto"/>
        <w:right w:val="none" w:sz="0" w:space="0" w:color="auto"/>
      </w:divBdr>
    </w:div>
    <w:div w:id="1914512364">
      <w:bodyDiv w:val="1"/>
      <w:marLeft w:val="0"/>
      <w:marRight w:val="0"/>
      <w:marTop w:val="0"/>
      <w:marBottom w:val="0"/>
      <w:divBdr>
        <w:top w:val="none" w:sz="0" w:space="0" w:color="auto"/>
        <w:left w:val="none" w:sz="0" w:space="0" w:color="auto"/>
        <w:bottom w:val="none" w:sz="0" w:space="0" w:color="auto"/>
        <w:right w:val="none" w:sz="0" w:space="0" w:color="auto"/>
      </w:divBdr>
    </w:div>
    <w:div w:id="1914512635">
      <w:bodyDiv w:val="1"/>
      <w:marLeft w:val="0"/>
      <w:marRight w:val="0"/>
      <w:marTop w:val="0"/>
      <w:marBottom w:val="0"/>
      <w:divBdr>
        <w:top w:val="none" w:sz="0" w:space="0" w:color="auto"/>
        <w:left w:val="none" w:sz="0" w:space="0" w:color="auto"/>
        <w:bottom w:val="none" w:sz="0" w:space="0" w:color="auto"/>
        <w:right w:val="none" w:sz="0" w:space="0" w:color="auto"/>
      </w:divBdr>
    </w:div>
    <w:div w:id="1915432395">
      <w:bodyDiv w:val="1"/>
      <w:marLeft w:val="0"/>
      <w:marRight w:val="0"/>
      <w:marTop w:val="0"/>
      <w:marBottom w:val="0"/>
      <w:divBdr>
        <w:top w:val="none" w:sz="0" w:space="0" w:color="auto"/>
        <w:left w:val="none" w:sz="0" w:space="0" w:color="auto"/>
        <w:bottom w:val="none" w:sz="0" w:space="0" w:color="auto"/>
        <w:right w:val="none" w:sz="0" w:space="0" w:color="auto"/>
      </w:divBdr>
    </w:div>
    <w:div w:id="1915434551">
      <w:bodyDiv w:val="1"/>
      <w:marLeft w:val="0"/>
      <w:marRight w:val="0"/>
      <w:marTop w:val="0"/>
      <w:marBottom w:val="0"/>
      <w:divBdr>
        <w:top w:val="none" w:sz="0" w:space="0" w:color="auto"/>
        <w:left w:val="none" w:sz="0" w:space="0" w:color="auto"/>
        <w:bottom w:val="none" w:sz="0" w:space="0" w:color="auto"/>
        <w:right w:val="none" w:sz="0" w:space="0" w:color="auto"/>
      </w:divBdr>
    </w:div>
    <w:div w:id="1915553335">
      <w:bodyDiv w:val="1"/>
      <w:marLeft w:val="0"/>
      <w:marRight w:val="0"/>
      <w:marTop w:val="0"/>
      <w:marBottom w:val="0"/>
      <w:divBdr>
        <w:top w:val="none" w:sz="0" w:space="0" w:color="auto"/>
        <w:left w:val="none" w:sz="0" w:space="0" w:color="auto"/>
        <w:bottom w:val="none" w:sz="0" w:space="0" w:color="auto"/>
        <w:right w:val="none" w:sz="0" w:space="0" w:color="auto"/>
      </w:divBdr>
    </w:div>
    <w:div w:id="1915701608">
      <w:bodyDiv w:val="1"/>
      <w:marLeft w:val="0"/>
      <w:marRight w:val="0"/>
      <w:marTop w:val="0"/>
      <w:marBottom w:val="0"/>
      <w:divBdr>
        <w:top w:val="none" w:sz="0" w:space="0" w:color="auto"/>
        <w:left w:val="none" w:sz="0" w:space="0" w:color="auto"/>
        <w:bottom w:val="none" w:sz="0" w:space="0" w:color="auto"/>
        <w:right w:val="none" w:sz="0" w:space="0" w:color="auto"/>
      </w:divBdr>
    </w:div>
    <w:div w:id="1915701693">
      <w:bodyDiv w:val="1"/>
      <w:marLeft w:val="0"/>
      <w:marRight w:val="0"/>
      <w:marTop w:val="0"/>
      <w:marBottom w:val="0"/>
      <w:divBdr>
        <w:top w:val="none" w:sz="0" w:space="0" w:color="auto"/>
        <w:left w:val="none" w:sz="0" w:space="0" w:color="auto"/>
        <w:bottom w:val="none" w:sz="0" w:space="0" w:color="auto"/>
        <w:right w:val="none" w:sz="0" w:space="0" w:color="auto"/>
      </w:divBdr>
    </w:div>
    <w:div w:id="1915897477">
      <w:bodyDiv w:val="1"/>
      <w:marLeft w:val="0"/>
      <w:marRight w:val="0"/>
      <w:marTop w:val="0"/>
      <w:marBottom w:val="0"/>
      <w:divBdr>
        <w:top w:val="none" w:sz="0" w:space="0" w:color="auto"/>
        <w:left w:val="none" w:sz="0" w:space="0" w:color="auto"/>
        <w:bottom w:val="none" w:sz="0" w:space="0" w:color="auto"/>
        <w:right w:val="none" w:sz="0" w:space="0" w:color="auto"/>
      </w:divBdr>
    </w:div>
    <w:div w:id="1916894716">
      <w:bodyDiv w:val="1"/>
      <w:marLeft w:val="0"/>
      <w:marRight w:val="0"/>
      <w:marTop w:val="0"/>
      <w:marBottom w:val="0"/>
      <w:divBdr>
        <w:top w:val="none" w:sz="0" w:space="0" w:color="auto"/>
        <w:left w:val="none" w:sz="0" w:space="0" w:color="auto"/>
        <w:bottom w:val="none" w:sz="0" w:space="0" w:color="auto"/>
        <w:right w:val="none" w:sz="0" w:space="0" w:color="auto"/>
      </w:divBdr>
    </w:div>
    <w:div w:id="1916936544">
      <w:bodyDiv w:val="1"/>
      <w:marLeft w:val="0"/>
      <w:marRight w:val="0"/>
      <w:marTop w:val="0"/>
      <w:marBottom w:val="0"/>
      <w:divBdr>
        <w:top w:val="none" w:sz="0" w:space="0" w:color="auto"/>
        <w:left w:val="none" w:sz="0" w:space="0" w:color="auto"/>
        <w:bottom w:val="none" w:sz="0" w:space="0" w:color="auto"/>
        <w:right w:val="none" w:sz="0" w:space="0" w:color="auto"/>
      </w:divBdr>
    </w:div>
    <w:div w:id="1916937550">
      <w:bodyDiv w:val="1"/>
      <w:marLeft w:val="0"/>
      <w:marRight w:val="0"/>
      <w:marTop w:val="0"/>
      <w:marBottom w:val="0"/>
      <w:divBdr>
        <w:top w:val="none" w:sz="0" w:space="0" w:color="auto"/>
        <w:left w:val="none" w:sz="0" w:space="0" w:color="auto"/>
        <w:bottom w:val="none" w:sz="0" w:space="0" w:color="auto"/>
        <w:right w:val="none" w:sz="0" w:space="0" w:color="auto"/>
      </w:divBdr>
    </w:div>
    <w:div w:id="1917010985">
      <w:bodyDiv w:val="1"/>
      <w:marLeft w:val="0"/>
      <w:marRight w:val="0"/>
      <w:marTop w:val="0"/>
      <w:marBottom w:val="0"/>
      <w:divBdr>
        <w:top w:val="none" w:sz="0" w:space="0" w:color="auto"/>
        <w:left w:val="none" w:sz="0" w:space="0" w:color="auto"/>
        <w:bottom w:val="none" w:sz="0" w:space="0" w:color="auto"/>
        <w:right w:val="none" w:sz="0" w:space="0" w:color="auto"/>
      </w:divBdr>
    </w:div>
    <w:div w:id="1917550540">
      <w:bodyDiv w:val="1"/>
      <w:marLeft w:val="0"/>
      <w:marRight w:val="0"/>
      <w:marTop w:val="0"/>
      <w:marBottom w:val="0"/>
      <w:divBdr>
        <w:top w:val="none" w:sz="0" w:space="0" w:color="auto"/>
        <w:left w:val="none" w:sz="0" w:space="0" w:color="auto"/>
        <w:bottom w:val="none" w:sz="0" w:space="0" w:color="auto"/>
        <w:right w:val="none" w:sz="0" w:space="0" w:color="auto"/>
      </w:divBdr>
    </w:div>
    <w:div w:id="1917586690">
      <w:bodyDiv w:val="1"/>
      <w:marLeft w:val="0"/>
      <w:marRight w:val="0"/>
      <w:marTop w:val="0"/>
      <w:marBottom w:val="0"/>
      <w:divBdr>
        <w:top w:val="none" w:sz="0" w:space="0" w:color="auto"/>
        <w:left w:val="none" w:sz="0" w:space="0" w:color="auto"/>
        <w:bottom w:val="none" w:sz="0" w:space="0" w:color="auto"/>
        <w:right w:val="none" w:sz="0" w:space="0" w:color="auto"/>
      </w:divBdr>
    </w:div>
    <w:div w:id="1918242722">
      <w:bodyDiv w:val="1"/>
      <w:marLeft w:val="0"/>
      <w:marRight w:val="0"/>
      <w:marTop w:val="0"/>
      <w:marBottom w:val="0"/>
      <w:divBdr>
        <w:top w:val="none" w:sz="0" w:space="0" w:color="auto"/>
        <w:left w:val="none" w:sz="0" w:space="0" w:color="auto"/>
        <w:bottom w:val="none" w:sz="0" w:space="0" w:color="auto"/>
        <w:right w:val="none" w:sz="0" w:space="0" w:color="auto"/>
      </w:divBdr>
    </w:div>
    <w:div w:id="1918325759">
      <w:bodyDiv w:val="1"/>
      <w:marLeft w:val="0"/>
      <w:marRight w:val="0"/>
      <w:marTop w:val="0"/>
      <w:marBottom w:val="0"/>
      <w:divBdr>
        <w:top w:val="none" w:sz="0" w:space="0" w:color="auto"/>
        <w:left w:val="none" w:sz="0" w:space="0" w:color="auto"/>
        <w:bottom w:val="none" w:sz="0" w:space="0" w:color="auto"/>
        <w:right w:val="none" w:sz="0" w:space="0" w:color="auto"/>
      </w:divBdr>
    </w:div>
    <w:div w:id="1918510100">
      <w:bodyDiv w:val="1"/>
      <w:marLeft w:val="0"/>
      <w:marRight w:val="0"/>
      <w:marTop w:val="0"/>
      <w:marBottom w:val="0"/>
      <w:divBdr>
        <w:top w:val="none" w:sz="0" w:space="0" w:color="auto"/>
        <w:left w:val="none" w:sz="0" w:space="0" w:color="auto"/>
        <w:bottom w:val="none" w:sz="0" w:space="0" w:color="auto"/>
        <w:right w:val="none" w:sz="0" w:space="0" w:color="auto"/>
      </w:divBdr>
    </w:div>
    <w:div w:id="1918632876">
      <w:bodyDiv w:val="1"/>
      <w:marLeft w:val="0"/>
      <w:marRight w:val="0"/>
      <w:marTop w:val="0"/>
      <w:marBottom w:val="0"/>
      <w:divBdr>
        <w:top w:val="none" w:sz="0" w:space="0" w:color="auto"/>
        <w:left w:val="none" w:sz="0" w:space="0" w:color="auto"/>
        <w:bottom w:val="none" w:sz="0" w:space="0" w:color="auto"/>
        <w:right w:val="none" w:sz="0" w:space="0" w:color="auto"/>
      </w:divBdr>
    </w:div>
    <w:div w:id="1918663661">
      <w:bodyDiv w:val="1"/>
      <w:marLeft w:val="0"/>
      <w:marRight w:val="0"/>
      <w:marTop w:val="0"/>
      <w:marBottom w:val="0"/>
      <w:divBdr>
        <w:top w:val="none" w:sz="0" w:space="0" w:color="auto"/>
        <w:left w:val="none" w:sz="0" w:space="0" w:color="auto"/>
        <w:bottom w:val="none" w:sz="0" w:space="0" w:color="auto"/>
        <w:right w:val="none" w:sz="0" w:space="0" w:color="auto"/>
      </w:divBdr>
    </w:div>
    <w:div w:id="1919096204">
      <w:bodyDiv w:val="1"/>
      <w:marLeft w:val="0"/>
      <w:marRight w:val="0"/>
      <w:marTop w:val="0"/>
      <w:marBottom w:val="0"/>
      <w:divBdr>
        <w:top w:val="none" w:sz="0" w:space="0" w:color="auto"/>
        <w:left w:val="none" w:sz="0" w:space="0" w:color="auto"/>
        <w:bottom w:val="none" w:sz="0" w:space="0" w:color="auto"/>
        <w:right w:val="none" w:sz="0" w:space="0" w:color="auto"/>
      </w:divBdr>
    </w:div>
    <w:div w:id="1919829752">
      <w:bodyDiv w:val="1"/>
      <w:marLeft w:val="0"/>
      <w:marRight w:val="0"/>
      <w:marTop w:val="0"/>
      <w:marBottom w:val="0"/>
      <w:divBdr>
        <w:top w:val="none" w:sz="0" w:space="0" w:color="auto"/>
        <w:left w:val="none" w:sz="0" w:space="0" w:color="auto"/>
        <w:bottom w:val="none" w:sz="0" w:space="0" w:color="auto"/>
        <w:right w:val="none" w:sz="0" w:space="0" w:color="auto"/>
      </w:divBdr>
    </w:div>
    <w:div w:id="1919946055">
      <w:bodyDiv w:val="1"/>
      <w:marLeft w:val="0"/>
      <w:marRight w:val="0"/>
      <w:marTop w:val="0"/>
      <w:marBottom w:val="0"/>
      <w:divBdr>
        <w:top w:val="none" w:sz="0" w:space="0" w:color="auto"/>
        <w:left w:val="none" w:sz="0" w:space="0" w:color="auto"/>
        <w:bottom w:val="none" w:sz="0" w:space="0" w:color="auto"/>
        <w:right w:val="none" w:sz="0" w:space="0" w:color="auto"/>
      </w:divBdr>
    </w:div>
    <w:div w:id="1920475937">
      <w:bodyDiv w:val="1"/>
      <w:marLeft w:val="0"/>
      <w:marRight w:val="0"/>
      <w:marTop w:val="0"/>
      <w:marBottom w:val="0"/>
      <w:divBdr>
        <w:top w:val="none" w:sz="0" w:space="0" w:color="auto"/>
        <w:left w:val="none" w:sz="0" w:space="0" w:color="auto"/>
        <w:bottom w:val="none" w:sz="0" w:space="0" w:color="auto"/>
        <w:right w:val="none" w:sz="0" w:space="0" w:color="auto"/>
      </w:divBdr>
    </w:div>
    <w:div w:id="1920677050">
      <w:bodyDiv w:val="1"/>
      <w:marLeft w:val="0"/>
      <w:marRight w:val="0"/>
      <w:marTop w:val="0"/>
      <w:marBottom w:val="0"/>
      <w:divBdr>
        <w:top w:val="none" w:sz="0" w:space="0" w:color="auto"/>
        <w:left w:val="none" w:sz="0" w:space="0" w:color="auto"/>
        <w:bottom w:val="none" w:sz="0" w:space="0" w:color="auto"/>
        <w:right w:val="none" w:sz="0" w:space="0" w:color="auto"/>
      </w:divBdr>
    </w:div>
    <w:div w:id="1921207884">
      <w:bodyDiv w:val="1"/>
      <w:marLeft w:val="0"/>
      <w:marRight w:val="0"/>
      <w:marTop w:val="0"/>
      <w:marBottom w:val="0"/>
      <w:divBdr>
        <w:top w:val="none" w:sz="0" w:space="0" w:color="auto"/>
        <w:left w:val="none" w:sz="0" w:space="0" w:color="auto"/>
        <w:bottom w:val="none" w:sz="0" w:space="0" w:color="auto"/>
        <w:right w:val="none" w:sz="0" w:space="0" w:color="auto"/>
      </w:divBdr>
    </w:div>
    <w:div w:id="1921208595">
      <w:bodyDiv w:val="1"/>
      <w:marLeft w:val="0"/>
      <w:marRight w:val="0"/>
      <w:marTop w:val="0"/>
      <w:marBottom w:val="0"/>
      <w:divBdr>
        <w:top w:val="none" w:sz="0" w:space="0" w:color="auto"/>
        <w:left w:val="none" w:sz="0" w:space="0" w:color="auto"/>
        <w:bottom w:val="none" w:sz="0" w:space="0" w:color="auto"/>
        <w:right w:val="none" w:sz="0" w:space="0" w:color="auto"/>
      </w:divBdr>
    </w:div>
    <w:div w:id="1921326260">
      <w:bodyDiv w:val="1"/>
      <w:marLeft w:val="0"/>
      <w:marRight w:val="0"/>
      <w:marTop w:val="0"/>
      <w:marBottom w:val="0"/>
      <w:divBdr>
        <w:top w:val="none" w:sz="0" w:space="0" w:color="auto"/>
        <w:left w:val="none" w:sz="0" w:space="0" w:color="auto"/>
        <w:bottom w:val="none" w:sz="0" w:space="0" w:color="auto"/>
        <w:right w:val="none" w:sz="0" w:space="0" w:color="auto"/>
      </w:divBdr>
    </w:div>
    <w:div w:id="1921477843">
      <w:bodyDiv w:val="1"/>
      <w:marLeft w:val="0"/>
      <w:marRight w:val="0"/>
      <w:marTop w:val="0"/>
      <w:marBottom w:val="0"/>
      <w:divBdr>
        <w:top w:val="none" w:sz="0" w:space="0" w:color="auto"/>
        <w:left w:val="none" w:sz="0" w:space="0" w:color="auto"/>
        <w:bottom w:val="none" w:sz="0" w:space="0" w:color="auto"/>
        <w:right w:val="none" w:sz="0" w:space="0" w:color="auto"/>
      </w:divBdr>
    </w:div>
    <w:div w:id="1921478207">
      <w:bodyDiv w:val="1"/>
      <w:marLeft w:val="0"/>
      <w:marRight w:val="0"/>
      <w:marTop w:val="0"/>
      <w:marBottom w:val="0"/>
      <w:divBdr>
        <w:top w:val="none" w:sz="0" w:space="0" w:color="auto"/>
        <w:left w:val="none" w:sz="0" w:space="0" w:color="auto"/>
        <w:bottom w:val="none" w:sz="0" w:space="0" w:color="auto"/>
        <w:right w:val="none" w:sz="0" w:space="0" w:color="auto"/>
      </w:divBdr>
    </w:div>
    <w:div w:id="1922251931">
      <w:bodyDiv w:val="1"/>
      <w:marLeft w:val="0"/>
      <w:marRight w:val="0"/>
      <w:marTop w:val="0"/>
      <w:marBottom w:val="0"/>
      <w:divBdr>
        <w:top w:val="none" w:sz="0" w:space="0" w:color="auto"/>
        <w:left w:val="none" w:sz="0" w:space="0" w:color="auto"/>
        <w:bottom w:val="none" w:sz="0" w:space="0" w:color="auto"/>
        <w:right w:val="none" w:sz="0" w:space="0" w:color="auto"/>
      </w:divBdr>
    </w:div>
    <w:div w:id="1922373123">
      <w:bodyDiv w:val="1"/>
      <w:marLeft w:val="0"/>
      <w:marRight w:val="0"/>
      <w:marTop w:val="0"/>
      <w:marBottom w:val="0"/>
      <w:divBdr>
        <w:top w:val="none" w:sz="0" w:space="0" w:color="auto"/>
        <w:left w:val="none" w:sz="0" w:space="0" w:color="auto"/>
        <w:bottom w:val="none" w:sz="0" w:space="0" w:color="auto"/>
        <w:right w:val="none" w:sz="0" w:space="0" w:color="auto"/>
      </w:divBdr>
    </w:div>
    <w:div w:id="1922711621">
      <w:bodyDiv w:val="1"/>
      <w:marLeft w:val="0"/>
      <w:marRight w:val="0"/>
      <w:marTop w:val="0"/>
      <w:marBottom w:val="0"/>
      <w:divBdr>
        <w:top w:val="none" w:sz="0" w:space="0" w:color="auto"/>
        <w:left w:val="none" w:sz="0" w:space="0" w:color="auto"/>
        <w:bottom w:val="none" w:sz="0" w:space="0" w:color="auto"/>
        <w:right w:val="none" w:sz="0" w:space="0" w:color="auto"/>
      </w:divBdr>
    </w:div>
    <w:div w:id="1922789961">
      <w:bodyDiv w:val="1"/>
      <w:marLeft w:val="0"/>
      <w:marRight w:val="0"/>
      <w:marTop w:val="0"/>
      <w:marBottom w:val="0"/>
      <w:divBdr>
        <w:top w:val="none" w:sz="0" w:space="0" w:color="auto"/>
        <w:left w:val="none" w:sz="0" w:space="0" w:color="auto"/>
        <w:bottom w:val="none" w:sz="0" w:space="0" w:color="auto"/>
        <w:right w:val="none" w:sz="0" w:space="0" w:color="auto"/>
      </w:divBdr>
    </w:div>
    <w:div w:id="1922982074">
      <w:bodyDiv w:val="1"/>
      <w:marLeft w:val="0"/>
      <w:marRight w:val="0"/>
      <w:marTop w:val="0"/>
      <w:marBottom w:val="0"/>
      <w:divBdr>
        <w:top w:val="none" w:sz="0" w:space="0" w:color="auto"/>
        <w:left w:val="none" w:sz="0" w:space="0" w:color="auto"/>
        <w:bottom w:val="none" w:sz="0" w:space="0" w:color="auto"/>
        <w:right w:val="none" w:sz="0" w:space="0" w:color="auto"/>
      </w:divBdr>
    </w:div>
    <w:div w:id="1923373476">
      <w:bodyDiv w:val="1"/>
      <w:marLeft w:val="0"/>
      <w:marRight w:val="0"/>
      <w:marTop w:val="0"/>
      <w:marBottom w:val="0"/>
      <w:divBdr>
        <w:top w:val="none" w:sz="0" w:space="0" w:color="auto"/>
        <w:left w:val="none" w:sz="0" w:space="0" w:color="auto"/>
        <w:bottom w:val="none" w:sz="0" w:space="0" w:color="auto"/>
        <w:right w:val="none" w:sz="0" w:space="0" w:color="auto"/>
      </w:divBdr>
    </w:div>
    <w:div w:id="1923643707">
      <w:bodyDiv w:val="1"/>
      <w:marLeft w:val="0"/>
      <w:marRight w:val="0"/>
      <w:marTop w:val="0"/>
      <w:marBottom w:val="0"/>
      <w:divBdr>
        <w:top w:val="none" w:sz="0" w:space="0" w:color="auto"/>
        <w:left w:val="none" w:sz="0" w:space="0" w:color="auto"/>
        <w:bottom w:val="none" w:sz="0" w:space="0" w:color="auto"/>
        <w:right w:val="none" w:sz="0" w:space="0" w:color="auto"/>
      </w:divBdr>
    </w:div>
    <w:div w:id="1923682461">
      <w:bodyDiv w:val="1"/>
      <w:marLeft w:val="0"/>
      <w:marRight w:val="0"/>
      <w:marTop w:val="0"/>
      <w:marBottom w:val="0"/>
      <w:divBdr>
        <w:top w:val="none" w:sz="0" w:space="0" w:color="auto"/>
        <w:left w:val="none" w:sz="0" w:space="0" w:color="auto"/>
        <w:bottom w:val="none" w:sz="0" w:space="0" w:color="auto"/>
        <w:right w:val="none" w:sz="0" w:space="0" w:color="auto"/>
      </w:divBdr>
    </w:div>
    <w:div w:id="1923879709">
      <w:bodyDiv w:val="1"/>
      <w:marLeft w:val="0"/>
      <w:marRight w:val="0"/>
      <w:marTop w:val="0"/>
      <w:marBottom w:val="0"/>
      <w:divBdr>
        <w:top w:val="none" w:sz="0" w:space="0" w:color="auto"/>
        <w:left w:val="none" w:sz="0" w:space="0" w:color="auto"/>
        <w:bottom w:val="none" w:sz="0" w:space="0" w:color="auto"/>
        <w:right w:val="none" w:sz="0" w:space="0" w:color="auto"/>
      </w:divBdr>
    </w:div>
    <w:div w:id="1924022024">
      <w:bodyDiv w:val="1"/>
      <w:marLeft w:val="0"/>
      <w:marRight w:val="0"/>
      <w:marTop w:val="0"/>
      <w:marBottom w:val="0"/>
      <w:divBdr>
        <w:top w:val="none" w:sz="0" w:space="0" w:color="auto"/>
        <w:left w:val="none" w:sz="0" w:space="0" w:color="auto"/>
        <w:bottom w:val="none" w:sz="0" w:space="0" w:color="auto"/>
        <w:right w:val="none" w:sz="0" w:space="0" w:color="auto"/>
      </w:divBdr>
    </w:div>
    <w:div w:id="1924027682">
      <w:bodyDiv w:val="1"/>
      <w:marLeft w:val="0"/>
      <w:marRight w:val="0"/>
      <w:marTop w:val="0"/>
      <w:marBottom w:val="0"/>
      <w:divBdr>
        <w:top w:val="none" w:sz="0" w:space="0" w:color="auto"/>
        <w:left w:val="none" w:sz="0" w:space="0" w:color="auto"/>
        <w:bottom w:val="none" w:sz="0" w:space="0" w:color="auto"/>
        <w:right w:val="none" w:sz="0" w:space="0" w:color="auto"/>
      </w:divBdr>
    </w:div>
    <w:div w:id="1924146912">
      <w:bodyDiv w:val="1"/>
      <w:marLeft w:val="0"/>
      <w:marRight w:val="0"/>
      <w:marTop w:val="0"/>
      <w:marBottom w:val="0"/>
      <w:divBdr>
        <w:top w:val="none" w:sz="0" w:space="0" w:color="auto"/>
        <w:left w:val="none" w:sz="0" w:space="0" w:color="auto"/>
        <w:bottom w:val="none" w:sz="0" w:space="0" w:color="auto"/>
        <w:right w:val="none" w:sz="0" w:space="0" w:color="auto"/>
      </w:divBdr>
    </w:div>
    <w:div w:id="1924223296">
      <w:bodyDiv w:val="1"/>
      <w:marLeft w:val="0"/>
      <w:marRight w:val="0"/>
      <w:marTop w:val="0"/>
      <w:marBottom w:val="0"/>
      <w:divBdr>
        <w:top w:val="none" w:sz="0" w:space="0" w:color="auto"/>
        <w:left w:val="none" w:sz="0" w:space="0" w:color="auto"/>
        <w:bottom w:val="none" w:sz="0" w:space="0" w:color="auto"/>
        <w:right w:val="none" w:sz="0" w:space="0" w:color="auto"/>
      </w:divBdr>
    </w:div>
    <w:div w:id="1924415746">
      <w:bodyDiv w:val="1"/>
      <w:marLeft w:val="0"/>
      <w:marRight w:val="0"/>
      <w:marTop w:val="0"/>
      <w:marBottom w:val="0"/>
      <w:divBdr>
        <w:top w:val="none" w:sz="0" w:space="0" w:color="auto"/>
        <w:left w:val="none" w:sz="0" w:space="0" w:color="auto"/>
        <w:bottom w:val="none" w:sz="0" w:space="0" w:color="auto"/>
        <w:right w:val="none" w:sz="0" w:space="0" w:color="auto"/>
      </w:divBdr>
    </w:div>
    <w:div w:id="1924753078">
      <w:bodyDiv w:val="1"/>
      <w:marLeft w:val="0"/>
      <w:marRight w:val="0"/>
      <w:marTop w:val="0"/>
      <w:marBottom w:val="0"/>
      <w:divBdr>
        <w:top w:val="none" w:sz="0" w:space="0" w:color="auto"/>
        <w:left w:val="none" w:sz="0" w:space="0" w:color="auto"/>
        <w:bottom w:val="none" w:sz="0" w:space="0" w:color="auto"/>
        <w:right w:val="none" w:sz="0" w:space="0" w:color="auto"/>
      </w:divBdr>
    </w:div>
    <w:div w:id="1924878400">
      <w:bodyDiv w:val="1"/>
      <w:marLeft w:val="0"/>
      <w:marRight w:val="0"/>
      <w:marTop w:val="0"/>
      <w:marBottom w:val="0"/>
      <w:divBdr>
        <w:top w:val="none" w:sz="0" w:space="0" w:color="auto"/>
        <w:left w:val="none" w:sz="0" w:space="0" w:color="auto"/>
        <w:bottom w:val="none" w:sz="0" w:space="0" w:color="auto"/>
        <w:right w:val="none" w:sz="0" w:space="0" w:color="auto"/>
      </w:divBdr>
    </w:div>
    <w:div w:id="1925259426">
      <w:bodyDiv w:val="1"/>
      <w:marLeft w:val="0"/>
      <w:marRight w:val="0"/>
      <w:marTop w:val="0"/>
      <w:marBottom w:val="0"/>
      <w:divBdr>
        <w:top w:val="none" w:sz="0" w:space="0" w:color="auto"/>
        <w:left w:val="none" w:sz="0" w:space="0" w:color="auto"/>
        <w:bottom w:val="none" w:sz="0" w:space="0" w:color="auto"/>
        <w:right w:val="none" w:sz="0" w:space="0" w:color="auto"/>
      </w:divBdr>
    </w:div>
    <w:div w:id="1926301262">
      <w:bodyDiv w:val="1"/>
      <w:marLeft w:val="0"/>
      <w:marRight w:val="0"/>
      <w:marTop w:val="0"/>
      <w:marBottom w:val="0"/>
      <w:divBdr>
        <w:top w:val="none" w:sz="0" w:space="0" w:color="auto"/>
        <w:left w:val="none" w:sz="0" w:space="0" w:color="auto"/>
        <w:bottom w:val="none" w:sz="0" w:space="0" w:color="auto"/>
        <w:right w:val="none" w:sz="0" w:space="0" w:color="auto"/>
      </w:divBdr>
    </w:div>
    <w:div w:id="1926837773">
      <w:bodyDiv w:val="1"/>
      <w:marLeft w:val="0"/>
      <w:marRight w:val="0"/>
      <w:marTop w:val="0"/>
      <w:marBottom w:val="0"/>
      <w:divBdr>
        <w:top w:val="none" w:sz="0" w:space="0" w:color="auto"/>
        <w:left w:val="none" w:sz="0" w:space="0" w:color="auto"/>
        <w:bottom w:val="none" w:sz="0" w:space="0" w:color="auto"/>
        <w:right w:val="none" w:sz="0" w:space="0" w:color="auto"/>
      </w:divBdr>
    </w:div>
    <w:div w:id="1927105424">
      <w:bodyDiv w:val="1"/>
      <w:marLeft w:val="0"/>
      <w:marRight w:val="0"/>
      <w:marTop w:val="0"/>
      <w:marBottom w:val="0"/>
      <w:divBdr>
        <w:top w:val="none" w:sz="0" w:space="0" w:color="auto"/>
        <w:left w:val="none" w:sz="0" w:space="0" w:color="auto"/>
        <w:bottom w:val="none" w:sz="0" w:space="0" w:color="auto"/>
        <w:right w:val="none" w:sz="0" w:space="0" w:color="auto"/>
      </w:divBdr>
    </w:div>
    <w:div w:id="1927113383">
      <w:bodyDiv w:val="1"/>
      <w:marLeft w:val="0"/>
      <w:marRight w:val="0"/>
      <w:marTop w:val="0"/>
      <w:marBottom w:val="0"/>
      <w:divBdr>
        <w:top w:val="none" w:sz="0" w:space="0" w:color="auto"/>
        <w:left w:val="none" w:sz="0" w:space="0" w:color="auto"/>
        <w:bottom w:val="none" w:sz="0" w:space="0" w:color="auto"/>
        <w:right w:val="none" w:sz="0" w:space="0" w:color="auto"/>
      </w:divBdr>
    </w:div>
    <w:div w:id="1927617425">
      <w:bodyDiv w:val="1"/>
      <w:marLeft w:val="0"/>
      <w:marRight w:val="0"/>
      <w:marTop w:val="0"/>
      <w:marBottom w:val="0"/>
      <w:divBdr>
        <w:top w:val="none" w:sz="0" w:space="0" w:color="auto"/>
        <w:left w:val="none" w:sz="0" w:space="0" w:color="auto"/>
        <w:bottom w:val="none" w:sz="0" w:space="0" w:color="auto"/>
        <w:right w:val="none" w:sz="0" w:space="0" w:color="auto"/>
      </w:divBdr>
    </w:div>
    <w:div w:id="1928034822">
      <w:bodyDiv w:val="1"/>
      <w:marLeft w:val="0"/>
      <w:marRight w:val="0"/>
      <w:marTop w:val="0"/>
      <w:marBottom w:val="0"/>
      <w:divBdr>
        <w:top w:val="none" w:sz="0" w:space="0" w:color="auto"/>
        <w:left w:val="none" w:sz="0" w:space="0" w:color="auto"/>
        <w:bottom w:val="none" w:sz="0" w:space="0" w:color="auto"/>
        <w:right w:val="none" w:sz="0" w:space="0" w:color="auto"/>
      </w:divBdr>
    </w:div>
    <w:div w:id="1928268256">
      <w:bodyDiv w:val="1"/>
      <w:marLeft w:val="0"/>
      <w:marRight w:val="0"/>
      <w:marTop w:val="0"/>
      <w:marBottom w:val="0"/>
      <w:divBdr>
        <w:top w:val="none" w:sz="0" w:space="0" w:color="auto"/>
        <w:left w:val="none" w:sz="0" w:space="0" w:color="auto"/>
        <w:bottom w:val="none" w:sz="0" w:space="0" w:color="auto"/>
        <w:right w:val="none" w:sz="0" w:space="0" w:color="auto"/>
      </w:divBdr>
    </w:div>
    <w:div w:id="1928271711">
      <w:bodyDiv w:val="1"/>
      <w:marLeft w:val="0"/>
      <w:marRight w:val="0"/>
      <w:marTop w:val="0"/>
      <w:marBottom w:val="0"/>
      <w:divBdr>
        <w:top w:val="none" w:sz="0" w:space="0" w:color="auto"/>
        <w:left w:val="none" w:sz="0" w:space="0" w:color="auto"/>
        <w:bottom w:val="none" w:sz="0" w:space="0" w:color="auto"/>
        <w:right w:val="none" w:sz="0" w:space="0" w:color="auto"/>
      </w:divBdr>
    </w:div>
    <w:div w:id="1928537505">
      <w:bodyDiv w:val="1"/>
      <w:marLeft w:val="0"/>
      <w:marRight w:val="0"/>
      <w:marTop w:val="0"/>
      <w:marBottom w:val="0"/>
      <w:divBdr>
        <w:top w:val="none" w:sz="0" w:space="0" w:color="auto"/>
        <w:left w:val="none" w:sz="0" w:space="0" w:color="auto"/>
        <w:bottom w:val="none" w:sz="0" w:space="0" w:color="auto"/>
        <w:right w:val="none" w:sz="0" w:space="0" w:color="auto"/>
      </w:divBdr>
    </w:div>
    <w:div w:id="1928691353">
      <w:bodyDiv w:val="1"/>
      <w:marLeft w:val="0"/>
      <w:marRight w:val="0"/>
      <w:marTop w:val="0"/>
      <w:marBottom w:val="0"/>
      <w:divBdr>
        <w:top w:val="none" w:sz="0" w:space="0" w:color="auto"/>
        <w:left w:val="none" w:sz="0" w:space="0" w:color="auto"/>
        <w:bottom w:val="none" w:sz="0" w:space="0" w:color="auto"/>
        <w:right w:val="none" w:sz="0" w:space="0" w:color="auto"/>
      </w:divBdr>
    </w:div>
    <w:div w:id="1928884583">
      <w:bodyDiv w:val="1"/>
      <w:marLeft w:val="0"/>
      <w:marRight w:val="0"/>
      <w:marTop w:val="0"/>
      <w:marBottom w:val="0"/>
      <w:divBdr>
        <w:top w:val="none" w:sz="0" w:space="0" w:color="auto"/>
        <w:left w:val="none" w:sz="0" w:space="0" w:color="auto"/>
        <w:bottom w:val="none" w:sz="0" w:space="0" w:color="auto"/>
        <w:right w:val="none" w:sz="0" w:space="0" w:color="auto"/>
      </w:divBdr>
    </w:div>
    <w:div w:id="1929118719">
      <w:bodyDiv w:val="1"/>
      <w:marLeft w:val="0"/>
      <w:marRight w:val="0"/>
      <w:marTop w:val="0"/>
      <w:marBottom w:val="0"/>
      <w:divBdr>
        <w:top w:val="none" w:sz="0" w:space="0" w:color="auto"/>
        <w:left w:val="none" w:sz="0" w:space="0" w:color="auto"/>
        <w:bottom w:val="none" w:sz="0" w:space="0" w:color="auto"/>
        <w:right w:val="none" w:sz="0" w:space="0" w:color="auto"/>
      </w:divBdr>
    </w:div>
    <w:div w:id="1929272346">
      <w:bodyDiv w:val="1"/>
      <w:marLeft w:val="0"/>
      <w:marRight w:val="0"/>
      <w:marTop w:val="0"/>
      <w:marBottom w:val="0"/>
      <w:divBdr>
        <w:top w:val="none" w:sz="0" w:space="0" w:color="auto"/>
        <w:left w:val="none" w:sz="0" w:space="0" w:color="auto"/>
        <w:bottom w:val="none" w:sz="0" w:space="0" w:color="auto"/>
        <w:right w:val="none" w:sz="0" w:space="0" w:color="auto"/>
      </w:divBdr>
    </w:div>
    <w:div w:id="1929345255">
      <w:bodyDiv w:val="1"/>
      <w:marLeft w:val="0"/>
      <w:marRight w:val="0"/>
      <w:marTop w:val="0"/>
      <w:marBottom w:val="0"/>
      <w:divBdr>
        <w:top w:val="none" w:sz="0" w:space="0" w:color="auto"/>
        <w:left w:val="none" w:sz="0" w:space="0" w:color="auto"/>
        <w:bottom w:val="none" w:sz="0" w:space="0" w:color="auto"/>
        <w:right w:val="none" w:sz="0" w:space="0" w:color="auto"/>
      </w:divBdr>
    </w:div>
    <w:div w:id="1929804559">
      <w:bodyDiv w:val="1"/>
      <w:marLeft w:val="0"/>
      <w:marRight w:val="0"/>
      <w:marTop w:val="0"/>
      <w:marBottom w:val="0"/>
      <w:divBdr>
        <w:top w:val="none" w:sz="0" w:space="0" w:color="auto"/>
        <w:left w:val="none" w:sz="0" w:space="0" w:color="auto"/>
        <w:bottom w:val="none" w:sz="0" w:space="0" w:color="auto"/>
        <w:right w:val="none" w:sz="0" w:space="0" w:color="auto"/>
      </w:divBdr>
    </w:div>
    <w:div w:id="1929997795">
      <w:bodyDiv w:val="1"/>
      <w:marLeft w:val="0"/>
      <w:marRight w:val="0"/>
      <w:marTop w:val="0"/>
      <w:marBottom w:val="0"/>
      <w:divBdr>
        <w:top w:val="none" w:sz="0" w:space="0" w:color="auto"/>
        <w:left w:val="none" w:sz="0" w:space="0" w:color="auto"/>
        <w:bottom w:val="none" w:sz="0" w:space="0" w:color="auto"/>
        <w:right w:val="none" w:sz="0" w:space="0" w:color="auto"/>
      </w:divBdr>
    </w:div>
    <w:div w:id="1930655238">
      <w:bodyDiv w:val="1"/>
      <w:marLeft w:val="0"/>
      <w:marRight w:val="0"/>
      <w:marTop w:val="0"/>
      <w:marBottom w:val="0"/>
      <w:divBdr>
        <w:top w:val="none" w:sz="0" w:space="0" w:color="auto"/>
        <w:left w:val="none" w:sz="0" w:space="0" w:color="auto"/>
        <w:bottom w:val="none" w:sz="0" w:space="0" w:color="auto"/>
        <w:right w:val="none" w:sz="0" w:space="0" w:color="auto"/>
      </w:divBdr>
    </w:div>
    <w:div w:id="1930965760">
      <w:bodyDiv w:val="1"/>
      <w:marLeft w:val="0"/>
      <w:marRight w:val="0"/>
      <w:marTop w:val="0"/>
      <w:marBottom w:val="0"/>
      <w:divBdr>
        <w:top w:val="none" w:sz="0" w:space="0" w:color="auto"/>
        <w:left w:val="none" w:sz="0" w:space="0" w:color="auto"/>
        <w:bottom w:val="none" w:sz="0" w:space="0" w:color="auto"/>
        <w:right w:val="none" w:sz="0" w:space="0" w:color="auto"/>
      </w:divBdr>
    </w:div>
    <w:div w:id="1931086739">
      <w:bodyDiv w:val="1"/>
      <w:marLeft w:val="0"/>
      <w:marRight w:val="0"/>
      <w:marTop w:val="0"/>
      <w:marBottom w:val="0"/>
      <w:divBdr>
        <w:top w:val="none" w:sz="0" w:space="0" w:color="auto"/>
        <w:left w:val="none" w:sz="0" w:space="0" w:color="auto"/>
        <w:bottom w:val="none" w:sz="0" w:space="0" w:color="auto"/>
        <w:right w:val="none" w:sz="0" w:space="0" w:color="auto"/>
      </w:divBdr>
    </w:div>
    <w:div w:id="1931422895">
      <w:bodyDiv w:val="1"/>
      <w:marLeft w:val="0"/>
      <w:marRight w:val="0"/>
      <w:marTop w:val="0"/>
      <w:marBottom w:val="0"/>
      <w:divBdr>
        <w:top w:val="none" w:sz="0" w:space="0" w:color="auto"/>
        <w:left w:val="none" w:sz="0" w:space="0" w:color="auto"/>
        <w:bottom w:val="none" w:sz="0" w:space="0" w:color="auto"/>
        <w:right w:val="none" w:sz="0" w:space="0" w:color="auto"/>
      </w:divBdr>
    </w:div>
    <w:div w:id="1931696051">
      <w:bodyDiv w:val="1"/>
      <w:marLeft w:val="0"/>
      <w:marRight w:val="0"/>
      <w:marTop w:val="0"/>
      <w:marBottom w:val="0"/>
      <w:divBdr>
        <w:top w:val="none" w:sz="0" w:space="0" w:color="auto"/>
        <w:left w:val="none" w:sz="0" w:space="0" w:color="auto"/>
        <w:bottom w:val="none" w:sz="0" w:space="0" w:color="auto"/>
        <w:right w:val="none" w:sz="0" w:space="0" w:color="auto"/>
      </w:divBdr>
    </w:div>
    <w:div w:id="1931742083">
      <w:bodyDiv w:val="1"/>
      <w:marLeft w:val="0"/>
      <w:marRight w:val="0"/>
      <w:marTop w:val="0"/>
      <w:marBottom w:val="0"/>
      <w:divBdr>
        <w:top w:val="none" w:sz="0" w:space="0" w:color="auto"/>
        <w:left w:val="none" w:sz="0" w:space="0" w:color="auto"/>
        <w:bottom w:val="none" w:sz="0" w:space="0" w:color="auto"/>
        <w:right w:val="none" w:sz="0" w:space="0" w:color="auto"/>
      </w:divBdr>
    </w:div>
    <w:div w:id="1931886416">
      <w:bodyDiv w:val="1"/>
      <w:marLeft w:val="0"/>
      <w:marRight w:val="0"/>
      <w:marTop w:val="0"/>
      <w:marBottom w:val="0"/>
      <w:divBdr>
        <w:top w:val="none" w:sz="0" w:space="0" w:color="auto"/>
        <w:left w:val="none" w:sz="0" w:space="0" w:color="auto"/>
        <w:bottom w:val="none" w:sz="0" w:space="0" w:color="auto"/>
        <w:right w:val="none" w:sz="0" w:space="0" w:color="auto"/>
      </w:divBdr>
    </w:div>
    <w:div w:id="1932346520">
      <w:bodyDiv w:val="1"/>
      <w:marLeft w:val="0"/>
      <w:marRight w:val="0"/>
      <w:marTop w:val="0"/>
      <w:marBottom w:val="0"/>
      <w:divBdr>
        <w:top w:val="none" w:sz="0" w:space="0" w:color="auto"/>
        <w:left w:val="none" w:sz="0" w:space="0" w:color="auto"/>
        <w:bottom w:val="none" w:sz="0" w:space="0" w:color="auto"/>
        <w:right w:val="none" w:sz="0" w:space="0" w:color="auto"/>
      </w:divBdr>
    </w:div>
    <w:div w:id="1932421617">
      <w:bodyDiv w:val="1"/>
      <w:marLeft w:val="0"/>
      <w:marRight w:val="0"/>
      <w:marTop w:val="0"/>
      <w:marBottom w:val="0"/>
      <w:divBdr>
        <w:top w:val="none" w:sz="0" w:space="0" w:color="auto"/>
        <w:left w:val="none" w:sz="0" w:space="0" w:color="auto"/>
        <w:bottom w:val="none" w:sz="0" w:space="0" w:color="auto"/>
        <w:right w:val="none" w:sz="0" w:space="0" w:color="auto"/>
      </w:divBdr>
    </w:div>
    <w:div w:id="1932470689">
      <w:bodyDiv w:val="1"/>
      <w:marLeft w:val="0"/>
      <w:marRight w:val="0"/>
      <w:marTop w:val="0"/>
      <w:marBottom w:val="0"/>
      <w:divBdr>
        <w:top w:val="none" w:sz="0" w:space="0" w:color="auto"/>
        <w:left w:val="none" w:sz="0" w:space="0" w:color="auto"/>
        <w:bottom w:val="none" w:sz="0" w:space="0" w:color="auto"/>
        <w:right w:val="none" w:sz="0" w:space="0" w:color="auto"/>
      </w:divBdr>
    </w:div>
    <w:div w:id="1932736668">
      <w:bodyDiv w:val="1"/>
      <w:marLeft w:val="0"/>
      <w:marRight w:val="0"/>
      <w:marTop w:val="0"/>
      <w:marBottom w:val="0"/>
      <w:divBdr>
        <w:top w:val="none" w:sz="0" w:space="0" w:color="auto"/>
        <w:left w:val="none" w:sz="0" w:space="0" w:color="auto"/>
        <w:bottom w:val="none" w:sz="0" w:space="0" w:color="auto"/>
        <w:right w:val="none" w:sz="0" w:space="0" w:color="auto"/>
      </w:divBdr>
    </w:div>
    <w:div w:id="1932739073">
      <w:bodyDiv w:val="1"/>
      <w:marLeft w:val="0"/>
      <w:marRight w:val="0"/>
      <w:marTop w:val="0"/>
      <w:marBottom w:val="0"/>
      <w:divBdr>
        <w:top w:val="none" w:sz="0" w:space="0" w:color="auto"/>
        <w:left w:val="none" w:sz="0" w:space="0" w:color="auto"/>
        <w:bottom w:val="none" w:sz="0" w:space="0" w:color="auto"/>
        <w:right w:val="none" w:sz="0" w:space="0" w:color="auto"/>
      </w:divBdr>
    </w:div>
    <w:div w:id="1933120499">
      <w:bodyDiv w:val="1"/>
      <w:marLeft w:val="0"/>
      <w:marRight w:val="0"/>
      <w:marTop w:val="0"/>
      <w:marBottom w:val="0"/>
      <w:divBdr>
        <w:top w:val="none" w:sz="0" w:space="0" w:color="auto"/>
        <w:left w:val="none" w:sz="0" w:space="0" w:color="auto"/>
        <w:bottom w:val="none" w:sz="0" w:space="0" w:color="auto"/>
        <w:right w:val="none" w:sz="0" w:space="0" w:color="auto"/>
      </w:divBdr>
    </w:div>
    <w:div w:id="1934392717">
      <w:bodyDiv w:val="1"/>
      <w:marLeft w:val="0"/>
      <w:marRight w:val="0"/>
      <w:marTop w:val="0"/>
      <w:marBottom w:val="0"/>
      <w:divBdr>
        <w:top w:val="none" w:sz="0" w:space="0" w:color="auto"/>
        <w:left w:val="none" w:sz="0" w:space="0" w:color="auto"/>
        <w:bottom w:val="none" w:sz="0" w:space="0" w:color="auto"/>
        <w:right w:val="none" w:sz="0" w:space="0" w:color="auto"/>
      </w:divBdr>
    </w:div>
    <w:div w:id="1934507669">
      <w:bodyDiv w:val="1"/>
      <w:marLeft w:val="0"/>
      <w:marRight w:val="0"/>
      <w:marTop w:val="0"/>
      <w:marBottom w:val="0"/>
      <w:divBdr>
        <w:top w:val="none" w:sz="0" w:space="0" w:color="auto"/>
        <w:left w:val="none" w:sz="0" w:space="0" w:color="auto"/>
        <w:bottom w:val="none" w:sz="0" w:space="0" w:color="auto"/>
        <w:right w:val="none" w:sz="0" w:space="0" w:color="auto"/>
      </w:divBdr>
    </w:div>
    <w:div w:id="1934509954">
      <w:bodyDiv w:val="1"/>
      <w:marLeft w:val="0"/>
      <w:marRight w:val="0"/>
      <w:marTop w:val="0"/>
      <w:marBottom w:val="0"/>
      <w:divBdr>
        <w:top w:val="none" w:sz="0" w:space="0" w:color="auto"/>
        <w:left w:val="none" w:sz="0" w:space="0" w:color="auto"/>
        <w:bottom w:val="none" w:sz="0" w:space="0" w:color="auto"/>
        <w:right w:val="none" w:sz="0" w:space="0" w:color="auto"/>
      </w:divBdr>
    </w:div>
    <w:div w:id="1934893755">
      <w:bodyDiv w:val="1"/>
      <w:marLeft w:val="0"/>
      <w:marRight w:val="0"/>
      <w:marTop w:val="0"/>
      <w:marBottom w:val="0"/>
      <w:divBdr>
        <w:top w:val="none" w:sz="0" w:space="0" w:color="auto"/>
        <w:left w:val="none" w:sz="0" w:space="0" w:color="auto"/>
        <w:bottom w:val="none" w:sz="0" w:space="0" w:color="auto"/>
        <w:right w:val="none" w:sz="0" w:space="0" w:color="auto"/>
      </w:divBdr>
    </w:div>
    <w:div w:id="1934893864">
      <w:bodyDiv w:val="1"/>
      <w:marLeft w:val="0"/>
      <w:marRight w:val="0"/>
      <w:marTop w:val="0"/>
      <w:marBottom w:val="0"/>
      <w:divBdr>
        <w:top w:val="none" w:sz="0" w:space="0" w:color="auto"/>
        <w:left w:val="none" w:sz="0" w:space="0" w:color="auto"/>
        <w:bottom w:val="none" w:sz="0" w:space="0" w:color="auto"/>
        <w:right w:val="none" w:sz="0" w:space="0" w:color="auto"/>
      </w:divBdr>
    </w:div>
    <w:div w:id="1935287348">
      <w:bodyDiv w:val="1"/>
      <w:marLeft w:val="0"/>
      <w:marRight w:val="0"/>
      <w:marTop w:val="0"/>
      <w:marBottom w:val="0"/>
      <w:divBdr>
        <w:top w:val="none" w:sz="0" w:space="0" w:color="auto"/>
        <w:left w:val="none" w:sz="0" w:space="0" w:color="auto"/>
        <w:bottom w:val="none" w:sz="0" w:space="0" w:color="auto"/>
        <w:right w:val="none" w:sz="0" w:space="0" w:color="auto"/>
      </w:divBdr>
    </w:div>
    <w:div w:id="1935432209">
      <w:bodyDiv w:val="1"/>
      <w:marLeft w:val="0"/>
      <w:marRight w:val="0"/>
      <w:marTop w:val="0"/>
      <w:marBottom w:val="0"/>
      <w:divBdr>
        <w:top w:val="none" w:sz="0" w:space="0" w:color="auto"/>
        <w:left w:val="none" w:sz="0" w:space="0" w:color="auto"/>
        <w:bottom w:val="none" w:sz="0" w:space="0" w:color="auto"/>
        <w:right w:val="none" w:sz="0" w:space="0" w:color="auto"/>
      </w:divBdr>
    </w:div>
    <w:div w:id="1935822833">
      <w:bodyDiv w:val="1"/>
      <w:marLeft w:val="0"/>
      <w:marRight w:val="0"/>
      <w:marTop w:val="0"/>
      <w:marBottom w:val="0"/>
      <w:divBdr>
        <w:top w:val="none" w:sz="0" w:space="0" w:color="auto"/>
        <w:left w:val="none" w:sz="0" w:space="0" w:color="auto"/>
        <w:bottom w:val="none" w:sz="0" w:space="0" w:color="auto"/>
        <w:right w:val="none" w:sz="0" w:space="0" w:color="auto"/>
      </w:divBdr>
    </w:div>
    <w:div w:id="1935933780">
      <w:bodyDiv w:val="1"/>
      <w:marLeft w:val="0"/>
      <w:marRight w:val="0"/>
      <w:marTop w:val="0"/>
      <w:marBottom w:val="0"/>
      <w:divBdr>
        <w:top w:val="none" w:sz="0" w:space="0" w:color="auto"/>
        <w:left w:val="none" w:sz="0" w:space="0" w:color="auto"/>
        <w:bottom w:val="none" w:sz="0" w:space="0" w:color="auto"/>
        <w:right w:val="none" w:sz="0" w:space="0" w:color="auto"/>
      </w:divBdr>
    </w:div>
    <w:div w:id="1936209382">
      <w:bodyDiv w:val="1"/>
      <w:marLeft w:val="0"/>
      <w:marRight w:val="0"/>
      <w:marTop w:val="0"/>
      <w:marBottom w:val="0"/>
      <w:divBdr>
        <w:top w:val="none" w:sz="0" w:space="0" w:color="auto"/>
        <w:left w:val="none" w:sz="0" w:space="0" w:color="auto"/>
        <w:bottom w:val="none" w:sz="0" w:space="0" w:color="auto"/>
        <w:right w:val="none" w:sz="0" w:space="0" w:color="auto"/>
      </w:divBdr>
    </w:div>
    <w:div w:id="1936593825">
      <w:bodyDiv w:val="1"/>
      <w:marLeft w:val="0"/>
      <w:marRight w:val="0"/>
      <w:marTop w:val="0"/>
      <w:marBottom w:val="0"/>
      <w:divBdr>
        <w:top w:val="none" w:sz="0" w:space="0" w:color="auto"/>
        <w:left w:val="none" w:sz="0" w:space="0" w:color="auto"/>
        <w:bottom w:val="none" w:sz="0" w:space="0" w:color="auto"/>
        <w:right w:val="none" w:sz="0" w:space="0" w:color="auto"/>
      </w:divBdr>
    </w:div>
    <w:div w:id="1936668243">
      <w:bodyDiv w:val="1"/>
      <w:marLeft w:val="0"/>
      <w:marRight w:val="0"/>
      <w:marTop w:val="0"/>
      <w:marBottom w:val="0"/>
      <w:divBdr>
        <w:top w:val="none" w:sz="0" w:space="0" w:color="auto"/>
        <w:left w:val="none" w:sz="0" w:space="0" w:color="auto"/>
        <w:bottom w:val="none" w:sz="0" w:space="0" w:color="auto"/>
        <w:right w:val="none" w:sz="0" w:space="0" w:color="auto"/>
      </w:divBdr>
    </w:div>
    <w:div w:id="1937055594">
      <w:bodyDiv w:val="1"/>
      <w:marLeft w:val="0"/>
      <w:marRight w:val="0"/>
      <w:marTop w:val="0"/>
      <w:marBottom w:val="0"/>
      <w:divBdr>
        <w:top w:val="none" w:sz="0" w:space="0" w:color="auto"/>
        <w:left w:val="none" w:sz="0" w:space="0" w:color="auto"/>
        <w:bottom w:val="none" w:sz="0" w:space="0" w:color="auto"/>
        <w:right w:val="none" w:sz="0" w:space="0" w:color="auto"/>
      </w:divBdr>
    </w:div>
    <w:div w:id="1937128258">
      <w:bodyDiv w:val="1"/>
      <w:marLeft w:val="0"/>
      <w:marRight w:val="0"/>
      <w:marTop w:val="0"/>
      <w:marBottom w:val="0"/>
      <w:divBdr>
        <w:top w:val="none" w:sz="0" w:space="0" w:color="auto"/>
        <w:left w:val="none" w:sz="0" w:space="0" w:color="auto"/>
        <w:bottom w:val="none" w:sz="0" w:space="0" w:color="auto"/>
        <w:right w:val="none" w:sz="0" w:space="0" w:color="auto"/>
      </w:divBdr>
    </w:div>
    <w:div w:id="1938362024">
      <w:bodyDiv w:val="1"/>
      <w:marLeft w:val="0"/>
      <w:marRight w:val="0"/>
      <w:marTop w:val="0"/>
      <w:marBottom w:val="0"/>
      <w:divBdr>
        <w:top w:val="none" w:sz="0" w:space="0" w:color="auto"/>
        <w:left w:val="none" w:sz="0" w:space="0" w:color="auto"/>
        <w:bottom w:val="none" w:sz="0" w:space="0" w:color="auto"/>
        <w:right w:val="none" w:sz="0" w:space="0" w:color="auto"/>
      </w:divBdr>
    </w:div>
    <w:div w:id="1938437114">
      <w:bodyDiv w:val="1"/>
      <w:marLeft w:val="0"/>
      <w:marRight w:val="0"/>
      <w:marTop w:val="0"/>
      <w:marBottom w:val="0"/>
      <w:divBdr>
        <w:top w:val="none" w:sz="0" w:space="0" w:color="auto"/>
        <w:left w:val="none" w:sz="0" w:space="0" w:color="auto"/>
        <w:bottom w:val="none" w:sz="0" w:space="0" w:color="auto"/>
        <w:right w:val="none" w:sz="0" w:space="0" w:color="auto"/>
      </w:divBdr>
    </w:div>
    <w:div w:id="1939169395">
      <w:bodyDiv w:val="1"/>
      <w:marLeft w:val="0"/>
      <w:marRight w:val="0"/>
      <w:marTop w:val="0"/>
      <w:marBottom w:val="0"/>
      <w:divBdr>
        <w:top w:val="none" w:sz="0" w:space="0" w:color="auto"/>
        <w:left w:val="none" w:sz="0" w:space="0" w:color="auto"/>
        <w:bottom w:val="none" w:sz="0" w:space="0" w:color="auto"/>
        <w:right w:val="none" w:sz="0" w:space="0" w:color="auto"/>
      </w:divBdr>
    </w:div>
    <w:div w:id="1939172320">
      <w:bodyDiv w:val="1"/>
      <w:marLeft w:val="0"/>
      <w:marRight w:val="0"/>
      <w:marTop w:val="0"/>
      <w:marBottom w:val="0"/>
      <w:divBdr>
        <w:top w:val="none" w:sz="0" w:space="0" w:color="auto"/>
        <w:left w:val="none" w:sz="0" w:space="0" w:color="auto"/>
        <w:bottom w:val="none" w:sz="0" w:space="0" w:color="auto"/>
        <w:right w:val="none" w:sz="0" w:space="0" w:color="auto"/>
      </w:divBdr>
    </w:div>
    <w:div w:id="1939175997">
      <w:bodyDiv w:val="1"/>
      <w:marLeft w:val="0"/>
      <w:marRight w:val="0"/>
      <w:marTop w:val="0"/>
      <w:marBottom w:val="0"/>
      <w:divBdr>
        <w:top w:val="none" w:sz="0" w:space="0" w:color="auto"/>
        <w:left w:val="none" w:sz="0" w:space="0" w:color="auto"/>
        <w:bottom w:val="none" w:sz="0" w:space="0" w:color="auto"/>
        <w:right w:val="none" w:sz="0" w:space="0" w:color="auto"/>
      </w:divBdr>
    </w:div>
    <w:div w:id="1939680566">
      <w:bodyDiv w:val="1"/>
      <w:marLeft w:val="0"/>
      <w:marRight w:val="0"/>
      <w:marTop w:val="0"/>
      <w:marBottom w:val="0"/>
      <w:divBdr>
        <w:top w:val="none" w:sz="0" w:space="0" w:color="auto"/>
        <w:left w:val="none" w:sz="0" w:space="0" w:color="auto"/>
        <w:bottom w:val="none" w:sz="0" w:space="0" w:color="auto"/>
        <w:right w:val="none" w:sz="0" w:space="0" w:color="auto"/>
      </w:divBdr>
    </w:div>
    <w:div w:id="1939823282">
      <w:bodyDiv w:val="1"/>
      <w:marLeft w:val="0"/>
      <w:marRight w:val="0"/>
      <w:marTop w:val="0"/>
      <w:marBottom w:val="0"/>
      <w:divBdr>
        <w:top w:val="none" w:sz="0" w:space="0" w:color="auto"/>
        <w:left w:val="none" w:sz="0" w:space="0" w:color="auto"/>
        <w:bottom w:val="none" w:sz="0" w:space="0" w:color="auto"/>
        <w:right w:val="none" w:sz="0" w:space="0" w:color="auto"/>
      </w:divBdr>
    </w:div>
    <w:div w:id="1940137187">
      <w:bodyDiv w:val="1"/>
      <w:marLeft w:val="0"/>
      <w:marRight w:val="0"/>
      <w:marTop w:val="0"/>
      <w:marBottom w:val="0"/>
      <w:divBdr>
        <w:top w:val="none" w:sz="0" w:space="0" w:color="auto"/>
        <w:left w:val="none" w:sz="0" w:space="0" w:color="auto"/>
        <w:bottom w:val="none" w:sz="0" w:space="0" w:color="auto"/>
        <w:right w:val="none" w:sz="0" w:space="0" w:color="auto"/>
      </w:divBdr>
    </w:div>
    <w:div w:id="1940210364">
      <w:bodyDiv w:val="1"/>
      <w:marLeft w:val="0"/>
      <w:marRight w:val="0"/>
      <w:marTop w:val="0"/>
      <w:marBottom w:val="0"/>
      <w:divBdr>
        <w:top w:val="none" w:sz="0" w:space="0" w:color="auto"/>
        <w:left w:val="none" w:sz="0" w:space="0" w:color="auto"/>
        <w:bottom w:val="none" w:sz="0" w:space="0" w:color="auto"/>
        <w:right w:val="none" w:sz="0" w:space="0" w:color="auto"/>
      </w:divBdr>
    </w:div>
    <w:div w:id="1940216718">
      <w:bodyDiv w:val="1"/>
      <w:marLeft w:val="0"/>
      <w:marRight w:val="0"/>
      <w:marTop w:val="0"/>
      <w:marBottom w:val="0"/>
      <w:divBdr>
        <w:top w:val="none" w:sz="0" w:space="0" w:color="auto"/>
        <w:left w:val="none" w:sz="0" w:space="0" w:color="auto"/>
        <w:bottom w:val="none" w:sz="0" w:space="0" w:color="auto"/>
        <w:right w:val="none" w:sz="0" w:space="0" w:color="auto"/>
      </w:divBdr>
    </w:div>
    <w:div w:id="1940407258">
      <w:bodyDiv w:val="1"/>
      <w:marLeft w:val="0"/>
      <w:marRight w:val="0"/>
      <w:marTop w:val="0"/>
      <w:marBottom w:val="0"/>
      <w:divBdr>
        <w:top w:val="none" w:sz="0" w:space="0" w:color="auto"/>
        <w:left w:val="none" w:sz="0" w:space="0" w:color="auto"/>
        <w:bottom w:val="none" w:sz="0" w:space="0" w:color="auto"/>
        <w:right w:val="none" w:sz="0" w:space="0" w:color="auto"/>
      </w:divBdr>
    </w:div>
    <w:div w:id="1941181775">
      <w:bodyDiv w:val="1"/>
      <w:marLeft w:val="0"/>
      <w:marRight w:val="0"/>
      <w:marTop w:val="0"/>
      <w:marBottom w:val="0"/>
      <w:divBdr>
        <w:top w:val="none" w:sz="0" w:space="0" w:color="auto"/>
        <w:left w:val="none" w:sz="0" w:space="0" w:color="auto"/>
        <w:bottom w:val="none" w:sz="0" w:space="0" w:color="auto"/>
        <w:right w:val="none" w:sz="0" w:space="0" w:color="auto"/>
      </w:divBdr>
    </w:div>
    <w:div w:id="1941252172">
      <w:bodyDiv w:val="1"/>
      <w:marLeft w:val="0"/>
      <w:marRight w:val="0"/>
      <w:marTop w:val="0"/>
      <w:marBottom w:val="0"/>
      <w:divBdr>
        <w:top w:val="none" w:sz="0" w:space="0" w:color="auto"/>
        <w:left w:val="none" w:sz="0" w:space="0" w:color="auto"/>
        <w:bottom w:val="none" w:sz="0" w:space="0" w:color="auto"/>
        <w:right w:val="none" w:sz="0" w:space="0" w:color="auto"/>
      </w:divBdr>
    </w:div>
    <w:div w:id="1941252397">
      <w:bodyDiv w:val="1"/>
      <w:marLeft w:val="0"/>
      <w:marRight w:val="0"/>
      <w:marTop w:val="0"/>
      <w:marBottom w:val="0"/>
      <w:divBdr>
        <w:top w:val="none" w:sz="0" w:space="0" w:color="auto"/>
        <w:left w:val="none" w:sz="0" w:space="0" w:color="auto"/>
        <w:bottom w:val="none" w:sz="0" w:space="0" w:color="auto"/>
        <w:right w:val="none" w:sz="0" w:space="0" w:color="auto"/>
      </w:divBdr>
    </w:div>
    <w:div w:id="1941600467">
      <w:bodyDiv w:val="1"/>
      <w:marLeft w:val="0"/>
      <w:marRight w:val="0"/>
      <w:marTop w:val="0"/>
      <w:marBottom w:val="0"/>
      <w:divBdr>
        <w:top w:val="none" w:sz="0" w:space="0" w:color="auto"/>
        <w:left w:val="none" w:sz="0" w:space="0" w:color="auto"/>
        <w:bottom w:val="none" w:sz="0" w:space="0" w:color="auto"/>
        <w:right w:val="none" w:sz="0" w:space="0" w:color="auto"/>
      </w:divBdr>
    </w:div>
    <w:div w:id="1941794437">
      <w:bodyDiv w:val="1"/>
      <w:marLeft w:val="0"/>
      <w:marRight w:val="0"/>
      <w:marTop w:val="0"/>
      <w:marBottom w:val="0"/>
      <w:divBdr>
        <w:top w:val="none" w:sz="0" w:space="0" w:color="auto"/>
        <w:left w:val="none" w:sz="0" w:space="0" w:color="auto"/>
        <w:bottom w:val="none" w:sz="0" w:space="0" w:color="auto"/>
        <w:right w:val="none" w:sz="0" w:space="0" w:color="auto"/>
      </w:divBdr>
    </w:div>
    <w:div w:id="1941836332">
      <w:bodyDiv w:val="1"/>
      <w:marLeft w:val="0"/>
      <w:marRight w:val="0"/>
      <w:marTop w:val="0"/>
      <w:marBottom w:val="0"/>
      <w:divBdr>
        <w:top w:val="none" w:sz="0" w:space="0" w:color="auto"/>
        <w:left w:val="none" w:sz="0" w:space="0" w:color="auto"/>
        <w:bottom w:val="none" w:sz="0" w:space="0" w:color="auto"/>
        <w:right w:val="none" w:sz="0" w:space="0" w:color="auto"/>
      </w:divBdr>
    </w:div>
    <w:div w:id="1942101823">
      <w:bodyDiv w:val="1"/>
      <w:marLeft w:val="0"/>
      <w:marRight w:val="0"/>
      <w:marTop w:val="0"/>
      <w:marBottom w:val="0"/>
      <w:divBdr>
        <w:top w:val="none" w:sz="0" w:space="0" w:color="auto"/>
        <w:left w:val="none" w:sz="0" w:space="0" w:color="auto"/>
        <w:bottom w:val="none" w:sz="0" w:space="0" w:color="auto"/>
        <w:right w:val="none" w:sz="0" w:space="0" w:color="auto"/>
      </w:divBdr>
    </w:div>
    <w:div w:id="1942293225">
      <w:bodyDiv w:val="1"/>
      <w:marLeft w:val="0"/>
      <w:marRight w:val="0"/>
      <w:marTop w:val="0"/>
      <w:marBottom w:val="0"/>
      <w:divBdr>
        <w:top w:val="none" w:sz="0" w:space="0" w:color="auto"/>
        <w:left w:val="none" w:sz="0" w:space="0" w:color="auto"/>
        <w:bottom w:val="none" w:sz="0" w:space="0" w:color="auto"/>
        <w:right w:val="none" w:sz="0" w:space="0" w:color="auto"/>
      </w:divBdr>
    </w:div>
    <w:div w:id="1943145696">
      <w:bodyDiv w:val="1"/>
      <w:marLeft w:val="0"/>
      <w:marRight w:val="0"/>
      <w:marTop w:val="0"/>
      <w:marBottom w:val="0"/>
      <w:divBdr>
        <w:top w:val="none" w:sz="0" w:space="0" w:color="auto"/>
        <w:left w:val="none" w:sz="0" w:space="0" w:color="auto"/>
        <w:bottom w:val="none" w:sz="0" w:space="0" w:color="auto"/>
        <w:right w:val="none" w:sz="0" w:space="0" w:color="auto"/>
      </w:divBdr>
    </w:div>
    <w:div w:id="1943222087">
      <w:bodyDiv w:val="1"/>
      <w:marLeft w:val="0"/>
      <w:marRight w:val="0"/>
      <w:marTop w:val="0"/>
      <w:marBottom w:val="0"/>
      <w:divBdr>
        <w:top w:val="none" w:sz="0" w:space="0" w:color="auto"/>
        <w:left w:val="none" w:sz="0" w:space="0" w:color="auto"/>
        <w:bottom w:val="none" w:sz="0" w:space="0" w:color="auto"/>
        <w:right w:val="none" w:sz="0" w:space="0" w:color="auto"/>
      </w:divBdr>
    </w:div>
    <w:div w:id="1943413873">
      <w:bodyDiv w:val="1"/>
      <w:marLeft w:val="0"/>
      <w:marRight w:val="0"/>
      <w:marTop w:val="0"/>
      <w:marBottom w:val="0"/>
      <w:divBdr>
        <w:top w:val="none" w:sz="0" w:space="0" w:color="auto"/>
        <w:left w:val="none" w:sz="0" w:space="0" w:color="auto"/>
        <w:bottom w:val="none" w:sz="0" w:space="0" w:color="auto"/>
        <w:right w:val="none" w:sz="0" w:space="0" w:color="auto"/>
      </w:divBdr>
    </w:div>
    <w:div w:id="1943562136">
      <w:bodyDiv w:val="1"/>
      <w:marLeft w:val="0"/>
      <w:marRight w:val="0"/>
      <w:marTop w:val="0"/>
      <w:marBottom w:val="0"/>
      <w:divBdr>
        <w:top w:val="none" w:sz="0" w:space="0" w:color="auto"/>
        <w:left w:val="none" w:sz="0" w:space="0" w:color="auto"/>
        <w:bottom w:val="none" w:sz="0" w:space="0" w:color="auto"/>
        <w:right w:val="none" w:sz="0" w:space="0" w:color="auto"/>
      </w:divBdr>
    </w:div>
    <w:div w:id="1943564173">
      <w:bodyDiv w:val="1"/>
      <w:marLeft w:val="0"/>
      <w:marRight w:val="0"/>
      <w:marTop w:val="0"/>
      <w:marBottom w:val="0"/>
      <w:divBdr>
        <w:top w:val="none" w:sz="0" w:space="0" w:color="auto"/>
        <w:left w:val="none" w:sz="0" w:space="0" w:color="auto"/>
        <w:bottom w:val="none" w:sz="0" w:space="0" w:color="auto"/>
        <w:right w:val="none" w:sz="0" w:space="0" w:color="auto"/>
      </w:divBdr>
    </w:div>
    <w:div w:id="1943686826">
      <w:bodyDiv w:val="1"/>
      <w:marLeft w:val="0"/>
      <w:marRight w:val="0"/>
      <w:marTop w:val="0"/>
      <w:marBottom w:val="0"/>
      <w:divBdr>
        <w:top w:val="none" w:sz="0" w:space="0" w:color="auto"/>
        <w:left w:val="none" w:sz="0" w:space="0" w:color="auto"/>
        <w:bottom w:val="none" w:sz="0" w:space="0" w:color="auto"/>
        <w:right w:val="none" w:sz="0" w:space="0" w:color="auto"/>
      </w:divBdr>
    </w:div>
    <w:div w:id="1943763086">
      <w:bodyDiv w:val="1"/>
      <w:marLeft w:val="0"/>
      <w:marRight w:val="0"/>
      <w:marTop w:val="0"/>
      <w:marBottom w:val="0"/>
      <w:divBdr>
        <w:top w:val="none" w:sz="0" w:space="0" w:color="auto"/>
        <w:left w:val="none" w:sz="0" w:space="0" w:color="auto"/>
        <w:bottom w:val="none" w:sz="0" w:space="0" w:color="auto"/>
        <w:right w:val="none" w:sz="0" w:space="0" w:color="auto"/>
      </w:divBdr>
    </w:div>
    <w:div w:id="1943800010">
      <w:bodyDiv w:val="1"/>
      <w:marLeft w:val="0"/>
      <w:marRight w:val="0"/>
      <w:marTop w:val="0"/>
      <w:marBottom w:val="0"/>
      <w:divBdr>
        <w:top w:val="none" w:sz="0" w:space="0" w:color="auto"/>
        <w:left w:val="none" w:sz="0" w:space="0" w:color="auto"/>
        <w:bottom w:val="none" w:sz="0" w:space="0" w:color="auto"/>
        <w:right w:val="none" w:sz="0" w:space="0" w:color="auto"/>
      </w:divBdr>
    </w:div>
    <w:div w:id="1944025013">
      <w:bodyDiv w:val="1"/>
      <w:marLeft w:val="0"/>
      <w:marRight w:val="0"/>
      <w:marTop w:val="0"/>
      <w:marBottom w:val="0"/>
      <w:divBdr>
        <w:top w:val="none" w:sz="0" w:space="0" w:color="auto"/>
        <w:left w:val="none" w:sz="0" w:space="0" w:color="auto"/>
        <w:bottom w:val="none" w:sz="0" w:space="0" w:color="auto"/>
        <w:right w:val="none" w:sz="0" w:space="0" w:color="auto"/>
      </w:divBdr>
    </w:div>
    <w:div w:id="1944066093">
      <w:bodyDiv w:val="1"/>
      <w:marLeft w:val="0"/>
      <w:marRight w:val="0"/>
      <w:marTop w:val="0"/>
      <w:marBottom w:val="0"/>
      <w:divBdr>
        <w:top w:val="none" w:sz="0" w:space="0" w:color="auto"/>
        <w:left w:val="none" w:sz="0" w:space="0" w:color="auto"/>
        <w:bottom w:val="none" w:sz="0" w:space="0" w:color="auto"/>
        <w:right w:val="none" w:sz="0" w:space="0" w:color="auto"/>
      </w:divBdr>
    </w:div>
    <w:div w:id="1944800844">
      <w:bodyDiv w:val="1"/>
      <w:marLeft w:val="0"/>
      <w:marRight w:val="0"/>
      <w:marTop w:val="0"/>
      <w:marBottom w:val="0"/>
      <w:divBdr>
        <w:top w:val="none" w:sz="0" w:space="0" w:color="auto"/>
        <w:left w:val="none" w:sz="0" w:space="0" w:color="auto"/>
        <w:bottom w:val="none" w:sz="0" w:space="0" w:color="auto"/>
        <w:right w:val="none" w:sz="0" w:space="0" w:color="auto"/>
      </w:divBdr>
    </w:div>
    <w:div w:id="1944919115">
      <w:bodyDiv w:val="1"/>
      <w:marLeft w:val="0"/>
      <w:marRight w:val="0"/>
      <w:marTop w:val="0"/>
      <w:marBottom w:val="0"/>
      <w:divBdr>
        <w:top w:val="none" w:sz="0" w:space="0" w:color="auto"/>
        <w:left w:val="none" w:sz="0" w:space="0" w:color="auto"/>
        <w:bottom w:val="none" w:sz="0" w:space="0" w:color="auto"/>
        <w:right w:val="none" w:sz="0" w:space="0" w:color="auto"/>
      </w:divBdr>
    </w:div>
    <w:div w:id="1944996013">
      <w:bodyDiv w:val="1"/>
      <w:marLeft w:val="0"/>
      <w:marRight w:val="0"/>
      <w:marTop w:val="0"/>
      <w:marBottom w:val="0"/>
      <w:divBdr>
        <w:top w:val="none" w:sz="0" w:space="0" w:color="auto"/>
        <w:left w:val="none" w:sz="0" w:space="0" w:color="auto"/>
        <w:bottom w:val="none" w:sz="0" w:space="0" w:color="auto"/>
        <w:right w:val="none" w:sz="0" w:space="0" w:color="auto"/>
      </w:divBdr>
    </w:div>
    <w:div w:id="1945074445">
      <w:bodyDiv w:val="1"/>
      <w:marLeft w:val="0"/>
      <w:marRight w:val="0"/>
      <w:marTop w:val="0"/>
      <w:marBottom w:val="0"/>
      <w:divBdr>
        <w:top w:val="none" w:sz="0" w:space="0" w:color="auto"/>
        <w:left w:val="none" w:sz="0" w:space="0" w:color="auto"/>
        <w:bottom w:val="none" w:sz="0" w:space="0" w:color="auto"/>
        <w:right w:val="none" w:sz="0" w:space="0" w:color="auto"/>
      </w:divBdr>
    </w:div>
    <w:div w:id="1945266981">
      <w:bodyDiv w:val="1"/>
      <w:marLeft w:val="0"/>
      <w:marRight w:val="0"/>
      <w:marTop w:val="0"/>
      <w:marBottom w:val="0"/>
      <w:divBdr>
        <w:top w:val="none" w:sz="0" w:space="0" w:color="auto"/>
        <w:left w:val="none" w:sz="0" w:space="0" w:color="auto"/>
        <w:bottom w:val="none" w:sz="0" w:space="0" w:color="auto"/>
        <w:right w:val="none" w:sz="0" w:space="0" w:color="auto"/>
      </w:divBdr>
    </w:div>
    <w:div w:id="1945652126">
      <w:bodyDiv w:val="1"/>
      <w:marLeft w:val="0"/>
      <w:marRight w:val="0"/>
      <w:marTop w:val="0"/>
      <w:marBottom w:val="0"/>
      <w:divBdr>
        <w:top w:val="none" w:sz="0" w:space="0" w:color="auto"/>
        <w:left w:val="none" w:sz="0" w:space="0" w:color="auto"/>
        <w:bottom w:val="none" w:sz="0" w:space="0" w:color="auto"/>
        <w:right w:val="none" w:sz="0" w:space="0" w:color="auto"/>
      </w:divBdr>
    </w:div>
    <w:div w:id="1945919265">
      <w:bodyDiv w:val="1"/>
      <w:marLeft w:val="0"/>
      <w:marRight w:val="0"/>
      <w:marTop w:val="0"/>
      <w:marBottom w:val="0"/>
      <w:divBdr>
        <w:top w:val="none" w:sz="0" w:space="0" w:color="auto"/>
        <w:left w:val="none" w:sz="0" w:space="0" w:color="auto"/>
        <w:bottom w:val="none" w:sz="0" w:space="0" w:color="auto"/>
        <w:right w:val="none" w:sz="0" w:space="0" w:color="auto"/>
      </w:divBdr>
    </w:div>
    <w:div w:id="1946036059">
      <w:bodyDiv w:val="1"/>
      <w:marLeft w:val="0"/>
      <w:marRight w:val="0"/>
      <w:marTop w:val="0"/>
      <w:marBottom w:val="0"/>
      <w:divBdr>
        <w:top w:val="none" w:sz="0" w:space="0" w:color="auto"/>
        <w:left w:val="none" w:sz="0" w:space="0" w:color="auto"/>
        <w:bottom w:val="none" w:sz="0" w:space="0" w:color="auto"/>
        <w:right w:val="none" w:sz="0" w:space="0" w:color="auto"/>
      </w:divBdr>
    </w:div>
    <w:div w:id="1946301792">
      <w:bodyDiv w:val="1"/>
      <w:marLeft w:val="0"/>
      <w:marRight w:val="0"/>
      <w:marTop w:val="0"/>
      <w:marBottom w:val="0"/>
      <w:divBdr>
        <w:top w:val="none" w:sz="0" w:space="0" w:color="auto"/>
        <w:left w:val="none" w:sz="0" w:space="0" w:color="auto"/>
        <w:bottom w:val="none" w:sz="0" w:space="0" w:color="auto"/>
        <w:right w:val="none" w:sz="0" w:space="0" w:color="auto"/>
      </w:divBdr>
    </w:div>
    <w:div w:id="1946765099">
      <w:bodyDiv w:val="1"/>
      <w:marLeft w:val="0"/>
      <w:marRight w:val="0"/>
      <w:marTop w:val="0"/>
      <w:marBottom w:val="0"/>
      <w:divBdr>
        <w:top w:val="none" w:sz="0" w:space="0" w:color="auto"/>
        <w:left w:val="none" w:sz="0" w:space="0" w:color="auto"/>
        <w:bottom w:val="none" w:sz="0" w:space="0" w:color="auto"/>
        <w:right w:val="none" w:sz="0" w:space="0" w:color="auto"/>
      </w:divBdr>
    </w:div>
    <w:div w:id="1947345728">
      <w:bodyDiv w:val="1"/>
      <w:marLeft w:val="0"/>
      <w:marRight w:val="0"/>
      <w:marTop w:val="0"/>
      <w:marBottom w:val="0"/>
      <w:divBdr>
        <w:top w:val="none" w:sz="0" w:space="0" w:color="auto"/>
        <w:left w:val="none" w:sz="0" w:space="0" w:color="auto"/>
        <w:bottom w:val="none" w:sz="0" w:space="0" w:color="auto"/>
        <w:right w:val="none" w:sz="0" w:space="0" w:color="auto"/>
      </w:divBdr>
    </w:div>
    <w:div w:id="1947497101">
      <w:bodyDiv w:val="1"/>
      <w:marLeft w:val="0"/>
      <w:marRight w:val="0"/>
      <w:marTop w:val="0"/>
      <w:marBottom w:val="0"/>
      <w:divBdr>
        <w:top w:val="none" w:sz="0" w:space="0" w:color="auto"/>
        <w:left w:val="none" w:sz="0" w:space="0" w:color="auto"/>
        <w:bottom w:val="none" w:sz="0" w:space="0" w:color="auto"/>
        <w:right w:val="none" w:sz="0" w:space="0" w:color="auto"/>
      </w:divBdr>
    </w:div>
    <w:div w:id="1947691234">
      <w:bodyDiv w:val="1"/>
      <w:marLeft w:val="0"/>
      <w:marRight w:val="0"/>
      <w:marTop w:val="0"/>
      <w:marBottom w:val="0"/>
      <w:divBdr>
        <w:top w:val="none" w:sz="0" w:space="0" w:color="auto"/>
        <w:left w:val="none" w:sz="0" w:space="0" w:color="auto"/>
        <w:bottom w:val="none" w:sz="0" w:space="0" w:color="auto"/>
        <w:right w:val="none" w:sz="0" w:space="0" w:color="auto"/>
      </w:divBdr>
    </w:div>
    <w:div w:id="1947734986">
      <w:bodyDiv w:val="1"/>
      <w:marLeft w:val="0"/>
      <w:marRight w:val="0"/>
      <w:marTop w:val="0"/>
      <w:marBottom w:val="0"/>
      <w:divBdr>
        <w:top w:val="none" w:sz="0" w:space="0" w:color="auto"/>
        <w:left w:val="none" w:sz="0" w:space="0" w:color="auto"/>
        <w:bottom w:val="none" w:sz="0" w:space="0" w:color="auto"/>
        <w:right w:val="none" w:sz="0" w:space="0" w:color="auto"/>
      </w:divBdr>
    </w:div>
    <w:div w:id="1948078073">
      <w:bodyDiv w:val="1"/>
      <w:marLeft w:val="0"/>
      <w:marRight w:val="0"/>
      <w:marTop w:val="0"/>
      <w:marBottom w:val="0"/>
      <w:divBdr>
        <w:top w:val="none" w:sz="0" w:space="0" w:color="auto"/>
        <w:left w:val="none" w:sz="0" w:space="0" w:color="auto"/>
        <w:bottom w:val="none" w:sz="0" w:space="0" w:color="auto"/>
        <w:right w:val="none" w:sz="0" w:space="0" w:color="auto"/>
      </w:divBdr>
    </w:div>
    <w:div w:id="1948849248">
      <w:bodyDiv w:val="1"/>
      <w:marLeft w:val="0"/>
      <w:marRight w:val="0"/>
      <w:marTop w:val="0"/>
      <w:marBottom w:val="0"/>
      <w:divBdr>
        <w:top w:val="none" w:sz="0" w:space="0" w:color="auto"/>
        <w:left w:val="none" w:sz="0" w:space="0" w:color="auto"/>
        <w:bottom w:val="none" w:sz="0" w:space="0" w:color="auto"/>
        <w:right w:val="none" w:sz="0" w:space="0" w:color="auto"/>
      </w:divBdr>
    </w:div>
    <w:div w:id="1949118356">
      <w:bodyDiv w:val="1"/>
      <w:marLeft w:val="0"/>
      <w:marRight w:val="0"/>
      <w:marTop w:val="0"/>
      <w:marBottom w:val="0"/>
      <w:divBdr>
        <w:top w:val="none" w:sz="0" w:space="0" w:color="auto"/>
        <w:left w:val="none" w:sz="0" w:space="0" w:color="auto"/>
        <w:bottom w:val="none" w:sz="0" w:space="0" w:color="auto"/>
        <w:right w:val="none" w:sz="0" w:space="0" w:color="auto"/>
      </w:divBdr>
    </w:div>
    <w:div w:id="1949659054">
      <w:bodyDiv w:val="1"/>
      <w:marLeft w:val="0"/>
      <w:marRight w:val="0"/>
      <w:marTop w:val="0"/>
      <w:marBottom w:val="0"/>
      <w:divBdr>
        <w:top w:val="none" w:sz="0" w:space="0" w:color="auto"/>
        <w:left w:val="none" w:sz="0" w:space="0" w:color="auto"/>
        <w:bottom w:val="none" w:sz="0" w:space="0" w:color="auto"/>
        <w:right w:val="none" w:sz="0" w:space="0" w:color="auto"/>
      </w:divBdr>
    </w:div>
    <w:div w:id="1949965901">
      <w:bodyDiv w:val="1"/>
      <w:marLeft w:val="0"/>
      <w:marRight w:val="0"/>
      <w:marTop w:val="0"/>
      <w:marBottom w:val="0"/>
      <w:divBdr>
        <w:top w:val="none" w:sz="0" w:space="0" w:color="auto"/>
        <w:left w:val="none" w:sz="0" w:space="0" w:color="auto"/>
        <w:bottom w:val="none" w:sz="0" w:space="0" w:color="auto"/>
        <w:right w:val="none" w:sz="0" w:space="0" w:color="auto"/>
      </w:divBdr>
    </w:div>
    <w:div w:id="1950040452">
      <w:bodyDiv w:val="1"/>
      <w:marLeft w:val="0"/>
      <w:marRight w:val="0"/>
      <w:marTop w:val="0"/>
      <w:marBottom w:val="0"/>
      <w:divBdr>
        <w:top w:val="none" w:sz="0" w:space="0" w:color="auto"/>
        <w:left w:val="none" w:sz="0" w:space="0" w:color="auto"/>
        <w:bottom w:val="none" w:sz="0" w:space="0" w:color="auto"/>
        <w:right w:val="none" w:sz="0" w:space="0" w:color="auto"/>
      </w:divBdr>
    </w:div>
    <w:div w:id="1950162929">
      <w:bodyDiv w:val="1"/>
      <w:marLeft w:val="0"/>
      <w:marRight w:val="0"/>
      <w:marTop w:val="0"/>
      <w:marBottom w:val="0"/>
      <w:divBdr>
        <w:top w:val="none" w:sz="0" w:space="0" w:color="auto"/>
        <w:left w:val="none" w:sz="0" w:space="0" w:color="auto"/>
        <w:bottom w:val="none" w:sz="0" w:space="0" w:color="auto"/>
        <w:right w:val="none" w:sz="0" w:space="0" w:color="auto"/>
      </w:divBdr>
    </w:div>
    <w:div w:id="1950310222">
      <w:bodyDiv w:val="1"/>
      <w:marLeft w:val="0"/>
      <w:marRight w:val="0"/>
      <w:marTop w:val="0"/>
      <w:marBottom w:val="0"/>
      <w:divBdr>
        <w:top w:val="none" w:sz="0" w:space="0" w:color="auto"/>
        <w:left w:val="none" w:sz="0" w:space="0" w:color="auto"/>
        <w:bottom w:val="none" w:sz="0" w:space="0" w:color="auto"/>
        <w:right w:val="none" w:sz="0" w:space="0" w:color="auto"/>
      </w:divBdr>
    </w:div>
    <w:div w:id="1950507014">
      <w:bodyDiv w:val="1"/>
      <w:marLeft w:val="0"/>
      <w:marRight w:val="0"/>
      <w:marTop w:val="0"/>
      <w:marBottom w:val="0"/>
      <w:divBdr>
        <w:top w:val="none" w:sz="0" w:space="0" w:color="auto"/>
        <w:left w:val="none" w:sz="0" w:space="0" w:color="auto"/>
        <w:bottom w:val="none" w:sz="0" w:space="0" w:color="auto"/>
        <w:right w:val="none" w:sz="0" w:space="0" w:color="auto"/>
      </w:divBdr>
    </w:div>
    <w:div w:id="1950769628">
      <w:bodyDiv w:val="1"/>
      <w:marLeft w:val="0"/>
      <w:marRight w:val="0"/>
      <w:marTop w:val="0"/>
      <w:marBottom w:val="0"/>
      <w:divBdr>
        <w:top w:val="none" w:sz="0" w:space="0" w:color="auto"/>
        <w:left w:val="none" w:sz="0" w:space="0" w:color="auto"/>
        <w:bottom w:val="none" w:sz="0" w:space="0" w:color="auto"/>
        <w:right w:val="none" w:sz="0" w:space="0" w:color="auto"/>
      </w:divBdr>
    </w:div>
    <w:div w:id="1951280819">
      <w:bodyDiv w:val="1"/>
      <w:marLeft w:val="0"/>
      <w:marRight w:val="0"/>
      <w:marTop w:val="0"/>
      <w:marBottom w:val="0"/>
      <w:divBdr>
        <w:top w:val="none" w:sz="0" w:space="0" w:color="auto"/>
        <w:left w:val="none" w:sz="0" w:space="0" w:color="auto"/>
        <w:bottom w:val="none" w:sz="0" w:space="0" w:color="auto"/>
        <w:right w:val="none" w:sz="0" w:space="0" w:color="auto"/>
      </w:divBdr>
    </w:div>
    <w:div w:id="1951622033">
      <w:bodyDiv w:val="1"/>
      <w:marLeft w:val="0"/>
      <w:marRight w:val="0"/>
      <w:marTop w:val="0"/>
      <w:marBottom w:val="0"/>
      <w:divBdr>
        <w:top w:val="none" w:sz="0" w:space="0" w:color="auto"/>
        <w:left w:val="none" w:sz="0" w:space="0" w:color="auto"/>
        <w:bottom w:val="none" w:sz="0" w:space="0" w:color="auto"/>
        <w:right w:val="none" w:sz="0" w:space="0" w:color="auto"/>
      </w:divBdr>
    </w:div>
    <w:div w:id="1952122781">
      <w:bodyDiv w:val="1"/>
      <w:marLeft w:val="0"/>
      <w:marRight w:val="0"/>
      <w:marTop w:val="0"/>
      <w:marBottom w:val="0"/>
      <w:divBdr>
        <w:top w:val="none" w:sz="0" w:space="0" w:color="auto"/>
        <w:left w:val="none" w:sz="0" w:space="0" w:color="auto"/>
        <w:bottom w:val="none" w:sz="0" w:space="0" w:color="auto"/>
        <w:right w:val="none" w:sz="0" w:space="0" w:color="auto"/>
      </w:divBdr>
    </w:div>
    <w:div w:id="1952735031">
      <w:bodyDiv w:val="1"/>
      <w:marLeft w:val="0"/>
      <w:marRight w:val="0"/>
      <w:marTop w:val="0"/>
      <w:marBottom w:val="0"/>
      <w:divBdr>
        <w:top w:val="none" w:sz="0" w:space="0" w:color="auto"/>
        <w:left w:val="none" w:sz="0" w:space="0" w:color="auto"/>
        <w:bottom w:val="none" w:sz="0" w:space="0" w:color="auto"/>
        <w:right w:val="none" w:sz="0" w:space="0" w:color="auto"/>
      </w:divBdr>
    </w:div>
    <w:div w:id="1952855665">
      <w:bodyDiv w:val="1"/>
      <w:marLeft w:val="0"/>
      <w:marRight w:val="0"/>
      <w:marTop w:val="0"/>
      <w:marBottom w:val="0"/>
      <w:divBdr>
        <w:top w:val="none" w:sz="0" w:space="0" w:color="auto"/>
        <w:left w:val="none" w:sz="0" w:space="0" w:color="auto"/>
        <w:bottom w:val="none" w:sz="0" w:space="0" w:color="auto"/>
        <w:right w:val="none" w:sz="0" w:space="0" w:color="auto"/>
      </w:divBdr>
    </w:div>
    <w:div w:id="1953125914">
      <w:bodyDiv w:val="1"/>
      <w:marLeft w:val="0"/>
      <w:marRight w:val="0"/>
      <w:marTop w:val="0"/>
      <w:marBottom w:val="0"/>
      <w:divBdr>
        <w:top w:val="none" w:sz="0" w:space="0" w:color="auto"/>
        <w:left w:val="none" w:sz="0" w:space="0" w:color="auto"/>
        <w:bottom w:val="none" w:sz="0" w:space="0" w:color="auto"/>
        <w:right w:val="none" w:sz="0" w:space="0" w:color="auto"/>
      </w:divBdr>
    </w:div>
    <w:div w:id="1953589676">
      <w:bodyDiv w:val="1"/>
      <w:marLeft w:val="0"/>
      <w:marRight w:val="0"/>
      <w:marTop w:val="0"/>
      <w:marBottom w:val="0"/>
      <w:divBdr>
        <w:top w:val="none" w:sz="0" w:space="0" w:color="auto"/>
        <w:left w:val="none" w:sz="0" w:space="0" w:color="auto"/>
        <w:bottom w:val="none" w:sz="0" w:space="0" w:color="auto"/>
        <w:right w:val="none" w:sz="0" w:space="0" w:color="auto"/>
      </w:divBdr>
    </w:div>
    <w:div w:id="1953702890">
      <w:bodyDiv w:val="1"/>
      <w:marLeft w:val="0"/>
      <w:marRight w:val="0"/>
      <w:marTop w:val="0"/>
      <w:marBottom w:val="0"/>
      <w:divBdr>
        <w:top w:val="none" w:sz="0" w:space="0" w:color="auto"/>
        <w:left w:val="none" w:sz="0" w:space="0" w:color="auto"/>
        <w:bottom w:val="none" w:sz="0" w:space="0" w:color="auto"/>
        <w:right w:val="none" w:sz="0" w:space="0" w:color="auto"/>
      </w:divBdr>
    </w:div>
    <w:div w:id="1953971327">
      <w:bodyDiv w:val="1"/>
      <w:marLeft w:val="0"/>
      <w:marRight w:val="0"/>
      <w:marTop w:val="0"/>
      <w:marBottom w:val="0"/>
      <w:divBdr>
        <w:top w:val="none" w:sz="0" w:space="0" w:color="auto"/>
        <w:left w:val="none" w:sz="0" w:space="0" w:color="auto"/>
        <w:bottom w:val="none" w:sz="0" w:space="0" w:color="auto"/>
        <w:right w:val="none" w:sz="0" w:space="0" w:color="auto"/>
      </w:divBdr>
    </w:div>
    <w:div w:id="1953976221">
      <w:bodyDiv w:val="1"/>
      <w:marLeft w:val="0"/>
      <w:marRight w:val="0"/>
      <w:marTop w:val="0"/>
      <w:marBottom w:val="0"/>
      <w:divBdr>
        <w:top w:val="none" w:sz="0" w:space="0" w:color="auto"/>
        <w:left w:val="none" w:sz="0" w:space="0" w:color="auto"/>
        <w:bottom w:val="none" w:sz="0" w:space="0" w:color="auto"/>
        <w:right w:val="none" w:sz="0" w:space="0" w:color="auto"/>
      </w:divBdr>
    </w:div>
    <w:div w:id="1953978349">
      <w:bodyDiv w:val="1"/>
      <w:marLeft w:val="0"/>
      <w:marRight w:val="0"/>
      <w:marTop w:val="0"/>
      <w:marBottom w:val="0"/>
      <w:divBdr>
        <w:top w:val="none" w:sz="0" w:space="0" w:color="auto"/>
        <w:left w:val="none" w:sz="0" w:space="0" w:color="auto"/>
        <w:bottom w:val="none" w:sz="0" w:space="0" w:color="auto"/>
        <w:right w:val="none" w:sz="0" w:space="0" w:color="auto"/>
      </w:divBdr>
    </w:div>
    <w:div w:id="1954092230">
      <w:bodyDiv w:val="1"/>
      <w:marLeft w:val="0"/>
      <w:marRight w:val="0"/>
      <w:marTop w:val="0"/>
      <w:marBottom w:val="0"/>
      <w:divBdr>
        <w:top w:val="none" w:sz="0" w:space="0" w:color="auto"/>
        <w:left w:val="none" w:sz="0" w:space="0" w:color="auto"/>
        <w:bottom w:val="none" w:sz="0" w:space="0" w:color="auto"/>
        <w:right w:val="none" w:sz="0" w:space="0" w:color="auto"/>
      </w:divBdr>
    </w:div>
    <w:div w:id="1954438122">
      <w:bodyDiv w:val="1"/>
      <w:marLeft w:val="0"/>
      <w:marRight w:val="0"/>
      <w:marTop w:val="0"/>
      <w:marBottom w:val="0"/>
      <w:divBdr>
        <w:top w:val="none" w:sz="0" w:space="0" w:color="auto"/>
        <w:left w:val="none" w:sz="0" w:space="0" w:color="auto"/>
        <w:bottom w:val="none" w:sz="0" w:space="0" w:color="auto"/>
        <w:right w:val="none" w:sz="0" w:space="0" w:color="auto"/>
      </w:divBdr>
    </w:div>
    <w:div w:id="1954481572">
      <w:bodyDiv w:val="1"/>
      <w:marLeft w:val="0"/>
      <w:marRight w:val="0"/>
      <w:marTop w:val="0"/>
      <w:marBottom w:val="0"/>
      <w:divBdr>
        <w:top w:val="none" w:sz="0" w:space="0" w:color="auto"/>
        <w:left w:val="none" w:sz="0" w:space="0" w:color="auto"/>
        <w:bottom w:val="none" w:sz="0" w:space="0" w:color="auto"/>
        <w:right w:val="none" w:sz="0" w:space="0" w:color="auto"/>
      </w:divBdr>
    </w:div>
    <w:div w:id="1955087895">
      <w:bodyDiv w:val="1"/>
      <w:marLeft w:val="0"/>
      <w:marRight w:val="0"/>
      <w:marTop w:val="0"/>
      <w:marBottom w:val="0"/>
      <w:divBdr>
        <w:top w:val="none" w:sz="0" w:space="0" w:color="auto"/>
        <w:left w:val="none" w:sz="0" w:space="0" w:color="auto"/>
        <w:bottom w:val="none" w:sz="0" w:space="0" w:color="auto"/>
        <w:right w:val="none" w:sz="0" w:space="0" w:color="auto"/>
      </w:divBdr>
    </w:div>
    <w:div w:id="1955402194">
      <w:bodyDiv w:val="1"/>
      <w:marLeft w:val="0"/>
      <w:marRight w:val="0"/>
      <w:marTop w:val="0"/>
      <w:marBottom w:val="0"/>
      <w:divBdr>
        <w:top w:val="none" w:sz="0" w:space="0" w:color="auto"/>
        <w:left w:val="none" w:sz="0" w:space="0" w:color="auto"/>
        <w:bottom w:val="none" w:sz="0" w:space="0" w:color="auto"/>
        <w:right w:val="none" w:sz="0" w:space="0" w:color="auto"/>
      </w:divBdr>
    </w:div>
    <w:div w:id="1955793124">
      <w:bodyDiv w:val="1"/>
      <w:marLeft w:val="0"/>
      <w:marRight w:val="0"/>
      <w:marTop w:val="0"/>
      <w:marBottom w:val="0"/>
      <w:divBdr>
        <w:top w:val="none" w:sz="0" w:space="0" w:color="auto"/>
        <w:left w:val="none" w:sz="0" w:space="0" w:color="auto"/>
        <w:bottom w:val="none" w:sz="0" w:space="0" w:color="auto"/>
        <w:right w:val="none" w:sz="0" w:space="0" w:color="auto"/>
      </w:divBdr>
    </w:div>
    <w:div w:id="1956011154">
      <w:bodyDiv w:val="1"/>
      <w:marLeft w:val="0"/>
      <w:marRight w:val="0"/>
      <w:marTop w:val="0"/>
      <w:marBottom w:val="0"/>
      <w:divBdr>
        <w:top w:val="none" w:sz="0" w:space="0" w:color="auto"/>
        <w:left w:val="none" w:sz="0" w:space="0" w:color="auto"/>
        <w:bottom w:val="none" w:sz="0" w:space="0" w:color="auto"/>
        <w:right w:val="none" w:sz="0" w:space="0" w:color="auto"/>
      </w:divBdr>
    </w:div>
    <w:div w:id="1956400756">
      <w:bodyDiv w:val="1"/>
      <w:marLeft w:val="0"/>
      <w:marRight w:val="0"/>
      <w:marTop w:val="0"/>
      <w:marBottom w:val="0"/>
      <w:divBdr>
        <w:top w:val="none" w:sz="0" w:space="0" w:color="auto"/>
        <w:left w:val="none" w:sz="0" w:space="0" w:color="auto"/>
        <w:bottom w:val="none" w:sz="0" w:space="0" w:color="auto"/>
        <w:right w:val="none" w:sz="0" w:space="0" w:color="auto"/>
      </w:divBdr>
    </w:div>
    <w:div w:id="1956522820">
      <w:bodyDiv w:val="1"/>
      <w:marLeft w:val="0"/>
      <w:marRight w:val="0"/>
      <w:marTop w:val="0"/>
      <w:marBottom w:val="0"/>
      <w:divBdr>
        <w:top w:val="none" w:sz="0" w:space="0" w:color="auto"/>
        <w:left w:val="none" w:sz="0" w:space="0" w:color="auto"/>
        <w:bottom w:val="none" w:sz="0" w:space="0" w:color="auto"/>
        <w:right w:val="none" w:sz="0" w:space="0" w:color="auto"/>
      </w:divBdr>
    </w:div>
    <w:div w:id="1956673009">
      <w:bodyDiv w:val="1"/>
      <w:marLeft w:val="0"/>
      <w:marRight w:val="0"/>
      <w:marTop w:val="0"/>
      <w:marBottom w:val="0"/>
      <w:divBdr>
        <w:top w:val="none" w:sz="0" w:space="0" w:color="auto"/>
        <w:left w:val="none" w:sz="0" w:space="0" w:color="auto"/>
        <w:bottom w:val="none" w:sz="0" w:space="0" w:color="auto"/>
        <w:right w:val="none" w:sz="0" w:space="0" w:color="auto"/>
      </w:divBdr>
    </w:div>
    <w:div w:id="1956911144">
      <w:bodyDiv w:val="1"/>
      <w:marLeft w:val="0"/>
      <w:marRight w:val="0"/>
      <w:marTop w:val="0"/>
      <w:marBottom w:val="0"/>
      <w:divBdr>
        <w:top w:val="none" w:sz="0" w:space="0" w:color="auto"/>
        <w:left w:val="none" w:sz="0" w:space="0" w:color="auto"/>
        <w:bottom w:val="none" w:sz="0" w:space="0" w:color="auto"/>
        <w:right w:val="none" w:sz="0" w:space="0" w:color="auto"/>
      </w:divBdr>
    </w:div>
    <w:div w:id="1957325511">
      <w:bodyDiv w:val="1"/>
      <w:marLeft w:val="0"/>
      <w:marRight w:val="0"/>
      <w:marTop w:val="0"/>
      <w:marBottom w:val="0"/>
      <w:divBdr>
        <w:top w:val="none" w:sz="0" w:space="0" w:color="auto"/>
        <w:left w:val="none" w:sz="0" w:space="0" w:color="auto"/>
        <w:bottom w:val="none" w:sz="0" w:space="0" w:color="auto"/>
        <w:right w:val="none" w:sz="0" w:space="0" w:color="auto"/>
      </w:divBdr>
    </w:div>
    <w:div w:id="1957637017">
      <w:bodyDiv w:val="1"/>
      <w:marLeft w:val="0"/>
      <w:marRight w:val="0"/>
      <w:marTop w:val="0"/>
      <w:marBottom w:val="0"/>
      <w:divBdr>
        <w:top w:val="none" w:sz="0" w:space="0" w:color="auto"/>
        <w:left w:val="none" w:sz="0" w:space="0" w:color="auto"/>
        <w:bottom w:val="none" w:sz="0" w:space="0" w:color="auto"/>
        <w:right w:val="none" w:sz="0" w:space="0" w:color="auto"/>
      </w:divBdr>
    </w:div>
    <w:div w:id="1957717032">
      <w:bodyDiv w:val="1"/>
      <w:marLeft w:val="0"/>
      <w:marRight w:val="0"/>
      <w:marTop w:val="0"/>
      <w:marBottom w:val="0"/>
      <w:divBdr>
        <w:top w:val="none" w:sz="0" w:space="0" w:color="auto"/>
        <w:left w:val="none" w:sz="0" w:space="0" w:color="auto"/>
        <w:bottom w:val="none" w:sz="0" w:space="0" w:color="auto"/>
        <w:right w:val="none" w:sz="0" w:space="0" w:color="auto"/>
      </w:divBdr>
    </w:div>
    <w:div w:id="1958296719">
      <w:bodyDiv w:val="1"/>
      <w:marLeft w:val="0"/>
      <w:marRight w:val="0"/>
      <w:marTop w:val="0"/>
      <w:marBottom w:val="0"/>
      <w:divBdr>
        <w:top w:val="none" w:sz="0" w:space="0" w:color="auto"/>
        <w:left w:val="none" w:sz="0" w:space="0" w:color="auto"/>
        <w:bottom w:val="none" w:sz="0" w:space="0" w:color="auto"/>
        <w:right w:val="none" w:sz="0" w:space="0" w:color="auto"/>
      </w:divBdr>
    </w:div>
    <w:div w:id="1958441764">
      <w:bodyDiv w:val="1"/>
      <w:marLeft w:val="0"/>
      <w:marRight w:val="0"/>
      <w:marTop w:val="0"/>
      <w:marBottom w:val="0"/>
      <w:divBdr>
        <w:top w:val="none" w:sz="0" w:space="0" w:color="auto"/>
        <w:left w:val="none" w:sz="0" w:space="0" w:color="auto"/>
        <w:bottom w:val="none" w:sz="0" w:space="0" w:color="auto"/>
        <w:right w:val="none" w:sz="0" w:space="0" w:color="auto"/>
      </w:divBdr>
    </w:div>
    <w:div w:id="1958872447">
      <w:bodyDiv w:val="1"/>
      <w:marLeft w:val="0"/>
      <w:marRight w:val="0"/>
      <w:marTop w:val="0"/>
      <w:marBottom w:val="0"/>
      <w:divBdr>
        <w:top w:val="none" w:sz="0" w:space="0" w:color="auto"/>
        <w:left w:val="none" w:sz="0" w:space="0" w:color="auto"/>
        <w:bottom w:val="none" w:sz="0" w:space="0" w:color="auto"/>
        <w:right w:val="none" w:sz="0" w:space="0" w:color="auto"/>
      </w:divBdr>
    </w:div>
    <w:div w:id="1958875575">
      <w:bodyDiv w:val="1"/>
      <w:marLeft w:val="0"/>
      <w:marRight w:val="0"/>
      <w:marTop w:val="0"/>
      <w:marBottom w:val="0"/>
      <w:divBdr>
        <w:top w:val="none" w:sz="0" w:space="0" w:color="auto"/>
        <w:left w:val="none" w:sz="0" w:space="0" w:color="auto"/>
        <w:bottom w:val="none" w:sz="0" w:space="0" w:color="auto"/>
        <w:right w:val="none" w:sz="0" w:space="0" w:color="auto"/>
      </w:divBdr>
    </w:div>
    <w:div w:id="1959023768">
      <w:bodyDiv w:val="1"/>
      <w:marLeft w:val="0"/>
      <w:marRight w:val="0"/>
      <w:marTop w:val="0"/>
      <w:marBottom w:val="0"/>
      <w:divBdr>
        <w:top w:val="none" w:sz="0" w:space="0" w:color="auto"/>
        <w:left w:val="none" w:sz="0" w:space="0" w:color="auto"/>
        <w:bottom w:val="none" w:sz="0" w:space="0" w:color="auto"/>
        <w:right w:val="none" w:sz="0" w:space="0" w:color="auto"/>
      </w:divBdr>
    </w:div>
    <w:div w:id="1959140221">
      <w:bodyDiv w:val="1"/>
      <w:marLeft w:val="0"/>
      <w:marRight w:val="0"/>
      <w:marTop w:val="0"/>
      <w:marBottom w:val="0"/>
      <w:divBdr>
        <w:top w:val="none" w:sz="0" w:space="0" w:color="auto"/>
        <w:left w:val="none" w:sz="0" w:space="0" w:color="auto"/>
        <w:bottom w:val="none" w:sz="0" w:space="0" w:color="auto"/>
        <w:right w:val="none" w:sz="0" w:space="0" w:color="auto"/>
      </w:divBdr>
    </w:div>
    <w:div w:id="1959142117">
      <w:bodyDiv w:val="1"/>
      <w:marLeft w:val="0"/>
      <w:marRight w:val="0"/>
      <w:marTop w:val="0"/>
      <w:marBottom w:val="0"/>
      <w:divBdr>
        <w:top w:val="none" w:sz="0" w:space="0" w:color="auto"/>
        <w:left w:val="none" w:sz="0" w:space="0" w:color="auto"/>
        <w:bottom w:val="none" w:sz="0" w:space="0" w:color="auto"/>
        <w:right w:val="none" w:sz="0" w:space="0" w:color="auto"/>
      </w:divBdr>
    </w:div>
    <w:div w:id="1959800367">
      <w:bodyDiv w:val="1"/>
      <w:marLeft w:val="0"/>
      <w:marRight w:val="0"/>
      <w:marTop w:val="0"/>
      <w:marBottom w:val="0"/>
      <w:divBdr>
        <w:top w:val="none" w:sz="0" w:space="0" w:color="auto"/>
        <w:left w:val="none" w:sz="0" w:space="0" w:color="auto"/>
        <w:bottom w:val="none" w:sz="0" w:space="0" w:color="auto"/>
        <w:right w:val="none" w:sz="0" w:space="0" w:color="auto"/>
      </w:divBdr>
    </w:div>
    <w:div w:id="1960449946">
      <w:bodyDiv w:val="1"/>
      <w:marLeft w:val="0"/>
      <w:marRight w:val="0"/>
      <w:marTop w:val="0"/>
      <w:marBottom w:val="0"/>
      <w:divBdr>
        <w:top w:val="none" w:sz="0" w:space="0" w:color="auto"/>
        <w:left w:val="none" w:sz="0" w:space="0" w:color="auto"/>
        <w:bottom w:val="none" w:sz="0" w:space="0" w:color="auto"/>
        <w:right w:val="none" w:sz="0" w:space="0" w:color="auto"/>
      </w:divBdr>
    </w:div>
    <w:div w:id="1960532070">
      <w:bodyDiv w:val="1"/>
      <w:marLeft w:val="0"/>
      <w:marRight w:val="0"/>
      <w:marTop w:val="0"/>
      <w:marBottom w:val="0"/>
      <w:divBdr>
        <w:top w:val="none" w:sz="0" w:space="0" w:color="auto"/>
        <w:left w:val="none" w:sz="0" w:space="0" w:color="auto"/>
        <w:bottom w:val="none" w:sz="0" w:space="0" w:color="auto"/>
        <w:right w:val="none" w:sz="0" w:space="0" w:color="auto"/>
      </w:divBdr>
    </w:div>
    <w:div w:id="1960598914">
      <w:bodyDiv w:val="1"/>
      <w:marLeft w:val="0"/>
      <w:marRight w:val="0"/>
      <w:marTop w:val="0"/>
      <w:marBottom w:val="0"/>
      <w:divBdr>
        <w:top w:val="none" w:sz="0" w:space="0" w:color="auto"/>
        <w:left w:val="none" w:sz="0" w:space="0" w:color="auto"/>
        <w:bottom w:val="none" w:sz="0" w:space="0" w:color="auto"/>
        <w:right w:val="none" w:sz="0" w:space="0" w:color="auto"/>
      </w:divBdr>
    </w:div>
    <w:div w:id="1961372487">
      <w:bodyDiv w:val="1"/>
      <w:marLeft w:val="0"/>
      <w:marRight w:val="0"/>
      <w:marTop w:val="0"/>
      <w:marBottom w:val="0"/>
      <w:divBdr>
        <w:top w:val="none" w:sz="0" w:space="0" w:color="auto"/>
        <w:left w:val="none" w:sz="0" w:space="0" w:color="auto"/>
        <w:bottom w:val="none" w:sz="0" w:space="0" w:color="auto"/>
        <w:right w:val="none" w:sz="0" w:space="0" w:color="auto"/>
      </w:divBdr>
    </w:div>
    <w:div w:id="1961525228">
      <w:bodyDiv w:val="1"/>
      <w:marLeft w:val="0"/>
      <w:marRight w:val="0"/>
      <w:marTop w:val="0"/>
      <w:marBottom w:val="0"/>
      <w:divBdr>
        <w:top w:val="none" w:sz="0" w:space="0" w:color="auto"/>
        <w:left w:val="none" w:sz="0" w:space="0" w:color="auto"/>
        <w:bottom w:val="none" w:sz="0" w:space="0" w:color="auto"/>
        <w:right w:val="none" w:sz="0" w:space="0" w:color="auto"/>
      </w:divBdr>
    </w:div>
    <w:div w:id="1963222070">
      <w:bodyDiv w:val="1"/>
      <w:marLeft w:val="0"/>
      <w:marRight w:val="0"/>
      <w:marTop w:val="0"/>
      <w:marBottom w:val="0"/>
      <w:divBdr>
        <w:top w:val="none" w:sz="0" w:space="0" w:color="auto"/>
        <w:left w:val="none" w:sz="0" w:space="0" w:color="auto"/>
        <w:bottom w:val="none" w:sz="0" w:space="0" w:color="auto"/>
        <w:right w:val="none" w:sz="0" w:space="0" w:color="auto"/>
      </w:divBdr>
    </w:div>
    <w:div w:id="1964456870">
      <w:bodyDiv w:val="1"/>
      <w:marLeft w:val="0"/>
      <w:marRight w:val="0"/>
      <w:marTop w:val="0"/>
      <w:marBottom w:val="0"/>
      <w:divBdr>
        <w:top w:val="none" w:sz="0" w:space="0" w:color="auto"/>
        <w:left w:val="none" w:sz="0" w:space="0" w:color="auto"/>
        <w:bottom w:val="none" w:sz="0" w:space="0" w:color="auto"/>
        <w:right w:val="none" w:sz="0" w:space="0" w:color="auto"/>
      </w:divBdr>
    </w:div>
    <w:div w:id="1964850517">
      <w:bodyDiv w:val="1"/>
      <w:marLeft w:val="0"/>
      <w:marRight w:val="0"/>
      <w:marTop w:val="0"/>
      <w:marBottom w:val="0"/>
      <w:divBdr>
        <w:top w:val="none" w:sz="0" w:space="0" w:color="auto"/>
        <w:left w:val="none" w:sz="0" w:space="0" w:color="auto"/>
        <w:bottom w:val="none" w:sz="0" w:space="0" w:color="auto"/>
        <w:right w:val="none" w:sz="0" w:space="0" w:color="auto"/>
      </w:divBdr>
    </w:div>
    <w:div w:id="1965379330">
      <w:bodyDiv w:val="1"/>
      <w:marLeft w:val="0"/>
      <w:marRight w:val="0"/>
      <w:marTop w:val="0"/>
      <w:marBottom w:val="0"/>
      <w:divBdr>
        <w:top w:val="none" w:sz="0" w:space="0" w:color="auto"/>
        <w:left w:val="none" w:sz="0" w:space="0" w:color="auto"/>
        <w:bottom w:val="none" w:sz="0" w:space="0" w:color="auto"/>
        <w:right w:val="none" w:sz="0" w:space="0" w:color="auto"/>
      </w:divBdr>
    </w:div>
    <w:div w:id="1965426881">
      <w:bodyDiv w:val="1"/>
      <w:marLeft w:val="0"/>
      <w:marRight w:val="0"/>
      <w:marTop w:val="0"/>
      <w:marBottom w:val="0"/>
      <w:divBdr>
        <w:top w:val="none" w:sz="0" w:space="0" w:color="auto"/>
        <w:left w:val="none" w:sz="0" w:space="0" w:color="auto"/>
        <w:bottom w:val="none" w:sz="0" w:space="0" w:color="auto"/>
        <w:right w:val="none" w:sz="0" w:space="0" w:color="auto"/>
      </w:divBdr>
    </w:div>
    <w:div w:id="1965574104">
      <w:bodyDiv w:val="1"/>
      <w:marLeft w:val="0"/>
      <w:marRight w:val="0"/>
      <w:marTop w:val="0"/>
      <w:marBottom w:val="0"/>
      <w:divBdr>
        <w:top w:val="none" w:sz="0" w:space="0" w:color="auto"/>
        <w:left w:val="none" w:sz="0" w:space="0" w:color="auto"/>
        <w:bottom w:val="none" w:sz="0" w:space="0" w:color="auto"/>
        <w:right w:val="none" w:sz="0" w:space="0" w:color="auto"/>
      </w:divBdr>
    </w:div>
    <w:div w:id="1965646943">
      <w:bodyDiv w:val="1"/>
      <w:marLeft w:val="0"/>
      <w:marRight w:val="0"/>
      <w:marTop w:val="0"/>
      <w:marBottom w:val="0"/>
      <w:divBdr>
        <w:top w:val="none" w:sz="0" w:space="0" w:color="auto"/>
        <w:left w:val="none" w:sz="0" w:space="0" w:color="auto"/>
        <w:bottom w:val="none" w:sz="0" w:space="0" w:color="auto"/>
        <w:right w:val="none" w:sz="0" w:space="0" w:color="auto"/>
      </w:divBdr>
    </w:div>
    <w:div w:id="1965840346">
      <w:bodyDiv w:val="1"/>
      <w:marLeft w:val="0"/>
      <w:marRight w:val="0"/>
      <w:marTop w:val="0"/>
      <w:marBottom w:val="0"/>
      <w:divBdr>
        <w:top w:val="none" w:sz="0" w:space="0" w:color="auto"/>
        <w:left w:val="none" w:sz="0" w:space="0" w:color="auto"/>
        <w:bottom w:val="none" w:sz="0" w:space="0" w:color="auto"/>
        <w:right w:val="none" w:sz="0" w:space="0" w:color="auto"/>
      </w:divBdr>
    </w:div>
    <w:div w:id="1966231985">
      <w:bodyDiv w:val="1"/>
      <w:marLeft w:val="0"/>
      <w:marRight w:val="0"/>
      <w:marTop w:val="0"/>
      <w:marBottom w:val="0"/>
      <w:divBdr>
        <w:top w:val="none" w:sz="0" w:space="0" w:color="auto"/>
        <w:left w:val="none" w:sz="0" w:space="0" w:color="auto"/>
        <w:bottom w:val="none" w:sz="0" w:space="0" w:color="auto"/>
        <w:right w:val="none" w:sz="0" w:space="0" w:color="auto"/>
      </w:divBdr>
    </w:div>
    <w:div w:id="1966500063">
      <w:bodyDiv w:val="1"/>
      <w:marLeft w:val="0"/>
      <w:marRight w:val="0"/>
      <w:marTop w:val="0"/>
      <w:marBottom w:val="0"/>
      <w:divBdr>
        <w:top w:val="none" w:sz="0" w:space="0" w:color="auto"/>
        <w:left w:val="none" w:sz="0" w:space="0" w:color="auto"/>
        <w:bottom w:val="none" w:sz="0" w:space="0" w:color="auto"/>
        <w:right w:val="none" w:sz="0" w:space="0" w:color="auto"/>
      </w:divBdr>
    </w:div>
    <w:div w:id="1966697641">
      <w:bodyDiv w:val="1"/>
      <w:marLeft w:val="0"/>
      <w:marRight w:val="0"/>
      <w:marTop w:val="0"/>
      <w:marBottom w:val="0"/>
      <w:divBdr>
        <w:top w:val="none" w:sz="0" w:space="0" w:color="auto"/>
        <w:left w:val="none" w:sz="0" w:space="0" w:color="auto"/>
        <w:bottom w:val="none" w:sz="0" w:space="0" w:color="auto"/>
        <w:right w:val="none" w:sz="0" w:space="0" w:color="auto"/>
      </w:divBdr>
    </w:div>
    <w:div w:id="1967000939">
      <w:bodyDiv w:val="1"/>
      <w:marLeft w:val="0"/>
      <w:marRight w:val="0"/>
      <w:marTop w:val="0"/>
      <w:marBottom w:val="0"/>
      <w:divBdr>
        <w:top w:val="none" w:sz="0" w:space="0" w:color="auto"/>
        <w:left w:val="none" w:sz="0" w:space="0" w:color="auto"/>
        <w:bottom w:val="none" w:sz="0" w:space="0" w:color="auto"/>
        <w:right w:val="none" w:sz="0" w:space="0" w:color="auto"/>
      </w:divBdr>
    </w:div>
    <w:div w:id="1968463184">
      <w:bodyDiv w:val="1"/>
      <w:marLeft w:val="0"/>
      <w:marRight w:val="0"/>
      <w:marTop w:val="0"/>
      <w:marBottom w:val="0"/>
      <w:divBdr>
        <w:top w:val="none" w:sz="0" w:space="0" w:color="auto"/>
        <w:left w:val="none" w:sz="0" w:space="0" w:color="auto"/>
        <w:bottom w:val="none" w:sz="0" w:space="0" w:color="auto"/>
        <w:right w:val="none" w:sz="0" w:space="0" w:color="auto"/>
      </w:divBdr>
    </w:div>
    <w:div w:id="1968465294">
      <w:bodyDiv w:val="1"/>
      <w:marLeft w:val="0"/>
      <w:marRight w:val="0"/>
      <w:marTop w:val="0"/>
      <w:marBottom w:val="0"/>
      <w:divBdr>
        <w:top w:val="none" w:sz="0" w:space="0" w:color="auto"/>
        <w:left w:val="none" w:sz="0" w:space="0" w:color="auto"/>
        <w:bottom w:val="none" w:sz="0" w:space="0" w:color="auto"/>
        <w:right w:val="none" w:sz="0" w:space="0" w:color="auto"/>
      </w:divBdr>
    </w:div>
    <w:div w:id="1968584183">
      <w:bodyDiv w:val="1"/>
      <w:marLeft w:val="0"/>
      <w:marRight w:val="0"/>
      <w:marTop w:val="0"/>
      <w:marBottom w:val="0"/>
      <w:divBdr>
        <w:top w:val="none" w:sz="0" w:space="0" w:color="auto"/>
        <w:left w:val="none" w:sz="0" w:space="0" w:color="auto"/>
        <w:bottom w:val="none" w:sz="0" w:space="0" w:color="auto"/>
        <w:right w:val="none" w:sz="0" w:space="0" w:color="auto"/>
      </w:divBdr>
    </w:div>
    <w:div w:id="1968733350">
      <w:bodyDiv w:val="1"/>
      <w:marLeft w:val="0"/>
      <w:marRight w:val="0"/>
      <w:marTop w:val="0"/>
      <w:marBottom w:val="0"/>
      <w:divBdr>
        <w:top w:val="none" w:sz="0" w:space="0" w:color="auto"/>
        <w:left w:val="none" w:sz="0" w:space="0" w:color="auto"/>
        <w:bottom w:val="none" w:sz="0" w:space="0" w:color="auto"/>
        <w:right w:val="none" w:sz="0" w:space="0" w:color="auto"/>
      </w:divBdr>
    </w:div>
    <w:div w:id="1968778562">
      <w:bodyDiv w:val="1"/>
      <w:marLeft w:val="0"/>
      <w:marRight w:val="0"/>
      <w:marTop w:val="0"/>
      <w:marBottom w:val="0"/>
      <w:divBdr>
        <w:top w:val="none" w:sz="0" w:space="0" w:color="auto"/>
        <w:left w:val="none" w:sz="0" w:space="0" w:color="auto"/>
        <w:bottom w:val="none" w:sz="0" w:space="0" w:color="auto"/>
        <w:right w:val="none" w:sz="0" w:space="0" w:color="auto"/>
      </w:divBdr>
    </w:div>
    <w:div w:id="1969122745">
      <w:bodyDiv w:val="1"/>
      <w:marLeft w:val="0"/>
      <w:marRight w:val="0"/>
      <w:marTop w:val="0"/>
      <w:marBottom w:val="0"/>
      <w:divBdr>
        <w:top w:val="none" w:sz="0" w:space="0" w:color="auto"/>
        <w:left w:val="none" w:sz="0" w:space="0" w:color="auto"/>
        <w:bottom w:val="none" w:sz="0" w:space="0" w:color="auto"/>
        <w:right w:val="none" w:sz="0" w:space="0" w:color="auto"/>
      </w:divBdr>
    </w:div>
    <w:div w:id="1969318535">
      <w:bodyDiv w:val="1"/>
      <w:marLeft w:val="0"/>
      <w:marRight w:val="0"/>
      <w:marTop w:val="0"/>
      <w:marBottom w:val="0"/>
      <w:divBdr>
        <w:top w:val="none" w:sz="0" w:space="0" w:color="auto"/>
        <w:left w:val="none" w:sz="0" w:space="0" w:color="auto"/>
        <w:bottom w:val="none" w:sz="0" w:space="0" w:color="auto"/>
        <w:right w:val="none" w:sz="0" w:space="0" w:color="auto"/>
      </w:divBdr>
    </w:div>
    <w:div w:id="1969582134">
      <w:bodyDiv w:val="1"/>
      <w:marLeft w:val="0"/>
      <w:marRight w:val="0"/>
      <w:marTop w:val="0"/>
      <w:marBottom w:val="0"/>
      <w:divBdr>
        <w:top w:val="none" w:sz="0" w:space="0" w:color="auto"/>
        <w:left w:val="none" w:sz="0" w:space="0" w:color="auto"/>
        <w:bottom w:val="none" w:sz="0" w:space="0" w:color="auto"/>
        <w:right w:val="none" w:sz="0" w:space="0" w:color="auto"/>
      </w:divBdr>
    </w:div>
    <w:div w:id="1969585517">
      <w:bodyDiv w:val="1"/>
      <w:marLeft w:val="0"/>
      <w:marRight w:val="0"/>
      <w:marTop w:val="0"/>
      <w:marBottom w:val="0"/>
      <w:divBdr>
        <w:top w:val="none" w:sz="0" w:space="0" w:color="auto"/>
        <w:left w:val="none" w:sz="0" w:space="0" w:color="auto"/>
        <w:bottom w:val="none" w:sz="0" w:space="0" w:color="auto"/>
        <w:right w:val="none" w:sz="0" w:space="0" w:color="auto"/>
      </w:divBdr>
    </w:div>
    <w:div w:id="1969697219">
      <w:bodyDiv w:val="1"/>
      <w:marLeft w:val="0"/>
      <w:marRight w:val="0"/>
      <w:marTop w:val="0"/>
      <w:marBottom w:val="0"/>
      <w:divBdr>
        <w:top w:val="none" w:sz="0" w:space="0" w:color="auto"/>
        <w:left w:val="none" w:sz="0" w:space="0" w:color="auto"/>
        <w:bottom w:val="none" w:sz="0" w:space="0" w:color="auto"/>
        <w:right w:val="none" w:sz="0" w:space="0" w:color="auto"/>
      </w:divBdr>
    </w:div>
    <w:div w:id="1969704020">
      <w:bodyDiv w:val="1"/>
      <w:marLeft w:val="0"/>
      <w:marRight w:val="0"/>
      <w:marTop w:val="0"/>
      <w:marBottom w:val="0"/>
      <w:divBdr>
        <w:top w:val="none" w:sz="0" w:space="0" w:color="auto"/>
        <w:left w:val="none" w:sz="0" w:space="0" w:color="auto"/>
        <w:bottom w:val="none" w:sz="0" w:space="0" w:color="auto"/>
        <w:right w:val="none" w:sz="0" w:space="0" w:color="auto"/>
      </w:divBdr>
    </w:div>
    <w:div w:id="1970085851">
      <w:bodyDiv w:val="1"/>
      <w:marLeft w:val="0"/>
      <w:marRight w:val="0"/>
      <w:marTop w:val="0"/>
      <w:marBottom w:val="0"/>
      <w:divBdr>
        <w:top w:val="none" w:sz="0" w:space="0" w:color="auto"/>
        <w:left w:val="none" w:sz="0" w:space="0" w:color="auto"/>
        <w:bottom w:val="none" w:sz="0" w:space="0" w:color="auto"/>
        <w:right w:val="none" w:sz="0" w:space="0" w:color="auto"/>
      </w:divBdr>
    </w:div>
    <w:div w:id="1970210623">
      <w:bodyDiv w:val="1"/>
      <w:marLeft w:val="0"/>
      <w:marRight w:val="0"/>
      <w:marTop w:val="0"/>
      <w:marBottom w:val="0"/>
      <w:divBdr>
        <w:top w:val="none" w:sz="0" w:space="0" w:color="auto"/>
        <w:left w:val="none" w:sz="0" w:space="0" w:color="auto"/>
        <w:bottom w:val="none" w:sz="0" w:space="0" w:color="auto"/>
        <w:right w:val="none" w:sz="0" w:space="0" w:color="auto"/>
      </w:divBdr>
    </w:div>
    <w:div w:id="1970354778">
      <w:bodyDiv w:val="1"/>
      <w:marLeft w:val="0"/>
      <w:marRight w:val="0"/>
      <w:marTop w:val="0"/>
      <w:marBottom w:val="0"/>
      <w:divBdr>
        <w:top w:val="none" w:sz="0" w:space="0" w:color="auto"/>
        <w:left w:val="none" w:sz="0" w:space="0" w:color="auto"/>
        <w:bottom w:val="none" w:sz="0" w:space="0" w:color="auto"/>
        <w:right w:val="none" w:sz="0" w:space="0" w:color="auto"/>
      </w:divBdr>
    </w:div>
    <w:div w:id="1970356841">
      <w:bodyDiv w:val="1"/>
      <w:marLeft w:val="0"/>
      <w:marRight w:val="0"/>
      <w:marTop w:val="0"/>
      <w:marBottom w:val="0"/>
      <w:divBdr>
        <w:top w:val="none" w:sz="0" w:space="0" w:color="auto"/>
        <w:left w:val="none" w:sz="0" w:space="0" w:color="auto"/>
        <w:bottom w:val="none" w:sz="0" w:space="0" w:color="auto"/>
        <w:right w:val="none" w:sz="0" w:space="0" w:color="auto"/>
      </w:divBdr>
    </w:div>
    <w:div w:id="1970747275">
      <w:bodyDiv w:val="1"/>
      <w:marLeft w:val="0"/>
      <w:marRight w:val="0"/>
      <w:marTop w:val="0"/>
      <w:marBottom w:val="0"/>
      <w:divBdr>
        <w:top w:val="none" w:sz="0" w:space="0" w:color="auto"/>
        <w:left w:val="none" w:sz="0" w:space="0" w:color="auto"/>
        <w:bottom w:val="none" w:sz="0" w:space="0" w:color="auto"/>
        <w:right w:val="none" w:sz="0" w:space="0" w:color="auto"/>
      </w:divBdr>
    </w:div>
    <w:div w:id="1970816067">
      <w:bodyDiv w:val="1"/>
      <w:marLeft w:val="0"/>
      <w:marRight w:val="0"/>
      <w:marTop w:val="0"/>
      <w:marBottom w:val="0"/>
      <w:divBdr>
        <w:top w:val="none" w:sz="0" w:space="0" w:color="auto"/>
        <w:left w:val="none" w:sz="0" w:space="0" w:color="auto"/>
        <w:bottom w:val="none" w:sz="0" w:space="0" w:color="auto"/>
        <w:right w:val="none" w:sz="0" w:space="0" w:color="auto"/>
      </w:divBdr>
    </w:div>
    <w:div w:id="1970892385">
      <w:bodyDiv w:val="1"/>
      <w:marLeft w:val="0"/>
      <w:marRight w:val="0"/>
      <w:marTop w:val="0"/>
      <w:marBottom w:val="0"/>
      <w:divBdr>
        <w:top w:val="none" w:sz="0" w:space="0" w:color="auto"/>
        <w:left w:val="none" w:sz="0" w:space="0" w:color="auto"/>
        <w:bottom w:val="none" w:sz="0" w:space="0" w:color="auto"/>
        <w:right w:val="none" w:sz="0" w:space="0" w:color="auto"/>
      </w:divBdr>
    </w:div>
    <w:div w:id="1971089812">
      <w:bodyDiv w:val="1"/>
      <w:marLeft w:val="0"/>
      <w:marRight w:val="0"/>
      <w:marTop w:val="0"/>
      <w:marBottom w:val="0"/>
      <w:divBdr>
        <w:top w:val="none" w:sz="0" w:space="0" w:color="auto"/>
        <w:left w:val="none" w:sz="0" w:space="0" w:color="auto"/>
        <w:bottom w:val="none" w:sz="0" w:space="0" w:color="auto"/>
        <w:right w:val="none" w:sz="0" w:space="0" w:color="auto"/>
      </w:divBdr>
    </w:div>
    <w:div w:id="1971668713">
      <w:bodyDiv w:val="1"/>
      <w:marLeft w:val="0"/>
      <w:marRight w:val="0"/>
      <w:marTop w:val="0"/>
      <w:marBottom w:val="0"/>
      <w:divBdr>
        <w:top w:val="none" w:sz="0" w:space="0" w:color="auto"/>
        <w:left w:val="none" w:sz="0" w:space="0" w:color="auto"/>
        <w:bottom w:val="none" w:sz="0" w:space="0" w:color="auto"/>
        <w:right w:val="none" w:sz="0" w:space="0" w:color="auto"/>
      </w:divBdr>
    </w:div>
    <w:div w:id="1971783819">
      <w:bodyDiv w:val="1"/>
      <w:marLeft w:val="0"/>
      <w:marRight w:val="0"/>
      <w:marTop w:val="0"/>
      <w:marBottom w:val="0"/>
      <w:divBdr>
        <w:top w:val="none" w:sz="0" w:space="0" w:color="auto"/>
        <w:left w:val="none" w:sz="0" w:space="0" w:color="auto"/>
        <w:bottom w:val="none" w:sz="0" w:space="0" w:color="auto"/>
        <w:right w:val="none" w:sz="0" w:space="0" w:color="auto"/>
      </w:divBdr>
    </w:div>
    <w:div w:id="1972057102">
      <w:bodyDiv w:val="1"/>
      <w:marLeft w:val="0"/>
      <w:marRight w:val="0"/>
      <w:marTop w:val="0"/>
      <w:marBottom w:val="0"/>
      <w:divBdr>
        <w:top w:val="none" w:sz="0" w:space="0" w:color="auto"/>
        <w:left w:val="none" w:sz="0" w:space="0" w:color="auto"/>
        <w:bottom w:val="none" w:sz="0" w:space="0" w:color="auto"/>
        <w:right w:val="none" w:sz="0" w:space="0" w:color="auto"/>
      </w:divBdr>
    </w:div>
    <w:div w:id="1972512452">
      <w:bodyDiv w:val="1"/>
      <w:marLeft w:val="0"/>
      <w:marRight w:val="0"/>
      <w:marTop w:val="0"/>
      <w:marBottom w:val="0"/>
      <w:divBdr>
        <w:top w:val="none" w:sz="0" w:space="0" w:color="auto"/>
        <w:left w:val="none" w:sz="0" w:space="0" w:color="auto"/>
        <w:bottom w:val="none" w:sz="0" w:space="0" w:color="auto"/>
        <w:right w:val="none" w:sz="0" w:space="0" w:color="auto"/>
      </w:divBdr>
    </w:div>
    <w:div w:id="1972586375">
      <w:bodyDiv w:val="1"/>
      <w:marLeft w:val="0"/>
      <w:marRight w:val="0"/>
      <w:marTop w:val="0"/>
      <w:marBottom w:val="0"/>
      <w:divBdr>
        <w:top w:val="none" w:sz="0" w:space="0" w:color="auto"/>
        <w:left w:val="none" w:sz="0" w:space="0" w:color="auto"/>
        <w:bottom w:val="none" w:sz="0" w:space="0" w:color="auto"/>
        <w:right w:val="none" w:sz="0" w:space="0" w:color="auto"/>
      </w:divBdr>
    </w:div>
    <w:div w:id="1972593125">
      <w:bodyDiv w:val="1"/>
      <w:marLeft w:val="0"/>
      <w:marRight w:val="0"/>
      <w:marTop w:val="0"/>
      <w:marBottom w:val="0"/>
      <w:divBdr>
        <w:top w:val="none" w:sz="0" w:space="0" w:color="auto"/>
        <w:left w:val="none" w:sz="0" w:space="0" w:color="auto"/>
        <w:bottom w:val="none" w:sz="0" w:space="0" w:color="auto"/>
        <w:right w:val="none" w:sz="0" w:space="0" w:color="auto"/>
      </w:divBdr>
    </w:div>
    <w:div w:id="1973048526">
      <w:bodyDiv w:val="1"/>
      <w:marLeft w:val="0"/>
      <w:marRight w:val="0"/>
      <w:marTop w:val="0"/>
      <w:marBottom w:val="0"/>
      <w:divBdr>
        <w:top w:val="none" w:sz="0" w:space="0" w:color="auto"/>
        <w:left w:val="none" w:sz="0" w:space="0" w:color="auto"/>
        <w:bottom w:val="none" w:sz="0" w:space="0" w:color="auto"/>
        <w:right w:val="none" w:sz="0" w:space="0" w:color="auto"/>
      </w:divBdr>
    </w:div>
    <w:div w:id="1973170845">
      <w:bodyDiv w:val="1"/>
      <w:marLeft w:val="0"/>
      <w:marRight w:val="0"/>
      <w:marTop w:val="0"/>
      <w:marBottom w:val="0"/>
      <w:divBdr>
        <w:top w:val="none" w:sz="0" w:space="0" w:color="auto"/>
        <w:left w:val="none" w:sz="0" w:space="0" w:color="auto"/>
        <w:bottom w:val="none" w:sz="0" w:space="0" w:color="auto"/>
        <w:right w:val="none" w:sz="0" w:space="0" w:color="auto"/>
      </w:divBdr>
    </w:div>
    <w:div w:id="1973318273">
      <w:bodyDiv w:val="1"/>
      <w:marLeft w:val="0"/>
      <w:marRight w:val="0"/>
      <w:marTop w:val="0"/>
      <w:marBottom w:val="0"/>
      <w:divBdr>
        <w:top w:val="none" w:sz="0" w:space="0" w:color="auto"/>
        <w:left w:val="none" w:sz="0" w:space="0" w:color="auto"/>
        <w:bottom w:val="none" w:sz="0" w:space="0" w:color="auto"/>
        <w:right w:val="none" w:sz="0" w:space="0" w:color="auto"/>
      </w:divBdr>
    </w:div>
    <w:div w:id="1973444355">
      <w:bodyDiv w:val="1"/>
      <w:marLeft w:val="0"/>
      <w:marRight w:val="0"/>
      <w:marTop w:val="0"/>
      <w:marBottom w:val="0"/>
      <w:divBdr>
        <w:top w:val="none" w:sz="0" w:space="0" w:color="auto"/>
        <w:left w:val="none" w:sz="0" w:space="0" w:color="auto"/>
        <w:bottom w:val="none" w:sz="0" w:space="0" w:color="auto"/>
        <w:right w:val="none" w:sz="0" w:space="0" w:color="auto"/>
      </w:divBdr>
    </w:div>
    <w:div w:id="1973510651">
      <w:bodyDiv w:val="1"/>
      <w:marLeft w:val="0"/>
      <w:marRight w:val="0"/>
      <w:marTop w:val="0"/>
      <w:marBottom w:val="0"/>
      <w:divBdr>
        <w:top w:val="none" w:sz="0" w:space="0" w:color="auto"/>
        <w:left w:val="none" w:sz="0" w:space="0" w:color="auto"/>
        <w:bottom w:val="none" w:sz="0" w:space="0" w:color="auto"/>
        <w:right w:val="none" w:sz="0" w:space="0" w:color="auto"/>
      </w:divBdr>
    </w:div>
    <w:div w:id="1973780441">
      <w:bodyDiv w:val="1"/>
      <w:marLeft w:val="0"/>
      <w:marRight w:val="0"/>
      <w:marTop w:val="0"/>
      <w:marBottom w:val="0"/>
      <w:divBdr>
        <w:top w:val="none" w:sz="0" w:space="0" w:color="auto"/>
        <w:left w:val="none" w:sz="0" w:space="0" w:color="auto"/>
        <w:bottom w:val="none" w:sz="0" w:space="0" w:color="auto"/>
        <w:right w:val="none" w:sz="0" w:space="0" w:color="auto"/>
      </w:divBdr>
    </w:div>
    <w:div w:id="1973975809">
      <w:bodyDiv w:val="1"/>
      <w:marLeft w:val="0"/>
      <w:marRight w:val="0"/>
      <w:marTop w:val="0"/>
      <w:marBottom w:val="0"/>
      <w:divBdr>
        <w:top w:val="none" w:sz="0" w:space="0" w:color="auto"/>
        <w:left w:val="none" w:sz="0" w:space="0" w:color="auto"/>
        <w:bottom w:val="none" w:sz="0" w:space="0" w:color="auto"/>
        <w:right w:val="none" w:sz="0" w:space="0" w:color="auto"/>
      </w:divBdr>
    </w:div>
    <w:div w:id="1974022299">
      <w:bodyDiv w:val="1"/>
      <w:marLeft w:val="0"/>
      <w:marRight w:val="0"/>
      <w:marTop w:val="0"/>
      <w:marBottom w:val="0"/>
      <w:divBdr>
        <w:top w:val="none" w:sz="0" w:space="0" w:color="auto"/>
        <w:left w:val="none" w:sz="0" w:space="0" w:color="auto"/>
        <w:bottom w:val="none" w:sz="0" w:space="0" w:color="auto"/>
        <w:right w:val="none" w:sz="0" w:space="0" w:color="auto"/>
      </w:divBdr>
    </w:div>
    <w:div w:id="1974098641">
      <w:bodyDiv w:val="1"/>
      <w:marLeft w:val="0"/>
      <w:marRight w:val="0"/>
      <w:marTop w:val="0"/>
      <w:marBottom w:val="0"/>
      <w:divBdr>
        <w:top w:val="none" w:sz="0" w:space="0" w:color="auto"/>
        <w:left w:val="none" w:sz="0" w:space="0" w:color="auto"/>
        <w:bottom w:val="none" w:sz="0" w:space="0" w:color="auto"/>
        <w:right w:val="none" w:sz="0" w:space="0" w:color="auto"/>
      </w:divBdr>
    </w:div>
    <w:div w:id="1974628340">
      <w:bodyDiv w:val="1"/>
      <w:marLeft w:val="0"/>
      <w:marRight w:val="0"/>
      <w:marTop w:val="0"/>
      <w:marBottom w:val="0"/>
      <w:divBdr>
        <w:top w:val="none" w:sz="0" w:space="0" w:color="auto"/>
        <w:left w:val="none" w:sz="0" w:space="0" w:color="auto"/>
        <w:bottom w:val="none" w:sz="0" w:space="0" w:color="auto"/>
        <w:right w:val="none" w:sz="0" w:space="0" w:color="auto"/>
      </w:divBdr>
    </w:div>
    <w:div w:id="1974864560">
      <w:bodyDiv w:val="1"/>
      <w:marLeft w:val="0"/>
      <w:marRight w:val="0"/>
      <w:marTop w:val="0"/>
      <w:marBottom w:val="0"/>
      <w:divBdr>
        <w:top w:val="none" w:sz="0" w:space="0" w:color="auto"/>
        <w:left w:val="none" w:sz="0" w:space="0" w:color="auto"/>
        <w:bottom w:val="none" w:sz="0" w:space="0" w:color="auto"/>
        <w:right w:val="none" w:sz="0" w:space="0" w:color="auto"/>
      </w:divBdr>
    </w:div>
    <w:div w:id="1974947301">
      <w:bodyDiv w:val="1"/>
      <w:marLeft w:val="0"/>
      <w:marRight w:val="0"/>
      <w:marTop w:val="0"/>
      <w:marBottom w:val="0"/>
      <w:divBdr>
        <w:top w:val="none" w:sz="0" w:space="0" w:color="auto"/>
        <w:left w:val="none" w:sz="0" w:space="0" w:color="auto"/>
        <w:bottom w:val="none" w:sz="0" w:space="0" w:color="auto"/>
        <w:right w:val="none" w:sz="0" w:space="0" w:color="auto"/>
      </w:divBdr>
    </w:div>
    <w:div w:id="1975135976">
      <w:bodyDiv w:val="1"/>
      <w:marLeft w:val="0"/>
      <w:marRight w:val="0"/>
      <w:marTop w:val="0"/>
      <w:marBottom w:val="0"/>
      <w:divBdr>
        <w:top w:val="none" w:sz="0" w:space="0" w:color="auto"/>
        <w:left w:val="none" w:sz="0" w:space="0" w:color="auto"/>
        <w:bottom w:val="none" w:sz="0" w:space="0" w:color="auto"/>
        <w:right w:val="none" w:sz="0" w:space="0" w:color="auto"/>
      </w:divBdr>
    </w:div>
    <w:div w:id="1975214796">
      <w:bodyDiv w:val="1"/>
      <w:marLeft w:val="0"/>
      <w:marRight w:val="0"/>
      <w:marTop w:val="0"/>
      <w:marBottom w:val="0"/>
      <w:divBdr>
        <w:top w:val="none" w:sz="0" w:space="0" w:color="auto"/>
        <w:left w:val="none" w:sz="0" w:space="0" w:color="auto"/>
        <w:bottom w:val="none" w:sz="0" w:space="0" w:color="auto"/>
        <w:right w:val="none" w:sz="0" w:space="0" w:color="auto"/>
      </w:divBdr>
    </w:div>
    <w:div w:id="1975332066">
      <w:bodyDiv w:val="1"/>
      <w:marLeft w:val="0"/>
      <w:marRight w:val="0"/>
      <w:marTop w:val="0"/>
      <w:marBottom w:val="0"/>
      <w:divBdr>
        <w:top w:val="none" w:sz="0" w:space="0" w:color="auto"/>
        <w:left w:val="none" w:sz="0" w:space="0" w:color="auto"/>
        <w:bottom w:val="none" w:sz="0" w:space="0" w:color="auto"/>
        <w:right w:val="none" w:sz="0" w:space="0" w:color="auto"/>
      </w:divBdr>
    </w:div>
    <w:div w:id="1975478137">
      <w:bodyDiv w:val="1"/>
      <w:marLeft w:val="0"/>
      <w:marRight w:val="0"/>
      <w:marTop w:val="0"/>
      <w:marBottom w:val="0"/>
      <w:divBdr>
        <w:top w:val="none" w:sz="0" w:space="0" w:color="auto"/>
        <w:left w:val="none" w:sz="0" w:space="0" w:color="auto"/>
        <w:bottom w:val="none" w:sz="0" w:space="0" w:color="auto"/>
        <w:right w:val="none" w:sz="0" w:space="0" w:color="auto"/>
      </w:divBdr>
    </w:div>
    <w:div w:id="1975526523">
      <w:bodyDiv w:val="1"/>
      <w:marLeft w:val="0"/>
      <w:marRight w:val="0"/>
      <w:marTop w:val="0"/>
      <w:marBottom w:val="0"/>
      <w:divBdr>
        <w:top w:val="none" w:sz="0" w:space="0" w:color="auto"/>
        <w:left w:val="none" w:sz="0" w:space="0" w:color="auto"/>
        <w:bottom w:val="none" w:sz="0" w:space="0" w:color="auto"/>
        <w:right w:val="none" w:sz="0" w:space="0" w:color="auto"/>
      </w:divBdr>
    </w:div>
    <w:div w:id="1975791907">
      <w:bodyDiv w:val="1"/>
      <w:marLeft w:val="0"/>
      <w:marRight w:val="0"/>
      <w:marTop w:val="0"/>
      <w:marBottom w:val="0"/>
      <w:divBdr>
        <w:top w:val="none" w:sz="0" w:space="0" w:color="auto"/>
        <w:left w:val="none" w:sz="0" w:space="0" w:color="auto"/>
        <w:bottom w:val="none" w:sz="0" w:space="0" w:color="auto"/>
        <w:right w:val="none" w:sz="0" w:space="0" w:color="auto"/>
      </w:divBdr>
    </w:div>
    <w:div w:id="1976060467">
      <w:bodyDiv w:val="1"/>
      <w:marLeft w:val="0"/>
      <w:marRight w:val="0"/>
      <w:marTop w:val="0"/>
      <w:marBottom w:val="0"/>
      <w:divBdr>
        <w:top w:val="none" w:sz="0" w:space="0" w:color="auto"/>
        <w:left w:val="none" w:sz="0" w:space="0" w:color="auto"/>
        <w:bottom w:val="none" w:sz="0" w:space="0" w:color="auto"/>
        <w:right w:val="none" w:sz="0" w:space="0" w:color="auto"/>
      </w:divBdr>
    </w:div>
    <w:div w:id="1976567041">
      <w:bodyDiv w:val="1"/>
      <w:marLeft w:val="0"/>
      <w:marRight w:val="0"/>
      <w:marTop w:val="0"/>
      <w:marBottom w:val="0"/>
      <w:divBdr>
        <w:top w:val="none" w:sz="0" w:space="0" w:color="auto"/>
        <w:left w:val="none" w:sz="0" w:space="0" w:color="auto"/>
        <w:bottom w:val="none" w:sz="0" w:space="0" w:color="auto"/>
        <w:right w:val="none" w:sz="0" w:space="0" w:color="auto"/>
      </w:divBdr>
    </w:div>
    <w:div w:id="1976639109">
      <w:bodyDiv w:val="1"/>
      <w:marLeft w:val="0"/>
      <w:marRight w:val="0"/>
      <w:marTop w:val="0"/>
      <w:marBottom w:val="0"/>
      <w:divBdr>
        <w:top w:val="none" w:sz="0" w:space="0" w:color="auto"/>
        <w:left w:val="none" w:sz="0" w:space="0" w:color="auto"/>
        <w:bottom w:val="none" w:sz="0" w:space="0" w:color="auto"/>
        <w:right w:val="none" w:sz="0" w:space="0" w:color="auto"/>
      </w:divBdr>
    </w:div>
    <w:div w:id="1976714017">
      <w:bodyDiv w:val="1"/>
      <w:marLeft w:val="0"/>
      <w:marRight w:val="0"/>
      <w:marTop w:val="0"/>
      <w:marBottom w:val="0"/>
      <w:divBdr>
        <w:top w:val="none" w:sz="0" w:space="0" w:color="auto"/>
        <w:left w:val="none" w:sz="0" w:space="0" w:color="auto"/>
        <w:bottom w:val="none" w:sz="0" w:space="0" w:color="auto"/>
        <w:right w:val="none" w:sz="0" w:space="0" w:color="auto"/>
      </w:divBdr>
    </w:div>
    <w:div w:id="1977098749">
      <w:bodyDiv w:val="1"/>
      <w:marLeft w:val="0"/>
      <w:marRight w:val="0"/>
      <w:marTop w:val="0"/>
      <w:marBottom w:val="0"/>
      <w:divBdr>
        <w:top w:val="none" w:sz="0" w:space="0" w:color="auto"/>
        <w:left w:val="none" w:sz="0" w:space="0" w:color="auto"/>
        <w:bottom w:val="none" w:sz="0" w:space="0" w:color="auto"/>
        <w:right w:val="none" w:sz="0" w:space="0" w:color="auto"/>
      </w:divBdr>
    </w:div>
    <w:div w:id="1977418287">
      <w:bodyDiv w:val="1"/>
      <w:marLeft w:val="0"/>
      <w:marRight w:val="0"/>
      <w:marTop w:val="0"/>
      <w:marBottom w:val="0"/>
      <w:divBdr>
        <w:top w:val="none" w:sz="0" w:space="0" w:color="auto"/>
        <w:left w:val="none" w:sz="0" w:space="0" w:color="auto"/>
        <w:bottom w:val="none" w:sz="0" w:space="0" w:color="auto"/>
        <w:right w:val="none" w:sz="0" w:space="0" w:color="auto"/>
      </w:divBdr>
    </w:div>
    <w:div w:id="1977487475">
      <w:bodyDiv w:val="1"/>
      <w:marLeft w:val="0"/>
      <w:marRight w:val="0"/>
      <w:marTop w:val="0"/>
      <w:marBottom w:val="0"/>
      <w:divBdr>
        <w:top w:val="none" w:sz="0" w:space="0" w:color="auto"/>
        <w:left w:val="none" w:sz="0" w:space="0" w:color="auto"/>
        <w:bottom w:val="none" w:sz="0" w:space="0" w:color="auto"/>
        <w:right w:val="none" w:sz="0" w:space="0" w:color="auto"/>
      </w:divBdr>
    </w:div>
    <w:div w:id="1977680117">
      <w:bodyDiv w:val="1"/>
      <w:marLeft w:val="0"/>
      <w:marRight w:val="0"/>
      <w:marTop w:val="0"/>
      <w:marBottom w:val="0"/>
      <w:divBdr>
        <w:top w:val="none" w:sz="0" w:space="0" w:color="auto"/>
        <w:left w:val="none" w:sz="0" w:space="0" w:color="auto"/>
        <w:bottom w:val="none" w:sz="0" w:space="0" w:color="auto"/>
        <w:right w:val="none" w:sz="0" w:space="0" w:color="auto"/>
      </w:divBdr>
    </w:div>
    <w:div w:id="1977755760">
      <w:bodyDiv w:val="1"/>
      <w:marLeft w:val="0"/>
      <w:marRight w:val="0"/>
      <w:marTop w:val="0"/>
      <w:marBottom w:val="0"/>
      <w:divBdr>
        <w:top w:val="none" w:sz="0" w:space="0" w:color="auto"/>
        <w:left w:val="none" w:sz="0" w:space="0" w:color="auto"/>
        <w:bottom w:val="none" w:sz="0" w:space="0" w:color="auto"/>
        <w:right w:val="none" w:sz="0" w:space="0" w:color="auto"/>
      </w:divBdr>
    </w:div>
    <w:div w:id="1977833923">
      <w:bodyDiv w:val="1"/>
      <w:marLeft w:val="0"/>
      <w:marRight w:val="0"/>
      <w:marTop w:val="0"/>
      <w:marBottom w:val="0"/>
      <w:divBdr>
        <w:top w:val="none" w:sz="0" w:space="0" w:color="auto"/>
        <w:left w:val="none" w:sz="0" w:space="0" w:color="auto"/>
        <w:bottom w:val="none" w:sz="0" w:space="0" w:color="auto"/>
        <w:right w:val="none" w:sz="0" w:space="0" w:color="auto"/>
      </w:divBdr>
    </w:div>
    <w:div w:id="1978030147">
      <w:bodyDiv w:val="1"/>
      <w:marLeft w:val="0"/>
      <w:marRight w:val="0"/>
      <w:marTop w:val="0"/>
      <w:marBottom w:val="0"/>
      <w:divBdr>
        <w:top w:val="none" w:sz="0" w:space="0" w:color="auto"/>
        <w:left w:val="none" w:sz="0" w:space="0" w:color="auto"/>
        <w:bottom w:val="none" w:sz="0" w:space="0" w:color="auto"/>
        <w:right w:val="none" w:sz="0" w:space="0" w:color="auto"/>
      </w:divBdr>
    </w:div>
    <w:div w:id="1978296277">
      <w:bodyDiv w:val="1"/>
      <w:marLeft w:val="0"/>
      <w:marRight w:val="0"/>
      <w:marTop w:val="0"/>
      <w:marBottom w:val="0"/>
      <w:divBdr>
        <w:top w:val="none" w:sz="0" w:space="0" w:color="auto"/>
        <w:left w:val="none" w:sz="0" w:space="0" w:color="auto"/>
        <w:bottom w:val="none" w:sz="0" w:space="0" w:color="auto"/>
        <w:right w:val="none" w:sz="0" w:space="0" w:color="auto"/>
      </w:divBdr>
    </w:div>
    <w:div w:id="1978682651">
      <w:bodyDiv w:val="1"/>
      <w:marLeft w:val="0"/>
      <w:marRight w:val="0"/>
      <w:marTop w:val="0"/>
      <w:marBottom w:val="0"/>
      <w:divBdr>
        <w:top w:val="none" w:sz="0" w:space="0" w:color="auto"/>
        <w:left w:val="none" w:sz="0" w:space="0" w:color="auto"/>
        <w:bottom w:val="none" w:sz="0" w:space="0" w:color="auto"/>
        <w:right w:val="none" w:sz="0" w:space="0" w:color="auto"/>
      </w:divBdr>
    </w:div>
    <w:div w:id="1978754622">
      <w:bodyDiv w:val="1"/>
      <w:marLeft w:val="0"/>
      <w:marRight w:val="0"/>
      <w:marTop w:val="0"/>
      <w:marBottom w:val="0"/>
      <w:divBdr>
        <w:top w:val="none" w:sz="0" w:space="0" w:color="auto"/>
        <w:left w:val="none" w:sz="0" w:space="0" w:color="auto"/>
        <w:bottom w:val="none" w:sz="0" w:space="0" w:color="auto"/>
        <w:right w:val="none" w:sz="0" w:space="0" w:color="auto"/>
      </w:divBdr>
    </w:div>
    <w:div w:id="1979142666">
      <w:bodyDiv w:val="1"/>
      <w:marLeft w:val="0"/>
      <w:marRight w:val="0"/>
      <w:marTop w:val="0"/>
      <w:marBottom w:val="0"/>
      <w:divBdr>
        <w:top w:val="none" w:sz="0" w:space="0" w:color="auto"/>
        <w:left w:val="none" w:sz="0" w:space="0" w:color="auto"/>
        <w:bottom w:val="none" w:sz="0" w:space="0" w:color="auto"/>
        <w:right w:val="none" w:sz="0" w:space="0" w:color="auto"/>
      </w:divBdr>
    </w:div>
    <w:div w:id="1979262127">
      <w:bodyDiv w:val="1"/>
      <w:marLeft w:val="0"/>
      <w:marRight w:val="0"/>
      <w:marTop w:val="0"/>
      <w:marBottom w:val="0"/>
      <w:divBdr>
        <w:top w:val="none" w:sz="0" w:space="0" w:color="auto"/>
        <w:left w:val="none" w:sz="0" w:space="0" w:color="auto"/>
        <w:bottom w:val="none" w:sz="0" w:space="0" w:color="auto"/>
        <w:right w:val="none" w:sz="0" w:space="0" w:color="auto"/>
      </w:divBdr>
    </w:div>
    <w:div w:id="1979262194">
      <w:bodyDiv w:val="1"/>
      <w:marLeft w:val="0"/>
      <w:marRight w:val="0"/>
      <w:marTop w:val="0"/>
      <w:marBottom w:val="0"/>
      <w:divBdr>
        <w:top w:val="none" w:sz="0" w:space="0" w:color="auto"/>
        <w:left w:val="none" w:sz="0" w:space="0" w:color="auto"/>
        <w:bottom w:val="none" w:sz="0" w:space="0" w:color="auto"/>
        <w:right w:val="none" w:sz="0" w:space="0" w:color="auto"/>
      </w:divBdr>
    </w:div>
    <w:div w:id="1979604608">
      <w:bodyDiv w:val="1"/>
      <w:marLeft w:val="0"/>
      <w:marRight w:val="0"/>
      <w:marTop w:val="0"/>
      <w:marBottom w:val="0"/>
      <w:divBdr>
        <w:top w:val="none" w:sz="0" w:space="0" w:color="auto"/>
        <w:left w:val="none" w:sz="0" w:space="0" w:color="auto"/>
        <w:bottom w:val="none" w:sz="0" w:space="0" w:color="auto"/>
        <w:right w:val="none" w:sz="0" w:space="0" w:color="auto"/>
      </w:divBdr>
    </w:div>
    <w:div w:id="1979606091">
      <w:bodyDiv w:val="1"/>
      <w:marLeft w:val="0"/>
      <w:marRight w:val="0"/>
      <w:marTop w:val="0"/>
      <w:marBottom w:val="0"/>
      <w:divBdr>
        <w:top w:val="none" w:sz="0" w:space="0" w:color="auto"/>
        <w:left w:val="none" w:sz="0" w:space="0" w:color="auto"/>
        <w:bottom w:val="none" w:sz="0" w:space="0" w:color="auto"/>
        <w:right w:val="none" w:sz="0" w:space="0" w:color="auto"/>
      </w:divBdr>
    </w:div>
    <w:div w:id="1979800378">
      <w:bodyDiv w:val="1"/>
      <w:marLeft w:val="0"/>
      <w:marRight w:val="0"/>
      <w:marTop w:val="0"/>
      <w:marBottom w:val="0"/>
      <w:divBdr>
        <w:top w:val="none" w:sz="0" w:space="0" w:color="auto"/>
        <w:left w:val="none" w:sz="0" w:space="0" w:color="auto"/>
        <w:bottom w:val="none" w:sz="0" w:space="0" w:color="auto"/>
        <w:right w:val="none" w:sz="0" w:space="0" w:color="auto"/>
      </w:divBdr>
    </w:div>
    <w:div w:id="1979873049">
      <w:bodyDiv w:val="1"/>
      <w:marLeft w:val="0"/>
      <w:marRight w:val="0"/>
      <w:marTop w:val="0"/>
      <w:marBottom w:val="0"/>
      <w:divBdr>
        <w:top w:val="none" w:sz="0" w:space="0" w:color="auto"/>
        <w:left w:val="none" w:sz="0" w:space="0" w:color="auto"/>
        <w:bottom w:val="none" w:sz="0" w:space="0" w:color="auto"/>
        <w:right w:val="none" w:sz="0" w:space="0" w:color="auto"/>
      </w:divBdr>
    </w:div>
    <w:div w:id="1979995403">
      <w:bodyDiv w:val="1"/>
      <w:marLeft w:val="0"/>
      <w:marRight w:val="0"/>
      <w:marTop w:val="0"/>
      <w:marBottom w:val="0"/>
      <w:divBdr>
        <w:top w:val="none" w:sz="0" w:space="0" w:color="auto"/>
        <w:left w:val="none" w:sz="0" w:space="0" w:color="auto"/>
        <w:bottom w:val="none" w:sz="0" w:space="0" w:color="auto"/>
        <w:right w:val="none" w:sz="0" w:space="0" w:color="auto"/>
      </w:divBdr>
    </w:div>
    <w:div w:id="1980184444">
      <w:bodyDiv w:val="1"/>
      <w:marLeft w:val="0"/>
      <w:marRight w:val="0"/>
      <w:marTop w:val="0"/>
      <w:marBottom w:val="0"/>
      <w:divBdr>
        <w:top w:val="none" w:sz="0" w:space="0" w:color="auto"/>
        <w:left w:val="none" w:sz="0" w:space="0" w:color="auto"/>
        <w:bottom w:val="none" w:sz="0" w:space="0" w:color="auto"/>
        <w:right w:val="none" w:sz="0" w:space="0" w:color="auto"/>
      </w:divBdr>
    </w:div>
    <w:div w:id="1980524877">
      <w:bodyDiv w:val="1"/>
      <w:marLeft w:val="0"/>
      <w:marRight w:val="0"/>
      <w:marTop w:val="0"/>
      <w:marBottom w:val="0"/>
      <w:divBdr>
        <w:top w:val="none" w:sz="0" w:space="0" w:color="auto"/>
        <w:left w:val="none" w:sz="0" w:space="0" w:color="auto"/>
        <w:bottom w:val="none" w:sz="0" w:space="0" w:color="auto"/>
        <w:right w:val="none" w:sz="0" w:space="0" w:color="auto"/>
      </w:divBdr>
    </w:div>
    <w:div w:id="1980957499">
      <w:bodyDiv w:val="1"/>
      <w:marLeft w:val="0"/>
      <w:marRight w:val="0"/>
      <w:marTop w:val="0"/>
      <w:marBottom w:val="0"/>
      <w:divBdr>
        <w:top w:val="none" w:sz="0" w:space="0" w:color="auto"/>
        <w:left w:val="none" w:sz="0" w:space="0" w:color="auto"/>
        <w:bottom w:val="none" w:sz="0" w:space="0" w:color="auto"/>
        <w:right w:val="none" w:sz="0" w:space="0" w:color="auto"/>
      </w:divBdr>
    </w:div>
    <w:div w:id="1981375040">
      <w:bodyDiv w:val="1"/>
      <w:marLeft w:val="0"/>
      <w:marRight w:val="0"/>
      <w:marTop w:val="0"/>
      <w:marBottom w:val="0"/>
      <w:divBdr>
        <w:top w:val="none" w:sz="0" w:space="0" w:color="auto"/>
        <w:left w:val="none" w:sz="0" w:space="0" w:color="auto"/>
        <w:bottom w:val="none" w:sz="0" w:space="0" w:color="auto"/>
        <w:right w:val="none" w:sz="0" w:space="0" w:color="auto"/>
      </w:divBdr>
    </w:div>
    <w:div w:id="1981691770">
      <w:bodyDiv w:val="1"/>
      <w:marLeft w:val="0"/>
      <w:marRight w:val="0"/>
      <w:marTop w:val="0"/>
      <w:marBottom w:val="0"/>
      <w:divBdr>
        <w:top w:val="none" w:sz="0" w:space="0" w:color="auto"/>
        <w:left w:val="none" w:sz="0" w:space="0" w:color="auto"/>
        <w:bottom w:val="none" w:sz="0" w:space="0" w:color="auto"/>
        <w:right w:val="none" w:sz="0" w:space="0" w:color="auto"/>
      </w:divBdr>
    </w:div>
    <w:div w:id="1981809728">
      <w:bodyDiv w:val="1"/>
      <w:marLeft w:val="0"/>
      <w:marRight w:val="0"/>
      <w:marTop w:val="0"/>
      <w:marBottom w:val="0"/>
      <w:divBdr>
        <w:top w:val="none" w:sz="0" w:space="0" w:color="auto"/>
        <w:left w:val="none" w:sz="0" w:space="0" w:color="auto"/>
        <w:bottom w:val="none" w:sz="0" w:space="0" w:color="auto"/>
        <w:right w:val="none" w:sz="0" w:space="0" w:color="auto"/>
      </w:divBdr>
    </w:div>
    <w:div w:id="1981879913">
      <w:bodyDiv w:val="1"/>
      <w:marLeft w:val="0"/>
      <w:marRight w:val="0"/>
      <w:marTop w:val="0"/>
      <w:marBottom w:val="0"/>
      <w:divBdr>
        <w:top w:val="none" w:sz="0" w:space="0" w:color="auto"/>
        <w:left w:val="none" w:sz="0" w:space="0" w:color="auto"/>
        <w:bottom w:val="none" w:sz="0" w:space="0" w:color="auto"/>
        <w:right w:val="none" w:sz="0" w:space="0" w:color="auto"/>
      </w:divBdr>
    </w:div>
    <w:div w:id="1982466296">
      <w:bodyDiv w:val="1"/>
      <w:marLeft w:val="0"/>
      <w:marRight w:val="0"/>
      <w:marTop w:val="0"/>
      <w:marBottom w:val="0"/>
      <w:divBdr>
        <w:top w:val="none" w:sz="0" w:space="0" w:color="auto"/>
        <w:left w:val="none" w:sz="0" w:space="0" w:color="auto"/>
        <w:bottom w:val="none" w:sz="0" w:space="0" w:color="auto"/>
        <w:right w:val="none" w:sz="0" w:space="0" w:color="auto"/>
      </w:divBdr>
    </w:div>
    <w:div w:id="1982491260">
      <w:bodyDiv w:val="1"/>
      <w:marLeft w:val="0"/>
      <w:marRight w:val="0"/>
      <w:marTop w:val="0"/>
      <w:marBottom w:val="0"/>
      <w:divBdr>
        <w:top w:val="none" w:sz="0" w:space="0" w:color="auto"/>
        <w:left w:val="none" w:sz="0" w:space="0" w:color="auto"/>
        <w:bottom w:val="none" w:sz="0" w:space="0" w:color="auto"/>
        <w:right w:val="none" w:sz="0" w:space="0" w:color="auto"/>
      </w:divBdr>
    </w:div>
    <w:div w:id="1982542373">
      <w:bodyDiv w:val="1"/>
      <w:marLeft w:val="0"/>
      <w:marRight w:val="0"/>
      <w:marTop w:val="0"/>
      <w:marBottom w:val="0"/>
      <w:divBdr>
        <w:top w:val="none" w:sz="0" w:space="0" w:color="auto"/>
        <w:left w:val="none" w:sz="0" w:space="0" w:color="auto"/>
        <w:bottom w:val="none" w:sz="0" w:space="0" w:color="auto"/>
        <w:right w:val="none" w:sz="0" w:space="0" w:color="auto"/>
      </w:divBdr>
    </w:div>
    <w:div w:id="1982615217">
      <w:bodyDiv w:val="1"/>
      <w:marLeft w:val="0"/>
      <w:marRight w:val="0"/>
      <w:marTop w:val="0"/>
      <w:marBottom w:val="0"/>
      <w:divBdr>
        <w:top w:val="none" w:sz="0" w:space="0" w:color="auto"/>
        <w:left w:val="none" w:sz="0" w:space="0" w:color="auto"/>
        <w:bottom w:val="none" w:sz="0" w:space="0" w:color="auto"/>
        <w:right w:val="none" w:sz="0" w:space="0" w:color="auto"/>
      </w:divBdr>
    </w:div>
    <w:div w:id="1982733431">
      <w:bodyDiv w:val="1"/>
      <w:marLeft w:val="0"/>
      <w:marRight w:val="0"/>
      <w:marTop w:val="0"/>
      <w:marBottom w:val="0"/>
      <w:divBdr>
        <w:top w:val="none" w:sz="0" w:space="0" w:color="auto"/>
        <w:left w:val="none" w:sz="0" w:space="0" w:color="auto"/>
        <w:bottom w:val="none" w:sz="0" w:space="0" w:color="auto"/>
        <w:right w:val="none" w:sz="0" w:space="0" w:color="auto"/>
      </w:divBdr>
    </w:div>
    <w:div w:id="1983004711">
      <w:bodyDiv w:val="1"/>
      <w:marLeft w:val="0"/>
      <w:marRight w:val="0"/>
      <w:marTop w:val="0"/>
      <w:marBottom w:val="0"/>
      <w:divBdr>
        <w:top w:val="none" w:sz="0" w:space="0" w:color="auto"/>
        <w:left w:val="none" w:sz="0" w:space="0" w:color="auto"/>
        <w:bottom w:val="none" w:sz="0" w:space="0" w:color="auto"/>
        <w:right w:val="none" w:sz="0" w:space="0" w:color="auto"/>
      </w:divBdr>
    </w:div>
    <w:div w:id="1983381936">
      <w:bodyDiv w:val="1"/>
      <w:marLeft w:val="0"/>
      <w:marRight w:val="0"/>
      <w:marTop w:val="0"/>
      <w:marBottom w:val="0"/>
      <w:divBdr>
        <w:top w:val="none" w:sz="0" w:space="0" w:color="auto"/>
        <w:left w:val="none" w:sz="0" w:space="0" w:color="auto"/>
        <w:bottom w:val="none" w:sz="0" w:space="0" w:color="auto"/>
        <w:right w:val="none" w:sz="0" w:space="0" w:color="auto"/>
      </w:divBdr>
    </w:div>
    <w:div w:id="1983462229">
      <w:bodyDiv w:val="1"/>
      <w:marLeft w:val="0"/>
      <w:marRight w:val="0"/>
      <w:marTop w:val="0"/>
      <w:marBottom w:val="0"/>
      <w:divBdr>
        <w:top w:val="none" w:sz="0" w:space="0" w:color="auto"/>
        <w:left w:val="none" w:sz="0" w:space="0" w:color="auto"/>
        <w:bottom w:val="none" w:sz="0" w:space="0" w:color="auto"/>
        <w:right w:val="none" w:sz="0" w:space="0" w:color="auto"/>
      </w:divBdr>
    </w:div>
    <w:div w:id="1983584554">
      <w:bodyDiv w:val="1"/>
      <w:marLeft w:val="0"/>
      <w:marRight w:val="0"/>
      <w:marTop w:val="0"/>
      <w:marBottom w:val="0"/>
      <w:divBdr>
        <w:top w:val="none" w:sz="0" w:space="0" w:color="auto"/>
        <w:left w:val="none" w:sz="0" w:space="0" w:color="auto"/>
        <w:bottom w:val="none" w:sz="0" w:space="0" w:color="auto"/>
        <w:right w:val="none" w:sz="0" w:space="0" w:color="auto"/>
      </w:divBdr>
    </w:div>
    <w:div w:id="1983776552">
      <w:bodyDiv w:val="1"/>
      <w:marLeft w:val="0"/>
      <w:marRight w:val="0"/>
      <w:marTop w:val="0"/>
      <w:marBottom w:val="0"/>
      <w:divBdr>
        <w:top w:val="none" w:sz="0" w:space="0" w:color="auto"/>
        <w:left w:val="none" w:sz="0" w:space="0" w:color="auto"/>
        <w:bottom w:val="none" w:sz="0" w:space="0" w:color="auto"/>
        <w:right w:val="none" w:sz="0" w:space="0" w:color="auto"/>
      </w:divBdr>
    </w:div>
    <w:div w:id="1984114319">
      <w:bodyDiv w:val="1"/>
      <w:marLeft w:val="0"/>
      <w:marRight w:val="0"/>
      <w:marTop w:val="0"/>
      <w:marBottom w:val="0"/>
      <w:divBdr>
        <w:top w:val="none" w:sz="0" w:space="0" w:color="auto"/>
        <w:left w:val="none" w:sz="0" w:space="0" w:color="auto"/>
        <w:bottom w:val="none" w:sz="0" w:space="0" w:color="auto"/>
        <w:right w:val="none" w:sz="0" w:space="0" w:color="auto"/>
      </w:divBdr>
    </w:div>
    <w:div w:id="1984312936">
      <w:bodyDiv w:val="1"/>
      <w:marLeft w:val="0"/>
      <w:marRight w:val="0"/>
      <w:marTop w:val="0"/>
      <w:marBottom w:val="0"/>
      <w:divBdr>
        <w:top w:val="none" w:sz="0" w:space="0" w:color="auto"/>
        <w:left w:val="none" w:sz="0" w:space="0" w:color="auto"/>
        <w:bottom w:val="none" w:sz="0" w:space="0" w:color="auto"/>
        <w:right w:val="none" w:sz="0" w:space="0" w:color="auto"/>
      </w:divBdr>
    </w:div>
    <w:div w:id="1984456979">
      <w:bodyDiv w:val="1"/>
      <w:marLeft w:val="0"/>
      <w:marRight w:val="0"/>
      <w:marTop w:val="0"/>
      <w:marBottom w:val="0"/>
      <w:divBdr>
        <w:top w:val="none" w:sz="0" w:space="0" w:color="auto"/>
        <w:left w:val="none" w:sz="0" w:space="0" w:color="auto"/>
        <w:bottom w:val="none" w:sz="0" w:space="0" w:color="auto"/>
        <w:right w:val="none" w:sz="0" w:space="0" w:color="auto"/>
      </w:divBdr>
    </w:div>
    <w:div w:id="1984849520">
      <w:bodyDiv w:val="1"/>
      <w:marLeft w:val="0"/>
      <w:marRight w:val="0"/>
      <w:marTop w:val="0"/>
      <w:marBottom w:val="0"/>
      <w:divBdr>
        <w:top w:val="none" w:sz="0" w:space="0" w:color="auto"/>
        <w:left w:val="none" w:sz="0" w:space="0" w:color="auto"/>
        <w:bottom w:val="none" w:sz="0" w:space="0" w:color="auto"/>
        <w:right w:val="none" w:sz="0" w:space="0" w:color="auto"/>
      </w:divBdr>
    </w:div>
    <w:div w:id="1984893061">
      <w:bodyDiv w:val="1"/>
      <w:marLeft w:val="0"/>
      <w:marRight w:val="0"/>
      <w:marTop w:val="0"/>
      <w:marBottom w:val="0"/>
      <w:divBdr>
        <w:top w:val="none" w:sz="0" w:space="0" w:color="auto"/>
        <w:left w:val="none" w:sz="0" w:space="0" w:color="auto"/>
        <w:bottom w:val="none" w:sz="0" w:space="0" w:color="auto"/>
        <w:right w:val="none" w:sz="0" w:space="0" w:color="auto"/>
      </w:divBdr>
    </w:div>
    <w:div w:id="1984964497">
      <w:bodyDiv w:val="1"/>
      <w:marLeft w:val="0"/>
      <w:marRight w:val="0"/>
      <w:marTop w:val="0"/>
      <w:marBottom w:val="0"/>
      <w:divBdr>
        <w:top w:val="none" w:sz="0" w:space="0" w:color="auto"/>
        <w:left w:val="none" w:sz="0" w:space="0" w:color="auto"/>
        <w:bottom w:val="none" w:sz="0" w:space="0" w:color="auto"/>
        <w:right w:val="none" w:sz="0" w:space="0" w:color="auto"/>
      </w:divBdr>
    </w:div>
    <w:div w:id="1985118144">
      <w:bodyDiv w:val="1"/>
      <w:marLeft w:val="0"/>
      <w:marRight w:val="0"/>
      <w:marTop w:val="0"/>
      <w:marBottom w:val="0"/>
      <w:divBdr>
        <w:top w:val="none" w:sz="0" w:space="0" w:color="auto"/>
        <w:left w:val="none" w:sz="0" w:space="0" w:color="auto"/>
        <w:bottom w:val="none" w:sz="0" w:space="0" w:color="auto"/>
        <w:right w:val="none" w:sz="0" w:space="0" w:color="auto"/>
      </w:divBdr>
    </w:div>
    <w:div w:id="1985158392">
      <w:bodyDiv w:val="1"/>
      <w:marLeft w:val="0"/>
      <w:marRight w:val="0"/>
      <w:marTop w:val="0"/>
      <w:marBottom w:val="0"/>
      <w:divBdr>
        <w:top w:val="none" w:sz="0" w:space="0" w:color="auto"/>
        <w:left w:val="none" w:sz="0" w:space="0" w:color="auto"/>
        <w:bottom w:val="none" w:sz="0" w:space="0" w:color="auto"/>
        <w:right w:val="none" w:sz="0" w:space="0" w:color="auto"/>
      </w:divBdr>
    </w:div>
    <w:div w:id="1985309813">
      <w:bodyDiv w:val="1"/>
      <w:marLeft w:val="0"/>
      <w:marRight w:val="0"/>
      <w:marTop w:val="0"/>
      <w:marBottom w:val="0"/>
      <w:divBdr>
        <w:top w:val="none" w:sz="0" w:space="0" w:color="auto"/>
        <w:left w:val="none" w:sz="0" w:space="0" w:color="auto"/>
        <w:bottom w:val="none" w:sz="0" w:space="0" w:color="auto"/>
        <w:right w:val="none" w:sz="0" w:space="0" w:color="auto"/>
      </w:divBdr>
    </w:div>
    <w:div w:id="1985499142">
      <w:bodyDiv w:val="1"/>
      <w:marLeft w:val="0"/>
      <w:marRight w:val="0"/>
      <w:marTop w:val="0"/>
      <w:marBottom w:val="0"/>
      <w:divBdr>
        <w:top w:val="none" w:sz="0" w:space="0" w:color="auto"/>
        <w:left w:val="none" w:sz="0" w:space="0" w:color="auto"/>
        <w:bottom w:val="none" w:sz="0" w:space="0" w:color="auto"/>
        <w:right w:val="none" w:sz="0" w:space="0" w:color="auto"/>
      </w:divBdr>
    </w:div>
    <w:div w:id="1986008089">
      <w:bodyDiv w:val="1"/>
      <w:marLeft w:val="0"/>
      <w:marRight w:val="0"/>
      <w:marTop w:val="0"/>
      <w:marBottom w:val="0"/>
      <w:divBdr>
        <w:top w:val="none" w:sz="0" w:space="0" w:color="auto"/>
        <w:left w:val="none" w:sz="0" w:space="0" w:color="auto"/>
        <w:bottom w:val="none" w:sz="0" w:space="0" w:color="auto"/>
        <w:right w:val="none" w:sz="0" w:space="0" w:color="auto"/>
      </w:divBdr>
    </w:div>
    <w:div w:id="1986153822">
      <w:bodyDiv w:val="1"/>
      <w:marLeft w:val="0"/>
      <w:marRight w:val="0"/>
      <w:marTop w:val="0"/>
      <w:marBottom w:val="0"/>
      <w:divBdr>
        <w:top w:val="none" w:sz="0" w:space="0" w:color="auto"/>
        <w:left w:val="none" w:sz="0" w:space="0" w:color="auto"/>
        <w:bottom w:val="none" w:sz="0" w:space="0" w:color="auto"/>
        <w:right w:val="none" w:sz="0" w:space="0" w:color="auto"/>
      </w:divBdr>
    </w:div>
    <w:div w:id="1986159765">
      <w:bodyDiv w:val="1"/>
      <w:marLeft w:val="0"/>
      <w:marRight w:val="0"/>
      <w:marTop w:val="0"/>
      <w:marBottom w:val="0"/>
      <w:divBdr>
        <w:top w:val="none" w:sz="0" w:space="0" w:color="auto"/>
        <w:left w:val="none" w:sz="0" w:space="0" w:color="auto"/>
        <w:bottom w:val="none" w:sz="0" w:space="0" w:color="auto"/>
        <w:right w:val="none" w:sz="0" w:space="0" w:color="auto"/>
      </w:divBdr>
    </w:div>
    <w:div w:id="1986348387">
      <w:bodyDiv w:val="1"/>
      <w:marLeft w:val="0"/>
      <w:marRight w:val="0"/>
      <w:marTop w:val="0"/>
      <w:marBottom w:val="0"/>
      <w:divBdr>
        <w:top w:val="none" w:sz="0" w:space="0" w:color="auto"/>
        <w:left w:val="none" w:sz="0" w:space="0" w:color="auto"/>
        <w:bottom w:val="none" w:sz="0" w:space="0" w:color="auto"/>
        <w:right w:val="none" w:sz="0" w:space="0" w:color="auto"/>
      </w:divBdr>
    </w:div>
    <w:div w:id="1986664942">
      <w:bodyDiv w:val="1"/>
      <w:marLeft w:val="0"/>
      <w:marRight w:val="0"/>
      <w:marTop w:val="0"/>
      <w:marBottom w:val="0"/>
      <w:divBdr>
        <w:top w:val="none" w:sz="0" w:space="0" w:color="auto"/>
        <w:left w:val="none" w:sz="0" w:space="0" w:color="auto"/>
        <w:bottom w:val="none" w:sz="0" w:space="0" w:color="auto"/>
        <w:right w:val="none" w:sz="0" w:space="0" w:color="auto"/>
      </w:divBdr>
    </w:div>
    <w:div w:id="1986884212">
      <w:bodyDiv w:val="1"/>
      <w:marLeft w:val="0"/>
      <w:marRight w:val="0"/>
      <w:marTop w:val="0"/>
      <w:marBottom w:val="0"/>
      <w:divBdr>
        <w:top w:val="none" w:sz="0" w:space="0" w:color="auto"/>
        <w:left w:val="none" w:sz="0" w:space="0" w:color="auto"/>
        <w:bottom w:val="none" w:sz="0" w:space="0" w:color="auto"/>
        <w:right w:val="none" w:sz="0" w:space="0" w:color="auto"/>
      </w:divBdr>
    </w:div>
    <w:div w:id="1987662618">
      <w:bodyDiv w:val="1"/>
      <w:marLeft w:val="0"/>
      <w:marRight w:val="0"/>
      <w:marTop w:val="0"/>
      <w:marBottom w:val="0"/>
      <w:divBdr>
        <w:top w:val="none" w:sz="0" w:space="0" w:color="auto"/>
        <w:left w:val="none" w:sz="0" w:space="0" w:color="auto"/>
        <w:bottom w:val="none" w:sz="0" w:space="0" w:color="auto"/>
        <w:right w:val="none" w:sz="0" w:space="0" w:color="auto"/>
      </w:divBdr>
    </w:div>
    <w:div w:id="1987970402">
      <w:bodyDiv w:val="1"/>
      <w:marLeft w:val="0"/>
      <w:marRight w:val="0"/>
      <w:marTop w:val="0"/>
      <w:marBottom w:val="0"/>
      <w:divBdr>
        <w:top w:val="none" w:sz="0" w:space="0" w:color="auto"/>
        <w:left w:val="none" w:sz="0" w:space="0" w:color="auto"/>
        <w:bottom w:val="none" w:sz="0" w:space="0" w:color="auto"/>
        <w:right w:val="none" w:sz="0" w:space="0" w:color="auto"/>
      </w:divBdr>
    </w:div>
    <w:div w:id="1988313328">
      <w:bodyDiv w:val="1"/>
      <w:marLeft w:val="0"/>
      <w:marRight w:val="0"/>
      <w:marTop w:val="0"/>
      <w:marBottom w:val="0"/>
      <w:divBdr>
        <w:top w:val="none" w:sz="0" w:space="0" w:color="auto"/>
        <w:left w:val="none" w:sz="0" w:space="0" w:color="auto"/>
        <w:bottom w:val="none" w:sz="0" w:space="0" w:color="auto"/>
        <w:right w:val="none" w:sz="0" w:space="0" w:color="auto"/>
      </w:divBdr>
    </w:div>
    <w:div w:id="1989167171">
      <w:bodyDiv w:val="1"/>
      <w:marLeft w:val="0"/>
      <w:marRight w:val="0"/>
      <w:marTop w:val="0"/>
      <w:marBottom w:val="0"/>
      <w:divBdr>
        <w:top w:val="none" w:sz="0" w:space="0" w:color="auto"/>
        <w:left w:val="none" w:sz="0" w:space="0" w:color="auto"/>
        <w:bottom w:val="none" w:sz="0" w:space="0" w:color="auto"/>
        <w:right w:val="none" w:sz="0" w:space="0" w:color="auto"/>
      </w:divBdr>
    </w:div>
    <w:div w:id="1989284845">
      <w:bodyDiv w:val="1"/>
      <w:marLeft w:val="0"/>
      <w:marRight w:val="0"/>
      <w:marTop w:val="0"/>
      <w:marBottom w:val="0"/>
      <w:divBdr>
        <w:top w:val="none" w:sz="0" w:space="0" w:color="auto"/>
        <w:left w:val="none" w:sz="0" w:space="0" w:color="auto"/>
        <w:bottom w:val="none" w:sz="0" w:space="0" w:color="auto"/>
        <w:right w:val="none" w:sz="0" w:space="0" w:color="auto"/>
      </w:divBdr>
    </w:div>
    <w:div w:id="1989357194">
      <w:bodyDiv w:val="1"/>
      <w:marLeft w:val="0"/>
      <w:marRight w:val="0"/>
      <w:marTop w:val="0"/>
      <w:marBottom w:val="0"/>
      <w:divBdr>
        <w:top w:val="none" w:sz="0" w:space="0" w:color="auto"/>
        <w:left w:val="none" w:sz="0" w:space="0" w:color="auto"/>
        <w:bottom w:val="none" w:sz="0" w:space="0" w:color="auto"/>
        <w:right w:val="none" w:sz="0" w:space="0" w:color="auto"/>
      </w:divBdr>
    </w:div>
    <w:div w:id="1989547916">
      <w:bodyDiv w:val="1"/>
      <w:marLeft w:val="0"/>
      <w:marRight w:val="0"/>
      <w:marTop w:val="0"/>
      <w:marBottom w:val="0"/>
      <w:divBdr>
        <w:top w:val="none" w:sz="0" w:space="0" w:color="auto"/>
        <w:left w:val="none" w:sz="0" w:space="0" w:color="auto"/>
        <w:bottom w:val="none" w:sz="0" w:space="0" w:color="auto"/>
        <w:right w:val="none" w:sz="0" w:space="0" w:color="auto"/>
      </w:divBdr>
    </w:div>
    <w:div w:id="1990136790">
      <w:bodyDiv w:val="1"/>
      <w:marLeft w:val="0"/>
      <w:marRight w:val="0"/>
      <w:marTop w:val="0"/>
      <w:marBottom w:val="0"/>
      <w:divBdr>
        <w:top w:val="none" w:sz="0" w:space="0" w:color="auto"/>
        <w:left w:val="none" w:sz="0" w:space="0" w:color="auto"/>
        <w:bottom w:val="none" w:sz="0" w:space="0" w:color="auto"/>
        <w:right w:val="none" w:sz="0" w:space="0" w:color="auto"/>
      </w:divBdr>
    </w:div>
    <w:div w:id="1990281711">
      <w:bodyDiv w:val="1"/>
      <w:marLeft w:val="0"/>
      <w:marRight w:val="0"/>
      <w:marTop w:val="0"/>
      <w:marBottom w:val="0"/>
      <w:divBdr>
        <w:top w:val="none" w:sz="0" w:space="0" w:color="auto"/>
        <w:left w:val="none" w:sz="0" w:space="0" w:color="auto"/>
        <w:bottom w:val="none" w:sz="0" w:space="0" w:color="auto"/>
        <w:right w:val="none" w:sz="0" w:space="0" w:color="auto"/>
      </w:divBdr>
    </w:div>
    <w:div w:id="1990479322">
      <w:bodyDiv w:val="1"/>
      <w:marLeft w:val="0"/>
      <w:marRight w:val="0"/>
      <w:marTop w:val="0"/>
      <w:marBottom w:val="0"/>
      <w:divBdr>
        <w:top w:val="none" w:sz="0" w:space="0" w:color="auto"/>
        <w:left w:val="none" w:sz="0" w:space="0" w:color="auto"/>
        <w:bottom w:val="none" w:sz="0" w:space="0" w:color="auto"/>
        <w:right w:val="none" w:sz="0" w:space="0" w:color="auto"/>
      </w:divBdr>
    </w:div>
    <w:div w:id="1990934860">
      <w:bodyDiv w:val="1"/>
      <w:marLeft w:val="0"/>
      <w:marRight w:val="0"/>
      <w:marTop w:val="0"/>
      <w:marBottom w:val="0"/>
      <w:divBdr>
        <w:top w:val="none" w:sz="0" w:space="0" w:color="auto"/>
        <w:left w:val="none" w:sz="0" w:space="0" w:color="auto"/>
        <w:bottom w:val="none" w:sz="0" w:space="0" w:color="auto"/>
        <w:right w:val="none" w:sz="0" w:space="0" w:color="auto"/>
      </w:divBdr>
    </w:div>
    <w:div w:id="1991055437">
      <w:bodyDiv w:val="1"/>
      <w:marLeft w:val="0"/>
      <w:marRight w:val="0"/>
      <w:marTop w:val="0"/>
      <w:marBottom w:val="0"/>
      <w:divBdr>
        <w:top w:val="none" w:sz="0" w:space="0" w:color="auto"/>
        <w:left w:val="none" w:sz="0" w:space="0" w:color="auto"/>
        <w:bottom w:val="none" w:sz="0" w:space="0" w:color="auto"/>
        <w:right w:val="none" w:sz="0" w:space="0" w:color="auto"/>
      </w:divBdr>
    </w:div>
    <w:div w:id="1991249886">
      <w:bodyDiv w:val="1"/>
      <w:marLeft w:val="0"/>
      <w:marRight w:val="0"/>
      <w:marTop w:val="0"/>
      <w:marBottom w:val="0"/>
      <w:divBdr>
        <w:top w:val="none" w:sz="0" w:space="0" w:color="auto"/>
        <w:left w:val="none" w:sz="0" w:space="0" w:color="auto"/>
        <w:bottom w:val="none" w:sz="0" w:space="0" w:color="auto"/>
        <w:right w:val="none" w:sz="0" w:space="0" w:color="auto"/>
      </w:divBdr>
    </w:div>
    <w:div w:id="1991591477">
      <w:bodyDiv w:val="1"/>
      <w:marLeft w:val="0"/>
      <w:marRight w:val="0"/>
      <w:marTop w:val="0"/>
      <w:marBottom w:val="0"/>
      <w:divBdr>
        <w:top w:val="none" w:sz="0" w:space="0" w:color="auto"/>
        <w:left w:val="none" w:sz="0" w:space="0" w:color="auto"/>
        <w:bottom w:val="none" w:sz="0" w:space="0" w:color="auto"/>
        <w:right w:val="none" w:sz="0" w:space="0" w:color="auto"/>
      </w:divBdr>
    </w:div>
    <w:div w:id="1991865874">
      <w:bodyDiv w:val="1"/>
      <w:marLeft w:val="0"/>
      <w:marRight w:val="0"/>
      <w:marTop w:val="0"/>
      <w:marBottom w:val="0"/>
      <w:divBdr>
        <w:top w:val="none" w:sz="0" w:space="0" w:color="auto"/>
        <w:left w:val="none" w:sz="0" w:space="0" w:color="auto"/>
        <w:bottom w:val="none" w:sz="0" w:space="0" w:color="auto"/>
        <w:right w:val="none" w:sz="0" w:space="0" w:color="auto"/>
      </w:divBdr>
    </w:div>
    <w:div w:id="1991901913">
      <w:bodyDiv w:val="1"/>
      <w:marLeft w:val="0"/>
      <w:marRight w:val="0"/>
      <w:marTop w:val="0"/>
      <w:marBottom w:val="0"/>
      <w:divBdr>
        <w:top w:val="none" w:sz="0" w:space="0" w:color="auto"/>
        <w:left w:val="none" w:sz="0" w:space="0" w:color="auto"/>
        <w:bottom w:val="none" w:sz="0" w:space="0" w:color="auto"/>
        <w:right w:val="none" w:sz="0" w:space="0" w:color="auto"/>
      </w:divBdr>
    </w:div>
    <w:div w:id="1992437633">
      <w:bodyDiv w:val="1"/>
      <w:marLeft w:val="0"/>
      <w:marRight w:val="0"/>
      <w:marTop w:val="0"/>
      <w:marBottom w:val="0"/>
      <w:divBdr>
        <w:top w:val="none" w:sz="0" w:space="0" w:color="auto"/>
        <w:left w:val="none" w:sz="0" w:space="0" w:color="auto"/>
        <w:bottom w:val="none" w:sz="0" w:space="0" w:color="auto"/>
        <w:right w:val="none" w:sz="0" w:space="0" w:color="auto"/>
      </w:divBdr>
    </w:div>
    <w:div w:id="1992519109">
      <w:bodyDiv w:val="1"/>
      <w:marLeft w:val="0"/>
      <w:marRight w:val="0"/>
      <w:marTop w:val="0"/>
      <w:marBottom w:val="0"/>
      <w:divBdr>
        <w:top w:val="none" w:sz="0" w:space="0" w:color="auto"/>
        <w:left w:val="none" w:sz="0" w:space="0" w:color="auto"/>
        <w:bottom w:val="none" w:sz="0" w:space="0" w:color="auto"/>
        <w:right w:val="none" w:sz="0" w:space="0" w:color="auto"/>
      </w:divBdr>
    </w:div>
    <w:div w:id="1992638886">
      <w:bodyDiv w:val="1"/>
      <w:marLeft w:val="0"/>
      <w:marRight w:val="0"/>
      <w:marTop w:val="0"/>
      <w:marBottom w:val="0"/>
      <w:divBdr>
        <w:top w:val="none" w:sz="0" w:space="0" w:color="auto"/>
        <w:left w:val="none" w:sz="0" w:space="0" w:color="auto"/>
        <w:bottom w:val="none" w:sz="0" w:space="0" w:color="auto"/>
        <w:right w:val="none" w:sz="0" w:space="0" w:color="auto"/>
      </w:divBdr>
    </w:div>
    <w:div w:id="1992901338">
      <w:bodyDiv w:val="1"/>
      <w:marLeft w:val="0"/>
      <w:marRight w:val="0"/>
      <w:marTop w:val="0"/>
      <w:marBottom w:val="0"/>
      <w:divBdr>
        <w:top w:val="none" w:sz="0" w:space="0" w:color="auto"/>
        <w:left w:val="none" w:sz="0" w:space="0" w:color="auto"/>
        <w:bottom w:val="none" w:sz="0" w:space="0" w:color="auto"/>
        <w:right w:val="none" w:sz="0" w:space="0" w:color="auto"/>
      </w:divBdr>
    </w:div>
    <w:div w:id="1993099283">
      <w:bodyDiv w:val="1"/>
      <w:marLeft w:val="0"/>
      <w:marRight w:val="0"/>
      <w:marTop w:val="0"/>
      <w:marBottom w:val="0"/>
      <w:divBdr>
        <w:top w:val="none" w:sz="0" w:space="0" w:color="auto"/>
        <w:left w:val="none" w:sz="0" w:space="0" w:color="auto"/>
        <w:bottom w:val="none" w:sz="0" w:space="0" w:color="auto"/>
        <w:right w:val="none" w:sz="0" w:space="0" w:color="auto"/>
      </w:divBdr>
    </w:div>
    <w:div w:id="1993290615">
      <w:bodyDiv w:val="1"/>
      <w:marLeft w:val="0"/>
      <w:marRight w:val="0"/>
      <w:marTop w:val="0"/>
      <w:marBottom w:val="0"/>
      <w:divBdr>
        <w:top w:val="none" w:sz="0" w:space="0" w:color="auto"/>
        <w:left w:val="none" w:sz="0" w:space="0" w:color="auto"/>
        <w:bottom w:val="none" w:sz="0" w:space="0" w:color="auto"/>
        <w:right w:val="none" w:sz="0" w:space="0" w:color="auto"/>
      </w:divBdr>
    </w:div>
    <w:div w:id="1993290928">
      <w:bodyDiv w:val="1"/>
      <w:marLeft w:val="0"/>
      <w:marRight w:val="0"/>
      <w:marTop w:val="0"/>
      <w:marBottom w:val="0"/>
      <w:divBdr>
        <w:top w:val="none" w:sz="0" w:space="0" w:color="auto"/>
        <w:left w:val="none" w:sz="0" w:space="0" w:color="auto"/>
        <w:bottom w:val="none" w:sz="0" w:space="0" w:color="auto"/>
        <w:right w:val="none" w:sz="0" w:space="0" w:color="auto"/>
      </w:divBdr>
    </w:div>
    <w:div w:id="1993950807">
      <w:bodyDiv w:val="1"/>
      <w:marLeft w:val="0"/>
      <w:marRight w:val="0"/>
      <w:marTop w:val="0"/>
      <w:marBottom w:val="0"/>
      <w:divBdr>
        <w:top w:val="none" w:sz="0" w:space="0" w:color="auto"/>
        <w:left w:val="none" w:sz="0" w:space="0" w:color="auto"/>
        <w:bottom w:val="none" w:sz="0" w:space="0" w:color="auto"/>
        <w:right w:val="none" w:sz="0" w:space="0" w:color="auto"/>
      </w:divBdr>
    </w:div>
    <w:div w:id="1994403565">
      <w:bodyDiv w:val="1"/>
      <w:marLeft w:val="0"/>
      <w:marRight w:val="0"/>
      <w:marTop w:val="0"/>
      <w:marBottom w:val="0"/>
      <w:divBdr>
        <w:top w:val="none" w:sz="0" w:space="0" w:color="auto"/>
        <w:left w:val="none" w:sz="0" w:space="0" w:color="auto"/>
        <w:bottom w:val="none" w:sz="0" w:space="0" w:color="auto"/>
        <w:right w:val="none" w:sz="0" w:space="0" w:color="auto"/>
      </w:divBdr>
    </w:div>
    <w:div w:id="1994530548">
      <w:bodyDiv w:val="1"/>
      <w:marLeft w:val="0"/>
      <w:marRight w:val="0"/>
      <w:marTop w:val="0"/>
      <w:marBottom w:val="0"/>
      <w:divBdr>
        <w:top w:val="none" w:sz="0" w:space="0" w:color="auto"/>
        <w:left w:val="none" w:sz="0" w:space="0" w:color="auto"/>
        <w:bottom w:val="none" w:sz="0" w:space="0" w:color="auto"/>
        <w:right w:val="none" w:sz="0" w:space="0" w:color="auto"/>
      </w:divBdr>
    </w:div>
    <w:div w:id="1995260093">
      <w:bodyDiv w:val="1"/>
      <w:marLeft w:val="0"/>
      <w:marRight w:val="0"/>
      <w:marTop w:val="0"/>
      <w:marBottom w:val="0"/>
      <w:divBdr>
        <w:top w:val="none" w:sz="0" w:space="0" w:color="auto"/>
        <w:left w:val="none" w:sz="0" w:space="0" w:color="auto"/>
        <w:bottom w:val="none" w:sz="0" w:space="0" w:color="auto"/>
        <w:right w:val="none" w:sz="0" w:space="0" w:color="auto"/>
      </w:divBdr>
    </w:div>
    <w:div w:id="1995521857">
      <w:bodyDiv w:val="1"/>
      <w:marLeft w:val="0"/>
      <w:marRight w:val="0"/>
      <w:marTop w:val="0"/>
      <w:marBottom w:val="0"/>
      <w:divBdr>
        <w:top w:val="none" w:sz="0" w:space="0" w:color="auto"/>
        <w:left w:val="none" w:sz="0" w:space="0" w:color="auto"/>
        <w:bottom w:val="none" w:sz="0" w:space="0" w:color="auto"/>
        <w:right w:val="none" w:sz="0" w:space="0" w:color="auto"/>
      </w:divBdr>
    </w:div>
    <w:div w:id="1995528428">
      <w:bodyDiv w:val="1"/>
      <w:marLeft w:val="0"/>
      <w:marRight w:val="0"/>
      <w:marTop w:val="0"/>
      <w:marBottom w:val="0"/>
      <w:divBdr>
        <w:top w:val="none" w:sz="0" w:space="0" w:color="auto"/>
        <w:left w:val="none" w:sz="0" w:space="0" w:color="auto"/>
        <w:bottom w:val="none" w:sz="0" w:space="0" w:color="auto"/>
        <w:right w:val="none" w:sz="0" w:space="0" w:color="auto"/>
      </w:divBdr>
    </w:div>
    <w:div w:id="1995643924">
      <w:bodyDiv w:val="1"/>
      <w:marLeft w:val="0"/>
      <w:marRight w:val="0"/>
      <w:marTop w:val="0"/>
      <w:marBottom w:val="0"/>
      <w:divBdr>
        <w:top w:val="none" w:sz="0" w:space="0" w:color="auto"/>
        <w:left w:val="none" w:sz="0" w:space="0" w:color="auto"/>
        <w:bottom w:val="none" w:sz="0" w:space="0" w:color="auto"/>
        <w:right w:val="none" w:sz="0" w:space="0" w:color="auto"/>
      </w:divBdr>
    </w:div>
    <w:div w:id="1995720315">
      <w:bodyDiv w:val="1"/>
      <w:marLeft w:val="0"/>
      <w:marRight w:val="0"/>
      <w:marTop w:val="0"/>
      <w:marBottom w:val="0"/>
      <w:divBdr>
        <w:top w:val="none" w:sz="0" w:space="0" w:color="auto"/>
        <w:left w:val="none" w:sz="0" w:space="0" w:color="auto"/>
        <w:bottom w:val="none" w:sz="0" w:space="0" w:color="auto"/>
        <w:right w:val="none" w:sz="0" w:space="0" w:color="auto"/>
      </w:divBdr>
    </w:div>
    <w:div w:id="1995865183">
      <w:bodyDiv w:val="1"/>
      <w:marLeft w:val="0"/>
      <w:marRight w:val="0"/>
      <w:marTop w:val="0"/>
      <w:marBottom w:val="0"/>
      <w:divBdr>
        <w:top w:val="none" w:sz="0" w:space="0" w:color="auto"/>
        <w:left w:val="none" w:sz="0" w:space="0" w:color="auto"/>
        <w:bottom w:val="none" w:sz="0" w:space="0" w:color="auto"/>
        <w:right w:val="none" w:sz="0" w:space="0" w:color="auto"/>
      </w:divBdr>
    </w:div>
    <w:div w:id="1996639179">
      <w:bodyDiv w:val="1"/>
      <w:marLeft w:val="0"/>
      <w:marRight w:val="0"/>
      <w:marTop w:val="0"/>
      <w:marBottom w:val="0"/>
      <w:divBdr>
        <w:top w:val="none" w:sz="0" w:space="0" w:color="auto"/>
        <w:left w:val="none" w:sz="0" w:space="0" w:color="auto"/>
        <w:bottom w:val="none" w:sz="0" w:space="0" w:color="auto"/>
        <w:right w:val="none" w:sz="0" w:space="0" w:color="auto"/>
      </w:divBdr>
    </w:div>
    <w:div w:id="1996911690">
      <w:bodyDiv w:val="1"/>
      <w:marLeft w:val="0"/>
      <w:marRight w:val="0"/>
      <w:marTop w:val="0"/>
      <w:marBottom w:val="0"/>
      <w:divBdr>
        <w:top w:val="none" w:sz="0" w:space="0" w:color="auto"/>
        <w:left w:val="none" w:sz="0" w:space="0" w:color="auto"/>
        <w:bottom w:val="none" w:sz="0" w:space="0" w:color="auto"/>
        <w:right w:val="none" w:sz="0" w:space="0" w:color="auto"/>
      </w:divBdr>
    </w:div>
    <w:div w:id="1996951898">
      <w:bodyDiv w:val="1"/>
      <w:marLeft w:val="0"/>
      <w:marRight w:val="0"/>
      <w:marTop w:val="0"/>
      <w:marBottom w:val="0"/>
      <w:divBdr>
        <w:top w:val="none" w:sz="0" w:space="0" w:color="auto"/>
        <w:left w:val="none" w:sz="0" w:space="0" w:color="auto"/>
        <w:bottom w:val="none" w:sz="0" w:space="0" w:color="auto"/>
        <w:right w:val="none" w:sz="0" w:space="0" w:color="auto"/>
      </w:divBdr>
    </w:div>
    <w:div w:id="1996952723">
      <w:bodyDiv w:val="1"/>
      <w:marLeft w:val="0"/>
      <w:marRight w:val="0"/>
      <w:marTop w:val="0"/>
      <w:marBottom w:val="0"/>
      <w:divBdr>
        <w:top w:val="none" w:sz="0" w:space="0" w:color="auto"/>
        <w:left w:val="none" w:sz="0" w:space="0" w:color="auto"/>
        <w:bottom w:val="none" w:sz="0" w:space="0" w:color="auto"/>
        <w:right w:val="none" w:sz="0" w:space="0" w:color="auto"/>
      </w:divBdr>
    </w:div>
    <w:div w:id="1997034037">
      <w:bodyDiv w:val="1"/>
      <w:marLeft w:val="0"/>
      <w:marRight w:val="0"/>
      <w:marTop w:val="0"/>
      <w:marBottom w:val="0"/>
      <w:divBdr>
        <w:top w:val="none" w:sz="0" w:space="0" w:color="auto"/>
        <w:left w:val="none" w:sz="0" w:space="0" w:color="auto"/>
        <w:bottom w:val="none" w:sz="0" w:space="0" w:color="auto"/>
        <w:right w:val="none" w:sz="0" w:space="0" w:color="auto"/>
      </w:divBdr>
    </w:div>
    <w:div w:id="1997301459">
      <w:bodyDiv w:val="1"/>
      <w:marLeft w:val="0"/>
      <w:marRight w:val="0"/>
      <w:marTop w:val="0"/>
      <w:marBottom w:val="0"/>
      <w:divBdr>
        <w:top w:val="none" w:sz="0" w:space="0" w:color="auto"/>
        <w:left w:val="none" w:sz="0" w:space="0" w:color="auto"/>
        <w:bottom w:val="none" w:sz="0" w:space="0" w:color="auto"/>
        <w:right w:val="none" w:sz="0" w:space="0" w:color="auto"/>
      </w:divBdr>
    </w:div>
    <w:div w:id="1997372459">
      <w:bodyDiv w:val="1"/>
      <w:marLeft w:val="0"/>
      <w:marRight w:val="0"/>
      <w:marTop w:val="0"/>
      <w:marBottom w:val="0"/>
      <w:divBdr>
        <w:top w:val="none" w:sz="0" w:space="0" w:color="auto"/>
        <w:left w:val="none" w:sz="0" w:space="0" w:color="auto"/>
        <w:bottom w:val="none" w:sz="0" w:space="0" w:color="auto"/>
        <w:right w:val="none" w:sz="0" w:space="0" w:color="auto"/>
      </w:divBdr>
    </w:div>
    <w:div w:id="1997490074">
      <w:bodyDiv w:val="1"/>
      <w:marLeft w:val="0"/>
      <w:marRight w:val="0"/>
      <w:marTop w:val="0"/>
      <w:marBottom w:val="0"/>
      <w:divBdr>
        <w:top w:val="none" w:sz="0" w:space="0" w:color="auto"/>
        <w:left w:val="none" w:sz="0" w:space="0" w:color="auto"/>
        <w:bottom w:val="none" w:sz="0" w:space="0" w:color="auto"/>
        <w:right w:val="none" w:sz="0" w:space="0" w:color="auto"/>
      </w:divBdr>
    </w:div>
    <w:div w:id="1997537436">
      <w:bodyDiv w:val="1"/>
      <w:marLeft w:val="0"/>
      <w:marRight w:val="0"/>
      <w:marTop w:val="0"/>
      <w:marBottom w:val="0"/>
      <w:divBdr>
        <w:top w:val="none" w:sz="0" w:space="0" w:color="auto"/>
        <w:left w:val="none" w:sz="0" w:space="0" w:color="auto"/>
        <w:bottom w:val="none" w:sz="0" w:space="0" w:color="auto"/>
        <w:right w:val="none" w:sz="0" w:space="0" w:color="auto"/>
      </w:divBdr>
    </w:div>
    <w:div w:id="1997806780">
      <w:bodyDiv w:val="1"/>
      <w:marLeft w:val="0"/>
      <w:marRight w:val="0"/>
      <w:marTop w:val="0"/>
      <w:marBottom w:val="0"/>
      <w:divBdr>
        <w:top w:val="none" w:sz="0" w:space="0" w:color="auto"/>
        <w:left w:val="none" w:sz="0" w:space="0" w:color="auto"/>
        <w:bottom w:val="none" w:sz="0" w:space="0" w:color="auto"/>
        <w:right w:val="none" w:sz="0" w:space="0" w:color="auto"/>
      </w:divBdr>
    </w:div>
    <w:div w:id="1997875926">
      <w:bodyDiv w:val="1"/>
      <w:marLeft w:val="0"/>
      <w:marRight w:val="0"/>
      <w:marTop w:val="0"/>
      <w:marBottom w:val="0"/>
      <w:divBdr>
        <w:top w:val="none" w:sz="0" w:space="0" w:color="auto"/>
        <w:left w:val="none" w:sz="0" w:space="0" w:color="auto"/>
        <w:bottom w:val="none" w:sz="0" w:space="0" w:color="auto"/>
        <w:right w:val="none" w:sz="0" w:space="0" w:color="auto"/>
      </w:divBdr>
    </w:div>
    <w:div w:id="1999308957">
      <w:bodyDiv w:val="1"/>
      <w:marLeft w:val="0"/>
      <w:marRight w:val="0"/>
      <w:marTop w:val="0"/>
      <w:marBottom w:val="0"/>
      <w:divBdr>
        <w:top w:val="none" w:sz="0" w:space="0" w:color="auto"/>
        <w:left w:val="none" w:sz="0" w:space="0" w:color="auto"/>
        <w:bottom w:val="none" w:sz="0" w:space="0" w:color="auto"/>
        <w:right w:val="none" w:sz="0" w:space="0" w:color="auto"/>
      </w:divBdr>
    </w:div>
    <w:div w:id="1999528561">
      <w:bodyDiv w:val="1"/>
      <w:marLeft w:val="0"/>
      <w:marRight w:val="0"/>
      <w:marTop w:val="0"/>
      <w:marBottom w:val="0"/>
      <w:divBdr>
        <w:top w:val="none" w:sz="0" w:space="0" w:color="auto"/>
        <w:left w:val="none" w:sz="0" w:space="0" w:color="auto"/>
        <w:bottom w:val="none" w:sz="0" w:space="0" w:color="auto"/>
        <w:right w:val="none" w:sz="0" w:space="0" w:color="auto"/>
      </w:divBdr>
    </w:div>
    <w:div w:id="1999532287">
      <w:bodyDiv w:val="1"/>
      <w:marLeft w:val="0"/>
      <w:marRight w:val="0"/>
      <w:marTop w:val="0"/>
      <w:marBottom w:val="0"/>
      <w:divBdr>
        <w:top w:val="none" w:sz="0" w:space="0" w:color="auto"/>
        <w:left w:val="none" w:sz="0" w:space="0" w:color="auto"/>
        <w:bottom w:val="none" w:sz="0" w:space="0" w:color="auto"/>
        <w:right w:val="none" w:sz="0" w:space="0" w:color="auto"/>
      </w:divBdr>
    </w:div>
    <w:div w:id="1999727358">
      <w:bodyDiv w:val="1"/>
      <w:marLeft w:val="0"/>
      <w:marRight w:val="0"/>
      <w:marTop w:val="0"/>
      <w:marBottom w:val="0"/>
      <w:divBdr>
        <w:top w:val="none" w:sz="0" w:space="0" w:color="auto"/>
        <w:left w:val="none" w:sz="0" w:space="0" w:color="auto"/>
        <w:bottom w:val="none" w:sz="0" w:space="0" w:color="auto"/>
        <w:right w:val="none" w:sz="0" w:space="0" w:color="auto"/>
      </w:divBdr>
    </w:div>
    <w:div w:id="1999765945">
      <w:bodyDiv w:val="1"/>
      <w:marLeft w:val="0"/>
      <w:marRight w:val="0"/>
      <w:marTop w:val="0"/>
      <w:marBottom w:val="0"/>
      <w:divBdr>
        <w:top w:val="none" w:sz="0" w:space="0" w:color="auto"/>
        <w:left w:val="none" w:sz="0" w:space="0" w:color="auto"/>
        <w:bottom w:val="none" w:sz="0" w:space="0" w:color="auto"/>
        <w:right w:val="none" w:sz="0" w:space="0" w:color="auto"/>
      </w:divBdr>
    </w:div>
    <w:div w:id="1999964840">
      <w:bodyDiv w:val="1"/>
      <w:marLeft w:val="0"/>
      <w:marRight w:val="0"/>
      <w:marTop w:val="0"/>
      <w:marBottom w:val="0"/>
      <w:divBdr>
        <w:top w:val="none" w:sz="0" w:space="0" w:color="auto"/>
        <w:left w:val="none" w:sz="0" w:space="0" w:color="auto"/>
        <w:bottom w:val="none" w:sz="0" w:space="0" w:color="auto"/>
        <w:right w:val="none" w:sz="0" w:space="0" w:color="auto"/>
      </w:divBdr>
    </w:div>
    <w:div w:id="2000032734">
      <w:bodyDiv w:val="1"/>
      <w:marLeft w:val="0"/>
      <w:marRight w:val="0"/>
      <w:marTop w:val="0"/>
      <w:marBottom w:val="0"/>
      <w:divBdr>
        <w:top w:val="none" w:sz="0" w:space="0" w:color="auto"/>
        <w:left w:val="none" w:sz="0" w:space="0" w:color="auto"/>
        <w:bottom w:val="none" w:sz="0" w:space="0" w:color="auto"/>
        <w:right w:val="none" w:sz="0" w:space="0" w:color="auto"/>
      </w:divBdr>
    </w:div>
    <w:div w:id="2000381880">
      <w:bodyDiv w:val="1"/>
      <w:marLeft w:val="0"/>
      <w:marRight w:val="0"/>
      <w:marTop w:val="0"/>
      <w:marBottom w:val="0"/>
      <w:divBdr>
        <w:top w:val="none" w:sz="0" w:space="0" w:color="auto"/>
        <w:left w:val="none" w:sz="0" w:space="0" w:color="auto"/>
        <w:bottom w:val="none" w:sz="0" w:space="0" w:color="auto"/>
        <w:right w:val="none" w:sz="0" w:space="0" w:color="auto"/>
      </w:divBdr>
    </w:div>
    <w:div w:id="2000428121">
      <w:bodyDiv w:val="1"/>
      <w:marLeft w:val="0"/>
      <w:marRight w:val="0"/>
      <w:marTop w:val="0"/>
      <w:marBottom w:val="0"/>
      <w:divBdr>
        <w:top w:val="none" w:sz="0" w:space="0" w:color="auto"/>
        <w:left w:val="none" w:sz="0" w:space="0" w:color="auto"/>
        <w:bottom w:val="none" w:sz="0" w:space="0" w:color="auto"/>
        <w:right w:val="none" w:sz="0" w:space="0" w:color="auto"/>
      </w:divBdr>
    </w:div>
    <w:div w:id="2000497091">
      <w:bodyDiv w:val="1"/>
      <w:marLeft w:val="0"/>
      <w:marRight w:val="0"/>
      <w:marTop w:val="0"/>
      <w:marBottom w:val="0"/>
      <w:divBdr>
        <w:top w:val="none" w:sz="0" w:space="0" w:color="auto"/>
        <w:left w:val="none" w:sz="0" w:space="0" w:color="auto"/>
        <w:bottom w:val="none" w:sz="0" w:space="0" w:color="auto"/>
        <w:right w:val="none" w:sz="0" w:space="0" w:color="auto"/>
      </w:divBdr>
    </w:div>
    <w:div w:id="2000883189">
      <w:bodyDiv w:val="1"/>
      <w:marLeft w:val="0"/>
      <w:marRight w:val="0"/>
      <w:marTop w:val="0"/>
      <w:marBottom w:val="0"/>
      <w:divBdr>
        <w:top w:val="none" w:sz="0" w:space="0" w:color="auto"/>
        <w:left w:val="none" w:sz="0" w:space="0" w:color="auto"/>
        <w:bottom w:val="none" w:sz="0" w:space="0" w:color="auto"/>
        <w:right w:val="none" w:sz="0" w:space="0" w:color="auto"/>
      </w:divBdr>
    </w:div>
    <w:div w:id="2000961893">
      <w:bodyDiv w:val="1"/>
      <w:marLeft w:val="0"/>
      <w:marRight w:val="0"/>
      <w:marTop w:val="0"/>
      <w:marBottom w:val="0"/>
      <w:divBdr>
        <w:top w:val="none" w:sz="0" w:space="0" w:color="auto"/>
        <w:left w:val="none" w:sz="0" w:space="0" w:color="auto"/>
        <w:bottom w:val="none" w:sz="0" w:space="0" w:color="auto"/>
        <w:right w:val="none" w:sz="0" w:space="0" w:color="auto"/>
      </w:divBdr>
    </w:div>
    <w:div w:id="2001621071">
      <w:bodyDiv w:val="1"/>
      <w:marLeft w:val="0"/>
      <w:marRight w:val="0"/>
      <w:marTop w:val="0"/>
      <w:marBottom w:val="0"/>
      <w:divBdr>
        <w:top w:val="none" w:sz="0" w:space="0" w:color="auto"/>
        <w:left w:val="none" w:sz="0" w:space="0" w:color="auto"/>
        <w:bottom w:val="none" w:sz="0" w:space="0" w:color="auto"/>
        <w:right w:val="none" w:sz="0" w:space="0" w:color="auto"/>
      </w:divBdr>
    </w:div>
    <w:div w:id="2001694643">
      <w:bodyDiv w:val="1"/>
      <w:marLeft w:val="0"/>
      <w:marRight w:val="0"/>
      <w:marTop w:val="0"/>
      <w:marBottom w:val="0"/>
      <w:divBdr>
        <w:top w:val="none" w:sz="0" w:space="0" w:color="auto"/>
        <w:left w:val="none" w:sz="0" w:space="0" w:color="auto"/>
        <w:bottom w:val="none" w:sz="0" w:space="0" w:color="auto"/>
        <w:right w:val="none" w:sz="0" w:space="0" w:color="auto"/>
      </w:divBdr>
    </w:div>
    <w:div w:id="2001880042">
      <w:bodyDiv w:val="1"/>
      <w:marLeft w:val="0"/>
      <w:marRight w:val="0"/>
      <w:marTop w:val="0"/>
      <w:marBottom w:val="0"/>
      <w:divBdr>
        <w:top w:val="none" w:sz="0" w:space="0" w:color="auto"/>
        <w:left w:val="none" w:sz="0" w:space="0" w:color="auto"/>
        <w:bottom w:val="none" w:sz="0" w:space="0" w:color="auto"/>
        <w:right w:val="none" w:sz="0" w:space="0" w:color="auto"/>
      </w:divBdr>
    </w:div>
    <w:div w:id="2002612561">
      <w:bodyDiv w:val="1"/>
      <w:marLeft w:val="0"/>
      <w:marRight w:val="0"/>
      <w:marTop w:val="0"/>
      <w:marBottom w:val="0"/>
      <w:divBdr>
        <w:top w:val="none" w:sz="0" w:space="0" w:color="auto"/>
        <w:left w:val="none" w:sz="0" w:space="0" w:color="auto"/>
        <w:bottom w:val="none" w:sz="0" w:space="0" w:color="auto"/>
        <w:right w:val="none" w:sz="0" w:space="0" w:color="auto"/>
      </w:divBdr>
    </w:div>
    <w:div w:id="2002804137">
      <w:bodyDiv w:val="1"/>
      <w:marLeft w:val="0"/>
      <w:marRight w:val="0"/>
      <w:marTop w:val="0"/>
      <w:marBottom w:val="0"/>
      <w:divBdr>
        <w:top w:val="none" w:sz="0" w:space="0" w:color="auto"/>
        <w:left w:val="none" w:sz="0" w:space="0" w:color="auto"/>
        <w:bottom w:val="none" w:sz="0" w:space="0" w:color="auto"/>
        <w:right w:val="none" w:sz="0" w:space="0" w:color="auto"/>
      </w:divBdr>
    </w:div>
    <w:div w:id="2002923428">
      <w:bodyDiv w:val="1"/>
      <w:marLeft w:val="0"/>
      <w:marRight w:val="0"/>
      <w:marTop w:val="0"/>
      <w:marBottom w:val="0"/>
      <w:divBdr>
        <w:top w:val="none" w:sz="0" w:space="0" w:color="auto"/>
        <w:left w:val="none" w:sz="0" w:space="0" w:color="auto"/>
        <w:bottom w:val="none" w:sz="0" w:space="0" w:color="auto"/>
        <w:right w:val="none" w:sz="0" w:space="0" w:color="auto"/>
      </w:divBdr>
    </w:div>
    <w:div w:id="2003392828">
      <w:bodyDiv w:val="1"/>
      <w:marLeft w:val="0"/>
      <w:marRight w:val="0"/>
      <w:marTop w:val="0"/>
      <w:marBottom w:val="0"/>
      <w:divBdr>
        <w:top w:val="none" w:sz="0" w:space="0" w:color="auto"/>
        <w:left w:val="none" w:sz="0" w:space="0" w:color="auto"/>
        <w:bottom w:val="none" w:sz="0" w:space="0" w:color="auto"/>
        <w:right w:val="none" w:sz="0" w:space="0" w:color="auto"/>
      </w:divBdr>
    </w:div>
    <w:div w:id="2003583882">
      <w:bodyDiv w:val="1"/>
      <w:marLeft w:val="0"/>
      <w:marRight w:val="0"/>
      <w:marTop w:val="0"/>
      <w:marBottom w:val="0"/>
      <w:divBdr>
        <w:top w:val="none" w:sz="0" w:space="0" w:color="auto"/>
        <w:left w:val="none" w:sz="0" w:space="0" w:color="auto"/>
        <w:bottom w:val="none" w:sz="0" w:space="0" w:color="auto"/>
        <w:right w:val="none" w:sz="0" w:space="0" w:color="auto"/>
      </w:divBdr>
    </w:div>
    <w:div w:id="2004432363">
      <w:bodyDiv w:val="1"/>
      <w:marLeft w:val="0"/>
      <w:marRight w:val="0"/>
      <w:marTop w:val="0"/>
      <w:marBottom w:val="0"/>
      <w:divBdr>
        <w:top w:val="none" w:sz="0" w:space="0" w:color="auto"/>
        <w:left w:val="none" w:sz="0" w:space="0" w:color="auto"/>
        <w:bottom w:val="none" w:sz="0" w:space="0" w:color="auto"/>
        <w:right w:val="none" w:sz="0" w:space="0" w:color="auto"/>
      </w:divBdr>
    </w:div>
    <w:div w:id="2004580371">
      <w:bodyDiv w:val="1"/>
      <w:marLeft w:val="0"/>
      <w:marRight w:val="0"/>
      <w:marTop w:val="0"/>
      <w:marBottom w:val="0"/>
      <w:divBdr>
        <w:top w:val="none" w:sz="0" w:space="0" w:color="auto"/>
        <w:left w:val="none" w:sz="0" w:space="0" w:color="auto"/>
        <w:bottom w:val="none" w:sz="0" w:space="0" w:color="auto"/>
        <w:right w:val="none" w:sz="0" w:space="0" w:color="auto"/>
      </w:divBdr>
    </w:div>
    <w:div w:id="2004813736">
      <w:bodyDiv w:val="1"/>
      <w:marLeft w:val="0"/>
      <w:marRight w:val="0"/>
      <w:marTop w:val="0"/>
      <w:marBottom w:val="0"/>
      <w:divBdr>
        <w:top w:val="none" w:sz="0" w:space="0" w:color="auto"/>
        <w:left w:val="none" w:sz="0" w:space="0" w:color="auto"/>
        <w:bottom w:val="none" w:sz="0" w:space="0" w:color="auto"/>
        <w:right w:val="none" w:sz="0" w:space="0" w:color="auto"/>
      </w:divBdr>
    </w:div>
    <w:div w:id="2004819158">
      <w:bodyDiv w:val="1"/>
      <w:marLeft w:val="0"/>
      <w:marRight w:val="0"/>
      <w:marTop w:val="0"/>
      <w:marBottom w:val="0"/>
      <w:divBdr>
        <w:top w:val="none" w:sz="0" w:space="0" w:color="auto"/>
        <w:left w:val="none" w:sz="0" w:space="0" w:color="auto"/>
        <w:bottom w:val="none" w:sz="0" w:space="0" w:color="auto"/>
        <w:right w:val="none" w:sz="0" w:space="0" w:color="auto"/>
      </w:divBdr>
    </w:div>
    <w:div w:id="2004968905">
      <w:bodyDiv w:val="1"/>
      <w:marLeft w:val="0"/>
      <w:marRight w:val="0"/>
      <w:marTop w:val="0"/>
      <w:marBottom w:val="0"/>
      <w:divBdr>
        <w:top w:val="none" w:sz="0" w:space="0" w:color="auto"/>
        <w:left w:val="none" w:sz="0" w:space="0" w:color="auto"/>
        <w:bottom w:val="none" w:sz="0" w:space="0" w:color="auto"/>
        <w:right w:val="none" w:sz="0" w:space="0" w:color="auto"/>
      </w:divBdr>
    </w:div>
    <w:div w:id="2005665334">
      <w:bodyDiv w:val="1"/>
      <w:marLeft w:val="0"/>
      <w:marRight w:val="0"/>
      <w:marTop w:val="0"/>
      <w:marBottom w:val="0"/>
      <w:divBdr>
        <w:top w:val="none" w:sz="0" w:space="0" w:color="auto"/>
        <w:left w:val="none" w:sz="0" w:space="0" w:color="auto"/>
        <w:bottom w:val="none" w:sz="0" w:space="0" w:color="auto"/>
        <w:right w:val="none" w:sz="0" w:space="0" w:color="auto"/>
      </w:divBdr>
    </w:div>
    <w:div w:id="2005817330">
      <w:bodyDiv w:val="1"/>
      <w:marLeft w:val="0"/>
      <w:marRight w:val="0"/>
      <w:marTop w:val="0"/>
      <w:marBottom w:val="0"/>
      <w:divBdr>
        <w:top w:val="none" w:sz="0" w:space="0" w:color="auto"/>
        <w:left w:val="none" w:sz="0" w:space="0" w:color="auto"/>
        <w:bottom w:val="none" w:sz="0" w:space="0" w:color="auto"/>
        <w:right w:val="none" w:sz="0" w:space="0" w:color="auto"/>
      </w:divBdr>
    </w:div>
    <w:div w:id="2006009213">
      <w:bodyDiv w:val="1"/>
      <w:marLeft w:val="0"/>
      <w:marRight w:val="0"/>
      <w:marTop w:val="0"/>
      <w:marBottom w:val="0"/>
      <w:divBdr>
        <w:top w:val="none" w:sz="0" w:space="0" w:color="auto"/>
        <w:left w:val="none" w:sz="0" w:space="0" w:color="auto"/>
        <w:bottom w:val="none" w:sz="0" w:space="0" w:color="auto"/>
        <w:right w:val="none" w:sz="0" w:space="0" w:color="auto"/>
      </w:divBdr>
    </w:div>
    <w:div w:id="2006320465">
      <w:bodyDiv w:val="1"/>
      <w:marLeft w:val="0"/>
      <w:marRight w:val="0"/>
      <w:marTop w:val="0"/>
      <w:marBottom w:val="0"/>
      <w:divBdr>
        <w:top w:val="none" w:sz="0" w:space="0" w:color="auto"/>
        <w:left w:val="none" w:sz="0" w:space="0" w:color="auto"/>
        <w:bottom w:val="none" w:sz="0" w:space="0" w:color="auto"/>
        <w:right w:val="none" w:sz="0" w:space="0" w:color="auto"/>
      </w:divBdr>
    </w:div>
    <w:div w:id="2006544170">
      <w:bodyDiv w:val="1"/>
      <w:marLeft w:val="0"/>
      <w:marRight w:val="0"/>
      <w:marTop w:val="0"/>
      <w:marBottom w:val="0"/>
      <w:divBdr>
        <w:top w:val="none" w:sz="0" w:space="0" w:color="auto"/>
        <w:left w:val="none" w:sz="0" w:space="0" w:color="auto"/>
        <w:bottom w:val="none" w:sz="0" w:space="0" w:color="auto"/>
        <w:right w:val="none" w:sz="0" w:space="0" w:color="auto"/>
      </w:divBdr>
    </w:div>
    <w:div w:id="2006737980">
      <w:bodyDiv w:val="1"/>
      <w:marLeft w:val="0"/>
      <w:marRight w:val="0"/>
      <w:marTop w:val="0"/>
      <w:marBottom w:val="0"/>
      <w:divBdr>
        <w:top w:val="none" w:sz="0" w:space="0" w:color="auto"/>
        <w:left w:val="none" w:sz="0" w:space="0" w:color="auto"/>
        <w:bottom w:val="none" w:sz="0" w:space="0" w:color="auto"/>
        <w:right w:val="none" w:sz="0" w:space="0" w:color="auto"/>
      </w:divBdr>
    </w:div>
    <w:div w:id="2006937840">
      <w:bodyDiv w:val="1"/>
      <w:marLeft w:val="0"/>
      <w:marRight w:val="0"/>
      <w:marTop w:val="0"/>
      <w:marBottom w:val="0"/>
      <w:divBdr>
        <w:top w:val="none" w:sz="0" w:space="0" w:color="auto"/>
        <w:left w:val="none" w:sz="0" w:space="0" w:color="auto"/>
        <w:bottom w:val="none" w:sz="0" w:space="0" w:color="auto"/>
        <w:right w:val="none" w:sz="0" w:space="0" w:color="auto"/>
      </w:divBdr>
    </w:div>
    <w:div w:id="2007123084">
      <w:bodyDiv w:val="1"/>
      <w:marLeft w:val="0"/>
      <w:marRight w:val="0"/>
      <w:marTop w:val="0"/>
      <w:marBottom w:val="0"/>
      <w:divBdr>
        <w:top w:val="none" w:sz="0" w:space="0" w:color="auto"/>
        <w:left w:val="none" w:sz="0" w:space="0" w:color="auto"/>
        <w:bottom w:val="none" w:sz="0" w:space="0" w:color="auto"/>
        <w:right w:val="none" w:sz="0" w:space="0" w:color="auto"/>
      </w:divBdr>
    </w:div>
    <w:div w:id="2007174197">
      <w:bodyDiv w:val="1"/>
      <w:marLeft w:val="0"/>
      <w:marRight w:val="0"/>
      <w:marTop w:val="0"/>
      <w:marBottom w:val="0"/>
      <w:divBdr>
        <w:top w:val="none" w:sz="0" w:space="0" w:color="auto"/>
        <w:left w:val="none" w:sz="0" w:space="0" w:color="auto"/>
        <w:bottom w:val="none" w:sz="0" w:space="0" w:color="auto"/>
        <w:right w:val="none" w:sz="0" w:space="0" w:color="auto"/>
      </w:divBdr>
    </w:div>
    <w:div w:id="2007395798">
      <w:bodyDiv w:val="1"/>
      <w:marLeft w:val="0"/>
      <w:marRight w:val="0"/>
      <w:marTop w:val="0"/>
      <w:marBottom w:val="0"/>
      <w:divBdr>
        <w:top w:val="none" w:sz="0" w:space="0" w:color="auto"/>
        <w:left w:val="none" w:sz="0" w:space="0" w:color="auto"/>
        <w:bottom w:val="none" w:sz="0" w:space="0" w:color="auto"/>
        <w:right w:val="none" w:sz="0" w:space="0" w:color="auto"/>
      </w:divBdr>
    </w:div>
    <w:div w:id="2008095839">
      <w:bodyDiv w:val="1"/>
      <w:marLeft w:val="0"/>
      <w:marRight w:val="0"/>
      <w:marTop w:val="0"/>
      <w:marBottom w:val="0"/>
      <w:divBdr>
        <w:top w:val="none" w:sz="0" w:space="0" w:color="auto"/>
        <w:left w:val="none" w:sz="0" w:space="0" w:color="auto"/>
        <w:bottom w:val="none" w:sz="0" w:space="0" w:color="auto"/>
        <w:right w:val="none" w:sz="0" w:space="0" w:color="auto"/>
      </w:divBdr>
    </w:div>
    <w:div w:id="2008096639">
      <w:bodyDiv w:val="1"/>
      <w:marLeft w:val="0"/>
      <w:marRight w:val="0"/>
      <w:marTop w:val="0"/>
      <w:marBottom w:val="0"/>
      <w:divBdr>
        <w:top w:val="none" w:sz="0" w:space="0" w:color="auto"/>
        <w:left w:val="none" w:sz="0" w:space="0" w:color="auto"/>
        <w:bottom w:val="none" w:sz="0" w:space="0" w:color="auto"/>
        <w:right w:val="none" w:sz="0" w:space="0" w:color="auto"/>
      </w:divBdr>
    </w:div>
    <w:div w:id="2008168000">
      <w:bodyDiv w:val="1"/>
      <w:marLeft w:val="0"/>
      <w:marRight w:val="0"/>
      <w:marTop w:val="0"/>
      <w:marBottom w:val="0"/>
      <w:divBdr>
        <w:top w:val="none" w:sz="0" w:space="0" w:color="auto"/>
        <w:left w:val="none" w:sz="0" w:space="0" w:color="auto"/>
        <w:bottom w:val="none" w:sz="0" w:space="0" w:color="auto"/>
        <w:right w:val="none" w:sz="0" w:space="0" w:color="auto"/>
      </w:divBdr>
    </w:div>
    <w:div w:id="2008433798">
      <w:bodyDiv w:val="1"/>
      <w:marLeft w:val="0"/>
      <w:marRight w:val="0"/>
      <w:marTop w:val="0"/>
      <w:marBottom w:val="0"/>
      <w:divBdr>
        <w:top w:val="none" w:sz="0" w:space="0" w:color="auto"/>
        <w:left w:val="none" w:sz="0" w:space="0" w:color="auto"/>
        <w:bottom w:val="none" w:sz="0" w:space="0" w:color="auto"/>
        <w:right w:val="none" w:sz="0" w:space="0" w:color="auto"/>
      </w:divBdr>
    </w:div>
    <w:div w:id="2008822128">
      <w:bodyDiv w:val="1"/>
      <w:marLeft w:val="0"/>
      <w:marRight w:val="0"/>
      <w:marTop w:val="0"/>
      <w:marBottom w:val="0"/>
      <w:divBdr>
        <w:top w:val="none" w:sz="0" w:space="0" w:color="auto"/>
        <w:left w:val="none" w:sz="0" w:space="0" w:color="auto"/>
        <w:bottom w:val="none" w:sz="0" w:space="0" w:color="auto"/>
        <w:right w:val="none" w:sz="0" w:space="0" w:color="auto"/>
      </w:divBdr>
    </w:div>
    <w:div w:id="2009287666">
      <w:bodyDiv w:val="1"/>
      <w:marLeft w:val="0"/>
      <w:marRight w:val="0"/>
      <w:marTop w:val="0"/>
      <w:marBottom w:val="0"/>
      <w:divBdr>
        <w:top w:val="none" w:sz="0" w:space="0" w:color="auto"/>
        <w:left w:val="none" w:sz="0" w:space="0" w:color="auto"/>
        <w:bottom w:val="none" w:sz="0" w:space="0" w:color="auto"/>
        <w:right w:val="none" w:sz="0" w:space="0" w:color="auto"/>
      </w:divBdr>
    </w:div>
    <w:div w:id="2009365569">
      <w:bodyDiv w:val="1"/>
      <w:marLeft w:val="0"/>
      <w:marRight w:val="0"/>
      <w:marTop w:val="0"/>
      <w:marBottom w:val="0"/>
      <w:divBdr>
        <w:top w:val="none" w:sz="0" w:space="0" w:color="auto"/>
        <w:left w:val="none" w:sz="0" w:space="0" w:color="auto"/>
        <w:bottom w:val="none" w:sz="0" w:space="0" w:color="auto"/>
        <w:right w:val="none" w:sz="0" w:space="0" w:color="auto"/>
      </w:divBdr>
    </w:div>
    <w:div w:id="2009863907">
      <w:bodyDiv w:val="1"/>
      <w:marLeft w:val="0"/>
      <w:marRight w:val="0"/>
      <w:marTop w:val="0"/>
      <w:marBottom w:val="0"/>
      <w:divBdr>
        <w:top w:val="none" w:sz="0" w:space="0" w:color="auto"/>
        <w:left w:val="none" w:sz="0" w:space="0" w:color="auto"/>
        <w:bottom w:val="none" w:sz="0" w:space="0" w:color="auto"/>
        <w:right w:val="none" w:sz="0" w:space="0" w:color="auto"/>
      </w:divBdr>
    </w:div>
    <w:div w:id="2010330347">
      <w:bodyDiv w:val="1"/>
      <w:marLeft w:val="0"/>
      <w:marRight w:val="0"/>
      <w:marTop w:val="0"/>
      <w:marBottom w:val="0"/>
      <w:divBdr>
        <w:top w:val="none" w:sz="0" w:space="0" w:color="auto"/>
        <w:left w:val="none" w:sz="0" w:space="0" w:color="auto"/>
        <w:bottom w:val="none" w:sz="0" w:space="0" w:color="auto"/>
        <w:right w:val="none" w:sz="0" w:space="0" w:color="auto"/>
      </w:divBdr>
    </w:div>
    <w:div w:id="2010478377">
      <w:bodyDiv w:val="1"/>
      <w:marLeft w:val="0"/>
      <w:marRight w:val="0"/>
      <w:marTop w:val="0"/>
      <w:marBottom w:val="0"/>
      <w:divBdr>
        <w:top w:val="none" w:sz="0" w:space="0" w:color="auto"/>
        <w:left w:val="none" w:sz="0" w:space="0" w:color="auto"/>
        <w:bottom w:val="none" w:sz="0" w:space="0" w:color="auto"/>
        <w:right w:val="none" w:sz="0" w:space="0" w:color="auto"/>
      </w:divBdr>
    </w:div>
    <w:div w:id="2010592037">
      <w:bodyDiv w:val="1"/>
      <w:marLeft w:val="0"/>
      <w:marRight w:val="0"/>
      <w:marTop w:val="0"/>
      <w:marBottom w:val="0"/>
      <w:divBdr>
        <w:top w:val="none" w:sz="0" w:space="0" w:color="auto"/>
        <w:left w:val="none" w:sz="0" w:space="0" w:color="auto"/>
        <w:bottom w:val="none" w:sz="0" w:space="0" w:color="auto"/>
        <w:right w:val="none" w:sz="0" w:space="0" w:color="auto"/>
      </w:divBdr>
    </w:div>
    <w:div w:id="2010791845">
      <w:bodyDiv w:val="1"/>
      <w:marLeft w:val="0"/>
      <w:marRight w:val="0"/>
      <w:marTop w:val="0"/>
      <w:marBottom w:val="0"/>
      <w:divBdr>
        <w:top w:val="none" w:sz="0" w:space="0" w:color="auto"/>
        <w:left w:val="none" w:sz="0" w:space="0" w:color="auto"/>
        <w:bottom w:val="none" w:sz="0" w:space="0" w:color="auto"/>
        <w:right w:val="none" w:sz="0" w:space="0" w:color="auto"/>
      </w:divBdr>
    </w:div>
    <w:div w:id="2010978721">
      <w:bodyDiv w:val="1"/>
      <w:marLeft w:val="0"/>
      <w:marRight w:val="0"/>
      <w:marTop w:val="0"/>
      <w:marBottom w:val="0"/>
      <w:divBdr>
        <w:top w:val="none" w:sz="0" w:space="0" w:color="auto"/>
        <w:left w:val="none" w:sz="0" w:space="0" w:color="auto"/>
        <w:bottom w:val="none" w:sz="0" w:space="0" w:color="auto"/>
        <w:right w:val="none" w:sz="0" w:space="0" w:color="auto"/>
      </w:divBdr>
    </w:div>
    <w:div w:id="2010983037">
      <w:bodyDiv w:val="1"/>
      <w:marLeft w:val="0"/>
      <w:marRight w:val="0"/>
      <w:marTop w:val="0"/>
      <w:marBottom w:val="0"/>
      <w:divBdr>
        <w:top w:val="none" w:sz="0" w:space="0" w:color="auto"/>
        <w:left w:val="none" w:sz="0" w:space="0" w:color="auto"/>
        <w:bottom w:val="none" w:sz="0" w:space="0" w:color="auto"/>
        <w:right w:val="none" w:sz="0" w:space="0" w:color="auto"/>
      </w:divBdr>
    </w:div>
    <w:div w:id="2011060480">
      <w:bodyDiv w:val="1"/>
      <w:marLeft w:val="0"/>
      <w:marRight w:val="0"/>
      <w:marTop w:val="0"/>
      <w:marBottom w:val="0"/>
      <w:divBdr>
        <w:top w:val="none" w:sz="0" w:space="0" w:color="auto"/>
        <w:left w:val="none" w:sz="0" w:space="0" w:color="auto"/>
        <w:bottom w:val="none" w:sz="0" w:space="0" w:color="auto"/>
        <w:right w:val="none" w:sz="0" w:space="0" w:color="auto"/>
      </w:divBdr>
    </w:div>
    <w:div w:id="2011641578">
      <w:bodyDiv w:val="1"/>
      <w:marLeft w:val="0"/>
      <w:marRight w:val="0"/>
      <w:marTop w:val="0"/>
      <w:marBottom w:val="0"/>
      <w:divBdr>
        <w:top w:val="none" w:sz="0" w:space="0" w:color="auto"/>
        <w:left w:val="none" w:sz="0" w:space="0" w:color="auto"/>
        <w:bottom w:val="none" w:sz="0" w:space="0" w:color="auto"/>
        <w:right w:val="none" w:sz="0" w:space="0" w:color="auto"/>
      </w:divBdr>
    </w:div>
    <w:div w:id="2011828085">
      <w:bodyDiv w:val="1"/>
      <w:marLeft w:val="0"/>
      <w:marRight w:val="0"/>
      <w:marTop w:val="0"/>
      <w:marBottom w:val="0"/>
      <w:divBdr>
        <w:top w:val="none" w:sz="0" w:space="0" w:color="auto"/>
        <w:left w:val="none" w:sz="0" w:space="0" w:color="auto"/>
        <w:bottom w:val="none" w:sz="0" w:space="0" w:color="auto"/>
        <w:right w:val="none" w:sz="0" w:space="0" w:color="auto"/>
      </w:divBdr>
    </w:div>
    <w:div w:id="2012100332">
      <w:bodyDiv w:val="1"/>
      <w:marLeft w:val="0"/>
      <w:marRight w:val="0"/>
      <w:marTop w:val="0"/>
      <w:marBottom w:val="0"/>
      <w:divBdr>
        <w:top w:val="none" w:sz="0" w:space="0" w:color="auto"/>
        <w:left w:val="none" w:sz="0" w:space="0" w:color="auto"/>
        <w:bottom w:val="none" w:sz="0" w:space="0" w:color="auto"/>
        <w:right w:val="none" w:sz="0" w:space="0" w:color="auto"/>
      </w:divBdr>
    </w:div>
    <w:div w:id="2012101480">
      <w:bodyDiv w:val="1"/>
      <w:marLeft w:val="0"/>
      <w:marRight w:val="0"/>
      <w:marTop w:val="0"/>
      <w:marBottom w:val="0"/>
      <w:divBdr>
        <w:top w:val="none" w:sz="0" w:space="0" w:color="auto"/>
        <w:left w:val="none" w:sz="0" w:space="0" w:color="auto"/>
        <w:bottom w:val="none" w:sz="0" w:space="0" w:color="auto"/>
        <w:right w:val="none" w:sz="0" w:space="0" w:color="auto"/>
      </w:divBdr>
    </w:div>
    <w:div w:id="2012633207">
      <w:bodyDiv w:val="1"/>
      <w:marLeft w:val="0"/>
      <w:marRight w:val="0"/>
      <w:marTop w:val="0"/>
      <w:marBottom w:val="0"/>
      <w:divBdr>
        <w:top w:val="none" w:sz="0" w:space="0" w:color="auto"/>
        <w:left w:val="none" w:sz="0" w:space="0" w:color="auto"/>
        <w:bottom w:val="none" w:sz="0" w:space="0" w:color="auto"/>
        <w:right w:val="none" w:sz="0" w:space="0" w:color="auto"/>
      </w:divBdr>
    </w:div>
    <w:div w:id="2012636494">
      <w:bodyDiv w:val="1"/>
      <w:marLeft w:val="0"/>
      <w:marRight w:val="0"/>
      <w:marTop w:val="0"/>
      <w:marBottom w:val="0"/>
      <w:divBdr>
        <w:top w:val="none" w:sz="0" w:space="0" w:color="auto"/>
        <w:left w:val="none" w:sz="0" w:space="0" w:color="auto"/>
        <w:bottom w:val="none" w:sz="0" w:space="0" w:color="auto"/>
        <w:right w:val="none" w:sz="0" w:space="0" w:color="auto"/>
      </w:divBdr>
    </w:div>
    <w:div w:id="2012755326">
      <w:bodyDiv w:val="1"/>
      <w:marLeft w:val="0"/>
      <w:marRight w:val="0"/>
      <w:marTop w:val="0"/>
      <w:marBottom w:val="0"/>
      <w:divBdr>
        <w:top w:val="none" w:sz="0" w:space="0" w:color="auto"/>
        <w:left w:val="none" w:sz="0" w:space="0" w:color="auto"/>
        <w:bottom w:val="none" w:sz="0" w:space="0" w:color="auto"/>
        <w:right w:val="none" w:sz="0" w:space="0" w:color="auto"/>
      </w:divBdr>
    </w:div>
    <w:div w:id="2013069788">
      <w:bodyDiv w:val="1"/>
      <w:marLeft w:val="0"/>
      <w:marRight w:val="0"/>
      <w:marTop w:val="0"/>
      <w:marBottom w:val="0"/>
      <w:divBdr>
        <w:top w:val="none" w:sz="0" w:space="0" w:color="auto"/>
        <w:left w:val="none" w:sz="0" w:space="0" w:color="auto"/>
        <w:bottom w:val="none" w:sz="0" w:space="0" w:color="auto"/>
        <w:right w:val="none" w:sz="0" w:space="0" w:color="auto"/>
      </w:divBdr>
    </w:div>
    <w:div w:id="2013139191">
      <w:bodyDiv w:val="1"/>
      <w:marLeft w:val="0"/>
      <w:marRight w:val="0"/>
      <w:marTop w:val="0"/>
      <w:marBottom w:val="0"/>
      <w:divBdr>
        <w:top w:val="none" w:sz="0" w:space="0" w:color="auto"/>
        <w:left w:val="none" w:sz="0" w:space="0" w:color="auto"/>
        <w:bottom w:val="none" w:sz="0" w:space="0" w:color="auto"/>
        <w:right w:val="none" w:sz="0" w:space="0" w:color="auto"/>
      </w:divBdr>
    </w:div>
    <w:div w:id="2014142984">
      <w:bodyDiv w:val="1"/>
      <w:marLeft w:val="0"/>
      <w:marRight w:val="0"/>
      <w:marTop w:val="0"/>
      <w:marBottom w:val="0"/>
      <w:divBdr>
        <w:top w:val="none" w:sz="0" w:space="0" w:color="auto"/>
        <w:left w:val="none" w:sz="0" w:space="0" w:color="auto"/>
        <w:bottom w:val="none" w:sz="0" w:space="0" w:color="auto"/>
        <w:right w:val="none" w:sz="0" w:space="0" w:color="auto"/>
      </w:divBdr>
    </w:div>
    <w:div w:id="2014183793">
      <w:bodyDiv w:val="1"/>
      <w:marLeft w:val="0"/>
      <w:marRight w:val="0"/>
      <w:marTop w:val="0"/>
      <w:marBottom w:val="0"/>
      <w:divBdr>
        <w:top w:val="none" w:sz="0" w:space="0" w:color="auto"/>
        <w:left w:val="none" w:sz="0" w:space="0" w:color="auto"/>
        <w:bottom w:val="none" w:sz="0" w:space="0" w:color="auto"/>
        <w:right w:val="none" w:sz="0" w:space="0" w:color="auto"/>
      </w:divBdr>
    </w:div>
    <w:div w:id="2014263004">
      <w:bodyDiv w:val="1"/>
      <w:marLeft w:val="0"/>
      <w:marRight w:val="0"/>
      <w:marTop w:val="0"/>
      <w:marBottom w:val="0"/>
      <w:divBdr>
        <w:top w:val="none" w:sz="0" w:space="0" w:color="auto"/>
        <w:left w:val="none" w:sz="0" w:space="0" w:color="auto"/>
        <w:bottom w:val="none" w:sz="0" w:space="0" w:color="auto"/>
        <w:right w:val="none" w:sz="0" w:space="0" w:color="auto"/>
      </w:divBdr>
    </w:div>
    <w:div w:id="2014264054">
      <w:bodyDiv w:val="1"/>
      <w:marLeft w:val="0"/>
      <w:marRight w:val="0"/>
      <w:marTop w:val="0"/>
      <w:marBottom w:val="0"/>
      <w:divBdr>
        <w:top w:val="none" w:sz="0" w:space="0" w:color="auto"/>
        <w:left w:val="none" w:sz="0" w:space="0" w:color="auto"/>
        <w:bottom w:val="none" w:sz="0" w:space="0" w:color="auto"/>
        <w:right w:val="none" w:sz="0" w:space="0" w:color="auto"/>
      </w:divBdr>
    </w:div>
    <w:div w:id="2014330971">
      <w:bodyDiv w:val="1"/>
      <w:marLeft w:val="0"/>
      <w:marRight w:val="0"/>
      <w:marTop w:val="0"/>
      <w:marBottom w:val="0"/>
      <w:divBdr>
        <w:top w:val="none" w:sz="0" w:space="0" w:color="auto"/>
        <w:left w:val="none" w:sz="0" w:space="0" w:color="auto"/>
        <w:bottom w:val="none" w:sz="0" w:space="0" w:color="auto"/>
        <w:right w:val="none" w:sz="0" w:space="0" w:color="auto"/>
      </w:divBdr>
    </w:div>
    <w:div w:id="2014337267">
      <w:bodyDiv w:val="1"/>
      <w:marLeft w:val="0"/>
      <w:marRight w:val="0"/>
      <w:marTop w:val="0"/>
      <w:marBottom w:val="0"/>
      <w:divBdr>
        <w:top w:val="none" w:sz="0" w:space="0" w:color="auto"/>
        <w:left w:val="none" w:sz="0" w:space="0" w:color="auto"/>
        <w:bottom w:val="none" w:sz="0" w:space="0" w:color="auto"/>
        <w:right w:val="none" w:sz="0" w:space="0" w:color="auto"/>
      </w:divBdr>
    </w:div>
    <w:div w:id="2014607893">
      <w:bodyDiv w:val="1"/>
      <w:marLeft w:val="0"/>
      <w:marRight w:val="0"/>
      <w:marTop w:val="0"/>
      <w:marBottom w:val="0"/>
      <w:divBdr>
        <w:top w:val="none" w:sz="0" w:space="0" w:color="auto"/>
        <w:left w:val="none" w:sz="0" w:space="0" w:color="auto"/>
        <w:bottom w:val="none" w:sz="0" w:space="0" w:color="auto"/>
        <w:right w:val="none" w:sz="0" w:space="0" w:color="auto"/>
      </w:divBdr>
    </w:div>
    <w:div w:id="2014793888">
      <w:bodyDiv w:val="1"/>
      <w:marLeft w:val="0"/>
      <w:marRight w:val="0"/>
      <w:marTop w:val="0"/>
      <w:marBottom w:val="0"/>
      <w:divBdr>
        <w:top w:val="none" w:sz="0" w:space="0" w:color="auto"/>
        <w:left w:val="none" w:sz="0" w:space="0" w:color="auto"/>
        <w:bottom w:val="none" w:sz="0" w:space="0" w:color="auto"/>
        <w:right w:val="none" w:sz="0" w:space="0" w:color="auto"/>
      </w:divBdr>
    </w:div>
    <w:div w:id="2015035686">
      <w:bodyDiv w:val="1"/>
      <w:marLeft w:val="0"/>
      <w:marRight w:val="0"/>
      <w:marTop w:val="0"/>
      <w:marBottom w:val="0"/>
      <w:divBdr>
        <w:top w:val="none" w:sz="0" w:space="0" w:color="auto"/>
        <w:left w:val="none" w:sz="0" w:space="0" w:color="auto"/>
        <w:bottom w:val="none" w:sz="0" w:space="0" w:color="auto"/>
        <w:right w:val="none" w:sz="0" w:space="0" w:color="auto"/>
      </w:divBdr>
    </w:div>
    <w:div w:id="2015037088">
      <w:bodyDiv w:val="1"/>
      <w:marLeft w:val="0"/>
      <w:marRight w:val="0"/>
      <w:marTop w:val="0"/>
      <w:marBottom w:val="0"/>
      <w:divBdr>
        <w:top w:val="none" w:sz="0" w:space="0" w:color="auto"/>
        <w:left w:val="none" w:sz="0" w:space="0" w:color="auto"/>
        <w:bottom w:val="none" w:sz="0" w:space="0" w:color="auto"/>
        <w:right w:val="none" w:sz="0" w:space="0" w:color="auto"/>
      </w:divBdr>
    </w:div>
    <w:div w:id="2015062163">
      <w:bodyDiv w:val="1"/>
      <w:marLeft w:val="0"/>
      <w:marRight w:val="0"/>
      <w:marTop w:val="0"/>
      <w:marBottom w:val="0"/>
      <w:divBdr>
        <w:top w:val="none" w:sz="0" w:space="0" w:color="auto"/>
        <w:left w:val="none" w:sz="0" w:space="0" w:color="auto"/>
        <w:bottom w:val="none" w:sz="0" w:space="0" w:color="auto"/>
        <w:right w:val="none" w:sz="0" w:space="0" w:color="auto"/>
      </w:divBdr>
    </w:div>
    <w:div w:id="2015453829">
      <w:bodyDiv w:val="1"/>
      <w:marLeft w:val="0"/>
      <w:marRight w:val="0"/>
      <w:marTop w:val="0"/>
      <w:marBottom w:val="0"/>
      <w:divBdr>
        <w:top w:val="none" w:sz="0" w:space="0" w:color="auto"/>
        <w:left w:val="none" w:sz="0" w:space="0" w:color="auto"/>
        <w:bottom w:val="none" w:sz="0" w:space="0" w:color="auto"/>
        <w:right w:val="none" w:sz="0" w:space="0" w:color="auto"/>
      </w:divBdr>
    </w:div>
    <w:div w:id="2016229800">
      <w:bodyDiv w:val="1"/>
      <w:marLeft w:val="0"/>
      <w:marRight w:val="0"/>
      <w:marTop w:val="0"/>
      <w:marBottom w:val="0"/>
      <w:divBdr>
        <w:top w:val="none" w:sz="0" w:space="0" w:color="auto"/>
        <w:left w:val="none" w:sz="0" w:space="0" w:color="auto"/>
        <w:bottom w:val="none" w:sz="0" w:space="0" w:color="auto"/>
        <w:right w:val="none" w:sz="0" w:space="0" w:color="auto"/>
      </w:divBdr>
    </w:div>
    <w:div w:id="2016612294">
      <w:bodyDiv w:val="1"/>
      <w:marLeft w:val="0"/>
      <w:marRight w:val="0"/>
      <w:marTop w:val="0"/>
      <w:marBottom w:val="0"/>
      <w:divBdr>
        <w:top w:val="none" w:sz="0" w:space="0" w:color="auto"/>
        <w:left w:val="none" w:sz="0" w:space="0" w:color="auto"/>
        <w:bottom w:val="none" w:sz="0" w:space="0" w:color="auto"/>
        <w:right w:val="none" w:sz="0" w:space="0" w:color="auto"/>
      </w:divBdr>
    </w:div>
    <w:div w:id="2016883668">
      <w:bodyDiv w:val="1"/>
      <w:marLeft w:val="0"/>
      <w:marRight w:val="0"/>
      <w:marTop w:val="0"/>
      <w:marBottom w:val="0"/>
      <w:divBdr>
        <w:top w:val="none" w:sz="0" w:space="0" w:color="auto"/>
        <w:left w:val="none" w:sz="0" w:space="0" w:color="auto"/>
        <w:bottom w:val="none" w:sz="0" w:space="0" w:color="auto"/>
        <w:right w:val="none" w:sz="0" w:space="0" w:color="auto"/>
      </w:divBdr>
    </w:div>
    <w:div w:id="2017078242">
      <w:bodyDiv w:val="1"/>
      <w:marLeft w:val="0"/>
      <w:marRight w:val="0"/>
      <w:marTop w:val="0"/>
      <w:marBottom w:val="0"/>
      <w:divBdr>
        <w:top w:val="none" w:sz="0" w:space="0" w:color="auto"/>
        <w:left w:val="none" w:sz="0" w:space="0" w:color="auto"/>
        <w:bottom w:val="none" w:sz="0" w:space="0" w:color="auto"/>
        <w:right w:val="none" w:sz="0" w:space="0" w:color="auto"/>
      </w:divBdr>
    </w:div>
    <w:div w:id="2017223987">
      <w:bodyDiv w:val="1"/>
      <w:marLeft w:val="0"/>
      <w:marRight w:val="0"/>
      <w:marTop w:val="0"/>
      <w:marBottom w:val="0"/>
      <w:divBdr>
        <w:top w:val="none" w:sz="0" w:space="0" w:color="auto"/>
        <w:left w:val="none" w:sz="0" w:space="0" w:color="auto"/>
        <w:bottom w:val="none" w:sz="0" w:space="0" w:color="auto"/>
        <w:right w:val="none" w:sz="0" w:space="0" w:color="auto"/>
      </w:divBdr>
    </w:div>
    <w:div w:id="2017921713">
      <w:bodyDiv w:val="1"/>
      <w:marLeft w:val="0"/>
      <w:marRight w:val="0"/>
      <w:marTop w:val="0"/>
      <w:marBottom w:val="0"/>
      <w:divBdr>
        <w:top w:val="none" w:sz="0" w:space="0" w:color="auto"/>
        <w:left w:val="none" w:sz="0" w:space="0" w:color="auto"/>
        <w:bottom w:val="none" w:sz="0" w:space="0" w:color="auto"/>
        <w:right w:val="none" w:sz="0" w:space="0" w:color="auto"/>
      </w:divBdr>
    </w:div>
    <w:div w:id="2018074367">
      <w:bodyDiv w:val="1"/>
      <w:marLeft w:val="0"/>
      <w:marRight w:val="0"/>
      <w:marTop w:val="0"/>
      <w:marBottom w:val="0"/>
      <w:divBdr>
        <w:top w:val="none" w:sz="0" w:space="0" w:color="auto"/>
        <w:left w:val="none" w:sz="0" w:space="0" w:color="auto"/>
        <w:bottom w:val="none" w:sz="0" w:space="0" w:color="auto"/>
        <w:right w:val="none" w:sz="0" w:space="0" w:color="auto"/>
      </w:divBdr>
    </w:div>
    <w:div w:id="2018531031">
      <w:bodyDiv w:val="1"/>
      <w:marLeft w:val="0"/>
      <w:marRight w:val="0"/>
      <w:marTop w:val="0"/>
      <w:marBottom w:val="0"/>
      <w:divBdr>
        <w:top w:val="none" w:sz="0" w:space="0" w:color="auto"/>
        <w:left w:val="none" w:sz="0" w:space="0" w:color="auto"/>
        <w:bottom w:val="none" w:sz="0" w:space="0" w:color="auto"/>
        <w:right w:val="none" w:sz="0" w:space="0" w:color="auto"/>
      </w:divBdr>
    </w:div>
    <w:div w:id="2018651969">
      <w:bodyDiv w:val="1"/>
      <w:marLeft w:val="0"/>
      <w:marRight w:val="0"/>
      <w:marTop w:val="0"/>
      <w:marBottom w:val="0"/>
      <w:divBdr>
        <w:top w:val="none" w:sz="0" w:space="0" w:color="auto"/>
        <w:left w:val="none" w:sz="0" w:space="0" w:color="auto"/>
        <w:bottom w:val="none" w:sz="0" w:space="0" w:color="auto"/>
        <w:right w:val="none" w:sz="0" w:space="0" w:color="auto"/>
      </w:divBdr>
    </w:div>
    <w:div w:id="2018657589">
      <w:bodyDiv w:val="1"/>
      <w:marLeft w:val="0"/>
      <w:marRight w:val="0"/>
      <w:marTop w:val="0"/>
      <w:marBottom w:val="0"/>
      <w:divBdr>
        <w:top w:val="none" w:sz="0" w:space="0" w:color="auto"/>
        <w:left w:val="none" w:sz="0" w:space="0" w:color="auto"/>
        <w:bottom w:val="none" w:sz="0" w:space="0" w:color="auto"/>
        <w:right w:val="none" w:sz="0" w:space="0" w:color="auto"/>
      </w:divBdr>
    </w:div>
    <w:div w:id="2018967618">
      <w:bodyDiv w:val="1"/>
      <w:marLeft w:val="0"/>
      <w:marRight w:val="0"/>
      <w:marTop w:val="0"/>
      <w:marBottom w:val="0"/>
      <w:divBdr>
        <w:top w:val="none" w:sz="0" w:space="0" w:color="auto"/>
        <w:left w:val="none" w:sz="0" w:space="0" w:color="auto"/>
        <w:bottom w:val="none" w:sz="0" w:space="0" w:color="auto"/>
        <w:right w:val="none" w:sz="0" w:space="0" w:color="auto"/>
      </w:divBdr>
    </w:div>
    <w:div w:id="2018998672">
      <w:bodyDiv w:val="1"/>
      <w:marLeft w:val="0"/>
      <w:marRight w:val="0"/>
      <w:marTop w:val="0"/>
      <w:marBottom w:val="0"/>
      <w:divBdr>
        <w:top w:val="none" w:sz="0" w:space="0" w:color="auto"/>
        <w:left w:val="none" w:sz="0" w:space="0" w:color="auto"/>
        <w:bottom w:val="none" w:sz="0" w:space="0" w:color="auto"/>
        <w:right w:val="none" w:sz="0" w:space="0" w:color="auto"/>
      </w:divBdr>
    </w:div>
    <w:div w:id="2018998983">
      <w:bodyDiv w:val="1"/>
      <w:marLeft w:val="0"/>
      <w:marRight w:val="0"/>
      <w:marTop w:val="0"/>
      <w:marBottom w:val="0"/>
      <w:divBdr>
        <w:top w:val="none" w:sz="0" w:space="0" w:color="auto"/>
        <w:left w:val="none" w:sz="0" w:space="0" w:color="auto"/>
        <w:bottom w:val="none" w:sz="0" w:space="0" w:color="auto"/>
        <w:right w:val="none" w:sz="0" w:space="0" w:color="auto"/>
      </w:divBdr>
    </w:div>
    <w:div w:id="2019117749">
      <w:bodyDiv w:val="1"/>
      <w:marLeft w:val="0"/>
      <w:marRight w:val="0"/>
      <w:marTop w:val="0"/>
      <w:marBottom w:val="0"/>
      <w:divBdr>
        <w:top w:val="none" w:sz="0" w:space="0" w:color="auto"/>
        <w:left w:val="none" w:sz="0" w:space="0" w:color="auto"/>
        <w:bottom w:val="none" w:sz="0" w:space="0" w:color="auto"/>
        <w:right w:val="none" w:sz="0" w:space="0" w:color="auto"/>
      </w:divBdr>
    </w:div>
    <w:div w:id="2019428291">
      <w:bodyDiv w:val="1"/>
      <w:marLeft w:val="0"/>
      <w:marRight w:val="0"/>
      <w:marTop w:val="0"/>
      <w:marBottom w:val="0"/>
      <w:divBdr>
        <w:top w:val="none" w:sz="0" w:space="0" w:color="auto"/>
        <w:left w:val="none" w:sz="0" w:space="0" w:color="auto"/>
        <w:bottom w:val="none" w:sz="0" w:space="0" w:color="auto"/>
        <w:right w:val="none" w:sz="0" w:space="0" w:color="auto"/>
      </w:divBdr>
    </w:div>
    <w:div w:id="2019428632">
      <w:bodyDiv w:val="1"/>
      <w:marLeft w:val="0"/>
      <w:marRight w:val="0"/>
      <w:marTop w:val="0"/>
      <w:marBottom w:val="0"/>
      <w:divBdr>
        <w:top w:val="none" w:sz="0" w:space="0" w:color="auto"/>
        <w:left w:val="none" w:sz="0" w:space="0" w:color="auto"/>
        <w:bottom w:val="none" w:sz="0" w:space="0" w:color="auto"/>
        <w:right w:val="none" w:sz="0" w:space="0" w:color="auto"/>
      </w:divBdr>
    </w:div>
    <w:div w:id="2019650462">
      <w:bodyDiv w:val="1"/>
      <w:marLeft w:val="0"/>
      <w:marRight w:val="0"/>
      <w:marTop w:val="0"/>
      <w:marBottom w:val="0"/>
      <w:divBdr>
        <w:top w:val="none" w:sz="0" w:space="0" w:color="auto"/>
        <w:left w:val="none" w:sz="0" w:space="0" w:color="auto"/>
        <w:bottom w:val="none" w:sz="0" w:space="0" w:color="auto"/>
        <w:right w:val="none" w:sz="0" w:space="0" w:color="auto"/>
      </w:divBdr>
    </w:div>
    <w:div w:id="2020039360">
      <w:bodyDiv w:val="1"/>
      <w:marLeft w:val="0"/>
      <w:marRight w:val="0"/>
      <w:marTop w:val="0"/>
      <w:marBottom w:val="0"/>
      <w:divBdr>
        <w:top w:val="none" w:sz="0" w:space="0" w:color="auto"/>
        <w:left w:val="none" w:sz="0" w:space="0" w:color="auto"/>
        <w:bottom w:val="none" w:sz="0" w:space="0" w:color="auto"/>
        <w:right w:val="none" w:sz="0" w:space="0" w:color="auto"/>
      </w:divBdr>
    </w:div>
    <w:div w:id="2020231321">
      <w:bodyDiv w:val="1"/>
      <w:marLeft w:val="0"/>
      <w:marRight w:val="0"/>
      <w:marTop w:val="0"/>
      <w:marBottom w:val="0"/>
      <w:divBdr>
        <w:top w:val="none" w:sz="0" w:space="0" w:color="auto"/>
        <w:left w:val="none" w:sz="0" w:space="0" w:color="auto"/>
        <w:bottom w:val="none" w:sz="0" w:space="0" w:color="auto"/>
        <w:right w:val="none" w:sz="0" w:space="0" w:color="auto"/>
      </w:divBdr>
    </w:div>
    <w:div w:id="2020234740">
      <w:bodyDiv w:val="1"/>
      <w:marLeft w:val="0"/>
      <w:marRight w:val="0"/>
      <w:marTop w:val="0"/>
      <w:marBottom w:val="0"/>
      <w:divBdr>
        <w:top w:val="none" w:sz="0" w:space="0" w:color="auto"/>
        <w:left w:val="none" w:sz="0" w:space="0" w:color="auto"/>
        <w:bottom w:val="none" w:sz="0" w:space="0" w:color="auto"/>
        <w:right w:val="none" w:sz="0" w:space="0" w:color="auto"/>
      </w:divBdr>
    </w:div>
    <w:div w:id="2020349627">
      <w:bodyDiv w:val="1"/>
      <w:marLeft w:val="0"/>
      <w:marRight w:val="0"/>
      <w:marTop w:val="0"/>
      <w:marBottom w:val="0"/>
      <w:divBdr>
        <w:top w:val="none" w:sz="0" w:space="0" w:color="auto"/>
        <w:left w:val="none" w:sz="0" w:space="0" w:color="auto"/>
        <w:bottom w:val="none" w:sz="0" w:space="0" w:color="auto"/>
        <w:right w:val="none" w:sz="0" w:space="0" w:color="auto"/>
      </w:divBdr>
    </w:div>
    <w:div w:id="2020421135">
      <w:bodyDiv w:val="1"/>
      <w:marLeft w:val="0"/>
      <w:marRight w:val="0"/>
      <w:marTop w:val="0"/>
      <w:marBottom w:val="0"/>
      <w:divBdr>
        <w:top w:val="none" w:sz="0" w:space="0" w:color="auto"/>
        <w:left w:val="none" w:sz="0" w:space="0" w:color="auto"/>
        <w:bottom w:val="none" w:sz="0" w:space="0" w:color="auto"/>
        <w:right w:val="none" w:sz="0" w:space="0" w:color="auto"/>
      </w:divBdr>
    </w:div>
    <w:div w:id="2021271502">
      <w:bodyDiv w:val="1"/>
      <w:marLeft w:val="0"/>
      <w:marRight w:val="0"/>
      <w:marTop w:val="0"/>
      <w:marBottom w:val="0"/>
      <w:divBdr>
        <w:top w:val="none" w:sz="0" w:space="0" w:color="auto"/>
        <w:left w:val="none" w:sz="0" w:space="0" w:color="auto"/>
        <w:bottom w:val="none" w:sz="0" w:space="0" w:color="auto"/>
        <w:right w:val="none" w:sz="0" w:space="0" w:color="auto"/>
      </w:divBdr>
    </w:div>
    <w:div w:id="2021656382">
      <w:bodyDiv w:val="1"/>
      <w:marLeft w:val="0"/>
      <w:marRight w:val="0"/>
      <w:marTop w:val="0"/>
      <w:marBottom w:val="0"/>
      <w:divBdr>
        <w:top w:val="none" w:sz="0" w:space="0" w:color="auto"/>
        <w:left w:val="none" w:sz="0" w:space="0" w:color="auto"/>
        <w:bottom w:val="none" w:sz="0" w:space="0" w:color="auto"/>
        <w:right w:val="none" w:sz="0" w:space="0" w:color="auto"/>
      </w:divBdr>
    </w:div>
    <w:div w:id="2021738469">
      <w:bodyDiv w:val="1"/>
      <w:marLeft w:val="0"/>
      <w:marRight w:val="0"/>
      <w:marTop w:val="0"/>
      <w:marBottom w:val="0"/>
      <w:divBdr>
        <w:top w:val="none" w:sz="0" w:space="0" w:color="auto"/>
        <w:left w:val="none" w:sz="0" w:space="0" w:color="auto"/>
        <w:bottom w:val="none" w:sz="0" w:space="0" w:color="auto"/>
        <w:right w:val="none" w:sz="0" w:space="0" w:color="auto"/>
      </w:divBdr>
    </w:div>
    <w:div w:id="2021811516">
      <w:bodyDiv w:val="1"/>
      <w:marLeft w:val="0"/>
      <w:marRight w:val="0"/>
      <w:marTop w:val="0"/>
      <w:marBottom w:val="0"/>
      <w:divBdr>
        <w:top w:val="none" w:sz="0" w:space="0" w:color="auto"/>
        <w:left w:val="none" w:sz="0" w:space="0" w:color="auto"/>
        <w:bottom w:val="none" w:sz="0" w:space="0" w:color="auto"/>
        <w:right w:val="none" w:sz="0" w:space="0" w:color="auto"/>
      </w:divBdr>
    </w:div>
    <w:div w:id="2022583599">
      <w:bodyDiv w:val="1"/>
      <w:marLeft w:val="0"/>
      <w:marRight w:val="0"/>
      <w:marTop w:val="0"/>
      <w:marBottom w:val="0"/>
      <w:divBdr>
        <w:top w:val="none" w:sz="0" w:space="0" w:color="auto"/>
        <w:left w:val="none" w:sz="0" w:space="0" w:color="auto"/>
        <w:bottom w:val="none" w:sz="0" w:space="0" w:color="auto"/>
        <w:right w:val="none" w:sz="0" w:space="0" w:color="auto"/>
      </w:divBdr>
    </w:div>
    <w:div w:id="2022927545">
      <w:bodyDiv w:val="1"/>
      <w:marLeft w:val="0"/>
      <w:marRight w:val="0"/>
      <w:marTop w:val="0"/>
      <w:marBottom w:val="0"/>
      <w:divBdr>
        <w:top w:val="none" w:sz="0" w:space="0" w:color="auto"/>
        <w:left w:val="none" w:sz="0" w:space="0" w:color="auto"/>
        <w:bottom w:val="none" w:sz="0" w:space="0" w:color="auto"/>
        <w:right w:val="none" w:sz="0" w:space="0" w:color="auto"/>
      </w:divBdr>
    </w:div>
    <w:div w:id="2023165868">
      <w:bodyDiv w:val="1"/>
      <w:marLeft w:val="0"/>
      <w:marRight w:val="0"/>
      <w:marTop w:val="0"/>
      <w:marBottom w:val="0"/>
      <w:divBdr>
        <w:top w:val="none" w:sz="0" w:space="0" w:color="auto"/>
        <w:left w:val="none" w:sz="0" w:space="0" w:color="auto"/>
        <w:bottom w:val="none" w:sz="0" w:space="0" w:color="auto"/>
        <w:right w:val="none" w:sz="0" w:space="0" w:color="auto"/>
      </w:divBdr>
    </w:div>
    <w:div w:id="2023390147">
      <w:bodyDiv w:val="1"/>
      <w:marLeft w:val="0"/>
      <w:marRight w:val="0"/>
      <w:marTop w:val="0"/>
      <w:marBottom w:val="0"/>
      <w:divBdr>
        <w:top w:val="none" w:sz="0" w:space="0" w:color="auto"/>
        <w:left w:val="none" w:sz="0" w:space="0" w:color="auto"/>
        <w:bottom w:val="none" w:sz="0" w:space="0" w:color="auto"/>
        <w:right w:val="none" w:sz="0" w:space="0" w:color="auto"/>
      </w:divBdr>
    </w:div>
    <w:div w:id="2023698238">
      <w:bodyDiv w:val="1"/>
      <w:marLeft w:val="0"/>
      <w:marRight w:val="0"/>
      <w:marTop w:val="0"/>
      <w:marBottom w:val="0"/>
      <w:divBdr>
        <w:top w:val="none" w:sz="0" w:space="0" w:color="auto"/>
        <w:left w:val="none" w:sz="0" w:space="0" w:color="auto"/>
        <w:bottom w:val="none" w:sz="0" w:space="0" w:color="auto"/>
        <w:right w:val="none" w:sz="0" w:space="0" w:color="auto"/>
      </w:divBdr>
    </w:div>
    <w:div w:id="2023819251">
      <w:bodyDiv w:val="1"/>
      <w:marLeft w:val="0"/>
      <w:marRight w:val="0"/>
      <w:marTop w:val="0"/>
      <w:marBottom w:val="0"/>
      <w:divBdr>
        <w:top w:val="none" w:sz="0" w:space="0" w:color="auto"/>
        <w:left w:val="none" w:sz="0" w:space="0" w:color="auto"/>
        <w:bottom w:val="none" w:sz="0" w:space="0" w:color="auto"/>
        <w:right w:val="none" w:sz="0" w:space="0" w:color="auto"/>
      </w:divBdr>
    </w:div>
    <w:div w:id="2023971278">
      <w:bodyDiv w:val="1"/>
      <w:marLeft w:val="0"/>
      <w:marRight w:val="0"/>
      <w:marTop w:val="0"/>
      <w:marBottom w:val="0"/>
      <w:divBdr>
        <w:top w:val="none" w:sz="0" w:space="0" w:color="auto"/>
        <w:left w:val="none" w:sz="0" w:space="0" w:color="auto"/>
        <w:bottom w:val="none" w:sz="0" w:space="0" w:color="auto"/>
        <w:right w:val="none" w:sz="0" w:space="0" w:color="auto"/>
      </w:divBdr>
    </w:div>
    <w:div w:id="2025353692">
      <w:bodyDiv w:val="1"/>
      <w:marLeft w:val="0"/>
      <w:marRight w:val="0"/>
      <w:marTop w:val="0"/>
      <w:marBottom w:val="0"/>
      <w:divBdr>
        <w:top w:val="none" w:sz="0" w:space="0" w:color="auto"/>
        <w:left w:val="none" w:sz="0" w:space="0" w:color="auto"/>
        <w:bottom w:val="none" w:sz="0" w:space="0" w:color="auto"/>
        <w:right w:val="none" w:sz="0" w:space="0" w:color="auto"/>
      </w:divBdr>
    </w:div>
    <w:div w:id="2025864040">
      <w:bodyDiv w:val="1"/>
      <w:marLeft w:val="0"/>
      <w:marRight w:val="0"/>
      <w:marTop w:val="0"/>
      <w:marBottom w:val="0"/>
      <w:divBdr>
        <w:top w:val="none" w:sz="0" w:space="0" w:color="auto"/>
        <w:left w:val="none" w:sz="0" w:space="0" w:color="auto"/>
        <w:bottom w:val="none" w:sz="0" w:space="0" w:color="auto"/>
        <w:right w:val="none" w:sz="0" w:space="0" w:color="auto"/>
      </w:divBdr>
    </w:div>
    <w:div w:id="2026516913">
      <w:bodyDiv w:val="1"/>
      <w:marLeft w:val="0"/>
      <w:marRight w:val="0"/>
      <w:marTop w:val="0"/>
      <w:marBottom w:val="0"/>
      <w:divBdr>
        <w:top w:val="none" w:sz="0" w:space="0" w:color="auto"/>
        <w:left w:val="none" w:sz="0" w:space="0" w:color="auto"/>
        <w:bottom w:val="none" w:sz="0" w:space="0" w:color="auto"/>
        <w:right w:val="none" w:sz="0" w:space="0" w:color="auto"/>
      </w:divBdr>
    </w:div>
    <w:div w:id="2026593383">
      <w:bodyDiv w:val="1"/>
      <w:marLeft w:val="0"/>
      <w:marRight w:val="0"/>
      <w:marTop w:val="0"/>
      <w:marBottom w:val="0"/>
      <w:divBdr>
        <w:top w:val="none" w:sz="0" w:space="0" w:color="auto"/>
        <w:left w:val="none" w:sz="0" w:space="0" w:color="auto"/>
        <w:bottom w:val="none" w:sz="0" w:space="0" w:color="auto"/>
        <w:right w:val="none" w:sz="0" w:space="0" w:color="auto"/>
      </w:divBdr>
    </w:div>
    <w:div w:id="2027823572">
      <w:bodyDiv w:val="1"/>
      <w:marLeft w:val="0"/>
      <w:marRight w:val="0"/>
      <w:marTop w:val="0"/>
      <w:marBottom w:val="0"/>
      <w:divBdr>
        <w:top w:val="none" w:sz="0" w:space="0" w:color="auto"/>
        <w:left w:val="none" w:sz="0" w:space="0" w:color="auto"/>
        <w:bottom w:val="none" w:sz="0" w:space="0" w:color="auto"/>
        <w:right w:val="none" w:sz="0" w:space="0" w:color="auto"/>
      </w:divBdr>
    </w:div>
    <w:div w:id="2027829027">
      <w:bodyDiv w:val="1"/>
      <w:marLeft w:val="0"/>
      <w:marRight w:val="0"/>
      <w:marTop w:val="0"/>
      <w:marBottom w:val="0"/>
      <w:divBdr>
        <w:top w:val="none" w:sz="0" w:space="0" w:color="auto"/>
        <w:left w:val="none" w:sz="0" w:space="0" w:color="auto"/>
        <w:bottom w:val="none" w:sz="0" w:space="0" w:color="auto"/>
        <w:right w:val="none" w:sz="0" w:space="0" w:color="auto"/>
      </w:divBdr>
    </w:div>
    <w:div w:id="2028364809">
      <w:bodyDiv w:val="1"/>
      <w:marLeft w:val="0"/>
      <w:marRight w:val="0"/>
      <w:marTop w:val="0"/>
      <w:marBottom w:val="0"/>
      <w:divBdr>
        <w:top w:val="none" w:sz="0" w:space="0" w:color="auto"/>
        <w:left w:val="none" w:sz="0" w:space="0" w:color="auto"/>
        <w:bottom w:val="none" w:sz="0" w:space="0" w:color="auto"/>
        <w:right w:val="none" w:sz="0" w:space="0" w:color="auto"/>
      </w:divBdr>
    </w:div>
    <w:div w:id="2028368406">
      <w:bodyDiv w:val="1"/>
      <w:marLeft w:val="0"/>
      <w:marRight w:val="0"/>
      <w:marTop w:val="0"/>
      <w:marBottom w:val="0"/>
      <w:divBdr>
        <w:top w:val="none" w:sz="0" w:space="0" w:color="auto"/>
        <w:left w:val="none" w:sz="0" w:space="0" w:color="auto"/>
        <w:bottom w:val="none" w:sz="0" w:space="0" w:color="auto"/>
        <w:right w:val="none" w:sz="0" w:space="0" w:color="auto"/>
      </w:divBdr>
    </w:div>
    <w:div w:id="2028753538">
      <w:bodyDiv w:val="1"/>
      <w:marLeft w:val="0"/>
      <w:marRight w:val="0"/>
      <w:marTop w:val="0"/>
      <w:marBottom w:val="0"/>
      <w:divBdr>
        <w:top w:val="none" w:sz="0" w:space="0" w:color="auto"/>
        <w:left w:val="none" w:sz="0" w:space="0" w:color="auto"/>
        <w:bottom w:val="none" w:sz="0" w:space="0" w:color="auto"/>
        <w:right w:val="none" w:sz="0" w:space="0" w:color="auto"/>
      </w:divBdr>
    </w:div>
    <w:div w:id="2028867167">
      <w:bodyDiv w:val="1"/>
      <w:marLeft w:val="0"/>
      <w:marRight w:val="0"/>
      <w:marTop w:val="0"/>
      <w:marBottom w:val="0"/>
      <w:divBdr>
        <w:top w:val="none" w:sz="0" w:space="0" w:color="auto"/>
        <w:left w:val="none" w:sz="0" w:space="0" w:color="auto"/>
        <w:bottom w:val="none" w:sz="0" w:space="0" w:color="auto"/>
        <w:right w:val="none" w:sz="0" w:space="0" w:color="auto"/>
      </w:divBdr>
    </w:div>
    <w:div w:id="2028941127">
      <w:bodyDiv w:val="1"/>
      <w:marLeft w:val="0"/>
      <w:marRight w:val="0"/>
      <w:marTop w:val="0"/>
      <w:marBottom w:val="0"/>
      <w:divBdr>
        <w:top w:val="none" w:sz="0" w:space="0" w:color="auto"/>
        <w:left w:val="none" w:sz="0" w:space="0" w:color="auto"/>
        <w:bottom w:val="none" w:sz="0" w:space="0" w:color="auto"/>
        <w:right w:val="none" w:sz="0" w:space="0" w:color="auto"/>
      </w:divBdr>
    </w:div>
    <w:div w:id="2028947485">
      <w:bodyDiv w:val="1"/>
      <w:marLeft w:val="0"/>
      <w:marRight w:val="0"/>
      <w:marTop w:val="0"/>
      <w:marBottom w:val="0"/>
      <w:divBdr>
        <w:top w:val="none" w:sz="0" w:space="0" w:color="auto"/>
        <w:left w:val="none" w:sz="0" w:space="0" w:color="auto"/>
        <w:bottom w:val="none" w:sz="0" w:space="0" w:color="auto"/>
        <w:right w:val="none" w:sz="0" w:space="0" w:color="auto"/>
      </w:divBdr>
    </w:div>
    <w:div w:id="2029789736">
      <w:bodyDiv w:val="1"/>
      <w:marLeft w:val="0"/>
      <w:marRight w:val="0"/>
      <w:marTop w:val="0"/>
      <w:marBottom w:val="0"/>
      <w:divBdr>
        <w:top w:val="none" w:sz="0" w:space="0" w:color="auto"/>
        <w:left w:val="none" w:sz="0" w:space="0" w:color="auto"/>
        <w:bottom w:val="none" w:sz="0" w:space="0" w:color="auto"/>
        <w:right w:val="none" w:sz="0" w:space="0" w:color="auto"/>
      </w:divBdr>
    </w:div>
    <w:div w:id="2030177604">
      <w:bodyDiv w:val="1"/>
      <w:marLeft w:val="0"/>
      <w:marRight w:val="0"/>
      <w:marTop w:val="0"/>
      <w:marBottom w:val="0"/>
      <w:divBdr>
        <w:top w:val="none" w:sz="0" w:space="0" w:color="auto"/>
        <w:left w:val="none" w:sz="0" w:space="0" w:color="auto"/>
        <w:bottom w:val="none" w:sz="0" w:space="0" w:color="auto"/>
        <w:right w:val="none" w:sz="0" w:space="0" w:color="auto"/>
      </w:divBdr>
    </w:div>
    <w:div w:id="2030259045">
      <w:bodyDiv w:val="1"/>
      <w:marLeft w:val="0"/>
      <w:marRight w:val="0"/>
      <w:marTop w:val="0"/>
      <w:marBottom w:val="0"/>
      <w:divBdr>
        <w:top w:val="none" w:sz="0" w:space="0" w:color="auto"/>
        <w:left w:val="none" w:sz="0" w:space="0" w:color="auto"/>
        <w:bottom w:val="none" w:sz="0" w:space="0" w:color="auto"/>
        <w:right w:val="none" w:sz="0" w:space="0" w:color="auto"/>
      </w:divBdr>
    </w:div>
    <w:div w:id="2030523535">
      <w:bodyDiv w:val="1"/>
      <w:marLeft w:val="0"/>
      <w:marRight w:val="0"/>
      <w:marTop w:val="0"/>
      <w:marBottom w:val="0"/>
      <w:divBdr>
        <w:top w:val="none" w:sz="0" w:space="0" w:color="auto"/>
        <w:left w:val="none" w:sz="0" w:space="0" w:color="auto"/>
        <w:bottom w:val="none" w:sz="0" w:space="0" w:color="auto"/>
        <w:right w:val="none" w:sz="0" w:space="0" w:color="auto"/>
      </w:divBdr>
    </w:div>
    <w:div w:id="2030524620">
      <w:bodyDiv w:val="1"/>
      <w:marLeft w:val="0"/>
      <w:marRight w:val="0"/>
      <w:marTop w:val="0"/>
      <w:marBottom w:val="0"/>
      <w:divBdr>
        <w:top w:val="none" w:sz="0" w:space="0" w:color="auto"/>
        <w:left w:val="none" w:sz="0" w:space="0" w:color="auto"/>
        <w:bottom w:val="none" w:sz="0" w:space="0" w:color="auto"/>
        <w:right w:val="none" w:sz="0" w:space="0" w:color="auto"/>
      </w:divBdr>
    </w:div>
    <w:div w:id="2030793506">
      <w:bodyDiv w:val="1"/>
      <w:marLeft w:val="0"/>
      <w:marRight w:val="0"/>
      <w:marTop w:val="0"/>
      <w:marBottom w:val="0"/>
      <w:divBdr>
        <w:top w:val="none" w:sz="0" w:space="0" w:color="auto"/>
        <w:left w:val="none" w:sz="0" w:space="0" w:color="auto"/>
        <w:bottom w:val="none" w:sz="0" w:space="0" w:color="auto"/>
        <w:right w:val="none" w:sz="0" w:space="0" w:color="auto"/>
      </w:divBdr>
    </w:div>
    <w:div w:id="2030835573">
      <w:bodyDiv w:val="1"/>
      <w:marLeft w:val="0"/>
      <w:marRight w:val="0"/>
      <w:marTop w:val="0"/>
      <w:marBottom w:val="0"/>
      <w:divBdr>
        <w:top w:val="none" w:sz="0" w:space="0" w:color="auto"/>
        <w:left w:val="none" w:sz="0" w:space="0" w:color="auto"/>
        <w:bottom w:val="none" w:sz="0" w:space="0" w:color="auto"/>
        <w:right w:val="none" w:sz="0" w:space="0" w:color="auto"/>
      </w:divBdr>
    </w:div>
    <w:div w:id="2030907264">
      <w:bodyDiv w:val="1"/>
      <w:marLeft w:val="0"/>
      <w:marRight w:val="0"/>
      <w:marTop w:val="0"/>
      <w:marBottom w:val="0"/>
      <w:divBdr>
        <w:top w:val="none" w:sz="0" w:space="0" w:color="auto"/>
        <w:left w:val="none" w:sz="0" w:space="0" w:color="auto"/>
        <w:bottom w:val="none" w:sz="0" w:space="0" w:color="auto"/>
        <w:right w:val="none" w:sz="0" w:space="0" w:color="auto"/>
      </w:divBdr>
    </w:div>
    <w:div w:id="2031058758">
      <w:bodyDiv w:val="1"/>
      <w:marLeft w:val="0"/>
      <w:marRight w:val="0"/>
      <w:marTop w:val="0"/>
      <w:marBottom w:val="0"/>
      <w:divBdr>
        <w:top w:val="none" w:sz="0" w:space="0" w:color="auto"/>
        <w:left w:val="none" w:sz="0" w:space="0" w:color="auto"/>
        <w:bottom w:val="none" w:sz="0" w:space="0" w:color="auto"/>
        <w:right w:val="none" w:sz="0" w:space="0" w:color="auto"/>
      </w:divBdr>
    </w:div>
    <w:div w:id="2031179037">
      <w:bodyDiv w:val="1"/>
      <w:marLeft w:val="0"/>
      <w:marRight w:val="0"/>
      <w:marTop w:val="0"/>
      <w:marBottom w:val="0"/>
      <w:divBdr>
        <w:top w:val="none" w:sz="0" w:space="0" w:color="auto"/>
        <w:left w:val="none" w:sz="0" w:space="0" w:color="auto"/>
        <w:bottom w:val="none" w:sz="0" w:space="0" w:color="auto"/>
        <w:right w:val="none" w:sz="0" w:space="0" w:color="auto"/>
      </w:divBdr>
    </w:div>
    <w:div w:id="2031640092">
      <w:bodyDiv w:val="1"/>
      <w:marLeft w:val="0"/>
      <w:marRight w:val="0"/>
      <w:marTop w:val="0"/>
      <w:marBottom w:val="0"/>
      <w:divBdr>
        <w:top w:val="none" w:sz="0" w:space="0" w:color="auto"/>
        <w:left w:val="none" w:sz="0" w:space="0" w:color="auto"/>
        <w:bottom w:val="none" w:sz="0" w:space="0" w:color="auto"/>
        <w:right w:val="none" w:sz="0" w:space="0" w:color="auto"/>
      </w:divBdr>
    </w:div>
    <w:div w:id="2031834154">
      <w:bodyDiv w:val="1"/>
      <w:marLeft w:val="0"/>
      <w:marRight w:val="0"/>
      <w:marTop w:val="0"/>
      <w:marBottom w:val="0"/>
      <w:divBdr>
        <w:top w:val="none" w:sz="0" w:space="0" w:color="auto"/>
        <w:left w:val="none" w:sz="0" w:space="0" w:color="auto"/>
        <w:bottom w:val="none" w:sz="0" w:space="0" w:color="auto"/>
        <w:right w:val="none" w:sz="0" w:space="0" w:color="auto"/>
      </w:divBdr>
    </w:div>
    <w:div w:id="2032101453">
      <w:bodyDiv w:val="1"/>
      <w:marLeft w:val="0"/>
      <w:marRight w:val="0"/>
      <w:marTop w:val="0"/>
      <w:marBottom w:val="0"/>
      <w:divBdr>
        <w:top w:val="none" w:sz="0" w:space="0" w:color="auto"/>
        <w:left w:val="none" w:sz="0" w:space="0" w:color="auto"/>
        <w:bottom w:val="none" w:sz="0" w:space="0" w:color="auto"/>
        <w:right w:val="none" w:sz="0" w:space="0" w:color="auto"/>
      </w:divBdr>
    </w:div>
    <w:div w:id="2032338140">
      <w:bodyDiv w:val="1"/>
      <w:marLeft w:val="0"/>
      <w:marRight w:val="0"/>
      <w:marTop w:val="0"/>
      <w:marBottom w:val="0"/>
      <w:divBdr>
        <w:top w:val="none" w:sz="0" w:space="0" w:color="auto"/>
        <w:left w:val="none" w:sz="0" w:space="0" w:color="auto"/>
        <w:bottom w:val="none" w:sz="0" w:space="0" w:color="auto"/>
        <w:right w:val="none" w:sz="0" w:space="0" w:color="auto"/>
      </w:divBdr>
    </w:div>
    <w:div w:id="2032560440">
      <w:bodyDiv w:val="1"/>
      <w:marLeft w:val="0"/>
      <w:marRight w:val="0"/>
      <w:marTop w:val="0"/>
      <w:marBottom w:val="0"/>
      <w:divBdr>
        <w:top w:val="none" w:sz="0" w:space="0" w:color="auto"/>
        <w:left w:val="none" w:sz="0" w:space="0" w:color="auto"/>
        <w:bottom w:val="none" w:sz="0" w:space="0" w:color="auto"/>
        <w:right w:val="none" w:sz="0" w:space="0" w:color="auto"/>
      </w:divBdr>
    </w:div>
    <w:div w:id="2032611974">
      <w:bodyDiv w:val="1"/>
      <w:marLeft w:val="0"/>
      <w:marRight w:val="0"/>
      <w:marTop w:val="0"/>
      <w:marBottom w:val="0"/>
      <w:divBdr>
        <w:top w:val="none" w:sz="0" w:space="0" w:color="auto"/>
        <w:left w:val="none" w:sz="0" w:space="0" w:color="auto"/>
        <w:bottom w:val="none" w:sz="0" w:space="0" w:color="auto"/>
        <w:right w:val="none" w:sz="0" w:space="0" w:color="auto"/>
      </w:divBdr>
    </w:div>
    <w:div w:id="2032994184">
      <w:bodyDiv w:val="1"/>
      <w:marLeft w:val="0"/>
      <w:marRight w:val="0"/>
      <w:marTop w:val="0"/>
      <w:marBottom w:val="0"/>
      <w:divBdr>
        <w:top w:val="none" w:sz="0" w:space="0" w:color="auto"/>
        <w:left w:val="none" w:sz="0" w:space="0" w:color="auto"/>
        <w:bottom w:val="none" w:sz="0" w:space="0" w:color="auto"/>
        <w:right w:val="none" w:sz="0" w:space="0" w:color="auto"/>
      </w:divBdr>
    </w:div>
    <w:div w:id="2033265543">
      <w:bodyDiv w:val="1"/>
      <w:marLeft w:val="0"/>
      <w:marRight w:val="0"/>
      <w:marTop w:val="0"/>
      <w:marBottom w:val="0"/>
      <w:divBdr>
        <w:top w:val="none" w:sz="0" w:space="0" w:color="auto"/>
        <w:left w:val="none" w:sz="0" w:space="0" w:color="auto"/>
        <w:bottom w:val="none" w:sz="0" w:space="0" w:color="auto"/>
        <w:right w:val="none" w:sz="0" w:space="0" w:color="auto"/>
      </w:divBdr>
    </w:div>
    <w:div w:id="2033722054">
      <w:bodyDiv w:val="1"/>
      <w:marLeft w:val="0"/>
      <w:marRight w:val="0"/>
      <w:marTop w:val="0"/>
      <w:marBottom w:val="0"/>
      <w:divBdr>
        <w:top w:val="none" w:sz="0" w:space="0" w:color="auto"/>
        <w:left w:val="none" w:sz="0" w:space="0" w:color="auto"/>
        <w:bottom w:val="none" w:sz="0" w:space="0" w:color="auto"/>
        <w:right w:val="none" w:sz="0" w:space="0" w:color="auto"/>
      </w:divBdr>
    </w:div>
    <w:div w:id="2034064472">
      <w:bodyDiv w:val="1"/>
      <w:marLeft w:val="0"/>
      <w:marRight w:val="0"/>
      <w:marTop w:val="0"/>
      <w:marBottom w:val="0"/>
      <w:divBdr>
        <w:top w:val="none" w:sz="0" w:space="0" w:color="auto"/>
        <w:left w:val="none" w:sz="0" w:space="0" w:color="auto"/>
        <w:bottom w:val="none" w:sz="0" w:space="0" w:color="auto"/>
        <w:right w:val="none" w:sz="0" w:space="0" w:color="auto"/>
      </w:divBdr>
    </w:div>
    <w:div w:id="2034110210">
      <w:bodyDiv w:val="1"/>
      <w:marLeft w:val="0"/>
      <w:marRight w:val="0"/>
      <w:marTop w:val="0"/>
      <w:marBottom w:val="0"/>
      <w:divBdr>
        <w:top w:val="none" w:sz="0" w:space="0" w:color="auto"/>
        <w:left w:val="none" w:sz="0" w:space="0" w:color="auto"/>
        <w:bottom w:val="none" w:sz="0" w:space="0" w:color="auto"/>
        <w:right w:val="none" w:sz="0" w:space="0" w:color="auto"/>
      </w:divBdr>
    </w:div>
    <w:div w:id="2034182591">
      <w:bodyDiv w:val="1"/>
      <w:marLeft w:val="0"/>
      <w:marRight w:val="0"/>
      <w:marTop w:val="0"/>
      <w:marBottom w:val="0"/>
      <w:divBdr>
        <w:top w:val="none" w:sz="0" w:space="0" w:color="auto"/>
        <w:left w:val="none" w:sz="0" w:space="0" w:color="auto"/>
        <w:bottom w:val="none" w:sz="0" w:space="0" w:color="auto"/>
        <w:right w:val="none" w:sz="0" w:space="0" w:color="auto"/>
      </w:divBdr>
    </w:div>
    <w:div w:id="2034261947">
      <w:bodyDiv w:val="1"/>
      <w:marLeft w:val="0"/>
      <w:marRight w:val="0"/>
      <w:marTop w:val="0"/>
      <w:marBottom w:val="0"/>
      <w:divBdr>
        <w:top w:val="none" w:sz="0" w:space="0" w:color="auto"/>
        <w:left w:val="none" w:sz="0" w:space="0" w:color="auto"/>
        <w:bottom w:val="none" w:sz="0" w:space="0" w:color="auto"/>
        <w:right w:val="none" w:sz="0" w:space="0" w:color="auto"/>
      </w:divBdr>
    </w:div>
    <w:div w:id="2034531753">
      <w:bodyDiv w:val="1"/>
      <w:marLeft w:val="0"/>
      <w:marRight w:val="0"/>
      <w:marTop w:val="0"/>
      <w:marBottom w:val="0"/>
      <w:divBdr>
        <w:top w:val="none" w:sz="0" w:space="0" w:color="auto"/>
        <w:left w:val="none" w:sz="0" w:space="0" w:color="auto"/>
        <w:bottom w:val="none" w:sz="0" w:space="0" w:color="auto"/>
        <w:right w:val="none" w:sz="0" w:space="0" w:color="auto"/>
      </w:divBdr>
    </w:div>
    <w:div w:id="2034918037">
      <w:bodyDiv w:val="1"/>
      <w:marLeft w:val="0"/>
      <w:marRight w:val="0"/>
      <w:marTop w:val="0"/>
      <w:marBottom w:val="0"/>
      <w:divBdr>
        <w:top w:val="none" w:sz="0" w:space="0" w:color="auto"/>
        <w:left w:val="none" w:sz="0" w:space="0" w:color="auto"/>
        <w:bottom w:val="none" w:sz="0" w:space="0" w:color="auto"/>
        <w:right w:val="none" w:sz="0" w:space="0" w:color="auto"/>
      </w:divBdr>
    </w:div>
    <w:div w:id="2035494200">
      <w:bodyDiv w:val="1"/>
      <w:marLeft w:val="0"/>
      <w:marRight w:val="0"/>
      <w:marTop w:val="0"/>
      <w:marBottom w:val="0"/>
      <w:divBdr>
        <w:top w:val="none" w:sz="0" w:space="0" w:color="auto"/>
        <w:left w:val="none" w:sz="0" w:space="0" w:color="auto"/>
        <w:bottom w:val="none" w:sz="0" w:space="0" w:color="auto"/>
        <w:right w:val="none" w:sz="0" w:space="0" w:color="auto"/>
      </w:divBdr>
    </w:div>
    <w:div w:id="2035571759">
      <w:bodyDiv w:val="1"/>
      <w:marLeft w:val="0"/>
      <w:marRight w:val="0"/>
      <w:marTop w:val="0"/>
      <w:marBottom w:val="0"/>
      <w:divBdr>
        <w:top w:val="none" w:sz="0" w:space="0" w:color="auto"/>
        <w:left w:val="none" w:sz="0" w:space="0" w:color="auto"/>
        <w:bottom w:val="none" w:sz="0" w:space="0" w:color="auto"/>
        <w:right w:val="none" w:sz="0" w:space="0" w:color="auto"/>
      </w:divBdr>
    </w:div>
    <w:div w:id="2036032418">
      <w:bodyDiv w:val="1"/>
      <w:marLeft w:val="0"/>
      <w:marRight w:val="0"/>
      <w:marTop w:val="0"/>
      <w:marBottom w:val="0"/>
      <w:divBdr>
        <w:top w:val="none" w:sz="0" w:space="0" w:color="auto"/>
        <w:left w:val="none" w:sz="0" w:space="0" w:color="auto"/>
        <w:bottom w:val="none" w:sz="0" w:space="0" w:color="auto"/>
        <w:right w:val="none" w:sz="0" w:space="0" w:color="auto"/>
      </w:divBdr>
    </w:div>
    <w:div w:id="2036034386">
      <w:bodyDiv w:val="1"/>
      <w:marLeft w:val="0"/>
      <w:marRight w:val="0"/>
      <w:marTop w:val="0"/>
      <w:marBottom w:val="0"/>
      <w:divBdr>
        <w:top w:val="none" w:sz="0" w:space="0" w:color="auto"/>
        <w:left w:val="none" w:sz="0" w:space="0" w:color="auto"/>
        <w:bottom w:val="none" w:sz="0" w:space="0" w:color="auto"/>
        <w:right w:val="none" w:sz="0" w:space="0" w:color="auto"/>
      </w:divBdr>
    </w:div>
    <w:div w:id="2037075088">
      <w:bodyDiv w:val="1"/>
      <w:marLeft w:val="0"/>
      <w:marRight w:val="0"/>
      <w:marTop w:val="0"/>
      <w:marBottom w:val="0"/>
      <w:divBdr>
        <w:top w:val="none" w:sz="0" w:space="0" w:color="auto"/>
        <w:left w:val="none" w:sz="0" w:space="0" w:color="auto"/>
        <w:bottom w:val="none" w:sz="0" w:space="0" w:color="auto"/>
        <w:right w:val="none" w:sz="0" w:space="0" w:color="auto"/>
      </w:divBdr>
    </w:div>
    <w:div w:id="2037340343">
      <w:bodyDiv w:val="1"/>
      <w:marLeft w:val="0"/>
      <w:marRight w:val="0"/>
      <w:marTop w:val="0"/>
      <w:marBottom w:val="0"/>
      <w:divBdr>
        <w:top w:val="none" w:sz="0" w:space="0" w:color="auto"/>
        <w:left w:val="none" w:sz="0" w:space="0" w:color="auto"/>
        <w:bottom w:val="none" w:sz="0" w:space="0" w:color="auto"/>
        <w:right w:val="none" w:sz="0" w:space="0" w:color="auto"/>
      </w:divBdr>
    </w:div>
    <w:div w:id="2037727601">
      <w:bodyDiv w:val="1"/>
      <w:marLeft w:val="0"/>
      <w:marRight w:val="0"/>
      <w:marTop w:val="0"/>
      <w:marBottom w:val="0"/>
      <w:divBdr>
        <w:top w:val="none" w:sz="0" w:space="0" w:color="auto"/>
        <w:left w:val="none" w:sz="0" w:space="0" w:color="auto"/>
        <w:bottom w:val="none" w:sz="0" w:space="0" w:color="auto"/>
        <w:right w:val="none" w:sz="0" w:space="0" w:color="auto"/>
      </w:divBdr>
    </w:div>
    <w:div w:id="2037804153">
      <w:bodyDiv w:val="1"/>
      <w:marLeft w:val="0"/>
      <w:marRight w:val="0"/>
      <w:marTop w:val="0"/>
      <w:marBottom w:val="0"/>
      <w:divBdr>
        <w:top w:val="none" w:sz="0" w:space="0" w:color="auto"/>
        <w:left w:val="none" w:sz="0" w:space="0" w:color="auto"/>
        <w:bottom w:val="none" w:sz="0" w:space="0" w:color="auto"/>
        <w:right w:val="none" w:sz="0" w:space="0" w:color="auto"/>
      </w:divBdr>
    </w:div>
    <w:div w:id="2038047043">
      <w:bodyDiv w:val="1"/>
      <w:marLeft w:val="0"/>
      <w:marRight w:val="0"/>
      <w:marTop w:val="0"/>
      <w:marBottom w:val="0"/>
      <w:divBdr>
        <w:top w:val="none" w:sz="0" w:space="0" w:color="auto"/>
        <w:left w:val="none" w:sz="0" w:space="0" w:color="auto"/>
        <w:bottom w:val="none" w:sz="0" w:space="0" w:color="auto"/>
        <w:right w:val="none" w:sz="0" w:space="0" w:color="auto"/>
      </w:divBdr>
    </w:div>
    <w:div w:id="2038315631">
      <w:bodyDiv w:val="1"/>
      <w:marLeft w:val="0"/>
      <w:marRight w:val="0"/>
      <w:marTop w:val="0"/>
      <w:marBottom w:val="0"/>
      <w:divBdr>
        <w:top w:val="none" w:sz="0" w:space="0" w:color="auto"/>
        <w:left w:val="none" w:sz="0" w:space="0" w:color="auto"/>
        <w:bottom w:val="none" w:sz="0" w:space="0" w:color="auto"/>
        <w:right w:val="none" w:sz="0" w:space="0" w:color="auto"/>
      </w:divBdr>
    </w:div>
    <w:div w:id="2038459607">
      <w:bodyDiv w:val="1"/>
      <w:marLeft w:val="0"/>
      <w:marRight w:val="0"/>
      <w:marTop w:val="0"/>
      <w:marBottom w:val="0"/>
      <w:divBdr>
        <w:top w:val="none" w:sz="0" w:space="0" w:color="auto"/>
        <w:left w:val="none" w:sz="0" w:space="0" w:color="auto"/>
        <w:bottom w:val="none" w:sz="0" w:space="0" w:color="auto"/>
        <w:right w:val="none" w:sz="0" w:space="0" w:color="auto"/>
      </w:divBdr>
    </w:div>
    <w:div w:id="2038699396">
      <w:bodyDiv w:val="1"/>
      <w:marLeft w:val="0"/>
      <w:marRight w:val="0"/>
      <w:marTop w:val="0"/>
      <w:marBottom w:val="0"/>
      <w:divBdr>
        <w:top w:val="none" w:sz="0" w:space="0" w:color="auto"/>
        <w:left w:val="none" w:sz="0" w:space="0" w:color="auto"/>
        <w:bottom w:val="none" w:sz="0" w:space="0" w:color="auto"/>
        <w:right w:val="none" w:sz="0" w:space="0" w:color="auto"/>
      </w:divBdr>
    </w:div>
    <w:div w:id="2038776603">
      <w:bodyDiv w:val="1"/>
      <w:marLeft w:val="0"/>
      <w:marRight w:val="0"/>
      <w:marTop w:val="0"/>
      <w:marBottom w:val="0"/>
      <w:divBdr>
        <w:top w:val="none" w:sz="0" w:space="0" w:color="auto"/>
        <w:left w:val="none" w:sz="0" w:space="0" w:color="auto"/>
        <w:bottom w:val="none" w:sz="0" w:space="0" w:color="auto"/>
        <w:right w:val="none" w:sz="0" w:space="0" w:color="auto"/>
      </w:divBdr>
    </w:div>
    <w:div w:id="2039117099">
      <w:bodyDiv w:val="1"/>
      <w:marLeft w:val="0"/>
      <w:marRight w:val="0"/>
      <w:marTop w:val="0"/>
      <w:marBottom w:val="0"/>
      <w:divBdr>
        <w:top w:val="none" w:sz="0" w:space="0" w:color="auto"/>
        <w:left w:val="none" w:sz="0" w:space="0" w:color="auto"/>
        <w:bottom w:val="none" w:sz="0" w:space="0" w:color="auto"/>
        <w:right w:val="none" w:sz="0" w:space="0" w:color="auto"/>
      </w:divBdr>
    </w:div>
    <w:div w:id="2039157576">
      <w:bodyDiv w:val="1"/>
      <w:marLeft w:val="0"/>
      <w:marRight w:val="0"/>
      <w:marTop w:val="0"/>
      <w:marBottom w:val="0"/>
      <w:divBdr>
        <w:top w:val="none" w:sz="0" w:space="0" w:color="auto"/>
        <w:left w:val="none" w:sz="0" w:space="0" w:color="auto"/>
        <w:bottom w:val="none" w:sz="0" w:space="0" w:color="auto"/>
        <w:right w:val="none" w:sz="0" w:space="0" w:color="auto"/>
      </w:divBdr>
    </w:div>
    <w:div w:id="2039351168">
      <w:bodyDiv w:val="1"/>
      <w:marLeft w:val="0"/>
      <w:marRight w:val="0"/>
      <w:marTop w:val="0"/>
      <w:marBottom w:val="0"/>
      <w:divBdr>
        <w:top w:val="none" w:sz="0" w:space="0" w:color="auto"/>
        <w:left w:val="none" w:sz="0" w:space="0" w:color="auto"/>
        <w:bottom w:val="none" w:sz="0" w:space="0" w:color="auto"/>
        <w:right w:val="none" w:sz="0" w:space="0" w:color="auto"/>
      </w:divBdr>
    </w:div>
    <w:div w:id="2039431705">
      <w:bodyDiv w:val="1"/>
      <w:marLeft w:val="0"/>
      <w:marRight w:val="0"/>
      <w:marTop w:val="0"/>
      <w:marBottom w:val="0"/>
      <w:divBdr>
        <w:top w:val="none" w:sz="0" w:space="0" w:color="auto"/>
        <w:left w:val="none" w:sz="0" w:space="0" w:color="auto"/>
        <w:bottom w:val="none" w:sz="0" w:space="0" w:color="auto"/>
        <w:right w:val="none" w:sz="0" w:space="0" w:color="auto"/>
      </w:divBdr>
    </w:div>
    <w:div w:id="2039551271">
      <w:bodyDiv w:val="1"/>
      <w:marLeft w:val="0"/>
      <w:marRight w:val="0"/>
      <w:marTop w:val="0"/>
      <w:marBottom w:val="0"/>
      <w:divBdr>
        <w:top w:val="none" w:sz="0" w:space="0" w:color="auto"/>
        <w:left w:val="none" w:sz="0" w:space="0" w:color="auto"/>
        <w:bottom w:val="none" w:sz="0" w:space="0" w:color="auto"/>
        <w:right w:val="none" w:sz="0" w:space="0" w:color="auto"/>
      </w:divBdr>
    </w:div>
    <w:div w:id="2039622330">
      <w:bodyDiv w:val="1"/>
      <w:marLeft w:val="0"/>
      <w:marRight w:val="0"/>
      <w:marTop w:val="0"/>
      <w:marBottom w:val="0"/>
      <w:divBdr>
        <w:top w:val="none" w:sz="0" w:space="0" w:color="auto"/>
        <w:left w:val="none" w:sz="0" w:space="0" w:color="auto"/>
        <w:bottom w:val="none" w:sz="0" w:space="0" w:color="auto"/>
        <w:right w:val="none" w:sz="0" w:space="0" w:color="auto"/>
      </w:divBdr>
    </w:div>
    <w:div w:id="2039695949">
      <w:bodyDiv w:val="1"/>
      <w:marLeft w:val="0"/>
      <w:marRight w:val="0"/>
      <w:marTop w:val="0"/>
      <w:marBottom w:val="0"/>
      <w:divBdr>
        <w:top w:val="none" w:sz="0" w:space="0" w:color="auto"/>
        <w:left w:val="none" w:sz="0" w:space="0" w:color="auto"/>
        <w:bottom w:val="none" w:sz="0" w:space="0" w:color="auto"/>
        <w:right w:val="none" w:sz="0" w:space="0" w:color="auto"/>
      </w:divBdr>
    </w:div>
    <w:div w:id="2039888544">
      <w:bodyDiv w:val="1"/>
      <w:marLeft w:val="0"/>
      <w:marRight w:val="0"/>
      <w:marTop w:val="0"/>
      <w:marBottom w:val="0"/>
      <w:divBdr>
        <w:top w:val="none" w:sz="0" w:space="0" w:color="auto"/>
        <w:left w:val="none" w:sz="0" w:space="0" w:color="auto"/>
        <w:bottom w:val="none" w:sz="0" w:space="0" w:color="auto"/>
        <w:right w:val="none" w:sz="0" w:space="0" w:color="auto"/>
      </w:divBdr>
    </w:div>
    <w:div w:id="2039963817">
      <w:bodyDiv w:val="1"/>
      <w:marLeft w:val="0"/>
      <w:marRight w:val="0"/>
      <w:marTop w:val="0"/>
      <w:marBottom w:val="0"/>
      <w:divBdr>
        <w:top w:val="none" w:sz="0" w:space="0" w:color="auto"/>
        <w:left w:val="none" w:sz="0" w:space="0" w:color="auto"/>
        <w:bottom w:val="none" w:sz="0" w:space="0" w:color="auto"/>
        <w:right w:val="none" w:sz="0" w:space="0" w:color="auto"/>
      </w:divBdr>
    </w:div>
    <w:div w:id="2040154516">
      <w:bodyDiv w:val="1"/>
      <w:marLeft w:val="0"/>
      <w:marRight w:val="0"/>
      <w:marTop w:val="0"/>
      <w:marBottom w:val="0"/>
      <w:divBdr>
        <w:top w:val="none" w:sz="0" w:space="0" w:color="auto"/>
        <w:left w:val="none" w:sz="0" w:space="0" w:color="auto"/>
        <w:bottom w:val="none" w:sz="0" w:space="0" w:color="auto"/>
        <w:right w:val="none" w:sz="0" w:space="0" w:color="auto"/>
      </w:divBdr>
    </w:div>
    <w:div w:id="2040157582">
      <w:bodyDiv w:val="1"/>
      <w:marLeft w:val="0"/>
      <w:marRight w:val="0"/>
      <w:marTop w:val="0"/>
      <w:marBottom w:val="0"/>
      <w:divBdr>
        <w:top w:val="none" w:sz="0" w:space="0" w:color="auto"/>
        <w:left w:val="none" w:sz="0" w:space="0" w:color="auto"/>
        <w:bottom w:val="none" w:sz="0" w:space="0" w:color="auto"/>
        <w:right w:val="none" w:sz="0" w:space="0" w:color="auto"/>
      </w:divBdr>
    </w:div>
    <w:div w:id="2040162161">
      <w:bodyDiv w:val="1"/>
      <w:marLeft w:val="0"/>
      <w:marRight w:val="0"/>
      <w:marTop w:val="0"/>
      <w:marBottom w:val="0"/>
      <w:divBdr>
        <w:top w:val="none" w:sz="0" w:space="0" w:color="auto"/>
        <w:left w:val="none" w:sz="0" w:space="0" w:color="auto"/>
        <w:bottom w:val="none" w:sz="0" w:space="0" w:color="auto"/>
        <w:right w:val="none" w:sz="0" w:space="0" w:color="auto"/>
      </w:divBdr>
    </w:div>
    <w:div w:id="2040619066">
      <w:bodyDiv w:val="1"/>
      <w:marLeft w:val="0"/>
      <w:marRight w:val="0"/>
      <w:marTop w:val="0"/>
      <w:marBottom w:val="0"/>
      <w:divBdr>
        <w:top w:val="none" w:sz="0" w:space="0" w:color="auto"/>
        <w:left w:val="none" w:sz="0" w:space="0" w:color="auto"/>
        <w:bottom w:val="none" w:sz="0" w:space="0" w:color="auto"/>
        <w:right w:val="none" w:sz="0" w:space="0" w:color="auto"/>
      </w:divBdr>
    </w:div>
    <w:div w:id="2040741047">
      <w:bodyDiv w:val="1"/>
      <w:marLeft w:val="0"/>
      <w:marRight w:val="0"/>
      <w:marTop w:val="0"/>
      <w:marBottom w:val="0"/>
      <w:divBdr>
        <w:top w:val="none" w:sz="0" w:space="0" w:color="auto"/>
        <w:left w:val="none" w:sz="0" w:space="0" w:color="auto"/>
        <w:bottom w:val="none" w:sz="0" w:space="0" w:color="auto"/>
        <w:right w:val="none" w:sz="0" w:space="0" w:color="auto"/>
      </w:divBdr>
    </w:div>
    <w:div w:id="2041323848">
      <w:bodyDiv w:val="1"/>
      <w:marLeft w:val="0"/>
      <w:marRight w:val="0"/>
      <w:marTop w:val="0"/>
      <w:marBottom w:val="0"/>
      <w:divBdr>
        <w:top w:val="none" w:sz="0" w:space="0" w:color="auto"/>
        <w:left w:val="none" w:sz="0" w:space="0" w:color="auto"/>
        <w:bottom w:val="none" w:sz="0" w:space="0" w:color="auto"/>
        <w:right w:val="none" w:sz="0" w:space="0" w:color="auto"/>
      </w:divBdr>
    </w:div>
    <w:div w:id="2042658664">
      <w:bodyDiv w:val="1"/>
      <w:marLeft w:val="0"/>
      <w:marRight w:val="0"/>
      <w:marTop w:val="0"/>
      <w:marBottom w:val="0"/>
      <w:divBdr>
        <w:top w:val="none" w:sz="0" w:space="0" w:color="auto"/>
        <w:left w:val="none" w:sz="0" w:space="0" w:color="auto"/>
        <w:bottom w:val="none" w:sz="0" w:space="0" w:color="auto"/>
        <w:right w:val="none" w:sz="0" w:space="0" w:color="auto"/>
      </w:divBdr>
    </w:div>
    <w:div w:id="2043282950">
      <w:bodyDiv w:val="1"/>
      <w:marLeft w:val="0"/>
      <w:marRight w:val="0"/>
      <w:marTop w:val="0"/>
      <w:marBottom w:val="0"/>
      <w:divBdr>
        <w:top w:val="none" w:sz="0" w:space="0" w:color="auto"/>
        <w:left w:val="none" w:sz="0" w:space="0" w:color="auto"/>
        <w:bottom w:val="none" w:sz="0" w:space="0" w:color="auto"/>
        <w:right w:val="none" w:sz="0" w:space="0" w:color="auto"/>
      </w:divBdr>
    </w:div>
    <w:div w:id="2043289566">
      <w:bodyDiv w:val="1"/>
      <w:marLeft w:val="0"/>
      <w:marRight w:val="0"/>
      <w:marTop w:val="0"/>
      <w:marBottom w:val="0"/>
      <w:divBdr>
        <w:top w:val="none" w:sz="0" w:space="0" w:color="auto"/>
        <w:left w:val="none" w:sz="0" w:space="0" w:color="auto"/>
        <w:bottom w:val="none" w:sz="0" w:space="0" w:color="auto"/>
        <w:right w:val="none" w:sz="0" w:space="0" w:color="auto"/>
      </w:divBdr>
    </w:div>
    <w:div w:id="2043623978">
      <w:bodyDiv w:val="1"/>
      <w:marLeft w:val="0"/>
      <w:marRight w:val="0"/>
      <w:marTop w:val="0"/>
      <w:marBottom w:val="0"/>
      <w:divBdr>
        <w:top w:val="none" w:sz="0" w:space="0" w:color="auto"/>
        <w:left w:val="none" w:sz="0" w:space="0" w:color="auto"/>
        <w:bottom w:val="none" w:sz="0" w:space="0" w:color="auto"/>
        <w:right w:val="none" w:sz="0" w:space="0" w:color="auto"/>
      </w:divBdr>
    </w:div>
    <w:div w:id="2043675771">
      <w:bodyDiv w:val="1"/>
      <w:marLeft w:val="0"/>
      <w:marRight w:val="0"/>
      <w:marTop w:val="0"/>
      <w:marBottom w:val="0"/>
      <w:divBdr>
        <w:top w:val="none" w:sz="0" w:space="0" w:color="auto"/>
        <w:left w:val="none" w:sz="0" w:space="0" w:color="auto"/>
        <w:bottom w:val="none" w:sz="0" w:space="0" w:color="auto"/>
        <w:right w:val="none" w:sz="0" w:space="0" w:color="auto"/>
      </w:divBdr>
    </w:div>
    <w:div w:id="2043819194">
      <w:bodyDiv w:val="1"/>
      <w:marLeft w:val="0"/>
      <w:marRight w:val="0"/>
      <w:marTop w:val="0"/>
      <w:marBottom w:val="0"/>
      <w:divBdr>
        <w:top w:val="none" w:sz="0" w:space="0" w:color="auto"/>
        <w:left w:val="none" w:sz="0" w:space="0" w:color="auto"/>
        <w:bottom w:val="none" w:sz="0" w:space="0" w:color="auto"/>
        <w:right w:val="none" w:sz="0" w:space="0" w:color="auto"/>
      </w:divBdr>
    </w:div>
    <w:div w:id="2044136550">
      <w:bodyDiv w:val="1"/>
      <w:marLeft w:val="0"/>
      <w:marRight w:val="0"/>
      <w:marTop w:val="0"/>
      <w:marBottom w:val="0"/>
      <w:divBdr>
        <w:top w:val="none" w:sz="0" w:space="0" w:color="auto"/>
        <w:left w:val="none" w:sz="0" w:space="0" w:color="auto"/>
        <w:bottom w:val="none" w:sz="0" w:space="0" w:color="auto"/>
        <w:right w:val="none" w:sz="0" w:space="0" w:color="auto"/>
      </w:divBdr>
    </w:div>
    <w:div w:id="2044596477">
      <w:bodyDiv w:val="1"/>
      <w:marLeft w:val="0"/>
      <w:marRight w:val="0"/>
      <w:marTop w:val="0"/>
      <w:marBottom w:val="0"/>
      <w:divBdr>
        <w:top w:val="none" w:sz="0" w:space="0" w:color="auto"/>
        <w:left w:val="none" w:sz="0" w:space="0" w:color="auto"/>
        <w:bottom w:val="none" w:sz="0" w:space="0" w:color="auto"/>
        <w:right w:val="none" w:sz="0" w:space="0" w:color="auto"/>
      </w:divBdr>
    </w:div>
    <w:div w:id="2044937227">
      <w:bodyDiv w:val="1"/>
      <w:marLeft w:val="0"/>
      <w:marRight w:val="0"/>
      <w:marTop w:val="0"/>
      <w:marBottom w:val="0"/>
      <w:divBdr>
        <w:top w:val="none" w:sz="0" w:space="0" w:color="auto"/>
        <w:left w:val="none" w:sz="0" w:space="0" w:color="auto"/>
        <w:bottom w:val="none" w:sz="0" w:space="0" w:color="auto"/>
        <w:right w:val="none" w:sz="0" w:space="0" w:color="auto"/>
      </w:divBdr>
    </w:div>
    <w:div w:id="2045445349">
      <w:bodyDiv w:val="1"/>
      <w:marLeft w:val="0"/>
      <w:marRight w:val="0"/>
      <w:marTop w:val="0"/>
      <w:marBottom w:val="0"/>
      <w:divBdr>
        <w:top w:val="none" w:sz="0" w:space="0" w:color="auto"/>
        <w:left w:val="none" w:sz="0" w:space="0" w:color="auto"/>
        <w:bottom w:val="none" w:sz="0" w:space="0" w:color="auto"/>
        <w:right w:val="none" w:sz="0" w:space="0" w:color="auto"/>
      </w:divBdr>
    </w:div>
    <w:div w:id="2045515831">
      <w:bodyDiv w:val="1"/>
      <w:marLeft w:val="0"/>
      <w:marRight w:val="0"/>
      <w:marTop w:val="0"/>
      <w:marBottom w:val="0"/>
      <w:divBdr>
        <w:top w:val="none" w:sz="0" w:space="0" w:color="auto"/>
        <w:left w:val="none" w:sz="0" w:space="0" w:color="auto"/>
        <w:bottom w:val="none" w:sz="0" w:space="0" w:color="auto"/>
        <w:right w:val="none" w:sz="0" w:space="0" w:color="auto"/>
      </w:divBdr>
    </w:div>
    <w:div w:id="2045518373">
      <w:bodyDiv w:val="1"/>
      <w:marLeft w:val="0"/>
      <w:marRight w:val="0"/>
      <w:marTop w:val="0"/>
      <w:marBottom w:val="0"/>
      <w:divBdr>
        <w:top w:val="none" w:sz="0" w:space="0" w:color="auto"/>
        <w:left w:val="none" w:sz="0" w:space="0" w:color="auto"/>
        <w:bottom w:val="none" w:sz="0" w:space="0" w:color="auto"/>
        <w:right w:val="none" w:sz="0" w:space="0" w:color="auto"/>
      </w:divBdr>
    </w:div>
    <w:div w:id="2045593839">
      <w:bodyDiv w:val="1"/>
      <w:marLeft w:val="0"/>
      <w:marRight w:val="0"/>
      <w:marTop w:val="0"/>
      <w:marBottom w:val="0"/>
      <w:divBdr>
        <w:top w:val="none" w:sz="0" w:space="0" w:color="auto"/>
        <w:left w:val="none" w:sz="0" w:space="0" w:color="auto"/>
        <w:bottom w:val="none" w:sz="0" w:space="0" w:color="auto"/>
        <w:right w:val="none" w:sz="0" w:space="0" w:color="auto"/>
      </w:divBdr>
    </w:div>
    <w:div w:id="2045864373">
      <w:bodyDiv w:val="1"/>
      <w:marLeft w:val="0"/>
      <w:marRight w:val="0"/>
      <w:marTop w:val="0"/>
      <w:marBottom w:val="0"/>
      <w:divBdr>
        <w:top w:val="none" w:sz="0" w:space="0" w:color="auto"/>
        <w:left w:val="none" w:sz="0" w:space="0" w:color="auto"/>
        <w:bottom w:val="none" w:sz="0" w:space="0" w:color="auto"/>
        <w:right w:val="none" w:sz="0" w:space="0" w:color="auto"/>
      </w:divBdr>
    </w:div>
    <w:div w:id="2045903376">
      <w:bodyDiv w:val="1"/>
      <w:marLeft w:val="0"/>
      <w:marRight w:val="0"/>
      <w:marTop w:val="0"/>
      <w:marBottom w:val="0"/>
      <w:divBdr>
        <w:top w:val="none" w:sz="0" w:space="0" w:color="auto"/>
        <w:left w:val="none" w:sz="0" w:space="0" w:color="auto"/>
        <w:bottom w:val="none" w:sz="0" w:space="0" w:color="auto"/>
        <w:right w:val="none" w:sz="0" w:space="0" w:color="auto"/>
      </w:divBdr>
    </w:div>
    <w:div w:id="2046321337">
      <w:bodyDiv w:val="1"/>
      <w:marLeft w:val="0"/>
      <w:marRight w:val="0"/>
      <w:marTop w:val="0"/>
      <w:marBottom w:val="0"/>
      <w:divBdr>
        <w:top w:val="none" w:sz="0" w:space="0" w:color="auto"/>
        <w:left w:val="none" w:sz="0" w:space="0" w:color="auto"/>
        <w:bottom w:val="none" w:sz="0" w:space="0" w:color="auto"/>
        <w:right w:val="none" w:sz="0" w:space="0" w:color="auto"/>
      </w:divBdr>
    </w:div>
    <w:div w:id="2046321519">
      <w:bodyDiv w:val="1"/>
      <w:marLeft w:val="0"/>
      <w:marRight w:val="0"/>
      <w:marTop w:val="0"/>
      <w:marBottom w:val="0"/>
      <w:divBdr>
        <w:top w:val="none" w:sz="0" w:space="0" w:color="auto"/>
        <w:left w:val="none" w:sz="0" w:space="0" w:color="auto"/>
        <w:bottom w:val="none" w:sz="0" w:space="0" w:color="auto"/>
        <w:right w:val="none" w:sz="0" w:space="0" w:color="auto"/>
      </w:divBdr>
    </w:div>
    <w:div w:id="2046713690">
      <w:bodyDiv w:val="1"/>
      <w:marLeft w:val="0"/>
      <w:marRight w:val="0"/>
      <w:marTop w:val="0"/>
      <w:marBottom w:val="0"/>
      <w:divBdr>
        <w:top w:val="none" w:sz="0" w:space="0" w:color="auto"/>
        <w:left w:val="none" w:sz="0" w:space="0" w:color="auto"/>
        <w:bottom w:val="none" w:sz="0" w:space="0" w:color="auto"/>
        <w:right w:val="none" w:sz="0" w:space="0" w:color="auto"/>
      </w:divBdr>
    </w:div>
    <w:div w:id="2046831363">
      <w:bodyDiv w:val="1"/>
      <w:marLeft w:val="0"/>
      <w:marRight w:val="0"/>
      <w:marTop w:val="0"/>
      <w:marBottom w:val="0"/>
      <w:divBdr>
        <w:top w:val="none" w:sz="0" w:space="0" w:color="auto"/>
        <w:left w:val="none" w:sz="0" w:space="0" w:color="auto"/>
        <w:bottom w:val="none" w:sz="0" w:space="0" w:color="auto"/>
        <w:right w:val="none" w:sz="0" w:space="0" w:color="auto"/>
      </w:divBdr>
    </w:div>
    <w:div w:id="2047295255">
      <w:bodyDiv w:val="1"/>
      <w:marLeft w:val="0"/>
      <w:marRight w:val="0"/>
      <w:marTop w:val="0"/>
      <w:marBottom w:val="0"/>
      <w:divBdr>
        <w:top w:val="none" w:sz="0" w:space="0" w:color="auto"/>
        <w:left w:val="none" w:sz="0" w:space="0" w:color="auto"/>
        <w:bottom w:val="none" w:sz="0" w:space="0" w:color="auto"/>
        <w:right w:val="none" w:sz="0" w:space="0" w:color="auto"/>
      </w:divBdr>
    </w:div>
    <w:div w:id="2047489892">
      <w:bodyDiv w:val="1"/>
      <w:marLeft w:val="0"/>
      <w:marRight w:val="0"/>
      <w:marTop w:val="0"/>
      <w:marBottom w:val="0"/>
      <w:divBdr>
        <w:top w:val="none" w:sz="0" w:space="0" w:color="auto"/>
        <w:left w:val="none" w:sz="0" w:space="0" w:color="auto"/>
        <w:bottom w:val="none" w:sz="0" w:space="0" w:color="auto"/>
        <w:right w:val="none" w:sz="0" w:space="0" w:color="auto"/>
      </w:divBdr>
    </w:div>
    <w:div w:id="2047833631">
      <w:bodyDiv w:val="1"/>
      <w:marLeft w:val="0"/>
      <w:marRight w:val="0"/>
      <w:marTop w:val="0"/>
      <w:marBottom w:val="0"/>
      <w:divBdr>
        <w:top w:val="none" w:sz="0" w:space="0" w:color="auto"/>
        <w:left w:val="none" w:sz="0" w:space="0" w:color="auto"/>
        <w:bottom w:val="none" w:sz="0" w:space="0" w:color="auto"/>
        <w:right w:val="none" w:sz="0" w:space="0" w:color="auto"/>
      </w:divBdr>
    </w:div>
    <w:div w:id="2047899509">
      <w:bodyDiv w:val="1"/>
      <w:marLeft w:val="0"/>
      <w:marRight w:val="0"/>
      <w:marTop w:val="0"/>
      <w:marBottom w:val="0"/>
      <w:divBdr>
        <w:top w:val="none" w:sz="0" w:space="0" w:color="auto"/>
        <w:left w:val="none" w:sz="0" w:space="0" w:color="auto"/>
        <w:bottom w:val="none" w:sz="0" w:space="0" w:color="auto"/>
        <w:right w:val="none" w:sz="0" w:space="0" w:color="auto"/>
      </w:divBdr>
    </w:div>
    <w:div w:id="2048215291">
      <w:bodyDiv w:val="1"/>
      <w:marLeft w:val="0"/>
      <w:marRight w:val="0"/>
      <w:marTop w:val="0"/>
      <w:marBottom w:val="0"/>
      <w:divBdr>
        <w:top w:val="none" w:sz="0" w:space="0" w:color="auto"/>
        <w:left w:val="none" w:sz="0" w:space="0" w:color="auto"/>
        <w:bottom w:val="none" w:sz="0" w:space="0" w:color="auto"/>
        <w:right w:val="none" w:sz="0" w:space="0" w:color="auto"/>
      </w:divBdr>
    </w:div>
    <w:div w:id="2048333887">
      <w:bodyDiv w:val="1"/>
      <w:marLeft w:val="0"/>
      <w:marRight w:val="0"/>
      <w:marTop w:val="0"/>
      <w:marBottom w:val="0"/>
      <w:divBdr>
        <w:top w:val="none" w:sz="0" w:space="0" w:color="auto"/>
        <w:left w:val="none" w:sz="0" w:space="0" w:color="auto"/>
        <w:bottom w:val="none" w:sz="0" w:space="0" w:color="auto"/>
        <w:right w:val="none" w:sz="0" w:space="0" w:color="auto"/>
      </w:divBdr>
    </w:div>
    <w:div w:id="2048603754">
      <w:bodyDiv w:val="1"/>
      <w:marLeft w:val="0"/>
      <w:marRight w:val="0"/>
      <w:marTop w:val="0"/>
      <w:marBottom w:val="0"/>
      <w:divBdr>
        <w:top w:val="none" w:sz="0" w:space="0" w:color="auto"/>
        <w:left w:val="none" w:sz="0" w:space="0" w:color="auto"/>
        <w:bottom w:val="none" w:sz="0" w:space="0" w:color="auto"/>
        <w:right w:val="none" w:sz="0" w:space="0" w:color="auto"/>
      </w:divBdr>
    </w:div>
    <w:div w:id="2049064476">
      <w:bodyDiv w:val="1"/>
      <w:marLeft w:val="0"/>
      <w:marRight w:val="0"/>
      <w:marTop w:val="0"/>
      <w:marBottom w:val="0"/>
      <w:divBdr>
        <w:top w:val="none" w:sz="0" w:space="0" w:color="auto"/>
        <w:left w:val="none" w:sz="0" w:space="0" w:color="auto"/>
        <w:bottom w:val="none" w:sz="0" w:space="0" w:color="auto"/>
        <w:right w:val="none" w:sz="0" w:space="0" w:color="auto"/>
      </w:divBdr>
    </w:div>
    <w:div w:id="2049186887">
      <w:bodyDiv w:val="1"/>
      <w:marLeft w:val="0"/>
      <w:marRight w:val="0"/>
      <w:marTop w:val="0"/>
      <w:marBottom w:val="0"/>
      <w:divBdr>
        <w:top w:val="none" w:sz="0" w:space="0" w:color="auto"/>
        <w:left w:val="none" w:sz="0" w:space="0" w:color="auto"/>
        <w:bottom w:val="none" w:sz="0" w:space="0" w:color="auto"/>
        <w:right w:val="none" w:sz="0" w:space="0" w:color="auto"/>
      </w:divBdr>
    </w:div>
    <w:div w:id="2049336990">
      <w:bodyDiv w:val="1"/>
      <w:marLeft w:val="0"/>
      <w:marRight w:val="0"/>
      <w:marTop w:val="0"/>
      <w:marBottom w:val="0"/>
      <w:divBdr>
        <w:top w:val="none" w:sz="0" w:space="0" w:color="auto"/>
        <w:left w:val="none" w:sz="0" w:space="0" w:color="auto"/>
        <w:bottom w:val="none" w:sz="0" w:space="0" w:color="auto"/>
        <w:right w:val="none" w:sz="0" w:space="0" w:color="auto"/>
      </w:divBdr>
    </w:div>
    <w:div w:id="2049379596">
      <w:bodyDiv w:val="1"/>
      <w:marLeft w:val="0"/>
      <w:marRight w:val="0"/>
      <w:marTop w:val="0"/>
      <w:marBottom w:val="0"/>
      <w:divBdr>
        <w:top w:val="none" w:sz="0" w:space="0" w:color="auto"/>
        <w:left w:val="none" w:sz="0" w:space="0" w:color="auto"/>
        <w:bottom w:val="none" w:sz="0" w:space="0" w:color="auto"/>
        <w:right w:val="none" w:sz="0" w:space="0" w:color="auto"/>
      </w:divBdr>
    </w:div>
    <w:div w:id="2049601408">
      <w:bodyDiv w:val="1"/>
      <w:marLeft w:val="0"/>
      <w:marRight w:val="0"/>
      <w:marTop w:val="0"/>
      <w:marBottom w:val="0"/>
      <w:divBdr>
        <w:top w:val="none" w:sz="0" w:space="0" w:color="auto"/>
        <w:left w:val="none" w:sz="0" w:space="0" w:color="auto"/>
        <w:bottom w:val="none" w:sz="0" w:space="0" w:color="auto"/>
        <w:right w:val="none" w:sz="0" w:space="0" w:color="auto"/>
      </w:divBdr>
    </w:div>
    <w:div w:id="2050059159">
      <w:bodyDiv w:val="1"/>
      <w:marLeft w:val="0"/>
      <w:marRight w:val="0"/>
      <w:marTop w:val="0"/>
      <w:marBottom w:val="0"/>
      <w:divBdr>
        <w:top w:val="none" w:sz="0" w:space="0" w:color="auto"/>
        <w:left w:val="none" w:sz="0" w:space="0" w:color="auto"/>
        <w:bottom w:val="none" w:sz="0" w:space="0" w:color="auto"/>
        <w:right w:val="none" w:sz="0" w:space="0" w:color="auto"/>
      </w:divBdr>
    </w:div>
    <w:div w:id="2050101717">
      <w:bodyDiv w:val="1"/>
      <w:marLeft w:val="0"/>
      <w:marRight w:val="0"/>
      <w:marTop w:val="0"/>
      <w:marBottom w:val="0"/>
      <w:divBdr>
        <w:top w:val="none" w:sz="0" w:space="0" w:color="auto"/>
        <w:left w:val="none" w:sz="0" w:space="0" w:color="auto"/>
        <w:bottom w:val="none" w:sz="0" w:space="0" w:color="auto"/>
        <w:right w:val="none" w:sz="0" w:space="0" w:color="auto"/>
      </w:divBdr>
    </w:div>
    <w:div w:id="2051030519">
      <w:bodyDiv w:val="1"/>
      <w:marLeft w:val="0"/>
      <w:marRight w:val="0"/>
      <w:marTop w:val="0"/>
      <w:marBottom w:val="0"/>
      <w:divBdr>
        <w:top w:val="none" w:sz="0" w:space="0" w:color="auto"/>
        <w:left w:val="none" w:sz="0" w:space="0" w:color="auto"/>
        <w:bottom w:val="none" w:sz="0" w:space="0" w:color="auto"/>
        <w:right w:val="none" w:sz="0" w:space="0" w:color="auto"/>
      </w:divBdr>
    </w:div>
    <w:div w:id="2051106351">
      <w:bodyDiv w:val="1"/>
      <w:marLeft w:val="0"/>
      <w:marRight w:val="0"/>
      <w:marTop w:val="0"/>
      <w:marBottom w:val="0"/>
      <w:divBdr>
        <w:top w:val="none" w:sz="0" w:space="0" w:color="auto"/>
        <w:left w:val="none" w:sz="0" w:space="0" w:color="auto"/>
        <w:bottom w:val="none" w:sz="0" w:space="0" w:color="auto"/>
        <w:right w:val="none" w:sz="0" w:space="0" w:color="auto"/>
      </w:divBdr>
    </w:div>
    <w:div w:id="2051566748">
      <w:bodyDiv w:val="1"/>
      <w:marLeft w:val="0"/>
      <w:marRight w:val="0"/>
      <w:marTop w:val="0"/>
      <w:marBottom w:val="0"/>
      <w:divBdr>
        <w:top w:val="none" w:sz="0" w:space="0" w:color="auto"/>
        <w:left w:val="none" w:sz="0" w:space="0" w:color="auto"/>
        <w:bottom w:val="none" w:sz="0" w:space="0" w:color="auto"/>
        <w:right w:val="none" w:sz="0" w:space="0" w:color="auto"/>
      </w:divBdr>
    </w:div>
    <w:div w:id="2051613747">
      <w:bodyDiv w:val="1"/>
      <w:marLeft w:val="0"/>
      <w:marRight w:val="0"/>
      <w:marTop w:val="0"/>
      <w:marBottom w:val="0"/>
      <w:divBdr>
        <w:top w:val="none" w:sz="0" w:space="0" w:color="auto"/>
        <w:left w:val="none" w:sz="0" w:space="0" w:color="auto"/>
        <w:bottom w:val="none" w:sz="0" w:space="0" w:color="auto"/>
        <w:right w:val="none" w:sz="0" w:space="0" w:color="auto"/>
      </w:divBdr>
    </w:div>
    <w:div w:id="2051686924">
      <w:bodyDiv w:val="1"/>
      <w:marLeft w:val="0"/>
      <w:marRight w:val="0"/>
      <w:marTop w:val="0"/>
      <w:marBottom w:val="0"/>
      <w:divBdr>
        <w:top w:val="none" w:sz="0" w:space="0" w:color="auto"/>
        <w:left w:val="none" w:sz="0" w:space="0" w:color="auto"/>
        <w:bottom w:val="none" w:sz="0" w:space="0" w:color="auto"/>
        <w:right w:val="none" w:sz="0" w:space="0" w:color="auto"/>
      </w:divBdr>
    </w:div>
    <w:div w:id="2051803923">
      <w:bodyDiv w:val="1"/>
      <w:marLeft w:val="0"/>
      <w:marRight w:val="0"/>
      <w:marTop w:val="0"/>
      <w:marBottom w:val="0"/>
      <w:divBdr>
        <w:top w:val="none" w:sz="0" w:space="0" w:color="auto"/>
        <w:left w:val="none" w:sz="0" w:space="0" w:color="auto"/>
        <w:bottom w:val="none" w:sz="0" w:space="0" w:color="auto"/>
        <w:right w:val="none" w:sz="0" w:space="0" w:color="auto"/>
      </w:divBdr>
    </w:div>
    <w:div w:id="2051881064">
      <w:bodyDiv w:val="1"/>
      <w:marLeft w:val="0"/>
      <w:marRight w:val="0"/>
      <w:marTop w:val="0"/>
      <w:marBottom w:val="0"/>
      <w:divBdr>
        <w:top w:val="none" w:sz="0" w:space="0" w:color="auto"/>
        <w:left w:val="none" w:sz="0" w:space="0" w:color="auto"/>
        <w:bottom w:val="none" w:sz="0" w:space="0" w:color="auto"/>
        <w:right w:val="none" w:sz="0" w:space="0" w:color="auto"/>
      </w:divBdr>
    </w:div>
    <w:div w:id="2051956843">
      <w:bodyDiv w:val="1"/>
      <w:marLeft w:val="0"/>
      <w:marRight w:val="0"/>
      <w:marTop w:val="0"/>
      <w:marBottom w:val="0"/>
      <w:divBdr>
        <w:top w:val="none" w:sz="0" w:space="0" w:color="auto"/>
        <w:left w:val="none" w:sz="0" w:space="0" w:color="auto"/>
        <w:bottom w:val="none" w:sz="0" w:space="0" w:color="auto"/>
        <w:right w:val="none" w:sz="0" w:space="0" w:color="auto"/>
      </w:divBdr>
    </w:div>
    <w:div w:id="2052220344">
      <w:bodyDiv w:val="1"/>
      <w:marLeft w:val="0"/>
      <w:marRight w:val="0"/>
      <w:marTop w:val="0"/>
      <w:marBottom w:val="0"/>
      <w:divBdr>
        <w:top w:val="none" w:sz="0" w:space="0" w:color="auto"/>
        <w:left w:val="none" w:sz="0" w:space="0" w:color="auto"/>
        <w:bottom w:val="none" w:sz="0" w:space="0" w:color="auto"/>
        <w:right w:val="none" w:sz="0" w:space="0" w:color="auto"/>
      </w:divBdr>
    </w:div>
    <w:div w:id="2052337317">
      <w:bodyDiv w:val="1"/>
      <w:marLeft w:val="0"/>
      <w:marRight w:val="0"/>
      <w:marTop w:val="0"/>
      <w:marBottom w:val="0"/>
      <w:divBdr>
        <w:top w:val="none" w:sz="0" w:space="0" w:color="auto"/>
        <w:left w:val="none" w:sz="0" w:space="0" w:color="auto"/>
        <w:bottom w:val="none" w:sz="0" w:space="0" w:color="auto"/>
        <w:right w:val="none" w:sz="0" w:space="0" w:color="auto"/>
      </w:divBdr>
    </w:div>
    <w:div w:id="2052609140">
      <w:bodyDiv w:val="1"/>
      <w:marLeft w:val="0"/>
      <w:marRight w:val="0"/>
      <w:marTop w:val="0"/>
      <w:marBottom w:val="0"/>
      <w:divBdr>
        <w:top w:val="none" w:sz="0" w:space="0" w:color="auto"/>
        <w:left w:val="none" w:sz="0" w:space="0" w:color="auto"/>
        <w:bottom w:val="none" w:sz="0" w:space="0" w:color="auto"/>
        <w:right w:val="none" w:sz="0" w:space="0" w:color="auto"/>
      </w:divBdr>
    </w:div>
    <w:div w:id="2052881186">
      <w:bodyDiv w:val="1"/>
      <w:marLeft w:val="0"/>
      <w:marRight w:val="0"/>
      <w:marTop w:val="0"/>
      <w:marBottom w:val="0"/>
      <w:divBdr>
        <w:top w:val="none" w:sz="0" w:space="0" w:color="auto"/>
        <w:left w:val="none" w:sz="0" w:space="0" w:color="auto"/>
        <w:bottom w:val="none" w:sz="0" w:space="0" w:color="auto"/>
        <w:right w:val="none" w:sz="0" w:space="0" w:color="auto"/>
      </w:divBdr>
    </w:div>
    <w:div w:id="2053185387">
      <w:bodyDiv w:val="1"/>
      <w:marLeft w:val="0"/>
      <w:marRight w:val="0"/>
      <w:marTop w:val="0"/>
      <w:marBottom w:val="0"/>
      <w:divBdr>
        <w:top w:val="none" w:sz="0" w:space="0" w:color="auto"/>
        <w:left w:val="none" w:sz="0" w:space="0" w:color="auto"/>
        <w:bottom w:val="none" w:sz="0" w:space="0" w:color="auto"/>
        <w:right w:val="none" w:sz="0" w:space="0" w:color="auto"/>
      </w:divBdr>
    </w:div>
    <w:div w:id="2053455355">
      <w:bodyDiv w:val="1"/>
      <w:marLeft w:val="0"/>
      <w:marRight w:val="0"/>
      <w:marTop w:val="0"/>
      <w:marBottom w:val="0"/>
      <w:divBdr>
        <w:top w:val="none" w:sz="0" w:space="0" w:color="auto"/>
        <w:left w:val="none" w:sz="0" w:space="0" w:color="auto"/>
        <w:bottom w:val="none" w:sz="0" w:space="0" w:color="auto"/>
        <w:right w:val="none" w:sz="0" w:space="0" w:color="auto"/>
      </w:divBdr>
    </w:div>
    <w:div w:id="2053528493">
      <w:bodyDiv w:val="1"/>
      <w:marLeft w:val="0"/>
      <w:marRight w:val="0"/>
      <w:marTop w:val="0"/>
      <w:marBottom w:val="0"/>
      <w:divBdr>
        <w:top w:val="none" w:sz="0" w:space="0" w:color="auto"/>
        <w:left w:val="none" w:sz="0" w:space="0" w:color="auto"/>
        <w:bottom w:val="none" w:sz="0" w:space="0" w:color="auto"/>
        <w:right w:val="none" w:sz="0" w:space="0" w:color="auto"/>
      </w:divBdr>
    </w:div>
    <w:div w:id="2053729652">
      <w:bodyDiv w:val="1"/>
      <w:marLeft w:val="0"/>
      <w:marRight w:val="0"/>
      <w:marTop w:val="0"/>
      <w:marBottom w:val="0"/>
      <w:divBdr>
        <w:top w:val="none" w:sz="0" w:space="0" w:color="auto"/>
        <w:left w:val="none" w:sz="0" w:space="0" w:color="auto"/>
        <w:bottom w:val="none" w:sz="0" w:space="0" w:color="auto"/>
        <w:right w:val="none" w:sz="0" w:space="0" w:color="auto"/>
      </w:divBdr>
    </w:div>
    <w:div w:id="2053990796">
      <w:bodyDiv w:val="1"/>
      <w:marLeft w:val="0"/>
      <w:marRight w:val="0"/>
      <w:marTop w:val="0"/>
      <w:marBottom w:val="0"/>
      <w:divBdr>
        <w:top w:val="none" w:sz="0" w:space="0" w:color="auto"/>
        <w:left w:val="none" w:sz="0" w:space="0" w:color="auto"/>
        <w:bottom w:val="none" w:sz="0" w:space="0" w:color="auto"/>
        <w:right w:val="none" w:sz="0" w:space="0" w:color="auto"/>
      </w:divBdr>
    </w:div>
    <w:div w:id="2054111979">
      <w:bodyDiv w:val="1"/>
      <w:marLeft w:val="0"/>
      <w:marRight w:val="0"/>
      <w:marTop w:val="0"/>
      <w:marBottom w:val="0"/>
      <w:divBdr>
        <w:top w:val="none" w:sz="0" w:space="0" w:color="auto"/>
        <w:left w:val="none" w:sz="0" w:space="0" w:color="auto"/>
        <w:bottom w:val="none" w:sz="0" w:space="0" w:color="auto"/>
        <w:right w:val="none" w:sz="0" w:space="0" w:color="auto"/>
      </w:divBdr>
    </w:div>
    <w:div w:id="2054232309">
      <w:bodyDiv w:val="1"/>
      <w:marLeft w:val="0"/>
      <w:marRight w:val="0"/>
      <w:marTop w:val="0"/>
      <w:marBottom w:val="0"/>
      <w:divBdr>
        <w:top w:val="none" w:sz="0" w:space="0" w:color="auto"/>
        <w:left w:val="none" w:sz="0" w:space="0" w:color="auto"/>
        <w:bottom w:val="none" w:sz="0" w:space="0" w:color="auto"/>
        <w:right w:val="none" w:sz="0" w:space="0" w:color="auto"/>
      </w:divBdr>
    </w:div>
    <w:div w:id="2054423478">
      <w:bodyDiv w:val="1"/>
      <w:marLeft w:val="0"/>
      <w:marRight w:val="0"/>
      <w:marTop w:val="0"/>
      <w:marBottom w:val="0"/>
      <w:divBdr>
        <w:top w:val="none" w:sz="0" w:space="0" w:color="auto"/>
        <w:left w:val="none" w:sz="0" w:space="0" w:color="auto"/>
        <w:bottom w:val="none" w:sz="0" w:space="0" w:color="auto"/>
        <w:right w:val="none" w:sz="0" w:space="0" w:color="auto"/>
      </w:divBdr>
    </w:div>
    <w:div w:id="2054423586">
      <w:bodyDiv w:val="1"/>
      <w:marLeft w:val="0"/>
      <w:marRight w:val="0"/>
      <w:marTop w:val="0"/>
      <w:marBottom w:val="0"/>
      <w:divBdr>
        <w:top w:val="none" w:sz="0" w:space="0" w:color="auto"/>
        <w:left w:val="none" w:sz="0" w:space="0" w:color="auto"/>
        <w:bottom w:val="none" w:sz="0" w:space="0" w:color="auto"/>
        <w:right w:val="none" w:sz="0" w:space="0" w:color="auto"/>
      </w:divBdr>
    </w:div>
    <w:div w:id="2054578965">
      <w:bodyDiv w:val="1"/>
      <w:marLeft w:val="0"/>
      <w:marRight w:val="0"/>
      <w:marTop w:val="0"/>
      <w:marBottom w:val="0"/>
      <w:divBdr>
        <w:top w:val="none" w:sz="0" w:space="0" w:color="auto"/>
        <w:left w:val="none" w:sz="0" w:space="0" w:color="auto"/>
        <w:bottom w:val="none" w:sz="0" w:space="0" w:color="auto"/>
        <w:right w:val="none" w:sz="0" w:space="0" w:color="auto"/>
      </w:divBdr>
    </w:div>
    <w:div w:id="2054619799">
      <w:bodyDiv w:val="1"/>
      <w:marLeft w:val="0"/>
      <w:marRight w:val="0"/>
      <w:marTop w:val="0"/>
      <w:marBottom w:val="0"/>
      <w:divBdr>
        <w:top w:val="none" w:sz="0" w:space="0" w:color="auto"/>
        <w:left w:val="none" w:sz="0" w:space="0" w:color="auto"/>
        <w:bottom w:val="none" w:sz="0" w:space="0" w:color="auto"/>
        <w:right w:val="none" w:sz="0" w:space="0" w:color="auto"/>
      </w:divBdr>
    </w:div>
    <w:div w:id="2054884753">
      <w:bodyDiv w:val="1"/>
      <w:marLeft w:val="0"/>
      <w:marRight w:val="0"/>
      <w:marTop w:val="0"/>
      <w:marBottom w:val="0"/>
      <w:divBdr>
        <w:top w:val="none" w:sz="0" w:space="0" w:color="auto"/>
        <w:left w:val="none" w:sz="0" w:space="0" w:color="auto"/>
        <w:bottom w:val="none" w:sz="0" w:space="0" w:color="auto"/>
        <w:right w:val="none" w:sz="0" w:space="0" w:color="auto"/>
      </w:divBdr>
    </w:div>
    <w:div w:id="2055107965">
      <w:bodyDiv w:val="1"/>
      <w:marLeft w:val="0"/>
      <w:marRight w:val="0"/>
      <w:marTop w:val="0"/>
      <w:marBottom w:val="0"/>
      <w:divBdr>
        <w:top w:val="none" w:sz="0" w:space="0" w:color="auto"/>
        <w:left w:val="none" w:sz="0" w:space="0" w:color="auto"/>
        <w:bottom w:val="none" w:sz="0" w:space="0" w:color="auto"/>
        <w:right w:val="none" w:sz="0" w:space="0" w:color="auto"/>
      </w:divBdr>
    </w:div>
    <w:div w:id="2055428298">
      <w:bodyDiv w:val="1"/>
      <w:marLeft w:val="0"/>
      <w:marRight w:val="0"/>
      <w:marTop w:val="0"/>
      <w:marBottom w:val="0"/>
      <w:divBdr>
        <w:top w:val="none" w:sz="0" w:space="0" w:color="auto"/>
        <w:left w:val="none" w:sz="0" w:space="0" w:color="auto"/>
        <w:bottom w:val="none" w:sz="0" w:space="0" w:color="auto"/>
        <w:right w:val="none" w:sz="0" w:space="0" w:color="auto"/>
      </w:divBdr>
    </w:div>
    <w:div w:id="2056002335">
      <w:bodyDiv w:val="1"/>
      <w:marLeft w:val="0"/>
      <w:marRight w:val="0"/>
      <w:marTop w:val="0"/>
      <w:marBottom w:val="0"/>
      <w:divBdr>
        <w:top w:val="none" w:sz="0" w:space="0" w:color="auto"/>
        <w:left w:val="none" w:sz="0" w:space="0" w:color="auto"/>
        <w:bottom w:val="none" w:sz="0" w:space="0" w:color="auto"/>
        <w:right w:val="none" w:sz="0" w:space="0" w:color="auto"/>
      </w:divBdr>
    </w:div>
    <w:div w:id="2056392771">
      <w:bodyDiv w:val="1"/>
      <w:marLeft w:val="0"/>
      <w:marRight w:val="0"/>
      <w:marTop w:val="0"/>
      <w:marBottom w:val="0"/>
      <w:divBdr>
        <w:top w:val="none" w:sz="0" w:space="0" w:color="auto"/>
        <w:left w:val="none" w:sz="0" w:space="0" w:color="auto"/>
        <w:bottom w:val="none" w:sz="0" w:space="0" w:color="auto"/>
        <w:right w:val="none" w:sz="0" w:space="0" w:color="auto"/>
      </w:divBdr>
    </w:div>
    <w:div w:id="2056393979">
      <w:bodyDiv w:val="1"/>
      <w:marLeft w:val="0"/>
      <w:marRight w:val="0"/>
      <w:marTop w:val="0"/>
      <w:marBottom w:val="0"/>
      <w:divBdr>
        <w:top w:val="none" w:sz="0" w:space="0" w:color="auto"/>
        <w:left w:val="none" w:sz="0" w:space="0" w:color="auto"/>
        <w:bottom w:val="none" w:sz="0" w:space="0" w:color="auto"/>
        <w:right w:val="none" w:sz="0" w:space="0" w:color="auto"/>
      </w:divBdr>
    </w:div>
    <w:div w:id="2056394008">
      <w:bodyDiv w:val="1"/>
      <w:marLeft w:val="0"/>
      <w:marRight w:val="0"/>
      <w:marTop w:val="0"/>
      <w:marBottom w:val="0"/>
      <w:divBdr>
        <w:top w:val="none" w:sz="0" w:space="0" w:color="auto"/>
        <w:left w:val="none" w:sz="0" w:space="0" w:color="auto"/>
        <w:bottom w:val="none" w:sz="0" w:space="0" w:color="auto"/>
        <w:right w:val="none" w:sz="0" w:space="0" w:color="auto"/>
      </w:divBdr>
    </w:div>
    <w:div w:id="2056853712">
      <w:bodyDiv w:val="1"/>
      <w:marLeft w:val="0"/>
      <w:marRight w:val="0"/>
      <w:marTop w:val="0"/>
      <w:marBottom w:val="0"/>
      <w:divBdr>
        <w:top w:val="none" w:sz="0" w:space="0" w:color="auto"/>
        <w:left w:val="none" w:sz="0" w:space="0" w:color="auto"/>
        <w:bottom w:val="none" w:sz="0" w:space="0" w:color="auto"/>
        <w:right w:val="none" w:sz="0" w:space="0" w:color="auto"/>
      </w:divBdr>
    </w:div>
    <w:div w:id="2057003740">
      <w:bodyDiv w:val="1"/>
      <w:marLeft w:val="0"/>
      <w:marRight w:val="0"/>
      <w:marTop w:val="0"/>
      <w:marBottom w:val="0"/>
      <w:divBdr>
        <w:top w:val="none" w:sz="0" w:space="0" w:color="auto"/>
        <w:left w:val="none" w:sz="0" w:space="0" w:color="auto"/>
        <w:bottom w:val="none" w:sz="0" w:space="0" w:color="auto"/>
        <w:right w:val="none" w:sz="0" w:space="0" w:color="auto"/>
      </w:divBdr>
    </w:div>
    <w:div w:id="2057242965">
      <w:bodyDiv w:val="1"/>
      <w:marLeft w:val="0"/>
      <w:marRight w:val="0"/>
      <w:marTop w:val="0"/>
      <w:marBottom w:val="0"/>
      <w:divBdr>
        <w:top w:val="none" w:sz="0" w:space="0" w:color="auto"/>
        <w:left w:val="none" w:sz="0" w:space="0" w:color="auto"/>
        <w:bottom w:val="none" w:sz="0" w:space="0" w:color="auto"/>
        <w:right w:val="none" w:sz="0" w:space="0" w:color="auto"/>
      </w:divBdr>
    </w:div>
    <w:div w:id="2057386749">
      <w:bodyDiv w:val="1"/>
      <w:marLeft w:val="0"/>
      <w:marRight w:val="0"/>
      <w:marTop w:val="0"/>
      <w:marBottom w:val="0"/>
      <w:divBdr>
        <w:top w:val="none" w:sz="0" w:space="0" w:color="auto"/>
        <w:left w:val="none" w:sz="0" w:space="0" w:color="auto"/>
        <w:bottom w:val="none" w:sz="0" w:space="0" w:color="auto"/>
        <w:right w:val="none" w:sz="0" w:space="0" w:color="auto"/>
      </w:divBdr>
    </w:div>
    <w:div w:id="2058434767">
      <w:bodyDiv w:val="1"/>
      <w:marLeft w:val="0"/>
      <w:marRight w:val="0"/>
      <w:marTop w:val="0"/>
      <w:marBottom w:val="0"/>
      <w:divBdr>
        <w:top w:val="none" w:sz="0" w:space="0" w:color="auto"/>
        <w:left w:val="none" w:sz="0" w:space="0" w:color="auto"/>
        <w:bottom w:val="none" w:sz="0" w:space="0" w:color="auto"/>
        <w:right w:val="none" w:sz="0" w:space="0" w:color="auto"/>
      </w:divBdr>
    </w:div>
    <w:div w:id="2058502463">
      <w:bodyDiv w:val="1"/>
      <w:marLeft w:val="0"/>
      <w:marRight w:val="0"/>
      <w:marTop w:val="0"/>
      <w:marBottom w:val="0"/>
      <w:divBdr>
        <w:top w:val="none" w:sz="0" w:space="0" w:color="auto"/>
        <w:left w:val="none" w:sz="0" w:space="0" w:color="auto"/>
        <w:bottom w:val="none" w:sz="0" w:space="0" w:color="auto"/>
        <w:right w:val="none" w:sz="0" w:space="0" w:color="auto"/>
      </w:divBdr>
    </w:div>
    <w:div w:id="2058578947">
      <w:bodyDiv w:val="1"/>
      <w:marLeft w:val="0"/>
      <w:marRight w:val="0"/>
      <w:marTop w:val="0"/>
      <w:marBottom w:val="0"/>
      <w:divBdr>
        <w:top w:val="none" w:sz="0" w:space="0" w:color="auto"/>
        <w:left w:val="none" w:sz="0" w:space="0" w:color="auto"/>
        <w:bottom w:val="none" w:sz="0" w:space="0" w:color="auto"/>
        <w:right w:val="none" w:sz="0" w:space="0" w:color="auto"/>
      </w:divBdr>
    </w:div>
    <w:div w:id="2058815190">
      <w:bodyDiv w:val="1"/>
      <w:marLeft w:val="0"/>
      <w:marRight w:val="0"/>
      <w:marTop w:val="0"/>
      <w:marBottom w:val="0"/>
      <w:divBdr>
        <w:top w:val="none" w:sz="0" w:space="0" w:color="auto"/>
        <w:left w:val="none" w:sz="0" w:space="0" w:color="auto"/>
        <w:bottom w:val="none" w:sz="0" w:space="0" w:color="auto"/>
        <w:right w:val="none" w:sz="0" w:space="0" w:color="auto"/>
      </w:divBdr>
    </w:div>
    <w:div w:id="2058896246">
      <w:bodyDiv w:val="1"/>
      <w:marLeft w:val="0"/>
      <w:marRight w:val="0"/>
      <w:marTop w:val="0"/>
      <w:marBottom w:val="0"/>
      <w:divBdr>
        <w:top w:val="none" w:sz="0" w:space="0" w:color="auto"/>
        <w:left w:val="none" w:sz="0" w:space="0" w:color="auto"/>
        <w:bottom w:val="none" w:sz="0" w:space="0" w:color="auto"/>
        <w:right w:val="none" w:sz="0" w:space="0" w:color="auto"/>
      </w:divBdr>
    </w:div>
    <w:div w:id="2059087542">
      <w:bodyDiv w:val="1"/>
      <w:marLeft w:val="0"/>
      <w:marRight w:val="0"/>
      <w:marTop w:val="0"/>
      <w:marBottom w:val="0"/>
      <w:divBdr>
        <w:top w:val="none" w:sz="0" w:space="0" w:color="auto"/>
        <w:left w:val="none" w:sz="0" w:space="0" w:color="auto"/>
        <w:bottom w:val="none" w:sz="0" w:space="0" w:color="auto"/>
        <w:right w:val="none" w:sz="0" w:space="0" w:color="auto"/>
      </w:divBdr>
    </w:div>
    <w:div w:id="2059742576">
      <w:bodyDiv w:val="1"/>
      <w:marLeft w:val="0"/>
      <w:marRight w:val="0"/>
      <w:marTop w:val="0"/>
      <w:marBottom w:val="0"/>
      <w:divBdr>
        <w:top w:val="none" w:sz="0" w:space="0" w:color="auto"/>
        <w:left w:val="none" w:sz="0" w:space="0" w:color="auto"/>
        <w:bottom w:val="none" w:sz="0" w:space="0" w:color="auto"/>
        <w:right w:val="none" w:sz="0" w:space="0" w:color="auto"/>
      </w:divBdr>
    </w:div>
    <w:div w:id="2059819436">
      <w:bodyDiv w:val="1"/>
      <w:marLeft w:val="0"/>
      <w:marRight w:val="0"/>
      <w:marTop w:val="0"/>
      <w:marBottom w:val="0"/>
      <w:divBdr>
        <w:top w:val="none" w:sz="0" w:space="0" w:color="auto"/>
        <w:left w:val="none" w:sz="0" w:space="0" w:color="auto"/>
        <w:bottom w:val="none" w:sz="0" w:space="0" w:color="auto"/>
        <w:right w:val="none" w:sz="0" w:space="0" w:color="auto"/>
      </w:divBdr>
    </w:div>
    <w:div w:id="2059931633">
      <w:bodyDiv w:val="1"/>
      <w:marLeft w:val="0"/>
      <w:marRight w:val="0"/>
      <w:marTop w:val="0"/>
      <w:marBottom w:val="0"/>
      <w:divBdr>
        <w:top w:val="none" w:sz="0" w:space="0" w:color="auto"/>
        <w:left w:val="none" w:sz="0" w:space="0" w:color="auto"/>
        <w:bottom w:val="none" w:sz="0" w:space="0" w:color="auto"/>
        <w:right w:val="none" w:sz="0" w:space="0" w:color="auto"/>
      </w:divBdr>
    </w:div>
    <w:div w:id="2060009778">
      <w:bodyDiv w:val="1"/>
      <w:marLeft w:val="0"/>
      <w:marRight w:val="0"/>
      <w:marTop w:val="0"/>
      <w:marBottom w:val="0"/>
      <w:divBdr>
        <w:top w:val="none" w:sz="0" w:space="0" w:color="auto"/>
        <w:left w:val="none" w:sz="0" w:space="0" w:color="auto"/>
        <w:bottom w:val="none" w:sz="0" w:space="0" w:color="auto"/>
        <w:right w:val="none" w:sz="0" w:space="0" w:color="auto"/>
      </w:divBdr>
    </w:div>
    <w:div w:id="2060133055">
      <w:bodyDiv w:val="1"/>
      <w:marLeft w:val="0"/>
      <w:marRight w:val="0"/>
      <w:marTop w:val="0"/>
      <w:marBottom w:val="0"/>
      <w:divBdr>
        <w:top w:val="none" w:sz="0" w:space="0" w:color="auto"/>
        <w:left w:val="none" w:sz="0" w:space="0" w:color="auto"/>
        <w:bottom w:val="none" w:sz="0" w:space="0" w:color="auto"/>
        <w:right w:val="none" w:sz="0" w:space="0" w:color="auto"/>
      </w:divBdr>
    </w:div>
    <w:div w:id="2060281788">
      <w:bodyDiv w:val="1"/>
      <w:marLeft w:val="0"/>
      <w:marRight w:val="0"/>
      <w:marTop w:val="0"/>
      <w:marBottom w:val="0"/>
      <w:divBdr>
        <w:top w:val="none" w:sz="0" w:space="0" w:color="auto"/>
        <w:left w:val="none" w:sz="0" w:space="0" w:color="auto"/>
        <w:bottom w:val="none" w:sz="0" w:space="0" w:color="auto"/>
        <w:right w:val="none" w:sz="0" w:space="0" w:color="auto"/>
      </w:divBdr>
    </w:div>
    <w:div w:id="2060544949">
      <w:bodyDiv w:val="1"/>
      <w:marLeft w:val="0"/>
      <w:marRight w:val="0"/>
      <w:marTop w:val="0"/>
      <w:marBottom w:val="0"/>
      <w:divBdr>
        <w:top w:val="none" w:sz="0" w:space="0" w:color="auto"/>
        <w:left w:val="none" w:sz="0" w:space="0" w:color="auto"/>
        <w:bottom w:val="none" w:sz="0" w:space="0" w:color="auto"/>
        <w:right w:val="none" w:sz="0" w:space="0" w:color="auto"/>
      </w:divBdr>
    </w:div>
    <w:div w:id="2060667183">
      <w:bodyDiv w:val="1"/>
      <w:marLeft w:val="0"/>
      <w:marRight w:val="0"/>
      <w:marTop w:val="0"/>
      <w:marBottom w:val="0"/>
      <w:divBdr>
        <w:top w:val="none" w:sz="0" w:space="0" w:color="auto"/>
        <w:left w:val="none" w:sz="0" w:space="0" w:color="auto"/>
        <w:bottom w:val="none" w:sz="0" w:space="0" w:color="auto"/>
        <w:right w:val="none" w:sz="0" w:space="0" w:color="auto"/>
      </w:divBdr>
    </w:div>
    <w:div w:id="2061244429">
      <w:bodyDiv w:val="1"/>
      <w:marLeft w:val="0"/>
      <w:marRight w:val="0"/>
      <w:marTop w:val="0"/>
      <w:marBottom w:val="0"/>
      <w:divBdr>
        <w:top w:val="none" w:sz="0" w:space="0" w:color="auto"/>
        <w:left w:val="none" w:sz="0" w:space="0" w:color="auto"/>
        <w:bottom w:val="none" w:sz="0" w:space="0" w:color="auto"/>
        <w:right w:val="none" w:sz="0" w:space="0" w:color="auto"/>
      </w:divBdr>
    </w:div>
    <w:div w:id="2061972569">
      <w:bodyDiv w:val="1"/>
      <w:marLeft w:val="0"/>
      <w:marRight w:val="0"/>
      <w:marTop w:val="0"/>
      <w:marBottom w:val="0"/>
      <w:divBdr>
        <w:top w:val="none" w:sz="0" w:space="0" w:color="auto"/>
        <w:left w:val="none" w:sz="0" w:space="0" w:color="auto"/>
        <w:bottom w:val="none" w:sz="0" w:space="0" w:color="auto"/>
        <w:right w:val="none" w:sz="0" w:space="0" w:color="auto"/>
      </w:divBdr>
    </w:div>
    <w:div w:id="2062053602">
      <w:bodyDiv w:val="1"/>
      <w:marLeft w:val="0"/>
      <w:marRight w:val="0"/>
      <w:marTop w:val="0"/>
      <w:marBottom w:val="0"/>
      <w:divBdr>
        <w:top w:val="none" w:sz="0" w:space="0" w:color="auto"/>
        <w:left w:val="none" w:sz="0" w:space="0" w:color="auto"/>
        <w:bottom w:val="none" w:sz="0" w:space="0" w:color="auto"/>
        <w:right w:val="none" w:sz="0" w:space="0" w:color="auto"/>
      </w:divBdr>
    </w:div>
    <w:div w:id="2062168804">
      <w:bodyDiv w:val="1"/>
      <w:marLeft w:val="0"/>
      <w:marRight w:val="0"/>
      <w:marTop w:val="0"/>
      <w:marBottom w:val="0"/>
      <w:divBdr>
        <w:top w:val="none" w:sz="0" w:space="0" w:color="auto"/>
        <w:left w:val="none" w:sz="0" w:space="0" w:color="auto"/>
        <w:bottom w:val="none" w:sz="0" w:space="0" w:color="auto"/>
        <w:right w:val="none" w:sz="0" w:space="0" w:color="auto"/>
      </w:divBdr>
    </w:div>
    <w:div w:id="2062246753">
      <w:bodyDiv w:val="1"/>
      <w:marLeft w:val="0"/>
      <w:marRight w:val="0"/>
      <w:marTop w:val="0"/>
      <w:marBottom w:val="0"/>
      <w:divBdr>
        <w:top w:val="none" w:sz="0" w:space="0" w:color="auto"/>
        <w:left w:val="none" w:sz="0" w:space="0" w:color="auto"/>
        <w:bottom w:val="none" w:sz="0" w:space="0" w:color="auto"/>
        <w:right w:val="none" w:sz="0" w:space="0" w:color="auto"/>
      </w:divBdr>
    </w:div>
    <w:div w:id="2062484582">
      <w:bodyDiv w:val="1"/>
      <w:marLeft w:val="0"/>
      <w:marRight w:val="0"/>
      <w:marTop w:val="0"/>
      <w:marBottom w:val="0"/>
      <w:divBdr>
        <w:top w:val="none" w:sz="0" w:space="0" w:color="auto"/>
        <w:left w:val="none" w:sz="0" w:space="0" w:color="auto"/>
        <w:bottom w:val="none" w:sz="0" w:space="0" w:color="auto"/>
        <w:right w:val="none" w:sz="0" w:space="0" w:color="auto"/>
      </w:divBdr>
    </w:div>
    <w:div w:id="2062627950">
      <w:bodyDiv w:val="1"/>
      <w:marLeft w:val="0"/>
      <w:marRight w:val="0"/>
      <w:marTop w:val="0"/>
      <w:marBottom w:val="0"/>
      <w:divBdr>
        <w:top w:val="none" w:sz="0" w:space="0" w:color="auto"/>
        <w:left w:val="none" w:sz="0" w:space="0" w:color="auto"/>
        <w:bottom w:val="none" w:sz="0" w:space="0" w:color="auto"/>
        <w:right w:val="none" w:sz="0" w:space="0" w:color="auto"/>
      </w:divBdr>
    </w:div>
    <w:div w:id="2062823430">
      <w:bodyDiv w:val="1"/>
      <w:marLeft w:val="0"/>
      <w:marRight w:val="0"/>
      <w:marTop w:val="0"/>
      <w:marBottom w:val="0"/>
      <w:divBdr>
        <w:top w:val="none" w:sz="0" w:space="0" w:color="auto"/>
        <w:left w:val="none" w:sz="0" w:space="0" w:color="auto"/>
        <w:bottom w:val="none" w:sz="0" w:space="0" w:color="auto"/>
        <w:right w:val="none" w:sz="0" w:space="0" w:color="auto"/>
      </w:divBdr>
    </w:div>
    <w:div w:id="2063095268">
      <w:bodyDiv w:val="1"/>
      <w:marLeft w:val="0"/>
      <w:marRight w:val="0"/>
      <w:marTop w:val="0"/>
      <w:marBottom w:val="0"/>
      <w:divBdr>
        <w:top w:val="none" w:sz="0" w:space="0" w:color="auto"/>
        <w:left w:val="none" w:sz="0" w:space="0" w:color="auto"/>
        <w:bottom w:val="none" w:sz="0" w:space="0" w:color="auto"/>
        <w:right w:val="none" w:sz="0" w:space="0" w:color="auto"/>
      </w:divBdr>
    </w:div>
    <w:div w:id="2063096151">
      <w:bodyDiv w:val="1"/>
      <w:marLeft w:val="0"/>
      <w:marRight w:val="0"/>
      <w:marTop w:val="0"/>
      <w:marBottom w:val="0"/>
      <w:divBdr>
        <w:top w:val="none" w:sz="0" w:space="0" w:color="auto"/>
        <w:left w:val="none" w:sz="0" w:space="0" w:color="auto"/>
        <w:bottom w:val="none" w:sz="0" w:space="0" w:color="auto"/>
        <w:right w:val="none" w:sz="0" w:space="0" w:color="auto"/>
      </w:divBdr>
    </w:div>
    <w:div w:id="2063140457">
      <w:bodyDiv w:val="1"/>
      <w:marLeft w:val="0"/>
      <w:marRight w:val="0"/>
      <w:marTop w:val="0"/>
      <w:marBottom w:val="0"/>
      <w:divBdr>
        <w:top w:val="none" w:sz="0" w:space="0" w:color="auto"/>
        <w:left w:val="none" w:sz="0" w:space="0" w:color="auto"/>
        <w:bottom w:val="none" w:sz="0" w:space="0" w:color="auto"/>
        <w:right w:val="none" w:sz="0" w:space="0" w:color="auto"/>
      </w:divBdr>
    </w:div>
    <w:div w:id="2063208233">
      <w:bodyDiv w:val="1"/>
      <w:marLeft w:val="0"/>
      <w:marRight w:val="0"/>
      <w:marTop w:val="0"/>
      <w:marBottom w:val="0"/>
      <w:divBdr>
        <w:top w:val="none" w:sz="0" w:space="0" w:color="auto"/>
        <w:left w:val="none" w:sz="0" w:space="0" w:color="auto"/>
        <w:bottom w:val="none" w:sz="0" w:space="0" w:color="auto"/>
        <w:right w:val="none" w:sz="0" w:space="0" w:color="auto"/>
      </w:divBdr>
    </w:div>
    <w:div w:id="2063359778">
      <w:bodyDiv w:val="1"/>
      <w:marLeft w:val="0"/>
      <w:marRight w:val="0"/>
      <w:marTop w:val="0"/>
      <w:marBottom w:val="0"/>
      <w:divBdr>
        <w:top w:val="none" w:sz="0" w:space="0" w:color="auto"/>
        <w:left w:val="none" w:sz="0" w:space="0" w:color="auto"/>
        <w:bottom w:val="none" w:sz="0" w:space="0" w:color="auto"/>
        <w:right w:val="none" w:sz="0" w:space="0" w:color="auto"/>
      </w:divBdr>
    </w:div>
    <w:div w:id="2063405094">
      <w:bodyDiv w:val="1"/>
      <w:marLeft w:val="0"/>
      <w:marRight w:val="0"/>
      <w:marTop w:val="0"/>
      <w:marBottom w:val="0"/>
      <w:divBdr>
        <w:top w:val="none" w:sz="0" w:space="0" w:color="auto"/>
        <w:left w:val="none" w:sz="0" w:space="0" w:color="auto"/>
        <w:bottom w:val="none" w:sz="0" w:space="0" w:color="auto"/>
        <w:right w:val="none" w:sz="0" w:space="0" w:color="auto"/>
      </w:divBdr>
    </w:div>
    <w:div w:id="2063602468">
      <w:bodyDiv w:val="1"/>
      <w:marLeft w:val="0"/>
      <w:marRight w:val="0"/>
      <w:marTop w:val="0"/>
      <w:marBottom w:val="0"/>
      <w:divBdr>
        <w:top w:val="none" w:sz="0" w:space="0" w:color="auto"/>
        <w:left w:val="none" w:sz="0" w:space="0" w:color="auto"/>
        <w:bottom w:val="none" w:sz="0" w:space="0" w:color="auto"/>
        <w:right w:val="none" w:sz="0" w:space="0" w:color="auto"/>
      </w:divBdr>
    </w:div>
    <w:div w:id="2063626601">
      <w:bodyDiv w:val="1"/>
      <w:marLeft w:val="0"/>
      <w:marRight w:val="0"/>
      <w:marTop w:val="0"/>
      <w:marBottom w:val="0"/>
      <w:divBdr>
        <w:top w:val="none" w:sz="0" w:space="0" w:color="auto"/>
        <w:left w:val="none" w:sz="0" w:space="0" w:color="auto"/>
        <w:bottom w:val="none" w:sz="0" w:space="0" w:color="auto"/>
        <w:right w:val="none" w:sz="0" w:space="0" w:color="auto"/>
      </w:divBdr>
    </w:div>
    <w:div w:id="2063628163">
      <w:bodyDiv w:val="1"/>
      <w:marLeft w:val="0"/>
      <w:marRight w:val="0"/>
      <w:marTop w:val="0"/>
      <w:marBottom w:val="0"/>
      <w:divBdr>
        <w:top w:val="none" w:sz="0" w:space="0" w:color="auto"/>
        <w:left w:val="none" w:sz="0" w:space="0" w:color="auto"/>
        <w:bottom w:val="none" w:sz="0" w:space="0" w:color="auto"/>
        <w:right w:val="none" w:sz="0" w:space="0" w:color="auto"/>
      </w:divBdr>
    </w:div>
    <w:div w:id="2064520842">
      <w:bodyDiv w:val="1"/>
      <w:marLeft w:val="0"/>
      <w:marRight w:val="0"/>
      <w:marTop w:val="0"/>
      <w:marBottom w:val="0"/>
      <w:divBdr>
        <w:top w:val="none" w:sz="0" w:space="0" w:color="auto"/>
        <w:left w:val="none" w:sz="0" w:space="0" w:color="auto"/>
        <w:bottom w:val="none" w:sz="0" w:space="0" w:color="auto"/>
        <w:right w:val="none" w:sz="0" w:space="0" w:color="auto"/>
      </w:divBdr>
    </w:div>
    <w:div w:id="2064523912">
      <w:bodyDiv w:val="1"/>
      <w:marLeft w:val="0"/>
      <w:marRight w:val="0"/>
      <w:marTop w:val="0"/>
      <w:marBottom w:val="0"/>
      <w:divBdr>
        <w:top w:val="none" w:sz="0" w:space="0" w:color="auto"/>
        <w:left w:val="none" w:sz="0" w:space="0" w:color="auto"/>
        <w:bottom w:val="none" w:sz="0" w:space="0" w:color="auto"/>
        <w:right w:val="none" w:sz="0" w:space="0" w:color="auto"/>
      </w:divBdr>
    </w:div>
    <w:div w:id="2064985636">
      <w:bodyDiv w:val="1"/>
      <w:marLeft w:val="0"/>
      <w:marRight w:val="0"/>
      <w:marTop w:val="0"/>
      <w:marBottom w:val="0"/>
      <w:divBdr>
        <w:top w:val="none" w:sz="0" w:space="0" w:color="auto"/>
        <w:left w:val="none" w:sz="0" w:space="0" w:color="auto"/>
        <w:bottom w:val="none" w:sz="0" w:space="0" w:color="auto"/>
        <w:right w:val="none" w:sz="0" w:space="0" w:color="auto"/>
      </w:divBdr>
    </w:div>
    <w:div w:id="2065329121">
      <w:bodyDiv w:val="1"/>
      <w:marLeft w:val="0"/>
      <w:marRight w:val="0"/>
      <w:marTop w:val="0"/>
      <w:marBottom w:val="0"/>
      <w:divBdr>
        <w:top w:val="none" w:sz="0" w:space="0" w:color="auto"/>
        <w:left w:val="none" w:sz="0" w:space="0" w:color="auto"/>
        <w:bottom w:val="none" w:sz="0" w:space="0" w:color="auto"/>
        <w:right w:val="none" w:sz="0" w:space="0" w:color="auto"/>
      </w:divBdr>
    </w:div>
    <w:div w:id="2065568518">
      <w:bodyDiv w:val="1"/>
      <w:marLeft w:val="0"/>
      <w:marRight w:val="0"/>
      <w:marTop w:val="0"/>
      <w:marBottom w:val="0"/>
      <w:divBdr>
        <w:top w:val="none" w:sz="0" w:space="0" w:color="auto"/>
        <w:left w:val="none" w:sz="0" w:space="0" w:color="auto"/>
        <w:bottom w:val="none" w:sz="0" w:space="0" w:color="auto"/>
        <w:right w:val="none" w:sz="0" w:space="0" w:color="auto"/>
      </w:divBdr>
    </w:div>
    <w:div w:id="2065639478">
      <w:bodyDiv w:val="1"/>
      <w:marLeft w:val="0"/>
      <w:marRight w:val="0"/>
      <w:marTop w:val="0"/>
      <w:marBottom w:val="0"/>
      <w:divBdr>
        <w:top w:val="none" w:sz="0" w:space="0" w:color="auto"/>
        <w:left w:val="none" w:sz="0" w:space="0" w:color="auto"/>
        <w:bottom w:val="none" w:sz="0" w:space="0" w:color="auto"/>
        <w:right w:val="none" w:sz="0" w:space="0" w:color="auto"/>
      </w:divBdr>
    </w:div>
    <w:div w:id="2066023944">
      <w:bodyDiv w:val="1"/>
      <w:marLeft w:val="0"/>
      <w:marRight w:val="0"/>
      <w:marTop w:val="0"/>
      <w:marBottom w:val="0"/>
      <w:divBdr>
        <w:top w:val="none" w:sz="0" w:space="0" w:color="auto"/>
        <w:left w:val="none" w:sz="0" w:space="0" w:color="auto"/>
        <w:bottom w:val="none" w:sz="0" w:space="0" w:color="auto"/>
        <w:right w:val="none" w:sz="0" w:space="0" w:color="auto"/>
      </w:divBdr>
    </w:div>
    <w:div w:id="2067757085">
      <w:bodyDiv w:val="1"/>
      <w:marLeft w:val="0"/>
      <w:marRight w:val="0"/>
      <w:marTop w:val="0"/>
      <w:marBottom w:val="0"/>
      <w:divBdr>
        <w:top w:val="none" w:sz="0" w:space="0" w:color="auto"/>
        <w:left w:val="none" w:sz="0" w:space="0" w:color="auto"/>
        <w:bottom w:val="none" w:sz="0" w:space="0" w:color="auto"/>
        <w:right w:val="none" w:sz="0" w:space="0" w:color="auto"/>
      </w:divBdr>
    </w:div>
    <w:div w:id="2067873621">
      <w:bodyDiv w:val="1"/>
      <w:marLeft w:val="0"/>
      <w:marRight w:val="0"/>
      <w:marTop w:val="0"/>
      <w:marBottom w:val="0"/>
      <w:divBdr>
        <w:top w:val="none" w:sz="0" w:space="0" w:color="auto"/>
        <w:left w:val="none" w:sz="0" w:space="0" w:color="auto"/>
        <w:bottom w:val="none" w:sz="0" w:space="0" w:color="auto"/>
        <w:right w:val="none" w:sz="0" w:space="0" w:color="auto"/>
      </w:divBdr>
    </w:div>
    <w:div w:id="2068062163">
      <w:bodyDiv w:val="1"/>
      <w:marLeft w:val="0"/>
      <w:marRight w:val="0"/>
      <w:marTop w:val="0"/>
      <w:marBottom w:val="0"/>
      <w:divBdr>
        <w:top w:val="none" w:sz="0" w:space="0" w:color="auto"/>
        <w:left w:val="none" w:sz="0" w:space="0" w:color="auto"/>
        <w:bottom w:val="none" w:sz="0" w:space="0" w:color="auto"/>
        <w:right w:val="none" w:sz="0" w:space="0" w:color="auto"/>
      </w:divBdr>
    </w:div>
    <w:div w:id="2068142285">
      <w:bodyDiv w:val="1"/>
      <w:marLeft w:val="0"/>
      <w:marRight w:val="0"/>
      <w:marTop w:val="0"/>
      <w:marBottom w:val="0"/>
      <w:divBdr>
        <w:top w:val="none" w:sz="0" w:space="0" w:color="auto"/>
        <w:left w:val="none" w:sz="0" w:space="0" w:color="auto"/>
        <w:bottom w:val="none" w:sz="0" w:space="0" w:color="auto"/>
        <w:right w:val="none" w:sz="0" w:space="0" w:color="auto"/>
      </w:divBdr>
    </w:div>
    <w:div w:id="2068185257">
      <w:bodyDiv w:val="1"/>
      <w:marLeft w:val="0"/>
      <w:marRight w:val="0"/>
      <w:marTop w:val="0"/>
      <w:marBottom w:val="0"/>
      <w:divBdr>
        <w:top w:val="none" w:sz="0" w:space="0" w:color="auto"/>
        <w:left w:val="none" w:sz="0" w:space="0" w:color="auto"/>
        <w:bottom w:val="none" w:sz="0" w:space="0" w:color="auto"/>
        <w:right w:val="none" w:sz="0" w:space="0" w:color="auto"/>
      </w:divBdr>
    </w:div>
    <w:div w:id="2068409563">
      <w:bodyDiv w:val="1"/>
      <w:marLeft w:val="0"/>
      <w:marRight w:val="0"/>
      <w:marTop w:val="0"/>
      <w:marBottom w:val="0"/>
      <w:divBdr>
        <w:top w:val="none" w:sz="0" w:space="0" w:color="auto"/>
        <w:left w:val="none" w:sz="0" w:space="0" w:color="auto"/>
        <w:bottom w:val="none" w:sz="0" w:space="0" w:color="auto"/>
        <w:right w:val="none" w:sz="0" w:space="0" w:color="auto"/>
      </w:divBdr>
    </w:div>
    <w:div w:id="2068869971">
      <w:bodyDiv w:val="1"/>
      <w:marLeft w:val="0"/>
      <w:marRight w:val="0"/>
      <w:marTop w:val="0"/>
      <w:marBottom w:val="0"/>
      <w:divBdr>
        <w:top w:val="none" w:sz="0" w:space="0" w:color="auto"/>
        <w:left w:val="none" w:sz="0" w:space="0" w:color="auto"/>
        <w:bottom w:val="none" w:sz="0" w:space="0" w:color="auto"/>
        <w:right w:val="none" w:sz="0" w:space="0" w:color="auto"/>
      </w:divBdr>
    </w:div>
    <w:div w:id="2068916111">
      <w:bodyDiv w:val="1"/>
      <w:marLeft w:val="0"/>
      <w:marRight w:val="0"/>
      <w:marTop w:val="0"/>
      <w:marBottom w:val="0"/>
      <w:divBdr>
        <w:top w:val="none" w:sz="0" w:space="0" w:color="auto"/>
        <w:left w:val="none" w:sz="0" w:space="0" w:color="auto"/>
        <w:bottom w:val="none" w:sz="0" w:space="0" w:color="auto"/>
        <w:right w:val="none" w:sz="0" w:space="0" w:color="auto"/>
      </w:divBdr>
    </w:div>
    <w:div w:id="2069064631">
      <w:bodyDiv w:val="1"/>
      <w:marLeft w:val="0"/>
      <w:marRight w:val="0"/>
      <w:marTop w:val="0"/>
      <w:marBottom w:val="0"/>
      <w:divBdr>
        <w:top w:val="none" w:sz="0" w:space="0" w:color="auto"/>
        <w:left w:val="none" w:sz="0" w:space="0" w:color="auto"/>
        <w:bottom w:val="none" w:sz="0" w:space="0" w:color="auto"/>
        <w:right w:val="none" w:sz="0" w:space="0" w:color="auto"/>
      </w:divBdr>
    </w:div>
    <w:div w:id="2069693574">
      <w:bodyDiv w:val="1"/>
      <w:marLeft w:val="0"/>
      <w:marRight w:val="0"/>
      <w:marTop w:val="0"/>
      <w:marBottom w:val="0"/>
      <w:divBdr>
        <w:top w:val="none" w:sz="0" w:space="0" w:color="auto"/>
        <w:left w:val="none" w:sz="0" w:space="0" w:color="auto"/>
        <w:bottom w:val="none" w:sz="0" w:space="0" w:color="auto"/>
        <w:right w:val="none" w:sz="0" w:space="0" w:color="auto"/>
      </w:divBdr>
    </w:div>
    <w:div w:id="2069720344">
      <w:bodyDiv w:val="1"/>
      <w:marLeft w:val="0"/>
      <w:marRight w:val="0"/>
      <w:marTop w:val="0"/>
      <w:marBottom w:val="0"/>
      <w:divBdr>
        <w:top w:val="none" w:sz="0" w:space="0" w:color="auto"/>
        <w:left w:val="none" w:sz="0" w:space="0" w:color="auto"/>
        <w:bottom w:val="none" w:sz="0" w:space="0" w:color="auto"/>
        <w:right w:val="none" w:sz="0" w:space="0" w:color="auto"/>
      </w:divBdr>
    </w:div>
    <w:div w:id="2069760574">
      <w:bodyDiv w:val="1"/>
      <w:marLeft w:val="0"/>
      <w:marRight w:val="0"/>
      <w:marTop w:val="0"/>
      <w:marBottom w:val="0"/>
      <w:divBdr>
        <w:top w:val="none" w:sz="0" w:space="0" w:color="auto"/>
        <w:left w:val="none" w:sz="0" w:space="0" w:color="auto"/>
        <w:bottom w:val="none" w:sz="0" w:space="0" w:color="auto"/>
        <w:right w:val="none" w:sz="0" w:space="0" w:color="auto"/>
      </w:divBdr>
    </w:div>
    <w:div w:id="2069841980">
      <w:bodyDiv w:val="1"/>
      <w:marLeft w:val="0"/>
      <w:marRight w:val="0"/>
      <w:marTop w:val="0"/>
      <w:marBottom w:val="0"/>
      <w:divBdr>
        <w:top w:val="none" w:sz="0" w:space="0" w:color="auto"/>
        <w:left w:val="none" w:sz="0" w:space="0" w:color="auto"/>
        <w:bottom w:val="none" w:sz="0" w:space="0" w:color="auto"/>
        <w:right w:val="none" w:sz="0" w:space="0" w:color="auto"/>
      </w:divBdr>
    </w:div>
    <w:div w:id="2070182425">
      <w:bodyDiv w:val="1"/>
      <w:marLeft w:val="0"/>
      <w:marRight w:val="0"/>
      <w:marTop w:val="0"/>
      <w:marBottom w:val="0"/>
      <w:divBdr>
        <w:top w:val="none" w:sz="0" w:space="0" w:color="auto"/>
        <w:left w:val="none" w:sz="0" w:space="0" w:color="auto"/>
        <w:bottom w:val="none" w:sz="0" w:space="0" w:color="auto"/>
        <w:right w:val="none" w:sz="0" w:space="0" w:color="auto"/>
      </w:divBdr>
    </w:div>
    <w:div w:id="2070415806">
      <w:bodyDiv w:val="1"/>
      <w:marLeft w:val="0"/>
      <w:marRight w:val="0"/>
      <w:marTop w:val="0"/>
      <w:marBottom w:val="0"/>
      <w:divBdr>
        <w:top w:val="none" w:sz="0" w:space="0" w:color="auto"/>
        <w:left w:val="none" w:sz="0" w:space="0" w:color="auto"/>
        <w:bottom w:val="none" w:sz="0" w:space="0" w:color="auto"/>
        <w:right w:val="none" w:sz="0" w:space="0" w:color="auto"/>
      </w:divBdr>
    </w:div>
    <w:div w:id="2070886075">
      <w:bodyDiv w:val="1"/>
      <w:marLeft w:val="0"/>
      <w:marRight w:val="0"/>
      <w:marTop w:val="0"/>
      <w:marBottom w:val="0"/>
      <w:divBdr>
        <w:top w:val="none" w:sz="0" w:space="0" w:color="auto"/>
        <w:left w:val="none" w:sz="0" w:space="0" w:color="auto"/>
        <w:bottom w:val="none" w:sz="0" w:space="0" w:color="auto"/>
        <w:right w:val="none" w:sz="0" w:space="0" w:color="auto"/>
      </w:divBdr>
    </w:div>
    <w:div w:id="2070958373">
      <w:bodyDiv w:val="1"/>
      <w:marLeft w:val="0"/>
      <w:marRight w:val="0"/>
      <w:marTop w:val="0"/>
      <w:marBottom w:val="0"/>
      <w:divBdr>
        <w:top w:val="none" w:sz="0" w:space="0" w:color="auto"/>
        <w:left w:val="none" w:sz="0" w:space="0" w:color="auto"/>
        <w:bottom w:val="none" w:sz="0" w:space="0" w:color="auto"/>
        <w:right w:val="none" w:sz="0" w:space="0" w:color="auto"/>
      </w:divBdr>
    </w:div>
    <w:div w:id="2071031263">
      <w:bodyDiv w:val="1"/>
      <w:marLeft w:val="0"/>
      <w:marRight w:val="0"/>
      <w:marTop w:val="0"/>
      <w:marBottom w:val="0"/>
      <w:divBdr>
        <w:top w:val="none" w:sz="0" w:space="0" w:color="auto"/>
        <w:left w:val="none" w:sz="0" w:space="0" w:color="auto"/>
        <w:bottom w:val="none" w:sz="0" w:space="0" w:color="auto"/>
        <w:right w:val="none" w:sz="0" w:space="0" w:color="auto"/>
      </w:divBdr>
    </w:div>
    <w:div w:id="2071229288">
      <w:bodyDiv w:val="1"/>
      <w:marLeft w:val="0"/>
      <w:marRight w:val="0"/>
      <w:marTop w:val="0"/>
      <w:marBottom w:val="0"/>
      <w:divBdr>
        <w:top w:val="none" w:sz="0" w:space="0" w:color="auto"/>
        <w:left w:val="none" w:sz="0" w:space="0" w:color="auto"/>
        <w:bottom w:val="none" w:sz="0" w:space="0" w:color="auto"/>
        <w:right w:val="none" w:sz="0" w:space="0" w:color="auto"/>
      </w:divBdr>
    </w:div>
    <w:div w:id="2071608779">
      <w:bodyDiv w:val="1"/>
      <w:marLeft w:val="0"/>
      <w:marRight w:val="0"/>
      <w:marTop w:val="0"/>
      <w:marBottom w:val="0"/>
      <w:divBdr>
        <w:top w:val="none" w:sz="0" w:space="0" w:color="auto"/>
        <w:left w:val="none" w:sz="0" w:space="0" w:color="auto"/>
        <w:bottom w:val="none" w:sz="0" w:space="0" w:color="auto"/>
        <w:right w:val="none" w:sz="0" w:space="0" w:color="auto"/>
      </w:divBdr>
    </w:div>
    <w:div w:id="2071731746">
      <w:bodyDiv w:val="1"/>
      <w:marLeft w:val="0"/>
      <w:marRight w:val="0"/>
      <w:marTop w:val="0"/>
      <w:marBottom w:val="0"/>
      <w:divBdr>
        <w:top w:val="none" w:sz="0" w:space="0" w:color="auto"/>
        <w:left w:val="none" w:sz="0" w:space="0" w:color="auto"/>
        <w:bottom w:val="none" w:sz="0" w:space="0" w:color="auto"/>
        <w:right w:val="none" w:sz="0" w:space="0" w:color="auto"/>
      </w:divBdr>
    </w:div>
    <w:div w:id="2071805156">
      <w:bodyDiv w:val="1"/>
      <w:marLeft w:val="0"/>
      <w:marRight w:val="0"/>
      <w:marTop w:val="0"/>
      <w:marBottom w:val="0"/>
      <w:divBdr>
        <w:top w:val="none" w:sz="0" w:space="0" w:color="auto"/>
        <w:left w:val="none" w:sz="0" w:space="0" w:color="auto"/>
        <w:bottom w:val="none" w:sz="0" w:space="0" w:color="auto"/>
        <w:right w:val="none" w:sz="0" w:space="0" w:color="auto"/>
      </w:divBdr>
    </w:div>
    <w:div w:id="2072384756">
      <w:bodyDiv w:val="1"/>
      <w:marLeft w:val="0"/>
      <w:marRight w:val="0"/>
      <w:marTop w:val="0"/>
      <w:marBottom w:val="0"/>
      <w:divBdr>
        <w:top w:val="none" w:sz="0" w:space="0" w:color="auto"/>
        <w:left w:val="none" w:sz="0" w:space="0" w:color="auto"/>
        <w:bottom w:val="none" w:sz="0" w:space="0" w:color="auto"/>
        <w:right w:val="none" w:sz="0" w:space="0" w:color="auto"/>
      </w:divBdr>
    </w:div>
    <w:div w:id="2072459129">
      <w:bodyDiv w:val="1"/>
      <w:marLeft w:val="0"/>
      <w:marRight w:val="0"/>
      <w:marTop w:val="0"/>
      <w:marBottom w:val="0"/>
      <w:divBdr>
        <w:top w:val="none" w:sz="0" w:space="0" w:color="auto"/>
        <w:left w:val="none" w:sz="0" w:space="0" w:color="auto"/>
        <w:bottom w:val="none" w:sz="0" w:space="0" w:color="auto"/>
        <w:right w:val="none" w:sz="0" w:space="0" w:color="auto"/>
      </w:divBdr>
    </w:div>
    <w:div w:id="2072533670">
      <w:bodyDiv w:val="1"/>
      <w:marLeft w:val="0"/>
      <w:marRight w:val="0"/>
      <w:marTop w:val="0"/>
      <w:marBottom w:val="0"/>
      <w:divBdr>
        <w:top w:val="none" w:sz="0" w:space="0" w:color="auto"/>
        <w:left w:val="none" w:sz="0" w:space="0" w:color="auto"/>
        <w:bottom w:val="none" w:sz="0" w:space="0" w:color="auto"/>
        <w:right w:val="none" w:sz="0" w:space="0" w:color="auto"/>
      </w:divBdr>
    </w:div>
    <w:div w:id="2072576632">
      <w:bodyDiv w:val="1"/>
      <w:marLeft w:val="0"/>
      <w:marRight w:val="0"/>
      <w:marTop w:val="0"/>
      <w:marBottom w:val="0"/>
      <w:divBdr>
        <w:top w:val="none" w:sz="0" w:space="0" w:color="auto"/>
        <w:left w:val="none" w:sz="0" w:space="0" w:color="auto"/>
        <w:bottom w:val="none" w:sz="0" w:space="0" w:color="auto"/>
        <w:right w:val="none" w:sz="0" w:space="0" w:color="auto"/>
      </w:divBdr>
    </w:div>
    <w:div w:id="2072805085">
      <w:bodyDiv w:val="1"/>
      <w:marLeft w:val="0"/>
      <w:marRight w:val="0"/>
      <w:marTop w:val="0"/>
      <w:marBottom w:val="0"/>
      <w:divBdr>
        <w:top w:val="none" w:sz="0" w:space="0" w:color="auto"/>
        <w:left w:val="none" w:sz="0" w:space="0" w:color="auto"/>
        <w:bottom w:val="none" w:sz="0" w:space="0" w:color="auto"/>
        <w:right w:val="none" w:sz="0" w:space="0" w:color="auto"/>
      </w:divBdr>
    </w:div>
    <w:div w:id="2073385622">
      <w:bodyDiv w:val="1"/>
      <w:marLeft w:val="0"/>
      <w:marRight w:val="0"/>
      <w:marTop w:val="0"/>
      <w:marBottom w:val="0"/>
      <w:divBdr>
        <w:top w:val="none" w:sz="0" w:space="0" w:color="auto"/>
        <w:left w:val="none" w:sz="0" w:space="0" w:color="auto"/>
        <w:bottom w:val="none" w:sz="0" w:space="0" w:color="auto"/>
        <w:right w:val="none" w:sz="0" w:space="0" w:color="auto"/>
      </w:divBdr>
    </w:div>
    <w:div w:id="2073429997">
      <w:bodyDiv w:val="1"/>
      <w:marLeft w:val="0"/>
      <w:marRight w:val="0"/>
      <w:marTop w:val="0"/>
      <w:marBottom w:val="0"/>
      <w:divBdr>
        <w:top w:val="none" w:sz="0" w:space="0" w:color="auto"/>
        <w:left w:val="none" w:sz="0" w:space="0" w:color="auto"/>
        <w:bottom w:val="none" w:sz="0" w:space="0" w:color="auto"/>
        <w:right w:val="none" w:sz="0" w:space="0" w:color="auto"/>
      </w:divBdr>
    </w:div>
    <w:div w:id="2073506927">
      <w:bodyDiv w:val="1"/>
      <w:marLeft w:val="0"/>
      <w:marRight w:val="0"/>
      <w:marTop w:val="0"/>
      <w:marBottom w:val="0"/>
      <w:divBdr>
        <w:top w:val="none" w:sz="0" w:space="0" w:color="auto"/>
        <w:left w:val="none" w:sz="0" w:space="0" w:color="auto"/>
        <w:bottom w:val="none" w:sz="0" w:space="0" w:color="auto"/>
        <w:right w:val="none" w:sz="0" w:space="0" w:color="auto"/>
      </w:divBdr>
    </w:div>
    <w:div w:id="2073651958">
      <w:bodyDiv w:val="1"/>
      <w:marLeft w:val="0"/>
      <w:marRight w:val="0"/>
      <w:marTop w:val="0"/>
      <w:marBottom w:val="0"/>
      <w:divBdr>
        <w:top w:val="none" w:sz="0" w:space="0" w:color="auto"/>
        <w:left w:val="none" w:sz="0" w:space="0" w:color="auto"/>
        <w:bottom w:val="none" w:sz="0" w:space="0" w:color="auto"/>
        <w:right w:val="none" w:sz="0" w:space="0" w:color="auto"/>
      </w:divBdr>
    </w:div>
    <w:div w:id="2074035280">
      <w:bodyDiv w:val="1"/>
      <w:marLeft w:val="0"/>
      <w:marRight w:val="0"/>
      <w:marTop w:val="0"/>
      <w:marBottom w:val="0"/>
      <w:divBdr>
        <w:top w:val="none" w:sz="0" w:space="0" w:color="auto"/>
        <w:left w:val="none" w:sz="0" w:space="0" w:color="auto"/>
        <w:bottom w:val="none" w:sz="0" w:space="0" w:color="auto"/>
        <w:right w:val="none" w:sz="0" w:space="0" w:color="auto"/>
      </w:divBdr>
    </w:div>
    <w:div w:id="2074963801">
      <w:bodyDiv w:val="1"/>
      <w:marLeft w:val="0"/>
      <w:marRight w:val="0"/>
      <w:marTop w:val="0"/>
      <w:marBottom w:val="0"/>
      <w:divBdr>
        <w:top w:val="none" w:sz="0" w:space="0" w:color="auto"/>
        <w:left w:val="none" w:sz="0" w:space="0" w:color="auto"/>
        <w:bottom w:val="none" w:sz="0" w:space="0" w:color="auto"/>
        <w:right w:val="none" w:sz="0" w:space="0" w:color="auto"/>
      </w:divBdr>
    </w:div>
    <w:div w:id="2075152332">
      <w:bodyDiv w:val="1"/>
      <w:marLeft w:val="0"/>
      <w:marRight w:val="0"/>
      <w:marTop w:val="0"/>
      <w:marBottom w:val="0"/>
      <w:divBdr>
        <w:top w:val="none" w:sz="0" w:space="0" w:color="auto"/>
        <w:left w:val="none" w:sz="0" w:space="0" w:color="auto"/>
        <w:bottom w:val="none" w:sz="0" w:space="0" w:color="auto"/>
        <w:right w:val="none" w:sz="0" w:space="0" w:color="auto"/>
      </w:divBdr>
    </w:div>
    <w:div w:id="2075352346">
      <w:bodyDiv w:val="1"/>
      <w:marLeft w:val="0"/>
      <w:marRight w:val="0"/>
      <w:marTop w:val="0"/>
      <w:marBottom w:val="0"/>
      <w:divBdr>
        <w:top w:val="none" w:sz="0" w:space="0" w:color="auto"/>
        <w:left w:val="none" w:sz="0" w:space="0" w:color="auto"/>
        <w:bottom w:val="none" w:sz="0" w:space="0" w:color="auto"/>
        <w:right w:val="none" w:sz="0" w:space="0" w:color="auto"/>
      </w:divBdr>
    </w:div>
    <w:div w:id="2075470759">
      <w:bodyDiv w:val="1"/>
      <w:marLeft w:val="0"/>
      <w:marRight w:val="0"/>
      <w:marTop w:val="0"/>
      <w:marBottom w:val="0"/>
      <w:divBdr>
        <w:top w:val="none" w:sz="0" w:space="0" w:color="auto"/>
        <w:left w:val="none" w:sz="0" w:space="0" w:color="auto"/>
        <w:bottom w:val="none" w:sz="0" w:space="0" w:color="auto"/>
        <w:right w:val="none" w:sz="0" w:space="0" w:color="auto"/>
      </w:divBdr>
    </w:div>
    <w:div w:id="2075548530">
      <w:bodyDiv w:val="1"/>
      <w:marLeft w:val="0"/>
      <w:marRight w:val="0"/>
      <w:marTop w:val="0"/>
      <w:marBottom w:val="0"/>
      <w:divBdr>
        <w:top w:val="none" w:sz="0" w:space="0" w:color="auto"/>
        <w:left w:val="none" w:sz="0" w:space="0" w:color="auto"/>
        <w:bottom w:val="none" w:sz="0" w:space="0" w:color="auto"/>
        <w:right w:val="none" w:sz="0" w:space="0" w:color="auto"/>
      </w:divBdr>
    </w:div>
    <w:div w:id="2075812929">
      <w:bodyDiv w:val="1"/>
      <w:marLeft w:val="0"/>
      <w:marRight w:val="0"/>
      <w:marTop w:val="0"/>
      <w:marBottom w:val="0"/>
      <w:divBdr>
        <w:top w:val="none" w:sz="0" w:space="0" w:color="auto"/>
        <w:left w:val="none" w:sz="0" w:space="0" w:color="auto"/>
        <w:bottom w:val="none" w:sz="0" w:space="0" w:color="auto"/>
        <w:right w:val="none" w:sz="0" w:space="0" w:color="auto"/>
      </w:divBdr>
    </w:div>
    <w:div w:id="2076514290">
      <w:bodyDiv w:val="1"/>
      <w:marLeft w:val="0"/>
      <w:marRight w:val="0"/>
      <w:marTop w:val="0"/>
      <w:marBottom w:val="0"/>
      <w:divBdr>
        <w:top w:val="none" w:sz="0" w:space="0" w:color="auto"/>
        <w:left w:val="none" w:sz="0" w:space="0" w:color="auto"/>
        <w:bottom w:val="none" w:sz="0" w:space="0" w:color="auto"/>
        <w:right w:val="none" w:sz="0" w:space="0" w:color="auto"/>
      </w:divBdr>
    </w:div>
    <w:div w:id="2076856994">
      <w:bodyDiv w:val="1"/>
      <w:marLeft w:val="0"/>
      <w:marRight w:val="0"/>
      <w:marTop w:val="0"/>
      <w:marBottom w:val="0"/>
      <w:divBdr>
        <w:top w:val="none" w:sz="0" w:space="0" w:color="auto"/>
        <w:left w:val="none" w:sz="0" w:space="0" w:color="auto"/>
        <w:bottom w:val="none" w:sz="0" w:space="0" w:color="auto"/>
        <w:right w:val="none" w:sz="0" w:space="0" w:color="auto"/>
      </w:divBdr>
    </w:div>
    <w:div w:id="2078164857">
      <w:bodyDiv w:val="1"/>
      <w:marLeft w:val="0"/>
      <w:marRight w:val="0"/>
      <w:marTop w:val="0"/>
      <w:marBottom w:val="0"/>
      <w:divBdr>
        <w:top w:val="none" w:sz="0" w:space="0" w:color="auto"/>
        <w:left w:val="none" w:sz="0" w:space="0" w:color="auto"/>
        <w:bottom w:val="none" w:sz="0" w:space="0" w:color="auto"/>
        <w:right w:val="none" w:sz="0" w:space="0" w:color="auto"/>
      </w:divBdr>
    </w:div>
    <w:div w:id="2078939961">
      <w:bodyDiv w:val="1"/>
      <w:marLeft w:val="0"/>
      <w:marRight w:val="0"/>
      <w:marTop w:val="0"/>
      <w:marBottom w:val="0"/>
      <w:divBdr>
        <w:top w:val="none" w:sz="0" w:space="0" w:color="auto"/>
        <w:left w:val="none" w:sz="0" w:space="0" w:color="auto"/>
        <w:bottom w:val="none" w:sz="0" w:space="0" w:color="auto"/>
        <w:right w:val="none" w:sz="0" w:space="0" w:color="auto"/>
      </w:divBdr>
    </w:div>
    <w:div w:id="2079471323">
      <w:bodyDiv w:val="1"/>
      <w:marLeft w:val="0"/>
      <w:marRight w:val="0"/>
      <w:marTop w:val="0"/>
      <w:marBottom w:val="0"/>
      <w:divBdr>
        <w:top w:val="none" w:sz="0" w:space="0" w:color="auto"/>
        <w:left w:val="none" w:sz="0" w:space="0" w:color="auto"/>
        <w:bottom w:val="none" w:sz="0" w:space="0" w:color="auto"/>
        <w:right w:val="none" w:sz="0" w:space="0" w:color="auto"/>
      </w:divBdr>
    </w:div>
    <w:div w:id="2079669493">
      <w:bodyDiv w:val="1"/>
      <w:marLeft w:val="0"/>
      <w:marRight w:val="0"/>
      <w:marTop w:val="0"/>
      <w:marBottom w:val="0"/>
      <w:divBdr>
        <w:top w:val="none" w:sz="0" w:space="0" w:color="auto"/>
        <w:left w:val="none" w:sz="0" w:space="0" w:color="auto"/>
        <w:bottom w:val="none" w:sz="0" w:space="0" w:color="auto"/>
        <w:right w:val="none" w:sz="0" w:space="0" w:color="auto"/>
      </w:divBdr>
    </w:div>
    <w:div w:id="2079858300">
      <w:bodyDiv w:val="1"/>
      <w:marLeft w:val="0"/>
      <w:marRight w:val="0"/>
      <w:marTop w:val="0"/>
      <w:marBottom w:val="0"/>
      <w:divBdr>
        <w:top w:val="none" w:sz="0" w:space="0" w:color="auto"/>
        <w:left w:val="none" w:sz="0" w:space="0" w:color="auto"/>
        <w:bottom w:val="none" w:sz="0" w:space="0" w:color="auto"/>
        <w:right w:val="none" w:sz="0" w:space="0" w:color="auto"/>
      </w:divBdr>
    </w:div>
    <w:div w:id="2080596769">
      <w:bodyDiv w:val="1"/>
      <w:marLeft w:val="0"/>
      <w:marRight w:val="0"/>
      <w:marTop w:val="0"/>
      <w:marBottom w:val="0"/>
      <w:divBdr>
        <w:top w:val="none" w:sz="0" w:space="0" w:color="auto"/>
        <w:left w:val="none" w:sz="0" w:space="0" w:color="auto"/>
        <w:bottom w:val="none" w:sz="0" w:space="0" w:color="auto"/>
        <w:right w:val="none" w:sz="0" w:space="0" w:color="auto"/>
      </w:divBdr>
    </w:div>
    <w:div w:id="2081056075">
      <w:bodyDiv w:val="1"/>
      <w:marLeft w:val="0"/>
      <w:marRight w:val="0"/>
      <w:marTop w:val="0"/>
      <w:marBottom w:val="0"/>
      <w:divBdr>
        <w:top w:val="none" w:sz="0" w:space="0" w:color="auto"/>
        <w:left w:val="none" w:sz="0" w:space="0" w:color="auto"/>
        <w:bottom w:val="none" w:sz="0" w:space="0" w:color="auto"/>
        <w:right w:val="none" w:sz="0" w:space="0" w:color="auto"/>
      </w:divBdr>
    </w:div>
    <w:div w:id="2081367686">
      <w:bodyDiv w:val="1"/>
      <w:marLeft w:val="0"/>
      <w:marRight w:val="0"/>
      <w:marTop w:val="0"/>
      <w:marBottom w:val="0"/>
      <w:divBdr>
        <w:top w:val="none" w:sz="0" w:space="0" w:color="auto"/>
        <w:left w:val="none" w:sz="0" w:space="0" w:color="auto"/>
        <w:bottom w:val="none" w:sz="0" w:space="0" w:color="auto"/>
        <w:right w:val="none" w:sz="0" w:space="0" w:color="auto"/>
      </w:divBdr>
    </w:div>
    <w:div w:id="2081707051">
      <w:bodyDiv w:val="1"/>
      <w:marLeft w:val="0"/>
      <w:marRight w:val="0"/>
      <w:marTop w:val="0"/>
      <w:marBottom w:val="0"/>
      <w:divBdr>
        <w:top w:val="none" w:sz="0" w:space="0" w:color="auto"/>
        <w:left w:val="none" w:sz="0" w:space="0" w:color="auto"/>
        <w:bottom w:val="none" w:sz="0" w:space="0" w:color="auto"/>
        <w:right w:val="none" w:sz="0" w:space="0" w:color="auto"/>
      </w:divBdr>
    </w:div>
    <w:div w:id="2081832016">
      <w:bodyDiv w:val="1"/>
      <w:marLeft w:val="0"/>
      <w:marRight w:val="0"/>
      <w:marTop w:val="0"/>
      <w:marBottom w:val="0"/>
      <w:divBdr>
        <w:top w:val="none" w:sz="0" w:space="0" w:color="auto"/>
        <w:left w:val="none" w:sz="0" w:space="0" w:color="auto"/>
        <w:bottom w:val="none" w:sz="0" w:space="0" w:color="auto"/>
        <w:right w:val="none" w:sz="0" w:space="0" w:color="auto"/>
      </w:divBdr>
    </w:div>
    <w:div w:id="2081906937">
      <w:bodyDiv w:val="1"/>
      <w:marLeft w:val="0"/>
      <w:marRight w:val="0"/>
      <w:marTop w:val="0"/>
      <w:marBottom w:val="0"/>
      <w:divBdr>
        <w:top w:val="none" w:sz="0" w:space="0" w:color="auto"/>
        <w:left w:val="none" w:sz="0" w:space="0" w:color="auto"/>
        <w:bottom w:val="none" w:sz="0" w:space="0" w:color="auto"/>
        <w:right w:val="none" w:sz="0" w:space="0" w:color="auto"/>
      </w:divBdr>
    </w:div>
    <w:div w:id="2081907501">
      <w:bodyDiv w:val="1"/>
      <w:marLeft w:val="0"/>
      <w:marRight w:val="0"/>
      <w:marTop w:val="0"/>
      <w:marBottom w:val="0"/>
      <w:divBdr>
        <w:top w:val="none" w:sz="0" w:space="0" w:color="auto"/>
        <w:left w:val="none" w:sz="0" w:space="0" w:color="auto"/>
        <w:bottom w:val="none" w:sz="0" w:space="0" w:color="auto"/>
        <w:right w:val="none" w:sz="0" w:space="0" w:color="auto"/>
      </w:divBdr>
    </w:div>
    <w:div w:id="2082484673">
      <w:bodyDiv w:val="1"/>
      <w:marLeft w:val="0"/>
      <w:marRight w:val="0"/>
      <w:marTop w:val="0"/>
      <w:marBottom w:val="0"/>
      <w:divBdr>
        <w:top w:val="none" w:sz="0" w:space="0" w:color="auto"/>
        <w:left w:val="none" w:sz="0" w:space="0" w:color="auto"/>
        <w:bottom w:val="none" w:sz="0" w:space="0" w:color="auto"/>
        <w:right w:val="none" w:sz="0" w:space="0" w:color="auto"/>
      </w:divBdr>
    </w:div>
    <w:div w:id="2082867073">
      <w:bodyDiv w:val="1"/>
      <w:marLeft w:val="0"/>
      <w:marRight w:val="0"/>
      <w:marTop w:val="0"/>
      <w:marBottom w:val="0"/>
      <w:divBdr>
        <w:top w:val="none" w:sz="0" w:space="0" w:color="auto"/>
        <w:left w:val="none" w:sz="0" w:space="0" w:color="auto"/>
        <w:bottom w:val="none" w:sz="0" w:space="0" w:color="auto"/>
        <w:right w:val="none" w:sz="0" w:space="0" w:color="auto"/>
      </w:divBdr>
    </w:div>
    <w:div w:id="2083331700">
      <w:bodyDiv w:val="1"/>
      <w:marLeft w:val="0"/>
      <w:marRight w:val="0"/>
      <w:marTop w:val="0"/>
      <w:marBottom w:val="0"/>
      <w:divBdr>
        <w:top w:val="none" w:sz="0" w:space="0" w:color="auto"/>
        <w:left w:val="none" w:sz="0" w:space="0" w:color="auto"/>
        <w:bottom w:val="none" w:sz="0" w:space="0" w:color="auto"/>
        <w:right w:val="none" w:sz="0" w:space="0" w:color="auto"/>
      </w:divBdr>
    </w:div>
    <w:div w:id="2083677121">
      <w:bodyDiv w:val="1"/>
      <w:marLeft w:val="0"/>
      <w:marRight w:val="0"/>
      <w:marTop w:val="0"/>
      <w:marBottom w:val="0"/>
      <w:divBdr>
        <w:top w:val="none" w:sz="0" w:space="0" w:color="auto"/>
        <w:left w:val="none" w:sz="0" w:space="0" w:color="auto"/>
        <w:bottom w:val="none" w:sz="0" w:space="0" w:color="auto"/>
        <w:right w:val="none" w:sz="0" w:space="0" w:color="auto"/>
      </w:divBdr>
    </w:div>
    <w:div w:id="2084403592">
      <w:bodyDiv w:val="1"/>
      <w:marLeft w:val="0"/>
      <w:marRight w:val="0"/>
      <w:marTop w:val="0"/>
      <w:marBottom w:val="0"/>
      <w:divBdr>
        <w:top w:val="none" w:sz="0" w:space="0" w:color="auto"/>
        <w:left w:val="none" w:sz="0" w:space="0" w:color="auto"/>
        <w:bottom w:val="none" w:sz="0" w:space="0" w:color="auto"/>
        <w:right w:val="none" w:sz="0" w:space="0" w:color="auto"/>
      </w:divBdr>
    </w:div>
    <w:div w:id="2084404097">
      <w:bodyDiv w:val="1"/>
      <w:marLeft w:val="0"/>
      <w:marRight w:val="0"/>
      <w:marTop w:val="0"/>
      <w:marBottom w:val="0"/>
      <w:divBdr>
        <w:top w:val="none" w:sz="0" w:space="0" w:color="auto"/>
        <w:left w:val="none" w:sz="0" w:space="0" w:color="auto"/>
        <w:bottom w:val="none" w:sz="0" w:space="0" w:color="auto"/>
        <w:right w:val="none" w:sz="0" w:space="0" w:color="auto"/>
      </w:divBdr>
    </w:div>
    <w:div w:id="2084835728">
      <w:bodyDiv w:val="1"/>
      <w:marLeft w:val="0"/>
      <w:marRight w:val="0"/>
      <w:marTop w:val="0"/>
      <w:marBottom w:val="0"/>
      <w:divBdr>
        <w:top w:val="none" w:sz="0" w:space="0" w:color="auto"/>
        <w:left w:val="none" w:sz="0" w:space="0" w:color="auto"/>
        <w:bottom w:val="none" w:sz="0" w:space="0" w:color="auto"/>
        <w:right w:val="none" w:sz="0" w:space="0" w:color="auto"/>
      </w:divBdr>
    </w:div>
    <w:div w:id="2084863474">
      <w:bodyDiv w:val="1"/>
      <w:marLeft w:val="0"/>
      <w:marRight w:val="0"/>
      <w:marTop w:val="0"/>
      <w:marBottom w:val="0"/>
      <w:divBdr>
        <w:top w:val="none" w:sz="0" w:space="0" w:color="auto"/>
        <w:left w:val="none" w:sz="0" w:space="0" w:color="auto"/>
        <w:bottom w:val="none" w:sz="0" w:space="0" w:color="auto"/>
        <w:right w:val="none" w:sz="0" w:space="0" w:color="auto"/>
      </w:divBdr>
    </w:div>
    <w:div w:id="2084908649">
      <w:bodyDiv w:val="1"/>
      <w:marLeft w:val="0"/>
      <w:marRight w:val="0"/>
      <w:marTop w:val="0"/>
      <w:marBottom w:val="0"/>
      <w:divBdr>
        <w:top w:val="none" w:sz="0" w:space="0" w:color="auto"/>
        <w:left w:val="none" w:sz="0" w:space="0" w:color="auto"/>
        <w:bottom w:val="none" w:sz="0" w:space="0" w:color="auto"/>
        <w:right w:val="none" w:sz="0" w:space="0" w:color="auto"/>
      </w:divBdr>
    </w:div>
    <w:div w:id="2084989094">
      <w:bodyDiv w:val="1"/>
      <w:marLeft w:val="0"/>
      <w:marRight w:val="0"/>
      <w:marTop w:val="0"/>
      <w:marBottom w:val="0"/>
      <w:divBdr>
        <w:top w:val="none" w:sz="0" w:space="0" w:color="auto"/>
        <w:left w:val="none" w:sz="0" w:space="0" w:color="auto"/>
        <w:bottom w:val="none" w:sz="0" w:space="0" w:color="auto"/>
        <w:right w:val="none" w:sz="0" w:space="0" w:color="auto"/>
      </w:divBdr>
    </w:div>
    <w:div w:id="2085683537">
      <w:bodyDiv w:val="1"/>
      <w:marLeft w:val="0"/>
      <w:marRight w:val="0"/>
      <w:marTop w:val="0"/>
      <w:marBottom w:val="0"/>
      <w:divBdr>
        <w:top w:val="none" w:sz="0" w:space="0" w:color="auto"/>
        <w:left w:val="none" w:sz="0" w:space="0" w:color="auto"/>
        <w:bottom w:val="none" w:sz="0" w:space="0" w:color="auto"/>
        <w:right w:val="none" w:sz="0" w:space="0" w:color="auto"/>
      </w:divBdr>
    </w:div>
    <w:div w:id="2085686125">
      <w:bodyDiv w:val="1"/>
      <w:marLeft w:val="0"/>
      <w:marRight w:val="0"/>
      <w:marTop w:val="0"/>
      <w:marBottom w:val="0"/>
      <w:divBdr>
        <w:top w:val="none" w:sz="0" w:space="0" w:color="auto"/>
        <w:left w:val="none" w:sz="0" w:space="0" w:color="auto"/>
        <w:bottom w:val="none" w:sz="0" w:space="0" w:color="auto"/>
        <w:right w:val="none" w:sz="0" w:space="0" w:color="auto"/>
      </w:divBdr>
    </w:div>
    <w:div w:id="2085758352">
      <w:bodyDiv w:val="1"/>
      <w:marLeft w:val="0"/>
      <w:marRight w:val="0"/>
      <w:marTop w:val="0"/>
      <w:marBottom w:val="0"/>
      <w:divBdr>
        <w:top w:val="none" w:sz="0" w:space="0" w:color="auto"/>
        <w:left w:val="none" w:sz="0" w:space="0" w:color="auto"/>
        <w:bottom w:val="none" w:sz="0" w:space="0" w:color="auto"/>
        <w:right w:val="none" w:sz="0" w:space="0" w:color="auto"/>
      </w:divBdr>
    </w:div>
    <w:div w:id="2085760707">
      <w:bodyDiv w:val="1"/>
      <w:marLeft w:val="0"/>
      <w:marRight w:val="0"/>
      <w:marTop w:val="0"/>
      <w:marBottom w:val="0"/>
      <w:divBdr>
        <w:top w:val="none" w:sz="0" w:space="0" w:color="auto"/>
        <w:left w:val="none" w:sz="0" w:space="0" w:color="auto"/>
        <w:bottom w:val="none" w:sz="0" w:space="0" w:color="auto"/>
        <w:right w:val="none" w:sz="0" w:space="0" w:color="auto"/>
      </w:divBdr>
    </w:div>
    <w:div w:id="2086296200">
      <w:bodyDiv w:val="1"/>
      <w:marLeft w:val="0"/>
      <w:marRight w:val="0"/>
      <w:marTop w:val="0"/>
      <w:marBottom w:val="0"/>
      <w:divBdr>
        <w:top w:val="none" w:sz="0" w:space="0" w:color="auto"/>
        <w:left w:val="none" w:sz="0" w:space="0" w:color="auto"/>
        <w:bottom w:val="none" w:sz="0" w:space="0" w:color="auto"/>
        <w:right w:val="none" w:sz="0" w:space="0" w:color="auto"/>
      </w:divBdr>
    </w:div>
    <w:div w:id="2086414095">
      <w:bodyDiv w:val="1"/>
      <w:marLeft w:val="0"/>
      <w:marRight w:val="0"/>
      <w:marTop w:val="0"/>
      <w:marBottom w:val="0"/>
      <w:divBdr>
        <w:top w:val="none" w:sz="0" w:space="0" w:color="auto"/>
        <w:left w:val="none" w:sz="0" w:space="0" w:color="auto"/>
        <w:bottom w:val="none" w:sz="0" w:space="0" w:color="auto"/>
        <w:right w:val="none" w:sz="0" w:space="0" w:color="auto"/>
      </w:divBdr>
    </w:div>
    <w:div w:id="2086685767">
      <w:bodyDiv w:val="1"/>
      <w:marLeft w:val="0"/>
      <w:marRight w:val="0"/>
      <w:marTop w:val="0"/>
      <w:marBottom w:val="0"/>
      <w:divBdr>
        <w:top w:val="none" w:sz="0" w:space="0" w:color="auto"/>
        <w:left w:val="none" w:sz="0" w:space="0" w:color="auto"/>
        <w:bottom w:val="none" w:sz="0" w:space="0" w:color="auto"/>
        <w:right w:val="none" w:sz="0" w:space="0" w:color="auto"/>
      </w:divBdr>
    </w:div>
    <w:div w:id="2087219011">
      <w:bodyDiv w:val="1"/>
      <w:marLeft w:val="0"/>
      <w:marRight w:val="0"/>
      <w:marTop w:val="0"/>
      <w:marBottom w:val="0"/>
      <w:divBdr>
        <w:top w:val="none" w:sz="0" w:space="0" w:color="auto"/>
        <w:left w:val="none" w:sz="0" w:space="0" w:color="auto"/>
        <w:bottom w:val="none" w:sz="0" w:space="0" w:color="auto"/>
        <w:right w:val="none" w:sz="0" w:space="0" w:color="auto"/>
      </w:divBdr>
    </w:div>
    <w:div w:id="2087260799">
      <w:bodyDiv w:val="1"/>
      <w:marLeft w:val="0"/>
      <w:marRight w:val="0"/>
      <w:marTop w:val="0"/>
      <w:marBottom w:val="0"/>
      <w:divBdr>
        <w:top w:val="none" w:sz="0" w:space="0" w:color="auto"/>
        <w:left w:val="none" w:sz="0" w:space="0" w:color="auto"/>
        <w:bottom w:val="none" w:sz="0" w:space="0" w:color="auto"/>
        <w:right w:val="none" w:sz="0" w:space="0" w:color="auto"/>
      </w:divBdr>
    </w:div>
    <w:div w:id="2087610860">
      <w:bodyDiv w:val="1"/>
      <w:marLeft w:val="0"/>
      <w:marRight w:val="0"/>
      <w:marTop w:val="0"/>
      <w:marBottom w:val="0"/>
      <w:divBdr>
        <w:top w:val="none" w:sz="0" w:space="0" w:color="auto"/>
        <w:left w:val="none" w:sz="0" w:space="0" w:color="auto"/>
        <w:bottom w:val="none" w:sz="0" w:space="0" w:color="auto"/>
        <w:right w:val="none" w:sz="0" w:space="0" w:color="auto"/>
      </w:divBdr>
    </w:div>
    <w:div w:id="2087678388">
      <w:bodyDiv w:val="1"/>
      <w:marLeft w:val="0"/>
      <w:marRight w:val="0"/>
      <w:marTop w:val="0"/>
      <w:marBottom w:val="0"/>
      <w:divBdr>
        <w:top w:val="none" w:sz="0" w:space="0" w:color="auto"/>
        <w:left w:val="none" w:sz="0" w:space="0" w:color="auto"/>
        <w:bottom w:val="none" w:sz="0" w:space="0" w:color="auto"/>
        <w:right w:val="none" w:sz="0" w:space="0" w:color="auto"/>
      </w:divBdr>
    </w:div>
    <w:div w:id="2087846736">
      <w:bodyDiv w:val="1"/>
      <w:marLeft w:val="0"/>
      <w:marRight w:val="0"/>
      <w:marTop w:val="0"/>
      <w:marBottom w:val="0"/>
      <w:divBdr>
        <w:top w:val="none" w:sz="0" w:space="0" w:color="auto"/>
        <w:left w:val="none" w:sz="0" w:space="0" w:color="auto"/>
        <w:bottom w:val="none" w:sz="0" w:space="0" w:color="auto"/>
        <w:right w:val="none" w:sz="0" w:space="0" w:color="auto"/>
      </w:divBdr>
    </w:div>
    <w:div w:id="2087871094">
      <w:bodyDiv w:val="1"/>
      <w:marLeft w:val="0"/>
      <w:marRight w:val="0"/>
      <w:marTop w:val="0"/>
      <w:marBottom w:val="0"/>
      <w:divBdr>
        <w:top w:val="none" w:sz="0" w:space="0" w:color="auto"/>
        <w:left w:val="none" w:sz="0" w:space="0" w:color="auto"/>
        <w:bottom w:val="none" w:sz="0" w:space="0" w:color="auto"/>
        <w:right w:val="none" w:sz="0" w:space="0" w:color="auto"/>
      </w:divBdr>
    </w:div>
    <w:div w:id="2087877197">
      <w:bodyDiv w:val="1"/>
      <w:marLeft w:val="0"/>
      <w:marRight w:val="0"/>
      <w:marTop w:val="0"/>
      <w:marBottom w:val="0"/>
      <w:divBdr>
        <w:top w:val="none" w:sz="0" w:space="0" w:color="auto"/>
        <w:left w:val="none" w:sz="0" w:space="0" w:color="auto"/>
        <w:bottom w:val="none" w:sz="0" w:space="0" w:color="auto"/>
        <w:right w:val="none" w:sz="0" w:space="0" w:color="auto"/>
      </w:divBdr>
    </w:div>
    <w:div w:id="2087997922">
      <w:bodyDiv w:val="1"/>
      <w:marLeft w:val="0"/>
      <w:marRight w:val="0"/>
      <w:marTop w:val="0"/>
      <w:marBottom w:val="0"/>
      <w:divBdr>
        <w:top w:val="none" w:sz="0" w:space="0" w:color="auto"/>
        <w:left w:val="none" w:sz="0" w:space="0" w:color="auto"/>
        <w:bottom w:val="none" w:sz="0" w:space="0" w:color="auto"/>
        <w:right w:val="none" w:sz="0" w:space="0" w:color="auto"/>
      </w:divBdr>
    </w:div>
    <w:div w:id="2088334134">
      <w:bodyDiv w:val="1"/>
      <w:marLeft w:val="0"/>
      <w:marRight w:val="0"/>
      <w:marTop w:val="0"/>
      <w:marBottom w:val="0"/>
      <w:divBdr>
        <w:top w:val="none" w:sz="0" w:space="0" w:color="auto"/>
        <w:left w:val="none" w:sz="0" w:space="0" w:color="auto"/>
        <w:bottom w:val="none" w:sz="0" w:space="0" w:color="auto"/>
        <w:right w:val="none" w:sz="0" w:space="0" w:color="auto"/>
      </w:divBdr>
    </w:div>
    <w:div w:id="2089187915">
      <w:bodyDiv w:val="1"/>
      <w:marLeft w:val="0"/>
      <w:marRight w:val="0"/>
      <w:marTop w:val="0"/>
      <w:marBottom w:val="0"/>
      <w:divBdr>
        <w:top w:val="none" w:sz="0" w:space="0" w:color="auto"/>
        <w:left w:val="none" w:sz="0" w:space="0" w:color="auto"/>
        <w:bottom w:val="none" w:sz="0" w:space="0" w:color="auto"/>
        <w:right w:val="none" w:sz="0" w:space="0" w:color="auto"/>
      </w:divBdr>
    </w:div>
    <w:div w:id="2089377965">
      <w:bodyDiv w:val="1"/>
      <w:marLeft w:val="0"/>
      <w:marRight w:val="0"/>
      <w:marTop w:val="0"/>
      <w:marBottom w:val="0"/>
      <w:divBdr>
        <w:top w:val="none" w:sz="0" w:space="0" w:color="auto"/>
        <w:left w:val="none" w:sz="0" w:space="0" w:color="auto"/>
        <w:bottom w:val="none" w:sz="0" w:space="0" w:color="auto"/>
        <w:right w:val="none" w:sz="0" w:space="0" w:color="auto"/>
      </w:divBdr>
    </w:div>
    <w:div w:id="2090039288">
      <w:bodyDiv w:val="1"/>
      <w:marLeft w:val="0"/>
      <w:marRight w:val="0"/>
      <w:marTop w:val="0"/>
      <w:marBottom w:val="0"/>
      <w:divBdr>
        <w:top w:val="none" w:sz="0" w:space="0" w:color="auto"/>
        <w:left w:val="none" w:sz="0" w:space="0" w:color="auto"/>
        <w:bottom w:val="none" w:sz="0" w:space="0" w:color="auto"/>
        <w:right w:val="none" w:sz="0" w:space="0" w:color="auto"/>
      </w:divBdr>
    </w:div>
    <w:div w:id="2090423512">
      <w:bodyDiv w:val="1"/>
      <w:marLeft w:val="0"/>
      <w:marRight w:val="0"/>
      <w:marTop w:val="0"/>
      <w:marBottom w:val="0"/>
      <w:divBdr>
        <w:top w:val="none" w:sz="0" w:space="0" w:color="auto"/>
        <w:left w:val="none" w:sz="0" w:space="0" w:color="auto"/>
        <w:bottom w:val="none" w:sz="0" w:space="0" w:color="auto"/>
        <w:right w:val="none" w:sz="0" w:space="0" w:color="auto"/>
      </w:divBdr>
    </w:div>
    <w:div w:id="2091073629">
      <w:bodyDiv w:val="1"/>
      <w:marLeft w:val="0"/>
      <w:marRight w:val="0"/>
      <w:marTop w:val="0"/>
      <w:marBottom w:val="0"/>
      <w:divBdr>
        <w:top w:val="none" w:sz="0" w:space="0" w:color="auto"/>
        <w:left w:val="none" w:sz="0" w:space="0" w:color="auto"/>
        <w:bottom w:val="none" w:sz="0" w:space="0" w:color="auto"/>
        <w:right w:val="none" w:sz="0" w:space="0" w:color="auto"/>
      </w:divBdr>
    </w:div>
    <w:div w:id="2091197711">
      <w:bodyDiv w:val="1"/>
      <w:marLeft w:val="0"/>
      <w:marRight w:val="0"/>
      <w:marTop w:val="0"/>
      <w:marBottom w:val="0"/>
      <w:divBdr>
        <w:top w:val="none" w:sz="0" w:space="0" w:color="auto"/>
        <w:left w:val="none" w:sz="0" w:space="0" w:color="auto"/>
        <w:bottom w:val="none" w:sz="0" w:space="0" w:color="auto"/>
        <w:right w:val="none" w:sz="0" w:space="0" w:color="auto"/>
      </w:divBdr>
    </w:div>
    <w:div w:id="2091585308">
      <w:bodyDiv w:val="1"/>
      <w:marLeft w:val="0"/>
      <w:marRight w:val="0"/>
      <w:marTop w:val="0"/>
      <w:marBottom w:val="0"/>
      <w:divBdr>
        <w:top w:val="none" w:sz="0" w:space="0" w:color="auto"/>
        <w:left w:val="none" w:sz="0" w:space="0" w:color="auto"/>
        <w:bottom w:val="none" w:sz="0" w:space="0" w:color="auto"/>
        <w:right w:val="none" w:sz="0" w:space="0" w:color="auto"/>
      </w:divBdr>
    </w:div>
    <w:div w:id="2091659123">
      <w:bodyDiv w:val="1"/>
      <w:marLeft w:val="0"/>
      <w:marRight w:val="0"/>
      <w:marTop w:val="0"/>
      <w:marBottom w:val="0"/>
      <w:divBdr>
        <w:top w:val="none" w:sz="0" w:space="0" w:color="auto"/>
        <w:left w:val="none" w:sz="0" w:space="0" w:color="auto"/>
        <w:bottom w:val="none" w:sz="0" w:space="0" w:color="auto"/>
        <w:right w:val="none" w:sz="0" w:space="0" w:color="auto"/>
      </w:divBdr>
    </w:div>
    <w:div w:id="2092115747">
      <w:bodyDiv w:val="1"/>
      <w:marLeft w:val="0"/>
      <w:marRight w:val="0"/>
      <w:marTop w:val="0"/>
      <w:marBottom w:val="0"/>
      <w:divBdr>
        <w:top w:val="none" w:sz="0" w:space="0" w:color="auto"/>
        <w:left w:val="none" w:sz="0" w:space="0" w:color="auto"/>
        <w:bottom w:val="none" w:sz="0" w:space="0" w:color="auto"/>
        <w:right w:val="none" w:sz="0" w:space="0" w:color="auto"/>
      </w:divBdr>
    </w:div>
    <w:div w:id="2092241149">
      <w:bodyDiv w:val="1"/>
      <w:marLeft w:val="0"/>
      <w:marRight w:val="0"/>
      <w:marTop w:val="0"/>
      <w:marBottom w:val="0"/>
      <w:divBdr>
        <w:top w:val="none" w:sz="0" w:space="0" w:color="auto"/>
        <w:left w:val="none" w:sz="0" w:space="0" w:color="auto"/>
        <w:bottom w:val="none" w:sz="0" w:space="0" w:color="auto"/>
        <w:right w:val="none" w:sz="0" w:space="0" w:color="auto"/>
      </w:divBdr>
    </w:div>
    <w:div w:id="2092266973">
      <w:bodyDiv w:val="1"/>
      <w:marLeft w:val="0"/>
      <w:marRight w:val="0"/>
      <w:marTop w:val="0"/>
      <w:marBottom w:val="0"/>
      <w:divBdr>
        <w:top w:val="none" w:sz="0" w:space="0" w:color="auto"/>
        <w:left w:val="none" w:sz="0" w:space="0" w:color="auto"/>
        <w:bottom w:val="none" w:sz="0" w:space="0" w:color="auto"/>
        <w:right w:val="none" w:sz="0" w:space="0" w:color="auto"/>
      </w:divBdr>
    </w:div>
    <w:div w:id="2092852146">
      <w:bodyDiv w:val="1"/>
      <w:marLeft w:val="0"/>
      <w:marRight w:val="0"/>
      <w:marTop w:val="0"/>
      <w:marBottom w:val="0"/>
      <w:divBdr>
        <w:top w:val="none" w:sz="0" w:space="0" w:color="auto"/>
        <w:left w:val="none" w:sz="0" w:space="0" w:color="auto"/>
        <w:bottom w:val="none" w:sz="0" w:space="0" w:color="auto"/>
        <w:right w:val="none" w:sz="0" w:space="0" w:color="auto"/>
      </w:divBdr>
    </w:div>
    <w:div w:id="2093235573">
      <w:bodyDiv w:val="1"/>
      <w:marLeft w:val="0"/>
      <w:marRight w:val="0"/>
      <w:marTop w:val="0"/>
      <w:marBottom w:val="0"/>
      <w:divBdr>
        <w:top w:val="none" w:sz="0" w:space="0" w:color="auto"/>
        <w:left w:val="none" w:sz="0" w:space="0" w:color="auto"/>
        <w:bottom w:val="none" w:sz="0" w:space="0" w:color="auto"/>
        <w:right w:val="none" w:sz="0" w:space="0" w:color="auto"/>
      </w:divBdr>
    </w:div>
    <w:div w:id="2093505926">
      <w:bodyDiv w:val="1"/>
      <w:marLeft w:val="0"/>
      <w:marRight w:val="0"/>
      <w:marTop w:val="0"/>
      <w:marBottom w:val="0"/>
      <w:divBdr>
        <w:top w:val="none" w:sz="0" w:space="0" w:color="auto"/>
        <w:left w:val="none" w:sz="0" w:space="0" w:color="auto"/>
        <w:bottom w:val="none" w:sz="0" w:space="0" w:color="auto"/>
        <w:right w:val="none" w:sz="0" w:space="0" w:color="auto"/>
      </w:divBdr>
    </w:div>
    <w:div w:id="2093626494">
      <w:bodyDiv w:val="1"/>
      <w:marLeft w:val="0"/>
      <w:marRight w:val="0"/>
      <w:marTop w:val="0"/>
      <w:marBottom w:val="0"/>
      <w:divBdr>
        <w:top w:val="none" w:sz="0" w:space="0" w:color="auto"/>
        <w:left w:val="none" w:sz="0" w:space="0" w:color="auto"/>
        <w:bottom w:val="none" w:sz="0" w:space="0" w:color="auto"/>
        <w:right w:val="none" w:sz="0" w:space="0" w:color="auto"/>
      </w:divBdr>
    </w:div>
    <w:div w:id="2093888912">
      <w:bodyDiv w:val="1"/>
      <w:marLeft w:val="0"/>
      <w:marRight w:val="0"/>
      <w:marTop w:val="0"/>
      <w:marBottom w:val="0"/>
      <w:divBdr>
        <w:top w:val="none" w:sz="0" w:space="0" w:color="auto"/>
        <w:left w:val="none" w:sz="0" w:space="0" w:color="auto"/>
        <w:bottom w:val="none" w:sz="0" w:space="0" w:color="auto"/>
        <w:right w:val="none" w:sz="0" w:space="0" w:color="auto"/>
      </w:divBdr>
    </w:div>
    <w:div w:id="2094157341">
      <w:bodyDiv w:val="1"/>
      <w:marLeft w:val="0"/>
      <w:marRight w:val="0"/>
      <w:marTop w:val="0"/>
      <w:marBottom w:val="0"/>
      <w:divBdr>
        <w:top w:val="none" w:sz="0" w:space="0" w:color="auto"/>
        <w:left w:val="none" w:sz="0" w:space="0" w:color="auto"/>
        <w:bottom w:val="none" w:sz="0" w:space="0" w:color="auto"/>
        <w:right w:val="none" w:sz="0" w:space="0" w:color="auto"/>
      </w:divBdr>
    </w:div>
    <w:div w:id="2094233988">
      <w:bodyDiv w:val="1"/>
      <w:marLeft w:val="0"/>
      <w:marRight w:val="0"/>
      <w:marTop w:val="0"/>
      <w:marBottom w:val="0"/>
      <w:divBdr>
        <w:top w:val="none" w:sz="0" w:space="0" w:color="auto"/>
        <w:left w:val="none" w:sz="0" w:space="0" w:color="auto"/>
        <w:bottom w:val="none" w:sz="0" w:space="0" w:color="auto"/>
        <w:right w:val="none" w:sz="0" w:space="0" w:color="auto"/>
      </w:divBdr>
    </w:div>
    <w:div w:id="2094661901">
      <w:bodyDiv w:val="1"/>
      <w:marLeft w:val="0"/>
      <w:marRight w:val="0"/>
      <w:marTop w:val="0"/>
      <w:marBottom w:val="0"/>
      <w:divBdr>
        <w:top w:val="none" w:sz="0" w:space="0" w:color="auto"/>
        <w:left w:val="none" w:sz="0" w:space="0" w:color="auto"/>
        <w:bottom w:val="none" w:sz="0" w:space="0" w:color="auto"/>
        <w:right w:val="none" w:sz="0" w:space="0" w:color="auto"/>
      </w:divBdr>
    </w:div>
    <w:div w:id="2095081127">
      <w:bodyDiv w:val="1"/>
      <w:marLeft w:val="0"/>
      <w:marRight w:val="0"/>
      <w:marTop w:val="0"/>
      <w:marBottom w:val="0"/>
      <w:divBdr>
        <w:top w:val="none" w:sz="0" w:space="0" w:color="auto"/>
        <w:left w:val="none" w:sz="0" w:space="0" w:color="auto"/>
        <w:bottom w:val="none" w:sz="0" w:space="0" w:color="auto"/>
        <w:right w:val="none" w:sz="0" w:space="0" w:color="auto"/>
      </w:divBdr>
    </w:div>
    <w:div w:id="2095199477">
      <w:bodyDiv w:val="1"/>
      <w:marLeft w:val="0"/>
      <w:marRight w:val="0"/>
      <w:marTop w:val="0"/>
      <w:marBottom w:val="0"/>
      <w:divBdr>
        <w:top w:val="none" w:sz="0" w:space="0" w:color="auto"/>
        <w:left w:val="none" w:sz="0" w:space="0" w:color="auto"/>
        <w:bottom w:val="none" w:sz="0" w:space="0" w:color="auto"/>
        <w:right w:val="none" w:sz="0" w:space="0" w:color="auto"/>
      </w:divBdr>
    </w:div>
    <w:div w:id="2095590271">
      <w:bodyDiv w:val="1"/>
      <w:marLeft w:val="0"/>
      <w:marRight w:val="0"/>
      <w:marTop w:val="0"/>
      <w:marBottom w:val="0"/>
      <w:divBdr>
        <w:top w:val="none" w:sz="0" w:space="0" w:color="auto"/>
        <w:left w:val="none" w:sz="0" w:space="0" w:color="auto"/>
        <w:bottom w:val="none" w:sz="0" w:space="0" w:color="auto"/>
        <w:right w:val="none" w:sz="0" w:space="0" w:color="auto"/>
      </w:divBdr>
    </w:div>
    <w:div w:id="2096004035">
      <w:bodyDiv w:val="1"/>
      <w:marLeft w:val="0"/>
      <w:marRight w:val="0"/>
      <w:marTop w:val="0"/>
      <w:marBottom w:val="0"/>
      <w:divBdr>
        <w:top w:val="none" w:sz="0" w:space="0" w:color="auto"/>
        <w:left w:val="none" w:sz="0" w:space="0" w:color="auto"/>
        <w:bottom w:val="none" w:sz="0" w:space="0" w:color="auto"/>
        <w:right w:val="none" w:sz="0" w:space="0" w:color="auto"/>
      </w:divBdr>
    </w:div>
    <w:div w:id="2096052272">
      <w:bodyDiv w:val="1"/>
      <w:marLeft w:val="0"/>
      <w:marRight w:val="0"/>
      <w:marTop w:val="0"/>
      <w:marBottom w:val="0"/>
      <w:divBdr>
        <w:top w:val="none" w:sz="0" w:space="0" w:color="auto"/>
        <w:left w:val="none" w:sz="0" w:space="0" w:color="auto"/>
        <w:bottom w:val="none" w:sz="0" w:space="0" w:color="auto"/>
        <w:right w:val="none" w:sz="0" w:space="0" w:color="auto"/>
      </w:divBdr>
    </w:div>
    <w:div w:id="2096199375">
      <w:bodyDiv w:val="1"/>
      <w:marLeft w:val="0"/>
      <w:marRight w:val="0"/>
      <w:marTop w:val="0"/>
      <w:marBottom w:val="0"/>
      <w:divBdr>
        <w:top w:val="none" w:sz="0" w:space="0" w:color="auto"/>
        <w:left w:val="none" w:sz="0" w:space="0" w:color="auto"/>
        <w:bottom w:val="none" w:sz="0" w:space="0" w:color="auto"/>
        <w:right w:val="none" w:sz="0" w:space="0" w:color="auto"/>
      </w:divBdr>
    </w:div>
    <w:div w:id="2096398217">
      <w:bodyDiv w:val="1"/>
      <w:marLeft w:val="0"/>
      <w:marRight w:val="0"/>
      <w:marTop w:val="0"/>
      <w:marBottom w:val="0"/>
      <w:divBdr>
        <w:top w:val="none" w:sz="0" w:space="0" w:color="auto"/>
        <w:left w:val="none" w:sz="0" w:space="0" w:color="auto"/>
        <w:bottom w:val="none" w:sz="0" w:space="0" w:color="auto"/>
        <w:right w:val="none" w:sz="0" w:space="0" w:color="auto"/>
      </w:divBdr>
    </w:div>
    <w:div w:id="2096508667">
      <w:bodyDiv w:val="1"/>
      <w:marLeft w:val="0"/>
      <w:marRight w:val="0"/>
      <w:marTop w:val="0"/>
      <w:marBottom w:val="0"/>
      <w:divBdr>
        <w:top w:val="none" w:sz="0" w:space="0" w:color="auto"/>
        <w:left w:val="none" w:sz="0" w:space="0" w:color="auto"/>
        <w:bottom w:val="none" w:sz="0" w:space="0" w:color="auto"/>
        <w:right w:val="none" w:sz="0" w:space="0" w:color="auto"/>
      </w:divBdr>
    </w:div>
    <w:div w:id="2096894425">
      <w:bodyDiv w:val="1"/>
      <w:marLeft w:val="0"/>
      <w:marRight w:val="0"/>
      <w:marTop w:val="0"/>
      <w:marBottom w:val="0"/>
      <w:divBdr>
        <w:top w:val="none" w:sz="0" w:space="0" w:color="auto"/>
        <w:left w:val="none" w:sz="0" w:space="0" w:color="auto"/>
        <w:bottom w:val="none" w:sz="0" w:space="0" w:color="auto"/>
        <w:right w:val="none" w:sz="0" w:space="0" w:color="auto"/>
      </w:divBdr>
    </w:div>
    <w:div w:id="2096969790">
      <w:bodyDiv w:val="1"/>
      <w:marLeft w:val="0"/>
      <w:marRight w:val="0"/>
      <w:marTop w:val="0"/>
      <w:marBottom w:val="0"/>
      <w:divBdr>
        <w:top w:val="none" w:sz="0" w:space="0" w:color="auto"/>
        <w:left w:val="none" w:sz="0" w:space="0" w:color="auto"/>
        <w:bottom w:val="none" w:sz="0" w:space="0" w:color="auto"/>
        <w:right w:val="none" w:sz="0" w:space="0" w:color="auto"/>
      </w:divBdr>
    </w:div>
    <w:div w:id="2097049431">
      <w:bodyDiv w:val="1"/>
      <w:marLeft w:val="0"/>
      <w:marRight w:val="0"/>
      <w:marTop w:val="0"/>
      <w:marBottom w:val="0"/>
      <w:divBdr>
        <w:top w:val="none" w:sz="0" w:space="0" w:color="auto"/>
        <w:left w:val="none" w:sz="0" w:space="0" w:color="auto"/>
        <w:bottom w:val="none" w:sz="0" w:space="0" w:color="auto"/>
        <w:right w:val="none" w:sz="0" w:space="0" w:color="auto"/>
      </w:divBdr>
    </w:div>
    <w:div w:id="2097245816">
      <w:bodyDiv w:val="1"/>
      <w:marLeft w:val="0"/>
      <w:marRight w:val="0"/>
      <w:marTop w:val="0"/>
      <w:marBottom w:val="0"/>
      <w:divBdr>
        <w:top w:val="none" w:sz="0" w:space="0" w:color="auto"/>
        <w:left w:val="none" w:sz="0" w:space="0" w:color="auto"/>
        <w:bottom w:val="none" w:sz="0" w:space="0" w:color="auto"/>
        <w:right w:val="none" w:sz="0" w:space="0" w:color="auto"/>
      </w:divBdr>
    </w:div>
    <w:div w:id="2097286620">
      <w:bodyDiv w:val="1"/>
      <w:marLeft w:val="0"/>
      <w:marRight w:val="0"/>
      <w:marTop w:val="0"/>
      <w:marBottom w:val="0"/>
      <w:divBdr>
        <w:top w:val="none" w:sz="0" w:space="0" w:color="auto"/>
        <w:left w:val="none" w:sz="0" w:space="0" w:color="auto"/>
        <w:bottom w:val="none" w:sz="0" w:space="0" w:color="auto"/>
        <w:right w:val="none" w:sz="0" w:space="0" w:color="auto"/>
      </w:divBdr>
    </w:div>
    <w:div w:id="2097361422">
      <w:bodyDiv w:val="1"/>
      <w:marLeft w:val="0"/>
      <w:marRight w:val="0"/>
      <w:marTop w:val="0"/>
      <w:marBottom w:val="0"/>
      <w:divBdr>
        <w:top w:val="none" w:sz="0" w:space="0" w:color="auto"/>
        <w:left w:val="none" w:sz="0" w:space="0" w:color="auto"/>
        <w:bottom w:val="none" w:sz="0" w:space="0" w:color="auto"/>
        <w:right w:val="none" w:sz="0" w:space="0" w:color="auto"/>
      </w:divBdr>
    </w:div>
    <w:div w:id="2097626595">
      <w:bodyDiv w:val="1"/>
      <w:marLeft w:val="0"/>
      <w:marRight w:val="0"/>
      <w:marTop w:val="0"/>
      <w:marBottom w:val="0"/>
      <w:divBdr>
        <w:top w:val="none" w:sz="0" w:space="0" w:color="auto"/>
        <w:left w:val="none" w:sz="0" w:space="0" w:color="auto"/>
        <w:bottom w:val="none" w:sz="0" w:space="0" w:color="auto"/>
        <w:right w:val="none" w:sz="0" w:space="0" w:color="auto"/>
      </w:divBdr>
    </w:div>
    <w:div w:id="2098087756">
      <w:bodyDiv w:val="1"/>
      <w:marLeft w:val="0"/>
      <w:marRight w:val="0"/>
      <w:marTop w:val="0"/>
      <w:marBottom w:val="0"/>
      <w:divBdr>
        <w:top w:val="none" w:sz="0" w:space="0" w:color="auto"/>
        <w:left w:val="none" w:sz="0" w:space="0" w:color="auto"/>
        <w:bottom w:val="none" w:sz="0" w:space="0" w:color="auto"/>
        <w:right w:val="none" w:sz="0" w:space="0" w:color="auto"/>
      </w:divBdr>
    </w:div>
    <w:div w:id="2098167609">
      <w:bodyDiv w:val="1"/>
      <w:marLeft w:val="0"/>
      <w:marRight w:val="0"/>
      <w:marTop w:val="0"/>
      <w:marBottom w:val="0"/>
      <w:divBdr>
        <w:top w:val="none" w:sz="0" w:space="0" w:color="auto"/>
        <w:left w:val="none" w:sz="0" w:space="0" w:color="auto"/>
        <w:bottom w:val="none" w:sz="0" w:space="0" w:color="auto"/>
        <w:right w:val="none" w:sz="0" w:space="0" w:color="auto"/>
      </w:divBdr>
    </w:div>
    <w:div w:id="2098625186">
      <w:bodyDiv w:val="1"/>
      <w:marLeft w:val="0"/>
      <w:marRight w:val="0"/>
      <w:marTop w:val="0"/>
      <w:marBottom w:val="0"/>
      <w:divBdr>
        <w:top w:val="none" w:sz="0" w:space="0" w:color="auto"/>
        <w:left w:val="none" w:sz="0" w:space="0" w:color="auto"/>
        <w:bottom w:val="none" w:sz="0" w:space="0" w:color="auto"/>
        <w:right w:val="none" w:sz="0" w:space="0" w:color="auto"/>
      </w:divBdr>
    </w:div>
    <w:div w:id="2098861595">
      <w:bodyDiv w:val="1"/>
      <w:marLeft w:val="0"/>
      <w:marRight w:val="0"/>
      <w:marTop w:val="0"/>
      <w:marBottom w:val="0"/>
      <w:divBdr>
        <w:top w:val="none" w:sz="0" w:space="0" w:color="auto"/>
        <w:left w:val="none" w:sz="0" w:space="0" w:color="auto"/>
        <w:bottom w:val="none" w:sz="0" w:space="0" w:color="auto"/>
        <w:right w:val="none" w:sz="0" w:space="0" w:color="auto"/>
      </w:divBdr>
    </w:div>
    <w:div w:id="2099054672">
      <w:bodyDiv w:val="1"/>
      <w:marLeft w:val="0"/>
      <w:marRight w:val="0"/>
      <w:marTop w:val="0"/>
      <w:marBottom w:val="0"/>
      <w:divBdr>
        <w:top w:val="none" w:sz="0" w:space="0" w:color="auto"/>
        <w:left w:val="none" w:sz="0" w:space="0" w:color="auto"/>
        <w:bottom w:val="none" w:sz="0" w:space="0" w:color="auto"/>
        <w:right w:val="none" w:sz="0" w:space="0" w:color="auto"/>
      </w:divBdr>
    </w:div>
    <w:div w:id="2099403618">
      <w:bodyDiv w:val="1"/>
      <w:marLeft w:val="0"/>
      <w:marRight w:val="0"/>
      <w:marTop w:val="0"/>
      <w:marBottom w:val="0"/>
      <w:divBdr>
        <w:top w:val="none" w:sz="0" w:space="0" w:color="auto"/>
        <w:left w:val="none" w:sz="0" w:space="0" w:color="auto"/>
        <w:bottom w:val="none" w:sz="0" w:space="0" w:color="auto"/>
        <w:right w:val="none" w:sz="0" w:space="0" w:color="auto"/>
      </w:divBdr>
    </w:div>
    <w:div w:id="2099672162">
      <w:bodyDiv w:val="1"/>
      <w:marLeft w:val="0"/>
      <w:marRight w:val="0"/>
      <w:marTop w:val="0"/>
      <w:marBottom w:val="0"/>
      <w:divBdr>
        <w:top w:val="none" w:sz="0" w:space="0" w:color="auto"/>
        <w:left w:val="none" w:sz="0" w:space="0" w:color="auto"/>
        <w:bottom w:val="none" w:sz="0" w:space="0" w:color="auto"/>
        <w:right w:val="none" w:sz="0" w:space="0" w:color="auto"/>
      </w:divBdr>
    </w:div>
    <w:div w:id="2100366277">
      <w:bodyDiv w:val="1"/>
      <w:marLeft w:val="0"/>
      <w:marRight w:val="0"/>
      <w:marTop w:val="0"/>
      <w:marBottom w:val="0"/>
      <w:divBdr>
        <w:top w:val="none" w:sz="0" w:space="0" w:color="auto"/>
        <w:left w:val="none" w:sz="0" w:space="0" w:color="auto"/>
        <w:bottom w:val="none" w:sz="0" w:space="0" w:color="auto"/>
        <w:right w:val="none" w:sz="0" w:space="0" w:color="auto"/>
      </w:divBdr>
    </w:div>
    <w:div w:id="2100635602">
      <w:bodyDiv w:val="1"/>
      <w:marLeft w:val="0"/>
      <w:marRight w:val="0"/>
      <w:marTop w:val="0"/>
      <w:marBottom w:val="0"/>
      <w:divBdr>
        <w:top w:val="none" w:sz="0" w:space="0" w:color="auto"/>
        <w:left w:val="none" w:sz="0" w:space="0" w:color="auto"/>
        <w:bottom w:val="none" w:sz="0" w:space="0" w:color="auto"/>
        <w:right w:val="none" w:sz="0" w:space="0" w:color="auto"/>
      </w:divBdr>
    </w:div>
    <w:div w:id="2100832663">
      <w:bodyDiv w:val="1"/>
      <w:marLeft w:val="0"/>
      <w:marRight w:val="0"/>
      <w:marTop w:val="0"/>
      <w:marBottom w:val="0"/>
      <w:divBdr>
        <w:top w:val="none" w:sz="0" w:space="0" w:color="auto"/>
        <w:left w:val="none" w:sz="0" w:space="0" w:color="auto"/>
        <w:bottom w:val="none" w:sz="0" w:space="0" w:color="auto"/>
        <w:right w:val="none" w:sz="0" w:space="0" w:color="auto"/>
      </w:divBdr>
    </w:div>
    <w:div w:id="2100982730">
      <w:bodyDiv w:val="1"/>
      <w:marLeft w:val="0"/>
      <w:marRight w:val="0"/>
      <w:marTop w:val="0"/>
      <w:marBottom w:val="0"/>
      <w:divBdr>
        <w:top w:val="none" w:sz="0" w:space="0" w:color="auto"/>
        <w:left w:val="none" w:sz="0" w:space="0" w:color="auto"/>
        <w:bottom w:val="none" w:sz="0" w:space="0" w:color="auto"/>
        <w:right w:val="none" w:sz="0" w:space="0" w:color="auto"/>
      </w:divBdr>
    </w:div>
    <w:div w:id="2101095500">
      <w:bodyDiv w:val="1"/>
      <w:marLeft w:val="0"/>
      <w:marRight w:val="0"/>
      <w:marTop w:val="0"/>
      <w:marBottom w:val="0"/>
      <w:divBdr>
        <w:top w:val="none" w:sz="0" w:space="0" w:color="auto"/>
        <w:left w:val="none" w:sz="0" w:space="0" w:color="auto"/>
        <w:bottom w:val="none" w:sz="0" w:space="0" w:color="auto"/>
        <w:right w:val="none" w:sz="0" w:space="0" w:color="auto"/>
      </w:divBdr>
    </w:div>
    <w:div w:id="2102215458">
      <w:bodyDiv w:val="1"/>
      <w:marLeft w:val="0"/>
      <w:marRight w:val="0"/>
      <w:marTop w:val="0"/>
      <w:marBottom w:val="0"/>
      <w:divBdr>
        <w:top w:val="none" w:sz="0" w:space="0" w:color="auto"/>
        <w:left w:val="none" w:sz="0" w:space="0" w:color="auto"/>
        <w:bottom w:val="none" w:sz="0" w:space="0" w:color="auto"/>
        <w:right w:val="none" w:sz="0" w:space="0" w:color="auto"/>
      </w:divBdr>
    </w:div>
    <w:div w:id="2102487181">
      <w:bodyDiv w:val="1"/>
      <w:marLeft w:val="0"/>
      <w:marRight w:val="0"/>
      <w:marTop w:val="0"/>
      <w:marBottom w:val="0"/>
      <w:divBdr>
        <w:top w:val="none" w:sz="0" w:space="0" w:color="auto"/>
        <w:left w:val="none" w:sz="0" w:space="0" w:color="auto"/>
        <w:bottom w:val="none" w:sz="0" w:space="0" w:color="auto"/>
        <w:right w:val="none" w:sz="0" w:space="0" w:color="auto"/>
      </w:divBdr>
    </w:div>
    <w:div w:id="2102527732">
      <w:bodyDiv w:val="1"/>
      <w:marLeft w:val="0"/>
      <w:marRight w:val="0"/>
      <w:marTop w:val="0"/>
      <w:marBottom w:val="0"/>
      <w:divBdr>
        <w:top w:val="none" w:sz="0" w:space="0" w:color="auto"/>
        <w:left w:val="none" w:sz="0" w:space="0" w:color="auto"/>
        <w:bottom w:val="none" w:sz="0" w:space="0" w:color="auto"/>
        <w:right w:val="none" w:sz="0" w:space="0" w:color="auto"/>
      </w:divBdr>
    </w:div>
    <w:div w:id="2102605547">
      <w:bodyDiv w:val="1"/>
      <w:marLeft w:val="0"/>
      <w:marRight w:val="0"/>
      <w:marTop w:val="0"/>
      <w:marBottom w:val="0"/>
      <w:divBdr>
        <w:top w:val="none" w:sz="0" w:space="0" w:color="auto"/>
        <w:left w:val="none" w:sz="0" w:space="0" w:color="auto"/>
        <w:bottom w:val="none" w:sz="0" w:space="0" w:color="auto"/>
        <w:right w:val="none" w:sz="0" w:space="0" w:color="auto"/>
      </w:divBdr>
    </w:div>
    <w:div w:id="2102754236">
      <w:bodyDiv w:val="1"/>
      <w:marLeft w:val="0"/>
      <w:marRight w:val="0"/>
      <w:marTop w:val="0"/>
      <w:marBottom w:val="0"/>
      <w:divBdr>
        <w:top w:val="none" w:sz="0" w:space="0" w:color="auto"/>
        <w:left w:val="none" w:sz="0" w:space="0" w:color="auto"/>
        <w:bottom w:val="none" w:sz="0" w:space="0" w:color="auto"/>
        <w:right w:val="none" w:sz="0" w:space="0" w:color="auto"/>
      </w:divBdr>
    </w:div>
    <w:div w:id="2103602513">
      <w:bodyDiv w:val="1"/>
      <w:marLeft w:val="0"/>
      <w:marRight w:val="0"/>
      <w:marTop w:val="0"/>
      <w:marBottom w:val="0"/>
      <w:divBdr>
        <w:top w:val="none" w:sz="0" w:space="0" w:color="auto"/>
        <w:left w:val="none" w:sz="0" w:space="0" w:color="auto"/>
        <w:bottom w:val="none" w:sz="0" w:space="0" w:color="auto"/>
        <w:right w:val="none" w:sz="0" w:space="0" w:color="auto"/>
      </w:divBdr>
    </w:div>
    <w:div w:id="2103794987">
      <w:bodyDiv w:val="1"/>
      <w:marLeft w:val="0"/>
      <w:marRight w:val="0"/>
      <w:marTop w:val="0"/>
      <w:marBottom w:val="0"/>
      <w:divBdr>
        <w:top w:val="none" w:sz="0" w:space="0" w:color="auto"/>
        <w:left w:val="none" w:sz="0" w:space="0" w:color="auto"/>
        <w:bottom w:val="none" w:sz="0" w:space="0" w:color="auto"/>
        <w:right w:val="none" w:sz="0" w:space="0" w:color="auto"/>
      </w:divBdr>
    </w:div>
    <w:div w:id="2103986406">
      <w:bodyDiv w:val="1"/>
      <w:marLeft w:val="0"/>
      <w:marRight w:val="0"/>
      <w:marTop w:val="0"/>
      <w:marBottom w:val="0"/>
      <w:divBdr>
        <w:top w:val="none" w:sz="0" w:space="0" w:color="auto"/>
        <w:left w:val="none" w:sz="0" w:space="0" w:color="auto"/>
        <w:bottom w:val="none" w:sz="0" w:space="0" w:color="auto"/>
        <w:right w:val="none" w:sz="0" w:space="0" w:color="auto"/>
      </w:divBdr>
    </w:div>
    <w:div w:id="2104257804">
      <w:bodyDiv w:val="1"/>
      <w:marLeft w:val="0"/>
      <w:marRight w:val="0"/>
      <w:marTop w:val="0"/>
      <w:marBottom w:val="0"/>
      <w:divBdr>
        <w:top w:val="none" w:sz="0" w:space="0" w:color="auto"/>
        <w:left w:val="none" w:sz="0" w:space="0" w:color="auto"/>
        <w:bottom w:val="none" w:sz="0" w:space="0" w:color="auto"/>
        <w:right w:val="none" w:sz="0" w:space="0" w:color="auto"/>
      </w:divBdr>
    </w:div>
    <w:div w:id="2104448129">
      <w:bodyDiv w:val="1"/>
      <w:marLeft w:val="0"/>
      <w:marRight w:val="0"/>
      <w:marTop w:val="0"/>
      <w:marBottom w:val="0"/>
      <w:divBdr>
        <w:top w:val="none" w:sz="0" w:space="0" w:color="auto"/>
        <w:left w:val="none" w:sz="0" w:space="0" w:color="auto"/>
        <w:bottom w:val="none" w:sz="0" w:space="0" w:color="auto"/>
        <w:right w:val="none" w:sz="0" w:space="0" w:color="auto"/>
      </w:divBdr>
    </w:div>
    <w:div w:id="2104497371">
      <w:bodyDiv w:val="1"/>
      <w:marLeft w:val="0"/>
      <w:marRight w:val="0"/>
      <w:marTop w:val="0"/>
      <w:marBottom w:val="0"/>
      <w:divBdr>
        <w:top w:val="none" w:sz="0" w:space="0" w:color="auto"/>
        <w:left w:val="none" w:sz="0" w:space="0" w:color="auto"/>
        <w:bottom w:val="none" w:sz="0" w:space="0" w:color="auto"/>
        <w:right w:val="none" w:sz="0" w:space="0" w:color="auto"/>
      </w:divBdr>
    </w:div>
    <w:div w:id="2104565223">
      <w:bodyDiv w:val="1"/>
      <w:marLeft w:val="0"/>
      <w:marRight w:val="0"/>
      <w:marTop w:val="0"/>
      <w:marBottom w:val="0"/>
      <w:divBdr>
        <w:top w:val="none" w:sz="0" w:space="0" w:color="auto"/>
        <w:left w:val="none" w:sz="0" w:space="0" w:color="auto"/>
        <w:bottom w:val="none" w:sz="0" w:space="0" w:color="auto"/>
        <w:right w:val="none" w:sz="0" w:space="0" w:color="auto"/>
      </w:divBdr>
    </w:div>
    <w:div w:id="2104913188">
      <w:bodyDiv w:val="1"/>
      <w:marLeft w:val="0"/>
      <w:marRight w:val="0"/>
      <w:marTop w:val="0"/>
      <w:marBottom w:val="0"/>
      <w:divBdr>
        <w:top w:val="none" w:sz="0" w:space="0" w:color="auto"/>
        <w:left w:val="none" w:sz="0" w:space="0" w:color="auto"/>
        <w:bottom w:val="none" w:sz="0" w:space="0" w:color="auto"/>
        <w:right w:val="none" w:sz="0" w:space="0" w:color="auto"/>
      </w:divBdr>
    </w:div>
    <w:div w:id="2105569208">
      <w:bodyDiv w:val="1"/>
      <w:marLeft w:val="0"/>
      <w:marRight w:val="0"/>
      <w:marTop w:val="0"/>
      <w:marBottom w:val="0"/>
      <w:divBdr>
        <w:top w:val="none" w:sz="0" w:space="0" w:color="auto"/>
        <w:left w:val="none" w:sz="0" w:space="0" w:color="auto"/>
        <w:bottom w:val="none" w:sz="0" w:space="0" w:color="auto"/>
        <w:right w:val="none" w:sz="0" w:space="0" w:color="auto"/>
      </w:divBdr>
    </w:div>
    <w:div w:id="2105685255">
      <w:bodyDiv w:val="1"/>
      <w:marLeft w:val="0"/>
      <w:marRight w:val="0"/>
      <w:marTop w:val="0"/>
      <w:marBottom w:val="0"/>
      <w:divBdr>
        <w:top w:val="none" w:sz="0" w:space="0" w:color="auto"/>
        <w:left w:val="none" w:sz="0" w:space="0" w:color="auto"/>
        <w:bottom w:val="none" w:sz="0" w:space="0" w:color="auto"/>
        <w:right w:val="none" w:sz="0" w:space="0" w:color="auto"/>
      </w:divBdr>
    </w:div>
    <w:div w:id="2106027902">
      <w:bodyDiv w:val="1"/>
      <w:marLeft w:val="0"/>
      <w:marRight w:val="0"/>
      <w:marTop w:val="0"/>
      <w:marBottom w:val="0"/>
      <w:divBdr>
        <w:top w:val="none" w:sz="0" w:space="0" w:color="auto"/>
        <w:left w:val="none" w:sz="0" w:space="0" w:color="auto"/>
        <w:bottom w:val="none" w:sz="0" w:space="0" w:color="auto"/>
        <w:right w:val="none" w:sz="0" w:space="0" w:color="auto"/>
      </w:divBdr>
    </w:div>
    <w:div w:id="2106224420">
      <w:bodyDiv w:val="1"/>
      <w:marLeft w:val="0"/>
      <w:marRight w:val="0"/>
      <w:marTop w:val="0"/>
      <w:marBottom w:val="0"/>
      <w:divBdr>
        <w:top w:val="none" w:sz="0" w:space="0" w:color="auto"/>
        <w:left w:val="none" w:sz="0" w:space="0" w:color="auto"/>
        <w:bottom w:val="none" w:sz="0" w:space="0" w:color="auto"/>
        <w:right w:val="none" w:sz="0" w:space="0" w:color="auto"/>
      </w:divBdr>
    </w:div>
    <w:div w:id="2106343004">
      <w:bodyDiv w:val="1"/>
      <w:marLeft w:val="0"/>
      <w:marRight w:val="0"/>
      <w:marTop w:val="0"/>
      <w:marBottom w:val="0"/>
      <w:divBdr>
        <w:top w:val="none" w:sz="0" w:space="0" w:color="auto"/>
        <w:left w:val="none" w:sz="0" w:space="0" w:color="auto"/>
        <w:bottom w:val="none" w:sz="0" w:space="0" w:color="auto"/>
        <w:right w:val="none" w:sz="0" w:space="0" w:color="auto"/>
      </w:divBdr>
    </w:div>
    <w:div w:id="2107075762">
      <w:bodyDiv w:val="1"/>
      <w:marLeft w:val="0"/>
      <w:marRight w:val="0"/>
      <w:marTop w:val="0"/>
      <w:marBottom w:val="0"/>
      <w:divBdr>
        <w:top w:val="none" w:sz="0" w:space="0" w:color="auto"/>
        <w:left w:val="none" w:sz="0" w:space="0" w:color="auto"/>
        <w:bottom w:val="none" w:sz="0" w:space="0" w:color="auto"/>
        <w:right w:val="none" w:sz="0" w:space="0" w:color="auto"/>
      </w:divBdr>
    </w:div>
    <w:div w:id="2107270007">
      <w:bodyDiv w:val="1"/>
      <w:marLeft w:val="0"/>
      <w:marRight w:val="0"/>
      <w:marTop w:val="0"/>
      <w:marBottom w:val="0"/>
      <w:divBdr>
        <w:top w:val="none" w:sz="0" w:space="0" w:color="auto"/>
        <w:left w:val="none" w:sz="0" w:space="0" w:color="auto"/>
        <w:bottom w:val="none" w:sz="0" w:space="0" w:color="auto"/>
        <w:right w:val="none" w:sz="0" w:space="0" w:color="auto"/>
      </w:divBdr>
    </w:div>
    <w:div w:id="2107461054">
      <w:bodyDiv w:val="1"/>
      <w:marLeft w:val="0"/>
      <w:marRight w:val="0"/>
      <w:marTop w:val="0"/>
      <w:marBottom w:val="0"/>
      <w:divBdr>
        <w:top w:val="none" w:sz="0" w:space="0" w:color="auto"/>
        <w:left w:val="none" w:sz="0" w:space="0" w:color="auto"/>
        <w:bottom w:val="none" w:sz="0" w:space="0" w:color="auto"/>
        <w:right w:val="none" w:sz="0" w:space="0" w:color="auto"/>
      </w:divBdr>
    </w:div>
    <w:div w:id="2107655015">
      <w:bodyDiv w:val="1"/>
      <w:marLeft w:val="0"/>
      <w:marRight w:val="0"/>
      <w:marTop w:val="0"/>
      <w:marBottom w:val="0"/>
      <w:divBdr>
        <w:top w:val="none" w:sz="0" w:space="0" w:color="auto"/>
        <w:left w:val="none" w:sz="0" w:space="0" w:color="auto"/>
        <w:bottom w:val="none" w:sz="0" w:space="0" w:color="auto"/>
        <w:right w:val="none" w:sz="0" w:space="0" w:color="auto"/>
      </w:divBdr>
    </w:div>
    <w:div w:id="2107992601">
      <w:bodyDiv w:val="1"/>
      <w:marLeft w:val="0"/>
      <w:marRight w:val="0"/>
      <w:marTop w:val="0"/>
      <w:marBottom w:val="0"/>
      <w:divBdr>
        <w:top w:val="none" w:sz="0" w:space="0" w:color="auto"/>
        <w:left w:val="none" w:sz="0" w:space="0" w:color="auto"/>
        <w:bottom w:val="none" w:sz="0" w:space="0" w:color="auto"/>
        <w:right w:val="none" w:sz="0" w:space="0" w:color="auto"/>
      </w:divBdr>
    </w:div>
    <w:div w:id="2108385925">
      <w:bodyDiv w:val="1"/>
      <w:marLeft w:val="0"/>
      <w:marRight w:val="0"/>
      <w:marTop w:val="0"/>
      <w:marBottom w:val="0"/>
      <w:divBdr>
        <w:top w:val="none" w:sz="0" w:space="0" w:color="auto"/>
        <w:left w:val="none" w:sz="0" w:space="0" w:color="auto"/>
        <w:bottom w:val="none" w:sz="0" w:space="0" w:color="auto"/>
        <w:right w:val="none" w:sz="0" w:space="0" w:color="auto"/>
      </w:divBdr>
    </w:div>
    <w:div w:id="2109737421">
      <w:bodyDiv w:val="1"/>
      <w:marLeft w:val="0"/>
      <w:marRight w:val="0"/>
      <w:marTop w:val="0"/>
      <w:marBottom w:val="0"/>
      <w:divBdr>
        <w:top w:val="none" w:sz="0" w:space="0" w:color="auto"/>
        <w:left w:val="none" w:sz="0" w:space="0" w:color="auto"/>
        <w:bottom w:val="none" w:sz="0" w:space="0" w:color="auto"/>
        <w:right w:val="none" w:sz="0" w:space="0" w:color="auto"/>
      </w:divBdr>
    </w:div>
    <w:div w:id="2109961973">
      <w:bodyDiv w:val="1"/>
      <w:marLeft w:val="0"/>
      <w:marRight w:val="0"/>
      <w:marTop w:val="0"/>
      <w:marBottom w:val="0"/>
      <w:divBdr>
        <w:top w:val="none" w:sz="0" w:space="0" w:color="auto"/>
        <w:left w:val="none" w:sz="0" w:space="0" w:color="auto"/>
        <w:bottom w:val="none" w:sz="0" w:space="0" w:color="auto"/>
        <w:right w:val="none" w:sz="0" w:space="0" w:color="auto"/>
      </w:divBdr>
    </w:div>
    <w:div w:id="2110075653">
      <w:bodyDiv w:val="1"/>
      <w:marLeft w:val="0"/>
      <w:marRight w:val="0"/>
      <w:marTop w:val="0"/>
      <w:marBottom w:val="0"/>
      <w:divBdr>
        <w:top w:val="none" w:sz="0" w:space="0" w:color="auto"/>
        <w:left w:val="none" w:sz="0" w:space="0" w:color="auto"/>
        <w:bottom w:val="none" w:sz="0" w:space="0" w:color="auto"/>
        <w:right w:val="none" w:sz="0" w:space="0" w:color="auto"/>
      </w:divBdr>
    </w:div>
    <w:div w:id="2110158310">
      <w:bodyDiv w:val="1"/>
      <w:marLeft w:val="0"/>
      <w:marRight w:val="0"/>
      <w:marTop w:val="0"/>
      <w:marBottom w:val="0"/>
      <w:divBdr>
        <w:top w:val="none" w:sz="0" w:space="0" w:color="auto"/>
        <w:left w:val="none" w:sz="0" w:space="0" w:color="auto"/>
        <w:bottom w:val="none" w:sz="0" w:space="0" w:color="auto"/>
        <w:right w:val="none" w:sz="0" w:space="0" w:color="auto"/>
      </w:divBdr>
    </w:div>
    <w:div w:id="2110193690">
      <w:bodyDiv w:val="1"/>
      <w:marLeft w:val="0"/>
      <w:marRight w:val="0"/>
      <w:marTop w:val="0"/>
      <w:marBottom w:val="0"/>
      <w:divBdr>
        <w:top w:val="none" w:sz="0" w:space="0" w:color="auto"/>
        <w:left w:val="none" w:sz="0" w:space="0" w:color="auto"/>
        <w:bottom w:val="none" w:sz="0" w:space="0" w:color="auto"/>
        <w:right w:val="none" w:sz="0" w:space="0" w:color="auto"/>
      </w:divBdr>
    </w:div>
    <w:div w:id="2110464658">
      <w:bodyDiv w:val="1"/>
      <w:marLeft w:val="0"/>
      <w:marRight w:val="0"/>
      <w:marTop w:val="0"/>
      <w:marBottom w:val="0"/>
      <w:divBdr>
        <w:top w:val="none" w:sz="0" w:space="0" w:color="auto"/>
        <w:left w:val="none" w:sz="0" w:space="0" w:color="auto"/>
        <w:bottom w:val="none" w:sz="0" w:space="0" w:color="auto"/>
        <w:right w:val="none" w:sz="0" w:space="0" w:color="auto"/>
      </w:divBdr>
    </w:div>
    <w:div w:id="2110618516">
      <w:bodyDiv w:val="1"/>
      <w:marLeft w:val="0"/>
      <w:marRight w:val="0"/>
      <w:marTop w:val="0"/>
      <w:marBottom w:val="0"/>
      <w:divBdr>
        <w:top w:val="none" w:sz="0" w:space="0" w:color="auto"/>
        <w:left w:val="none" w:sz="0" w:space="0" w:color="auto"/>
        <w:bottom w:val="none" w:sz="0" w:space="0" w:color="auto"/>
        <w:right w:val="none" w:sz="0" w:space="0" w:color="auto"/>
      </w:divBdr>
    </w:div>
    <w:div w:id="2111587627">
      <w:bodyDiv w:val="1"/>
      <w:marLeft w:val="0"/>
      <w:marRight w:val="0"/>
      <w:marTop w:val="0"/>
      <w:marBottom w:val="0"/>
      <w:divBdr>
        <w:top w:val="none" w:sz="0" w:space="0" w:color="auto"/>
        <w:left w:val="none" w:sz="0" w:space="0" w:color="auto"/>
        <w:bottom w:val="none" w:sz="0" w:space="0" w:color="auto"/>
        <w:right w:val="none" w:sz="0" w:space="0" w:color="auto"/>
      </w:divBdr>
    </w:div>
    <w:div w:id="2111655682">
      <w:bodyDiv w:val="1"/>
      <w:marLeft w:val="0"/>
      <w:marRight w:val="0"/>
      <w:marTop w:val="0"/>
      <w:marBottom w:val="0"/>
      <w:divBdr>
        <w:top w:val="none" w:sz="0" w:space="0" w:color="auto"/>
        <w:left w:val="none" w:sz="0" w:space="0" w:color="auto"/>
        <w:bottom w:val="none" w:sz="0" w:space="0" w:color="auto"/>
        <w:right w:val="none" w:sz="0" w:space="0" w:color="auto"/>
      </w:divBdr>
    </w:div>
    <w:div w:id="2111656082">
      <w:bodyDiv w:val="1"/>
      <w:marLeft w:val="0"/>
      <w:marRight w:val="0"/>
      <w:marTop w:val="0"/>
      <w:marBottom w:val="0"/>
      <w:divBdr>
        <w:top w:val="none" w:sz="0" w:space="0" w:color="auto"/>
        <w:left w:val="none" w:sz="0" w:space="0" w:color="auto"/>
        <w:bottom w:val="none" w:sz="0" w:space="0" w:color="auto"/>
        <w:right w:val="none" w:sz="0" w:space="0" w:color="auto"/>
      </w:divBdr>
    </w:div>
    <w:div w:id="2111702464">
      <w:bodyDiv w:val="1"/>
      <w:marLeft w:val="0"/>
      <w:marRight w:val="0"/>
      <w:marTop w:val="0"/>
      <w:marBottom w:val="0"/>
      <w:divBdr>
        <w:top w:val="none" w:sz="0" w:space="0" w:color="auto"/>
        <w:left w:val="none" w:sz="0" w:space="0" w:color="auto"/>
        <w:bottom w:val="none" w:sz="0" w:space="0" w:color="auto"/>
        <w:right w:val="none" w:sz="0" w:space="0" w:color="auto"/>
      </w:divBdr>
    </w:div>
    <w:div w:id="2111898682">
      <w:bodyDiv w:val="1"/>
      <w:marLeft w:val="0"/>
      <w:marRight w:val="0"/>
      <w:marTop w:val="0"/>
      <w:marBottom w:val="0"/>
      <w:divBdr>
        <w:top w:val="none" w:sz="0" w:space="0" w:color="auto"/>
        <w:left w:val="none" w:sz="0" w:space="0" w:color="auto"/>
        <w:bottom w:val="none" w:sz="0" w:space="0" w:color="auto"/>
        <w:right w:val="none" w:sz="0" w:space="0" w:color="auto"/>
      </w:divBdr>
    </w:div>
    <w:div w:id="2112357262">
      <w:bodyDiv w:val="1"/>
      <w:marLeft w:val="0"/>
      <w:marRight w:val="0"/>
      <w:marTop w:val="0"/>
      <w:marBottom w:val="0"/>
      <w:divBdr>
        <w:top w:val="none" w:sz="0" w:space="0" w:color="auto"/>
        <w:left w:val="none" w:sz="0" w:space="0" w:color="auto"/>
        <w:bottom w:val="none" w:sz="0" w:space="0" w:color="auto"/>
        <w:right w:val="none" w:sz="0" w:space="0" w:color="auto"/>
      </w:divBdr>
    </w:div>
    <w:div w:id="2112357426">
      <w:bodyDiv w:val="1"/>
      <w:marLeft w:val="0"/>
      <w:marRight w:val="0"/>
      <w:marTop w:val="0"/>
      <w:marBottom w:val="0"/>
      <w:divBdr>
        <w:top w:val="none" w:sz="0" w:space="0" w:color="auto"/>
        <w:left w:val="none" w:sz="0" w:space="0" w:color="auto"/>
        <w:bottom w:val="none" w:sz="0" w:space="0" w:color="auto"/>
        <w:right w:val="none" w:sz="0" w:space="0" w:color="auto"/>
      </w:divBdr>
    </w:div>
    <w:div w:id="2112360409">
      <w:bodyDiv w:val="1"/>
      <w:marLeft w:val="0"/>
      <w:marRight w:val="0"/>
      <w:marTop w:val="0"/>
      <w:marBottom w:val="0"/>
      <w:divBdr>
        <w:top w:val="none" w:sz="0" w:space="0" w:color="auto"/>
        <w:left w:val="none" w:sz="0" w:space="0" w:color="auto"/>
        <w:bottom w:val="none" w:sz="0" w:space="0" w:color="auto"/>
        <w:right w:val="none" w:sz="0" w:space="0" w:color="auto"/>
      </w:divBdr>
    </w:div>
    <w:div w:id="2112581895">
      <w:bodyDiv w:val="1"/>
      <w:marLeft w:val="0"/>
      <w:marRight w:val="0"/>
      <w:marTop w:val="0"/>
      <w:marBottom w:val="0"/>
      <w:divBdr>
        <w:top w:val="none" w:sz="0" w:space="0" w:color="auto"/>
        <w:left w:val="none" w:sz="0" w:space="0" w:color="auto"/>
        <w:bottom w:val="none" w:sz="0" w:space="0" w:color="auto"/>
        <w:right w:val="none" w:sz="0" w:space="0" w:color="auto"/>
      </w:divBdr>
    </w:div>
    <w:div w:id="2112629253">
      <w:bodyDiv w:val="1"/>
      <w:marLeft w:val="0"/>
      <w:marRight w:val="0"/>
      <w:marTop w:val="0"/>
      <w:marBottom w:val="0"/>
      <w:divBdr>
        <w:top w:val="none" w:sz="0" w:space="0" w:color="auto"/>
        <w:left w:val="none" w:sz="0" w:space="0" w:color="auto"/>
        <w:bottom w:val="none" w:sz="0" w:space="0" w:color="auto"/>
        <w:right w:val="none" w:sz="0" w:space="0" w:color="auto"/>
      </w:divBdr>
    </w:div>
    <w:div w:id="2112699546">
      <w:bodyDiv w:val="1"/>
      <w:marLeft w:val="0"/>
      <w:marRight w:val="0"/>
      <w:marTop w:val="0"/>
      <w:marBottom w:val="0"/>
      <w:divBdr>
        <w:top w:val="none" w:sz="0" w:space="0" w:color="auto"/>
        <w:left w:val="none" w:sz="0" w:space="0" w:color="auto"/>
        <w:bottom w:val="none" w:sz="0" w:space="0" w:color="auto"/>
        <w:right w:val="none" w:sz="0" w:space="0" w:color="auto"/>
      </w:divBdr>
    </w:div>
    <w:div w:id="2112777511">
      <w:bodyDiv w:val="1"/>
      <w:marLeft w:val="0"/>
      <w:marRight w:val="0"/>
      <w:marTop w:val="0"/>
      <w:marBottom w:val="0"/>
      <w:divBdr>
        <w:top w:val="none" w:sz="0" w:space="0" w:color="auto"/>
        <w:left w:val="none" w:sz="0" w:space="0" w:color="auto"/>
        <w:bottom w:val="none" w:sz="0" w:space="0" w:color="auto"/>
        <w:right w:val="none" w:sz="0" w:space="0" w:color="auto"/>
      </w:divBdr>
    </w:div>
    <w:div w:id="2113356919">
      <w:bodyDiv w:val="1"/>
      <w:marLeft w:val="0"/>
      <w:marRight w:val="0"/>
      <w:marTop w:val="0"/>
      <w:marBottom w:val="0"/>
      <w:divBdr>
        <w:top w:val="none" w:sz="0" w:space="0" w:color="auto"/>
        <w:left w:val="none" w:sz="0" w:space="0" w:color="auto"/>
        <w:bottom w:val="none" w:sz="0" w:space="0" w:color="auto"/>
        <w:right w:val="none" w:sz="0" w:space="0" w:color="auto"/>
      </w:divBdr>
    </w:div>
    <w:div w:id="2113434305">
      <w:bodyDiv w:val="1"/>
      <w:marLeft w:val="0"/>
      <w:marRight w:val="0"/>
      <w:marTop w:val="0"/>
      <w:marBottom w:val="0"/>
      <w:divBdr>
        <w:top w:val="none" w:sz="0" w:space="0" w:color="auto"/>
        <w:left w:val="none" w:sz="0" w:space="0" w:color="auto"/>
        <w:bottom w:val="none" w:sz="0" w:space="0" w:color="auto"/>
        <w:right w:val="none" w:sz="0" w:space="0" w:color="auto"/>
      </w:divBdr>
    </w:div>
    <w:div w:id="2113696661">
      <w:bodyDiv w:val="1"/>
      <w:marLeft w:val="0"/>
      <w:marRight w:val="0"/>
      <w:marTop w:val="0"/>
      <w:marBottom w:val="0"/>
      <w:divBdr>
        <w:top w:val="none" w:sz="0" w:space="0" w:color="auto"/>
        <w:left w:val="none" w:sz="0" w:space="0" w:color="auto"/>
        <w:bottom w:val="none" w:sz="0" w:space="0" w:color="auto"/>
        <w:right w:val="none" w:sz="0" w:space="0" w:color="auto"/>
      </w:divBdr>
    </w:div>
    <w:div w:id="2114082788">
      <w:bodyDiv w:val="1"/>
      <w:marLeft w:val="0"/>
      <w:marRight w:val="0"/>
      <w:marTop w:val="0"/>
      <w:marBottom w:val="0"/>
      <w:divBdr>
        <w:top w:val="none" w:sz="0" w:space="0" w:color="auto"/>
        <w:left w:val="none" w:sz="0" w:space="0" w:color="auto"/>
        <w:bottom w:val="none" w:sz="0" w:space="0" w:color="auto"/>
        <w:right w:val="none" w:sz="0" w:space="0" w:color="auto"/>
      </w:divBdr>
    </w:div>
    <w:div w:id="2114083296">
      <w:bodyDiv w:val="1"/>
      <w:marLeft w:val="0"/>
      <w:marRight w:val="0"/>
      <w:marTop w:val="0"/>
      <w:marBottom w:val="0"/>
      <w:divBdr>
        <w:top w:val="none" w:sz="0" w:space="0" w:color="auto"/>
        <w:left w:val="none" w:sz="0" w:space="0" w:color="auto"/>
        <w:bottom w:val="none" w:sz="0" w:space="0" w:color="auto"/>
        <w:right w:val="none" w:sz="0" w:space="0" w:color="auto"/>
      </w:divBdr>
    </w:div>
    <w:div w:id="2114938099">
      <w:bodyDiv w:val="1"/>
      <w:marLeft w:val="0"/>
      <w:marRight w:val="0"/>
      <w:marTop w:val="0"/>
      <w:marBottom w:val="0"/>
      <w:divBdr>
        <w:top w:val="none" w:sz="0" w:space="0" w:color="auto"/>
        <w:left w:val="none" w:sz="0" w:space="0" w:color="auto"/>
        <w:bottom w:val="none" w:sz="0" w:space="0" w:color="auto"/>
        <w:right w:val="none" w:sz="0" w:space="0" w:color="auto"/>
      </w:divBdr>
    </w:div>
    <w:div w:id="2115902053">
      <w:bodyDiv w:val="1"/>
      <w:marLeft w:val="0"/>
      <w:marRight w:val="0"/>
      <w:marTop w:val="0"/>
      <w:marBottom w:val="0"/>
      <w:divBdr>
        <w:top w:val="none" w:sz="0" w:space="0" w:color="auto"/>
        <w:left w:val="none" w:sz="0" w:space="0" w:color="auto"/>
        <w:bottom w:val="none" w:sz="0" w:space="0" w:color="auto"/>
        <w:right w:val="none" w:sz="0" w:space="0" w:color="auto"/>
      </w:divBdr>
    </w:div>
    <w:div w:id="2115903385">
      <w:bodyDiv w:val="1"/>
      <w:marLeft w:val="0"/>
      <w:marRight w:val="0"/>
      <w:marTop w:val="0"/>
      <w:marBottom w:val="0"/>
      <w:divBdr>
        <w:top w:val="none" w:sz="0" w:space="0" w:color="auto"/>
        <w:left w:val="none" w:sz="0" w:space="0" w:color="auto"/>
        <w:bottom w:val="none" w:sz="0" w:space="0" w:color="auto"/>
        <w:right w:val="none" w:sz="0" w:space="0" w:color="auto"/>
      </w:divBdr>
    </w:div>
    <w:div w:id="2116513217">
      <w:bodyDiv w:val="1"/>
      <w:marLeft w:val="0"/>
      <w:marRight w:val="0"/>
      <w:marTop w:val="0"/>
      <w:marBottom w:val="0"/>
      <w:divBdr>
        <w:top w:val="none" w:sz="0" w:space="0" w:color="auto"/>
        <w:left w:val="none" w:sz="0" w:space="0" w:color="auto"/>
        <w:bottom w:val="none" w:sz="0" w:space="0" w:color="auto"/>
        <w:right w:val="none" w:sz="0" w:space="0" w:color="auto"/>
      </w:divBdr>
    </w:div>
    <w:div w:id="2116749291">
      <w:bodyDiv w:val="1"/>
      <w:marLeft w:val="0"/>
      <w:marRight w:val="0"/>
      <w:marTop w:val="0"/>
      <w:marBottom w:val="0"/>
      <w:divBdr>
        <w:top w:val="none" w:sz="0" w:space="0" w:color="auto"/>
        <w:left w:val="none" w:sz="0" w:space="0" w:color="auto"/>
        <w:bottom w:val="none" w:sz="0" w:space="0" w:color="auto"/>
        <w:right w:val="none" w:sz="0" w:space="0" w:color="auto"/>
      </w:divBdr>
    </w:div>
    <w:div w:id="2116897753">
      <w:bodyDiv w:val="1"/>
      <w:marLeft w:val="0"/>
      <w:marRight w:val="0"/>
      <w:marTop w:val="0"/>
      <w:marBottom w:val="0"/>
      <w:divBdr>
        <w:top w:val="none" w:sz="0" w:space="0" w:color="auto"/>
        <w:left w:val="none" w:sz="0" w:space="0" w:color="auto"/>
        <w:bottom w:val="none" w:sz="0" w:space="0" w:color="auto"/>
        <w:right w:val="none" w:sz="0" w:space="0" w:color="auto"/>
      </w:divBdr>
    </w:div>
    <w:div w:id="2116902524">
      <w:bodyDiv w:val="1"/>
      <w:marLeft w:val="0"/>
      <w:marRight w:val="0"/>
      <w:marTop w:val="0"/>
      <w:marBottom w:val="0"/>
      <w:divBdr>
        <w:top w:val="none" w:sz="0" w:space="0" w:color="auto"/>
        <w:left w:val="none" w:sz="0" w:space="0" w:color="auto"/>
        <w:bottom w:val="none" w:sz="0" w:space="0" w:color="auto"/>
        <w:right w:val="none" w:sz="0" w:space="0" w:color="auto"/>
      </w:divBdr>
    </w:div>
    <w:div w:id="2117014785">
      <w:bodyDiv w:val="1"/>
      <w:marLeft w:val="0"/>
      <w:marRight w:val="0"/>
      <w:marTop w:val="0"/>
      <w:marBottom w:val="0"/>
      <w:divBdr>
        <w:top w:val="none" w:sz="0" w:space="0" w:color="auto"/>
        <w:left w:val="none" w:sz="0" w:space="0" w:color="auto"/>
        <w:bottom w:val="none" w:sz="0" w:space="0" w:color="auto"/>
        <w:right w:val="none" w:sz="0" w:space="0" w:color="auto"/>
      </w:divBdr>
    </w:div>
    <w:div w:id="2117214136">
      <w:bodyDiv w:val="1"/>
      <w:marLeft w:val="0"/>
      <w:marRight w:val="0"/>
      <w:marTop w:val="0"/>
      <w:marBottom w:val="0"/>
      <w:divBdr>
        <w:top w:val="none" w:sz="0" w:space="0" w:color="auto"/>
        <w:left w:val="none" w:sz="0" w:space="0" w:color="auto"/>
        <w:bottom w:val="none" w:sz="0" w:space="0" w:color="auto"/>
        <w:right w:val="none" w:sz="0" w:space="0" w:color="auto"/>
      </w:divBdr>
    </w:div>
    <w:div w:id="2117288628">
      <w:bodyDiv w:val="1"/>
      <w:marLeft w:val="0"/>
      <w:marRight w:val="0"/>
      <w:marTop w:val="0"/>
      <w:marBottom w:val="0"/>
      <w:divBdr>
        <w:top w:val="none" w:sz="0" w:space="0" w:color="auto"/>
        <w:left w:val="none" w:sz="0" w:space="0" w:color="auto"/>
        <w:bottom w:val="none" w:sz="0" w:space="0" w:color="auto"/>
        <w:right w:val="none" w:sz="0" w:space="0" w:color="auto"/>
      </w:divBdr>
    </w:div>
    <w:div w:id="2117404302">
      <w:bodyDiv w:val="1"/>
      <w:marLeft w:val="0"/>
      <w:marRight w:val="0"/>
      <w:marTop w:val="0"/>
      <w:marBottom w:val="0"/>
      <w:divBdr>
        <w:top w:val="none" w:sz="0" w:space="0" w:color="auto"/>
        <w:left w:val="none" w:sz="0" w:space="0" w:color="auto"/>
        <w:bottom w:val="none" w:sz="0" w:space="0" w:color="auto"/>
        <w:right w:val="none" w:sz="0" w:space="0" w:color="auto"/>
      </w:divBdr>
    </w:div>
    <w:div w:id="2117599989">
      <w:bodyDiv w:val="1"/>
      <w:marLeft w:val="0"/>
      <w:marRight w:val="0"/>
      <w:marTop w:val="0"/>
      <w:marBottom w:val="0"/>
      <w:divBdr>
        <w:top w:val="none" w:sz="0" w:space="0" w:color="auto"/>
        <w:left w:val="none" w:sz="0" w:space="0" w:color="auto"/>
        <w:bottom w:val="none" w:sz="0" w:space="0" w:color="auto"/>
        <w:right w:val="none" w:sz="0" w:space="0" w:color="auto"/>
      </w:divBdr>
    </w:div>
    <w:div w:id="2117946844">
      <w:bodyDiv w:val="1"/>
      <w:marLeft w:val="0"/>
      <w:marRight w:val="0"/>
      <w:marTop w:val="0"/>
      <w:marBottom w:val="0"/>
      <w:divBdr>
        <w:top w:val="none" w:sz="0" w:space="0" w:color="auto"/>
        <w:left w:val="none" w:sz="0" w:space="0" w:color="auto"/>
        <w:bottom w:val="none" w:sz="0" w:space="0" w:color="auto"/>
        <w:right w:val="none" w:sz="0" w:space="0" w:color="auto"/>
      </w:divBdr>
    </w:div>
    <w:div w:id="2118209694">
      <w:bodyDiv w:val="1"/>
      <w:marLeft w:val="0"/>
      <w:marRight w:val="0"/>
      <w:marTop w:val="0"/>
      <w:marBottom w:val="0"/>
      <w:divBdr>
        <w:top w:val="none" w:sz="0" w:space="0" w:color="auto"/>
        <w:left w:val="none" w:sz="0" w:space="0" w:color="auto"/>
        <w:bottom w:val="none" w:sz="0" w:space="0" w:color="auto"/>
        <w:right w:val="none" w:sz="0" w:space="0" w:color="auto"/>
      </w:divBdr>
    </w:div>
    <w:div w:id="2118256917">
      <w:bodyDiv w:val="1"/>
      <w:marLeft w:val="0"/>
      <w:marRight w:val="0"/>
      <w:marTop w:val="0"/>
      <w:marBottom w:val="0"/>
      <w:divBdr>
        <w:top w:val="none" w:sz="0" w:space="0" w:color="auto"/>
        <w:left w:val="none" w:sz="0" w:space="0" w:color="auto"/>
        <w:bottom w:val="none" w:sz="0" w:space="0" w:color="auto"/>
        <w:right w:val="none" w:sz="0" w:space="0" w:color="auto"/>
      </w:divBdr>
    </w:div>
    <w:div w:id="2119056125">
      <w:bodyDiv w:val="1"/>
      <w:marLeft w:val="0"/>
      <w:marRight w:val="0"/>
      <w:marTop w:val="0"/>
      <w:marBottom w:val="0"/>
      <w:divBdr>
        <w:top w:val="none" w:sz="0" w:space="0" w:color="auto"/>
        <w:left w:val="none" w:sz="0" w:space="0" w:color="auto"/>
        <w:bottom w:val="none" w:sz="0" w:space="0" w:color="auto"/>
        <w:right w:val="none" w:sz="0" w:space="0" w:color="auto"/>
      </w:divBdr>
    </w:div>
    <w:div w:id="2119333411">
      <w:bodyDiv w:val="1"/>
      <w:marLeft w:val="0"/>
      <w:marRight w:val="0"/>
      <w:marTop w:val="0"/>
      <w:marBottom w:val="0"/>
      <w:divBdr>
        <w:top w:val="none" w:sz="0" w:space="0" w:color="auto"/>
        <w:left w:val="none" w:sz="0" w:space="0" w:color="auto"/>
        <w:bottom w:val="none" w:sz="0" w:space="0" w:color="auto"/>
        <w:right w:val="none" w:sz="0" w:space="0" w:color="auto"/>
      </w:divBdr>
    </w:div>
    <w:div w:id="2119524840">
      <w:bodyDiv w:val="1"/>
      <w:marLeft w:val="0"/>
      <w:marRight w:val="0"/>
      <w:marTop w:val="0"/>
      <w:marBottom w:val="0"/>
      <w:divBdr>
        <w:top w:val="none" w:sz="0" w:space="0" w:color="auto"/>
        <w:left w:val="none" w:sz="0" w:space="0" w:color="auto"/>
        <w:bottom w:val="none" w:sz="0" w:space="0" w:color="auto"/>
        <w:right w:val="none" w:sz="0" w:space="0" w:color="auto"/>
      </w:divBdr>
    </w:div>
    <w:div w:id="2119906588">
      <w:bodyDiv w:val="1"/>
      <w:marLeft w:val="0"/>
      <w:marRight w:val="0"/>
      <w:marTop w:val="0"/>
      <w:marBottom w:val="0"/>
      <w:divBdr>
        <w:top w:val="none" w:sz="0" w:space="0" w:color="auto"/>
        <w:left w:val="none" w:sz="0" w:space="0" w:color="auto"/>
        <w:bottom w:val="none" w:sz="0" w:space="0" w:color="auto"/>
        <w:right w:val="none" w:sz="0" w:space="0" w:color="auto"/>
      </w:divBdr>
    </w:div>
    <w:div w:id="2120181528">
      <w:bodyDiv w:val="1"/>
      <w:marLeft w:val="0"/>
      <w:marRight w:val="0"/>
      <w:marTop w:val="0"/>
      <w:marBottom w:val="0"/>
      <w:divBdr>
        <w:top w:val="none" w:sz="0" w:space="0" w:color="auto"/>
        <w:left w:val="none" w:sz="0" w:space="0" w:color="auto"/>
        <w:bottom w:val="none" w:sz="0" w:space="0" w:color="auto"/>
        <w:right w:val="none" w:sz="0" w:space="0" w:color="auto"/>
      </w:divBdr>
    </w:div>
    <w:div w:id="2120486698">
      <w:bodyDiv w:val="1"/>
      <w:marLeft w:val="0"/>
      <w:marRight w:val="0"/>
      <w:marTop w:val="0"/>
      <w:marBottom w:val="0"/>
      <w:divBdr>
        <w:top w:val="none" w:sz="0" w:space="0" w:color="auto"/>
        <w:left w:val="none" w:sz="0" w:space="0" w:color="auto"/>
        <w:bottom w:val="none" w:sz="0" w:space="0" w:color="auto"/>
        <w:right w:val="none" w:sz="0" w:space="0" w:color="auto"/>
      </w:divBdr>
    </w:div>
    <w:div w:id="2120946184">
      <w:bodyDiv w:val="1"/>
      <w:marLeft w:val="0"/>
      <w:marRight w:val="0"/>
      <w:marTop w:val="0"/>
      <w:marBottom w:val="0"/>
      <w:divBdr>
        <w:top w:val="none" w:sz="0" w:space="0" w:color="auto"/>
        <w:left w:val="none" w:sz="0" w:space="0" w:color="auto"/>
        <w:bottom w:val="none" w:sz="0" w:space="0" w:color="auto"/>
        <w:right w:val="none" w:sz="0" w:space="0" w:color="auto"/>
      </w:divBdr>
    </w:div>
    <w:div w:id="2121023159">
      <w:bodyDiv w:val="1"/>
      <w:marLeft w:val="0"/>
      <w:marRight w:val="0"/>
      <w:marTop w:val="0"/>
      <w:marBottom w:val="0"/>
      <w:divBdr>
        <w:top w:val="none" w:sz="0" w:space="0" w:color="auto"/>
        <w:left w:val="none" w:sz="0" w:space="0" w:color="auto"/>
        <w:bottom w:val="none" w:sz="0" w:space="0" w:color="auto"/>
        <w:right w:val="none" w:sz="0" w:space="0" w:color="auto"/>
      </w:divBdr>
    </w:div>
    <w:div w:id="2121024325">
      <w:bodyDiv w:val="1"/>
      <w:marLeft w:val="0"/>
      <w:marRight w:val="0"/>
      <w:marTop w:val="0"/>
      <w:marBottom w:val="0"/>
      <w:divBdr>
        <w:top w:val="none" w:sz="0" w:space="0" w:color="auto"/>
        <w:left w:val="none" w:sz="0" w:space="0" w:color="auto"/>
        <w:bottom w:val="none" w:sz="0" w:space="0" w:color="auto"/>
        <w:right w:val="none" w:sz="0" w:space="0" w:color="auto"/>
      </w:divBdr>
    </w:div>
    <w:div w:id="2121873520">
      <w:bodyDiv w:val="1"/>
      <w:marLeft w:val="0"/>
      <w:marRight w:val="0"/>
      <w:marTop w:val="0"/>
      <w:marBottom w:val="0"/>
      <w:divBdr>
        <w:top w:val="none" w:sz="0" w:space="0" w:color="auto"/>
        <w:left w:val="none" w:sz="0" w:space="0" w:color="auto"/>
        <w:bottom w:val="none" w:sz="0" w:space="0" w:color="auto"/>
        <w:right w:val="none" w:sz="0" w:space="0" w:color="auto"/>
      </w:divBdr>
    </w:div>
    <w:div w:id="2121991443">
      <w:bodyDiv w:val="1"/>
      <w:marLeft w:val="0"/>
      <w:marRight w:val="0"/>
      <w:marTop w:val="0"/>
      <w:marBottom w:val="0"/>
      <w:divBdr>
        <w:top w:val="none" w:sz="0" w:space="0" w:color="auto"/>
        <w:left w:val="none" w:sz="0" w:space="0" w:color="auto"/>
        <w:bottom w:val="none" w:sz="0" w:space="0" w:color="auto"/>
        <w:right w:val="none" w:sz="0" w:space="0" w:color="auto"/>
      </w:divBdr>
    </w:div>
    <w:div w:id="2122139965">
      <w:bodyDiv w:val="1"/>
      <w:marLeft w:val="0"/>
      <w:marRight w:val="0"/>
      <w:marTop w:val="0"/>
      <w:marBottom w:val="0"/>
      <w:divBdr>
        <w:top w:val="none" w:sz="0" w:space="0" w:color="auto"/>
        <w:left w:val="none" w:sz="0" w:space="0" w:color="auto"/>
        <w:bottom w:val="none" w:sz="0" w:space="0" w:color="auto"/>
        <w:right w:val="none" w:sz="0" w:space="0" w:color="auto"/>
      </w:divBdr>
    </w:div>
    <w:div w:id="2122989084">
      <w:bodyDiv w:val="1"/>
      <w:marLeft w:val="0"/>
      <w:marRight w:val="0"/>
      <w:marTop w:val="0"/>
      <w:marBottom w:val="0"/>
      <w:divBdr>
        <w:top w:val="none" w:sz="0" w:space="0" w:color="auto"/>
        <w:left w:val="none" w:sz="0" w:space="0" w:color="auto"/>
        <w:bottom w:val="none" w:sz="0" w:space="0" w:color="auto"/>
        <w:right w:val="none" w:sz="0" w:space="0" w:color="auto"/>
      </w:divBdr>
    </w:div>
    <w:div w:id="2123181764">
      <w:bodyDiv w:val="1"/>
      <w:marLeft w:val="0"/>
      <w:marRight w:val="0"/>
      <w:marTop w:val="0"/>
      <w:marBottom w:val="0"/>
      <w:divBdr>
        <w:top w:val="none" w:sz="0" w:space="0" w:color="auto"/>
        <w:left w:val="none" w:sz="0" w:space="0" w:color="auto"/>
        <w:bottom w:val="none" w:sz="0" w:space="0" w:color="auto"/>
        <w:right w:val="none" w:sz="0" w:space="0" w:color="auto"/>
      </w:divBdr>
    </w:div>
    <w:div w:id="2123187122">
      <w:bodyDiv w:val="1"/>
      <w:marLeft w:val="0"/>
      <w:marRight w:val="0"/>
      <w:marTop w:val="0"/>
      <w:marBottom w:val="0"/>
      <w:divBdr>
        <w:top w:val="none" w:sz="0" w:space="0" w:color="auto"/>
        <w:left w:val="none" w:sz="0" w:space="0" w:color="auto"/>
        <w:bottom w:val="none" w:sz="0" w:space="0" w:color="auto"/>
        <w:right w:val="none" w:sz="0" w:space="0" w:color="auto"/>
      </w:divBdr>
    </w:div>
    <w:div w:id="2123527730">
      <w:bodyDiv w:val="1"/>
      <w:marLeft w:val="0"/>
      <w:marRight w:val="0"/>
      <w:marTop w:val="0"/>
      <w:marBottom w:val="0"/>
      <w:divBdr>
        <w:top w:val="none" w:sz="0" w:space="0" w:color="auto"/>
        <w:left w:val="none" w:sz="0" w:space="0" w:color="auto"/>
        <w:bottom w:val="none" w:sz="0" w:space="0" w:color="auto"/>
        <w:right w:val="none" w:sz="0" w:space="0" w:color="auto"/>
      </w:divBdr>
    </w:div>
    <w:div w:id="2123644605">
      <w:bodyDiv w:val="1"/>
      <w:marLeft w:val="0"/>
      <w:marRight w:val="0"/>
      <w:marTop w:val="0"/>
      <w:marBottom w:val="0"/>
      <w:divBdr>
        <w:top w:val="none" w:sz="0" w:space="0" w:color="auto"/>
        <w:left w:val="none" w:sz="0" w:space="0" w:color="auto"/>
        <w:bottom w:val="none" w:sz="0" w:space="0" w:color="auto"/>
        <w:right w:val="none" w:sz="0" w:space="0" w:color="auto"/>
      </w:divBdr>
    </w:div>
    <w:div w:id="2123724332">
      <w:bodyDiv w:val="1"/>
      <w:marLeft w:val="0"/>
      <w:marRight w:val="0"/>
      <w:marTop w:val="0"/>
      <w:marBottom w:val="0"/>
      <w:divBdr>
        <w:top w:val="none" w:sz="0" w:space="0" w:color="auto"/>
        <w:left w:val="none" w:sz="0" w:space="0" w:color="auto"/>
        <w:bottom w:val="none" w:sz="0" w:space="0" w:color="auto"/>
        <w:right w:val="none" w:sz="0" w:space="0" w:color="auto"/>
      </w:divBdr>
    </w:div>
    <w:div w:id="2123763882">
      <w:bodyDiv w:val="1"/>
      <w:marLeft w:val="0"/>
      <w:marRight w:val="0"/>
      <w:marTop w:val="0"/>
      <w:marBottom w:val="0"/>
      <w:divBdr>
        <w:top w:val="none" w:sz="0" w:space="0" w:color="auto"/>
        <w:left w:val="none" w:sz="0" w:space="0" w:color="auto"/>
        <w:bottom w:val="none" w:sz="0" w:space="0" w:color="auto"/>
        <w:right w:val="none" w:sz="0" w:space="0" w:color="auto"/>
      </w:divBdr>
    </w:div>
    <w:div w:id="2123837794">
      <w:bodyDiv w:val="1"/>
      <w:marLeft w:val="0"/>
      <w:marRight w:val="0"/>
      <w:marTop w:val="0"/>
      <w:marBottom w:val="0"/>
      <w:divBdr>
        <w:top w:val="none" w:sz="0" w:space="0" w:color="auto"/>
        <w:left w:val="none" w:sz="0" w:space="0" w:color="auto"/>
        <w:bottom w:val="none" w:sz="0" w:space="0" w:color="auto"/>
        <w:right w:val="none" w:sz="0" w:space="0" w:color="auto"/>
      </w:divBdr>
    </w:div>
    <w:div w:id="2123913862">
      <w:bodyDiv w:val="1"/>
      <w:marLeft w:val="0"/>
      <w:marRight w:val="0"/>
      <w:marTop w:val="0"/>
      <w:marBottom w:val="0"/>
      <w:divBdr>
        <w:top w:val="none" w:sz="0" w:space="0" w:color="auto"/>
        <w:left w:val="none" w:sz="0" w:space="0" w:color="auto"/>
        <w:bottom w:val="none" w:sz="0" w:space="0" w:color="auto"/>
        <w:right w:val="none" w:sz="0" w:space="0" w:color="auto"/>
      </w:divBdr>
    </w:div>
    <w:div w:id="2124222933">
      <w:bodyDiv w:val="1"/>
      <w:marLeft w:val="0"/>
      <w:marRight w:val="0"/>
      <w:marTop w:val="0"/>
      <w:marBottom w:val="0"/>
      <w:divBdr>
        <w:top w:val="none" w:sz="0" w:space="0" w:color="auto"/>
        <w:left w:val="none" w:sz="0" w:space="0" w:color="auto"/>
        <w:bottom w:val="none" w:sz="0" w:space="0" w:color="auto"/>
        <w:right w:val="none" w:sz="0" w:space="0" w:color="auto"/>
      </w:divBdr>
    </w:div>
    <w:div w:id="2124373216">
      <w:bodyDiv w:val="1"/>
      <w:marLeft w:val="0"/>
      <w:marRight w:val="0"/>
      <w:marTop w:val="0"/>
      <w:marBottom w:val="0"/>
      <w:divBdr>
        <w:top w:val="none" w:sz="0" w:space="0" w:color="auto"/>
        <w:left w:val="none" w:sz="0" w:space="0" w:color="auto"/>
        <w:bottom w:val="none" w:sz="0" w:space="0" w:color="auto"/>
        <w:right w:val="none" w:sz="0" w:space="0" w:color="auto"/>
      </w:divBdr>
    </w:div>
    <w:div w:id="2124685449">
      <w:bodyDiv w:val="1"/>
      <w:marLeft w:val="0"/>
      <w:marRight w:val="0"/>
      <w:marTop w:val="0"/>
      <w:marBottom w:val="0"/>
      <w:divBdr>
        <w:top w:val="none" w:sz="0" w:space="0" w:color="auto"/>
        <w:left w:val="none" w:sz="0" w:space="0" w:color="auto"/>
        <w:bottom w:val="none" w:sz="0" w:space="0" w:color="auto"/>
        <w:right w:val="none" w:sz="0" w:space="0" w:color="auto"/>
      </w:divBdr>
    </w:div>
    <w:div w:id="2124956437">
      <w:bodyDiv w:val="1"/>
      <w:marLeft w:val="0"/>
      <w:marRight w:val="0"/>
      <w:marTop w:val="0"/>
      <w:marBottom w:val="0"/>
      <w:divBdr>
        <w:top w:val="none" w:sz="0" w:space="0" w:color="auto"/>
        <w:left w:val="none" w:sz="0" w:space="0" w:color="auto"/>
        <w:bottom w:val="none" w:sz="0" w:space="0" w:color="auto"/>
        <w:right w:val="none" w:sz="0" w:space="0" w:color="auto"/>
      </w:divBdr>
    </w:div>
    <w:div w:id="2125271646">
      <w:bodyDiv w:val="1"/>
      <w:marLeft w:val="0"/>
      <w:marRight w:val="0"/>
      <w:marTop w:val="0"/>
      <w:marBottom w:val="0"/>
      <w:divBdr>
        <w:top w:val="none" w:sz="0" w:space="0" w:color="auto"/>
        <w:left w:val="none" w:sz="0" w:space="0" w:color="auto"/>
        <w:bottom w:val="none" w:sz="0" w:space="0" w:color="auto"/>
        <w:right w:val="none" w:sz="0" w:space="0" w:color="auto"/>
      </w:divBdr>
    </w:div>
    <w:div w:id="2125341855">
      <w:bodyDiv w:val="1"/>
      <w:marLeft w:val="0"/>
      <w:marRight w:val="0"/>
      <w:marTop w:val="0"/>
      <w:marBottom w:val="0"/>
      <w:divBdr>
        <w:top w:val="none" w:sz="0" w:space="0" w:color="auto"/>
        <w:left w:val="none" w:sz="0" w:space="0" w:color="auto"/>
        <w:bottom w:val="none" w:sz="0" w:space="0" w:color="auto"/>
        <w:right w:val="none" w:sz="0" w:space="0" w:color="auto"/>
      </w:divBdr>
    </w:div>
    <w:div w:id="2125541909">
      <w:bodyDiv w:val="1"/>
      <w:marLeft w:val="0"/>
      <w:marRight w:val="0"/>
      <w:marTop w:val="0"/>
      <w:marBottom w:val="0"/>
      <w:divBdr>
        <w:top w:val="none" w:sz="0" w:space="0" w:color="auto"/>
        <w:left w:val="none" w:sz="0" w:space="0" w:color="auto"/>
        <w:bottom w:val="none" w:sz="0" w:space="0" w:color="auto"/>
        <w:right w:val="none" w:sz="0" w:space="0" w:color="auto"/>
      </w:divBdr>
    </w:div>
    <w:div w:id="2125688672">
      <w:bodyDiv w:val="1"/>
      <w:marLeft w:val="0"/>
      <w:marRight w:val="0"/>
      <w:marTop w:val="0"/>
      <w:marBottom w:val="0"/>
      <w:divBdr>
        <w:top w:val="none" w:sz="0" w:space="0" w:color="auto"/>
        <w:left w:val="none" w:sz="0" w:space="0" w:color="auto"/>
        <w:bottom w:val="none" w:sz="0" w:space="0" w:color="auto"/>
        <w:right w:val="none" w:sz="0" w:space="0" w:color="auto"/>
      </w:divBdr>
    </w:div>
    <w:div w:id="2125880104">
      <w:bodyDiv w:val="1"/>
      <w:marLeft w:val="0"/>
      <w:marRight w:val="0"/>
      <w:marTop w:val="0"/>
      <w:marBottom w:val="0"/>
      <w:divBdr>
        <w:top w:val="none" w:sz="0" w:space="0" w:color="auto"/>
        <w:left w:val="none" w:sz="0" w:space="0" w:color="auto"/>
        <w:bottom w:val="none" w:sz="0" w:space="0" w:color="auto"/>
        <w:right w:val="none" w:sz="0" w:space="0" w:color="auto"/>
      </w:divBdr>
    </w:div>
    <w:div w:id="2126192266">
      <w:bodyDiv w:val="1"/>
      <w:marLeft w:val="0"/>
      <w:marRight w:val="0"/>
      <w:marTop w:val="0"/>
      <w:marBottom w:val="0"/>
      <w:divBdr>
        <w:top w:val="none" w:sz="0" w:space="0" w:color="auto"/>
        <w:left w:val="none" w:sz="0" w:space="0" w:color="auto"/>
        <w:bottom w:val="none" w:sz="0" w:space="0" w:color="auto"/>
        <w:right w:val="none" w:sz="0" w:space="0" w:color="auto"/>
      </w:divBdr>
    </w:div>
    <w:div w:id="2126192804">
      <w:bodyDiv w:val="1"/>
      <w:marLeft w:val="0"/>
      <w:marRight w:val="0"/>
      <w:marTop w:val="0"/>
      <w:marBottom w:val="0"/>
      <w:divBdr>
        <w:top w:val="none" w:sz="0" w:space="0" w:color="auto"/>
        <w:left w:val="none" w:sz="0" w:space="0" w:color="auto"/>
        <w:bottom w:val="none" w:sz="0" w:space="0" w:color="auto"/>
        <w:right w:val="none" w:sz="0" w:space="0" w:color="auto"/>
      </w:divBdr>
    </w:div>
    <w:div w:id="2126539860">
      <w:bodyDiv w:val="1"/>
      <w:marLeft w:val="0"/>
      <w:marRight w:val="0"/>
      <w:marTop w:val="0"/>
      <w:marBottom w:val="0"/>
      <w:divBdr>
        <w:top w:val="none" w:sz="0" w:space="0" w:color="auto"/>
        <w:left w:val="none" w:sz="0" w:space="0" w:color="auto"/>
        <w:bottom w:val="none" w:sz="0" w:space="0" w:color="auto"/>
        <w:right w:val="none" w:sz="0" w:space="0" w:color="auto"/>
      </w:divBdr>
    </w:div>
    <w:div w:id="2126652613">
      <w:bodyDiv w:val="1"/>
      <w:marLeft w:val="0"/>
      <w:marRight w:val="0"/>
      <w:marTop w:val="0"/>
      <w:marBottom w:val="0"/>
      <w:divBdr>
        <w:top w:val="none" w:sz="0" w:space="0" w:color="auto"/>
        <w:left w:val="none" w:sz="0" w:space="0" w:color="auto"/>
        <w:bottom w:val="none" w:sz="0" w:space="0" w:color="auto"/>
        <w:right w:val="none" w:sz="0" w:space="0" w:color="auto"/>
      </w:divBdr>
    </w:div>
    <w:div w:id="2127187519">
      <w:bodyDiv w:val="1"/>
      <w:marLeft w:val="0"/>
      <w:marRight w:val="0"/>
      <w:marTop w:val="0"/>
      <w:marBottom w:val="0"/>
      <w:divBdr>
        <w:top w:val="none" w:sz="0" w:space="0" w:color="auto"/>
        <w:left w:val="none" w:sz="0" w:space="0" w:color="auto"/>
        <w:bottom w:val="none" w:sz="0" w:space="0" w:color="auto"/>
        <w:right w:val="none" w:sz="0" w:space="0" w:color="auto"/>
      </w:divBdr>
    </w:div>
    <w:div w:id="2127264966">
      <w:bodyDiv w:val="1"/>
      <w:marLeft w:val="0"/>
      <w:marRight w:val="0"/>
      <w:marTop w:val="0"/>
      <w:marBottom w:val="0"/>
      <w:divBdr>
        <w:top w:val="none" w:sz="0" w:space="0" w:color="auto"/>
        <w:left w:val="none" w:sz="0" w:space="0" w:color="auto"/>
        <w:bottom w:val="none" w:sz="0" w:space="0" w:color="auto"/>
        <w:right w:val="none" w:sz="0" w:space="0" w:color="auto"/>
      </w:divBdr>
    </w:div>
    <w:div w:id="2127506795">
      <w:bodyDiv w:val="1"/>
      <w:marLeft w:val="0"/>
      <w:marRight w:val="0"/>
      <w:marTop w:val="0"/>
      <w:marBottom w:val="0"/>
      <w:divBdr>
        <w:top w:val="none" w:sz="0" w:space="0" w:color="auto"/>
        <w:left w:val="none" w:sz="0" w:space="0" w:color="auto"/>
        <w:bottom w:val="none" w:sz="0" w:space="0" w:color="auto"/>
        <w:right w:val="none" w:sz="0" w:space="0" w:color="auto"/>
      </w:divBdr>
    </w:div>
    <w:div w:id="2127698473">
      <w:bodyDiv w:val="1"/>
      <w:marLeft w:val="0"/>
      <w:marRight w:val="0"/>
      <w:marTop w:val="0"/>
      <w:marBottom w:val="0"/>
      <w:divBdr>
        <w:top w:val="none" w:sz="0" w:space="0" w:color="auto"/>
        <w:left w:val="none" w:sz="0" w:space="0" w:color="auto"/>
        <w:bottom w:val="none" w:sz="0" w:space="0" w:color="auto"/>
        <w:right w:val="none" w:sz="0" w:space="0" w:color="auto"/>
      </w:divBdr>
    </w:div>
    <w:div w:id="2128311191">
      <w:bodyDiv w:val="1"/>
      <w:marLeft w:val="0"/>
      <w:marRight w:val="0"/>
      <w:marTop w:val="0"/>
      <w:marBottom w:val="0"/>
      <w:divBdr>
        <w:top w:val="none" w:sz="0" w:space="0" w:color="auto"/>
        <w:left w:val="none" w:sz="0" w:space="0" w:color="auto"/>
        <w:bottom w:val="none" w:sz="0" w:space="0" w:color="auto"/>
        <w:right w:val="none" w:sz="0" w:space="0" w:color="auto"/>
      </w:divBdr>
    </w:div>
    <w:div w:id="2128498981">
      <w:bodyDiv w:val="1"/>
      <w:marLeft w:val="0"/>
      <w:marRight w:val="0"/>
      <w:marTop w:val="0"/>
      <w:marBottom w:val="0"/>
      <w:divBdr>
        <w:top w:val="none" w:sz="0" w:space="0" w:color="auto"/>
        <w:left w:val="none" w:sz="0" w:space="0" w:color="auto"/>
        <w:bottom w:val="none" w:sz="0" w:space="0" w:color="auto"/>
        <w:right w:val="none" w:sz="0" w:space="0" w:color="auto"/>
      </w:divBdr>
    </w:div>
    <w:div w:id="2128816482">
      <w:bodyDiv w:val="1"/>
      <w:marLeft w:val="0"/>
      <w:marRight w:val="0"/>
      <w:marTop w:val="0"/>
      <w:marBottom w:val="0"/>
      <w:divBdr>
        <w:top w:val="none" w:sz="0" w:space="0" w:color="auto"/>
        <w:left w:val="none" w:sz="0" w:space="0" w:color="auto"/>
        <w:bottom w:val="none" w:sz="0" w:space="0" w:color="auto"/>
        <w:right w:val="none" w:sz="0" w:space="0" w:color="auto"/>
      </w:divBdr>
    </w:div>
    <w:div w:id="2129086829">
      <w:bodyDiv w:val="1"/>
      <w:marLeft w:val="0"/>
      <w:marRight w:val="0"/>
      <w:marTop w:val="0"/>
      <w:marBottom w:val="0"/>
      <w:divBdr>
        <w:top w:val="none" w:sz="0" w:space="0" w:color="auto"/>
        <w:left w:val="none" w:sz="0" w:space="0" w:color="auto"/>
        <w:bottom w:val="none" w:sz="0" w:space="0" w:color="auto"/>
        <w:right w:val="none" w:sz="0" w:space="0" w:color="auto"/>
      </w:divBdr>
    </w:div>
    <w:div w:id="2129274598">
      <w:bodyDiv w:val="1"/>
      <w:marLeft w:val="0"/>
      <w:marRight w:val="0"/>
      <w:marTop w:val="0"/>
      <w:marBottom w:val="0"/>
      <w:divBdr>
        <w:top w:val="none" w:sz="0" w:space="0" w:color="auto"/>
        <w:left w:val="none" w:sz="0" w:space="0" w:color="auto"/>
        <w:bottom w:val="none" w:sz="0" w:space="0" w:color="auto"/>
        <w:right w:val="none" w:sz="0" w:space="0" w:color="auto"/>
      </w:divBdr>
    </w:div>
    <w:div w:id="2129397398">
      <w:bodyDiv w:val="1"/>
      <w:marLeft w:val="0"/>
      <w:marRight w:val="0"/>
      <w:marTop w:val="0"/>
      <w:marBottom w:val="0"/>
      <w:divBdr>
        <w:top w:val="none" w:sz="0" w:space="0" w:color="auto"/>
        <w:left w:val="none" w:sz="0" w:space="0" w:color="auto"/>
        <w:bottom w:val="none" w:sz="0" w:space="0" w:color="auto"/>
        <w:right w:val="none" w:sz="0" w:space="0" w:color="auto"/>
      </w:divBdr>
    </w:div>
    <w:div w:id="2129740023">
      <w:bodyDiv w:val="1"/>
      <w:marLeft w:val="0"/>
      <w:marRight w:val="0"/>
      <w:marTop w:val="0"/>
      <w:marBottom w:val="0"/>
      <w:divBdr>
        <w:top w:val="none" w:sz="0" w:space="0" w:color="auto"/>
        <w:left w:val="none" w:sz="0" w:space="0" w:color="auto"/>
        <w:bottom w:val="none" w:sz="0" w:space="0" w:color="auto"/>
        <w:right w:val="none" w:sz="0" w:space="0" w:color="auto"/>
      </w:divBdr>
    </w:div>
    <w:div w:id="2130196290">
      <w:bodyDiv w:val="1"/>
      <w:marLeft w:val="0"/>
      <w:marRight w:val="0"/>
      <w:marTop w:val="0"/>
      <w:marBottom w:val="0"/>
      <w:divBdr>
        <w:top w:val="none" w:sz="0" w:space="0" w:color="auto"/>
        <w:left w:val="none" w:sz="0" w:space="0" w:color="auto"/>
        <w:bottom w:val="none" w:sz="0" w:space="0" w:color="auto"/>
        <w:right w:val="none" w:sz="0" w:space="0" w:color="auto"/>
      </w:divBdr>
    </w:div>
    <w:div w:id="2130317654">
      <w:bodyDiv w:val="1"/>
      <w:marLeft w:val="0"/>
      <w:marRight w:val="0"/>
      <w:marTop w:val="0"/>
      <w:marBottom w:val="0"/>
      <w:divBdr>
        <w:top w:val="none" w:sz="0" w:space="0" w:color="auto"/>
        <w:left w:val="none" w:sz="0" w:space="0" w:color="auto"/>
        <w:bottom w:val="none" w:sz="0" w:space="0" w:color="auto"/>
        <w:right w:val="none" w:sz="0" w:space="0" w:color="auto"/>
      </w:divBdr>
    </w:div>
    <w:div w:id="2130390866">
      <w:bodyDiv w:val="1"/>
      <w:marLeft w:val="0"/>
      <w:marRight w:val="0"/>
      <w:marTop w:val="0"/>
      <w:marBottom w:val="0"/>
      <w:divBdr>
        <w:top w:val="none" w:sz="0" w:space="0" w:color="auto"/>
        <w:left w:val="none" w:sz="0" w:space="0" w:color="auto"/>
        <w:bottom w:val="none" w:sz="0" w:space="0" w:color="auto"/>
        <w:right w:val="none" w:sz="0" w:space="0" w:color="auto"/>
      </w:divBdr>
    </w:div>
    <w:div w:id="2130658656">
      <w:bodyDiv w:val="1"/>
      <w:marLeft w:val="0"/>
      <w:marRight w:val="0"/>
      <w:marTop w:val="0"/>
      <w:marBottom w:val="0"/>
      <w:divBdr>
        <w:top w:val="none" w:sz="0" w:space="0" w:color="auto"/>
        <w:left w:val="none" w:sz="0" w:space="0" w:color="auto"/>
        <w:bottom w:val="none" w:sz="0" w:space="0" w:color="auto"/>
        <w:right w:val="none" w:sz="0" w:space="0" w:color="auto"/>
      </w:divBdr>
    </w:div>
    <w:div w:id="2130971054">
      <w:bodyDiv w:val="1"/>
      <w:marLeft w:val="0"/>
      <w:marRight w:val="0"/>
      <w:marTop w:val="0"/>
      <w:marBottom w:val="0"/>
      <w:divBdr>
        <w:top w:val="none" w:sz="0" w:space="0" w:color="auto"/>
        <w:left w:val="none" w:sz="0" w:space="0" w:color="auto"/>
        <w:bottom w:val="none" w:sz="0" w:space="0" w:color="auto"/>
        <w:right w:val="none" w:sz="0" w:space="0" w:color="auto"/>
      </w:divBdr>
    </w:div>
    <w:div w:id="2131780382">
      <w:bodyDiv w:val="1"/>
      <w:marLeft w:val="0"/>
      <w:marRight w:val="0"/>
      <w:marTop w:val="0"/>
      <w:marBottom w:val="0"/>
      <w:divBdr>
        <w:top w:val="none" w:sz="0" w:space="0" w:color="auto"/>
        <w:left w:val="none" w:sz="0" w:space="0" w:color="auto"/>
        <w:bottom w:val="none" w:sz="0" w:space="0" w:color="auto"/>
        <w:right w:val="none" w:sz="0" w:space="0" w:color="auto"/>
      </w:divBdr>
    </w:div>
    <w:div w:id="2132045854">
      <w:bodyDiv w:val="1"/>
      <w:marLeft w:val="0"/>
      <w:marRight w:val="0"/>
      <w:marTop w:val="0"/>
      <w:marBottom w:val="0"/>
      <w:divBdr>
        <w:top w:val="none" w:sz="0" w:space="0" w:color="auto"/>
        <w:left w:val="none" w:sz="0" w:space="0" w:color="auto"/>
        <w:bottom w:val="none" w:sz="0" w:space="0" w:color="auto"/>
        <w:right w:val="none" w:sz="0" w:space="0" w:color="auto"/>
      </w:divBdr>
    </w:div>
    <w:div w:id="2132163770">
      <w:bodyDiv w:val="1"/>
      <w:marLeft w:val="0"/>
      <w:marRight w:val="0"/>
      <w:marTop w:val="0"/>
      <w:marBottom w:val="0"/>
      <w:divBdr>
        <w:top w:val="none" w:sz="0" w:space="0" w:color="auto"/>
        <w:left w:val="none" w:sz="0" w:space="0" w:color="auto"/>
        <w:bottom w:val="none" w:sz="0" w:space="0" w:color="auto"/>
        <w:right w:val="none" w:sz="0" w:space="0" w:color="auto"/>
      </w:divBdr>
    </w:div>
    <w:div w:id="2132288275">
      <w:bodyDiv w:val="1"/>
      <w:marLeft w:val="0"/>
      <w:marRight w:val="0"/>
      <w:marTop w:val="0"/>
      <w:marBottom w:val="0"/>
      <w:divBdr>
        <w:top w:val="none" w:sz="0" w:space="0" w:color="auto"/>
        <w:left w:val="none" w:sz="0" w:space="0" w:color="auto"/>
        <w:bottom w:val="none" w:sz="0" w:space="0" w:color="auto"/>
        <w:right w:val="none" w:sz="0" w:space="0" w:color="auto"/>
      </w:divBdr>
    </w:div>
    <w:div w:id="2132430870">
      <w:bodyDiv w:val="1"/>
      <w:marLeft w:val="0"/>
      <w:marRight w:val="0"/>
      <w:marTop w:val="0"/>
      <w:marBottom w:val="0"/>
      <w:divBdr>
        <w:top w:val="none" w:sz="0" w:space="0" w:color="auto"/>
        <w:left w:val="none" w:sz="0" w:space="0" w:color="auto"/>
        <w:bottom w:val="none" w:sz="0" w:space="0" w:color="auto"/>
        <w:right w:val="none" w:sz="0" w:space="0" w:color="auto"/>
      </w:divBdr>
    </w:div>
    <w:div w:id="2133743776">
      <w:bodyDiv w:val="1"/>
      <w:marLeft w:val="0"/>
      <w:marRight w:val="0"/>
      <w:marTop w:val="0"/>
      <w:marBottom w:val="0"/>
      <w:divBdr>
        <w:top w:val="none" w:sz="0" w:space="0" w:color="auto"/>
        <w:left w:val="none" w:sz="0" w:space="0" w:color="auto"/>
        <w:bottom w:val="none" w:sz="0" w:space="0" w:color="auto"/>
        <w:right w:val="none" w:sz="0" w:space="0" w:color="auto"/>
      </w:divBdr>
    </w:div>
    <w:div w:id="2133934884">
      <w:bodyDiv w:val="1"/>
      <w:marLeft w:val="0"/>
      <w:marRight w:val="0"/>
      <w:marTop w:val="0"/>
      <w:marBottom w:val="0"/>
      <w:divBdr>
        <w:top w:val="none" w:sz="0" w:space="0" w:color="auto"/>
        <w:left w:val="none" w:sz="0" w:space="0" w:color="auto"/>
        <w:bottom w:val="none" w:sz="0" w:space="0" w:color="auto"/>
        <w:right w:val="none" w:sz="0" w:space="0" w:color="auto"/>
      </w:divBdr>
    </w:div>
    <w:div w:id="2134010713">
      <w:bodyDiv w:val="1"/>
      <w:marLeft w:val="0"/>
      <w:marRight w:val="0"/>
      <w:marTop w:val="0"/>
      <w:marBottom w:val="0"/>
      <w:divBdr>
        <w:top w:val="none" w:sz="0" w:space="0" w:color="auto"/>
        <w:left w:val="none" w:sz="0" w:space="0" w:color="auto"/>
        <w:bottom w:val="none" w:sz="0" w:space="0" w:color="auto"/>
        <w:right w:val="none" w:sz="0" w:space="0" w:color="auto"/>
      </w:divBdr>
    </w:div>
    <w:div w:id="2134053775">
      <w:bodyDiv w:val="1"/>
      <w:marLeft w:val="0"/>
      <w:marRight w:val="0"/>
      <w:marTop w:val="0"/>
      <w:marBottom w:val="0"/>
      <w:divBdr>
        <w:top w:val="none" w:sz="0" w:space="0" w:color="auto"/>
        <w:left w:val="none" w:sz="0" w:space="0" w:color="auto"/>
        <w:bottom w:val="none" w:sz="0" w:space="0" w:color="auto"/>
        <w:right w:val="none" w:sz="0" w:space="0" w:color="auto"/>
      </w:divBdr>
    </w:div>
    <w:div w:id="2134128619">
      <w:bodyDiv w:val="1"/>
      <w:marLeft w:val="0"/>
      <w:marRight w:val="0"/>
      <w:marTop w:val="0"/>
      <w:marBottom w:val="0"/>
      <w:divBdr>
        <w:top w:val="none" w:sz="0" w:space="0" w:color="auto"/>
        <w:left w:val="none" w:sz="0" w:space="0" w:color="auto"/>
        <w:bottom w:val="none" w:sz="0" w:space="0" w:color="auto"/>
        <w:right w:val="none" w:sz="0" w:space="0" w:color="auto"/>
      </w:divBdr>
    </w:div>
    <w:div w:id="2134324406">
      <w:bodyDiv w:val="1"/>
      <w:marLeft w:val="0"/>
      <w:marRight w:val="0"/>
      <w:marTop w:val="0"/>
      <w:marBottom w:val="0"/>
      <w:divBdr>
        <w:top w:val="none" w:sz="0" w:space="0" w:color="auto"/>
        <w:left w:val="none" w:sz="0" w:space="0" w:color="auto"/>
        <w:bottom w:val="none" w:sz="0" w:space="0" w:color="auto"/>
        <w:right w:val="none" w:sz="0" w:space="0" w:color="auto"/>
      </w:divBdr>
    </w:div>
    <w:div w:id="2134401798">
      <w:bodyDiv w:val="1"/>
      <w:marLeft w:val="0"/>
      <w:marRight w:val="0"/>
      <w:marTop w:val="0"/>
      <w:marBottom w:val="0"/>
      <w:divBdr>
        <w:top w:val="none" w:sz="0" w:space="0" w:color="auto"/>
        <w:left w:val="none" w:sz="0" w:space="0" w:color="auto"/>
        <w:bottom w:val="none" w:sz="0" w:space="0" w:color="auto"/>
        <w:right w:val="none" w:sz="0" w:space="0" w:color="auto"/>
      </w:divBdr>
    </w:div>
    <w:div w:id="2134592179">
      <w:bodyDiv w:val="1"/>
      <w:marLeft w:val="0"/>
      <w:marRight w:val="0"/>
      <w:marTop w:val="0"/>
      <w:marBottom w:val="0"/>
      <w:divBdr>
        <w:top w:val="none" w:sz="0" w:space="0" w:color="auto"/>
        <w:left w:val="none" w:sz="0" w:space="0" w:color="auto"/>
        <w:bottom w:val="none" w:sz="0" w:space="0" w:color="auto"/>
        <w:right w:val="none" w:sz="0" w:space="0" w:color="auto"/>
      </w:divBdr>
    </w:div>
    <w:div w:id="2134862100">
      <w:bodyDiv w:val="1"/>
      <w:marLeft w:val="0"/>
      <w:marRight w:val="0"/>
      <w:marTop w:val="0"/>
      <w:marBottom w:val="0"/>
      <w:divBdr>
        <w:top w:val="none" w:sz="0" w:space="0" w:color="auto"/>
        <w:left w:val="none" w:sz="0" w:space="0" w:color="auto"/>
        <w:bottom w:val="none" w:sz="0" w:space="0" w:color="auto"/>
        <w:right w:val="none" w:sz="0" w:space="0" w:color="auto"/>
      </w:divBdr>
    </w:div>
    <w:div w:id="2134903371">
      <w:bodyDiv w:val="1"/>
      <w:marLeft w:val="0"/>
      <w:marRight w:val="0"/>
      <w:marTop w:val="0"/>
      <w:marBottom w:val="0"/>
      <w:divBdr>
        <w:top w:val="none" w:sz="0" w:space="0" w:color="auto"/>
        <w:left w:val="none" w:sz="0" w:space="0" w:color="auto"/>
        <w:bottom w:val="none" w:sz="0" w:space="0" w:color="auto"/>
        <w:right w:val="none" w:sz="0" w:space="0" w:color="auto"/>
      </w:divBdr>
    </w:div>
    <w:div w:id="2135295410">
      <w:bodyDiv w:val="1"/>
      <w:marLeft w:val="0"/>
      <w:marRight w:val="0"/>
      <w:marTop w:val="0"/>
      <w:marBottom w:val="0"/>
      <w:divBdr>
        <w:top w:val="none" w:sz="0" w:space="0" w:color="auto"/>
        <w:left w:val="none" w:sz="0" w:space="0" w:color="auto"/>
        <w:bottom w:val="none" w:sz="0" w:space="0" w:color="auto"/>
        <w:right w:val="none" w:sz="0" w:space="0" w:color="auto"/>
      </w:divBdr>
    </w:div>
    <w:div w:id="2135711811">
      <w:bodyDiv w:val="1"/>
      <w:marLeft w:val="0"/>
      <w:marRight w:val="0"/>
      <w:marTop w:val="0"/>
      <w:marBottom w:val="0"/>
      <w:divBdr>
        <w:top w:val="none" w:sz="0" w:space="0" w:color="auto"/>
        <w:left w:val="none" w:sz="0" w:space="0" w:color="auto"/>
        <w:bottom w:val="none" w:sz="0" w:space="0" w:color="auto"/>
        <w:right w:val="none" w:sz="0" w:space="0" w:color="auto"/>
      </w:divBdr>
    </w:div>
    <w:div w:id="2135781842">
      <w:bodyDiv w:val="1"/>
      <w:marLeft w:val="0"/>
      <w:marRight w:val="0"/>
      <w:marTop w:val="0"/>
      <w:marBottom w:val="0"/>
      <w:divBdr>
        <w:top w:val="none" w:sz="0" w:space="0" w:color="auto"/>
        <w:left w:val="none" w:sz="0" w:space="0" w:color="auto"/>
        <w:bottom w:val="none" w:sz="0" w:space="0" w:color="auto"/>
        <w:right w:val="none" w:sz="0" w:space="0" w:color="auto"/>
      </w:divBdr>
    </w:div>
    <w:div w:id="2136214994">
      <w:bodyDiv w:val="1"/>
      <w:marLeft w:val="0"/>
      <w:marRight w:val="0"/>
      <w:marTop w:val="0"/>
      <w:marBottom w:val="0"/>
      <w:divBdr>
        <w:top w:val="none" w:sz="0" w:space="0" w:color="auto"/>
        <w:left w:val="none" w:sz="0" w:space="0" w:color="auto"/>
        <w:bottom w:val="none" w:sz="0" w:space="0" w:color="auto"/>
        <w:right w:val="none" w:sz="0" w:space="0" w:color="auto"/>
      </w:divBdr>
    </w:div>
    <w:div w:id="2136753304">
      <w:bodyDiv w:val="1"/>
      <w:marLeft w:val="0"/>
      <w:marRight w:val="0"/>
      <w:marTop w:val="0"/>
      <w:marBottom w:val="0"/>
      <w:divBdr>
        <w:top w:val="none" w:sz="0" w:space="0" w:color="auto"/>
        <w:left w:val="none" w:sz="0" w:space="0" w:color="auto"/>
        <w:bottom w:val="none" w:sz="0" w:space="0" w:color="auto"/>
        <w:right w:val="none" w:sz="0" w:space="0" w:color="auto"/>
      </w:divBdr>
    </w:div>
    <w:div w:id="2137870573">
      <w:bodyDiv w:val="1"/>
      <w:marLeft w:val="0"/>
      <w:marRight w:val="0"/>
      <w:marTop w:val="0"/>
      <w:marBottom w:val="0"/>
      <w:divBdr>
        <w:top w:val="none" w:sz="0" w:space="0" w:color="auto"/>
        <w:left w:val="none" w:sz="0" w:space="0" w:color="auto"/>
        <w:bottom w:val="none" w:sz="0" w:space="0" w:color="auto"/>
        <w:right w:val="none" w:sz="0" w:space="0" w:color="auto"/>
      </w:divBdr>
    </w:div>
    <w:div w:id="2137986760">
      <w:bodyDiv w:val="1"/>
      <w:marLeft w:val="0"/>
      <w:marRight w:val="0"/>
      <w:marTop w:val="0"/>
      <w:marBottom w:val="0"/>
      <w:divBdr>
        <w:top w:val="none" w:sz="0" w:space="0" w:color="auto"/>
        <w:left w:val="none" w:sz="0" w:space="0" w:color="auto"/>
        <w:bottom w:val="none" w:sz="0" w:space="0" w:color="auto"/>
        <w:right w:val="none" w:sz="0" w:space="0" w:color="auto"/>
      </w:divBdr>
    </w:div>
    <w:div w:id="2138720664">
      <w:bodyDiv w:val="1"/>
      <w:marLeft w:val="0"/>
      <w:marRight w:val="0"/>
      <w:marTop w:val="0"/>
      <w:marBottom w:val="0"/>
      <w:divBdr>
        <w:top w:val="none" w:sz="0" w:space="0" w:color="auto"/>
        <w:left w:val="none" w:sz="0" w:space="0" w:color="auto"/>
        <w:bottom w:val="none" w:sz="0" w:space="0" w:color="auto"/>
        <w:right w:val="none" w:sz="0" w:space="0" w:color="auto"/>
      </w:divBdr>
    </w:div>
    <w:div w:id="2138722748">
      <w:bodyDiv w:val="1"/>
      <w:marLeft w:val="0"/>
      <w:marRight w:val="0"/>
      <w:marTop w:val="0"/>
      <w:marBottom w:val="0"/>
      <w:divBdr>
        <w:top w:val="none" w:sz="0" w:space="0" w:color="auto"/>
        <w:left w:val="none" w:sz="0" w:space="0" w:color="auto"/>
        <w:bottom w:val="none" w:sz="0" w:space="0" w:color="auto"/>
        <w:right w:val="none" w:sz="0" w:space="0" w:color="auto"/>
      </w:divBdr>
    </w:div>
    <w:div w:id="2139178698">
      <w:bodyDiv w:val="1"/>
      <w:marLeft w:val="0"/>
      <w:marRight w:val="0"/>
      <w:marTop w:val="0"/>
      <w:marBottom w:val="0"/>
      <w:divBdr>
        <w:top w:val="none" w:sz="0" w:space="0" w:color="auto"/>
        <w:left w:val="none" w:sz="0" w:space="0" w:color="auto"/>
        <w:bottom w:val="none" w:sz="0" w:space="0" w:color="auto"/>
        <w:right w:val="none" w:sz="0" w:space="0" w:color="auto"/>
      </w:divBdr>
    </w:div>
    <w:div w:id="2139377584">
      <w:bodyDiv w:val="1"/>
      <w:marLeft w:val="0"/>
      <w:marRight w:val="0"/>
      <w:marTop w:val="0"/>
      <w:marBottom w:val="0"/>
      <w:divBdr>
        <w:top w:val="none" w:sz="0" w:space="0" w:color="auto"/>
        <w:left w:val="none" w:sz="0" w:space="0" w:color="auto"/>
        <w:bottom w:val="none" w:sz="0" w:space="0" w:color="auto"/>
        <w:right w:val="none" w:sz="0" w:space="0" w:color="auto"/>
      </w:divBdr>
    </w:div>
    <w:div w:id="2139957681">
      <w:bodyDiv w:val="1"/>
      <w:marLeft w:val="0"/>
      <w:marRight w:val="0"/>
      <w:marTop w:val="0"/>
      <w:marBottom w:val="0"/>
      <w:divBdr>
        <w:top w:val="none" w:sz="0" w:space="0" w:color="auto"/>
        <w:left w:val="none" w:sz="0" w:space="0" w:color="auto"/>
        <w:bottom w:val="none" w:sz="0" w:space="0" w:color="auto"/>
        <w:right w:val="none" w:sz="0" w:space="0" w:color="auto"/>
      </w:divBdr>
    </w:div>
    <w:div w:id="2140489368">
      <w:bodyDiv w:val="1"/>
      <w:marLeft w:val="0"/>
      <w:marRight w:val="0"/>
      <w:marTop w:val="0"/>
      <w:marBottom w:val="0"/>
      <w:divBdr>
        <w:top w:val="none" w:sz="0" w:space="0" w:color="auto"/>
        <w:left w:val="none" w:sz="0" w:space="0" w:color="auto"/>
        <w:bottom w:val="none" w:sz="0" w:space="0" w:color="auto"/>
        <w:right w:val="none" w:sz="0" w:space="0" w:color="auto"/>
      </w:divBdr>
    </w:div>
    <w:div w:id="2140802952">
      <w:bodyDiv w:val="1"/>
      <w:marLeft w:val="0"/>
      <w:marRight w:val="0"/>
      <w:marTop w:val="0"/>
      <w:marBottom w:val="0"/>
      <w:divBdr>
        <w:top w:val="none" w:sz="0" w:space="0" w:color="auto"/>
        <w:left w:val="none" w:sz="0" w:space="0" w:color="auto"/>
        <w:bottom w:val="none" w:sz="0" w:space="0" w:color="auto"/>
        <w:right w:val="none" w:sz="0" w:space="0" w:color="auto"/>
      </w:divBdr>
    </w:div>
    <w:div w:id="2140830344">
      <w:bodyDiv w:val="1"/>
      <w:marLeft w:val="0"/>
      <w:marRight w:val="0"/>
      <w:marTop w:val="0"/>
      <w:marBottom w:val="0"/>
      <w:divBdr>
        <w:top w:val="none" w:sz="0" w:space="0" w:color="auto"/>
        <w:left w:val="none" w:sz="0" w:space="0" w:color="auto"/>
        <w:bottom w:val="none" w:sz="0" w:space="0" w:color="auto"/>
        <w:right w:val="none" w:sz="0" w:space="0" w:color="auto"/>
      </w:divBdr>
    </w:div>
    <w:div w:id="2140948979">
      <w:bodyDiv w:val="1"/>
      <w:marLeft w:val="0"/>
      <w:marRight w:val="0"/>
      <w:marTop w:val="0"/>
      <w:marBottom w:val="0"/>
      <w:divBdr>
        <w:top w:val="none" w:sz="0" w:space="0" w:color="auto"/>
        <w:left w:val="none" w:sz="0" w:space="0" w:color="auto"/>
        <w:bottom w:val="none" w:sz="0" w:space="0" w:color="auto"/>
        <w:right w:val="none" w:sz="0" w:space="0" w:color="auto"/>
      </w:divBdr>
    </w:div>
    <w:div w:id="2141409790">
      <w:bodyDiv w:val="1"/>
      <w:marLeft w:val="0"/>
      <w:marRight w:val="0"/>
      <w:marTop w:val="0"/>
      <w:marBottom w:val="0"/>
      <w:divBdr>
        <w:top w:val="none" w:sz="0" w:space="0" w:color="auto"/>
        <w:left w:val="none" w:sz="0" w:space="0" w:color="auto"/>
        <w:bottom w:val="none" w:sz="0" w:space="0" w:color="auto"/>
        <w:right w:val="none" w:sz="0" w:space="0" w:color="auto"/>
      </w:divBdr>
    </w:div>
    <w:div w:id="2142069423">
      <w:bodyDiv w:val="1"/>
      <w:marLeft w:val="0"/>
      <w:marRight w:val="0"/>
      <w:marTop w:val="0"/>
      <w:marBottom w:val="0"/>
      <w:divBdr>
        <w:top w:val="none" w:sz="0" w:space="0" w:color="auto"/>
        <w:left w:val="none" w:sz="0" w:space="0" w:color="auto"/>
        <w:bottom w:val="none" w:sz="0" w:space="0" w:color="auto"/>
        <w:right w:val="none" w:sz="0" w:space="0" w:color="auto"/>
      </w:divBdr>
    </w:div>
    <w:div w:id="2142114991">
      <w:bodyDiv w:val="1"/>
      <w:marLeft w:val="0"/>
      <w:marRight w:val="0"/>
      <w:marTop w:val="0"/>
      <w:marBottom w:val="0"/>
      <w:divBdr>
        <w:top w:val="none" w:sz="0" w:space="0" w:color="auto"/>
        <w:left w:val="none" w:sz="0" w:space="0" w:color="auto"/>
        <w:bottom w:val="none" w:sz="0" w:space="0" w:color="auto"/>
        <w:right w:val="none" w:sz="0" w:space="0" w:color="auto"/>
      </w:divBdr>
    </w:div>
    <w:div w:id="2142183015">
      <w:bodyDiv w:val="1"/>
      <w:marLeft w:val="0"/>
      <w:marRight w:val="0"/>
      <w:marTop w:val="0"/>
      <w:marBottom w:val="0"/>
      <w:divBdr>
        <w:top w:val="none" w:sz="0" w:space="0" w:color="auto"/>
        <w:left w:val="none" w:sz="0" w:space="0" w:color="auto"/>
        <w:bottom w:val="none" w:sz="0" w:space="0" w:color="auto"/>
        <w:right w:val="none" w:sz="0" w:space="0" w:color="auto"/>
      </w:divBdr>
    </w:div>
    <w:div w:id="2143888601">
      <w:bodyDiv w:val="1"/>
      <w:marLeft w:val="0"/>
      <w:marRight w:val="0"/>
      <w:marTop w:val="0"/>
      <w:marBottom w:val="0"/>
      <w:divBdr>
        <w:top w:val="none" w:sz="0" w:space="0" w:color="auto"/>
        <w:left w:val="none" w:sz="0" w:space="0" w:color="auto"/>
        <w:bottom w:val="none" w:sz="0" w:space="0" w:color="auto"/>
        <w:right w:val="none" w:sz="0" w:space="0" w:color="auto"/>
      </w:divBdr>
    </w:div>
    <w:div w:id="2144032559">
      <w:bodyDiv w:val="1"/>
      <w:marLeft w:val="0"/>
      <w:marRight w:val="0"/>
      <w:marTop w:val="0"/>
      <w:marBottom w:val="0"/>
      <w:divBdr>
        <w:top w:val="none" w:sz="0" w:space="0" w:color="auto"/>
        <w:left w:val="none" w:sz="0" w:space="0" w:color="auto"/>
        <w:bottom w:val="none" w:sz="0" w:space="0" w:color="auto"/>
        <w:right w:val="none" w:sz="0" w:space="0" w:color="auto"/>
      </w:divBdr>
    </w:div>
    <w:div w:id="2144039051">
      <w:bodyDiv w:val="1"/>
      <w:marLeft w:val="0"/>
      <w:marRight w:val="0"/>
      <w:marTop w:val="0"/>
      <w:marBottom w:val="0"/>
      <w:divBdr>
        <w:top w:val="none" w:sz="0" w:space="0" w:color="auto"/>
        <w:left w:val="none" w:sz="0" w:space="0" w:color="auto"/>
        <w:bottom w:val="none" w:sz="0" w:space="0" w:color="auto"/>
        <w:right w:val="none" w:sz="0" w:space="0" w:color="auto"/>
      </w:divBdr>
    </w:div>
    <w:div w:id="2144537898">
      <w:bodyDiv w:val="1"/>
      <w:marLeft w:val="0"/>
      <w:marRight w:val="0"/>
      <w:marTop w:val="0"/>
      <w:marBottom w:val="0"/>
      <w:divBdr>
        <w:top w:val="none" w:sz="0" w:space="0" w:color="auto"/>
        <w:left w:val="none" w:sz="0" w:space="0" w:color="auto"/>
        <w:bottom w:val="none" w:sz="0" w:space="0" w:color="auto"/>
        <w:right w:val="none" w:sz="0" w:space="0" w:color="auto"/>
      </w:divBdr>
    </w:div>
    <w:div w:id="2144735135">
      <w:bodyDiv w:val="1"/>
      <w:marLeft w:val="0"/>
      <w:marRight w:val="0"/>
      <w:marTop w:val="0"/>
      <w:marBottom w:val="0"/>
      <w:divBdr>
        <w:top w:val="none" w:sz="0" w:space="0" w:color="auto"/>
        <w:left w:val="none" w:sz="0" w:space="0" w:color="auto"/>
        <w:bottom w:val="none" w:sz="0" w:space="0" w:color="auto"/>
        <w:right w:val="none" w:sz="0" w:space="0" w:color="auto"/>
      </w:divBdr>
    </w:div>
    <w:div w:id="2145157088">
      <w:bodyDiv w:val="1"/>
      <w:marLeft w:val="0"/>
      <w:marRight w:val="0"/>
      <w:marTop w:val="0"/>
      <w:marBottom w:val="0"/>
      <w:divBdr>
        <w:top w:val="none" w:sz="0" w:space="0" w:color="auto"/>
        <w:left w:val="none" w:sz="0" w:space="0" w:color="auto"/>
        <w:bottom w:val="none" w:sz="0" w:space="0" w:color="auto"/>
        <w:right w:val="none" w:sz="0" w:space="0" w:color="auto"/>
      </w:divBdr>
    </w:div>
    <w:div w:id="2145462523">
      <w:bodyDiv w:val="1"/>
      <w:marLeft w:val="0"/>
      <w:marRight w:val="0"/>
      <w:marTop w:val="0"/>
      <w:marBottom w:val="0"/>
      <w:divBdr>
        <w:top w:val="none" w:sz="0" w:space="0" w:color="auto"/>
        <w:left w:val="none" w:sz="0" w:space="0" w:color="auto"/>
        <w:bottom w:val="none" w:sz="0" w:space="0" w:color="auto"/>
        <w:right w:val="none" w:sz="0" w:space="0" w:color="auto"/>
      </w:divBdr>
    </w:div>
    <w:div w:id="2145736352">
      <w:bodyDiv w:val="1"/>
      <w:marLeft w:val="0"/>
      <w:marRight w:val="0"/>
      <w:marTop w:val="0"/>
      <w:marBottom w:val="0"/>
      <w:divBdr>
        <w:top w:val="none" w:sz="0" w:space="0" w:color="auto"/>
        <w:left w:val="none" w:sz="0" w:space="0" w:color="auto"/>
        <w:bottom w:val="none" w:sz="0" w:space="0" w:color="auto"/>
        <w:right w:val="none" w:sz="0" w:space="0" w:color="auto"/>
      </w:divBdr>
    </w:div>
    <w:div w:id="2146854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elizabeth\Documents\PhD\PhD%20writeups\Liz%20Whelan%20-%20with%20corrections%20final%20for%20printing%20separate%20appendices.docx" TargetMode="External"/><Relationship Id="rId18" Type="http://schemas.openxmlformats.org/officeDocument/2006/relationships/hyperlink" Target="file:///C:\Users\elizabeth\Documents\PhD\PhD%20writeups\Liz%20Whelan%20-%20with%20corrections%20final%20for%20printing%20separate%20appendices.docx" TargetMode="External"/><Relationship Id="rId26" Type="http://schemas.openxmlformats.org/officeDocument/2006/relationships/image" Target="media/image3.jpeg"/><Relationship Id="rId39" Type="http://schemas.openxmlformats.org/officeDocument/2006/relationships/image" Target="media/image11.png"/><Relationship Id="rId21" Type="http://schemas.openxmlformats.org/officeDocument/2006/relationships/diagramData" Target="diagrams/data1.xml"/><Relationship Id="rId34" Type="http://schemas.openxmlformats.org/officeDocument/2006/relationships/diagramData" Target="diagrams/data2.xml"/><Relationship Id="rId42" Type="http://schemas.openxmlformats.org/officeDocument/2006/relationships/image" Target="media/image14.png"/><Relationship Id="rId47" Type="http://schemas.openxmlformats.org/officeDocument/2006/relationships/chart" Target="charts/chart2.xml"/><Relationship Id="rId50" Type="http://schemas.openxmlformats.org/officeDocument/2006/relationships/chart" Target="charts/chart5.xml"/><Relationship Id="rId55" Type="http://schemas.openxmlformats.org/officeDocument/2006/relationships/chart" Target="charts/chart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elizabeth\Documents\PhD\PhD%20writeups\Liz%20Whelan%20-%20with%20corrections%20final%20for%20printing%20separate%20appendices.docx" TargetMode="External"/><Relationship Id="rId20" Type="http://schemas.microsoft.com/office/2007/relationships/hdphoto" Target="media/hdphoto1.wdp"/><Relationship Id="rId29" Type="http://schemas.openxmlformats.org/officeDocument/2006/relationships/image" Target="media/image6.png"/><Relationship Id="rId41" Type="http://schemas.openxmlformats.org/officeDocument/2006/relationships/image" Target="media/image13.png"/><Relationship Id="rId54"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elizabeth\Documents\PhD\PhD%20writeups\Liz%20Whelan%20-%20with%20corrections%20final%20for%20printing%20separate%20appendices.docx" TargetMode="External"/><Relationship Id="rId24" Type="http://schemas.openxmlformats.org/officeDocument/2006/relationships/diagramColors" Target="diagrams/colors1.xml"/><Relationship Id="rId32" Type="http://schemas.openxmlformats.org/officeDocument/2006/relationships/image" Target="media/image9.png"/><Relationship Id="rId37" Type="http://schemas.openxmlformats.org/officeDocument/2006/relationships/diagramColors" Target="diagrams/colors2.xml"/><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chart" Target="charts/chart8.xml"/><Relationship Id="rId58" Type="http://schemas.openxmlformats.org/officeDocument/2006/relationships/chart" Target="charts/chart13.xml"/><Relationship Id="rId5" Type="http://schemas.openxmlformats.org/officeDocument/2006/relationships/webSettings" Target="webSettings.xml"/><Relationship Id="rId15" Type="http://schemas.openxmlformats.org/officeDocument/2006/relationships/hyperlink" Target="file:///C:\Users\elizabeth\Documents\PhD\PhD%20writeups\Liz%20Whelan%20-%20with%20corrections%20final%20for%20printing%20separate%20appendices.docx" TargetMode="External"/><Relationship Id="rId23" Type="http://schemas.openxmlformats.org/officeDocument/2006/relationships/diagramQuickStyle" Target="diagrams/quickStyle1.xml"/><Relationship Id="rId28" Type="http://schemas.openxmlformats.org/officeDocument/2006/relationships/image" Target="media/image5.png"/><Relationship Id="rId36" Type="http://schemas.openxmlformats.org/officeDocument/2006/relationships/diagramQuickStyle" Target="diagrams/quickStyle2.xml"/><Relationship Id="rId49" Type="http://schemas.openxmlformats.org/officeDocument/2006/relationships/chart" Target="charts/chart4.xml"/><Relationship Id="rId57" Type="http://schemas.openxmlformats.org/officeDocument/2006/relationships/chart" Target="charts/chart12.xml"/><Relationship Id="rId61" Type="http://schemas.openxmlformats.org/officeDocument/2006/relationships/theme" Target="theme/theme1.xml"/><Relationship Id="rId10" Type="http://schemas.openxmlformats.org/officeDocument/2006/relationships/hyperlink" Target="file:///C:\Users\elizabeth\Documents\PhD\PhD%20writeups\Liz%20Whelan%20-%20with%20corrections%20final%20for%20printing%20separate%20appendices.docx" TargetMode="External"/><Relationship Id="rId19" Type="http://schemas.openxmlformats.org/officeDocument/2006/relationships/image" Target="media/image2.png"/><Relationship Id="rId31" Type="http://schemas.openxmlformats.org/officeDocument/2006/relationships/image" Target="media/image8.png"/><Relationship Id="rId44" Type="http://schemas.openxmlformats.org/officeDocument/2006/relationships/image" Target="media/image16.png"/><Relationship Id="rId52" Type="http://schemas.openxmlformats.org/officeDocument/2006/relationships/chart" Target="charts/chart7.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Users\elizabeth\Documents\PhD\PhD%20writeups\Liz%20Whelan%20-%20with%20corrections%20final%20for%20printing%20separate%20appendices.docx" TargetMode="External"/><Relationship Id="rId22" Type="http://schemas.openxmlformats.org/officeDocument/2006/relationships/diagramLayout" Target="diagrams/layout1.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diagramLayout" Target="diagrams/layout2.xml"/><Relationship Id="rId43" Type="http://schemas.openxmlformats.org/officeDocument/2006/relationships/image" Target="media/image15.png"/><Relationship Id="rId48" Type="http://schemas.openxmlformats.org/officeDocument/2006/relationships/chart" Target="charts/chart3.xml"/><Relationship Id="rId56" Type="http://schemas.openxmlformats.org/officeDocument/2006/relationships/chart" Target="charts/chart11.xml"/><Relationship Id="rId8" Type="http://schemas.openxmlformats.org/officeDocument/2006/relationships/image" Target="media/image1.jpeg"/><Relationship Id="rId51" Type="http://schemas.openxmlformats.org/officeDocument/2006/relationships/chart" Target="charts/chart6.xml"/><Relationship Id="rId3" Type="http://schemas.openxmlformats.org/officeDocument/2006/relationships/styles" Target="styles.xml"/><Relationship Id="rId12" Type="http://schemas.openxmlformats.org/officeDocument/2006/relationships/hyperlink" Target="file:///C:\Users\elizabeth\Documents\PhD\PhD%20writeups\Liz%20Whelan%20-%20with%20corrections%20final%20for%20printing%20separate%20appendices.docx" TargetMode="External"/><Relationship Id="rId17" Type="http://schemas.openxmlformats.org/officeDocument/2006/relationships/hyperlink" Target="file:///C:\Users\elizabeth\Documents\PhD\PhD%20writeups\Liz%20Whelan%20-%20with%20corrections%20final%20for%20printing%20separate%20appendices.docx" TargetMode="External"/><Relationship Id="rId25" Type="http://schemas.microsoft.com/office/2007/relationships/diagramDrawing" Target="diagrams/drawing1.xml"/><Relationship Id="rId33" Type="http://schemas.openxmlformats.org/officeDocument/2006/relationships/image" Target="media/image10.png"/><Relationship Id="rId38" Type="http://schemas.microsoft.com/office/2007/relationships/diagramDrawing" Target="diagrams/drawing2.xml"/><Relationship Id="rId46" Type="http://schemas.openxmlformats.org/officeDocument/2006/relationships/chart" Target="charts/chart1.xml"/><Relationship Id="rId59" Type="http://schemas.openxmlformats.org/officeDocument/2006/relationships/chart" Target="charts/chart14.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elizabeth\Documents\PhD\Results\results%20workbook%20current%20work%20in%20progress%2020180709%20version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elizabeth\Documents\PhD\Results\results%20workbook%20current%20work%20in%20progress%2020180709%20version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elizabeth\Documents\PhD\Results\results%20workbook%20current%20work%20in%20progress%2020180709%20version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elizabeth\Documents\PhD\Results\results%20workbook%20current%20work%20in%20progress%2020180709%20version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results%20workbook%20current%20work%20in%20progress%2020180709%20version3.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elizabeth\Documents\PhD\Results\results%20workbook%20current%20work%20in%20progress%2020180709%20version3.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lizabeth\Documents\PhD\Results\results%20workbook%20current%20work%20in%20progress%2020180709%20version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lizabeth\Documents\PhD\Results\results%20workbook%20current%20work%20in%20progress%2020180709%20version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PhD\PhD%20writeups\results%20workbook%20current%20work%20in%20progress%2020180709%20version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PhD\PhD%20writeups\results%20workbook%20current%20work%20in%20progress%2020180709%20version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lizabeth\Documents\PhD\Results\results%20workbook%20current%20work%20in%20progress%2020180709%20version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elizabeth\Documents\PhD\Results\results%20workbook%20current%20work%20in%20progress%2020180709%20version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elizabeth\Documents\PhD\Results\results%20workbook%20current%20work%20in%20progress%2020180709%20version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elizabeth\Documents\PhD\Results\results%20workbook%20current%20work%20in%20progress%2020180709%20version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0" i="0" baseline="0">
                <a:effectLst/>
              </a:rPr>
              <a:t>Formalist predisposition and project score (sample size n=45)</a:t>
            </a:r>
            <a:endParaRPr lang="en-GB"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val>
            <c:numRef>
              <c:f>'predisposition v outcome'!$DB$2:$DB$46</c:f>
              <c:numCache>
                <c:formatCode>General</c:formatCode>
                <c:ptCount val="45"/>
                <c:pt idx="0">
                  <c:v>9</c:v>
                </c:pt>
                <c:pt idx="1">
                  <c:v>6</c:v>
                </c:pt>
                <c:pt idx="2">
                  <c:v>9</c:v>
                </c:pt>
                <c:pt idx="3">
                  <c:v>8</c:v>
                </c:pt>
                <c:pt idx="4">
                  <c:v>7</c:v>
                </c:pt>
                <c:pt idx="5">
                  <c:v>9</c:v>
                </c:pt>
                <c:pt idx="6">
                  <c:v>6</c:v>
                </c:pt>
                <c:pt idx="7">
                  <c:v>10</c:v>
                </c:pt>
                <c:pt idx="8">
                  <c:v>3</c:v>
                </c:pt>
                <c:pt idx="9">
                  <c:v>9</c:v>
                </c:pt>
                <c:pt idx="10">
                  <c:v>8</c:v>
                </c:pt>
                <c:pt idx="11">
                  <c:v>9</c:v>
                </c:pt>
                <c:pt idx="12">
                  <c:v>6</c:v>
                </c:pt>
                <c:pt idx="13">
                  <c:v>7</c:v>
                </c:pt>
                <c:pt idx="14">
                  <c:v>8</c:v>
                </c:pt>
                <c:pt idx="15">
                  <c:v>9</c:v>
                </c:pt>
                <c:pt idx="16">
                  <c:v>8</c:v>
                </c:pt>
                <c:pt idx="17">
                  <c:v>7</c:v>
                </c:pt>
                <c:pt idx="18">
                  <c:v>8</c:v>
                </c:pt>
                <c:pt idx="19">
                  <c:v>7</c:v>
                </c:pt>
                <c:pt idx="20">
                  <c:v>8</c:v>
                </c:pt>
                <c:pt idx="21">
                  <c:v>9</c:v>
                </c:pt>
                <c:pt idx="22">
                  <c:v>9</c:v>
                </c:pt>
                <c:pt idx="23">
                  <c:v>6</c:v>
                </c:pt>
                <c:pt idx="24">
                  <c:v>7</c:v>
                </c:pt>
                <c:pt idx="25">
                  <c:v>6</c:v>
                </c:pt>
                <c:pt idx="26">
                  <c:v>9</c:v>
                </c:pt>
                <c:pt idx="27">
                  <c:v>5</c:v>
                </c:pt>
                <c:pt idx="28">
                  <c:v>8</c:v>
                </c:pt>
                <c:pt idx="29">
                  <c:v>7</c:v>
                </c:pt>
                <c:pt idx="30">
                  <c:v>10</c:v>
                </c:pt>
                <c:pt idx="31">
                  <c:v>9</c:v>
                </c:pt>
                <c:pt idx="32">
                  <c:v>7</c:v>
                </c:pt>
                <c:pt idx="33">
                  <c:v>10</c:v>
                </c:pt>
                <c:pt idx="34">
                  <c:v>8</c:v>
                </c:pt>
                <c:pt idx="35">
                  <c:v>6</c:v>
                </c:pt>
                <c:pt idx="36">
                  <c:v>8</c:v>
                </c:pt>
                <c:pt idx="37">
                  <c:v>7</c:v>
                </c:pt>
                <c:pt idx="38">
                  <c:v>8</c:v>
                </c:pt>
                <c:pt idx="39">
                  <c:v>11</c:v>
                </c:pt>
                <c:pt idx="40">
                  <c:v>8</c:v>
                </c:pt>
                <c:pt idx="41">
                  <c:v>10</c:v>
                </c:pt>
                <c:pt idx="42">
                  <c:v>5</c:v>
                </c:pt>
                <c:pt idx="43">
                  <c:v>7</c:v>
                </c:pt>
                <c:pt idx="44">
                  <c:v>8</c:v>
                </c:pt>
              </c:numCache>
            </c:numRef>
          </c:val>
          <c:extLst>
            <c:ext xmlns:c16="http://schemas.microsoft.com/office/drawing/2014/chart" uri="{C3380CC4-5D6E-409C-BE32-E72D297353CC}">
              <c16:uniqueId val="{00000000-C9C6-4160-98B3-39C2ADDCD91D}"/>
            </c:ext>
          </c:extLst>
        </c:ser>
        <c:dLbls>
          <c:showLegendKey val="0"/>
          <c:showVal val="0"/>
          <c:showCatName val="0"/>
          <c:showSerName val="0"/>
          <c:showPercent val="0"/>
          <c:showBubbleSize val="0"/>
        </c:dLbls>
        <c:gapWidth val="219"/>
        <c:overlap val="-27"/>
        <c:axId val="598329072"/>
        <c:axId val="598329400"/>
      </c:barChart>
      <c:catAx>
        <c:axId val="598329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projects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8329400"/>
        <c:crosses val="autoZero"/>
        <c:auto val="1"/>
        <c:lblAlgn val="ctr"/>
        <c:lblOffset val="100"/>
        <c:noMultiLvlLbl val="0"/>
      </c:catAx>
      <c:valAx>
        <c:axId val="598329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Project  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8329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GB" sz="1100"/>
              <a:t>Corporate governance effectiveness and claimed success scores</a:t>
            </a:r>
          </a:p>
          <a:p>
            <a:pPr>
              <a:defRPr/>
            </a:pPr>
            <a:r>
              <a:rPr lang="en-GB" sz="1100"/>
              <a:t> (sample</a:t>
            </a:r>
            <a:r>
              <a:rPr lang="en-GB" sz="1100" baseline="0"/>
              <a:t> n=45)</a:t>
            </a:r>
            <a:endParaRPr lang="en-GB" sz="1100"/>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lineChart>
        <c:grouping val="standard"/>
        <c:varyColors val="0"/>
        <c:ser>
          <c:idx val="0"/>
          <c:order val="0"/>
          <c:tx>
            <c:strRef>
              <c:f>'Corp gov and success'!$O$1</c:f>
              <c:strCache>
                <c:ptCount val="1"/>
                <c:pt idx="0">
                  <c:v>corporate governance score</c:v>
                </c:pt>
              </c:strCache>
            </c:strRef>
          </c:tx>
          <c:spPr>
            <a:ln w="22225" cap="rnd">
              <a:solidFill>
                <a:schemeClr val="accent1"/>
              </a:solidFill>
              <a:round/>
            </a:ln>
            <a:effectLst/>
          </c:spPr>
          <c:marker>
            <c:symbol val="none"/>
          </c:marker>
          <c:val>
            <c:numRef>
              <c:f>'Corp gov and success'!$O$2:$O$46</c:f>
              <c:numCache>
                <c:formatCode>General</c:formatCode>
                <c:ptCount val="45"/>
                <c:pt idx="0">
                  <c:v>16</c:v>
                </c:pt>
                <c:pt idx="1">
                  <c:v>0</c:v>
                </c:pt>
                <c:pt idx="2">
                  <c:v>8</c:v>
                </c:pt>
                <c:pt idx="3">
                  <c:v>21</c:v>
                </c:pt>
                <c:pt idx="4">
                  <c:v>6</c:v>
                </c:pt>
                <c:pt idx="5">
                  <c:v>16</c:v>
                </c:pt>
                <c:pt idx="6">
                  <c:v>16</c:v>
                </c:pt>
                <c:pt idx="7">
                  <c:v>25</c:v>
                </c:pt>
                <c:pt idx="8">
                  <c:v>18</c:v>
                </c:pt>
                <c:pt idx="9">
                  <c:v>13</c:v>
                </c:pt>
                <c:pt idx="10">
                  <c:v>10</c:v>
                </c:pt>
                <c:pt idx="11">
                  <c:v>17</c:v>
                </c:pt>
                <c:pt idx="12">
                  <c:v>17</c:v>
                </c:pt>
                <c:pt idx="13">
                  <c:v>25</c:v>
                </c:pt>
                <c:pt idx="14">
                  <c:v>14</c:v>
                </c:pt>
                <c:pt idx="15">
                  <c:v>24</c:v>
                </c:pt>
                <c:pt idx="16">
                  <c:v>24</c:v>
                </c:pt>
                <c:pt idx="17">
                  <c:v>24</c:v>
                </c:pt>
                <c:pt idx="18">
                  <c:v>12</c:v>
                </c:pt>
                <c:pt idx="19">
                  <c:v>16</c:v>
                </c:pt>
                <c:pt idx="20">
                  <c:v>23</c:v>
                </c:pt>
                <c:pt idx="21">
                  <c:v>21</c:v>
                </c:pt>
                <c:pt idx="22">
                  <c:v>20</c:v>
                </c:pt>
                <c:pt idx="23">
                  <c:v>9</c:v>
                </c:pt>
                <c:pt idx="24">
                  <c:v>17</c:v>
                </c:pt>
                <c:pt idx="25">
                  <c:v>21</c:v>
                </c:pt>
                <c:pt idx="26">
                  <c:v>16</c:v>
                </c:pt>
                <c:pt idx="27">
                  <c:v>18</c:v>
                </c:pt>
                <c:pt idx="28">
                  <c:v>8</c:v>
                </c:pt>
                <c:pt idx="29">
                  <c:v>18</c:v>
                </c:pt>
                <c:pt idx="30">
                  <c:v>0</c:v>
                </c:pt>
                <c:pt idx="31">
                  <c:v>21</c:v>
                </c:pt>
                <c:pt idx="32">
                  <c:v>23</c:v>
                </c:pt>
                <c:pt idx="33">
                  <c:v>26</c:v>
                </c:pt>
                <c:pt idx="34">
                  <c:v>14</c:v>
                </c:pt>
                <c:pt idx="35">
                  <c:v>20</c:v>
                </c:pt>
                <c:pt idx="36">
                  <c:v>0</c:v>
                </c:pt>
                <c:pt idx="37">
                  <c:v>13</c:v>
                </c:pt>
                <c:pt idx="38">
                  <c:v>16</c:v>
                </c:pt>
                <c:pt idx="39">
                  <c:v>5</c:v>
                </c:pt>
                <c:pt idx="40">
                  <c:v>17</c:v>
                </c:pt>
                <c:pt idx="41">
                  <c:v>12</c:v>
                </c:pt>
                <c:pt idx="42">
                  <c:v>20</c:v>
                </c:pt>
                <c:pt idx="43">
                  <c:v>8</c:v>
                </c:pt>
                <c:pt idx="44">
                  <c:v>22</c:v>
                </c:pt>
              </c:numCache>
            </c:numRef>
          </c:val>
          <c:smooth val="0"/>
          <c:extLst>
            <c:ext xmlns:c16="http://schemas.microsoft.com/office/drawing/2014/chart" uri="{C3380CC4-5D6E-409C-BE32-E72D297353CC}">
              <c16:uniqueId val="{00000000-0D7D-48CA-AEFD-1C297C75FE38}"/>
            </c:ext>
          </c:extLst>
        </c:ser>
        <c:ser>
          <c:idx val="1"/>
          <c:order val="1"/>
          <c:tx>
            <c:strRef>
              <c:f>'Corp gov and success'!$P$1</c:f>
              <c:strCache>
                <c:ptCount val="1"/>
                <c:pt idx="0">
                  <c:v>Project success score</c:v>
                </c:pt>
              </c:strCache>
            </c:strRef>
          </c:tx>
          <c:spPr>
            <a:ln w="22225" cap="rnd">
              <a:solidFill>
                <a:schemeClr val="accent2"/>
              </a:solidFill>
              <a:round/>
            </a:ln>
            <a:effectLst/>
          </c:spPr>
          <c:marker>
            <c:symbol val="none"/>
          </c:marker>
          <c:val>
            <c:numRef>
              <c:f>'Corp gov and success'!$P$2:$P$46</c:f>
              <c:numCache>
                <c:formatCode>General</c:formatCode>
                <c:ptCount val="45"/>
                <c:pt idx="0">
                  <c:v>9</c:v>
                </c:pt>
                <c:pt idx="1">
                  <c:v>9</c:v>
                </c:pt>
                <c:pt idx="2">
                  <c:v>9</c:v>
                </c:pt>
                <c:pt idx="3">
                  <c:v>9</c:v>
                </c:pt>
                <c:pt idx="4">
                  <c:v>9</c:v>
                </c:pt>
                <c:pt idx="5">
                  <c:v>9</c:v>
                </c:pt>
                <c:pt idx="6">
                  <c:v>9</c:v>
                </c:pt>
                <c:pt idx="7">
                  <c:v>9</c:v>
                </c:pt>
                <c:pt idx="8">
                  <c:v>9</c:v>
                </c:pt>
                <c:pt idx="9">
                  <c:v>9</c:v>
                </c:pt>
                <c:pt idx="10">
                  <c:v>9</c:v>
                </c:pt>
                <c:pt idx="11">
                  <c:v>9</c:v>
                </c:pt>
                <c:pt idx="12">
                  <c:v>9</c:v>
                </c:pt>
                <c:pt idx="13">
                  <c:v>9</c:v>
                </c:pt>
                <c:pt idx="14">
                  <c:v>9</c:v>
                </c:pt>
                <c:pt idx="15">
                  <c:v>9</c:v>
                </c:pt>
                <c:pt idx="16">
                  <c:v>9</c:v>
                </c:pt>
                <c:pt idx="17">
                  <c:v>9</c:v>
                </c:pt>
                <c:pt idx="18">
                  <c:v>9</c:v>
                </c:pt>
                <c:pt idx="19">
                  <c:v>9</c:v>
                </c:pt>
                <c:pt idx="20">
                  <c:v>9</c:v>
                </c:pt>
                <c:pt idx="21">
                  <c:v>9</c:v>
                </c:pt>
                <c:pt idx="22">
                  <c:v>9</c:v>
                </c:pt>
                <c:pt idx="23">
                  <c:v>9</c:v>
                </c:pt>
                <c:pt idx="24">
                  <c:v>9</c:v>
                </c:pt>
                <c:pt idx="25">
                  <c:v>9</c:v>
                </c:pt>
                <c:pt idx="26">
                  <c:v>9</c:v>
                </c:pt>
                <c:pt idx="27">
                  <c:v>9</c:v>
                </c:pt>
                <c:pt idx="28">
                  <c:v>9</c:v>
                </c:pt>
                <c:pt idx="29">
                  <c:v>9</c:v>
                </c:pt>
                <c:pt idx="30">
                  <c:v>9</c:v>
                </c:pt>
                <c:pt idx="31">
                  <c:v>9</c:v>
                </c:pt>
                <c:pt idx="32">
                  <c:v>9</c:v>
                </c:pt>
                <c:pt idx="33">
                  <c:v>9</c:v>
                </c:pt>
                <c:pt idx="34">
                  <c:v>9</c:v>
                </c:pt>
                <c:pt idx="35">
                  <c:v>9</c:v>
                </c:pt>
                <c:pt idx="36">
                  <c:v>9</c:v>
                </c:pt>
                <c:pt idx="37">
                  <c:v>9</c:v>
                </c:pt>
                <c:pt idx="38">
                  <c:v>9</c:v>
                </c:pt>
                <c:pt idx="39">
                  <c:v>9</c:v>
                </c:pt>
                <c:pt idx="40">
                  <c:v>9</c:v>
                </c:pt>
                <c:pt idx="41">
                  <c:v>9</c:v>
                </c:pt>
                <c:pt idx="42">
                  <c:v>9</c:v>
                </c:pt>
                <c:pt idx="43">
                  <c:v>9</c:v>
                </c:pt>
                <c:pt idx="44">
                  <c:v>9</c:v>
                </c:pt>
              </c:numCache>
            </c:numRef>
          </c:val>
          <c:smooth val="0"/>
          <c:extLst>
            <c:ext xmlns:c16="http://schemas.microsoft.com/office/drawing/2014/chart" uri="{C3380CC4-5D6E-409C-BE32-E72D297353CC}">
              <c16:uniqueId val="{00000001-0D7D-48CA-AEFD-1C297C75FE38}"/>
            </c:ext>
          </c:extLst>
        </c:ser>
        <c:dLbls>
          <c:showLegendKey val="0"/>
          <c:showVal val="0"/>
          <c:showCatName val="0"/>
          <c:showSerName val="0"/>
          <c:showPercent val="0"/>
          <c:showBubbleSize val="0"/>
        </c:dLbls>
        <c:upDownBars>
          <c:gapWidth val="150"/>
          <c:upBars>
            <c:spPr>
              <a:solidFill>
                <a:schemeClr val="dk1"/>
              </a:solidFill>
              <a:ln w="9525" cap="flat" cmpd="sng" algn="ctr">
                <a:solidFill>
                  <a:schemeClr val="dk1">
                    <a:lumMod val="50000"/>
                    <a:lumOff val="50000"/>
                  </a:schemeClr>
                </a:solidFill>
                <a:round/>
              </a:ln>
              <a:effectLst/>
            </c:spPr>
          </c:upBars>
          <c:downBars>
            <c:spPr>
              <a:noFill/>
              <a:ln w="9525" cap="flat" cmpd="sng" algn="ctr">
                <a:solidFill>
                  <a:schemeClr val="dk1">
                    <a:lumMod val="50000"/>
                    <a:lumOff val="50000"/>
                  </a:schemeClr>
                </a:solidFill>
                <a:round/>
              </a:ln>
              <a:effectLst/>
            </c:spPr>
          </c:downBars>
        </c:upDownBars>
        <c:smooth val="0"/>
        <c:axId val="645295680"/>
        <c:axId val="645306176"/>
      </c:lineChart>
      <c:catAx>
        <c:axId val="64529568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Sample size =</a:t>
                </a:r>
                <a:r>
                  <a:rPr lang="en-GB" baseline="0"/>
                  <a:t> 45</a:t>
                </a:r>
                <a:endParaRPr lang="en-GB"/>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645306176"/>
        <c:crosses val="autoZero"/>
        <c:auto val="1"/>
        <c:lblAlgn val="ctr"/>
        <c:lblOffset val="100"/>
        <c:noMultiLvlLbl val="0"/>
      </c:catAx>
      <c:valAx>
        <c:axId val="645306176"/>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Corporate</a:t>
                </a:r>
                <a:r>
                  <a:rPr lang="en-GB" baseline="0"/>
                  <a:t> and claimed success scores</a:t>
                </a:r>
                <a:endParaRPr lang="en-GB"/>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64529568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Corporate governance and iron triangle success (n=11)</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15062469076464194"/>
                  <c:y val="-6.060109303893036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'Corp gov and success'!$V$2:$V$12</c:f>
              <c:numCache>
                <c:formatCode>General</c:formatCode>
                <c:ptCount val="11"/>
                <c:pt idx="0">
                  <c:v>16</c:v>
                </c:pt>
                <c:pt idx="1">
                  <c:v>25</c:v>
                </c:pt>
                <c:pt idx="2">
                  <c:v>10</c:v>
                </c:pt>
                <c:pt idx="3">
                  <c:v>17</c:v>
                </c:pt>
                <c:pt idx="4">
                  <c:v>24</c:v>
                </c:pt>
                <c:pt idx="5">
                  <c:v>24</c:v>
                </c:pt>
                <c:pt idx="6">
                  <c:v>17</c:v>
                </c:pt>
                <c:pt idx="7">
                  <c:v>21</c:v>
                </c:pt>
                <c:pt idx="8">
                  <c:v>0</c:v>
                </c:pt>
                <c:pt idx="9">
                  <c:v>16</c:v>
                </c:pt>
                <c:pt idx="10">
                  <c:v>0</c:v>
                </c:pt>
              </c:numCache>
            </c:numRef>
          </c:xVal>
          <c:yVal>
            <c:numRef>
              <c:f>'Corp gov and success'!$W$2:$W$12</c:f>
              <c:numCache>
                <c:formatCode>General</c:formatCode>
                <c:ptCount val="11"/>
                <c:pt idx="0">
                  <c:v>9</c:v>
                </c:pt>
                <c:pt idx="1">
                  <c:v>10</c:v>
                </c:pt>
                <c:pt idx="2">
                  <c:v>9</c:v>
                </c:pt>
                <c:pt idx="3">
                  <c:v>9</c:v>
                </c:pt>
                <c:pt idx="4">
                  <c:v>10</c:v>
                </c:pt>
                <c:pt idx="5">
                  <c:v>9</c:v>
                </c:pt>
                <c:pt idx="6">
                  <c:v>9</c:v>
                </c:pt>
                <c:pt idx="7">
                  <c:v>9</c:v>
                </c:pt>
                <c:pt idx="8">
                  <c:v>9</c:v>
                </c:pt>
                <c:pt idx="9">
                  <c:v>10</c:v>
                </c:pt>
                <c:pt idx="10">
                  <c:v>10</c:v>
                </c:pt>
              </c:numCache>
            </c:numRef>
          </c:yVal>
          <c:smooth val="0"/>
          <c:extLst>
            <c:ext xmlns:c16="http://schemas.microsoft.com/office/drawing/2014/chart" uri="{C3380CC4-5D6E-409C-BE32-E72D297353CC}">
              <c16:uniqueId val="{00000003-1113-4610-A6AB-38E8E1943284}"/>
            </c:ext>
          </c:extLst>
        </c:ser>
        <c:dLbls>
          <c:showLegendKey val="0"/>
          <c:showVal val="0"/>
          <c:showCatName val="0"/>
          <c:showSerName val="0"/>
          <c:showPercent val="0"/>
          <c:showBubbleSize val="0"/>
        </c:dLbls>
        <c:axId val="445661824"/>
        <c:axId val="439975192"/>
      </c:scatterChart>
      <c:valAx>
        <c:axId val="445661824"/>
        <c:scaling>
          <c:orientation val="minMax"/>
          <c:max val="3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975192"/>
        <c:crosses val="autoZero"/>
        <c:crossBetween val="midCat"/>
      </c:valAx>
      <c:valAx>
        <c:axId val="439975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66182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0" i="0" baseline="0">
                <a:effectLst/>
              </a:rPr>
              <a:t>Corporate governance and project success scores</a:t>
            </a:r>
            <a:endParaRPr lang="en-GB" sz="1200" b="0">
              <a:effectLst/>
            </a:endParaRPr>
          </a:p>
          <a:p>
            <a:pPr>
              <a:defRPr/>
            </a:pPr>
            <a:r>
              <a:rPr lang="en-GB" sz="1050" b="0" i="0" baseline="0">
                <a:effectLst/>
              </a:rPr>
              <a:t>(sample size n=51)</a:t>
            </a:r>
            <a:endParaRPr lang="en-GB" sz="900" b="0">
              <a:effectLst/>
            </a:endParaRPr>
          </a:p>
        </c:rich>
      </c:tx>
      <c:layout>
        <c:manualLayout>
          <c:xMode val="edge"/>
          <c:yMode val="edge"/>
          <c:x val="0.18358808911183366"/>
          <c:y val="2.585092632485997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13110454943132108"/>
                  <c:y val="-0.206427165354330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'Corp gov and success'!$D$2:$D$52</c:f>
              <c:numCache>
                <c:formatCode>General</c:formatCode>
                <c:ptCount val="51"/>
                <c:pt idx="0">
                  <c:v>16</c:v>
                </c:pt>
                <c:pt idx="1">
                  <c:v>0</c:v>
                </c:pt>
                <c:pt idx="2">
                  <c:v>8</c:v>
                </c:pt>
                <c:pt idx="3">
                  <c:v>21</c:v>
                </c:pt>
                <c:pt idx="4">
                  <c:v>6</c:v>
                </c:pt>
                <c:pt idx="5">
                  <c:v>16</c:v>
                </c:pt>
                <c:pt idx="6">
                  <c:v>16</c:v>
                </c:pt>
                <c:pt idx="7">
                  <c:v>25</c:v>
                </c:pt>
                <c:pt idx="8">
                  <c:v>18</c:v>
                </c:pt>
                <c:pt idx="9">
                  <c:v>13</c:v>
                </c:pt>
                <c:pt idx="10">
                  <c:v>10</c:v>
                </c:pt>
                <c:pt idx="11">
                  <c:v>17</c:v>
                </c:pt>
                <c:pt idx="12">
                  <c:v>17</c:v>
                </c:pt>
                <c:pt idx="13">
                  <c:v>25</c:v>
                </c:pt>
                <c:pt idx="14">
                  <c:v>14</c:v>
                </c:pt>
                <c:pt idx="15">
                  <c:v>24</c:v>
                </c:pt>
                <c:pt idx="16">
                  <c:v>24</c:v>
                </c:pt>
                <c:pt idx="17">
                  <c:v>24</c:v>
                </c:pt>
                <c:pt idx="18">
                  <c:v>12</c:v>
                </c:pt>
                <c:pt idx="19">
                  <c:v>16</c:v>
                </c:pt>
                <c:pt idx="20">
                  <c:v>23</c:v>
                </c:pt>
                <c:pt idx="21">
                  <c:v>21</c:v>
                </c:pt>
                <c:pt idx="22">
                  <c:v>20</c:v>
                </c:pt>
                <c:pt idx="23">
                  <c:v>9</c:v>
                </c:pt>
                <c:pt idx="24">
                  <c:v>17</c:v>
                </c:pt>
                <c:pt idx="25">
                  <c:v>21</c:v>
                </c:pt>
                <c:pt idx="26">
                  <c:v>16</c:v>
                </c:pt>
                <c:pt idx="27">
                  <c:v>18</c:v>
                </c:pt>
                <c:pt idx="28">
                  <c:v>8</c:v>
                </c:pt>
                <c:pt idx="29">
                  <c:v>18</c:v>
                </c:pt>
                <c:pt idx="30">
                  <c:v>0</c:v>
                </c:pt>
                <c:pt idx="31">
                  <c:v>21</c:v>
                </c:pt>
                <c:pt idx="32">
                  <c:v>23</c:v>
                </c:pt>
                <c:pt idx="33">
                  <c:v>26</c:v>
                </c:pt>
                <c:pt idx="34">
                  <c:v>14</c:v>
                </c:pt>
                <c:pt idx="35">
                  <c:v>20</c:v>
                </c:pt>
                <c:pt idx="36">
                  <c:v>0</c:v>
                </c:pt>
                <c:pt idx="37">
                  <c:v>13</c:v>
                </c:pt>
                <c:pt idx="38">
                  <c:v>16</c:v>
                </c:pt>
                <c:pt idx="39">
                  <c:v>5</c:v>
                </c:pt>
                <c:pt idx="40">
                  <c:v>17</c:v>
                </c:pt>
                <c:pt idx="41">
                  <c:v>12</c:v>
                </c:pt>
                <c:pt idx="42">
                  <c:v>20</c:v>
                </c:pt>
                <c:pt idx="43">
                  <c:v>8</c:v>
                </c:pt>
                <c:pt idx="44">
                  <c:v>22</c:v>
                </c:pt>
                <c:pt idx="45">
                  <c:v>11</c:v>
                </c:pt>
                <c:pt idx="46">
                  <c:v>19</c:v>
                </c:pt>
                <c:pt idx="47">
                  <c:v>24</c:v>
                </c:pt>
                <c:pt idx="48">
                  <c:v>14</c:v>
                </c:pt>
                <c:pt idx="49">
                  <c:v>12</c:v>
                </c:pt>
                <c:pt idx="50">
                  <c:v>16</c:v>
                </c:pt>
              </c:numCache>
            </c:numRef>
          </c:xVal>
          <c:yVal>
            <c:numRef>
              <c:f>'Corp gov and success'!$E$2:$E$52</c:f>
              <c:numCache>
                <c:formatCode>General</c:formatCode>
                <c:ptCount val="51"/>
                <c:pt idx="0">
                  <c:v>9</c:v>
                </c:pt>
                <c:pt idx="1">
                  <c:v>6</c:v>
                </c:pt>
                <c:pt idx="2">
                  <c:v>9</c:v>
                </c:pt>
                <c:pt idx="3">
                  <c:v>8</c:v>
                </c:pt>
                <c:pt idx="4">
                  <c:v>7</c:v>
                </c:pt>
                <c:pt idx="5">
                  <c:v>9</c:v>
                </c:pt>
                <c:pt idx="6">
                  <c:v>6</c:v>
                </c:pt>
                <c:pt idx="7">
                  <c:v>10</c:v>
                </c:pt>
                <c:pt idx="8">
                  <c:v>8</c:v>
                </c:pt>
                <c:pt idx="9">
                  <c:v>3</c:v>
                </c:pt>
                <c:pt idx="10">
                  <c:v>9</c:v>
                </c:pt>
                <c:pt idx="11">
                  <c:v>8</c:v>
                </c:pt>
                <c:pt idx="12">
                  <c:v>9</c:v>
                </c:pt>
                <c:pt idx="13">
                  <c:v>6</c:v>
                </c:pt>
                <c:pt idx="14">
                  <c:v>7</c:v>
                </c:pt>
                <c:pt idx="15">
                  <c:v>8</c:v>
                </c:pt>
                <c:pt idx="16">
                  <c:v>10</c:v>
                </c:pt>
                <c:pt idx="17">
                  <c:v>9</c:v>
                </c:pt>
                <c:pt idx="18">
                  <c:v>8</c:v>
                </c:pt>
                <c:pt idx="19">
                  <c:v>7</c:v>
                </c:pt>
                <c:pt idx="20">
                  <c:v>8</c:v>
                </c:pt>
                <c:pt idx="21">
                  <c:v>7</c:v>
                </c:pt>
                <c:pt idx="22">
                  <c:v>9</c:v>
                </c:pt>
                <c:pt idx="23">
                  <c:v>8</c:v>
                </c:pt>
                <c:pt idx="24">
                  <c:v>9</c:v>
                </c:pt>
                <c:pt idx="25">
                  <c:v>9</c:v>
                </c:pt>
                <c:pt idx="26">
                  <c:v>6</c:v>
                </c:pt>
                <c:pt idx="27">
                  <c:v>7</c:v>
                </c:pt>
                <c:pt idx="28">
                  <c:v>6</c:v>
                </c:pt>
                <c:pt idx="29">
                  <c:v>8</c:v>
                </c:pt>
                <c:pt idx="30">
                  <c:v>9</c:v>
                </c:pt>
                <c:pt idx="31">
                  <c:v>5</c:v>
                </c:pt>
                <c:pt idx="32">
                  <c:v>8</c:v>
                </c:pt>
                <c:pt idx="33">
                  <c:v>7</c:v>
                </c:pt>
                <c:pt idx="34">
                  <c:v>10</c:v>
                </c:pt>
                <c:pt idx="35">
                  <c:v>8</c:v>
                </c:pt>
                <c:pt idx="36">
                  <c:v>9</c:v>
                </c:pt>
                <c:pt idx="37">
                  <c:v>7</c:v>
                </c:pt>
                <c:pt idx="38">
                  <c:v>10</c:v>
                </c:pt>
                <c:pt idx="39">
                  <c:v>8</c:v>
                </c:pt>
                <c:pt idx="40">
                  <c:v>6</c:v>
                </c:pt>
                <c:pt idx="41">
                  <c:v>8</c:v>
                </c:pt>
                <c:pt idx="42">
                  <c:v>7</c:v>
                </c:pt>
                <c:pt idx="43">
                  <c:v>8</c:v>
                </c:pt>
                <c:pt idx="44">
                  <c:v>11</c:v>
                </c:pt>
                <c:pt idx="45">
                  <c:v>8</c:v>
                </c:pt>
                <c:pt idx="46">
                  <c:v>10</c:v>
                </c:pt>
                <c:pt idx="47">
                  <c:v>5</c:v>
                </c:pt>
                <c:pt idx="48">
                  <c:v>7</c:v>
                </c:pt>
                <c:pt idx="49">
                  <c:v>8</c:v>
                </c:pt>
                <c:pt idx="50">
                  <c:v>10</c:v>
                </c:pt>
              </c:numCache>
            </c:numRef>
          </c:yVal>
          <c:smooth val="0"/>
          <c:extLst>
            <c:ext xmlns:c16="http://schemas.microsoft.com/office/drawing/2014/chart" uri="{C3380CC4-5D6E-409C-BE32-E72D297353CC}">
              <c16:uniqueId val="{00000002-8FAE-48A2-8A84-D6DD203324C1}"/>
            </c:ext>
          </c:extLst>
        </c:ser>
        <c:dLbls>
          <c:showLegendKey val="0"/>
          <c:showVal val="0"/>
          <c:showCatName val="0"/>
          <c:showSerName val="0"/>
          <c:showPercent val="0"/>
          <c:showBubbleSize val="0"/>
        </c:dLbls>
        <c:axId val="514356040"/>
        <c:axId val="514356696"/>
      </c:scatterChart>
      <c:valAx>
        <c:axId val="514356040"/>
        <c:scaling>
          <c:orientation val="minMax"/>
          <c:min val="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Corporate governance score</a:t>
                </a:r>
              </a:p>
            </c:rich>
          </c:tx>
          <c:layout>
            <c:manualLayout>
              <c:xMode val="edge"/>
              <c:yMode val="edge"/>
              <c:x val="0.33540229500028268"/>
              <c:y val="0.89160591246645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356696"/>
        <c:crosses val="autoZero"/>
        <c:crossBetween val="midCat"/>
      </c:valAx>
      <c:valAx>
        <c:axId val="514356696"/>
        <c:scaling>
          <c:orientation val="minMax"/>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50" b="0" i="0" baseline="0">
                    <a:effectLst/>
                  </a:rPr>
                  <a:t>Project success score</a:t>
                </a:r>
                <a:endParaRPr lang="en-GB" sz="5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3560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Correlation</a:t>
            </a:r>
            <a:r>
              <a:rPr lang="en-GB" baseline="0"/>
              <a:t> of risk and project success scores (N=51)</a:t>
            </a:r>
            <a:endParaRPr lang="en-GB"/>
          </a:p>
        </c:rich>
      </c:tx>
      <c:layout>
        <c:manualLayout>
          <c:xMode val="edge"/>
          <c:yMode val="edge"/>
          <c:x val="0.19576399825021876"/>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11647944006999125"/>
                  <c:y val="-0.2472317002041411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'risk and outcome'!$D$2:$D$52</c:f>
              <c:numCache>
                <c:formatCode>General</c:formatCode>
                <c:ptCount val="51"/>
                <c:pt idx="0">
                  <c:v>9</c:v>
                </c:pt>
                <c:pt idx="1">
                  <c:v>6</c:v>
                </c:pt>
                <c:pt idx="2">
                  <c:v>9</c:v>
                </c:pt>
                <c:pt idx="3">
                  <c:v>8</c:v>
                </c:pt>
                <c:pt idx="4">
                  <c:v>7</c:v>
                </c:pt>
                <c:pt idx="5">
                  <c:v>9</c:v>
                </c:pt>
                <c:pt idx="6">
                  <c:v>6</c:v>
                </c:pt>
                <c:pt idx="7">
                  <c:v>10</c:v>
                </c:pt>
                <c:pt idx="8">
                  <c:v>8</c:v>
                </c:pt>
                <c:pt idx="9">
                  <c:v>3</c:v>
                </c:pt>
                <c:pt idx="10">
                  <c:v>9</c:v>
                </c:pt>
                <c:pt idx="11">
                  <c:v>8</c:v>
                </c:pt>
                <c:pt idx="12">
                  <c:v>9</c:v>
                </c:pt>
                <c:pt idx="13">
                  <c:v>6</c:v>
                </c:pt>
                <c:pt idx="14">
                  <c:v>7</c:v>
                </c:pt>
                <c:pt idx="15">
                  <c:v>8</c:v>
                </c:pt>
                <c:pt idx="16">
                  <c:v>10</c:v>
                </c:pt>
                <c:pt idx="17">
                  <c:v>9</c:v>
                </c:pt>
                <c:pt idx="18">
                  <c:v>8</c:v>
                </c:pt>
                <c:pt idx="19">
                  <c:v>7</c:v>
                </c:pt>
                <c:pt idx="20">
                  <c:v>8</c:v>
                </c:pt>
                <c:pt idx="21">
                  <c:v>7</c:v>
                </c:pt>
                <c:pt idx="22">
                  <c:v>9</c:v>
                </c:pt>
                <c:pt idx="23">
                  <c:v>8</c:v>
                </c:pt>
                <c:pt idx="24">
                  <c:v>9</c:v>
                </c:pt>
                <c:pt idx="25">
                  <c:v>9</c:v>
                </c:pt>
                <c:pt idx="26">
                  <c:v>6</c:v>
                </c:pt>
                <c:pt idx="27">
                  <c:v>7</c:v>
                </c:pt>
                <c:pt idx="28">
                  <c:v>6</c:v>
                </c:pt>
                <c:pt idx="29">
                  <c:v>8</c:v>
                </c:pt>
                <c:pt idx="30">
                  <c:v>9</c:v>
                </c:pt>
                <c:pt idx="31">
                  <c:v>5</c:v>
                </c:pt>
                <c:pt idx="32">
                  <c:v>8</c:v>
                </c:pt>
                <c:pt idx="33">
                  <c:v>7</c:v>
                </c:pt>
                <c:pt idx="34">
                  <c:v>10</c:v>
                </c:pt>
                <c:pt idx="35">
                  <c:v>8</c:v>
                </c:pt>
                <c:pt idx="36">
                  <c:v>9</c:v>
                </c:pt>
                <c:pt idx="37">
                  <c:v>7</c:v>
                </c:pt>
                <c:pt idx="38">
                  <c:v>10</c:v>
                </c:pt>
                <c:pt idx="39">
                  <c:v>8</c:v>
                </c:pt>
                <c:pt idx="40">
                  <c:v>6</c:v>
                </c:pt>
                <c:pt idx="41">
                  <c:v>8</c:v>
                </c:pt>
                <c:pt idx="42">
                  <c:v>7</c:v>
                </c:pt>
                <c:pt idx="43">
                  <c:v>8</c:v>
                </c:pt>
                <c:pt idx="44">
                  <c:v>11</c:v>
                </c:pt>
                <c:pt idx="45">
                  <c:v>8</c:v>
                </c:pt>
                <c:pt idx="46">
                  <c:v>10</c:v>
                </c:pt>
                <c:pt idx="47">
                  <c:v>5</c:v>
                </c:pt>
                <c:pt idx="48">
                  <c:v>7</c:v>
                </c:pt>
                <c:pt idx="49">
                  <c:v>8</c:v>
                </c:pt>
                <c:pt idx="50">
                  <c:v>10</c:v>
                </c:pt>
              </c:numCache>
            </c:numRef>
          </c:xVal>
          <c:yVal>
            <c:numRef>
              <c:f>'risk and outcome'!$E$2:$E$52</c:f>
              <c:numCache>
                <c:formatCode>0%</c:formatCode>
                <c:ptCount val="51"/>
                <c:pt idx="0">
                  <c:v>0.38500000000000001</c:v>
                </c:pt>
                <c:pt idx="1">
                  <c:v>0.31</c:v>
                </c:pt>
                <c:pt idx="2">
                  <c:v>0.245</c:v>
                </c:pt>
                <c:pt idx="3">
                  <c:v>0.29000000000000004</c:v>
                </c:pt>
                <c:pt idx="4">
                  <c:v>0.30499999999999999</c:v>
                </c:pt>
                <c:pt idx="5">
                  <c:v>0.39500000000000002</c:v>
                </c:pt>
                <c:pt idx="6">
                  <c:v>0.41000000000000003</c:v>
                </c:pt>
                <c:pt idx="7">
                  <c:v>0.34</c:v>
                </c:pt>
                <c:pt idx="8">
                  <c:v>0.52</c:v>
                </c:pt>
                <c:pt idx="9">
                  <c:v>0.48499999999999999</c:v>
                </c:pt>
                <c:pt idx="10">
                  <c:v>0.34</c:v>
                </c:pt>
                <c:pt idx="11">
                  <c:v>0.39</c:v>
                </c:pt>
                <c:pt idx="12">
                  <c:v>0.35500000000000004</c:v>
                </c:pt>
                <c:pt idx="13">
                  <c:v>0.4</c:v>
                </c:pt>
                <c:pt idx="14">
                  <c:v>0.41500000000000004</c:v>
                </c:pt>
                <c:pt idx="15">
                  <c:v>0.34</c:v>
                </c:pt>
                <c:pt idx="16">
                  <c:v>0.42500000000000004</c:v>
                </c:pt>
                <c:pt idx="17">
                  <c:v>0.23500000000000004</c:v>
                </c:pt>
                <c:pt idx="18">
                  <c:v>0.255</c:v>
                </c:pt>
                <c:pt idx="19">
                  <c:v>0.32</c:v>
                </c:pt>
                <c:pt idx="20">
                  <c:v>0.32</c:v>
                </c:pt>
                <c:pt idx="21">
                  <c:v>0.19500000000000001</c:v>
                </c:pt>
                <c:pt idx="22">
                  <c:v>0.155</c:v>
                </c:pt>
                <c:pt idx="23">
                  <c:v>0.38500000000000001</c:v>
                </c:pt>
                <c:pt idx="24">
                  <c:v>0.36000000000000004</c:v>
                </c:pt>
                <c:pt idx="25">
                  <c:v>0.54499999999999993</c:v>
                </c:pt>
                <c:pt idx="26">
                  <c:v>0.35</c:v>
                </c:pt>
                <c:pt idx="27">
                  <c:v>0.30000000000000004</c:v>
                </c:pt>
                <c:pt idx="28">
                  <c:v>0.35499999999999998</c:v>
                </c:pt>
                <c:pt idx="29">
                  <c:v>0.45500000000000002</c:v>
                </c:pt>
                <c:pt idx="30">
                  <c:v>0.42500000000000004</c:v>
                </c:pt>
                <c:pt idx="31">
                  <c:v>0.33999999999999997</c:v>
                </c:pt>
                <c:pt idx="32">
                  <c:v>0.55000000000000004</c:v>
                </c:pt>
                <c:pt idx="33">
                  <c:v>0.44500000000000006</c:v>
                </c:pt>
                <c:pt idx="34">
                  <c:v>0.35499999999999998</c:v>
                </c:pt>
                <c:pt idx="35">
                  <c:v>0.35499999999999998</c:v>
                </c:pt>
                <c:pt idx="36">
                  <c:v>0.16999999999999998</c:v>
                </c:pt>
                <c:pt idx="37">
                  <c:v>0.42000000000000004</c:v>
                </c:pt>
                <c:pt idx="38">
                  <c:v>0.27500000000000002</c:v>
                </c:pt>
                <c:pt idx="39">
                  <c:v>0.41000000000000003</c:v>
                </c:pt>
                <c:pt idx="40">
                  <c:v>0.46</c:v>
                </c:pt>
                <c:pt idx="41">
                  <c:v>0.43500000000000005</c:v>
                </c:pt>
                <c:pt idx="42">
                  <c:v>0.34499999999999997</c:v>
                </c:pt>
                <c:pt idx="43">
                  <c:v>0.59000000000000008</c:v>
                </c:pt>
                <c:pt idx="44">
                  <c:v>0.38</c:v>
                </c:pt>
                <c:pt idx="45">
                  <c:v>0.41499999999999998</c:v>
                </c:pt>
                <c:pt idx="46">
                  <c:v>0.27</c:v>
                </c:pt>
                <c:pt idx="47">
                  <c:v>0.33</c:v>
                </c:pt>
                <c:pt idx="48">
                  <c:v>0.45500000000000002</c:v>
                </c:pt>
                <c:pt idx="49">
                  <c:v>0.23500000000000004</c:v>
                </c:pt>
                <c:pt idx="50">
                  <c:v>0.27</c:v>
                </c:pt>
              </c:numCache>
            </c:numRef>
          </c:yVal>
          <c:smooth val="0"/>
          <c:extLst>
            <c:ext xmlns:c16="http://schemas.microsoft.com/office/drawing/2014/chart" uri="{C3380CC4-5D6E-409C-BE32-E72D297353CC}">
              <c16:uniqueId val="{00000002-633B-44ED-9FEC-739DC2A1FC85}"/>
            </c:ext>
          </c:extLst>
        </c:ser>
        <c:dLbls>
          <c:showLegendKey val="0"/>
          <c:showVal val="0"/>
          <c:showCatName val="0"/>
          <c:showSerName val="0"/>
          <c:showPercent val="0"/>
          <c:showBubbleSize val="0"/>
        </c:dLbls>
        <c:axId val="1668737183"/>
        <c:axId val="1672176879"/>
      </c:scatterChart>
      <c:valAx>
        <c:axId val="1668737183"/>
        <c:scaling>
          <c:orientation val="minMax"/>
          <c:min val="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Project success</a:t>
                </a:r>
                <a:r>
                  <a:rPr lang="en-GB" baseline="0"/>
                  <a:t> score</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2176879"/>
        <c:crosses val="autoZero"/>
        <c:crossBetween val="midCat"/>
      </c:valAx>
      <c:valAx>
        <c:axId val="1672176879"/>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873718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Correlation between</a:t>
            </a:r>
            <a:r>
              <a:rPr lang="en-US" sz="1200" baseline="0"/>
              <a:t> CSF and project success</a:t>
            </a:r>
            <a:r>
              <a:rPr lang="en-US" sz="1200"/>
              <a:t> </a:t>
            </a:r>
          </a:p>
          <a:p>
            <a:pPr>
              <a:defRPr/>
            </a:pPr>
            <a:r>
              <a:rPr lang="en-US" sz="1200"/>
              <a:t>n=51</a:t>
            </a:r>
          </a:p>
        </c:rich>
      </c:tx>
      <c:layout>
        <c:manualLayout>
          <c:xMode val="edge"/>
          <c:yMode val="edge"/>
          <c:x val="0.21984476502977635"/>
          <c:y val="3.70370496018889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1097344706911636"/>
                  <c:y val="-0.156403470399533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trendline>
            <c:spPr>
              <a:ln w="19050" cap="rnd">
                <a:solidFill>
                  <a:schemeClr val="accent1"/>
                </a:solidFill>
                <a:prstDash val="sysDot"/>
              </a:ln>
              <a:effectLst/>
            </c:spPr>
            <c:trendlineType val="linear"/>
            <c:dispRSqr val="0"/>
            <c:dispEq val="0"/>
          </c:trendline>
          <c:xVal>
            <c:numRef>
              <c:f>'CSF and outcome'!$AJ$2:$AJ$52</c:f>
              <c:numCache>
                <c:formatCode>General</c:formatCode>
                <c:ptCount val="51"/>
                <c:pt idx="0">
                  <c:v>35</c:v>
                </c:pt>
                <c:pt idx="1">
                  <c:v>26</c:v>
                </c:pt>
                <c:pt idx="2">
                  <c:v>35</c:v>
                </c:pt>
                <c:pt idx="3">
                  <c:v>30</c:v>
                </c:pt>
                <c:pt idx="4">
                  <c:v>14</c:v>
                </c:pt>
                <c:pt idx="5">
                  <c:v>26</c:v>
                </c:pt>
                <c:pt idx="6">
                  <c:v>29</c:v>
                </c:pt>
                <c:pt idx="7">
                  <c:v>34</c:v>
                </c:pt>
                <c:pt idx="8">
                  <c:v>30</c:v>
                </c:pt>
                <c:pt idx="9">
                  <c:v>21</c:v>
                </c:pt>
                <c:pt idx="10">
                  <c:v>28</c:v>
                </c:pt>
                <c:pt idx="11">
                  <c:v>34</c:v>
                </c:pt>
                <c:pt idx="12">
                  <c:v>28</c:v>
                </c:pt>
                <c:pt idx="13">
                  <c:v>27</c:v>
                </c:pt>
                <c:pt idx="14">
                  <c:v>22</c:v>
                </c:pt>
                <c:pt idx="15">
                  <c:v>32</c:v>
                </c:pt>
                <c:pt idx="16">
                  <c:v>39</c:v>
                </c:pt>
                <c:pt idx="17">
                  <c:v>33</c:v>
                </c:pt>
                <c:pt idx="18">
                  <c:v>25</c:v>
                </c:pt>
                <c:pt idx="19">
                  <c:v>31</c:v>
                </c:pt>
                <c:pt idx="20">
                  <c:v>35</c:v>
                </c:pt>
                <c:pt idx="21">
                  <c:v>30</c:v>
                </c:pt>
                <c:pt idx="22">
                  <c:v>29</c:v>
                </c:pt>
                <c:pt idx="23">
                  <c:v>32</c:v>
                </c:pt>
                <c:pt idx="24">
                  <c:v>31</c:v>
                </c:pt>
                <c:pt idx="25">
                  <c:v>27</c:v>
                </c:pt>
                <c:pt idx="26">
                  <c:v>33</c:v>
                </c:pt>
                <c:pt idx="27">
                  <c:v>31</c:v>
                </c:pt>
                <c:pt idx="28">
                  <c:v>21</c:v>
                </c:pt>
                <c:pt idx="29">
                  <c:v>34</c:v>
                </c:pt>
                <c:pt idx="30">
                  <c:v>27</c:v>
                </c:pt>
                <c:pt idx="31">
                  <c:v>30</c:v>
                </c:pt>
                <c:pt idx="32">
                  <c:v>33</c:v>
                </c:pt>
                <c:pt idx="33">
                  <c:v>36</c:v>
                </c:pt>
                <c:pt idx="34">
                  <c:v>31</c:v>
                </c:pt>
                <c:pt idx="35">
                  <c:v>37</c:v>
                </c:pt>
                <c:pt idx="36">
                  <c:v>31</c:v>
                </c:pt>
                <c:pt idx="37">
                  <c:v>29</c:v>
                </c:pt>
                <c:pt idx="38">
                  <c:v>32</c:v>
                </c:pt>
                <c:pt idx="39">
                  <c:v>36</c:v>
                </c:pt>
                <c:pt idx="40">
                  <c:v>36</c:v>
                </c:pt>
                <c:pt idx="41">
                  <c:v>36</c:v>
                </c:pt>
                <c:pt idx="42">
                  <c:v>31</c:v>
                </c:pt>
                <c:pt idx="43">
                  <c:v>26</c:v>
                </c:pt>
                <c:pt idx="44">
                  <c:v>31</c:v>
                </c:pt>
                <c:pt idx="45">
                  <c:v>26</c:v>
                </c:pt>
                <c:pt idx="46">
                  <c:v>35</c:v>
                </c:pt>
                <c:pt idx="47">
                  <c:v>29</c:v>
                </c:pt>
                <c:pt idx="48">
                  <c:v>38</c:v>
                </c:pt>
                <c:pt idx="49">
                  <c:v>27</c:v>
                </c:pt>
                <c:pt idx="50">
                  <c:v>28</c:v>
                </c:pt>
              </c:numCache>
            </c:numRef>
          </c:xVal>
          <c:yVal>
            <c:numRef>
              <c:f>'CSF and outcome'!$AK$2:$AK$52</c:f>
              <c:numCache>
                <c:formatCode>General</c:formatCode>
                <c:ptCount val="51"/>
                <c:pt idx="0">
                  <c:v>9</c:v>
                </c:pt>
                <c:pt idx="1">
                  <c:v>6</c:v>
                </c:pt>
                <c:pt idx="2">
                  <c:v>9</c:v>
                </c:pt>
                <c:pt idx="3">
                  <c:v>8</c:v>
                </c:pt>
                <c:pt idx="4">
                  <c:v>7</c:v>
                </c:pt>
                <c:pt idx="5">
                  <c:v>9</c:v>
                </c:pt>
                <c:pt idx="6">
                  <c:v>6</c:v>
                </c:pt>
                <c:pt idx="7">
                  <c:v>10</c:v>
                </c:pt>
                <c:pt idx="8">
                  <c:v>8</c:v>
                </c:pt>
                <c:pt idx="9">
                  <c:v>3</c:v>
                </c:pt>
                <c:pt idx="10">
                  <c:v>9</c:v>
                </c:pt>
                <c:pt idx="11">
                  <c:v>8</c:v>
                </c:pt>
                <c:pt idx="12">
                  <c:v>9</c:v>
                </c:pt>
                <c:pt idx="13">
                  <c:v>6</c:v>
                </c:pt>
                <c:pt idx="14">
                  <c:v>7</c:v>
                </c:pt>
                <c:pt idx="15">
                  <c:v>8</c:v>
                </c:pt>
                <c:pt idx="16">
                  <c:v>10</c:v>
                </c:pt>
                <c:pt idx="17">
                  <c:v>9</c:v>
                </c:pt>
                <c:pt idx="18">
                  <c:v>8</c:v>
                </c:pt>
                <c:pt idx="19">
                  <c:v>7</c:v>
                </c:pt>
                <c:pt idx="20">
                  <c:v>8</c:v>
                </c:pt>
                <c:pt idx="21">
                  <c:v>7</c:v>
                </c:pt>
                <c:pt idx="22">
                  <c:v>9</c:v>
                </c:pt>
                <c:pt idx="23">
                  <c:v>8</c:v>
                </c:pt>
                <c:pt idx="24">
                  <c:v>9</c:v>
                </c:pt>
                <c:pt idx="25">
                  <c:v>9</c:v>
                </c:pt>
                <c:pt idx="26">
                  <c:v>6</c:v>
                </c:pt>
                <c:pt idx="27">
                  <c:v>7</c:v>
                </c:pt>
                <c:pt idx="28">
                  <c:v>6</c:v>
                </c:pt>
                <c:pt idx="29">
                  <c:v>8</c:v>
                </c:pt>
                <c:pt idx="30">
                  <c:v>9</c:v>
                </c:pt>
                <c:pt idx="31">
                  <c:v>5</c:v>
                </c:pt>
                <c:pt idx="32">
                  <c:v>8</c:v>
                </c:pt>
                <c:pt idx="33">
                  <c:v>7</c:v>
                </c:pt>
                <c:pt idx="34">
                  <c:v>10</c:v>
                </c:pt>
                <c:pt idx="35">
                  <c:v>8</c:v>
                </c:pt>
                <c:pt idx="36">
                  <c:v>9</c:v>
                </c:pt>
                <c:pt idx="37">
                  <c:v>7</c:v>
                </c:pt>
                <c:pt idx="38">
                  <c:v>10</c:v>
                </c:pt>
                <c:pt idx="39">
                  <c:v>8</c:v>
                </c:pt>
                <c:pt idx="40">
                  <c:v>6</c:v>
                </c:pt>
                <c:pt idx="41">
                  <c:v>8</c:v>
                </c:pt>
                <c:pt idx="42">
                  <c:v>7</c:v>
                </c:pt>
                <c:pt idx="43">
                  <c:v>8</c:v>
                </c:pt>
                <c:pt idx="44">
                  <c:v>11</c:v>
                </c:pt>
                <c:pt idx="45">
                  <c:v>8</c:v>
                </c:pt>
                <c:pt idx="46">
                  <c:v>10</c:v>
                </c:pt>
                <c:pt idx="47">
                  <c:v>5</c:v>
                </c:pt>
                <c:pt idx="48">
                  <c:v>7</c:v>
                </c:pt>
                <c:pt idx="49">
                  <c:v>8</c:v>
                </c:pt>
                <c:pt idx="50">
                  <c:v>10</c:v>
                </c:pt>
              </c:numCache>
            </c:numRef>
          </c:yVal>
          <c:smooth val="0"/>
          <c:extLst>
            <c:ext xmlns:c16="http://schemas.microsoft.com/office/drawing/2014/chart" uri="{C3380CC4-5D6E-409C-BE32-E72D297353CC}">
              <c16:uniqueId val="{00000002-9003-4C20-92E3-59691C16A83B}"/>
            </c:ext>
          </c:extLst>
        </c:ser>
        <c:dLbls>
          <c:showLegendKey val="0"/>
          <c:showVal val="0"/>
          <c:showCatName val="0"/>
          <c:showSerName val="0"/>
          <c:showPercent val="0"/>
          <c:showBubbleSize val="0"/>
        </c:dLbls>
        <c:axId val="480975584"/>
        <c:axId val="480979520"/>
      </c:scatterChart>
      <c:valAx>
        <c:axId val="480975584"/>
        <c:scaling>
          <c:orientation val="minMax"/>
          <c:min val="1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979520"/>
        <c:crosses val="autoZero"/>
        <c:crossBetween val="midCat"/>
      </c:valAx>
      <c:valAx>
        <c:axId val="480979520"/>
        <c:scaling>
          <c:orientation val="minMax"/>
          <c:min val="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9755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Correlation of ethical predisposition and iron triangle success score</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8.4361111111111109E-2"/>
                  <c:y val="-0.2467519685039370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'correlation predis vs outcome'!$I$21:$I$31</c:f>
              <c:numCache>
                <c:formatCode>0.00</c:formatCode>
                <c:ptCount val="11"/>
                <c:pt idx="0">
                  <c:v>-1.1428571428571432</c:v>
                </c:pt>
                <c:pt idx="1">
                  <c:v>-1.3809523809523814</c:v>
                </c:pt>
                <c:pt idx="2">
                  <c:v>-0.95238095238095255</c:v>
                </c:pt>
                <c:pt idx="3">
                  <c:v>-1.8095238095238102</c:v>
                </c:pt>
                <c:pt idx="4">
                  <c:v>0</c:v>
                </c:pt>
                <c:pt idx="5">
                  <c:v>-0.8095238095238102</c:v>
                </c:pt>
                <c:pt idx="6">
                  <c:v>-0.57142857142857117</c:v>
                </c:pt>
                <c:pt idx="7">
                  <c:v>-0.52380952380952372</c:v>
                </c:pt>
                <c:pt idx="8">
                  <c:v>-1.1904761904761898</c:v>
                </c:pt>
                <c:pt idx="9">
                  <c:v>-1.9761904761904763</c:v>
                </c:pt>
                <c:pt idx="10">
                  <c:v>-0.42857142857142883</c:v>
                </c:pt>
              </c:numCache>
            </c:numRef>
          </c:xVal>
          <c:yVal>
            <c:numRef>
              <c:f>'correlation predis vs outcome'!$J$21:$J$31</c:f>
              <c:numCache>
                <c:formatCode>0</c:formatCode>
                <c:ptCount val="11"/>
                <c:pt idx="0">
                  <c:v>9</c:v>
                </c:pt>
                <c:pt idx="1">
                  <c:v>10</c:v>
                </c:pt>
                <c:pt idx="2">
                  <c:v>9</c:v>
                </c:pt>
                <c:pt idx="3">
                  <c:v>9</c:v>
                </c:pt>
                <c:pt idx="4">
                  <c:v>10</c:v>
                </c:pt>
                <c:pt idx="5">
                  <c:v>9</c:v>
                </c:pt>
                <c:pt idx="6">
                  <c:v>9</c:v>
                </c:pt>
                <c:pt idx="7">
                  <c:v>9</c:v>
                </c:pt>
                <c:pt idx="8">
                  <c:v>9</c:v>
                </c:pt>
                <c:pt idx="9">
                  <c:v>10</c:v>
                </c:pt>
                <c:pt idx="10">
                  <c:v>10</c:v>
                </c:pt>
              </c:numCache>
            </c:numRef>
          </c:yVal>
          <c:smooth val="0"/>
          <c:extLst>
            <c:ext xmlns:c16="http://schemas.microsoft.com/office/drawing/2014/chart" uri="{C3380CC4-5D6E-409C-BE32-E72D297353CC}">
              <c16:uniqueId val="{00000002-AB90-4298-BD3E-0B1A42E9386B}"/>
            </c:ext>
          </c:extLst>
        </c:ser>
        <c:dLbls>
          <c:showLegendKey val="0"/>
          <c:showVal val="0"/>
          <c:showCatName val="0"/>
          <c:showSerName val="0"/>
          <c:showPercent val="0"/>
          <c:showBubbleSize val="0"/>
        </c:dLbls>
        <c:axId val="639969608"/>
        <c:axId val="639971576"/>
      </c:scatterChart>
      <c:valAx>
        <c:axId val="6399696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Ethical predisposition</a:t>
                </a:r>
                <a:r>
                  <a:rPr lang="en-GB" baseline="0"/>
                  <a:t> </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9971576"/>
        <c:crosses val="autoZero"/>
        <c:crossBetween val="midCat"/>
      </c:valAx>
      <c:valAx>
        <c:axId val="639971576"/>
        <c:scaling>
          <c:orientation val="minMax"/>
          <c:max val="11"/>
          <c:min val="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Project 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9969608"/>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Correlation of ethical predisposition and project success score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20620144356955381"/>
                  <c:y val="-0.1209292067658209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'predisposition v outcome'!$AA$2:$AA$52</c:f>
              <c:numCache>
                <c:formatCode>0.00</c:formatCode>
                <c:ptCount val="51"/>
                <c:pt idx="0">
                  <c:v>-1.1428571428571432</c:v>
                </c:pt>
                <c:pt idx="1">
                  <c:v>-0.28571428571428559</c:v>
                </c:pt>
                <c:pt idx="2">
                  <c:v>-1.7857142857142856</c:v>
                </c:pt>
                <c:pt idx="3">
                  <c:v>-0.71428571428571441</c:v>
                </c:pt>
                <c:pt idx="4">
                  <c:v>-1.4761904761904763</c:v>
                </c:pt>
                <c:pt idx="5">
                  <c:v>-1.5714285714285712</c:v>
                </c:pt>
                <c:pt idx="6">
                  <c:v>-1.2857142857142856</c:v>
                </c:pt>
                <c:pt idx="7">
                  <c:v>-1.3809523809523814</c:v>
                </c:pt>
                <c:pt idx="8">
                  <c:v>0</c:v>
                </c:pt>
                <c:pt idx="9">
                  <c:v>-1.8095238095238102</c:v>
                </c:pt>
                <c:pt idx="10">
                  <c:v>-0.95238095238095255</c:v>
                </c:pt>
                <c:pt idx="11">
                  <c:v>-0.14285714285714324</c:v>
                </c:pt>
                <c:pt idx="12">
                  <c:v>-1.8095238095238102</c:v>
                </c:pt>
                <c:pt idx="13">
                  <c:v>-1.2857142857142856</c:v>
                </c:pt>
                <c:pt idx="14">
                  <c:v>-0.47619047619047628</c:v>
                </c:pt>
                <c:pt idx="15">
                  <c:v>-1.5714285714285712</c:v>
                </c:pt>
                <c:pt idx="16">
                  <c:v>0</c:v>
                </c:pt>
                <c:pt idx="17">
                  <c:v>-0.8095238095238102</c:v>
                </c:pt>
                <c:pt idx="18">
                  <c:v>-0.73809523809523814</c:v>
                </c:pt>
                <c:pt idx="19">
                  <c:v>-1.9761904761904763</c:v>
                </c:pt>
                <c:pt idx="20">
                  <c:v>-0.5</c:v>
                </c:pt>
                <c:pt idx="21">
                  <c:v>-1.3095238095238102</c:v>
                </c:pt>
                <c:pt idx="22">
                  <c:v>0.23809523809523814</c:v>
                </c:pt>
                <c:pt idx="23">
                  <c:v>-0.61904761904761862</c:v>
                </c:pt>
                <c:pt idx="24">
                  <c:v>-0.57142857142857117</c:v>
                </c:pt>
                <c:pt idx="25">
                  <c:v>-0.52380952380952372</c:v>
                </c:pt>
                <c:pt idx="26">
                  <c:v>-0.6904761904761898</c:v>
                </c:pt>
                <c:pt idx="27">
                  <c:v>-0.71428571428571441</c:v>
                </c:pt>
                <c:pt idx="28">
                  <c:v>-1</c:v>
                </c:pt>
                <c:pt idx="29">
                  <c:v>0.21428571428571441</c:v>
                </c:pt>
                <c:pt idx="30">
                  <c:v>-0.85714285714285676</c:v>
                </c:pt>
                <c:pt idx="31">
                  <c:v>-1.4285714285714288</c:v>
                </c:pt>
                <c:pt idx="32">
                  <c:v>-0.88095238095238138</c:v>
                </c:pt>
                <c:pt idx="33">
                  <c:v>-0.64285714285714324</c:v>
                </c:pt>
                <c:pt idx="34">
                  <c:v>-1</c:v>
                </c:pt>
                <c:pt idx="35">
                  <c:v>0.45238095238095255</c:v>
                </c:pt>
                <c:pt idx="36">
                  <c:v>-1.1904761904761898</c:v>
                </c:pt>
                <c:pt idx="37">
                  <c:v>-1.4285714285714288</c:v>
                </c:pt>
                <c:pt idx="38">
                  <c:v>-1.9761904761904763</c:v>
                </c:pt>
                <c:pt idx="39">
                  <c:v>-0.23809523809523814</c:v>
                </c:pt>
                <c:pt idx="40">
                  <c:v>-4.761904761904745E-2</c:v>
                </c:pt>
                <c:pt idx="41">
                  <c:v>-0.8095238095238102</c:v>
                </c:pt>
                <c:pt idx="42">
                  <c:v>-1.2380952380952381</c:v>
                </c:pt>
                <c:pt idx="43">
                  <c:v>-0.26190476190476186</c:v>
                </c:pt>
                <c:pt idx="44">
                  <c:v>-1.0952380952380958</c:v>
                </c:pt>
                <c:pt idx="45">
                  <c:v>-1.0952380952380958</c:v>
                </c:pt>
                <c:pt idx="46">
                  <c:v>-0.42857142857142883</c:v>
                </c:pt>
                <c:pt idx="47">
                  <c:v>-0.88095238095238138</c:v>
                </c:pt>
                <c:pt idx="48">
                  <c:v>-1</c:v>
                </c:pt>
                <c:pt idx="49">
                  <c:v>-0.90476190476190421</c:v>
                </c:pt>
                <c:pt idx="50">
                  <c:v>0.28571428571428559</c:v>
                </c:pt>
              </c:numCache>
            </c:numRef>
          </c:xVal>
          <c:yVal>
            <c:numRef>
              <c:f>'predisposition v outcome'!$AO$2:$AO$52</c:f>
              <c:numCache>
                <c:formatCode>General</c:formatCode>
                <c:ptCount val="51"/>
                <c:pt idx="0">
                  <c:v>9</c:v>
                </c:pt>
                <c:pt idx="1">
                  <c:v>6</c:v>
                </c:pt>
                <c:pt idx="2">
                  <c:v>9</c:v>
                </c:pt>
                <c:pt idx="3">
                  <c:v>8</c:v>
                </c:pt>
                <c:pt idx="4">
                  <c:v>7</c:v>
                </c:pt>
                <c:pt idx="5">
                  <c:v>9</c:v>
                </c:pt>
                <c:pt idx="6">
                  <c:v>6</c:v>
                </c:pt>
                <c:pt idx="7">
                  <c:v>10</c:v>
                </c:pt>
                <c:pt idx="8">
                  <c:v>8</c:v>
                </c:pt>
                <c:pt idx="9">
                  <c:v>3</c:v>
                </c:pt>
                <c:pt idx="10">
                  <c:v>9</c:v>
                </c:pt>
                <c:pt idx="11">
                  <c:v>8</c:v>
                </c:pt>
                <c:pt idx="12">
                  <c:v>9</c:v>
                </c:pt>
                <c:pt idx="13">
                  <c:v>6</c:v>
                </c:pt>
                <c:pt idx="14">
                  <c:v>7</c:v>
                </c:pt>
                <c:pt idx="15">
                  <c:v>8</c:v>
                </c:pt>
                <c:pt idx="16">
                  <c:v>10</c:v>
                </c:pt>
                <c:pt idx="17">
                  <c:v>9</c:v>
                </c:pt>
                <c:pt idx="18">
                  <c:v>8</c:v>
                </c:pt>
                <c:pt idx="19">
                  <c:v>7</c:v>
                </c:pt>
                <c:pt idx="20">
                  <c:v>8</c:v>
                </c:pt>
                <c:pt idx="21">
                  <c:v>7</c:v>
                </c:pt>
                <c:pt idx="22">
                  <c:v>9</c:v>
                </c:pt>
                <c:pt idx="23">
                  <c:v>8</c:v>
                </c:pt>
                <c:pt idx="24">
                  <c:v>9</c:v>
                </c:pt>
                <c:pt idx="25">
                  <c:v>9</c:v>
                </c:pt>
                <c:pt idx="26">
                  <c:v>6</c:v>
                </c:pt>
                <c:pt idx="27">
                  <c:v>7</c:v>
                </c:pt>
                <c:pt idx="28">
                  <c:v>6</c:v>
                </c:pt>
                <c:pt idx="29">
                  <c:v>8</c:v>
                </c:pt>
                <c:pt idx="30">
                  <c:v>9</c:v>
                </c:pt>
                <c:pt idx="31">
                  <c:v>5</c:v>
                </c:pt>
                <c:pt idx="32">
                  <c:v>8</c:v>
                </c:pt>
                <c:pt idx="33">
                  <c:v>7</c:v>
                </c:pt>
                <c:pt idx="34">
                  <c:v>10</c:v>
                </c:pt>
                <c:pt idx="35">
                  <c:v>8</c:v>
                </c:pt>
                <c:pt idx="36">
                  <c:v>9</c:v>
                </c:pt>
                <c:pt idx="37">
                  <c:v>7</c:v>
                </c:pt>
                <c:pt idx="38">
                  <c:v>10</c:v>
                </c:pt>
                <c:pt idx="39">
                  <c:v>8</c:v>
                </c:pt>
                <c:pt idx="40">
                  <c:v>6</c:v>
                </c:pt>
                <c:pt idx="41">
                  <c:v>8</c:v>
                </c:pt>
                <c:pt idx="42">
                  <c:v>7</c:v>
                </c:pt>
                <c:pt idx="43">
                  <c:v>8</c:v>
                </c:pt>
                <c:pt idx="44">
                  <c:v>11</c:v>
                </c:pt>
                <c:pt idx="45">
                  <c:v>8</c:v>
                </c:pt>
                <c:pt idx="46">
                  <c:v>10</c:v>
                </c:pt>
                <c:pt idx="47">
                  <c:v>5</c:v>
                </c:pt>
                <c:pt idx="48">
                  <c:v>7</c:v>
                </c:pt>
                <c:pt idx="49">
                  <c:v>8</c:v>
                </c:pt>
                <c:pt idx="50">
                  <c:v>10</c:v>
                </c:pt>
              </c:numCache>
            </c:numRef>
          </c:yVal>
          <c:smooth val="0"/>
          <c:extLst>
            <c:ext xmlns:c16="http://schemas.microsoft.com/office/drawing/2014/chart" uri="{C3380CC4-5D6E-409C-BE32-E72D297353CC}">
              <c16:uniqueId val="{00000003-DD6C-41F4-BB11-AE26CCFBFC2F}"/>
            </c:ext>
          </c:extLst>
        </c:ser>
        <c:dLbls>
          <c:showLegendKey val="0"/>
          <c:showVal val="0"/>
          <c:showCatName val="0"/>
          <c:showSerName val="0"/>
          <c:showPercent val="0"/>
          <c:showBubbleSize val="0"/>
        </c:dLbls>
        <c:axId val="658433816"/>
        <c:axId val="658434144"/>
      </c:scatterChart>
      <c:valAx>
        <c:axId val="6584338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Ethical Predisposition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8434144"/>
        <c:crosses val="autoZero"/>
        <c:crossBetween val="midCat"/>
      </c:valAx>
      <c:valAx>
        <c:axId val="658434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Project</a:t>
                </a:r>
                <a:r>
                  <a:rPr lang="en-GB" baseline="0"/>
                  <a:t> score</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84338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t>The effectiveness of</a:t>
            </a:r>
            <a:r>
              <a:rPr lang="en-GB" sz="1200" baseline="0"/>
              <a:t> individual elements of project governance (sample size n=51</a:t>
            </a:r>
            <a:endParaRPr lang="en-GB"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'Project gov v outcome'!$Q$75</c:f>
              <c:strCache>
                <c:ptCount val="1"/>
                <c:pt idx="0">
                  <c:v>Effective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'Project gov v outcome'!$R$74:$X$74</c:f>
              <c:strCache>
                <c:ptCount val="7"/>
                <c:pt idx="0">
                  <c:v>Project sponsor</c:v>
                </c:pt>
                <c:pt idx="1">
                  <c:v>Project Board</c:v>
                </c:pt>
                <c:pt idx="2">
                  <c:v>Project risk management</c:v>
                </c:pt>
                <c:pt idx="3">
                  <c:v>Project quality assurance</c:v>
                </c:pt>
                <c:pt idx="4">
                  <c:v>Project finance</c:v>
                </c:pt>
                <c:pt idx="5">
                  <c:v>project user groups</c:v>
                </c:pt>
                <c:pt idx="6">
                  <c:v>Project stakeholder</c:v>
                </c:pt>
              </c:strCache>
            </c:strRef>
          </c:cat>
          <c:val>
            <c:numRef>
              <c:f>'Project gov v outcome'!$R$75:$X$75</c:f>
              <c:numCache>
                <c:formatCode>General</c:formatCode>
                <c:ptCount val="7"/>
                <c:pt idx="0">
                  <c:v>40</c:v>
                </c:pt>
                <c:pt idx="1">
                  <c:v>43</c:v>
                </c:pt>
                <c:pt idx="2">
                  <c:v>38</c:v>
                </c:pt>
                <c:pt idx="3">
                  <c:v>37</c:v>
                </c:pt>
                <c:pt idx="4">
                  <c:v>41</c:v>
                </c:pt>
                <c:pt idx="5">
                  <c:v>47</c:v>
                </c:pt>
                <c:pt idx="6">
                  <c:v>42</c:v>
                </c:pt>
              </c:numCache>
            </c:numRef>
          </c:val>
          <c:extLst>
            <c:ext xmlns:c16="http://schemas.microsoft.com/office/drawing/2014/chart" uri="{C3380CC4-5D6E-409C-BE32-E72D297353CC}">
              <c16:uniqueId val="{00000000-F12F-441E-9FEE-F50C20EA6FDF}"/>
            </c:ext>
          </c:extLst>
        </c:ser>
        <c:ser>
          <c:idx val="1"/>
          <c:order val="1"/>
          <c:tx>
            <c:strRef>
              <c:f>'Project gov v outcome'!$Q$76</c:f>
              <c:strCache>
                <c:ptCount val="1"/>
                <c:pt idx="0">
                  <c:v>Not effective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'Project gov v outcome'!$R$74:$X$74</c:f>
              <c:strCache>
                <c:ptCount val="7"/>
                <c:pt idx="0">
                  <c:v>Project sponsor</c:v>
                </c:pt>
                <c:pt idx="1">
                  <c:v>Project Board</c:v>
                </c:pt>
                <c:pt idx="2">
                  <c:v>Project risk management</c:v>
                </c:pt>
                <c:pt idx="3">
                  <c:v>Project quality assurance</c:v>
                </c:pt>
                <c:pt idx="4">
                  <c:v>Project finance</c:v>
                </c:pt>
                <c:pt idx="5">
                  <c:v>project user groups</c:v>
                </c:pt>
                <c:pt idx="6">
                  <c:v>Project stakeholder</c:v>
                </c:pt>
              </c:strCache>
            </c:strRef>
          </c:cat>
          <c:val>
            <c:numRef>
              <c:f>'Project gov v outcome'!$R$76:$X$76</c:f>
              <c:numCache>
                <c:formatCode>General</c:formatCode>
                <c:ptCount val="7"/>
                <c:pt idx="0">
                  <c:v>9</c:v>
                </c:pt>
                <c:pt idx="1">
                  <c:v>6</c:v>
                </c:pt>
                <c:pt idx="2">
                  <c:v>9</c:v>
                </c:pt>
                <c:pt idx="3">
                  <c:v>8</c:v>
                </c:pt>
                <c:pt idx="4">
                  <c:v>10</c:v>
                </c:pt>
                <c:pt idx="5">
                  <c:v>4</c:v>
                </c:pt>
                <c:pt idx="6">
                  <c:v>9</c:v>
                </c:pt>
              </c:numCache>
            </c:numRef>
          </c:val>
          <c:extLst>
            <c:ext xmlns:c16="http://schemas.microsoft.com/office/drawing/2014/chart" uri="{C3380CC4-5D6E-409C-BE32-E72D297353CC}">
              <c16:uniqueId val="{00000001-F12F-441E-9FEE-F50C20EA6FDF}"/>
            </c:ext>
          </c:extLst>
        </c:ser>
        <c:ser>
          <c:idx val="2"/>
          <c:order val="2"/>
          <c:tx>
            <c:strRef>
              <c:f>'Project gov v outcome'!$Q$77</c:f>
              <c:strCache>
                <c:ptCount val="1"/>
                <c:pt idx="0">
                  <c:v>D/K</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'Project gov v outcome'!$R$74:$X$74</c:f>
              <c:strCache>
                <c:ptCount val="7"/>
                <c:pt idx="0">
                  <c:v>Project sponsor</c:v>
                </c:pt>
                <c:pt idx="1">
                  <c:v>Project Board</c:v>
                </c:pt>
                <c:pt idx="2">
                  <c:v>Project risk management</c:v>
                </c:pt>
                <c:pt idx="3">
                  <c:v>Project quality assurance</c:v>
                </c:pt>
                <c:pt idx="4">
                  <c:v>Project finance</c:v>
                </c:pt>
                <c:pt idx="5">
                  <c:v>project user groups</c:v>
                </c:pt>
                <c:pt idx="6">
                  <c:v>Project stakeholder</c:v>
                </c:pt>
              </c:strCache>
            </c:strRef>
          </c:cat>
          <c:val>
            <c:numRef>
              <c:f>'Project gov v outcome'!$R$77:$X$77</c:f>
              <c:numCache>
                <c:formatCode>General</c:formatCode>
                <c:ptCount val="7"/>
                <c:pt idx="0">
                  <c:v>0</c:v>
                </c:pt>
                <c:pt idx="1">
                  <c:v>2</c:v>
                </c:pt>
                <c:pt idx="2">
                  <c:v>4</c:v>
                </c:pt>
                <c:pt idx="3">
                  <c:v>6</c:v>
                </c:pt>
                <c:pt idx="4">
                  <c:v>0</c:v>
                </c:pt>
                <c:pt idx="5">
                  <c:v>0</c:v>
                </c:pt>
                <c:pt idx="6">
                  <c:v>0</c:v>
                </c:pt>
              </c:numCache>
            </c:numRef>
          </c:val>
          <c:extLst>
            <c:ext xmlns:c16="http://schemas.microsoft.com/office/drawing/2014/chart" uri="{C3380CC4-5D6E-409C-BE32-E72D297353CC}">
              <c16:uniqueId val="{00000002-F12F-441E-9FEE-F50C20EA6FDF}"/>
            </c:ext>
          </c:extLst>
        </c:ser>
        <c:dLbls>
          <c:dLblPos val="outEnd"/>
          <c:showLegendKey val="0"/>
          <c:showVal val="1"/>
          <c:showCatName val="0"/>
          <c:showSerName val="0"/>
          <c:showPercent val="0"/>
          <c:showBubbleSize val="0"/>
        </c:dLbls>
        <c:gapWidth val="150"/>
        <c:axId val="532299728"/>
        <c:axId val="532300056"/>
      </c:barChart>
      <c:catAx>
        <c:axId val="5322997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Project governance element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2300056"/>
        <c:crosses val="autoZero"/>
        <c:auto val="1"/>
        <c:lblAlgn val="ctr"/>
        <c:lblOffset val="100"/>
        <c:noMultiLvlLbl val="0"/>
      </c:catAx>
      <c:valAx>
        <c:axId val="5323000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Project governance effectiveness score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2299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0" i="0" baseline="0">
                <a:effectLst/>
              </a:rPr>
              <a:t>Effectiveness of individual elements of corporate governance</a:t>
            </a:r>
            <a:endParaRPr lang="en-GB"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'Corp and proj governance'!$CE$1</c:f>
              <c:strCache>
                <c:ptCount val="1"/>
                <c:pt idx="0">
                  <c:v>Effective</c:v>
                </c:pt>
              </c:strCache>
            </c:strRef>
          </c:tx>
          <c:spPr>
            <a:solidFill>
              <a:schemeClr val="accent1"/>
            </a:solidFill>
            <a:ln>
              <a:noFill/>
            </a:ln>
            <a:effectLst/>
          </c:spPr>
          <c:invertIfNegative val="0"/>
          <c:cat>
            <c:strRef>
              <c:f>'Corp and proj governance'!$CD$2:$CD$9</c:f>
              <c:strCache>
                <c:ptCount val="8"/>
                <c:pt idx="0">
                  <c:v>Trust Board</c:v>
                </c:pt>
                <c:pt idx="1">
                  <c:v>Chairperson</c:v>
                </c:pt>
                <c:pt idx="2">
                  <c:v>Non execs</c:v>
                </c:pt>
                <c:pt idx="3">
                  <c:v>Chief Exec</c:v>
                </c:pt>
                <c:pt idx="4">
                  <c:v>Exec directors</c:v>
                </c:pt>
                <c:pt idx="5">
                  <c:v>Risk committee</c:v>
                </c:pt>
                <c:pt idx="6">
                  <c:v>Remuneration committee</c:v>
                </c:pt>
                <c:pt idx="7">
                  <c:v>Audit committee</c:v>
                </c:pt>
              </c:strCache>
            </c:strRef>
          </c:cat>
          <c:val>
            <c:numRef>
              <c:f>'Corp and proj governance'!$CE$2:$CE$9</c:f>
              <c:numCache>
                <c:formatCode>General</c:formatCode>
                <c:ptCount val="8"/>
                <c:pt idx="0">
                  <c:v>32</c:v>
                </c:pt>
                <c:pt idx="1">
                  <c:v>29</c:v>
                </c:pt>
                <c:pt idx="2">
                  <c:v>16</c:v>
                </c:pt>
                <c:pt idx="3">
                  <c:v>29</c:v>
                </c:pt>
                <c:pt idx="4">
                  <c:v>33</c:v>
                </c:pt>
                <c:pt idx="5">
                  <c:v>17</c:v>
                </c:pt>
                <c:pt idx="6">
                  <c:v>4</c:v>
                </c:pt>
                <c:pt idx="7">
                  <c:v>12</c:v>
                </c:pt>
              </c:numCache>
            </c:numRef>
          </c:val>
          <c:extLst>
            <c:ext xmlns:c16="http://schemas.microsoft.com/office/drawing/2014/chart" uri="{C3380CC4-5D6E-409C-BE32-E72D297353CC}">
              <c16:uniqueId val="{00000000-C50A-4AE6-9AA5-5870C79504F0}"/>
            </c:ext>
          </c:extLst>
        </c:ser>
        <c:ser>
          <c:idx val="1"/>
          <c:order val="1"/>
          <c:tx>
            <c:strRef>
              <c:f>'Corp and proj governance'!$CF$1</c:f>
              <c:strCache>
                <c:ptCount val="1"/>
                <c:pt idx="0">
                  <c:v>Not effective</c:v>
                </c:pt>
              </c:strCache>
            </c:strRef>
          </c:tx>
          <c:spPr>
            <a:solidFill>
              <a:schemeClr val="accent2"/>
            </a:solidFill>
            <a:ln>
              <a:noFill/>
            </a:ln>
            <a:effectLst/>
          </c:spPr>
          <c:invertIfNegative val="0"/>
          <c:cat>
            <c:strRef>
              <c:f>'Corp and proj governance'!$CD$2:$CD$9</c:f>
              <c:strCache>
                <c:ptCount val="8"/>
                <c:pt idx="0">
                  <c:v>Trust Board</c:v>
                </c:pt>
                <c:pt idx="1">
                  <c:v>Chairperson</c:v>
                </c:pt>
                <c:pt idx="2">
                  <c:v>Non execs</c:v>
                </c:pt>
                <c:pt idx="3">
                  <c:v>Chief Exec</c:v>
                </c:pt>
                <c:pt idx="4">
                  <c:v>Exec directors</c:v>
                </c:pt>
                <c:pt idx="5">
                  <c:v>Risk committee</c:v>
                </c:pt>
                <c:pt idx="6">
                  <c:v>Remuneration committee</c:v>
                </c:pt>
                <c:pt idx="7">
                  <c:v>Audit committee</c:v>
                </c:pt>
              </c:strCache>
            </c:strRef>
          </c:cat>
          <c:val>
            <c:numRef>
              <c:f>'Corp and proj governance'!$CF$2:$CF$9</c:f>
              <c:numCache>
                <c:formatCode>General</c:formatCode>
                <c:ptCount val="8"/>
                <c:pt idx="0">
                  <c:v>15</c:v>
                </c:pt>
                <c:pt idx="1">
                  <c:v>18</c:v>
                </c:pt>
                <c:pt idx="2">
                  <c:v>29</c:v>
                </c:pt>
                <c:pt idx="3">
                  <c:v>18</c:v>
                </c:pt>
                <c:pt idx="4">
                  <c:v>14</c:v>
                </c:pt>
                <c:pt idx="5">
                  <c:v>22</c:v>
                </c:pt>
                <c:pt idx="6">
                  <c:v>25</c:v>
                </c:pt>
                <c:pt idx="7">
                  <c:v>26</c:v>
                </c:pt>
              </c:numCache>
            </c:numRef>
          </c:val>
          <c:extLst>
            <c:ext xmlns:c16="http://schemas.microsoft.com/office/drawing/2014/chart" uri="{C3380CC4-5D6E-409C-BE32-E72D297353CC}">
              <c16:uniqueId val="{00000001-C50A-4AE6-9AA5-5870C79504F0}"/>
            </c:ext>
          </c:extLst>
        </c:ser>
        <c:ser>
          <c:idx val="2"/>
          <c:order val="2"/>
          <c:tx>
            <c:strRef>
              <c:f>'Corp and proj governance'!$CG$1</c:f>
              <c:strCache>
                <c:ptCount val="1"/>
                <c:pt idx="0">
                  <c:v>don't know </c:v>
                </c:pt>
              </c:strCache>
            </c:strRef>
          </c:tx>
          <c:spPr>
            <a:solidFill>
              <a:schemeClr val="accent3"/>
            </a:solidFill>
            <a:ln>
              <a:noFill/>
            </a:ln>
            <a:effectLst/>
          </c:spPr>
          <c:invertIfNegative val="0"/>
          <c:cat>
            <c:strRef>
              <c:f>'Corp and proj governance'!$CD$2:$CD$9</c:f>
              <c:strCache>
                <c:ptCount val="8"/>
                <c:pt idx="0">
                  <c:v>Trust Board</c:v>
                </c:pt>
                <c:pt idx="1">
                  <c:v>Chairperson</c:v>
                </c:pt>
                <c:pt idx="2">
                  <c:v>Non execs</c:v>
                </c:pt>
                <c:pt idx="3">
                  <c:v>Chief Exec</c:v>
                </c:pt>
                <c:pt idx="4">
                  <c:v>Exec directors</c:v>
                </c:pt>
                <c:pt idx="5">
                  <c:v>Risk committee</c:v>
                </c:pt>
                <c:pt idx="6">
                  <c:v>Remuneration committee</c:v>
                </c:pt>
                <c:pt idx="7">
                  <c:v>Audit committee</c:v>
                </c:pt>
              </c:strCache>
            </c:strRef>
          </c:cat>
          <c:val>
            <c:numRef>
              <c:f>'Corp and proj governance'!$CG$2:$CG$9</c:f>
              <c:numCache>
                <c:formatCode>General</c:formatCode>
                <c:ptCount val="8"/>
                <c:pt idx="0">
                  <c:v>4</c:v>
                </c:pt>
                <c:pt idx="1">
                  <c:v>4</c:v>
                </c:pt>
                <c:pt idx="2">
                  <c:v>6</c:v>
                </c:pt>
                <c:pt idx="3">
                  <c:v>4</c:v>
                </c:pt>
                <c:pt idx="4">
                  <c:v>4</c:v>
                </c:pt>
                <c:pt idx="5">
                  <c:v>12</c:v>
                </c:pt>
                <c:pt idx="6">
                  <c:v>22</c:v>
                </c:pt>
                <c:pt idx="7">
                  <c:v>13</c:v>
                </c:pt>
              </c:numCache>
            </c:numRef>
          </c:val>
          <c:extLst>
            <c:ext xmlns:c16="http://schemas.microsoft.com/office/drawing/2014/chart" uri="{C3380CC4-5D6E-409C-BE32-E72D297353CC}">
              <c16:uniqueId val="{00000002-C50A-4AE6-9AA5-5870C79504F0}"/>
            </c:ext>
          </c:extLst>
        </c:ser>
        <c:dLbls>
          <c:showLegendKey val="0"/>
          <c:showVal val="0"/>
          <c:showCatName val="0"/>
          <c:showSerName val="0"/>
          <c:showPercent val="0"/>
          <c:showBubbleSize val="0"/>
        </c:dLbls>
        <c:gapWidth val="219"/>
        <c:axId val="655555784"/>
        <c:axId val="655558080"/>
      </c:barChart>
      <c:catAx>
        <c:axId val="6555557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Coroprate governance element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558080"/>
        <c:crosses val="autoZero"/>
        <c:auto val="1"/>
        <c:lblAlgn val="ctr"/>
        <c:lblOffset val="100"/>
        <c:noMultiLvlLbl val="0"/>
      </c:catAx>
      <c:valAx>
        <c:axId val="6555580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Corporate governance effectiveness score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5557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Project success</a:t>
            </a:r>
            <a:r>
              <a:rPr lang="en-GB" baseline="0"/>
              <a:t> score</a:t>
            </a:r>
          </a:p>
          <a:p>
            <a:pPr>
              <a:defRPr/>
            </a:pPr>
            <a:r>
              <a:rPr lang="en-GB" sz="1100" baseline="0"/>
              <a:t> (sample size n=51)</a:t>
            </a:r>
            <a:endParaRPr lang="en-GB"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'predisposition v outcome'!$CO$10:$CO$18</c:f>
              <c:strCache>
                <c:ptCount val="9"/>
                <c:pt idx="0">
                  <c:v>score 3</c:v>
                </c:pt>
                <c:pt idx="1">
                  <c:v>score 4 </c:v>
                </c:pt>
                <c:pt idx="2">
                  <c:v>Score 5</c:v>
                </c:pt>
                <c:pt idx="3">
                  <c:v>Score 6</c:v>
                </c:pt>
                <c:pt idx="4">
                  <c:v>Score 7</c:v>
                </c:pt>
                <c:pt idx="5">
                  <c:v>score 8</c:v>
                </c:pt>
                <c:pt idx="6">
                  <c:v>score 9</c:v>
                </c:pt>
                <c:pt idx="7">
                  <c:v>Score 10</c:v>
                </c:pt>
                <c:pt idx="8">
                  <c:v>score 11</c:v>
                </c:pt>
              </c:strCache>
            </c:strRef>
          </c:cat>
          <c:val>
            <c:numRef>
              <c:f>'predisposition v outcome'!$CP$10:$CP$18</c:f>
              <c:numCache>
                <c:formatCode>General</c:formatCode>
                <c:ptCount val="9"/>
                <c:pt idx="0">
                  <c:v>1</c:v>
                </c:pt>
                <c:pt idx="1">
                  <c:v>0</c:v>
                </c:pt>
                <c:pt idx="2">
                  <c:v>2</c:v>
                </c:pt>
                <c:pt idx="3">
                  <c:v>6</c:v>
                </c:pt>
                <c:pt idx="4">
                  <c:v>9</c:v>
                </c:pt>
                <c:pt idx="5">
                  <c:v>15</c:v>
                </c:pt>
                <c:pt idx="6">
                  <c:v>11</c:v>
                </c:pt>
                <c:pt idx="7">
                  <c:v>6</c:v>
                </c:pt>
                <c:pt idx="8">
                  <c:v>1</c:v>
                </c:pt>
              </c:numCache>
            </c:numRef>
          </c:val>
          <c:extLst>
            <c:ext xmlns:c16="http://schemas.microsoft.com/office/drawing/2014/chart" uri="{C3380CC4-5D6E-409C-BE32-E72D297353CC}">
              <c16:uniqueId val="{00000000-9144-4AF0-920D-8D19AD6D8061}"/>
            </c:ext>
          </c:extLst>
        </c:ser>
        <c:dLbls>
          <c:dLblPos val="outEnd"/>
          <c:showLegendKey val="0"/>
          <c:showVal val="1"/>
          <c:showCatName val="0"/>
          <c:showSerName val="0"/>
          <c:showPercent val="0"/>
          <c:showBubbleSize val="0"/>
        </c:dLbls>
        <c:gapWidth val="219"/>
        <c:overlap val="-27"/>
        <c:axId val="630146952"/>
        <c:axId val="630144328"/>
      </c:barChart>
      <c:catAx>
        <c:axId val="630146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Project score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144328"/>
        <c:crosses val="autoZero"/>
        <c:auto val="1"/>
        <c:lblAlgn val="ctr"/>
        <c:lblOffset val="100"/>
        <c:noMultiLvlLbl val="0"/>
      </c:catAx>
      <c:valAx>
        <c:axId val="630144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projects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1469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Project governance and claimed success</a:t>
            </a:r>
          </a:p>
          <a:p>
            <a:pPr>
              <a:defRPr/>
            </a:pPr>
            <a:r>
              <a:rPr lang="en-GB"/>
              <a:t>n=45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'Project gov v outcome'!$DE$2</c:f>
              <c:strCache>
                <c:ptCount val="1"/>
                <c:pt idx="0">
                  <c:v>Project governance score</c:v>
                </c:pt>
              </c:strCache>
            </c:strRef>
          </c:tx>
          <c:spPr>
            <a:ln w="28575" cap="rnd">
              <a:solidFill>
                <a:schemeClr val="accent1"/>
              </a:solidFill>
              <a:round/>
            </a:ln>
            <a:effectLst/>
          </c:spPr>
          <c:marker>
            <c:symbol val="none"/>
          </c:marker>
          <c:val>
            <c:numRef>
              <c:f>'Project gov v outcome'!$DE$3:$DE$47</c:f>
              <c:numCache>
                <c:formatCode>General</c:formatCode>
                <c:ptCount val="45"/>
                <c:pt idx="0">
                  <c:v>25</c:v>
                </c:pt>
                <c:pt idx="1">
                  <c:v>22</c:v>
                </c:pt>
                <c:pt idx="2">
                  <c:v>21</c:v>
                </c:pt>
                <c:pt idx="3">
                  <c:v>10</c:v>
                </c:pt>
                <c:pt idx="4">
                  <c:v>20</c:v>
                </c:pt>
                <c:pt idx="5">
                  <c:v>24</c:v>
                </c:pt>
                <c:pt idx="6">
                  <c:v>23</c:v>
                </c:pt>
                <c:pt idx="7">
                  <c:v>16</c:v>
                </c:pt>
                <c:pt idx="8">
                  <c:v>23</c:v>
                </c:pt>
                <c:pt idx="9">
                  <c:v>25</c:v>
                </c:pt>
                <c:pt idx="10">
                  <c:v>21</c:v>
                </c:pt>
                <c:pt idx="11">
                  <c:v>22</c:v>
                </c:pt>
                <c:pt idx="12">
                  <c:v>26</c:v>
                </c:pt>
                <c:pt idx="13">
                  <c:v>23</c:v>
                </c:pt>
                <c:pt idx="14">
                  <c:v>25</c:v>
                </c:pt>
                <c:pt idx="15">
                  <c:v>24</c:v>
                </c:pt>
                <c:pt idx="16">
                  <c:v>22</c:v>
                </c:pt>
                <c:pt idx="17">
                  <c:v>26</c:v>
                </c:pt>
                <c:pt idx="18">
                  <c:v>24</c:v>
                </c:pt>
                <c:pt idx="19">
                  <c:v>21</c:v>
                </c:pt>
                <c:pt idx="20">
                  <c:v>20</c:v>
                </c:pt>
                <c:pt idx="21">
                  <c:v>23</c:v>
                </c:pt>
                <c:pt idx="22">
                  <c:v>19</c:v>
                </c:pt>
                <c:pt idx="23">
                  <c:v>22</c:v>
                </c:pt>
                <c:pt idx="24">
                  <c:v>25</c:v>
                </c:pt>
                <c:pt idx="25">
                  <c:v>14</c:v>
                </c:pt>
                <c:pt idx="26">
                  <c:v>24</c:v>
                </c:pt>
                <c:pt idx="27">
                  <c:v>14</c:v>
                </c:pt>
                <c:pt idx="28">
                  <c:v>21</c:v>
                </c:pt>
                <c:pt idx="29">
                  <c:v>25</c:v>
                </c:pt>
                <c:pt idx="30">
                  <c:v>24</c:v>
                </c:pt>
                <c:pt idx="31">
                  <c:v>17</c:v>
                </c:pt>
                <c:pt idx="32">
                  <c:v>19</c:v>
                </c:pt>
                <c:pt idx="33">
                  <c:v>23</c:v>
                </c:pt>
                <c:pt idx="34">
                  <c:v>14</c:v>
                </c:pt>
                <c:pt idx="35">
                  <c:v>26</c:v>
                </c:pt>
                <c:pt idx="36">
                  <c:v>23</c:v>
                </c:pt>
                <c:pt idx="37">
                  <c:v>20</c:v>
                </c:pt>
                <c:pt idx="38">
                  <c:v>24</c:v>
                </c:pt>
                <c:pt idx="39">
                  <c:v>28</c:v>
                </c:pt>
                <c:pt idx="40">
                  <c:v>21</c:v>
                </c:pt>
                <c:pt idx="41">
                  <c:v>24</c:v>
                </c:pt>
                <c:pt idx="42">
                  <c:v>22</c:v>
                </c:pt>
                <c:pt idx="43">
                  <c:v>19</c:v>
                </c:pt>
                <c:pt idx="44">
                  <c:v>21</c:v>
                </c:pt>
              </c:numCache>
            </c:numRef>
          </c:val>
          <c:smooth val="0"/>
          <c:extLst>
            <c:ext xmlns:c16="http://schemas.microsoft.com/office/drawing/2014/chart" uri="{C3380CC4-5D6E-409C-BE32-E72D297353CC}">
              <c16:uniqueId val="{00000000-6D02-41EF-AEEF-87C44DFAFDE1}"/>
            </c:ext>
          </c:extLst>
        </c:ser>
        <c:ser>
          <c:idx val="1"/>
          <c:order val="1"/>
          <c:tx>
            <c:strRef>
              <c:f>'Project gov v outcome'!$DF$2</c:f>
              <c:strCache>
                <c:ptCount val="1"/>
                <c:pt idx="0">
                  <c:v>claimed success</c:v>
                </c:pt>
              </c:strCache>
            </c:strRef>
          </c:tx>
          <c:spPr>
            <a:ln w="28575" cap="rnd">
              <a:solidFill>
                <a:schemeClr val="accent2"/>
              </a:solidFill>
              <a:round/>
            </a:ln>
            <a:effectLst/>
          </c:spPr>
          <c:marker>
            <c:symbol val="none"/>
          </c:marker>
          <c:val>
            <c:numRef>
              <c:f>'Project gov v outcome'!$DF$3:$DF$47</c:f>
              <c:numCache>
                <c:formatCode>General</c:formatCode>
                <c:ptCount val="45"/>
                <c:pt idx="0">
                  <c:v>9</c:v>
                </c:pt>
                <c:pt idx="1">
                  <c:v>9</c:v>
                </c:pt>
                <c:pt idx="2">
                  <c:v>9</c:v>
                </c:pt>
                <c:pt idx="3">
                  <c:v>9</c:v>
                </c:pt>
                <c:pt idx="4">
                  <c:v>9</c:v>
                </c:pt>
                <c:pt idx="5">
                  <c:v>9</c:v>
                </c:pt>
                <c:pt idx="6">
                  <c:v>9</c:v>
                </c:pt>
                <c:pt idx="7">
                  <c:v>9</c:v>
                </c:pt>
                <c:pt idx="8">
                  <c:v>9</c:v>
                </c:pt>
                <c:pt idx="9">
                  <c:v>9</c:v>
                </c:pt>
                <c:pt idx="10">
                  <c:v>9</c:v>
                </c:pt>
                <c:pt idx="11">
                  <c:v>9</c:v>
                </c:pt>
                <c:pt idx="12">
                  <c:v>9</c:v>
                </c:pt>
                <c:pt idx="13">
                  <c:v>9</c:v>
                </c:pt>
                <c:pt idx="14">
                  <c:v>9</c:v>
                </c:pt>
                <c:pt idx="15">
                  <c:v>9</c:v>
                </c:pt>
                <c:pt idx="16">
                  <c:v>9</c:v>
                </c:pt>
                <c:pt idx="17">
                  <c:v>9</c:v>
                </c:pt>
                <c:pt idx="18">
                  <c:v>9</c:v>
                </c:pt>
                <c:pt idx="19">
                  <c:v>9</c:v>
                </c:pt>
                <c:pt idx="20">
                  <c:v>9</c:v>
                </c:pt>
                <c:pt idx="21">
                  <c:v>9</c:v>
                </c:pt>
                <c:pt idx="22">
                  <c:v>9</c:v>
                </c:pt>
                <c:pt idx="23">
                  <c:v>9</c:v>
                </c:pt>
                <c:pt idx="24">
                  <c:v>9</c:v>
                </c:pt>
                <c:pt idx="25">
                  <c:v>9</c:v>
                </c:pt>
                <c:pt idx="26">
                  <c:v>9</c:v>
                </c:pt>
                <c:pt idx="27">
                  <c:v>9</c:v>
                </c:pt>
                <c:pt idx="28">
                  <c:v>9</c:v>
                </c:pt>
                <c:pt idx="29">
                  <c:v>9</c:v>
                </c:pt>
                <c:pt idx="30">
                  <c:v>9</c:v>
                </c:pt>
                <c:pt idx="31">
                  <c:v>9</c:v>
                </c:pt>
                <c:pt idx="32">
                  <c:v>9</c:v>
                </c:pt>
                <c:pt idx="33">
                  <c:v>9</c:v>
                </c:pt>
                <c:pt idx="34">
                  <c:v>9</c:v>
                </c:pt>
                <c:pt idx="35">
                  <c:v>9</c:v>
                </c:pt>
                <c:pt idx="36">
                  <c:v>9</c:v>
                </c:pt>
                <c:pt idx="37">
                  <c:v>9</c:v>
                </c:pt>
                <c:pt idx="38">
                  <c:v>9</c:v>
                </c:pt>
                <c:pt idx="39">
                  <c:v>9</c:v>
                </c:pt>
                <c:pt idx="40">
                  <c:v>9</c:v>
                </c:pt>
                <c:pt idx="41">
                  <c:v>9</c:v>
                </c:pt>
                <c:pt idx="42">
                  <c:v>9</c:v>
                </c:pt>
                <c:pt idx="43">
                  <c:v>9</c:v>
                </c:pt>
                <c:pt idx="44">
                  <c:v>9</c:v>
                </c:pt>
              </c:numCache>
            </c:numRef>
          </c:val>
          <c:smooth val="0"/>
          <c:extLst>
            <c:ext xmlns:c16="http://schemas.microsoft.com/office/drawing/2014/chart" uri="{C3380CC4-5D6E-409C-BE32-E72D297353CC}">
              <c16:uniqueId val="{00000001-6D02-41EF-AEEF-87C44DFAFDE1}"/>
            </c:ext>
          </c:extLst>
        </c:ser>
        <c:dLbls>
          <c:showLegendKey val="0"/>
          <c:showVal val="0"/>
          <c:showCatName val="0"/>
          <c:showSerName val="0"/>
          <c:showPercent val="0"/>
          <c:showBubbleSize val="0"/>
        </c:dLbls>
        <c:smooth val="0"/>
        <c:axId val="527758336"/>
        <c:axId val="527753416"/>
      </c:lineChart>
      <c:catAx>
        <c:axId val="527758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Project No.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753416"/>
        <c:crosses val="autoZero"/>
        <c:auto val="1"/>
        <c:lblAlgn val="ctr"/>
        <c:lblOffset val="100"/>
        <c:noMultiLvlLbl val="0"/>
      </c:catAx>
      <c:valAx>
        <c:axId val="527753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Project</a:t>
                </a:r>
                <a:r>
                  <a:rPr lang="en-GB" baseline="0"/>
                  <a:t> governance score</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75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i="0" baseline="0">
                <a:effectLst/>
              </a:rPr>
              <a:t>Project governance and iron triangle scores</a:t>
            </a:r>
            <a:endParaRPr lang="en-GB" sz="1100">
              <a:effectLst/>
            </a:endParaRPr>
          </a:p>
          <a:p>
            <a:pPr>
              <a:defRPr/>
            </a:pPr>
            <a:r>
              <a:rPr lang="en-GB" sz="1100" b="1" i="0" baseline="0">
                <a:effectLst/>
              </a:rPr>
              <a:t>(sample size n=11)</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3.132770592450736E-3"/>
                  <c:y val="-6.554124933406807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'Project gov v outcome'!$DO$3:$DO$13</c:f>
              <c:numCache>
                <c:formatCode>General</c:formatCode>
                <c:ptCount val="11"/>
                <c:pt idx="0">
                  <c:v>25</c:v>
                </c:pt>
                <c:pt idx="1">
                  <c:v>23</c:v>
                </c:pt>
                <c:pt idx="2">
                  <c:v>23</c:v>
                </c:pt>
                <c:pt idx="3">
                  <c:v>21</c:v>
                </c:pt>
                <c:pt idx="4">
                  <c:v>25</c:v>
                </c:pt>
                <c:pt idx="5">
                  <c:v>24</c:v>
                </c:pt>
                <c:pt idx="6">
                  <c:v>23</c:v>
                </c:pt>
                <c:pt idx="7">
                  <c:v>19</c:v>
                </c:pt>
                <c:pt idx="8">
                  <c:v>17</c:v>
                </c:pt>
                <c:pt idx="9">
                  <c:v>23</c:v>
                </c:pt>
                <c:pt idx="10">
                  <c:v>21</c:v>
                </c:pt>
              </c:numCache>
            </c:numRef>
          </c:xVal>
          <c:yVal>
            <c:numRef>
              <c:f>'Project gov v outcome'!$DP$3:$DP$13</c:f>
              <c:numCache>
                <c:formatCode>General</c:formatCode>
                <c:ptCount val="11"/>
                <c:pt idx="0">
                  <c:v>9</c:v>
                </c:pt>
                <c:pt idx="1">
                  <c:v>10</c:v>
                </c:pt>
                <c:pt idx="2">
                  <c:v>9</c:v>
                </c:pt>
                <c:pt idx="3">
                  <c:v>9</c:v>
                </c:pt>
                <c:pt idx="4">
                  <c:v>10</c:v>
                </c:pt>
                <c:pt idx="5">
                  <c:v>9</c:v>
                </c:pt>
                <c:pt idx="6">
                  <c:v>9</c:v>
                </c:pt>
                <c:pt idx="7">
                  <c:v>9</c:v>
                </c:pt>
                <c:pt idx="8">
                  <c:v>9</c:v>
                </c:pt>
                <c:pt idx="9">
                  <c:v>10</c:v>
                </c:pt>
                <c:pt idx="10">
                  <c:v>10</c:v>
                </c:pt>
              </c:numCache>
            </c:numRef>
          </c:yVal>
          <c:smooth val="0"/>
          <c:extLst>
            <c:ext xmlns:c16="http://schemas.microsoft.com/office/drawing/2014/chart" uri="{C3380CC4-5D6E-409C-BE32-E72D297353CC}">
              <c16:uniqueId val="{00000002-9BC2-4638-931D-FD825020535B}"/>
            </c:ext>
          </c:extLst>
        </c:ser>
        <c:dLbls>
          <c:showLegendKey val="0"/>
          <c:showVal val="0"/>
          <c:showCatName val="0"/>
          <c:showSerName val="0"/>
          <c:showPercent val="0"/>
          <c:showBubbleSize val="0"/>
        </c:dLbls>
        <c:axId val="296243552"/>
        <c:axId val="296245520"/>
      </c:scatterChart>
      <c:valAx>
        <c:axId val="296243552"/>
        <c:scaling>
          <c:orientation val="minMax"/>
          <c:min val="1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Project success score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245520"/>
        <c:crosses val="autoZero"/>
        <c:crossBetween val="midCat"/>
      </c:valAx>
      <c:valAx>
        <c:axId val="296245520"/>
        <c:scaling>
          <c:orientation val="minMax"/>
          <c:max val="10.199999999999999"/>
          <c:min val="8.80000000000000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Iron</a:t>
                </a:r>
                <a:r>
                  <a:rPr lang="en-GB" baseline="0"/>
                  <a:t> triangle score</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24355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Correlation of project governance effectiveness and project success scores (n= 51)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8.0335739282589677E-2"/>
                  <c:y val="-0.1572944006999125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'Project gov and success'!$EL$3:$EL$52</c:f>
              <c:numCache>
                <c:formatCode>General</c:formatCode>
                <c:ptCount val="50"/>
                <c:pt idx="0">
                  <c:v>9</c:v>
                </c:pt>
                <c:pt idx="1">
                  <c:v>6</c:v>
                </c:pt>
                <c:pt idx="2">
                  <c:v>9</c:v>
                </c:pt>
                <c:pt idx="3">
                  <c:v>8</c:v>
                </c:pt>
                <c:pt idx="4">
                  <c:v>7</c:v>
                </c:pt>
                <c:pt idx="5">
                  <c:v>9</c:v>
                </c:pt>
                <c:pt idx="6">
                  <c:v>6</c:v>
                </c:pt>
                <c:pt idx="7">
                  <c:v>10</c:v>
                </c:pt>
                <c:pt idx="8">
                  <c:v>8</c:v>
                </c:pt>
                <c:pt idx="9">
                  <c:v>3</c:v>
                </c:pt>
                <c:pt idx="10">
                  <c:v>9</c:v>
                </c:pt>
                <c:pt idx="11">
                  <c:v>8</c:v>
                </c:pt>
                <c:pt idx="12">
                  <c:v>9</c:v>
                </c:pt>
                <c:pt idx="13">
                  <c:v>6</c:v>
                </c:pt>
                <c:pt idx="14">
                  <c:v>7</c:v>
                </c:pt>
                <c:pt idx="15">
                  <c:v>8</c:v>
                </c:pt>
                <c:pt idx="16">
                  <c:v>10</c:v>
                </c:pt>
                <c:pt idx="17">
                  <c:v>9</c:v>
                </c:pt>
                <c:pt idx="18">
                  <c:v>8</c:v>
                </c:pt>
                <c:pt idx="19">
                  <c:v>7</c:v>
                </c:pt>
                <c:pt idx="20">
                  <c:v>8</c:v>
                </c:pt>
                <c:pt idx="21">
                  <c:v>7</c:v>
                </c:pt>
                <c:pt idx="22">
                  <c:v>9</c:v>
                </c:pt>
                <c:pt idx="23">
                  <c:v>8</c:v>
                </c:pt>
                <c:pt idx="24">
                  <c:v>9</c:v>
                </c:pt>
                <c:pt idx="25">
                  <c:v>9</c:v>
                </c:pt>
                <c:pt idx="26">
                  <c:v>6</c:v>
                </c:pt>
                <c:pt idx="27">
                  <c:v>7</c:v>
                </c:pt>
                <c:pt idx="28">
                  <c:v>6</c:v>
                </c:pt>
                <c:pt idx="29">
                  <c:v>8</c:v>
                </c:pt>
                <c:pt idx="30">
                  <c:v>9</c:v>
                </c:pt>
                <c:pt idx="31">
                  <c:v>5</c:v>
                </c:pt>
                <c:pt idx="32">
                  <c:v>8</c:v>
                </c:pt>
                <c:pt idx="33">
                  <c:v>7</c:v>
                </c:pt>
                <c:pt idx="34">
                  <c:v>10</c:v>
                </c:pt>
                <c:pt idx="35">
                  <c:v>8</c:v>
                </c:pt>
                <c:pt idx="36">
                  <c:v>9</c:v>
                </c:pt>
                <c:pt idx="37">
                  <c:v>7</c:v>
                </c:pt>
                <c:pt idx="38">
                  <c:v>10</c:v>
                </c:pt>
                <c:pt idx="39">
                  <c:v>8</c:v>
                </c:pt>
                <c:pt idx="40">
                  <c:v>6</c:v>
                </c:pt>
                <c:pt idx="41">
                  <c:v>8</c:v>
                </c:pt>
                <c:pt idx="42">
                  <c:v>7</c:v>
                </c:pt>
                <c:pt idx="43">
                  <c:v>8</c:v>
                </c:pt>
                <c:pt idx="44">
                  <c:v>11</c:v>
                </c:pt>
                <c:pt idx="45">
                  <c:v>8</c:v>
                </c:pt>
                <c:pt idx="46">
                  <c:v>10</c:v>
                </c:pt>
                <c:pt idx="47">
                  <c:v>5</c:v>
                </c:pt>
                <c:pt idx="48">
                  <c:v>7</c:v>
                </c:pt>
                <c:pt idx="49">
                  <c:v>8</c:v>
                </c:pt>
              </c:numCache>
            </c:numRef>
          </c:xVal>
          <c:yVal>
            <c:numRef>
              <c:f>'Project gov and success'!$EM$3:$EM$52</c:f>
              <c:numCache>
                <c:formatCode>General</c:formatCode>
                <c:ptCount val="50"/>
                <c:pt idx="0">
                  <c:v>25</c:v>
                </c:pt>
                <c:pt idx="1">
                  <c:v>14</c:v>
                </c:pt>
                <c:pt idx="2">
                  <c:v>22</c:v>
                </c:pt>
                <c:pt idx="3">
                  <c:v>21</c:v>
                </c:pt>
                <c:pt idx="4">
                  <c:v>10</c:v>
                </c:pt>
                <c:pt idx="5">
                  <c:v>20</c:v>
                </c:pt>
                <c:pt idx="6">
                  <c:v>24</c:v>
                </c:pt>
                <c:pt idx="7">
                  <c:v>23</c:v>
                </c:pt>
                <c:pt idx="8">
                  <c:v>16</c:v>
                </c:pt>
                <c:pt idx="9">
                  <c:v>16</c:v>
                </c:pt>
                <c:pt idx="10">
                  <c:v>23</c:v>
                </c:pt>
                <c:pt idx="11">
                  <c:v>25</c:v>
                </c:pt>
                <c:pt idx="12">
                  <c:v>21</c:v>
                </c:pt>
                <c:pt idx="13">
                  <c:v>22</c:v>
                </c:pt>
                <c:pt idx="14">
                  <c:v>26</c:v>
                </c:pt>
                <c:pt idx="15">
                  <c:v>23</c:v>
                </c:pt>
                <c:pt idx="16">
                  <c:v>25</c:v>
                </c:pt>
                <c:pt idx="17">
                  <c:v>24</c:v>
                </c:pt>
                <c:pt idx="18">
                  <c:v>22</c:v>
                </c:pt>
                <c:pt idx="19">
                  <c:v>26</c:v>
                </c:pt>
                <c:pt idx="20">
                  <c:v>24</c:v>
                </c:pt>
                <c:pt idx="21">
                  <c:v>21</c:v>
                </c:pt>
                <c:pt idx="22">
                  <c:v>20</c:v>
                </c:pt>
                <c:pt idx="23">
                  <c:v>19</c:v>
                </c:pt>
                <c:pt idx="24">
                  <c:v>23</c:v>
                </c:pt>
                <c:pt idx="25">
                  <c:v>19</c:v>
                </c:pt>
                <c:pt idx="26">
                  <c:v>22</c:v>
                </c:pt>
                <c:pt idx="27">
                  <c:v>25</c:v>
                </c:pt>
                <c:pt idx="28">
                  <c:v>14</c:v>
                </c:pt>
                <c:pt idx="29">
                  <c:v>24</c:v>
                </c:pt>
                <c:pt idx="30">
                  <c:v>14</c:v>
                </c:pt>
                <c:pt idx="31">
                  <c:v>26</c:v>
                </c:pt>
                <c:pt idx="32">
                  <c:v>21</c:v>
                </c:pt>
                <c:pt idx="33">
                  <c:v>28</c:v>
                </c:pt>
                <c:pt idx="34">
                  <c:v>25</c:v>
                </c:pt>
                <c:pt idx="35">
                  <c:v>24</c:v>
                </c:pt>
                <c:pt idx="36">
                  <c:v>17</c:v>
                </c:pt>
                <c:pt idx="37">
                  <c:v>19</c:v>
                </c:pt>
                <c:pt idx="38">
                  <c:v>23</c:v>
                </c:pt>
                <c:pt idx="39">
                  <c:v>14</c:v>
                </c:pt>
                <c:pt idx="40">
                  <c:v>25</c:v>
                </c:pt>
                <c:pt idx="41">
                  <c:v>26</c:v>
                </c:pt>
                <c:pt idx="42">
                  <c:v>23</c:v>
                </c:pt>
                <c:pt idx="43">
                  <c:v>20</c:v>
                </c:pt>
                <c:pt idx="44">
                  <c:v>24</c:v>
                </c:pt>
                <c:pt idx="45">
                  <c:v>28</c:v>
                </c:pt>
                <c:pt idx="46">
                  <c:v>21</c:v>
                </c:pt>
                <c:pt idx="47">
                  <c:v>24</c:v>
                </c:pt>
                <c:pt idx="48">
                  <c:v>22</c:v>
                </c:pt>
                <c:pt idx="49">
                  <c:v>19</c:v>
                </c:pt>
              </c:numCache>
            </c:numRef>
          </c:yVal>
          <c:smooth val="0"/>
          <c:extLst>
            <c:ext xmlns:c16="http://schemas.microsoft.com/office/drawing/2014/chart" uri="{C3380CC4-5D6E-409C-BE32-E72D297353CC}">
              <c16:uniqueId val="{00000002-D164-497E-BCFF-B99156C21D7F}"/>
            </c:ext>
          </c:extLst>
        </c:ser>
        <c:dLbls>
          <c:showLegendKey val="0"/>
          <c:showVal val="0"/>
          <c:showCatName val="0"/>
          <c:showSerName val="0"/>
          <c:showPercent val="0"/>
          <c:showBubbleSize val="0"/>
        </c:dLbls>
        <c:axId val="639960752"/>
        <c:axId val="639961080"/>
      </c:scatterChart>
      <c:valAx>
        <c:axId val="639960752"/>
        <c:scaling>
          <c:orientation val="minMax"/>
          <c:min val="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Project success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9961080"/>
        <c:crosses val="autoZero"/>
        <c:crossBetween val="midCat"/>
      </c:valAx>
      <c:valAx>
        <c:axId val="639961080"/>
        <c:scaling>
          <c:orientation val="minMax"/>
          <c:min val="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Project governance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996075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DCFA57-29C2-420A-87E0-9EC338972B4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GB"/>
        </a:p>
      </dgm:t>
    </dgm:pt>
    <dgm:pt modelId="{9A4D7A1A-30AF-46EA-A416-1C37BB87CB51}">
      <dgm:prSet phldrT="[Text]"/>
      <dgm:spPr/>
      <dgm:t>
        <a:bodyPr/>
        <a:lstStyle/>
        <a:p>
          <a:r>
            <a:rPr lang="en-GB"/>
            <a:t>Ministry of Health</a:t>
          </a:r>
        </a:p>
      </dgm:t>
    </dgm:pt>
    <dgm:pt modelId="{1156B048-8871-4935-B5BE-A3D25EA9F2A3}" type="parTrans" cxnId="{95468C5D-3EEF-4D1C-9D44-F9584EA9D113}">
      <dgm:prSet/>
      <dgm:spPr/>
      <dgm:t>
        <a:bodyPr/>
        <a:lstStyle/>
        <a:p>
          <a:endParaRPr lang="en-GB"/>
        </a:p>
      </dgm:t>
    </dgm:pt>
    <dgm:pt modelId="{9B496433-A363-477D-8ED5-A6ADE3B17878}" type="sibTrans" cxnId="{95468C5D-3EEF-4D1C-9D44-F9584EA9D113}">
      <dgm:prSet/>
      <dgm:spPr/>
      <dgm:t>
        <a:bodyPr/>
        <a:lstStyle/>
        <a:p>
          <a:endParaRPr lang="en-GB"/>
        </a:p>
      </dgm:t>
    </dgm:pt>
    <dgm:pt modelId="{8513DD47-50FE-4F25-AA6D-2516DCD4A050}">
      <dgm:prSet phldrT="[Text]"/>
      <dgm:spPr/>
      <dgm:t>
        <a:bodyPr/>
        <a:lstStyle/>
        <a:p>
          <a:r>
            <a:rPr lang="en-GB"/>
            <a:t>Hospital services</a:t>
          </a:r>
        </a:p>
      </dgm:t>
    </dgm:pt>
    <dgm:pt modelId="{5B5DE79A-48E8-4E24-9B87-B986BD314E0A}" type="parTrans" cxnId="{6CF99354-453B-4AE1-973C-A1A3127496F6}">
      <dgm:prSet/>
      <dgm:spPr/>
      <dgm:t>
        <a:bodyPr/>
        <a:lstStyle/>
        <a:p>
          <a:endParaRPr lang="en-GB"/>
        </a:p>
      </dgm:t>
    </dgm:pt>
    <dgm:pt modelId="{4137003C-E829-4D5C-AEA7-F5756EC72BD5}" type="sibTrans" cxnId="{6CF99354-453B-4AE1-973C-A1A3127496F6}">
      <dgm:prSet/>
      <dgm:spPr/>
      <dgm:t>
        <a:bodyPr/>
        <a:lstStyle/>
        <a:p>
          <a:endParaRPr lang="en-GB"/>
        </a:p>
      </dgm:t>
    </dgm:pt>
    <dgm:pt modelId="{5221E7BE-8EDC-4CCB-A558-81A34037FB63}">
      <dgm:prSet phldrT="[Text]"/>
      <dgm:spPr/>
      <dgm:t>
        <a:bodyPr/>
        <a:lstStyle/>
        <a:p>
          <a:r>
            <a:rPr lang="en-GB"/>
            <a:t>146 community health services</a:t>
          </a:r>
        </a:p>
      </dgm:t>
    </dgm:pt>
    <dgm:pt modelId="{4D31E4B6-7057-403B-9062-3FA8FB8B4774}" type="parTrans" cxnId="{A8E9BCC8-1156-404F-A767-651C49645A5F}">
      <dgm:prSet/>
      <dgm:spPr/>
      <dgm:t>
        <a:bodyPr/>
        <a:lstStyle/>
        <a:p>
          <a:endParaRPr lang="en-GB"/>
        </a:p>
      </dgm:t>
    </dgm:pt>
    <dgm:pt modelId="{DA005121-6909-40A1-BA05-C86E79D9F927}" type="sibTrans" cxnId="{A8E9BCC8-1156-404F-A767-651C49645A5F}">
      <dgm:prSet/>
      <dgm:spPr/>
      <dgm:t>
        <a:bodyPr/>
        <a:lstStyle/>
        <a:p>
          <a:endParaRPr lang="en-GB"/>
        </a:p>
      </dgm:t>
    </dgm:pt>
    <dgm:pt modelId="{52741340-7E07-4618-85FA-96474695FD9C}">
      <dgm:prSet phldrT="[Text]"/>
      <dgm:spPr/>
      <dgm:t>
        <a:bodyPr/>
        <a:lstStyle/>
        <a:p>
          <a:r>
            <a:rPr lang="en-GB"/>
            <a:t>146 local health authorities</a:t>
          </a:r>
        </a:p>
      </dgm:t>
    </dgm:pt>
    <dgm:pt modelId="{47FF7315-A63F-4E68-8E54-0951B19CCD53}" type="parTrans" cxnId="{1968F703-69BE-4D71-9808-9DE4E5DD8CF2}">
      <dgm:prSet/>
      <dgm:spPr/>
      <dgm:t>
        <a:bodyPr/>
        <a:lstStyle/>
        <a:p>
          <a:endParaRPr lang="en-GB"/>
        </a:p>
      </dgm:t>
    </dgm:pt>
    <dgm:pt modelId="{71C5F463-ED1A-47E7-85C5-8A0ED43F5856}" type="sibTrans" cxnId="{1968F703-69BE-4D71-9808-9DE4E5DD8CF2}">
      <dgm:prSet/>
      <dgm:spPr/>
      <dgm:t>
        <a:bodyPr/>
        <a:lstStyle/>
        <a:p>
          <a:endParaRPr lang="en-GB"/>
        </a:p>
      </dgm:t>
    </dgm:pt>
    <dgm:pt modelId="{BC34191E-AEF5-449C-9694-08B700B9B05B}">
      <dgm:prSet phldrT="[Text]"/>
      <dgm:spPr/>
      <dgm:t>
        <a:bodyPr/>
        <a:lstStyle/>
        <a:p>
          <a:pPr algn="l"/>
          <a:r>
            <a:rPr lang="en-GB"/>
            <a:t>Primary care</a:t>
          </a:r>
        </a:p>
      </dgm:t>
    </dgm:pt>
    <dgm:pt modelId="{B8592698-3F11-4138-A34E-FC3AE211E441}" type="parTrans" cxnId="{5B12740E-9BB4-4409-ADDC-38B8B43C994D}">
      <dgm:prSet/>
      <dgm:spPr/>
      <dgm:t>
        <a:bodyPr/>
        <a:lstStyle/>
        <a:p>
          <a:endParaRPr lang="en-GB"/>
        </a:p>
      </dgm:t>
    </dgm:pt>
    <dgm:pt modelId="{7B21B0FA-B6BB-4B58-8346-355AAB135678}" type="sibTrans" cxnId="{5B12740E-9BB4-4409-ADDC-38B8B43C994D}">
      <dgm:prSet/>
      <dgm:spPr/>
      <dgm:t>
        <a:bodyPr/>
        <a:lstStyle/>
        <a:p>
          <a:endParaRPr lang="en-GB"/>
        </a:p>
      </dgm:t>
    </dgm:pt>
    <dgm:pt modelId="{49425BC4-4D88-466E-8F3F-6F1CB824F68A}">
      <dgm:prSet phldrT="[Text]"/>
      <dgm:spPr/>
      <dgm:t>
        <a:bodyPr/>
        <a:lstStyle/>
        <a:p>
          <a:r>
            <a:rPr lang="en-GB"/>
            <a:t>14 Regional Hospital Board</a:t>
          </a:r>
        </a:p>
      </dgm:t>
    </dgm:pt>
    <dgm:pt modelId="{690680B7-6152-45D7-A9C5-2101FC5691C2}" type="parTrans" cxnId="{7D69D199-0264-4C4D-BD2D-3E544C25B108}">
      <dgm:prSet/>
      <dgm:spPr/>
      <dgm:t>
        <a:bodyPr/>
        <a:lstStyle/>
        <a:p>
          <a:endParaRPr lang="en-GB"/>
        </a:p>
      </dgm:t>
    </dgm:pt>
    <dgm:pt modelId="{647D22F4-08AB-4545-AF48-0B910A775359}" type="sibTrans" cxnId="{7D69D199-0264-4C4D-BD2D-3E544C25B108}">
      <dgm:prSet/>
      <dgm:spPr/>
      <dgm:t>
        <a:bodyPr/>
        <a:lstStyle/>
        <a:p>
          <a:endParaRPr lang="en-GB"/>
        </a:p>
      </dgm:t>
    </dgm:pt>
    <dgm:pt modelId="{BE65FCC2-B13C-4BAE-86BD-3C75377E02BC}">
      <dgm:prSet phldrT="[Text]"/>
      <dgm:spPr/>
      <dgm:t>
        <a:bodyPr/>
        <a:lstStyle/>
        <a:p>
          <a:r>
            <a:rPr lang="en-GB"/>
            <a:t>388 Hospital Management Committees</a:t>
          </a:r>
        </a:p>
      </dgm:t>
    </dgm:pt>
    <dgm:pt modelId="{ADAC25CF-C386-4080-84E2-89C5F06580EB}" type="parTrans" cxnId="{7E90A806-9794-49AC-8B35-E72C6629B051}">
      <dgm:prSet/>
      <dgm:spPr/>
      <dgm:t>
        <a:bodyPr/>
        <a:lstStyle/>
        <a:p>
          <a:endParaRPr lang="en-GB"/>
        </a:p>
      </dgm:t>
    </dgm:pt>
    <dgm:pt modelId="{287EB31C-598A-4B4D-AFB6-DE0153CADDF0}" type="sibTrans" cxnId="{7E90A806-9794-49AC-8B35-E72C6629B051}">
      <dgm:prSet/>
      <dgm:spPr/>
      <dgm:t>
        <a:bodyPr/>
        <a:lstStyle/>
        <a:p>
          <a:endParaRPr lang="en-GB"/>
        </a:p>
      </dgm:t>
    </dgm:pt>
    <dgm:pt modelId="{079AF3FC-AA86-4D58-868C-176673A192BC}">
      <dgm:prSet phldrT="[Text]"/>
      <dgm:spPr/>
      <dgm:t>
        <a:bodyPr/>
        <a:lstStyle/>
        <a:p>
          <a:r>
            <a:rPr lang="en-GB"/>
            <a:t> 2800 hospitals</a:t>
          </a:r>
        </a:p>
      </dgm:t>
    </dgm:pt>
    <dgm:pt modelId="{77B24867-4F4E-4013-BC37-BB55A3523EE3}" type="parTrans" cxnId="{93862A40-8A19-44D7-8899-A1440928CF90}">
      <dgm:prSet/>
      <dgm:spPr/>
      <dgm:t>
        <a:bodyPr/>
        <a:lstStyle/>
        <a:p>
          <a:endParaRPr lang="en-GB"/>
        </a:p>
      </dgm:t>
    </dgm:pt>
    <dgm:pt modelId="{9B67D93A-8F91-41AA-9DA0-63AA0C9A4813}" type="sibTrans" cxnId="{93862A40-8A19-44D7-8899-A1440928CF90}">
      <dgm:prSet/>
      <dgm:spPr/>
      <dgm:t>
        <a:bodyPr/>
        <a:lstStyle/>
        <a:p>
          <a:endParaRPr lang="en-GB"/>
        </a:p>
      </dgm:t>
    </dgm:pt>
    <dgm:pt modelId="{BC8FB031-C7B8-485C-8790-3577FADC27C1}">
      <dgm:prSet phldrT="[Text]"/>
      <dgm:spPr/>
      <dgm:t>
        <a:bodyPr/>
        <a:lstStyle/>
        <a:p>
          <a:r>
            <a:rPr lang="en-GB"/>
            <a:t>36 Boards of Governors</a:t>
          </a:r>
        </a:p>
      </dgm:t>
    </dgm:pt>
    <dgm:pt modelId="{9B7273EC-08C1-4A5F-99A4-CB38E398319B}" type="parTrans" cxnId="{BC052F5A-C34C-4ADD-A23D-43B555E697BC}">
      <dgm:prSet/>
      <dgm:spPr/>
      <dgm:t>
        <a:bodyPr/>
        <a:lstStyle/>
        <a:p>
          <a:endParaRPr lang="en-GB"/>
        </a:p>
      </dgm:t>
    </dgm:pt>
    <dgm:pt modelId="{7F158C8F-1BC6-408E-9CC4-88D763D6FE53}" type="sibTrans" cxnId="{BC052F5A-C34C-4ADD-A23D-43B555E697BC}">
      <dgm:prSet/>
      <dgm:spPr/>
      <dgm:t>
        <a:bodyPr/>
        <a:lstStyle/>
        <a:p>
          <a:endParaRPr lang="en-GB"/>
        </a:p>
      </dgm:t>
    </dgm:pt>
    <dgm:pt modelId="{E240AE5D-8CB2-4DAA-8F37-6B1DEB1799CE}">
      <dgm:prSet phldrT="[Text]"/>
      <dgm:spPr/>
      <dgm:t>
        <a:bodyPr/>
        <a:lstStyle/>
        <a:p>
          <a:r>
            <a:rPr lang="en-GB"/>
            <a:t>140 teaching hospitals</a:t>
          </a:r>
        </a:p>
      </dgm:t>
    </dgm:pt>
    <dgm:pt modelId="{66A00796-0323-4560-A9A9-B272779B3415}" type="parTrans" cxnId="{A05169DF-ED3C-4892-93EE-A3FCD401F0F4}">
      <dgm:prSet/>
      <dgm:spPr/>
      <dgm:t>
        <a:bodyPr/>
        <a:lstStyle/>
        <a:p>
          <a:endParaRPr lang="en-GB"/>
        </a:p>
      </dgm:t>
    </dgm:pt>
    <dgm:pt modelId="{66FE4FE0-1AF5-4C64-8D0C-F9C1BCDF4B83}" type="sibTrans" cxnId="{A05169DF-ED3C-4892-93EE-A3FCD401F0F4}">
      <dgm:prSet/>
      <dgm:spPr/>
      <dgm:t>
        <a:bodyPr/>
        <a:lstStyle/>
        <a:p>
          <a:endParaRPr lang="en-GB"/>
        </a:p>
      </dgm:t>
    </dgm:pt>
    <dgm:pt modelId="{5F6986A2-8EBD-48C6-8158-9218730D017B}">
      <dgm:prSet phldrT="[Text]"/>
      <dgm:spPr/>
      <dgm:t>
        <a:bodyPr/>
        <a:lstStyle/>
        <a:p>
          <a:r>
            <a:rPr lang="en-GB"/>
            <a:t>Nurses, midwives and health visitors in the community</a:t>
          </a:r>
        </a:p>
      </dgm:t>
    </dgm:pt>
    <dgm:pt modelId="{C0A7CCD3-03F6-462A-991B-46A6F905F0C7}" type="parTrans" cxnId="{0AF08533-7B84-43E7-B9EA-BC3594E4977A}">
      <dgm:prSet/>
      <dgm:spPr/>
      <dgm:t>
        <a:bodyPr/>
        <a:lstStyle/>
        <a:p>
          <a:endParaRPr lang="en-GB"/>
        </a:p>
      </dgm:t>
    </dgm:pt>
    <dgm:pt modelId="{73FBAE93-03DC-452F-AE04-357DC6EC512D}" type="sibTrans" cxnId="{0AF08533-7B84-43E7-B9EA-BC3594E4977A}">
      <dgm:prSet/>
      <dgm:spPr/>
      <dgm:t>
        <a:bodyPr/>
        <a:lstStyle/>
        <a:p>
          <a:endParaRPr lang="en-GB"/>
        </a:p>
      </dgm:t>
    </dgm:pt>
    <dgm:pt modelId="{A1AE89DB-8C88-4771-8262-6F63E71142D4}">
      <dgm:prSet phldrT="[Text]"/>
      <dgm:spPr/>
      <dgm:t>
        <a:bodyPr/>
        <a:lstStyle/>
        <a:p>
          <a:pPr algn="l"/>
          <a:r>
            <a:rPr lang="en-GB"/>
            <a:t>138 Executive Councils  for GPS</a:t>
          </a:r>
        </a:p>
      </dgm:t>
    </dgm:pt>
    <dgm:pt modelId="{E8728C39-0C2D-4871-B7BA-B58A5A458DB5}" type="parTrans" cxnId="{C58B578F-563B-4E5E-AF64-58DA3883AB43}">
      <dgm:prSet/>
      <dgm:spPr/>
      <dgm:t>
        <a:bodyPr/>
        <a:lstStyle/>
        <a:p>
          <a:endParaRPr lang="en-GB"/>
        </a:p>
      </dgm:t>
    </dgm:pt>
    <dgm:pt modelId="{D725E92D-8915-429B-A714-85C457E88D47}" type="sibTrans" cxnId="{C58B578F-563B-4E5E-AF64-58DA3883AB43}">
      <dgm:prSet/>
      <dgm:spPr/>
      <dgm:t>
        <a:bodyPr/>
        <a:lstStyle/>
        <a:p>
          <a:endParaRPr lang="en-GB"/>
        </a:p>
      </dgm:t>
    </dgm:pt>
    <dgm:pt modelId="{222D0374-3A5A-4FA9-A898-CC5211D762C8}">
      <dgm:prSet phldrT="[Text]"/>
      <dgm:spPr/>
      <dgm:t>
        <a:bodyPr/>
        <a:lstStyle/>
        <a:p>
          <a:pPr algn="l"/>
          <a:r>
            <a:rPr lang="en-GB"/>
            <a:t>20,000 GPs, dentists, opticians and pharmacies</a:t>
          </a:r>
        </a:p>
      </dgm:t>
    </dgm:pt>
    <dgm:pt modelId="{33D7FFB1-8992-4858-9A03-23FAF530947B}" type="parTrans" cxnId="{9E27A521-B459-4586-96BB-84137259585C}">
      <dgm:prSet/>
      <dgm:spPr/>
      <dgm:t>
        <a:bodyPr/>
        <a:lstStyle/>
        <a:p>
          <a:endParaRPr lang="en-GB"/>
        </a:p>
      </dgm:t>
    </dgm:pt>
    <dgm:pt modelId="{0327D985-B099-4857-955E-76009376D7CA}" type="sibTrans" cxnId="{9E27A521-B459-4586-96BB-84137259585C}">
      <dgm:prSet/>
      <dgm:spPr/>
      <dgm:t>
        <a:bodyPr/>
        <a:lstStyle/>
        <a:p>
          <a:endParaRPr lang="en-GB"/>
        </a:p>
      </dgm:t>
    </dgm:pt>
    <dgm:pt modelId="{5F201364-6F15-462D-BA9E-6615E65CECFE}" type="pres">
      <dgm:prSet presAssocID="{21DCFA57-29C2-420A-87E0-9EC338972B4C}" presName="hierChild1" presStyleCnt="0">
        <dgm:presLayoutVars>
          <dgm:chPref val="1"/>
          <dgm:dir/>
          <dgm:animOne val="branch"/>
          <dgm:animLvl val="lvl"/>
          <dgm:resizeHandles/>
        </dgm:presLayoutVars>
      </dgm:prSet>
      <dgm:spPr/>
    </dgm:pt>
    <dgm:pt modelId="{45AAA88A-9241-48E9-9577-F2B7105B6574}" type="pres">
      <dgm:prSet presAssocID="{9A4D7A1A-30AF-46EA-A416-1C37BB87CB51}" presName="hierRoot1" presStyleCnt="0"/>
      <dgm:spPr/>
    </dgm:pt>
    <dgm:pt modelId="{D2489B95-6DA9-4219-9924-850FD9C5AF59}" type="pres">
      <dgm:prSet presAssocID="{9A4D7A1A-30AF-46EA-A416-1C37BB87CB51}" presName="composite" presStyleCnt="0"/>
      <dgm:spPr/>
    </dgm:pt>
    <dgm:pt modelId="{B08A271E-B373-4C47-AF10-ACA6C94480A4}" type="pres">
      <dgm:prSet presAssocID="{9A4D7A1A-30AF-46EA-A416-1C37BB87CB51}" presName="background" presStyleLbl="node0" presStyleIdx="0" presStyleCnt="1"/>
      <dgm:spPr/>
    </dgm:pt>
    <dgm:pt modelId="{6CA68BD5-2D27-453E-8B0E-E3DA5E779CE3}" type="pres">
      <dgm:prSet presAssocID="{9A4D7A1A-30AF-46EA-A416-1C37BB87CB51}" presName="text" presStyleLbl="fgAcc0" presStyleIdx="0" presStyleCnt="1">
        <dgm:presLayoutVars>
          <dgm:chPref val="3"/>
        </dgm:presLayoutVars>
      </dgm:prSet>
      <dgm:spPr/>
    </dgm:pt>
    <dgm:pt modelId="{613C4213-7867-42ED-9983-7C9977756570}" type="pres">
      <dgm:prSet presAssocID="{9A4D7A1A-30AF-46EA-A416-1C37BB87CB51}" presName="hierChild2" presStyleCnt="0"/>
      <dgm:spPr/>
    </dgm:pt>
    <dgm:pt modelId="{4F35DEDC-B776-4B2C-B7A3-C4970B624A0E}" type="pres">
      <dgm:prSet presAssocID="{5B5DE79A-48E8-4E24-9B87-B986BD314E0A}" presName="Name10" presStyleLbl="parChTrans1D2" presStyleIdx="0" presStyleCnt="3"/>
      <dgm:spPr/>
    </dgm:pt>
    <dgm:pt modelId="{09DD0033-D9C7-4FC7-97BF-16DF11B55630}" type="pres">
      <dgm:prSet presAssocID="{8513DD47-50FE-4F25-AA6D-2516DCD4A050}" presName="hierRoot2" presStyleCnt="0"/>
      <dgm:spPr/>
    </dgm:pt>
    <dgm:pt modelId="{163143DE-C56D-4568-8DD8-A11D32760118}" type="pres">
      <dgm:prSet presAssocID="{8513DD47-50FE-4F25-AA6D-2516DCD4A050}" presName="composite2" presStyleCnt="0"/>
      <dgm:spPr/>
    </dgm:pt>
    <dgm:pt modelId="{C89DD962-765B-4A6B-8761-595A5B121E2A}" type="pres">
      <dgm:prSet presAssocID="{8513DD47-50FE-4F25-AA6D-2516DCD4A050}" presName="background2" presStyleLbl="node2" presStyleIdx="0" presStyleCnt="3"/>
      <dgm:spPr/>
    </dgm:pt>
    <dgm:pt modelId="{AD5C0596-CEA0-4D46-881E-88FFA4D8EA84}" type="pres">
      <dgm:prSet presAssocID="{8513DD47-50FE-4F25-AA6D-2516DCD4A050}" presName="text2" presStyleLbl="fgAcc2" presStyleIdx="0" presStyleCnt="3">
        <dgm:presLayoutVars>
          <dgm:chPref val="3"/>
        </dgm:presLayoutVars>
      </dgm:prSet>
      <dgm:spPr/>
    </dgm:pt>
    <dgm:pt modelId="{A1FD2416-4B04-43B6-BB74-526F4113080E}" type="pres">
      <dgm:prSet presAssocID="{8513DD47-50FE-4F25-AA6D-2516DCD4A050}" presName="hierChild3" presStyleCnt="0"/>
      <dgm:spPr/>
    </dgm:pt>
    <dgm:pt modelId="{71A84D1F-2EAE-40B8-BAD4-012BC11C0A6B}" type="pres">
      <dgm:prSet presAssocID="{690680B7-6152-45D7-A9C5-2101FC5691C2}" presName="Name17" presStyleLbl="parChTrans1D3" presStyleIdx="0" presStyleCnt="4"/>
      <dgm:spPr/>
    </dgm:pt>
    <dgm:pt modelId="{3C0A4323-11AC-47BE-A6AE-994C9005DA8A}" type="pres">
      <dgm:prSet presAssocID="{49425BC4-4D88-466E-8F3F-6F1CB824F68A}" presName="hierRoot3" presStyleCnt="0"/>
      <dgm:spPr/>
    </dgm:pt>
    <dgm:pt modelId="{F3148E1A-EFCF-4B07-9DBD-68A2C4689BBF}" type="pres">
      <dgm:prSet presAssocID="{49425BC4-4D88-466E-8F3F-6F1CB824F68A}" presName="composite3" presStyleCnt="0"/>
      <dgm:spPr/>
    </dgm:pt>
    <dgm:pt modelId="{6FF4042E-6539-4229-9423-BD9011EC1AE4}" type="pres">
      <dgm:prSet presAssocID="{49425BC4-4D88-466E-8F3F-6F1CB824F68A}" presName="background3" presStyleLbl="node3" presStyleIdx="0" presStyleCnt="4"/>
      <dgm:spPr/>
    </dgm:pt>
    <dgm:pt modelId="{31A233FB-BD52-4CE4-A411-45DACAB160CC}" type="pres">
      <dgm:prSet presAssocID="{49425BC4-4D88-466E-8F3F-6F1CB824F68A}" presName="text3" presStyleLbl="fgAcc3" presStyleIdx="0" presStyleCnt="4">
        <dgm:presLayoutVars>
          <dgm:chPref val="3"/>
        </dgm:presLayoutVars>
      </dgm:prSet>
      <dgm:spPr/>
    </dgm:pt>
    <dgm:pt modelId="{A34782BB-6C6D-4FA4-94C9-50923F275020}" type="pres">
      <dgm:prSet presAssocID="{49425BC4-4D88-466E-8F3F-6F1CB824F68A}" presName="hierChild4" presStyleCnt="0"/>
      <dgm:spPr/>
    </dgm:pt>
    <dgm:pt modelId="{5CF5070E-2170-4346-828D-D4CE533A8836}" type="pres">
      <dgm:prSet presAssocID="{ADAC25CF-C386-4080-84E2-89C5F06580EB}" presName="Name23" presStyleLbl="parChTrans1D4" presStyleIdx="0" presStyleCnt="5"/>
      <dgm:spPr/>
    </dgm:pt>
    <dgm:pt modelId="{4617E51A-752A-4652-BD0C-ECEF671C095A}" type="pres">
      <dgm:prSet presAssocID="{BE65FCC2-B13C-4BAE-86BD-3C75377E02BC}" presName="hierRoot4" presStyleCnt="0"/>
      <dgm:spPr/>
    </dgm:pt>
    <dgm:pt modelId="{AEE24520-16C1-43F0-B214-BFA107A7C28B}" type="pres">
      <dgm:prSet presAssocID="{BE65FCC2-B13C-4BAE-86BD-3C75377E02BC}" presName="composite4" presStyleCnt="0"/>
      <dgm:spPr/>
    </dgm:pt>
    <dgm:pt modelId="{C23FA94F-004D-4465-A7C0-A0C6D9F54F71}" type="pres">
      <dgm:prSet presAssocID="{BE65FCC2-B13C-4BAE-86BD-3C75377E02BC}" presName="background4" presStyleLbl="node4" presStyleIdx="0" presStyleCnt="5"/>
      <dgm:spPr/>
    </dgm:pt>
    <dgm:pt modelId="{A5945936-91AB-43EC-AE8A-D238D075E60E}" type="pres">
      <dgm:prSet presAssocID="{BE65FCC2-B13C-4BAE-86BD-3C75377E02BC}" presName="text4" presStyleLbl="fgAcc4" presStyleIdx="0" presStyleCnt="5">
        <dgm:presLayoutVars>
          <dgm:chPref val="3"/>
        </dgm:presLayoutVars>
      </dgm:prSet>
      <dgm:spPr/>
    </dgm:pt>
    <dgm:pt modelId="{D815B997-5410-4795-A55C-038A346EE755}" type="pres">
      <dgm:prSet presAssocID="{BE65FCC2-B13C-4BAE-86BD-3C75377E02BC}" presName="hierChild5" presStyleCnt="0"/>
      <dgm:spPr/>
    </dgm:pt>
    <dgm:pt modelId="{6D1880B6-5662-4CB7-8680-C40B0C1D2A6A}" type="pres">
      <dgm:prSet presAssocID="{77B24867-4F4E-4013-BC37-BB55A3523EE3}" presName="Name23" presStyleLbl="parChTrans1D4" presStyleIdx="1" presStyleCnt="5"/>
      <dgm:spPr/>
    </dgm:pt>
    <dgm:pt modelId="{23482A84-3897-4200-A567-153BF1CF2632}" type="pres">
      <dgm:prSet presAssocID="{079AF3FC-AA86-4D58-868C-176673A192BC}" presName="hierRoot4" presStyleCnt="0"/>
      <dgm:spPr/>
    </dgm:pt>
    <dgm:pt modelId="{4A12E8A8-60F7-4AF5-BC4C-16F8E3E27A24}" type="pres">
      <dgm:prSet presAssocID="{079AF3FC-AA86-4D58-868C-176673A192BC}" presName="composite4" presStyleCnt="0"/>
      <dgm:spPr/>
    </dgm:pt>
    <dgm:pt modelId="{8E34792E-A5BA-4DDA-95C6-3A60EB04422E}" type="pres">
      <dgm:prSet presAssocID="{079AF3FC-AA86-4D58-868C-176673A192BC}" presName="background4" presStyleLbl="node4" presStyleIdx="1" presStyleCnt="5"/>
      <dgm:spPr/>
    </dgm:pt>
    <dgm:pt modelId="{39A663A8-BE4B-4DF8-B1E5-E6BDBCC04A8E}" type="pres">
      <dgm:prSet presAssocID="{079AF3FC-AA86-4D58-868C-176673A192BC}" presName="text4" presStyleLbl="fgAcc4" presStyleIdx="1" presStyleCnt="5">
        <dgm:presLayoutVars>
          <dgm:chPref val="3"/>
        </dgm:presLayoutVars>
      </dgm:prSet>
      <dgm:spPr/>
    </dgm:pt>
    <dgm:pt modelId="{66480D6A-CE0D-4794-8B61-1A479E0DFCF9}" type="pres">
      <dgm:prSet presAssocID="{079AF3FC-AA86-4D58-868C-176673A192BC}" presName="hierChild5" presStyleCnt="0"/>
      <dgm:spPr/>
    </dgm:pt>
    <dgm:pt modelId="{C6A5C506-82D9-4EDB-9D8A-DF12C8BF2091}" type="pres">
      <dgm:prSet presAssocID="{9B7273EC-08C1-4A5F-99A4-CB38E398319B}" presName="Name17" presStyleLbl="parChTrans1D3" presStyleIdx="1" presStyleCnt="4"/>
      <dgm:spPr/>
    </dgm:pt>
    <dgm:pt modelId="{796145DA-ABD8-4162-9F05-816BA7913281}" type="pres">
      <dgm:prSet presAssocID="{BC8FB031-C7B8-485C-8790-3577FADC27C1}" presName="hierRoot3" presStyleCnt="0"/>
      <dgm:spPr/>
    </dgm:pt>
    <dgm:pt modelId="{43145D5C-EF52-4F18-BE92-574778D20B16}" type="pres">
      <dgm:prSet presAssocID="{BC8FB031-C7B8-485C-8790-3577FADC27C1}" presName="composite3" presStyleCnt="0"/>
      <dgm:spPr/>
    </dgm:pt>
    <dgm:pt modelId="{D31DA924-D34E-43CD-AFC2-49E7ED75A107}" type="pres">
      <dgm:prSet presAssocID="{BC8FB031-C7B8-485C-8790-3577FADC27C1}" presName="background3" presStyleLbl="node3" presStyleIdx="1" presStyleCnt="4"/>
      <dgm:spPr/>
    </dgm:pt>
    <dgm:pt modelId="{35912EB8-CB23-4966-8E18-7451B1F7BB9F}" type="pres">
      <dgm:prSet presAssocID="{BC8FB031-C7B8-485C-8790-3577FADC27C1}" presName="text3" presStyleLbl="fgAcc3" presStyleIdx="1" presStyleCnt="4">
        <dgm:presLayoutVars>
          <dgm:chPref val="3"/>
        </dgm:presLayoutVars>
      </dgm:prSet>
      <dgm:spPr/>
    </dgm:pt>
    <dgm:pt modelId="{F9B8B6EE-6911-4BE1-9F8B-3E6C7AAA0051}" type="pres">
      <dgm:prSet presAssocID="{BC8FB031-C7B8-485C-8790-3577FADC27C1}" presName="hierChild4" presStyleCnt="0"/>
      <dgm:spPr/>
    </dgm:pt>
    <dgm:pt modelId="{CC35082E-A4DE-4034-B70D-D3EC4EE8FB07}" type="pres">
      <dgm:prSet presAssocID="{66A00796-0323-4560-A9A9-B272779B3415}" presName="Name23" presStyleLbl="parChTrans1D4" presStyleIdx="2" presStyleCnt="5"/>
      <dgm:spPr/>
    </dgm:pt>
    <dgm:pt modelId="{BE09F342-2135-49B8-918F-D985A19170AB}" type="pres">
      <dgm:prSet presAssocID="{E240AE5D-8CB2-4DAA-8F37-6B1DEB1799CE}" presName="hierRoot4" presStyleCnt="0"/>
      <dgm:spPr/>
    </dgm:pt>
    <dgm:pt modelId="{BB66EFDE-476F-45FA-80F3-7B924FF00941}" type="pres">
      <dgm:prSet presAssocID="{E240AE5D-8CB2-4DAA-8F37-6B1DEB1799CE}" presName="composite4" presStyleCnt="0"/>
      <dgm:spPr/>
    </dgm:pt>
    <dgm:pt modelId="{D5A7A5A4-8569-4990-B0C7-8BC008FC0EB4}" type="pres">
      <dgm:prSet presAssocID="{E240AE5D-8CB2-4DAA-8F37-6B1DEB1799CE}" presName="background4" presStyleLbl="node4" presStyleIdx="2" presStyleCnt="5"/>
      <dgm:spPr/>
    </dgm:pt>
    <dgm:pt modelId="{FDFFC750-2E7F-473E-8245-19C8FA7BBC71}" type="pres">
      <dgm:prSet presAssocID="{E240AE5D-8CB2-4DAA-8F37-6B1DEB1799CE}" presName="text4" presStyleLbl="fgAcc4" presStyleIdx="2" presStyleCnt="5">
        <dgm:presLayoutVars>
          <dgm:chPref val="3"/>
        </dgm:presLayoutVars>
      </dgm:prSet>
      <dgm:spPr/>
    </dgm:pt>
    <dgm:pt modelId="{1273AB0B-F1F9-4D92-9E4A-A03147174592}" type="pres">
      <dgm:prSet presAssocID="{E240AE5D-8CB2-4DAA-8F37-6B1DEB1799CE}" presName="hierChild5" presStyleCnt="0"/>
      <dgm:spPr/>
    </dgm:pt>
    <dgm:pt modelId="{DC626A84-CAFC-4FFD-89D0-D7328AC5BE30}" type="pres">
      <dgm:prSet presAssocID="{4D31E4B6-7057-403B-9062-3FA8FB8B4774}" presName="Name10" presStyleLbl="parChTrans1D2" presStyleIdx="1" presStyleCnt="3"/>
      <dgm:spPr/>
    </dgm:pt>
    <dgm:pt modelId="{1F6CB382-924F-4F88-AB49-0BA162395E87}" type="pres">
      <dgm:prSet presAssocID="{5221E7BE-8EDC-4CCB-A558-81A34037FB63}" presName="hierRoot2" presStyleCnt="0"/>
      <dgm:spPr/>
    </dgm:pt>
    <dgm:pt modelId="{296F25E8-7E0E-4E27-9922-316C5CF7D941}" type="pres">
      <dgm:prSet presAssocID="{5221E7BE-8EDC-4CCB-A558-81A34037FB63}" presName="composite2" presStyleCnt="0"/>
      <dgm:spPr/>
    </dgm:pt>
    <dgm:pt modelId="{E7C041E5-11BC-421B-9B94-A237BF5AA093}" type="pres">
      <dgm:prSet presAssocID="{5221E7BE-8EDC-4CCB-A558-81A34037FB63}" presName="background2" presStyleLbl="node2" presStyleIdx="1" presStyleCnt="3"/>
      <dgm:spPr/>
    </dgm:pt>
    <dgm:pt modelId="{F3363053-4845-46A6-9D0A-233EE2DEF2FC}" type="pres">
      <dgm:prSet presAssocID="{5221E7BE-8EDC-4CCB-A558-81A34037FB63}" presName="text2" presStyleLbl="fgAcc2" presStyleIdx="1" presStyleCnt="3">
        <dgm:presLayoutVars>
          <dgm:chPref val="3"/>
        </dgm:presLayoutVars>
      </dgm:prSet>
      <dgm:spPr/>
    </dgm:pt>
    <dgm:pt modelId="{4873C57C-E34C-49EF-B1D2-27D082DE417A}" type="pres">
      <dgm:prSet presAssocID="{5221E7BE-8EDC-4CCB-A558-81A34037FB63}" presName="hierChild3" presStyleCnt="0"/>
      <dgm:spPr/>
    </dgm:pt>
    <dgm:pt modelId="{C7DC1003-FDDF-4C00-807D-237068C824EA}" type="pres">
      <dgm:prSet presAssocID="{47FF7315-A63F-4E68-8E54-0951B19CCD53}" presName="Name17" presStyleLbl="parChTrans1D3" presStyleIdx="2" presStyleCnt="4"/>
      <dgm:spPr/>
    </dgm:pt>
    <dgm:pt modelId="{EC6605C5-F6A8-44C7-9B1C-22016F0EDA3F}" type="pres">
      <dgm:prSet presAssocID="{52741340-7E07-4618-85FA-96474695FD9C}" presName="hierRoot3" presStyleCnt="0"/>
      <dgm:spPr/>
    </dgm:pt>
    <dgm:pt modelId="{14097433-D5A9-41B7-8FD0-1387D76CD104}" type="pres">
      <dgm:prSet presAssocID="{52741340-7E07-4618-85FA-96474695FD9C}" presName="composite3" presStyleCnt="0"/>
      <dgm:spPr/>
    </dgm:pt>
    <dgm:pt modelId="{0BF22266-EFB6-4F00-A0F3-3C48E515F9A3}" type="pres">
      <dgm:prSet presAssocID="{52741340-7E07-4618-85FA-96474695FD9C}" presName="background3" presStyleLbl="node3" presStyleIdx="2" presStyleCnt="4"/>
      <dgm:spPr/>
    </dgm:pt>
    <dgm:pt modelId="{DE257D35-E40E-49CE-ADF6-691221B85440}" type="pres">
      <dgm:prSet presAssocID="{52741340-7E07-4618-85FA-96474695FD9C}" presName="text3" presStyleLbl="fgAcc3" presStyleIdx="2" presStyleCnt="4">
        <dgm:presLayoutVars>
          <dgm:chPref val="3"/>
        </dgm:presLayoutVars>
      </dgm:prSet>
      <dgm:spPr/>
    </dgm:pt>
    <dgm:pt modelId="{6866D979-B507-4A3E-9D93-4A2923DA03BE}" type="pres">
      <dgm:prSet presAssocID="{52741340-7E07-4618-85FA-96474695FD9C}" presName="hierChild4" presStyleCnt="0"/>
      <dgm:spPr/>
    </dgm:pt>
    <dgm:pt modelId="{C46F20C2-D142-4C54-9E3B-EFAB451E4F39}" type="pres">
      <dgm:prSet presAssocID="{C0A7CCD3-03F6-462A-991B-46A6F905F0C7}" presName="Name23" presStyleLbl="parChTrans1D4" presStyleIdx="3" presStyleCnt="5"/>
      <dgm:spPr/>
    </dgm:pt>
    <dgm:pt modelId="{C790D357-9B7C-46A0-BE49-F2E0BC1B8390}" type="pres">
      <dgm:prSet presAssocID="{5F6986A2-8EBD-48C6-8158-9218730D017B}" presName="hierRoot4" presStyleCnt="0"/>
      <dgm:spPr/>
    </dgm:pt>
    <dgm:pt modelId="{245F46E3-7231-4F70-A908-422331CA58A4}" type="pres">
      <dgm:prSet presAssocID="{5F6986A2-8EBD-48C6-8158-9218730D017B}" presName="composite4" presStyleCnt="0"/>
      <dgm:spPr/>
    </dgm:pt>
    <dgm:pt modelId="{1E95C141-7A1E-47D1-AE32-02A65B0A97AE}" type="pres">
      <dgm:prSet presAssocID="{5F6986A2-8EBD-48C6-8158-9218730D017B}" presName="background4" presStyleLbl="node4" presStyleIdx="3" presStyleCnt="5"/>
      <dgm:spPr/>
    </dgm:pt>
    <dgm:pt modelId="{836ECF7F-DA30-48FD-A27A-271E35FF8227}" type="pres">
      <dgm:prSet presAssocID="{5F6986A2-8EBD-48C6-8158-9218730D017B}" presName="text4" presStyleLbl="fgAcc4" presStyleIdx="3" presStyleCnt="5">
        <dgm:presLayoutVars>
          <dgm:chPref val="3"/>
        </dgm:presLayoutVars>
      </dgm:prSet>
      <dgm:spPr/>
    </dgm:pt>
    <dgm:pt modelId="{B6983FC5-6922-4AF0-AD73-3BFC405CC090}" type="pres">
      <dgm:prSet presAssocID="{5F6986A2-8EBD-48C6-8158-9218730D017B}" presName="hierChild5" presStyleCnt="0"/>
      <dgm:spPr/>
    </dgm:pt>
    <dgm:pt modelId="{037318CF-D702-444D-BA09-A688445A306A}" type="pres">
      <dgm:prSet presAssocID="{B8592698-3F11-4138-A34E-FC3AE211E441}" presName="Name10" presStyleLbl="parChTrans1D2" presStyleIdx="2" presStyleCnt="3"/>
      <dgm:spPr/>
    </dgm:pt>
    <dgm:pt modelId="{27F4BD9C-C95F-4B37-B39E-E147B58F4CD6}" type="pres">
      <dgm:prSet presAssocID="{BC34191E-AEF5-449C-9694-08B700B9B05B}" presName="hierRoot2" presStyleCnt="0"/>
      <dgm:spPr/>
    </dgm:pt>
    <dgm:pt modelId="{329EACB6-1C6E-4F28-8D41-0F3F2080600B}" type="pres">
      <dgm:prSet presAssocID="{BC34191E-AEF5-449C-9694-08B700B9B05B}" presName="composite2" presStyleCnt="0"/>
      <dgm:spPr/>
    </dgm:pt>
    <dgm:pt modelId="{870A5504-7199-469F-96CF-B8E7D8439052}" type="pres">
      <dgm:prSet presAssocID="{BC34191E-AEF5-449C-9694-08B700B9B05B}" presName="background2" presStyleLbl="node2" presStyleIdx="2" presStyleCnt="3"/>
      <dgm:spPr/>
    </dgm:pt>
    <dgm:pt modelId="{F64A7E74-E087-468E-86AA-502E8F61E30F}" type="pres">
      <dgm:prSet presAssocID="{BC34191E-AEF5-449C-9694-08B700B9B05B}" presName="text2" presStyleLbl="fgAcc2" presStyleIdx="2" presStyleCnt="3">
        <dgm:presLayoutVars>
          <dgm:chPref val="3"/>
        </dgm:presLayoutVars>
      </dgm:prSet>
      <dgm:spPr/>
    </dgm:pt>
    <dgm:pt modelId="{6C08C7C9-3489-42D4-9166-F7227D0621CF}" type="pres">
      <dgm:prSet presAssocID="{BC34191E-AEF5-449C-9694-08B700B9B05B}" presName="hierChild3" presStyleCnt="0"/>
      <dgm:spPr/>
    </dgm:pt>
    <dgm:pt modelId="{2D7B3552-5749-4F00-B6A0-565C7A37CF0B}" type="pres">
      <dgm:prSet presAssocID="{E8728C39-0C2D-4871-B7BA-B58A5A458DB5}" presName="Name17" presStyleLbl="parChTrans1D3" presStyleIdx="3" presStyleCnt="4"/>
      <dgm:spPr/>
    </dgm:pt>
    <dgm:pt modelId="{D639C2D7-896C-47C9-ACF7-1419CD2B7CBD}" type="pres">
      <dgm:prSet presAssocID="{A1AE89DB-8C88-4771-8262-6F63E71142D4}" presName="hierRoot3" presStyleCnt="0"/>
      <dgm:spPr/>
    </dgm:pt>
    <dgm:pt modelId="{9E424709-FD58-445B-BC80-ED158387B9F8}" type="pres">
      <dgm:prSet presAssocID="{A1AE89DB-8C88-4771-8262-6F63E71142D4}" presName="composite3" presStyleCnt="0"/>
      <dgm:spPr/>
    </dgm:pt>
    <dgm:pt modelId="{20DC79A4-0B1F-4397-80DB-24AEC87B48E6}" type="pres">
      <dgm:prSet presAssocID="{A1AE89DB-8C88-4771-8262-6F63E71142D4}" presName="background3" presStyleLbl="node3" presStyleIdx="3" presStyleCnt="4"/>
      <dgm:spPr/>
    </dgm:pt>
    <dgm:pt modelId="{2F79F0F8-CD60-4FB1-8EF1-E23332B76D20}" type="pres">
      <dgm:prSet presAssocID="{A1AE89DB-8C88-4771-8262-6F63E71142D4}" presName="text3" presStyleLbl="fgAcc3" presStyleIdx="3" presStyleCnt="4">
        <dgm:presLayoutVars>
          <dgm:chPref val="3"/>
        </dgm:presLayoutVars>
      </dgm:prSet>
      <dgm:spPr/>
    </dgm:pt>
    <dgm:pt modelId="{11EDFDE6-9896-4FE8-9D4D-3C2CCA4132A9}" type="pres">
      <dgm:prSet presAssocID="{A1AE89DB-8C88-4771-8262-6F63E71142D4}" presName="hierChild4" presStyleCnt="0"/>
      <dgm:spPr/>
    </dgm:pt>
    <dgm:pt modelId="{5069B4C4-E1A5-4876-AB44-FD767065D7B2}" type="pres">
      <dgm:prSet presAssocID="{33D7FFB1-8992-4858-9A03-23FAF530947B}" presName="Name23" presStyleLbl="parChTrans1D4" presStyleIdx="4" presStyleCnt="5"/>
      <dgm:spPr/>
    </dgm:pt>
    <dgm:pt modelId="{40172851-8931-4BA2-B8A7-9E0F74B2DB4C}" type="pres">
      <dgm:prSet presAssocID="{222D0374-3A5A-4FA9-A898-CC5211D762C8}" presName="hierRoot4" presStyleCnt="0"/>
      <dgm:spPr/>
    </dgm:pt>
    <dgm:pt modelId="{82072D75-8F79-4C8A-83EF-0241DCEFCBED}" type="pres">
      <dgm:prSet presAssocID="{222D0374-3A5A-4FA9-A898-CC5211D762C8}" presName="composite4" presStyleCnt="0"/>
      <dgm:spPr/>
    </dgm:pt>
    <dgm:pt modelId="{20EFADAC-8EF0-41D3-97DB-4FCFFDE5172D}" type="pres">
      <dgm:prSet presAssocID="{222D0374-3A5A-4FA9-A898-CC5211D762C8}" presName="background4" presStyleLbl="node4" presStyleIdx="4" presStyleCnt="5"/>
      <dgm:spPr/>
    </dgm:pt>
    <dgm:pt modelId="{38CCD88E-22E1-4123-83A7-BCB4711FD69D}" type="pres">
      <dgm:prSet presAssocID="{222D0374-3A5A-4FA9-A898-CC5211D762C8}" presName="text4" presStyleLbl="fgAcc4" presStyleIdx="4" presStyleCnt="5">
        <dgm:presLayoutVars>
          <dgm:chPref val="3"/>
        </dgm:presLayoutVars>
      </dgm:prSet>
      <dgm:spPr/>
    </dgm:pt>
    <dgm:pt modelId="{EFD99D5C-03EA-4FE3-93D0-1A14A0FA1AC7}" type="pres">
      <dgm:prSet presAssocID="{222D0374-3A5A-4FA9-A898-CC5211D762C8}" presName="hierChild5" presStyleCnt="0"/>
      <dgm:spPr/>
    </dgm:pt>
  </dgm:ptLst>
  <dgm:cxnLst>
    <dgm:cxn modelId="{1968F703-69BE-4D71-9808-9DE4E5DD8CF2}" srcId="{5221E7BE-8EDC-4CCB-A558-81A34037FB63}" destId="{52741340-7E07-4618-85FA-96474695FD9C}" srcOrd="0" destOrd="0" parTransId="{47FF7315-A63F-4E68-8E54-0951B19CCD53}" sibTransId="{71C5F463-ED1A-47E7-85C5-8A0ED43F5856}"/>
    <dgm:cxn modelId="{7E90A806-9794-49AC-8B35-E72C6629B051}" srcId="{49425BC4-4D88-466E-8F3F-6F1CB824F68A}" destId="{BE65FCC2-B13C-4BAE-86BD-3C75377E02BC}" srcOrd="0" destOrd="0" parTransId="{ADAC25CF-C386-4080-84E2-89C5F06580EB}" sibTransId="{287EB31C-598A-4B4D-AFB6-DE0153CADDF0}"/>
    <dgm:cxn modelId="{E3C27E07-2102-47E5-9FED-DD6E1CA6FEC6}" type="presOf" srcId="{BC34191E-AEF5-449C-9694-08B700B9B05B}" destId="{F64A7E74-E087-468E-86AA-502E8F61E30F}" srcOrd="0" destOrd="0" presId="urn:microsoft.com/office/officeart/2005/8/layout/hierarchy1"/>
    <dgm:cxn modelId="{5B12740E-9BB4-4409-ADDC-38B8B43C994D}" srcId="{9A4D7A1A-30AF-46EA-A416-1C37BB87CB51}" destId="{BC34191E-AEF5-449C-9694-08B700B9B05B}" srcOrd="2" destOrd="0" parTransId="{B8592698-3F11-4138-A34E-FC3AE211E441}" sibTransId="{7B21B0FA-B6BB-4B58-8346-355AAB135678}"/>
    <dgm:cxn modelId="{D695BE11-E499-4770-9A9B-B383E7901CE4}" type="presOf" srcId="{A1AE89DB-8C88-4771-8262-6F63E71142D4}" destId="{2F79F0F8-CD60-4FB1-8EF1-E23332B76D20}" srcOrd="0" destOrd="0" presId="urn:microsoft.com/office/officeart/2005/8/layout/hierarchy1"/>
    <dgm:cxn modelId="{CB763E1C-F946-43EF-9F2F-C89BAEAD11EB}" type="presOf" srcId="{66A00796-0323-4560-A9A9-B272779B3415}" destId="{CC35082E-A4DE-4034-B70D-D3EC4EE8FB07}" srcOrd="0" destOrd="0" presId="urn:microsoft.com/office/officeart/2005/8/layout/hierarchy1"/>
    <dgm:cxn modelId="{9E27A521-B459-4586-96BB-84137259585C}" srcId="{A1AE89DB-8C88-4771-8262-6F63E71142D4}" destId="{222D0374-3A5A-4FA9-A898-CC5211D762C8}" srcOrd="0" destOrd="0" parTransId="{33D7FFB1-8992-4858-9A03-23FAF530947B}" sibTransId="{0327D985-B099-4857-955E-76009376D7CA}"/>
    <dgm:cxn modelId="{6D45DF2F-6CC1-44E0-BCD6-BECD622A42EC}" type="presOf" srcId="{690680B7-6152-45D7-A9C5-2101FC5691C2}" destId="{71A84D1F-2EAE-40B8-BAD4-012BC11C0A6B}" srcOrd="0" destOrd="0" presId="urn:microsoft.com/office/officeart/2005/8/layout/hierarchy1"/>
    <dgm:cxn modelId="{0AF08533-7B84-43E7-B9EA-BC3594E4977A}" srcId="{52741340-7E07-4618-85FA-96474695FD9C}" destId="{5F6986A2-8EBD-48C6-8158-9218730D017B}" srcOrd="0" destOrd="0" parTransId="{C0A7CCD3-03F6-462A-991B-46A6F905F0C7}" sibTransId="{73FBAE93-03DC-452F-AE04-357DC6EC512D}"/>
    <dgm:cxn modelId="{9841B736-4C39-4668-8D05-C5AD00210EDB}" type="presOf" srcId="{079AF3FC-AA86-4D58-868C-176673A192BC}" destId="{39A663A8-BE4B-4DF8-B1E5-E6BDBCC04A8E}" srcOrd="0" destOrd="0" presId="urn:microsoft.com/office/officeart/2005/8/layout/hierarchy1"/>
    <dgm:cxn modelId="{93862A40-8A19-44D7-8899-A1440928CF90}" srcId="{BE65FCC2-B13C-4BAE-86BD-3C75377E02BC}" destId="{079AF3FC-AA86-4D58-868C-176673A192BC}" srcOrd="0" destOrd="0" parTransId="{77B24867-4F4E-4013-BC37-BB55A3523EE3}" sibTransId="{9B67D93A-8F91-41AA-9DA0-63AA0C9A4813}"/>
    <dgm:cxn modelId="{6F5C625C-459D-4674-8CD2-3D9DA677CBE0}" type="presOf" srcId="{B8592698-3F11-4138-A34E-FC3AE211E441}" destId="{037318CF-D702-444D-BA09-A688445A306A}" srcOrd="0" destOrd="0" presId="urn:microsoft.com/office/officeart/2005/8/layout/hierarchy1"/>
    <dgm:cxn modelId="{95468C5D-3EEF-4D1C-9D44-F9584EA9D113}" srcId="{21DCFA57-29C2-420A-87E0-9EC338972B4C}" destId="{9A4D7A1A-30AF-46EA-A416-1C37BB87CB51}" srcOrd="0" destOrd="0" parTransId="{1156B048-8871-4935-B5BE-A3D25EA9F2A3}" sibTransId="{9B496433-A363-477D-8ED5-A6ADE3B17878}"/>
    <dgm:cxn modelId="{BA7FA64D-44C6-4C5C-9588-83231A2D3EFD}" type="presOf" srcId="{C0A7CCD3-03F6-462A-991B-46A6F905F0C7}" destId="{C46F20C2-D142-4C54-9E3B-EFAB451E4F39}" srcOrd="0" destOrd="0" presId="urn:microsoft.com/office/officeart/2005/8/layout/hierarchy1"/>
    <dgm:cxn modelId="{4B767270-B21F-4F4F-830D-4F6369B3475E}" type="presOf" srcId="{222D0374-3A5A-4FA9-A898-CC5211D762C8}" destId="{38CCD88E-22E1-4123-83A7-BCB4711FD69D}" srcOrd="0" destOrd="0" presId="urn:microsoft.com/office/officeart/2005/8/layout/hierarchy1"/>
    <dgm:cxn modelId="{FF5C5851-0B8F-461C-BCC5-CC1F9B13D72A}" type="presOf" srcId="{33D7FFB1-8992-4858-9A03-23FAF530947B}" destId="{5069B4C4-E1A5-4876-AB44-FD767065D7B2}" srcOrd="0" destOrd="0" presId="urn:microsoft.com/office/officeart/2005/8/layout/hierarchy1"/>
    <dgm:cxn modelId="{58AD2453-79E4-4023-BB7B-C0278BC8D46B}" type="presOf" srcId="{E8728C39-0C2D-4871-B7BA-B58A5A458DB5}" destId="{2D7B3552-5749-4F00-B6A0-565C7A37CF0B}" srcOrd="0" destOrd="0" presId="urn:microsoft.com/office/officeart/2005/8/layout/hierarchy1"/>
    <dgm:cxn modelId="{6CF99354-453B-4AE1-973C-A1A3127496F6}" srcId="{9A4D7A1A-30AF-46EA-A416-1C37BB87CB51}" destId="{8513DD47-50FE-4F25-AA6D-2516DCD4A050}" srcOrd="0" destOrd="0" parTransId="{5B5DE79A-48E8-4E24-9B87-B986BD314E0A}" sibTransId="{4137003C-E829-4D5C-AEA7-F5756EC72BD5}"/>
    <dgm:cxn modelId="{DDBB8D78-7CE2-4EF0-853D-96BF14BCB47E}" type="presOf" srcId="{77B24867-4F4E-4013-BC37-BB55A3523EE3}" destId="{6D1880B6-5662-4CB7-8680-C40B0C1D2A6A}" srcOrd="0" destOrd="0" presId="urn:microsoft.com/office/officeart/2005/8/layout/hierarchy1"/>
    <dgm:cxn modelId="{F7E45379-DFB0-4D4B-81E2-D7DF43FBC803}" type="presOf" srcId="{ADAC25CF-C386-4080-84E2-89C5F06580EB}" destId="{5CF5070E-2170-4346-828D-D4CE533A8836}" srcOrd="0" destOrd="0" presId="urn:microsoft.com/office/officeart/2005/8/layout/hierarchy1"/>
    <dgm:cxn modelId="{BC052F5A-C34C-4ADD-A23D-43B555E697BC}" srcId="{8513DD47-50FE-4F25-AA6D-2516DCD4A050}" destId="{BC8FB031-C7B8-485C-8790-3577FADC27C1}" srcOrd="1" destOrd="0" parTransId="{9B7273EC-08C1-4A5F-99A4-CB38E398319B}" sibTransId="{7F158C8F-1BC6-408E-9CC4-88D763D6FE53}"/>
    <dgm:cxn modelId="{C58B578F-563B-4E5E-AF64-58DA3883AB43}" srcId="{BC34191E-AEF5-449C-9694-08B700B9B05B}" destId="{A1AE89DB-8C88-4771-8262-6F63E71142D4}" srcOrd="0" destOrd="0" parTransId="{E8728C39-0C2D-4871-B7BA-B58A5A458DB5}" sibTransId="{D725E92D-8915-429B-A714-85C457E88D47}"/>
    <dgm:cxn modelId="{AD792291-C07E-455F-B80F-7FB822C08611}" type="presOf" srcId="{BC8FB031-C7B8-485C-8790-3577FADC27C1}" destId="{35912EB8-CB23-4966-8E18-7451B1F7BB9F}" srcOrd="0" destOrd="0" presId="urn:microsoft.com/office/officeart/2005/8/layout/hierarchy1"/>
    <dgm:cxn modelId="{7D69D199-0264-4C4D-BD2D-3E544C25B108}" srcId="{8513DD47-50FE-4F25-AA6D-2516DCD4A050}" destId="{49425BC4-4D88-466E-8F3F-6F1CB824F68A}" srcOrd="0" destOrd="0" parTransId="{690680B7-6152-45D7-A9C5-2101FC5691C2}" sibTransId="{647D22F4-08AB-4545-AF48-0B910A775359}"/>
    <dgm:cxn modelId="{EF67D5A9-B852-4600-876B-4DE1EB34396D}" type="presOf" srcId="{5F6986A2-8EBD-48C6-8158-9218730D017B}" destId="{836ECF7F-DA30-48FD-A27A-271E35FF8227}" srcOrd="0" destOrd="0" presId="urn:microsoft.com/office/officeart/2005/8/layout/hierarchy1"/>
    <dgm:cxn modelId="{10D4F0AB-7D68-48B1-90A6-56B52F35BFD0}" type="presOf" srcId="{9B7273EC-08C1-4A5F-99A4-CB38E398319B}" destId="{C6A5C506-82D9-4EDB-9D8A-DF12C8BF2091}" srcOrd="0" destOrd="0" presId="urn:microsoft.com/office/officeart/2005/8/layout/hierarchy1"/>
    <dgm:cxn modelId="{CC4A3BB4-E712-4204-ACFC-901DF17130DC}" type="presOf" srcId="{52741340-7E07-4618-85FA-96474695FD9C}" destId="{DE257D35-E40E-49CE-ADF6-691221B85440}" srcOrd="0" destOrd="0" presId="urn:microsoft.com/office/officeart/2005/8/layout/hierarchy1"/>
    <dgm:cxn modelId="{AAC579BB-AD40-4623-A96F-BAAAFE4A97E1}" type="presOf" srcId="{4D31E4B6-7057-403B-9062-3FA8FB8B4774}" destId="{DC626A84-CAFC-4FFD-89D0-D7328AC5BE30}" srcOrd="0" destOrd="0" presId="urn:microsoft.com/office/officeart/2005/8/layout/hierarchy1"/>
    <dgm:cxn modelId="{A8E9BCC8-1156-404F-A767-651C49645A5F}" srcId="{9A4D7A1A-30AF-46EA-A416-1C37BB87CB51}" destId="{5221E7BE-8EDC-4CCB-A558-81A34037FB63}" srcOrd="1" destOrd="0" parTransId="{4D31E4B6-7057-403B-9062-3FA8FB8B4774}" sibTransId="{DA005121-6909-40A1-BA05-C86E79D9F927}"/>
    <dgm:cxn modelId="{ABDB85CB-640A-4244-87B8-82630D0047B0}" type="presOf" srcId="{8513DD47-50FE-4F25-AA6D-2516DCD4A050}" destId="{AD5C0596-CEA0-4D46-881E-88FFA4D8EA84}" srcOrd="0" destOrd="0" presId="urn:microsoft.com/office/officeart/2005/8/layout/hierarchy1"/>
    <dgm:cxn modelId="{D5F9B9CC-BC11-4B9E-B44E-C28B91B9ECDF}" type="presOf" srcId="{5221E7BE-8EDC-4CCB-A558-81A34037FB63}" destId="{F3363053-4845-46A6-9D0A-233EE2DEF2FC}" srcOrd="0" destOrd="0" presId="urn:microsoft.com/office/officeart/2005/8/layout/hierarchy1"/>
    <dgm:cxn modelId="{A05169DF-ED3C-4892-93EE-A3FCD401F0F4}" srcId="{BC8FB031-C7B8-485C-8790-3577FADC27C1}" destId="{E240AE5D-8CB2-4DAA-8F37-6B1DEB1799CE}" srcOrd="0" destOrd="0" parTransId="{66A00796-0323-4560-A9A9-B272779B3415}" sibTransId="{66FE4FE0-1AF5-4C64-8D0C-F9C1BCDF4B83}"/>
    <dgm:cxn modelId="{E34A13E3-79FC-44EB-A665-4FF583B7CA67}" type="presOf" srcId="{BE65FCC2-B13C-4BAE-86BD-3C75377E02BC}" destId="{A5945936-91AB-43EC-AE8A-D238D075E60E}" srcOrd="0" destOrd="0" presId="urn:microsoft.com/office/officeart/2005/8/layout/hierarchy1"/>
    <dgm:cxn modelId="{CF036AED-41A4-4024-AE94-54A41F212CF0}" type="presOf" srcId="{49425BC4-4D88-466E-8F3F-6F1CB824F68A}" destId="{31A233FB-BD52-4CE4-A411-45DACAB160CC}" srcOrd="0" destOrd="0" presId="urn:microsoft.com/office/officeart/2005/8/layout/hierarchy1"/>
    <dgm:cxn modelId="{07D974ED-342F-45D0-AE44-D04D84F3CC77}" type="presOf" srcId="{47FF7315-A63F-4E68-8E54-0951B19CCD53}" destId="{C7DC1003-FDDF-4C00-807D-237068C824EA}" srcOrd="0" destOrd="0" presId="urn:microsoft.com/office/officeart/2005/8/layout/hierarchy1"/>
    <dgm:cxn modelId="{D45B24F1-2FD4-4EB9-9463-B99AED705FCF}" type="presOf" srcId="{21DCFA57-29C2-420A-87E0-9EC338972B4C}" destId="{5F201364-6F15-462D-BA9E-6615E65CECFE}" srcOrd="0" destOrd="0" presId="urn:microsoft.com/office/officeart/2005/8/layout/hierarchy1"/>
    <dgm:cxn modelId="{DF3D78F4-D324-461E-814E-F2B1084BAFCE}" type="presOf" srcId="{E240AE5D-8CB2-4DAA-8F37-6B1DEB1799CE}" destId="{FDFFC750-2E7F-473E-8245-19C8FA7BBC71}" srcOrd="0" destOrd="0" presId="urn:microsoft.com/office/officeart/2005/8/layout/hierarchy1"/>
    <dgm:cxn modelId="{EEA032F8-BBDF-4A70-881A-C5CEAB3B3A3B}" type="presOf" srcId="{9A4D7A1A-30AF-46EA-A416-1C37BB87CB51}" destId="{6CA68BD5-2D27-453E-8B0E-E3DA5E779CE3}" srcOrd="0" destOrd="0" presId="urn:microsoft.com/office/officeart/2005/8/layout/hierarchy1"/>
    <dgm:cxn modelId="{233C7CF8-C271-4975-AFB9-2A805FFB8437}" type="presOf" srcId="{5B5DE79A-48E8-4E24-9B87-B986BD314E0A}" destId="{4F35DEDC-B776-4B2C-B7A3-C4970B624A0E}" srcOrd="0" destOrd="0" presId="urn:microsoft.com/office/officeart/2005/8/layout/hierarchy1"/>
    <dgm:cxn modelId="{F1857C73-4FB5-4355-ADD7-E876A8D55D85}" type="presParOf" srcId="{5F201364-6F15-462D-BA9E-6615E65CECFE}" destId="{45AAA88A-9241-48E9-9577-F2B7105B6574}" srcOrd="0" destOrd="0" presId="urn:microsoft.com/office/officeart/2005/8/layout/hierarchy1"/>
    <dgm:cxn modelId="{FD37D78D-763C-43CB-88E4-3DD5B6357BC1}" type="presParOf" srcId="{45AAA88A-9241-48E9-9577-F2B7105B6574}" destId="{D2489B95-6DA9-4219-9924-850FD9C5AF59}" srcOrd="0" destOrd="0" presId="urn:microsoft.com/office/officeart/2005/8/layout/hierarchy1"/>
    <dgm:cxn modelId="{150EF979-4938-4B09-A976-6D10237105A2}" type="presParOf" srcId="{D2489B95-6DA9-4219-9924-850FD9C5AF59}" destId="{B08A271E-B373-4C47-AF10-ACA6C94480A4}" srcOrd="0" destOrd="0" presId="urn:microsoft.com/office/officeart/2005/8/layout/hierarchy1"/>
    <dgm:cxn modelId="{742D3733-57F2-418E-BCC2-219C88533EA6}" type="presParOf" srcId="{D2489B95-6DA9-4219-9924-850FD9C5AF59}" destId="{6CA68BD5-2D27-453E-8B0E-E3DA5E779CE3}" srcOrd="1" destOrd="0" presId="urn:microsoft.com/office/officeart/2005/8/layout/hierarchy1"/>
    <dgm:cxn modelId="{385F54FD-1D1B-4AF9-8A90-8D8F284637D2}" type="presParOf" srcId="{45AAA88A-9241-48E9-9577-F2B7105B6574}" destId="{613C4213-7867-42ED-9983-7C9977756570}" srcOrd="1" destOrd="0" presId="urn:microsoft.com/office/officeart/2005/8/layout/hierarchy1"/>
    <dgm:cxn modelId="{C19930A2-7DE7-46FD-843D-E1C6521CD2FE}" type="presParOf" srcId="{613C4213-7867-42ED-9983-7C9977756570}" destId="{4F35DEDC-B776-4B2C-B7A3-C4970B624A0E}" srcOrd="0" destOrd="0" presId="urn:microsoft.com/office/officeart/2005/8/layout/hierarchy1"/>
    <dgm:cxn modelId="{61E10B1C-8BBB-4091-8951-FDB231F191C1}" type="presParOf" srcId="{613C4213-7867-42ED-9983-7C9977756570}" destId="{09DD0033-D9C7-4FC7-97BF-16DF11B55630}" srcOrd="1" destOrd="0" presId="urn:microsoft.com/office/officeart/2005/8/layout/hierarchy1"/>
    <dgm:cxn modelId="{C774ABD9-C097-4889-A7D2-81CD65169F29}" type="presParOf" srcId="{09DD0033-D9C7-4FC7-97BF-16DF11B55630}" destId="{163143DE-C56D-4568-8DD8-A11D32760118}" srcOrd="0" destOrd="0" presId="urn:microsoft.com/office/officeart/2005/8/layout/hierarchy1"/>
    <dgm:cxn modelId="{C1166880-70F7-42FB-B448-8675EB2FD2AD}" type="presParOf" srcId="{163143DE-C56D-4568-8DD8-A11D32760118}" destId="{C89DD962-765B-4A6B-8761-595A5B121E2A}" srcOrd="0" destOrd="0" presId="urn:microsoft.com/office/officeart/2005/8/layout/hierarchy1"/>
    <dgm:cxn modelId="{FF725779-DDAC-403E-A9CB-908D1AA68930}" type="presParOf" srcId="{163143DE-C56D-4568-8DD8-A11D32760118}" destId="{AD5C0596-CEA0-4D46-881E-88FFA4D8EA84}" srcOrd="1" destOrd="0" presId="urn:microsoft.com/office/officeart/2005/8/layout/hierarchy1"/>
    <dgm:cxn modelId="{EACAD11B-D4E7-48D7-B2D3-934B833E0393}" type="presParOf" srcId="{09DD0033-D9C7-4FC7-97BF-16DF11B55630}" destId="{A1FD2416-4B04-43B6-BB74-526F4113080E}" srcOrd="1" destOrd="0" presId="urn:microsoft.com/office/officeart/2005/8/layout/hierarchy1"/>
    <dgm:cxn modelId="{E71034AC-7B3D-4D58-B380-1170044BB326}" type="presParOf" srcId="{A1FD2416-4B04-43B6-BB74-526F4113080E}" destId="{71A84D1F-2EAE-40B8-BAD4-012BC11C0A6B}" srcOrd="0" destOrd="0" presId="urn:microsoft.com/office/officeart/2005/8/layout/hierarchy1"/>
    <dgm:cxn modelId="{3BC1C0A2-FA88-4DD1-910A-C670F0CD842B}" type="presParOf" srcId="{A1FD2416-4B04-43B6-BB74-526F4113080E}" destId="{3C0A4323-11AC-47BE-A6AE-994C9005DA8A}" srcOrd="1" destOrd="0" presId="urn:microsoft.com/office/officeart/2005/8/layout/hierarchy1"/>
    <dgm:cxn modelId="{CC5EE370-9AD3-4D7B-9BB1-2B7EE182FF9E}" type="presParOf" srcId="{3C0A4323-11AC-47BE-A6AE-994C9005DA8A}" destId="{F3148E1A-EFCF-4B07-9DBD-68A2C4689BBF}" srcOrd="0" destOrd="0" presId="urn:microsoft.com/office/officeart/2005/8/layout/hierarchy1"/>
    <dgm:cxn modelId="{8AC6E20E-0B13-485D-BE03-40E8BA649DBF}" type="presParOf" srcId="{F3148E1A-EFCF-4B07-9DBD-68A2C4689BBF}" destId="{6FF4042E-6539-4229-9423-BD9011EC1AE4}" srcOrd="0" destOrd="0" presId="urn:microsoft.com/office/officeart/2005/8/layout/hierarchy1"/>
    <dgm:cxn modelId="{4B4A53FC-D9BB-4BB4-81BD-3E91BC999A01}" type="presParOf" srcId="{F3148E1A-EFCF-4B07-9DBD-68A2C4689BBF}" destId="{31A233FB-BD52-4CE4-A411-45DACAB160CC}" srcOrd="1" destOrd="0" presId="urn:microsoft.com/office/officeart/2005/8/layout/hierarchy1"/>
    <dgm:cxn modelId="{1B709C1B-59BE-46E8-9710-57EE06EFE4C0}" type="presParOf" srcId="{3C0A4323-11AC-47BE-A6AE-994C9005DA8A}" destId="{A34782BB-6C6D-4FA4-94C9-50923F275020}" srcOrd="1" destOrd="0" presId="urn:microsoft.com/office/officeart/2005/8/layout/hierarchy1"/>
    <dgm:cxn modelId="{763A81C2-720B-4F32-A4E6-EFE080840A60}" type="presParOf" srcId="{A34782BB-6C6D-4FA4-94C9-50923F275020}" destId="{5CF5070E-2170-4346-828D-D4CE533A8836}" srcOrd="0" destOrd="0" presId="urn:microsoft.com/office/officeart/2005/8/layout/hierarchy1"/>
    <dgm:cxn modelId="{856A0336-6A22-4C3E-9F48-094C8D1C90BC}" type="presParOf" srcId="{A34782BB-6C6D-4FA4-94C9-50923F275020}" destId="{4617E51A-752A-4652-BD0C-ECEF671C095A}" srcOrd="1" destOrd="0" presId="urn:microsoft.com/office/officeart/2005/8/layout/hierarchy1"/>
    <dgm:cxn modelId="{41690351-E88C-4300-8B3C-99B2DF4A6963}" type="presParOf" srcId="{4617E51A-752A-4652-BD0C-ECEF671C095A}" destId="{AEE24520-16C1-43F0-B214-BFA107A7C28B}" srcOrd="0" destOrd="0" presId="urn:microsoft.com/office/officeart/2005/8/layout/hierarchy1"/>
    <dgm:cxn modelId="{5C681BB0-EFDF-475F-8C3D-1722F6260628}" type="presParOf" srcId="{AEE24520-16C1-43F0-B214-BFA107A7C28B}" destId="{C23FA94F-004D-4465-A7C0-A0C6D9F54F71}" srcOrd="0" destOrd="0" presId="urn:microsoft.com/office/officeart/2005/8/layout/hierarchy1"/>
    <dgm:cxn modelId="{B9887178-490B-4EEF-8ED5-47BC904022BF}" type="presParOf" srcId="{AEE24520-16C1-43F0-B214-BFA107A7C28B}" destId="{A5945936-91AB-43EC-AE8A-D238D075E60E}" srcOrd="1" destOrd="0" presId="urn:microsoft.com/office/officeart/2005/8/layout/hierarchy1"/>
    <dgm:cxn modelId="{EDD19DEF-B2F9-4D83-95D3-51E56F553431}" type="presParOf" srcId="{4617E51A-752A-4652-BD0C-ECEF671C095A}" destId="{D815B997-5410-4795-A55C-038A346EE755}" srcOrd="1" destOrd="0" presId="urn:microsoft.com/office/officeart/2005/8/layout/hierarchy1"/>
    <dgm:cxn modelId="{CEE8BC7C-7498-4B46-A8B2-428D47A3B97A}" type="presParOf" srcId="{D815B997-5410-4795-A55C-038A346EE755}" destId="{6D1880B6-5662-4CB7-8680-C40B0C1D2A6A}" srcOrd="0" destOrd="0" presId="urn:microsoft.com/office/officeart/2005/8/layout/hierarchy1"/>
    <dgm:cxn modelId="{79487BA3-03E1-47FC-8698-A46B99E5978A}" type="presParOf" srcId="{D815B997-5410-4795-A55C-038A346EE755}" destId="{23482A84-3897-4200-A567-153BF1CF2632}" srcOrd="1" destOrd="0" presId="urn:microsoft.com/office/officeart/2005/8/layout/hierarchy1"/>
    <dgm:cxn modelId="{33758542-E2C6-4734-B5D7-E631A73F2EF2}" type="presParOf" srcId="{23482A84-3897-4200-A567-153BF1CF2632}" destId="{4A12E8A8-60F7-4AF5-BC4C-16F8E3E27A24}" srcOrd="0" destOrd="0" presId="urn:microsoft.com/office/officeart/2005/8/layout/hierarchy1"/>
    <dgm:cxn modelId="{8A7548AB-3646-4B00-8216-445ADD83EFB6}" type="presParOf" srcId="{4A12E8A8-60F7-4AF5-BC4C-16F8E3E27A24}" destId="{8E34792E-A5BA-4DDA-95C6-3A60EB04422E}" srcOrd="0" destOrd="0" presId="urn:microsoft.com/office/officeart/2005/8/layout/hierarchy1"/>
    <dgm:cxn modelId="{6BB4A3C7-1F08-4C0E-8944-D135AE3F15B4}" type="presParOf" srcId="{4A12E8A8-60F7-4AF5-BC4C-16F8E3E27A24}" destId="{39A663A8-BE4B-4DF8-B1E5-E6BDBCC04A8E}" srcOrd="1" destOrd="0" presId="urn:microsoft.com/office/officeart/2005/8/layout/hierarchy1"/>
    <dgm:cxn modelId="{E07A7309-ED03-46D2-969B-24A94ACC69FE}" type="presParOf" srcId="{23482A84-3897-4200-A567-153BF1CF2632}" destId="{66480D6A-CE0D-4794-8B61-1A479E0DFCF9}" srcOrd="1" destOrd="0" presId="urn:microsoft.com/office/officeart/2005/8/layout/hierarchy1"/>
    <dgm:cxn modelId="{9F1C3C94-3E9D-41E8-B71C-2B97B14BE33B}" type="presParOf" srcId="{A1FD2416-4B04-43B6-BB74-526F4113080E}" destId="{C6A5C506-82D9-4EDB-9D8A-DF12C8BF2091}" srcOrd="2" destOrd="0" presId="urn:microsoft.com/office/officeart/2005/8/layout/hierarchy1"/>
    <dgm:cxn modelId="{7C261C9F-A172-4018-AD60-BD9DC93F2F27}" type="presParOf" srcId="{A1FD2416-4B04-43B6-BB74-526F4113080E}" destId="{796145DA-ABD8-4162-9F05-816BA7913281}" srcOrd="3" destOrd="0" presId="urn:microsoft.com/office/officeart/2005/8/layout/hierarchy1"/>
    <dgm:cxn modelId="{FB5190CE-F7C8-499C-AB22-EB1D46C89D68}" type="presParOf" srcId="{796145DA-ABD8-4162-9F05-816BA7913281}" destId="{43145D5C-EF52-4F18-BE92-574778D20B16}" srcOrd="0" destOrd="0" presId="urn:microsoft.com/office/officeart/2005/8/layout/hierarchy1"/>
    <dgm:cxn modelId="{EA6A7E9E-7186-422F-9FCA-65E8CBB4429E}" type="presParOf" srcId="{43145D5C-EF52-4F18-BE92-574778D20B16}" destId="{D31DA924-D34E-43CD-AFC2-49E7ED75A107}" srcOrd="0" destOrd="0" presId="urn:microsoft.com/office/officeart/2005/8/layout/hierarchy1"/>
    <dgm:cxn modelId="{A1C0C547-7856-4383-A358-0E39C0CDD67E}" type="presParOf" srcId="{43145D5C-EF52-4F18-BE92-574778D20B16}" destId="{35912EB8-CB23-4966-8E18-7451B1F7BB9F}" srcOrd="1" destOrd="0" presId="urn:microsoft.com/office/officeart/2005/8/layout/hierarchy1"/>
    <dgm:cxn modelId="{635B1FF2-088E-41D7-A9AC-7367A9F52EE4}" type="presParOf" srcId="{796145DA-ABD8-4162-9F05-816BA7913281}" destId="{F9B8B6EE-6911-4BE1-9F8B-3E6C7AAA0051}" srcOrd="1" destOrd="0" presId="urn:microsoft.com/office/officeart/2005/8/layout/hierarchy1"/>
    <dgm:cxn modelId="{0ED8D218-92A0-4FB6-9270-C9854C9BE66E}" type="presParOf" srcId="{F9B8B6EE-6911-4BE1-9F8B-3E6C7AAA0051}" destId="{CC35082E-A4DE-4034-B70D-D3EC4EE8FB07}" srcOrd="0" destOrd="0" presId="urn:microsoft.com/office/officeart/2005/8/layout/hierarchy1"/>
    <dgm:cxn modelId="{FDD0B319-726C-4EDA-B8FB-26D825B176DD}" type="presParOf" srcId="{F9B8B6EE-6911-4BE1-9F8B-3E6C7AAA0051}" destId="{BE09F342-2135-49B8-918F-D985A19170AB}" srcOrd="1" destOrd="0" presId="urn:microsoft.com/office/officeart/2005/8/layout/hierarchy1"/>
    <dgm:cxn modelId="{2600109B-DFE6-4FFB-9046-27D972E5F5C3}" type="presParOf" srcId="{BE09F342-2135-49B8-918F-D985A19170AB}" destId="{BB66EFDE-476F-45FA-80F3-7B924FF00941}" srcOrd="0" destOrd="0" presId="urn:microsoft.com/office/officeart/2005/8/layout/hierarchy1"/>
    <dgm:cxn modelId="{BAFBEE8C-818F-408A-A703-E1311FDFBC4A}" type="presParOf" srcId="{BB66EFDE-476F-45FA-80F3-7B924FF00941}" destId="{D5A7A5A4-8569-4990-B0C7-8BC008FC0EB4}" srcOrd="0" destOrd="0" presId="urn:microsoft.com/office/officeart/2005/8/layout/hierarchy1"/>
    <dgm:cxn modelId="{A3B2AFEB-4CB7-4A45-9C3D-9F58248F4EFF}" type="presParOf" srcId="{BB66EFDE-476F-45FA-80F3-7B924FF00941}" destId="{FDFFC750-2E7F-473E-8245-19C8FA7BBC71}" srcOrd="1" destOrd="0" presId="urn:microsoft.com/office/officeart/2005/8/layout/hierarchy1"/>
    <dgm:cxn modelId="{A0AB82C2-CF99-4FB9-BCEC-F25469A4965F}" type="presParOf" srcId="{BE09F342-2135-49B8-918F-D985A19170AB}" destId="{1273AB0B-F1F9-4D92-9E4A-A03147174592}" srcOrd="1" destOrd="0" presId="urn:microsoft.com/office/officeart/2005/8/layout/hierarchy1"/>
    <dgm:cxn modelId="{B65F0EE7-348F-4E4D-8AAD-947AE1DAD0B0}" type="presParOf" srcId="{613C4213-7867-42ED-9983-7C9977756570}" destId="{DC626A84-CAFC-4FFD-89D0-D7328AC5BE30}" srcOrd="2" destOrd="0" presId="urn:microsoft.com/office/officeart/2005/8/layout/hierarchy1"/>
    <dgm:cxn modelId="{E183E9F5-7442-43DD-B159-30DCC8C91277}" type="presParOf" srcId="{613C4213-7867-42ED-9983-7C9977756570}" destId="{1F6CB382-924F-4F88-AB49-0BA162395E87}" srcOrd="3" destOrd="0" presId="urn:microsoft.com/office/officeart/2005/8/layout/hierarchy1"/>
    <dgm:cxn modelId="{6741AD6B-0695-49FF-A2DC-858F30A0F64C}" type="presParOf" srcId="{1F6CB382-924F-4F88-AB49-0BA162395E87}" destId="{296F25E8-7E0E-4E27-9922-316C5CF7D941}" srcOrd="0" destOrd="0" presId="urn:microsoft.com/office/officeart/2005/8/layout/hierarchy1"/>
    <dgm:cxn modelId="{D5AC7CF3-9A24-422F-9B54-D4EA6DE72071}" type="presParOf" srcId="{296F25E8-7E0E-4E27-9922-316C5CF7D941}" destId="{E7C041E5-11BC-421B-9B94-A237BF5AA093}" srcOrd="0" destOrd="0" presId="urn:microsoft.com/office/officeart/2005/8/layout/hierarchy1"/>
    <dgm:cxn modelId="{1CC0D8D9-E57D-43A8-8EC2-BAD294E900C4}" type="presParOf" srcId="{296F25E8-7E0E-4E27-9922-316C5CF7D941}" destId="{F3363053-4845-46A6-9D0A-233EE2DEF2FC}" srcOrd="1" destOrd="0" presId="urn:microsoft.com/office/officeart/2005/8/layout/hierarchy1"/>
    <dgm:cxn modelId="{BB25828B-260B-40E2-B405-2B35084FE540}" type="presParOf" srcId="{1F6CB382-924F-4F88-AB49-0BA162395E87}" destId="{4873C57C-E34C-49EF-B1D2-27D082DE417A}" srcOrd="1" destOrd="0" presId="urn:microsoft.com/office/officeart/2005/8/layout/hierarchy1"/>
    <dgm:cxn modelId="{D949E3A3-3C1D-4DAD-8C15-B41A0AB6C8E3}" type="presParOf" srcId="{4873C57C-E34C-49EF-B1D2-27D082DE417A}" destId="{C7DC1003-FDDF-4C00-807D-237068C824EA}" srcOrd="0" destOrd="0" presId="urn:microsoft.com/office/officeart/2005/8/layout/hierarchy1"/>
    <dgm:cxn modelId="{4DEDF2E1-332E-44D6-9734-757D91228F44}" type="presParOf" srcId="{4873C57C-E34C-49EF-B1D2-27D082DE417A}" destId="{EC6605C5-F6A8-44C7-9B1C-22016F0EDA3F}" srcOrd="1" destOrd="0" presId="urn:microsoft.com/office/officeart/2005/8/layout/hierarchy1"/>
    <dgm:cxn modelId="{B365FB45-D447-4A66-AABD-E4C9A4C40A5F}" type="presParOf" srcId="{EC6605C5-F6A8-44C7-9B1C-22016F0EDA3F}" destId="{14097433-D5A9-41B7-8FD0-1387D76CD104}" srcOrd="0" destOrd="0" presId="urn:microsoft.com/office/officeart/2005/8/layout/hierarchy1"/>
    <dgm:cxn modelId="{17A6DE9A-4F26-405E-B8A9-04BCD57BFA17}" type="presParOf" srcId="{14097433-D5A9-41B7-8FD0-1387D76CD104}" destId="{0BF22266-EFB6-4F00-A0F3-3C48E515F9A3}" srcOrd="0" destOrd="0" presId="urn:microsoft.com/office/officeart/2005/8/layout/hierarchy1"/>
    <dgm:cxn modelId="{12BE5416-D43D-4786-80E3-7EEE2B19D861}" type="presParOf" srcId="{14097433-D5A9-41B7-8FD0-1387D76CD104}" destId="{DE257D35-E40E-49CE-ADF6-691221B85440}" srcOrd="1" destOrd="0" presId="urn:microsoft.com/office/officeart/2005/8/layout/hierarchy1"/>
    <dgm:cxn modelId="{AD77B025-A450-4E1C-8585-77C04F01DCD6}" type="presParOf" srcId="{EC6605C5-F6A8-44C7-9B1C-22016F0EDA3F}" destId="{6866D979-B507-4A3E-9D93-4A2923DA03BE}" srcOrd="1" destOrd="0" presId="urn:microsoft.com/office/officeart/2005/8/layout/hierarchy1"/>
    <dgm:cxn modelId="{D6D7C3C7-76F5-4ABA-A879-4D644BF9E879}" type="presParOf" srcId="{6866D979-B507-4A3E-9D93-4A2923DA03BE}" destId="{C46F20C2-D142-4C54-9E3B-EFAB451E4F39}" srcOrd="0" destOrd="0" presId="urn:microsoft.com/office/officeart/2005/8/layout/hierarchy1"/>
    <dgm:cxn modelId="{3071AD0F-FFA0-4FE8-84B0-3A39A1FBD297}" type="presParOf" srcId="{6866D979-B507-4A3E-9D93-4A2923DA03BE}" destId="{C790D357-9B7C-46A0-BE49-F2E0BC1B8390}" srcOrd="1" destOrd="0" presId="urn:microsoft.com/office/officeart/2005/8/layout/hierarchy1"/>
    <dgm:cxn modelId="{1FC4650A-F5FD-417D-B872-84CBE91F5E7F}" type="presParOf" srcId="{C790D357-9B7C-46A0-BE49-F2E0BC1B8390}" destId="{245F46E3-7231-4F70-A908-422331CA58A4}" srcOrd="0" destOrd="0" presId="urn:microsoft.com/office/officeart/2005/8/layout/hierarchy1"/>
    <dgm:cxn modelId="{4171E0DD-E9CB-4053-98C7-58DB9CC25695}" type="presParOf" srcId="{245F46E3-7231-4F70-A908-422331CA58A4}" destId="{1E95C141-7A1E-47D1-AE32-02A65B0A97AE}" srcOrd="0" destOrd="0" presId="urn:microsoft.com/office/officeart/2005/8/layout/hierarchy1"/>
    <dgm:cxn modelId="{A0362E39-C051-4A6F-9BD2-BB6C0F530E37}" type="presParOf" srcId="{245F46E3-7231-4F70-A908-422331CA58A4}" destId="{836ECF7F-DA30-48FD-A27A-271E35FF8227}" srcOrd="1" destOrd="0" presId="urn:microsoft.com/office/officeart/2005/8/layout/hierarchy1"/>
    <dgm:cxn modelId="{74C44A88-A2D3-482D-BD52-B1D920134524}" type="presParOf" srcId="{C790D357-9B7C-46A0-BE49-F2E0BC1B8390}" destId="{B6983FC5-6922-4AF0-AD73-3BFC405CC090}" srcOrd="1" destOrd="0" presId="urn:microsoft.com/office/officeart/2005/8/layout/hierarchy1"/>
    <dgm:cxn modelId="{9849A2F7-2866-4F7C-9662-D03482B916A9}" type="presParOf" srcId="{613C4213-7867-42ED-9983-7C9977756570}" destId="{037318CF-D702-444D-BA09-A688445A306A}" srcOrd="4" destOrd="0" presId="urn:microsoft.com/office/officeart/2005/8/layout/hierarchy1"/>
    <dgm:cxn modelId="{04B6A0D6-B421-45E4-9F1B-A1FD2406835B}" type="presParOf" srcId="{613C4213-7867-42ED-9983-7C9977756570}" destId="{27F4BD9C-C95F-4B37-B39E-E147B58F4CD6}" srcOrd="5" destOrd="0" presId="urn:microsoft.com/office/officeart/2005/8/layout/hierarchy1"/>
    <dgm:cxn modelId="{33BABAE1-CF02-4326-A84F-CB1DB5587395}" type="presParOf" srcId="{27F4BD9C-C95F-4B37-B39E-E147B58F4CD6}" destId="{329EACB6-1C6E-4F28-8D41-0F3F2080600B}" srcOrd="0" destOrd="0" presId="urn:microsoft.com/office/officeart/2005/8/layout/hierarchy1"/>
    <dgm:cxn modelId="{D4CDBB25-ED8D-4242-91D8-8725E7ECCDBD}" type="presParOf" srcId="{329EACB6-1C6E-4F28-8D41-0F3F2080600B}" destId="{870A5504-7199-469F-96CF-B8E7D8439052}" srcOrd="0" destOrd="0" presId="urn:microsoft.com/office/officeart/2005/8/layout/hierarchy1"/>
    <dgm:cxn modelId="{452C7B73-9B9A-4EB3-B250-0604B6751053}" type="presParOf" srcId="{329EACB6-1C6E-4F28-8D41-0F3F2080600B}" destId="{F64A7E74-E087-468E-86AA-502E8F61E30F}" srcOrd="1" destOrd="0" presId="urn:microsoft.com/office/officeart/2005/8/layout/hierarchy1"/>
    <dgm:cxn modelId="{C26159F1-C8EF-40DD-9BE7-A54E08F7AAAE}" type="presParOf" srcId="{27F4BD9C-C95F-4B37-B39E-E147B58F4CD6}" destId="{6C08C7C9-3489-42D4-9166-F7227D0621CF}" srcOrd="1" destOrd="0" presId="urn:microsoft.com/office/officeart/2005/8/layout/hierarchy1"/>
    <dgm:cxn modelId="{FB4DB087-7878-4116-B278-CBD06BDA7948}" type="presParOf" srcId="{6C08C7C9-3489-42D4-9166-F7227D0621CF}" destId="{2D7B3552-5749-4F00-B6A0-565C7A37CF0B}" srcOrd="0" destOrd="0" presId="urn:microsoft.com/office/officeart/2005/8/layout/hierarchy1"/>
    <dgm:cxn modelId="{1709962E-49E7-4F6B-B80D-758438C001FD}" type="presParOf" srcId="{6C08C7C9-3489-42D4-9166-F7227D0621CF}" destId="{D639C2D7-896C-47C9-ACF7-1419CD2B7CBD}" srcOrd="1" destOrd="0" presId="urn:microsoft.com/office/officeart/2005/8/layout/hierarchy1"/>
    <dgm:cxn modelId="{6FF08827-26F5-4925-9055-E145AFC7B00C}" type="presParOf" srcId="{D639C2D7-896C-47C9-ACF7-1419CD2B7CBD}" destId="{9E424709-FD58-445B-BC80-ED158387B9F8}" srcOrd="0" destOrd="0" presId="urn:microsoft.com/office/officeart/2005/8/layout/hierarchy1"/>
    <dgm:cxn modelId="{B1CA92F6-8321-41F7-B97D-503C650C0940}" type="presParOf" srcId="{9E424709-FD58-445B-BC80-ED158387B9F8}" destId="{20DC79A4-0B1F-4397-80DB-24AEC87B48E6}" srcOrd="0" destOrd="0" presId="urn:microsoft.com/office/officeart/2005/8/layout/hierarchy1"/>
    <dgm:cxn modelId="{12953ABE-CA3A-46E1-B389-2BC614C93C1D}" type="presParOf" srcId="{9E424709-FD58-445B-BC80-ED158387B9F8}" destId="{2F79F0F8-CD60-4FB1-8EF1-E23332B76D20}" srcOrd="1" destOrd="0" presId="urn:microsoft.com/office/officeart/2005/8/layout/hierarchy1"/>
    <dgm:cxn modelId="{0F33A03F-F65F-40A0-9B25-74B73FEE4166}" type="presParOf" srcId="{D639C2D7-896C-47C9-ACF7-1419CD2B7CBD}" destId="{11EDFDE6-9896-4FE8-9D4D-3C2CCA4132A9}" srcOrd="1" destOrd="0" presId="urn:microsoft.com/office/officeart/2005/8/layout/hierarchy1"/>
    <dgm:cxn modelId="{BEDC489C-4B28-4CF0-9233-41C481B4C14F}" type="presParOf" srcId="{11EDFDE6-9896-4FE8-9D4D-3C2CCA4132A9}" destId="{5069B4C4-E1A5-4876-AB44-FD767065D7B2}" srcOrd="0" destOrd="0" presId="urn:microsoft.com/office/officeart/2005/8/layout/hierarchy1"/>
    <dgm:cxn modelId="{3E0B935C-B7C0-495F-9100-9A0307A6BD1F}" type="presParOf" srcId="{11EDFDE6-9896-4FE8-9D4D-3C2CCA4132A9}" destId="{40172851-8931-4BA2-B8A7-9E0F74B2DB4C}" srcOrd="1" destOrd="0" presId="urn:microsoft.com/office/officeart/2005/8/layout/hierarchy1"/>
    <dgm:cxn modelId="{779EE0C8-AE8F-40F3-8AB2-F230C61889BA}" type="presParOf" srcId="{40172851-8931-4BA2-B8A7-9E0F74B2DB4C}" destId="{82072D75-8F79-4C8A-83EF-0241DCEFCBED}" srcOrd="0" destOrd="0" presId="urn:microsoft.com/office/officeart/2005/8/layout/hierarchy1"/>
    <dgm:cxn modelId="{A7913673-C11D-427E-89F8-CE98379A8D61}" type="presParOf" srcId="{82072D75-8F79-4C8A-83EF-0241DCEFCBED}" destId="{20EFADAC-8EF0-41D3-97DB-4FCFFDE5172D}" srcOrd="0" destOrd="0" presId="urn:microsoft.com/office/officeart/2005/8/layout/hierarchy1"/>
    <dgm:cxn modelId="{D7DB2E46-B539-47AE-94B7-85F9D1D888D0}" type="presParOf" srcId="{82072D75-8F79-4C8A-83EF-0241DCEFCBED}" destId="{38CCD88E-22E1-4123-83A7-BCB4711FD69D}" srcOrd="1" destOrd="0" presId="urn:microsoft.com/office/officeart/2005/8/layout/hierarchy1"/>
    <dgm:cxn modelId="{124A52F3-8473-445F-99C1-F4ED7CD62684}" type="presParOf" srcId="{40172851-8931-4BA2-B8A7-9E0F74B2DB4C}" destId="{EFD99D5C-03EA-4FE3-93D0-1A14A0FA1AC7}" srcOrd="1" destOrd="0" presId="urn:microsoft.com/office/officeart/2005/8/layout/hierarchy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7A486AB-C9CE-463C-ADF7-7B9B1CEAED54}" type="doc">
      <dgm:prSet loTypeId="urn:microsoft.com/office/officeart/2005/8/layout/hierarchy1" loCatId="hierarchy" qsTypeId="urn:microsoft.com/office/officeart/2005/8/quickstyle/simple1" qsCatId="simple" csTypeId="urn:microsoft.com/office/officeart/2005/8/colors/accent3_5" csCatId="accent3" phldr="1"/>
      <dgm:spPr/>
      <dgm:t>
        <a:bodyPr/>
        <a:lstStyle/>
        <a:p>
          <a:endParaRPr lang="en-GB"/>
        </a:p>
      </dgm:t>
    </dgm:pt>
    <dgm:pt modelId="{EC1B4BCD-CE4D-48FA-98D7-22A1537A2F7C}">
      <dgm:prSet phldrT="[Text]"/>
      <dgm:spPr/>
      <dgm:t>
        <a:bodyPr/>
        <a:lstStyle/>
        <a:p>
          <a:r>
            <a:rPr lang="en-GB"/>
            <a:t>Ethical theory</a:t>
          </a:r>
        </a:p>
      </dgm:t>
    </dgm:pt>
    <dgm:pt modelId="{4A9B968F-9141-476E-A52D-F5795C0969F1}" type="parTrans" cxnId="{F1AD4342-C60D-4DFB-B8DB-EA39BAD0ABAC}">
      <dgm:prSet/>
      <dgm:spPr/>
      <dgm:t>
        <a:bodyPr/>
        <a:lstStyle/>
        <a:p>
          <a:endParaRPr lang="en-GB"/>
        </a:p>
      </dgm:t>
    </dgm:pt>
    <dgm:pt modelId="{388C8F37-9BD1-4407-AC9D-37BA06125775}" type="sibTrans" cxnId="{F1AD4342-C60D-4DFB-B8DB-EA39BAD0ABAC}">
      <dgm:prSet/>
      <dgm:spPr/>
      <dgm:t>
        <a:bodyPr/>
        <a:lstStyle/>
        <a:p>
          <a:endParaRPr lang="en-GB"/>
        </a:p>
      </dgm:t>
    </dgm:pt>
    <dgm:pt modelId="{C6E4D2ED-1490-497B-AF0C-26F1064050F6}">
      <dgm:prSet phldrT="[Text]"/>
      <dgm:spPr/>
      <dgm:t>
        <a:bodyPr/>
        <a:lstStyle/>
        <a:p>
          <a:endParaRPr lang="en-GB"/>
        </a:p>
        <a:p>
          <a:r>
            <a:rPr lang="en-GB"/>
            <a:t>Virtue</a:t>
          </a:r>
        </a:p>
        <a:p>
          <a:r>
            <a:rPr lang="en-GB"/>
            <a:t>(character) </a:t>
          </a:r>
        </a:p>
        <a:p>
          <a:endParaRPr lang="en-GB"/>
        </a:p>
      </dgm:t>
    </dgm:pt>
    <dgm:pt modelId="{848BE91E-5029-4810-8658-85A3A4190EA8}" type="parTrans" cxnId="{17F5A167-E771-446C-8BA9-6E37C6F12DD3}">
      <dgm:prSet/>
      <dgm:spPr/>
      <dgm:t>
        <a:bodyPr/>
        <a:lstStyle/>
        <a:p>
          <a:endParaRPr lang="en-GB"/>
        </a:p>
      </dgm:t>
    </dgm:pt>
    <dgm:pt modelId="{CB02D16F-1F42-4780-81DA-1C70BB471C96}" type="sibTrans" cxnId="{17F5A167-E771-446C-8BA9-6E37C6F12DD3}">
      <dgm:prSet/>
      <dgm:spPr/>
      <dgm:t>
        <a:bodyPr/>
        <a:lstStyle/>
        <a:p>
          <a:endParaRPr lang="en-GB"/>
        </a:p>
      </dgm:t>
    </dgm:pt>
    <dgm:pt modelId="{FC2208AB-2582-4C9D-A801-AD5AF0F3E66E}">
      <dgm:prSet phldrT="[Text]"/>
      <dgm:spPr/>
      <dgm:t>
        <a:bodyPr/>
        <a:lstStyle/>
        <a:p>
          <a:r>
            <a:rPr lang="en-GB"/>
            <a:t>Conduct</a:t>
          </a:r>
        </a:p>
      </dgm:t>
    </dgm:pt>
    <dgm:pt modelId="{CB12530F-3569-4345-A555-B61E01A68333}" type="parTrans" cxnId="{1F0C30A0-3871-4E73-8927-E850C83B1D81}">
      <dgm:prSet/>
      <dgm:spPr/>
      <dgm:t>
        <a:bodyPr/>
        <a:lstStyle/>
        <a:p>
          <a:endParaRPr lang="en-GB"/>
        </a:p>
      </dgm:t>
    </dgm:pt>
    <dgm:pt modelId="{D1AD148B-76C2-42CE-9E42-650B0C5DA446}" type="sibTrans" cxnId="{1F0C30A0-3871-4E73-8927-E850C83B1D81}">
      <dgm:prSet/>
      <dgm:spPr/>
      <dgm:t>
        <a:bodyPr/>
        <a:lstStyle/>
        <a:p>
          <a:endParaRPr lang="en-GB"/>
        </a:p>
      </dgm:t>
    </dgm:pt>
    <dgm:pt modelId="{38FC0522-B710-4214-900C-E3218C3E4C52}">
      <dgm:prSet phldrT="[Text]"/>
      <dgm:spPr/>
      <dgm:t>
        <a:bodyPr/>
        <a:lstStyle/>
        <a:p>
          <a:r>
            <a:rPr lang="en-GB"/>
            <a:t>Formalism</a:t>
          </a:r>
        </a:p>
        <a:p>
          <a:r>
            <a:rPr lang="en-GB"/>
            <a:t>(Non-consequentalism/</a:t>
          </a:r>
        </a:p>
        <a:p>
          <a:r>
            <a:rPr lang="en-GB"/>
            <a:t>deontological)</a:t>
          </a:r>
        </a:p>
      </dgm:t>
    </dgm:pt>
    <dgm:pt modelId="{09E70177-0CDE-43BB-9650-2E4CB3668917}" type="sibTrans" cxnId="{4B03176F-34AF-4430-B910-B1A527223C6C}">
      <dgm:prSet/>
      <dgm:spPr/>
      <dgm:t>
        <a:bodyPr/>
        <a:lstStyle/>
        <a:p>
          <a:endParaRPr lang="en-GB"/>
        </a:p>
      </dgm:t>
    </dgm:pt>
    <dgm:pt modelId="{DECF534A-B764-45AD-A93F-0BAEA4506C91}" type="parTrans" cxnId="{4B03176F-34AF-4430-B910-B1A527223C6C}">
      <dgm:prSet/>
      <dgm:spPr/>
      <dgm:t>
        <a:bodyPr/>
        <a:lstStyle/>
        <a:p>
          <a:endParaRPr lang="en-GB"/>
        </a:p>
      </dgm:t>
    </dgm:pt>
    <dgm:pt modelId="{3B8A3125-DA64-46AC-8362-AC5A635EE371}">
      <dgm:prSet phldrT="[Text]"/>
      <dgm:spPr/>
      <dgm:t>
        <a:bodyPr/>
        <a:lstStyle/>
        <a:p>
          <a:r>
            <a:rPr lang="en-GB"/>
            <a:t>Utilitarianism</a:t>
          </a:r>
        </a:p>
        <a:p>
          <a:r>
            <a:rPr lang="en-GB"/>
            <a:t>(Consequentalism/ teleological</a:t>
          </a:r>
        </a:p>
      </dgm:t>
    </dgm:pt>
    <dgm:pt modelId="{561D37DE-8621-4973-B8BD-16B219AC5CA3}" type="parTrans" cxnId="{BBEB4BB7-C709-4893-A94B-F8412951D6A8}">
      <dgm:prSet/>
      <dgm:spPr/>
      <dgm:t>
        <a:bodyPr/>
        <a:lstStyle/>
        <a:p>
          <a:endParaRPr lang="en-GB"/>
        </a:p>
      </dgm:t>
    </dgm:pt>
    <dgm:pt modelId="{4482702B-8029-494A-B310-B7F8666414DB}" type="sibTrans" cxnId="{BBEB4BB7-C709-4893-A94B-F8412951D6A8}">
      <dgm:prSet/>
      <dgm:spPr/>
      <dgm:t>
        <a:bodyPr/>
        <a:lstStyle/>
        <a:p>
          <a:endParaRPr lang="en-GB"/>
        </a:p>
      </dgm:t>
    </dgm:pt>
    <dgm:pt modelId="{05EDA0A3-DA7B-4279-882A-FA3049D060A5}" type="pres">
      <dgm:prSet presAssocID="{B7A486AB-C9CE-463C-ADF7-7B9B1CEAED54}" presName="hierChild1" presStyleCnt="0">
        <dgm:presLayoutVars>
          <dgm:chPref val="1"/>
          <dgm:dir/>
          <dgm:animOne val="branch"/>
          <dgm:animLvl val="lvl"/>
          <dgm:resizeHandles/>
        </dgm:presLayoutVars>
      </dgm:prSet>
      <dgm:spPr/>
    </dgm:pt>
    <dgm:pt modelId="{A156CDE7-5663-44FB-9136-17985238A739}" type="pres">
      <dgm:prSet presAssocID="{EC1B4BCD-CE4D-48FA-98D7-22A1537A2F7C}" presName="hierRoot1" presStyleCnt="0"/>
      <dgm:spPr/>
    </dgm:pt>
    <dgm:pt modelId="{D08FE213-4E1C-43FD-9D88-07AD13580BB0}" type="pres">
      <dgm:prSet presAssocID="{EC1B4BCD-CE4D-48FA-98D7-22A1537A2F7C}" presName="composite" presStyleCnt="0"/>
      <dgm:spPr/>
    </dgm:pt>
    <dgm:pt modelId="{142B2F42-CB6B-4311-8D4F-0D2A43892B53}" type="pres">
      <dgm:prSet presAssocID="{EC1B4BCD-CE4D-48FA-98D7-22A1537A2F7C}" presName="background" presStyleLbl="node0" presStyleIdx="0" presStyleCnt="1"/>
      <dgm:spPr/>
    </dgm:pt>
    <dgm:pt modelId="{602A6305-709C-4F2C-92B7-077C600D6EB6}" type="pres">
      <dgm:prSet presAssocID="{EC1B4BCD-CE4D-48FA-98D7-22A1537A2F7C}" presName="text" presStyleLbl="fgAcc0" presStyleIdx="0" presStyleCnt="1">
        <dgm:presLayoutVars>
          <dgm:chPref val="3"/>
        </dgm:presLayoutVars>
      </dgm:prSet>
      <dgm:spPr/>
    </dgm:pt>
    <dgm:pt modelId="{8D9CC9E2-8CFE-4DF6-AFAB-69B4D90EDEBC}" type="pres">
      <dgm:prSet presAssocID="{EC1B4BCD-CE4D-48FA-98D7-22A1537A2F7C}" presName="hierChild2" presStyleCnt="0"/>
      <dgm:spPr/>
    </dgm:pt>
    <dgm:pt modelId="{96ECD289-F8BC-4F50-8D1C-931FDB3C8AC3}" type="pres">
      <dgm:prSet presAssocID="{848BE91E-5029-4810-8658-85A3A4190EA8}" presName="Name10" presStyleLbl="parChTrans1D2" presStyleIdx="0" presStyleCnt="2"/>
      <dgm:spPr/>
    </dgm:pt>
    <dgm:pt modelId="{1AAA50D6-6978-44DB-BD22-35AC2BA9DABC}" type="pres">
      <dgm:prSet presAssocID="{C6E4D2ED-1490-497B-AF0C-26F1064050F6}" presName="hierRoot2" presStyleCnt="0"/>
      <dgm:spPr/>
    </dgm:pt>
    <dgm:pt modelId="{78C17EB2-822A-4CA2-9DCA-04BDD90B435B}" type="pres">
      <dgm:prSet presAssocID="{C6E4D2ED-1490-497B-AF0C-26F1064050F6}" presName="composite2" presStyleCnt="0"/>
      <dgm:spPr/>
    </dgm:pt>
    <dgm:pt modelId="{E7A3D6BC-8995-4EBC-8CB0-757C77FE5B53}" type="pres">
      <dgm:prSet presAssocID="{C6E4D2ED-1490-497B-AF0C-26F1064050F6}" presName="background2" presStyleLbl="node2" presStyleIdx="0" presStyleCnt="2"/>
      <dgm:spPr/>
    </dgm:pt>
    <dgm:pt modelId="{0EF6E27D-916B-4B6B-830C-C535CAF8443B}" type="pres">
      <dgm:prSet presAssocID="{C6E4D2ED-1490-497B-AF0C-26F1064050F6}" presName="text2" presStyleLbl="fgAcc2" presStyleIdx="0" presStyleCnt="2">
        <dgm:presLayoutVars>
          <dgm:chPref val="3"/>
        </dgm:presLayoutVars>
      </dgm:prSet>
      <dgm:spPr/>
    </dgm:pt>
    <dgm:pt modelId="{F9D8596D-A26B-44C3-8E24-D8F78FE8231C}" type="pres">
      <dgm:prSet presAssocID="{C6E4D2ED-1490-497B-AF0C-26F1064050F6}" presName="hierChild3" presStyleCnt="0"/>
      <dgm:spPr/>
    </dgm:pt>
    <dgm:pt modelId="{51BFC481-D08F-4975-8EE9-ABF07CF3E442}" type="pres">
      <dgm:prSet presAssocID="{CB12530F-3569-4345-A555-B61E01A68333}" presName="Name10" presStyleLbl="parChTrans1D2" presStyleIdx="1" presStyleCnt="2"/>
      <dgm:spPr/>
    </dgm:pt>
    <dgm:pt modelId="{87A12E24-3C1D-4E5A-91ED-46016A5D6E54}" type="pres">
      <dgm:prSet presAssocID="{FC2208AB-2582-4C9D-A801-AD5AF0F3E66E}" presName="hierRoot2" presStyleCnt="0"/>
      <dgm:spPr/>
    </dgm:pt>
    <dgm:pt modelId="{AD47977B-DD2B-4CBD-BC3B-B10AE7A9F8FE}" type="pres">
      <dgm:prSet presAssocID="{FC2208AB-2582-4C9D-A801-AD5AF0F3E66E}" presName="composite2" presStyleCnt="0"/>
      <dgm:spPr/>
    </dgm:pt>
    <dgm:pt modelId="{C23F9411-1FE9-4B17-B848-EFD72301978A}" type="pres">
      <dgm:prSet presAssocID="{FC2208AB-2582-4C9D-A801-AD5AF0F3E66E}" presName="background2" presStyleLbl="node2" presStyleIdx="1" presStyleCnt="2"/>
      <dgm:spPr/>
    </dgm:pt>
    <dgm:pt modelId="{5743E755-88E9-4F94-81E9-EA968429AC22}" type="pres">
      <dgm:prSet presAssocID="{FC2208AB-2582-4C9D-A801-AD5AF0F3E66E}" presName="text2" presStyleLbl="fgAcc2" presStyleIdx="1" presStyleCnt="2">
        <dgm:presLayoutVars>
          <dgm:chPref val="3"/>
        </dgm:presLayoutVars>
      </dgm:prSet>
      <dgm:spPr/>
    </dgm:pt>
    <dgm:pt modelId="{0971522B-238D-4931-8D34-467D3A1F6448}" type="pres">
      <dgm:prSet presAssocID="{FC2208AB-2582-4C9D-A801-AD5AF0F3E66E}" presName="hierChild3" presStyleCnt="0"/>
      <dgm:spPr/>
    </dgm:pt>
    <dgm:pt modelId="{F2C552E8-0D56-4D97-AC06-2372AACF9D37}" type="pres">
      <dgm:prSet presAssocID="{DECF534A-B764-45AD-A93F-0BAEA4506C91}" presName="Name17" presStyleLbl="parChTrans1D3" presStyleIdx="0" presStyleCnt="2"/>
      <dgm:spPr/>
    </dgm:pt>
    <dgm:pt modelId="{D7F2C759-F186-4B56-B891-9434358554D6}" type="pres">
      <dgm:prSet presAssocID="{38FC0522-B710-4214-900C-E3218C3E4C52}" presName="hierRoot3" presStyleCnt="0"/>
      <dgm:spPr/>
    </dgm:pt>
    <dgm:pt modelId="{6000281B-B520-43A7-98AC-BFCABE4EDF7D}" type="pres">
      <dgm:prSet presAssocID="{38FC0522-B710-4214-900C-E3218C3E4C52}" presName="composite3" presStyleCnt="0"/>
      <dgm:spPr/>
    </dgm:pt>
    <dgm:pt modelId="{9C84DC18-F4B2-4590-8832-CB39218EF8FB}" type="pres">
      <dgm:prSet presAssocID="{38FC0522-B710-4214-900C-E3218C3E4C52}" presName="background3" presStyleLbl="node3" presStyleIdx="0" presStyleCnt="2"/>
      <dgm:spPr/>
    </dgm:pt>
    <dgm:pt modelId="{3268A766-686F-4D65-85EF-88DA84ABEA33}" type="pres">
      <dgm:prSet presAssocID="{38FC0522-B710-4214-900C-E3218C3E4C52}" presName="text3" presStyleLbl="fgAcc3" presStyleIdx="0" presStyleCnt="2">
        <dgm:presLayoutVars>
          <dgm:chPref val="3"/>
        </dgm:presLayoutVars>
      </dgm:prSet>
      <dgm:spPr/>
    </dgm:pt>
    <dgm:pt modelId="{36229003-F2F0-417D-81C4-226450398955}" type="pres">
      <dgm:prSet presAssocID="{38FC0522-B710-4214-900C-E3218C3E4C52}" presName="hierChild4" presStyleCnt="0"/>
      <dgm:spPr/>
    </dgm:pt>
    <dgm:pt modelId="{992B5E78-6904-4F78-A30C-EFF588ACD336}" type="pres">
      <dgm:prSet presAssocID="{561D37DE-8621-4973-B8BD-16B219AC5CA3}" presName="Name17" presStyleLbl="parChTrans1D3" presStyleIdx="1" presStyleCnt="2"/>
      <dgm:spPr/>
    </dgm:pt>
    <dgm:pt modelId="{7F411A1F-2089-4AC3-AD02-E2D0B7EDD08E}" type="pres">
      <dgm:prSet presAssocID="{3B8A3125-DA64-46AC-8362-AC5A635EE371}" presName="hierRoot3" presStyleCnt="0"/>
      <dgm:spPr/>
    </dgm:pt>
    <dgm:pt modelId="{CE8C6FCE-7E4E-4FE9-AC7C-E597A647A9B9}" type="pres">
      <dgm:prSet presAssocID="{3B8A3125-DA64-46AC-8362-AC5A635EE371}" presName="composite3" presStyleCnt="0"/>
      <dgm:spPr/>
    </dgm:pt>
    <dgm:pt modelId="{C00B57C0-B112-49B5-9606-0923BC85BD9A}" type="pres">
      <dgm:prSet presAssocID="{3B8A3125-DA64-46AC-8362-AC5A635EE371}" presName="background3" presStyleLbl="node3" presStyleIdx="1" presStyleCnt="2"/>
      <dgm:spPr/>
    </dgm:pt>
    <dgm:pt modelId="{97257CC5-1024-45DB-8BC5-D9DFBC7BDDD7}" type="pres">
      <dgm:prSet presAssocID="{3B8A3125-DA64-46AC-8362-AC5A635EE371}" presName="text3" presStyleLbl="fgAcc3" presStyleIdx="1" presStyleCnt="2">
        <dgm:presLayoutVars>
          <dgm:chPref val="3"/>
        </dgm:presLayoutVars>
      </dgm:prSet>
      <dgm:spPr/>
    </dgm:pt>
    <dgm:pt modelId="{6906CCAB-AE30-4372-87F1-496918AB65E1}" type="pres">
      <dgm:prSet presAssocID="{3B8A3125-DA64-46AC-8362-AC5A635EE371}" presName="hierChild4" presStyleCnt="0"/>
      <dgm:spPr/>
    </dgm:pt>
  </dgm:ptLst>
  <dgm:cxnLst>
    <dgm:cxn modelId="{0510C708-EE1E-4E3A-BFC5-C6D4450FA301}" type="presOf" srcId="{561D37DE-8621-4973-B8BD-16B219AC5CA3}" destId="{992B5E78-6904-4F78-A30C-EFF588ACD336}" srcOrd="0" destOrd="0" presId="urn:microsoft.com/office/officeart/2005/8/layout/hierarchy1"/>
    <dgm:cxn modelId="{92CF363A-437B-4AF6-BECE-723998188132}" type="presOf" srcId="{FC2208AB-2582-4C9D-A801-AD5AF0F3E66E}" destId="{5743E755-88E9-4F94-81E9-EA968429AC22}" srcOrd="0" destOrd="0" presId="urn:microsoft.com/office/officeart/2005/8/layout/hierarchy1"/>
    <dgm:cxn modelId="{5C6F3D3B-3694-4A87-AFC5-F82359D5CD61}" type="presOf" srcId="{848BE91E-5029-4810-8658-85A3A4190EA8}" destId="{96ECD289-F8BC-4F50-8D1C-931FDB3C8AC3}" srcOrd="0" destOrd="0" presId="urn:microsoft.com/office/officeart/2005/8/layout/hierarchy1"/>
    <dgm:cxn modelId="{ADBB4360-E89A-423D-94F4-AD99743F92FD}" type="presOf" srcId="{CB12530F-3569-4345-A555-B61E01A68333}" destId="{51BFC481-D08F-4975-8EE9-ABF07CF3E442}" srcOrd="0" destOrd="0" presId="urn:microsoft.com/office/officeart/2005/8/layout/hierarchy1"/>
    <dgm:cxn modelId="{F1AD4342-C60D-4DFB-B8DB-EA39BAD0ABAC}" srcId="{B7A486AB-C9CE-463C-ADF7-7B9B1CEAED54}" destId="{EC1B4BCD-CE4D-48FA-98D7-22A1537A2F7C}" srcOrd="0" destOrd="0" parTransId="{4A9B968F-9141-476E-A52D-F5795C0969F1}" sibTransId="{388C8F37-9BD1-4407-AC9D-37BA06125775}"/>
    <dgm:cxn modelId="{17F5A167-E771-446C-8BA9-6E37C6F12DD3}" srcId="{EC1B4BCD-CE4D-48FA-98D7-22A1537A2F7C}" destId="{C6E4D2ED-1490-497B-AF0C-26F1064050F6}" srcOrd="0" destOrd="0" parTransId="{848BE91E-5029-4810-8658-85A3A4190EA8}" sibTransId="{CB02D16F-1F42-4780-81DA-1C70BB471C96}"/>
    <dgm:cxn modelId="{33E77168-C23E-4759-974B-AAFF6CBD7C54}" type="presOf" srcId="{C6E4D2ED-1490-497B-AF0C-26F1064050F6}" destId="{0EF6E27D-916B-4B6B-830C-C535CAF8443B}" srcOrd="0" destOrd="0" presId="urn:microsoft.com/office/officeart/2005/8/layout/hierarchy1"/>
    <dgm:cxn modelId="{377F8F48-BD7B-4802-A27B-F0AE0C9D971F}" type="presOf" srcId="{B7A486AB-C9CE-463C-ADF7-7B9B1CEAED54}" destId="{05EDA0A3-DA7B-4279-882A-FA3049D060A5}" srcOrd="0" destOrd="0" presId="urn:microsoft.com/office/officeart/2005/8/layout/hierarchy1"/>
    <dgm:cxn modelId="{4B03176F-34AF-4430-B910-B1A527223C6C}" srcId="{FC2208AB-2582-4C9D-A801-AD5AF0F3E66E}" destId="{38FC0522-B710-4214-900C-E3218C3E4C52}" srcOrd="0" destOrd="0" parTransId="{DECF534A-B764-45AD-A93F-0BAEA4506C91}" sibTransId="{09E70177-0CDE-43BB-9650-2E4CB3668917}"/>
    <dgm:cxn modelId="{2F1E0889-0AF5-4F87-BFBD-4C41038975ED}" type="presOf" srcId="{38FC0522-B710-4214-900C-E3218C3E4C52}" destId="{3268A766-686F-4D65-85EF-88DA84ABEA33}" srcOrd="0" destOrd="0" presId="urn:microsoft.com/office/officeart/2005/8/layout/hierarchy1"/>
    <dgm:cxn modelId="{0E9D7F8C-4912-45A6-B607-F4225A16A83C}" type="presOf" srcId="{EC1B4BCD-CE4D-48FA-98D7-22A1537A2F7C}" destId="{602A6305-709C-4F2C-92B7-077C600D6EB6}" srcOrd="0" destOrd="0" presId="urn:microsoft.com/office/officeart/2005/8/layout/hierarchy1"/>
    <dgm:cxn modelId="{1F0C30A0-3871-4E73-8927-E850C83B1D81}" srcId="{EC1B4BCD-CE4D-48FA-98D7-22A1537A2F7C}" destId="{FC2208AB-2582-4C9D-A801-AD5AF0F3E66E}" srcOrd="1" destOrd="0" parTransId="{CB12530F-3569-4345-A555-B61E01A68333}" sibTransId="{D1AD148B-76C2-42CE-9E42-650B0C5DA446}"/>
    <dgm:cxn modelId="{DD7222A4-7AA6-4E5D-9727-769B9EE8ADA2}" type="presOf" srcId="{3B8A3125-DA64-46AC-8362-AC5A635EE371}" destId="{97257CC5-1024-45DB-8BC5-D9DFBC7BDDD7}" srcOrd="0" destOrd="0" presId="urn:microsoft.com/office/officeart/2005/8/layout/hierarchy1"/>
    <dgm:cxn modelId="{BBEB4BB7-C709-4893-A94B-F8412951D6A8}" srcId="{FC2208AB-2582-4C9D-A801-AD5AF0F3E66E}" destId="{3B8A3125-DA64-46AC-8362-AC5A635EE371}" srcOrd="1" destOrd="0" parTransId="{561D37DE-8621-4973-B8BD-16B219AC5CA3}" sibTransId="{4482702B-8029-494A-B310-B7F8666414DB}"/>
    <dgm:cxn modelId="{A20CE3D8-25D4-497E-9221-37417BD8E276}" type="presOf" srcId="{DECF534A-B764-45AD-A93F-0BAEA4506C91}" destId="{F2C552E8-0D56-4D97-AC06-2372AACF9D37}" srcOrd="0" destOrd="0" presId="urn:microsoft.com/office/officeart/2005/8/layout/hierarchy1"/>
    <dgm:cxn modelId="{802B9437-EA21-473E-B516-4DF481292D24}" type="presParOf" srcId="{05EDA0A3-DA7B-4279-882A-FA3049D060A5}" destId="{A156CDE7-5663-44FB-9136-17985238A739}" srcOrd="0" destOrd="0" presId="urn:microsoft.com/office/officeart/2005/8/layout/hierarchy1"/>
    <dgm:cxn modelId="{1D6E2DB9-3B22-4236-9C0A-A2EADFC456F3}" type="presParOf" srcId="{A156CDE7-5663-44FB-9136-17985238A739}" destId="{D08FE213-4E1C-43FD-9D88-07AD13580BB0}" srcOrd="0" destOrd="0" presId="urn:microsoft.com/office/officeart/2005/8/layout/hierarchy1"/>
    <dgm:cxn modelId="{433093BA-1756-43EA-826F-7E6370DC80F8}" type="presParOf" srcId="{D08FE213-4E1C-43FD-9D88-07AD13580BB0}" destId="{142B2F42-CB6B-4311-8D4F-0D2A43892B53}" srcOrd="0" destOrd="0" presId="urn:microsoft.com/office/officeart/2005/8/layout/hierarchy1"/>
    <dgm:cxn modelId="{AA42DFEE-2CAB-4EF6-AF24-84E5D8B7729A}" type="presParOf" srcId="{D08FE213-4E1C-43FD-9D88-07AD13580BB0}" destId="{602A6305-709C-4F2C-92B7-077C600D6EB6}" srcOrd="1" destOrd="0" presId="urn:microsoft.com/office/officeart/2005/8/layout/hierarchy1"/>
    <dgm:cxn modelId="{19C32DFE-D9F3-4418-BDBC-4A9C27599261}" type="presParOf" srcId="{A156CDE7-5663-44FB-9136-17985238A739}" destId="{8D9CC9E2-8CFE-4DF6-AFAB-69B4D90EDEBC}" srcOrd="1" destOrd="0" presId="urn:microsoft.com/office/officeart/2005/8/layout/hierarchy1"/>
    <dgm:cxn modelId="{3626F382-3753-4D92-AC51-2E6884716B29}" type="presParOf" srcId="{8D9CC9E2-8CFE-4DF6-AFAB-69B4D90EDEBC}" destId="{96ECD289-F8BC-4F50-8D1C-931FDB3C8AC3}" srcOrd="0" destOrd="0" presId="urn:microsoft.com/office/officeart/2005/8/layout/hierarchy1"/>
    <dgm:cxn modelId="{60340F85-2A6D-411B-A9BA-4B4ED3DDA786}" type="presParOf" srcId="{8D9CC9E2-8CFE-4DF6-AFAB-69B4D90EDEBC}" destId="{1AAA50D6-6978-44DB-BD22-35AC2BA9DABC}" srcOrd="1" destOrd="0" presId="urn:microsoft.com/office/officeart/2005/8/layout/hierarchy1"/>
    <dgm:cxn modelId="{30F26CAF-DB8D-43A0-A0ED-00FB4564A934}" type="presParOf" srcId="{1AAA50D6-6978-44DB-BD22-35AC2BA9DABC}" destId="{78C17EB2-822A-4CA2-9DCA-04BDD90B435B}" srcOrd="0" destOrd="0" presId="urn:microsoft.com/office/officeart/2005/8/layout/hierarchy1"/>
    <dgm:cxn modelId="{6779F476-BA38-4FCA-A9CE-3D9F56E0C6A8}" type="presParOf" srcId="{78C17EB2-822A-4CA2-9DCA-04BDD90B435B}" destId="{E7A3D6BC-8995-4EBC-8CB0-757C77FE5B53}" srcOrd="0" destOrd="0" presId="urn:microsoft.com/office/officeart/2005/8/layout/hierarchy1"/>
    <dgm:cxn modelId="{B6E47BE4-6D36-4667-9057-804CF944AEAB}" type="presParOf" srcId="{78C17EB2-822A-4CA2-9DCA-04BDD90B435B}" destId="{0EF6E27D-916B-4B6B-830C-C535CAF8443B}" srcOrd="1" destOrd="0" presId="urn:microsoft.com/office/officeart/2005/8/layout/hierarchy1"/>
    <dgm:cxn modelId="{057E675D-1D8D-4004-A37C-D0928A4CCB10}" type="presParOf" srcId="{1AAA50D6-6978-44DB-BD22-35AC2BA9DABC}" destId="{F9D8596D-A26B-44C3-8E24-D8F78FE8231C}" srcOrd="1" destOrd="0" presId="urn:microsoft.com/office/officeart/2005/8/layout/hierarchy1"/>
    <dgm:cxn modelId="{F94ADDAC-F77B-4912-AB99-7219B24F92FC}" type="presParOf" srcId="{8D9CC9E2-8CFE-4DF6-AFAB-69B4D90EDEBC}" destId="{51BFC481-D08F-4975-8EE9-ABF07CF3E442}" srcOrd="2" destOrd="0" presId="urn:microsoft.com/office/officeart/2005/8/layout/hierarchy1"/>
    <dgm:cxn modelId="{1D3657F7-BD20-4397-A87A-CE9B0C94A270}" type="presParOf" srcId="{8D9CC9E2-8CFE-4DF6-AFAB-69B4D90EDEBC}" destId="{87A12E24-3C1D-4E5A-91ED-46016A5D6E54}" srcOrd="3" destOrd="0" presId="urn:microsoft.com/office/officeart/2005/8/layout/hierarchy1"/>
    <dgm:cxn modelId="{01A97E99-72C2-4375-81FB-9EC6471A0648}" type="presParOf" srcId="{87A12E24-3C1D-4E5A-91ED-46016A5D6E54}" destId="{AD47977B-DD2B-4CBD-BC3B-B10AE7A9F8FE}" srcOrd="0" destOrd="0" presId="urn:microsoft.com/office/officeart/2005/8/layout/hierarchy1"/>
    <dgm:cxn modelId="{00D37AF5-8467-44D9-B780-460C28E75D19}" type="presParOf" srcId="{AD47977B-DD2B-4CBD-BC3B-B10AE7A9F8FE}" destId="{C23F9411-1FE9-4B17-B848-EFD72301978A}" srcOrd="0" destOrd="0" presId="urn:microsoft.com/office/officeart/2005/8/layout/hierarchy1"/>
    <dgm:cxn modelId="{44B41CB3-915B-4C20-8181-7F97495A664C}" type="presParOf" srcId="{AD47977B-DD2B-4CBD-BC3B-B10AE7A9F8FE}" destId="{5743E755-88E9-4F94-81E9-EA968429AC22}" srcOrd="1" destOrd="0" presId="urn:microsoft.com/office/officeart/2005/8/layout/hierarchy1"/>
    <dgm:cxn modelId="{4889FD8C-DFAC-4CED-9903-D7B51C49BCA5}" type="presParOf" srcId="{87A12E24-3C1D-4E5A-91ED-46016A5D6E54}" destId="{0971522B-238D-4931-8D34-467D3A1F6448}" srcOrd="1" destOrd="0" presId="urn:microsoft.com/office/officeart/2005/8/layout/hierarchy1"/>
    <dgm:cxn modelId="{81E62445-32FB-4042-9B0F-587A8009D63E}" type="presParOf" srcId="{0971522B-238D-4931-8D34-467D3A1F6448}" destId="{F2C552E8-0D56-4D97-AC06-2372AACF9D37}" srcOrd="0" destOrd="0" presId="urn:microsoft.com/office/officeart/2005/8/layout/hierarchy1"/>
    <dgm:cxn modelId="{9BB7BCBC-6B35-42A4-9DAB-813F54D39EDA}" type="presParOf" srcId="{0971522B-238D-4931-8D34-467D3A1F6448}" destId="{D7F2C759-F186-4B56-B891-9434358554D6}" srcOrd="1" destOrd="0" presId="urn:microsoft.com/office/officeart/2005/8/layout/hierarchy1"/>
    <dgm:cxn modelId="{E1C9EFBC-8E8B-47F6-AEF0-5BDB618D6720}" type="presParOf" srcId="{D7F2C759-F186-4B56-B891-9434358554D6}" destId="{6000281B-B520-43A7-98AC-BFCABE4EDF7D}" srcOrd="0" destOrd="0" presId="urn:microsoft.com/office/officeart/2005/8/layout/hierarchy1"/>
    <dgm:cxn modelId="{6A3F1C58-BE4A-4452-8322-A05B12803958}" type="presParOf" srcId="{6000281B-B520-43A7-98AC-BFCABE4EDF7D}" destId="{9C84DC18-F4B2-4590-8832-CB39218EF8FB}" srcOrd="0" destOrd="0" presId="urn:microsoft.com/office/officeart/2005/8/layout/hierarchy1"/>
    <dgm:cxn modelId="{D38BE6D2-8962-4FB5-B85C-2130192A053C}" type="presParOf" srcId="{6000281B-B520-43A7-98AC-BFCABE4EDF7D}" destId="{3268A766-686F-4D65-85EF-88DA84ABEA33}" srcOrd="1" destOrd="0" presId="urn:microsoft.com/office/officeart/2005/8/layout/hierarchy1"/>
    <dgm:cxn modelId="{783FFA68-D313-409C-931A-EAF62D09479C}" type="presParOf" srcId="{D7F2C759-F186-4B56-B891-9434358554D6}" destId="{36229003-F2F0-417D-81C4-226450398955}" srcOrd="1" destOrd="0" presId="urn:microsoft.com/office/officeart/2005/8/layout/hierarchy1"/>
    <dgm:cxn modelId="{4984B8C5-D226-4168-95A9-AF09E9D66F8E}" type="presParOf" srcId="{0971522B-238D-4931-8D34-467D3A1F6448}" destId="{992B5E78-6904-4F78-A30C-EFF588ACD336}" srcOrd="2" destOrd="0" presId="urn:microsoft.com/office/officeart/2005/8/layout/hierarchy1"/>
    <dgm:cxn modelId="{2F8683C4-7AD7-46A7-AD33-DDD6B41CDF63}" type="presParOf" srcId="{0971522B-238D-4931-8D34-467D3A1F6448}" destId="{7F411A1F-2089-4AC3-AD02-E2D0B7EDD08E}" srcOrd="3" destOrd="0" presId="urn:microsoft.com/office/officeart/2005/8/layout/hierarchy1"/>
    <dgm:cxn modelId="{A8312D78-05DF-4D55-BF6B-B9A3DE654EFA}" type="presParOf" srcId="{7F411A1F-2089-4AC3-AD02-E2D0B7EDD08E}" destId="{CE8C6FCE-7E4E-4FE9-AC7C-E597A647A9B9}" srcOrd="0" destOrd="0" presId="urn:microsoft.com/office/officeart/2005/8/layout/hierarchy1"/>
    <dgm:cxn modelId="{944F3632-B7F8-4272-9DC6-DFB61F844F34}" type="presParOf" srcId="{CE8C6FCE-7E4E-4FE9-AC7C-E597A647A9B9}" destId="{C00B57C0-B112-49B5-9606-0923BC85BD9A}" srcOrd="0" destOrd="0" presId="urn:microsoft.com/office/officeart/2005/8/layout/hierarchy1"/>
    <dgm:cxn modelId="{0F4616BD-8691-475E-8BB8-6F4CFE87AAA7}" type="presParOf" srcId="{CE8C6FCE-7E4E-4FE9-AC7C-E597A647A9B9}" destId="{97257CC5-1024-45DB-8BC5-D9DFBC7BDDD7}" srcOrd="1" destOrd="0" presId="urn:microsoft.com/office/officeart/2005/8/layout/hierarchy1"/>
    <dgm:cxn modelId="{9749F286-0A67-412C-A954-86684B557EDB}" type="presParOf" srcId="{7F411A1F-2089-4AC3-AD02-E2D0B7EDD08E}" destId="{6906CCAB-AE30-4372-87F1-496918AB65E1}" srcOrd="1" destOrd="0" presId="urn:microsoft.com/office/officeart/2005/8/layout/hierarchy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69B4C4-E1A5-4876-AB44-FD767065D7B2}">
      <dsp:nvSpPr>
        <dsp:cNvPr id="0" name=""/>
        <dsp:cNvSpPr/>
      </dsp:nvSpPr>
      <dsp:spPr>
        <a:xfrm>
          <a:off x="3886382" y="1964677"/>
          <a:ext cx="91440" cy="229507"/>
        </a:xfrm>
        <a:custGeom>
          <a:avLst/>
          <a:gdLst/>
          <a:ahLst/>
          <a:cxnLst/>
          <a:rect l="0" t="0" r="0" b="0"/>
          <a:pathLst>
            <a:path>
              <a:moveTo>
                <a:pt x="45720" y="0"/>
              </a:moveTo>
              <a:lnTo>
                <a:pt x="45720" y="2295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7B3552-5749-4F00-B6A0-565C7A37CF0B}">
      <dsp:nvSpPr>
        <dsp:cNvPr id="0" name=""/>
        <dsp:cNvSpPr/>
      </dsp:nvSpPr>
      <dsp:spPr>
        <a:xfrm>
          <a:off x="3886382" y="1234067"/>
          <a:ext cx="91440" cy="229507"/>
        </a:xfrm>
        <a:custGeom>
          <a:avLst/>
          <a:gdLst/>
          <a:ahLst/>
          <a:cxnLst/>
          <a:rect l="0" t="0" r="0" b="0"/>
          <a:pathLst>
            <a:path>
              <a:moveTo>
                <a:pt x="45720" y="0"/>
              </a:moveTo>
              <a:lnTo>
                <a:pt x="45720" y="2295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7318CF-D702-444D-BA09-A688445A306A}">
      <dsp:nvSpPr>
        <dsp:cNvPr id="0" name=""/>
        <dsp:cNvSpPr/>
      </dsp:nvSpPr>
      <dsp:spPr>
        <a:xfrm>
          <a:off x="2726475" y="503457"/>
          <a:ext cx="1205626" cy="229507"/>
        </a:xfrm>
        <a:custGeom>
          <a:avLst/>
          <a:gdLst/>
          <a:ahLst/>
          <a:cxnLst/>
          <a:rect l="0" t="0" r="0" b="0"/>
          <a:pathLst>
            <a:path>
              <a:moveTo>
                <a:pt x="0" y="0"/>
              </a:moveTo>
              <a:lnTo>
                <a:pt x="0" y="156402"/>
              </a:lnTo>
              <a:lnTo>
                <a:pt x="1205626" y="156402"/>
              </a:lnTo>
              <a:lnTo>
                <a:pt x="1205626" y="2295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6F20C2-D142-4C54-9E3B-EFAB451E4F39}">
      <dsp:nvSpPr>
        <dsp:cNvPr id="0" name=""/>
        <dsp:cNvSpPr/>
      </dsp:nvSpPr>
      <dsp:spPr>
        <a:xfrm>
          <a:off x="2921881" y="1964677"/>
          <a:ext cx="91440" cy="229507"/>
        </a:xfrm>
        <a:custGeom>
          <a:avLst/>
          <a:gdLst/>
          <a:ahLst/>
          <a:cxnLst/>
          <a:rect l="0" t="0" r="0" b="0"/>
          <a:pathLst>
            <a:path>
              <a:moveTo>
                <a:pt x="45720" y="0"/>
              </a:moveTo>
              <a:lnTo>
                <a:pt x="45720" y="2295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DC1003-FDDF-4C00-807D-237068C824EA}">
      <dsp:nvSpPr>
        <dsp:cNvPr id="0" name=""/>
        <dsp:cNvSpPr/>
      </dsp:nvSpPr>
      <dsp:spPr>
        <a:xfrm>
          <a:off x="2921881" y="1234067"/>
          <a:ext cx="91440" cy="229507"/>
        </a:xfrm>
        <a:custGeom>
          <a:avLst/>
          <a:gdLst/>
          <a:ahLst/>
          <a:cxnLst/>
          <a:rect l="0" t="0" r="0" b="0"/>
          <a:pathLst>
            <a:path>
              <a:moveTo>
                <a:pt x="45720" y="0"/>
              </a:moveTo>
              <a:lnTo>
                <a:pt x="45720" y="2295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626A84-CAFC-4FFD-89D0-D7328AC5BE30}">
      <dsp:nvSpPr>
        <dsp:cNvPr id="0" name=""/>
        <dsp:cNvSpPr/>
      </dsp:nvSpPr>
      <dsp:spPr>
        <a:xfrm>
          <a:off x="2726475" y="503457"/>
          <a:ext cx="241125" cy="229507"/>
        </a:xfrm>
        <a:custGeom>
          <a:avLst/>
          <a:gdLst/>
          <a:ahLst/>
          <a:cxnLst/>
          <a:rect l="0" t="0" r="0" b="0"/>
          <a:pathLst>
            <a:path>
              <a:moveTo>
                <a:pt x="0" y="0"/>
              </a:moveTo>
              <a:lnTo>
                <a:pt x="0" y="156402"/>
              </a:lnTo>
              <a:lnTo>
                <a:pt x="241125" y="156402"/>
              </a:lnTo>
              <a:lnTo>
                <a:pt x="241125" y="2295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35082E-A4DE-4034-B70D-D3EC4EE8FB07}">
      <dsp:nvSpPr>
        <dsp:cNvPr id="0" name=""/>
        <dsp:cNvSpPr/>
      </dsp:nvSpPr>
      <dsp:spPr>
        <a:xfrm>
          <a:off x="1957379" y="1964677"/>
          <a:ext cx="91440" cy="229507"/>
        </a:xfrm>
        <a:custGeom>
          <a:avLst/>
          <a:gdLst/>
          <a:ahLst/>
          <a:cxnLst/>
          <a:rect l="0" t="0" r="0" b="0"/>
          <a:pathLst>
            <a:path>
              <a:moveTo>
                <a:pt x="45720" y="0"/>
              </a:moveTo>
              <a:lnTo>
                <a:pt x="45720" y="2295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A5C506-82D9-4EDB-9D8A-DF12C8BF2091}">
      <dsp:nvSpPr>
        <dsp:cNvPr id="0" name=""/>
        <dsp:cNvSpPr/>
      </dsp:nvSpPr>
      <dsp:spPr>
        <a:xfrm>
          <a:off x="1520849" y="1234067"/>
          <a:ext cx="482250" cy="229507"/>
        </a:xfrm>
        <a:custGeom>
          <a:avLst/>
          <a:gdLst/>
          <a:ahLst/>
          <a:cxnLst/>
          <a:rect l="0" t="0" r="0" b="0"/>
          <a:pathLst>
            <a:path>
              <a:moveTo>
                <a:pt x="0" y="0"/>
              </a:moveTo>
              <a:lnTo>
                <a:pt x="0" y="156402"/>
              </a:lnTo>
              <a:lnTo>
                <a:pt x="482250" y="156402"/>
              </a:lnTo>
              <a:lnTo>
                <a:pt x="482250" y="2295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1880B6-5662-4CB7-8680-C40B0C1D2A6A}">
      <dsp:nvSpPr>
        <dsp:cNvPr id="0" name=""/>
        <dsp:cNvSpPr/>
      </dsp:nvSpPr>
      <dsp:spPr>
        <a:xfrm>
          <a:off x="992878" y="2695286"/>
          <a:ext cx="91440" cy="229507"/>
        </a:xfrm>
        <a:custGeom>
          <a:avLst/>
          <a:gdLst/>
          <a:ahLst/>
          <a:cxnLst/>
          <a:rect l="0" t="0" r="0" b="0"/>
          <a:pathLst>
            <a:path>
              <a:moveTo>
                <a:pt x="45720" y="0"/>
              </a:moveTo>
              <a:lnTo>
                <a:pt x="45720" y="2295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F5070E-2170-4346-828D-D4CE533A8836}">
      <dsp:nvSpPr>
        <dsp:cNvPr id="0" name=""/>
        <dsp:cNvSpPr/>
      </dsp:nvSpPr>
      <dsp:spPr>
        <a:xfrm>
          <a:off x="992878" y="1964677"/>
          <a:ext cx="91440" cy="229507"/>
        </a:xfrm>
        <a:custGeom>
          <a:avLst/>
          <a:gdLst/>
          <a:ahLst/>
          <a:cxnLst/>
          <a:rect l="0" t="0" r="0" b="0"/>
          <a:pathLst>
            <a:path>
              <a:moveTo>
                <a:pt x="45720" y="0"/>
              </a:moveTo>
              <a:lnTo>
                <a:pt x="45720" y="2295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A84D1F-2EAE-40B8-BAD4-012BC11C0A6B}">
      <dsp:nvSpPr>
        <dsp:cNvPr id="0" name=""/>
        <dsp:cNvSpPr/>
      </dsp:nvSpPr>
      <dsp:spPr>
        <a:xfrm>
          <a:off x="1038598" y="1234067"/>
          <a:ext cx="482250" cy="229507"/>
        </a:xfrm>
        <a:custGeom>
          <a:avLst/>
          <a:gdLst/>
          <a:ahLst/>
          <a:cxnLst/>
          <a:rect l="0" t="0" r="0" b="0"/>
          <a:pathLst>
            <a:path>
              <a:moveTo>
                <a:pt x="482250" y="0"/>
              </a:moveTo>
              <a:lnTo>
                <a:pt x="482250" y="156402"/>
              </a:lnTo>
              <a:lnTo>
                <a:pt x="0" y="156402"/>
              </a:lnTo>
              <a:lnTo>
                <a:pt x="0" y="2295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35DEDC-B776-4B2C-B7A3-C4970B624A0E}">
      <dsp:nvSpPr>
        <dsp:cNvPr id="0" name=""/>
        <dsp:cNvSpPr/>
      </dsp:nvSpPr>
      <dsp:spPr>
        <a:xfrm>
          <a:off x="1520849" y="503457"/>
          <a:ext cx="1205626" cy="229507"/>
        </a:xfrm>
        <a:custGeom>
          <a:avLst/>
          <a:gdLst/>
          <a:ahLst/>
          <a:cxnLst/>
          <a:rect l="0" t="0" r="0" b="0"/>
          <a:pathLst>
            <a:path>
              <a:moveTo>
                <a:pt x="1205626" y="0"/>
              </a:moveTo>
              <a:lnTo>
                <a:pt x="1205626" y="156402"/>
              </a:lnTo>
              <a:lnTo>
                <a:pt x="0" y="156402"/>
              </a:lnTo>
              <a:lnTo>
                <a:pt x="0" y="2295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8A271E-B373-4C47-AF10-ACA6C94480A4}">
      <dsp:nvSpPr>
        <dsp:cNvPr id="0" name=""/>
        <dsp:cNvSpPr/>
      </dsp:nvSpPr>
      <dsp:spPr>
        <a:xfrm>
          <a:off x="2331907" y="2355"/>
          <a:ext cx="789137" cy="5011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A68BD5-2D27-453E-8B0E-E3DA5E779CE3}">
      <dsp:nvSpPr>
        <dsp:cNvPr id="0" name=""/>
        <dsp:cNvSpPr/>
      </dsp:nvSpPr>
      <dsp:spPr>
        <a:xfrm>
          <a:off x="2419589" y="85653"/>
          <a:ext cx="789137" cy="5011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Ministry of Health</a:t>
          </a:r>
        </a:p>
      </dsp:txBody>
      <dsp:txXfrm>
        <a:off x="2434266" y="100330"/>
        <a:ext cx="759783" cy="471748"/>
      </dsp:txXfrm>
    </dsp:sp>
    <dsp:sp modelId="{C89DD962-765B-4A6B-8761-595A5B121E2A}">
      <dsp:nvSpPr>
        <dsp:cNvPr id="0" name=""/>
        <dsp:cNvSpPr/>
      </dsp:nvSpPr>
      <dsp:spPr>
        <a:xfrm>
          <a:off x="1126280" y="732965"/>
          <a:ext cx="789137" cy="5011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D5C0596-CEA0-4D46-881E-88FFA4D8EA84}">
      <dsp:nvSpPr>
        <dsp:cNvPr id="0" name=""/>
        <dsp:cNvSpPr/>
      </dsp:nvSpPr>
      <dsp:spPr>
        <a:xfrm>
          <a:off x="1213962" y="816263"/>
          <a:ext cx="789137" cy="5011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Hospital services</a:t>
          </a:r>
        </a:p>
      </dsp:txBody>
      <dsp:txXfrm>
        <a:off x="1228639" y="830940"/>
        <a:ext cx="759783" cy="471748"/>
      </dsp:txXfrm>
    </dsp:sp>
    <dsp:sp modelId="{6FF4042E-6539-4229-9423-BD9011EC1AE4}">
      <dsp:nvSpPr>
        <dsp:cNvPr id="0" name=""/>
        <dsp:cNvSpPr/>
      </dsp:nvSpPr>
      <dsp:spPr>
        <a:xfrm>
          <a:off x="644029" y="1463574"/>
          <a:ext cx="789137" cy="5011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A233FB-BD52-4CE4-A411-45DACAB160CC}">
      <dsp:nvSpPr>
        <dsp:cNvPr id="0" name=""/>
        <dsp:cNvSpPr/>
      </dsp:nvSpPr>
      <dsp:spPr>
        <a:xfrm>
          <a:off x="731711" y="1546872"/>
          <a:ext cx="789137" cy="5011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14 Regional Hospital Board</a:t>
          </a:r>
        </a:p>
      </dsp:txBody>
      <dsp:txXfrm>
        <a:off x="746388" y="1561549"/>
        <a:ext cx="759783" cy="471748"/>
      </dsp:txXfrm>
    </dsp:sp>
    <dsp:sp modelId="{C23FA94F-004D-4465-A7C0-A0C6D9F54F71}">
      <dsp:nvSpPr>
        <dsp:cNvPr id="0" name=""/>
        <dsp:cNvSpPr/>
      </dsp:nvSpPr>
      <dsp:spPr>
        <a:xfrm>
          <a:off x="644029" y="2194184"/>
          <a:ext cx="789137" cy="5011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945936-91AB-43EC-AE8A-D238D075E60E}">
      <dsp:nvSpPr>
        <dsp:cNvPr id="0" name=""/>
        <dsp:cNvSpPr/>
      </dsp:nvSpPr>
      <dsp:spPr>
        <a:xfrm>
          <a:off x="731711" y="2277482"/>
          <a:ext cx="789137" cy="5011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388 Hospital Management Committees</a:t>
          </a:r>
        </a:p>
      </dsp:txBody>
      <dsp:txXfrm>
        <a:off x="746388" y="2292159"/>
        <a:ext cx="759783" cy="471748"/>
      </dsp:txXfrm>
    </dsp:sp>
    <dsp:sp modelId="{8E34792E-A5BA-4DDA-95C6-3A60EB04422E}">
      <dsp:nvSpPr>
        <dsp:cNvPr id="0" name=""/>
        <dsp:cNvSpPr/>
      </dsp:nvSpPr>
      <dsp:spPr>
        <a:xfrm>
          <a:off x="644029" y="2924794"/>
          <a:ext cx="789137" cy="5011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A663A8-BE4B-4DF8-B1E5-E6BDBCC04A8E}">
      <dsp:nvSpPr>
        <dsp:cNvPr id="0" name=""/>
        <dsp:cNvSpPr/>
      </dsp:nvSpPr>
      <dsp:spPr>
        <a:xfrm>
          <a:off x="731711" y="3008092"/>
          <a:ext cx="789137" cy="5011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 2800 hospitals</a:t>
          </a:r>
        </a:p>
      </dsp:txBody>
      <dsp:txXfrm>
        <a:off x="746388" y="3022769"/>
        <a:ext cx="759783" cy="471748"/>
      </dsp:txXfrm>
    </dsp:sp>
    <dsp:sp modelId="{D31DA924-D34E-43CD-AFC2-49E7ED75A107}">
      <dsp:nvSpPr>
        <dsp:cNvPr id="0" name=""/>
        <dsp:cNvSpPr/>
      </dsp:nvSpPr>
      <dsp:spPr>
        <a:xfrm>
          <a:off x="1608531" y="1463574"/>
          <a:ext cx="789137" cy="5011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5912EB8-CB23-4966-8E18-7451B1F7BB9F}">
      <dsp:nvSpPr>
        <dsp:cNvPr id="0" name=""/>
        <dsp:cNvSpPr/>
      </dsp:nvSpPr>
      <dsp:spPr>
        <a:xfrm>
          <a:off x="1696213" y="1546872"/>
          <a:ext cx="789137" cy="5011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36 Boards of Governors</a:t>
          </a:r>
        </a:p>
      </dsp:txBody>
      <dsp:txXfrm>
        <a:off x="1710890" y="1561549"/>
        <a:ext cx="759783" cy="471748"/>
      </dsp:txXfrm>
    </dsp:sp>
    <dsp:sp modelId="{D5A7A5A4-8569-4990-B0C7-8BC008FC0EB4}">
      <dsp:nvSpPr>
        <dsp:cNvPr id="0" name=""/>
        <dsp:cNvSpPr/>
      </dsp:nvSpPr>
      <dsp:spPr>
        <a:xfrm>
          <a:off x="1608531" y="2194184"/>
          <a:ext cx="789137" cy="5011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DFFC750-2E7F-473E-8245-19C8FA7BBC71}">
      <dsp:nvSpPr>
        <dsp:cNvPr id="0" name=""/>
        <dsp:cNvSpPr/>
      </dsp:nvSpPr>
      <dsp:spPr>
        <a:xfrm>
          <a:off x="1696213" y="2277482"/>
          <a:ext cx="789137" cy="5011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140 teaching hospitals</a:t>
          </a:r>
        </a:p>
      </dsp:txBody>
      <dsp:txXfrm>
        <a:off x="1710890" y="2292159"/>
        <a:ext cx="759783" cy="471748"/>
      </dsp:txXfrm>
    </dsp:sp>
    <dsp:sp modelId="{E7C041E5-11BC-421B-9B94-A237BF5AA093}">
      <dsp:nvSpPr>
        <dsp:cNvPr id="0" name=""/>
        <dsp:cNvSpPr/>
      </dsp:nvSpPr>
      <dsp:spPr>
        <a:xfrm>
          <a:off x="2573032" y="732965"/>
          <a:ext cx="789137" cy="5011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363053-4845-46A6-9D0A-233EE2DEF2FC}">
      <dsp:nvSpPr>
        <dsp:cNvPr id="0" name=""/>
        <dsp:cNvSpPr/>
      </dsp:nvSpPr>
      <dsp:spPr>
        <a:xfrm>
          <a:off x="2660714" y="816263"/>
          <a:ext cx="789137" cy="5011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146 community health services</a:t>
          </a:r>
        </a:p>
      </dsp:txBody>
      <dsp:txXfrm>
        <a:off x="2675391" y="830940"/>
        <a:ext cx="759783" cy="471748"/>
      </dsp:txXfrm>
    </dsp:sp>
    <dsp:sp modelId="{0BF22266-EFB6-4F00-A0F3-3C48E515F9A3}">
      <dsp:nvSpPr>
        <dsp:cNvPr id="0" name=""/>
        <dsp:cNvSpPr/>
      </dsp:nvSpPr>
      <dsp:spPr>
        <a:xfrm>
          <a:off x="2573032" y="1463574"/>
          <a:ext cx="789137" cy="5011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257D35-E40E-49CE-ADF6-691221B85440}">
      <dsp:nvSpPr>
        <dsp:cNvPr id="0" name=""/>
        <dsp:cNvSpPr/>
      </dsp:nvSpPr>
      <dsp:spPr>
        <a:xfrm>
          <a:off x="2660714" y="1546872"/>
          <a:ext cx="789137" cy="5011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146 local health authorities</a:t>
          </a:r>
        </a:p>
      </dsp:txBody>
      <dsp:txXfrm>
        <a:off x="2675391" y="1561549"/>
        <a:ext cx="759783" cy="471748"/>
      </dsp:txXfrm>
    </dsp:sp>
    <dsp:sp modelId="{1E95C141-7A1E-47D1-AE32-02A65B0A97AE}">
      <dsp:nvSpPr>
        <dsp:cNvPr id="0" name=""/>
        <dsp:cNvSpPr/>
      </dsp:nvSpPr>
      <dsp:spPr>
        <a:xfrm>
          <a:off x="2573032" y="2194184"/>
          <a:ext cx="789137" cy="5011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36ECF7F-DA30-48FD-A27A-271E35FF8227}">
      <dsp:nvSpPr>
        <dsp:cNvPr id="0" name=""/>
        <dsp:cNvSpPr/>
      </dsp:nvSpPr>
      <dsp:spPr>
        <a:xfrm>
          <a:off x="2660714" y="2277482"/>
          <a:ext cx="789137" cy="5011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Nurses, midwives and health visitors in the community</a:t>
          </a:r>
        </a:p>
      </dsp:txBody>
      <dsp:txXfrm>
        <a:off x="2675391" y="2292159"/>
        <a:ext cx="759783" cy="471748"/>
      </dsp:txXfrm>
    </dsp:sp>
    <dsp:sp modelId="{870A5504-7199-469F-96CF-B8E7D8439052}">
      <dsp:nvSpPr>
        <dsp:cNvPr id="0" name=""/>
        <dsp:cNvSpPr/>
      </dsp:nvSpPr>
      <dsp:spPr>
        <a:xfrm>
          <a:off x="3537533" y="732965"/>
          <a:ext cx="789137" cy="5011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4A7E74-E087-468E-86AA-502E8F61E30F}">
      <dsp:nvSpPr>
        <dsp:cNvPr id="0" name=""/>
        <dsp:cNvSpPr/>
      </dsp:nvSpPr>
      <dsp:spPr>
        <a:xfrm>
          <a:off x="3625215" y="816263"/>
          <a:ext cx="789137" cy="5011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GB" sz="700" kern="1200"/>
            <a:t>Primary care</a:t>
          </a:r>
        </a:p>
      </dsp:txBody>
      <dsp:txXfrm>
        <a:off x="3639892" y="830940"/>
        <a:ext cx="759783" cy="471748"/>
      </dsp:txXfrm>
    </dsp:sp>
    <dsp:sp modelId="{20DC79A4-0B1F-4397-80DB-24AEC87B48E6}">
      <dsp:nvSpPr>
        <dsp:cNvPr id="0" name=""/>
        <dsp:cNvSpPr/>
      </dsp:nvSpPr>
      <dsp:spPr>
        <a:xfrm>
          <a:off x="3537533" y="1463574"/>
          <a:ext cx="789137" cy="5011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79F0F8-CD60-4FB1-8EF1-E23332B76D20}">
      <dsp:nvSpPr>
        <dsp:cNvPr id="0" name=""/>
        <dsp:cNvSpPr/>
      </dsp:nvSpPr>
      <dsp:spPr>
        <a:xfrm>
          <a:off x="3625215" y="1546872"/>
          <a:ext cx="789137" cy="5011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GB" sz="700" kern="1200"/>
            <a:t>138 Executive Councils  for GPS</a:t>
          </a:r>
        </a:p>
      </dsp:txBody>
      <dsp:txXfrm>
        <a:off x="3639892" y="1561549"/>
        <a:ext cx="759783" cy="471748"/>
      </dsp:txXfrm>
    </dsp:sp>
    <dsp:sp modelId="{20EFADAC-8EF0-41D3-97DB-4FCFFDE5172D}">
      <dsp:nvSpPr>
        <dsp:cNvPr id="0" name=""/>
        <dsp:cNvSpPr/>
      </dsp:nvSpPr>
      <dsp:spPr>
        <a:xfrm>
          <a:off x="3537533" y="2194184"/>
          <a:ext cx="789137" cy="5011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8CCD88E-22E1-4123-83A7-BCB4711FD69D}">
      <dsp:nvSpPr>
        <dsp:cNvPr id="0" name=""/>
        <dsp:cNvSpPr/>
      </dsp:nvSpPr>
      <dsp:spPr>
        <a:xfrm>
          <a:off x="3625215" y="2277482"/>
          <a:ext cx="789137" cy="5011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GB" sz="700" kern="1200"/>
            <a:t>20,000 GPs, dentists, opticians and pharmacies</a:t>
          </a:r>
        </a:p>
      </dsp:txBody>
      <dsp:txXfrm>
        <a:off x="3639892" y="2292159"/>
        <a:ext cx="759783" cy="4717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2B5E78-6904-4F78-A30C-EFF588ACD336}">
      <dsp:nvSpPr>
        <dsp:cNvPr id="0" name=""/>
        <dsp:cNvSpPr/>
      </dsp:nvSpPr>
      <dsp:spPr>
        <a:xfrm>
          <a:off x="2180174" y="2071193"/>
          <a:ext cx="772899" cy="367830"/>
        </a:xfrm>
        <a:custGeom>
          <a:avLst/>
          <a:gdLst/>
          <a:ahLst/>
          <a:cxnLst/>
          <a:rect l="0" t="0" r="0" b="0"/>
          <a:pathLst>
            <a:path>
              <a:moveTo>
                <a:pt x="0" y="0"/>
              </a:moveTo>
              <a:lnTo>
                <a:pt x="0" y="250665"/>
              </a:lnTo>
              <a:lnTo>
                <a:pt x="772899" y="250665"/>
              </a:lnTo>
              <a:lnTo>
                <a:pt x="772899" y="367830"/>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C552E8-0D56-4D97-AC06-2372AACF9D37}">
      <dsp:nvSpPr>
        <dsp:cNvPr id="0" name=""/>
        <dsp:cNvSpPr/>
      </dsp:nvSpPr>
      <dsp:spPr>
        <a:xfrm>
          <a:off x="1407274" y="2071193"/>
          <a:ext cx="772899" cy="367830"/>
        </a:xfrm>
        <a:custGeom>
          <a:avLst/>
          <a:gdLst/>
          <a:ahLst/>
          <a:cxnLst/>
          <a:rect l="0" t="0" r="0" b="0"/>
          <a:pathLst>
            <a:path>
              <a:moveTo>
                <a:pt x="772899" y="0"/>
              </a:moveTo>
              <a:lnTo>
                <a:pt x="772899" y="250665"/>
              </a:lnTo>
              <a:lnTo>
                <a:pt x="0" y="250665"/>
              </a:lnTo>
              <a:lnTo>
                <a:pt x="0" y="367830"/>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BFC481-D08F-4975-8EE9-ABF07CF3E442}">
      <dsp:nvSpPr>
        <dsp:cNvPr id="0" name=""/>
        <dsp:cNvSpPr/>
      </dsp:nvSpPr>
      <dsp:spPr>
        <a:xfrm>
          <a:off x="1407274" y="900249"/>
          <a:ext cx="772899" cy="367830"/>
        </a:xfrm>
        <a:custGeom>
          <a:avLst/>
          <a:gdLst/>
          <a:ahLst/>
          <a:cxnLst/>
          <a:rect l="0" t="0" r="0" b="0"/>
          <a:pathLst>
            <a:path>
              <a:moveTo>
                <a:pt x="0" y="0"/>
              </a:moveTo>
              <a:lnTo>
                <a:pt x="0" y="250665"/>
              </a:lnTo>
              <a:lnTo>
                <a:pt x="772899" y="250665"/>
              </a:lnTo>
              <a:lnTo>
                <a:pt x="772899" y="367830"/>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ECD289-F8BC-4F50-8D1C-931FDB3C8AC3}">
      <dsp:nvSpPr>
        <dsp:cNvPr id="0" name=""/>
        <dsp:cNvSpPr/>
      </dsp:nvSpPr>
      <dsp:spPr>
        <a:xfrm>
          <a:off x="634374" y="900249"/>
          <a:ext cx="772899" cy="367830"/>
        </a:xfrm>
        <a:custGeom>
          <a:avLst/>
          <a:gdLst/>
          <a:ahLst/>
          <a:cxnLst/>
          <a:rect l="0" t="0" r="0" b="0"/>
          <a:pathLst>
            <a:path>
              <a:moveTo>
                <a:pt x="772899" y="0"/>
              </a:moveTo>
              <a:lnTo>
                <a:pt x="772899" y="250665"/>
              </a:lnTo>
              <a:lnTo>
                <a:pt x="0" y="250665"/>
              </a:lnTo>
              <a:lnTo>
                <a:pt x="0" y="367830"/>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2B2F42-CB6B-4311-8D4F-0D2A43892B53}">
      <dsp:nvSpPr>
        <dsp:cNvPr id="0" name=""/>
        <dsp:cNvSpPr/>
      </dsp:nvSpPr>
      <dsp:spPr>
        <a:xfrm>
          <a:off x="774902" y="97136"/>
          <a:ext cx="1264745" cy="803113"/>
        </a:xfrm>
        <a:prstGeom prst="roundRect">
          <a:avLst>
            <a:gd name="adj" fmla="val 10000"/>
          </a:avLst>
        </a:prstGeom>
        <a:solidFill>
          <a:schemeClr val="accent3">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02A6305-709C-4F2C-92B7-077C600D6EB6}">
      <dsp:nvSpPr>
        <dsp:cNvPr id="0" name=""/>
        <dsp:cNvSpPr/>
      </dsp:nvSpPr>
      <dsp:spPr>
        <a:xfrm>
          <a:off x="915429" y="230637"/>
          <a:ext cx="1264745" cy="803113"/>
        </a:xfrm>
        <a:prstGeom prst="roundRect">
          <a:avLst>
            <a:gd name="adj" fmla="val 10000"/>
          </a:avLst>
        </a:prstGeom>
        <a:solidFill>
          <a:schemeClr val="lt1">
            <a:alpha val="9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Ethical theory</a:t>
          </a:r>
        </a:p>
      </dsp:txBody>
      <dsp:txXfrm>
        <a:off x="938951" y="254159"/>
        <a:ext cx="1217701" cy="756069"/>
      </dsp:txXfrm>
    </dsp:sp>
    <dsp:sp modelId="{E7A3D6BC-8995-4EBC-8CB0-757C77FE5B53}">
      <dsp:nvSpPr>
        <dsp:cNvPr id="0" name=""/>
        <dsp:cNvSpPr/>
      </dsp:nvSpPr>
      <dsp:spPr>
        <a:xfrm>
          <a:off x="2002" y="1268079"/>
          <a:ext cx="1264745" cy="803113"/>
        </a:xfrm>
        <a:prstGeom prst="roundRect">
          <a:avLst>
            <a:gd name="adj" fmla="val 10000"/>
          </a:avLst>
        </a:prstGeom>
        <a:solidFill>
          <a:schemeClr val="accent3">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F6E27D-916B-4B6B-830C-C535CAF8443B}">
      <dsp:nvSpPr>
        <dsp:cNvPr id="0" name=""/>
        <dsp:cNvSpPr/>
      </dsp:nvSpPr>
      <dsp:spPr>
        <a:xfrm>
          <a:off x="142529" y="1401580"/>
          <a:ext cx="1264745" cy="803113"/>
        </a:xfrm>
        <a:prstGeom prst="roundRect">
          <a:avLst>
            <a:gd name="adj" fmla="val 10000"/>
          </a:avLst>
        </a:prstGeom>
        <a:solidFill>
          <a:schemeClr val="lt1">
            <a:alpha val="90000"/>
            <a:hueOff val="0"/>
            <a:satOff val="0"/>
            <a:lumOff val="0"/>
            <a:alphaOff val="0"/>
          </a:schemeClr>
        </a:solid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endParaRPr lang="en-GB" sz="900" kern="1200"/>
        </a:p>
        <a:p>
          <a:pPr marL="0" lvl="0" indent="0" algn="ctr" defTabSz="400050">
            <a:lnSpc>
              <a:spcPct val="90000"/>
            </a:lnSpc>
            <a:spcBef>
              <a:spcPct val="0"/>
            </a:spcBef>
            <a:spcAft>
              <a:spcPct val="35000"/>
            </a:spcAft>
            <a:buNone/>
          </a:pPr>
          <a:r>
            <a:rPr lang="en-GB" sz="900" kern="1200"/>
            <a:t>Virtue</a:t>
          </a:r>
        </a:p>
        <a:p>
          <a:pPr marL="0" lvl="0" indent="0" algn="ctr" defTabSz="400050">
            <a:lnSpc>
              <a:spcPct val="90000"/>
            </a:lnSpc>
            <a:spcBef>
              <a:spcPct val="0"/>
            </a:spcBef>
            <a:spcAft>
              <a:spcPct val="35000"/>
            </a:spcAft>
            <a:buNone/>
          </a:pPr>
          <a:r>
            <a:rPr lang="en-GB" sz="900" kern="1200"/>
            <a:t>(character) </a:t>
          </a:r>
        </a:p>
        <a:p>
          <a:pPr marL="0" lvl="0" indent="0" algn="ctr" defTabSz="400050">
            <a:lnSpc>
              <a:spcPct val="90000"/>
            </a:lnSpc>
            <a:spcBef>
              <a:spcPct val="0"/>
            </a:spcBef>
            <a:spcAft>
              <a:spcPct val="35000"/>
            </a:spcAft>
            <a:buNone/>
          </a:pPr>
          <a:endParaRPr lang="en-GB" sz="900" kern="1200"/>
        </a:p>
      </dsp:txBody>
      <dsp:txXfrm>
        <a:off x="166051" y="1425102"/>
        <a:ext cx="1217701" cy="756069"/>
      </dsp:txXfrm>
    </dsp:sp>
    <dsp:sp modelId="{C23F9411-1FE9-4B17-B848-EFD72301978A}">
      <dsp:nvSpPr>
        <dsp:cNvPr id="0" name=""/>
        <dsp:cNvSpPr/>
      </dsp:nvSpPr>
      <dsp:spPr>
        <a:xfrm>
          <a:off x="1547802" y="1268079"/>
          <a:ext cx="1264745" cy="803113"/>
        </a:xfrm>
        <a:prstGeom prst="roundRect">
          <a:avLst>
            <a:gd name="adj" fmla="val 10000"/>
          </a:avLst>
        </a:prstGeom>
        <a:solidFill>
          <a:schemeClr val="accent3">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43E755-88E9-4F94-81E9-EA968429AC22}">
      <dsp:nvSpPr>
        <dsp:cNvPr id="0" name=""/>
        <dsp:cNvSpPr/>
      </dsp:nvSpPr>
      <dsp:spPr>
        <a:xfrm>
          <a:off x="1688329" y="1401580"/>
          <a:ext cx="1264745" cy="803113"/>
        </a:xfrm>
        <a:prstGeom prst="roundRect">
          <a:avLst>
            <a:gd name="adj" fmla="val 10000"/>
          </a:avLst>
        </a:prstGeom>
        <a:solidFill>
          <a:schemeClr val="lt1">
            <a:alpha val="90000"/>
            <a:hueOff val="0"/>
            <a:satOff val="0"/>
            <a:lumOff val="0"/>
            <a:alphaOff val="0"/>
          </a:schemeClr>
        </a:solid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Conduct</a:t>
          </a:r>
        </a:p>
      </dsp:txBody>
      <dsp:txXfrm>
        <a:off x="1711851" y="1425102"/>
        <a:ext cx="1217701" cy="756069"/>
      </dsp:txXfrm>
    </dsp:sp>
    <dsp:sp modelId="{9C84DC18-F4B2-4590-8832-CB39218EF8FB}">
      <dsp:nvSpPr>
        <dsp:cNvPr id="0" name=""/>
        <dsp:cNvSpPr/>
      </dsp:nvSpPr>
      <dsp:spPr>
        <a:xfrm>
          <a:off x="774902" y="2439023"/>
          <a:ext cx="1264745" cy="803113"/>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268A766-686F-4D65-85EF-88DA84ABEA33}">
      <dsp:nvSpPr>
        <dsp:cNvPr id="0" name=""/>
        <dsp:cNvSpPr/>
      </dsp:nvSpPr>
      <dsp:spPr>
        <a:xfrm>
          <a:off x="915429" y="2572524"/>
          <a:ext cx="1264745" cy="803113"/>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Formalism</a:t>
          </a:r>
        </a:p>
        <a:p>
          <a:pPr marL="0" lvl="0" indent="0" algn="ctr" defTabSz="400050">
            <a:lnSpc>
              <a:spcPct val="90000"/>
            </a:lnSpc>
            <a:spcBef>
              <a:spcPct val="0"/>
            </a:spcBef>
            <a:spcAft>
              <a:spcPct val="35000"/>
            </a:spcAft>
            <a:buNone/>
          </a:pPr>
          <a:r>
            <a:rPr lang="en-GB" sz="900" kern="1200"/>
            <a:t>(Non-consequentalism/</a:t>
          </a:r>
        </a:p>
        <a:p>
          <a:pPr marL="0" lvl="0" indent="0" algn="ctr" defTabSz="400050">
            <a:lnSpc>
              <a:spcPct val="90000"/>
            </a:lnSpc>
            <a:spcBef>
              <a:spcPct val="0"/>
            </a:spcBef>
            <a:spcAft>
              <a:spcPct val="35000"/>
            </a:spcAft>
            <a:buNone/>
          </a:pPr>
          <a:r>
            <a:rPr lang="en-GB" sz="900" kern="1200"/>
            <a:t>deontological)</a:t>
          </a:r>
        </a:p>
      </dsp:txBody>
      <dsp:txXfrm>
        <a:off x="938951" y="2596046"/>
        <a:ext cx="1217701" cy="756069"/>
      </dsp:txXfrm>
    </dsp:sp>
    <dsp:sp modelId="{C00B57C0-B112-49B5-9606-0923BC85BD9A}">
      <dsp:nvSpPr>
        <dsp:cNvPr id="0" name=""/>
        <dsp:cNvSpPr/>
      </dsp:nvSpPr>
      <dsp:spPr>
        <a:xfrm>
          <a:off x="2320702" y="2439023"/>
          <a:ext cx="1264745" cy="803113"/>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257CC5-1024-45DB-8BC5-D9DFBC7BDDD7}">
      <dsp:nvSpPr>
        <dsp:cNvPr id="0" name=""/>
        <dsp:cNvSpPr/>
      </dsp:nvSpPr>
      <dsp:spPr>
        <a:xfrm>
          <a:off x="2461229" y="2572524"/>
          <a:ext cx="1264745" cy="803113"/>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Utilitarianism</a:t>
          </a:r>
        </a:p>
        <a:p>
          <a:pPr marL="0" lvl="0" indent="0" algn="ctr" defTabSz="400050">
            <a:lnSpc>
              <a:spcPct val="90000"/>
            </a:lnSpc>
            <a:spcBef>
              <a:spcPct val="0"/>
            </a:spcBef>
            <a:spcAft>
              <a:spcPct val="35000"/>
            </a:spcAft>
            <a:buNone/>
          </a:pPr>
          <a:r>
            <a:rPr lang="en-GB" sz="900" kern="1200"/>
            <a:t>(Consequentalism/ teleological</a:t>
          </a:r>
        </a:p>
      </dsp:txBody>
      <dsp:txXfrm>
        <a:off x="2484751" y="2596046"/>
        <a:ext cx="1217701" cy="75606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Bra96</b:Tag>
    <b:SourceType>JournalArticle</b:SourceType>
    <b:Guid>{CFB7A0D1-2212-40F1-B53B-866380C7F1B2}</b:Guid>
    <b:Title>An Empirical Study of Ethical Predispositions</b:Title>
    <b:Year>1996</b:Year>
    <b:JournalName>Journal of Business Ethics</b:JournalName>
    <b:Pages>927-940</b:Pages>
    <b:Volume>15</b:Volume>
    <b:Author>
      <b:Author>
        <b:NameList>
          <b:Person>
            <b:Last>Brady</b:Last>
            <b:First>Neil</b:First>
            <b:Middle>F</b:Middle>
          </b:Person>
          <b:Person>
            <b:Last>Wheeler</b:Last>
            <b:First>Gloria</b:First>
            <b:Middle>E</b:Middle>
          </b:Person>
        </b:NameList>
      </b:Author>
    </b:Author>
    <b:RefOrder>186</b:RefOrder>
  </b:Source>
  <b:Source>
    <b:Tag>Atk991</b:Tag>
    <b:SourceType>JournalArticle</b:SourceType>
    <b:Guid>{B8AA478A-23E4-4CB3-B715-F0D5F47DEBCF}</b:Guid>
    <b:Author>
      <b:Author>
        <b:NameList>
          <b:Person>
            <b:Last>Atkinson</b:Last>
            <b:First>Roger</b:First>
          </b:Person>
        </b:NameList>
      </b:Author>
    </b:Author>
    <b:Title>Project managment: cost, time and quality, two best guesses and a phenomenon, its time to accept other success criteria</b:Title>
    <b:JournalName>International Journal of Project Management</b:JournalName>
    <b:Year>1999</b:Year>
    <b:Pages>337-342</b:Pages>
    <b:Volume>17</b:Volume>
    <b:Issue>6</b:Issue>
    <b:RefOrder>144</b:RefOrder>
  </b:Source>
  <b:Source>
    <b:Tag>Ass15</b:Tag>
    <b:SourceType>DocumentFromInternetSite</b:SourceType>
    <b:Guid>{00BABD3F-42F0-460A-9905-B975951C0EB1}</b:Guid>
    <b:Title>Conditions for Project Success</b:Title>
    <b:Year>2015</b:Year>
    <b:Author>
      <b:Author>
        <b:Corporate>APM</b:Corporate>
      </b:Author>
    </b:Author>
    <b:YearAccessed>2017</b:YearAccessed>
    <b:MonthAccessed>April</b:MonthAccessed>
    <b:DayAccessed>9</b:DayAccessed>
    <b:URL>https://www.apm.org.uk/media/1621/conditions-for-project-success_web_final_0.pdf</b:URL>
    <b:RefOrder>15</b:RefOrder>
  </b:Source>
  <b:Source>
    <b:Tag>Bak83</b:Tag>
    <b:SourceType>BookSection</b:SourceType>
    <b:Guid>{2C97F3EE-8418-4E98-A196-2B684CD6867A}</b:Guid>
    <b:Title>Factors affecting project success</b:Title>
    <b:BookTitle>Project Management Handbook</b:BookTitle>
    <b:Year>1983</b:Year>
    <b:Pages>669-685</b:Pages>
    <b:City>New York</b:City>
    <b:Publisher>Van Nostrand Reinhold</b:Publisher>
    <b:Author>
      <b:Author>
        <b:NameList>
          <b:Person>
            <b:Last>Baker</b:Last>
            <b:Middle>N</b:Middle>
            <b:First>B</b:First>
          </b:Person>
          <b:Person>
            <b:Last>Murphy</b:Last>
            <b:Middle>C</b:Middle>
            <b:First>D</b:First>
          </b:Person>
          <b:Person>
            <b:Last>Fisher</b:Last>
            <b:First>D</b:First>
          </b:Person>
        </b:NameList>
      </b:Author>
      <b:Editor>
        <b:NameList>
          <b:Person>
            <b:Last>Cleland</b:Last>
            <b:Middle>I</b:Middle>
            <b:First>D</b:First>
          </b:Person>
          <b:Person>
            <b:Last>King</b:Last>
            <b:Middle>R</b:Middle>
            <b:First>W</b:First>
          </b:Person>
        </b:NameList>
      </b:Editor>
    </b:Author>
    <b:RefOrder>187</b:RefOrder>
  </b:Source>
  <b:Source>
    <b:Tag>Bak88</b:Tag>
    <b:SourceType>BookSection</b:SourceType>
    <b:Guid>{62A64883-CEC3-4E3E-BF88-3032188E6CCD}</b:Guid>
    <b:Title>Factors Affecting Project Success</b:Title>
    <b:Year>1988</b:Year>
    <b:City>New York</b:City>
    <b:Publisher>Van Nostrand Reinhold</b:Publisher>
    <b:Author>
      <b:Author>
        <b:NameList>
          <b:Person>
            <b:Last>Baker</b:Last>
            <b:Middle>N</b:Middle>
            <b:First>B</b:First>
          </b:Person>
          <b:Person>
            <b:Last>Murphy</b:Last>
            <b:Middle>C</b:Middle>
            <b:First>D</b:First>
          </b:Person>
          <b:Person>
            <b:Last>Fisher</b:Last>
            <b:First>D</b:First>
          </b:Person>
        </b:NameList>
      </b:Author>
      <b:Editor>
        <b:NameList>
          <b:Person>
            <b:Last>Cleland</b:Last>
            <b:Middle>I</b:Middle>
            <b:First>D</b:First>
          </b:Person>
          <b:Person>
            <b:Last>King</b:Last>
            <b:Middle>R</b:Middle>
            <b:First>W</b:First>
          </b:Person>
        </b:NameList>
      </b:Editor>
    </b:Author>
    <b:BookTitle>Project Management Handbook</b:BookTitle>
    <b:Pages>902-909</b:Pages>
    <b:RefOrder>188</b:RefOrder>
  </b:Source>
  <b:Source>
    <b:Tag>Bel96</b:Tag>
    <b:SourceType>JournalArticle</b:SourceType>
    <b:Guid>{2A94F3E1-8B91-44EE-852B-F98F52C823FA}</b:Guid>
    <b:Title>A new framework for determining critical success/ failure factors in projects</b:Title>
    <b:Year>1996</b:Year>
    <b:Author>
      <b:Author>
        <b:NameList>
          <b:Person>
            <b:Last>Belassi</b:Last>
            <b:First>Walid</b:First>
          </b:Person>
          <b:Person>
            <b:Last>Tukel</b:Last>
            <b:First>Oya</b:First>
            <b:Middle>Icmeli</b:Middle>
          </b:Person>
        </b:NameList>
      </b:Author>
    </b:Author>
    <b:JournalName>International Journal of Project Management</b:JournalName>
    <b:Pages>141-151</b:Pages>
    <b:Volume>14</b:Volume>
    <b:Issue>3</b:Issue>
    <b:RefOrder>189</b:RefOrder>
  </b:Source>
  <b:Source>
    <b:Tag>Coo02</b:Tag>
    <b:SourceType>JournalArticle</b:SourceType>
    <b:Guid>{C98516E2-C99D-4FC0-B45A-9CFCF734A288}</b:Guid>
    <b:Author>
      <b:Author>
        <b:NameList>
          <b:Person>
            <b:Last>Cooke-Davies</b:Last>
            <b:First>Terry</b:First>
          </b:Person>
        </b:NameList>
      </b:Author>
    </b:Author>
    <b:Title>The "real" success factors on projects</b:Title>
    <b:JournalName>Interantional Journal of Project Management</b:JournalName>
    <b:Year>2002</b:Year>
    <b:Pages>185-190</b:Pages>
    <b:Volume>20</b:Volume>
    <b:RefOrder>13</b:RefOrder>
  </b:Source>
  <b:Source>
    <b:Tag>Pin89</b:Tag>
    <b:SourceType>JournalArticle</b:SourceType>
    <b:Guid>{5FF8C8EA-0D62-4986-942F-4F1B88933FE1}</b:Guid>
    <b:Title>Critical Success Factors in project implementation: a comparison of construction and R&amp;D projects</b:Title>
    <b:Year>1989</b:Year>
    <b:JournalName>Technovation</b:JournalName>
    <b:Pages>49-62</b:Pages>
    <b:Volume>9</b:Volume>
    <b:Author>
      <b:Author>
        <b:NameList>
          <b:Person>
            <b:Last>Pinto</b:Last>
            <b:Middle>K</b:Middle>
            <b:First>Jeffrey</b:First>
          </b:Person>
          <b:Person>
            <b:Last>Covin</b:Last>
            <b:Middle>G</b:Middle>
            <b:First>Jeffrey</b:First>
          </b:Person>
        </b:NameList>
      </b:Author>
    </b:Author>
    <b:RefOrder>190</b:RefOrder>
  </b:Source>
  <b:Source>
    <b:Tag>Fri</b:Tag>
    <b:SourceType>JournalArticle</b:SourceType>
    <b:Guid>{FA74DA9D-54CE-472A-82C3-297876FAE055}</b:Guid>
    <b:Author>
      <b:Author>
        <b:NameList>
          <b:Person>
            <b:Last>Fritzsche</b:Last>
            <b:First>David,</b:First>
            <b:Middle>J</b:Middle>
          </b:Person>
          <b:Person>
            <b:Last>Becker</b:Last>
            <b:First>Helmut</b:First>
          </b:Person>
        </b:NameList>
      </b:Author>
    </b:Author>
    <b:Title>Linking Management Behavior to Ethical Philosophy - An Empirical Investigation</b:Title>
    <b:JournalName>Academy of Management Journal</b:JournalName>
    <b:Year>1984</b:Year>
    <b:Pages>166-175</b:Pages>
    <b:Volume>27</b:Volume>
    <b:Issue>1</b:Issue>
    <b:RefOrder>14</b:RefOrder>
  </b:Source>
  <b:Source>
    <b:Tag>Ker87</b:Tag>
    <b:SourceType>JournalArticle</b:SourceType>
    <b:Guid>{95E50308-D9A6-4518-8D32-3D6DB1991DC5}</b:Guid>
    <b:Title>In search of excellence in project management</b:Title>
    <b:Year>1987</b:Year>
    <b:Author>
      <b:Author>
        <b:NameList>
          <b:Person>
            <b:Last>Kerzner</b:Last>
            <b:First>H</b:First>
          </b:Person>
        </b:NameList>
      </b:Author>
    </b:Author>
    <b:JournalName>Journal of Systems Management</b:JournalName>
    <b:Pages>30-39</b:Pages>
    <b:RefOrder>191</b:RefOrder>
  </b:Source>
  <b:Source>
    <b:Tag>Loc84</b:Tag>
    <b:SourceType>Book</b:SourceType>
    <b:Guid>{72B1E683-5E41-475A-92B0-60F76D01BC82}</b:Guid>
    <b:Title>Project Management</b:Title>
    <b:Year>1984</b:Year>
    <b:Author>
      <b:Author>
        <b:NameList>
          <b:Person>
            <b:Last>Locke</b:Last>
            <b:First>D</b:First>
          </b:Person>
        </b:NameList>
      </b:Author>
    </b:Author>
    <b:City>New York</b:City>
    <b:Publisher>St Martins Press</b:Publisher>
    <b:RefOrder>192</b:RefOrder>
  </b:Source>
  <b:Source>
    <b:Tag>OEC15</b:Tag>
    <b:SourceType>Report</b:SourceType>
    <b:Guid>{ABE42991-461A-4107-B374-432A2ACB3C93}</b:Guid>
    <b:Author>
      <b:Author>
        <b:Corporate>OECD</b:Corporate>
      </b:Author>
    </b:Author>
    <b:Title>G20/OECD Principles of Corporate Governance</b:Title>
    <b:Year>2015</b:Year>
    <b:Publisher>OECD</b:Publisher>
    <b:City>N/K</b:City>
    <b:RefOrder>193</b:RefOrder>
  </b:Source>
  <b:Source>
    <b:Tag>Gom03</b:Tag>
    <b:SourceType>JournalArticle</b:SourceType>
    <b:Guid>{4D32C182-988F-47DC-B68E-E97CE533A6BF}</b:Guid>
    <b:Title>Corporate Governance and Equity Prices</b:Title>
    <b:JournalName>Quarterly Journal of Economics</b:JournalName>
    <b:Year>2003</b:Year>
    <b:Pages>107-156</b:Pages>
    <b:Volume>118</b:Volume>
    <b:Issue>1</b:Issue>
    <b:Author>
      <b:Author>
        <b:NameList>
          <b:Person>
            <b:Last>Gompers</b:Last>
            <b:Middle>A</b:Middle>
            <b:First>Paul</b:First>
          </b:Person>
          <b:Person>
            <b:Last>Ishii</b:Last>
            <b:Middle>L</b:Middle>
            <b:First>Joy</b:First>
          </b:Person>
          <b:Person>
            <b:Last>Metrick</b:Last>
            <b:First>Andrew</b:First>
          </b:Person>
        </b:NameList>
      </b:Author>
    </b:Author>
    <b:RefOrder>194</b:RefOrder>
  </b:Source>
  <b:Source>
    <b:Tag>Kla08</b:Tag>
    <b:SourceType>JournalArticle</b:SourceType>
    <b:Guid>{B4B99EBA-AE39-4275-BD33-EA5D99F3334E}</b:Guid>
    <b:Title>Governance Frameworks for Public Project Development and Estimation</b:Title>
    <b:JournalName>Project Management Journal</b:JournalName>
    <b:Year>2008</b:Year>
    <b:Pages>S27-S42</b:Pages>
    <b:Volume>39</b:Volume>
    <b:Issue>2008 Supplement</b:Issue>
    <b:Author>
      <b:Author>
        <b:NameList>
          <b:Person>
            <b:Last>Klakegg</b:Last>
            <b:Middle>Jonny</b:Middle>
            <b:First>Ole</b:First>
          </b:Person>
          <b:Person>
            <b:Last>Williams</b:Last>
            <b:First>Terry</b:First>
          </b:Person>
          <b:Person>
            <b:Last>Magnussen</b:Last>
            <b:Middle>Morten</b:Middle>
            <b:First>Ole</b:First>
          </b:Person>
          <b:Person>
            <b:Last>Glasspool</b:Last>
            <b:First>Helene</b:First>
          </b:Person>
        </b:NameList>
      </b:Author>
    </b:Author>
    <b:RefOrder>195</b:RefOrder>
  </b:Source>
  <b:Source>
    <b:Tag>Cab11</b:Tag>
    <b:SourceType>DocumentFromInternetSite</b:SourceType>
    <b:Guid>{E7BC33AF-DD90-4639-9AFC-196226890EF0}</b:Guid>
    <b:Title>Government Construction Strategy</b:Title>
    <b:Year>2011</b:Year>
    <b:Author>
      <b:Author>
        <b:Corporate>Cabinet Office</b:Corporate>
      </b:Author>
    </b:Author>
    <b:Month>May</b:Month>
    <b:YearAccessed>2013</b:YearAccessed>
    <b:MonthAccessed>05</b:MonthAccessed>
    <b:DayAccessed>22</b:DayAccessed>
    <b:URL>https://www.gov.uk/government/uploads/system/uploads/attachment_data/file/61152/Government-Construction-Strategy_0.pdf</b:URL>
    <b:RefOrder>4</b:RefOrder>
  </b:Source>
  <b:Source>
    <b:Tag>Mil12</b:Tag>
    <b:SourceType>Book</b:SourceType>
    <b:Guid>{C3677A29-9371-40BC-BA61-1ECE620E170D}</b:Guid>
    <b:Author>
      <b:Author>
        <b:NameList>
          <b:Person>
            <b:Last>Miles</b:Last>
            <b:First>Jeffrey</b:First>
            <b:Middle>A</b:Middle>
          </b:Person>
        </b:NameList>
      </b:Author>
    </b:Author>
    <b:Title>Management and Organization Theory</b:Title>
    <b:Year>2012</b:Year>
    <b:City>San Francisco</b:City>
    <b:Publisher>Jossey-Bass</b:Publisher>
    <b:Edition>1st</b:Edition>
    <b:RefOrder>56</b:RefOrder>
  </b:Source>
  <b:Source>
    <b:Tag>Bel84</b:Tag>
    <b:SourceType>JournalArticle</b:SourceType>
    <b:Guid>{D519F992-B349-4020-BAEC-3E49B2B4795D}</b:Guid>
    <b:Author>
      <b:Author>
        <b:NameList>
          <b:Person>
            <b:Last>Beltramini</b:Last>
            <b:Middle>F</b:Middle>
            <b:First>R</b:First>
          </b:Person>
          <b:Person>
            <b:Last>Peterson</b:Last>
            <b:First>A</b:First>
          </b:Person>
          <b:Person>
            <b:Last>Kozmetsky</b:Last>
            <b:First>G</b:First>
          </b:Person>
        </b:NameList>
      </b:Author>
    </b:Author>
    <b:Title>Concerns of College Students Regarding Business Ethics</b:Title>
    <b:JournalName>Journal of Business Ethics</b:JournalName>
    <b:Year>1984</b:Year>
    <b:Pages>195-200</b:Pages>
    <b:Volume>3</b:Volume>
    <b:RefOrder>70</b:RefOrder>
  </b:Source>
  <b:Source>
    <b:Tag>Nar99</b:Tag>
    <b:SourceType>JournalArticle</b:SourceType>
    <b:Guid>{5E89DAE8-9913-4AAC-8F63-98F2F3CA755B}</b:Guid>
    <b:Title>Individual moral judgement and cultural idealogies</b:Title>
    <b:JournalName>Developmental Psychology</b:JournalName>
    <b:Year>1999</b:Year>
    <b:Pages>478-488</b:Pages>
    <b:Volume>35</b:Volume>
    <b:Author>
      <b:Author>
        <b:NameList>
          <b:Person>
            <b:Last>Narvaez </b:Last>
            <b:First>D</b:First>
          </b:Person>
          <b:Person>
            <b:Last>Getz</b:Last>
            <b:First>I</b:First>
          </b:Person>
          <b:Person>
            <b:Last>Rest</b:Last>
            <b:Middle>R</b:Middle>
            <b:First>J</b:First>
          </b:Person>
          <b:Person>
            <b:Last>Thoma</b:Last>
            <b:Middle>J</b:Middle>
            <b:First>S</b:First>
          </b:Person>
        </b:NameList>
      </b:Author>
    </b:Author>
    <b:RefOrder>196</b:RefOrder>
  </b:Source>
  <b:Source>
    <b:Tag>Gra84</b:Tag>
    <b:SourceType>BookSection</b:SourceType>
    <b:Guid>{DA144215-565F-4B45-B1FA-1DD2A4BC24B0}</b:Guid>
    <b:Title>John Stuart Mill: the crisis of liberalism</b:Title>
    <b:Year>1984</b:Year>
    <b:City>London</b:City>
    <b:Publisher>British Broadcasting Corporation</b:Publisher>
    <b:BookTitle>Political Though from Plato to Nato</b:BookTitle>
    <b:Pages>148-158</b:Pages>
    <b:Author>
      <b:Author>
        <b:NameList>
          <b:Person>
            <b:Last>Gray</b:Last>
            <b:First>John</b:First>
          </b:Person>
        </b:NameList>
      </b:Author>
    </b:Author>
    <b:RefOrder>59</b:RefOrder>
  </b:Source>
  <b:Source>
    <b:Tag>Mac77</b:Tag>
    <b:SourceType>Book</b:SourceType>
    <b:Guid>{5DD5A68E-377A-4455-B400-3F2B094FD03F}</b:Guid>
    <b:Title>Ethics: Inviting Right and Wrong</b:Title>
    <b:Year>1977</b:Year>
    <b:City>London</b:City>
    <b:Publisher>Pelican Books</b:Publisher>
    <b:Author>
      <b:Author>
        <b:NameList>
          <b:Person>
            <b:Last>Mackie</b:Last>
            <b:Middle>L</b:Middle>
            <b:First>J</b:First>
          </b:Person>
        </b:NameList>
      </b:Author>
    </b:Author>
    <b:Edition>1</b:Edition>
    <b:RefOrder>53</b:RefOrder>
  </b:Source>
  <b:Source>
    <b:Tag>Sim57</b:Tag>
    <b:SourceType>BookSection</b:SourceType>
    <b:Guid>{C74D89CF-B7F2-4FFF-8ADF-3B7E8D993535}</b:Guid>
    <b:Author>
      <b:Author>
        <b:NameList>
          <b:Person>
            <b:Last>Simon</b:Last>
            <b:First>H</b:First>
          </b:Person>
        </b:NameList>
      </b:Author>
    </b:Author>
    <b:Title>A Behvioral Model of Rational Choice</b:Title>
    <b:Year>1957</b:Year>
    <b:City>New York</b:City>
    <b:Publisher>Wiley</b:Publisher>
    <b:BookTitle>Models of Man, Social and Rational: Mathematical Essays on Rational Human Behavior in a Social Setting</b:BookTitle>
    <b:RefOrder>197</b:RefOrder>
  </b:Source>
  <b:Source>
    <b:Tag>Pat10</b:Tag>
    <b:SourceType>JournalArticle</b:SourceType>
    <b:Guid>{705563D7-0407-4AE9-A39F-CECD6A1D76E8}</b:Guid>
    <b:Title>Impact of governance on project delivery of complex NHS PFI/PPP schemes</b:Title>
    <b:JournalName>Journal of Financial Management of Property and Construction</b:JournalName>
    <b:Year>2010</b:Year>
    <b:Pages>216-234</b:Pages>
    <b:Volume>15</b:Volume>
    <b:Issue>3</b:Issue>
    <b:Author>
      <b:Author>
        <b:NameList>
          <b:Person>
            <b:Last>Patel</b:Last>
            <b:First>M</b:First>
          </b:Person>
          <b:Person>
            <b:Last>Robinson</b:Last>
            <b:First>H</b:First>
          </b:Person>
        </b:NameList>
      </b:Author>
    </b:Author>
    <b:RefOrder>198</b:RefOrder>
  </b:Source>
  <b:Source>
    <b:Tag>Sch972</b:Tag>
    <b:SourceType>JournalArticle</b:SourceType>
    <b:Guid>{7D052246-A3FD-4C69-A524-235BD7F5E1B4}</b:Guid>
    <b:Author>
      <b:Author>
        <b:NameList>
          <b:Person>
            <b:Last>Schminke</b:Last>
            <b:First>Marshall</b:First>
          </b:Person>
        </b:NameList>
      </b:Author>
    </b:Author>
    <b:Title>Gender Differences in Ethical Frameworks and Evaluation of Others' Choices in Ethical Dilemmas</b:Title>
    <b:JournalName>Journal of Business Ethics</b:JournalName>
    <b:Year>1997</b:Year>
    <b:Pages>55-65</b:Pages>
    <b:Volume>16</b:Volume>
    <b:RefOrder>199</b:RefOrder>
  </b:Source>
  <b:Source>
    <b:Tag>Mag97</b:Tag>
    <b:SourceType>JournalArticle</b:SourceType>
    <b:Guid>{A35F688D-6CA3-433E-AC1C-3DA172615D0A}</b:Guid>
    <b:Author>
      <b:Author>
        <b:NameList>
          <b:Person>
            <b:Last>Maguire</b:Last>
            <b:First>Stephen</b:First>
          </b:Person>
        </b:NameList>
      </b:Author>
    </b:Author>
    <b:Title>Business Ethics: A Compromise Between Politics and Virtue</b:Title>
    <b:JournalName>Journal of Business Ethics</b:JournalName>
    <b:Year>1997</b:Year>
    <b:Pages>1411-1418</b:Pages>
    <b:Volume>16</b:Volume>
    <b:RefOrder>73</b:RefOrder>
  </b:Source>
  <b:Source>
    <b:Tag>Sch991</b:Tag>
    <b:SourceType>JournalArticle</b:SourceType>
    <b:Guid>{EF82C8D6-3407-4CE3-8F7C-C887D8712A17}</b:Guid>
    <b:Title>Group Processes and Performance and Their Effects on Individuals' Ethical Frameworks</b:Title>
    <b:JournalName>Journal of Business Ethics</b:JournalName>
    <b:Year>1999</b:Year>
    <b:Pages>367-381</b:Pages>
    <b:Volume>18</b:Volume>
    <b:Author>
      <b:Author>
        <b:NameList>
          <b:Person>
            <b:Last>Schminke</b:Last>
            <b:First>Marshall</b:First>
          </b:Person>
          <b:Person>
            <b:Last>Wells</b:Last>
            <b:First>Deborah</b:First>
          </b:Person>
        </b:NameList>
      </b:Author>
    </b:Author>
    <b:RefOrder>200</b:RefOrder>
  </b:Source>
  <b:Source>
    <b:Tag>Fre84</b:Tag>
    <b:SourceType>Book</b:SourceType>
    <b:Guid>{B521C27F-4DD0-416B-A3E8-8D77B7554AC2}</b:Guid>
    <b:Title>Strategic Management: A stakeholder approach</b:Title>
    <b:Year>1984</b:Year>
    <b:City>Boston</b:City>
    <b:Publisher>Pitman</b:Publisher>
    <b:Author>
      <b:Author>
        <b:NameList>
          <b:Person>
            <b:Last>Freeman</b:Last>
            <b:Middle>E</b:Middle>
            <b:First>R</b:First>
          </b:Person>
        </b:NameList>
      </b:Author>
    </b:Author>
    <b:RefOrder>201</b:RefOrder>
  </b:Source>
  <b:Source>
    <b:Tag>Dav97</b:Tag>
    <b:SourceType>JournalArticle</b:SourceType>
    <b:Guid>{912221CD-C402-4D4A-A99C-05E0EF849A8D}</b:Guid>
    <b:Title>Toward a Stewardship Theory of Management</b:Title>
    <b:Year>1997</b:Year>
    <b:JournalName>Academy of Management Review</b:JournalName>
    <b:Pages>20-47</b:Pages>
    <b:Volume>22</b:Volume>
    <b:Issue>1</b:Issue>
    <b:Author>
      <b:Author>
        <b:NameList>
          <b:Person>
            <b:Last>Davis</b:Last>
            <b:Middle>H</b:Middle>
            <b:First>James</b:First>
          </b:Person>
          <b:Person>
            <b:Last>Schoorman</b:Last>
            <b:Middle>David</b:Middle>
            <b:First>F</b:First>
          </b:Person>
          <b:Person>
            <b:Last>Donaldson</b:Last>
            <b:First>Lex</b:First>
          </b:Person>
        </b:NameList>
      </b:Author>
    </b:Author>
    <b:RefOrder>86</b:RefOrder>
  </b:Source>
  <b:Source>
    <b:Tag>Fre02</b:Tag>
    <b:SourceType>BookSection</b:SourceType>
    <b:Guid>{4C57735C-A46F-4660-84ED-2EA93BE775B9}</b:Guid>
    <b:Title>Stakeholder Theory of the modern corporation</b:Title>
    <b:Year>2002</b:Year>
    <b:Pages>38-48</b:Pages>
    <b:Author>
      <b:Author>
        <b:NameList>
          <b:Person>
            <b:Last>Freeman</b:Last>
            <b:Middle>E</b:Middle>
            <b:First>R</b:First>
          </b:Person>
        </b:NameList>
      </b:Author>
      <b:Editor>
        <b:NameList>
          <b:Person>
            <b:Last>Donaldson</b:Last>
            <b:First>t</b:First>
            <b:Middle>&amp; Werhane, P</b:Middle>
          </b:Person>
        </b:NameList>
      </b:Editor>
    </b:Author>
    <b:BookTitle>Ethical Issues in Business: Philosophical approach</b:BookTitle>
    <b:City>Englewood Cliffs, NJ</b:City>
    <b:Publisher>Prentice Hall</b:Publisher>
    <b:RefOrder>202</b:RefOrder>
  </b:Source>
  <b:Source>
    <b:Tag>Hil01</b:Tag>
    <b:SourceType>JournalArticle</b:SourceType>
    <b:Guid>{5A45A3B4-596C-4F45-938C-95EE220B9D1E}</b:Guid>
    <b:Title>Shareholder value, shareholder management, and social issues: What's the bottom line?</b:Title>
    <b:Year>2001</b:Year>
    <b:Pages>125-139</b:Pages>
    <b:JournalName>Strategic Management Journal</b:JournalName>
    <b:Volume>22</b:Volume>
    <b:Author>
      <b:Author>
        <b:NameList>
          <b:Person>
            <b:Last>Hillman</b:Last>
            <b:Middle>J</b:Middle>
            <b:First>A</b:First>
          </b:Person>
          <b:Person>
            <b:Last>Keim</b:Last>
            <b:Middle>D</b:Middle>
            <b:First>G</b:First>
          </b:Person>
        </b:NameList>
      </b:Author>
    </b:Author>
    <b:RefOrder>203</b:RefOrder>
  </b:Source>
  <b:Source>
    <b:Tag>Wal05</b:Tag>
    <b:SourceType>JournalArticle</b:SourceType>
    <b:Guid>{21AAC400-4093-4F41-892A-B110C6160C5C}</b:Guid>
    <b:Title>Taking stock of stakeholder management</b:Title>
    <b:JournalName>Academy of Management Review</b:JournalName>
    <b:Year>2005</b:Year>
    <b:Pages>426-438</b:Pages>
    <b:Volume>30</b:Volume>
    <b:Author>
      <b:Author>
        <b:NameList>
          <b:Person>
            <b:Last>Walsh</b:Last>
            <b:Middle>P</b:Middle>
            <b:First>J</b:First>
          </b:Person>
        </b:NameList>
      </b:Author>
    </b:Author>
    <b:RefOrder>204</b:RefOrder>
  </b:Source>
  <b:Source>
    <b:Tag>Hun98</b:Tag>
    <b:SourceType>JournalArticle</b:SourceType>
    <b:Guid>{ACE9B667-5844-407F-9CB4-E0A22527AD91}</b:Guid>
    <b:Title>A typology of the theories of the roles of governing bodies</b:Title>
    <b:JournalName>Corporate Governance an International Review</b:JournalName>
    <b:Year>1998</b:Year>
    <b:Pages>301-311</b:Pages>
    <b:Volume>6</b:Volume>
    <b:Issue>2</b:Issue>
    <b:Author>
      <b:Author>
        <b:NameList>
          <b:Person>
            <b:Last>Hung</b:Last>
            <b:First>Humphry</b:First>
          </b:Person>
        </b:NameList>
      </b:Author>
    </b:Author>
    <b:RefOrder>94</b:RefOrder>
  </b:Source>
  <b:Source>
    <b:Tag>Tri94</b:Tag>
    <b:SourceType>JournalArticle</b:SourceType>
    <b:Guid>{A74A953E-A30D-4FE3-8163-292469E14F14}</b:Guid>
    <b:Title>Editorial</b:Title>
    <b:JournalName>Corporate Governance: An International Review</b:JournalName>
    <b:Year>1994</b:Year>
    <b:Pages>56</b:Pages>
    <b:Volume>2</b:Volume>
    <b:Issue>2</b:Issue>
    <b:Author>
      <b:Author>
        <b:NameList>
          <b:Person>
            <b:Last>Tricker</b:Last>
            <b:Middle>L</b:Middle>
            <b:First>R</b:First>
          </b:Person>
        </b:NameList>
      </b:Author>
    </b:Author>
    <b:RefOrder>205</b:RefOrder>
  </b:Source>
  <b:Source>
    <b:Tag>Cen09</b:Tag>
    <b:SourceType>JournalArticle</b:SourceType>
    <b:Guid>{842968C4-C6A8-463C-AC24-9A2C3078FC07}</b:Guid>
    <b:Title>Does Stakeholder Management Have a Dark Side?</b:Title>
    <b:JournalName>Journal of Business Ethics</b:JournalName>
    <b:Year>2009</b:Year>
    <b:Pages>491-507</b:Pages>
    <b:Volume>89</b:Volume>
    <b:Issue>4</b:Issue>
    <b:YearAccessed>2017</b:YearAccessed>
    <b:MonthAccessed>May</b:MonthAccessed>
    <b:DayAccessed>26</b:DayAccessed>
    <b:URL> http://www.jstor.org/stable/27735207</b:URL>
    <b:Author>
      <b:Author>
        <b:NameList>
          <b:Person>
            <b:Last>Cennamo</b:Last>
            <b:First>Carmelo</b:First>
          </b:Person>
          <b:Person>
            <b:Last>Berrone</b:Last>
            <b:First>Pascual</b:First>
          </b:Person>
          <b:Person>
            <b:Last>Gomez-Mejia</b:Last>
            <b:Middle>R</b:Middle>
            <b:First>Luis</b:First>
          </b:Person>
        </b:NameList>
      </b:Author>
    </b:Author>
    <b:RefOrder>206</b:RefOrder>
  </b:Source>
  <b:Source>
    <b:Tag>ΛPl10</b:Tag>
    <b:SourceType>JournalArticle</b:SourceType>
    <b:Guid>{B86C38C0-04EE-4B54-9C95-8EC7C4F8CA91}</b:Guid>
    <b:Title>Measuring Stakeholder Integration: Knowledge, Interaction and Adaptational Behvior Dimensions</b:Title>
    <b:JournalName>Journal of Business Ethics</b:JournalName>
    <b:Year>2010</b:Year>
    <b:Pages>419-442</b:Pages>
    <b:Volume>93</b:Volume>
    <b:Issue>3</b:Issue>
    <b:Author>
      <b:Author>
        <b:NameList>
          <b:Person>
            <b:Last>Plaza-Úbeda</b:Last>
            <b:First>Jose</b:First>
            <b:Middle>A</b:Middle>
          </b:Person>
          <b:Person>
            <b:Last>de Burgos-Jimenez</b:Last>
            <b:First>Jeronimo</b:First>
          </b:Person>
          <b:Person>
            <b:Last>Carmona-Moreno</b:Last>
            <b:First>Eva</b:First>
          </b:Person>
        </b:NameList>
      </b:Author>
    </b:Author>
    <b:YearAccessed>2017</b:YearAccessed>
    <b:MonthAccessed>May</b:MonthAccessed>
    <b:DayAccessed>26</b:DayAccessed>
    <b:URL> http://www.jstor.org/stable/40605354</b:URL>
    <b:RefOrder>207</b:RefOrder>
  </b:Source>
  <b:Source>
    <b:Tag>Gre01</b:Tag>
    <b:SourceType>JournalArticle</b:SourceType>
    <b:Guid>{4BB1DD03-7244-4458-839F-4AE6C2218ED9}</b:Guid>
    <b:Author>
      <b:Author>
        <b:NameList>
          <b:Person>
            <b:Last>Greenwood</b:Last>
            <b:First>M</b:First>
          </b:Person>
        </b:NameList>
      </b:Author>
    </b:Author>
    <b:Title>The importance of stakeholders according to business leaders</b:Title>
    <b:JournalName>Business and Socety Review</b:JournalName>
    <b:Year>2001</b:Year>
    <b:Pages>29-49</b:Pages>
    <b:Volume>106</b:Volume>
    <b:RefOrder>99</b:RefOrder>
  </b:Source>
  <b:Source>
    <b:Tag>Buo85</b:Tag>
    <b:SourceType>Book</b:SourceType>
    <b:Guid>{30ACA47C-F94E-436D-8BE5-4DA1718BDACE}</b:Guid>
    <b:Title>Corporate Policy, values and social responsibility</b:Title>
    <b:Year>1985</b:Year>
    <b:City>New York</b:City>
    <b:Publisher>Praeger</b:Publisher>
    <b:Author>
      <b:Author>
        <b:NameList>
          <b:Person>
            <b:Last>Buono</b:Last>
            <b:Middle>F</b:Middle>
            <b:First>A</b:First>
          </b:Person>
          <b:Person>
            <b:Last>Nichols</b:Last>
            <b:Middle>T</b:Middle>
            <b:First>L</b:First>
          </b:Person>
        </b:NameList>
      </b:Author>
    </b:Author>
    <b:RefOrder>100</b:RefOrder>
  </b:Source>
  <b:Source>
    <b:Tag>Sir02</b:Tag>
    <b:SourceType>JournalArticle</b:SourceType>
    <b:Guid>{572D1AFC-F53D-4603-91B5-050A426BE5AF}</b:Guid>
    <b:Title>Measuring corporate performance by building on the stakeholder model of business ethics</b:Title>
    <b:Year>2002</b:Year>
    <b:Author>
      <b:Author>
        <b:NameList>
          <b:Person>
            <b:Last>Sirgy</b:Last>
            <b:Middle>J</b:Middle>
            <b:First>M</b:First>
          </b:Person>
        </b:NameList>
      </b:Author>
    </b:Author>
    <b:JournalName>Journal of Business Ethics</b:JournalName>
    <b:Pages>143-162</b:Pages>
    <b:Volume>35</b:Volume>
    <b:RefOrder>208</b:RefOrder>
  </b:Source>
  <b:Source>
    <b:Tag>Win10</b:Tag>
    <b:SourceType>Book</b:SourceType>
    <b:Guid>{8EE071AC-B745-4F35-A8AA-BCED22EE6424}</b:Guid>
    <b:Title>Managing Construction Projects</b:Title>
    <b:Year>2010</b:Year>
    <b:Author>
      <b:Author>
        <b:NameList>
          <b:Person>
            <b:Last>Winch</b:Last>
            <b:First>Graham,</b:First>
            <b:Middle>M</b:Middle>
          </b:Person>
        </b:NameList>
      </b:Author>
    </b:Author>
    <b:City>Chichester</b:City>
    <b:Publisher>Blackwell Publishing</b:Publisher>
    <b:Edition>2nd</b:Edition>
    <b:RefOrder>130</b:RefOrder>
  </b:Source>
  <b:Source>
    <b:Tag>Cli11</b:Tag>
    <b:SourceType>JournalArticle</b:SourceType>
    <b:Guid>{8BAE5032-BE58-4254-8DEC-5D6E3EE8E649}</b:Guid>
    <b:Title>The stakeholder approach: A sustainability perspective</b:Title>
    <b:JournalName>Journal of Business Ethics</b:JournalName>
    <b:Year>2011</b:Year>
    <b:Pages>121-136</b:Pages>
    <b:Volume>98</b:Volume>
    <b:Author>
      <b:Author>
        <b:NameList>
          <b:Person>
            <b:Last>Clifton</b:Last>
            <b:First>D</b:First>
          </b:Person>
          <b:Person>
            <b:Last>Amran</b:Last>
            <b:First>A</b:First>
          </b:Person>
        </b:NameList>
      </b:Author>
    </b:Author>
    <b:RefOrder>209</b:RefOrder>
  </b:Source>
  <b:Source>
    <b:Tag>Dai03</b:Tag>
    <b:SourceType>JournalArticle</b:SourceType>
    <b:Guid>{E05666CD-916B-47E1-9997-6CBB0B2C811C}</b:Guid>
    <b:Title>Corporate Governance: Decades of Dialogue and Data</b:Title>
    <b:JournalName>Academy of Management Review</b:JournalName>
    <b:Year>2003</b:Year>
    <b:Pages>371-382</b:Pages>
    <b:Volume>28</b:Volume>
    <b:Issue>3</b:Issue>
    <b:Author>
      <b:Author>
        <b:NameList>
          <b:Person>
            <b:Last>Daily</b:Last>
            <b:Middle>M</b:Middle>
            <b:First>Catherine</b:First>
          </b:Person>
          <b:Person>
            <b:Last>Dalton</b:Last>
            <b:Middle>R</b:Middle>
            <b:First>Dan </b:First>
          </b:Person>
          <b:Person>
            <b:Last>Cannella,  Jr</b:Last>
            <b:Middle>A</b:Middle>
            <b:First>Albert</b:First>
          </b:Person>
        </b:NameList>
      </b:Author>
    </b:Author>
    <b:RefOrder>210</b:RefOrder>
  </b:Source>
  <b:Source>
    <b:Tag>Wit02</b:Tag>
    <b:SourceType>DocumentFromInternetSite</b:SourceType>
    <b:Guid>{35330172-1B8B-4F39-A17A-5EE98B9314A7}</b:Guid>
    <b:Title>Corporate governance and responsibility. Foundations of market integrity</b:Title>
    <b:Year>2002</b:Year>
    <b:Month>October</b:Month>
    <b:YearAccessed>2017</b:YearAccessed>
    <b:MonthAccessed>June</b:MonthAccessed>
    <b:DayAccessed>1</b:DayAccessed>
    <b:URL>https://www.oecd.org/daf/inv/corporateresponsibility/1840502.pdf</b:URL>
    <b:Author>
      <b:Author>
        <b:NameList>
          <b:Person>
            <b:Last>Witherell</b:Last>
            <b:First>Bill</b:First>
          </b:Person>
        </b:NameList>
      </b:Author>
    </b:Author>
    <b:RefOrder>211</b:RefOrder>
  </b:Source>
  <b:Source>
    <b:Tag>Rom09</b:Tag>
    <b:SourceType>DocumentFromInternetSite</b:SourceType>
    <b:Guid>{3B120EF3-66A5-406E-AFDA-4E78293B6934}</b:Guid>
    <b:Author>
      <b:Author>
        <b:NameList>
          <b:Person>
            <b:Last>Romano</b:Last>
            <b:First>Roberta</b:First>
          </b:Person>
        </b:NameList>
      </b:Author>
    </b:Author>
    <b:Title>Does the Sarbanes-Oxleas Act Have a Future?</b:Title>
    <b:Year>2009</b:Year>
    <b:URL>http://digitalcommons.law.yale.edu/cgi/viewcontent.cgi?article=2968&amp;context=fss_papers</b:URL>
    <b:InternetSiteTitle>Yale Law School Legal Scholarship Repository</b:InternetSiteTitle>
    <b:YearAccessed>2014</b:YearAccessed>
    <b:MonthAccessed>March</b:MonthAccessed>
    <b:DayAccessed>20</b:DayAccessed>
    <b:RefOrder>212</b:RefOrder>
  </b:Source>
  <b:Source>
    <b:Tag>OEC04</b:Tag>
    <b:SourceType>DocumentFromInternetSite</b:SourceType>
    <b:Guid>{B0A17D01-9CB3-4AD9-811E-1D8A21B4454E}</b:Guid>
    <b:Author>
      <b:Author>
        <b:Corporate>OECD</b:Corporate>
      </b:Author>
    </b:Author>
    <b:Title>OECD Principles of Corporate Governance</b:Title>
    <b:Year>2004</b:Year>
    <b:YearAccessed>2014</b:YearAccessed>
    <b:MonthAccessed>March</b:MonthAccessed>
    <b:DayAccessed>13</b:DayAccessed>
    <b:URL>https://www.oecd.org/corporate/ca/corporategovernanceprinciples/31557724.pdf</b:URL>
    <b:RefOrder>213</b:RefOrder>
  </b:Source>
  <b:Source>
    <b:Tag>Ins09</b:Tag>
    <b:SourceType>Book</b:SourceType>
    <b:Guid>{FAC0F0FF-AAF5-4F06-9364-3B24DE352257}</b:Guid>
    <b:Title>The handbook of international corporate governance: a definitive guide</b:Title>
    <b:Year>2009</b:Year>
    <b:Author>
      <b:Author>
        <b:Corporate>Institute of Directors</b:Corporate>
      </b:Author>
    </b:Author>
    <b:Edition>2nd</b:Edition>
    <b:City>London and Philidelphia</b:City>
    <b:Publisher>Kogan Page</b:Publisher>
    <b:RefOrder>214</b:RefOrder>
  </b:Source>
  <b:Source>
    <b:Tag>Jus03</b:Tag>
    <b:SourceType>Book</b:SourceType>
    <b:Guid>{088C0B67-C4AB-4E3E-9ED1-04238B3E01A7}</b:Guid>
    <b:Author>
      <b:Author>
        <b:NameList>
          <b:Person>
            <b:Last>O'Brien</b:Last>
            <b:First>Justin</b:First>
          </b:Person>
        </b:NameList>
      </b:Author>
    </b:Author>
    <b:Title>Wall Street on Trial. A Corrupted State?</b:Title>
    <b:Year>2003</b:Year>
    <b:City>Chichester</b:City>
    <b:Publisher>Wiley &amp; Sons Ltd</b:Publisher>
    <b:RefOrder>215</b:RefOrder>
  </b:Source>
  <b:Source>
    <b:Tag>The95</b:Tag>
    <b:SourceType>Book</b:SourceType>
    <b:Guid>{287BD485-D95B-45DA-9017-92559A47C8AA}</b:Guid>
    <b:Author>
      <b:Author>
        <b:Corporate>The Religious Society of Friends</b:Corporate>
      </b:Author>
    </b:Author>
    <b:Title>Quaker Faith and Practice</b:Title>
    <b:Year>1995</b:Year>
    <b:City>London</b:City>
    <b:Publisher>The Yearly Meeting of the Religious Society of Friends (Quakers) in Britain</b:Publisher>
    <b:Edition>4th</b:Edition>
    <b:RefOrder>216</b:RefOrder>
  </b:Source>
  <b:Source>
    <b:Tag>Qua10</b:Tag>
    <b:SourceType>InternetSite</b:SourceType>
    <b:Guid>{28C65647-140B-4E00-AF98-1B3616E976D1}</b:Guid>
    <b:Author>
      <b:Author>
        <b:Corporate>Quakers in the World</b:Corporate>
      </b:Author>
    </b:Author>
    <b:Title>Quakers in the World</b:Title>
    <b:Year>2010</b:Year>
    <b:YearAccessed>2015</b:YearAccessed>
    <b:MonthAccessed>November</b:MonthAccessed>
    <b:DayAccessed>7</b:DayAccessed>
    <b:URL>http://www.quakersintheworld.org/quakers-in-action/39</b:URL>
    <b:RefOrder>109</b:RefOrder>
  </b:Source>
  <b:Source>
    <b:Tag>Fre12</b:Tag>
    <b:SourceType>Book</b:SourceType>
    <b:Guid>{5EE8C8B5-2989-4699-B397-82D6D74A459A}</b:Guid>
    <b:Title>Shareholder Democracies? Corporate Governance in Britian &amp; Ireland before 1850</b:Title>
    <b:Year>2012</b:Year>
    <b:City>Chicago and London</b:City>
    <b:Publisher>The University of Chicago Press</b:Publisher>
    <b:Author>
      <b:Author>
        <b:NameList>
          <b:Person>
            <b:Last>Freeman</b:Last>
            <b:First>Mark</b:First>
          </b:Person>
          <b:Person>
            <b:Last>Pearson</b:Last>
            <b:First>Robin</b:First>
          </b:Person>
          <b:Person>
            <b:Last>Taylor</b:Last>
            <b:First>Jmaes</b:First>
          </b:Person>
        </b:NameList>
      </b:Author>
    </b:Author>
    <b:RefOrder>124</b:RefOrder>
  </b:Source>
  <b:Source>
    <b:Tag>The14</b:Tag>
    <b:SourceType>InternetSite</b:SourceType>
    <b:Guid>{4B7CCEDD-9003-4372-9E66-A002BBD56520}</b:Guid>
    <b:Title>The Cadbury Archive at Judge Business School</b:Title>
    <b:Year>2014</b:Year>
    <b:YearAccessed>2014</b:YearAccessed>
    <b:MonthAccessed>March </b:MonthAccessed>
    <b:DayAccessed>7</b:DayAccessed>
    <b:URL>http://www.cadbury.jbs.cam.ac.uk/</b:URL>
    <b:RefOrder>217</b:RefOrder>
  </b:Source>
  <b:Source>
    <b:Tag>Tic14</b:Tag>
    <b:SourceType>Book</b:SourceType>
    <b:Guid>{5F98A8F0-E4DD-4493-8ECD-359BE81E2983}</b:Guid>
    <b:Author>
      <b:Author>
        <b:NameList>
          <b:Person>
            <b:Last>Tricker</b:Last>
            <b:First>Bob</b:First>
          </b:Person>
          <b:Person>
            <b:Last>Tricker</b:Last>
            <b:First>Gretchen</b:First>
          </b:Person>
        </b:NameList>
      </b:Author>
    </b:Author>
    <b:Title>Business ethics: a stakeholder, governance and risk approach</b:Title>
    <b:Year>2014</b:Year>
    <b:City>Abingdon, Oxon and New York</b:City>
    <b:Publisher>Routledge</b:Publisher>
    <b:RefOrder>118</b:RefOrder>
  </b:Source>
  <b:Source>
    <b:Tag>Lar111</b:Tag>
    <b:SourceType>Book</b:SourceType>
    <b:Guid>{74D7E868-C05F-41E4-A02A-E4E6FAF701EF}</b:Guid>
    <b:Title>Corporate Governance Matters. A Closer Look at Organizational Choices and their Consequences</b:Title>
    <b:Year>2011</b:Year>
    <b:Author>
      <b:Author>
        <b:NameList>
          <b:Person>
            <b:Last>Larcker</b:Last>
            <b:First>David</b:First>
          </b:Person>
          <b:Person>
            <b:Last>Tayan</b:Last>
            <b:First>Brian</b:First>
          </b:Person>
        </b:NameList>
      </b:Author>
    </b:Author>
    <b:City>New Jersey</b:City>
    <b:Publisher>Education Inc</b:Publisher>
    <b:RefOrder>123</b:RefOrder>
  </b:Source>
  <b:Source>
    <b:Tag>Ver14</b:Tag>
    <b:SourceType>DocumentFromInternetSite</b:SourceType>
    <b:Guid>{5554F8E1-072E-49A1-89B3-EA5BAB5BDD2B}</b:Guid>
    <b:Title>The (ir)relevance of Accountability &amp; Responsibility in Organizations? A corporate governance perspective</b:Title>
    <b:Year>2014</b:Year>
    <b:Author>
      <b:Author>
        <b:NameList>
          <b:Person>
            <b:Last>Verhezen</b:Last>
            <b:First>Peter</b:First>
          </b:Person>
        </b:NameList>
      </b:Author>
    </b:Author>
    <b:YearAccessed>2017</b:YearAccessed>
    <b:MonthAccessed>June</b:MonthAccessed>
    <b:DayAccessed>2</b:DayAccessed>
    <b:URL>https://www.researchgate.net/profile/Peter_Verhezen/publication/264855438_The_irrelevance_of_Accountability_Responsibility_in_Organizations_A_corporate_governance_perspective/links/5412fc550cf2fa878ad3cd6c/The-irrelevance-of-Accountability-Responsibility-</b:URL>
    <b:RefOrder>125</b:RefOrder>
  </b:Source>
  <b:Source>
    <b:Tag>Cha141</b:Tag>
    <b:SourceType>Book</b:SourceType>
    <b:Guid>{063E39E8-3AF8-4523-BC5F-514844EA9074}</b:Guid>
    <b:Author>
      <b:Author>
        <b:NameList>
          <b:Person>
            <b:Last>Chambers</b:Last>
            <b:First>Andrew</b:First>
          </b:Person>
        </b:NameList>
      </b:Author>
    </b:Author>
    <b:Title>Chambers' Corporate Governance Handbook</b:Title>
    <b:Year>2014</b:Year>
    <b:City>Haywards Heath</b:City>
    <b:Publisher>Bloomsbury Professional</b:Publisher>
    <b:RefOrder>127</b:RefOrder>
  </b:Source>
  <b:Source>
    <b:Tag>Cha12</b:Tag>
    <b:SourceType>Book</b:SourceType>
    <b:Guid>{6C142B86-1DE1-43E6-B908-B894136AF8D7}</b:Guid>
    <b:Author>
      <b:Author>
        <b:NameList>
          <b:Person>
            <b:Last>Chambers</b:Last>
            <b:First>Andrew</b:First>
          </b:Person>
        </b:NameList>
      </b:Author>
    </b:Author>
    <b:Title>Chambers' Corporate Governance Handbook</b:Title>
    <b:Year>2012</b:Year>
    <b:City>Haywards Heath</b:City>
    <b:Publisher>Bloomsbury Professional</b:Publisher>
    <b:Edition>5th</b:Edition>
    <b:RefOrder>128</b:RefOrder>
  </b:Source>
  <b:Source>
    <b:Tag>Fin12</b:Tag>
    <b:SourceType>ElectronicSource</b:SourceType>
    <b:Guid>{49A37294-C972-416B-86E1-6BA5C864E8DF}</b:Guid>
    <b:Title>The UK Corporate Governance Code</b:Title>
    <b:Year>2012</b:Year>
    <b:City>London</b:City>
    <b:Publisher>Financial Reporting Council</b:Publisher>
    <b:Author>
      <b:Author>
        <b:Corporate>FRC</b:Corporate>
      </b:Author>
    </b:Author>
    <b:RefOrder>129</b:RefOrder>
  </b:Source>
  <b:Source>
    <b:Tag>Chr07</b:Tag>
    <b:SourceType>Book</b:SourceType>
    <b:Guid>{BAB0F2B7-ED44-43DD-90F1-AEBD035F6065}</b:Guid>
    <b:Title>Organization Theory and the Public Sector. Instrument, culture and myth</b:Title>
    <b:City>Abingdon, Oxfordshire</b:City>
    <b:Publisher>Routledge</b:Publisher>
    <b:Year>2007</b:Year>
    <b:Author>
      <b:Author>
        <b:NameList>
          <b:Person>
            <b:Last>Christensen</b:Last>
            <b:First>Tom</b:First>
          </b:Person>
          <b:Person>
            <b:Last>Laegreid</b:Last>
            <b:First>Per</b:First>
          </b:Person>
          <b:Person>
            <b:Last>Roness</b:Last>
            <b:Middle>G</b:Middle>
            <b:First>Paul</b:First>
          </b:Person>
          <b:Person>
            <b:Last>Rovik</b:Last>
            <b:Middle>Arne</b:Middle>
            <b:First>Kjell</b:First>
          </b:Person>
        </b:NameList>
      </b:Author>
    </b:Author>
    <b:RefOrder>119</b:RefOrder>
  </b:Source>
  <b:Source>
    <b:Tag>RenPr</b:Tag>
    <b:SourceType>Book</b:SourceType>
    <b:Guid>{2A0D714A-45B5-4FC3-8795-DB133971401B}</b:Guid>
    <b:Title>Project Governace.  Implementing Corporate Governance and Business Ethics in Nonprofit Organisation</b:Title>
    <b:Year>2007</b:Year>
    <b:City>New York</b:City>
    <b:Publisher>Physica-Verlag</b:Publisher>
    <b:Author>
      <b:Author>
        <b:NameList>
          <b:Person>
            <b:Last>Renz</b:Last>
            <b:Middle>S</b:Middle>
            <b:First>Patrick</b:First>
          </b:Person>
        </b:NameList>
      </b:Author>
    </b:Author>
    <b:RefOrder>218</b:RefOrder>
  </b:Source>
  <b:Source>
    <b:Tag>Pin88</b:Tag>
    <b:SourceType>JournalArticle</b:SourceType>
    <b:Guid>{B5F4D40A-CFAF-4FD0-9032-CD66EA44601B}</b:Guid>
    <b:Title>Variations in Critical Success Factors Over the Stages in the Project Life Cycle</b:Title>
    <b:Year>1988</b:Year>
    <b:Author>
      <b:Author>
        <b:NameList>
          <b:Person>
            <b:Last>Pinto</b:Last>
            <b:Middle>K</b:Middle>
            <b:First>Jeffery</b:First>
          </b:Person>
          <b:Person>
            <b:Last>Prescott</b:Last>
            <b:Middle>E</b:Middle>
            <b:First>John</b:First>
          </b:Person>
        </b:NameList>
      </b:Author>
    </b:Author>
    <b:JournalName>Journal of Management</b:JournalName>
    <b:Pages>5-18</b:Pages>
    <b:Volume>14</b:Volume>
    <b:Issue>1</b:Issue>
    <b:RefOrder>219</b:RefOrder>
  </b:Source>
  <b:Source>
    <b:Tag>Pin90</b:Tag>
    <b:SourceType>JournalArticle</b:SourceType>
    <b:Guid>{36E077F9-03AC-4AF6-9D54-8FF62568A715}</b:Guid>
    <b:Title>Project Implementation Profile: a tool to aid project tracking and control</b:Title>
    <b:Year>1990</b:Year>
    <b:Author>
      <b:Author>
        <b:NameList>
          <b:Person>
            <b:Last>Pinto</b:Last>
            <b:First>Jeffrey</b:First>
            <b:Middle>K</b:Middle>
          </b:Person>
        </b:NameList>
      </b:Author>
    </b:Author>
    <b:JournalName>Project Management</b:JournalName>
    <b:Pages>173-182</b:Pages>
    <b:Volume>8</b:Volume>
    <b:Issue>3</b:Issue>
    <b:RefOrder>158</b:RefOrder>
  </b:Source>
  <b:Source>
    <b:Tag>Dol16</b:Tag>
    <b:SourceType>DocumentFromInternetSite</b:SourceType>
    <b:Guid>{C0E02D85-A064-45FB-BD39-71FF4B6C3D94}</b:Guid>
    <b:Title>Addressing project failure through PRINCE2</b:Title>
    <b:Year>2016</b:Year>
    <b:YearAccessed>2017</b:YearAccessed>
    <b:MonthAccessed>June</b:MonthAccessed>
    <b:DayAccessed>12</b:DayAccessed>
    <b:URL>https://www.axelos.com/CMSPages/GetFile.aspx?guid=93b6207c-9cdd-4d76-83b4-ac33d9e33936</b:URL>
    <b:Author>
      <b:Author>
        <b:NameList>
          <b:Person>
            <b:Last>Dolan</b:Last>
            <b:First>Kenn</b:First>
          </b:Person>
        </b:NameList>
      </b:Author>
    </b:Author>
    <b:Publisher>Sourced by TSO. This edition Axelos</b:Publisher>
    <b:Institution>Axelos</b:Institution>
    <b:RefOrder>220</b:RefOrder>
  </b:Source>
  <b:Source>
    <b:Tag>Don95</b:Tag>
    <b:SourceType>JournalArticle</b:SourceType>
    <b:Guid>{CED97B2B-0A27-4927-BC20-E53C556E5521}</b:Guid>
    <b:Title>The Stakeholder Theory of the Corporation: Concepts, Evidence and Implications</b:Title>
    <b:Year>1995</b:Year>
    <b:Author>
      <b:Author>
        <b:NameList>
          <b:Person>
            <b:Last>Donaldson</b:Last>
            <b:First>Thomas</b:First>
          </b:Person>
          <b:Person>
            <b:Last>Preston</b:Last>
            <b:Middle>E</b:Middle>
            <b:First>Lee</b:First>
          </b:Person>
        </b:NameList>
      </b:Author>
    </b:Author>
    <b:JournalName>Academy of Management Review</b:JournalName>
    <b:Pages>65-91</b:Pages>
    <b:Volume>20</b:Volume>
    <b:Issue>1</b:Issue>
    <b:RefOrder>95</b:RefOrder>
  </b:Source>
  <b:Source>
    <b:Tag>Mur10</b:Tag>
    <b:SourceType>DocumentFromInternetSite</b:SourceType>
    <b:Guid>{CC118040-6817-4776-97E5-67A81632BE90}</b:Guid>
    <b:Author>
      <b:Author>
        <b:NameList>
          <b:Person>
            <b:Last>Murray</b:Last>
            <b:First>Andy</b:First>
          </b:Person>
        </b:NameList>
      </b:Author>
    </b:Author>
    <b:Title>White-Paper: PRINCE2 and Governance</b:Title>
    <b:Year>2010</b:Year>
    <b:Month>November</b:Month>
    <b:URL>https://www.apm.org.uk/sites/default/files/protected/whitepaper%20a%20murray.pdf</b:URL>
    <b:RefOrder>221</b:RefOrder>
  </b:Source>
  <b:Source>
    <b:Tag>APM14</b:Tag>
    <b:SourceType>InternetSite</b:SourceType>
    <b:Guid>{4F088CDC-DC3C-4957-9235-6EF9815A29C7}</b:Guid>
    <b:Title>Good governance of the project portfolio</b:Title>
    <b:YearAccessed>2014</b:YearAccessed>
    <b:MonthAccessed>April</b:MonthAccessed>
    <b:DayAccessed>2</b:DayAccessed>
    <b:URL>https://www.apm.org.uk/news/good-governance-of-the-project-portfolio/</b:URL>
    <b:Author>
      <b:Author>
        <b:Corporate>APM</b:Corporate>
      </b:Author>
    </b:Author>
    <b:Year>2013</b:Year>
    <b:RefOrder>222</b:RefOrder>
  </b:Source>
  <b:Source>
    <b:Tag>New12</b:Tag>
    <b:SourceType>InternetSite</b:SourceType>
    <b:Guid>{9B8C113F-8ABF-4C17-836F-0EC49DFC38E4}</b:Guid>
    <b:Author>
      <b:Author>
        <b:Corporate>New Statesman</b:Corporate>
      </b:Author>
    </b:Author>
    <b:Title>London Olympics exceed initial budget by £6.52bn</b:Title>
    <b:Year>2012</b:Year>
    <b:URL>http://www.newstatesman.com/economics-blog/2012/10/london-olympics-exceed-initial-budget-652bn</b:URL>
    <b:YearAccessed>2017</b:YearAccessed>
    <b:MonthAccessed>June</b:MonthAccessed>
    <b:DayAccessed>12</b:DayAccessed>
    <b:RefOrder>223</b:RefOrder>
  </b:Source>
  <b:Source>
    <b:Tag>Mul09</b:Tag>
    <b:SourceType>Book</b:SourceType>
    <b:Guid>{450436EC-151C-4706-875E-3EF51D97AF76}</b:Guid>
    <b:Author>
      <b:Author>
        <b:NameList>
          <b:Person>
            <b:Last>Müller</b:Last>
            <b:First>Ralph</b:First>
          </b:Person>
        </b:NameList>
      </b:Author>
    </b:Author>
    <b:Title>Project Governance</b:Title>
    <b:Year>2009</b:Year>
    <b:City>Farnham</b:City>
    <b:Publisher>Gower Publishing Limited</b:Publisher>
    <b:RefOrder>92</b:RefOrder>
  </b:Source>
  <b:Source>
    <b:Tag>Mul</b:Tag>
    <b:SourceType>JournalArticle</b:SourceType>
    <b:Guid>{78192DBF-0752-4EC5-9A8D-84CA8FE98497}</b:Guid>
    <b:Title>Critical Success factors in projects: Pinto, Slevin and Prescott - the elucidation of project success</b:Title>
    <b:Author>
      <b:Author>
        <b:NameList>
          <b:Person>
            <b:Last>Müller</b:Last>
            <b:First>Ralf</b:First>
          </b:Person>
          <b:Person>
            <b:Last>Jugdev</b:Last>
            <b:First>Kam</b:First>
          </b:Person>
        </b:NameList>
      </b:Author>
    </b:Author>
    <b:JournalName>International Journal of Managing Projects In Business</b:JournalName>
    <b:Year>2012</b:Year>
    <b:Pages>757</b:Pages>
    <b:Volume>5</b:Volume>
    <b:Issue>4</b:Issue>
    <b:RefOrder>141</b:RefOrder>
  </b:Source>
  <b:Source>
    <b:Tag>HMT14</b:Tag>
    <b:SourceType>InternetSite</b:SourceType>
    <b:Guid>{691A316A-4EFB-4724-8F39-60893707487D}</b:Guid>
    <b:Author>
      <b:Author>
        <b:Corporate>HMT</b:Corporate>
      </b:Author>
    </b:Author>
    <b:Title>Private Finance Initiative projects: 2014 summary data</b:Title>
    <b:Year>2014</b:Year>
    <b:InternetSiteTitle>Gov.uk</b:InternetSiteTitle>
    <b:Month>December</b:Month>
    <b:Day>15</b:Day>
    <b:URL>https://www.gov.uk/government/publications/private-finance-initiative-projects-2014-summary-data</b:URL>
    <b:RefOrder>224</b:RefOrder>
  </b:Source>
  <b:Source>
    <b:Tag>HMT03</b:Tag>
    <b:SourceType>Report</b:SourceType>
    <b:Guid>{676EF423-CA31-4175-9931-37881F4954F6}</b:Guid>
    <b:Title>The Green Book: Appraisal and Evaluation in Central Government</b:Title>
    <b:Year>2003</b:Year>
    <b:Author>
      <b:Author>
        <b:Corporate>HM Treasury</b:Corporate>
      </b:Author>
    </b:Author>
    <b:City>London</b:City>
    <b:Publisher>TSO</b:Publisher>
    <b:RefOrder>42</b:RefOrder>
  </b:Source>
  <b:Source>
    <b:Tag>Pro13</b:Tag>
    <b:SourceType>ElectronicSource</b:SourceType>
    <b:Guid>{877C90F9-1FF0-4ED3-BDDF-C4F23BA96941}</b:Guid>
    <b:Title>Guide to the Project Management Body of Knowledge (PMBOK® Guide) - fifth edition</b:Title>
    <b:Year>2013</b:Year>
    <b:Publisher>PMI</b:Publisher>
    <b:City>Pennsylvania</b:City>
    <b:Author>
      <b:Author>
        <b:Corporate>Project Management Institute, Inc</b:Corporate>
      </b:Author>
    </b:Author>
    <b:RefOrder>225</b:RefOrder>
  </b:Source>
  <b:Source>
    <b:Tag>Wod97</b:Tag>
    <b:SourceType>Book</b:SourceType>
    <b:Guid>{D262A202-AA63-4BA6-AB81-D6DCB80EF62A}</b:Guid>
    <b:Title>Construction Project Management: Getting it right first time</b:Title>
    <b:Year>1997</b:Year>
    <b:Publisher>Thomas Telford</b:Publisher>
    <b:City>London</b:City>
    <b:Author>
      <b:Author>
        <b:NameList>
          <b:Person>
            <b:Last>Woodward</b:Last>
            <b:First>John,</b:First>
            <b:Middle>F</b:Middle>
          </b:Person>
        </b:NameList>
      </b:Author>
    </b:Author>
    <b:RefOrder>226</b:RefOrder>
  </b:Source>
  <b:Source>
    <b:Tag>Ric10</b:Tag>
    <b:SourceType>Book</b:SourceType>
    <b:Guid>{8C85413F-0AC3-4F68-96E4-F76377289426}</b:Guid>
    <b:Author>
      <b:Author>
        <b:NameList>
          <b:Person>
            <b:Last>Richardson</b:Last>
            <b:First>Gary</b:First>
            <b:Middle>L</b:Middle>
          </b:Person>
        </b:NameList>
      </b:Author>
    </b:Author>
    <b:Title>Project Management Theory and Practice</b:Title>
    <b:Year>2010</b:Year>
    <b:City>Boca Raton</b:City>
    <b:Publisher>CRC Press Taylor &amp; Francis Group</b:Publisher>
    <b:RefOrder>227</b:RefOrder>
  </b:Source>
  <b:Source>
    <b:Tag>CIO14</b:Tag>
    <b:SourceType>DocumentFromInternetSite</b:SourceType>
    <b:Guid>{3ED07206-8149-4FB7-B445-335B0B6B438A}</b:Guid>
    <b:Title>Code of Practice for Project Management for Construction and Development</b:Title>
    <b:Year>2014</b:Year>
    <b:Publisher>Wiley-Blackwell</b:Publisher>
    <b:Edition>5th</b:Edition>
    <b:URL>http://www.mylibrary.com?ID=631998</b:URL>
    <b:Author>
      <b:Author>
        <b:Corporate>CIOB</b:Corporate>
      </b:Author>
    </b:Author>
    <b:YearAccessed>2015</b:YearAccessed>
    <b:MonthAccessed>November</b:MonthAccessed>
    <b:DayAccessed>11</b:DayAccessed>
    <b:RefOrder>165</b:RefOrder>
  </b:Source>
  <b:Source>
    <b:Tag>Mun96</b:Tag>
    <b:SourceType>JournalArticle</b:SourceType>
    <b:Guid>{84F7139D-12CF-41B7-AF6F-83C2D387BC95}</b:Guid>
    <b:Title>The role of project management in achieving project success</b:Title>
    <b:Year>1996</b:Year>
    <b:Author>
      <b:Author>
        <b:NameList>
          <b:Person>
            <b:Last>Munns</b:Last>
            <b:Middle>K</b:Middle>
            <b:First>A</b:First>
          </b:Person>
          <b:Person>
            <b:Last>Bjeirmi</b:Last>
            <b:Middle>F</b:Middle>
            <b:First>B</b:First>
          </b:Person>
        </b:NameList>
      </b:Author>
    </b:Author>
    <b:JournalName>International Journal of Project Management </b:JournalName>
    <b:Pages>81-87</b:Pages>
    <b:Volume>14</b:Volume>
    <b:Issue>2</b:Issue>
    <b:RefOrder>132</b:RefOrder>
  </b:Source>
  <b:Source>
    <b:Tag>Ois71</b:Tag>
    <b:SourceType>JournalArticle</b:SourceType>
    <b:Guid>{301F3CC9-70E9-443E-913C-D5B2C0804AA6}</b:Guid>
    <b:Title>Can project management be defined? </b:Title>
    <b:Year>1971</b:Year>
    <b:JournalName>Project Management Quarterly</b:JournalName>
    <b:Pages>12-14</b:Pages>
    <b:Volume>2</b:Volume>
    <b:Issue>1</b:Issue>
    <b:Author>
      <b:Author>
        <b:NameList>
          <b:Person>
            <b:Last>Oisen</b:Last>
            <b:Middle>P</b:Middle>
            <b:First>R</b:First>
          </b:Person>
        </b:NameList>
      </b:Author>
    </b:Author>
    <b:RefOrder>228</b:RefOrder>
  </b:Source>
  <b:Source>
    <b:Tag>NAO03</b:Tag>
    <b:SourceType>Report</b:SourceType>
    <b:Guid>{FA2D4FC8-40B3-40DB-8A16-4465A5210A17}</b:Guid>
    <b:Title>The English national stadium project at Wembley</b:Title>
    <b:Year>2003</b:Year>
    <b:Author>
      <b:Author>
        <b:Corporate>NAO</b:Corporate>
      </b:Author>
    </b:Author>
    <b:Publisher>TSO</b:Publisher>
    <b:City>London</b:City>
    <b:RefOrder>229</b:RefOrder>
  </b:Source>
  <b:Source>
    <b:Tag>APM12</b:Tag>
    <b:SourceType>DocumentFromInternetSite</b:SourceType>
    <b:Guid>{23DBC92E-28CD-499C-918B-301DF8C8DD05}</b:Guid>
    <b:Author>
      <b:Author>
        <b:Corporate>APM</b:Corporate>
      </b:Author>
    </b:Author>
    <b:Title>All Projects Succeed</b:Title>
    <b:Year>2012</b:Year>
    <b:Publisher>APM</b:Publisher>
    <b:Month>March</b:Month>
    <b:YearAccessed>2017</b:YearAccessed>
    <b:MonthAccessed>Jne</b:MonthAccessed>
    <b:DayAccessed>23</b:DayAccessed>
    <b:URL>https://www.apm.org.uk/sites/default/files/strategy%202020.pdf</b:URL>
    <b:RefOrder>230</b:RefOrder>
  </b:Source>
  <b:Source>
    <b:Tag>DHS88</b:Tag>
    <b:SourceType>DocumentFromInternetSite</b:SourceType>
    <b:Guid>{2AAC3AD8-F264-4CF1-AFBC-B54F5A03BDEA}</b:Guid>
    <b:Author>
      <b:Author>
        <b:Corporate>DHSS and the Welsh Office</b:Corporate>
      </b:Author>
    </b:Author>
    <b:Title>Health Building Note 1</b:Title>
    <b:Year>1988</b:Year>
    <b:YearAccessed>2017</b:YearAccessed>
    <b:MonthAccessed>June</b:MonthAccessed>
    <b:DayAccessed>23</b:DayAccessed>
    <b:URL>http://www.wales.nhs.uk/sites3/Documents/254/HBN%2001.pdf</b:URL>
    <b:RefOrder>43</b:RefOrder>
  </b:Source>
  <b:Source>
    <b:Tag>NHS94</b:Tag>
    <b:SourceType>Misc</b:SourceType>
    <b:Guid>{39C0DE3C-99CD-4881-BCC6-3039E785BB09}</b:Guid>
    <b:Title>Capital Investment Manual</b:Title>
    <b:Year>1994</b:Year>
    <b:City>London</b:City>
    <b:Publisher>HMSO</b:Publisher>
    <b:Author>
      <b:Author>
        <b:Corporate>NHS Executive</b:Corporate>
      </b:Author>
    </b:Author>
    <b:RefOrder>10</b:RefOrder>
  </b:Source>
  <b:Source>
    <b:Tag>Hod01</b:Tag>
    <b:SourceType>JournalArticle</b:SourceType>
    <b:Guid>{31C71DE5-042B-478E-8A0F-D682C8002812}</b:Guid>
    <b:Title>Michalos and the theory of ethical theory</b:Title>
    <b:Year>2001</b:Year>
    <b:Author>
      <b:Author>
        <b:NameList>
          <b:Person>
            <b:Last>Hodgson</b:Last>
            <b:Middle>J</b:Middle>
            <b:First>B</b:First>
          </b:Person>
        </b:NameList>
      </b:Author>
    </b:Author>
    <b:JournalName>Journal of Business Ethics</b:JournalName>
    <b:Pages>19-23</b:Pages>
    <b:Volume>29</b:Volume>
    <b:RefOrder>231</b:RefOrder>
  </b:Source>
  <b:Source>
    <b:Tag>Kel10</b:Tag>
    <b:SourceType>ConferenceProceedings</b:SourceType>
    <b:Guid>{03E3DDC5-CA4F-45F4-8BEE-9BAC55CA2E72}</b:Guid>
    <b:Title>Governance rules! The Principles of effective project governance.</b:Title>
    <b:Year>2010</b:Year>
    <b:Publisher>Project Management Institute</b:Publisher>
    <b:City>Washington DC</b:City>
    <b:Author>
      <b:Author>
        <b:NameList>
          <b:Person>
            <b:Last>Kelly</b:Last>
            <b:First>E.</b:First>
            <b:Middle>V.</b:Middle>
          </b:Person>
        </b:NameList>
      </b:Author>
    </b:Author>
    <b:RefOrder>134</b:RefOrder>
  </b:Source>
  <b:Source>
    <b:Tag>Kel05</b:Tag>
    <b:SourceType>JournalArticle</b:SourceType>
    <b:Guid>{75195F77-63FE-4315-A83F-ED51D3CF4697}</b:Guid>
    <b:Title>Ethical disagreements in theory and practice</b:Title>
    <b:JournalName>Journal of Social Philosophy</b:JournalName>
    <b:Year>2005</b:Year>
    <b:Pages>382-387</b:Pages>
    <b:Volume>36</b:Volume>
    <b:Author>
      <b:Author>
        <b:NameList>
          <b:Person>
            <b:Last>Kelly</b:Last>
            <b:Middle>I</b:Middle>
            <b:First>E</b:First>
          </b:Person>
        </b:NameList>
      </b:Author>
    </b:Author>
    <b:RefOrder>232</b:RefOrder>
  </b:Source>
  <b:Source>
    <b:Tag>Rei88</b:Tag>
    <b:SourceType>JournalArticle</b:SourceType>
    <b:Guid>{A2DE9E75-EB3B-4BFB-B938-ADBC1227D18E}</b:Guid>
    <b:Title>Some Initial Steps Toward Improving the Measurement of Ethical Evaluations of Marketing Activities</b:Title>
    <b:Year>1988</b:Year>
    <b:JournalName>Journal of Business Ethics</b:JournalName>
    <b:Pages>871-879</b:Pages>
    <b:Volume>7</b:Volume>
    <b:Author>
      <b:Author>
        <b:NameList>
          <b:Person>
            <b:Last>Reidenbach</b:Last>
            <b:Middle>E</b:Middle>
            <b:First>R</b:First>
          </b:Person>
          <b:Person>
            <b:Last>Robin</b:Last>
            <b:Middle>P</b:Middle>
            <b:First>D</b:First>
          </b:Person>
        </b:NameList>
      </b:Author>
    </b:Author>
    <b:RefOrder>233</b:RefOrder>
  </b:Source>
  <b:Source>
    <b:Tag>Dav971</b:Tag>
    <b:SourceType>JournalArticle</b:SourceType>
    <b:Guid>{E2A3EF75-88A6-4290-A050-0EAA6BC89BB9}</b:Guid>
    <b:Year>1997</b:Year>
    <b:JournalName>Academy of Management Review</b:JournalName>
    <b:Pages>20-47</b:Pages>
    <b:Volume>22</b:Volume>
    <b:Issue>1</b:Issue>
    <b:Author>
      <b:Author>
        <b:NameList>
          <b:Person>
            <b:Last>David</b:Last>
            <b:Middle>H</b:Middle>
            <b:First>James</b:First>
          </b:Person>
          <b:Person>
            <b:Last>Schoorman</b:Last>
            <b:Middle>F</b:Middle>
            <b:First>David</b:First>
          </b:Person>
          <b:Person>
            <b:Last>Donaldson</b:Last>
            <b:First>Lex</b:First>
          </b:Person>
        </b:NameList>
      </b:Author>
    </b:Author>
    <b:RefOrder>234</b:RefOrder>
  </b:Source>
  <b:Source>
    <b:Tag>Jen76</b:Tag>
    <b:SourceType>JournalArticle</b:SourceType>
    <b:Guid>{FB32EBD2-8982-47A1-9F3C-793F37C28BD8}</b:Guid>
    <b:Title>Theory of the Firm: Managerial Behaviour, agency costs and ownership structure</b:Title>
    <b:JournalName>Journal of Financial Economics</b:JournalName>
    <b:Year>1976</b:Year>
    <b:Pages>305-360</b:Pages>
    <b:Volume>3</b:Volume>
    <b:Issue>4</b:Issue>
    <b:Author>
      <b:Author>
        <b:NameList>
          <b:Person>
            <b:Last>Jensen</b:Last>
            <b:Middle>C</b:Middle>
            <b:First>Michael</b:First>
          </b:Person>
          <b:Person>
            <b:Last>Meckling</b:Last>
            <b:Middle>H</b:Middle>
            <b:First>William</b:First>
          </b:Person>
        </b:NameList>
      </b:Author>
    </b:Author>
    <b:RefOrder>88</b:RefOrder>
  </b:Source>
  <b:Source>
    <b:Tag>Hil011</b:Tag>
    <b:SourceType>JournalArticle</b:SourceType>
    <b:Guid>{67AA4965-4526-40F4-A63E-20DCCC699E55}</b:Guid>
    <b:Title>Shareholder value, shareholder management, and social issues: What's the bottom line?</b:Title>
    <b:JournalName>Strategic Management Journal</b:JournalName>
    <b:Year>2001</b:Year>
    <b:Pages>125-139</b:Pages>
    <b:Volume>22</b:Volume>
    <b:Author>
      <b:Author>
        <b:NameList>
          <b:Person>
            <b:Last>Hillman</b:Last>
            <b:Middle>J</b:Middle>
            <b:First>A</b:First>
          </b:Person>
          <b:Person>
            <b:Last>Keim</b:Last>
            <b:Middle>D</b:Middle>
            <b:First>G</b:First>
          </b:Person>
        </b:NameList>
      </b:Author>
    </b:Author>
    <b:RefOrder>235</b:RefOrder>
  </b:Source>
  <b:Source>
    <b:Tag>Wal051</b:Tag>
    <b:SourceType>JournalArticle</b:SourceType>
    <b:Guid>{B639923E-4A76-4664-A191-335B706A6A07}</b:Guid>
    <b:Title>Taking stock of stakeholder management</b:Title>
    <b:JournalName>Academy of Management Review</b:JournalName>
    <b:Year>2005</b:Year>
    <b:Pages>426-438</b:Pages>
    <b:Volume>30</b:Volume>
    <b:Author>
      <b:Author>
        <b:NameList>
          <b:Person>
            <b:Last>Walsh</b:Last>
            <b:Middle>P</b:Middle>
            <b:First>J</b:First>
          </b:Person>
        </b:NameList>
      </b:Author>
    </b:Author>
    <b:RefOrder>236</b:RefOrder>
  </b:Source>
  <b:Source>
    <b:Tag>Cla951</b:Tag>
    <b:SourceType>JournalArticle</b:SourceType>
    <b:Guid>{47821E6B-5805-4CF0-8B38-E08B26150AE7}</b:Guid>
    <b:Author>
      <b:Author>
        <b:NameList>
          <b:Person>
            <b:Last>Clarkson</b:Last>
            <b:First>M</b:First>
            <b:Middle>B E</b:Middle>
          </b:Person>
        </b:NameList>
      </b:Author>
    </b:Author>
    <b:Title>A stakeholder framwork for analyzing and evaluating corporate social performance</b:Title>
    <b:JournalName>Academy of Management Review</b:JournalName>
    <b:Year>1995</b:Year>
    <b:Pages>92-117</b:Pages>
    <b:Volume>20</b:Volume>
    <b:RefOrder>237</b:RefOrder>
  </b:Source>
  <b:Source>
    <b:Tag>Hig03</b:Tag>
    <b:SourceType>Report</b:SourceType>
    <b:Guid>{18F6DB94-69D1-4A29-9BCF-8430A9B33016}</b:Guid>
    <b:Title>Review of the role and effectiveness of non-executive directors</b:Title>
    <b:Year>2003</b:Year>
    <b:Author>
      <b:Author>
        <b:Corporate>Higgs, D</b:Corporate>
      </b:Author>
    </b:Author>
    <b:Publisher>TSO</b:Publisher>
    <b:RefOrder>238</b:RefOrder>
  </b:Source>
  <b:Source>
    <b:Tag>Tur01</b:Tag>
    <b:SourceType>JournalArticle</b:SourceType>
    <b:Guid>{2EDEB9F3-3A42-4581-A146-CB70CEF3D4A5}</b:Guid>
    <b:Title>Mechanisms of governance in the project-based organization: Roles of the broker and steward</b:Title>
    <b:JournalName>European Management Journal</b:JournalName>
    <b:Year>2001</b:Year>
    <b:Pages>254-267</b:Pages>
    <b:Volume>19</b:Volume>
    <b:Issue>3</b:Issue>
    <b:Author>
      <b:Author>
        <b:NameList>
          <b:Person>
            <b:Last>Turner</b:Last>
            <b:Middle>Rodney</b:Middle>
            <b:First>J</b:First>
          </b:Person>
          <b:Person>
            <b:Last>Keegan</b:Last>
            <b:First>Anne</b:First>
          </b:Person>
        </b:NameList>
      </b:Author>
    </b:Author>
    <b:RefOrder>239</b:RefOrder>
  </b:Source>
  <b:Source>
    <b:Tag>Mah02</b:Tag>
    <b:SourceType>Misc</b:SourceType>
    <b:Guid>{D4F27C1D-61DB-48C4-BBA5-C820EB561C8A}</b:Guid>
    <b:Title>IT Project Governance</b:Title>
    <b:Year>2002</b:Year>
    <b:City>Stockholm</b:City>
    <b:Publisher>Stockholm School of Economics</b:Publisher>
    <b:Author>
      <b:Author>
        <b:NameList>
          <b:Person>
            <b:Last>Mahring</b:Last>
            <b:First>Magnus</b:First>
          </b:Person>
        </b:NameList>
      </b:Author>
    </b:Author>
    <b:RefOrder>137</b:RefOrder>
  </b:Source>
  <b:Source>
    <b:Tag>Haz04</b:Tag>
    <b:SourceType>ConferenceProceedings</b:SourceType>
    <b:Guid>{02EC358D-019E-43A2-A378-ED66AED01823}</b:Guid>
    <b:Title>Defining Project Governance (in) Proceedings of ProMAC Research Conference</b:Title>
    <b:Year>2004</b:Year>
    <b:City>Tokyo</b:City>
    <b:Publisher>Society of Project Management</b:Publisher>
    <b:Author>
      <b:Author>
        <b:NameList>
          <b:Person>
            <b:Last>Hazard</b:Last>
            <b:First>Virginia</b:First>
          </b:Person>
          <b:Person>
            <b:Last>Crawford</b:Last>
            <b:First>Lynn</b:First>
          </b:Person>
        </b:NameList>
      </b:Author>
    </b:Author>
    <b:RefOrder>138</b:RefOrder>
  </b:Source>
  <b:Source>
    <b:Tag>Rue92</b:Tag>
    <b:SourceType>JournalArticle</b:SourceType>
    <b:Guid>{78FE9687-A77C-40E4-A85C-2D1BF3EEE0D7}</b:Guid>
    <b:Title>A Study of the Effect of Age and Gender upon Student Business Ethics</b:Title>
    <b:JournalName>Journal of Business Ethics</b:JournalName>
    <b:Year>1992</b:Year>
    <b:Pages>179-186</b:Pages>
    <b:Volume>11</b:Volume>
    <b:Author>
      <b:Author>
        <b:NameList>
          <b:Person>
            <b:Last>Ruegger</b:Last>
            <b:First>Durwod</b:First>
          </b:Person>
          <b:Person>
            <b:Last>King</b:Last>
            <b:Middle>W</b:Middle>
            <b:First>Ernest</b:First>
          </b:Person>
        </b:NameList>
      </b:Author>
    </b:Author>
    <b:RefOrder>68</b:RefOrder>
  </b:Source>
  <b:Source>
    <b:Tag>Fri15</b:Tag>
    <b:SourceType>JournalArticle</b:SourceType>
    <b:Guid>{1316AEE0-89A8-4CDA-BA41-0DF3BE420F22}</b:Guid>
    <b:Title>Gender Differences in Responses to Moral Dilemmas: A Process Dissociation Analysis</b:Title>
    <b:Year>2015</b:Year>
    <b:JournalName>Personality and Social Psychology Bulletin</b:JournalName>
    <b:Pages>696-713</b:Pages>
    <b:Volume>4</b:Volume>
    <b:Issue>15</b:Issue>
    <b:Author>
      <b:Author>
        <b:NameList>
          <b:Person>
            <b:Last>Friesdorf</b:Last>
            <b:First>Rebecca</b:First>
          </b:Person>
          <b:Person>
            <b:Last>Conway</b:Last>
            <b:First>Paul</b:First>
          </b:Person>
          <b:Person>
            <b:Last>Gawronski</b:Last>
            <b:First>Bertram</b:First>
          </b:Person>
        </b:NameList>
      </b:Author>
    </b:Author>
    <b:RefOrder>240</b:RefOrder>
  </b:Source>
  <b:Source>
    <b:Tag>Aho12</b:Tag>
    <b:SourceType>JournalArticle</b:SourceType>
    <b:Guid>{872734E7-27D9-44A5-ADC3-AC202E750DBA}</b:Guid>
    <b:Title>Insights for the governance of large projects</b:Title>
    <b:Year>2012</b:Year>
    <b:Author>
      <b:Author>
        <b:NameList>
          <b:Person>
            <b:Last>Ahola</b:Last>
            <b:First>Thomas</b:First>
          </b:Person>
          <b:Person>
            <b:Last>Davies</b:Last>
            <b:First>Andrew</b:First>
          </b:Person>
        </b:NameList>
      </b:Author>
    </b:Author>
    <b:JournalName>International Journal of Managing Projects in Business</b:JournalName>
    <b:Pages>661-679</b:Pages>
    <b:Volume>5</b:Volume>
    <b:Issue>4</b:Issue>
    <b:RefOrder>241</b:RefOrder>
  </b:Source>
  <b:Source>
    <b:Tag>Riv17</b:Tag>
    <b:SourceType>InternetSite</b:SourceType>
    <b:Guid>{C60DA866-48F2-4F4D-845D-D005BBC9491E}</b:Guid>
    <b:Title>The Development of the London Hospital System</b:Title>
    <b:Year>2017</b:Year>
    <b:Author>
      <b:Author>
        <b:NameList>
          <b:Person>
            <b:Last>Rivett</b:Last>
            <b:First>Geoffrey</b:First>
          </b:Person>
        </b:NameList>
      </b:Author>
    </b:Author>
    <b:YearAccessed>2018</b:YearAccessed>
    <b:MonthAccessed>February</b:MonthAccessed>
    <b:DayAccessed>19/02/2018</b:DayAccessed>
    <b:URL>http://www.nhshistory.net/districtstotrusts.html#1982-9_Conservative_government_&amp;_Working_for_Patients</b:URL>
    <b:RefOrder>242</b:RefOrder>
  </b:Source>
  <b:Source>
    <b:Tag>NHS08</b:Tag>
    <b:SourceType>Report</b:SourceType>
    <b:Guid>{EA25E690-A641-48F0-9D75-04D0BE71F5D6}</b:Guid>
    <b:Title>Ideas from Darzi: polyclinics</b:Title>
    <b:Year>2008</b:Year>
    <b:Author>
      <b:Author>
        <b:Corporate>NHS Confederation</b:Corporate>
      </b:Author>
    </b:Author>
    <b:Publisher>The NHS Confederation</b:Publisher>
    <b:City>London</b:City>
    <b:RefOrder>243</b:RefOrder>
  </b:Source>
  <b:Source>
    <b:Tag>His09</b:Tag>
    <b:SourceType>InternetSite</b:SourceType>
    <b:Guid>{52514F62-66AD-48DB-AD4B-8AA0BC4DEDBA}</b:Guid>
    <b:Title>Historyextra</b:Title>
    <b:Year>2009</b:Year>
    <b:YearAccessed>2018</b:YearAccessed>
    <b:MonthAccessed>May</b:MonthAccessed>
    <b:DayAccessed>24</b:DayAccessed>
    <b:URL>https://www.historyextra.com/period/modern/the-nhs-what-can-we-learn-from-history/</b:URL>
    <b:Author>
      <b:Author>
        <b:NameList>
          <b:Person>
            <b:Last>BBC</b:Last>
          </b:Person>
        </b:NameList>
      </b:Author>
    </b:Author>
    <b:RefOrder>244</b:RefOrder>
  </b:Source>
  <b:Source>
    <b:Tag>Gri83</b:Tag>
    <b:SourceType>Report</b:SourceType>
    <b:Guid>{B6507618-DECC-41EE-9184-4D56D2D87B69}</b:Guid>
    <b:Title>NHS Management Inquiry</b:Title>
    <b:Year>1983</b:Year>
    <b:Author>
      <b:Author>
        <b:Corporate>Griffiths, Roy</b:Corporate>
      </b:Author>
    </b:Author>
    <b:Publisher>Department of Health and Social Security</b:Publisher>
    <b:City>London</b:City>
    <b:RefOrder>245</b:RefOrder>
  </b:Source>
  <b:Source>
    <b:Tag>Tho17</b:Tag>
    <b:SourceType>Misc</b:SourceType>
    <b:Guid>{355A67F6-5560-4CD9-9E7A-41928BB7BC38}</b:Guid>
    <b:Title>The structure of the NHS in England</b:Title>
    <b:Year>2017</b:Year>
    <b:Publisher>House of Commons Library</b:Publisher>
    <b:Author>
      <b:Author>
        <b:Corporate>Powell, Thomas</b:Corporate>
      </b:Author>
    </b:Author>
    <b:RefOrder>246</b:RefOrder>
  </b:Source>
  <b:Source>
    <b:Tag>Tur99</b:Tag>
    <b:SourceType>Report</b:SourceType>
    <b:Guid>{6F42E6E6-B4D4-4F9C-9203-C0D1218EB35C}</b:Guid>
    <b:Author>
      <b:Author>
        <b:Corporate>Turnbull, N</b:Corporate>
      </b:Author>
    </b:Author>
    <b:Title>Internal Control: Guidance for Directors on the Combined Code</b:Title>
    <b:Year>1999</b:Year>
    <b:RefOrder>247</b:RefOrder>
  </b:Source>
  <b:Source>
    <b:Tag>Joh18</b:Tag>
    <b:SourceType>InternetSite</b:SourceType>
    <b:Guid>{052897F2-281E-4940-8513-9FA248A3D293}</b:Guid>
    <b:Title>John Lewis Partnership</b:Title>
    <b:Author>
      <b:Author>
        <b:Corporate>John Lewis Partnership</b:Corporate>
      </b:Author>
    </b:Author>
    <b:YearAccessed>2018</b:YearAccessed>
    <b:MonthAccessed>May</b:MonthAccessed>
    <b:DayAccessed>25</b:DayAccessed>
    <b:URL>https://www.johnlewispartnership.co.uk/about.html</b:URL>
    <b:RefOrder>89</b:RefOrder>
  </b:Source>
  <b:Source>
    <b:Tag>APM18</b:Tag>
    <b:SourceType>InternetSite</b:SourceType>
    <b:Guid>{9921407C-36B5-4AA4-9D93-38E74925ADF4}</b:Guid>
    <b:Author>
      <b:Author>
        <b:NameList>
          <b:Person>
            <b:Last>APM</b:Last>
          </b:Person>
        </b:NameList>
      </b:Author>
    </b:Author>
    <b:Title>What is Project Management?</b:Title>
    <b:Year>2018</b:Year>
    <b:YearAccessed>2018</b:YearAccessed>
    <b:MonthAccessed>May</b:MonthAccessed>
    <b:DayAccessed>28</b:DayAccessed>
    <b:URL>https://www.apm.org.uk/resources/what-is-project-management/</b:URL>
    <b:RefOrder>145</b:RefOrder>
  </b:Source>
  <b:Source>
    <b:Tag>Deb10</b:Tag>
    <b:SourceType>Book</b:SourceType>
    <b:Guid>{4980FAEF-C98F-4A8F-81D5-FF48D6A3FB48}</b:Guid>
    <b:Title>Chocolate Wars</b:Title>
    <b:Year>2010</b:Year>
    <b:Author>
      <b:Author>
        <b:NameList>
          <b:Person>
            <b:Last>Cadbury</b:Last>
            <b:First>Deborah</b:First>
          </b:Person>
        </b:NameList>
      </b:Author>
    </b:Author>
    <b:City>St Ives</b:City>
    <b:Publisher>HarperPress</b:Publisher>
    <b:Edition>1</b:Edition>
    <b:RefOrder>110</b:RefOrder>
  </b:Source>
  <b:Source>
    <b:Tag>Cre09</b:Tag>
    <b:SourceType>Book</b:SourceType>
    <b:Guid>{E89B3689-C05B-40B8-AF04-A8676F1FF082}</b:Guid>
    <b:Title>Research Design: Qualitative, Quantitaive, and Mixed Methods Approaches</b:Title>
    <b:Year>2009</b:Year>
    <b:Author>
      <b:Author>
        <b:NameList>
          <b:Person>
            <b:Last>Creswell</b:Last>
            <b:First>John</b:First>
            <b:Middle>W</b:Middle>
          </b:Person>
        </b:NameList>
      </b:Author>
    </b:Author>
    <b:City>Thousand Oaks</b:City>
    <b:Publisher>Sage</b:Publisher>
    <b:Edition>3rd</b:Edition>
    <b:RefOrder>172</b:RefOrder>
  </b:Source>
  <b:Source>
    <b:Tag>Dai08</b:Tag>
    <b:SourceType>BookSection</b:SourceType>
    <b:Guid>{E3D650E7-EEE1-4909-A138-7A754E19698F}</b:Guid>
    <b:Title>Methodoligcal pluralism in construction management research</b:Title>
    <b:Year>2008</b:Year>
    <b:City>Chichester</b:City>
    <b:Publisher>Blackwell Publishing Ltd</b:Publisher>
    <b:Author>
      <b:Author>
        <b:NameList>
          <b:Person>
            <b:Last>Dainty</b:Last>
            <b:First>Andrew</b:First>
          </b:Person>
        </b:NameList>
      </b:Author>
      <b:Editor>
        <b:NameList>
          <b:Person>
            <b:Last>Knight</b:Last>
            <b:First>Andrew</b:First>
          </b:Person>
          <b:Person>
            <b:Last>Ruddock</b:Last>
            <b:First>Les</b:First>
          </b:Person>
        </b:NameList>
      </b:Editor>
    </b:Author>
    <b:BookTitle>Advanced Research Methods in the Built Environment</b:BookTitle>
    <b:Pages>1-13</b:Pages>
    <b:RefOrder>181</b:RefOrder>
  </b:Source>
  <b:Source>
    <b:Tag>Min97</b:Tag>
    <b:SourceType>BookSection</b:SourceType>
    <b:Guid>{B37065CB-A18D-41F6-8DBE-221D14F32218}</b:Guid>
    <b:Title>Multi-paradigm Multimethodology</b:Title>
    <b:Year>1997</b:Year>
    <b:City>Chichester</b:City>
    <b:Publisher>John Wiley &amp; Sons</b:Publisher>
    <b:Author>
      <b:Author>
        <b:NameList>
          <b:Person>
            <b:Last>Mingers</b:Last>
            <b:First>John</b:First>
          </b:Person>
        </b:NameList>
      </b:Author>
      <b:Editor>
        <b:NameList>
          <b:Person>
            <b:Last>Mingers</b:Last>
            <b:First>John</b:First>
          </b:Person>
          <b:Person>
            <b:Last>Gill</b:Last>
            <b:First>Anthony</b:First>
          </b:Person>
        </b:NameList>
      </b:Editor>
    </b:Author>
    <b:BookTitle>Multimethodology</b:BookTitle>
    <b:Pages>1-20</b:Pages>
    <b:RefOrder>248</b:RefOrder>
  </b:Source>
  <b:Source>
    <b:Tag>Kni081</b:Tag>
    <b:SourceType>BookSection</b:SourceType>
    <b:Guid>{5D4D4A50-9C53-4B98-B02A-992DAC0A7048}</b:Guid>
    <b:Author>
      <b:Author>
        <b:NameList>
          <b:Person>
            <b:Last>Knight</b:Last>
            <b:First>Andrew</b:First>
          </b:Person>
          <b:Person>
            <b:Last>Turnbull</b:Last>
            <b:First>Neil</b:First>
          </b:Person>
        </b:NameList>
      </b:Author>
      <b:Editor>
        <b:NameList>
          <b:Person>
            <b:Last>Knight</b:Last>
            <b:First>Andrew</b:First>
          </b:Person>
          <b:Person>
            <b:Last>Ruddock</b:Last>
            <b:First>Les</b:First>
          </b:Person>
        </b:NameList>
      </b:Editor>
    </b:Author>
    <b:Title>Epistemology</b:Title>
    <b:BookTitle>Advanced Research Methods in the Built Environment</b:BookTitle>
    <b:Year>2008</b:Year>
    <b:Pages>64-74</b:Pages>
    <b:City>Chichester</b:City>
    <b:Publisher>Blackwell Publishing Ltd</b:Publisher>
    <b:RefOrder>249</b:RefOrder>
  </b:Source>
  <b:Source>
    <b:Tag>Bry881</b:Tag>
    <b:SourceType>Book</b:SourceType>
    <b:Guid>{F5023D09-ABD8-4723-8D7C-CCE87EC8527D}</b:Guid>
    <b:Author>
      <b:Author>
        <b:NameList>
          <b:Person>
            <b:Last>Bryman</b:Last>
            <b:First>Alan</b:First>
          </b:Person>
        </b:NameList>
      </b:Author>
    </b:Author>
    <b:Title>Quantity and Quality in Social Research</b:Title>
    <b:Year>1988</b:Year>
    <b:City>Abingdon</b:City>
    <b:Publisher>Routledge</b:Publisher>
    <b:RefOrder>167</b:RefOrder>
  </b:Source>
  <b:Source>
    <b:Tag>Eas911</b:Tag>
    <b:SourceType>Book</b:SourceType>
    <b:Guid>{D5F780EC-1873-41C0-9B3F-F9C4ACAD7362}</b:Guid>
    <b:Title>Management Research: An Introduction</b:Title>
    <b:Year>1991</b:Year>
    <b:City>London</b:City>
    <b:Publisher>Sage Publications Ltd</b:Publisher>
    <b:Author>
      <b:Author>
        <b:NameList>
          <b:Person>
            <b:Last>Easterby-Smith</b:Last>
            <b:First>Mark</b:First>
          </b:Person>
          <b:Person>
            <b:Last>Thorpe</b:Last>
            <b:First>Richard</b:First>
          </b:Person>
          <b:Person>
            <b:Last>Lowe</b:Last>
            <b:First>Andy</b:First>
          </b:Person>
        </b:NameList>
      </b:Author>
    </b:Author>
    <b:RefOrder>170</b:RefOrder>
  </b:Source>
  <b:Source>
    <b:Tag>Kni08</b:Tag>
    <b:SourceType>Book</b:SourceType>
    <b:Guid>{F8EA05CA-DF79-43BA-A356-C1E149F701FD}</b:Guid>
    <b:Title>Advanced Research Methods in the Built Environment</b:Title>
    <b:Year>2008</b:Year>
    <b:City>Chichester</b:City>
    <b:Publisher>Blackwell Publishing Ltd</b:Publisher>
    <b:Author>
      <b:Author>
        <b:NameList>
          <b:Person>
            <b:Last>Knight</b:Last>
            <b:First>Andrew</b:First>
          </b:Person>
          <b:Person>
            <b:Last>Ruddock</b:Last>
            <b:First>Les</b:First>
          </b:Person>
        </b:NameList>
      </b:Author>
    </b:Author>
    <b:RefOrder>173</b:RefOrder>
  </b:Source>
  <b:Source>
    <b:Tag>LAw07</b:Tag>
    <b:SourceType>Book</b:SourceType>
    <b:Guid>{62F9E882-1446-45C3-B4DF-0F6858C512FB}</b:Guid>
    <b:Author>
      <b:Author>
        <b:NameList>
          <b:Person>
            <b:Last>Law</b:Last>
            <b:First>Stephen</b:First>
          </b:Person>
        </b:NameList>
      </b:Author>
    </b:Author>
    <b:Title>The Great Philosophers: The Lives and ideas of History's Greatest thinkers</b:Title>
    <b:Year>2007</b:Year>
    <b:City>London</b:City>
    <b:Publisher>Quercus Publishing Plc</b:Publisher>
    <b:RefOrder>57</b:RefOrder>
  </b:Source>
  <b:Source>
    <b:Tag>Run08</b:Tag>
    <b:SourceType>BookSection</b:SourceType>
    <b:Guid>{B2D4A87E-B973-440B-B30E-33EF91CCA3F7}</b:Guid>
    <b:Author>
      <b:Author>
        <b:NameList>
          <b:Person>
            <b:Last>Runeson</b:Last>
            <b:First>Goran</b:First>
          </b:Person>
          <b:Person>
            <b:Last>Skitmore</b:Last>
            <b:First>Martin</b:First>
          </b:Person>
        </b:NameList>
      </b:Author>
      <b:Editor>
        <b:NameList>
          <b:Person>
            <b:Last>Knight</b:Last>
            <b:First>Andrew</b:First>
          </b:Person>
          <b:Person>
            <b:Last>Ruddock</b:Last>
            <b:First>Les</b:First>
          </b:Person>
        </b:NameList>
      </b:Editor>
    </b:Author>
    <b:Title>Scientific Theories</b:Title>
    <b:BookTitle>Advanced Research Methods in the Built Environment</b:BookTitle>
    <b:Year>2008</b:Year>
    <b:Pages>73-85</b:Pages>
    <b:City>Chichester</b:City>
    <b:Publisher>Blackwell Publishing Ltd</b:Publisher>
    <b:RefOrder>171</b:RefOrder>
  </b:Source>
  <b:Source>
    <b:Tag>Wil13</b:Tag>
    <b:SourceType>ElectronicSource</b:SourceType>
    <b:Guid>{75270A8A-5381-439A-8BA9-7DD382A0C719}</b:Guid>
    <b:Author>
      <b:Author>
        <b:NameList>
          <b:Person>
            <b:Last>Willig</b:Last>
            <b:First>Carla</b:First>
          </b:Person>
        </b:NameList>
      </b:Author>
    </b:Author>
    <b:Title>Introducing Qualitative Research in Psychology [online]</b:Title>
    <b:Year>2013</b:Year>
    <b:Publisher>Open University Press</b:Publisher>
    <b:YearAccessed>2017</b:YearAccessed>
    <b:MonthAccessed>April</b:MonthAccessed>
    <b:DayAccessed>6</b:DayAccessed>
    <b:URL>http://0-www.myilibrary.com.lispac.lsbu.ac.uk?ID=497263</b:URL>
    <b:RefOrder>175</b:RefOrder>
  </b:Source>
  <b:Source>
    <b:Tag>Yin03</b:Tag>
    <b:SourceType>Book</b:SourceType>
    <b:Guid>{D0D12917-2CD2-4898-A5AE-9F907B77253D}</b:Guid>
    <b:Title>Applications of Case Study Research</b:Title>
    <b:Year>2003</b:Year>
    <b:City>London</b:City>
    <b:Publisher>Sage Publications Ltd</b:Publisher>
    <b:Edition>2nd</b:Edition>
    <b:Author>
      <b:Author>
        <b:NameList>
          <b:Person>
            <b:Last>Yin</b:Last>
            <b:First>Robert,</b:First>
            <b:Middle>K</b:Middle>
          </b:Person>
        </b:NameList>
      </b:Author>
    </b:Author>
    <b:RefOrder>176</b:RefOrder>
  </b:Source>
  <b:Source>
    <b:Tag>Gla09</b:Tag>
    <b:SourceType>ElectronicSource</b:SourceType>
    <b:Guid>{90273A1F-FBDB-4204-AA86-0FB744F529F4}</b:Guid>
    <b:Author>
      <b:Author>
        <b:NameList>
          <b:Person>
            <b:Last>Glaser</b:Last>
            <b:First>Barney,</b:First>
            <b:Middle>G</b:Middle>
          </b:Person>
          <b:Person>
            <b:Last>Strauss</b:Last>
            <b:First>Anslem,</b:First>
            <b:Middle>L</b:Middle>
          </b:Person>
        </b:NameList>
      </b:Author>
    </b:Author>
    <b:Title>Discovery of Grounded Theory</b:Title>
    <b:Publisher>Aldine Transaction</b:Publisher>
    <b:Year>2009</b:Year>
    <b:RefOrder>250</b:RefOrder>
  </b:Source>
  <b:Source>
    <b:Tag>Nol95</b:Tag>
    <b:SourceType>Report</b:SourceType>
    <b:Guid>{F463C348-C5BB-499C-96F9-3DCBDA38DE5E}</b:Guid>
    <b:Author>
      <b:Author>
        <b:Corporate>Nolan</b:Corporate>
      </b:Author>
    </b:Author>
    <b:Title>Standards in Public Life: First report of the Committee on Standards in Public Life</b:Title>
    <b:Year>1995</b:Year>
    <b:Publisher>HMSO</b:Publisher>
    <b:City>London</b:City>
    <b:RefOrder>185</b:RefOrder>
  </b:Source>
  <b:Source>
    <b:Tag>Placeholder4</b:Tag>
    <b:SourceType>JournalArticle</b:SourceType>
    <b:Guid>{62FCBE5B-A4DE-4FAE-A7D2-E73F9A972B6D}</b:Guid>
    <b:Title>An Empirical Study of Ethical Predispositions</b:Title>
    <b:Year>1996</b:Year>
    <b:JournalName>Journal of Business Ethics</b:JournalName>
    <b:Pages>927-940</b:Pages>
    <b:Volume>15</b:Volume>
    <b:Author>
      <b:Author>
        <b:NameList>
          <b:Person>
            <b:Last>Brady</b:Last>
            <b:First>Neil</b:First>
            <b:Middle>F</b:Middle>
          </b:Person>
          <b:Person>
            <b:Last>Wheeler</b:Last>
            <b:First>Gloria</b:First>
            <b:Middle>E</b:Middle>
          </b:Person>
        </b:NameList>
      </b:Author>
    </b:Author>
    <b:Issue>9</b:Issue>
    <b:RefOrder>251</b:RefOrder>
  </b:Source>
  <b:Source>
    <b:Tag>CIO141</b:Tag>
    <b:SourceType>Book</b:SourceType>
    <b:Guid>{F40835B7-D480-4E8D-8C78-E76C346CBA37}</b:Guid>
    <b:Title>Code of Practice for Project Management for Construction and Development</b:Title>
    <b:Year>2014</b:Year>
    <b:Author>
      <b:Author>
        <b:NameList>
          <b:Person>
            <b:Last>CIOB</b:Last>
          </b:Person>
        </b:NameList>
      </b:Author>
    </b:Author>
    <b:City>Chichester</b:City>
    <b:Publisher>WIley-Blackwell</b:Publisher>
    <b:Edition>5th</b:Edition>
    <b:RefOrder>252</b:RefOrder>
  </b:Source>
  <b:Source>
    <b:Tag>RIB13</b:Tag>
    <b:SourceType>InternetSite</b:SourceType>
    <b:Guid>{95334FB1-5416-4D9D-9ACA-673DA93200B5}</b:Guid>
    <b:Title>RIBA Plan of Work 2013</b:Title>
    <b:Year>2013</b:Year>
    <b:Author>
      <b:Author>
        <b:NameList>
          <b:Person>
            <b:Last>RIBA</b:Last>
          </b:Person>
        </b:NameList>
      </b:Author>
    </b:Author>
    <b:YearAccessed>2018</b:YearAccessed>
    <b:MonthAccessed>May</b:MonthAccessed>
    <b:DayAccessed>31</b:DayAccessed>
    <b:URL>https://www.ribaplanofwork.com/</b:URL>
    <b:RefOrder>253</b:RefOrder>
  </b:Source>
  <b:Source>
    <b:Tag>Jos09</b:Tag>
    <b:SourceType>JournalArticle</b:SourceType>
    <b:Guid>{6EAC0D29-A8D1-431D-8169-DD0FBB6B8A4E}</b:Guid>
    <b:Author>
      <b:Author>
        <b:NameList>
          <b:Person>
            <b:Last>Heath</b:Last>
            <b:First>Joseph</b:First>
          </b:Person>
        </b:NameList>
      </b:Author>
    </b:Author>
    <b:Title>The Uses and Abuses of Agency Theory</b:Title>
    <b:JournalName>Business Ethics Quarterly</b:JournalName>
    <b:Year>2009</b:Year>
    <b:Pages>497-528</b:Pages>
    <b:Volume>19</b:Volume>
    <b:Issue>4</b:Issue>
    <b:RefOrder>254</b:RefOrder>
  </b:Source>
  <b:Source>
    <b:Tag>Placeholder1</b:Tag>
    <b:SourceType>DocumentFromInternetSite</b:SourceType>
    <b:Guid>{9A0FC782-99FC-45E9-9970-0CD669BB5875}</b:Guid>
    <b:Title>Conditions for Project Success</b:Title>
    <b:Year>2015</b:Year>
    <b:Author>
      <b:Author>
        <b:Corporate>APM</b:Corporate>
      </b:Author>
    </b:Author>
    <b:YearAccessed>2017</b:YearAccessed>
    <b:MonthAccessed>April</b:MonthAccessed>
    <b:DayAccessed>9</b:DayAccessed>
    <b:URL>https://www.apm.org.uk/media/1621/conditions-for-project-success_web_final_0.pdf</b:URL>
    <b:RefOrder>184</b:RefOrder>
  </b:Source>
  <b:Source>
    <b:Tag>APM181</b:Tag>
    <b:SourceType>InternetSite</b:SourceType>
    <b:Guid>{D273E45B-39F6-4EF5-B8A9-8A5C63D7F697}</b:Guid>
    <b:Author>
      <b:Author>
        <b:Corporate>APM</b:Corporate>
      </b:Author>
    </b:Author>
    <b:Title>Programme Management </b:Title>
    <b:YearAccessed>2018</b:YearAccessed>
    <b:MonthAccessed>June</b:MonthAccessed>
    <b:DayAccessed>3</b:DayAccessed>
    <b:URL>https://www.apm.org.uk/body-of-knowledge/context/governance/programme-management/</b:URL>
    <b:RefOrder>255</b:RefOrder>
  </b:Source>
  <b:Source>
    <b:Tag>PMP18</b:Tag>
    <b:SourceType>InternetSite</b:SourceType>
    <b:Guid>{201C6C55-2161-45B9-ACD3-71E53F20F631}</b:Guid>
    <b:Author>
      <b:Author>
        <b:Corporate>PMP</b:Corporate>
      </b:Author>
    </b:Author>
    <b:Title>Project Management vs Program Management vs Portfolio Management</b:Title>
    <b:YearAccessed>2018</b:YearAccessed>
    <b:MonthAccessed>June</b:MonthAccessed>
    <b:DayAccessed>3</b:DayAccessed>
    <b:URL>https://pmstudycircle.com/2012/03/project-management-vs-program-management-vs-portfolio-management/</b:URL>
    <b:RefOrder>256</b:RefOrder>
  </b:Source>
  <b:Source>
    <b:Tag>Bre03</b:Tag>
    <b:SourceType>Book</b:SourceType>
    <b:Guid>{4643D3F0-6B40-40E3-B123-5008559CA703}</b:Guid>
    <b:Title>Megaprojects and Risk: An anatomy of ambition</b:Title>
    <b:Year>2003</b:Year>
    <b:Author>
      <b:Author>
        <b:NameList>
          <b:Person>
            <b:Last>Flyvbjerg</b:Last>
            <b:First>Brent</b:First>
          </b:Person>
        </b:NameList>
      </b:Author>
    </b:Author>
    <b:City>Cambridge</b:City>
    <b:Publisher>Press Syndicate of the University of Cambridge</b:Publisher>
    <b:Edition>1</b:Edition>
    <b:RefOrder>139</b:RefOrder>
  </b:Source>
  <b:Source>
    <b:Tag>Tsu08</b:Tag>
    <b:SourceType>JournalArticle</b:SourceType>
    <b:Guid>{935C801D-3372-45DF-AAF0-43112A82FEC4}</b:Guid>
    <b:Title>A survey study of critical success factors in agile software projects</b:Title>
    <b:Year>2008</b:Year>
    <b:Author>
      <b:Author>
        <b:NameList>
          <b:Person>
            <b:Last>Chow</b:Last>
            <b:First>Tsun</b:First>
          </b:Person>
          <b:Person>
            <b:Last>Cao</b:Last>
            <b:First>Dac-Buu</b:First>
          </b:Person>
        </b:NameList>
      </b:Author>
    </b:Author>
    <b:JournalName>Journal of Systems and Software</b:JournalName>
    <b:Pages>961-971</b:Pages>
    <b:Volume>6</b:Volume>
    <b:Issue>81</b:Issue>
    <b:RefOrder>257</b:RefOrder>
  </b:Source>
  <b:Source>
    <b:Tag>DHS74</b:Tag>
    <b:SourceType>Misc</b:SourceType>
    <b:Guid>{E832653A-CF7E-43B2-8D81-3E870C6A9974}</b:Guid>
    <b:Author>
      <b:Author>
        <b:Corporate>DHSS</b:Corporate>
      </b:Author>
    </b:Author>
    <b:Title>CAPRICODE</b:Title>
    <b:Year>1974</b:Year>
    <b:Publisher>HMSO</b:Publisher>
    <b:RefOrder>258</b:RefOrder>
  </b:Source>
  <b:Source>
    <b:Tag>Ins17</b:Tag>
    <b:SourceType>InternetSite</b:SourceType>
    <b:Guid>{1347C985-A722-4C23-BA50-856EADDDD8ED}</b:Guid>
    <b:Author>
      <b:Author>
        <b:Corporate>Institute for Government</b:Corporate>
      </b:Author>
    </b:Author>
    <b:Title>Departmental Budgets</b:Title>
    <b:Year>2017</b:Year>
    <b:YearAccessed>2018</b:YearAccessed>
    <b:MonthAccessed>June </b:MonthAccessed>
    <b:DayAccessed>19</b:DayAccessed>
    <b:URL>https://www.instituteforgovernment.org.uk/explainers/departmental-budgets</b:URL>
    <b:RefOrder>17</b:RefOrder>
  </b:Source>
  <b:Source>
    <b:Tag>Nuf17</b:Tag>
    <b:SourceType>InternetSite</b:SourceType>
    <b:Guid>{A67E5656-B0B7-4F4A-AC0F-889583B75BF8}</b:Guid>
    <b:Author>
      <b:Author>
        <b:Corporate>Nuffield Trust</b:Corporate>
      </b:Author>
    </b:Author>
    <b:Title>The NHS workforce in numbers</b:Title>
    <b:Year>2017</b:Year>
    <b:YearAccessed>2018</b:YearAccessed>
    <b:MonthAccessed>June</b:MonthAccessed>
    <b:DayAccessed>19</b:DayAccessed>
    <b:URL>https://www.nuffieldtrust.org.uk/resource/the-nhs-workforce-in-numbers</b:URL>
    <b:RefOrder>19</b:RefOrder>
  </b:Source>
  <b:Source>
    <b:Tag>NHS17</b:Tag>
    <b:SourceType>InternetSite</b:SourceType>
    <b:Guid>{7EE4F61C-20E6-4A24-8D50-DB3B8891D232}</b:Guid>
    <b:Author>
      <b:Author>
        <b:Corporate>NHS Confederation </b:Corporate>
      </b:Author>
    </b:Author>
    <b:Title>NHS statistics, facts and figures</b:Title>
    <b:Year>2017</b:Year>
    <b:YearAccessed>2018</b:YearAccessed>
    <b:MonthAccessed>June</b:MonthAccessed>
    <b:DayAccessed>19</b:DayAccessed>
    <b:URL>http://www.nhsconfed.org/resources/key-statistics-on-the-nhs</b:URL>
    <b:RefOrder>20</b:RefOrder>
  </b:Source>
  <b:Source>
    <b:Tag>NHS171</b:Tag>
    <b:SourceType>InternetSite</b:SourceType>
    <b:Guid>{EFC0B352-DA20-4F77-970F-394C7CFFE1E6}</b:Guid>
    <b:Author>
      <b:Author>
        <b:Corporate>NHS Digital</b:Corporate>
      </b:Author>
    </b:Author>
    <b:Title>Estates Return Information Collection 2016/17</b:Title>
    <b:Year>2017</b:Year>
    <b:YearAccessed>2018</b:YearAccessed>
    <b:MonthAccessed>June</b:MonthAccessed>
    <b:DayAccessed>19</b:DayAccessed>
    <b:URL>https://digital.nhs.uk/data-and-information/publications/statistical/estates-returns-information-collection/estates-return-information-collection-2016-17</b:URL>
    <b:RefOrder>6</b:RefOrder>
  </b:Source>
  <b:Source>
    <b:Tag>Mic06</b:Tag>
    <b:SourceType>Report</b:SourceType>
    <b:Guid>{35AEE69F-FAFC-4B98-9815-4F498165E0D7}</b:Guid>
    <b:Title>Does the physical environment affect staff and patient health outcomes: a review of studies and articles 1965 - 2005</b:Title>
    <b:Year>2006</b:Year>
    <b:Author>
      <b:Author>
        <b:NameList>
          <b:Person>
            <b:Last>Phiri</b:Last>
            <b:First>Michael</b:First>
          </b:Person>
        </b:NameList>
      </b:Author>
    </b:Author>
    <b:Publisher>TSO</b:Publisher>
    <b:RefOrder>259</b:RefOrder>
  </b:Source>
  <b:Source>
    <b:Tag>Ulr04</b:Tag>
    <b:SourceType>Report</b:SourceType>
    <b:Guid>{885D5259-97B2-48E9-954B-F868A07D1C60}</b:Guid>
    <b:Title>The Role of the Physical Environment in the Hospital of the 21st Century: A Once-in-aLifetime Opportunity</b:Title>
    <b:Year>2004</b:Year>
    <b:Author>
      <b:Author>
        <b:NameList>
          <b:Person>
            <b:Last>Ulrich</b:Last>
            <b:First>Roger</b:First>
          </b:Person>
          <b:Person>
            <b:Last>Quan</b:Last>
            <b:First>Xiaobo</b:First>
          </b:Person>
          <b:Person>
            <b:Last>Zimring</b:Last>
            <b:First>Craig</b:First>
          </b:Person>
          <b:Person>
            <b:Last>Joseph</b:Last>
            <b:First>Anjali</b:First>
          </b:Person>
          <b:Person>
            <b:Last>Choudhary</b:Last>
            <b:First>Ruchi</b:First>
          </b:Person>
        </b:NameList>
      </b:Author>
    </b:Author>
    <b:RefOrder>260</b:RefOrder>
  </b:Source>
  <b:Source>
    <b:Tag>Kin13</b:Tag>
    <b:SourceType>DocumentFromInternetSite</b:SourceType>
    <b:Guid>{EE57B8ED-3811-4936-91E3-50F8059C179C}</b:Guid>
    <b:Title>NHS buildings; obstacle or opportunity</b:Title>
    <b:Year>2013</b:Year>
    <b:YearAccessed>2018</b:YearAccessed>
    <b:MonthAccessed>June</b:MonthAccessed>
    <b:DayAccessed>19</b:DayAccessed>
    <b:URL>https://www.kingsfund.org.uk/sites/default/files/field/field_publication_file/perspectives-estates-nhs-property-nigel-edwards-jul13.pdf</b:URL>
    <b:Author>
      <b:Author>
        <b:Corporate>The Kings Fund</b:Corporate>
      </b:Author>
    </b:Author>
    <b:RefOrder>28</b:RefOrder>
  </b:Source>
  <b:Source>
    <b:Tag>Kin171</b:Tag>
    <b:SourceType>InternetSite</b:SourceType>
    <b:Guid>{2E3BCED2-1A59-4A75-A117-4BF451EF2C7B}</b:Guid>
    <b:Author>
      <b:Author>
        <b:Corporate>The Kings Fund</b:Corporate>
      </b:Author>
    </b:Author>
    <b:Title>The NHS budget and how it has changed</b:Title>
    <b:Year>2017</b:Year>
    <b:YearAccessed>2018</b:YearAccessed>
    <b:MonthAccessed>June</b:MonthAccessed>
    <b:DayAccessed>19</b:DayAccessed>
    <b:URL>https://www.kingsfund.org.uk/projects/nhs-in-a-nutshell/nhs-budget</b:URL>
    <b:RefOrder>18</b:RefOrder>
  </b:Source>
  <b:Source>
    <b:Tag>Kin07</b:Tag>
    <b:SourceType>Misc</b:SourceType>
    <b:Guid>{B8A1F9AD-956D-4F5B-8224-297718DB49A5}</b:Guid>
    <b:Title>The reconfiguration of hospital services in England</b:Title>
    <b:Year>2007</b:Year>
    <b:Author>
      <b:Author>
        <b:Corporate>The Kings Fund</b:Corporate>
      </b:Author>
    </b:Author>
    <b:RefOrder>29</b:RefOrder>
  </b:Source>
  <b:Source>
    <b:Tag>The17</b:Tag>
    <b:SourceType>InternetSite</b:SourceType>
    <b:Guid>{D92CA3EC-2CC8-4661-825C-C1D90D520B7B}</b:Guid>
    <b:Title>How is the NHS Structured?</b:Title>
    <b:Year>2017</b:Year>
    <b:YearAccessed>2018</b:YearAccessed>
    <b:MonthAccessed>June</b:MonthAccessed>
    <b:DayAccessed>20</b:DayAccessed>
    <b:URL>https://www.kingsfund.org.uk/audio-video/how-new-nhs-structured</b:URL>
    <b:Author>
      <b:Author>
        <b:Corporate>The Kings Fund</b:Corporate>
      </b:Author>
    </b:Author>
    <b:RefOrder>261</b:RefOrder>
  </b:Source>
  <b:Source>
    <b:Tag>NHS161</b:Tag>
    <b:SourceType>DocumentFromInternetSite</b:SourceType>
    <b:Guid>{57920E87-7BD3-417C-8A36-CEF2CE700EAA}</b:Guid>
    <b:Title>Capital regime, investment and property business case approval guidance for NHS trusts and foundation trusts</b:Title>
    <b:Year>2016</b:Year>
    <b:YearAccessed>2018</b:YearAccessed>
    <b:MonthAccessed>June</b:MonthAccessed>
    <b:DayAccessed>19</b:DayAccessed>
    <b:URL>https://improvement.nhs.uk/documents/525/NHSI_Capital_Regime_Investment_Property_Business_Case_Main_Comms_V9.0_final_v2.pdf</b:URL>
    <b:Author>
      <b:Author>
        <b:Corporate>NHS Improvement</b:Corporate>
      </b:Author>
    </b:Author>
    <b:Month>November</b:Month>
    <b:RefOrder>44</b:RefOrder>
  </b:Source>
  <b:Source>
    <b:Tag>Bri</b:Tag>
    <b:SourceType>DocumentFromInternetSite</b:SourceType>
    <b:Guid>{1C90A6C0-3A74-4BB0-9AA0-0CC7DB5EDE96}</b:Guid>
    <b:Title>British Standard in Project Management 6079-1:2010</b:Title>
    <b:Author>
      <b:Author>
        <b:Corporate>British Standards</b:Corporate>
      </b:Author>
    </b:Author>
    <b:Year>2010</b:Year>
    <b:YearAccessed>2017</b:YearAccessed>
    <b:MonthAccessed>March</b:MonthAccessed>
    <b:DayAccessed>30</b:DayAccessed>
    <b:URL>https://www.ihsti.com/CIS/document/295283?PreviousPage=search%253ft%253dBritish%252bStandard%252bin%252bProject%252bManagement%252b6079</b:URL>
    <b:RefOrder>262</b:RefOrder>
  </b:Source>
  <b:Source>
    <b:Tag>deW88</b:Tag>
    <b:SourceType>JournalArticle</b:SourceType>
    <b:Guid>{7D00134A-06FD-494F-AFE1-F0BD7C9D9153}</b:Guid>
    <b:Author>
      <b:Author>
        <b:NameList>
          <b:Person>
            <b:Last>De Wit</b:Last>
            <b:First>Anton</b:First>
          </b:Person>
        </b:NameList>
      </b:Author>
    </b:Author>
    <b:Title>Measurement of Project Success</b:Title>
    <b:JournalName>Project Management</b:JournalName>
    <b:Year>1988</b:Year>
    <b:Pages>164-170</b:Pages>
    <b:Volume>6</b:Volume>
    <b:Issue>3</b:Issue>
    <b:RefOrder>150</b:RefOrder>
  </b:Source>
  <b:Source>
    <b:Tag>Wit021</b:Tag>
    <b:SourceType>ArticleInAPeriodical</b:SourceType>
    <b:Guid>{162F0F21-66A8-42DC-8F41-DC549055536B}</b:Guid>
    <b:Title>Corporate Governance and responsibility. Foundations fo market integrity</b:Title>
    <b:Year>2002</b:Year>
    <b:Month>October</b:Month>
    <b:Author>
      <b:Author>
        <b:NameList>
          <b:Person>
            <b:Last>Witherell</b:Last>
            <b:First>W</b:First>
          </b:Person>
        </b:NameList>
      </b:Author>
    </b:Author>
    <b:PeriodicalTitle>OECD Observer</b:PeriodicalTitle>
    <b:Pages>7-9</b:Pages>
    <b:RefOrder>263</b:RefOrder>
  </b:Source>
  <b:Source>
    <b:Tag>Vel13</b:Tag>
    <b:SourceType>Book</b:SourceType>
    <b:Guid>{8B5622F3-0DE3-44F4-8811-65AFD0699C83}</b:Guid>
    <b:Title>Business Ethics: Pearson New International Edition</b:Title>
    <b:Year>2013</b:Year>
    <b:Author>
      <b:Author>
        <b:NameList>
          <b:Person>
            <b:Last>Velasquez</b:Last>
            <b:First>Manuel</b:First>
            <b:Middle>G</b:Middle>
          </b:Person>
        </b:NameList>
      </b:Author>
    </b:Author>
    <b:CountryRegion>UK</b:CountryRegion>
    <b:URL>http://ebookcentral.proquest.com/lib/lsbuuk/detail.action?docID=5248266</b:URL>
    <b:Publisher>Pearson Education</b:Publisher>
    <b:RefOrder>63</b:RefOrder>
  </b:Source>
  <b:Source>
    <b:Tag>May10</b:Tag>
    <b:SourceType>JournalArticle</b:SourceType>
    <b:Guid>{BE9FE9A7-9462-40E5-920A-405423C53A21}</b:Guid>
    <b:Title>Rethinking Virtue Ethics and Social Justice with Aristotle and Confucius</b:Title>
    <b:Year>2010</b:Year>
    <b:Pages>195-213</b:Pages>
    <b:Author>
      <b:Author>
        <b:NameList>
          <b:Person>
            <b:Last>Sim</b:Last>
            <b:First>May</b:First>
          </b:Person>
        </b:NameList>
      </b:Author>
    </b:Author>
    <b:JournalName>Asian Philosophy</b:JournalName>
    <b:Volume>20</b:Volume>
    <b:Issue>2</b:Issue>
    <b:RefOrder>61</b:RefOrder>
  </b:Source>
  <b:Source>
    <b:Tag>BBC14</b:Tag>
    <b:SourceType>InternetSite</b:SourceType>
    <b:Guid>{6CA19D16-4820-4A2E-A8AE-B3E2EB210D7A}</b:Guid>
    <b:Title>Ethics Guide</b:Title>
    <b:Year>2014</b:Year>
    <b:Author>
      <b:Author>
        <b:Corporate>BBC</b:Corporate>
      </b:Author>
    </b:Author>
    <b:YearAccessed>2018</b:YearAccessed>
    <b:MonthAccessed>JUne</b:MonthAccessed>
    <b:DayAccessed>25</b:DayAccessed>
    <b:URL>http://www.bbc.co.uk/ethics/introduction/virtue.shtml</b:URL>
    <b:RefOrder>264</b:RefOrder>
  </b:Source>
  <b:Source>
    <b:Tag>Bet89</b:Tag>
    <b:SourceType>JournalArticle</b:SourceType>
    <b:Guid>{61A55287-65AD-48DB-B4E7-3CA7F45B66C3}</b:Guid>
    <b:Title>Gender Differences in Proclivity for Unethical Behaviour</b:Title>
    <b:Year>1989</b:Year>
    <b:Author>
      <b:Author>
        <b:NameList>
          <b:Person>
            <b:Last>Betz</b:Last>
            <b:First>Michael</b:First>
          </b:Person>
          <b:Person>
            <b:Last>O'Connell</b:Last>
            <b:First>Lenahan</b:First>
          </b:Person>
          <b:Person>
            <b:Last>Shepard</b:Last>
            <b:Middle>M</b:Middle>
            <b:First>Jon</b:First>
          </b:Person>
        </b:NameList>
      </b:Author>
    </b:Author>
    <b:JournalName>Journal of Business Ethics</b:JournalName>
    <b:Pages>321-324</b:Pages>
    <b:Volume>8</b:Volume>
    <b:Issue>5</b:Issue>
    <b:RefOrder>67</b:RefOrder>
  </b:Source>
  <b:Source>
    <b:Tag>Bar88</b:Tag>
    <b:SourceType>JournalArticle</b:SourceType>
    <b:Guid>{30B089C0-1395-4672-90CA-226DAE17581D}</b:Guid>
    <b:Title>The Organizational Bases of Ethical Work Climates</b:Title>
    <b:Year>1988</b:Year>
    <b:Author>
      <b:Author>
        <b:NameList>
          <b:Person>
            <b:Last>Victor</b:Last>
            <b:First>Bart</b:First>
          </b:Person>
          <b:Person>
            <b:Last>Cullen</b:Last>
            <b:First>John</b:First>
            <b:Middle>B</b:Middle>
          </b:Person>
        </b:NameList>
      </b:Author>
    </b:Author>
    <b:JournalName>Administrative Science Quarterly</b:JournalName>
    <b:Pages>101-125</b:Pages>
    <b:Volume>33</b:Volume>
    <b:RefOrder>66</b:RefOrder>
  </b:Source>
  <b:Source>
    <b:Tag>Sco07</b:Tag>
    <b:SourceType>JournalArticle</b:SourceType>
    <b:Guid>{48C61B8D-1433-4643-9F16-C402C5813CF0}</b:Guid>
    <b:Author>
      <b:Author>
        <b:NameList>
          <b:Person>
            <b:Last>Reynolds</b:Last>
            <b:First>Scott</b:First>
            <b:Middle>J</b:Middle>
          </b:Person>
          <b:Person>
            <b:Last>Ceranic</b:Last>
            <b:First>Tara</b:First>
            <b:Middle>L</b:Middle>
          </b:Person>
        </b:NameList>
      </b:Author>
    </b:Author>
    <b:Title>The Effects of Moral Judgement and Moral Identity on Moral Behavior: An Empirical Examination of the Moral Individual</b:Title>
    <b:JournalName>Journal of Applied Psychology</b:JournalName>
    <b:Year>2007</b:Year>
    <b:Pages>1610-1624</b:Pages>
    <b:Volume>92</b:Volume>
    <b:Issue>6</b:Issue>
    <b:RefOrder>72</b:RefOrder>
  </b:Source>
  <b:Source>
    <b:Tag>The04</b:Tag>
    <b:SourceType>Report</b:SourceType>
    <b:Guid>{8E5C74B8-51A5-4898-90ED-B07D2214C9BF}</b:Guid>
    <b:Author>
      <b:Author>
        <b:Corporate>OPM &amp; CIPFA</b:Corporate>
      </b:Author>
    </b:Author>
    <b:Title>The Good Governance Standard for Public Services</b:Title>
    <b:Year>2004</b:Year>
    <b:Publisher>OPM and CIPFA</b:Publisher>
    <b:City>London</b:City>
    <b:RefOrder>106</b:RefOrder>
  </b:Source>
  <b:Source>
    <b:Tag>The12</b:Tag>
    <b:SourceType>InternetSite</b:SourceType>
    <b:Guid>{75FC41C4-D1E2-464F-A7E8-4AAADFC4AE84}</b:Guid>
    <b:Title>Asil Nadir and Polly Peck: timeline</b:Title>
    <b:Year>2012</b:Year>
    <b:Author>
      <b:Author>
        <b:Corporate>The Guardian</b:Corporate>
      </b:Author>
    </b:Author>
    <b:YearAccessed>2018</b:YearAccessed>
    <b:MonthAccessed>June</b:MonthAccessed>
    <b:DayAccessed>27</b:DayAccessed>
    <b:URL>https://www.theguardian.com/business/2012/jan/23/asil-nadir-polly-peck-timeline</b:URL>
    <b:RefOrder>113</b:RefOrder>
  </b:Source>
  <b:Source>
    <b:Tag>Uni14</b:Tag>
    <b:SourceType>InternetSite</b:SourceType>
    <b:Guid>{F8DC9AB0-0916-4DB0-94AB-04AD6F03E593}</b:Guid>
    <b:Author>
      <b:Author>
        <b:Corporate>Judge Business School</b:Corporate>
      </b:Author>
    </b:Author>
    <b:YearAccessed>2014</b:YearAccessed>
    <b:MonthAccessed>March</b:MonthAccessed>
    <b:DayAccessed>18</b:DayAccessed>
    <b:URL>http://www.cadbury.jbs.cam.ac.uk/</b:URL>
    <b:Title>The Cadbury Archive</b:Title>
    <b:Year>2014</b:Year>
    <b:RefOrder>114</b:RefOrder>
  </b:Source>
  <b:Source>
    <b:Tag>The15</b:Tag>
    <b:SourceType>InternetSite</b:SourceType>
    <b:Guid>{D394CDED-C434-4466-BBAE-B7FEEEF36472}</b:Guid>
    <b:Author>
      <b:Author>
        <b:Corporate>The Guardian</b:Corporate>
      </b:Author>
    </b:Author>
    <b:Title>Barings collapse at 20: How rogue trader Nick Leeson broke the bank</b:Title>
    <b:Year>2015</b:Year>
    <b:YearAccessed>2018</b:YearAccessed>
    <b:MonthAccessed>June </b:MonthAccessed>
    <b:DayAccessed>27</b:DayAccessed>
    <b:URL>https://www.theguardian.com/business/from-the-archive-blog/2015/feb/24/nick-leeson-barings-bank-1995-20-archive</b:URL>
    <b:RefOrder>115</b:RefOrder>
  </b:Source>
  <b:Source>
    <b:Tag>CNN18</b:Tag>
    <b:SourceType>InternetSite</b:SourceType>
    <b:Guid>{F91F0491-C8F4-41F7-A8F0-159BB87029B9}</b:Guid>
    <b:Author>
      <b:Author>
        <b:Corporate>CNN</b:Corporate>
      </b:Author>
    </b:Author>
    <b:Title>Enron Fast Facts</b:Title>
    <b:Year>2018</b:Year>
    <b:YearAccessed>2018</b:YearAccessed>
    <b:MonthAccessed>June</b:MonthAccessed>
    <b:DayAccessed>27</b:DayAccessed>
    <b:URL>https://edition.cnn.com/2013/07/02/us/enron-fast-facts/index.html</b:URL>
    <b:RefOrder>117</b:RefOrder>
  </b:Source>
  <b:Source>
    <b:Tag>oryMPswerepaid</b:Tag>
    <b:SourceType>InternetSite</b:SourceType>
    <b:Guid>{A6754AD4-3EAB-40B6-8C60-2DFBA7E8201E}</b:Guid>
    <b:Author>
      <b:Author>
        <b:Corporate>The Guardian</b:Corporate>
      </b:Author>
    </b:Author>
    <b:Title>Tory MPs were paid to plant questions says Harrods chief</b:Title>
    <b:Year>1994</b:Year>
    <b:YearAccessed>2018</b:YearAccessed>
    <b:MonthAccessed>June</b:MonthAccessed>
    <b:DayAccessed>27</b:DayAccessed>
    <b:URL>https://www.theguardian.com/politics/1994/oct/20/conservatives.uk</b:URL>
    <b:RefOrder>120</b:RefOrder>
  </b:Source>
  <b:Source>
    <b:Tag>The94</b:Tag>
    <b:SourceType>InternetSite</b:SourceType>
    <b:Guid>{13EA5558-5CF9-4714-A6A5-70EEEDA617A8}</b:Guid>
    <b:Author>
      <b:Author>
        <b:Corporate>The Independent</b:Corporate>
      </b:Author>
    </b:Author>
    <b:Title>The Cash-for-Questions Affair</b:Title>
    <b:Year>1994</b:Year>
    <b:YearAccessed>2018</b:YearAccessed>
    <b:MonthAccessed>Jne</b:MonthAccessed>
    <b:DayAccessed>27</b:DayAccessed>
    <b:URL>https://www.independent.co.uk/news/the-cash-for-questions-affair-major-rocked-as-payments-scandal-grows-minister-resigns-over-cash-for-1444057.html</b:URL>
    <b:RefOrder>121</b:RefOrder>
  </b:Source>
  <b:Source>
    <b:Tag>BBC09</b:Tag>
    <b:SourceType>InternetSite</b:SourceType>
    <b:Guid>{8F0DC23C-60E8-4935-99A2-43AFC2394F4E}</b:Guid>
    <b:Author>
      <b:Author>
        <b:Corporate>BBC</b:Corporate>
      </b:Author>
    </b:Author>
    <b:Title>Q&amp;A: MP expenses row explained</b:Title>
    <b:Year>2009</b:Year>
    <b:YearAccessed>2018</b:YearAccessed>
    <b:MonthAccessed>June</b:MonthAccessed>
    <b:DayAccessed>27</b:DayAccessed>
    <b:URL>http://news.bbc.co.uk/1/hi/uk_politics/7840678.stm</b:URL>
    <b:RefOrder>122</b:RefOrder>
  </b:Source>
  <b:Source>
    <b:Tag>FRC16</b:Tag>
    <b:SourceType>Report</b:SourceType>
    <b:Guid>{72867675-A066-444F-AC12-59B9C078AAA5}</b:Guid>
    <b:Title>The UK Corporate Governance Code</b:Title>
    <b:Year>2016</b:Year>
    <b:City>London</b:City>
    <b:Publisher>FRC</b:Publisher>
    <b:Author>
      <b:Author>
        <b:Corporate>FRC</b:Corporate>
      </b:Author>
    </b:Author>
    <b:RefOrder>107</b:RefOrder>
  </b:Source>
  <b:Source>
    <b:Tag>Bri06</b:Tag>
    <b:SourceType>DocumentFromInternetSite</b:SourceType>
    <b:Guid>{134C0F5E-CEAF-4120-A602-A62B4B28E0B4}</b:Guid>
    <b:Author>
      <b:Author>
        <b:Corporate>British Standards</b:Corporate>
      </b:Author>
    </b:Author>
    <b:Title>Project Management - Part 4: A Guide to project management in the construction industry</b:Title>
    <b:Year>2006</b:Year>
    <b:Month>August</b:Month>
    <b:YearAccessed>2017</b:YearAccessed>
    <b:MonthAccessed>March</b:MonthAccessed>
    <b:DayAccessed>30</b:DayAccessed>
    <b:URL>file:///C:/Users/elizabeth/Documents/PhD/Phd%20Articles%20on%20project%20success%20and%20failure/British%20standard%20BS%20PD%206079-4%202006%20Project%20management.%20Guide%20to%20project%20management%20in%20the%20construction%20industry.pdf</b:URL>
    <b:RefOrder>147</b:RefOrder>
  </b:Source>
  <b:Source>
    <b:Tag>Gha16</b:Tag>
    <b:SourceType>JournalArticle</b:SourceType>
    <b:Guid>{E219D0A2-D1DA-4E54-B4C3-A5A457287222}</b:Guid>
    <b:Title>Diagnosing the success of the construction projects during the initial phases</b:Title>
    <b:JournalName>Decision Science Letters</b:JournalName>
    <b:Year>2016</b:Year>
    <b:Pages>395-406</b:Pages>
    <b:Volume>5</b:Volume>
    <b:Author>
      <b:Author>
        <b:NameList>
          <b:Person>
            <b:Last>Ghazimoradi</b:Last>
            <b:First>Mostafa</b:First>
          </b:Person>
          <b:Person>
            <b:Last>Kheyroddin</b:Last>
            <b:First>Ali</b:First>
          </b:Person>
          <b:Person>
            <b:Last>Rezayfar</b:Last>
            <b:First>Omid</b:First>
          </b:Person>
        </b:NameList>
      </b:Author>
    </b:Author>
    <b:RefOrder>151</b:RefOrder>
  </b:Source>
  <b:Source>
    <b:Tag>Bak831</b:Tag>
    <b:SourceType>BookSection</b:SourceType>
    <b:Guid>{0FD11640-E74F-4F51-A7BE-76ABF4EAFF4F}</b:Guid>
    <b:Title>Factors affecting project success</b:Title>
    <b:Year>1983</b:Year>
    <b:BookTitle>Project Management Handbook</b:BookTitle>
    <b:Publisher>Van Nostrand Reinhold</b:Publisher>
    <b:Author>
      <b:Author>
        <b:NameList>
          <b:Person>
            <b:Last>Baker</b:Last>
            <b:Middle>B</b:Middle>
            <b:First>N</b:First>
          </b:Person>
          <b:Person>
            <b:Last>Murphy</b:Last>
            <b:Middle>C</b:Middle>
            <b:First>D</b:First>
          </b:Person>
          <b:Person>
            <b:Last>Fisher</b:Last>
            <b:First>D</b:First>
          </b:Person>
        </b:NameList>
      </b:Author>
      <b:Editor>
        <b:NameList>
          <b:Person>
            <b:Last>King</b:Last>
            <b:First>Clelland</b:First>
            <b:Middle>and</b:Middle>
          </b:Person>
        </b:NameList>
      </b:Editor>
    </b:Author>
    <b:RefOrder>265</b:RefOrder>
  </b:Source>
  <b:Source>
    <b:Tag>Placeholder3</b:Tag>
    <b:SourceType>JournalArticle</b:SourceType>
    <b:Guid>{F2052641-0CB1-4571-8A96-245702C037AD}</b:Guid>
    <b:Title>A new framework for determining critical success/ failure factors in projects</b:Title>
    <b:Year>1996</b:Year>
    <b:Author>
      <b:Author>
        <b:NameList>
          <b:Person>
            <b:Last>Belassi</b:Last>
            <b:First> Walid</b:First>
          </b:Person>
          <b:Person>
            <b:Last>Tukel</b:Last>
            <b:Middle>Icmeli</b:Middle>
            <b:First>Oya</b:First>
          </b:Person>
        </b:NameList>
      </b:Author>
    </b:Author>
    <b:JournalName>International Journal of Project Management</b:JournalName>
    <b:Pages>141-151</b:Pages>
    <b:Volume>14</b:Volume>
    <b:Issue>3</b:Issue>
    <b:RefOrder>266</b:RefOrder>
  </b:Source>
  <b:Source>
    <b:Tag>Ash87</b:Tag>
    <b:SourceType>ConferenceProceedings</b:SourceType>
    <b:Guid>{2D4AF9AF-D6C6-45BF-97F1-DBED67448897}</b:Guid>
    <b:Title>New trends in risk management</b:Title>
    <b:JournalName>Project Management Journal</b:JournalName>
    <b:Year>1986</b:Year>
    <b:Volume>XVIII</b:Volume>
    <b:Issue>2</b:Issue>
    <b:Author>
      <b:Author>
        <b:NameList>
          <b:Person>
            <b:Last>Ashely</b:Last>
            <b:First>D</b:First>
            <b:Middle>B</b:Middle>
          </b:Person>
          <b:Person>
            <b:Last>Lurie</b:Last>
            <b:First>C</b:First>
            <b:Middle>S</b:Middle>
          </b:Person>
          <b:Person>
            <b:Last>Jaselskis</b:Last>
            <b:Middle>J</b:Middle>
            <b:First>E</b:First>
          </b:Person>
        </b:NameList>
      </b:Author>
    </b:Author>
    <b:City>Zurich</b:City>
    <b:RefOrder>267</b:RefOrder>
  </b:Source>
  <b:Source xmlns:b="http://schemas.openxmlformats.org/officeDocument/2006/bibliography">
    <b:Tag>Placeholder2</b:Tag>
    <b:SourceType>JournalArticle</b:SourceType>
    <b:Guid>{E66D599F-D010-4EFC-8165-79E21B118D35}</b:Guid>
    <b:Title>Variations in Critical Success Factors Over the Stages in the Proejct Life Cycle</b:Title>
    <b:Year>1988</b:Year>
    <b:Author>
      <b:Author>
        <b:NameList>
          <b:Person>
            <b:Last>Pinto</b:Last>
            <b:Middle>K</b:Middle>
            <b:First>Jeffery</b:First>
          </b:Person>
          <b:Person>
            <b:Last>Prescott</b:Last>
            <b:Middle>E</b:Middle>
            <b:First>John</b:First>
          </b:Person>
        </b:NameList>
      </b:Author>
    </b:Author>
    <b:JournalName>Journal of Management</b:JournalName>
    <b:Pages>5-18</b:Pages>
    <b:Volume>14</b:Volume>
    <b:Issue>1</b:Issue>
    <b:RefOrder>268</b:RefOrder>
  </b:Source>
  <b:Source>
    <b:Tag>DH15</b:Tag>
    <b:SourceType>Misc</b:SourceType>
    <b:Guid>{A364E5FB-39B8-4566-8E6C-30C6DE22F8C8}</b:Guid>
    <b:Title>The NHS Constitution for England</b:Title>
    <b:Year>2015</b:Year>
    <b:Publisher>Williams Lea</b:Publisher>
    <b:Author>
      <b:Author>
        <b:Corporate>DH</b:Corporate>
      </b:Author>
    </b:Author>
    <b:RefOrder>269</b:RefOrder>
  </b:Source>
  <b:Source>
    <b:Tag>GMC18</b:Tag>
    <b:SourceType>InternetSite</b:SourceType>
    <b:Guid>{06FF1839-0732-4EA5-8153-45C8C9897378}</b:Guid>
    <b:Title>Code of Conduct for Council Members</b:Title>
    <b:Year>2018</b:Year>
    <b:Author>
      <b:Author>
        <b:Corporate>GMC</b:Corporate>
      </b:Author>
    </b:Author>
    <b:YearAccessed>2018</b:YearAccessed>
    <b:MonthAccessed>July</b:MonthAccessed>
    <b:DayAccessed>3</b:DayAccessed>
    <b:URL>https://www.gmc-uk.org/about/how-we-work/governance/council/code-of-conduct</b:URL>
    <b:RefOrder>77</b:RefOrder>
  </b:Source>
  <b:Source>
    <b:Tag>NMC15</b:Tag>
    <b:SourceType>InternetSite</b:SourceType>
    <b:Guid>{B00EC2E4-740A-47E2-92D0-3209E5D9D2A0}</b:Guid>
    <b:Author>
      <b:Author>
        <b:Corporate>NMC</b:Corporate>
      </b:Author>
    </b:Author>
    <b:Title>The Code: Professional standards of practice and behaviour for nurses and midwives</b:Title>
    <b:Year>2015</b:Year>
    <b:YearAccessed>2018</b:YearAccessed>
    <b:MonthAccessed>July</b:MonthAccessed>
    <b:DayAccessed>3</b:DayAccessed>
    <b:URL>https://www.nmc.org.uk/globalassets/sitedocuments/nmc-publications/nmc-code.pdf</b:URL>
    <b:RefOrder>79</b:RefOrder>
  </b:Source>
  <b:Source>
    <b:Tag>APM182</b:Tag>
    <b:SourceType>InternetSite</b:SourceType>
    <b:Guid>{5B24DD2C-1ABD-48A6-93B4-689EC6C79A5C}</b:Guid>
    <b:Author>
      <b:Author>
        <b:Corporate>APM</b:Corporate>
      </b:Author>
    </b:Author>
    <b:Title>APM Code of Professional Conduct</b:Title>
    <b:Year>2018</b:Year>
    <b:YearAccessed>2018</b:YearAccessed>
    <b:MonthAccessed>July</b:MonthAccessed>
    <b:DayAccessed>3</b:DayAccessed>
    <b:URL>https://www.apm.org.uk/media/19286/code-of-professional-conduct.pdf</b:URL>
    <b:RefOrder>84</b:RefOrder>
  </b:Source>
  <b:Source>
    <b:Tag>RIC13</b:Tag>
    <b:SourceType>InternetSite</b:SourceType>
    <b:Guid>{C43CCEE1-EBD6-4A4F-8A32-1DF8CFB954AA}</b:Guid>
    <b:Author>
      <b:Author>
        <b:Corporate>RICS</b:Corporate>
      </b:Author>
    </b:Author>
    <b:Title>Rules of Conduct for Members</b:Title>
    <b:Year>2013</b:Year>
    <b:YearAccessed>2018</b:YearAccessed>
    <b:MonthAccessed>July</b:MonthAccessed>
    <b:DayAccessed>3</b:DayAccessed>
    <b:URL>https://www.rics.org/Global/RICS_regulation_rules_of_conduct_for_members_250717_SC.pdf</b:URL>
    <b:RefOrder>83</b:RefOrder>
  </b:Source>
  <b:Source>
    <b:Tag>IHE16</b:Tag>
    <b:SourceType>InternetSite</b:SourceType>
    <b:Guid>{60EF296B-132A-4F7B-9844-0ED45FFFDE0D}</b:Guid>
    <b:Author>
      <b:Author>
        <b:Corporate>IHEEM</b:Corporate>
      </b:Author>
    </b:Author>
    <b:Title>Code of Professional Conduct</b:Title>
    <b:Year>2016</b:Year>
    <b:YearAccessed>2018</b:YearAccessed>
    <b:MonthAccessed>July</b:MonthAccessed>
    <b:DayAccessed>3</b:DayAccessed>
    <b:URL>https://www.iheem.org.uk/write/IHEEM_Code_of_Professional_Conduct_-_October_2016.pdf</b:URL>
    <b:RefOrder>85</b:RefOrder>
  </b:Source>
  <b:Source>
    <b:Tag>RIB05</b:Tag>
    <b:SourceType>InternetSite</b:SourceType>
    <b:Guid>{523A1C16-E7A6-4B70-86FA-77F343FAA3AE}</b:Guid>
    <b:Author>
      <b:Author>
        <b:Corporate>RIBA</b:Corporate>
      </b:Author>
    </b:Author>
    <b:Title>Code of PRofessional Conduct</b:Title>
    <b:Year>2005</b:Year>
    <b:YearAccessed>2018</b:YearAccessed>
    <b:MonthAccessed>July</b:MonthAccessed>
    <b:DayAccessed>3</b:DayAccessed>
    <b:URL>https://www.architecture.com/-/media/gathercontent/riba-council-elections-2018/additional-documents/codeofprofessionalconductpdfpdf.pdf</b:URL>
    <b:RefOrder>270</b:RefOrder>
  </b:Source>
  <b:Source>
    <b:Tag>Pin87</b:Tag>
    <b:SourceType>JournalArticle</b:SourceType>
    <b:Guid>{63E4163F-BE8D-41F6-A40D-A4F7A952B786}</b:Guid>
    <b:Title>Critical Factors in Successful Project Implementation</b:Title>
    <b:JournalName>IEEE Transactions on Engineering Management</b:JournalName>
    <b:Year>1987</b:Year>
    <b:Pages>22-27</b:Pages>
    <b:Volume>EM-34</b:Volume>
    <b:Issue>1</b:Issue>
    <b:Author>
      <b:Author>
        <b:NameList>
          <b:Person>
            <b:Last>Slevin</b:Last>
            <b:First>Dennis</b:First>
            <b:Middle>P</b:Middle>
          </b:Person>
          <b:Person>
            <b:Last>Pinto</b:Last>
            <b:First>Jeffrey</b:First>
            <b:Middle>K</b:Middle>
          </b:Person>
        </b:NameList>
      </b:Author>
    </b:Author>
    <b:RefOrder>159</b:RefOrder>
  </b:Source>
  <b:Source>
    <b:Tag>Nei85</b:Tag>
    <b:SourceType>JournalArticle</b:SourceType>
    <b:Guid>{E3C8E793-6608-4A98-B146-CA35C9125283}</b:Guid>
    <b:Title>A Janus-Headed Model of Ethical Theory: Looking Two Ways at Business/ Society Issues</b:Title>
    <b:Year>1985</b:Year>
    <b:Author>
      <b:Author>
        <b:NameList>
          <b:Person>
            <b:Last>Brady</b:Last>
            <b:First>Neil</b:First>
            <b:Middle>F</b:Middle>
          </b:Person>
        </b:NameList>
      </b:Author>
    </b:Author>
    <b:JournalName>Academy of Management Review</b:JournalName>
    <b:Pages>568-576</b:Pages>
    <b:Volume>10</b:Volume>
    <b:Issue>3</b:Issue>
    <b:RefOrder>69</b:RefOrder>
  </b:Source>
  <b:Source>
    <b:Tag>SGN98</b:Tag>
    <b:SourceType>Book</b:SourceType>
    <b:Guid>{A721B43A-FD34-4583-8123-F86B5393C426}</b:Guid>
    <b:Title>Dissertation research and writng for construction students</b:Title>
    <b:Year>1998</b:Year>
    <b:Author>
      <b:Author>
        <b:NameList>
          <b:Person>
            <b:Last>Naoum</b:Last>
            <b:First>S</b:First>
            <b:Middle>G</b:Middle>
          </b:Person>
        </b:NameList>
      </b:Author>
    </b:Author>
    <b:City>KIng's Lynn</b:City>
    <b:Publisher>Elsevier</b:Publisher>
    <b:RefOrder>174</b:RefOrder>
  </b:Source>
  <b:Source>
    <b:Tag>APM183</b:Tag>
    <b:SourceType>InternetSite</b:SourceType>
    <b:Guid>{5F0D83D6-27A2-4762-BEDD-8A9EEE747DC2}</b:Guid>
    <b:Title>Ethics in Project Management</b:Title>
    <b:Year>2018</b:Year>
    <b:Author>
      <b:Author>
        <b:NameList>
          <b:Person>
            <b:Last>APM</b:Last>
          </b:Person>
        </b:NameList>
      </b:Author>
    </b:Author>
    <b:YearAccessed>2018</b:YearAccessed>
    <b:MonthAccessed>August</b:MonthAccessed>
    <b:DayAccessed>15</b:DayAccessed>
    <b:URL>https://www.apm.org.uk/resources/find-a-resource/ethics-in-project-management/</b:URL>
    <b:RefOrder>2</b:RefOrder>
  </b:Source>
  <b:Source>
    <b:Tag>PMI18</b:Tag>
    <b:SourceType>InternetSite</b:SourceType>
    <b:Guid>{48D65DFA-B8F1-4E85-9E26-0D3D1AC44819}</b:Guid>
    <b:Author>
      <b:Author>
        <b:NameList>
          <b:Person>
            <b:Last>PMI</b:Last>
          </b:Person>
        </b:NameList>
      </b:Author>
    </b:Author>
    <b:Title>Code of Ethics and Professional Conduct</b:Title>
    <b:Year>2018</b:Year>
    <b:YearAccessed>2018</b:YearAccessed>
    <b:MonthAccessed>August</b:MonthAccessed>
    <b:DayAccessed>15</b:DayAccessed>
    <b:URL>https://www.pmi.org/about/ethics/code</b:URL>
    <b:RefOrder>271</b:RefOrder>
  </b:Source>
  <b:Source>
    <b:Tag>Cre072</b:Tag>
    <b:SourceType>JournalArticle</b:SourceType>
    <b:Guid>{7E726AB3-9305-450E-9E50-CAE3E7E1E2A4}</b:Guid>
    <b:Author>
      <b:Author>
        <b:NameList>
          <b:Person>
            <b:Last>Creswell</b:Last>
            <b:First>J</b:First>
          </b:Person>
        </b:NameList>
      </b:Author>
    </b:Author>
    <b:Title>Differing Perspectives on Mixed Methods Research</b:Title>
    <b:Year>2007</b:Year>
    <b:JournalName>Journal of Mixed Methods Research</b:JournalName>
    <b:Pages>303-308</b:Pages>
    <b:Volume>1</b:Volume>
    <b:Issue>4</b:Issue>
    <b:RefOrder>177</b:RefOrder>
  </b:Source>
  <b:Source>
    <b:Tag>Arr84</b:Tag>
    <b:SourceType>Report</b:SourceType>
    <b:Guid>{F939C237-D15E-44CA-AB5B-B3967C6A3BA9}</b:Guid>
    <b:Title>The Economics of Agency</b:Title>
    <b:Year>1984</b:Year>
    <b:Author>
      <b:Author>
        <b:NameList>
          <b:Person>
            <b:Last>Arrow</b:Last>
            <b:First>K.J</b:First>
          </b:Person>
        </b:NameList>
      </b:Author>
    </b:Author>
    <b:City>Standford</b:City>
    <b:Publisher>Center for Research on Organizational Efficiency, Stanford University</b:Publisher>
    <b:RefOrder>91</b:RefOrder>
  </b:Source>
  <b:Source>
    <b:Tag>Vic88</b:Tag>
    <b:SourceType>JournalArticle</b:SourceType>
    <b:Guid>{FCD95E80-1D5C-4850-AC85-6487570260F4}</b:Guid>
    <b:Title>The Organizational Bases of Ethical Work Climates</b:Title>
    <b:Year>1988</b:Year>
    <b:Author>
      <b:Author>
        <b:NameList>
          <b:Person>
            <b:Last>Victor</b:Last>
            <b:First>Bart</b:First>
          </b:Person>
          <b:Person>
            <b:Last>Cullen</b:Last>
            <b:First>John</b:First>
            <b:Middle>B.</b:Middle>
          </b:Person>
        </b:NameList>
      </b:Author>
    </b:Author>
    <b:JournalName>Adminstrative Science Quarterly</b:JournalName>
    <b:Pages>101-125</b:Pages>
    <b:Volume>33</b:Volume>
    <b:RefOrder>272</b:RefOrder>
  </b:Source>
  <b:Source>
    <b:Tag>Nei14</b:Tag>
    <b:SourceType>Book</b:SourceType>
    <b:Guid>{E55426AB-E034-4D91-A1D7-5B73E88EECB0}</b:Guid>
    <b:Title>Statistics for People Who Think They Hate Statistics</b:Title>
    <b:Year>2014</b:Year>
    <b:Author>
      <b:Author>
        <b:NameList>
          <b:Person>
            <b:Last>Salkind</b:Last>
            <b:First>Neil</b:First>
            <b:Middle>J</b:Middle>
          </b:Person>
        </b:NameList>
      </b:Author>
    </b:Author>
    <b:City>London</b:City>
    <b:Publisher>Sage</b:Publisher>
    <b:RefOrder>273</b:RefOrder>
  </b:Source>
  <b:Source>
    <b:Tag>Joh15</b:Tag>
    <b:SourceType>Book</b:SourceType>
    <b:Guid>{510E35D3-713A-49B2-A477-6321A4BDD3A1}</b:Guid>
    <b:Author>
      <b:Author>
        <b:NameList>
          <b:Person>
            <b:Last>Creswell</b:Last>
            <b:First>John</b:First>
            <b:Middle>W</b:Middle>
          </b:Person>
        </b:NameList>
      </b:Author>
    </b:Author>
    <b:Title>A Concise Introduction to Mixed Methods Research</b:Title>
    <b:Year>2015</b:Year>
    <b:City>Thousand Oaks</b:City>
    <b:Publisher>Sage</b:Publisher>
    <b:RefOrder>178</b:RefOrder>
  </b:Source>
  <b:Source>
    <b:Tag>Vic</b:Tag>
    <b:SourceType>JournalArticle</b:SourceType>
    <b:Guid>{DDCA9F6C-804A-4068-9EC3-9661B1511B94}</b:Guid>
    <b:Title>Administrative Science Quarterly</b:Title>
    <b:Author>
      <b:Author>
        <b:NameList>
          <b:Person>
            <b:Last>Victor</b:Last>
            <b:First>Bart</b:First>
          </b:Person>
          <b:Person>
            <b:Last>Cullen</b:Last>
            <b:Middle>B</b:Middle>
            <b:First>John</b:First>
          </b:Person>
        </b:NameList>
      </b:Author>
    </b:Author>
    <b:RefOrder>274</b:RefOrder>
  </b:Source>
  <b:Source>
    <b:Tag>Tur05</b:Tag>
    <b:SourceType>JournalArticle</b:SourceType>
    <b:Guid>{B0DF2A0D-D411-4A19-9248-24543FAE7406}</b:Guid>
    <b:Title>The Project Manager's Leadership Style as a Success Factor on Projects: a Literautre Review</b:Title>
    <b:JournalName>Project Management Journal</b:JournalName>
    <b:Year>2005</b:Year>
    <b:Pages>49-61</b:Pages>
    <b:Author>
      <b:Author>
        <b:NameList>
          <b:Person>
            <b:Last>Turner</b:Last>
            <b:Middle>Rodney</b:Middle>
            <b:First>J</b:First>
          </b:Person>
          <b:Person>
            <b:Last>Muller</b:Last>
            <b:First>Ralph</b:First>
          </b:Person>
        </b:NameList>
      </b:Author>
    </b:Author>
    <b:RefOrder>160</b:RefOrder>
  </b:Source>
  <b:Source>
    <b:Tag>She01</b:Tag>
    <b:SourceType>JournalArticle</b:SourceType>
    <b:Guid>{D79A5096-4FB8-40F2-8DF1-001A473C1E5E}</b:Guid>
    <b:Title>Project Success: A Multidimensional Strategic Concept</b:Title>
    <b:Year>2001</b:Year>
    <b:JournalName>Long Range Planning</b:JournalName>
    <b:Pages>699-725</b:Pages>
    <b:Volume>34</b:Volume>
    <b:Author>
      <b:Author>
        <b:NameList>
          <b:Person>
            <b:Last>Shenhar</b:Last>
            <b:Middle>J</b:Middle>
            <b:First>Aaron</b:First>
          </b:Person>
          <b:Person>
            <b:Last>Dvir</b:Last>
            <b:First>Dov</b:First>
          </b:Person>
          <b:Person>
            <b:Last>Levy</b:Last>
            <b:First>Ofer</b:First>
          </b:Person>
          <b:Person>
            <b:Last>Maltz</b:Last>
            <b:Middle>C</b:Middle>
            <b:First>Alan</b:First>
          </b:Person>
        </b:NameList>
      </b:Author>
    </b:Author>
    <b:RefOrder>154</b:RefOrder>
  </b:Source>
  <b:Source>
    <b:Tag>Geo082</b:Tag>
    <b:SourceType>JournalArticle</b:SourceType>
    <b:Guid>{8A534816-0EB6-4B45-9E06-6AADF831C185}</b:Guid>
    <b:Title>Do Project Managers' Leadership Competencies Contribute to Project Success?</b:Title>
    <b:Year>2008</b:Year>
    <b:Author>
      <b:Author>
        <b:NameList>
          <b:Person>
            <b:Last>Geoghegan</b:Last>
            <b:First>Linda</b:First>
          </b:Person>
          <b:Person>
            <b:Last>Dulewicz</b:Last>
            <b:First> Victor</b:First>
          </b:Person>
        </b:NameList>
      </b:Author>
    </b:Author>
    <b:JournalName>Project Management Journal</b:JournalName>
    <b:Pages>58-67</b:Pages>
    <b:Volume>39</b:Volume>
    <b:Issue>4</b:Issue>
    <b:RefOrder>161</b:RefOrder>
  </b:Source>
  <b:Source>
    <b:Tag>Cab111</b:Tag>
    <b:SourceType>Report</b:SourceType>
    <b:Guid>{55562BFD-5665-492E-AD82-9131C4642DA4}</b:Guid>
    <b:Author>
      <b:Author>
        <b:Corporate>Cabinet Office</b:Corporate>
      </b:Author>
    </b:Author>
    <b:Title>Government Construction Strategy</b:Title>
    <b:Year>2011</b:Year>
    <b:RefOrder>275</b:RefOrder>
  </b:Source>
  <b:Source>
    <b:Tag>Kin16</b:Tag>
    <b:SourceType>InternetSite</b:SourceType>
    <b:Guid>{8B993FDE-0D16-4936-B0ED-97FB12937F02}</b:Guid>
    <b:Title>Public satisfaction with NHS 2016</b:Title>
    <b:Year>2016</b:Year>
    <b:Author>
      <b:Author>
        <b:Corporate>Kings Fund</b:Corporate>
      </b:Author>
    </b:Author>
    <b:YearAccessed>2018</b:YearAccessed>
    <b:MonthAccessed>October</b:MonthAccessed>
    <b:DayAccessed>3</b:DayAccessed>
    <b:URL>https://www.kingsfund.org.uk/publications/public-satisfaction-nhs-2016</b:URL>
    <b:RefOrder>21</b:RefOrder>
  </b:Source>
  <b:Source>
    <b:Tag>DCr18</b:Tag>
    <b:SourceType>ArticleInAPeriodical</b:SourceType>
    <b:Guid>{997B1066-0EF9-4F82-B320-716708B4CE76}</b:Guid>
    <b:Title>Iron Discipline</b:Title>
    <b:Year>2018</b:Year>
    <b:Author>
      <b:Author>
        <b:NameList>
          <b:Person>
            <b:Last>Craik</b:Last>
            <b:First>D</b:First>
          </b:Person>
        </b:NameList>
      </b:Author>
    </b:Author>
    <b:PeriodicalTitle>Project</b:PeriodicalTitle>
    <b:Month>June</b:Month>
    <b:Pages>30-32</b:Pages>
    <b:RefOrder>276</b:RefOrder>
  </b:Source>
  <b:Source>
    <b:Tag>Hur16</b:Tag>
    <b:SourceType>ElectronicSource</b:SourceType>
    <b:Guid>{E35D4B50-DFFF-4D51-B9D2-B8918523E5D0}</b:Guid>
    <b:Title>Virtue Ethics</b:Title>
    <b:Year>2016</b:Year>
    <b:Author>
      <b:Author>
        <b:NameList>
          <b:Person>
            <b:Last>Hursthouse</b:Last>
            <b:First>Rosalind</b:First>
          </b:Person>
          <b:Person>
            <b:Last>Pettigrove</b:Last>
            <b:First>Glen</b:First>
          </b:Person>
        </b:NameList>
      </b:Author>
      <b:Editor>
        <b:NameList>
          <b:Person>
            <b:Last>Zalta</b:Last>
            <b:First>Edard</b:First>
            <b:Middle>N</b:Middle>
          </b:Person>
        </b:NameList>
      </b:Editor>
    </b:Author>
    <b:YearAccessed>2018</b:YearAccessed>
    <b:MonthAccessed>10</b:MonthAccessed>
    <b:DayAccessed>6</b:DayAccessed>
    <b:URL>https://plato.stanford.edu/archives/win2016/entries/ethics-virtue/</b:URL>
    <b:Publisher>Metaphysics Research Lab, Stanford University</b:Publisher>
    <b:BookTitle>The Stanford Encyclopedia of Philosophy</b:BookTitle>
    <b:PublicationTitle>The Stanford Encylopedia of Philosophy</b:PublicationTitle>
    <b:RefOrder>55</b:RefOrder>
  </b:Source>
  <b:Source>
    <b:Tag>Mil01</b:Tag>
    <b:SourceType>Book</b:SourceType>
    <b:Guid>{F71C4318-ACAD-450E-B9E7-2ECED3338E62}</b:Guid>
    <b:Author>
      <b:Author>
        <b:NameList>
          <b:Person>
            <b:Last>Mill</b:Last>
            <b:First>John</b:First>
            <b:Middle>Stuart</b:Middle>
          </b:Person>
        </b:NameList>
      </b:Author>
    </b:Author>
    <b:Title>Utilitarianism, Liberty and Representative Government</b:Title>
    <b:Year>1859/1910</b:Year>
    <b:City>London</b:City>
    <b:Publisher>J.M. Dent &amp; Sons Ltd</b:Publisher>
    <b:RefOrder>60</b:RefOrder>
  </b:Source>
  <b:Source>
    <b:Tag>Der89</b:Tag>
    <b:SourceType>JournalArticle</b:SourceType>
    <b:Guid>{B75547A2-229F-43A0-B937-C70463242590}</b:Guid>
    <b:Title>Ethical Theory in Business Ethics: A Critical Assessment</b:Title>
    <b:Year>1989</b:Year>
    <b:Author>
      <b:Author>
        <b:NameList>
          <b:Person>
            <b:Last>Derry</b:Last>
            <b:First>R</b:First>
          </b:Person>
          <b:Person>
            <b:Last>Green</b:Last>
            <b:First>R</b:First>
            <b:Middle>M</b:Middle>
          </b:Person>
        </b:NameList>
      </b:Author>
    </b:Author>
    <b:JournalName>Journal of Business Ethics</b:JournalName>
    <b:Pages>521-533</b:Pages>
    <b:Volume>8</b:Volume>
    <b:Issue>7</b:Issue>
    <b:RefOrder>74</b:RefOrder>
  </b:Source>
  <b:Source>
    <b:Tag>Hug04</b:Tag>
    <b:SourceType>JournalArticle</b:SourceType>
    <b:Guid>{3F7C12C4-3B97-4C25-83DE-205F7EAFC24B}</b:Guid>
    <b:Author>
      <b:Author>
        <b:NameList>
          <b:Person>
            <b:Last>Hughes</b:Last>
            <b:First>S</b:First>
            <b:Middle>W</b:Middle>
          </b:Person>
          <b:Person>
            <b:Last>Tippett</b:Last>
            <b:First>D</b:First>
            <b:Middle>D</b:Middle>
          </b:Person>
          <b:Person>
            <b:Last>Thomas</b:Last>
            <b:First>W</b:First>
            <b:Middle>K</b:Middle>
          </b:Person>
        </b:NameList>
      </b:Author>
    </b:Author>
    <b:Title>Measuring Project Success in the Construction Industry</b:Title>
    <b:JournalName>Engineering Management Journal</b:JournalName>
    <b:Year>2004</b:Year>
    <b:Pages>31-37</b:Pages>
    <b:Volume>16</b:Volume>
    <b:Issue>3</b:Issue>
    <b:RefOrder>149</b:RefOrder>
  </b:Source>
  <b:Source>
    <b:Tag>HMT13</b:Tag>
    <b:SourceType>Report</b:SourceType>
    <b:Guid>{D3605136-BC90-4DA4-BCEF-D4ED2AF098A0}</b:Guid>
    <b:Title>Supplementary Green Book Guidance</b:Title>
    <b:Year>2013</b:Year>
    <b:Author>
      <b:Author>
        <b:NameList>
          <b:Person>
            <b:Last>HMT</b:Last>
          </b:Person>
        </b:NameList>
      </b:Author>
    </b:Author>
    <b:RefOrder>153</b:RefOrder>
  </b:Source>
  <b:Source>
    <b:Tag>NHS162</b:Tag>
    <b:SourceType>DocumentFromInternetSite</b:SourceType>
    <b:Guid>{15D62D09-2FB5-425D-9FC9-CC12D540E992}</b:Guid>
    <b:Title>Estates and Returns Information Collection</b:Title>
    <b:Year>2016</b:Year>
    <b:Author>
      <b:Author>
        <b:Corporate>NHS Digital</b:Corporate>
      </b:Author>
    </b:Author>
    <b:Month>October</b:Month>
    <b:Day>11</b:Day>
    <b:YearAccessed>2018</b:YearAccessed>
    <b:MonthAccessed>October</b:MonthAccessed>
    <b:DayAccessed>10</b:DayAccessed>
    <b:URL>http://webarchive.nationalarchives.gov.uk/20180328133949/http://digital.nhs.uk/catalogue/PUB21992</b:URL>
    <b:RefOrder>277</b:RefOrder>
  </b:Source>
  <b:Source>
    <b:Tag>Ins171</b:Tag>
    <b:SourceType>InternetSite</b:SourceType>
    <b:Guid>{68741118-D9D9-49E0-B2B4-6925B0F959E8}</b:Guid>
    <b:Title>Departmental Budget</b:Title>
    <b:Year>2017</b:Year>
    <b:YearAccessed>2018</b:YearAccessed>
    <b:MonthAccessed>10</b:MonthAccessed>
    <b:DayAccessed>10</b:DayAccessed>
    <b:URL>https://www.instituteforgovernment.org.uk/explainers/departmental-budgets</b:URL>
    <b:Author>
      <b:Author>
        <b:Corporate>Institute for Government</b:Corporate>
      </b:Author>
    </b:Author>
    <b:RefOrder>278</b:RefOrder>
  </b:Source>
  <b:Source>
    <b:Tag>UKG74</b:Tag>
    <b:SourceType>DocumentFromInternetSite</b:SourceType>
    <b:Guid>{7FAF5B0D-787F-42FC-AAAA-C4783A64A0E8}</b:Guid>
    <b:Author>
      <b:Author>
        <b:Corporate>UK Government</b:Corporate>
      </b:Author>
    </b:Author>
    <b:Title>Health and Safety at Work etc. Act 1974</b:Title>
    <b:Year>1974</b:Year>
    <b:YearAccessed>2018</b:YearAccessed>
    <b:MonthAccessed>December</b:MonthAccessed>
    <b:DayAccessed>2</b:DayAccessed>
    <b:URL>http://www.legislation.gov.uk/ukpga/1974/37/pdfs/ukpga_19740037_en.pdf</b:URL>
    <b:RefOrder>46</b:RefOrder>
  </b:Source>
  <b:Source>
    <b:Tag>UKG08</b:Tag>
    <b:SourceType>Misc</b:SourceType>
    <b:Guid>{A578B63A-A995-43DA-ABED-B69FB2EA6491}</b:Guid>
    <b:Title>Climate Change Act</b:Title>
    <b:Year>2008</b:Year>
    <b:Author>
      <b:Author>
        <b:Corporate>UK Government</b:Corporate>
      </b:Author>
    </b:Author>
    <b:Publisher>TSO</b:Publisher>
    <b:RefOrder>48</b:RefOrder>
  </b:Source>
  <b:Source>
    <b:Tag>UkG03</b:Tag>
    <b:SourceType>InternetSite</b:SourceType>
    <b:Guid>{E511B6E8-A3F6-48CC-B3AD-C7DAFE7EB5B4}</b:Guid>
    <b:Title>Health Technical Memoranda</b:Title>
    <b:Year>2103</b:Year>
    <b:Author>
      <b:Author>
        <b:Corporate>UK Government</b:Corporate>
      </b:Author>
    </b:Author>
    <b:YearAccessed>2018</b:YearAccessed>
    <b:MonthAccessed>December</b:MonthAccessed>
    <b:DayAccessed>2</b:DayAccessed>
    <b:URL>https://www.gov.uk/government/collections/health-technical-memorandum-disinfection-and-sterilization</b:URL>
    <b:RefOrder>279</b:RefOrder>
  </b:Source>
  <b:Source>
    <b:Tag>BRE18</b:Tag>
    <b:SourceType>InternetSite</b:SourceType>
    <b:Guid>{C7F3C2D1-4F31-4358-AB8D-2A0FCD5583C8}</b:Guid>
    <b:Title>Scoring and rating BREEAM-assessed buildings</b:Title>
    <b:Year>2018</b:Year>
    <b:Author>
      <b:Author>
        <b:Corporate>BREEAM</b:Corporate>
      </b:Author>
    </b:Author>
    <b:YearAccessed>2018</b:YearAccessed>
    <b:MonthAccessed>December</b:MonthAccessed>
    <b:DayAccessed>5</b:DayAccessed>
    <b:URL>https://www.breeam.com/NC2018/#03_scoringrating_newcon/cratingbm.htm%3FTocPath%3DScoring%2520and%2520rating%2520BREEAM-assessed%2520buildings%7C_____1</b:URL>
    <b:RefOrder>52</b:RefOrder>
  </b:Source>
  <b:Source>
    <b:Tag>HFM18</b:Tag>
    <b:SourceType>InternetSite</b:SourceType>
    <b:Guid>{1D76A575-60FB-4009-94BB-60BB17428F90}</b:Guid>
    <b:Title>NHS Structure in England</b:Title>
    <b:Author>
      <b:Author>
        <b:Corporate>HFMA</b:Corporate>
      </b:Author>
    </b:Author>
    <b:YearAccessed>2018</b:YearAccessed>
    <b:MonthAccessed>December</b:MonthAccessed>
    <b:DayAccessed>11</b:DayAccessed>
    <b:URL>https://www.google.co.uk/search?q=structure+of+the+nhs+2017&amp;source=lnms&amp;tbm=isch&amp;sa=X&amp;ved=0ahUKEwjTmLPjjpjfAhVloXEKHSGtDoUQ_AUIDigB&amp;biw=1403&amp;bih=762#imgrc=XIYZGIAFZcmhUM:</b:URL>
    <b:RefOrder>280</b:RefOrder>
  </b:Source>
  <b:Source>
    <b:Tag>NHS18</b:Tag>
    <b:SourceType>InternetSite</b:SourceType>
    <b:Guid>{CF5C8D84-1A06-4A64-950A-B4530A6B04B8}</b:Guid>
    <b:Author>
      <b:Author>
        <b:Corporate>NHS Networks</b:Corporate>
      </b:Author>
    </b:Author>
    <b:Title>NHS Diagram</b:Title>
    <b:YearAccessed>2018</b:YearAccessed>
    <b:MonthAccessed>December</b:MonthAccessed>
    <b:DayAccessed>12</b:DayAccessed>
    <b:URL>https://www.networks.nhs.uk/nhs-networks/documents/documents/NHS%20structure%20diagram.png/view</b:URL>
    <b:RefOrder>281</b:RefOrder>
  </b:Source>
  <b:Source>
    <b:Tag>PMI06</b:Tag>
    <b:SourceType>DocumentFromInternetSite</b:SourceType>
    <b:Guid>{4ECEA12B-9373-4C31-B3CD-510E59BDA86B}</b:Guid>
    <b:Author>
      <b:Author>
        <b:Corporate>PMI</b:Corporate>
      </b:Author>
    </b:Author>
    <b:Title>Code of Ethics and Professional Conduct</b:Title>
    <b:Year>2006</b:Year>
    <b:Month>October</b:Month>
    <b:YearAccessed>2018</b:YearAccessed>
    <b:MonthAccessed>December</b:MonthAccessed>
    <b:DayAccessed>17</b:DayAccessed>
    <b:URL>https://www.pmi.org/-/media/pmi/documents/public/pdf/ethics/pmi-code-of-ethics.pdf</b:URL>
    <b:RefOrder>282</b:RefOrder>
  </b:Source>
  <b:Source>
    <b:Tag>Mot02</b:Tag>
    <b:SourceType>DocumentFromInternetSite</b:SourceType>
    <b:Guid>{DD4D4E6F-3431-48C9-9E43-E64DBD26425D}</b:Guid>
    <b:Author>
      <b:Author>
        <b:Corporate>Mott Mac Donald</b:Corporate>
      </b:Author>
    </b:Author>
    <b:Title>Review of Large Public Procurement in the UK</b:Title>
    <b:Year>2002</b:Year>
    <b:Month>April</b:Month>
    <b:Day>25</b:Day>
    <b:YearAccessed>2018</b:YearAccessed>
    <b:MonthAccessed>December</b:MonthAccessed>
    <b:DayAccessed>20</b:DayAccessed>
    <b:URL>https://www.parliament.vic.gov.au/images/stories/committees/paec/2010-11_Budget_Estimates/Extra_bits/Mott_McDonald_Flyvberg_Blake_Dawson_Waldron_studies.pdf</b:URL>
    <b:RefOrder>157</b:RefOrder>
  </b:Source>
  <b:Source>
    <b:Tag>Whe98</b:Tag>
    <b:SourceType>Book</b:SourceType>
    <b:Guid>{C97A47C0-FD36-4587-A834-CCFE7BF56266}</b:Guid>
    <b:Author>
      <b:Author>
        <b:NameList>
          <b:Person>
            <b:Last>Wheelen</b:Last>
            <b:First>Thomas</b:First>
            <b:Middle>L</b:Middle>
          </b:Person>
          <b:Person>
            <b:Last>Hunger</b:Last>
            <b:Middle>J</b:Middle>
            <b:First>David</b:First>
          </b:Person>
        </b:NameList>
      </b:Author>
    </b:Author>
    <b:Title>Strategic Management and Business Policy: Entering 21st Century Global Society</b:Title>
    <b:Year>1998</b:Year>
    <b:City>Reading, Massachusetts</b:City>
    <b:Publisher>Addison-Wesley</b:Publisher>
    <b:Edition>6th</b:Edition>
    <b:RefOrder>64</b:RefOrder>
  </b:Source>
  <b:Source>
    <b:Tag>Geo12</b:Tag>
    <b:SourceType>DocumentFromInternetSite</b:SourceType>
    <b:Guid>{EF67EC78-BCC1-4687-800E-4D8262605DE4}</b:Guid>
    <b:Title>2011 National Business Ethics Survey: Workplace Ethics in Transition</b:Title>
    <b:Year>2012</b:Year>
    <b:Author>
      <b:Author>
        <b:Corporate>Georgetown University</b:Corporate>
      </b:Author>
    </b:Author>
    <b:Month>January</b:Month>
    <b:Day>1</b:Day>
    <b:YearAccessed>2019</b:YearAccessed>
    <b:MonthAccessed>January</b:MonthAccessed>
    <b:DayAccessed>13</b:DayAccessed>
    <b:URL>https://berkleycenter.georgetown.edu/publications/2011-national-business-ethics-survey-workplace-ethics-in-transition</b:URL>
    <b:RefOrder>65</b:RefOrder>
  </b:Source>
  <b:Source>
    <b:Tag>Rob10</b:Tag>
    <b:SourceType>Book</b:SourceType>
    <b:Guid>{9AC3EBE4-79FF-4675-A841-CC592D48C43C}</b:Guid>
    <b:Title>Governance &amp; Knowledge Management for Public-Private Partnerships</b:Title>
    <b:Year>2010</b:Year>
    <b:Author>
      <b:Author>
        <b:NameList>
          <b:Person>
            <b:Last>Robinson</b:Last>
            <b:First>H</b:First>
          </b:Person>
          <b:Person>
            <b:Last>Carillo</b:Last>
            <b:First>P</b:First>
          </b:Person>
          <b:Person>
            <b:Last>Anumba</b:Last>
            <b:Middle>J</b:Middle>
            <b:First>Chimay</b:First>
          </b:Person>
          <b:Person>
            <b:Last>Patel</b:Last>
            <b:First>M</b:First>
          </b:Person>
        </b:NameList>
      </b:Author>
    </b:Author>
    <b:City>Chichester</b:City>
    <b:Publisher>Wiley-Blackwell</b:Publisher>
    <b:RefOrder>31</b:RefOrder>
  </b:Source>
  <b:Source>
    <b:Tag>Ral07</b:Tag>
    <b:SourceType>JournalArticle</b:SourceType>
    <b:Guid>{0B357E94-5117-4DCF-9145-86F3DDFE76F7}</b:Guid>
    <b:Title>The Influence of Project Managers on Project Succes Criteria and Project Success by Type of Project</b:Title>
    <b:Year>2007</b:Year>
    <b:Author>
      <b:Author>
        <b:NameList>
          <b:Person>
            <b:Last>Müller</b:Last>
            <b:First>Ralf</b:First>
          </b:Person>
          <b:Person>
            <b:Last>Turner</b:Last>
            <b:First>Rodney</b:First>
          </b:Person>
        </b:NameList>
      </b:Author>
    </b:Author>
    <b:JournalName>European Management Journal</b:JournalName>
    <b:Pages>298-309</b:Pages>
    <b:Volume>25</b:Volume>
    <b:Issue>4</b:Issue>
    <b:RefOrder>283</b:RefOrder>
  </b:Source>
  <b:Source>
    <b:Tag>Win00</b:Tag>
    <b:SourceType>JournalArticle</b:SourceType>
    <b:Guid>{71DC6295-C50C-46E7-8EA2-04D6A38E2332}</b:Guid>
    <b:Title>Institutional reform in British construction: partnering and private finance</b:Title>
    <b:Year>2000</b:Year>
    <b:Author>
      <b:Author>
        <b:NameList>
          <b:Person>
            <b:Last>Winch</b:Last>
            <b:First>G</b:First>
            <b:Middle>M</b:Middle>
          </b:Person>
        </b:NameList>
      </b:Author>
    </b:Author>
    <b:JournalName>Building Research &amp; Information </b:JournalName>
    <b:Pages>141-155</b:Pages>
    <b:Volume>28</b:Volume>
    <b:Issue>1</b:Issue>
    <b:RefOrder>284</b:RefOrder>
  </b:Source>
  <b:Source>
    <b:Tag>Sle86</b:Tag>
    <b:SourceType>JournalArticle</b:SourceType>
    <b:Guid>{394246DC-444A-4780-9D86-240C764CD157}</b:Guid>
    <b:Title>The Project Implementation Profile: New Tool For Project Managers</b:Title>
    <b:JournalName>Project Management Journal</b:JournalName>
    <b:Year>1986</b:Year>
    <b:Pages>57-70</b:Pages>
    <b:Volume>September</b:Volume>
    <b:Author>
      <b:Author>
        <b:NameList>
          <b:Person>
            <b:Last>Slevin</b:Last>
            <b:Middle>P</b:Middle>
            <b:First>Dennis</b:First>
          </b:Person>
          <b:Person>
            <b:Last>Pinto</b:Last>
            <b:Middle>K</b:Middle>
            <b:First>Jeffrey</b:First>
          </b:Person>
        </b:NameList>
      </b:Author>
    </b:Author>
    <b:RefOrder>285</b:RefOrder>
  </b:Source>
  <b:Source>
    <b:Tag>The171</b:Tag>
    <b:SourceType>DocumentFromInternetSite</b:SourceType>
    <b:Guid>{914BA2D0-0A2B-463A-8E73-C1026F957D34}</b:Guid>
    <b:Author>
      <b:Author>
        <b:Corporate>The Kings Fund</b:Corporate>
      </b:Author>
    </b:Author>
    <b:Title>How is the NHs Structured</b:Title>
    <b:Year>2017</b:Year>
    <b:Month>October</b:Month>
    <b:Day>19</b:Day>
    <b:YearAccessed>2018</b:YearAccessed>
    <b:MonthAccessed>January</b:MonthAccessed>
    <b:DayAccessed>28</b:DayAccessed>
    <b:URL>https://www.kingsfund.org.uk/audio-video/how-new-nhs-structured</b:URL>
    <b:RefOrder>286</b:RefOrder>
  </b:Source>
  <b:Source>
    <b:Tag>OGC11</b:Tag>
    <b:SourceType>DocumentFromInternetSite</b:SourceType>
    <b:Guid>{9EF81695-50BE-4870-8CC4-DBDBBFAB2210}</b:Guid>
    <b:Author>
      <b:Author>
        <b:NameList>
          <b:Person>
            <b:Last>OGC</b:Last>
          </b:Person>
        </b:NameList>
      </b:Author>
    </b:Author>
    <b:Title>OGC Gateway Review for Programmes &amp; Projects</b:Title>
    <b:Year>2011</b:Year>
    <b:Month>August</b:Month>
    <b:Day>11</b:Day>
    <b:YearAccessed>2019</b:YearAccessed>
    <b:MonthAccessed>January</b:MonthAccessed>
    <b:DayAccessed>29</b:DayAccessed>
    <b:URL>https://webarchive.nationalarchives.gov.uk/20110822131337/http://www.ogc.gov.uk/what_is_ogc_gateway_review.asp</b:URL>
    <b:RefOrder>287</b:RefOrder>
  </b:Source>
  <b:Source>
    <b:Tag>OGC10</b:Tag>
    <b:SourceType>InternetSite</b:SourceType>
    <b:Guid>{27AD214A-8F9D-4360-9894-DBD2EFE01412}</b:Guid>
    <b:Title>Introduction to Projects</b:Title>
    <b:Year>2010</b:Year>
    <b:Author>
      <b:Author>
        <b:Corporate>OGC</b:Corporate>
      </b:Author>
    </b:Author>
    <b:YearAccessed>2018</b:YearAccessed>
    <b:MonthAccessed>May</b:MonthAccessed>
    <b:DayAccessed>31</b:DayAccessed>
    <b:URL>http://webarchive.nationalarchives.gov.uk/20100609094045/http://www.ogc.gov.uk/programmes___projects_introduction_to_projects.asp</b:URL>
    <b:RefOrder>8</b:RefOrder>
  </b:Source>
  <b:Source>
    <b:Tag>OGC05</b:Tag>
    <b:SourceType>Misc</b:SourceType>
    <b:Guid>{31747496-6E0A-4EB6-B5B0-161DC16E41EC}</b:Guid>
    <b:Author>
      <b:Author>
        <b:Corporate>OGC</b:Corporate>
      </b:Author>
    </b:Author>
    <b:Title>8 Common Causes of Project Failure</b:Title>
    <b:Year>2005</b:Year>
    <b:City>London</b:City>
    <b:Publisher>Office of Governement Commerce</b:Publisher>
    <b:RefOrder>288</b:RefOrder>
  </b:Source>
  <b:Source>
    <b:Tag>Hug041</b:Tag>
    <b:SourceType>JournalArticle</b:SourceType>
    <b:Guid>{305C1A4C-8D96-4A1A-BD51-20B21F8FB54B}</b:Guid>
    <b:Title>Measuring Project Success in the Construction Industry</b:Title>
    <b:Year>2004</b:Year>
    <b:Author>
      <b:Author>
        <b:NameList>
          <b:Person>
            <b:Last>Hughes</b:Last>
            <b:First>Shawn</b:First>
            <b:Middle>W</b:Middle>
          </b:Person>
          <b:Person>
            <b:Last>Tippett</b:Last>
            <b:Middle>D</b:Middle>
            <b:First>Donald</b:First>
          </b:Person>
          <b:Person>
            <b:Last>Thomas</b:Last>
            <b:Middle>K</b:Middle>
            <b:First>Warren</b:First>
          </b:Person>
        </b:NameList>
      </b:Author>
    </b:Author>
    <b:JournalName>Engineering Management Journal</b:JournalName>
    <b:Pages>31-37</b:Pages>
    <b:Volume>16</b:Volume>
    <b:Issue>3</b:Issue>
    <b:RefOrder>289</b:RefOrder>
  </b:Source>
  <b:Source>
    <b:Tag>Gre99</b:Tag>
    <b:SourceType>Report</b:SourceType>
    <b:Guid>{E77CA9D0-8063-4EAB-9B39-14BA10DD77B9}</b:Guid>
    <b:Title>The history and development of the UK National Health Service 1948 - 1999</b:Title>
    <b:Year>1999</b:Year>
    <b:Author>
      <b:Author>
        <b:NameList>
          <b:Person>
            <b:Last>Greengross</b:Last>
            <b:First>P</b:First>
          </b:Person>
          <b:Person>
            <b:Last>Grant</b:Last>
            <b:First>K</b:First>
          </b:Person>
          <b:Person>
            <b:Last>Collini</b:Last>
            <b:First>E</b:First>
          </b:Person>
        </b:NameList>
      </b:Author>
    </b:Author>
    <b:Publisher>DFID Health Systems Resource Centre</b:Publisher>
    <b:City>London</b:City>
    <b:RefOrder>22</b:RefOrder>
  </b:Source>
  <b:Source>
    <b:Tag>Gov11</b:Tag>
    <b:SourceType>InternetSite</b:SourceType>
    <b:Guid>{0990A46A-A906-4DE3-9D48-00CAB7F69290}</b:Guid>
    <b:Title>PFI approvals and Deeds of Safeguard</b:Title>
    <b:Year>2011</b:Year>
    <b:Author>
      <b:Author>
        <b:Corporate>GOV.UK</b:Corporate>
      </b:Author>
    </b:Author>
    <b:YearAccessed>2019</b:YearAccessed>
    <b:MonthAccessed>January</b:MonthAccessed>
    <b:DayAccessed>30</b:DayAccessed>
    <b:URL>https://www.gov.uk/government/news/pfi-approvals-and-deeds-of-safeguard</b:URL>
    <b:RefOrder>290</b:RefOrder>
  </b:Source>
  <b:Source>
    <b:Tag>Sta16</b:Tag>
    <b:SourceType>InternetSite</b:SourceType>
    <b:Guid>{60A65951-F682-4230-A341-AFA3612E31C4}</b:Guid>
    <b:Author>
      <b:Author>
        <b:Corporate>Stanford Encyclopedia of Philosophy</b:Corporate>
      </b:Author>
    </b:Author>
    <b:Title>Virtue Ethics</b:Title>
    <b:Year>2016</b:Year>
    <b:YearAccessed>2019</b:YearAccessed>
    <b:MonthAccessed>January</b:MonthAccessed>
    <b:DayAccessed>30</b:DayAccessed>
    <b:URL>https://plato.stanford.edu/entries/ethics-virtue/</b:URL>
    <b:RefOrder>291</b:RefOrder>
  </b:Source>
  <b:Source>
    <b:Tag>NMC19</b:Tag>
    <b:SourceType>InternetSite</b:SourceType>
    <b:Guid>{737EA19E-D750-4270-B64F-C13767FECC6A}</b:Guid>
    <b:Author>
      <b:Author>
        <b:Corporate>NMC</b:Corporate>
      </b:Author>
    </b:Author>
    <b:Title>The Code</b:Title>
    <b:Year>2019</b:Year>
    <b:YearAccessed>2019</b:YearAccessed>
    <b:MonthAccessed>February</b:MonthAccessed>
    <b:DayAccessed>2</b:DayAccessed>
    <b:URL>https://www.nmc.org.uk/standards/code/</b:URL>
    <b:RefOrder>80</b:RefOrder>
  </b:Source>
  <b:Source>
    <b:Tag>Ros73</b:Tag>
    <b:SourceType>JournalArticle</b:SourceType>
    <b:Guid>{2FE78987-A973-49BF-8F9A-EB3A1735B01F}</b:Guid>
    <b:Title>The Economic Theory of Agency: The Principals' Problem</b:Title>
    <b:Year>1973</b:Year>
    <b:Author>
      <b:Author>
        <b:NameList>
          <b:Person>
            <b:Last>Ross</b:Last>
            <b:First>S</b:First>
            <b:Middle>A</b:Middle>
          </b:Person>
        </b:NameList>
      </b:Author>
    </b:Author>
    <b:JournalName>American Economi Review</b:JournalName>
    <b:Pages>134-139</b:Pages>
    <b:Volume>63</b:Volume>
    <b:Issue>2</b:Issue>
    <b:RefOrder>87</b:RefOrder>
  </b:Source>
  <b:Source>
    <b:Tag>Dav10</b:Tag>
    <b:SourceType>JournalArticle</b:SourceType>
    <b:Guid>{C864E3BB-F4F9-4AC1-BA18-9E5C52D9B104}</b:Guid>
    <b:Author>
      <b:Author>
        <b:NameList>
          <b:Person>
            <b:Last>Davies</b:Last>
            <b:First>M</b:First>
          </b:Person>
          <b:Person>
            <b:Last>Prince</b:Last>
            <b:First>M</b:First>
          </b:Person>
        </b:NameList>
      </b:Author>
    </b:Author>
    <b:Title>Advertising Agency Compensation, Client Evaluation and Switching Costs: An extension of Agency Theory</b:Title>
    <b:JournalName>Journal of Current Issues and Research in Advertising</b:JournalName>
    <b:Year>2010</b:Year>
    <b:Pages>13-31</b:Pages>
    <b:Volume>32</b:Volume>
    <b:Issue>1</b:Issue>
    <b:RefOrder>90</b:RefOrder>
  </b:Source>
  <b:Source>
    <b:Tag>Cla95</b:Tag>
    <b:SourceType>JournalArticle</b:SourceType>
    <b:Guid>{F3682E4E-7355-441B-93A8-742D265CA9BE}</b:Guid>
    <b:Title>A stakeholder framework for analyzing and evaluating corporate social performance</b:Title>
    <b:Year>1995</b:Year>
    <b:Pages>92-117</b:Pages>
    <b:JournalName>Academy of Management Review</b:JournalName>
    <b:Volume>20</b:Volume>
    <b:Author>
      <b:Author>
        <b:NameList>
          <b:Person>
            <b:Last>Clarkson</b:Last>
            <b:First>M. B. E.</b:First>
          </b:Person>
        </b:NameList>
      </b:Author>
    </b:Author>
    <b:RefOrder>98</b:RefOrder>
  </b:Source>
  <b:Source>
    <b:Tag>Fre04</b:Tag>
    <b:SourceType>JournalArticle</b:SourceType>
    <b:Guid>{335F2787-8074-452A-9845-BC30C80F37BA}</b:Guid>
    <b:Title>The stakeholder approach revisited</b:Title>
    <b:Year>2004</b:Year>
    <b:JournalName>Zeitschrift für Wirtschafts und Unternehmensethick</b:JournalName>
    <b:Pages>228-241</b:Pages>
    <b:Volume>5</b:Volume>
    <b:Author>
      <b:Author>
        <b:NameList>
          <b:Person>
            <b:Last>Freeman</b:Last>
            <b:Middle>E</b:Middle>
            <b:First>R</b:First>
          </b:Person>
        </b:NameList>
      </b:Author>
    </b:Author>
    <b:RefOrder>292</b:RefOrder>
  </b:Source>
  <b:Source>
    <b:Tag>Har10</b:Tag>
    <b:SourceType>JournalArticle</b:SourceType>
    <b:Guid>{BB818EA8-3C1F-4AD8-B1BD-4C56862FB80C}</b:Guid>
    <b:Title>Managing for stakeholders, stakeholder utility, and competative advantage</b:Title>
    <b:JournalName>Strategic Management Journal</b:JournalName>
    <b:Year>2010</b:Year>
    <b:Pages>58-74</b:Pages>
    <b:Volume>31</b:Volume>
    <b:Author>
      <b:Author>
        <b:NameList>
          <b:Person>
            <b:Last>Harrison</b:Last>
            <b:Middle>S</b:Middle>
            <b:First>J</b:First>
          </b:Person>
          <b:Person>
            <b:Last>Bosse</b:Last>
            <b:Middle>A</b:Middle>
            <b:First>D</b:First>
          </b:Person>
          <b:Person>
            <b:Last>Phillips</b:Last>
            <b:Middle>A</b:Middle>
            <b:First>R</b:First>
          </b:Person>
        </b:NameList>
      </b:Author>
    </b:Author>
    <b:RefOrder>293</b:RefOrder>
  </b:Source>
  <b:Source>
    <b:Tag>The19</b:Tag>
    <b:SourceType>InternetSite</b:SourceType>
    <b:Guid>{871B1C21-C757-4766-A90E-B5EB1865E612}</b:Guid>
    <b:Title>Currency Converter: 1270-2017</b:Title>
    <b:Author>
      <b:Author>
        <b:Corporate>The National Archives</b:Corporate>
      </b:Author>
    </b:Author>
    <b:YearAccessed>2019</b:YearAccessed>
    <b:MonthAccessed>Febaruary</b:MonthAccessed>
    <b:DayAccessed>3</b:DayAccessed>
    <b:URL>http://www.nationalarchives.gov.uk/currency-converter/#currency-result</b:URL>
    <b:RefOrder>294</b:RefOrder>
  </b:Source>
  <b:Source>
    <b:Tag>Ban19</b:Tag>
    <b:SourceType>InternetSite</b:SourceType>
    <b:Guid>{997F38EA-FC04-476C-9D5F-98625C8ED7DB}</b:Guid>
    <b:Author>
      <b:Author>
        <b:Corporate>Bank of England</b:Corporate>
      </b:Author>
    </b:Author>
    <b:Title>Inflation Calculator</b:Title>
    <b:Year>2019</b:Year>
    <b:YearAccessed>2019</b:YearAccessed>
    <b:MonthAccessed>February</b:MonthAccessed>
    <b:DayAccessed>3</b:DayAccessed>
    <b:URL>https://www.bankofengland.co.uk/monetary-policy/inflation/inflation-calculator</b:URL>
    <b:RefOrder>108</b:RefOrder>
  </b:Source>
  <b:Source>
    <b:Tag>Ben43</b:Tag>
    <b:SourceType>Book</b:SourceType>
    <b:Guid>{DF4C673B-60EB-4E32-A6E4-0BD88D487CF8}</b:Guid>
    <b:Title>The Works of Jeremey Bentham vol 4</b:Title>
    <b:Year>1843</b:Year>
    <b:Author>
      <b:Author>
        <b:NameList>
          <b:Person>
            <b:Last>Bentham</b:Last>
            <b:First>J</b:First>
          </b:Person>
        </b:NameList>
      </b:Author>
    </b:Author>
    <b:City>Edinburgh</b:City>
    <b:Publisher>William Tait</b:Publisher>
    <b:RefOrder>111</b:RefOrder>
  </b:Source>
  <b:Source>
    <b:Tag>Dav18</b:Tag>
    <b:SourceType>ArticleInAPeriodical</b:SourceType>
    <b:Guid>{8E9B5279-C2DD-4ABE-BDB3-2D88B634E9EE}</b:Guid>
    <b:Title>Iron Discipline</b:Title>
    <b:Year>2018</b:Year>
    <b:Pages>30-32</b:Pages>
    <b:Author>
      <b:Author>
        <b:NameList>
          <b:Person>
            <b:Last>Craik</b:Last>
            <b:First>David</b:First>
          </b:Person>
        </b:NameList>
      </b:Author>
    </b:Author>
    <b:PeriodicalTitle>Project</b:PeriodicalTitle>
    <b:Month>June</b:Month>
    <b:RefOrder>152</b:RefOrder>
  </b:Source>
  <b:Source>
    <b:Tag>Eas</b:Tag>
    <b:SourceType>Book</b:SourceType>
    <b:Guid>{95E49CA7-75D7-40C1-8E48-2152B5699AD8}</b:Guid>
    <b:Author>
      <b:Author>
        <b:NameList>
          <b:Person>
            <b:Last>Easterby-Smith</b:Last>
            <b:First>Mark</b:First>
          </b:Person>
          <b:Person>
            <b:Last>Thorpe</b:Last>
            <b:First>Richard</b:First>
          </b:Person>
          <b:Person>
            <b:Last>Lowe</b:Last>
            <b:First>Andy</b:First>
          </b:Person>
        </b:NameList>
      </b:Author>
    </b:Author>
    <b:Title>Management Research: An Introduction</b:Title>
    <b:Year>1991</b:Year>
    <b:City>London</b:City>
    <b:Publisher>Sage Publications</b:Publisher>
    <b:RefOrder>295</b:RefOrder>
  </b:Source>
  <b:Source>
    <b:Tag>Gov17</b:Tag>
    <b:SourceType>InternetSite</b:SourceType>
    <b:Guid>{2D4124EA-43CD-4B1D-B0AE-4AFEA592A7A8}</b:Guid>
    <b:Title>Project and programme management</b:Title>
    <b:Year>2017</b:Year>
    <b:Author>
      <b:Author>
        <b:Corporate>GOV.UK</b:Corporate>
      </b:Author>
    </b:Author>
    <b:YearAccessed>2019</b:YearAccessed>
    <b:MonthAccessed>March</b:MonthAccessed>
    <b:DayAccessed>9</b:DayAccessed>
    <b:URL>https://www.gov.uk/guidance/project-and-programme-management</b:URL>
    <b:RefOrder>140</b:RefOrder>
  </b:Source>
  <b:Source>
    <b:Tag>The121</b:Tag>
    <b:SourceType>InternetSite</b:SourceType>
    <b:Guid>{84AE2080-332F-4CEB-9238-6497CC025F18}</b:Guid>
    <b:Year>2012</b:Year>
    <b:Author>
      <b:Author>
        <b:Corporate>The Guardian</b:Corporate>
      </b:Author>
    </b:Author>
    <b:YearAccessed>2019</b:YearAccessed>
    <b:MonthAccessed>03</b:MonthAccessed>
    <b:DayAccessed>10</b:DayAccessed>
    <b:URL>https://www.theguardian.com/news/datablog/2012/jul/05/pfi-contracts-list#data</b:URL>
    <b:RefOrder>296</b:RefOrder>
  </b:Source>
  <b:Source>
    <b:Tag>Ful19</b:Tag>
    <b:SourceType>InternetSite</b:SourceType>
    <b:Guid>{DB360621-468F-4E78-A51C-971FC0BD8007}</b:Guid>
    <b:Title>What is the NHS?</b:Title>
    <b:Author>
      <b:Author>
        <b:Corporate>Full Fact</b:Corporate>
      </b:Author>
    </b:Author>
    <b:YearAccessed>2019</b:YearAccessed>
    <b:MonthAccessed>March</b:MonthAccessed>
    <b:DayAccessed>29</b:DayAccessed>
    <b:URL>https://fullfact.org/health/what-is-the-nhs/</b:URL>
    <b:Year>2017</b:Year>
    <b:RefOrder>297</b:RefOrder>
  </b:Source>
  <b:Source>
    <b:Tag>NAO98</b:Tag>
    <b:SourceType>InternetSite</b:SourceType>
    <b:Guid>{EBFAB8A9-C0BE-4AA1-BE2E-C2C06ADEC159}</b:Guid>
    <b:Title>Cost overruns, Funding Problems and Delays on Guy's Hospital Phase III Development </b:Title>
    <b:Year>1998</b:Year>
    <b:Author>
      <b:Author>
        <b:NameList>
          <b:Person>
            <b:Last>NAO</b:Last>
          </b:Person>
        </b:NameList>
      </b:Author>
    </b:Author>
    <b:YearAccessed>2019</b:YearAccessed>
    <b:MonthAccessed>March</b:MonthAccessed>
    <b:DayAccessed>31</b:DayAccessed>
    <b:URL>https://www.nao.org.uk/pubsarchive/wp-content/uploads/sites/14/2018/11/Department-of-Health-Cost-Over-runs-Funding-Problems-and-Delays-on-Guys-Hospital-Phase-III-Development.pdf</b:URL>
    <b:RefOrder>11</b:RefOrder>
  </b:Source>
  <b:Source>
    <b:Tag>BMA18</b:Tag>
    <b:SourceType>InternetSite</b:SourceType>
    <b:Guid>{56B166D4-0089-4859-803F-FD55646AA465}</b:Guid>
    <b:Author>
      <b:Author>
        <b:Corporate>BMA</b:Corporate>
      </b:Author>
    </b:Author>
    <b:Title>Carillion collapse casts doubt over NHS projects</b:Title>
    <b:Year>2018</b:Year>
    <b:YearAccessed>2019</b:YearAccessed>
    <b:MonthAccessed>3</b:MonthAccessed>
    <b:DayAccessed>31</b:DayAccessed>
    <b:URL>https://www.bma.org.uk/news/2018/january/carillion-signals-end-of-outsourcing</b:URL>
    <b:RefOrder>12</b:RefOrder>
  </b:Source>
  <b:Source>
    <b:Tag>THe19</b:Tag>
    <b:SourceType>InternetSite</b:SourceType>
    <b:Guid>{D185CDC2-2790-4A4A-B580-283AFBF22181}</b:Guid>
    <b:Title>Policy Navigator</b:Title>
    <b:Author>
      <b:Author>
        <b:Corporate>The Health Foundation</b:Corporate>
      </b:Author>
    </b:Author>
    <b:YearAccessed>2019</b:YearAccessed>
    <b:MonthAccessed>April</b:MonthAccessed>
    <b:DayAccessed>4</b:DayAccessed>
    <b:URL>https://navigator.health.org.uk/content/hospital-plan-england-and-wales-was-published</b:URL>
    <b:RefOrder>298</b:RefOrder>
  </b:Source>
  <b:Source>
    <b:Tag>Hou18</b:Tag>
    <b:SourceType>InternetSite</b:SourceType>
    <b:Guid>{E8796164-0FB2-48FE-AD5E-D4EC263697F0}</b:Guid>
    <b:Author>
      <b:Author>
        <b:Corporate>House of Commons Library</b:Corporate>
      </b:Author>
    </b:Author>
    <b:Title>Goodbye PFI</b:Title>
    <b:Year>2018</b:Year>
    <b:YearAccessed>2019</b:YearAccessed>
    <b:MonthAccessed>April</b:MonthAccessed>
    <b:DayAccessed>7</b:DayAccessed>
    <b:URL>https://commonslibrary.parliament.uk/parliament-and-elections/government/goodbye-pfi/</b:URL>
    <b:RefOrder>41</b:RefOrder>
  </b:Source>
  <b:Source>
    <b:Tag>NAO031</b:Tag>
    <b:SourceType>InternetSite</b:SourceType>
    <b:Guid>{79C87CAA-1880-407F-9F0D-B160B3C41800}</b:Guid>
    <b:Author>
      <b:Author>
        <b:Corporate>NAO</b:Corporate>
      </b:Author>
    </b:Author>
    <b:Title>PFI: Construction Performance</b:Title>
    <b:Year>2003</b:Year>
    <b:YearAccessed>2019</b:YearAccessed>
    <b:MonthAccessed>April </b:MonthAccessed>
    <b:DayAccessed>7</b:DayAccessed>
    <b:URL>https://www.nao.org.uk/report/pfi-construction-performance/#</b:URL>
    <b:RefOrder>34</b:RefOrder>
  </b:Source>
  <b:Source>
    <b:Tag>Gra01</b:Tag>
    <b:SourceType>Report</b:SourceType>
    <b:Guid>{ECC65CEE-46A9-4863-8492-FD735644776D}</b:Guid>
    <b:Title>The Private Finance Initiative (PFI)</b:Title>
    <b:Year>2001</b:Year>
    <b:Author>
      <b:Author>
        <b:NameList>
          <b:Person>
            <b:Last>Allen</b:Last>
            <b:First>Grahame</b:First>
          </b:Person>
        </b:NameList>
      </b:Author>
    </b:Author>
    <b:Publisher>House of Commons</b:Publisher>
    <b:RefOrder>36</b:RefOrder>
  </b:Source>
  <b:Source>
    <b:Tag>NAO09</b:Tag>
    <b:SourceType>Report</b:SourceType>
    <b:Guid>{26753835-678A-4761-B319-19F7421413DC}</b:Guid>
    <b:Author>
      <b:Author>
        <b:Corporate>NAO</b:Corporate>
      </b:Author>
    </b:Author>
    <b:Title>Private Finance Projects: A paper for the Lords Economic Affairs Committee</b:Title>
    <b:Year>2009</b:Year>
    <b:Publisher>NAO</b:Publisher>
    <b:City>London</b:City>
    <b:RefOrder>35</b:RefOrder>
  </b:Source>
  <b:Source>
    <b:Tag>NAO18</b:Tag>
    <b:SourceType>Report</b:SourceType>
    <b:Guid>{8495F9AC-72D6-43AF-8A5E-575217548D00}</b:Guid>
    <b:Author>
      <b:Author>
        <b:Corporate>NAO</b:Corporate>
      </b:Author>
    </b:Author>
    <b:Title>PFI and PF2</b:Title>
    <b:Year>2018</b:Year>
    <b:Publisher>NAO</b:Publisher>
    <b:City>London</b:City>
    <b:RefOrder>40</b:RefOrder>
  </b:Source>
  <b:Source>
    <b:Tag>HMT031</b:Tag>
    <b:SourceType>Report</b:SourceType>
    <b:Guid>{236DAC7B-62BE-445A-9A0E-4A91F4F2491C}</b:Guid>
    <b:Author>
      <b:Author>
        <b:Corporate>HM Treasury</b:Corporate>
      </b:Author>
    </b:Author>
    <b:Title>PFI: Meeting the investment challenge</b:Title>
    <b:Year>2003</b:Year>
    <b:Publisher>HM Treasury</b:Publisher>
    <b:City>London</b:City>
    <b:RefOrder>33</b:RefOrder>
  </b:Source>
  <b:Source>
    <b:Tag>Tur03</b:Tag>
    <b:SourceType>JournalArticle</b:SourceType>
    <b:Guid>{CE3898F1-15D2-4C4F-B771-7CC62FC16E4A}</b:Guid>
    <b:Title>On the nature of the project as a temporary organization</b:Title>
    <b:Year>2003</b:Year>
    <b:JournalName>International Journal of Project Management</b:JournalName>
    <b:Pages>1-8</b:Pages>
    <b:Volume>21</b:Volume>
    <b:Author>
      <b:Author>
        <b:NameList>
          <b:Person>
            <b:Last>Turner</b:Last>
            <b:First>J</b:First>
            <b:Middle>Rodney</b:Middle>
          </b:Person>
          <b:Person>
            <b:Last>Müller</b:Last>
            <b:First>Ralf</b:First>
          </b:Person>
        </b:NameList>
      </b:Author>
    </b:Author>
    <b:RefOrder>93</b:RefOrder>
  </b:Source>
  <b:Source>
    <b:Tag>HSE18</b:Tag>
    <b:SourceType>InternetSite</b:SourceType>
    <b:Guid>{F4407F0F-742B-432B-8C48-7A0569F4CD8F}</b:Guid>
    <b:Title>Health and Safety in Construction Sector in Great Britain 2016/17</b:Title>
    <b:Year>2018</b:Year>
    <b:Author>
      <b:Author>
        <b:Corporate>HSE</b:Corporate>
      </b:Author>
    </b:Author>
    <b:YearAccessed>2019</b:YearAccessed>
    <b:MonthAccessed>January</b:MonthAccessed>
    <b:DayAccessed>25</b:DayAccessed>
    <b:URL>www.hse.gov.uk/statistics/industry/construction/construction.pdf</b:URL>
    <b:RefOrder>166</b:RefOrder>
  </b:Source>
  <b:Source>
    <b:Tag>HMT18</b:Tag>
    <b:SourceType>Report</b:SourceType>
    <b:Guid>{E8CC66B0-7846-41AD-AB36-65FA2FAA3E3E}</b:Guid>
    <b:Author>
      <b:Author>
        <b:Corporate>HMT</b:Corporate>
      </b:Author>
    </b:Author>
    <b:Title>The Green Book: Central Government Guidance on Appraisal and Evaluation </b:Title>
    <b:Year>2018</b:Year>
    <b:URL>https://assets.publishing.service.gov.uk/government/uploads/system/uploads/attachment_data/file/685903/The_Green_Book.pdf</b:URL>
    <b:Publisher>Crown copyright</b:Publisher>
    <b:City>London</b:City>
    <b:RefOrder>45</b:RefOrder>
  </b:Source>
  <b:Source>
    <b:Tag>GMC181</b:Tag>
    <b:SourceType>InternetSite</b:SourceType>
    <b:Guid>{64006B15-FB6B-4B9E-8E85-B8EF31DE3A84}</b:Guid>
    <b:Author>
      <b:Author>
        <b:Corporate>GMC</b:Corporate>
      </b:Author>
    </b:Author>
    <b:Title>Ethical Guidance</b:Title>
    <b:Year>2018</b:Year>
    <b:YearAccessed>2018</b:YearAccessed>
    <b:MonthAccessed>July</b:MonthAccessed>
    <b:DayAccessed>3</b:DayAccessed>
    <b:URL>https://www.gmc-uk.org/ethical-guidance</b:URL>
    <b:RefOrder>78</b:RefOrder>
  </b:Source>
  <b:Source>
    <b:Tag>New10</b:Tag>
    <b:SourceType>Book</b:SourceType>
    <b:Guid>{2B53914E-C375-4A3B-9F52-15331F896F11}</b:Guid>
    <b:Title>The Project Manager: Mastering the Art of Delivery</b:Title>
    <b:Year>2009</b:Year>
    <b:Author>
      <b:Author>
        <b:NameList>
          <b:Person>
            <b:Last>Newton</b:Last>
            <b:First>Richard</b:First>
          </b:Person>
        </b:NameList>
      </b:Author>
    </b:Author>
    <b:YearAccessed>2015</b:YearAccessed>
    <b:MonthAccessed>November</b:MonthAccessed>
    <b:DayAccessed>11</b:DayAccessed>
    <b:City>Harlow</b:City>
    <b:Publisher>Pearson Education Limited</b:Publisher>
    <b:Edition>2nd</b:Edition>
    <b:URL>http://www.mylibrary.com?ID=226619</b:URL>
    <b:RefOrder>299</b:RefOrder>
  </b:Source>
  <b:Source>
    <b:Tag>Mas10</b:Tag>
    <b:SourceType>InternetSite</b:SourceType>
    <b:Guid>{410B2865-FF17-4B91-A426-562BCFED8E06}</b:Guid>
    <b:Title>Sample Size and Saturation in PhD Studies Using Qualitative Interviews</b:Title>
    <b:Year>2010</b:Year>
    <b:Author>
      <b:Author>
        <b:NameList>
          <b:Person>
            <b:Last>Mason</b:Last>
            <b:First>M</b:First>
          </b:Person>
        </b:NameList>
      </b:Author>
    </b:Author>
    <b:JournalName>Forum: Qualititaive Social Research</b:JournalName>
    <b:Volume>3</b:Volume>
    <b:YearAccessed>2019</b:YearAccessed>
    <b:MonthAccessed>June</b:MonthAccessed>
    <b:DayAccessed>20</b:DayAccessed>
    <b:URL>http://www.qualitative-research.net/index.php/fqs/article/view/1428/3027#g11</b:URL>
    <b:RefOrder>183</b:RefOrder>
  </b:Source>
  <b:Source>
    <b:Tag>Bow08</b:Tag>
    <b:SourceType>JournalArticle</b:SourceType>
    <b:Guid>{B42FE66D-A0B0-4726-9424-BF72F3F51AA8}</b:Guid>
    <b:Author>
      <b:Author>
        <b:NameList>
          <b:Person>
            <b:Last>Bowen</b:Last>
            <b:First>G</b:First>
          </b:Person>
        </b:NameList>
      </b:Author>
    </b:Author>
    <b:Title>Naturalistic inquiry and the saturation concept: A research note.</b:Title>
    <b:Year>2008</b:Year>
    <b:JournalName>Qualitative Research</b:JournalName>
    <b:Pages>137-152</b:Pages>
    <b:Volume>8</b:Volume>
    <b:Issue>1</b:Issue>
    <b:RefOrder>300</b:RefOrder>
  </b:Source>
  <b:Source>
    <b:Tag>Gla67</b:Tag>
    <b:SourceType>Book</b:SourceType>
    <b:Guid>{AB9AC903-AD50-4C39-8961-D0F551831DD8}</b:Guid>
    <b:Title>The discovery of grounded theory: Strategies for qualitative research</b:Title>
    <b:Year>1967</b:Year>
    <b:Author>
      <b:Author>
        <b:NameList>
          <b:Person>
            <b:Last>Glaser</b:Last>
            <b:First>Barney</b:First>
          </b:Person>
          <b:Person>
            <b:Last>Strauss</b:Last>
            <b:First>Anselm</b:First>
          </b:Person>
        </b:NameList>
      </b:Author>
    </b:Author>
    <b:City>New York</b:City>
    <b:Publisher>Aldine Publishing Company</b:Publisher>
    <b:RefOrder>301</b:RefOrder>
  </b:Source>
  <b:Source>
    <b:Tag>Str90</b:Tag>
    <b:SourceType>Book</b:SourceType>
    <b:Guid>{72F3C3CF-45F6-4FB0-AB4A-A61CFD48FE47}</b:Guid>
    <b:Author>
      <b:Author>
        <b:NameList>
          <b:Person>
            <b:Last>Strauss</b:Last>
            <b:First>Anselm</b:First>
          </b:Person>
        </b:NameList>
      </b:Author>
    </b:Author>
    <b:Title>Basics of qualitative research: Techniques and procedures for developing grounded theory</b:Title>
    <b:Year>1998</b:Year>
    <b:City>Thousand Oaks</b:City>
    <b:Publisher>Sage</b:Publisher>
    <b:RefOrder>302</b:RefOrder>
  </b:Source>
  <b:Source>
    <b:Tag>NHS172</b:Tag>
    <b:SourceType>Report</b:SourceType>
    <b:Guid>{69DE49FB-E6FB-408B-92DA-09F3275E313E}</b:Guid>
    <b:Author>
      <b:Author>
        <b:Corporate>NHS Improvement</b:Corporate>
      </b:Author>
    </b:Author>
    <b:Title>Capital regime, investment and property business case approval guidance for NHS trusts and foundation trusts</b:Title>
    <b:Year>2017</b:Year>
    <b:RefOrder>155</b:RefOrder>
  </b:Source>
  <b:Source>
    <b:Tag>Rev84</b:Tag>
    <b:SourceType>JournalArticle</b:SourceType>
    <b:Guid>{760E4CFC-7823-4C49-8ED6-47F80941825D}</b:Guid>
    <b:Title>Organization and governance in construction</b:Title>
    <b:JournalName>International Journal of Project Management</b:JournalName>
    <b:Year>1984</b:Year>
    <b:Pages>17-25</b:Pages>
    <b:Volume>2</b:Volume>
    <b:Issue>1</b:Issue>
    <b:Author>
      <b:Author>
        <b:NameList>
          <b:Person>
            <b:Last>Reve</b:Last>
            <b:First>Torger</b:First>
          </b:Person>
          <b:Person>
            <b:Last>Levitt</b:Last>
            <b:Middle>E</b:Middle>
            <b:First>Raymond</b:First>
          </b:Person>
        </b:NameList>
      </b:Author>
    </b:Author>
    <b:RefOrder>136</b:RefOrder>
  </b:Source>
  <b:Source>
    <b:Tag>Sah94</b:Tag>
    <b:SourceType>JournalArticle</b:SourceType>
    <b:Guid>{9EC3CE02-B6F4-4544-84B7-CC20AF8B5604}</b:Guid>
    <b:Title>Insights from the Venture Capital Model of Project Governance</b:Title>
    <b:Year>1994</b:Year>
    <b:Author>
      <b:Author>
        <b:NameList>
          <b:Person>
            <b:Last>Sahlman</b:Last>
            <b:First>William</b:First>
            <b:Middle>A</b:Middle>
          </b:Person>
        </b:NameList>
      </b:Author>
    </b:Author>
    <b:JournalName>Business Economics</b:JournalName>
    <b:Pages>35-37</b:Pages>
    <b:Volume>29</b:Volume>
    <b:Issue>3</b:Issue>
    <b:RefOrder>135</b:RefOrder>
  </b:Source>
  <b:Source>
    <b:Tag>Mar97</b:Tag>
    <b:SourceType>JournalArticle</b:SourceType>
    <b:Guid>{2865B65A-EC08-4F2A-924E-C87158379709}</b:Guid>
    <b:Author>
      <b:Author>
        <b:NameList>
          <b:Person>
            <b:Last>Schminke</b:Last>
            <b:First>Marshal</b:First>
          </b:Person>
          <b:Person>
            <b:Last>Ambrose</b:Last>
            <b:First>Maureen</b:First>
            <b:Middle>L</b:Middle>
          </b:Person>
        </b:NameList>
      </b:Author>
    </b:Author>
    <b:Title>Asymmetric Perceptions of Ethical Frameworks of Men and Women in Business and Nonbusiness Settings</b:Title>
    <b:JournalName>Journal of Business Ethics</b:JournalName>
    <b:Year>1997</b:Year>
    <b:Pages>719-729</b:Pages>
    <b:Volume>16</b:Volume>
    <b:RefOrder>71</b:RefOrder>
  </b:Source>
  <b:Source>
    <b:Tag>Tur98</b:Tag>
    <b:SourceType>Report</b:SourceType>
    <b:Guid>{FCB5AF5C-CEA9-4907-8D0E-0083E5C945DD}</b:Guid>
    <b:Author>
      <b:Author>
        <b:NameList>
          <b:Person>
            <b:Last>Turnberg</b:Last>
            <b:First>L</b:First>
          </b:Person>
        </b:NameList>
      </b:Author>
    </b:Author>
    <b:Title>Health Services in London</b:Title>
    <b:Year>1998</b:Year>
    <b:Publisher>Department of Health</b:Publisher>
    <b:City>London</b:City>
    <b:RefOrder>24</b:RefOrder>
  </b:Source>
  <b:Source>
    <b:Tag>Dep97</b:Tag>
    <b:SourceType>Report</b:SourceType>
    <b:Guid>{BB1F1604-0567-4766-AD94-25F40BF3A382}</b:Guid>
    <b:Title>The new NHS modern, dependable</b:Title>
    <b:Year>1997</b:Year>
    <b:Publisher>TSO</b:Publisher>
    <b:Author>
      <b:Author>
        <b:Corporate>DH</b:Corporate>
      </b:Author>
    </b:Author>
    <b:RefOrder>25</b:RefOrder>
  </b:Source>
  <b:Source>
    <b:Tag>Dep001</b:Tag>
    <b:SourceType>Report</b:SourceType>
    <b:Guid>{97326E01-6698-4F5F-8970-491106BD9839}</b:Guid>
    <b:Title>The NHS Plan plan for investment, a plan for reform</b:Title>
    <b:Year>2000</b:Year>
    <b:Publisher>TSO</b:Publisher>
    <b:Author>
      <b:Author>
        <b:Corporate>DH</b:Corporate>
      </b:Author>
    </b:Author>
    <b:RefOrder>303</b:RefOrder>
  </b:Source>
  <b:Source>
    <b:Tag>Dep14</b:Tag>
    <b:SourceType>DocumentFromInternetSite</b:SourceType>
    <b:Guid>{0B3B3CE0-D29F-451F-9B52-F81907B258F9}</b:Guid>
    <b:Title>Health Building Note 00-01 General Guidance for healthcare buildings</b:Title>
    <b:Year>2014</b:Year>
    <b:Author>
      <b:Author>
        <b:Corporate>DH</b:Corporate>
      </b:Author>
    </b:Author>
    <b:Month>March</b:Month>
    <b:YearAccessed>2018</b:YearAccessed>
    <b:MonthAccessed>December</b:MonthAccessed>
    <b:DayAccessed>2</b:DayAccessed>
    <b:URL>https://assets.publishing.service.gov.uk/government/uploads/system/uploads/attachment_data/file/316247/HBN_00-01-2.pdf</b:URL>
    <b:RefOrder>49</b:RefOrder>
  </b:Source>
  <b:Source>
    <b:Tag>Dep13</b:Tag>
    <b:SourceType>Misc</b:SourceType>
    <b:Guid>{96B201CD-AC30-491A-B268-00766C369608}</b:Guid>
    <b:Title>Health Building Note 04-01: Adult In-patient Facilities</b:Title>
    <b:Year>2013</b:Year>
    <b:Publisher>Department of Health</b:Publisher>
    <b:Author>
      <b:Author>
        <b:Corporate>DH</b:Corporate>
      </b:Author>
    </b:Author>
    <b:RefOrder>50</b:RefOrder>
  </b:Source>
  <b:Source>
    <b:Tag>Dep141</b:Tag>
    <b:SourceType>Misc</b:SourceType>
    <b:Guid>{D0E4C96A-A677-464C-93C0-9C059A6EEF86}</b:Guid>
    <b:Author>
      <b:Author>
        <b:Corporate>DH</b:Corporate>
      </b:Author>
    </b:Author>
    <b:Title>Health Technical Memorandum 00: Policies and principles of healthcare engineering</b:Title>
    <b:Year>2014</b:Year>
    <b:Publisher>Department of Health</b:Publisher>
    <b:RefOrder>51</b:RefOrder>
  </b:Source>
  <b:Source>
    <b:Tag>Fra99</b:Tag>
    <b:SourceType>Book</b:SourceType>
    <b:Guid>{A40A17D5-D3E0-462E-B1DE-743B2EF6982E}</b:Guid>
    <b:Title>50 Years of Ideas in healthcare buildings</b:Title>
    <b:Year>1999</b:Year>
    <b:Publisher>Nuffield Trust</b:Publisher>
    <b:City>London</b:City>
    <b:Author>
      <b:Author>
        <b:NameList>
          <b:Person>
            <b:Last>Francis</b:Last>
            <b:First>Susan</b:First>
          </b:Person>
          <b:Person>
            <b:Last>Glanville </b:Last>
            <b:First>Rosemary</b:First>
          </b:Person>
          <b:Person>
            <b:Last>Ann</b:Last>
            <b:First>Noble</b:First>
          </b:Person>
          <b:Person>
            <b:Last>Peter</b:Last>
            <b:First>Scher</b:First>
          </b:Person>
        </b:NameList>
      </b:Author>
    </b:Author>
    <b:RefOrder>27</b:RefOrder>
  </b:Source>
  <b:Source>
    <b:Tag>Aki03</b:Tag>
    <b:SourceType>JournalArticle</b:SourceType>
    <b:Guid>{6CBE07B7-C34D-47BD-97B5-EC5A8B3578C4}</b:Guid>
    <b:Title>Achieving best value in private initiative project procurement</b:Title>
    <b:Year>2003</b:Year>
    <b:JournalName>Construction Management and Economics</b:JournalName>
    <b:Pages>461-470</b:Pages>
    <b:Volume>21</b:Volume>
    <b:Issue>July/August</b:Issue>
    <b:Author>
      <b:Author>
        <b:NameList>
          <b:Person>
            <b:Last>Akintoye</b:Last>
            <b:First>A</b:First>
          </b:Person>
          <b:Person>
            <b:Last>Hardcastle</b:Last>
            <b:First>C</b:First>
          </b:Person>
          <b:Person>
            <b:Last>Chinyio</b:Last>
            <b:First>E</b:First>
          </b:Person>
          <b:Person>
            <b:Last>Asenova</b:Last>
            <b:First>D</b:First>
          </b:Person>
        </b:NameList>
      </b:Author>
    </b:Author>
    <b:RefOrder>32</b:RefOrder>
  </b:Source>
  <b:Source>
    <b:Tag>Sha11</b:Tag>
    <b:SourceType>JournalArticle</b:SourceType>
    <b:Guid>{E774AFE6-2AEF-423C-96B7-5BC60071177E}</b:Guid>
    <b:Title>NHS Capital Investment and PFI: From Central Responsibility to Local Affordability</b:Title>
    <b:JournalName>Financial Accountability &amp; Management</b:JournalName>
    <b:Year>2011</b:Year>
    <b:Pages>0276-4424</b:Pages>
    <b:Volume>27</b:Volume>
    <b:Issue>1</b:Issue>
    <b:Author>
      <b:Author>
        <b:NameList>
          <b:Person>
            <b:Last>Shaoul</b:Last>
            <b:First>J</b:First>
          </b:Person>
          <b:Person>
            <b:Last>Stafford</b:Last>
            <b:First>A</b:First>
          </b:Person>
          <b:Person>
            <b:Last>Stapleton</b:Last>
            <b:First>P</b:First>
          </b:Person>
        </b:NameList>
      </b:Author>
    </b:Author>
    <b:RefOrder>39</b:RefOrder>
  </b:Source>
  <b:Source>
    <b:Tag>Car08</b:Tag>
    <b:SourceType>JournalArticle</b:SourceType>
    <b:Guid>{E4EAB3D3-7175-4C3B-9DAC-1FD0B478675F}</b:Guid>
    <b:Title>Participation, Barriers, and Opportunities in PFI: The United Kingdom Experience</b:Title>
    <b:JournalName>Journal of Management in Engineering</b:JournalName>
    <b:Year>2008</b:Year>
    <b:Pages>138-145</b:Pages>
    <b:Volume>July</b:Volume>
    <b:Author>
      <b:Author>
        <b:NameList>
          <b:Person>
            <b:Last>Carrillo</b:Last>
            <b:First>P</b:First>
          </b:Person>
          <b:Person>
            <b:Last>Robinson</b:Last>
            <b:First>H</b:First>
          </b:Person>
          <b:Person>
            <b:Last>Foale</b:Last>
            <b:First>P</b:First>
          </b:Person>
          <b:Person>
            <b:Last>Anumba</b:Last>
            <b:First>C</b:First>
          </b:Person>
          <b:Person>
            <b:Last>Bouchlaghem</b:Last>
            <b:First>D</b:First>
          </b:Person>
        </b:NameList>
      </b:Author>
    </b:Author>
    <b:RefOrder>37</b:RefOrder>
  </b:Source>
  <b:Source>
    <b:Tag>Gaf99</b:Tag>
    <b:SourceType>JournalArticle</b:SourceType>
    <b:Guid>{CBAB49B8-7F50-4CE5-AB4A-8D6841933B48}</b:Guid>
    <b:Title>Pump priming the PFI: Why are privately financed hospital schemes being subsidized?</b:Title>
    <b:JournalName>Public Money and Management</b:JournalName>
    <b:Year>1999</b:Year>
    <b:Pages>55-62</b:Pages>
    <b:Volume>19</b:Volume>
    <b:Issue>1</b:Issue>
    <b:Author>
      <b:Author>
        <b:NameList>
          <b:Person>
            <b:Last>Gaffney</b:Last>
            <b:First>D</b:First>
          </b:Person>
          <b:Person>
            <b:Last>Pollock</b:Last>
            <b:First>A</b:First>
          </b:Person>
        </b:NameList>
      </b:Author>
    </b:Author>
    <b:RefOrder>38</b:RefOrder>
  </b:Source>
  <b:Source>
    <b:Tag>Bar08</b:Tag>
    <b:SourceType>JournalArticle</b:SourceType>
    <b:Guid>{3F75243D-A28B-4095-B8AF-91AD4C3D9A58}</b:Guid>
    <b:Title>Delivering Innovation in Hospital Construction </b:Title>
    <b:JournalName>California Management Review</b:JournalName>
    <b:Year>2008</b:Year>
    <b:Pages>1-18</b:Pages>
    <b:Volume>51</b:Volume>
    <b:Issue>2</b:Issue>
    <b:Author>
      <b:Author>
        <b:NameList>
          <b:Person>
            <b:Last>Barlow</b:Last>
            <b:First>J</b:First>
          </b:Person>
          <b:Person>
            <b:Last>Köberle-Gaiser</b:Last>
            <b:First>M</b:First>
          </b:Person>
        </b:NameList>
      </b:Author>
    </b:Author>
    <b:RefOrder>30</b:RefOrder>
  </b:Source>
  <b:Source>
    <b:Tag>Mic01</b:Tag>
    <b:SourceType>JournalArticle</b:SourceType>
    <b:Guid>{6C318602-5748-46F1-A618-287102585F23}</b:Guid>
    <b:Title>Ethics Counselors as a New Priesthood</b:Title>
    <b:JournalName>Journal of Business Ethics</b:JournalName>
    <b:Year>2001</b:Year>
    <b:Pages>3-17</b:Pages>
    <b:Volume>29</b:Volume>
    <b:Author>
      <b:Author>
        <b:NameList>
          <b:Person>
            <b:Last>Michalos</b:Last>
            <b:Middle>C</b:Middle>
            <b:First>A</b:First>
          </b:Person>
        </b:NameList>
      </b:Author>
    </b:Author>
    <b:RefOrder>62</b:RefOrder>
  </b:Source>
  <b:Source>
    <b:Tag>Ins05</b:Tag>
    <b:SourceType>Book</b:SourceType>
    <b:Guid>{B3C62F90-4DA8-428E-879F-84A2BF9648DA}</b:Guid>
    <b:Title>The Handbook of International Corporate Governance</b:Title>
    <b:Year>2005</b:Year>
    <b:Author>
      <b:Author>
        <b:Corporate>Institute of Directors</b:Corporate>
      </b:Author>
    </b:Author>
    <b:City>London and Sterling</b:City>
    <b:Publisher>Institute of Directors and Kogan Page Ltd</b:Publisher>
    <b:RefOrder>126</b:RefOrder>
  </b:Source>
  <b:Source>
    <b:Tag>ISO12</b:Tag>
    <b:SourceType>Misc</b:SourceType>
    <b:Guid>{DCF3700E-24C7-4CFB-A311-614DAD36F6D9}</b:Guid>
    <b:Author>
      <b:Author>
        <b:Corporate>ISO</b:Corporate>
      </b:Author>
    </b:Author>
    <b:Title>Guidance on Project Management</b:Title>
    <b:Year>2012</b:Year>
    <b:City>London</b:City>
    <b:Publisher>BSi</b:Publisher>
    <b:RefOrder>304</b:RefOrder>
  </b:Source>
  <b:Source>
    <b:Tag>Cen091</b:Tag>
    <b:SourceType>JournalArticle</b:SourceType>
    <b:Guid>{6215522B-36C6-40D0-9AD0-CBC3105C7C94}</b:Guid>
    <b:Title>Does Stakeholder Management have a Dark side?</b:Title>
    <b:Year>2009</b:Year>
    <b:JournalName>Journal of Business Ethics</b:JournalName>
    <b:Pages>491-507</b:Pages>
    <b:Volume>89</b:Volume>
    <b:Author>
      <b:Author>
        <b:NameList>
          <b:Person>
            <b:Last>Cennamo</b:Last>
            <b:First>C</b:First>
          </b:Person>
          <b:Person>
            <b:Last>Berrone</b:Last>
            <b:First>P</b:First>
          </b:Person>
          <b:Person>
            <b:Last>Gomez-Mejia</b:Last>
            <b:Middle>R</b:Middle>
            <b:First>Luis</b:First>
          </b:Person>
        </b:NameList>
      </b:Author>
    </b:Author>
    <b:RefOrder>97</b:RefOrder>
  </b:Source>
  <b:Source>
    <b:Tag>Ola07</b:Tag>
    <b:SourceType>JournalArticle</b:SourceType>
    <b:Guid>{6BF6FB20-4A5B-43B3-AEC1-EE39B1B90A31}</b:Guid>
    <b:Title>Stakeholder impact analysis in construction project management</b:Title>
    <b:JournalName>Construction Management and Economics</b:JournalName>
    <b:Year>2007</b:Year>
    <b:Pages>277-287</b:Pages>
    <b:Volume>25</b:Volume>
    <b:Author>
      <b:Author>
        <b:NameList>
          <b:Person>
            <b:Last>Olander</b:Last>
            <b:First>Stefan</b:First>
          </b:Person>
        </b:NameList>
      </b:Author>
    </b:Author>
    <b:RefOrder>305</b:RefOrder>
  </b:Source>
  <b:Source>
    <b:Tag>BSI12</b:Tag>
    <b:SourceType>Report</b:SourceType>
    <b:Guid>{5630918E-9596-49AD-BAB6-6F656B65C462}</b:Guid>
    <b:Title>Guidance on Project Management </b:Title>
    <b:Year>2012</b:Year>
    <b:Author>
      <b:Author>
        <b:Corporate>BSI</b:Corporate>
      </b:Author>
    </b:Author>
    <b:Publisher>BSI</b:Publisher>
    <b:City>London</b:City>
    <b:RefOrder>131</b:RefOrder>
  </b:Source>
  <b:Source>
    <b:Tag>Lit10</b:Tag>
    <b:SourceType>JournalArticle</b:SourceType>
    <b:Guid>{50415260-0CF3-4AC8-9D92-96A60093807C}</b:Guid>
    <b:Title>25 Years of Stakeholder THeory in Project Management Literature</b:Title>
    <b:Year>2010</b:Year>
    <b:JournalName>Project Management Journal</b:JournalName>
    <b:Pages>17-29</b:Pages>
    <b:Author>
      <b:Author>
        <b:NameList>
          <b:Person>
            <b:Last>Littau</b:Last>
            <b:First>Paul</b:First>
          </b:Person>
          <b:Person>
            <b:Last>Jujagiri</b:Last>
            <b:Middle>J</b:Middle>
            <b:First>Nirmala</b:First>
          </b:Person>
          <b:Person>
            <b:Last>Adlbreacht</b:Last>
            <b:First>Gerald</b:First>
          </b:Person>
        </b:NameList>
      </b:Author>
    </b:Author>
    <b:RefOrder>101</b:RefOrder>
  </b:Source>
  <b:Source>
    <b:Tag>Atk08</b:Tag>
    <b:SourceType>JournalArticle</b:SourceType>
    <b:Guid>{8708A895-D327-424C-AA47-42FFF78BF25B}</b:Guid>
    <b:Title>Editorial: stakeholder management in construction </b:Title>
    <b:JournalName>Construction Management and Economics</b:JournalName>
    <b:Year>2008</b:Year>
    <b:Pages>549-552</b:Pages>
    <b:Volume>26</b:Volume>
    <b:Author>
      <b:Author>
        <b:NameList>
          <b:Person>
            <b:Last>Atkin</b:Last>
            <b:First>B</b:First>
          </b:Person>
          <b:Person>
            <b:Last>Skitmore</b:Last>
            <b:First>M</b:First>
          </b:Person>
        </b:NameList>
      </b:Author>
    </b:Author>
    <b:RefOrder>306</b:RefOrder>
  </b:Source>
  <b:Source>
    <b:Tag>Joh08</b:Tag>
    <b:SourceType>Book</b:SourceType>
    <b:Guid>{3B8F173F-B692-4584-9085-0BBF8FC2754B}</b:Guid>
    <b:Title>Exploring Corporate Strategy: Text and Cases</b:Title>
    <b:Year>2008</b:Year>
    <b:City>Harlow</b:City>
    <b:Publisher>Pearson Educational Ltd</b:Publisher>
    <b:Edition>8</b:Edition>
    <b:Author>
      <b:Author>
        <b:NameList>
          <b:Person>
            <b:Last>Johnson</b:Last>
            <b:First>G</b:First>
          </b:Person>
          <b:Person>
            <b:Last>Scholes</b:Last>
            <b:First>K</b:First>
          </b:Person>
          <b:Person>
            <b:Last>Whittington </b:Last>
            <b:First>R</b:First>
          </b:Person>
        </b:NameList>
      </b:Author>
    </b:Author>
    <b:RefOrder>102</b:RefOrder>
  </b:Source>
  <b:Source>
    <b:Tag>Ola071</b:Tag>
    <b:SourceType>JournalArticle</b:SourceType>
    <b:Guid>{CA1A3F9D-AAD6-4F73-8AE1-C57DEDB8C707}</b:Guid>
    <b:Title>Stakeholder impact analysis in construction project management</b:Title>
    <b:Year>2007</b:Year>
    <b:JournalName>Construction Management and Economics</b:JournalName>
    <b:Pages>277-287</b:Pages>
    <b:Volume>25</b:Volume>
    <b:Issue>3</b:Issue>
    <b:Author>
      <b:Author>
        <b:NameList>
          <b:Person>
            <b:Last>Olander</b:Last>
            <b:First>S</b:First>
          </b:Person>
        </b:NameList>
      </b:Author>
    </b:Author>
    <b:RefOrder>103</b:RefOrder>
  </b:Source>
  <b:Source>
    <b:Tag>Mit97</b:Tag>
    <b:SourceType>JournalArticle</b:SourceType>
    <b:Guid>{2A9CAB8F-E73A-46CD-A369-0B32CD706C3D}</b:Guid>
    <b:Title>Toward a theory of stakeholder identification and salience: defining the principle of who and what really counts</b:Title>
    <b:JournalName>Academy of Management review</b:JournalName>
    <b:Year>1997</b:Year>
    <b:Pages>853-885</b:Pages>
    <b:Volume>22</b:Volume>
    <b:Issue>4</b:Issue>
    <b:Author>
      <b:Author>
        <b:NameList>
          <b:Person>
            <b:Last>Mitchell</b:Last>
            <b:First>R</b:First>
            <b:Middle>K</b:Middle>
          </b:Person>
          <b:Person>
            <b:Last>Bradley</b:Last>
            <b:First>R</b:First>
            <b:Middle>A</b:Middle>
          </b:Person>
          <b:Person>
            <b:Last>Wood</b:Last>
            <b:First>D</b:First>
            <b:Middle>J</b:Middle>
          </b:Person>
        </b:NameList>
      </b:Author>
    </b:Author>
    <b:RefOrder>104</b:RefOrder>
  </b:Source>
  <b:Source>
    <b:Tag>Atk081</b:Tag>
    <b:SourceType>JournalArticle</b:SourceType>
    <b:Guid>{E578DEA8-47CE-4942-848E-98CD70698A4D}</b:Guid>
    <b:Title>Stakeholder management in construction </b:Title>
    <b:JournalName>Construction Manamgement and Economics</b:JournalName>
    <b:Year>2008</b:Year>
    <b:Pages>549-552</b:Pages>
    <b:Volume>43</b:Volume>
    <b:Issue>5</b:Issue>
    <b:Author>
      <b:Author>
        <b:NameList>
          <b:Person>
            <b:Last>Atkin</b:Last>
            <b:First>B</b:First>
          </b:Person>
          <b:Person>
            <b:Last>Skitmore</b:Last>
            <b:First>M</b:First>
          </b:Person>
        </b:NameList>
      </b:Author>
    </b:Author>
    <b:RefOrder>105</b:RefOrder>
  </b:Source>
  <b:Source>
    <b:Tag>Jos16</b:Tag>
    <b:SourceType>JournalArticle</b:SourceType>
    <b:Guid>{4A6ED917-BAC8-46CF-80AB-86238D01430C}</b:Guid>
    <b:Author>
      <b:Author>
        <b:NameList>
          <b:Person>
            <b:Last>Joslin</b:Last>
            <b:First>R</b:First>
          </b:Person>
          <b:Person>
            <b:Last>Müller</b:Last>
            <b:First>R</b:First>
          </b:Person>
        </b:NameList>
      </b:Author>
    </b:Author>
    <b:Title>The relationship between project governance and project success</b:Title>
    <b:JournalName>International Journal of Project Management</b:JournalName>
    <b:Year>2016</b:Year>
    <b:Pages>613-626</b:Pages>
    <b:Volume>34</b:Volume>
    <b:RefOrder>307</b:RefOrder>
  </b:Source>
  <b:Source>
    <b:Tag>BSI17</b:Tag>
    <b:SourceType>Report</b:SourceType>
    <b:Guid>{470C47A8-3D8E-474B-9FDC-F2B0158A6197}</b:Guid>
    <b:Author>
      <b:Author>
        <b:Corporate>BSI</b:Corporate>
      </b:Author>
    </b:Author>
    <b:Title>Project, programme and portfolio management - Guidance on governance (ISO 21505:2017)</b:Title>
    <b:Year>2017</b:Year>
    <b:Publisher>BSI Standards Limited</b:Publisher>
    <b:RefOrder>133</b:RefOrder>
  </b:Source>
  <b:Source>
    <b:Tag>Pat07</b:Tag>
    <b:SourceType>ConferenceProceedings</b:SourceType>
    <b:Guid>{4E5453EC-4C13-4F0B-B2B9-443E01314E7F}</b:Guid>
    <b:Title>A Brief History of Proejct Management. Is our profession 50 or 5000 years old?</b:Title>
    <b:Year>2007</b:Year>
    <b:Publisher>APM</b:Publisher>
    <b:Author>
      <b:Author>
        <b:NameList>
          <b:Person>
            <b:Last>Weaver</b:Last>
            <b:First>Patrick</b:First>
          </b:Person>
        </b:NameList>
      </b:Author>
    </b:Author>
    <b:RefOrder>143</b:RefOrder>
  </b:Source>
  <b:Source>
    <b:Tag>Jug05</b:Tag>
    <b:SourceType>JournalArticle</b:SourceType>
    <b:Guid>{1F9D8707-627E-4CE0-AD11-2B3D944D5E79}</b:Guid>
    <b:Title>A Retrospective Look At Our Evolving Understanding Of Project Success</b:Title>
    <b:Year>2005</b:Year>
    <b:JournalName> Project Management Journal</b:JournalName>
    <b:Pages>19-31</b:Pages>
    <b:Volume>36</b:Volume>
    <b:Issue>4</b:Issue>
    <b:Author>
      <b:Author>
        <b:NameList>
          <b:Person>
            <b:Last>Jugdev</b:Last>
            <b:First>K</b:First>
          </b:Person>
          <b:Person>
            <b:Last>Muller</b:Last>
            <b:First>R</b:First>
          </b:Person>
        </b:NameList>
      </b:Author>
    </b:Author>
    <b:RefOrder>308</b:RefOrder>
  </b:Source>
  <b:Source>
    <b:Tag>Kha13</b:Tag>
    <b:SourceType>ConferenceProceedings</b:SourceType>
    <b:Guid>{4531CE68-2549-4108-96EB-3EF9EFDFA5B1}</b:Guid>
    <b:Title>Factors that influence the success of public sector projects in Pakistan </b:Title>
    <b:Year>2013</b:Year>
    <b:City>Oslo</b:City>
    <b:Publisher>IRNOP</b:Publisher>
    <b:Author>
      <b:Author>
        <b:NameList>
          <b:Person>
            <b:Last>Khan</b:Last>
            <b:First>K</b:First>
          </b:Person>
          <b:Person>
            <b:Last>Turner</b:Last>
            <b:First>R</b:First>
          </b:Person>
          <b:Person>
            <b:Last>Maqsood</b:Last>
            <b:First>T</b:First>
          </b:Person>
        </b:NameList>
      </b:Author>
    </b:Author>
    <b:RefOrder>309</b:RefOrder>
  </b:Source>
  <b:Source>
    <b:Tag>Pre15</b:Tag>
    <b:SourceType>Book</b:SourceType>
    <b:Guid>{7447E95D-71E2-4725-9FEE-E97AC59F9705}</b:Guid>
    <b:Title>Post-Occupancy Evaluation </b:Title>
    <b:Year>2015</b:Year>
    <b:City>Abingdon</b:City>
    <b:Publisher>Routledge</b:Publisher>
    <b:Edition>2nd</b:Edition>
    <b:Author>
      <b:Author>
        <b:NameList>
          <b:Person>
            <b:Last>Preiser</b:Last>
            <b:Middle>E</b:Middle>
            <b:First>W</b:First>
          </b:Person>
          <b:Person>
            <b:Last>Rabinowitz</b:Last>
            <b:Middle>Z</b:Middle>
            <b:First>H</b:First>
          </b:Person>
          <b:Person>
            <b:Last>White</b:Last>
            <b:Middle>T</b:Middle>
            <b:First>E</b:First>
          </b:Person>
        </b:NameList>
      </b:Author>
    </b:Author>
    <b:RefOrder>310</b:RefOrder>
  </b:Source>
  <b:Source>
    <b:Tag>Pre12</b:Tag>
    <b:SourceType>BookSection</b:SourceType>
    <b:Guid>{2A66D9A1-8453-4E58-AF4A-23493D3CB5FD}</b:Guid>
    <b:Title>A Process Model for Building Performance Evaluation (BPE)</b:Title>
    <b:Year>2012</b:Year>
    <b:City>Chichester</b:City>
    <b:Publisher>Blackwell Publishing</b:Publisher>
    <b:Author>
      <b:Author>
        <b:NameList>
          <b:Person>
            <b:Last>Preiser</b:Last>
            <b:First>W.</b:First>
            <b:Middle>F. E</b:Middle>
          </b:Person>
          <b:Person>
            <b:Last>Schramm</b:Last>
            <b:First>U</b:First>
          </b:Person>
        </b:NameList>
      </b:Author>
      <b:Editor>
        <b:NameList>
          <b:Person>
            <b:Last>Mallory-Hill</b:Last>
            <b:First>S</b:First>
          </b:Person>
          <b:Person>
            <b:Last>Preiser</b:Last>
            <b:First>W.</b:First>
            <b:Middle>F.E.</b:Middle>
          </b:Person>
          <b:Person>
            <b:Last>Watson</b:Last>
            <b:First>C</b:First>
          </b:Person>
        </b:NameList>
      </b:Editor>
    </b:Author>
    <b:BookTitle>Ehancing Building Performance</b:BookTitle>
    <b:Pages>19-30</b:Pages>
    <b:RefOrder>311</b:RefOrder>
  </b:Source>
  <b:Source>
    <b:Tag>APM19</b:Tag>
    <b:SourceType>Book</b:SourceType>
    <b:Guid>{8E6149D0-36F7-4B6C-8294-E7AF9BD9F91F}</b:Guid>
    <b:Author>
      <b:Author>
        <b:Corporate>APM</b:Corporate>
      </b:Author>
    </b:Author>
    <b:Title>APM Body of Knowledge</b:Title>
    <b:Year>2019</b:Year>
    <b:City>Princes Risborough</b:City>
    <b:Publisher>APM</b:Publisher>
    <b:Edition>7th</b:Edition>
    <b:RefOrder>156</b:RefOrder>
  </b:Source>
  <b:Source>
    <b:Tag>HMT19</b:Tag>
    <b:SourceType>Report</b:SourceType>
    <b:Guid>{9D7E0115-C523-4B14-8895-42CA18BC4EC3}</b:Guid>
    <b:Author>
      <b:Author>
        <b:Corporate>HMT</b:Corporate>
      </b:Author>
    </b:Author>
    <b:Title>The Orange Book: Management of Risk - Principles and Concepts</b:Title>
    <b:Year>2019</b:Year>
    <b:Publisher>Crown Copyright</b:Publisher>
    <b:RefOrder>9</b:RefOrder>
  </b:Source>
  <b:Source>
    <b:Tag>Dai031</b:Tag>
    <b:SourceType>JournalArticle</b:SourceType>
    <b:Guid>{BF7C7FDC-DC69-4EEB-9E4A-8CB5260E687E}</b:Guid>
    <b:Title>Redefining performance measures for construction project managers: an empirical evaluation </b:Title>
    <b:Year>2003</b:Year>
    <b:JournalName>Construction Management &amp; Economics</b:JournalName>
    <b:Pages>209-218</b:Pages>
    <b:Volume>21</b:Volume>
    <b:Author>
      <b:Author>
        <b:NameList>
          <b:Person>
            <b:Last>Dainty</b:Last>
            <b:Middle>R.J</b:Middle>
            <b:First>A.</b:First>
          </b:Person>
          <b:Person>
            <b:Last>Mei-l</b:Last>
            <b:First>C</b:First>
          </b:Person>
          <b:Person>
            <b:Last>Moore</b:Last>
            <b:Middle>R</b:Middle>
            <b:First>S</b:First>
          </b:Person>
        </b:NameList>
      </b:Author>
    </b:Author>
    <b:RefOrder>312</b:RefOrder>
  </b:Source>
  <b:Source>
    <b:Tag>Mor86</b:Tag>
    <b:SourceType>Misc</b:SourceType>
    <b:Guid>{43D0C5A2-AEA2-4DA5-8825-BB46B1F192F2}</b:Guid>
    <b:Title>Preconditions of Success and Failure in Major Projects</b:Title>
    <b:JournalName>Technical Paper No. 3</b:JournalName>
    <b:Year>1986</b:Year>
    <b:Author>
      <b:Author>
        <b:NameList>
          <b:Person>
            <b:Last>Morris </b:Last>
            <b:Middle>W.G.</b:Middle>
            <b:First>P</b:First>
          </b:Person>
          <b:Person>
            <b:Last>Hugh</b:Last>
            <b:Middle>H</b:Middle>
            <b:First>G</b:First>
          </b:Person>
        </b:NameList>
      </b:Author>
    </b:Author>
    <b:City>Oxford</b:City>
    <b:RefOrder>313</b:RefOrder>
  </b:Source>
  <b:Source>
    <b:Tag>Pro97</b:Tag>
    <b:SourceType>JournalArticle</b:SourceType>
    <b:Guid>{C6687421-D521-4F46-946F-17966D2C0594}</b:Guid>
    <b:Title>Project Characteristics for Successful Public-Sector Design-Build</b:Title>
    <b:Year>1997</b:Year>
    <b:JournalName>Journal of Construction Engineering and Management</b:JournalName>
    <b:Pages>34-40</b:Pages>
    <b:Volume>123</b:Volume>
    <b:Issue>1</b:Issue>
    <b:Author>
      <b:Author>
        <b:NameList>
          <b:Person>
            <b:Last>Songer</b:Last>
            <b:Middle>D</b:Middle>
            <b:First>A</b:First>
          </b:Person>
          <b:Person>
            <b:Last>Molenaar</b:Last>
            <b:Middle>R</b:Middle>
            <b:First>K</b:First>
          </b:Person>
        </b:NameList>
      </b:Author>
    </b:Author>
    <b:RefOrder>314</b:RefOrder>
  </b:Source>
  <b:Source>
    <b:Tag>Hai</b:Tag>
    <b:SourceType>Book</b:SourceType>
    <b:Guid>{53FDD17B-89A0-4105-827B-6C5AB35612ED}</b:Guid>
    <b:Title>Multivariate Data Analysis</b:Title>
    <b:Author>
      <b:Author>
        <b:NameList>
          <b:Person>
            <b:Last>Hair</b:Last>
            <b:First>J</b:First>
          </b:Person>
          <b:Person>
            <b:Last>Black</b:Last>
            <b:First>W</b:First>
          </b:Person>
          <b:Person>
            <b:Last>Anderson</b:Last>
            <b:First>R</b:First>
          </b:Person>
        </b:NameList>
      </b:Author>
    </b:Author>
    <b:Year>2010</b:Year>
    <b:City>NJ</b:City>
    <b:Publisher>Prentice Hall Inc</b:Publisher>
    <b:Edition>7th</b:Edition>
    <b:RefOrder>315</b:RefOrder>
  </b:Source>
  <b:Source>
    <b:Tag>Sch17</b:Tag>
    <b:SourceType>JournalArticle</b:SourceType>
    <b:Guid>{06D0061A-4CC6-4CCE-8293-C42754452C66}</b:Guid>
    <b:Title>How to Construct a Mixed Methods Research Design</b:Title>
    <b:JournalName>Kolner Zeitschrift Fur Soziologie Und Sozialpsychologie</b:JournalName>
    <b:Year>2017</b:Year>
    <b:Pages>107-131</b:Pages>
    <b:Volume>62</b:Volume>
    <b:Issue>Suppl 2</b:Issue>
    <b:Author>
      <b:Author>
        <b:NameList>
          <b:Person>
            <b:Last>Schooneboom</b:Last>
            <b:First>J</b:First>
          </b:Person>
          <b:Person>
            <b:Last>Burke Johnson</b:Last>
            <b:First>R</b:First>
          </b:Person>
        </b:NameList>
      </b:Author>
    </b:Author>
    <b:RefOrder>316</b:RefOrder>
  </b:Source>
  <b:Source>
    <b:Tag>Wåh15</b:Tag>
    <b:SourceType>JournalArticle</b:SourceType>
    <b:Guid>{AE273E44-08A8-416E-AA5C-6865C1DE9AA8}</b:Guid>
    <b:Author>
      <b:Author>
        <b:NameList>
          <b:Person>
            <b:Last>Wåhlberg </b:Last>
            <b:Middle>E</b:Middle>
            <b:First>A</b:First>
          </b:Person>
          <b:Person>
            <b:Last>Poom</b:Last>
            <b:First>L</b:First>
          </b:Person>
        </b:NameList>
      </b:Author>
    </b:Author>
    <b:Title>An Empirical Test of Nonresponse Bias in Internet Surveys</b:Title>
    <b:JournalName>Basic and Applied Social Psychology</b:JournalName>
    <b:Year>2015</b:Year>
    <b:Pages>336-347</b:Pages>
    <b:Volume>37</b:Volume>
    <b:RefOrder>317</b:RefOrder>
  </b:Source>
  <b:Source>
    <b:Tag>Fos17</b:Tag>
    <b:SourceType>JournalArticle</b:SourceType>
    <b:Guid>{5D8FAA8C-1DB2-47D8-8126-178DC13DD393}</b:Guid>
    <b:Title>How Important are High Response Rates for College Surveys</b:Title>
    <b:JournalName>The Review of Higher Education</b:JournalName>
    <b:Year>2017</b:Year>
    <b:Pages>245-265</b:Pages>
    <b:Volume>40</b:Volume>
    <b:Issue>2</b:Issue>
    <b:Author>
      <b:Author>
        <b:NameList>
          <b:Person>
            <b:Last>Fosnacht</b:Last>
            <b:First>K</b:First>
          </b:Person>
          <b:Person>
            <b:Last>Sarraf</b:Last>
            <b:First>S</b:First>
          </b:Person>
          <b:Person>
            <b:Last>Howe</b:Last>
            <b:First>E</b:First>
          </b:Person>
          <b:Person>
            <b:Last>Peck</b:Last>
            <b:Middle>K</b:Middle>
            <b:First>L</b:First>
          </b:Person>
        </b:NameList>
      </b:Author>
    </b:Author>
    <b:RefOrder>318</b:RefOrder>
  </b:Source>
  <b:Source>
    <b:Tag>Nul08</b:Tag>
    <b:SourceType>JournalArticle</b:SourceType>
    <b:Guid>{3ED7FB4E-7E98-4ADE-8269-AFE9684DD585}</b:Guid>
    <b:Title>The adequacy of response rates to online and paper surveys: what can be done?</b:Title>
    <b:JournalName>Assessment &amp; Evaluation in Higher Education </b:JournalName>
    <b:Year>2008</b:Year>
    <b:Pages>301-314</b:Pages>
    <b:Volume>33</b:Volume>
    <b:Issue>3</b:Issue>
    <b:Author>
      <b:Author>
        <b:NameList>
          <b:Person>
            <b:Last>Nulty</b:Last>
            <b:Middle>D</b:Middle>
            <b:First>D</b:First>
          </b:Person>
        </b:NameList>
      </b:Author>
    </b:Author>
    <b:RefOrder>179</b:RefOrder>
  </b:Source>
  <b:Source>
    <b:Tag>Sal12</b:Tag>
    <b:SourceType>Misc</b:SourceType>
    <b:Guid>{31CCB034-9B0B-4C20-AA6E-4F41128CDBD6}</b:Guid>
    <b:Title>A Primer on Survey Response Rate</b:Title>
    <b:Year>2012</b:Year>
    <b:Publisher>Florida State University </b:Publisher>
    <b:Author>
      <b:Author>
        <b:NameList>
          <b:Person>
            <b:Last>Salvidar</b:Last>
            <b:Middle>G</b:Middle>
            <b:First>M</b:First>
          </b:Person>
        </b:NameList>
      </b:Author>
    </b:Author>
    <b:RefOrder>180</b:RefOrder>
  </b:Source>
  <b:Source>
    <b:Tag>Yeu13</b:Tag>
    <b:SourceType>JournalArticle</b:SourceType>
    <b:Guid>{B2E5DB2D-D1A5-4622-AFC2-9D30C1FB5655}</b:Guid>
    <b:Title>Developing a Benchmarking Model for Construction Projects in Hong Kong</b:Title>
    <b:JournalName>Journal of Construction Engineering and Management</b:JournalName>
    <b:Year>2013</b:Year>
    <b:Pages>705-716</b:Pages>
    <b:Issue>6</b:Issue>
    <b:Author>
      <b:Author>
        <b:NameList>
          <b:Person>
            <b:Last>Yeung</b:Last>
            <b:First>J</b:First>
            <b:Middle>F</b:Middle>
          </b:Person>
          <b:Person>
            <b:Last>Chan</b:Last>
            <b:First>A</b:First>
            <b:Middle>P C</b:Middle>
          </b:Person>
          <b:Person>
            <b:Last>Chan</b:Last>
            <b:Middle>W M</b:Middle>
            <b:First>Daniel</b:First>
          </b:Person>
          <b:Person>
            <b:Last>Chiang</b:Last>
            <b:Middle>H</b:Middle>
            <b:First>Y</b:First>
          </b:Person>
        </b:NameList>
      </b:Author>
    </b:Author>
    <b:RefOrder>182</b:RefOrder>
  </b:Source>
  <b:Source>
    <b:Tag>Cha04</b:Tag>
    <b:SourceType>JournalArticle</b:SourceType>
    <b:Guid>{A5758BC0-F4AB-402E-9C87-BE2AD01822E9}</b:Guid>
    <b:Title>Key performance indicators for measuring construction success</b:Title>
    <b:JournalName>Benchmarking: An International Journal</b:JournalName>
    <b:Year>2004</b:Year>
    <b:Pages>203-221</b:Pages>
    <b:Volume>11</b:Volume>
    <b:Issue>2</b:Issue>
    <b:Author>
      <b:Author>
        <b:NameList>
          <b:Person>
            <b:Last>Chan</b:Last>
            <b:Middle>P C</b:Middle>
            <b:First>A</b:First>
          </b:Person>
          <b:Person>
            <b:Last>Cahn</b:Last>
            <b:Middle>P L</b:Middle>
            <b:First>A</b:First>
          </b:Person>
        </b:NameList>
      </b:Author>
    </b:Author>
    <b:RefOrder>148</b:RefOrder>
  </b:Source>
  <b:Source>
    <b:Tag>Too10</b:Tag>
    <b:SourceType>JournalArticle</b:SourceType>
    <b:Guid>{A0979323-8100-4434-BB0C-090D472C7255}</b:Guid>
    <b:Title>Beyond the 'iron triangle': Stakeholder perception of key performance indicators (KPIs) for large scale public sector development projects</b:Title>
    <b:Year>2010</b:Year>
    <b:Author>
      <b:Author>
        <b:NameList>
          <b:Person>
            <b:Last>Toor</b:Last>
            <b:First>S</b:First>
          </b:Person>
          <b:Person>
            <b:Last>Ogunlana</b:Last>
            <b:Middle>O</b:Middle>
            <b:First>S</b:First>
          </b:Person>
        </b:NameList>
      </b:Author>
    </b:Author>
    <b:JournalName>International Journal of Project Management</b:JournalName>
    <b:Pages>228-236</b:Pages>
    <b:Volume>28</b:Volume>
    <b:RefOrder>142</b:RefOrder>
  </b:Source>
  <b:Source>
    <b:Tag>BMG14</b:Tag>
    <b:SourceType>Report</b:SourceType>
    <b:Guid>{90CA881B-2C4C-4184-92B5-1615550C5596}</b:Guid>
    <b:Author>
      <b:Author>
        <b:Corporate>APM</b:Corporate>
      </b:Author>
    </b:Author>
    <b:Title>Factors in Project Success</b:Title>
    <b:Year>2014</b:Year>
    <b:Publisher>BMG Research</b:Publisher>
    <b:City>Birmingham, UK</b:City>
    <b:RefOrder>3</b:RefOrder>
  </b:Source>
  <b:Source>
    <b:Tag>Gov111</b:Tag>
    <b:SourceType>Report</b:SourceType>
    <b:Guid>{DE03CD49-23EB-48CB-BA02-779772BA891A}</b:Guid>
    <b:Title>Governmnt Construction Strategy</b:Title>
    <b:Year>2011</b:Year>
    <b:Author>
      <b:Author>
        <b:Corporate>Cabinet Office</b:Corporate>
      </b:Author>
    </b:Author>
    <b:RefOrder>319</b:RefOrder>
  </b:Source>
  <b:Source>
    <b:Tag>HMG13</b:Tag>
    <b:SourceType>Report</b:SourceType>
    <b:Guid>{950BD414-D9B7-4EE6-B8A2-FA950346B87D}</b:Guid>
    <b:Author>
      <b:Author>
        <b:Corporate>HM Government</b:Corporate>
      </b:Author>
    </b:Author>
    <b:Title>Construction 2025</b:Title>
    <b:Year>2013</b:Year>
    <b:RefOrder>5</b:RefOrder>
  </b:Source>
  <b:Source>
    <b:Tag>Dep10</b:Tag>
    <b:SourceType>Report</b:SourceType>
    <b:Guid>{18DAA18C-964B-4E9B-984C-11F15C2E7EB2}</b:Guid>
    <b:Author>
      <b:Author>
        <b:Corporate>DH</b:Corporate>
      </b:Author>
    </b:Author>
    <b:Title>Equality and Excellence: Liberating the NHS</b:Title>
    <b:Year>2010</b:Year>
    <b:Publisher>TSO</b:Publisher>
    <b:City>Norwich</b:City>
    <b:RefOrder>26</b:RefOrder>
  </b:Source>
  <b:Source>
    <b:Tag>Dep15</b:Tag>
    <b:SourceType>DocumentFromInternetSite</b:SourceType>
    <b:Guid>{37C75099-988B-486C-8E9C-07D0773FC9F9}</b:Guid>
    <b:Title>The Handbook to The NHS Constitution for England</b:Title>
    <b:Year>2015</b:Year>
    <b:YearAccessed>2018</b:YearAccessed>
    <b:MonthAccessed>December</b:MonthAccessed>
    <b:DayAccessed>16</b:DayAccessed>
    <b:URL>https://assets.publishing.service.gov.uk/government/uploads/system/uploads/attachment_data/file/474450/NHS_Constitution_Handbook_v2.pdf</b:URL>
    <b:Author>
      <b:Author>
        <b:Corporate>DH</b:Corporate>
      </b:Author>
    </b:Author>
    <b:Month>July</b:Month>
    <b:Day>27</b:Day>
    <b:RefOrder>76</b:RefOrder>
  </b:Source>
  <b:Source>
    <b:Tag>HMT07</b:Tag>
    <b:SourceType>Report</b:SourceType>
    <b:Guid>{917ECBD6-25AA-429D-A560-3E3B37B0A90B}</b:Guid>
    <b:Title>Project Governance: a guidance note for public sector projects</b:Title>
    <b:Year>2007</b:Year>
    <b:Author>
      <b:Author>
        <b:Corporate>HMT</b:Corporate>
      </b:Author>
    </b:Author>
    <b:Publisher>HMSO Crown Copyright</b:Publisher>
    <b:City>Norwich</b:City>
    <b:RefOrder>7</b:RefOrder>
  </b:Source>
  <b:Source>
    <b:Tag>Hur18</b:Tag>
    <b:SourceType>ElectronicSource</b:SourceType>
    <b:Guid>{4D8BA75F-AD1B-4882-B7F1-09C48ACED3FA}</b:Guid>
    <b:Title>Virtue Ethics</b:Title>
    <b:Year>2018</b:Year>
    <b:URL>https://plato.stanford.edu/archives/win2018/entries/ethics-virtue/</b:URL>
    <b:Publisher>Metaphysics Research Lab, Stanford University</b:Publisher>
    <b:City>Stanford</b:City>
    <b:Author>
      <b:Author>
        <b:NameList>
          <b:Person>
            <b:Last>Hursthouse</b:Last>
            <b:First>R</b:First>
          </b:Person>
          <b:Person>
            <b:Last>Pettigrew</b:Last>
            <b:First>G</b:First>
          </b:Person>
        </b:NameList>
      </b:Author>
      <b:Editor>
        <b:NameList>
          <b:Person>
            <b:Last>Zalta</b:Last>
            <b:Middle>N</b:Middle>
            <b:First>Edward</b:First>
          </b:Person>
        </b:NameList>
      </b:Editor>
    </b:Author>
    <b:PublicationTitle>Stanford Encyclopedia of Philosophy</b:PublicationTitle>
    <b:Edition>Winter 2018</b:Edition>
    <b:BookTitle>The Stanford Encyclopedia of Philosophy</b:BookTitle>
    <b:RefOrder>54</b:RefOrder>
  </b:Source>
  <b:Source>
    <b:Tag>Far16</b:Tag>
    <b:SourceType>Report</b:SourceType>
    <b:Guid>{8E870E54-938B-4B49-B0AA-D6DA1EBAC59A}</b:Guid>
    <b:Title>The Farmer Review of the UK Construction Labour Model</b:Title>
    <b:Year>2016</b:Year>
    <b:Author>
      <b:Author>
        <b:NameList>
          <b:Person>
            <b:Last>Farmer</b:Last>
            <b:First>M</b:First>
          </b:Person>
        </b:NameList>
      </b:Author>
    </b:Author>
    <b:Publisher>Construction Leadership Council</b:Publisher>
    <b:RefOrder>164</b:RefOrder>
  </b:Source>
  <b:Source>
    <b:Tag>Cad92</b:Tag>
    <b:SourceType>Report</b:SourceType>
    <b:Guid>{A5113AC9-77AC-4791-BCE0-532A97614338}</b:Guid>
    <b:Author>
      <b:Author>
        <b:NameList>
          <b:Person>
            <b:Last>Cadbury</b:Last>
            <b:First>A</b:First>
          </b:Person>
        </b:NameList>
      </b:Author>
    </b:Author>
    <b:Title>The Financial Aspects of Corporate Governance</b:Title>
    <b:Year>1992</b:Year>
    <b:Publisher>Gee (a division of Professional Publishing Ltd)</b:Publisher>
    <b:City>London</b:City>
    <b:RefOrder>320</b:RefOrder>
  </b:Source>
  <b:Source>
    <b:Tag>Axe09</b:Tag>
    <b:SourceType>Book</b:SourceType>
    <b:Guid>{AF46119D-7787-4FED-AD71-C9B7ABB67155}</b:Guid>
    <b:Title>Managing Successful Project with PRINCE2</b:Title>
    <b:Year>2009</b:Year>
    <b:Publisher>TSO</b:Publisher>
    <b:City>London</b:City>
    <b:Author>
      <b:Author>
        <b:NameList>
          <b:Person>
            <b:Last>Axelos</b:Last>
          </b:Person>
        </b:NameList>
      </b:Author>
    </b:Author>
    <b:Edition>5</b:Edition>
    <b:RefOrder>1</b:RefOrder>
  </b:Source>
  <b:Source>
    <b:Tag>Stn14</b:Tag>
    <b:SourceType>BookSection</b:SourceType>
    <b:Guid>{1F6451D2-D220-4AF2-B5FE-098C64A2E1E2}</b:Guid>
    <b:Title>The History of Utilitarianism</b:Title>
    <b:Year>2014</b:Year>
    <b:Author>
      <b:Author>
        <b:NameList>
          <b:Person>
            <b:Last>Driver</b:Last>
            <b:First>J</b:First>
          </b:Person>
        </b:NameList>
      </b:Author>
      <b:Editor>
        <b:NameList>
          <b:Person>
            <b:Last>Zalta</b:Last>
            <b:Middle>N</b:Middle>
            <b:First>E</b:First>
          </b:Person>
        </b:NameList>
      </b:Editor>
    </b:Author>
    <b:YearAccessed>2018</b:YearAccessed>
    <b:MonthAccessed>June</b:MonthAccessed>
    <b:DayAccessed>25</b:DayAccessed>
    <b:URL>https://plato.stanford.edu/entries/utilitarianism-history/</b:URL>
    <b:BookTitle>The Stanford Encyclopedia of Philosophy</b:BookTitle>
    <b:Publisher>Metaphysics Research Lab, Stanford University</b:Publisher>
    <b:RefOrder>58</b:RefOrder>
  </b:Source>
  <b:Source>
    <b:Tag>Lor95</b:Tag>
    <b:SourceType>Report</b:SourceType>
    <b:Guid>{40EFBA95-A63E-4C90-A597-D7AC6CA57A78}</b:Guid>
    <b:Title>Standards in Publc Life . First Report of the Committee on Standards in Public Life</b:Title>
    <b:Year>1995</b:Year>
    <b:City>London</b:City>
    <b:Publisher>HMSO</b:Publisher>
    <b:Author>
      <b:Author>
        <b:NameList>
          <b:Person>
            <b:Last>Nolan</b:Last>
            <b:First>A</b:First>
          </b:Person>
        </b:NameList>
      </b:Author>
    </b:Author>
    <b:RefOrder>75</b:RefOrder>
  </b:Source>
  <b:Source>
    <b:Tag>Ebb19</b:Tag>
    <b:SourceType>JournalArticle</b:SourceType>
    <b:Guid>{033D754F-5FDF-4534-8FFF-07004FB6941C}</b:Guid>
    <b:Title>Re-imagining the Iron Triangle: Embedding Sustainability into Project Constraints</b:Title>
    <b:Year>2019</b:Year>
    <b:Pages>1-13</b:Pages>
    <b:JournalName>PM World Journal</b:JournalName>
    <b:Volume>II</b:Volume>
    <b:Issue>III</b:Issue>
    <b:Author>
      <b:Author>
        <b:NameList>
          <b:Person>
            <b:Last>Ebbesen</b:Last>
            <b:First>J</b:First>
            <b:Middle>B</b:Middle>
          </b:Person>
          <b:Person>
            <b:Last>Hope</b:Last>
            <b:First>A</b:First>
          </b:Person>
        </b:NameList>
      </b:Author>
    </b:Author>
    <b:RefOrder>146</b:RefOrder>
  </b:Source>
  <b:Source>
    <b:Tag>Sir98</b:Tag>
    <b:SourceType>Report</b:SourceType>
    <b:Guid>{23A193D6-0855-4B59-A1F6-80B9F78F25B1}</b:Guid>
    <b:Title>Rethinking Construction</b:Title>
    <b:Year>1998</b:Year>
    <b:Author>
      <b:Author>
        <b:NameList>
          <b:Person>
            <b:Last>Egan</b:Last>
            <b:First>J</b:First>
          </b:Person>
        </b:NameList>
      </b:Author>
    </b:Author>
    <b:Publisher>HMSO</b:Publisher>
    <b:City>Norwich</b:City>
    <b:RefOrder>163</b:RefOrder>
  </b:Source>
  <b:Source>
    <b:Tag>May11</b:Tag>
    <b:SourceType>DocumentFromInternetSite</b:SourceType>
    <b:Guid>{8EC1BDA5-5C8C-49FE-A6AB-6B64BA6B3DF6}</b:Guid>
    <b:Title>Return to the market: objectives and evolution of NEw Labour's market reforms</b:Title>
    <b:Year>2011</b:Year>
    <b:YearAccessed>2020</b:YearAccessed>
    <b:MonthAccessed>March</b:MonthAccessed>
    <b:DayAccessed>15th</b:DayAccessed>
    <b:URL>https://www.kingsfund.org.uk/sites/default/files/chapter-1-Return-to-the-market-objectives-evolution-new-labours-market-reforms-sept11.pdf</b:URL>
    <b:Author>
      <b:Author>
        <b:NameList>
          <b:Person>
            <b:Last>Mays</b:Last>
            <b:First>Nicholas</b:First>
          </b:Person>
          <b:Person>
            <b:Last>Dixon</b:Last>
            <b:First>Anna</b:First>
          </b:Person>
          <b:Person>
            <b:Last>Jones</b:Last>
            <b:First>Lorelei</b:First>
          </b:Person>
        </b:NameList>
      </b:Author>
    </b:Author>
    <b:Month>September</b:Month>
    <b:RefOrder>23</b:RefOrder>
  </b:Source>
  <b:Source>
    <b:Tag>Arc10</b:Tag>
    <b:SourceType>Report</b:SourceType>
    <b:Guid>{677BC69C-1A0A-4303-945F-9D4F3397ACB5}</b:Guid>
    <b:Title>Architects Code: Standards of Conduct and Practice</b:Title>
    <b:Year>2010</b:Year>
    <b:Author>
      <b:Author>
        <b:Corporate>ARB</b:Corporate>
      </b:Author>
    </b:Author>
    <b:Publisher>Architects Registration Board</b:Publisher>
    <b:RefOrder>81</b:RefOrder>
  </b:Source>
  <b:Source>
    <b:Tag>ENG17</b:Tag>
    <b:SourceType>InternetSite</b:SourceType>
    <b:Guid>{BF5EABC2-1A2C-4493-AB5C-6F6646D49ABC}</b:Guid>
    <b:Title>Statement of ethical principles</b:Title>
    <b:Year>2017</b:Year>
    <b:Author>
      <b:Author>
        <b:NameList>
          <b:Person>
            <b:Last>ENGC</b:Last>
          </b:Person>
        </b:NameList>
      </b:Author>
    </b:Author>
    <b:YearAccessed>2020</b:YearAccessed>
    <b:MonthAccessed>March</b:MonthAccessed>
    <b:DayAccessed>15</b:DayAccessed>
    <b:URL>https://www.engc.org.uk/standards-guidance/guidance/statement-of-ethical-principles/</b:URL>
    <b:RefOrder>82</b:RefOrder>
  </b:Source>
  <b:Source>
    <b:Tag>Jha07</b:Tag>
    <b:SourceType>JournalArticle</b:SourceType>
    <b:Guid>{DCC52FD4-623C-4423-96C2-5172D65649C6}</b:Guid>
    <b:Title>Commitment, coordination, competence and the iron triangle</b:Title>
    <b:Year>2007</b:Year>
    <b:JournalName>International Journal of Project Management </b:JournalName>
    <b:Pages>527-540</b:Pages>
    <b:Volume>25</b:Volume>
    <b:Issue>5</b:Issue>
    <b:Author>
      <b:Author>
        <b:NameList>
          <b:Person>
            <b:Last>Jha</b:Last>
            <b:Middle>N</b:Middle>
            <b:First>K</b:First>
          </b:Person>
          <b:Person>
            <b:Last>Iyer</b:Last>
            <b:Middle>C</b:Middle>
            <b:First>K</b:First>
          </b:Person>
        </b:NameList>
      </b:Author>
    </b:Author>
    <b:RefOrder>162</b:RefOrder>
  </b:Source>
  <b:Source>
    <b:Tag>kel06</b:Tag>
    <b:SourceType>JournalArticle</b:SourceType>
    <b:Guid>{3A8B83D0-80FA-4F06-84DD-BA0A56389BA4}</b:Guid>
    <b:Title>Combining qualitative and quantitative methods in research practice: purposes and advantages</b:Title>
    <b:Year>2006</b:Year>
    <b:JournalName>Qualitative Research i Psychology</b:JournalName>
    <b:Pages>293-311</b:Pages>
    <b:Volume>3</b:Volume>
    <b:Author>
      <b:Author>
        <b:NameList>
          <b:Person>
            <b:Last>Kelle</b:Last>
            <b:First>U</b:First>
          </b:Person>
        </b:NameList>
      </b:Author>
    </b:Author>
    <b:RefOrder>168</b:RefOrder>
  </b:Source>
  <b:Source>
    <b:Tag>Rei881</b:Tag>
    <b:SourceType>JournalArticle</b:SourceType>
    <b:Guid>{56EA5623-0EA8-4698-BD99-2FCF0DC472F5}</b:Guid>
    <b:Title>Some Initial Steps toward Improving the Measurement of Ethical Evaluations of Marketing Activities</b:Title>
    <b:JournalName>Journal of Business Ethics</b:JournalName>
    <b:Year>1988</b:Year>
    <b:Pages>871-879</b:Pages>
    <b:Volume>7</b:Volume>
    <b:Author>
      <b:Author>
        <b:NameList>
          <b:Person>
            <b:Last>Reidenbach</b:Last>
            <b:First>E</b:First>
            <b:Middle>R</b:Middle>
          </b:Person>
          <b:Person>
            <b:Last>Robin</b:Last>
            <b:First>D</b:First>
            <b:Middle>P</b:Middle>
          </b:Person>
        </b:NameList>
      </b:Author>
    </b:Author>
    <b:RefOrder>321</b:RefOrder>
  </b:Source>
  <b:Source>
    <b:Tag>Hun06</b:Tag>
    <b:SourceType>JournalArticle</b:SourceType>
    <b:Guid>{4A058A4C-DD6B-4074-B220-25C660457233}</b:Guid>
    <b:Title>The General Theory of MArketing Ethics: A Revision and Three Questions</b:Title>
    <b:JournalName>Journal of Macromarketing</b:JournalName>
    <b:Year>2006</b:Year>
    <b:Pages>1-11</b:Pages>
    <b:Volume>26</b:Volume>
    <b:Issue>2</b:Issue>
    <b:Author>
      <b:Author>
        <b:NameList>
          <b:Person>
            <b:Last>Hunt</b:Last>
            <b:Middle>D</b:Middle>
            <b:First>S</b:First>
          </b:Person>
          <b:Person>
            <b:Last>Vitell</b:Last>
            <b:Middle>J</b:Middle>
            <b:First>S</b:First>
          </b:Person>
        </b:NameList>
      </b:Author>
    </b:Author>
    <b:RefOrder>322</b:RefOrder>
  </b:Source>
  <b:Source>
    <b:Tag>Fre10</b:Tag>
    <b:SourceType>Book</b:SourceType>
    <b:Guid>{EA98FFE2-3163-48D5-8BCD-4A8A1762E5AE}</b:Guid>
    <b:Title>A Stakeholder Appraoch</b:Title>
    <b:Year>2010</b:Year>
    <b:City>Cambridge</b:City>
    <b:Publisher>Cambridge University Press</b:Publisher>
    <b:Author>
      <b:Author>
        <b:NameList>
          <b:Person>
            <b:Last>Freeman</b:Last>
            <b:Middle>E</b:Middle>
            <b:First>R</b:First>
          </b:Person>
        </b:NameList>
      </b:Author>
    </b:Author>
    <b:RefOrder>96</b:RefOrder>
  </b:Source>
  <b:Source>
    <b:Tag>Lim99</b:Tag>
    <b:SourceType>JournalArticle</b:SourceType>
    <b:Guid>{2C1E8110-77F9-4EE5-8628-C950F0E05F90}</b:Guid>
    <b:Title>Criteria of project success: an exploratory re-examination</b:Title>
    <b:JournalName>International Journal of Project Management</b:JournalName>
    <b:Year>1999</b:Year>
    <b:Pages>243-248</b:Pages>
    <b:Volume>17</b:Volume>
    <b:Issue>4</b:Issue>
    <b:Author>
      <b:Author>
        <b:NameList>
          <b:Person>
            <b:Last>Lim</b:Last>
            <b:Middle>S</b:Middle>
            <b:First>C</b:First>
          </b:Person>
          <b:Person>
            <b:Last>Mohamed</b:Last>
            <b:Middle>Zain</b:Middle>
            <b:First>M</b:First>
          </b:Person>
        </b:NameList>
      </b:Author>
    </b:Author>
    <b:RefOrder>323</b:RefOrder>
  </b:Source>
  <b:Source>
    <b:Tag>Onw05</b:Tag>
    <b:SourceType>JournalArticle</b:SourceType>
    <b:Guid>{CBCBD94E-852C-4557-9F3D-51012AB03A31}</b:Guid>
    <b:Title>On Becoming a Pragmatic Researcher: The Importance of Combining Quantitative and Qualitative Research Methodologies</b:Title>
    <b:JournalName>International Journal of Social Research Methodology</b:JournalName>
    <b:Year>2005</b:Year>
    <b:Pages>375-387</b:Pages>
    <b:Volume>8</b:Volume>
    <b:Issue>5</b:Issue>
    <b:Author>
      <b:Author>
        <b:NameList>
          <b:Person>
            <b:Last>Onwuegbuzie</b:Last>
            <b:Middle>J</b:Middle>
            <b:First>A</b:First>
          </b:Person>
          <b:Person>
            <b:Last>Leech</b:Last>
            <b:Middle>L</b:Middle>
            <b:First>N</b:First>
          </b:Person>
        </b:NameList>
      </b:Author>
    </b:Author>
    <b:RefOrder>169</b:RefOrder>
  </b:Source>
  <b:Source>
    <b:Tag>Geo17</b:Tag>
    <b:SourceType>InternetSite</b:SourceType>
    <b:Guid>{4420D903-45EA-4052-87CA-F4160A31FC0D}</b:Guid>
    <b:Author>
      <b:Author>
        <b:NameList>
          <b:Person>
            <b:Last>Rivett</b:Last>
            <b:First>Geoffrey</b:First>
          </b:Person>
        </b:NameList>
      </b:Author>
    </b:Author>
    <b:Title>National Health History</b:Title>
    <b:Year>2017</b:Year>
    <b:YearAccessed>2018</b:YearAccessed>
    <b:MonthAccessed>May</b:MonthAccessed>
    <b:DayAccessed>24</b:DayAccessed>
    <b:URL>http://www.nhshistory.net/shorthistory.htm</b:URL>
    <b:RefOrder>16</b:RefOrder>
  </b:Source>
  <b:Source>
    <b:Tag>Sol07</b:Tag>
    <b:SourceType>Book</b:SourceType>
    <b:Guid>{E259BFFA-FE18-46F0-AB00-F15C78E63E3F}</b:Guid>
    <b:Author>
      <b:Author>
        <b:NameList>
          <b:Person>
            <b:Last>Solomon</b:Last>
            <b:First>Jill</b:First>
          </b:Person>
        </b:NameList>
      </b:Author>
    </b:Author>
    <b:Title>Corporate Governance and Accountability</b:Title>
    <b:Year>2007</b:Year>
    <b:City>Chichester</b:City>
    <b:Publisher>John Wiley &amp; Sons</b:Publisher>
    <b:Edition>2nd</b:Edition>
    <b:RefOrder>116</b:RefOrder>
  </b:Source>
  <b:Source>
    <b:Tag>The93</b:Tag>
    <b:SourceType>InternetSite</b:SourceType>
    <b:Guid>{D385156C-1016-4057-8F2C-D5849DB4A5B2}</b:Guid>
    <b:Author>
      <b:Author>
        <b:Corporate>The Independent</b:Corporate>
      </b:Author>
    </b:Author>
    <b:Title>Rolling over the past: Three years after the demise of Coloroll</b:Title>
    <b:Year>1993</b:Year>
    <b:YearAccessed>2018</b:YearAccessed>
    <b:MonthAccessed>June</b:MonthAccessed>
    <b:DayAccessed>27</b:DayAccessed>
    <b:URL>https://www.independent.co.uk/news/uk/rolling-over-the-past-three-years-after-the-demise-of-coloroll-david-bowen-picks-through-the-rubble-1505777.html</b:URL>
    <b:RefOrder>112</b:RefOrder>
  </b:Source>
  <b:Source>
    <b:Tag>UKG10</b:Tag>
    <b:SourceType>InternetSite</b:SourceType>
    <b:Guid>{F4FF17AE-FE2F-4E75-91D8-D7658D515652}</b:Guid>
    <b:Title>The Building Regulations 2010</b:Title>
    <b:Year>2010</b:Year>
    <b:YearAccessed>2018</b:YearAccessed>
    <b:MonthAccessed>December</b:MonthAccessed>
    <b:DayAccessed>2</b:DayAccessed>
    <b:URL>http://www.legislation.gov.uk/uksi/2010/2214/contents/made</b:URL>
    <b:Author>
      <b:Author>
        <b:Corporate>UK Government</b:Corporate>
      </b:Author>
    </b:Author>
    <b:RefOrder>47</b:RefOrder>
  </b:Source>
  <b:Source>
    <b:Tag>Win01</b:Tag>
    <b:SourceType>JournalArticle</b:SourceType>
    <b:Guid>{E0F5044B-E71C-4F29-B1D1-3878901A9EDB}</b:Guid>
    <b:Title>Governing the project process: a conceptual framework</b:Title>
    <b:JournalName>Construction Management and Economics</b:JournalName>
    <b:Year>2001</b:Year>
    <b:Pages>799-808</b:Pages>
    <b:Volume>19</b:Volume>
    <b:Issue>8</b:Issue>
    <b:DOI>10.1080/01446190110074264</b:DOI>
    <b:Author>
      <b:Author>
        <b:NameList>
          <b:Person>
            <b:Last>Winch</b:Last>
            <b:First>Graham</b:First>
            <b:Middle>M</b:Middle>
          </b:Person>
        </b:NameList>
      </b:Author>
    </b:Author>
    <b:RefOrder>324</b:RefOrder>
  </b:Source>
</b:Sources>
</file>

<file path=customXml/itemProps1.xml><?xml version="1.0" encoding="utf-8"?>
<ds:datastoreItem xmlns:ds="http://schemas.openxmlformats.org/officeDocument/2006/customXml" ds:itemID="{4DEC3462-75F1-487A-8B95-9A09373CB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75492</Words>
  <Characters>430308</Characters>
  <Application>Microsoft Office Word</Application>
  <DocSecurity>0</DocSecurity>
  <Lines>3585</Lines>
  <Paragraphs>1009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whelan</dc:creator>
  <cp:keywords/>
  <dc:description/>
  <cp:lastModifiedBy>elizabeth whelan</cp:lastModifiedBy>
  <cp:revision>4</cp:revision>
  <cp:lastPrinted>2020-03-26T18:16:00Z</cp:lastPrinted>
  <dcterms:created xsi:type="dcterms:W3CDTF">2020-03-28T12:25:00Z</dcterms:created>
  <dcterms:modified xsi:type="dcterms:W3CDTF">2020-04-23T07:42:00Z</dcterms:modified>
</cp:coreProperties>
</file>